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oter1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13.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oter14.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15.xml" ContentType="application/vnd.openxmlformats-officedocument.wordprocessingml.footer+xml"/>
  <Override PartName="/word/header52.xml" ContentType="application/vnd.openxmlformats-officedocument.wordprocessingml.header+xml"/>
  <Override PartName="/word/footer16.xml" ContentType="application/vnd.openxmlformats-officedocument.wordprocessingml.footer+xml"/>
  <Override PartName="/word/header53.xml" ContentType="application/vnd.openxmlformats-officedocument.wordprocessingml.header+xml"/>
  <Override PartName="/word/footer17.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22.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footer23.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footer24.xml" ContentType="application/vnd.openxmlformats-officedocument.wordprocessingml.footer+xml"/>
  <Override PartName="/word/header96.xml" ContentType="application/vnd.openxmlformats-officedocument.wordprocessingml.header+xml"/>
  <Override PartName="/word/footer25.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footer26.xml" ContentType="application/vnd.openxmlformats-officedocument.wordprocessingml.footer+xml"/>
  <Override PartName="/word/header102.xml" ContentType="application/vnd.openxmlformats-officedocument.wordprocessingml.header+xml"/>
  <Override PartName="/word/footer27.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footer28.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footer29.xml" ContentType="application/vnd.openxmlformats-officedocument.wordprocessingml.footer+xml"/>
  <Override PartName="/word/header118.xml" ContentType="application/vnd.openxmlformats-officedocument.wordprocessingml.header+xml"/>
  <Override PartName="/word/footer30.xml" ContentType="application/vnd.openxmlformats-officedocument.wordprocessingml.footer+xml"/>
  <Override PartName="/word/header119.xml" ContentType="application/vnd.openxmlformats-officedocument.wordprocessingml.header+xml"/>
  <Override PartName="/word/footer31.xml" ContentType="application/vnd.openxmlformats-officedocument.wordprocessingml.footer+xml"/>
  <Override PartName="/word/header120.xml" ContentType="application/vnd.openxmlformats-officedocument.wordprocessingml.header+xml"/>
  <Override PartName="/word/footer32.xml" ContentType="application/vnd.openxmlformats-officedocument.wordprocessingml.footer+xml"/>
  <Override PartName="/word/header121.xml" ContentType="application/vnd.openxmlformats-officedocument.wordprocessingml.header+xml"/>
  <Override PartName="/word/footer33.xml" ContentType="application/vnd.openxmlformats-officedocument.wordprocessingml.footer+xml"/>
  <Override PartName="/word/header122.xml" ContentType="application/vnd.openxmlformats-officedocument.wordprocessingml.header+xml"/>
  <Override PartName="/word/footer34.xml" ContentType="application/vnd.openxmlformats-officedocument.wordprocessingml.footer+xml"/>
  <Override PartName="/word/header123.xml" ContentType="application/vnd.openxmlformats-officedocument.wordprocessingml.header+xml"/>
  <Override PartName="/word/footer35.xml" ContentType="application/vnd.openxmlformats-officedocument.wordprocessingml.footer+xml"/>
  <Override PartName="/word/header124.xml" ContentType="application/vnd.openxmlformats-officedocument.wordprocessingml.header+xml"/>
  <Override PartName="/word/footer36.xml" ContentType="application/vnd.openxmlformats-officedocument.wordprocessingml.footer+xml"/>
  <Override PartName="/word/header125.xml" ContentType="application/vnd.openxmlformats-officedocument.wordprocessingml.header+xml"/>
  <Override PartName="/word/footer37.xml" ContentType="application/vnd.openxmlformats-officedocument.wordprocessingml.footer+xml"/>
  <Override PartName="/word/header126.xml" ContentType="application/vnd.openxmlformats-officedocument.wordprocessingml.header+xml"/>
  <Override PartName="/word/footer38.xml" ContentType="application/vnd.openxmlformats-officedocument.wordprocessingml.footer+xml"/>
  <Override PartName="/word/header127.xml" ContentType="application/vnd.openxmlformats-officedocument.wordprocessingml.header+xml"/>
  <Override PartName="/word/footer39.xml" ContentType="application/vnd.openxmlformats-officedocument.wordprocessingml.footer+xml"/>
  <Override PartName="/word/header128.xml" ContentType="application/vnd.openxmlformats-officedocument.wordprocessingml.header+xml"/>
  <Override PartName="/word/footer40.xml" ContentType="application/vnd.openxmlformats-officedocument.wordprocessingml.footer+xml"/>
  <Override PartName="/word/header129.xml" ContentType="application/vnd.openxmlformats-officedocument.wordprocessingml.header+xml"/>
  <Override PartName="/word/footer41.xml" ContentType="application/vnd.openxmlformats-officedocument.wordprocessingml.footer+xml"/>
  <Override PartName="/word/header130.xml" ContentType="application/vnd.openxmlformats-officedocument.wordprocessingml.header+xml"/>
  <Override PartName="/word/footer42.xml" ContentType="application/vnd.openxmlformats-officedocument.wordprocessingml.footer+xml"/>
  <Override PartName="/word/header131.xml" ContentType="application/vnd.openxmlformats-officedocument.wordprocessingml.header+xml"/>
  <Override PartName="/word/footer43.xml" ContentType="application/vnd.openxmlformats-officedocument.wordprocessingml.footer+xml"/>
  <Override PartName="/word/header132.xml" ContentType="application/vnd.openxmlformats-officedocument.wordprocessingml.header+xml"/>
  <Override PartName="/word/footer44.xml" ContentType="application/vnd.openxmlformats-officedocument.wordprocessingml.footer+xml"/>
  <Override PartName="/word/header133.xml" ContentType="application/vnd.openxmlformats-officedocument.wordprocessingml.header+xml"/>
  <Override PartName="/word/footer45.xml" ContentType="application/vnd.openxmlformats-officedocument.wordprocessingml.footer+xml"/>
  <Override PartName="/word/header134.xml" ContentType="application/vnd.openxmlformats-officedocument.wordprocessingml.header+xml"/>
  <Override PartName="/word/footer46.xml" ContentType="application/vnd.openxmlformats-officedocument.wordprocessingml.footer+xml"/>
  <Override PartName="/word/header135.xml" ContentType="application/vnd.openxmlformats-officedocument.wordprocessingml.header+xml"/>
  <Override PartName="/word/footer47.xml" ContentType="application/vnd.openxmlformats-officedocument.wordprocessingml.footer+xml"/>
  <Override PartName="/word/header136.xml" ContentType="application/vnd.openxmlformats-officedocument.wordprocessingml.header+xml"/>
  <Override PartName="/word/footer48.xml" ContentType="application/vnd.openxmlformats-officedocument.wordprocessingml.footer+xml"/>
  <Override PartName="/word/header137.xml" ContentType="application/vnd.openxmlformats-officedocument.wordprocessingml.header+xml"/>
  <Override PartName="/word/footer49.xml" ContentType="application/vnd.openxmlformats-officedocument.wordprocessingml.footer+xml"/>
  <Override PartName="/word/header138.xml" ContentType="application/vnd.openxmlformats-officedocument.wordprocessingml.header+xml"/>
  <Override PartName="/word/footer50.xml" ContentType="application/vnd.openxmlformats-officedocument.wordprocessingml.footer+xml"/>
  <Override PartName="/word/header139.xml" ContentType="application/vnd.openxmlformats-officedocument.wordprocessingml.header+xml"/>
  <Override PartName="/word/footer51.xml" ContentType="application/vnd.openxmlformats-officedocument.wordprocessingml.footer+xml"/>
  <Override PartName="/word/header140.xml" ContentType="application/vnd.openxmlformats-officedocument.wordprocessingml.header+xml"/>
  <Override PartName="/word/footer52.xml" ContentType="application/vnd.openxmlformats-officedocument.wordprocessingml.footer+xml"/>
  <Override PartName="/word/header141.xml" ContentType="application/vnd.openxmlformats-officedocument.wordprocessingml.header+xml"/>
  <Override PartName="/word/footer53.xml" ContentType="application/vnd.openxmlformats-officedocument.wordprocessingml.footer+xml"/>
  <Override PartName="/word/header142.xml" ContentType="application/vnd.openxmlformats-officedocument.wordprocessingml.header+xml"/>
  <Override PartName="/word/footer54.xml" ContentType="application/vnd.openxmlformats-officedocument.wordprocessingml.footer+xml"/>
  <Override PartName="/word/header143.xml" ContentType="application/vnd.openxmlformats-officedocument.wordprocessingml.header+xml"/>
  <Override PartName="/word/footer55.xml" ContentType="application/vnd.openxmlformats-officedocument.wordprocessingml.footer+xml"/>
  <Override PartName="/word/header144.xml" ContentType="application/vnd.openxmlformats-officedocument.wordprocessingml.header+xml"/>
  <Override PartName="/word/footer56.xml" ContentType="application/vnd.openxmlformats-officedocument.wordprocessingml.footer+xml"/>
  <Override PartName="/word/header145.xml" ContentType="application/vnd.openxmlformats-officedocument.wordprocessingml.header+xml"/>
  <Override PartName="/word/footer57.xml" ContentType="application/vnd.openxmlformats-officedocument.wordprocessingml.footer+xml"/>
  <Override PartName="/word/header146.xml" ContentType="application/vnd.openxmlformats-officedocument.wordprocessingml.header+xml"/>
  <Override PartName="/word/footer58.xml" ContentType="application/vnd.openxmlformats-officedocument.wordprocessingml.footer+xml"/>
  <Override PartName="/word/header147.xml" ContentType="application/vnd.openxmlformats-officedocument.wordprocessingml.header+xml"/>
  <Override PartName="/word/footer59.xml" ContentType="application/vnd.openxmlformats-officedocument.wordprocessingml.footer+xml"/>
  <Override PartName="/word/header148.xml" ContentType="application/vnd.openxmlformats-officedocument.wordprocessingml.header+xml"/>
  <Override PartName="/word/footer60.xml" ContentType="application/vnd.openxmlformats-officedocument.wordprocessingml.footer+xml"/>
  <Override PartName="/word/header149.xml" ContentType="application/vnd.openxmlformats-officedocument.wordprocessingml.header+xml"/>
  <Override PartName="/word/footer61.xml" ContentType="application/vnd.openxmlformats-officedocument.wordprocessingml.footer+xml"/>
  <Override PartName="/word/header150.xml" ContentType="application/vnd.openxmlformats-officedocument.wordprocessingml.header+xml"/>
  <Override PartName="/word/footer62.xml" ContentType="application/vnd.openxmlformats-officedocument.wordprocessingml.footer+xml"/>
  <Override PartName="/word/header151.xml" ContentType="application/vnd.openxmlformats-officedocument.wordprocessingml.header+xml"/>
  <Override PartName="/word/footer63.xml" ContentType="application/vnd.openxmlformats-officedocument.wordprocessingml.footer+xml"/>
  <Override PartName="/word/header152.xml" ContentType="application/vnd.openxmlformats-officedocument.wordprocessingml.header+xml"/>
  <Override PartName="/word/footer64.xml" ContentType="application/vnd.openxmlformats-officedocument.wordprocessingml.footer+xml"/>
  <Override PartName="/word/header153.xml" ContentType="application/vnd.openxmlformats-officedocument.wordprocessingml.header+xml"/>
  <Override PartName="/word/footer65.xml" ContentType="application/vnd.openxmlformats-officedocument.wordprocessingml.footer+xml"/>
  <Override PartName="/word/header154.xml" ContentType="application/vnd.openxmlformats-officedocument.wordprocessingml.header+xml"/>
  <Override PartName="/word/footer66.xml" ContentType="application/vnd.openxmlformats-officedocument.wordprocessingml.footer+xml"/>
  <Override PartName="/word/header155.xml" ContentType="application/vnd.openxmlformats-officedocument.wordprocessingml.header+xml"/>
  <Override PartName="/word/footer67.xml" ContentType="application/vnd.openxmlformats-officedocument.wordprocessingml.footer+xml"/>
  <Override PartName="/word/header156.xml" ContentType="application/vnd.openxmlformats-officedocument.wordprocessingml.header+xml"/>
  <Override PartName="/word/footer68.xml" ContentType="application/vnd.openxmlformats-officedocument.wordprocessingml.footer+xml"/>
  <Override PartName="/word/header157.xml" ContentType="application/vnd.openxmlformats-officedocument.wordprocessingml.header+xml"/>
  <Override PartName="/word/footer69.xml" ContentType="application/vnd.openxmlformats-officedocument.wordprocessingml.footer+xml"/>
  <Override PartName="/word/header158.xml" ContentType="application/vnd.openxmlformats-officedocument.wordprocessingml.header+xml"/>
  <Override PartName="/word/footer70.xml" ContentType="application/vnd.openxmlformats-officedocument.wordprocessingml.footer+xml"/>
  <Override PartName="/word/header159.xml" ContentType="application/vnd.openxmlformats-officedocument.wordprocessingml.header+xml"/>
  <Override PartName="/word/footer71.xml" ContentType="application/vnd.openxmlformats-officedocument.wordprocessingml.footer+xml"/>
  <Override PartName="/word/header160.xml" ContentType="application/vnd.openxmlformats-officedocument.wordprocessingml.header+xml"/>
  <Override PartName="/word/footer72.xml" ContentType="application/vnd.openxmlformats-officedocument.wordprocessingml.footer+xml"/>
  <Override PartName="/word/header161.xml" ContentType="application/vnd.openxmlformats-officedocument.wordprocessingml.header+xml"/>
  <Override PartName="/word/footer73.xml" ContentType="application/vnd.openxmlformats-officedocument.wordprocessingml.footer+xml"/>
  <Override PartName="/word/header162.xml" ContentType="application/vnd.openxmlformats-officedocument.wordprocessingml.header+xml"/>
  <Override PartName="/word/footer74.xml" ContentType="application/vnd.openxmlformats-officedocument.wordprocessingml.footer+xml"/>
  <Override PartName="/word/header163.xml" ContentType="application/vnd.openxmlformats-officedocument.wordprocessingml.header+xml"/>
  <Override PartName="/word/footer75.xml" ContentType="application/vnd.openxmlformats-officedocument.wordprocessingml.footer+xml"/>
  <Override PartName="/word/header164.xml" ContentType="application/vnd.openxmlformats-officedocument.wordprocessingml.header+xml"/>
  <Override PartName="/word/footer76.xml" ContentType="application/vnd.openxmlformats-officedocument.wordprocessingml.footer+xml"/>
  <Override PartName="/word/header165.xml" ContentType="application/vnd.openxmlformats-officedocument.wordprocessingml.header+xml"/>
  <Override PartName="/word/footer77.xml" ContentType="application/vnd.openxmlformats-officedocument.wordprocessingml.footer+xml"/>
  <Override PartName="/word/header166.xml" ContentType="application/vnd.openxmlformats-officedocument.wordprocessingml.header+xml"/>
  <Override PartName="/word/footer78.xml" ContentType="application/vnd.openxmlformats-officedocument.wordprocessingml.footer+xml"/>
  <Override PartName="/word/header167.xml" ContentType="application/vnd.openxmlformats-officedocument.wordprocessingml.header+xml"/>
  <Override PartName="/word/footer79.xml" ContentType="application/vnd.openxmlformats-officedocument.wordprocessingml.footer+xml"/>
  <Override PartName="/word/header168.xml" ContentType="application/vnd.openxmlformats-officedocument.wordprocessingml.header+xml"/>
  <Override PartName="/word/footer80.xml" ContentType="application/vnd.openxmlformats-officedocument.wordprocessingml.footer+xml"/>
  <Override PartName="/word/header169.xml" ContentType="application/vnd.openxmlformats-officedocument.wordprocessingml.header+xml"/>
  <Override PartName="/word/footer81.xml" ContentType="application/vnd.openxmlformats-officedocument.wordprocessingml.footer+xml"/>
  <Override PartName="/word/header170.xml" ContentType="application/vnd.openxmlformats-officedocument.wordprocessingml.header+xml"/>
  <Override PartName="/word/footer82.xml" ContentType="application/vnd.openxmlformats-officedocument.wordprocessingml.footer+xml"/>
  <Override PartName="/word/header171.xml" ContentType="application/vnd.openxmlformats-officedocument.wordprocessingml.header+xml"/>
  <Override PartName="/word/footer83.xml" ContentType="application/vnd.openxmlformats-officedocument.wordprocessingml.footer+xml"/>
  <Override PartName="/word/header172.xml" ContentType="application/vnd.openxmlformats-officedocument.wordprocessingml.header+xml"/>
  <Override PartName="/word/footer84.xml" ContentType="application/vnd.openxmlformats-officedocument.wordprocessingml.footer+xml"/>
  <Override PartName="/word/header173.xml" ContentType="application/vnd.openxmlformats-officedocument.wordprocessingml.header+xml"/>
  <Override PartName="/word/footer85.xml" ContentType="application/vnd.openxmlformats-officedocument.wordprocessingml.footer+xml"/>
  <Override PartName="/word/header174.xml" ContentType="application/vnd.openxmlformats-officedocument.wordprocessingml.header+xml"/>
  <Override PartName="/word/footer86.xml" ContentType="application/vnd.openxmlformats-officedocument.wordprocessingml.footer+xml"/>
  <Override PartName="/word/header175.xml" ContentType="application/vnd.openxmlformats-officedocument.wordprocessingml.header+xml"/>
  <Override PartName="/word/footer87.xml" ContentType="application/vnd.openxmlformats-officedocument.wordprocessingml.footer+xml"/>
  <Override PartName="/word/header176.xml" ContentType="application/vnd.openxmlformats-officedocument.wordprocessingml.header+xml"/>
  <Override PartName="/word/footer8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3"/>
          <w:szCs w:val="23"/>
        </w:rPr>
      </w:pPr>
    </w:p>
    <w:p>
      <w:pPr>
        <w:pStyle w:val="Heading2"/>
        <w:spacing w:line="540" w:lineRule="exact"/>
        <w:ind w:left="606" w:right="652"/>
        <w:jc w:val="center"/>
        <w:rPr>
          <w:rFonts w:ascii="黑体" w:hAnsi="黑体" w:cs="黑体" w:eastAsia="黑体" w:hint="default"/>
          <w:b w:val="0"/>
          <w:bCs w:val="0"/>
        </w:rPr>
      </w:pPr>
      <w:bookmarkStart w:name="600050_2009_n.pdf" w:id="1"/>
      <w:bookmarkEnd w:id="1"/>
      <w:r>
        <w:rPr>
          <w:b w:val="0"/>
          <w:bCs w:val="0"/>
        </w:rPr>
      </w:r>
      <w:r>
        <w:rPr>
          <w:rFonts w:ascii="黑体" w:hAnsi="黑体" w:cs="黑体" w:eastAsia="黑体" w:hint="default"/>
          <w:color w:val="FF0000"/>
        </w:rPr>
        <w:t>中国联合网络通信股份有限公司</w:t>
      </w:r>
      <w:r>
        <w:rPr>
          <w:rFonts w:ascii="黑体" w:hAnsi="黑体" w:cs="黑体" w:eastAsia="黑体" w:hint="default"/>
          <w:b w:val="0"/>
          <w:bCs w:val="0"/>
        </w:rPr>
      </w:r>
    </w:p>
    <w:p>
      <w:pPr>
        <w:spacing w:before="185"/>
        <w:ind w:left="606" w:right="652" w:firstLine="0"/>
        <w:jc w:val="center"/>
        <w:rPr>
          <w:rFonts w:ascii="Arial" w:hAnsi="Arial" w:cs="Arial" w:eastAsia="Arial" w:hint="default"/>
          <w:sz w:val="32"/>
          <w:szCs w:val="32"/>
        </w:rPr>
      </w:pPr>
      <w:r>
        <w:rPr>
          <w:rFonts w:ascii="Arial"/>
          <w:b/>
          <w:color w:val="FF0000"/>
          <w:sz w:val="32"/>
        </w:rPr>
        <w:t>600050</w:t>
      </w:r>
      <w:r>
        <w:rPr>
          <w:rFonts w:ascii="Arial"/>
          <w:sz w:val="32"/>
        </w:rPr>
      </w:r>
    </w:p>
    <w:p>
      <w:pPr>
        <w:spacing w:line="240" w:lineRule="auto" w:before="9"/>
        <w:rPr>
          <w:rFonts w:ascii="Arial" w:hAnsi="Arial" w:cs="Arial" w:eastAsia="Arial" w:hint="default"/>
          <w:b/>
          <w:bCs/>
          <w:sz w:val="37"/>
          <w:szCs w:val="37"/>
        </w:rPr>
      </w:pPr>
    </w:p>
    <w:p>
      <w:pPr>
        <w:pStyle w:val="Heading2"/>
        <w:spacing w:line="240" w:lineRule="auto"/>
        <w:ind w:left="606" w:right="652"/>
        <w:jc w:val="center"/>
        <w:rPr>
          <w:rFonts w:ascii="黑体" w:hAnsi="黑体" w:cs="黑体" w:eastAsia="黑体" w:hint="default"/>
          <w:b w:val="0"/>
          <w:bCs w:val="0"/>
        </w:rPr>
      </w:pPr>
      <w:r>
        <w:rPr>
          <w:rFonts w:ascii="Arial" w:hAnsi="Arial" w:cs="Arial" w:eastAsia="Arial" w:hint="default"/>
          <w:color w:val="FF0000"/>
        </w:rPr>
        <w:t>2009</w:t>
      </w:r>
      <w:r>
        <w:rPr>
          <w:rFonts w:ascii="Arial" w:hAnsi="Arial" w:cs="Arial" w:eastAsia="Arial" w:hint="default"/>
          <w:color w:val="FF0000"/>
          <w:spacing w:val="-16"/>
        </w:rPr>
        <w:t> </w:t>
      </w:r>
      <w:r>
        <w:rPr>
          <w:rFonts w:ascii="黑体" w:hAnsi="黑体" w:cs="黑体" w:eastAsia="黑体" w:hint="default"/>
          <w:color w:val="FF0000"/>
        </w:rPr>
        <w:t>年年度报告</w:t>
      </w:r>
      <w:r>
        <w:rPr>
          <w:rFonts w:ascii="黑体" w:hAnsi="黑体" w:cs="黑体" w:eastAsia="黑体" w:hint="default"/>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
        <w:rPr>
          <w:rFonts w:ascii="黑体" w:hAnsi="黑体" w:cs="黑体" w:eastAsia="黑体" w:hint="default"/>
          <w:b/>
          <w:bCs/>
          <w:sz w:val="14"/>
          <w:szCs w:val="14"/>
        </w:rPr>
      </w:pPr>
    </w:p>
    <w:p>
      <w:pPr>
        <w:spacing w:line="2655" w:lineRule="exact"/>
        <w:ind w:left="1840" w:right="0" w:firstLine="0"/>
        <w:rPr>
          <w:rFonts w:ascii="黑体" w:hAnsi="黑体" w:cs="黑体" w:eastAsia="黑体" w:hint="default"/>
          <w:sz w:val="20"/>
          <w:szCs w:val="20"/>
        </w:rPr>
      </w:pPr>
      <w:r>
        <w:rPr>
          <w:rFonts w:ascii="黑体" w:hAnsi="黑体" w:cs="黑体" w:eastAsia="黑体" w:hint="default"/>
          <w:position w:val="-52"/>
          <w:sz w:val="20"/>
          <w:szCs w:val="20"/>
        </w:rPr>
        <w:drawing>
          <wp:inline distT="0" distB="0" distL="0" distR="0">
            <wp:extent cx="3056453" cy="1685925"/>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056453" cy="1685925"/>
                    </a:xfrm>
                    <a:prstGeom prst="rect">
                      <a:avLst/>
                    </a:prstGeom>
                  </pic:spPr>
                </pic:pic>
              </a:graphicData>
            </a:graphic>
          </wp:inline>
        </w:drawing>
      </w:r>
      <w:r>
        <w:rPr>
          <w:rFonts w:ascii="黑体" w:hAnsi="黑体" w:cs="黑体" w:eastAsia="黑体" w:hint="default"/>
          <w:position w:val="-52"/>
          <w:sz w:val="20"/>
          <w:szCs w:val="20"/>
        </w:rPr>
      </w:r>
    </w:p>
    <w:p>
      <w:pPr>
        <w:spacing w:after="0" w:line="2655" w:lineRule="exact"/>
        <w:rPr>
          <w:rFonts w:ascii="黑体" w:hAnsi="黑体" w:cs="黑体" w:eastAsia="黑体" w:hint="default"/>
          <w:sz w:val="20"/>
          <w:szCs w:val="20"/>
        </w:rPr>
        <w:sectPr>
          <w:type w:val="continuous"/>
          <w:pgSz w:w="11910" w:h="16840"/>
          <w:pgMar w:top="1600" w:bottom="280" w:left="1680" w:right="1680"/>
        </w:sect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6"/>
        <w:rPr>
          <w:rFonts w:ascii="黑体" w:hAnsi="黑体" w:cs="黑体" w:eastAsia="黑体" w:hint="default"/>
          <w:b/>
          <w:bCs/>
          <w:sz w:val="20"/>
          <w:szCs w:val="20"/>
        </w:rPr>
      </w:pPr>
    </w:p>
    <w:p>
      <w:pPr>
        <w:pStyle w:val="Heading2"/>
        <w:spacing w:line="540" w:lineRule="exact"/>
        <w:ind w:left="4335" w:right="4326"/>
        <w:jc w:val="center"/>
        <w:rPr>
          <w:rFonts w:ascii="宋体" w:hAnsi="宋体" w:cs="宋体" w:eastAsia="宋体" w:hint="default"/>
          <w:b w:val="0"/>
          <w:bCs w:val="0"/>
        </w:rPr>
      </w:pPr>
      <w:r>
        <w:rPr>
          <w:rFonts w:ascii="宋体" w:hAnsi="宋体" w:cs="宋体" w:eastAsia="宋体" w:hint="default"/>
        </w:rPr>
        <w:t>目录</w:t>
      </w:r>
      <w:r>
        <w:rPr>
          <w:rFonts w:ascii="宋体" w:hAnsi="宋体" w:cs="宋体" w:eastAsia="宋体" w:hint="default"/>
          <w:b w:val="0"/>
          <w:bCs w:val="0"/>
        </w:rPr>
      </w:r>
    </w:p>
    <w:sdt>
      <w:sdtPr>
        <w:docPartObj>
          <w:docPartGallery w:val="Table of Contents"/>
          <w:docPartUnique/>
        </w:docPartObj>
      </w:sdtPr>
      <w:sdtEndPr/>
      <w:sdtContent>
        <w:p>
          <w:pPr>
            <w:pStyle w:val="TOC1"/>
            <w:tabs>
              <w:tab w:pos="9381" w:val="right" w:leader="dot"/>
            </w:tabs>
            <w:spacing w:line="281" w:lineRule="exact" w:before="537"/>
            <w:ind w:right="0"/>
            <w:jc w:val="left"/>
            <w:rPr>
              <w:rFonts w:ascii="Arial" w:hAnsi="Arial" w:cs="Arial" w:eastAsia="Arial" w:hint="default"/>
            </w:rPr>
          </w:pPr>
          <w:hyperlink w:history="true" w:anchor="_bookmark0">
            <w:r>
              <w:rPr/>
              <w:t>一、重要提示</w:t>
            </w:r>
          </w:hyperlink>
          <w:r>
            <w:rPr>
              <w:rFonts w:ascii="Arial" w:hAnsi="Arial" w:cs="Arial" w:eastAsia="Arial" w:hint="default"/>
            </w:rPr>
            <w:tab/>
          </w:r>
          <w:hyperlink w:history="true" w:anchor="_bookmark0">
            <w:r>
              <w:rPr>
                <w:rFonts w:ascii="Arial" w:hAnsi="Arial" w:cs="Arial" w:eastAsia="Arial" w:hint="default"/>
              </w:rPr>
              <w:t>2</w:t>
            </w:r>
          </w:hyperlink>
        </w:p>
        <w:p>
          <w:pPr>
            <w:pStyle w:val="TOC1"/>
            <w:tabs>
              <w:tab w:pos="9381" w:val="right" w:leader="dot"/>
            </w:tabs>
            <w:spacing w:line="272" w:lineRule="exact"/>
            <w:ind w:right="0"/>
            <w:jc w:val="left"/>
            <w:rPr>
              <w:rFonts w:ascii="Arial" w:hAnsi="Arial" w:cs="Arial" w:eastAsia="Arial" w:hint="default"/>
            </w:rPr>
          </w:pPr>
          <w:hyperlink w:history="true" w:anchor="_bookmark0">
            <w:r>
              <w:rPr/>
              <w:t>二、公司基本情况</w:t>
            </w:r>
          </w:hyperlink>
          <w:r>
            <w:rPr>
              <w:rFonts w:ascii="Arial" w:hAnsi="Arial" w:cs="Arial" w:eastAsia="Arial" w:hint="default"/>
            </w:rPr>
            <w:tab/>
          </w:r>
          <w:hyperlink w:history="true" w:anchor="_bookmark0">
            <w:r>
              <w:rPr>
                <w:rFonts w:ascii="Arial" w:hAnsi="Arial" w:cs="Arial" w:eastAsia="Arial" w:hint="default"/>
              </w:rPr>
              <w:t>2</w:t>
            </w:r>
          </w:hyperlink>
        </w:p>
        <w:p>
          <w:pPr>
            <w:pStyle w:val="TOC1"/>
            <w:tabs>
              <w:tab w:pos="9381" w:val="right" w:leader="dot"/>
            </w:tabs>
            <w:spacing w:line="272" w:lineRule="exact"/>
            <w:ind w:right="0"/>
            <w:jc w:val="left"/>
            <w:rPr>
              <w:rFonts w:ascii="Arial" w:hAnsi="Arial" w:cs="Arial" w:eastAsia="Arial" w:hint="default"/>
            </w:rPr>
          </w:pPr>
          <w:hyperlink w:history="true" w:anchor="_bookmark1">
            <w:r>
              <w:rPr/>
              <w:t>三、会计数据和业务数据摘要</w:t>
            </w:r>
          </w:hyperlink>
          <w:r>
            <w:rPr>
              <w:rFonts w:ascii="Arial" w:hAnsi="Arial" w:cs="Arial" w:eastAsia="Arial" w:hint="default"/>
            </w:rPr>
            <w:tab/>
          </w:r>
          <w:hyperlink w:history="true" w:anchor="_bookmark1">
            <w:r>
              <w:rPr>
                <w:rFonts w:ascii="Arial" w:hAnsi="Arial" w:cs="Arial" w:eastAsia="Arial" w:hint="default"/>
              </w:rPr>
              <w:t>3</w:t>
            </w:r>
          </w:hyperlink>
        </w:p>
        <w:p>
          <w:pPr>
            <w:pStyle w:val="TOC1"/>
            <w:tabs>
              <w:tab w:pos="9381" w:val="right" w:leader="dot"/>
            </w:tabs>
            <w:spacing w:line="272" w:lineRule="exact"/>
            <w:ind w:right="0"/>
            <w:jc w:val="left"/>
            <w:rPr>
              <w:rFonts w:ascii="Arial" w:hAnsi="Arial" w:cs="Arial" w:eastAsia="Arial" w:hint="default"/>
            </w:rPr>
          </w:pPr>
          <w:hyperlink w:history="true" w:anchor="_bookmark2">
            <w:r>
              <w:rPr/>
              <w:t>四、股本变动及股东情况</w:t>
            </w:r>
          </w:hyperlink>
          <w:r>
            <w:rPr>
              <w:rFonts w:ascii="Arial" w:hAnsi="Arial" w:cs="Arial" w:eastAsia="Arial" w:hint="default"/>
            </w:rPr>
            <w:tab/>
          </w:r>
          <w:hyperlink w:history="true" w:anchor="_bookmark2">
            <w:r>
              <w:rPr>
                <w:rFonts w:ascii="Arial" w:hAnsi="Arial" w:cs="Arial" w:eastAsia="Arial" w:hint="default"/>
              </w:rPr>
              <w:t>6</w:t>
            </w:r>
          </w:hyperlink>
        </w:p>
        <w:p>
          <w:pPr>
            <w:pStyle w:val="TOC1"/>
            <w:tabs>
              <w:tab w:pos="9381" w:val="right" w:leader="dot"/>
            </w:tabs>
            <w:spacing w:line="272" w:lineRule="exact"/>
            <w:ind w:right="0"/>
            <w:jc w:val="left"/>
            <w:rPr>
              <w:rFonts w:ascii="Arial" w:hAnsi="Arial" w:cs="Arial" w:eastAsia="Arial" w:hint="default"/>
            </w:rPr>
          </w:pPr>
          <w:hyperlink w:history="true" w:anchor="_bookmark3">
            <w:r>
              <w:rPr/>
              <w:t>五、董事、监事和高级管理人员</w:t>
            </w:r>
          </w:hyperlink>
          <w:r>
            <w:rPr>
              <w:rFonts w:ascii="Arial" w:hAnsi="Arial" w:cs="Arial" w:eastAsia="Arial" w:hint="default"/>
            </w:rPr>
            <w:tab/>
          </w:r>
          <w:hyperlink w:history="true" w:anchor="_bookmark3">
            <w:r>
              <w:rPr>
                <w:rFonts w:ascii="Arial" w:hAnsi="Arial" w:cs="Arial" w:eastAsia="Arial" w:hint="default"/>
              </w:rPr>
              <w:t>10</w:t>
            </w:r>
          </w:hyperlink>
        </w:p>
        <w:p>
          <w:pPr>
            <w:pStyle w:val="TOC1"/>
            <w:tabs>
              <w:tab w:pos="9381" w:val="right" w:leader="dot"/>
            </w:tabs>
            <w:spacing w:line="272" w:lineRule="exact"/>
            <w:ind w:right="0"/>
            <w:jc w:val="left"/>
            <w:rPr>
              <w:rFonts w:ascii="Arial" w:hAnsi="Arial" w:cs="Arial" w:eastAsia="Arial" w:hint="default"/>
            </w:rPr>
          </w:pPr>
          <w:hyperlink w:history="true" w:anchor="_bookmark4">
            <w:r>
              <w:rPr/>
              <w:t>六、公司治理结构</w:t>
            </w:r>
          </w:hyperlink>
          <w:r>
            <w:rPr>
              <w:rFonts w:ascii="Arial" w:hAnsi="Arial" w:cs="Arial" w:eastAsia="Arial" w:hint="default"/>
            </w:rPr>
            <w:tab/>
          </w:r>
          <w:hyperlink w:history="true" w:anchor="_bookmark4">
            <w:r>
              <w:rPr>
                <w:rFonts w:ascii="Arial" w:hAnsi="Arial" w:cs="Arial" w:eastAsia="Arial" w:hint="default"/>
              </w:rPr>
              <w:t>17</w:t>
            </w:r>
          </w:hyperlink>
        </w:p>
        <w:p>
          <w:pPr>
            <w:pStyle w:val="TOC1"/>
            <w:tabs>
              <w:tab w:pos="9381" w:val="right" w:leader="dot"/>
            </w:tabs>
            <w:spacing w:line="272" w:lineRule="exact"/>
            <w:ind w:right="0"/>
            <w:jc w:val="left"/>
            <w:rPr>
              <w:rFonts w:ascii="Arial" w:hAnsi="Arial" w:cs="Arial" w:eastAsia="Arial" w:hint="default"/>
            </w:rPr>
          </w:pPr>
          <w:hyperlink w:history="true" w:anchor="_bookmark5">
            <w:r>
              <w:rPr/>
              <w:t>七、股东大会情况简介</w:t>
            </w:r>
          </w:hyperlink>
          <w:r>
            <w:rPr>
              <w:rFonts w:ascii="Arial" w:hAnsi="Arial" w:cs="Arial" w:eastAsia="Arial" w:hint="default"/>
            </w:rPr>
            <w:tab/>
          </w:r>
          <w:hyperlink w:history="true" w:anchor="_bookmark5">
            <w:r>
              <w:rPr>
                <w:rFonts w:ascii="Arial" w:hAnsi="Arial" w:cs="Arial" w:eastAsia="Arial" w:hint="default"/>
              </w:rPr>
              <w:t>22</w:t>
            </w:r>
          </w:hyperlink>
        </w:p>
        <w:p>
          <w:pPr>
            <w:pStyle w:val="TOC1"/>
            <w:tabs>
              <w:tab w:pos="9381" w:val="right" w:leader="dot"/>
            </w:tabs>
            <w:spacing w:line="272" w:lineRule="exact"/>
            <w:ind w:right="0"/>
            <w:jc w:val="left"/>
            <w:rPr>
              <w:rFonts w:ascii="Arial" w:hAnsi="Arial" w:cs="Arial" w:eastAsia="Arial" w:hint="default"/>
            </w:rPr>
          </w:pPr>
          <w:hyperlink w:history="true" w:anchor="_bookmark6">
            <w:r>
              <w:rPr/>
              <w:t>八、董事会报告</w:t>
            </w:r>
          </w:hyperlink>
          <w:r>
            <w:rPr>
              <w:rFonts w:ascii="Arial" w:hAnsi="Arial" w:cs="Arial" w:eastAsia="Arial" w:hint="default"/>
            </w:rPr>
            <w:tab/>
          </w:r>
          <w:hyperlink w:history="true" w:anchor="_bookmark6">
            <w:r>
              <w:rPr>
                <w:rFonts w:ascii="Arial" w:hAnsi="Arial" w:cs="Arial" w:eastAsia="Arial" w:hint="default"/>
              </w:rPr>
              <w:t>24</w:t>
            </w:r>
          </w:hyperlink>
        </w:p>
        <w:p>
          <w:pPr>
            <w:pStyle w:val="TOC1"/>
            <w:tabs>
              <w:tab w:pos="9381" w:val="right" w:leader="dot"/>
            </w:tabs>
            <w:spacing w:line="272" w:lineRule="exact"/>
            <w:ind w:right="0"/>
            <w:jc w:val="left"/>
            <w:rPr>
              <w:rFonts w:ascii="Arial" w:hAnsi="Arial" w:cs="Arial" w:eastAsia="Arial" w:hint="default"/>
            </w:rPr>
          </w:pPr>
          <w:hyperlink w:history="true" w:anchor="_bookmark7">
            <w:r>
              <w:rPr/>
              <w:t>九、监事会报告</w:t>
            </w:r>
          </w:hyperlink>
          <w:r>
            <w:rPr>
              <w:rFonts w:ascii="Arial" w:hAnsi="Arial" w:cs="Arial" w:eastAsia="Arial" w:hint="default"/>
            </w:rPr>
            <w:tab/>
          </w:r>
          <w:hyperlink w:history="true" w:anchor="_bookmark7">
            <w:r>
              <w:rPr>
                <w:rFonts w:ascii="Arial" w:hAnsi="Arial" w:cs="Arial" w:eastAsia="Arial" w:hint="default"/>
              </w:rPr>
              <w:t>40</w:t>
            </w:r>
          </w:hyperlink>
        </w:p>
        <w:p>
          <w:pPr>
            <w:pStyle w:val="TOC1"/>
            <w:tabs>
              <w:tab w:pos="9381" w:val="right" w:leader="dot"/>
            </w:tabs>
            <w:spacing w:line="272" w:lineRule="exact"/>
            <w:ind w:right="0"/>
            <w:jc w:val="left"/>
            <w:rPr>
              <w:rFonts w:ascii="Arial" w:hAnsi="Arial" w:cs="Arial" w:eastAsia="Arial" w:hint="default"/>
            </w:rPr>
          </w:pPr>
          <w:hyperlink w:history="true" w:anchor="_bookmark7">
            <w:r>
              <w:rPr/>
              <w:t>十、重要事项</w:t>
            </w:r>
          </w:hyperlink>
          <w:r>
            <w:rPr>
              <w:rFonts w:ascii="Arial" w:hAnsi="Arial" w:cs="Arial" w:eastAsia="Arial" w:hint="default"/>
            </w:rPr>
            <w:tab/>
          </w:r>
          <w:hyperlink w:history="true" w:anchor="_bookmark7">
            <w:r>
              <w:rPr>
                <w:rFonts w:ascii="Arial" w:hAnsi="Arial" w:cs="Arial" w:eastAsia="Arial" w:hint="default"/>
              </w:rPr>
              <w:t>40</w:t>
            </w:r>
          </w:hyperlink>
        </w:p>
        <w:p>
          <w:pPr>
            <w:pStyle w:val="TOC1"/>
            <w:tabs>
              <w:tab w:pos="9378" w:val="right" w:leader="dot"/>
            </w:tabs>
            <w:spacing w:line="273" w:lineRule="exact"/>
            <w:ind w:right="0"/>
            <w:jc w:val="left"/>
            <w:rPr>
              <w:rFonts w:ascii="Arial" w:hAnsi="Arial" w:cs="Arial" w:eastAsia="Arial" w:hint="default"/>
            </w:rPr>
          </w:pPr>
          <w:hyperlink w:history="true" w:anchor="_TOC_250000">
            <w:r>
              <w:rPr/>
              <w:t>十一、财务报告</w:t>
            </w:r>
            <w:r>
              <w:rPr>
                <w:rFonts w:ascii="Arial" w:hAnsi="Arial" w:cs="Arial" w:eastAsia="Arial" w:hint="default"/>
              </w:rPr>
              <w:tab/>
              <w:t>46</w:t>
            </w:r>
          </w:hyperlink>
        </w:p>
        <w:p>
          <w:pPr>
            <w:pStyle w:val="TOC1"/>
            <w:tabs>
              <w:tab w:pos="9380" w:val="right" w:leader="dot"/>
            </w:tabs>
            <w:spacing w:line="281" w:lineRule="exact"/>
            <w:ind w:right="0"/>
            <w:jc w:val="left"/>
            <w:rPr>
              <w:rFonts w:ascii="Arial" w:hAnsi="Arial" w:cs="Arial" w:eastAsia="Arial" w:hint="default"/>
            </w:rPr>
          </w:pPr>
          <w:hyperlink w:history="true" w:anchor="_bookmark8">
            <w:r>
              <w:rPr/>
              <w:t>十二、备查文件目录</w:t>
            </w:r>
          </w:hyperlink>
          <w:r>
            <w:rPr>
              <w:rFonts w:ascii="Arial" w:hAnsi="Arial" w:cs="Arial" w:eastAsia="Arial" w:hint="default"/>
            </w:rPr>
            <w:tab/>
            <w:t>172</w:t>
          </w:r>
        </w:p>
      </w:sdtContent>
    </w:sdt>
    <w:p>
      <w:pPr>
        <w:spacing w:after="0" w:line="281" w:lineRule="exact"/>
        <w:jc w:val="left"/>
        <w:rPr>
          <w:rFonts w:ascii="Arial" w:hAnsi="Arial" w:cs="Arial" w:eastAsia="Arial" w:hint="default"/>
        </w:rPr>
        <w:sectPr>
          <w:headerReference w:type="default" r:id="rId6"/>
          <w:pgSz w:w="11910" w:h="16840"/>
          <w:pgMar w:header="587" w:footer="0" w:top="960" w:bottom="280" w:left="1180" w:right="1140"/>
        </w:sectPr>
      </w:pPr>
    </w:p>
    <w:p>
      <w:pPr>
        <w:pStyle w:val="Heading8"/>
        <w:spacing w:line="240" w:lineRule="auto" w:before="194"/>
        <w:ind w:left="249" w:right="138"/>
        <w:jc w:val="left"/>
        <w:rPr>
          <w:b w:val="0"/>
          <w:bCs w:val="0"/>
        </w:rPr>
      </w:pPr>
      <w:bookmarkStart w:name="_bookmark0" w:id="2"/>
      <w:bookmarkEnd w:id="2"/>
      <w:r>
        <w:rPr>
          <w:b w:val="0"/>
          <w:bCs w:val="0"/>
        </w:rPr>
      </w:r>
      <w:r>
        <w:rPr/>
        <w:t>一、</w:t>
      </w:r>
      <w:r>
        <w:rPr>
          <w:spacing w:val="-36"/>
        </w:rPr>
        <w:t> </w:t>
      </w:r>
      <w:r>
        <w:rPr/>
        <w:t>重要提示</w:t>
      </w:r>
      <w:r>
        <w:rPr>
          <w:b w:val="0"/>
          <w:bCs w:val="0"/>
        </w:rPr>
      </w:r>
    </w:p>
    <w:p>
      <w:pPr>
        <w:spacing w:line="240" w:lineRule="auto" w:before="8"/>
        <w:rPr>
          <w:rFonts w:ascii="宋体" w:hAnsi="宋体" w:cs="宋体" w:eastAsia="宋体" w:hint="default"/>
          <w:b/>
          <w:bCs/>
          <w:sz w:val="18"/>
          <w:szCs w:val="18"/>
        </w:rPr>
      </w:pPr>
    </w:p>
    <w:p>
      <w:pPr>
        <w:pStyle w:val="BodyText"/>
        <w:spacing w:line="237" w:lineRule="auto"/>
        <w:ind w:left="768" w:right="138" w:hanging="659"/>
        <w:jc w:val="both"/>
      </w:pPr>
      <w:r>
        <w:rPr>
          <w:spacing w:val="-1"/>
        </w:rPr>
        <w:t>（一）本公司董事会、监事会及其董事、监事、高级管理人员保证本报告所载资料不存在任何虚假</w:t>
      </w:r>
      <w:r>
        <w:rPr>
          <w:spacing w:val="-97"/>
        </w:rPr>
        <w:t> </w:t>
      </w:r>
      <w:r>
        <w:rPr>
          <w:spacing w:val="-97"/>
        </w:rPr>
      </w:r>
      <w:r>
        <w:rPr>
          <w:spacing w:val="-1"/>
        </w:rPr>
        <w:t>记载、误导性陈述或者重大遗漏，并对其内容的真实性、准确性和完整性承担个别及连带责</w:t>
      </w:r>
      <w:r>
        <w:rPr>
          <w:w w:val="99"/>
        </w:rPr>
        <w:t> </w:t>
      </w:r>
      <w:r>
        <w:rPr/>
        <w:t>任。</w:t>
      </w:r>
    </w:p>
    <w:p>
      <w:pPr>
        <w:pStyle w:val="BodyText"/>
        <w:spacing w:line="240" w:lineRule="auto" w:before="181"/>
        <w:ind w:left="109" w:right="138"/>
        <w:jc w:val="left"/>
      </w:pPr>
      <w:r>
        <w:rPr/>
        <w:t>（二）公司全体董事出席董事会会议。</w:t>
      </w:r>
    </w:p>
    <w:p>
      <w:pPr>
        <w:pStyle w:val="BodyText"/>
        <w:spacing w:line="240" w:lineRule="auto" w:before="182"/>
        <w:ind w:left="109" w:right="138"/>
        <w:jc w:val="left"/>
      </w:pPr>
      <w:r>
        <w:rPr/>
        <w:t>（三）普华永道中天会计师事务所有限公司为本公司出具了标准无保留意见的审计报告。</w:t>
      </w:r>
    </w:p>
    <w:p>
      <w:pPr>
        <w:spacing w:line="240" w:lineRule="auto" w:before="2"/>
        <w:rPr>
          <w:rFonts w:ascii="宋体" w:hAnsi="宋体" w:cs="宋体" w:eastAsia="宋体" w:hint="default"/>
          <w:sz w:val="16"/>
          <w:szCs w:val="16"/>
        </w:rPr>
      </w:pPr>
    </w:p>
    <w:p>
      <w:pPr>
        <w:pStyle w:val="BodyText"/>
        <w:spacing w:line="284" w:lineRule="exact"/>
        <w:ind w:left="768" w:right="138" w:hanging="659"/>
        <w:jc w:val="left"/>
      </w:pPr>
      <w:r>
        <w:rPr>
          <w:spacing w:val="-1"/>
        </w:rPr>
        <w:t>（四）公司负责人常小兵、主管会计工作负责人张健及会计机构负责人（会计主管人员）赵玉军声</w:t>
      </w:r>
      <w:r>
        <w:rPr>
          <w:spacing w:val="-97"/>
        </w:rPr>
        <w:t> </w:t>
      </w:r>
      <w:r>
        <w:rPr>
          <w:spacing w:val="-97"/>
        </w:rPr>
      </w:r>
      <w:r>
        <w:rPr/>
        <w:t>明：</w:t>
      </w:r>
      <w:r>
        <w:rPr>
          <w:spacing w:val="-3"/>
        </w:rPr>
        <w:t> </w:t>
      </w:r>
      <w:r>
        <w:rPr/>
        <w:t>保证年度报告中财务报告的真实、完整。</w:t>
      </w:r>
    </w:p>
    <w:p>
      <w:pPr>
        <w:pStyle w:val="BodyText"/>
        <w:spacing w:line="286" w:lineRule="exact" w:before="183"/>
        <w:ind w:left="781" w:right="3396" w:hanging="673"/>
        <w:jc w:val="left"/>
      </w:pPr>
      <w:r>
        <w:rPr/>
        <w:t>（五）是否存在被控股股东及其关联方非经营性占用资金情况？</w:t>
      </w:r>
      <w:r>
        <w:rPr>
          <w:w w:val="99"/>
        </w:rPr>
        <w:t> </w:t>
      </w:r>
      <w:r>
        <w:rPr/>
        <w:t>否</w:t>
      </w:r>
    </w:p>
    <w:p>
      <w:pPr>
        <w:pStyle w:val="BodyText"/>
        <w:spacing w:line="286" w:lineRule="exact" w:before="183"/>
        <w:ind w:left="767" w:right="4056" w:hanging="659"/>
        <w:jc w:val="left"/>
      </w:pPr>
      <w:r>
        <w:rPr/>
        <w:t>（六）是否存在违反规定决策程序对外提供担保的情况？</w:t>
      </w:r>
      <w:r>
        <w:rPr>
          <w:w w:val="99"/>
        </w:rPr>
        <w:t> </w:t>
      </w:r>
      <w:r>
        <w:rPr/>
        <w:t>否</w:t>
      </w:r>
    </w:p>
    <w:p>
      <w:pPr>
        <w:pStyle w:val="Heading8"/>
        <w:spacing w:line="240" w:lineRule="auto" w:before="155"/>
        <w:ind w:left="249" w:right="138"/>
        <w:jc w:val="left"/>
        <w:rPr>
          <w:b w:val="0"/>
          <w:bCs w:val="0"/>
        </w:rPr>
      </w:pPr>
      <w:r>
        <w:rPr/>
        <w:t>二、</w:t>
      </w:r>
      <w:r>
        <w:rPr>
          <w:spacing w:val="-37"/>
        </w:rPr>
        <w:t> </w:t>
      </w:r>
      <w:r>
        <w:rPr/>
        <w:t>公司基本情况</w:t>
      </w:r>
      <w:r>
        <w:rPr>
          <w:b w:val="0"/>
          <w:bCs w:val="0"/>
        </w:rPr>
      </w:r>
    </w:p>
    <w:p>
      <w:pPr>
        <w:spacing w:line="240" w:lineRule="auto" w:before="8"/>
        <w:rPr>
          <w:rFonts w:ascii="宋体" w:hAnsi="宋体" w:cs="宋体" w:eastAsia="宋体" w:hint="default"/>
          <w:b/>
          <w:bCs/>
          <w:sz w:val="16"/>
          <w:szCs w:val="16"/>
        </w:rPr>
      </w:pPr>
    </w:p>
    <w:tbl>
      <w:tblPr>
        <w:tblW w:w="0" w:type="auto"/>
        <w:jc w:val="left"/>
        <w:tblInd w:w="233" w:type="dxa"/>
        <w:tblLayout w:type="fixed"/>
        <w:tblCellMar>
          <w:top w:w="0" w:type="dxa"/>
          <w:left w:w="0" w:type="dxa"/>
          <w:bottom w:w="0" w:type="dxa"/>
          <w:right w:w="0" w:type="dxa"/>
        </w:tblCellMar>
        <w:tblLook w:val="01E0"/>
      </w:tblPr>
      <w:tblGrid>
        <w:gridCol w:w="1391"/>
        <w:gridCol w:w="1931"/>
        <w:gridCol w:w="1330"/>
        <w:gridCol w:w="274"/>
        <w:gridCol w:w="1674"/>
        <w:gridCol w:w="2702"/>
      </w:tblGrid>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公司法定中文名称</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中国联合网络通信股份有限公司</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公司法定中文名称缩写</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中国联通</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公司法定英文名称</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100" w:right="0"/>
              <w:jc w:val="left"/>
              <w:rPr>
                <w:rFonts w:ascii="Arial" w:hAnsi="Arial" w:cs="Arial" w:eastAsia="Arial" w:hint="default"/>
                <w:sz w:val="19"/>
                <w:szCs w:val="19"/>
              </w:rPr>
            </w:pPr>
            <w:r>
              <w:rPr>
                <w:rFonts w:ascii="Arial"/>
                <w:sz w:val="19"/>
              </w:rPr>
              <w:t>China United Network Communications</w:t>
            </w:r>
            <w:r>
              <w:rPr>
                <w:rFonts w:ascii="Arial"/>
                <w:spacing w:val="-8"/>
                <w:sz w:val="19"/>
              </w:rPr>
              <w:t> </w:t>
            </w:r>
            <w:r>
              <w:rPr>
                <w:rFonts w:ascii="Arial"/>
                <w:sz w:val="19"/>
              </w:rPr>
              <w:t>Limited</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公司法定英文名称缩写</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100" w:right="0"/>
              <w:jc w:val="left"/>
              <w:rPr>
                <w:rFonts w:ascii="Arial" w:hAnsi="Arial" w:cs="Arial" w:eastAsia="Arial" w:hint="default"/>
                <w:sz w:val="19"/>
                <w:szCs w:val="19"/>
              </w:rPr>
            </w:pPr>
            <w:r>
              <w:rPr>
                <w:rFonts w:ascii="Arial"/>
                <w:sz w:val="19"/>
              </w:rPr>
              <w:t>China</w:t>
            </w:r>
            <w:r>
              <w:rPr>
                <w:rFonts w:ascii="Arial"/>
                <w:spacing w:val="-3"/>
                <w:sz w:val="19"/>
              </w:rPr>
              <w:t> </w:t>
            </w:r>
            <w:r>
              <w:rPr>
                <w:rFonts w:ascii="Arial"/>
                <w:sz w:val="19"/>
              </w:rPr>
              <w:t>unicom</w:t>
            </w:r>
          </w:p>
        </w:tc>
      </w:tr>
      <w:tr>
        <w:trPr>
          <w:trHeight w:val="260"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公司法定代表人</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常小兵</w:t>
            </w:r>
          </w:p>
        </w:tc>
      </w:tr>
      <w:tr>
        <w:trPr>
          <w:trHeight w:val="262" w:hRule="exact"/>
        </w:trPr>
        <w:tc>
          <w:tcPr>
            <w:tcW w:w="9301" w:type="dxa"/>
            <w:gridSpan w:val="6"/>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1"/>
              <w:jc w:val="center"/>
              <w:rPr>
                <w:rFonts w:ascii="宋体" w:hAnsi="宋体" w:cs="宋体" w:eastAsia="宋体" w:hint="default"/>
                <w:sz w:val="19"/>
                <w:szCs w:val="19"/>
              </w:rPr>
            </w:pPr>
            <w:r>
              <w:rPr>
                <w:rFonts w:ascii="宋体" w:hAnsi="宋体" w:cs="宋体" w:eastAsia="宋体" w:hint="default"/>
                <w:sz w:val="19"/>
                <w:szCs w:val="19"/>
              </w:rPr>
              <w:t>公司董事长情况</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董事长姓名</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常小兵</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董事长联系地址</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32" w:lineRule="exact"/>
              <w:ind w:left="100" w:right="0"/>
              <w:jc w:val="left"/>
              <w:rPr>
                <w:rFonts w:ascii="宋体" w:hAnsi="宋体" w:cs="宋体" w:eastAsia="宋体" w:hint="default"/>
                <w:sz w:val="19"/>
                <w:szCs w:val="19"/>
              </w:rPr>
            </w:pPr>
            <w:r>
              <w:rPr>
                <w:rFonts w:ascii="宋体" w:hAnsi="宋体" w:cs="宋体" w:eastAsia="宋体" w:hint="default"/>
                <w:sz w:val="19"/>
                <w:szCs w:val="19"/>
              </w:rPr>
              <w:t>上海市长宁区长宁路</w:t>
            </w:r>
            <w:r>
              <w:rPr>
                <w:rFonts w:ascii="宋体" w:hAnsi="宋体" w:cs="宋体" w:eastAsia="宋体" w:hint="default"/>
                <w:spacing w:val="-48"/>
                <w:sz w:val="19"/>
                <w:szCs w:val="19"/>
              </w:rPr>
              <w:t> </w:t>
            </w:r>
            <w:r>
              <w:rPr>
                <w:rFonts w:ascii="Arial" w:hAnsi="Arial" w:cs="Arial" w:eastAsia="Arial" w:hint="default"/>
                <w:sz w:val="19"/>
                <w:szCs w:val="19"/>
              </w:rPr>
              <w:t>1033</w:t>
            </w:r>
            <w:r>
              <w:rPr>
                <w:rFonts w:ascii="Arial" w:hAnsi="Arial" w:cs="Arial" w:eastAsia="Arial" w:hint="default"/>
                <w:spacing w:val="-6"/>
                <w:sz w:val="19"/>
                <w:szCs w:val="19"/>
              </w:rPr>
              <w:t> </w:t>
            </w:r>
            <w:r>
              <w:rPr>
                <w:rFonts w:ascii="宋体" w:hAnsi="宋体" w:cs="宋体" w:eastAsia="宋体" w:hint="default"/>
                <w:sz w:val="19"/>
                <w:szCs w:val="19"/>
              </w:rPr>
              <w:t>号</w:t>
            </w:r>
            <w:r>
              <w:rPr>
                <w:rFonts w:ascii="宋体" w:hAnsi="宋体" w:cs="宋体" w:eastAsia="宋体" w:hint="default"/>
                <w:spacing w:val="-49"/>
                <w:sz w:val="19"/>
                <w:szCs w:val="19"/>
              </w:rPr>
              <w:t> </w:t>
            </w:r>
            <w:r>
              <w:rPr>
                <w:rFonts w:ascii="Arial" w:hAnsi="Arial" w:cs="Arial" w:eastAsia="Arial" w:hint="default"/>
                <w:sz w:val="19"/>
                <w:szCs w:val="19"/>
              </w:rPr>
              <w:t>29</w:t>
            </w:r>
            <w:r>
              <w:rPr>
                <w:rFonts w:ascii="Arial" w:hAnsi="Arial" w:cs="Arial" w:eastAsia="Arial" w:hint="default"/>
                <w:spacing w:val="-6"/>
                <w:sz w:val="19"/>
                <w:szCs w:val="19"/>
              </w:rPr>
              <w:t> </w:t>
            </w:r>
            <w:r>
              <w:rPr>
                <w:rFonts w:ascii="宋体" w:hAnsi="宋体" w:cs="宋体" w:eastAsia="宋体" w:hint="default"/>
                <w:sz w:val="19"/>
                <w:szCs w:val="19"/>
              </w:rPr>
              <w:t>楼</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董事长联系电话</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100" w:right="0"/>
              <w:jc w:val="left"/>
              <w:rPr>
                <w:rFonts w:ascii="Arial" w:hAnsi="Arial" w:cs="Arial" w:eastAsia="Arial" w:hint="default"/>
                <w:sz w:val="19"/>
                <w:szCs w:val="19"/>
              </w:rPr>
            </w:pPr>
            <w:r>
              <w:rPr>
                <w:rFonts w:ascii="Arial"/>
                <w:sz w:val="19"/>
              </w:rPr>
              <w:t>021-52732228</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董事会秘书传真</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100" w:right="0"/>
              <w:jc w:val="left"/>
              <w:rPr>
                <w:rFonts w:ascii="Arial" w:hAnsi="Arial" w:cs="Arial" w:eastAsia="Arial" w:hint="default"/>
                <w:sz w:val="19"/>
                <w:szCs w:val="19"/>
              </w:rPr>
            </w:pPr>
            <w:r>
              <w:rPr>
                <w:rFonts w:ascii="Arial"/>
                <w:sz w:val="19"/>
              </w:rPr>
              <w:t>021-52732220</w:t>
            </w:r>
          </w:p>
        </w:tc>
      </w:tr>
      <w:tr>
        <w:trPr>
          <w:trHeight w:val="260" w:hRule="exact"/>
        </w:trPr>
        <w:tc>
          <w:tcPr>
            <w:tcW w:w="9301" w:type="dxa"/>
            <w:gridSpan w:val="6"/>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 w:right="1"/>
              <w:jc w:val="center"/>
              <w:rPr>
                <w:rFonts w:ascii="宋体" w:hAnsi="宋体" w:cs="宋体" w:eastAsia="宋体" w:hint="default"/>
                <w:sz w:val="19"/>
                <w:szCs w:val="19"/>
              </w:rPr>
            </w:pPr>
            <w:r>
              <w:rPr>
                <w:rFonts w:ascii="宋体" w:hAnsi="宋体" w:cs="宋体" w:eastAsia="宋体" w:hint="default"/>
                <w:sz w:val="19"/>
                <w:szCs w:val="19"/>
              </w:rPr>
              <w:t>公司董事会秘书情况</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董事会秘书姓名</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张保英</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董事会秘书联系地址</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32" w:lineRule="exact"/>
              <w:ind w:left="100" w:right="0"/>
              <w:jc w:val="left"/>
              <w:rPr>
                <w:rFonts w:ascii="宋体" w:hAnsi="宋体" w:cs="宋体" w:eastAsia="宋体" w:hint="default"/>
                <w:sz w:val="19"/>
                <w:szCs w:val="19"/>
              </w:rPr>
            </w:pPr>
            <w:r>
              <w:rPr>
                <w:rFonts w:ascii="宋体" w:hAnsi="宋体" w:cs="宋体" w:eastAsia="宋体" w:hint="default"/>
                <w:sz w:val="19"/>
                <w:szCs w:val="19"/>
              </w:rPr>
              <w:t>上海市长宁区长宁路</w:t>
            </w:r>
            <w:r>
              <w:rPr>
                <w:rFonts w:ascii="宋体" w:hAnsi="宋体" w:cs="宋体" w:eastAsia="宋体" w:hint="default"/>
                <w:spacing w:val="-48"/>
                <w:sz w:val="19"/>
                <w:szCs w:val="19"/>
              </w:rPr>
              <w:t> </w:t>
            </w:r>
            <w:r>
              <w:rPr>
                <w:rFonts w:ascii="Arial" w:hAnsi="Arial" w:cs="Arial" w:eastAsia="Arial" w:hint="default"/>
                <w:sz w:val="19"/>
                <w:szCs w:val="19"/>
              </w:rPr>
              <w:t>1033</w:t>
            </w:r>
            <w:r>
              <w:rPr>
                <w:rFonts w:ascii="Arial" w:hAnsi="Arial" w:cs="Arial" w:eastAsia="Arial" w:hint="default"/>
                <w:spacing w:val="-6"/>
                <w:sz w:val="19"/>
                <w:szCs w:val="19"/>
              </w:rPr>
              <w:t> </w:t>
            </w:r>
            <w:r>
              <w:rPr>
                <w:rFonts w:ascii="宋体" w:hAnsi="宋体" w:cs="宋体" w:eastAsia="宋体" w:hint="default"/>
                <w:sz w:val="19"/>
                <w:szCs w:val="19"/>
              </w:rPr>
              <w:t>号</w:t>
            </w:r>
            <w:r>
              <w:rPr>
                <w:rFonts w:ascii="宋体" w:hAnsi="宋体" w:cs="宋体" w:eastAsia="宋体" w:hint="default"/>
                <w:spacing w:val="-49"/>
                <w:sz w:val="19"/>
                <w:szCs w:val="19"/>
              </w:rPr>
              <w:t> </w:t>
            </w:r>
            <w:r>
              <w:rPr>
                <w:rFonts w:ascii="Arial" w:hAnsi="Arial" w:cs="Arial" w:eastAsia="Arial" w:hint="default"/>
                <w:sz w:val="19"/>
                <w:szCs w:val="19"/>
              </w:rPr>
              <w:t>29</w:t>
            </w:r>
            <w:r>
              <w:rPr>
                <w:rFonts w:ascii="Arial" w:hAnsi="Arial" w:cs="Arial" w:eastAsia="Arial" w:hint="default"/>
                <w:spacing w:val="-6"/>
                <w:sz w:val="19"/>
                <w:szCs w:val="19"/>
              </w:rPr>
              <w:t> </w:t>
            </w:r>
            <w:r>
              <w:rPr>
                <w:rFonts w:ascii="宋体" w:hAnsi="宋体" w:cs="宋体" w:eastAsia="宋体" w:hint="default"/>
                <w:sz w:val="19"/>
                <w:szCs w:val="19"/>
              </w:rPr>
              <w:t>楼</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董事会秘书电话</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100" w:right="0"/>
              <w:jc w:val="left"/>
              <w:rPr>
                <w:rFonts w:ascii="Arial" w:hAnsi="Arial" w:cs="Arial" w:eastAsia="Arial" w:hint="default"/>
                <w:sz w:val="19"/>
                <w:szCs w:val="19"/>
              </w:rPr>
            </w:pPr>
            <w:r>
              <w:rPr>
                <w:rFonts w:ascii="Arial"/>
                <w:sz w:val="19"/>
              </w:rPr>
              <w:t>021-52732228</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董事会秘书传真</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100" w:right="0"/>
              <w:jc w:val="left"/>
              <w:rPr>
                <w:rFonts w:ascii="Arial" w:hAnsi="Arial" w:cs="Arial" w:eastAsia="Arial" w:hint="default"/>
                <w:sz w:val="19"/>
                <w:szCs w:val="19"/>
              </w:rPr>
            </w:pPr>
            <w:r>
              <w:rPr>
                <w:rFonts w:ascii="Arial"/>
                <w:sz w:val="19"/>
              </w:rPr>
              <w:t>021-52732220</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董事会秘书电子信箱</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100" w:right="0"/>
              <w:jc w:val="left"/>
              <w:rPr>
                <w:rFonts w:ascii="Arial" w:hAnsi="Arial" w:cs="Arial" w:eastAsia="Arial" w:hint="default"/>
                <w:sz w:val="19"/>
                <w:szCs w:val="19"/>
              </w:rPr>
            </w:pPr>
            <w:hyperlink r:id="rId8">
              <w:r>
                <w:rPr>
                  <w:rFonts w:ascii="Arial"/>
                  <w:sz w:val="19"/>
                </w:rPr>
                <w:t>zhangby@chinaunicom-a.com</w:t>
              </w:r>
            </w:hyperlink>
          </w:p>
        </w:tc>
      </w:tr>
      <w:tr>
        <w:trPr>
          <w:trHeight w:val="260" w:hRule="exact"/>
        </w:trPr>
        <w:tc>
          <w:tcPr>
            <w:tcW w:w="9301" w:type="dxa"/>
            <w:gridSpan w:val="6"/>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 w:right="1"/>
              <w:jc w:val="center"/>
              <w:rPr>
                <w:rFonts w:ascii="宋体" w:hAnsi="宋体" w:cs="宋体" w:eastAsia="宋体" w:hint="default"/>
                <w:sz w:val="19"/>
                <w:szCs w:val="19"/>
              </w:rPr>
            </w:pPr>
            <w:r>
              <w:rPr>
                <w:rFonts w:ascii="宋体" w:hAnsi="宋体" w:cs="宋体" w:eastAsia="宋体" w:hint="default"/>
                <w:sz w:val="19"/>
                <w:szCs w:val="19"/>
              </w:rPr>
              <w:t>公司证券事务代表情况</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证券事务代表姓名</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杨九英</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证券事务代表联系地址</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32" w:lineRule="exact"/>
              <w:ind w:left="100" w:right="0"/>
              <w:jc w:val="left"/>
              <w:rPr>
                <w:rFonts w:ascii="宋体" w:hAnsi="宋体" w:cs="宋体" w:eastAsia="宋体" w:hint="default"/>
                <w:sz w:val="19"/>
                <w:szCs w:val="19"/>
              </w:rPr>
            </w:pPr>
            <w:r>
              <w:rPr>
                <w:rFonts w:ascii="宋体" w:hAnsi="宋体" w:cs="宋体" w:eastAsia="宋体" w:hint="default"/>
                <w:sz w:val="19"/>
                <w:szCs w:val="19"/>
              </w:rPr>
              <w:t>上海市长宁区长宁路</w:t>
            </w:r>
            <w:r>
              <w:rPr>
                <w:rFonts w:ascii="宋体" w:hAnsi="宋体" w:cs="宋体" w:eastAsia="宋体" w:hint="default"/>
                <w:spacing w:val="-48"/>
                <w:sz w:val="19"/>
                <w:szCs w:val="19"/>
              </w:rPr>
              <w:t> </w:t>
            </w:r>
            <w:r>
              <w:rPr>
                <w:rFonts w:ascii="Arial" w:hAnsi="Arial" w:cs="Arial" w:eastAsia="Arial" w:hint="default"/>
                <w:sz w:val="19"/>
                <w:szCs w:val="19"/>
              </w:rPr>
              <w:t>1033</w:t>
            </w:r>
            <w:r>
              <w:rPr>
                <w:rFonts w:ascii="Arial" w:hAnsi="Arial" w:cs="Arial" w:eastAsia="Arial" w:hint="default"/>
                <w:spacing w:val="-6"/>
                <w:sz w:val="19"/>
                <w:szCs w:val="19"/>
              </w:rPr>
              <w:t> </w:t>
            </w:r>
            <w:r>
              <w:rPr>
                <w:rFonts w:ascii="宋体" w:hAnsi="宋体" w:cs="宋体" w:eastAsia="宋体" w:hint="default"/>
                <w:sz w:val="19"/>
                <w:szCs w:val="19"/>
              </w:rPr>
              <w:t>号</w:t>
            </w:r>
            <w:r>
              <w:rPr>
                <w:rFonts w:ascii="宋体" w:hAnsi="宋体" w:cs="宋体" w:eastAsia="宋体" w:hint="default"/>
                <w:spacing w:val="-49"/>
                <w:sz w:val="19"/>
                <w:szCs w:val="19"/>
              </w:rPr>
              <w:t> </w:t>
            </w:r>
            <w:r>
              <w:rPr>
                <w:rFonts w:ascii="Arial" w:hAnsi="Arial" w:cs="Arial" w:eastAsia="Arial" w:hint="default"/>
                <w:sz w:val="19"/>
                <w:szCs w:val="19"/>
              </w:rPr>
              <w:t>29</w:t>
            </w:r>
            <w:r>
              <w:rPr>
                <w:rFonts w:ascii="Arial" w:hAnsi="Arial" w:cs="Arial" w:eastAsia="Arial" w:hint="default"/>
                <w:spacing w:val="-6"/>
                <w:sz w:val="19"/>
                <w:szCs w:val="19"/>
              </w:rPr>
              <w:t> </w:t>
            </w:r>
            <w:r>
              <w:rPr>
                <w:rFonts w:ascii="宋体" w:hAnsi="宋体" w:cs="宋体" w:eastAsia="宋体" w:hint="default"/>
                <w:sz w:val="19"/>
                <w:szCs w:val="19"/>
              </w:rPr>
              <w:t>楼</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证券事务代表电话</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100" w:right="0"/>
              <w:jc w:val="left"/>
              <w:rPr>
                <w:rFonts w:ascii="Arial" w:hAnsi="Arial" w:cs="Arial" w:eastAsia="Arial" w:hint="default"/>
                <w:sz w:val="19"/>
                <w:szCs w:val="19"/>
              </w:rPr>
            </w:pPr>
            <w:r>
              <w:rPr>
                <w:rFonts w:ascii="Arial"/>
                <w:sz w:val="19"/>
              </w:rPr>
              <w:t>021-52732228</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证券事务代表传真</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100" w:right="0"/>
              <w:jc w:val="left"/>
              <w:rPr>
                <w:rFonts w:ascii="Arial" w:hAnsi="Arial" w:cs="Arial" w:eastAsia="Arial" w:hint="default"/>
                <w:sz w:val="19"/>
                <w:szCs w:val="19"/>
              </w:rPr>
            </w:pPr>
            <w:r>
              <w:rPr>
                <w:rFonts w:ascii="Arial"/>
                <w:sz w:val="19"/>
              </w:rPr>
              <w:t>021-52732220</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证券事务代表电子信箱</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100" w:right="0"/>
              <w:jc w:val="left"/>
              <w:rPr>
                <w:rFonts w:ascii="Arial" w:hAnsi="Arial" w:cs="Arial" w:eastAsia="Arial" w:hint="default"/>
                <w:sz w:val="19"/>
                <w:szCs w:val="19"/>
              </w:rPr>
            </w:pPr>
            <w:hyperlink r:id="rId9">
              <w:r>
                <w:rPr>
                  <w:rFonts w:ascii="Arial"/>
                  <w:sz w:val="19"/>
                </w:rPr>
                <w:t>yangjy@chinaunicom-a.com</w:t>
              </w:r>
            </w:hyperlink>
          </w:p>
        </w:tc>
      </w:tr>
      <w:tr>
        <w:trPr>
          <w:trHeight w:val="260" w:hRule="exact"/>
        </w:trPr>
        <w:tc>
          <w:tcPr>
            <w:tcW w:w="9301" w:type="dxa"/>
            <w:gridSpan w:val="6"/>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914"/>
              <w:jc w:val="center"/>
              <w:rPr>
                <w:rFonts w:ascii="宋体" w:hAnsi="宋体" w:cs="宋体" w:eastAsia="宋体" w:hint="default"/>
                <w:sz w:val="19"/>
                <w:szCs w:val="19"/>
              </w:rPr>
            </w:pPr>
            <w:r>
              <w:rPr>
                <w:rFonts w:ascii="宋体" w:hAnsi="宋体" w:cs="宋体" w:eastAsia="宋体" w:hint="default"/>
                <w:sz w:val="19"/>
                <w:szCs w:val="19"/>
              </w:rPr>
              <w:t>基本情况简介</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公司注册地址</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32" w:lineRule="exact"/>
              <w:ind w:left="100" w:right="0"/>
              <w:jc w:val="left"/>
              <w:rPr>
                <w:rFonts w:ascii="宋体" w:hAnsi="宋体" w:cs="宋体" w:eastAsia="宋体" w:hint="default"/>
                <w:sz w:val="19"/>
                <w:szCs w:val="19"/>
              </w:rPr>
            </w:pPr>
            <w:r>
              <w:rPr>
                <w:rFonts w:ascii="宋体" w:hAnsi="宋体" w:cs="宋体" w:eastAsia="宋体" w:hint="default"/>
                <w:sz w:val="19"/>
                <w:szCs w:val="19"/>
              </w:rPr>
              <w:t>上海市长宁区长宁路</w:t>
            </w:r>
            <w:r>
              <w:rPr>
                <w:rFonts w:ascii="宋体" w:hAnsi="宋体" w:cs="宋体" w:eastAsia="宋体" w:hint="default"/>
                <w:spacing w:val="-48"/>
                <w:sz w:val="19"/>
                <w:szCs w:val="19"/>
              </w:rPr>
              <w:t> </w:t>
            </w:r>
            <w:r>
              <w:rPr>
                <w:rFonts w:ascii="Arial" w:hAnsi="Arial" w:cs="Arial" w:eastAsia="Arial" w:hint="default"/>
                <w:sz w:val="19"/>
                <w:szCs w:val="19"/>
              </w:rPr>
              <w:t>1033</w:t>
            </w:r>
            <w:r>
              <w:rPr>
                <w:rFonts w:ascii="Arial" w:hAnsi="Arial" w:cs="Arial" w:eastAsia="Arial" w:hint="default"/>
                <w:spacing w:val="-6"/>
                <w:sz w:val="19"/>
                <w:szCs w:val="19"/>
              </w:rPr>
              <w:t> </w:t>
            </w:r>
            <w:r>
              <w:rPr>
                <w:rFonts w:ascii="宋体" w:hAnsi="宋体" w:cs="宋体" w:eastAsia="宋体" w:hint="default"/>
                <w:sz w:val="19"/>
                <w:szCs w:val="19"/>
              </w:rPr>
              <w:t>号</w:t>
            </w:r>
            <w:r>
              <w:rPr>
                <w:rFonts w:ascii="宋体" w:hAnsi="宋体" w:cs="宋体" w:eastAsia="宋体" w:hint="default"/>
                <w:spacing w:val="-49"/>
                <w:sz w:val="19"/>
                <w:szCs w:val="19"/>
              </w:rPr>
              <w:t> </w:t>
            </w:r>
            <w:r>
              <w:rPr>
                <w:rFonts w:ascii="Arial" w:hAnsi="Arial" w:cs="Arial" w:eastAsia="Arial" w:hint="default"/>
                <w:sz w:val="19"/>
                <w:szCs w:val="19"/>
              </w:rPr>
              <w:t>29</w:t>
            </w:r>
            <w:r>
              <w:rPr>
                <w:rFonts w:ascii="Arial" w:hAnsi="Arial" w:cs="Arial" w:eastAsia="Arial" w:hint="default"/>
                <w:spacing w:val="-6"/>
                <w:sz w:val="19"/>
                <w:szCs w:val="19"/>
              </w:rPr>
              <w:t> </w:t>
            </w:r>
            <w:r>
              <w:rPr>
                <w:rFonts w:ascii="宋体" w:hAnsi="宋体" w:cs="宋体" w:eastAsia="宋体" w:hint="default"/>
                <w:sz w:val="19"/>
                <w:szCs w:val="19"/>
              </w:rPr>
              <w:t>楼</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公司办公地址</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32" w:lineRule="exact"/>
              <w:ind w:left="100" w:right="0"/>
              <w:jc w:val="left"/>
              <w:rPr>
                <w:rFonts w:ascii="宋体" w:hAnsi="宋体" w:cs="宋体" w:eastAsia="宋体" w:hint="default"/>
                <w:sz w:val="19"/>
                <w:szCs w:val="19"/>
              </w:rPr>
            </w:pPr>
            <w:r>
              <w:rPr>
                <w:rFonts w:ascii="宋体" w:hAnsi="宋体" w:cs="宋体" w:eastAsia="宋体" w:hint="default"/>
                <w:sz w:val="19"/>
                <w:szCs w:val="19"/>
              </w:rPr>
              <w:t>上海市长宁区长宁路</w:t>
            </w:r>
            <w:r>
              <w:rPr>
                <w:rFonts w:ascii="宋体" w:hAnsi="宋体" w:cs="宋体" w:eastAsia="宋体" w:hint="default"/>
                <w:spacing w:val="-48"/>
                <w:sz w:val="19"/>
                <w:szCs w:val="19"/>
              </w:rPr>
              <w:t> </w:t>
            </w:r>
            <w:r>
              <w:rPr>
                <w:rFonts w:ascii="Arial" w:hAnsi="Arial" w:cs="Arial" w:eastAsia="Arial" w:hint="default"/>
                <w:sz w:val="19"/>
                <w:szCs w:val="19"/>
              </w:rPr>
              <w:t>1033</w:t>
            </w:r>
            <w:r>
              <w:rPr>
                <w:rFonts w:ascii="Arial" w:hAnsi="Arial" w:cs="Arial" w:eastAsia="Arial" w:hint="default"/>
                <w:spacing w:val="-6"/>
                <w:sz w:val="19"/>
                <w:szCs w:val="19"/>
              </w:rPr>
              <w:t> </w:t>
            </w:r>
            <w:r>
              <w:rPr>
                <w:rFonts w:ascii="宋体" w:hAnsi="宋体" w:cs="宋体" w:eastAsia="宋体" w:hint="default"/>
                <w:sz w:val="19"/>
                <w:szCs w:val="19"/>
              </w:rPr>
              <w:t>号</w:t>
            </w:r>
            <w:r>
              <w:rPr>
                <w:rFonts w:ascii="宋体" w:hAnsi="宋体" w:cs="宋体" w:eastAsia="宋体" w:hint="default"/>
                <w:spacing w:val="-49"/>
                <w:sz w:val="19"/>
                <w:szCs w:val="19"/>
              </w:rPr>
              <w:t> </w:t>
            </w:r>
            <w:r>
              <w:rPr>
                <w:rFonts w:ascii="Arial" w:hAnsi="Arial" w:cs="Arial" w:eastAsia="Arial" w:hint="default"/>
                <w:sz w:val="19"/>
                <w:szCs w:val="19"/>
              </w:rPr>
              <w:t>29</w:t>
            </w:r>
            <w:r>
              <w:rPr>
                <w:rFonts w:ascii="Arial" w:hAnsi="Arial" w:cs="Arial" w:eastAsia="Arial" w:hint="default"/>
                <w:spacing w:val="-6"/>
                <w:sz w:val="19"/>
                <w:szCs w:val="19"/>
              </w:rPr>
              <w:t> </w:t>
            </w:r>
            <w:r>
              <w:rPr>
                <w:rFonts w:ascii="宋体" w:hAnsi="宋体" w:cs="宋体" w:eastAsia="宋体" w:hint="default"/>
                <w:sz w:val="19"/>
                <w:szCs w:val="19"/>
              </w:rPr>
              <w:t>楼</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公司办公地址邮政编码</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100" w:right="0"/>
              <w:jc w:val="left"/>
              <w:rPr>
                <w:rFonts w:ascii="Arial" w:hAnsi="Arial" w:cs="Arial" w:eastAsia="Arial" w:hint="default"/>
                <w:sz w:val="19"/>
                <w:szCs w:val="19"/>
              </w:rPr>
            </w:pPr>
            <w:r>
              <w:rPr>
                <w:rFonts w:ascii="Arial"/>
                <w:sz w:val="19"/>
              </w:rPr>
              <w:t>200050</w:t>
            </w:r>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公司国际互联网网址</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100" w:right="0"/>
              <w:jc w:val="left"/>
              <w:rPr>
                <w:rFonts w:ascii="Arial" w:hAnsi="Arial" w:cs="Arial" w:eastAsia="Arial" w:hint="default"/>
                <w:sz w:val="19"/>
                <w:szCs w:val="19"/>
              </w:rPr>
            </w:pPr>
            <w:hyperlink r:id="rId10">
              <w:r>
                <w:rPr>
                  <w:rFonts w:ascii="Arial"/>
                  <w:sz w:val="19"/>
                </w:rPr>
                <w:t>www.chinaunicom-a.com</w:t>
              </w:r>
            </w:hyperlink>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公司电子信箱</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100" w:right="0"/>
              <w:jc w:val="left"/>
              <w:rPr>
                <w:rFonts w:ascii="Arial" w:hAnsi="Arial" w:cs="Arial" w:eastAsia="Arial" w:hint="default"/>
                <w:sz w:val="19"/>
                <w:szCs w:val="19"/>
              </w:rPr>
            </w:pPr>
            <w:hyperlink r:id="rId11">
              <w:r>
                <w:rPr>
                  <w:rFonts w:ascii="Arial"/>
                  <w:sz w:val="19"/>
                </w:rPr>
                <w:t>ir@chinaunicom-a.com</w:t>
              </w:r>
            </w:hyperlink>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公司选定的信息披露报纸名称</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中国证券报</w:t>
            </w:r>
            <w:r>
              <w:rPr>
                <w:rFonts w:ascii="宋体" w:hAnsi="宋体" w:cs="宋体" w:eastAsia="宋体" w:hint="default"/>
                <w:spacing w:val="9"/>
                <w:sz w:val="19"/>
                <w:szCs w:val="19"/>
              </w:rPr>
              <w:t> </w:t>
            </w:r>
            <w:r>
              <w:rPr>
                <w:rFonts w:ascii="宋体" w:hAnsi="宋体" w:cs="宋体" w:eastAsia="宋体" w:hint="default"/>
                <w:sz w:val="19"/>
                <w:szCs w:val="19"/>
              </w:rPr>
              <w:t>上海证券报</w:t>
            </w:r>
          </w:p>
        </w:tc>
      </w:tr>
      <w:tr>
        <w:trPr>
          <w:trHeight w:val="260"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登载年度报告的中国证监会指定网站的网址</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left="100" w:right="0"/>
              <w:jc w:val="left"/>
              <w:rPr>
                <w:rFonts w:ascii="Arial" w:hAnsi="Arial" w:cs="Arial" w:eastAsia="Arial" w:hint="default"/>
                <w:sz w:val="19"/>
                <w:szCs w:val="19"/>
              </w:rPr>
            </w:pPr>
            <w:hyperlink r:id="rId12">
              <w:r>
                <w:rPr>
                  <w:rFonts w:ascii="Arial"/>
                  <w:sz w:val="19"/>
                </w:rPr>
                <w:t>www.sse.com.cn</w:t>
              </w:r>
            </w:hyperlink>
          </w:p>
        </w:tc>
      </w:tr>
      <w:tr>
        <w:trPr>
          <w:trHeight w:val="262" w:hRule="exact"/>
        </w:trPr>
        <w:tc>
          <w:tcPr>
            <w:tcW w:w="465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公司年度报告备置地点</w:t>
            </w:r>
          </w:p>
        </w:tc>
        <w:tc>
          <w:tcPr>
            <w:tcW w:w="4650" w:type="dxa"/>
            <w:gridSpan w:val="3"/>
            <w:tcBorders>
              <w:top w:val="single" w:sz="6" w:space="0" w:color="000000"/>
              <w:left w:val="single" w:sz="6" w:space="0" w:color="000000"/>
              <w:bottom w:val="single" w:sz="6" w:space="0" w:color="000000"/>
              <w:right w:val="single" w:sz="6" w:space="0" w:color="000000"/>
            </w:tcBorders>
          </w:tcPr>
          <w:p>
            <w:pPr>
              <w:pStyle w:val="TableParagraph"/>
              <w:spacing w:line="232" w:lineRule="exact"/>
              <w:ind w:left="100" w:right="0"/>
              <w:jc w:val="left"/>
              <w:rPr>
                <w:rFonts w:ascii="宋体" w:hAnsi="宋体" w:cs="宋体" w:eastAsia="宋体" w:hint="default"/>
                <w:sz w:val="19"/>
                <w:szCs w:val="19"/>
              </w:rPr>
            </w:pPr>
            <w:r>
              <w:rPr>
                <w:rFonts w:ascii="宋体" w:hAnsi="宋体" w:cs="宋体" w:eastAsia="宋体" w:hint="default"/>
                <w:sz w:val="19"/>
                <w:szCs w:val="19"/>
              </w:rPr>
              <w:t>上海市长宁区长宁路</w:t>
            </w:r>
            <w:r>
              <w:rPr>
                <w:rFonts w:ascii="宋体" w:hAnsi="宋体" w:cs="宋体" w:eastAsia="宋体" w:hint="default"/>
                <w:spacing w:val="-48"/>
                <w:sz w:val="19"/>
                <w:szCs w:val="19"/>
              </w:rPr>
              <w:t> </w:t>
            </w:r>
            <w:r>
              <w:rPr>
                <w:rFonts w:ascii="Arial" w:hAnsi="Arial" w:cs="Arial" w:eastAsia="Arial" w:hint="default"/>
                <w:sz w:val="19"/>
                <w:szCs w:val="19"/>
              </w:rPr>
              <w:t>1033</w:t>
            </w:r>
            <w:r>
              <w:rPr>
                <w:rFonts w:ascii="Arial" w:hAnsi="Arial" w:cs="Arial" w:eastAsia="Arial" w:hint="default"/>
                <w:spacing w:val="-6"/>
                <w:sz w:val="19"/>
                <w:szCs w:val="19"/>
              </w:rPr>
              <w:t> </w:t>
            </w:r>
            <w:r>
              <w:rPr>
                <w:rFonts w:ascii="宋体" w:hAnsi="宋体" w:cs="宋体" w:eastAsia="宋体" w:hint="default"/>
                <w:sz w:val="19"/>
                <w:szCs w:val="19"/>
              </w:rPr>
              <w:t>号</w:t>
            </w:r>
            <w:r>
              <w:rPr>
                <w:rFonts w:ascii="宋体" w:hAnsi="宋体" w:cs="宋体" w:eastAsia="宋体" w:hint="default"/>
                <w:spacing w:val="-49"/>
                <w:sz w:val="19"/>
                <w:szCs w:val="19"/>
              </w:rPr>
              <w:t> </w:t>
            </w:r>
            <w:r>
              <w:rPr>
                <w:rFonts w:ascii="Arial" w:hAnsi="Arial" w:cs="Arial" w:eastAsia="Arial" w:hint="default"/>
                <w:sz w:val="19"/>
                <w:szCs w:val="19"/>
              </w:rPr>
              <w:t>29</w:t>
            </w:r>
            <w:r>
              <w:rPr>
                <w:rFonts w:ascii="Arial" w:hAnsi="Arial" w:cs="Arial" w:eastAsia="Arial" w:hint="default"/>
                <w:spacing w:val="-6"/>
                <w:sz w:val="19"/>
                <w:szCs w:val="19"/>
              </w:rPr>
              <w:t> </w:t>
            </w:r>
            <w:r>
              <w:rPr>
                <w:rFonts w:ascii="宋体" w:hAnsi="宋体" w:cs="宋体" w:eastAsia="宋体" w:hint="default"/>
                <w:sz w:val="19"/>
                <w:szCs w:val="19"/>
              </w:rPr>
              <w:t>楼</w:t>
            </w:r>
          </w:p>
        </w:tc>
      </w:tr>
      <w:tr>
        <w:trPr>
          <w:trHeight w:val="262" w:hRule="exact"/>
        </w:trPr>
        <w:tc>
          <w:tcPr>
            <w:tcW w:w="9301" w:type="dxa"/>
            <w:gridSpan w:val="6"/>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9"/>
                <w:szCs w:val="19"/>
              </w:rPr>
            </w:pPr>
            <w:r>
              <w:rPr>
                <w:rFonts w:ascii="宋体" w:hAnsi="宋体" w:cs="宋体" w:eastAsia="宋体" w:hint="default"/>
                <w:sz w:val="19"/>
                <w:szCs w:val="19"/>
              </w:rPr>
              <w:t>公司股票简况</w:t>
            </w:r>
          </w:p>
        </w:tc>
      </w:tr>
      <w:tr>
        <w:trPr>
          <w:trHeight w:val="262" w:hRule="exact"/>
        </w:trPr>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1"/>
              <w:jc w:val="center"/>
              <w:rPr>
                <w:rFonts w:ascii="宋体" w:hAnsi="宋体" w:cs="宋体" w:eastAsia="宋体" w:hint="default"/>
                <w:sz w:val="19"/>
                <w:szCs w:val="19"/>
              </w:rPr>
            </w:pPr>
            <w:r>
              <w:rPr>
                <w:rFonts w:ascii="宋体" w:hAnsi="宋体" w:cs="宋体" w:eastAsia="宋体" w:hint="default"/>
                <w:sz w:val="19"/>
                <w:szCs w:val="19"/>
              </w:rPr>
              <w:t>股票种类</w:t>
            </w:r>
          </w:p>
        </w:tc>
        <w:tc>
          <w:tcPr>
            <w:tcW w:w="1931"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292" w:right="0"/>
              <w:jc w:val="left"/>
              <w:rPr>
                <w:rFonts w:ascii="宋体" w:hAnsi="宋体" w:cs="宋体" w:eastAsia="宋体" w:hint="default"/>
                <w:sz w:val="19"/>
                <w:szCs w:val="19"/>
              </w:rPr>
            </w:pPr>
            <w:r>
              <w:rPr>
                <w:rFonts w:ascii="宋体" w:hAnsi="宋体" w:cs="宋体" w:eastAsia="宋体" w:hint="default"/>
                <w:sz w:val="19"/>
                <w:szCs w:val="19"/>
              </w:rPr>
              <w:t>股票上市交易所</w:t>
            </w:r>
          </w:p>
        </w:tc>
        <w:tc>
          <w:tcPr>
            <w:tcW w:w="1603" w:type="dxa"/>
            <w:gridSpan w:val="2"/>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415" w:right="0"/>
              <w:jc w:val="left"/>
              <w:rPr>
                <w:rFonts w:ascii="宋体" w:hAnsi="宋体" w:cs="宋体" w:eastAsia="宋体" w:hint="default"/>
                <w:sz w:val="19"/>
                <w:szCs w:val="19"/>
              </w:rPr>
            </w:pPr>
            <w:r>
              <w:rPr>
                <w:rFonts w:ascii="宋体" w:hAnsi="宋体" w:cs="宋体" w:eastAsia="宋体" w:hint="default"/>
                <w:sz w:val="19"/>
                <w:szCs w:val="19"/>
              </w:rPr>
              <w:t>股票简称</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1"/>
              <w:jc w:val="center"/>
              <w:rPr>
                <w:rFonts w:ascii="宋体" w:hAnsi="宋体" w:cs="宋体" w:eastAsia="宋体" w:hint="default"/>
                <w:sz w:val="19"/>
                <w:szCs w:val="19"/>
              </w:rPr>
            </w:pPr>
            <w:r>
              <w:rPr>
                <w:rFonts w:ascii="宋体" w:hAnsi="宋体" w:cs="宋体" w:eastAsia="宋体" w:hint="default"/>
                <w:sz w:val="19"/>
                <w:szCs w:val="19"/>
              </w:rPr>
              <w:t>股票代码</w:t>
            </w:r>
          </w:p>
        </w:tc>
        <w:tc>
          <w:tcPr>
            <w:tcW w:w="270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679" w:right="0"/>
              <w:jc w:val="left"/>
              <w:rPr>
                <w:rFonts w:ascii="宋体" w:hAnsi="宋体" w:cs="宋体" w:eastAsia="宋体" w:hint="default"/>
                <w:sz w:val="19"/>
                <w:szCs w:val="19"/>
              </w:rPr>
            </w:pPr>
            <w:r>
              <w:rPr>
                <w:rFonts w:ascii="宋体" w:hAnsi="宋体" w:cs="宋体" w:eastAsia="宋体" w:hint="default"/>
                <w:sz w:val="19"/>
                <w:szCs w:val="19"/>
              </w:rPr>
              <w:t>变更前股票简称</w:t>
            </w:r>
          </w:p>
        </w:tc>
      </w:tr>
      <w:tr>
        <w:trPr>
          <w:trHeight w:val="262" w:hRule="exact"/>
        </w:trPr>
        <w:tc>
          <w:tcPr>
            <w:tcW w:w="1391"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ind w:right="0"/>
              <w:jc w:val="center"/>
              <w:rPr>
                <w:rFonts w:ascii="宋体" w:hAnsi="宋体" w:cs="宋体" w:eastAsia="宋体" w:hint="default"/>
                <w:sz w:val="19"/>
                <w:szCs w:val="19"/>
              </w:rPr>
            </w:pPr>
            <w:r>
              <w:rPr>
                <w:rFonts w:ascii="Arial" w:hAnsi="Arial" w:cs="Arial" w:eastAsia="Arial" w:hint="default"/>
                <w:sz w:val="19"/>
                <w:szCs w:val="19"/>
              </w:rPr>
              <w:t>A</w:t>
            </w:r>
            <w:r>
              <w:rPr>
                <w:rFonts w:ascii="Arial" w:hAnsi="Arial" w:cs="Arial" w:eastAsia="Arial" w:hint="default"/>
                <w:spacing w:val="-7"/>
                <w:sz w:val="19"/>
                <w:szCs w:val="19"/>
              </w:rPr>
              <w:t> </w:t>
            </w:r>
            <w:r>
              <w:rPr>
                <w:rFonts w:ascii="宋体" w:hAnsi="宋体" w:cs="宋体" w:eastAsia="宋体" w:hint="default"/>
                <w:sz w:val="19"/>
                <w:szCs w:val="19"/>
              </w:rPr>
              <w:t>股</w:t>
            </w:r>
          </w:p>
        </w:tc>
        <w:tc>
          <w:tcPr>
            <w:tcW w:w="1931"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0" w:right="0"/>
              <w:jc w:val="left"/>
              <w:rPr>
                <w:rFonts w:ascii="宋体" w:hAnsi="宋体" w:cs="宋体" w:eastAsia="宋体" w:hint="default"/>
                <w:sz w:val="19"/>
                <w:szCs w:val="19"/>
              </w:rPr>
            </w:pPr>
            <w:r>
              <w:rPr>
                <w:rFonts w:ascii="宋体" w:hAnsi="宋体" w:cs="宋体" w:eastAsia="宋体" w:hint="default"/>
                <w:sz w:val="19"/>
                <w:szCs w:val="19"/>
              </w:rPr>
              <w:t>上海证券交易所</w:t>
            </w:r>
          </w:p>
        </w:tc>
        <w:tc>
          <w:tcPr>
            <w:tcW w:w="1603" w:type="dxa"/>
            <w:gridSpan w:val="2"/>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415" w:right="0"/>
              <w:jc w:val="left"/>
              <w:rPr>
                <w:rFonts w:ascii="宋体" w:hAnsi="宋体" w:cs="宋体" w:eastAsia="宋体" w:hint="default"/>
                <w:sz w:val="19"/>
                <w:szCs w:val="19"/>
              </w:rPr>
            </w:pPr>
            <w:r>
              <w:rPr>
                <w:rFonts w:ascii="宋体" w:hAnsi="宋体" w:cs="宋体" w:eastAsia="宋体" w:hint="default"/>
                <w:sz w:val="19"/>
                <w:szCs w:val="19"/>
              </w:rPr>
              <w:t>中国联通</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1"/>
              <w:jc w:val="center"/>
              <w:rPr>
                <w:rFonts w:ascii="Arial" w:hAnsi="Arial" w:cs="Arial" w:eastAsia="Arial" w:hint="default"/>
                <w:sz w:val="19"/>
                <w:szCs w:val="19"/>
              </w:rPr>
            </w:pPr>
            <w:r>
              <w:rPr>
                <w:rFonts w:ascii="Arial"/>
                <w:sz w:val="19"/>
              </w:rPr>
              <w:t>600050</w:t>
            </w:r>
          </w:p>
        </w:tc>
        <w:tc>
          <w:tcPr>
            <w:tcW w:w="270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01" w:right="0"/>
              <w:jc w:val="left"/>
              <w:rPr>
                <w:rFonts w:ascii="宋体" w:hAnsi="宋体" w:cs="宋体" w:eastAsia="宋体" w:hint="default"/>
                <w:sz w:val="19"/>
                <w:szCs w:val="19"/>
              </w:rPr>
            </w:pPr>
            <w:r>
              <w:rPr>
                <w:rFonts w:ascii="宋体" w:hAnsi="宋体" w:cs="宋体" w:eastAsia="宋体" w:hint="default"/>
                <w:sz w:val="19"/>
                <w:szCs w:val="19"/>
              </w:rPr>
              <w:t>不适用</w:t>
            </w:r>
          </w:p>
        </w:tc>
      </w:tr>
    </w:tbl>
    <w:p>
      <w:pPr>
        <w:spacing w:after="0" w:line="219" w:lineRule="exact"/>
        <w:jc w:val="left"/>
        <w:rPr>
          <w:rFonts w:ascii="宋体" w:hAnsi="宋体" w:cs="宋体" w:eastAsia="宋体" w:hint="default"/>
          <w:sz w:val="19"/>
          <w:szCs w:val="19"/>
        </w:rPr>
        <w:sectPr>
          <w:footerReference w:type="default" r:id="rId7"/>
          <w:pgSz w:w="11910" w:h="16840"/>
          <w:pgMar w:footer="774" w:header="587" w:top="960" w:bottom="960" w:left="1080" w:right="1140"/>
          <w:pgNumType w:start="2"/>
        </w:sect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5"/>
          <w:szCs w:val="15"/>
        </w:rPr>
      </w:pPr>
    </w:p>
    <w:tbl>
      <w:tblPr>
        <w:tblW w:w="0" w:type="auto"/>
        <w:jc w:val="left"/>
        <w:tblInd w:w="253" w:type="dxa"/>
        <w:tblLayout w:type="fixed"/>
        <w:tblCellMar>
          <w:top w:w="0" w:type="dxa"/>
          <w:left w:w="0" w:type="dxa"/>
          <w:bottom w:w="0" w:type="dxa"/>
          <w:right w:w="0" w:type="dxa"/>
        </w:tblCellMar>
        <w:tblLook w:val="01E0"/>
      </w:tblPr>
      <w:tblGrid>
        <w:gridCol w:w="2008"/>
        <w:gridCol w:w="2582"/>
        <w:gridCol w:w="4711"/>
      </w:tblGrid>
      <w:tr>
        <w:trPr>
          <w:trHeight w:val="275" w:hRule="exact"/>
        </w:trPr>
        <w:tc>
          <w:tcPr>
            <w:tcW w:w="9301" w:type="dxa"/>
            <w:gridSpan w:val="3"/>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bookmarkStart w:name="_bookmark1" w:id="3"/>
            <w:bookmarkEnd w:id="3"/>
            <w:r>
              <w:rPr/>
            </w:r>
            <w:r>
              <w:rPr>
                <w:rFonts w:ascii="宋体" w:hAnsi="宋体" w:cs="宋体" w:eastAsia="宋体" w:hint="default"/>
                <w:sz w:val="20"/>
                <w:szCs w:val="20"/>
              </w:rPr>
              <w:t>其它有关资料</w:t>
            </w:r>
          </w:p>
        </w:tc>
      </w:tr>
      <w:tr>
        <w:trPr>
          <w:trHeight w:val="275" w:hRule="exact"/>
        </w:trPr>
        <w:tc>
          <w:tcPr>
            <w:tcW w:w="4590" w:type="dxa"/>
            <w:gridSpan w:val="2"/>
            <w:tcBorders>
              <w:top w:val="single" w:sz="6" w:space="0" w:color="000000"/>
              <w:left w:val="single" w:sz="6" w:space="0" w:color="000000"/>
              <w:bottom w:val="single" w:sz="6" w:space="0" w:color="000000"/>
              <w:right w:val="single" w:sz="4"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公司首次注册登记日期</w:t>
            </w:r>
          </w:p>
        </w:tc>
        <w:tc>
          <w:tcPr>
            <w:tcW w:w="4711" w:type="dxa"/>
            <w:tcBorders>
              <w:top w:val="single" w:sz="6" w:space="0" w:color="000000"/>
              <w:left w:val="single" w:sz="4" w:space="0" w:color="000000"/>
              <w:bottom w:val="single" w:sz="6" w:space="0" w:color="000000"/>
              <w:right w:val="single" w:sz="6" w:space="0" w:color="000000"/>
            </w:tcBorders>
          </w:tcPr>
          <w:p>
            <w:pPr>
              <w:pStyle w:val="TableParagraph"/>
              <w:spacing w:line="245" w:lineRule="exact"/>
              <w:ind w:left="103" w:right="0"/>
              <w:jc w:val="left"/>
              <w:rPr>
                <w:rFonts w:ascii="宋体" w:hAnsi="宋体" w:cs="宋体" w:eastAsia="宋体" w:hint="default"/>
                <w:sz w:val="20"/>
                <w:szCs w:val="20"/>
              </w:rPr>
            </w:pPr>
            <w:r>
              <w:rPr>
                <w:rFonts w:ascii="Arial" w:hAnsi="Arial" w:cs="Arial" w:eastAsia="Arial" w:hint="default"/>
                <w:sz w:val="20"/>
                <w:szCs w:val="20"/>
              </w:rPr>
              <w:t>2001</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宋体" w:hAnsi="宋体" w:cs="宋体" w:eastAsia="宋体" w:hint="default"/>
                <w:sz w:val="20"/>
                <w:szCs w:val="20"/>
              </w:rPr>
              <w:t>日</w:t>
            </w:r>
          </w:p>
        </w:tc>
      </w:tr>
      <w:tr>
        <w:trPr>
          <w:trHeight w:val="274" w:hRule="exact"/>
        </w:trPr>
        <w:tc>
          <w:tcPr>
            <w:tcW w:w="4590" w:type="dxa"/>
            <w:gridSpan w:val="2"/>
            <w:tcBorders>
              <w:top w:val="single" w:sz="6" w:space="0" w:color="000000"/>
              <w:left w:val="single" w:sz="6" w:space="0" w:color="000000"/>
              <w:bottom w:val="single" w:sz="6" w:space="0" w:color="000000"/>
              <w:right w:val="single" w:sz="4"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公司首次注册登记地点</w:t>
            </w:r>
          </w:p>
        </w:tc>
        <w:tc>
          <w:tcPr>
            <w:tcW w:w="4711" w:type="dxa"/>
            <w:tcBorders>
              <w:top w:val="single" w:sz="6" w:space="0" w:color="000000"/>
              <w:left w:val="single" w:sz="4" w:space="0" w:color="000000"/>
              <w:bottom w:val="single" w:sz="6" w:space="0" w:color="000000"/>
              <w:right w:val="single" w:sz="6"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z w:val="20"/>
                <w:szCs w:val="20"/>
              </w:rPr>
              <w:t>中国北京市</w:t>
            </w:r>
          </w:p>
        </w:tc>
      </w:tr>
      <w:tr>
        <w:trPr>
          <w:trHeight w:val="275" w:hRule="exact"/>
        </w:trPr>
        <w:tc>
          <w:tcPr>
            <w:tcW w:w="2008" w:type="dxa"/>
            <w:vMerge w:val="restart"/>
            <w:tcBorders>
              <w:top w:val="single" w:sz="6" w:space="0" w:color="000000"/>
              <w:left w:val="single" w:sz="6"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left="100" w:right="0"/>
              <w:jc w:val="left"/>
              <w:rPr>
                <w:rFonts w:ascii="宋体" w:hAnsi="宋体" w:cs="宋体" w:eastAsia="宋体" w:hint="default"/>
                <w:sz w:val="20"/>
                <w:szCs w:val="20"/>
              </w:rPr>
            </w:pPr>
            <w:r>
              <w:rPr>
                <w:rFonts w:ascii="宋体" w:hAnsi="宋体" w:cs="宋体" w:eastAsia="宋体" w:hint="default"/>
                <w:sz w:val="20"/>
                <w:szCs w:val="20"/>
              </w:rPr>
              <w:t>最近变更</w:t>
            </w:r>
          </w:p>
        </w:tc>
        <w:tc>
          <w:tcPr>
            <w:tcW w:w="2582" w:type="dxa"/>
            <w:tcBorders>
              <w:top w:val="single" w:sz="6" w:space="0" w:color="000000"/>
              <w:left w:val="single" w:sz="4" w:space="0" w:color="000000"/>
              <w:bottom w:val="single" w:sz="6" w:space="0" w:color="000000"/>
              <w:right w:val="single" w:sz="4"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z w:val="20"/>
                <w:szCs w:val="20"/>
              </w:rPr>
              <w:t>公司变更注册登记日期</w:t>
            </w:r>
          </w:p>
        </w:tc>
        <w:tc>
          <w:tcPr>
            <w:tcW w:w="4711" w:type="dxa"/>
            <w:tcBorders>
              <w:top w:val="single" w:sz="6" w:space="0" w:color="000000"/>
              <w:left w:val="single" w:sz="4" w:space="0" w:color="000000"/>
              <w:bottom w:val="single" w:sz="6" w:space="0" w:color="000000"/>
              <w:right w:val="single" w:sz="6" w:space="0" w:color="000000"/>
            </w:tcBorders>
          </w:tcPr>
          <w:p>
            <w:pPr>
              <w:pStyle w:val="TableParagraph"/>
              <w:spacing w:line="245" w:lineRule="exact"/>
              <w:ind w:left="103"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8</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7</w:t>
            </w:r>
            <w:r>
              <w:rPr>
                <w:rFonts w:ascii="Arial" w:hAnsi="Arial" w:cs="Arial" w:eastAsia="Arial" w:hint="default"/>
                <w:spacing w:val="-6"/>
                <w:sz w:val="20"/>
                <w:szCs w:val="20"/>
              </w:rPr>
              <w:t> </w:t>
            </w:r>
            <w:r>
              <w:rPr>
                <w:rFonts w:ascii="宋体" w:hAnsi="宋体" w:cs="宋体" w:eastAsia="宋体" w:hint="default"/>
                <w:sz w:val="20"/>
                <w:szCs w:val="20"/>
              </w:rPr>
              <w:t>日</w:t>
            </w:r>
          </w:p>
        </w:tc>
      </w:tr>
      <w:tr>
        <w:trPr>
          <w:trHeight w:val="275" w:hRule="exact"/>
        </w:trPr>
        <w:tc>
          <w:tcPr>
            <w:tcW w:w="2008" w:type="dxa"/>
            <w:vMerge/>
            <w:tcBorders>
              <w:left w:val="single" w:sz="6" w:space="0" w:color="000000"/>
              <w:right w:val="single" w:sz="4" w:space="0" w:color="000000"/>
            </w:tcBorders>
          </w:tcPr>
          <w:p>
            <w:pPr/>
          </w:p>
        </w:tc>
        <w:tc>
          <w:tcPr>
            <w:tcW w:w="2582" w:type="dxa"/>
            <w:tcBorders>
              <w:top w:val="single" w:sz="6" w:space="0" w:color="000000"/>
              <w:left w:val="single" w:sz="4" w:space="0" w:color="000000"/>
              <w:bottom w:val="single" w:sz="6" w:space="0" w:color="000000"/>
              <w:right w:val="single" w:sz="4"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z w:val="20"/>
                <w:szCs w:val="20"/>
              </w:rPr>
              <w:t>公司变更注册登记地点</w:t>
            </w:r>
          </w:p>
        </w:tc>
        <w:tc>
          <w:tcPr>
            <w:tcW w:w="4711" w:type="dxa"/>
            <w:tcBorders>
              <w:top w:val="single" w:sz="6" w:space="0" w:color="000000"/>
              <w:left w:val="single" w:sz="4" w:space="0" w:color="000000"/>
              <w:bottom w:val="single" w:sz="6" w:space="0" w:color="000000"/>
              <w:right w:val="single" w:sz="6"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z w:val="20"/>
                <w:szCs w:val="20"/>
              </w:rPr>
              <w:t>中国上海市</w:t>
            </w:r>
          </w:p>
        </w:tc>
      </w:tr>
      <w:tr>
        <w:trPr>
          <w:trHeight w:val="274" w:hRule="exact"/>
        </w:trPr>
        <w:tc>
          <w:tcPr>
            <w:tcW w:w="2008" w:type="dxa"/>
            <w:vMerge/>
            <w:tcBorders>
              <w:left w:val="single" w:sz="6" w:space="0" w:color="000000"/>
              <w:right w:val="single" w:sz="4" w:space="0" w:color="000000"/>
            </w:tcBorders>
          </w:tcPr>
          <w:p>
            <w:pPr/>
          </w:p>
        </w:tc>
        <w:tc>
          <w:tcPr>
            <w:tcW w:w="2582" w:type="dxa"/>
            <w:tcBorders>
              <w:top w:val="single" w:sz="6" w:space="0" w:color="000000"/>
              <w:left w:val="single" w:sz="4" w:space="0" w:color="000000"/>
              <w:bottom w:val="single" w:sz="6" w:space="0" w:color="000000"/>
              <w:right w:val="single" w:sz="4"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z w:val="20"/>
                <w:szCs w:val="20"/>
              </w:rPr>
              <w:t>企业法人营业执照注册号</w:t>
            </w:r>
          </w:p>
        </w:tc>
        <w:tc>
          <w:tcPr>
            <w:tcW w:w="4711" w:type="dxa"/>
            <w:tcBorders>
              <w:top w:val="single" w:sz="6" w:space="0" w:color="000000"/>
              <w:left w:val="single" w:sz="4" w:space="0" w:color="000000"/>
              <w:bottom w:val="single" w:sz="6" w:space="0" w:color="000000"/>
              <w:right w:val="single" w:sz="6" w:space="0" w:color="000000"/>
            </w:tcBorders>
          </w:tcPr>
          <w:p>
            <w:pPr>
              <w:pStyle w:val="TableParagraph"/>
              <w:spacing w:line="228" w:lineRule="exact"/>
              <w:ind w:left="103" w:right="0"/>
              <w:jc w:val="left"/>
              <w:rPr>
                <w:rFonts w:ascii="Arial" w:hAnsi="Arial" w:cs="Arial" w:eastAsia="Arial" w:hint="default"/>
                <w:sz w:val="20"/>
                <w:szCs w:val="20"/>
              </w:rPr>
            </w:pPr>
            <w:r>
              <w:rPr>
                <w:rFonts w:ascii="Arial"/>
                <w:sz w:val="20"/>
              </w:rPr>
              <w:t>310000000082463</w:t>
            </w:r>
          </w:p>
        </w:tc>
      </w:tr>
      <w:tr>
        <w:trPr>
          <w:trHeight w:val="275" w:hRule="exact"/>
        </w:trPr>
        <w:tc>
          <w:tcPr>
            <w:tcW w:w="2008" w:type="dxa"/>
            <w:vMerge/>
            <w:tcBorders>
              <w:left w:val="single" w:sz="6" w:space="0" w:color="000000"/>
              <w:right w:val="single" w:sz="4" w:space="0" w:color="000000"/>
            </w:tcBorders>
          </w:tcPr>
          <w:p>
            <w:pPr/>
          </w:p>
        </w:tc>
        <w:tc>
          <w:tcPr>
            <w:tcW w:w="2582" w:type="dxa"/>
            <w:tcBorders>
              <w:top w:val="single" w:sz="6" w:space="0" w:color="000000"/>
              <w:left w:val="single" w:sz="4" w:space="0" w:color="000000"/>
              <w:bottom w:val="single" w:sz="6" w:space="0" w:color="000000"/>
              <w:right w:val="single" w:sz="4"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z w:val="20"/>
                <w:szCs w:val="20"/>
              </w:rPr>
              <w:t>税务登记号码</w:t>
            </w:r>
          </w:p>
        </w:tc>
        <w:tc>
          <w:tcPr>
            <w:tcW w:w="4711" w:type="dxa"/>
            <w:tcBorders>
              <w:top w:val="single" w:sz="6" w:space="0" w:color="000000"/>
              <w:left w:val="single" w:sz="4" w:space="0" w:color="000000"/>
              <w:bottom w:val="single" w:sz="6" w:space="0" w:color="000000"/>
              <w:right w:val="single" w:sz="6" w:space="0" w:color="000000"/>
            </w:tcBorders>
          </w:tcPr>
          <w:p>
            <w:pPr>
              <w:pStyle w:val="TableParagraph"/>
              <w:spacing w:line="228" w:lineRule="exact"/>
              <w:ind w:left="103" w:right="0"/>
              <w:jc w:val="left"/>
              <w:rPr>
                <w:rFonts w:ascii="Arial" w:hAnsi="Arial" w:cs="Arial" w:eastAsia="Arial" w:hint="default"/>
                <w:sz w:val="20"/>
                <w:szCs w:val="20"/>
              </w:rPr>
            </w:pPr>
            <w:r>
              <w:rPr>
                <w:rFonts w:ascii="Arial"/>
                <w:sz w:val="20"/>
              </w:rPr>
              <w:t>310046710929383</w:t>
            </w:r>
          </w:p>
        </w:tc>
      </w:tr>
      <w:tr>
        <w:trPr>
          <w:trHeight w:val="275" w:hRule="exact"/>
        </w:trPr>
        <w:tc>
          <w:tcPr>
            <w:tcW w:w="2008" w:type="dxa"/>
            <w:vMerge/>
            <w:tcBorders>
              <w:left w:val="single" w:sz="6" w:space="0" w:color="000000"/>
              <w:bottom w:val="single" w:sz="6" w:space="0" w:color="000000"/>
              <w:right w:val="single" w:sz="4" w:space="0" w:color="000000"/>
            </w:tcBorders>
          </w:tcPr>
          <w:p>
            <w:pPr/>
          </w:p>
        </w:tc>
        <w:tc>
          <w:tcPr>
            <w:tcW w:w="2582" w:type="dxa"/>
            <w:tcBorders>
              <w:top w:val="single" w:sz="6" w:space="0" w:color="000000"/>
              <w:left w:val="single" w:sz="4" w:space="0" w:color="000000"/>
              <w:bottom w:val="single" w:sz="6" w:space="0" w:color="000000"/>
              <w:right w:val="single" w:sz="4"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z w:val="20"/>
                <w:szCs w:val="20"/>
              </w:rPr>
              <w:t>组织机构代码</w:t>
            </w:r>
          </w:p>
        </w:tc>
        <w:tc>
          <w:tcPr>
            <w:tcW w:w="4711" w:type="dxa"/>
            <w:tcBorders>
              <w:top w:val="single" w:sz="6" w:space="0" w:color="000000"/>
              <w:left w:val="single" w:sz="4" w:space="0" w:color="000000"/>
              <w:bottom w:val="single" w:sz="6" w:space="0" w:color="000000"/>
              <w:right w:val="single" w:sz="6" w:space="0" w:color="000000"/>
            </w:tcBorders>
          </w:tcPr>
          <w:p>
            <w:pPr>
              <w:pStyle w:val="TableParagraph"/>
              <w:spacing w:line="228" w:lineRule="exact"/>
              <w:ind w:left="103" w:right="0"/>
              <w:jc w:val="left"/>
              <w:rPr>
                <w:rFonts w:ascii="Arial" w:hAnsi="Arial" w:cs="Arial" w:eastAsia="Arial" w:hint="default"/>
                <w:sz w:val="20"/>
                <w:szCs w:val="20"/>
              </w:rPr>
            </w:pPr>
            <w:r>
              <w:rPr>
                <w:rFonts w:ascii="Arial"/>
                <w:sz w:val="20"/>
              </w:rPr>
              <w:t>710929383</w:t>
            </w:r>
          </w:p>
        </w:tc>
      </w:tr>
      <w:tr>
        <w:trPr>
          <w:trHeight w:val="274" w:hRule="exact"/>
        </w:trPr>
        <w:tc>
          <w:tcPr>
            <w:tcW w:w="4590" w:type="dxa"/>
            <w:gridSpan w:val="2"/>
            <w:tcBorders>
              <w:top w:val="single" w:sz="6" w:space="0" w:color="000000"/>
              <w:left w:val="single" w:sz="6" w:space="0" w:color="000000"/>
              <w:bottom w:val="single" w:sz="6" w:space="0" w:color="000000"/>
              <w:right w:val="single" w:sz="4"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公司聘请的会计师事务所名称</w:t>
            </w:r>
          </w:p>
        </w:tc>
        <w:tc>
          <w:tcPr>
            <w:tcW w:w="4711" w:type="dxa"/>
            <w:tcBorders>
              <w:top w:val="single" w:sz="6" w:space="0" w:color="000000"/>
              <w:left w:val="single" w:sz="4" w:space="0" w:color="000000"/>
              <w:bottom w:val="single" w:sz="6" w:space="0" w:color="000000"/>
              <w:right w:val="single" w:sz="6" w:space="0" w:color="000000"/>
            </w:tcBorders>
          </w:tcPr>
          <w:p>
            <w:pPr>
              <w:pStyle w:val="TableParagraph"/>
              <w:spacing w:line="231" w:lineRule="exact"/>
              <w:ind w:left="103" w:right="0"/>
              <w:jc w:val="left"/>
              <w:rPr>
                <w:rFonts w:ascii="宋体" w:hAnsi="宋体" w:cs="宋体" w:eastAsia="宋体" w:hint="default"/>
                <w:sz w:val="20"/>
                <w:szCs w:val="20"/>
              </w:rPr>
            </w:pPr>
            <w:r>
              <w:rPr>
                <w:rFonts w:ascii="宋体" w:hAnsi="宋体" w:cs="宋体" w:eastAsia="宋体" w:hint="default"/>
                <w:sz w:val="20"/>
                <w:szCs w:val="20"/>
              </w:rPr>
              <w:t>普华永道中天会计师事务所有限公司</w:t>
            </w:r>
          </w:p>
        </w:tc>
      </w:tr>
      <w:tr>
        <w:trPr>
          <w:trHeight w:val="275" w:hRule="exact"/>
        </w:trPr>
        <w:tc>
          <w:tcPr>
            <w:tcW w:w="4590" w:type="dxa"/>
            <w:gridSpan w:val="2"/>
            <w:tcBorders>
              <w:top w:val="single" w:sz="6" w:space="0" w:color="000000"/>
              <w:left w:val="single" w:sz="6" w:space="0" w:color="000000"/>
              <w:bottom w:val="single" w:sz="6" w:space="0" w:color="000000"/>
              <w:right w:val="single" w:sz="4"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公司聘请的会计师事务所办公地址</w:t>
            </w:r>
          </w:p>
        </w:tc>
        <w:tc>
          <w:tcPr>
            <w:tcW w:w="4711" w:type="dxa"/>
            <w:tcBorders>
              <w:top w:val="single" w:sz="6" w:space="0" w:color="000000"/>
              <w:left w:val="single" w:sz="4" w:space="0" w:color="000000"/>
              <w:bottom w:val="single" w:sz="6" w:space="0" w:color="000000"/>
              <w:right w:val="single" w:sz="6" w:space="0" w:color="000000"/>
            </w:tcBorders>
          </w:tcPr>
          <w:p>
            <w:pPr>
              <w:pStyle w:val="TableParagraph"/>
              <w:spacing w:line="245" w:lineRule="exact"/>
              <w:ind w:left="103" w:right="0"/>
              <w:jc w:val="left"/>
              <w:rPr>
                <w:rFonts w:ascii="宋体" w:hAnsi="宋体" w:cs="宋体" w:eastAsia="宋体" w:hint="default"/>
                <w:sz w:val="20"/>
                <w:szCs w:val="20"/>
              </w:rPr>
            </w:pPr>
            <w:r>
              <w:rPr>
                <w:rFonts w:ascii="宋体" w:hAnsi="宋体" w:cs="宋体" w:eastAsia="宋体" w:hint="default"/>
                <w:sz w:val="20"/>
                <w:szCs w:val="20"/>
              </w:rPr>
              <w:t>上海市湖滨路</w:t>
            </w:r>
            <w:r>
              <w:rPr>
                <w:rFonts w:ascii="宋体" w:hAnsi="宋体" w:cs="宋体" w:eastAsia="宋体" w:hint="default"/>
                <w:spacing w:val="-52"/>
                <w:sz w:val="20"/>
                <w:szCs w:val="20"/>
              </w:rPr>
              <w:t> </w:t>
            </w:r>
            <w:r>
              <w:rPr>
                <w:rFonts w:ascii="Arial" w:hAnsi="Arial" w:cs="Arial" w:eastAsia="Arial" w:hint="default"/>
                <w:sz w:val="20"/>
                <w:szCs w:val="20"/>
              </w:rPr>
              <w:t>202</w:t>
            </w:r>
            <w:r>
              <w:rPr>
                <w:rFonts w:ascii="Arial" w:hAnsi="Arial" w:cs="Arial" w:eastAsia="Arial" w:hint="default"/>
                <w:spacing w:val="-7"/>
                <w:sz w:val="20"/>
                <w:szCs w:val="20"/>
              </w:rPr>
              <w:t> </w:t>
            </w:r>
            <w:r>
              <w:rPr>
                <w:rFonts w:ascii="宋体" w:hAnsi="宋体" w:cs="宋体" w:eastAsia="宋体" w:hint="default"/>
                <w:sz w:val="20"/>
                <w:szCs w:val="20"/>
              </w:rPr>
              <w:t>号普华永道中心</w:t>
            </w:r>
            <w:r>
              <w:rPr>
                <w:rFonts w:ascii="宋体" w:hAnsi="宋体" w:cs="宋体" w:eastAsia="宋体" w:hint="default"/>
                <w:spacing w:val="-52"/>
                <w:sz w:val="20"/>
                <w:szCs w:val="20"/>
              </w:rPr>
              <w:t> </w:t>
            </w:r>
            <w:r>
              <w:rPr>
                <w:rFonts w:ascii="Arial" w:hAnsi="Arial" w:cs="Arial" w:eastAsia="Arial" w:hint="default"/>
                <w:sz w:val="20"/>
                <w:szCs w:val="20"/>
              </w:rPr>
              <w:t>11</w:t>
            </w:r>
            <w:r>
              <w:rPr>
                <w:rFonts w:ascii="Arial" w:hAnsi="Arial" w:cs="Arial" w:eastAsia="Arial" w:hint="default"/>
                <w:spacing w:val="-7"/>
                <w:sz w:val="20"/>
                <w:szCs w:val="20"/>
              </w:rPr>
              <w:t> </w:t>
            </w:r>
            <w:r>
              <w:rPr>
                <w:rFonts w:ascii="宋体" w:hAnsi="宋体" w:cs="宋体" w:eastAsia="宋体" w:hint="default"/>
                <w:sz w:val="20"/>
                <w:szCs w:val="20"/>
              </w:rPr>
              <w:t>楼</w:t>
            </w:r>
          </w:p>
        </w:tc>
      </w:tr>
      <w:tr>
        <w:trPr>
          <w:trHeight w:val="3128" w:hRule="exact"/>
        </w:trPr>
        <w:tc>
          <w:tcPr>
            <w:tcW w:w="4590" w:type="dxa"/>
            <w:gridSpan w:val="2"/>
            <w:tcBorders>
              <w:top w:val="single" w:sz="6" w:space="0" w:color="000000"/>
              <w:left w:val="single" w:sz="6" w:space="0" w:color="000000"/>
              <w:bottom w:val="single" w:sz="6"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8"/>
              <w:ind w:right="0"/>
              <w:jc w:val="left"/>
              <w:rPr>
                <w:rFonts w:ascii="宋体" w:hAnsi="宋体" w:cs="宋体" w:eastAsia="宋体" w:hint="default"/>
                <w:b/>
                <w:bCs/>
                <w:sz w:val="26"/>
                <w:szCs w:val="26"/>
              </w:rPr>
            </w:pPr>
          </w:p>
          <w:p>
            <w:pPr>
              <w:pStyle w:val="TableParagraph"/>
              <w:spacing w:line="240" w:lineRule="auto"/>
              <w:ind w:left="100" w:right="0"/>
              <w:jc w:val="left"/>
              <w:rPr>
                <w:rFonts w:ascii="宋体" w:hAnsi="宋体" w:cs="宋体" w:eastAsia="宋体" w:hint="default"/>
                <w:sz w:val="20"/>
                <w:szCs w:val="20"/>
              </w:rPr>
            </w:pPr>
            <w:r>
              <w:rPr>
                <w:rFonts w:ascii="宋体" w:hAnsi="宋体" w:cs="宋体" w:eastAsia="宋体" w:hint="default"/>
                <w:sz w:val="20"/>
                <w:szCs w:val="20"/>
              </w:rPr>
              <w:t>公司其他基本情况</w:t>
            </w:r>
          </w:p>
        </w:tc>
        <w:tc>
          <w:tcPr>
            <w:tcW w:w="4711" w:type="dxa"/>
            <w:tcBorders>
              <w:top w:val="single" w:sz="6" w:space="0" w:color="000000"/>
              <w:left w:val="single" w:sz="4" w:space="0" w:color="000000"/>
              <w:bottom w:val="single" w:sz="6" w:space="0" w:color="000000"/>
              <w:right w:val="single" w:sz="6" w:space="0" w:color="000000"/>
            </w:tcBorders>
          </w:tcPr>
          <w:p>
            <w:pPr>
              <w:pStyle w:val="TableParagraph"/>
              <w:spacing w:line="237" w:lineRule="exact"/>
              <w:ind w:left="88" w:right="0"/>
              <w:jc w:val="center"/>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29"/>
                <w:sz w:val="20"/>
                <w:szCs w:val="20"/>
              </w:rPr>
              <w:t></w:t>
            </w:r>
            <w:r>
              <w:rPr>
                <w:rFonts w:ascii="Times New Roman" w:hAnsi="Times New Roman" w:cs="Times New Roman" w:eastAsia="Times New Roman" w:hint="default"/>
                <w:spacing w:val="29"/>
                <w:sz w:val="20"/>
                <w:szCs w:val="20"/>
              </w:rPr>
            </w:r>
            <w:r>
              <w:rPr>
                <w:rFonts w:ascii="Arial" w:hAnsi="Arial" w:cs="Arial" w:eastAsia="Arial" w:hint="default"/>
                <w:sz w:val="20"/>
                <w:szCs w:val="20"/>
              </w:rPr>
              <w:t>2004</w:t>
            </w:r>
            <w:r>
              <w:rPr>
                <w:rFonts w:ascii="Arial" w:hAnsi="Arial" w:cs="Arial" w:eastAsia="Arial" w:hint="default"/>
                <w:spacing w:val="2"/>
                <w:sz w:val="20"/>
                <w:szCs w:val="20"/>
              </w:rPr>
              <w:t> </w:t>
            </w:r>
            <w:r>
              <w:rPr>
                <w:rFonts w:ascii="宋体" w:hAnsi="宋体" w:cs="宋体" w:eastAsia="宋体" w:hint="default"/>
                <w:sz w:val="20"/>
                <w:szCs w:val="20"/>
              </w:rPr>
              <w:t>年</w:t>
            </w:r>
            <w:r>
              <w:rPr>
                <w:rFonts w:ascii="宋体" w:hAnsi="宋体" w:cs="宋体" w:eastAsia="宋体" w:hint="default"/>
                <w:spacing w:val="-42"/>
                <w:sz w:val="20"/>
                <w:szCs w:val="20"/>
              </w:rPr>
              <w:t> </w:t>
            </w:r>
            <w:r>
              <w:rPr>
                <w:rFonts w:ascii="Arial" w:hAnsi="Arial" w:cs="Arial" w:eastAsia="Arial" w:hint="default"/>
                <w:sz w:val="20"/>
                <w:szCs w:val="20"/>
              </w:rPr>
              <w:t>12</w:t>
            </w:r>
            <w:r>
              <w:rPr>
                <w:rFonts w:ascii="Arial" w:hAnsi="Arial" w:cs="Arial" w:eastAsia="Arial" w:hint="default"/>
                <w:spacing w:val="2"/>
                <w:sz w:val="20"/>
                <w:szCs w:val="20"/>
              </w:rPr>
              <w:t> </w:t>
            </w:r>
            <w:r>
              <w:rPr>
                <w:rFonts w:ascii="宋体" w:hAnsi="宋体" w:cs="宋体" w:eastAsia="宋体" w:hint="default"/>
                <w:sz w:val="20"/>
                <w:szCs w:val="20"/>
              </w:rPr>
              <w:t>月</w:t>
            </w:r>
            <w:r>
              <w:rPr>
                <w:rFonts w:ascii="宋体" w:hAnsi="宋体" w:cs="宋体" w:eastAsia="宋体" w:hint="default"/>
                <w:spacing w:val="-42"/>
                <w:sz w:val="20"/>
                <w:szCs w:val="20"/>
              </w:rPr>
              <w:t> </w:t>
            </w:r>
            <w:r>
              <w:rPr>
                <w:rFonts w:ascii="Arial" w:hAnsi="Arial" w:cs="Arial" w:eastAsia="Arial" w:hint="default"/>
                <w:sz w:val="20"/>
                <w:szCs w:val="20"/>
              </w:rPr>
              <w:t>17</w:t>
            </w:r>
            <w:r>
              <w:rPr>
                <w:rFonts w:ascii="Arial" w:hAnsi="Arial" w:cs="Arial" w:eastAsia="Arial" w:hint="default"/>
                <w:spacing w:val="3"/>
                <w:sz w:val="20"/>
                <w:szCs w:val="20"/>
              </w:rPr>
              <w:t> </w:t>
            </w:r>
            <w:r>
              <w:rPr>
                <w:rFonts w:ascii="宋体" w:hAnsi="宋体" w:cs="宋体" w:eastAsia="宋体" w:hint="default"/>
                <w:sz w:val="20"/>
                <w:szCs w:val="20"/>
              </w:rPr>
              <w:t>日，本公司住所由北京迁址上</w:t>
            </w:r>
          </w:p>
          <w:p>
            <w:pPr>
              <w:pStyle w:val="TableParagraph"/>
              <w:spacing w:line="258" w:lineRule="exact"/>
              <w:ind w:left="411" w:right="0"/>
              <w:jc w:val="left"/>
              <w:rPr>
                <w:rFonts w:ascii="宋体" w:hAnsi="宋体" w:cs="宋体" w:eastAsia="宋体" w:hint="default"/>
                <w:sz w:val="20"/>
                <w:szCs w:val="20"/>
              </w:rPr>
            </w:pPr>
            <w:r>
              <w:rPr>
                <w:rFonts w:ascii="宋体" w:hAnsi="宋体" w:cs="宋体" w:eastAsia="宋体" w:hint="default"/>
                <w:sz w:val="20"/>
                <w:szCs w:val="20"/>
              </w:rPr>
              <w:t>海，变更为上海市浦东新区世纪大道 </w:t>
            </w:r>
            <w:r>
              <w:rPr>
                <w:rFonts w:ascii="Arial" w:hAnsi="Arial" w:cs="Arial" w:eastAsia="Arial" w:hint="default"/>
                <w:sz w:val="20"/>
                <w:szCs w:val="20"/>
              </w:rPr>
              <w:t>88</w:t>
            </w:r>
            <w:r>
              <w:rPr>
                <w:rFonts w:ascii="Arial" w:hAnsi="Arial" w:cs="Arial" w:eastAsia="Arial" w:hint="default"/>
                <w:spacing w:val="4"/>
                <w:sz w:val="20"/>
                <w:szCs w:val="20"/>
              </w:rPr>
              <w:t> </w:t>
            </w:r>
            <w:r>
              <w:rPr>
                <w:rFonts w:ascii="宋体" w:hAnsi="宋体" w:cs="宋体" w:eastAsia="宋体" w:hint="default"/>
                <w:sz w:val="20"/>
                <w:szCs w:val="20"/>
              </w:rPr>
              <w:t>号金茂</w:t>
            </w:r>
          </w:p>
          <w:p>
            <w:pPr>
              <w:pStyle w:val="TableParagraph"/>
              <w:spacing w:line="260" w:lineRule="exact" w:before="17"/>
              <w:ind w:left="411" w:right="97"/>
              <w:jc w:val="left"/>
              <w:rPr>
                <w:rFonts w:ascii="宋体" w:hAnsi="宋体" w:cs="宋体" w:eastAsia="宋体" w:hint="default"/>
                <w:sz w:val="20"/>
                <w:szCs w:val="20"/>
              </w:rPr>
            </w:pPr>
            <w:r>
              <w:rPr>
                <w:rFonts w:ascii="宋体" w:hAnsi="宋体" w:cs="宋体" w:eastAsia="宋体" w:hint="default"/>
                <w:sz w:val="20"/>
                <w:szCs w:val="20"/>
              </w:rPr>
              <w:t>大厦 </w:t>
            </w:r>
            <w:r>
              <w:rPr>
                <w:rFonts w:ascii="Arial" w:hAnsi="Arial" w:cs="Arial" w:eastAsia="Arial" w:hint="default"/>
                <w:sz w:val="20"/>
                <w:szCs w:val="20"/>
              </w:rPr>
              <w:t>40</w:t>
            </w:r>
            <w:r>
              <w:rPr>
                <w:rFonts w:ascii="Arial" w:hAnsi="Arial" w:cs="Arial" w:eastAsia="Arial" w:hint="default"/>
                <w:spacing w:val="4"/>
                <w:sz w:val="20"/>
                <w:szCs w:val="20"/>
              </w:rPr>
              <w:t> </w:t>
            </w:r>
            <w:r>
              <w:rPr>
                <w:rFonts w:ascii="宋体" w:hAnsi="宋体" w:cs="宋体" w:eastAsia="宋体" w:hint="default"/>
                <w:sz w:val="20"/>
                <w:szCs w:val="20"/>
              </w:rPr>
              <w:t>楼，法定代表人变更为王建宙，并更新</w:t>
            </w:r>
            <w:r>
              <w:rPr>
                <w:rFonts w:ascii="宋体" w:hAnsi="宋体" w:cs="宋体" w:eastAsia="宋体" w:hint="default"/>
                <w:w w:val="100"/>
                <w:sz w:val="20"/>
                <w:szCs w:val="20"/>
              </w:rPr>
              <w:t> </w:t>
            </w:r>
            <w:r>
              <w:rPr>
                <w:rFonts w:ascii="宋体" w:hAnsi="宋体" w:cs="宋体" w:eastAsia="宋体" w:hint="default"/>
                <w:sz w:val="20"/>
                <w:szCs w:val="20"/>
              </w:rPr>
              <w:t>了营业执照；</w:t>
            </w:r>
          </w:p>
          <w:p>
            <w:pPr>
              <w:pStyle w:val="TableParagraph"/>
              <w:spacing w:line="242" w:lineRule="exact"/>
              <w:ind w:left="87" w:right="0"/>
              <w:jc w:val="center"/>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35"/>
                <w:sz w:val="20"/>
                <w:szCs w:val="20"/>
              </w:rPr>
              <w:t></w:t>
            </w:r>
            <w:r>
              <w:rPr>
                <w:rFonts w:ascii="Times New Roman" w:hAnsi="Times New Roman" w:cs="Times New Roman" w:eastAsia="Times New Roman" w:hint="default"/>
                <w:spacing w:val="35"/>
                <w:sz w:val="20"/>
                <w:szCs w:val="20"/>
              </w:rPr>
            </w:r>
            <w:r>
              <w:rPr>
                <w:rFonts w:ascii="Arial" w:hAnsi="Arial" w:cs="Arial" w:eastAsia="Arial" w:hint="default"/>
                <w:sz w:val="20"/>
                <w:szCs w:val="20"/>
              </w:rPr>
              <w:t>2004</w:t>
            </w:r>
            <w:r>
              <w:rPr>
                <w:rFonts w:ascii="Arial" w:hAnsi="Arial" w:cs="Arial" w:eastAsia="Arial" w:hint="default"/>
                <w:spacing w:val="-4"/>
                <w:sz w:val="20"/>
                <w:szCs w:val="20"/>
              </w:rPr>
              <w:t> </w:t>
            </w:r>
            <w:r>
              <w:rPr>
                <w:rFonts w:ascii="宋体" w:hAnsi="宋体" w:cs="宋体" w:eastAsia="宋体" w:hint="default"/>
                <w:sz w:val="20"/>
                <w:szCs w:val="20"/>
              </w:rPr>
              <w:t>年</w:t>
            </w:r>
            <w:r>
              <w:rPr>
                <w:rFonts w:ascii="宋体" w:hAnsi="宋体" w:cs="宋体" w:eastAsia="宋体" w:hint="default"/>
                <w:spacing w:val="-50"/>
                <w:sz w:val="20"/>
                <w:szCs w:val="20"/>
              </w:rPr>
              <w:t> </w:t>
            </w:r>
            <w:r>
              <w:rPr>
                <w:rFonts w:ascii="Arial" w:hAnsi="Arial" w:cs="Arial" w:eastAsia="Arial" w:hint="default"/>
                <w:sz w:val="20"/>
                <w:szCs w:val="20"/>
              </w:rPr>
              <w:t>9</w:t>
            </w:r>
            <w:r>
              <w:rPr>
                <w:rFonts w:ascii="Arial" w:hAnsi="Arial" w:cs="Arial" w:eastAsia="Arial" w:hint="default"/>
                <w:spacing w:val="-6"/>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17</w:t>
            </w:r>
            <w:r>
              <w:rPr>
                <w:rFonts w:ascii="Arial" w:hAnsi="Arial" w:cs="Arial" w:eastAsia="Arial" w:hint="default"/>
                <w:spacing w:val="-4"/>
                <w:sz w:val="20"/>
                <w:szCs w:val="20"/>
              </w:rPr>
              <w:t> </w:t>
            </w:r>
            <w:r>
              <w:rPr>
                <w:rFonts w:ascii="宋体" w:hAnsi="宋体" w:cs="宋体" w:eastAsia="宋体" w:hint="default"/>
                <w:spacing w:val="-4"/>
                <w:sz w:val="20"/>
                <w:szCs w:val="20"/>
              </w:rPr>
              <w:t>日，公司在配股完成后变更注册</w:t>
            </w:r>
          </w:p>
          <w:p>
            <w:pPr>
              <w:pStyle w:val="TableParagraph"/>
              <w:spacing w:line="259" w:lineRule="exact"/>
              <w:ind w:left="410" w:right="0"/>
              <w:jc w:val="left"/>
              <w:rPr>
                <w:rFonts w:ascii="宋体" w:hAnsi="宋体" w:cs="宋体" w:eastAsia="宋体" w:hint="default"/>
                <w:sz w:val="20"/>
                <w:szCs w:val="20"/>
              </w:rPr>
            </w:pPr>
            <w:r>
              <w:rPr>
                <w:rFonts w:ascii="宋体" w:hAnsi="宋体" w:cs="宋体" w:eastAsia="宋体" w:hint="default"/>
                <w:sz w:val="20"/>
                <w:szCs w:val="20"/>
              </w:rPr>
              <w:t>资本为</w:t>
            </w:r>
            <w:r>
              <w:rPr>
                <w:rFonts w:ascii="宋体" w:hAnsi="宋体" w:cs="宋体" w:eastAsia="宋体" w:hint="default"/>
                <w:spacing w:val="-52"/>
                <w:sz w:val="20"/>
                <w:szCs w:val="20"/>
              </w:rPr>
              <w:t> </w:t>
            </w:r>
            <w:r>
              <w:rPr>
                <w:rFonts w:ascii="Arial" w:hAnsi="Arial" w:cs="Arial" w:eastAsia="Arial" w:hint="default"/>
                <w:sz w:val="20"/>
                <w:szCs w:val="20"/>
              </w:rPr>
              <w:t>2,119,659.64</w:t>
            </w:r>
            <w:r>
              <w:rPr>
                <w:rFonts w:ascii="Arial" w:hAnsi="Arial" w:cs="Arial" w:eastAsia="Arial" w:hint="default"/>
                <w:spacing w:val="-6"/>
                <w:sz w:val="20"/>
                <w:szCs w:val="20"/>
              </w:rPr>
              <w:t> </w:t>
            </w:r>
            <w:r>
              <w:rPr>
                <w:rFonts w:ascii="宋体" w:hAnsi="宋体" w:cs="宋体" w:eastAsia="宋体" w:hint="default"/>
                <w:sz w:val="20"/>
                <w:szCs w:val="20"/>
              </w:rPr>
              <w:t>万，并更新营业执照；</w:t>
            </w:r>
          </w:p>
          <w:p>
            <w:pPr>
              <w:pStyle w:val="TableParagraph"/>
              <w:spacing w:line="260" w:lineRule="exact"/>
              <w:ind w:left="129" w:right="0"/>
              <w:jc w:val="center"/>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30"/>
                <w:sz w:val="20"/>
                <w:szCs w:val="20"/>
              </w:rPr>
              <w:t></w:t>
            </w:r>
            <w:r>
              <w:rPr>
                <w:rFonts w:ascii="Times New Roman" w:hAnsi="Times New Roman" w:cs="Times New Roman" w:eastAsia="Times New Roman" w:hint="default"/>
                <w:spacing w:val="30"/>
                <w:sz w:val="20"/>
                <w:szCs w:val="20"/>
              </w:rPr>
            </w:r>
            <w:r>
              <w:rPr>
                <w:rFonts w:ascii="Arial" w:hAnsi="Arial" w:cs="Arial" w:eastAsia="Arial" w:hint="default"/>
                <w:sz w:val="20"/>
                <w:szCs w:val="20"/>
              </w:rPr>
              <w:t>2005</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Arial" w:hAnsi="Arial" w:cs="Arial" w:eastAsia="Arial" w:hint="default"/>
                <w:sz w:val="20"/>
                <w:szCs w:val="20"/>
              </w:rPr>
              <w:t>17</w:t>
            </w:r>
            <w:r>
              <w:rPr>
                <w:rFonts w:ascii="Arial" w:hAnsi="Arial" w:cs="Arial" w:eastAsia="Arial" w:hint="default"/>
                <w:spacing w:val="-6"/>
                <w:sz w:val="20"/>
                <w:szCs w:val="20"/>
              </w:rPr>
              <w:t> </w:t>
            </w:r>
            <w:r>
              <w:rPr>
                <w:rFonts w:ascii="宋体" w:hAnsi="宋体" w:cs="宋体" w:eastAsia="宋体" w:hint="default"/>
                <w:sz w:val="20"/>
                <w:szCs w:val="20"/>
              </w:rPr>
              <w:t>日，法定代表人变更为常小兵；</w:t>
            </w:r>
          </w:p>
          <w:p>
            <w:pPr>
              <w:pStyle w:val="TableParagraph"/>
              <w:spacing w:line="259" w:lineRule="exact"/>
              <w:ind w:left="86" w:right="0"/>
              <w:jc w:val="center"/>
              <w:rPr>
                <w:rFonts w:ascii="宋体" w:hAnsi="宋体" w:cs="宋体" w:eastAsia="宋体" w:hint="default"/>
                <w:sz w:val="20"/>
                <w:szCs w:val="20"/>
              </w:rPr>
            </w:pPr>
            <w:r>
              <w:rPr>
                <w:rFonts w:ascii="Symbol" w:hAnsi="Symbol" w:cs="Symbol" w:eastAsia="Symbol" w:hint="default"/>
                <w:sz w:val="20"/>
                <w:szCs w:val="20"/>
              </w:rPr>
              <w:t></w:t>
            </w:r>
            <w:r>
              <w:rPr>
                <w:rFonts w:ascii="Symbol" w:hAnsi="Symbol" w:cs="Symbol" w:eastAsia="Symbol" w:hint="default"/>
                <w:spacing w:val="35"/>
                <w:sz w:val="20"/>
                <w:szCs w:val="20"/>
              </w:rPr>
              <w:t></w:t>
            </w:r>
            <w:r>
              <w:rPr>
                <w:rFonts w:ascii="Times New Roman" w:hAnsi="Times New Roman" w:cs="Times New Roman" w:eastAsia="Times New Roman" w:hint="default"/>
                <w:spacing w:val="35"/>
                <w:sz w:val="20"/>
                <w:szCs w:val="20"/>
              </w:rPr>
            </w:r>
            <w:r>
              <w:rPr>
                <w:rFonts w:ascii="Arial" w:hAnsi="Arial" w:cs="Arial" w:eastAsia="Arial" w:hint="default"/>
                <w:sz w:val="20"/>
                <w:szCs w:val="20"/>
              </w:rPr>
              <w:t>2007</w:t>
            </w:r>
            <w:r>
              <w:rPr>
                <w:rFonts w:ascii="Arial" w:hAnsi="Arial" w:cs="Arial" w:eastAsia="Arial" w:hint="default"/>
                <w:spacing w:val="-4"/>
                <w:sz w:val="20"/>
                <w:szCs w:val="20"/>
              </w:rPr>
              <w:t> </w:t>
            </w:r>
            <w:r>
              <w:rPr>
                <w:rFonts w:ascii="宋体" w:hAnsi="宋体" w:cs="宋体" w:eastAsia="宋体" w:hint="default"/>
                <w:sz w:val="20"/>
                <w:szCs w:val="20"/>
              </w:rPr>
              <w:t>年</w:t>
            </w:r>
            <w:r>
              <w:rPr>
                <w:rFonts w:ascii="宋体" w:hAnsi="宋体" w:cs="宋体" w:eastAsia="宋体" w:hint="default"/>
                <w:spacing w:val="-50"/>
                <w:sz w:val="20"/>
                <w:szCs w:val="20"/>
              </w:rPr>
              <w:t> </w:t>
            </w:r>
            <w:r>
              <w:rPr>
                <w:rFonts w:ascii="Arial" w:hAnsi="Arial" w:cs="Arial" w:eastAsia="Arial" w:hint="default"/>
                <w:sz w:val="20"/>
                <w:szCs w:val="20"/>
              </w:rPr>
              <w:t>7</w:t>
            </w:r>
            <w:r>
              <w:rPr>
                <w:rFonts w:ascii="Arial" w:hAnsi="Arial" w:cs="Arial" w:eastAsia="Arial" w:hint="default"/>
                <w:spacing w:val="-6"/>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12</w:t>
            </w:r>
            <w:r>
              <w:rPr>
                <w:rFonts w:ascii="Arial" w:hAnsi="Arial" w:cs="Arial" w:eastAsia="Arial" w:hint="default"/>
                <w:spacing w:val="-4"/>
                <w:sz w:val="20"/>
                <w:szCs w:val="20"/>
              </w:rPr>
              <w:t> </w:t>
            </w:r>
            <w:r>
              <w:rPr>
                <w:rFonts w:ascii="宋体" w:hAnsi="宋体" w:cs="宋体" w:eastAsia="宋体" w:hint="default"/>
                <w:spacing w:val="-4"/>
                <w:sz w:val="20"/>
                <w:szCs w:val="20"/>
              </w:rPr>
              <w:t>日，公司住所变更为上海市长宁</w:t>
            </w:r>
          </w:p>
          <w:p>
            <w:pPr>
              <w:pStyle w:val="TableParagraph"/>
              <w:spacing w:line="258" w:lineRule="exact"/>
              <w:ind w:left="410" w:right="0"/>
              <w:jc w:val="left"/>
              <w:rPr>
                <w:rFonts w:ascii="宋体" w:hAnsi="宋体" w:cs="宋体" w:eastAsia="宋体" w:hint="default"/>
                <w:sz w:val="20"/>
                <w:szCs w:val="20"/>
              </w:rPr>
            </w:pPr>
            <w:r>
              <w:rPr>
                <w:rFonts w:ascii="宋体" w:hAnsi="宋体" w:cs="宋体" w:eastAsia="宋体" w:hint="default"/>
                <w:sz w:val="20"/>
                <w:szCs w:val="20"/>
              </w:rPr>
              <w:t>路</w:t>
            </w:r>
            <w:r>
              <w:rPr>
                <w:rFonts w:ascii="宋体" w:hAnsi="宋体" w:cs="宋体" w:eastAsia="宋体" w:hint="default"/>
                <w:spacing w:val="-51"/>
                <w:sz w:val="20"/>
                <w:szCs w:val="20"/>
              </w:rPr>
              <w:t> </w:t>
            </w:r>
            <w:r>
              <w:rPr>
                <w:rFonts w:ascii="Arial" w:hAnsi="Arial" w:cs="Arial" w:eastAsia="Arial" w:hint="default"/>
                <w:sz w:val="20"/>
                <w:szCs w:val="20"/>
              </w:rPr>
              <w:t>1033</w:t>
            </w:r>
            <w:r>
              <w:rPr>
                <w:rFonts w:ascii="Arial" w:hAnsi="Arial" w:cs="Arial" w:eastAsia="Arial" w:hint="default"/>
                <w:spacing w:val="-8"/>
                <w:sz w:val="20"/>
                <w:szCs w:val="20"/>
              </w:rPr>
              <w:t> </w:t>
            </w:r>
            <w:r>
              <w:rPr>
                <w:rFonts w:ascii="宋体" w:hAnsi="宋体" w:cs="宋体" w:eastAsia="宋体" w:hint="default"/>
                <w:sz w:val="20"/>
                <w:szCs w:val="20"/>
              </w:rPr>
              <w:t>号</w:t>
            </w:r>
            <w:r>
              <w:rPr>
                <w:rFonts w:ascii="宋体" w:hAnsi="宋体" w:cs="宋体" w:eastAsia="宋体" w:hint="default"/>
                <w:spacing w:val="-51"/>
                <w:sz w:val="20"/>
                <w:szCs w:val="20"/>
              </w:rPr>
              <w:t> </w:t>
            </w:r>
            <w:r>
              <w:rPr>
                <w:rFonts w:ascii="Arial" w:hAnsi="Arial" w:cs="Arial" w:eastAsia="Arial" w:hint="default"/>
                <w:sz w:val="20"/>
                <w:szCs w:val="20"/>
              </w:rPr>
              <w:t>25</w:t>
            </w:r>
            <w:r>
              <w:rPr>
                <w:rFonts w:ascii="Arial" w:hAnsi="Arial" w:cs="Arial" w:eastAsia="Arial" w:hint="default"/>
                <w:spacing w:val="-6"/>
                <w:sz w:val="20"/>
                <w:szCs w:val="20"/>
              </w:rPr>
              <w:t> </w:t>
            </w:r>
            <w:r>
              <w:rPr>
                <w:rFonts w:ascii="宋体" w:hAnsi="宋体" w:cs="宋体" w:eastAsia="宋体" w:hint="default"/>
                <w:sz w:val="20"/>
                <w:szCs w:val="20"/>
              </w:rPr>
              <w:t>楼；</w:t>
            </w:r>
          </w:p>
          <w:p>
            <w:pPr>
              <w:pStyle w:val="TableParagraph"/>
              <w:spacing w:line="260" w:lineRule="exact" w:before="17"/>
              <w:ind w:left="410" w:right="99" w:hanging="224"/>
              <w:jc w:val="both"/>
              <w:rPr>
                <w:rFonts w:ascii="宋体" w:hAnsi="宋体" w:cs="宋体" w:eastAsia="宋体" w:hint="default"/>
                <w:sz w:val="20"/>
                <w:szCs w:val="20"/>
              </w:rPr>
            </w:pPr>
            <w:r>
              <w:rPr>
                <w:rFonts w:ascii="Symbol" w:hAnsi="Symbol" w:cs="Symbol" w:eastAsia="Symbol" w:hint="default"/>
                <w:sz w:val="20"/>
                <w:szCs w:val="20"/>
              </w:rPr>
              <w:t></w:t>
            </w:r>
            <w:r>
              <w:rPr>
                <w:rFonts w:ascii="Times New Roman" w:hAnsi="Times New Roman" w:cs="Times New Roman" w:eastAsia="Times New Roman" w:hint="default"/>
                <w:sz w:val="20"/>
                <w:szCs w:val="20"/>
              </w:rPr>
            </w:r>
            <w:r>
              <w:rPr>
                <w:rFonts w:ascii="宋体" w:hAnsi="宋体" w:cs="宋体" w:eastAsia="宋体" w:hint="default"/>
                <w:sz w:val="20"/>
                <w:szCs w:val="20"/>
              </w:rPr>
              <w:t>经股东大会批准后，</w:t>
            </w:r>
            <w:r>
              <w:rPr>
                <w:rFonts w:ascii="Arial" w:hAnsi="Arial" w:cs="Arial" w:eastAsia="Arial" w:hint="default"/>
                <w:sz w:val="20"/>
                <w:szCs w:val="20"/>
              </w:rPr>
              <w:t>2009 </w:t>
            </w:r>
            <w:r>
              <w:rPr>
                <w:rFonts w:ascii="宋体" w:hAnsi="宋体" w:cs="宋体" w:eastAsia="宋体" w:hint="default"/>
                <w:sz w:val="20"/>
                <w:szCs w:val="20"/>
              </w:rPr>
              <w:t>年 </w:t>
            </w:r>
            <w:r>
              <w:rPr>
                <w:rFonts w:ascii="Arial" w:hAnsi="Arial" w:cs="Arial" w:eastAsia="Arial" w:hint="default"/>
                <w:sz w:val="20"/>
                <w:szCs w:val="20"/>
              </w:rPr>
              <w:t>8 </w:t>
            </w:r>
            <w:r>
              <w:rPr>
                <w:rFonts w:ascii="宋体" w:hAnsi="宋体" w:cs="宋体" w:eastAsia="宋体" w:hint="default"/>
                <w:sz w:val="20"/>
                <w:szCs w:val="20"/>
              </w:rPr>
              <w:t>月 </w:t>
            </w:r>
            <w:r>
              <w:rPr>
                <w:rFonts w:ascii="Arial" w:hAnsi="Arial" w:cs="Arial" w:eastAsia="Arial" w:hint="default"/>
                <w:sz w:val="20"/>
                <w:szCs w:val="20"/>
              </w:rPr>
              <w:t>7</w:t>
            </w:r>
            <w:r>
              <w:rPr>
                <w:rFonts w:ascii="Arial" w:hAnsi="Arial" w:cs="Arial" w:eastAsia="Arial" w:hint="default"/>
                <w:spacing w:val="-21"/>
                <w:sz w:val="20"/>
                <w:szCs w:val="20"/>
              </w:rPr>
              <w:t> </w:t>
            </w:r>
            <w:r>
              <w:rPr>
                <w:rFonts w:ascii="宋体" w:hAnsi="宋体" w:cs="宋体" w:eastAsia="宋体" w:hint="default"/>
                <w:sz w:val="20"/>
                <w:szCs w:val="20"/>
              </w:rPr>
              <w:t>日，公司名</w:t>
            </w:r>
            <w:r>
              <w:rPr>
                <w:rFonts w:ascii="宋体" w:hAnsi="宋体" w:cs="宋体" w:eastAsia="宋体" w:hint="default"/>
                <w:w w:val="100"/>
                <w:sz w:val="20"/>
                <w:szCs w:val="20"/>
              </w:rPr>
              <w:t> </w:t>
            </w:r>
            <w:r>
              <w:rPr>
                <w:rFonts w:ascii="宋体" w:hAnsi="宋体" w:cs="宋体" w:eastAsia="宋体" w:hint="default"/>
                <w:spacing w:val="7"/>
                <w:sz w:val="20"/>
                <w:szCs w:val="20"/>
              </w:rPr>
              <w:t>称由中国联合通信股份有限公司变更为中国联</w:t>
            </w:r>
            <w:r>
              <w:rPr>
                <w:rFonts w:ascii="宋体" w:hAnsi="宋体" w:cs="宋体" w:eastAsia="宋体" w:hint="default"/>
                <w:w w:val="100"/>
                <w:sz w:val="20"/>
                <w:szCs w:val="20"/>
              </w:rPr>
              <w:t> </w:t>
            </w:r>
            <w:r>
              <w:rPr>
                <w:rFonts w:ascii="宋体" w:hAnsi="宋体" w:cs="宋体" w:eastAsia="宋体" w:hint="default"/>
                <w:sz w:val="20"/>
                <w:szCs w:val="20"/>
              </w:rPr>
              <w:t>合网络通信股份有限公司。</w:t>
            </w:r>
          </w:p>
        </w:tc>
      </w:tr>
    </w:tbl>
    <w:p>
      <w:pPr>
        <w:spacing w:line="240" w:lineRule="auto" w:before="0"/>
        <w:rPr>
          <w:rFonts w:ascii="宋体" w:hAnsi="宋体" w:cs="宋体" w:eastAsia="宋体" w:hint="default"/>
          <w:b/>
          <w:bCs/>
          <w:sz w:val="20"/>
          <w:szCs w:val="20"/>
        </w:rPr>
      </w:pPr>
    </w:p>
    <w:p>
      <w:pPr>
        <w:pStyle w:val="Heading8"/>
        <w:spacing w:line="240" w:lineRule="auto" w:before="171"/>
        <w:ind w:left="269" w:right="109"/>
        <w:jc w:val="left"/>
        <w:rPr>
          <w:b w:val="0"/>
          <w:bCs w:val="0"/>
        </w:rPr>
      </w:pPr>
      <w:r>
        <w:rPr/>
        <w:t>三、</w:t>
      </w:r>
      <w:r>
        <w:rPr>
          <w:spacing w:val="-38"/>
        </w:rPr>
        <w:t> </w:t>
      </w:r>
      <w:r>
        <w:rPr/>
        <w:t>会计数据和业务数据摘要</w:t>
      </w:r>
      <w:r>
        <w:rPr>
          <w:b w:val="0"/>
          <w:bCs w:val="0"/>
        </w:rPr>
      </w:r>
    </w:p>
    <w:p>
      <w:pPr>
        <w:spacing w:line="240" w:lineRule="auto" w:before="4"/>
        <w:rPr>
          <w:rFonts w:ascii="宋体" w:hAnsi="宋体" w:cs="宋体" w:eastAsia="宋体" w:hint="default"/>
          <w:b/>
          <w:bCs/>
          <w:sz w:val="21"/>
          <w:szCs w:val="21"/>
        </w:rPr>
      </w:pPr>
    </w:p>
    <w:p>
      <w:pPr>
        <w:pStyle w:val="BodyText"/>
        <w:spacing w:line="287" w:lineRule="exact" w:before="31"/>
        <w:ind w:left="115" w:right="109"/>
        <w:jc w:val="left"/>
      </w:pPr>
      <w:r>
        <w:rPr/>
        <w:t>（一）主要会计数据</w:t>
      </w:r>
    </w:p>
    <w:p>
      <w:pPr>
        <w:pStyle w:val="BodyText"/>
        <w:spacing w:line="287" w:lineRule="exact"/>
        <w:ind w:left="0" w:right="139"/>
        <w:jc w:val="right"/>
      </w:pPr>
      <w:r>
        <w:rPr/>
        <w:t>单位：元</w:t>
      </w:r>
      <w:r>
        <w:rPr>
          <w:spacing w:val="-3"/>
        </w:rPr>
        <w:t> </w:t>
      </w:r>
      <w:r>
        <w:rPr/>
        <w:t>币种：人民币</w:t>
      </w:r>
    </w:p>
    <w:p>
      <w:pPr>
        <w:spacing w:line="240" w:lineRule="auto" w:before="7"/>
        <w:rPr>
          <w:rFonts w:ascii="宋体" w:hAnsi="宋体" w:cs="宋体" w:eastAsia="宋体" w:hint="default"/>
          <w:sz w:val="2"/>
          <w:szCs w:val="2"/>
        </w:rPr>
      </w:pPr>
    </w:p>
    <w:tbl>
      <w:tblPr>
        <w:tblW w:w="0" w:type="auto"/>
        <w:jc w:val="left"/>
        <w:tblInd w:w="253" w:type="dxa"/>
        <w:tblLayout w:type="fixed"/>
        <w:tblCellMar>
          <w:top w:w="0" w:type="dxa"/>
          <w:left w:w="0" w:type="dxa"/>
          <w:bottom w:w="0" w:type="dxa"/>
          <w:right w:w="0" w:type="dxa"/>
        </w:tblCellMar>
        <w:tblLook w:val="01E0"/>
      </w:tblPr>
      <w:tblGrid>
        <w:gridCol w:w="5544"/>
        <w:gridCol w:w="3756"/>
      </w:tblGrid>
      <w:tr>
        <w:trPr>
          <w:trHeight w:val="275"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 w:right="0"/>
              <w:jc w:val="center"/>
              <w:rPr>
                <w:rFonts w:ascii="宋体" w:hAnsi="宋体" w:cs="宋体" w:eastAsia="宋体" w:hint="default"/>
                <w:sz w:val="20"/>
                <w:szCs w:val="20"/>
              </w:rPr>
            </w:pPr>
            <w:r>
              <w:rPr>
                <w:rFonts w:ascii="宋体" w:hAnsi="宋体" w:cs="宋体" w:eastAsia="宋体" w:hint="default"/>
                <w:sz w:val="20"/>
                <w:szCs w:val="20"/>
              </w:rPr>
              <w:t>项目</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sz w:val="20"/>
                <w:szCs w:val="20"/>
              </w:rPr>
              <w:t>金额</w:t>
            </w:r>
          </w:p>
        </w:tc>
      </w:tr>
      <w:tr>
        <w:trPr>
          <w:trHeight w:val="275"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持续经营业务营业利润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99"/>
              <w:jc w:val="right"/>
              <w:rPr>
                <w:rFonts w:ascii="Arial" w:hAnsi="Arial" w:cs="Arial" w:eastAsia="Arial" w:hint="default"/>
                <w:sz w:val="20"/>
                <w:szCs w:val="20"/>
              </w:rPr>
            </w:pPr>
            <w:r>
              <w:rPr>
                <w:rFonts w:ascii="Arial"/>
                <w:spacing w:val="-1"/>
                <w:sz w:val="20"/>
              </w:rPr>
              <w:t>11,355,525,837</w:t>
            </w:r>
          </w:p>
        </w:tc>
      </w:tr>
      <w:tr>
        <w:trPr>
          <w:trHeight w:val="274"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持续经营业务利润总额</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99"/>
              <w:jc w:val="right"/>
              <w:rPr>
                <w:rFonts w:ascii="Arial" w:hAnsi="Arial" w:cs="Arial" w:eastAsia="Arial" w:hint="default"/>
                <w:sz w:val="20"/>
                <w:szCs w:val="20"/>
              </w:rPr>
            </w:pPr>
            <w:r>
              <w:rPr>
                <w:rFonts w:ascii="Arial"/>
                <w:spacing w:val="-1"/>
                <w:sz w:val="20"/>
              </w:rPr>
              <w:t>12,180,976,314</w:t>
            </w:r>
          </w:p>
        </w:tc>
      </w:tr>
      <w:tr>
        <w:trPr>
          <w:trHeight w:val="275"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归属于上市公司股东的净利润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97"/>
              <w:jc w:val="right"/>
              <w:rPr>
                <w:rFonts w:ascii="Arial" w:hAnsi="Arial" w:cs="Arial" w:eastAsia="Arial" w:hint="default"/>
                <w:sz w:val="20"/>
                <w:szCs w:val="20"/>
              </w:rPr>
            </w:pPr>
            <w:r>
              <w:rPr>
                <w:rFonts w:ascii="Arial"/>
                <w:spacing w:val="-2"/>
                <w:sz w:val="20"/>
              </w:rPr>
              <w:t>3,137,024,492</w:t>
            </w:r>
          </w:p>
        </w:tc>
      </w:tr>
      <w:tr>
        <w:trPr>
          <w:trHeight w:val="275"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归属于上市公司股东的扣除非经常性损益后的净利润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97"/>
              <w:jc w:val="right"/>
              <w:rPr>
                <w:rFonts w:ascii="Arial" w:hAnsi="Arial" w:cs="Arial" w:eastAsia="Arial" w:hint="default"/>
                <w:sz w:val="20"/>
                <w:szCs w:val="20"/>
              </w:rPr>
            </w:pPr>
            <w:r>
              <w:rPr>
                <w:rFonts w:ascii="Arial"/>
                <w:spacing w:val="-2"/>
                <w:sz w:val="20"/>
              </w:rPr>
              <w:t>2,582,711,950</w:t>
            </w:r>
          </w:p>
        </w:tc>
      </w:tr>
      <w:tr>
        <w:trPr>
          <w:trHeight w:val="275"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经营活动产生的现金流量净额</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99"/>
              <w:jc w:val="right"/>
              <w:rPr>
                <w:rFonts w:ascii="Arial" w:hAnsi="Arial" w:cs="Arial" w:eastAsia="Arial" w:hint="default"/>
                <w:sz w:val="20"/>
                <w:szCs w:val="20"/>
              </w:rPr>
            </w:pPr>
            <w:r>
              <w:rPr>
                <w:rFonts w:ascii="Arial"/>
                <w:spacing w:val="-1"/>
                <w:sz w:val="20"/>
              </w:rPr>
              <w:t>59,308,819,463</w:t>
            </w:r>
          </w:p>
        </w:tc>
      </w:tr>
    </w:tbl>
    <w:p>
      <w:pPr>
        <w:spacing w:line="240" w:lineRule="auto" w:before="4"/>
        <w:rPr>
          <w:rFonts w:ascii="宋体" w:hAnsi="宋体" w:cs="宋体" w:eastAsia="宋体" w:hint="default"/>
          <w:sz w:val="12"/>
          <w:szCs w:val="12"/>
        </w:rPr>
      </w:pPr>
    </w:p>
    <w:p>
      <w:pPr>
        <w:pStyle w:val="BodyText"/>
        <w:spacing w:line="287" w:lineRule="exact" w:before="31"/>
        <w:ind w:left="115" w:right="109"/>
        <w:jc w:val="left"/>
      </w:pPr>
      <w:r>
        <w:rPr/>
        <w:t>（二）非经常性损益项目和金额</w:t>
      </w:r>
    </w:p>
    <w:p>
      <w:pPr>
        <w:pStyle w:val="BodyText"/>
        <w:spacing w:line="287" w:lineRule="exact"/>
        <w:ind w:left="0" w:right="138"/>
        <w:jc w:val="right"/>
      </w:pPr>
      <w:r>
        <w:rPr/>
        <w:t>单位：元</w:t>
      </w:r>
      <w:r>
        <w:rPr>
          <w:spacing w:val="-3"/>
        </w:rPr>
        <w:t> </w:t>
      </w:r>
      <w:r>
        <w:rPr/>
        <w:t>币种：人民币</w:t>
      </w:r>
    </w:p>
    <w:p>
      <w:pPr>
        <w:spacing w:line="240" w:lineRule="auto" w:before="8"/>
        <w:rPr>
          <w:rFonts w:ascii="宋体" w:hAnsi="宋体" w:cs="宋体" w:eastAsia="宋体" w:hint="default"/>
          <w:sz w:val="2"/>
          <w:szCs w:val="2"/>
        </w:rPr>
      </w:pPr>
    </w:p>
    <w:tbl>
      <w:tblPr>
        <w:tblW w:w="0" w:type="auto"/>
        <w:jc w:val="left"/>
        <w:tblInd w:w="253" w:type="dxa"/>
        <w:tblLayout w:type="fixed"/>
        <w:tblCellMar>
          <w:top w:w="0" w:type="dxa"/>
          <w:left w:w="0" w:type="dxa"/>
          <w:bottom w:w="0" w:type="dxa"/>
          <w:right w:w="0" w:type="dxa"/>
        </w:tblCellMar>
        <w:tblLook w:val="01E0"/>
      </w:tblPr>
      <w:tblGrid>
        <w:gridCol w:w="4998"/>
        <w:gridCol w:w="4302"/>
      </w:tblGrid>
      <w:tr>
        <w:trPr>
          <w:trHeight w:val="275"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sz w:val="20"/>
                <w:szCs w:val="20"/>
              </w:rPr>
              <w:t>非经常性损益项目</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sz w:val="20"/>
                <w:szCs w:val="20"/>
              </w:rPr>
              <w:t>金额</w:t>
            </w:r>
          </w:p>
        </w:tc>
      </w:tr>
      <w:tr>
        <w:trPr>
          <w:trHeight w:val="533"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同一控制下企业合并产生的子公司期初至合并日的当</w:t>
            </w:r>
          </w:p>
          <w:p>
            <w:pPr>
              <w:pStyle w:val="TableParagraph"/>
              <w:spacing w:line="260" w:lineRule="exact"/>
              <w:ind w:left="295" w:right="0"/>
              <w:jc w:val="left"/>
              <w:rPr>
                <w:rFonts w:ascii="宋体" w:hAnsi="宋体" w:cs="宋体" w:eastAsia="宋体" w:hint="default"/>
                <w:sz w:val="20"/>
                <w:szCs w:val="20"/>
              </w:rPr>
            </w:pPr>
            <w:r>
              <w:rPr>
                <w:rFonts w:ascii="宋体" w:hAnsi="宋体" w:cs="宋体" w:eastAsia="宋体" w:hint="default"/>
                <w:sz w:val="20"/>
                <w:szCs w:val="20"/>
              </w:rPr>
              <w:t>期净损益</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97"/>
              <w:jc w:val="right"/>
              <w:rPr>
                <w:rFonts w:ascii="Arial" w:hAnsi="Arial" w:cs="Arial" w:eastAsia="Arial" w:hint="default"/>
                <w:sz w:val="20"/>
                <w:szCs w:val="20"/>
              </w:rPr>
            </w:pPr>
            <w:r>
              <w:rPr>
                <w:rFonts w:ascii="Arial"/>
                <w:spacing w:val="-1"/>
                <w:sz w:val="20"/>
              </w:rPr>
              <w:t>117,276,255</w:t>
            </w:r>
          </w:p>
        </w:tc>
      </w:tr>
      <w:tr>
        <w:trPr>
          <w:trHeight w:val="275"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营业外收入和支出净额</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97"/>
              <w:jc w:val="right"/>
              <w:rPr>
                <w:rFonts w:ascii="Arial" w:hAnsi="Arial" w:cs="Arial" w:eastAsia="Arial" w:hint="default"/>
                <w:sz w:val="20"/>
                <w:szCs w:val="20"/>
              </w:rPr>
            </w:pPr>
            <w:r>
              <w:rPr>
                <w:rFonts w:ascii="Arial"/>
                <w:spacing w:val="-1"/>
                <w:sz w:val="20"/>
              </w:rPr>
              <w:t>825,024,425</w:t>
            </w:r>
          </w:p>
        </w:tc>
      </w:tr>
      <w:tr>
        <w:trPr>
          <w:trHeight w:val="275"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衍生工具公允价值变动损益</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98"/>
              <w:jc w:val="right"/>
              <w:rPr>
                <w:rFonts w:ascii="Arial" w:hAnsi="Arial" w:cs="Arial" w:eastAsia="Arial" w:hint="default"/>
                <w:sz w:val="20"/>
                <w:szCs w:val="20"/>
              </w:rPr>
            </w:pPr>
            <w:r>
              <w:rPr>
                <w:rFonts w:ascii="Arial"/>
                <w:spacing w:val="-2"/>
                <w:sz w:val="20"/>
              </w:rPr>
              <w:t>1,239,125,224</w:t>
            </w:r>
          </w:p>
        </w:tc>
      </w:tr>
      <w:tr>
        <w:trPr>
          <w:trHeight w:val="274"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所得税影响额</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98"/>
              <w:jc w:val="right"/>
              <w:rPr>
                <w:rFonts w:ascii="Arial" w:hAnsi="Arial" w:cs="Arial" w:eastAsia="Arial" w:hint="default"/>
                <w:sz w:val="20"/>
                <w:szCs w:val="20"/>
              </w:rPr>
            </w:pPr>
            <w:r>
              <w:rPr>
                <w:rFonts w:ascii="Arial"/>
                <w:spacing w:val="-1"/>
                <w:sz w:val="20"/>
              </w:rPr>
              <w:t>-534,256,338</w:t>
            </w:r>
          </w:p>
        </w:tc>
      </w:tr>
      <w:tr>
        <w:trPr>
          <w:trHeight w:val="275"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少数股东损益影响额（税后）</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99"/>
              <w:jc w:val="right"/>
              <w:rPr>
                <w:rFonts w:ascii="Arial" w:hAnsi="Arial" w:cs="Arial" w:eastAsia="Arial" w:hint="default"/>
                <w:sz w:val="20"/>
                <w:szCs w:val="20"/>
              </w:rPr>
            </w:pPr>
            <w:r>
              <w:rPr>
                <w:rFonts w:ascii="Arial"/>
                <w:spacing w:val="-1"/>
                <w:sz w:val="20"/>
              </w:rPr>
              <w:t>-1,092,857,024</w:t>
            </w:r>
          </w:p>
        </w:tc>
      </w:tr>
      <w:tr>
        <w:trPr>
          <w:trHeight w:val="275" w:hRule="exact"/>
        </w:trPr>
        <w:tc>
          <w:tcPr>
            <w:tcW w:w="499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sz w:val="20"/>
                <w:szCs w:val="20"/>
              </w:rPr>
              <w:t>合计</w:t>
            </w:r>
          </w:p>
        </w:tc>
        <w:tc>
          <w:tcPr>
            <w:tcW w:w="4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7"/>
              <w:ind w:right="97"/>
              <w:jc w:val="right"/>
              <w:rPr>
                <w:rFonts w:ascii="Arial" w:hAnsi="Arial" w:cs="Arial" w:eastAsia="Arial" w:hint="default"/>
                <w:sz w:val="20"/>
                <w:szCs w:val="20"/>
              </w:rPr>
            </w:pPr>
            <w:r>
              <w:rPr>
                <w:rFonts w:ascii="Arial"/>
                <w:spacing w:val="-1"/>
                <w:sz w:val="20"/>
              </w:rPr>
              <w:t>554,312,542</w:t>
            </w:r>
          </w:p>
        </w:tc>
      </w:tr>
    </w:tbl>
    <w:p>
      <w:pPr>
        <w:spacing w:after="0" w:line="240" w:lineRule="auto"/>
        <w:jc w:val="right"/>
        <w:rPr>
          <w:rFonts w:ascii="Arial" w:hAnsi="Arial" w:cs="Arial" w:eastAsia="Arial" w:hint="default"/>
          <w:sz w:val="20"/>
          <w:szCs w:val="20"/>
        </w:rPr>
        <w:sectPr>
          <w:pgSz w:w="11910" w:h="16840"/>
          <w:pgMar w:header="587" w:footer="774" w:top="960" w:bottom="960" w:left="1060" w:right="1140"/>
        </w:sectPr>
      </w:pPr>
    </w:p>
    <w:p>
      <w:pPr>
        <w:spacing w:line="240" w:lineRule="auto" w:before="6"/>
        <w:rPr>
          <w:rFonts w:ascii="宋体" w:hAnsi="宋体" w:cs="宋体" w:eastAsia="宋体" w:hint="default"/>
          <w:sz w:val="12"/>
          <w:szCs w:val="12"/>
        </w:rPr>
      </w:pPr>
    </w:p>
    <w:p>
      <w:pPr>
        <w:pStyle w:val="BodyText"/>
        <w:spacing w:line="287" w:lineRule="exact" w:before="31"/>
        <w:ind w:left="115" w:right="0"/>
        <w:jc w:val="left"/>
      </w:pPr>
      <w:r>
        <w:rPr/>
        <w:t>（三）报告期末公司前三年主要会计数据和财务指标</w:t>
      </w:r>
    </w:p>
    <w:p>
      <w:pPr>
        <w:pStyle w:val="BodyText"/>
        <w:spacing w:line="287" w:lineRule="exact"/>
        <w:ind w:left="0" w:right="418"/>
        <w:jc w:val="right"/>
      </w:pPr>
      <w:r>
        <w:rPr/>
        <w:t>单位：元</w:t>
      </w:r>
      <w:r>
        <w:rPr>
          <w:spacing w:val="-3"/>
        </w:rPr>
        <w:t> </w:t>
      </w:r>
      <w:r>
        <w:rPr/>
        <w:t>币种：人民币</w:t>
      </w:r>
    </w:p>
    <w:p>
      <w:pPr>
        <w:spacing w:line="240" w:lineRule="auto" w:before="6"/>
        <w:rPr>
          <w:rFonts w:ascii="宋体" w:hAnsi="宋体" w:cs="宋体" w:eastAsia="宋体" w:hint="default"/>
          <w:sz w:val="2"/>
          <w:szCs w:val="2"/>
        </w:rPr>
      </w:pPr>
    </w:p>
    <w:tbl>
      <w:tblPr>
        <w:tblW w:w="0" w:type="auto"/>
        <w:jc w:val="left"/>
        <w:tblInd w:w="253" w:type="dxa"/>
        <w:tblLayout w:type="fixed"/>
        <w:tblCellMar>
          <w:top w:w="0" w:type="dxa"/>
          <w:left w:w="0" w:type="dxa"/>
          <w:bottom w:w="0" w:type="dxa"/>
          <w:right w:w="0" w:type="dxa"/>
        </w:tblCellMar>
        <w:tblLook w:val="01E0"/>
      </w:tblPr>
      <w:tblGrid>
        <w:gridCol w:w="1536"/>
        <w:gridCol w:w="1404"/>
        <w:gridCol w:w="1405"/>
        <w:gridCol w:w="1470"/>
        <w:gridCol w:w="995"/>
        <w:gridCol w:w="1373"/>
        <w:gridCol w:w="1390"/>
      </w:tblGrid>
      <w:tr>
        <w:trPr>
          <w:trHeight w:val="223" w:hRule="exact"/>
        </w:trPr>
        <w:tc>
          <w:tcPr>
            <w:tcW w:w="1536" w:type="dxa"/>
            <w:vMerge w:val="restart"/>
            <w:tcBorders>
              <w:top w:val="single" w:sz="6" w:space="0" w:color="000000"/>
              <w:left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280" w:right="0"/>
              <w:jc w:val="left"/>
              <w:rPr>
                <w:rFonts w:ascii="宋体" w:hAnsi="宋体" w:cs="宋体" w:eastAsia="宋体" w:hint="default"/>
                <w:sz w:val="16"/>
                <w:szCs w:val="16"/>
              </w:rPr>
            </w:pPr>
            <w:r>
              <w:rPr>
                <w:rFonts w:ascii="宋体" w:hAnsi="宋体" w:cs="宋体" w:eastAsia="宋体" w:hint="default"/>
                <w:sz w:val="16"/>
                <w:szCs w:val="16"/>
              </w:rPr>
              <w:t>主要会计数据</w:t>
            </w:r>
          </w:p>
        </w:tc>
        <w:tc>
          <w:tcPr>
            <w:tcW w:w="1404" w:type="dxa"/>
            <w:vMerge w:val="restart"/>
            <w:tcBorders>
              <w:top w:val="single" w:sz="6" w:space="0" w:color="000000"/>
              <w:left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417" w:right="0"/>
              <w:jc w:val="left"/>
              <w:rPr>
                <w:rFonts w:ascii="宋体" w:hAnsi="宋体" w:cs="宋体" w:eastAsia="宋体" w:hint="default"/>
                <w:sz w:val="16"/>
                <w:szCs w:val="16"/>
              </w:rPr>
            </w:pPr>
            <w:r>
              <w:rPr>
                <w:rFonts w:ascii="Arial" w:hAnsi="Arial" w:cs="Arial" w:eastAsia="Arial" w:hint="default"/>
                <w:sz w:val="16"/>
                <w:szCs w:val="16"/>
              </w:rPr>
              <w:t>2009</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2875" w:type="dxa"/>
            <w:gridSpan w:val="2"/>
            <w:tcBorders>
              <w:top w:val="single" w:sz="6" w:space="0" w:color="000000"/>
              <w:left w:val="single" w:sz="6" w:space="0" w:color="000000"/>
              <w:bottom w:val="single" w:sz="6" w:space="0" w:color="000000"/>
              <w:right w:val="single" w:sz="6" w:space="0" w:color="000000"/>
            </w:tcBorders>
          </w:tcPr>
          <w:p>
            <w:pPr>
              <w:pStyle w:val="TableParagraph"/>
              <w:spacing w:line="195" w:lineRule="exact"/>
              <w:ind w:right="0"/>
              <w:jc w:val="center"/>
              <w:rPr>
                <w:rFonts w:ascii="宋体" w:hAnsi="宋体" w:cs="宋体" w:eastAsia="宋体" w:hint="default"/>
                <w:sz w:val="16"/>
                <w:szCs w:val="16"/>
              </w:rPr>
            </w:pPr>
            <w:r>
              <w:rPr>
                <w:rFonts w:ascii="Arial" w:hAnsi="Arial" w:cs="Arial" w:eastAsia="Arial" w:hint="default"/>
                <w:sz w:val="16"/>
                <w:szCs w:val="16"/>
              </w:rPr>
              <w:t>2008</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995" w:type="dxa"/>
            <w:vMerge w:val="restart"/>
            <w:tcBorders>
              <w:top w:val="single" w:sz="6" w:space="0" w:color="000000"/>
              <w:left w:val="single" w:sz="6" w:space="0" w:color="000000"/>
              <w:right w:val="single" w:sz="6" w:space="0" w:color="000000"/>
            </w:tcBorders>
          </w:tcPr>
          <w:p>
            <w:pPr>
              <w:pStyle w:val="TableParagraph"/>
              <w:spacing w:line="182" w:lineRule="exact"/>
              <w:ind w:left="169" w:right="0"/>
              <w:jc w:val="left"/>
              <w:rPr>
                <w:rFonts w:ascii="宋体" w:hAnsi="宋体" w:cs="宋体" w:eastAsia="宋体" w:hint="default"/>
                <w:sz w:val="16"/>
                <w:szCs w:val="16"/>
              </w:rPr>
            </w:pPr>
            <w:r>
              <w:rPr>
                <w:rFonts w:ascii="宋体" w:hAnsi="宋体" w:cs="宋体" w:eastAsia="宋体" w:hint="default"/>
                <w:sz w:val="16"/>
                <w:szCs w:val="16"/>
              </w:rPr>
              <w:t>本期比上</w:t>
            </w:r>
          </w:p>
          <w:p>
            <w:pPr>
              <w:pStyle w:val="TableParagraph"/>
              <w:spacing w:line="240" w:lineRule="auto"/>
              <w:ind w:left="285" w:right="170" w:hanging="117"/>
              <w:jc w:val="left"/>
              <w:rPr>
                <w:rFonts w:ascii="Arial" w:hAnsi="Arial" w:cs="Arial" w:eastAsia="Arial" w:hint="default"/>
                <w:sz w:val="16"/>
                <w:szCs w:val="16"/>
              </w:rPr>
            </w:pPr>
            <w:r>
              <w:rPr>
                <w:rFonts w:ascii="宋体" w:hAnsi="宋体" w:cs="宋体" w:eastAsia="宋体" w:hint="default"/>
                <w:sz w:val="16"/>
                <w:szCs w:val="16"/>
              </w:rPr>
              <w:t>年同期增</w:t>
            </w:r>
            <w:r>
              <w:rPr>
                <w:rFonts w:ascii="宋体" w:hAnsi="宋体" w:cs="宋体" w:eastAsia="宋体" w:hint="default"/>
                <w:w w:val="99"/>
                <w:sz w:val="16"/>
                <w:szCs w:val="16"/>
              </w:rPr>
              <w:t> </w:t>
            </w:r>
            <w:r>
              <w:rPr>
                <w:rFonts w:ascii="宋体" w:hAnsi="宋体" w:cs="宋体" w:eastAsia="宋体" w:hint="default"/>
                <w:sz w:val="16"/>
                <w:szCs w:val="16"/>
              </w:rPr>
              <w:t>减</w:t>
            </w:r>
            <w:r>
              <w:rPr>
                <w:rFonts w:ascii="Arial" w:hAnsi="Arial" w:cs="Arial" w:eastAsia="Arial" w:hint="default"/>
                <w:sz w:val="16"/>
                <w:szCs w:val="16"/>
              </w:rPr>
              <w:t>(%)</w:t>
            </w:r>
          </w:p>
        </w:tc>
        <w:tc>
          <w:tcPr>
            <w:tcW w:w="2762" w:type="dxa"/>
            <w:gridSpan w:val="2"/>
            <w:tcBorders>
              <w:top w:val="single" w:sz="6" w:space="0" w:color="000000"/>
              <w:left w:val="single" w:sz="6" w:space="0" w:color="000000"/>
              <w:bottom w:val="single" w:sz="6" w:space="0" w:color="000000"/>
              <w:right w:val="single" w:sz="6" w:space="0" w:color="000000"/>
            </w:tcBorders>
          </w:tcPr>
          <w:p>
            <w:pPr>
              <w:pStyle w:val="TableParagraph"/>
              <w:spacing w:line="195" w:lineRule="exact"/>
              <w:ind w:right="0"/>
              <w:jc w:val="center"/>
              <w:rPr>
                <w:rFonts w:ascii="宋体" w:hAnsi="宋体" w:cs="宋体" w:eastAsia="宋体" w:hint="default"/>
                <w:sz w:val="16"/>
                <w:szCs w:val="16"/>
              </w:rPr>
            </w:pPr>
            <w:r>
              <w:rPr>
                <w:rFonts w:ascii="Arial" w:hAnsi="Arial" w:cs="Arial" w:eastAsia="Arial" w:hint="default"/>
                <w:sz w:val="16"/>
                <w:szCs w:val="16"/>
              </w:rPr>
              <w:t>2007</w:t>
            </w:r>
            <w:r>
              <w:rPr>
                <w:rFonts w:ascii="Arial" w:hAnsi="Arial" w:cs="Arial" w:eastAsia="Arial" w:hint="default"/>
                <w:spacing w:val="-7"/>
                <w:sz w:val="16"/>
                <w:szCs w:val="16"/>
              </w:rPr>
              <w:t> </w:t>
            </w:r>
            <w:r>
              <w:rPr>
                <w:rFonts w:ascii="宋体" w:hAnsi="宋体" w:cs="宋体" w:eastAsia="宋体" w:hint="default"/>
                <w:sz w:val="16"/>
                <w:szCs w:val="16"/>
              </w:rPr>
              <w:t>年</w:t>
            </w:r>
          </w:p>
        </w:tc>
      </w:tr>
      <w:tr>
        <w:trPr>
          <w:trHeight w:val="415" w:hRule="exact"/>
        </w:trPr>
        <w:tc>
          <w:tcPr>
            <w:tcW w:w="1536" w:type="dxa"/>
            <w:vMerge/>
            <w:tcBorders>
              <w:left w:val="single" w:sz="6" w:space="0" w:color="000000"/>
              <w:bottom w:val="single" w:sz="6" w:space="0" w:color="000000"/>
              <w:right w:val="single" w:sz="6" w:space="0" w:color="000000"/>
            </w:tcBorders>
          </w:tcPr>
          <w:p>
            <w:pPr/>
          </w:p>
        </w:tc>
        <w:tc>
          <w:tcPr>
            <w:tcW w:w="1404" w:type="dxa"/>
            <w:vMerge/>
            <w:tcBorders>
              <w:left w:val="single" w:sz="6" w:space="0" w:color="000000"/>
              <w:bottom w:val="single" w:sz="6" w:space="0" w:color="000000"/>
              <w:right w:val="single" w:sz="6" w:space="0" w:color="000000"/>
            </w:tcBorders>
          </w:tcPr>
          <w:p>
            <w:pP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right="150"/>
              <w:jc w:val="right"/>
              <w:rPr>
                <w:rFonts w:ascii="宋体" w:hAnsi="宋体" w:cs="宋体" w:eastAsia="宋体" w:hint="default"/>
                <w:sz w:val="16"/>
                <w:szCs w:val="16"/>
              </w:rPr>
            </w:pPr>
            <w:r>
              <w:rPr>
                <w:rFonts w:ascii="宋体" w:hAnsi="宋体" w:cs="宋体" w:eastAsia="宋体" w:hint="default"/>
                <w:sz w:val="16"/>
                <w:szCs w:val="16"/>
              </w:rPr>
              <w:t>调整后（注</w:t>
            </w:r>
            <w:r>
              <w:rPr>
                <w:rFonts w:ascii="宋体" w:hAnsi="宋体" w:cs="宋体" w:eastAsia="宋体" w:hint="default"/>
                <w:spacing w:val="-43"/>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183" w:right="0"/>
              <w:jc w:val="left"/>
              <w:rPr>
                <w:rFonts w:ascii="宋体" w:hAnsi="宋体" w:cs="宋体" w:eastAsia="宋体" w:hint="default"/>
                <w:sz w:val="16"/>
                <w:szCs w:val="16"/>
              </w:rPr>
            </w:pPr>
            <w:r>
              <w:rPr>
                <w:rFonts w:ascii="宋体" w:hAnsi="宋体" w:cs="宋体" w:eastAsia="宋体" w:hint="default"/>
                <w:sz w:val="16"/>
                <w:szCs w:val="16"/>
              </w:rPr>
              <w:t>调整前（注</w:t>
            </w:r>
            <w:r>
              <w:rPr>
                <w:rFonts w:ascii="宋体" w:hAnsi="宋体" w:cs="宋体" w:eastAsia="宋体" w:hint="default"/>
                <w:spacing w:val="-43"/>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c>
          <w:tcPr>
            <w:tcW w:w="995" w:type="dxa"/>
            <w:vMerge/>
            <w:tcBorders>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100" w:right="0"/>
              <w:jc w:val="left"/>
              <w:rPr>
                <w:rFonts w:ascii="宋体" w:hAnsi="宋体" w:cs="宋体" w:eastAsia="宋体" w:hint="default"/>
                <w:sz w:val="16"/>
                <w:szCs w:val="16"/>
              </w:rPr>
            </w:pPr>
            <w:r>
              <w:rPr>
                <w:rFonts w:ascii="宋体" w:hAnsi="宋体" w:cs="宋体" w:eastAsia="宋体" w:hint="default"/>
                <w:sz w:val="16"/>
                <w:szCs w:val="16"/>
              </w:rPr>
              <w:t>调整后（注</w:t>
            </w:r>
            <w:r>
              <w:rPr>
                <w:rFonts w:ascii="宋体" w:hAnsi="宋体" w:cs="宋体" w:eastAsia="宋体" w:hint="default"/>
                <w:spacing w:val="-43"/>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100" w:right="0"/>
              <w:jc w:val="left"/>
              <w:rPr>
                <w:rFonts w:ascii="宋体" w:hAnsi="宋体" w:cs="宋体" w:eastAsia="宋体" w:hint="default"/>
                <w:sz w:val="16"/>
                <w:szCs w:val="16"/>
              </w:rPr>
            </w:pPr>
            <w:r>
              <w:rPr>
                <w:rFonts w:ascii="宋体" w:hAnsi="宋体" w:cs="宋体" w:eastAsia="宋体" w:hint="default"/>
                <w:sz w:val="16"/>
                <w:szCs w:val="16"/>
              </w:rPr>
              <w:t>调整前（注</w:t>
            </w:r>
            <w:r>
              <w:rPr>
                <w:rFonts w:ascii="宋体" w:hAnsi="宋体" w:cs="宋体" w:eastAsia="宋体" w:hint="default"/>
                <w:spacing w:val="-43"/>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r>
      <w:tr>
        <w:trPr>
          <w:trHeight w:val="222" w:hRule="exact"/>
        </w:trPr>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ind w:left="100" w:right="0"/>
              <w:jc w:val="left"/>
              <w:rPr>
                <w:rFonts w:ascii="宋体" w:hAnsi="宋体" w:cs="宋体" w:eastAsia="宋体" w:hint="default"/>
                <w:sz w:val="16"/>
                <w:szCs w:val="16"/>
              </w:rPr>
            </w:pPr>
            <w:r>
              <w:rPr>
                <w:rFonts w:ascii="宋体" w:hAnsi="宋体" w:cs="宋体" w:eastAsia="宋体" w:hint="default"/>
                <w:sz w:val="16"/>
                <w:szCs w:val="16"/>
              </w:rPr>
              <w:t>营业收入</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158,368,819,533</w:t>
            </w:r>
            <w:r>
              <w:rPr>
                <w:rFonts w:ascii="Arial"/>
                <w:sz w:val="16"/>
              </w:rPr>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88" w:right="0"/>
              <w:jc w:val="left"/>
              <w:rPr>
                <w:rFonts w:ascii="Arial" w:hAnsi="Arial" w:cs="Arial" w:eastAsia="Arial" w:hint="default"/>
                <w:sz w:val="16"/>
                <w:szCs w:val="16"/>
              </w:rPr>
            </w:pPr>
            <w:r>
              <w:rPr>
                <w:rFonts w:ascii="Arial"/>
                <w:sz w:val="16"/>
              </w:rPr>
              <w:t>186,447,125,500</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175,160,688,064</w:t>
            </w:r>
            <w:r>
              <w:rPr>
                <w:rFonts w:ascii="Arial"/>
                <w:sz w:val="16"/>
              </w:rPr>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-15.1</w:t>
            </w:r>
            <w:r>
              <w:rPr>
                <w:rFonts w:ascii="Arial"/>
                <w:sz w:val="16"/>
              </w:rPr>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56" w:right="0"/>
              <w:jc w:val="left"/>
              <w:rPr>
                <w:rFonts w:ascii="Arial" w:hAnsi="Arial" w:cs="Arial" w:eastAsia="Arial" w:hint="default"/>
                <w:sz w:val="16"/>
                <w:szCs w:val="16"/>
              </w:rPr>
            </w:pPr>
            <w:r>
              <w:rPr>
                <w:rFonts w:ascii="Arial"/>
                <w:sz w:val="16"/>
              </w:rPr>
              <w:t>195,452,532,213</w:t>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185,800,274,093</w:t>
            </w:r>
            <w:r>
              <w:rPr>
                <w:rFonts w:ascii="Arial"/>
                <w:sz w:val="16"/>
              </w:rPr>
            </w:r>
          </w:p>
        </w:tc>
      </w:tr>
      <w:tr>
        <w:trPr>
          <w:trHeight w:val="222" w:hRule="exact"/>
        </w:trPr>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00" w:right="0"/>
              <w:jc w:val="left"/>
              <w:rPr>
                <w:rFonts w:ascii="宋体" w:hAnsi="宋体" w:cs="宋体" w:eastAsia="宋体" w:hint="default"/>
                <w:sz w:val="16"/>
                <w:szCs w:val="16"/>
              </w:rPr>
            </w:pPr>
            <w:r>
              <w:rPr>
                <w:rFonts w:ascii="Arial" w:hAnsi="Arial" w:cs="Arial" w:eastAsia="Arial" w:hint="default"/>
                <w:sz w:val="16"/>
                <w:szCs w:val="16"/>
              </w:rPr>
              <w:t>-</w:t>
            </w:r>
            <w:r>
              <w:rPr>
                <w:rFonts w:ascii="宋体" w:hAnsi="宋体" w:cs="宋体" w:eastAsia="宋体" w:hint="default"/>
                <w:sz w:val="16"/>
                <w:szCs w:val="16"/>
              </w:rPr>
              <w:t>持续经营业务</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158,368,819,533</w:t>
            </w:r>
            <w:r>
              <w:rPr>
                <w:rFonts w:ascii="Arial"/>
                <w:sz w:val="16"/>
              </w:rPr>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88" w:right="0"/>
              <w:jc w:val="left"/>
              <w:rPr>
                <w:rFonts w:ascii="Arial" w:hAnsi="Arial" w:cs="Arial" w:eastAsia="Arial" w:hint="default"/>
                <w:sz w:val="16"/>
                <w:szCs w:val="16"/>
              </w:rPr>
            </w:pPr>
            <w:r>
              <w:rPr>
                <w:rFonts w:ascii="Arial"/>
                <w:sz w:val="16"/>
              </w:rPr>
              <w:t>164,085,312,807</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152,764,263,901</w:t>
            </w:r>
            <w:r>
              <w:rPr>
                <w:rFonts w:ascii="Arial"/>
                <w:sz w:val="16"/>
              </w:rPr>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-3.5</w:t>
            </w:r>
            <w:r>
              <w:rPr>
                <w:rFonts w:ascii="Arial"/>
                <w:sz w:val="16"/>
              </w:rPr>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56" w:right="0"/>
              <w:jc w:val="left"/>
              <w:rPr>
                <w:rFonts w:ascii="Arial" w:hAnsi="Arial" w:cs="Arial" w:eastAsia="Arial" w:hint="default"/>
                <w:sz w:val="16"/>
                <w:szCs w:val="16"/>
              </w:rPr>
            </w:pPr>
            <w:r>
              <w:rPr>
                <w:rFonts w:ascii="Arial"/>
                <w:sz w:val="16"/>
              </w:rPr>
              <w:t>163,744,902,610</w:t>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154,044,688,505</w:t>
            </w:r>
            <w:r>
              <w:rPr>
                <w:rFonts w:ascii="Arial"/>
                <w:sz w:val="16"/>
              </w:rPr>
            </w:r>
          </w:p>
        </w:tc>
      </w:tr>
      <w:tr>
        <w:trPr>
          <w:trHeight w:val="223" w:hRule="exact"/>
        </w:trPr>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00" w:right="0"/>
              <w:jc w:val="left"/>
              <w:rPr>
                <w:rFonts w:ascii="宋体" w:hAnsi="宋体" w:cs="宋体" w:eastAsia="宋体" w:hint="default"/>
                <w:sz w:val="16"/>
                <w:szCs w:val="16"/>
              </w:rPr>
            </w:pPr>
            <w:r>
              <w:rPr>
                <w:rFonts w:ascii="Arial" w:hAnsi="Arial" w:cs="Arial" w:eastAsia="Arial" w:hint="default"/>
                <w:sz w:val="16"/>
                <w:szCs w:val="16"/>
              </w:rPr>
              <w:t>-</w:t>
            </w:r>
            <w:r>
              <w:rPr>
                <w:rFonts w:ascii="宋体" w:hAnsi="宋体" w:cs="宋体" w:eastAsia="宋体" w:hint="default"/>
                <w:sz w:val="16"/>
                <w:szCs w:val="16"/>
              </w:rPr>
              <w:t>终止经营业务</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7"/>
              <w:jc w:val="right"/>
              <w:rPr>
                <w:rFonts w:ascii="Arial" w:hAnsi="Arial" w:cs="Arial" w:eastAsia="Arial" w:hint="default"/>
                <w:sz w:val="16"/>
                <w:szCs w:val="16"/>
              </w:rPr>
            </w:pPr>
            <w:r>
              <w:rPr>
                <w:rFonts w:ascii="Arial"/>
                <w:w w:val="99"/>
                <w:sz w:val="16"/>
              </w:rPr>
              <w:t>-</w:t>
            </w:r>
            <w:r>
              <w:rPr>
                <w:rFonts w:ascii="Arial"/>
                <w:sz w:val="16"/>
              </w:rPr>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22,361,812,693</w:t>
            </w:r>
            <w:r>
              <w:rPr>
                <w:rFonts w:ascii="Arial"/>
                <w:sz w:val="16"/>
              </w:rPr>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22,396,424,163</w:t>
            </w:r>
            <w:r>
              <w:rPr>
                <w:rFonts w:ascii="Arial"/>
                <w:sz w:val="16"/>
              </w:rPr>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ind w:right="100"/>
              <w:jc w:val="right"/>
              <w:rPr>
                <w:rFonts w:ascii="宋体" w:hAnsi="宋体" w:cs="宋体" w:eastAsia="宋体" w:hint="default"/>
                <w:sz w:val="16"/>
                <w:szCs w:val="16"/>
              </w:rPr>
            </w:pPr>
            <w:r>
              <w:rPr>
                <w:rFonts w:ascii="宋体" w:hAnsi="宋体" w:cs="宋体" w:eastAsia="宋体" w:hint="default"/>
                <w:w w:val="95"/>
                <w:sz w:val="16"/>
                <w:szCs w:val="16"/>
              </w:rPr>
              <w:t>不适用</w:t>
            </w:r>
            <w:r>
              <w:rPr>
                <w:rFonts w:ascii="宋体" w:hAnsi="宋体" w:cs="宋体" w:eastAsia="宋体" w:hint="default"/>
                <w:sz w:val="16"/>
                <w:szCs w:val="16"/>
              </w:rPr>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31,707,629,603</w:t>
            </w:r>
            <w:r>
              <w:rPr>
                <w:rFonts w:ascii="Arial"/>
                <w:sz w:val="16"/>
              </w:rPr>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31,755,585,588</w:t>
            </w:r>
            <w:r>
              <w:rPr>
                <w:rFonts w:ascii="Arial"/>
                <w:sz w:val="16"/>
              </w:rPr>
            </w:r>
          </w:p>
        </w:tc>
      </w:tr>
      <w:tr>
        <w:trPr>
          <w:trHeight w:val="222" w:hRule="exact"/>
        </w:trPr>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ind w:left="100" w:right="0"/>
              <w:jc w:val="left"/>
              <w:rPr>
                <w:rFonts w:ascii="宋体" w:hAnsi="宋体" w:cs="宋体" w:eastAsia="宋体" w:hint="default"/>
                <w:sz w:val="16"/>
                <w:szCs w:val="16"/>
              </w:rPr>
            </w:pPr>
            <w:r>
              <w:rPr>
                <w:rFonts w:ascii="宋体" w:hAnsi="宋体" w:cs="宋体" w:eastAsia="宋体" w:hint="default"/>
                <w:sz w:val="16"/>
                <w:szCs w:val="16"/>
              </w:rPr>
              <w:t>利润总额</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12,180,976,314</w:t>
            </w:r>
            <w:r>
              <w:rPr>
                <w:rFonts w:ascii="Arial"/>
                <w:sz w:val="16"/>
              </w:rPr>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46,413,886,207</w:t>
            </w:r>
            <w:r>
              <w:rPr>
                <w:rFonts w:ascii="Arial"/>
                <w:sz w:val="16"/>
              </w:rPr>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44,915,313,105</w:t>
            </w:r>
            <w:r>
              <w:rPr>
                <w:rFonts w:ascii="Arial"/>
                <w:sz w:val="16"/>
              </w:rPr>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spacing w:val="-1"/>
                <w:sz w:val="16"/>
              </w:rPr>
              <w:t>-73.8</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1"/>
              <w:jc w:val="right"/>
              <w:rPr>
                <w:rFonts w:ascii="Arial" w:hAnsi="Arial" w:cs="Arial" w:eastAsia="Arial" w:hint="default"/>
                <w:sz w:val="16"/>
                <w:szCs w:val="16"/>
              </w:rPr>
            </w:pPr>
            <w:r>
              <w:rPr>
                <w:rFonts w:ascii="Arial"/>
                <w:w w:val="95"/>
                <w:sz w:val="16"/>
              </w:rPr>
              <w:t>29,470,241,717</w:t>
            </w:r>
            <w:r>
              <w:rPr>
                <w:rFonts w:ascii="Arial"/>
                <w:sz w:val="16"/>
              </w:rPr>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1"/>
              <w:jc w:val="right"/>
              <w:rPr>
                <w:rFonts w:ascii="Arial" w:hAnsi="Arial" w:cs="Arial" w:eastAsia="Arial" w:hint="default"/>
                <w:sz w:val="16"/>
                <w:szCs w:val="16"/>
              </w:rPr>
            </w:pPr>
            <w:r>
              <w:rPr>
                <w:rFonts w:ascii="Arial"/>
                <w:w w:val="95"/>
                <w:sz w:val="16"/>
              </w:rPr>
              <w:t>28,636,668,777</w:t>
            </w:r>
            <w:r>
              <w:rPr>
                <w:rFonts w:ascii="Arial"/>
                <w:sz w:val="16"/>
              </w:rPr>
            </w:r>
          </w:p>
        </w:tc>
      </w:tr>
      <w:tr>
        <w:trPr>
          <w:trHeight w:val="223" w:hRule="exact"/>
        </w:trPr>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00" w:right="0"/>
              <w:jc w:val="left"/>
              <w:rPr>
                <w:rFonts w:ascii="宋体" w:hAnsi="宋体" w:cs="宋体" w:eastAsia="宋体" w:hint="default"/>
                <w:sz w:val="16"/>
                <w:szCs w:val="16"/>
              </w:rPr>
            </w:pPr>
            <w:r>
              <w:rPr>
                <w:rFonts w:ascii="Arial" w:hAnsi="Arial" w:cs="Arial" w:eastAsia="Arial" w:hint="default"/>
                <w:sz w:val="16"/>
                <w:szCs w:val="16"/>
              </w:rPr>
              <w:t>-</w:t>
            </w:r>
            <w:r>
              <w:rPr>
                <w:rFonts w:ascii="宋体" w:hAnsi="宋体" w:cs="宋体" w:eastAsia="宋体" w:hint="default"/>
                <w:sz w:val="16"/>
                <w:szCs w:val="16"/>
              </w:rPr>
              <w:t>持续经营业务</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12,180,976,314</w:t>
            </w:r>
            <w:r>
              <w:rPr>
                <w:rFonts w:ascii="Arial"/>
                <w:sz w:val="16"/>
              </w:rPr>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8,980,820,597</w:t>
            </w:r>
            <w:r>
              <w:rPr>
                <w:rFonts w:ascii="Arial"/>
                <w:sz w:val="16"/>
              </w:rPr>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7,482,247,495</w:t>
            </w:r>
            <w:r>
              <w:rPr>
                <w:rFonts w:ascii="Arial"/>
                <w:sz w:val="16"/>
              </w:rPr>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35.6</w:t>
            </w:r>
            <w:r>
              <w:rPr>
                <w:rFonts w:ascii="Arial"/>
                <w:sz w:val="16"/>
              </w:rPr>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1"/>
              <w:jc w:val="right"/>
              <w:rPr>
                <w:rFonts w:ascii="Arial" w:hAnsi="Arial" w:cs="Arial" w:eastAsia="Arial" w:hint="default"/>
                <w:sz w:val="16"/>
                <w:szCs w:val="16"/>
              </w:rPr>
            </w:pPr>
            <w:r>
              <w:rPr>
                <w:rFonts w:ascii="Arial"/>
                <w:w w:val="95"/>
                <w:sz w:val="16"/>
              </w:rPr>
              <w:t>27,409,655,796</w:t>
            </w:r>
            <w:r>
              <w:rPr>
                <w:rFonts w:ascii="Arial"/>
                <w:sz w:val="16"/>
              </w:rPr>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1"/>
              <w:jc w:val="right"/>
              <w:rPr>
                <w:rFonts w:ascii="Arial" w:hAnsi="Arial" w:cs="Arial" w:eastAsia="Arial" w:hint="default"/>
                <w:sz w:val="16"/>
                <w:szCs w:val="16"/>
              </w:rPr>
            </w:pPr>
            <w:r>
              <w:rPr>
                <w:rFonts w:ascii="Arial"/>
                <w:w w:val="95"/>
                <w:sz w:val="16"/>
              </w:rPr>
              <w:t>26,576,082,856</w:t>
            </w:r>
            <w:r>
              <w:rPr>
                <w:rFonts w:ascii="Arial"/>
                <w:sz w:val="16"/>
              </w:rPr>
            </w:r>
          </w:p>
        </w:tc>
      </w:tr>
      <w:tr>
        <w:trPr>
          <w:trHeight w:val="222" w:hRule="exact"/>
        </w:trPr>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00" w:right="0"/>
              <w:jc w:val="left"/>
              <w:rPr>
                <w:rFonts w:ascii="宋体" w:hAnsi="宋体" w:cs="宋体" w:eastAsia="宋体" w:hint="default"/>
                <w:sz w:val="16"/>
                <w:szCs w:val="16"/>
              </w:rPr>
            </w:pPr>
            <w:r>
              <w:rPr>
                <w:rFonts w:ascii="Arial" w:hAnsi="Arial" w:cs="Arial" w:eastAsia="Arial" w:hint="default"/>
                <w:sz w:val="16"/>
                <w:szCs w:val="16"/>
              </w:rPr>
              <w:t>-</w:t>
            </w:r>
            <w:r>
              <w:rPr>
                <w:rFonts w:ascii="宋体" w:hAnsi="宋体" w:cs="宋体" w:eastAsia="宋体" w:hint="default"/>
                <w:sz w:val="16"/>
                <w:szCs w:val="16"/>
              </w:rPr>
              <w:t>终止经营业务</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7"/>
              <w:jc w:val="right"/>
              <w:rPr>
                <w:rFonts w:ascii="Arial" w:hAnsi="Arial" w:cs="Arial" w:eastAsia="Arial" w:hint="default"/>
                <w:sz w:val="16"/>
                <w:szCs w:val="16"/>
              </w:rPr>
            </w:pPr>
            <w:r>
              <w:rPr>
                <w:rFonts w:ascii="Arial"/>
                <w:w w:val="99"/>
                <w:sz w:val="16"/>
              </w:rPr>
              <w:t>-</w:t>
            </w:r>
            <w:r>
              <w:rPr>
                <w:rFonts w:ascii="Arial"/>
                <w:sz w:val="16"/>
              </w:rPr>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37,433,065,610</w:t>
            </w:r>
            <w:r>
              <w:rPr>
                <w:rFonts w:ascii="Arial"/>
                <w:sz w:val="16"/>
              </w:rPr>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37,433,065,610</w:t>
            </w:r>
            <w:r>
              <w:rPr>
                <w:rFonts w:ascii="Arial"/>
                <w:sz w:val="16"/>
              </w:rPr>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ind w:right="100"/>
              <w:jc w:val="right"/>
              <w:rPr>
                <w:rFonts w:ascii="宋体" w:hAnsi="宋体" w:cs="宋体" w:eastAsia="宋体" w:hint="default"/>
                <w:sz w:val="16"/>
                <w:szCs w:val="16"/>
              </w:rPr>
            </w:pPr>
            <w:r>
              <w:rPr>
                <w:rFonts w:ascii="宋体" w:hAnsi="宋体" w:cs="宋体" w:eastAsia="宋体" w:hint="default"/>
                <w:w w:val="95"/>
                <w:sz w:val="16"/>
                <w:szCs w:val="16"/>
              </w:rPr>
              <w:t>不适用</w:t>
            </w:r>
            <w:r>
              <w:rPr>
                <w:rFonts w:ascii="宋体" w:hAnsi="宋体" w:cs="宋体" w:eastAsia="宋体" w:hint="default"/>
                <w:sz w:val="16"/>
                <w:szCs w:val="16"/>
              </w:rPr>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2,060,585,921</w:t>
            </w:r>
            <w:r>
              <w:rPr>
                <w:rFonts w:ascii="Arial"/>
                <w:sz w:val="16"/>
              </w:rPr>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2,060,585,921</w:t>
            </w:r>
            <w:r>
              <w:rPr>
                <w:rFonts w:ascii="Arial"/>
                <w:sz w:val="16"/>
              </w:rPr>
            </w:r>
          </w:p>
        </w:tc>
      </w:tr>
      <w:tr>
        <w:trPr>
          <w:trHeight w:val="430" w:hRule="exact"/>
        </w:trPr>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100" w:right="0"/>
              <w:jc w:val="left"/>
              <w:rPr>
                <w:rFonts w:ascii="宋体" w:hAnsi="宋体" w:cs="宋体" w:eastAsia="宋体" w:hint="default"/>
                <w:sz w:val="16"/>
                <w:szCs w:val="16"/>
              </w:rPr>
            </w:pPr>
            <w:r>
              <w:rPr>
                <w:rFonts w:ascii="宋体" w:hAnsi="宋体" w:cs="宋体" w:eastAsia="宋体" w:hint="default"/>
                <w:sz w:val="16"/>
                <w:szCs w:val="16"/>
              </w:rPr>
              <w:t>归属于上市公司股</w:t>
            </w:r>
          </w:p>
          <w:p>
            <w:pPr>
              <w:pStyle w:val="TableParagraph"/>
              <w:spacing w:line="209" w:lineRule="exact"/>
              <w:ind w:left="266" w:right="0"/>
              <w:jc w:val="left"/>
              <w:rPr>
                <w:rFonts w:ascii="宋体" w:hAnsi="宋体" w:cs="宋体" w:eastAsia="宋体" w:hint="default"/>
                <w:sz w:val="16"/>
                <w:szCs w:val="16"/>
              </w:rPr>
            </w:pPr>
            <w:r>
              <w:rPr>
                <w:rFonts w:ascii="宋体" w:hAnsi="宋体" w:cs="宋体" w:eastAsia="宋体" w:hint="default"/>
                <w:sz w:val="16"/>
                <w:szCs w:val="16"/>
              </w:rPr>
              <w:t>东的净利润</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7"/>
              <w:jc w:val="right"/>
              <w:rPr>
                <w:rFonts w:ascii="Arial" w:hAnsi="Arial" w:cs="Arial" w:eastAsia="Arial" w:hint="default"/>
                <w:sz w:val="16"/>
                <w:szCs w:val="16"/>
              </w:rPr>
            </w:pPr>
            <w:r>
              <w:rPr>
                <w:rFonts w:ascii="Arial"/>
                <w:w w:val="95"/>
                <w:sz w:val="16"/>
              </w:rPr>
              <w:t>3,137,024,492</w:t>
            </w:r>
            <w:r>
              <w:rPr>
                <w:rFonts w:ascii="Arial"/>
                <w:sz w:val="16"/>
              </w:rPr>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0"/>
              <w:jc w:val="right"/>
              <w:rPr>
                <w:rFonts w:ascii="Arial" w:hAnsi="Arial" w:cs="Arial" w:eastAsia="Arial" w:hint="default"/>
                <w:sz w:val="16"/>
                <w:szCs w:val="16"/>
              </w:rPr>
            </w:pPr>
            <w:r>
              <w:rPr>
                <w:rFonts w:ascii="Arial"/>
                <w:w w:val="95"/>
                <w:sz w:val="16"/>
              </w:rPr>
              <w:t>20,235,902,556</w:t>
            </w:r>
            <w:r>
              <w:rPr>
                <w:rFonts w:ascii="Arial"/>
                <w:sz w:val="16"/>
              </w:rPr>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0"/>
              <w:jc w:val="right"/>
              <w:rPr>
                <w:rFonts w:ascii="Arial" w:hAnsi="Arial" w:cs="Arial" w:eastAsia="Arial" w:hint="default"/>
                <w:sz w:val="16"/>
                <w:szCs w:val="16"/>
              </w:rPr>
            </w:pPr>
            <w:r>
              <w:rPr>
                <w:rFonts w:ascii="Arial"/>
                <w:w w:val="95"/>
                <w:sz w:val="16"/>
              </w:rPr>
              <w:t>19,741,412,830</w:t>
            </w:r>
            <w:r>
              <w:rPr>
                <w:rFonts w:ascii="Arial"/>
                <w:sz w:val="16"/>
              </w:rPr>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0"/>
              <w:jc w:val="right"/>
              <w:rPr>
                <w:rFonts w:ascii="Arial" w:hAnsi="Arial" w:cs="Arial" w:eastAsia="Arial" w:hint="default"/>
                <w:sz w:val="16"/>
                <w:szCs w:val="16"/>
              </w:rPr>
            </w:pPr>
            <w:r>
              <w:rPr>
                <w:rFonts w:ascii="Arial"/>
                <w:spacing w:val="-1"/>
                <w:sz w:val="16"/>
              </w:rPr>
              <w:t>-84.5</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9"/>
              <w:jc w:val="right"/>
              <w:rPr>
                <w:rFonts w:ascii="Arial" w:hAnsi="Arial" w:cs="Arial" w:eastAsia="Arial" w:hint="default"/>
                <w:sz w:val="16"/>
                <w:szCs w:val="16"/>
              </w:rPr>
            </w:pPr>
            <w:r>
              <w:rPr>
                <w:rFonts w:ascii="Arial"/>
                <w:w w:val="95"/>
                <w:sz w:val="16"/>
              </w:rPr>
              <w:t>9,670,908,765</w:t>
            </w:r>
            <w:r>
              <w:rPr>
                <w:rFonts w:ascii="Arial"/>
                <w:sz w:val="16"/>
              </w:rPr>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9"/>
              <w:jc w:val="right"/>
              <w:rPr>
                <w:rFonts w:ascii="Arial" w:hAnsi="Arial" w:cs="Arial" w:eastAsia="Arial" w:hint="default"/>
                <w:sz w:val="16"/>
                <w:szCs w:val="16"/>
              </w:rPr>
            </w:pPr>
            <w:r>
              <w:rPr>
                <w:rFonts w:ascii="Arial"/>
                <w:w w:val="95"/>
                <w:sz w:val="16"/>
              </w:rPr>
              <w:t>9,426,109,166</w:t>
            </w:r>
            <w:r>
              <w:rPr>
                <w:rFonts w:ascii="Arial"/>
                <w:sz w:val="16"/>
              </w:rPr>
            </w:r>
          </w:p>
        </w:tc>
      </w:tr>
      <w:tr>
        <w:trPr>
          <w:trHeight w:val="223" w:hRule="exact"/>
        </w:trPr>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00" w:right="0"/>
              <w:jc w:val="left"/>
              <w:rPr>
                <w:rFonts w:ascii="宋体" w:hAnsi="宋体" w:cs="宋体" w:eastAsia="宋体" w:hint="default"/>
                <w:sz w:val="16"/>
                <w:szCs w:val="16"/>
              </w:rPr>
            </w:pPr>
            <w:r>
              <w:rPr>
                <w:rFonts w:ascii="Arial" w:hAnsi="Arial" w:cs="Arial" w:eastAsia="Arial" w:hint="default"/>
                <w:sz w:val="16"/>
                <w:szCs w:val="16"/>
              </w:rPr>
              <w:t>-</w:t>
            </w:r>
            <w:r>
              <w:rPr>
                <w:rFonts w:ascii="宋体" w:hAnsi="宋体" w:cs="宋体" w:eastAsia="宋体" w:hint="default"/>
                <w:sz w:val="16"/>
                <w:szCs w:val="16"/>
              </w:rPr>
              <w:t>持续经营业务</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7"/>
              <w:jc w:val="right"/>
              <w:rPr>
                <w:rFonts w:ascii="Arial" w:hAnsi="Arial" w:cs="Arial" w:eastAsia="Arial" w:hint="default"/>
                <w:sz w:val="16"/>
                <w:szCs w:val="16"/>
              </w:rPr>
            </w:pPr>
            <w:r>
              <w:rPr>
                <w:rFonts w:ascii="Arial"/>
                <w:w w:val="95"/>
                <w:sz w:val="16"/>
              </w:rPr>
              <w:t>3,137,024,492</w:t>
            </w:r>
            <w:r>
              <w:rPr>
                <w:rFonts w:ascii="Arial"/>
                <w:sz w:val="16"/>
              </w:rPr>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3,908,266,437</w:t>
            </w:r>
            <w:r>
              <w:rPr>
                <w:rFonts w:ascii="Arial"/>
                <w:sz w:val="16"/>
              </w:rPr>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3,413,776,711</w:t>
            </w:r>
            <w:r>
              <w:rPr>
                <w:rFonts w:ascii="Arial"/>
                <w:sz w:val="16"/>
              </w:rPr>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spacing w:val="-1"/>
                <w:sz w:val="16"/>
              </w:rPr>
              <w:t>-19.7</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9,066,161,182</w:t>
            </w:r>
            <w:r>
              <w:rPr>
                <w:rFonts w:ascii="Arial"/>
                <w:sz w:val="16"/>
              </w:rPr>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8,821,361,583</w:t>
            </w:r>
            <w:r>
              <w:rPr>
                <w:rFonts w:ascii="Arial"/>
                <w:sz w:val="16"/>
              </w:rPr>
            </w:r>
          </w:p>
        </w:tc>
      </w:tr>
      <w:tr>
        <w:trPr>
          <w:trHeight w:val="222" w:hRule="exact"/>
        </w:trPr>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00" w:right="0"/>
              <w:jc w:val="left"/>
              <w:rPr>
                <w:rFonts w:ascii="宋体" w:hAnsi="宋体" w:cs="宋体" w:eastAsia="宋体" w:hint="default"/>
                <w:sz w:val="16"/>
                <w:szCs w:val="16"/>
              </w:rPr>
            </w:pPr>
            <w:r>
              <w:rPr>
                <w:rFonts w:ascii="Arial" w:hAnsi="Arial" w:cs="Arial" w:eastAsia="Arial" w:hint="default"/>
                <w:sz w:val="16"/>
                <w:szCs w:val="16"/>
              </w:rPr>
              <w:t>-</w:t>
            </w:r>
            <w:r>
              <w:rPr>
                <w:rFonts w:ascii="宋体" w:hAnsi="宋体" w:cs="宋体" w:eastAsia="宋体" w:hint="default"/>
                <w:sz w:val="16"/>
                <w:szCs w:val="16"/>
              </w:rPr>
              <w:t>终止经营业务</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7"/>
              <w:jc w:val="right"/>
              <w:rPr>
                <w:rFonts w:ascii="Arial" w:hAnsi="Arial" w:cs="Arial" w:eastAsia="Arial" w:hint="default"/>
                <w:sz w:val="16"/>
                <w:szCs w:val="16"/>
              </w:rPr>
            </w:pPr>
            <w:r>
              <w:rPr>
                <w:rFonts w:ascii="Arial"/>
                <w:w w:val="99"/>
                <w:sz w:val="16"/>
              </w:rPr>
              <w:t>-</w:t>
            </w:r>
            <w:r>
              <w:rPr>
                <w:rFonts w:ascii="Arial"/>
                <w:sz w:val="16"/>
              </w:rPr>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16,327,636,119</w:t>
            </w:r>
            <w:r>
              <w:rPr>
                <w:rFonts w:ascii="Arial"/>
                <w:sz w:val="16"/>
              </w:rPr>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16,327,636,119</w:t>
            </w:r>
            <w:r>
              <w:rPr>
                <w:rFonts w:ascii="Arial"/>
                <w:sz w:val="16"/>
              </w:rPr>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ind w:right="100"/>
              <w:jc w:val="right"/>
              <w:rPr>
                <w:rFonts w:ascii="宋体" w:hAnsi="宋体" w:cs="宋体" w:eastAsia="宋体" w:hint="default"/>
                <w:sz w:val="16"/>
                <w:szCs w:val="16"/>
              </w:rPr>
            </w:pPr>
            <w:r>
              <w:rPr>
                <w:rFonts w:ascii="宋体" w:hAnsi="宋体" w:cs="宋体" w:eastAsia="宋体" w:hint="default"/>
                <w:w w:val="95"/>
                <w:sz w:val="16"/>
                <w:szCs w:val="16"/>
              </w:rPr>
              <w:t>不适用</w:t>
            </w:r>
            <w:r>
              <w:rPr>
                <w:rFonts w:ascii="宋体" w:hAnsi="宋体" w:cs="宋体" w:eastAsia="宋体" w:hint="default"/>
                <w:sz w:val="16"/>
                <w:szCs w:val="16"/>
              </w:rPr>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604,747,583</w:t>
            </w:r>
            <w:r>
              <w:rPr>
                <w:rFonts w:ascii="Arial"/>
                <w:sz w:val="16"/>
              </w:rPr>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604,747,583</w:t>
            </w:r>
            <w:r>
              <w:rPr>
                <w:rFonts w:ascii="Arial"/>
                <w:sz w:val="16"/>
              </w:rPr>
            </w:r>
          </w:p>
        </w:tc>
      </w:tr>
      <w:tr>
        <w:trPr>
          <w:trHeight w:val="637" w:hRule="exact"/>
        </w:trPr>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266" w:right="0" w:hanging="166"/>
              <w:jc w:val="left"/>
              <w:rPr>
                <w:rFonts w:ascii="宋体" w:hAnsi="宋体" w:cs="宋体" w:eastAsia="宋体" w:hint="default"/>
                <w:sz w:val="16"/>
                <w:szCs w:val="16"/>
              </w:rPr>
            </w:pPr>
            <w:r>
              <w:rPr>
                <w:rFonts w:ascii="宋体" w:hAnsi="宋体" w:cs="宋体" w:eastAsia="宋体" w:hint="default"/>
                <w:sz w:val="16"/>
                <w:szCs w:val="16"/>
              </w:rPr>
              <w:t>归属于上市公司股</w:t>
            </w:r>
          </w:p>
          <w:p>
            <w:pPr>
              <w:pStyle w:val="TableParagraph"/>
              <w:spacing w:line="240" w:lineRule="auto"/>
              <w:ind w:left="266" w:right="134"/>
              <w:jc w:val="left"/>
              <w:rPr>
                <w:rFonts w:ascii="宋体" w:hAnsi="宋体" w:cs="宋体" w:eastAsia="宋体" w:hint="default"/>
                <w:sz w:val="16"/>
                <w:szCs w:val="16"/>
              </w:rPr>
            </w:pPr>
            <w:r>
              <w:rPr>
                <w:rFonts w:ascii="宋体" w:hAnsi="宋体" w:cs="宋体" w:eastAsia="宋体" w:hint="default"/>
                <w:sz w:val="16"/>
                <w:szCs w:val="16"/>
              </w:rPr>
              <w:t>东的扣除非经常</w:t>
            </w:r>
            <w:r>
              <w:rPr>
                <w:rFonts w:ascii="宋体" w:hAnsi="宋体" w:cs="宋体" w:eastAsia="宋体" w:hint="default"/>
                <w:w w:val="99"/>
                <w:sz w:val="16"/>
                <w:szCs w:val="16"/>
              </w:rPr>
              <w:t> </w:t>
            </w:r>
            <w:r>
              <w:rPr>
                <w:rFonts w:ascii="宋体" w:hAnsi="宋体" w:cs="宋体" w:eastAsia="宋体" w:hint="default"/>
                <w:sz w:val="16"/>
                <w:szCs w:val="16"/>
              </w:rPr>
              <w:t>性损益的净利润</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97"/>
              <w:jc w:val="right"/>
              <w:rPr>
                <w:rFonts w:ascii="Arial" w:hAnsi="Arial" w:cs="Arial" w:eastAsia="Arial" w:hint="default"/>
                <w:sz w:val="16"/>
                <w:szCs w:val="16"/>
              </w:rPr>
            </w:pPr>
            <w:r>
              <w:rPr>
                <w:rFonts w:ascii="Arial"/>
                <w:w w:val="95"/>
                <w:sz w:val="16"/>
              </w:rPr>
              <w:t>2,582,711,950</w:t>
            </w:r>
            <w:r>
              <w:rPr>
                <w:rFonts w:ascii="Arial"/>
                <w:sz w:val="16"/>
              </w:rPr>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99"/>
              <w:jc w:val="right"/>
              <w:rPr>
                <w:rFonts w:ascii="Arial" w:hAnsi="Arial" w:cs="Arial" w:eastAsia="Arial" w:hint="default"/>
                <w:sz w:val="16"/>
                <w:szCs w:val="16"/>
              </w:rPr>
            </w:pPr>
            <w:r>
              <w:rPr>
                <w:rFonts w:ascii="Arial"/>
                <w:w w:val="95"/>
                <w:sz w:val="16"/>
              </w:rPr>
              <w:t>1,369,391,497</w:t>
            </w:r>
            <w:r>
              <w:rPr>
                <w:rFonts w:ascii="Arial"/>
                <w:sz w:val="16"/>
              </w:rPr>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99"/>
              <w:jc w:val="right"/>
              <w:rPr>
                <w:rFonts w:ascii="Arial" w:hAnsi="Arial" w:cs="Arial" w:eastAsia="Arial" w:hint="default"/>
                <w:sz w:val="16"/>
                <w:szCs w:val="16"/>
              </w:rPr>
            </w:pPr>
            <w:r>
              <w:rPr>
                <w:rFonts w:ascii="Arial"/>
                <w:w w:val="95"/>
                <w:sz w:val="16"/>
              </w:rPr>
              <w:t>1,369,391,497</w:t>
            </w:r>
            <w:r>
              <w:rPr>
                <w:rFonts w:ascii="Arial"/>
                <w:sz w:val="16"/>
              </w:rPr>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0"/>
              <w:jc w:val="right"/>
              <w:rPr>
                <w:rFonts w:ascii="Arial" w:hAnsi="Arial" w:cs="Arial" w:eastAsia="Arial" w:hint="default"/>
                <w:sz w:val="16"/>
                <w:szCs w:val="16"/>
              </w:rPr>
            </w:pPr>
            <w:r>
              <w:rPr>
                <w:rFonts w:ascii="Arial"/>
                <w:w w:val="95"/>
                <w:sz w:val="16"/>
              </w:rPr>
              <w:t>88.6</w:t>
            </w:r>
            <w:r>
              <w:rPr>
                <w:rFonts w:ascii="Arial"/>
                <w:sz w:val="16"/>
              </w:rPr>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99"/>
              <w:jc w:val="right"/>
              <w:rPr>
                <w:rFonts w:ascii="Arial" w:hAnsi="Arial" w:cs="Arial" w:eastAsia="Arial" w:hint="default"/>
                <w:sz w:val="16"/>
                <w:szCs w:val="16"/>
              </w:rPr>
            </w:pPr>
            <w:r>
              <w:rPr>
                <w:rFonts w:ascii="Arial"/>
                <w:w w:val="95"/>
                <w:sz w:val="16"/>
              </w:rPr>
              <w:t>4,294,032,036</w:t>
            </w:r>
            <w:r>
              <w:rPr>
                <w:rFonts w:ascii="Arial"/>
                <w:sz w:val="16"/>
              </w:rPr>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99"/>
              <w:jc w:val="right"/>
              <w:rPr>
                <w:rFonts w:ascii="Arial" w:hAnsi="Arial" w:cs="Arial" w:eastAsia="Arial" w:hint="default"/>
                <w:sz w:val="16"/>
                <w:szCs w:val="16"/>
              </w:rPr>
            </w:pPr>
            <w:r>
              <w:rPr>
                <w:rFonts w:ascii="Arial"/>
                <w:w w:val="95"/>
                <w:sz w:val="16"/>
              </w:rPr>
              <w:t>4,294,032,036</w:t>
            </w:r>
            <w:r>
              <w:rPr>
                <w:rFonts w:ascii="Arial"/>
                <w:sz w:val="16"/>
              </w:rPr>
            </w:r>
          </w:p>
        </w:tc>
      </w:tr>
      <w:tr>
        <w:trPr>
          <w:trHeight w:val="431" w:hRule="exact"/>
        </w:trPr>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100" w:right="0"/>
              <w:jc w:val="left"/>
              <w:rPr>
                <w:rFonts w:ascii="宋体" w:hAnsi="宋体" w:cs="宋体" w:eastAsia="宋体" w:hint="default"/>
                <w:sz w:val="16"/>
                <w:szCs w:val="16"/>
              </w:rPr>
            </w:pPr>
            <w:r>
              <w:rPr>
                <w:rFonts w:ascii="宋体" w:hAnsi="宋体" w:cs="宋体" w:eastAsia="宋体" w:hint="default"/>
                <w:sz w:val="16"/>
                <w:szCs w:val="16"/>
              </w:rPr>
              <w:t>经营活动产生的现</w:t>
            </w:r>
          </w:p>
          <w:p>
            <w:pPr>
              <w:pStyle w:val="TableParagraph"/>
              <w:spacing w:line="209" w:lineRule="exact"/>
              <w:ind w:left="266" w:right="0"/>
              <w:jc w:val="left"/>
              <w:rPr>
                <w:rFonts w:ascii="宋体" w:hAnsi="宋体" w:cs="宋体" w:eastAsia="宋体" w:hint="default"/>
                <w:sz w:val="16"/>
                <w:szCs w:val="16"/>
              </w:rPr>
            </w:pPr>
            <w:r>
              <w:rPr>
                <w:rFonts w:ascii="宋体" w:hAnsi="宋体" w:cs="宋体" w:eastAsia="宋体" w:hint="default"/>
                <w:sz w:val="16"/>
                <w:szCs w:val="16"/>
              </w:rPr>
              <w:t>金流量净额</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6"/>
                <w:szCs w:val="16"/>
              </w:rPr>
            </w:pPr>
            <w:r>
              <w:rPr>
                <w:rFonts w:ascii="Arial"/>
                <w:w w:val="95"/>
                <w:sz w:val="16"/>
              </w:rPr>
              <w:t>59,308,819,463</w:t>
            </w:r>
            <w:r>
              <w:rPr>
                <w:rFonts w:ascii="Arial"/>
                <w:sz w:val="16"/>
              </w:rPr>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0"/>
              <w:jc w:val="right"/>
              <w:rPr>
                <w:rFonts w:ascii="Arial" w:hAnsi="Arial" w:cs="Arial" w:eastAsia="Arial" w:hint="default"/>
                <w:sz w:val="16"/>
                <w:szCs w:val="16"/>
              </w:rPr>
            </w:pPr>
            <w:r>
              <w:rPr>
                <w:rFonts w:ascii="Arial"/>
                <w:w w:val="95"/>
                <w:sz w:val="16"/>
              </w:rPr>
              <w:t>60,619,117,301</w:t>
            </w:r>
            <w:r>
              <w:rPr>
                <w:rFonts w:ascii="Arial"/>
                <w:sz w:val="16"/>
              </w:rPr>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0"/>
              <w:jc w:val="right"/>
              <w:rPr>
                <w:rFonts w:ascii="Arial" w:hAnsi="Arial" w:cs="Arial" w:eastAsia="Arial" w:hint="default"/>
                <w:sz w:val="16"/>
                <w:szCs w:val="16"/>
              </w:rPr>
            </w:pPr>
            <w:r>
              <w:rPr>
                <w:rFonts w:ascii="Arial"/>
                <w:w w:val="95"/>
                <w:sz w:val="16"/>
              </w:rPr>
              <w:t>60,075,103,191</w:t>
            </w:r>
            <w:r>
              <w:rPr>
                <w:rFonts w:ascii="Arial"/>
                <w:sz w:val="16"/>
              </w:rPr>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0"/>
              <w:jc w:val="right"/>
              <w:rPr>
                <w:rFonts w:ascii="Arial" w:hAnsi="Arial" w:cs="Arial" w:eastAsia="Arial" w:hint="default"/>
                <w:sz w:val="16"/>
                <w:szCs w:val="16"/>
              </w:rPr>
            </w:pPr>
            <w:r>
              <w:rPr>
                <w:rFonts w:ascii="Arial"/>
                <w:spacing w:val="-1"/>
                <w:sz w:val="16"/>
              </w:rPr>
              <w:t>-2.2</w:t>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0"/>
              <w:jc w:val="right"/>
              <w:rPr>
                <w:rFonts w:ascii="Arial" w:hAnsi="Arial" w:cs="Arial" w:eastAsia="Arial" w:hint="default"/>
                <w:sz w:val="16"/>
                <w:szCs w:val="16"/>
              </w:rPr>
            </w:pPr>
            <w:r>
              <w:rPr>
                <w:rFonts w:ascii="Arial"/>
                <w:w w:val="95"/>
                <w:sz w:val="16"/>
              </w:rPr>
              <w:t>69,928,987,612</w:t>
            </w:r>
            <w:r>
              <w:rPr>
                <w:rFonts w:ascii="Arial"/>
                <w:sz w:val="16"/>
              </w:rPr>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Arial" w:hAnsi="Arial" w:cs="Arial" w:eastAsia="Arial" w:hint="default"/>
                <w:sz w:val="16"/>
                <w:szCs w:val="16"/>
              </w:rPr>
            </w:pPr>
            <w:r>
              <w:rPr>
                <w:rFonts w:ascii="Arial"/>
                <w:w w:val="95"/>
                <w:sz w:val="16"/>
              </w:rPr>
              <w:t>69,841,975,142</w:t>
            </w:r>
            <w:r>
              <w:rPr>
                <w:rFonts w:ascii="Arial"/>
                <w:sz w:val="16"/>
              </w:rPr>
            </w:r>
          </w:p>
        </w:tc>
      </w:tr>
      <w:tr>
        <w:trPr>
          <w:trHeight w:val="222" w:hRule="exact"/>
        </w:trPr>
        <w:tc>
          <w:tcPr>
            <w:tcW w:w="1536" w:type="dxa"/>
            <w:vMerge w:val="restart"/>
            <w:tcBorders>
              <w:top w:val="single" w:sz="6" w:space="0" w:color="000000"/>
              <w:left w:val="single" w:sz="6" w:space="0" w:color="000000"/>
              <w:right w:val="single" w:sz="6" w:space="0" w:color="000000"/>
            </w:tcBorders>
          </w:tcPr>
          <w:p>
            <w:pPr/>
          </w:p>
        </w:tc>
        <w:tc>
          <w:tcPr>
            <w:tcW w:w="1404" w:type="dxa"/>
            <w:vMerge w:val="restart"/>
            <w:tcBorders>
              <w:top w:val="single" w:sz="6" w:space="0" w:color="000000"/>
              <w:left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318" w:right="0"/>
              <w:jc w:val="left"/>
              <w:rPr>
                <w:rFonts w:ascii="宋体" w:hAnsi="宋体" w:cs="宋体" w:eastAsia="宋体" w:hint="default"/>
                <w:sz w:val="16"/>
                <w:szCs w:val="16"/>
              </w:rPr>
            </w:pPr>
            <w:r>
              <w:rPr>
                <w:rFonts w:ascii="Arial" w:hAnsi="Arial" w:cs="Arial" w:eastAsia="Arial" w:hint="default"/>
                <w:sz w:val="16"/>
                <w:szCs w:val="16"/>
              </w:rPr>
              <w:t>2009</w:t>
            </w:r>
            <w:r>
              <w:rPr>
                <w:rFonts w:ascii="Arial" w:hAnsi="Arial" w:cs="Arial" w:eastAsia="Arial" w:hint="default"/>
                <w:spacing w:val="-5"/>
                <w:sz w:val="16"/>
                <w:szCs w:val="16"/>
              </w:rPr>
              <w:t> </w:t>
            </w:r>
            <w:r>
              <w:rPr>
                <w:rFonts w:ascii="宋体" w:hAnsi="宋体" w:cs="宋体" w:eastAsia="宋体" w:hint="default"/>
                <w:sz w:val="16"/>
                <w:szCs w:val="16"/>
              </w:rPr>
              <w:t>年末</w:t>
            </w:r>
          </w:p>
        </w:tc>
        <w:tc>
          <w:tcPr>
            <w:tcW w:w="2875" w:type="dxa"/>
            <w:gridSpan w:val="2"/>
            <w:tcBorders>
              <w:top w:val="single" w:sz="6" w:space="0" w:color="000000"/>
              <w:left w:val="single" w:sz="6" w:space="0" w:color="000000"/>
              <w:bottom w:val="single" w:sz="6" w:space="0" w:color="000000"/>
              <w:right w:val="single" w:sz="6" w:space="0" w:color="000000"/>
            </w:tcBorders>
          </w:tcPr>
          <w:p>
            <w:pPr>
              <w:pStyle w:val="TableParagraph"/>
              <w:spacing w:line="195" w:lineRule="exact"/>
              <w:ind w:right="35"/>
              <w:jc w:val="center"/>
              <w:rPr>
                <w:rFonts w:ascii="宋体" w:hAnsi="宋体" w:cs="宋体" w:eastAsia="宋体" w:hint="default"/>
                <w:sz w:val="16"/>
                <w:szCs w:val="16"/>
              </w:rPr>
            </w:pPr>
            <w:r>
              <w:rPr>
                <w:rFonts w:ascii="Arial" w:hAnsi="Arial" w:cs="Arial" w:eastAsia="Arial" w:hint="default"/>
                <w:sz w:val="16"/>
                <w:szCs w:val="16"/>
              </w:rPr>
              <w:t>2008</w:t>
            </w:r>
            <w:r>
              <w:rPr>
                <w:rFonts w:ascii="Arial" w:hAnsi="Arial" w:cs="Arial" w:eastAsia="Arial" w:hint="default"/>
                <w:spacing w:val="-5"/>
                <w:sz w:val="16"/>
                <w:szCs w:val="16"/>
              </w:rPr>
              <w:t> </w:t>
            </w:r>
            <w:r>
              <w:rPr>
                <w:rFonts w:ascii="宋体" w:hAnsi="宋体" w:cs="宋体" w:eastAsia="宋体" w:hint="default"/>
                <w:sz w:val="16"/>
                <w:szCs w:val="16"/>
              </w:rPr>
              <w:t>年末</w:t>
            </w:r>
          </w:p>
        </w:tc>
        <w:tc>
          <w:tcPr>
            <w:tcW w:w="995" w:type="dxa"/>
            <w:vMerge w:val="restart"/>
            <w:tcBorders>
              <w:top w:val="single" w:sz="6" w:space="0" w:color="000000"/>
              <w:left w:val="single" w:sz="6" w:space="0" w:color="000000"/>
              <w:right w:val="single" w:sz="6" w:space="0" w:color="000000"/>
            </w:tcBorders>
          </w:tcPr>
          <w:p>
            <w:pPr>
              <w:pStyle w:val="TableParagraph"/>
              <w:spacing w:line="182" w:lineRule="exact"/>
              <w:ind w:left="169" w:right="0"/>
              <w:jc w:val="left"/>
              <w:rPr>
                <w:rFonts w:ascii="宋体" w:hAnsi="宋体" w:cs="宋体" w:eastAsia="宋体" w:hint="default"/>
                <w:sz w:val="16"/>
                <w:szCs w:val="16"/>
              </w:rPr>
            </w:pPr>
            <w:r>
              <w:rPr>
                <w:rFonts w:ascii="宋体" w:hAnsi="宋体" w:cs="宋体" w:eastAsia="宋体" w:hint="default"/>
                <w:sz w:val="16"/>
                <w:szCs w:val="16"/>
              </w:rPr>
              <w:t>本期末比</w:t>
            </w:r>
          </w:p>
          <w:p>
            <w:pPr>
              <w:pStyle w:val="TableParagraph"/>
              <w:spacing w:line="240" w:lineRule="auto"/>
              <w:ind w:left="126" w:right="124" w:firstLine="43"/>
              <w:jc w:val="left"/>
              <w:rPr>
                <w:rFonts w:ascii="Arial" w:hAnsi="Arial" w:cs="Arial" w:eastAsia="Arial" w:hint="default"/>
                <w:sz w:val="16"/>
                <w:szCs w:val="16"/>
              </w:rPr>
            </w:pPr>
            <w:r>
              <w:rPr>
                <w:rFonts w:ascii="宋体" w:hAnsi="宋体" w:cs="宋体" w:eastAsia="宋体" w:hint="default"/>
                <w:sz w:val="16"/>
                <w:szCs w:val="16"/>
              </w:rPr>
              <w:t>上年同期</w:t>
            </w:r>
            <w:r>
              <w:rPr>
                <w:rFonts w:ascii="宋体" w:hAnsi="宋体" w:cs="宋体" w:eastAsia="宋体" w:hint="default"/>
                <w:w w:val="99"/>
                <w:sz w:val="16"/>
                <w:szCs w:val="16"/>
              </w:rPr>
              <w:t> </w:t>
            </w:r>
            <w:r>
              <w:rPr>
                <w:rFonts w:ascii="宋体" w:hAnsi="宋体" w:cs="宋体" w:eastAsia="宋体" w:hint="default"/>
                <w:sz w:val="16"/>
                <w:szCs w:val="16"/>
              </w:rPr>
              <w:t>末增减</w:t>
            </w:r>
            <w:r>
              <w:rPr>
                <w:rFonts w:ascii="Arial" w:hAnsi="Arial" w:cs="Arial" w:eastAsia="Arial" w:hint="default"/>
                <w:sz w:val="16"/>
                <w:szCs w:val="16"/>
              </w:rPr>
              <w:t>(%)</w:t>
            </w:r>
          </w:p>
        </w:tc>
        <w:tc>
          <w:tcPr>
            <w:tcW w:w="2762" w:type="dxa"/>
            <w:gridSpan w:val="2"/>
            <w:tcBorders>
              <w:top w:val="single" w:sz="6" w:space="0" w:color="000000"/>
              <w:left w:val="single" w:sz="6" w:space="0" w:color="000000"/>
              <w:bottom w:val="single" w:sz="6" w:space="0" w:color="000000"/>
              <w:right w:val="single" w:sz="6" w:space="0" w:color="000000"/>
            </w:tcBorders>
          </w:tcPr>
          <w:p>
            <w:pPr>
              <w:pStyle w:val="TableParagraph"/>
              <w:spacing w:line="195" w:lineRule="exact"/>
              <w:ind w:right="46"/>
              <w:jc w:val="center"/>
              <w:rPr>
                <w:rFonts w:ascii="宋体" w:hAnsi="宋体" w:cs="宋体" w:eastAsia="宋体" w:hint="default"/>
                <w:sz w:val="16"/>
                <w:szCs w:val="16"/>
              </w:rPr>
            </w:pPr>
            <w:r>
              <w:rPr>
                <w:rFonts w:ascii="Arial" w:hAnsi="Arial" w:cs="Arial" w:eastAsia="Arial" w:hint="default"/>
                <w:sz w:val="16"/>
                <w:szCs w:val="16"/>
              </w:rPr>
              <w:t>2007</w:t>
            </w:r>
            <w:r>
              <w:rPr>
                <w:rFonts w:ascii="Arial" w:hAnsi="Arial" w:cs="Arial" w:eastAsia="Arial" w:hint="default"/>
                <w:spacing w:val="-5"/>
                <w:sz w:val="16"/>
                <w:szCs w:val="16"/>
              </w:rPr>
              <w:t> </w:t>
            </w:r>
            <w:r>
              <w:rPr>
                <w:rFonts w:ascii="宋体" w:hAnsi="宋体" w:cs="宋体" w:eastAsia="宋体" w:hint="default"/>
                <w:sz w:val="16"/>
                <w:szCs w:val="16"/>
              </w:rPr>
              <w:t>年末</w:t>
            </w:r>
          </w:p>
        </w:tc>
      </w:tr>
      <w:tr>
        <w:trPr>
          <w:trHeight w:val="415" w:hRule="exact"/>
        </w:trPr>
        <w:tc>
          <w:tcPr>
            <w:tcW w:w="1536" w:type="dxa"/>
            <w:vMerge/>
            <w:tcBorders>
              <w:left w:val="single" w:sz="6" w:space="0" w:color="000000"/>
              <w:bottom w:val="single" w:sz="6" w:space="0" w:color="000000"/>
              <w:right w:val="single" w:sz="6" w:space="0" w:color="000000"/>
            </w:tcBorders>
          </w:tcPr>
          <w:p>
            <w:pPr/>
          </w:p>
        </w:tc>
        <w:tc>
          <w:tcPr>
            <w:tcW w:w="1404" w:type="dxa"/>
            <w:vMerge/>
            <w:tcBorders>
              <w:left w:val="single" w:sz="6" w:space="0" w:color="000000"/>
              <w:bottom w:val="single" w:sz="6" w:space="0" w:color="000000"/>
              <w:right w:val="single" w:sz="6" w:space="0" w:color="000000"/>
            </w:tcBorders>
          </w:tcPr>
          <w:p>
            <w:pP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121" w:right="0"/>
              <w:jc w:val="left"/>
              <w:rPr>
                <w:rFonts w:ascii="宋体" w:hAnsi="宋体" w:cs="宋体" w:eastAsia="宋体" w:hint="default"/>
                <w:sz w:val="16"/>
                <w:szCs w:val="16"/>
              </w:rPr>
            </w:pPr>
            <w:r>
              <w:rPr>
                <w:rFonts w:ascii="宋体" w:hAnsi="宋体" w:cs="宋体" w:eastAsia="宋体" w:hint="default"/>
                <w:sz w:val="16"/>
                <w:szCs w:val="16"/>
              </w:rPr>
              <w:t>调整后（注</w:t>
            </w:r>
            <w:r>
              <w:rPr>
                <w:rFonts w:ascii="宋体" w:hAnsi="宋体" w:cs="宋体" w:eastAsia="宋体" w:hint="default"/>
                <w:spacing w:val="-43"/>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164" w:right="0"/>
              <w:jc w:val="left"/>
              <w:rPr>
                <w:rFonts w:ascii="宋体" w:hAnsi="宋体" w:cs="宋体" w:eastAsia="宋体" w:hint="default"/>
                <w:sz w:val="16"/>
                <w:szCs w:val="16"/>
              </w:rPr>
            </w:pPr>
            <w:r>
              <w:rPr>
                <w:rFonts w:ascii="宋体" w:hAnsi="宋体" w:cs="宋体" w:eastAsia="宋体" w:hint="default"/>
                <w:sz w:val="16"/>
                <w:szCs w:val="16"/>
              </w:rPr>
              <w:t>调整前（注</w:t>
            </w:r>
            <w:r>
              <w:rPr>
                <w:rFonts w:ascii="宋体" w:hAnsi="宋体" w:cs="宋体" w:eastAsia="宋体" w:hint="default"/>
                <w:spacing w:val="-43"/>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c>
          <w:tcPr>
            <w:tcW w:w="995" w:type="dxa"/>
            <w:vMerge/>
            <w:tcBorders>
              <w:left w:val="single" w:sz="6" w:space="0" w:color="000000"/>
              <w:bottom w:val="single" w:sz="6" w:space="0" w:color="000000"/>
              <w:right w:val="single" w:sz="6" w:space="0" w:color="000000"/>
            </w:tcBorders>
          </w:tcPr>
          <w:p>
            <w:pP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49" w:right="0"/>
              <w:jc w:val="left"/>
              <w:rPr>
                <w:rFonts w:ascii="宋体" w:hAnsi="宋体" w:cs="宋体" w:eastAsia="宋体" w:hint="default"/>
                <w:sz w:val="16"/>
                <w:szCs w:val="16"/>
              </w:rPr>
            </w:pPr>
            <w:r>
              <w:rPr>
                <w:rFonts w:ascii="宋体" w:hAnsi="宋体" w:cs="宋体" w:eastAsia="宋体" w:hint="default"/>
                <w:sz w:val="16"/>
                <w:szCs w:val="16"/>
              </w:rPr>
              <w:t>调整后（注</w:t>
            </w:r>
            <w:r>
              <w:rPr>
                <w:rFonts w:ascii="宋体" w:hAnsi="宋体" w:cs="宋体" w:eastAsia="宋体" w:hint="default"/>
                <w:spacing w:val="-43"/>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33" w:right="0"/>
              <w:jc w:val="left"/>
              <w:rPr>
                <w:rFonts w:ascii="宋体" w:hAnsi="宋体" w:cs="宋体" w:eastAsia="宋体" w:hint="default"/>
                <w:sz w:val="16"/>
                <w:szCs w:val="16"/>
              </w:rPr>
            </w:pPr>
            <w:r>
              <w:rPr>
                <w:rFonts w:ascii="宋体" w:hAnsi="宋体" w:cs="宋体" w:eastAsia="宋体" w:hint="default"/>
                <w:sz w:val="16"/>
                <w:szCs w:val="16"/>
              </w:rPr>
              <w:t>调整前（注</w:t>
            </w:r>
            <w:r>
              <w:rPr>
                <w:rFonts w:ascii="宋体" w:hAnsi="宋体" w:cs="宋体" w:eastAsia="宋体" w:hint="default"/>
                <w:spacing w:val="-43"/>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r>
      <w:tr>
        <w:trPr>
          <w:trHeight w:val="222" w:hRule="exact"/>
        </w:trPr>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ind w:left="100" w:right="0"/>
              <w:jc w:val="left"/>
              <w:rPr>
                <w:rFonts w:ascii="宋体" w:hAnsi="宋体" w:cs="宋体" w:eastAsia="宋体" w:hint="default"/>
                <w:sz w:val="16"/>
                <w:szCs w:val="16"/>
              </w:rPr>
            </w:pPr>
            <w:r>
              <w:rPr>
                <w:rFonts w:ascii="宋体" w:hAnsi="宋体" w:cs="宋体" w:eastAsia="宋体" w:hint="default"/>
                <w:sz w:val="16"/>
                <w:szCs w:val="16"/>
              </w:rPr>
              <w:t>总资产</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419,232,296,909</w:t>
            </w:r>
            <w:r>
              <w:rPr>
                <w:rFonts w:ascii="Arial"/>
                <w:sz w:val="16"/>
              </w:rPr>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88" w:right="0"/>
              <w:jc w:val="left"/>
              <w:rPr>
                <w:rFonts w:ascii="Arial" w:hAnsi="Arial" w:cs="Arial" w:eastAsia="Arial" w:hint="default"/>
                <w:sz w:val="16"/>
                <w:szCs w:val="16"/>
              </w:rPr>
            </w:pPr>
            <w:r>
              <w:rPr>
                <w:rFonts w:ascii="Arial"/>
                <w:sz w:val="16"/>
              </w:rPr>
              <w:t>351,847,143,522</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347,037,473,964</w:t>
            </w:r>
            <w:r>
              <w:rPr>
                <w:rFonts w:ascii="Arial"/>
                <w:sz w:val="16"/>
              </w:rPr>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19.2</w:t>
            </w:r>
            <w:r>
              <w:rPr>
                <w:rFonts w:ascii="Arial"/>
                <w:sz w:val="16"/>
              </w:rPr>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55" w:right="0"/>
              <w:jc w:val="left"/>
              <w:rPr>
                <w:rFonts w:ascii="Arial" w:hAnsi="Arial" w:cs="Arial" w:eastAsia="Arial" w:hint="default"/>
                <w:sz w:val="16"/>
                <w:szCs w:val="16"/>
              </w:rPr>
            </w:pPr>
            <w:r>
              <w:rPr>
                <w:rFonts w:ascii="Arial"/>
                <w:sz w:val="16"/>
              </w:rPr>
              <w:t>338,736,889,151</w:t>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1"/>
              <w:jc w:val="right"/>
              <w:rPr>
                <w:rFonts w:ascii="Arial" w:hAnsi="Arial" w:cs="Arial" w:eastAsia="Arial" w:hint="default"/>
                <w:sz w:val="16"/>
                <w:szCs w:val="16"/>
              </w:rPr>
            </w:pPr>
            <w:r>
              <w:rPr>
                <w:rFonts w:ascii="Arial"/>
                <w:w w:val="95"/>
                <w:sz w:val="16"/>
              </w:rPr>
              <w:t>335,715,828,729</w:t>
            </w:r>
            <w:r>
              <w:rPr>
                <w:rFonts w:ascii="Arial"/>
                <w:sz w:val="16"/>
              </w:rPr>
            </w:r>
          </w:p>
        </w:tc>
      </w:tr>
      <w:tr>
        <w:trPr>
          <w:trHeight w:val="431" w:hRule="exact"/>
        </w:trPr>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100" w:right="0"/>
              <w:jc w:val="left"/>
              <w:rPr>
                <w:rFonts w:ascii="宋体" w:hAnsi="宋体" w:cs="宋体" w:eastAsia="宋体" w:hint="default"/>
                <w:sz w:val="16"/>
                <w:szCs w:val="16"/>
              </w:rPr>
            </w:pPr>
            <w:r>
              <w:rPr>
                <w:rFonts w:ascii="宋体" w:hAnsi="宋体" w:cs="宋体" w:eastAsia="宋体" w:hint="default"/>
                <w:sz w:val="16"/>
                <w:szCs w:val="16"/>
              </w:rPr>
              <w:t>归属于母公司股东</w:t>
            </w:r>
          </w:p>
          <w:p>
            <w:pPr>
              <w:pStyle w:val="TableParagraph"/>
              <w:spacing w:line="209" w:lineRule="exact"/>
              <w:ind w:left="266" w:right="0"/>
              <w:jc w:val="left"/>
              <w:rPr>
                <w:rFonts w:ascii="宋体" w:hAnsi="宋体" w:cs="宋体" w:eastAsia="宋体" w:hint="default"/>
                <w:sz w:val="16"/>
                <w:szCs w:val="16"/>
              </w:rPr>
            </w:pPr>
            <w:r>
              <w:rPr>
                <w:rFonts w:ascii="宋体" w:hAnsi="宋体" w:cs="宋体" w:eastAsia="宋体" w:hint="default"/>
                <w:sz w:val="16"/>
                <w:szCs w:val="16"/>
              </w:rPr>
              <w:t>的股东权益</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6"/>
                <w:szCs w:val="16"/>
              </w:rPr>
            </w:pPr>
            <w:r>
              <w:rPr>
                <w:rFonts w:ascii="Arial"/>
                <w:w w:val="95"/>
                <w:sz w:val="16"/>
              </w:rPr>
              <w:t>70,983,885,838</w:t>
            </w:r>
            <w:r>
              <w:rPr>
                <w:rFonts w:ascii="Arial"/>
                <w:sz w:val="16"/>
              </w:rPr>
            </w:r>
          </w:p>
        </w:tc>
        <w:tc>
          <w:tcPr>
            <w:tcW w:w="14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0"/>
              <w:jc w:val="right"/>
              <w:rPr>
                <w:rFonts w:ascii="Arial" w:hAnsi="Arial" w:cs="Arial" w:eastAsia="Arial" w:hint="default"/>
                <w:sz w:val="16"/>
                <w:szCs w:val="16"/>
              </w:rPr>
            </w:pPr>
            <w:r>
              <w:rPr>
                <w:rFonts w:ascii="Arial"/>
                <w:w w:val="95"/>
                <w:sz w:val="16"/>
              </w:rPr>
              <w:t>70,691,323,440</w:t>
            </w:r>
            <w:r>
              <w:rPr>
                <w:rFonts w:ascii="Arial"/>
                <w:sz w:val="16"/>
              </w:rPr>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0"/>
              <w:jc w:val="right"/>
              <w:rPr>
                <w:rFonts w:ascii="Arial" w:hAnsi="Arial" w:cs="Arial" w:eastAsia="Arial" w:hint="default"/>
                <w:sz w:val="16"/>
                <w:szCs w:val="16"/>
              </w:rPr>
            </w:pPr>
            <w:r>
              <w:rPr>
                <w:rFonts w:ascii="Arial"/>
                <w:w w:val="95"/>
                <w:sz w:val="16"/>
              </w:rPr>
              <w:t>70,317,579,654</w:t>
            </w:r>
            <w:r>
              <w:rPr>
                <w:rFonts w:ascii="Arial"/>
                <w:sz w:val="16"/>
              </w:rPr>
            </w:r>
          </w:p>
        </w:tc>
        <w:tc>
          <w:tcPr>
            <w:tcW w:w="99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0"/>
              <w:jc w:val="right"/>
              <w:rPr>
                <w:rFonts w:ascii="Arial" w:hAnsi="Arial" w:cs="Arial" w:eastAsia="Arial" w:hint="default"/>
                <w:sz w:val="16"/>
                <w:szCs w:val="16"/>
              </w:rPr>
            </w:pPr>
            <w:r>
              <w:rPr>
                <w:rFonts w:ascii="Arial"/>
                <w:w w:val="95"/>
                <w:sz w:val="16"/>
              </w:rPr>
              <w:t>0.4</w:t>
            </w:r>
            <w:r>
              <w:rPr>
                <w:rFonts w:ascii="Arial"/>
                <w:sz w:val="16"/>
              </w:rPr>
            </w:r>
          </w:p>
        </w:tc>
        <w:tc>
          <w:tcPr>
            <w:tcW w:w="13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0"/>
              <w:jc w:val="right"/>
              <w:rPr>
                <w:rFonts w:ascii="Arial" w:hAnsi="Arial" w:cs="Arial" w:eastAsia="Arial" w:hint="default"/>
                <w:sz w:val="16"/>
                <w:szCs w:val="16"/>
              </w:rPr>
            </w:pPr>
            <w:r>
              <w:rPr>
                <w:rFonts w:ascii="Arial"/>
                <w:w w:val="95"/>
                <w:sz w:val="16"/>
              </w:rPr>
              <w:t>83,840,634,314</w:t>
            </w:r>
            <w:r>
              <w:rPr>
                <w:rFonts w:ascii="Arial"/>
                <w:sz w:val="16"/>
              </w:rPr>
            </w:r>
          </w:p>
        </w:tc>
        <w:tc>
          <w:tcPr>
            <w:tcW w:w="1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2"/>
              <w:jc w:val="right"/>
              <w:rPr>
                <w:rFonts w:ascii="Arial" w:hAnsi="Arial" w:cs="Arial" w:eastAsia="Arial" w:hint="default"/>
                <w:sz w:val="16"/>
                <w:szCs w:val="16"/>
              </w:rPr>
            </w:pPr>
            <w:r>
              <w:rPr>
                <w:rFonts w:ascii="Arial"/>
                <w:w w:val="95"/>
                <w:sz w:val="16"/>
              </w:rPr>
              <w:t>83,943,393,636</w:t>
            </w:r>
            <w:r>
              <w:rPr>
                <w:rFonts w:ascii="Arial"/>
                <w:sz w:val="16"/>
              </w:rPr>
            </w:r>
          </w:p>
        </w:tc>
      </w:tr>
    </w:tbl>
    <w:p>
      <w:pPr>
        <w:spacing w:line="240" w:lineRule="auto" w:before="8"/>
        <w:rPr>
          <w:rFonts w:ascii="宋体" w:hAnsi="宋体" w:cs="宋体" w:eastAsia="宋体" w:hint="default"/>
          <w:sz w:val="17"/>
          <w:szCs w:val="17"/>
        </w:rPr>
      </w:pPr>
    </w:p>
    <w:tbl>
      <w:tblPr>
        <w:tblW w:w="0" w:type="auto"/>
        <w:jc w:val="left"/>
        <w:tblInd w:w="253" w:type="dxa"/>
        <w:tblLayout w:type="fixed"/>
        <w:tblCellMar>
          <w:top w:w="0" w:type="dxa"/>
          <w:left w:w="0" w:type="dxa"/>
          <w:bottom w:w="0" w:type="dxa"/>
          <w:right w:w="0" w:type="dxa"/>
        </w:tblCellMar>
        <w:tblLook w:val="01E0"/>
      </w:tblPr>
      <w:tblGrid>
        <w:gridCol w:w="2502"/>
        <w:gridCol w:w="1067"/>
        <w:gridCol w:w="1159"/>
        <w:gridCol w:w="1090"/>
        <w:gridCol w:w="1558"/>
        <w:gridCol w:w="1117"/>
        <w:gridCol w:w="1103"/>
      </w:tblGrid>
      <w:tr>
        <w:trPr>
          <w:trHeight w:val="222" w:hRule="exact"/>
        </w:trPr>
        <w:tc>
          <w:tcPr>
            <w:tcW w:w="2502" w:type="dxa"/>
            <w:vMerge w:val="restart"/>
            <w:tcBorders>
              <w:top w:val="single" w:sz="6" w:space="0" w:color="000000"/>
              <w:left w:val="single" w:sz="6" w:space="0" w:color="000000"/>
              <w:right w:val="single" w:sz="6" w:space="0" w:color="000000"/>
            </w:tcBorders>
          </w:tcPr>
          <w:p>
            <w:pPr>
              <w:pStyle w:val="TableParagraph"/>
              <w:spacing w:line="240" w:lineRule="auto" w:before="77"/>
              <w:ind w:left="763" w:right="0"/>
              <w:jc w:val="left"/>
              <w:rPr>
                <w:rFonts w:ascii="宋体" w:hAnsi="宋体" w:cs="宋体" w:eastAsia="宋体" w:hint="default"/>
                <w:sz w:val="16"/>
                <w:szCs w:val="16"/>
              </w:rPr>
            </w:pPr>
            <w:r>
              <w:rPr>
                <w:rFonts w:ascii="宋体" w:hAnsi="宋体" w:cs="宋体" w:eastAsia="宋体" w:hint="default"/>
                <w:sz w:val="16"/>
                <w:szCs w:val="16"/>
              </w:rPr>
              <w:t>主要财务指标</w:t>
            </w:r>
          </w:p>
        </w:tc>
        <w:tc>
          <w:tcPr>
            <w:tcW w:w="1067" w:type="dxa"/>
            <w:vMerge w:val="restart"/>
            <w:tcBorders>
              <w:top w:val="single" w:sz="6" w:space="0" w:color="000000"/>
              <w:left w:val="single" w:sz="6" w:space="0" w:color="000000"/>
              <w:right w:val="single" w:sz="6" w:space="0" w:color="000000"/>
            </w:tcBorders>
          </w:tcPr>
          <w:p>
            <w:pPr>
              <w:pStyle w:val="TableParagraph"/>
              <w:spacing w:line="240" w:lineRule="auto" w:before="77"/>
              <w:ind w:left="248" w:right="0"/>
              <w:jc w:val="left"/>
              <w:rPr>
                <w:rFonts w:ascii="宋体" w:hAnsi="宋体" w:cs="宋体" w:eastAsia="宋体" w:hint="default"/>
                <w:sz w:val="16"/>
                <w:szCs w:val="16"/>
              </w:rPr>
            </w:pPr>
            <w:r>
              <w:rPr>
                <w:rFonts w:ascii="Arial" w:hAnsi="Arial" w:cs="Arial" w:eastAsia="Arial" w:hint="default"/>
                <w:sz w:val="16"/>
                <w:szCs w:val="16"/>
              </w:rPr>
              <w:t>2009</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2249" w:type="dxa"/>
            <w:gridSpan w:val="2"/>
            <w:tcBorders>
              <w:top w:val="single" w:sz="6" w:space="0" w:color="000000"/>
              <w:left w:val="single" w:sz="6" w:space="0" w:color="000000"/>
              <w:bottom w:val="single" w:sz="6" w:space="0" w:color="000000"/>
              <w:right w:val="single" w:sz="6" w:space="0" w:color="000000"/>
            </w:tcBorders>
          </w:tcPr>
          <w:p>
            <w:pPr>
              <w:pStyle w:val="TableParagraph"/>
              <w:spacing w:line="195" w:lineRule="exact"/>
              <w:ind w:right="0"/>
              <w:jc w:val="center"/>
              <w:rPr>
                <w:rFonts w:ascii="宋体" w:hAnsi="宋体" w:cs="宋体" w:eastAsia="宋体" w:hint="default"/>
                <w:sz w:val="16"/>
                <w:szCs w:val="16"/>
              </w:rPr>
            </w:pPr>
            <w:r>
              <w:rPr>
                <w:rFonts w:ascii="Arial" w:hAnsi="Arial" w:cs="Arial" w:eastAsia="Arial" w:hint="default"/>
                <w:sz w:val="16"/>
                <w:szCs w:val="16"/>
              </w:rPr>
              <w:t>2008</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1558" w:type="dxa"/>
            <w:vMerge w:val="restart"/>
            <w:tcBorders>
              <w:top w:val="single" w:sz="6" w:space="0" w:color="000000"/>
              <w:left w:val="single" w:sz="6" w:space="0" w:color="000000"/>
              <w:right w:val="single" w:sz="6" w:space="0" w:color="000000"/>
            </w:tcBorders>
          </w:tcPr>
          <w:p>
            <w:pPr>
              <w:pStyle w:val="TableParagraph"/>
              <w:spacing w:line="182" w:lineRule="exact"/>
              <w:ind w:right="0"/>
              <w:jc w:val="center"/>
              <w:rPr>
                <w:rFonts w:ascii="宋体" w:hAnsi="宋体" w:cs="宋体" w:eastAsia="宋体" w:hint="default"/>
                <w:sz w:val="16"/>
                <w:szCs w:val="16"/>
              </w:rPr>
            </w:pPr>
            <w:r>
              <w:rPr>
                <w:rFonts w:ascii="宋体" w:hAnsi="宋体" w:cs="宋体" w:eastAsia="宋体" w:hint="default"/>
                <w:sz w:val="16"/>
                <w:szCs w:val="16"/>
              </w:rPr>
              <w:t>本期比上年同期增</w:t>
            </w:r>
          </w:p>
          <w:p>
            <w:pPr>
              <w:pStyle w:val="TableParagraph"/>
              <w:spacing w:line="220" w:lineRule="exact"/>
              <w:ind w:right="0"/>
              <w:jc w:val="center"/>
              <w:rPr>
                <w:rFonts w:ascii="Arial" w:hAnsi="Arial" w:cs="Arial" w:eastAsia="Arial" w:hint="default"/>
                <w:sz w:val="16"/>
                <w:szCs w:val="16"/>
              </w:rPr>
            </w:pPr>
            <w:r>
              <w:rPr>
                <w:rFonts w:ascii="宋体" w:hAnsi="宋体" w:cs="宋体" w:eastAsia="宋体" w:hint="default"/>
                <w:sz w:val="16"/>
                <w:szCs w:val="16"/>
              </w:rPr>
              <w:t>减</w:t>
            </w:r>
            <w:r>
              <w:rPr>
                <w:rFonts w:ascii="Arial" w:hAnsi="Arial" w:cs="Arial" w:eastAsia="Arial" w:hint="default"/>
                <w:sz w:val="16"/>
                <w:szCs w:val="16"/>
              </w:rPr>
              <w:t>(%)</w:t>
            </w:r>
          </w:p>
        </w:tc>
        <w:tc>
          <w:tcPr>
            <w:tcW w:w="2220" w:type="dxa"/>
            <w:gridSpan w:val="2"/>
            <w:tcBorders>
              <w:top w:val="single" w:sz="6" w:space="0" w:color="000000"/>
              <w:left w:val="single" w:sz="6" w:space="0" w:color="000000"/>
              <w:bottom w:val="single" w:sz="6" w:space="0" w:color="000000"/>
              <w:right w:val="single" w:sz="6" w:space="0" w:color="000000"/>
            </w:tcBorders>
          </w:tcPr>
          <w:p>
            <w:pPr>
              <w:pStyle w:val="TableParagraph"/>
              <w:spacing w:line="195" w:lineRule="exact"/>
              <w:ind w:right="0"/>
              <w:jc w:val="center"/>
              <w:rPr>
                <w:rFonts w:ascii="宋体" w:hAnsi="宋体" w:cs="宋体" w:eastAsia="宋体" w:hint="default"/>
                <w:sz w:val="16"/>
                <w:szCs w:val="16"/>
              </w:rPr>
            </w:pPr>
            <w:r>
              <w:rPr>
                <w:rFonts w:ascii="Arial" w:hAnsi="Arial" w:cs="Arial" w:eastAsia="Arial" w:hint="default"/>
                <w:sz w:val="16"/>
                <w:szCs w:val="16"/>
              </w:rPr>
              <w:t>2007</w:t>
            </w:r>
            <w:r>
              <w:rPr>
                <w:rFonts w:ascii="Arial" w:hAnsi="Arial" w:cs="Arial" w:eastAsia="Arial" w:hint="default"/>
                <w:spacing w:val="-7"/>
                <w:sz w:val="16"/>
                <w:szCs w:val="16"/>
              </w:rPr>
              <w:t> </w:t>
            </w:r>
            <w:r>
              <w:rPr>
                <w:rFonts w:ascii="宋体" w:hAnsi="宋体" w:cs="宋体" w:eastAsia="宋体" w:hint="default"/>
                <w:sz w:val="16"/>
                <w:szCs w:val="16"/>
              </w:rPr>
              <w:t>年</w:t>
            </w:r>
          </w:p>
        </w:tc>
      </w:tr>
      <w:tr>
        <w:trPr>
          <w:trHeight w:val="223" w:hRule="exact"/>
        </w:trPr>
        <w:tc>
          <w:tcPr>
            <w:tcW w:w="2502" w:type="dxa"/>
            <w:vMerge/>
            <w:tcBorders>
              <w:left w:val="single" w:sz="6" w:space="0" w:color="000000"/>
              <w:bottom w:val="single" w:sz="6" w:space="0" w:color="000000"/>
              <w:right w:val="single" w:sz="6" w:space="0" w:color="000000"/>
            </w:tcBorders>
          </w:tcPr>
          <w:p>
            <w:pPr/>
          </w:p>
        </w:tc>
        <w:tc>
          <w:tcPr>
            <w:tcW w:w="1067" w:type="dxa"/>
            <w:vMerge/>
            <w:tcBorders>
              <w:left w:val="single" w:sz="6" w:space="0" w:color="000000"/>
              <w:bottom w:val="single" w:sz="6" w:space="0" w:color="000000"/>
              <w:right w:val="single" w:sz="6" w:space="0" w:color="000000"/>
            </w:tcBorders>
          </w:tcPr>
          <w:p>
            <w:pP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right="10"/>
              <w:jc w:val="right"/>
              <w:rPr>
                <w:rFonts w:ascii="宋体" w:hAnsi="宋体" w:cs="宋体" w:eastAsia="宋体" w:hint="default"/>
                <w:sz w:val="16"/>
                <w:szCs w:val="16"/>
              </w:rPr>
            </w:pPr>
            <w:r>
              <w:rPr>
                <w:rFonts w:ascii="宋体" w:hAnsi="宋体" w:cs="宋体" w:eastAsia="宋体" w:hint="default"/>
                <w:sz w:val="16"/>
                <w:szCs w:val="16"/>
              </w:rPr>
              <w:t>调整后（注</w:t>
            </w:r>
            <w:r>
              <w:rPr>
                <w:rFonts w:ascii="宋体" w:hAnsi="宋体" w:cs="宋体" w:eastAsia="宋体" w:hint="default"/>
                <w:spacing w:val="-43"/>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c>
          <w:tcPr>
            <w:tcW w:w="1090"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right="-21"/>
              <w:jc w:val="right"/>
              <w:rPr>
                <w:rFonts w:ascii="宋体" w:hAnsi="宋体" w:cs="宋体" w:eastAsia="宋体" w:hint="default"/>
                <w:sz w:val="16"/>
                <w:szCs w:val="16"/>
              </w:rPr>
            </w:pPr>
            <w:r>
              <w:rPr>
                <w:rFonts w:ascii="宋体" w:hAnsi="宋体" w:cs="宋体" w:eastAsia="宋体" w:hint="default"/>
                <w:spacing w:val="-3"/>
                <w:sz w:val="16"/>
                <w:szCs w:val="16"/>
              </w:rPr>
              <w:t>调整前（注</w:t>
            </w:r>
            <w:r>
              <w:rPr>
                <w:rFonts w:ascii="宋体" w:hAnsi="宋体" w:cs="宋体" w:eastAsia="宋体" w:hint="default"/>
                <w:spacing w:val="-39"/>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c>
          <w:tcPr>
            <w:tcW w:w="1558" w:type="dxa"/>
            <w:vMerge/>
            <w:tcBorders>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8" w:right="-5"/>
              <w:jc w:val="left"/>
              <w:rPr>
                <w:rFonts w:ascii="宋体" w:hAnsi="宋体" w:cs="宋体" w:eastAsia="宋体" w:hint="default"/>
                <w:sz w:val="16"/>
                <w:szCs w:val="16"/>
              </w:rPr>
            </w:pPr>
            <w:r>
              <w:rPr>
                <w:rFonts w:ascii="宋体" w:hAnsi="宋体" w:cs="宋体" w:eastAsia="宋体" w:hint="default"/>
                <w:sz w:val="16"/>
                <w:szCs w:val="16"/>
              </w:rPr>
              <w:t>调整后（注</w:t>
            </w:r>
            <w:r>
              <w:rPr>
                <w:rFonts w:ascii="宋体" w:hAnsi="宋体" w:cs="宋体" w:eastAsia="宋体" w:hint="default"/>
                <w:spacing w:val="-42"/>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right="-18"/>
              <w:jc w:val="right"/>
              <w:rPr>
                <w:rFonts w:ascii="宋体" w:hAnsi="宋体" w:cs="宋体" w:eastAsia="宋体" w:hint="default"/>
                <w:sz w:val="16"/>
                <w:szCs w:val="16"/>
              </w:rPr>
            </w:pPr>
            <w:r>
              <w:rPr>
                <w:rFonts w:ascii="宋体" w:hAnsi="宋体" w:cs="宋体" w:eastAsia="宋体" w:hint="default"/>
                <w:spacing w:val="-4"/>
                <w:sz w:val="16"/>
                <w:szCs w:val="16"/>
              </w:rPr>
              <w:t>调整前（注</w:t>
            </w:r>
            <w:r>
              <w:rPr>
                <w:rFonts w:ascii="宋体" w:hAnsi="宋体" w:cs="宋体" w:eastAsia="宋体" w:hint="default"/>
                <w:spacing w:val="-38"/>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r>
      <w:tr>
        <w:trPr>
          <w:trHeight w:val="222" w:hRule="exact"/>
        </w:trPr>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ind w:left="100" w:right="0"/>
              <w:jc w:val="left"/>
              <w:rPr>
                <w:rFonts w:ascii="宋体" w:hAnsi="宋体" w:cs="宋体" w:eastAsia="宋体" w:hint="default"/>
                <w:sz w:val="16"/>
                <w:szCs w:val="16"/>
              </w:rPr>
            </w:pPr>
            <w:r>
              <w:rPr>
                <w:rFonts w:ascii="宋体" w:hAnsi="宋体" w:cs="宋体" w:eastAsia="宋体" w:hint="default"/>
                <w:sz w:val="16"/>
                <w:szCs w:val="16"/>
              </w:rPr>
              <w:t>基本每股收益（元／股）</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0.1480</w:t>
            </w:r>
            <w:r>
              <w:rPr>
                <w:rFonts w:ascii="Arial"/>
                <w:sz w:val="16"/>
              </w:rPr>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0.9547</w:t>
            </w:r>
            <w:r>
              <w:rPr>
                <w:rFonts w:ascii="Arial"/>
                <w:sz w:val="16"/>
              </w:rPr>
            </w:r>
          </w:p>
        </w:tc>
        <w:tc>
          <w:tcPr>
            <w:tcW w:w="10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0.9313</w:t>
            </w:r>
            <w:r>
              <w:rPr>
                <w:rFonts w:ascii="Arial"/>
                <w:sz w:val="16"/>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-84.5</w:t>
            </w:r>
            <w:r>
              <w:rPr>
                <w:rFonts w:ascii="Arial"/>
                <w:sz w:val="16"/>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513" w:right="0"/>
              <w:jc w:val="left"/>
              <w:rPr>
                <w:rFonts w:ascii="Arial" w:hAnsi="Arial" w:cs="Arial" w:eastAsia="Arial" w:hint="default"/>
                <w:sz w:val="16"/>
                <w:szCs w:val="16"/>
              </w:rPr>
            </w:pPr>
            <w:r>
              <w:rPr>
                <w:rFonts w:ascii="Arial"/>
                <w:sz w:val="16"/>
              </w:rPr>
              <w:t>0.4562</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498" w:right="0"/>
              <w:jc w:val="left"/>
              <w:rPr>
                <w:rFonts w:ascii="Arial" w:hAnsi="Arial" w:cs="Arial" w:eastAsia="Arial" w:hint="default"/>
                <w:sz w:val="16"/>
                <w:szCs w:val="16"/>
              </w:rPr>
            </w:pPr>
            <w:r>
              <w:rPr>
                <w:rFonts w:ascii="Arial"/>
                <w:sz w:val="16"/>
              </w:rPr>
              <w:t>0.4447</w:t>
            </w:r>
          </w:p>
        </w:tc>
      </w:tr>
      <w:tr>
        <w:trPr>
          <w:trHeight w:val="223" w:hRule="exact"/>
        </w:trPr>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00" w:right="0"/>
              <w:jc w:val="left"/>
              <w:rPr>
                <w:rFonts w:ascii="宋体" w:hAnsi="宋体" w:cs="宋体" w:eastAsia="宋体" w:hint="default"/>
                <w:sz w:val="16"/>
                <w:szCs w:val="16"/>
              </w:rPr>
            </w:pPr>
            <w:r>
              <w:rPr>
                <w:rFonts w:ascii="Arial" w:hAnsi="Arial" w:cs="Arial" w:eastAsia="Arial" w:hint="default"/>
                <w:sz w:val="16"/>
                <w:szCs w:val="16"/>
              </w:rPr>
              <w:t>-</w:t>
            </w:r>
            <w:r>
              <w:rPr>
                <w:rFonts w:ascii="宋体" w:hAnsi="宋体" w:cs="宋体" w:eastAsia="宋体" w:hint="default"/>
                <w:sz w:val="16"/>
                <w:szCs w:val="16"/>
              </w:rPr>
              <w:t>持续经营业务</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99"/>
              <w:jc w:val="right"/>
              <w:rPr>
                <w:rFonts w:ascii="Arial" w:hAnsi="Arial" w:cs="Arial" w:eastAsia="Arial" w:hint="default"/>
                <w:sz w:val="16"/>
                <w:szCs w:val="16"/>
              </w:rPr>
            </w:pPr>
            <w:r>
              <w:rPr>
                <w:rFonts w:ascii="Arial"/>
                <w:w w:val="95"/>
                <w:sz w:val="16"/>
              </w:rPr>
              <w:t>0.1480</w:t>
            </w:r>
            <w:r>
              <w:rPr>
                <w:rFonts w:ascii="Arial"/>
                <w:sz w:val="16"/>
              </w:rPr>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99"/>
              <w:jc w:val="right"/>
              <w:rPr>
                <w:rFonts w:ascii="Arial" w:hAnsi="Arial" w:cs="Arial" w:eastAsia="Arial" w:hint="default"/>
                <w:sz w:val="16"/>
                <w:szCs w:val="16"/>
              </w:rPr>
            </w:pPr>
            <w:r>
              <w:rPr>
                <w:rFonts w:ascii="Arial"/>
                <w:w w:val="95"/>
                <w:sz w:val="16"/>
              </w:rPr>
              <w:t>0.1844</w:t>
            </w:r>
            <w:r>
              <w:rPr>
                <w:rFonts w:ascii="Arial"/>
                <w:sz w:val="16"/>
              </w:rPr>
            </w:r>
          </w:p>
        </w:tc>
        <w:tc>
          <w:tcPr>
            <w:tcW w:w="10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99"/>
              <w:jc w:val="right"/>
              <w:rPr>
                <w:rFonts w:ascii="Arial" w:hAnsi="Arial" w:cs="Arial" w:eastAsia="Arial" w:hint="default"/>
                <w:sz w:val="16"/>
                <w:szCs w:val="16"/>
              </w:rPr>
            </w:pPr>
            <w:r>
              <w:rPr>
                <w:rFonts w:ascii="Arial"/>
                <w:w w:val="95"/>
                <w:sz w:val="16"/>
              </w:rPr>
              <w:t>0.1610</w:t>
            </w:r>
            <w:r>
              <w:rPr>
                <w:rFonts w:ascii="Arial"/>
                <w:sz w:val="16"/>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99"/>
              <w:jc w:val="right"/>
              <w:rPr>
                <w:rFonts w:ascii="Arial" w:hAnsi="Arial" w:cs="Arial" w:eastAsia="Arial" w:hint="default"/>
                <w:sz w:val="16"/>
                <w:szCs w:val="16"/>
              </w:rPr>
            </w:pPr>
            <w:r>
              <w:rPr>
                <w:rFonts w:ascii="Arial"/>
                <w:w w:val="95"/>
                <w:sz w:val="16"/>
              </w:rPr>
              <w:t>-19.7</w:t>
            </w:r>
            <w:r>
              <w:rPr>
                <w:rFonts w:ascii="Arial"/>
                <w:sz w:val="16"/>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513" w:right="0"/>
              <w:jc w:val="left"/>
              <w:rPr>
                <w:rFonts w:ascii="Arial" w:hAnsi="Arial" w:cs="Arial" w:eastAsia="Arial" w:hint="default"/>
                <w:sz w:val="16"/>
                <w:szCs w:val="16"/>
              </w:rPr>
            </w:pPr>
            <w:r>
              <w:rPr>
                <w:rFonts w:ascii="Arial"/>
                <w:sz w:val="16"/>
              </w:rPr>
              <w:t>0.4277</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98" w:right="0"/>
              <w:jc w:val="left"/>
              <w:rPr>
                <w:rFonts w:ascii="Arial" w:hAnsi="Arial" w:cs="Arial" w:eastAsia="Arial" w:hint="default"/>
                <w:sz w:val="16"/>
                <w:szCs w:val="16"/>
              </w:rPr>
            </w:pPr>
            <w:r>
              <w:rPr>
                <w:rFonts w:ascii="Arial"/>
                <w:sz w:val="16"/>
              </w:rPr>
              <w:t>0.4162</w:t>
            </w:r>
          </w:p>
        </w:tc>
      </w:tr>
      <w:tr>
        <w:trPr>
          <w:trHeight w:val="222" w:hRule="exact"/>
        </w:trPr>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00" w:right="0"/>
              <w:jc w:val="left"/>
              <w:rPr>
                <w:rFonts w:ascii="宋体" w:hAnsi="宋体" w:cs="宋体" w:eastAsia="宋体" w:hint="default"/>
                <w:sz w:val="16"/>
                <w:szCs w:val="16"/>
              </w:rPr>
            </w:pPr>
            <w:r>
              <w:rPr>
                <w:rFonts w:ascii="Arial" w:hAnsi="Arial" w:cs="Arial" w:eastAsia="Arial" w:hint="default"/>
                <w:sz w:val="16"/>
                <w:szCs w:val="16"/>
              </w:rPr>
              <w:t>-</w:t>
            </w:r>
            <w:r>
              <w:rPr>
                <w:rFonts w:ascii="宋体" w:hAnsi="宋体" w:cs="宋体" w:eastAsia="宋体" w:hint="default"/>
                <w:sz w:val="16"/>
                <w:szCs w:val="16"/>
              </w:rPr>
              <w:t>终止经营业务</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Arial" w:hAnsi="Arial" w:cs="Arial" w:eastAsia="Arial" w:hint="default"/>
                <w:sz w:val="16"/>
                <w:szCs w:val="16"/>
              </w:rPr>
            </w:pPr>
            <w:r>
              <w:rPr>
                <w:rFonts w:ascii="Arial"/>
                <w:w w:val="99"/>
                <w:sz w:val="16"/>
              </w:rPr>
              <w:t>-</w:t>
            </w:r>
            <w:r>
              <w:rPr>
                <w:rFonts w:ascii="Arial"/>
                <w:sz w:val="16"/>
              </w:rPr>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0.7703</w:t>
            </w:r>
            <w:r>
              <w:rPr>
                <w:rFonts w:ascii="Arial"/>
                <w:sz w:val="16"/>
              </w:rPr>
            </w:r>
          </w:p>
        </w:tc>
        <w:tc>
          <w:tcPr>
            <w:tcW w:w="10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0.7703</w:t>
            </w:r>
            <w:r>
              <w:rPr>
                <w:rFonts w:ascii="Arial"/>
                <w:sz w:val="16"/>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ind w:right="100"/>
              <w:jc w:val="right"/>
              <w:rPr>
                <w:rFonts w:ascii="宋体" w:hAnsi="宋体" w:cs="宋体" w:eastAsia="宋体" w:hint="default"/>
                <w:sz w:val="16"/>
                <w:szCs w:val="16"/>
              </w:rPr>
            </w:pPr>
            <w:r>
              <w:rPr>
                <w:rFonts w:ascii="宋体" w:hAnsi="宋体" w:cs="宋体" w:eastAsia="宋体" w:hint="default"/>
                <w:w w:val="95"/>
                <w:sz w:val="16"/>
                <w:szCs w:val="16"/>
              </w:rPr>
              <w:t>不适用</w:t>
            </w:r>
            <w:r>
              <w:rPr>
                <w:rFonts w:ascii="宋体" w:hAnsi="宋体" w:cs="宋体" w:eastAsia="宋体" w:hint="default"/>
                <w:sz w:val="16"/>
                <w:szCs w:val="16"/>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513" w:right="0"/>
              <w:jc w:val="left"/>
              <w:rPr>
                <w:rFonts w:ascii="Arial" w:hAnsi="Arial" w:cs="Arial" w:eastAsia="Arial" w:hint="default"/>
                <w:sz w:val="16"/>
                <w:szCs w:val="16"/>
              </w:rPr>
            </w:pPr>
            <w:r>
              <w:rPr>
                <w:rFonts w:ascii="Arial"/>
                <w:sz w:val="16"/>
              </w:rPr>
              <w:t>0.0285</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498" w:right="0"/>
              <w:jc w:val="left"/>
              <w:rPr>
                <w:rFonts w:ascii="Arial" w:hAnsi="Arial" w:cs="Arial" w:eastAsia="Arial" w:hint="default"/>
                <w:sz w:val="16"/>
                <w:szCs w:val="16"/>
              </w:rPr>
            </w:pPr>
            <w:r>
              <w:rPr>
                <w:rFonts w:ascii="Arial"/>
                <w:sz w:val="16"/>
              </w:rPr>
              <w:t>0.0285</w:t>
            </w:r>
          </w:p>
        </w:tc>
      </w:tr>
      <w:tr>
        <w:trPr>
          <w:trHeight w:val="223" w:hRule="exact"/>
        </w:trPr>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ind w:left="100" w:right="0"/>
              <w:jc w:val="left"/>
              <w:rPr>
                <w:rFonts w:ascii="宋体" w:hAnsi="宋体" w:cs="宋体" w:eastAsia="宋体" w:hint="default"/>
                <w:sz w:val="16"/>
                <w:szCs w:val="16"/>
              </w:rPr>
            </w:pPr>
            <w:r>
              <w:rPr>
                <w:rFonts w:ascii="宋体" w:hAnsi="宋体" w:cs="宋体" w:eastAsia="宋体" w:hint="default"/>
                <w:sz w:val="16"/>
                <w:szCs w:val="16"/>
              </w:rPr>
              <w:t>稀释每股收益（元／股）</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0.1472</w:t>
            </w:r>
            <w:r>
              <w:rPr>
                <w:rFonts w:ascii="Arial"/>
                <w:sz w:val="16"/>
              </w:rPr>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0.9471</w:t>
            </w:r>
            <w:r>
              <w:rPr>
                <w:rFonts w:ascii="Arial"/>
                <w:sz w:val="16"/>
              </w:rPr>
            </w:r>
          </w:p>
        </w:tc>
        <w:tc>
          <w:tcPr>
            <w:tcW w:w="10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0.9313</w:t>
            </w:r>
            <w:r>
              <w:rPr>
                <w:rFonts w:ascii="Arial"/>
                <w:sz w:val="16"/>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-84.5</w:t>
            </w:r>
            <w:r>
              <w:rPr>
                <w:rFonts w:ascii="Arial"/>
                <w:sz w:val="16"/>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513" w:right="0"/>
              <w:jc w:val="left"/>
              <w:rPr>
                <w:rFonts w:ascii="Arial" w:hAnsi="Arial" w:cs="Arial" w:eastAsia="Arial" w:hint="default"/>
                <w:sz w:val="16"/>
                <w:szCs w:val="16"/>
              </w:rPr>
            </w:pPr>
            <w:r>
              <w:rPr>
                <w:rFonts w:ascii="Arial"/>
                <w:sz w:val="16"/>
              </w:rPr>
              <w:t>0.4514</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498" w:right="0"/>
              <w:jc w:val="left"/>
              <w:rPr>
                <w:rFonts w:ascii="Arial" w:hAnsi="Arial" w:cs="Arial" w:eastAsia="Arial" w:hint="default"/>
                <w:sz w:val="16"/>
                <w:szCs w:val="16"/>
              </w:rPr>
            </w:pPr>
            <w:r>
              <w:rPr>
                <w:rFonts w:ascii="Arial"/>
                <w:sz w:val="16"/>
              </w:rPr>
              <w:t>0.4447</w:t>
            </w:r>
          </w:p>
        </w:tc>
      </w:tr>
      <w:tr>
        <w:trPr>
          <w:trHeight w:val="223" w:hRule="exact"/>
        </w:trPr>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00" w:right="0"/>
              <w:jc w:val="left"/>
              <w:rPr>
                <w:rFonts w:ascii="宋体" w:hAnsi="宋体" w:cs="宋体" w:eastAsia="宋体" w:hint="default"/>
                <w:sz w:val="16"/>
                <w:szCs w:val="16"/>
              </w:rPr>
            </w:pPr>
            <w:r>
              <w:rPr>
                <w:rFonts w:ascii="Arial" w:hAnsi="Arial" w:cs="Arial" w:eastAsia="Arial" w:hint="default"/>
                <w:sz w:val="16"/>
                <w:szCs w:val="16"/>
              </w:rPr>
              <w:t>-</w:t>
            </w:r>
            <w:r>
              <w:rPr>
                <w:rFonts w:ascii="宋体" w:hAnsi="宋体" w:cs="宋体" w:eastAsia="宋体" w:hint="default"/>
                <w:sz w:val="16"/>
                <w:szCs w:val="16"/>
              </w:rPr>
              <w:t>持续经营业务</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99"/>
              <w:jc w:val="right"/>
              <w:rPr>
                <w:rFonts w:ascii="Arial" w:hAnsi="Arial" w:cs="Arial" w:eastAsia="Arial" w:hint="default"/>
                <w:sz w:val="16"/>
                <w:szCs w:val="16"/>
              </w:rPr>
            </w:pPr>
            <w:r>
              <w:rPr>
                <w:rFonts w:ascii="Arial"/>
                <w:w w:val="95"/>
                <w:sz w:val="16"/>
              </w:rPr>
              <w:t>0.1472</w:t>
            </w:r>
            <w:r>
              <w:rPr>
                <w:rFonts w:ascii="Arial"/>
                <w:sz w:val="16"/>
              </w:rPr>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99"/>
              <w:jc w:val="right"/>
              <w:rPr>
                <w:rFonts w:ascii="Arial" w:hAnsi="Arial" w:cs="Arial" w:eastAsia="Arial" w:hint="default"/>
                <w:sz w:val="16"/>
                <w:szCs w:val="16"/>
              </w:rPr>
            </w:pPr>
            <w:r>
              <w:rPr>
                <w:rFonts w:ascii="Arial"/>
                <w:w w:val="95"/>
                <w:sz w:val="16"/>
              </w:rPr>
              <w:t>0.1829</w:t>
            </w:r>
            <w:r>
              <w:rPr>
                <w:rFonts w:ascii="Arial"/>
                <w:sz w:val="16"/>
              </w:rPr>
            </w:r>
          </w:p>
        </w:tc>
        <w:tc>
          <w:tcPr>
            <w:tcW w:w="10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99"/>
              <w:jc w:val="right"/>
              <w:rPr>
                <w:rFonts w:ascii="Arial" w:hAnsi="Arial" w:cs="Arial" w:eastAsia="Arial" w:hint="default"/>
                <w:sz w:val="16"/>
                <w:szCs w:val="16"/>
              </w:rPr>
            </w:pPr>
            <w:r>
              <w:rPr>
                <w:rFonts w:ascii="Arial"/>
                <w:w w:val="95"/>
                <w:sz w:val="16"/>
              </w:rPr>
              <w:t>0.1610</w:t>
            </w:r>
            <w:r>
              <w:rPr>
                <w:rFonts w:ascii="Arial"/>
                <w:sz w:val="16"/>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99"/>
              <w:jc w:val="right"/>
              <w:rPr>
                <w:rFonts w:ascii="Arial" w:hAnsi="Arial" w:cs="Arial" w:eastAsia="Arial" w:hint="default"/>
                <w:sz w:val="16"/>
                <w:szCs w:val="16"/>
              </w:rPr>
            </w:pPr>
            <w:r>
              <w:rPr>
                <w:rFonts w:ascii="Arial"/>
                <w:w w:val="95"/>
                <w:sz w:val="16"/>
              </w:rPr>
              <w:t>-19.7</w:t>
            </w:r>
            <w:r>
              <w:rPr>
                <w:rFonts w:ascii="Arial"/>
                <w:sz w:val="16"/>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513" w:right="0"/>
              <w:jc w:val="left"/>
              <w:rPr>
                <w:rFonts w:ascii="Arial" w:hAnsi="Arial" w:cs="Arial" w:eastAsia="Arial" w:hint="default"/>
                <w:sz w:val="16"/>
                <w:szCs w:val="16"/>
              </w:rPr>
            </w:pPr>
            <w:r>
              <w:rPr>
                <w:rFonts w:ascii="Arial"/>
                <w:sz w:val="16"/>
              </w:rPr>
              <w:t>0.4232</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98" w:right="0"/>
              <w:jc w:val="left"/>
              <w:rPr>
                <w:rFonts w:ascii="Arial" w:hAnsi="Arial" w:cs="Arial" w:eastAsia="Arial" w:hint="default"/>
                <w:sz w:val="16"/>
                <w:szCs w:val="16"/>
              </w:rPr>
            </w:pPr>
            <w:r>
              <w:rPr>
                <w:rFonts w:ascii="Arial"/>
                <w:sz w:val="16"/>
              </w:rPr>
              <w:t>0.4162</w:t>
            </w:r>
          </w:p>
        </w:tc>
      </w:tr>
      <w:tr>
        <w:trPr>
          <w:trHeight w:val="222" w:hRule="exact"/>
        </w:trPr>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00" w:right="0"/>
              <w:jc w:val="left"/>
              <w:rPr>
                <w:rFonts w:ascii="宋体" w:hAnsi="宋体" w:cs="宋体" w:eastAsia="宋体" w:hint="default"/>
                <w:sz w:val="16"/>
                <w:szCs w:val="16"/>
              </w:rPr>
            </w:pPr>
            <w:r>
              <w:rPr>
                <w:rFonts w:ascii="Arial" w:hAnsi="Arial" w:cs="Arial" w:eastAsia="Arial" w:hint="default"/>
                <w:sz w:val="16"/>
                <w:szCs w:val="16"/>
              </w:rPr>
              <w:t>-</w:t>
            </w:r>
            <w:r>
              <w:rPr>
                <w:rFonts w:ascii="宋体" w:hAnsi="宋体" w:cs="宋体" w:eastAsia="宋体" w:hint="default"/>
                <w:sz w:val="16"/>
                <w:szCs w:val="16"/>
              </w:rPr>
              <w:t>终止经营业务</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Arial" w:hAnsi="Arial" w:cs="Arial" w:eastAsia="Arial" w:hint="default"/>
                <w:sz w:val="16"/>
                <w:szCs w:val="16"/>
              </w:rPr>
            </w:pPr>
            <w:r>
              <w:rPr>
                <w:rFonts w:ascii="Arial"/>
                <w:w w:val="99"/>
                <w:sz w:val="16"/>
              </w:rPr>
              <w:t>-</w:t>
            </w:r>
            <w:r>
              <w:rPr>
                <w:rFonts w:ascii="Arial"/>
                <w:sz w:val="16"/>
              </w:rPr>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Arial" w:hAnsi="Arial" w:cs="Arial" w:eastAsia="Arial" w:hint="default"/>
                <w:sz w:val="16"/>
                <w:szCs w:val="16"/>
              </w:rPr>
            </w:pPr>
            <w:r>
              <w:rPr>
                <w:rFonts w:ascii="Arial"/>
                <w:w w:val="95"/>
                <w:sz w:val="16"/>
              </w:rPr>
              <w:t>0.7642</w:t>
            </w:r>
            <w:r>
              <w:rPr>
                <w:rFonts w:ascii="Arial"/>
                <w:sz w:val="16"/>
              </w:rPr>
            </w:r>
          </w:p>
        </w:tc>
        <w:tc>
          <w:tcPr>
            <w:tcW w:w="10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Arial" w:hAnsi="Arial" w:cs="Arial" w:eastAsia="Arial" w:hint="default"/>
                <w:sz w:val="16"/>
                <w:szCs w:val="16"/>
              </w:rPr>
            </w:pPr>
            <w:r>
              <w:rPr>
                <w:rFonts w:ascii="Arial"/>
                <w:w w:val="95"/>
                <w:sz w:val="16"/>
              </w:rPr>
              <w:t>0.7703</w:t>
            </w:r>
            <w:r>
              <w:rPr>
                <w:rFonts w:ascii="Arial"/>
                <w:sz w:val="16"/>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ind w:right="100"/>
              <w:jc w:val="right"/>
              <w:rPr>
                <w:rFonts w:ascii="宋体" w:hAnsi="宋体" w:cs="宋体" w:eastAsia="宋体" w:hint="default"/>
                <w:sz w:val="16"/>
                <w:szCs w:val="16"/>
              </w:rPr>
            </w:pPr>
            <w:r>
              <w:rPr>
                <w:rFonts w:ascii="宋体" w:hAnsi="宋体" w:cs="宋体" w:eastAsia="宋体" w:hint="default"/>
                <w:w w:val="95"/>
                <w:sz w:val="16"/>
                <w:szCs w:val="16"/>
              </w:rPr>
              <w:t>不适用</w:t>
            </w:r>
            <w:r>
              <w:rPr>
                <w:rFonts w:ascii="宋体" w:hAnsi="宋体" w:cs="宋体" w:eastAsia="宋体" w:hint="default"/>
                <w:sz w:val="16"/>
                <w:szCs w:val="16"/>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513" w:right="0"/>
              <w:jc w:val="left"/>
              <w:rPr>
                <w:rFonts w:ascii="Arial" w:hAnsi="Arial" w:cs="Arial" w:eastAsia="Arial" w:hint="default"/>
                <w:sz w:val="16"/>
                <w:szCs w:val="16"/>
              </w:rPr>
            </w:pPr>
            <w:r>
              <w:rPr>
                <w:rFonts w:ascii="Arial"/>
                <w:sz w:val="16"/>
              </w:rPr>
              <w:t>0.0282</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498" w:right="0"/>
              <w:jc w:val="left"/>
              <w:rPr>
                <w:rFonts w:ascii="Arial" w:hAnsi="Arial" w:cs="Arial" w:eastAsia="Arial" w:hint="default"/>
                <w:sz w:val="16"/>
                <w:szCs w:val="16"/>
              </w:rPr>
            </w:pPr>
            <w:r>
              <w:rPr>
                <w:rFonts w:ascii="Arial"/>
                <w:sz w:val="16"/>
              </w:rPr>
              <w:t>0.0285</w:t>
            </w:r>
          </w:p>
        </w:tc>
      </w:tr>
      <w:tr>
        <w:trPr>
          <w:trHeight w:val="430" w:hRule="exact"/>
        </w:trPr>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100" w:right="0"/>
              <w:jc w:val="left"/>
              <w:rPr>
                <w:rFonts w:ascii="宋体" w:hAnsi="宋体" w:cs="宋体" w:eastAsia="宋体" w:hint="default"/>
                <w:sz w:val="16"/>
                <w:szCs w:val="16"/>
              </w:rPr>
            </w:pPr>
            <w:r>
              <w:rPr>
                <w:rFonts w:ascii="宋体" w:hAnsi="宋体" w:cs="宋体" w:eastAsia="宋体" w:hint="default"/>
                <w:sz w:val="16"/>
                <w:szCs w:val="16"/>
              </w:rPr>
              <w:t>扣除非经常性损益后的基本每股</w:t>
            </w:r>
          </w:p>
          <w:p>
            <w:pPr>
              <w:pStyle w:val="TableParagraph"/>
              <w:spacing w:line="209" w:lineRule="exact"/>
              <w:ind w:left="266" w:right="0"/>
              <w:jc w:val="left"/>
              <w:rPr>
                <w:rFonts w:ascii="宋体" w:hAnsi="宋体" w:cs="宋体" w:eastAsia="宋体" w:hint="default"/>
                <w:sz w:val="16"/>
                <w:szCs w:val="16"/>
              </w:rPr>
            </w:pPr>
            <w:r>
              <w:rPr>
                <w:rFonts w:ascii="宋体" w:hAnsi="宋体" w:cs="宋体" w:eastAsia="宋体" w:hint="default"/>
                <w:sz w:val="16"/>
                <w:szCs w:val="16"/>
              </w:rPr>
              <w:t>收益（元／股）</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6"/>
                <w:szCs w:val="16"/>
              </w:rPr>
            </w:pPr>
            <w:r>
              <w:rPr>
                <w:rFonts w:ascii="Arial"/>
                <w:w w:val="95"/>
                <w:sz w:val="16"/>
              </w:rPr>
              <w:t>0.122</w:t>
            </w:r>
            <w:r>
              <w:rPr>
                <w:rFonts w:ascii="Arial"/>
                <w:sz w:val="16"/>
              </w:rPr>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6"/>
                <w:szCs w:val="16"/>
              </w:rPr>
            </w:pPr>
            <w:r>
              <w:rPr>
                <w:rFonts w:ascii="Arial"/>
                <w:w w:val="95"/>
                <w:sz w:val="16"/>
              </w:rPr>
              <w:t>0.065</w:t>
            </w:r>
            <w:r>
              <w:rPr>
                <w:rFonts w:ascii="Arial"/>
                <w:sz w:val="16"/>
              </w:rPr>
            </w:r>
          </w:p>
        </w:tc>
        <w:tc>
          <w:tcPr>
            <w:tcW w:w="10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9"/>
              <w:jc w:val="right"/>
              <w:rPr>
                <w:rFonts w:ascii="Arial" w:hAnsi="Arial" w:cs="Arial" w:eastAsia="Arial" w:hint="default"/>
                <w:sz w:val="16"/>
                <w:szCs w:val="16"/>
              </w:rPr>
            </w:pPr>
            <w:r>
              <w:rPr>
                <w:rFonts w:ascii="Arial"/>
                <w:w w:val="95"/>
                <w:sz w:val="16"/>
              </w:rPr>
              <w:t>0.065</w:t>
            </w:r>
            <w:r>
              <w:rPr>
                <w:rFonts w:ascii="Arial"/>
                <w:sz w:val="16"/>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9"/>
              <w:jc w:val="right"/>
              <w:rPr>
                <w:rFonts w:ascii="Arial" w:hAnsi="Arial" w:cs="Arial" w:eastAsia="Arial" w:hint="default"/>
                <w:sz w:val="16"/>
                <w:szCs w:val="16"/>
              </w:rPr>
            </w:pPr>
            <w:r>
              <w:rPr>
                <w:rFonts w:ascii="Arial"/>
                <w:w w:val="95"/>
                <w:sz w:val="16"/>
              </w:rPr>
              <w:t>88.6</w:t>
            </w:r>
            <w:r>
              <w:rPr>
                <w:rFonts w:ascii="Arial"/>
                <w:sz w:val="16"/>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602" w:right="0"/>
              <w:jc w:val="left"/>
              <w:rPr>
                <w:rFonts w:ascii="Arial" w:hAnsi="Arial" w:cs="Arial" w:eastAsia="Arial" w:hint="default"/>
                <w:sz w:val="16"/>
                <w:szCs w:val="16"/>
              </w:rPr>
            </w:pPr>
            <w:r>
              <w:rPr>
                <w:rFonts w:ascii="Arial"/>
                <w:sz w:val="16"/>
              </w:rPr>
              <w:t>0.203</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587" w:right="0"/>
              <w:jc w:val="left"/>
              <w:rPr>
                <w:rFonts w:ascii="Arial" w:hAnsi="Arial" w:cs="Arial" w:eastAsia="Arial" w:hint="default"/>
                <w:sz w:val="16"/>
                <w:szCs w:val="16"/>
              </w:rPr>
            </w:pPr>
            <w:r>
              <w:rPr>
                <w:rFonts w:ascii="Arial"/>
                <w:sz w:val="16"/>
              </w:rPr>
              <w:t>0.203</w:t>
            </w:r>
          </w:p>
        </w:tc>
      </w:tr>
      <w:tr>
        <w:trPr>
          <w:trHeight w:val="223" w:hRule="exact"/>
        </w:trPr>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00" w:right="0"/>
              <w:jc w:val="left"/>
              <w:rPr>
                <w:rFonts w:ascii="宋体" w:hAnsi="宋体" w:cs="宋体" w:eastAsia="宋体" w:hint="default"/>
                <w:sz w:val="16"/>
                <w:szCs w:val="16"/>
              </w:rPr>
            </w:pPr>
            <w:r>
              <w:rPr>
                <w:rFonts w:ascii="宋体" w:hAnsi="宋体" w:cs="宋体" w:eastAsia="宋体" w:hint="default"/>
                <w:sz w:val="16"/>
                <w:szCs w:val="16"/>
              </w:rPr>
              <w:t>加权平均净资产收益率（</w:t>
            </w:r>
            <w:r>
              <w:rPr>
                <w:rFonts w:ascii="Arial" w:hAnsi="Arial" w:cs="Arial" w:eastAsia="Arial" w:hint="default"/>
                <w:sz w:val="16"/>
                <w:szCs w:val="16"/>
              </w:rPr>
              <w:t>%</w:t>
            </w:r>
            <w:r>
              <w:rPr>
                <w:rFonts w:ascii="宋体" w:hAnsi="宋体" w:cs="宋体" w:eastAsia="宋体" w:hint="default"/>
                <w:sz w:val="16"/>
                <w:szCs w:val="16"/>
              </w:rPr>
              <w:t>）</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Arial" w:hAnsi="Arial" w:cs="Arial" w:eastAsia="Arial" w:hint="default"/>
                <w:sz w:val="16"/>
                <w:szCs w:val="16"/>
              </w:rPr>
            </w:pPr>
            <w:r>
              <w:rPr>
                <w:rFonts w:ascii="Arial"/>
                <w:w w:val="95"/>
                <w:sz w:val="16"/>
              </w:rPr>
              <w:t>4.5</w:t>
            </w:r>
            <w:r>
              <w:rPr>
                <w:rFonts w:ascii="Arial"/>
                <w:sz w:val="16"/>
              </w:rPr>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Arial" w:hAnsi="Arial" w:cs="Arial" w:eastAsia="Arial" w:hint="default"/>
                <w:sz w:val="16"/>
                <w:szCs w:val="16"/>
              </w:rPr>
            </w:pPr>
            <w:r>
              <w:rPr>
                <w:rFonts w:ascii="Arial"/>
                <w:w w:val="95"/>
                <w:sz w:val="16"/>
              </w:rPr>
              <w:t>23.2</w:t>
            </w:r>
            <w:r>
              <w:rPr>
                <w:rFonts w:ascii="Arial"/>
                <w:sz w:val="16"/>
              </w:rPr>
            </w:r>
          </w:p>
        </w:tc>
        <w:tc>
          <w:tcPr>
            <w:tcW w:w="10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Arial" w:hAnsi="Arial" w:cs="Arial" w:eastAsia="Arial" w:hint="default"/>
                <w:sz w:val="16"/>
                <w:szCs w:val="16"/>
              </w:rPr>
            </w:pPr>
            <w:r>
              <w:rPr>
                <w:rFonts w:ascii="Arial"/>
                <w:w w:val="95"/>
                <w:sz w:val="16"/>
              </w:rPr>
              <w:t>21.2</w:t>
            </w:r>
            <w:r>
              <w:rPr>
                <w:rFonts w:ascii="Arial"/>
                <w:sz w:val="16"/>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right="97"/>
              <w:jc w:val="right"/>
              <w:rPr>
                <w:rFonts w:ascii="宋体" w:hAnsi="宋体" w:cs="宋体" w:eastAsia="宋体" w:hint="default"/>
                <w:sz w:val="16"/>
                <w:szCs w:val="16"/>
              </w:rPr>
            </w:pPr>
            <w:r>
              <w:rPr>
                <w:rFonts w:ascii="宋体" w:hAnsi="宋体" w:cs="宋体" w:eastAsia="宋体" w:hint="default"/>
                <w:sz w:val="16"/>
                <w:szCs w:val="16"/>
              </w:rPr>
              <w:t>减少</w:t>
            </w:r>
            <w:r>
              <w:rPr>
                <w:rFonts w:ascii="宋体" w:hAnsi="宋体" w:cs="宋体" w:eastAsia="宋体" w:hint="default"/>
                <w:spacing w:val="-47"/>
                <w:sz w:val="16"/>
                <w:szCs w:val="16"/>
              </w:rPr>
              <w:t> </w:t>
            </w:r>
            <w:r>
              <w:rPr>
                <w:rFonts w:ascii="Arial" w:hAnsi="Arial" w:cs="Arial" w:eastAsia="Arial" w:hint="default"/>
                <w:sz w:val="16"/>
                <w:szCs w:val="16"/>
              </w:rPr>
              <w:t>18.7</w:t>
            </w:r>
            <w:r>
              <w:rPr>
                <w:rFonts w:ascii="Arial" w:hAnsi="Arial" w:cs="Arial" w:eastAsia="Arial" w:hint="default"/>
                <w:spacing w:val="-11"/>
                <w:sz w:val="16"/>
                <w:szCs w:val="16"/>
              </w:rPr>
              <w:t> </w:t>
            </w:r>
            <w:r>
              <w:rPr>
                <w:rFonts w:ascii="宋体" w:hAnsi="宋体" w:cs="宋体" w:eastAsia="宋体" w:hint="default"/>
                <w:sz w:val="16"/>
                <w:szCs w:val="16"/>
              </w:rPr>
              <w:t>个百分点</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691" w:right="0"/>
              <w:jc w:val="left"/>
              <w:rPr>
                <w:rFonts w:ascii="Arial" w:hAnsi="Arial" w:cs="Arial" w:eastAsia="Arial" w:hint="default"/>
                <w:sz w:val="16"/>
                <w:szCs w:val="16"/>
              </w:rPr>
            </w:pPr>
            <w:r>
              <w:rPr>
                <w:rFonts w:ascii="Arial"/>
                <w:sz w:val="16"/>
              </w:rPr>
              <w:t>12.3</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676" w:right="0"/>
              <w:jc w:val="left"/>
              <w:rPr>
                <w:rFonts w:ascii="Arial" w:hAnsi="Arial" w:cs="Arial" w:eastAsia="Arial" w:hint="default"/>
                <w:sz w:val="16"/>
                <w:szCs w:val="16"/>
              </w:rPr>
            </w:pPr>
            <w:r>
              <w:rPr>
                <w:rFonts w:ascii="Arial"/>
                <w:sz w:val="16"/>
              </w:rPr>
              <w:t>12.0</w:t>
            </w:r>
          </w:p>
        </w:tc>
      </w:tr>
      <w:tr>
        <w:trPr>
          <w:trHeight w:val="430" w:hRule="exact"/>
        </w:trPr>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100" w:right="0"/>
              <w:jc w:val="left"/>
              <w:rPr>
                <w:rFonts w:ascii="宋体" w:hAnsi="宋体" w:cs="宋体" w:eastAsia="宋体" w:hint="default"/>
                <w:sz w:val="16"/>
                <w:szCs w:val="16"/>
              </w:rPr>
            </w:pPr>
            <w:r>
              <w:rPr>
                <w:rFonts w:ascii="宋体" w:hAnsi="宋体" w:cs="宋体" w:eastAsia="宋体" w:hint="default"/>
                <w:sz w:val="16"/>
                <w:szCs w:val="16"/>
              </w:rPr>
              <w:t>扣除非经常性损益后的加权平均</w:t>
            </w:r>
          </w:p>
          <w:p>
            <w:pPr>
              <w:pStyle w:val="TableParagraph"/>
              <w:spacing w:line="220" w:lineRule="exact"/>
              <w:ind w:left="266" w:right="0"/>
              <w:jc w:val="left"/>
              <w:rPr>
                <w:rFonts w:ascii="宋体" w:hAnsi="宋体" w:cs="宋体" w:eastAsia="宋体" w:hint="default"/>
                <w:sz w:val="16"/>
                <w:szCs w:val="16"/>
              </w:rPr>
            </w:pPr>
            <w:r>
              <w:rPr>
                <w:rFonts w:ascii="宋体" w:hAnsi="宋体" w:cs="宋体" w:eastAsia="宋体" w:hint="default"/>
                <w:sz w:val="16"/>
                <w:szCs w:val="16"/>
              </w:rPr>
              <w:t>净资产收益率（</w:t>
            </w:r>
            <w:r>
              <w:rPr>
                <w:rFonts w:ascii="Arial" w:hAnsi="Arial" w:cs="Arial" w:eastAsia="Arial" w:hint="default"/>
                <w:sz w:val="16"/>
                <w:szCs w:val="16"/>
              </w:rPr>
              <w:t>%</w:t>
            </w:r>
            <w:r>
              <w:rPr>
                <w:rFonts w:ascii="宋体" w:hAnsi="宋体" w:cs="宋体" w:eastAsia="宋体" w:hint="default"/>
                <w:sz w:val="16"/>
                <w:szCs w:val="16"/>
              </w:rPr>
              <w:t>）</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6"/>
                <w:szCs w:val="16"/>
              </w:rPr>
            </w:pPr>
            <w:r>
              <w:rPr>
                <w:rFonts w:ascii="Arial"/>
                <w:w w:val="95"/>
                <w:sz w:val="16"/>
              </w:rPr>
              <w:t>3.7</w:t>
            </w:r>
            <w:r>
              <w:rPr>
                <w:rFonts w:ascii="Arial"/>
                <w:sz w:val="16"/>
              </w:rPr>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6"/>
                <w:szCs w:val="16"/>
              </w:rPr>
            </w:pPr>
            <w:r>
              <w:rPr>
                <w:rFonts w:ascii="Arial"/>
                <w:w w:val="95"/>
                <w:sz w:val="16"/>
              </w:rPr>
              <w:t>1.6</w:t>
            </w:r>
            <w:r>
              <w:rPr>
                <w:rFonts w:ascii="Arial"/>
                <w:sz w:val="16"/>
              </w:rPr>
            </w:r>
          </w:p>
        </w:tc>
        <w:tc>
          <w:tcPr>
            <w:tcW w:w="10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6"/>
                <w:szCs w:val="16"/>
              </w:rPr>
            </w:pPr>
            <w:r>
              <w:rPr>
                <w:rFonts w:ascii="Arial"/>
                <w:w w:val="95"/>
                <w:sz w:val="16"/>
              </w:rPr>
              <w:t>1.5</w:t>
            </w:r>
            <w:r>
              <w:rPr>
                <w:rFonts w:ascii="Arial"/>
                <w:sz w:val="16"/>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97"/>
              <w:jc w:val="right"/>
              <w:rPr>
                <w:rFonts w:ascii="宋体" w:hAnsi="宋体" w:cs="宋体" w:eastAsia="宋体" w:hint="default"/>
                <w:sz w:val="16"/>
                <w:szCs w:val="16"/>
              </w:rPr>
            </w:pPr>
            <w:r>
              <w:rPr>
                <w:rFonts w:ascii="宋体" w:hAnsi="宋体" w:cs="宋体" w:eastAsia="宋体" w:hint="default"/>
                <w:sz w:val="16"/>
                <w:szCs w:val="16"/>
              </w:rPr>
              <w:t>增加</w:t>
            </w:r>
            <w:r>
              <w:rPr>
                <w:rFonts w:ascii="宋体" w:hAnsi="宋体" w:cs="宋体" w:eastAsia="宋体" w:hint="default"/>
                <w:spacing w:val="-41"/>
                <w:sz w:val="16"/>
                <w:szCs w:val="16"/>
              </w:rPr>
              <w:t> </w:t>
            </w:r>
            <w:r>
              <w:rPr>
                <w:rFonts w:ascii="Arial" w:hAnsi="Arial" w:cs="Arial" w:eastAsia="Arial" w:hint="default"/>
                <w:sz w:val="16"/>
                <w:szCs w:val="16"/>
              </w:rPr>
              <w:t>2.1</w:t>
            </w:r>
            <w:r>
              <w:rPr>
                <w:rFonts w:ascii="Arial" w:hAnsi="Arial" w:cs="Arial" w:eastAsia="Arial" w:hint="default"/>
                <w:spacing w:val="-5"/>
                <w:sz w:val="16"/>
                <w:szCs w:val="16"/>
              </w:rPr>
              <w:t> </w:t>
            </w:r>
            <w:r>
              <w:rPr>
                <w:rFonts w:ascii="宋体" w:hAnsi="宋体" w:cs="宋体" w:eastAsia="宋体" w:hint="default"/>
                <w:sz w:val="16"/>
                <w:szCs w:val="16"/>
              </w:rPr>
              <w:t>个百分点</w:t>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6"/>
                <w:szCs w:val="16"/>
              </w:rPr>
            </w:pPr>
            <w:r>
              <w:rPr>
                <w:rFonts w:ascii="Arial"/>
                <w:w w:val="95"/>
                <w:sz w:val="16"/>
              </w:rPr>
              <w:t>5.5</w:t>
            </w:r>
            <w:r>
              <w:rPr>
                <w:rFonts w:ascii="Arial"/>
                <w:sz w:val="16"/>
              </w:rPr>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6"/>
                <w:szCs w:val="16"/>
              </w:rPr>
            </w:pPr>
            <w:r>
              <w:rPr>
                <w:rFonts w:ascii="Arial"/>
                <w:w w:val="95"/>
                <w:sz w:val="16"/>
              </w:rPr>
              <w:t>5.5</w:t>
            </w:r>
            <w:r>
              <w:rPr>
                <w:rFonts w:ascii="Arial"/>
                <w:sz w:val="16"/>
              </w:rPr>
            </w:r>
          </w:p>
        </w:tc>
      </w:tr>
      <w:tr>
        <w:trPr>
          <w:trHeight w:val="430" w:hRule="exact"/>
        </w:trPr>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100" w:right="0"/>
              <w:jc w:val="left"/>
              <w:rPr>
                <w:rFonts w:ascii="宋体" w:hAnsi="宋体" w:cs="宋体" w:eastAsia="宋体" w:hint="default"/>
                <w:sz w:val="16"/>
                <w:szCs w:val="16"/>
              </w:rPr>
            </w:pPr>
            <w:r>
              <w:rPr>
                <w:rFonts w:ascii="宋体" w:hAnsi="宋体" w:cs="宋体" w:eastAsia="宋体" w:hint="default"/>
                <w:sz w:val="16"/>
                <w:szCs w:val="16"/>
              </w:rPr>
              <w:t>每股经营活动产生的现金流量净</w:t>
            </w:r>
          </w:p>
          <w:p>
            <w:pPr>
              <w:pStyle w:val="TableParagraph"/>
              <w:spacing w:line="209" w:lineRule="exact"/>
              <w:ind w:left="266" w:right="0"/>
              <w:jc w:val="left"/>
              <w:rPr>
                <w:rFonts w:ascii="宋体" w:hAnsi="宋体" w:cs="宋体" w:eastAsia="宋体" w:hint="default"/>
                <w:sz w:val="16"/>
                <w:szCs w:val="16"/>
              </w:rPr>
            </w:pPr>
            <w:r>
              <w:rPr>
                <w:rFonts w:ascii="宋体" w:hAnsi="宋体" w:cs="宋体" w:eastAsia="宋体" w:hint="default"/>
                <w:sz w:val="16"/>
                <w:szCs w:val="16"/>
              </w:rPr>
              <w:t>额（元／股）</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6"/>
                <w:szCs w:val="16"/>
              </w:rPr>
            </w:pPr>
            <w:r>
              <w:rPr>
                <w:rFonts w:ascii="Arial"/>
                <w:w w:val="95"/>
                <w:sz w:val="16"/>
              </w:rPr>
              <w:t>2.80</w:t>
            </w:r>
            <w:r>
              <w:rPr>
                <w:rFonts w:ascii="Arial"/>
                <w:sz w:val="16"/>
              </w:rPr>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6"/>
                <w:szCs w:val="16"/>
              </w:rPr>
            </w:pPr>
            <w:r>
              <w:rPr>
                <w:rFonts w:ascii="Arial"/>
                <w:w w:val="95"/>
                <w:sz w:val="16"/>
              </w:rPr>
              <w:t>2.86</w:t>
            </w:r>
            <w:r>
              <w:rPr>
                <w:rFonts w:ascii="Arial"/>
                <w:sz w:val="16"/>
              </w:rPr>
            </w:r>
          </w:p>
        </w:tc>
        <w:tc>
          <w:tcPr>
            <w:tcW w:w="10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6"/>
                <w:szCs w:val="16"/>
              </w:rPr>
            </w:pPr>
            <w:r>
              <w:rPr>
                <w:rFonts w:ascii="Arial"/>
                <w:w w:val="95"/>
                <w:sz w:val="16"/>
              </w:rPr>
              <w:t>2.83</w:t>
            </w:r>
            <w:r>
              <w:rPr>
                <w:rFonts w:ascii="Arial"/>
                <w:sz w:val="16"/>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6"/>
                <w:szCs w:val="16"/>
              </w:rPr>
            </w:pPr>
            <w:r>
              <w:rPr>
                <w:rFonts w:ascii="Arial"/>
                <w:w w:val="95"/>
                <w:sz w:val="16"/>
              </w:rPr>
              <w:t>-2.2</w:t>
            </w:r>
            <w:r>
              <w:rPr>
                <w:rFonts w:ascii="Arial"/>
                <w:sz w:val="16"/>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691" w:right="0"/>
              <w:jc w:val="left"/>
              <w:rPr>
                <w:rFonts w:ascii="Arial" w:hAnsi="Arial" w:cs="Arial" w:eastAsia="Arial" w:hint="default"/>
                <w:sz w:val="16"/>
                <w:szCs w:val="16"/>
              </w:rPr>
            </w:pPr>
            <w:r>
              <w:rPr>
                <w:rFonts w:ascii="Arial"/>
                <w:sz w:val="16"/>
              </w:rPr>
              <w:t>3.30</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677" w:right="0"/>
              <w:jc w:val="left"/>
              <w:rPr>
                <w:rFonts w:ascii="Arial" w:hAnsi="Arial" w:cs="Arial" w:eastAsia="Arial" w:hint="default"/>
                <w:sz w:val="16"/>
                <w:szCs w:val="16"/>
              </w:rPr>
            </w:pPr>
            <w:r>
              <w:rPr>
                <w:rFonts w:ascii="Arial"/>
                <w:sz w:val="16"/>
              </w:rPr>
              <w:t>3.29</w:t>
            </w:r>
          </w:p>
        </w:tc>
      </w:tr>
      <w:tr>
        <w:trPr>
          <w:trHeight w:val="223" w:hRule="exact"/>
        </w:trPr>
        <w:tc>
          <w:tcPr>
            <w:tcW w:w="2502" w:type="dxa"/>
            <w:vMerge w:val="restart"/>
            <w:tcBorders>
              <w:top w:val="single" w:sz="6" w:space="0" w:color="000000"/>
              <w:left w:val="single" w:sz="6" w:space="0" w:color="000000"/>
              <w:right w:val="single" w:sz="6" w:space="0" w:color="000000"/>
            </w:tcBorders>
          </w:tcPr>
          <w:p>
            <w:pPr/>
          </w:p>
        </w:tc>
        <w:tc>
          <w:tcPr>
            <w:tcW w:w="1067" w:type="dxa"/>
            <w:vMerge w:val="restart"/>
            <w:tcBorders>
              <w:top w:val="single" w:sz="6" w:space="0" w:color="000000"/>
              <w:left w:val="single" w:sz="6" w:space="0" w:color="000000"/>
              <w:right w:val="single" w:sz="6" w:space="0" w:color="000000"/>
            </w:tcBorders>
          </w:tcPr>
          <w:p>
            <w:pPr>
              <w:pStyle w:val="TableParagraph"/>
              <w:spacing w:line="240" w:lineRule="auto" w:before="77"/>
              <w:ind w:left="168" w:right="0"/>
              <w:jc w:val="left"/>
              <w:rPr>
                <w:rFonts w:ascii="宋体" w:hAnsi="宋体" w:cs="宋体" w:eastAsia="宋体" w:hint="default"/>
                <w:sz w:val="16"/>
                <w:szCs w:val="16"/>
              </w:rPr>
            </w:pPr>
            <w:r>
              <w:rPr>
                <w:rFonts w:ascii="Arial" w:hAnsi="Arial" w:cs="Arial" w:eastAsia="Arial" w:hint="default"/>
                <w:sz w:val="16"/>
                <w:szCs w:val="16"/>
              </w:rPr>
              <w:t>2009</w:t>
            </w:r>
            <w:r>
              <w:rPr>
                <w:rFonts w:ascii="Arial" w:hAnsi="Arial" w:cs="Arial" w:eastAsia="Arial" w:hint="default"/>
                <w:spacing w:val="-5"/>
                <w:sz w:val="16"/>
                <w:szCs w:val="16"/>
              </w:rPr>
              <w:t> </w:t>
            </w:r>
            <w:r>
              <w:rPr>
                <w:rFonts w:ascii="宋体" w:hAnsi="宋体" w:cs="宋体" w:eastAsia="宋体" w:hint="default"/>
                <w:sz w:val="16"/>
                <w:szCs w:val="16"/>
              </w:rPr>
              <w:t>年末</w:t>
            </w:r>
          </w:p>
        </w:tc>
        <w:tc>
          <w:tcPr>
            <w:tcW w:w="2249" w:type="dxa"/>
            <w:gridSpan w:val="2"/>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 w:right="0"/>
              <w:jc w:val="center"/>
              <w:rPr>
                <w:rFonts w:ascii="宋体" w:hAnsi="宋体" w:cs="宋体" w:eastAsia="宋体" w:hint="default"/>
                <w:sz w:val="16"/>
                <w:szCs w:val="16"/>
              </w:rPr>
            </w:pPr>
            <w:r>
              <w:rPr>
                <w:rFonts w:ascii="Arial" w:hAnsi="Arial" w:cs="Arial" w:eastAsia="Arial" w:hint="default"/>
                <w:sz w:val="16"/>
                <w:szCs w:val="16"/>
              </w:rPr>
              <w:t>2008</w:t>
            </w:r>
            <w:r>
              <w:rPr>
                <w:rFonts w:ascii="Arial" w:hAnsi="Arial" w:cs="Arial" w:eastAsia="Arial" w:hint="default"/>
                <w:spacing w:val="-5"/>
                <w:sz w:val="16"/>
                <w:szCs w:val="16"/>
              </w:rPr>
              <w:t> </w:t>
            </w:r>
            <w:r>
              <w:rPr>
                <w:rFonts w:ascii="宋体" w:hAnsi="宋体" w:cs="宋体" w:eastAsia="宋体" w:hint="default"/>
                <w:sz w:val="16"/>
                <w:szCs w:val="16"/>
              </w:rPr>
              <w:t>年末</w:t>
            </w:r>
          </w:p>
        </w:tc>
        <w:tc>
          <w:tcPr>
            <w:tcW w:w="1558" w:type="dxa"/>
            <w:vMerge w:val="restart"/>
            <w:tcBorders>
              <w:top w:val="single" w:sz="6" w:space="0" w:color="000000"/>
              <w:left w:val="single" w:sz="6" w:space="0" w:color="000000"/>
              <w:right w:val="single" w:sz="6" w:space="0" w:color="000000"/>
            </w:tcBorders>
          </w:tcPr>
          <w:p>
            <w:pPr>
              <w:pStyle w:val="TableParagraph"/>
              <w:spacing w:line="182" w:lineRule="exact"/>
              <w:ind w:right="0"/>
              <w:jc w:val="center"/>
              <w:rPr>
                <w:rFonts w:ascii="宋体" w:hAnsi="宋体" w:cs="宋体" w:eastAsia="宋体" w:hint="default"/>
                <w:sz w:val="16"/>
                <w:szCs w:val="16"/>
              </w:rPr>
            </w:pPr>
            <w:r>
              <w:rPr>
                <w:rFonts w:ascii="宋体" w:hAnsi="宋体" w:cs="宋体" w:eastAsia="宋体" w:hint="default"/>
                <w:sz w:val="16"/>
                <w:szCs w:val="16"/>
              </w:rPr>
              <w:t>本期末比上年同期</w:t>
            </w:r>
          </w:p>
          <w:p>
            <w:pPr>
              <w:pStyle w:val="TableParagraph"/>
              <w:spacing w:line="220" w:lineRule="exact"/>
              <w:ind w:right="0"/>
              <w:jc w:val="center"/>
              <w:rPr>
                <w:rFonts w:ascii="Arial" w:hAnsi="Arial" w:cs="Arial" w:eastAsia="Arial" w:hint="default"/>
                <w:sz w:val="16"/>
                <w:szCs w:val="16"/>
              </w:rPr>
            </w:pPr>
            <w:r>
              <w:rPr>
                <w:rFonts w:ascii="宋体" w:hAnsi="宋体" w:cs="宋体" w:eastAsia="宋体" w:hint="default"/>
                <w:sz w:val="16"/>
                <w:szCs w:val="16"/>
              </w:rPr>
              <w:t>末增减</w:t>
            </w:r>
            <w:r>
              <w:rPr>
                <w:rFonts w:ascii="Arial" w:hAnsi="Arial" w:cs="Arial" w:eastAsia="Arial" w:hint="default"/>
                <w:sz w:val="16"/>
                <w:szCs w:val="16"/>
              </w:rPr>
              <w:t>(%)</w:t>
            </w:r>
          </w:p>
        </w:tc>
        <w:tc>
          <w:tcPr>
            <w:tcW w:w="2220" w:type="dxa"/>
            <w:gridSpan w:val="2"/>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 w:right="0"/>
              <w:jc w:val="center"/>
              <w:rPr>
                <w:rFonts w:ascii="宋体" w:hAnsi="宋体" w:cs="宋体" w:eastAsia="宋体" w:hint="default"/>
                <w:sz w:val="16"/>
                <w:szCs w:val="16"/>
              </w:rPr>
            </w:pPr>
            <w:r>
              <w:rPr>
                <w:rFonts w:ascii="Arial" w:hAnsi="Arial" w:cs="Arial" w:eastAsia="Arial" w:hint="default"/>
                <w:sz w:val="16"/>
                <w:szCs w:val="16"/>
              </w:rPr>
              <w:t>2007</w:t>
            </w:r>
            <w:r>
              <w:rPr>
                <w:rFonts w:ascii="Arial" w:hAnsi="Arial" w:cs="Arial" w:eastAsia="Arial" w:hint="default"/>
                <w:spacing w:val="-5"/>
                <w:sz w:val="16"/>
                <w:szCs w:val="16"/>
              </w:rPr>
              <w:t> </w:t>
            </w:r>
            <w:r>
              <w:rPr>
                <w:rFonts w:ascii="宋体" w:hAnsi="宋体" w:cs="宋体" w:eastAsia="宋体" w:hint="default"/>
                <w:sz w:val="16"/>
                <w:szCs w:val="16"/>
              </w:rPr>
              <w:t>年末</w:t>
            </w:r>
          </w:p>
        </w:tc>
      </w:tr>
      <w:tr>
        <w:trPr>
          <w:trHeight w:val="222" w:hRule="exact"/>
        </w:trPr>
        <w:tc>
          <w:tcPr>
            <w:tcW w:w="2502" w:type="dxa"/>
            <w:vMerge/>
            <w:tcBorders>
              <w:left w:val="single" w:sz="6" w:space="0" w:color="000000"/>
              <w:bottom w:val="single" w:sz="6" w:space="0" w:color="000000"/>
              <w:right w:val="single" w:sz="6" w:space="0" w:color="000000"/>
            </w:tcBorders>
          </w:tcPr>
          <w:p>
            <w:pPr/>
          </w:p>
        </w:tc>
        <w:tc>
          <w:tcPr>
            <w:tcW w:w="1067" w:type="dxa"/>
            <w:vMerge/>
            <w:tcBorders>
              <w:left w:val="single" w:sz="6" w:space="0" w:color="000000"/>
              <w:bottom w:val="single" w:sz="6" w:space="0" w:color="000000"/>
              <w:right w:val="single" w:sz="6" w:space="0" w:color="000000"/>
            </w:tcBorders>
          </w:tcPr>
          <w:p>
            <w:pP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right="8"/>
              <w:jc w:val="right"/>
              <w:rPr>
                <w:rFonts w:ascii="宋体" w:hAnsi="宋体" w:cs="宋体" w:eastAsia="宋体" w:hint="default"/>
                <w:sz w:val="16"/>
                <w:szCs w:val="16"/>
              </w:rPr>
            </w:pPr>
            <w:r>
              <w:rPr>
                <w:rFonts w:ascii="宋体" w:hAnsi="宋体" w:cs="宋体" w:eastAsia="宋体" w:hint="default"/>
                <w:sz w:val="16"/>
                <w:szCs w:val="16"/>
              </w:rPr>
              <w:t>调整后（注</w:t>
            </w:r>
            <w:r>
              <w:rPr>
                <w:rFonts w:ascii="宋体" w:hAnsi="宋体" w:cs="宋体" w:eastAsia="宋体" w:hint="default"/>
                <w:spacing w:val="-43"/>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c>
          <w:tcPr>
            <w:tcW w:w="1090"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right="-21"/>
              <w:jc w:val="right"/>
              <w:rPr>
                <w:rFonts w:ascii="宋体" w:hAnsi="宋体" w:cs="宋体" w:eastAsia="宋体" w:hint="default"/>
                <w:sz w:val="16"/>
                <w:szCs w:val="16"/>
              </w:rPr>
            </w:pPr>
            <w:r>
              <w:rPr>
                <w:rFonts w:ascii="宋体" w:hAnsi="宋体" w:cs="宋体" w:eastAsia="宋体" w:hint="default"/>
                <w:spacing w:val="-3"/>
                <w:sz w:val="16"/>
                <w:szCs w:val="16"/>
              </w:rPr>
              <w:t>调整前（注</w:t>
            </w:r>
            <w:r>
              <w:rPr>
                <w:rFonts w:ascii="宋体" w:hAnsi="宋体" w:cs="宋体" w:eastAsia="宋体" w:hint="default"/>
                <w:spacing w:val="-39"/>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c>
          <w:tcPr>
            <w:tcW w:w="1558" w:type="dxa"/>
            <w:vMerge/>
            <w:tcBorders>
              <w:left w:val="single" w:sz="6" w:space="0" w:color="000000"/>
              <w:bottom w:val="single" w:sz="6" w:space="0" w:color="000000"/>
              <w:right w:val="single" w:sz="6" w:space="0" w:color="000000"/>
            </w:tcBorders>
          </w:tcPr>
          <w:p>
            <w:pP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9" w:right="-5"/>
              <w:jc w:val="left"/>
              <w:rPr>
                <w:rFonts w:ascii="宋体" w:hAnsi="宋体" w:cs="宋体" w:eastAsia="宋体" w:hint="default"/>
                <w:sz w:val="16"/>
                <w:szCs w:val="16"/>
              </w:rPr>
            </w:pPr>
            <w:r>
              <w:rPr>
                <w:rFonts w:ascii="宋体" w:hAnsi="宋体" w:cs="宋体" w:eastAsia="宋体" w:hint="default"/>
                <w:sz w:val="16"/>
                <w:szCs w:val="16"/>
              </w:rPr>
              <w:t>调整后（注</w:t>
            </w:r>
            <w:r>
              <w:rPr>
                <w:rFonts w:ascii="宋体" w:hAnsi="宋体" w:cs="宋体" w:eastAsia="宋体" w:hint="default"/>
                <w:spacing w:val="-42"/>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right="-19"/>
              <w:jc w:val="right"/>
              <w:rPr>
                <w:rFonts w:ascii="宋体" w:hAnsi="宋体" w:cs="宋体" w:eastAsia="宋体" w:hint="default"/>
                <w:sz w:val="16"/>
                <w:szCs w:val="16"/>
              </w:rPr>
            </w:pPr>
            <w:r>
              <w:rPr>
                <w:rFonts w:ascii="宋体" w:hAnsi="宋体" w:cs="宋体" w:eastAsia="宋体" w:hint="default"/>
                <w:spacing w:val="-4"/>
                <w:sz w:val="16"/>
                <w:szCs w:val="16"/>
              </w:rPr>
              <w:t>调整前（注</w:t>
            </w:r>
            <w:r>
              <w:rPr>
                <w:rFonts w:ascii="宋体" w:hAnsi="宋体" w:cs="宋体" w:eastAsia="宋体" w:hint="default"/>
                <w:spacing w:val="-38"/>
                <w:sz w:val="16"/>
                <w:szCs w:val="16"/>
              </w:rPr>
              <w:t> </w:t>
            </w:r>
            <w:r>
              <w:rPr>
                <w:rFonts w:ascii="Arial" w:hAnsi="Arial" w:cs="Arial" w:eastAsia="Arial" w:hint="default"/>
                <w:sz w:val="16"/>
                <w:szCs w:val="16"/>
              </w:rPr>
              <w:t>1</w:t>
            </w:r>
            <w:r>
              <w:rPr>
                <w:rFonts w:ascii="宋体" w:hAnsi="宋体" w:cs="宋体" w:eastAsia="宋体" w:hint="default"/>
                <w:sz w:val="16"/>
                <w:szCs w:val="16"/>
              </w:rPr>
              <w:t>）</w:t>
            </w:r>
          </w:p>
        </w:tc>
      </w:tr>
      <w:tr>
        <w:trPr>
          <w:trHeight w:val="431" w:hRule="exact"/>
        </w:trPr>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182" w:lineRule="exact"/>
              <w:ind w:left="100" w:right="0"/>
              <w:jc w:val="left"/>
              <w:rPr>
                <w:rFonts w:ascii="宋体" w:hAnsi="宋体" w:cs="宋体" w:eastAsia="宋体" w:hint="default"/>
                <w:sz w:val="16"/>
                <w:szCs w:val="16"/>
              </w:rPr>
            </w:pPr>
            <w:r>
              <w:rPr>
                <w:rFonts w:ascii="宋体" w:hAnsi="宋体" w:cs="宋体" w:eastAsia="宋体" w:hint="default"/>
                <w:sz w:val="16"/>
                <w:szCs w:val="16"/>
              </w:rPr>
              <w:t>归属于上市公司股东的每股净资</w:t>
            </w:r>
          </w:p>
          <w:p>
            <w:pPr>
              <w:pStyle w:val="TableParagraph"/>
              <w:spacing w:line="209" w:lineRule="exact"/>
              <w:ind w:left="266" w:right="0"/>
              <w:jc w:val="left"/>
              <w:rPr>
                <w:rFonts w:ascii="宋体" w:hAnsi="宋体" w:cs="宋体" w:eastAsia="宋体" w:hint="default"/>
                <w:sz w:val="16"/>
                <w:szCs w:val="16"/>
              </w:rPr>
            </w:pPr>
            <w:r>
              <w:rPr>
                <w:rFonts w:ascii="宋体" w:hAnsi="宋体" w:cs="宋体" w:eastAsia="宋体" w:hint="default"/>
                <w:sz w:val="16"/>
                <w:szCs w:val="16"/>
              </w:rPr>
              <w:t>产（元／股）</w:t>
            </w:r>
          </w:p>
        </w:tc>
        <w:tc>
          <w:tcPr>
            <w:tcW w:w="10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6"/>
                <w:szCs w:val="16"/>
              </w:rPr>
            </w:pPr>
            <w:r>
              <w:rPr>
                <w:rFonts w:ascii="Arial"/>
                <w:w w:val="95"/>
                <w:sz w:val="16"/>
              </w:rPr>
              <w:t>3.35</w:t>
            </w:r>
            <w:r>
              <w:rPr>
                <w:rFonts w:ascii="Arial"/>
                <w:sz w:val="16"/>
              </w:rPr>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6"/>
                <w:szCs w:val="16"/>
              </w:rPr>
            </w:pPr>
            <w:r>
              <w:rPr>
                <w:rFonts w:ascii="Arial"/>
                <w:w w:val="95"/>
                <w:sz w:val="16"/>
              </w:rPr>
              <w:t>3.34</w:t>
            </w:r>
            <w:r>
              <w:rPr>
                <w:rFonts w:ascii="Arial"/>
                <w:sz w:val="16"/>
              </w:rPr>
            </w:r>
          </w:p>
        </w:tc>
        <w:tc>
          <w:tcPr>
            <w:tcW w:w="10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Arial" w:hAnsi="Arial" w:cs="Arial" w:eastAsia="Arial" w:hint="default"/>
                <w:sz w:val="16"/>
                <w:szCs w:val="16"/>
              </w:rPr>
            </w:pPr>
            <w:r>
              <w:rPr>
                <w:rFonts w:ascii="Arial"/>
                <w:w w:val="95"/>
                <w:sz w:val="16"/>
              </w:rPr>
              <w:t>3.32</w:t>
            </w:r>
            <w:r>
              <w:rPr>
                <w:rFonts w:ascii="Arial"/>
                <w:sz w:val="16"/>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9"/>
              <w:jc w:val="right"/>
              <w:rPr>
                <w:rFonts w:ascii="Arial" w:hAnsi="Arial" w:cs="Arial" w:eastAsia="Arial" w:hint="default"/>
                <w:sz w:val="16"/>
                <w:szCs w:val="16"/>
              </w:rPr>
            </w:pPr>
            <w:r>
              <w:rPr>
                <w:rFonts w:ascii="Arial"/>
                <w:w w:val="95"/>
                <w:sz w:val="16"/>
              </w:rPr>
              <w:t>0.4</w:t>
            </w:r>
            <w:r>
              <w:rPr>
                <w:rFonts w:ascii="Arial"/>
                <w:sz w:val="16"/>
              </w:rPr>
            </w:r>
          </w:p>
        </w:tc>
        <w:tc>
          <w:tcPr>
            <w:tcW w:w="11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691" w:right="0"/>
              <w:jc w:val="left"/>
              <w:rPr>
                <w:rFonts w:ascii="Arial" w:hAnsi="Arial" w:cs="Arial" w:eastAsia="Arial" w:hint="default"/>
                <w:sz w:val="16"/>
                <w:szCs w:val="16"/>
              </w:rPr>
            </w:pPr>
            <w:r>
              <w:rPr>
                <w:rFonts w:ascii="Arial"/>
                <w:sz w:val="16"/>
              </w:rPr>
              <w:t>3.96</w:t>
            </w:r>
          </w:p>
        </w:tc>
        <w:tc>
          <w:tcPr>
            <w:tcW w:w="11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676" w:right="0"/>
              <w:jc w:val="left"/>
              <w:rPr>
                <w:rFonts w:ascii="Arial" w:hAnsi="Arial" w:cs="Arial" w:eastAsia="Arial" w:hint="default"/>
                <w:sz w:val="16"/>
                <w:szCs w:val="16"/>
              </w:rPr>
            </w:pPr>
            <w:r>
              <w:rPr>
                <w:rFonts w:ascii="Arial"/>
                <w:sz w:val="16"/>
              </w:rPr>
              <w:t>3.96</w:t>
            </w:r>
          </w:p>
        </w:tc>
      </w:tr>
    </w:tbl>
    <w:p>
      <w:pPr>
        <w:spacing w:after="0" w:line="240" w:lineRule="auto"/>
        <w:jc w:val="left"/>
        <w:rPr>
          <w:rFonts w:ascii="Arial" w:hAnsi="Arial" w:cs="Arial" w:eastAsia="Arial" w:hint="default"/>
          <w:sz w:val="16"/>
          <w:szCs w:val="16"/>
        </w:rPr>
        <w:sectPr>
          <w:pgSz w:w="11910" w:h="16840"/>
          <w:pgMar w:header="587" w:footer="774" w:top="960" w:bottom="960" w:left="1060" w:right="860"/>
        </w:sectPr>
      </w:pPr>
    </w:p>
    <w:p>
      <w:pPr>
        <w:spacing w:line="240" w:lineRule="auto" w:before="6"/>
        <w:rPr>
          <w:rFonts w:ascii="宋体" w:hAnsi="宋体" w:cs="宋体" w:eastAsia="宋体" w:hint="default"/>
          <w:sz w:val="12"/>
          <w:szCs w:val="12"/>
        </w:rPr>
      </w:pPr>
    </w:p>
    <w:p>
      <w:pPr>
        <w:pStyle w:val="BodyText"/>
        <w:spacing w:line="228" w:lineRule="auto" w:before="44"/>
        <w:ind w:left="250" w:right="106" w:hanging="1"/>
        <w:jc w:val="left"/>
      </w:pPr>
      <w:r>
        <w:rPr/>
        <w:t>注</w:t>
      </w:r>
      <w:r>
        <w:rPr>
          <w:rFonts w:ascii="Arial" w:hAnsi="Arial" w:cs="Arial" w:eastAsia="Arial" w:hint="default"/>
        </w:rPr>
        <w:t>1</w:t>
      </w:r>
      <w:r>
        <w:rPr/>
        <w:t>：于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16</w:t>
      </w:r>
      <w:r>
        <w:rPr/>
        <w:t>日，本公司所属子公司中国联合网络通信有限公司（</w:t>
      </w:r>
      <w:r>
        <w:rPr>
          <w:rFonts w:ascii="Times New Roman" w:hAnsi="Times New Roman" w:cs="Times New Roman" w:eastAsia="Times New Roman" w:hint="default"/>
        </w:rPr>
        <w:t>“</w:t>
      </w:r>
      <w:r>
        <w:rPr/>
        <w:t>联通运营公司</w:t>
      </w:r>
      <w:r>
        <w:rPr>
          <w:rFonts w:ascii="Times New Roman" w:hAnsi="Times New Roman" w:cs="Times New Roman" w:eastAsia="Times New Roman" w:hint="default"/>
        </w:rPr>
        <w:t>”</w:t>
      </w:r>
      <w:r>
        <w:rPr/>
        <w:t>）与</w:t>
      </w:r>
      <w:r>
        <w:rPr>
          <w:spacing w:val="-47"/>
        </w:rPr>
        <w:t> </w:t>
      </w:r>
      <w:r>
        <w:rPr>
          <w:spacing w:val="2"/>
        </w:rPr>
        <w:t>中国联合网络通信集团有限公司（</w:t>
      </w:r>
      <w:r>
        <w:rPr>
          <w:rFonts w:ascii="Times New Roman" w:hAnsi="Times New Roman" w:cs="Times New Roman" w:eastAsia="Times New Roman" w:hint="default"/>
          <w:spacing w:val="2"/>
        </w:rPr>
        <w:t>“</w:t>
      </w:r>
      <w:r>
        <w:rPr>
          <w:spacing w:val="2"/>
        </w:rPr>
        <w:t>联通集团</w:t>
      </w:r>
      <w:r>
        <w:rPr>
          <w:rFonts w:ascii="Times New Roman" w:hAnsi="Times New Roman" w:cs="Times New Roman" w:eastAsia="Times New Roman" w:hint="default"/>
          <w:spacing w:val="2"/>
        </w:rPr>
        <w:t>”</w:t>
      </w:r>
      <w:r>
        <w:rPr>
          <w:spacing w:val="2"/>
        </w:rPr>
        <w:t>）和中国网络通信集团公司（</w:t>
      </w:r>
      <w:r>
        <w:rPr>
          <w:rFonts w:ascii="Times New Roman" w:hAnsi="Times New Roman" w:cs="Times New Roman" w:eastAsia="Times New Roman" w:hint="default"/>
          <w:spacing w:val="2"/>
        </w:rPr>
        <w:t>“</w:t>
      </w:r>
      <w:r>
        <w:rPr>
          <w:spacing w:val="2"/>
        </w:rPr>
        <w:t>网通集团</w:t>
      </w:r>
      <w:r>
        <w:rPr>
          <w:rFonts w:ascii="Times New Roman" w:hAnsi="Times New Roman" w:cs="Times New Roman" w:eastAsia="Times New Roman" w:hint="default"/>
          <w:spacing w:val="2"/>
        </w:rPr>
        <w:t>”</w:t>
      </w:r>
      <w:r>
        <w:rPr>
          <w:spacing w:val="2"/>
        </w:rPr>
        <w:t>）签署协</w:t>
      </w:r>
      <w:r>
        <w:rPr>
          <w:spacing w:val="2"/>
          <w:w w:val="99"/>
        </w:rPr>
        <w:t> </w:t>
      </w:r>
      <w:r>
        <w:rPr/>
        <w:t>议收购联通集团和网通集团所属的相关电信业务和资产（以下简称</w:t>
      </w:r>
      <w:r>
        <w:rPr>
          <w:rFonts w:ascii="Times New Roman" w:hAnsi="Times New Roman" w:cs="Times New Roman" w:eastAsia="Times New Roman" w:hint="default"/>
        </w:rPr>
        <w:t>“</w:t>
      </w:r>
      <w:r>
        <w:rPr/>
        <w:t>目标业务和资产</w:t>
      </w:r>
      <w:r>
        <w:rPr>
          <w:rFonts w:ascii="Times New Roman" w:hAnsi="Times New Roman" w:cs="Times New Roman" w:eastAsia="Times New Roman" w:hint="default"/>
        </w:rPr>
        <w:t>”</w:t>
      </w:r>
      <w:r>
        <w:rPr/>
        <w:t>），详见本</w:t>
      </w:r>
      <w:r>
        <w:rPr>
          <w:spacing w:val="-47"/>
        </w:rPr>
        <w:t> </w:t>
      </w:r>
      <w:r>
        <w:rPr>
          <w:spacing w:val="-47"/>
        </w:rPr>
      </w:r>
      <w:r>
        <w:rPr/>
        <w:t>公司于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16</w:t>
      </w:r>
      <w:r>
        <w:rPr/>
        <w:t>日发布的《关于收购相关电信业务及资产及租赁相关电信网络设施的关联交</w:t>
      </w:r>
      <w:r>
        <w:rPr>
          <w:w w:val="99"/>
        </w:rPr>
        <w:t> </w:t>
      </w:r>
      <w:r>
        <w:rPr/>
        <w:t>易公告》。该收购经本公司</w:t>
      </w:r>
      <w:r>
        <w:rPr>
          <w:rFonts w:ascii="Arial" w:hAnsi="Arial" w:cs="Arial" w:eastAsia="Arial" w:hint="default"/>
        </w:rPr>
        <w:t>2009</w:t>
      </w:r>
      <w:r>
        <w:rPr/>
        <w:t>年第一次临时股东大会批准后于</w:t>
      </w:r>
      <w:r>
        <w:rPr>
          <w:rFonts w:ascii="Arial" w:hAnsi="Arial" w:cs="Arial" w:eastAsia="Arial" w:hint="default"/>
        </w:rPr>
        <w:t>2009</w:t>
      </w:r>
      <w:r>
        <w:rPr/>
        <w:t>年</w:t>
      </w:r>
      <w:r>
        <w:rPr>
          <w:rFonts w:ascii="Arial" w:hAnsi="Arial" w:cs="Arial" w:eastAsia="Arial" w:hint="default"/>
        </w:rPr>
        <w:t>1</w:t>
      </w:r>
      <w:r>
        <w:rPr/>
        <w:t>月完成。本次收购的目</w:t>
      </w:r>
      <w:r>
        <w:rPr>
          <w:spacing w:val="-74"/>
        </w:rPr>
        <w:t> </w:t>
      </w:r>
      <w:r>
        <w:rPr>
          <w:spacing w:val="-74"/>
        </w:rPr>
      </w:r>
      <w:r>
        <w:rPr/>
        <w:t>标业务及资产当中，所收购的原联通集团和原网通集团之中国南方</w:t>
      </w:r>
      <w:r>
        <w:rPr>
          <w:rFonts w:ascii="Arial" w:hAnsi="Arial" w:cs="Arial" w:eastAsia="Arial" w:hint="default"/>
        </w:rPr>
        <w:t>21</w:t>
      </w:r>
      <w:r>
        <w:rPr/>
        <w:t>省、市（区）固网业务、天</w:t>
      </w:r>
      <w:r>
        <w:rPr>
          <w:spacing w:val="-89"/>
        </w:rPr>
        <w:t> </w:t>
      </w:r>
      <w:r>
        <w:rPr/>
        <w:t>津本地固话业务和资产、联通兴业科贸有限公司、中讯邮电咨询设计院和联通新国信通信有限公</w:t>
      </w:r>
      <w:r>
        <w:rPr>
          <w:spacing w:val="-71"/>
        </w:rPr>
        <w:t> </w:t>
      </w:r>
      <w:r>
        <w:rPr>
          <w:spacing w:val="-71"/>
        </w:rPr>
      </w:r>
      <w:r>
        <w:rPr/>
        <w:t>司三家电信服务子公司共同构成目标业务。收购目标业务被视为同一控制下企业合并，故目标业</w:t>
      </w:r>
      <w:r>
        <w:rPr>
          <w:spacing w:val="-71"/>
        </w:rPr>
        <w:t> </w:t>
      </w:r>
      <w:r>
        <w:rPr>
          <w:spacing w:val="-71"/>
        </w:rPr>
      </w:r>
      <w:r>
        <w:rPr/>
        <w:t>务的资产及负债将按其财务账面价值并入本集团的合并财务报表当中，同时视同目标业务一直是</w:t>
      </w:r>
      <w:r>
        <w:rPr>
          <w:spacing w:val="-71"/>
        </w:rPr>
        <w:t> </w:t>
      </w:r>
      <w:r>
        <w:rPr>
          <w:spacing w:val="-71"/>
        </w:rPr>
      </w:r>
      <w:r>
        <w:rPr/>
        <w:t>本集团的一部分并由所列报的可比期间期初开始反映，即合并财务报表中之比较数据被重新列报</w:t>
      </w:r>
      <w:r>
        <w:rPr>
          <w:spacing w:val="-71"/>
        </w:rPr>
        <w:t> </w:t>
      </w:r>
      <w:r>
        <w:rPr>
          <w:spacing w:val="-71"/>
        </w:rPr>
      </w:r>
      <w:r>
        <w:rPr/>
        <w:t>以包括目标业务的财务状况、经营成果和现金流量（详见十、重要事项</w:t>
      </w:r>
      <w:r>
        <w:rPr>
          <w:rFonts w:ascii="Arial" w:hAnsi="Arial" w:cs="Arial" w:eastAsia="Arial" w:hint="default"/>
        </w:rPr>
        <w:t>-</w:t>
      </w:r>
      <w:r>
        <w:rPr/>
        <w:t>（五）报告期内公司重大</w:t>
      </w:r>
      <w:r>
        <w:rPr>
          <w:w w:val="99"/>
        </w:rPr>
        <w:t> </w:t>
      </w:r>
      <w:r>
        <w:rPr/>
        <w:t>关联交易事项 </w:t>
      </w:r>
      <w:r>
        <w:rPr>
          <w:rFonts w:ascii="Arial" w:hAnsi="Arial" w:cs="Arial" w:eastAsia="Arial" w:hint="default"/>
        </w:rPr>
        <w:t>-</w:t>
      </w:r>
      <w:r>
        <w:rPr>
          <w:rFonts w:ascii="Arial" w:hAnsi="Arial" w:cs="Arial" w:eastAsia="Arial" w:hint="default"/>
          <w:spacing w:val="-7"/>
        </w:rPr>
        <w:t> </w:t>
      </w:r>
      <w:r>
        <w:rPr>
          <w:rFonts w:ascii="Arial" w:hAnsi="Arial" w:cs="Arial" w:eastAsia="Arial" w:hint="default"/>
        </w:rPr>
        <w:t>2</w:t>
      </w:r>
      <w:r>
        <w:rPr/>
        <w:t>、资产收购、出售发生的关联交易）。由于仅收购南方</w:t>
      </w:r>
      <w:r>
        <w:rPr>
          <w:rFonts w:ascii="Times New Roman" w:hAnsi="Times New Roman" w:cs="Times New Roman" w:eastAsia="Times New Roman" w:hint="default"/>
        </w:rPr>
        <w:t>21</w:t>
      </w:r>
      <w:r>
        <w:rPr/>
        <w:t>省的业务，并无资产，</w:t>
      </w:r>
      <w:r>
        <w:rPr>
          <w:w w:val="99"/>
        </w:rPr>
        <w:t> </w:t>
      </w:r>
      <w:r>
        <w:rPr/>
        <w:t>故</w:t>
      </w:r>
      <w:r>
        <w:rPr>
          <w:rFonts w:ascii="Arial" w:hAnsi="Arial" w:cs="Arial" w:eastAsia="Arial" w:hint="default"/>
        </w:rPr>
        <w:t>2008</w:t>
      </w:r>
      <w:r>
        <w:rPr/>
        <w:t>年可比数据中，不包含南方</w:t>
      </w:r>
      <w:r>
        <w:rPr>
          <w:rFonts w:ascii="Arial" w:hAnsi="Arial" w:cs="Arial" w:eastAsia="Arial" w:hint="default"/>
        </w:rPr>
        <w:t>21</w:t>
      </w:r>
      <w:r>
        <w:rPr/>
        <w:t>省固网业务网络资产的折旧及摊销费用及因建造电信网络而</w:t>
      </w:r>
      <w:r>
        <w:rPr>
          <w:w w:val="99"/>
        </w:rPr>
        <w:t> </w:t>
      </w:r>
      <w:r>
        <w:rPr/>
        <w:t>产生的财务费用，也无南方</w:t>
      </w:r>
      <w:r>
        <w:rPr>
          <w:rFonts w:ascii="Arial" w:hAnsi="Arial" w:cs="Arial" w:eastAsia="Arial" w:hint="default"/>
        </w:rPr>
        <w:t>21</w:t>
      </w:r>
      <w:r>
        <w:rPr/>
        <w:t>省网络资产的租赁费。在</w:t>
      </w:r>
      <w:r>
        <w:rPr>
          <w:rFonts w:ascii="Arial" w:hAnsi="Arial" w:cs="Arial" w:eastAsia="Arial" w:hint="default"/>
        </w:rPr>
        <w:t>2009</w:t>
      </w:r>
      <w:r>
        <w:rPr/>
        <w:t>年的经营业绩数据当中，包含南方</w:t>
      </w:r>
      <w:r>
        <w:rPr>
          <w:rFonts w:ascii="Arial" w:hAnsi="Arial" w:cs="Arial" w:eastAsia="Arial" w:hint="default"/>
        </w:rPr>
        <w:t>21</w:t>
      </w:r>
      <w:r>
        <w:rPr>
          <w:rFonts w:ascii="Arial" w:hAnsi="Arial" w:cs="Arial" w:eastAsia="Arial" w:hint="default"/>
          <w:w w:val="99"/>
        </w:rPr>
        <w:t> </w:t>
      </w:r>
      <w:r>
        <w:rPr/>
        <w:t>省网络资产的租赁费</w:t>
      </w:r>
      <w:r>
        <w:rPr>
          <w:rFonts w:ascii="Arial" w:hAnsi="Arial" w:cs="Arial" w:eastAsia="Arial" w:hint="default"/>
        </w:rPr>
        <w:t>20</w:t>
      </w:r>
      <w:r>
        <w:rPr/>
        <w:t>亿元。</w:t>
      </w:r>
    </w:p>
    <w:p>
      <w:pPr>
        <w:spacing w:line="240" w:lineRule="auto" w:before="4"/>
        <w:rPr>
          <w:rFonts w:ascii="宋体" w:hAnsi="宋体" w:cs="宋体" w:eastAsia="宋体" w:hint="default"/>
          <w:sz w:val="19"/>
          <w:szCs w:val="19"/>
        </w:rPr>
      </w:pPr>
    </w:p>
    <w:p>
      <w:pPr>
        <w:pStyle w:val="BodyText"/>
        <w:spacing w:line="225" w:lineRule="auto"/>
        <w:ind w:left="249" w:right="192"/>
        <w:jc w:val="both"/>
      </w:pPr>
      <w:r>
        <w:rPr/>
        <w:t>注</w:t>
      </w:r>
      <w:r>
        <w:rPr>
          <w:rFonts w:ascii="Arial" w:hAnsi="Arial" w:cs="Arial" w:eastAsia="Arial" w:hint="default"/>
        </w:rPr>
        <w:t>2</w:t>
      </w:r>
      <w:r>
        <w:rPr/>
        <w:t>：为方便净利润数据的可比性，剔除</w:t>
      </w:r>
      <w:r>
        <w:rPr>
          <w:rFonts w:ascii="Arial" w:hAnsi="Arial" w:cs="Arial" w:eastAsia="Arial" w:hint="default"/>
        </w:rPr>
        <w:t>2008</w:t>
      </w:r>
      <w:r>
        <w:rPr/>
        <w:t>年和</w:t>
      </w:r>
      <w:r>
        <w:rPr>
          <w:rFonts w:ascii="Arial" w:hAnsi="Arial" w:cs="Arial" w:eastAsia="Arial" w:hint="default"/>
        </w:rPr>
        <w:t>2009</w:t>
      </w:r>
      <w:r>
        <w:rPr/>
        <w:t>年全年持续经营业务数据中以下几项不可</w:t>
      </w:r>
      <w:r>
        <w:rPr>
          <w:spacing w:val="-73"/>
        </w:rPr>
        <w:t> </w:t>
      </w:r>
      <w:r>
        <w:rPr>
          <w:spacing w:val="-73"/>
        </w:rPr>
      </w:r>
      <w:r>
        <w:rPr>
          <w:spacing w:val="-1"/>
          <w:w w:val="95"/>
        </w:rPr>
        <w:t>比因素后，</w:t>
      </w:r>
      <w:r>
        <w:rPr>
          <w:rFonts w:ascii="Arial" w:hAnsi="Arial" w:cs="Arial" w:eastAsia="Arial" w:hint="default"/>
          <w:spacing w:val="-1"/>
          <w:w w:val="95"/>
        </w:rPr>
        <w:t>2009</w:t>
      </w:r>
      <w:r>
        <w:rPr>
          <w:spacing w:val="-1"/>
          <w:w w:val="95"/>
        </w:rPr>
        <w:t>年经调整后净利润较去年同期下降</w:t>
      </w:r>
      <w:r>
        <w:rPr>
          <w:rFonts w:ascii="Arial" w:hAnsi="Arial" w:cs="Arial" w:eastAsia="Arial" w:hint="default"/>
          <w:spacing w:val="-1"/>
          <w:w w:val="95"/>
        </w:rPr>
        <w:t>35.1%</w:t>
      </w:r>
      <w:r>
        <w:rPr>
          <w:spacing w:val="-1"/>
          <w:w w:val="95"/>
        </w:rPr>
        <w:t>。不可比因素包括：</w:t>
      </w:r>
      <w:r>
        <w:rPr>
          <w:rFonts w:ascii="Arial" w:hAnsi="Arial" w:cs="Arial" w:eastAsia="Arial" w:hint="default"/>
          <w:spacing w:val="-1"/>
          <w:w w:val="95"/>
        </w:rPr>
        <w:t>(1)2009</w:t>
      </w:r>
      <w:r>
        <w:rPr>
          <w:spacing w:val="-1"/>
          <w:w w:val="95"/>
        </w:rPr>
        <w:t>年固网初装</w:t>
      </w:r>
      <w:r>
        <w:rPr>
          <w:spacing w:val="34"/>
          <w:w w:val="95"/>
        </w:rPr>
        <w:t> </w:t>
      </w:r>
      <w:r>
        <w:rPr>
          <w:spacing w:val="34"/>
          <w:w w:val="95"/>
        </w:rPr>
      </w:r>
      <w:r>
        <w:rPr>
          <w:spacing w:val="-1"/>
        </w:rPr>
        <w:t>费递延收入人民币</w:t>
      </w:r>
      <w:r>
        <w:rPr>
          <w:rFonts w:ascii="Arial" w:hAnsi="Arial" w:cs="Arial" w:eastAsia="Arial" w:hint="default"/>
          <w:spacing w:val="-1"/>
        </w:rPr>
        <w:t>4.9</w:t>
      </w:r>
      <w:r>
        <w:rPr>
          <w:spacing w:val="-1"/>
        </w:rPr>
        <w:t>亿元</w:t>
      </w:r>
      <w:r>
        <w:rPr>
          <w:rFonts w:ascii="Arial" w:hAnsi="Arial" w:cs="Arial" w:eastAsia="Arial" w:hint="default"/>
          <w:spacing w:val="-1"/>
        </w:rPr>
        <w:t>(2008</w:t>
      </w:r>
      <w:r>
        <w:rPr>
          <w:spacing w:val="-1"/>
        </w:rPr>
        <w:t>年：人民币</w:t>
      </w:r>
      <w:r>
        <w:rPr>
          <w:rFonts w:ascii="Arial" w:hAnsi="Arial" w:cs="Arial" w:eastAsia="Arial" w:hint="default"/>
          <w:spacing w:val="-1"/>
        </w:rPr>
        <w:t>8.9</w:t>
      </w:r>
      <w:r>
        <w:rPr>
          <w:spacing w:val="-1"/>
        </w:rPr>
        <w:t>亿元</w:t>
      </w:r>
      <w:r>
        <w:rPr>
          <w:rFonts w:ascii="Arial" w:hAnsi="Arial" w:cs="Arial" w:eastAsia="Arial" w:hint="default"/>
          <w:spacing w:val="-1"/>
        </w:rPr>
        <w:t>)</w:t>
      </w:r>
      <w:r>
        <w:rPr>
          <w:spacing w:val="-1"/>
        </w:rPr>
        <w:t>；</w:t>
      </w:r>
      <w:r>
        <w:rPr>
          <w:rFonts w:ascii="Arial" w:hAnsi="Arial" w:cs="Arial" w:eastAsia="Arial" w:hint="default"/>
          <w:spacing w:val="-1"/>
        </w:rPr>
        <w:t>(2)2009</w:t>
      </w:r>
      <w:r>
        <w:rPr>
          <w:spacing w:val="-1"/>
        </w:rPr>
        <w:t>年非货币资产交换净收益人民币</w:t>
      </w:r>
      <w:r>
        <w:rPr>
          <w:rFonts w:ascii="Arial" w:hAnsi="Arial" w:cs="Arial" w:eastAsia="Arial" w:hint="default"/>
          <w:spacing w:val="-1"/>
        </w:rPr>
        <w:t>0.4</w:t>
      </w:r>
      <w:r>
        <w:rPr>
          <w:rFonts w:ascii="Arial" w:hAnsi="Arial" w:cs="Arial" w:eastAsia="Arial" w:hint="default"/>
          <w:w w:val="99"/>
        </w:rPr>
        <w:t> </w:t>
      </w:r>
      <w:r>
        <w:rPr>
          <w:spacing w:val="4"/>
          <w:w w:val="95"/>
        </w:rPr>
        <w:t>亿元</w:t>
      </w:r>
      <w:r>
        <w:rPr>
          <w:rFonts w:ascii="Arial" w:hAnsi="Arial" w:cs="Arial" w:eastAsia="Arial" w:hint="default"/>
          <w:spacing w:val="4"/>
          <w:w w:val="95"/>
        </w:rPr>
        <w:t>(2008</w:t>
      </w:r>
      <w:r>
        <w:rPr>
          <w:spacing w:val="4"/>
          <w:w w:val="95"/>
        </w:rPr>
        <w:t>年：人民币</w:t>
      </w:r>
      <w:r>
        <w:rPr>
          <w:rFonts w:ascii="Arial" w:hAnsi="Arial" w:cs="Arial" w:eastAsia="Arial" w:hint="default"/>
          <w:spacing w:val="4"/>
          <w:w w:val="95"/>
        </w:rPr>
        <w:t>13.8</w:t>
      </w:r>
      <w:r>
        <w:rPr>
          <w:spacing w:val="4"/>
          <w:w w:val="95"/>
        </w:rPr>
        <w:t>亿元</w:t>
      </w:r>
      <w:r>
        <w:rPr>
          <w:rFonts w:ascii="Arial" w:hAnsi="Arial" w:cs="Arial" w:eastAsia="Arial" w:hint="default"/>
          <w:spacing w:val="4"/>
          <w:w w:val="95"/>
        </w:rPr>
        <w:t>)</w:t>
      </w:r>
      <w:r>
        <w:rPr>
          <w:spacing w:val="4"/>
          <w:w w:val="95"/>
        </w:rPr>
        <w:t>；</w:t>
      </w:r>
      <w:r>
        <w:rPr>
          <w:rFonts w:ascii="Arial" w:hAnsi="Arial" w:cs="Arial" w:eastAsia="Arial" w:hint="default"/>
          <w:spacing w:val="4"/>
          <w:w w:val="95"/>
        </w:rPr>
        <w:t>(3)2009</w:t>
      </w:r>
      <w:r>
        <w:rPr>
          <w:spacing w:val="4"/>
          <w:w w:val="95"/>
        </w:rPr>
        <w:t>年租赁南方</w:t>
      </w:r>
      <w:r>
        <w:rPr>
          <w:rFonts w:ascii="Arial" w:hAnsi="Arial" w:cs="Arial" w:eastAsia="Arial" w:hint="default"/>
          <w:spacing w:val="4"/>
          <w:w w:val="95"/>
        </w:rPr>
        <w:t>21</w:t>
      </w:r>
      <w:r>
        <w:rPr>
          <w:spacing w:val="4"/>
          <w:w w:val="95"/>
        </w:rPr>
        <w:t>省固定电信网络产生的租赁费</w:t>
      </w:r>
      <w:r>
        <w:rPr>
          <w:rFonts w:ascii="Arial" w:hAnsi="Arial" w:cs="Arial" w:eastAsia="Arial" w:hint="default"/>
          <w:spacing w:val="4"/>
          <w:w w:val="95"/>
        </w:rPr>
        <w:t>20.0</w:t>
      </w:r>
      <w:r>
        <w:rPr>
          <w:spacing w:val="4"/>
          <w:w w:val="95"/>
        </w:rPr>
        <w:t>亿元</w:t>
      </w:r>
      <w:r>
        <w:rPr>
          <w:spacing w:val="9"/>
          <w:w w:val="95"/>
        </w:rPr>
        <w:t> </w:t>
      </w:r>
      <w:r>
        <w:rPr>
          <w:rFonts w:ascii="Arial" w:hAnsi="Arial" w:cs="Arial" w:eastAsia="Arial" w:hint="default"/>
          <w:spacing w:val="-6"/>
        </w:rPr>
        <w:t>(2008</w:t>
      </w:r>
      <w:r>
        <w:rPr>
          <w:spacing w:val="-6"/>
        </w:rPr>
        <w:t>年：无</w:t>
      </w:r>
      <w:r>
        <w:rPr>
          <w:rFonts w:ascii="Arial" w:hAnsi="Arial" w:cs="Arial" w:eastAsia="Arial" w:hint="default"/>
          <w:spacing w:val="-6"/>
        </w:rPr>
        <w:t>)</w:t>
      </w:r>
      <w:r>
        <w:rPr>
          <w:spacing w:val="-6"/>
        </w:rPr>
        <w:t>；</w:t>
      </w:r>
      <w:r>
        <w:rPr>
          <w:rFonts w:ascii="Arial" w:hAnsi="Arial" w:cs="Arial" w:eastAsia="Arial" w:hint="default"/>
          <w:spacing w:val="-6"/>
        </w:rPr>
        <w:t>(4)2009</w:t>
      </w:r>
      <w:r>
        <w:rPr>
          <w:spacing w:val="-6"/>
        </w:rPr>
        <w:t>年衍生工具公允值变动之已实现盈利人民币</w:t>
      </w:r>
      <w:r>
        <w:rPr>
          <w:rFonts w:ascii="Arial" w:hAnsi="Arial" w:cs="Arial" w:eastAsia="Arial" w:hint="default"/>
          <w:spacing w:val="-6"/>
        </w:rPr>
        <w:t>12.4</w:t>
      </w:r>
      <w:r>
        <w:rPr>
          <w:spacing w:val="-6"/>
        </w:rPr>
        <w:t>亿元</w:t>
      </w:r>
      <w:r>
        <w:rPr>
          <w:rFonts w:ascii="Arial" w:hAnsi="Arial" w:cs="Arial" w:eastAsia="Arial" w:hint="default"/>
          <w:spacing w:val="-6"/>
        </w:rPr>
        <w:t>(2008</w:t>
      </w:r>
      <w:r>
        <w:rPr>
          <w:spacing w:val="-6"/>
        </w:rPr>
        <w:t>年：无</w:t>
      </w:r>
      <w:r>
        <w:rPr>
          <w:rFonts w:ascii="Arial" w:hAnsi="Arial" w:cs="Arial" w:eastAsia="Arial" w:hint="default"/>
          <w:spacing w:val="-6"/>
        </w:rPr>
        <w:t>)</w:t>
      </w:r>
      <w:r>
        <w:rPr>
          <w:spacing w:val="-6"/>
        </w:rPr>
        <w:t>；</w:t>
      </w:r>
      <w:r>
        <w:rPr>
          <w:rFonts w:ascii="Arial" w:hAnsi="Arial" w:cs="Arial" w:eastAsia="Arial" w:hint="default"/>
          <w:spacing w:val="-6"/>
        </w:rPr>
        <w:t>(5)2008</w:t>
      </w:r>
      <w:r>
        <w:rPr>
          <w:rFonts w:ascii="Arial" w:hAnsi="Arial" w:cs="Arial" w:eastAsia="Arial" w:hint="default"/>
          <w:spacing w:val="-19"/>
        </w:rPr>
        <w:t> </w:t>
      </w:r>
      <w:r>
        <w:rPr>
          <w:rFonts w:ascii="Arial" w:hAnsi="Arial" w:cs="Arial" w:eastAsia="Arial" w:hint="default"/>
          <w:spacing w:val="-19"/>
        </w:rPr>
      </w:r>
      <w:r>
        <w:rPr/>
        <w:t>年无线市话业务相关资产减值损失人民币</w:t>
      </w:r>
      <w:r>
        <w:rPr>
          <w:rFonts w:ascii="Arial" w:hAnsi="Arial" w:cs="Arial" w:eastAsia="Arial" w:hint="default"/>
        </w:rPr>
        <w:t>122.5</w:t>
      </w:r>
      <w:r>
        <w:rPr/>
        <w:t>亿元。</w:t>
      </w:r>
    </w:p>
    <w:p>
      <w:pPr>
        <w:spacing w:line="240" w:lineRule="auto" w:before="9"/>
        <w:rPr>
          <w:rFonts w:ascii="宋体" w:hAnsi="宋体" w:cs="宋体" w:eastAsia="宋体" w:hint="default"/>
          <w:sz w:val="15"/>
          <w:szCs w:val="15"/>
        </w:rPr>
      </w:pPr>
    </w:p>
    <w:p>
      <w:pPr>
        <w:pStyle w:val="BodyText"/>
        <w:spacing w:line="287" w:lineRule="exact" w:before="31"/>
        <w:ind w:left="109" w:right="106"/>
        <w:jc w:val="left"/>
      </w:pPr>
      <w:r>
        <w:rPr/>
        <w:t>（四）采用公允价值计量的项目</w:t>
      </w:r>
    </w:p>
    <w:p>
      <w:pPr>
        <w:pStyle w:val="BodyText"/>
        <w:spacing w:line="287" w:lineRule="exact"/>
        <w:ind w:left="0" w:right="198"/>
        <w:jc w:val="right"/>
      </w:pPr>
      <w:r>
        <w:rPr/>
        <w:t>单位：元</w:t>
      </w:r>
      <w:r>
        <w:rPr>
          <w:spacing w:val="-3"/>
        </w:rPr>
        <w:t> </w:t>
      </w:r>
      <w:r>
        <w:rPr/>
        <w:t>币种：人民币</w:t>
      </w:r>
    </w:p>
    <w:p>
      <w:pPr>
        <w:spacing w:line="240" w:lineRule="auto" w:before="8"/>
        <w:rPr>
          <w:rFonts w:ascii="宋体" w:hAnsi="宋体" w:cs="宋体" w:eastAsia="宋体" w:hint="default"/>
          <w:sz w:val="2"/>
          <w:szCs w:val="2"/>
        </w:rPr>
      </w:pPr>
    </w:p>
    <w:tbl>
      <w:tblPr>
        <w:tblW w:w="0" w:type="auto"/>
        <w:jc w:val="left"/>
        <w:tblInd w:w="233" w:type="dxa"/>
        <w:tblLayout w:type="fixed"/>
        <w:tblCellMar>
          <w:top w:w="0" w:type="dxa"/>
          <w:left w:w="0" w:type="dxa"/>
          <w:bottom w:w="0" w:type="dxa"/>
          <w:right w:w="0" w:type="dxa"/>
        </w:tblCellMar>
        <w:tblLook w:val="01E0"/>
      </w:tblPr>
      <w:tblGrid>
        <w:gridCol w:w="2933"/>
        <w:gridCol w:w="1507"/>
        <w:gridCol w:w="1652"/>
        <w:gridCol w:w="1626"/>
        <w:gridCol w:w="1624"/>
      </w:tblGrid>
      <w:tr>
        <w:trPr>
          <w:trHeight w:val="586" w:hRule="exact"/>
        </w:trPr>
        <w:tc>
          <w:tcPr>
            <w:tcW w:w="29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1"/>
              <w:jc w:val="center"/>
              <w:rPr>
                <w:rFonts w:ascii="宋体" w:hAnsi="宋体" w:cs="宋体" w:eastAsia="宋体" w:hint="default"/>
                <w:sz w:val="22"/>
                <w:szCs w:val="22"/>
              </w:rPr>
            </w:pPr>
            <w:r>
              <w:rPr>
                <w:rFonts w:ascii="宋体" w:hAnsi="宋体" w:cs="宋体" w:eastAsia="宋体" w:hint="default"/>
                <w:sz w:val="22"/>
                <w:szCs w:val="22"/>
              </w:rPr>
              <w:t>项目名称</w:t>
            </w:r>
          </w:p>
        </w:tc>
        <w:tc>
          <w:tcPr>
            <w:tcW w:w="15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307" w:right="0"/>
              <w:jc w:val="left"/>
              <w:rPr>
                <w:rFonts w:ascii="宋体" w:hAnsi="宋体" w:cs="宋体" w:eastAsia="宋体" w:hint="default"/>
                <w:sz w:val="22"/>
                <w:szCs w:val="22"/>
              </w:rPr>
            </w:pPr>
            <w:r>
              <w:rPr>
                <w:rFonts w:ascii="宋体" w:hAnsi="宋体" w:cs="宋体" w:eastAsia="宋体" w:hint="default"/>
                <w:sz w:val="22"/>
                <w:szCs w:val="22"/>
              </w:rPr>
              <w:t>期初余额</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379" w:right="0"/>
              <w:jc w:val="left"/>
              <w:rPr>
                <w:rFonts w:ascii="宋体" w:hAnsi="宋体" w:cs="宋体" w:eastAsia="宋体" w:hint="default"/>
                <w:sz w:val="22"/>
                <w:szCs w:val="22"/>
              </w:rPr>
            </w:pPr>
            <w:r>
              <w:rPr>
                <w:rFonts w:ascii="宋体" w:hAnsi="宋体" w:cs="宋体" w:eastAsia="宋体" w:hint="default"/>
                <w:sz w:val="22"/>
                <w:szCs w:val="22"/>
              </w:rPr>
              <w:t>期末余额</w:t>
            </w:r>
          </w:p>
        </w:tc>
        <w:tc>
          <w:tcPr>
            <w:tcW w:w="16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366" w:right="0"/>
              <w:jc w:val="left"/>
              <w:rPr>
                <w:rFonts w:ascii="宋体" w:hAnsi="宋体" w:cs="宋体" w:eastAsia="宋体" w:hint="default"/>
                <w:sz w:val="22"/>
                <w:szCs w:val="22"/>
              </w:rPr>
            </w:pPr>
            <w:r>
              <w:rPr>
                <w:rFonts w:ascii="宋体" w:hAnsi="宋体" w:cs="宋体" w:eastAsia="宋体" w:hint="default"/>
                <w:sz w:val="22"/>
                <w:szCs w:val="22"/>
              </w:rPr>
              <w:t>当期变动</w:t>
            </w:r>
          </w:p>
        </w:tc>
        <w:tc>
          <w:tcPr>
            <w:tcW w:w="1624" w:type="dxa"/>
            <w:tcBorders>
              <w:top w:val="single" w:sz="6" w:space="0" w:color="000000"/>
              <w:left w:val="single" w:sz="6" w:space="0" w:color="000000"/>
              <w:bottom w:val="single" w:sz="6" w:space="0" w:color="000000"/>
              <w:right w:val="single" w:sz="6" w:space="0" w:color="000000"/>
            </w:tcBorders>
          </w:tcPr>
          <w:p>
            <w:pPr>
              <w:pStyle w:val="TableParagraph"/>
              <w:spacing w:line="251" w:lineRule="exact"/>
              <w:ind w:right="0"/>
              <w:jc w:val="center"/>
              <w:rPr>
                <w:rFonts w:ascii="宋体" w:hAnsi="宋体" w:cs="宋体" w:eastAsia="宋体" w:hint="default"/>
                <w:sz w:val="22"/>
                <w:szCs w:val="22"/>
              </w:rPr>
            </w:pPr>
            <w:r>
              <w:rPr>
                <w:rFonts w:ascii="宋体" w:hAnsi="宋体" w:cs="宋体" w:eastAsia="宋体" w:hint="default"/>
                <w:sz w:val="22"/>
                <w:szCs w:val="22"/>
              </w:rPr>
              <w:t>对当期利润的</w:t>
            </w:r>
          </w:p>
          <w:p>
            <w:pPr>
              <w:pStyle w:val="TableParagraph"/>
              <w:spacing w:line="287" w:lineRule="exact"/>
              <w:ind w:right="0"/>
              <w:jc w:val="center"/>
              <w:rPr>
                <w:rFonts w:ascii="宋体" w:hAnsi="宋体" w:cs="宋体" w:eastAsia="宋体" w:hint="default"/>
                <w:sz w:val="22"/>
                <w:szCs w:val="22"/>
              </w:rPr>
            </w:pPr>
            <w:r>
              <w:rPr>
                <w:rFonts w:ascii="宋体" w:hAnsi="宋体" w:cs="宋体" w:eastAsia="宋体" w:hint="default"/>
                <w:sz w:val="22"/>
                <w:szCs w:val="22"/>
              </w:rPr>
              <w:t>影响金额</w:t>
            </w:r>
          </w:p>
        </w:tc>
      </w:tr>
      <w:tr>
        <w:trPr>
          <w:trHeight w:val="300" w:hRule="exact"/>
        </w:trPr>
        <w:tc>
          <w:tcPr>
            <w:tcW w:w="2933"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00" w:right="0"/>
              <w:jc w:val="left"/>
              <w:rPr>
                <w:rFonts w:ascii="宋体" w:hAnsi="宋体" w:cs="宋体" w:eastAsia="宋体" w:hint="default"/>
                <w:sz w:val="22"/>
                <w:szCs w:val="22"/>
              </w:rPr>
            </w:pPr>
            <w:r>
              <w:rPr>
                <w:rFonts w:ascii="宋体" w:hAnsi="宋体" w:cs="宋体" w:eastAsia="宋体" w:hint="default"/>
                <w:sz w:val="22"/>
                <w:szCs w:val="22"/>
              </w:rPr>
              <w:t>子公司持有交通银行股票</w:t>
            </w:r>
          </w:p>
        </w:tc>
        <w:tc>
          <w:tcPr>
            <w:tcW w:w="15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Arial" w:hAnsi="Arial" w:cs="Arial" w:eastAsia="Arial" w:hint="default"/>
                <w:sz w:val="22"/>
                <w:szCs w:val="22"/>
              </w:rPr>
            </w:pPr>
            <w:r>
              <w:rPr>
                <w:rFonts w:ascii="Arial"/>
                <w:w w:val="95"/>
                <w:sz w:val="22"/>
              </w:rPr>
              <w:t>95,115,992</w:t>
            </w:r>
            <w:r>
              <w:rPr>
                <w:rFonts w:ascii="Arial"/>
                <w:sz w:val="22"/>
              </w:rPr>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Arial" w:hAnsi="Arial" w:cs="Arial" w:eastAsia="Arial" w:hint="default"/>
                <w:sz w:val="22"/>
                <w:szCs w:val="22"/>
              </w:rPr>
            </w:pPr>
            <w:r>
              <w:rPr>
                <w:rFonts w:ascii="Arial"/>
                <w:w w:val="95"/>
                <w:sz w:val="22"/>
              </w:rPr>
              <w:t>187,623,318</w:t>
            </w:r>
            <w:r>
              <w:rPr>
                <w:rFonts w:ascii="Arial"/>
                <w:sz w:val="22"/>
              </w:rPr>
            </w:r>
          </w:p>
        </w:tc>
        <w:tc>
          <w:tcPr>
            <w:tcW w:w="16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Arial" w:hAnsi="Arial" w:cs="Arial" w:eastAsia="Arial" w:hint="default"/>
                <w:sz w:val="22"/>
                <w:szCs w:val="22"/>
              </w:rPr>
            </w:pPr>
            <w:r>
              <w:rPr>
                <w:rFonts w:ascii="Arial"/>
                <w:w w:val="95"/>
                <w:sz w:val="22"/>
              </w:rPr>
              <w:t>92,507,326</w:t>
            </w:r>
            <w:r>
              <w:rPr>
                <w:rFonts w:ascii="Arial"/>
                <w:sz w:val="22"/>
              </w:rPr>
            </w:r>
          </w:p>
        </w:tc>
        <w:tc>
          <w:tcPr>
            <w:tcW w:w="16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Arial" w:hAnsi="Arial" w:cs="Arial" w:eastAsia="Arial" w:hint="default"/>
                <w:sz w:val="22"/>
                <w:szCs w:val="22"/>
              </w:rPr>
            </w:pPr>
            <w:r>
              <w:rPr>
                <w:rFonts w:ascii="Arial"/>
                <w:w w:val="99"/>
                <w:sz w:val="22"/>
              </w:rPr>
              <w:t>-</w:t>
            </w:r>
            <w:r>
              <w:rPr>
                <w:rFonts w:ascii="Arial"/>
                <w:sz w:val="22"/>
              </w:rPr>
            </w:r>
          </w:p>
        </w:tc>
      </w:tr>
      <w:tr>
        <w:trPr>
          <w:trHeight w:val="300" w:hRule="exact"/>
        </w:trPr>
        <w:tc>
          <w:tcPr>
            <w:tcW w:w="2933"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00" w:right="0"/>
              <w:jc w:val="left"/>
              <w:rPr>
                <w:rFonts w:ascii="宋体" w:hAnsi="宋体" w:cs="宋体" w:eastAsia="宋体" w:hint="default"/>
                <w:sz w:val="22"/>
                <w:szCs w:val="22"/>
              </w:rPr>
            </w:pPr>
            <w:r>
              <w:rPr>
                <w:rFonts w:ascii="宋体" w:hAnsi="宋体" w:cs="宋体" w:eastAsia="宋体" w:hint="default"/>
                <w:sz w:val="22"/>
                <w:szCs w:val="22"/>
              </w:rPr>
              <w:t>子公司持有西班牙电信股票</w:t>
            </w:r>
          </w:p>
        </w:tc>
        <w:tc>
          <w:tcPr>
            <w:tcW w:w="15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Arial" w:hAnsi="Arial" w:cs="Arial" w:eastAsia="Arial" w:hint="default"/>
                <w:sz w:val="22"/>
                <w:szCs w:val="22"/>
              </w:rPr>
            </w:pPr>
            <w:r>
              <w:rPr>
                <w:rFonts w:ascii="Arial"/>
                <w:w w:val="99"/>
                <w:sz w:val="22"/>
              </w:rPr>
              <w:t>-</w:t>
            </w:r>
            <w:r>
              <w:rPr>
                <w:rFonts w:ascii="Arial"/>
                <w:sz w:val="22"/>
              </w:rPr>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Arial" w:hAnsi="Arial" w:cs="Arial" w:eastAsia="Arial" w:hint="default"/>
                <w:sz w:val="22"/>
                <w:szCs w:val="22"/>
              </w:rPr>
            </w:pPr>
            <w:r>
              <w:rPr>
                <w:rFonts w:ascii="Arial"/>
                <w:spacing w:val="-1"/>
                <w:sz w:val="22"/>
              </w:rPr>
              <w:t>7,789,288,678</w:t>
            </w:r>
          </w:p>
        </w:tc>
        <w:tc>
          <w:tcPr>
            <w:tcW w:w="16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Arial" w:hAnsi="Arial" w:cs="Arial" w:eastAsia="Arial" w:hint="default"/>
                <w:sz w:val="22"/>
                <w:szCs w:val="22"/>
              </w:rPr>
            </w:pPr>
            <w:r>
              <w:rPr>
                <w:rFonts w:ascii="Arial"/>
                <w:spacing w:val="-1"/>
                <w:sz w:val="22"/>
              </w:rPr>
              <w:t>7,789,288,678</w:t>
            </w:r>
          </w:p>
        </w:tc>
        <w:tc>
          <w:tcPr>
            <w:tcW w:w="16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Arial" w:hAnsi="Arial" w:cs="Arial" w:eastAsia="Arial" w:hint="default"/>
                <w:sz w:val="22"/>
                <w:szCs w:val="22"/>
              </w:rPr>
            </w:pPr>
            <w:r>
              <w:rPr>
                <w:rFonts w:ascii="Arial"/>
                <w:spacing w:val="-1"/>
                <w:sz w:val="22"/>
              </w:rPr>
              <w:t>1,239,125,224</w:t>
            </w:r>
          </w:p>
        </w:tc>
      </w:tr>
      <w:tr>
        <w:trPr>
          <w:trHeight w:val="301" w:hRule="exact"/>
        </w:trPr>
        <w:tc>
          <w:tcPr>
            <w:tcW w:w="2933"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0"/>
              <w:jc w:val="center"/>
              <w:rPr>
                <w:rFonts w:ascii="宋体" w:hAnsi="宋体" w:cs="宋体" w:eastAsia="宋体" w:hint="default"/>
                <w:sz w:val="22"/>
                <w:szCs w:val="22"/>
              </w:rPr>
            </w:pPr>
            <w:r>
              <w:rPr>
                <w:rFonts w:ascii="宋体" w:hAnsi="宋体" w:cs="宋体" w:eastAsia="宋体" w:hint="default"/>
                <w:sz w:val="22"/>
                <w:szCs w:val="22"/>
              </w:rPr>
              <w:t>合计</w:t>
            </w:r>
          </w:p>
        </w:tc>
        <w:tc>
          <w:tcPr>
            <w:tcW w:w="15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Arial" w:hAnsi="Arial" w:cs="Arial" w:eastAsia="Arial" w:hint="default"/>
                <w:sz w:val="22"/>
                <w:szCs w:val="22"/>
              </w:rPr>
            </w:pPr>
            <w:r>
              <w:rPr>
                <w:rFonts w:ascii="Arial"/>
                <w:w w:val="95"/>
                <w:sz w:val="22"/>
              </w:rPr>
              <w:t>95,115,992</w:t>
            </w:r>
            <w:r>
              <w:rPr>
                <w:rFonts w:ascii="Arial"/>
                <w:sz w:val="22"/>
              </w:rPr>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Arial" w:hAnsi="Arial" w:cs="Arial" w:eastAsia="Arial" w:hint="default"/>
                <w:sz w:val="22"/>
                <w:szCs w:val="22"/>
              </w:rPr>
            </w:pPr>
            <w:r>
              <w:rPr>
                <w:rFonts w:ascii="Arial"/>
                <w:spacing w:val="-1"/>
                <w:sz w:val="22"/>
              </w:rPr>
              <w:t>7,976,911,996</w:t>
            </w:r>
          </w:p>
        </w:tc>
        <w:tc>
          <w:tcPr>
            <w:tcW w:w="16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Arial" w:hAnsi="Arial" w:cs="Arial" w:eastAsia="Arial" w:hint="default"/>
                <w:sz w:val="22"/>
                <w:szCs w:val="22"/>
              </w:rPr>
            </w:pPr>
            <w:r>
              <w:rPr>
                <w:rFonts w:ascii="Arial"/>
                <w:spacing w:val="-1"/>
                <w:sz w:val="22"/>
              </w:rPr>
              <w:t>7,881,796,004</w:t>
            </w:r>
          </w:p>
        </w:tc>
        <w:tc>
          <w:tcPr>
            <w:tcW w:w="16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Arial" w:hAnsi="Arial" w:cs="Arial" w:eastAsia="Arial" w:hint="default"/>
                <w:sz w:val="22"/>
                <w:szCs w:val="22"/>
              </w:rPr>
            </w:pPr>
            <w:r>
              <w:rPr>
                <w:rFonts w:ascii="Arial"/>
                <w:spacing w:val="-1"/>
                <w:sz w:val="22"/>
              </w:rPr>
              <w:t>1,239,125,224</w:t>
            </w:r>
          </w:p>
        </w:tc>
      </w:tr>
    </w:tbl>
    <w:p>
      <w:pPr>
        <w:spacing w:after="0" w:line="240" w:lineRule="auto"/>
        <w:jc w:val="right"/>
        <w:rPr>
          <w:rFonts w:ascii="Arial" w:hAnsi="Arial" w:cs="Arial" w:eastAsia="Arial" w:hint="default"/>
          <w:sz w:val="22"/>
          <w:szCs w:val="22"/>
        </w:rPr>
        <w:sectPr>
          <w:pgSz w:w="11910" w:h="16840"/>
          <w:pgMar w:header="587" w:footer="774" w:top="960" w:bottom="960" w:left="1080" w:right="1080"/>
        </w:sectPr>
      </w:pPr>
    </w:p>
    <w:p>
      <w:pPr>
        <w:spacing w:line="240" w:lineRule="auto" w:before="0"/>
        <w:rPr>
          <w:rFonts w:ascii="宋体" w:hAnsi="宋体" w:cs="宋体" w:eastAsia="宋体" w:hint="default"/>
          <w:sz w:val="20"/>
          <w:szCs w:val="20"/>
        </w:rPr>
      </w:pPr>
    </w:p>
    <w:p>
      <w:pPr>
        <w:pStyle w:val="Heading8"/>
        <w:spacing w:line="240" w:lineRule="auto" w:before="172"/>
        <w:ind w:left="249" w:right="138"/>
        <w:jc w:val="left"/>
        <w:rPr>
          <w:b w:val="0"/>
          <w:bCs w:val="0"/>
        </w:rPr>
      </w:pPr>
      <w:bookmarkStart w:name="_bookmark2" w:id="4"/>
      <w:bookmarkEnd w:id="4"/>
      <w:r>
        <w:rPr>
          <w:b w:val="0"/>
          <w:bCs w:val="0"/>
        </w:rPr>
      </w:r>
      <w:r>
        <w:rPr/>
        <w:t>四、</w:t>
      </w:r>
      <w:r>
        <w:rPr>
          <w:spacing w:val="-24"/>
        </w:rPr>
        <w:t> </w:t>
      </w:r>
      <w:r>
        <w:rPr/>
        <w:t>股本变动及股东情况</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left="109" w:right="138"/>
        <w:jc w:val="left"/>
      </w:pPr>
      <w:r>
        <w:rPr/>
        <w:t>（一）股本变动情况</w:t>
      </w:r>
    </w:p>
    <w:p>
      <w:pPr>
        <w:spacing w:line="240" w:lineRule="auto" w:before="10"/>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pgSz w:w="11910" w:h="16840"/>
          <w:pgMar w:header="587" w:footer="774" w:top="960" w:bottom="960" w:left="1080" w:right="1140"/>
        </w:sectPr>
      </w:pPr>
    </w:p>
    <w:p>
      <w:pPr>
        <w:pStyle w:val="BodyText"/>
        <w:spacing w:line="240" w:lineRule="auto" w:before="31"/>
        <w:ind w:left="249" w:right="-19"/>
        <w:jc w:val="left"/>
      </w:pPr>
      <w:r>
        <w:rPr>
          <w:rFonts w:ascii="Arial" w:hAnsi="Arial" w:cs="Arial" w:eastAsia="Arial" w:hint="default"/>
        </w:rPr>
        <w:t>1</w:t>
      </w:r>
      <w:r>
        <w:rPr/>
        <w:t>、</w:t>
      </w:r>
      <w:r>
        <w:rPr>
          <w:spacing w:val="64"/>
        </w:rPr>
        <w:t> </w:t>
      </w:r>
      <w:r>
        <w:rPr/>
        <w:t>股份变动情况表</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1"/>
          <w:szCs w:val="11"/>
        </w:rPr>
      </w:pPr>
    </w:p>
    <w:p>
      <w:pPr>
        <w:spacing w:before="0"/>
        <w:ind w:left="249" w:right="0" w:firstLine="0"/>
        <w:jc w:val="left"/>
        <w:rPr>
          <w:rFonts w:ascii="宋体" w:hAnsi="宋体" w:cs="宋体" w:eastAsia="宋体" w:hint="default"/>
          <w:sz w:val="15"/>
          <w:szCs w:val="15"/>
        </w:rPr>
      </w:pPr>
      <w:r>
        <w:rPr>
          <w:rFonts w:ascii="宋体" w:hAnsi="宋体" w:cs="宋体" w:eastAsia="宋体" w:hint="default"/>
          <w:sz w:val="15"/>
          <w:szCs w:val="15"/>
        </w:rPr>
        <w:t>单位：股</w:t>
      </w:r>
    </w:p>
    <w:p>
      <w:pPr>
        <w:spacing w:after="0"/>
        <w:jc w:val="left"/>
        <w:rPr>
          <w:rFonts w:ascii="宋体" w:hAnsi="宋体" w:cs="宋体" w:eastAsia="宋体" w:hint="default"/>
          <w:sz w:val="15"/>
          <w:szCs w:val="15"/>
        </w:rPr>
        <w:sectPr>
          <w:type w:val="continuous"/>
          <w:pgSz w:w="11910" w:h="16840"/>
          <w:pgMar w:top="1600" w:bottom="280" w:left="1080" w:right="1140"/>
          <w:cols w:num="2" w:equalWidth="0">
            <w:col w:w="2308" w:space="6388"/>
            <w:col w:w="994"/>
          </w:cols>
        </w:sectPr>
      </w:pPr>
    </w:p>
    <w:p>
      <w:pPr>
        <w:spacing w:line="240" w:lineRule="auto" w:before="0"/>
        <w:rPr>
          <w:rFonts w:ascii="宋体" w:hAnsi="宋体" w:cs="宋体" w:eastAsia="宋体" w:hint="default"/>
          <w:sz w:val="2"/>
          <w:szCs w:val="2"/>
        </w:rPr>
      </w:pPr>
    </w:p>
    <w:tbl>
      <w:tblPr>
        <w:tblW w:w="0" w:type="auto"/>
        <w:jc w:val="left"/>
        <w:tblInd w:w="233" w:type="dxa"/>
        <w:tblLayout w:type="fixed"/>
        <w:tblCellMar>
          <w:top w:w="0" w:type="dxa"/>
          <w:left w:w="0" w:type="dxa"/>
          <w:bottom w:w="0" w:type="dxa"/>
          <w:right w:w="0" w:type="dxa"/>
        </w:tblCellMar>
        <w:tblLook w:val="01E0"/>
      </w:tblPr>
      <w:tblGrid>
        <w:gridCol w:w="1489"/>
        <w:gridCol w:w="1259"/>
        <w:gridCol w:w="833"/>
        <w:gridCol w:w="436"/>
        <w:gridCol w:w="366"/>
        <w:gridCol w:w="366"/>
        <w:gridCol w:w="1309"/>
        <w:gridCol w:w="1309"/>
        <w:gridCol w:w="1259"/>
        <w:gridCol w:w="674"/>
      </w:tblGrid>
      <w:tr>
        <w:trPr>
          <w:trHeight w:val="209" w:hRule="exact"/>
        </w:trPr>
        <w:tc>
          <w:tcPr>
            <w:tcW w:w="1489" w:type="dxa"/>
            <w:vMerge w:val="restart"/>
            <w:tcBorders>
              <w:top w:val="single" w:sz="6" w:space="0" w:color="000000"/>
              <w:left w:val="single" w:sz="6" w:space="0" w:color="000000"/>
              <w:right w:val="single" w:sz="6" w:space="0" w:color="000000"/>
            </w:tcBorders>
          </w:tcPr>
          <w:p>
            <w:pPr/>
          </w:p>
        </w:tc>
        <w:tc>
          <w:tcPr>
            <w:tcW w:w="2092" w:type="dxa"/>
            <w:gridSpan w:val="2"/>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663" w:right="0"/>
              <w:jc w:val="left"/>
              <w:rPr>
                <w:rFonts w:ascii="宋体" w:hAnsi="宋体" w:cs="宋体" w:eastAsia="宋体" w:hint="default"/>
                <w:sz w:val="15"/>
                <w:szCs w:val="15"/>
              </w:rPr>
            </w:pPr>
            <w:r>
              <w:rPr>
                <w:rFonts w:ascii="宋体" w:hAnsi="宋体" w:cs="宋体" w:eastAsia="宋体" w:hint="default"/>
                <w:sz w:val="15"/>
                <w:szCs w:val="15"/>
              </w:rPr>
              <w:t>本次变动前</w:t>
            </w:r>
          </w:p>
        </w:tc>
        <w:tc>
          <w:tcPr>
            <w:tcW w:w="3786" w:type="dxa"/>
            <w:gridSpan w:val="5"/>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60" w:right="0"/>
              <w:jc w:val="left"/>
              <w:rPr>
                <w:rFonts w:ascii="宋体" w:hAnsi="宋体" w:cs="宋体" w:eastAsia="宋体" w:hint="default"/>
                <w:sz w:val="15"/>
                <w:szCs w:val="15"/>
              </w:rPr>
            </w:pPr>
            <w:r>
              <w:rPr>
                <w:rFonts w:ascii="宋体" w:hAnsi="宋体" w:cs="宋体" w:eastAsia="宋体" w:hint="default"/>
                <w:sz w:val="15"/>
                <w:szCs w:val="15"/>
              </w:rPr>
              <w:t>本次变动增减（＋，－）</w:t>
            </w:r>
          </w:p>
        </w:tc>
        <w:tc>
          <w:tcPr>
            <w:tcW w:w="1933" w:type="dxa"/>
            <w:gridSpan w:val="2"/>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584" w:right="0"/>
              <w:jc w:val="left"/>
              <w:rPr>
                <w:rFonts w:ascii="宋体" w:hAnsi="宋体" w:cs="宋体" w:eastAsia="宋体" w:hint="default"/>
                <w:sz w:val="15"/>
                <w:szCs w:val="15"/>
              </w:rPr>
            </w:pPr>
            <w:r>
              <w:rPr>
                <w:rFonts w:ascii="宋体" w:hAnsi="宋体" w:cs="宋体" w:eastAsia="宋体" w:hint="default"/>
                <w:sz w:val="15"/>
                <w:szCs w:val="15"/>
              </w:rPr>
              <w:t>本次变动后</w:t>
            </w:r>
          </w:p>
        </w:tc>
      </w:tr>
      <w:tr>
        <w:trPr>
          <w:trHeight w:val="988" w:hRule="exact"/>
        </w:trPr>
        <w:tc>
          <w:tcPr>
            <w:tcW w:w="1489" w:type="dxa"/>
            <w:vMerge/>
            <w:tcBorders>
              <w:left w:val="single" w:sz="6" w:space="0" w:color="000000"/>
              <w:bottom w:val="single" w:sz="6" w:space="0" w:color="000000"/>
              <w:right w:val="single" w:sz="6" w:space="0" w:color="000000"/>
            </w:tcBorders>
          </w:tcPr>
          <w:p>
            <w:pP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数量</w:t>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40"/>
              <w:jc w:val="right"/>
              <w:rPr>
                <w:rFonts w:ascii="Arial" w:hAnsi="Arial" w:cs="Arial" w:eastAsia="Arial" w:hint="default"/>
                <w:sz w:val="15"/>
                <w:szCs w:val="15"/>
              </w:rPr>
            </w:pPr>
            <w:r>
              <w:rPr>
                <w:rFonts w:ascii="宋体" w:hAnsi="宋体" w:cs="宋体" w:eastAsia="宋体" w:hint="default"/>
                <w:w w:val="95"/>
                <w:sz w:val="15"/>
                <w:szCs w:val="15"/>
              </w:rPr>
              <w:t>比例</w:t>
            </w:r>
            <w:r>
              <w:rPr>
                <w:rFonts w:ascii="Arial" w:hAnsi="Arial" w:cs="Arial" w:eastAsia="Arial" w:hint="default"/>
                <w:w w:val="95"/>
                <w:sz w:val="15"/>
                <w:szCs w:val="15"/>
              </w:rPr>
              <w:t>(%)</w:t>
            </w:r>
            <w:r>
              <w:rPr>
                <w:rFonts w:ascii="Arial" w:hAnsi="Arial" w:cs="Arial" w:eastAsia="Arial" w:hint="default"/>
                <w:sz w:val="15"/>
                <w:szCs w:val="15"/>
              </w:rPr>
            </w:r>
          </w:p>
        </w:tc>
        <w:tc>
          <w:tcPr>
            <w:tcW w:w="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135" w:right="133"/>
              <w:jc w:val="both"/>
              <w:rPr>
                <w:rFonts w:ascii="宋体" w:hAnsi="宋体" w:cs="宋体" w:eastAsia="宋体" w:hint="default"/>
                <w:sz w:val="15"/>
                <w:szCs w:val="15"/>
              </w:rPr>
            </w:pPr>
            <w:r>
              <w:rPr>
                <w:rFonts w:ascii="宋体" w:hAnsi="宋体" w:cs="宋体" w:eastAsia="宋体" w:hint="default"/>
                <w:sz w:val="15"/>
                <w:szCs w:val="15"/>
              </w:rPr>
              <w:t>发 行 新 股</w:t>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00" w:right="98"/>
              <w:jc w:val="left"/>
              <w:rPr>
                <w:rFonts w:ascii="宋体" w:hAnsi="宋体" w:cs="宋体" w:eastAsia="宋体" w:hint="default"/>
                <w:sz w:val="15"/>
                <w:szCs w:val="15"/>
              </w:rPr>
            </w:pPr>
            <w:r>
              <w:rPr>
                <w:rFonts w:ascii="宋体" w:hAnsi="宋体" w:cs="宋体" w:eastAsia="宋体" w:hint="default"/>
                <w:sz w:val="15"/>
                <w:szCs w:val="15"/>
              </w:rPr>
              <w:t>送 股</w:t>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both"/>
              <w:rPr>
                <w:rFonts w:ascii="宋体" w:hAnsi="宋体" w:cs="宋体" w:eastAsia="宋体" w:hint="default"/>
                <w:sz w:val="15"/>
                <w:szCs w:val="15"/>
              </w:rPr>
            </w:pPr>
            <w:r>
              <w:rPr>
                <w:rFonts w:ascii="宋体" w:hAnsi="宋体" w:cs="宋体" w:eastAsia="宋体" w:hint="default"/>
                <w:sz w:val="15"/>
                <w:szCs w:val="15"/>
              </w:rPr>
              <w:t>公</w:t>
            </w:r>
          </w:p>
          <w:p>
            <w:pPr>
              <w:pStyle w:val="TableParagraph"/>
              <w:spacing w:line="240" w:lineRule="auto"/>
              <w:ind w:left="100" w:right="98"/>
              <w:jc w:val="both"/>
              <w:rPr>
                <w:rFonts w:ascii="宋体" w:hAnsi="宋体" w:cs="宋体" w:eastAsia="宋体" w:hint="default"/>
                <w:sz w:val="15"/>
                <w:szCs w:val="15"/>
              </w:rPr>
            </w:pPr>
            <w:r>
              <w:rPr>
                <w:rFonts w:ascii="宋体" w:hAnsi="宋体" w:cs="宋体" w:eastAsia="宋体" w:hint="default"/>
                <w:sz w:val="15"/>
                <w:szCs w:val="15"/>
              </w:rPr>
              <w:t>积 金 转 股</w:t>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其它</w:t>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小计</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5"/>
                <w:szCs w:val="15"/>
              </w:rPr>
            </w:pPr>
            <w:r>
              <w:rPr>
                <w:rFonts w:ascii="宋体" w:hAnsi="宋体" w:cs="宋体" w:eastAsia="宋体" w:hint="default"/>
                <w:sz w:val="15"/>
                <w:szCs w:val="15"/>
              </w:rPr>
              <w:t>数量</w:t>
            </w:r>
          </w:p>
        </w:tc>
        <w:tc>
          <w:tcPr>
            <w:tcW w:w="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5"/>
              <w:ind w:left="180" w:right="0"/>
              <w:jc w:val="left"/>
              <w:rPr>
                <w:rFonts w:ascii="宋体" w:hAnsi="宋体" w:cs="宋体" w:eastAsia="宋体" w:hint="default"/>
                <w:sz w:val="15"/>
                <w:szCs w:val="15"/>
              </w:rPr>
            </w:pPr>
            <w:r>
              <w:rPr>
                <w:rFonts w:ascii="宋体" w:hAnsi="宋体" w:cs="宋体" w:eastAsia="宋体" w:hint="default"/>
                <w:sz w:val="15"/>
                <w:szCs w:val="15"/>
              </w:rPr>
              <w:t>比例</w:t>
            </w:r>
          </w:p>
          <w:p>
            <w:pPr>
              <w:pStyle w:val="TableParagraph"/>
              <w:spacing w:line="240" w:lineRule="auto" w:before="22"/>
              <w:ind w:left="212" w:right="0"/>
              <w:jc w:val="left"/>
              <w:rPr>
                <w:rFonts w:ascii="Arial" w:hAnsi="Arial" w:cs="Arial" w:eastAsia="Arial" w:hint="default"/>
                <w:sz w:val="15"/>
                <w:szCs w:val="15"/>
              </w:rPr>
            </w:pPr>
            <w:r>
              <w:rPr>
                <w:rFonts w:ascii="Arial"/>
                <w:sz w:val="15"/>
              </w:rPr>
              <w:t>(%)</w:t>
            </w:r>
          </w:p>
        </w:tc>
      </w:tr>
      <w:tr>
        <w:trPr>
          <w:trHeight w:val="404"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一、有限售条件股</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份</w:t>
            </w:r>
          </w:p>
        </w:tc>
        <w:tc>
          <w:tcPr>
            <w:tcW w:w="7811" w:type="dxa"/>
            <w:gridSpan w:val="9"/>
            <w:tcBorders>
              <w:top w:val="single" w:sz="6" w:space="0" w:color="000000"/>
              <w:left w:val="single" w:sz="6" w:space="0" w:color="000000"/>
              <w:bottom w:val="single" w:sz="6" w:space="0" w:color="000000"/>
              <w:right w:val="single" w:sz="6" w:space="0" w:color="000000"/>
            </w:tcBorders>
          </w:tcPr>
          <w:p>
            <w:pPr/>
          </w:p>
        </w:tc>
      </w:tr>
      <w:tr>
        <w:trPr>
          <w:trHeight w:val="210"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ind w:left="100" w:right="0"/>
              <w:jc w:val="left"/>
              <w:rPr>
                <w:rFonts w:ascii="宋体" w:hAnsi="宋体" w:cs="宋体" w:eastAsia="宋体" w:hint="default"/>
                <w:sz w:val="15"/>
                <w:szCs w:val="15"/>
              </w:rPr>
            </w:pPr>
            <w:r>
              <w:rPr>
                <w:rFonts w:ascii="Arial" w:hAnsi="Arial" w:cs="Arial" w:eastAsia="Arial" w:hint="default"/>
                <w:sz w:val="15"/>
                <w:szCs w:val="15"/>
              </w:rPr>
              <w:t>1</w:t>
            </w:r>
            <w:r>
              <w:rPr>
                <w:rFonts w:ascii="宋体" w:hAnsi="宋体" w:cs="宋体" w:eastAsia="宋体" w:hint="default"/>
                <w:sz w:val="15"/>
                <w:szCs w:val="15"/>
              </w:rPr>
              <w:t>、国家持股</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Arial" w:hAnsi="Arial" w:cs="Arial" w:eastAsia="Arial" w:hint="default"/>
                <w:sz w:val="15"/>
                <w:szCs w:val="15"/>
              </w:rPr>
            </w:pPr>
            <w:r>
              <w:rPr>
                <w:rFonts w:ascii="Arial"/>
                <w:w w:val="99"/>
                <w:sz w:val="15"/>
              </w:rPr>
              <w:t>-</w:t>
            </w:r>
            <w:r>
              <w:rPr>
                <w:rFonts w:ascii="Arial"/>
                <w:sz w:val="15"/>
              </w:rPr>
            </w:r>
          </w:p>
        </w:tc>
        <w:tc>
          <w:tcPr>
            <w:tcW w:w="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r>
      <w:tr>
        <w:trPr>
          <w:trHeight w:val="209"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ind w:left="100" w:right="0"/>
              <w:jc w:val="left"/>
              <w:rPr>
                <w:rFonts w:ascii="宋体" w:hAnsi="宋体" w:cs="宋体" w:eastAsia="宋体" w:hint="default"/>
                <w:sz w:val="15"/>
                <w:szCs w:val="15"/>
              </w:rPr>
            </w:pPr>
            <w:r>
              <w:rPr>
                <w:rFonts w:ascii="Arial" w:hAnsi="Arial" w:cs="Arial" w:eastAsia="Arial" w:hint="default"/>
                <w:sz w:val="15"/>
                <w:szCs w:val="15"/>
              </w:rPr>
              <w:t>2</w:t>
            </w:r>
            <w:r>
              <w:rPr>
                <w:rFonts w:ascii="宋体" w:hAnsi="宋体" w:cs="宋体" w:eastAsia="宋体" w:hint="default"/>
                <w:sz w:val="15"/>
                <w:szCs w:val="15"/>
              </w:rPr>
              <w:t>、国有法人持股</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7"/>
              <w:jc w:val="right"/>
              <w:rPr>
                <w:rFonts w:ascii="Arial" w:hAnsi="Arial" w:cs="Arial" w:eastAsia="Arial" w:hint="default"/>
                <w:sz w:val="15"/>
                <w:szCs w:val="15"/>
              </w:rPr>
            </w:pPr>
            <w:r>
              <w:rPr>
                <w:rFonts w:ascii="Arial"/>
                <w:spacing w:val="-1"/>
                <w:sz w:val="15"/>
              </w:rPr>
              <w:t>10,754,658,735</w:t>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Arial" w:hAnsi="Arial" w:cs="Arial" w:eastAsia="Arial" w:hint="default"/>
                <w:sz w:val="15"/>
                <w:szCs w:val="15"/>
              </w:rPr>
            </w:pPr>
            <w:r>
              <w:rPr>
                <w:rFonts w:ascii="Arial"/>
                <w:spacing w:val="-1"/>
                <w:sz w:val="15"/>
              </w:rPr>
              <w:t>50.74</w:t>
            </w:r>
          </w:p>
        </w:tc>
        <w:tc>
          <w:tcPr>
            <w:tcW w:w="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Arial" w:hAnsi="Arial" w:cs="Arial" w:eastAsia="Arial" w:hint="default"/>
                <w:sz w:val="15"/>
                <w:szCs w:val="15"/>
              </w:rPr>
            </w:pPr>
            <w:r>
              <w:rPr>
                <w:rFonts w:ascii="Arial"/>
                <w:spacing w:val="-1"/>
                <w:sz w:val="15"/>
              </w:rPr>
              <w:t>-10,754,658,735</w:t>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spacing w:val="-1"/>
                <w:sz w:val="15"/>
              </w:rPr>
              <w:t>-10,754,658,735</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Arial" w:hAnsi="Arial" w:cs="Arial" w:eastAsia="Arial" w:hint="default"/>
                <w:sz w:val="15"/>
                <w:szCs w:val="15"/>
              </w:rPr>
            </w:pPr>
            <w:r>
              <w:rPr>
                <w:rFonts w:ascii="Arial"/>
                <w:w w:val="99"/>
                <w:sz w:val="15"/>
              </w:rPr>
              <w:t>-</w:t>
            </w:r>
            <w:r>
              <w:rPr>
                <w:rFonts w:ascii="Arial"/>
                <w:sz w:val="15"/>
              </w:rPr>
            </w:r>
          </w:p>
        </w:tc>
        <w:tc>
          <w:tcPr>
            <w:tcW w:w="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Arial" w:hAnsi="Arial" w:cs="Arial" w:eastAsia="Arial" w:hint="default"/>
                <w:sz w:val="15"/>
                <w:szCs w:val="15"/>
              </w:rPr>
            </w:pPr>
            <w:r>
              <w:rPr>
                <w:rFonts w:ascii="Arial"/>
                <w:w w:val="99"/>
                <w:sz w:val="15"/>
              </w:rPr>
              <w:t>-</w:t>
            </w:r>
            <w:r>
              <w:rPr>
                <w:rFonts w:ascii="Arial"/>
                <w:sz w:val="15"/>
              </w:rPr>
            </w:r>
          </w:p>
        </w:tc>
      </w:tr>
      <w:tr>
        <w:trPr>
          <w:trHeight w:val="210"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ind w:left="100" w:right="0"/>
              <w:jc w:val="left"/>
              <w:rPr>
                <w:rFonts w:ascii="宋体" w:hAnsi="宋体" w:cs="宋体" w:eastAsia="宋体" w:hint="default"/>
                <w:sz w:val="15"/>
                <w:szCs w:val="15"/>
              </w:rPr>
            </w:pPr>
            <w:r>
              <w:rPr>
                <w:rFonts w:ascii="Arial" w:hAnsi="Arial" w:cs="Arial" w:eastAsia="Arial" w:hint="default"/>
                <w:sz w:val="15"/>
                <w:szCs w:val="15"/>
              </w:rPr>
              <w:t>3</w:t>
            </w:r>
            <w:r>
              <w:rPr>
                <w:rFonts w:ascii="宋体" w:hAnsi="宋体" w:cs="宋体" w:eastAsia="宋体" w:hint="default"/>
                <w:sz w:val="15"/>
                <w:szCs w:val="15"/>
              </w:rPr>
              <w:t>、其它内资持股</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Arial" w:hAnsi="Arial" w:cs="Arial" w:eastAsia="Arial" w:hint="default"/>
                <w:sz w:val="15"/>
                <w:szCs w:val="15"/>
              </w:rPr>
            </w:pPr>
            <w:r>
              <w:rPr>
                <w:rFonts w:ascii="Arial"/>
                <w:w w:val="99"/>
                <w:sz w:val="15"/>
              </w:rPr>
              <w:t>-</w:t>
            </w:r>
            <w:r>
              <w:rPr>
                <w:rFonts w:ascii="Arial"/>
                <w:sz w:val="15"/>
              </w:rPr>
            </w:r>
          </w:p>
        </w:tc>
        <w:tc>
          <w:tcPr>
            <w:tcW w:w="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r>
      <w:tr>
        <w:trPr>
          <w:trHeight w:val="404"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其中：</w:t>
            </w:r>
            <w:r>
              <w:rPr>
                <w:rFonts w:ascii="宋体" w:hAnsi="宋体" w:cs="宋体" w:eastAsia="宋体" w:hint="default"/>
                <w:spacing w:val="-2"/>
                <w:sz w:val="15"/>
                <w:szCs w:val="15"/>
              </w:rPr>
              <w:t> </w:t>
            </w:r>
            <w:r>
              <w:rPr>
                <w:rFonts w:ascii="宋体" w:hAnsi="宋体" w:cs="宋体" w:eastAsia="宋体" w:hint="default"/>
                <w:sz w:val="15"/>
                <w:szCs w:val="15"/>
              </w:rPr>
              <w:t>境内非国有</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法人持股</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100"/>
              <w:jc w:val="right"/>
              <w:rPr>
                <w:rFonts w:ascii="Arial" w:hAnsi="Arial" w:cs="Arial" w:eastAsia="Arial" w:hint="default"/>
                <w:sz w:val="15"/>
                <w:szCs w:val="15"/>
              </w:rPr>
            </w:pPr>
            <w:r>
              <w:rPr>
                <w:rFonts w:ascii="Arial"/>
                <w:w w:val="99"/>
                <w:sz w:val="15"/>
              </w:rPr>
              <w:t>-</w:t>
            </w:r>
            <w:r>
              <w:rPr>
                <w:rFonts w:ascii="Arial"/>
                <w:sz w:val="15"/>
              </w:rPr>
            </w:r>
          </w:p>
        </w:tc>
        <w:tc>
          <w:tcPr>
            <w:tcW w:w="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r>
      <w:tr>
        <w:trPr>
          <w:trHeight w:val="403"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351" w:right="0"/>
              <w:jc w:val="left"/>
              <w:rPr>
                <w:rFonts w:ascii="宋体" w:hAnsi="宋体" w:cs="宋体" w:eastAsia="宋体" w:hint="default"/>
                <w:sz w:val="15"/>
                <w:szCs w:val="15"/>
              </w:rPr>
            </w:pPr>
            <w:r>
              <w:rPr>
                <w:rFonts w:ascii="宋体" w:hAnsi="宋体" w:cs="宋体" w:eastAsia="宋体" w:hint="default"/>
                <w:sz w:val="15"/>
                <w:szCs w:val="15"/>
              </w:rPr>
              <w:t>境内自然人持</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股</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100"/>
              <w:jc w:val="right"/>
              <w:rPr>
                <w:rFonts w:ascii="Arial" w:hAnsi="Arial" w:cs="Arial" w:eastAsia="Arial" w:hint="default"/>
                <w:sz w:val="15"/>
                <w:szCs w:val="15"/>
              </w:rPr>
            </w:pPr>
            <w:r>
              <w:rPr>
                <w:rFonts w:ascii="Arial"/>
                <w:w w:val="99"/>
                <w:sz w:val="15"/>
              </w:rPr>
              <w:t>-</w:t>
            </w:r>
            <w:r>
              <w:rPr>
                <w:rFonts w:ascii="Arial"/>
                <w:sz w:val="15"/>
              </w:rPr>
            </w:r>
          </w:p>
        </w:tc>
        <w:tc>
          <w:tcPr>
            <w:tcW w:w="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r>
      <w:tr>
        <w:trPr>
          <w:trHeight w:val="210"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４、外资持股</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Arial" w:hAnsi="Arial" w:cs="Arial" w:eastAsia="Arial" w:hint="default"/>
                <w:sz w:val="15"/>
                <w:szCs w:val="15"/>
              </w:rPr>
            </w:pPr>
            <w:r>
              <w:rPr>
                <w:rFonts w:ascii="Arial"/>
                <w:w w:val="99"/>
                <w:sz w:val="15"/>
              </w:rPr>
              <w:t>-</w:t>
            </w:r>
            <w:r>
              <w:rPr>
                <w:rFonts w:ascii="Arial"/>
                <w:sz w:val="15"/>
              </w:rPr>
            </w:r>
          </w:p>
        </w:tc>
        <w:tc>
          <w:tcPr>
            <w:tcW w:w="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r>
      <w:tr>
        <w:trPr>
          <w:trHeight w:val="404"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其中： 境外法人</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持股</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100"/>
              <w:jc w:val="right"/>
              <w:rPr>
                <w:rFonts w:ascii="Arial" w:hAnsi="Arial" w:cs="Arial" w:eastAsia="Arial" w:hint="default"/>
                <w:sz w:val="15"/>
                <w:szCs w:val="15"/>
              </w:rPr>
            </w:pPr>
            <w:r>
              <w:rPr>
                <w:rFonts w:ascii="Arial"/>
                <w:w w:val="99"/>
                <w:sz w:val="15"/>
              </w:rPr>
              <w:t>-</w:t>
            </w:r>
            <w:r>
              <w:rPr>
                <w:rFonts w:ascii="Arial"/>
                <w:sz w:val="15"/>
              </w:rPr>
            </w:r>
          </w:p>
        </w:tc>
        <w:tc>
          <w:tcPr>
            <w:tcW w:w="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r>
      <w:tr>
        <w:trPr>
          <w:trHeight w:val="403"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351" w:right="0"/>
              <w:jc w:val="left"/>
              <w:rPr>
                <w:rFonts w:ascii="宋体" w:hAnsi="宋体" w:cs="宋体" w:eastAsia="宋体" w:hint="default"/>
                <w:sz w:val="15"/>
                <w:szCs w:val="15"/>
              </w:rPr>
            </w:pPr>
            <w:r>
              <w:rPr>
                <w:rFonts w:ascii="宋体" w:hAnsi="宋体" w:cs="宋体" w:eastAsia="宋体" w:hint="default"/>
                <w:sz w:val="15"/>
                <w:szCs w:val="15"/>
              </w:rPr>
              <w:t>境外自然人持</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股</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100"/>
              <w:jc w:val="right"/>
              <w:rPr>
                <w:rFonts w:ascii="Arial" w:hAnsi="Arial" w:cs="Arial" w:eastAsia="Arial" w:hint="default"/>
                <w:sz w:val="15"/>
                <w:szCs w:val="15"/>
              </w:rPr>
            </w:pPr>
            <w:r>
              <w:rPr>
                <w:rFonts w:ascii="Arial"/>
                <w:w w:val="99"/>
                <w:sz w:val="15"/>
              </w:rPr>
              <w:t>-</w:t>
            </w:r>
            <w:r>
              <w:rPr>
                <w:rFonts w:ascii="Arial"/>
                <w:sz w:val="15"/>
              </w:rPr>
            </w:r>
          </w:p>
        </w:tc>
        <w:tc>
          <w:tcPr>
            <w:tcW w:w="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r>
      <w:tr>
        <w:trPr>
          <w:trHeight w:val="404"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有限售条件股份合</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计</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7"/>
              <w:jc w:val="right"/>
              <w:rPr>
                <w:rFonts w:ascii="Arial" w:hAnsi="Arial" w:cs="Arial" w:eastAsia="Arial" w:hint="default"/>
                <w:sz w:val="15"/>
                <w:szCs w:val="15"/>
              </w:rPr>
            </w:pPr>
            <w:r>
              <w:rPr>
                <w:rFonts w:ascii="Arial"/>
                <w:spacing w:val="-1"/>
                <w:sz w:val="15"/>
              </w:rPr>
              <w:t>10,754,658,735</w:t>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100"/>
              <w:jc w:val="right"/>
              <w:rPr>
                <w:rFonts w:ascii="Arial" w:hAnsi="Arial" w:cs="Arial" w:eastAsia="Arial" w:hint="default"/>
                <w:sz w:val="15"/>
                <w:szCs w:val="15"/>
              </w:rPr>
            </w:pPr>
            <w:r>
              <w:rPr>
                <w:rFonts w:ascii="Arial"/>
                <w:spacing w:val="-1"/>
                <w:sz w:val="15"/>
              </w:rPr>
              <w:t>50.74</w:t>
            </w:r>
          </w:p>
        </w:tc>
        <w:tc>
          <w:tcPr>
            <w:tcW w:w="43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366"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8"/>
              <w:jc w:val="right"/>
              <w:rPr>
                <w:rFonts w:ascii="Arial" w:hAnsi="Arial" w:cs="Arial" w:eastAsia="Arial" w:hint="default"/>
                <w:sz w:val="15"/>
                <w:szCs w:val="15"/>
              </w:rPr>
            </w:pPr>
            <w:r>
              <w:rPr>
                <w:rFonts w:ascii="Arial"/>
                <w:spacing w:val="-1"/>
                <w:sz w:val="15"/>
              </w:rPr>
              <w:t>-10,754,658,735</w:t>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spacing w:val="-1"/>
                <w:sz w:val="15"/>
              </w:rPr>
              <w:t>-10,754,658,735</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100"/>
              <w:jc w:val="right"/>
              <w:rPr>
                <w:rFonts w:ascii="Arial" w:hAnsi="Arial" w:cs="Arial" w:eastAsia="Arial" w:hint="default"/>
                <w:sz w:val="15"/>
                <w:szCs w:val="15"/>
              </w:rPr>
            </w:pPr>
            <w:r>
              <w:rPr>
                <w:rFonts w:ascii="Arial"/>
                <w:w w:val="99"/>
                <w:sz w:val="15"/>
              </w:rPr>
              <w:t>-</w:t>
            </w:r>
            <w:r>
              <w:rPr>
                <w:rFonts w:ascii="Arial"/>
                <w:sz w:val="15"/>
              </w:rPr>
            </w:r>
          </w:p>
        </w:tc>
        <w:tc>
          <w:tcPr>
            <w:tcW w:w="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100"/>
              <w:jc w:val="right"/>
              <w:rPr>
                <w:rFonts w:ascii="Arial" w:hAnsi="Arial" w:cs="Arial" w:eastAsia="Arial" w:hint="default"/>
                <w:sz w:val="15"/>
                <w:szCs w:val="15"/>
              </w:rPr>
            </w:pPr>
            <w:r>
              <w:rPr>
                <w:rFonts w:ascii="Arial"/>
                <w:w w:val="99"/>
                <w:sz w:val="15"/>
              </w:rPr>
              <w:t>-</w:t>
            </w:r>
            <w:r>
              <w:rPr>
                <w:rFonts w:ascii="Arial"/>
                <w:sz w:val="15"/>
              </w:rPr>
            </w:r>
          </w:p>
        </w:tc>
      </w:tr>
      <w:tr>
        <w:trPr>
          <w:trHeight w:val="404"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二、无限售条件流</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通股份</w:t>
            </w:r>
          </w:p>
        </w:tc>
        <w:tc>
          <w:tcPr>
            <w:tcW w:w="7811" w:type="dxa"/>
            <w:gridSpan w:val="9"/>
            <w:tcBorders>
              <w:top w:val="single" w:sz="6" w:space="0" w:color="000000"/>
              <w:left w:val="single" w:sz="6" w:space="0" w:color="000000"/>
              <w:bottom w:val="single" w:sz="6" w:space="0" w:color="000000"/>
              <w:right w:val="single" w:sz="6" w:space="0" w:color="000000"/>
            </w:tcBorders>
          </w:tcPr>
          <w:p>
            <w:pPr/>
          </w:p>
        </w:tc>
      </w:tr>
      <w:tr>
        <w:trPr>
          <w:trHeight w:val="209"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ind w:left="100" w:right="0"/>
              <w:jc w:val="left"/>
              <w:rPr>
                <w:rFonts w:ascii="宋体" w:hAnsi="宋体" w:cs="宋体" w:eastAsia="宋体" w:hint="default"/>
                <w:sz w:val="15"/>
                <w:szCs w:val="15"/>
              </w:rPr>
            </w:pPr>
            <w:r>
              <w:rPr>
                <w:rFonts w:ascii="Arial" w:hAnsi="Arial" w:cs="Arial" w:eastAsia="Arial" w:hint="default"/>
                <w:sz w:val="15"/>
                <w:szCs w:val="15"/>
              </w:rPr>
              <w:t>1</w:t>
            </w:r>
            <w:r>
              <w:rPr>
                <w:rFonts w:ascii="宋体" w:hAnsi="宋体" w:cs="宋体" w:eastAsia="宋体" w:hint="default"/>
                <w:sz w:val="15"/>
                <w:szCs w:val="15"/>
              </w:rPr>
              <w:t>、人民币普通股</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7"/>
              <w:jc w:val="right"/>
              <w:rPr>
                <w:rFonts w:ascii="Arial" w:hAnsi="Arial" w:cs="Arial" w:eastAsia="Arial" w:hint="default"/>
                <w:sz w:val="15"/>
                <w:szCs w:val="15"/>
              </w:rPr>
            </w:pPr>
            <w:r>
              <w:rPr>
                <w:rFonts w:ascii="Arial"/>
                <w:spacing w:val="-1"/>
                <w:sz w:val="15"/>
              </w:rPr>
              <w:t>10,441,937,660</w:t>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Arial" w:hAnsi="Arial" w:cs="Arial" w:eastAsia="Arial" w:hint="default"/>
                <w:sz w:val="15"/>
                <w:szCs w:val="15"/>
              </w:rPr>
            </w:pPr>
            <w:r>
              <w:rPr>
                <w:rFonts w:ascii="Arial"/>
                <w:spacing w:val="-1"/>
                <w:sz w:val="15"/>
              </w:rPr>
              <w:t>49.26</w:t>
            </w:r>
          </w:p>
        </w:tc>
        <w:tc>
          <w:tcPr>
            <w:tcW w:w="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spacing w:val="-1"/>
                <w:sz w:val="15"/>
              </w:rPr>
              <w:t>10,754,658,735</w:t>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spacing w:val="-1"/>
                <w:sz w:val="15"/>
              </w:rPr>
              <w:t>10,754,658,735</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Arial" w:hAnsi="Arial" w:cs="Arial" w:eastAsia="Arial" w:hint="default"/>
                <w:sz w:val="15"/>
                <w:szCs w:val="15"/>
              </w:rPr>
            </w:pPr>
            <w:r>
              <w:rPr>
                <w:rFonts w:ascii="Arial"/>
                <w:spacing w:val="-1"/>
                <w:sz w:val="15"/>
              </w:rPr>
              <w:t>21,196,596,395</w:t>
            </w:r>
          </w:p>
        </w:tc>
        <w:tc>
          <w:tcPr>
            <w:tcW w:w="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spacing w:val="-1"/>
                <w:sz w:val="15"/>
              </w:rPr>
              <w:t>100.00</w:t>
            </w:r>
          </w:p>
        </w:tc>
      </w:tr>
      <w:tr>
        <w:trPr>
          <w:trHeight w:val="404"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77" w:lineRule="exact"/>
              <w:ind w:left="100" w:right="0"/>
              <w:jc w:val="left"/>
              <w:rPr>
                <w:rFonts w:ascii="宋体" w:hAnsi="宋体" w:cs="宋体" w:eastAsia="宋体" w:hint="default"/>
                <w:sz w:val="15"/>
                <w:szCs w:val="15"/>
              </w:rPr>
            </w:pPr>
            <w:r>
              <w:rPr>
                <w:rFonts w:ascii="Arial" w:hAnsi="Arial" w:cs="Arial" w:eastAsia="Arial" w:hint="default"/>
                <w:sz w:val="15"/>
                <w:szCs w:val="15"/>
              </w:rPr>
              <w:t>2</w:t>
            </w:r>
            <w:r>
              <w:rPr>
                <w:rFonts w:ascii="宋体" w:hAnsi="宋体" w:cs="宋体" w:eastAsia="宋体" w:hint="default"/>
                <w:sz w:val="15"/>
                <w:szCs w:val="15"/>
              </w:rPr>
              <w:t>、境内上市的外</w:t>
            </w:r>
          </w:p>
          <w:p>
            <w:pPr>
              <w:pStyle w:val="TableParagraph"/>
              <w:spacing w:line="190" w:lineRule="exact"/>
              <w:ind w:left="100" w:right="0"/>
              <w:jc w:val="left"/>
              <w:rPr>
                <w:rFonts w:ascii="宋体" w:hAnsi="宋体" w:cs="宋体" w:eastAsia="宋体" w:hint="default"/>
                <w:sz w:val="15"/>
                <w:szCs w:val="15"/>
              </w:rPr>
            </w:pPr>
            <w:r>
              <w:rPr>
                <w:rFonts w:ascii="宋体" w:hAnsi="宋体" w:cs="宋体" w:eastAsia="宋体" w:hint="default"/>
                <w:sz w:val="15"/>
                <w:szCs w:val="15"/>
              </w:rPr>
              <w:t>资股</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100"/>
              <w:jc w:val="right"/>
              <w:rPr>
                <w:rFonts w:ascii="Arial" w:hAnsi="Arial" w:cs="Arial" w:eastAsia="Arial" w:hint="default"/>
                <w:sz w:val="15"/>
                <w:szCs w:val="15"/>
              </w:rPr>
            </w:pPr>
            <w:r>
              <w:rPr>
                <w:rFonts w:ascii="Arial"/>
                <w:w w:val="99"/>
                <w:sz w:val="15"/>
              </w:rPr>
              <w:t>-</w:t>
            </w:r>
            <w:r>
              <w:rPr>
                <w:rFonts w:ascii="Arial"/>
                <w:sz w:val="15"/>
              </w:rPr>
            </w:r>
          </w:p>
        </w:tc>
        <w:tc>
          <w:tcPr>
            <w:tcW w:w="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r>
      <w:tr>
        <w:trPr>
          <w:trHeight w:val="404"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77" w:lineRule="exact"/>
              <w:ind w:left="100" w:right="0"/>
              <w:jc w:val="left"/>
              <w:rPr>
                <w:rFonts w:ascii="宋体" w:hAnsi="宋体" w:cs="宋体" w:eastAsia="宋体" w:hint="default"/>
                <w:sz w:val="15"/>
                <w:szCs w:val="15"/>
              </w:rPr>
            </w:pPr>
            <w:r>
              <w:rPr>
                <w:rFonts w:ascii="Arial" w:hAnsi="Arial" w:cs="Arial" w:eastAsia="Arial" w:hint="default"/>
                <w:sz w:val="15"/>
                <w:szCs w:val="15"/>
              </w:rPr>
              <w:t>3</w:t>
            </w:r>
            <w:r>
              <w:rPr>
                <w:rFonts w:ascii="宋体" w:hAnsi="宋体" w:cs="宋体" w:eastAsia="宋体" w:hint="default"/>
                <w:sz w:val="15"/>
                <w:szCs w:val="15"/>
              </w:rPr>
              <w:t>、境外上市的外</w:t>
            </w:r>
          </w:p>
          <w:p>
            <w:pPr>
              <w:pStyle w:val="TableParagraph"/>
              <w:spacing w:line="190" w:lineRule="exact"/>
              <w:ind w:left="100" w:right="0"/>
              <w:jc w:val="left"/>
              <w:rPr>
                <w:rFonts w:ascii="宋体" w:hAnsi="宋体" w:cs="宋体" w:eastAsia="宋体" w:hint="default"/>
                <w:sz w:val="15"/>
                <w:szCs w:val="15"/>
              </w:rPr>
            </w:pPr>
            <w:r>
              <w:rPr>
                <w:rFonts w:ascii="宋体" w:hAnsi="宋体" w:cs="宋体" w:eastAsia="宋体" w:hint="default"/>
                <w:sz w:val="15"/>
                <w:szCs w:val="15"/>
              </w:rPr>
              <w:t>资股</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100"/>
              <w:jc w:val="right"/>
              <w:rPr>
                <w:rFonts w:ascii="Arial" w:hAnsi="Arial" w:cs="Arial" w:eastAsia="Arial" w:hint="default"/>
                <w:sz w:val="15"/>
                <w:szCs w:val="15"/>
              </w:rPr>
            </w:pPr>
            <w:r>
              <w:rPr>
                <w:rFonts w:ascii="Arial"/>
                <w:w w:val="99"/>
                <w:sz w:val="15"/>
              </w:rPr>
              <w:t>-</w:t>
            </w:r>
            <w:r>
              <w:rPr>
                <w:rFonts w:ascii="Arial"/>
                <w:sz w:val="15"/>
              </w:rPr>
            </w:r>
          </w:p>
        </w:tc>
        <w:tc>
          <w:tcPr>
            <w:tcW w:w="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r>
      <w:tr>
        <w:trPr>
          <w:trHeight w:val="209"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83" w:lineRule="exact"/>
              <w:ind w:left="100" w:right="0"/>
              <w:jc w:val="left"/>
              <w:rPr>
                <w:rFonts w:ascii="宋体" w:hAnsi="宋体" w:cs="宋体" w:eastAsia="宋体" w:hint="default"/>
                <w:sz w:val="15"/>
                <w:szCs w:val="15"/>
              </w:rPr>
            </w:pPr>
            <w:r>
              <w:rPr>
                <w:rFonts w:ascii="Arial" w:hAnsi="Arial" w:cs="Arial" w:eastAsia="Arial" w:hint="default"/>
                <w:sz w:val="15"/>
                <w:szCs w:val="15"/>
              </w:rPr>
              <w:t>4</w:t>
            </w:r>
            <w:r>
              <w:rPr>
                <w:rFonts w:ascii="宋体" w:hAnsi="宋体" w:cs="宋体" w:eastAsia="宋体" w:hint="default"/>
                <w:sz w:val="15"/>
                <w:szCs w:val="15"/>
              </w:rPr>
              <w:t>、其它</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Arial" w:hAnsi="Arial" w:cs="Arial" w:eastAsia="Arial" w:hint="default"/>
                <w:sz w:val="15"/>
                <w:szCs w:val="15"/>
              </w:rPr>
            </w:pPr>
            <w:r>
              <w:rPr>
                <w:rFonts w:ascii="Arial"/>
                <w:w w:val="99"/>
                <w:sz w:val="15"/>
              </w:rPr>
              <w:t>-</w:t>
            </w:r>
            <w:r>
              <w:rPr>
                <w:rFonts w:ascii="Arial"/>
                <w:sz w:val="15"/>
              </w:rPr>
            </w:r>
          </w:p>
        </w:tc>
        <w:tc>
          <w:tcPr>
            <w:tcW w:w="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r>
      <w:tr>
        <w:trPr>
          <w:trHeight w:val="404"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无限售条件流通股</w:t>
            </w:r>
          </w:p>
          <w:p>
            <w:pPr>
              <w:pStyle w:val="TableParagraph"/>
              <w:spacing w:line="195" w:lineRule="exact"/>
              <w:ind w:left="100" w:right="0"/>
              <w:jc w:val="left"/>
              <w:rPr>
                <w:rFonts w:ascii="宋体" w:hAnsi="宋体" w:cs="宋体" w:eastAsia="宋体" w:hint="default"/>
                <w:sz w:val="15"/>
                <w:szCs w:val="15"/>
              </w:rPr>
            </w:pPr>
            <w:r>
              <w:rPr>
                <w:rFonts w:ascii="宋体" w:hAnsi="宋体" w:cs="宋体" w:eastAsia="宋体" w:hint="default"/>
                <w:sz w:val="15"/>
                <w:szCs w:val="15"/>
              </w:rPr>
              <w:t>份合计</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7"/>
              <w:jc w:val="right"/>
              <w:rPr>
                <w:rFonts w:ascii="Arial" w:hAnsi="Arial" w:cs="Arial" w:eastAsia="Arial" w:hint="default"/>
                <w:sz w:val="15"/>
                <w:szCs w:val="15"/>
              </w:rPr>
            </w:pPr>
            <w:r>
              <w:rPr>
                <w:rFonts w:ascii="Arial"/>
                <w:spacing w:val="-1"/>
                <w:sz w:val="15"/>
              </w:rPr>
              <w:t>10,441,937,660</w:t>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100"/>
              <w:jc w:val="right"/>
              <w:rPr>
                <w:rFonts w:ascii="Arial" w:hAnsi="Arial" w:cs="Arial" w:eastAsia="Arial" w:hint="default"/>
                <w:sz w:val="15"/>
                <w:szCs w:val="15"/>
              </w:rPr>
            </w:pPr>
            <w:r>
              <w:rPr>
                <w:rFonts w:ascii="Arial"/>
                <w:spacing w:val="-1"/>
                <w:sz w:val="15"/>
              </w:rPr>
              <w:t>49.26</w:t>
            </w:r>
          </w:p>
        </w:tc>
        <w:tc>
          <w:tcPr>
            <w:tcW w:w="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spacing w:val="-1"/>
                <w:sz w:val="15"/>
              </w:rPr>
              <w:t>10,754,658,735</w:t>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spacing w:val="-1"/>
                <w:sz w:val="15"/>
              </w:rPr>
              <w:t>10,754,658,735</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8"/>
              <w:jc w:val="right"/>
              <w:rPr>
                <w:rFonts w:ascii="Arial" w:hAnsi="Arial" w:cs="Arial" w:eastAsia="Arial" w:hint="default"/>
                <w:sz w:val="15"/>
                <w:szCs w:val="15"/>
              </w:rPr>
            </w:pPr>
            <w:r>
              <w:rPr>
                <w:rFonts w:ascii="Arial"/>
                <w:spacing w:val="-1"/>
                <w:sz w:val="15"/>
              </w:rPr>
              <w:t>21,196,596,395</w:t>
            </w:r>
          </w:p>
        </w:tc>
        <w:tc>
          <w:tcPr>
            <w:tcW w:w="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99"/>
              <w:jc w:val="right"/>
              <w:rPr>
                <w:rFonts w:ascii="Arial" w:hAnsi="Arial" w:cs="Arial" w:eastAsia="Arial" w:hint="default"/>
                <w:sz w:val="15"/>
                <w:szCs w:val="15"/>
              </w:rPr>
            </w:pPr>
            <w:r>
              <w:rPr>
                <w:rFonts w:ascii="Arial"/>
                <w:spacing w:val="-1"/>
                <w:sz w:val="15"/>
              </w:rPr>
              <w:t>100.00</w:t>
            </w:r>
          </w:p>
        </w:tc>
      </w:tr>
      <w:tr>
        <w:trPr>
          <w:trHeight w:val="210"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hAnsi="宋体" w:cs="宋体" w:eastAsia="宋体" w:hint="default"/>
                <w:sz w:val="15"/>
                <w:szCs w:val="15"/>
              </w:rPr>
              <w:t>三、股份总数</w:t>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Arial" w:hAnsi="Arial" w:cs="Arial" w:eastAsia="Arial" w:hint="default"/>
                <w:sz w:val="15"/>
                <w:szCs w:val="15"/>
              </w:rPr>
            </w:pPr>
            <w:r>
              <w:rPr>
                <w:rFonts w:ascii="Arial"/>
                <w:spacing w:val="-1"/>
                <w:sz w:val="15"/>
              </w:rPr>
              <w:t>21,196,596,395</w:t>
            </w:r>
          </w:p>
        </w:tc>
        <w:tc>
          <w:tcPr>
            <w:tcW w:w="8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1"/>
              <w:jc w:val="right"/>
              <w:rPr>
                <w:rFonts w:ascii="Arial" w:hAnsi="Arial" w:cs="Arial" w:eastAsia="Arial" w:hint="default"/>
                <w:sz w:val="15"/>
                <w:szCs w:val="15"/>
              </w:rPr>
            </w:pPr>
            <w:r>
              <w:rPr>
                <w:rFonts w:ascii="Arial"/>
                <w:spacing w:val="-1"/>
                <w:sz w:val="15"/>
              </w:rPr>
              <w:t>100.00</w:t>
            </w:r>
          </w:p>
        </w:tc>
        <w:tc>
          <w:tcPr>
            <w:tcW w:w="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0"/>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01"/>
              <w:jc w:val="right"/>
              <w:rPr>
                <w:rFonts w:ascii="Arial" w:hAnsi="Arial" w:cs="Arial" w:eastAsia="Arial" w:hint="default"/>
                <w:sz w:val="15"/>
                <w:szCs w:val="15"/>
              </w:rPr>
            </w:pPr>
            <w:r>
              <w:rPr>
                <w:rFonts w:ascii="Arial"/>
                <w:w w:val="99"/>
                <w:sz w:val="15"/>
              </w:rPr>
              <w:t>-</w:t>
            </w:r>
            <w:r>
              <w:rPr>
                <w:rFonts w:ascii="Arial"/>
                <w:sz w:val="15"/>
              </w:rPr>
            </w:r>
          </w:p>
        </w:tc>
        <w:tc>
          <w:tcPr>
            <w:tcW w:w="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w w:val="99"/>
                <w:sz w:val="15"/>
              </w:rPr>
              <w:t>-</w:t>
            </w:r>
            <w:r>
              <w:rPr>
                <w:rFonts w:ascii="Arial"/>
                <w:sz w:val="15"/>
              </w:rPr>
            </w:r>
          </w:p>
        </w:tc>
        <w:tc>
          <w:tcPr>
            <w:tcW w:w="12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8"/>
              <w:jc w:val="right"/>
              <w:rPr>
                <w:rFonts w:ascii="Arial" w:hAnsi="Arial" w:cs="Arial" w:eastAsia="Arial" w:hint="default"/>
                <w:sz w:val="15"/>
                <w:szCs w:val="15"/>
              </w:rPr>
            </w:pPr>
            <w:r>
              <w:rPr>
                <w:rFonts w:ascii="Arial"/>
                <w:spacing w:val="-1"/>
                <w:sz w:val="15"/>
              </w:rPr>
              <w:t>21,196,596,395</w:t>
            </w:r>
          </w:p>
        </w:tc>
        <w:tc>
          <w:tcPr>
            <w:tcW w:w="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99"/>
              <w:jc w:val="right"/>
              <w:rPr>
                <w:rFonts w:ascii="Arial" w:hAnsi="Arial" w:cs="Arial" w:eastAsia="Arial" w:hint="default"/>
                <w:sz w:val="15"/>
                <w:szCs w:val="15"/>
              </w:rPr>
            </w:pPr>
            <w:r>
              <w:rPr>
                <w:rFonts w:ascii="Arial"/>
                <w:spacing w:val="-1"/>
                <w:sz w:val="15"/>
              </w:rPr>
              <w:t>100.00</w:t>
            </w:r>
          </w:p>
        </w:tc>
      </w:tr>
    </w:tbl>
    <w:p>
      <w:pPr>
        <w:spacing w:line="240" w:lineRule="auto" w:before="4"/>
        <w:rPr>
          <w:rFonts w:ascii="宋体" w:hAnsi="宋体" w:cs="宋体" w:eastAsia="宋体" w:hint="default"/>
          <w:sz w:val="12"/>
          <w:szCs w:val="12"/>
        </w:rPr>
      </w:pPr>
    </w:p>
    <w:p>
      <w:pPr>
        <w:pStyle w:val="BodyText"/>
        <w:spacing w:line="240" w:lineRule="auto" w:before="31"/>
        <w:ind w:left="235" w:right="138"/>
        <w:jc w:val="left"/>
      </w:pPr>
      <w:r>
        <w:rPr/>
        <w:t>股份变动的批准情况</w:t>
      </w:r>
    </w:p>
    <w:p>
      <w:pPr>
        <w:spacing w:line="240" w:lineRule="auto" w:before="1"/>
        <w:rPr>
          <w:rFonts w:ascii="宋体" w:hAnsi="宋体" w:cs="宋体" w:eastAsia="宋体" w:hint="default"/>
          <w:sz w:val="19"/>
          <w:szCs w:val="19"/>
        </w:rPr>
      </w:pPr>
    </w:p>
    <w:p>
      <w:pPr>
        <w:pStyle w:val="BodyText"/>
        <w:spacing w:line="295" w:lineRule="exact"/>
        <w:ind w:left="235" w:right="92"/>
        <w:jc w:val="left"/>
      </w:pPr>
      <w:r>
        <w:rPr/>
        <w:t>本公司的股权分置改革于</w:t>
      </w:r>
      <w:r>
        <w:rPr>
          <w:spacing w:val="-60"/>
        </w:rPr>
        <w:t> </w:t>
      </w:r>
      <w:r>
        <w:rPr>
          <w:rFonts w:ascii="Arial" w:hAnsi="Arial" w:cs="Arial" w:eastAsia="Arial" w:hint="default"/>
        </w:rPr>
        <w:t>2006</w:t>
      </w:r>
      <w:r>
        <w:rPr>
          <w:rFonts w:ascii="Arial" w:hAnsi="Arial" w:cs="Arial" w:eastAsia="Arial" w:hint="default"/>
          <w:spacing w:val="-11"/>
        </w:rPr>
        <w:t> </w:t>
      </w:r>
      <w:r>
        <w:rPr/>
        <w:t>年</w:t>
      </w:r>
      <w:r>
        <w:rPr>
          <w:spacing w:val="-60"/>
        </w:rPr>
        <w:t> </w:t>
      </w:r>
      <w:r>
        <w:rPr>
          <w:rFonts w:ascii="Arial" w:hAnsi="Arial" w:cs="Arial" w:eastAsia="Arial" w:hint="default"/>
        </w:rPr>
        <w:t>5</w:t>
      </w:r>
      <w:r>
        <w:rPr>
          <w:rFonts w:ascii="Arial" w:hAnsi="Arial" w:cs="Arial" w:eastAsia="Arial" w:hint="default"/>
          <w:spacing w:val="-11"/>
        </w:rPr>
        <w:t> </w:t>
      </w:r>
      <w:r>
        <w:rPr/>
        <w:t>月</w:t>
      </w:r>
      <w:r>
        <w:rPr>
          <w:spacing w:val="-60"/>
        </w:rPr>
        <w:t> </w:t>
      </w:r>
      <w:r>
        <w:rPr>
          <w:rFonts w:ascii="Arial" w:hAnsi="Arial" w:cs="Arial" w:eastAsia="Arial" w:hint="default"/>
        </w:rPr>
        <w:t>11</w:t>
      </w:r>
      <w:r>
        <w:rPr>
          <w:rFonts w:ascii="Arial" w:hAnsi="Arial" w:cs="Arial" w:eastAsia="Arial" w:hint="default"/>
          <w:spacing w:val="-11"/>
        </w:rPr>
        <w:t> </w:t>
      </w:r>
      <w:r>
        <w:rPr/>
        <w:t>日经股东大会通过并实施。于报告期内，根据股权分置</w:t>
      </w:r>
    </w:p>
    <w:p>
      <w:pPr>
        <w:pStyle w:val="BodyText"/>
        <w:spacing w:line="285" w:lineRule="exact"/>
        <w:ind w:left="234" w:right="92"/>
        <w:jc w:val="left"/>
      </w:pPr>
      <w:r>
        <w:rPr/>
        <w:t>协议的安排，中国联合网络通信集团有限公司（以下简称</w:t>
      </w:r>
      <w:r>
        <w:rPr>
          <w:rFonts w:ascii="Arial" w:hAnsi="Arial" w:cs="Arial" w:eastAsia="Arial" w:hint="default"/>
        </w:rPr>
        <w:t>“</w:t>
      </w:r>
      <w:r>
        <w:rPr/>
        <w:t>联通集团</w:t>
      </w:r>
      <w:r>
        <w:rPr>
          <w:rFonts w:ascii="Arial" w:hAnsi="Arial" w:cs="Arial" w:eastAsia="Arial" w:hint="default"/>
        </w:rPr>
        <w:t>”</w:t>
      </w:r>
      <w:r>
        <w:rPr/>
        <w:t>）持有的 </w:t>
      </w:r>
      <w:r>
        <w:rPr>
          <w:rFonts w:ascii="Arial" w:hAnsi="Arial" w:cs="Arial" w:eastAsia="Arial" w:hint="default"/>
        </w:rPr>
        <w:t>10,754,658,735</w:t>
      </w:r>
      <w:r>
        <w:rPr>
          <w:rFonts w:ascii="Arial" w:hAnsi="Arial" w:cs="Arial" w:eastAsia="Arial" w:hint="default"/>
          <w:spacing w:val="-23"/>
        </w:rPr>
        <w:t> </w:t>
      </w:r>
      <w:r>
        <w:rPr/>
        <w:t>股</w:t>
      </w:r>
    </w:p>
    <w:p>
      <w:pPr>
        <w:pStyle w:val="BodyText"/>
        <w:spacing w:line="286" w:lineRule="exact" w:before="19"/>
        <w:ind w:left="234" w:right="127"/>
        <w:jc w:val="left"/>
      </w:pPr>
      <w:r>
        <w:rPr/>
        <w:t>股份，自</w:t>
      </w:r>
      <w:r>
        <w:rPr>
          <w:spacing w:val="-59"/>
        </w:rPr>
        <w:t> </w:t>
      </w:r>
      <w:r>
        <w:rPr>
          <w:rFonts w:ascii="Arial" w:hAnsi="Arial" w:cs="Arial" w:eastAsia="Arial" w:hint="default"/>
        </w:rPr>
        <w:t>2009</w:t>
      </w:r>
      <w:r>
        <w:rPr>
          <w:rFonts w:ascii="Arial" w:hAnsi="Arial" w:cs="Arial" w:eastAsia="Arial" w:hint="default"/>
          <w:spacing w:val="-10"/>
        </w:rPr>
        <w:t> </w:t>
      </w:r>
      <w:r>
        <w:rPr/>
        <w:t>年</w:t>
      </w:r>
      <w:r>
        <w:rPr>
          <w:spacing w:val="-59"/>
        </w:rPr>
        <w:t> </w:t>
      </w:r>
      <w:r>
        <w:rPr>
          <w:rFonts w:ascii="Arial" w:hAnsi="Arial" w:cs="Arial" w:eastAsia="Arial" w:hint="default"/>
        </w:rPr>
        <w:t>5</w:t>
      </w:r>
      <w:r>
        <w:rPr>
          <w:rFonts w:ascii="Arial" w:hAnsi="Arial" w:cs="Arial" w:eastAsia="Arial" w:hint="default"/>
          <w:spacing w:val="-10"/>
        </w:rPr>
        <w:t> </w:t>
      </w:r>
      <w:r>
        <w:rPr/>
        <w:t>月</w:t>
      </w:r>
      <w:r>
        <w:rPr>
          <w:spacing w:val="-59"/>
        </w:rPr>
        <w:t> </w:t>
      </w:r>
      <w:r>
        <w:rPr>
          <w:rFonts w:ascii="Arial" w:hAnsi="Arial" w:cs="Arial" w:eastAsia="Arial" w:hint="default"/>
        </w:rPr>
        <w:t>19</w:t>
      </w:r>
      <w:r>
        <w:rPr>
          <w:rFonts w:ascii="Arial" w:hAnsi="Arial" w:cs="Arial" w:eastAsia="Arial" w:hint="default"/>
          <w:spacing w:val="-10"/>
        </w:rPr>
        <w:t> </w:t>
      </w:r>
      <w:r>
        <w:rPr/>
        <w:t>日起解除限售转为无限售条件的流通股，可以上市流通。至此，联通集</w:t>
      </w:r>
      <w:r>
        <w:rPr>
          <w:w w:val="99"/>
        </w:rPr>
        <w:t> </w:t>
      </w:r>
      <w:r>
        <w:rPr/>
        <w:t>团所持本公司的股份全部成为流通股份。</w:t>
      </w:r>
    </w:p>
    <w:p>
      <w:pPr>
        <w:spacing w:line="240" w:lineRule="auto" w:before="8"/>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type w:val="continuous"/>
          <w:pgSz w:w="11910" w:h="16840"/>
          <w:pgMar w:top="1600" w:bottom="280" w:left="1080" w:right="1140"/>
        </w:sectPr>
      </w:pPr>
    </w:p>
    <w:p>
      <w:pPr>
        <w:pStyle w:val="BodyText"/>
        <w:spacing w:line="240" w:lineRule="auto" w:before="31"/>
        <w:ind w:left="249" w:right="-19"/>
        <w:jc w:val="left"/>
      </w:pPr>
      <w:r>
        <w:rPr>
          <w:rFonts w:ascii="Arial" w:hAnsi="Arial" w:cs="Arial" w:eastAsia="Arial" w:hint="default"/>
        </w:rPr>
        <w:t>2</w:t>
      </w:r>
      <w:r>
        <w:rPr/>
        <w:t>、</w:t>
      </w:r>
      <w:r>
        <w:rPr>
          <w:spacing w:val="64"/>
        </w:rPr>
        <w:t> </w:t>
      </w:r>
      <w:r>
        <w:rPr/>
        <w:t>限售股份变动情况</w:t>
      </w:r>
    </w:p>
    <w:p>
      <w:pPr>
        <w:spacing w:line="240" w:lineRule="auto" w:before="8"/>
        <w:rPr>
          <w:rFonts w:ascii="宋体" w:hAnsi="宋体" w:cs="宋体" w:eastAsia="宋体" w:hint="default"/>
          <w:sz w:val="24"/>
          <w:szCs w:val="24"/>
        </w:rPr>
      </w:pPr>
      <w:r>
        <w:rPr/>
        <w:br w:type="column"/>
      </w:r>
      <w:r>
        <w:rPr>
          <w:rFonts w:ascii="宋体"/>
          <w:sz w:val="24"/>
        </w:rPr>
      </w:r>
    </w:p>
    <w:p>
      <w:pPr>
        <w:spacing w:before="0"/>
        <w:ind w:left="249" w:right="0" w:firstLine="0"/>
        <w:jc w:val="left"/>
        <w:rPr>
          <w:rFonts w:ascii="宋体" w:hAnsi="宋体" w:cs="宋体" w:eastAsia="宋体" w:hint="default"/>
          <w:sz w:val="20"/>
          <w:szCs w:val="20"/>
        </w:rPr>
      </w:pPr>
      <w:r>
        <w:rPr>
          <w:rFonts w:ascii="宋体" w:hAnsi="宋体" w:cs="宋体" w:eastAsia="宋体" w:hint="default"/>
          <w:sz w:val="20"/>
          <w:szCs w:val="20"/>
        </w:rPr>
        <w:t>单位：股</w:t>
      </w:r>
    </w:p>
    <w:p>
      <w:pPr>
        <w:spacing w:after="0"/>
        <w:jc w:val="left"/>
        <w:rPr>
          <w:rFonts w:ascii="宋体" w:hAnsi="宋体" w:cs="宋体" w:eastAsia="宋体" w:hint="default"/>
          <w:sz w:val="20"/>
          <w:szCs w:val="20"/>
        </w:rPr>
        <w:sectPr>
          <w:type w:val="continuous"/>
          <w:pgSz w:w="11910" w:h="16840"/>
          <w:pgMar w:top="1600" w:bottom="280" w:left="1080" w:right="1140"/>
          <w:cols w:num="2" w:equalWidth="0">
            <w:col w:w="2527" w:space="5967"/>
            <w:col w:w="1196"/>
          </w:cols>
        </w:sectPr>
      </w:pPr>
    </w:p>
    <w:p>
      <w:pPr>
        <w:spacing w:line="240" w:lineRule="auto" w:before="3"/>
        <w:rPr>
          <w:rFonts w:ascii="宋体" w:hAnsi="宋体" w:cs="宋体" w:eastAsia="宋体" w:hint="default"/>
          <w:sz w:val="2"/>
          <w:szCs w:val="2"/>
        </w:rPr>
      </w:pPr>
    </w:p>
    <w:tbl>
      <w:tblPr>
        <w:tblW w:w="0" w:type="auto"/>
        <w:jc w:val="left"/>
        <w:tblInd w:w="731" w:type="dxa"/>
        <w:tblLayout w:type="fixed"/>
        <w:tblCellMar>
          <w:top w:w="0" w:type="dxa"/>
          <w:left w:w="0" w:type="dxa"/>
          <w:bottom w:w="0" w:type="dxa"/>
          <w:right w:w="0" w:type="dxa"/>
        </w:tblCellMar>
        <w:tblLook w:val="01E0"/>
      </w:tblPr>
      <w:tblGrid>
        <w:gridCol w:w="1219"/>
        <w:gridCol w:w="1637"/>
        <w:gridCol w:w="1823"/>
        <w:gridCol w:w="1046"/>
        <w:gridCol w:w="1109"/>
        <w:gridCol w:w="1009"/>
        <w:gridCol w:w="959"/>
      </w:tblGrid>
      <w:tr>
        <w:trPr>
          <w:trHeight w:val="534" w:hRule="exact"/>
        </w:trPr>
        <w:tc>
          <w:tcPr>
            <w:tcW w:w="12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201" w:right="0"/>
              <w:jc w:val="left"/>
              <w:rPr>
                <w:rFonts w:ascii="宋体" w:hAnsi="宋体" w:cs="宋体" w:eastAsia="宋体" w:hint="default"/>
                <w:sz w:val="20"/>
                <w:szCs w:val="20"/>
              </w:rPr>
            </w:pPr>
            <w:r>
              <w:rPr>
                <w:rFonts w:ascii="宋体" w:hAnsi="宋体" w:cs="宋体" w:eastAsia="宋体" w:hint="default"/>
                <w:sz w:val="20"/>
                <w:szCs w:val="20"/>
              </w:rPr>
              <w:t>股东名称</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1" w:right="0"/>
              <w:jc w:val="center"/>
              <w:rPr>
                <w:rFonts w:ascii="宋体" w:hAnsi="宋体" w:cs="宋体" w:eastAsia="宋体" w:hint="default"/>
                <w:sz w:val="20"/>
                <w:szCs w:val="20"/>
              </w:rPr>
            </w:pPr>
            <w:r>
              <w:rPr>
                <w:rFonts w:ascii="宋体" w:hAnsi="宋体" w:cs="宋体" w:eastAsia="宋体" w:hint="default"/>
                <w:sz w:val="20"/>
                <w:szCs w:val="20"/>
              </w:rPr>
              <w:t>年初限售股数</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02"/>
              <w:jc w:val="right"/>
              <w:rPr>
                <w:rFonts w:ascii="宋体" w:hAnsi="宋体" w:cs="宋体" w:eastAsia="宋体" w:hint="default"/>
                <w:sz w:val="20"/>
                <w:szCs w:val="20"/>
              </w:rPr>
            </w:pPr>
            <w:r>
              <w:rPr>
                <w:rFonts w:ascii="宋体" w:hAnsi="宋体" w:cs="宋体" w:eastAsia="宋体" w:hint="default"/>
                <w:spacing w:val="-1"/>
                <w:sz w:val="20"/>
                <w:szCs w:val="20"/>
              </w:rPr>
              <w:t>本年解除限售股数</w:t>
            </w:r>
          </w:p>
        </w:tc>
        <w:tc>
          <w:tcPr>
            <w:tcW w:w="1046"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15" w:right="0" w:firstLine="1"/>
              <w:jc w:val="left"/>
              <w:rPr>
                <w:rFonts w:ascii="宋体" w:hAnsi="宋体" w:cs="宋体" w:eastAsia="宋体" w:hint="default"/>
                <w:sz w:val="20"/>
                <w:szCs w:val="20"/>
              </w:rPr>
            </w:pPr>
            <w:r>
              <w:rPr>
                <w:rFonts w:ascii="宋体" w:hAnsi="宋体" w:cs="宋体" w:eastAsia="宋体" w:hint="default"/>
                <w:sz w:val="20"/>
                <w:szCs w:val="20"/>
              </w:rPr>
              <w:t>本年增加</w:t>
            </w:r>
          </w:p>
          <w:p>
            <w:pPr>
              <w:pStyle w:val="TableParagraph"/>
              <w:spacing w:line="260" w:lineRule="exact"/>
              <w:ind w:left="115" w:right="0"/>
              <w:jc w:val="left"/>
              <w:rPr>
                <w:rFonts w:ascii="宋体" w:hAnsi="宋体" w:cs="宋体" w:eastAsia="宋体" w:hint="default"/>
                <w:sz w:val="20"/>
                <w:szCs w:val="20"/>
              </w:rPr>
            </w:pPr>
            <w:r>
              <w:rPr>
                <w:rFonts w:ascii="宋体" w:hAnsi="宋体" w:cs="宋体" w:eastAsia="宋体" w:hint="default"/>
                <w:sz w:val="20"/>
                <w:szCs w:val="20"/>
              </w:rPr>
              <w:t>限售股数</w:t>
            </w:r>
          </w:p>
        </w:tc>
        <w:tc>
          <w:tcPr>
            <w:tcW w:w="1109"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0"/>
              <w:jc w:val="center"/>
              <w:rPr>
                <w:rFonts w:ascii="宋体" w:hAnsi="宋体" w:cs="宋体" w:eastAsia="宋体" w:hint="default"/>
                <w:sz w:val="20"/>
                <w:szCs w:val="20"/>
              </w:rPr>
            </w:pPr>
            <w:r>
              <w:rPr>
                <w:rFonts w:ascii="宋体" w:hAnsi="宋体" w:cs="宋体" w:eastAsia="宋体" w:hint="default"/>
                <w:sz w:val="20"/>
                <w:szCs w:val="20"/>
              </w:rPr>
              <w:t>年末限售</w:t>
            </w:r>
          </w:p>
          <w:p>
            <w:pPr>
              <w:pStyle w:val="TableParagraph"/>
              <w:spacing w:line="260" w:lineRule="exact"/>
              <w:ind w:right="0"/>
              <w:jc w:val="center"/>
              <w:rPr>
                <w:rFonts w:ascii="宋体" w:hAnsi="宋体" w:cs="宋体" w:eastAsia="宋体" w:hint="default"/>
                <w:sz w:val="20"/>
                <w:szCs w:val="20"/>
              </w:rPr>
            </w:pPr>
            <w:r>
              <w:rPr>
                <w:rFonts w:ascii="宋体" w:hAnsi="宋体" w:cs="宋体" w:eastAsia="宋体" w:hint="default"/>
                <w:sz w:val="20"/>
                <w:szCs w:val="20"/>
              </w:rPr>
              <w:t>股数</w:t>
            </w:r>
          </w:p>
        </w:tc>
        <w:tc>
          <w:tcPr>
            <w:tcW w:w="1009"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0"/>
              <w:jc w:val="center"/>
              <w:rPr>
                <w:rFonts w:ascii="宋体" w:hAnsi="宋体" w:cs="宋体" w:eastAsia="宋体" w:hint="default"/>
                <w:sz w:val="20"/>
                <w:szCs w:val="20"/>
              </w:rPr>
            </w:pPr>
            <w:r>
              <w:rPr>
                <w:rFonts w:ascii="宋体" w:hAnsi="宋体" w:cs="宋体" w:eastAsia="宋体" w:hint="default"/>
                <w:sz w:val="20"/>
                <w:szCs w:val="20"/>
              </w:rPr>
              <w:t>限售原</w:t>
            </w:r>
          </w:p>
          <w:p>
            <w:pPr>
              <w:pStyle w:val="TableParagraph"/>
              <w:spacing w:line="260" w:lineRule="exact"/>
              <w:ind w:right="0"/>
              <w:jc w:val="center"/>
              <w:rPr>
                <w:rFonts w:ascii="宋体" w:hAnsi="宋体" w:cs="宋体" w:eastAsia="宋体" w:hint="default"/>
                <w:sz w:val="20"/>
                <w:szCs w:val="20"/>
              </w:rPr>
            </w:pPr>
            <w:r>
              <w:rPr>
                <w:rFonts w:ascii="宋体" w:hAnsi="宋体" w:cs="宋体" w:eastAsia="宋体" w:hint="default"/>
                <w:w w:val="100"/>
                <w:sz w:val="20"/>
                <w:szCs w:val="20"/>
              </w:rPr>
              <w:t>因</w:t>
            </w:r>
          </w:p>
        </w:tc>
        <w:tc>
          <w:tcPr>
            <w:tcW w:w="959"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71" w:right="0"/>
              <w:jc w:val="left"/>
              <w:rPr>
                <w:rFonts w:ascii="宋体" w:hAnsi="宋体" w:cs="宋体" w:eastAsia="宋体" w:hint="default"/>
                <w:sz w:val="20"/>
                <w:szCs w:val="20"/>
              </w:rPr>
            </w:pPr>
            <w:r>
              <w:rPr>
                <w:rFonts w:ascii="宋体" w:hAnsi="宋体" w:cs="宋体" w:eastAsia="宋体" w:hint="default"/>
                <w:sz w:val="20"/>
                <w:szCs w:val="20"/>
              </w:rPr>
              <w:t>解除限</w:t>
            </w:r>
          </w:p>
          <w:p>
            <w:pPr>
              <w:pStyle w:val="TableParagraph"/>
              <w:spacing w:line="260" w:lineRule="exact"/>
              <w:ind w:left="171" w:right="0"/>
              <w:jc w:val="left"/>
              <w:rPr>
                <w:rFonts w:ascii="宋体" w:hAnsi="宋体" w:cs="宋体" w:eastAsia="宋体" w:hint="default"/>
                <w:sz w:val="20"/>
                <w:szCs w:val="20"/>
              </w:rPr>
            </w:pPr>
            <w:r>
              <w:rPr>
                <w:rFonts w:ascii="宋体" w:hAnsi="宋体" w:cs="宋体" w:eastAsia="宋体" w:hint="default"/>
                <w:sz w:val="20"/>
                <w:szCs w:val="20"/>
              </w:rPr>
              <w:t>售日期</w:t>
            </w:r>
          </w:p>
        </w:tc>
      </w:tr>
      <w:tr>
        <w:trPr>
          <w:trHeight w:val="272" w:hRule="exact"/>
        </w:trPr>
        <w:tc>
          <w:tcPr>
            <w:tcW w:w="1219" w:type="dxa"/>
            <w:tcBorders>
              <w:top w:val="single" w:sz="6" w:space="0" w:color="000000"/>
              <w:left w:val="single" w:sz="6" w:space="0" w:color="000000"/>
              <w:bottom w:val="nil" w:sz="6" w:space="0" w:color="auto"/>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中国联合网</w:t>
            </w:r>
          </w:p>
        </w:tc>
        <w:tc>
          <w:tcPr>
            <w:tcW w:w="1637" w:type="dxa"/>
            <w:tcBorders>
              <w:top w:val="single" w:sz="6" w:space="0" w:color="000000"/>
              <w:left w:val="single" w:sz="6" w:space="0" w:color="000000"/>
              <w:bottom w:val="nil" w:sz="6" w:space="0" w:color="auto"/>
              <w:right w:val="single" w:sz="6" w:space="0" w:color="000000"/>
            </w:tcBorders>
          </w:tcPr>
          <w:p>
            <w:pPr/>
          </w:p>
        </w:tc>
        <w:tc>
          <w:tcPr>
            <w:tcW w:w="1823" w:type="dxa"/>
            <w:tcBorders>
              <w:top w:val="single" w:sz="6" w:space="0" w:color="000000"/>
              <w:left w:val="single" w:sz="6" w:space="0" w:color="000000"/>
              <w:bottom w:val="nil" w:sz="6" w:space="0" w:color="auto"/>
              <w:right w:val="single" w:sz="6" w:space="0" w:color="000000"/>
            </w:tcBorders>
          </w:tcPr>
          <w:p>
            <w:pPr/>
          </w:p>
        </w:tc>
        <w:tc>
          <w:tcPr>
            <w:tcW w:w="1046" w:type="dxa"/>
            <w:tcBorders>
              <w:top w:val="single" w:sz="6" w:space="0" w:color="000000"/>
              <w:left w:val="single" w:sz="6" w:space="0" w:color="000000"/>
              <w:bottom w:val="nil" w:sz="6" w:space="0" w:color="auto"/>
              <w:right w:val="single" w:sz="6" w:space="0" w:color="000000"/>
            </w:tcBorders>
          </w:tcPr>
          <w:p>
            <w:pPr/>
          </w:p>
        </w:tc>
        <w:tc>
          <w:tcPr>
            <w:tcW w:w="1109" w:type="dxa"/>
            <w:tcBorders>
              <w:top w:val="single" w:sz="6" w:space="0" w:color="000000"/>
              <w:left w:val="single" w:sz="6" w:space="0" w:color="000000"/>
              <w:bottom w:val="nil" w:sz="6" w:space="0" w:color="auto"/>
              <w:right w:val="single" w:sz="6" w:space="0" w:color="000000"/>
            </w:tcBorders>
          </w:tcPr>
          <w:p>
            <w:pPr/>
          </w:p>
        </w:tc>
        <w:tc>
          <w:tcPr>
            <w:tcW w:w="1009" w:type="dxa"/>
            <w:tcBorders>
              <w:top w:val="single" w:sz="6" w:space="0" w:color="000000"/>
              <w:left w:val="single" w:sz="6" w:space="0" w:color="000000"/>
              <w:bottom w:val="nil" w:sz="6" w:space="0" w:color="auto"/>
              <w:right w:val="single" w:sz="6" w:space="0" w:color="000000"/>
            </w:tcBorders>
          </w:tcPr>
          <w:p>
            <w:pPr/>
          </w:p>
        </w:tc>
        <w:tc>
          <w:tcPr>
            <w:tcW w:w="959" w:type="dxa"/>
            <w:tcBorders>
              <w:top w:val="single" w:sz="6" w:space="0" w:color="000000"/>
              <w:left w:val="single" w:sz="6" w:space="0" w:color="000000"/>
              <w:bottom w:val="nil" w:sz="6" w:space="0" w:color="auto"/>
              <w:right w:val="single" w:sz="6" w:space="0" w:color="000000"/>
            </w:tcBorders>
          </w:tcPr>
          <w:p>
            <w:pPr>
              <w:pStyle w:val="TableParagraph"/>
              <w:spacing w:line="245" w:lineRule="exact"/>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p>
        </w:tc>
      </w:tr>
      <w:tr>
        <w:trPr>
          <w:trHeight w:val="259" w:hRule="exact"/>
        </w:trPr>
        <w:tc>
          <w:tcPr>
            <w:tcW w:w="1219" w:type="dxa"/>
            <w:tcBorders>
              <w:top w:val="nil" w:sz="6" w:space="0" w:color="auto"/>
              <w:left w:val="single" w:sz="6" w:space="0" w:color="000000"/>
              <w:bottom w:val="nil" w:sz="6" w:space="0" w:color="auto"/>
              <w:right w:val="single" w:sz="6" w:space="0" w:color="000000"/>
            </w:tcBorders>
          </w:tcPr>
          <w:p>
            <w:pPr>
              <w:pStyle w:val="TableParagraph"/>
              <w:spacing w:line="225" w:lineRule="exact"/>
              <w:ind w:left="100" w:right="0"/>
              <w:jc w:val="left"/>
              <w:rPr>
                <w:rFonts w:ascii="宋体" w:hAnsi="宋体" w:cs="宋体" w:eastAsia="宋体" w:hint="default"/>
                <w:sz w:val="20"/>
                <w:szCs w:val="20"/>
              </w:rPr>
            </w:pPr>
            <w:r>
              <w:rPr>
                <w:rFonts w:ascii="宋体" w:hAnsi="宋体" w:cs="宋体" w:eastAsia="宋体" w:hint="default"/>
                <w:sz w:val="20"/>
                <w:szCs w:val="20"/>
              </w:rPr>
              <w:t>络通信集团</w:t>
            </w:r>
          </w:p>
        </w:tc>
        <w:tc>
          <w:tcPr>
            <w:tcW w:w="1637"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31" w:right="0"/>
              <w:jc w:val="center"/>
              <w:rPr>
                <w:rFonts w:ascii="Arial" w:hAnsi="Arial" w:cs="Arial" w:eastAsia="Arial" w:hint="default"/>
                <w:sz w:val="20"/>
                <w:szCs w:val="20"/>
              </w:rPr>
            </w:pPr>
            <w:r>
              <w:rPr>
                <w:rFonts w:ascii="Arial"/>
                <w:sz w:val="20"/>
              </w:rPr>
              <w:t>10,754,658,735</w:t>
            </w:r>
          </w:p>
        </w:tc>
        <w:tc>
          <w:tcPr>
            <w:tcW w:w="1823"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99"/>
              <w:jc w:val="right"/>
              <w:rPr>
                <w:rFonts w:ascii="Arial" w:hAnsi="Arial" w:cs="Arial" w:eastAsia="Arial" w:hint="default"/>
                <w:sz w:val="20"/>
                <w:szCs w:val="20"/>
              </w:rPr>
            </w:pPr>
            <w:r>
              <w:rPr>
                <w:rFonts w:ascii="Arial"/>
                <w:spacing w:val="-1"/>
                <w:sz w:val="20"/>
              </w:rPr>
              <w:t>(10,754,658,735)</w:t>
            </w:r>
          </w:p>
        </w:tc>
        <w:tc>
          <w:tcPr>
            <w:tcW w:w="1046"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left="1" w:right="0"/>
              <w:jc w:val="center"/>
              <w:rPr>
                <w:rFonts w:ascii="Arial" w:hAnsi="Arial" w:cs="Arial" w:eastAsia="Arial" w:hint="default"/>
                <w:sz w:val="20"/>
                <w:szCs w:val="20"/>
              </w:rPr>
            </w:pPr>
            <w:r>
              <w:rPr>
                <w:rFonts w:ascii="Arial"/>
                <w:w w:val="100"/>
                <w:sz w:val="20"/>
              </w:rPr>
              <w:t>-</w:t>
            </w:r>
          </w:p>
        </w:tc>
        <w:tc>
          <w:tcPr>
            <w:tcW w:w="1109" w:type="dxa"/>
            <w:tcBorders>
              <w:top w:val="nil" w:sz="6" w:space="0" w:color="auto"/>
              <w:left w:val="single" w:sz="6" w:space="0" w:color="000000"/>
              <w:bottom w:val="nil" w:sz="6" w:space="0" w:color="auto"/>
              <w:right w:val="single" w:sz="6" w:space="0" w:color="000000"/>
            </w:tcBorders>
          </w:tcPr>
          <w:p>
            <w:pPr>
              <w:pStyle w:val="TableParagraph"/>
              <w:spacing w:line="240" w:lineRule="auto" w:before="6"/>
              <w:ind w:right="511"/>
              <w:jc w:val="right"/>
              <w:rPr>
                <w:rFonts w:ascii="Arial" w:hAnsi="Arial" w:cs="Arial" w:eastAsia="Arial" w:hint="default"/>
                <w:sz w:val="20"/>
                <w:szCs w:val="20"/>
              </w:rPr>
            </w:pPr>
            <w:r>
              <w:rPr>
                <w:rFonts w:ascii="Arial"/>
                <w:w w:val="100"/>
                <w:sz w:val="20"/>
              </w:rPr>
              <w:t>-</w:t>
            </w:r>
          </w:p>
        </w:tc>
        <w:tc>
          <w:tcPr>
            <w:tcW w:w="1009" w:type="dxa"/>
            <w:tcBorders>
              <w:top w:val="nil" w:sz="6" w:space="0" w:color="auto"/>
              <w:left w:val="single" w:sz="6" w:space="0" w:color="000000"/>
              <w:bottom w:val="nil" w:sz="6" w:space="0" w:color="auto"/>
              <w:right w:val="single" w:sz="6" w:space="0" w:color="000000"/>
            </w:tcBorders>
          </w:tcPr>
          <w:p>
            <w:pPr>
              <w:pStyle w:val="TableParagraph"/>
              <w:spacing w:line="225" w:lineRule="exact"/>
              <w:ind w:right="1"/>
              <w:jc w:val="center"/>
              <w:rPr>
                <w:rFonts w:ascii="宋体" w:hAnsi="宋体" w:cs="宋体" w:eastAsia="宋体" w:hint="default"/>
                <w:sz w:val="20"/>
                <w:szCs w:val="20"/>
              </w:rPr>
            </w:pPr>
            <w:r>
              <w:rPr>
                <w:rFonts w:ascii="宋体" w:hAnsi="宋体" w:cs="宋体" w:eastAsia="宋体" w:hint="default"/>
                <w:sz w:val="20"/>
                <w:szCs w:val="20"/>
              </w:rPr>
              <w:t>股改</w:t>
            </w:r>
          </w:p>
        </w:tc>
        <w:tc>
          <w:tcPr>
            <w:tcW w:w="959"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Arial" w:hAnsi="Arial" w:cs="Arial" w:eastAsia="Arial" w:hint="default"/>
                <w:sz w:val="20"/>
                <w:szCs w:val="20"/>
              </w:rPr>
            </w:pPr>
            <w:r>
              <w:rPr>
                <w:rFonts w:ascii="Arial" w:hAnsi="Arial" w:cs="Arial" w:eastAsia="Arial" w:hint="default"/>
                <w:sz w:val="20"/>
                <w:szCs w:val="20"/>
              </w:rPr>
              <w:t>5 </w:t>
            </w:r>
            <w:r>
              <w:rPr>
                <w:rFonts w:ascii="宋体" w:hAnsi="宋体" w:cs="宋体" w:eastAsia="宋体" w:hint="default"/>
                <w:sz w:val="20"/>
                <w:szCs w:val="20"/>
              </w:rPr>
              <w:t>月</w:t>
            </w:r>
            <w:r>
              <w:rPr>
                <w:rFonts w:ascii="宋体" w:hAnsi="宋体" w:cs="宋体" w:eastAsia="宋体" w:hint="default"/>
                <w:spacing w:val="-57"/>
                <w:sz w:val="20"/>
                <w:szCs w:val="20"/>
              </w:rPr>
              <w:t> </w:t>
            </w:r>
            <w:r>
              <w:rPr>
                <w:rFonts w:ascii="Arial" w:hAnsi="Arial" w:cs="Arial" w:eastAsia="Arial" w:hint="default"/>
                <w:sz w:val="20"/>
                <w:szCs w:val="20"/>
              </w:rPr>
              <w:t>19</w:t>
            </w:r>
          </w:p>
        </w:tc>
      </w:tr>
      <w:tr>
        <w:trPr>
          <w:trHeight w:val="262" w:hRule="exact"/>
        </w:trPr>
        <w:tc>
          <w:tcPr>
            <w:tcW w:w="1219" w:type="dxa"/>
            <w:tcBorders>
              <w:top w:val="nil" w:sz="6" w:space="0" w:color="auto"/>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20"/>
                <w:szCs w:val="20"/>
              </w:rPr>
            </w:pPr>
            <w:r>
              <w:rPr>
                <w:rFonts w:ascii="宋体" w:hAnsi="宋体" w:cs="宋体" w:eastAsia="宋体" w:hint="default"/>
                <w:sz w:val="20"/>
                <w:szCs w:val="20"/>
              </w:rPr>
              <w:t>有限公司</w:t>
            </w:r>
          </w:p>
        </w:tc>
        <w:tc>
          <w:tcPr>
            <w:tcW w:w="1637" w:type="dxa"/>
            <w:tcBorders>
              <w:top w:val="nil" w:sz="6" w:space="0" w:color="auto"/>
              <w:left w:val="single" w:sz="6" w:space="0" w:color="000000"/>
              <w:bottom w:val="single" w:sz="6" w:space="0" w:color="000000"/>
              <w:right w:val="single" w:sz="6" w:space="0" w:color="000000"/>
            </w:tcBorders>
          </w:tcPr>
          <w:p>
            <w:pPr/>
          </w:p>
        </w:tc>
        <w:tc>
          <w:tcPr>
            <w:tcW w:w="1823" w:type="dxa"/>
            <w:tcBorders>
              <w:top w:val="nil" w:sz="6" w:space="0" w:color="auto"/>
              <w:left w:val="single" w:sz="6" w:space="0" w:color="000000"/>
              <w:bottom w:val="single" w:sz="6" w:space="0" w:color="000000"/>
              <w:right w:val="single" w:sz="6" w:space="0" w:color="000000"/>
            </w:tcBorders>
          </w:tcPr>
          <w:p>
            <w:pPr/>
          </w:p>
        </w:tc>
        <w:tc>
          <w:tcPr>
            <w:tcW w:w="1046" w:type="dxa"/>
            <w:tcBorders>
              <w:top w:val="nil" w:sz="6" w:space="0" w:color="auto"/>
              <w:left w:val="single" w:sz="6" w:space="0" w:color="000000"/>
              <w:bottom w:val="single" w:sz="6" w:space="0" w:color="000000"/>
              <w:right w:val="single" w:sz="6" w:space="0" w:color="000000"/>
            </w:tcBorders>
          </w:tcPr>
          <w:p>
            <w:pPr/>
          </w:p>
        </w:tc>
        <w:tc>
          <w:tcPr>
            <w:tcW w:w="1109" w:type="dxa"/>
            <w:tcBorders>
              <w:top w:val="nil" w:sz="6" w:space="0" w:color="auto"/>
              <w:left w:val="single" w:sz="6" w:space="0" w:color="000000"/>
              <w:bottom w:val="single" w:sz="6" w:space="0" w:color="000000"/>
              <w:right w:val="single" w:sz="6" w:space="0" w:color="000000"/>
            </w:tcBorders>
          </w:tcPr>
          <w:p>
            <w:pPr/>
          </w:p>
        </w:tc>
        <w:tc>
          <w:tcPr>
            <w:tcW w:w="1009" w:type="dxa"/>
            <w:tcBorders>
              <w:top w:val="nil" w:sz="6" w:space="0" w:color="auto"/>
              <w:left w:val="single" w:sz="6" w:space="0" w:color="000000"/>
              <w:bottom w:val="single" w:sz="6" w:space="0" w:color="000000"/>
              <w:right w:val="single" w:sz="6" w:space="0" w:color="000000"/>
            </w:tcBorders>
          </w:tcPr>
          <w:p>
            <w:pPr/>
          </w:p>
        </w:tc>
        <w:tc>
          <w:tcPr>
            <w:tcW w:w="959" w:type="dxa"/>
            <w:tcBorders>
              <w:top w:val="nil" w:sz="6" w:space="0" w:color="auto"/>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20"/>
                <w:szCs w:val="20"/>
              </w:rPr>
            </w:pPr>
            <w:r>
              <w:rPr>
                <w:rFonts w:ascii="宋体" w:hAnsi="宋体" w:cs="宋体" w:eastAsia="宋体" w:hint="default"/>
                <w:w w:val="100"/>
                <w:sz w:val="20"/>
                <w:szCs w:val="20"/>
              </w:rPr>
              <w:t>日</w:t>
            </w:r>
          </w:p>
        </w:tc>
      </w:tr>
      <w:tr>
        <w:trPr>
          <w:trHeight w:val="275" w:hRule="exact"/>
        </w:trPr>
        <w:tc>
          <w:tcPr>
            <w:tcW w:w="1219"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29" w:right="0"/>
              <w:jc w:val="center"/>
              <w:rPr>
                <w:rFonts w:ascii="Arial" w:hAnsi="Arial" w:cs="Arial" w:eastAsia="Arial" w:hint="default"/>
                <w:sz w:val="20"/>
                <w:szCs w:val="20"/>
              </w:rPr>
            </w:pPr>
            <w:r>
              <w:rPr>
                <w:rFonts w:ascii="Arial"/>
                <w:sz w:val="20"/>
              </w:rPr>
              <w:t>10,754,658,735</w:t>
            </w:r>
          </w:p>
        </w:tc>
        <w:tc>
          <w:tcPr>
            <w:tcW w:w="18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1"/>
              <w:jc w:val="right"/>
              <w:rPr>
                <w:rFonts w:ascii="Arial" w:hAnsi="Arial" w:cs="Arial" w:eastAsia="Arial" w:hint="default"/>
                <w:sz w:val="20"/>
                <w:szCs w:val="20"/>
              </w:rPr>
            </w:pPr>
            <w:r>
              <w:rPr>
                <w:rFonts w:ascii="Arial"/>
                <w:spacing w:val="-1"/>
                <w:sz w:val="20"/>
              </w:rPr>
              <w:t>(10,754,658,735)</w:t>
            </w:r>
          </w:p>
        </w:tc>
        <w:tc>
          <w:tcPr>
            <w:tcW w:w="10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w:t>
            </w:r>
          </w:p>
        </w:tc>
        <w:tc>
          <w:tcPr>
            <w:tcW w:w="11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513"/>
              <w:jc w:val="right"/>
              <w:rPr>
                <w:rFonts w:ascii="Arial" w:hAnsi="Arial" w:cs="Arial" w:eastAsia="Arial" w:hint="default"/>
                <w:sz w:val="20"/>
                <w:szCs w:val="20"/>
              </w:rPr>
            </w:pPr>
            <w:r>
              <w:rPr>
                <w:rFonts w:ascii="Arial"/>
                <w:w w:val="100"/>
                <w:sz w:val="20"/>
              </w:rPr>
              <w:t>-</w:t>
            </w:r>
          </w:p>
        </w:tc>
        <w:tc>
          <w:tcPr>
            <w:tcW w:w="1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w:t>
            </w:r>
          </w:p>
        </w:tc>
        <w:tc>
          <w:tcPr>
            <w:tcW w:w="9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w:t>
            </w:r>
          </w:p>
        </w:tc>
      </w:tr>
    </w:tbl>
    <w:p>
      <w:pPr>
        <w:spacing w:after="0" w:line="240" w:lineRule="auto"/>
        <w:jc w:val="center"/>
        <w:rPr>
          <w:rFonts w:ascii="Arial" w:hAnsi="Arial" w:cs="Arial" w:eastAsia="Arial" w:hint="default"/>
          <w:sz w:val="20"/>
          <w:szCs w:val="20"/>
        </w:rPr>
        <w:sectPr>
          <w:type w:val="continuous"/>
          <w:pgSz w:w="11910" w:h="16840"/>
          <w:pgMar w:top="1600" w:bottom="280" w:left="1080" w:right="1140"/>
        </w:sectPr>
      </w:pPr>
    </w:p>
    <w:p>
      <w:pPr>
        <w:spacing w:line="240" w:lineRule="auto" w:before="6"/>
        <w:rPr>
          <w:rFonts w:ascii="宋体" w:hAnsi="宋体" w:cs="宋体" w:eastAsia="宋体" w:hint="default"/>
          <w:sz w:val="12"/>
          <w:szCs w:val="12"/>
        </w:rPr>
      </w:pPr>
    </w:p>
    <w:p>
      <w:pPr>
        <w:pStyle w:val="BodyText"/>
        <w:spacing w:line="240" w:lineRule="auto" w:before="31"/>
        <w:ind w:left="109" w:right="138"/>
        <w:jc w:val="left"/>
      </w:pPr>
      <w:r>
        <w:rPr/>
        <w:t>（二）证券发行与上市情况</w:t>
      </w:r>
    </w:p>
    <w:p>
      <w:pPr>
        <w:spacing w:line="240" w:lineRule="auto" w:before="1"/>
        <w:rPr>
          <w:rFonts w:ascii="宋体" w:hAnsi="宋体" w:cs="宋体" w:eastAsia="宋体" w:hint="default"/>
          <w:sz w:val="19"/>
          <w:szCs w:val="19"/>
        </w:rPr>
      </w:pPr>
    </w:p>
    <w:p>
      <w:pPr>
        <w:pStyle w:val="BodyText"/>
        <w:spacing w:line="427" w:lineRule="auto"/>
        <w:ind w:left="753" w:right="3191" w:hanging="504"/>
        <w:jc w:val="left"/>
      </w:pPr>
      <w:r>
        <w:rPr>
          <w:rFonts w:ascii="Arial" w:hAnsi="Arial" w:cs="Arial" w:eastAsia="Arial" w:hint="default"/>
        </w:rPr>
        <w:t>1</w:t>
      </w:r>
      <w:r>
        <w:rPr/>
        <w:t>、</w:t>
      </w:r>
      <w:r>
        <w:rPr>
          <w:spacing w:val="65"/>
        </w:rPr>
        <w:t> </w:t>
      </w:r>
      <w:r>
        <w:rPr/>
        <w:t>前三年历次证券发行情况</w:t>
      </w:r>
      <w:r>
        <w:rPr>
          <w:w w:val="99"/>
        </w:rPr>
        <w:t> </w:t>
      </w:r>
      <w:r>
        <w:rPr/>
        <w:t>截止本报告期末至前三年，公司未有证券发行与上市情况。</w:t>
      </w:r>
    </w:p>
    <w:p>
      <w:pPr>
        <w:pStyle w:val="BodyText"/>
        <w:spacing w:line="240" w:lineRule="auto" w:before="78"/>
        <w:ind w:left="249" w:right="138"/>
        <w:jc w:val="left"/>
      </w:pPr>
      <w:r>
        <w:rPr>
          <w:rFonts w:ascii="Arial" w:hAnsi="Arial" w:cs="Arial" w:eastAsia="Arial" w:hint="default"/>
        </w:rPr>
        <w:t>2</w:t>
      </w:r>
      <w:r>
        <w:rPr/>
        <w:t>、</w:t>
      </w:r>
      <w:r>
        <w:rPr>
          <w:spacing w:val="63"/>
        </w:rPr>
        <w:t> </w:t>
      </w:r>
      <w:r>
        <w:rPr/>
        <w:t>公司股份总数及结构的变动情况</w:t>
      </w:r>
    </w:p>
    <w:p>
      <w:pPr>
        <w:spacing w:line="240" w:lineRule="auto" w:before="2"/>
        <w:rPr>
          <w:rFonts w:ascii="宋体" w:hAnsi="宋体" w:cs="宋体" w:eastAsia="宋体" w:hint="default"/>
          <w:sz w:val="20"/>
          <w:szCs w:val="20"/>
        </w:rPr>
      </w:pPr>
    </w:p>
    <w:p>
      <w:pPr>
        <w:pStyle w:val="BodyText"/>
        <w:spacing w:line="286" w:lineRule="exact"/>
        <w:ind w:left="752" w:right="112"/>
        <w:jc w:val="left"/>
      </w:pPr>
      <w:r>
        <w:rPr/>
        <w:t>于</w:t>
      </w:r>
      <w:r>
        <w:rPr>
          <w:spacing w:val="-46"/>
        </w:rPr>
        <w:t> </w:t>
      </w:r>
      <w:r>
        <w:rPr>
          <w:rFonts w:ascii="Arial" w:hAnsi="Arial" w:cs="Arial" w:eastAsia="Arial" w:hint="default"/>
        </w:rPr>
        <w:t>2009</w:t>
      </w:r>
      <w:r>
        <w:rPr>
          <w:rFonts w:ascii="Arial" w:hAnsi="Arial" w:cs="Arial" w:eastAsia="Arial" w:hint="default"/>
          <w:spacing w:val="5"/>
        </w:rPr>
        <w:t> </w:t>
      </w:r>
      <w:r>
        <w:rPr/>
        <w:t>年</w:t>
      </w:r>
      <w:r>
        <w:rPr>
          <w:spacing w:val="-44"/>
        </w:rPr>
        <w:t> </w:t>
      </w:r>
      <w:r>
        <w:rPr>
          <w:rFonts w:ascii="Arial" w:hAnsi="Arial" w:cs="Arial" w:eastAsia="Arial" w:hint="default"/>
        </w:rPr>
        <w:t>5</w:t>
      </w:r>
      <w:r>
        <w:rPr>
          <w:rFonts w:ascii="Arial" w:hAnsi="Arial" w:cs="Arial" w:eastAsia="Arial" w:hint="default"/>
          <w:spacing w:val="4"/>
        </w:rPr>
        <w:t> </w:t>
      </w:r>
      <w:r>
        <w:rPr/>
        <w:t>月</w:t>
      </w:r>
      <w:r>
        <w:rPr>
          <w:spacing w:val="-46"/>
        </w:rPr>
        <w:t> </w:t>
      </w:r>
      <w:r>
        <w:rPr>
          <w:rFonts w:ascii="Arial" w:hAnsi="Arial" w:cs="Arial" w:eastAsia="Arial" w:hint="default"/>
        </w:rPr>
        <w:t>19</w:t>
      </w:r>
      <w:r>
        <w:rPr>
          <w:rFonts w:ascii="Arial" w:hAnsi="Arial" w:cs="Arial" w:eastAsia="Arial" w:hint="default"/>
          <w:spacing w:val="4"/>
        </w:rPr>
        <w:t> </w:t>
      </w:r>
      <w:r>
        <w:rPr/>
        <w:t>日，联通集团所持本公司</w:t>
      </w:r>
      <w:r>
        <w:rPr>
          <w:spacing w:val="-45"/>
        </w:rPr>
        <w:t> </w:t>
      </w:r>
      <w:r>
        <w:rPr>
          <w:rFonts w:ascii="Arial" w:hAnsi="Arial" w:cs="Arial" w:eastAsia="Arial" w:hint="default"/>
        </w:rPr>
        <w:t>50.74%</w:t>
      </w:r>
      <w:r>
        <w:rPr/>
        <w:t>的股份，共</w:t>
      </w:r>
      <w:r>
        <w:rPr>
          <w:spacing w:val="-45"/>
        </w:rPr>
        <w:t> </w:t>
      </w:r>
      <w:r>
        <w:rPr>
          <w:rFonts w:ascii="Arial" w:hAnsi="Arial" w:cs="Arial" w:eastAsia="Arial" w:hint="default"/>
        </w:rPr>
        <w:t>10,754,658,735</w:t>
      </w:r>
      <w:r>
        <w:rPr>
          <w:rFonts w:ascii="Arial" w:hAnsi="Arial" w:cs="Arial" w:eastAsia="Arial" w:hint="default"/>
          <w:spacing w:val="4"/>
        </w:rPr>
        <w:t> </w:t>
      </w:r>
      <w:r>
        <w:rPr/>
        <w:t>股有限售</w:t>
      </w:r>
      <w:r>
        <w:rPr>
          <w:w w:val="99"/>
        </w:rPr>
        <w:t> </w:t>
      </w:r>
      <w:r>
        <w:rPr/>
        <w:t>条件的国有法人股份根据股权分置方案解除限售转为无限售条件的流通股，可以上市流通。</w:t>
      </w:r>
    </w:p>
    <w:p>
      <w:pPr>
        <w:spacing w:line="240" w:lineRule="auto" w:before="1"/>
        <w:rPr>
          <w:rFonts w:ascii="宋体" w:hAnsi="宋体" w:cs="宋体" w:eastAsia="宋体" w:hint="default"/>
          <w:sz w:val="17"/>
          <w:szCs w:val="17"/>
        </w:rPr>
      </w:pPr>
    </w:p>
    <w:p>
      <w:pPr>
        <w:pStyle w:val="BodyText"/>
        <w:spacing w:line="427" w:lineRule="auto"/>
        <w:ind w:left="752" w:right="5832" w:hanging="504"/>
        <w:jc w:val="left"/>
      </w:pPr>
      <w:r>
        <w:rPr>
          <w:rFonts w:ascii="Arial" w:hAnsi="Arial" w:cs="Arial" w:eastAsia="Arial" w:hint="default"/>
        </w:rPr>
        <w:t>3</w:t>
      </w:r>
      <w:r>
        <w:rPr/>
        <w:t>、</w:t>
      </w:r>
      <w:r>
        <w:rPr>
          <w:spacing w:val="65"/>
        </w:rPr>
        <w:t> </w:t>
      </w:r>
      <w:r>
        <w:rPr/>
        <w:t>现存的内部职工股情况</w:t>
      </w:r>
      <w:r>
        <w:rPr>
          <w:w w:val="99"/>
        </w:rPr>
        <w:t> </w:t>
      </w:r>
      <w:r>
        <w:rPr/>
        <w:t>本报告期末公司无内部职工股。</w:t>
      </w:r>
    </w:p>
    <w:p>
      <w:pPr>
        <w:pStyle w:val="BodyText"/>
        <w:spacing w:line="240" w:lineRule="auto" w:before="79"/>
        <w:ind w:left="248" w:right="138"/>
        <w:jc w:val="left"/>
      </w:pPr>
      <w:r>
        <w:rPr>
          <w:rFonts w:ascii="Arial" w:hAnsi="Arial" w:cs="Arial" w:eastAsia="Arial" w:hint="default"/>
        </w:rPr>
        <w:t>(</w:t>
      </w:r>
      <w:r>
        <w:rPr/>
        <w:t>三</w:t>
      </w:r>
      <w:r>
        <w:rPr>
          <w:rFonts w:ascii="Arial" w:hAnsi="Arial" w:cs="Arial" w:eastAsia="Arial" w:hint="default"/>
        </w:rPr>
        <w:t>) </w:t>
      </w:r>
      <w:r>
        <w:rPr>
          <w:rFonts w:ascii="Arial" w:hAnsi="Arial" w:cs="Arial" w:eastAsia="Arial" w:hint="default"/>
          <w:spacing w:val="28"/>
        </w:rPr>
        <w:t> </w:t>
      </w:r>
      <w:r>
        <w:rPr/>
        <w:t>股东和实际控制人情况</w:t>
      </w:r>
    </w:p>
    <w:p>
      <w:pPr>
        <w:spacing w:line="240" w:lineRule="auto" w:before="6"/>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pgSz w:w="11910" w:h="16840"/>
          <w:pgMar w:header="587" w:footer="774" w:top="960" w:bottom="960" w:left="1080" w:right="1140"/>
        </w:sectPr>
      </w:pPr>
    </w:p>
    <w:p>
      <w:pPr>
        <w:pStyle w:val="BodyText"/>
        <w:spacing w:line="240" w:lineRule="auto" w:before="31"/>
        <w:ind w:left="248" w:right="-18"/>
        <w:jc w:val="left"/>
      </w:pPr>
      <w:r>
        <w:rPr>
          <w:rFonts w:ascii="Arial" w:hAnsi="Arial" w:cs="Arial" w:eastAsia="Arial" w:hint="default"/>
        </w:rPr>
        <w:t>1</w:t>
      </w:r>
      <w:r>
        <w:rPr/>
        <w:t>、</w:t>
      </w:r>
      <w:r>
        <w:rPr>
          <w:spacing w:val="63"/>
        </w:rPr>
        <w:t> </w:t>
      </w:r>
      <w:r>
        <w:rPr/>
        <w:t>股东数量和持股情况</w:t>
      </w:r>
    </w:p>
    <w:p>
      <w:pPr>
        <w:spacing w:line="240" w:lineRule="auto" w:before="7"/>
        <w:rPr>
          <w:rFonts w:ascii="宋体" w:hAnsi="宋体" w:cs="宋体" w:eastAsia="宋体" w:hint="default"/>
          <w:sz w:val="24"/>
          <w:szCs w:val="24"/>
        </w:rPr>
      </w:pPr>
      <w:r>
        <w:rPr/>
        <w:br w:type="column"/>
      </w:r>
      <w:r>
        <w:rPr>
          <w:rFonts w:ascii="宋体"/>
          <w:sz w:val="24"/>
        </w:rPr>
      </w:r>
    </w:p>
    <w:p>
      <w:pPr>
        <w:spacing w:before="0"/>
        <w:ind w:left="248" w:right="0" w:firstLine="0"/>
        <w:jc w:val="left"/>
        <w:rPr>
          <w:rFonts w:ascii="宋体" w:hAnsi="宋体" w:cs="宋体" w:eastAsia="宋体" w:hint="default"/>
          <w:sz w:val="20"/>
          <w:szCs w:val="20"/>
        </w:rPr>
      </w:pPr>
      <w:r>
        <w:rPr>
          <w:rFonts w:ascii="宋体" w:hAnsi="宋体" w:cs="宋体" w:eastAsia="宋体" w:hint="default"/>
          <w:sz w:val="20"/>
          <w:szCs w:val="20"/>
        </w:rPr>
        <w:t>单位：股</w:t>
      </w:r>
    </w:p>
    <w:p>
      <w:pPr>
        <w:spacing w:after="0"/>
        <w:jc w:val="left"/>
        <w:rPr>
          <w:rFonts w:ascii="宋体" w:hAnsi="宋体" w:cs="宋体" w:eastAsia="宋体" w:hint="default"/>
          <w:sz w:val="20"/>
          <w:szCs w:val="20"/>
        </w:rPr>
        <w:sectPr>
          <w:type w:val="continuous"/>
          <w:pgSz w:w="11910" w:h="16840"/>
          <w:pgMar w:top="1600" w:bottom="280" w:left="1080" w:right="1140"/>
          <w:cols w:num="2" w:equalWidth="0">
            <w:col w:w="2746" w:space="5748"/>
            <w:col w:w="1196"/>
          </w:cols>
        </w:sectPr>
      </w:pPr>
    </w:p>
    <w:p>
      <w:pPr>
        <w:spacing w:line="240" w:lineRule="auto" w:before="3"/>
        <w:rPr>
          <w:rFonts w:ascii="宋体" w:hAnsi="宋体" w:cs="宋体" w:eastAsia="宋体" w:hint="default"/>
          <w:sz w:val="2"/>
          <w:szCs w:val="2"/>
        </w:rPr>
      </w:pPr>
    </w:p>
    <w:tbl>
      <w:tblPr>
        <w:tblW w:w="0" w:type="auto"/>
        <w:jc w:val="left"/>
        <w:tblInd w:w="746" w:type="dxa"/>
        <w:tblLayout w:type="fixed"/>
        <w:tblCellMar>
          <w:top w:w="0" w:type="dxa"/>
          <w:left w:w="0" w:type="dxa"/>
          <w:bottom w:w="0" w:type="dxa"/>
          <w:right w:w="0" w:type="dxa"/>
        </w:tblCellMar>
        <w:tblLook w:val="01E0"/>
      </w:tblPr>
      <w:tblGrid>
        <w:gridCol w:w="2422"/>
        <w:gridCol w:w="911"/>
        <w:gridCol w:w="727"/>
        <w:gridCol w:w="1468"/>
        <w:gridCol w:w="589"/>
        <w:gridCol w:w="589"/>
        <w:gridCol w:w="840"/>
        <w:gridCol w:w="1242"/>
      </w:tblGrid>
      <w:tr>
        <w:trPr>
          <w:trHeight w:val="248" w:hRule="exact"/>
        </w:trPr>
        <w:tc>
          <w:tcPr>
            <w:tcW w:w="6116" w:type="dxa"/>
            <w:gridSpan w:val="5"/>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报告期末股东总数</w:t>
            </w:r>
          </w:p>
        </w:tc>
        <w:tc>
          <w:tcPr>
            <w:tcW w:w="2671" w:type="dxa"/>
            <w:gridSpan w:val="3"/>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1532" w:right="0"/>
              <w:jc w:val="left"/>
              <w:rPr>
                <w:rFonts w:ascii="宋体" w:hAnsi="宋体" w:cs="宋体" w:eastAsia="宋体" w:hint="default"/>
                <w:sz w:val="18"/>
                <w:szCs w:val="18"/>
              </w:rPr>
            </w:pPr>
            <w:r>
              <w:rPr>
                <w:rFonts w:ascii="Arial" w:hAnsi="Arial" w:cs="Arial" w:eastAsia="Arial" w:hint="default"/>
                <w:sz w:val="18"/>
                <w:szCs w:val="18"/>
              </w:rPr>
              <w:t>1,115,690</w:t>
            </w:r>
            <w:r>
              <w:rPr>
                <w:rFonts w:ascii="Arial" w:hAnsi="Arial" w:cs="Arial" w:eastAsia="Arial" w:hint="default"/>
                <w:spacing w:val="-14"/>
                <w:sz w:val="18"/>
                <w:szCs w:val="18"/>
              </w:rPr>
              <w:t> </w:t>
            </w:r>
            <w:r>
              <w:rPr>
                <w:rFonts w:ascii="宋体" w:hAnsi="宋体" w:cs="宋体" w:eastAsia="宋体" w:hint="default"/>
                <w:sz w:val="18"/>
                <w:szCs w:val="18"/>
              </w:rPr>
              <w:t>户</w:t>
            </w:r>
          </w:p>
        </w:tc>
      </w:tr>
      <w:tr>
        <w:trPr>
          <w:trHeight w:val="248" w:hRule="exact"/>
        </w:trPr>
        <w:tc>
          <w:tcPr>
            <w:tcW w:w="8788" w:type="dxa"/>
            <w:gridSpan w:val="8"/>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前十名股东持股情况</w:t>
            </w:r>
          </w:p>
        </w:tc>
      </w:tr>
      <w:tr>
        <w:trPr>
          <w:trHeight w:val="715" w:hRule="exact"/>
        </w:trPr>
        <w:tc>
          <w:tcPr>
            <w:tcW w:w="24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50"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股东性质</w:t>
            </w:r>
          </w:p>
        </w:tc>
        <w:tc>
          <w:tcPr>
            <w:tcW w:w="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12" w:right="98" w:hanging="41"/>
              <w:jc w:val="left"/>
              <w:rPr>
                <w:rFonts w:ascii="Arial" w:hAnsi="Arial" w:cs="Arial" w:eastAsia="Arial" w:hint="default"/>
                <w:sz w:val="18"/>
                <w:szCs w:val="18"/>
              </w:rPr>
            </w:pPr>
            <w:r>
              <w:rPr>
                <w:rFonts w:ascii="宋体" w:hAnsi="宋体" w:cs="宋体" w:eastAsia="宋体" w:hint="default"/>
                <w:sz w:val="18"/>
                <w:szCs w:val="18"/>
              </w:rPr>
              <w:t>持股比 例</w:t>
            </w:r>
            <w:r>
              <w:rPr>
                <w:rFonts w:ascii="Arial" w:hAnsi="Arial" w:cs="Arial" w:eastAsia="Arial" w:hint="default"/>
                <w:sz w:val="18"/>
                <w:szCs w:val="18"/>
              </w:rPr>
              <w:t>(%)</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65" w:right="0"/>
              <w:jc w:val="left"/>
              <w:rPr>
                <w:rFonts w:ascii="宋体" w:hAnsi="宋体" w:cs="宋体" w:eastAsia="宋体" w:hint="default"/>
                <w:sz w:val="18"/>
                <w:szCs w:val="18"/>
              </w:rPr>
            </w:pPr>
            <w:r>
              <w:rPr>
                <w:rFonts w:ascii="宋体" w:hAnsi="宋体" w:cs="宋体" w:eastAsia="宋体" w:hint="default"/>
                <w:sz w:val="18"/>
                <w:szCs w:val="18"/>
              </w:rPr>
              <w:t>持股总数</w:t>
            </w:r>
          </w:p>
        </w:tc>
        <w:tc>
          <w:tcPr>
            <w:tcW w:w="11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505" w:right="116" w:hanging="360"/>
              <w:jc w:val="left"/>
              <w:rPr>
                <w:rFonts w:ascii="宋体" w:hAnsi="宋体" w:cs="宋体" w:eastAsia="宋体" w:hint="default"/>
                <w:sz w:val="18"/>
                <w:szCs w:val="18"/>
              </w:rPr>
            </w:pPr>
            <w:r>
              <w:rPr>
                <w:rFonts w:ascii="宋体" w:hAnsi="宋体" w:cs="宋体" w:eastAsia="宋体" w:hint="default"/>
                <w:sz w:val="18"/>
                <w:szCs w:val="18"/>
              </w:rPr>
              <w:t>报告期内增 减</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9" w:right="0"/>
              <w:jc w:val="left"/>
              <w:rPr>
                <w:rFonts w:ascii="宋体" w:hAnsi="宋体" w:cs="宋体" w:eastAsia="宋体" w:hint="default"/>
                <w:sz w:val="18"/>
                <w:szCs w:val="18"/>
              </w:rPr>
            </w:pPr>
            <w:r>
              <w:rPr>
                <w:rFonts w:ascii="宋体" w:hAnsi="宋体" w:cs="宋体" w:eastAsia="宋体" w:hint="default"/>
                <w:sz w:val="18"/>
                <w:szCs w:val="18"/>
              </w:rPr>
              <w:t>持有有限</w:t>
            </w:r>
          </w:p>
          <w:p>
            <w:pPr>
              <w:pStyle w:val="TableParagraph"/>
              <w:spacing w:line="232" w:lineRule="exact" w:before="24"/>
              <w:ind w:left="149" w:right="43" w:hanging="90"/>
              <w:jc w:val="left"/>
              <w:rPr>
                <w:rFonts w:ascii="宋体" w:hAnsi="宋体" w:cs="宋体" w:eastAsia="宋体" w:hint="default"/>
                <w:sz w:val="18"/>
                <w:szCs w:val="18"/>
              </w:rPr>
            </w:pPr>
            <w:r>
              <w:rPr>
                <w:rFonts w:ascii="宋体" w:hAnsi="宋体" w:cs="宋体" w:eastAsia="宋体" w:hint="default"/>
                <w:sz w:val="18"/>
                <w:szCs w:val="18"/>
              </w:rPr>
              <w:t>售条件股 份数量</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64" w:right="161"/>
              <w:jc w:val="left"/>
              <w:rPr>
                <w:rFonts w:ascii="宋体" w:hAnsi="宋体" w:cs="宋体" w:eastAsia="宋体" w:hint="default"/>
                <w:sz w:val="18"/>
                <w:szCs w:val="18"/>
              </w:rPr>
            </w:pPr>
            <w:r>
              <w:rPr>
                <w:rFonts w:ascii="宋体" w:hAnsi="宋体" w:cs="宋体" w:eastAsia="宋体" w:hint="default"/>
                <w:sz w:val="18"/>
                <w:szCs w:val="18"/>
              </w:rPr>
              <w:t>质押或冻结 的股份数量</w:t>
            </w:r>
          </w:p>
        </w:tc>
      </w:tr>
      <w:tr>
        <w:trPr>
          <w:trHeight w:val="482" w:hRule="exact"/>
        </w:trPr>
        <w:tc>
          <w:tcPr>
            <w:tcW w:w="242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70" w:right="0"/>
              <w:jc w:val="left"/>
              <w:rPr>
                <w:rFonts w:ascii="宋体" w:hAnsi="宋体" w:cs="宋体" w:eastAsia="宋体" w:hint="default"/>
                <w:sz w:val="18"/>
                <w:szCs w:val="18"/>
              </w:rPr>
            </w:pPr>
            <w:r>
              <w:rPr>
                <w:rFonts w:ascii="宋体" w:hAnsi="宋体" w:cs="宋体" w:eastAsia="宋体" w:hint="default"/>
                <w:sz w:val="18"/>
                <w:szCs w:val="18"/>
              </w:rPr>
              <w:t>中国联合网络通信集团有限</w:t>
            </w:r>
          </w:p>
          <w:p>
            <w:pPr>
              <w:pStyle w:val="TableParagraph"/>
              <w:spacing w:line="235" w:lineRule="exact"/>
              <w:ind w:left="70"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61"/>
              <w:jc w:val="right"/>
              <w:rPr>
                <w:rFonts w:ascii="宋体" w:hAnsi="宋体" w:cs="宋体" w:eastAsia="宋体" w:hint="default"/>
                <w:sz w:val="18"/>
                <w:szCs w:val="18"/>
              </w:rPr>
            </w:pPr>
            <w:r>
              <w:rPr>
                <w:rFonts w:ascii="宋体" w:hAnsi="宋体" w:cs="宋体" w:eastAsia="宋体" w:hint="default"/>
                <w:sz w:val="18"/>
                <w:szCs w:val="18"/>
              </w:rPr>
              <w:t>国有法人</w:t>
            </w:r>
          </w:p>
        </w:tc>
        <w:tc>
          <w:tcPr>
            <w:tcW w:w="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62" w:right="0"/>
              <w:jc w:val="center"/>
              <w:rPr>
                <w:rFonts w:ascii="Arial" w:hAnsi="Arial" w:cs="Arial" w:eastAsia="Arial" w:hint="default"/>
                <w:sz w:val="18"/>
                <w:szCs w:val="18"/>
              </w:rPr>
            </w:pPr>
            <w:r>
              <w:rPr>
                <w:rFonts w:ascii="Arial"/>
                <w:sz w:val="18"/>
              </w:rPr>
              <w:t>61.05</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w:hAnsi="Arial" w:cs="Arial" w:eastAsia="Arial" w:hint="default"/>
                <w:sz w:val="18"/>
                <w:szCs w:val="18"/>
              </w:rPr>
            </w:pPr>
            <w:r>
              <w:rPr>
                <w:rFonts w:ascii="Arial"/>
                <w:spacing w:val="-1"/>
                <w:sz w:val="18"/>
              </w:rPr>
              <w:t>12,939,746,152</w:t>
            </w:r>
          </w:p>
        </w:tc>
        <w:tc>
          <w:tcPr>
            <w:tcW w:w="11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100"/>
              <w:jc w:val="right"/>
              <w:rPr>
                <w:rFonts w:ascii="Arial" w:hAnsi="Arial" w:cs="Arial" w:eastAsia="Arial" w:hint="default"/>
                <w:sz w:val="18"/>
                <w:szCs w:val="18"/>
              </w:rPr>
            </w:pPr>
            <w:r>
              <w:rPr>
                <w:rFonts w:ascii="Arial"/>
                <w:w w:val="99"/>
                <w:sz w:val="18"/>
              </w:rPr>
              <w:t>-</w:t>
            </w:r>
            <w:r>
              <w:rPr>
                <w:rFonts w:ascii="Arial"/>
                <w:sz w:val="18"/>
              </w:rPr>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hAnsi="宋体" w:cs="宋体" w:eastAsia="宋体" w:hint="default"/>
                <w:sz w:val="18"/>
                <w:szCs w:val="18"/>
              </w:rPr>
              <w:t>无</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8"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81" w:hRule="exact"/>
        </w:trPr>
        <w:tc>
          <w:tcPr>
            <w:tcW w:w="2422"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70" w:right="0"/>
              <w:jc w:val="left"/>
              <w:rPr>
                <w:rFonts w:ascii="宋体" w:hAnsi="宋体" w:cs="宋体" w:eastAsia="宋体" w:hint="default"/>
                <w:sz w:val="18"/>
                <w:szCs w:val="18"/>
              </w:rPr>
            </w:pPr>
            <w:r>
              <w:rPr>
                <w:rFonts w:ascii="宋体" w:hAnsi="宋体" w:cs="宋体" w:eastAsia="宋体" w:hint="default"/>
                <w:sz w:val="18"/>
                <w:szCs w:val="18"/>
              </w:rPr>
              <w:t>中国建设银行</w:t>
            </w:r>
            <w:r>
              <w:rPr>
                <w:rFonts w:ascii="Arial" w:hAnsi="Arial" w:cs="Arial" w:eastAsia="Arial" w:hint="default"/>
                <w:sz w:val="18"/>
                <w:szCs w:val="18"/>
              </w:rPr>
              <w:t>—</w:t>
            </w:r>
            <w:r>
              <w:rPr>
                <w:rFonts w:ascii="宋体" w:hAnsi="宋体" w:cs="宋体" w:eastAsia="宋体" w:hint="default"/>
                <w:sz w:val="18"/>
                <w:szCs w:val="18"/>
              </w:rPr>
              <w:t>华夏红利混</w:t>
            </w:r>
          </w:p>
          <w:p>
            <w:pPr>
              <w:pStyle w:val="TableParagraph"/>
              <w:spacing w:line="228" w:lineRule="exact"/>
              <w:ind w:left="70" w:right="0"/>
              <w:jc w:val="left"/>
              <w:rPr>
                <w:rFonts w:ascii="宋体" w:hAnsi="宋体" w:cs="宋体" w:eastAsia="宋体" w:hint="default"/>
                <w:sz w:val="18"/>
                <w:szCs w:val="18"/>
              </w:rPr>
            </w:pPr>
            <w:r>
              <w:rPr>
                <w:rFonts w:ascii="宋体" w:hAnsi="宋体" w:cs="宋体" w:eastAsia="宋体" w:hint="default"/>
                <w:sz w:val="18"/>
                <w:szCs w:val="18"/>
              </w:rPr>
              <w:t>合型开放式证券投资基金</w:t>
            </w:r>
          </w:p>
        </w:tc>
        <w:tc>
          <w:tcPr>
            <w:tcW w:w="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hAnsi="宋体" w:cs="宋体" w:eastAsia="宋体" w:hint="default"/>
                <w:sz w:val="18"/>
                <w:szCs w:val="18"/>
              </w:rPr>
              <w:t>其他</w:t>
            </w:r>
          </w:p>
        </w:tc>
        <w:tc>
          <w:tcPr>
            <w:tcW w:w="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left="161" w:right="0"/>
              <w:jc w:val="center"/>
              <w:rPr>
                <w:rFonts w:ascii="Arial" w:hAnsi="Arial" w:cs="Arial" w:eastAsia="Arial" w:hint="default"/>
                <w:sz w:val="18"/>
                <w:szCs w:val="18"/>
              </w:rPr>
            </w:pPr>
            <w:r>
              <w:rPr>
                <w:rFonts w:ascii="Arial"/>
                <w:sz w:val="18"/>
              </w:rPr>
              <w:t>0.56</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99"/>
              <w:jc w:val="right"/>
              <w:rPr>
                <w:rFonts w:ascii="Arial" w:hAnsi="Arial" w:cs="Arial" w:eastAsia="Arial" w:hint="default"/>
                <w:sz w:val="18"/>
                <w:szCs w:val="18"/>
              </w:rPr>
            </w:pPr>
            <w:r>
              <w:rPr>
                <w:rFonts w:ascii="Arial"/>
                <w:spacing w:val="-1"/>
                <w:sz w:val="18"/>
              </w:rPr>
              <w:t>117,676,354</w:t>
            </w:r>
          </w:p>
        </w:tc>
        <w:tc>
          <w:tcPr>
            <w:tcW w:w="11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left="162" w:right="0"/>
              <w:jc w:val="left"/>
              <w:rPr>
                <w:rFonts w:ascii="Arial" w:hAnsi="Arial" w:cs="Arial" w:eastAsia="Arial" w:hint="default"/>
                <w:sz w:val="18"/>
                <w:szCs w:val="18"/>
              </w:rPr>
            </w:pPr>
            <w:r>
              <w:rPr>
                <w:rFonts w:ascii="Arial"/>
                <w:sz w:val="18"/>
              </w:rPr>
              <w:t>82,945,830</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hAnsi="宋体" w:cs="宋体" w:eastAsia="宋体" w:hint="default"/>
                <w:sz w:val="18"/>
                <w:szCs w:val="18"/>
              </w:rPr>
              <w:t>无</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8" w:right="0"/>
              <w:jc w:val="left"/>
              <w:rPr>
                <w:rFonts w:ascii="宋体" w:hAnsi="宋体" w:cs="宋体" w:eastAsia="宋体" w:hint="default"/>
                <w:sz w:val="18"/>
                <w:szCs w:val="18"/>
              </w:rPr>
            </w:pPr>
            <w:r>
              <w:rPr>
                <w:rFonts w:ascii="宋体" w:hAnsi="宋体" w:cs="宋体" w:eastAsia="宋体" w:hint="default"/>
                <w:sz w:val="18"/>
                <w:szCs w:val="18"/>
              </w:rPr>
              <w:t>未知</w:t>
            </w:r>
          </w:p>
        </w:tc>
      </w:tr>
      <w:tr>
        <w:trPr>
          <w:trHeight w:val="482" w:hRule="exact"/>
        </w:trPr>
        <w:tc>
          <w:tcPr>
            <w:tcW w:w="2422"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70" w:right="0"/>
              <w:jc w:val="left"/>
              <w:rPr>
                <w:rFonts w:ascii="宋体" w:hAnsi="宋体" w:cs="宋体" w:eastAsia="宋体" w:hint="default"/>
                <w:sz w:val="18"/>
                <w:szCs w:val="18"/>
              </w:rPr>
            </w:pPr>
            <w:r>
              <w:rPr>
                <w:rFonts w:ascii="宋体" w:hAnsi="宋体" w:cs="宋体" w:eastAsia="宋体" w:hint="default"/>
                <w:sz w:val="18"/>
                <w:szCs w:val="18"/>
              </w:rPr>
              <w:t>交通银行</w:t>
            </w:r>
            <w:r>
              <w:rPr>
                <w:rFonts w:ascii="Arial" w:hAnsi="Arial" w:cs="Arial" w:eastAsia="Arial" w:hint="default"/>
                <w:sz w:val="18"/>
                <w:szCs w:val="18"/>
              </w:rPr>
              <w:t>-</w:t>
            </w:r>
            <w:r>
              <w:rPr>
                <w:rFonts w:ascii="宋体" w:hAnsi="宋体" w:cs="宋体" w:eastAsia="宋体" w:hint="default"/>
                <w:sz w:val="18"/>
                <w:szCs w:val="18"/>
              </w:rPr>
              <w:t>易方达</w:t>
            </w:r>
            <w:r>
              <w:rPr>
                <w:rFonts w:ascii="宋体" w:hAnsi="宋体" w:cs="宋体" w:eastAsia="宋体" w:hint="default"/>
                <w:spacing w:val="-53"/>
                <w:sz w:val="18"/>
                <w:szCs w:val="18"/>
              </w:rPr>
              <w:t> </w:t>
            </w:r>
            <w:r>
              <w:rPr>
                <w:rFonts w:ascii="Arial" w:hAnsi="Arial" w:cs="Arial" w:eastAsia="Arial" w:hint="default"/>
                <w:sz w:val="18"/>
                <w:szCs w:val="18"/>
              </w:rPr>
              <w:t>50</w:t>
            </w:r>
            <w:r>
              <w:rPr>
                <w:rFonts w:ascii="Arial" w:hAnsi="Arial" w:cs="Arial" w:eastAsia="Arial" w:hint="default"/>
                <w:spacing w:val="-14"/>
                <w:sz w:val="18"/>
                <w:szCs w:val="18"/>
              </w:rPr>
              <w:t> </w:t>
            </w:r>
            <w:r>
              <w:rPr>
                <w:rFonts w:ascii="宋体" w:hAnsi="宋体" w:cs="宋体" w:eastAsia="宋体" w:hint="default"/>
                <w:sz w:val="18"/>
                <w:szCs w:val="18"/>
              </w:rPr>
              <w:t>指数证券</w:t>
            </w:r>
          </w:p>
          <w:p>
            <w:pPr>
              <w:pStyle w:val="TableParagraph"/>
              <w:spacing w:line="228" w:lineRule="exact"/>
              <w:ind w:left="70" w:right="0"/>
              <w:jc w:val="left"/>
              <w:rPr>
                <w:rFonts w:ascii="宋体" w:hAnsi="宋体" w:cs="宋体" w:eastAsia="宋体" w:hint="default"/>
                <w:sz w:val="18"/>
                <w:szCs w:val="18"/>
              </w:rPr>
            </w:pPr>
            <w:r>
              <w:rPr>
                <w:rFonts w:ascii="宋体" w:hAnsi="宋体" w:cs="宋体" w:eastAsia="宋体" w:hint="default"/>
                <w:sz w:val="18"/>
                <w:szCs w:val="18"/>
              </w:rPr>
              <w:t>投资基金</w:t>
            </w:r>
          </w:p>
        </w:tc>
        <w:tc>
          <w:tcPr>
            <w:tcW w:w="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hAnsi="宋体" w:cs="宋体" w:eastAsia="宋体" w:hint="default"/>
                <w:sz w:val="18"/>
                <w:szCs w:val="18"/>
              </w:rPr>
              <w:t>其他</w:t>
            </w:r>
          </w:p>
        </w:tc>
        <w:tc>
          <w:tcPr>
            <w:tcW w:w="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61" w:right="0"/>
              <w:jc w:val="center"/>
              <w:rPr>
                <w:rFonts w:ascii="Arial" w:hAnsi="Arial" w:cs="Arial" w:eastAsia="Arial" w:hint="default"/>
                <w:sz w:val="18"/>
                <w:szCs w:val="18"/>
              </w:rPr>
            </w:pPr>
            <w:r>
              <w:rPr>
                <w:rFonts w:ascii="Arial"/>
                <w:sz w:val="18"/>
              </w:rPr>
              <w:t>0.50</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w:hAnsi="Arial" w:cs="Arial" w:eastAsia="Arial" w:hint="default"/>
                <w:sz w:val="18"/>
                <w:szCs w:val="18"/>
              </w:rPr>
            </w:pPr>
            <w:r>
              <w:rPr>
                <w:rFonts w:ascii="Arial"/>
                <w:spacing w:val="-1"/>
                <w:sz w:val="18"/>
              </w:rPr>
              <w:t>105,953,939</w:t>
            </w:r>
          </w:p>
        </w:tc>
        <w:tc>
          <w:tcPr>
            <w:tcW w:w="11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61" w:right="0"/>
              <w:jc w:val="left"/>
              <w:rPr>
                <w:rFonts w:ascii="Arial" w:hAnsi="Arial" w:cs="Arial" w:eastAsia="Arial" w:hint="default"/>
                <w:sz w:val="18"/>
                <w:szCs w:val="18"/>
              </w:rPr>
            </w:pPr>
            <w:r>
              <w:rPr>
                <w:rFonts w:ascii="Arial"/>
                <w:sz w:val="18"/>
              </w:rPr>
              <w:t>58,685,019</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hAnsi="宋体" w:cs="宋体" w:eastAsia="宋体" w:hint="default"/>
                <w:sz w:val="18"/>
                <w:szCs w:val="18"/>
              </w:rPr>
              <w:t>无</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7" w:right="0"/>
              <w:jc w:val="left"/>
              <w:rPr>
                <w:rFonts w:ascii="宋体" w:hAnsi="宋体" w:cs="宋体" w:eastAsia="宋体" w:hint="default"/>
                <w:sz w:val="18"/>
                <w:szCs w:val="18"/>
              </w:rPr>
            </w:pPr>
            <w:r>
              <w:rPr>
                <w:rFonts w:ascii="宋体" w:hAnsi="宋体" w:cs="宋体" w:eastAsia="宋体" w:hint="default"/>
                <w:sz w:val="18"/>
                <w:szCs w:val="18"/>
              </w:rPr>
              <w:t>未知</w:t>
            </w:r>
          </w:p>
        </w:tc>
      </w:tr>
      <w:tr>
        <w:trPr>
          <w:trHeight w:val="715" w:hRule="exact"/>
        </w:trPr>
        <w:tc>
          <w:tcPr>
            <w:tcW w:w="2422"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70" w:right="0"/>
              <w:jc w:val="left"/>
              <w:rPr>
                <w:rFonts w:ascii="宋体" w:hAnsi="宋体" w:cs="宋体" w:eastAsia="宋体" w:hint="default"/>
                <w:sz w:val="18"/>
                <w:szCs w:val="18"/>
              </w:rPr>
            </w:pPr>
            <w:r>
              <w:rPr>
                <w:rFonts w:ascii="宋体" w:hAnsi="宋体" w:cs="宋体" w:eastAsia="宋体" w:hint="default"/>
                <w:sz w:val="18"/>
                <w:szCs w:val="18"/>
              </w:rPr>
              <w:t>中国农业银行</w:t>
            </w:r>
            <w:r>
              <w:rPr>
                <w:rFonts w:ascii="Arial" w:hAnsi="Arial" w:cs="Arial" w:eastAsia="Arial" w:hint="default"/>
                <w:sz w:val="18"/>
                <w:szCs w:val="18"/>
              </w:rPr>
              <w:t>-</w:t>
            </w:r>
            <w:r>
              <w:rPr>
                <w:rFonts w:ascii="宋体" w:hAnsi="宋体" w:cs="宋体" w:eastAsia="宋体" w:hint="default"/>
                <w:sz w:val="18"/>
                <w:szCs w:val="18"/>
              </w:rPr>
              <w:t>富国天瑞强势</w:t>
            </w:r>
          </w:p>
          <w:p>
            <w:pPr>
              <w:pStyle w:val="TableParagraph"/>
              <w:spacing w:line="234" w:lineRule="exact" w:before="15"/>
              <w:ind w:left="70" w:right="174"/>
              <w:jc w:val="left"/>
              <w:rPr>
                <w:rFonts w:ascii="宋体" w:hAnsi="宋体" w:cs="宋体" w:eastAsia="宋体" w:hint="default"/>
                <w:sz w:val="18"/>
                <w:szCs w:val="18"/>
              </w:rPr>
            </w:pPr>
            <w:r>
              <w:rPr>
                <w:rFonts w:ascii="宋体" w:hAnsi="宋体" w:cs="宋体" w:eastAsia="宋体" w:hint="default"/>
                <w:sz w:val="18"/>
                <w:szCs w:val="18"/>
              </w:rPr>
              <w:t>地区精选混合型开放式证券 投资基金</w:t>
            </w:r>
          </w:p>
        </w:tc>
        <w:tc>
          <w:tcPr>
            <w:tcW w:w="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18"/>
                <w:szCs w:val="18"/>
              </w:rPr>
            </w:pPr>
            <w:r>
              <w:rPr>
                <w:rFonts w:ascii="宋体" w:hAnsi="宋体" w:cs="宋体" w:eastAsia="宋体" w:hint="default"/>
                <w:sz w:val="18"/>
                <w:szCs w:val="18"/>
              </w:rPr>
              <w:t>其他</w:t>
            </w:r>
          </w:p>
        </w:tc>
        <w:tc>
          <w:tcPr>
            <w:tcW w:w="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61" w:right="0"/>
              <w:jc w:val="center"/>
              <w:rPr>
                <w:rFonts w:ascii="Arial" w:hAnsi="Arial" w:cs="Arial" w:eastAsia="Arial" w:hint="default"/>
                <w:sz w:val="18"/>
                <w:szCs w:val="18"/>
              </w:rPr>
            </w:pPr>
            <w:r>
              <w:rPr>
                <w:rFonts w:ascii="Arial"/>
                <w:sz w:val="18"/>
              </w:rPr>
              <w:t>0.43</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99"/>
              <w:jc w:val="right"/>
              <w:rPr>
                <w:rFonts w:ascii="Arial" w:hAnsi="Arial" w:cs="Arial" w:eastAsia="Arial" w:hint="default"/>
                <w:sz w:val="18"/>
                <w:szCs w:val="18"/>
              </w:rPr>
            </w:pPr>
            <w:r>
              <w:rPr>
                <w:rFonts w:ascii="Arial"/>
                <w:spacing w:val="-1"/>
                <w:sz w:val="18"/>
              </w:rPr>
              <w:t>90,964,492</w:t>
            </w:r>
          </w:p>
        </w:tc>
        <w:tc>
          <w:tcPr>
            <w:tcW w:w="11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62" w:right="0"/>
              <w:jc w:val="left"/>
              <w:rPr>
                <w:rFonts w:ascii="Arial" w:hAnsi="Arial" w:cs="Arial" w:eastAsia="Arial" w:hint="default"/>
                <w:sz w:val="18"/>
                <w:szCs w:val="18"/>
              </w:rPr>
            </w:pPr>
            <w:r>
              <w:rPr>
                <w:rFonts w:ascii="Arial"/>
                <w:sz w:val="18"/>
              </w:rPr>
              <w:t>70,474,052</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无</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未知</w:t>
            </w:r>
          </w:p>
        </w:tc>
      </w:tr>
      <w:tr>
        <w:trPr>
          <w:trHeight w:val="482" w:hRule="exact"/>
        </w:trPr>
        <w:tc>
          <w:tcPr>
            <w:tcW w:w="2422"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70" w:right="0"/>
              <w:jc w:val="left"/>
              <w:rPr>
                <w:rFonts w:ascii="宋体" w:hAnsi="宋体" w:cs="宋体" w:eastAsia="宋体" w:hint="default"/>
                <w:sz w:val="18"/>
                <w:szCs w:val="18"/>
              </w:rPr>
            </w:pPr>
            <w:r>
              <w:rPr>
                <w:rFonts w:ascii="宋体" w:hAnsi="宋体" w:cs="宋体" w:eastAsia="宋体" w:hint="default"/>
                <w:sz w:val="18"/>
                <w:szCs w:val="18"/>
              </w:rPr>
              <w:t>中国银行</w:t>
            </w:r>
            <w:r>
              <w:rPr>
                <w:rFonts w:ascii="Arial" w:hAnsi="Arial" w:cs="Arial" w:eastAsia="Arial" w:hint="default"/>
                <w:sz w:val="18"/>
                <w:szCs w:val="18"/>
              </w:rPr>
              <w:t>-</w:t>
            </w:r>
            <w:r>
              <w:rPr>
                <w:rFonts w:ascii="宋体" w:hAnsi="宋体" w:cs="宋体" w:eastAsia="宋体" w:hint="default"/>
                <w:sz w:val="18"/>
                <w:szCs w:val="18"/>
              </w:rPr>
              <w:t>嘉实稳健开放式证</w:t>
            </w:r>
          </w:p>
          <w:p>
            <w:pPr>
              <w:pStyle w:val="TableParagraph"/>
              <w:spacing w:line="228" w:lineRule="exact"/>
              <w:ind w:left="70" w:right="0"/>
              <w:jc w:val="left"/>
              <w:rPr>
                <w:rFonts w:ascii="宋体" w:hAnsi="宋体" w:cs="宋体" w:eastAsia="宋体" w:hint="default"/>
                <w:sz w:val="18"/>
                <w:szCs w:val="18"/>
              </w:rPr>
            </w:pPr>
            <w:r>
              <w:rPr>
                <w:rFonts w:ascii="宋体" w:hAnsi="宋体" w:cs="宋体" w:eastAsia="宋体" w:hint="default"/>
                <w:sz w:val="18"/>
                <w:szCs w:val="18"/>
              </w:rPr>
              <w:t>券投资基金</w:t>
            </w:r>
          </w:p>
        </w:tc>
        <w:tc>
          <w:tcPr>
            <w:tcW w:w="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hAnsi="宋体" w:cs="宋体" w:eastAsia="宋体" w:hint="default"/>
                <w:sz w:val="18"/>
                <w:szCs w:val="18"/>
              </w:rPr>
              <w:t>其他</w:t>
            </w:r>
          </w:p>
        </w:tc>
        <w:tc>
          <w:tcPr>
            <w:tcW w:w="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left="161" w:right="0"/>
              <w:jc w:val="center"/>
              <w:rPr>
                <w:rFonts w:ascii="Arial" w:hAnsi="Arial" w:cs="Arial" w:eastAsia="Arial" w:hint="default"/>
                <w:sz w:val="18"/>
                <w:szCs w:val="18"/>
              </w:rPr>
            </w:pPr>
            <w:r>
              <w:rPr>
                <w:rFonts w:ascii="Arial"/>
                <w:sz w:val="18"/>
              </w:rPr>
              <w:t>0.41</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99"/>
              <w:jc w:val="right"/>
              <w:rPr>
                <w:rFonts w:ascii="Arial" w:hAnsi="Arial" w:cs="Arial" w:eastAsia="Arial" w:hint="default"/>
                <w:sz w:val="18"/>
                <w:szCs w:val="18"/>
              </w:rPr>
            </w:pPr>
            <w:r>
              <w:rPr>
                <w:rFonts w:ascii="Arial"/>
                <w:spacing w:val="-1"/>
                <w:sz w:val="18"/>
              </w:rPr>
              <w:t>87,499,927</w:t>
            </w:r>
          </w:p>
        </w:tc>
        <w:tc>
          <w:tcPr>
            <w:tcW w:w="11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left="162" w:right="0"/>
              <w:jc w:val="left"/>
              <w:rPr>
                <w:rFonts w:ascii="Arial" w:hAnsi="Arial" w:cs="Arial" w:eastAsia="Arial" w:hint="default"/>
                <w:sz w:val="18"/>
                <w:szCs w:val="18"/>
              </w:rPr>
            </w:pPr>
            <w:r>
              <w:rPr>
                <w:rFonts w:ascii="Arial"/>
                <w:sz w:val="18"/>
              </w:rPr>
              <w:t>81,539,424</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hAnsi="宋体" w:cs="宋体" w:eastAsia="宋体" w:hint="default"/>
                <w:sz w:val="18"/>
                <w:szCs w:val="18"/>
              </w:rPr>
              <w:t>无</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8" w:right="0"/>
              <w:jc w:val="left"/>
              <w:rPr>
                <w:rFonts w:ascii="宋体" w:hAnsi="宋体" w:cs="宋体" w:eastAsia="宋体" w:hint="default"/>
                <w:sz w:val="18"/>
                <w:szCs w:val="18"/>
              </w:rPr>
            </w:pPr>
            <w:r>
              <w:rPr>
                <w:rFonts w:ascii="宋体" w:hAnsi="宋体" w:cs="宋体" w:eastAsia="宋体" w:hint="default"/>
                <w:sz w:val="18"/>
                <w:szCs w:val="18"/>
              </w:rPr>
              <w:t>未知</w:t>
            </w:r>
          </w:p>
        </w:tc>
      </w:tr>
      <w:tr>
        <w:trPr>
          <w:trHeight w:val="481" w:hRule="exact"/>
        </w:trPr>
        <w:tc>
          <w:tcPr>
            <w:tcW w:w="2422"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70" w:right="0"/>
              <w:jc w:val="left"/>
              <w:rPr>
                <w:rFonts w:ascii="宋体" w:hAnsi="宋体" w:cs="宋体" w:eastAsia="宋体" w:hint="default"/>
                <w:sz w:val="18"/>
                <w:szCs w:val="18"/>
              </w:rPr>
            </w:pPr>
            <w:r>
              <w:rPr>
                <w:rFonts w:ascii="宋体" w:hAnsi="宋体" w:cs="宋体" w:eastAsia="宋体" w:hint="default"/>
                <w:sz w:val="18"/>
                <w:szCs w:val="18"/>
              </w:rPr>
              <w:t>中国工商银行</w:t>
            </w:r>
            <w:r>
              <w:rPr>
                <w:rFonts w:ascii="Arial" w:hAnsi="Arial" w:cs="Arial" w:eastAsia="Arial" w:hint="default"/>
                <w:sz w:val="18"/>
                <w:szCs w:val="18"/>
              </w:rPr>
              <w:t>—</w:t>
            </w:r>
            <w:r>
              <w:rPr>
                <w:rFonts w:ascii="宋体" w:hAnsi="宋体" w:cs="宋体" w:eastAsia="宋体" w:hint="default"/>
                <w:sz w:val="18"/>
                <w:szCs w:val="18"/>
              </w:rPr>
              <w:t>上证</w:t>
            </w:r>
            <w:r>
              <w:rPr>
                <w:rFonts w:ascii="宋体" w:hAnsi="宋体" w:cs="宋体" w:eastAsia="宋体" w:hint="default"/>
                <w:spacing w:val="-47"/>
                <w:sz w:val="18"/>
                <w:szCs w:val="18"/>
              </w:rPr>
              <w:t> </w:t>
            </w:r>
            <w:r>
              <w:rPr>
                <w:rFonts w:ascii="Arial" w:hAnsi="Arial" w:cs="Arial" w:eastAsia="Arial" w:hint="default"/>
                <w:sz w:val="18"/>
                <w:szCs w:val="18"/>
              </w:rPr>
              <w:t>50</w:t>
            </w:r>
            <w:r>
              <w:rPr>
                <w:rFonts w:ascii="Arial" w:hAnsi="Arial" w:cs="Arial" w:eastAsia="Arial" w:hint="default"/>
                <w:spacing w:val="-8"/>
                <w:sz w:val="18"/>
                <w:szCs w:val="18"/>
              </w:rPr>
              <w:t> </w:t>
            </w:r>
            <w:r>
              <w:rPr>
                <w:rFonts w:ascii="宋体" w:hAnsi="宋体" w:cs="宋体" w:eastAsia="宋体" w:hint="default"/>
                <w:sz w:val="18"/>
                <w:szCs w:val="18"/>
              </w:rPr>
              <w:t>交易</w:t>
            </w:r>
          </w:p>
          <w:p>
            <w:pPr>
              <w:pStyle w:val="TableParagraph"/>
              <w:spacing w:line="228" w:lineRule="exact"/>
              <w:ind w:left="70" w:right="0"/>
              <w:jc w:val="left"/>
              <w:rPr>
                <w:rFonts w:ascii="宋体" w:hAnsi="宋体" w:cs="宋体" w:eastAsia="宋体" w:hint="default"/>
                <w:sz w:val="18"/>
                <w:szCs w:val="18"/>
              </w:rPr>
            </w:pPr>
            <w:r>
              <w:rPr>
                <w:rFonts w:ascii="宋体" w:hAnsi="宋体" w:cs="宋体" w:eastAsia="宋体" w:hint="default"/>
                <w:sz w:val="18"/>
                <w:szCs w:val="18"/>
              </w:rPr>
              <w:t>型开放式指数证券投资基金</w:t>
            </w:r>
          </w:p>
        </w:tc>
        <w:tc>
          <w:tcPr>
            <w:tcW w:w="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hAnsi="宋体" w:cs="宋体" w:eastAsia="宋体" w:hint="default"/>
                <w:sz w:val="18"/>
                <w:szCs w:val="18"/>
              </w:rPr>
              <w:t>其他</w:t>
            </w:r>
          </w:p>
        </w:tc>
        <w:tc>
          <w:tcPr>
            <w:tcW w:w="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left="161" w:right="0"/>
              <w:jc w:val="center"/>
              <w:rPr>
                <w:rFonts w:ascii="Arial" w:hAnsi="Arial" w:cs="Arial" w:eastAsia="Arial" w:hint="default"/>
                <w:sz w:val="18"/>
                <w:szCs w:val="18"/>
              </w:rPr>
            </w:pPr>
            <w:r>
              <w:rPr>
                <w:rFonts w:ascii="Arial"/>
                <w:sz w:val="18"/>
              </w:rPr>
              <w:t>0.39</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99"/>
              <w:jc w:val="right"/>
              <w:rPr>
                <w:rFonts w:ascii="Arial" w:hAnsi="Arial" w:cs="Arial" w:eastAsia="Arial" w:hint="default"/>
                <w:sz w:val="18"/>
                <w:szCs w:val="18"/>
              </w:rPr>
            </w:pPr>
            <w:r>
              <w:rPr>
                <w:rFonts w:ascii="Arial"/>
                <w:spacing w:val="-1"/>
                <w:sz w:val="18"/>
              </w:rPr>
              <w:t>81,639,017</w:t>
            </w:r>
          </w:p>
        </w:tc>
        <w:tc>
          <w:tcPr>
            <w:tcW w:w="11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left="102" w:right="0"/>
              <w:jc w:val="left"/>
              <w:rPr>
                <w:rFonts w:ascii="Arial" w:hAnsi="Arial" w:cs="Arial" w:eastAsia="Arial" w:hint="default"/>
                <w:sz w:val="18"/>
                <w:szCs w:val="18"/>
              </w:rPr>
            </w:pPr>
            <w:r>
              <w:rPr>
                <w:rFonts w:ascii="Arial"/>
                <w:sz w:val="18"/>
              </w:rPr>
              <w:t>-37,574,714</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hAnsi="宋体" w:cs="宋体" w:eastAsia="宋体" w:hint="default"/>
                <w:sz w:val="18"/>
                <w:szCs w:val="18"/>
              </w:rPr>
              <w:t>无</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8" w:right="0"/>
              <w:jc w:val="left"/>
              <w:rPr>
                <w:rFonts w:ascii="宋体" w:hAnsi="宋体" w:cs="宋体" w:eastAsia="宋体" w:hint="default"/>
                <w:sz w:val="18"/>
                <w:szCs w:val="18"/>
              </w:rPr>
            </w:pPr>
            <w:r>
              <w:rPr>
                <w:rFonts w:ascii="宋体" w:hAnsi="宋体" w:cs="宋体" w:eastAsia="宋体" w:hint="default"/>
                <w:sz w:val="18"/>
                <w:szCs w:val="18"/>
              </w:rPr>
              <w:t>未知</w:t>
            </w:r>
          </w:p>
        </w:tc>
      </w:tr>
      <w:tr>
        <w:trPr>
          <w:trHeight w:val="482" w:hRule="exact"/>
        </w:trPr>
        <w:tc>
          <w:tcPr>
            <w:tcW w:w="2422"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70" w:right="0"/>
              <w:jc w:val="left"/>
              <w:rPr>
                <w:rFonts w:ascii="宋体" w:hAnsi="宋体" w:cs="宋体" w:eastAsia="宋体" w:hint="default"/>
                <w:sz w:val="18"/>
                <w:szCs w:val="18"/>
              </w:rPr>
            </w:pPr>
            <w:r>
              <w:rPr>
                <w:rFonts w:ascii="宋体" w:hAnsi="宋体" w:cs="宋体" w:eastAsia="宋体" w:hint="default"/>
                <w:sz w:val="18"/>
                <w:szCs w:val="18"/>
              </w:rPr>
              <w:t>中国工商银行</w:t>
            </w:r>
            <w:r>
              <w:rPr>
                <w:rFonts w:ascii="Arial" w:hAnsi="Arial" w:cs="Arial" w:eastAsia="Arial" w:hint="default"/>
                <w:sz w:val="18"/>
                <w:szCs w:val="18"/>
              </w:rPr>
              <w:t>—</w:t>
            </w:r>
            <w:r>
              <w:rPr>
                <w:rFonts w:ascii="宋体" w:hAnsi="宋体" w:cs="宋体" w:eastAsia="宋体" w:hint="default"/>
                <w:sz w:val="18"/>
                <w:szCs w:val="18"/>
              </w:rPr>
              <w:t>南方绩优成</w:t>
            </w:r>
          </w:p>
          <w:p>
            <w:pPr>
              <w:pStyle w:val="TableParagraph"/>
              <w:spacing w:line="228" w:lineRule="exact"/>
              <w:ind w:left="70" w:right="0"/>
              <w:jc w:val="left"/>
              <w:rPr>
                <w:rFonts w:ascii="宋体" w:hAnsi="宋体" w:cs="宋体" w:eastAsia="宋体" w:hint="default"/>
                <w:sz w:val="18"/>
                <w:szCs w:val="18"/>
              </w:rPr>
            </w:pPr>
            <w:r>
              <w:rPr>
                <w:rFonts w:ascii="宋体" w:hAnsi="宋体" w:cs="宋体" w:eastAsia="宋体" w:hint="default"/>
                <w:sz w:val="18"/>
                <w:szCs w:val="18"/>
              </w:rPr>
              <w:t>长股票型证券投资基金</w:t>
            </w:r>
          </w:p>
        </w:tc>
        <w:tc>
          <w:tcPr>
            <w:tcW w:w="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hAnsi="宋体" w:cs="宋体" w:eastAsia="宋体" w:hint="default"/>
                <w:sz w:val="18"/>
                <w:szCs w:val="18"/>
              </w:rPr>
              <w:t>其他</w:t>
            </w:r>
          </w:p>
        </w:tc>
        <w:tc>
          <w:tcPr>
            <w:tcW w:w="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61" w:right="0"/>
              <w:jc w:val="center"/>
              <w:rPr>
                <w:rFonts w:ascii="Arial" w:hAnsi="Arial" w:cs="Arial" w:eastAsia="Arial" w:hint="default"/>
                <w:sz w:val="18"/>
                <w:szCs w:val="18"/>
              </w:rPr>
            </w:pPr>
            <w:r>
              <w:rPr>
                <w:rFonts w:ascii="Arial"/>
                <w:sz w:val="18"/>
              </w:rPr>
              <w:t>0.35</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w:hAnsi="Arial" w:cs="Arial" w:eastAsia="Arial" w:hint="default"/>
                <w:sz w:val="18"/>
                <w:szCs w:val="18"/>
              </w:rPr>
            </w:pPr>
            <w:r>
              <w:rPr>
                <w:rFonts w:ascii="Arial"/>
                <w:spacing w:val="-1"/>
                <w:sz w:val="18"/>
              </w:rPr>
              <w:t>74,384,235</w:t>
            </w:r>
          </w:p>
        </w:tc>
        <w:tc>
          <w:tcPr>
            <w:tcW w:w="11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62" w:right="0"/>
              <w:jc w:val="left"/>
              <w:rPr>
                <w:rFonts w:ascii="Arial" w:hAnsi="Arial" w:cs="Arial" w:eastAsia="Arial" w:hint="default"/>
                <w:sz w:val="18"/>
                <w:szCs w:val="18"/>
              </w:rPr>
            </w:pPr>
            <w:r>
              <w:rPr>
                <w:rFonts w:ascii="Arial"/>
                <w:sz w:val="18"/>
              </w:rPr>
              <w:t>74,384,235</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hAnsi="宋体" w:cs="宋体" w:eastAsia="宋体" w:hint="default"/>
                <w:sz w:val="18"/>
                <w:szCs w:val="18"/>
              </w:rPr>
              <w:t>无</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8" w:right="0"/>
              <w:jc w:val="left"/>
              <w:rPr>
                <w:rFonts w:ascii="宋体" w:hAnsi="宋体" w:cs="宋体" w:eastAsia="宋体" w:hint="default"/>
                <w:sz w:val="18"/>
                <w:szCs w:val="18"/>
              </w:rPr>
            </w:pPr>
            <w:r>
              <w:rPr>
                <w:rFonts w:ascii="宋体" w:hAnsi="宋体" w:cs="宋体" w:eastAsia="宋体" w:hint="default"/>
                <w:sz w:val="18"/>
                <w:szCs w:val="18"/>
              </w:rPr>
              <w:t>未知</w:t>
            </w:r>
          </w:p>
        </w:tc>
      </w:tr>
      <w:tr>
        <w:trPr>
          <w:trHeight w:val="248" w:hRule="exact"/>
        </w:trPr>
        <w:tc>
          <w:tcPr>
            <w:tcW w:w="242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70" w:right="0"/>
              <w:jc w:val="left"/>
              <w:rPr>
                <w:rFonts w:ascii="宋体" w:hAnsi="宋体" w:cs="宋体" w:eastAsia="宋体" w:hint="default"/>
                <w:sz w:val="18"/>
                <w:szCs w:val="18"/>
              </w:rPr>
            </w:pPr>
            <w:r>
              <w:rPr>
                <w:rFonts w:ascii="宋体" w:hAnsi="宋体" w:cs="宋体" w:eastAsia="宋体" w:hint="default"/>
                <w:sz w:val="18"/>
                <w:szCs w:val="18"/>
              </w:rPr>
              <w:t>全国社保基金</w:t>
            </w:r>
            <w:r>
              <w:rPr>
                <w:rFonts w:ascii="Arial" w:hAnsi="Arial" w:cs="Arial" w:eastAsia="Arial" w:hint="default"/>
                <w:sz w:val="18"/>
                <w:szCs w:val="18"/>
              </w:rPr>
              <w:t>—</w:t>
            </w:r>
            <w:r>
              <w:rPr>
                <w:rFonts w:ascii="宋体" w:hAnsi="宋体" w:cs="宋体" w:eastAsia="宋体" w:hint="default"/>
                <w:sz w:val="18"/>
                <w:szCs w:val="18"/>
              </w:rPr>
              <w:t>零六组合</w:t>
            </w:r>
          </w:p>
        </w:tc>
        <w:tc>
          <w:tcPr>
            <w:tcW w:w="911"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00"/>
              <w:jc w:val="right"/>
              <w:rPr>
                <w:rFonts w:ascii="宋体" w:hAnsi="宋体" w:cs="宋体" w:eastAsia="宋体" w:hint="default"/>
                <w:sz w:val="18"/>
                <w:szCs w:val="18"/>
              </w:rPr>
            </w:pPr>
            <w:r>
              <w:rPr>
                <w:rFonts w:ascii="宋体" w:hAnsi="宋体" w:cs="宋体" w:eastAsia="宋体" w:hint="default"/>
                <w:sz w:val="18"/>
                <w:szCs w:val="18"/>
              </w:rPr>
              <w:t>其他</w:t>
            </w:r>
          </w:p>
        </w:tc>
        <w:tc>
          <w:tcPr>
            <w:tcW w:w="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61" w:right="0"/>
              <w:jc w:val="center"/>
              <w:rPr>
                <w:rFonts w:ascii="Arial" w:hAnsi="Arial" w:cs="Arial" w:eastAsia="Arial" w:hint="default"/>
                <w:sz w:val="18"/>
                <w:szCs w:val="18"/>
              </w:rPr>
            </w:pPr>
            <w:r>
              <w:rPr>
                <w:rFonts w:ascii="Arial"/>
                <w:sz w:val="18"/>
              </w:rPr>
              <w:t>0.33</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Arial" w:hAnsi="Arial" w:cs="Arial" w:eastAsia="Arial" w:hint="default"/>
                <w:sz w:val="18"/>
                <w:szCs w:val="18"/>
              </w:rPr>
            </w:pPr>
            <w:r>
              <w:rPr>
                <w:rFonts w:ascii="Arial"/>
                <w:spacing w:val="-1"/>
                <w:sz w:val="18"/>
              </w:rPr>
              <w:t>69,496,165</w:t>
            </w:r>
          </w:p>
        </w:tc>
        <w:tc>
          <w:tcPr>
            <w:tcW w:w="11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162" w:right="0"/>
              <w:jc w:val="left"/>
              <w:rPr>
                <w:rFonts w:ascii="Arial" w:hAnsi="Arial" w:cs="Arial" w:eastAsia="Arial" w:hint="default"/>
                <w:sz w:val="18"/>
                <w:szCs w:val="18"/>
              </w:rPr>
            </w:pPr>
            <w:r>
              <w:rPr>
                <w:rFonts w:ascii="Arial"/>
                <w:sz w:val="18"/>
              </w:rPr>
              <w:t>21,496,314</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98"/>
              <w:jc w:val="right"/>
              <w:rPr>
                <w:rFonts w:ascii="宋体" w:hAnsi="宋体" w:cs="宋体" w:eastAsia="宋体" w:hint="default"/>
                <w:sz w:val="18"/>
                <w:szCs w:val="18"/>
              </w:rPr>
            </w:pPr>
            <w:r>
              <w:rPr>
                <w:rFonts w:ascii="宋体" w:hAnsi="宋体" w:cs="宋体" w:eastAsia="宋体" w:hint="default"/>
                <w:sz w:val="18"/>
                <w:szCs w:val="18"/>
              </w:rPr>
              <w:t>无</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108" w:right="0"/>
              <w:jc w:val="left"/>
              <w:rPr>
                <w:rFonts w:ascii="宋体" w:hAnsi="宋体" w:cs="宋体" w:eastAsia="宋体" w:hint="default"/>
                <w:sz w:val="18"/>
                <w:szCs w:val="18"/>
              </w:rPr>
            </w:pPr>
            <w:r>
              <w:rPr>
                <w:rFonts w:ascii="宋体" w:hAnsi="宋体" w:cs="宋体" w:eastAsia="宋体" w:hint="default"/>
                <w:sz w:val="18"/>
                <w:szCs w:val="18"/>
              </w:rPr>
              <w:t>未知</w:t>
            </w:r>
          </w:p>
        </w:tc>
      </w:tr>
      <w:tr>
        <w:trPr>
          <w:trHeight w:val="481" w:hRule="exact"/>
        </w:trPr>
        <w:tc>
          <w:tcPr>
            <w:tcW w:w="2422"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70" w:right="0"/>
              <w:jc w:val="left"/>
              <w:rPr>
                <w:rFonts w:ascii="宋体" w:hAnsi="宋体" w:cs="宋体" w:eastAsia="宋体" w:hint="default"/>
                <w:sz w:val="18"/>
                <w:szCs w:val="18"/>
              </w:rPr>
            </w:pPr>
            <w:r>
              <w:rPr>
                <w:rFonts w:ascii="宋体" w:hAnsi="宋体" w:cs="宋体" w:eastAsia="宋体" w:hint="default"/>
                <w:sz w:val="18"/>
                <w:szCs w:val="18"/>
              </w:rPr>
              <w:t>交通银行</w:t>
            </w:r>
            <w:r>
              <w:rPr>
                <w:rFonts w:ascii="Arial" w:hAnsi="Arial" w:cs="Arial" w:eastAsia="Arial" w:hint="default"/>
                <w:sz w:val="18"/>
                <w:szCs w:val="18"/>
              </w:rPr>
              <w:t>—</w:t>
            </w:r>
            <w:r>
              <w:rPr>
                <w:rFonts w:ascii="宋体" w:hAnsi="宋体" w:cs="宋体" w:eastAsia="宋体" w:hint="default"/>
                <w:sz w:val="18"/>
                <w:szCs w:val="18"/>
              </w:rPr>
              <w:t>华夏蓝筹核心混</w:t>
            </w:r>
          </w:p>
          <w:p>
            <w:pPr>
              <w:pStyle w:val="TableParagraph"/>
              <w:spacing w:line="228" w:lineRule="exact"/>
              <w:ind w:left="70" w:right="0"/>
              <w:jc w:val="left"/>
              <w:rPr>
                <w:rFonts w:ascii="宋体" w:hAnsi="宋体" w:cs="宋体" w:eastAsia="宋体" w:hint="default"/>
                <w:sz w:val="18"/>
                <w:szCs w:val="18"/>
              </w:rPr>
            </w:pPr>
            <w:r>
              <w:rPr>
                <w:rFonts w:ascii="宋体" w:hAnsi="宋体" w:cs="宋体" w:eastAsia="宋体" w:hint="default"/>
                <w:sz w:val="18"/>
                <w:szCs w:val="18"/>
              </w:rPr>
              <w:t>合型证券投资基金</w:t>
            </w:r>
          </w:p>
        </w:tc>
        <w:tc>
          <w:tcPr>
            <w:tcW w:w="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hAnsi="宋体" w:cs="宋体" w:eastAsia="宋体" w:hint="default"/>
                <w:sz w:val="18"/>
                <w:szCs w:val="18"/>
              </w:rPr>
              <w:t>其他</w:t>
            </w:r>
          </w:p>
        </w:tc>
        <w:tc>
          <w:tcPr>
            <w:tcW w:w="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left="161" w:right="0"/>
              <w:jc w:val="center"/>
              <w:rPr>
                <w:rFonts w:ascii="Arial" w:hAnsi="Arial" w:cs="Arial" w:eastAsia="Arial" w:hint="default"/>
                <w:sz w:val="18"/>
                <w:szCs w:val="18"/>
              </w:rPr>
            </w:pPr>
            <w:r>
              <w:rPr>
                <w:rFonts w:ascii="Arial"/>
                <w:sz w:val="18"/>
              </w:rPr>
              <w:t>0.31</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right="99"/>
              <w:jc w:val="right"/>
              <w:rPr>
                <w:rFonts w:ascii="Arial" w:hAnsi="Arial" w:cs="Arial" w:eastAsia="Arial" w:hint="default"/>
                <w:sz w:val="18"/>
                <w:szCs w:val="18"/>
              </w:rPr>
            </w:pPr>
            <w:r>
              <w:rPr>
                <w:rFonts w:ascii="Arial"/>
                <w:spacing w:val="-1"/>
                <w:sz w:val="18"/>
              </w:rPr>
              <w:t>65,916,541</w:t>
            </w:r>
          </w:p>
        </w:tc>
        <w:tc>
          <w:tcPr>
            <w:tcW w:w="11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28"/>
              <w:ind w:left="162" w:right="0"/>
              <w:jc w:val="left"/>
              <w:rPr>
                <w:rFonts w:ascii="Arial" w:hAnsi="Arial" w:cs="Arial" w:eastAsia="Arial" w:hint="default"/>
                <w:sz w:val="18"/>
                <w:szCs w:val="18"/>
              </w:rPr>
            </w:pPr>
            <w:r>
              <w:rPr>
                <w:rFonts w:ascii="Arial"/>
                <w:sz w:val="18"/>
              </w:rPr>
              <w:t>46,960,660</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hAnsi="宋体" w:cs="宋体" w:eastAsia="宋体" w:hint="default"/>
                <w:sz w:val="18"/>
                <w:szCs w:val="18"/>
              </w:rPr>
              <w:t>无</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8" w:right="0"/>
              <w:jc w:val="left"/>
              <w:rPr>
                <w:rFonts w:ascii="宋体" w:hAnsi="宋体" w:cs="宋体" w:eastAsia="宋体" w:hint="default"/>
                <w:sz w:val="18"/>
                <w:szCs w:val="18"/>
              </w:rPr>
            </w:pPr>
            <w:r>
              <w:rPr>
                <w:rFonts w:ascii="宋体" w:hAnsi="宋体" w:cs="宋体" w:eastAsia="宋体" w:hint="default"/>
                <w:sz w:val="18"/>
                <w:szCs w:val="18"/>
              </w:rPr>
              <w:t>未知</w:t>
            </w:r>
          </w:p>
        </w:tc>
      </w:tr>
      <w:tr>
        <w:trPr>
          <w:trHeight w:val="482" w:hRule="exact"/>
        </w:trPr>
        <w:tc>
          <w:tcPr>
            <w:tcW w:w="2422"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70" w:right="0"/>
              <w:jc w:val="left"/>
              <w:rPr>
                <w:rFonts w:ascii="宋体" w:hAnsi="宋体" w:cs="宋体" w:eastAsia="宋体" w:hint="default"/>
                <w:sz w:val="18"/>
                <w:szCs w:val="18"/>
              </w:rPr>
            </w:pPr>
            <w:r>
              <w:rPr>
                <w:rFonts w:ascii="宋体" w:hAnsi="宋体" w:cs="宋体" w:eastAsia="宋体" w:hint="default"/>
                <w:sz w:val="18"/>
                <w:szCs w:val="18"/>
              </w:rPr>
              <w:t>中国建设银行</w:t>
            </w:r>
            <w:r>
              <w:rPr>
                <w:rFonts w:ascii="Arial" w:hAnsi="Arial" w:cs="Arial" w:eastAsia="Arial" w:hint="default"/>
                <w:sz w:val="18"/>
                <w:szCs w:val="18"/>
              </w:rPr>
              <w:t>—</w:t>
            </w:r>
            <w:r>
              <w:rPr>
                <w:rFonts w:ascii="宋体" w:hAnsi="宋体" w:cs="宋体" w:eastAsia="宋体" w:hint="default"/>
                <w:sz w:val="18"/>
                <w:szCs w:val="18"/>
              </w:rPr>
              <w:t>华夏优势增</w:t>
            </w:r>
          </w:p>
          <w:p>
            <w:pPr>
              <w:pStyle w:val="TableParagraph"/>
              <w:spacing w:line="228" w:lineRule="exact"/>
              <w:ind w:left="70" w:right="0"/>
              <w:jc w:val="left"/>
              <w:rPr>
                <w:rFonts w:ascii="宋体" w:hAnsi="宋体" w:cs="宋体" w:eastAsia="宋体" w:hint="default"/>
                <w:sz w:val="18"/>
                <w:szCs w:val="18"/>
              </w:rPr>
            </w:pPr>
            <w:r>
              <w:rPr>
                <w:rFonts w:ascii="宋体" w:hAnsi="宋体" w:cs="宋体" w:eastAsia="宋体" w:hint="default"/>
                <w:sz w:val="18"/>
                <w:szCs w:val="18"/>
              </w:rPr>
              <w:t>长股票型证券投资基金</w:t>
            </w:r>
          </w:p>
        </w:tc>
        <w:tc>
          <w:tcPr>
            <w:tcW w:w="9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00"/>
              <w:jc w:val="right"/>
              <w:rPr>
                <w:rFonts w:ascii="宋体" w:hAnsi="宋体" w:cs="宋体" w:eastAsia="宋体" w:hint="default"/>
                <w:sz w:val="18"/>
                <w:szCs w:val="18"/>
              </w:rPr>
            </w:pPr>
            <w:r>
              <w:rPr>
                <w:rFonts w:ascii="宋体" w:hAnsi="宋体" w:cs="宋体" w:eastAsia="宋体" w:hint="default"/>
                <w:sz w:val="18"/>
                <w:szCs w:val="18"/>
              </w:rPr>
              <w:t>其他</w:t>
            </w:r>
          </w:p>
        </w:tc>
        <w:tc>
          <w:tcPr>
            <w:tcW w:w="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61" w:right="0"/>
              <w:jc w:val="center"/>
              <w:rPr>
                <w:rFonts w:ascii="Arial" w:hAnsi="Arial" w:cs="Arial" w:eastAsia="Arial" w:hint="default"/>
                <w:sz w:val="18"/>
                <w:szCs w:val="18"/>
              </w:rPr>
            </w:pPr>
            <w:r>
              <w:rPr>
                <w:rFonts w:ascii="Arial"/>
                <w:sz w:val="18"/>
              </w:rPr>
              <w:t>0.30</w:t>
            </w:r>
          </w:p>
        </w:tc>
        <w:tc>
          <w:tcPr>
            <w:tcW w:w="14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99"/>
              <w:jc w:val="right"/>
              <w:rPr>
                <w:rFonts w:ascii="Arial" w:hAnsi="Arial" w:cs="Arial" w:eastAsia="Arial" w:hint="default"/>
                <w:sz w:val="18"/>
                <w:szCs w:val="18"/>
              </w:rPr>
            </w:pPr>
            <w:r>
              <w:rPr>
                <w:rFonts w:ascii="Arial"/>
                <w:spacing w:val="-1"/>
                <w:sz w:val="18"/>
              </w:rPr>
              <w:t>64,328,453</w:t>
            </w:r>
          </w:p>
        </w:tc>
        <w:tc>
          <w:tcPr>
            <w:tcW w:w="117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62" w:right="0"/>
              <w:jc w:val="left"/>
              <w:rPr>
                <w:rFonts w:ascii="Arial" w:hAnsi="Arial" w:cs="Arial" w:eastAsia="Arial" w:hint="default"/>
                <w:sz w:val="18"/>
                <w:szCs w:val="18"/>
              </w:rPr>
            </w:pPr>
            <w:r>
              <w:rPr>
                <w:rFonts w:ascii="Arial"/>
                <w:sz w:val="18"/>
              </w:rPr>
              <w:t>64,328,453</w:t>
            </w:r>
          </w:p>
        </w:tc>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98"/>
              <w:jc w:val="right"/>
              <w:rPr>
                <w:rFonts w:ascii="宋体" w:hAnsi="宋体" w:cs="宋体" w:eastAsia="宋体" w:hint="default"/>
                <w:sz w:val="18"/>
                <w:szCs w:val="18"/>
              </w:rPr>
            </w:pPr>
            <w:r>
              <w:rPr>
                <w:rFonts w:ascii="宋体" w:hAnsi="宋体" w:cs="宋体" w:eastAsia="宋体" w:hint="default"/>
                <w:sz w:val="18"/>
                <w:szCs w:val="18"/>
              </w:rPr>
              <w:t>无</w:t>
            </w:r>
          </w:p>
        </w:tc>
        <w:tc>
          <w:tcPr>
            <w:tcW w:w="12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8" w:right="0"/>
              <w:jc w:val="left"/>
              <w:rPr>
                <w:rFonts w:ascii="宋体" w:hAnsi="宋体" w:cs="宋体" w:eastAsia="宋体" w:hint="default"/>
                <w:sz w:val="18"/>
                <w:szCs w:val="18"/>
              </w:rPr>
            </w:pPr>
            <w:r>
              <w:rPr>
                <w:rFonts w:ascii="宋体" w:hAnsi="宋体" w:cs="宋体" w:eastAsia="宋体" w:hint="default"/>
                <w:sz w:val="18"/>
                <w:szCs w:val="18"/>
              </w:rPr>
              <w:t>未知</w:t>
            </w:r>
          </w:p>
        </w:tc>
      </w:tr>
    </w:tbl>
    <w:p>
      <w:pPr>
        <w:spacing w:after="0" w:line="240" w:lineRule="auto"/>
        <w:jc w:val="left"/>
        <w:rPr>
          <w:rFonts w:ascii="宋体" w:hAnsi="宋体" w:cs="宋体" w:eastAsia="宋体" w:hint="default"/>
          <w:sz w:val="18"/>
          <w:szCs w:val="18"/>
        </w:rPr>
        <w:sectPr>
          <w:type w:val="continuous"/>
          <w:pgSz w:w="11910" w:h="16840"/>
          <w:pgMar w:top="1600" w:bottom="280" w:left="1080" w:right="114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tbl>
      <w:tblPr>
        <w:tblW w:w="0" w:type="auto"/>
        <w:jc w:val="left"/>
        <w:tblInd w:w="520" w:type="dxa"/>
        <w:tblLayout w:type="fixed"/>
        <w:tblCellMar>
          <w:top w:w="0" w:type="dxa"/>
          <w:left w:w="0" w:type="dxa"/>
          <w:bottom w:w="0" w:type="dxa"/>
          <w:right w:w="0" w:type="dxa"/>
        </w:tblCellMar>
        <w:tblLook w:val="01E0"/>
      </w:tblPr>
      <w:tblGrid>
        <w:gridCol w:w="4046"/>
        <w:gridCol w:w="1771"/>
        <w:gridCol w:w="3096"/>
      </w:tblGrid>
      <w:tr>
        <w:trPr>
          <w:trHeight w:val="301" w:hRule="exact"/>
        </w:trPr>
        <w:tc>
          <w:tcPr>
            <w:tcW w:w="8914" w:type="dxa"/>
            <w:gridSpan w:val="3"/>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2910" w:right="0"/>
              <w:jc w:val="left"/>
              <w:rPr>
                <w:rFonts w:ascii="宋体" w:hAnsi="宋体" w:cs="宋体" w:eastAsia="宋体" w:hint="default"/>
                <w:sz w:val="22"/>
                <w:szCs w:val="22"/>
              </w:rPr>
            </w:pPr>
            <w:r>
              <w:rPr>
                <w:rFonts w:ascii="宋体" w:hAnsi="宋体" w:cs="宋体" w:eastAsia="宋体" w:hint="default"/>
                <w:sz w:val="22"/>
                <w:szCs w:val="22"/>
              </w:rPr>
              <w:t>前十名无限售条件股东持股情况</w:t>
            </w:r>
          </w:p>
        </w:tc>
      </w:tr>
      <w:tr>
        <w:trPr>
          <w:trHeight w:val="586" w:hRule="exact"/>
        </w:trPr>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center"/>
              <w:rPr>
                <w:rFonts w:ascii="宋体" w:hAnsi="宋体" w:cs="宋体" w:eastAsia="宋体" w:hint="default"/>
                <w:sz w:val="22"/>
                <w:szCs w:val="22"/>
              </w:rPr>
            </w:pPr>
            <w:r>
              <w:rPr>
                <w:rFonts w:ascii="宋体" w:hAnsi="宋体" w:cs="宋体" w:eastAsia="宋体" w:hint="default"/>
                <w:sz w:val="22"/>
                <w:szCs w:val="22"/>
              </w:rPr>
              <w:t>股东名称</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51" w:lineRule="exact"/>
              <w:ind w:right="1"/>
              <w:jc w:val="center"/>
              <w:rPr>
                <w:rFonts w:ascii="宋体" w:hAnsi="宋体" w:cs="宋体" w:eastAsia="宋体" w:hint="default"/>
                <w:sz w:val="22"/>
                <w:szCs w:val="22"/>
              </w:rPr>
            </w:pPr>
            <w:r>
              <w:rPr>
                <w:rFonts w:ascii="宋体" w:hAnsi="宋体" w:cs="宋体" w:eastAsia="宋体" w:hint="default"/>
                <w:sz w:val="22"/>
                <w:szCs w:val="22"/>
              </w:rPr>
              <w:t>持有无限售条件</w:t>
            </w:r>
          </w:p>
          <w:p>
            <w:pPr>
              <w:pStyle w:val="TableParagraph"/>
              <w:spacing w:line="286" w:lineRule="exact"/>
              <w:ind w:right="0"/>
              <w:jc w:val="center"/>
              <w:rPr>
                <w:rFonts w:ascii="宋体" w:hAnsi="宋体" w:cs="宋体" w:eastAsia="宋体" w:hint="default"/>
                <w:sz w:val="22"/>
                <w:szCs w:val="22"/>
              </w:rPr>
            </w:pPr>
            <w:r>
              <w:rPr>
                <w:rFonts w:ascii="宋体" w:hAnsi="宋体" w:cs="宋体" w:eastAsia="宋体" w:hint="default"/>
                <w:sz w:val="22"/>
                <w:szCs w:val="22"/>
              </w:rPr>
              <w:t>股份的数量</w:t>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770" w:right="0"/>
              <w:jc w:val="left"/>
              <w:rPr>
                <w:rFonts w:ascii="宋体" w:hAnsi="宋体" w:cs="宋体" w:eastAsia="宋体" w:hint="default"/>
                <w:sz w:val="22"/>
                <w:szCs w:val="22"/>
              </w:rPr>
            </w:pPr>
            <w:r>
              <w:rPr>
                <w:rFonts w:ascii="宋体" w:hAnsi="宋体" w:cs="宋体" w:eastAsia="宋体" w:hint="default"/>
                <w:sz w:val="22"/>
                <w:szCs w:val="22"/>
              </w:rPr>
              <w:t>股份种类及数量</w:t>
            </w:r>
          </w:p>
        </w:tc>
      </w:tr>
      <w:tr>
        <w:trPr>
          <w:trHeight w:val="300" w:hRule="exact"/>
        </w:trPr>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04" w:right="0"/>
              <w:jc w:val="left"/>
              <w:rPr>
                <w:rFonts w:ascii="宋体" w:hAnsi="宋体" w:cs="宋体" w:eastAsia="宋体" w:hint="default"/>
                <w:sz w:val="22"/>
                <w:szCs w:val="22"/>
              </w:rPr>
            </w:pPr>
            <w:r>
              <w:rPr>
                <w:rFonts w:ascii="宋体" w:hAnsi="宋体" w:cs="宋体" w:eastAsia="宋体" w:hint="default"/>
                <w:sz w:val="22"/>
                <w:szCs w:val="22"/>
              </w:rPr>
              <w:t>中国联合网络通信集团有限公司</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Arial" w:hAnsi="Arial" w:cs="Arial" w:eastAsia="Arial" w:hint="default"/>
                <w:sz w:val="22"/>
                <w:szCs w:val="22"/>
              </w:rPr>
            </w:pPr>
            <w:r>
              <w:rPr>
                <w:rFonts w:ascii="Arial"/>
                <w:spacing w:val="-1"/>
                <w:sz w:val="22"/>
              </w:rPr>
              <w:t>12,939,746,152</w:t>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08" w:right="0"/>
              <w:jc w:val="left"/>
              <w:rPr>
                <w:rFonts w:ascii="宋体" w:hAnsi="宋体" w:cs="宋体" w:eastAsia="宋体" w:hint="default"/>
                <w:sz w:val="22"/>
                <w:szCs w:val="22"/>
              </w:rPr>
            </w:pPr>
            <w:r>
              <w:rPr>
                <w:rFonts w:ascii="宋体" w:hAnsi="宋体" w:cs="宋体" w:eastAsia="宋体" w:hint="default"/>
                <w:sz w:val="22"/>
                <w:szCs w:val="22"/>
              </w:rPr>
              <w:t>人民币普通股</w:t>
            </w:r>
          </w:p>
        </w:tc>
      </w:tr>
      <w:tr>
        <w:trPr>
          <w:trHeight w:val="586" w:hRule="exact"/>
        </w:trPr>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4" w:right="0"/>
              <w:jc w:val="left"/>
              <w:rPr>
                <w:rFonts w:ascii="宋体" w:hAnsi="宋体" w:cs="宋体" w:eastAsia="宋体" w:hint="default"/>
                <w:sz w:val="22"/>
                <w:szCs w:val="22"/>
              </w:rPr>
            </w:pPr>
            <w:r>
              <w:rPr>
                <w:rFonts w:ascii="宋体" w:hAnsi="宋体" w:cs="宋体" w:eastAsia="宋体" w:hint="default"/>
                <w:sz w:val="22"/>
                <w:szCs w:val="22"/>
              </w:rPr>
              <w:t>中国建设银行</w:t>
            </w:r>
            <w:r>
              <w:rPr>
                <w:rFonts w:ascii="Times New Roman" w:hAnsi="Times New Roman" w:cs="Times New Roman" w:eastAsia="Times New Roman" w:hint="default"/>
                <w:sz w:val="22"/>
                <w:szCs w:val="22"/>
              </w:rPr>
              <w:t>—</w:t>
            </w:r>
            <w:r>
              <w:rPr>
                <w:rFonts w:ascii="宋体" w:hAnsi="宋体" w:cs="宋体" w:eastAsia="宋体" w:hint="default"/>
                <w:sz w:val="22"/>
                <w:szCs w:val="22"/>
              </w:rPr>
              <w:t>华夏红利混合型开放式</w:t>
            </w:r>
          </w:p>
          <w:p>
            <w:pPr>
              <w:pStyle w:val="TableParagraph"/>
              <w:spacing w:line="278" w:lineRule="exact"/>
              <w:ind w:left="104" w:right="0"/>
              <w:jc w:val="left"/>
              <w:rPr>
                <w:rFonts w:ascii="宋体" w:hAnsi="宋体" w:cs="宋体" w:eastAsia="宋体" w:hint="default"/>
                <w:sz w:val="22"/>
                <w:szCs w:val="22"/>
              </w:rPr>
            </w:pPr>
            <w:r>
              <w:rPr>
                <w:rFonts w:ascii="宋体" w:hAnsi="宋体" w:cs="宋体" w:eastAsia="宋体" w:hint="default"/>
                <w:sz w:val="22"/>
                <w:szCs w:val="22"/>
              </w:rPr>
              <w:t>证券投资基金</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7"/>
              <w:ind w:right="96"/>
              <w:jc w:val="right"/>
              <w:rPr>
                <w:rFonts w:ascii="Arial" w:hAnsi="Arial" w:cs="Arial" w:eastAsia="Arial" w:hint="default"/>
                <w:sz w:val="22"/>
                <w:szCs w:val="22"/>
              </w:rPr>
            </w:pPr>
            <w:r>
              <w:rPr>
                <w:rFonts w:ascii="Arial"/>
                <w:w w:val="95"/>
                <w:sz w:val="22"/>
              </w:rPr>
              <w:t>117,676,354</w:t>
            </w:r>
            <w:r>
              <w:rPr>
                <w:rFonts w:ascii="Arial"/>
                <w:sz w:val="22"/>
              </w:rPr>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7" w:right="0"/>
              <w:jc w:val="left"/>
              <w:rPr>
                <w:rFonts w:ascii="宋体" w:hAnsi="宋体" w:cs="宋体" w:eastAsia="宋体" w:hint="default"/>
                <w:sz w:val="22"/>
                <w:szCs w:val="22"/>
              </w:rPr>
            </w:pPr>
            <w:r>
              <w:rPr>
                <w:rFonts w:ascii="宋体" w:hAnsi="宋体" w:cs="宋体" w:eastAsia="宋体" w:hint="default"/>
                <w:sz w:val="22"/>
                <w:szCs w:val="22"/>
              </w:rPr>
              <w:t>人民币普通股</w:t>
            </w:r>
          </w:p>
        </w:tc>
      </w:tr>
      <w:tr>
        <w:trPr>
          <w:trHeight w:val="300" w:hRule="exact"/>
        </w:trPr>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69" w:lineRule="exact"/>
              <w:ind w:left="104" w:right="0"/>
              <w:jc w:val="left"/>
              <w:rPr>
                <w:rFonts w:ascii="宋体" w:hAnsi="宋体" w:cs="宋体" w:eastAsia="宋体" w:hint="default"/>
                <w:sz w:val="22"/>
                <w:szCs w:val="22"/>
              </w:rPr>
            </w:pPr>
            <w:r>
              <w:rPr>
                <w:rFonts w:ascii="宋体" w:hAnsi="宋体" w:cs="宋体" w:eastAsia="宋体" w:hint="default"/>
                <w:sz w:val="22"/>
                <w:szCs w:val="22"/>
              </w:rPr>
              <w:t>交通银行</w:t>
            </w:r>
            <w:r>
              <w:rPr>
                <w:rFonts w:ascii="Arial" w:hAnsi="Arial" w:cs="Arial" w:eastAsia="Arial" w:hint="default"/>
                <w:sz w:val="22"/>
                <w:szCs w:val="22"/>
              </w:rPr>
              <w:t>-</w:t>
            </w:r>
            <w:r>
              <w:rPr>
                <w:rFonts w:ascii="宋体" w:hAnsi="宋体" w:cs="宋体" w:eastAsia="宋体" w:hint="default"/>
                <w:sz w:val="22"/>
                <w:szCs w:val="22"/>
              </w:rPr>
              <w:t>易方达</w:t>
            </w:r>
            <w:r>
              <w:rPr>
                <w:rFonts w:ascii="宋体" w:hAnsi="宋体" w:cs="宋体" w:eastAsia="宋体" w:hint="default"/>
                <w:spacing w:val="-59"/>
                <w:sz w:val="22"/>
                <w:szCs w:val="22"/>
              </w:rPr>
              <w:t> </w:t>
            </w:r>
            <w:r>
              <w:rPr>
                <w:rFonts w:ascii="Arial" w:hAnsi="Arial" w:cs="Arial" w:eastAsia="Arial" w:hint="default"/>
                <w:sz w:val="22"/>
                <w:szCs w:val="22"/>
              </w:rPr>
              <w:t>50</w:t>
            </w:r>
            <w:r>
              <w:rPr>
                <w:rFonts w:ascii="Arial" w:hAnsi="Arial" w:cs="Arial" w:eastAsia="Arial" w:hint="default"/>
                <w:spacing w:val="-10"/>
                <w:sz w:val="22"/>
                <w:szCs w:val="22"/>
              </w:rPr>
              <w:t> </w:t>
            </w:r>
            <w:r>
              <w:rPr>
                <w:rFonts w:ascii="宋体" w:hAnsi="宋体" w:cs="宋体" w:eastAsia="宋体" w:hint="default"/>
                <w:sz w:val="22"/>
                <w:szCs w:val="22"/>
              </w:rPr>
              <w:t>指数证券投资基金</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Arial" w:hAnsi="Arial" w:cs="Arial" w:eastAsia="Arial" w:hint="default"/>
                <w:sz w:val="22"/>
                <w:szCs w:val="22"/>
              </w:rPr>
            </w:pPr>
            <w:r>
              <w:rPr>
                <w:rFonts w:ascii="Arial"/>
                <w:w w:val="95"/>
                <w:sz w:val="22"/>
              </w:rPr>
              <w:t>105,953,939</w:t>
            </w:r>
            <w:r>
              <w:rPr>
                <w:rFonts w:ascii="Arial"/>
                <w:sz w:val="22"/>
              </w:rPr>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07" w:right="0"/>
              <w:jc w:val="left"/>
              <w:rPr>
                <w:rFonts w:ascii="宋体" w:hAnsi="宋体" w:cs="宋体" w:eastAsia="宋体" w:hint="default"/>
                <w:sz w:val="22"/>
                <w:szCs w:val="22"/>
              </w:rPr>
            </w:pPr>
            <w:r>
              <w:rPr>
                <w:rFonts w:ascii="宋体" w:hAnsi="宋体" w:cs="宋体" w:eastAsia="宋体" w:hint="default"/>
                <w:sz w:val="22"/>
                <w:szCs w:val="22"/>
              </w:rPr>
              <w:t>人民币普通股</w:t>
            </w:r>
          </w:p>
        </w:tc>
      </w:tr>
      <w:tr>
        <w:trPr>
          <w:trHeight w:val="586" w:hRule="exact"/>
        </w:trPr>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4" w:right="0"/>
              <w:jc w:val="left"/>
              <w:rPr>
                <w:rFonts w:ascii="宋体" w:hAnsi="宋体" w:cs="宋体" w:eastAsia="宋体" w:hint="default"/>
                <w:sz w:val="22"/>
                <w:szCs w:val="22"/>
              </w:rPr>
            </w:pPr>
            <w:r>
              <w:rPr>
                <w:rFonts w:ascii="宋体" w:hAnsi="宋体" w:cs="宋体" w:eastAsia="宋体" w:hint="default"/>
                <w:sz w:val="22"/>
                <w:szCs w:val="22"/>
              </w:rPr>
              <w:t>中国农业银行</w:t>
            </w:r>
            <w:r>
              <w:rPr>
                <w:rFonts w:ascii="Arial" w:hAnsi="Arial" w:cs="Arial" w:eastAsia="Arial" w:hint="default"/>
                <w:sz w:val="22"/>
                <w:szCs w:val="22"/>
              </w:rPr>
              <w:t>-</w:t>
            </w:r>
            <w:r>
              <w:rPr>
                <w:rFonts w:ascii="宋体" w:hAnsi="宋体" w:cs="宋体" w:eastAsia="宋体" w:hint="default"/>
                <w:sz w:val="22"/>
                <w:szCs w:val="22"/>
              </w:rPr>
              <w:t>富国天瑞强势地区精选混</w:t>
            </w:r>
          </w:p>
          <w:p>
            <w:pPr>
              <w:pStyle w:val="TableParagraph"/>
              <w:spacing w:line="279" w:lineRule="exact"/>
              <w:ind w:left="104" w:right="0"/>
              <w:jc w:val="left"/>
              <w:rPr>
                <w:rFonts w:ascii="宋体" w:hAnsi="宋体" w:cs="宋体" w:eastAsia="宋体" w:hint="default"/>
                <w:sz w:val="22"/>
                <w:szCs w:val="22"/>
              </w:rPr>
            </w:pPr>
            <w:r>
              <w:rPr>
                <w:rFonts w:ascii="宋体" w:hAnsi="宋体" w:cs="宋体" w:eastAsia="宋体" w:hint="default"/>
                <w:sz w:val="22"/>
                <w:szCs w:val="22"/>
              </w:rPr>
              <w:t>合型开放式证券投资基金</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7"/>
              <w:ind w:right="97"/>
              <w:jc w:val="right"/>
              <w:rPr>
                <w:rFonts w:ascii="Arial" w:hAnsi="Arial" w:cs="Arial" w:eastAsia="Arial" w:hint="default"/>
                <w:sz w:val="22"/>
                <w:szCs w:val="22"/>
              </w:rPr>
            </w:pPr>
            <w:r>
              <w:rPr>
                <w:rFonts w:ascii="Arial"/>
                <w:w w:val="95"/>
                <w:sz w:val="22"/>
              </w:rPr>
              <w:t>90,964,492</w:t>
            </w:r>
            <w:r>
              <w:rPr>
                <w:rFonts w:ascii="Arial"/>
                <w:sz w:val="22"/>
              </w:rPr>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7" w:right="0"/>
              <w:jc w:val="left"/>
              <w:rPr>
                <w:rFonts w:ascii="宋体" w:hAnsi="宋体" w:cs="宋体" w:eastAsia="宋体" w:hint="default"/>
                <w:sz w:val="22"/>
                <w:szCs w:val="22"/>
              </w:rPr>
            </w:pPr>
            <w:r>
              <w:rPr>
                <w:rFonts w:ascii="宋体" w:hAnsi="宋体" w:cs="宋体" w:eastAsia="宋体" w:hint="default"/>
                <w:sz w:val="22"/>
                <w:szCs w:val="22"/>
              </w:rPr>
              <w:t>人民币普通股</w:t>
            </w:r>
          </w:p>
        </w:tc>
      </w:tr>
      <w:tr>
        <w:trPr>
          <w:trHeight w:val="300" w:hRule="exact"/>
        </w:trPr>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69" w:lineRule="exact"/>
              <w:ind w:left="104" w:right="0"/>
              <w:jc w:val="left"/>
              <w:rPr>
                <w:rFonts w:ascii="宋体" w:hAnsi="宋体" w:cs="宋体" w:eastAsia="宋体" w:hint="default"/>
                <w:sz w:val="22"/>
                <w:szCs w:val="22"/>
              </w:rPr>
            </w:pPr>
            <w:r>
              <w:rPr>
                <w:rFonts w:ascii="宋体" w:hAnsi="宋体" w:cs="宋体" w:eastAsia="宋体" w:hint="default"/>
                <w:sz w:val="22"/>
                <w:szCs w:val="22"/>
              </w:rPr>
              <w:t>中国银行</w:t>
            </w:r>
            <w:r>
              <w:rPr>
                <w:rFonts w:ascii="Arial" w:hAnsi="Arial" w:cs="Arial" w:eastAsia="Arial" w:hint="default"/>
                <w:sz w:val="22"/>
                <w:szCs w:val="22"/>
              </w:rPr>
              <w:t>-</w:t>
            </w:r>
            <w:r>
              <w:rPr>
                <w:rFonts w:ascii="宋体" w:hAnsi="宋体" w:cs="宋体" w:eastAsia="宋体" w:hint="default"/>
                <w:sz w:val="22"/>
                <w:szCs w:val="22"/>
              </w:rPr>
              <w:t>嘉实稳健开放式证券投资基金</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Arial" w:hAnsi="Arial" w:cs="Arial" w:eastAsia="Arial" w:hint="default"/>
                <w:sz w:val="22"/>
                <w:szCs w:val="22"/>
              </w:rPr>
            </w:pPr>
            <w:r>
              <w:rPr>
                <w:rFonts w:ascii="Arial"/>
                <w:w w:val="95"/>
                <w:sz w:val="22"/>
              </w:rPr>
              <w:t>87,499,927</w:t>
            </w:r>
            <w:r>
              <w:rPr>
                <w:rFonts w:ascii="Arial"/>
                <w:sz w:val="22"/>
              </w:rPr>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07" w:right="0"/>
              <w:jc w:val="left"/>
              <w:rPr>
                <w:rFonts w:ascii="宋体" w:hAnsi="宋体" w:cs="宋体" w:eastAsia="宋体" w:hint="default"/>
                <w:sz w:val="22"/>
                <w:szCs w:val="22"/>
              </w:rPr>
            </w:pPr>
            <w:r>
              <w:rPr>
                <w:rFonts w:ascii="宋体" w:hAnsi="宋体" w:cs="宋体" w:eastAsia="宋体" w:hint="default"/>
                <w:sz w:val="22"/>
                <w:szCs w:val="22"/>
              </w:rPr>
              <w:t>人民币普通股</w:t>
            </w:r>
          </w:p>
        </w:tc>
      </w:tr>
      <w:tr>
        <w:trPr>
          <w:trHeight w:val="587" w:hRule="exact"/>
        </w:trPr>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4" w:right="0"/>
              <w:jc w:val="left"/>
              <w:rPr>
                <w:rFonts w:ascii="宋体" w:hAnsi="宋体" w:cs="宋体" w:eastAsia="宋体" w:hint="default"/>
                <w:sz w:val="22"/>
                <w:szCs w:val="22"/>
              </w:rPr>
            </w:pPr>
            <w:r>
              <w:rPr>
                <w:rFonts w:ascii="宋体" w:hAnsi="宋体" w:cs="宋体" w:eastAsia="宋体" w:hint="default"/>
                <w:sz w:val="22"/>
                <w:szCs w:val="22"/>
              </w:rPr>
              <w:t>中国工商银行</w:t>
            </w:r>
            <w:r>
              <w:rPr>
                <w:rFonts w:ascii="Times New Roman" w:hAnsi="Times New Roman" w:cs="Times New Roman" w:eastAsia="Times New Roman" w:hint="default"/>
                <w:sz w:val="22"/>
                <w:szCs w:val="22"/>
              </w:rPr>
              <w:t>—</w:t>
            </w:r>
            <w:r>
              <w:rPr>
                <w:rFonts w:ascii="宋体" w:hAnsi="宋体" w:cs="宋体" w:eastAsia="宋体" w:hint="default"/>
                <w:sz w:val="22"/>
                <w:szCs w:val="22"/>
              </w:rPr>
              <w:t>上证</w:t>
            </w:r>
            <w:r>
              <w:rPr>
                <w:rFonts w:ascii="宋体" w:hAnsi="宋体" w:cs="宋体" w:eastAsia="宋体" w:hint="default"/>
                <w:spacing w:val="-81"/>
                <w:sz w:val="22"/>
                <w:szCs w:val="22"/>
              </w:rPr>
              <w:t> </w:t>
            </w:r>
            <w:r>
              <w:rPr>
                <w:rFonts w:ascii="Arial" w:hAnsi="Arial" w:cs="Arial" w:eastAsia="Arial" w:hint="default"/>
                <w:sz w:val="22"/>
                <w:szCs w:val="22"/>
              </w:rPr>
              <w:t>50</w:t>
            </w:r>
            <w:r>
              <w:rPr>
                <w:rFonts w:ascii="Arial" w:hAnsi="Arial" w:cs="Arial" w:eastAsia="Arial" w:hint="default"/>
                <w:spacing w:val="-32"/>
                <w:sz w:val="22"/>
                <w:szCs w:val="22"/>
              </w:rPr>
              <w:t> </w:t>
            </w:r>
            <w:r>
              <w:rPr>
                <w:rFonts w:ascii="宋体" w:hAnsi="宋体" w:cs="宋体" w:eastAsia="宋体" w:hint="default"/>
                <w:sz w:val="22"/>
                <w:szCs w:val="22"/>
              </w:rPr>
              <w:t>交易型开放式指</w:t>
            </w:r>
          </w:p>
          <w:p>
            <w:pPr>
              <w:pStyle w:val="TableParagraph"/>
              <w:spacing w:line="278" w:lineRule="exact"/>
              <w:ind w:left="104" w:right="0"/>
              <w:jc w:val="left"/>
              <w:rPr>
                <w:rFonts w:ascii="宋体" w:hAnsi="宋体" w:cs="宋体" w:eastAsia="宋体" w:hint="default"/>
                <w:sz w:val="22"/>
                <w:szCs w:val="22"/>
              </w:rPr>
            </w:pPr>
            <w:r>
              <w:rPr>
                <w:rFonts w:ascii="宋体" w:hAnsi="宋体" w:cs="宋体" w:eastAsia="宋体" w:hint="default"/>
                <w:sz w:val="22"/>
                <w:szCs w:val="22"/>
              </w:rPr>
              <w:t>数证券投资基金</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7"/>
              <w:ind w:right="97"/>
              <w:jc w:val="right"/>
              <w:rPr>
                <w:rFonts w:ascii="Arial" w:hAnsi="Arial" w:cs="Arial" w:eastAsia="Arial" w:hint="default"/>
                <w:sz w:val="22"/>
                <w:szCs w:val="22"/>
              </w:rPr>
            </w:pPr>
            <w:r>
              <w:rPr>
                <w:rFonts w:ascii="Arial"/>
                <w:w w:val="95"/>
                <w:sz w:val="22"/>
              </w:rPr>
              <w:t>81,639,017</w:t>
            </w:r>
            <w:r>
              <w:rPr>
                <w:rFonts w:ascii="Arial"/>
                <w:sz w:val="22"/>
              </w:rPr>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7" w:right="0"/>
              <w:jc w:val="left"/>
              <w:rPr>
                <w:rFonts w:ascii="宋体" w:hAnsi="宋体" w:cs="宋体" w:eastAsia="宋体" w:hint="default"/>
                <w:sz w:val="22"/>
                <w:szCs w:val="22"/>
              </w:rPr>
            </w:pPr>
            <w:r>
              <w:rPr>
                <w:rFonts w:ascii="宋体" w:hAnsi="宋体" w:cs="宋体" w:eastAsia="宋体" w:hint="default"/>
                <w:sz w:val="22"/>
                <w:szCs w:val="22"/>
              </w:rPr>
              <w:t>人民币普通股</w:t>
            </w:r>
          </w:p>
        </w:tc>
      </w:tr>
      <w:tr>
        <w:trPr>
          <w:trHeight w:val="586" w:hRule="exact"/>
        </w:trPr>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4" w:right="0"/>
              <w:jc w:val="left"/>
              <w:rPr>
                <w:rFonts w:ascii="宋体" w:hAnsi="宋体" w:cs="宋体" w:eastAsia="宋体" w:hint="default"/>
                <w:sz w:val="22"/>
                <w:szCs w:val="22"/>
              </w:rPr>
            </w:pPr>
            <w:r>
              <w:rPr>
                <w:rFonts w:ascii="宋体" w:hAnsi="宋体" w:cs="宋体" w:eastAsia="宋体" w:hint="default"/>
                <w:sz w:val="22"/>
                <w:szCs w:val="22"/>
              </w:rPr>
              <w:t>中国工商银行</w:t>
            </w:r>
            <w:r>
              <w:rPr>
                <w:rFonts w:ascii="Times New Roman" w:hAnsi="Times New Roman" w:cs="Times New Roman" w:eastAsia="Times New Roman" w:hint="default"/>
                <w:sz w:val="22"/>
                <w:szCs w:val="22"/>
              </w:rPr>
              <w:t>—</w:t>
            </w:r>
            <w:r>
              <w:rPr>
                <w:rFonts w:ascii="宋体" w:hAnsi="宋体" w:cs="宋体" w:eastAsia="宋体" w:hint="default"/>
                <w:sz w:val="22"/>
                <w:szCs w:val="22"/>
              </w:rPr>
              <w:t>南方绩优成长股票型证</w:t>
            </w:r>
          </w:p>
          <w:p>
            <w:pPr>
              <w:pStyle w:val="TableParagraph"/>
              <w:spacing w:line="278" w:lineRule="exact"/>
              <w:ind w:left="104" w:right="0"/>
              <w:jc w:val="left"/>
              <w:rPr>
                <w:rFonts w:ascii="宋体" w:hAnsi="宋体" w:cs="宋体" w:eastAsia="宋体" w:hint="default"/>
                <w:sz w:val="22"/>
                <w:szCs w:val="22"/>
              </w:rPr>
            </w:pPr>
            <w:r>
              <w:rPr>
                <w:rFonts w:ascii="宋体" w:hAnsi="宋体" w:cs="宋体" w:eastAsia="宋体" w:hint="default"/>
                <w:sz w:val="22"/>
                <w:szCs w:val="22"/>
              </w:rPr>
              <w:t>券投资基金</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7"/>
              <w:ind w:right="97"/>
              <w:jc w:val="right"/>
              <w:rPr>
                <w:rFonts w:ascii="Arial" w:hAnsi="Arial" w:cs="Arial" w:eastAsia="Arial" w:hint="default"/>
                <w:sz w:val="22"/>
                <w:szCs w:val="22"/>
              </w:rPr>
            </w:pPr>
            <w:r>
              <w:rPr>
                <w:rFonts w:ascii="Arial"/>
                <w:w w:val="95"/>
                <w:sz w:val="22"/>
              </w:rPr>
              <w:t>74,384,235</w:t>
            </w:r>
            <w:r>
              <w:rPr>
                <w:rFonts w:ascii="Arial"/>
                <w:sz w:val="22"/>
              </w:rPr>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7" w:right="0"/>
              <w:jc w:val="left"/>
              <w:rPr>
                <w:rFonts w:ascii="宋体" w:hAnsi="宋体" w:cs="宋体" w:eastAsia="宋体" w:hint="default"/>
                <w:sz w:val="22"/>
                <w:szCs w:val="22"/>
              </w:rPr>
            </w:pPr>
            <w:r>
              <w:rPr>
                <w:rFonts w:ascii="宋体" w:hAnsi="宋体" w:cs="宋体" w:eastAsia="宋体" w:hint="default"/>
                <w:sz w:val="22"/>
                <w:szCs w:val="22"/>
              </w:rPr>
              <w:t>人民币普通股</w:t>
            </w:r>
          </w:p>
        </w:tc>
      </w:tr>
      <w:tr>
        <w:trPr>
          <w:trHeight w:val="300" w:hRule="exact"/>
        </w:trPr>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70" w:lineRule="exact"/>
              <w:ind w:left="104" w:right="0"/>
              <w:jc w:val="left"/>
              <w:rPr>
                <w:rFonts w:ascii="宋体" w:hAnsi="宋体" w:cs="宋体" w:eastAsia="宋体" w:hint="default"/>
                <w:sz w:val="22"/>
                <w:szCs w:val="22"/>
              </w:rPr>
            </w:pPr>
            <w:r>
              <w:rPr>
                <w:rFonts w:ascii="宋体" w:hAnsi="宋体" w:cs="宋体" w:eastAsia="宋体" w:hint="default"/>
                <w:sz w:val="22"/>
                <w:szCs w:val="22"/>
              </w:rPr>
              <w:t>全国社保基金</w:t>
            </w:r>
            <w:r>
              <w:rPr>
                <w:rFonts w:ascii="Times New Roman" w:hAnsi="Times New Roman" w:cs="Times New Roman" w:eastAsia="Times New Roman" w:hint="default"/>
                <w:sz w:val="22"/>
                <w:szCs w:val="22"/>
              </w:rPr>
              <w:t>—</w:t>
            </w:r>
            <w:r>
              <w:rPr>
                <w:rFonts w:ascii="宋体" w:hAnsi="宋体" w:cs="宋体" w:eastAsia="宋体" w:hint="default"/>
                <w:sz w:val="22"/>
                <w:szCs w:val="22"/>
              </w:rPr>
              <w:t>零六组合</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Arial" w:hAnsi="Arial" w:cs="Arial" w:eastAsia="Arial" w:hint="default"/>
                <w:sz w:val="22"/>
                <w:szCs w:val="22"/>
              </w:rPr>
            </w:pPr>
            <w:r>
              <w:rPr>
                <w:rFonts w:ascii="Arial"/>
                <w:w w:val="95"/>
                <w:sz w:val="22"/>
              </w:rPr>
              <w:t>69,496,165</w:t>
            </w:r>
            <w:r>
              <w:rPr>
                <w:rFonts w:ascii="Arial"/>
                <w:sz w:val="22"/>
              </w:rPr>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07" w:right="0"/>
              <w:jc w:val="left"/>
              <w:rPr>
                <w:rFonts w:ascii="宋体" w:hAnsi="宋体" w:cs="宋体" w:eastAsia="宋体" w:hint="default"/>
                <w:sz w:val="22"/>
                <w:szCs w:val="22"/>
              </w:rPr>
            </w:pPr>
            <w:r>
              <w:rPr>
                <w:rFonts w:ascii="宋体" w:hAnsi="宋体" w:cs="宋体" w:eastAsia="宋体" w:hint="default"/>
                <w:sz w:val="22"/>
                <w:szCs w:val="22"/>
              </w:rPr>
              <w:t>人民币普通股</w:t>
            </w:r>
          </w:p>
        </w:tc>
      </w:tr>
      <w:tr>
        <w:trPr>
          <w:trHeight w:val="586" w:hRule="exact"/>
        </w:trPr>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4" w:right="0"/>
              <w:jc w:val="left"/>
              <w:rPr>
                <w:rFonts w:ascii="宋体" w:hAnsi="宋体" w:cs="宋体" w:eastAsia="宋体" w:hint="default"/>
                <w:sz w:val="22"/>
                <w:szCs w:val="22"/>
              </w:rPr>
            </w:pPr>
            <w:r>
              <w:rPr>
                <w:rFonts w:ascii="宋体" w:hAnsi="宋体" w:cs="宋体" w:eastAsia="宋体" w:hint="default"/>
                <w:sz w:val="22"/>
                <w:szCs w:val="22"/>
              </w:rPr>
              <w:t>交通银行</w:t>
            </w:r>
            <w:r>
              <w:rPr>
                <w:rFonts w:ascii="Times New Roman" w:hAnsi="Times New Roman" w:cs="Times New Roman" w:eastAsia="Times New Roman" w:hint="default"/>
                <w:sz w:val="22"/>
                <w:szCs w:val="22"/>
              </w:rPr>
              <w:t>—</w:t>
            </w:r>
            <w:r>
              <w:rPr>
                <w:rFonts w:ascii="宋体" w:hAnsi="宋体" w:cs="宋体" w:eastAsia="宋体" w:hint="default"/>
                <w:sz w:val="22"/>
                <w:szCs w:val="22"/>
              </w:rPr>
              <w:t>华夏蓝筹核心混合型证券投</w:t>
            </w:r>
          </w:p>
          <w:p>
            <w:pPr>
              <w:pStyle w:val="TableParagraph"/>
              <w:spacing w:line="278" w:lineRule="exact"/>
              <w:ind w:left="104" w:right="0"/>
              <w:jc w:val="left"/>
              <w:rPr>
                <w:rFonts w:ascii="宋体" w:hAnsi="宋体" w:cs="宋体" w:eastAsia="宋体" w:hint="default"/>
                <w:sz w:val="22"/>
                <w:szCs w:val="22"/>
              </w:rPr>
            </w:pPr>
            <w:r>
              <w:rPr>
                <w:rFonts w:ascii="宋体" w:hAnsi="宋体" w:cs="宋体" w:eastAsia="宋体" w:hint="default"/>
                <w:sz w:val="22"/>
                <w:szCs w:val="22"/>
              </w:rPr>
              <w:t>资基金</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7"/>
              <w:ind w:right="98"/>
              <w:jc w:val="right"/>
              <w:rPr>
                <w:rFonts w:ascii="Arial" w:hAnsi="Arial" w:cs="Arial" w:eastAsia="Arial" w:hint="default"/>
                <w:sz w:val="22"/>
                <w:szCs w:val="22"/>
              </w:rPr>
            </w:pPr>
            <w:r>
              <w:rPr>
                <w:rFonts w:ascii="Arial"/>
                <w:w w:val="95"/>
                <w:sz w:val="22"/>
              </w:rPr>
              <w:t>65,916,541</w:t>
            </w:r>
            <w:r>
              <w:rPr>
                <w:rFonts w:ascii="Arial"/>
                <w:sz w:val="22"/>
              </w:rPr>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7" w:right="0"/>
              <w:jc w:val="left"/>
              <w:rPr>
                <w:rFonts w:ascii="宋体" w:hAnsi="宋体" w:cs="宋体" w:eastAsia="宋体" w:hint="default"/>
                <w:sz w:val="22"/>
                <w:szCs w:val="22"/>
              </w:rPr>
            </w:pPr>
            <w:r>
              <w:rPr>
                <w:rFonts w:ascii="宋体" w:hAnsi="宋体" w:cs="宋体" w:eastAsia="宋体" w:hint="default"/>
                <w:sz w:val="22"/>
                <w:szCs w:val="22"/>
              </w:rPr>
              <w:t>人民币普通股</w:t>
            </w:r>
          </w:p>
        </w:tc>
      </w:tr>
      <w:tr>
        <w:trPr>
          <w:trHeight w:val="586" w:hRule="exact"/>
        </w:trPr>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4" w:right="0"/>
              <w:jc w:val="left"/>
              <w:rPr>
                <w:rFonts w:ascii="宋体" w:hAnsi="宋体" w:cs="宋体" w:eastAsia="宋体" w:hint="default"/>
                <w:sz w:val="22"/>
                <w:szCs w:val="22"/>
              </w:rPr>
            </w:pPr>
            <w:r>
              <w:rPr>
                <w:rFonts w:ascii="宋体" w:hAnsi="宋体" w:cs="宋体" w:eastAsia="宋体" w:hint="default"/>
                <w:sz w:val="22"/>
                <w:szCs w:val="22"/>
              </w:rPr>
              <w:t>中国建设银行</w:t>
            </w:r>
            <w:r>
              <w:rPr>
                <w:rFonts w:ascii="Times New Roman" w:hAnsi="Times New Roman" w:cs="Times New Roman" w:eastAsia="Times New Roman" w:hint="default"/>
                <w:sz w:val="22"/>
                <w:szCs w:val="22"/>
              </w:rPr>
              <w:t>—</w:t>
            </w:r>
            <w:r>
              <w:rPr>
                <w:rFonts w:ascii="宋体" w:hAnsi="宋体" w:cs="宋体" w:eastAsia="宋体" w:hint="default"/>
                <w:sz w:val="22"/>
                <w:szCs w:val="22"/>
              </w:rPr>
              <w:t>华夏优势增长股票型证</w:t>
            </w:r>
          </w:p>
          <w:p>
            <w:pPr>
              <w:pStyle w:val="TableParagraph"/>
              <w:spacing w:line="278" w:lineRule="exact"/>
              <w:ind w:left="104" w:right="0"/>
              <w:jc w:val="left"/>
              <w:rPr>
                <w:rFonts w:ascii="宋体" w:hAnsi="宋体" w:cs="宋体" w:eastAsia="宋体" w:hint="default"/>
                <w:sz w:val="22"/>
                <w:szCs w:val="22"/>
              </w:rPr>
            </w:pPr>
            <w:r>
              <w:rPr>
                <w:rFonts w:ascii="宋体" w:hAnsi="宋体" w:cs="宋体" w:eastAsia="宋体" w:hint="default"/>
                <w:sz w:val="22"/>
                <w:szCs w:val="22"/>
              </w:rPr>
              <w:t>券投资基金</w:t>
            </w:r>
          </w:p>
        </w:tc>
        <w:tc>
          <w:tcPr>
            <w:tcW w:w="17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7"/>
              <w:ind w:right="97"/>
              <w:jc w:val="right"/>
              <w:rPr>
                <w:rFonts w:ascii="Arial" w:hAnsi="Arial" w:cs="Arial" w:eastAsia="Arial" w:hint="default"/>
                <w:sz w:val="22"/>
                <w:szCs w:val="22"/>
              </w:rPr>
            </w:pPr>
            <w:r>
              <w:rPr>
                <w:rFonts w:ascii="Arial"/>
                <w:w w:val="95"/>
                <w:sz w:val="22"/>
              </w:rPr>
              <w:t>64,328,453</w:t>
            </w:r>
            <w:r>
              <w:rPr>
                <w:rFonts w:ascii="Arial"/>
                <w:sz w:val="22"/>
              </w:rPr>
            </w:r>
          </w:p>
        </w:tc>
        <w:tc>
          <w:tcPr>
            <w:tcW w:w="30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7" w:right="0"/>
              <w:jc w:val="left"/>
              <w:rPr>
                <w:rFonts w:ascii="宋体" w:hAnsi="宋体" w:cs="宋体" w:eastAsia="宋体" w:hint="default"/>
                <w:sz w:val="22"/>
                <w:szCs w:val="22"/>
              </w:rPr>
            </w:pPr>
            <w:r>
              <w:rPr>
                <w:rFonts w:ascii="宋体" w:hAnsi="宋体" w:cs="宋体" w:eastAsia="宋体" w:hint="default"/>
                <w:sz w:val="22"/>
                <w:szCs w:val="22"/>
              </w:rPr>
              <w:t>人民币普通股</w:t>
            </w:r>
          </w:p>
        </w:tc>
      </w:tr>
      <w:tr>
        <w:trPr>
          <w:trHeight w:val="1914" w:hRule="exact"/>
        </w:trPr>
        <w:tc>
          <w:tcPr>
            <w:tcW w:w="40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95"/>
              <w:ind w:left="100" w:right="0"/>
              <w:jc w:val="left"/>
              <w:rPr>
                <w:rFonts w:ascii="宋体" w:hAnsi="宋体" w:cs="宋体" w:eastAsia="宋体" w:hint="default"/>
                <w:sz w:val="22"/>
                <w:szCs w:val="22"/>
              </w:rPr>
            </w:pPr>
            <w:r>
              <w:rPr>
                <w:rFonts w:ascii="宋体" w:hAnsi="宋体" w:cs="宋体" w:eastAsia="宋体" w:hint="default"/>
                <w:sz w:val="22"/>
                <w:szCs w:val="22"/>
              </w:rPr>
              <w:t>上述股东关联关系或一致行动的说明</w:t>
            </w:r>
          </w:p>
        </w:tc>
        <w:tc>
          <w:tcPr>
            <w:tcW w:w="4867" w:type="dxa"/>
            <w:gridSpan w:val="2"/>
            <w:tcBorders>
              <w:top w:val="single" w:sz="6" w:space="0" w:color="000000"/>
              <w:left w:val="single" w:sz="6" w:space="0" w:color="000000"/>
              <w:bottom w:val="single" w:sz="6" w:space="0" w:color="000000"/>
              <w:right w:val="single" w:sz="6" w:space="0" w:color="000000"/>
            </w:tcBorders>
          </w:tcPr>
          <w:p>
            <w:pPr>
              <w:pStyle w:val="TableParagraph"/>
              <w:spacing w:line="237" w:lineRule="auto" w:before="60"/>
              <w:ind w:left="100" w:right="129"/>
              <w:jc w:val="left"/>
              <w:rPr>
                <w:rFonts w:ascii="宋体" w:hAnsi="宋体" w:cs="宋体" w:eastAsia="宋体" w:hint="default"/>
                <w:sz w:val="22"/>
                <w:szCs w:val="22"/>
              </w:rPr>
            </w:pPr>
            <w:r>
              <w:rPr>
                <w:rFonts w:ascii="宋体" w:hAnsi="宋体" w:cs="宋体" w:eastAsia="宋体" w:hint="default"/>
                <w:sz w:val="22"/>
                <w:szCs w:val="22"/>
              </w:rPr>
              <w:t>本公司未知前十名股东之间存在关联关系或一致</w:t>
            </w:r>
            <w:r>
              <w:rPr>
                <w:rFonts w:ascii="宋体" w:hAnsi="宋体" w:cs="宋体" w:eastAsia="宋体" w:hint="default"/>
                <w:w w:val="99"/>
                <w:sz w:val="22"/>
                <w:szCs w:val="22"/>
              </w:rPr>
              <w:t> </w:t>
            </w:r>
            <w:r>
              <w:rPr>
                <w:rFonts w:ascii="宋体" w:hAnsi="宋体" w:cs="宋体" w:eastAsia="宋体" w:hint="default"/>
                <w:sz w:val="22"/>
                <w:szCs w:val="22"/>
              </w:rPr>
              <w:t>行动人的情况。</w:t>
            </w:r>
            <w:r>
              <w:rPr>
                <w:rFonts w:ascii="宋体" w:hAnsi="宋体" w:cs="宋体" w:eastAsia="宋体" w:hint="default"/>
                <w:w w:val="99"/>
                <w:sz w:val="22"/>
                <w:szCs w:val="22"/>
              </w:rPr>
              <w:t> </w:t>
            </w:r>
            <w:r>
              <w:rPr>
                <w:rFonts w:ascii="宋体" w:hAnsi="宋体" w:cs="宋体" w:eastAsia="宋体" w:hint="default"/>
                <w:sz w:val="22"/>
                <w:szCs w:val="22"/>
              </w:rPr>
              <w:t>本公司未知前十名无限售条件股东之间存在关联</w:t>
            </w:r>
            <w:r>
              <w:rPr>
                <w:rFonts w:ascii="宋体" w:hAnsi="宋体" w:cs="宋体" w:eastAsia="宋体" w:hint="default"/>
                <w:w w:val="99"/>
                <w:sz w:val="22"/>
                <w:szCs w:val="22"/>
              </w:rPr>
              <w:t> </w:t>
            </w:r>
            <w:r>
              <w:rPr>
                <w:rFonts w:ascii="宋体" w:hAnsi="宋体" w:cs="宋体" w:eastAsia="宋体" w:hint="default"/>
                <w:sz w:val="22"/>
                <w:szCs w:val="22"/>
              </w:rPr>
              <w:t>关系或一致行动人的情况。</w:t>
            </w:r>
            <w:r>
              <w:rPr>
                <w:rFonts w:ascii="宋体" w:hAnsi="宋体" w:cs="宋体" w:eastAsia="宋体" w:hint="default"/>
                <w:w w:val="99"/>
                <w:sz w:val="22"/>
                <w:szCs w:val="22"/>
              </w:rPr>
              <w:t> </w:t>
            </w:r>
            <w:r>
              <w:rPr>
                <w:rFonts w:ascii="宋体" w:hAnsi="宋体" w:cs="宋体" w:eastAsia="宋体" w:hint="default"/>
                <w:sz w:val="22"/>
                <w:szCs w:val="22"/>
              </w:rPr>
              <w:t>本公司未知前十名无限售条件股东和前十名股东</w:t>
            </w:r>
            <w:r>
              <w:rPr>
                <w:rFonts w:ascii="宋体" w:hAnsi="宋体" w:cs="宋体" w:eastAsia="宋体" w:hint="default"/>
                <w:w w:val="99"/>
                <w:sz w:val="22"/>
                <w:szCs w:val="22"/>
              </w:rPr>
              <w:t> </w:t>
            </w:r>
            <w:r>
              <w:rPr>
                <w:rFonts w:ascii="宋体" w:hAnsi="宋体" w:cs="宋体" w:eastAsia="宋体" w:hint="default"/>
                <w:sz w:val="22"/>
                <w:szCs w:val="22"/>
              </w:rPr>
              <w:t>之间存在关联关系的情况。</w:t>
            </w:r>
          </w:p>
        </w:tc>
      </w:tr>
    </w:tbl>
    <w:p>
      <w:pPr>
        <w:spacing w:line="240" w:lineRule="auto" w:before="9"/>
        <w:rPr>
          <w:rFonts w:ascii="宋体" w:hAnsi="宋体" w:cs="宋体" w:eastAsia="宋体" w:hint="default"/>
          <w:sz w:val="10"/>
          <w:szCs w:val="10"/>
        </w:rPr>
      </w:pPr>
    </w:p>
    <w:p>
      <w:pPr>
        <w:pStyle w:val="BodyText"/>
        <w:spacing w:line="240" w:lineRule="auto" w:before="31"/>
        <w:ind w:left="653" w:right="0"/>
        <w:jc w:val="left"/>
      </w:pPr>
      <w:r>
        <w:rPr/>
        <w:t>战略投资者或一般法人参与配售新股约定持股期限的情况</w:t>
      </w:r>
    </w:p>
    <w:p>
      <w:pPr>
        <w:spacing w:line="240" w:lineRule="auto" w:before="11"/>
        <w:rPr>
          <w:rFonts w:ascii="宋体" w:hAnsi="宋体" w:cs="宋体" w:eastAsia="宋体" w:hint="default"/>
          <w:sz w:val="21"/>
          <w:szCs w:val="21"/>
        </w:rPr>
      </w:pPr>
    </w:p>
    <w:tbl>
      <w:tblPr>
        <w:tblW w:w="0" w:type="auto"/>
        <w:jc w:val="left"/>
        <w:tblInd w:w="520" w:type="dxa"/>
        <w:tblLayout w:type="fixed"/>
        <w:tblCellMar>
          <w:top w:w="0" w:type="dxa"/>
          <w:left w:w="0" w:type="dxa"/>
          <w:bottom w:w="0" w:type="dxa"/>
          <w:right w:w="0" w:type="dxa"/>
        </w:tblCellMar>
        <w:tblLook w:val="01E0"/>
      </w:tblPr>
      <w:tblGrid>
        <w:gridCol w:w="4124"/>
        <w:gridCol w:w="4789"/>
      </w:tblGrid>
      <w:tr>
        <w:trPr>
          <w:trHeight w:val="301" w:hRule="exact"/>
        </w:trPr>
        <w:tc>
          <w:tcPr>
            <w:tcW w:w="4124"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0"/>
              <w:jc w:val="center"/>
              <w:rPr>
                <w:rFonts w:ascii="宋体" w:hAnsi="宋体" w:cs="宋体" w:eastAsia="宋体" w:hint="default"/>
                <w:sz w:val="22"/>
                <w:szCs w:val="22"/>
              </w:rPr>
            </w:pPr>
            <w:r>
              <w:rPr>
                <w:rFonts w:ascii="宋体" w:hAnsi="宋体" w:cs="宋体" w:eastAsia="宋体" w:hint="default"/>
                <w:sz w:val="22"/>
                <w:szCs w:val="22"/>
              </w:rPr>
              <w:t>战略投资者或一般法人的名称</w:t>
            </w:r>
          </w:p>
        </w:tc>
        <w:tc>
          <w:tcPr>
            <w:tcW w:w="4789"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0"/>
              <w:jc w:val="center"/>
              <w:rPr>
                <w:rFonts w:ascii="宋体" w:hAnsi="宋体" w:cs="宋体" w:eastAsia="宋体" w:hint="default"/>
                <w:sz w:val="22"/>
                <w:szCs w:val="22"/>
              </w:rPr>
            </w:pPr>
            <w:r>
              <w:rPr>
                <w:rFonts w:ascii="宋体" w:hAnsi="宋体" w:cs="宋体" w:eastAsia="宋体" w:hint="default"/>
                <w:sz w:val="22"/>
                <w:szCs w:val="22"/>
              </w:rPr>
              <w:t>约定持股期限</w:t>
            </w:r>
          </w:p>
        </w:tc>
      </w:tr>
      <w:tr>
        <w:trPr>
          <w:trHeight w:val="300" w:hRule="exact"/>
        </w:trPr>
        <w:tc>
          <w:tcPr>
            <w:tcW w:w="4124"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0"/>
              <w:jc w:val="center"/>
              <w:rPr>
                <w:rFonts w:ascii="宋体" w:hAnsi="宋体" w:cs="宋体" w:eastAsia="宋体" w:hint="default"/>
                <w:sz w:val="22"/>
                <w:szCs w:val="22"/>
              </w:rPr>
            </w:pPr>
            <w:r>
              <w:rPr>
                <w:rFonts w:ascii="宋体" w:hAnsi="宋体" w:cs="宋体" w:eastAsia="宋体" w:hint="default"/>
                <w:w w:val="99"/>
                <w:sz w:val="22"/>
                <w:szCs w:val="22"/>
              </w:rPr>
              <w:t>无</w:t>
            </w:r>
            <w:r>
              <w:rPr>
                <w:rFonts w:ascii="宋体" w:hAnsi="宋体" w:cs="宋体" w:eastAsia="宋体" w:hint="default"/>
                <w:sz w:val="22"/>
                <w:szCs w:val="22"/>
              </w:rPr>
            </w:r>
          </w:p>
        </w:tc>
        <w:tc>
          <w:tcPr>
            <w:tcW w:w="4789"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0"/>
              <w:jc w:val="center"/>
              <w:rPr>
                <w:rFonts w:ascii="宋体" w:hAnsi="宋体" w:cs="宋体" w:eastAsia="宋体" w:hint="default"/>
                <w:sz w:val="22"/>
                <w:szCs w:val="22"/>
              </w:rPr>
            </w:pPr>
            <w:r>
              <w:rPr>
                <w:rFonts w:ascii="宋体" w:hAnsi="宋体" w:cs="宋体" w:eastAsia="宋体" w:hint="default"/>
                <w:w w:val="99"/>
                <w:sz w:val="22"/>
                <w:szCs w:val="22"/>
              </w:rPr>
              <w:t>无</w:t>
            </w:r>
            <w:r>
              <w:rPr>
                <w:rFonts w:ascii="宋体" w:hAnsi="宋体" w:cs="宋体" w:eastAsia="宋体" w:hint="default"/>
                <w:sz w:val="22"/>
                <w:szCs w:val="22"/>
              </w:rPr>
            </w:r>
          </w:p>
        </w:tc>
      </w:tr>
    </w:tbl>
    <w:p>
      <w:pPr>
        <w:spacing w:line="240" w:lineRule="auto" w:before="5"/>
        <w:rPr>
          <w:rFonts w:ascii="宋体" w:hAnsi="宋体" w:cs="宋体" w:eastAsia="宋体" w:hint="default"/>
          <w:sz w:val="12"/>
          <w:szCs w:val="12"/>
        </w:rPr>
      </w:pPr>
    </w:p>
    <w:p>
      <w:pPr>
        <w:pStyle w:val="BodyText"/>
        <w:spacing w:line="240" w:lineRule="auto" w:before="31"/>
        <w:ind w:left="149" w:right="0"/>
        <w:jc w:val="left"/>
      </w:pPr>
      <w:r>
        <w:rPr>
          <w:rFonts w:ascii="Arial" w:hAnsi="Arial" w:cs="Arial" w:eastAsia="Arial" w:hint="default"/>
        </w:rPr>
        <w:t>2</w:t>
      </w:r>
      <w:r>
        <w:rPr/>
        <w:t>、</w:t>
      </w:r>
      <w:r>
        <w:rPr>
          <w:spacing w:val="64"/>
        </w:rPr>
        <w:t> </w:t>
      </w:r>
      <w:r>
        <w:rPr/>
        <w:t>控股股东及实际控制人情况</w:t>
      </w:r>
    </w:p>
    <w:p>
      <w:pPr>
        <w:spacing w:line="240" w:lineRule="auto" w:before="13"/>
        <w:rPr>
          <w:rFonts w:ascii="宋体" w:hAnsi="宋体" w:cs="宋体" w:eastAsia="宋体" w:hint="default"/>
          <w:sz w:val="17"/>
          <w:szCs w:val="17"/>
        </w:rPr>
      </w:pPr>
    </w:p>
    <w:p>
      <w:pPr>
        <w:pStyle w:val="BodyText"/>
        <w:tabs>
          <w:tab w:pos="667" w:val="left" w:leader="none"/>
        </w:tabs>
        <w:spacing w:line="424" w:lineRule="auto"/>
        <w:ind w:left="653" w:right="349" w:hanging="505"/>
        <w:jc w:val="left"/>
      </w:pPr>
      <w:r>
        <w:rPr>
          <w:rFonts w:ascii="Arial" w:hAnsi="Arial" w:cs="Arial" w:eastAsia="Arial" w:hint="default"/>
          <w:w w:val="95"/>
        </w:rPr>
        <w:t>(1)</w:t>
        <w:tab/>
        <w:tab/>
      </w:r>
      <w:r>
        <w:rPr/>
        <w:t>控股股东及实际控制人具体情况介绍</w:t>
      </w:r>
      <w:r>
        <w:rPr>
          <w:w w:val="99"/>
        </w:rPr>
        <w:t> </w:t>
      </w:r>
      <w:r>
        <w:rPr/>
        <w:t>联通集团为本公司的控股股东，本公司的实际控制人为国务院国有资产监督管理委员会。</w:t>
      </w:r>
    </w:p>
    <w:p>
      <w:pPr>
        <w:spacing w:after="0" w:line="424" w:lineRule="auto"/>
        <w:jc w:val="left"/>
        <w:sectPr>
          <w:pgSz w:w="11910" w:h="16840"/>
          <w:pgMar w:header="587" w:footer="774" w:top="960" w:bottom="960" w:left="1180" w:right="1140"/>
        </w:sectPr>
      </w:pPr>
    </w:p>
    <w:p>
      <w:pPr>
        <w:spacing w:line="240" w:lineRule="auto" w:before="6"/>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pgSz w:w="11910" w:h="16840"/>
          <w:pgMar w:header="587" w:footer="774" w:top="960" w:bottom="960" w:left="1180" w:right="1100"/>
        </w:sectPr>
      </w:pPr>
    </w:p>
    <w:p>
      <w:pPr>
        <w:pStyle w:val="BodyText"/>
        <w:tabs>
          <w:tab w:pos="667" w:val="left" w:leader="none"/>
        </w:tabs>
        <w:spacing w:line="240" w:lineRule="auto" w:before="31"/>
        <w:ind w:left="149" w:right="-20"/>
        <w:jc w:val="left"/>
      </w:pPr>
      <w:r>
        <w:rPr>
          <w:rFonts w:ascii="Arial" w:hAnsi="Arial" w:cs="Arial" w:eastAsia="Arial" w:hint="default"/>
          <w:w w:val="95"/>
        </w:rPr>
        <w:t>(2)</w:t>
        <w:tab/>
      </w:r>
      <w:r>
        <w:rPr/>
        <w:t>法人控股股东情况</w:t>
      </w:r>
    </w:p>
    <w:p>
      <w:pPr>
        <w:spacing w:line="240" w:lineRule="auto" w:before="7"/>
        <w:rPr>
          <w:rFonts w:ascii="宋体" w:hAnsi="宋体" w:cs="宋体" w:eastAsia="宋体" w:hint="default"/>
          <w:sz w:val="24"/>
          <w:szCs w:val="24"/>
        </w:rPr>
      </w:pPr>
      <w:r>
        <w:rPr/>
        <w:br w:type="column"/>
      </w:r>
      <w:r>
        <w:rPr>
          <w:rFonts w:ascii="宋体"/>
          <w:sz w:val="24"/>
        </w:rPr>
      </w:r>
    </w:p>
    <w:p>
      <w:pPr>
        <w:spacing w:before="0"/>
        <w:ind w:left="149" w:right="0" w:firstLine="0"/>
        <w:jc w:val="left"/>
        <w:rPr>
          <w:rFonts w:ascii="宋体" w:hAnsi="宋体" w:cs="宋体" w:eastAsia="宋体" w:hint="default"/>
          <w:sz w:val="20"/>
          <w:szCs w:val="20"/>
        </w:rPr>
      </w:pPr>
      <w:r>
        <w:rPr>
          <w:rFonts w:ascii="宋体" w:hAnsi="宋体" w:cs="宋体" w:eastAsia="宋体" w:hint="default"/>
          <w:sz w:val="20"/>
          <w:szCs w:val="20"/>
        </w:rPr>
        <w:t>单位：元</w:t>
      </w:r>
      <w:r>
        <w:rPr>
          <w:rFonts w:ascii="宋体" w:hAnsi="宋体" w:cs="宋体" w:eastAsia="宋体" w:hint="default"/>
          <w:spacing w:val="-1"/>
          <w:sz w:val="20"/>
          <w:szCs w:val="20"/>
        </w:rPr>
        <w:t> </w:t>
      </w:r>
      <w:r>
        <w:rPr>
          <w:rFonts w:ascii="宋体" w:hAnsi="宋体" w:cs="宋体" w:eastAsia="宋体" w:hint="default"/>
          <w:sz w:val="20"/>
          <w:szCs w:val="20"/>
        </w:rPr>
        <w:t>币种：人民币</w:t>
      </w:r>
    </w:p>
    <w:p>
      <w:pPr>
        <w:spacing w:after="0"/>
        <w:jc w:val="left"/>
        <w:rPr>
          <w:rFonts w:ascii="宋体" w:hAnsi="宋体" w:cs="宋体" w:eastAsia="宋体" w:hint="default"/>
          <w:sz w:val="20"/>
          <w:szCs w:val="20"/>
        </w:rPr>
        <w:sectPr>
          <w:type w:val="continuous"/>
          <w:pgSz w:w="11910" w:h="16840"/>
          <w:pgMar w:top="1600" w:bottom="280" w:left="1180" w:right="1100"/>
          <w:cols w:num="2" w:equalWidth="0">
            <w:col w:w="2428" w:space="3872"/>
            <w:col w:w="3330"/>
          </w:cols>
        </w:sectPr>
      </w:pPr>
    </w:p>
    <w:p>
      <w:pPr>
        <w:spacing w:line="240" w:lineRule="auto" w:before="3"/>
        <w:rPr>
          <w:rFonts w:ascii="宋体" w:hAnsi="宋体" w:cs="宋体" w:eastAsia="宋体" w:hint="default"/>
          <w:sz w:val="2"/>
          <w:szCs w:val="2"/>
        </w:rPr>
      </w:pPr>
    </w:p>
    <w:tbl>
      <w:tblPr>
        <w:tblW w:w="0" w:type="auto"/>
        <w:jc w:val="left"/>
        <w:tblInd w:w="562" w:type="dxa"/>
        <w:tblLayout w:type="fixed"/>
        <w:tblCellMar>
          <w:top w:w="0" w:type="dxa"/>
          <w:left w:w="0" w:type="dxa"/>
          <w:bottom w:w="0" w:type="dxa"/>
          <w:right w:w="0" w:type="dxa"/>
        </w:tblCellMar>
        <w:tblLook w:val="01E0"/>
      </w:tblPr>
      <w:tblGrid>
        <w:gridCol w:w="1681"/>
        <w:gridCol w:w="7249"/>
      </w:tblGrid>
      <w:tr>
        <w:trPr>
          <w:trHeight w:val="300" w:hRule="exact"/>
        </w:trPr>
        <w:tc>
          <w:tcPr>
            <w:tcW w:w="1681"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00" w:right="0"/>
              <w:jc w:val="left"/>
              <w:rPr>
                <w:rFonts w:ascii="宋体" w:hAnsi="宋体" w:cs="宋体" w:eastAsia="宋体" w:hint="default"/>
                <w:sz w:val="22"/>
                <w:szCs w:val="22"/>
              </w:rPr>
            </w:pPr>
            <w:r>
              <w:rPr>
                <w:rFonts w:ascii="宋体" w:hAnsi="宋体" w:cs="宋体" w:eastAsia="宋体" w:hint="default"/>
                <w:sz w:val="22"/>
                <w:szCs w:val="22"/>
              </w:rPr>
              <w:t>名称</w:t>
            </w:r>
          </w:p>
        </w:tc>
        <w:tc>
          <w:tcPr>
            <w:tcW w:w="7249"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00" w:right="0"/>
              <w:jc w:val="left"/>
              <w:rPr>
                <w:rFonts w:ascii="宋体" w:hAnsi="宋体" w:cs="宋体" w:eastAsia="宋体" w:hint="default"/>
                <w:sz w:val="22"/>
                <w:szCs w:val="22"/>
              </w:rPr>
            </w:pPr>
            <w:r>
              <w:rPr>
                <w:rFonts w:ascii="宋体" w:hAnsi="宋体" w:cs="宋体" w:eastAsia="宋体" w:hint="default"/>
                <w:sz w:val="22"/>
                <w:szCs w:val="22"/>
              </w:rPr>
              <w:t>中国联合网络通信集团有限公司</w:t>
            </w:r>
          </w:p>
        </w:tc>
      </w:tr>
      <w:tr>
        <w:trPr>
          <w:trHeight w:val="586" w:hRule="exact"/>
        </w:trPr>
        <w:tc>
          <w:tcPr>
            <w:tcW w:w="168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left="100" w:right="0"/>
              <w:jc w:val="left"/>
              <w:rPr>
                <w:rFonts w:ascii="宋体" w:hAnsi="宋体" w:cs="宋体" w:eastAsia="宋体" w:hint="default"/>
                <w:sz w:val="22"/>
                <w:szCs w:val="22"/>
              </w:rPr>
            </w:pPr>
            <w:r>
              <w:rPr>
                <w:rFonts w:ascii="宋体" w:hAnsi="宋体" w:cs="宋体" w:eastAsia="宋体" w:hint="default"/>
                <w:sz w:val="22"/>
                <w:szCs w:val="22"/>
              </w:rPr>
              <w:t>单位负责人或</w:t>
            </w:r>
          </w:p>
          <w:p>
            <w:pPr>
              <w:pStyle w:val="TableParagraph"/>
              <w:spacing w:line="287" w:lineRule="exact"/>
              <w:ind w:left="100" w:right="0"/>
              <w:jc w:val="left"/>
              <w:rPr>
                <w:rFonts w:ascii="宋体" w:hAnsi="宋体" w:cs="宋体" w:eastAsia="宋体" w:hint="default"/>
                <w:sz w:val="22"/>
                <w:szCs w:val="22"/>
              </w:rPr>
            </w:pPr>
            <w:r>
              <w:rPr>
                <w:rFonts w:ascii="宋体" w:hAnsi="宋体" w:cs="宋体" w:eastAsia="宋体" w:hint="default"/>
                <w:sz w:val="22"/>
                <w:szCs w:val="22"/>
              </w:rPr>
              <w:t>法定代表人</w:t>
            </w:r>
          </w:p>
        </w:tc>
        <w:tc>
          <w:tcPr>
            <w:tcW w:w="72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left="100" w:right="0"/>
              <w:jc w:val="left"/>
              <w:rPr>
                <w:rFonts w:ascii="宋体" w:hAnsi="宋体" w:cs="宋体" w:eastAsia="宋体" w:hint="default"/>
                <w:sz w:val="22"/>
                <w:szCs w:val="22"/>
              </w:rPr>
            </w:pPr>
            <w:r>
              <w:rPr>
                <w:rFonts w:ascii="宋体" w:hAnsi="宋体" w:cs="宋体" w:eastAsia="宋体" w:hint="default"/>
                <w:sz w:val="22"/>
                <w:szCs w:val="22"/>
              </w:rPr>
              <w:t>常小兵</w:t>
            </w:r>
          </w:p>
        </w:tc>
      </w:tr>
      <w:tr>
        <w:trPr>
          <w:trHeight w:val="300" w:hRule="exact"/>
        </w:trPr>
        <w:tc>
          <w:tcPr>
            <w:tcW w:w="1681"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00" w:right="0"/>
              <w:jc w:val="left"/>
              <w:rPr>
                <w:rFonts w:ascii="宋体" w:hAnsi="宋体" w:cs="宋体" w:eastAsia="宋体" w:hint="default"/>
                <w:sz w:val="22"/>
                <w:szCs w:val="22"/>
              </w:rPr>
            </w:pPr>
            <w:r>
              <w:rPr>
                <w:rFonts w:ascii="宋体" w:hAnsi="宋体" w:cs="宋体" w:eastAsia="宋体" w:hint="default"/>
                <w:sz w:val="22"/>
                <w:szCs w:val="22"/>
              </w:rPr>
              <w:t>成立日期</w:t>
            </w:r>
          </w:p>
        </w:tc>
        <w:tc>
          <w:tcPr>
            <w:tcW w:w="7249" w:type="dxa"/>
            <w:tcBorders>
              <w:top w:val="single" w:sz="6" w:space="0" w:color="000000"/>
              <w:left w:val="single" w:sz="6" w:space="0" w:color="000000"/>
              <w:bottom w:val="single" w:sz="6" w:space="0" w:color="000000"/>
              <w:right w:val="single" w:sz="6" w:space="0" w:color="000000"/>
            </w:tcBorders>
          </w:tcPr>
          <w:p>
            <w:pPr>
              <w:pStyle w:val="TableParagraph"/>
              <w:spacing w:line="269" w:lineRule="exact"/>
              <w:ind w:left="100" w:right="0"/>
              <w:jc w:val="left"/>
              <w:rPr>
                <w:rFonts w:ascii="宋体" w:hAnsi="宋体" w:cs="宋体" w:eastAsia="宋体" w:hint="default"/>
                <w:sz w:val="22"/>
                <w:szCs w:val="22"/>
              </w:rPr>
            </w:pPr>
            <w:r>
              <w:rPr>
                <w:rFonts w:ascii="Arial" w:hAnsi="Arial" w:cs="Arial" w:eastAsia="Arial" w:hint="default"/>
                <w:sz w:val="22"/>
                <w:szCs w:val="22"/>
              </w:rPr>
              <w:t>1994</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6</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18</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300" w:hRule="exact"/>
        </w:trPr>
        <w:tc>
          <w:tcPr>
            <w:tcW w:w="1681"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00" w:right="0"/>
              <w:jc w:val="left"/>
              <w:rPr>
                <w:rFonts w:ascii="宋体" w:hAnsi="宋体" w:cs="宋体" w:eastAsia="宋体" w:hint="default"/>
                <w:sz w:val="22"/>
                <w:szCs w:val="22"/>
              </w:rPr>
            </w:pPr>
            <w:r>
              <w:rPr>
                <w:rFonts w:ascii="宋体" w:hAnsi="宋体" w:cs="宋体" w:eastAsia="宋体" w:hint="default"/>
                <w:sz w:val="22"/>
                <w:szCs w:val="22"/>
              </w:rPr>
              <w:t>注册资本</w:t>
            </w:r>
          </w:p>
        </w:tc>
        <w:tc>
          <w:tcPr>
            <w:tcW w:w="72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Arial" w:hAnsi="Arial" w:cs="Arial" w:eastAsia="Arial" w:hint="default"/>
                <w:sz w:val="22"/>
                <w:szCs w:val="22"/>
              </w:rPr>
            </w:pPr>
            <w:r>
              <w:rPr>
                <w:rFonts w:ascii="Arial"/>
                <w:sz w:val="22"/>
              </w:rPr>
              <w:t>87,269,457,089.21</w:t>
            </w:r>
          </w:p>
        </w:tc>
      </w:tr>
      <w:tr>
        <w:trPr>
          <w:trHeight w:val="293" w:hRule="exact"/>
        </w:trPr>
        <w:tc>
          <w:tcPr>
            <w:tcW w:w="1681" w:type="dxa"/>
            <w:tcBorders>
              <w:top w:val="single" w:sz="6" w:space="0" w:color="000000"/>
              <w:left w:val="single" w:sz="6" w:space="0" w:color="000000"/>
              <w:bottom w:val="nil" w:sz="6" w:space="0" w:color="auto"/>
              <w:right w:val="single" w:sz="6" w:space="0" w:color="000000"/>
            </w:tcBorders>
          </w:tcPr>
          <w:p>
            <w:pPr/>
          </w:p>
        </w:tc>
        <w:tc>
          <w:tcPr>
            <w:tcW w:w="7249" w:type="dxa"/>
            <w:tcBorders>
              <w:top w:val="single" w:sz="6" w:space="0" w:color="000000"/>
              <w:left w:val="single" w:sz="6" w:space="0" w:color="000000"/>
              <w:bottom w:val="nil" w:sz="6" w:space="0" w:color="auto"/>
              <w:right w:val="single" w:sz="6" w:space="0" w:color="000000"/>
            </w:tcBorders>
          </w:tcPr>
          <w:p>
            <w:pPr>
              <w:pStyle w:val="TableParagraph"/>
              <w:spacing w:line="253" w:lineRule="exact"/>
              <w:ind w:left="100" w:right="-8"/>
              <w:jc w:val="left"/>
              <w:rPr>
                <w:rFonts w:ascii="宋体" w:hAnsi="宋体" w:cs="宋体" w:eastAsia="宋体" w:hint="default"/>
                <w:sz w:val="22"/>
                <w:szCs w:val="22"/>
              </w:rPr>
            </w:pPr>
            <w:r>
              <w:rPr>
                <w:rFonts w:ascii="宋体" w:hAnsi="宋体" w:cs="宋体" w:eastAsia="宋体" w:hint="default"/>
                <w:spacing w:val="-4"/>
                <w:sz w:val="22"/>
                <w:szCs w:val="22"/>
              </w:rPr>
              <w:t>许可经营项目：固定通信业务、蜂窝移动通信业务、第一类卫星通信业务、</w:t>
            </w:r>
          </w:p>
        </w:tc>
      </w:tr>
      <w:tr>
        <w:trPr>
          <w:trHeight w:val="285" w:hRule="exact"/>
        </w:trPr>
        <w:tc>
          <w:tcPr>
            <w:tcW w:w="1681" w:type="dxa"/>
            <w:tcBorders>
              <w:top w:val="nil" w:sz="6" w:space="0" w:color="auto"/>
              <w:left w:val="single" w:sz="6" w:space="0" w:color="000000"/>
              <w:bottom w:val="nil" w:sz="6" w:space="0" w:color="auto"/>
              <w:right w:val="single" w:sz="6" w:space="0" w:color="000000"/>
            </w:tcBorders>
          </w:tcPr>
          <w:p>
            <w:pPr/>
          </w:p>
        </w:tc>
        <w:tc>
          <w:tcPr>
            <w:tcW w:w="7249" w:type="dxa"/>
            <w:tcBorders>
              <w:top w:val="nil" w:sz="6" w:space="0" w:color="auto"/>
              <w:left w:val="single" w:sz="6" w:space="0" w:color="000000"/>
              <w:bottom w:val="nil" w:sz="6" w:space="0" w:color="auto"/>
              <w:right w:val="single" w:sz="6" w:space="0" w:color="000000"/>
            </w:tcBorders>
          </w:tcPr>
          <w:p>
            <w:pPr>
              <w:pStyle w:val="TableParagraph"/>
              <w:spacing w:line="253" w:lineRule="exact"/>
              <w:ind w:left="100" w:right="0"/>
              <w:jc w:val="left"/>
              <w:rPr>
                <w:rFonts w:ascii="宋体" w:hAnsi="宋体" w:cs="宋体" w:eastAsia="宋体" w:hint="default"/>
                <w:sz w:val="22"/>
                <w:szCs w:val="22"/>
              </w:rPr>
            </w:pPr>
            <w:r>
              <w:rPr>
                <w:rFonts w:ascii="宋体" w:hAnsi="宋体" w:cs="宋体" w:eastAsia="宋体" w:hint="default"/>
                <w:sz w:val="22"/>
                <w:szCs w:val="22"/>
              </w:rPr>
              <w:t>第一类数据通信业务、网络接入业务（具体业务种类、覆盖范围以许可证</w:t>
            </w:r>
          </w:p>
        </w:tc>
      </w:tr>
      <w:tr>
        <w:trPr>
          <w:trHeight w:val="291" w:hRule="exact"/>
        </w:trPr>
        <w:tc>
          <w:tcPr>
            <w:tcW w:w="1681" w:type="dxa"/>
            <w:tcBorders>
              <w:top w:val="nil" w:sz="6" w:space="0" w:color="auto"/>
              <w:left w:val="single" w:sz="6" w:space="0" w:color="000000"/>
              <w:bottom w:val="nil" w:sz="6" w:space="0" w:color="auto"/>
              <w:right w:val="single" w:sz="6" w:space="0" w:color="000000"/>
            </w:tcBorders>
          </w:tcPr>
          <w:p>
            <w:pPr/>
          </w:p>
        </w:tc>
        <w:tc>
          <w:tcPr>
            <w:tcW w:w="7249" w:type="dxa"/>
            <w:tcBorders>
              <w:top w:val="nil" w:sz="6" w:space="0" w:color="auto"/>
              <w:left w:val="single" w:sz="6" w:space="0" w:color="000000"/>
              <w:bottom w:val="nil" w:sz="6" w:space="0" w:color="auto"/>
              <w:right w:val="single" w:sz="6" w:space="0" w:color="000000"/>
            </w:tcBorders>
          </w:tcPr>
          <w:p>
            <w:pPr>
              <w:pStyle w:val="TableParagraph"/>
              <w:spacing w:line="268" w:lineRule="exact"/>
              <w:ind w:left="100" w:right="-5"/>
              <w:jc w:val="left"/>
              <w:rPr>
                <w:rFonts w:ascii="宋体" w:hAnsi="宋体" w:cs="宋体" w:eastAsia="宋体" w:hint="default"/>
                <w:sz w:val="22"/>
                <w:szCs w:val="22"/>
              </w:rPr>
            </w:pPr>
            <w:r>
              <w:rPr>
                <w:rFonts w:ascii="宋体" w:hAnsi="宋体" w:cs="宋体" w:eastAsia="宋体" w:hint="default"/>
                <w:sz w:val="22"/>
                <w:szCs w:val="22"/>
              </w:rPr>
              <w:t>为准，有效期至</w:t>
            </w:r>
            <w:r>
              <w:rPr>
                <w:rFonts w:ascii="宋体" w:hAnsi="宋体" w:cs="宋体" w:eastAsia="宋体" w:hint="default"/>
                <w:spacing w:val="-57"/>
                <w:sz w:val="22"/>
                <w:szCs w:val="22"/>
              </w:rPr>
              <w:t> </w:t>
            </w:r>
            <w:r>
              <w:rPr>
                <w:rFonts w:ascii="Arial" w:hAnsi="Arial" w:cs="Arial" w:eastAsia="Arial" w:hint="default"/>
                <w:sz w:val="22"/>
                <w:szCs w:val="22"/>
              </w:rPr>
              <w:t>2019</w:t>
            </w:r>
            <w:r>
              <w:rPr>
                <w:rFonts w:ascii="Arial" w:hAnsi="Arial" w:cs="Arial" w:eastAsia="Arial" w:hint="default"/>
                <w:spacing w:val="-8"/>
                <w:sz w:val="22"/>
                <w:szCs w:val="22"/>
              </w:rPr>
              <w:t> </w:t>
            </w:r>
            <w:r>
              <w:rPr>
                <w:rFonts w:ascii="宋体" w:hAnsi="宋体" w:cs="宋体" w:eastAsia="宋体" w:hint="default"/>
                <w:sz w:val="22"/>
                <w:szCs w:val="22"/>
              </w:rPr>
              <w:t>年</w:t>
            </w:r>
            <w:r>
              <w:rPr>
                <w:rFonts w:ascii="宋体" w:hAnsi="宋体" w:cs="宋体" w:eastAsia="宋体" w:hint="default"/>
                <w:spacing w:val="-57"/>
                <w:sz w:val="22"/>
                <w:szCs w:val="22"/>
              </w:rPr>
              <w:t> </w:t>
            </w:r>
            <w:r>
              <w:rPr>
                <w:rFonts w:ascii="Arial" w:hAnsi="Arial" w:cs="Arial" w:eastAsia="Arial" w:hint="default"/>
                <w:sz w:val="22"/>
                <w:szCs w:val="22"/>
              </w:rPr>
              <w:t>1</w:t>
            </w:r>
            <w:r>
              <w:rPr>
                <w:rFonts w:ascii="Arial" w:hAnsi="Arial" w:cs="Arial" w:eastAsia="Arial" w:hint="default"/>
                <w:spacing w:val="-8"/>
                <w:sz w:val="22"/>
                <w:szCs w:val="22"/>
              </w:rPr>
              <w:t> </w:t>
            </w:r>
            <w:r>
              <w:rPr>
                <w:rFonts w:ascii="宋体" w:hAnsi="宋体" w:cs="宋体" w:eastAsia="宋体" w:hint="default"/>
                <w:sz w:val="22"/>
                <w:szCs w:val="22"/>
              </w:rPr>
              <w:t>月</w:t>
            </w:r>
            <w:r>
              <w:rPr>
                <w:rFonts w:ascii="宋体" w:hAnsi="宋体" w:cs="宋体" w:eastAsia="宋体" w:hint="default"/>
                <w:spacing w:val="-57"/>
                <w:sz w:val="22"/>
                <w:szCs w:val="22"/>
              </w:rPr>
              <w:t> </w:t>
            </w:r>
            <w:r>
              <w:rPr>
                <w:rFonts w:ascii="Arial" w:hAnsi="Arial" w:cs="Arial" w:eastAsia="Arial" w:hint="default"/>
                <w:sz w:val="22"/>
                <w:szCs w:val="22"/>
              </w:rPr>
              <w:t>6</w:t>
            </w:r>
            <w:r>
              <w:rPr>
                <w:rFonts w:ascii="Arial" w:hAnsi="Arial" w:cs="Arial" w:eastAsia="Arial" w:hint="default"/>
                <w:spacing w:val="-8"/>
                <w:sz w:val="22"/>
                <w:szCs w:val="22"/>
              </w:rPr>
              <w:t> </w:t>
            </w:r>
            <w:r>
              <w:rPr>
                <w:rFonts w:ascii="宋体" w:hAnsi="宋体" w:cs="宋体" w:eastAsia="宋体" w:hint="default"/>
                <w:sz w:val="22"/>
                <w:szCs w:val="22"/>
              </w:rPr>
              <w:t>日）；国内甚小口径终端地球站（</w:t>
            </w:r>
            <w:r>
              <w:rPr>
                <w:rFonts w:ascii="Arial" w:hAnsi="Arial" w:cs="Arial" w:eastAsia="Arial" w:hint="default"/>
                <w:sz w:val="22"/>
                <w:szCs w:val="22"/>
              </w:rPr>
              <w:t>VSAT</w:t>
            </w:r>
            <w:r>
              <w:rPr>
                <w:rFonts w:ascii="宋体" w:hAnsi="宋体" w:cs="宋体" w:eastAsia="宋体" w:hint="default"/>
                <w:sz w:val="22"/>
                <w:szCs w:val="22"/>
              </w:rPr>
              <w:t>）</w:t>
            </w:r>
          </w:p>
        </w:tc>
      </w:tr>
      <w:tr>
        <w:trPr>
          <w:trHeight w:val="280" w:hRule="exact"/>
        </w:trPr>
        <w:tc>
          <w:tcPr>
            <w:tcW w:w="1681" w:type="dxa"/>
            <w:tcBorders>
              <w:top w:val="nil" w:sz="6" w:space="0" w:color="auto"/>
              <w:left w:val="single" w:sz="6" w:space="0" w:color="000000"/>
              <w:bottom w:val="nil" w:sz="6" w:space="0" w:color="auto"/>
              <w:right w:val="single" w:sz="6" w:space="0" w:color="000000"/>
            </w:tcBorders>
          </w:tcPr>
          <w:p>
            <w:pPr/>
          </w:p>
        </w:tc>
        <w:tc>
          <w:tcPr>
            <w:tcW w:w="7249" w:type="dxa"/>
            <w:tcBorders>
              <w:top w:val="nil" w:sz="6" w:space="0" w:color="auto"/>
              <w:left w:val="single" w:sz="6" w:space="0" w:color="000000"/>
              <w:bottom w:val="nil" w:sz="6" w:space="0" w:color="auto"/>
              <w:right w:val="single" w:sz="6" w:space="0" w:color="000000"/>
            </w:tcBorders>
          </w:tcPr>
          <w:p>
            <w:pPr>
              <w:pStyle w:val="TableParagraph"/>
              <w:spacing w:line="247" w:lineRule="exact"/>
              <w:ind w:left="100" w:right="0"/>
              <w:jc w:val="left"/>
              <w:rPr>
                <w:rFonts w:ascii="宋体" w:hAnsi="宋体" w:cs="宋体" w:eastAsia="宋体" w:hint="default"/>
                <w:sz w:val="22"/>
                <w:szCs w:val="22"/>
              </w:rPr>
            </w:pPr>
            <w:r>
              <w:rPr>
                <w:rFonts w:ascii="宋体" w:hAnsi="宋体" w:cs="宋体" w:eastAsia="宋体" w:hint="default"/>
                <w:sz w:val="22"/>
                <w:szCs w:val="22"/>
              </w:rPr>
              <w:t>通信业务、固定网国内数据传送业务、无线数据传送业务、用户驻地网业</w:t>
            </w:r>
          </w:p>
        </w:tc>
      </w:tr>
      <w:tr>
        <w:trPr>
          <w:trHeight w:val="285" w:hRule="exact"/>
        </w:trPr>
        <w:tc>
          <w:tcPr>
            <w:tcW w:w="1681" w:type="dxa"/>
            <w:tcBorders>
              <w:top w:val="nil" w:sz="6" w:space="0" w:color="auto"/>
              <w:left w:val="single" w:sz="6" w:space="0" w:color="000000"/>
              <w:bottom w:val="nil" w:sz="6" w:space="0" w:color="auto"/>
              <w:right w:val="single" w:sz="6" w:space="0" w:color="000000"/>
            </w:tcBorders>
          </w:tcPr>
          <w:p>
            <w:pPr/>
          </w:p>
        </w:tc>
        <w:tc>
          <w:tcPr>
            <w:tcW w:w="7249" w:type="dxa"/>
            <w:tcBorders>
              <w:top w:val="nil" w:sz="6" w:space="0" w:color="auto"/>
              <w:left w:val="single" w:sz="6" w:space="0" w:color="000000"/>
              <w:bottom w:val="nil" w:sz="6" w:space="0" w:color="auto"/>
              <w:right w:val="single" w:sz="6" w:space="0" w:color="000000"/>
            </w:tcBorders>
          </w:tcPr>
          <w:p>
            <w:pPr>
              <w:pStyle w:val="TableParagraph"/>
              <w:spacing w:line="252" w:lineRule="exact"/>
              <w:ind w:left="100" w:right="0"/>
              <w:jc w:val="left"/>
              <w:rPr>
                <w:rFonts w:ascii="宋体" w:hAnsi="宋体" w:cs="宋体" w:eastAsia="宋体" w:hint="default"/>
                <w:sz w:val="22"/>
                <w:szCs w:val="22"/>
              </w:rPr>
            </w:pPr>
            <w:r>
              <w:rPr>
                <w:rFonts w:ascii="宋体" w:hAnsi="宋体" w:cs="宋体" w:eastAsia="宋体" w:hint="default"/>
                <w:sz w:val="22"/>
                <w:szCs w:val="22"/>
              </w:rPr>
              <w:t>务和网络托管业务、增值电信业务中的在线数据处理与交易处理业务、国</w:t>
            </w:r>
          </w:p>
        </w:tc>
      </w:tr>
      <w:tr>
        <w:trPr>
          <w:trHeight w:val="285" w:hRule="exact"/>
        </w:trPr>
        <w:tc>
          <w:tcPr>
            <w:tcW w:w="1681" w:type="dxa"/>
            <w:tcBorders>
              <w:top w:val="nil" w:sz="6" w:space="0" w:color="auto"/>
              <w:left w:val="single" w:sz="6" w:space="0" w:color="000000"/>
              <w:bottom w:val="nil" w:sz="6" w:space="0" w:color="auto"/>
              <w:right w:val="single" w:sz="6" w:space="0" w:color="000000"/>
            </w:tcBorders>
          </w:tcPr>
          <w:p>
            <w:pPr/>
          </w:p>
        </w:tc>
        <w:tc>
          <w:tcPr>
            <w:tcW w:w="7249" w:type="dxa"/>
            <w:tcBorders>
              <w:top w:val="nil" w:sz="6" w:space="0" w:color="auto"/>
              <w:left w:val="single" w:sz="6" w:space="0" w:color="000000"/>
              <w:bottom w:val="nil" w:sz="6" w:space="0" w:color="auto"/>
              <w:right w:val="single" w:sz="6" w:space="0" w:color="000000"/>
            </w:tcBorders>
          </w:tcPr>
          <w:p>
            <w:pPr>
              <w:pStyle w:val="TableParagraph"/>
              <w:spacing w:line="253" w:lineRule="exact"/>
              <w:ind w:left="100" w:right="0"/>
              <w:jc w:val="left"/>
              <w:rPr>
                <w:rFonts w:ascii="宋体" w:hAnsi="宋体" w:cs="宋体" w:eastAsia="宋体" w:hint="default"/>
                <w:sz w:val="22"/>
                <w:szCs w:val="22"/>
              </w:rPr>
            </w:pPr>
            <w:r>
              <w:rPr>
                <w:rFonts w:ascii="宋体" w:hAnsi="宋体" w:cs="宋体" w:eastAsia="宋体" w:hint="default"/>
                <w:sz w:val="22"/>
                <w:szCs w:val="22"/>
              </w:rPr>
              <w:t>内因特网虚拟专用网业务、因特网数据中心业务、语音信箱业务、传真存</w:t>
            </w:r>
          </w:p>
        </w:tc>
      </w:tr>
      <w:tr>
        <w:trPr>
          <w:trHeight w:val="291" w:hRule="exact"/>
        </w:trPr>
        <w:tc>
          <w:tcPr>
            <w:tcW w:w="1681" w:type="dxa"/>
            <w:tcBorders>
              <w:top w:val="nil" w:sz="6" w:space="0" w:color="auto"/>
              <w:left w:val="single" w:sz="6" w:space="0" w:color="000000"/>
              <w:bottom w:val="nil" w:sz="6" w:space="0" w:color="auto"/>
              <w:right w:val="single" w:sz="6" w:space="0" w:color="000000"/>
            </w:tcBorders>
          </w:tcPr>
          <w:p>
            <w:pPr/>
          </w:p>
        </w:tc>
        <w:tc>
          <w:tcPr>
            <w:tcW w:w="7249" w:type="dxa"/>
            <w:tcBorders>
              <w:top w:val="nil" w:sz="6" w:space="0" w:color="auto"/>
              <w:left w:val="single" w:sz="6" w:space="0" w:color="000000"/>
              <w:bottom w:val="nil" w:sz="6" w:space="0" w:color="auto"/>
              <w:right w:val="single" w:sz="6" w:space="0" w:color="000000"/>
            </w:tcBorders>
          </w:tcPr>
          <w:p>
            <w:pPr>
              <w:pStyle w:val="TableParagraph"/>
              <w:spacing w:line="268" w:lineRule="exact"/>
              <w:ind w:left="100" w:right="0"/>
              <w:jc w:val="left"/>
              <w:rPr>
                <w:rFonts w:ascii="宋体" w:hAnsi="宋体" w:cs="宋体" w:eastAsia="宋体" w:hint="default"/>
                <w:sz w:val="22"/>
                <w:szCs w:val="22"/>
              </w:rPr>
            </w:pPr>
            <w:r>
              <w:rPr>
                <w:rFonts w:ascii="宋体" w:hAnsi="宋体" w:cs="宋体" w:eastAsia="宋体" w:hint="default"/>
                <w:sz w:val="22"/>
                <w:szCs w:val="22"/>
              </w:rPr>
              <w:t>储转发业务、</w:t>
            </w:r>
            <w:r>
              <w:rPr>
                <w:rFonts w:ascii="Arial" w:hAnsi="Arial" w:cs="Arial" w:eastAsia="Arial" w:hint="default"/>
                <w:sz w:val="22"/>
                <w:szCs w:val="22"/>
              </w:rPr>
              <w:t>X.400</w:t>
            </w:r>
            <w:r>
              <w:rPr>
                <w:rFonts w:ascii="Arial" w:hAnsi="Arial" w:cs="Arial" w:eastAsia="Arial" w:hint="default"/>
                <w:spacing w:val="12"/>
                <w:sz w:val="22"/>
                <w:szCs w:val="22"/>
              </w:rPr>
              <w:t> </w:t>
            </w:r>
            <w:r>
              <w:rPr>
                <w:rFonts w:ascii="宋体" w:hAnsi="宋体" w:cs="宋体" w:eastAsia="宋体" w:hint="default"/>
                <w:sz w:val="22"/>
                <w:szCs w:val="22"/>
              </w:rPr>
              <w:t>电子邮件业务、呼叫中心业务、因特网接入服务业务</w:t>
            </w:r>
          </w:p>
        </w:tc>
      </w:tr>
      <w:tr>
        <w:trPr>
          <w:trHeight w:val="850" w:hRule="exact"/>
        </w:trPr>
        <w:tc>
          <w:tcPr>
            <w:tcW w:w="1681" w:type="dxa"/>
            <w:tcBorders>
              <w:top w:val="nil" w:sz="6" w:space="0" w:color="auto"/>
              <w:left w:val="single" w:sz="6" w:space="0" w:color="000000"/>
              <w:bottom w:val="nil" w:sz="6" w:space="0" w:color="auto"/>
              <w:right w:val="single" w:sz="6" w:space="0" w:color="000000"/>
            </w:tcBorders>
          </w:tcPr>
          <w:p>
            <w:pPr>
              <w:pStyle w:val="TableParagraph"/>
              <w:spacing w:line="286" w:lineRule="exact" w:before="128"/>
              <w:ind w:left="100" w:right="244"/>
              <w:jc w:val="left"/>
              <w:rPr>
                <w:rFonts w:ascii="宋体" w:hAnsi="宋体" w:cs="宋体" w:eastAsia="宋体" w:hint="default"/>
                <w:sz w:val="22"/>
                <w:szCs w:val="22"/>
              </w:rPr>
            </w:pPr>
            <w:r>
              <w:rPr>
                <w:rFonts w:ascii="宋体" w:hAnsi="宋体" w:cs="宋体" w:eastAsia="宋体" w:hint="default"/>
                <w:sz w:val="22"/>
                <w:szCs w:val="22"/>
              </w:rPr>
              <w:t>主要经营业务</w:t>
            </w:r>
            <w:r>
              <w:rPr>
                <w:rFonts w:ascii="宋体" w:hAnsi="宋体" w:cs="宋体" w:eastAsia="宋体" w:hint="default"/>
                <w:w w:val="99"/>
                <w:sz w:val="22"/>
                <w:szCs w:val="22"/>
              </w:rPr>
              <w:t> </w:t>
            </w:r>
            <w:r>
              <w:rPr>
                <w:rFonts w:ascii="宋体" w:hAnsi="宋体" w:cs="宋体" w:eastAsia="宋体" w:hint="default"/>
                <w:sz w:val="22"/>
                <w:szCs w:val="22"/>
              </w:rPr>
              <w:t>或管理活动</w:t>
            </w:r>
          </w:p>
        </w:tc>
        <w:tc>
          <w:tcPr>
            <w:tcW w:w="7249" w:type="dxa"/>
            <w:tcBorders>
              <w:top w:val="nil" w:sz="6" w:space="0" w:color="auto"/>
              <w:left w:val="single" w:sz="6" w:space="0" w:color="000000"/>
              <w:bottom w:val="nil" w:sz="6" w:space="0" w:color="auto"/>
              <w:right w:val="single" w:sz="6" w:space="0" w:color="000000"/>
            </w:tcBorders>
          </w:tcPr>
          <w:p>
            <w:pPr>
              <w:pStyle w:val="TableParagraph"/>
              <w:spacing w:line="246" w:lineRule="exact"/>
              <w:ind w:left="100" w:right="0"/>
              <w:jc w:val="left"/>
              <w:rPr>
                <w:rFonts w:ascii="宋体" w:hAnsi="宋体" w:cs="宋体" w:eastAsia="宋体" w:hint="default"/>
                <w:sz w:val="22"/>
                <w:szCs w:val="22"/>
              </w:rPr>
            </w:pPr>
            <w:r>
              <w:rPr>
                <w:rFonts w:ascii="宋体" w:hAnsi="宋体" w:cs="宋体" w:eastAsia="宋体" w:hint="default"/>
                <w:sz w:val="22"/>
                <w:szCs w:val="22"/>
              </w:rPr>
              <w:t>和信息服务业务（含固定网电话信息服务业务、互联网信息服务业务和移</w:t>
            </w:r>
          </w:p>
          <w:p>
            <w:pPr>
              <w:pStyle w:val="TableParagraph"/>
              <w:spacing w:line="284" w:lineRule="exact" w:before="28"/>
              <w:ind w:left="100" w:right="-8"/>
              <w:jc w:val="left"/>
              <w:rPr>
                <w:rFonts w:ascii="宋体" w:hAnsi="宋体" w:cs="宋体" w:eastAsia="宋体" w:hint="default"/>
                <w:sz w:val="22"/>
                <w:szCs w:val="22"/>
              </w:rPr>
            </w:pPr>
            <w:r>
              <w:rPr>
                <w:rFonts w:ascii="宋体" w:hAnsi="宋体" w:cs="宋体" w:eastAsia="宋体" w:hint="default"/>
                <w:sz w:val="22"/>
                <w:szCs w:val="22"/>
              </w:rPr>
              <w:t>动网信息服务业务，有效期至</w:t>
            </w:r>
            <w:r>
              <w:rPr>
                <w:rFonts w:ascii="宋体" w:hAnsi="宋体" w:cs="宋体" w:eastAsia="宋体" w:hint="default"/>
                <w:spacing w:val="-51"/>
                <w:sz w:val="22"/>
                <w:szCs w:val="22"/>
              </w:rPr>
              <w:t> </w:t>
            </w:r>
            <w:r>
              <w:rPr>
                <w:rFonts w:ascii="Arial" w:hAnsi="Arial" w:cs="Arial" w:eastAsia="Arial" w:hint="default"/>
                <w:sz w:val="22"/>
                <w:szCs w:val="22"/>
              </w:rPr>
              <w:t>2014</w:t>
            </w:r>
            <w:r>
              <w:rPr>
                <w:rFonts w:ascii="Arial" w:hAnsi="Arial" w:cs="Arial" w:eastAsia="Arial" w:hint="default"/>
                <w:spacing w:val="-2"/>
                <w:sz w:val="22"/>
                <w:szCs w:val="22"/>
              </w:rPr>
              <w:t> </w:t>
            </w:r>
            <w:r>
              <w:rPr>
                <w:rFonts w:ascii="宋体" w:hAnsi="宋体" w:cs="宋体" w:eastAsia="宋体" w:hint="default"/>
                <w:sz w:val="22"/>
                <w:szCs w:val="22"/>
              </w:rPr>
              <w:t>年</w:t>
            </w:r>
            <w:r>
              <w:rPr>
                <w:rFonts w:ascii="宋体" w:hAnsi="宋体" w:cs="宋体" w:eastAsia="宋体" w:hint="default"/>
                <w:spacing w:val="-52"/>
                <w:sz w:val="22"/>
                <w:szCs w:val="22"/>
              </w:rPr>
              <w:t> </w:t>
            </w:r>
            <w:r>
              <w:rPr>
                <w:rFonts w:ascii="Arial" w:hAnsi="Arial" w:cs="Arial" w:eastAsia="Arial" w:hint="default"/>
                <w:sz w:val="22"/>
                <w:szCs w:val="22"/>
              </w:rPr>
              <w:t>4</w:t>
            </w:r>
            <w:r>
              <w:rPr>
                <w:rFonts w:ascii="Arial" w:hAnsi="Arial" w:cs="Arial" w:eastAsia="Arial" w:hint="default"/>
                <w:spacing w:val="-2"/>
                <w:sz w:val="22"/>
                <w:szCs w:val="22"/>
              </w:rPr>
              <w:t> </w:t>
            </w:r>
            <w:r>
              <w:rPr>
                <w:rFonts w:ascii="宋体" w:hAnsi="宋体" w:cs="宋体" w:eastAsia="宋体" w:hint="default"/>
                <w:sz w:val="22"/>
                <w:szCs w:val="22"/>
              </w:rPr>
              <w:t>月</w:t>
            </w:r>
            <w:r>
              <w:rPr>
                <w:rFonts w:ascii="宋体" w:hAnsi="宋体" w:cs="宋体" w:eastAsia="宋体" w:hint="default"/>
                <w:spacing w:val="-52"/>
                <w:sz w:val="22"/>
                <w:szCs w:val="22"/>
              </w:rPr>
              <w:t> </w:t>
            </w:r>
            <w:r>
              <w:rPr>
                <w:rFonts w:ascii="Arial" w:hAnsi="Arial" w:cs="Arial" w:eastAsia="Arial" w:hint="default"/>
                <w:sz w:val="22"/>
                <w:szCs w:val="22"/>
              </w:rPr>
              <w:t>9</w:t>
            </w:r>
            <w:r>
              <w:rPr>
                <w:rFonts w:ascii="Arial" w:hAnsi="Arial" w:cs="Arial" w:eastAsia="Arial" w:hint="default"/>
                <w:spacing w:val="-2"/>
                <w:sz w:val="22"/>
                <w:szCs w:val="22"/>
              </w:rPr>
              <w:t> </w:t>
            </w:r>
            <w:r>
              <w:rPr>
                <w:rFonts w:ascii="宋体" w:hAnsi="宋体" w:cs="宋体" w:eastAsia="宋体" w:hint="default"/>
                <w:sz w:val="22"/>
                <w:szCs w:val="22"/>
              </w:rPr>
              <w:t>日）；《信息通信技术》期</w:t>
            </w:r>
            <w:r>
              <w:rPr>
                <w:rFonts w:ascii="宋体" w:hAnsi="宋体" w:cs="宋体" w:eastAsia="宋体" w:hint="default"/>
                <w:w w:val="99"/>
                <w:sz w:val="22"/>
                <w:szCs w:val="22"/>
              </w:rPr>
              <w:t> </w:t>
            </w:r>
            <w:r>
              <w:rPr>
                <w:rFonts w:ascii="宋体" w:hAnsi="宋体" w:cs="宋体" w:eastAsia="宋体" w:hint="default"/>
                <w:spacing w:val="-4"/>
                <w:sz w:val="22"/>
                <w:szCs w:val="22"/>
              </w:rPr>
              <w:t>刊出版（限中国联合网络通信集团有限公司《信息通信技术》编辑部经营，</w:t>
            </w:r>
          </w:p>
        </w:tc>
      </w:tr>
      <w:tr>
        <w:trPr>
          <w:trHeight w:val="291" w:hRule="exact"/>
        </w:trPr>
        <w:tc>
          <w:tcPr>
            <w:tcW w:w="1681" w:type="dxa"/>
            <w:tcBorders>
              <w:top w:val="nil" w:sz="6" w:space="0" w:color="auto"/>
              <w:left w:val="single" w:sz="6" w:space="0" w:color="000000"/>
              <w:bottom w:val="nil" w:sz="6" w:space="0" w:color="auto"/>
              <w:right w:val="single" w:sz="6" w:space="0" w:color="000000"/>
            </w:tcBorders>
          </w:tcPr>
          <w:p>
            <w:pPr/>
          </w:p>
        </w:tc>
        <w:tc>
          <w:tcPr>
            <w:tcW w:w="7249" w:type="dxa"/>
            <w:tcBorders>
              <w:top w:val="nil" w:sz="6" w:space="0" w:color="auto"/>
              <w:left w:val="single" w:sz="6" w:space="0" w:color="000000"/>
              <w:bottom w:val="nil" w:sz="6" w:space="0" w:color="auto"/>
              <w:right w:val="single" w:sz="6" w:space="0" w:color="000000"/>
            </w:tcBorders>
          </w:tcPr>
          <w:p>
            <w:pPr>
              <w:pStyle w:val="TableParagraph"/>
              <w:spacing w:line="268" w:lineRule="exact"/>
              <w:ind w:left="100" w:right="0"/>
              <w:jc w:val="left"/>
              <w:rPr>
                <w:rFonts w:ascii="宋体" w:hAnsi="宋体" w:cs="宋体" w:eastAsia="宋体" w:hint="default"/>
                <w:sz w:val="22"/>
                <w:szCs w:val="22"/>
              </w:rPr>
            </w:pPr>
            <w:r>
              <w:rPr>
                <w:rFonts w:ascii="宋体" w:hAnsi="宋体" w:cs="宋体" w:eastAsia="宋体" w:hint="default"/>
                <w:sz w:val="22"/>
                <w:szCs w:val="22"/>
              </w:rPr>
              <w:t>有限期至</w:t>
            </w:r>
            <w:r>
              <w:rPr>
                <w:rFonts w:ascii="宋体" w:hAnsi="宋体" w:cs="宋体" w:eastAsia="宋体" w:hint="default"/>
                <w:spacing w:val="-56"/>
                <w:sz w:val="22"/>
                <w:szCs w:val="22"/>
              </w:rPr>
              <w:t> </w:t>
            </w:r>
            <w:r>
              <w:rPr>
                <w:rFonts w:ascii="Arial" w:hAnsi="Arial" w:cs="Arial" w:eastAsia="Arial" w:hint="default"/>
                <w:sz w:val="22"/>
                <w:szCs w:val="22"/>
              </w:rPr>
              <w:t>2013</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6"/>
                <w:sz w:val="22"/>
                <w:szCs w:val="22"/>
              </w:rPr>
              <w:t> </w:t>
            </w:r>
            <w:r>
              <w:rPr>
                <w:rFonts w:ascii="宋体" w:hAnsi="宋体" w:cs="宋体" w:eastAsia="宋体" w:hint="default"/>
                <w:sz w:val="22"/>
                <w:szCs w:val="22"/>
              </w:rPr>
              <w:t>月</w:t>
            </w:r>
            <w:r>
              <w:rPr>
                <w:rFonts w:ascii="宋体" w:hAnsi="宋体" w:cs="宋体" w:eastAsia="宋体" w:hint="default"/>
                <w:spacing w:val="-55"/>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日）；全国性互联网上网服务营业场所连锁经</w:t>
            </w:r>
          </w:p>
        </w:tc>
      </w:tr>
      <w:tr>
        <w:trPr>
          <w:trHeight w:val="280" w:hRule="exact"/>
        </w:trPr>
        <w:tc>
          <w:tcPr>
            <w:tcW w:w="1681" w:type="dxa"/>
            <w:tcBorders>
              <w:top w:val="nil" w:sz="6" w:space="0" w:color="auto"/>
              <w:left w:val="single" w:sz="6" w:space="0" w:color="000000"/>
              <w:bottom w:val="nil" w:sz="6" w:space="0" w:color="auto"/>
              <w:right w:val="single" w:sz="6" w:space="0" w:color="000000"/>
            </w:tcBorders>
          </w:tcPr>
          <w:p>
            <w:pPr/>
          </w:p>
        </w:tc>
        <w:tc>
          <w:tcPr>
            <w:tcW w:w="7249" w:type="dxa"/>
            <w:tcBorders>
              <w:top w:val="nil" w:sz="6" w:space="0" w:color="auto"/>
              <w:left w:val="single" w:sz="6" w:space="0" w:color="000000"/>
              <w:bottom w:val="nil" w:sz="6" w:space="0" w:color="auto"/>
              <w:right w:val="single" w:sz="6" w:space="0" w:color="000000"/>
            </w:tcBorders>
          </w:tcPr>
          <w:p>
            <w:pPr>
              <w:pStyle w:val="TableParagraph"/>
              <w:spacing w:line="247" w:lineRule="exact"/>
              <w:ind w:left="100" w:right="0"/>
              <w:jc w:val="left"/>
              <w:rPr>
                <w:rFonts w:ascii="宋体" w:hAnsi="宋体" w:cs="宋体" w:eastAsia="宋体" w:hint="default"/>
                <w:sz w:val="22"/>
                <w:szCs w:val="22"/>
              </w:rPr>
            </w:pPr>
            <w:r>
              <w:rPr>
                <w:rFonts w:ascii="宋体" w:hAnsi="宋体" w:cs="宋体" w:eastAsia="宋体" w:hint="default"/>
                <w:sz w:val="22"/>
                <w:szCs w:val="22"/>
              </w:rPr>
              <w:t>营；利用互联网经营音像制品、游戏产品、艺术品、演出剧（节）目、动</w:t>
            </w:r>
          </w:p>
        </w:tc>
      </w:tr>
      <w:tr>
        <w:trPr>
          <w:trHeight w:val="285" w:hRule="exact"/>
        </w:trPr>
        <w:tc>
          <w:tcPr>
            <w:tcW w:w="1681" w:type="dxa"/>
            <w:tcBorders>
              <w:top w:val="nil" w:sz="6" w:space="0" w:color="auto"/>
              <w:left w:val="single" w:sz="6" w:space="0" w:color="000000"/>
              <w:bottom w:val="nil" w:sz="6" w:space="0" w:color="auto"/>
              <w:right w:val="single" w:sz="6" w:space="0" w:color="000000"/>
            </w:tcBorders>
          </w:tcPr>
          <w:p>
            <w:pPr/>
          </w:p>
        </w:tc>
        <w:tc>
          <w:tcPr>
            <w:tcW w:w="7249" w:type="dxa"/>
            <w:tcBorders>
              <w:top w:val="nil" w:sz="6" w:space="0" w:color="auto"/>
              <w:left w:val="single" w:sz="6" w:space="0" w:color="000000"/>
              <w:bottom w:val="nil" w:sz="6" w:space="0" w:color="auto"/>
              <w:right w:val="single" w:sz="6" w:space="0" w:color="000000"/>
            </w:tcBorders>
          </w:tcPr>
          <w:p>
            <w:pPr>
              <w:pStyle w:val="TableParagraph"/>
              <w:spacing w:line="253" w:lineRule="exact"/>
              <w:ind w:left="100" w:right="-9"/>
              <w:jc w:val="left"/>
              <w:rPr>
                <w:rFonts w:ascii="宋体" w:hAnsi="宋体" w:cs="宋体" w:eastAsia="宋体" w:hint="default"/>
                <w:sz w:val="22"/>
                <w:szCs w:val="22"/>
              </w:rPr>
            </w:pPr>
            <w:r>
              <w:rPr>
                <w:rFonts w:ascii="宋体" w:hAnsi="宋体" w:cs="宋体" w:eastAsia="宋体" w:hint="default"/>
                <w:spacing w:val="-4"/>
                <w:sz w:val="22"/>
                <w:szCs w:val="22"/>
              </w:rPr>
              <w:t>画等其它文化产品，从事互联网文化产品展览比赛等活动。一般经营项目：</w:t>
            </w:r>
          </w:p>
        </w:tc>
      </w:tr>
      <w:tr>
        <w:trPr>
          <w:trHeight w:val="285" w:hRule="exact"/>
        </w:trPr>
        <w:tc>
          <w:tcPr>
            <w:tcW w:w="1681" w:type="dxa"/>
            <w:tcBorders>
              <w:top w:val="nil" w:sz="6" w:space="0" w:color="auto"/>
              <w:left w:val="single" w:sz="6" w:space="0" w:color="000000"/>
              <w:bottom w:val="nil" w:sz="6" w:space="0" w:color="auto"/>
              <w:right w:val="single" w:sz="6" w:space="0" w:color="000000"/>
            </w:tcBorders>
          </w:tcPr>
          <w:p>
            <w:pPr/>
          </w:p>
        </w:tc>
        <w:tc>
          <w:tcPr>
            <w:tcW w:w="7249" w:type="dxa"/>
            <w:tcBorders>
              <w:top w:val="nil" w:sz="6" w:space="0" w:color="auto"/>
              <w:left w:val="single" w:sz="6" w:space="0" w:color="000000"/>
              <w:bottom w:val="nil" w:sz="6" w:space="0" w:color="auto"/>
              <w:right w:val="single" w:sz="6" w:space="0" w:color="000000"/>
            </w:tcBorders>
          </w:tcPr>
          <w:p>
            <w:pPr>
              <w:pStyle w:val="TableParagraph"/>
              <w:spacing w:line="252" w:lineRule="exact"/>
              <w:ind w:left="100" w:right="-8"/>
              <w:jc w:val="left"/>
              <w:rPr>
                <w:rFonts w:ascii="宋体" w:hAnsi="宋体" w:cs="宋体" w:eastAsia="宋体" w:hint="default"/>
                <w:sz w:val="22"/>
                <w:szCs w:val="22"/>
              </w:rPr>
            </w:pPr>
            <w:r>
              <w:rPr>
                <w:rFonts w:ascii="宋体" w:hAnsi="宋体" w:cs="宋体" w:eastAsia="宋体" w:hint="default"/>
                <w:spacing w:val="-4"/>
                <w:sz w:val="22"/>
                <w:szCs w:val="22"/>
              </w:rPr>
              <w:t>经营与通信及信息业务相关的系统集成、技术开发、技术服务、设备生产、</w:t>
            </w:r>
          </w:p>
        </w:tc>
      </w:tr>
      <w:tr>
        <w:trPr>
          <w:trHeight w:val="285" w:hRule="exact"/>
        </w:trPr>
        <w:tc>
          <w:tcPr>
            <w:tcW w:w="1681" w:type="dxa"/>
            <w:tcBorders>
              <w:top w:val="nil" w:sz="6" w:space="0" w:color="auto"/>
              <w:left w:val="single" w:sz="6" w:space="0" w:color="000000"/>
              <w:bottom w:val="nil" w:sz="6" w:space="0" w:color="auto"/>
              <w:right w:val="single" w:sz="6" w:space="0" w:color="000000"/>
            </w:tcBorders>
          </w:tcPr>
          <w:p>
            <w:pPr/>
          </w:p>
        </w:tc>
        <w:tc>
          <w:tcPr>
            <w:tcW w:w="7249" w:type="dxa"/>
            <w:tcBorders>
              <w:top w:val="nil" w:sz="6" w:space="0" w:color="auto"/>
              <w:left w:val="single" w:sz="6" w:space="0" w:color="000000"/>
              <w:bottom w:val="nil" w:sz="6" w:space="0" w:color="auto"/>
              <w:right w:val="single" w:sz="6" w:space="0" w:color="000000"/>
            </w:tcBorders>
          </w:tcPr>
          <w:p>
            <w:pPr>
              <w:pStyle w:val="TableParagraph"/>
              <w:spacing w:line="253" w:lineRule="exact"/>
              <w:ind w:left="100" w:right="0"/>
              <w:jc w:val="left"/>
              <w:rPr>
                <w:rFonts w:ascii="宋体" w:hAnsi="宋体" w:cs="宋体" w:eastAsia="宋体" w:hint="default"/>
                <w:sz w:val="22"/>
                <w:szCs w:val="22"/>
              </w:rPr>
            </w:pPr>
            <w:r>
              <w:rPr>
                <w:rFonts w:ascii="宋体" w:hAnsi="宋体" w:cs="宋体" w:eastAsia="宋体" w:hint="default"/>
                <w:sz w:val="22"/>
                <w:szCs w:val="22"/>
              </w:rPr>
              <w:t>销售、设计施工业务；招标代理；自有房屋出租；电子通信器材的销售；</w:t>
            </w:r>
          </w:p>
        </w:tc>
      </w:tr>
      <w:tr>
        <w:trPr>
          <w:trHeight w:val="285" w:hRule="exact"/>
        </w:trPr>
        <w:tc>
          <w:tcPr>
            <w:tcW w:w="1681" w:type="dxa"/>
            <w:tcBorders>
              <w:top w:val="nil" w:sz="6" w:space="0" w:color="auto"/>
              <w:left w:val="single" w:sz="6" w:space="0" w:color="000000"/>
              <w:bottom w:val="nil" w:sz="6" w:space="0" w:color="auto"/>
              <w:right w:val="single" w:sz="6" w:space="0" w:color="000000"/>
            </w:tcBorders>
          </w:tcPr>
          <w:p>
            <w:pPr/>
          </w:p>
        </w:tc>
        <w:tc>
          <w:tcPr>
            <w:tcW w:w="7249" w:type="dxa"/>
            <w:tcBorders>
              <w:top w:val="nil" w:sz="6" w:space="0" w:color="auto"/>
              <w:left w:val="single" w:sz="6" w:space="0" w:color="000000"/>
              <w:bottom w:val="nil" w:sz="6" w:space="0" w:color="auto"/>
              <w:right w:val="single" w:sz="6" w:space="0" w:color="000000"/>
            </w:tcBorders>
          </w:tcPr>
          <w:p>
            <w:pPr>
              <w:pStyle w:val="TableParagraph"/>
              <w:spacing w:line="253" w:lineRule="exact"/>
              <w:ind w:left="100" w:right="0"/>
              <w:jc w:val="left"/>
              <w:rPr>
                <w:rFonts w:ascii="宋体" w:hAnsi="宋体" w:cs="宋体" w:eastAsia="宋体" w:hint="default"/>
                <w:sz w:val="22"/>
                <w:szCs w:val="22"/>
              </w:rPr>
            </w:pPr>
            <w:r>
              <w:rPr>
                <w:rFonts w:ascii="宋体" w:hAnsi="宋体" w:cs="宋体" w:eastAsia="宋体" w:hint="default"/>
                <w:sz w:val="22"/>
                <w:szCs w:val="22"/>
              </w:rPr>
              <w:t>承办展览；专业人员培训；物业管理；技术交流和信息咨询；广告业务；</w:t>
            </w:r>
          </w:p>
        </w:tc>
      </w:tr>
      <w:tr>
        <w:trPr>
          <w:trHeight w:val="294" w:hRule="exact"/>
        </w:trPr>
        <w:tc>
          <w:tcPr>
            <w:tcW w:w="1681" w:type="dxa"/>
            <w:tcBorders>
              <w:top w:val="nil" w:sz="6" w:space="0" w:color="auto"/>
              <w:left w:val="single" w:sz="6" w:space="0" w:color="000000"/>
              <w:bottom w:val="single" w:sz="6" w:space="0" w:color="000000"/>
              <w:right w:val="single" w:sz="6" w:space="0" w:color="000000"/>
            </w:tcBorders>
          </w:tcPr>
          <w:p>
            <w:pPr/>
          </w:p>
        </w:tc>
        <w:tc>
          <w:tcPr>
            <w:tcW w:w="7249" w:type="dxa"/>
            <w:tcBorders>
              <w:top w:val="nil" w:sz="6" w:space="0" w:color="auto"/>
              <w:left w:val="single" w:sz="6" w:space="0" w:color="000000"/>
              <w:bottom w:val="single" w:sz="6" w:space="0" w:color="000000"/>
              <w:right w:val="single" w:sz="6" w:space="0" w:color="000000"/>
            </w:tcBorders>
          </w:tcPr>
          <w:p>
            <w:pPr>
              <w:pStyle w:val="TableParagraph"/>
              <w:spacing w:line="253" w:lineRule="exact"/>
              <w:ind w:left="100" w:right="0"/>
              <w:jc w:val="left"/>
              <w:rPr>
                <w:rFonts w:ascii="宋体" w:hAnsi="宋体" w:cs="宋体" w:eastAsia="宋体" w:hint="default"/>
                <w:sz w:val="22"/>
                <w:szCs w:val="22"/>
              </w:rPr>
            </w:pPr>
            <w:r>
              <w:rPr>
                <w:rFonts w:ascii="宋体" w:hAnsi="宋体" w:cs="宋体" w:eastAsia="宋体" w:hint="default"/>
                <w:sz w:val="22"/>
                <w:szCs w:val="22"/>
              </w:rPr>
              <w:t>编制、发行电话号码簿。</w:t>
            </w:r>
          </w:p>
        </w:tc>
      </w:tr>
    </w:tbl>
    <w:p>
      <w:pPr>
        <w:spacing w:line="240" w:lineRule="auto" w:before="5"/>
        <w:rPr>
          <w:rFonts w:ascii="宋体" w:hAnsi="宋体" w:cs="宋体" w:eastAsia="宋体" w:hint="default"/>
          <w:sz w:val="12"/>
          <w:szCs w:val="12"/>
        </w:rPr>
      </w:pPr>
    </w:p>
    <w:p>
      <w:pPr>
        <w:pStyle w:val="BodyText"/>
        <w:tabs>
          <w:tab w:pos="667" w:val="left" w:leader="none"/>
        </w:tabs>
        <w:spacing w:line="295" w:lineRule="exact" w:before="31"/>
        <w:ind w:left="149" w:right="0"/>
        <w:jc w:val="left"/>
      </w:pPr>
      <w:r>
        <w:rPr>
          <w:rFonts w:ascii="Arial" w:hAnsi="Arial" w:cs="Arial" w:eastAsia="Arial" w:hint="default"/>
          <w:w w:val="95"/>
        </w:rPr>
        <w:t>(3)</w:t>
        <w:tab/>
      </w:r>
      <w:r>
        <w:rPr/>
        <w:t>法人实际控制人情况</w:t>
      </w:r>
    </w:p>
    <w:p>
      <w:pPr>
        <w:pStyle w:val="BodyText"/>
        <w:spacing w:line="279" w:lineRule="exact"/>
        <w:ind w:left="0" w:right="177"/>
        <w:jc w:val="right"/>
      </w:pPr>
      <w:r>
        <w:rPr/>
        <w:t>单位： 元</w:t>
      </w:r>
      <w:r>
        <w:rPr>
          <w:spacing w:val="-2"/>
        </w:rPr>
        <w:t> </w:t>
      </w:r>
      <w:r>
        <w:rPr/>
        <w:t>币种：人民币</w:t>
      </w:r>
    </w:p>
    <w:p>
      <w:pPr>
        <w:spacing w:line="240" w:lineRule="auto" w:before="8"/>
        <w:rPr>
          <w:rFonts w:ascii="宋体" w:hAnsi="宋体" w:cs="宋体" w:eastAsia="宋体" w:hint="default"/>
          <w:sz w:val="2"/>
          <w:szCs w:val="2"/>
        </w:rPr>
      </w:pPr>
    </w:p>
    <w:tbl>
      <w:tblPr>
        <w:tblW w:w="0" w:type="auto"/>
        <w:jc w:val="left"/>
        <w:tblInd w:w="562" w:type="dxa"/>
        <w:tblLayout w:type="fixed"/>
        <w:tblCellMar>
          <w:top w:w="0" w:type="dxa"/>
          <w:left w:w="0" w:type="dxa"/>
          <w:bottom w:w="0" w:type="dxa"/>
          <w:right w:w="0" w:type="dxa"/>
        </w:tblCellMar>
        <w:tblLook w:val="01E0"/>
      </w:tblPr>
      <w:tblGrid>
        <w:gridCol w:w="2099"/>
        <w:gridCol w:w="1583"/>
        <w:gridCol w:w="1596"/>
        <w:gridCol w:w="1736"/>
        <w:gridCol w:w="1858"/>
      </w:tblGrid>
      <w:tr>
        <w:trPr>
          <w:trHeight w:val="300" w:hRule="exact"/>
        </w:trPr>
        <w:tc>
          <w:tcPr>
            <w:tcW w:w="2099"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0"/>
              <w:jc w:val="center"/>
              <w:rPr>
                <w:rFonts w:ascii="宋体" w:hAnsi="宋体" w:cs="宋体" w:eastAsia="宋体" w:hint="default"/>
                <w:sz w:val="22"/>
                <w:szCs w:val="22"/>
              </w:rPr>
            </w:pPr>
            <w:r>
              <w:rPr>
                <w:rFonts w:ascii="宋体" w:hAnsi="宋体" w:cs="宋体" w:eastAsia="宋体" w:hint="default"/>
                <w:sz w:val="22"/>
                <w:szCs w:val="22"/>
              </w:rPr>
              <w:t>名称</w:t>
            </w:r>
          </w:p>
        </w:tc>
        <w:tc>
          <w:tcPr>
            <w:tcW w:w="1583"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0"/>
              <w:jc w:val="center"/>
              <w:rPr>
                <w:rFonts w:ascii="宋体" w:hAnsi="宋体" w:cs="宋体" w:eastAsia="宋体" w:hint="default"/>
                <w:sz w:val="22"/>
                <w:szCs w:val="22"/>
              </w:rPr>
            </w:pPr>
            <w:r>
              <w:rPr>
                <w:rFonts w:ascii="宋体" w:hAnsi="宋体" w:cs="宋体" w:eastAsia="宋体" w:hint="default"/>
                <w:sz w:val="22"/>
                <w:szCs w:val="22"/>
              </w:rPr>
              <w:t>法定代表人</w:t>
            </w:r>
          </w:p>
        </w:tc>
        <w:tc>
          <w:tcPr>
            <w:tcW w:w="1596"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1"/>
              <w:jc w:val="center"/>
              <w:rPr>
                <w:rFonts w:ascii="宋体" w:hAnsi="宋体" w:cs="宋体" w:eastAsia="宋体" w:hint="default"/>
                <w:sz w:val="22"/>
                <w:szCs w:val="22"/>
              </w:rPr>
            </w:pPr>
            <w:r>
              <w:rPr>
                <w:rFonts w:ascii="宋体" w:hAnsi="宋体" w:cs="宋体" w:eastAsia="宋体" w:hint="default"/>
                <w:sz w:val="22"/>
                <w:szCs w:val="22"/>
              </w:rPr>
              <w:t>注册资本</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 w:right="0"/>
              <w:jc w:val="center"/>
              <w:rPr>
                <w:rFonts w:ascii="宋体" w:hAnsi="宋体" w:cs="宋体" w:eastAsia="宋体" w:hint="default"/>
                <w:sz w:val="22"/>
                <w:szCs w:val="22"/>
              </w:rPr>
            </w:pPr>
            <w:r>
              <w:rPr>
                <w:rFonts w:ascii="宋体" w:hAnsi="宋体" w:cs="宋体" w:eastAsia="宋体" w:hint="default"/>
                <w:sz w:val="22"/>
                <w:szCs w:val="22"/>
              </w:rPr>
              <w:t>成立日期</w:t>
            </w: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0"/>
              <w:jc w:val="center"/>
              <w:rPr>
                <w:rFonts w:ascii="宋体" w:hAnsi="宋体" w:cs="宋体" w:eastAsia="宋体" w:hint="default"/>
                <w:sz w:val="22"/>
                <w:szCs w:val="22"/>
              </w:rPr>
            </w:pPr>
            <w:r>
              <w:rPr>
                <w:rFonts w:ascii="宋体" w:hAnsi="宋体" w:cs="宋体" w:eastAsia="宋体" w:hint="default"/>
                <w:sz w:val="22"/>
                <w:szCs w:val="22"/>
              </w:rPr>
              <w:t>主营业务</w:t>
            </w:r>
          </w:p>
        </w:tc>
      </w:tr>
      <w:tr>
        <w:trPr>
          <w:trHeight w:val="586" w:hRule="exact"/>
        </w:trPr>
        <w:tc>
          <w:tcPr>
            <w:tcW w:w="2099"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left="100" w:right="0"/>
              <w:jc w:val="left"/>
              <w:rPr>
                <w:rFonts w:ascii="宋体" w:hAnsi="宋体" w:cs="宋体" w:eastAsia="宋体" w:hint="default"/>
                <w:sz w:val="22"/>
                <w:szCs w:val="22"/>
              </w:rPr>
            </w:pPr>
            <w:r>
              <w:rPr>
                <w:rFonts w:ascii="宋体" w:hAnsi="宋体" w:cs="宋体" w:eastAsia="宋体" w:hint="default"/>
                <w:sz w:val="22"/>
                <w:szCs w:val="22"/>
              </w:rPr>
              <w:t>国务院国有资产监</w:t>
            </w:r>
          </w:p>
          <w:p>
            <w:pPr>
              <w:pStyle w:val="TableParagraph"/>
              <w:spacing w:line="287" w:lineRule="exact"/>
              <w:ind w:left="100" w:right="0"/>
              <w:jc w:val="left"/>
              <w:rPr>
                <w:rFonts w:ascii="宋体" w:hAnsi="宋体" w:cs="宋体" w:eastAsia="宋体" w:hint="default"/>
                <w:sz w:val="22"/>
                <w:szCs w:val="22"/>
              </w:rPr>
            </w:pPr>
            <w:r>
              <w:rPr>
                <w:rFonts w:ascii="宋体" w:hAnsi="宋体" w:cs="宋体" w:eastAsia="宋体" w:hint="default"/>
                <w:sz w:val="22"/>
                <w:szCs w:val="22"/>
              </w:rPr>
              <w:t>督管理委员会</w:t>
            </w:r>
          </w:p>
        </w:tc>
        <w:tc>
          <w:tcPr>
            <w:tcW w:w="15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center"/>
              <w:rPr>
                <w:rFonts w:ascii="宋体" w:hAnsi="宋体" w:cs="宋体" w:eastAsia="宋体" w:hint="default"/>
                <w:sz w:val="22"/>
                <w:szCs w:val="22"/>
              </w:rPr>
            </w:pPr>
            <w:r>
              <w:rPr>
                <w:rFonts w:ascii="宋体" w:hAnsi="宋体" w:cs="宋体" w:eastAsia="宋体" w:hint="default"/>
                <w:sz w:val="22"/>
                <w:szCs w:val="22"/>
              </w:rPr>
              <w:t>不适用</w:t>
            </w:r>
          </w:p>
        </w:tc>
        <w:tc>
          <w:tcPr>
            <w:tcW w:w="15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1"/>
              <w:jc w:val="center"/>
              <w:rPr>
                <w:rFonts w:ascii="宋体" w:hAnsi="宋体" w:cs="宋体" w:eastAsia="宋体" w:hint="default"/>
                <w:sz w:val="22"/>
                <w:szCs w:val="22"/>
              </w:rPr>
            </w:pPr>
            <w:r>
              <w:rPr>
                <w:rFonts w:ascii="宋体" w:hAnsi="宋体" w:cs="宋体" w:eastAsia="宋体" w:hint="default"/>
                <w:sz w:val="22"/>
                <w:szCs w:val="22"/>
              </w:rPr>
              <w:t>不适用</w:t>
            </w:r>
          </w:p>
        </w:tc>
        <w:tc>
          <w:tcPr>
            <w:tcW w:w="17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0"/>
              <w:jc w:val="center"/>
              <w:rPr>
                <w:rFonts w:ascii="宋体" w:hAnsi="宋体" w:cs="宋体" w:eastAsia="宋体" w:hint="default"/>
                <w:sz w:val="22"/>
                <w:szCs w:val="22"/>
              </w:rPr>
            </w:pPr>
            <w:r>
              <w:rPr>
                <w:rFonts w:ascii="宋体" w:hAnsi="宋体" w:cs="宋体" w:eastAsia="宋体" w:hint="default"/>
                <w:sz w:val="22"/>
                <w:szCs w:val="22"/>
              </w:rPr>
              <w:t>不适用</w:t>
            </w: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6"/>
              <w:ind w:right="1"/>
              <w:jc w:val="center"/>
              <w:rPr>
                <w:rFonts w:ascii="宋体" w:hAnsi="宋体" w:cs="宋体" w:eastAsia="宋体" w:hint="default"/>
                <w:sz w:val="22"/>
                <w:szCs w:val="22"/>
              </w:rPr>
            </w:pPr>
            <w:r>
              <w:rPr>
                <w:rFonts w:ascii="宋体" w:hAnsi="宋体" w:cs="宋体" w:eastAsia="宋体" w:hint="default"/>
                <w:sz w:val="22"/>
                <w:szCs w:val="22"/>
              </w:rPr>
              <w:t>不适用</w:t>
            </w:r>
          </w:p>
        </w:tc>
      </w:tr>
    </w:tbl>
    <w:p>
      <w:pPr>
        <w:spacing w:line="240" w:lineRule="auto" w:before="2"/>
        <w:rPr>
          <w:rFonts w:ascii="宋体" w:hAnsi="宋体" w:cs="宋体" w:eastAsia="宋体" w:hint="default"/>
          <w:sz w:val="14"/>
          <w:szCs w:val="14"/>
        </w:rPr>
      </w:pPr>
    </w:p>
    <w:p>
      <w:pPr>
        <w:pStyle w:val="BodyText"/>
        <w:tabs>
          <w:tab w:pos="667" w:val="left" w:leader="none"/>
        </w:tabs>
        <w:spacing w:line="240" w:lineRule="auto" w:before="31"/>
        <w:ind w:left="149" w:right="0"/>
        <w:jc w:val="left"/>
      </w:pPr>
      <w:r>
        <w:rPr>
          <w:rFonts w:ascii="Arial" w:hAnsi="Arial" w:cs="Arial" w:eastAsia="Arial" w:hint="default"/>
          <w:w w:val="95"/>
        </w:rPr>
        <w:t>(4)</w:t>
        <w:tab/>
      </w:r>
      <w:r>
        <w:rPr/>
        <w:t>控股股东及实际控制人变更情况</w:t>
      </w:r>
    </w:p>
    <w:p>
      <w:pPr>
        <w:spacing w:line="240" w:lineRule="auto" w:before="13"/>
        <w:rPr>
          <w:rFonts w:ascii="宋体" w:hAnsi="宋体" w:cs="宋体" w:eastAsia="宋体" w:hint="default"/>
          <w:sz w:val="17"/>
          <w:szCs w:val="17"/>
        </w:rPr>
      </w:pPr>
    </w:p>
    <w:p>
      <w:pPr>
        <w:pStyle w:val="BodyText"/>
        <w:spacing w:line="286" w:lineRule="exact"/>
        <w:ind w:left="653" w:right="0"/>
        <w:jc w:val="left"/>
      </w:pPr>
      <w:r>
        <w:rPr>
          <w:spacing w:val="36"/>
        </w:rPr>
        <w:t>报告期内</w:t>
      </w:r>
      <w:r>
        <w:rPr>
          <w:spacing w:val="-63"/>
        </w:rPr>
        <w:t> </w:t>
      </w:r>
      <w:r>
        <w:rPr>
          <w:spacing w:val="36"/>
        </w:rPr>
        <w:t>，公司控</w:t>
      </w:r>
      <w:r>
        <w:rPr>
          <w:spacing w:val="-63"/>
        </w:rPr>
        <w:t> </w:t>
      </w:r>
      <w:r>
        <w:rPr>
          <w:spacing w:val="36"/>
        </w:rPr>
        <w:t>股股东中</w:t>
      </w:r>
      <w:r>
        <w:rPr>
          <w:spacing w:val="-63"/>
        </w:rPr>
        <w:t> </w:t>
      </w:r>
      <w:r>
        <w:rPr>
          <w:spacing w:val="36"/>
        </w:rPr>
        <w:t>国联合网</w:t>
      </w:r>
      <w:r>
        <w:rPr>
          <w:spacing w:val="-63"/>
        </w:rPr>
        <w:t> </w:t>
      </w:r>
      <w:r>
        <w:rPr>
          <w:spacing w:val="36"/>
        </w:rPr>
        <w:t>络通信集</w:t>
      </w:r>
      <w:r>
        <w:rPr>
          <w:spacing w:val="-63"/>
        </w:rPr>
        <w:t> </w:t>
      </w:r>
      <w:r>
        <w:rPr>
          <w:spacing w:val="36"/>
        </w:rPr>
        <w:t>团有限公</w:t>
      </w:r>
      <w:r>
        <w:rPr>
          <w:spacing w:val="-63"/>
        </w:rPr>
        <w:t> </w:t>
      </w:r>
      <w:r>
        <w:rPr>
          <w:spacing w:val="36"/>
        </w:rPr>
        <w:t>司的注册</w:t>
      </w:r>
      <w:r>
        <w:rPr>
          <w:spacing w:val="-63"/>
        </w:rPr>
        <w:t> </w:t>
      </w:r>
      <w:r>
        <w:rPr>
          <w:spacing w:val="36"/>
        </w:rPr>
        <w:t>资本变更</w:t>
      </w:r>
      <w:r>
        <w:rPr>
          <w:spacing w:val="-63"/>
        </w:rPr>
        <w:t> </w:t>
      </w:r>
      <w:r>
        <w:rPr/>
        <w:t>为</w:t>
      </w:r>
    </w:p>
    <w:p>
      <w:pPr>
        <w:pStyle w:val="BodyText"/>
        <w:spacing w:line="424" w:lineRule="auto"/>
        <w:ind w:left="654" w:right="2887" w:hanging="1"/>
        <w:jc w:val="left"/>
      </w:pPr>
      <w:r>
        <w:rPr>
          <w:rFonts w:ascii="Arial" w:hAnsi="Arial" w:cs="Arial" w:eastAsia="Arial" w:hint="default"/>
        </w:rPr>
        <w:t>87,269,457,089.21</w:t>
      </w:r>
      <w:r>
        <w:rPr>
          <w:rFonts w:ascii="Arial" w:hAnsi="Arial" w:cs="Arial" w:eastAsia="Arial" w:hint="default"/>
          <w:spacing w:val="-12"/>
        </w:rPr>
        <w:t> </w:t>
      </w:r>
      <w:r>
        <w:rPr/>
        <w:t>元。本报告期内实际控制人没有发生变更。</w:t>
      </w:r>
      <w:r>
        <w:rPr>
          <w:w w:val="99"/>
        </w:rPr>
        <w:t> </w:t>
      </w:r>
      <w:r>
        <w:rPr/>
        <w:t>公司与实际控制人之间的产权及控制关系的方框图</w:t>
      </w:r>
    </w:p>
    <w:p>
      <w:pPr>
        <w:spacing w:line="240" w:lineRule="auto" w:before="3"/>
        <w:rPr>
          <w:rFonts w:ascii="宋体" w:hAnsi="宋体" w:cs="宋体" w:eastAsia="宋体" w:hint="default"/>
          <w:sz w:val="9"/>
          <w:szCs w:val="9"/>
        </w:rPr>
      </w:pPr>
    </w:p>
    <w:tbl>
      <w:tblPr>
        <w:tblW w:w="0" w:type="auto"/>
        <w:jc w:val="left"/>
        <w:tblInd w:w="2985" w:type="dxa"/>
        <w:tblLayout w:type="fixed"/>
        <w:tblCellMar>
          <w:top w:w="0" w:type="dxa"/>
          <w:left w:w="0" w:type="dxa"/>
          <w:bottom w:w="0" w:type="dxa"/>
          <w:right w:w="0" w:type="dxa"/>
        </w:tblCellMar>
        <w:tblLook w:val="01E0"/>
      </w:tblPr>
      <w:tblGrid>
        <w:gridCol w:w="905"/>
        <w:gridCol w:w="301"/>
        <w:gridCol w:w="604"/>
        <w:gridCol w:w="602"/>
        <w:gridCol w:w="302"/>
        <w:gridCol w:w="904"/>
      </w:tblGrid>
      <w:tr>
        <w:trPr>
          <w:trHeight w:val="452" w:hRule="exact"/>
        </w:trPr>
        <w:tc>
          <w:tcPr>
            <w:tcW w:w="3618" w:type="dxa"/>
            <w:gridSpan w:val="6"/>
            <w:tcBorders>
              <w:top w:val="single" w:sz="2" w:space="0" w:color="000000"/>
              <w:left w:val="single" w:sz="2" w:space="0" w:color="000000"/>
              <w:bottom w:val="single" w:sz="2" w:space="0" w:color="000000"/>
              <w:right w:val="single" w:sz="2" w:space="0" w:color="000000"/>
            </w:tcBorders>
            <w:shd w:val="clear" w:color="auto" w:fill="E8EEF7"/>
          </w:tcPr>
          <w:p>
            <w:pPr>
              <w:pStyle w:val="TableParagraph"/>
              <w:spacing w:line="240" w:lineRule="auto" w:before="39"/>
              <w:ind w:left="267" w:right="0"/>
              <w:jc w:val="left"/>
              <w:rPr>
                <w:rFonts w:ascii="宋体" w:hAnsi="宋体" w:cs="宋体" w:eastAsia="宋体" w:hint="default"/>
                <w:sz w:val="22"/>
                <w:szCs w:val="22"/>
              </w:rPr>
            </w:pPr>
            <w:r>
              <w:rPr>
                <w:rFonts w:ascii="宋体" w:hAnsi="宋体" w:cs="宋体" w:eastAsia="宋体" w:hint="default"/>
                <w:sz w:val="22"/>
                <w:szCs w:val="22"/>
              </w:rPr>
              <w:t>国务院国有资产监督管理委员会</w:t>
            </w:r>
          </w:p>
        </w:tc>
      </w:tr>
      <w:tr>
        <w:trPr>
          <w:trHeight w:val="452" w:hRule="exact"/>
        </w:trPr>
        <w:tc>
          <w:tcPr>
            <w:tcW w:w="1810" w:type="dxa"/>
            <w:gridSpan w:val="3"/>
            <w:tcBorders>
              <w:top w:val="single" w:sz="2" w:space="0" w:color="000000"/>
              <w:left w:val="nil" w:sz="6" w:space="0" w:color="auto"/>
              <w:bottom w:val="nil" w:sz="6" w:space="0" w:color="auto"/>
              <w:right w:val="single" w:sz="2" w:space="0" w:color="4677BF"/>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735" w:right="0"/>
              <w:jc w:val="left"/>
              <w:rPr>
                <w:rFonts w:ascii="Arial" w:hAnsi="Arial" w:cs="Arial" w:eastAsia="Arial" w:hint="default"/>
                <w:sz w:val="19"/>
                <w:szCs w:val="19"/>
              </w:rPr>
            </w:pPr>
            <w:r>
              <w:rPr>
                <w:rFonts w:ascii="Arial"/>
                <w:sz w:val="19"/>
              </w:rPr>
              <w:t>95.92%</w:t>
            </w:r>
          </w:p>
        </w:tc>
        <w:tc>
          <w:tcPr>
            <w:tcW w:w="1808" w:type="dxa"/>
            <w:gridSpan w:val="3"/>
            <w:tcBorders>
              <w:top w:val="single" w:sz="2" w:space="0" w:color="000000"/>
              <w:left w:val="single" w:sz="2" w:space="0" w:color="4677BF"/>
              <w:bottom w:val="nil" w:sz="6" w:space="0" w:color="auto"/>
              <w:right w:val="nil" w:sz="6" w:space="0" w:color="auto"/>
            </w:tcBorders>
          </w:tcPr>
          <w:p>
            <w:pPr/>
          </w:p>
        </w:tc>
      </w:tr>
      <w:tr>
        <w:trPr>
          <w:trHeight w:val="452" w:hRule="exact"/>
        </w:trPr>
        <w:tc>
          <w:tcPr>
            <w:tcW w:w="905" w:type="dxa"/>
            <w:tcBorders>
              <w:top w:val="nil" w:sz="6" w:space="0" w:color="auto"/>
              <w:left w:val="nil" w:sz="6" w:space="0" w:color="auto"/>
              <w:bottom w:val="nil" w:sz="6" w:space="0" w:color="auto"/>
              <w:right w:val="single" w:sz="2" w:space="0" w:color="000000"/>
            </w:tcBorders>
          </w:tcPr>
          <w:p>
            <w:pPr/>
          </w:p>
        </w:tc>
        <w:tc>
          <w:tcPr>
            <w:tcW w:w="1810" w:type="dxa"/>
            <w:gridSpan w:val="4"/>
            <w:tcBorders>
              <w:top w:val="single" w:sz="2" w:space="0" w:color="000000"/>
              <w:left w:val="single" w:sz="2" w:space="0" w:color="000000"/>
              <w:bottom w:val="single" w:sz="2" w:space="0" w:color="000000"/>
              <w:right w:val="single" w:sz="2" w:space="0" w:color="000000"/>
            </w:tcBorders>
            <w:shd w:val="clear" w:color="auto" w:fill="E8EEF7"/>
          </w:tcPr>
          <w:p>
            <w:pPr>
              <w:pStyle w:val="TableParagraph"/>
              <w:spacing w:line="240" w:lineRule="auto" w:before="38"/>
              <w:ind w:left="461" w:right="0"/>
              <w:jc w:val="left"/>
              <w:rPr>
                <w:rFonts w:ascii="宋体" w:hAnsi="宋体" w:cs="宋体" w:eastAsia="宋体" w:hint="default"/>
                <w:sz w:val="22"/>
                <w:szCs w:val="22"/>
              </w:rPr>
            </w:pPr>
            <w:r>
              <w:rPr>
                <w:rFonts w:ascii="宋体" w:hAnsi="宋体" w:cs="宋体" w:eastAsia="宋体" w:hint="default"/>
                <w:sz w:val="22"/>
                <w:szCs w:val="22"/>
              </w:rPr>
              <w:t>联通集团</w:t>
            </w:r>
          </w:p>
        </w:tc>
        <w:tc>
          <w:tcPr>
            <w:tcW w:w="904" w:type="dxa"/>
            <w:tcBorders>
              <w:top w:val="nil" w:sz="6" w:space="0" w:color="auto"/>
              <w:left w:val="single" w:sz="2" w:space="0" w:color="000000"/>
              <w:bottom w:val="nil" w:sz="6" w:space="0" w:color="auto"/>
              <w:right w:val="nil" w:sz="6" w:space="0" w:color="auto"/>
            </w:tcBorders>
          </w:tcPr>
          <w:p>
            <w:pPr/>
          </w:p>
        </w:tc>
      </w:tr>
      <w:tr>
        <w:trPr>
          <w:trHeight w:val="452" w:hRule="exact"/>
        </w:trPr>
        <w:tc>
          <w:tcPr>
            <w:tcW w:w="1810" w:type="dxa"/>
            <w:gridSpan w:val="3"/>
            <w:tcBorders>
              <w:top w:val="nil" w:sz="6" w:space="0" w:color="auto"/>
              <w:left w:val="nil" w:sz="6" w:space="0" w:color="auto"/>
              <w:bottom w:val="nil" w:sz="6" w:space="0" w:color="auto"/>
              <w:right w:val="single" w:sz="2" w:space="0" w:color="4677BF"/>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left="735" w:right="0"/>
              <w:jc w:val="left"/>
              <w:rPr>
                <w:rFonts w:ascii="Arial" w:hAnsi="Arial" w:cs="Arial" w:eastAsia="Arial" w:hint="default"/>
                <w:sz w:val="19"/>
                <w:szCs w:val="19"/>
              </w:rPr>
            </w:pPr>
            <w:r>
              <w:rPr>
                <w:rFonts w:ascii="Arial"/>
                <w:sz w:val="19"/>
              </w:rPr>
              <w:t>61.05%</w:t>
            </w:r>
          </w:p>
        </w:tc>
        <w:tc>
          <w:tcPr>
            <w:tcW w:w="1808" w:type="dxa"/>
            <w:gridSpan w:val="3"/>
            <w:tcBorders>
              <w:top w:val="nil" w:sz="6" w:space="0" w:color="auto"/>
              <w:left w:val="single" w:sz="2" w:space="0" w:color="4677BF"/>
              <w:bottom w:val="nil" w:sz="6" w:space="0" w:color="auto"/>
              <w:right w:val="nil" w:sz="6" w:space="0" w:color="auto"/>
            </w:tcBorders>
          </w:tcPr>
          <w:p>
            <w:pPr/>
          </w:p>
        </w:tc>
      </w:tr>
      <w:tr>
        <w:trPr>
          <w:trHeight w:val="452" w:hRule="exact"/>
        </w:trPr>
        <w:tc>
          <w:tcPr>
            <w:tcW w:w="1206" w:type="dxa"/>
            <w:gridSpan w:val="2"/>
            <w:tcBorders>
              <w:top w:val="nil" w:sz="6" w:space="0" w:color="auto"/>
              <w:left w:val="nil" w:sz="6" w:space="0" w:color="auto"/>
              <w:bottom w:val="nil" w:sz="6" w:space="0" w:color="auto"/>
              <w:right w:val="single" w:sz="2" w:space="0" w:color="000000"/>
            </w:tcBorders>
          </w:tcPr>
          <w:p>
            <w:pPr/>
          </w:p>
        </w:tc>
        <w:tc>
          <w:tcPr>
            <w:tcW w:w="1206" w:type="dxa"/>
            <w:gridSpan w:val="2"/>
            <w:tcBorders>
              <w:top w:val="single" w:sz="2" w:space="0" w:color="000000"/>
              <w:left w:val="single" w:sz="2" w:space="0" w:color="000000"/>
              <w:bottom w:val="single" w:sz="2" w:space="0" w:color="000000"/>
              <w:right w:val="single" w:sz="2" w:space="0" w:color="000000"/>
            </w:tcBorders>
            <w:shd w:val="clear" w:color="auto" w:fill="E8EEF7"/>
          </w:tcPr>
          <w:p>
            <w:pPr>
              <w:pStyle w:val="TableParagraph"/>
              <w:spacing w:line="240" w:lineRule="auto" w:before="38"/>
              <w:ind w:left="271" w:right="0"/>
              <w:jc w:val="left"/>
              <w:rPr>
                <w:rFonts w:ascii="宋体" w:hAnsi="宋体" w:cs="宋体" w:eastAsia="宋体" w:hint="default"/>
                <w:sz w:val="22"/>
                <w:szCs w:val="22"/>
              </w:rPr>
            </w:pPr>
            <w:r>
              <w:rPr>
                <w:rFonts w:ascii="宋体" w:hAnsi="宋体" w:cs="宋体" w:eastAsia="宋体" w:hint="default"/>
                <w:sz w:val="22"/>
                <w:szCs w:val="22"/>
              </w:rPr>
              <w:t>本公司</w:t>
            </w:r>
          </w:p>
        </w:tc>
        <w:tc>
          <w:tcPr>
            <w:tcW w:w="1206" w:type="dxa"/>
            <w:gridSpan w:val="2"/>
            <w:tcBorders>
              <w:top w:val="nil" w:sz="6" w:space="0" w:color="auto"/>
              <w:left w:val="single" w:sz="2" w:space="0" w:color="000000"/>
              <w:bottom w:val="nil" w:sz="6" w:space="0" w:color="auto"/>
              <w:right w:val="nil" w:sz="6" w:space="0" w:color="auto"/>
            </w:tcBorders>
          </w:tcPr>
          <w:p>
            <w:pPr/>
          </w:p>
        </w:tc>
      </w:tr>
    </w:tbl>
    <w:p>
      <w:pPr>
        <w:spacing w:line="240" w:lineRule="auto" w:before="6"/>
        <w:rPr>
          <w:rFonts w:ascii="宋体" w:hAnsi="宋体" w:cs="宋体" w:eastAsia="宋体" w:hint="default"/>
          <w:sz w:val="14"/>
          <w:szCs w:val="14"/>
        </w:rPr>
      </w:pPr>
    </w:p>
    <w:p>
      <w:pPr>
        <w:pStyle w:val="BodyText"/>
        <w:spacing w:line="424" w:lineRule="auto" w:before="31"/>
        <w:ind w:left="653" w:right="3011" w:hanging="504"/>
        <w:jc w:val="left"/>
      </w:pPr>
      <w:r>
        <w:rPr>
          <w:rFonts w:ascii="Arial" w:hAnsi="Arial" w:cs="Arial" w:eastAsia="Arial" w:hint="default"/>
        </w:rPr>
        <w:t>3</w:t>
      </w:r>
      <w:r>
        <w:rPr/>
        <w:t>、</w:t>
      </w:r>
      <w:r>
        <w:rPr>
          <w:spacing w:val="65"/>
        </w:rPr>
        <w:t> </w:t>
      </w:r>
      <w:r>
        <w:rPr/>
        <w:t>其他持股在百分之十以上的法人股东</w:t>
      </w:r>
      <w:r>
        <w:rPr>
          <w:w w:val="99"/>
        </w:rPr>
        <w:t> </w:t>
      </w:r>
      <w:r>
        <w:rPr/>
        <w:t>截止本报告期末公司无其他持股在百分之十以上的法人股东。</w:t>
      </w:r>
    </w:p>
    <w:p>
      <w:pPr>
        <w:spacing w:after="0" w:line="424" w:lineRule="auto"/>
        <w:jc w:val="left"/>
        <w:sectPr>
          <w:type w:val="continuous"/>
          <w:pgSz w:w="11910" w:h="16840"/>
          <w:pgMar w:top="1600" w:bottom="280" w:left="1180" w:right="1100"/>
        </w:sectPr>
      </w:pPr>
    </w:p>
    <w:p>
      <w:pPr>
        <w:spacing w:line="240" w:lineRule="auto" w:before="0"/>
        <w:rPr>
          <w:rFonts w:ascii="宋体" w:hAnsi="宋体" w:cs="宋体" w:eastAsia="宋体" w:hint="default"/>
          <w:sz w:val="20"/>
          <w:szCs w:val="20"/>
        </w:rPr>
      </w:pPr>
    </w:p>
    <w:p>
      <w:pPr>
        <w:pStyle w:val="Heading8"/>
        <w:spacing w:line="240" w:lineRule="auto" w:before="172"/>
        <w:ind w:right="207"/>
        <w:jc w:val="left"/>
        <w:rPr>
          <w:b w:val="0"/>
          <w:bCs w:val="0"/>
        </w:rPr>
      </w:pPr>
      <w:bookmarkStart w:name="_bookmark3" w:id="5"/>
      <w:bookmarkEnd w:id="5"/>
      <w:r>
        <w:rPr>
          <w:b w:val="0"/>
          <w:bCs w:val="0"/>
        </w:rPr>
      </w:r>
      <w:r>
        <w:rPr/>
        <w:t>五、董事、监事和高级管理人员</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left="149" w:right="207"/>
        <w:jc w:val="left"/>
      </w:pPr>
      <w:r>
        <w:rPr>
          <w:rFonts w:ascii="Arial" w:hAnsi="Arial" w:cs="Arial" w:eastAsia="Arial" w:hint="default"/>
        </w:rPr>
        <w:t>(</w:t>
      </w:r>
      <w:r>
        <w:rPr/>
        <w:t>一</w:t>
      </w:r>
      <w:r>
        <w:rPr>
          <w:rFonts w:ascii="Arial" w:hAnsi="Arial" w:cs="Arial" w:eastAsia="Arial" w:hint="default"/>
        </w:rPr>
        <w:t>)</w:t>
      </w:r>
      <w:r>
        <w:rPr>
          <w:rFonts w:ascii="Arial" w:hAnsi="Arial" w:cs="Arial" w:eastAsia="Arial" w:hint="default"/>
          <w:spacing w:val="-10"/>
        </w:rPr>
        <w:t> </w:t>
      </w:r>
      <w:r>
        <w:rPr/>
        <w:t>董事、监事和高级管理人员持股变动及报酬情况</w:t>
      </w:r>
    </w:p>
    <w:p>
      <w:pPr>
        <w:spacing w:line="240" w:lineRule="auto" w:before="4"/>
        <w:rPr>
          <w:rFonts w:ascii="宋体" w:hAnsi="宋体" w:cs="宋体" w:eastAsia="宋体" w:hint="default"/>
          <w:sz w:val="13"/>
          <w:szCs w:val="13"/>
        </w:rPr>
      </w:pPr>
    </w:p>
    <w:p>
      <w:pPr>
        <w:spacing w:before="44"/>
        <w:ind w:left="0" w:right="112"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2"/>
          <w:szCs w:val="2"/>
        </w:rPr>
      </w:pPr>
    </w:p>
    <w:tbl>
      <w:tblPr>
        <w:tblW w:w="0" w:type="auto"/>
        <w:jc w:val="left"/>
        <w:tblInd w:w="420" w:type="dxa"/>
        <w:tblLayout w:type="fixed"/>
        <w:tblCellMar>
          <w:top w:w="0" w:type="dxa"/>
          <w:left w:w="0" w:type="dxa"/>
          <w:bottom w:w="0" w:type="dxa"/>
          <w:right w:w="0" w:type="dxa"/>
        </w:tblCellMar>
        <w:tblLook w:val="01E0"/>
      </w:tblPr>
      <w:tblGrid>
        <w:gridCol w:w="754"/>
        <w:gridCol w:w="1018"/>
        <w:gridCol w:w="414"/>
        <w:gridCol w:w="418"/>
        <w:gridCol w:w="1858"/>
        <w:gridCol w:w="434"/>
        <w:gridCol w:w="419"/>
        <w:gridCol w:w="685"/>
        <w:gridCol w:w="488"/>
        <w:gridCol w:w="450"/>
        <w:gridCol w:w="588"/>
        <w:gridCol w:w="862"/>
        <w:gridCol w:w="924"/>
      </w:tblGrid>
      <w:tr>
        <w:trPr>
          <w:trHeight w:val="1182"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姓名</w:t>
            </w:r>
          </w:p>
        </w:tc>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10" w:right="107"/>
              <w:jc w:val="left"/>
              <w:rPr>
                <w:rFonts w:ascii="宋体" w:hAnsi="宋体" w:cs="宋体" w:eastAsia="宋体" w:hint="default"/>
                <w:sz w:val="18"/>
                <w:szCs w:val="18"/>
              </w:rPr>
            </w:pPr>
            <w:r>
              <w:rPr>
                <w:rFonts w:ascii="宋体" w:hAnsi="宋体" w:cs="宋体" w:eastAsia="宋体" w:hint="default"/>
                <w:sz w:val="18"/>
                <w:szCs w:val="18"/>
              </w:rPr>
              <w:t>性 别</w:t>
            </w:r>
          </w:p>
        </w:tc>
        <w:tc>
          <w:tcPr>
            <w:tcW w:w="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11" w:right="109"/>
              <w:jc w:val="left"/>
              <w:rPr>
                <w:rFonts w:ascii="宋体" w:hAnsi="宋体" w:cs="宋体" w:eastAsia="宋体" w:hint="default"/>
                <w:sz w:val="18"/>
                <w:szCs w:val="18"/>
              </w:rPr>
            </w:pPr>
            <w:r>
              <w:rPr>
                <w:rFonts w:ascii="宋体" w:hAnsi="宋体" w:cs="宋体" w:eastAsia="宋体" w:hint="default"/>
                <w:sz w:val="18"/>
                <w:szCs w:val="18"/>
              </w:rPr>
              <w:t>年 龄</w:t>
            </w: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381" w:right="0"/>
              <w:jc w:val="left"/>
              <w:rPr>
                <w:rFonts w:ascii="宋体" w:hAnsi="宋体" w:cs="宋体" w:eastAsia="宋体" w:hint="default"/>
                <w:sz w:val="18"/>
                <w:szCs w:val="18"/>
              </w:rPr>
            </w:pPr>
            <w:r>
              <w:rPr>
                <w:rFonts w:ascii="宋体" w:hAnsi="宋体" w:cs="宋体" w:eastAsia="宋体" w:hint="default"/>
                <w:sz w:val="18"/>
                <w:szCs w:val="18"/>
              </w:rPr>
              <w:t>任期起止日期</w:t>
            </w:r>
          </w:p>
        </w:tc>
        <w:tc>
          <w:tcPr>
            <w:tcW w:w="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37" w:lineRule="auto"/>
              <w:ind w:left="37" w:right="20"/>
              <w:jc w:val="both"/>
              <w:rPr>
                <w:rFonts w:ascii="宋体" w:hAnsi="宋体" w:cs="宋体" w:eastAsia="宋体" w:hint="default"/>
                <w:sz w:val="18"/>
                <w:szCs w:val="18"/>
              </w:rPr>
            </w:pPr>
            <w:r>
              <w:rPr>
                <w:rFonts w:ascii="宋体" w:hAnsi="宋体" w:cs="宋体" w:eastAsia="宋体" w:hint="default"/>
                <w:sz w:val="18"/>
                <w:szCs w:val="18"/>
              </w:rPr>
              <w:t>年初 持股 数</w:t>
            </w:r>
          </w:p>
        </w:tc>
        <w:tc>
          <w:tcPr>
            <w:tcW w:w="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37" w:lineRule="auto"/>
              <w:ind w:left="22" w:right="19"/>
              <w:jc w:val="both"/>
              <w:rPr>
                <w:rFonts w:ascii="宋体" w:hAnsi="宋体" w:cs="宋体" w:eastAsia="宋体" w:hint="default"/>
                <w:sz w:val="18"/>
                <w:szCs w:val="18"/>
              </w:rPr>
            </w:pPr>
            <w:r>
              <w:rPr>
                <w:rFonts w:ascii="宋体" w:hAnsi="宋体" w:cs="宋体" w:eastAsia="宋体" w:hint="default"/>
                <w:sz w:val="18"/>
                <w:szCs w:val="18"/>
              </w:rPr>
              <w:t>年末 持股 数</w:t>
            </w:r>
          </w:p>
        </w:tc>
        <w:tc>
          <w:tcPr>
            <w:tcW w:w="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37" w:lineRule="auto"/>
              <w:ind w:left="64" w:right="63"/>
              <w:jc w:val="center"/>
              <w:rPr>
                <w:rFonts w:ascii="宋体" w:hAnsi="宋体" w:cs="宋体" w:eastAsia="宋体" w:hint="default"/>
                <w:sz w:val="18"/>
                <w:szCs w:val="18"/>
              </w:rPr>
            </w:pPr>
            <w:r>
              <w:rPr>
                <w:rFonts w:ascii="宋体" w:hAnsi="宋体" w:cs="宋体" w:eastAsia="宋体" w:hint="default"/>
                <w:sz w:val="18"/>
                <w:szCs w:val="18"/>
              </w:rPr>
              <w:t>持有本 公司的 股票期 权</w:t>
            </w:r>
          </w:p>
        </w:tc>
        <w:tc>
          <w:tcPr>
            <w:tcW w:w="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37" w:lineRule="auto"/>
              <w:ind w:left="49" w:right="62"/>
              <w:jc w:val="both"/>
              <w:rPr>
                <w:rFonts w:ascii="宋体" w:hAnsi="宋体" w:cs="宋体" w:eastAsia="宋体" w:hint="default"/>
                <w:sz w:val="18"/>
                <w:szCs w:val="18"/>
              </w:rPr>
            </w:pPr>
            <w:r>
              <w:rPr>
                <w:rFonts w:ascii="宋体" w:hAnsi="宋体" w:cs="宋体" w:eastAsia="宋体" w:hint="default"/>
                <w:sz w:val="18"/>
                <w:szCs w:val="18"/>
              </w:rPr>
              <w:t>股份 增减 数</w:t>
            </w:r>
          </w:p>
        </w:tc>
        <w:tc>
          <w:tcPr>
            <w:tcW w:w="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45" w:right="29"/>
              <w:jc w:val="left"/>
              <w:rPr>
                <w:rFonts w:ascii="宋体" w:hAnsi="宋体" w:cs="宋体" w:eastAsia="宋体" w:hint="default"/>
                <w:sz w:val="18"/>
                <w:szCs w:val="18"/>
              </w:rPr>
            </w:pPr>
            <w:r>
              <w:rPr>
                <w:rFonts w:ascii="宋体" w:hAnsi="宋体" w:cs="宋体" w:eastAsia="宋体" w:hint="default"/>
                <w:sz w:val="18"/>
                <w:szCs w:val="18"/>
              </w:rPr>
              <w:t>变动 原因</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是否在</w:t>
            </w:r>
          </w:p>
          <w:p>
            <w:pPr>
              <w:pStyle w:val="TableParagraph"/>
              <w:spacing w:line="237" w:lineRule="auto" w:before="1"/>
              <w:ind w:left="15" w:right="16"/>
              <w:jc w:val="center"/>
              <w:rPr>
                <w:rFonts w:ascii="宋体" w:hAnsi="宋体" w:cs="宋体" w:eastAsia="宋体" w:hint="default"/>
                <w:sz w:val="18"/>
                <w:szCs w:val="18"/>
              </w:rPr>
            </w:pPr>
            <w:r>
              <w:rPr>
                <w:rFonts w:ascii="宋体" w:hAnsi="宋体" w:cs="宋体" w:eastAsia="宋体" w:hint="default"/>
                <w:sz w:val="18"/>
                <w:szCs w:val="18"/>
              </w:rPr>
              <w:t>公司领 取报 酬、津 贴</w:t>
            </w:r>
          </w:p>
        </w:tc>
        <w:tc>
          <w:tcPr>
            <w:tcW w:w="86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56" w:right="0"/>
              <w:jc w:val="both"/>
              <w:rPr>
                <w:rFonts w:ascii="宋体" w:hAnsi="宋体" w:cs="宋体" w:eastAsia="宋体" w:hint="default"/>
                <w:sz w:val="18"/>
                <w:szCs w:val="18"/>
              </w:rPr>
            </w:pPr>
            <w:r>
              <w:rPr>
                <w:rFonts w:ascii="宋体" w:hAnsi="宋体" w:cs="宋体" w:eastAsia="宋体" w:hint="default"/>
                <w:sz w:val="18"/>
                <w:szCs w:val="18"/>
              </w:rPr>
              <w:t>报告期内</w:t>
            </w:r>
          </w:p>
          <w:p>
            <w:pPr>
              <w:pStyle w:val="TableParagraph"/>
              <w:spacing w:line="237" w:lineRule="auto" w:before="1"/>
              <w:ind w:left="7" w:right="-22" w:firstLine="49"/>
              <w:jc w:val="both"/>
              <w:rPr>
                <w:rFonts w:ascii="宋体" w:hAnsi="宋体" w:cs="宋体" w:eastAsia="宋体" w:hint="default"/>
                <w:sz w:val="18"/>
                <w:szCs w:val="18"/>
              </w:rPr>
            </w:pPr>
            <w:r>
              <w:rPr>
                <w:rFonts w:ascii="宋体" w:hAnsi="宋体" w:cs="宋体" w:eastAsia="宋体" w:hint="default"/>
                <w:sz w:val="18"/>
                <w:szCs w:val="18"/>
              </w:rPr>
              <w:t>从公司领 取的报酬 总额（万 </w:t>
            </w:r>
            <w:r>
              <w:rPr>
                <w:rFonts w:ascii="宋体" w:hAnsi="宋体" w:cs="宋体" w:eastAsia="宋体" w:hint="default"/>
                <w:spacing w:val="-37"/>
                <w:sz w:val="18"/>
                <w:szCs w:val="18"/>
              </w:rPr>
              <w:t>元）（税前）</w:t>
            </w:r>
            <w:r>
              <w:rPr>
                <w:rFonts w:ascii="宋体" w:hAnsi="宋体" w:cs="宋体" w:eastAsia="宋体" w:hint="default"/>
                <w:sz w:val="18"/>
                <w:szCs w:val="18"/>
              </w:rPr>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95" w:right="0"/>
              <w:jc w:val="both"/>
              <w:rPr>
                <w:rFonts w:ascii="宋体" w:hAnsi="宋体" w:cs="宋体" w:eastAsia="宋体" w:hint="default"/>
                <w:sz w:val="18"/>
                <w:szCs w:val="18"/>
              </w:rPr>
            </w:pPr>
            <w:r>
              <w:rPr>
                <w:rFonts w:ascii="宋体" w:hAnsi="宋体" w:cs="宋体" w:eastAsia="宋体" w:hint="default"/>
                <w:sz w:val="18"/>
                <w:szCs w:val="18"/>
              </w:rPr>
              <w:t>是否在股</w:t>
            </w:r>
          </w:p>
          <w:p>
            <w:pPr>
              <w:pStyle w:val="TableParagraph"/>
              <w:spacing w:line="237" w:lineRule="auto" w:before="1"/>
              <w:ind w:left="7" w:right="1" w:firstLine="88"/>
              <w:jc w:val="both"/>
              <w:rPr>
                <w:rFonts w:ascii="宋体" w:hAnsi="宋体" w:cs="宋体" w:eastAsia="宋体" w:hint="default"/>
                <w:sz w:val="18"/>
                <w:szCs w:val="18"/>
              </w:rPr>
            </w:pPr>
            <w:r>
              <w:rPr>
                <w:rFonts w:ascii="宋体" w:hAnsi="宋体" w:cs="宋体" w:eastAsia="宋体" w:hint="default"/>
                <w:sz w:val="18"/>
                <w:szCs w:val="18"/>
              </w:rPr>
              <w:t>东单位或 其它关联 单位领取 报酬、津贴</w:t>
            </w:r>
          </w:p>
        </w:tc>
      </w:tr>
      <w:tr>
        <w:trPr>
          <w:trHeight w:val="482"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常小兵</w:t>
            </w:r>
          </w:p>
        </w:tc>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男</w:t>
            </w:r>
          </w:p>
        </w:tc>
        <w:tc>
          <w:tcPr>
            <w:tcW w:w="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Arial" w:hAnsi="Arial" w:cs="Arial" w:eastAsia="Arial" w:hint="default"/>
                <w:sz w:val="18"/>
                <w:szCs w:val="18"/>
              </w:rPr>
            </w:pPr>
            <w:r>
              <w:rPr>
                <w:rFonts w:ascii="Arial"/>
                <w:sz w:val="18"/>
              </w:rPr>
              <w:t>52</w:t>
            </w: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2004</w:t>
            </w:r>
            <w:r>
              <w:rPr>
                <w:rFonts w:ascii="Arial" w:hAnsi="Arial" w:cs="Arial" w:eastAsia="Arial" w:hint="default"/>
                <w:spacing w:val="-28"/>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Arial" w:hAnsi="Arial" w:cs="Arial" w:eastAsia="Arial" w:hint="default"/>
                <w:sz w:val="18"/>
                <w:szCs w:val="18"/>
              </w:rPr>
              <w:t>12</w:t>
            </w:r>
            <w:r>
              <w:rPr>
                <w:rFonts w:ascii="Arial" w:hAnsi="Arial" w:cs="Arial" w:eastAsia="Arial" w:hint="default"/>
                <w:spacing w:val="-28"/>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Arial" w:hAnsi="Arial" w:cs="Arial" w:eastAsia="Arial" w:hint="default"/>
                <w:sz w:val="18"/>
                <w:szCs w:val="18"/>
              </w:rPr>
              <w:t>23</w:t>
            </w:r>
            <w:r>
              <w:rPr>
                <w:rFonts w:ascii="Arial" w:hAnsi="Arial" w:cs="Arial" w:eastAsia="Arial" w:hint="default"/>
                <w:spacing w:val="-28"/>
                <w:sz w:val="18"/>
                <w:szCs w:val="18"/>
              </w:rPr>
              <w:t> </w:t>
            </w:r>
            <w:r>
              <w:rPr>
                <w:rFonts w:ascii="宋体" w:hAnsi="宋体" w:cs="宋体" w:eastAsia="宋体" w:hint="default"/>
                <w:sz w:val="18"/>
                <w:szCs w:val="18"/>
              </w:rPr>
              <w:t>日～</w:t>
            </w:r>
          </w:p>
          <w:p>
            <w:pPr>
              <w:pStyle w:val="TableParagraph"/>
              <w:spacing w:line="241" w:lineRule="exact"/>
              <w:ind w:left="100" w:right="0"/>
              <w:jc w:val="left"/>
              <w:rPr>
                <w:rFonts w:ascii="宋体" w:hAnsi="宋体" w:cs="宋体" w:eastAsia="宋体" w:hint="default"/>
                <w:sz w:val="18"/>
                <w:szCs w:val="18"/>
              </w:rPr>
            </w:pPr>
            <w:r>
              <w:rPr>
                <w:rFonts w:ascii="Arial" w:hAnsi="Arial" w:cs="Arial" w:eastAsia="Arial" w:hint="default"/>
                <w:sz w:val="18"/>
                <w:szCs w:val="18"/>
              </w:rPr>
              <w:t>2012</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9"/>
              <w:jc w:val="right"/>
              <w:rPr>
                <w:rFonts w:ascii="Arial" w:hAnsi="Arial" w:cs="Arial" w:eastAsia="Arial" w:hint="default"/>
                <w:sz w:val="18"/>
                <w:szCs w:val="18"/>
              </w:rPr>
            </w:pPr>
            <w:r>
              <w:rPr>
                <w:rFonts w:ascii="Arial"/>
                <w:w w:val="99"/>
                <w:sz w:val="18"/>
              </w:rPr>
              <w:t>-</w:t>
            </w:r>
            <w:r>
              <w:rPr>
                <w:rFonts w:ascii="Arial"/>
                <w:sz w:val="18"/>
              </w:rPr>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63"/>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81" w:hRule="exact"/>
        </w:trPr>
        <w:tc>
          <w:tcPr>
            <w:tcW w:w="754" w:type="dxa"/>
            <w:vMerge w:val="restart"/>
            <w:tcBorders>
              <w:top w:val="single" w:sz="6" w:space="0" w:color="000000"/>
              <w:left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95" w:right="0"/>
              <w:jc w:val="left"/>
              <w:rPr>
                <w:rFonts w:ascii="宋体" w:hAnsi="宋体" w:cs="宋体" w:eastAsia="宋体" w:hint="default"/>
                <w:sz w:val="18"/>
                <w:szCs w:val="18"/>
              </w:rPr>
            </w:pPr>
            <w:r>
              <w:rPr>
                <w:rFonts w:ascii="宋体" w:hAnsi="宋体" w:cs="宋体" w:eastAsia="宋体" w:hint="default"/>
                <w:sz w:val="18"/>
                <w:szCs w:val="18"/>
              </w:rPr>
              <w:t>陆益民</w:t>
            </w:r>
          </w:p>
        </w:tc>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14" w:type="dxa"/>
            <w:vMerge w:val="restart"/>
            <w:tcBorders>
              <w:top w:val="single" w:sz="6" w:space="0" w:color="000000"/>
              <w:left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18"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101" w:right="0"/>
              <w:jc w:val="left"/>
              <w:rPr>
                <w:rFonts w:ascii="Arial" w:hAnsi="Arial" w:cs="Arial" w:eastAsia="Arial" w:hint="default"/>
                <w:sz w:val="18"/>
                <w:szCs w:val="18"/>
              </w:rPr>
            </w:pPr>
            <w:r>
              <w:rPr>
                <w:rFonts w:ascii="Arial"/>
                <w:sz w:val="18"/>
              </w:rPr>
              <w:t>45</w:t>
            </w: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5</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26</w:t>
            </w:r>
            <w:r>
              <w:rPr>
                <w:rFonts w:ascii="Arial" w:hAnsi="Arial" w:cs="Arial" w:eastAsia="Arial" w:hint="default"/>
                <w:spacing w:val="-8"/>
                <w:sz w:val="18"/>
                <w:szCs w:val="18"/>
              </w:rPr>
              <w:t> </w:t>
            </w:r>
            <w:r>
              <w:rPr>
                <w:rFonts w:ascii="宋体" w:hAnsi="宋体" w:cs="宋体" w:eastAsia="宋体" w:hint="default"/>
                <w:sz w:val="18"/>
                <w:szCs w:val="18"/>
              </w:rPr>
              <w:t>日～</w:t>
            </w:r>
          </w:p>
          <w:p>
            <w:pPr>
              <w:pStyle w:val="TableParagraph"/>
              <w:spacing w:line="241" w:lineRule="exact"/>
              <w:ind w:left="101" w:right="0"/>
              <w:jc w:val="left"/>
              <w:rPr>
                <w:rFonts w:ascii="宋体" w:hAnsi="宋体" w:cs="宋体" w:eastAsia="宋体" w:hint="default"/>
                <w:sz w:val="18"/>
                <w:szCs w:val="18"/>
              </w:rPr>
            </w:pPr>
            <w:r>
              <w:rPr>
                <w:rFonts w:ascii="Arial" w:hAnsi="Arial" w:cs="Arial" w:eastAsia="Arial" w:hint="default"/>
                <w:sz w:val="18"/>
                <w:szCs w:val="18"/>
              </w:rPr>
              <w:t>2012</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6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82" w:hRule="exact"/>
        </w:trPr>
        <w:tc>
          <w:tcPr>
            <w:tcW w:w="754" w:type="dxa"/>
            <w:vMerge/>
            <w:tcBorders>
              <w:left w:val="single" w:sz="6" w:space="0" w:color="000000"/>
              <w:bottom w:val="single" w:sz="6" w:space="0" w:color="000000"/>
              <w:right w:val="single" w:sz="6" w:space="0" w:color="000000"/>
            </w:tcBorders>
          </w:tcPr>
          <w:p>
            <w:pPr/>
          </w:p>
        </w:tc>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总裁</w:t>
            </w:r>
          </w:p>
        </w:tc>
        <w:tc>
          <w:tcPr>
            <w:tcW w:w="414" w:type="dxa"/>
            <w:vMerge/>
            <w:tcBorders>
              <w:left w:val="single" w:sz="6" w:space="0" w:color="000000"/>
              <w:bottom w:val="single" w:sz="6" w:space="0" w:color="000000"/>
              <w:right w:val="single" w:sz="6" w:space="0" w:color="000000"/>
            </w:tcBorders>
          </w:tcPr>
          <w:p>
            <w:pPr/>
          </w:p>
        </w:tc>
        <w:tc>
          <w:tcPr>
            <w:tcW w:w="418" w:type="dxa"/>
            <w:vMerge/>
            <w:tcBorders>
              <w:left w:val="single" w:sz="6" w:space="0" w:color="000000"/>
              <w:bottom w:val="single" w:sz="6" w:space="0" w:color="000000"/>
              <w:right w:val="single" w:sz="6" w:space="0" w:color="000000"/>
            </w:tcBorders>
          </w:tcPr>
          <w:p>
            <w:pP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p>
            <w:pPr>
              <w:pStyle w:val="TableParagraph"/>
              <w:spacing w:line="241" w:lineRule="exact"/>
              <w:ind w:left="100" w:right="0"/>
              <w:jc w:val="left"/>
              <w:rPr>
                <w:rFonts w:ascii="宋体" w:hAnsi="宋体" w:cs="宋体" w:eastAsia="宋体" w:hint="default"/>
                <w:sz w:val="18"/>
                <w:szCs w:val="18"/>
              </w:rPr>
            </w:pPr>
            <w:r>
              <w:rPr>
                <w:rFonts w:ascii="Arial" w:hAnsi="Arial" w:cs="Arial" w:eastAsia="Arial" w:hint="default"/>
                <w:sz w:val="18"/>
                <w:szCs w:val="18"/>
              </w:rPr>
              <w:t>2012</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36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82"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左迅生</w:t>
            </w:r>
          </w:p>
        </w:tc>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男</w:t>
            </w:r>
          </w:p>
        </w:tc>
        <w:tc>
          <w:tcPr>
            <w:tcW w:w="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Arial" w:hAnsi="Arial" w:cs="Arial" w:eastAsia="Arial" w:hint="default"/>
                <w:sz w:val="18"/>
                <w:szCs w:val="18"/>
              </w:rPr>
            </w:pPr>
            <w:r>
              <w:rPr>
                <w:rFonts w:ascii="Arial"/>
                <w:sz w:val="18"/>
              </w:rPr>
              <w:t>59</w:t>
            </w: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11" w:lineRule="exact"/>
              <w:ind w:left="100"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5</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26</w:t>
            </w:r>
            <w:r>
              <w:rPr>
                <w:rFonts w:ascii="Arial" w:hAnsi="Arial" w:cs="Arial" w:eastAsia="Arial" w:hint="default"/>
                <w:spacing w:val="-8"/>
                <w:sz w:val="18"/>
                <w:szCs w:val="18"/>
              </w:rPr>
              <w:t> </w:t>
            </w:r>
            <w:r>
              <w:rPr>
                <w:rFonts w:ascii="宋体" w:hAnsi="宋体" w:cs="宋体" w:eastAsia="宋体" w:hint="default"/>
                <w:sz w:val="18"/>
                <w:szCs w:val="18"/>
              </w:rPr>
              <w:t>日～</w:t>
            </w:r>
          </w:p>
          <w:p>
            <w:pPr>
              <w:pStyle w:val="TableParagraph"/>
              <w:spacing w:line="241" w:lineRule="exact"/>
              <w:ind w:left="100" w:right="0"/>
              <w:jc w:val="left"/>
              <w:rPr>
                <w:rFonts w:ascii="宋体" w:hAnsi="宋体" w:cs="宋体" w:eastAsia="宋体" w:hint="default"/>
                <w:sz w:val="18"/>
                <w:szCs w:val="18"/>
              </w:rPr>
            </w:pPr>
            <w:r>
              <w:rPr>
                <w:rFonts w:ascii="Arial" w:hAnsi="Arial" w:cs="Arial" w:eastAsia="Arial" w:hint="default"/>
                <w:sz w:val="18"/>
                <w:szCs w:val="18"/>
              </w:rPr>
              <w:t>2012</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6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81"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佟吉禄</w:t>
            </w:r>
          </w:p>
        </w:tc>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男</w:t>
            </w:r>
          </w:p>
        </w:tc>
        <w:tc>
          <w:tcPr>
            <w:tcW w:w="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Arial" w:hAnsi="Arial" w:cs="Arial" w:eastAsia="Arial" w:hint="default"/>
                <w:sz w:val="18"/>
                <w:szCs w:val="18"/>
              </w:rPr>
            </w:pPr>
            <w:r>
              <w:rPr>
                <w:rFonts w:ascii="Arial"/>
                <w:sz w:val="18"/>
              </w:rPr>
              <w:t>51</w:t>
            </w: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11" w:lineRule="exact"/>
              <w:ind w:left="100" w:right="0"/>
              <w:jc w:val="left"/>
              <w:rPr>
                <w:rFonts w:ascii="宋体" w:hAnsi="宋体" w:cs="宋体" w:eastAsia="宋体" w:hint="default"/>
                <w:sz w:val="18"/>
                <w:szCs w:val="18"/>
              </w:rPr>
            </w:pPr>
            <w:r>
              <w:rPr>
                <w:rFonts w:ascii="Arial" w:hAnsi="Arial" w:cs="Arial" w:eastAsia="Arial" w:hint="default"/>
                <w:sz w:val="18"/>
                <w:szCs w:val="18"/>
              </w:rPr>
              <w:t>2001</w:t>
            </w:r>
            <w:r>
              <w:rPr>
                <w:rFonts w:ascii="Arial" w:hAnsi="Arial" w:cs="Arial" w:eastAsia="Arial" w:hint="default"/>
                <w:spacing w:val="-28"/>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Arial" w:hAnsi="Arial" w:cs="Arial" w:eastAsia="Arial" w:hint="default"/>
                <w:sz w:val="18"/>
                <w:szCs w:val="18"/>
              </w:rPr>
              <w:t>12</w:t>
            </w:r>
            <w:r>
              <w:rPr>
                <w:rFonts w:ascii="Arial" w:hAnsi="Arial" w:cs="Arial" w:eastAsia="Arial" w:hint="default"/>
                <w:spacing w:val="-28"/>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Arial" w:hAnsi="Arial" w:cs="Arial" w:eastAsia="Arial" w:hint="default"/>
                <w:sz w:val="18"/>
                <w:szCs w:val="18"/>
              </w:rPr>
              <w:t>30</w:t>
            </w:r>
            <w:r>
              <w:rPr>
                <w:rFonts w:ascii="Arial" w:hAnsi="Arial" w:cs="Arial" w:eastAsia="Arial" w:hint="default"/>
                <w:spacing w:val="-28"/>
                <w:sz w:val="18"/>
                <w:szCs w:val="18"/>
              </w:rPr>
              <w:t> </w:t>
            </w:r>
            <w:r>
              <w:rPr>
                <w:rFonts w:ascii="宋体" w:hAnsi="宋体" w:cs="宋体" w:eastAsia="宋体" w:hint="default"/>
                <w:sz w:val="18"/>
                <w:szCs w:val="18"/>
              </w:rPr>
              <w:t>日～</w:t>
            </w:r>
          </w:p>
          <w:p>
            <w:pPr>
              <w:pStyle w:val="TableParagraph"/>
              <w:spacing w:line="241" w:lineRule="exact"/>
              <w:ind w:left="100" w:right="0"/>
              <w:jc w:val="left"/>
              <w:rPr>
                <w:rFonts w:ascii="宋体" w:hAnsi="宋体" w:cs="宋体" w:eastAsia="宋体" w:hint="default"/>
                <w:sz w:val="18"/>
                <w:szCs w:val="18"/>
              </w:rPr>
            </w:pPr>
            <w:r>
              <w:rPr>
                <w:rFonts w:ascii="Arial" w:hAnsi="Arial" w:cs="Arial" w:eastAsia="Arial" w:hint="default"/>
                <w:sz w:val="18"/>
                <w:szCs w:val="18"/>
              </w:rPr>
              <w:t>2012</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9"/>
              <w:jc w:val="right"/>
              <w:rPr>
                <w:rFonts w:ascii="Arial" w:hAnsi="Arial" w:cs="Arial" w:eastAsia="Arial" w:hint="default"/>
                <w:sz w:val="18"/>
                <w:szCs w:val="18"/>
              </w:rPr>
            </w:pPr>
            <w:r>
              <w:rPr>
                <w:rFonts w:ascii="Arial"/>
                <w:w w:val="99"/>
                <w:sz w:val="18"/>
              </w:rPr>
              <w:t>-</w:t>
            </w:r>
            <w:r>
              <w:rPr>
                <w:rFonts w:ascii="Arial"/>
                <w:sz w:val="18"/>
              </w:rPr>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63"/>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82"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刘彩</w:t>
            </w:r>
          </w:p>
        </w:tc>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男</w:t>
            </w:r>
          </w:p>
        </w:tc>
        <w:tc>
          <w:tcPr>
            <w:tcW w:w="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Arial" w:hAnsi="Arial" w:cs="Arial" w:eastAsia="Arial" w:hint="default"/>
                <w:sz w:val="18"/>
                <w:szCs w:val="18"/>
              </w:rPr>
            </w:pPr>
            <w:r>
              <w:rPr>
                <w:rFonts w:ascii="Arial"/>
                <w:sz w:val="18"/>
              </w:rPr>
              <w:t>69</w:t>
            </w: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日～</w:t>
            </w:r>
          </w:p>
          <w:p>
            <w:pPr>
              <w:pStyle w:val="TableParagraph"/>
              <w:spacing w:line="241" w:lineRule="exact"/>
              <w:ind w:left="100" w:right="0"/>
              <w:jc w:val="left"/>
              <w:rPr>
                <w:rFonts w:ascii="宋体" w:hAnsi="宋体" w:cs="宋体" w:eastAsia="宋体" w:hint="default"/>
                <w:sz w:val="18"/>
                <w:szCs w:val="18"/>
              </w:rPr>
            </w:pPr>
            <w:r>
              <w:rPr>
                <w:rFonts w:ascii="Arial" w:hAnsi="Arial" w:cs="Arial" w:eastAsia="Arial" w:hint="default"/>
                <w:sz w:val="18"/>
                <w:szCs w:val="18"/>
              </w:rPr>
              <w:t>2012</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9"/>
              <w:jc w:val="right"/>
              <w:rPr>
                <w:rFonts w:ascii="Arial" w:hAnsi="Arial" w:cs="Arial" w:eastAsia="Arial" w:hint="default"/>
                <w:sz w:val="18"/>
                <w:szCs w:val="18"/>
              </w:rPr>
            </w:pPr>
            <w:r>
              <w:rPr>
                <w:rFonts w:ascii="Arial"/>
                <w:spacing w:val="-1"/>
                <w:w w:val="95"/>
                <w:sz w:val="18"/>
              </w:rPr>
              <w:t>2.38</w:t>
            </w:r>
            <w:r>
              <w:rPr>
                <w:rFonts w:ascii="Arial"/>
                <w:sz w:val="18"/>
              </w:rPr>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6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81"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赵纯均</w:t>
            </w:r>
          </w:p>
        </w:tc>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男</w:t>
            </w:r>
          </w:p>
        </w:tc>
        <w:tc>
          <w:tcPr>
            <w:tcW w:w="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Arial" w:hAnsi="Arial" w:cs="Arial" w:eastAsia="Arial" w:hint="default"/>
                <w:sz w:val="18"/>
                <w:szCs w:val="18"/>
              </w:rPr>
            </w:pPr>
            <w:r>
              <w:rPr>
                <w:rFonts w:ascii="Arial"/>
                <w:sz w:val="18"/>
              </w:rPr>
              <w:t>67</w:t>
            </w: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11" w:lineRule="exact"/>
              <w:ind w:left="100"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日～</w:t>
            </w:r>
          </w:p>
          <w:p>
            <w:pPr>
              <w:pStyle w:val="TableParagraph"/>
              <w:spacing w:line="241" w:lineRule="exact"/>
              <w:ind w:left="100" w:right="0"/>
              <w:jc w:val="left"/>
              <w:rPr>
                <w:rFonts w:ascii="宋体" w:hAnsi="宋体" w:cs="宋体" w:eastAsia="宋体" w:hint="default"/>
                <w:sz w:val="18"/>
                <w:szCs w:val="18"/>
              </w:rPr>
            </w:pPr>
            <w:r>
              <w:rPr>
                <w:rFonts w:ascii="Arial" w:hAnsi="Arial" w:cs="Arial" w:eastAsia="Arial" w:hint="default"/>
                <w:sz w:val="18"/>
                <w:szCs w:val="18"/>
              </w:rPr>
              <w:t>2012</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9"/>
              <w:jc w:val="right"/>
              <w:rPr>
                <w:rFonts w:ascii="Arial" w:hAnsi="Arial" w:cs="Arial" w:eastAsia="Arial" w:hint="default"/>
                <w:sz w:val="18"/>
                <w:szCs w:val="18"/>
              </w:rPr>
            </w:pPr>
            <w:r>
              <w:rPr>
                <w:rFonts w:ascii="Arial"/>
                <w:spacing w:val="-1"/>
                <w:w w:val="95"/>
                <w:sz w:val="18"/>
              </w:rPr>
              <w:t>2.38</w:t>
            </w:r>
            <w:r>
              <w:rPr>
                <w:rFonts w:ascii="Arial"/>
                <w:sz w:val="18"/>
              </w:rPr>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6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82"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张英海</w:t>
            </w:r>
          </w:p>
        </w:tc>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男</w:t>
            </w:r>
          </w:p>
        </w:tc>
        <w:tc>
          <w:tcPr>
            <w:tcW w:w="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Arial" w:hAnsi="Arial" w:cs="Arial" w:eastAsia="Arial" w:hint="default"/>
                <w:sz w:val="18"/>
                <w:szCs w:val="18"/>
              </w:rPr>
            </w:pPr>
            <w:r>
              <w:rPr>
                <w:rFonts w:ascii="Arial"/>
                <w:sz w:val="18"/>
              </w:rPr>
              <w:t>57</w:t>
            </w: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日～</w:t>
            </w:r>
          </w:p>
          <w:p>
            <w:pPr>
              <w:pStyle w:val="TableParagraph"/>
              <w:spacing w:line="241" w:lineRule="exact"/>
              <w:ind w:left="100" w:right="0"/>
              <w:jc w:val="left"/>
              <w:rPr>
                <w:rFonts w:ascii="宋体" w:hAnsi="宋体" w:cs="宋体" w:eastAsia="宋体" w:hint="default"/>
                <w:sz w:val="18"/>
                <w:szCs w:val="18"/>
              </w:rPr>
            </w:pPr>
            <w:r>
              <w:rPr>
                <w:rFonts w:ascii="Arial" w:hAnsi="Arial" w:cs="Arial" w:eastAsia="Arial" w:hint="default"/>
                <w:sz w:val="18"/>
                <w:szCs w:val="18"/>
              </w:rPr>
              <w:t>2012</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9"/>
              <w:jc w:val="right"/>
              <w:rPr>
                <w:rFonts w:ascii="Arial" w:hAnsi="Arial" w:cs="Arial" w:eastAsia="Arial" w:hint="default"/>
                <w:sz w:val="18"/>
                <w:szCs w:val="18"/>
              </w:rPr>
            </w:pPr>
            <w:r>
              <w:rPr>
                <w:rFonts w:ascii="Arial"/>
                <w:spacing w:val="-1"/>
                <w:w w:val="95"/>
                <w:sz w:val="18"/>
              </w:rPr>
              <w:t>2.38</w:t>
            </w:r>
            <w:r>
              <w:rPr>
                <w:rFonts w:ascii="Arial"/>
                <w:sz w:val="18"/>
              </w:rPr>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6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81"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夏大慰</w:t>
            </w:r>
          </w:p>
        </w:tc>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男</w:t>
            </w:r>
          </w:p>
        </w:tc>
        <w:tc>
          <w:tcPr>
            <w:tcW w:w="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Arial" w:hAnsi="Arial" w:cs="Arial" w:eastAsia="Arial" w:hint="default"/>
                <w:sz w:val="18"/>
                <w:szCs w:val="18"/>
              </w:rPr>
            </w:pPr>
            <w:r>
              <w:rPr>
                <w:rFonts w:ascii="Arial"/>
                <w:sz w:val="18"/>
              </w:rPr>
              <w:t>56</w:t>
            </w: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11" w:lineRule="exact"/>
              <w:ind w:left="100"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日～</w:t>
            </w:r>
          </w:p>
          <w:p>
            <w:pPr>
              <w:pStyle w:val="TableParagraph"/>
              <w:spacing w:line="241" w:lineRule="exact"/>
              <w:ind w:left="100" w:right="0"/>
              <w:jc w:val="left"/>
              <w:rPr>
                <w:rFonts w:ascii="宋体" w:hAnsi="宋体" w:cs="宋体" w:eastAsia="宋体" w:hint="default"/>
                <w:sz w:val="18"/>
                <w:szCs w:val="18"/>
              </w:rPr>
            </w:pPr>
            <w:r>
              <w:rPr>
                <w:rFonts w:ascii="Arial" w:hAnsi="Arial" w:cs="Arial" w:eastAsia="Arial" w:hint="default"/>
                <w:sz w:val="18"/>
                <w:szCs w:val="18"/>
              </w:rPr>
              <w:t>2012</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9"/>
              <w:jc w:val="right"/>
              <w:rPr>
                <w:rFonts w:ascii="Arial" w:hAnsi="Arial" w:cs="Arial" w:eastAsia="Arial" w:hint="default"/>
                <w:sz w:val="18"/>
                <w:szCs w:val="18"/>
              </w:rPr>
            </w:pPr>
            <w:r>
              <w:rPr>
                <w:rFonts w:ascii="Arial"/>
                <w:spacing w:val="-1"/>
                <w:w w:val="95"/>
                <w:sz w:val="18"/>
              </w:rPr>
              <w:t>2.38</w:t>
            </w:r>
            <w:r>
              <w:rPr>
                <w:rFonts w:ascii="Arial"/>
                <w:sz w:val="18"/>
              </w:rPr>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6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82"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李建国</w:t>
            </w:r>
          </w:p>
        </w:tc>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女</w:t>
            </w:r>
          </w:p>
        </w:tc>
        <w:tc>
          <w:tcPr>
            <w:tcW w:w="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Arial" w:hAnsi="Arial" w:cs="Arial" w:eastAsia="Arial" w:hint="default"/>
                <w:sz w:val="18"/>
                <w:szCs w:val="18"/>
              </w:rPr>
            </w:pPr>
            <w:r>
              <w:rPr>
                <w:rFonts w:ascii="Arial"/>
                <w:sz w:val="18"/>
              </w:rPr>
              <w:t>56</w:t>
            </w: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5</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26</w:t>
            </w:r>
            <w:r>
              <w:rPr>
                <w:rFonts w:ascii="Arial" w:hAnsi="Arial" w:cs="Arial" w:eastAsia="Arial" w:hint="default"/>
                <w:spacing w:val="-8"/>
                <w:sz w:val="18"/>
                <w:szCs w:val="18"/>
              </w:rPr>
              <w:t> </w:t>
            </w:r>
            <w:r>
              <w:rPr>
                <w:rFonts w:ascii="宋体" w:hAnsi="宋体" w:cs="宋体" w:eastAsia="宋体" w:hint="default"/>
                <w:sz w:val="18"/>
                <w:szCs w:val="18"/>
              </w:rPr>
              <w:t>日～</w:t>
            </w:r>
          </w:p>
          <w:p>
            <w:pPr>
              <w:pStyle w:val="TableParagraph"/>
              <w:spacing w:line="241" w:lineRule="exact"/>
              <w:ind w:left="100" w:right="0"/>
              <w:jc w:val="left"/>
              <w:rPr>
                <w:rFonts w:ascii="宋体" w:hAnsi="宋体" w:cs="宋体" w:eastAsia="宋体" w:hint="default"/>
                <w:sz w:val="18"/>
                <w:szCs w:val="18"/>
              </w:rPr>
            </w:pPr>
            <w:r>
              <w:rPr>
                <w:rFonts w:ascii="Arial" w:hAnsi="Arial" w:cs="Arial" w:eastAsia="Arial" w:hint="default"/>
                <w:sz w:val="18"/>
                <w:szCs w:val="18"/>
              </w:rPr>
              <w:t>2012</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6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81"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赵传立</w:t>
            </w:r>
          </w:p>
        </w:tc>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男</w:t>
            </w:r>
          </w:p>
        </w:tc>
        <w:tc>
          <w:tcPr>
            <w:tcW w:w="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Arial" w:hAnsi="Arial" w:cs="Arial" w:eastAsia="Arial" w:hint="default"/>
                <w:sz w:val="18"/>
                <w:szCs w:val="18"/>
              </w:rPr>
            </w:pPr>
            <w:r>
              <w:rPr>
                <w:rFonts w:ascii="Arial"/>
                <w:sz w:val="18"/>
              </w:rPr>
              <w:t>59</w:t>
            </w: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11" w:lineRule="exact"/>
              <w:ind w:left="100" w:right="0"/>
              <w:jc w:val="left"/>
              <w:rPr>
                <w:rFonts w:ascii="宋体" w:hAnsi="宋体" w:cs="宋体" w:eastAsia="宋体" w:hint="default"/>
                <w:sz w:val="18"/>
                <w:szCs w:val="18"/>
              </w:rPr>
            </w:pPr>
            <w:r>
              <w:rPr>
                <w:rFonts w:ascii="Arial" w:hAnsi="Arial" w:cs="Arial" w:eastAsia="Arial" w:hint="default"/>
                <w:sz w:val="18"/>
                <w:szCs w:val="18"/>
              </w:rPr>
              <w:t>2001</w:t>
            </w:r>
            <w:r>
              <w:rPr>
                <w:rFonts w:ascii="Arial" w:hAnsi="Arial" w:cs="Arial" w:eastAsia="Arial" w:hint="default"/>
                <w:spacing w:val="-28"/>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Arial" w:hAnsi="Arial" w:cs="Arial" w:eastAsia="Arial" w:hint="default"/>
                <w:sz w:val="18"/>
                <w:szCs w:val="18"/>
              </w:rPr>
              <w:t>12</w:t>
            </w:r>
            <w:r>
              <w:rPr>
                <w:rFonts w:ascii="Arial" w:hAnsi="Arial" w:cs="Arial" w:eastAsia="Arial" w:hint="default"/>
                <w:spacing w:val="-28"/>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Arial" w:hAnsi="Arial" w:cs="Arial" w:eastAsia="Arial" w:hint="default"/>
                <w:sz w:val="18"/>
                <w:szCs w:val="18"/>
              </w:rPr>
              <w:t>30</w:t>
            </w:r>
            <w:r>
              <w:rPr>
                <w:rFonts w:ascii="Arial" w:hAnsi="Arial" w:cs="Arial" w:eastAsia="Arial" w:hint="default"/>
                <w:spacing w:val="-28"/>
                <w:sz w:val="18"/>
                <w:szCs w:val="18"/>
              </w:rPr>
              <w:t> </w:t>
            </w:r>
            <w:r>
              <w:rPr>
                <w:rFonts w:ascii="宋体" w:hAnsi="宋体" w:cs="宋体" w:eastAsia="宋体" w:hint="default"/>
                <w:sz w:val="18"/>
                <w:szCs w:val="18"/>
              </w:rPr>
              <w:t>日～</w:t>
            </w:r>
          </w:p>
          <w:p>
            <w:pPr>
              <w:pStyle w:val="TableParagraph"/>
              <w:spacing w:line="241" w:lineRule="exact"/>
              <w:ind w:left="100" w:right="0"/>
              <w:jc w:val="left"/>
              <w:rPr>
                <w:rFonts w:ascii="宋体" w:hAnsi="宋体" w:cs="宋体" w:eastAsia="宋体" w:hint="default"/>
                <w:sz w:val="18"/>
                <w:szCs w:val="18"/>
              </w:rPr>
            </w:pPr>
            <w:r>
              <w:rPr>
                <w:rFonts w:ascii="Arial" w:hAnsi="Arial" w:cs="Arial" w:eastAsia="Arial" w:hint="default"/>
                <w:sz w:val="18"/>
                <w:szCs w:val="18"/>
              </w:rPr>
              <w:t>2012</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9"/>
              <w:jc w:val="right"/>
              <w:rPr>
                <w:rFonts w:ascii="Arial" w:hAnsi="Arial" w:cs="Arial" w:eastAsia="Arial" w:hint="default"/>
                <w:sz w:val="18"/>
                <w:szCs w:val="18"/>
              </w:rPr>
            </w:pPr>
            <w:r>
              <w:rPr>
                <w:rFonts w:ascii="Arial"/>
                <w:w w:val="99"/>
                <w:sz w:val="18"/>
              </w:rPr>
              <w:t>-</w:t>
            </w:r>
            <w:r>
              <w:rPr>
                <w:rFonts w:ascii="Arial"/>
                <w:sz w:val="18"/>
              </w:rPr>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63"/>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82"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唐富馨</w:t>
            </w:r>
          </w:p>
        </w:tc>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女</w:t>
            </w:r>
          </w:p>
        </w:tc>
        <w:tc>
          <w:tcPr>
            <w:tcW w:w="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Arial" w:hAnsi="Arial" w:cs="Arial" w:eastAsia="Arial" w:hint="default"/>
                <w:sz w:val="18"/>
                <w:szCs w:val="18"/>
              </w:rPr>
            </w:pPr>
            <w:r>
              <w:rPr>
                <w:rFonts w:ascii="Arial"/>
                <w:sz w:val="18"/>
              </w:rPr>
              <w:t>53</w:t>
            </w: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2006</w:t>
            </w:r>
            <w:r>
              <w:rPr>
                <w:rFonts w:ascii="Arial" w:hAnsi="Arial" w:cs="Arial" w:eastAsia="Arial"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5</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日～</w:t>
            </w:r>
          </w:p>
          <w:p>
            <w:pPr>
              <w:pStyle w:val="TableParagraph"/>
              <w:spacing w:line="241" w:lineRule="exact"/>
              <w:ind w:left="100" w:right="0"/>
              <w:jc w:val="left"/>
              <w:rPr>
                <w:rFonts w:ascii="宋体" w:hAnsi="宋体" w:cs="宋体" w:eastAsia="宋体" w:hint="default"/>
                <w:sz w:val="18"/>
                <w:szCs w:val="18"/>
              </w:rPr>
            </w:pPr>
            <w:r>
              <w:rPr>
                <w:rFonts w:ascii="Arial" w:hAnsi="Arial" w:cs="Arial" w:eastAsia="Arial" w:hint="default"/>
                <w:sz w:val="18"/>
                <w:szCs w:val="18"/>
              </w:rPr>
              <w:t>2012</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6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82"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张  健</w:t>
            </w:r>
          </w:p>
        </w:tc>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1" w:right="0" w:firstLine="90"/>
              <w:jc w:val="left"/>
              <w:rPr>
                <w:rFonts w:ascii="宋体" w:hAnsi="宋体" w:cs="宋体" w:eastAsia="宋体" w:hint="default"/>
                <w:sz w:val="18"/>
                <w:szCs w:val="18"/>
              </w:rPr>
            </w:pPr>
            <w:r>
              <w:rPr>
                <w:rFonts w:ascii="宋体" w:hAnsi="宋体" w:cs="宋体" w:eastAsia="宋体" w:hint="default"/>
                <w:sz w:val="18"/>
                <w:szCs w:val="18"/>
              </w:rPr>
              <w:t>副总裁、</w:t>
            </w:r>
          </w:p>
          <w:p>
            <w:pPr>
              <w:pStyle w:val="TableParagraph"/>
              <w:spacing w:line="235" w:lineRule="exact"/>
              <w:ind w:left="51" w:right="0"/>
              <w:jc w:val="left"/>
              <w:rPr>
                <w:rFonts w:ascii="宋体" w:hAnsi="宋体" w:cs="宋体" w:eastAsia="宋体" w:hint="default"/>
                <w:sz w:val="18"/>
                <w:szCs w:val="18"/>
              </w:rPr>
            </w:pPr>
            <w:r>
              <w:rPr>
                <w:rFonts w:ascii="宋体" w:hAnsi="宋体" w:cs="宋体" w:eastAsia="宋体" w:hint="default"/>
                <w:sz w:val="18"/>
                <w:szCs w:val="18"/>
              </w:rPr>
              <w:t>财务负责人</w:t>
            </w:r>
          </w:p>
        </w:tc>
        <w:tc>
          <w:tcPr>
            <w:tcW w:w="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男</w:t>
            </w:r>
          </w:p>
        </w:tc>
        <w:tc>
          <w:tcPr>
            <w:tcW w:w="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Arial" w:hAnsi="Arial" w:cs="Arial" w:eastAsia="Arial" w:hint="default"/>
                <w:sz w:val="18"/>
                <w:szCs w:val="18"/>
              </w:rPr>
            </w:pPr>
            <w:r>
              <w:rPr>
                <w:rFonts w:ascii="Arial"/>
                <w:sz w:val="18"/>
              </w:rPr>
              <w:t>54</w:t>
            </w: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Arial" w:hAnsi="Arial" w:cs="Arial" w:eastAsia="Arial" w:hint="default"/>
                <w:sz w:val="18"/>
                <w:szCs w:val="18"/>
              </w:rPr>
              <w:t>2007</w:t>
            </w:r>
            <w:r>
              <w:rPr>
                <w:rFonts w:ascii="Arial" w:hAnsi="Arial" w:cs="Arial" w:eastAsia="Arial"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8</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24</w:t>
            </w:r>
            <w:r>
              <w:rPr>
                <w:rFonts w:ascii="Arial" w:hAnsi="Arial" w:cs="Arial" w:eastAsia="Arial" w:hint="default"/>
                <w:spacing w:val="-8"/>
                <w:sz w:val="18"/>
                <w:szCs w:val="18"/>
              </w:rPr>
              <w:t> </w:t>
            </w:r>
            <w:r>
              <w:rPr>
                <w:rFonts w:ascii="宋体" w:hAnsi="宋体" w:cs="宋体" w:eastAsia="宋体" w:hint="default"/>
                <w:sz w:val="18"/>
                <w:szCs w:val="18"/>
              </w:rPr>
              <w:t>日～</w:t>
            </w:r>
          </w:p>
          <w:p>
            <w:pPr>
              <w:pStyle w:val="TableParagraph"/>
              <w:spacing w:line="241" w:lineRule="exact"/>
              <w:ind w:left="100" w:right="0"/>
              <w:jc w:val="left"/>
              <w:rPr>
                <w:rFonts w:ascii="宋体" w:hAnsi="宋体" w:cs="宋体" w:eastAsia="宋体" w:hint="default"/>
                <w:sz w:val="18"/>
                <w:szCs w:val="18"/>
              </w:rPr>
            </w:pPr>
            <w:r>
              <w:rPr>
                <w:rFonts w:ascii="Arial" w:hAnsi="Arial" w:cs="Arial" w:eastAsia="Arial" w:hint="default"/>
                <w:sz w:val="18"/>
                <w:szCs w:val="18"/>
              </w:rPr>
              <w:t>2012</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spacing w:val="-1"/>
                <w:w w:val="95"/>
                <w:sz w:val="18"/>
              </w:rPr>
              <w:t>48.22</w:t>
            </w:r>
            <w:r>
              <w:rPr>
                <w:rFonts w:ascii="Arial"/>
                <w:sz w:val="18"/>
              </w:rPr>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62"/>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482" w:hRule="exact"/>
        </w:trPr>
        <w:tc>
          <w:tcPr>
            <w:tcW w:w="7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张保英</w:t>
            </w:r>
          </w:p>
        </w:tc>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07"/>
              <w:jc w:val="right"/>
              <w:rPr>
                <w:rFonts w:ascii="宋体" w:hAnsi="宋体" w:cs="宋体" w:eastAsia="宋体" w:hint="default"/>
                <w:sz w:val="18"/>
                <w:szCs w:val="18"/>
              </w:rPr>
            </w:pPr>
            <w:r>
              <w:rPr>
                <w:rFonts w:ascii="宋体" w:hAnsi="宋体" w:cs="宋体" w:eastAsia="宋体" w:hint="default"/>
                <w:sz w:val="18"/>
                <w:szCs w:val="18"/>
              </w:rPr>
              <w:t>男</w:t>
            </w:r>
          </w:p>
        </w:tc>
        <w:tc>
          <w:tcPr>
            <w:tcW w:w="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0"/>
              <w:jc w:val="center"/>
              <w:rPr>
                <w:rFonts w:ascii="Arial" w:hAnsi="Arial" w:cs="Arial" w:eastAsia="Arial" w:hint="default"/>
                <w:sz w:val="18"/>
                <w:szCs w:val="18"/>
              </w:rPr>
            </w:pPr>
            <w:r>
              <w:rPr>
                <w:rFonts w:ascii="Arial"/>
                <w:sz w:val="18"/>
              </w:rPr>
              <w:t>44</w:t>
            </w:r>
          </w:p>
        </w:tc>
        <w:tc>
          <w:tcPr>
            <w:tcW w:w="1858" w:type="dxa"/>
            <w:tcBorders>
              <w:top w:val="single" w:sz="6" w:space="0" w:color="000000"/>
              <w:left w:val="single" w:sz="6" w:space="0" w:color="000000"/>
              <w:bottom w:val="single" w:sz="6" w:space="0" w:color="000000"/>
              <w:right w:val="single" w:sz="6" w:space="0" w:color="000000"/>
            </w:tcBorders>
          </w:tcPr>
          <w:p>
            <w:pPr>
              <w:pStyle w:val="TableParagraph"/>
              <w:spacing w:line="211" w:lineRule="exact"/>
              <w:ind w:left="100" w:right="0"/>
              <w:jc w:val="lef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28"/>
                <w:sz w:val="18"/>
                <w:szCs w:val="18"/>
              </w:rPr>
              <w:t> </w:t>
            </w:r>
            <w:r>
              <w:rPr>
                <w:rFonts w:ascii="宋体" w:hAnsi="宋体" w:cs="宋体" w:eastAsia="宋体" w:hint="default"/>
                <w:sz w:val="18"/>
                <w:szCs w:val="18"/>
              </w:rPr>
              <w:t>年</w:t>
            </w:r>
            <w:r>
              <w:rPr>
                <w:rFonts w:ascii="宋体" w:hAnsi="宋体" w:cs="宋体" w:eastAsia="宋体" w:hint="default"/>
                <w:spacing w:val="-68"/>
                <w:sz w:val="18"/>
                <w:szCs w:val="18"/>
              </w:rPr>
              <w:t> </w:t>
            </w:r>
            <w:r>
              <w:rPr>
                <w:rFonts w:ascii="Arial" w:hAnsi="Arial" w:cs="Arial" w:eastAsia="Arial" w:hint="default"/>
                <w:sz w:val="18"/>
                <w:szCs w:val="18"/>
              </w:rPr>
              <w:t>12</w:t>
            </w:r>
            <w:r>
              <w:rPr>
                <w:rFonts w:ascii="Arial" w:hAnsi="Arial" w:cs="Arial" w:eastAsia="Arial" w:hint="default"/>
                <w:spacing w:val="-28"/>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Arial" w:hAnsi="Arial" w:cs="Arial" w:eastAsia="Arial" w:hint="default"/>
                <w:sz w:val="18"/>
                <w:szCs w:val="18"/>
              </w:rPr>
              <w:t>15</w:t>
            </w:r>
            <w:r>
              <w:rPr>
                <w:rFonts w:ascii="Arial" w:hAnsi="Arial" w:cs="Arial" w:eastAsia="Arial" w:hint="default"/>
                <w:spacing w:val="-28"/>
                <w:sz w:val="18"/>
                <w:szCs w:val="18"/>
              </w:rPr>
              <w:t> </w:t>
            </w:r>
            <w:r>
              <w:rPr>
                <w:rFonts w:ascii="宋体" w:hAnsi="宋体" w:cs="宋体" w:eastAsia="宋体" w:hint="default"/>
                <w:sz w:val="18"/>
                <w:szCs w:val="18"/>
              </w:rPr>
              <w:t>日～</w:t>
            </w:r>
          </w:p>
          <w:p>
            <w:pPr>
              <w:pStyle w:val="TableParagraph"/>
              <w:spacing w:line="241" w:lineRule="exact"/>
              <w:ind w:left="100" w:right="0"/>
              <w:jc w:val="left"/>
              <w:rPr>
                <w:rFonts w:ascii="宋体" w:hAnsi="宋体" w:cs="宋体" w:eastAsia="宋体" w:hint="default"/>
                <w:sz w:val="18"/>
                <w:szCs w:val="18"/>
              </w:rPr>
            </w:pPr>
            <w:r>
              <w:rPr>
                <w:rFonts w:ascii="Arial" w:hAnsi="Arial" w:cs="Arial" w:eastAsia="Arial" w:hint="default"/>
                <w:sz w:val="18"/>
                <w:szCs w:val="18"/>
              </w:rPr>
              <w:t>2012</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6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18"/>
                <w:szCs w:val="18"/>
              </w:rPr>
            </w:pPr>
            <w:r>
              <w:rPr>
                <w:rFonts w:ascii="Arial"/>
                <w:w w:val="99"/>
                <w:sz w:val="18"/>
              </w:rPr>
              <w:t>-</w:t>
            </w:r>
            <w:r>
              <w:rPr>
                <w:rFonts w:ascii="Arial"/>
                <w:sz w:val="18"/>
              </w:rPr>
            </w:r>
          </w:p>
        </w:tc>
        <w:tc>
          <w:tcPr>
            <w:tcW w:w="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9"/>
              <w:jc w:val="right"/>
              <w:rPr>
                <w:rFonts w:ascii="Arial" w:hAnsi="Arial" w:cs="Arial" w:eastAsia="Arial" w:hint="default"/>
                <w:sz w:val="18"/>
                <w:szCs w:val="18"/>
              </w:rPr>
            </w:pPr>
            <w:r>
              <w:rPr>
                <w:rFonts w:ascii="Arial"/>
                <w:spacing w:val="-1"/>
                <w:w w:val="95"/>
                <w:sz w:val="18"/>
              </w:rPr>
              <w:t>47.61</w:t>
            </w:r>
            <w:r>
              <w:rPr>
                <w:rFonts w:ascii="Arial"/>
                <w:sz w:val="18"/>
              </w:rPr>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363"/>
              <w:jc w:val="righ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right"/>
        <w:rPr>
          <w:rFonts w:ascii="宋体" w:hAnsi="宋体" w:cs="宋体" w:eastAsia="宋体" w:hint="default"/>
          <w:sz w:val="18"/>
          <w:szCs w:val="18"/>
        </w:rPr>
        <w:sectPr>
          <w:pgSz w:w="11910" w:h="16840"/>
          <w:pgMar w:header="587" w:footer="774" w:top="960" w:bottom="960" w:left="1180" w:right="860"/>
        </w:sectPr>
      </w:pPr>
    </w:p>
    <w:p>
      <w:pPr>
        <w:spacing w:line="240" w:lineRule="auto" w:before="6"/>
        <w:rPr>
          <w:rFonts w:ascii="宋体" w:hAnsi="宋体" w:cs="宋体" w:eastAsia="宋体" w:hint="default"/>
          <w:sz w:val="12"/>
          <w:szCs w:val="12"/>
        </w:rPr>
      </w:pPr>
    </w:p>
    <w:p>
      <w:pPr>
        <w:pStyle w:val="BodyText"/>
        <w:spacing w:line="240" w:lineRule="auto" w:before="31"/>
        <w:ind w:left="149" w:right="99"/>
        <w:jc w:val="left"/>
      </w:pPr>
      <w:r>
        <w:rPr/>
        <w:t>董事、监事、高级管理人员最近</w:t>
      </w:r>
      <w:r>
        <w:rPr>
          <w:spacing w:val="-57"/>
        </w:rPr>
        <w:t> </w:t>
      </w:r>
      <w:r>
        <w:rPr>
          <w:rFonts w:ascii="Arial" w:hAnsi="Arial" w:cs="Arial" w:eastAsia="Arial" w:hint="default"/>
        </w:rPr>
        <w:t>5</w:t>
      </w:r>
      <w:r>
        <w:rPr>
          <w:rFonts w:ascii="Arial" w:hAnsi="Arial" w:cs="Arial" w:eastAsia="Arial" w:hint="default"/>
          <w:spacing w:val="-7"/>
        </w:rPr>
        <w:t> </w:t>
      </w:r>
      <w:r>
        <w:rPr/>
        <w:t>年的主要工作经历：</w:t>
      </w:r>
    </w:p>
    <w:p>
      <w:pPr>
        <w:spacing w:line="240" w:lineRule="auto" w:before="12"/>
        <w:rPr>
          <w:rFonts w:ascii="宋体" w:hAnsi="宋体" w:cs="宋体" w:eastAsia="宋体" w:hint="default"/>
          <w:sz w:val="29"/>
          <w:szCs w:val="29"/>
        </w:rPr>
      </w:pPr>
    </w:p>
    <w:p>
      <w:pPr>
        <w:pStyle w:val="BodyText"/>
        <w:spacing w:line="230" w:lineRule="auto"/>
        <w:ind w:left="681" w:right="218" w:hanging="532"/>
        <w:jc w:val="both"/>
      </w:pPr>
      <w:r>
        <w:rPr>
          <w:rFonts w:ascii="宋体" w:hAnsi="宋体" w:cs="宋体" w:eastAsia="宋体" w:hint="default"/>
          <w:b/>
          <w:bCs/>
        </w:rPr>
        <w:t>（</w:t>
      </w:r>
      <w:r>
        <w:rPr>
          <w:rFonts w:ascii="Arial" w:hAnsi="Arial" w:cs="Arial" w:eastAsia="Arial" w:hint="default"/>
          <w:b/>
          <w:bCs/>
        </w:rPr>
        <w:t>1</w:t>
      </w:r>
      <w:r>
        <w:rPr>
          <w:rFonts w:ascii="宋体" w:hAnsi="宋体" w:cs="宋体" w:eastAsia="宋体" w:hint="default"/>
          <w:b/>
          <w:bCs/>
        </w:rPr>
        <w:t>）常小兵</w:t>
      </w:r>
      <w:r>
        <w:rPr/>
        <w:t>先生为教授级高级工程师，</w:t>
      </w:r>
      <w:r>
        <w:rPr>
          <w:rFonts w:ascii="Arial" w:hAnsi="Arial" w:cs="Arial" w:eastAsia="Arial" w:hint="default"/>
        </w:rPr>
        <w:t>1982</w:t>
      </w:r>
      <w:r>
        <w:rPr>
          <w:rFonts w:ascii="Arial" w:hAnsi="Arial" w:cs="Arial" w:eastAsia="Arial" w:hint="default"/>
          <w:spacing w:val="32"/>
        </w:rPr>
        <w:t> </w:t>
      </w:r>
      <w:r>
        <w:rPr/>
        <w:t>年毕业于南京邮电学院电信工程系，获得工学学士</w:t>
      </w:r>
      <w:r>
        <w:rPr>
          <w:w w:val="99"/>
        </w:rPr>
        <w:t> </w:t>
      </w:r>
      <w:r>
        <w:rPr/>
        <w:t>学位；</w:t>
      </w:r>
      <w:r>
        <w:rPr>
          <w:rFonts w:ascii="Arial" w:hAnsi="Arial" w:cs="Arial" w:eastAsia="Arial" w:hint="default"/>
        </w:rPr>
        <w:t>2001 </w:t>
      </w:r>
      <w:r>
        <w:rPr/>
        <w:t>年获得清华大学工商管理硕士学位；</w:t>
      </w:r>
      <w:r>
        <w:rPr>
          <w:rFonts w:ascii="Arial" w:hAnsi="Arial" w:cs="Arial" w:eastAsia="Arial" w:hint="default"/>
        </w:rPr>
        <w:t>2005</w:t>
      </w:r>
      <w:r>
        <w:rPr>
          <w:rFonts w:ascii="Arial" w:hAnsi="Arial" w:cs="Arial" w:eastAsia="Arial" w:hint="default"/>
          <w:spacing w:val="-40"/>
        </w:rPr>
        <w:t> </w:t>
      </w:r>
      <w:r>
        <w:rPr/>
        <w:t>年获得香港理工大学工商管理博士学</w:t>
      </w:r>
      <w:r>
        <w:rPr>
          <w:w w:val="99"/>
        </w:rPr>
        <w:t> </w:t>
      </w:r>
      <w:r>
        <w:rPr>
          <w:spacing w:val="-1"/>
        </w:rPr>
        <w:t>位。曾先后任江苏省南京市电信局副局长、中国邮电电信总局副局长、信息产业部电信管理</w:t>
      </w:r>
      <w:r>
        <w:rPr>
          <w:w w:val="99"/>
        </w:rPr>
        <w:t> </w:t>
      </w:r>
      <w:r>
        <w:rPr/>
        <w:t>局副局长与局长、中国电信集团公司副总经理，</w:t>
      </w:r>
      <w:r>
        <w:rPr>
          <w:rFonts w:ascii="Arial" w:hAnsi="Arial" w:cs="Arial" w:eastAsia="Arial" w:hint="default"/>
        </w:rPr>
        <w:t>2002</w:t>
      </w:r>
      <w:r>
        <w:rPr>
          <w:rFonts w:ascii="Arial" w:hAnsi="Arial" w:cs="Arial" w:eastAsia="Arial" w:hint="default"/>
          <w:spacing w:val="-9"/>
        </w:rPr>
        <w:t> </w:t>
      </w:r>
      <w:r>
        <w:rPr/>
        <w:t>年</w:t>
      </w:r>
      <w:r>
        <w:rPr>
          <w:spacing w:val="-58"/>
        </w:rPr>
        <w:t> </w:t>
      </w:r>
      <w:r>
        <w:rPr>
          <w:rFonts w:ascii="Arial" w:hAnsi="Arial" w:cs="Arial" w:eastAsia="Arial" w:hint="default"/>
        </w:rPr>
        <w:t>9</w:t>
      </w:r>
      <w:r>
        <w:rPr>
          <w:rFonts w:ascii="Arial" w:hAnsi="Arial" w:cs="Arial" w:eastAsia="Arial" w:hint="default"/>
          <w:spacing w:val="-9"/>
        </w:rPr>
        <w:t> </w:t>
      </w:r>
      <w:r>
        <w:rPr/>
        <w:t>月至</w:t>
      </w:r>
      <w:r>
        <w:rPr>
          <w:spacing w:val="-58"/>
        </w:rPr>
        <w:t> </w:t>
      </w:r>
      <w:r>
        <w:rPr>
          <w:rFonts w:ascii="Arial" w:hAnsi="Arial" w:cs="Arial" w:eastAsia="Arial" w:hint="default"/>
        </w:rPr>
        <w:t>2004</w:t>
      </w:r>
      <w:r>
        <w:rPr>
          <w:rFonts w:ascii="Arial" w:hAnsi="Arial" w:cs="Arial" w:eastAsia="Arial" w:hint="default"/>
          <w:spacing w:val="-9"/>
        </w:rPr>
        <w:t> </w:t>
      </w:r>
      <w:r>
        <w:rPr/>
        <w:t>年</w:t>
      </w:r>
      <w:r>
        <w:rPr>
          <w:spacing w:val="-58"/>
        </w:rPr>
        <w:t> </w:t>
      </w:r>
      <w:r>
        <w:rPr>
          <w:rFonts w:ascii="Arial" w:hAnsi="Arial" w:cs="Arial" w:eastAsia="Arial" w:hint="default"/>
        </w:rPr>
        <w:t>10</w:t>
      </w:r>
      <w:r>
        <w:rPr>
          <w:rFonts w:ascii="Arial" w:hAnsi="Arial" w:cs="Arial" w:eastAsia="Arial" w:hint="default"/>
          <w:spacing w:val="-9"/>
        </w:rPr>
        <w:t> </w:t>
      </w:r>
      <w:r>
        <w:rPr/>
        <w:t>月期间亦担任中</w:t>
      </w:r>
    </w:p>
    <w:p>
      <w:pPr>
        <w:pStyle w:val="BodyText"/>
        <w:spacing w:line="279" w:lineRule="exact"/>
        <w:ind w:left="681" w:right="0"/>
        <w:jc w:val="both"/>
      </w:pPr>
      <w:r>
        <w:rPr/>
        <w:t>国电信股份有限公司执行董事、总裁。自 </w:t>
      </w:r>
      <w:r>
        <w:rPr>
          <w:rFonts w:ascii="Arial" w:hAnsi="Arial" w:cs="Arial" w:eastAsia="Arial" w:hint="default"/>
        </w:rPr>
        <w:t>2004 </w:t>
      </w:r>
      <w:r>
        <w:rPr/>
        <w:t>年 </w:t>
      </w:r>
      <w:r>
        <w:rPr>
          <w:rFonts w:ascii="Arial" w:hAnsi="Arial" w:cs="Arial" w:eastAsia="Arial" w:hint="default"/>
        </w:rPr>
        <w:t>11</w:t>
      </w:r>
      <w:r>
        <w:rPr>
          <w:rFonts w:ascii="Arial" w:hAnsi="Arial" w:cs="Arial" w:eastAsia="Arial" w:hint="default"/>
          <w:spacing w:val="-18"/>
        </w:rPr>
        <w:t> </w:t>
      </w:r>
      <w:r>
        <w:rPr/>
        <w:t>月加入中国联合通信有限公司担任董</w:t>
      </w:r>
    </w:p>
    <w:p>
      <w:pPr>
        <w:pStyle w:val="BodyText"/>
        <w:spacing w:line="225" w:lineRule="auto" w:before="6"/>
        <w:ind w:left="681" w:right="217"/>
        <w:jc w:val="both"/>
      </w:pPr>
      <w:r>
        <w:rPr/>
        <w:t>事长，中国联合通信有限公司于</w:t>
      </w:r>
      <w:r>
        <w:rPr>
          <w:spacing w:val="-54"/>
        </w:rPr>
        <w:t> </w:t>
      </w:r>
      <w:r>
        <w:rPr>
          <w:rFonts w:ascii="Arial" w:hAnsi="Arial" w:cs="Arial" w:eastAsia="Arial" w:hint="default"/>
        </w:rPr>
        <w:t>2008</w:t>
      </w:r>
      <w:r>
        <w:rPr>
          <w:rFonts w:ascii="Arial" w:hAnsi="Arial" w:cs="Arial" w:eastAsia="Arial" w:hint="default"/>
          <w:spacing w:val="-5"/>
        </w:rPr>
        <w:t> </w:t>
      </w:r>
      <w:r>
        <w:rPr/>
        <w:t>年</w:t>
      </w:r>
      <w:r>
        <w:rPr>
          <w:spacing w:val="-54"/>
        </w:rPr>
        <w:t> </w:t>
      </w:r>
      <w:r>
        <w:rPr>
          <w:rFonts w:ascii="Arial" w:hAnsi="Arial" w:cs="Arial" w:eastAsia="Arial" w:hint="default"/>
        </w:rPr>
        <w:t>12</w:t>
      </w:r>
      <w:r>
        <w:rPr>
          <w:rFonts w:ascii="Arial" w:hAnsi="Arial" w:cs="Arial" w:eastAsia="Arial" w:hint="default"/>
          <w:spacing w:val="-5"/>
        </w:rPr>
        <w:t> </w:t>
      </w:r>
      <w:r>
        <w:rPr/>
        <w:t>月更名为中国联合网络通信集团有限公司（</w:t>
      </w:r>
      <w:r>
        <w:rPr>
          <w:rFonts w:ascii="Times New Roman" w:hAnsi="Times New Roman" w:cs="Times New Roman" w:eastAsia="Times New Roman" w:hint="default"/>
        </w:rPr>
        <w:t>“</w:t>
      </w:r>
      <w:r>
        <w:rPr/>
        <w:t>联</w:t>
      </w:r>
      <w:r>
        <w:rPr>
          <w:w w:val="99"/>
        </w:rPr>
        <w:t> </w:t>
      </w:r>
      <w:r>
        <w:rPr>
          <w:spacing w:val="-6"/>
        </w:rPr>
        <w:t>通集团</w:t>
      </w:r>
      <w:r>
        <w:rPr>
          <w:rFonts w:ascii="Times New Roman" w:hAnsi="Times New Roman" w:cs="Times New Roman" w:eastAsia="Times New Roman" w:hint="default"/>
          <w:spacing w:val="-6"/>
        </w:rPr>
        <w:t>”</w:t>
      </w:r>
      <w:r>
        <w:rPr>
          <w:spacing w:val="-6"/>
        </w:rPr>
        <w:t>）。他目前担任联通集团公司董事长，中国联合网络通信（香港）股份有限公司（</w:t>
      </w:r>
      <w:r>
        <w:rPr>
          <w:rFonts w:ascii="Times New Roman" w:hAnsi="Times New Roman" w:cs="Times New Roman" w:eastAsia="Times New Roman" w:hint="default"/>
          <w:spacing w:val="-6"/>
        </w:rPr>
        <w:t>“</w:t>
      </w:r>
      <w:r>
        <w:rPr>
          <w:spacing w:val="-6"/>
        </w:rPr>
        <w:t>联</w:t>
      </w:r>
      <w:r>
        <w:rPr>
          <w:spacing w:val="-100"/>
        </w:rPr>
        <w:t> </w:t>
      </w:r>
      <w:r>
        <w:rPr>
          <w:w w:val="95"/>
        </w:rPr>
        <w:t>通红筹公司</w:t>
      </w:r>
      <w:r>
        <w:rPr>
          <w:rFonts w:ascii="Times New Roman" w:hAnsi="Times New Roman" w:cs="Times New Roman" w:eastAsia="Times New Roman" w:hint="default"/>
          <w:w w:val="95"/>
        </w:rPr>
        <w:t>”</w:t>
      </w:r>
      <w:r>
        <w:rPr>
          <w:w w:val="95"/>
        </w:rPr>
        <w:t>）执行董事、董事长兼首席执行官，中国联合网络通信有限公司（</w:t>
      </w:r>
      <w:r>
        <w:rPr>
          <w:rFonts w:ascii="Times New Roman" w:hAnsi="Times New Roman" w:cs="Times New Roman" w:eastAsia="Times New Roman" w:hint="default"/>
          <w:w w:val="95"/>
        </w:rPr>
        <w:t>“</w:t>
      </w:r>
      <w:r>
        <w:rPr>
          <w:w w:val="95"/>
        </w:rPr>
        <w:t>联通运营公 </w:t>
      </w:r>
      <w:r>
        <w:rPr/>
        <w:t>司</w:t>
      </w:r>
      <w:r>
        <w:rPr>
          <w:rFonts w:ascii="Times New Roman" w:hAnsi="Times New Roman" w:cs="Times New Roman" w:eastAsia="Times New Roman" w:hint="default"/>
        </w:rPr>
        <w:t>”</w:t>
      </w:r>
      <w:r>
        <w:rPr/>
        <w:t>）董事长，并自</w:t>
      </w:r>
      <w:r>
        <w:rPr>
          <w:spacing w:val="-49"/>
        </w:rPr>
        <w:t> </w:t>
      </w:r>
      <w:r>
        <w:rPr>
          <w:rFonts w:ascii="Arial" w:hAnsi="Arial" w:cs="Arial" w:eastAsia="Arial" w:hint="default"/>
        </w:rPr>
        <w:t>2004 </w:t>
      </w:r>
      <w:r>
        <w:rPr/>
        <w:t>年</w:t>
      </w:r>
      <w:r>
        <w:rPr>
          <w:spacing w:val="-49"/>
        </w:rPr>
        <w:t> </w:t>
      </w:r>
      <w:r>
        <w:rPr>
          <w:rFonts w:ascii="Arial" w:hAnsi="Arial" w:cs="Arial" w:eastAsia="Arial" w:hint="default"/>
        </w:rPr>
        <w:t>12 </w:t>
      </w:r>
      <w:r>
        <w:rPr/>
        <w:t>月起任本公司（本公司于</w:t>
      </w:r>
      <w:r>
        <w:rPr>
          <w:spacing w:val="-49"/>
        </w:rPr>
        <w:t> </w:t>
      </w:r>
      <w:r>
        <w:rPr>
          <w:rFonts w:ascii="Arial" w:hAnsi="Arial" w:cs="Arial" w:eastAsia="Arial" w:hint="default"/>
        </w:rPr>
        <w:t>2009 </w:t>
      </w:r>
      <w:r>
        <w:rPr/>
        <w:t>年</w:t>
      </w:r>
      <w:r>
        <w:rPr>
          <w:spacing w:val="-49"/>
        </w:rPr>
        <w:t> </w:t>
      </w:r>
      <w:r>
        <w:rPr>
          <w:rFonts w:ascii="Arial" w:hAnsi="Arial" w:cs="Arial" w:eastAsia="Arial" w:hint="default"/>
        </w:rPr>
        <w:t>7 </w:t>
      </w:r>
      <w:r>
        <w:rPr/>
        <w:t>月，由中国联合通信股</w:t>
      </w:r>
    </w:p>
    <w:p>
      <w:pPr>
        <w:pStyle w:val="BodyText"/>
        <w:spacing w:line="278" w:lineRule="exact"/>
        <w:ind w:left="681" w:right="0"/>
        <w:jc w:val="both"/>
      </w:pPr>
      <w:r>
        <w:rPr/>
        <w:t>份有限公司更名为中国联合网络通信股份有限公司）董事长。在</w:t>
      </w:r>
      <w:r>
        <w:rPr>
          <w:spacing w:val="-40"/>
        </w:rPr>
        <w:t> </w:t>
      </w:r>
      <w:r>
        <w:rPr>
          <w:rFonts w:ascii="Arial" w:hAnsi="Arial" w:cs="Arial" w:eastAsia="Arial" w:hint="default"/>
        </w:rPr>
        <w:t>2009</w:t>
      </w:r>
      <w:r>
        <w:rPr>
          <w:rFonts w:ascii="Arial" w:hAnsi="Arial" w:cs="Arial" w:eastAsia="Arial" w:hint="default"/>
          <w:spacing w:val="9"/>
        </w:rPr>
        <w:t> </w:t>
      </w:r>
      <w:r>
        <w:rPr/>
        <w:t>年</w:t>
      </w:r>
      <w:r>
        <w:rPr>
          <w:spacing w:val="-41"/>
        </w:rPr>
        <w:t> </w:t>
      </w:r>
      <w:r>
        <w:rPr>
          <w:rFonts w:ascii="Arial" w:hAnsi="Arial" w:cs="Arial" w:eastAsia="Arial" w:hint="default"/>
        </w:rPr>
        <w:t>11</w:t>
      </w:r>
      <w:r>
        <w:rPr>
          <w:rFonts w:ascii="Arial" w:hAnsi="Arial" w:cs="Arial" w:eastAsia="Arial" w:hint="default"/>
          <w:spacing w:val="9"/>
        </w:rPr>
        <w:t> </w:t>
      </w:r>
      <w:r>
        <w:rPr/>
        <w:t>月</w:t>
      </w:r>
      <w:r>
        <w:rPr>
          <w:spacing w:val="-39"/>
        </w:rPr>
        <w:t> </w:t>
      </w:r>
      <w:r>
        <w:rPr>
          <w:rFonts w:ascii="Arial" w:hAnsi="Arial" w:cs="Arial" w:eastAsia="Arial" w:hint="default"/>
        </w:rPr>
        <w:t>3</w:t>
      </w:r>
      <w:r>
        <w:rPr>
          <w:rFonts w:ascii="Arial" w:hAnsi="Arial" w:cs="Arial" w:eastAsia="Arial" w:hint="default"/>
          <w:spacing w:val="9"/>
        </w:rPr>
        <w:t> </w:t>
      </w:r>
      <w:r>
        <w:rPr/>
        <w:t>日召开的</w:t>
      </w:r>
    </w:p>
    <w:p>
      <w:pPr>
        <w:pStyle w:val="BodyText"/>
        <w:spacing w:line="286" w:lineRule="exact" w:before="18"/>
        <w:ind w:left="680" w:right="217"/>
        <w:jc w:val="both"/>
      </w:pPr>
      <w:r>
        <w:rPr/>
        <w:t>本公司</w:t>
      </w:r>
      <w:r>
        <w:rPr>
          <w:spacing w:val="-57"/>
        </w:rPr>
        <w:t> </w:t>
      </w:r>
      <w:r>
        <w:rPr>
          <w:rFonts w:ascii="Arial" w:hAnsi="Arial" w:cs="Arial" w:eastAsia="Arial" w:hint="default"/>
        </w:rPr>
        <w:t>2009</w:t>
      </w:r>
      <w:r>
        <w:rPr>
          <w:rFonts w:ascii="Arial" w:hAnsi="Arial" w:cs="Arial" w:eastAsia="Arial" w:hint="default"/>
          <w:spacing w:val="-8"/>
        </w:rPr>
        <w:t> </w:t>
      </w:r>
      <w:r>
        <w:rPr/>
        <w:t>年第二次临时股东大会上连任为本公司第三届董事会董事。在</w:t>
      </w:r>
      <w:r>
        <w:rPr>
          <w:spacing w:val="-56"/>
        </w:rPr>
        <w:t> </w:t>
      </w:r>
      <w:r>
        <w:rPr>
          <w:rFonts w:ascii="Arial" w:hAnsi="Arial" w:cs="Arial" w:eastAsia="Arial" w:hint="default"/>
        </w:rPr>
        <w:t>2009</w:t>
      </w:r>
      <w:r>
        <w:rPr>
          <w:rFonts w:ascii="Arial" w:hAnsi="Arial" w:cs="Arial" w:eastAsia="Arial" w:hint="default"/>
          <w:spacing w:val="-8"/>
        </w:rPr>
        <w:t> </w:t>
      </w:r>
      <w:r>
        <w:rPr/>
        <w:t>年</w:t>
      </w:r>
      <w:r>
        <w:rPr>
          <w:spacing w:val="-57"/>
        </w:rPr>
        <w:t> </w:t>
      </w:r>
      <w:r>
        <w:rPr>
          <w:rFonts w:ascii="Arial" w:hAnsi="Arial" w:cs="Arial" w:eastAsia="Arial" w:hint="default"/>
        </w:rPr>
        <w:t>11</w:t>
      </w:r>
      <w:r>
        <w:rPr>
          <w:rFonts w:ascii="Arial" w:hAnsi="Arial" w:cs="Arial" w:eastAsia="Arial" w:hint="default"/>
          <w:spacing w:val="-8"/>
        </w:rPr>
        <w:t> </w:t>
      </w:r>
      <w:r>
        <w:rPr/>
        <w:t>月</w:t>
      </w:r>
      <w:r>
        <w:rPr>
          <w:spacing w:val="-57"/>
        </w:rPr>
        <w:t> </w:t>
      </w:r>
      <w:r>
        <w:rPr>
          <w:rFonts w:ascii="Arial" w:hAnsi="Arial" w:cs="Arial" w:eastAsia="Arial" w:hint="default"/>
        </w:rPr>
        <w:t>6</w:t>
      </w:r>
      <w:r>
        <w:rPr>
          <w:rFonts w:ascii="Arial" w:hAnsi="Arial" w:cs="Arial" w:eastAsia="Arial" w:hint="default"/>
          <w:w w:val="99"/>
        </w:rPr>
        <w:t> </w:t>
      </w:r>
      <w:r>
        <w:rPr>
          <w:spacing w:val="-1"/>
        </w:rPr>
        <w:t>日召开的第三届董事会第一次会议上连任为本公司董事长。常小兵先生有丰富的电信行业管</w:t>
      </w:r>
      <w:r>
        <w:rPr>
          <w:w w:val="99"/>
        </w:rPr>
        <w:t> </w:t>
      </w:r>
      <w:r>
        <w:rPr/>
        <w:t>理和从业经验。</w:t>
      </w:r>
    </w:p>
    <w:p>
      <w:pPr>
        <w:spacing w:line="240" w:lineRule="auto" w:before="5"/>
        <w:rPr>
          <w:rFonts w:ascii="宋体" w:hAnsi="宋体" w:cs="宋体" w:eastAsia="宋体" w:hint="default"/>
          <w:sz w:val="18"/>
          <w:szCs w:val="18"/>
        </w:rPr>
      </w:pPr>
    </w:p>
    <w:p>
      <w:pPr>
        <w:pStyle w:val="BodyText"/>
        <w:spacing w:line="225" w:lineRule="auto"/>
        <w:ind w:left="680" w:right="219" w:hanging="532"/>
        <w:jc w:val="both"/>
      </w:pPr>
      <w:r>
        <w:rPr>
          <w:rFonts w:ascii="宋体" w:hAnsi="宋体" w:cs="宋体" w:eastAsia="宋体" w:hint="default"/>
          <w:b/>
          <w:bCs/>
        </w:rPr>
        <w:t>（</w:t>
      </w:r>
      <w:r>
        <w:rPr>
          <w:rFonts w:ascii="Arial" w:hAnsi="Arial" w:cs="Arial" w:eastAsia="Arial" w:hint="default"/>
          <w:b/>
          <w:bCs/>
        </w:rPr>
        <w:t>2</w:t>
      </w:r>
      <w:r>
        <w:rPr>
          <w:rFonts w:ascii="宋体" w:hAnsi="宋体" w:cs="宋体" w:eastAsia="宋体" w:hint="default"/>
          <w:b/>
          <w:bCs/>
        </w:rPr>
        <w:t>）陆益民</w:t>
      </w:r>
      <w:r>
        <w:rPr/>
        <w:t>先生为研究员级高级工程师，</w:t>
      </w:r>
      <w:r>
        <w:rPr>
          <w:rFonts w:ascii="Arial" w:hAnsi="Arial" w:cs="Arial" w:eastAsia="Arial" w:hint="default"/>
        </w:rPr>
        <w:t>1985</w:t>
      </w:r>
      <w:r>
        <w:rPr>
          <w:rFonts w:ascii="Arial" w:hAnsi="Arial" w:cs="Arial" w:eastAsia="Arial" w:hint="default"/>
          <w:spacing w:val="32"/>
        </w:rPr>
        <w:t> </w:t>
      </w:r>
      <w:r>
        <w:rPr/>
        <w:t>年毕业于上海交通大学计算机科学技术专业并取</w:t>
      </w:r>
      <w:r>
        <w:rPr>
          <w:w w:val="99"/>
        </w:rPr>
        <w:t> </w:t>
      </w:r>
      <w:r>
        <w:rPr/>
        <w:t>得工学学士学位，</w:t>
      </w:r>
      <w:r>
        <w:rPr>
          <w:rFonts w:ascii="Arial" w:hAnsi="Arial" w:cs="Arial" w:eastAsia="Arial" w:hint="default"/>
        </w:rPr>
        <w:t>2001 </w:t>
      </w:r>
      <w:r>
        <w:rPr/>
        <w:t>年 </w:t>
      </w:r>
      <w:r>
        <w:rPr>
          <w:rFonts w:ascii="Arial" w:hAnsi="Arial" w:cs="Arial" w:eastAsia="Arial" w:hint="default"/>
        </w:rPr>
        <w:t>6</w:t>
      </w:r>
      <w:r>
        <w:rPr>
          <w:rFonts w:ascii="Arial" w:hAnsi="Arial" w:cs="Arial" w:eastAsia="Arial" w:hint="default"/>
          <w:spacing w:val="-6"/>
        </w:rPr>
        <w:t> </w:t>
      </w:r>
      <w:r>
        <w:rPr/>
        <w:t>月取得美国哈佛大学肯尼迪政府学院公共管理专业硕士学位。</w:t>
      </w:r>
      <w:r>
        <w:rPr>
          <w:w w:val="99"/>
        </w:rPr>
        <w:t> </w:t>
      </w:r>
      <w:r>
        <w:rPr/>
        <w:t>陆先生于</w:t>
      </w:r>
      <w:r>
        <w:rPr>
          <w:spacing w:val="-68"/>
        </w:rPr>
        <w:t> </w:t>
      </w:r>
      <w:r>
        <w:rPr>
          <w:rFonts w:ascii="Arial" w:hAnsi="Arial" w:cs="Arial" w:eastAsia="Arial" w:hint="default"/>
        </w:rPr>
        <w:t>2007</w:t>
      </w:r>
      <w:r>
        <w:rPr>
          <w:rFonts w:ascii="Arial" w:hAnsi="Arial" w:cs="Arial" w:eastAsia="Arial" w:hint="default"/>
          <w:spacing w:val="-19"/>
        </w:rPr>
        <w:t> </w:t>
      </w:r>
      <w:r>
        <w:rPr/>
        <w:t>年</w:t>
      </w:r>
      <w:r>
        <w:rPr>
          <w:spacing w:val="-68"/>
        </w:rPr>
        <w:t> </w:t>
      </w:r>
      <w:r>
        <w:rPr>
          <w:rFonts w:ascii="Arial" w:hAnsi="Arial" w:cs="Arial" w:eastAsia="Arial" w:hint="default"/>
        </w:rPr>
        <w:t>12</w:t>
      </w:r>
      <w:r>
        <w:rPr>
          <w:rFonts w:ascii="Arial" w:hAnsi="Arial" w:cs="Arial" w:eastAsia="Arial" w:hint="default"/>
          <w:spacing w:val="-19"/>
        </w:rPr>
        <w:t> </w:t>
      </w:r>
      <w:r>
        <w:rPr/>
        <w:t>月加入中国网络通信集团公司（</w:t>
      </w:r>
      <w:r>
        <w:rPr>
          <w:rFonts w:ascii="Arial" w:hAnsi="Arial" w:cs="Arial" w:eastAsia="Arial" w:hint="default"/>
        </w:rPr>
        <w:t>“</w:t>
      </w:r>
      <w:r>
        <w:rPr/>
        <w:t>网通集团</w:t>
      </w:r>
      <w:r>
        <w:rPr>
          <w:rFonts w:ascii="Arial" w:hAnsi="Arial" w:cs="Arial" w:eastAsia="Arial" w:hint="default"/>
        </w:rPr>
        <w:t>”</w:t>
      </w:r>
      <w:r>
        <w:rPr/>
        <w:t>）担任高级管理职务，并于</w:t>
      </w:r>
    </w:p>
    <w:p>
      <w:pPr>
        <w:pStyle w:val="BodyText"/>
        <w:spacing w:line="225" w:lineRule="auto" w:before="1"/>
        <w:ind w:left="681" w:right="217" w:hanging="2"/>
        <w:jc w:val="both"/>
      </w:pPr>
      <w:r>
        <w:rPr>
          <w:rFonts w:ascii="Arial" w:hAnsi="Arial" w:cs="Arial" w:eastAsia="Arial" w:hint="default"/>
        </w:rPr>
        <w:t>2008</w:t>
      </w:r>
      <w:r>
        <w:rPr>
          <w:rFonts w:ascii="Arial" w:hAnsi="Arial" w:cs="Arial" w:eastAsia="Arial" w:hint="default"/>
          <w:spacing w:val="-1"/>
        </w:rPr>
        <w:t> </w:t>
      </w:r>
      <w:r>
        <w:rPr/>
        <w:t>年</w:t>
      </w:r>
      <w:r>
        <w:rPr>
          <w:spacing w:val="-49"/>
        </w:rPr>
        <w:t> </w:t>
      </w:r>
      <w:r>
        <w:rPr>
          <w:rFonts w:ascii="Arial" w:hAnsi="Arial" w:cs="Arial" w:eastAsia="Arial" w:hint="default"/>
        </w:rPr>
        <w:t>5</w:t>
      </w:r>
      <w:r>
        <w:rPr>
          <w:rFonts w:ascii="Arial" w:hAnsi="Arial" w:cs="Arial" w:eastAsia="Arial" w:hint="default"/>
          <w:spacing w:val="-2"/>
        </w:rPr>
        <w:t> </w:t>
      </w:r>
      <w:r>
        <w:rPr/>
        <w:t>月起担任电讯盈科有限公司（在香港联合交易所有限公司及美国预托证券在</w:t>
      </w:r>
      <w:r>
        <w:rPr>
          <w:spacing w:val="-49"/>
        </w:rPr>
        <w:t> </w:t>
      </w:r>
      <w:r>
        <w:rPr>
          <w:rFonts w:ascii="Arial" w:hAnsi="Arial" w:cs="Arial" w:eastAsia="Arial" w:hint="default"/>
        </w:rPr>
        <w:t>Pink</w:t>
      </w:r>
      <w:r>
        <w:rPr>
          <w:rFonts w:ascii="Arial" w:hAnsi="Arial" w:cs="Arial" w:eastAsia="Arial" w:hint="default"/>
          <w:w w:val="99"/>
        </w:rPr>
        <w:t> </w:t>
      </w:r>
      <w:r>
        <w:rPr>
          <w:rFonts w:ascii="Arial" w:hAnsi="Arial" w:cs="Arial" w:eastAsia="Arial" w:hint="default"/>
        </w:rPr>
        <w:t>Sheets' OTC Markets</w:t>
      </w:r>
      <w:r>
        <w:rPr>
          <w:rFonts w:ascii="Arial" w:hAnsi="Arial" w:cs="Arial" w:eastAsia="Arial" w:hint="default"/>
          <w:spacing w:val="2"/>
        </w:rPr>
        <w:t> </w:t>
      </w:r>
      <w:r>
        <w:rPr/>
        <w:t>上市）非执行董事。加入网通集团之前，曾在中共中央办公厅秘书局</w:t>
      </w:r>
      <w:r>
        <w:rPr>
          <w:w w:val="99"/>
        </w:rPr>
        <w:t> </w:t>
      </w:r>
      <w:r>
        <w:rPr>
          <w:spacing w:val="-28"/>
          <w:w w:val="99"/>
        </w:rPr>
        <w:t>工作，自</w:t>
      </w:r>
      <w:r>
        <w:rPr>
          <w:spacing w:val="-58"/>
          <w:w w:val="99"/>
        </w:rPr>
        <w:t> </w:t>
      </w:r>
      <w:r>
        <w:rPr>
          <w:rFonts w:ascii="Arial" w:hAnsi="Arial" w:cs="Arial" w:eastAsia="Arial" w:hint="default"/>
          <w:w w:val="99"/>
        </w:rPr>
        <w:t>1992</w:t>
      </w:r>
      <w:r>
        <w:rPr>
          <w:rFonts w:ascii="Arial" w:hAnsi="Arial" w:cs="Arial" w:eastAsia="Arial" w:hint="default"/>
          <w:spacing w:val="-9"/>
          <w:w w:val="99"/>
        </w:rPr>
        <w:t> </w:t>
      </w:r>
      <w:r>
        <w:rPr>
          <w:spacing w:val="-5"/>
          <w:w w:val="99"/>
        </w:rPr>
        <w:t>年起先后担任信息处理室副主任及主任，</w:t>
      </w:r>
      <w:r>
        <w:rPr>
          <w:rFonts w:ascii="Arial" w:hAnsi="Arial" w:cs="Arial" w:eastAsia="Arial" w:hint="default"/>
          <w:spacing w:val="-5"/>
          <w:w w:val="99"/>
        </w:rPr>
        <w:t>2001</w:t>
      </w:r>
      <w:r>
        <w:rPr>
          <w:rFonts w:ascii="Arial" w:hAnsi="Arial" w:cs="Arial" w:eastAsia="Arial" w:hint="default"/>
          <w:spacing w:val="-9"/>
          <w:w w:val="99"/>
        </w:rPr>
        <w:t> </w:t>
      </w:r>
      <w:r>
        <w:rPr>
          <w:spacing w:val="-7"/>
          <w:w w:val="99"/>
        </w:rPr>
        <w:t>年起担任专职副局级秘书，</w:t>
      </w:r>
      <w:r>
        <w:rPr>
          <w:rFonts w:ascii="Arial" w:hAnsi="Arial" w:cs="Arial" w:eastAsia="Arial" w:hint="default"/>
          <w:spacing w:val="-7"/>
          <w:w w:val="99"/>
        </w:rPr>
        <w:t>2005</w:t>
      </w:r>
      <w:r>
        <w:rPr>
          <w:rFonts w:ascii="Arial" w:hAnsi="Arial" w:cs="Arial" w:eastAsia="Arial" w:hint="default"/>
          <w:w w:val="99"/>
        </w:rPr>
        <w:t> </w:t>
      </w:r>
      <w:r>
        <w:rPr>
          <w:spacing w:val="-6"/>
          <w:w w:val="99"/>
        </w:rPr>
        <w:t>年起担任专职正局级秘书。</w:t>
      </w:r>
      <w:r>
        <w:rPr>
          <w:rFonts w:ascii="Arial" w:hAnsi="Arial" w:cs="Arial" w:eastAsia="Arial" w:hint="default"/>
          <w:spacing w:val="-6"/>
          <w:w w:val="99"/>
        </w:rPr>
        <w:t>2008</w:t>
      </w:r>
      <w:r>
        <w:rPr>
          <w:rFonts w:ascii="Arial" w:hAnsi="Arial" w:cs="Arial" w:eastAsia="Arial" w:hint="default"/>
          <w:spacing w:val="2"/>
          <w:w w:val="99"/>
        </w:rPr>
        <w:t> </w:t>
      </w:r>
      <w:r>
        <w:rPr>
          <w:w w:val="99"/>
        </w:rPr>
        <w:t>年</w:t>
      </w:r>
      <w:r>
        <w:rPr>
          <w:spacing w:val="-46"/>
          <w:w w:val="99"/>
        </w:rPr>
        <w:t> </w:t>
      </w:r>
      <w:r>
        <w:rPr>
          <w:rFonts w:ascii="Arial" w:hAnsi="Arial" w:cs="Arial" w:eastAsia="Arial" w:hint="default"/>
          <w:w w:val="99"/>
        </w:rPr>
        <w:t>10</w:t>
      </w:r>
      <w:r>
        <w:rPr>
          <w:rFonts w:ascii="Arial" w:hAnsi="Arial" w:cs="Arial" w:eastAsia="Arial" w:hint="default"/>
          <w:spacing w:val="2"/>
          <w:w w:val="99"/>
        </w:rPr>
        <w:t> </w:t>
      </w:r>
      <w:r>
        <w:rPr>
          <w:spacing w:val="-11"/>
          <w:w w:val="99"/>
        </w:rPr>
        <w:t>月起担任中国联合网络通信（香港）股份有限公司（</w:t>
      </w:r>
      <w:r>
        <w:rPr>
          <w:rFonts w:ascii="Arial" w:hAnsi="Arial" w:cs="Arial" w:eastAsia="Arial" w:hint="default"/>
          <w:spacing w:val="-11"/>
          <w:w w:val="99"/>
        </w:rPr>
        <w:t>“</w:t>
      </w:r>
      <w:r>
        <w:rPr>
          <w:spacing w:val="-11"/>
          <w:w w:val="99"/>
        </w:rPr>
        <w:t>联</w:t>
      </w:r>
      <w:r>
        <w:rPr>
          <w:w w:val="99"/>
        </w:rPr>
        <w:t> </w:t>
      </w:r>
      <w:r>
        <w:rPr/>
        <w:t>通红筹公司</w:t>
      </w:r>
      <w:r>
        <w:rPr>
          <w:rFonts w:ascii="Arial" w:hAnsi="Arial" w:cs="Arial" w:eastAsia="Arial" w:hint="default"/>
        </w:rPr>
        <w:t>”</w:t>
      </w:r>
      <w:r>
        <w:rPr/>
        <w:t>）执行董事。</w:t>
      </w:r>
      <w:r>
        <w:rPr>
          <w:rFonts w:ascii="Arial" w:hAnsi="Arial" w:cs="Arial" w:eastAsia="Arial" w:hint="default"/>
        </w:rPr>
        <w:t>2009</w:t>
      </w:r>
      <w:r>
        <w:rPr>
          <w:rFonts w:ascii="Arial" w:hAnsi="Arial" w:cs="Arial" w:eastAsia="Arial" w:hint="default"/>
          <w:spacing w:val="-11"/>
        </w:rPr>
        <w:t> </w:t>
      </w:r>
      <w:r>
        <w:rPr/>
        <w:t>年</w:t>
      </w:r>
      <w:r>
        <w:rPr>
          <w:spacing w:val="-60"/>
        </w:rPr>
        <w:t> </w:t>
      </w:r>
      <w:r>
        <w:rPr>
          <w:rFonts w:ascii="Arial" w:hAnsi="Arial" w:cs="Arial" w:eastAsia="Arial" w:hint="default"/>
        </w:rPr>
        <w:t>2</w:t>
      </w:r>
      <w:r>
        <w:rPr>
          <w:rFonts w:ascii="Arial" w:hAnsi="Arial" w:cs="Arial" w:eastAsia="Arial" w:hint="default"/>
          <w:spacing w:val="-11"/>
        </w:rPr>
        <w:t> </w:t>
      </w:r>
      <w:r>
        <w:rPr/>
        <w:t>月起担任联通红筹公司总裁。他目前担任中国联合网络</w:t>
      </w:r>
      <w:r>
        <w:rPr>
          <w:w w:val="99"/>
        </w:rPr>
        <w:t> </w:t>
      </w:r>
      <w:r>
        <w:rPr/>
        <w:t>通信集团有限公司</w:t>
      </w:r>
      <w:r>
        <w:rPr>
          <w:spacing w:val="-70"/>
        </w:rPr>
        <w:t> </w:t>
      </w:r>
      <w:r>
        <w:rPr/>
        <w:t>（</w:t>
      </w:r>
      <w:r>
        <w:rPr>
          <w:rFonts w:ascii="Arial" w:hAnsi="Arial" w:cs="Arial" w:eastAsia="Arial" w:hint="default"/>
        </w:rPr>
        <w:t>“</w:t>
      </w:r>
      <w:r>
        <w:rPr/>
        <w:t>联通集团</w:t>
      </w:r>
      <w:r>
        <w:rPr>
          <w:rFonts w:ascii="Arial" w:hAnsi="Arial" w:cs="Arial" w:eastAsia="Arial" w:hint="default"/>
        </w:rPr>
        <w:t>”</w:t>
      </w:r>
      <w:r>
        <w:rPr/>
        <w:t>）副董事长及总经理，联通红筹公司执行董事及总裁，中国</w:t>
      </w:r>
      <w:r>
        <w:rPr>
          <w:w w:val="99"/>
        </w:rPr>
        <w:t> </w:t>
      </w:r>
      <w:r>
        <w:rPr/>
        <w:t>联合网络通信有限公司</w:t>
      </w:r>
      <w:r>
        <w:rPr>
          <w:spacing w:val="-3"/>
        </w:rPr>
        <w:t> </w:t>
      </w:r>
      <w:r>
        <w:rPr/>
        <w:t>（</w:t>
      </w:r>
      <w:r>
        <w:rPr>
          <w:rFonts w:ascii="Arial" w:hAnsi="Arial" w:cs="Arial" w:eastAsia="Arial" w:hint="default"/>
        </w:rPr>
        <w:t>“</w:t>
      </w:r>
      <w:r>
        <w:rPr/>
        <w:t>联通运营公司</w:t>
      </w:r>
      <w:r>
        <w:rPr>
          <w:rFonts w:ascii="Arial" w:hAnsi="Arial" w:cs="Arial" w:eastAsia="Arial" w:hint="default"/>
        </w:rPr>
        <w:t>”</w:t>
      </w:r>
      <w:r>
        <w:rPr/>
        <w:t>）董事及总裁。在</w:t>
      </w:r>
      <w:r>
        <w:rPr>
          <w:spacing w:val="-46"/>
        </w:rPr>
        <w:t> </w:t>
      </w:r>
      <w:r>
        <w:rPr>
          <w:rFonts w:ascii="Arial" w:hAnsi="Arial" w:cs="Arial" w:eastAsia="Arial" w:hint="default"/>
        </w:rPr>
        <w:t>2009</w:t>
      </w:r>
      <w:r>
        <w:rPr>
          <w:rFonts w:ascii="Arial" w:hAnsi="Arial" w:cs="Arial" w:eastAsia="Arial" w:hint="default"/>
          <w:spacing w:val="2"/>
        </w:rPr>
        <w:t> </w:t>
      </w:r>
      <w:r>
        <w:rPr/>
        <w:t>年</w:t>
      </w:r>
      <w:r>
        <w:rPr>
          <w:spacing w:val="-48"/>
        </w:rPr>
        <w:t> </w:t>
      </w:r>
      <w:r>
        <w:rPr>
          <w:rFonts w:ascii="Arial" w:hAnsi="Arial" w:cs="Arial" w:eastAsia="Arial" w:hint="default"/>
        </w:rPr>
        <w:t>3</w:t>
      </w:r>
      <w:r>
        <w:rPr>
          <w:rFonts w:ascii="Arial" w:hAnsi="Arial" w:cs="Arial" w:eastAsia="Arial" w:hint="default"/>
          <w:spacing w:val="3"/>
        </w:rPr>
        <w:t> </w:t>
      </w:r>
      <w:r>
        <w:rPr/>
        <w:t>月</w:t>
      </w:r>
      <w:r>
        <w:rPr>
          <w:spacing w:val="-48"/>
        </w:rPr>
        <w:t> </w:t>
      </w:r>
      <w:r>
        <w:rPr>
          <w:rFonts w:ascii="Arial" w:hAnsi="Arial" w:cs="Arial" w:eastAsia="Arial" w:hint="default"/>
        </w:rPr>
        <w:t>31</w:t>
      </w:r>
      <w:r>
        <w:rPr>
          <w:rFonts w:ascii="Arial" w:hAnsi="Arial" w:cs="Arial" w:eastAsia="Arial" w:hint="default"/>
          <w:spacing w:val="2"/>
        </w:rPr>
        <w:t> </w:t>
      </w:r>
      <w:r>
        <w:rPr/>
        <w:t>日召开的第二</w:t>
      </w:r>
    </w:p>
    <w:p>
      <w:pPr>
        <w:pStyle w:val="BodyText"/>
        <w:spacing w:line="279" w:lineRule="exact"/>
        <w:ind w:left="681" w:right="0"/>
        <w:jc w:val="both"/>
      </w:pPr>
      <w:r>
        <w:rPr/>
        <w:t>届董事会第二十八次会议上被聘请担任本公司总裁，并于</w:t>
      </w:r>
      <w:r>
        <w:rPr>
          <w:spacing w:val="-39"/>
        </w:rPr>
        <w:t> </w:t>
      </w:r>
      <w:r>
        <w:rPr>
          <w:rFonts w:ascii="Arial" w:hAnsi="Arial" w:cs="Arial" w:eastAsia="Arial" w:hint="default"/>
        </w:rPr>
        <w:t>2009</w:t>
      </w:r>
      <w:r>
        <w:rPr>
          <w:rFonts w:ascii="Arial" w:hAnsi="Arial" w:cs="Arial" w:eastAsia="Arial" w:hint="default"/>
          <w:spacing w:val="9"/>
        </w:rPr>
        <w:t> </w:t>
      </w:r>
      <w:r>
        <w:rPr/>
        <w:t>年</w:t>
      </w:r>
      <w:r>
        <w:rPr>
          <w:spacing w:val="-41"/>
        </w:rPr>
        <w:t> </w:t>
      </w:r>
      <w:r>
        <w:rPr>
          <w:rFonts w:ascii="Arial" w:hAnsi="Arial" w:cs="Arial" w:eastAsia="Arial" w:hint="default"/>
        </w:rPr>
        <w:t>5</w:t>
      </w:r>
      <w:r>
        <w:rPr>
          <w:rFonts w:ascii="Arial" w:hAnsi="Arial" w:cs="Arial" w:eastAsia="Arial" w:hint="default"/>
          <w:spacing w:val="10"/>
        </w:rPr>
        <w:t> </w:t>
      </w:r>
      <w:r>
        <w:rPr/>
        <w:t>月</w:t>
      </w:r>
      <w:r>
        <w:rPr>
          <w:spacing w:val="-41"/>
        </w:rPr>
        <w:t> </w:t>
      </w:r>
      <w:r>
        <w:rPr>
          <w:rFonts w:ascii="Arial" w:hAnsi="Arial" w:cs="Arial" w:eastAsia="Arial" w:hint="default"/>
        </w:rPr>
        <w:t>26</w:t>
      </w:r>
      <w:r>
        <w:rPr>
          <w:rFonts w:ascii="Arial" w:hAnsi="Arial" w:cs="Arial" w:eastAsia="Arial" w:hint="default"/>
          <w:spacing w:val="9"/>
        </w:rPr>
        <w:t> </w:t>
      </w:r>
      <w:r>
        <w:rPr/>
        <w:t>日起担任本公司</w:t>
      </w:r>
    </w:p>
    <w:p>
      <w:pPr>
        <w:pStyle w:val="BodyText"/>
        <w:spacing w:line="286" w:lineRule="exact" w:before="19"/>
        <w:ind w:left="681" w:right="218"/>
        <w:jc w:val="both"/>
      </w:pPr>
      <w:r>
        <w:rPr>
          <w:spacing w:val="-16"/>
        </w:rPr>
        <w:t>董事。在</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11</w:t>
      </w:r>
      <w:r>
        <w:rPr>
          <w:rFonts w:ascii="Arial" w:hAnsi="Arial" w:cs="Arial" w:eastAsia="Arial" w:hint="default"/>
          <w:spacing w:val="-7"/>
        </w:rPr>
        <w:t> </w:t>
      </w:r>
      <w:r>
        <w:rPr/>
        <w:t>月</w:t>
      </w:r>
      <w:r>
        <w:rPr>
          <w:spacing w:val="-56"/>
        </w:rPr>
        <w:t> </w:t>
      </w:r>
      <w:r>
        <w:rPr>
          <w:rFonts w:ascii="Arial" w:hAnsi="Arial" w:cs="Arial" w:eastAsia="Arial" w:hint="default"/>
        </w:rPr>
        <w:t>3</w:t>
      </w:r>
      <w:r>
        <w:rPr>
          <w:rFonts w:ascii="Arial" w:hAnsi="Arial" w:cs="Arial" w:eastAsia="Arial" w:hint="default"/>
          <w:spacing w:val="-7"/>
        </w:rPr>
        <w:t> </w:t>
      </w:r>
      <w:r>
        <w:rPr/>
        <w:t>日召开的本公司</w:t>
      </w:r>
      <w:r>
        <w:rPr>
          <w:spacing w:val="-56"/>
        </w:rPr>
        <w:t> </w:t>
      </w:r>
      <w:r>
        <w:rPr>
          <w:rFonts w:ascii="Arial" w:hAnsi="Arial" w:cs="Arial" w:eastAsia="Arial" w:hint="default"/>
        </w:rPr>
        <w:t>2009</w:t>
      </w:r>
      <w:r>
        <w:rPr>
          <w:rFonts w:ascii="Arial" w:hAnsi="Arial" w:cs="Arial" w:eastAsia="Arial" w:hint="default"/>
          <w:spacing w:val="-7"/>
        </w:rPr>
        <w:t> </w:t>
      </w:r>
      <w:r>
        <w:rPr/>
        <w:t>年第二次临时股东大会上连任为本公司第三</w:t>
      </w:r>
      <w:r>
        <w:rPr>
          <w:w w:val="99"/>
        </w:rPr>
        <w:t> </w:t>
      </w:r>
      <w:r>
        <w:rPr/>
        <w:t>届董事会董事。陆益民先生具有丰富的政府工作经历和管理经验。</w:t>
      </w:r>
    </w:p>
    <w:p>
      <w:pPr>
        <w:spacing w:line="240" w:lineRule="auto" w:before="1"/>
        <w:rPr>
          <w:rFonts w:ascii="宋体" w:hAnsi="宋体" w:cs="宋体" w:eastAsia="宋体" w:hint="default"/>
          <w:sz w:val="17"/>
          <w:szCs w:val="17"/>
        </w:rPr>
      </w:pPr>
    </w:p>
    <w:p>
      <w:pPr>
        <w:pStyle w:val="BodyText"/>
        <w:spacing w:line="295" w:lineRule="exact"/>
        <w:ind w:left="149" w:right="99"/>
        <w:jc w:val="left"/>
        <w:rPr>
          <w:rFonts w:ascii="Arial" w:hAnsi="Arial" w:cs="Arial" w:eastAsia="Arial" w:hint="default"/>
        </w:rPr>
      </w:pPr>
      <w:r>
        <w:rPr>
          <w:rFonts w:ascii="宋体" w:hAnsi="宋体" w:cs="宋体" w:eastAsia="宋体" w:hint="default"/>
          <w:b/>
          <w:bCs/>
          <w:spacing w:val="-3"/>
        </w:rPr>
        <w:t>（</w:t>
      </w:r>
      <w:r>
        <w:rPr>
          <w:rFonts w:ascii="Arial" w:hAnsi="Arial" w:cs="Arial" w:eastAsia="Arial" w:hint="default"/>
          <w:b/>
          <w:bCs/>
          <w:spacing w:val="-3"/>
        </w:rPr>
        <w:t>3</w:t>
      </w:r>
      <w:r>
        <w:rPr>
          <w:rFonts w:ascii="宋体" w:hAnsi="宋体" w:cs="宋体" w:eastAsia="宋体" w:hint="default"/>
          <w:b/>
          <w:bCs/>
          <w:spacing w:val="-3"/>
        </w:rPr>
        <w:t>）左迅生</w:t>
      </w:r>
      <w:r>
        <w:rPr>
          <w:spacing w:val="-3"/>
        </w:rPr>
        <w:t>先生为高级经济师，于</w:t>
      </w:r>
      <w:r>
        <w:rPr>
          <w:spacing w:val="-64"/>
        </w:rPr>
        <w:t> </w:t>
      </w:r>
      <w:r>
        <w:rPr>
          <w:rFonts w:ascii="Arial" w:hAnsi="Arial" w:cs="Arial" w:eastAsia="Arial" w:hint="default"/>
        </w:rPr>
        <w:t>2004</w:t>
      </w:r>
      <w:r>
        <w:rPr>
          <w:rFonts w:ascii="Arial" w:hAnsi="Arial" w:cs="Arial" w:eastAsia="Arial" w:hint="default"/>
          <w:spacing w:val="-16"/>
        </w:rPr>
        <w:t> </w:t>
      </w:r>
      <w:r>
        <w:rPr/>
        <w:t>年获得北京大学光华管理学院工商管理硕士学位。</w:t>
      </w:r>
      <w:r>
        <w:rPr>
          <w:rFonts w:ascii="Arial" w:hAnsi="Arial" w:cs="Arial" w:eastAsia="Arial" w:hint="default"/>
        </w:rPr>
        <w:t>1993</w:t>
      </w:r>
    </w:p>
    <w:p>
      <w:pPr>
        <w:pStyle w:val="BodyText"/>
        <w:spacing w:line="286" w:lineRule="exact"/>
        <w:ind w:left="681" w:right="0"/>
        <w:jc w:val="both"/>
      </w:pPr>
      <w:r>
        <w:rPr/>
        <w:t>年</w:t>
      </w:r>
      <w:r>
        <w:rPr>
          <w:spacing w:val="-56"/>
        </w:rPr>
        <w:t> </w:t>
      </w:r>
      <w:r>
        <w:rPr>
          <w:rFonts w:ascii="Arial" w:hAnsi="Arial" w:cs="Arial" w:eastAsia="Arial" w:hint="default"/>
        </w:rPr>
        <w:t>7</w:t>
      </w:r>
      <w:r>
        <w:rPr>
          <w:rFonts w:ascii="Arial" w:hAnsi="Arial" w:cs="Arial" w:eastAsia="Arial" w:hint="default"/>
          <w:spacing w:val="-7"/>
        </w:rPr>
        <w:t> </w:t>
      </w:r>
      <w:r>
        <w:rPr/>
        <w:t>月至</w:t>
      </w:r>
      <w:r>
        <w:rPr>
          <w:spacing w:val="-56"/>
        </w:rPr>
        <w:t> </w:t>
      </w:r>
      <w:r>
        <w:rPr>
          <w:rFonts w:ascii="Arial" w:hAnsi="Arial" w:cs="Arial" w:eastAsia="Arial" w:hint="default"/>
        </w:rPr>
        <w:t>1997</w:t>
      </w:r>
      <w:r>
        <w:rPr>
          <w:rFonts w:ascii="Arial" w:hAnsi="Arial" w:cs="Arial" w:eastAsia="Arial" w:hint="default"/>
          <w:spacing w:val="-7"/>
        </w:rPr>
        <w:t> </w:t>
      </w:r>
      <w:r>
        <w:rPr/>
        <w:t>年</w:t>
      </w:r>
      <w:r>
        <w:rPr>
          <w:spacing w:val="-56"/>
        </w:rPr>
        <w:t> </w:t>
      </w:r>
      <w:r>
        <w:rPr>
          <w:rFonts w:ascii="Arial" w:hAnsi="Arial" w:cs="Arial" w:eastAsia="Arial" w:hint="default"/>
        </w:rPr>
        <w:t>10</w:t>
      </w:r>
      <w:r>
        <w:rPr>
          <w:rFonts w:ascii="Arial" w:hAnsi="Arial" w:cs="Arial" w:eastAsia="Arial" w:hint="default"/>
          <w:spacing w:val="-7"/>
        </w:rPr>
        <w:t> </w:t>
      </w:r>
      <w:r>
        <w:rPr/>
        <w:t>月，担任原山东省济南市电信局局长。</w:t>
      </w:r>
      <w:r>
        <w:rPr>
          <w:rFonts w:ascii="Arial" w:hAnsi="Arial" w:cs="Arial" w:eastAsia="Arial" w:hint="default"/>
        </w:rPr>
        <w:t>1997</w:t>
      </w:r>
      <w:r>
        <w:rPr>
          <w:rFonts w:ascii="Arial" w:hAnsi="Arial" w:cs="Arial" w:eastAsia="Arial" w:hint="default"/>
          <w:spacing w:val="-7"/>
        </w:rPr>
        <w:t> </w:t>
      </w:r>
      <w:r>
        <w:rPr/>
        <w:t>年</w:t>
      </w:r>
      <w:r>
        <w:rPr>
          <w:spacing w:val="-56"/>
        </w:rPr>
        <w:t> </w:t>
      </w:r>
      <w:r>
        <w:rPr>
          <w:rFonts w:ascii="Arial" w:hAnsi="Arial" w:cs="Arial" w:eastAsia="Arial" w:hint="default"/>
        </w:rPr>
        <w:t>10</w:t>
      </w:r>
      <w:r>
        <w:rPr>
          <w:rFonts w:ascii="Arial" w:hAnsi="Arial" w:cs="Arial" w:eastAsia="Arial" w:hint="default"/>
          <w:spacing w:val="-7"/>
        </w:rPr>
        <w:t> </w:t>
      </w:r>
      <w:r>
        <w:rPr/>
        <w:t>月至</w:t>
      </w:r>
      <w:r>
        <w:rPr>
          <w:spacing w:val="-56"/>
        </w:rPr>
        <w:t> </w:t>
      </w:r>
      <w:r>
        <w:rPr>
          <w:rFonts w:ascii="Arial" w:hAnsi="Arial" w:cs="Arial" w:eastAsia="Arial" w:hint="default"/>
        </w:rPr>
        <w:t>2000</w:t>
      </w:r>
      <w:r>
        <w:rPr>
          <w:rFonts w:ascii="Arial" w:hAnsi="Arial" w:cs="Arial" w:eastAsia="Arial" w:hint="default"/>
          <w:spacing w:val="-7"/>
        </w:rPr>
        <w:t> </w:t>
      </w:r>
      <w:r>
        <w:rPr/>
        <w:t>年</w:t>
      </w:r>
      <w:r>
        <w:rPr>
          <w:spacing w:val="-56"/>
        </w:rPr>
        <w:t> </w:t>
      </w:r>
      <w:r>
        <w:rPr>
          <w:rFonts w:ascii="Arial" w:hAnsi="Arial" w:cs="Arial" w:eastAsia="Arial" w:hint="default"/>
        </w:rPr>
        <w:t>5</w:t>
      </w:r>
      <w:r>
        <w:rPr>
          <w:rFonts w:ascii="Arial" w:hAnsi="Arial" w:cs="Arial" w:eastAsia="Arial" w:hint="default"/>
          <w:spacing w:val="-7"/>
        </w:rPr>
        <w:t> </w:t>
      </w:r>
      <w:r>
        <w:rPr/>
        <w:t>月，</w:t>
      </w:r>
    </w:p>
    <w:p>
      <w:pPr>
        <w:pStyle w:val="BodyText"/>
        <w:spacing w:line="286" w:lineRule="exact"/>
        <w:ind w:left="680" w:right="0"/>
        <w:jc w:val="both"/>
      </w:pPr>
      <w:r>
        <w:rPr>
          <w:w w:val="99"/>
        </w:rPr>
        <w:t>担任原</w:t>
      </w:r>
      <w:r>
        <w:rPr>
          <w:spacing w:val="1"/>
          <w:w w:val="99"/>
        </w:rPr>
        <w:t>山东</w:t>
      </w:r>
      <w:r>
        <w:rPr>
          <w:w w:val="99"/>
        </w:rPr>
        <w:t>省邮电</w:t>
      </w:r>
      <w:r>
        <w:rPr>
          <w:spacing w:val="1"/>
          <w:w w:val="99"/>
        </w:rPr>
        <w:t>管理</w:t>
      </w:r>
      <w:r>
        <w:rPr>
          <w:w w:val="99"/>
        </w:rPr>
        <w:t>局局</w:t>
      </w:r>
      <w:r>
        <w:rPr>
          <w:spacing w:val="1"/>
          <w:w w:val="99"/>
        </w:rPr>
        <w:t>长</w:t>
      </w:r>
      <w:r>
        <w:rPr>
          <w:spacing w:val="-108"/>
          <w:w w:val="99"/>
        </w:rPr>
        <w:t>。</w:t>
      </w:r>
      <w:r>
        <w:rPr>
          <w:rFonts w:ascii="Arial" w:hAnsi="Arial" w:cs="Arial" w:eastAsia="Arial" w:hint="default"/>
          <w:w w:val="99"/>
        </w:rPr>
        <w:t>2000</w:t>
      </w:r>
      <w:r>
        <w:rPr>
          <w:rFonts w:ascii="Arial" w:hAnsi="Arial" w:cs="Arial" w:eastAsia="Arial" w:hint="default"/>
          <w:spacing w:val="-6"/>
        </w:rPr>
        <w:t> </w:t>
      </w:r>
      <w:r>
        <w:rPr>
          <w:w w:val="99"/>
        </w:rPr>
        <w:t>年</w:t>
      </w:r>
      <w:r>
        <w:rPr>
          <w:spacing w:val="-55"/>
        </w:rPr>
        <w:t> </w:t>
      </w:r>
      <w:r>
        <w:rPr>
          <w:rFonts w:ascii="Arial" w:hAnsi="Arial" w:cs="Arial" w:eastAsia="Arial" w:hint="default"/>
          <w:w w:val="99"/>
        </w:rPr>
        <w:t>5</w:t>
      </w:r>
      <w:r>
        <w:rPr>
          <w:rFonts w:ascii="Arial" w:hAnsi="Arial" w:cs="Arial" w:eastAsia="Arial" w:hint="default"/>
          <w:spacing w:val="-6"/>
        </w:rPr>
        <w:t> </w:t>
      </w:r>
      <w:r>
        <w:rPr>
          <w:w w:val="99"/>
        </w:rPr>
        <w:t>月至</w:t>
      </w:r>
      <w:r>
        <w:rPr>
          <w:spacing w:val="-55"/>
        </w:rPr>
        <w:t> </w:t>
      </w:r>
      <w:r>
        <w:rPr>
          <w:rFonts w:ascii="Arial" w:hAnsi="Arial" w:cs="Arial" w:eastAsia="Arial" w:hint="default"/>
          <w:w w:val="99"/>
        </w:rPr>
        <w:t>2002</w:t>
      </w:r>
      <w:r>
        <w:rPr>
          <w:rFonts w:ascii="Arial" w:hAnsi="Arial" w:cs="Arial" w:eastAsia="Arial" w:hint="default"/>
          <w:spacing w:val="-6"/>
        </w:rPr>
        <w:t> </w:t>
      </w:r>
      <w:r>
        <w:rPr>
          <w:w w:val="99"/>
        </w:rPr>
        <w:t>年</w:t>
      </w:r>
      <w:r>
        <w:rPr>
          <w:spacing w:val="-55"/>
        </w:rPr>
        <w:t> </w:t>
      </w:r>
      <w:r>
        <w:rPr>
          <w:rFonts w:ascii="Arial" w:hAnsi="Arial" w:cs="Arial" w:eastAsia="Arial" w:hint="default"/>
          <w:w w:val="99"/>
        </w:rPr>
        <w:t>4</w:t>
      </w:r>
      <w:r>
        <w:rPr>
          <w:rFonts w:ascii="Arial" w:hAnsi="Arial" w:cs="Arial" w:eastAsia="Arial" w:hint="default"/>
          <w:spacing w:val="-6"/>
        </w:rPr>
        <w:t> </w:t>
      </w:r>
      <w:r>
        <w:rPr>
          <w:w w:val="99"/>
        </w:rPr>
        <w:t>月</w:t>
      </w:r>
      <w:r>
        <w:rPr>
          <w:spacing w:val="-109"/>
          <w:w w:val="99"/>
        </w:rPr>
        <w:t>，</w:t>
      </w:r>
      <w:r>
        <w:rPr>
          <w:w w:val="99"/>
        </w:rPr>
        <w:t>担</w:t>
      </w:r>
      <w:r>
        <w:rPr>
          <w:spacing w:val="1"/>
          <w:w w:val="99"/>
        </w:rPr>
        <w:t>任</w:t>
      </w:r>
      <w:r>
        <w:rPr>
          <w:w w:val="99"/>
        </w:rPr>
        <w:t>原山</w:t>
      </w:r>
      <w:r>
        <w:rPr>
          <w:spacing w:val="1"/>
          <w:w w:val="99"/>
        </w:rPr>
        <w:t>东</w:t>
      </w:r>
      <w:r>
        <w:rPr>
          <w:w w:val="99"/>
        </w:rPr>
        <w:t>省电信</w:t>
      </w:r>
      <w:r>
        <w:rPr>
          <w:spacing w:val="1"/>
          <w:w w:val="99"/>
        </w:rPr>
        <w:t>公司</w:t>
      </w:r>
      <w:r>
        <w:rPr>
          <w:w w:val="99"/>
        </w:rPr>
        <w:t>总经</w:t>
      </w:r>
      <w:r>
        <w:rPr>
          <w:spacing w:val="1"/>
          <w:w w:val="99"/>
        </w:rPr>
        <w:t>理</w:t>
      </w:r>
      <w:r>
        <w:rPr>
          <w:w w:val="99"/>
        </w:rPr>
        <w:t>。</w:t>
      </w:r>
      <w:r>
        <w:rPr/>
      </w:r>
    </w:p>
    <w:p>
      <w:pPr>
        <w:pStyle w:val="BodyText"/>
        <w:spacing w:line="225" w:lineRule="auto" w:before="7"/>
        <w:ind w:left="680" w:right="217"/>
        <w:jc w:val="both"/>
        <w:rPr>
          <w:rFonts w:ascii="Arial" w:hAnsi="Arial" w:cs="Arial" w:eastAsia="Arial" w:hint="default"/>
        </w:rPr>
      </w:pPr>
      <w:r>
        <w:rPr/>
        <w:t>他于</w:t>
      </w:r>
      <w:r>
        <w:rPr>
          <w:spacing w:val="-56"/>
        </w:rPr>
        <w:t> </w:t>
      </w:r>
      <w:r>
        <w:rPr>
          <w:rFonts w:ascii="Arial" w:hAnsi="Arial" w:cs="Arial" w:eastAsia="Arial" w:hint="default"/>
        </w:rPr>
        <w:t>2002</w:t>
      </w:r>
      <w:r>
        <w:rPr>
          <w:rFonts w:ascii="Arial" w:hAnsi="Arial" w:cs="Arial" w:eastAsia="Arial" w:hint="default"/>
          <w:spacing w:val="-7"/>
        </w:rPr>
        <w:t> </w:t>
      </w:r>
      <w:r>
        <w:rPr/>
        <w:t>年</w:t>
      </w:r>
      <w:r>
        <w:rPr>
          <w:spacing w:val="-56"/>
        </w:rPr>
        <w:t> </w:t>
      </w:r>
      <w:r>
        <w:rPr>
          <w:rFonts w:ascii="Arial" w:hAnsi="Arial" w:cs="Arial" w:eastAsia="Arial" w:hint="default"/>
        </w:rPr>
        <w:t>4</w:t>
      </w:r>
      <w:r>
        <w:rPr>
          <w:rFonts w:ascii="Arial" w:hAnsi="Arial" w:cs="Arial" w:eastAsia="Arial" w:hint="default"/>
          <w:spacing w:val="-7"/>
        </w:rPr>
        <w:t> </w:t>
      </w:r>
      <w:r>
        <w:rPr>
          <w:spacing w:val="-3"/>
        </w:rPr>
        <w:t>月加入中国网络通信集团公司（</w:t>
      </w:r>
      <w:r>
        <w:rPr>
          <w:rFonts w:ascii="Arial" w:hAnsi="Arial" w:cs="Arial" w:eastAsia="Arial" w:hint="default"/>
          <w:spacing w:val="-3"/>
        </w:rPr>
        <w:t>“</w:t>
      </w:r>
      <w:r>
        <w:rPr>
          <w:spacing w:val="-3"/>
        </w:rPr>
        <w:t>网通集团</w:t>
      </w:r>
      <w:r>
        <w:rPr>
          <w:rFonts w:ascii="Arial" w:hAnsi="Arial" w:cs="Arial" w:eastAsia="Arial" w:hint="default"/>
          <w:spacing w:val="-3"/>
        </w:rPr>
        <w:t>”</w:t>
      </w:r>
      <w:r>
        <w:rPr>
          <w:spacing w:val="-3"/>
        </w:rPr>
        <w:t>）出任副总经理。自</w:t>
      </w:r>
      <w:r>
        <w:rPr>
          <w:spacing w:val="-56"/>
        </w:rPr>
        <w:t> </w:t>
      </w:r>
      <w:r>
        <w:rPr>
          <w:rFonts w:ascii="Arial" w:hAnsi="Arial" w:cs="Arial" w:eastAsia="Arial" w:hint="default"/>
        </w:rPr>
        <w:t>2004</w:t>
      </w:r>
      <w:r>
        <w:rPr>
          <w:rFonts w:ascii="Arial" w:hAnsi="Arial" w:cs="Arial" w:eastAsia="Arial" w:hint="default"/>
          <w:spacing w:val="-7"/>
        </w:rPr>
        <w:t> </w:t>
      </w:r>
      <w:r>
        <w:rPr/>
        <w:t>年</w:t>
      </w:r>
      <w:r>
        <w:rPr>
          <w:spacing w:val="-56"/>
        </w:rPr>
        <w:t> </w:t>
      </w:r>
      <w:r>
        <w:rPr>
          <w:rFonts w:ascii="Arial" w:hAnsi="Arial" w:cs="Arial" w:eastAsia="Arial" w:hint="default"/>
        </w:rPr>
        <w:t>7</w:t>
      </w:r>
      <w:r>
        <w:rPr>
          <w:rFonts w:ascii="Arial" w:hAnsi="Arial" w:cs="Arial" w:eastAsia="Arial" w:hint="default"/>
          <w:spacing w:val="-7"/>
        </w:rPr>
        <w:t> </w:t>
      </w:r>
      <w:r>
        <w:rPr/>
        <w:t>月</w:t>
      </w:r>
      <w:r>
        <w:rPr>
          <w:w w:val="99"/>
        </w:rPr>
        <w:t> </w:t>
      </w:r>
      <w:r>
        <w:rPr/>
        <w:t>起担任中国网通集团（香港）有限公司（</w:t>
      </w:r>
      <w:r>
        <w:rPr>
          <w:rFonts w:ascii="Arial" w:hAnsi="Arial" w:cs="Arial" w:eastAsia="Arial" w:hint="default"/>
        </w:rPr>
        <w:t>“</w:t>
      </w:r>
      <w:r>
        <w:rPr/>
        <w:t>中国网通</w:t>
      </w:r>
      <w:r>
        <w:rPr>
          <w:rFonts w:ascii="Arial" w:hAnsi="Arial" w:cs="Arial" w:eastAsia="Arial" w:hint="default"/>
        </w:rPr>
        <w:t>”</w:t>
      </w:r>
      <w:r>
        <w:rPr/>
        <w:t>）高级副总裁，</w:t>
      </w:r>
      <w:r>
        <w:rPr>
          <w:rFonts w:ascii="Arial" w:hAnsi="Arial" w:cs="Arial" w:eastAsia="Arial" w:hint="default"/>
        </w:rPr>
        <w:t>2005</w:t>
      </w:r>
      <w:r>
        <w:rPr>
          <w:rFonts w:ascii="Arial" w:hAnsi="Arial" w:cs="Arial" w:eastAsia="Arial" w:hint="default"/>
          <w:spacing w:val="-3"/>
        </w:rPr>
        <w:t> </w:t>
      </w:r>
      <w:r>
        <w:rPr/>
        <w:t>年</w:t>
      </w:r>
      <w:r>
        <w:rPr>
          <w:spacing w:val="-52"/>
        </w:rPr>
        <w:t> </w:t>
      </w:r>
      <w:r>
        <w:rPr>
          <w:rFonts w:ascii="Arial" w:hAnsi="Arial" w:cs="Arial" w:eastAsia="Arial" w:hint="default"/>
        </w:rPr>
        <w:t>12</w:t>
      </w:r>
      <w:r>
        <w:rPr>
          <w:rFonts w:ascii="Arial" w:hAnsi="Arial" w:cs="Arial" w:eastAsia="Arial" w:hint="default"/>
          <w:spacing w:val="-3"/>
        </w:rPr>
        <w:t> </w:t>
      </w:r>
      <w:r>
        <w:rPr/>
        <w:t>月起担任中</w:t>
      </w:r>
      <w:r>
        <w:rPr>
          <w:w w:val="99"/>
        </w:rPr>
        <w:t> </w:t>
      </w:r>
      <w:r>
        <w:rPr/>
        <w:t>国网通首席运营官，</w:t>
      </w:r>
      <w:r>
        <w:rPr>
          <w:rFonts w:ascii="Arial" w:hAnsi="Arial" w:cs="Arial" w:eastAsia="Arial" w:hint="default"/>
        </w:rPr>
        <w:t>2006 </w:t>
      </w:r>
      <w:r>
        <w:rPr/>
        <w:t>年 </w:t>
      </w:r>
      <w:r>
        <w:rPr>
          <w:rFonts w:ascii="Arial" w:hAnsi="Arial" w:cs="Arial" w:eastAsia="Arial" w:hint="default"/>
        </w:rPr>
        <w:t>5 </w:t>
      </w:r>
      <w:r>
        <w:rPr/>
        <w:t>月起担任中国网通执行董事及首席执行官，并于 </w:t>
      </w:r>
      <w:r>
        <w:rPr>
          <w:rFonts w:ascii="Arial" w:hAnsi="Arial" w:cs="Arial" w:eastAsia="Arial" w:hint="default"/>
        </w:rPr>
        <w:t>2008 </w:t>
      </w:r>
      <w:r>
        <w:rPr/>
        <w:t>年</w:t>
      </w:r>
      <w:r>
        <w:rPr>
          <w:spacing w:val="-20"/>
        </w:rPr>
        <w:t> </w:t>
      </w:r>
      <w:r>
        <w:rPr>
          <w:rFonts w:ascii="Arial" w:hAnsi="Arial" w:cs="Arial" w:eastAsia="Arial" w:hint="default"/>
        </w:rPr>
        <w:t>5</w:t>
      </w:r>
    </w:p>
    <w:p>
      <w:pPr>
        <w:pStyle w:val="BodyText"/>
        <w:spacing w:line="225" w:lineRule="auto"/>
        <w:ind w:left="681" w:right="99" w:hanging="1"/>
        <w:jc w:val="left"/>
      </w:pPr>
      <w:r>
        <w:rPr/>
        <w:t>月起出任中国网通董事长。此外，自</w:t>
      </w:r>
      <w:r>
        <w:rPr>
          <w:spacing w:val="-53"/>
        </w:rPr>
        <w:t> </w:t>
      </w:r>
      <w:r>
        <w:rPr>
          <w:rFonts w:ascii="Arial" w:hAnsi="Arial" w:cs="Arial" w:eastAsia="Arial" w:hint="default"/>
        </w:rPr>
        <w:t>2007</w:t>
      </w:r>
      <w:r>
        <w:rPr>
          <w:rFonts w:ascii="Arial" w:hAnsi="Arial" w:cs="Arial" w:eastAsia="Arial" w:hint="default"/>
          <w:spacing w:val="-5"/>
        </w:rPr>
        <w:t> </w:t>
      </w:r>
      <w:r>
        <w:rPr/>
        <w:t>年</w:t>
      </w:r>
      <w:r>
        <w:rPr>
          <w:spacing w:val="-53"/>
        </w:rPr>
        <w:t> </w:t>
      </w:r>
      <w:r>
        <w:rPr>
          <w:rFonts w:ascii="Arial" w:hAnsi="Arial" w:cs="Arial" w:eastAsia="Arial" w:hint="default"/>
        </w:rPr>
        <w:t>7</w:t>
      </w:r>
      <w:r>
        <w:rPr>
          <w:rFonts w:ascii="Arial" w:hAnsi="Arial" w:cs="Arial" w:eastAsia="Arial" w:hint="default"/>
          <w:spacing w:val="-5"/>
        </w:rPr>
        <w:t> </w:t>
      </w:r>
      <w:r>
        <w:rPr/>
        <w:t>月起，担任电讯盈科有限公司（在香港联合</w:t>
      </w:r>
      <w:r>
        <w:rPr>
          <w:w w:val="99"/>
        </w:rPr>
        <w:t> </w:t>
      </w:r>
      <w:r>
        <w:rPr/>
        <w:t>交易所有限公司及美国预托证券在</w:t>
      </w:r>
      <w:r>
        <w:rPr>
          <w:spacing w:val="-56"/>
        </w:rPr>
        <w:t> </w:t>
      </w:r>
      <w:r>
        <w:rPr>
          <w:rFonts w:ascii="Arial" w:hAnsi="Arial" w:cs="Arial" w:eastAsia="Arial" w:hint="default"/>
        </w:rPr>
        <w:t>Pink</w:t>
      </w:r>
      <w:r>
        <w:rPr>
          <w:rFonts w:ascii="Arial" w:hAnsi="Arial" w:cs="Arial" w:eastAsia="Arial" w:hint="default"/>
          <w:spacing w:val="-2"/>
        </w:rPr>
        <w:t> </w:t>
      </w:r>
      <w:r>
        <w:rPr>
          <w:rFonts w:ascii="Arial" w:hAnsi="Arial" w:cs="Arial" w:eastAsia="Arial" w:hint="default"/>
        </w:rPr>
        <w:t>Sheets'</w:t>
      </w:r>
      <w:r>
        <w:rPr>
          <w:rFonts w:ascii="Arial" w:hAnsi="Arial" w:cs="Arial" w:eastAsia="Arial" w:hint="default"/>
          <w:spacing w:val="-3"/>
        </w:rPr>
        <w:t> </w:t>
      </w:r>
      <w:r>
        <w:rPr>
          <w:rFonts w:ascii="Arial" w:hAnsi="Arial" w:cs="Arial" w:eastAsia="Arial" w:hint="default"/>
        </w:rPr>
        <w:t>OTC</w:t>
      </w:r>
      <w:r>
        <w:rPr>
          <w:rFonts w:ascii="Arial" w:hAnsi="Arial" w:cs="Arial" w:eastAsia="Arial" w:hint="default"/>
          <w:spacing w:val="-1"/>
        </w:rPr>
        <w:t> </w:t>
      </w:r>
      <w:r>
        <w:rPr>
          <w:rFonts w:ascii="Arial" w:hAnsi="Arial" w:cs="Arial" w:eastAsia="Arial" w:hint="default"/>
        </w:rPr>
        <w:t>Markets</w:t>
      </w:r>
      <w:r>
        <w:rPr>
          <w:rFonts w:ascii="Arial" w:hAnsi="Arial" w:cs="Arial" w:eastAsia="Arial" w:hint="default"/>
          <w:spacing w:val="-8"/>
        </w:rPr>
        <w:t> </w:t>
      </w:r>
      <w:r>
        <w:rPr/>
        <w:t>上市）非执行董事兼副主席。</w:t>
      </w:r>
      <w:r>
        <w:rPr>
          <w:w w:val="99"/>
        </w:rPr>
        <w:t> </w:t>
      </w:r>
      <w:r>
        <w:rPr>
          <w:rFonts w:ascii="Arial" w:hAnsi="Arial" w:cs="Arial" w:eastAsia="Arial" w:hint="default"/>
        </w:rPr>
        <w:t>2008</w:t>
      </w:r>
      <w:r>
        <w:rPr>
          <w:rFonts w:ascii="Arial" w:hAnsi="Arial" w:cs="Arial" w:eastAsia="Arial" w:hint="default"/>
          <w:spacing w:val="-3"/>
        </w:rPr>
        <w:t> </w:t>
      </w:r>
      <w:r>
        <w:rPr/>
        <w:t>年</w:t>
      </w:r>
      <w:r>
        <w:rPr>
          <w:spacing w:val="-52"/>
        </w:rPr>
        <w:t> </w:t>
      </w:r>
      <w:r>
        <w:rPr>
          <w:rFonts w:ascii="Arial" w:hAnsi="Arial" w:cs="Arial" w:eastAsia="Arial" w:hint="default"/>
        </w:rPr>
        <w:t>10</w:t>
      </w:r>
      <w:r>
        <w:rPr>
          <w:rFonts w:ascii="Arial" w:hAnsi="Arial" w:cs="Arial" w:eastAsia="Arial" w:hint="default"/>
          <w:spacing w:val="-3"/>
        </w:rPr>
        <w:t> </w:t>
      </w:r>
      <w:r>
        <w:rPr>
          <w:spacing w:val="-3"/>
        </w:rPr>
        <w:t>月起担任中国联合网络通信（香港）股份有限公司（</w:t>
      </w:r>
      <w:r>
        <w:rPr>
          <w:rFonts w:ascii="Arial" w:hAnsi="Arial" w:cs="Arial" w:eastAsia="Arial" w:hint="default"/>
          <w:spacing w:val="-3"/>
        </w:rPr>
        <w:t>“</w:t>
      </w:r>
      <w:r>
        <w:rPr>
          <w:spacing w:val="-3"/>
        </w:rPr>
        <w:t>联通红筹公司</w:t>
      </w:r>
      <w:r>
        <w:rPr>
          <w:rFonts w:ascii="Arial" w:hAnsi="Arial" w:cs="Arial" w:eastAsia="Arial" w:hint="default"/>
          <w:spacing w:val="-3"/>
        </w:rPr>
        <w:t>”</w:t>
      </w:r>
      <w:r>
        <w:rPr>
          <w:spacing w:val="-3"/>
        </w:rPr>
        <w:t>）执行董事。</w:t>
      </w:r>
    </w:p>
    <w:p>
      <w:pPr>
        <w:pStyle w:val="BodyText"/>
        <w:spacing w:line="279" w:lineRule="exact"/>
        <w:ind w:left="680" w:right="0"/>
        <w:jc w:val="both"/>
      </w:pPr>
      <w:r>
        <w:rPr>
          <w:rFonts w:ascii="Arial" w:hAnsi="Arial" w:cs="Arial" w:eastAsia="Arial" w:hint="default"/>
        </w:rPr>
        <w:t>2009 </w:t>
      </w:r>
      <w:r>
        <w:rPr/>
        <w:t>年 </w:t>
      </w:r>
      <w:r>
        <w:rPr>
          <w:rFonts w:ascii="Arial" w:hAnsi="Arial" w:cs="Arial" w:eastAsia="Arial" w:hint="default"/>
        </w:rPr>
        <w:t>2</w:t>
      </w:r>
      <w:r>
        <w:rPr>
          <w:rFonts w:ascii="Arial" w:hAnsi="Arial" w:cs="Arial" w:eastAsia="Arial" w:hint="default"/>
          <w:spacing w:val="-4"/>
        </w:rPr>
        <w:t> </w:t>
      </w:r>
      <w:r>
        <w:rPr/>
        <w:t>月起担任联通红筹公司高级副总裁。他目前担任中国联合网络通信集团有限公司</w:t>
      </w:r>
    </w:p>
    <w:p>
      <w:pPr>
        <w:pStyle w:val="BodyText"/>
        <w:spacing w:line="286" w:lineRule="exact" w:before="19"/>
        <w:ind w:left="681" w:right="218"/>
        <w:jc w:val="both"/>
      </w:pPr>
      <w:r>
        <w:rPr/>
        <w:t>（</w:t>
      </w:r>
      <w:r>
        <w:rPr>
          <w:rFonts w:ascii="Arial" w:hAnsi="Arial" w:cs="Arial" w:eastAsia="Arial" w:hint="default"/>
        </w:rPr>
        <w:t>“</w:t>
      </w:r>
      <w:r>
        <w:rPr/>
        <w:t>联通集团</w:t>
      </w:r>
      <w:r>
        <w:rPr>
          <w:rFonts w:ascii="Arial" w:hAnsi="Arial" w:cs="Arial" w:eastAsia="Arial" w:hint="default"/>
        </w:rPr>
        <w:t>”</w:t>
      </w:r>
      <w:r>
        <w:rPr/>
        <w:t>）副董事长及副总经理，联通红筹公司执行董事及高级副总裁，中国联合网络</w:t>
      </w:r>
      <w:r>
        <w:rPr>
          <w:spacing w:val="-85"/>
        </w:rPr>
        <w:t> </w:t>
      </w:r>
      <w:r>
        <w:rPr>
          <w:spacing w:val="-85"/>
        </w:rPr>
      </w:r>
      <w:r>
        <w:rPr/>
        <w:t>通信有限公司</w:t>
      </w:r>
      <w:r>
        <w:rPr>
          <w:spacing w:val="-2"/>
        </w:rPr>
        <w:t> </w:t>
      </w:r>
      <w:r>
        <w:rPr/>
        <w:t>（</w:t>
      </w:r>
      <w:r>
        <w:rPr>
          <w:rFonts w:ascii="Arial" w:hAnsi="Arial" w:cs="Arial" w:eastAsia="Arial" w:hint="default"/>
        </w:rPr>
        <w:t>“</w:t>
      </w:r>
      <w:r>
        <w:rPr/>
        <w:t>联通运营公司</w:t>
      </w:r>
      <w:r>
        <w:rPr>
          <w:rFonts w:ascii="Arial" w:hAnsi="Arial" w:cs="Arial" w:eastAsia="Arial" w:hint="default"/>
        </w:rPr>
        <w:t>”</w:t>
      </w:r>
      <w:r>
        <w:rPr/>
        <w:t>）董事及高级副总裁。并于</w:t>
      </w:r>
      <w:r>
        <w:rPr>
          <w:spacing w:val="-46"/>
        </w:rPr>
        <w:t> </w:t>
      </w:r>
      <w:r>
        <w:rPr>
          <w:rFonts w:ascii="Arial" w:hAnsi="Arial" w:cs="Arial" w:eastAsia="Arial" w:hint="default"/>
        </w:rPr>
        <w:t>2009</w:t>
      </w:r>
      <w:r>
        <w:rPr>
          <w:rFonts w:ascii="Arial" w:hAnsi="Arial" w:cs="Arial" w:eastAsia="Arial" w:hint="default"/>
          <w:spacing w:val="3"/>
        </w:rPr>
        <w:t> </w:t>
      </w:r>
      <w:r>
        <w:rPr/>
        <w:t>年</w:t>
      </w:r>
      <w:r>
        <w:rPr>
          <w:spacing w:val="-45"/>
        </w:rPr>
        <w:t> </w:t>
      </w:r>
      <w:r>
        <w:rPr>
          <w:rFonts w:ascii="Arial" w:hAnsi="Arial" w:cs="Arial" w:eastAsia="Arial" w:hint="default"/>
        </w:rPr>
        <w:t>5</w:t>
      </w:r>
      <w:r>
        <w:rPr>
          <w:rFonts w:ascii="Arial" w:hAnsi="Arial" w:cs="Arial" w:eastAsia="Arial" w:hint="default"/>
          <w:spacing w:val="2"/>
        </w:rPr>
        <w:t> </w:t>
      </w:r>
      <w:r>
        <w:rPr/>
        <w:t>月</w:t>
      </w:r>
      <w:r>
        <w:rPr>
          <w:spacing w:val="-47"/>
        </w:rPr>
        <w:t> </w:t>
      </w:r>
      <w:r>
        <w:rPr>
          <w:rFonts w:ascii="Arial" w:hAnsi="Arial" w:cs="Arial" w:eastAsia="Arial" w:hint="default"/>
        </w:rPr>
        <w:t>26</w:t>
      </w:r>
      <w:r>
        <w:rPr>
          <w:rFonts w:ascii="Arial" w:hAnsi="Arial" w:cs="Arial" w:eastAsia="Arial" w:hint="default"/>
          <w:spacing w:val="3"/>
        </w:rPr>
        <w:t> </w:t>
      </w:r>
      <w:r>
        <w:rPr/>
        <w:t>日起担任本公</w:t>
      </w:r>
    </w:p>
    <w:p>
      <w:pPr>
        <w:pStyle w:val="BodyText"/>
        <w:spacing w:line="265" w:lineRule="exact"/>
        <w:ind w:left="681" w:right="0"/>
        <w:jc w:val="both"/>
      </w:pPr>
      <w:r>
        <w:rPr>
          <w:spacing w:val="-13"/>
        </w:rPr>
        <w:t>司董事。在</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11</w:t>
      </w:r>
      <w:r>
        <w:rPr>
          <w:rFonts w:ascii="Arial" w:hAnsi="Arial" w:cs="Arial" w:eastAsia="Arial" w:hint="default"/>
          <w:spacing w:val="-7"/>
        </w:rPr>
        <w:t> </w:t>
      </w:r>
      <w:r>
        <w:rPr/>
        <w:t>月</w:t>
      </w:r>
      <w:r>
        <w:rPr>
          <w:spacing w:val="-56"/>
        </w:rPr>
        <w:t> </w:t>
      </w:r>
      <w:r>
        <w:rPr>
          <w:rFonts w:ascii="Arial" w:hAnsi="Arial" w:cs="Arial" w:eastAsia="Arial" w:hint="default"/>
        </w:rPr>
        <w:t>3</w:t>
      </w:r>
      <w:r>
        <w:rPr>
          <w:rFonts w:ascii="Arial" w:hAnsi="Arial" w:cs="Arial" w:eastAsia="Arial" w:hint="default"/>
          <w:spacing w:val="-7"/>
        </w:rPr>
        <w:t> </w:t>
      </w:r>
      <w:r>
        <w:rPr/>
        <w:t>日召开的本公司</w:t>
      </w:r>
      <w:r>
        <w:rPr>
          <w:spacing w:val="-56"/>
        </w:rPr>
        <w:t> </w:t>
      </w:r>
      <w:r>
        <w:rPr>
          <w:rFonts w:ascii="Arial" w:hAnsi="Arial" w:cs="Arial" w:eastAsia="Arial" w:hint="default"/>
        </w:rPr>
        <w:t>2009</w:t>
      </w:r>
      <w:r>
        <w:rPr>
          <w:rFonts w:ascii="Arial" w:hAnsi="Arial" w:cs="Arial" w:eastAsia="Arial" w:hint="default"/>
          <w:spacing w:val="-7"/>
        </w:rPr>
        <w:t> </w:t>
      </w:r>
      <w:r>
        <w:rPr/>
        <w:t>年第二次临时股东大会上连任为本公司第</w:t>
      </w:r>
    </w:p>
    <w:p>
      <w:pPr>
        <w:pStyle w:val="BodyText"/>
        <w:spacing w:line="279" w:lineRule="exact"/>
        <w:ind w:left="680" w:right="0"/>
        <w:jc w:val="both"/>
      </w:pPr>
      <w:r>
        <w:rPr/>
        <w:t>三届董事会董事。左迅生先生长期在电信业工作，具有丰富的管理经验。</w:t>
      </w:r>
    </w:p>
    <w:p>
      <w:pPr>
        <w:spacing w:line="240" w:lineRule="auto" w:before="12"/>
        <w:rPr>
          <w:rFonts w:ascii="宋体" w:hAnsi="宋体" w:cs="宋体" w:eastAsia="宋体" w:hint="default"/>
          <w:sz w:val="30"/>
          <w:szCs w:val="30"/>
        </w:rPr>
      </w:pPr>
    </w:p>
    <w:p>
      <w:pPr>
        <w:pStyle w:val="BodyText"/>
        <w:spacing w:line="286" w:lineRule="exact"/>
        <w:ind w:left="680" w:right="108" w:hanging="532"/>
        <w:jc w:val="left"/>
      </w:pPr>
      <w:r>
        <w:rPr>
          <w:rFonts w:ascii="宋体" w:hAnsi="宋体" w:cs="宋体" w:eastAsia="宋体" w:hint="default"/>
          <w:b/>
          <w:bCs/>
        </w:rPr>
        <w:t>（</w:t>
      </w:r>
      <w:r>
        <w:rPr>
          <w:rFonts w:ascii="Arial" w:hAnsi="Arial" w:cs="Arial" w:eastAsia="Arial" w:hint="default"/>
          <w:b/>
          <w:bCs/>
        </w:rPr>
        <w:t>4</w:t>
      </w:r>
      <w:r>
        <w:rPr>
          <w:rFonts w:ascii="宋体" w:hAnsi="宋体" w:cs="宋体" w:eastAsia="宋体" w:hint="default"/>
          <w:b/>
          <w:bCs/>
        </w:rPr>
        <w:t>）佟吉禄</w:t>
      </w:r>
      <w:r>
        <w:rPr/>
        <w:t>先生为高级经济师，</w:t>
      </w:r>
      <w:r>
        <w:rPr>
          <w:rFonts w:ascii="Arial" w:hAnsi="Arial" w:cs="Arial" w:eastAsia="Arial" w:hint="default"/>
        </w:rPr>
        <w:t>1987 </w:t>
      </w:r>
      <w:r>
        <w:rPr/>
        <w:t>年毕业于北京邮电大学经济管理专业，</w:t>
      </w:r>
      <w:r>
        <w:rPr>
          <w:rFonts w:ascii="Arial" w:hAnsi="Arial" w:cs="Arial" w:eastAsia="Arial" w:hint="default"/>
        </w:rPr>
        <w:t>2002</w:t>
      </w:r>
      <w:r>
        <w:rPr>
          <w:rFonts w:ascii="Arial" w:hAnsi="Arial" w:cs="Arial" w:eastAsia="Arial" w:hint="default"/>
          <w:spacing w:val="-43"/>
        </w:rPr>
        <w:t> </w:t>
      </w:r>
      <w:r>
        <w:rPr/>
        <w:t>年获得澳洲国</w:t>
      </w:r>
      <w:r>
        <w:rPr>
          <w:w w:val="99"/>
        </w:rPr>
        <w:t> </w:t>
      </w:r>
      <w:r>
        <w:rPr>
          <w:spacing w:val="-4"/>
        </w:rPr>
        <w:t>立大学工商管理硕士。曾先后担任辽宁省邮电管理局财务处处长、辽宁省邮电管理局副局长、</w:t>
      </w:r>
      <w:r>
        <w:rPr>
          <w:w w:val="99"/>
        </w:rPr>
        <w:t> </w:t>
      </w:r>
      <w:r>
        <w:rPr/>
        <w:t>辽宁省邮政局副局长等职。</w:t>
      </w:r>
      <w:r>
        <w:rPr>
          <w:rFonts w:ascii="Arial" w:hAnsi="Arial" w:cs="Arial" w:eastAsia="Arial" w:hint="default"/>
        </w:rPr>
        <w:t>2000</w:t>
      </w:r>
      <w:r>
        <w:rPr>
          <w:rFonts w:ascii="Arial" w:hAnsi="Arial" w:cs="Arial" w:eastAsia="Arial" w:hint="default"/>
          <w:spacing w:val="-17"/>
        </w:rPr>
        <w:t> </w:t>
      </w:r>
      <w:r>
        <w:rPr/>
        <w:t>年</w:t>
      </w:r>
      <w:r>
        <w:rPr>
          <w:spacing w:val="-66"/>
        </w:rPr>
        <w:t> </w:t>
      </w:r>
      <w:r>
        <w:rPr>
          <w:rFonts w:ascii="Arial" w:hAnsi="Arial" w:cs="Arial" w:eastAsia="Arial" w:hint="default"/>
        </w:rPr>
        <w:t>7</w:t>
      </w:r>
      <w:r>
        <w:rPr>
          <w:rFonts w:ascii="Arial" w:hAnsi="Arial" w:cs="Arial" w:eastAsia="Arial" w:hint="default"/>
          <w:spacing w:val="-17"/>
        </w:rPr>
        <w:t> </w:t>
      </w:r>
      <w:r>
        <w:rPr/>
        <w:t>月加入中国联合通信有限公司担任总会计师，</w:t>
      </w:r>
      <w:r>
        <w:rPr>
          <w:rFonts w:ascii="Arial" w:hAnsi="Arial" w:cs="Arial" w:eastAsia="Arial" w:hint="default"/>
        </w:rPr>
        <w:t>2001</w:t>
      </w:r>
      <w:r>
        <w:rPr>
          <w:rFonts w:ascii="Arial" w:hAnsi="Arial" w:cs="Arial" w:eastAsia="Arial" w:hint="default"/>
          <w:spacing w:val="-17"/>
        </w:rPr>
        <w:t> </w:t>
      </w:r>
      <w:r>
        <w:rPr/>
        <w:t>年</w:t>
      </w:r>
    </w:p>
    <w:p>
      <w:pPr>
        <w:spacing w:after="0" w:line="286" w:lineRule="exact"/>
        <w:jc w:val="left"/>
        <w:sectPr>
          <w:pgSz w:w="11910" w:h="16840"/>
          <w:pgMar w:header="587" w:footer="774" w:top="960" w:bottom="960" w:left="1180" w:right="1060"/>
        </w:sectPr>
      </w:pPr>
    </w:p>
    <w:p>
      <w:pPr>
        <w:spacing w:line="240" w:lineRule="auto" w:before="6"/>
        <w:rPr>
          <w:rFonts w:ascii="宋体" w:hAnsi="宋体" w:cs="宋体" w:eastAsia="宋体" w:hint="default"/>
          <w:sz w:val="12"/>
          <w:szCs w:val="12"/>
        </w:rPr>
      </w:pPr>
    </w:p>
    <w:p>
      <w:pPr>
        <w:pStyle w:val="BodyText"/>
        <w:spacing w:line="225" w:lineRule="auto" w:before="47"/>
        <w:ind w:left="681" w:right="216" w:firstLine="14"/>
        <w:jc w:val="both"/>
      </w:pPr>
      <w:r>
        <w:rPr>
          <w:rFonts w:ascii="Arial" w:hAnsi="Arial" w:cs="Arial" w:eastAsia="Arial" w:hint="default"/>
        </w:rPr>
        <w:t>3</w:t>
      </w:r>
      <w:r>
        <w:rPr>
          <w:rFonts w:ascii="Arial" w:hAnsi="Arial" w:cs="Arial" w:eastAsia="Arial" w:hint="default"/>
          <w:spacing w:val="-5"/>
        </w:rPr>
        <w:t> </w:t>
      </w:r>
      <w:r>
        <w:rPr/>
        <w:t>月起担任副总经理，并于</w:t>
      </w:r>
      <w:r>
        <w:rPr>
          <w:spacing w:val="-54"/>
        </w:rPr>
        <w:t> </w:t>
      </w:r>
      <w:r>
        <w:rPr>
          <w:rFonts w:ascii="Arial" w:hAnsi="Arial" w:cs="Arial" w:eastAsia="Arial" w:hint="default"/>
        </w:rPr>
        <w:t>2003</w:t>
      </w:r>
      <w:r>
        <w:rPr>
          <w:rFonts w:ascii="Arial" w:hAnsi="Arial" w:cs="Arial" w:eastAsia="Arial" w:hint="default"/>
          <w:spacing w:val="-5"/>
        </w:rPr>
        <w:t> </w:t>
      </w:r>
      <w:r>
        <w:rPr/>
        <w:t>年</w:t>
      </w:r>
      <w:r>
        <w:rPr>
          <w:spacing w:val="-54"/>
        </w:rPr>
        <w:t> </w:t>
      </w:r>
      <w:r>
        <w:rPr>
          <w:rFonts w:ascii="Arial" w:hAnsi="Arial" w:cs="Arial" w:eastAsia="Arial" w:hint="default"/>
        </w:rPr>
        <w:t>9</w:t>
      </w:r>
      <w:r>
        <w:rPr>
          <w:rFonts w:ascii="Arial" w:hAnsi="Arial" w:cs="Arial" w:eastAsia="Arial" w:hint="default"/>
          <w:spacing w:val="-5"/>
        </w:rPr>
        <w:t> </w:t>
      </w:r>
      <w:r>
        <w:rPr/>
        <w:t>月起出任董事。中国联合通信有限公司于</w:t>
      </w:r>
      <w:r>
        <w:rPr>
          <w:spacing w:val="-52"/>
        </w:rPr>
        <w:t> </w:t>
      </w:r>
      <w:r>
        <w:rPr>
          <w:rFonts w:ascii="Arial" w:hAnsi="Arial" w:cs="Arial" w:eastAsia="Arial" w:hint="default"/>
        </w:rPr>
        <w:t>2008</w:t>
      </w:r>
      <w:r>
        <w:rPr>
          <w:rFonts w:ascii="Arial" w:hAnsi="Arial" w:cs="Arial" w:eastAsia="Arial" w:hint="default"/>
          <w:spacing w:val="-5"/>
        </w:rPr>
        <w:t> </w:t>
      </w:r>
      <w:r>
        <w:rPr/>
        <w:t>年</w:t>
      </w:r>
      <w:r>
        <w:rPr>
          <w:spacing w:val="-54"/>
        </w:rPr>
        <w:t> </w:t>
      </w:r>
      <w:r>
        <w:rPr>
          <w:rFonts w:ascii="Arial" w:hAnsi="Arial" w:cs="Arial" w:eastAsia="Arial" w:hint="default"/>
        </w:rPr>
        <w:t>12</w:t>
      </w:r>
      <w:r>
        <w:rPr>
          <w:rFonts w:ascii="Arial" w:hAnsi="Arial" w:cs="Arial" w:eastAsia="Arial" w:hint="default"/>
          <w:w w:val="99"/>
        </w:rPr>
        <w:t> </w:t>
      </w:r>
      <w:r>
        <w:rPr/>
        <w:t>月更名为中国联合网络通信集团有限公司（</w:t>
      </w:r>
      <w:r>
        <w:rPr>
          <w:rFonts w:ascii="Arial" w:hAnsi="Arial" w:cs="Arial" w:eastAsia="Arial" w:hint="default"/>
        </w:rPr>
        <w:t>“</w:t>
      </w:r>
      <w:r>
        <w:rPr/>
        <w:t>联通集团</w:t>
      </w:r>
      <w:r>
        <w:rPr>
          <w:rFonts w:ascii="Arial" w:hAnsi="Arial" w:cs="Arial" w:eastAsia="Arial" w:hint="default"/>
        </w:rPr>
        <w:t>”</w:t>
      </w:r>
      <w:r>
        <w:rPr/>
        <w:t>）。他目前担任联通集团公司董事、</w:t>
      </w:r>
      <w:r>
        <w:rPr>
          <w:spacing w:val="-85"/>
        </w:rPr>
        <w:t> </w:t>
      </w:r>
      <w:r>
        <w:rPr>
          <w:spacing w:val="-85"/>
        </w:rPr>
      </w:r>
      <w:r>
        <w:rPr/>
        <w:t>副总经理兼总会计师，中国联合网络通信（香港）股份有限公司（</w:t>
      </w:r>
      <w:r>
        <w:rPr>
          <w:rFonts w:ascii="Arial" w:hAnsi="Arial" w:cs="Arial" w:eastAsia="Arial" w:hint="default"/>
        </w:rPr>
        <w:t>“</w:t>
      </w:r>
      <w:r>
        <w:rPr/>
        <w:t>联通红筹公司</w:t>
      </w:r>
      <w:r>
        <w:rPr>
          <w:rFonts w:ascii="Arial" w:hAnsi="Arial" w:cs="Arial" w:eastAsia="Arial" w:hint="default"/>
        </w:rPr>
        <w:t>”</w:t>
      </w:r>
      <w:r>
        <w:rPr/>
        <w:t>）执行董</w:t>
      </w:r>
      <w:r>
        <w:rPr>
          <w:spacing w:val="-84"/>
        </w:rPr>
        <w:t> </w:t>
      </w:r>
      <w:r>
        <w:rPr>
          <w:spacing w:val="-84"/>
        </w:rPr>
      </w:r>
      <w:r>
        <w:rPr/>
        <w:t>事兼首席财务官，中国联合网络通信有限公司（</w:t>
      </w:r>
      <w:r>
        <w:rPr>
          <w:rFonts w:ascii="Arial" w:hAnsi="Arial" w:cs="Arial" w:eastAsia="Arial" w:hint="default"/>
        </w:rPr>
        <w:t>“</w:t>
      </w:r>
      <w:r>
        <w:rPr/>
        <w:t>联通运营公司</w:t>
      </w:r>
      <w:r>
        <w:rPr>
          <w:rFonts w:ascii="Arial" w:hAnsi="Arial" w:cs="Arial" w:eastAsia="Arial" w:hint="default"/>
        </w:rPr>
        <w:t>”</w:t>
      </w:r>
      <w:r>
        <w:rPr/>
        <w:t>）董事、高级副总裁。佟先</w:t>
      </w:r>
      <w:r>
        <w:rPr>
          <w:spacing w:val="-85"/>
        </w:rPr>
        <w:t> </w:t>
      </w:r>
      <w:r>
        <w:rPr>
          <w:spacing w:val="-85"/>
        </w:rPr>
      </w:r>
      <w:r>
        <w:rPr/>
        <w:t>生自</w:t>
      </w:r>
      <w:r>
        <w:rPr>
          <w:spacing w:val="-56"/>
        </w:rPr>
        <w:t> </w:t>
      </w:r>
      <w:r>
        <w:rPr>
          <w:rFonts w:ascii="Arial" w:hAnsi="Arial" w:cs="Arial" w:eastAsia="Arial" w:hint="default"/>
        </w:rPr>
        <w:t>2001</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spacing w:val="-4"/>
        </w:rPr>
        <w:t>月起担任本公司董事，并于</w:t>
      </w:r>
      <w:r>
        <w:rPr>
          <w:spacing w:val="-55"/>
        </w:rPr>
        <w:t> </w:t>
      </w:r>
      <w:r>
        <w:rPr>
          <w:rFonts w:ascii="Arial" w:hAnsi="Arial" w:cs="Arial" w:eastAsia="Arial" w:hint="default"/>
        </w:rPr>
        <w:t>2001</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月至</w:t>
      </w:r>
      <w:r>
        <w:rPr>
          <w:spacing w:val="-56"/>
        </w:rPr>
        <w:t> </w:t>
      </w:r>
      <w:r>
        <w:rPr>
          <w:rFonts w:ascii="Arial" w:hAnsi="Arial" w:cs="Arial" w:eastAsia="Arial" w:hint="default"/>
        </w:rPr>
        <w:t>2002</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月担任本公司副总</w:t>
      </w:r>
    </w:p>
    <w:p>
      <w:pPr>
        <w:pStyle w:val="BodyText"/>
        <w:spacing w:line="284" w:lineRule="exact" w:before="14"/>
        <w:ind w:left="681" w:right="211"/>
        <w:jc w:val="left"/>
      </w:pPr>
      <w:r>
        <w:rPr>
          <w:spacing w:val="-22"/>
        </w:rPr>
        <w:t>裁。在</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11</w:t>
      </w:r>
      <w:r>
        <w:rPr>
          <w:rFonts w:ascii="Arial" w:hAnsi="Arial" w:cs="Arial" w:eastAsia="Arial" w:hint="default"/>
          <w:spacing w:val="-7"/>
        </w:rPr>
        <w:t> </w:t>
      </w:r>
      <w:r>
        <w:rPr/>
        <w:t>月</w:t>
      </w:r>
      <w:r>
        <w:rPr>
          <w:spacing w:val="-56"/>
        </w:rPr>
        <w:t> </w:t>
      </w:r>
      <w:r>
        <w:rPr>
          <w:rFonts w:ascii="Arial" w:hAnsi="Arial" w:cs="Arial" w:eastAsia="Arial" w:hint="default"/>
        </w:rPr>
        <w:t>3</w:t>
      </w:r>
      <w:r>
        <w:rPr>
          <w:rFonts w:ascii="Arial" w:hAnsi="Arial" w:cs="Arial" w:eastAsia="Arial" w:hint="default"/>
          <w:spacing w:val="-7"/>
        </w:rPr>
        <w:t> </w:t>
      </w:r>
      <w:r>
        <w:rPr/>
        <w:t>日召开的本公司</w:t>
      </w:r>
      <w:r>
        <w:rPr>
          <w:spacing w:val="-56"/>
        </w:rPr>
        <w:t> </w:t>
      </w:r>
      <w:r>
        <w:rPr>
          <w:rFonts w:ascii="Arial" w:hAnsi="Arial" w:cs="Arial" w:eastAsia="Arial" w:hint="default"/>
        </w:rPr>
        <w:t>2009</w:t>
      </w:r>
      <w:r>
        <w:rPr>
          <w:rFonts w:ascii="Arial" w:hAnsi="Arial" w:cs="Arial" w:eastAsia="Arial" w:hint="default"/>
          <w:spacing w:val="-7"/>
        </w:rPr>
        <w:t> </w:t>
      </w:r>
      <w:r>
        <w:rPr/>
        <w:t>年第二次临时股东大会上连任为本公司第三届</w:t>
      </w:r>
      <w:r>
        <w:rPr>
          <w:w w:val="99"/>
        </w:rPr>
        <w:t> </w:t>
      </w:r>
      <w:r>
        <w:rPr/>
        <w:t>董事会董事。佟吉禄先生拥有丰富的电信企业管理经验和上市公司财务管理经验。</w:t>
      </w:r>
    </w:p>
    <w:p>
      <w:pPr>
        <w:spacing w:line="240" w:lineRule="auto" w:before="5"/>
        <w:rPr>
          <w:rFonts w:ascii="宋体" w:hAnsi="宋体" w:cs="宋体" w:eastAsia="宋体" w:hint="default"/>
          <w:sz w:val="19"/>
          <w:szCs w:val="19"/>
        </w:rPr>
      </w:pPr>
    </w:p>
    <w:p>
      <w:pPr>
        <w:pStyle w:val="BodyText"/>
        <w:spacing w:line="286" w:lineRule="exact"/>
        <w:ind w:left="681" w:right="205" w:hanging="532"/>
        <w:jc w:val="left"/>
        <w:rPr>
          <w:rFonts w:ascii="Arial" w:hAnsi="Arial" w:cs="Arial" w:eastAsia="Arial" w:hint="default"/>
        </w:rPr>
      </w:pPr>
      <w:r>
        <w:rPr>
          <w:rFonts w:ascii="宋体" w:hAnsi="宋体" w:cs="宋体" w:eastAsia="宋体" w:hint="default"/>
          <w:b/>
          <w:bCs/>
        </w:rPr>
        <w:t>（</w:t>
      </w:r>
      <w:r>
        <w:rPr>
          <w:rFonts w:ascii="Arial" w:hAnsi="Arial" w:cs="Arial" w:eastAsia="Arial" w:hint="default"/>
          <w:b/>
          <w:bCs/>
        </w:rPr>
        <w:t>5</w:t>
      </w:r>
      <w:r>
        <w:rPr>
          <w:rFonts w:ascii="宋体" w:hAnsi="宋体" w:cs="宋体" w:eastAsia="宋体" w:hint="default"/>
          <w:b/>
          <w:bCs/>
        </w:rPr>
        <w:t>）刘彩先生</w:t>
      </w:r>
      <w:r>
        <w:rPr/>
        <w:t>为教授级高级工程师，</w:t>
      </w:r>
      <w:r>
        <w:rPr>
          <w:rFonts w:ascii="Arial" w:hAnsi="Arial" w:cs="Arial" w:eastAsia="Arial" w:hint="default"/>
        </w:rPr>
        <w:t>1963</w:t>
      </w:r>
      <w:r>
        <w:rPr>
          <w:rFonts w:ascii="Arial" w:hAnsi="Arial" w:cs="Arial" w:eastAsia="Arial" w:hint="default"/>
          <w:spacing w:val="32"/>
        </w:rPr>
        <w:t> </w:t>
      </w:r>
      <w:r>
        <w:rPr/>
        <w:t>年毕业于北京邮电学院（现北京邮电大学），主修通</w:t>
      </w:r>
      <w:r>
        <w:rPr>
          <w:w w:val="99"/>
        </w:rPr>
        <w:t> </w:t>
      </w:r>
      <w:r>
        <w:rPr>
          <w:spacing w:val="-6"/>
        </w:rPr>
        <w:t>信工程。</w:t>
      </w:r>
      <w:r>
        <w:rPr>
          <w:rFonts w:ascii="Arial" w:hAnsi="Arial" w:cs="Arial" w:eastAsia="Arial" w:hint="default"/>
          <w:spacing w:val="-6"/>
        </w:rPr>
        <w:t>1963</w:t>
      </w:r>
      <w:r>
        <w:rPr>
          <w:rFonts w:ascii="Arial" w:hAnsi="Arial" w:cs="Arial" w:eastAsia="Arial" w:hint="default"/>
          <w:spacing w:val="-9"/>
        </w:rPr>
        <w:t> </w:t>
      </w:r>
      <w:r>
        <w:rPr/>
        <w:t>年至</w:t>
      </w:r>
      <w:r>
        <w:rPr>
          <w:spacing w:val="-58"/>
        </w:rPr>
        <w:t> </w:t>
      </w:r>
      <w:r>
        <w:rPr>
          <w:rFonts w:ascii="Arial" w:hAnsi="Arial" w:cs="Arial" w:eastAsia="Arial" w:hint="default"/>
        </w:rPr>
        <w:t>1988</w:t>
      </w:r>
      <w:r>
        <w:rPr>
          <w:rFonts w:ascii="Arial" w:hAnsi="Arial" w:cs="Arial" w:eastAsia="Arial" w:hint="default"/>
          <w:spacing w:val="-9"/>
        </w:rPr>
        <w:t> </w:t>
      </w:r>
      <w:r>
        <w:rPr>
          <w:spacing w:val="-5"/>
        </w:rPr>
        <w:t>年在邮电科学研究院任技术员、工程师、高级工程师。其间于</w:t>
      </w:r>
      <w:r>
        <w:rPr>
          <w:spacing w:val="-57"/>
        </w:rPr>
        <w:t> </w:t>
      </w:r>
      <w:r>
        <w:rPr>
          <w:rFonts w:ascii="Arial" w:hAnsi="Arial" w:cs="Arial" w:eastAsia="Arial" w:hint="default"/>
        </w:rPr>
        <w:t>1984</w:t>
      </w:r>
    </w:p>
    <w:p>
      <w:pPr>
        <w:pStyle w:val="BodyText"/>
        <w:spacing w:line="265" w:lineRule="exact"/>
        <w:ind w:left="681" w:right="99"/>
        <w:jc w:val="left"/>
        <w:rPr>
          <w:rFonts w:ascii="Arial" w:hAnsi="Arial" w:cs="Arial" w:eastAsia="Arial" w:hint="default"/>
        </w:rPr>
      </w:pPr>
      <w:r>
        <w:rPr/>
        <w:t>年至</w:t>
      </w:r>
      <w:r>
        <w:rPr>
          <w:spacing w:val="-58"/>
        </w:rPr>
        <w:t> </w:t>
      </w:r>
      <w:r>
        <w:rPr>
          <w:rFonts w:ascii="Arial" w:hAnsi="Arial" w:cs="Arial" w:eastAsia="Arial" w:hint="default"/>
        </w:rPr>
        <w:t>1986</w:t>
      </w:r>
      <w:r>
        <w:rPr>
          <w:rFonts w:ascii="Arial" w:hAnsi="Arial" w:cs="Arial" w:eastAsia="Arial" w:hint="default"/>
          <w:spacing w:val="-9"/>
        </w:rPr>
        <w:t> </w:t>
      </w:r>
      <w:r>
        <w:rPr/>
        <w:t>年、</w:t>
      </w:r>
      <w:r>
        <w:rPr>
          <w:rFonts w:ascii="Arial" w:hAnsi="Arial" w:cs="Arial" w:eastAsia="Arial" w:hint="default"/>
        </w:rPr>
        <w:t>1988</w:t>
      </w:r>
      <w:r>
        <w:rPr>
          <w:rFonts w:ascii="Arial" w:hAnsi="Arial" w:cs="Arial" w:eastAsia="Arial" w:hint="default"/>
          <w:spacing w:val="-9"/>
        </w:rPr>
        <w:t> </w:t>
      </w:r>
      <w:r>
        <w:rPr/>
        <w:t>年至</w:t>
      </w:r>
      <w:r>
        <w:rPr>
          <w:spacing w:val="-58"/>
        </w:rPr>
        <w:t> </w:t>
      </w:r>
      <w:r>
        <w:rPr>
          <w:rFonts w:ascii="Arial" w:hAnsi="Arial" w:cs="Arial" w:eastAsia="Arial" w:hint="default"/>
        </w:rPr>
        <w:t>1989</w:t>
      </w:r>
      <w:r>
        <w:rPr>
          <w:rFonts w:ascii="Arial" w:hAnsi="Arial" w:cs="Arial" w:eastAsia="Arial" w:hint="default"/>
          <w:spacing w:val="-9"/>
        </w:rPr>
        <w:t> </w:t>
      </w:r>
      <w:r>
        <w:rPr/>
        <w:t>年先后被选派比利时和美国进修经济管理。</w:t>
      </w:r>
      <w:r>
        <w:rPr>
          <w:rFonts w:ascii="Arial" w:hAnsi="Arial" w:cs="Arial" w:eastAsia="Arial" w:hint="default"/>
        </w:rPr>
        <w:t>1986</w:t>
      </w:r>
      <w:r>
        <w:rPr>
          <w:rFonts w:ascii="Arial" w:hAnsi="Arial" w:cs="Arial" w:eastAsia="Arial" w:hint="default"/>
          <w:spacing w:val="-8"/>
        </w:rPr>
        <w:t> </w:t>
      </w:r>
      <w:r>
        <w:rPr/>
        <w:t>年至</w:t>
      </w:r>
      <w:r>
        <w:rPr>
          <w:spacing w:val="-58"/>
        </w:rPr>
        <w:t> </w:t>
      </w:r>
      <w:r>
        <w:rPr>
          <w:rFonts w:ascii="Arial" w:hAnsi="Arial" w:cs="Arial" w:eastAsia="Arial" w:hint="default"/>
        </w:rPr>
        <w:t>1988</w:t>
      </w:r>
    </w:p>
    <w:p>
      <w:pPr>
        <w:pStyle w:val="BodyText"/>
        <w:spacing w:line="232" w:lineRule="auto"/>
        <w:ind w:left="681" w:right="107"/>
        <w:jc w:val="left"/>
        <w:rPr>
          <w:rFonts w:ascii="Arial" w:hAnsi="Arial" w:cs="Arial" w:eastAsia="Arial" w:hint="default"/>
        </w:rPr>
      </w:pPr>
      <w:r>
        <w:rPr/>
        <w:t>年</w:t>
      </w:r>
      <w:r>
        <w:rPr>
          <w:spacing w:val="-55"/>
        </w:rPr>
        <w:t> </w:t>
      </w:r>
      <w:r>
        <w:rPr>
          <w:rFonts w:ascii="Arial" w:hAnsi="Arial" w:cs="Arial" w:eastAsia="Arial" w:hint="default"/>
        </w:rPr>
        <w:t>12</w:t>
      </w:r>
      <w:r>
        <w:rPr>
          <w:rFonts w:ascii="Arial" w:hAnsi="Arial" w:cs="Arial" w:eastAsia="Arial" w:hint="default"/>
          <w:spacing w:val="-6"/>
        </w:rPr>
        <w:t> </w:t>
      </w:r>
      <w:r>
        <w:rPr/>
        <w:t>月任邮电部经济技术发展研究中心副主任。</w:t>
      </w:r>
      <w:r>
        <w:rPr>
          <w:rFonts w:ascii="Arial" w:hAnsi="Arial" w:cs="Arial" w:eastAsia="Arial" w:hint="default"/>
        </w:rPr>
        <w:t>1988</w:t>
      </w:r>
      <w:r>
        <w:rPr>
          <w:rFonts w:ascii="Arial" w:hAnsi="Arial" w:cs="Arial" w:eastAsia="Arial" w:hint="default"/>
          <w:spacing w:val="-6"/>
        </w:rPr>
        <w:t> </w:t>
      </w:r>
      <w:r>
        <w:rPr/>
        <w:t>年至</w:t>
      </w:r>
      <w:r>
        <w:rPr>
          <w:spacing w:val="-55"/>
        </w:rPr>
        <w:t> </w:t>
      </w:r>
      <w:r>
        <w:rPr>
          <w:rFonts w:ascii="Arial" w:hAnsi="Arial" w:cs="Arial" w:eastAsia="Arial" w:hint="default"/>
        </w:rPr>
        <w:t>2001</w:t>
      </w:r>
      <w:r>
        <w:rPr>
          <w:rFonts w:ascii="Arial" w:hAnsi="Arial" w:cs="Arial" w:eastAsia="Arial" w:hint="default"/>
          <w:spacing w:val="-6"/>
        </w:rPr>
        <w:t> </w:t>
      </w:r>
      <w:r>
        <w:rPr/>
        <w:t>年先后任邮电部、信息产</w:t>
      </w:r>
      <w:r>
        <w:rPr>
          <w:w w:val="99"/>
        </w:rPr>
        <w:t> </w:t>
      </w:r>
      <w:r>
        <w:rPr>
          <w:spacing w:val="-4"/>
        </w:rPr>
        <w:t>业部政策法规司副司长、司长，负责研究制定通信政策；起草电信改革方案、企业重组方案；</w:t>
      </w:r>
      <w:r>
        <w:rPr>
          <w:spacing w:val="-99"/>
        </w:rPr>
        <w:t> </w:t>
      </w:r>
      <w:r>
        <w:rPr>
          <w:spacing w:val="-99"/>
        </w:rPr>
      </w:r>
      <w:r>
        <w:rPr>
          <w:spacing w:val="-8"/>
        </w:rPr>
        <w:t>起草《中华人民共和国电信条例》；作为电信谈判首席代表，参加我国加入 </w:t>
      </w:r>
      <w:r>
        <w:rPr>
          <w:rFonts w:ascii="Arial" w:hAnsi="Arial" w:cs="Arial" w:eastAsia="Arial" w:hint="default"/>
        </w:rPr>
        <w:t>WTO</w:t>
      </w:r>
      <w:r>
        <w:rPr>
          <w:rFonts w:ascii="Arial" w:hAnsi="Arial" w:cs="Arial" w:eastAsia="Arial" w:hint="default"/>
          <w:spacing w:val="2"/>
        </w:rPr>
        <w:t> </w:t>
      </w:r>
      <w:r>
        <w:rPr>
          <w:spacing w:val="-10"/>
        </w:rPr>
        <w:t>谈判。</w:t>
      </w:r>
      <w:r>
        <w:rPr>
          <w:rFonts w:ascii="Arial" w:hAnsi="Arial" w:cs="Arial" w:eastAsia="Arial" w:hint="default"/>
          <w:spacing w:val="-10"/>
        </w:rPr>
        <w:t>2001</w:t>
      </w:r>
      <w:r>
        <w:rPr>
          <w:rFonts w:ascii="Arial" w:hAnsi="Arial" w:cs="Arial" w:eastAsia="Arial" w:hint="default"/>
          <w:w w:val="99"/>
        </w:rPr>
        <w:t> </w:t>
      </w:r>
      <w:r>
        <w:rPr/>
        <w:t>年后任中国通信学会副理事长，中国科协第六、第七届全委会委员，电信法起草专家咨询委</w:t>
      </w:r>
      <w:r>
        <w:rPr>
          <w:w w:val="99"/>
        </w:rPr>
        <w:t> </w:t>
      </w:r>
      <w:r>
        <w:rPr>
          <w:spacing w:val="-3"/>
        </w:rPr>
        <w:t>员会主任委员。</w:t>
      </w:r>
      <w:r>
        <w:rPr>
          <w:rFonts w:ascii="Arial" w:hAnsi="Arial" w:cs="Arial" w:eastAsia="Arial" w:hint="default"/>
          <w:spacing w:val="-3"/>
        </w:rPr>
        <w:t>2006</w:t>
      </w:r>
      <w:r>
        <w:rPr>
          <w:rFonts w:ascii="Arial" w:hAnsi="Arial" w:cs="Arial" w:eastAsia="Arial" w:hint="default"/>
          <w:spacing w:val="-7"/>
        </w:rPr>
        <w:t> </w:t>
      </w:r>
      <w:r>
        <w:rPr>
          <w:spacing w:val="-3"/>
        </w:rPr>
        <w:t>年代表中国担任联合国</w:t>
      </w:r>
      <w:r>
        <w:rPr>
          <w:rFonts w:ascii="Arial" w:hAnsi="Arial" w:cs="Arial" w:eastAsia="Arial" w:hint="default"/>
          <w:spacing w:val="-3"/>
        </w:rPr>
        <w:t>“</w:t>
      </w:r>
      <w:r>
        <w:rPr>
          <w:spacing w:val="-3"/>
        </w:rPr>
        <w:t>信息与通信技术促进发展全球联盟（</w:t>
      </w:r>
      <w:r>
        <w:rPr>
          <w:rFonts w:ascii="Arial" w:hAnsi="Arial" w:cs="Arial" w:eastAsia="Arial" w:hint="default"/>
          <w:spacing w:val="-3"/>
        </w:rPr>
        <w:t>GAID</w:t>
      </w:r>
      <w:r>
        <w:rPr>
          <w:spacing w:val="-3"/>
        </w:rPr>
        <w:t>）第</w:t>
      </w:r>
      <w:r>
        <w:rPr>
          <w:spacing w:val="-32"/>
          <w:w w:val="99"/>
        </w:rPr>
        <w:t> </w:t>
      </w:r>
      <w:r>
        <w:rPr/>
        <w:t>一届战略理事会理事。曾担任中国科协全国委员会委员，工信部通信科技委副主任。目前担</w:t>
      </w:r>
      <w:r>
        <w:rPr>
          <w:w w:val="99"/>
        </w:rPr>
        <w:t> </w:t>
      </w:r>
      <w:r>
        <w:rPr/>
        <w:t>任中国通信学会副理事长、香港京信通信系统公司独立非执行董事。刘彩先生自</w:t>
      </w:r>
      <w:r>
        <w:rPr>
          <w:spacing w:val="-75"/>
        </w:rPr>
        <w:t> </w:t>
      </w:r>
      <w:r>
        <w:rPr>
          <w:rFonts w:ascii="Arial" w:hAnsi="Arial" w:cs="Arial" w:eastAsia="Arial" w:hint="default"/>
        </w:rPr>
        <w:t>2009</w:t>
      </w:r>
      <w:r>
        <w:rPr>
          <w:rFonts w:ascii="Arial" w:hAnsi="Arial" w:cs="Arial" w:eastAsia="Arial" w:hint="default"/>
          <w:spacing w:val="-27"/>
        </w:rPr>
        <w:t> </w:t>
      </w:r>
      <w:r>
        <w:rPr/>
        <w:t>年</w:t>
      </w:r>
      <w:r>
        <w:rPr>
          <w:spacing w:val="-76"/>
        </w:rPr>
        <w:t> </w:t>
      </w:r>
      <w:r>
        <w:rPr>
          <w:rFonts w:ascii="Arial" w:hAnsi="Arial" w:cs="Arial" w:eastAsia="Arial" w:hint="default"/>
        </w:rPr>
        <w:t>11</w:t>
      </w:r>
    </w:p>
    <w:p>
      <w:pPr>
        <w:pStyle w:val="BodyText"/>
        <w:spacing w:line="286" w:lineRule="exact"/>
        <w:ind w:left="681" w:right="99"/>
        <w:jc w:val="left"/>
      </w:pPr>
      <w:r>
        <w:rPr/>
        <w:t>月</w:t>
      </w:r>
      <w:r>
        <w:rPr>
          <w:spacing w:val="-57"/>
        </w:rPr>
        <w:t> </w:t>
      </w:r>
      <w:r>
        <w:rPr>
          <w:rFonts w:ascii="Arial" w:hAnsi="Arial" w:cs="Arial" w:eastAsia="Arial" w:hint="default"/>
        </w:rPr>
        <w:t>3</w:t>
      </w:r>
      <w:r>
        <w:rPr>
          <w:rFonts w:ascii="Arial" w:hAnsi="Arial" w:cs="Arial" w:eastAsia="Arial" w:hint="default"/>
          <w:spacing w:val="-8"/>
        </w:rPr>
        <w:t> </w:t>
      </w:r>
      <w:r>
        <w:rPr/>
        <w:t>日起担任本公司独立董事。</w:t>
      </w:r>
    </w:p>
    <w:p>
      <w:pPr>
        <w:spacing w:line="240" w:lineRule="auto" w:before="13"/>
        <w:rPr>
          <w:rFonts w:ascii="宋体" w:hAnsi="宋体" w:cs="宋体" w:eastAsia="宋体" w:hint="default"/>
          <w:sz w:val="17"/>
          <w:szCs w:val="17"/>
        </w:rPr>
      </w:pPr>
    </w:p>
    <w:p>
      <w:pPr>
        <w:pStyle w:val="BodyText"/>
        <w:spacing w:line="295" w:lineRule="exact"/>
        <w:ind w:left="149" w:right="99"/>
        <w:jc w:val="left"/>
        <w:rPr>
          <w:rFonts w:ascii="Arial" w:hAnsi="Arial" w:cs="Arial" w:eastAsia="Arial" w:hint="default"/>
        </w:rPr>
      </w:pPr>
      <w:r>
        <w:rPr>
          <w:rFonts w:ascii="宋体" w:hAnsi="宋体" w:cs="宋体" w:eastAsia="宋体" w:hint="default"/>
          <w:b/>
          <w:bCs/>
        </w:rPr>
        <w:t>（</w:t>
      </w:r>
      <w:r>
        <w:rPr>
          <w:rFonts w:ascii="Arial" w:hAnsi="Arial" w:cs="Arial" w:eastAsia="Arial" w:hint="default"/>
          <w:b/>
          <w:bCs/>
        </w:rPr>
        <w:t>6</w:t>
      </w:r>
      <w:r>
        <w:rPr>
          <w:rFonts w:ascii="宋体" w:hAnsi="宋体" w:cs="宋体" w:eastAsia="宋体" w:hint="default"/>
          <w:b/>
          <w:bCs/>
        </w:rPr>
        <w:t>）赵纯均先生 </w:t>
      </w:r>
      <w:r>
        <w:rPr>
          <w:rFonts w:ascii="Arial" w:hAnsi="Arial" w:cs="Arial" w:eastAsia="Arial" w:hint="default"/>
        </w:rPr>
        <w:t>1965 </w:t>
      </w:r>
      <w:r>
        <w:rPr/>
        <w:t>年 </w:t>
      </w:r>
      <w:r>
        <w:rPr>
          <w:rFonts w:ascii="Arial" w:hAnsi="Arial" w:cs="Arial" w:eastAsia="Arial" w:hint="default"/>
        </w:rPr>
        <w:t>7 </w:t>
      </w:r>
      <w:r>
        <w:rPr/>
        <w:t>月于清华大学电机系工业企业电气化与自动化本科毕业。</w:t>
      </w:r>
      <w:r>
        <w:rPr>
          <w:rFonts w:ascii="Arial" w:hAnsi="Arial" w:cs="Arial" w:eastAsia="Arial" w:hint="default"/>
        </w:rPr>
        <w:t>1965 </w:t>
      </w:r>
      <w:r>
        <w:rPr/>
        <w:t>年</w:t>
      </w:r>
      <w:r>
        <w:rPr>
          <w:spacing w:val="-59"/>
        </w:rPr>
        <w:t> </w:t>
      </w:r>
      <w:r>
        <w:rPr>
          <w:rFonts w:ascii="Arial" w:hAnsi="Arial" w:cs="Arial" w:eastAsia="Arial" w:hint="default"/>
        </w:rPr>
        <w:t>9</w:t>
      </w:r>
    </w:p>
    <w:p>
      <w:pPr>
        <w:pStyle w:val="BodyText"/>
        <w:spacing w:line="225" w:lineRule="auto" w:before="6"/>
        <w:ind w:left="680" w:right="219"/>
        <w:jc w:val="both"/>
      </w:pPr>
      <w:r>
        <w:rPr/>
        <w:t>月起先后在清华大学绵阳分校、清华大学自动化系任教，</w:t>
      </w:r>
      <w:r>
        <w:rPr>
          <w:rFonts w:ascii="Arial" w:hAnsi="Arial" w:cs="Arial" w:eastAsia="Arial" w:hint="default"/>
        </w:rPr>
        <w:t>1984</w:t>
      </w:r>
      <w:r>
        <w:rPr>
          <w:rFonts w:ascii="Arial" w:hAnsi="Arial" w:cs="Arial" w:eastAsia="Arial" w:hint="default"/>
          <w:spacing w:val="-9"/>
        </w:rPr>
        <w:t> </w:t>
      </w:r>
      <w:r>
        <w:rPr/>
        <w:t>年</w:t>
      </w:r>
      <w:r>
        <w:rPr>
          <w:spacing w:val="-58"/>
        </w:rPr>
        <w:t> </w:t>
      </w:r>
      <w:r>
        <w:rPr>
          <w:rFonts w:ascii="Arial" w:hAnsi="Arial" w:cs="Arial" w:eastAsia="Arial" w:hint="default"/>
        </w:rPr>
        <w:t>10</w:t>
      </w:r>
      <w:r>
        <w:rPr>
          <w:rFonts w:ascii="Arial" w:hAnsi="Arial" w:cs="Arial" w:eastAsia="Arial" w:hint="default"/>
          <w:spacing w:val="-9"/>
        </w:rPr>
        <w:t> </w:t>
      </w:r>
      <w:r>
        <w:rPr/>
        <w:t>月至</w:t>
      </w:r>
      <w:r>
        <w:rPr>
          <w:spacing w:val="-58"/>
        </w:rPr>
        <w:t> </w:t>
      </w:r>
      <w:r>
        <w:rPr>
          <w:rFonts w:ascii="Arial" w:hAnsi="Arial" w:cs="Arial" w:eastAsia="Arial" w:hint="default"/>
        </w:rPr>
        <w:t>1986</w:t>
      </w:r>
      <w:r>
        <w:rPr>
          <w:rFonts w:ascii="Arial" w:hAnsi="Arial" w:cs="Arial" w:eastAsia="Arial" w:hint="default"/>
          <w:spacing w:val="-9"/>
        </w:rPr>
        <w:t> </w:t>
      </w:r>
      <w:r>
        <w:rPr/>
        <w:t>年</w:t>
      </w:r>
      <w:r>
        <w:rPr>
          <w:spacing w:val="-58"/>
        </w:rPr>
        <w:t> </w:t>
      </w:r>
      <w:r>
        <w:rPr>
          <w:rFonts w:ascii="Arial" w:hAnsi="Arial" w:cs="Arial" w:eastAsia="Arial" w:hint="default"/>
        </w:rPr>
        <w:t>2</w:t>
      </w:r>
      <w:r>
        <w:rPr>
          <w:rFonts w:ascii="Arial" w:hAnsi="Arial" w:cs="Arial" w:eastAsia="Arial" w:hint="default"/>
          <w:spacing w:val="-9"/>
        </w:rPr>
        <w:t> </w:t>
      </w:r>
      <w:r>
        <w:rPr/>
        <w:t>月奥地</w:t>
      </w:r>
      <w:r>
        <w:rPr>
          <w:w w:val="99"/>
        </w:rPr>
        <w:t> </w:t>
      </w:r>
      <w:r>
        <w:rPr/>
        <w:t>利国际应用系统分析研究所（</w:t>
      </w:r>
      <w:r>
        <w:rPr>
          <w:rFonts w:ascii="Arial" w:hAnsi="Arial" w:cs="Arial" w:eastAsia="Arial" w:hint="default"/>
        </w:rPr>
        <w:t>IIASA</w:t>
      </w:r>
      <w:r>
        <w:rPr/>
        <w:t>），做研究学者，</w:t>
      </w:r>
      <w:r>
        <w:rPr>
          <w:rFonts w:ascii="Arial" w:hAnsi="Arial" w:cs="Arial" w:eastAsia="Arial" w:hint="default"/>
        </w:rPr>
        <w:t>1986</w:t>
      </w:r>
      <w:r>
        <w:rPr>
          <w:rFonts w:ascii="Arial" w:hAnsi="Arial" w:cs="Arial" w:eastAsia="Arial" w:hint="default"/>
          <w:spacing w:val="-26"/>
        </w:rPr>
        <w:t> </w:t>
      </w:r>
      <w:r>
        <w:rPr/>
        <w:t>年</w:t>
      </w:r>
      <w:r>
        <w:rPr>
          <w:spacing w:val="-75"/>
        </w:rPr>
        <w:t> </w:t>
      </w:r>
      <w:r>
        <w:rPr>
          <w:rFonts w:ascii="Arial" w:hAnsi="Arial" w:cs="Arial" w:eastAsia="Arial" w:hint="default"/>
        </w:rPr>
        <w:t>2</w:t>
      </w:r>
      <w:r>
        <w:rPr>
          <w:rFonts w:ascii="Arial" w:hAnsi="Arial" w:cs="Arial" w:eastAsia="Arial" w:hint="default"/>
          <w:spacing w:val="-26"/>
        </w:rPr>
        <w:t> </w:t>
      </w:r>
      <w:r>
        <w:rPr/>
        <w:t>月起先后任清华大学经济管</w:t>
      </w:r>
      <w:r>
        <w:rPr>
          <w:w w:val="99"/>
        </w:rPr>
        <w:t> </w:t>
      </w:r>
      <w:r>
        <w:rPr>
          <w:spacing w:val="-3"/>
        </w:rPr>
        <w:t>理学院院长助理、系主任、常务</w:t>
      </w:r>
      <w:r>
        <w:rPr>
          <w:rFonts w:ascii="Arial" w:hAnsi="Arial" w:cs="Arial" w:eastAsia="Arial" w:hint="default"/>
          <w:spacing w:val="-3"/>
        </w:rPr>
        <w:t>/</w:t>
      </w:r>
      <w:r>
        <w:rPr>
          <w:spacing w:val="-3"/>
        </w:rPr>
        <w:t>第一副院长，</w:t>
      </w:r>
      <w:r>
        <w:rPr>
          <w:rFonts w:ascii="Arial" w:hAnsi="Arial" w:cs="Arial" w:eastAsia="Arial" w:hint="default"/>
          <w:spacing w:val="-3"/>
        </w:rPr>
        <w:t>2001</w:t>
      </w:r>
      <w:r>
        <w:rPr>
          <w:rFonts w:ascii="Arial" w:hAnsi="Arial" w:cs="Arial" w:eastAsia="Arial" w:hint="default"/>
          <w:spacing w:val="-7"/>
        </w:rPr>
        <w:t> </w:t>
      </w:r>
      <w:r>
        <w:rPr/>
        <w:t>年</w:t>
      </w:r>
      <w:r>
        <w:rPr>
          <w:spacing w:val="-56"/>
        </w:rPr>
        <w:t> </w:t>
      </w:r>
      <w:r>
        <w:rPr>
          <w:rFonts w:ascii="Arial" w:hAnsi="Arial" w:cs="Arial" w:eastAsia="Arial" w:hint="default"/>
        </w:rPr>
        <w:t>6</w:t>
      </w:r>
      <w:r>
        <w:rPr>
          <w:rFonts w:ascii="Arial" w:hAnsi="Arial" w:cs="Arial" w:eastAsia="Arial" w:hint="default"/>
          <w:spacing w:val="-7"/>
        </w:rPr>
        <w:t> </w:t>
      </w:r>
      <w:r>
        <w:rPr/>
        <w:t>月至</w:t>
      </w:r>
      <w:r>
        <w:rPr>
          <w:spacing w:val="-56"/>
        </w:rPr>
        <w:t> </w:t>
      </w:r>
      <w:r>
        <w:rPr>
          <w:rFonts w:ascii="Arial" w:hAnsi="Arial" w:cs="Arial" w:eastAsia="Arial" w:hint="default"/>
        </w:rPr>
        <w:t>2005</w:t>
      </w:r>
      <w:r>
        <w:rPr>
          <w:rFonts w:ascii="Arial" w:hAnsi="Arial" w:cs="Arial" w:eastAsia="Arial" w:hint="default"/>
          <w:spacing w:val="-7"/>
        </w:rPr>
        <w:t> </w:t>
      </w:r>
      <w:r>
        <w:rPr/>
        <w:t>年</w:t>
      </w:r>
      <w:r>
        <w:rPr>
          <w:spacing w:val="-56"/>
        </w:rPr>
        <w:t> </w:t>
      </w:r>
      <w:r>
        <w:rPr>
          <w:rFonts w:ascii="Arial" w:hAnsi="Arial" w:cs="Arial" w:eastAsia="Arial" w:hint="default"/>
        </w:rPr>
        <w:t>10</w:t>
      </w:r>
      <w:r>
        <w:rPr>
          <w:rFonts w:ascii="Arial" w:hAnsi="Arial" w:cs="Arial" w:eastAsia="Arial" w:hint="default"/>
          <w:spacing w:val="-7"/>
        </w:rPr>
        <w:t> </w:t>
      </w:r>
      <w:r>
        <w:rPr/>
        <w:t>月清华大学经济管</w:t>
      </w:r>
    </w:p>
    <w:p>
      <w:pPr>
        <w:pStyle w:val="BodyText"/>
        <w:spacing w:line="279" w:lineRule="exact"/>
        <w:ind w:left="680" w:right="99"/>
        <w:jc w:val="left"/>
        <w:rPr>
          <w:rFonts w:ascii="Arial" w:hAnsi="Arial" w:cs="Arial" w:eastAsia="Arial" w:hint="default"/>
        </w:rPr>
      </w:pPr>
      <w:r>
        <w:rPr/>
        <w:t>理学院任院长。</w:t>
      </w:r>
      <w:r>
        <w:rPr>
          <w:rFonts w:ascii="Arial" w:hAnsi="Arial" w:cs="Arial" w:eastAsia="Arial" w:hint="default"/>
        </w:rPr>
        <w:t>2005 </w:t>
      </w:r>
      <w:r>
        <w:rPr/>
        <w:t>年 </w:t>
      </w:r>
      <w:r>
        <w:rPr>
          <w:rFonts w:ascii="Arial" w:hAnsi="Arial" w:cs="Arial" w:eastAsia="Arial" w:hint="default"/>
        </w:rPr>
        <w:t>10 </w:t>
      </w:r>
      <w:r>
        <w:rPr/>
        <w:t>月至 </w:t>
      </w:r>
      <w:r>
        <w:rPr>
          <w:rFonts w:ascii="Arial" w:hAnsi="Arial" w:cs="Arial" w:eastAsia="Arial" w:hint="default"/>
        </w:rPr>
        <w:t>2009 </w:t>
      </w:r>
      <w:r>
        <w:rPr/>
        <w:t>年 </w:t>
      </w:r>
      <w:r>
        <w:rPr>
          <w:rFonts w:ascii="Arial" w:hAnsi="Arial" w:cs="Arial" w:eastAsia="Arial" w:hint="default"/>
        </w:rPr>
        <w:t>4</w:t>
      </w:r>
      <w:r>
        <w:rPr>
          <w:rFonts w:ascii="Arial" w:hAnsi="Arial" w:cs="Arial" w:eastAsia="Arial" w:hint="default"/>
          <w:spacing w:val="-35"/>
        </w:rPr>
        <w:t> </w:t>
      </w:r>
      <w:r>
        <w:rPr/>
        <w:t>月任清华大学经济管理学院教授、顾问。</w:t>
      </w:r>
      <w:r>
        <w:rPr>
          <w:rFonts w:ascii="Arial" w:hAnsi="Arial" w:cs="Arial" w:eastAsia="Arial" w:hint="default"/>
        </w:rPr>
        <w:t>2005</w:t>
      </w:r>
    </w:p>
    <w:p>
      <w:pPr>
        <w:pStyle w:val="BodyText"/>
        <w:spacing w:line="232" w:lineRule="auto"/>
        <w:ind w:left="680" w:right="101"/>
        <w:jc w:val="left"/>
      </w:pPr>
      <w:r>
        <w:rPr/>
        <w:t>年 </w:t>
      </w:r>
      <w:r>
        <w:rPr>
          <w:rFonts w:ascii="Arial" w:hAnsi="Arial" w:cs="Arial" w:eastAsia="Arial" w:hint="default"/>
        </w:rPr>
        <w:t>10</w:t>
      </w:r>
      <w:r>
        <w:rPr>
          <w:rFonts w:ascii="Arial" w:hAnsi="Arial" w:cs="Arial" w:eastAsia="Arial" w:hint="default"/>
          <w:spacing w:val="-15"/>
        </w:rPr>
        <w:t> </w:t>
      </w:r>
      <w:r>
        <w:rPr/>
        <w:t>月至今，任清华大学经济管理学院顾问委员会委员，清华大学校务委员会、学术委员</w:t>
      </w:r>
      <w:r>
        <w:rPr>
          <w:w w:val="99"/>
        </w:rPr>
        <w:t> </w:t>
      </w:r>
      <w:r>
        <w:rPr/>
        <w:t>会委员，全国 </w:t>
      </w:r>
      <w:r>
        <w:rPr>
          <w:rFonts w:ascii="Arial" w:hAnsi="Arial" w:cs="Arial" w:eastAsia="Arial" w:hint="default"/>
        </w:rPr>
        <w:t>MBA</w:t>
      </w:r>
      <w:r>
        <w:rPr>
          <w:rFonts w:ascii="Arial" w:hAnsi="Arial" w:cs="Arial" w:eastAsia="Arial" w:hint="default"/>
          <w:spacing w:val="-27"/>
        </w:rPr>
        <w:t> </w:t>
      </w:r>
      <w:r>
        <w:rPr/>
        <w:t>教育指导委员会副主任、教育部社科委管理学部召集人。曾任大恒新纪</w:t>
      </w:r>
      <w:r>
        <w:rPr>
          <w:w w:val="99"/>
        </w:rPr>
        <w:t> </w:t>
      </w:r>
      <w:r>
        <w:rPr/>
        <w:t>元科技股份有限公司独立董事、清华同方股份有限公司监事长。目前还兼任中国管理现代化</w:t>
      </w:r>
      <w:r>
        <w:rPr>
          <w:w w:val="99"/>
        </w:rPr>
        <w:t> </w:t>
      </w:r>
      <w:r>
        <w:rPr/>
        <w:t>研究会法人，中国企业研究会副会长，中国工业经济联合会高级副会长，中国企业联合会常</w:t>
      </w:r>
      <w:r>
        <w:rPr>
          <w:w w:val="99"/>
        </w:rPr>
        <w:t> </w:t>
      </w:r>
      <w:r>
        <w:rPr>
          <w:spacing w:val="-4"/>
        </w:rPr>
        <w:t>务理事，并担任中银国际基金管理有限公司独立董事，中国通信服务股份有限公司独立董事，</w:t>
      </w:r>
      <w:r>
        <w:rPr>
          <w:spacing w:val="-97"/>
        </w:rPr>
        <w:t> </w:t>
      </w:r>
      <w:r>
        <w:rPr>
          <w:spacing w:val="-97"/>
        </w:rPr>
      </w:r>
      <w:r>
        <w:rPr/>
        <w:t>东方电气股份有限公司独立董事。赵纯均先生自</w:t>
      </w:r>
      <w:r>
        <w:rPr>
          <w:spacing w:val="-59"/>
        </w:rPr>
        <w:t> </w:t>
      </w:r>
      <w:r>
        <w:rPr>
          <w:rFonts w:ascii="Arial" w:hAnsi="Arial" w:cs="Arial" w:eastAsia="Arial" w:hint="default"/>
        </w:rPr>
        <w:t>2009</w:t>
      </w:r>
      <w:r>
        <w:rPr>
          <w:rFonts w:ascii="Arial" w:hAnsi="Arial" w:cs="Arial" w:eastAsia="Arial" w:hint="default"/>
          <w:spacing w:val="-10"/>
        </w:rPr>
        <w:t> </w:t>
      </w:r>
      <w:r>
        <w:rPr/>
        <w:t>年</w:t>
      </w:r>
      <w:r>
        <w:rPr>
          <w:spacing w:val="-59"/>
        </w:rPr>
        <w:t> </w:t>
      </w:r>
      <w:r>
        <w:rPr>
          <w:rFonts w:ascii="Arial" w:hAnsi="Arial" w:cs="Arial" w:eastAsia="Arial" w:hint="default"/>
        </w:rPr>
        <w:t>11</w:t>
      </w:r>
      <w:r>
        <w:rPr>
          <w:rFonts w:ascii="Arial" w:hAnsi="Arial" w:cs="Arial" w:eastAsia="Arial" w:hint="default"/>
          <w:spacing w:val="-10"/>
        </w:rPr>
        <w:t> </w:t>
      </w:r>
      <w:r>
        <w:rPr/>
        <w:t>月</w:t>
      </w:r>
      <w:r>
        <w:rPr>
          <w:spacing w:val="-59"/>
        </w:rPr>
        <w:t> </w:t>
      </w:r>
      <w:r>
        <w:rPr>
          <w:rFonts w:ascii="Arial" w:hAnsi="Arial" w:cs="Arial" w:eastAsia="Arial" w:hint="default"/>
        </w:rPr>
        <w:t>3</w:t>
      </w:r>
      <w:r>
        <w:rPr>
          <w:rFonts w:ascii="Arial" w:hAnsi="Arial" w:cs="Arial" w:eastAsia="Arial" w:hint="default"/>
          <w:spacing w:val="-10"/>
        </w:rPr>
        <w:t> </w:t>
      </w:r>
      <w:r>
        <w:rPr/>
        <w:t>日起担任本公司独立董事。</w:t>
      </w:r>
    </w:p>
    <w:p>
      <w:pPr>
        <w:spacing w:line="240" w:lineRule="auto" w:before="2"/>
        <w:rPr>
          <w:rFonts w:ascii="宋体" w:hAnsi="宋体" w:cs="宋体" w:eastAsia="宋体" w:hint="default"/>
          <w:sz w:val="20"/>
          <w:szCs w:val="20"/>
        </w:rPr>
      </w:pPr>
    </w:p>
    <w:p>
      <w:pPr>
        <w:pStyle w:val="BodyText"/>
        <w:spacing w:line="286" w:lineRule="exact"/>
        <w:ind w:left="679" w:right="103" w:hanging="532"/>
        <w:jc w:val="left"/>
      </w:pPr>
      <w:r>
        <w:rPr>
          <w:rFonts w:ascii="宋体" w:hAnsi="宋体" w:cs="宋体" w:eastAsia="宋体" w:hint="default"/>
          <w:b/>
          <w:bCs/>
        </w:rPr>
        <w:t>（</w:t>
      </w:r>
      <w:r>
        <w:rPr>
          <w:rFonts w:ascii="Arial" w:hAnsi="Arial" w:cs="Arial" w:eastAsia="Arial" w:hint="default"/>
          <w:b/>
          <w:bCs/>
        </w:rPr>
        <w:t>7</w:t>
      </w:r>
      <w:r>
        <w:rPr>
          <w:rFonts w:ascii="宋体" w:hAnsi="宋体" w:cs="宋体" w:eastAsia="宋体" w:hint="default"/>
          <w:b/>
          <w:bCs/>
        </w:rPr>
        <w:t>）张英海</w:t>
      </w:r>
      <w:r>
        <w:rPr/>
        <w:t>先生于</w:t>
      </w:r>
      <w:r>
        <w:rPr>
          <w:spacing w:val="-38"/>
        </w:rPr>
        <w:t> </w:t>
      </w:r>
      <w:r>
        <w:rPr>
          <w:rFonts w:ascii="Arial" w:hAnsi="Arial" w:cs="Arial" w:eastAsia="Arial" w:hint="default"/>
        </w:rPr>
        <w:t>1975</w:t>
      </w:r>
      <w:r>
        <w:rPr>
          <w:rFonts w:ascii="Arial" w:hAnsi="Arial" w:cs="Arial" w:eastAsia="Arial" w:hint="default"/>
          <w:spacing w:val="11"/>
        </w:rPr>
        <w:t> </w:t>
      </w:r>
      <w:r>
        <w:rPr/>
        <w:t>年北京邮电学院本科毕业，</w:t>
      </w:r>
      <w:r>
        <w:rPr>
          <w:rFonts w:ascii="Arial" w:hAnsi="Arial" w:cs="Arial" w:eastAsia="Arial" w:hint="default"/>
        </w:rPr>
        <w:t>2007</w:t>
      </w:r>
      <w:r>
        <w:rPr>
          <w:rFonts w:ascii="Arial" w:hAnsi="Arial" w:cs="Arial" w:eastAsia="Arial" w:hint="default"/>
          <w:spacing w:val="12"/>
        </w:rPr>
        <w:t> </w:t>
      </w:r>
      <w:r>
        <w:rPr/>
        <w:t>年</w:t>
      </w:r>
      <w:r>
        <w:rPr>
          <w:spacing w:val="-38"/>
        </w:rPr>
        <w:t> </w:t>
      </w:r>
      <w:r>
        <w:rPr>
          <w:rFonts w:ascii="Arial" w:hAnsi="Arial" w:cs="Arial" w:eastAsia="Arial" w:hint="default"/>
        </w:rPr>
        <w:t>7</w:t>
      </w:r>
      <w:r>
        <w:rPr>
          <w:rFonts w:ascii="Arial" w:hAnsi="Arial" w:cs="Arial" w:eastAsia="Arial" w:hint="default"/>
          <w:spacing w:val="11"/>
        </w:rPr>
        <w:t> </w:t>
      </w:r>
      <w:r>
        <w:rPr/>
        <w:t>月年获得北京邮电大学电子工程</w:t>
      </w:r>
      <w:r>
        <w:rPr>
          <w:w w:val="99"/>
        </w:rPr>
        <w:t> </w:t>
      </w:r>
      <w:r>
        <w:rPr/>
        <w:t>学院电路与系统专业毕业博士学位。</w:t>
      </w:r>
      <w:r>
        <w:rPr>
          <w:rFonts w:ascii="Arial" w:hAnsi="Arial" w:cs="Arial" w:eastAsia="Arial" w:hint="default"/>
        </w:rPr>
        <w:t>1987</w:t>
      </w:r>
      <w:r>
        <w:rPr>
          <w:rFonts w:ascii="Arial" w:hAnsi="Arial" w:cs="Arial" w:eastAsia="Arial" w:hint="default"/>
          <w:spacing w:val="-8"/>
        </w:rPr>
        <w:t> </w:t>
      </w:r>
      <w:r>
        <w:rPr/>
        <w:t>年至</w:t>
      </w:r>
      <w:r>
        <w:rPr>
          <w:spacing w:val="-57"/>
        </w:rPr>
        <w:t> </w:t>
      </w:r>
      <w:r>
        <w:rPr>
          <w:rFonts w:ascii="Arial" w:hAnsi="Arial" w:cs="Arial" w:eastAsia="Arial" w:hint="default"/>
        </w:rPr>
        <w:t>1990</w:t>
      </w:r>
      <w:r>
        <w:rPr>
          <w:rFonts w:ascii="Arial" w:hAnsi="Arial" w:cs="Arial" w:eastAsia="Arial" w:hint="default"/>
          <w:spacing w:val="-8"/>
        </w:rPr>
        <w:t> </w:t>
      </w:r>
      <w:r>
        <w:rPr/>
        <w:t>年在日本东北大学进修电子工学专业，</w:t>
      </w:r>
      <w:r>
        <w:rPr>
          <w:w w:val="99"/>
        </w:rPr>
        <w:t> </w:t>
      </w:r>
      <w:r>
        <w:rPr/>
        <w:t>先后参加美国 </w:t>
      </w:r>
      <w:r>
        <w:rPr>
          <w:rFonts w:ascii="Arial" w:hAnsi="Arial" w:cs="Arial" w:eastAsia="Arial" w:hint="default"/>
        </w:rPr>
        <w:t>AT</w:t>
      </w:r>
      <w:r>
        <w:rPr/>
        <w:t>﹠</w:t>
      </w:r>
      <w:r>
        <w:rPr>
          <w:rFonts w:ascii="Arial" w:hAnsi="Arial" w:cs="Arial" w:eastAsia="Arial" w:hint="default"/>
        </w:rPr>
        <w:t>T</w:t>
      </w:r>
      <w:r>
        <w:rPr>
          <w:rFonts w:ascii="Arial" w:hAnsi="Arial" w:cs="Arial" w:eastAsia="Arial" w:hint="default"/>
          <w:spacing w:val="33"/>
        </w:rPr>
        <w:t> </w:t>
      </w:r>
      <w:r>
        <w:rPr/>
        <w:t>高级电信管理人员培训、邮电部局长学习班、教育部高级领导干部海</w:t>
      </w:r>
      <w:r>
        <w:rPr>
          <w:w w:val="99"/>
        </w:rPr>
        <w:t> </w:t>
      </w:r>
      <w:r>
        <w:rPr>
          <w:spacing w:val="-7"/>
        </w:rPr>
        <w:t>外培训班。</w:t>
      </w:r>
      <w:r>
        <w:rPr>
          <w:rFonts w:ascii="Arial" w:hAnsi="Arial" w:cs="Arial" w:eastAsia="Arial" w:hint="default"/>
          <w:spacing w:val="-7"/>
        </w:rPr>
        <w:t>1971</w:t>
      </w:r>
      <w:r>
        <w:rPr>
          <w:rFonts w:ascii="Arial" w:hAnsi="Arial" w:cs="Arial" w:eastAsia="Arial" w:hint="default"/>
          <w:spacing w:val="-4"/>
        </w:rPr>
        <w:t> </w:t>
      </w:r>
      <w:r>
        <w:rPr/>
        <w:t>年至</w:t>
      </w:r>
      <w:r>
        <w:rPr>
          <w:spacing w:val="-53"/>
        </w:rPr>
        <w:t> </w:t>
      </w:r>
      <w:r>
        <w:rPr>
          <w:rFonts w:ascii="Arial" w:hAnsi="Arial" w:cs="Arial" w:eastAsia="Arial" w:hint="default"/>
        </w:rPr>
        <w:t>1996</w:t>
      </w:r>
      <w:r>
        <w:rPr>
          <w:rFonts w:ascii="Arial" w:hAnsi="Arial" w:cs="Arial" w:eastAsia="Arial" w:hint="default"/>
          <w:spacing w:val="-4"/>
        </w:rPr>
        <w:t> </w:t>
      </w:r>
      <w:r>
        <w:rPr>
          <w:spacing w:val="-5"/>
        </w:rPr>
        <w:t>年先后在中央广播事业局科学研究所、北京邮电学院工作、学习。</w:t>
      </w:r>
      <w:r>
        <w:rPr>
          <w:w w:val="99"/>
        </w:rPr>
        <w:t> </w:t>
      </w:r>
      <w:r>
        <w:rPr>
          <w:rFonts w:ascii="Arial" w:hAnsi="Arial" w:cs="Arial" w:eastAsia="Arial" w:hint="default"/>
        </w:rPr>
        <w:t>1996</w:t>
      </w:r>
      <w:r>
        <w:rPr>
          <w:rFonts w:ascii="Arial" w:hAnsi="Arial" w:cs="Arial" w:eastAsia="Arial" w:hint="default"/>
          <w:spacing w:val="-7"/>
        </w:rPr>
        <w:t> </w:t>
      </w:r>
      <w:r>
        <w:rPr/>
        <w:t>年</w:t>
      </w:r>
      <w:r>
        <w:rPr>
          <w:spacing w:val="-56"/>
        </w:rPr>
        <w:t> </w:t>
      </w:r>
      <w:r>
        <w:rPr>
          <w:rFonts w:ascii="Arial" w:hAnsi="Arial" w:cs="Arial" w:eastAsia="Arial" w:hint="default"/>
        </w:rPr>
        <w:t>9</w:t>
      </w:r>
      <w:r>
        <w:rPr>
          <w:rFonts w:ascii="Arial" w:hAnsi="Arial" w:cs="Arial" w:eastAsia="Arial" w:hint="default"/>
          <w:spacing w:val="-6"/>
        </w:rPr>
        <w:t> </w:t>
      </w:r>
      <w:r>
        <w:rPr/>
        <w:t>月至</w:t>
      </w:r>
      <w:r>
        <w:rPr>
          <w:spacing w:val="-56"/>
        </w:rPr>
        <w:t> </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5</w:t>
      </w:r>
      <w:r>
        <w:rPr>
          <w:rFonts w:ascii="Arial" w:hAnsi="Arial" w:cs="Arial" w:eastAsia="Arial" w:hint="default"/>
          <w:spacing w:val="-7"/>
        </w:rPr>
        <w:t> </w:t>
      </w:r>
      <w:r>
        <w:rPr/>
        <w:t>月任北京邮电大学副校长。</w:t>
      </w:r>
      <w:r>
        <w:rPr>
          <w:rFonts w:ascii="Arial" w:hAnsi="Arial" w:cs="Arial" w:eastAsia="Arial" w:hint="default"/>
        </w:rPr>
        <w:t>2008</w:t>
      </w:r>
      <w:r>
        <w:rPr>
          <w:rFonts w:ascii="Arial" w:hAnsi="Arial" w:cs="Arial" w:eastAsia="Arial" w:hint="default"/>
          <w:spacing w:val="-6"/>
        </w:rPr>
        <w:t> </w:t>
      </w:r>
      <w:r>
        <w:rPr/>
        <w:t>年</w:t>
      </w:r>
      <w:r>
        <w:rPr>
          <w:spacing w:val="-56"/>
        </w:rPr>
        <w:t> </w:t>
      </w:r>
      <w:r>
        <w:rPr>
          <w:rFonts w:ascii="Arial" w:hAnsi="Arial" w:cs="Arial" w:eastAsia="Arial" w:hint="default"/>
        </w:rPr>
        <w:t>5</w:t>
      </w:r>
      <w:r>
        <w:rPr>
          <w:rFonts w:ascii="Arial" w:hAnsi="Arial" w:cs="Arial" w:eastAsia="Arial" w:hint="default"/>
          <w:spacing w:val="-7"/>
        </w:rPr>
        <w:t> </w:t>
      </w:r>
      <w:r>
        <w:rPr/>
        <w:t>月至今任北京邮电大学副校</w:t>
      </w:r>
      <w:r>
        <w:rPr>
          <w:w w:val="99"/>
        </w:rPr>
        <w:t> </w:t>
      </w:r>
      <w:r>
        <w:rPr/>
        <w:t>长兼研究生院院长。目前兼任北京通信信息协会理事长，并担任北京梅泰诺通信技术股份公</w:t>
      </w:r>
      <w:r>
        <w:rPr>
          <w:w w:val="99"/>
        </w:rPr>
        <w:t> </w:t>
      </w:r>
      <w:r>
        <w:rPr/>
        <w:t>司独立董事。张英海先生自</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11</w:t>
      </w:r>
      <w:r>
        <w:rPr>
          <w:rFonts w:ascii="Arial" w:hAnsi="Arial" w:cs="Arial" w:eastAsia="Arial" w:hint="default"/>
          <w:spacing w:val="-7"/>
        </w:rPr>
        <w:t> </w:t>
      </w:r>
      <w:r>
        <w:rPr/>
        <w:t>月</w:t>
      </w:r>
      <w:r>
        <w:rPr>
          <w:spacing w:val="-56"/>
        </w:rPr>
        <w:t> </w:t>
      </w:r>
      <w:r>
        <w:rPr>
          <w:rFonts w:ascii="Arial" w:hAnsi="Arial" w:cs="Arial" w:eastAsia="Arial" w:hint="default"/>
        </w:rPr>
        <w:t>3</w:t>
      </w:r>
      <w:r>
        <w:rPr>
          <w:rFonts w:ascii="Arial" w:hAnsi="Arial" w:cs="Arial" w:eastAsia="Arial" w:hint="default"/>
          <w:spacing w:val="-7"/>
        </w:rPr>
        <w:t> </w:t>
      </w:r>
      <w:r>
        <w:rPr/>
        <w:t>日起担任本公司独立董事。</w:t>
      </w:r>
    </w:p>
    <w:p>
      <w:pPr>
        <w:spacing w:line="240" w:lineRule="auto" w:before="9"/>
        <w:rPr>
          <w:rFonts w:ascii="宋体" w:hAnsi="宋体" w:cs="宋体" w:eastAsia="宋体" w:hint="default"/>
          <w:sz w:val="17"/>
          <w:szCs w:val="17"/>
        </w:rPr>
      </w:pPr>
    </w:p>
    <w:p>
      <w:pPr>
        <w:pStyle w:val="BodyText"/>
        <w:spacing w:line="232" w:lineRule="auto"/>
        <w:ind w:left="680" w:right="218" w:hanging="532"/>
        <w:jc w:val="both"/>
        <w:rPr>
          <w:rFonts w:ascii="Arial" w:hAnsi="Arial" w:cs="Arial" w:eastAsia="Arial" w:hint="default"/>
        </w:rPr>
      </w:pPr>
      <w:r>
        <w:rPr>
          <w:rFonts w:ascii="宋体" w:hAnsi="宋体" w:cs="宋体" w:eastAsia="宋体" w:hint="default"/>
          <w:b/>
          <w:bCs/>
        </w:rPr>
        <w:t>（</w:t>
      </w:r>
      <w:r>
        <w:rPr>
          <w:rFonts w:ascii="Arial" w:hAnsi="Arial" w:cs="Arial" w:eastAsia="Arial" w:hint="default"/>
          <w:b/>
          <w:bCs/>
        </w:rPr>
        <w:t>8</w:t>
      </w:r>
      <w:r>
        <w:rPr>
          <w:rFonts w:ascii="宋体" w:hAnsi="宋体" w:cs="宋体" w:eastAsia="宋体" w:hint="default"/>
          <w:b/>
          <w:bCs/>
        </w:rPr>
        <w:t>）夏大慰</w:t>
      </w:r>
      <w:r>
        <w:rPr/>
        <w:t>先生 </w:t>
      </w:r>
      <w:r>
        <w:rPr>
          <w:rFonts w:ascii="Arial" w:hAnsi="Arial" w:cs="Arial" w:eastAsia="Arial" w:hint="default"/>
        </w:rPr>
        <w:t>1982 </w:t>
      </w:r>
      <w:r>
        <w:rPr/>
        <w:t>年毕业于长春工业大学获工学学士学位，</w:t>
      </w:r>
      <w:r>
        <w:rPr>
          <w:rFonts w:ascii="Arial" w:hAnsi="Arial" w:cs="Arial" w:eastAsia="Arial" w:hint="default"/>
        </w:rPr>
        <w:t>1985</w:t>
      </w:r>
      <w:r>
        <w:rPr>
          <w:rFonts w:ascii="Arial" w:hAnsi="Arial" w:cs="Arial" w:eastAsia="Arial" w:hint="default"/>
          <w:spacing w:val="32"/>
        </w:rPr>
        <w:t> </w:t>
      </w:r>
      <w:r>
        <w:rPr/>
        <w:t>年毕业于上海财经大学获</w:t>
      </w:r>
      <w:r>
        <w:rPr>
          <w:w w:val="99"/>
        </w:rPr>
        <w:t> </w:t>
      </w:r>
      <w:r>
        <w:rPr/>
        <w:t>经济学硕士学位。</w:t>
      </w:r>
      <w:r>
        <w:rPr>
          <w:rFonts w:ascii="Arial" w:hAnsi="Arial" w:cs="Arial" w:eastAsia="Arial" w:hint="default"/>
        </w:rPr>
        <w:t>1985</w:t>
      </w:r>
      <w:r>
        <w:rPr>
          <w:rFonts w:ascii="Arial" w:hAnsi="Arial" w:cs="Arial" w:eastAsia="Arial" w:hint="default"/>
          <w:spacing w:val="2"/>
        </w:rPr>
        <w:t> </w:t>
      </w:r>
      <w:r>
        <w:rPr/>
        <w:t>年起在上海财经大学任教。</w:t>
      </w:r>
      <w:r>
        <w:rPr>
          <w:rFonts w:ascii="Arial" w:hAnsi="Arial" w:cs="Arial" w:eastAsia="Arial" w:hint="default"/>
        </w:rPr>
        <w:t>1988 </w:t>
      </w:r>
      <w:r>
        <w:rPr/>
        <w:t>年至</w:t>
      </w:r>
      <w:r>
        <w:rPr>
          <w:spacing w:val="-49"/>
        </w:rPr>
        <w:t> </w:t>
      </w:r>
      <w:r>
        <w:rPr>
          <w:rFonts w:ascii="Arial" w:hAnsi="Arial" w:cs="Arial" w:eastAsia="Arial" w:hint="default"/>
        </w:rPr>
        <w:t>1990 </w:t>
      </w:r>
      <w:r>
        <w:rPr/>
        <w:t>年在日本大阪市立大学</w:t>
      </w:r>
      <w:r>
        <w:rPr>
          <w:w w:val="99"/>
        </w:rPr>
        <w:t> </w:t>
      </w:r>
      <w:r>
        <w:rPr>
          <w:spacing w:val="-4"/>
        </w:rPr>
        <w:t>担任客座研究员。</w:t>
      </w:r>
      <w:r>
        <w:rPr>
          <w:rFonts w:ascii="Arial" w:hAnsi="Arial" w:cs="Arial" w:eastAsia="Arial" w:hint="default"/>
          <w:spacing w:val="-4"/>
        </w:rPr>
        <w:t>1994</w:t>
      </w:r>
      <w:r>
        <w:rPr>
          <w:rFonts w:ascii="Arial" w:hAnsi="Arial" w:cs="Arial" w:eastAsia="Arial" w:hint="default"/>
          <w:spacing w:val="-6"/>
        </w:rPr>
        <w:t> </w:t>
      </w:r>
      <w:r>
        <w:rPr>
          <w:spacing w:val="-5"/>
        </w:rPr>
        <w:t>年晋升为教授。自</w:t>
      </w:r>
      <w:r>
        <w:rPr>
          <w:spacing w:val="-56"/>
        </w:rPr>
        <w:t> </w:t>
      </w:r>
      <w:r>
        <w:rPr>
          <w:rFonts w:ascii="Arial" w:hAnsi="Arial" w:cs="Arial" w:eastAsia="Arial" w:hint="default"/>
        </w:rPr>
        <w:t>1993</w:t>
      </w:r>
      <w:r>
        <w:rPr>
          <w:rFonts w:ascii="Arial" w:hAnsi="Arial" w:cs="Arial" w:eastAsia="Arial" w:hint="default"/>
          <w:spacing w:val="-6"/>
        </w:rPr>
        <w:t> </w:t>
      </w:r>
      <w:r>
        <w:rPr/>
        <w:t>年起曾先后担任上海财经大学国际经济管理</w:t>
      </w:r>
      <w:r>
        <w:rPr>
          <w:w w:val="99"/>
        </w:rPr>
        <w:t> </w:t>
      </w:r>
      <w:r>
        <w:rPr/>
        <w:t>学院院长、校长助理、副校长、常务副校长等职务。</w:t>
      </w:r>
      <w:r>
        <w:rPr>
          <w:rFonts w:ascii="Arial" w:hAnsi="Arial" w:cs="Arial" w:eastAsia="Arial" w:hint="default"/>
        </w:rPr>
        <w:t>2000</w:t>
      </w:r>
      <w:r>
        <w:rPr>
          <w:rFonts w:ascii="Arial" w:hAnsi="Arial" w:cs="Arial" w:eastAsia="Arial" w:hint="default"/>
          <w:spacing w:val="57"/>
        </w:rPr>
        <w:t> </w:t>
      </w:r>
      <w:r>
        <w:rPr/>
        <w:t>年奉调组建上海国家会计学院并</w:t>
      </w:r>
      <w:r>
        <w:rPr>
          <w:w w:val="99"/>
        </w:rPr>
        <w:t> </w:t>
      </w:r>
      <w:r>
        <w:rPr>
          <w:spacing w:val="-1"/>
        </w:rPr>
        <w:t>担任院长至今。享受国务院政府津贴。现任上海国家会计学院院长，党委书记，教授、博士</w:t>
      </w:r>
      <w:r>
        <w:rPr>
          <w:w w:val="99"/>
        </w:rPr>
        <w:t> </w:t>
      </w:r>
      <w:r>
        <w:rPr>
          <w:spacing w:val="-1"/>
        </w:rPr>
        <w:t>生导师。目前兼任中国工业经济学会副会长，财政部会计准则委员会咨询专家，财政部企业</w:t>
      </w:r>
      <w:r>
        <w:rPr>
          <w:w w:val="99"/>
        </w:rPr>
        <w:t> </w:t>
      </w:r>
      <w:r>
        <w:rPr>
          <w:spacing w:val="-1"/>
        </w:rPr>
        <w:t>内部控制标准委员会委员，香港中文大学名誉教授，复旦大学管理学院兼职教授，上海证券</w:t>
      </w:r>
      <w:r>
        <w:rPr>
          <w:w w:val="99"/>
        </w:rPr>
        <w:t> </w:t>
      </w:r>
      <w:r>
        <w:rPr>
          <w:spacing w:val="-1"/>
        </w:rPr>
        <w:t>交易所上市公司专家委员会委员。目前还担任联华超市股份有限公司独立董事，上海锦江国</w:t>
      </w:r>
      <w:r>
        <w:rPr>
          <w:w w:val="99"/>
        </w:rPr>
        <w:t> </w:t>
      </w:r>
      <w:r>
        <w:rPr>
          <w:spacing w:val="-9"/>
          <w:w w:val="99"/>
        </w:rPr>
        <w:t>际酒店（集团）股份有限公司独立董事，上海电力股份有限公司独立董事。夏大慰先生自</w:t>
      </w:r>
      <w:r>
        <w:rPr>
          <w:spacing w:val="-54"/>
          <w:w w:val="99"/>
        </w:rPr>
        <w:t> </w:t>
      </w:r>
      <w:r>
        <w:rPr>
          <w:rFonts w:ascii="Arial" w:hAnsi="Arial" w:cs="Arial" w:eastAsia="Arial" w:hint="default"/>
          <w:w w:val="99"/>
        </w:rPr>
        <w:t>2009</w:t>
      </w:r>
      <w:r>
        <w:rPr>
          <w:rFonts w:ascii="Arial" w:hAnsi="Arial" w:cs="Arial" w:eastAsia="Arial" w:hint="default"/>
        </w:rPr>
      </w:r>
    </w:p>
    <w:p>
      <w:pPr>
        <w:pStyle w:val="BodyText"/>
        <w:spacing w:line="287" w:lineRule="exact"/>
        <w:ind w:left="681" w:right="99"/>
        <w:jc w:val="left"/>
      </w:pPr>
      <w:r>
        <w:rPr/>
        <w:t>年</w:t>
      </w:r>
      <w:r>
        <w:rPr>
          <w:spacing w:val="-56"/>
        </w:rPr>
        <w:t> </w:t>
      </w:r>
      <w:r>
        <w:rPr>
          <w:rFonts w:ascii="Arial" w:hAnsi="Arial" w:cs="Arial" w:eastAsia="Arial" w:hint="default"/>
        </w:rPr>
        <w:t>11</w:t>
      </w:r>
      <w:r>
        <w:rPr>
          <w:rFonts w:ascii="Arial" w:hAnsi="Arial" w:cs="Arial" w:eastAsia="Arial" w:hint="default"/>
          <w:spacing w:val="-7"/>
        </w:rPr>
        <w:t> </w:t>
      </w:r>
      <w:r>
        <w:rPr/>
        <w:t>月</w:t>
      </w:r>
      <w:r>
        <w:rPr>
          <w:spacing w:val="-56"/>
        </w:rPr>
        <w:t> </w:t>
      </w:r>
      <w:r>
        <w:rPr>
          <w:rFonts w:ascii="Arial" w:hAnsi="Arial" w:cs="Arial" w:eastAsia="Arial" w:hint="default"/>
        </w:rPr>
        <w:t>3</w:t>
      </w:r>
      <w:r>
        <w:rPr>
          <w:rFonts w:ascii="Arial" w:hAnsi="Arial" w:cs="Arial" w:eastAsia="Arial" w:hint="default"/>
          <w:spacing w:val="-7"/>
        </w:rPr>
        <w:t> </w:t>
      </w:r>
      <w:r>
        <w:rPr/>
        <w:t>日起担任本公司独立董事。</w:t>
      </w:r>
    </w:p>
    <w:p>
      <w:pPr>
        <w:spacing w:after="0" w:line="287" w:lineRule="exact"/>
        <w:jc w:val="left"/>
        <w:sectPr>
          <w:pgSz w:w="11910" w:h="16840"/>
          <w:pgMar w:header="587" w:footer="774" w:top="960" w:bottom="960" w:left="1180" w:right="1060"/>
        </w:sectPr>
      </w:pPr>
    </w:p>
    <w:p>
      <w:pPr>
        <w:spacing w:line="240" w:lineRule="auto" w:before="6"/>
        <w:rPr>
          <w:rFonts w:ascii="宋体" w:hAnsi="宋体" w:cs="宋体" w:eastAsia="宋体" w:hint="default"/>
          <w:sz w:val="12"/>
          <w:szCs w:val="12"/>
        </w:rPr>
      </w:pPr>
    </w:p>
    <w:p>
      <w:pPr>
        <w:pStyle w:val="BodyText"/>
        <w:spacing w:line="225" w:lineRule="auto" w:before="47"/>
        <w:ind w:left="681" w:right="124" w:hanging="532"/>
        <w:jc w:val="both"/>
      </w:pPr>
      <w:r>
        <w:rPr>
          <w:rFonts w:ascii="宋体" w:hAnsi="宋体" w:cs="宋体" w:eastAsia="宋体" w:hint="default"/>
          <w:b/>
          <w:bCs/>
        </w:rPr>
        <w:t>（</w:t>
      </w:r>
      <w:r>
        <w:rPr>
          <w:rFonts w:ascii="Arial" w:hAnsi="Arial" w:cs="Arial" w:eastAsia="Arial" w:hint="default"/>
          <w:b/>
          <w:bCs/>
        </w:rPr>
        <w:t>9</w:t>
      </w:r>
      <w:r>
        <w:rPr>
          <w:rFonts w:ascii="宋体" w:hAnsi="宋体" w:cs="宋体" w:eastAsia="宋体" w:hint="default"/>
          <w:b/>
          <w:bCs/>
        </w:rPr>
        <w:t>）李建国</w:t>
      </w:r>
      <w:r>
        <w:rPr/>
        <w:t>女士是一位高级经济师，于</w:t>
      </w:r>
      <w:r>
        <w:rPr>
          <w:spacing w:val="-61"/>
        </w:rPr>
        <w:t> </w:t>
      </w:r>
      <w:r>
        <w:rPr>
          <w:rFonts w:ascii="Arial" w:hAnsi="Arial" w:cs="Arial" w:eastAsia="Arial" w:hint="default"/>
        </w:rPr>
        <w:t>1982</w:t>
      </w:r>
      <w:r>
        <w:rPr>
          <w:rFonts w:ascii="Arial" w:hAnsi="Arial" w:cs="Arial" w:eastAsia="Arial" w:hint="default"/>
          <w:spacing w:val="-12"/>
        </w:rPr>
        <w:t> </w:t>
      </w:r>
      <w:r>
        <w:rPr/>
        <w:t>年毕业于湘潭大学化工专修科。</w:t>
      </w:r>
      <w:r>
        <w:rPr>
          <w:rFonts w:ascii="Arial" w:hAnsi="Arial" w:cs="Arial" w:eastAsia="Arial" w:hint="default"/>
        </w:rPr>
        <w:t>2006</w:t>
      </w:r>
      <w:r>
        <w:rPr>
          <w:rFonts w:ascii="Arial" w:hAnsi="Arial" w:cs="Arial" w:eastAsia="Arial" w:hint="default"/>
          <w:spacing w:val="-12"/>
        </w:rPr>
        <w:t> </w:t>
      </w:r>
      <w:r>
        <w:rPr/>
        <w:t>年</w:t>
      </w:r>
      <w:r>
        <w:rPr>
          <w:spacing w:val="-61"/>
        </w:rPr>
        <w:t> </w:t>
      </w:r>
      <w:r>
        <w:rPr>
          <w:rFonts w:ascii="Arial" w:hAnsi="Arial" w:cs="Arial" w:eastAsia="Arial" w:hint="default"/>
        </w:rPr>
        <w:t>12</w:t>
      </w:r>
      <w:r>
        <w:rPr>
          <w:rFonts w:ascii="Arial" w:hAnsi="Arial" w:cs="Arial" w:eastAsia="Arial" w:hint="default"/>
          <w:spacing w:val="-12"/>
        </w:rPr>
        <w:t> </w:t>
      </w:r>
      <w:r>
        <w:rPr/>
        <w:t>月获得</w:t>
      </w:r>
      <w:r>
        <w:rPr>
          <w:w w:val="99"/>
        </w:rPr>
        <w:t> </w:t>
      </w:r>
      <w:r>
        <w:rPr>
          <w:spacing w:val="-4"/>
        </w:rPr>
        <w:t>香港理工大学工商管理专业硕士。</w:t>
      </w:r>
      <w:r>
        <w:rPr>
          <w:rFonts w:ascii="Arial" w:hAnsi="Arial" w:cs="Arial" w:eastAsia="Arial" w:hint="default"/>
          <w:spacing w:val="-4"/>
        </w:rPr>
        <w:t>1982</w:t>
      </w:r>
      <w:r>
        <w:rPr>
          <w:rFonts w:ascii="Arial" w:hAnsi="Arial" w:cs="Arial" w:eastAsia="Arial" w:hint="default"/>
          <w:spacing w:val="-9"/>
        </w:rPr>
        <w:t> </w:t>
      </w:r>
      <w:r>
        <w:rPr/>
        <w:t>年至</w:t>
      </w:r>
      <w:r>
        <w:rPr>
          <w:spacing w:val="-58"/>
        </w:rPr>
        <w:t> </w:t>
      </w:r>
      <w:r>
        <w:rPr>
          <w:rFonts w:ascii="Arial" w:hAnsi="Arial" w:cs="Arial" w:eastAsia="Arial" w:hint="default"/>
        </w:rPr>
        <w:t>1983</w:t>
      </w:r>
      <w:r>
        <w:rPr>
          <w:rFonts w:ascii="Arial" w:hAnsi="Arial" w:cs="Arial" w:eastAsia="Arial" w:hint="default"/>
          <w:spacing w:val="-9"/>
        </w:rPr>
        <w:t> </w:t>
      </w:r>
      <w:r>
        <w:rPr/>
        <w:t>年曾经先后担任湖南岳化总厂涤纶厂党委</w:t>
      </w:r>
      <w:r>
        <w:rPr>
          <w:w w:val="99"/>
        </w:rPr>
        <w:t> </w:t>
      </w:r>
      <w:r>
        <w:rPr>
          <w:spacing w:val="-4"/>
        </w:rPr>
        <w:t>副书记、书记。</w:t>
      </w:r>
      <w:r>
        <w:rPr>
          <w:rFonts w:ascii="Arial" w:hAnsi="Arial" w:cs="Arial" w:eastAsia="Arial" w:hint="default"/>
          <w:spacing w:val="-4"/>
        </w:rPr>
        <w:t>1983</w:t>
      </w:r>
      <w:r>
        <w:rPr>
          <w:rFonts w:ascii="Arial" w:hAnsi="Arial" w:cs="Arial" w:eastAsia="Arial" w:hint="default"/>
          <w:spacing w:val="-15"/>
        </w:rPr>
        <w:t> </w:t>
      </w:r>
      <w:r>
        <w:rPr/>
        <w:t>年至</w:t>
      </w:r>
      <w:r>
        <w:rPr>
          <w:spacing w:val="-64"/>
        </w:rPr>
        <w:t> </w:t>
      </w:r>
      <w:r>
        <w:rPr>
          <w:rFonts w:ascii="Arial" w:hAnsi="Arial" w:cs="Arial" w:eastAsia="Arial" w:hint="default"/>
        </w:rPr>
        <w:t>1993</w:t>
      </w:r>
      <w:r>
        <w:rPr>
          <w:rFonts w:ascii="Arial" w:hAnsi="Arial" w:cs="Arial" w:eastAsia="Arial" w:hint="default"/>
          <w:spacing w:val="-15"/>
        </w:rPr>
        <w:t> </w:t>
      </w:r>
      <w:r>
        <w:rPr/>
        <w:t>年曾经担任湖南第八、九届团省委书记、共青团第十一届中</w:t>
      </w:r>
      <w:r>
        <w:rPr>
          <w:w w:val="99"/>
        </w:rPr>
        <w:t> </w:t>
      </w:r>
      <w:r>
        <w:rPr>
          <w:spacing w:val="-3"/>
        </w:rPr>
        <w:t>央委员会委员、共青团第十二届中央委员会常委。</w:t>
      </w:r>
      <w:r>
        <w:rPr>
          <w:rFonts w:ascii="Arial" w:hAnsi="Arial" w:cs="Arial" w:eastAsia="Arial" w:hint="default"/>
          <w:spacing w:val="-3"/>
        </w:rPr>
        <w:t>1993</w:t>
      </w:r>
      <w:r>
        <w:rPr>
          <w:rFonts w:ascii="Arial" w:hAnsi="Arial" w:cs="Arial" w:eastAsia="Arial" w:hint="default"/>
          <w:spacing w:val="-8"/>
        </w:rPr>
        <w:t> </w:t>
      </w:r>
      <w:r>
        <w:rPr/>
        <w:t>年至</w:t>
      </w:r>
      <w:r>
        <w:rPr>
          <w:spacing w:val="-57"/>
        </w:rPr>
        <w:t> </w:t>
      </w:r>
      <w:r>
        <w:rPr>
          <w:rFonts w:ascii="Arial" w:hAnsi="Arial" w:cs="Arial" w:eastAsia="Arial" w:hint="default"/>
        </w:rPr>
        <w:t>1997</w:t>
      </w:r>
      <w:r>
        <w:rPr>
          <w:rFonts w:ascii="Arial" w:hAnsi="Arial" w:cs="Arial" w:eastAsia="Arial" w:hint="default"/>
          <w:spacing w:val="-8"/>
        </w:rPr>
        <w:t> </w:t>
      </w:r>
      <w:r>
        <w:rPr/>
        <w:t>年初担任化工管理干部学</w:t>
      </w:r>
      <w:r>
        <w:rPr>
          <w:w w:val="99"/>
        </w:rPr>
        <w:t> </w:t>
      </w:r>
      <w:r>
        <w:rPr/>
        <w:t>院党委书记。</w:t>
      </w:r>
      <w:r>
        <w:rPr>
          <w:rFonts w:ascii="Arial" w:hAnsi="Arial" w:cs="Arial" w:eastAsia="Arial" w:hint="default"/>
        </w:rPr>
        <w:t>1997</w:t>
      </w:r>
      <w:r>
        <w:rPr>
          <w:rFonts w:ascii="Arial" w:hAnsi="Arial" w:cs="Arial" w:eastAsia="Arial" w:hint="default"/>
          <w:spacing w:val="-7"/>
        </w:rPr>
        <w:t> </w:t>
      </w:r>
      <w:r>
        <w:rPr/>
        <w:t>年初至</w:t>
      </w:r>
      <w:r>
        <w:rPr>
          <w:spacing w:val="-56"/>
        </w:rPr>
        <w:t> </w:t>
      </w:r>
      <w:r>
        <w:rPr>
          <w:rFonts w:ascii="Arial" w:hAnsi="Arial" w:cs="Arial" w:eastAsia="Arial" w:hint="default"/>
        </w:rPr>
        <w:t>2000</w:t>
      </w:r>
      <w:r>
        <w:rPr>
          <w:rFonts w:ascii="Arial" w:hAnsi="Arial" w:cs="Arial" w:eastAsia="Arial" w:hint="default"/>
          <w:spacing w:val="-7"/>
        </w:rPr>
        <w:t> </w:t>
      </w:r>
      <w:r>
        <w:rPr/>
        <w:t>年</w:t>
      </w:r>
      <w:r>
        <w:rPr>
          <w:spacing w:val="-56"/>
        </w:rPr>
        <w:t> </w:t>
      </w:r>
      <w:r>
        <w:rPr>
          <w:rFonts w:ascii="Arial" w:hAnsi="Arial" w:cs="Arial" w:eastAsia="Arial" w:hint="default"/>
        </w:rPr>
        <w:t>5</w:t>
      </w:r>
      <w:r>
        <w:rPr>
          <w:rFonts w:ascii="Arial" w:hAnsi="Arial" w:cs="Arial" w:eastAsia="Arial" w:hint="default"/>
          <w:spacing w:val="-7"/>
        </w:rPr>
        <w:t> </w:t>
      </w:r>
      <w:r>
        <w:rPr/>
        <w:t>月担任中央纪委、监察部驻国家石化局纪检组副组长、</w:t>
      </w:r>
    </w:p>
    <w:p>
      <w:pPr>
        <w:pStyle w:val="BodyText"/>
        <w:spacing w:line="279" w:lineRule="exact"/>
        <w:ind w:left="681" w:right="0"/>
        <w:jc w:val="both"/>
      </w:pPr>
      <w:r>
        <w:rPr>
          <w:spacing w:val="-3"/>
        </w:rPr>
        <w:t>监察局局长。</w:t>
      </w:r>
      <w:r>
        <w:rPr>
          <w:rFonts w:ascii="Arial" w:hAnsi="Arial" w:cs="Arial" w:eastAsia="Arial" w:hint="default"/>
          <w:spacing w:val="-3"/>
        </w:rPr>
        <w:t>2000</w:t>
      </w:r>
      <w:r>
        <w:rPr>
          <w:rFonts w:ascii="Arial" w:hAnsi="Arial" w:cs="Arial" w:eastAsia="Arial" w:hint="default"/>
          <w:spacing w:val="-6"/>
        </w:rPr>
        <w:t> </w:t>
      </w:r>
      <w:r>
        <w:rPr/>
        <w:t>年</w:t>
      </w:r>
      <w:r>
        <w:rPr>
          <w:spacing w:val="-55"/>
        </w:rPr>
        <w:t> </w:t>
      </w:r>
      <w:r>
        <w:rPr>
          <w:rFonts w:ascii="Arial" w:hAnsi="Arial" w:cs="Arial" w:eastAsia="Arial" w:hint="default"/>
        </w:rPr>
        <w:t>6</w:t>
      </w:r>
      <w:r>
        <w:rPr>
          <w:rFonts w:ascii="Arial" w:hAnsi="Arial" w:cs="Arial" w:eastAsia="Arial" w:hint="default"/>
          <w:spacing w:val="-6"/>
        </w:rPr>
        <w:t> </w:t>
      </w:r>
      <w:r>
        <w:rPr>
          <w:spacing w:val="-3"/>
        </w:rPr>
        <w:t>月起加入联通集团。</w:t>
      </w:r>
      <w:r>
        <w:rPr>
          <w:rFonts w:ascii="Arial" w:hAnsi="Arial" w:cs="Arial" w:eastAsia="Arial" w:hint="default"/>
          <w:spacing w:val="-3"/>
        </w:rPr>
        <w:t>2000</w:t>
      </w:r>
      <w:r>
        <w:rPr>
          <w:rFonts w:ascii="Arial" w:hAnsi="Arial" w:cs="Arial" w:eastAsia="Arial" w:hint="default"/>
          <w:spacing w:val="-6"/>
        </w:rPr>
        <w:t> </w:t>
      </w:r>
      <w:r>
        <w:rPr/>
        <w:t>年</w:t>
      </w:r>
      <w:r>
        <w:rPr>
          <w:spacing w:val="-55"/>
        </w:rPr>
        <w:t> </w:t>
      </w:r>
      <w:r>
        <w:rPr>
          <w:rFonts w:ascii="Arial" w:hAnsi="Arial" w:cs="Arial" w:eastAsia="Arial" w:hint="default"/>
        </w:rPr>
        <w:t>6</w:t>
      </w:r>
      <w:r>
        <w:rPr>
          <w:rFonts w:ascii="Arial" w:hAnsi="Arial" w:cs="Arial" w:eastAsia="Arial" w:hint="default"/>
          <w:spacing w:val="-6"/>
        </w:rPr>
        <w:t> </w:t>
      </w:r>
      <w:r>
        <w:rPr/>
        <w:t>月至</w:t>
      </w:r>
      <w:r>
        <w:rPr>
          <w:spacing w:val="-55"/>
        </w:rPr>
        <w:t> </w:t>
      </w:r>
      <w:r>
        <w:rPr>
          <w:rFonts w:ascii="Arial" w:hAnsi="Arial" w:cs="Arial" w:eastAsia="Arial" w:hint="default"/>
        </w:rPr>
        <w:t>2007</w:t>
      </w:r>
      <w:r>
        <w:rPr>
          <w:rFonts w:ascii="Arial" w:hAnsi="Arial" w:cs="Arial" w:eastAsia="Arial" w:hint="default"/>
          <w:spacing w:val="-6"/>
        </w:rPr>
        <w:t> </w:t>
      </w:r>
      <w:r>
        <w:rPr/>
        <w:t>年</w:t>
      </w:r>
      <w:r>
        <w:rPr>
          <w:spacing w:val="-55"/>
        </w:rPr>
        <w:t> </w:t>
      </w:r>
      <w:r>
        <w:rPr>
          <w:rFonts w:ascii="Arial" w:hAnsi="Arial" w:cs="Arial" w:eastAsia="Arial" w:hint="default"/>
        </w:rPr>
        <w:t>7</w:t>
      </w:r>
      <w:r>
        <w:rPr>
          <w:rFonts w:ascii="Arial" w:hAnsi="Arial" w:cs="Arial" w:eastAsia="Arial" w:hint="default"/>
          <w:spacing w:val="48"/>
        </w:rPr>
        <w:t> </w:t>
      </w:r>
      <w:r>
        <w:rPr/>
        <w:t>月任联通集团党组成</w:t>
      </w:r>
    </w:p>
    <w:p>
      <w:pPr>
        <w:pStyle w:val="BodyText"/>
        <w:spacing w:line="285" w:lineRule="exact"/>
        <w:ind w:left="681" w:right="0"/>
        <w:jc w:val="both"/>
      </w:pPr>
      <w:r>
        <w:rPr/>
        <w:t>员、纪检组长。</w:t>
      </w:r>
      <w:r>
        <w:rPr>
          <w:rFonts w:ascii="Arial" w:hAnsi="Arial" w:cs="Arial" w:eastAsia="Arial" w:hint="default"/>
        </w:rPr>
        <w:t>2001</w:t>
      </w:r>
      <w:r>
        <w:rPr>
          <w:rFonts w:ascii="Arial" w:hAnsi="Arial" w:cs="Arial" w:eastAsia="Arial" w:hint="default"/>
          <w:spacing w:val="-7"/>
        </w:rPr>
        <w:t> </w:t>
      </w:r>
      <w:r>
        <w:rPr/>
        <w:t>年起兼任联通集团工会主席。</w:t>
      </w:r>
      <w:r>
        <w:rPr>
          <w:rFonts w:ascii="Arial" w:hAnsi="Arial" w:cs="Arial" w:eastAsia="Arial" w:hint="default"/>
        </w:rPr>
        <w:t>2003</w:t>
      </w:r>
      <w:r>
        <w:rPr>
          <w:rFonts w:ascii="Arial" w:hAnsi="Arial" w:cs="Arial" w:eastAsia="Arial" w:hint="default"/>
          <w:spacing w:val="-7"/>
        </w:rPr>
        <w:t> </w:t>
      </w:r>
      <w:r>
        <w:rPr/>
        <w:t>年</w:t>
      </w:r>
      <w:r>
        <w:rPr>
          <w:spacing w:val="-56"/>
        </w:rPr>
        <w:t> </w:t>
      </w:r>
      <w:r>
        <w:rPr>
          <w:rFonts w:ascii="Arial" w:hAnsi="Arial" w:cs="Arial" w:eastAsia="Arial" w:hint="default"/>
        </w:rPr>
        <w:t>9</w:t>
      </w:r>
      <w:r>
        <w:rPr>
          <w:rFonts w:ascii="Arial" w:hAnsi="Arial" w:cs="Arial" w:eastAsia="Arial" w:hint="default"/>
          <w:spacing w:val="-7"/>
        </w:rPr>
        <w:t> </w:t>
      </w:r>
      <w:r>
        <w:rPr/>
        <w:t>月至</w:t>
      </w:r>
      <w:r>
        <w:rPr>
          <w:spacing w:val="-56"/>
        </w:rPr>
        <w:t> </w:t>
      </w:r>
      <w:r>
        <w:rPr>
          <w:rFonts w:ascii="Arial" w:hAnsi="Arial" w:cs="Arial" w:eastAsia="Arial" w:hint="default"/>
        </w:rPr>
        <w:t>2007</w:t>
      </w:r>
      <w:r>
        <w:rPr>
          <w:rFonts w:ascii="Arial" w:hAnsi="Arial" w:cs="Arial" w:eastAsia="Arial" w:hint="default"/>
          <w:spacing w:val="-7"/>
        </w:rPr>
        <w:t> </w:t>
      </w:r>
      <w:r>
        <w:rPr/>
        <w:t>年</w:t>
      </w:r>
      <w:r>
        <w:rPr>
          <w:spacing w:val="-56"/>
        </w:rPr>
        <w:t> </w:t>
      </w:r>
      <w:r>
        <w:rPr>
          <w:rFonts w:ascii="Arial" w:hAnsi="Arial" w:cs="Arial" w:eastAsia="Arial" w:hint="default"/>
        </w:rPr>
        <w:t>7</w:t>
      </w:r>
      <w:r>
        <w:rPr>
          <w:rFonts w:ascii="Arial" w:hAnsi="Arial" w:cs="Arial" w:eastAsia="Arial" w:hint="default"/>
          <w:spacing w:val="-7"/>
        </w:rPr>
        <w:t> </w:t>
      </w:r>
      <w:r>
        <w:rPr/>
        <w:t>月曾任联通集</w:t>
      </w:r>
    </w:p>
    <w:p>
      <w:pPr>
        <w:pStyle w:val="BodyText"/>
        <w:spacing w:line="285" w:lineRule="exact"/>
        <w:ind w:left="680" w:right="0"/>
        <w:jc w:val="both"/>
      </w:pPr>
      <w:r>
        <w:rPr/>
        <w:t>团董事、联通运营公司董事、联通红筹公司执行董事。</w:t>
      </w:r>
      <w:r>
        <w:rPr>
          <w:rFonts w:ascii="Arial" w:hAnsi="Arial" w:cs="Arial" w:eastAsia="Arial" w:hint="default"/>
        </w:rPr>
        <w:t>2001</w:t>
      </w:r>
      <w:r>
        <w:rPr>
          <w:rFonts w:ascii="Arial" w:hAnsi="Arial" w:cs="Arial" w:eastAsia="Arial" w:hint="default"/>
          <w:spacing w:val="-9"/>
        </w:rPr>
        <w:t> </w:t>
      </w:r>
      <w:r>
        <w:rPr/>
        <w:t>年</w:t>
      </w:r>
      <w:r>
        <w:rPr>
          <w:spacing w:val="-58"/>
        </w:rPr>
        <w:t> </w:t>
      </w:r>
      <w:r>
        <w:rPr>
          <w:rFonts w:ascii="Arial" w:hAnsi="Arial" w:cs="Arial" w:eastAsia="Arial" w:hint="default"/>
        </w:rPr>
        <w:t>12</w:t>
      </w:r>
      <w:r>
        <w:rPr>
          <w:rFonts w:ascii="Arial" w:hAnsi="Arial" w:cs="Arial" w:eastAsia="Arial" w:hint="default"/>
          <w:spacing w:val="-9"/>
        </w:rPr>
        <w:t> </w:t>
      </w:r>
      <w:r>
        <w:rPr/>
        <w:t>月至</w:t>
      </w:r>
      <w:r>
        <w:rPr>
          <w:spacing w:val="-58"/>
        </w:rPr>
        <w:t> </w:t>
      </w:r>
      <w:r>
        <w:rPr>
          <w:rFonts w:ascii="Arial" w:hAnsi="Arial" w:cs="Arial" w:eastAsia="Arial" w:hint="default"/>
        </w:rPr>
        <w:t>2007</w:t>
      </w:r>
      <w:r>
        <w:rPr>
          <w:rFonts w:ascii="Arial" w:hAnsi="Arial" w:cs="Arial" w:eastAsia="Arial" w:hint="default"/>
          <w:spacing w:val="-9"/>
        </w:rPr>
        <w:t> </w:t>
      </w:r>
      <w:r>
        <w:rPr/>
        <w:t>年</w:t>
      </w:r>
      <w:r>
        <w:rPr>
          <w:spacing w:val="-58"/>
        </w:rPr>
        <w:t> </w:t>
      </w:r>
      <w:r>
        <w:rPr>
          <w:rFonts w:ascii="Arial" w:hAnsi="Arial" w:cs="Arial" w:eastAsia="Arial" w:hint="default"/>
        </w:rPr>
        <w:t>7</w:t>
      </w:r>
      <w:r>
        <w:rPr>
          <w:rFonts w:ascii="Arial" w:hAnsi="Arial" w:cs="Arial" w:eastAsia="Arial" w:hint="default"/>
          <w:spacing w:val="-9"/>
        </w:rPr>
        <w:t> </w:t>
      </w:r>
      <w:r>
        <w:rPr/>
        <w:t>月曾任本</w:t>
      </w:r>
    </w:p>
    <w:p>
      <w:pPr>
        <w:pStyle w:val="BodyText"/>
        <w:spacing w:line="225" w:lineRule="auto" w:before="6"/>
        <w:ind w:left="680" w:right="217"/>
        <w:jc w:val="both"/>
      </w:pPr>
      <w:r>
        <w:rPr>
          <w:spacing w:val="-5"/>
        </w:rPr>
        <w:t>公司监事会主席。</w:t>
      </w:r>
      <w:r>
        <w:rPr>
          <w:rFonts w:ascii="Arial" w:hAnsi="Arial" w:cs="Arial" w:eastAsia="Arial" w:hint="default"/>
          <w:spacing w:val="-5"/>
        </w:rPr>
        <w:t>2007</w:t>
      </w:r>
      <w:r>
        <w:rPr>
          <w:rFonts w:ascii="Arial" w:hAnsi="Arial" w:cs="Arial" w:eastAsia="Arial" w:hint="default"/>
          <w:spacing w:val="-4"/>
        </w:rPr>
        <w:t> </w:t>
      </w:r>
      <w:r>
        <w:rPr/>
        <w:t>年</w:t>
      </w:r>
      <w:r>
        <w:rPr>
          <w:spacing w:val="-54"/>
        </w:rPr>
        <w:t> </w:t>
      </w:r>
      <w:r>
        <w:rPr>
          <w:rFonts w:ascii="Arial" w:hAnsi="Arial" w:cs="Arial" w:eastAsia="Arial" w:hint="default"/>
        </w:rPr>
        <w:t>7</w:t>
      </w:r>
      <w:r>
        <w:rPr>
          <w:rFonts w:ascii="Arial" w:hAnsi="Arial" w:cs="Arial" w:eastAsia="Arial" w:hint="default"/>
          <w:spacing w:val="-5"/>
        </w:rPr>
        <w:t> </w:t>
      </w:r>
      <w:r>
        <w:rPr/>
        <w:t>月至</w:t>
      </w:r>
      <w:r>
        <w:rPr>
          <w:spacing w:val="-54"/>
        </w:rPr>
        <w:t> </w:t>
      </w:r>
      <w:r>
        <w:rPr>
          <w:rFonts w:ascii="Arial" w:hAnsi="Arial" w:cs="Arial" w:eastAsia="Arial" w:hint="default"/>
        </w:rPr>
        <w:t>2008</w:t>
      </w:r>
      <w:r>
        <w:rPr>
          <w:rFonts w:ascii="Arial" w:hAnsi="Arial" w:cs="Arial" w:eastAsia="Arial" w:hint="default"/>
          <w:spacing w:val="-5"/>
        </w:rPr>
        <w:t> </w:t>
      </w:r>
      <w:r>
        <w:rPr/>
        <w:t>年</w:t>
      </w:r>
      <w:r>
        <w:rPr>
          <w:spacing w:val="-54"/>
        </w:rPr>
        <w:t> </w:t>
      </w:r>
      <w:r>
        <w:rPr>
          <w:rFonts w:ascii="Arial" w:hAnsi="Arial" w:cs="Arial" w:eastAsia="Arial" w:hint="default"/>
        </w:rPr>
        <w:t>5</w:t>
      </w:r>
      <w:r>
        <w:rPr>
          <w:rFonts w:ascii="Arial" w:hAnsi="Arial" w:cs="Arial" w:eastAsia="Arial" w:hint="default"/>
          <w:spacing w:val="-5"/>
        </w:rPr>
        <w:t> </w:t>
      </w:r>
      <w:r>
        <w:rPr>
          <w:spacing w:val="-3"/>
        </w:rPr>
        <w:t>月任中国网络通信集团公司党组成员、党组纪检</w:t>
      </w:r>
      <w:r>
        <w:rPr>
          <w:w w:val="99"/>
        </w:rPr>
        <w:t> </w:t>
      </w:r>
      <w:r>
        <w:rPr/>
        <w:t>组组长，中国网通（集团）有限公司董事，中国网通执行董事。</w:t>
      </w:r>
      <w:r>
        <w:rPr>
          <w:rFonts w:ascii="Arial" w:hAnsi="Arial" w:cs="Arial" w:eastAsia="Arial" w:hint="default"/>
        </w:rPr>
        <w:t>2008 </w:t>
      </w:r>
      <w:r>
        <w:rPr/>
        <w:t>年 </w:t>
      </w:r>
      <w:r>
        <w:rPr>
          <w:rFonts w:ascii="Arial" w:hAnsi="Arial" w:cs="Arial" w:eastAsia="Arial" w:hint="default"/>
        </w:rPr>
        <w:t>5</w:t>
      </w:r>
      <w:r>
        <w:rPr>
          <w:rFonts w:ascii="Arial" w:hAnsi="Arial" w:cs="Arial" w:eastAsia="Arial" w:hint="default"/>
          <w:spacing w:val="-5"/>
        </w:rPr>
        <w:t> </w:t>
      </w:r>
      <w:r>
        <w:rPr/>
        <w:t>月起任中国联合</w:t>
      </w:r>
      <w:r>
        <w:rPr>
          <w:w w:val="99"/>
        </w:rPr>
        <w:t> </w:t>
      </w:r>
      <w:r>
        <w:rPr/>
        <w:t>通信有限公司筹备组成员。</w:t>
      </w:r>
      <w:r>
        <w:rPr>
          <w:rFonts w:ascii="Arial" w:hAnsi="Arial" w:cs="Arial" w:eastAsia="Arial" w:hint="default"/>
        </w:rPr>
        <w:t>2008</w:t>
      </w:r>
      <w:r>
        <w:rPr>
          <w:rFonts w:ascii="Arial" w:hAnsi="Arial" w:cs="Arial" w:eastAsia="Arial" w:hint="default"/>
          <w:spacing w:val="-25"/>
        </w:rPr>
        <w:t> </w:t>
      </w:r>
      <w:r>
        <w:rPr/>
        <w:t>年</w:t>
      </w:r>
      <w:r>
        <w:rPr>
          <w:spacing w:val="-74"/>
        </w:rPr>
        <w:t> </w:t>
      </w:r>
      <w:r>
        <w:rPr>
          <w:rFonts w:ascii="Arial" w:hAnsi="Arial" w:cs="Arial" w:eastAsia="Arial" w:hint="default"/>
        </w:rPr>
        <w:t>10</w:t>
      </w:r>
      <w:r>
        <w:rPr>
          <w:rFonts w:ascii="Arial" w:hAnsi="Arial" w:cs="Arial" w:eastAsia="Arial" w:hint="default"/>
          <w:spacing w:val="-25"/>
        </w:rPr>
        <w:t> </w:t>
      </w:r>
      <w:r>
        <w:rPr/>
        <w:t>月起任中国联合网络通信有限公司董事。她目前担任</w:t>
      </w:r>
      <w:r>
        <w:rPr>
          <w:w w:val="99"/>
        </w:rPr>
        <w:t> </w:t>
      </w:r>
      <w:r>
        <w:rPr>
          <w:spacing w:val="2"/>
        </w:rPr>
        <w:t>联通集团党组成员、纪检组长、工会主席，中国联合网络通信（香港）股份有限公司（</w:t>
      </w:r>
      <w:r>
        <w:rPr>
          <w:rFonts w:ascii="Arial" w:hAnsi="Arial" w:cs="Arial" w:eastAsia="Arial" w:hint="default"/>
          <w:spacing w:val="2"/>
        </w:rPr>
        <w:t>“</w:t>
      </w:r>
      <w:r>
        <w:rPr>
          <w:spacing w:val="2"/>
        </w:rPr>
        <w:t>联</w:t>
      </w:r>
      <w:r>
        <w:rPr>
          <w:spacing w:val="-102"/>
        </w:rPr>
        <w:t> </w:t>
      </w:r>
      <w:r>
        <w:rPr>
          <w:spacing w:val="-1"/>
        </w:rPr>
        <w:t>通红筹公司</w:t>
      </w:r>
      <w:r>
        <w:rPr>
          <w:rFonts w:ascii="Arial" w:hAnsi="Arial" w:cs="Arial" w:eastAsia="Arial" w:hint="default"/>
          <w:spacing w:val="-1"/>
        </w:rPr>
        <w:t>”</w:t>
      </w:r>
      <w:r>
        <w:rPr>
          <w:spacing w:val="-1"/>
        </w:rPr>
        <w:t>）高级副总裁，中国联合网络通信有限公司（</w:t>
      </w:r>
      <w:r>
        <w:rPr>
          <w:rFonts w:ascii="Arial" w:hAnsi="Arial" w:cs="Arial" w:eastAsia="Arial" w:hint="default"/>
          <w:spacing w:val="-1"/>
        </w:rPr>
        <w:t>“</w:t>
      </w:r>
      <w:r>
        <w:rPr>
          <w:spacing w:val="-1"/>
        </w:rPr>
        <w:t>联通运营公司</w:t>
      </w:r>
      <w:r>
        <w:rPr>
          <w:rFonts w:ascii="Arial" w:hAnsi="Arial" w:cs="Arial" w:eastAsia="Arial" w:hint="default"/>
          <w:spacing w:val="-1"/>
        </w:rPr>
        <w:t>”</w:t>
      </w:r>
      <w:r>
        <w:rPr>
          <w:spacing w:val="-1"/>
        </w:rPr>
        <w:t>）董事及高级副总</w:t>
      </w:r>
      <w:r>
        <w:rPr>
          <w:w w:val="99"/>
        </w:rPr>
        <w:t> </w:t>
      </w:r>
      <w:r>
        <w:rPr/>
        <w:t>裁。自</w:t>
      </w:r>
      <w:r>
        <w:rPr>
          <w:spacing w:val="-55"/>
        </w:rPr>
        <w:t> </w:t>
      </w:r>
      <w:r>
        <w:rPr>
          <w:rFonts w:ascii="Arial" w:hAnsi="Arial" w:cs="Arial" w:eastAsia="Arial" w:hint="default"/>
        </w:rPr>
        <w:t>2009</w:t>
      </w:r>
      <w:r>
        <w:rPr>
          <w:rFonts w:ascii="Arial" w:hAnsi="Arial" w:cs="Arial" w:eastAsia="Arial" w:hint="default"/>
          <w:spacing w:val="-6"/>
        </w:rPr>
        <w:t> </w:t>
      </w:r>
      <w:r>
        <w:rPr/>
        <w:t>年</w:t>
      </w:r>
      <w:r>
        <w:rPr>
          <w:spacing w:val="-55"/>
        </w:rPr>
        <w:t> </w:t>
      </w:r>
      <w:r>
        <w:rPr>
          <w:rFonts w:ascii="Arial" w:hAnsi="Arial" w:cs="Arial" w:eastAsia="Arial" w:hint="default"/>
        </w:rPr>
        <w:t>5</w:t>
      </w:r>
      <w:r>
        <w:rPr>
          <w:rFonts w:ascii="Arial" w:hAnsi="Arial" w:cs="Arial" w:eastAsia="Arial" w:hint="default"/>
          <w:spacing w:val="-6"/>
        </w:rPr>
        <w:t> </w:t>
      </w:r>
      <w:r>
        <w:rPr/>
        <w:t>月</w:t>
      </w:r>
      <w:r>
        <w:rPr>
          <w:spacing w:val="-54"/>
        </w:rPr>
        <w:t> </w:t>
      </w:r>
      <w:r>
        <w:rPr>
          <w:rFonts w:ascii="Arial" w:hAnsi="Arial" w:cs="Arial" w:eastAsia="Arial" w:hint="default"/>
        </w:rPr>
        <w:t>26</w:t>
      </w:r>
      <w:r>
        <w:rPr>
          <w:rFonts w:ascii="Arial" w:hAnsi="Arial" w:cs="Arial" w:eastAsia="Arial" w:hint="default"/>
          <w:spacing w:val="-7"/>
        </w:rPr>
        <w:t> </w:t>
      </w:r>
      <w:r>
        <w:rPr/>
        <w:t>日起担任本公司监事、监事会主席。在</w:t>
      </w:r>
      <w:r>
        <w:rPr>
          <w:spacing w:val="-54"/>
        </w:rPr>
        <w:t> </w:t>
      </w:r>
      <w:r>
        <w:rPr>
          <w:rFonts w:ascii="Arial" w:hAnsi="Arial" w:cs="Arial" w:eastAsia="Arial" w:hint="default"/>
        </w:rPr>
        <w:t>2009</w:t>
      </w:r>
      <w:r>
        <w:rPr>
          <w:rFonts w:ascii="Arial" w:hAnsi="Arial" w:cs="Arial" w:eastAsia="Arial" w:hint="default"/>
          <w:spacing w:val="-6"/>
        </w:rPr>
        <w:t> </w:t>
      </w:r>
      <w:r>
        <w:rPr/>
        <w:t>年</w:t>
      </w:r>
      <w:r>
        <w:rPr>
          <w:spacing w:val="-55"/>
        </w:rPr>
        <w:t> </w:t>
      </w:r>
      <w:r>
        <w:rPr>
          <w:rFonts w:ascii="Arial" w:hAnsi="Arial" w:cs="Arial" w:eastAsia="Arial" w:hint="default"/>
        </w:rPr>
        <w:t>11</w:t>
      </w:r>
      <w:r>
        <w:rPr>
          <w:rFonts w:ascii="Arial" w:hAnsi="Arial" w:cs="Arial" w:eastAsia="Arial" w:hint="default"/>
          <w:spacing w:val="-6"/>
        </w:rPr>
        <w:t> </w:t>
      </w:r>
      <w:r>
        <w:rPr/>
        <w:t>月</w:t>
      </w:r>
      <w:r>
        <w:rPr>
          <w:spacing w:val="-55"/>
        </w:rPr>
        <w:t> </w:t>
      </w:r>
      <w:r>
        <w:rPr>
          <w:rFonts w:ascii="Arial" w:hAnsi="Arial" w:cs="Arial" w:eastAsia="Arial" w:hint="default"/>
        </w:rPr>
        <w:t>3</w:t>
      </w:r>
      <w:r>
        <w:rPr>
          <w:rFonts w:ascii="Arial" w:hAnsi="Arial" w:cs="Arial" w:eastAsia="Arial" w:hint="default"/>
          <w:spacing w:val="-7"/>
        </w:rPr>
        <w:t> </w:t>
      </w:r>
      <w:r>
        <w:rPr/>
        <w:t>日召开的本</w:t>
      </w:r>
    </w:p>
    <w:p>
      <w:pPr>
        <w:pStyle w:val="BodyText"/>
        <w:spacing w:line="286" w:lineRule="exact" w:before="11"/>
        <w:ind w:left="680" w:right="182"/>
        <w:jc w:val="both"/>
      </w:pPr>
      <w:r>
        <w:rPr/>
        <w:t>公司</w:t>
      </w:r>
      <w:r>
        <w:rPr>
          <w:spacing w:val="-63"/>
        </w:rPr>
        <w:t> </w:t>
      </w:r>
      <w:r>
        <w:rPr>
          <w:rFonts w:ascii="Arial" w:hAnsi="Arial" w:cs="Arial" w:eastAsia="Arial" w:hint="default"/>
        </w:rPr>
        <w:t>2009</w:t>
      </w:r>
      <w:r>
        <w:rPr>
          <w:rFonts w:ascii="Arial" w:hAnsi="Arial" w:cs="Arial" w:eastAsia="Arial" w:hint="default"/>
          <w:spacing w:val="-14"/>
        </w:rPr>
        <w:t> </w:t>
      </w:r>
      <w:r>
        <w:rPr/>
        <w:t>年第二次临时股东大会上连任为本公司第三届监事会监事。在</w:t>
      </w:r>
      <w:r>
        <w:rPr>
          <w:spacing w:val="-63"/>
        </w:rPr>
        <w:t> </w:t>
      </w:r>
      <w:r>
        <w:rPr>
          <w:rFonts w:ascii="Arial" w:hAnsi="Arial" w:cs="Arial" w:eastAsia="Arial" w:hint="default"/>
        </w:rPr>
        <w:t>2009</w:t>
      </w:r>
      <w:r>
        <w:rPr>
          <w:rFonts w:ascii="Arial" w:hAnsi="Arial" w:cs="Arial" w:eastAsia="Arial" w:hint="default"/>
          <w:spacing w:val="-14"/>
        </w:rPr>
        <w:t> </w:t>
      </w:r>
      <w:r>
        <w:rPr/>
        <w:t>年</w:t>
      </w:r>
      <w:r>
        <w:rPr>
          <w:spacing w:val="-63"/>
        </w:rPr>
        <w:t> </w:t>
      </w:r>
      <w:r>
        <w:rPr>
          <w:rFonts w:ascii="Arial" w:hAnsi="Arial" w:cs="Arial" w:eastAsia="Arial" w:hint="default"/>
        </w:rPr>
        <w:t>11</w:t>
      </w:r>
      <w:r>
        <w:rPr>
          <w:rFonts w:ascii="Arial" w:hAnsi="Arial" w:cs="Arial" w:eastAsia="Arial" w:hint="default"/>
          <w:spacing w:val="-14"/>
        </w:rPr>
        <w:t> </w:t>
      </w:r>
      <w:r>
        <w:rPr/>
        <w:t>月</w:t>
      </w:r>
      <w:r>
        <w:rPr>
          <w:spacing w:val="-63"/>
        </w:rPr>
        <w:t> </w:t>
      </w:r>
      <w:r>
        <w:rPr>
          <w:rFonts w:ascii="Arial" w:hAnsi="Arial" w:cs="Arial" w:eastAsia="Arial" w:hint="default"/>
        </w:rPr>
        <w:t>6</w:t>
      </w:r>
      <w:r>
        <w:rPr>
          <w:rFonts w:ascii="Arial" w:hAnsi="Arial" w:cs="Arial" w:eastAsia="Arial" w:hint="default"/>
          <w:spacing w:val="-14"/>
        </w:rPr>
        <w:t> </w:t>
      </w:r>
      <w:r>
        <w:rPr/>
        <w:t>日</w:t>
      </w:r>
      <w:r>
        <w:rPr>
          <w:w w:val="99"/>
        </w:rPr>
        <w:t> </w:t>
      </w:r>
      <w:r>
        <w:rPr/>
        <w:t>召开的第三届监事会第一次会议上连任为本公司监事会主席。李建国女士拥有丰富的政府、</w:t>
      </w:r>
      <w:r>
        <w:rPr>
          <w:w w:val="99"/>
        </w:rPr>
        <w:t> </w:t>
      </w:r>
      <w:r>
        <w:rPr/>
        <w:t>企业工作经历和管理经验。</w:t>
      </w:r>
    </w:p>
    <w:p>
      <w:pPr>
        <w:pStyle w:val="BodyText"/>
        <w:spacing w:line="295" w:lineRule="exact" w:before="131"/>
        <w:ind w:left="149" w:right="99"/>
        <w:jc w:val="left"/>
        <w:rPr>
          <w:rFonts w:ascii="Arial" w:hAnsi="Arial" w:cs="Arial" w:eastAsia="Arial" w:hint="default"/>
        </w:rPr>
      </w:pPr>
      <w:r>
        <w:rPr>
          <w:rFonts w:ascii="宋体" w:hAnsi="宋体" w:cs="宋体" w:eastAsia="宋体" w:hint="default"/>
          <w:b/>
          <w:bCs/>
          <w:spacing w:val="-5"/>
        </w:rPr>
        <w:t>（</w:t>
      </w:r>
      <w:r>
        <w:rPr>
          <w:rFonts w:ascii="Arial" w:hAnsi="Arial" w:cs="Arial" w:eastAsia="Arial" w:hint="default"/>
          <w:b/>
          <w:bCs/>
          <w:spacing w:val="-5"/>
        </w:rPr>
        <w:t>10</w:t>
      </w:r>
      <w:r>
        <w:rPr>
          <w:rFonts w:ascii="宋体" w:hAnsi="宋体" w:cs="宋体" w:eastAsia="宋体" w:hint="default"/>
          <w:b/>
          <w:bCs/>
          <w:spacing w:val="-5"/>
        </w:rPr>
        <w:t>）赵传立</w:t>
      </w:r>
      <w:r>
        <w:rPr>
          <w:spacing w:val="-5"/>
        </w:rPr>
        <w:t>先生</w:t>
      </w:r>
      <w:r>
        <w:rPr>
          <w:spacing w:val="-54"/>
        </w:rPr>
        <w:t> </w:t>
      </w:r>
      <w:r>
        <w:rPr>
          <w:rFonts w:ascii="Arial" w:hAnsi="Arial" w:cs="Arial" w:eastAsia="Arial" w:hint="default"/>
        </w:rPr>
        <w:t>1982</w:t>
      </w:r>
      <w:r>
        <w:rPr>
          <w:rFonts w:ascii="Arial" w:hAnsi="Arial" w:cs="Arial" w:eastAsia="Arial" w:hint="default"/>
          <w:spacing w:val="-5"/>
        </w:rPr>
        <w:t> </w:t>
      </w:r>
      <w:r>
        <w:rPr>
          <w:spacing w:val="-4"/>
        </w:rPr>
        <w:t>年毕业于中国人民大学新闻专业，获文学学士学位。</w:t>
      </w:r>
      <w:r>
        <w:rPr>
          <w:rFonts w:ascii="Arial" w:hAnsi="Arial" w:cs="Arial" w:eastAsia="Arial" w:hint="default"/>
          <w:spacing w:val="-4"/>
        </w:rPr>
        <w:t>1982</w:t>
      </w:r>
      <w:r>
        <w:rPr>
          <w:rFonts w:ascii="Arial" w:hAnsi="Arial" w:cs="Arial" w:eastAsia="Arial" w:hint="default"/>
          <w:spacing w:val="-5"/>
        </w:rPr>
        <w:t> </w:t>
      </w:r>
      <w:r>
        <w:rPr/>
        <w:t>年</w:t>
      </w:r>
      <w:r>
        <w:rPr>
          <w:spacing w:val="-54"/>
        </w:rPr>
        <w:t> </w:t>
      </w:r>
      <w:r>
        <w:rPr>
          <w:rFonts w:ascii="Arial" w:hAnsi="Arial" w:cs="Arial" w:eastAsia="Arial" w:hint="default"/>
        </w:rPr>
        <w:t>8</w:t>
      </w:r>
      <w:r>
        <w:rPr>
          <w:rFonts w:ascii="Arial" w:hAnsi="Arial" w:cs="Arial" w:eastAsia="Arial" w:hint="default"/>
          <w:spacing w:val="-5"/>
        </w:rPr>
        <w:t> </w:t>
      </w:r>
      <w:r>
        <w:rPr/>
        <w:t>月至</w:t>
      </w:r>
      <w:r>
        <w:rPr>
          <w:spacing w:val="-54"/>
        </w:rPr>
        <w:t> </w:t>
      </w:r>
      <w:r>
        <w:rPr>
          <w:rFonts w:ascii="Arial" w:hAnsi="Arial" w:cs="Arial" w:eastAsia="Arial" w:hint="default"/>
        </w:rPr>
        <w:t>1991</w:t>
      </w:r>
    </w:p>
    <w:p>
      <w:pPr>
        <w:pStyle w:val="BodyText"/>
        <w:spacing w:line="286" w:lineRule="exact"/>
        <w:ind w:left="793" w:right="0"/>
        <w:jc w:val="both"/>
        <w:rPr>
          <w:rFonts w:ascii="Arial" w:hAnsi="Arial" w:cs="Arial" w:eastAsia="Arial" w:hint="default"/>
        </w:rPr>
      </w:pPr>
      <w:r>
        <w:rPr/>
        <w:t>年 </w:t>
      </w:r>
      <w:r>
        <w:rPr>
          <w:rFonts w:ascii="Arial" w:hAnsi="Arial" w:cs="Arial" w:eastAsia="Arial" w:hint="default"/>
        </w:rPr>
        <w:t>4</w:t>
      </w:r>
      <w:r>
        <w:rPr>
          <w:rFonts w:ascii="Arial" w:hAnsi="Arial" w:cs="Arial" w:eastAsia="Arial" w:hint="default"/>
          <w:spacing w:val="-37"/>
        </w:rPr>
        <w:t> </w:t>
      </w:r>
      <w:r>
        <w:rPr>
          <w:spacing w:val="-6"/>
        </w:rPr>
        <w:t>月曾先后担任中共中央办公厅秘书局文电处副处长、处长、会议处处长、副局长。</w:t>
      </w:r>
      <w:r>
        <w:rPr>
          <w:rFonts w:ascii="Arial" w:hAnsi="Arial" w:cs="Arial" w:eastAsia="Arial" w:hint="default"/>
          <w:spacing w:val="-6"/>
        </w:rPr>
        <w:t>1991</w:t>
      </w:r>
    </w:p>
    <w:p>
      <w:pPr>
        <w:pStyle w:val="BodyText"/>
        <w:spacing w:line="285" w:lineRule="exact"/>
        <w:ind w:left="793" w:right="0"/>
        <w:jc w:val="both"/>
        <w:rPr>
          <w:rFonts w:ascii="Arial" w:hAnsi="Arial" w:cs="Arial" w:eastAsia="Arial" w:hint="default"/>
        </w:rPr>
      </w:pPr>
      <w:r>
        <w:rPr>
          <w:w w:val="99"/>
        </w:rPr>
        <w:t>年</w:t>
      </w:r>
      <w:r>
        <w:rPr>
          <w:spacing w:val="-66"/>
        </w:rPr>
        <w:t> </w:t>
      </w:r>
      <w:r>
        <w:rPr>
          <w:rFonts w:ascii="Arial" w:hAnsi="Arial" w:cs="Arial" w:eastAsia="Arial" w:hint="default"/>
          <w:w w:val="99"/>
        </w:rPr>
        <w:t>5</w:t>
      </w:r>
      <w:r>
        <w:rPr>
          <w:rFonts w:ascii="Arial" w:hAnsi="Arial" w:cs="Arial" w:eastAsia="Arial" w:hint="default"/>
          <w:spacing w:val="-17"/>
        </w:rPr>
        <w:t> </w:t>
      </w:r>
      <w:r>
        <w:rPr>
          <w:w w:val="99"/>
        </w:rPr>
        <w:t>月至</w:t>
      </w:r>
      <w:r>
        <w:rPr>
          <w:spacing w:val="-66"/>
        </w:rPr>
        <w:t> </w:t>
      </w:r>
      <w:r>
        <w:rPr>
          <w:rFonts w:ascii="Arial" w:hAnsi="Arial" w:cs="Arial" w:eastAsia="Arial" w:hint="default"/>
          <w:w w:val="99"/>
        </w:rPr>
        <w:t>1995</w:t>
      </w:r>
      <w:r>
        <w:rPr>
          <w:rFonts w:ascii="Arial" w:hAnsi="Arial" w:cs="Arial" w:eastAsia="Arial" w:hint="default"/>
          <w:spacing w:val="-17"/>
        </w:rPr>
        <w:t> </w:t>
      </w:r>
      <w:r>
        <w:rPr>
          <w:w w:val="99"/>
        </w:rPr>
        <w:t>年</w:t>
      </w:r>
      <w:r>
        <w:rPr>
          <w:spacing w:val="-66"/>
        </w:rPr>
        <w:t> </w:t>
      </w:r>
      <w:r>
        <w:rPr>
          <w:rFonts w:ascii="Arial" w:hAnsi="Arial" w:cs="Arial" w:eastAsia="Arial" w:hint="default"/>
          <w:w w:val="99"/>
        </w:rPr>
        <w:t>11</w:t>
      </w:r>
      <w:r>
        <w:rPr>
          <w:rFonts w:ascii="Arial" w:hAnsi="Arial" w:cs="Arial" w:eastAsia="Arial" w:hint="default"/>
          <w:spacing w:val="-17"/>
        </w:rPr>
        <w:t> </w:t>
      </w:r>
      <w:r>
        <w:rPr>
          <w:w w:val="99"/>
        </w:rPr>
        <w:t>月曾先后</w:t>
      </w:r>
      <w:r>
        <w:rPr>
          <w:spacing w:val="1"/>
          <w:w w:val="99"/>
        </w:rPr>
        <w:t>担任</w:t>
      </w:r>
      <w:r>
        <w:rPr>
          <w:w w:val="99"/>
        </w:rPr>
        <w:t>中华全</w:t>
      </w:r>
      <w:r>
        <w:rPr>
          <w:spacing w:val="1"/>
          <w:w w:val="99"/>
        </w:rPr>
        <w:t>国总</w:t>
      </w:r>
      <w:r>
        <w:rPr>
          <w:w w:val="99"/>
        </w:rPr>
        <w:t>工会政</w:t>
      </w:r>
      <w:r>
        <w:rPr>
          <w:spacing w:val="1"/>
          <w:w w:val="99"/>
        </w:rPr>
        <w:t>策研</w:t>
      </w:r>
      <w:r>
        <w:rPr>
          <w:w w:val="99"/>
        </w:rPr>
        <w:t>究室副</w:t>
      </w:r>
      <w:r>
        <w:rPr>
          <w:spacing w:val="1"/>
          <w:w w:val="99"/>
        </w:rPr>
        <w:t>主</w:t>
      </w:r>
      <w:r>
        <w:rPr>
          <w:w w:val="99"/>
        </w:rPr>
        <w:t>任</w:t>
      </w:r>
      <w:r>
        <w:rPr>
          <w:spacing w:val="-109"/>
          <w:w w:val="99"/>
        </w:rPr>
        <w:t>、</w:t>
      </w:r>
      <w:r>
        <w:rPr>
          <w:w w:val="99"/>
        </w:rPr>
        <w:t>办公厅</w:t>
      </w:r>
      <w:r>
        <w:rPr>
          <w:spacing w:val="1"/>
          <w:w w:val="99"/>
        </w:rPr>
        <w:t>副主</w:t>
      </w:r>
      <w:r>
        <w:rPr>
          <w:w w:val="99"/>
        </w:rPr>
        <w:t>任</w:t>
      </w:r>
      <w:r>
        <w:rPr>
          <w:spacing w:val="-111"/>
          <w:w w:val="99"/>
        </w:rPr>
        <w:t>。</w:t>
      </w:r>
      <w:r>
        <w:rPr>
          <w:rFonts w:ascii="Arial" w:hAnsi="Arial" w:cs="Arial" w:eastAsia="Arial" w:hint="default"/>
          <w:w w:val="99"/>
        </w:rPr>
        <w:t>1995</w:t>
      </w:r>
      <w:r>
        <w:rPr>
          <w:rFonts w:ascii="Arial" w:hAnsi="Arial" w:cs="Arial" w:eastAsia="Arial" w:hint="default"/>
        </w:rPr>
      </w:r>
    </w:p>
    <w:p>
      <w:pPr>
        <w:pStyle w:val="BodyText"/>
        <w:spacing w:line="286" w:lineRule="exact" w:before="18"/>
        <w:ind w:left="792" w:right="219"/>
        <w:jc w:val="both"/>
      </w:pPr>
      <w:r>
        <w:rPr/>
        <w:t>年</w:t>
      </w:r>
      <w:r>
        <w:rPr>
          <w:spacing w:val="-86"/>
        </w:rPr>
        <w:t> </w:t>
      </w:r>
      <w:r>
        <w:rPr>
          <w:rFonts w:ascii="Arial" w:hAnsi="Arial" w:cs="Arial" w:eastAsia="Arial" w:hint="default"/>
        </w:rPr>
        <w:t>12</w:t>
      </w:r>
      <w:r>
        <w:rPr>
          <w:rFonts w:ascii="Arial" w:hAnsi="Arial" w:cs="Arial" w:eastAsia="Arial" w:hint="default"/>
          <w:spacing w:val="-37"/>
        </w:rPr>
        <w:t> </w:t>
      </w:r>
      <w:r>
        <w:rPr/>
        <w:t>月加入中国联合通信有限公司，先后担任体制管理部部长、办公厅副主任、主任、综</w:t>
      </w:r>
      <w:r>
        <w:rPr>
          <w:w w:val="99"/>
        </w:rPr>
        <w:t> </w:t>
      </w:r>
      <w:r>
        <w:rPr/>
        <w:t>合部总经理、工会常务副主席。</w:t>
      </w:r>
      <w:r>
        <w:rPr>
          <w:rFonts w:ascii="Arial" w:hAnsi="Arial" w:cs="Arial" w:eastAsia="Arial" w:hint="default"/>
        </w:rPr>
        <w:t>2001 </w:t>
      </w:r>
      <w:r>
        <w:rPr/>
        <w:t>年 </w:t>
      </w:r>
      <w:r>
        <w:rPr>
          <w:rFonts w:ascii="Arial" w:hAnsi="Arial" w:cs="Arial" w:eastAsia="Arial" w:hint="default"/>
        </w:rPr>
        <w:t>12</w:t>
      </w:r>
      <w:r>
        <w:rPr>
          <w:rFonts w:ascii="Arial" w:hAnsi="Arial" w:cs="Arial" w:eastAsia="Arial" w:hint="default"/>
          <w:spacing w:val="-20"/>
        </w:rPr>
        <w:t> </w:t>
      </w:r>
      <w:r>
        <w:rPr/>
        <w:t>月起任本公司职工监事。赵传立先生具有丰富</w:t>
      </w:r>
      <w:r>
        <w:rPr>
          <w:w w:val="99"/>
        </w:rPr>
        <w:t> </w:t>
      </w:r>
      <w:r>
        <w:rPr/>
        <w:t>的机关组织协调管理经验。</w:t>
      </w:r>
    </w:p>
    <w:p>
      <w:pPr>
        <w:pStyle w:val="BodyText"/>
        <w:spacing w:line="230" w:lineRule="auto" w:before="141"/>
        <w:ind w:left="793" w:right="219" w:hanging="645"/>
        <w:jc w:val="both"/>
      </w:pPr>
      <w:r>
        <w:rPr>
          <w:rFonts w:ascii="宋体" w:hAnsi="宋体" w:cs="宋体" w:eastAsia="宋体" w:hint="default"/>
          <w:b/>
          <w:bCs/>
        </w:rPr>
        <w:t>（</w:t>
      </w:r>
      <w:r>
        <w:rPr>
          <w:rFonts w:ascii="Arial" w:hAnsi="Arial" w:cs="Arial" w:eastAsia="Arial" w:hint="default"/>
          <w:b/>
          <w:bCs/>
        </w:rPr>
        <w:t>11</w:t>
      </w:r>
      <w:r>
        <w:rPr>
          <w:rFonts w:ascii="宋体" w:hAnsi="宋体" w:cs="宋体" w:eastAsia="宋体" w:hint="default"/>
          <w:b/>
          <w:bCs/>
        </w:rPr>
        <w:t>）唐富馨</w:t>
      </w:r>
      <w:r>
        <w:rPr/>
        <w:t>女士为高级会计师，工商硕士学位。曾任原邮电部财务司会计及检查处副处长，原</w:t>
      </w:r>
      <w:r>
        <w:rPr>
          <w:spacing w:val="-101"/>
        </w:rPr>
        <w:t> </w:t>
      </w:r>
      <w:r>
        <w:rPr>
          <w:spacing w:val="-101"/>
        </w:rPr>
      </w:r>
      <w:r>
        <w:rPr/>
        <w:t>国信寻呼有限责任公司财务部经理，中国联通集团财务部副总经理、总经理，本公司财务</w:t>
      </w:r>
      <w:r>
        <w:rPr>
          <w:w w:val="99"/>
        </w:rPr>
        <w:t> </w:t>
      </w:r>
      <w:r>
        <w:rPr/>
        <w:t>部总经理。</w:t>
      </w:r>
      <w:r>
        <w:rPr>
          <w:rFonts w:ascii="Arial" w:hAnsi="Arial" w:cs="Arial" w:eastAsia="Arial" w:hint="default"/>
        </w:rPr>
        <w:t>2006</w:t>
      </w:r>
      <w:r>
        <w:rPr>
          <w:rFonts w:ascii="Arial" w:hAnsi="Arial" w:cs="Arial" w:eastAsia="Arial" w:hint="default"/>
          <w:spacing w:val="-8"/>
        </w:rPr>
        <w:t> </w:t>
      </w:r>
      <w:r>
        <w:rPr/>
        <w:t>年</w:t>
      </w:r>
      <w:r>
        <w:rPr>
          <w:spacing w:val="-57"/>
        </w:rPr>
        <w:t> </w:t>
      </w:r>
      <w:r>
        <w:rPr>
          <w:rFonts w:ascii="Arial" w:hAnsi="Arial" w:cs="Arial" w:eastAsia="Arial" w:hint="default"/>
        </w:rPr>
        <w:t>2</w:t>
      </w:r>
      <w:r>
        <w:rPr>
          <w:rFonts w:ascii="Arial" w:hAnsi="Arial" w:cs="Arial" w:eastAsia="Arial" w:hint="default"/>
          <w:spacing w:val="-8"/>
        </w:rPr>
        <w:t> </w:t>
      </w:r>
      <w:r>
        <w:rPr/>
        <w:t>月起担任中国联合通信有限公司审计部总经理，并于</w:t>
      </w:r>
      <w:r>
        <w:rPr>
          <w:spacing w:val="-56"/>
        </w:rPr>
        <w:t> </w:t>
      </w:r>
      <w:r>
        <w:rPr>
          <w:rFonts w:ascii="Arial" w:hAnsi="Arial" w:cs="Arial" w:eastAsia="Arial" w:hint="default"/>
        </w:rPr>
        <w:t>2006</w:t>
      </w:r>
      <w:r>
        <w:rPr>
          <w:rFonts w:ascii="Arial" w:hAnsi="Arial" w:cs="Arial" w:eastAsia="Arial" w:hint="default"/>
          <w:spacing w:val="-7"/>
        </w:rPr>
        <w:t> </w:t>
      </w:r>
      <w:r>
        <w:rPr/>
        <w:t>年</w:t>
      </w:r>
      <w:r>
        <w:rPr>
          <w:spacing w:val="-57"/>
        </w:rPr>
        <w:t> </w:t>
      </w:r>
      <w:r>
        <w:rPr>
          <w:rFonts w:ascii="Arial" w:hAnsi="Arial" w:cs="Arial" w:eastAsia="Arial" w:hint="default"/>
        </w:rPr>
        <w:t>6</w:t>
      </w:r>
      <w:r>
        <w:rPr>
          <w:rFonts w:ascii="Arial" w:hAnsi="Arial" w:cs="Arial" w:eastAsia="Arial" w:hint="default"/>
          <w:spacing w:val="-8"/>
        </w:rPr>
        <w:t> </w:t>
      </w:r>
      <w:r>
        <w:rPr/>
        <w:t>月担</w:t>
      </w:r>
    </w:p>
    <w:p>
      <w:pPr>
        <w:pStyle w:val="BodyText"/>
        <w:spacing w:line="228" w:lineRule="auto"/>
        <w:ind w:left="792" w:right="218"/>
        <w:jc w:val="both"/>
      </w:pPr>
      <w:r>
        <w:rPr/>
        <w:t>任中国联合通信有限公司兼职监事。中国联合通信有限公司于</w:t>
      </w:r>
      <w:r>
        <w:rPr>
          <w:spacing w:val="-57"/>
        </w:rPr>
        <w:t> </w:t>
      </w:r>
      <w:r>
        <w:rPr>
          <w:rFonts w:ascii="Arial" w:hAnsi="Arial" w:cs="Arial" w:eastAsia="Arial" w:hint="default"/>
        </w:rPr>
        <w:t>2008</w:t>
      </w:r>
      <w:r>
        <w:rPr>
          <w:rFonts w:ascii="Arial" w:hAnsi="Arial" w:cs="Arial" w:eastAsia="Arial" w:hint="default"/>
          <w:spacing w:val="-9"/>
        </w:rPr>
        <w:t> </w:t>
      </w:r>
      <w:r>
        <w:rPr/>
        <w:t>年</w:t>
      </w:r>
      <w:r>
        <w:rPr>
          <w:spacing w:val="-58"/>
        </w:rPr>
        <w:t> </w:t>
      </w:r>
      <w:r>
        <w:rPr>
          <w:rFonts w:ascii="Arial" w:hAnsi="Arial" w:cs="Arial" w:eastAsia="Arial" w:hint="default"/>
        </w:rPr>
        <w:t>12</w:t>
      </w:r>
      <w:r>
        <w:rPr>
          <w:rFonts w:ascii="Arial" w:hAnsi="Arial" w:cs="Arial" w:eastAsia="Arial" w:hint="default"/>
          <w:spacing w:val="-9"/>
        </w:rPr>
        <w:t> </w:t>
      </w:r>
      <w:r>
        <w:rPr/>
        <w:t>月更名为中国联</w:t>
      </w:r>
      <w:r>
        <w:rPr>
          <w:w w:val="99"/>
        </w:rPr>
        <w:t> </w:t>
      </w:r>
      <w:r>
        <w:rPr>
          <w:spacing w:val="2"/>
        </w:rPr>
        <w:t>合网络通信集团有限公司（</w:t>
      </w:r>
      <w:r>
        <w:rPr>
          <w:rFonts w:ascii="Times New Roman" w:hAnsi="Times New Roman" w:cs="Times New Roman" w:eastAsia="Times New Roman" w:hint="default"/>
          <w:spacing w:val="2"/>
        </w:rPr>
        <w:t>“</w:t>
      </w:r>
      <w:r>
        <w:rPr>
          <w:spacing w:val="2"/>
        </w:rPr>
        <w:t>联通集团公司</w:t>
      </w:r>
      <w:r>
        <w:rPr>
          <w:rFonts w:ascii="Times New Roman" w:hAnsi="Times New Roman" w:cs="Times New Roman" w:eastAsia="Times New Roman" w:hint="default"/>
          <w:spacing w:val="2"/>
        </w:rPr>
        <w:t>”</w:t>
      </w:r>
      <w:r>
        <w:rPr>
          <w:spacing w:val="2"/>
        </w:rPr>
        <w:t>）。她目前担任联通集团公司审计部总经理。</w:t>
      </w:r>
      <w:r>
        <w:rPr>
          <w:spacing w:val="2"/>
          <w:w w:val="99"/>
        </w:rPr>
        <w:t> </w:t>
      </w:r>
      <w:r>
        <w:rPr>
          <w:rFonts w:ascii="Arial" w:hAnsi="Arial" w:cs="Arial" w:eastAsia="Arial" w:hint="default"/>
        </w:rPr>
        <w:t>2006</w:t>
      </w:r>
      <w:r>
        <w:rPr>
          <w:rFonts w:ascii="Arial" w:hAnsi="Arial" w:cs="Arial" w:eastAsia="Arial" w:hint="default"/>
          <w:spacing w:val="-7"/>
        </w:rPr>
        <w:t> </w:t>
      </w:r>
      <w:r>
        <w:rPr/>
        <w:t>年</w:t>
      </w:r>
      <w:r>
        <w:rPr>
          <w:spacing w:val="-56"/>
        </w:rPr>
        <w:t> </w:t>
      </w:r>
      <w:r>
        <w:rPr>
          <w:rFonts w:ascii="Arial" w:hAnsi="Arial" w:cs="Arial" w:eastAsia="Arial" w:hint="default"/>
        </w:rPr>
        <w:t>5</w:t>
      </w:r>
      <w:r>
        <w:rPr>
          <w:rFonts w:ascii="Arial" w:hAnsi="Arial" w:cs="Arial" w:eastAsia="Arial" w:hint="default"/>
          <w:spacing w:val="-7"/>
        </w:rPr>
        <w:t> </w:t>
      </w:r>
      <w:r>
        <w:rPr>
          <w:spacing w:val="-6"/>
        </w:rPr>
        <w:t>月起开始担任本公司监事。在</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11</w:t>
      </w:r>
      <w:r>
        <w:rPr>
          <w:rFonts w:ascii="Arial" w:hAnsi="Arial" w:cs="Arial" w:eastAsia="Arial" w:hint="default"/>
          <w:spacing w:val="-7"/>
        </w:rPr>
        <w:t> </w:t>
      </w:r>
      <w:r>
        <w:rPr/>
        <w:t>月</w:t>
      </w:r>
      <w:r>
        <w:rPr>
          <w:spacing w:val="-56"/>
        </w:rPr>
        <w:t> </w:t>
      </w:r>
      <w:r>
        <w:rPr>
          <w:rFonts w:ascii="Arial" w:hAnsi="Arial" w:cs="Arial" w:eastAsia="Arial" w:hint="default"/>
        </w:rPr>
        <w:t>3</w:t>
      </w:r>
      <w:r>
        <w:rPr>
          <w:rFonts w:ascii="Arial" w:hAnsi="Arial" w:cs="Arial" w:eastAsia="Arial" w:hint="default"/>
          <w:spacing w:val="-7"/>
        </w:rPr>
        <w:t> </w:t>
      </w:r>
      <w:r>
        <w:rPr/>
        <w:t>日召开的本公司</w:t>
      </w:r>
      <w:r>
        <w:rPr>
          <w:spacing w:val="-56"/>
        </w:rPr>
        <w:t> </w:t>
      </w:r>
      <w:r>
        <w:rPr>
          <w:rFonts w:ascii="Arial" w:hAnsi="Arial" w:cs="Arial" w:eastAsia="Arial" w:hint="default"/>
        </w:rPr>
        <w:t>2009</w:t>
      </w:r>
      <w:r>
        <w:rPr>
          <w:rFonts w:ascii="Arial" w:hAnsi="Arial" w:cs="Arial" w:eastAsia="Arial" w:hint="default"/>
          <w:spacing w:val="-7"/>
        </w:rPr>
        <w:t> </w:t>
      </w:r>
      <w:r>
        <w:rPr/>
        <w:t>年第二次临</w:t>
      </w:r>
      <w:r>
        <w:rPr>
          <w:w w:val="99"/>
        </w:rPr>
        <w:t> </w:t>
      </w:r>
      <w:r>
        <w:rPr/>
        <w:t>时股东大会上连任为本公司第三届监事会监事。唐富馨女士具有对电信运营公司长期的财</w:t>
      </w:r>
      <w:r>
        <w:rPr>
          <w:spacing w:val="-55"/>
        </w:rPr>
        <w:t> </w:t>
      </w:r>
      <w:r>
        <w:rPr>
          <w:spacing w:val="-55"/>
        </w:rPr>
      </w:r>
      <w:r>
        <w:rPr/>
        <w:t>务管理、内部控制及资本运作的经验。</w:t>
      </w:r>
    </w:p>
    <w:p>
      <w:pPr>
        <w:spacing w:line="240" w:lineRule="auto" w:before="5"/>
        <w:rPr>
          <w:rFonts w:ascii="宋体" w:hAnsi="宋体" w:cs="宋体" w:eastAsia="宋体" w:hint="default"/>
          <w:sz w:val="19"/>
          <w:szCs w:val="19"/>
        </w:rPr>
      </w:pPr>
    </w:p>
    <w:p>
      <w:pPr>
        <w:pStyle w:val="BodyText"/>
        <w:spacing w:line="295" w:lineRule="exact"/>
        <w:ind w:left="148" w:right="99"/>
        <w:jc w:val="left"/>
        <w:rPr>
          <w:rFonts w:ascii="Arial" w:hAnsi="Arial" w:cs="Arial" w:eastAsia="Arial" w:hint="default"/>
        </w:rPr>
      </w:pPr>
      <w:r>
        <w:rPr>
          <w:rFonts w:ascii="宋体" w:hAnsi="宋体" w:cs="宋体" w:eastAsia="宋体" w:hint="default"/>
          <w:b/>
          <w:bCs/>
        </w:rPr>
        <w:t>（</w:t>
      </w:r>
      <w:r>
        <w:rPr>
          <w:rFonts w:ascii="Arial" w:hAnsi="Arial" w:cs="Arial" w:eastAsia="Arial" w:hint="default"/>
          <w:b/>
          <w:bCs/>
        </w:rPr>
        <w:t>12</w:t>
      </w:r>
      <w:r>
        <w:rPr>
          <w:rFonts w:ascii="宋体" w:hAnsi="宋体" w:cs="宋体" w:eastAsia="宋体" w:hint="default"/>
          <w:b/>
          <w:bCs/>
        </w:rPr>
        <w:t>）张健</w:t>
      </w:r>
      <w:r>
        <w:rPr/>
        <w:t>先生为高级经济师，于</w:t>
      </w:r>
      <w:r>
        <w:rPr>
          <w:spacing w:val="-49"/>
        </w:rPr>
        <w:t> </w:t>
      </w:r>
      <w:r>
        <w:rPr>
          <w:rFonts w:ascii="Arial" w:hAnsi="Arial" w:cs="Arial" w:eastAsia="Arial" w:hint="default"/>
        </w:rPr>
        <w:t>2008</w:t>
      </w:r>
      <w:r>
        <w:rPr>
          <w:rFonts w:ascii="Arial" w:hAnsi="Arial" w:cs="Arial" w:eastAsia="Arial" w:hint="default"/>
          <w:spacing w:val="-2"/>
        </w:rPr>
        <w:t> </w:t>
      </w:r>
      <w:r>
        <w:rPr/>
        <w:t>年</w:t>
      </w:r>
      <w:r>
        <w:rPr>
          <w:spacing w:val="-51"/>
        </w:rPr>
        <w:t> </w:t>
      </w:r>
      <w:r>
        <w:rPr>
          <w:rFonts w:ascii="Arial" w:hAnsi="Arial" w:cs="Arial" w:eastAsia="Arial" w:hint="default"/>
        </w:rPr>
        <w:t>4</w:t>
      </w:r>
      <w:r>
        <w:rPr>
          <w:rFonts w:ascii="Arial" w:hAnsi="Arial" w:cs="Arial" w:eastAsia="Arial" w:hint="default"/>
          <w:spacing w:val="-1"/>
        </w:rPr>
        <w:t> </w:t>
      </w:r>
      <w:r>
        <w:rPr/>
        <w:t>月获法国雷恩高等商学院工商管理博士学位。</w:t>
      </w:r>
      <w:r>
        <w:rPr>
          <w:rFonts w:ascii="Arial" w:hAnsi="Arial" w:cs="Arial" w:eastAsia="Arial" w:hint="default"/>
        </w:rPr>
        <w:t>1986</w:t>
      </w:r>
    </w:p>
    <w:p>
      <w:pPr>
        <w:pStyle w:val="BodyText"/>
        <w:spacing w:line="285" w:lineRule="exact"/>
        <w:ind w:left="793" w:right="0"/>
        <w:jc w:val="both"/>
      </w:pPr>
      <w:r>
        <w:rPr/>
        <w:t>年</w:t>
      </w:r>
      <w:r>
        <w:rPr>
          <w:spacing w:val="-56"/>
        </w:rPr>
        <w:t> </w:t>
      </w:r>
      <w:r>
        <w:rPr>
          <w:rFonts w:ascii="Arial" w:hAnsi="Arial" w:cs="Arial" w:eastAsia="Arial" w:hint="default"/>
        </w:rPr>
        <w:t>12</w:t>
      </w:r>
      <w:r>
        <w:rPr>
          <w:rFonts w:ascii="Arial" w:hAnsi="Arial" w:cs="Arial" w:eastAsia="Arial" w:hint="default"/>
          <w:spacing w:val="-7"/>
        </w:rPr>
        <w:t> </w:t>
      </w:r>
      <w:r>
        <w:rPr/>
        <w:t>月至</w:t>
      </w:r>
      <w:r>
        <w:rPr>
          <w:spacing w:val="-56"/>
        </w:rPr>
        <w:t> </w:t>
      </w:r>
      <w:r>
        <w:rPr>
          <w:rFonts w:ascii="Arial" w:hAnsi="Arial" w:cs="Arial" w:eastAsia="Arial" w:hint="default"/>
        </w:rPr>
        <w:t>1992</w:t>
      </w:r>
      <w:r>
        <w:rPr>
          <w:rFonts w:ascii="Arial" w:hAnsi="Arial" w:cs="Arial" w:eastAsia="Arial" w:hint="default"/>
          <w:spacing w:val="-7"/>
        </w:rPr>
        <w:t> </w:t>
      </w:r>
      <w:r>
        <w:rPr/>
        <w:t>年</w:t>
      </w:r>
      <w:r>
        <w:rPr>
          <w:spacing w:val="-56"/>
        </w:rPr>
        <w:t> </w:t>
      </w:r>
      <w:r>
        <w:rPr>
          <w:rFonts w:ascii="Arial" w:hAnsi="Arial" w:cs="Arial" w:eastAsia="Arial" w:hint="default"/>
        </w:rPr>
        <w:t>8</w:t>
      </w:r>
      <w:r>
        <w:rPr>
          <w:rFonts w:ascii="Arial" w:hAnsi="Arial" w:cs="Arial" w:eastAsia="Arial" w:hint="default"/>
          <w:spacing w:val="-7"/>
        </w:rPr>
        <w:t> </w:t>
      </w:r>
      <w:r>
        <w:rPr>
          <w:spacing w:val="-5"/>
        </w:rPr>
        <w:t>月任上海市市内电话局副局长。</w:t>
      </w:r>
      <w:r>
        <w:rPr>
          <w:rFonts w:ascii="Arial" w:hAnsi="Arial" w:cs="Arial" w:eastAsia="Arial" w:hint="default"/>
          <w:spacing w:val="-5"/>
        </w:rPr>
        <w:t>1992</w:t>
      </w:r>
      <w:r>
        <w:rPr>
          <w:rFonts w:ascii="Arial" w:hAnsi="Arial" w:cs="Arial" w:eastAsia="Arial" w:hint="default"/>
          <w:spacing w:val="-6"/>
        </w:rPr>
        <w:t> </w:t>
      </w:r>
      <w:r>
        <w:rPr/>
        <w:t>年</w:t>
      </w:r>
      <w:r>
        <w:rPr>
          <w:spacing w:val="-56"/>
        </w:rPr>
        <w:t> </w:t>
      </w:r>
      <w:r>
        <w:rPr>
          <w:rFonts w:ascii="Arial" w:hAnsi="Arial" w:cs="Arial" w:eastAsia="Arial" w:hint="default"/>
        </w:rPr>
        <w:t>8</w:t>
      </w:r>
      <w:r>
        <w:rPr>
          <w:rFonts w:ascii="Arial" w:hAnsi="Arial" w:cs="Arial" w:eastAsia="Arial" w:hint="default"/>
          <w:spacing w:val="-7"/>
        </w:rPr>
        <w:t> </w:t>
      </w:r>
      <w:r>
        <w:rPr/>
        <w:t>月至</w:t>
      </w:r>
      <w:r>
        <w:rPr>
          <w:spacing w:val="-56"/>
        </w:rPr>
        <w:t> </w:t>
      </w:r>
      <w:r>
        <w:rPr>
          <w:rFonts w:ascii="Arial" w:hAnsi="Arial" w:cs="Arial" w:eastAsia="Arial" w:hint="default"/>
        </w:rPr>
        <w:t>1997</w:t>
      </w:r>
      <w:r>
        <w:rPr>
          <w:rFonts w:ascii="Arial" w:hAnsi="Arial" w:cs="Arial" w:eastAsia="Arial" w:hint="default"/>
          <w:spacing w:val="-7"/>
        </w:rPr>
        <w:t> </w:t>
      </w:r>
      <w:r>
        <w:rPr/>
        <w:t>年</w:t>
      </w:r>
      <w:r>
        <w:rPr>
          <w:spacing w:val="-56"/>
        </w:rPr>
        <w:t> </w:t>
      </w:r>
      <w:r>
        <w:rPr>
          <w:rFonts w:ascii="Arial" w:hAnsi="Arial" w:cs="Arial" w:eastAsia="Arial" w:hint="default"/>
        </w:rPr>
        <w:t>2</w:t>
      </w:r>
      <w:r>
        <w:rPr>
          <w:rFonts w:ascii="Arial" w:hAnsi="Arial" w:cs="Arial" w:eastAsia="Arial" w:hint="default"/>
          <w:spacing w:val="-7"/>
        </w:rPr>
        <w:t> </w:t>
      </w:r>
      <w:r>
        <w:rPr/>
        <w:t>月先后担任</w:t>
      </w:r>
    </w:p>
    <w:p>
      <w:pPr>
        <w:pStyle w:val="BodyText"/>
        <w:spacing w:line="285" w:lineRule="exact"/>
        <w:ind w:left="793" w:right="0"/>
        <w:jc w:val="both"/>
      </w:pPr>
      <w:r>
        <w:rPr/>
        <w:t>上海国脉通信股份有限公司总经理、副董事长。</w:t>
      </w:r>
      <w:r>
        <w:rPr>
          <w:rFonts w:ascii="Arial" w:hAnsi="Arial" w:cs="Arial" w:eastAsia="Arial" w:hint="default"/>
        </w:rPr>
        <w:t>1997</w:t>
      </w:r>
      <w:r>
        <w:rPr>
          <w:rFonts w:ascii="Arial" w:hAnsi="Arial" w:cs="Arial" w:eastAsia="Arial" w:hint="default"/>
          <w:spacing w:val="-8"/>
        </w:rPr>
        <w:t> </w:t>
      </w:r>
      <w:r>
        <w:rPr/>
        <w:t>年</w:t>
      </w:r>
      <w:r>
        <w:rPr>
          <w:spacing w:val="-57"/>
        </w:rPr>
        <w:t> </w:t>
      </w:r>
      <w:r>
        <w:rPr>
          <w:rFonts w:ascii="Arial" w:hAnsi="Arial" w:cs="Arial" w:eastAsia="Arial" w:hint="default"/>
        </w:rPr>
        <w:t>2</w:t>
      </w:r>
      <w:r>
        <w:rPr>
          <w:rFonts w:ascii="Arial" w:hAnsi="Arial" w:cs="Arial" w:eastAsia="Arial" w:hint="default"/>
          <w:spacing w:val="-7"/>
        </w:rPr>
        <w:t> </w:t>
      </w:r>
      <w:r>
        <w:rPr/>
        <w:t>月至</w:t>
      </w:r>
      <w:r>
        <w:rPr>
          <w:spacing w:val="-57"/>
        </w:rPr>
        <w:t> </w:t>
      </w:r>
      <w:r>
        <w:rPr>
          <w:rFonts w:ascii="Arial" w:hAnsi="Arial" w:cs="Arial" w:eastAsia="Arial" w:hint="default"/>
        </w:rPr>
        <w:t>1999</w:t>
      </w:r>
      <w:r>
        <w:rPr>
          <w:rFonts w:ascii="Arial" w:hAnsi="Arial" w:cs="Arial" w:eastAsia="Arial" w:hint="default"/>
          <w:spacing w:val="-7"/>
        </w:rPr>
        <w:t> </w:t>
      </w:r>
      <w:r>
        <w:rPr/>
        <w:t>年</w:t>
      </w:r>
      <w:r>
        <w:rPr>
          <w:spacing w:val="-57"/>
        </w:rPr>
        <w:t> </w:t>
      </w:r>
      <w:r>
        <w:rPr>
          <w:rFonts w:ascii="Arial" w:hAnsi="Arial" w:cs="Arial" w:eastAsia="Arial" w:hint="default"/>
        </w:rPr>
        <w:t>6</w:t>
      </w:r>
      <w:r>
        <w:rPr>
          <w:rFonts w:ascii="Arial" w:hAnsi="Arial" w:cs="Arial" w:eastAsia="Arial" w:hint="default"/>
          <w:spacing w:val="-8"/>
        </w:rPr>
        <w:t> </w:t>
      </w:r>
      <w:r>
        <w:rPr/>
        <w:t>月任上海市电话</w:t>
      </w:r>
    </w:p>
    <w:p>
      <w:pPr>
        <w:pStyle w:val="BodyText"/>
        <w:spacing w:line="285" w:lineRule="exact"/>
        <w:ind w:left="793" w:right="0"/>
        <w:jc w:val="both"/>
      </w:pPr>
      <w:r>
        <w:rPr>
          <w:spacing w:val="-4"/>
        </w:rPr>
        <w:t>局局长。</w:t>
      </w:r>
      <w:r>
        <w:rPr>
          <w:rFonts w:ascii="Arial" w:hAnsi="Arial" w:cs="Arial" w:eastAsia="Arial" w:hint="default"/>
          <w:spacing w:val="-4"/>
        </w:rPr>
        <w:t>1999</w:t>
      </w:r>
      <w:r>
        <w:rPr>
          <w:rFonts w:ascii="Arial" w:hAnsi="Arial" w:cs="Arial" w:eastAsia="Arial" w:hint="default"/>
          <w:spacing w:val="-9"/>
        </w:rPr>
        <w:t> </w:t>
      </w:r>
      <w:r>
        <w:rPr/>
        <w:t>年</w:t>
      </w:r>
      <w:r>
        <w:rPr>
          <w:spacing w:val="-58"/>
        </w:rPr>
        <w:t> </w:t>
      </w:r>
      <w:r>
        <w:rPr>
          <w:rFonts w:ascii="Arial" w:hAnsi="Arial" w:cs="Arial" w:eastAsia="Arial" w:hint="default"/>
        </w:rPr>
        <w:t>6</w:t>
      </w:r>
      <w:r>
        <w:rPr>
          <w:rFonts w:ascii="Arial" w:hAnsi="Arial" w:cs="Arial" w:eastAsia="Arial" w:hint="default"/>
          <w:spacing w:val="-9"/>
        </w:rPr>
        <w:t> </w:t>
      </w:r>
      <w:r>
        <w:rPr/>
        <w:t>月至</w:t>
      </w:r>
      <w:r>
        <w:rPr>
          <w:spacing w:val="-58"/>
        </w:rPr>
        <w:t> </w:t>
      </w:r>
      <w:r>
        <w:rPr>
          <w:rFonts w:ascii="Arial" w:hAnsi="Arial" w:cs="Arial" w:eastAsia="Arial" w:hint="default"/>
        </w:rPr>
        <w:t>2000</w:t>
      </w:r>
      <w:r>
        <w:rPr>
          <w:rFonts w:ascii="Arial" w:hAnsi="Arial" w:cs="Arial" w:eastAsia="Arial" w:hint="default"/>
          <w:spacing w:val="-9"/>
        </w:rPr>
        <w:t> </w:t>
      </w:r>
      <w:r>
        <w:rPr/>
        <w:t>年</w:t>
      </w:r>
      <w:r>
        <w:rPr>
          <w:spacing w:val="-58"/>
        </w:rPr>
        <w:t> </w:t>
      </w:r>
      <w:r>
        <w:rPr>
          <w:rFonts w:ascii="Arial" w:hAnsi="Arial" w:cs="Arial" w:eastAsia="Arial" w:hint="default"/>
        </w:rPr>
        <w:t>5</w:t>
      </w:r>
      <w:r>
        <w:rPr>
          <w:rFonts w:ascii="Arial" w:hAnsi="Arial" w:cs="Arial" w:eastAsia="Arial" w:hint="default"/>
          <w:spacing w:val="-9"/>
        </w:rPr>
        <w:t> </w:t>
      </w:r>
      <w:r>
        <w:rPr/>
        <w:t>月任上海市邮电管理局副局长。</w:t>
      </w:r>
      <w:r>
        <w:rPr>
          <w:rFonts w:ascii="Arial" w:hAnsi="Arial" w:cs="Arial" w:eastAsia="Arial" w:hint="default"/>
        </w:rPr>
        <w:t>2000</w:t>
      </w:r>
      <w:r>
        <w:rPr>
          <w:rFonts w:ascii="Arial" w:hAnsi="Arial" w:cs="Arial" w:eastAsia="Arial" w:hint="default"/>
          <w:spacing w:val="-9"/>
        </w:rPr>
        <w:t> </w:t>
      </w:r>
      <w:r>
        <w:rPr/>
        <w:t>年</w:t>
      </w:r>
      <w:r>
        <w:rPr>
          <w:spacing w:val="-58"/>
        </w:rPr>
        <w:t> </w:t>
      </w:r>
      <w:r>
        <w:rPr>
          <w:rFonts w:ascii="Arial" w:hAnsi="Arial" w:cs="Arial" w:eastAsia="Arial" w:hint="default"/>
        </w:rPr>
        <w:t>5</w:t>
      </w:r>
      <w:r>
        <w:rPr>
          <w:rFonts w:ascii="Arial" w:hAnsi="Arial" w:cs="Arial" w:eastAsia="Arial" w:hint="default"/>
          <w:spacing w:val="-9"/>
        </w:rPr>
        <w:t> </w:t>
      </w:r>
      <w:r>
        <w:rPr/>
        <w:t>月至</w:t>
      </w:r>
      <w:r>
        <w:rPr>
          <w:spacing w:val="-58"/>
        </w:rPr>
        <w:t> </w:t>
      </w:r>
      <w:r>
        <w:rPr>
          <w:rFonts w:ascii="Arial" w:hAnsi="Arial" w:cs="Arial" w:eastAsia="Arial" w:hint="default"/>
        </w:rPr>
        <w:t>2003</w:t>
      </w:r>
      <w:r>
        <w:rPr>
          <w:rFonts w:ascii="Arial" w:hAnsi="Arial" w:cs="Arial" w:eastAsia="Arial" w:hint="default"/>
          <w:spacing w:val="-9"/>
        </w:rPr>
        <w:t> </w:t>
      </w:r>
      <w:r>
        <w:rPr/>
        <w:t>年</w:t>
      </w:r>
    </w:p>
    <w:p>
      <w:pPr>
        <w:pStyle w:val="BodyText"/>
        <w:spacing w:line="285" w:lineRule="exact"/>
        <w:ind w:left="793" w:right="0"/>
        <w:jc w:val="both"/>
      </w:pPr>
      <w:r>
        <w:rPr>
          <w:rFonts w:ascii="Arial" w:hAnsi="Arial" w:cs="Arial" w:eastAsia="Arial" w:hint="default"/>
        </w:rPr>
        <w:t>11</w:t>
      </w:r>
      <w:r>
        <w:rPr>
          <w:rFonts w:ascii="Arial" w:hAnsi="Arial" w:cs="Arial" w:eastAsia="Arial" w:hint="default"/>
          <w:spacing w:val="-5"/>
        </w:rPr>
        <w:t> </w:t>
      </w:r>
      <w:r>
        <w:rPr/>
        <w:t>月担任上海市通信管理局局长。</w:t>
      </w:r>
      <w:r>
        <w:rPr>
          <w:rFonts w:ascii="Arial" w:hAnsi="Arial" w:cs="Arial" w:eastAsia="Arial" w:hint="default"/>
        </w:rPr>
        <w:t>2003</w:t>
      </w:r>
      <w:r>
        <w:rPr>
          <w:rFonts w:ascii="Arial" w:hAnsi="Arial" w:cs="Arial" w:eastAsia="Arial" w:hint="default"/>
          <w:spacing w:val="-5"/>
        </w:rPr>
        <w:t> </w:t>
      </w:r>
      <w:r>
        <w:rPr/>
        <w:t>年</w:t>
      </w:r>
      <w:r>
        <w:rPr>
          <w:spacing w:val="-54"/>
        </w:rPr>
        <w:t> </w:t>
      </w:r>
      <w:r>
        <w:rPr>
          <w:rFonts w:ascii="Arial" w:hAnsi="Arial" w:cs="Arial" w:eastAsia="Arial" w:hint="default"/>
        </w:rPr>
        <w:t>11</w:t>
      </w:r>
      <w:r>
        <w:rPr>
          <w:rFonts w:ascii="Arial" w:hAnsi="Arial" w:cs="Arial" w:eastAsia="Arial" w:hint="default"/>
          <w:spacing w:val="-5"/>
        </w:rPr>
        <w:t> </w:t>
      </w:r>
      <w:r>
        <w:rPr/>
        <w:t>月至</w:t>
      </w:r>
      <w:r>
        <w:rPr>
          <w:spacing w:val="-54"/>
        </w:rPr>
        <w:t> </w:t>
      </w:r>
      <w:r>
        <w:rPr>
          <w:rFonts w:ascii="Arial" w:hAnsi="Arial" w:cs="Arial" w:eastAsia="Arial" w:hint="default"/>
        </w:rPr>
        <w:t>2007</w:t>
      </w:r>
      <w:r>
        <w:rPr>
          <w:rFonts w:ascii="Arial" w:hAnsi="Arial" w:cs="Arial" w:eastAsia="Arial" w:hint="default"/>
          <w:spacing w:val="-5"/>
        </w:rPr>
        <w:t> </w:t>
      </w:r>
      <w:r>
        <w:rPr/>
        <w:t>年</w:t>
      </w:r>
      <w:r>
        <w:rPr>
          <w:spacing w:val="-54"/>
        </w:rPr>
        <w:t> </w:t>
      </w:r>
      <w:r>
        <w:rPr>
          <w:rFonts w:ascii="Arial" w:hAnsi="Arial" w:cs="Arial" w:eastAsia="Arial" w:hint="default"/>
        </w:rPr>
        <w:t>8</w:t>
      </w:r>
      <w:r>
        <w:rPr>
          <w:rFonts w:ascii="Arial" w:hAnsi="Arial" w:cs="Arial" w:eastAsia="Arial" w:hint="default"/>
          <w:spacing w:val="-5"/>
        </w:rPr>
        <w:t> </w:t>
      </w:r>
      <w:r>
        <w:rPr/>
        <w:t>月担任中国联通上海分公司</w:t>
      </w:r>
    </w:p>
    <w:p>
      <w:pPr>
        <w:pStyle w:val="BodyText"/>
        <w:spacing w:line="285" w:lineRule="exact"/>
        <w:ind w:left="793" w:right="0"/>
        <w:jc w:val="both"/>
        <w:rPr>
          <w:rFonts w:ascii="Arial" w:hAnsi="Arial" w:cs="Arial" w:eastAsia="Arial" w:hint="default"/>
        </w:rPr>
      </w:pPr>
      <w:r>
        <w:rPr>
          <w:spacing w:val="-3"/>
        </w:rPr>
        <w:t>总经理。</w:t>
      </w:r>
      <w:r>
        <w:rPr>
          <w:rFonts w:ascii="Arial" w:hAnsi="Arial" w:cs="Arial" w:eastAsia="Arial" w:hint="default"/>
          <w:spacing w:val="-3"/>
        </w:rPr>
        <w:t>2007</w:t>
      </w:r>
      <w:r>
        <w:rPr>
          <w:rFonts w:ascii="Arial" w:hAnsi="Arial" w:cs="Arial" w:eastAsia="Arial" w:hint="default"/>
          <w:spacing w:val="-7"/>
        </w:rPr>
        <w:t> </w:t>
      </w:r>
      <w:r>
        <w:rPr/>
        <w:t>年</w:t>
      </w:r>
      <w:r>
        <w:rPr>
          <w:spacing w:val="-56"/>
        </w:rPr>
        <w:t> </w:t>
      </w:r>
      <w:r>
        <w:rPr>
          <w:rFonts w:ascii="Arial" w:hAnsi="Arial" w:cs="Arial" w:eastAsia="Arial" w:hint="default"/>
        </w:rPr>
        <w:t>8</w:t>
      </w:r>
      <w:r>
        <w:rPr>
          <w:rFonts w:ascii="Arial" w:hAnsi="Arial" w:cs="Arial" w:eastAsia="Arial" w:hint="default"/>
          <w:spacing w:val="-7"/>
        </w:rPr>
        <w:t> </w:t>
      </w:r>
      <w:r>
        <w:rPr/>
        <w:t>月至</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10</w:t>
      </w:r>
      <w:r>
        <w:rPr>
          <w:rFonts w:ascii="Arial" w:hAnsi="Arial" w:cs="Arial" w:eastAsia="Arial" w:hint="default"/>
          <w:spacing w:val="-7"/>
        </w:rPr>
        <w:t> </w:t>
      </w:r>
      <w:r>
        <w:rPr>
          <w:spacing w:val="-3"/>
        </w:rPr>
        <w:t>月担任本公司董事、副总裁、财务负责人。</w:t>
      </w:r>
      <w:r>
        <w:rPr>
          <w:rFonts w:ascii="Arial" w:hAnsi="Arial" w:cs="Arial" w:eastAsia="Arial" w:hint="default"/>
          <w:spacing w:val="-3"/>
        </w:rPr>
        <w:t>2009</w:t>
      </w:r>
      <w:r>
        <w:rPr>
          <w:rFonts w:ascii="Arial" w:hAnsi="Arial" w:cs="Arial" w:eastAsia="Arial" w:hint="default"/>
          <w:spacing w:val="-7"/>
        </w:rPr>
        <w:t> </w:t>
      </w:r>
      <w:r>
        <w:rPr/>
        <w:t>年</w:t>
      </w:r>
      <w:r>
        <w:rPr>
          <w:spacing w:val="-56"/>
        </w:rPr>
        <w:t> </w:t>
      </w:r>
      <w:r>
        <w:rPr>
          <w:rFonts w:ascii="Arial" w:hAnsi="Arial" w:cs="Arial" w:eastAsia="Arial" w:hint="default"/>
        </w:rPr>
        <w:t>11</w:t>
      </w:r>
    </w:p>
    <w:p>
      <w:pPr>
        <w:pStyle w:val="BodyText"/>
        <w:spacing w:line="278" w:lineRule="exact"/>
        <w:ind w:left="792" w:right="0"/>
        <w:jc w:val="both"/>
      </w:pPr>
      <w:r>
        <w:rPr/>
        <w:t>月起担任本公司副总裁、财务负责人。张健先生拥有丰富的电信行业管理经验。</w:t>
      </w:r>
    </w:p>
    <w:p>
      <w:pPr>
        <w:spacing w:line="240" w:lineRule="auto" w:before="2"/>
        <w:rPr>
          <w:rFonts w:ascii="宋体" w:hAnsi="宋体" w:cs="宋体" w:eastAsia="宋体" w:hint="default"/>
          <w:sz w:val="20"/>
          <w:szCs w:val="20"/>
        </w:rPr>
      </w:pPr>
    </w:p>
    <w:p>
      <w:pPr>
        <w:pStyle w:val="BodyText"/>
        <w:spacing w:line="228" w:lineRule="auto"/>
        <w:ind w:left="792" w:right="99" w:hanging="645"/>
        <w:jc w:val="left"/>
      </w:pPr>
      <w:r>
        <w:rPr>
          <w:rFonts w:ascii="宋体" w:hAnsi="宋体" w:cs="宋体" w:eastAsia="宋体" w:hint="default"/>
          <w:b/>
          <w:bCs/>
        </w:rPr>
        <w:t>（</w:t>
      </w:r>
      <w:r>
        <w:rPr>
          <w:rFonts w:ascii="Arial" w:hAnsi="Arial" w:cs="Arial" w:eastAsia="Arial" w:hint="default"/>
          <w:b/>
          <w:bCs/>
        </w:rPr>
        <w:t>13</w:t>
      </w:r>
      <w:r>
        <w:rPr>
          <w:rFonts w:ascii="宋体" w:hAnsi="宋体" w:cs="宋体" w:eastAsia="宋体" w:hint="default"/>
          <w:b/>
          <w:bCs/>
        </w:rPr>
        <w:t>）张保英</w:t>
      </w:r>
      <w:r>
        <w:rPr/>
        <w:t>先生于</w:t>
      </w:r>
      <w:r>
        <w:rPr>
          <w:spacing w:val="-60"/>
        </w:rPr>
        <w:t> </w:t>
      </w:r>
      <w:r>
        <w:rPr>
          <w:rFonts w:ascii="Arial" w:hAnsi="Arial" w:cs="Arial" w:eastAsia="Arial" w:hint="default"/>
        </w:rPr>
        <w:t>1989</w:t>
      </w:r>
      <w:r>
        <w:rPr>
          <w:rFonts w:ascii="Arial" w:hAnsi="Arial" w:cs="Arial" w:eastAsia="Arial" w:hint="default"/>
          <w:spacing w:val="-11"/>
        </w:rPr>
        <w:t> </w:t>
      </w:r>
      <w:r>
        <w:rPr/>
        <w:t>年毕业于北京邮电学院管理工程系获工学学士，</w:t>
      </w:r>
      <w:r>
        <w:rPr>
          <w:rFonts w:ascii="Arial" w:hAnsi="Arial" w:cs="Arial" w:eastAsia="Arial" w:hint="default"/>
        </w:rPr>
        <w:t>2002</w:t>
      </w:r>
      <w:r>
        <w:rPr>
          <w:rFonts w:ascii="Arial" w:hAnsi="Arial" w:cs="Arial" w:eastAsia="Arial" w:hint="default"/>
          <w:spacing w:val="-11"/>
        </w:rPr>
        <w:t> </w:t>
      </w:r>
      <w:r>
        <w:rPr/>
        <w:t>年获挪威商学院</w:t>
      </w:r>
      <w:r>
        <w:rPr>
          <w:w w:val="99"/>
        </w:rPr>
        <w:t> </w:t>
      </w:r>
      <w:r>
        <w:rPr/>
        <w:t>管理硕士学位。曾在邮电部经营财务司，中国华信邮电经济开发中心工作。</w:t>
      </w:r>
      <w:r>
        <w:rPr>
          <w:rFonts w:ascii="Arial" w:hAnsi="Arial" w:cs="Arial" w:eastAsia="Arial" w:hint="default"/>
        </w:rPr>
        <w:t>1999</w:t>
      </w:r>
      <w:r>
        <w:rPr>
          <w:rFonts w:ascii="Arial" w:hAnsi="Arial" w:cs="Arial" w:eastAsia="Arial" w:hint="default"/>
          <w:spacing w:val="-16"/>
        </w:rPr>
        <w:t> </w:t>
      </w:r>
      <w:r>
        <w:rPr/>
        <w:t>年</w:t>
      </w:r>
      <w:r>
        <w:rPr>
          <w:spacing w:val="-66"/>
        </w:rPr>
        <w:t> </w:t>
      </w:r>
      <w:r>
        <w:rPr>
          <w:rFonts w:ascii="Arial" w:hAnsi="Arial" w:cs="Arial" w:eastAsia="Arial" w:hint="default"/>
        </w:rPr>
        <w:t>5</w:t>
      </w:r>
      <w:r>
        <w:rPr>
          <w:rFonts w:ascii="Arial" w:hAnsi="Arial" w:cs="Arial" w:eastAsia="Arial" w:hint="default"/>
          <w:spacing w:val="-17"/>
        </w:rPr>
        <w:t> </w:t>
      </w:r>
      <w:r>
        <w:rPr/>
        <w:t>月加</w:t>
      </w:r>
      <w:r>
        <w:rPr>
          <w:spacing w:val="-2"/>
          <w:w w:val="99"/>
        </w:rPr>
        <w:t> </w:t>
      </w:r>
      <w:r>
        <w:rPr/>
        <w:t>入中国联合通信有限公司，先后担任财务部资金处处长，中国联通（香港）集团财务部副</w:t>
      </w:r>
      <w:r>
        <w:rPr>
          <w:w w:val="99"/>
        </w:rPr>
        <w:t> </w:t>
      </w:r>
      <w:r>
        <w:rPr>
          <w:spacing w:val="-5"/>
        </w:rPr>
        <w:t>总经理，中国联通股份有限公司（</w:t>
      </w:r>
      <w:r>
        <w:rPr>
          <w:rFonts w:ascii="Arial" w:hAnsi="Arial" w:cs="Arial" w:eastAsia="Arial" w:hint="default"/>
          <w:spacing w:val="-5"/>
        </w:rPr>
        <w:t>“</w:t>
      </w:r>
      <w:r>
        <w:rPr>
          <w:spacing w:val="-5"/>
        </w:rPr>
        <w:t>联通红筹公司</w:t>
      </w:r>
      <w:r>
        <w:rPr>
          <w:rFonts w:ascii="Arial" w:hAnsi="Arial" w:cs="Arial" w:eastAsia="Arial" w:hint="default"/>
          <w:spacing w:val="-5"/>
        </w:rPr>
        <w:t>”</w:t>
      </w:r>
      <w:r>
        <w:rPr>
          <w:spacing w:val="-5"/>
        </w:rPr>
        <w:t>）财务部副总经理，董事会办公室副主任。</w:t>
      </w:r>
      <w:r>
        <w:rPr>
          <w:w w:val="99"/>
        </w:rPr>
        <w:t> </w:t>
      </w:r>
      <w:r>
        <w:rPr>
          <w:rFonts w:ascii="Arial" w:hAnsi="Arial" w:cs="Arial" w:eastAsia="Arial" w:hint="default"/>
        </w:rPr>
        <w:t>2008 </w:t>
      </w:r>
      <w:r>
        <w:rPr/>
        <w:t>年 </w:t>
      </w:r>
      <w:r>
        <w:rPr>
          <w:rFonts w:ascii="Arial" w:hAnsi="Arial" w:cs="Arial" w:eastAsia="Arial" w:hint="default"/>
        </w:rPr>
        <w:t>12</w:t>
      </w:r>
      <w:r>
        <w:rPr>
          <w:rFonts w:ascii="Arial" w:hAnsi="Arial" w:cs="Arial" w:eastAsia="Arial" w:hint="default"/>
          <w:spacing w:val="-19"/>
        </w:rPr>
        <w:t> </w:t>
      </w:r>
      <w:r>
        <w:rPr/>
        <w:t>月起任本公司董事会秘书。张保英先生有对电信行业丰富的财务管理、资金管</w:t>
      </w:r>
      <w:r>
        <w:rPr>
          <w:w w:val="99"/>
        </w:rPr>
        <w:t> </w:t>
      </w:r>
      <w:r>
        <w:rPr/>
        <w:t>理及资本运作的经验。</w:t>
      </w:r>
    </w:p>
    <w:p>
      <w:pPr>
        <w:spacing w:after="0" w:line="228" w:lineRule="auto"/>
        <w:jc w:val="left"/>
        <w:sectPr>
          <w:pgSz w:w="11910" w:h="16840"/>
          <w:pgMar w:header="587" w:footer="774" w:top="960" w:bottom="960" w:left="1180" w:right="1060"/>
        </w:sectPr>
      </w:pPr>
    </w:p>
    <w:p>
      <w:pPr>
        <w:spacing w:line="240" w:lineRule="auto" w:before="6"/>
        <w:rPr>
          <w:rFonts w:ascii="宋体" w:hAnsi="宋体" w:cs="宋体" w:eastAsia="宋体" w:hint="default"/>
          <w:sz w:val="12"/>
          <w:szCs w:val="12"/>
        </w:rPr>
      </w:pPr>
    </w:p>
    <w:p>
      <w:pPr>
        <w:pStyle w:val="BodyText"/>
        <w:spacing w:line="240" w:lineRule="auto" w:before="31"/>
        <w:ind w:left="103" w:right="99"/>
        <w:jc w:val="left"/>
      </w:pPr>
      <w:r>
        <w:rPr/>
        <w:t>（二）在股东单位任职情况：</w:t>
      </w:r>
    </w:p>
    <w:p>
      <w:pPr>
        <w:spacing w:line="240" w:lineRule="auto" w:before="11"/>
        <w:rPr>
          <w:rFonts w:ascii="宋体" w:hAnsi="宋体" w:cs="宋体" w:eastAsia="宋体" w:hint="default"/>
          <w:sz w:val="21"/>
          <w:szCs w:val="21"/>
        </w:rPr>
      </w:pPr>
    </w:p>
    <w:tbl>
      <w:tblPr>
        <w:tblW w:w="0" w:type="auto"/>
        <w:jc w:val="left"/>
        <w:tblInd w:w="567" w:type="dxa"/>
        <w:tblLayout w:type="fixed"/>
        <w:tblCellMar>
          <w:top w:w="0" w:type="dxa"/>
          <w:left w:w="0" w:type="dxa"/>
          <w:bottom w:w="0" w:type="dxa"/>
          <w:right w:w="0" w:type="dxa"/>
        </w:tblCellMar>
        <w:tblLook w:val="01E0"/>
      </w:tblPr>
      <w:tblGrid>
        <w:gridCol w:w="930"/>
        <w:gridCol w:w="1577"/>
        <w:gridCol w:w="2334"/>
        <w:gridCol w:w="1825"/>
        <w:gridCol w:w="1106"/>
        <w:gridCol w:w="1163"/>
      </w:tblGrid>
      <w:tr>
        <w:trPr>
          <w:trHeight w:val="482" w:hRule="exact"/>
        </w:trPr>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股东单位名称</w:t>
            </w:r>
          </w:p>
        </w:tc>
        <w:tc>
          <w:tcPr>
            <w:tcW w:w="23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709"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8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366"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任期终止</w:t>
            </w:r>
          </w:p>
          <w:p>
            <w:pPr>
              <w:pStyle w:val="TableParagraph"/>
              <w:spacing w:line="235" w:lineRule="exact"/>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213" w:right="0"/>
              <w:jc w:val="left"/>
              <w:rPr>
                <w:rFonts w:ascii="宋体" w:hAnsi="宋体" w:cs="宋体" w:eastAsia="宋体" w:hint="default"/>
                <w:sz w:val="18"/>
                <w:szCs w:val="18"/>
              </w:rPr>
            </w:pPr>
            <w:r>
              <w:rPr>
                <w:rFonts w:ascii="宋体" w:hAnsi="宋体" w:cs="宋体" w:eastAsia="宋体" w:hint="default"/>
                <w:sz w:val="18"/>
                <w:szCs w:val="18"/>
              </w:rPr>
              <w:t>是否领取</w:t>
            </w:r>
          </w:p>
          <w:p>
            <w:pPr>
              <w:pStyle w:val="TableParagraph"/>
              <w:spacing w:line="235" w:lineRule="exact"/>
              <w:ind w:left="213" w:right="0"/>
              <w:jc w:val="left"/>
              <w:rPr>
                <w:rFonts w:ascii="宋体" w:hAnsi="宋体" w:cs="宋体" w:eastAsia="宋体" w:hint="default"/>
                <w:sz w:val="18"/>
                <w:szCs w:val="18"/>
              </w:rPr>
            </w:pPr>
            <w:r>
              <w:rPr>
                <w:rFonts w:ascii="宋体" w:hAnsi="宋体" w:cs="宋体" w:eastAsia="宋体" w:hint="default"/>
                <w:sz w:val="18"/>
                <w:szCs w:val="18"/>
              </w:rPr>
              <w:t>报酬津贴</w:t>
            </w:r>
          </w:p>
        </w:tc>
      </w:tr>
      <w:tr>
        <w:trPr>
          <w:trHeight w:val="299" w:hRule="exact"/>
        </w:trPr>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常小兵</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联通集团</w:t>
            </w:r>
          </w:p>
        </w:tc>
        <w:tc>
          <w:tcPr>
            <w:tcW w:w="23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82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74" w:right="0"/>
              <w:jc w:val="left"/>
              <w:rPr>
                <w:rFonts w:ascii="宋体" w:hAnsi="宋体" w:cs="宋体" w:eastAsia="宋体" w:hint="default"/>
                <w:sz w:val="18"/>
                <w:szCs w:val="18"/>
              </w:rPr>
            </w:pPr>
            <w:r>
              <w:rPr>
                <w:rFonts w:ascii="Arial" w:hAnsi="Arial" w:cs="Arial" w:eastAsia="Arial" w:hint="default"/>
                <w:sz w:val="18"/>
                <w:szCs w:val="18"/>
              </w:rPr>
              <w:t>2004</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8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陆益民</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联通集团</w:t>
            </w:r>
          </w:p>
        </w:tc>
        <w:tc>
          <w:tcPr>
            <w:tcW w:w="23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39" w:right="0"/>
              <w:jc w:val="left"/>
              <w:rPr>
                <w:rFonts w:ascii="宋体" w:hAnsi="宋体" w:cs="宋体" w:eastAsia="宋体" w:hint="default"/>
                <w:sz w:val="18"/>
                <w:szCs w:val="18"/>
              </w:rPr>
            </w:pPr>
            <w:r>
              <w:rPr>
                <w:rFonts w:ascii="宋体" w:hAnsi="宋体" w:cs="宋体" w:eastAsia="宋体" w:hint="default"/>
                <w:sz w:val="18"/>
                <w:szCs w:val="18"/>
              </w:rPr>
              <w:t>副董事长、总经理</w:t>
            </w:r>
          </w:p>
        </w:tc>
        <w:tc>
          <w:tcPr>
            <w:tcW w:w="182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408"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1</w:t>
            </w:r>
            <w:r>
              <w:rPr>
                <w:rFonts w:ascii="Arial" w:hAnsi="Arial" w:cs="Arial" w:eastAsia="Arial" w:hint="default"/>
                <w:spacing w:val="-8"/>
                <w:sz w:val="18"/>
                <w:szCs w:val="18"/>
              </w:rPr>
              <w:t> </w:t>
            </w:r>
            <w:r>
              <w:rPr>
                <w:rFonts w:ascii="宋体" w:hAnsi="宋体" w:cs="宋体" w:eastAsia="宋体" w:hint="default"/>
                <w:sz w:val="18"/>
                <w:szCs w:val="18"/>
              </w:rPr>
              <w:t>月</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8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左迅生</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联通集团</w:t>
            </w:r>
          </w:p>
        </w:tc>
        <w:tc>
          <w:tcPr>
            <w:tcW w:w="23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349" w:right="0"/>
              <w:jc w:val="left"/>
              <w:rPr>
                <w:rFonts w:ascii="宋体" w:hAnsi="宋体" w:cs="宋体" w:eastAsia="宋体" w:hint="default"/>
                <w:sz w:val="18"/>
                <w:szCs w:val="18"/>
              </w:rPr>
            </w:pPr>
            <w:r>
              <w:rPr>
                <w:rFonts w:ascii="宋体" w:hAnsi="宋体" w:cs="宋体" w:eastAsia="宋体" w:hint="default"/>
                <w:sz w:val="18"/>
                <w:szCs w:val="18"/>
              </w:rPr>
              <w:t>副董事长、副总经理</w:t>
            </w:r>
          </w:p>
        </w:tc>
        <w:tc>
          <w:tcPr>
            <w:tcW w:w="182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408"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1</w:t>
            </w:r>
            <w:r>
              <w:rPr>
                <w:rFonts w:ascii="Arial" w:hAnsi="Arial" w:cs="Arial" w:eastAsia="Arial" w:hint="default"/>
                <w:spacing w:val="-8"/>
                <w:sz w:val="18"/>
                <w:szCs w:val="18"/>
              </w:rPr>
              <w:t> </w:t>
            </w:r>
            <w:r>
              <w:rPr>
                <w:rFonts w:ascii="宋体" w:hAnsi="宋体" w:cs="宋体" w:eastAsia="宋体" w:hint="default"/>
                <w:sz w:val="18"/>
                <w:szCs w:val="18"/>
              </w:rPr>
              <w:t>月</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8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00" w:hRule="exact"/>
        </w:trPr>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佟吉禄</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联通集团</w:t>
            </w:r>
          </w:p>
        </w:tc>
        <w:tc>
          <w:tcPr>
            <w:tcW w:w="23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pacing w:val="-4"/>
                <w:sz w:val="18"/>
                <w:szCs w:val="18"/>
              </w:rPr>
              <w:t>董事、副总经理、总会计师</w:t>
            </w:r>
          </w:p>
        </w:tc>
        <w:tc>
          <w:tcPr>
            <w:tcW w:w="182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223" w:right="0"/>
              <w:jc w:val="left"/>
              <w:rPr>
                <w:rFonts w:ascii="宋体" w:hAnsi="宋体" w:cs="宋体" w:eastAsia="宋体" w:hint="default"/>
                <w:sz w:val="18"/>
                <w:szCs w:val="18"/>
              </w:rPr>
            </w:pPr>
            <w:r>
              <w:rPr>
                <w:rFonts w:ascii="Arial" w:hAnsi="Arial" w:cs="Arial" w:eastAsia="Arial" w:hint="default"/>
                <w:sz w:val="18"/>
                <w:szCs w:val="18"/>
              </w:rPr>
              <w:t>2001</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w:t>
            </w:r>
            <w:r>
              <w:rPr>
                <w:rFonts w:ascii="Arial" w:hAnsi="Arial" w:cs="Arial" w:eastAsia="Arial" w:hint="default"/>
                <w:spacing w:val="-6"/>
                <w:sz w:val="18"/>
                <w:szCs w:val="18"/>
              </w:rPr>
              <w:t> </w:t>
            </w:r>
            <w:r>
              <w:rPr>
                <w:rFonts w:ascii="宋体" w:hAnsi="宋体" w:cs="宋体" w:eastAsia="宋体" w:hint="default"/>
                <w:sz w:val="18"/>
                <w:szCs w:val="18"/>
              </w:rPr>
              <w:t>日</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8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李建国</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联通集团</w:t>
            </w:r>
          </w:p>
        </w:tc>
        <w:tc>
          <w:tcPr>
            <w:tcW w:w="23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工会主席</w:t>
            </w:r>
          </w:p>
        </w:tc>
        <w:tc>
          <w:tcPr>
            <w:tcW w:w="182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57"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8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唐富馨</w:t>
            </w:r>
          </w:p>
        </w:tc>
        <w:tc>
          <w:tcPr>
            <w:tcW w:w="1577"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联通集团</w:t>
            </w:r>
          </w:p>
        </w:tc>
        <w:tc>
          <w:tcPr>
            <w:tcW w:w="23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69" w:right="0"/>
              <w:jc w:val="left"/>
              <w:rPr>
                <w:rFonts w:ascii="宋体" w:hAnsi="宋体" w:cs="宋体" w:eastAsia="宋体" w:hint="default"/>
                <w:sz w:val="18"/>
                <w:szCs w:val="18"/>
              </w:rPr>
            </w:pPr>
            <w:r>
              <w:rPr>
                <w:rFonts w:ascii="宋体" w:hAnsi="宋体" w:cs="宋体" w:eastAsia="宋体" w:hint="default"/>
                <w:sz w:val="18"/>
                <w:szCs w:val="18"/>
              </w:rPr>
              <w:t>审计部总经理、兼职监事</w:t>
            </w:r>
          </w:p>
        </w:tc>
        <w:tc>
          <w:tcPr>
            <w:tcW w:w="182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223" w:right="0"/>
              <w:jc w:val="left"/>
              <w:rPr>
                <w:rFonts w:ascii="宋体" w:hAnsi="宋体" w:cs="宋体" w:eastAsia="宋体" w:hint="default"/>
                <w:sz w:val="18"/>
                <w:szCs w:val="18"/>
              </w:rPr>
            </w:pPr>
            <w:r>
              <w:rPr>
                <w:rFonts w:ascii="Arial" w:hAnsi="Arial" w:cs="Arial" w:eastAsia="Arial" w:hint="default"/>
                <w:sz w:val="18"/>
                <w:szCs w:val="18"/>
              </w:rPr>
              <w:t>2006</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w:t>
            </w:r>
            <w:r>
              <w:rPr>
                <w:rFonts w:ascii="Arial" w:hAnsi="Arial" w:cs="Arial" w:eastAsia="Arial" w:hint="default"/>
                <w:spacing w:val="-6"/>
                <w:sz w:val="18"/>
                <w:szCs w:val="18"/>
              </w:rPr>
              <w:t> </w:t>
            </w:r>
            <w:r>
              <w:rPr>
                <w:rFonts w:ascii="宋体" w:hAnsi="宋体" w:cs="宋体" w:eastAsia="宋体" w:hint="default"/>
                <w:sz w:val="18"/>
                <w:szCs w:val="18"/>
              </w:rPr>
              <w:t>日</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至今</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8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2"/>
        <w:rPr>
          <w:rFonts w:ascii="宋体" w:hAnsi="宋体" w:cs="宋体" w:eastAsia="宋体" w:hint="default"/>
          <w:sz w:val="14"/>
          <w:szCs w:val="14"/>
        </w:rPr>
      </w:pPr>
    </w:p>
    <w:p>
      <w:pPr>
        <w:pStyle w:val="BodyText"/>
        <w:spacing w:line="240" w:lineRule="auto" w:before="31"/>
        <w:ind w:left="663" w:right="99"/>
        <w:jc w:val="left"/>
      </w:pPr>
      <w:r>
        <w:rPr/>
        <w:t>在其它单位任职情况：</w:t>
      </w:r>
    </w:p>
    <w:p>
      <w:pPr>
        <w:spacing w:line="240" w:lineRule="auto" w:before="12"/>
        <w:rPr>
          <w:rFonts w:ascii="宋体" w:hAnsi="宋体" w:cs="宋体" w:eastAsia="宋体" w:hint="default"/>
          <w:sz w:val="21"/>
          <w:szCs w:val="21"/>
        </w:rPr>
      </w:pPr>
    </w:p>
    <w:tbl>
      <w:tblPr>
        <w:tblW w:w="0" w:type="auto"/>
        <w:jc w:val="left"/>
        <w:tblInd w:w="558" w:type="dxa"/>
        <w:tblLayout w:type="fixed"/>
        <w:tblCellMar>
          <w:top w:w="0" w:type="dxa"/>
          <w:left w:w="0" w:type="dxa"/>
          <w:bottom w:w="0" w:type="dxa"/>
          <w:right w:w="0" w:type="dxa"/>
        </w:tblCellMar>
        <w:tblLook w:val="01E0"/>
      </w:tblPr>
      <w:tblGrid>
        <w:gridCol w:w="923"/>
        <w:gridCol w:w="2503"/>
        <w:gridCol w:w="1900"/>
        <w:gridCol w:w="1763"/>
        <w:gridCol w:w="722"/>
        <w:gridCol w:w="1134"/>
      </w:tblGrid>
      <w:tr>
        <w:trPr>
          <w:trHeight w:val="481" w:hRule="exact"/>
        </w:trPr>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83" w:right="0"/>
              <w:jc w:val="left"/>
              <w:rPr>
                <w:rFonts w:ascii="宋体" w:hAnsi="宋体" w:cs="宋体" w:eastAsia="宋体" w:hint="default"/>
                <w:sz w:val="18"/>
                <w:szCs w:val="18"/>
              </w:rPr>
            </w:pPr>
            <w:r>
              <w:rPr>
                <w:rFonts w:ascii="宋体" w:hAnsi="宋体" w:cs="宋体" w:eastAsia="宋体" w:hint="default"/>
                <w:sz w:val="18"/>
                <w:szCs w:val="18"/>
              </w:rPr>
              <w:t>姓  名</w:t>
            </w: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其它单位名称</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491"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333"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83" w:right="0"/>
              <w:jc w:val="left"/>
              <w:rPr>
                <w:rFonts w:ascii="宋体" w:hAnsi="宋体" w:cs="宋体" w:eastAsia="宋体" w:hint="default"/>
                <w:sz w:val="18"/>
                <w:szCs w:val="18"/>
              </w:rPr>
            </w:pPr>
            <w:r>
              <w:rPr>
                <w:rFonts w:ascii="宋体" w:hAnsi="宋体" w:cs="宋体" w:eastAsia="宋体" w:hint="default"/>
                <w:sz w:val="18"/>
                <w:szCs w:val="18"/>
              </w:rPr>
              <w:t>任期终</w:t>
            </w:r>
          </w:p>
          <w:p>
            <w:pPr>
              <w:pStyle w:val="TableParagraph"/>
              <w:spacing w:line="234" w:lineRule="exact"/>
              <w:ind w:left="83" w:right="0"/>
              <w:jc w:val="left"/>
              <w:rPr>
                <w:rFonts w:ascii="宋体" w:hAnsi="宋体" w:cs="宋体" w:eastAsia="宋体" w:hint="default"/>
                <w:sz w:val="18"/>
                <w:szCs w:val="18"/>
              </w:rPr>
            </w:pPr>
            <w:r>
              <w:rPr>
                <w:rFonts w:ascii="宋体" w:hAnsi="宋体" w:cs="宋体" w:eastAsia="宋体" w:hint="default"/>
                <w:sz w:val="18"/>
                <w:szCs w:val="18"/>
              </w:rPr>
              <w:t>止日期</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99" w:right="0"/>
              <w:jc w:val="left"/>
              <w:rPr>
                <w:rFonts w:ascii="宋体" w:hAnsi="宋体" w:cs="宋体" w:eastAsia="宋体" w:hint="default"/>
                <w:sz w:val="18"/>
                <w:szCs w:val="18"/>
              </w:rPr>
            </w:pPr>
            <w:r>
              <w:rPr>
                <w:rFonts w:ascii="宋体" w:hAnsi="宋体" w:cs="宋体" w:eastAsia="宋体" w:hint="default"/>
                <w:sz w:val="18"/>
                <w:szCs w:val="18"/>
              </w:rPr>
              <w:t>是否领取</w:t>
            </w:r>
          </w:p>
          <w:p>
            <w:pPr>
              <w:pStyle w:val="TableParagraph"/>
              <w:spacing w:line="234" w:lineRule="exact"/>
              <w:ind w:left="199" w:right="0"/>
              <w:jc w:val="left"/>
              <w:rPr>
                <w:rFonts w:ascii="宋体" w:hAnsi="宋体" w:cs="宋体" w:eastAsia="宋体" w:hint="default"/>
                <w:sz w:val="18"/>
                <w:szCs w:val="18"/>
              </w:rPr>
            </w:pPr>
            <w:r>
              <w:rPr>
                <w:rFonts w:ascii="宋体" w:hAnsi="宋体" w:cs="宋体" w:eastAsia="宋体" w:hint="default"/>
                <w:sz w:val="18"/>
                <w:szCs w:val="18"/>
              </w:rPr>
              <w:t>报酬津贴</w:t>
            </w:r>
          </w:p>
        </w:tc>
      </w:tr>
      <w:tr>
        <w:trPr>
          <w:trHeight w:val="482" w:hRule="exact"/>
        </w:trPr>
        <w:tc>
          <w:tcPr>
            <w:tcW w:w="923" w:type="dxa"/>
            <w:vMerge w:val="restart"/>
            <w:tcBorders>
              <w:top w:val="single" w:sz="6" w:space="0" w:color="000000"/>
              <w:left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83" w:right="0"/>
              <w:jc w:val="left"/>
              <w:rPr>
                <w:rFonts w:ascii="宋体" w:hAnsi="宋体" w:cs="宋体" w:eastAsia="宋体" w:hint="default"/>
                <w:sz w:val="18"/>
                <w:szCs w:val="18"/>
              </w:rPr>
            </w:pPr>
            <w:r>
              <w:rPr>
                <w:rFonts w:ascii="宋体" w:hAnsi="宋体" w:cs="宋体" w:eastAsia="宋体" w:hint="default"/>
                <w:sz w:val="18"/>
                <w:szCs w:val="18"/>
              </w:rPr>
              <w:t>常小兵</w:t>
            </w: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联通红筹公司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31"/>
              <w:jc w:val="center"/>
              <w:rPr>
                <w:rFonts w:ascii="宋体" w:hAnsi="宋体" w:cs="宋体" w:eastAsia="宋体" w:hint="default"/>
                <w:sz w:val="18"/>
                <w:szCs w:val="18"/>
              </w:rPr>
            </w:pPr>
            <w:r>
              <w:rPr>
                <w:rFonts w:ascii="宋体" w:hAnsi="宋体" w:cs="宋体" w:eastAsia="宋体" w:hint="default"/>
                <w:sz w:val="18"/>
                <w:szCs w:val="18"/>
              </w:rPr>
              <w:t>执行董事</w:t>
            </w:r>
            <w:r>
              <w:rPr>
                <w:rFonts w:ascii="宋体" w:hAnsi="宋体" w:cs="宋体" w:eastAsia="宋体" w:hint="default"/>
                <w:spacing w:val="-86"/>
                <w:sz w:val="18"/>
                <w:szCs w:val="18"/>
              </w:rPr>
              <w:t>、</w:t>
            </w:r>
            <w:r>
              <w:rPr>
                <w:rFonts w:ascii="宋体" w:hAnsi="宋体" w:cs="宋体" w:eastAsia="宋体" w:hint="default"/>
                <w:sz w:val="18"/>
                <w:szCs w:val="18"/>
              </w:rPr>
              <w:t>董事长兼首</w:t>
            </w:r>
          </w:p>
          <w:p>
            <w:pPr>
              <w:pStyle w:val="TableParagraph"/>
              <w:spacing w:line="235" w:lineRule="exact"/>
              <w:ind w:right="30"/>
              <w:jc w:val="center"/>
              <w:rPr>
                <w:rFonts w:ascii="宋体" w:hAnsi="宋体" w:cs="宋体" w:eastAsia="宋体" w:hint="default"/>
                <w:sz w:val="18"/>
                <w:szCs w:val="18"/>
              </w:rPr>
            </w:pPr>
            <w:r>
              <w:rPr>
                <w:rFonts w:ascii="宋体" w:hAnsi="宋体" w:cs="宋体" w:eastAsia="宋体" w:hint="default"/>
                <w:sz w:val="18"/>
                <w:szCs w:val="18"/>
              </w:rPr>
              <w:t>席执行官</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41" w:right="0"/>
              <w:jc w:val="left"/>
              <w:rPr>
                <w:rFonts w:ascii="宋体" w:hAnsi="宋体" w:cs="宋体" w:eastAsia="宋体" w:hint="default"/>
                <w:sz w:val="18"/>
                <w:szCs w:val="18"/>
              </w:rPr>
            </w:pPr>
            <w:r>
              <w:rPr>
                <w:rFonts w:ascii="Arial" w:hAnsi="Arial" w:cs="Arial" w:eastAsia="Arial" w:hint="default"/>
                <w:sz w:val="18"/>
                <w:szCs w:val="18"/>
              </w:rPr>
              <w:t>2004</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72"/>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22" w:hRule="exact"/>
        </w:trPr>
        <w:tc>
          <w:tcPr>
            <w:tcW w:w="923" w:type="dxa"/>
            <w:vMerge/>
            <w:tcBorders>
              <w:left w:val="single" w:sz="6" w:space="0" w:color="000000"/>
              <w:bottom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center"/>
              <w:rPr>
                <w:rFonts w:ascii="宋体" w:hAnsi="宋体" w:cs="宋体" w:eastAsia="宋体" w:hint="default"/>
                <w:sz w:val="18"/>
                <w:szCs w:val="18"/>
              </w:rPr>
            </w:pPr>
            <w:r>
              <w:rPr>
                <w:rFonts w:ascii="宋体" w:hAnsi="宋体" w:cs="宋体" w:eastAsia="宋体" w:hint="default"/>
                <w:sz w:val="18"/>
                <w:szCs w:val="18"/>
              </w:rPr>
              <w:t>联通运营公司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left="141" w:right="0"/>
              <w:jc w:val="left"/>
              <w:rPr>
                <w:rFonts w:ascii="宋体" w:hAnsi="宋体" w:cs="宋体" w:eastAsia="宋体" w:hint="default"/>
                <w:sz w:val="18"/>
                <w:szCs w:val="18"/>
              </w:rPr>
            </w:pPr>
            <w:r>
              <w:rPr>
                <w:rFonts w:ascii="Arial" w:hAnsi="Arial" w:cs="Arial" w:eastAsia="Arial" w:hint="default"/>
                <w:sz w:val="18"/>
                <w:szCs w:val="18"/>
              </w:rPr>
              <w:t>2004</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72"/>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23"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83" w:right="0"/>
              <w:jc w:val="left"/>
              <w:rPr>
                <w:rFonts w:ascii="宋体" w:hAnsi="宋体" w:cs="宋体" w:eastAsia="宋体" w:hint="default"/>
                <w:sz w:val="18"/>
                <w:szCs w:val="18"/>
              </w:rPr>
            </w:pPr>
            <w:r>
              <w:rPr>
                <w:rFonts w:ascii="宋体" w:hAnsi="宋体" w:cs="宋体" w:eastAsia="宋体" w:hint="default"/>
                <w:sz w:val="18"/>
                <w:szCs w:val="18"/>
              </w:rPr>
              <w:t>陆益民</w:t>
            </w: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联通红筹公司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81"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91" w:right="0"/>
              <w:jc w:val="lef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10</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15</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72"/>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99" w:hRule="exact"/>
        </w:trPr>
        <w:tc>
          <w:tcPr>
            <w:tcW w:w="923" w:type="dxa"/>
            <w:vMerge/>
            <w:tcBorders>
              <w:left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联通红筹公司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总裁</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41"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13</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2"/>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00" w:hRule="exact"/>
        </w:trPr>
        <w:tc>
          <w:tcPr>
            <w:tcW w:w="923" w:type="dxa"/>
            <w:vMerge/>
            <w:tcBorders>
              <w:left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联通运营公司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25" w:right="0"/>
              <w:jc w:val="lef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1"/>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923" w:type="dxa"/>
            <w:vMerge/>
            <w:tcBorders>
              <w:left w:val="single" w:sz="6" w:space="0" w:color="000000"/>
              <w:bottom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0"/>
              <w:jc w:val="center"/>
              <w:rPr>
                <w:rFonts w:ascii="宋体" w:hAnsi="宋体" w:cs="宋体" w:eastAsia="宋体" w:hint="default"/>
                <w:sz w:val="18"/>
                <w:szCs w:val="18"/>
              </w:rPr>
            </w:pPr>
            <w:r>
              <w:rPr>
                <w:rFonts w:ascii="宋体" w:hAnsi="宋体" w:cs="宋体" w:eastAsia="宋体" w:hint="default"/>
                <w:sz w:val="18"/>
                <w:szCs w:val="18"/>
              </w:rPr>
              <w:t>联通运营公司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1"/>
              <w:jc w:val="center"/>
              <w:rPr>
                <w:rFonts w:ascii="宋体" w:hAnsi="宋体" w:cs="宋体" w:eastAsia="宋体" w:hint="default"/>
                <w:sz w:val="18"/>
                <w:szCs w:val="18"/>
              </w:rPr>
            </w:pPr>
            <w:r>
              <w:rPr>
                <w:rFonts w:ascii="宋体" w:hAnsi="宋体" w:cs="宋体" w:eastAsia="宋体" w:hint="default"/>
                <w:sz w:val="18"/>
                <w:szCs w:val="18"/>
              </w:rPr>
              <w:t>总裁</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41"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13</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172"/>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923"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83" w:right="0"/>
              <w:jc w:val="left"/>
              <w:rPr>
                <w:rFonts w:ascii="宋体" w:hAnsi="宋体" w:cs="宋体" w:eastAsia="宋体" w:hint="default"/>
                <w:sz w:val="18"/>
                <w:szCs w:val="18"/>
              </w:rPr>
            </w:pPr>
            <w:r>
              <w:rPr>
                <w:rFonts w:ascii="宋体" w:hAnsi="宋体" w:cs="宋体" w:eastAsia="宋体" w:hint="default"/>
                <w:sz w:val="18"/>
                <w:szCs w:val="18"/>
              </w:rPr>
              <w:t>左迅生</w:t>
            </w: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联通红筹公司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761"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1" w:right="0"/>
              <w:jc w:val="lef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10</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15</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2"/>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99" w:hRule="exact"/>
        </w:trPr>
        <w:tc>
          <w:tcPr>
            <w:tcW w:w="923" w:type="dxa"/>
            <w:vMerge/>
            <w:tcBorders>
              <w:left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联通红筹公司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91"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41"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13</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2"/>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99" w:hRule="exact"/>
        </w:trPr>
        <w:tc>
          <w:tcPr>
            <w:tcW w:w="923" w:type="dxa"/>
            <w:vMerge/>
            <w:tcBorders>
              <w:left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联通运营公司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25" w:right="0"/>
              <w:jc w:val="lef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1"/>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923" w:type="dxa"/>
            <w:vMerge/>
            <w:tcBorders>
              <w:left w:val="single" w:sz="6" w:space="0" w:color="000000"/>
              <w:bottom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联通运营公司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91"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41"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13</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2"/>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00" w:hRule="exact"/>
        </w:trPr>
        <w:tc>
          <w:tcPr>
            <w:tcW w:w="923" w:type="dxa"/>
            <w:vMerge w:val="restart"/>
            <w:tcBorders>
              <w:top w:val="single" w:sz="6" w:space="0" w:color="000000"/>
              <w:left w:val="single" w:sz="6" w:space="0" w:color="000000"/>
              <w:right w:val="single" w:sz="6" w:space="0" w:color="000000"/>
            </w:tcBorders>
          </w:tcPr>
          <w:p>
            <w:pPr>
              <w:pStyle w:val="TableParagraph"/>
              <w:spacing w:line="240" w:lineRule="auto" w:before="137"/>
              <w:ind w:left="183" w:right="0"/>
              <w:jc w:val="left"/>
              <w:rPr>
                <w:rFonts w:ascii="宋体" w:hAnsi="宋体" w:cs="宋体" w:eastAsia="宋体" w:hint="default"/>
                <w:sz w:val="18"/>
                <w:szCs w:val="18"/>
              </w:rPr>
            </w:pPr>
            <w:r>
              <w:rPr>
                <w:rFonts w:ascii="宋体" w:hAnsi="宋体" w:cs="宋体" w:eastAsia="宋体" w:hint="default"/>
                <w:sz w:val="18"/>
                <w:szCs w:val="18"/>
              </w:rPr>
              <w:t>佟吉禄</w:t>
            </w: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联通红筹公司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1" w:right="0"/>
              <w:jc w:val="left"/>
              <w:rPr>
                <w:rFonts w:ascii="宋体" w:hAnsi="宋体" w:cs="宋体" w:eastAsia="宋体" w:hint="default"/>
                <w:sz w:val="18"/>
                <w:szCs w:val="18"/>
              </w:rPr>
            </w:pPr>
            <w:r>
              <w:rPr>
                <w:rFonts w:ascii="宋体" w:hAnsi="宋体" w:cs="宋体" w:eastAsia="宋体" w:hint="default"/>
                <w:sz w:val="18"/>
                <w:szCs w:val="18"/>
              </w:rPr>
              <w:t>执行董事、首席财务官</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90" w:right="0"/>
              <w:jc w:val="left"/>
              <w:rPr>
                <w:rFonts w:ascii="宋体" w:hAnsi="宋体" w:cs="宋体" w:eastAsia="宋体" w:hint="default"/>
                <w:sz w:val="18"/>
                <w:szCs w:val="18"/>
              </w:rPr>
            </w:pPr>
            <w:r>
              <w:rPr>
                <w:rFonts w:ascii="Arial" w:hAnsi="Arial" w:cs="Arial" w:eastAsia="Arial" w:hint="default"/>
                <w:sz w:val="18"/>
                <w:szCs w:val="18"/>
              </w:rPr>
              <w:t>2004</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w:t>
            </w:r>
            <w:r>
              <w:rPr>
                <w:rFonts w:ascii="Arial" w:hAnsi="Arial" w:cs="Arial" w:eastAsia="Arial" w:hint="default"/>
                <w:spacing w:val="-6"/>
                <w:sz w:val="18"/>
                <w:szCs w:val="18"/>
              </w:rPr>
              <w:t> </w:t>
            </w:r>
            <w:r>
              <w:rPr>
                <w:rFonts w:ascii="宋体" w:hAnsi="宋体" w:cs="宋体" w:eastAsia="宋体" w:hint="default"/>
                <w:sz w:val="18"/>
                <w:szCs w:val="18"/>
              </w:rPr>
              <w:t>日</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2"/>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99" w:hRule="exact"/>
        </w:trPr>
        <w:tc>
          <w:tcPr>
            <w:tcW w:w="923" w:type="dxa"/>
            <w:vMerge/>
            <w:tcBorders>
              <w:left w:val="single" w:sz="6" w:space="0" w:color="000000"/>
              <w:bottom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0"/>
              <w:jc w:val="center"/>
              <w:rPr>
                <w:rFonts w:ascii="宋体" w:hAnsi="宋体" w:cs="宋体" w:eastAsia="宋体" w:hint="default"/>
                <w:sz w:val="18"/>
                <w:szCs w:val="18"/>
              </w:rPr>
            </w:pPr>
            <w:r>
              <w:rPr>
                <w:rFonts w:ascii="宋体" w:hAnsi="宋体" w:cs="宋体" w:eastAsia="宋体" w:hint="default"/>
                <w:sz w:val="18"/>
                <w:szCs w:val="18"/>
              </w:rPr>
              <w:t>联通运营公司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221" w:right="0"/>
              <w:jc w:val="left"/>
              <w:rPr>
                <w:rFonts w:ascii="宋体" w:hAnsi="宋体" w:cs="宋体" w:eastAsia="宋体" w:hint="default"/>
                <w:sz w:val="18"/>
                <w:szCs w:val="18"/>
              </w:rPr>
            </w:pPr>
            <w:r>
              <w:rPr>
                <w:rFonts w:ascii="宋体" w:hAnsi="宋体" w:cs="宋体" w:eastAsia="宋体" w:hint="default"/>
                <w:sz w:val="18"/>
                <w:szCs w:val="18"/>
              </w:rPr>
              <w:t>董事、高级副总裁</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41" w:right="0"/>
              <w:jc w:val="left"/>
              <w:rPr>
                <w:rFonts w:ascii="宋体" w:hAnsi="宋体" w:cs="宋体" w:eastAsia="宋体" w:hint="default"/>
                <w:sz w:val="18"/>
                <w:szCs w:val="18"/>
              </w:rPr>
            </w:pPr>
            <w:r>
              <w:rPr>
                <w:rFonts w:ascii="Arial" w:hAnsi="Arial" w:cs="Arial" w:eastAsia="Arial" w:hint="default"/>
                <w:sz w:val="18"/>
                <w:szCs w:val="18"/>
              </w:rPr>
              <w:t>2003</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172"/>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923" w:type="dxa"/>
            <w:vMerge w:val="restart"/>
            <w:tcBorders>
              <w:top w:val="single" w:sz="6" w:space="0" w:color="000000"/>
              <w:left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83" w:right="0"/>
              <w:jc w:val="left"/>
              <w:rPr>
                <w:rFonts w:ascii="宋体" w:hAnsi="宋体" w:cs="宋体" w:eastAsia="宋体" w:hint="default"/>
                <w:sz w:val="18"/>
                <w:szCs w:val="18"/>
              </w:rPr>
            </w:pPr>
            <w:r>
              <w:rPr>
                <w:rFonts w:ascii="宋体" w:hAnsi="宋体" w:cs="宋体" w:eastAsia="宋体" w:hint="default"/>
                <w:sz w:val="18"/>
                <w:szCs w:val="18"/>
              </w:rPr>
              <w:t>李建国</w:t>
            </w: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联通红筹公司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91"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41"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13</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2"/>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99" w:hRule="exact"/>
        </w:trPr>
        <w:tc>
          <w:tcPr>
            <w:tcW w:w="923" w:type="dxa"/>
            <w:vMerge/>
            <w:tcBorders>
              <w:left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联通运营公司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25" w:right="0"/>
              <w:jc w:val="lef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1"/>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923" w:type="dxa"/>
            <w:vMerge/>
            <w:tcBorders>
              <w:left w:val="single" w:sz="6" w:space="0" w:color="000000"/>
              <w:bottom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联通运营公司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91" w:right="0"/>
              <w:jc w:val="left"/>
              <w:rPr>
                <w:rFonts w:ascii="宋体" w:hAnsi="宋体" w:cs="宋体" w:eastAsia="宋体" w:hint="default"/>
                <w:sz w:val="18"/>
                <w:szCs w:val="18"/>
              </w:rPr>
            </w:pPr>
            <w:r>
              <w:rPr>
                <w:rFonts w:ascii="宋体" w:hAnsi="宋体" w:cs="宋体" w:eastAsia="宋体" w:hint="default"/>
                <w:sz w:val="18"/>
                <w:szCs w:val="18"/>
              </w:rPr>
              <w:t>高级副总裁</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41"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13</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2"/>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923" w:type="dxa"/>
            <w:vMerge w:val="restart"/>
            <w:tcBorders>
              <w:top w:val="single" w:sz="6" w:space="0" w:color="000000"/>
              <w:left w:val="single" w:sz="6" w:space="0" w:color="000000"/>
              <w:right w:val="single" w:sz="6" w:space="0" w:color="000000"/>
            </w:tcBorders>
          </w:tcPr>
          <w:p>
            <w:pPr>
              <w:pStyle w:val="TableParagraph"/>
              <w:spacing w:line="240" w:lineRule="auto" w:before="137"/>
              <w:ind w:left="183" w:right="0"/>
              <w:jc w:val="left"/>
              <w:rPr>
                <w:rFonts w:ascii="宋体" w:hAnsi="宋体" w:cs="宋体" w:eastAsia="宋体" w:hint="default"/>
                <w:sz w:val="18"/>
                <w:szCs w:val="18"/>
              </w:rPr>
            </w:pPr>
            <w:r>
              <w:rPr>
                <w:rFonts w:ascii="宋体" w:hAnsi="宋体" w:cs="宋体" w:eastAsia="宋体" w:hint="default"/>
                <w:sz w:val="18"/>
                <w:szCs w:val="18"/>
              </w:rPr>
              <w:t>刘  彩</w:t>
            </w: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38" w:right="0"/>
              <w:jc w:val="center"/>
              <w:rPr>
                <w:rFonts w:ascii="宋体" w:hAnsi="宋体" w:cs="宋体" w:eastAsia="宋体" w:hint="default"/>
                <w:sz w:val="18"/>
                <w:szCs w:val="18"/>
              </w:rPr>
            </w:pPr>
            <w:r>
              <w:rPr>
                <w:rFonts w:ascii="宋体" w:hAnsi="宋体" w:cs="宋体" w:eastAsia="宋体" w:hint="default"/>
                <w:sz w:val="18"/>
                <w:szCs w:val="18"/>
              </w:rPr>
              <w:t>中国通信学会</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582" w:right="0"/>
              <w:jc w:val="left"/>
              <w:rPr>
                <w:rFonts w:ascii="宋体" w:hAnsi="宋体" w:cs="宋体" w:eastAsia="宋体" w:hint="default"/>
                <w:sz w:val="18"/>
                <w:szCs w:val="18"/>
              </w:rPr>
            </w:pPr>
            <w:r>
              <w:rPr>
                <w:rFonts w:ascii="宋体" w:hAnsi="宋体" w:cs="宋体" w:eastAsia="宋体" w:hint="default"/>
                <w:sz w:val="18"/>
                <w:szCs w:val="18"/>
              </w:rPr>
              <w:t>副理事长</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75" w:right="0"/>
              <w:jc w:val="left"/>
              <w:rPr>
                <w:rFonts w:ascii="宋体" w:hAnsi="宋体" w:cs="宋体" w:eastAsia="宋体" w:hint="default"/>
                <w:sz w:val="18"/>
                <w:szCs w:val="18"/>
              </w:rPr>
            </w:pPr>
            <w:r>
              <w:rPr>
                <w:rFonts w:ascii="Arial" w:hAnsi="Arial" w:cs="Arial" w:eastAsia="Arial" w:hint="default"/>
                <w:sz w:val="18"/>
                <w:szCs w:val="18"/>
              </w:rPr>
              <w:t>2000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7</w:t>
            </w:r>
            <w:r>
              <w:rPr>
                <w:rFonts w:ascii="Arial" w:hAnsi="Arial" w:cs="Arial" w:eastAsia="Arial" w:hint="default"/>
                <w:spacing w:val="-8"/>
                <w:sz w:val="18"/>
                <w:szCs w:val="18"/>
              </w:rPr>
              <w:t> </w:t>
            </w:r>
            <w:r>
              <w:rPr>
                <w:rFonts w:ascii="宋体" w:hAnsi="宋体" w:cs="宋体" w:eastAsia="宋体" w:hint="default"/>
                <w:sz w:val="18"/>
                <w:szCs w:val="18"/>
              </w:rPr>
              <w:t>月</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3"/>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00" w:hRule="exact"/>
        </w:trPr>
        <w:tc>
          <w:tcPr>
            <w:tcW w:w="923" w:type="dxa"/>
            <w:vMerge/>
            <w:tcBorders>
              <w:left w:val="single" w:sz="6" w:space="0" w:color="000000"/>
              <w:bottom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38" w:right="0"/>
              <w:jc w:val="center"/>
              <w:rPr>
                <w:rFonts w:ascii="宋体" w:hAnsi="宋体" w:cs="宋体" w:eastAsia="宋体" w:hint="default"/>
                <w:sz w:val="18"/>
                <w:szCs w:val="18"/>
              </w:rPr>
            </w:pPr>
            <w:r>
              <w:rPr>
                <w:rFonts w:ascii="宋体" w:hAnsi="宋体" w:cs="宋体" w:eastAsia="宋体" w:hint="default"/>
                <w:sz w:val="18"/>
                <w:szCs w:val="18"/>
              </w:rPr>
              <w:t>京信通信系统控股有限公司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312" w:right="0"/>
              <w:jc w:val="left"/>
              <w:rPr>
                <w:rFonts w:ascii="宋体" w:hAnsi="宋体" w:cs="宋体" w:eastAsia="宋体" w:hint="default"/>
                <w:sz w:val="18"/>
                <w:szCs w:val="18"/>
              </w:rPr>
            </w:pPr>
            <w:r>
              <w:rPr>
                <w:rFonts w:ascii="宋体" w:hAnsi="宋体" w:cs="宋体" w:eastAsia="宋体" w:hint="default"/>
                <w:sz w:val="18"/>
                <w:szCs w:val="18"/>
              </w:rPr>
              <w:t>独立非执行董事</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75" w:right="0"/>
              <w:jc w:val="left"/>
              <w:rPr>
                <w:rFonts w:ascii="宋体" w:hAnsi="宋体" w:cs="宋体" w:eastAsia="宋体" w:hint="default"/>
                <w:sz w:val="18"/>
                <w:szCs w:val="18"/>
              </w:rPr>
            </w:pPr>
            <w:r>
              <w:rPr>
                <w:rFonts w:ascii="Arial" w:hAnsi="Arial" w:cs="Arial" w:eastAsia="Arial" w:hint="default"/>
                <w:sz w:val="18"/>
                <w:szCs w:val="18"/>
              </w:rPr>
              <w:t>2003</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7</w:t>
            </w:r>
            <w:r>
              <w:rPr>
                <w:rFonts w:ascii="Arial" w:hAnsi="Arial" w:cs="Arial" w:eastAsia="Arial" w:hint="default"/>
                <w:spacing w:val="-8"/>
                <w:sz w:val="18"/>
                <w:szCs w:val="18"/>
              </w:rPr>
              <w:t> </w:t>
            </w:r>
            <w:r>
              <w:rPr>
                <w:rFonts w:ascii="宋体" w:hAnsi="宋体" w:cs="宋体" w:eastAsia="宋体" w:hint="default"/>
                <w:sz w:val="18"/>
                <w:szCs w:val="18"/>
              </w:rPr>
              <w:t>月</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1"/>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99" w:hRule="exact"/>
        </w:trPr>
        <w:tc>
          <w:tcPr>
            <w:tcW w:w="923"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83" w:right="0"/>
              <w:jc w:val="left"/>
              <w:rPr>
                <w:rFonts w:ascii="宋体" w:hAnsi="宋体" w:cs="宋体" w:eastAsia="宋体" w:hint="default"/>
                <w:sz w:val="18"/>
                <w:szCs w:val="18"/>
              </w:rPr>
            </w:pPr>
            <w:r>
              <w:rPr>
                <w:rFonts w:ascii="宋体" w:hAnsi="宋体" w:cs="宋体" w:eastAsia="宋体" w:hint="default"/>
                <w:sz w:val="18"/>
                <w:szCs w:val="18"/>
              </w:rPr>
              <w:t>赵纯均</w:t>
            </w: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8" w:right="0"/>
              <w:jc w:val="center"/>
              <w:rPr>
                <w:rFonts w:ascii="宋体" w:hAnsi="宋体" w:cs="宋体" w:eastAsia="宋体" w:hint="default"/>
                <w:sz w:val="18"/>
                <w:szCs w:val="18"/>
              </w:rPr>
            </w:pPr>
            <w:r>
              <w:rPr>
                <w:rFonts w:ascii="宋体" w:hAnsi="宋体" w:cs="宋体" w:eastAsia="宋体" w:hint="default"/>
                <w:sz w:val="18"/>
                <w:szCs w:val="18"/>
              </w:rPr>
              <w:t>全国</w:t>
            </w:r>
            <w:r>
              <w:rPr>
                <w:rFonts w:ascii="宋体" w:hAnsi="宋体" w:cs="宋体" w:eastAsia="宋体" w:hint="default"/>
                <w:spacing w:val="-46"/>
                <w:sz w:val="18"/>
                <w:szCs w:val="18"/>
              </w:rPr>
              <w:t> </w:t>
            </w:r>
            <w:r>
              <w:rPr>
                <w:rFonts w:ascii="Arial" w:hAnsi="Arial" w:cs="Arial" w:eastAsia="Arial" w:hint="default"/>
                <w:sz w:val="18"/>
                <w:szCs w:val="18"/>
              </w:rPr>
              <w:t>MBA</w:t>
            </w:r>
            <w:r>
              <w:rPr>
                <w:rFonts w:ascii="Arial" w:hAnsi="Arial" w:cs="Arial" w:eastAsia="Arial" w:hint="default"/>
                <w:spacing w:val="-6"/>
                <w:sz w:val="18"/>
                <w:szCs w:val="18"/>
              </w:rPr>
              <w:t> </w:t>
            </w:r>
            <w:r>
              <w:rPr>
                <w:rFonts w:ascii="宋体" w:hAnsi="宋体" w:cs="宋体" w:eastAsia="宋体" w:hint="default"/>
                <w:sz w:val="18"/>
                <w:szCs w:val="18"/>
              </w:rPr>
              <w:t>教育指导委员会</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副主任</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61" w:right="0"/>
              <w:jc w:val="left"/>
              <w:rPr>
                <w:rFonts w:ascii="宋体" w:hAnsi="宋体" w:cs="宋体" w:eastAsia="宋体" w:hint="default"/>
                <w:sz w:val="18"/>
                <w:szCs w:val="18"/>
              </w:rPr>
            </w:pPr>
            <w:r>
              <w:rPr>
                <w:rFonts w:ascii="Arial" w:hAnsi="Arial" w:cs="Arial" w:eastAsia="Arial" w:hint="default"/>
                <w:sz w:val="18"/>
                <w:szCs w:val="18"/>
              </w:rPr>
              <w:t>1994</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1"/>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923" w:type="dxa"/>
            <w:vMerge/>
            <w:tcBorders>
              <w:left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38" w:right="0"/>
              <w:jc w:val="center"/>
              <w:rPr>
                <w:rFonts w:ascii="宋体" w:hAnsi="宋体" w:cs="宋体" w:eastAsia="宋体" w:hint="default"/>
                <w:sz w:val="18"/>
                <w:szCs w:val="18"/>
              </w:rPr>
            </w:pPr>
            <w:r>
              <w:rPr>
                <w:rFonts w:ascii="宋体" w:hAnsi="宋体" w:cs="宋体" w:eastAsia="宋体" w:hint="default"/>
                <w:sz w:val="18"/>
                <w:szCs w:val="18"/>
              </w:rPr>
              <w:t>教育部社科委管理学部</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92" w:right="0"/>
              <w:jc w:val="left"/>
              <w:rPr>
                <w:rFonts w:ascii="宋体" w:hAnsi="宋体" w:cs="宋体" w:eastAsia="宋体" w:hint="default"/>
                <w:sz w:val="18"/>
                <w:szCs w:val="18"/>
              </w:rPr>
            </w:pPr>
            <w:r>
              <w:rPr>
                <w:rFonts w:ascii="宋体" w:hAnsi="宋体" w:cs="宋体" w:eastAsia="宋体" w:hint="default"/>
                <w:sz w:val="18"/>
                <w:szCs w:val="18"/>
              </w:rPr>
              <w:t>学部召集人</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61" w:right="0"/>
              <w:jc w:val="lef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3"/>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923" w:type="dxa"/>
            <w:vMerge/>
            <w:tcBorders>
              <w:left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38" w:right="0"/>
              <w:jc w:val="center"/>
              <w:rPr>
                <w:rFonts w:ascii="宋体" w:hAnsi="宋体" w:cs="宋体" w:eastAsia="宋体" w:hint="default"/>
                <w:sz w:val="18"/>
                <w:szCs w:val="18"/>
              </w:rPr>
            </w:pPr>
            <w:r>
              <w:rPr>
                <w:rFonts w:ascii="宋体" w:hAnsi="宋体" w:cs="宋体" w:eastAsia="宋体" w:hint="default"/>
                <w:sz w:val="18"/>
                <w:szCs w:val="18"/>
              </w:rPr>
              <w:t>中国管理现代化研究会</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法人</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61" w:right="0"/>
              <w:jc w:val="left"/>
              <w:rPr>
                <w:rFonts w:ascii="宋体" w:hAnsi="宋体" w:cs="宋体" w:eastAsia="宋体" w:hint="default"/>
                <w:sz w:val="18"/>
                <w:szCs w:val="18"/>
              </w:rPr>
            </w:pPr>
            <w:r>
              <w:rPr>
                <w:rFonts w:ascii="Arial" w:hAnsi="Arial" w:cs="Arial" w:eastAsia="Arial" w:hint="default"/>
                <w:sz w:val="18"/>
                <w:szCs w:val="18"/>
              </w:rPr>
              <w:t>2005</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3"/>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923" w:type="dxa"/>
            <w:vMerge/>
            <w:tcBorders>
              <w:left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38" w:right="0"/>
              <w:jc w:val="center"/>
              <w:rPr>
                <w:rFonts w:ascii="宋体" w:hAnsi="宋体" w:cs="宋体" w:eastAsia="宋体" w:hint="default"/>
                <w:sz w:val="18"/>
                <w:szCs w:val="18"/>
              </w:rPr>
            </w:pPr>
            <w:r>
              <w:rPr>
                <w:rFonts w:ascii="宋体" w:hAnsi="宋体" w:cs="宋体" w:eastAsia="宋体" w:hint="default"/>
                <w:sz w:val="18"/>
                <w:szCs w:val="18"/>
              </w:rPr>
              <w:t>中国企业研究会</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副会长</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61" w:right="0"/>
              <w:jc w:val="left"/>
              <w:rPr>
                <w:rFonts w:ascii="宋体" w:hAnsi="宋体" w:cs="宋体" w:eastAsia="宋体" w:hint="default"/>
                <w:sz w:val="18"/>
                <w:szCs w:val="18"/>
              </w:rPr>
            </w:pPr>
            <w:r>
              <w:rPr>
                <w:rFonts w:ascii="Arial" w:hAnsi="Arial" w:cs="Arial" w:eastAsia="Arial" w:hint="default"/>
                <w:sz w:val="18"/>
                <w:szCs w:val="18"/>
              </w:rPr>
              <w:t>2000</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3"/>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923" w:type="dxa"/>
            <w:vMerge/>
            <w:tcBorders>
              <w:left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38" w:right="0"/>
              <w:jc w:val="center"/>
              <w:rPr>
                <w:rFonts w:ascii="宋体" w:hAnsi="宋体" w:cs="宋体" w:eastAsia="宋体" w:hint="default"/>
                <w:sz w:val="18"/>
                <w:szCs w:val="18"/>
              </w:rPr>
            </w:pPr>
            <w:r>
              <w:rPr>
                <w:rFonts w:ascii="宋体" w:hAnsi="宋体" w:cs="宋体" w:eastAsia="宋体" w:hint="default"/>
                <w:sz w:val="18"/>
                <w:szCs w:val="18"/>
              </w:rPr>
              <w:t>中国工业经济联合会</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92" w:right="0"/>
              <w:jc w:val="left"/>
              <w:rPr>
                <w:rFonts w:ascii="宋体" w:hAnsi="宋体" w:cs="宋体" w:eastAsia="宋体" w:hint="default"/>
                <w:sz w:val="18"/>
                <w:szCs w:val="18"/>
              </w:rPr>
            </w:pPr>
            <w:r>
              <w:rPr>
                <w:rFonts w:ascii="宋体" w:hAnsi="宋体" w:cs="宋体" w:eastAsia="宋体" w:hint="default"/>
                <w:sz w:val="18"/>
                <w:szCs w:val="18"/>
              </w:rPr>
              <w:t>高级副会长</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61" w:right="0"/>
              <w:jc w:val="left"/>
              <w:rPr>
                <w:rFonts w:ascii="宋体" w:hAnsi="宋体" w:cs="宋体" w:eastAsia="宋体" w:hint="default"/>
                <w:sz w:val="18"/>
                <w:szCs w:val="18"/>
              </w:rPr>
            </w:pPr>
            <w:r>
              <w:rPr>
                <w:rFonts w:ascii="Arial" w:hAnsi="Arial" w:cs="Arial" w:eastAsia="Arial" w:hint="default"/>
                <w:sz w:val="18"/>
                <w:szCs w:val="18"/>
              </w:rPr>
              <w:t>2005</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3"/>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00" w:hRule="exact"/>
        </w:trPr>
        <w:tc>
          <w:tcPr>
            <w:tcW w:w="923" w:type="dxa"/>
            <w:vMerge/>
            <w:tcBorders>
              <w:left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38" w:right="0"/>
              <w:jc w:val="center"/>
              <w:rPr>
                <w:rFonts w:ascii="宋体" w:hAnsi="宋体" w:cs="宋体" w:eastAsia="宋体" w:hint="default"/>
                <w:sz w:val="18"/>
                <w:szCs w:val="18"/>
              </w:rPr>
            </w:pPr>
            <w:r>
              <w:rPr>
                <w:rFonts w:ascii="宋体" w:hAnsi="宋体" w:cs="宋体" w:eastAsia="宋体" w:hint="default"/>
                <w:sz w:val="18"/>
                <w:szCs w:val="18"/>
              </w:rPr>
              <w:t>中国企业联合会</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582" w:right="0"/>
              <w:jc w:val="left"/>
              <w:rPr>
                <w:rFonts w:ascii="宋体" w:hAnsi="宋体" w:cs="宋体" w:eastAsia="宋体" w:hint="default"/>
                <w:sz w:val="18"/>
                <w:szCs w:val="18"/>
              </w:rPr>
            </w:pPr>
            <w:r>
              <w:rPr>
                <w:rFonts w:ascii="宋体" w:hAnsi="宋体" w:cs="宋体" w:eastAsia="宋体" w:hint="default"/>
                <w:sz w:val="18"/>
                <w:szCs w:val="18"/>
              </w:rPr>
              <w:t>常务理事</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61" w:right="0"/>
              <w:jc w:val="left"/>
              <w:rPr>
                <w:rFonts w:ascii="宋体" w:hAnsi="宋体" w:cs="宋体" w:eastAsia="宋体" w:hint="default"/>
                <w:sz w:val="18"/>
                <w:szCs w:val="18"/>
              </w:rPr>
            </w:pPr>
            <w:r>
              <w:rPr>
                <w:rFonts w:ascii="Arial" w:hAnsi="Arial" w:cs="Arial" w:eastAsia="Arial" w:hint="default"/>
                <w:sz w:val="18"/>
                <w:szCs w:val="18"/>
              </w:rPr>
              <w:t>2006</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3"/>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99" w:hRule="exact"/>
        </w:trPr>
        <w:tc>
          <w:tcPr>
            <w:tcW w:w="923" w:type="dxa"/>
            <w:vMerge/>
            <w:tcBorders>
              <w:left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38" w:right="0"/>
              <w:jc w:val="center"/>
              <w:rPr>
                <w:rFonts w:ascii="宋体" w:hAnsi="宋体" w:cs="宋体" w:eastAsia="宋体" w:hint="default"/>
                <w:sz w:val="18"/>
                <w:szCs w:val="18"/>
              </w:rPr>
            </w:pPr>
            <w:r>
              <w:rPr>
                <w:rFonts w:ascii="宋体" w:hAnsi="宋体" w:cs="宋体" w:eastAsia="宋体" w:hint="default"/>
                <w:sz w:val="18"/>
                <w:szCs w:val="18"/>
              </w:rPr>
              <w:t>中银国际基金管理有限公司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58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61" w:right="0"/>
              <w:jc w:val="left"/>
              <w:rPr>
                <w:rFonts w:ascii="宋体" w:hAnsi="宋体" w:cs="宋体" w:eastAsia="宋体" w:hint="default"/>
                <w:sz w:val="18"/>
                <w:szCs w:val="18"/>
              </w:rPr>
            </w:pPr>
            <w:r>
              <w:rPr>
                <w:rFonts w:ascii="Arial" w:hAnsi="Arial" w:cs="Arial" w:eastAsia="Arial" w:hint="default"/>
                <w:sz w:val="18"/>
                <w:szCs w:val="18"/>
              </w:rPr>
              <w:t>2004</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3"/>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99" w:hRule="exact"/>
        </w:trPr>
        <w:tc>
          <w:tcPr>
            <w:tcW w:w="923" w:type="dxa"/>
            <w:vMerge/>
            <w:tcBorders>
              <w:left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38" w:right="0"/>
              <w:jc w:val="center"/>
              <w:rPr>
                <w:rFonts w:ascii="宋体" w:hAnsi="宋体" w:cs="宋体" w:eastAsia="宋体" w:hint="default"/>
                <w:sz w:val="18"/>
                <w:szCs w:val="18"/>
              </w:rPr>
            </w:pPr>
            <w:r>
              <w:rPr>
                <w:rFonts w:ascii="宋体" w:hAnsi="宋体" w:cs="宋体" w:eastAsia="宋体" w:hint="default"/>
                <w:sz w:val="18"/>
                <w:szCs w:val="18"/>
              </w:rPr>
              <w:t>中国通信服务股份有限公司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58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61" w:right="0"/>
              <w:jc w:val="left"/>
              <w:rPr>
                <w:rFonts w:ascii="宋体" w:hAnsi="宋体" w:cs="宋体" w:eastAsia="宋体" w:hint="default"/>
                <w:sz w:val="18"/>
                <w:szCs w:val="18"/>
              </w:rPr>
            </w:pPr>
            <w:r>
              <w:rPr>
                <w:rFonts w:ascii="Arial" w:hAnsi="Arial" w:cs="Arial" w:eastAsia="Arial" w:hint="default"/>
                <w:sz w:val="18"/>
                <w:szCs w:val="18"/>
              </w:rPr>
              <w:t>2005</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3"/>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99" w:hRule="exact"/>
        </w:trPr>
        <w:tc>
          <w:tcPr>
            <w:tcW w:w="923" w:type="dxa"/>
            <w:vMerge/>
            <w:tcBorders>
              <w:left w:val="single" w:sz="6" w:space="0" w:color="000000"/>
              <w:bottom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38" w:right="0"/>
              <w:jc w:val="center"/>
              <w:rPr>
                <w:rFonts w:ascii="宋体" w:hAnsi="宋体" w:cs="宋体" w:eastAsia="宋体" w:hint="default"/>
                <w:sz w:val="18"/>
                <w:szCs w:val="18"/>
              </w:rPr>
            </w:pPr>
            <w:r>
              <w:rPr>
                <w:rFonts w:ascii="宋体" w:hAnsi="宋体" w:cs="宋体" w:eastAsia="宋体" w:hint="default"/>
                <w:sz w:val="18"/>
                <w:szCs w:val="18"/>
              </w:rPr>
              <w:t>东方电气股份有限公司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58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61"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1"/>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99" w:hRule="exact"/>
        </w:trPr>
        <w:tc>
          <w:tcPr>
            <w:tcW w:w="923" w:type="dxa"/>
            <w:vMerge w:val="restart"/>
            <w:tcBorders>
              <w:top w:val="single" w:sz="6" w:space="0" w:color="000000"/>
              <w:left w:val="single" w:sz="6" w:space="0" w:color="000000"/>
              <w:right w:val="single" w:sz="6" w:space="0" w:color="000000"/>
            </w:tcBorders>
          </w:tcPr>
          <w:p>
            <w:pPr>
              <w:pStyle w:val="TableParagraph"/>
              <w:spacing w:line="240" w:lineRule="auto" w:before="137"/>
              <w:ind w:left="183" w:right="0"/>
              <w:jc w:val="left"/>
              <w:rPr>
                <w:rFonts w:ascii="宋体" w:hAnsi="宋体" w:cs="宋体" w:eastAsia="宋体" w:hint="default"/>
                <w:sz w:val="18"/>
                <w:szCs w:val="18"/>
              </w:rPr>
            </w:pPr>
            <w:r>
              <w:rPr>
                <w:rFonts w:ascii="宋体" w:hAnsi="宋体" w:cs="宋体" w:eastAsia="宋体" w:hint="default"/>
                <w:sz w:val="18"/>
                <w:szCs w:val="18"/>
              </w:rPr>
              <w:t>张英海</w:t>
            </w: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38" w:right="0"/>
              <w:jc w:val="center"/>
              <w:rPr>
                <w:rFonts w:ascii="宋体" w:hAnsi="宋体" w:cs="宋体" w:eastAsia="宋体" w:hint="default"/>
                <w:sz w:val="18"/>
                <w:szCs w:val="18"/>
              </w:rPr>
            </w:pPr>
            <w:r>
              <w:rPr>
                <w:rFonts w:ascii="宋体" w:hAnsi="宋体" w:cs="宋体" w:eastAsia="宋体" w:hint="default"/>
                <w:sz w:val="18"/>
                <w:szCs w:val="18"/>
              </w:rPr>
              <w:t>北京通信信息协会</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理事长</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75" w:right="0"/>
              <w:jc w:val="lef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1</w:t>
            </w:r>
            <w:r>
              <w:rPr>
                <w:rFonts w:ascii="Arial" w:hAnsi="Arial" w:cs="Arial" w:eastAsia="Arial" w:hint="default"/>
                <w:spacing w:val="-8"/>
                <w:sz w:val="18"/>
                <w:szCs w:val="18"/>
              </w:rPr>
              <w:t> </w:t>
            </w:r>
            <w:r>
              <w:rPr>
                <w:rFonts w:ascii="宋体" w:hAnsi="宋体" w:cs="宋体" w:eastAsia="宋体" w:hint="default"/>
                <w:sz w:val="18"/>
                <w:szCs w:val="18"/>
              </w:rPr>
              <w:t>月</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3"/>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00" w:hRule="exact"/>
        </w:trPr>
        <w:tc>
          <w:tcPr>
            <w:tcW w:w="923" w:type="dxa"/>
            <w:vMerge/>
            <w:tcBorders>
              <w:left w:val="single" w:sz="6" w:space="0" w:color="000000"/>
              <w:bottom w:val="single" w:sz="6" w:space="0" w:color="000000"/>
              <w:right w:val="single" w:sz="6" w:space="0" w:color="000000"/>
            </w:tcBorders>
          </w:tcPr>
          <w:p>
            <w:pPr/>
          </w:p>
        </w:tc>
        <w:tc>
          <w:tcPr>
            <w:tcW w:w="2503"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38" w:right="0"/>
              <w:jc w:val="center"/>
              <w:rPr>
                <w:rFonts w:ascii="宋体" w:hAnsi="宋体" w:cs="宋体" w:eastAsia="宋体" w:hint="default"/>
                <w:sz w:val="18"/>
                <w:szCs w:val="18"/>
              </w:rPr>
            </w:pPr>
            <w:r>
              <w:rPr>
                <w:rFonts w:ascii="宋体" w:hAnsi="宋体" w:cs="宋体" w:eastAsia="宋体" w:hint="default"/>
                <w:sz w:val="18"/>
                <w:szCs w:val="18"/>
              </w:rPr>
              <w:t>北京梅泰诺通信技术股份公司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58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76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25"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p>
        </w:tc>
        <w:tc>
          <w:tcPr>
            <w:tcW w:w="7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71"/>
              <w:jc w:val="right"/>
              <w:rPr>
                <w:rFonts w:ascii="宋体" w:hAnsi="宋体" w:cs="宋体" w:eastAsia="宋体" w:hint="default"/>
                <w:sz w:val="18"/>
                <w:szCs w:val="18"/>
              </w:rPr>
            </w:pPr>
            <w:r>
              <w:rPr>
                <w:rFonts w:ascii="宋体" w:hAnsi="宋体" w:cs="宋体" w:eastAsia="宋体" w:hint="default"/>
                <w:sz w:val="18"/>
                <w:szCs w:val="18"/>
              </w:rPr>
              <w:t>至今</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是</w:t>
            </w:r>
          </w:p>
        </w:tc>
      </w:tr>
    </w:tbl>
    <w:p>
      <w:pPr>
        <w:spacing w:after="0" w:line="231" w:lineRule="exact"/>
        <w:jc w:val="center"/>
        <w:rPr>
          <w:rFonts w:ascii="宋体" w:hAnsi="宋体" w:cs="宋体" w:eastAsia="宋体" w:hint="default"/>
          <w:sz w:val="18"/>
          <w:szCs w:val="18"/>
        </w:rPr>
        <w:sectPr>
          <w:pgSz w:w="11910" w:h="16840"/>
          <w:pgMar w:header="587" w:footer="774" w:top="960" w:bottom="960" w:left="1100" w:right="114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tbl>
      <w:tblPr>
        <w:tblW w:w="0" w:type="auto"/>
        <w:jc w:val="left"/>
        <w:tblInd w:w="658" w:type="dxa"/>
        <w:tblLayout w:type="fixed"/>
        <w:tblCellMar>
          <w:top w:w="0" w:type="dxa"/>
          <w:left w:w="0" w:type="dxa"/>
          <w:bottom w:w="0" w:type="dxa"/>
          <w:right w:w="0" w:type="dxa"/>
        </w:tblCellMar>
        <w:tblLook w:val="01E0"/>
      </w:tblPr>
      <w:tblGrid>
        <w:gridCol w:w="924"/>
        <w:gridCol w:w="2502"/>
        <w:gridCol w:w="1900"/>
        <w:gridCol w:w="1762"/>
        <w:gridCol w:w="726"/>
        <w:gridCol w:w="1132"/>
      </w:tblGrid>
      <w:tr>
        <w:trPr>
          <w:trHeight w:val="248" w:hRule="exact"/>
        </w:trPr>
        <w:tc>
          <w:tcPr>
            <w:tcW w:w="924"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83" w:right="0"/>
              <w:jc w:val="left"/>
              <w:rPr>
                <w:rFonts w:ascii="宋体" w:hAnsi="宋体" w:cs="宋体" w:eastAsia="宋体" w:hint="default"/>
                <w:sz w:val="18"/>
                <w:szCs w:val="18"/>
              </w:rPr>
            </w:pPr>
            <w:r>
              <w:rPr>
                <w:rFonts w:ascii="宋体" w:hAnsi="宋体" w:cs="宋体" w:eastAsia="宋体" w:hint="default"/>
                <w:sz w:val="18"/>
                <w:szCs w:val="18"/>
              </w:rPr>
              <w:t>夏大慰</w:t>
            </w:r>
          </w:p>
        </w:tc>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39" w:right="0"/>
              <w:jc w:val="center"/>
              <w:rPr>
                <w:rFonts w:ascii="宋体" w:hAnsi="宋体" w:cs="宋体" w:eastAsia="宋体" w:hint="default"/>
                <w:sz w:val="18"/>
                <w:szCs w:val="18"/>
              </w:rPr>
            </w:pPr>
            <w:r>
              <w:rPr>
                <w:rFonts w:ascii="宋体" w:hAnsi="宋体" w:cs="宋体" w:eastAsia="宋体" w:hint="default"/>
                <w:sz w:val="18"/>
                <w:szCs w:val="18"/>
              </w:rPr>
              <w:t>中国工业经济学会</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副会长</w:t>
            </w:r>
          </w:p>
        </w:tc>
        <w:tc>
          <w:tcPr>
            <w:tcW w:w="176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1998</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74"/>
              <w:jc w:val="right"/>
              <w:rPr>
                <w:rFonts w:ascii="宋体" w:hAnsi="宋体" w:cs="宋体" w:eastAsia="宋体" w:hint="default"/>
                <w:sz w:val="18"/>
                <w:szCs w:val="18"/>
              </w:rPr>
            </w:pPr>
            <w:r>
              <w:rPr>
                <w:rFonts w:ascii="宋体" w:hAnsi="宋体" w:cs="宋体" w:eastAsia="宋体" w:hint="default"/>
                <w:sz w:val="18"/>
                <w:szCs w:val="18"/>
              </w:rPr>
              <w:t>至今</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24" w:type="dxa"/>
            <w:vMerge/>
            <w:tcBorders>
              <w:left w:val="single" w:sz="6" w:space="0" w:color="000000"/>
              <w:right w:val="single" w:sz="6" w:space="0" w:color="000000"/>
            </w:tcBorders>
          </w:tcPr>
          <w:p>
            <w:pPr/>
          </w:p>
        </w:tc>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财政部会计准则委员会</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咨询专家</w:t>
            </w:r>
          </w:p>
        </w:tc>
        <w:tc>
          <w:tcPr>
            <w:tcW w:w="176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2002</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74"/>
              <w:jc w:val="right"/>
              <w:rPr>
                <w:rFonts w:ascii="宋体" w:hAnsi="宋体" w:cs="宋体" w:eastAsia="宋体" w:hint="default"/>
                <w:sz w:val="18"/>
                <w:szCs w:val="18"/>
              </w:rPr>
            </w:pPr>
            <w:r>
              <w:rPr>
                <w:rFonts w:ascii="宋体" w:hAnsi="宋体" w:cs="宋体" w:eastAsia="宋体" w:hint="default"/>
                <w:sz w:val="18"/>
                <w:szCs w:val="18"/>
              </w:rPr>
              <w:t>至今</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82" w:hRule="exact"/>
        </w:trPr>
        <w:tc>
          <w:tcPr>
            <w:tcW w:w="924" w:type="dxa"/>
            <w:vMerge/>
            <w:tcBorders>
              <w:left w:val="single" w:sz="6" w:space="0" w:color="000000"/>
              <w:right w:val="single" w:sz="6" w:space="0" w:color="000000"/>
            </w:tcBorders>
          </w:tcPr>
          <w:p>
            <w:pPr/>
          </w:p>
        </w:tc>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sz w:val="18"/>
                <w:szCs w:val="18"/>
              </w:rPr>
              <w:t>财政部企业内部控制标准委员</w:t>
            </w:r>
          </w:p>
          <w:p>
            <w:pPr>
              <w:pStyle w:val="TableParagraph"/>
              <w:spacing w:line="235" w:lineRule="exact"/>
              <w:ind w:right="1"/>
              <w:jc w:val="center"/>
              <w:rPr>
                <w:rFonts w:ascii="宋体" w:hAnsi="宋体" w:cs="宋体" w:eastAsia="宋体" w:hint="default"/>
                <w:sz w:val="18"/>
                <w:szCs w:val="18"/>
              </w:rPr>
            </w:pPr>
            <w:r>
              <w:rPr>
                <w:rFonts w:ascii="宋体" w:hAnsi="宋体" w:cs="宋体" w:eastAsia="宋体" w:hint="default"/>
                <w:sz w:val="18"/>
                <w:szCs w:val="18"/>
              </w:rPr>
              <w:t>会</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委员</w:t>
            </w:r>
          </w:p>
        </w:tc>
        <w:tc>
          <w:tcPr>
            <w:tcW w:w="17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74"/>
              <w:jc w:val="right"/>
              <w:rPr>
                <w:rFonts w:ascii="宋体" w:hAnsi="宋体" w:cs="宋体" w:eastAsia="宋体" w:hint="default"/>
                <w:sz w:val="18"/>
                <w:szCs w:val="18"/>
              </w:rPr>
            </w:pPr>
            <w:r>
              <w:rPr>
                <w:rFonts w:ascii="宋体" w:hAnsi="宋体" w:cs="宋体" w:eastAsia="宋体" w:hint="default"/>
                <w:sz w:val="18"/>
                <w:szCs w:val="18"/>
              </w:rPr>
              <w:t>至今</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24" w:type="dxa"/>
            <w:vMerge/>
            <w:tcBorders>
              <w:left w:val="single" w:sz="6" w:space="0" w:color="000000"/>
              <w:right w:val="single" w:sz="6" w:space="0" w:color="000000"/>
            </w:tcBorders>
          </w:tcPr>
          <w:p>
            <w:pPr/>
          </w:p>
        </w:tc>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香港中文大学</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名誉教授</w:t>
            </w:r>
          </w:p>
        </w:tc>
        <w:tc>
          <w:tcPr>
            <w:tcW w:w="176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2004</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74"/>
              <w:jc w:val="right"/>
              <w:rPr>
                <w:rFonts w:ascii="宋体" w:hAnsi="宋体" w:cs="宋体" w:eastAsia="宋体" w:hint="default"/>
                <w:sz w:val="18"/>
                <w:szCs w:val="18"/>
              </w:rPr>
            </w:pPr>
            <w:r>
              <w:rPr>
                <w:rFonts w:ascii="宋体" w:hAnsi="宋体" w:cs="宋体" w:eastAsia="宋体" w:hint="default"/>
                <w:sz w:val="18"/>
                <w:szCs w:val="18"/>
              </w:rPr>
              <w:t>至今</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24" w:type="dxa"/>
            <w:vMerge/>
            <w:tcBorders>
              <w:left w:val="single" w:sz="6" w:space="0" w:color="000000"/>
              <w:right w:val="single" w:sz="6" w:space="0" w:color="000000"/>
            </w:tcBorders>
          </w:tcPr>
          <w:p>
            <w:pPr/>
          </w:p>
        </w:tc>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复旦大学管理学院</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兼职教授</w:t>
            </w:r>
          </w:p>
        </w:tc>
        <w:tc>
          <w:tcPr>
            <w:tcW w:w="176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2003</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74"/>
              <w:jc w:val="right"/>
              <w:rPr>
                <w:rFonts w:ascii="宋体" w:hAnsi="宋体" w:cs="宋体" w:eastAsia="宋体" w:hint="default"/>
                <w:sz w:val="18"/>
                <w:szCs w:val="18"/>
              </w:rPr>
            </w:pPr>
            <w:r>
              <w:rPr>
                <w:rFonts w:ascii="宋体" w:hAnsi="宋体" w:cs="宋体" w:eastAsia="宋体" w:hint="default"/>
                <w:sz w:val="18"/>
                <w:szCs w:val="18"/>
              </w:rPr>
              <w:t>至今</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82" w:hRule="exact"/>
        </w:trPr>
        <w:tc>
          <w:tcPr>
            <w:tcW w:w="924" w:type="dxa"/>
            <w:vMerge/>
            <w:tcBorders>
              <w:left w:val="single" w:sz="6" w:space="0" w:color="000000"/>
              <w:right w:val="single" w:sz="6" w:space="0" w:color="000000"/>
            </w:tcBorders>
          </w:tcPr>
          <w:p>
            <w:pPr/>
          </w:p>
        </w:tc>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4" w:right="0"/>
              <w:jc w:val="center"/>
              <w:rPr>
                <w:rFonts w:ascii="宋体" w:hAnsi="宋体" w:cs="宋体" w:eastAsia="宋体" w:hint="default"/>
                <w:sz w:val="18"/>
                <w:szCs w:val="18"/>
              </w:rPr>
            </w:pPr>
            <w:r>
              <w:rPr>
                <w:rFonts w:ascii="宋体" w:hAnsi="宋体" w:cs="宋体" w:eastAsia="宋体" w:hint="default"/>
                <w:sz w:val="18"/>
                <w:szCs w:val="18"/>
              </w:rPr>
              <w:t>上海证券交易所上市公司专家</w:t>
            </w:r>
          </w:p>
          <w:p>
            <w:pPr>
              <w:pStyle w:val="TableParagraph"/>
              <w:spacing w:line="235" w:lineRule="exact"/>
              <w:ind w:left="54" w:right="0"/>
              <w:jc w:val="center"/>
              <w:rPr>
                <w:rFonts w:ascii="宋体" w:hAnsi="宋体" w:cs="宋体" w:eastAsia="宋体" w:hint="default"/>
                <w:sz w:val="18"/>
                <w:szCs w:val="18"/>
              </w:rPr>
            </w:pPr>
            <w:r>
              <w:rPr>
                <w:rFonts w:ascii="宋体" w:hAnsi="宋体" w:cs="宋体" w:eastAsia="宋体" w:hint="default"/>
                <w:sz w:val="18"/>
                <w:szCs w:val="18"/>
              </w:rPr>
              <w:t>委员会</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委员</w:t>
            </w:r>
          </w:p>
        </w:tc>
        <w:tc>
          <w:tcPr>
            <w:tcW w:w="17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2001</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74"/>
              <w:jc w:val="right"/>
              <w:rPr>
                <w:rFonts w:ascii="宋体" w:hAnsi="宋体" w:cs="宋体" w:eastAsia="宋体" w:hint="default"/>
                <w:sz w:val="18"/>
                <w:szCs w:val="18"/>
              </w:rPr>
            </w:pPr>
            <w:r>
              <w:rPr>
                <w:rFonts w:ascii="宋体" w:hAnsi="宋体" w:cs="宋体" w:eastAsia="宋体" w:hint="default"/>
                <w:sz w:val="18"/>
                <w:szCs w:val="18"/>
              </w:rPr>
              <w:t>至今</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48" w:hRule="exact"/>
        </w:trPr>
        <w:tc>
          <w:tcPr>
            <w:tcW w:w="924" w:type="dxa"/>
            <w:vMerge/>
            <w:tcBorders>
              <w:left w:val="single" w:sz="6" w:space="0" w:color="000000"/>
              <w:right w:val="single" w:sz="6" w:space="0" w:color="000000"/>
            </w:tcBorders>
          </w:tcPr>
          <w:p>
            <w:pPr/>
          </w:p>
        </w:tc>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left="54" w:right="0"/>
              <w:jc w:val="center"/>
              <w:rPr>
                <w:rFonts w:ascii="宋体" w:hAnsi="宋体" w:cs="宋体" w:eastAsia="宋体" w:hint="default"/>
                <w:sz w:val="18"/>
                <w:szCs w:val="18"/>
              </w:rPr>
            </w:pPr>
            <w:r>
              <w:rPr>
                <w:rFonts w:ascii="宋体" w:hAnsi="宋体" w:cs="宋体" w:eastAsia="宋体" w:hint="default"/>
                <w:sz w:val="18"/>
                <w:szCs w:val="18"/>
              </w:rPr>
              <w:t>联华超市股份有限公司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76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2004</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74"/>
              <w:jc w:val="right"/>
              <w:rPr>
                <w:rFonts w:ascii="宋体" w:hAnsi="宋体" w:cs="宋体" w:eastAsia="宋体" w:hint="default"/>
                <w:sz w:val="18"/>
                <w:szCs w:val="18"/>
              </w:rPr>
            </w:pPr>
            <w:r>
              <w:rPr>
                <w:rFonts w:ascii="宋体" w:hAnsi="宋体" w:cs="宋体" w:eastAsia="宋体" w:hint="default"/>
                <w:sz w:val="18"/>
                <w:szCs w:val="18"/>
              </w:rPr>
              <w:t>至今</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81" w:hRule="exact"/>
        </w:trPr>
        <w:tc>
          <w:tcPr>
            <w:tcW w:w="924" w:type="dxa"/>
            <w:vMerge/>
            <w:tcBorders>
              <w:left w:val="single" w:sz="6" w:space="0" w:color="000000"/>
              <w:right w:val="single" w:sz="6" w:space="0" w:color="000000"/>
            </w:tcBorders>
          </w:tcPr>
          <w:p>
            <w:pPr/>
          </w:p>
        </w:tc>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55" w:right="0"/>
              <w:jc w:val="center"/>
              <w:rPr>
                <w:rFonts w:ascii="宋体" w:hAnsi="宋体" w:cs="宋体" w:eastAsia="宋体" w:hint="default"/>
                <w:sz w:val="18"/>
                <w:szCs w:val="18"/>
              </w:rPr>
            </w:pPr>
            <w:r>
              <w:rPr>
                <w:rFonts w:ascii="宋体" w:hAnsi="宋体" w:cs="宋体" w:eastAsia="宋体" w:hint="default"/>
                <w:spacing w:val="-7"/>
                <w:sz w:val="18"/>
                <w:szCs w:val="18"/>
              </w:rPr>
              <w:t>上海锦江国际酒店（集团）股份</w:t>
            </w:r>
          </w:p>
          <w:p>
            <w:pPr>
              <w:pStyle w:val="TableParagraph"/>
              <w:spacing w:line="234" w:lineRule="exact"/>
              <w:ind w:left="53" w:right="0"/>
              <w:jc w:val="center"/>
              <w:rPr>
                <w:rFonts w:ascii="宋体" w:hAnsi="宋体" w:cs="宋体" w:eastAsia="宋体" w:hint="default"/>
                <w:sz w:val="18"/>
                <w:szCs w:val="18"/>
              </w:rPr>
            </w:pPr>
            <w:r>
              <w:rPr>
                <w:rFonts w:ascii="宋体" w:hAnsi="宋体" w:cs="宋体" w:eastAsia="宋体" w:hint="default"/>
                <w:sz w:val="18"/>
                <w:szCs w:val="18"/>
              </w:rPr>
              <w:t>有限公司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7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Arial" w:hAnsi="Arial" w:cs="Arial" w:eastAsia="Arial" w:hint="default"/>
                <w:sz w:val="18"/>
                <w:szCs w:val="18"/>
              </w:rPr>
              <w:t>2006</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74"/>
              <w:jc w:val="right"/>
              <w:rPr>
                <w:rFonts w:ascii="宋体" w:hAnsi="宋体" w:cs="宋体" w:eastAsia="宋体" w:hint="default"/>
                <w:sz w:val="18"/>
                <w:szCs w:val="18"/>
              </w:rPr>
            </w:pPr>
            <w:r>
              <w:rPr>
                <w:rFonts w:ascii="宋体" w:hAnsi="宋体" w:cs="宋体" w:eastAsia="宋体" w:hint="default"/>
                <w:sz w:val="18"/>
                <w:szCs w:val="18"/>
              </w:rPr>
              <w:t>至今</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250" w:hRule="exact"/>
        </w:trPr>
        <w:tc>
          <w:tcPr>
            <w:tcW w:w="924" w:type="dxa"/>
            <w:vMerge/>
            <w:tcBorders>
              <w:left w:val="single" w:sz="6" w:space="0" w:color="000000"/>
              <w:bottom w:val="single" w:sz="6" w:space="0" w:color="000000"/>
              <w:right w:val="single" w:sz="6" w:space="0" w:color="000000"/>
            </w:tcBorders>
          </w:tcPr>
          <w:p>
            <w:pPr/>
          </w:p>
        </w:tc>
        <w:tc>
          <w:tcPr>
            <w:tcW w:w="250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53" w:right="0"/>
              <w:jc w:val="center"/>
              <w:rPr>
                <w:rFonts w:ascii="宋体" w:hAnsi="宋体" w:cs="宋体" w:eastAsia="宋体" w:hint="default"/>
                <w:sz w:val="18"/>
                <w:szCs w:val="18"/>
              </w:rPr>
            </w:pPr>
            <w:r>
              <w:rPr>
                <w:rFonts w:ascii="宋体" w:hAnsi="宋体" w:cs="宋体" w:eastAsia="宋体" w:hint="default"/>
                <w:sz w:val="18"/>
                <w:szCs w:val="18"/>
              </w:rPr>
              <w:t>上海电力股份有限公司</w:t>
            </w:r>
          </w:p>
        </w:tc>
        <w:tc>
          <w:tcPr>
            <w:tcW w:w="190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762"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10"/>
                <w:sz w:val="18"/>
                <w:szCs w:val="18"/>
              </w:rPr>
              <w:t> </w:t>
            </w:r>
            <w:r>
              <w:rPr>
                <w:rFonts w:ascii="宋体" w:hAnsi="宋体" w:cs="宋体" w:eastAsia="宋体" w:hint="default"/>
                <w:sz w:val="18"/>
                <w:szCs w:val="18"/>
              </w:rPr>
              <w:t>年</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74"/>
              <w:jc w:val="right"/>
              <w:rPr>
                <w:rFonts w:ascii="宋体" w:hAnsi="宋体" w:cs="宋体" w:eastAsia="宋体" w:hint="default"/>
                <w:sz w:val="18"/>
                <w:szCs w:val="18"/>
              </w:rPr>
            </w:pPr>
            <w:r>
              <w:rPr>
                <w:rFonts w:ascii="宋体" w:hAnsi="宋体" w:cs="宋体" w:eastAsia="宋体" w:hint="default"/>
                <w:sz w:val="18"/>
                <w:szCs w:val="18"/>
              </w:rPr>
              <w:t>至今</w:t>
            </w:r>
          </w:p>
        </w:tc>
        <w:tc>
          <w:tcPr>
            <w:tcW w:w="1132"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right="1"/>
              <w:jc w:val="center"/>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2"/>
        <w:rPr>
          <w:rFonts w:ascii="宋体" w:hAnsi="宋体" w:cs="宋体" w:eastAsia="宋体" w:hint="default"/>
          <w:sz w:val="14"/>
          <w:szCs w:val="14"/>
        </w:rPr>
      </w:pPr>
    </w:p>
    <w:p>
      <w:pPr>
        <w:pStyle w:val="BodyText"/>
        <w:spacing w:line="240" w:lineRule="auto" w:before="31"/>
        <w:ind w:left="105" w:right="90"/>
        <w:jc w:val="left"/>
      </w:pPr>
      <w:r>
        <w:rPr/>
        <w:t>（三）董事、监事、高级管理人员报酬情况</w:t>
      </w:r>
    </w:p>
    <w:p>
      <w:pPr>
        <w:spacing w:line="240" w:lineRule="auto" w:before="1"/>
        <w:rPr>
          <w:rFonts w:ascii="宋体" w:hAnsi="宋体" w:cs="宋体" w:eastAsia="宋体" w:hint="default"/>
          <w:sz w:val="19"/>
          <w:szCs w:val="19"/>
        </w:rPr>
      </w:pPr>
    </w:p>
    <w:p>
      <w:pPr>
        <w:pStyle w:val="BodyText"/>
        <w:spacing w:line="240" w:lineRule="auto"/>
        <w:ind w:left="329" w:right="90"/>
        <w:jc w:val="left"/>
      </w:pPr>
      <w:r>
        <w:rPr>
          <w:rFonts w:ascii="Arial" w:hAnsi="Arial" w:cs="Arial" w:eastAsia="Arial" w:hint="default"/>
        </w:rPr>
        <w:t>1</w:t>
      </w:r>
      <w:r>
        <w:rPr/>
        <w:t>、</w:t>
      </w:r>
      <w:r>
        <w:rPr>
          <w:spacing w:val="-36"/>
        </w:rPr>
        <w:t> </w:t>
      </w:r>
      <w:r>
        <w:rPr/>
        <w:t>董事、监事、高级管理人员报酬的决策程序</w:t>
      </w:r>
    </w:p>
    <w:p>
      <w:pPr>
        <w:spacing w:line="240" w:lineRule="auto" w:before="2"/>
        <w:rPr>
          <w:rFonts w:ascii="宋体" w:hAnsi="宋体" w:cs="宋体" w:eastAsia="宋体" w:hint="default"/>
          <w:sz w:val="17"/>
          <w:szCs w:val="17"/>
        </w:rPr>
      </w:pPr>
    </w:p>
    <w:tbl>
      <w:tblPr>
        <w:tblW w:w="0" w:type="auto"/>
        <w:jc w:val="left"/>
        <w:tblInd w:w="658" w:type="dxa"/>
        <w:tblLayout w:type="fixed"/>
        <w:tblCellMar>
          <w:top w:w="0" w:type="dxa"/>
          <w:left w:w="0" w:type="dxa"/>
          <w:bottom w:w="0" w:type="dxa"/>
          <w:right w:w="0" w:type="dxa"/>
        </w:tblCellMar>
        <w:tblLook w:val="01E0"/>
      </w:tblPr>
      <w:tblGrid>
        <w:gridCol w:w="3976"/>
        <w:gridCol w:w="4980"/>
      </w:tblGrid>
      <w:tr>
        <w:trPr>
          <w:trHeight w:val="715" w:hRule="exact"/>
        </w:trPr>
        <w:tc>
          <w:tcPr>
            <w:tcW w:w="3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董事、监事、高级管理人员报酬的决策程序</w:t>
            </w:r>
          </w:p>
        </w:tc>
        <w:tc>
          <w:tcPr>
            <w:tcW w:w="4980"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20" w:right="0"/>
              <w:jc w:val="left"/>
              <w:rPr>
                <w:rFonts w:ascii="宋体" w:hAnsi="宋体" w:cs="宋体" w:eastAsia="宋体" w:hint="default"/>
                <w:sz w:val="18"/>
                <w:szCs w:val="18"/>
              </w:rPr>
            </w:pPr>
            <w:r>
              <w:rPr>
                <w:rFonts w:ascii="宋体" w:hAnsi="宋体" w:cs="宋体" w:eastAsia="宋体" w:hint="default"/>
                <w:sz w:val="18"/>
                <w:szCs w:val="18"/>
              </w:rPr>
              <w:t>董事和监事的报酬，由董事会、监事会分别拟订方案，提交股</w:t>
            </w:r>
          </w:p>
          <w:p>
            <w:pPr>
              <w:pStyle w:val="TableParagraph"/>
              <w:spacing w:line="232" w:lineRule="exact" w:before="24"/>
              <w:ind w:left="20" w:right="83"/>
              <w:jc w:val="left"/>
              <w:rPr>
                <w:rFonts w:ascii="宋体" w:hAnsi="宋体" w:cs="宋体" w:eastAsia="宋体" w:hint="default"/>
                <w:sz w:val="18"/>
                <w:szCs w:val="18"/>
              </w:rPr>
            </w:pPr>
            <w:r>
              <w:rPr>
                <w:rFonts w:ascii="宋体" w:hAnsi="宋体" w:cs="宋体" w:eastAsia="宋体" w:hint="default"/>
                <w:sz w:val="18"/>
                <w:szCs w:val="18"/>
              </w:rPr>
              <w:t>东大会审议。高级管理人员的报酬，由董事会制定薪酬标准并 组织考核确定。</w:t>
            </w:r>
          </w:p>
        </w:tc>
      </w:tr>
      <w:tr>
        <w:trPr>
          <w:trHeight w:val="270" w:hRule="exact"/>
        </w:trPr>
        <w:tc>
          <w:tcPr>
            <w:tcW w:w="3976"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董事、监事、高级管理人员报酬确定依据</w:t>
            </w:r>
          </w:p>
        </w:tc>
        <w:tc>
          <w:tcPr>
            <w:tcW w:w="4980"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20" w:right="-31"/>
              <w:jc w:val="left"/>
              <w:rPr>
                <w:rFonts w:ascii="宋体" w:hAnsi="宋体" w:cs="宋体" w:eastAsia="宋体" w:hint="default"/>
                <w:sz w:val="18"/>
                <w:szCs w:val="18"/>
              </w:rPr>
            </w:pPr>
            <w:r>
              <w:rPr>
                <w:rFonts w:ascii="宋体" w:hAnsi="宋体" w:cs="宋体" w:eastAsia="宋体" w:hint="default"/>
                <w:spacing w:val="-3"/>
                <w:sz w:val="18"/>
                <w:szCs w:val="18"/>
              </w:rPr>
              <w:t>高级管理人员的报酬，由董事会制定薪酬标准并组织考核确定。</w:t>
            </w:r>
          </w:p>
        </w:tc>
      </w:tr>
      <w:tr>
        <w:trPr>
          <w:trHeight w:val="271" w:hRule="exact"/>
        </w:trPr>
        <w:tc>
          <w:tcPr>
            <w:tcW w:w="3976"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董事、监事和高级管理人员报酬的实际支付情况</w:t>
            </w:r>
          </w:p>
        </w:tc>
        <w:tc>
          <w:tcPr>
            <w:tcW w:w="4980"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left="20" w:right="0"/>
              <w:jc w:val="left"/>
              <w:rPr>
                <w:rFonts w:ascii="宋体" w:hAnsi="宋体" w:cs="宋体" w:eastAsia="宋体" w:hint="default"/>
                <w:sz w:val="18"/>
                <w:szCs w:val="18"/>
              </w:rPr>
            </w:pPr>
            <w:r>
              <w:rPr>
                <w:rFonts w:ascii="宋体" w:hAnsi="宋体" w:cs="宋体" w:eastAsia="宋体" w:hint="default"/>
                <w:sz w:val="18"/>
                <w:szCs w:val="18"/>
              </w:rPr>
              <w:t>考核后支付。</w:t>
            </w:r>
          </w:p>
        </w:tc>
      </w:tr>
    </w:tbl>
    <w:p>
      <w:pPr>
        <w:spacing w:line="240" w:lineRule="auto" w:before="2"/>
        <w:rPr>
          <w:rFonts w:ascii="宋体" w:hAnsi="宋体" w:cs="宋体" w:eastAsia="宋体" w:hint="default"/>
          <w:sz w:val="14"/>
          <w:szCs w:val="14"/>
        </w:rPr>
      </w:pPr>
    </w:p>
    <w:p>
      <w:pPr>
        <w:pStyle w:val="BodyText"/>
        <w:spacing w:line="240" w:lineRule="auto" w:before="31"/>
        <w:ind w:left="329" w:right="90"/>
        <w:jc w:val="left"/>
      </w:pPr>
      <w:r>
        <w:rPr>
          <w:rFonts w:ascii="Arial" w:hAnsi="Arial" w:cs="Arial" w:eastAsia="Arial" w:hint="default"/>
        </w:rPr>
        <w:t>2</w:t>
      </w:r>
      <w:r>
        <w:rPr/>
        <w:t>、</w:t>
      </w:r>
      <w:r>
        <w:rPr>
          <w:spacing w:val="-35"/>
        </w:rPr>
        <w:t> </w:t>
      </w:r>
      <w:r>
        <w:rPr/>
        <w:t>不在公司领取报酬津贴的董事监事情况</w:t>
      </w:r>
    </w:p>
    <w:p>
      <w:pPr>
        <w:spacing w:line="240" w:lineRule="auto" w:before="2"/>
        <w:rPr>
          <w:rFonts w:ascii="宋体" w:hAnsi="宋体" w:cs="宋体" w:eastAsia="宋体" w:hint="default"/>
          <w:sz w:val="17"/>
          <w:szCs w:val="17"/>
        </w:rPr>
      </w:pPr>
    </w:p>
    <w:tbl>
      <w:tblPr>
        <w:tblW w:w="0" w:type="auto"/>
        <w:jc w:val="left"/>
        <w:tblInd w:w="658" w:type="dxa"/>
        <w:tblLayout w:type="fixed"/>
        <w:tblCellMar>
          <w:top w:w="0" w:type="dxa"/>
          <w:left w:w="0" w:type="dxa"/>
          <w:bottom w:w="0" w:type="dxa"/>
          <w:right w:w="0" w:type="dxa"/>
        </w:tblCellMar>
        <w:tblLook w:val="01E0"/>
      </w:tblPr>
      <w:tblGrid>
        <w:gridCol w:w="4165"/>
        <w:gridCol w:w="4790"/>
      </w:tblGrid>
      <w:tr>
        <w:trPr>
          <w:trHeight w:val="248" w:hRule="exact"/>
        </w:trPr>
        <w:tc>
          <w:tcPr>
            <w:tcW w:w="4165"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不在公司领取报酬津贴的董事、监事的姓名</w:t>
            </w:r>
          </w:p>
        </w:tc>
        <w:tc>
          <w:tcPr>
            <w:tcW w:w="479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是否在本集团股东单位或其它关联单位领取报酬津贴</w:t>
            </w:r>
          </w:p>
        </w:tc>
      </w:tr>
      <w:tr>
        <w:trPr>
          <w:trHeight w:val="270" w:hRule="exact"/>
        </w:trPr>
        <w:tc>
          <w:tcPr>
            <w:tcW w:w="4165"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right="1"/>
              <w:jc w:val="center"/>
              <w:rPr>
                <w:rFonts w:ascii="宋体" w:hAnsi="宋体" w:cs="宋体" w:eastAsia="宋体" w:hint="default"/>
                <w:sz w:val="18"/>
                <w:szCs w:val="18"/>
              </w:rPr>
            </w:pPr>
            <w:r>
              <w:rPr>
                <w:rFonts w:ascii="宋体" w:hAnsi="宋体" w:cs="宋体" w:eastAsia="宋体" w:hint="default"/>
                <w:sz w:val="18"/>
                <w:szCs w:val="18"/>
              </w:rPr>
              <w:t>常小兵</w:t>
            </w:r>
          </w:p>
        </w:tc>
        <w:tc>
          <w:tcPr>
            <w:tcW w:w="4790"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70" w:hRule="exact"/>
        </w:trPr>
        <w:tc>
          <w:tcPr>
            <w:tcW w:w="4165"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right="1"/>
              <w:jc w:val="center"/>
              <w:rPr>
                <w:rFonts w:ascii="宋体" w:hAnsi="宋体" w:cs="宋体" w:eastAsia="宋体" w:hint="default"/>
                <w:sz w:val="18"/>
                <w:szCs w:val="18"/>
              </w:rPr>
            </w:pPr>
            <w:r>
              <w:rPr>
                <w:rFonts w:ascii="宋体" w:hAnsi="宋体" w:cs="宋体" w:eastAsia="宋体" w:hint="default"/>
                <w:sz w:val="18"/>
                <w:szCs w:val="18"/>
              </w:rPr>
              <w:t>陆益民</w:t>
            </w:r>
          </w:p>
        </w:tc>
        <w:tc>
          <w:tcPr>
            <w:tcW w:w="4790"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70" w:hRule="exact"/>
        </w:trPr>
        <w:tc>
          <w:tcPr>
            <w:tcW w:w="4165"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right="1"/>
              <w:jc w:val="center"/>
              <w:rPr>
                <w:rFonts w:ascii="宋体" w:hAnsi="宋体" w:cs="宋体" w:eastAsia="宋体" w:hint="default"/>
                <w:sz w:val="18"/>
                <w:szCs w:val="18"/>
              </w:rPr>
            </w:pPr>
            <w:r>
              <w:rPr>
                <w:rFonts w:ascii="宋体" w:hAnsi="宋体" w:cs="宋体" w:eastAsia="宋体" w:hint="default"/>
                <w:sz w:val="18"/>
                <w:szCs w:val="18"/>
              </w:rPr>
              <w:t>左迅生</w:t>
            </w:r>
          </w:p>
        </w:tc>
        <w:tc>
          <w:tcPr>
            <w:tcW w:w="4790"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70" w:hRule="exact"/>
        </w:trPr>
        <w:tc>
          <w:tcPr>
            <w:tcW w:w="4165"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right="1"/>
              <w:jc w:val="center"/>
              <w:rPr>
                <w:rFonts w:ascii="宋体" w:hAnsi="宋体" w:cs="宋体" w:eastAsia="宋体" w:hint="default"/>
                <w:sz w:val="18"/>
                <w:szCs w:val="18"/>
              </w:rPr>
            </w:pPr>
            <w:r>
              <w:rPr>
                <w:rFonts w:ascii="宋体" w:hAnsi="宋体" w:cs="宋体" w:eastAsia="宋体" w:hint="default"/>
                <w:sz w:val="18"/>
                <w:szCs w:val="18"/>
              </w:rPr>
              <w:t>佟吉禄</w:t>
            </w:r>
          </w:p>
        </w:tc>
        <w:tc>
          <w:tcPr>
            <w:tcW w:w="4790"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70" w:hRule="exact"/>
        </w:trPr>
        <w:tc>
          <w:tcPr>
            <w:tcW w:w="4165"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right="1"/>
              <w:jc w:val="center"/>
              <w:rPr>
                <w:rFonts w:ascii="宋体" w:hAnsi="宋体" w:cs="宋体" w:eastAsia="宋体" w:hint="default"/>
                <w:sz w:val="18"/>
                <w:szCs w:val="18"/>
              </w:rPr>
            </w:pPr>
            <w:r>
              <w:rPr>
                <w:rFonts w:ascii="宋体" w:hAnsi="宋体" w:cs="宋体" w:eastAsia="宋体" w:hint="default"/>
                <w:sz w:val="18"/>
                <w:szCs w:val="18"/>
              </w:rPr>
              <w:t>李建国</w:t>
            </w:r>
          </w:p>
        </w:tc>
        <w:tc>
          <w:tcPr>
            <w:tcW w:w="4790"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70" w:hRule="exact"/>
        </w:trPr>
        <w:tc>
          <w:tcPr>
            <w:tcW w:w="4165"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right="1"/>
              <w:jc w:val="center"/>
              <w:rPr>
                <w:rFonts w:ascii="宋体" w:hAnsi="宋体" w:cs="宋体" w:eastAsia="宋体" w:hint="default"/>
                <w:sz w:val="18"/>
                <w:szCs w:val="18"/>
              </w:rPr>
            </w:pPr>
            <w:r>
              <w:rPr>
                <w:rFonts w:ascii="宋体" w:hAnsi="宋体" w:cs="宋体" w:eastAsia="宋体" w:hint="default"/>
                <w:sz w:val="18"/>
                <w:szCs w:val="18"/>
              </w:rPr>
              <w:t>赵传立</w:t>
            </w:r>
          </w:p>
        </w:tc>
        <w:tc>
          <w:tcPr>
            <w:tcW w:w="4790"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71" w:hRule="exact"/>
        </w:trPr>
        <w:tc>
          <w:tcPr>
            <w:tcW w:w="4165"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right="1"/>
              <w:jc w:val="center"/>
              <w:rPr>
                <w:rFonts w:ascii="宋体" w:hAnsi="宋体" w:cs="宋体" w:eastAsia="宋体" w:hint="default"/>
                <w:sz w:val="18"/>
                <w:szCs w:val="18"/>
              </w:rPr>
            </w:pPr>
            <w:r>
              <w:rPr>
                <w:rFonts w:ascii="宋体" w:hAnsi="宋体" w:cs="宋体" w:eastAsia="宋体" w:hint="default"/>
                <w:sz w:val="18"/>
                <w:szCs w:val="18"/>
              </w:rPr>
              <w:t>唐富馨</w:t>
            </w:r>
          </w:p>
        </w:tc>
        <w:tc>
          <w:tcPr>
            <w:tcW w:w="4790" w:type="dxa"/>
            <w:tcBorders>
              <w:top w:val="single" w:sz="6" w:space="0" w:color="000000"/>
              <w:left w:val="single" w:sz="6" w:space="0" w:color="000000"/>
              <w:bottom w:val="single" w:sz="6" w:space="0" w:color="000000"/>
              <w:right w:val="single" w:sz="6" w:space="0" w:color="000000"/>
            </w:tcBorders>
          </w:tcPr>
          <w:p>
            <w:pPr>
              <w:pStyle w:val="TableParagraph"/>
              <w:spacing w:line="216" w:lineRule="exact"/>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1"/>
        <w:rPr>
          <w:rFonts w:ascii="宋体" w:hAnsi="宋体" w:cs="宋体" w:eastAsia="宋体" w:hint="default"/>
          <w:sz w:val="14"/>
          <w:szCs w:val="14"/>
        </w:rPr>
      </w:pPr>
    </w:p>
    <w:p>
      <w:pPr>
        <w:pStyle w:val="BodyText"/>
        <w:spacing w:line="240" w:lineRule="auto" w:before="31"/>
        <w:ind w:left="763" w:right="90"/>
        <w:jc w:val="left"/>
      </w:pPr>
      <w:r>
        <w:rPr/>
        <w:t>注：上述人员均在本公司的下属子公司领取报酬。</w:t>
      </w:r>
    </w:p>
    <w:p>
      <w:pPr>
        <w:spacing w:line="240" w:lineRule="auto" w:before="2"/>
        <w:rPr>
          <w:rFonts w:ascii="宋体" w:hAnsi="宋体" w:cs="宋体" w:eastAsia="宋体" w:hint="default"/>
          <w:sz w:val="19"/>
          <w:szCs w:val="19"/>
        </w:rPr>
      </w:pPr>
    </w:p>
    <w:p>
      <w:pPr>
        <w:pStyle w:val="BodyText"/>
        <w:spacing w:line="240" w:lineRule="auto"/>
        <w:ind w:left="105" w:right="90"/>
        <w:jc w:val="left"/>
      </w:pPr>
      <w:r>
        <w:rPr/>
        <w:t>（四）公司董事、监事、高级管理人员变动情况</w:t>
      </w:r>
    </w:p>
    <w:p>
      <w:pPr>
        <w:spacing w:line="240" w:lineRule="auto" w:before="5"/>
        <w:rPr>
          <w:rFonts w:ascii="宋体" w:hAnsi="宋体" w:cs="宋体" w:eastAsia="宋体" w:hint="default"/>
          <w:sz w:val="18"/>
          <w:szCs w:val="18"/>
        </w:rPr>
      </w:pPr>
    </w:p>
    <w:tbl>
      <w:tblPr>
        <w:tblW w:w="0" w:type="auto"/>
        <w:jc w:val="left"/>
        <w:tblInd w:w="658" w:type="dxa"/>
        <w:tblLayout w:type="fixed"/>
        <w:tblCellMar>
          <w:top w:w="0" w:type="dxa"/>
          <w:left w:w="0" w:type="dxa"/>
          <w:bottom w:w="0" w:type="dxa"/>
          <w:right w:w="0" w:type="dxa"/>
        </w:tblCellMar>
        <w:tblLook w:val="01E0"/>
      </w:tblPr>
      <w:tblGrid>
        <w:gridCol w:w="840"/>
        <w:gridCol w:w="1224"/>
        <w:gridCol w:w="1397"/>
        <w:gridCol w:w="5554"/>
      </w:tblGrid>
      <w:tr>
        <w:trPr>
          <w:trHeight w:val="248"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230"/>
              <w:jc w:val="right"/>
              <w:rPr>
                <w:rFonts w:ascii="宋体" w:hAnsi="宋体" w:cs="宋体" w:eastAsia="宋体" w:hint="default"/>
                <w:sz w:val="18"/>
                <w:szCs w:val="18"/>
              </w:rPr>
            </w:pPr>
            <w:r>
              <w:rPr>
                <w:rFonts w:ascii="宋体" w:hAnsi="宋体" w:cs="宋体" w:eastAsia="宋体" w:hint="default"/>
                <w:sz w:val="18"/>
                <w:szCs w:val="18"/>
              </w:rPr>
              <w:t>姓名</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担任的职务</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变动情形</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0"/>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715"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82"/>
              <w:jc w:val="right"/>
              <w:rPr>
                <w:rFonts w:ascii="宋体" w:hAnsi="宋体" w:cs="宋体" w:eastAsia="宋体" w:hint="default"/>
                <w:sz w:val="18"/>
                <w:szCs w:val="18"/>
              </w:rPr>
            </w:pPr>
            <w:r>
              <w:rPr>
                <w:rFonts w:ascii="宋体" w:hAnsi="宋体" w:cs="宋体" w:eastAsia="宋体" w:hint="default"/>
                <w:sz w:val="18"/>
                <w:szCs w:val="18"/>
              </w:rPr>
              <w:t>常小兵</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聘任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Arial" w:hAnsi="Arial" w:cs="Arial" w:eastAsia="Arial" w:hint="default"/>
                <w:sz w:val="18"/>
                <w:szCs w:val="18"/>
              </w:rPr>
            </w:pPr>
            <w:r>
              <w:rPr>
                <w:rFonts w:ascii="宋体" w:hAnsi="宋体" w:cs="宋体" w:eastAsia="宋体" w:hint="default"/>
                <w:sz w:val="18"/>
                <w:szCs w:val="18"/>
              </w:rPr>
              <w:t>在公司</w:t>
            </w:r>
            <w:r>
              <w:rPr>
                <w:rFonts w:ascii="宋体" w:hAnsi="宋体" w:cs="宋体" w:eastAsia="宋体" w:hint="default"/>
                <w:spacing w:val="-66"/>
                <w:sz w:val="18"/>
                <w:szCs w:val="18"/>
              </w:rPr>
              <w:t> </w:t>
            </w:r>
            <w:r>
              <w:rPr>
                <w:rFonts w:ascii="Arial" w:hAnsi="Arial" w:cs="Arial" w:eastAsia="Arial" w:hint="default"/>
                <w:sz w:val="18"/>
                <w:szCs w:val="18"/>
              </w:rPr>
              <w:t>2009</w:t>
            </w:r>
            <w:r>
              <w:rPr>
                <w:rFonts w:ascii="Arial" w:hAnsi="Arial" w:cs="Arial" w:eastAsia="Arial" w:hint="default"/>
                <w:spacing w:val="-26"/>
                <w:sz w:val="18"/>
                <w:szCs w:val="18"/>
              </w:rPr>
              <w:t> </w:t>
            </w:r>
            <w:r>
              <w:rPr>
                <w:rFonts w:ascii="宋体" w:hAnsi="宋体" w:cs="宋体" w:eastAsia="宋体" w:hint="default"/>
                <w:sz w:val="18"/>
                <w:szCs w:val="18"/>
              </w:rPr>
              <w:t>年</w:t>
            </w:r>
            <w:r>
              <w:rPr>
                <w:rFonts w:ascii="宋体" w:hAnsi="宋体" w:cs="宋体" w:eastAsia="宋体" w:hint="default"/>
                <w:spacing w:val="-65"/>
                <w:sz w:val="18"/>
                <w:szCs w:val="18"/>
              </w:rPr>
              <w:t> </w:t>
            </w:r>
            <w:r>
              <w:rPr>
                <w:rFonts w:ascii="Arial" w:hAnsi="Arial" w:cs="Arial" w:eastAsia="Arial" w:hint="default"/>
                <w:sz w:val="18"/>
                <w:szCs w:val="18"/>
              </w:rPr>
              <w:t>11</w:t>
            </w:r>
            <w:r>
              <w:rPr>
                <w:rFonts w:ascii="Arial" w:hAnsi="Arial" w:cs="Arial" w:eastAsia="Arial" w:hint="default"/>
                <w:spacing w:val="-26"/>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Arial" w:hAnsi="Arial" w:cs="Arial" w:eastAsia="Arial" w:hint="default"/>
                <w:sz w:val="18"/>
                <w:szCs w:val="18"/>
              </w:rPr>
              <w:t>3</w:t>
            </w:r>
            <w:r>
              <w:rPr>
                <w:rFonts w:ascii="Arial" w:hAnsi="Arial" w:cs="Arial" w:eastAsia="Arial" w:hint="default"/>
                <w:spacing w:val="-26"/>
                <w:sz w:val="18"/>
                <w:szCs w:val="18"/>
              </w:rPr>
              <w:t> </w:t>
            </w:r>
            <w:r>
              <w:rPr>
                <w:rFonts w:ascii="宋体" w:hAnsi="宋体" w:cs="宋体" w:eastAsia="宋体" w:hint="default"/>
                <w:sz w:val="18"/>
                <w:szCs w:val="18"/>
              </w:rPr>
              <w:t>日召开的</w:t>
            </w:r>
            <w:r>
              <w:rPr>
                <w:rFonts w:ascii="宋体" w:hAnsi="宋体" w:cs="宋体" w:eastAsia="宋体" w:hint="default"/>
                <w:spacing w:val="-66"/>
                <w:sz w:val="18"/>
                <w:szCs w:val="18"/>
              </w:rPr>
              <w:t> </w:t>
            </w:r>
            <w:r>
              <w:rPr>
                <w:rFonts w:ascii="Arial" w:hAnsi="Arial" w:cs="Arial" w:eastAsia="Arial" w:hint="default"/>
                <w:sz w:val="18"/>
                <w:szCs w:val="18"/>
              </w:rPr>
              <w:t>2009</w:t>
            </w:r>
            <w:r>
              <w:rPr>
                <w:rFonts w:ascii="Arial" w:hAnsi="Arial" w:cs="Arial" w:eastAsia="Arial" w:hint="default"/>
                <w:spacing w:val="-26"/>
                <w:sz w:val="18"/>
                <w:szCs w:val="18"/>
              </w:rPr>
              <w:t> </w:t>
            </w:r>
            <w:r>
              <w:rPr>
                <w:rFonts w:ascii="宋体" w:hAnsi="宋体" w:cs="宋体" w:eastAsia="宋体" w:hint="default"/>
                <w:sz w:val="18"/>
                <w:szCs w:val="18"/>
              </w:rPr>
              <w:t>年第二次临时股东大会及</w:t>
            </w:r>
            <w:r>
              <w:rPr>
                <w:rFonts w:ascii="宋体" w:hAnsi="宋体" w:cs="宋体" w:eastAsia="宋体" w:hint="default"/>
                <w:spacing w:val="-66"/>
                <w:sz w:val="18"/>
                <w:szCs w:val="18"/>
              </w:rPr>
              <w:t> </w:t>
            </w:r>
            <w:r>
              <w:rPr>
                <w:rFonts w:ascii="Arial" w:hAnsi="Arial" w:cs="Arial" w:eastAsia="Arial" w:hint="default"/>
                <w:sz w:val="18"/>
                <w:szCs w:val="18"/>
              </w:rPr>
              <w:t>2009</w:t>
            </w:r>
          </w:p>
          <w:p>
            <w:pPr>
              <w:pStyle w:val="TableParagraph"/>
              <w:spacing w:line="232" w:lineRule="exact" w:before="17"/>
              <w:ind w:left="100" w:right="10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6</w:t>
            </w:r>
            <w:r>
              <w:rPr>
                <w:rFonts w:ascii="Arial" w:hAnsi="Arial" w:cs="Arial" w:eastAsia="Arial" w:hint="default"/>
                <w:spacing w:val="-8"/>
                <w:sz w:val="18"/>
                <w:szCs w:val="18"/>
              </w:rPr>
              <w:t> </w:t>
            </w:r>
            <w:r>
              <w:rPr>
                <w:rFonts w:ascii="宋体" w:hAnsi="宋体" w:cs="宋体" w:eastAsia="宋体" w:hint="default"/>
                <w:sz w:val="18"/>
                <w:szCs w:val="18"/>
              </w:rPr>
              <w:t>日召开的第三届董事会第一次会议上分别被聘任为公司第 三届董事会董事、董事长。</w:t>
            </w:r>
          </w:p>
        </w:tc>
      </w:tr>
      <w:tr>
        <w:trPr>
          <w:trHeight w:val="482" w:hRule="exact"/>
        </w:trPr>
        <w:tc>
          <w:tcPr>
            <w:tcW w:w="840"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陆益民</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总裁</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聘任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在公司</w:t>
            </w:r>
            <w:r>
              <w:rPr>
                <w:rFonts w:ascii="宋体" w:hAnsi="宋体" w:cs="宋体" w:eastAsia="宋体" w:hint="default"/>
                <w:spacing w:val="-47"/>
                <w:sz w:val="18"/>
                <w:szCs w:val="18"/>
              </w:rPr>
              <w:t> </w:t>
            </w: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3</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日召开的第二届董事会第二十八次会议上被</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聘请担任公司总裁。</w:t>
            </w:r>
          </w:p>
        </w:tc>
      </w:tr>
      <w:tr>
        <w:trPr>
          <w:trHeight w:val="715" w:hRule="exact"/>
        </w:trPr>
        <w:tc>
          <w:tcPr>
            <w:tcW w:w="840" w:type="dxa"/>
            <w:vMerge/>
            <w:tcBorders>
              <w:left w:val="single" w:sz="6" w:space="0" w:color="000000"/>
              <w:bottom w:val="single" w:sz="6" w:space="0" w:color="000000"/>
              <w:right w:val="single" w:sz="6" w:space="0" w:color="000000"/>
            </w:tcBorders>
          </w:tcPr>
          <w:p>
            <w:pP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聘任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1" w:right="0" w:hanging="1"/>
              <w:jc w:val="left"/>
              <w:rPr>
                <w:rFonts w:ascii="宋体" w:hAnsi="宋体" w:cs="宋体" w:eastAsia="宋体" w:hint="default"/>
                <w:sz w:val="18"/>
                <w:szCs w:val="18"/>
              </w:rPr>
            </w:pPr>
            <w:r>
              <w:rPr>
                <w:rFonts w:ascii="宋体" w:hAnsi="宋体" w:cs="宋体" w:eastAsia="宋体" w:hint="default"/>
                <w:sz w:val="18"/>
                <w:szCs w:val="18"/>
              </w:rPr>
              <w:t>在公司</w:t>
            </w:r>
            <w:r>
              <w:rPr>
                <w:rFonts w:ascii="宋体" w:hAnsi="宋体" w:cs="宋体" w:eastAsia="宋体" w:hint="default"/>
                <w:spacing w:val="-47"/>
                <w:sz w:val="18"/>
                <w:szCs w:val="18"/>
              </w:rPr>
              <w:t> </w:t>
            </w: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5</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26</w:t>
            </w:r>
            <w:r>
              <w:rPr>
                <w:rFonts w:ascii="Arial" w:hAnsi="Arial" w:cs="Arial" w:eastAsia="Arial" w:hint="default"/>
                <w:spacing w:val="-8"/>
                <w:sz w:val="18"/>
                <w:szCs w:val="18"/>
              </w:rPr>
              <w:t> </w:t>
            </w:r>
            <w:r>
              <w:rPr>
                <w:rFonts w:ascii="宋体" w:hAnsi="宋体" w:cs="宋体" w:eastAsia="宋体" w:hint="default"/>
                <w:sz w:val="18"/>
                <w:szCs w:val="18"/>
              </w:rPr>
              <w:t>日、</w:t>
            </w: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日召开的</w:t>
            </w:r>
            <w:r>
              <w:rPr>
                <w:rFonts w:ascii="宋体" w:hAnsi="宋体" w:cs="宋体" w:eastAsia="宋体" w:hint="default"/>
                <w:spacing w:val="-46"/>
                <w:sz w:val="18"/>
                <w:szCs w:val="18"/>
              </w:rPr>
              <w:t> </w:t>
            </w:r>
            <w:r>
              <w:rPr>
                <w:rFonts w:ascii="Arial" w:hAnsi="Arial" w:cs="Arial" w:eastAsia="Arial" w:hint="default"/>
                <w:sz w:val="18"/>
                <w:szCs w:val="18"/>
              </w:rPr>
              <w:t>2008</w:t>
            </w:r>
            <w:r>
              <w:rPr>
                <w:rFonts w:ascii="Arial" w:hAnsi="Arial" w:cs="Arial" w:eastAsia="Arial" w:hint="default"/>
                <w:spacing w:val="-7"/>
                <w:sz w:val="18"/>
                <w:szCs w:val="18"/>
              </w:rPr>
              <w:t> </w:t>
            </w:r>
            <w:r>
              <w:rPr>
                <w:rFonts w:ascii="宋体" w:hAnsi="宋体" w:cs="宋体" w:eastAsia="宋体" w:hint="default"/>
                <w:sz w:val="18"/>
                <w:szCs w:val="18"/>
              </w:rPr>
              <w:t>年年度</w:t>
            </w:r>
          </w:p>
          <w:p>
            <w:pPr>
              <w:pStyle w:val="TableParagraph"/>
              <w:spacing w:line="234" w:lineRule="exact" w:before="15"/>
              <w:ind w:left="101" w:right="130"/>
              <w:jc w:val="left"/>
              <w:rPr>
                <w:rFonts w:ascii="宋体" w:hAnsi="宋体" w:cs="宋体" w:eastAsia="宋体" w:hint="default"/>
                <w:sz w:val="18"/>
                <w:szCs w:val="18"/>
              </w:rPr>
            </w:pPr>
            <w:r>
              <w:rPr>
                <w:rFonts w:ascii="宋体" w:hAnsi="宋体" w:cs="宋体" w:eastAsia="宋体" w:hint="default"/>
                <w:sz w:val="18"/>
                <w:szCs w:val="18"/>
              </w:rPr>
              <w:t>股东大会、</w:t>
            </w:r>
            <w:r>
              <w:rPr>
                <w:rFonts w:ascii="Arial" w:hAnsi="Arial" w:cs="Arial" w:eastAsia="Arial" w:hint="default"/>
                <w:sz w:val="18"/>
                <w:szCs w:val="18"/>
              </w:rPr>
              <w:t>2009</w:t>
            </w:r>
            <w:r>
              <w:rPr>
                <w:rFonts w:ascii="Arial" w:hAnsi="Arial" w:cs="Arial" w:eastAsia="Arial" w:hint="default"/>
                <w:spacing w:val="-7"/>
                <w:sz w:val="18"/>
                <w:szCs w:val="18"/>
              </w:rPr>
              <w:t> </w:t>
            </w:r>
            <w:r>
              <w:rPr>
                <w:rFonts w:ascii="宋体" w:hAnsi="宋体" w:cs="宋体" w:eastAsia="宋体" w:hint="default"/>
                <w:sz w:val="18"/>
                <w:szCs w:val="18"/>
              </w:rPr>
              <w:t>年第二次临时股东大会上分别被聘任为公司第二届 董事会董事、第三届董事会董事。</w:t>
            </w:r>
          </w:p>
        </w:tc>
      </w:tr>
      <w:tr>
        <w:trPr>
          <w:trHeight w:val="715"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82"/>
              <w:jc w:val="right"/>
              <w:rPr>
                <w:rFonts w:ascii="宋体" w:hAnsi="宋体" w:cs="宋体" w:eastAsia="宋体" w:hint="default"/>
                <w:sz w:val="18"/>
                <w:szCs w:val="18"/>
              </w:rPr>
            </w:pPr>
            <w:r>
              <w:rPr>
                <w:rFonts w:ascii="宋体" w:hAnsi="宋体" w:cs="宋体" w:eastAsia="宋体" w:hint="default"/>
                <w:sz w:val="18"/>
                <w:szCs w:val="18"/>
              </w:rPr>
              <w:t>左迅生</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聘任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1" w:right="0" w:hanging="1"/>
              <w:jc w:val="left"/>
              <w:rPr>
                <w:rFonts w:ascii="宋体" w:hAnsi="宋体" w:cs="宋体" w:eastAsia="宋体" w:hint="default"/>
                <w:sz w:val="18"/>
                <w:szCs w:val="18"/>
              </w:rPr>
            </w:pPr>
            <w:r>
              <w:rPr>
                <w:rFonts w:ascii="宋体" w:hAnsi="宋体" w:cs="宋体" w:eastAsia="宋体" w:hint="default"/>
                <w:sz w:val="18"/>
                <w:szCs w:val="18"/>
              </w:rPr>
              <w:t>在公司</w:t>
            </w:r>
            <w:r>
              <w:rPr>
                <w:rFonts w:ascii="宋体" w:hAnsi="宋体" w:cs="宋体" w:eastAsia="宋体" w:hint="default"/>
                <w:spacing w:val="-47"/>
                <w:sz w:val="18"/>
                <w:szCs w:val="18"/>
              </w:rPr>
              <w:t> </w:t>
            </w: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5</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26</w:t>
            </w:r>
            <w:r>
              <w:rPr>
                <w:rFonts w:ascii="Arial" w:hAnsi="Arial" w:cs="Arial" w:eastAsia="Arial" w:hint="default"/>
                <w:spacing w:val="-8"/>
                <w:sz w:val="18"/>
                <w:szCs w:val="18"/>
              </w:rPr>
              <w:t> </w:t>
            </w:r>
            <w:r>
              <w:rPr>
                <w:rFonts w:ascii="宋体" w:hAnsi="宋体" w:cs="宋体" w:eastAsia="宋体" w:hint="default"/>
                <w:sz w:val="18"/>
                <w:szCs w:val="18"/>
              </w:rPr>
              <w:t>日、</w:t>
            </w: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8"/>
                <w:sz w:val="18"/>
                <w:szCs w:val="18"/>
              </w:rPr>
              <w:t> </w:t>
            </w:r>
            <w:r>
              <w:rPr>
                <w:rFonts w:ascii="宋体" w:hAnsi="宋体" w:cs="宋体" w:eastAsia="宋体" w:hint="default"/>
                <w:sz w:val="18"/>
                <w:szCs w:val="18"/>
              </w:rPr>
              <w:t>日召开的</w:t>
            </w:r>
            <w:r>
              <w:rPr>
                <w:rFonts w:ascii="宋体" w:hAnsi="宋体" w:cs="宋体" w:eastAsia="宋体" w:hint="default"/>
                <w:spacing w:val="-46"/>
                <w:sz w:val="18"/>
                <w:szCs w:val="18"/>
              </w:rPr>
              <w:t> </w:t>
            </w:r>
            <w:r>
              <w:rPr>
                <w:rFonts w:ascii="Arial" w:hAnsi="Arial" w:cs="Arial" w:eastAsia="Arial" w:hint="default"/>
                <w:sz w:val="18"/>
                <w:szCs w:val="18"/>
              </w:rPr>
              <w:t>2008</w:t>
            </w:r>
            <w:r>
              <w:rPr>
                <w:rFonts w:ascii="Arial" w:hAnsi="Arial" w:cs="Arial" w:eastAsia="Arial" w:hint="default"/>
                <w:spacing w:val="-7"/>
                <w:sz w:val="18"/>
                <w:szCs w:val="18"/>
              </w:rPr>
              <w:t> </w:t>
            </w:r>
            <w:r>
              <w:rPr>
                <w:rFonts w:ascii="宋体" w:hAnsi="宋体" w:cs="宋体" w:eastAsia="宋体" w:hint="default"/>
                <w:sz w:val="18"/>
                <w:szCs w:val="18"/>
              </w:rPr>
              <w:t>年年度</w:t>
            </w:r>
          </w:p>
          <w:p>
            <w:pPr>
              <w:pStyle w:val="TableParagraph"/>
              <w:spacing w:line="232" w:lineRule="exact" w:before="17"/>
              <w:ind w:left="101" w:right="130"/>
              <w:jc w:val="left"/>
              <w:rPr>
                <w:rFonts w:ascii="宋体" w:hAnsi="宋体" w:cs="宋体" w:eastAsia="宋体" w:hint="default"/>
                <w:sz w:val="18"/>
                <w:szCs w:val="18"/>
              </w:rPr>
            </w:pPr>
            <w:r>
              <w:rPr>
                <w:rFonts w:ascii="宋体" w:hAnsi="宋体" w:cs="宋体" w:eastAsia="宋体" w:hint="default"/>
                <w:sz w:val="18"/>
                <w:szCs w:val="18"/>
              </w:rPr>
              <w:t>股东大会、</w:t>
            </w:r>
            <w:r>
              <w:rPr>
                <w:rFonts w:ascii="Arial" w:hAnsi="Arial" w:cs="Arial" w:eastAsia="Arial" w:hint="default"/>
                <w:sz w:val="18"/>
                <w:szCs w:val="18"/>
              </w:rPr>
              <w:t>2009</w:t>
            </w:r>
            <w:r>
              <w:rPr>
                <w:rFonts w:ascii="Arial" w:hAnsi="Arial" w:cs="Arial" w:eastAsia="Arial" w:hint="default"/>
                <w:spacing w:val="-7"/>
                <w:sz w:val="18"/>
                <w:szCs w:val="18"/>
              </w:rPr>
              <w:t> </w:t>
            </w:r>
            <w:r>
              <w:rPr>
                <w:rFonts w:ascii="宋体" w:hAnsi="宋体" w:cs="宋体" w:eastAsia="宋体" w:hint="default"/>
                <w:sz w:val="18"/>
                <w:szCs w:val="18"/>
              </w:rPr>
              <w:t>年第二次临时股东大会上分别被聘任为公司第二届 董事会董事、第三届董事会董事。</w:t>
            </w:r>
          </w:p>
        </w:tc>
      </w:tr>
      <w:tr>
        <w:trPr>
          <w:trHeight w:val="482"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182"/>
              <w:jc w:val="right"/>
              <w:rPr>
                <w:rFonts w:ascii="宋体" w:hAnsi="宋体" w:cs="宋体" w:eastAsia="宋体" w:hint="default"/>
                <w:sz w:val="18"/>
                <w:szCs w:val="18"/>
              </w:rPr>
            </w:pPr>
            <w:r>
              <w:rPr>
                <w:rFonts w:ascii="宋体" w:hAnsi="宋体" w:cs="宋体" w:eastAsia="宋体" w:hint="default"/>
                <w:sz w:val="18"/>
                <w:szCs w:val="18"/>
              </w:rPr>
              <w:t>佟吉禄</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聘任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在公司</w:t>
            </w:r>
            <w:r>
              <w:rPr>
                <w:rFonts w:ascii="宋体" w:hAnsi="宋体" w:cs="宋体" w:eastAsia="宋体" w:hint="default"/>
                <w:spacing w:val="-57"/>
                <w:sz w:val="18"/>
                <w:szCs w:val="18"/>
              </w:rPr>
              <w:t> </w:t>
            </w:r>
            <w:r>
              <w:rPr>
                <w:rFonts w:ascii="Arial" w:hAnsi="Arial" w:cs="Arial" w:eastAsia="Arial" w:hint="default"/>
                <w:sz w:val="18"/>
                <w:szCs w:val="18"/>
              </w:rPr>
              <w:t>2009</w:t>
            </w:r>
            <w:r>
              <w:rPr>
                <w:rFonts w:ascii="Arial" w:hAnsi="Arial" w:cs="Arial" w:eastAsia="Arial" w:hint="default"/>
                <w:spacing w:val="-17"/>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Arial" w:hAnsi="Arial" w:cs="Arial" w:eastAsia="Arial" w:hint="default"/>
                <w:sz w:val="18"/>
                <w:szCs w:val="18"/>
              </w:rPr>
              <w:t>11</w:t>
            </w:r>
            <w:r>
              <w:rPr>
                <w:rFonts w:ascii="Arial" w:hAnsi="Arial" w:cs="Arial" w:eastAsia="Arial"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Arial" w:hAnsi="Arial" w:cs="Arial" w:eastAsia="Arial" w:hint="default"/>
                <w:sz w:val="18"/>
                <w:szCs w:val="18"/>
              </w:rPr>
              <w:t>3</w:t>
            </w:r>
            <w:r>
              <w:rPr>
                <w:rFonts w:ascii="Arial" w:hAnsi="Arial" w:cs="Arial" w:eastAsia="Arial" w:hint="default"/>
                <w:spacing w:val="-17"/>
                <w:sz w:val="18"/>
                <w:szCs w:val="18"/>
              </w:rPr>
              <w:t> </w:t>
            </w:r>
            <w:r>
              <w:rPr>
                <w:rFonts w:ascii="宋体" w:hAnsi="宋体" w:cs="宋体" w:eastAsia="宋体" w:hint="default"/>
                <w:sz w:val="18"/>
                <w:szCs w:val="18"/>
              </w:rPr>
              <w:t>日召开的</w:t>
            </w:r>
            <w:r>
              <w:rPr>
                <w:rFonts w:ascii="宋体" w:hAnsi="宋体" w:cs="宋体" w:eastAsia="宋体" w:hint="default"/>
                <w:spacing w:val="-57"/>
                <w:sz w:val="18"/>
                <w:szCs w:val="18"/>
              </w:rPr>
              <w:t> </w:t>
            </w:r>
            <w:r>
              <w:rPr>
                <w:rFonts w:ascii="Arial" w:hAnsi="Arial" w:cs="Arial" w:eastAsia="Arial" w:hint="default"/>
                <w:sz w:val="18"/>
                <w:szCs w:val="18"/>
              </w:rPr>
              <w:t>2009</w:t>
            </w:r>
            <w:r>
              <w:rPr>
                <w:rFonts w:ascii="Arial" w:hAnsi="Arial" w:cs="Arial" w:eastAsia="Arial" w:hint="default"/>
                <w:spacing w:val="-17"/>
                <w:sz w:val="18"/>
                <w:szCs w:val="18"/>
              </w:rPr>
              <w:t> </w:t>
            </w:r>
            <w:r>
              <w:rPr>
                <w:rFonts w:ascii="宋体" w:hAnsi="宋体" w:cs="宋体" w:eastAsia="宋体" w:hint="default"/>
                <w:sz w:val="18"/>
                <w:szCs w:val="18"/>
              </w:rPr>
              <w:t>年第二次临时股东大会上被聘</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任为公司第三届董事会董事。</w:t>
            </w:r>
          </w:p>
        </w:tc>
      </w:tr>
    </w:tbl>
    <w:p>
      <w:pPr>
        <w:spacing w:after="0" w:line="228" w:lineRule="exact"/>
        <w:jc w:val="left"/>
        <w:rPr>
          <w:rFonts w:ascii="宋体" w:hAnsi="宋体" w:cs="宋体" w:eastAsia="宋体" w:hint="default"/>
          <w:sz w:val="18"/>
          <w:szCs w:val="18"/>
        </w:rPr>
        <w:sectPr>
          <w:pgSz w:w="11910" w:h="16840"/>
          <w:pgMar w:header="587" w:footer="774" w:top="960" w:bottom="960" w:left="1000" w:right="11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tbl>
      <w:tblPr>
        <w:tblW w:w="0" w:type="auto"/>
        <w:jc w:val="left"/>
        <w:tblInd w:w="658" w:type="dxa"/>
        <w:tblLayout w:type="fixed"/>
        <w:tblCellMar>
          <w:top w:w="0" w:type="dxa"/>
          <w:left w:w="0" w:type="dxa"/>
          <w:bottom w:w="0" w:type="dxa"/>
          <w:right w:w="0" w:type="dxa"/>
        </w:tblCellMar>
        <w:tblLook w:val="01E0"/>
      </w:tblPr>
      <w:tblGrid>
        <w:gridCol w:w="840"/>
        <w:gridCol w:w="1224"/>
        <w:gridCol w:w="1397"/>
        <w:gridCol w:w="5554"/>
      </w:tblGrid>
      <w:tr>
        <w:trPr>
          <w:trHeight w:val="1183"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李建国</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34" w:right="152" w:hanging="180"/>
              <w:jc w:val="left"/>
              <w:rPr>
                <w:rFonts w:ascii="宋体" w:hAnsi="宋体" w:cs="宋体" w:eastAsia="宋体" w:hint="default"/>
                <w:sz w:val="18"/>
                <w:szCs w:val="18"/>
              </w:rPr>
            </w:pPr>
            <w:r>
              <w:rPr>
                <w:rFonts w:ascii="宋体" w:hAnsi="宋体" w:cs="宋体" w:eastAsia="宋体" w:hint="default"/>
                <w:sz w:val="18"/>
                <w:szCs w:val="18"/>
              </w:rPr>
              <w:t>监事、监事 会主席</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聘任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在公司</w:t>
            </w:r>
            <w:r>
              <w:rPr>
                <w:rFonts w:ascii="宋体" w:hAnsi="宋体" w:cs="宋体" w:eastAsia="宋体" w:hint="default"/>
                <w:spacing w:val="-57"/>
                <w:sz w:val="18"/>
                <w:szCs w:val="18"/>
              </w:rPr>
              <w:t> </w:t>
            </w:r>
            <w:r>
              <w:rPr>
                <w:rFonts w:ascii="Arial" w:hAnsi="Arial" w:cs="Arial" w:eastAsia="Arial" w:hint="default"/>
                <w:sz w:val="18"/>
                <w:szCs w:val="18"/>
              </w:rPr>
              <w:t>2009</w:t>
            </w:r>
            <w:r>
              <w:rPr>
                <w:rFonts w:ascii="Arial" w:hAnsi="Arial" w:cs="Arial" w:eastAsia="Arial" w:hint="default"/>
                <w:spacing w:val="-17"/>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Arial" w:hAnsi="Arial" w:cs="Arial" w:eastAsia="Arial" w:hint="default"/>
                <w:sz w:val="18"/>
                <w:szCs w:val="18"/>
              </w:rPr>
              <w:t>5</w:t>
            </w:r>
            <w:r>
              <w:rPr>
                <w:rFonts w:ascii="Arial" w:hAnsi="Arial" w:cs="Arial" w:eastAsia="Arial"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Arial" w:hAnsi="Arial" w:cs="Arial" w:eastAsia="Arial" w:hint="default"/>
                <w:sz w:val="18"/>
                <w:szCs w:val="18"/>
              </w:rPr>
              <w:t>26</w:t>
            </w:r>
            <w:r>
              <w:rPr>
                <w:rFonts w:ascii="Arial" w:hAnsi="Arial" w:cs="Arial" w:eastAsia="Arial" w:hint="default"/>
                <w:spacing w:val="-17"/>
                <w:sz w:val="18"/>
                <w:szCs w:val="18"/>
              </w:rPr>
              <w:t> </w:t>
            </w:r>
            <w:r>
              <w:rPr>
                <w:rFonts w:ascii="宋体" w:hAnsi="宋体" w:cs="宋体" w:eastAsia="宋体" w:hint="default"/>
                <w:sz w:val="18"/>
                <w:szCs w:val="18"/>
              </w:rPr>
              <w:t>日召开的</w:t>
            </w:r>
            <w:r>
              <w:rPr>
                <w:rFonts w:ascii="宋体" w:hAnsi="宋体" w:cs="宋体" w:eastAsia="宋体" w:hint="default"/>
                <w:spacing w:val="-57"/>
                <w:sz w:val="18"/>
                <w:szCs w:val="18"/>
              </w:rPr>
              <w:t> </w:t>
            </w:r>
            <w:r>
              <w:rPr>
                <w:rFonts w:ascii="Arial" w:hAnsi="Arial" w:cs="Arial" w:eastAsia="Arial" w:hint="default"/>
                <w:sz w:val="18"/>
                <w:szCs w:val="18"/>
              </w:rPr>
              <w:t>2008</w:t>
            </w:r>
            <w:r>
              <w:rPr>
                <w:rFonts w:ascii="Arial" w:hAnsi="Arial" w:cs="Arial" w:eastAsia="Arial" w:hint="default"/>
                <w:spacing w:val="-17"/>
                <w:sz w:val="18"/>
                <w:szCs w:val="18"/>
              </w:rPr>
              <w:t> </w:t>
            </w:r>
            <w:r>
              <w:rPr>
                <w:rFonts w:ascii="宋体" w:hAnsi="宋体" w:cs="宋体" w:eastAsia="宋体" w:hint="default"/>
                <w:sz w:val="18"/>
                <w:szCs w:val="18"/>
              </w:rPr>
              <w:t>年年度股东大会及第二届监事</w:t>
            </w:r>
          </w:p>
          <w:p>
            <w:pPr>
              <w:pStyle w:val="TableParagraph"/>
              <w:spacing w:line="232" w:lineRule="auto"/>
              <w:ind w:left="100" w:right="98"/>
              <w:jc w:val="left"/>
              <w:rPr>
                <w:rFonts w:ascii="宋体" w:hAnsi="宋体" w:cs="宋体" w:eastAsia="宋体" w:hint="default"/>
                <w:sz w:val="18"/>
                <w:szCs w:val="18"/>
              </w:rPr>
            </w:pPr>
            <w:r>
              <w:rPr>
                <w:rFonts w:ascii="宋体" w:hAnsi="宋体" w:cs="宋体" w:eastAsia="宋体" w:hint="default"/>
                <w:spacing w:val="-3"/>
                <w:sz w:val="18"/>
                <w:szCs w:val="18"/>
              </w:rPr>
              <w:t>会第二十三次会议上分别被聘任为公司第二届监事会监事、监事会主</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席。在公司</w:t>
            </w:r>
            <w:r>
              <w:rPr>
                <w:rFonts w:ascii="宋体" w:hAnsi="宋体" w:cs="宋体" w:eastAsia="宋体" w:hint="default"/>
                <w:spacing w:val="-47"/>
                <w:sz w:val="18"/>
                <w:szCs w:val="18"/>
              </w:rPr>
              <w:t> </w:t>
            </w: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w:t>
            </w:r>
            <w:r>
              <w:rPr>
                <w:rFonts w:ascii="Arial" w:hAnsi="Arial" w:cs="Arial" w:eastAsia="Arial" w:hint="default"/>
                <w:spacing w:val="-6"/>
                <w:sz w:val="18"/>
                <w:szCs w:val="18"/>
              </w:rPr>
              <w:t> </w:t>
            </w:r>
            <w:r>
              <w:rPr>
                <w:rFonts w:ascii="宋体" w:hAnsi="宋体" w:cs="宋体" w:eastAsia="宋体" w:hint="default"/>
                <w:sz w:val="18"/>
                <w:szCs w:val="18"/>
              </w:rPr>
              <w:t>日、</w:t>
            </w: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11</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6</w:t>
            </w:r>
            <w:r>
              <w:rPr>
                <w:rFonts w:ascii="Arial" w:hAnsi="Arial" w:cs="Arial" w:eastAsia="Arial" w:hint="default"/>
                <w:spacing w:val="-8"/>
                <w:sz w:val="18"/>
                <w:szCs w:val="18"/>
              </w:rPr>
              <w:t> </w:t>
            </w:r>
            <w:r>
              <w:rPr>
                <w:rFonts w:ascii="宋体" w:hAnsi="宋体" w:cs="宋体" w:eastAsia="宋体" w:hint="default"/>
                <w:sz w:val="18"/>
                <w:szCs w:val="18"/>
              </w:rPr>
              <w:t>日召开的</w:t>
            </w:r>
            <w:r>
              <w:rPr>
                <w:rFonts w:ascii="宋体" w:hAnsi="宋体" w:cs="宋体" w:eastAsia="宋体" w:hint="default"/>
                <w:spacing w:val="-47"/>
                <w:sz w:val="18"/>
                <w:szCs w:val="18"/>
              </w:rPr>
              <w:t> </w:t>
            </w:r>
            <w:r>
              <w:rPr>
                <w:rFonts w:ascii="Arial" w:hAnsi="Arial" w:cs="Arial" w:eastAsia="Arial" w:hint="default"/>
                <w:sz w:val="18"/>
                <w:szCs w:val="18"/>
              </w:rPr>
              <w:t>2009</w:t>
            </w:r>
            <w:r>
              <w:rPr>
                <w:rFonts w:ascii="Arial" w:hAnsi="Arial" w:cs="Arial" w:eastAsia="Arial" w:hint="default"/>
                <w:spacing w:val="-7"/>
                <w:sz w:val="18"/>
                <w:szCs w:val="18"/>
              </w:rPr>
              <w:t> </w:t>
            </w:r>
            <w:r>
              <w:rPr>
                <w:rFonts w:ascii="宋体" w:hAnsi="宋体" w:cs="宋体" w:eastAsia="宋体" w:hint="default"/>
                <w:sz w:val="18"/>
                <w:szCs w:val="18"/>
              </w:rPr>
              <w:t>年 </w:t>
            </w:r>
            <w:r>
              <w:rPr>
                <w:rFonts w:ascii="宋体" w:hAnsi="宋体" w:cs="宋体" w:eastAsia="宋体" w:hint="default"/>
                <w:spacing w:val="-3"/>
                <w:sz w:val="18"/>
                <w:szCs w:val="18"/>
              </w:rPr>
              <w:t>第二次临时股东大会、监事会上分别被聘任为第三届监事会监事、监</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事会主席。</w:t>
            </w:r>
          </w:p>
        </w:tc>
      </w:tr>
      <w:tr>
        <w:trPr>
          <w:trHeight w:val="481"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唐富馨</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聘任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11" w:lineRule="exact"/>
              <w:ind w:left="100" w:right="0"/>
              <w:jc w:val="left"/>
              <w:rPr>
                <w:rFonts w:ascii="宋体" w:hAnsi="宋体" w:cs="宋体" w:eastAsia="宋体" w:hint="default"/>
                <w:sz w:val="18"/>
                <w:szCs w:val="18"/>
              </w:rPr>
            </w:pPr>
            <w:r>
              <w:rPr>
                <w:rFonts w:ascii="宋体" w:hAnsi="宋体" w:cs="宋体" w:eastAsia="宋体" w:hint="default"/>
                <w:sz w:val="18"/>
                <w:szCs w:val="18"/>
              </w:rPr>
              <w:t>在公司</w:t>
            </w:r>
            <w:r>
              <w:rPr>
                <w:rFonts w:ascii="宋体" w:hAnsi="宋体" w:cs="宋体" w:eastAsia="宋体" w:hint="default"/>
                <w:spacing w:val="-57"/>
                <w:sz w:val="18"/>
                <w:szCs w:val="18"/>
              </w:rPr>
              <w:t> </w:t>
            </w:r>
            <w:r>
              <w:rPr>
                <w:rFonts w:ascii="Arial" w:hAnsi="Arial" w:cs="Arial" w:eastAsia="Arial" w:hint="default"/>
                <w:sz w:val="18"/>
                <w:szCs w:val="18"/>
              </w:rPr>
              <w:t>2009</w:t>
            </w:r>
            <w:r>
              <w:rPr>
                <w:rFonts w:ascii="Arial" w:hAnsi="Arial" w:cs="Arial" w:eastAsia="Arial" w:hint="default"/>
                <w:spacing w:val="-17"/>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Arial" w:hAnsi="Arial" w:cs="Arial" w:eastAsia="Arial" w:hint="default"/>
                <w:sz w:val="18"/>
                <w:szCs w:val="18"/>
              </w:rPr>
              <w:t>11</w:t>
            </w:r>
            <w:r>
              <w:rPr>
                <w:rFonts w:ascii="Arial" w:hAnsi="Arial" w:cs="Arial" w:eastAsia="Arial"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Arial" w:hAnsi="Arial" w:cs="Arial" w:eastAsia="Arial" w:hint="default"/>
                <w:sz w:val="18"/>
                <w:szCs w:val="18"/>
              </w:rPr>
              <w:t>3</w:t>
            </w:r>
            <w:r>
              <w:rPr>
                <w:rFonts w:ascii="Arial" w:hAnsi="Arial" w:cs="Arial" w:eastAsia="Arial" w:hint="default"/>
                <w:spacing w:val="-17"/>
                <w:sz w:val="18"/>
                <w:szCs w:val="18"/>
              </w:rPr>
              <w:t> </w:t>
            </w:r>
            <w:r>
              <w:rPr>
                <w:rFonts w:ascii="宋体" w:hAnsi="宋体" w:cs="宋体" w:eastAsia="宋体" w:hint="default"/>
                <w:sz w:val="18"/>
                <w:szCs w:val="18"/>
              </w:rPr>
              <w:t>日召开的</w:t>
            </w:r>
            <w:r>
              <w:rPr>
                <w:rFonts w:ascii="宋体" w:hAnsi="宋体" w:cs="宋体" w:eastAsia="宋体" w:hint="default"/>
                <w:spacing w:val="-57"/>
                <w:sz w:val="18"/>
                <w:szCs w:val="18"/>
              </w:rPr>
              <w:t> </w:t>
            </w:r>
            <w:r>
              <w:rPr>
                <w:rFonts w:ascii="Arial" w:hAnsi="Arial" w:cs="Arial" w:eastAsia="Arial" w:hint="default"/>
                <w:sz w:val="18"/>
                <w:szCs w:val="18"/>
              </w:rPr>
              <w:t>2009</w:t>
            </w:r>
            <w:r>
              <w:rPr>
                <w:rFonts w:ascii="Arial" w:hAnsi="Arial" w:cs="Arial" w:eastAsia="Arial" w:hint="default"/>
                <w:spacing w:val="-17"/>
                <w:sz w:val="18"/>
                <w:szCs w:val="18"/>
              </w:rPr>
              <w:t> </w:t>
            </w:r>
            <w:r>
              <w:rPr>
                <w:rFonts w:ascii="宋体" w:hAnsi="宋体" w:cs="宋体" w:eastAsia="宋体" w:hint="default"/>
                <w:sz w:val="18"/>
                <w:szCs w:val="18"/>
              </w:rPr>
              <w:t>年第二次临时股东大会上被聘</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任为第三届监事会监事。</w:t>
            </w:r>
          </w:p>
        </w:tc>
      </w:tr>
      <w:tr>
        <w:trPr>
          <w:trHeight w:val="299"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刘韵洁</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由于个人原因辞任。</w:t>
            </w:r>
          </w:p>
        </w:tc>
      </w:tr>
      <w:tr>
        <w:trPr>
          <w:trHeight w:val="299"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吕建国</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董事会换届离任</w:t>
            </w:r>
          </w:p>
        </w:tc>
      </w:tr>
      <w:tr>
        <w:trPr>
          <w:trHeight w:val="300"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张健</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董事会换届离任</w:t>
            </w:r>
          </w:p>
        </w:tc>
      </w:tr>
      <w:tr>
        <w:trPr>
          <w:trHeight w:val="299"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高尚全</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董事会换届离任</w:t>
            </w:r>
          </w:p>
        </w:tc>
      </w:tr>
      <w:tr>
        <w:trPr>
          <w:trHeight w:val="299"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陈俊亮</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董事会换届离任</w:t>
            </w:r>
          </w:p>
        </w:tc>
      </w:tr>
      <w:tr>
        <w:trPr>
          <w:trHeight w:val="299"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陈小悦</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董事会换届离任</w:t>
            </w:r>
          </w:p>
        </w:tc>
      </w:tr>
      <w:tr>
        <w:trPr>
          <w:trHeight w:val="299"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王晨光</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董事会换届离任</w:t>
            </w:r>
          </w:p>
        </w:tc>
      </w:tr>
      <w:tr>
        <w:trPr>
          <w:trHeight w:val="482"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刘彩</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聘任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在公司</w:t>
            </w:r>
            <w:r>
              <w:rPr>
                <w:rFonts w:ascii="宋体" w:hAnsi="宋体" w:cs="宋体" w:eastAsia="宋体" w:hint="default"/>
                <w:spacing w:val="-57"/>
                <w:sz w:val="18"/>
                <w:szCs w:val="18"/>
              </w:rPr>
              <w:t> </w:t>
            </w:r>
            <w:r>
              <w:rPr>
                <w:rFonts w:ascii="Arial" w:hAnsi="Arial" w:cs="Arial" w:eastAsia="Arial" w:hint="default"/>
                <w:sz w:val="18"/>
                <w:szCs w:val="18"/>
              </w:rPr>
              <w:t>2009</w:t>
            </w:r>
            <w:r>
              <w:rPr>
                <w:rFonts w:ascii="Arial" w:hAnsi="Arial" w:cs="Arial" w:eastAsia="Arial" w:hint="default"/>
                <w:spacing w:val="-17"/>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Arial" w:hAnsi="Arial" w:cs="Arial" w:eastAsia="Arial" w:hint="default"/>
                <w:sz w:val="18"/>
                <w:szCs w:val="18"/>
              </w:rPr>
              <w:t>11</w:t>
            </w:r>
            <w:r>
              <w:rPr>
                <w:rFonts w:ascii="Arial" w:hAnsi="Arial" w:cs="Arial" w:eastAsia="Arial"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Arial" w:hAnsi="Arial" w:cs="Arial" w:eastAsia="Arial" w:hint="default"/>
                <w:sz w:val="18"/>
                <w:szCs w:val="18"/>
              </w:rPr>
              <w:t>3</w:t>
            </w:r>
            <w:r>
              <w:rPr>
                <w:rFonts w:ascii="Arial" w:hAnsi="Arial" w:cs="Arial" w:eastAsia="Arial" w:hint="default"/>
                <w:spacing w:val="-17"/>
                <w:sz w:val="18"/>
                <w:szCs w:val="18"/>
              </w:rPr>
              <w:t> </w:t>
            </w:r>
            <w:r>
              <w:rPr>
                <w:rFonts w:ascii="宋体" w:hAnsi="宋体" w:cs="宋体" w:eastAsia="宋体" w:hint="default"/>
                <w:sz w:val="18"/>
                <w:szCs w:val="18"/>
              </w:rPr>
              <w:t>日召开的</w:t>
            </w:r>
            <w:r>
              <w:rPr>
                <w:rFonts w:ascii="宋体" w:hAnsi="宋体" w:cs="宋体" w:eastAsia="宋体" w:hint="default"/>
                <w:spacing w:val="-57"/>
                <w:sz w:val="18"/>
                <w:szCs w:val="18"/>
              </w:rPr>
              <w:t> </w:t>
            </w:r>
            <w:r>
              <w:rPr>
                <w:rFonts w:ascii="Arial" w:hAnsi="Arial" w:cs="Arial" w:eastAsia="Arial" w:hint="default"/>
                <w:sz w:val="18"/>
                <w:szCs w:val="18"/>
              </w:rPr>
              <w:t>2009</w:t>
            </w:r>
            <w:r>
              <w:rPr>
                <w:rFonts w:ascii="Arial" w:hAnsi="Arial" w:cs="Arial" w:eastAsia="Arial" w:hint="default"/>
                <w:spacing w:val="-17"/>
                <w:sz w:val="18"/>
                <w:szCs w:val="18"/>
              </w:rPr>
              <w:t> </w:t>
            </w:r>
            <w:r>
              <w:rPr>
                <w:rFonts w:ascii="宋体" w:hAnsi="宋体" w:cs="宋体" w:eastAsia="宋体" w:hint="default"/>
                <w:sz w:val="18"/>
                <w:szCs w:val="18"/>
              </w:rPr>
              <w:t>年第二次临时股东大会上被聘</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任为公司独立董事。</w:t>
            </w:r>
          </w:p>
        </w:tc>
      </w:tr>
      <w:tr>
        <w:trPr>
          <w:trHeight w:val="481"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赵纯均</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聘任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11" w:lineRule="exact"/>
              <w:ind w:left="100" w:right="0"/>
              <w:jc w:val="left"/>
              <w:rPr>
                <w:rFonts w:ascii="宋体" w:hAnsi="宋体" w:cs="宋体" w:eastAsia="宋体" w:hint="default"/>
                <w:sz w:val="18"/>
                <w:szCs w:val="18"/>
              </w:rPr>
            </w:pPr>
            <w:r>
              <w:rPr>
                <w:rFonts w:ascii="宋体" w:hAnsi="宋体" w:cs="宋体" w:eastAsia="宋体" w:hint="default"/>
                <w:sz w:val="18"/>
                <w:szCs w:val="18"/>
              </w:rPr>
              <w:t>在公司</w:t>
            </w:r>
            <w:r>
              <w:rPr>
                <w:rFonts w:ascii="宋体" w:hAnsi="宋体" w:cs="宋体" w:eastAsia="宋体" w:hint="default"/>
                <w:spacing w:val="-57"/>
                <w:sz w:val="18"/>
                <w:szCs w:val="18"/>
              </w:rPr>
              <w:t> </w:t>
            </w:r>
            <w:r>
              <w:rPr>
                <w:rFonts w:ascii="Arial" w:hAnsi="Arial" w:cs="Arial" w:eastAsia="Arial" w:hint="default"/>
                <w:sz w:val="18"/>
                <w:szCs w:val="18"/>
              </w:rPr>
              <w:t>2009</w:t>
            </w:r>
            <w:r>
              <w:rPr>
                <w:rFonts w:ascii="Arial" w:hAnsi="Arial" w:cs="Arial" w:eastAsia="Arial" w:hint="default"/>
                <w:spacing w:val="-17"/>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Arial" w:hAnsi="Arial" w:cs="Arial" w:eastAsia="Arial" w:hint="default"/>
                <w:sz w:val="18"/>
                <w:szCs w:val="18"/>
              </w:rPr>
              <w:t>11</w:t>
            </w:r>
            <w:r>
              <w:rPr>
                <w:rFonts w:ascii="Arial" w:hAnsi="Arial" w:cs="Arial" w:eastAsia="Arial"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Arial" w:hAnsi="Arial" w:cs="Arial" w:eastAsia="Arial" w:hint="default"/>
                <w:sz w:val="18"/>
                <w:szCs w:val="18"/>
              </w:rPr>
              <w:t>3</w:t>
            </w:r>
            <w:r>
              <w:rPr>
                <w:rFonts w:ascii="Arial" w:hAnsi="Arial" w:cs="Arial" w:eastAsia="Arial" w:hint="default"/>
                <w:spacing w:val="-17"/>
                <w:sz w:val="18"/>
                <w:szCs w:val="18"/>
              </w:rPr>
              <w:t> </w:t>
            </w:r>
            <w:r>
              <w:rPr>
                <w:rFonts w:ascii="宋体" w:hAnsi="宋体" w:cs="宋体" w:eastAsia="宋体" w:hint="default"/>
                <w:sz w:val="18"/>
                <w:szCs w:val="18"/>
              </w:rPr>
              <w:t>日召开的</w:t>
            </w:r>
            <w:r>
              <w:rPr>
                <w:rFonts w:ascii="宋体" w:hAnsi="宋体" w:cs="宋体" w:eastAsia="宋体" w:hint="default"/>
                <w:spacing w:val="-57"/>
                <w:sz w:val="18"/>
                <w:szCs w:val="18"/>
              </w:rPr>
              <w:t> </w:t>
            </w:r>
            <w:r>
              <w:rPr>
                <w:rFonts w:ascii="Arial" w:hAnsi="Arial" w:cs="Arial" w:eastAsia="Arial" w:hint="default"/>
                <w:sz w:val="18"/>
                <w:szCs w:val="18"/>
              </w:rPr>
              <w:t>2009</w:t>
            </w:r>
            <w:r>
              <w:rPr>
                <w:rFonts w:ascii="Arial" w:hAnsi="Arial" w:cs="Arial" w:eastAsia="Arial" w:hint="default"/>
                <w:spacing w:val="-17"/>
                <w:sz w:val="18"/>
                <w:szCs w:val="18"/>
              </w:rPr>
              <w:t> </w:t>
            </w:r>
            <w:r>
              <w:rPr>
                <w:rFonts w:ascii="宋体" w:hAnsi="宋体" w:cs="宋体" w:eastAsia="宋体" w:hint="default"/>
                <w:sz w:val="18"/>
                <w:szCs w:val="18"/>
              </w:rPr>
              <w:t>年第二次临时股东大会上被聘</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任为公司独立董事。</w:t>
            </w:r>
          </w:p>
        </w:tc>
      </w:tr>
      <w:tr>
        <w:trPr>
          <w:trHeight w:val="482"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张英海</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聘任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宋体" w:hAnsi="宋体" w:cs="宋体" w:eastAsia="宋体" w:hint="default"/>
                <w:sz w:val="18"/>
                <w:szCs w:val="18"/>
              </w:rPr>
              <w:t>在公司</w:t>
            </w:r>
            <w:r>
              <w:rPr>
                <w:rFonts w:ascii="宋体" w:hAnsi="宋体" w:cs="宋体" w:eastAsia="宋体" w:hint="default"/>
                <w:spacing w:val="-57"/>
                <w:sz w:val="18"/>
                <w:szCs w:val="18"/>
              </w:rPr>
              <w:t> </w:t>
            </w:r>
            <w:r>
              <w:rPr>
                <w:rFonts w:ascii="Arial" w:hAnsi="Arial" w:cs="Arial" w:eastAsia="Arial" w:hint="default"/>
                <w:sz w:val="18"/>
                <w:szCs w:val="18"/>
              </w:rPr>
              <w:t>2009</w:t>
            </w:r>
            <w:r>
              <w:rPr>
                <w:rFonts w:ascii="Arial" w:hAnsi="Arial" w:cs="Arial" w:eastAsia="Arial" w:hint="default"/>
                <w:spacing w:val="-17"/>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Arial" w:hAnsi="Arial" w:cs="Arial" w:eastAsia="Arial" w:hint="default"/>
                <w:sz w:val="18"/>
                <w:szCs w:val="18"/>
              </w:rPr>
              <w:t>11</w:t>
            </w:r>
            <w:r>
              <w:rPr>
                <w:rFonts w:ascii="Arial" w:hAnsi="Arial" w:cs="Arial" w:eastAsia="Arial"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Arial" w:hAnsi="Arial" w:cs="Arial" w:eastAsia="Arial" w:hint="default"/>
                <w:sz w:val="18"/>
                <w:szCs w:val="18"/>
              </w:rPr>
              <w:t>3</w:t>
            </w:r>
            <w:r>
              <w:rPr>
                <w:rFonts w:ascii="Arial" w:hAnsi="Arial" w:cs="Arial" w:eastAsia="Arial" w:hint="default"/>
                <w:spacing w:val="-17"/>
                <w:sz w:val="18"/>
                <w:szCs w:val="18"/>
              </w:rPr>
              <w:t> </w:t>
            </w:r>
            <w:r>
              <w:rPr>
                <w:rFonts w:ascii="宋体" w:hAnsi="宋体" w:cs="宋体" w:eastAsia="宋体" w:hint="default"/>
                <w:sz w:val="18"/>
                <w:szCs w:val="18"/>
              </w:rPr>
              <w:t>日召开的</w:t>
            </w:r>
            <w:r>
              <w:rPr>
                <w:rFonts w:ascii="宋体" w:hAnsi="宋体" w:cs="宋体" w:eastAsia="宋体" w:hint="default"/>
                <w:spacing w:val="-57"/>
                <w:sz w:val="18"/>
                <w:szCs w:val="18"/>
              </w:rPr>
              <w:t> </w:t>
            </w:r>
            <w:r>
              <w:rPr>
                <w:rFonts w:ascii="Arial" w:hAnsi="Arial" w:cs="Arial" w:eastAsia="Arial" w:hint="default"/>
                <w:sz w:val="18"/>
                <w:szCs w:val="18"/>
              </w:rPr>
              <w:t>2009</w:t>
            </w:r>
            <w:r>
              <w:rPr>
                <w:rFonts w:ascii="Arial" w:hAnsi="Arial" w:cs="Arial" w:eastAsia="Arial" w:hint="default"/>
                <w:spacing w:val="-17"/>
                <w:sz w:val="18"/>
                <w:szCs w:val="18"/>
              </w:rPr>
              <w:t> </w:t>
            </w:r>
            <w:r>
              <w:rPr>
                <w:rFonts w:ascii="宋体" w:hAnsi="宋体" w:cs="宋体" w:eastAsia="宋体" w:hint="default"/>
                <w:sz w:val="18"/>
                <w:szCs w:val="18"/>
              </w:rPr>
              <w:t>年第二次临时股东大会上被聘</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任为公司独立董事。</w:t>
            </w:r>
          </w:p>
        </w:tc>
      </w:tr>
      <w:tr>
        <w:trPr>
          <w:trHeight w:val="482" w:hRule="exact"/>
        </w:trPr>
        <w:tc>
          <w:tcPr>
            <w:tcW w:w="8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0"/>
              <w:jc w:val="left"/>
              <w:rPr>
                <w:rFonts w:ascii="宋体" w:hAnsi="宋体" w:cs="宋体" w:eastAsia="宋体" w:hint="default"/>
                <w:sz w:val="18"/>
                <w:szCs w:val="18"/>
              </w:rPr>
            </w:pPr>
            <w:r>
              <w:rPr>
                <w:rFonts w:ascii="宋体" w:hAnsi="宋体" w:cs="宋体" w:eastAsia="宋体" w:hint="default"/>
                <w:sz w:val="18"/>
                <w:szCs w:val="18"/>
              </w:rPr>
              <w:t>夏大慰</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3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聘任</w:t>
            </w:r>
          </w:p>
        </w:tc>
        <w:tc>
          <w:tcPr>
            <w:tcW w:w="5554" w:type="dxa"/>
            <w:tcBorders>
              <w:top w:val="single" w:sz="6" w:space="0" w:color="000000"/>
              <w:left w:val="single" w:sz="6" w:space="0" w:color="000000"/>
              <w:bottom w:val="single" w:sz="6" w:space="0" w:color="000000"/>
              <w:right w:val="single" w:sz="6" w:space="0" w:color="000000"/>
            </w:tcBorders>
          </w:tcPr>
          <w:p>
            <w:pPr>
              <w:pStyle w:val="TableParagraph"/>
              <w:spacing w:line="211" w:lineRule="exact"/>
              <w:ind w:left="100" w:right="0"/>
              <w:jc w:val="left"/>
              <w:rPr>
                <w:rFonts w:ascii="宋体" w:hAnsi="宋体" w:cs="宋体" w:eastAsia="宋体" w:hint="default"/>
                <w:sz w:val="18"/>
                <w:szCs w:val="18"/>
              </w:rPr>
            </w:pPr>
            <w:r>
              <w:rPr>
                <w:rFonts w:ascii="宋体" w:hAnsi="宋体" w:cs="宋体" w:eastAsia="宋体" w:hint="default"/>
                <w:sz w:val="18"/>
                <w:szCs w:val="18"/>
              </w:rPr>
              <w:t>在公司</w:t>
            </w:r>
            <w:r>
              <w:rPr>
                <w:rFonts w:ascii="宋体" w:hAnsi="宋体" w:cs="宋体" w:eastAsia="宋体" w:hint="default"/>
                <w:spacing w:val="-57"/>
                <w:sz w:val="18"/>
                <w:szCs w:val="18"/>
              </w:rPr>
              <w:t> </w:t>
            </w:r>
            <w:r>
              <w:rPr>
                <w:rFonts w:ascii="Arial" w:hAnsi="Arial" w:cs="Arial" w:eastAsia="Arial" w:hint="default"/>
                <w:sz w:val="18"/>
                <w:szCs w:val="18"/>
              </w:rPr>
              <w:t>2009</w:t>
            </w:r>
            <w:r>
              <w:rPr>
                <w:rFonts w:ascii="Arial" w:hAnsi="Arial" w:cs="Arial" w:eastAsia="Arial" w:hint="default"/>
                <w:spacing w:val="-17"/>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Arial" w:hAnsi="Arial" w:cs="Arial" w:eastAsia="Arial" w:hint="default"/>
                <w:sz w:val="18"/>
                <w:szCs w:val="18"/>
              </w:rPr>
              <w:t>11</w:t>
            </w:r>
            <w:r>
              <w:rPr>
                <w:rFonts w:ascii="Arial" w:hAnsi="Arial" w:cs="Arial" w:eastAsia="Arial"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Arial" w:hAnsi="Arial" w:cs="Arial" w:eastAsia="Arial" w:hint="default"/>
                <w:sz w:val="18"/>
                <w:szCs w:val="18"/>
              </w:rPr>
              <w:t>3</w:t>
            </w:r>
            <w:r>
              <w:rPr>
                <w:rFonts w:ascii="Arial" w:hAnsi="Arial" w:cs="Arial" w:eastAsia="Arial" w:hint="default"/>
                <w:spacing w:val="-17"/>
                <w:sz w:val="18"/>
                <w:szCs w:val="18"/>
              </w:rPr>
              <w:t> </w:t>
            </w:r>
            <w:r>
              <w:rPr>
                <w:rFonts w:ascii="宋体" w:hAnsi="宋体" w:cs="宋体" w:eastAsia="宋体" w:hint="default"/>
                <w:sz w:val="18"/>
                <w:szCs w:val="18"/>
              </w:rPr>
              <w:t>日召开的</w:t>
            </w:r>
            <w:r>
              <w:rPr>
                <w:rFonts w:ascii="宋体" w:hAnsi="宋体" w:cs="宋体" w:eastAsia="宋体" w:hint="default"/>
                <w:spacing w:val="-57"/>
                <w:sz w:val="18"/>
                <w:szCs w:val="18"/>
              </w:rPr>
              <w:t> </w:t>
            </w:r>
            <w:r>
              <w:rPr>
                <w:rFonts w:ascii="Arial" w:hAnsi="Arial" w:cs="Arial" w:eastAsia="Arial" w:hint="default"/>
                <w:sz w:val="18"/>
                <w:szCs w:val="18"/>
              </w:rPr>
              <w:t>2009</w:t>
            </w:r>
            <w:r>
              <w:rPr>
                <w:rFonts w:ascii="Arial" w:hAnsi="Arial" w:cs="Arial" w:eastAsia="Arial" w:hint="default"/>
                <w:spacing w:val="-17"/>
                <w:sz w:val="18"/>
                <w:szCs w:val="18"/>
              </w:rPr>
              <w:t> </w:t>
            </w:r>
            <w:r>
              <w:rPr>
                <w:rFonts w:ascii="宋体" w:hAnsi="宋体" w:cs="宋体" w:eastAsia="宋体" w:hint="default"/>
                <w:sz w:val="18"/>
                <w:szCs w:val="18"/>
              </w:rPr>
              <w:t>年第二次临时股东大会上被聘</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任为公司独立董事。</w:t>
            </w:r>
          </w:p>
        </w:tc>
      </w:tr>
    </w:tbl>
    <w:p>
      <w:pPr>
        <w:spacing w:line="240" w:lineRule="auto" w:before="2"/>
        <w:rPr>
          <w:rFonts w:ascii="宋体" w:hAnsi="宋体" w:cs="宋体" w:eastAsia="宋体" w:hint="default"/>
          <w:sz w:val="14"/>
          <w:szCs w:val="14"/>
        </w:rPr>
      </w:pPr>
    </w:p>
    <w:p>
      <w:pPr>
        <w:pStyle w:val="BodyText"/>
        <w:spacing w:line="240" w:lineRule="auto" w:before="31"/>
        <w:ind w:left="105" w:right="90"/>
        <w:jc w:val="left"/>
      </w:pPr>
      <w:r>
        <w:rPr/>
        <w:t>（五）公司员工情况</w:t>
      </w:r>
    </w:p>
    <w:p>
      <w:pPr>
        <w:spacing w:line="240" w:lineRule="auto" w:before="11"/>
        <w:rPr>
          <w:rFonts w:ascii="宋体" w:hAnsi="宋体" w:cs="宋体" w:eastAsia="宋体" w:hint="default"/>
          <w:sz w:val="21"/>
          <w:szCs w:val="21"/>
        </w:rPr>
      </w:pPr>
    </w:p>
    <w:tbl>
      <w:tblPr>
        <w:tblW w:w="0" w:type="auto"/>
        <w:jc w:val="left"/>
        <w:tblInd w:w="658" w:type="dxa"/>
        <w:tblLayout w:type="fixed"/>
        <w:tblCellMar>
          <w:top w:w="0" w:type="dxa"/>
          <w:left w:w="0" w:type="dxa"/>
          <w:bottom w:w="0" w:type="dxa"/>
          <w:right w:w="0" w:type="dxa"/>
        </w:tblCellMar>
        <w:tblLook w:val="01E0"/>
      </w:tblPr>
      <w:tblGrid>
        <w:gridCol w:w="2174"/>
        <w:gridCol w:w="6781"/>
      </w:tblGrid>
      <w:tr>
        <w:trPr>
          <w:trHeight w:val="275" w:hRule="exact"/>
        </w:trPr>
        <w:tc>
          <w:tcPr>
            <w:tcW w:w="2174" w:type="dxa"/>
            <w:vMerge w:val="restart"/>
            <w:tcBorders>
              <w:top w:val="single" w:sz="6" w:space="0" w:color="000000"/>
              <w:left w:val="single" w:sz="6" w:space="0" w:color="000000"/>
              <w:right w:val="single" w:sz="6" w:space="0" w:color="000000"/>
            </w:tcBorders>
          </w:tcPr>
          <w:p>
            <w:pPr>
              <w:pStyle w:val="TableParagraph"/>
              <w:spacing w:line="240" w:lineRule="auto" w:before="99"/>
              <w:ind w:left="178" w:right="0"/>
              <w:jc w:val="left"/>
              <w:rPr>
                <w:rFonts w:ascii="宋体" w:hAnsi="宋体" w:cs="宋体" w:eastAsia="宋体" w:hint="default"/>
                <w:sz w:val="20"/>
                <w:szCs w:val="20"/>
              </w:rPr>
            </w:pPr>
            <w:r>
              <w:rPr>
                <w:rFonts w:ascii="宋体" w:hAnsi="宋体" w:cs="宋体" w:eastAsia="宋体" w:hint="default"/>
                <w:sz w:val="20"/>
                <w:szCs w:val="20"/>
              </w:rPr>
              <w:t>公司员工情况的说明</w:t>
            </w:r>
          </w:p>
        </w:tc>
        <w:tc>
          <w:tcPr>
            <w:tcW w:w="6781" w:type="dxa"/>
            <w:tcBorders>
              <w:top w:val="single" w:sz="6" w:space="0" w:color="000000"/>
              <w:left w:val="single" w:sz="6" w:space="0" w:color="000000"/>
              <w:bottom w:val="single" w:sz="6" w:space="0" w:color="000000"/>
              <w:right w:val="single" w:sz="6" w:space="0" w:color="000000"/>
            </w:tcBorders>
          </w:tcPr>
          <w:p>
            <w:pPr>
              <w:pStyle w:val="TableParagraph"/>
              <w:spacing w:line="245" w:lineRule="exact"/>
              <w:ind w:right="0"/>
              <w:jc w:val="center"/>
              <w:rPr>
                <w:rFonts w:ascii="宋体" w:hAnsi="宋体" w:cs="宋体" w:eastAsia="宋体" w:hint="default"/>
                <w:sz w:val="20"/>
                <w:szCs w:val="20"/>
              </w:rPr>
            </w:pPr>
            <w:r>
              <w:rPr>
                <w:rFonts w:ascii="宋体" w:hAnsi="宋体" w:cs="宋体" w:eastAsia="宋体" w:hint="default"/>
                <w:sz w:val="20"/>
                <w:szCs w:val="20"/>
              </w:rPr>
              <w:t>截止报告期末，公司在职员工为</w:t>
            </w:r>
            <w:r>
              <w:rPr>
                <w:rFonts w:ascii="宋体" w:hAnsi="宋体" w:cs="宋体" w:eastAsia="宋体" w:hint="default"/>
                <w:spacing w:val="-52"/>
                <w:sz w:val="20"/>
                <w:szCs w:val="20"/>
              </w:rPr>
              <w:t> </w:t>
            </w:r>
            <w:r>
              <w:rPr>
                <w:rFonts w:ascii="Arial" w:hAnsi="Arial" w:cs="Arial" w:eastAsia="Arial" w:hint="default"/>
                <w:sz w:val="20"/>
                <w:szCs w:val="20"/>
              </w:rPr>
              <w:t>216,772</w:t>
            </w:r>
            <w:r>
              <w:rPr>
                <w:rFonts w:ascii="Arial" w:hAnsi="Arial" w:cs="Arial" w:eastAsia="Arial" w:hint="default"/>
                <w:spacing w:val="-9"/>
                <w:sz w:val="20"/>
                <w:szCs w:val="20"/>
              </w:rPr>
              <w:t> </w:t>
            </w:r>
            <w:r>
              <w:rPr>
                <w:rFonts w:ascii="宋体" w:hAnsi="宋体" w:cs="宋体" w:eastAsia="宋体" w:hint="default"/>
                <w:sz w:val="20"/>
                <w:szCs w:val="20"/>
              </w:rPr>
              <w:t>人。</w:t>
            </w:r>
          </w:p>
        </w:tc>
      </w:tr>
      <w:tr>
        <w:trPr>
          <w:trHeight w:val="275" w:hRule="exact"/>
        </w:trPr>
        <w:tc>
          <w:tcPr>
            <w:tcW w:w="2174" w:type="dxa"/>
            <w:vMerge/>
            <w:tcBorders>
              <w:left w:val="single" w:sz="6" w:space="0" w:color="000000"/>
              <w:bottom w:val="single" w:sz="6" w:space="0" w:color="000000"/>
              <w:right w:val="single" w:sz="6" w:space="0" w:color="000000"/>
            </w:tcBorders>
          </w:tcPr>
          <w:p>
            <w:pPr/>
          </w:p>
        </w:tc>
        <w:tc>
          <w:tcPr>
            <w:tcW w:w="6781" w:type="dxa"/>
            <w:tcBorders>
              <w:top w:val="single" w:sz="6" w:space="0" w:color="000000"/>
              <w:left w:val="single" w:sz="6" w:space="0" w:color="000000"/>
              <w:bottom w:val="single" w:sz="6" w:space="0" w:color="000000"/>
              <w:right w:val="single" w:sz="6" w:space="0" w:color="000000"/>
            </w:tcBorders>
          </w:tcPr>
          <w:p>
            <w:pPr>
              <w:pStyle w:val="TableParagraph"/>
              <w:spacing w:line="245" w:lineRule="exact"/>
              <w:ind w:right="0"/>
              <w:jc w:val="center"/>
              <w:rPr>
                <w:rFonts w:ascii="宋体" w:hAnsi="宋体" w:cs="宋体" w:eastAsia="宋体" w:hint="default"/>
                <w:sz w:val="20"/>
                <w:szCs w:val="20"/>
              </w:rPr>
            </w:pPr>
            <w:r>
              <w:rPr>
                <w:rFonts w:ascii="宋体" w:hAnsi="宋体" w:cs="宋体" w:eastAsia="宋体" w:hint="default"/>
                <w:sz w:val="20"/>
                <w:szCs w:val="20"/>
              </w:rPr>
              <w:t>截止报告期末，公司需承担费用的离退休职工为</w:t>
            </w:r>
            <w:r>
              <w:rPr>
                <w:rFonts w:ascii="宋体" w:hAnsi="宋体" w:cs="宋体" w:eastAsia="宋体" w:hint="default"/>
                <w:spacing w:val="-54"/>
                <w:sz w:val="20"/>
                <w:szCs w:val="20"/>
              </w:rPr>
              <w:t> </w:t>
            </w:r>
            <w:r>
              <w:rPr>
                <w:rFonts w:ascii="Arial" w:hAnsi="Arial" w:cs="Arial" w:eastAsia="Arial" w:hint="default"/>
                <w:sz w:val="20"/>
                <w:szCs w:val="20"/>
              </w:rPr>
              <w:t>448</w:t>
            </w:r>
            <w:r>
              <w:rPr>
                <w:rFonts w:ascii="Arial" w:hAnsi="Arial" w:cs="Arial" w:eastAsia="Arial" w:hint="default"/>
                <w:spacing w:val="-10"/>
                <w:sz w:val="20"/>
                <w:szCs w:val="20"/>
              </w:rPr>
              <w:t> </w:t>
            </w:r>
            <w:r>
              <w:rPr>
                <w:rFonts w:ascii="宋体" w:hAnsi="宋体" w:cs="宋体" w:eastAsia="宋体" w:hint="default"/>
                <w:sz w:val="20"/>
                <w:szCs w:val="20"/>
              </w:rPr>
              <w:t>人。</w:t>
            </w:r>
          </w:p>
        </w:tc>
      </w:tr>
    </w:tbl>
    <w:p>
      <w:pPr>
        <w:spacing w:line="240" w:lineRule="auto" w:before="2"/>
        <w:rPr>
          <w:rFonts w:ascii="宋体" w:hAnsi="宋体" w:cs="宋体" w:eastAsia="宋体" w:hint="default"/>
          <w:sz w:val="14"/>
          <w:szCs w:val="14"/>
        </w:rPr>
      </w:pPr>
    </w:p>
    <w:p>
      <w:pPr>
        <w:pStyle w:val="BodyText"/>
        <w:spacing w:line="240" w:lineRule="auto" w:before="31"/>
        <w:ind w:left="749" w:right="90"/>
        <w:jc w:val="left"/>
      </w:pPr>
      <w:r>
        <w:rPr/>
        <w:t>员工的结构如下：</w:t>
      </w:r>
    </w:p>
    <w:p>
      <w:pPr>
        <w:spacing w:line="240" w:lineRule="auto" w:before="2"/>
        <w:rPr>
          <w:rFonts w:ascii="宋体" w:hAnsi="宋体" w:cs="宋体" w:eastAsia="宋体" w:hint="default"/>
          <w:sz w:val="19"/>
          <w:szCs w:val="19"/>
        </w:rPr>
      </w:pPr>
    </w:p>
    <w:p>
      <w:pPr>
        <w:pStyle w:val="BodyText"/>
        <w:spacing w:line="240" w:lineRule="auto"/>
        <w:ind w:left="329" w:right="90"/>
        <w:jc w:val="left"/>
      </w:pPr>
      <w:r>
        <w:rPr>
          <w:rFonts w:ascii="Arial" w:hAnsi="Arial" w:cs="Arial" w:eastAsia="Arial" w:hint="default"/>
        </w:rPr>
        <w:t>1</w:t>
      </w:r>
      <w:r>
        <w:rPr/>
        <w:t>、</w:t>
      </w:r>
      <w:r>
        <w:rPr>
          <w:spacing w:val="-35"/>
        </w:rPr>
        <w:t> </w:t>
      </w:r>
      <w:r>
        <w:rPr/>
        <w:t>专业构成情况</w:t>
      </w:r>
    </w:p>
    <w:p>
      <w:pPr>
        <w:spacing w:line="240" w:lineRule="auto" w:before="12"/>
        <w:rPr>
          <w:rFonts w:ascii="宋体" w:hAnsi="宋体" w:cs="宋体" w:eastAsia="宋体" w:hint="default"/>
          <w:sz w:val="18"/>
          <w:szCs w:val="18"/>
        </w:rPr>
      </w:pPr>
    </w:p>
    <w:tbl>
      <w:tblPr>
        <w:tblW w:w="0" w:type="auto"/>
        <w:jc w:val="left"/>
        <w:tblInd w:w="658" w:type="dxa"/>
        <w:tblLayout w:type="fixed"/>
        <w:tblCellMar>
          <w:top w:w="0" w:type="dxa"/>
          <w:left w:w="0" w:type="dxa"/>
          <w:bottom w:w="0" w:type="dxa"/>
          <w:right w:w="0" w:type="dxa"/>
        </w:tblCellMar>
        <w:tblLook w:val="01E0"/>
      </w:tblPr>
      <w:tblGrid>
        <w:gridCol w:w="4259"/>
        <w:gridCol w:w="4697"/>
      </w:tblGrid>
      <w:tr>
        <w:trPr>
          <w:trHeight w:val="300" w:hRule="exact"/>
        </w:trPr>
        <w:tc>
          <w:tcPr>
            <w:tcW w:w="4259"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1"/>
              <w:jc w:val="center"/>
              <w:rPr>
                <w:rFonts w:ascii="宋体" w:hAnsi="宋体" w:cs="宋体" w:eastAsia="宋体" w:hint="default"/>
                <w:sz w:val="22"/>
                <w:szCs w:val="22"/>
              </w:rPr>
            </w:pPr>
            <w:r>
              <w:rPr>
                <w:rFonts w:ascii="宋体" w:hAnsi="宋体" w:cs="宋体" w:eastAsia="宋体" w:hint="default"/>
                <w:sz w:val="22"/>
                <w:szCs w:val="22"/>
              </w:rPr>
              <w:t>专业类别</w:t>
            </w:r>
          </w:p>
        </w:tc>
        <w:tc>
          <w:tcPr>
            <w:tcW w:w="4697"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0"/>
              <w:jc w:val="center"/>
              <w:rPr>
                <w:rFonts w:ascii="宋体" w:hAnsi="宋体" w:cs="宋体" w:eastAsia="宋体" w:hint="default"/>
                <w:sz w:val="22"/>
                <w:szCs w:val="22"/>
              </w:rPr>
            </w:pPr>
            <w:r>
              <w:rPr>
                <w:rFonts w:ascii="宋体" w:hAnsi="宋体" w:cs="宋体" w:eastAsia="宋体" w:hint="default"/>
                <w:sz w:val="22"/>
                <w:szCs w:val="22"/>
              </w:rPr>
              <w:t>人数</w:t>
            </w:r>
          </w:p>
        </w:tc>
      </w:tr>
      <w:tr>
        <w:trPr>
          <w:trHeight w:val="301" w:hRule="exact"/>
        </w:trPr>
        <w:tc>
          <w:tcPr>
            <w:tcW w:w="4259"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0"/>
              <w:jc w:val="center"/>
              <w:rPr>
                <w:rFonts w:ascii="宋体" w:hAnsi="宋体" w:cs="宋体" w:eastAsia="宋体" w:hint="default"/>
                <w:sz w:val="22"/>
                <w:szCs w:val="22"/>
              </w:rPr>
            </w:pPr>
            <w:r>
              <w:rPr>
                <w:rFonts w:ascii="宋体" w:hAnsi="宋体" w:cs="宋体" w:eastAsia="宋体" w:hint="default"/>
                <w:sz w:val="22"/>
                <w:szCs w:val="22"/>
              </w:rPr>
              <w:t>销售与服务人员</w:t>
            </w:r>
          </w:p>
        </w:tc>
        <w:tc>
          <w:tcPr>
            <w:tcW w:w="46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
              <w:jc w:val="center"/>
              <w:rPr>
                <w:rFonts w:ascii="Arial" w:hAnsi="Arial" w:cs="Arial" w:eastAsia="Arial" w:hint="default"/>
                <w:sz w:val="22"/>
                <w:szCs w:val="22"/>
              </w:rPr>
            </w:pPr>
            <w:r>
              <w:rPr>
                <w:rFonts w:ascii="Arial"/>
                <w:sz w:val="22"/>
              </w:rPr>
              <w:t>65,235</w:t>
            </w:r>
          </w:p>
        </w:tc>
      </w:tr>
      <w:tr>
        <w:trPr>
          <w:trHeight w:val="300" w:hRule="exact"/>
        </w:trPr>
        <w:tc>
          <w:tcPr>
            <w:tcW w:w="4259"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0"/>
              <w:jc w:val="center"/>
              <w:rPr>
                <w:rFonts w:ascii="宋体" w:hAnsi="宋体" w:cs="宋体" w:eastAsia="宋体" w:hint="default"/>
                <w:sz w:val="22"/>
                <w:szCs w:val="22"/>
              </w:rPr>
            </w:pPr>
            <w:r>
              <w:rPr>
                <w:rFonts w:ascii="宋体" w:hAnsi="宋体" w:cs="宋体" w:eastAsia="宋体" w:hint="default"/>
                <w:sz w:val="22"/>
                <w:szCs w:val="22"/>
              </w:rPr>
              <w:t>产品与市场人员</w:t>
            </w:r>
          </w:p>
        </w:tc>
        <w:tc>
          <w:tcPr>
            <w:tcW w:w="46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
              <w:jc w:val="center"/>
              <w:rPr>
                <w:rFonts w:ascii="Arial" w:hAnsi="Arial" w:cs="Arial" w:eastAsia="Arial" w:hint="default"/>
                <w:sz w:val="22"/>
                <w:szCs w:val="22"/>
              </w:rPr>
            </w:pPr>
            <w:r>
              <w:rPr>
                <w:rFonts w:ascii="Arial"/>
                <w:sz w:val="22"/>
              </w:rPr>
              <w:t>18,612</w:t>
            </w:r>
          </w:p>
        </w:tc>
      </w:tr>
      <w:tr>
        <w:trPr>
          <w:trHeight w:val="300" w:hRule="exact"/>
        </w:trPr>
        <w:tc>
          <w:tcPr>
            <w:tcW w:w="4259"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0"/>
              <w:jc w:val="center"/>
              <w:rPr>
                <w:rFonts w:ascii="宋体" w:hAnsi="宋体" w:cs="宋体" w:eastAsia="宋体" w:hint="default"/>
                <w:sz w:val="22"/>
                <w:szCs w:val="22"/>
              </w:rPr>
            </w:pPr>
            <w:r>
              <w:rPr>
                <w:rFonts w:ascii="宋体" w:hAnsi="宋体" w:cs="宋体" w:eastAsia="宋体" w:hint="default"/>
                <w:sz w:val="22"/>
                <w:szCs w:val="22"/>
              </w:rPr>
              <w:t>建设与维护人员</w:t>
            </w:r>
          </w:p>
        </w:tc>
        <w:tc>
          <w:tcPr>
            <w:tcW w:w="46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
              <w:jc w:val="center"/>
              <w:rPr>
                <w:rFonts w:ascii="Arial" w:hAnsi="Arial" w:cs="Arial" w:eastAsia="Arial" w:hint="default"/>
                <w:sz w:val="22"/>
                <w:szCs w:val="22"/>
              </w:rPr>
            </w:pPr>
            <w:r>
              <w:rPr>
                <w:rFonts w:ascii="Arial"/>
                <w:sz w:val="22"/>
              </w:rPr>
              <w:t>82,149</w:t>
            </w:r>
          </w:p>
        </w:tc>
      </w:tr>
      <w:tr>
        <w:trPr>
          <w:trHeight w:val="300" w:hRule="exact"/>
        </w:trPr>
        <w:tc>
          <w:tcPr>
            <w:tcW w:w="4259"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1"/>
              <w:jc w:val="center"/>
              <w:rPr>
                <w:rFonts w:ascii="宋体" w:hAnsi="宋体" w:cs="宋体" w:eastAsia="宋体" w:hint="default"/>
                <w:sz w:val="22"/>
                <w:szCs w:val="22"/>
              </w:rPr>
            </w:pPr>
            <w:r>
              <w:rPr>
                <w:rFonts w:ascii="宋体" w:hAnsi="宋体" w:cs="宋体" w:eastAsia="宋体" w:hint="default"/>
                <w:sz w:val="22"/>
                <w:szCs w:val="22"/>
              </w:rPr>
              <w:t>支撑人员</w:t>
            </w:r>
          </w:p>
        </w:tc>
        <w:tc>
          <w:tcPr>
            <w:tcW w:w="46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
              <w:jc w:val="center"/>
              <w:rPr>
                <w:rFonts w:ascii="Arial" w:hAnsi="Arial" w:cs="Arial" w:eastAsia="Arial" w:hint="default"/>
                <w:sz w:val="22"/>
                <w:szCs w:val="22"/>
              </w:rPr>
            </w:pPr>
            <w:r>
              <w:rPr>
                <w:rFonts w:ascii="Arial"/>
                <w:sz w:val="22"/>
              </w:rPr>
              <w:t>27,494</w:t>
            </w:r>
          </w:p>
        </w:tc>
      </w:tr>
      <w:tr>
        <w:trPr>
          <w:trHeight w:val="301" w:hRule="exact"/>
        </w:trPr>
        <w:tc>
          <w:tcPr>
            <w:tcW w:w="4259"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1"/>
              <w:jc w:val="center"/>
              <w:rPr>
                <w:rFonts w:ascii="宋体" w:hAnsi="宋体" w:cs="宋体" w:eastAsia="宋体" w:hint="default"/>
                <w:sz w:val="22"/>
                <w:szCs w:val="22"/>
              </w:rPr>
            </w:pPr>
            <w:r>
              <w:rPr>
                <w:rFonts w:ascii="宋体" w:hAnsi="宋体" w:cs="宋体" w:eastAsia="宋体" w:hint="default"/>
                <w:sz w:val="22"/>
                <w:szCs w:val="22"/>
              </w:rPr>
              <w:t>管理人员</w:t>
            </w:r>
          </w:p>
        </w:tc>
        <w:tc>
          <w:tcPr>
            <w:tcW w:w="46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
              <w:jc w:val="center"/>
              <w:rPr>
                <w:rFonts w:ascii="Arial" w:hAnsi="Arial" w:cs="Arial" w:eastAsia="Arial" w:hint="default"/>
                <w:sz w:val="22"/>
                <w:szCs w:val="22"/>
              </w:rPr>
            </w:pPr>
            <w:r>
              <w:rPr>
                <w:rFonts w:ascii="Arial"/>
                <w:sz w:val="22"/>
              </w:rPr>
              <w:t>23,282</w:t>
            </w:r>
          </w:p>
        </w:tc>
      </w:tr>
    </w:tbl>
    <w:p>
      <w:pPr>
        <w:spacing w:line="240" w:lineRule="auto" w:before="5"/>
        <w:rPr>
          <w:rFonts w:ascii="宋体" w:hAnsi="宋体" w:cs="宋体" w:eastAsia="宋体" w:hint="default"/>
          <w:sz w:val="12"/>
          <w:szCs w:val="12"/>
        </w:rPr>
      </w:pPr>
    </w:p>
    <w:p>
      <w:pPr>
        <w:pStyle w:val="BodyText"/>
        <w:spacing w:line="240" w:lineRule="auto" w:before="31"/>
        <w:ind w:left="329" w:right="90"/>
        <w:jc w:val="left"/>
      </w:pPr>
      <w:r>
        <w:rPr>
          <w:rFonts w:ascii="Arial" w:hAnsi="Arial" w:cs="Arial" w:eastAsia="Arial" w:hint="default"/>
        </w:rPr>
        <w:t>2</w:t>
      </w:r>
      <w:r>
        <w:rPr/>
        <w:t>、</w:t>
      </w:r>
      <w:r>
        <w:rPr>
          <w:spacing w:val="-35"/>
        </w:rPr>
        <w:t> </w:t>
      </w:r>
      <w:r>
        <w:rPr/>
        <w:t>教育程度情况</w:t>
      </w:r>
    </w:p>
    <w:p>
      <w:pPr>
        <w:spacing w:line="240" w:lineRule="auto" w:before="12"/>
        <w:rPr>
          <w:rFonts w:ascii="宋体" w:hAnsi="宋体" w:cs="宋体" w:eastAsia="宋体" w:hint="default"/>
          <w:sz w:val="18"/>
          <w:szCs w:val="18"/>
        </w:rPr>
      </w:pPr>
    </w:p>
    <w:tbl>
      <w:tblPr>
        <w:tblW w:w="0" w:type="auto"/>
        <w:jc w:val="left"/>
        <w:tblInd w:w="658" w:type="dxa"/>
        <w:tblLayout w:type="fixed"/>
        <w:tblCellMar>
          <w:top w:w="0" w:type="dxa"/>
          <w:left w:w="0" w:type="dxa"/>
          <w:bottom w:w="0" w:type="dxa"/>
          <w:right w:w="0" w:type="dxa"/>
        </w:tblCellMar>
        <w:tblLook w:val="01E0"/>
      </w:tblPr>
      <w:tblGrid>
        <w:gridCol w:w="4306"/>
        <w:gridCol w:w="4650"/>
      </w:tblGrid>
      <w:tr>
        <w:trPr>
          <w:trHeight w:val="300" w:hRule="exact"/>
        </w:trPr>
        <w:tc>
          <w:tcPr>
            <w:tcW w:w="4306"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706" w:right="0"/>
              <w:jc w:val="left"/>
              <w:rPr>
                <w:rFonts w:ascii="宋体" w:hAnsi="宋体" w:cs="宋体" w:eastAsia="宋体" w:hint="default"/>
                <w:sz w:val="22"/>
                <w:szCs w:val="22"/>
              </w:rPr>
            </w:pPr>
            <w:r>
              <w:rPr>
                <w:rFonts w:ascii="宋体" w:hAnsi="宋体" w:cs="宋体" w:eastAsia="宋体" w:hint="default"/>
                <w:sz w:val="22"/>
                <w:szCs w:val="22"/>
              </w:rPr>
              <w:t>教育类别</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right="1"/>
              <w:jc w:val="center"/>
              <w:rPr>
                <w:rFonts w:ascii="宋体" w:hAnsi="宋体" w:cs="宋体" w:eastAsia="宋体" w:hint="default"/>
                <w:sz w:val="22"/>
                <w:szCs w:val="22"/>
              </w:rPr>
            </w:pPr>
            <w:r>
              <w:rPr>
                <w:rFonts w:ascii="宋体" w:hAnsi="宋体" w:cs="宋体" w:eastAsia="宋体" w:hint="default"/>
                <w:sz w:val="22"/>
                <w:szCs w:val="22"/>
              </w:rPr>
              <w:t>人数</w:t>
            </w:r>
          </w:p>
        </w:tc>
      </w:tr>
      <w:tr>
        <w:trPr>
          <w:trHeight w:val="301" w:hRule="exact"/>
        </w:trPr>
        <w:tc>
          <w:tcPr>
            <w:tcW w:w="4306"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706" w:right="0"/>
              <w:jc w:val="left"/>
              <w:rPr>
                <w:rFonts w:ascii="宋体" w:hAnsi="宋体" w:cs="宋体" w:eastAsia="宋体" w:hint="default"/>
                <w:sz w:val="22"/>
                <w:szCs w:val="22"/>
              </w:rPr>
            </w:pPr>
            <w:r>
              <w:rPr>
                <w:rFonts w:ascii="宋体" w:hAnsi="宋体" w:cs="宋体" w:eastAsia="宋体" w:hint="default"/>
                <w:sz w:val="22"/>
                <w:szCs w:val="22"/>
              </w:rPr>
              <w:t>硕士以上</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2040"/>
              <w:jc w:val="right"/>
              <w:rPr>
                <w:rFonts w:ascii="Arial" w:hAnsi="Arial" w:cs="Arial" w:eastAsia="Arial" w:hint="default"/>
                <w:sz w:val="22"/>
                <w:szCs w:val="22"/>
              </w:rPr>
            </w:pPr>
            <w:r>
              <w:rPr>
                <w:rFonts w:ascii="Arial"/>
                <w:w w:val="95"/>
                <w:sz w:val="22"/>
              </w:rPr>
              <w:t>7,597</w:t>
            </w:r>
            <w:r>
              <w:rPr>
                <w:rFonts w:ascii="Arial"/>
                <w:sz w:val="22"/>
              </w:rPr>
            </w:r>
          </w:p>
        </w:tc>
      </w:tr>
      <w:tr>
        <w:trPr>
          <w:trHeight w:val="300" w:hRule="exact"/>
        </w:trPr>
        <w:tc>
          <w:tcPr>
            <w:tcW w:w="4306"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706" w:right="0"/>
              <w:jc w:val="left"/>
              <w:rPr>
                <w:rFonts w:ascii="宋体" w:hAnsi="宋体" w:cs="宋体" w:eastAsia="宋体" w:hint="default"/>
                <w:sz w:val="22"/>
                <w:szCs w:val="22"/>
              </w:rPr>
            </w:pPr>
            <w:r>
              <w:rPr>
                <w:rFonts w:ascii="宋体" w:hAnsi="宋体" w:cs="宋体" w:eastAsia="宋体" w:hint="default"/>
                <w:sz w:val="22"/>
                <w:szCs w:val="22"/>
              </w:rPr>
              <w:t>大学本科</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979"/>
              <w:jc w:val="right"/>
              <w:rPr>
                <w:rFonts w:ascii="Arial" w:hAnsi="Arial" w:cs="Arial" w:eastAsia="Arial" w:hint="default"/>
                <w:sz w:val="22"/>
                <w:szCs w:val="22"/>
              </w:rPr>
            </w:pPr>
            <w:r>
              <w:rPr>
                <w:rFonts w:ascii="Arial"/>
                <w:w w:val="95"/>
                <w:sz w:val="22"/>
              </w:rPr>
              <w:t>78,624</w:t>
            </w:r>
            <w:r>
              <w:rPr>
                <w:rFonts w:ascii="Arial"/>
                <w:sz w:val="22"/>
              </w:rPr>
            </w:r>
          </w:p>
        </w:tc>
      </w:tr>
      <w:tr>
        <w:trPr>
          <w:trHeight w:val="300" w:hRule="exact"/>
        </w:trPr>
        <w:tc>
          <w:tcPr>
            <w:tcW w:w="4306"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706" w:right="0"/>
              <w:jc w:val="left"/>
              <w:rPr>
                <w:rFonts w:ascii="宋体" w:hAnsi="宋体" w:cs="宋体" w:eastAsia="宋体" w:hint="default"/>
                <w:sz w:val="22"/>
                <w:szCs w:val="22"/>
              </w:rPr>
            </w:pPr>
            <w:r>
              <w:rPr>
                <w:rFonts w:ascii="宋体" w:hAnsi="宋体" w:cs="宋体" w:eastAsia="宋体" w:hint="default"/>
                <w:sz w:val="22"/>
                <w:szCs w:val="22"/>
              </w:rPr>
              <w:t>大学专科</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979"/>
              <w:jc w:val="right"/>
              <w:rPr>
                <w:rFonts w:ascii="Arial" w:hAnsi="Arial" w:cs="Arial" w:eastAsia="Arial" w:hint="default"/>
                <w:sz w:val="22"/>
                <w:szCs w:val="22"/>
              </w:rPr>
            </w:pPr>
            <w:r>
              <w:rPr>
                <w:rFonts w:ascii="Arial"/>
                <w:w w:val="95"/>
                <w:sz w:val="22"/>
              </w:rPr>
              <w:t>61,465</w:t>
            </w:r>
            <w:r>
              <w:rPr>
                <w:rFonts w:ascii="Arial"/>
                <w:sz w:val="22"/>
              </w:rPr>
            </w:r>
          </w:p>
        </w:tc>
      </w:tr>
      <w:tr>
        <w:trPr>
          <w:trHeight w:val="301" w:hRule="exact"/>
        </w:trPr>
        <w:tc>
          <w:tcPr>
            <w:tcW w:w="4306" w:type="dxa"/>
            <w:tcBorders>
              <w:top w:val="single" w:sz="6" w:space="0" w:color="000000"/>
              <w:left w:val="single" w:sz="6" w:space="0" w:color="000000"/>
              <w:bottom w:val="single" w:sz="6" w:space="0" w:color="000000"/>
              <w:right w:val="single" w:sz="6" w:space="0" w:color="000000"/>
            </w:tcBorders>
          </w:tcPr>
          <w:p>
            <w:pPr>
              <w:pStyle w:val="TableParagraph"/>
              <w:spacing w:line="253" w:lineRule="exact"/>
              <w:ind w:left="1706" w:right="0"/>
              <w:jc w:val="left"/>
              <w:rPr>
                <w:rFonts w:ascii="宋体" w:hAnsi="宋体" w:cs="宋体" w:eastAsia="宋体" w:hint="default"/>
                <w:sz w:val="22"/>
                <w:szCs w:val="22"/>
              </w:rPr>
            </w:pPr>
            <w:r>
              <w:rPr>
                <w:rFonts w:ascii="宋体" w:hAnsi="宋体" w:cs="宋体" w:eastAsia="宋体" w:hint="default"/>
                <w:sz w:val="22"/>
                <w:szCs w:val="22"/>
              </w:rPr>
              <w:t>大专以下</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979"/>
              <w:jc w:val="right"/>
              <w:rPr>
                <w:rFonts w:ascii="Arial" w:hAnsi="Arial" w:cs="Arial" w:eastAsia="Arial" w:hint="default"/>
                <w:sz w:val="22"/>
                <w:szCs w:val="22"/>
              </w:rPr>
            </w:pPr>
            <w:r>
              <w:rPr>
                <w:rFonts w:ascii="Arial"/>
                <w:w w:val="95"/>
                <w:sz w:val="22"/>
              </w:rPr>
              <w:t>69,086</w:t>
            </w:r>
            <w:r>
              <w:rPr>
                <w:rFonts w:ascii="Arial"/>
                <w:sz w:val="22"/>
              </w:rPr>
            </w:r>
          </w:p>
        </w:tc>
      </w:tr>
    </w:tbl>
    <w:p>
      <w:pPr>
        <w:spacing w:after="0" w:line="240" w:lineRule="auto"/>
        <w:jc w:val="right"/>
        <w:rPr>
          <w:rFonts w:ascii="Arial" w:hAnsi="Arial" w:cs="Arial" w:eastAsia="Arial" w:hint="default"/>
          <w:sz w:val="22"/>
          <w:szCs w:val="22"/>
        </w:rPr>
        <w:sectPr>
          <w:pgSz w:w="11910" w:h="16840"/>
          <w:pgMar w:header="587" w:footer="774" w:top="960" w:bottom="960" w:left="1000" w:right="1100"/>
        </w:sectPr>
      </w:pPr>
    </w:p>
    <w:p>
      <w:pPr>
        <w:spacing w:line="240" w:lineRule="auto" w:before="0"/>
        <w:rPr>
          <w:rFonts w:ascii="宋体" w:hAnsi="宋体" w:cs="宋体" w:eastAsia="宋体" w:hint="default"/>
          <w:sz w:val="20"/>
          <w:szCs w:val="20"/>
        </w:rPr>
      </w:pPr>
    </w:p>
    <w:p>
      <w:pPr>
        <w:pStyle w:val="Heading8"/>
        <w:spacing w:line="240" w:lineRule="auto" w:before="172"/>
        <w:ind w:right="99"/>
        <w:jc w:val="left"/>
        <w:rPr>
          <w:b w:val="0"/>
          <w:bCs w:val="0"/>
        </w:rPr>
      </w:pPr>
      <w:bookmarkStart w:name="_bookmark4" w:id="6"/>
      <w:bookmarkEnd w:id="6"/>
      <w:r>
        <w:rPr>
          <w:b w:val="0"/>
          <w:bCs w:val="0"/>
        </w:rPr>
      </w:r>
      <w:r>
        <w:rPr/>
        <w:t>六、公司治理结构</w:t>
      </w:r>
      <w:r>
        <w:rPr>
          <w:b w:val="0"/>
          <w:bCs w:val="0"/>
        </w:rPr>
      </w:r>
    </w:p>
    <w:p>
      <w:pPr>
        <w:spacing w:line="240" w:lineRule="auto" w:before="12"/>
        <w:rPr>
          <w:rFonts w:ascii="宋体" w:hAnsi="宋体" w:cs="宋体" w:eastAsia="宋体" w:hint="default"/>
          <w:b/>
          <w:bCs/>
          <w:sz w:val="21"/>
          <w:szCs w:val="21"/>
        </w:rPr>
      </w:pPr>
    </w:p>
    <w:p>
      <w:pPr>
        <w:pStyle w:val="BodyText"/>
        <w:spacing w:line="240" w:lineRule="auto"/>
        <w:ind w:left="149" w:right="99"/>
        <w:jc w:val="left"/>
      </w:pPr>
      <w:r>
        <w:rPr>
          <w:rFonts w:ascii="Arial" w:hAnsi="Arial" w:cs="Arial" w:eastAsia="Arial" w:hint="default"/>
        </w:rPr>
        <w:t>(</w:t>
      </w:r>
      <w:r>
        <w:rPr/>
        <w:t>一</w:t>
      </w:r>
      <w:r>
        <w:rPr>
          <w:rFonts w:ascii="Arial" w:hAnsi="Arial" w:cs="Arial" w:eastAsia="Arial" w:hint="default"/>
        </w:rPr>
        <w:t>)</w:t>
      </w:r>
      <w:r>
        <w:rPr>
          <w:rFonts w:ascii="Arial" w:hAnsi="Arial" w:cs="Arial" w:eastAsia="Arial" w:hint="default"/>
          <w:spacing w:val="-10"/>
        </w:rPr>
        <w:t> </w:t>
      </w:r>
      <w:r>
        <w:rPr/>
        <w:t>公司治理的情况</w:t>
      </w:r>
    </w:p>
    <w:p>
      <w:pPr>
        <w:spacing w:line="240" w:lineRule="auto" w:before="2"/>
        <w:rPr>
          <w:rFonts w:ascii="宋体" w:hAnsi="宋体" w:cs="宋体" w:eastAsia="宋体" w:hint="default"/>
          <w:sz w:val="18"/>
          <w:szCs w:val="18"/>
        </w:rPr>
      </w:pPr>
    </w:p>
    <w:p>
      <w:pPr>
        <w:pStyle w:val="BodyText"/>
        <w:spacing w:line="237" w:lineRule="auto"/>
        <w:ind w:left="569" w:right="216"/>
        <w:jc w:val="both"/>
      </w:pPr>
      <w:r>
        <w:rPr/>
        <w:t>报告期内，本公司严格按照《公司法》、《证券法》、《上市公司治理准则》、上海证券交</w:t>
      </w:r>
      <w:r>
        <w:rPr>
          <w:spacing w:val="-50"/>
        </w:rPr>
        <w:t> </w:t>
      </w:r>
      <w:r>
        <w:rPr>
          <w:spacing w:val="-50"/>
        </w:rPr>
      </w:r>
      <w:r>
        <w:rPr/>
        <w:t>易所《股票上市规则》等法律法规要求开展公司治理工作，不断完善公司法人治理结构和公</w:t>
      </w:r>
      <w:r>
        <w:rPr>
          <w:spacing w:val="-50"/>
        </w:rPr>
        <w:t> </w:t>
      </w:r>
      <w:r>
        <w:rPr>
          <w:spacing w:val="-50"/>
        </w:rPr>
      </w:r>
      <w:r>
        <w:rPr/>
        <w:t>司各项内部管理制度，加强信息披露工作，规范公司运作。</w:t>
      </w:r>
    </w:p>
    <w:p>
      <w:pPr>
        <w:spacing w:line="240" w:lineRule="auto" w:before="4"/>
        <w:rPr>
          <w:rFonts w:ascii="宋体" w:hAnsi="宋体" w:cs="宋体" w:eastAsia="宋体" w:hint="default"/>
          <w:sz w:val="21"/>
          <w:szCs w:val="21"/>
        </w:rPr>
      </w:pPr>
    </w:p>
    <w:p>
      <w:pPr>
        <w:pStyle w:val="BodyText"/>
        <w:spacing w:line="286" w:lineRule="exact"/>
        <w:ind w:left="569" w:right="216"/>
        <w:jc w:val="both"/>
      </w:pPr>
      <w:r>
        <w:rPr/>
        <w:t>报告期内，本公司为更好的做好投资者关系工作，体现重组融合后公司的新形象，公司经过</w:t>
      </w:r>
      <w:r>
        <w:rPr>
          <w:spacing w:val="-50"/>
        </w:rPr>
        <w:t> </w:t>
      </w:r>
      <w:r>
        <w:rPr>
          <w:spacing w:val="-50"/>
        </w:rPr>
      </w:r>
      <w:r>
        <w:rPr/>
        <w:t>近四个月的努力，完成了对本公司原网站的改版、升级等工作。</w:t>
      </w:r>
    </w:p>
    <w:p>
      <w:pPr>
        <w:spacing w:line="240" w:lineRule="auto" w:before="1"/>
        <w:rPr>
          <w:rFonts w:ascii="宋体" w:hAnsi="宋体" w:cs="宋体" w:eastAsia="宋体" w:hint="default"/>
          <w:sz w:val="17"/>
          <w:szCs w:val="17"/>
        </w:rPr>
      </w:pPr>
    </w:p>
    <w:p>
      <w:pPr>
        <w:pStyle w:val="BodyText"/>
        <w:spacing w:line="295" w:lineRule="exact"/>
        <w:ind w:left="569" w:right="0"/>
        <w:jc w:val="both"/>
        <w:rPr>
          <w:rFonts w:ascii="Arial" w:hAnsi="Arial" w:cs="Arial" w:eastAsia="Arial" w:hint="default"/>
        </w:rPr>
      </w:pPr>
      <w:r>
        <w:rPr>
          <w:spacing w:val="-6"/>
        </w:rPr>
        <w:t>报告期内，经</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5</w:t>
      </w:r>
      <w:r>
        <w:rPr>
          <w:rFonts w:ascii="Arial" w:hAnsi="Arial" w:cs="Arial" w:eastAsia="Arial" w:hint="default"/>
          <w:spacing w:val="-7"/>
        </w:rPr>
        <w:t> </w:t>
      </w:r>
      <w:r>
        <w:rPr/>
        <w:t>月</w:t>
      </w:r>
      <w:r>
        <w:rPr>
          <w:spacing w:val="-56"/>
        </w:rPr>
        <w:t> </w:t>
      </w:r>
      <w:r>
        <w:rPr>
          <w:rFonts w:ascii="Arial" w:hAnsi="Arial" w:cs="Arial" w:eastAsia="Arial" w:hint="default"/>
        </w:rPr>
        <w:t>26</w:t>
      </w:r>
      <w:r>
        <w:rPr>
          <w:rFonts w:ascii="Arial" w:hAnsi="Arial" w:cs="Arial" w:eastAsia="Arial" w:hint="default"/>
          <w:spacing w:val="-7"/>
        </w:rPr>
        <w:t> </w:t>
      </w:r>
      <w:r>
        <w:rPr/>
        <w:t>日召开本公司的</w:t>
      </w:r>
      <w:r>
        <w:rPr>
          <w:spacing w:val="-55"/>
        </w:rPr>
        <w:t> </w:t>
      </w:r>
      <w:r>
        <w:rPr>
          <w:rFonts w:ascii="Arial" w:hAnsi="Arial" w:cs="Arial" w:eastAsia="Arial" w:hint="default"/>
        </w:rPr>
        <w:t>2008</w:t>
      </w:r>
      <w:r>
        <w:rPr>
          <w:rFonts w:ascii="Arial" w:hAnsi="Arial" w:cs="Arial" w:eastAsia="Arial" w:hint="default"/>
          <w:spacing w:val="-7"/>
        </w:rPr>
        <w:t> </w:t>
      </w:r>
      <w:r>
        <w:rPr>
          <w:spacing w:val="-3"/>
        </w:rPr>
        <w:t>年度股东大会批准，本公司于</w:t>
      </w:r>
      <w:r>
        <w:rPr>
          <w:spacing w:val="-55"/>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8</w:t>
      </w:r>
    </w:p>
    <w:p>
      <w:pPr>
        <w:pStyle w:val="BodyText"/>
        <w:spacing w:line="225" w:lineRule="auto" w:before="6"/>
        <w:ind w:left="569" w:right="216"/>
        <w:jc w:val="both"/>
      </w:pPr>
      <w:r>
        <w:rPr/>
        <w:t>月 </w:t>
      </w:r>
      <w:r>
        <w:rPr>
          <w:rFonts w:ascii="Arial" w:hAnsi="Arial" w:cs="Arial" w:eastAsia="Arial" w:hint="default"/>
        </w:rPr>
        <w:t>7</w:t>
      </w:r>
      <w:r>
        <w:rPr>
          <w:rFonts w:ascii="Arial" w:hAnsi="Arial" w:cs="Arial" w:eastAsia="Arial" w:hint="default"/>
          <w:spacing w:val="-2"/>
        </w:rPr>
        <w:t> </w:t>
      </w:r>
      <w:r>
        <w:rPr/>
        <w:t>日获得上海市工商行政管理局对本公司变更公司名称的申请的核准，本公司变更后的名</w:t>
      </w:r>
      <w:r>
        <w:rPr>
          <w:w w:val="99"/>
        </w:rPr>
        <w:t> </w:t>
      </w:r>
      <w:r>
        <w:rPr>
          <w:spacing w:val="-2"/>
        </w:rPr>
        <w:t>称为</w:t>
      </w:r>
      <w:r>
        <w:rPr>
          <w:rFonts w:ascii="Arial" w:hAnsi="Arial" w:cs="Arial" w:eastAsia="Arial" w:hint="default"/>
          <w:spacing w:val="-2"/>
        </w:rPr>
        <w:t>“</w:t>
      </w:r>
      <w:r>
        <w:rPr>
          <w:spacing w:val="-2"/>
        </w:rPr>
        <w:t>中国联合网络通信股份有限公司</w:t>
      </w:r>
      <w:r>
        <w:rPr>
          <w:rFonts w:ascii="Arial" w:hAnsi="Arial" w:cs="Arial" w:eastAsia="Arial" w:hint="default"/>
          <w:spacing w:val="-2"/>
        </w:rPr>
        <w:t>”</w:t>
      </w:r>
      <w:r>
        <w:rPr>
          <w:spacing w:val="-2"/>
        </w:rPr>
        <w:t>，本公司已经及时对此进行了披露，并同时修订了《公</w:t>
      </w:r>
      <w:r>
        <w:rPr>
          <w:spacing w:val="-101"/>
        </w:rPr>
        <w:t> </w:t>
      </w:r>
      <w:r>
        <w:rPr>
          <w:spacing w:val="-101"/>
        </w:rPr>
      </w:r>
      <w:r>
        <w:rPr/>
        <w:t>司章程》中的相关条款。</w:t>
      </w:r>
    </w:p>
    <w:p>
      <w:pPr>
        <w:spacing w:line="240" w:lineRule="auto" w:before="6"/>
        <w:rPr>
          <w:rFonts w:ascii="宋体" w:hAnsi="宋体" w:cs="宋体" w:eastAsia="宋体" w:hint="default"/>
          <w:sz w:val="21"/>
          <w:szCs w:val="21"/>
        </w:rPr>
      </w:pPr>
    </w:p>
    <w:p>
      <w:pPr>
        <w:pStyle w:val="BodyText"/>
        <w:spacing w:line="286" w:lineRule="exact"/>
        <w:ind w:left="569" w:right="96"/>
        <w:jc w:val="left"/>
      </w:pPr>
      <w:r>
        <w:rPr/>
        <w:t>公司已经先后制定了规范公司运作的《公司章程》、《董事会议事规则》、《股东大会议事</w:t>
      </w:r>
      <w:r>
        <w:rPr>
          <w:spacing w:val="-50"/>
        </w:rPr>
        <w:t> </w:t>
      </w:r>
      <w:r>
        <w:rPr>
          <w:spacing w:val="-50"/>
        </w:rPr>
      </w:r>
      <w:r>
        <w:rPr>
          <w:spacing w:val="-1"/>
        </w:rPr>
        <w:t>规则》、《监事会议事规则》、《投资者关系管理办法》、《董事会专门委员会工作细则》、</w:t>
      </w:r>
    </w:p>
    <w:p>
      <w:pPr>
        <w:pStyle w:val="BodyText"/>
        <w:spacing w:line="257" w:lineRule="exact"/>
        <w:ind w:left="569" w:right="0"/>
        <w:jc w:val="both"/>
      </w:pPr>
      <w:r>
        <w:rPr/>
        <w:t>《独立董事工作细则》、《公司信息披露事务管理实施办法》等。报告期内本公司严格按照</w:t>
      </w:r>
    </w:p>
    <w:p>
      <w:pPr>
        <w:pStyle w:val="BodyText"/>
        <w:spacing w:line="286" w:lineRule="exact" w:before="26"/>
        <w:ind w:left="569" w:right="217"/>
        <w:jc w:val="both"/>
        <w:rPr>
          <w:rFonts w:ascii="Arial" w:hAnsi="Arial" w:cs="Arial" w:eastAsia="Arial" w:hint="default"/>
        </w:rPr>
      </w:pPr>
      <w:r>
        <w:rPr>
          <w:spacing w:val="-2"/>
        </w:rPr>
        <w:t>《公司章程》及本公司</w:t>
      </w:r>
      <w:r>
        <w:rPr>
          <w:rFonts w:ascii="Arial" w:hAnsi="Arial" w:cs="Arial" w:eastAsia="Arial" w:hint="default"/>
          <w:spacing w:val="-2"/>
        </w:rPr>
        <w:t>“</w:t>
      </w:r>
      <w:r>
        <w:rPr>
          <w:spacing w:val="-2"/>
        </w:rPr>
        <w:t>三会议事规则</w:t>
      </w:r>
      <w:r>
        <w:rPr>
          <w:rFonts w:ascii="Arial" w:hAnsi="Arial" w:cs="Arial" w:eastAsia="Arial" w:hint="default"/>
          <w:spacing w:val="-2"/>
        </w:rPr>
        <w:t>”</w:t>
      </w:r>
      <w:r>
        <w:rPr>
          <w:spacing w:val="-2"/>
        </w:rPr>
        <w:t>的规定程序召集、召开股东大会、董事会和监事会，同</w:t>
      </w:r>
      <w:r>
        <w:rPr>
          <w:spacing w:val="-101"/>
        </w:rPr>
        <w:t> </w:t>
      </w:r>
      <w:r>
        <w:rPr>
          <w:spacing w:val="-101"/>
        </w:rPr>
      </w:r>
      <w:r>
        <w:rPr/>
        <w:t>时公司还依据《董事会专门委员会工作细则》及《独立董事工作细则》的要求，召开独立董</w:t>
      </w:r>
      <w:r>
        <w:rPr>
          <w:spacing w:val="-50"/>
        </w:rPr>
        <w:t> </w:t>
      </w:r>
      <w:r>
        <w:rPr>
          <w:spacing w:val="-50"/>
        </w:rPr>
      </w:r>
      <w:r>
        <w:rPr/>
        <w:t>事会、审计委员会会议以及薪酬与考核委员会会议，审议公司重大事项等。截至 </w:t>
      </w:r>
      <w:r>
        <w:rPr>
          <w:rFonts w:ascii="Arial" w:hAnsi="Arial" w:cs="Arial" w:eastAsia="Arial" w:hint="default"/>
        </w:rPr>
        <w:t>2009 </w:t>
      </w:r>
      <w:r>
        <w:rPr/>
        <w:t>年</w:t>
      </w:r>
      <w:r>
        <w:rPr>
          <w:spacing w:val="-66"/>
        </w:rPr>
        <w:t> </w:t>
      </w:r>
      <w:r>
        <w:rPr>
          <w:rFonts w:ascii="Arial" w:hAnsi="Arial" w:cs="Arial" w:eastAsia="Arial" w:hint="default"/>
        </w:rPr>
        <w:t>12</w:t>
      </w:r>
    </w:p>
    <w:p>
      <w:pPr>
        <w:pStyle w:val="BodyText"/>
        <w:spacing w:line="284" w:lineRule="exact" w:before="1"/>
        <w:ind w:left="568" w:right="220"/>
        <w:jc w:val="both"/>
      </w:pPr>
      <w:r>
        <w:rPr/>
        <w:t>月</w:t>
      </w:r>
      <w:r>
        <w:rPr>
          <w:spacing w:val="-85"/>
        </w:rPr>
        <w:t> </w:t>
      </w:r>
      <w:r>
        <w:rPr>
          <w:rFonts w:ascii="Arial" w:hAnsi="Arial" w:cs="Arial" w:eastAsia="Arial" w:hint="default"/>
        </w:rPr>
        <w:t>31</w:t>
      </w:r>
      <w:r>
        <w:rPr>
          <w:rFonts w:ascii="Arial" w:hAnsi="Arial" w:cs="Arial" w:eastAsia="Arial" w:hint="default"/>
          <w:spacing w:val="-36"/>
        </w:rPr>
        <w:t> </w:t>
      </w:r>
      <w:r>
        <w:rPr/>
        <w:t>日止，公司治理情况与中国证监会发布的《上市公司治理准则》的要求基本符合。主要</w:t>
      </w:r>
      <w:r>
        <w:rPr>
          <w:w w:val="99"/>
        </w:rPr>
        <w:t> </w:t>
      </w:r>
      <w:r>
        <w:rPr/>
        <w:t>表现：</w:t>
      </w:r>
    </w:p>
    <w:p>
      <w:pPr>
        <w:spacing w:line="240" w:lineRule="auto" w:before="8"/>
        <w:rPr>
          <w:rFonts w:ascii="宋体" w:hAnsi="宋体" w:cs="宋体" w:eastAsia="宋体" w:hint="default"/>
          <w:sz w:val="17"/>
          <w:szCs w:val="17"/>
        </w:rPr>
      </w:pPr>
    </w:p>
    <w:p>
      <w:pPr>
        <w:pStyle w:val="BodyText"/>
        <w:spacing w:line="235" w:lineRule="auto"/>
        <w:ind w:left="568" w:right="293" w:hanging="406"/>
        <w:jc w:val="both"/>
      </w:pPr>
      <w:r>
        <w:rPr>
          <w:rFonts w:ascii="Arial" w:hAnsi="Arial" w:cs="Arial" w:eastAsia="Arial" w:hint="default"/>
        </w:rPr>
        <w:t>1</w:t>
      </w:r>
      <w:r>
        <w:rPr/>
        <w:t>、</w:t>
      </w:r>
      <w:r>
        <w:rPr>
          <w:spacing w:val="-49"/>
        </w:rPr>
        <w:t> </w:t>
      </w:r>
      <w:r>
        <w:rPr/>
        <w:t>股东与股东大会：报告期内，本公司召开了两次临时股东大会和一次年度股东大会。本公司</w:t>
      </w:r>
      <w:r>
        <w:rPr>
          <w:w w:val="99"/>
        </w:rPr>
        <w:t> </w:t>
      </w:r>
      <w:r>
        <w:rPr/>
        <w:t>股东大会的召集、召开、表决等相关程序均严格按照有关法律法规和本公司《股东大会议事</w:t>
      </w:r>
      <w:r>
        <w:rPr>
          <w:w w:val="99"/>
        </w:rPr>
        <w:t> </w:t>
      </w:r>
      <w:r>
        <w:rPr/>
        <w:t>规则》的规定。本公司确保全体股东，特别是中小股东享有平等地位，确保所有股东能够按</w:t>
      </w:r>
      <w:r>
        <w:rPr>
          <w:w w:val="99"/>
        </w:rPr>
        <w:t> </w:t>
      </w:r>
      <w:r>
        <w:rPr/>
        <w:t>其持有的股份享有并充分行使自己的权利。股东大会对关联交易的审议均严格按照规定的程</w:t>
      </w:r>
      <w:r>
        <w:rPr>
          <w:w w:val="99"/>
        </w:rPr>
        <w:t> </w:t>
      </w:r>
      <w:r>
        <w:rPr/>
        <w:t>序进行，关联股东在表决时实行回避，保证关联交易符合公开、公平、公正的原则。</w:t>
      </w:r>
    </w:p>
    <w:p>
      <w:pPr>
        <w:spacing w:line="240" w:lineRule="auto" w:before="11"/>
        <w:rPr>
          <w:rFonts w:ascii="宋体" w:hAnsi="宋体" w:cs="宋体" w:eastAsia="宋体" w:hint="default"/>
          <w:sz w:val="19"/>
          <w:szCs w:val="19"/>
        </w:rPr>
      </w:pPr>
    </w:p>
    <w:p>
      <w:pPr>
        <w:pStyle w:val="BodyText"/>
        <w:spacing w:line="232" w:lineRule="auto"/>
        <w:ind w:left="568" w:right="90" w:hanging="406"/>
        <w:jc w:val="left"/>
      </w:pPr>
      <w:r>
        <w:rPr>
          <w:rFonts w:ascii="Arial" w:hAnsi="Arial" w:cs="Arial" w:eastAsia="Arial" w:hint="default"/>
        </w:rPr>
        <w:t>2</w:t>
      </w:r>
      <w:r>
        <w:rPr/>
        <w:t>、</w:t>
      </w:r>
      <w:r>
        <w:rPr>
          <w:spacing w:val="-80"/>
        </w:rPr>
        <w:t> </w:t>
      </w:r>
      <w:r>
        <w:rPr/>
        <w:t>董事与董事会：董事会以本公司及股东的最佳利益为原则，负责审议及批准公司的重大事项，</w:t>
      </w:r>
      <w:r>
        <w:rPr>
          <w:w w:val="99"/>
        </w:rPr>
        <w:t> </w:t>
      </w:r>
      <w:r>
        <w:rPr/>
        <w:t>包括经营策略、重大投资等。审议董事会换届选举等。董事会的主要职能还包括审批公司定</w:t>
      </w:r>
      <w:r>
        <w:rPr>
          <w:w w:val="99"/>
        </w:rPr>
        <w:t> </w:t>
      </w:r>
      <w:r>
        <w:rPr/>
        <w:t>期对外公布的业绩及运营情况等。报告期内公司召开了八次董事会，讨论及审议了包括</w:t>
      </w:r>
      <w:r>
        <w:rPr>
          <w:spacing w:val="-65"/>
        </w:rPr>
        <w:t> </w:t>
      </w:r>
      <w:r>
        <w:rPr>
          <w:rFonts w:ascii="Arial" w:hAnsi="Arial" w:cs="Arial" w:eastAsia="Arial" w:hint="default"/>
        </w:rPr>
        <w:t>2008</w:t>
      </w:r>
      <w:r>
        <w:rPr>
          <w:rFonts w:ascii="Arial" w:hAnsi="Arial" w:cs="Arial" w:eastAsia="Arial" w:hint="default"/>
          <w:w w:val="99"/>
        </w:rPr>
        <w:t> </w:t>
      </w:r>
      <w:r>
        <w:rPr/>
        <w:t>年年度报告、</w:t>
      </w:r>
      <w:r>
        <w:rPr>
          <w:rFonts w:ascii="Arial" w:hAnsi="Arial" w:cs="Arial" w:eastAsia="Arial" w:hint="default"/>
        </w:rPr>
        <w:t>2009 </w:t>
      </w:r>
      <w:r>
        <w:rPr/>
        <w:t>年中期报告、</w:t>
      </w:r>
      <w:r>
        <w:rPr>
          <w:rFonts w:ascii="Arial" w:hAnsi="Arial" w:cs="Arial" w:eastAsia="Arial" w:hint="default"/>
        </w:rPr>
        <w:t>2009</w:t>
      </w:r>
      <w:r>
        <w:rPr>
          <w:rFonts w:ascii="Arial" w:hAnsi="Arial" w:cs="Arial" w:eastAsia="Arial" w:hint="default"/>
          <w:spacing w:val="9"/>
        </w:rPr>
        <w:t> </w:t>
      </w:r>
      <w:r>
        <w:rPr/>
        <w:t>年第一季度报告和第三季度报告、内控工作报告、社</w:t>
      </w:r>
      <w:r>
        <w:rPr>
          <w:w w:val="99"/>
        </w:rPr>
        <w:t> </w:t>
      </w:r>
      <w:r>
        <w:rPr>
          <w:spacing w:val="-4"/>
        </w:rPr>
        <w:t>会责任报告、关于联通红筹公司回购韩国</w:t>
      </w:r>
      <w:r>
        <w:rPr>
          <w:spacing w:val="-57"/>
        </w:rPr>
        <w:t> </w:t>
      </w:r>
      <w:r>
        <w:rPr>
          <w:rFonts w:ascii="Arial" w:hAnsi="Arial" w:cs="Arial" w:eastAsia="Arial" w:hint="default"/>
        </w:rPr>
        <w:t>SKT</w:t>
      </w:r>
      <w:r>
        <w:rPr>
          <w:rFonts w:ascii="Arial" w:hAnsi="Arial" w:cs="Arial" w:eastAsia="Arial" w:hint="default"/>
          <w:spacing w:val="-7"/>
        </w:rPr>
        <w:t> </w:t>
      </w:r>
      <w:r>
        <w:rPr>
          <w:spacing w:val="-3"/>
        </w:rPr>
        <w:t>所持有其全部股份的事项、部分修改公司章程、</w:t>
      </w:r>
      <w:r>
        <w:rPr>
          <w:w w:val="99"/>
        </w:rPr>
        <w:t> </w:t>
      </w:r>
      <w:r>
        <w:rPr/>
        <w:t>董事会换届选举等重要事项。公司董事会的召集、召开、表决等相关程序均严格按照有关法</w:t>
      </w:r>
      <w:r>
        <w:rPr>
          <w:w w:val="99"/>
        </w:rPr>
        <w:t> </w:t>
      </w:r>
      <w:r>
        <w:rPr/>
        <w:t>律法规和本公司《董事会议事规则》的规定。本公司董事会职责清晰，公司各位董事均投入</w:t>
      </w:r>
      <w:r>
        <w:rPr>
          <w:w w:val="99"/>
        </w:rPr>
        <w:t> </w:t>
      </w:r>
      <w:r>
        <w:rPr/>
        <w:t>了足够的时间处理本公司事务，且均按时出席董事会。作为第二届董事会的各位董事和第三</w:t>
      </w:r>
      <w:r>
        <w:rPr>
          <w:w w:val="99"/>
        </w:rPr>
        <w:t> </w:t>
      </w:r>
      <w:r>
        <w:rPr/>
        <w:t>届新任的董事均了解其作为董事的权利、义务和责任，均能履行诚信和勤勉尽职的职责，认</w:t>
      </w:r>
      <w:r>
        <w:rPr>
          <w:w w:val="99"/>
        </w:rPr>
        <w:t> </w:t>
      </w:r>
      <w:r>
        <w:rPr/>
        <w:t>真审阅董事会和股东大会的各项议案，并提出有益的建议，其决策亦符合股东利益和公司长</w:t>
      </w:r>
      <w:r>
        <w:rPr>
          <w:w w:val="99"/>
        </w:rPr>
        <w:t> </w:t>
      </w:r>
      <w:r>
        <w:rPr/>
        <w:t>远发展。</w:t>
      </w:r>
    </w:p>
    <w:p>
      <w:pPr>
        <w:spacing w:after="0" w:line="232" w:lineRule="auto"/>
        <w:jc w:val="left"/>
        <w:sectPr>
          <w:pgSz w:w="11910" w:h="16840"/>
          <w:pgMar w:header="587" w:footer="774" w:top="960" w:bottom="960" w:left="1180" w:right="1060"/>
        </w:sectPr>
      </w:pPr>
    </w:p>
    <w:p>
      <w:pPr>
        <w:spacing w:line="240" w:lineRule="auto" w:before="6"/>
        <w:rPr>
          <w:rFonts w:ascii="宋体" w:hAnsi="宋体" w:cs="宋体" w:eastAsia="宋体" w:hint="default"/>
          <w:sz w:val="12"/>
          <w:szCs w:val="12"/>
        </w:rPr>
      </w:pPr>
    </w:p>
    <w:p>
      <w:pPr>
        <w:pStyle w:val="BodyText"/>
        <w:spacing w:line="232" w:lineRule="auto" w:before="39"/>
        <w:ind w:left="569" w:right="216" w:hanging="406"/>
        <w:jc w:val="both"/>
      </w:pPr>
      <w:r>
        <w:rPr>
          <w:rFonts w:ascii="Arial" w:hAnsi="Arial" w:cs="Arial" w:eastAsia="Arial" w:hint="default"/>
        </w:rPr>
        <w:t>3</w:t>
      </w:r>
      <w:r>
        <w:rPr/>
        <w:t>、</w:t>
      </w:r>
      <w:r>
        <w:rPr>
          <w:spacing w:val="-48"/>
        </w:rPr>
        <w:t> </w:t>
      </w:r>
      <w:r>
        <w:rPr/>
        <w:t>关于监事与监事会：公司监事会由</w:t>
      </w:r>
      <w:r>
        <w:rPr>
          <w:spacing w:val="-43"/>
        </w:rPr>
        <w:t> </w:t>
      </w:r>
      <w:r>
        <w:rPr>
          <w:rFonts w:ascii="Arial" w:hAnsi="Arial" w:cs="Arial" w:eastAsia="Arial" w:hint="default"/>
        </w:rPr>
        <w:t>3</w:t>
      </w:r>
      <w:r>
        <w:rPr>
          <w:rFonts w:ascii="Arial" w:hAnsi="Arial" w:cs="Arial" w:eastAsia="Arial" w:hint="default"/>
          <w:spacing w:val="5"/>
        </w:rPr>
        <w:t> </w:t>
      </w:r>
      <w:r>
        <w:rPr/>
        <w:t>名监事组成，其中</w:t>
      </w:r>
      <w:r>
        <w:rPr>
          <w:spacing w:val="-44"/>
        </w:rPr>
        <w:t> </w:t>
      </w:r>
      <w:r>
        <w:rPr>
          <w:rFonts w:ascii="Arial" w:hAnsi="Arial" w:cs="Arial" w:eastAsia="Arial" w:hint="default"/>
        </w:rPr>
        <w:t>1</w:t>
      </w:r>
      <w:r>
        <w:rPr>
          <w:rFonts w:ascii="Arial" w:hAnsi="Arial" w:cs="Arial" w:eastAsia="Arial" w:hint="default"/>
          <w:spacing w:val="6"/>
        </w:rPr>
        <w:t> </w:t>
      </w:r>
      <w:r>
        <w:rPr/>
        <w:t>名为职工代表。报告期内，本公司</w:t>
      </w:r>
      <w:r>
        <w:rPr>
          <w:w w:val="99"/>
        </w:rPr>
        <w:t> </w:t>
      </w:r>
      <w:r>
        <w:rPr/>
        <w:t>监事会共召开了七次监事会会议。监事会的召集、召开程序符合公司《监事会议事规则》的</w:t>
      </w:r>
      <w:r>
        <w:rPr>
          <w:w w:val="99"/>
        </w:rPr>
        <w:t> </w:t>
      </w:r>
      <w:r>
        <w:rPr/>
        <w:t>规定。本公司监事能够认真履行自己的职责，从股东利益出发，对本公司重大事项、财务以</w:t>
      </w:r>
      <w:r>
        <w:rPr>
          <w:w w:val="99"/>
        </w:rPr>
        <w:t> </w:t>
      </w:r>
      <w:r>
        <w:rPr/>
        <w:t>及公司董事、高级管理人员履职的合法合规性进行监督。</w:t>
      </w:r>
    </w:p>
    <w:p>
      <w:pPr>
        <w:spacing w:line="240" w:lineRule="auto" w:before="0"/>
        <w:rPr>
          <w:rFonts w:ascii="宋体" w:hAnsi="宋体" w:cs="宋体" w:eastAsia="宋体" w:hint="default"/>
          <w:sz w:val="20"/>
          <w:szCs w:val="20"/>
        </w:rPr>
      </w:pPr>
    </w:p>
    <w:p>
      <w:pPr>
        <w:pStyle w:val="BodyText"/>
        <w:spacing w:line="230" w:lineRule="auto"/>
        <w:ind w:left="569" w:right="216" w:hanging="406"/>
        <w:jc w:val="both"/>
      </w:pPr>
      <w:r>
        <w:rPr>
          <w:rFonts w:ascii="Arial" w:hAnsi="Arial" w:cs="Arial" w:eastAsia="Arial" w:hint="default"/>
        </w:rPr>
        <w:t>4</w:t>
      </w:r>
      <w:r>
        <w:rPr/>
        <w:t>、 控股股东与上市公司的关系：本公司控股股东严格规范自己行为，依法行使股东权利，承担</w:t>
      </w:r>
      <w:r>
        <w:rPr>
          <w:spacing w:val="-98"/>
        </w:rPr>
        <w:t> </w:t>
      </w:r>
      <w:r>
        <w:rPr>
          <w:spacing w:val="-98"/>
        </w:rPr>
      </w:r>
      <w:r>
        <w:rPr/>
        <w:t>义务。本公司与控股股东在资产、业务、机构、财务、人员等方面严格分开，公司董事会、</w:t>
      </w:r>
      <w:r>
        <w:rPr>
          <w:w w:val="99"/>
        </w:rPr>
        <w:t> </w:t>
      </w:r>
      <w:r>
        <w:rPr/>
        <w:t>监事会和内部机构均独立运作。未发现控股股东占用公司资金和资产的情况。</w:t>
      </w:r>
    </w:p>
    <w:p>
      <w:pPr>
        <w:spacing w:line="240" w:lineRule="auto" w:before="9"/>
        <w:rPr>
          <w:rFonts w:ascii="宋体" w:hAnsi="宋体" w:cs="宋体" w:eastAsia="宋体" w:hint="default"/>
          <w:sz w:val="19"/>
          <w:szCs w:val="19"/>
        </w:rPr>
      </w:pPr>
    </w:p>
    <w:p>
      <w:pPr>
        <w:pStyle w:val="BodyText"/>
        <w:spacing w:line="235" w:lineRule="auto"/>
        <w:ind w:left="569" w:right="216" w:hanging="406"/>
        <w:jc w:val="both"/>
      </w:pPr>
      <w:r>
        <w:rPr>
          <w:rFonts w:ascii="Arial" w:hAnsi="Arial" w:cs="Arial" w:eastAsia="Arial" w:hint="default"/>
        </w:rPr>
        <w:t>5</w:t>
      </w:r>
      <w:r>
        <w:rPr/>
        <w:t>、 关于独立董事：公司第二届、第三届各位独立董事均不在公司担任除董事外的其它职务，并</w:t>
      </w:r>
      <w:r>
        <w:rPr>
          <w:spacing w:val="-98"/>
        </w:rPr>
        <w:t> </w:t>
      </w:r>
      <w:r>
        <w:rPr>
          <w:spacing w:val="-98"/>
        </w:rPr>
      </w:r>
      <w:r>
        <w:rPr/>
        <w:t>与公司及其主要股东不存在可能妨碍其进行独立客观判断的关系。独立董事均能了解对公司</w:t>
      </w:r>
      <w:r>
        <w:rPr>
          <w:w w:val="99"/>
        </w:rPr>
        <w:t> </w:t>
      </w:r>
      <w:r>
        <w:rPr/>
        <w:t>及全体股东负有诚信与勤勉尽职义务。并按照相关法律法规、公司章程及本制度的要求，认</w:t>
      </w:r>
      <w:r>
        <w:rPr>
          <w:w w:val="99"/>
        </w:rPr>
        <w:t> </w:t>
      </w:r>
      <w:r>
        <w:rPr/>
        <w:t>真履行职责，维护公司整体利益，尤其关注中小股东的合法权益不受损害。公司各位独立董</w:t>
      </w:r>
      <w:r>
        <w:rPr>
          <w:w w:val="99"/>
        </w:rPr>
        <w:t> </w:t>
      </w:r>
      <w:r>
        <w:rPr/>
        <w:t>事均亲自参加历次独立董事会议，并发表独立意见。</w:t>
      </w:r>
    </w:p>
    <w:p>
      <w:pPr>
        <w:spacing w:line="240" w:lineRule="auto" w:before="4"/>
        <w:rPr>
          <w:rFonts w:ascii="宋体" w:hAnsi="宋体" w:cs="宋体" w:eastAsia="宋体" w:hint="default"/>
          <w:sz w:val="21"/>
          <w:szCs w:val="21"/>
        </w:rPr>
      </w:pPr>
    </w:p>
    <w:p>
      <w:pPr>
        <w:pStyle w:val="BodyText"/>
        <w:spacing w:line="286" w:lineRule="exact"/>
        <w:ind w:left="569" w:right="216" w:hanging="406"/>
        <w:jc w:val="both"/>
      </w:pPr>
      <w:r>
        <w:rPr>
          <w:rFonts w:ascii="Arial" w:hAnsi="Arial" w:cs="Arial" w:eastAsia="Arial" w:hint="default"/>
        </w:rPr>
        <w:t>6</w:t>
      </w:r>
      <w:r>
        <w:rPr/>
        <w:t>、 关于审计委员会：公司审计委员会能有效执行其任务，使董事会能更好监察本公司的财务管</w:t>
      </w:r>
      <w:r>
        <w:rPr>
          <w:spacing w:val="-98"/>
        </w:rPr>
        <w:t> </w:t>
      </w:r>
      <w:r>
        <w:rPr>
          <w:spacing w:val="-98"/>
        </w:rPr>
      </w:r>
      <w:r>
        <w:rPr/>
        <w:t>理状况，监管本公司与财务报告相关的内部控制体系，保障公司财务报表的完整及真实性。</w:t>
      </w:r>
    </w:p>
    <w:p>
      <w:pPr>
        <w:spacing w:line="240" w:lineRule="auto" w:before="6"/>
        <w:rPr>
          <w:rFonts w:ascii="宋体" w:hAnsi="宋体" w:cs="宋体" w:eastAsia="宋体" w:hint="default"/>
          <w:sz w:val="19"/>
          <w:szCs w:val="19"/>
        </w:rPr>
      </w:pPr>
    </w:p>
    <w:p>
      <w:pPr>
        <w:pStyle w:val="BodyText"/>
        <w:spacing w:line="284" w:lineRule="exact"/>
        <w:ind w:left="569" w:right="216" w:hanging="406"/>
        <w:jc w:val="both"/>
      </w:pPr>
      <w:r>
        <w:rPr>
          <w:rFonts w:ascii="Arial" w:hAnsi="Arial" w:cs="Arial" w:eastAsia="Arial" w:hint="default"/>
        </w:rPr>
        <w:t>7</w:t>
      </w:r>
      <w:r>
        <w:rPr/>
        <w:t>、 利益相关者：公司按照《投资者关系管理办法》尊重和维护利益相关者的合法权益，认真接</w:t>
      </w:r>
      <w:r>
        <w:rPr>
          <w:spacing w:val="-98"/>
        </w:rPr>
        <w:t> </w:t>
      </w:r>
      <w:r>
        <w:rPr>
          <w:spacing w:val="-98"/>
        </w:rPr>
      </w:r>
      <w:r>
        <w:rPr/>
        <w:t>待股东来访、来电咨询。</w:t>
      </w:r>
    </w:p>
    <w:p>
      <w:pPr>
        <w:spacing w:line="240" w:lineRule="auto" w:before="5"/>
        <w:rPr>
          <w:rFonts w:ascii="宋体" w:hAnsi="宋体" w:cs="宋体" w:eastAsia="宋体" w:hint="default"/>
          <w:sz w:val="19"/>
          <w:szCs w:val="19"/>
        </w:rPr>
      </w:pPr>
    </w:p>
    <w:p>
      <w:pPr>
        <w:pStyle w:val="BodyText"/>
        <w:spacing w:line="286" w:lineRule="exact"/>
        <w:ind w:left="524" w:right="108" w:hanging="360"/>
        <w:jc w:val="both"/>
      </w:pPr>
      <w:r>
        <w:rPr>
          <w:rFonts w:ascii="Arial" w:hAnsi="Arial" w:cs="Arial" w:eastAsia="Arial" w:hint="default"/>
          <w:spacing w:val="-5"/>
        </w:rPr>
        <w:t>8</w:t>
      </w:r>
      <w:r>
        <w:rPr>
          <w:spacing w:val="-5"/>
        </w:rPr>
        <w:t>、关于信息披露与透明度：公司严格执行已制定的《公司信息披露管理办法》，且严格按照法律、</w:t>
      </w:r>
      <w:r>
        <w:rPr>
          <w:spacing w:val="-86"/>
        </w:rPr>
        <w:t> </w:t>
      </w:r>
      <w:r>
        <w:rPr>
          <w:spacing w:val="-86"/>
        </w:rPr>
      </w:r>
      <w:r>
        <w:rPr/>
        <w:t>法规和《上海证券交易所上市规则》的规定，真实、准确、完整、及时地履行信息披露义务，</w:t>
      </w:r>
      <w:r>
        <w:rPr>
          <w:w w:val="99"/>
        </w:rPr>
        <w:t> </w:t>
      </w:r>
      <w:r>
        <w:rPr/>
        <w:t>并确保所有股东平等地获取信息。</w:t>
      </w:r>
    </w:p>
    <w:p>
      <w:pPr>
        <w:spacing w:line="240" w:lineRule="auto" w:before="1"/>
        <w:rPr>
          <w:rFonts w:ascii="宋体" w:hAnsi="宋体" w:cs="宋体" w:eastAsia="宋体" w:hint="default"/>
          <w:sz w:val="17"/>
          <w:szCs w:val="17"/>
        </w:rPr>
      </w:pPr>
    </w:p>
    <w:p>
      <w:pPr>
        <w:pStyle w:val="Heading8"/>
        <w:spacing w:line="240" w:lineRule="auto"/>
        <w:ind w:left="164" w:right="99"/>
        <w:jc w:val="left"/>
        <w:rPr>
          <w:b w:val="0"/>
          <w:bCs w:val="0"/>
        </w:rPr>
      </w:pPr>
      <w:r>
        <w:rPr/>
        <w:t>公司治理整改情况总结</w:t>
      </w:r>
      <w:r>
        <w:rPr>
          <w:b w:val="0"/>
          <w:bCs w:val="0"/>
        </w:rPr>
      </w:r>
    </w:p>
    <w:p>
      <w:pPr>
        <w:spacing w:line="240" w:lineRule="auto" w:before="13"/>
        <w:rPr>
          <w:rFonts w:ascii="宋体" w:hAnsi="宋体" w:cs="宋体" w:eastAsia="宋体" w:hint="default"/>
          <w:b/>
          <w:bCs/>
          <w:sz w:val="19"/>
          <w:szCs w:val="19"/>
        </w:rPr>
      </w:pPr>
    </w:p>
    <w:p>
      <w:pPr>
        <w:pStyle w:val="BodyText"/>
        <w:spacing w:line="230" w:lineRule="auto"/>
        <w:ind w:left="569" w:right="108"/>
        <w:jc w:val="both"/>
      </w:pPr>
      <w:r>
        <w:rPr/>
        <w:t>公司切实落实中国证监会证监公司字【</w:t>
      </w:r>
      <w:r>
        <w:rPr>
          <w:rFonts w:ascii="Arial" w:hAnsi="Arial" w:cs="Arial" w:eastAsia="Arial" w:hint="default"/>
        </w:rPr>
        <w:t>2008</w:t>
      </w:r>
      <w:r>
        <w:rPr/>
        <w:t>】</w:t>
      </w:r>
      <w:r>
        <w:rPr>
          <w:rFonts w:ascii="Arial" w:hAnsi="Arial" w:cs="Arial" w:eastAsia="Arial" w:hint="default"/>
        </w:rPr>
        <w:t>27</w:t>
      </w:r>
      <w:r>
        <w:rPr>
          <w:rFonts w:ascii="Arial" w:hAnsi="Arial" w:cs="Arial" w:eastAsia="Arial" w:hint="default"/>
          <w:spacing w:val="-25"/>
        </w:rPr>
        <w:t> </w:t>
      </w:r>
      <w:r>
        <w:rPr/>
        <w:t>号《关于开展加强上市公司治理专项活动有</w:t>
      </w:r>
      <w:r>
        <w:rPr>
          <w:w w:val="99"/>
        </w:rPr>
        <w:t> </w:t>
      </w:r>
      <w:r>
        <w:rPr/>
        <w:t>关事项的通知》的文件精神，对照《公司法》、《证券法》、《公司章程》等，对公司治理</w:t>
      </w:r>
      <w:r>
        <w:rPr>
          <w:spacing w:val="-50"/>
        </w:rPr>
        <w:t> </w:t>
      </w:r>
      <w:r>
        <w:rPr>
          <w:spacing w:val="-50"/>
        </w:rPr>
      </w:r>
      <w:r>
        <w:rPr>
          <w:spacing w:val="-6"/>
          <w:w w:val="99"/>
        </w:rPr>
        <w:t>情况及资金占用情况进行了自查。公司于</w:t>
      </w:r>
      <w:r>
        <w:rPr>
          <w:spacing w:val="-57"/>
          <w:w w:val="99"/>
        </w:rPr>
        <w:t> </w:t>
      </w:r>
      <w:r>
        <w:rPr>
          <w:rFonts w:ascii="Arial" w:hAnsi="Arial" w:cs="Arial" w:eastAsia="Arial" w:hint="default"/>
          <w:w w:val="99"/>
        </w:rPr>
        <w:t>2007</w:t>
      </w:r>
      <w:r>
        <w:rPr>
          <w:rFonts w:ascii="Arial" w:hAnsi="Arial" w:cs="Arial" w:eastAsia="Arial" w:hint="default"/>
          <w:spacing w:val="-6"/>
          <w:w w:val="99"/>
        </w:rPr>
        <w:t> </w:t>
      </w:r>
      <w:r>
        <w:rPr>
          <w:w w:val="99"/>
        </w:rPr>
        <w:t>年</w:t>
      </w:r>
      <w:r>
        <w:rPr>
          <w:spacing w:val="-57"/>
          <w:w w:val="99"/>
        </w:rPr>
        <w:t> </w:t>
      </w:r>
      <w:r>
        <w:rPr>
          <w:rFonts w:ascii="Arial" w:hAnsi="Arial" w:cs="Arial" w:eastAsia="Arial" w:hint="default"/>
          <w:w w:val="99"/>
        </w:rPr>
        <w:t>6</w:t>
      </w:r>
      <w:r>
        <w:rPr>
          <w:rFonts w:ascii="Arial" w:hAnsi="Arial" w:cs="Arial" w:eastAsia="Arial" w:hint="default"/>
          <w:spacing w:val="-7"/>
          <w:w w:val="99"/>
        </w:rPr>
        <w:t> </w:t>
      </w:r>
      <w:r>
        <w:rPr>
          <w:w w:val="99"/>
        </w:rPr>
        <w:t>月</w:t>
      </w:r>
      <w:r>
        <w:rPr>
          <w:spacing w:val="-57"/>
          <w:w w:val="99"/>
        </w:rPr>
        <w:t> </w:t>
      </w:r>
      <w:r>
        <w:rPr>
          <w:rFonts w:ascii="Arial" w:hAnsi="Arial" w:cs="Arial" w:eastAsia="Arial" w:hint="default"/>
          <w:w w:val="99"/>
        </w:rPr>
        <w:t>25</w:t>
      </w:r>
      <w:r>
        <w:rPr>
          <w:rFonts w:ascii="Arial" w:hAnsi="Arial" w:cs="Arial" w:eastAsia="Arial" w:hint="default"/>
          <w:spacing w:val="-6"/>
          <w:w w:val="99"/>
        </w:rPr>
        <w:t> </w:t>
      </w:r>
      <w:r>
        <w:rPr>
          <w:w w:val="99"/>
        </w:rPr>
        <w:t>日召开第二届董事会第十二次会议，</w:t>
      </w:r>
      <w:r>
        <w:rPr/>
      </w:r>
    </w:p>
    <w:p>
      <w:pPr>
        <w:pStyle w:val="BodyText"/>
        <w:spacing w:line="278" w:lineRule="exact"/>
        <w:ind w:left="569" w:right="0"/>
        <w:jc w:val="both"/>
        <w:rPr>
          <w:rFonts w:ascii="Arial" w:hAnsi="Arial" w:cs="Arial" w:eastAsia="Arial" w:hint="default"/>
        </w:rPr>
      </w:pPr>
      <w:r>
        <w:rPr/>
        <w:t>审议通过了《关于公司治理专项活动的自查报告及整改计划》，提出了整改计划，并于</w:t>
      </w:r>
      <w:r>
        <w:rPr>
          <w:spacing w:val="-90"/>
        </w:rPr>
        <w:t> </w:t>
      </w:r>
      <w:r>
        <w:rPr>
          <w:rFonts w:ascii="Arial" w:hAnsi="Arial" w:cs="Arial" w:eastAsia="Arial" w:hint="default"/>
        </w:rPr>
        <w:t>2008</w:t>
      </w:r>
    </w:p>
    <w:p>
      <w:pPr>
        <w:pStyle w:val="BodyText"/>
        <w:spacing w:line="285" w:lineRule="exact"/>
        <w:ind w:left="569" w:right="0"/>
        <w:jc w:val="both"/>
      </w:pPr>
      <w:r>
        <w:rPr/>
        <w:t>年</w:t>
      </w:r>
      <w:r>
        <w:rPr>
          <w:spacing w:val="-74"/>
        </w:rPr>
        <w:t> </w:t>
      </w:r>
      <w:r>
        <w:rPr>
          <w:rFonts w:ascii="Arial" w:hAnsi="Arial" w:cs="Arial" w:eastAsia="Arial" w:hint="default"/>
        </w:rPr>
        <w:t>7</w:t>
      </w:r>
      <w:r>
        <w:rPr>
          <w:rFonts w:ascii="Arial" w:hAnsi="Arial" w:cs="Arial" w:eastAsia="Arial" w:hint="default"/>
          <w:spacing w:val="-25"/>
        </w:rPr>
        <w:t> </w:t>
      </w:r>
      <w:r>
        <w:rPr/>
        <w:t>月</w:t>
      </w:r>
      <w:r>
        <w:rPr>
          <w:spacing w:val="-74"/>
        </w:rPr>
        <w:t> </w:t>
      </w:r>
      <w:r>
        <w:rPr>
          <w:rFonts w:ascii="Arial" w:hAnsi="Arial" w:cs="Arial" w:eastAsia="Arial" w:hint="default"/>
        </w:rPr>
        <w:t>25</w:t>
      </w:r>
      <w:r>
        <w:rPr>
          <w:rFonts w:ascii="Arial" w:hAnsi="Arial" w:cs="Arial" w:eastAsia="Arial" w:hint="default"/>
          <w:spacing w:val="-25"/>
        </w:rPr>
        <w:t> </w:t>
      </w:r>
      <w:r>
        <w:rPr/>
        <w:t>日召开的第二届董事会第二十一次会议审议通过了《关于公司治理专项活动整改情</w:t>
      </w:r>
    </w:p>
    <w:p>
      <w:pPr>
        <w:pStyle w:val="BodyText"/>
        <w:spacing w:line="286" w:lineRule="exact" w:before="18"/>
        <w:ind w:left="569" w:right="205"/>
        <w:jc w:val="left"/>
      </w:pPr>
      <w:r>
        <w:rPr/>
        <w:t>况及资金占用自查报告》。同时于</w:t>
      </w:r>
      <w:r>
        <w:rPr>
          <w:spacing w:val="-57"/>
        </w:rPr>
        <w:t> </w:t>
      </w:r>
      <w:r>
        <w:rPr>
          <w:rFonts w:ascii="Arial" w:hAnsi="Arial" w:cs="Arial" w:eastAsia="Arial" w:hint="default"/>
        </w:rPr>
        <w:t>2008</w:t>
      </w:r>
      <w:r>
        <w:rPr>
          <w:rFonts w:ascii="Arial" w:hAnsi="Arial" w:cs="Arial" w:eastAsia="Arial" w:hint="default"/>
          <w:spacing w:val="-9"/>
        </w:rPr>
        <w:t> </w:t>
      </w:r>
      <w:r>
        <w:rPr/>
        <w:t>年</w:t>
      </w:r>
      <w:r>
        <w:rPr>
          <w:spacing w:val="-58"/>
        </w:rPr>
        <w:t> </w:t>
      </w:r>
      <w:r>
        <w:rPr>
          <w:rFonts w:ascii="Arial" w:hAnsi="Arial" w:cs="Arial" w:eastAsia="Arial" w:hint="default"/>
        </w:rPr>
        <w:t>7</w:t>
      </w:r>
      <w:r>
        <w:rPr>
          <w:rFonts w:ascii="Arial" w:hAnsi="Arial" w:cs="Arial" w:eastAsia="Arial" w:hint="default"/>
          <w:spacing w:val="-9"/>
        </w:rPr>
        <w:t> </w:t>
      </w:r>
      <w:r>
        <w:rPr/>
        <w:t>月</w:t>
      </w:r>
      <w:r>
        <w:rPr>
          <w:spacing w:val="-58"/>
        </w:rPr>
        <w:t> </w:t>
      </w:r>
      <w:r>
        <w:rPr>
          <w:rFonts w:ascii="Arial" w:hAnsi="Arial" w:cs="Arial" w:eastAsia="Arial" w:hint="default"/>
        </w:rPr>
        <w:t>28</w:t>
      </w:r>
      <w:r>
        <w:rPr>
          <w:rFonts w:ascii="Arial" w:hAnsi="Arial" w:cs="Arial" w:eastAsia="Arial" w:hint="default"/>
          <w:spacing w:val="-9"/>
        </w:rPr>
        <w:t> </w:t>
      </w:r>
      <w:r>
        <w:rPr/>
        <w:t>日在上交所网站公告了“关于公司治理专</w:t>
      </w:r>
      <w:r>
        <w:rPr>
          <w:w w:val="99"/>
        </w:rPr>
        <w:t> </w:t>
      </w:r>
      <w:r>
        <w:rPr/>
        <w:t>项活动整改情况及资金占用自查报告”。</w:t>
      </w:r>
    </w:p>
    <w:p>
      <w:pPr>
        <w:spacing w:line="240" w:lineRule="auto" w:before="4"/>
        <w:rPr>
          <w:rFonts w:ascii="宋体" w:hAnsi="宋体" w:cs="宋体" w:eastAsia="宋体" w:hint="default"/>
          <w:sz w:val="19"/>
          <w:szCs w:val="19"/>
        </w:rPr>
      </w:pPr>
    </w:p>
    <w:p>
      <w:pPr>
        <w:pStyle w:val="BodyText"/>
        <w:spacing w:line="286" w:lineRule="exact"/>
        <w:ind w:left="569" w:right="99"/>
        <w:jc w:val="left"/>
      </w:pPr>
      <w:r>
        <w:rPr/>
        <w:t>通过公司专项治理活动，发现了公司存在的一些问题。公司制定了整改计划，落实了整改措</w:t>
      </w:r>
      <w:r>
        <w:rPr>
          <w:spacing w:val="-50"/>
        </w:rPr>
        <w:t> </w:t>
      </w:r>
      <w:r>
        <w:rPr>
          <w:spacing w:val="-50"/>
        </w:rPr>
      </w:r>
      <w:r>
        <w:rPr/>
        <w:t>施，进一步完善了公司治理结构和健全了各项制度，对提高公司治理水平起到推动作用。</w:t>
      </w:r>
    </w:p>
    <w:p>
      <w:pPr>
        <w:spacing w:line="240" w:lineRule="auto" w:before="3"/>
        <w:rPr>
          <w:rFonts w:ascii="宋体" w:hAnsi="宋体" w:cs="宋体" w:eastAsia="宋体" w:hint="default"/>
          <w:sz w:val="19"/>
          <w:szCs w:val="19"/>
        </w:rPr>
      </w:pPr>
    </w:p>
    <w:p>
      <w:pPr>
        <w:pStyle w:val="BodyText"/>
        <w:spacing w:line="286" w:lineRule="exact"/>
        <w:ind w:left="569" w:right="204"/>
        <w:jc w:val="left"/>
      </w:pPr>
      <w:r>
        <w:rPr/>
        <w:t>上述治理整改事项，公司已在</w:t>
      </w:r>
      <w:r>
        <w:rPr>
          <w:spacing w:val="-62"/>
        </w:rPr>
        <w:t> </w:t>
      </w:r>
      <w:r>
        <w:rPr>
          <w:rFonts w:ascii="Arial" w:hAnsi="Arial" w:cs="Arial" w:eastAsia="Arial" w:hint="default"/>
        </w:rPr>
        <w:t>2008</w:t>
      </w:r>
      <w:r>
        <w:rPr>
          <w:rFonts w:ascii="Arial" w:hAnsi="Arial" w:cs="Arial" w:eastAsia="Arial" w:hint="default"/>
          <w:spacing w:val="-13"/>
        </w:rPr>
        <w:t> </w:t>
      </w:r>
      <w:r>
        <w:rPr/>
        <w:t>年度整改完成，在本报告期内公司在</w:t>
      </w:r>
      <w:r>
        <w:rPr>
          <w:spacing w:val="-62"/>
        </w:rPr>
        <w:t> </w:t>
      </w:r>
      <w:r>
        <w:rPr>
          <w:rFonts w:ascii="Arial" w:hAnsi="Arial" w:cs="Arial" w:eastAsia="Arial" w:hint="default"/>
        </w:rPr>
        <w:t>2008</w:t>
      </w:r>
      <w:r>
        <w:rPr>
          <w:rFonts w:ascii="Arial" w:hAnsi="Arial" w:cs="Arial" w:eastAsia="Arial" w:hint="default"/>
          <w:spacing w:val="-13"/>
        </w:rPr>
        <w:t> </w:t>
      </w:r>
      <w:r>
        <w:rPr/>
        <w:t>年度整改完成</w:t>
      </w:r>
      <w:r>
        <w:rPr>
          <w:w w:val="99"/>
        </w:rPr>
        <w:t> </w:t>
      </w:r>
      <w:r>
        <w:rPr/>
        <w:t>的基础上进行了巩固和深化，切实保证公司治理结构更加规范。</w:t>
      </w:r>
    </w:p>
    <w:p>
      <w:pPr>
        <w:spacing w:after="0" w:line="286" w:lineRule="exact"/>
        <w:jc w:val="left"/>
        <w:sectPr>
          <w:pgSz w:w="11910" w:h="16840"/>
          <w:pgMar w:header="587" w:footer="774" w:top="960" w:bottom="960" w:left="1180" w:right="1060"/>
        </w:sectPr>
      </w:pPr>
    </w:p>
    <w:p>
      <w:pPr>
        <w:spacing w:line="240" w:lineRule="auto" w:before="6"/>
        <w:rPr>
          <w:rFonts w:ascii="宋体" w:hAnsi="宋体" w:cs="宋体" w:eastAsia="宋体" w:hint="default"/>
          <w:sz w:val="12"/>
          <w:szCs w:val="12"/>
        </w:rPr>
      </w:pPr>
    </w:p>
    <w:p>
      <w:pPr>
        <w:pStyle w:val="BodyText"/>
        <w:spacing w:line="240" w:lineRule="auto" w:before="31"/>
        <w:ind w:left="112" w:right="133"/>
        <w:jc w:val="left"/>
      </w:pPr>
      <w:r>
        <w:rPr/>
        <w:t>（二）董事履行职责情况</w:t>
      </w:r>
    </w:p>
    <w:p>
      <w:pPr>
        <w:spacing w:line="240" w:lineRule="auto" w:before="1"/>
        <w:rPr>
          <w:rFonts w:ascii="宋体" w:hAnsi="宋体" w:cs="宋体" w:eastAsia="宋体" w:hint="default"/>
          <w:sz w:val="19"/>
          <w:szCs w:val="19"/>
        </w:rPr>
      </w:pPr>
    </w:p>
    <w:p>
      <w:pPr>
        <w:pStyle w:val="BodyText"/>
        <w:spacing w:line="240" w:lineRule="auto"/>
        <w:ind w:left="349" w:right="133"/>
        <w:jc w:val="left"/>
      </w:pPr>
      <w:r>
        <w:rPr>
          <w:rFonts w:ascii="Arial" w:hAnsi="Arial" w:cs="Arial" w:eastAsia="Arial" w:hint="default"/>
        </w:rPr>
        <w:t>1</w:t>
      </w:r>
      <w:r>
        <w:rPr/>
        <w:t>、</w:t>
      </w:r>
      <w:r>
        <w:rPr>
          <w:spacing w:val="-35"/>
        </w:rPr>
        <w:t> </w:t>
      </w:r>
      <w:r>
        <w:rPr/>
        <w:t>董事参加董事会的出席情况</w:t>
      </w:r>
    </w:p>
    <w:p>
      <w:pPr>
        <w:spacing w:line="240" w:lineRule="auto" w:before="10"/>
        <w:rPr>
          <w:rFonts w:ascii="宋体" w:hAnsi="宋体" w:cs="宋体" w:eastAsia="宋体" w:hint="default"/>
          <w:sz w:val="20"/>
          <w:szCs w:val="20"/>
        </w:rPr>
      </w:pPr>
    </w:p>
    <w:tbl>
      <w:tblPr>
        <w:tblW w:w="0" w:type="auto"/>
        <w:jc w:val="left"/>
        <w:tblInd w:w="678" w:type="dxa"/>
        <w:tblLayout w:type="fixed"/>
        <w:tblCellMar>
          <w:top w:w="0" w:type="dxa"/>
          <w:left w:w="0" w:type="dxa"/>
          <w:bottom w:w="0" w:type="dxa"/>
          <w:right w:w="0" w:type="dxa"/>
        </w:tblCellMar>
        <w:tblLook w:val="01E0"/>
      </w:tblPr>
      <w:tblGrid>
        <w:gridCol w:w="1138"/>
        <w:gridCol w:w="856"/>
        <w:gridCol w:w="1163"/>
        <w:gridCol w:w="1162"/>
        <w:gridCol w:w="1163"/>
        <w:gridCol w:w="1162"/>
        <w:gridCol w:w="1073"/>
        <w:gridCol w:w="1241"/>
      </w:tblGrid>
      <w:tr>
        <w:trPr>
          <w:trHeight w:val="793" w:hRule="exact"/>
        </w:trPr>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65"/>
              <w:jc w:val="center"/>
              <w:rPr>
                <w:rFonts w:ascii="宋体" w:hAnsi="宋体" w:cs="宋体" w:eastAsia="宋体" w:hint="default"/>
                <w:sz w:val="20"/>
                <w:szCs w:val="20"/>
              </w:rPr>
            </w:pPr>
            <w:r>
              <w:rPr>
                <w:rFonts w:ascii="宋体" w:hAnsi="宋体" w:cs="宋体" w:eastAsia="宋体" w:hint="default"/>
                <w:sz w:val="20"/>
                <w:szCs w:val="20"/>
              </w:rPr>
              <w:t>董事姓名</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before="124"/>
              <w:ind w:left="118" w:right="117" w:firstLine="1"/>
              <w:jc w:val="left"/>
              <w:rPr>
                <w:rFonts w:ascii="宋体" w:hAnsi="宋体" w:cs="宋体" w:eastAsia="宋体" w:hint="default"/>
                <w:sz w:val="20"/>
                <w:szCs w:val="20"/>
              </w:rPr>
            </w:pPr>
            <w:r>
              <w:rPr>
                <w:rFonts w:ascii="宋体" w:hAnsi="宋体" w:cs="宋体" w:eastAsia="宋体" w:hint="default"/>
                <w:sz w:val="20"/>
                <w:szCs w:val="20"/>
              </w:rPr>
              <w:t>是否独</w:t>
            </w:r>
            <w:r>
              <w:rPr>
                <w:rFonts w:ascii="宋体" w:hAnsi="宋体" w:cs="宋体" w:eastAsia="宋体" w:hint="default"/>
                <w:w w:val="100"/>
                <w:sz w:val="20"/>
                <w:szCs w:val="20"/>
              </w:rPr>
              <w:t> </w:t>
            </w:r>
            <w:r>
              <w:rPr>
                <w:rFonts w:ascii="宋体" w:hAnsi="宋体" w:cs="宋体" w:eastAsia="宋体" w:hint="default"/>
                <w:sz w:val="20"/>
                <w:szCs w:val="20"/>
              </w:rPr>
              <w:t>立董事</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74" w:right="0"/>
              <w:jc w:val="left"/>
              <w:rPr>
                <w:rFonts w:ascii="宋体" w:hAnsi="宋体" w:cs="宋体" w:eastAsia="宋体" w:hint="default"/>
                <w:sz w:val="20"/>
                <w:szCs w:val="20"/>
              </w:rPr>
            </w:pPr>
            <w:r>
              <w:rPr>
                <w:rFonts w:ascii="宋体" w:hAnsi="宋体" w:cs="宋体" w:eastAsia="宋体" w:hint="default"/>
                <w:sz w:val="20"/>
                <w:szCs w:val="20"/>
              </w:rPr>
              <w:t>本年应参</w:t>
            </w:r>
          </w:p>
          <w:p>
            <w:pPr>
              <w:pStyle w:val="TableParagraph"/>
              <w:spacing w:line="260" w:lineRule="exact" w:before="24"/>
              <w:ind w:left="373" w:right="170" w:hanging="200"/>
              <w:jc w:val="left"/>
              <w:rPr>
                <w:rFonts w:ascii="宋体" w:hAnsi="宋体" w:cs="宋体" w:eastAsia="宋体" w:hint="default"/>
                <w:sz w:val="20"/>
                <w:szCs w:val="20"/>
              </w:rPr>
            </w:pPr>
            <w:r>
              <w:rPr>
                <w:rFonts w:ascii="宋体" w:hAnsi="宋体" w:cs="宋体" w:eastAsia="宋体" w:hint="default"/>
                <w:sz w:val="20"/>
                <w:szCs w:val="20"/>
              </w:rPr>
              <w:t>加董事会</w:t>
            </w:r>
            <w:r>
              <w:rPr>
                <w:rFonts w:ascii="宋体" w:hAnsi="宋体" w:cs="宋体" w:eastAsia="宋体" w:hint="default"/>
                <w:w w:val="100"/>
                <w:sz w:val="20"/>
                <w:szCs w:val="20"/>
              </w:rPr>
              <w:t> </w:t>
            </w:r>
            <w:r>
              <w:rPr>
                <w:rFonts w:ascii="宋体" w:hAnsi="宋体" w:cs="宋体" w:eastAsia="宋体" w:hint="default"/>
                <w:sz w:val="20"/>
                <w:szCs w:val="20"/>
              </w:rPr>
              <w:t>次数</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before="124"/>
              <w:ind w:left="373" w:right="170" w:hanging="201"/>
              <w:jc w:val="left"/>
              <w:rPr>
                <w:rFonts w:ascii="宋体" w:hAnsi="宋体" w:cs="宋体" w:eastAsia="宋体" w:hint="default"/>
                <w:sz w:val="20"/>
                <w:szCs w:val="20"/>
              </w:rPr>
            </w:pPr>
            <w:r>
              <w:rPr>
                <w:rFonts w:ascii="宋体" w:hAnsi="宋体" w:cs="宋体" w:eastAsia="宋体" w:hint="default"/>
                <w:sz w:val="20"/>
                <w:szCs w:val="20"/>
              </w:rPr>
              <w:t>亲自出席</w:t>
            </w:r>
            <w:r>
              <w:rPr>
                <w:rFonts w:ascii="宋体" w:hAnsi="宋体" w:cs="宋体" w:eastAsia="宋体" w:hint="default"/>
                <w:w w:val="100"/>
                <w:sz w:val="20"/>
                <w:szCs w:val="20"/>
              </w:rPr>
              <w:t> </w:t>
            </w:r>
            <w:r>
              <w:rPr>
                <w:rFonts w:ascii="宋体" w:hAnsi="宋体" w:cs="宋体" w:eastAsia="宋体" w:hint="default"/>
                <w:sz w:val="20"/>
                <w:szCs w:val="20"/>
              </w:rPr>
              <w:t>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ind w:left="172" w:right="0"/>
              <w:jc w:val="left"/>
              <w:rPr>
                <w:rFonts w:ascii="宋体" w:hAnsi="宋体" w:cs="宋体" w:eastAsia="宋体" w:hint="default"/>
                <w:sz w:val="20"/>
                <w:szCs w:val="20"/>
              </w:rPr>
            </w:pPr>
            <w:r>
              <w:rPr>
                <w:rFonts w:ascii="宋体" w:hAnsi="宋体" w:cs="宋体" w:eastAsia="宋体" w:hint="default"/>
                <w:sz w:val="20"/>
                <w:szCs w:val="20"/>
              </w:rPr>
              <w:t>以通讯方</w:t>
            </w:r>
          </w:p>
          <w:p>
            <w:pPr>
              <w:pStyle w:val="TableParagraph"/>
              <w:spacing w:line="260" w:lineRule="exact" w:before="24"/>
              <w:ind w:left="472" w:right="172" w:hanging="300"/>
              <w:jc w:val="left"/>
              <w:rPr>
                <w:rFonts w:ascii="宋体" w:hAnsi="宋体" w:cs="宋体" w:eastAsia="宋体" w:hint="default"/>
                <w:sz w:val="20"/>
                <w:szCs w:val="20"/>
              </w:rPr>
            </w:pPr>
            <w:r>
              <w:rPr>
                <w:rFonts w:ascii="宋体" w:hAnsi="宋体" w:cs="宋体" w:eastAsia="宋体" w:hint="default"/>
                <w:sz w:val="20"/>
                <w:szCs w:val="20"/>
              </w:rPr>
              <w:t>式参加次</w:t>
            </w:r>
            <w:r>
              <w:rPr>
                <w:rFonts w:ascii="宋体" w:hAnsi="宋体" w:cs="宋体" w:eastAsia="宋体" w:hint="default"/>
                <w:w w:val="100"/>
                <w:sz w:val="20"/>
                <w:szCs w:val="20"/>
              </w:rPr>
              <w:t> </w:t>
            </w:r>
            <w:r>
              <w:rPr>
                <w:rFonts w:ascii="宋体" w:hAnsi="宋体" w:cs="宋体" w:eastAsia="宋体" w:hint="default"/>
                <w:sz w:val="20"/>
                <w:szCs w:val="20"/>
              </w:rPr>
              <w:t>数</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before="124"/>
              <w:ind w:left="373" w:right="170" w:hanging="201"/>
              <w:jc w:val="left"/>
              <w:rPr>
                <w:rFonts w:ascii="宋体" w:hAnsi="宋体" w:cs="宋体" w:eastAsia="宋体" w:hint="default"/>
                <w:sz w:val="20"/>
                <w:szCs w:val="20"/>
              </w:rPr>
            </w:pPr>
            <w:r>
              <w:rPr>
                <w:rFonts w:ascii="宋体" w:hAnsi="宋体" w:cs="宋体" w:eastAsia="宋体" w:hint="default"/>
                <w:sz w:val="20"/>
                <w:szCs w:val="20"/>
              </w:rPr>
              <w:t>委托出席</w:t>
            </w:r>
            <w:r>
              <w:rPr>
                <w:rFonts w:ascii="宋体" w:hAnsi="宋体" w:cs="宋体" w:eastAsia="宋体" w:hint="default"/>
                <w:w w:val="100"/>
                <w:sz w:val="20"/>
                <w:szCs w:val="20"/>
              </w:rPr>
              <w:t> </w:t>
            </w:r>
            <w:r>
              <w:rPr>
                <w:rFonts w:ascii="宋体" w:hAnsi="宋体" w:cs="宋体" w:eastAsia="宋体" w:hint="default"/>
                <w:sz w:val="20"/>
                <w:szCs w:val="20"/>
              </w:rPr>
              <w:t>次数</w:t>
            </w:r>
          </w:p>
        </w:tc>
        <w:tc>
          <w:tcPr>
            <w:tcW w:w="10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sz w:val="20"/>
                <w:szCs w:val="20"/>
              </w:rPr>
              <w:t>缺席次数</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ind w:left="86" w:right="0"/>
              <w:jc w:val="left"/>
              <w:rPr>
                <w:rFonts w:ascii="宋体" w:hAnsi="宋体" w:cs="宋体" w:eastAsia="宋体" w:hint="default"/>
                <w:sz w:val="20"/>
                <w:szCs w:val="20"/>
              </w:rPr>
            </w:pPr>
            <w:r>
              <w:rPr>
                <w:rFonts w:ascii="宋体" w:hAnsi="宋体" w:cs="宋体" w:eastAsia="宋体" w:hint="default"/>
                <w:sz w:val="20"/>
                <w:szCs w:val="20"/>
              </w:rPr>
              <w:t>是否连续两</w:t>
            </w:r>
          </w:p>
          <w:p>
            <w:pPr>
              <w:pStyle w:val="TableParagraph"/>
              <w:spacing w:line="260" w:lineRule="exact" w:before="24"/>
              <w:ind w:left="285" w:right="137" w:hanging="200"/>
              <w:jc w:val="left"/>
              <w:rPr>
                <w:rFonts w:ascii="宋体" w:hAnsi="宋体" w:cs="宋体" w:eastAsia="宋体" w:hint="default"/>
                <w:sz w:val="20"/>
                <w:szCs w:val="20"/>
              </w:rPr>
            </w:pPr>
            <w:r>
              <w:rPr>
                <w:rFonts w:ascii="宋体" w:hAnsi="宋体" w:cs="宋体" w:eastAsia="宋体" w:hint="default"/>
                <w:sz w:val="20"/>
                <w:szCs w:val="20"/>
              </w:rPr>
              <w:t>次未亲自参</w:t>
            </w:r>
            <w:r>
              <w:rPr>
                <w:rFonts w:ascii="宋体" w:hAnsi="宋体" w:cs="宋体" w:eastAsia="宋体" w:hint="default"/>
                <w:w w:val="100"/>
                <w:sz w:val="20"/>
                <w:szCs w:val="20"/>
              </w:rPr>
              <w:t> </w:t>
            </w:r>
            <w:r>
              <w:rPr>
                <w:rFonts w:ascii="宋体" w:hAnsi="宋体" w:cs="宋体" w:eastAsia="宋体" w:hint="default"/>
                <w:sz w:val="20"/>
                <w:szCs w:val="20"/>
              </w:rPr>
              <w:t>加会议</w:t>
            </w:r>
          </w:p>
        </w:tc>
      </w:tr>
      <w:tr>
        <w:trPr>
          <w:trHeight w:val="274" w:hRule="exact"/>
        </w:trPr>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65"/>
              <w:jc w:val="center"/>
              <w:rPr>
                <w:rFonts w:ascii="宋体" w:hAnsi="宋体" w:cs="宋体" w:eastAsia="宋体" w:hint="default"/>
                <w:sz w:val="20"/>
                <w:szCs w:val="20"/>
              </w:rPr>
            </w:pPr>
            <w:r>
              <w:rPr>
                <w:rFonts w:ascii="宋体" w:hAnsi="宋体" w:cs="宋体" w:eastAsia="宋体" w:hint="default"/>
                <w:sz w:val="20"/>
                <w:szCs w:val="20"/>
              </w:rPr>
              <w:t>常小兵</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8</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8</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0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75" w:hRule="exact"/>
        </w:trPr>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65"/>
              <w:jc w:val="center"/>
              <w:rPr>
                <w:rFonts w:ascii="宋体" w:hAnsi="宋体" w:cs="宋体" w:eastAsia="宋体" w:hint="default"/>
                <w:sz w:val="20"/>
                <w:szCs w:val="20"/>
              </w:rPr>
            </w:pPr>
            <w:r>
              <w:rPr>
                <w:rFonts w:ascii="宋体" w:hAnsi="宋体" w:cs="宋体" w:eastAsia="宋体" w:hint="default"/>
                <w:sz w:val="20"/>
                <w:szCs w:val="20"/>
              </w:rPr>
              <w:t>陆益民</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5</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1</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0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75" w:hRule="exact"/>
        </w:trPr>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65"/>
              <w:jc w:val="center"/>
              <w:rPr>
                <w:rFonts w:ascii="宋体" w:hAnsi="宋体" w:cs="宋体" w:eastAsia="宋体" w:hint="default"/>
                <w:sz w:val="20"/>
                <w:szCs w:val="20"/>
              </w:rPr>
            </w:pPr>
            <w:r>
              <w:rPr>
                <w:rFonts w:ascii="宋体" w:hAnsi="宋体" w:cs="宋体" w:eastAsia="宋体" w:hint="default"/>
                <w:sz w:val="20"/>
                <w:szCs w:val="20"/>
              </w:rPr>
              <w:t>左迅生</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5</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1</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0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74" w:hRule="exact"/>
        </w:trPr>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65"/>
              <w:jc w:val="center"/>
              <w:rPr>
                <w:rFonts w:ascii="宋体" w:hAnsi="宋体" w:cs="宋体" w:eastAsia="宋体" w:hint="default"/>
                <w:sz w:val="20"/>
                <w:szCs w:val="20"/>
              </w:rPr>
            </w:pPr>
            <w:r>
              <w:rPr>
                <w:rFonts w:ascii="宋体" w:hAnsi="宋体" w:cs="宋体" w:eastAsia="宋体" w:hint="default"/>
                <w:sz w:val="20"/>
                <w:szCs w:val="20"/>
              </w:rPr>
              <w:t>佟吉禄</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8</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8</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0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75" w:hRule="exact"/>
        </w:trPr>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65"/>
              <w:jc w:val="center"/>
              <w:rPr>
                <w:rFonts w:ascii="宋体" w:hAnsi="宋体" w:cs="宋体" w:eastAsia="宋体" w:hint="default"/>
                <w:sz w:val="20"/>
                <w:szCs w:val="20"/>
              </w:rPr>
            </w:pPr>
            <w:r>
              <w:rPr>
                <w:rFonts w:ascii="宋体" w:hAnsi="宋体" w:cs="宋体" w:eastAsia="宋体" w:hint="default"/>
                <w:sz w:val="20"/>
                <w:szCs w:val="20"/>
              </w:rPr>
              <w:t>吕建国</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7</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0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75" w:hRule="exact"/>
        </w:trPr>
        <w:tc>
          <w:tcPr>
            <w:tcW w:w="1138" w:type="dxa"/>
            <w:tcBorders>
              <w:top w:val="single" w:sz="6" w:space="0" w:color="000000"/>
              <w:left w:val="single" w:sz="6" w:space="0" w:color="000000"/>
              <w:bottom w:val="single" w:sz="6" w:space="0" w:color="000000"/>
              <w:right w:val="single" w:sz="6" w:space="0" w:color="000000"/>
            </w:tcBorders>
          </w:tcPr>
          <w:p>
            <w:pPr>
              <w:pStyle w:val="TableParagraph"/>
              <w:tabs>
                <w:tab w:pos="499" w:val="left" w:leader="none"/>
              </w:tabs>
              <w:spacing w:line="231" w:lineRule="exact"/>
              <w:ind w:right="64"/>
              <w:jc w:val="center"/>
              <w:rPr>
                <w:rFonts w:ascii="宋体" w:hAnsi="宋体" w:cs="宋体" w:eastAsia="宋体" w:hint="default"/>
                <w:sz w:val="20"/>
                <w:szCs w:val="20"/>
              </w:rPr>
            </w:pPr>
            <w:r>
              <w:rPr>
                <w:rFonts w:ascii="宋体" w:hAnsi="宋体" w:cs="宋体" w:eastAsia="宋体" w:hint="default"/>
                <w:sz w:val="20"/>
                <w:szCs w:val="20"/>
              </w:rPr>
              <w:t>张</w:t>
              <w:tab/>
              <w:t>健</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否</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7</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0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74" w:hRule="exact"/>
        </w:trPr>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65"/>
              <w:jc w:val="center"/>
              <w:rPr>
                <w:rFonts w:ascii="宋体" w:hAnsi="宋体" w:cs="宋体" w:eastAsia="宋体" w:hint="default"/>
                <w:sz w:val="20"/>
                <w:szCs w:val="20"/>
              </w:rPr>
            </w:pPr>
            <w:r>
              <w:rPr>
                <w:rFonts w:ascii="宋体" w:hAnsi="宋体" w:cs="宋体" w:eastAsia="宋体" w:hint="default"/>
                <w:sz w:val="20"/>
                <w:szCs w:val="20"/>
              </w:rPr>
              <w:t>高尚全</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7</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0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75" w:hRule="exact"/>
        </w:trPr>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65"/>
              <w:jc w:val="center"/>
              <w:rPr>
                <w:rFonts w:ascii="宋体" w:hAnsi="宋体" w:cs="宋体" w:eastAsia="宋体" w:hint="default"/>
                <w:sz w:val="20"/>
                <w:szCs w:val="20"/>
              </w:rPr>
            </w:pPr>
            <w:r>
              <w:rPr>
                <w:rFonts w:ascii="宋体" w:hAnsi="宋体" w:cs="宋体" w:eastAsia="宋体" w:hint="default"/>
                <w:sz w:val="20"/>
                <w:szCs w:val="20"/>
              </w:rPr>
              <w:t>陈俊亮</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7</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0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75" w:hRule="exact"/>
        </w:trPr>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65"/>
              <w:jc w:val="center"/>
              <w:rPr>
                <w:rFonts w:ascii="宋体" w:hAnsi="宋体" w:cs="宋体" w:eastAsia="宋体" w:hint="default"/>
                <w:sz w:val="20"/>
                <w:szCs w:val="20"/>
              </w:rPr>
            </w:pPr>
            <w:r>
              <w:rPr>
                <w:rFonts w:ascii="宋体" w:hAnsi="宋体" w:cs="宋体" w:eastAsia="宋体" w:hint="default"/>
                <w:sz w:val="20"/>
                <w:szCs w:val="20"/>
              </w:rPr>
              <w:t>陈小悦</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7</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7</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0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74" w:hRule="exact"/>
        </w:trPr>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65"/>
              <w:jc w:val="center"/>
              <w:rPr>
                <w:rFonts w:ascii="宋体" w:hAnsi="宋体" w:cs="宋体" w:eastAsia="宋体" w:hint="default"/>
                <w:sz w:val="20"/>
                <w:szCs w:val="20"/>
              </w:rPr>
            </w:pPr>
            <w:r>
              <w:rPr>
                <w:rFonts w:ascii="宋体" w:hAnsi="宋体" w:cs="宋体" w:eastAsia="宋体" w:hint="default"/>
                <w:sz w:val="20"/>
                <w:szCs w:val="20"/>
              </w:rPr>
              <w:t>王晨光</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7</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2</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0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1</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75" w:hRule="exact"/>
        </w:trPr>
        <w:tc>
          <w:tcPr>
            <w:tcW w:w="1138" w:type="dxa"/>
            <w:tcBorders>
              <w:top w:val="single" w:sz="6" w:space="0" w:color="000000"/>
              <w:left w:val="single" w:sz="6" w:space="0" w:color="000000"/>
              <w:bottom w:val="single" w:sz="6" w:space="0" w:color="000000"/>
              <w:right w:val="single" w:sz="6" w:space="0" w:color="000000"/>
            </w:tcBorders>
          </w:tcPr>
          <w:p>
            <w:pPr>
              <w:pStyle w:val="TableParagraph"/>
              <w:tabs>
                <w:tab w:pos="499" w:val="left" w:leader="none"/>
              </w:tabs>
              <w:spacing w:line="231" w:lineRule="exact"/>
              <w:ind w:right="64"/>
              <w:jc w:val="center"/>
              <w:rPr>
                <w:rFonts w:ascii="宋体" w:hAnsi="宋体" w:cs="宋体" w:eastAsia="宋体" w:hint="default"/>
                <w:sz w:val="20"/>
                <w:szCs w:val="20"/>
              </w:rPr>
            </w:pPr>
            <w:r>
              <w:rPr>
                <w:rFonts w:ascii="宋体" w:hAnsi="宋体" w:cs="宋体" w:eastAsia="宋体" w:hint="default"/>
                <w:sz w:val="20"/>
                <w:szCs w:val="20"/>
              </w:rPr>
              <w:t>刘</w:t>
              <w:tab/>
              <w:t>彩</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1</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0</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0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75" w:hRule="exact"/>
        </w:trPr>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65"/>
              <w:jc w:val="center"/>
              <w:rPr>
                <w:rFonts w:ascii="宋体" w:hAnsi="宋体" w:cs="宋体" w:eastAsia="宋体" w:hint="default"/>
                <w:sz w:val="20"/>
                <w:szCs w:val="20"/>
              </w:rPr>
            </w:pPr>
            <w:r>
              <w:rPr>
                <w:rFonts w:ascii="宋体" w:hAnsi="宋体" w:cs="宋体" w:eastAsia="宋体" w:hint="default"/>
                <w:sz w:val="20"/>
                <w:szCs w:val="20"/>
              </w:rPr>
              <w:t>赵纯均</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1</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0</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0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74" w:hRule="exact"/>
        </w:trPr>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65"/>
              <w:jc w:val="center"/>
              <w:rPr>
                <w:rFonts w:ascii="宋体" w:hAnsi="宋体" w:cs="宋体" w:eastAsia="宋体" w:hint="default"/>
                <w:sz w:val="20"/>
                <w:szCs w:val="20"/>
              </w:rPr>
            </w:pPr>
            <w:r>
              <w:rPr>
                <w:rFonts w:ascii="宋体" w:hAnsi="宋体" w:cs="宋体" w:eastAsia="宋体" w:hint="default"/>
                <w:sz w:val="20"/>
                <w:szCs w:val="20"/>
              </w:rPr>
              <w:t>张英海</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1</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0</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0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75" w:hRule="exact"/>
        </w:trPr>
        <w:tc>
          <w:tcPr>
            <w:tcW w:w="113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65"/>
              <w:jc w:val="center"/>
              <w:rPr>
                <w:rFonts w:ascii="宋体" w:hAnsi="宋体" w:cs="宋体" w:eastAsia="宋体" w:hint="default"/>
                <w:sz w:val="20"/>
                <w:szCs w:val="20"/>
              </w:rPr>
            </w:pPr>
            <w:r>
              <w:rPr>
                <w:rFonts w:ascii="宋体" w:hAnsi="宋体" w:cs="宋体" w:eastAsia="宋体" w:hint="default"/>
                <w:sz w:val="20"/>
                <w:szCs w:val="20"/>
              </w:rPr>
              <w:t>夏大慰</w:t>
            </w:r>
          </w:p>
        </w:tc>
        <w:tc>
          <w:tcPr>
            <w:tcW w:w="85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1</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w w:val="100"/>
                <w:sz w:val="20"/>
              </w:rPr>
              <w:t>0</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0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20"/>
                <w:szCs w:val="20"/>
              </w:rPr>
            </w:pPr>
            <w:r>
              <w:rPr>
                <w:rFonts w:ascii="Arial"/>
                <w:w w:val="100"/>
                <w:sz w:val="20"/>
              </w:rPr>
              <w:t>0</w:t>
            </w:r>
          </w:p>
        </w:tc>
        <w:tc>
          <w:tcPr>
            <w:tcW w:w="124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否</w:t>
            </w:r>
          </w:p>
        </w:tc>
      </w:tr>
    </w:tbl>
    <w:p>
      <w:pPr>
        <w:spacing w:line="240" w:lineRule="auto" w:before="8"/>
        <w:rPr>
          <w:rFonts w:ascii="宋体" w:hAnsi="宋体" w:cs="宋体" w:eastAsia="宋体" w:hint="default"/>
          <w:sz w:val="17"/>
          <w:szCs w:val="17"/>
        </w:rPr>
      </w:pPr>
    </w:p>
    <w:tbl>
      <w:tblPr>
        <w:tblW w:w="0" w:type="auto"/>
        <w:jc w:val="left"/>
        <w:tblInd w:w="678" w:type="dxa"/>
        <w:tblLayout w:type="fixed"/>
        <w:tblCellMar>
          <w:top w:w="0" w:type="dxa"/>
          <w:left w:w="0" w:type="dxa"/>
          <w:bottom w:w="0" w:type="dxa"/>
          <w:right w:w="0" w:type="dxa"/>
        </w:tblCellMar>
        <w:tblLook w:val="01E0"/>
      </w:tblPr>
      <w:tblGrid>
        <w:gridCol w:w="4306"/>
        <w:gridCol w:w="4650"/>
      </w:tblGrid>
      <w:tr>
        <w:trPr>
          <w:trHeight w:val="275" w:hRule="exact"/>
        </w:trPr>
        <w:tc>
          <w:tcPr>
            <w:tcW w:w="430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年内召开董事会会议次数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20"/>
                <w:szCs w:val="20"/>
              </w:rPr>
            </w:pPr>
            <w:r>
              <w:rPr>
                <w:rFonts w:ascii="Arial"/>
                <w:w w:val="100"/>
                <w:sz w:val="20"/>
              </w:rPr>
              <w:t>8</w:t>
            </w:r>
          </w:p>
        </w:tc>
      </w:tr>
      <w:tr>
        <w:trPr>
          <w:trHeight w:val="274" w:hRule="exact"/>
        </w:trPr>
        <w:tc>
          <w:tcPr>
            <w:tcW w:w="430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其中：现场会议次数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20"/>
                <w:szCs w:val="20"/>
              </w:rPr>
            </w:pPr>
            <w:r>
              <w:rPr>
                <w:rFonts w:ascii="Arial"/>
                <w:w w:val="100"/>
                <w:sz w:val="20"/>
              </w:rPr>
              <w:t>6</w:t>
            </w:r>
          </w:p>
        </w:tc>
      </w:tr>
      <w:tr>
        <w:trPr>
          <w:trHeight w:val="275" w:hRule="exact"/>
        </w:trPr>
        <w:tc>
          <w:tcPr>
            <w:tcW w:w="430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通讯方式召开会议次数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20"/>
                <w:szCs w:val="20"/>
              </w:rPr>
            </w:pPr>
            <w:r>
              <w:rPr>
                <w:rFonts w:ascii="Arial"/>
                <w:w w:val="100"/>
                <w:sz w:val="20"/>
              </w:rPr>
              <w:t>2</w:t>
            </w:r>
          </w:p>
        </w:tc>
      </w:tr>
    </w:tbl>
    <w:p>
      <w:pPr>
        <w:spacing w:line="240" w:lineRule="auto" w:before="5"/>
        <w:rPr>
          <w:rFonts w:ascii="宋体" w:hAnsi="宋体" w:cs="宋体" w:eastAsia="宋体" w:hint="default"/>
          <w:sz w:val="12"/>
          <w:szCs w:val="12"/>
        </w:rPr>
      </w:pPr>
    </w:p>
    <w:p>
      <w:pPr>
        <w:pStyle w:val="BodyText"/>
        <w:spacing w:line="240" w:lineRule="auto" w:before="31"/>
        <w:ind w:left="349" w:right="133"/>
        <w:jc w:val="left"/>
      </w:pPr>
      <w:r>
        <w:rPr>
          <w:rFonts w:ascii="Arial" w:hAnsi="Arial" w:cs="Arial" w:eastAsia="Arial" w:hint="default"/>
        </w:rPr>
        <w:t>2</w:t>
      </w:r>
      <w:r>
        <w:rPr/>
        <w:t>、</w:t>
      </w:r>
      <w:r>
        <w:rPr>
          <w:spacing w:val="-35"/>
        </w:rPr>
        <w:t> </w:t>
      </w:r>
      <w:r>
        <w:rPr/>
        <w:t>独立董事对公司有关事项提出异议的情况</w:t>
      </w:r>
    </w:p>
    <w:p>
      <w:pPr>
        <w:spacing w:line="240" w:lineRule="auto" w:before="10"/>
        <w:rPr>
          <w:rFonts w:ascii="宋体" w:hAnsi="宋体" w:cs="宋体" w:eastAsia="宋体" w:hint="default"/>
          <w:sz w:val="20"/>
          <w:szCs w:val="20"/>
        </w:rPr>
      </w:pPr>
    </w:p>
    <w:tbl>
      <w:tblPr>
        <w:tblW w:w="0" w:type="auto"/>
        <w:jc w:val="left"/>
        <w:tblInd w:w="678" w:type="dxa"/>
        <w:tblLayout w:type="fixed"/>
        <w:tblCellMar>
          <w:top w:w="0" w:type="dxa"/>
          <w:left w:w="0" w:type="dxa"/>
          <w:bottom w:w="0" w:type="dxa"/>
          <w:right w:w="0" w:type="dxa"/>
        </w:tblCellMar>
        <w:tblLook w:val="01E0"/>
      </w:tblPr>
      <w:tblGrid>
        <w:gridCol w:w="2100"/>
        <w:gridCol w:w="2630"/>
        <w:gridCol w:w="2161"/>
        <w:gridCol w:w="2064"/>
      </w:tblGrid>
      <w:tr>
        <w:trPr>
          <w:trHeight w:val="533" w:hRule="exact"/>
        </w:trPr>
        <w:tc>
          <w:tcPr>
            <w:tcW w:w="2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1" w:right="0"/>
              <w:jc w:val="center"/>
              <w:rPr>
                <w:rFonts w:ascii="宋体" w:hAnsi="宋体" w:cs="宋体" w:eastAsia="宋体" w:hint="default"/>
                <w:sz w:val="20"/>
                <w:szCs w:val="20"/>
              </w:rPr>
            </w:pPr>
            <w:r>
              <w:rPr>
                <w:rFonts w:ascii="宋体" w:hAnsi="宋体" w:cs="宋体" w:eastAsia="宋体" w:hint="default"/>
                <w:sz w:val="20"/>
                <w:szCs w:val="20"/>
              </w:rPr>
              <w:t>独立董事姓名</w:t>
            </w:r>
          </w:p>
        </w:tc>
        <w:tc>
          <w:tcPr>
            <w:tcW w:w="263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 w:right="0"/>
              <w:jc w:val="center"/>
              <w:rPr>
                <w:rFonts w:ascii="宋体" w:hAnsi="宋体" w:cs="宋体" w:eastAsia="宋体" w:hint="default"/>
                <w:sz w:val="20"/>
                <w:szCs w:val="20"/>
              </w:rPr>
            </w:pPr>
            <w:r>
              <w:rPr>
                <w:rFonts w:ascii="宋体" w:hAnsi="宋体" w:cs="宋体" w:eastAsia="宋体" w:hint="default"/>
                <w:sz w:val="20"/>
                <w:szCs w:val="20"/>
              </w:rPr>
              <w:t>独立董事提出异议的重大事</w:t>
            </w:r>
          </w:p>
          <w:p>
            <w:pPr>
              <w:pStyle w:val="TableParagraph"/>
              <w:spacing w:line="260" w:lineRule="exact"/>
              <w:ind w:right="1"/>
              <w:jc w:val="center"/>
              <w:rPr>
                <w:rFonts w:ascii="宋体" w:hAnsi="宋体" w:cs="宋体" w:eastAsia="宋体" w:hint="default"/>
                <w:sz w:val="20"/>
                <w:szCs w:val="20"/>
              </w:rPr>
            </w:pPr>
            <w:r>
              <w:rPr>
                <w:rFonts w:ascii="宋体" w:hAnsi="宋体" w:cs="宋体" w:eastAsia="宋体" w:hint="default"/>
                <w:sz w:val="20"/>
                <w:szCs w:val="20"/>
              </w:rPr>
              <w:t>项内容</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
              <w:jc w:val="center"/>
              <w:rPr>
                <w:rFonts w:ascii="宋体" w:hAnsi="宋体" w:cs="宋体" w:eastAsia="宋体" w:hint="default"/>
                <w:sz w:val="20"/>
                <w:szCs w:val="20"/>
              </w:rPr>
            </w:pPr>
            <w:r>
              <w:rPr>
                <w:rFonts w:ascii="宋体" w:hAnsi="宋体" w:cs="宋体" w:eastAsia="宋体" w:hint="default"/>
                <w:sz w:val="20"/>
                <w:szCs w:val="20"/>
              </w:rPr>
              <w:t>异议的内容</w:t>
            </w:r>
          </w:p>
        </w:tc>
        <w:tc>
          <w:tcPr>
            <w:tcW w:w="2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0"/>
              <w:jc w:val="center"/>
              <w:rPr>
                <w:rFonts w:ascii="宋体" w:hAnsi="宋体" w:cs="宋体" w:eastAsia="宋体" w:hint="default"/>
                <w:sz w:val="20"/>
                <w:szCs w:val="20"/>
              </w:rPr>
            </w:pPr>
            <w:r>
              <w:rPr>
                <w:rFonts w:ascii="宋体" w:hAnsi="宋体" w:cs="宋体" w:eastAsia="宋体" w:hint="default"/>
                <w:sz w:val="20"/>
                <w:szCs w:val="20"/>
              </w:rPr>
              <w:t>备注</w:t>
            </w:r>
          </w:p>
        </w:tc>
      </w:tr>
      <w:tr>
        <w:trPr>
          <w:trHeight w:val="275" w:hRule="exact"/>
        </w:trPr>
        <w:tc>
          <w:tcPr>
            <w:tcW w:w="21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sz w:val="20"/>
                <w:szCs w:val="20"/>
              </w:rPr>
              <w:t>高尚全</w:t>
            </w:r>
          </w:p>
        </w:tc>
        <w:tc>
          <w:tcPr>
            <w:tcW w:w="263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无</w:t>
            </w:r>
          </w:p>
        </w:tc>
        <w:tc>
          <w:tcPr>
            <w:tcW w:w="206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 w:right="0"/>
              <w:jc w:val="center"/>
              <w:rPr>
                <w:rFonts w:ascii="宋体" w:hAnsi="宋体" w:cs="宋体" w:eastAsia="宋体" w:hint="default"/>
                <w:sz w:val="20"/>
                <w:szCs w:val="20"/>
              </w:rPr>
            </w:pPr>
            <w:r>
              <w:rPr>
                <w:rFonts w:ascii="宋体" w:hAnsi="宋体" w:cs="宋体" w:eastAsia="宋体" w:hint="default"/>
                <w:sz w:val="20"/>
                <w:szCs w:val="20"/>
              </w:rPr>
              <w:t>不适用</w:t>
            </w:r>
          </w:p>
        </w:tc>
      </w:tr>
      <w:tr>
        <w:trPr>
          <w:trHeight w:val="275" w:hRule="exact"/>
        </w:trPr>
        <w:tc>
          <w:tcPr>
            <w:tcW w:w="21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sz w:val="20"/>
                <w:szCs w:val="20"/>
              </w:rPr>
              <w:t>陈俊亮</w:t>
            </w:r>
          </w:p>
        </w:tc>
        <w:tc>
          <w:tcPr>
            <w:tcW w:w="263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无</w:t>
            </w:r>
          </w:p>
        </w:tc>
        <w:tc>
          <w:tcPr>
            <w:tcW w:w="206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 w:right="0"/>
              <w:jc w:val="center"/>
              <w:rPr>
                <w:rFonts w:ascii="宋体" w:hAnsi="宋体" w:cs="宋体" w:eastAsia="宋体" w:hint="default"/>
                <w:sz w:val="20"/>
                <w:szCs w:val="20"/>
              </w:rPr>
            </w:pPr>
            <w:r>
              <w:rPr>
                <w:rFonts w:ascii="宋体" w:hAnsi="宋体" w:cs="宋体" w:eastAsia="宋体" w:hint="default"/>
                <w:sz w:val="20"/>
                <w:szCs w:val="20"/>
              </w:rPr>
              <w:t>不适用</w:t>
            </w:r>
          </w:p>
        </w:tc>
      </w:tr>
      <w:tr>
        <w:trPr>
          <w:trHeight w:val="274" w:hRule="exact"/>
        </w:trPr>
        <w:tc>
          <w:tcPr>
            <w:tcW w:w="21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sz w:val="20"/>
                <w:szCs w:val="20"/>
              </w:rPr>
              <w:t>陈小悦</w:t>
            </w:r>
          </w:p>
        </w:tc>
        <w:tc>
          <w:tcPr>
            <w:tcW w:w="263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无</w:t>
            </w:r>
          </w:p>
        </w:tc>
        <w:tc>
          <w:tcPr>
            <w:tcW w:w="206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 w:right="0"/>
              <w:jc w:val="center"/>
              <w:rPr>
                <w:rFonts w:ascii="宋体" w:hAnsi="宋体" w:cs="宋体" w:eastAsia="宋体" w:hint="default"/>
                <w:sz w:val="20"/>
                <w:szCs w:val="20"/>
              </w:rPr>
            </w:pPr>
            <w:r>
              <w:rPr>
                <w:rFonts w:ascii="宋体" w:hAnsi="宋体" w:cs="宋体" w:eastAsia="宋体" w:hint="default"/>
                <w:sz w:val="20"/>
                <w:szCs w:val="20"/>
              </w:rPr>
              <w:t>不适用</w:t>
            </w:r>
          </w:p>
        </w:tc>
      </w:tr>
      <w:tr>
        <w:trPr>
          <w:trHeight w:val="275" w:hRule="exact"/>
        </w:trPr>
        <w:tc>
          <w:tcPr>
            <w:tcW w:w="21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sz w:val="20"/>
                <w:szCs w:val="20"/>
              </w:rPr>
              <w:t>王晨光</w:t>
            </w:r>
          </w:p>
        </w:tc>
        <w:tc>
          <w:tcPr>
            <w:tcW w:w="263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无</w:t>
            </w:r>
          </w:p>
        </w:tc>
        <w:tc>
          <w:tcPr>
            <w:tcW w:w="206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 w:right="0"/>
              <w:jc w:val="center"/>
              <w:rPr>
                <w:rFonts w:ascii="宋体" w:hAnsi="宋体" w:cs="宋体" w:eastAsia="宋体" w:hint="default"/>
                <w:sz w:val="20"/>
                <w:szCs w:val="20"/>
              </w:rPr>
            </w:pPr>
            <w:r>
              <w:rPr>
                <w:rFonts w:ascii="宋体" w:hAnsi="宋体" w:cs="宋体" w:eastAsia="宋体" w:hint="default"/>
                <w:sz w:val="20"/>
                <w:szCs w:val="20"/>
              </w:rPr>
              <w:t>不适用</w:t>
            </w:r>
          </w:p>
        </w:tc>
      </w:tr>
      <w:tr>
        <w:trPr>
          <w:trHeight w:val="275" w:hRule="exact"/>
        </w:trPr>
        <w:tc>
          <w:tcPr>
            <w:tcW w:w="21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sz w:val="20"/>
                <w:szCs w:val="20"/>
              </w:rPr>
              <w:t>刘彩</w:t>
            </w:r>
          </w:p>
        </w:tc>
        <w:tc>
          <w:tcPr>
            <w:tcW w:w="263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无</w:t>
            </w:r>
          </w:p>
        </w:tc>
        <w:tc>
          <w:tcPr>
            <w:tcW w:w="206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 w:right="0"/>
              <w:jc w:val="center"/>
              <w:rPr>
                <w:rFonts w:ascii="宋体" w:hAnsi="宋体" w:cs="宋体" w:eastAsia="宋体" w:hint="default"/>
                <w:sz w:val="20"/>
                <w:szCs w:val="20"/>
              </w:rPr>
            </w:pPr>
            <w:r>
              <w:rPr>
                <w:rFonts w:ascii="宋体" w:hAnsi="宋体" w:cs="宋体" w:eastAsia="宋体" w:hint="default"/>
                <w:sz w:val="20"/>
                <w:szCs w:val="20"/>
              </w:rPr>
              <w:t>不适用</w:t>
            </w:r>
          </w:p>
        </w:tc>
      </w:tr>
      <w:tr>
        <w:trPr>
          <w:trHeight w:val="274" w:hRule="exact"/>
        </w:trPr>
        <w:tc>
          <w:tcPr>
            <w:tcW w:w="21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sz w:val="20"/>
                <w:szCs w:val="20"/>
              </w:rPr>
              <w:t>赵纯均</w:t>
            </w:r>
          </w:p>
        </w:tc>
        <w:tc>
          <w:tcPr>
            <w:tcW w:w="263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无</w:t>
            </w:r>
          </w:p>
        </w:tc>
        <w:tc>
          <w:tcPr>
            <w:tcW w:w="206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 w:right="0"/>
              <w:jc w:val="center"/>
              <w:rPr>
                <w:rFonts w:ascii="宋体" w:hAnsi="宋体" w:cs="宋体" w:eastAsia="宋体" w:hint="default"/>
                <w:sz w:val="20"/>
                <w:szCs w:val="20"/>
              </w:rPr>
            </w:pPr>
            <w:r>
              <w:rPr>
                <w:rFonts w:ascii="宋体" w:hAnsi="宋体" w:cs="宋体" w:eastAsia="宋体" w:hint="default"/>
                <w:sz w:val="20"/>
                <w:szCs w:val="20"/>
              </w:rPr>
              <w:t>不适用</w:t>
            </w:r>
          </w:p>
        </w:tc>
      </w:tr>
      <w:tr>
        <w:trPr>
          <w:trHeight w:val="275" w:hRule="exact"/>
        </w:trPr>
        <w:tc>
          <w:tcPr>
            <w:tcW w:w="21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sz w:val="20"/>
                <w:szCs w:val="20"/>
              </w:rPr>
              <w:t>张英海</w:t>
            </w:r>
          </w:p>
        </w:tc>
        <w:tc>
          <w:tcPr>
            <w:tcW w:w="263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无</w:t>
            </w:r>
          </w:p>
        </w:tc>
        <w:tc>
          <w:tcPr>
            <w:tcW w:w="206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 w:right="0"/>
              <w:jc w:val="center"/>
              <w:rPr>
                <w:rFonts w:ascii="宋体" w:hAnsi="宋体" w:cs="宋体" w:eastAsia="宋体" w:hint="default"/>
                <w:sz w:val="20"/>
                <w:szCs w:val="20"/>
              </w:rPr>
            </w:pPr>
            <w:r>
              <w:rPr>
                <w:rFonts w:ascii="宋体" w:hAnsi="宋体" w:cs="宋体" w:eastAsia="宋体" w:hint="default"/>
                <w:sz w:val="20"/>
                <w:szCs w:val="20"/>
              </w:rPr>
              <w:t>不适用</w:t>
            </w:r>
          </w:p>
        </w:tc>
      </w:tr>
      <w:tr>
        <w:trPr>
          <w:trHeight w:val="275" w:hRule="exact"/>
        </w:trPr>
        <w:tc>
          <w:tcPr>
            <w:tcW w:w="21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sz w:val="20"/>
                <w:szCs w:val="20"/>
              </w:rPr>
              <w:t>夏大慰</w:t>
            </w:r>
          </w:p>
        </w:tc>
        <w:tc>
          <w:tcPr>
            <w:tcW w:w="263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w w:val="100"/>
                <w:sz w:val="20"/>
                <w:szCs w:val="20"/>
              </w:rPr>
              <w:t>无</w:t>
            </w:r>
          </w:p>
        </w:tc>
        <w:tc>
          <w:tcPr>
            <w:tcW w:w="2161"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w w:val="100"/>
                <w:sz w:val="20"/>
                <w:szCs w:val="20"/>
              </w:rPr>
              <w:t>无</w:t>
            </w:r>
          </w:p>
        </w:tc>
        <w:tc>
          <w:tcPr>
            <w:tcW w:w="206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 w:right="0"/>
              <w:jc w:val="center"/>
              <w:rPr>
                <w:rFonts w:ascii="宋体" w:hAnsi="宋体" w:cs="宋体" w:eastAsia="宋体" w:hint="default"/>
                <w:sz w:val="20"/>
                <w:szCs w:val="20"/>
              </w:rPr>
            </w:pPr>
            <w:r>
              <w:rPr>
                <w:rFonts w:ascii="宋体" w:hAnsi="宋体" w:cs="宋体" w:eastAsia="宋体" w:hint="default"/>
                <w:sz w:val="20"/>
                <w:szCs w:val="20"/>
              </w:rPr>
              <w:t>不适用</w:t>
            </w:r>
          </w:p>
        </w:tc>
      </w:tr>
    </w:tbl>
    <w:p>
      <w:pPr>
        <w:spacing w:line="240" w:lineRule="auto" w:before="2"/>
        <w:rPr>
          <w:rFonts w:ascii="宋体" w:hAnsi="宋体" w:cs="宋体" w:eastAsia="宋体" w:hint="default"/>
          <w:sz w:val="14"/>
          <w:szCs w:val="14"/>
        </w:rPr>
      </w:pPr>
    </w:p>
    <w:p>
      <w:pPr>
        <w:pStyle w:val="BodyText"/>
        <w:spacing w:line="240" w:lineRule="auto" w:before="31"/>
        <w:ind w:left="769" w:right="133"/>
        <w:jc w:val="left"/>
      </w:pPr>
      <w:r>
        <w:rPr/>
        <w:t>报告期内，公司独立董事未对公司本年度的董事会议案及其他非董事会议案事项提出异议。</w:t>
      </w:r>
    </w:p>
    <w:p>
      <w:pPr>
        <w:spacing w:line="240" w:lineRule="auto" w:before="6"/>
        <w:rPr>
          <w:rFonts w:ascii="宋体" w:hAnsi="宋体" w:cs="宋体" w:eastAsia="宋体" w:hint="default"/>
          <w:sz w:val="21"/>
          <w:szCs w:val="21"/>
        </w:rPr>
      </w:pPr>
    </w:p>
    <w:p>
      <w:pPr>
        <w:pStyle w:val="BodyText"/>
        <w:spacing w:line="284" w:lineRule="exact"/>
        <w:ind w:left="769" w:right="2177" w:hanging="420"/>
        <w:jc w:val="left"/>
      </w:pPr>
      <w:r>
        <w:rPr>
          <w:rFonts w:ascii="Arial" w:hAnsi="Arial" w:cs="Arial" w:eastAsia="Arial" w:hint="default"/>
        </w:rPr>
        <w:t>3</w:t>
      </w:r>
      <w:r>
        <w:rPr/>
        <w:t>、</w:t>
      </w:r>
      <w:r>
        <w:rPr>
          <w:spacing w:val="-34"/>
        </w:rPr>
        <w:t> </w:t>
      </w:r>
      <w:r>
        <w:rPr/>
        <w:t>独立董事相关工作制度的建立健全情况、主要内容及独立董事履职情况</w:t>
      </w:r>
      <w:r>
        <w:rPr>
          <w:w w:val="99"/>
        </w:rPr>
        <w:t> </w:t>
      </w:r>
      <w:r>
        <w:rPr/>
        <w:t>公司制定了《独立董事工作细则》，独立董事职责主要为：</w:t>
      </w:r>
    </w:p>
    <w:p>
      <w:pPr>
        <w:spacing w:line="240" w:lineRule="auto" w:before="4"/>
        <w:rPr>
          <w:rFonts w:ascii="宋体" w:hAnsi="宋体" w:cs="宋体" w:eastAsia="宋体" w:hint="default"/>
          <w:sz w:val="19"/>
          <w:szCs w:val="19"/>
        </w:rPr>
      </w:pPr>
    </w:p>
    <w:p>
      <w:pPr>
        <w:pStyle w:val="BodyText"/>
        <w:spacing w:line="286" w:lineRule="exact"/>
        <w:ind w:left="853" w:right="133" w:hanging="504"/>
        <w:jc w:val="left"/>
      </w:pPr>
      <w:r>
        <w:rPr>
          <w:rFonts w:ascii="Arial" w:hAnsi="Arial" w:cs="Arial" w:eastAsia="Arial" w:hint="default"/>
          <w:spacing w:val="-1"/>
        </w:rPr>
        <w:t>3.1</w:t>
      </w:r>
      <w:r>
        <w:rPr>
          <w:spacing w:val="-1"/>
        </w:rPr>
        <w:t>、为了充分发挥独立董事的作用，独立董事除具有公司法和其他相关法律、法规赋予董事的职</w:t>
      </w:r>
      <w:r>
        <w:rPr>
          <w:spacing w:val="-103"/>
        </w:rPr>
        <w:t> </w:t>
      </w:r>
      <w:r>
        <w:rPr>
          <w:spacing w:val="-103"/>
        </w:rPr>
      </w:r>
      <w:r>
        <w:rPr/>
        <w:t>权外，本公司还赋予独立董事以下特别职权：</w:t>
      </w:r>
    </w:p>
    <w:p>
      <w:pPr>
        <w:spacing w:line="240" w:lineRule="auto" w:before="3"/>
        <w:rPr>
          <w:rFonts w:ascii="宋体" w:hAnsi="宋体" w:cs="宋体" w:eastAsia="宋体" w:hint="default"/>
          <w:sz w:val="19"/>
          <w:szCs w:val="19"/>
        </w:rPr>
      </w:pPr>
    </w:p>
    <w:p>
      <w:pPr>
        <w:pStyle w:val="BodyText"/>
        <w:spacing w:line="286" w:lineRule="exact"/>
        <w:ind w:left="1006" w:right="127" w:hanging="658"/>
        <w:jc w:val="left"/>
      </w:pPr>
      <w:r>
        <w:rPr>
          <w:rFonts w:ascii="Arial" w:hAnsi="Arial" w:cs="Arial" w:eastAsia="Arial" w:hint="default"/>
        </w:rPr>
        <w:t>3.1.1</w:t>
      </w:r>
      <w:r>
        <w:rPr/>
        <w:t>、重大关联交易指公司拟与关联人达成的总额高于证券监管部门规定标准或证券监管部门特</w:t>
      </w:r>
      <w:r>
        <w:rPr>
          <w:w w:val="99"/>
        </w:rPr>
        <w:t> </w:t>
      </w:r>
      <w:r>
        <w:rPr/>
        <w:t>别要求的关联交易，应由独立董事认可后，提交董事会讨论；</w:t>
      </w:r>
      <w:r>
        <w:rPr>
          <w:w w:val="99"/>
        </w:rPr>
        <w:t> </w:t>
      </w:r>
      <w:r>
        <w:rPr/>
        <w:t>独立董事作出判断前，可以聘请中介机构出具独立财务顾问报告，作为其判断的依据。</w:t>
      </w:r>
    </w:p>
    <w:p>
      <w:pPr>
        <w:spacing w:after="0" w:line="286" w:lineRule="exact"/>
        <w:jc w:val="left"/>
        <w:sectPr>
          <w:pgSz w:w="11910" w:h="16840"/>
          <w:pgMar w:header="587" w:footer="774" w:top="960" w:bottom="960" w:left="980" w:right="1140"/>
        </w:sectPr>
      </w:pPr>
    </w:p>
    <w:p>
      <w:pPr>
        <w:spacing w:line="240" w:lineRule="auto" w:before="6"/>
        <w:rPr>
          <w:rFonts w:ascii="宋体" w:hAnsi="宋体" w:cs="宋体" w:eastAsia="宋体" w:hint="default"/>
          <w:sz w:val="12"/>
          <w:szCs w:val="12"/>
        </w:rPr>
      </w:pPr>
    </w:p>
    <w:p>
      <w:pPr>
        <w:pStyle w:val="BodyText"/>
        <w:spacing w:line="240" w:lineRule="auto" w:before="31"/>
        <w:ind w:left="349" w:right="207"/>
        <w:jc w:val="left"/>
      </w:pPr>
      <w:r>
        <w:rPr>
          <w:rFonts w:ascii="Arial" w:hAnsi="Arial" w:cs="Arial" w:eastAsia="Arial" w:hint="default"/>
        </w:rPr>
        <w:t>3.1.2</w:t>
      </w:r>
      <w:r>
        <w:rPr/>
        <w:t>、向董事会提议聘用或解聘会计师事务所；</w:t>
      </w:r>
    </w:p>
    <w:p>
      <w:pPr>
        <w:spacing w:line="240" w:lineRule="auto" w:before="12"/>
        <w:rPr>
          <w:rFonts w:ascii="宋体" w:hAnsi="宋体" w:cs="宋体" w:eastAsia="宋体" w:hint="default"/>
          <w:sz w:val="17"/>
          <w:szCs w:val="17"/>
        </w:rPr>
      </w:pPr>
    </w:p>
    <w:p>
      <w:pPr>
        <w:pStyle w:val="BodyText"/>
        <w:spacing w:line="240" w:lineRule="auto"/>
        <w:ind w:left="349" w:right="207"/>
        <w:jc w:val="left"/>
      </w:pPr>
      <w:r>
        <w:rPr>
          <w:rFonts w:ascii="Arial" w:hAnsi="Arial" w:cs="Arial" w:eastAsia="Arial" w:hint="default"/>
        </w:rPr>
        <w:t>3.1.3</w:t>
      </w:r>
      <w:r>
        <w:rPr/>
        <w:t>、向董事会提请召开临时股东大会；</w:t>
      </w:r>
    </w:p>
    <w:p>
      <w:pPr>
        <w:spacing w:line="240" w:lineRule="auto" w:before="13"/>
        <w:rPr>
          <w:rFonts w:ascii="宋体" w:hAnsi="宋体" w:cs="宋体" w:eastAsia="宋体" w:hint="default"/>
          <w:sz w:val="17"/>
          <w:szCs w:val="17"/>
        </w:rPr>
      </w:pPr>
    </w:p>
    <w:p>
      <w:pPr>
        <w:pStyle w:val="BodyText"/>
        <w:spacing w:line="240" w:lineRule="auto"/>
        <w:ind w:left="349" w:right="207"/>
        <w:jc w:val="left"/>
      </w:pPr>
      <w:r>
        <w:rPr>
          <w:rFonts w:ascii="Arial" w:hAnsi="Arial" w:cs="Arial" w:eastAsia="Arial" w:hint="default"/>
        </w:rPr>
        <w:t>3.1.4</w:t>
      </w:r>
      <w:r>
        <w:rPr/>
        <w:t>、提议召开董事会；</w:t>
      </w:r>
    </w:p>
    <w:p>
      <w:pPr>
        <w:spacing w:line="240" w:lineRule="auto" w:before="0"/>
        <w:rPr>
          <w:rFonts w:ascii="宋体" w:hAnsi="宋体" w:cs="宋体" w:eastAsia="宋体" w:hint="default"/>
          <w:sz w:val="20"/>
          <w:szCs w:val="20"/>
        </w:rPr>
      </w:pPr>
    </w:p>
    <w:p>
      <w:pPr>
        <w:pStyle w:val="BodyText"/>
        <w:spacing w:line="286" w:lineRule="exact"/>
        <w:ind w:left="1021" w:right="207" w:hanging="673"/>
        <w:jc w:val="left"/>
      </w:pPr>
      <w:r>
        <w:rPr>
          <w:rFonts w:ascii="Arial" w:hAnsi="Arial" w:cs="Arial" w:eastAsia="Arial" w:hint="default"/>
        </w:rPr>
        <w:t>3.1.5</w:t>
      </w:r>
      <w:r>
        <w:rPr/>
        <w:t>、经独立董事占多数的专门委员会同意或经独立董事会议同意，独立董事可独立聘请相应的</w:t>
      </w:r>
      <w:r>
        <w:rPr>
          <w:w w:val="99"/>
        </w:rPr>
        <w:t> </w:t>
      </w:r>
      <w:r>
        <w:rPr/>
        <w:t>外部审计机构或咨询机构；</w:t>
      </w:r>
    </w:p>
    <w:p>
      <w:pPr>
        <w:pStyle w:val="BodyText"/>
        <w:spacing w:line="240" w:lineRule="auto" w:before="155"/>
        <w:ind w:left="349" w:right="207"/>
        <w:jc w:val="left"/>
      </w:pPr>
      <w:r>
        <w:rPr>
          <w:rFonts w:ascii="Arial" w:hAnsi="Arial" w:cs="Arial" w:eastAsia="Arial" w:hint="default"/>
        </w:rPr>
        <w:t>3.1.6</w:t>
      </w:r>
      <w:r>
        <w:rPr/>
        <w:t>、可以在股东大会召开前公开向股东征集投票权。</w:t>
      </w:r>
    </w:p>
    <w:p>
      <w:pPr>
        <w:spacing w:line="240" w:lineRule="auto" w:before="13"/>
        <w:rPr>
          <w:rFonts w:ascii="宋体" w:hAnsi="宋体" w:cs="宋体" w:eastAsia="宋体" w:hint="default"/>
          <w:sz w:val="17"/>
          <w:szCs w:val="17"/>
        </w:rPr>
      </w:pPr>
    </w:p>
    <w:p>
      <w:pPr>
        <w:pStyle w:val="BodyText"/>
        <w:spacing w:line="240" w:lineRule="auto"/>
        <w:ind w:left="349" w:right="207"/>
        <w:jc w:val="left"/>
      </w:pPr>
      <w:r>
        <w:rPr>
          <w:rFonts w:ascii="Arial" w:hAnsi="Arial" w:cs="Arial" w:eastAsia="Arial" w:hint="default"/>
        </w:rPr>
        <w:t>3.1.7</w:t>
      </w:r>
      <w:r>
        <w:rPr/>
        <w:t>、独立董事有关年报工作的职责：</w:t>
      </w:r>
    </w:p>
    <w:p>
      <w:pPr>
        <w:pStyle w:val="BodyText"/>
        <w:spacing w:line="240" w:lineRule="auto" w:before="165"/>
        <w:ind w:left="1049" w:right="207"/>
        <w:jc w:val="left"/>
      </w:pPr>
      <w:r>
        <w:rPr>
          <w:rFonts w:ascii="Arial" w:hAnsi="Arial" w:cs="Arial" w:eastAsia="Arial" w:hint="default"/>
        </w:rPr>
        <w:t>3.1.7.1</w:t>
      </w:r>
      <w:r>
        <w:rPr>
          <w:rFonts w:ascii="Arial" w:hAnsi="Arial" w:cs="Arial" w:eastAsia="Arial" w:hint="default"/>
          <w:spacing w:val="-10"/>
        </w:rPr>
        <w:t> </w:t>
      </w:r>
      <w:r>
        <w:rPr/>
        <w:t>独立董事应在公司年报的编制和披露过程中，切实履行责任和义务，勤勉尽责。</w:t>
      </w:r>
    </w:p>
    <w:p>
      <w:pPr>
        <w:spacing w:line="240" w:lineRule="auto" w:before="10"/>
        <w:rPr>
          <w:rFonts w:ascii="宋体" w:hAnsi="宋体" w:cs="宋体" w:eastAsia="宋体" w:hint="default"/>
          <w:sz w:val="18"/>
          <w:szCs w:val="18"/>
        </w:rPr>
      </w:pPr>
    </w:p>
    <w:p>
      <w:pPr>
        <w:pStyle w:val="BodyText"/>
        <w:spacing w:line="230" w:lineRule="auto"/>
        <w:ind w:left="1805" w:right="0" w:hanging="756"/>
        <w:jc w:val="left"/>
      </w:pPr>
      <w:r>
        <w:rPr>
          <w:rFonts w:ascii="Arial" w:hAnsi="Arial" w:cs="Arial" w:eastAsia="Arial" w:hint="default"/>
        </w:rPr>
        <w:t>3.1.7.2</w:t>
      </w:r>
      <w:r>
        <w:rPr>
          <w:rFonts w:ascii="Arial" w:hAnsi="Arial" w:cs="Arial" w:eastAsia="Arial" w:hint="default"/>
          <w:spacing w:val="44"/>
        </w:rPr>
        <w:t> </w:t>
      </w:r>
      <w:r>
        <w:rPr>
          <w:spacing w:val="3"/>
        </w:rPr>
        <w:t>公司管理层应向每位独立董事全面汇报公司本年度的生产经营情况和重大事项的</w:t>
      </w:r>
      <w:r>
        <w:rPr>
          <w:spacing w:val="3"/>
          <w:w w:val="99"/>
        </w:rPr>
        <w:t> </w:t>
      </w:r>
      <w:r>
        <w:rPr>
          <w:spacing w:val="-5"/>
          <w:w w:val="95"/>
        </w:rPr>
        <w:t>进展情况，同时，公司应安排每位独立董事进行实地考察，上述事项应有书面记录，</w:t>
      </w:r>
      <w:r>
        <w:rPr>
          <w:w w:val="99"/>
        </w:rPr>
        <w:t> </w:t>
      </w:r>
      <w:r>
        <w:rPr/>
        <w:t>必要的文件应有当事人签字。</w:t>
      </w:r>
    </w:p>
    <w:p>
      <w:pPr>
        <w:spacing w:line="240" w:lineRule="auto" w:before="7"/>
        <w:rPr>
          <w:rFonts w:ascii="宋体" w:hAnsi="宋体" w:cs="宋体" w:eastAsia="宋体" w:hint="default"/>
          <w:sz w:val="21"/>
          <w:szCs w:val="21"/>
        </w:rPr>
      </w:pPr>
    </w:p>
    <w:p>
      <w:pPr>
        <w:pStyle w:val="BodyText"/>
        <w:spacing w:line="284" w:lineRule="exact"/>
        <w:ind w:left="1777" w:right="204" w:hanging="729"/>
        <w:jc w:val="left"/>
      </w:pPr>
      <w:r>
        <w:rPr>
          <w:rFonts w:ascii="Arial" w:hAnsi="Arial" w:cs="Arial" w:eastAsia="Arial" w:hint="default"/>
        </w:rPr>
        <w:t>3.1.7.3</w:t>
      </w:r>
      <w:r>
        <w:rPr>
          <w:rFonts w:ascii="Arial" w:hAnsi="Arial" w:cs="Arial" w:eastAsia="Arial" w:hint="default"/>
          <w:spacing w:val="11"/>
        </w:rPr>
        <w:t> </w:t>
      </w:r>
      <w:r>
        <w:rPr/>
        <w:t>财务负责人应在为公司提供年报审计的注册会计师（以下简称</w:t>
      </w:r>
      <w:r>
        <w:rPr>
          <w:rFonts w:ascii="Arial" w:hAnsi="Arial" w:cs="Arial" w:eastAsia="Arial" w:hint="default"/>
        </w:rPr>
        <w:t>“</w:t>
      </w:r>
      <w:r>
        <w:rPr/>
        <w:t>年审注册会计师</w:t>
      </w:r>
      <w:r>
        <w:rPr>
          <w:rFonts w:ascii="Arial" w:hAnsi="Arial" w:cs="Arial" w:eastAsia="Arial" w:hint="default"/>
        </w:rPr>
        <w:t>”</w:t>
      </w:r>
      <w:r>
        <w:rPr/>
        <w:t>）</w:t>
      </w:r>
      <w:r>
        <w:rPr>
          <w:w w:val="99"/>
        </w:rPr>
        <w:t> </w:t>
      </w:r>
      <w:r>
        <w:rPr/>
        <w:t>进场审计前向每位独立董事书面提交本年度审计工作安排及其它相关资料。</w:t>
      </w:r>
    </w:p>
    <w:p>
      <w:pPr>
        <w:spacing w:line="240" w:lineRule="auto" w:before="13"/>
        <w:rPr>
          <w:rFonts w:ascii="宋体" w:hAnsi="宋体" w:cs="宋体" w:eastAsia="宋体" w:hint="default"/>
          <w:sz w:val="17"/>
          <w:szCs w:val="17"/>
        </w:rPr>
      </w:pPr>
    </w:p>
    <w:p>
      <w:pPr>
        <w:pStyle w:val="BodyText"/>
        <w:spacing w:line="230" w:lineRule="auto"/>
        <w:ind w:left="1777" w:right="217" w:hanging="729"/>
        <w:jc w:val="both"/>
      </w:pPr>
      <w:r>
        <w:rPr>
          <w:rFonts w:ascii="Arial" w:hAnsi="Arial" w:cs="Arial" w:eastAsia="Arial" w:hint="default"/>
          <w:w w:val="95"/>
        </w:rPr>
        <w:t>3.1.7.4 </w:t>
      </w:r>
      <w:r>
        <w:rPr>
          <w:w w:val="95"/>
        </w:rPr>
        <w:t>公司应在年审注册会计师出具初步审计意见后和召开董事会会议审议年报前，至少</w:t>
      </w:r>
      <w:r>
        <w:rPr>
          <w:spacing w:val="-25"/>
          <w:w w:val="95"/>
        </w:rPr>
        <w:t> </w:t>
      </w:r>
      <w:r>
        <w:rPr>
          <w:spacing w:val="-25"/>
          <w:w w:val="95"/>
        </w:rPr>
      </w:r>
      <w:r>
        <w:rPr>
          <w:spacing w:val="-2"/>
        </w:rPr>
        <w:t>安排一次独立董事会议，与年审注册会计师沟通审计过程中发现的问题，独立董事</w:t>
      </w:r>
      <w:r>
        <w:rPr>
          <w:w w:val="99"/>
        </w:rPr>
        <w:t> </w:t>
      </w:r>
      <w:r>
        <w:rPr/>
        <w:t>应履行见面的职责。见面会应有书面记录及当事人签字。</w:t>
      </w:r>
    </w:p>
    <w:p>
      <w:pPr>
        <w:pStyle w:val="BodyText"/>
        <w:spacing w:line="240" w:lineRule="auto" w:before="184"/>
        <w:ind w:left="349" w:right="207"/>
        <w:jc w:val="left"/>
      </w:pPr>
      <w:r>
        <w:rPr>
          <w:rFonts w:ascii="Arial" w:hAnsi="Arial" w:cs="Arial" w:eastAsia="Arial" w:hint="default"/>
        </w:rPr>
        <w:t>3.2</w:t>
      </w:r>
      <w:r>
        <w:rPr/>
        <w:t>、独立董事行使上述职权应当取得全体独立董事的二分之一以上同意。</w:t>
      </w:r>
    </w:p>
    <w:p>
      <w:pPr>
        <w:pStyle w:val="BodyText"/>
        <w:spacing w:line="240" w:lineRule="auto" w:before="165"/>
        <w:ind w:left="349" w:right="207"/>
        <w:jc w:val="left"/>
      </w:pPr>
      <w:r>
        <w:rPr>
          <w:rFonts w:ascii="Arial" w:hAnsi="Arial" w:cs="Arial" w:eastAsia="Arial" w:hint="default"/>
        </w:rPr>
        <w:t>3.3</w:t>
      </w:r>
      <w:r>
        <w:rPr/>
        <w:t>、如上述提议未被采纳或上述职权不能正常行使，公司应将有关情况予以披露。</w:t>
      </w:r>
    </w:p>
    <w:p>
      <w:pPr>
        <w:pStyle w:val="BodyText"/>
        <w:spacing w:line="240" w:lineRule="auto" w:before="165"/>
        <w:ind w:left="349" w:right="207"/>
        <w:jc w:val="left"/>
      </w:pPr>
      <w:r>
        <w:rPr>
          <w:rFonts w:ascii="Arial" w:hAnsi="Arial" w:cs="Arial" w:eastAsia="Arial" w:hint="default"/>
        </w:rPr>
        <w:t>3.4</w:t>
      </w:r>
      <w:r>
        <w:rPr/>
        <w:t>、在公司董事会下设的专门委员会中，独立董事应当占委员会成员二分之一以上的比例。</w:t>
      </w:r>
    </w:p>
    <w:p>
      <w:pPr>
        <w:spacing w:line="240" w:lineRule="auto" w:before="0"/>
        <w:rPr>
          <w:rFonts w:ascii="宋体" w:hAnsi="宋体" w:cs="宋体" w:eastAsia="宋体" w:hint="default"/>
          <w:sz w:val="20"/>
          <w:szCs w:val="20"/>
        </w:rPr>
      </w:pPr>
    </w:p>
    <w:p>
      <w:pPr>
        <w:pStyle w:val="BodyText"/>
        <w:spacing w:line="286" w:lineRule="exact"/>
        <w:ind w:left="853" w:right="207"/>
        <w:jc w:val="left"/>
      </w:pPr>
      <w:r>
        <w:rPr>
          <w:w w:val="95"/>
        </w:rPr>
        <w:t>报告期内，独立董事对公司高管聘任、聘任审计机构、关联交易、对外担保、定期报告等发</w:t>
      </w:r>
      <w:r>
        <w:rPr>
          <w:spacing w:val="5"/>
          <w:w w:val="95"/>
        </w:rPr>
        <w:t> </w:t>
      </w:r>
      <w:r>
        <w:rPr>
          <w:spacing w:val="5"/>
          <w:w w:val="95"/>
        </w:rPr>
      </w:r>
      <w:r>
        <w:rPr/>
        <w:t>表了独立董事意见，很好地履行作为独立董事的职责。</w:t>
      </w:r>
    </w:p>
    <w:p>
      <w:pPr>
        <w:pStyle w:val="BodyText"/>
        <w:spacing w:line="240" w:lineRule="auto" w:before="155"/>
        <w:ind w:left="112" w:right="207"/>
        <w:jc w:val="left"/>
      </w:pPr>
      <w:r>
        <w:rPr/>
        <w:t>（三）</w:t>
      </w:r>
      <w:r>
        <w:rPr>
          <w:spacing w:val="-30"/>
        </w:rPr>
        <w:t> </w:t>
      </w:r>
      <w:r>
        <w:rPr/>
        <w:t>公司相对于控股股东在业务、人员、资产、机构、财务等方面的独立完整情况</w:t>
      </w:r>
    </w:p>
    <w:p>
      <w:pPr>
        <w:spacing w:line="240" w:lineRule="auto" w:before="8"/>
        <w:rPr>
          <w:rFonts w:ascii="宋体" w:hAnsi="宋体" w:cs="宋体" w:eastAsia="宋体" w:hint="default"/>
          <w:sz w:val="16"/>
          <w:szCs w:val="16"/>
        </w:rPr>
      </w:pPr>
    </w:p>
    <w:tbl>
      <w:tblPr>
        <w:tblW w:w="0" w:type="auto"/>
        <w:jc w:val="left"/>
        <w:tblInd w:w="741" w:type="dxa"/>
        <w:tblLayout w:type="fixed"/>
        <w:tblCellMar>
          <w:top w:w="0" w:type="dxa"/>
          <w:left w:w="0" w:type="dxa"/>
          <w:bottom w:w="0" w:type="dxa"/>
          <w:right w:w="0" w:type="dxa"/>
        </w:tblCellMar>
        <w:tblLook w:val="01E0"/>
      </w:tblPr>
      <w:tblGrid>
        <w:gridCol w:w="1489"/>
        <w:gridCol w:w="1638"/>
        <w:gridCol w:w="5824"/>
      </w:tblGrid>
      <w:tr>
        <w:trPr>
          <w:trHeight w:val="275" w:hRule="exact"/>
        </w:trPr>
        <w:tc>
          <w:tcPr>
            <w:tcW w:w="1489" w:type="dxa"/>
            <w:tcBorders>
              <w:top w:val="single" w:sz="6" w:space="0" w:color="000000"/>
              <w:left w:val="single" w:sz="6" w:space="0" w:color="000000"/>
              <w:bottom w:val="single" w:sz="6" w:space="0" w:color="000000"/>
              <w:right w:val="single" w:sz="6" w:space="0" w:color="000000"/>
            </w:tcBorders>
          </w:tcPr>
          <w:p>
            <w:pPr/>
          </w:p>
        </w:tc>
        <w:tc>
          <w:tcPr>
            <w:tcW w:w="1638"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sz w:val="20"/>
                <w:szCs w:val="20"/>
              </w:rPr>
              <w:t>是否独立完整</w:t>
            </w:r>
          </w:p>
        </w:tc>
        <w:tc>
          <w:tcPr>
            <w:tcW w:w="5824"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
              <w:jc w:val="center"/>
              <w:rPr>
                <w:rFonts w:ascii="宋体" w:hAnsi="宋体" w:cs="宋体" w:eastAsia="宋体" w:hint="default"/>
                <w:sz w:val="20"/>
                <w:szCs w:val="20"/>
              </w:rPr>
            </w:pPr>
            <w:r>
              <w:rPr>
                <w:rFonts w:ascii="宋体" w:hAnsi="宋体" w:cs="宋体" w:eastAsia="宋体" w:hint="default"/>
                <w:sz w:val="20"/>
                <w:szCs w:val="20"/>
              </w:rPr>
              <w:t>情况说明</w:t>
            </w:r>
          </w:p>
        </w:tc>
      </w:tr>
      <w:tr>
        <w:trPr>
          <w:trHeight w:val="793"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before="124"/>
              <w:ind w:left="100" w:right="170"/>
              <w:jc w:val="left"/>
              <w:rPr>
                <w:rFonts w:ascii="宋体" w:hAnsi="宋体" w:cs="宋体" w:eastAsia="宋体" w:hint="default"/>
                <w:sz w:val="20"/>
                <w:szCs w:val="20"/>
              </w:rPr>
            </w:pPr>
            <w:r>
              <w:rPr>
                <w:rFonts w:ascii="宋体" w:hAnsi="宋体" w:cs="宋体" w:eastAsia="宋体" w:hint="default"/>
                <w:sz w:val="20"/>
                <w:szCs w:val="20"/>
              </w:rPr>
              <w:t>业务方面独立</w:t>
            </w:r>
            <w:r>
              <w:rPr>
                <w:rFonts w:ascii="宋体" w:hAnsi="宋体" w:cs="宋体" w:eastAsia="宋体" w:hint="default"/>
                <w:w w:val="100"/>
                <w:sz w:val="20"/>
                <w:szCs w:val="20"/>
              </w:rPr>
              <w:t> </w:t>
            </w:r>
            <w:r>
              <w:rPr>
                <w:rFonts w:ascii="宋体" w:hAnsi="宋体" w:cs="宋体" w:eastAsia="宋体" w:hint="default"/>
                <w:sz w:val="20"/>
                <w:szCs w:val="20"/>
              </w:rPr>
              <w:t>完整情况</w:t>
            </w:r>
          </w:p>
        </w:tc>
        <w:tc>
          <w:tcPr>
            <w:tcW w:w="16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5824"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由于公司的经营范围仅限于通过中国联通</w:t>
            </w:r>
            <w:r>
              <w:rPr>
                <w:rFonts w:ascii="宋体" w:hAnsi="宋体" w:cs="宋体" w:eastAsia="宋体" w:hint="default"/>
                <w:spacing w:val="-49"/>
                <w:sz w:val="20"/>
                <w:szCs w:val="20"/>
              </w:rPr>
              <w:t> </w:t>
            </w:r>
            <w:r>
              <w:rPr>
                <w:rFonts w:ascii="Arial" w:hAnsi="Arial" w:cs="Arial" w:eastAsia="Arial" w:hint="default"/>
                <w:sz w:val="20"/>
                <w:szCs w:val="20"/>
              </w:rPr>
              <w:t>BVI</w:t>
            </w:r>
            <w:r>
              <w:rPr>
                <w:rFonts w:ascii="Arial" w:hAnsi="Arial" w:cs="Arial" w:eastAsia="Arial" w:hint="default"/>
                <w:spacing w:val="-5"/>
                <w:sz w:val="20"/>
                <w:szCs w:val="20"/>
              </w:rPr>
              <w:t> </w:t>
            </w:r>
            <w:r>
              <w:rPr>
                <w:rFonts w:ascii="宋体" w:hAnsi="宋体" w:cs="宋体" w:eastAsia="宋体" w:hint="default"/>
                <w:spacing w:val="-3"/>
                <w:sz w:val="20"/>
                <w:szCs w:val="20"/>
              </w:rPr>
              <w:t>有限公司（以下简</w:t>
            </w:r>
          </w:p>
          <w:p>
            <w:pPr>
              <w:pStyle w:val="TableParagraph"/>
              <w:spacing w:line="260" w:lineRule="exact" w:before="17"/>
              <w:ind w:left="100" w:right="98"/>
              <w:jc w:val="left"/>
              <w:rPr>
                <w:rFonts w:ascii="宋体" w:hAnsi="宋体" w:cs="宋体" w:eastAsia="宋体" w:hint="default"/>
                <w:sz w:val="20"/>
                <w:szCs w:val="20"/>
              </w:rPr>
            </w:pPr>
            <w:r>
              <w:rPr>
                <w:rFonts w:ascii="宋体" w:hAnsi="宋体" w:cs="宋体" w:eastAsia="宋体" w:hint="default"/>
                <w:sz w:val="20"/>
                <w:szCs w:val="20"/>
              </w:rPr>
              <w:t>称</w:t>
            </w:r>
            <w:r>
              <w:rPr>
                <w:rFonts w:ascii="Arial" w:hAnsi="Arial" w:cs="Arial" w:eastAsia="Arial" w:hint="default"/>
                <w:sz w:val="20"/>
                <w:szCs w:val="20"/>
              </w:rPr>
              <w:t>“</w:t>
            </w:r>
            <w:r>
              <w:rPr>
                <w:rFonts w:ascii="宋体" w:hAnsi="宋体" w:cs="宋体" w:eastAsia="宋体" w:hint="default"/>
                <w:sz w:val="20"/>
                <w:szCs w:val="20"/>
              </w:rPr>
              <w:t>联通 </w:t>
            </w:r>
            <w:r>
              <w:rPr>
                <w:rFonts w:ascii="Arial" w:hAnsi="Arial" w:cs="Arial" w:eastAsia="Arial" w:hint="default"/>
                <w:sz w:val="20"/>
                <w:szCs w:val="20"/>
              </w:rPr>
              <w:t>BVI</w:t>
            </w:r>
            <w:r>
              <w:rPr>
                <w:rFonts w:ascii="Arial" w:hAnsi="Arial" w:cs="Arial" w:eastAsia="Arial" w:hint="default"/>
                <w:spacing w:val="-11"/>
                <w:sz w:val="20"/>
                <w:szCs w:val="20"/>
              </w:rPr>
              <w:t> </w:t>
            </w:r>
            <w:r>
              <w:rPr>
                <w:rFonts w:ascii="宋体" w:hAnsi="宋体" w:cs="宋体" w:eastAsia="宋体" w:hint="default"/>
                <w:sz w:val="20"/>
                <w:szCs w:val="20"/>
              </w:rPr>
              <w:t>公司</w:t>
            </w:r>
            <w:r>
              <w:rPr>
                <w:rFonts w:ascii="Arial" w:hAnsi="Arial" w:cs="Arial" w:eastAsia="Arial" w:hint="default"/>
                <w:sz w:val="20"/>
                <w:szCs w:val="20"/>
              </w:rPr>
              <w:t>”</w:t>
            </w:r>
            <w:r>
              <w:rPr>
                <w:rFonts w:ascii="宋体" w:hAnsi="宋体" w:cs="宋体" w:eastAsia="宋体" w:hint="default"/>
                <w:sz w:val="20"/>
                <w:szCs w:val="20"/>
              </w:rPr>
              <w:t>）持有联通红筹公司的股权，而不直接经营任</w:t>
            </w:r>
            <w:r>
              <w:rPr>
                <w:rFonts w:ascii="宋体" w:hAnsi="宋体" w:cs="宋体" w:eastAsia="宋体" w:hint="default"/>
                <w:w w:val="100"/>
                <w:sz w:val="20"/>
                <w:szCs w:val="20"/>
              </w:rPr>
              <w:t> </w:t>
            </w:r>
            <w:r>
              <w:rPr>
                <w:rFonts w:ascii="宋体" w:hAnsi="宋体" w:cs="宋体" w:eastAsia="宋体" w:hint="default"/>
                <w:sz w:val="20"/>
                <w:szCs w:val="20"/>
              </w:rPr>
              <w:t>何其它业务，因此业务界面完全独立于控股股东。</w:t>
            </w:r>
          </w:p>
        </w:tc>
      </w:tr>
      <w:tr>
        <w:trPr>
          <w:trHeight w:val="534"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人员方面独立</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完整情况</w:t>
            </w:r>
          </w:p>
        </w:tc>
        <w:tc>
          <w:tcPr>
            <w:tcW w:w="16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5824"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ind w:left="100" w:right="0"/>
              <w:jc w:val="left"/>
              <w:rPr>
                <w:rFonts w:ascii="宋体" w:hAnsi="宋体" w:cs="宋体" w:eastAsia="宋体" w:hint="default"/>
                <w:sz w:val="20"/>
                <w:szCs w:val="20"/>
              </w:rPr>
            </w:pPr>
            <w:r>
              <w:rPr>
                <w:rFonts w:ascii="宋体" w:hAnsi="宋体" w:cs="宋体" w:eastAsia="宋体" w:hint="default"/>
                <w:sz w:val="20"/>
                <w:szCs w:val="20"/>
              </w:rPr>
              <w:t>除公司总裁由联通集团总裁兼任外，公司副总裁、董事会秘书及</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其它人员均独立配置。</w:t>
            </w:r>
          </w:p>
        </w:tc>
      </w:tr>
      <w:tr>
        <w:trPr>
          <w:trHeight w:val="533"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资产方面独立</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完整情况</w:t>
            </w:r>
          </w:p>
        </w:tc>
        <w:tc>
          <w:tcPr>
            <w:tcW w:w="16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5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宋体" w:hAnsi="宋体" w:cs="宋体" w:eastAsia="宋体" w:hint="default"/>
                <w:sz w:val="20"/>
                <w:szCs w:val="20"/>
              </w:rPr>
              <w:t>公司所拥有的资产具有完整的所有权和管理权。</w:t>
            </w:r>
          </w:p>
        </w:tc>
      </w:tr>
      <w:tr>
        <w:trPr>
          <w:trHeight w:val="793"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100" w:right="170"/>
              <w:jc w:val="left"/>
              <w:rPr>
                <w:rFonts w:ascii="宋体" w:hAnsi="宋体" w:cs="宋体" w:eastAsia="宋体" w:hint="default"/>
                <w:sz w:val="20"/>
                <w:szCs w:val="20"/>
              </w:rPr>
            </w:pPr>
            <w:r>
              <w:rPr>
                <w:rFonts w:ascii="宋体" w:hAnsi="宋体" w:cs="宋体" w:eastAsia="宋体" w:hint="default"/>
                <w:sz w:val="20"/>
                <w:szCs w:val="20"/>
              </w:rPr>
              <w:t>机构方面独立</w:t>
            </w:r>
            <w:r>
              <w:rPr>
                <w:rFonts w:ascii="宋体" w:hAnsi="宋体" w:cs="宋体" w:eastAsia="宋体" w:hint="default"/>
                <w:w w:val="100"/>
                <w:sz w:val="20"/>
                <w:szCs w:val="20"/>
              </w:rPr>
              <w:t> </w:t>
            </w:r>
            <w:r>
              <w:rPr>
                <w:rFonts w:ascii="宋体" w:hAnsi="宋体" w:cs="宋体" w:eastAsia="宋体" w:hint="default"/>
                <w:sz w:val="20"/>
                <w:szCs w:val="20"/>
              </w:rPr>
              <w:t>完整情况</w:t>
            </w:r>
          </w:p>
        </w:tc>
        <w:tc>
          <w:tcPr>
            <w:tcW w:w="16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5824"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公司严格根据上市公司规范运作要求设立职能部门，依照独立运</w:t>
            </w:r>
          </w:p>
          <w:p>
            <w:pPr>
              <w:pStyle w:val="TableParagraph"/>
              <w:spacing w:line="260" w:lineRule="exact" w:before="25"/>
              <w:ind w:left="100" w:right="98"/>
              <w:jc w:val="left"/>
              <w:rPr>
                <w:rFonts w:ascii="宋体" w:hAnsi="宋体" w:cs="宋体" w:eastAsia="宋体" w:hint="default"/>
                <w:sz w:val="20"/>
                <w:szCs w:val="20"/>
              </w:rPr>
            </w:pPr>
            <w:r>
              <w:rPr>
                <w:rFonts w:ascii="宋体" w:hAnsi="宋体" w:cs="宋体" w:eastAsia="宋体" w:hint="default"/>
                <w:sz w:val="20"/>
                <w:szCs w:val="20"/>
              </w:rPr>
              <w:t>作原则制定各部门规章职责制度。公司有自己的办公场所，组织</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z w:val="20"/>
                <w:szCs w:val="20"/>
              </w:rPr>
              <w:t>机构独立于控股股东，不存在混合经营，合署办公的情况。</w:t>
            </w:r>
          </w:p>
        </w:tc>
      </w:tr>
      <w:tr>
        <w:trPr>
          <w:trHeight w:val="535" w:hRule="exact"/>
        </w:trPr>
        <w:tc>
          <w:tcPr>
            <w:tcW w:w="1489"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财务方面独立</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完整情况</w:t>
            </w:r>
          </w:p>
        </w:tc>
        <w:tc>
          <w:tcPr>
            <w:tcW w:w="16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0"/>
              <w:jc w:val="center"/>
              <w:rPr>
                <w:rFonts w:ascii="宋体" w:hAnsi="宋体" w:cs="宋体" w:eastAsia="宋体" w:hint="default"/>
                <w:sz w:val="20"/>
                <w:szCs w:val="20"/>
              </w:rPr>
            </w:pPr>
            <w:r>
              <w:rPr>
                <w:rFonts w:ascii="宋体" w:hAnsi="宋体" w:cs="宋体" w:eastAsia="宋体" w:hint="default"/>
                <w:w w:val="100"/>
                <w:sz w:val="20"/>
                <w:szCs w:val="20"/>
              </w:rPr>
              <w:t>是</w:t>
            </w:r>
          </w:p>
        </w:tc>
        <w:tc>
          <w:tcPr>
            <w:tcW w:w="5824"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公司已设立独立的财务部门，严格按照相关法规要求独立进行会</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计核算和财务管理。</w:t>
            </w:r>
          </w:p>
        </w:tc>
      </w:tr>
    </w:tbl>
    <w:p>
      <w:pPr>
        <w:spacing w:after="0" w:line="260" w:lineRule="exact"/>
        <w:jc w:val="left"/>
        <w:rPr>
          <w:rFonts w:ascii="宋体" w:hAnsi="宋体" w:cs="宋体" w:eastAsia="宋体" w:hint="default"/>
          <w:sz w:val="20"/>
          <w:szCs w:val="20"/>
        </w:rPr>
        <w:sectPr>
          <w:pgSz w:w="11910" w:h="16840"/>
          <w:pgMar w:header="587" w:footer="774" w:top="960" w:bottom="960" w:left="980" w:right="1060"/>
        </w:sectPr>
      </w:pPr>
    </w:p>
    <w:p>
      <w:pPr>
        <w:spacing w:line="240" w:lineRule="auto" w:before="6"/>
        <w:rPr>
          <w:rFonts w:ascii="宋体" w:hAnsi="宋体" w:cs="宋体" w:eastAsia="宋体" w:hint="default"/>
          <w:sz w:val="12"/>
          <w:szCs w:val="12"/>
        </w:rPr>
      </w:pPr>
    </w:p>
    <w:p>
      <w:pPr>
        <w:pStyle w:val="BodyText"/>
        <w:spacing w:line="240" w:lineRule="auto" w:before="31"/>
        <w:ind w:left="105" w:right="3260"/>
        <w:jc w:val="left"/>
      </w:pPr>
      <w:r>
        <w:rPr/>
        <w:t>（四）公司内部控制制度的建立健全情况</w:t>
      </w:r>
    </w:p>
    <w:p>
      <w:pPr>
        <w:spacing w:line="240" w:lineRule="auto" w:before="1"/>
        <w:rPr>
          <w:rFonts w:ascii="宋体" w:hAnsi="宋体" w:cs="宋体" w:eastAsia="宋体" w:hint="default"/>
          <w:sz w:val="20"/>
          <w:szCs w:val="20"/>
        </w:rPr>
      </w:pPr>
    </w:p>
    <w:tbl>
      <w:tblPr>
        <w:tblW w:w="0" w:type="auto"/>
        <w:jc w:val="left"/>
        <w:tblInd w:w="599" w:type="dxa"/>
        <w:tblLayout w:type="fixed"/>
        <w:tblCellMar>
          <w:top w:w="0" w:type="dxa"/>
          <w:left w:w="0" w:type="dxa"/>
          <w:bottom w:w="0" w:type="dxa"/>
          <w:right w:w="0" w:type="dxa"/>
        </w:tblCellMar>
        <w:tblLook w:val="01E0"/>
      </w:tblPr>
      <w:tblGrid>
        <w:gridCol w:w="1307"/>
        <w:gridCol w:w="7672"/>
      </w:tblGrid>
      <w:tr>
        <w:trPr>
          <w:trHeight w:val="241" w:hRule="exact"/>
        </w:trPr>
        <w:tc>
          <w:tcPr>
            <w:tcW w:w="1307" w:type="dxa"/>
            <w:tcBorders>
              <w:top w:val="single" w:sz="4" w:space="0" w:color="000000"/>
              <w:left w:val="single" w:sz="4" w:space="0" w:color="000000"/>
              <w:bottom w:val="nil" w:sz="6" w:space="0" w:color="auto"/>
              <w:right w:val="single" w:sz="4" w:space="0" w:color="000000"/>
            </w:tcBorders>
          </w:tcPr>
          <w:p>
            <w:pPr/>
          </w:p>
        </w:tc>
        <w:tc>
          <w:tcPr>
            <w:tcW w:w="7672" w:type="dxa"/>
            <w:tcBorders>
              <w:top w:val="single" w:sz="4" w:space="0" w:color="000000"/>
              <w:left w:val="single" w:sz="4" w:space="0" w:color="000000"/>
              <w:bottom w:val="nil" w:sz="6" w:space="0" w:color="auto"/>
              <w:right w:val="single" w:sz="4" w:space="0" w:color="000000"/>
            </w:tcBorders>
          </w:tcPr>
          <w:p>
            <w:pPr>
              <w:pStyle w:val="TableParagraph"/>
              <w:spacing w:line="222" w:lineRule="exact"/>
              <w:ind w:left="103" w:right="-2"/>
              <w:jc w:val="left"/>
              <w:rPr>
                <w:rFonts w:ascii="宋体" w:hAnsi="宋体" w:cs="宋体" w:eastAsia="宋体" w:hint="default"/>
                <w:sz w:val="21"/>
                <w:szCs w:val="21"/>
              </w:rPr>
            </w:pPr>
            <w:r>
              <w:rPr>
                <w:rFonts w:ascii="宋体" w:hAnsi="宋体" w:cs="宋体" w:eastAsia="宋体" w:hint="default"/>
                <w:sz w:val="21"/>
                <w:szCs w:val="21"/>
              </w:rPr>
              <w:t>公司已根据《公司法</w:t>
            </w:r>
            <w:r>
              <w:rPr>
                <w:rFonts w:ascii="宋体" w:hAnsi="宋体" w:cs="宋体" w:eastAsia="宋体" w:hint="default"/>
                <w:spacing w:val="-105"/>
                <w:sz w:val="21"/>
                <w:szCs w:val="21"/>
              </w:rPr>
              <w:t>》</w:t>
            </w:r>
            <w:r>
              <w:rPr>
                <w:rFonts w:ascii="宋体" w:hAnsi="宋体" w:cs="宋体" w:eastAsia="宋体" w:hint="default"/>
                <w:spacing w:val="-106"/>
                <w:sz w:val="21"/>
                <w:szCs w:val="21"/>
              </w:rPr>
              <w:t>、</w:t>
            </w:r>
            <w:r>
              <w:rPr>
                <w:rFonts w:ascii="宋体" w:hAnsi="宋体" w:cs="宋体" w:eastAsia="宋体" w:hint="default"/>
                <w:sz w:val="21"/>
                <w:szCs w:val="21"/>
              </w:rPr>
              <w:t>《证券法》和《上市公司内部控制指引》等法律法规要求，</w:t>
            </w:r>
          </w:p>
        </w:tc>
      </w:tr>
      <w:tr>
        <w:trPr>
          <w:trHeight w:val="245"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选择</w:t>
            </w:r>
            <w:r>
              <w:rPr>
                <w:rFonts w:ascii="宋体" w:hAnsi="宋体" w:cs="宋体" w:eastAsia="宋体" w:hint="default"/>
                <w:spacing w:val="-47"/>
                <w:sz w:val="21"/>
                <w:szCs w:val="21"/>
              </w:rPr>
              <w:t> </w:t>
            </w:r>
            <w:r>
              <w:rPr>
                <w:rFonts w:ascii="Arial" w:hAnsi="Arial" w:cs="Arial" w:eastAsia="Arial" w:hint="default"/>
                <w:sz w:val="21"/>
                <w:szCs w:val="21"/>
              </w:rPr>
              <w:t>COSO</w:t>
            </w:r>
            <w:r>
              <w:rPr>
                <w:rFonts w:ascii="Arial" w:hAnsi="Arial" w:cs="Arial" w:eastAsia="Arial" w:hint="default"/>
                <w:spacing w:val="-2"/>
                <w:sz w:val="21"/>
                <w:szCs w:val="21"/>
              </w:rPr>
              <w:t> </w:t>
            </w:r>
            <w:r>
              <w:rPr>
                <w:rFonts w:ascii="宋体" w:hAnsi="宋体" w:cs="宋体" w:eastAsia="宋体" w:hint="default"/>
                <w:sz w:val="21"/>
                <w:szCs w:val="21"/>
              </w:rPr>
              <w:t>控制框架，围绕合理保证企业经营管理合法合规、资产安全、财务报</w:t>
            </w:r>
          </w:p>
        </w:tc>
      </w:tr>
      <w:tr>
        <w:trPr>
          <w:trHeight w:val="235" w:hRule="exact"/>
        </w:trPr>
        <w:tc>
          <w:tcPr>
            <w:tcW w:w="1307"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21"/>
                <w:szCs w:val="21"/>
              </w:rPr>
            </w:pPr>
            <w:r>
              <w:rPr>
                <w:rFonts w:ascii="宋体" w:hAnsi="宋体" w:cs="宋体" w:eastAsia="宋体" w:hint="default"/>
                <w:sz w:val="21"/>
                <w:szCs w:val="21"/>
              </w:rPr>
              <w:t>内部控制建</w:t>
            </w: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告及相关信息真实完整，提高经营效率和效果，促进企业实现发展战略的内部控制</w:t>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设的总体方</w:t>
            </w: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目标，设立了由董事会、内控管理委员会、综合管理和专业管理相结合，涵盖全公</w:t>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案</w:t>
            </w: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司范围的内控管理组织体系。在公司各项规章制度基础上，以风险管理为导向，建</w:t>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立适应公司组织架构、业务发展和经营管理需要及变化、涵盖公司层面及流程层面</w:t>
            </w:r>
          </w:p>
        </w:tc>
      </w:tr>
      <w:tr>
        <w:trPr>
          <w:trHeight w:val="409" w:hRule="exact"/>
        </w:trPr>
        <w:tc>
          <w:tcPr>
            <w:tcW w:w="1307" w:type="dxa"/>
            <w:tcBorders>
              <w:top w:val="nil" w:sz="6" w:space="0" w:color="auto"/>
              <w:left w:val="single" w:sz="4" w:space="0" w:color="000000"/>
              <w:bottom w:val="single" w:sz="4" w:space="0" w:color="000000"/>
              <w:right w:val="single" w:sz="4" w:space="0" w:color="000000"/>
            </w:tcBorders>
          </w:tcPr>
          <w:p>
            <w:pPr/>
          </w:p>
        </w:tc>
        <w:tc>
          <w:tcPr>
            <w:tcW w:w="7672" w:type="dxa"/>
            <w:tcBorders>
              <w:top w:val="nil" w:sz="6" w:space="0" w:color="auto"/>
              <w:left w:val="single" w:sz="4" w:space="0" w:color="000000"/>
              <w:bottom w:val="single" w:sz="4" w:space="0" w:color="000000"/>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的内部控制规范。</w:t>
            </w:r>
          </w:p>
        </w:tc>
      </w:tr>
      <w:tr>
        <w:trPr>
          <w:trHeight w:val="241" w:hRule="exact"/>
        </w:trPr>
        <w:tc>
          <w:tcPr>
            <w:tcW w:w="1307" w:type="dxa"/>
            <w:tcBorders>
              <w:top w:val="single" w:sz="4" w:space="0" w:color="000000"/>
              <w:left w:val="single" w:sz="4" w:space="0" w:color="000000"/>
              <w:bottom w:val="nil" w:sz="6" w:space="0" w:color="auto"/>
              <w:right w:val="single" w:sz="4" w:space="0" w:color="000000"/>
            </w:tcBorders>
          </w:tcPr>
          <w:p>
            <w:pPr/>
          </w:p>
        </w:tc>
        <w:tc>
          <w:tcPr>
            <w:tcW w:w="7672" w:type="dxa"/>
            <w:tcBorders>
              <w:top w:val="single" w:sz="4" w:space="0" w:color="000000"/>
              <w:left w:val="single" w:sz="4" w:space="0" w:color="000000"/>
              <w:bottom w:val="nil" w:sz="6" w:space="0" w:color="auto"/>
              <w:right w:val="single" w:sz="4" w:space="0" w:color="000000"/>
            </w:tcBorders>
          </w:tcPr>
          <w:p>
            <w:pPr>
              <w:pStyle w:val="TableParagraph"/>
              <w:spacing w:line="222"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公司颁布并实施了涵盖公司层面及流程层面、涉及各项主要业务、覆盖各级公司的</w:t>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内部控制制</w:t>
            </w: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中国联通内控规范</w:t>
            </w:r>
            <w:r>
              <w:rPr>
                <w:rFonts w:ascii="宋体" w:hAnsi="宋体" w:cs="宋体" w:eastAsia="宋体" w:hint="default"/>
                <w:spacing w:val="-27"/>
                <w:sz w:val="21"/>
                <w:szCs w:val="21"/>
              </w:rPr>
              <w:t>，</w:t>
            </w:r>
            <w:r>
              <w:rPr>
                <w:rFonts w:ascii="宋体" w:hAnsi="宋体" w:cs="宋体" w:eastAsia="宋体" w:hint="default"/>
                <w:sz w:val="21"/>
                <w:szCs w:val="21"/>
              </w:rPr>
              <w:t>包</w:t>
            </w:r>
            <w:r>
              <w:rPr>
                <w:rFonts w:ascii="宋体" w:hAnsi="宋体" w:cs="宋体" w:eastAsia="宋体" w:hint="default"/>
                <w:spacing w:val="-27"/>
                <w:sz w:val="21"/>
                <w:szCs w:val="21"/>
              </w:rPr>
              <w:t>括</w:t>
            </w:r>
            <w:r>
              <w:rPr>
                <w:rFonts w:ascii="宋体" w:hAnsi="宋体" w:cs="宋体" w:eastAsia="宋体" w:hint="default"/>
                <w:sz w:val="21"/>
                <w:szCs w:val="21"/>
              </w:rPr>
              <w:t>《公司章程</w:t>
            </w:r>
            <w:r>
              <w:rPr>
                <w:rFonts w:ascii="宋体" w:hAnsi="宋体" w:cs="宋体" w:eastAsia="宋体" w:hint="default"/>
                <w:spacing w:val="-105"/>
                <w:sz w:val="21"/>
                <w:szCs w:val="21"/>
              </w:rPr>
              <w:t>》</w:t>
            </w:r>
            <w:r>
              <w:rPr>
                <w:rFonts w:ascii="宋体" w:hAnsi="宋体" w:cs="宋体" w:eastAsia="宋体" w:hint="default"/>
                <w:spacing w:val="-131"/>
                <w:sz w:val="21"/>
                <w:szCs w:val="21"/>
              </w:rPr>
              <w:t>、</w:t>
            </w:r>
            <w:r>
              <w:rPr>
                <w:rFonts w:ascii="宋体" w:hAnsi="宋体" w:cs="宋体" w:eastAsia="宋体" w:hint="default"/>
                <w:sz w:val="21"/>
                <w:szCs w:val="21"/>
              </w:rPr>
              <w:t>《股</w:t>
            </w:r>
            <w:r>
              <w:rPr>
                <w:rFonts w:ascii="宋体" w:hAnsi="宋体" w:cs="宋体" w:eastAsia="宋体" w:hint="default"/>
                <w:spacing w:val="-2"/>
                <w:sz w:val="21"/>
                <w:szCs w:val="21"/>
              </w:rPr>
              <w:t>东</w:t>
            </w:r>
            <w:r>
              <w:rPr>
                <w:rFonts w:ascii="宋体" w:hAnsi="宋体" w:cs="宋体" w:eastAsia="宋体" w:hint="default"/>
                <w:sz w:val="21"/>
                <w:szCs w:val="21"/>
              </w:rPr>
              <w:t>大会议事规则</w:t>
            </w:r>
            <w:r>
              <w:rPr>
                <w:rFonts w:ascii="宋体" w:hAnsi="宋体" w:cs="宋体" w:eastAsia="宋体" w:hint="default"/>
                <w:spacing w:val="-105"/>
                <w:sz w:val="21"/>
                <w:szCs w:val="21"/>
              </w:rPr>
              <w:t>》</w:t>
            </w:r>
            <w:r>
              <w:rPr>
                <w:rFonts w:ascii="宋体" w:hAnsi="宋体" w:cs="宋体" w:eastAsia="宋体" w:hint="default"/>
                <w:spacing w:val="-131"/>
                <w:sz w:val="21"/>
                <w:szCs w:val="21"/>
              </w:rPr>
              <w:t>、</w:t>
            </w:r>
            <w:r>
              <w:rPr>
                <w:rFonts w:ascii="宋体" w:hAnsi="宋体" w:cs="宋体" w:eastAsia="宋体" w:hint="default"/>
                <w:sz w:val="21"/>
                <w:szCs w:val="21"/>
              </w:rPr>
              <w:t>《信</w:t>
            </w:r>
            <w:r>
              <w:rPr>
                <w:rFonts w:ascii="宋体" w:hAnsi="宋体" w:cs="宋体" w:eastAsia="宋体" w:hint="default"/>
                <w:spacing w:val="-2"/>
                <w:sz w:val="21"/>
                <w:szCs w:val="21"/>
              </w:rPr>
              <w:t>息</w:t>
            </w:r>
            <w:r>
              <w:rPr>
                <w:rFonts w:ascii="宋体" w:hAnsi="宋体" w:cs="宋体" w:eastAsia="宋体" w:hint="default"/>
                <w:sz w:val="21"/>
                <w:szCs w:val="21"/>
              </w:rPr>
              <w:t>披露事务管理</w:t>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度建立健全</w:t>
            </w: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2"/>
              <w:jc w:val="left"/>
              <w:rPr>
                <w:rFonts w:ascii="宋体" w:hAnsi="宋体" w:cs="宋体" w:eastAsia="宋体" w:hint="default"/>
                <w:sz w:val="21"/>
                <w:szCs w:val="21"/>
              </w:rPr>
            </w:pPr>
            <w:r>
              <w:rPr>
                <w:rFonts w:ascii="宋体" w:hAnsi="宋体" w:cs="宋体" w:eastAsia="宋体" w:hint="default"/>
                <w:sz w:val="21"/>
                <w:szCs w:val="21"/>
              </w:rPr>
              <w:t>实施办法</w:t>
            </w:r>
            <w:r>
              <w:rPr>
                <w:rFonts w:ascii="宋体" w:hAnsi="宋体" w:cs="宋体" w:eastAsia="宋体" w:hint="default"/>
                <w:spacing w:val="-105"/>
                <w:sz w:val="21"/>
                <w:szCs w:val="21"/>
              </w:rPr>
              <w:t>》</w:t>
            </w:r>
            <w:r>
              <w:rPr>
                <w:rFonts w:ascii="宋体" w:hAnsi="宋体" w:cs="宋体" w:eastAsia="宋体" w:hint="default"/>
                <w:spacing w:val="-106"/>
                <w:sz w:val="21"/>
                <w:szCs w:val="21"/>
              </w:rPr>
              <w:t>、</w:t>
            </w:r>
            <w:r>
              <w:rPr>
                <w:rFonts w:ascii="宋体" w:hAnsi="宋体" w:cs="宋体" w:eastAsia="宋体" w:hint="default"/>
                <w:sz w:val="21"/>
                <w:szCs w:val="21"/>
              </w:rPr>
              <w:t>《员工职业道德守则</w:t>
            </w:r>
            <w:r>
              <w:rPr>
                <w:rFonts w:ascii="宋体" w:hAnsi="宋体" w:cs="宋体" w:eastAsia="宋体" w:hint="default"/>
                <w:spacing w:val="-105"/>
                <w:sz w:val="21"/>
                <w:szCs w:val="21"/>
              </w:rPr>
              <w:t>》</w:t>
            </w:r>
            <w:r>
              <w:rPr>
                <w:rFonts w:ascii="宋体" w:hAnsi="宋体" w:cs="宋体" w:eastAsia="宋体" w:hint="default"/>
                <w:spacing w:val="-106"/>
                <w:sz w:val="21"/>
                <w:szCs w:val="21"/>
              </w:rPr>
              <w:t>、</w:t>
            </w:r>
            <w:r>
              <w:rPr>
                <w:rFonts w:ascii="宋体" w:hAnsi="宋体" w:cs="宋体" w:eastAsia="宋体" w:hint="default"/>
                <w:sz w:val="21"/>
                <w:szCs w:val="21"/>
              </w:rPr>
              <w:t>《会计政策与会计估计</w:t>
            </w:r>
            <w:r>
              <w:rPr>
                <w:rFonts w:ascii="宋体" w:hAnsi="宋体" w:cs="宋体" w:eastAsia="宋体" w:hint="default"/>
                <w:spacing w:val="-106"/>
                <w:sz w:val="21"/>
                <w:szCs w:val="21"/>
              </w:rPr>
              <w:t>》</w:t>
            </w:r>
            <w:r>
              <w:rPr>
                <w:rFonts w:ascii="宋体" w:hAnsi="宋体" w:cs="宋体" w:eastAsia="宋体" w:hint="default"/>
                <w:spacing w:val="-105"/>
                <w:sz w:val="21"/>
                <w:szCs w:val="21"/>
              </w:rPr>
              <w:t>、</w:t>
            </w:r>
            <w:r>
              <w:rPr>
                <w:rFonts w:ascii="宋体" w:hAnsi="宋体" w:cs="宋体" w:eastAsia="宋体" w:hint="default"/>
                <w:sz w:val="21"/>
                <w:szCs w:val="21"/>
              </w:rPr>
              <w:t>《关联交</w:t>
            </w:r>
            <w:r>
              <w:rPr>
                <w:rFonts w:ascii="宋体" w:hAnsi="宋体" w:cs="宋体" w:eastAsia="宋体" w:hint="default"/>
                <w:spacing w:val="-2"/>
                <w:sz w:val="21"/>
                <w:szCs w:val="21"/>
              </w:rPr>
              <w:t>易</w:t>
            </w:r>
            <w:r>
              <w:rPr>
                <w:rFonts w:ascii="宋体" w:hAnsi="宋体" w:cs="宋体" w:eastAsia="宋体" w:hint="default"/>
                <w:sz w:val="21"/>
                <w:szCs w:val="21"/>
              </w:rPr>
              <w:t>管理办</w:t>
            </w:r>
            <w:r>
              <w:rPr>
                <w:rFonts w:ascii="宋体" w:hAnsi="宋体" w:cs="宋体" w:eastAsia="宋体" w:hint="default"/>
                <w:spacing w:val="1"/>
                <w:sz w:val="21"/>
                <w:szCs w:val="21"/>
              </w:rPr>
              <w:t>法</w:t>
            </w:r>
            <w:r>
              <w:rPr>
                <w:rFonts w:ascii="宋体" w:hAnsi="宋体" w:cs="宋体" w:eastAsia="宋体" w:hint="default"/>
                <w:sz w:val="21"/>
                <w:szCs w:val="21"/>
              </w:rPr>
              <w:t>》</w:t>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的工作计划</w:t>
            </w: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等重要公司层面内控制度，涵盖建设、运营、资金资产安全、财务信息管理等各主</w:t>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及其实施情</w:t>
            </w: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要经营环节的流程层面内部控制措施</w:t>
            </w:r>
            <w:r>
              <w:rPr>
                <w:rFonts w:ascii="宋体" w:hAnsi="宋体" w:cs="宋体" w:eastAsia="宋体" w:hint="default"/>
                <w:spacing w:val="-105"/>
                <w:sz w:val="21"/>
                <w:szCs w:val="21"/>
              </w:rPr>
              <w:t>，</w:t>
            </w:r>
            <w:r>
              <w:rPr>
                <w:rFonts w:ascii="宋体" w:hAnsi="宋体" w:cs="宋体" w:eastAsia="宋体" w:hint="default"/>
                <w:sz w:val="21"/>
                <w:szCs w:val="21"/>
              </w:rPr>
              <w:t>建立了</w:t>
            </w:r>
            <w:r>
              <w:rPr>
                <w:rFonts w:ascii="宋体" w:hAnsi="宋体" w:cs="宋体" w:eastAsia="宋体" w:hint="default"/>
                <w:spacing w:val="-2"/>
                <w:sz w:val="21"/>
                <w:szCs w:val="21"/>
              </w:rPr>
              <w:t>总</w:t>
            </w:r>
            <w:r>
              <w:rPr>
                <w:rFonts w:ascii="宋体" w:hAnsi="宋体" w:cs="宋体" w:eastAsia="宋体" w:hint="default"/>
                <w:sz w:val="21"/>
                <w:szCs w:val="21"/>
              </w:rPr>
              <w:t>体控制与业务应用相结合的信息化</w:t>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况</w:t>
            </w: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内控支撑体系。公司通过多种形式的内控培训和宣传，增强全员法律遵循、诚信及</w:t>
            </w:r>
          </w:p>
        </w:tc>
      </w:tr>
      <w:tr>
        <w:trPr>
          <w:trHeight w:val="408" w:hRule="exact"/>
        </w:trPr>
        <w:tc>
          <w:tcPr>
            <w:tcW w:w="1307" w:type="dxa"/>
            <w:tcBorders>
              <w:top w:val="nil" w:sz="6" w:space="0" w:color="auto"/>
              <w:left w:val="single" w:sz="4" w:space="0" w:color="000000"/>
              <w:bottom w:val="single" w:sz="4" w:space="0" w:color="000000"/>
              <w:right w:val="single" w:sz="4" w:space="0" w:color="000000"/>
            </w:tcBorders>
          </w:tcPr>
          <w:p>
            <w:pPr/>
          </w:p>
        </w:tc>
        <w:tc>
          <w:tcPr>
            <w:tcW w:w="7672" w:type="dxa"/>
            <w:tcBorders>
              <w:top w:val="nil" w:sz="6" w:space="0" w:color="auto"/>
              <w:left w:val="single" w:sz="4" w:space="0" w:color="000000"/>
              <w:bottom w:val="single" w:sz="4" w:space="0" w:color="000000"/>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内部控制管理理念，积极培育良好的内控管理文化。</w:t>
            </w:r>
          </w:p>
        </w:tc>
      </w:tr>
      <w:tr>
        <w:trPr>
          <w:trHeight w:val="241" w:hRule="exact"/>
        </w:trPr>
        <w:tc>
          <w:tcPr>
            <w:tcW w:w="1307" w:type="dxa"/>
            <w:tcBorders>
              <w:top w:val="single" w:sz="4" w:space="0" w:color="000000"/>
              <w:left w:val="single" w:sz="4" w:space="0" w:color="000000"/>
              <w:bottom w:val="nil" w:sz="6" w:space="0" w:color="auto"/>
              <w:right w:val="single" w:sz="4" w:space="0" w:color="000000"/>
            </w:tcBorders>
          </w:tcPr>
          <w:p>
            <w:pPr/>
          </w:p>
        </w:tc>
        <w:tc>
          <w:tcPr>
            <w:tcW w:w="7672" w:type="dxa"/>
            <w:tcBorders>
              <w:top w:val="single" w:sz="4" w:space="0" w:color="000000"/>
              <w:left w:val="single" w:sz="4" w:space="0" w:color="000000"/>
              <w:bottom w:val="nil" w:sz="6" w:space="0" w:color="auto"/>
              <w:right w:val="single" w:sz="4" w:space="0" w:color="000000"/>
            </w:tcBorders>
          </w:tcPr>
          <w:p>
            <w:pPr>
              <w:pStyle w:val="TableParagraph"/>
              <w:spacing w:line="222"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公司设立独立的审计机构，配备专职审计人员，负责内部控制的检查监督及其他审</w:t>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2"/>
              <w:jc w:val="left"/>
              <w:rPr>
                <w:rFonts w:ascii="宋体" w:hAnsi="宋体" w:cs="宋体" w:eastAsia="宋体" w:hint="default"/>
                <w:sz w:val="21"/>
                <w:szCs w:val="21"/>
              </w:rPr>
            </w:pPr>
            <w:r>
              <w:rPr>
                <w:rFonts w:ascii="宋体" w:hAnsi="宋体" w:cs="宋体" w:eastAsia="宋体" w:hint="default"/>
                <w:spacing w:val="-6"/>
                <w:sz w:val="21"/>
                <w:szCs w:val="21"/>
              </w:rPr>
              <w:t>计工作。在公司集团总部设立审计部，下设内控审计处、经营审计处、工程审计处、</w:t>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信息系统审计处及综合管理处等五个处室；审计机构实行审计派驻制管理体制，对</w:t>
            </w:r>
          </w:p>
        </w:tc>
      </w:tr>
      <w:tr>
        <w:trPr>
          <w:trHeight w:val="960" w:hRule="exact"/>
        </w:trPr>
        <w:tc>
          <w:tcPr>
            <w:tcW w:w="1307" w:type="dxa"/>
            <w:tcBorders>
              <w:top w:val="nil" w:sz="6" w:space="0" w:color="auto"/>
              <w:left w:val="single" w:sz="4" w:space="0" w:color="000000"/>
              <w:bottom w:val="nil" w:sz="6" w:space="0" w:color="auto"/>
              <w:right w:val="single" w:sz="4" w:space="0" w:color="000000"/>
            </w:tcBorders>
          </w:tcPr>
          <w:p>
            <w:pPr>
              <w:pStyle w:val="TableParagraph"/>
              <w:spacing w:line="240" w:lineRule="exact" w:before="123"/>
              <w:ind w:left="103" w:right="143"/>
              <w:jc w:val="both"/>
              <w:rPr>
                <w:rFonts w:ascii="宋体" w:hAnsi="宋体" w:cs="宋体" w:eastAsia="宋体" w:hint="default"/>
                <w:sz w:val="21"/>
                <w:szCs w:val="21"/>
              </w:rPr>
            </w:pPr>
            <w:r>
              <w:rPr>
                <w:rFonts w:ascii="宋体" w:hAnsi="宋体" w:cs="宋体" w:eastAsia="宋体" w:hint="default"/>
                <w:sz w:val="21"/>
                <w:szCs w:val="21"/>
              </w:rPr>
              <w:t>内部控制检 查监督部门 的设置情况</w:t>
            </w: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40" w:lineRule="exact" w:before="3"/>
              <w:ind w:left="104" w:right="-4" w:hanging="1"/>
              <w:jc w:val="left"/>
              <w:rPr>
                <w:rFonts w:ascii="宋体" w:hAnsi="宋体" w:cs="宋体" w:eastAsia="宋体" w:hint="default"/>
                <w:sz w:val="21"/>
                <w:szCs w:val="21"/>
              </w:rPr>
            </w:pPr>
            <w:r>
              <w:rPr>
                <w:rFonts w:ascii="宋体" w:hAnsi="宋体" w:cs="宋体" w:eastAsia="宋体" w:hint="default"/>
                <w:spacing w:val="-6"/>
                <w:sz w:val="21"/>
                <w:szCs w:val="21"/>
              </w:rPr>
              <w:t>所属分、子公司派驻审计分部；审计分部的负责人由集团公司统一考核任免。目前，</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公司审计人员为 </w:t>
            </w:r>
            <w:r>
              <w:rPr>
                <w:rFonts w:ascii="Arial" w:hAnsi="Arial" w:cs="Arial" w:eastAsia="Arial" w:hint="default"/>
                <w:sz w:val="21"/>
                <w:szCs w:val="21"/>
              </w:rPr>
              <w:t>650  </w:t>
            </w:r>
            <w:r>
              <w:rPr>
                <w:rFonts w:ascii="宋体" w:hAnsi="宋体" w:cs="宋体" w:eastAsia="宋体" w:hint="default"/>
                <w:sz w:val="21"/>
                <w:szCs w:val="21"/>
              </w:rPr>
              <w:t>人，其中：集团审计部 </w:t>
            </w:r>
            <w:r>
              <w:rPr>
                <w:rFonts w:ascii="Arial" w:hAnsi="Arial" w:cs="Arial" w:eastAsia="Arial" w:hint="default"/>
                <w:sz w:val="21"/>
                <w:szCs w:val="21"/>
              </w:rPr>
              <w:t>23</w:t>
            </w:r>
            <w:r>
              <w:rPr>
                <w:rFonts w:ascii="Arial" w:hAnsi="Arial" w:cs="Arial" w:eastAsia="Arial" w:hint="default"/>
                <w:spacing w:val="-28"/>
                <w:sz w:val="21"/>
                <w:szCs w:val="21"/>
              </w:rPr>
              <w:t> </w:t>
            </w:r>
            <w:r>
              <w:rPr>
                <w:rFonts w:ascii="宋体" w:hAnsi="宋体" w:cs="宋体" w:eastAsia="宋体" w:hint="default"/>
                <w:sz w:val="21"/>
                <w:szCs w:val="21"/>
              </w:rPr>
              <w:t>人，各分公司及子公司审计分部</w:t>
            </w:r>
          </w:p>
          <w:p>
            <w:pPr>
              <w:pStyle w:val="TableParagraph"/>
              <w:spacing w:line="240" w:lineRule="exact"/>
              <w:ind w:left="104" w:right="97"/>
              <w:jc w:val="left"/>
              <w:rPr>
                <w:rFonts w:ascii="宋体" w:hAnsi="宋体" w:cs="宋体" w:eastAsia="宋体" w:hint="default"/>
                <w:sz w:val="21"/>
                <w:szCs w:val="21"/>
              </w:rPr>
            </w:pPr>
            <w:r>
              <w:rPr>
                <w:rFonts w:ascii="Arial" w:hAnsi="Arial" w:cs="Arial" w:eastAsia="Arial" w:hint="default"/>
                <w:sz w:val="21"/>
                <w:szCs w:val="21"/>
              </w:rPr>
              <w:t>627</w:t>
            </w:r>
            <w:r>
              <w:rPr>
                <w:rFonts w:ascii="Arial" w:hAnsi="Arial" w:cs="Arial" w:eastAsia="Arial" w:hint="default"/>
                <w:spacing w:val="36"/>
                <w:sz w:val="21"/>
                <w:szCs w:val="21"/>
              </w:rPr>
              <w:t> </w:t>
            </w:r>
            <w:r>
              <w:rPr>
                <w:rFonts w:ascii="宋体" w:hAnsi="宋体" w:cs="宋体" w:eastAsia="宋体" w:hint="default"/>
                <w:sz w:val="21"/>
                <w:szCs w:val="21"/>
              </w:rPr>
              <w:t>人。集团审计部负责人定期或不定期向公司董事会下设的审计委员会报告工</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pacing w:val="-3"/>
                <w:sz w:val="21"/>
                <w:szCs w:val="21"/>
              </w:rPr>
              <w:t>作，审计委员会审议批准年度审计工作计划并考核审计工作的完成情况。集团审计</w:t>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4" w:right="0"/>
              <w:jc w:val="left"/>
              <w:rPr>
                <w:rFonts w:ascii="宋体" w:hAnsi="宋体" w:cs="宋体" w:eastAsia="宋体" w:hint="default"/>
                <w:sz w:val="21"/>
                <w:szCs w:val="21"/>
              </w:rPr>
            </w:pPr>
            <w:r>
              <w:rPr>
                <w:rFonts w:ascii="宋体" w:hAnsi="宋体" w:cs="宋体" w:eastAsia="宋体" w:hint="default"/>
                <w:sz w:val="21"/>
                <w:szCs w:val="21"/>
              </w:rPr>
              <w:t>部对派驻审计机构工作质量及效果进行定期考核</w:t>
            </w:r>
            <w:r>
              <w:rPr>
                <w:rFonts w:ascii="宋体" w:hAnsi="宋体" w:cs="宋体" w:eastAsia="宋体" w:hint="default"/>
                <w:spacing w:val="-105"/>
                <w:sz w:val="21"/>
                <w:szCs w:val="21"/>
              </w:rPr>
              <w:t>，</w:t>
            </w:r>
            <w:r>
              <w:rPr>
                <w:rFonts w:ascii="宋体" w:hAnsi="宋体" w:cs="宋体" w:eastAsia="宋体" w:hint="default"/>
                <w:sz w:val="21"/>
                <w:szCs w:val="21"/>
              </w:rPr>
              <w:t>对审计</w:t>
            </w:r>
            <w:r>
              <w:rPr>
                <w:rFonts w:ascii="宋体" w:hAnsi="宋体" w:cs="宋体" w:eastAsia="宋体" w:hint="default"/>
                <w:spacing w:val="-2"/>
                <w:sz w:val="21"/>
                <w:szCs w:val="21"/>
              </w:rPr>
              <w:t>分</w:t>
            </w:r>
            <w:r>
              <w:rPr>
                <w:rFonts w:ascii="宋体" w:hAnsi="宋体" w:cs="宋体" w:eastAsia="宋体" w:hint="default"/>
                <w:sz w:val="21"/>
                <w:szCs w:val="21"/>
              </w:rPr>
              <w:t>部负责人履职情况进行</w:t>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4" w:right="0"/>
              <w:jc w:val="left"/>
              <w:rPr>
                <w:rFonts w:ascii="宋体" w:hAnsi="宋体" w:cs="宋体" w:eastAsia="宋体" w:hint="default"/>
                <w:sz w:val="21"/>
                <w:szCs w:val="21"/>
              </w:rPr>
            </w:pPr>
            <w:r>
              <w:rPr>
                <w:rFonts w:ascii="宋体" w:hAnsi="宋体" w:cs="宋体" w:eastAsia="宋体" w:hint="default"/>
                <w:spacing w:val="-3"/>
                <w:sz w:val="21"/>
                <w:szCs w:val="21"/>
              </w:rPr>
              <w:t>年度考核，从机制上增强了审计工作的相对独立性、权威性和有效性，以促进其更</w:t>
            </w:r>
          </w:p>
        </w:tc>
      </w:tr>
      <w:tr>
        <w:trPr>
          <w:trHeight w:val="409" w:hRule="exact"/>
        </w:trPr>
        <w:tc>
          <w:tcPr>
            <w:tcW w:w="1307" w:type="dxa"/>
            <w:tcBorders>
              <w:top w:val="nil" w:sz="6" w:space="0" w:color="auto"/>
              <w:left w:val="single" w:sz="4" w:space="0" w:color="000000"/>
              <w:bottom w:val="single" w:sz="4" w:space="0" w:color="000000"/>
              <w:right w:val="single" w:sz="4" w:space="0" w:color="000000"/>
            </w:tcBorders>
          </w:tcPr>
          <w:p>
            <w:pPr/>
          </w:p>
        </w:tc>
        <w:tc>
          <w:tcPr>
            <w:tcW w:w="7672" w:type="dxa"/>
            <w:tcBorders>
              <w:top w:val="nil" w:sz="6" w:space="0" w:color="auto"/>
              <w:left w:val="single" w:sz="4" w:space="0" w:color="000000"/>
              <w:bottom w:val="single" w:sz="4" w:space="0" w:color="000000"/>
              <w:right w:val="single" w:sz="4" w:space="0" w:color="000000"/>
            </w:tcBorders>
          </w:tcPr>
          <w:p>
            <w:pPr>
              <w:pStyle w:val="TableParagraph"/>
              <w:spacing w:line="225" w:lineRule="exact"/>
              <w:ind w:left="104" w:right="0"/>
              <w:jc w:val="left"/>
              <w:rPr>
                <w:rFonts w:ascii="宋体" w:hAnsi="宋体" w:cs="宋体" w:eastAsia="宋体" w:hint="default"/>
                <w:sz w:val="21"/>
                <w:szCs w:val="21"/>
              </w:rPr>
            </w:pPr>
            <w:r>
              <w:rPr>
                <w:rFonts w:ascii="宋体" w:hAnsi="宋体" w:cs="宋体" w:eastAsia="宋体" w:hint="default"/>
                <w:sz w:val="21"/>
                <w:szCs w:val="21"/>
              </w:rPr>
              <w:t>好地围绕经营管理过程的规范有效履行好监督及服务职能。</w:t>
            </w:r>
          </w:p>
        </w:tc>
      </w:tr>
      <w:tr>
        <w:trPr>
          <w:trHeight w:val="326" w:hRule="exact"/>
        </w:trPr>
        <w:tc>
          <w:tcPr>
            <w:tcW w:w="1307" w:type="dxa"/>
            <w:tcBorders>
              <w:top w:val="single" w:sz="4" w:space="0" w:color="000000"/>
              <w:left w:val="single" w:sz="4" w:space="0" w:color="000000"/>
              <w:bottom w:val="nil" w:sz="6" w:space="0" w:color="auto"/>
              <w:right w:val="single" w:sz="4" w:space="0" w:color="000000"/>
            </w:tcBorders>
          </w:tcPr>
          <w:p>
            <w:pPr/>
          </w:p>
        </w:tc>
        <w:tc>
          <w:tcPr>
            <w:tcW w:w="7672" w:type="dxa"/>
            <w:tcBorders>
              <w:top w:val="single" w:sz="4" w:space="0" w:color="000000"/>
              <w:left w:val="single" w:sz="4" w:space="0" w:color="000000"/>
              <w:bottom w:val="nil" w:sz="6" w:space="0" w:color="auto"/>
              <w:right w:val="single" w:sz="4" w:space="0" w:color="000000"/>
            </w:tcBorders>
          </w:tcPr>
          <w:p>
            <w:pPr>
              <w:pStyle w:val="TableParagraph"/>
              <w:spacing w:line="237"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Arial" w:hAnsi="Arial" w:cs="Arial" w:eastAsia="Arial" w:hint="default"/>
                <w:sz w:val="21"/>
                <w:szCs w:val="21"/>
              </w:rPr>
              <w:t>1</w:t>
            </w:r>
            <w:r>
              <w:rPr>
                <w:rFonts w:ascii="宋体" w:hAnsi="宋体" w:cs="宋体" w:eastAsia="宋体" w:hint="default"/>
                <w:sz w:val="21"/>
                <w:szCs w:val="21"/>
              </w:rPr>
              <w:t>）</w:t>
            </w:r>
            <w:r>
              <w:rPr>
                <w:rFonts w:ascii="Arial" w:hAnsi="Arial" w:cs="Arial" w:eastAsia="Arial" w:hint="default"/>
                <w:sz w:val="21"/>
                <w:szCs w:val="21"/>
              </w:rPr>
              <w:t>2009</w:t>
            </w:r>
            <w:r>
              <w:rPr>
                <w:rFonts w:ascii="Arial" w:hAnsi="Arial" w:cs="Arial" w:eastAsia="Arial" w:hint="default"/>
                <w:spacing w:val="-10"/>
                <w:sz w:val="21"/>
                <w:szCs w:val="21"/>
              </w:rPr>
              <w:t> </w:t>
            </w:r>
            <w:r>
              <w:rPr>
                <w:rFonts w:ascii="宋体" w:hAnsi="宋体" w:cs="宋体" w:eastAsia="宋体" w:hint="default"/>
                <w:sz w:val="21"/>
                <w:szCs w:val="21"/>
              </w:rPr>
              <w:t>年度内控评审开展情况</w:t>
            </w:r>
          </w:p>
        </w:tc>
      </w:tr>
      <w:tr>
        <w:trPr>
          <w:trHeight w:val="315"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03" w:right="0"/>
              <w:jc w:val="left"/>
              <w:rPr>
                <w:rFonts w:ascii="宋体" w:hAnsi="宋体" w:cs="宋体" w:eastAsia="宋体" w:hint="default"/>
                <w:sz w:val="21"/>
                <w:szCs w:val="21"/>
              </w:rPr>
            </w:pPr>
            <w:r>
              <w:rPr>
                <w:rFonts w:ascii="宋体" w:hAnsi="宋体" w:cs="宋体" w:eastAsia="宋体" w:hint="default"/>
                <w:spacing w:val="-3"/>
                <w:sz w:val="21"/>
                <w:szCs w:val="21"/>
              </w:rPr>
              <w:t>围绕合理保证公司经营管理合法合规、资产安全及财务信息真实，提高经营效率和</w:t>
            </w:r>
          </w:p>
        </w:tc>
      </w:tr>
      <w:tr>
        <w:trPr>
          <w:trHeight w:val="245"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效果，为促进企业实现战略及经营发展目标，</w:t>
            </w:r>
            <w:r>
              <w:rPr>
                <w:rFonts w:ascii="Arial" w:hAnsi="Arial" w:cs="Arial" w:eastAsia="Arial" w:hint="default"/>
                <w:sz w:val="21"/>
                <w:szCs w:val="21"/>
              </w:rPr>
              <w:t>2009</w:t>
            </w:r>
            <w:r>
              <w:rPr>
                <w:rFonts w:ascii="Arial" w:hAnsi="Arial" w:cs="Arial" w:eastAsia="Arial" w:hint="default"/>
                <w:spacing w:val="-5"/>
                <w:sz w:val="21"/>
                <w:szCs w:val="21"/>
              </w:rPr>
              <w:t> </w:t>
            </w:r>
            <w:r>
              <w:rPr>
                <w:rFonts w:ascii="宋体" w:hAnsi="宋体" w:cs="宋体" w:eastAsia="宋体" w:hint="default"/>
                <w:sz w:val="21"/>
                <w:szCs w:val="21"/>
              </w:rPr>
              <w:t>年公司通过采取专题评审以及</w:t>
            </w:r>
          </w:p>
        </w:tc>
      </w:tr>
      <w:tr>
        <w:trPr>
          <w:trHeight w:val="235"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21"/>
                <w:szCs w:val="21"/>
              </w:rPr>
            </w:pPr>
            <w:r>
              <w:rPr>
                <w:rFonts w:ascii="宋体" w:hAnsi="宋体" w:cs="宋体" w:eastAsia="宋体" w:hint="default"/>
                <w:sz w:val="21"/>
                <w:szCs w:val="21"/>
              </w:rPr>
              <w:t>配合中期及年度财务报告披露的定期评审相结合的方式</w:t>
            </w:r>
            <w:r>
              <w:rPr>
                <w:rFonts w:ascii="宋体" w:hAnsi="宋体" w:cs="宋体" w:eastAsia="宋体" w:hint="default"/>
                <w:spacing w:val="-105"/>
                <w:sz w:val="21"/>
                <w:szCs w:val="21"/>
              </w:rPr>
              <w:t>，</w:t>
            </w:r>
            <w:r>
              <w:rPr>
                <w:rFonts w:ascii="宋体" w:hAnsi="宋体" w:cs="宋体" w:eastAsia="宋体" w:hint="default"/>
                <w:spacing w:val="-2"/>
                <w:sz w:val="21"/>
                <w:szCs w:val="21"/>
              </w:rPr>
              <w:t>持</w:t>
            </w:r>
            <w:r>
              <w:rPr>
                <w:rFonts w:ascii="宋体" w:hAnsi="宋体" w:cs="宋体" w:eastAsia="宋体" w:hint="default"/>
                <w:sz w:val="21"/>
                <w:szCs w:val="21"/>
              </w:rPr>
              <w:t>续组织开展了七次内控</w:t>
            </w:r>
          </w:p>
        </w:tc>
      </w:tr>
      <w:tr>
        <w:trPr>
          <w:trHeight w:val="320"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评审。</w:t>
            </w:r>
          </w:p>
        </w:tc>
      </w:tr>
      <w:tr>
        <w:trPr>
          <w:trHeight w:val="320"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pacing w:val="2"/>
                <w:sz w:val="21"/>
                <w:szCs w:val="21"/>
              </w:rPr>
              <w:t>内控评审重点围绕确保业务发生源头到财务报告生成全过程重要经营管理行为的</w:t>
            </w:r>
            <w:r>
              <w:rPr>
                <w:rFonts w:ascii="宋体" w:hAnsi="宋体" w:cs="宋体" w:eastAsia="宋体" w:hint="default"/>
                <w:sz w:val="21"/>
                <w:szCs w:val="21"/>
              </w:rPr>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规范有效，关注了收入确认真实准确、会业核对责任落实、成本费用规范管理、资</w:t>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金资产安全完整、资本性支出严格管控等控制活动的规范有效；关注了信息系统的</w:t>
            </w:r>
          </w:p>
        </w:tc>
      </w:tr>
      <w:tr>
        <w:trPr>
          <w:trHeight w:val="1280" w:hRule="exact"/>
        </w:trPr>
        <w:tc>
          <w:tcPr>
            <w:tcW w:w="1307"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exact"/>
              <w:ind w:left="103" w:right="143"/>
              <w:jc w:val="both"/>
              <w:rPr>
                <w:rFonts w:ascii="宋体" w:hAnsi="宋体" w:cs="宋体" w:eastAsia="宋体" w:hint="default"/>
                <w:sz w:val="21"/>
                <w:szCs w:val="21"/>
              </w:rPr>
            </w:pPr>
            <w:r>
              <w:rPr>
                <w:rFonts w:ascii="宋体" w:hAnsi="宋体" w:cs="宋体" w:eastAsia="宋体" w:hint="default"/>
                <w:sz w:val="21"/>
                <w:szCs w:val="21"/>
              </w:rPr>
              <w:t>内部监督和 内部控制自 我评价工作 开展情况</w:t>
            </w: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40" w:lineRule="exact" w:before="3"/>
              <w:ind w:left="103" w:right="100" w:hanging="1"/>
              <w:jc w:val="both"/>
              <w:rPr>
                <w:rFonts w:ascii="宋体" w:hAnsi="宋体" w:cs="宋体" w:eastAsia="宋体" w:hint="default"/>
                <w:sz w:val="21"/>
                <w:szCs w:val="21"/>
              </w:rPr>
            </w:pPr>
            <w:r>
              <w:rPr>
                <w:rFonts w:ascii="宋体" w:hAnsi="宋体" w:cs="宋体" w:eastAsia="宋体" w:hint="default"/>
                <w:spacing w:val="-3"/>
                <w:sz w:val="21"/>
                <w:szCs w:val="21"/>
              </w:rPr>
              <w:t>安全管控及对业务支撑的有效性；关注了不相容岗位分离等控制环境的有效性。内</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3"/>
                <w:sz w:val="21"/>
                <w:szCs w:val="21"/>
              </w:rPr>
              <w:t>控评审通过深入业务流程，运用抽查、盘点、重新执行及分析复核等实质性评审的</w:t>
            </w:r>
            <w:r>
              <w:rPr>
                <w:rFonts w:ascii="宋体" w:hAnsi="宋体" w:cs="宋体" w:eastAsia="宋体" w:hint="default"/>
                <w:sz w:val="21"/>
                <w:szCs w:val="21"/>
              </w:rPr>
              <w:t> </w:t>
            </w:r>
            <w:r>
              <w:rPr>
                <w:rFonts w:ascii="宋体" w:hAnsi="宋体" w:cs="宋体" w:eastAsia="宋体" w:hint="default"/>
                <w:spacing w:val="-3"/>
                <w:sz w:val="21"/>
                <w:szCs w:val="21"/>
              </w:rPr>
              <w:t>方法，监督并验证了关键控制的有效执行情况。对于持续内控评审中发现的有关问</w:t>
            </w:r>
            <w:r>
              <w:rPr>
                <w:rFonts w:ascii="宋体" w:hAnsi="宋体" w:cs="宋体" w:eastAsia="宋体" w:hint="default"/>
                <w:sz w:val="21"/>
                <w:szCs w:val="21"/>
              </w:rPr>
              <w:t> </w:t>
            </w:r>
            <w:r>
              <w:rPr>
                <w:rFonts w:ascii="宋体" w:hAnsi="宋体" w:cs="宋体" w:eastAsia="宋体" w:hint="default"/>
                <w:spacing w:val="-3"/>
                <w:sz w:val="21"/>
                <w:szCs w:val="21"/>
              </w:rPr>
              <w:t>题，要求有关单位和责任人限期完成整改，并通过后续内控评审验证整改及执行效</w:t>
            </w:r>
            <w:r>
              <w:rPr>
                <w:rFonts w:ascii="宋体" w:hAnsi="宋体" w:cs="宋体" w:eastAsia="宋体" w:hint="default"/>
                <w:sz w:val="21"/>
                <w:szCs w:val="21"/>
              </w:rPr>
              <w:t> 果。</w:t>
            </w:r>
          </w:p>
        </w:tc>
      </w:tr>
      <w:tr>
        <w:trPr>
          <w:trHeight w:val="320"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4" w:right="0"/>
              <w:jc w:val="left"/>
              <w:rPr>
                <w:rFonts w:ascii="宋体" w:hAnsi="宋体" w:cs="宋体" w:eastAsia="宋体" w:hint="default"/>
                <w:sz w:val="21"/>
                <w:szCs w:val="21"/>
              </w:rPr>
            </w:pPr>
            <w:r>
              <w:rPr>
                <w:rFonts w:ascii="宋体" w:hAnsi="宋体" w:cs="宋体" w:eastAsia="宋体" w:hint="default"/>
                <w:spacing w:val="-3"/>
                <w:sz w:val="21"/>
                <w:szCs w:val="21"/>
              </w:rPr>
              <w:t>通过内控评审，公司将内部控制要求融入到日常经营管理工作中，将关键控制措施</w:t>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4" w:right="0"/>
              <w:jc w:val="left"/>
              <w:rPr>
                <w:rFonts w:ascii="宋体" w:hAnsi="宋体" w:cs="宋体" w:eastAsia="宋体" w:hint="default"/>
                <w:sz w:val="21"/>
                <w:szCs w:val="21"/>
              </w:rPr>
            </w:pPr>
            <w:r>
              <w:rPr>
                <w:rFonts w:ascii="宋体" w:hAnsi="宋体" w:cs="宋体" w:eastAsia="宋体" w:hint="default"/>
                <w:spacing w:val="-3"/>
                <w:sz w:val="21"/>
                <w:szCs w:val="21"/>
              </w:rPr>
              <w:t>责任逐级落实到各级公司的具体责任部门、岗位和责任人，内控有效性的评价也纳</w:t>
            </w:r>
          </w:p>
        </w:tc>
      </w:tr>
      <w:tr>
        <w:trPr>
          <w:trHeight w:val="320"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4" w:right="-3"/>
              <w:jc w:val="left"/>
              <w:rPr>
                <w:rFonts w:ascii="宋体" w:hAnsi="宋体" w:cs="宋体" w:eastAsia="宋体" w:hint="default"/>
                <w:sz w:val="21"/>
                <w:szCs w:val="21"/>
              </w:rPr>
            </w:pPr>
            <w:r>
              <w:rPr>
                <w:rFonts w:ascii="宋体" w:hAnsi="宋体" w:cs="宋体" w:eastAsia="宋体" w:hint="default"/>
                <w:sz w:val="21"/>
                <w:szCs w:val="21"/>
              </w:rPr>
              <w:t>入年度省级分公司的绩效考核成绩中，从而推动了内控长效机制责任体系的建立。</w:t>
            </w:r>
          </w:p>
        </w:tc>
      </w:tr>
      <w:tr>
        <w:trPr>
          <w:trHeight w:val="405"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4" w:right="0"/>
              <w:jc w:val="left"/>
              <w:rPr>
                <w:rFonts w:ascii="宋体" w:hAnsi="宋体" w:cs="宋体" w:eastAsia="宋体" w:hint="default"/>
                <w:sz w:val="21"/>
                <w:szCs w:val="21"/>
              </w:rPr>
            </w:pPr>
            <w:r>
              <w:rPr>
                <w:rFonts w:ascii="宋体" w:hAnsi="宋体" w:cs="宋体" w:eastAsia="宋体" w:hint="default"/>
                <w:sz w:val="21"/>
                <w:szCs w:val="21"/>
              </w:rPr>
              <w:t>（</w:t>
            </w:r>
            <w:r>
              <w:rPr>
                <w:rFonts w:ascii="Arial" w:hAnsi="Arial" w:cs="Arial" w:eastAsia="Arial" w:hint="default"/>
                <w:sz w:val="21"/>
                <w:szCs w:val="21"/>
              </w:rPr>
              <w:t>2</w:t>
            </w:r>
            <w:r>
              <w:rPr>
                <w:rFonts w:ascii="宋体" w:hAnsi="宋体" w:cs="宋体" w:eastAsia="宋体" w:hint="default"/>
                <w:sz w:val="21"/>
                <w:szCs w:val="21"/>
              </w:rPr>
              <w:t>）</w:t>
            </w:r>
            <w:r>
              <w:rPr>
                <w:rFonts w:ascii="Arial" w:hAnsi="Arial" w:cs="Arial" w:eastAsia="Arial" w:hint="default"/>
                <w:sz w:val="21"/>
                <w:szCs w:val="21"/>
              </w:rPr>
              <w:t>2009</w:t>
            </w:r>
            <w:r>
              <w:rPr>
                <w:rFonts w:ascii="Arial" w:hAnsi="Arial" w:cs="Arial" w:eastAsia="Arial" w:hint="default"/>
                <w:spacing w:val="-10"/>
                <w:sz w:val="21"/>
                <w:szCs w:val="21"/>
              </w:rPr>
              <w:t> </w:t>
            </w:r>
            <w:r>
              <w:rPr>
                <w:rFonts w:ascii="宋体" w:hAnsi="宋体" w:cs="宋体" w:eastAsia="宋体" w:hint="default"/>
                <w:sz w:val="21"/>
                <w:szCs w:val="21"/>
              </w:rPr>
              <w:t>年度内控评价开展情况</w:t>
            </w:r>
          </w:p>
        </w:tc>
      </w:tr>
      <w:tr>
        <w:trPr>
          <w:trHeight w:val="320"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104" w:right="0"/>
              <w:jc w:val="left"/>
              <w:rPr>
                <w:rFonts w:ascii="宋体" w:hAnsi="宋体" w:cs="宋体" w:eastAsia="宋体" w:hint="default"/>
                <w:sz w:val="21"/>
                <w:szCs w:val="21"/>
              </w:rPr>
            </w:pPr>
            <w:r>
              <w:rPr>
                <w:rFonts w:ascii="宋体" w:hAnsi="宋体" w:cs="宋体" w:eastAsia="宋体" w:hint="default"/>
                <w:sz w:val="21"/>
                <w:szCs w:val="21"/>
              </w:rPr>
              <w:t>公司根据财政部、审计署、证监会等五部委于</w:t>
            </w:r>
            <w:r>
              <w:rPr>
                <w:rFonts w:ascii="宋体" w:hAnsi="宋体" w:cs="宋体" w:eastAsia="宋体" w:hint="default"/>
                <w:spacing w:val="-78"/>
                <w:sz w:val="21"/>
                <w:szCs w:val="21"/>
              </w:rPr>
              <w:t> </w:t>
            </w:r>
            <w:r>
              <w:rPr>
                <w:rFonts w:ascii="Arial" w:hAnsi="Arial" w:cs="Arial" w:eastAsia="Arial" w:hint="default"/>
                <w:sz w:val="21"/>
                <w:szCs w:val="21"/>
              </w:rPr>
              <w:t>2008</w:t>
            </w:r>
            <w:r>
              <w:rPr>
                <w:rFonts w:ascii="Arial" w:hAnsi="Arial" w:cs="Arial" w:eastAsia="Arial" w:hint="default"/>
                <w:spacing w:val="-32"/>
                <w:sz w:val="21"/>
                <w:szCs w:val="21"/>
              </w:rPr>
              <w:t> </w:t>
            </w:r>
            <w:r>
              <w:rPr>
                <w:rFonts w:ascii="宋体" w:hAnsi="宋体" w:cs="宋体" w:eastAsia="宋体" w:hint="default"/>
                <w:sz w:val="21"/>
                <w:szCs w:val="21"/>
              </w:rPr>
              <w:t>年下发的《企业内部控制基本</w:t>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4" w:right="0"/>
              <w:jc w:val="left"/>
              <w:rPr>
                <w:rFonts w:ascii="宋体" w:hAnsi="宋体" w:cs="宋体" w:eastAsia="宋体" w:hint="default"/>
                <w:sz w:val="21"/>
                <w:szCs w:val="21"/>
              </w:rPr>
            </w:pPr>
            <w:r>
              <w:rPr>
                <w:rFonts w:ascii="宋体" w:hAnsi="宋体" w:cs="宋体" w:eastAsia="宋体" w:hint="default"/>
                <w:sz w:val="21"/>
                <w:szCs w:val="21"/>
              </w:rPr>
              <w:t>规范》的规定，参照</w:t>
            </w:r>
            <w:r>
              <w:rPr>
                <w:rFonts w:ascii="宋体" w:hAnsi="宋体" w:cs="宋体" w:eastAsia="宋体" w:hint="default"/>
                <w:spacing w:val="-48"/>
                <w:sz w:val="21"/>
                <w:szCs w:val="21"/>
              </w:rPr>
              <w:t> </w:t>
            </w:r>
            <w:r>
              <w:rPr>
                <w:rFonts w:ascii="Arial" w:hAnsi="Arial" w:cs="Arial" w:eastAsia="Arial" w:hint="default"/>
                <w:sz w:val="21"/>
                <w:szCs w:val="21"/>
              </w:rPr>
              <w:t>COSO</w:t>
            </w:r>
            <w:r>
              <w:rPr>
                <w:rFonts w:ascii="Arial" w:hAnsi="Arial" w:cs="Arial" w:eastAsia="Arial" w:hint="default"/>
                <w:spacing w:val="-2"/>
                <w:sz w:val="21"/>
                <w:szCs w:val="21"/>
              </w:rPr>
              <w:t> </w:t>
            </w:r>
            <w:r>
              <w:rPr>
                <w:rFonts w:ascii="宋体" w:hAnsi="宋体" w:cs="宋体" w:eastAsia="宋体" w:hint="default"/>
                <w:sz w:val="21"/>
                <w:szCs w:val="21"/>
              </w:rPr>
              <w:t>内部控制框架，对围绕生成财务报告各业务环节的关</w:t>
            </w:r>
          </w:p>
        </w:tc>
      </w:tr>
      <w:tr>
        <w:trPr>
          <w:trHeight w:val="235" w:hRule="exact"/>
        </w:trPr>
        <w:tc>
          <w:tcPr>
            <w:tcW w:w="1307" w:type="dxa"/>
            <w:tcBorders>
              <w:top w:val="nil" w:sz="6" w:space="0" w:color="auto"/>
              <w:left w:val="single" w:sz="4" w:space="0" w:color="000000"/>
              <w:bottom w:val="nil" w:sz="6" w:space="0" w:color="auto"/>
              <w:right w:val="single" w:sz="4" w:space="0" w:color="000000"/>
            </w:tcBorders>
          </w:tcPr>
          <w:p>
            <w:pP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4" w:right="0"/>
              <w:jc w:val="left"/>
              <w:rPr>
                <w:rFonts w:ascii="宋体" w:hAnsi="宋体" w:cs="宋体" w:eastAsia="宋体" w:hint="default"/>
                <w:sz w:val="21"/>
                <w:szCs w:val="21"/>
              </w:rPr>
            </w:pPr>
            <w:r>
              <w:rPr>
                <w:rFonts w:ascii="宋体" w:hAnsi="宋体" w:cs="宋体" w:eastAsia="宋体" w:hint="default"/>
                <w:spacing w:val="-3"/>
                <w:sz w:val="21"/>
                <w:szCs w:val="21"/>
              </w:rPr>
              <w:t>键控制，从控制环境、风险评估、控制活动、控制监督及信息系统控制等五方面全</w:t>
            </w:r>
          </w:p>
        </w:tc>
      </w:tr>
      <w:tr>
        <w:trPr>
          <w:trHeight w:val="407" w:hRule="exact"/>
        </w:trPr>
        <w:tc>
          <w:tcPr>
            <w:tcW w:w="1307" w:type="dxa"/>
            <w:tcBorders>
              <w:top w:val="nil" w:sz="6" w:space="0" w:color="auto"/>
              <w:left w:val="single" w:sz="4" w:space="0" w:color="000000"/>
              <w:bottom w:val="single" w:sz="4" w:space="0" w:color="000000"/>
              <w:right w:val="single" w:sz="4" w:space="0" w:color="000000"/>
            </w:tcBorders>
          </w:tcPr>
          <w:p>
            <w:pPr/>
          </w:p>
        </w:tc>
        <w:tc>
          <w:tcPr>
            <w:tcW w:w="7672" w:type="dxa"/>
            <w:tcBorders>
              <w:top w:val="nil" w:sz="6" w:space="0" w:color="auto"/>
              <w:left w:val="single" w:sz="4" w:space="0" w:color="000000"/>
              <w:bottom w:val="single" w:sz="4" w:space="0" w:color="000000"/>
              <w:right w:val="single" w:sz="4" w:space="0" w:color="000000"/>
            </w:tcBorders>
          </w:tcPr>
          <w:p>
            <w:pPr>
              <w:pStyle w:val="TableParagraph"/>
              <w:spacing w:line="225" w:lineRule="exact"/>
              <w:ind w:left="104" w:right="0"/>
              <w:jc w:val="left"/>
              <w:rPr>
                <w:rFonts w:ascii="宋体" w:hAnsi="宋体" w:cs="宋体" w:eastAsia="宋体" w:hint="default"/>
                <w:sz w:val="21"/>
                <w:szCs w:val="21"/>
              </w:rPr>
            </w:pPr>
            <w:r>
              <w:rPr>
                <w:rFonts w:ascii="宋体" w:hAnsi="宋体" w:cs="宋体" w:eastAsia="宋体" w:hint="default"/>
                <w:sz w:val="21"/>
                <w:szCs w:val="21"/>
              </w:rPr>
              <w:t>面组织内控的有效性评价，完成了内部控制的自我评估报告。</w:t>
            </w:r>
          </w:p>
        </w:tc>
      </w:tr>
      <w:tr>
        <w:trPr>
          <w:trHeight w:val="241" w:hRule="exact"/>
        </w:trPr>
        <w:tc>
          <w:tcPr>
            <w:tcW w:w="1307" w:type="dxa"/>
            <w:tcBorders>
              <w:top w:val="single" w:sz="4" w:space="0" w:color="000000"/>
              <w:left w:val="single" w:sz="4" w:space="0" w:color="000000"/>
              <w:bottom w:val="nil" w:sz="6" w:space="0" w:color="auto"/>
              <w:right w:val="single" w:sz="4" w:space="0" w:color="000000"/>
            </w:tcBorders>
          </w:tcPr>
          <w:p>
            <w:pPr>
              <w:pStyle w:val="TableParagraph"/>
              <w:spacing w:line="222"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董事会对内</w:t>
            </w:r>
          </w:p>
        </w:tc>
        <w:tc>
          <w:tcPr>
            <w:tcW w:w="7672" w:type="dxa"/>
            <w:tcBorders>
              <w:top w:val="single" w:sz="4" w:space="0" w:color="000000"/>
              <w:left w:val="single" w:sz="4" w:space="0" w:color="000000"/>
              <w:bottom w:val="nil" w:sz="6" w:space="0" w:color="auto"/>
              <w:right w:val="single" w:sz="4" w:space="0" w:color="000000"/>
            </w:tcBorders>
          </w:tcPr>
          <w:p>
            <w:pPr>
              <w:pStyle w:val="TableParagraph"/>
              <w:spacing w:line="222"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公司董事会每年审查公司内部控制的自我评价报告，并提出健全和完善的意见；通</w:t>
            </w:r>
          </w:p>
        </w:tc>
      </w:tr>
      <w:tr>
        <w:trPr>
          <w:trHeight w:val="240" w:hRule="exact"/>
        </w:trPr>
        <w:tc>
          <w:tcPr>
            <w:tcW w:w="1307"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部控制有关</w:t>
            </w:r>
          </w:p>
        </w:tc>
        <w:tc>
          <w:tcPr>
            <w:tcW w:w="767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过下设的独立董事会和审计委员会</w:t>
            </w:r>
            <w:r>
              <w:rPr>
                <w:rFonts w:ascii="宋体" w:hAnsi="宋体" w:cs="宋体" w:eastAsia="宋体" w:hint="default"/>
                <w:spacing w:val="-106"/>
                <w:sz w:val="21"/>
                <w:szCs w:val="21"/>
              </w:rPr>
              <w:t>，</w:t>
            </w:r>
            <w:r>
              <w:rPr>
                <w:rFonts w:ascii="宋体" w:hAnsi="宋体" w:cs="宋体" w:eastAsia="宋体" w:hint="default"/>
                <w:sz w:val="21"/>
                <w:szCs w:val="21"/>
              </w:rPr>
              <w:t>定期听取公司内控制度执行情况和审计中发现</w:t>
            </w:r>
          </w:p>
        </w:tc>
      </w:tr>
      <w:tr>
        <w:trPr>
          <w:trHeight w:val="409" w:hRule="exact"/>
        </w:trPr>
        <w:tc>
          <w:tcPr>
            <w:tcW w:w="1307" w:type="dxa"/>
            <w:tcBorders>
              <w:top w:val="nil" w:sz="6" w:space="0" w:color="auto"/>
              <w:left w:val="single" w:sz="4" w:space="0" w:color="000000"/>
              <w:bottom w:val="single" w:sz="4" w:space="0" w:color="000000"/>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工作的安排</w:t>
            </w:r>
          </w:p>
        </w:tc>
        <w:tc>
          <w:tcPr>
            <w:tcW w:w="7672" w:type="dxa"/>
            <w:tcBorders>
              <w:top w:val="nil" w:sz="6" w:space="0" w:color="auto"/>
              <w:left w:val="single" w:sz="4" w:space="0" w:color="000000"/>
              <w:bottom w:val="single" w:sz="4" w:space="0" w:color="000000"/>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的问题的汇报，并提出相关意见，相关部门均会制定改进措施，并予以落实。</w:t>
            </w:r>
          </w:p>
        </w:tc>
      </w:tr>
    </w:tbl>
    <w:p>
      <w:pPr>
        <w:spacing w:after="0" w:line="225" w:lineRule="exact"/>
        <w:jc w:val="left"/>
        <w:rPr>
          <w:rFonts w:ascii="宋体" w:hAnsi="宋体" w:cs="宋体" w:eastAsia="宋体" w:hint="default"/>
          <w:sz w:val="21"/>
          <w:szCs w:val="21"/>
        </w:rPr>
        <w:sectPr>
          <w:pgSz w:w="11910" w:h="16840"/>
          <w:pgMar w:header="587" w:footer="774" w:top="960" w:bottom="960" w:left="1000" w:right="114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tbl>
      <w:tblPr>
        <w:tblW w:w="0" w:type="auto"/>
        <w:jc w:val="left"/>
        <w:tblInd w:w="591" w:type="dxa"/>
        <w:tblLayout w:type="fixed"/>
        <w:tblCellMar>
          <w:top w:w="0" w:type="dxa"/>
          <w:left w:w="0" w:type="dxa"/>
          <w:bottom w:w="0" w:type="dxa"/>
          <w:right w:w="0" w:type="dxa"/>
        </w:tblCellMar>
        <w:tblLook w:val="01E0"/>
      </w:tblPr>
      <w:tblGrid>
        <w:gridCol w:w="1502"/>
        <w:gridCol w:w="7484"/>
      </w:tblGrid>
      <w:tr>
        <w:trPr>
          <w:trHeight w:val="241" w:hRule="exact"/>
        </w:trPr>
        <w:tc>
          <w:tcPr>
            <w:tcW w:w="1502" w:type="dxa"/>
            <w:tcBorders>
              <w:top w:val="single" w:sz="4" w:space="0" w:color="000000"/>
              <w:left w:val="single" w:sz="4" w:space="0" w:color="000000"/>
              <w:bottom w:val="nil" w:sz="6" w:space="0" w:color="auto"/>
              <w:right w:val="single" w:sz="4" w:space="0" w:color="000000"/>
            </w:tcBorders>
          </w:tcPr>
          <w:p>
            <w:pPr/>
          </w:p>
        </w:tc>
        <w:tc>
          <w:tcPr>
            <w:tcW w:w="7484" w:type="dxa"/>
            <w:tcBorders>
              <w:top w:val="single" w:sz="4" w:space="0" w:color="000000"/>
              <w:left w:val="single" w:sz="4" w:space="0" w:color="000000"/>
              <w:bottom w:val="nil" w:sz="6" w:space="0" w:color="auto"/>
              <w:right w:val="single" w:sz="4" w:space="0" w:color="000000"/>
            </w:tcBorders>
          </w:tcPr>
          <w:p>
            <w:pPr>
              <w:pStyle w:val="TableParagraph"/>
              <w:spacing w:line="222" w:lineRule="exact"/>
              <w:ind w:left="103" w:right="0"/>
              <w:jc w:val="left"/>
              <w:rPr>
                <w:rFonts w:ascii="宋体" w:hAnsi="宋体" w:cs="宋体" w:eastAsia="宋体" w:hint="default"/>
                <w:sz w:val="21"/>
                <w:szCs w:val="21"/>
              </w:rPr>
            </w:pPr>
            <w:bookmarkStart w:name="_bookmark5" w:id="7"/>
            <w:bookmarkEnd w:id="7"/>
            <w:r>
              <w:rPr/>
            </w:r>
            <w:r>
              <w:rPr>
                <w:rFonts w:ascii="宋体" w:hAnsi="宋体" w:cs="宋体" w:eastAsia="宋体" w:hint="default"/>
                <w:spacing w:val="-3"/>
                <w:sz w:val="21"/>
                <w:szCs w:val="21"/>
              </w:rPr>
              <w:t>根据公司内部控制规范整合优化的总体安排，对财务核算相关的资本性支出、收</w:t>
            </w:r>
          </w:p>
        </w:tc>
      </w:tr>
      <w:tr>
        <w:trPr>
          <w:trHeight w:val="240" w:hRule="exact"/>
        </w:trPr>
        <w:tc>
          <w:tcPr>
            <w:tcW w:w="1502" w:type="dxa"/>
            <w:tcBorders>
              <w:top w:val="nil" w:sz="6" w:space="0" w:color="auto"/>
              <w:left w:val="single" w:sz="4" w:space="0" w:color="000000"/>
              <w:bottom w:val="nil" w:sz="6" w:space="0" w:color="auto"/>
              <w:right w:val="single" w:sz="4" w:space="0" w:color="000000"/>
            </w:tcBorders>
          </w:tcPr>
          <w:p>
            <w:pPr/>
          </w:p>
        </w:tc>
        <w:tc>
          <w:tcPr>
            <w:tcW w:w="7484"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入、成本费用、资金资产、财务及信息披露各流程模块中涉及财务核算的内部流</w:t>
            </w:r>
          </w:p>
        </w:tc>
      </w:tr>
      <w:tr>
        <w:trPr>
          <w:trHeight w:val="240" w:hRule="exact"/>
        </w:trPr>
        <w:tc>
          <w:tcPr>
            <w:tcW w:w="1502" w:type="dxa"/>
            <w:tcBorders>
              <w:top w:val="nil" w:sz="6" w:space="0" w:color="auto"/>
              <w:left w:val="single" w:sz="4" w:space="0" w:color="000000"/>
              <w:bottom w:val="nil" w:sz="6" w:space="0" w:color="auto"/>
              <w:right w:val="single" w:sz="4" w:space="0" w:color="000000"/>
            </w:tcBorders>
          </w:tcPr>
          <w:p>
            <w:pPr/>
          </w:p>
        </w:tc>
        <w:tc>
          <w:tcPr>
            <w:tcW w:w="7484"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程进行梳理、整合，结合公司业务状况和管理需求，关注重点风险，建立了符合</w:t>
            </w:r>
          </w:p>
        </w:tc>
      </w:tr>
      <w:tr>
        <w:trPr>
          <w:trHeight w:val="240" w:hRule="exact"/>
        </w:trPr>
        <w:tc>
          <w:tcPr>
            <w:tcW w:w="150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与财务核算相</w:t>
            </w:r>
          </w:p>
        </w:tc>
        <w:tc>
          <w:tcPr>
            <w:tcW w:w="7484"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公司业务发展和管理需求的财务专业内控制度规范；通过内控规范的推广实施将</w:t>
            </w:r>
          </w:p>
        </w:tc>
      </w:tr>
      <w:tr>
        <w:trPr>
          <w:trHeight w:val="240" w:hRule="exact"/>
        </w:trPr>
        <w:tc>
          <w:tcPr>
            <w:tcW w:w="150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关的内部控制</w:t>
            </w:r>
          </w:p>
        </w:tc>
        <w:tc>
          <w:tcPr>
            <w:tcW w:w="7484"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财务相关内控规范的关键控制措施落实到具体岗位和责任人，将内控制度融入到</w:t>
            </w:r>
          </w:p>
        </w:tc>
      </w:tr>
      <w:tr>
        <w:trPr>
          <w:trHeight w:val="240" w:hRule="exact"/>
        </w:trPr>
        <w:tc>
          <w:tcPr>
            <w:tcW w:w="150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制度的完善情</w:t>
            </w:r>
          </w:p>
        </w:tc>
        <w:tc>
          <w:tcPr>
            <w:tcW w:w="7484"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日常财务核算中。根据公司合并后的发展战略和运营管理架构，在统一公司会计</w:t>
            </w:r>
          </w:p>
        </w:tc>
      </w:tr>
      <w:tr>
        <w:trPr>
          <w:trHeight w:val="240" w:hRule="exact"/>
        </w:trPr>
        <w:tc>
          <w:tcPr>
            <w:tcW w:w="1502"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况</w:t>
            </w:r>
          </w:p>
        </w:tc>
        <w:tc>
          <w:tcPr>
            <w:tcW w:w="7484"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政策的基础上对收入管理、成本费用管理、专业核算、关联交易管理、会计报表</w:t>
            </w:r>
          </w:p>
        </w:tc>
      </w:tr>
      <w:tr>
        <w:trPr>
          <w:trHeight w:val="240" w:hRule="exact"/>
        </w:trPr>
        <w:tc>
          <w:tcPr>
            <w:tcW w:w="1502" w:type="dxa"/>
            <w:tcBorders>
              <w:top w:val="nil" w:sz="6" w:space="0" w:color="auto"/>
              <w:left w:val="single" w:sz="4" w:space="0" w:color="000000"/>
              <w:bottom w:val="nil" w:sz="6" w:space="0" w:color="auto"/>
              <w:right w:val="single" w:sz="4" w:space="0" w:color="000000"/>
            </w:tcBorders>
          </w:tcPr>
          <w:p>
            <w:pPr/>
          </w:p>
        </w:tc>
        <w:tc>
          <w:tcPr>
            <w:tcW w:w="7484"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各项财务制度和办法予以完善，建立了统一、高效、有序的财务管理体系，为提</w:t>
            </w:r>
          </w:p>
        </w:tc>
      </w:tr>
      <w:tr>
        <w:trPr>
          <w:trHeight w:val="240" w:hRule="exact"/>
        </w:trPr>
        <w:tc>
          <w:tcPr>
            <w:tcW w:w="1502" w:type="dxa"/>
            <w:tcBorders>
              <w:top w:val="nil" w:sz="6" w:space="0" w:color="auto"/>
              <w:left w:val="single" w:sz="4" w:space="0" w:color="000000"/>
              <w:bottom w:val="nil" w:sz="6" w:space="0" w:color="auto"/>
              <w:right w:val="single" w:sz="4" w:space="0" w:color="000000"/>
            </w:tcBorders>
          </w:tcPr>
          <w:p>
            <w:pPr/>
          </w:p>
        </w:tc>
        <w:tc>
          <w:tcPr>
            <w:tcW w:w="7484" w:type="dxa"/>
            <w:tcBorders>
              <w:top w:val="nil" w:sz="6" w:space="0" w:color="auto"/>
              <w:left w:val="single" w:sz="4" w:space="0" w:color="000000"/>
              <w:bottom w:val="nil" w:sz="6" w:space="0" w:color="auto"/>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升财务信息质量提供良好基础；通过财务检查、内控评审等工作，跟踪并促进各</w:t>
            </w:r>
          </w:p>
        </w:tc>
      </w:tr>
      <w:tr>
        <w:trPr>
          <w:trHeight w:val="409" w:hRule="exact"/>
        </w:trPr>
        <w:tc>
          <w:tcPr>
            <w:tcW w:w="1502" w:type="dxa"/>
            <w:tcBorders>
              <w:top w:val="nil" w:sz="6" w:space="0" w:color="auto"/>
              <w:left w:val="single" w:sz="4" w:space="0" w:color="000000"/>
              <w:bottom w:val="single" w:sz="4" w:space="0" w:color="000000"/>
              <w:right w:val="single" w:sz="4" w:space="0" w:color="000000"/>
            </w:tcBorders>
          </w:tcPr>
          <w:p>
            <w:pPr/>
          </w:p>
        </w:tc>
        <w:tc>
          <w:tcPr>
            <w:tcW w:w="7484" w:type="dxa"/>
            <w:tcBorders>
              <w:top w:val="nil" w:sz="6" w:space="0" w:color="auto"/>
              <w:left w:val="single" w:sz="4" w:space="0" w:color="000000"/>
              <w:bottom w:val="single" w:sz="4" w:space="0" w:color="000000"/>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项制度的贯彻落实，有效防范财务风险。</w:t>
            </w:r>
          </w:p>
        </w:tc>
      </w:tr>
      <w:tr>
        <w:trPr>
          <w:trHeight w:val="246" w:hRule="exact"/>
        </w:trPr>
        <w:tc>
          <w:tcPr>
            <w:tcW w:w="1502" w:type="dxa"/>
            <w:tcBorders>
              <w:top w:val="single" w:sz="4" w:space="0" w:color="000000"/>
              <w:left w:val="single" w:sz="4" w:space="0" w:color="000000"/>
              <w:bottom w:val="nil" w:sz="6" w:space="0" w:color="auto"/>
              <w:right w:val="single" w:sz="4" w:space="0" w:color="000000"/>
            </w:tcBorders>
          </w:tcPr>
          <w:p>
            <w:pPr>
              <w:pStyle w:val="TableParagraph"/>
              <w:spacing w:line="222" w:lineRule="exact"/>
              <w:ind w:left="103" w:right="0"/>
              <w:jc w:val="left"/>
              <w:rPr>
                <w:rFonts w:ascii="宋体" w:hAnsi="宋体" w:cs="宋体" w:eastAsia="宋体" w:hint="default"/>
                <w:sz w:val="21"/>
                <w:szCs w:val="21"/>
              </w:rPr>
            </w:pPr>
            <w:r>
              <w:rPr>
                <w:rFonts w:ascii="宋体" w:hAnsi="宋体" w:cs="宋体" w:eastAsia="宋体" w:hint="default"/>
                <w:sz w:val="21"/>
                <w:szCs w:val="21"/>
              </w:rPr>
              <w:t>内部控制存在</w:t>
            </w:r>
          </w:p>
        </w:tc>
        <w:tc>
          <w:tcPr>
            <w:tcW w:w="7484" w:type="dxa"/>
            <w:tcBorders>
              <w:top w:val="single" w:sz="4" w:space="0" w:color="000000"/>
              <w:left w:val="single" w:sz="4" w:space="0" w:color="000000"/>
              <w:bottom w:val="nil" w:sz="6" w:space="0" w:color="auto"/>
              <w:right w:val="single" w:sz="4" w:space="0" w:color="000000"/>
            </w:tcBorders>
          </w:tcPr>
          <w:p>
            <w:pPr>
              <w:pStyle w:val="TableParagraph"/>
              <w:spacing w:line="236"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66"/>
                <w:sz w:val="21"/>
                <w:szCs w:val="21"/>
              </w:rPr>
              <w:t> </w:t>
            </w:r>
            <w:r>
              <w:rPr>
                <w:rFonts w:ascii="Arial" w:hAnsi="Arial" w:cs="Arial" w:eastAsia="Arial" w:hint="default"/>
                <w:sz w:val="21"/>
                <w:szCs w:val="21"/>
              </w:rPr>
              <w:t>2009</w:t>
            </w:r>
            <w:r>
              <w:rPr>
                <w:rFonts w:ascii="Arial" w:hAnsi="Arial" w:cs="Arial" w:eastAsia="Arial" w:hint="default"/>
                <w:spacing w:val="-20"/>
                <w:sz w:val="21"/>
                <w:szCs w:val="21"/>
              </w:rPr>
              <w:t> </w:t>
            </w:r>
            <w:r>
              <w:rPr>
                <w:rFonts w:ascii="宋体" w:hAnsi="宋体" w:cs="宋体" w:eastAsia="宋体" w:hint="default"/>
                <w:sz w:val="21"/>
                <w:szCs w:val="21"/>
              </w:rPr>
              <w:t>年度内控评审中发现个别分公司存在的个别内控缺陷，通过财务关账</w:t>
            </w:r>
          </w:p>
        </w:tc>
      </w:tr>
      <w:tr>
        <w:trPr>
          <w:trHeight w:val="235" w:hRule="exact"/>
        </w:trPr>
        <w:tc>
          <w:tcPr>
            <w:tcW w:w="1502"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21"/>
                <w:szCs w:val="21"/>
              </w:rPr>
            </w:pPr>
            <w:r>
              <w:rPr>
                <w:rFonts w:ascii="宋体" w:hAnsi="宋体" w:cs="宋体" w:eastAsia="宋体" w:hint="default"/>
                <w:sz w:val="21"/>
                <w:szCs w:val="21"/>
              </w:rPr>
              <w:t>的缺陷及整改</w:t>
            </w:r>
          </w:p>
        </w:tc>
        <w:tc>
          <w:tcPr>
            <w:tcW w:w="7484"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21"/>
                <w:szCs w:val="21"/>
              </w:rPr>
            </w:pPr>
            <w:r>
              <w:rPr>
                <w:rFonts w:ascii="宋体" w:hAnsi="宋体" w:cs="宋体" w:eastAsia="宋体" w:hint="default"/>
                <w:spacing w:val="-3"/>
                <w:sz w:val="21"/>
                <w:szCs w:val="21"/>
              </w:rPr>
              <w:t>检查等补偿性控制措施及时得到有效控制，并在年报中已经整改，不构成对财务</w:t>
            </w:r>
          </w:p>
        </w:tc>
      </w:tr>
      <w:tr>
        <w:trPr>
          <w:trHeight w:val="409" w:hRule="exact"/>
        </w:trPr>
        <w:tc>
          <w:tcPr>
            <w:tcW w:w="1502" w:type="dxa"/>
            <w:tcBorders>
              <w:top w:val="nil" w:sz="6" w:space="0" w:color="auto"/>
              <w:left w:val="single" w:sz="4" w:space="0" w:color="000000"/>
              <w:bottom w:val="single" w:sz="4" w:space="0" w:color="000000"/>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情况</w:t>
            </w:r>
          </w:p>
        </w:tc>
        <w:tc>
          <w:tcPr>
            <w:tcW w:w="7484" w:type="dxa"/>
            <w:tcBorders>
              <w:top w:val="nil" w:sz="6" w:space="0" w:color="auto"/>
              <w:left w:val="single" w:sz="4" w:space="0" w:color="000000"/>
              <w:bottom w:val="single" w:sz="4" w:space="0" w:color="000000"/>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z w:val="21"/>
                <w:szCs w:val="21"/>
              </w:rPr>
              <w:t>报告的重大影响，未发现内部控制存在重大缺陷或实质性漏洞。</w:t>
            </w:r>
          </w:p>
        </w:tc>
      </w:tr>
    </w:tbl>
    <w:p>
      <w:pPr>
        <w:spacing w:line="240" w:lineRule="auto" w:before="11"/>
        <w:rPr>
          <w:rFonts w:ascii="宋体" w:hAnsi="宋体" w:cs="宋体" w:eastAsia="宋体" w:hint="default"/>
          <w:sz w:val="8"/>
          <w:szCs w:val="8"/>
        </w:rPr>
      </w:pPr>
    </w:p>
    <w:p>
      <w:pPr>
        <w:pStyle w:val="BodyText"/>
        <w:spacing w:line="240" w:lineRule="auto" w:before="31"/>
        <w:ind w:left="105" w:right="3260"/>
        <w:jc w:val="left"/>
      </w:pPr>
      <w:r>
        <w:rPr/>
        <w:t>（五）高级管理人员的考评及激励情况</w:t>
      </w:r>
    </w:p>
    <w:p>
      <w:pPr>
        <w:spacing w:line="240" w:lineRule="auto" w:before="0"/>
        <w:rPr>
          <w:rFonts w:ascii="宋体" w:hAnsi="宋体" w:cs="宋体" w:eastAsia="宋体" w:hint="default"/>
          <w:sz w:val="16"/>
          <w:szCs w:val="16"/>
        </w:rPr>
      </w:pPr>
    </w:p>
    <w:p>
      <w:pPr>
        <w:pStyle w:val="BodyText"/>
        <w:spacing w:line="286" w:lineRule="exact"/>
        <w:ind w:left="749" w:right="212"/>
        <w:jc w:val="both"/>
      </w:pPr>
      <w:r>
        <w:rPr/>
        <w:t>根据公司高级管理人员绩效考核办法和董事会确定的年度目标，年终通过高管人员的述职、</w:t>
      </w:r>
      <w:r>
        <w:rPr>
          <w:w w:val="99"/>
        </w:rPr>
        <w:t> </w:t>
      </w:r>
      <w:r>
        <w:rPr/>
        <w:t>公司各层面的综合评分，采用经营绩效等综合指标评价考核公司高管人员，并将高管人员的</w:t>
      </w:r>
      <w:r>
        <w:rPr>
          <w:w w:val="99"/>
        </w:rPr>
        <w:t> </w:t>
      </w:r>
      <w:r>
        <w:rPr/>
        <w:t>薪酬与考核业绩挂钩。</w:t>
      </w:r>
    </w:p>
    <w:p>
      <w:pPr>
        <w:pStyle w:val="BodyText"/>
        <w:spacing w:line="391" w:lineRule="auto" w:before="155"/>
        <w:ind w:left="749" w:right="3260" w:hanging="645"/>
        <w:jc w:val="left"/>
        <w:rPr>
          <w:rFonts w:ascii="Arial" w:hAnsi="Arial" w:cs="Arial" w:eastAsia="Arial" w:hint="default"/>
        </w:rPr>
      </w:pPr>
      <w:r>
        <w:rPr/>
        <w:t>（六）公司披露了内部控制的自我评价报告或履行社会责任的报告</w:t>
      </w:r>
      <w:r>
        <w:rPr>
          <w:w w:val="99"/>
        </w:rPr>
        <w:t> </w:t>
      </w:r>
      <w:r>
        <w:rPr/>
        <w:t>披露网址：</w:t>
      </w:r>
      <w:hyperlink r:id="rId12">
        <w:r>
          <w:rPr>
            <w:rFonts w:ascii="Arial" w:hAnsi="Arial" w:cs="Arial" w:eastAsia="Arial" w:hint="default"/>
          </w:rPr>
          <w:t>www.sse.com.cn</w:t>
        </w:r>
      </w:hyperlink>
    </w:p>
    <w:p>
      <w:pPr>
        <w:pStyle w:val="BodyText"/>
        <w:spacing w:line="424" w:lineRule="auto" w:before="10"/>
        <w:ind w:left="749" w:right="4819" w:hanging="421"/>
        <w:jc w:val="left"/>
        <w:rPr>
          <w:rFonts w:ascii="Arial" w:hAnsi="Arial" w:cs="Arial" w:eastAsia="Arial" w:hint="default"/>
        </w:rPr>
      </w:pPr>
      <w:r>
        <w:rPr>
          <w:rFonts w:ascii="Arial" w:hAnsi="Arial" w:cs="Arial" w:eastAsia="Arial" w:hint="default"/>
        </w:rPr>
        <w:t>1</w:t>
      </w:r>
      <w:r>
        <w:rPr/>
        <w:t>、</w:t>
      </w:r>
      <w:r>
        <w:rPr>
          <w:spacing w:val="-35"/>
        </w:rPr>
        <w:t> </w:t>
      </w:r>
      <w:r>
        <w:rPr/>
        <w:t>公司是否披露内部控制的自我评价报告：是</w:t>
      </w:r>
      <w:r>
        <w:rPr>
          <w:w w:val="99"/>
        </w:rPr>
        <w:t> </w:t>
      </w:r>
      <w:r>
        <w:rPr/>
        <w:t>披露网址：</w:t>
      </w:r>
      <w:hyperlink r:id="rId12">
        <w:r>
          <w:rPr>
            <w:rFonts w:ascii="Arial" w:hAnsi="Arial" w:cs="Arial" w:eastAsia="Arial" w:hint="default"/>
          </w:rPr>
          <w:t>www.sse.com.cn</w:t>
        </w:r>
      </w:hyperlink>
    </w:p>
    <w:p>
      <w:pPr>
        <w:pStyle w:val="BodyText"/>
        <w:spacing w:line="280" w:lineRule="exact"/>
        <w:ind w:left="329" w:right="125"/>
        <w:jc w:val="left"/>
      </w:pPr>
      <w:r>
        <w:rPr>
          <w:rFonts w:ascii="Arial" w:hAnsi="Arial" w:cs="Arial" w:eastAsia="Arial" w:hint="default"/>
        </w:rPr>
        <w:t>2</w:t>
      </w:r>
      <w:r>
        <w:rPr/>
        <w:t>、</w:t>
      </w:r>
      <w:r>
        <w:rPr>
          <w:spacing w:val="-36"/>
        </w:rPr>
        <w:t> </w:t>
      </w:r>
      <w:r>
        <w:rPr/>
        <w:t>公司是否披露了审计机构对公司内部控制报告的核实评价意见：否</w:t>
      </w:r>
    </w:p>
    <w:p>
      <w:pPr>
        <w:pStyle w:val="BodyText"/>
        <w:spacing w:line="240" w:lineRule="auto" w:before="165"/>
        <w:ind w:left="105" w:right="3260"/>
        <w:jc w:val="left"/>
      </w:pPr>
      <w:r>
        <w:rPr/>
        <w:t>（七）公司建立年报信息披露重大差错责任追究制度的情况</w:t>
      </w:r>
    </w:p>
    <w:p>
      <w:pPr>
        <w:spacing w:line="240" w:lineRule="auto" w:before="0"/>
        <w:rPr>
          <w:rFonts w:ascii="宋体" w:hAnsi="宋体" w:cs="宋体" w:eastAsia="宋体" w:hint="default"/>
          <w:sz w:val="16"/>
          <w:szCs w:val="16"/>
        </w:rPr>
      </w:pPr>
    </w:p>
    <w:p>
      <w:pPr>
        <w:pStyle w:val="BodyText"/>
        <w:spacing w:line="286" w:lineRule="exact"/>
        <w:ind w:left="749" w:right="212"/>
        <w:jc w:val="both"/>
      </w:pPr>
      <w:r>
        <w:rPr/>
        <w:t>根据公司《信息披露管理办法》规定，由于工作失职或者在信息披露过程中不严格按照工作</w:t>
      </w:r>
      <w:r>
        <w:rPr>
          <w:w w:val="99"/>
        </w:rPr>
        <w:t> </w:t>
      </w:r>
      <w:r>
        <w:rPr/>
        <w:t>流程操作，导致公司信息披露违规，给公司造成严重影响或损失的，公司将对该责任人给予</w:t>
      </w:r>
      <w:r>
        <w:rPr>
          <w:w w:val="99"/>
        </w:rPr>
        <w:t> </w:t>
      </w:r>
      <w:r>
        <w:rPr/>
        <w:t>内部批评、警告，甚至解除其职务等处分。</w:t>
      </w:r>
    </w:p>
    <w:p>
      <w:pPr>
        <w:spacing w:line="391" w:lineRule="auto" w:before="155"/>
        <w:ind w:left="329" w:right="3935" w:firstLine="420"/>
        <w:jc w:val="left"/>
        <w:rPr>
          <w:rFonts w:ascii="宋体" w:hAnsi="宋体" w:cs="宋体" w:eastAsia="宋体" w:hint="default"/>
          <w:sz w:val="22"/>
          <w:szCs w:val="22"/>
        </w:rPr>
      </w:pPr>
      <w:r>
        <w:rPr>
          <w:rFonts w:ascii="宋体" w:hAnsi="宋体" w:cs="宋体" w:eastAsia="宋体" w:hint="default"/>
          <w:sz w:val="22"/>
          <w:szCs w:val="22"/>
        </w:rPr>
        <w:t>截止报告期内，公司未发现年报信息披露重大差错。</w:t>
      </w:r>
      <w:r>
        <w:rPr>
          <w:rFonts w:ascii="宋体" w:hAnsi="宋体" w:cs="宋体" w:eastAsia="宋体" w:hint="default"/>
          <w:w w:val="99"/>
          <w:sz w:val="22"/>
          <w:szCs w:val="22"/>
        </w:rPr>
        <w:t> </w:t>
      </w:r>
      <w:r>
        <w:rPr>
          <w:rFonts w:ascii="宋体" w:hAnsi="宋体" w:cs="宋体" w:eastAsia="宋体" w:hint="default"/>
          <w:b/>
          <w:bCs/>
          <w:sz w:val="22"/>
          <w:szCs w:val="22"/>
        </w:rPr>
        <w:t>七、股东大会情况简介</w:t>
      </w:r>
      <w:r>
        <w:rPr>
          <w:rFonts w:ascii="宋体" w:hAnsi="宋体" w:cs="宋体" w:eastAsia="宋体" w:hint="default"/>
          <w:sz w:val="22"/>
          <w:szCs w:val="22"/>
        </w:rPr>
      </w:r>
    </w:p>
    <w:p>
      <w:pPr>
        <w:pStyle w:val="BodyText"/>
        <w:spacing w:line="240" w:lineRule="auto" w:before="88"/>
        <w:ind w:left="105" w:right="3260"/>
        <w:jc w:val="left"/>
      </w:pPr>
      <w:r>
        <w:rPr/>
        <w:t>（一）年度股东大会情况</w:t>
      </w:r>
    </w:p>
    <w:p>
      <w:pPr>
        <w:spacing w:line="240" w:lineRule="auto" w:before="8"/>
        <w:rPr>
          <w:rFonts w:ascii="宋体" w:hAnsi="宋体" w:cs="宋体" w:eastAsia="宋体" w:hint="default"/>
          <w:sz w:val="16"/>
          <w:szCs w:val="16"/>
        </w:rPr>
      </w:pPr>
    </w:p>
    <w:tbl>
      <w:tblPr>
        <w:tblW w:w="0" w:type="auto"/>
        <w:jc w:val="left"/>
        <w:tblInd w:w="714" w:type="dxa"/>
        <w:tblLayout w:type="fixed"/>
        <w:tblCellMar>
          <w:top w:w="0" w:type="dxa"/>
          <w:left w:w="0" w:type="dxa"/>
          <w:bottom w:w="0" w:type="dxa"/>
          <w:right w:w="0" w:type="dxa"/>
        </w:tblCellMar>
        <w:tblLook w:val="01E0"/>
      </w:tblPr>
      <w:tblGrid>
        <w:gridCol w:w="2225"/>
        <w:gridCol w:w="1780"/>
        <w:gridCol w:w="3108"/>
        <w:gridCol w:w="1776"/>
      </w:tblGrid>
      <w:tr>
        <w:trPr>
          <w:trHeight w:val="534" w:hRule="exact"/>
        </w:trPr>
        <w:tc>
          <w:tcPr>
            <w:tcW w:w="2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0"/>
              <w:jc w:val="center"/>
              <w:rPr>
                <w:rFonts w:ascii="宋体" w:hAnsi="宋体" w:cs="宋体" w:eastAsia="宋体" w:hint="default"/>
                <w:sz w:val="20"/>
                <w:szCs w:val="20"/>
              </w:rPr>
            </w:pPr>
            <w:r>
              <w:rPr>
                <w:rFonts w:ascii="宋体" w:hAnsi="宋体" w:cs="宋体" w:eastAsia="宋体" w:hint="default"/>
                <w:sz w:val="20"/>
                <w:szCs w:val="20"/>
              </w:rPr>
              <w:t>会议届次</w:t>
            </w:r>
          </w:p>
        </w:tc>
        <w:tc>
          <w:tcPr>
            <w:tcW w:w="17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
              <w:jc w:val="center"/>
              <w:rPr>
                <w:rFonts w:ascii="宋体" w:hAnsi="宋体" w:cs="宋体" w:eastAsia="宋体" w:hint="default"/>
                <w:sz w:val="20"/>
                <w:szCs w:val="20"/>
              </w:rPr>
            </w:pPr>
            <w:r>
              <w:rPr>
                <w:rFonts w:ascii="宋体" w:hAnsi="宋体" w:cs="宋体" w:eastAsia="宋体" w:hint="default"/>
                <w:sz w:val="20"/>
                <w:szCs w:val="20"/>
              </w:rPr>
              <w:t>召开日期</w:t>
            </w:r>
          </w:p>
        </w:tc>
        <w:tc>
          <w:tcPr>
            <w:tcW w:w="31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0"/>
              <w:jc w:val="center"/>
              <w:rPr>
                <w:rFonts w:ascii="宋体" w:hAnsi="宋体" w:cs="宋体" w:eastAsia="宋体" w:hint="default"/>
                <w:sz w:val="20"/>
                <w:szCs w:val="20"/>
              </w:rPr>
            </w:pPr>
            <w:r>
              <w:rPr>
                <w:rFonts w:ascii="宋体" w:hAnsi="宋体" w:cs="宋体" w:eastAsia="宋体" w:hint="default"/>
                <w:sz w:val="20"/>
                <w:szCs w:val="20"/>
              </w:rPr>
              <w:t>决议刊登的信息披露报纸</w:t>
            </w:r>
          </w:p>
        </w:tc>
        <w:tc>
          <w:tcPr>
            <w:tcW w:w="1776"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0"/>
              <w:jc w:val="center"/>
              <w:rPr>
                <w:rFonts w:ascii="宋体" w:hAnsi="宋体" w:cs="宋体" w:eastAsia="宋体" w:hint="default"/>
                <w:sz w:val="20"/>
                <w:szCs w:val="20"/>
              </w:rPr>
            </w:pPr>
            <w:r>
              <w:rPr>
                <w:rFonts w:ascii="宋体" w:hAnsi="宋体" w:cs="宋体" w:eastAsia="宋体" w:hint="default"/>
                <w:sz w:val="20"/>
                <w:szCs w:val="20"/>
              </w:rPr>
              <w:t>决议刊登的信息</w:t>
            </w:r>
          </w:p>
          <w:p>
            <w:pPr>
              <w:pStyle w:val="TableParagraph"/>
              <w:spacing w:line="260" w:lineRule="exact"/>
              <w:ind w:right="0"/>
              <w:jc w:val="center"/>
              <w:rPr>
                <w:rFonts w:ascii="宋体" w:hAnsi="宋体" w:cs="宋体" w:eastAsia="宋体" w:hint="default"/>
                <w:sz w:val="20"/>
                <w:szCs w:val="20"/>
              </w:rPr>
            </w:pPr>
            <w:r>
              <w:rPr>
                <w:rFonts w:ascii="宋体" w:hAnsi="宋体" w:cs="宋体" w:eastAsia="宋体" w:hint="default"/>
                <w:sz w:val="20"/>
                <w:szCs w:val="20"/>
              </w:rPr>
              <w:t>披露日期</w:t>
            </w:r>
          </w:p>
        </w:tc>
      </w:tr>
      <w:tr>
        <w:trPr>
          <w:trHeight w:val="355" w:hRule="exact"/>
        </w:trPr>
        <w:tc>
          <w:tcPr>
            <w:tcW w:w="22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center"/>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8"/>
                <w:sz w:val="20"/>
                <w:szCs w:val="20"/>
              </w:rPr>
              <w:t> </w:t>
            </w:r>
            <w:r>
              <w:rPr>
                <w:rFonts w:ascii="宋体" w:hAnsi="宋体" w:cs="宋体" w:eastAsia="宋体" w:hint="default"/>
                <w:sz w:val="20"/>
                <w:szCs w:val="20"/>
              </w:rPr>
              <w:t>年年度股东大会</w:t>
            </w:r>
          </w:p>
        </w:tc>
        <w:tc>
          <w:tcPr>
            <w:tcW w:w="17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24" w:right="0"/>
              <w:jc w:val="center"/>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5</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26</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100" w:right="0"/>
              <w:jc w:val="center"/>
              <w:rPr>
                <w:rFonts w:ascii="宋体" w:hAnsi="宋体" w:cs="宋体" w:eastAsia="宋体" w:hint="default"/>
                <w:sz w:val="20"/>
                <w:szCs w:val="20"/>
              </w:rPr>
            </w:pPr>
            <w:r>
              <w:rPr>
                <w:rFonts w:ascii="宋体" w:hAnsi="宋体" w:cs="宋体" w:eastAsia="宋体" w:hint="default"/>
                <w:spacing w:val="-2"/>
                <w:sz w:val="20"/>
                <w:szCs w:val="20"/>
              </w:rPr>
              <w:t>《中国证券报》、《上海证券报》</w:t>
            </w:r>
          </w:p>
        </w:tc>
        <w:tc>
          <w:tcPr>
            <w:tcW w:w="17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57"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5</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27</w:t>
            </w:r>
            <w:r>
              <w:rPr>
                <w:rFonts w:ascii="Arial" w:hAnsi="Arial" w:cs="Arial" w:eastAsia="Arial" w:hint="default"/>
                <w:spacing w:val="-5"/>
                <w:sz w:val="20"/>
                <w:szCs w:val="20"/>
              </w:rPr>
              <w:t> </w:t>
            </w:r>
            <w:r>
              <w:rPr>
                <w:rFonts w:ascii="宋体" w:hAnsi="宋体" w:cs="宋体" w:eastAsia="宋体" w:hint="default"/>
                <w:sz w:val="20"/>
                <w:szCs w:val="20"/>
              </w:rPr>
              <w:t>日</w:t>
            </w:r>
          </w:p>
        </w:tc>
      </w:tr>
    </w:tbl>
    <w:p>
      <w:pPr>
        <w:spacing w:line="240" w:lineRule="auto" w:before="12"/>
        <w:rPr>
          <w:rFonts w:ascii="宋体" w:hAnsi="宋体" w:cs="宋体" w:eastAsia="宋体" w:hint="default"/>
          <w:sz w:val="8"/>
          <w:szCs w:val="8"/>
        </w:rPr>
      </w:pPr>
    </w:p>
    <w:p>
      <w:pPr>
        <w:pStyle w:val="BodyText"/>
        <w:spacing w:line="225" w:lineRule="auto" w:before="47"/>
        <w:ind w:left="749" w:right="138" w:hanging="1"/>
        <w:jc w:val="both"/>
      </w:pPr>
      <w:r>
        <w:rPr/>
        <w:t>公司</w:t>
      </w:r>
      <w:r>
        <w:rPr>
          <w:spacing w:val="-53"/>
        </w:rPr>
        <w:t> </w:t>
      </w:r>
      <w:r>
        <w:rPr>
          <w:rFonts w:ascii="Arial" w:hAnsi="Arial" w:cs="Arial" w:eastAsia="Arial" w:hint="default"/>
        </w:rPr>
        <w:t>2008</w:t>
      </w:r>
      <w:r>
        <w:rPr>
          <w:rFonts w:ascii="Arial" w:hAnsi="Arial" w:cs="Arial" w:eastAsia="Arial" w:hint="default"/>
          <w:spacing w:val="-3"/>
        </w:rPr>
        <w:t> </w:t>
      </w:r>
      <w:r>
        <w:rPr/>
        <w:t>年度股东大会于</w:t>
      </w:r>
      <w:r>
        <w:rPr>
          <w:spacing w:val="-52"/>
        </w:rPr>
        <w:t> </w:t>
      </w:r>
      <w:r>
        <w:rPr>
          <w:rFonts w:ascii="Arial" w:hAnsi="Arial" w:cs="Arial" w:eastAsia="Arial" w:hint="default"/>
        </w:rPr>
        <w:t>2009</w:t>
      </w:r>
      <w:r>
        <w:rPr>
          <w:rFonts w:ascii="Arial" w:hAnsi="Arial" w:cs="Arial" w:eastAsia="Arial" w:hint="default"/>
          <w:spacing w:val="-3"/>
        </w:rPr>
        <w:t> </w:t>
      </w:r>
      <w:r>
        <w:rPr/>
        <w:t>年</w:t>
      </w:r>
      <w:r>
        <w:rPr>
          <w:spacing w:val="-53"/>
        </w:rPr>
        <w:t> </w:t>
      </w:r>
      <w:r>
        <w:rPr>
          <w:rFonts w:ascii="Arial" w:hAnsi="Arial" w:cs="Arial" w:eastAsia="Arial" w:hint="default"/>
        </w:rPr>
        <w:t>5</w:t>
      </w:r>
      <w:r>
        <w:rPr>
          <w:rFonts w:ascii="Arial" w:hAnsi="Arial" w:cs="Arial" w:eastAsia="Arial" w:hint="default"/>
          <w:spacing w:val="-4"/>
        </w:rPr>
        <w:t> </w:t>
      </w:r>
      <w:r>
        <w:rPr/>
        <w:t>月</w:t>
      </w:r>
      <w:r>
        <w:rPr>
          <w:spacing w:val="-53"/>
        </w:rPr>
        <w:t> </w:t>
      </w:r>
      <w:r>
        <w:rPr>
          <w:rFonts w:ascii="Arial" w:hAnsi="Arial" w:cs="Arial" w:eastAsia="Arial" w:hint="default"/>
        </w:rPr>
        <w:t>26</w:t>
      </w:r>
      <w:r>
        <w:rPr>
          <w:rFonts w:ascii="Arial" w:hAnsi="Arial" w:cs="Arial" w:eastAsia="Arial" w:hint="default"/>
          <w:spacing w:val="-3"/>
        </w:rPr>
        <w:t> </w:t>
      </w:r>
      <w:r>
        <w:rPr/>
        <w:t>日上午</w:t>
      </w:r>
      <w:r>
        <w:rPr>
          <w:spacing w:val="-53"/>
        </w:rPr>
        <w:t> </w:t>
      </w:r>
      <w:r>
        <w:rPr>
          <w:rFonts w:ascii="Arial" w:hAnsi="Arial" w:cs="Arial" w:eastAsia="Arial" w:hint="default"/>
        </w:rPr>
        <w:t>9</w:t>
      </w:r>
      <w:r>
        <w:rPr>
          <w:rFonts w:ascii="Arial" w:hAnsi="Arial" w:cs="Arial" w:eastAsia="Arial" w:hint="default"/>
          <w:spacing w:val="-4"/>
        </w:rPr>
        <w:t> </w:t>
      </w:r>
      <w:r>
        <w:rPr/>
        <w:t>时在深圳市五洲宾馆召开。出席会议的</w:t>
      </w:r>
      <w:r>
        <w:rPr>
          <w:w w:val="99"/>
        </w:rPr>
        <w:t> </w:t>
      </w:r>
      <w:r>
        <w:rPr/>
        <w:t>人数为：</w:t>
      </w:r>
      <w:r>
        <w:rPr>
          <w:rFonts w:ascii="Arial" w:hAnsi="Arial" w:cs="Arial" w:eastAsia="Arial" w:hint="default"/>
        </w:rPr>
        <w:t>22 </w:t>
      </w:r>
      <w:r>
        <w:rPr/>
        <w:t>人</w:t>
      </w:r>
      <w:r>
        <w:rPr>
          <w:rFonts w:ascii="Arial" w:hAnsi="Arial" w:cs="Arial" w:eastAsia="Arial" w:hint="default"/>
        </w:rPr>
        <w:t>,</w:t>
      </w:r>
      <w:r>
        <w:rPr/>
        <w:t>代表股份 </w:t>
      </w:r>
      <w:r>
        <w:rPr>
          <w:rFonts w:ascii="Arial" w:hAnsi="Arial" w:cs="Arial" w:eastAsia="Arial" w:hint="default"/>
        </w:rPr>
        <w:t>14,226,574,971 </w:t>
      </w:r>
      <w:r>
        <w:rPr/>
        <w:t>股，占公司总股本的</w:t>
      </w:r>
      <w:r>
        <w:rPr>
          <w:spacing w:val="-22"/>
        </w:rPr>
        <w:t> </w:t>
      </w:r>
      <w:r>
        <w:rPr>
          <w:rFonts w:ascii="Arial" w:hAnsi="Arial" w:cs="Arial" w:eastAsia="Arial" w:hint="default"/>
        </w:rPr>
        <w:t>67.1173%</w:t>
      </w:r>
      <w:r>
        <w:rPr/>
        <w:t>，符合《中华人民</w:t>
      </w:r>
      <w:r>
        <w:rPr>
          <w:w w:val="99"/>
        </w:rPr>
        <w:t> </w:t>
      </w:r>
      <w:r>
        <w:rPr/>
        <w:t>共和国公司法》及公司章程的规定。</w:t>
      </w:r>
    </w:p>
    <w:p>
      <w:pPr>
        <w:pStyle w:val="BodyText"/>
        <w:spacing w:line="295" w:lineRule="exact" w:before="183"/>
        <w:ind w:left="749" w:right="0"/>
        <w:jc w:val="both"/>
        <w:rPr>
          <w:rFonts w:ascii="Arial" w:hAnsi="Arial" w:cs="Arial" w:eastAsia="Arial" w:hint="default"/>
        </w:rPr>
      </w:pPr>
      <w:r>
        <w:rPr>
          <w:w w:val="99"/>
        </w:rPr>
        <w:t>公司</w:t>
      </w:r>
      <w:r>
        <w:rPr>
          <w:spacing w:val="-55"/>
        </w:rPr>
        <w:t> </w:t>
      </w:r>
      <w:r>
        <w:rPr>
          <w:rFonts w:ascii="Arial" w:hAnsi="Arial" w:cs="Arial" w:eastAsia="Arial" w:hint="default"/>
          <w:w w:val="99"/>
        </w:rPr>
        <w:t>2008</w:t>
      </w:r>
      <w:r>
        <w:rPr>
          <w:rFonts w:ascii="Arial" w:hAnsi="Arial" w:cs="Arial" w:eastAsia="Arial" w:hint="default"/>
          <w:spacing w:val="-6"/>
        </w:rPr>
        <w:t> </w:t>
      </w:r>
      <w:r>
        <w:rPr>
          <w:w w:val="99"/>
        </w:rPr>
        <w:t>年度股</w:t>
      </w:r>
      <w:r>
        <w:rPr>
          <w:spacing w:val="1"/>
          <w:w w:val="99"/>
        </w:rPr>
        <w:t>东大</w:t>
      </w:r>
      <w:r>
        <w:rPr>
          <w:w w:val="99"/>
        </w:rPr>
        <w:t>会审议</w:t>
      </w:r>
      <w:r>
        <w:rPr>
          <w:spacing w:val="1"/>
          <w:w w:val="99"/>
        </w:rPr>
        <w:t>并表</w:t>
      </w:r>
      <w:r>
        <w:rPr>
          <w:w w:val="99"/>
        </w:rPr>
        <w:t>决通过</w:t>
      </w:r>
      <w:r>
        <w:rPr>
          <w:spacing w:val="-87"/>
          <w:w w:val="99"/>
        </w:rPr>
        <w:t>了</w:t>
      </w:r>
      <w:r>
        <w:rPr>
          <w:spacing w:val="1"/>
          <w:w w:val="99"/>
        </w:rPr>
        <w:t>《</w:t>
      </w:r>
      <w:r>
        <w:rPr>
          <w:spacing w:val="-1"/>
          <w:w w:val="99"/>
        </w:rPr>
        <w:t>公</w:t>
      </w:r>
      <w:r>
        <w:rPr>
          <w:w w:val="99"/>
        </w:rPr>
        <w:t>司</w:t>
      </w:r>
      <w:r>
        <w:rPr>
          <w:spacing w:val="-55"/>
        </w:rPr>
        <w:t> </w:t>
      </w:r>
      <w:r>
        <w:rPr>
          <w:rFonts w:ascii="Arial" w:hAnsi="Arial" w:cs="Arial" w:eastAsia="Arial" w:hint="default"/>
          <w:w w:val="99"/>
        </w:rPr>
        <w:t>2008</w:t>
      </w:r>
      <w:r>
        <w:rPr>
          <w:rFonts w:ascii="Arial" w:hAnsi="Arial" w:cs="Arial" w:eastAsia="Arial" w:hint="default"/>
          <w:spacing w:val="-6"/>
        </w:rPr>
        <w:t> </w:t>
      </w:r>
      <w:r>
        <w:rPr>
          <w:w w:val="99"/>
        </w:rPr>
        <w:t>年度财</w:t>
      </w:r>
      <w:r>
        <w:rPr>
          <w:spacing w:val="1"/>
          <w:w w:val="99"/>
        </w:rPr>
        <w:t>务决</w:t>
      </w:r>
      <w:r>
        <w:rPr>
          <w:w w:val="99"/>
        </w:rPr>
        <w:t>算报</w:t>
      </w:r>
      <w:r>
        <w:rPr>
          <w:spacing w:val="1"/>
          <w:w w:val="99"/>
        </w:rPr>
        <w:t>告</w:t>
      </w:r>
      <w:r>
        <w:rPr>
          <w:spacing w:val="-87"/>
          <w:w w:val="99"/>
        </w:rPr>
        <w:t>》</w:t>
      </w:r>
      <w:r>
        <w:rPr>
          <w:spacing w:val="-176"/>
          <w:w w:val="99"/>
        </w:rPr>
        <w:t>、</w:t>
      </w:r>
      <w:r>
        <w:rPr>
          <w:spacing w:val="1"/>
          <w:w w:val="99"/>
        </w:rPr>
        <w:t>《</w:t>
      </w:r>
      <w:r>
        <w:rPr>
          <w:w w:val="99"/>
        </w:rPr>
        <w:t>关于公司</w:t>
      </w:r>
      <w:r>
        <w:rPr>
          <w:spacing w:val="-55"/>
        </w:rPr>
        <w:t> </w:t>
      </w:r>
      <w:r>
        <w:rPr>
          <w:rFonts w:ascii="Arial" w:hAnsi="Arial" w:cs="Arial" w:eastAsia="Arial" w:hint="default"/>
          <w:w w:val="99"/>
        </w:rPr>
        <w:t>2</w:t>
      </w:r>
      <w:r>
        <w:rPr>
          <w:rFonts w:ascii="Arial" w:hAnsi="Arial" w:cs="Arial" w:eastAsia="Arial" w:hint="default"/>
          <w:spacing w:val="1"/>
          <w:w w:val="99"/>
        </w:rPr>
        <w:t>0</w:t>
      </w:r>
      <w:r>
        <w:rPr>
          <w:rFonts w:ascii="Arial" w:hAnsi="Arial" w:cs="Arial" w:eastAsia="Arial" w:hint="default"/>
          <w:w w:val="99"/>
        </w:rPr>
        <w:t>08</w:t>
      </w:r>
      <w:r>
        <w:rPr>
          <w:rFonts w:ascii="Arial" w:hAnsi="Arial" w:cs="Arial" w:eastAsia="Arial" w:hint="default"/>
        </w:rPr>
      </w:r>
    </w:p>
    <w:p>
      <w:pPr>
        <w:pStyle w:val="BodyText"/>
        <w:spacing w:line="295" w:lineRule="exact"/>
        <w:ind w:left="749" w:right="0"/>
        <w:jc w:val="both"/>
      </w:pPr>
      <w:r>
        <w:rPr/>
        <w:t>年度利润分配的议案》、《关于聘请会计师事务所的议案》、《公司</w:t>
      </w:r>
      <w:r>
        <w:rPr>
          <w:spacing w:val="-56"/>
        </w:rPr>
        <w:t> </w:t>
      </w:r>
      <w:r>
        <w:rPr>
          <w:rFonts w:ascii="Arial" w:hAnsi="Arial" w:cs="Arial" w:eastAsia="Arial" w:hint="default"/>
        </w:rPr>
        <w:t>2008</w:t>
      </w:r>
      <w:r>
        <w:rPr>
          <w:rFonts w:ascii="Arial" w:hAnsi="Arial" w:cs="Arial" w:eastAsia="Arial" w:hint="default"/>
          <w:spacing w:val="-9"/>
        </w:rPr>
        <w:t> </w:t>
      </w:r>
      <w:r>
        <w:rPr/>
        <w:t>年度董事会</w:t>
      </w:r>
    </w:p>
    <w:p>
      <w:pPr>
        <w:spacing w:after="0" w:line="295" w:lineRule="exact"/>
        <w:jc w:val="both"/>
        <w:sectPr>
          <w:pgSz w:w="11910" w:h="16840"/>
          <w:pgMar w:header="587" w:footer="774" w:top="960" w:bottom="960" w:left="1000" w:right="1140"/>
        </w:sectPr>
      </w:pPr>
    </w:p>
    <w:p>
      <w:pPr>
        <w:spacing w:line="240" w:lineRule="auto" w:before="6"/>
        <w:rPr>
          <w:rFonts w:ascii="宋体" w:hAnsi="宋体" w:cs="宋体" w:eastAsia="宋体" w:hint="default"/>
          <w:sz w:val="12"/>
          <w:szCs w:val="12"/>
        </w:rPr>
      </w:pPr>
    </w:p>
    <w:p>
      <w:pPr>
        <w:pStyle w:val="BodyText"/>
        <w:spacing w:line="232" w:lineRule="auto" w:before="39"/>
        <w:ind w:left="749" w:right="216"/>
        <w:jc w:val="both"/>
      </w:pPr>
      <w:r>
        <w:rPr/>
        <w:t>报告》、《公司</w:t>
      </w:r>
      <w:r>
        <w:rPr>
          <w:spacing w:val="-63"/>
        </w:rPr>
        <w:t> </w:t>
      </w:r>
      <w:r>
        <w:rPr>
          <w:rFonts w:ascii="Arial" w:hAnsi="Arial" w:cs="Arial" w:eastAsia="Arial" w:hint="default"/>
        </w:rPr>
        <w:t>2008</w:t>
      </w:r>
      <w:r>
        <w:rPr>
          <w:rFonts w:ascii="Arial" w:hAnsi="Arial" w:cs="Arial" w:eastAsia="Arial" w:hint="default"/>
          <w:spacing w:val="-14"/>
        </w:rPr>
        <w:t> </w:t>
      </w:r>
      <w:r>
        <w:rPr/>
        <w:t>年度监事会报告》、《公司</w:t>
      </w:r>
      <w:r>
        <w:rPr>
          <w:spacing w:val="-63"/>
        </w:rPr>
        <w:t> </w:t>
      </w:r>
      <w:r>
        <w:rPr>
          <w:rFonts w:ascii="Arial" w:hAnsi="Arial" w:cs="Arial" w:eastAsia="Arial" w:hint="default"/>
        </w:rPr>
        <w:t>2008</w:t>
      </w:r>
      <w:r>
        <w:rPr>
          <w:rFonts w:ascii="Arial" w:hAnsi="Arial" w:cs="Arial" w:eastAsia="Arial" w:hint="default"/>
          <w:spacing w:val="-14"/>
        </w:rPr>
        <w:t> </w:t>
      </w:r>
      <w:r>
        <w:rPr/>
        <w:t>年年度报告》、《关于增补陆益民先</w:t>
      </w:r>
      <w:r>
        <w:rPr>
          <w:w w:val="99"/>
        </w:rPr>
        <w:t> </w:t>
      </w:r>
      <w:r>
        <w:rPr/>
        <w:t>生为公司董事的议案》、《关于增补左迅生先生为公司董事的议案》、《关于增补李建国女</w:t>
      </w:r>
      <w:r>
        <w:rPr>
          <w:spacing w:val="-50"/>
        </w:rPr>
        <w:t> </w:t>
      </w:r>
      <w:r>
        <w:rPr>
          <w:spacing w:val="-50"/>
        </w:rPr>
      </w:r>
      <w:r>
        <w:rPr>
          <w:spacing w:val="-7"/>
        </w:rPr>
        <w:t>士为公司监事的议案》、《关于董事会、监事会延期换届的议案》、《关于联通红筹公司</w:t>
      </w:r>
      <w:r>
        <w:rPr>
          <w:spacing w:val="-40"/>
        </w:rPr>
        <w:t> </w:t>
      </w:r>
      <w:r>
        <w:rPr>
          <w:rFonts w:ascii="Arial" w:hAnsi="Arial" w:cs="Arial" w:eastAsia="Arial" w:hint="default"/>
        </w:rPr>
        <w:t>2008</w:t>
      </w:r>
      <w:r>
        <w:rPr>
          <w:rFonts w:ascii="Arial" w:hAnsi="Arial" w:cs="Arial" w:eastAsia="Arial" w:hint="default"/>
          <w:spacing w:val="-58"/>
        </w:rPr>
        <w:t> </w:t>
      </w:r>
      <w:r>
        <w:rPr/>
        <w:t>年度利润分配的议案》、《关于联通红筹公司期权修订方案的议案》、《关于联通红筹公司</w:t>
      </w:r>
      <w:r>
        <w:rPr>
          <w:spacing w:val="-50"/>
        </w:rPr>
        <w:t> </w:t>
      </w:r>
      <w:r>
        <w:rPr>
          <w:spacing w:val="-50"/>
        </w:rPr>
      </w:r>
      <w:r>
        <w:rPr/>
        <w:t>股东大会授权其董事会在一定期间内重选董事并授权董事会决定其截至</w:t>
      </w:r>
      <w:r>
        <w:rPr>
          <w:spacing w:val="-41"/>
        </w:rPr>
        <w:t> </w:t>
      </w:r>
      <w:r>
        <w:rPr>
          <w:rFonts w:ascii="Arial" w:hAnsi="Arial" w:cs="Arial" w:eastAsia="Arial" w:hint="default"/>
        </w:rPr>
        <w:t>2009</w:t>
      </w:r>
      <w:r>
        <w:rPr>
          <w:rFonts w:ascii="Arial" w:hAnsi="Arial" w:cs="Arial" w:eastAsia="Arial" w:hint="default"/>
          <w:spacing w:val="7"/>
        </w:rPr>
        <w:t> </w:t>
      </w:r>
      <w:r>
        <w:rPr/>
        <w:t>年</w:t>
      </w:r>
      <w:r>
        <w:rPr>
          <w:spacing w:val="-42"/>
        </w:rPr>
        <w:t> </w:t>
      </w:r>
      <w:r>
        <w:rPr>
          <w:rFonts w:ascii="Arial" w:hAnsi="Arial" w:cs="Arial" w:eastAsia="Arial" w:hint="default"/>
        </w:rPr>
        <w:t>12</w:t>
      </w:r>
      <w:r>
        <w:rPr>
          <w:rFonts w:ascii="Arial" w:hAnsi="Arial" w:cs="Arial" w:eastAsia="Arial" w:hint="default"/>
          <w:spacing w:val="7"/>
        </w:rPr>
        <w:t> </w:t>
      </w:r>
      <w:r>
        <w:rPr/>
        <w:t>月</w:t>
      </w:r>
      <w:r>
        <w:rPr>
          <w:spacing w:val="-42"/>
        </w:rPr>
        <w:t> </w:t>
      </w:r>
      <w:r>
        <w:rPr>
          <w:rFonts w:ascii="Arial" w:hAnsi="Arial" w:cs="Arial" w:eastAsia="Arial" w:hint="default"/>
        </w:rPr>
        <w:t>31</w:t>
      </w:r>
      <w:r>
        <w:rPr>
          <w:rFonts w:ascii="Arial" w:hAnsi="Arial" w:cs="Arial" w:eastAsia="Arial" w:hint="default"/>
          <w:spacing w:val="6"/>
        </w:rPr>
        <w:t> </w:t>
      </w:r>
      <w:r>
        <w:rPr/>
        <w:t>日</w:t>
      </w:r>
      <w:r>
        <w:rPr>
          <w:w w:val="99"/>
        </w:rPr>
        <w:t> </w:t>
      </w:r>
      <w:r>
        <w:rPr/>
        <w:t>止的袍金事项》、《关于联通红筹公司股东大会授权其董事会在规定的期间内，在香港联合</w:t>
      </w:r>
      <w:r>
        <w:rPr>
          <w:spacing w:val="-50"/>
        </w:rPr>
        <w:t> </w:t>
      </w:r>
      <w:r>
        <w:rPr>
          <w:spacing w:val="-50"/>
        </w:rPr>
      </w:r>
      <w:r>
        <w:rPr/>
        <w:t>交易所及指定的其他证券交易所，按适用的法律购买公司股份事项》、《关于联通红筹公司</w:t>
      </w:r>
      <w:r>
        <w:rPr>
          <w:spacing w:val="-50"/>
        </w:rPr>
        <w:t> </w:t>
      </w:r>
      <w:r>
        <w:rPr>
          <w:spacing w:val="-50"/>
        </w:rPr>
      </w:r>
      <w:r>
        <w:rPr/>
        <w:t>股东大会按惯例授权其董事会在规定的范围内决定股份发行计划事项》、《关于部分修改公</w:t>
      </w:r>
      <w:r>
        <w:rPr>
          <w:spacing w:val="-50"/>
        </w:rPr>
        <w:t> </w:t>
      </w:r>
      <w:r>
        <w:rPr>
          <w:spacing w:val="-50"/>
        </w:rPr>
      </w:r>
      <w:r>
        <w:rPr/>
        <w:t>司章程的议案》。</w:t>
      </w:r>
    </w:p>
    <w:p>
      <w:pPr>
        <w:spacing w:line="240" w:lineRule="auto" w:before="6"/>
        <w:rPr>
          <w:rFonts w:ascii="宋体" w:hAnsi="宋体" w:cs="宋体" w:eastAsia="宋体" w:hint="default"/>
          <w:sz w:val="17"/>
          <w:szCs w:val="17"/>
        </w:rPr>
      </w:pPr>
    </w:p>
    <w:p>
      <w:pPr>
        <w:pStyle w:val="BodyText"/>
        <w:spacing w:line="240" w:lineRule="auto"/>
        <w:ind w:left="105" w:right="337"/>
        <w:jc w:val="left"/>
      </w:pPr>
      <w:r>
        <w:rPr/>
        <w:t>（二）临时股东大会情况</w:t>
      </w:r>
    </w:p>
    <w:p>
      <w:pPr>
        <w:spacing w:line="240" w:lineRule="auto" w:before="12"/>
        <w:rPr>
          <w:rFonts w:ascii="宋体" w:hAnsi="宋体" w:cs="宋体" w:eastAsia="宋体" w:hint="default"/>
          <w:sz w:val="21"/>
          <w:szCs w:val="21"/>
        </w:rPr>
      </w:pPr>
    </w:p>
    <w:tbl>
      <w:tblPr>
        <w:tblW w:w="0" w:type="auto"/>
        <w:jc w:val="left"/>
        <w:tblInd w:w="728" w:type="dxa"/>
        <w:tblLayout w:type="fixed"/>
        <w:tblCellMar>
          <w:top w:w="0" w:type="dxa"/>
          <w:left w:w="0" w:type="dxa"/>
          <w:bottom w:w="0" w:type="dxa"/>
          <w:right w:w="0" w:type="dxa"/>
        </w:tblCellMar>
        <w:tblLook w:val="01E0"/>
      </w:tblPr>
      <w:tblGrid>
        <w:gridCol w:w="1946"/>
        <w:gridCol w:w="1862"/>
        <w:gridCol w:w="3109"/>
        <w:gridCol w:w="1930"/>
      </w:tblGrid>
      <w:tr>
        <w:trPr>
          <w:trHeight w:val="534" w:hRule="exact"/>
        </w:trPr>
        <w:tc>
          <w:tcPr>
            <w:tcW w:w="19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565" w:right="0"/>
              <w:jc w:val="left"/>
              <w:rPr>
                <w:rFonts w:ascii="宋体" w:hAnsi="宋体" w:cs="宋体" w:eastAsia="宋体" w:hint="default"/>
                <w:sz w:val="20"/>
                <w:szCs w:val="20"/>
              </w:rPr>
            </w:pPr>
            <w:r>
              <w:rPr>
                <w:rFonts w:ascii="宋体" w:hAnsi="宋体" w:cs="宋体" w:eastAsia="宋体" w:hint="default"/>
                <w:sz w:val="20"/>
                <w:szCs w:val="20"/>
              </w:rPr>
              <w:t>会议届次</w:t>
            </w: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0"/>
              <w:jc w:val="center"/>
              <w:rPr>
                <w:rFonts w:ascii="宋体" w:hAnsi="宋体" w:cs="宋体" w:eastAsia="宋体" w:hint="default"/>
                <w:sz w:val="20"/>
                <w:szCs w:val="20"/>
              </w:rPr>
            </w:pPr>
            <w:r>
              <w:rPr>
                <w:rFonts w:ascii="宋体" w:hAnsi="宋体" w:cs="宋体" w:eastAsia="宋体" w:hint="default"/>
                <w:sz w:val="20"/>
                <w:szCs w:val="20"/>
              </w:rPr>
              <w:t>召开日期</w:t>
            </w:r>
          </w:p>
        </w:tc>
        <w:tc>
          <w:tcPr>
            <w:tcW w:w="31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1"/>
              <w:jc w:val="center"/>
              <w:rPr>
                <w:rFonts w:ascii="宋体" w:hAnsi="宋体" w:cs="宋体" w:eastAsia="宋体" w:hint="default"/>
                <w:sz w:val="20"/>
                <w:szCs w:val="20"/>
              </w:rPr>
            </w:pPr>
            <w:r>
              <w:rPr>
                <w:rFonts w:ascii="宋体" w:hAnsi="宋体" w:cs="宋体" w:eastAsia="宋体" w:hint="default"/>
                <w:sz w:val="20"/>
                <w:szCs w:val="20"/>
              </w:rPr>
              <w:t>决议刊登的信息披露报纸</w:t>
            </w:r>
          </w:p>
        </w:tc>
        <w:tc>
          <w:tcPr>
            <w:tcW w:w="1930"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0"/>
              <w:jc w:val="center"/>
              <w:rPr>
                <w:rFonts w:ascii="宋体" w:hAnsi="宋体" w:cs="宋体" w:eastAsia="宋体" w:hint="default"/>
                <w:sz w:val="20"/>
                <w:szCs w:val="20"/>
              </w:rPr>
            </w:pPr>
            <w:r>
              <w:rPr>
                <w:rFonts w:ascii="宋体" w:hAnsi="宋体" w:cs="宋体" w:eastAsia="宋体" w:hint="default"/>
                <w:sz w:val="20"/>
                <w:szCs w:val="20"/>
              </w:rPr>
              <w:t>决议刊登的信息披</w:t>
            </w:r>
          </w:p>
          <w:p>
            <w:pPr>
              <w:pStyle w:val="TableParagraph"/>
              <w:spacing w:line="260" w:lineRule="exact"/>
              <w:ind w:right="1"/>
              <w:jc w:val="center"/>
              <w:rPr>
                <w:rFonts w:ascii="宋体" w:hAnsi="宋体" w:cs="宋体" w:eastAsia="宋体" w:hint="default"/>
                <w:sz w:val="20"/>
                <w:szCs w:val="20"/>
              </w:rPr>
            </w:pPr>
            <w:r>
              <w:rPr>
                <w:rFonts w:ascii="宋体" w:hAnsi="宋体" w:cs="宋体" w:eastAsia="宋体" w:hint="default"/>
                <w:sz w:val="20"/>
                <w:szCs w:val="20"/>
              </w:rPr>
              <w:t>露日期</w:t>
            </w:r>
          </w:p>
        </w:tc>
      </w:tr>
      <w:tr>
        <w:trPr>
          <w:trHeight w:val="533" w:hRule="exact"/>
        </w:trPr>
        <w:tc>
          <w:tcPr>
            <w:tcW w:w="1946"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8"/>
                <w:sz w:val="20"/>
                <w:szCs w:val="20"/>
              </w:rPr>
              <w:t> </w:t>
            </w:r>
            <w:r>
              <w:rPr>
                <w:rFonts w:ascii="宋体" w:hAnsi="宋体" w:cs="宋体" w:eastAsia="宋体" w:hint="default"/>
                <w:sz w:val="20"/>
                <w:szCs w:val="20"/>
              </w:rPr>
              <w:t>年第一次临时</w:t>
            </w:r>
          </w:p>
          <w:p>
            <w:pPr>
              <w:pStyle w:val="TableParagraph"/>
              <w:spacing w:line="253" w:lineRule="exact"/>
              <w:ind w:left="100" w:right="0"/>
              <w:jc w:val="left"/>
              <w:rPr>
                <w:rFonts w:ascii="宋体" w:hAnsi="宋体" w:cs="宋体" w:eastAsia="宋体" w:hint="default"/>
                <w:sz w:val="20"/>
                <w:szCs w:val="20"/>
              </w:rPr>
            </w:pPr>
            <w:r>
              <w:rPr>
                <w:rFonts w:ascii="宋体" w:hAnsi="宋体" w:cs="宋体" w:eastAsia="宋体" w:hint="default"/>
                <w:sz w:val="20"/>
                <w:szCs w:val="20"/>
              </w:rPr>
              <w:t>股东大会</w:t>
            </w: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4"/>
              <w:jc w:val="center"/>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14</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center"/>
              <w:rPr>
                <w:rFonts w:ascii="宋体" w:hAnsi="宋体" w:cs="宋体" w:eastAsia="宋体" w:hint="default"/>
                <w:sz w:val="20"/>
                <w:szCs w:val="20"/>
              </w:rPr>
            </w:pPr>
            <w:r>
              <w:rPr>
                <w:rFonts w:ascii="宋体" w:hAnsi="宋体" w:cs="宋体" w:eastAsia="宋体" w:hint="default"/>
                <w:spacing w:val="-2"/>
                <w:sz w:val="20"/>
                <w:szCs w:val="20"/>
              </w:rPr>
              <w:t>《中国证券报》、《上海证券报》</w:t>
            </w:r>
          </w:p>
        </w:tc>
        <w:tc>
          <w:tcPr>
            <w:tcW w:w="19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82"/>
              <w:jc w:val="center"/>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15</w:t>
            </w:r>
            <w:r>
              <w:rPr>
                <w:rFonts w:ascii="Arial" w:hAnsi="Arial" w:cs="Arial" w:eastAsia="Arial" w:hint="default"/>
                <w:spacing w:val="-5"/>
                <w:sz w:val="20"/>
                <w:szCs w:val="20"/>
              </w:rPr>
              <w:t> </w:t>
            </w:r>
            <w:r>
              <w:rPr>
                <w:rFonts w:ascii="宋体" w:hAnsi="宋体" w:cs="宋体" w:eastAsia="宋体" w:hint="default"/>
                <w:sz w:val="20"/>
                <w:szCs w:val="20"/>
              </w:rPr>
              <w:t>日</w:t>
            </w:r>
          </w:p>
        </w:tc>
      </w:tr>
      <w:tr>
        <w:trPr>
          <w:trHeight w:val="535" w:hRule="exact"/>
        </w:trPr>
        <w:tc>
          <w:tcPr>
            <w:tcW w:w="1946"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8"/>
                <w:sz w:val="20"/>
                <w:szCs w:val="20"/>
              </w:rPr>
              <w:t> </w:t>
            </w:r>
            <w:r>
              <w:rPr>
                <w:rFonts w:ascii="宋体" w:hAnsi="宋体" w:cs="宋体" w:eastAsia="宋体" w:hint="default"/>
                <w:sz w:val="20"/>
                <w:szCs w:val="20"/>
              </w:rPr>
              <w:t>年第二次临时</w:t>
            </w:r>
          </w:p>
          <w:p>
            <w:pPr>
              <w:pStyle w:val="TableParagraph"/>
              <w:spacing w:line="254" w:lineRule="exact"/>
              <w:ind w:left="100" w:right="0"/>
              <w:jc w:val="left"/>
              <w:rPr>
                <w:rFonts w:ascii="宋体" w:hAnsi="宋体" w:cs="宋体" w:eastAsia="宋体" w:hint="default"/>
                <w:sz w:val="20"/>
                <w:szCs w:val="20"/>
              </w:rPr>
            </w:pPr>
            <w:r>
              <w:rPr>
                <w:rFonts w:ascii="宋体" w:hAnsi="宋体" w:cs="宋体" w:eastAsia="宋体" w:hint="default"/>
                <w:sz w:val="20"/>
                <w:szCs w:val="20"/>
              </w:rPr>
              <w:t>股东大会</w:t>
            </w:r>
          </w:p>
        </w:tc>
        <w:tc>
          <w:tcPr>
            <w:tcW w:w="18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14"/>
              <w:jc w:val="center"/>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11</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日</w:t>
            </w:r>
          </w:p>
        </w:tc>
        <w:tc>
          <w:tcPr>
            <w:tcW w:w="31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center"/>
              <w:rPr>
                <w:rFonts w:ascii="宋体" w:hAnsi="宋体" w:cs="宋体" w:eastAsia="宋体" w:hint="default"/>
                <w:sz w:val="20"/>
                <w:szCs w:val="20"/>
              </w:rPr>
            </w:pPr>
            <w:r>
              <w:rPr>
                <w:rFonts w:ascii="宋体" w:hAnsi="宋体" w:cs="宋体" w:eastAsia="宋体" w:hint="default"/>
                <w:spacing w:val="-2"/>
                <w:sz w:val="20"/>
                <w:szCs w:val="20"/>
              </w:rPr>
              <w:t>《中国证券报》、《上海证券报》</w:t>
            </w:r>
          </w:p>
        </w:tc>
        <w:tc>
          <w:tcPr>
            <w:tcW w:w="19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82"/>
              <w:jc w:val="center"/>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11</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4</w:t>
            </w:r>
            <w:r>
              <w:rPr>
                <w:rFonts w:ascii="Arial" w:hAnsi="Arial" w:cs="Arial" w:eastAsia="Arial" w:hint="default"/>
                <w:spacing w:val="-7"/>
                <w:sz w:val="20"/>
                <w:szCs w:val="20"/>
              </w:rPr>
              <w:t> </w:t>
            </w:r>
            <w:r>
              <w:rPr>
                <w:rFonts w:ascii="宋体" w:hAnsi="宋体" w:cs="宋体" w:eastAsia="宋体" w:hint="default"/>
                <w:sz w:val="20"/>
                <w:szCs w:val="20"/>
              </w:rPr>
              <w:t>日</w:t>
            </w:r>
          </w:p>
        </w:tc>
      </w:tr>
    </w:tbl>
    <w:p>
      <w:pPr>
        <w:spacing w:line="240" w:lineRule="auto" w:before="2"/>
        <w:rPr>
          <w:rFonts w:ascii="宋体" w:hAnsi="宋体" w:cs="宋体" w:eastAsia="宋体" w:hint="default"/>
          <w:sz w:val="14"/>
          <w:szCs w:val="14"/>
        </w:rPr>
      </w:pPr>
    </w:p>
    <w:p>
      <w:pPr>
        <w:pStyle w:val="BodyText"/>
        <w:spacing w:line="225" w:lineRule="auto" w:before="47"/>
        <w:ind w:left="749" w:right="217"/>
        <w:jc w:val="both"/>
      </w:pPr>
      <w:r>
        <w:rPr/>
        <w:t>公司</w:t>
      </w:r>
      <w:r>
        <w:rPr>
          <w:spacing w:val="-53"/>
        </w:rPr>
        <w:t> </w:t>
      </w:r>
      <w:r>
        <w:rPr>
          <w:rFonts w:ascii="Arial" w:hAnsi="Arial" w:cs="Arial" w:eastAsia="Arial" w:hint="default"/>
        </w:rPr>
        <w:t>2009</w:t>
      </w:r>
      <w:r>
        <w:rPr>
          <w:rFonts w:ascii="Arial" w:hAnsi="Arial" w:cs="Arial" w:eastAsia="Arial" w:hint="default"/>
          <w:spacing w:val="-3"/>
        </w:rPr>
        <w:t> </w:t>
      </w:r>
      <w:r>
        <w:rPr/>
        <w:t>年第一次临时股东大会于</w:t>
      </w:r>
      <w:r>
        <w:rPr>
          <w:spacing w:val="-52"/>
        </w:rPr>
        <w:t> </w:t>
      </w:r>
      <w:r>
        <w:rPr>
          <w:rFonts w:ascii="Arial" w:hAnsi="Arial" w:cs="Arial" w:eastAsia="Arial" w:hint="default"/>
        </w:rPr>
        <w:t>2009</w:t>
      </w:r>
      <w:r>
        <w:rPr>
          <w:rFonts w:ascii="Arial" w:hAnsi="Arial" w:cs="Arial" w:eastAsia="Arial" w:hint="default"/>
          <w:spacing w:val="-3"/>
        </w:rPr>
        <w:t> </w:t>
      </w:r>
      <w:r>
        <w:rPr/>
        <w:t>年</w:t>
      </w:r>
      <w:r>
        <w:rPr>
          <w:spacing w:val="-53"/>
        </w:rPr>
        <w:t> </w:t>
      </w:r>
      <w:r>
        <w:rPr>
          <w:rFonts w:ascii="Arial" w:hAnsi="Arial" w:cs="Arial" w:eastAsia="Arial" w:hint="default"/>
        </w:rPr>
        <w:t>1</w:t>
      </w:r>
      <w:r>
        <w:rPr>
          <w:rFonts w:ascii="Arial" w:hAnsi="Arial" w:cs="Arial" w:eastAsia="Arial" w:hint="default"/>
          <w:spacing w:val="-4"/>
        </w:rPr>
        <w:t> </w:t>
      </w:r>
      <w:r>
        <w:rPr/>
        <w:t>月</w:t>
      </w:r>
      <w:r>
        <w:rPr>
          <w:spacing w:val="-53"/>
        </w:rPr>
        <w:t> </w:t>
      </w:r>
      <w:r>
        <w:rPr>
          <w:rFonts w:ascii="Arial" w:hAnsi="Arial" w:cs="Arial" w:eastAsia="Arial" w:hint="default"/>
        </w:rPr>
        <w:t>14</w:t>
      </w:r>
      <w:r>
        <w:rPr>
          <w:rFonts w:ascii="Arial" w:hAnsi="Arial" w:cs="Arial" w:eastAsia="Arial" w:hint="default"/>
          <w:spacing w:val="-3"/>
        </w:rPr>
        <w:t> </w:t>
      </w:r>
      <w:r>
        <w:rPr/>
        <w:t>日上午</w:t>
      </w:r>
      <w:r>
        <w:rPr>
          <w:spacing w:val="-53"/>
        </w:rPr>
        <w:t> </w:t>
      </w:r>
      <w:r>
        <w:rPr>
          <w:rFonts w:ascii="Arial" w:hAnsi="Arial" w:cs="Arial" w:eastAsia="Arial" w:hint="default"/>
        </w:rPr>
        <w:t>9</w:t>
      </w:r>
      <w:r>
        <w:rPr>
          <w:rFonts w:ascii="Arial" w:hAnsi="Arial" w:cs="Arial" w:eastAsia="Arial" w:hint="default"/>
          <w:spacing w:val="-4"/>
        </w:rPr>
        <w:t> </w:t>
      </w:r>
      <w:r>
        <w:rPr/>
        <w:t>时在深圳市五洲宾馆召开。出</w:t>
      </w:r>
      <w:r>
        <w:rPr>
          <w:w w:val="99"/>
        </w:rPr>
        <w:t> </w:t>
      </w:r>
      <w:r>
        <w:rPr/>
        <w:t>席会议的股东及股东授权代表总共为：</w:t>
      </w:r>
      <w:r>
        <w:rPr>
          <w:rFonts w:ascii="Arial" w:hAnsi="Arial" w:cs="Arial" w:eastAsia="Arial" w:hint="default"/>
        </w:rPr>
        <w:t>37 </w:t>
      </w:r>
      <w:r>
        <w:rPr/>
        <w:t>人</w:t>
      </w:r>
      <w:r>
        <w:rPr>
          <w:rFonts w:ascii="Arial" w:hAnsi="Arial" w:cs="Arial" w:eastAsia="Arial" w:hint="default"/>
        </w:rPr>
        <w:t>,</w:t>
      </w:r>
      <w:r>
        <w:rPr/>
        <w:t>代表股份 </w:t>
      </w:r>
      <w:r>
        <w:rPr>
          <w:rFonts w:ascii="Arial" w:hAnsi="Arial" w:cs="Arial" w:eastAsia="Arial" w:hint="default"/>
        </w:rPr>
        <w:t>14,811,042,621</w:t>
      </w:r>
      <w:r>
        <w:rPr>
          <w:rFonts w:ascii="Arial" w:hAnsi="Arial" w:cs="Arial" w:eastAsia="Arial" w:hint="default"/>
          <w:spacing w:val="-20"/>
        </w:rPr>
        <w:t> </w:t>
      </w:r>
      <w:r>
        <w:rPr/>
        <w:t>股，占公司总股本的</w:t>
      </w:r>
      <w:r>
        <w:rPr>
          <w:w w:val="99"/>
        </w:rPr>
        <w:t> </w:t>
      </w:r>
      <w:r>
        <w:rPr>
          <w:rFonts w:ascii="Arial" w:hAnsi="Arial" w:cs="Arial" w:eastAsia="Arial" w:hint="default"/>
        </w:rPr>
        <w:t>69.8746</w:t>
      </w:r>
      <w:r>
        <w:rPr>
          <w:rFonts w:ascii="Arial" w:hAnsi="Arial" w:cs="Arial" w:eastAsia="Arial" w:hint="default"/>
          <w:spacing w:val="-3"/>
        </w:rPr>
        <w:t> </w:t>
      </w:r>
      <w:r>
        <w:rPr>
          <w:rFonts w:ascii="Arial" w:hAnsi="Arial" w:cs="Arial" w:eastAsia="Arial" w:hint="default"/>
        </w:rPr>
        <w:t>%</w:t>
      </w:r>
      <w:r>
        <w:rPr/>
        <w:t>；股东出席会议情况符合《中华人民共和国公司法》及公司章程的规定。</w:t>
      </w:r>
    </w:p>
    <w:p>
      <w:pPr>
        <w:spacing w:line="240" w:lineRule="auto" w:before="5"/>
        <w:rPr>
          <w:rFonts w:ascii="宋体" w:hAnsi="宋体" w:cs="宋体" w:eastAsia="宋体" w:hint="default"/>
          <w:sz w:val="19"/>
          <w:szCs w:val="19"/>
        </w:rPr>
      </w:pPr>
    </w:p>
    <w:p>
      <w:pPr>
        <w:pStyle w:val="BodyText"/>
        <w:spacing w:line="225" w:lineRule="auto"/>
        <w:ind w:left="749" w:right="218"/>
        <w:jc w:val="both"/>
      </w:pPr>
      <w:r>
        <w:rPr>
          <w:w w:val="99"/>
        </w:rPr>
        <w:t>公司第一次临时股东大会审议并表决通过了</w:t>
      </w:r>
      <w:r>
        <w:rPr>
          <w:spacing w:val="-38"/>
          <w:w w:val="99"/>
        </w:rPr>
        <w:t> </w:t>
      </w:r>
      <w:r>
        <w:rPr>
          <w:rFonts w:ascii="Arial" w:hAnsi="Arial" w:cs="Arial" w:eastAsia="Arial" w:hint="default"/>
          <w:spacing w:val="-5"/>
          <w:w w:val="99"/>
        </w:rPr>
        <w:t>1</w:t>
      </w:r>
      <w:r>
        <w:rPr>
          <w:spacing w:val="-5"/>
          <w:w w:val="99"/>
        </w:rPr>
        <w:t>、关于本公司与中国联通集团和网通集团公司签</w:t>
      </w:r>
      <w:r>
        <w:rPr>
          <w:spacing w:val="-107"/>
          <w:w w:val="99"/>
        </w:rPr>
        <w:t> </w:t>
      </w:r>
      <w:r>
        <w:rPr>
          <w:spacing w:val="-107"/>
          <w:w w:val="99"/>
        </w:rPr>
      </w:r>
      <w:r>
        <w:rPr/>
        <w:t>订的</w:t>
      </w:r>
      <w:r>
        <w:rPr>
          <w:rFonts w:ascii="Arial" w:hAnsi="Arial" w:cs="Arial" w:eastAsia="Arial" w:hint="default"/>
        </w:rPr>
        <w:t>&lt;&lt;</w:t>
      </w:r>
      <w:r>
        <w:rPr/>
        <w:t>关于相关电信业务及资产的转让协议</w:t>
      </w:r>
      <w:r>
        <w:rPr>
          <w:rFonts w:ascii="Arial" w:hAnsi="Arial" w:cs="Arial" w:eastAsia="Arial" w:hint="default"/>
        </w:rPr>
        <w:t>&gt;&gt;</w:t>
      </w:r>
      <w:r>
        <w:rPr>
          <w:rFonts w:ascii="Arial" w:hAnsi="Arial" w:cs="Arial" w:eastAsia="Arial" w:hint="default"/>
          <w:spacing w:val="-11"/>
        </w:rPr>
        <w:t> </w:t>
      </w:r>
      <w:r>
        <w:rPr>
          <w:rFonts w:ascii="Arial" w:hAnsi="Arial" w:cs="Arial" w:eastAsia="Arial" w:hint="default"/>
          <w:spacing w:val="-4"/>
        </w:rPr>
        <w:t>2</w:t>
      </w:r>
      <w:r>
        <w:rPr>
          <w:spacing w:val="-4"/>
        </w:rPr>
        <w:t>、关于本公司与联通运营公司签订的《关于</w:t>
      </w:r>
      <w:r>
        <w:rPr>
          <w:rFonts w:ascii="Arial" w:hAnsi="Arial" w:cs="Arial" w:eastAsia="Arial" w:hint="default"/>
          <w:spacing w:val="-4"/>
        </w:rPr>
        <w:t>&lt;</w:t>
      </w:r>
      <w:r>
        <w:rPr>
          <w:rFonts w:ascii="Arial" w:hAnsi="Arial" w:cs="Arial" w:eastAsia="Arial" w:hint="default"/>
          <w:w w:val="99"/>
        </w:rPr>
        <w:t> </w:t>
      </w:r>
      <w:r>
        <w:rPr/>
        <w:t>关于相关电信业务及资产的转让协议</w:t>
      </w:r>
      <w:r>
        <w:rPr>
          <w:rFonts w:ascii="Arial" w:hAnsi="Arial" w:cs="Arial" w:eastAsia="Arial" w:hint="default"/>
        </w:rPr>
        <w:t>&gt;</w:t>
      </w:r>
      <w:r>
        <w:rPr/>
        <w:t>的转让协议》</w:t>
      </w:r>
      <w:r>
        <w:rPr>
          <w:rFonts w:ascii="Arial" w:hAnsi="Arial" w:cs="Arial" w:eastAsia="Arial" w:hint="default"/>
        </w:rPr>
        <w:t>3</w:t>
      </w:r>
      <w:r>
        <w:rPr/>
        <w:t>、关于联通运营公司、联通新时空以及</w:t>
      </w:r>
      <w:r>
        <w:rPr>
          <w:spacing w:val="-78"/>
        </w:rPr>
        <w:t> </w:t>
      </w:r>
      <w:r>
        <w:rPr>
          <w:spacing w:val="-78"/>
        </w:rPr>
      </w:r>
      <w:r>
        <w:rPr/>
        <w:t>中国联通集团、网通集团签订《关于相关电信网络设施的租赁协议》。</w:t>
      </w:r>
    </w:p>
    <w:p>
      <w:pPr>
        <w:spacing w:line="240" w:lineRule="auto" w:before="3"/>
        <w:rPr>
          <w:rFonts w:ascii="宋体" w:hAnsi="宋体" w:cs="宋体" w:eastAsia="宋体" w:hint="default"/>
          <w:sz w:val="19"/>
          <w:szCs w:val="19"/>
        </w:rPr>
      </w:pPr>
    </w:p>
    <w:p>
      <w:pPr>
        <w:pStyle w:val="BodyText"/>
        <w:spacing w:line="295" w:lineRule="exact"/>
        <w:ind w:left="749" w:right="0"/>
        <w:jc w:val="both"/>
      </w:pPr>
      <w:r>
        <w:rPr/>
        <w:t>公司</w:t>
      </w:r>
      <w:r>
        <w:rPr>
          <w:spacing w:val="-53"/>
        </w:rPr>
        <w:t> </w:t>
      </w:r>
      <w:r>
        <w:rPr>
          <w:rFonts w:ascii="Arial" w:hAnsi="Arial" w:cs="Arial" w:eastAsia="Arial" w:hint="default"/>
        </w:rPr>
        <w:t>2009</w:t>
      </w:r>
      <w:r>
        <w:rPr>
          <w:rFonts w:ascii="Arial" w:hAnsi="Arial" w:cs="Arial" w:eastAsia="Arial" w:hint="default"/>
          <w:spacing w:val="-3"/>
        </w:rPr>
        <w:t> </w:t>
      </w:r>
      <w:r>
        <w:rPr/>
        <w:t>年第二次临时股东大会于</w:t>
      </w:r>
      <w:r>
        <w:rPr>
          <w:spacing w:val="-52"/>
        </w:rPr>
        <w:t> </w:t>
      </w:r>
      <w:r>
        <w:rPr>
          <w:rFonts w:ascii="Arial" w:hAnsi="Arial" w:cs="Arial" w:eastAsia="Arial" w:hint="default"/>
        </w:rPr>
        <w:t>2009</w:t>
      </w:r>
      <w:r>
        <w:rPr>
          <w:rFonts w:ascii="Arial" w:hAnsi="Arial" w:cs="Arial" w:eastAsia="Arial" w:hint="default"/>
          <w:spacing w:val="-3"/>
        </w:rPr>
        <w:t> </w:t>
      </w:r>
      <w:r>
        <w:rPr/>
        <w:t>年</w:t>
      </w:r>
      <w:r>
        <w:rPr>
          <w:spacing w:val="-53"/>
        </w:rPr>
        <w:t> </w:t>
      </w:r>
      <w:r>
        <w:rPr>
          <w:rFonts w:ascii="Arial" w:hAnsi="Arial" w:cs="Arial" w:eastAsia="Arial" w:hint="default"/>
        </w:rPr>
        <w:t>11</w:t>
      </w:r>
      <w:r>
        <w:rPr>
          <w:rFonts w:ascii="Arial" w:hAnsi="Arial" w:cs="Arial" w:eastAsia="Arial" w:hint="default"/>
          <w:spacing w:val="-3"/>
        </w:rPr>
        <w:t> </w:t>
      </w:r>
      <w:r>
        <w:rPr/>
        <w:t>月</w:t>
      </w:r>
      <w:r>
        <w:rPr>
          <w:spacing w:val="-53"/>
        </w:rPr>
        <w:t> </w:t>
      </w:r>
      <w:r>
        <w:rPr>
          <w:rFonts w:ascii="Arial" w:hAnsi="Arial" w:cs="Arial" w:eastAsia="Arial" w:hint="default"/>
        </w:rPr>
        <w:t>3</w:t>
      </w:r>
      <w:r>
        <w:rPr>
          <w:rFonts w:ascii="Arial" w:hAnsi="Arial" w:cs="Arial" w:eastAsia="Arial" w:hint="default"/>
          <w:spacing w:val="-4"/>
        </w:rPr>
        <w:t> </w:t>
      </w:r>
      <w:r>
        <w:rPr/>
        <w:t>日上午</w:t>
      </w:r>
      <w:r>
        <w:rPr>
          <w:spacing w:val="-53"/>
        </w:rPr>
        <w:t> </w:t>
      </w:r>
      <w:r>
        <w:rPr>
          <w:rFonts w:ascii="Arial" w:hAnsi="Arial" w:cs="Arial" w:eastAsia="Arial" w:hint="default"/>
        </w:rPr>
        <w:t>9</w:t>
      </w:r>
      <w:r>
        <w:rPr>
          <w:rFonts w:ascii="Arial" w:hAnsi="Arial" w:cs="Arial" w:eastAsia="Arial" w:hint="default"/>
          <w:spacing w:val="-4"/>
        </w:rPr>
        <w:t> </w:t>
      </w:r>
      <w:r>
        <w:rPr/>
        <w:t>时在深圳香格里拉宾馆召开。</w:t>
      </w:r>
    </w:p>
    <w:p>
      <w:pPr>
        <w:pStyle w:val="BodyText"/>
        <w:spacing w:line="285" w:lineRule="exact"/>
        <w:ind w:left="749" w:right="0"/>
        <w:jc w:val="both"/>
      </w:pPr>
      <w:r>
        <w:rPr/>
        <w:t>出席会议的股东及股东授权代表总共为</w:t>
      </w:r>
      <w:r>
        <w:rPr>
          <w:rFonts w:ascii="Arial" w:hAnsi="Arial" w:cs="Arial" w:eastAsia="Arial" w:hint="default"/>
        </w:rPr>
        <w:t>:</w:t>
      </w:r>
      <w:r>
        <w:rPr>
          <w:rFonts w:ascii="Arial" w:hAnsi="Arial" w:cs="Arial" w:eastAsia="Arial" w:hint="default"/>
          <w:spacing w:val="-9"/>
        </w:rPr>
        <w:t> </w:t>
      </w:r>
      <w:r>
        <w:rPr>
          <w:rFonts w:ascii="Arial" w:hAnsi="Arial" w:cs="Arial" w:eastAsia="Arial" w:hint="default"/>
        </w:rPr>
        <w:t>12</w:t>
      </w:r>
      <w:r>
        <w:rPr>
          <w:rFonts w:ascii="Arial" w:hAnsi="Arial" w:cs="Arial" w:eastAsia="Arial" w:hint="default"/>
          <w:spacing w:val="-9"/>
        </w:rPr>
        <w:t> </w:t>
      </w:r>
      <w:r>
        <w:rPr/>
        <w:t>人</w:t>
      </w:r>
      <w:r>
        <w:rPr>
          <w:rFonts w:ascii="Arial" w:hAnsi="Arial" w:cs="Arial" w:eastAsia="Arial" w:hint="default"/>
        </w:rPr>
        <w:t>,</w:t>
      </w:r>
      <w:r>
        <w:rPr/>
        <w:t>代表股份</w:t>
      </w:r>
      <w:r>
        <w:rPr>
          <w:spacing w:val="-58"/>
        </w:rPr>
        <w:t> </w:t>
      </w:r>
      <w:r>
        <w:rPr>
          <w:rFonts w:ascii="Arial" w:hAnsi="Arial" w:cs="Arial" w:eastAsia="Arial" w:hint="default"/>
        </w:rPr>
        <w:t>13,670,757,147</w:t>
      </w:r>
      <w:r>
        <w:rPr>
          <w:rFonts w:ascii="Arial" w:hAnsi="Arial" w:cs="Arial" w:eastAsia="Arial" w:hint="default"/>
          <w:spacing w:val="-9"/>
        </w:rPr>
        <w:t> </w:t>
      </w:r>
      <w:r>
        <w:rPr>
          <w:spacing w:val="-7"/>
        </w:rPr>
        <w:t>股，占公司总股本的</w:t>
      </w:r>
    </w:p>
    <w:p>
      <w:pPr>
        <w:pStyle w:val="BodyText"/>
        <w:spacing w:line="295" w:lineRule="exact"/>
        <w:ind w:left="749" w:right="0"/>
        <w:jc w:val="both"/>
      </w:pPr>
      <w:r>
        <w:rPr>
          <w:rFonts w:ascii="Arial" w:hAnsi="Arial" w:cs="Arial" w:eastAsia="Arial" w:hint="default"/>
        </w:rPr>
        <w:t>64.4951%</w:t>
      </w:r>
      <w:r>
        <w:rPr/>
        <w:t>；股东出席会议情况符合《中华人民共和国公司法》及公司章程的规定。</w:t>
      </w:r>
    </w:p>
    <w:p>
      <w:pPr>
        <w:spacing w:line="240" w:lineRule="auto" w:before="2"/>
        <w:rPr>
          <w:rFonts w:ascii="宋体" w:hAnsi="宋体" w:cs="宋体" w:eastAsia="宋体" w:hint="default"/>
          <w:sz w:val="18"/>
          <w:szCs w:val="18"/>
        </w:rPr>
      </w:pPr>
    </w:p>
    <w:p>
      <w:pPr>
        <w:pStyle w:val="BodyText"/>
        <w:spacing w:line="237" w:lineRule="auto"/>
        <w:ind w:left="750" w:right="106"/>
        <w:jc w:val="both"/>
      </w:pPr>
      <w:r>
        <w:rPr/>
        <w:t>公司第二次临时股东大会审议并表决通过了《关于选举常小兵先生为第三届董事会董事候选</w:t>
      </w:r>
      <w:r>
        <w:rPr>
          <w:spacing w:val="-50"/>
        </w:rPr>
        <w:t> </w:t>
      </w:r>
      <w:r>
        <w:rPr>
          <w:spacing w:val="-50"/>
        </w:rPr>
      </w:r>
      <w:r>
        <w:rPr/>
        <w:t>人的议案》、《关于选举陆益民先生为第三届董事会董事候选人的议案》、《关于选举左迅</w:t>
      </w:r>
      <w:r>
        <w:rPr>
          <w:spacing w:val="-50"/>
        </w:rPr>
        <w:t> </w:t>
      </w:r>
      <w:r>
        <w:rPr>
          <w:spacing w:val="-50"/>
        </w:rPr>
      </w:r>
      <w:r>
        <w:rPr/>
        <w:t>生先生为第三届董事会董事候选人的议案》、《关于选举佟吉禄先生为第三届董事会董事候</w:t>
      </w:r>
      <w:r>
        <w:rPr>
          <w:spacing w:val="-50"/>
        </w:rPr>
        <w:t> </w:t>
      </w:r>
      <w:r>
        <w:rPr>
          <w:spacing w:val="-50"/>
        </w:rPr>
      </w:r>
      <w:r>
        <w:rPr/>
        <w:t>选人的议案》、《关于选举刘彩先生为第三届董事会独立董事候选人的议案》、《关于选举</w:t>
      </w:r>
      <w:r>
        <w:rPr>
          <w:spacing w:val="-50"/>
        </w:rPr>
        <w:t> </w:t>
      </w:r>
      <w:r>
        <w:rPr>
          <w:spacing w:val="-50"/>
        </w:rPr>
      </w:r>
      <w:r>
        <w:rPr/>
        <w:t>赵纯均先生为第三届董事会独立董事候选人的议案》、《关于选举张英海先生为第三届董事</w:t>
      </w:r>
      <w:r>
        <w:rPr>
          <w:spacing w:val="-50"/>
        </w:rPr>
        <w:t> </w:t>
      </w:r>
      <w:r>
        <w:rPr>
          <w:spacing w:val="-50"/>
        </w:rPr>
      </w:r>
      <w:r>
        <w:rPr>
          <w:spacing w:val="-6"/>
          <w:w w:val="99"/>
        </w:rPr>
        <w:t>会独立董事候选人的议案》、《关于选举夏大慰先生为第三届董事会独立董事候选人的议案》、</w:t>
      </w:r>
      <w:r>
        <w:rPr>
          <w:spacing w:val="-6"/>
        </w:rPr>
      </w:r>
    </w:p>
    <w:p>
      <w:pPr>
        <w:pStyle w:val="BodyText"/>
        <w:spacing w:line="286" w:lineRule="exact" w:before="26"/>
        <w:ind w:left="750" w:right="216"/>
        <w:jc w:val="both"/>
      </w:pPr>
      <w:r>
        <w:rPr/>
        <w:t>《关于选举李建国先生为第三届监事会监事候选人的议案》、《关于选举唐富馨先生为第三</w:t>
      </w:r>
      <w:r>
        <w:rPr>
          <w:spacing w:val="-50"/>
        </w:rPr>
        <w:t> </w:t>
      </w:r>
      <w:r>
        <w:rPr>
          <w:spacing w:val="-50"/>
        </w:rPr>
      </w:r>
      <w:r>
        <w:rPr/>
        <w:t>届监事会监事候选人的议案》、《关于部分修改公司章程的议案》、《关于联通红筹公司回</w:t>
      </w:r>
      <w:r>
        <w:rPr>
          <w:spacing w:val="-50"/>
        </w:rPr>
        <w:t> </w:t>
      </w:r>
      <w:r>
        <w:rPr>
          <w:spacing w:val="-50"/>
        </w:rPr>
      </w:r>
      <w:r>
        <w:rPr/>
        <w:t>购韩国</w:t>
      </w:r>
      <w:r>
        <w:rPr>
          <w:spacing w:val="-57"/>
        </w:rPr>
        <w:t> </w:t>
      </w:r>
      <w:r>
        <w:rPr>
          <w:rFonts w:ascii="Arial" w:hAnsi="Arial" w:cs="Arial" w:eastAsia="Arial" w:hint="default"/>
        </w:rPr>
        <w:t>SK</w:t>
      </w:r>
      <w:r>
        <w:rPr>
          <w:rFonts w:ascii="Arial" w:hAnsi="Arial" w:cs="Arial" w:eastAsia="Arial" w:hint="default"/>
          <w:spacing w:val="-7"/>
        </w:rPr>
        <w:t> </w:t>
      </w:r>
      <w:r>
        <w:rPr/>
        <w:t>电讯持有的联通红筹公司股份的议案》。</w:t>
      </w:r>
    </w:p>
    <w:p>
      <w:pPr>
        <w:spacing w:after="0" w:line="286" w:lineRule="exact"/>
        <w:jc w:val="both"/>
        <w:sectPr>
          <w:pgSz w:w="11910" w:h="16840"/>
          <w:pgMar w:header="587" w:footer="774" w:top="960" w:bottom="960" w:left="1000" w:right="1060"/>
        </w:sectPr>
      </w:pPr>
    </w:p>
    <w:p>
      <w:pPr>
        <w:spacing w:line="240" w:lineRule="auto" w:before="0"/>
        <w:rPr>
          <w:rFonts w:ascii="宋体" w:hAnsi="宋体" w:cs="宋体" w:eastAsia="宋体" w:hint="default"/>
          <w:sz w:val="20"/>
          <w:szCs w:val="20"/>
        </w:rPr>
      </w:pPr>
    </w:p>
    <w:p>
      <w:pPr>
        <w:pStyle w:val="Heading8"/>
        <w:spacing w:line="240" w:lineRule="auto" w:before="172"/>
        <w:ind w:left="329" w:right="0"/>
        <w:jc w:val="both"/>
        <w:rPr>
          <w:b w:val="0"/>
          <w:bCs w:val="0"/>
        </w:rPr>
      </w:pPr>
      <w:bookmarkStart w:name="_bookmark6" w:id="8"/>
      <w:bookmarkEnd w:id="8"/>
      <w:r>
        <w:rPr>
          <w:b w:val="0"/>
          <w:bCs w:val="0"/>
        </w:rPr>
      </w:r>
      <w:r>
        <w:rPr/>
        <w:t>八、董事会报告</w:t>
      </w:r>
      <w:r>
        <w:rPr>
          <w:b w:val="0"/>
          <w:bCs w:val="0"/>
        </w:rPr>
      </w:r>
    </w:p>
    <w:p>
      <w:pPr>
        <w:spacing w:line="240" w:lineRule="auto" w:before="9"/>
        <w:rPr>
          <w:rFonts w:ascii="宋体" w:hAnsi="宋体" w:cs="宋体" w:eastAsia="宋体" w:hint="default"/>
          <w:b/>
          <w:bCs/>
          <w:sz w:val="23"/>
          <w:szCs w:val="23"/>
        </w:rPr>
      </w:pPr>
    </w:p>
    <w:p>
      <w:pPr>
        <w:spacing w:before="0"/>
        <w:ind w:left="105" w:right="337" w:firstLine="0"/>
        <w:jc w:val="left"/>
        <w:rPr>
          <w:rFonts w:ascii="宋体" w:hAnsi="宋体" w:cs="宋体" w:eastAsia="宋体" w:hint="default"/>
          <w:sz w:val="22"/>
          <w:szCs w:val="22"/>
        </w:rPr>
      </w:pPr>
      <w:r>
        <w:rPr>
          <w:rFonts w:ascii="宋体" w:hAnsi="宋体" w:cs="宋体" w:eastAsia="宋体" w:hint="default"/>
          <w:b/>
          <w:bCs/>
          <w:sz w:val="22"/>
          <w:szCs w:val="22"/>
        </w:rPr>
        <w:t>（一）管理层讨论与分析</w:t>
      </w:r>
      <w:r>
        <w:rPr>
          <w:rFonts w:ascii="宋体" w:hAnsi="宋体" w:cs="宋体" w:eastAsia="宋体" w:hint="default"/>
          <w:sz w:val="22"/>
          <w:szCs w:val="22"/>
        </w:rPr>
      </w:r>
    </w:p>
    <w:p>
      <w:pPr>
        <w:spacing w:line="240" w:lineRule="auto" w:before="5"/>
        <w:rPr>
          <w:rFonts w:ascii="宋体" w:hAnsi="宋体" w:cs="宋体" w:eastAsia="宋体" w:hint="default"/>
          <w:b/>
          <w:bCs/>
          <w:sz w:val="20"/>
          <w:szCs w:val="20"/>
        </w:rPr>
      </w:pPr>
    </w:p>
    <w:p>
      <w:pPr>
        <w:pStyle w:val="BodyText"/>
        <w:spacing w:line="225" w:lineRule="auto"/>
        <w:ind w:left="329" w:right="234"/>
        <w:jc w:val="both"/>
      </w:pPr>
      <w:r>
        <w:rPr>
          <w:rFonts w:ascii="Arial" w:hAnsi="Arial" w:cs="Arial" w:eastAsia="Arial" w:hint="default"/>
        </w:rPr>
        <w:t>2008</w:t>
      </w:r>
      <w:r>
        <w:rPr>
          <w:rFonts w:ascii="Arial" w:hAnsi="Arial" w:cs="Arial" w:eastAsia="Arial" w:hint="default"/>
          <w:spacing w:val="-8"/>
        </w:rPr>
        <w:t> </w:t>
      </w:r>
      <w:r>
        <w:rPr/>
        <w:t>年</w:t>
      </w:r>
      <w:r>
        <w:rPr>
          <w:spacing w:val="-57"/>
        </w:rPr>
        <w:t> </w:t>
      </w:r>
      <w:r>
        <w:rPr>
          <w:rFonts w:ascii="Arial" w:hAnsi="Arial" w:cs="Arial" w:eastAsia="Arial" w:hint="default"/>
        </w:rPr>
        <w:t>10</w:t>
      </w:r>
      <w:r>
        <w:rPr>
          <w:rFonts w:ascii="Arial" w:hAnsi="Arial" w:cs="Arial" w:eastAsia="Arial" w:hint="default"/>
          <w:spacing w:val="-8"/>
        </w:rPr>
        <w:t> </w:t>
      </w:r>
      <w:r>
        <w:rPr/>
        <w:t>月</w:t>
      </w:r>
      <w:r>
        <w:rPr>
          <w:spacing w:val="-57"/>
        </w:rPr>
        <w:t> </w:t>
      </w:r>
      <w:r>
        <w:rPr>
          <w:rFonts w:ascii="Arial" w:hAnsi="Arial" w:cs="Arial" w:eastAsia="Arial" w:hint="default"/>
        </w:rPr>
        <w:t>1</w:t>
      </w:r>
      <w:r>
        <w:rPr>
          <w:rFonts w:ascii="Arial" w:hAnsi="Arial" w:cs="Arial" w:eastAsia="Arial" w:hint="default"/>
          <w:spacing w:val="-8"/>
        </w:rPr>
        <w:t> </w:t>
      </w:r>
      <w:r>
        <w:rPr/>
        <w:t>日，本公司完成了出售</w:t>
      </w:r>
      <w:r>
        <w:rPr>
          <w:spacing w:val="-57"/>
        </w:rPr>
        <w:t> </w:t>
      </w:r>
      <w:r>
        <w:rPr>
          <w:rFonts w:ascii="Arial" w:hAnsi="Arial" w:cs="Arial" w:eastAsia="Arial" w:hint="default"/>
        </w:rPr>
        <w:t>CDMA</w:t>
      </w:r>
      <w:r>
        <w:rPr>
          <w:rFonts w:ascii="Arial" w:hAnsi="Arial" w:cs="Arial" w:eastAsia="Arial" w:hint="default"/>
          <w:spacing w:val="-7"/>
        </w:rPr>
        <w:t> </w:t>
      </w:r>
      <w:r>
        <w:rPr/>
        <w:t>业务，故</w:t>
      </w:r>
      <w:r>
        <w:rPr>
          <w:spacing w:val="-56"/>
        </w:rPr>
        <w:t> </w:t>
      </w:r>
      <w:r>
        <w:rPr>
          <w:rFonts w:ascii="Arial" w:hAnsi="Arial" w:cs="Arial" w:eastAsia="Arial" w:hint="default"/>
        </w:rPr>
        <w:t>CDMA</w:t>
      </w:r>
      <w:r>
        <w:rPr>
          <w:rFonts w:ascii="Arial" w:hAnsi="Arial" w:cs="Arial" w:eastAsia="Arial" w:hint="default"/>
          <w:spacing w:val="-7"/>
        </w:rPr>
        <w:t> </w:t>
      </w:r>
      <w:r>
        <w:rPr/>
        <w:t>业务被确认为终止经营业务。为</w:t>
      </w:r>
      <w:r>
        <w:rPr>
          <w:w w:val="99"/>
        </w:rPr>
        <w:t> </w:t>
      </w:r>
      <w:r>
        <w:rPr/>
        <w:t>准确反映</w:t>
      </w:r>
      <w:r>
        <w:rPr>
          <w:spacing w:val="-57"/>
        </w:rPr>
        <w:t> </w:t>
      </w:r>
      <w:r>
        <w:rPr>
          <w:rFonts w:ascii="Arial" w:hAnsi="Arial" w:cs="Arial" w:eastAsia="Arial" w:hint="default"/>
        </w:rPr>
        <w:t>2008</w:t>
      </w:r>
      <w:r>
        <w:rPr>
          <w:rFonts w:ascii="Arial" w:hAnsi="Arial" w:cs="Arial" w:eastAsia="Arial" w:hint="default"/>
          <w:spacing w:val="-8"/>
        </w:rPr>
        <w:t> </w:t>
      </w:r>
      <w:r>
        <w:rPr/>
        <w:t>年和</w:t>
      </w:r>
      <w:r>
        <w:rPr>
          <w:spacing w:val="-57"/>
        </w:rPr>
        <w:t> </w:t>
      </w:r>
      <w:r>
        <w:rPr>
          <w:rFonts w:ascii="Arial" w:hAnsi="Arial" w:cs="Arial" w:eastAsia="Arial" w:hint="default"/>
        </w:rPr>
        <w:t>2009</w:t>
      </w:r>
      <w:r>
        <w:rPr>
          <w:rFonts w:ascii="Arial" w:hAnsi="Arial" w:cs="Arial" w:eastAsia="Arial" w:hint="default"/>
          <w:spacing w:val="-8"/>
        </w:rPr>
        <w:t> </w:t>
      </w:r>
      <w:r>
        <w:rPr/>
        <w:t>年业务的变化情况，本报告的分析均不包含</w:t>
      </w:r>
      <w:r>
        <w:rPr>
          <w:spacing w:val="-56"/>
        </w:rPr>
        <w:t> </w:t>
      </w:r>
      <w:r>
        <w:rPr>
          <w:rFonts w:ascii="Arial" w:hAnsi="Arial" w:cs="Arial" w:eastAsia="Arial" w:hint="default"/>
        </w:rPr>
        <w:t>2008</w:t>
      </w:r>
      <w:r>
        <w:rPr>
          <w:rFonts w:ascii="Arial" w:hAnsi="Arial" w:cs="Arial" w:eastAsia="Arial" w:hint="default"/>
          <w:spacing w:val="-8"/>
        </w:rPr>
        <w:t> </w:t>
      </w:r>
      <w:r>
        <w:rPr/>
        <w:t>年终止经营业务，均</w:t>
      </w:r>
      <w:r>
        <w:rPr>
          <w:w w:val="99"/>
        </w:rPr>
        <w:t> </w:t>
      </w:r>
      <w:r>
        <w:rPr/>
        <w:t>以持续经营业务为统一比较口径。</w:t>
      </w:r>
    </w:p>
    <w:p>
      <w:pPr>
        <w:spacing w:line="240" w:lineRule="auto" w:before="4"/>
        <w:rPr>
          <w:rFonts w:ascii="宋体" w:hAnsi="宋体" w:cs="宋体" w:eastAsia="宋体" w:hint="default"/>
          <w:sz w:val="19"/>
          <w:szCs w:val="19"/>
        </w:rPr>
      </w:pPr>
    </w:p>
    <w:p>
      <w:pPr>
        <w:pStyle w:val="Heading8"/>
        <w:spacing w:line="240" w:lineRule="auto"/>
        <w:ind w:left="329" w:right="0"/>
        <w:jc w:val="both"/>
        <w:rPr>
          <w:b w:val="0"/>
          <w:bCs w:val="0"/>
        </w:rPr>
      </w:pPr>
      <w:r>
        <w:rPr/>
        <w:t>第一部分  </w:t>
      </w:r>
      <w:r>
        <w:rPr>
          <w:spacing w:val="41"/>
        </w:rPr>
        <w:t> </w:t>
      </w:r>
      <w:r>
        <w:rPr/>
        <w:t>总体经营情况</w:t>
      </w:r>
      <w:r>
        <w:rPr>
          <w:b w:val="0"/>
          <w:bCs w:val="0"/>
        </w:rPr>
      </w:r>
    </w:p>
    <w:p>
      <w:pPr>
        <w:spacing w:line="240" w:lineRule="auto" w:before="13"/>
        <w:rPr>
          <w:rFonts w:ascii="宋体" w:hAnsi="宋体" w:cs="宋体" w:eastAsia="宋体" w:hint="default"/>
          <w:b/>
          <w:bCs/>
          <w:sz w:val="21"/>
          <w:szCs w:val="21"/>
        </w:rPr>
      </w:pPr>
    </w:p>
    <w:p>
      <w:pPr>
        <w:pStyle w:val="BodyText"/>
        <w:spacing w:line="280" w:lineRule="exact"/>
        <w:ind w:left="805" w:right="218"/>
        <w:jc w:val="both"/>
      </w:pPr>
      <w:r>
        <w:rPr>
          <w:rFonts w:ascii="Arial" w:hAnsi="Arial" w:cs="Arial" w:eastAsia="Arial" w:hint="default"/>
        </w:rPr>
        <w:t>2009</w:t>
      </w:r>
      <w:r>
        <w:rPr>
          <w:rFonts w:ascii="Arial" w:hAnsi="Arial" w:cs="Arial" w:eastAsia="Arial" w:hint="default"/>
          <w:spacing w:val="-23"/>
        </w:rPr>
        <w:t> </w:t>
      </w:r>
      <w:r>
        <w:rPr/>
        <w:t>年，面对国际金融危机和行业竞争加剧带来的挑战，以及宽带互联网业务和</w:t>
      </w:r>
      <w:r>
        <w:rPr>
          <w:spacing w:val="-71"/>
        </w:rPr>
        <w:t> </w:t>
      </w:r>
      <w:r>
        <w:rPr>
          <w:rFonts w:ascii="Arial" w:hAnsi="Arial" w:cs="Arial" w:eastAsia="Arial" w:hint="default"/>
        </w:rPr>
        <w:t>3G</w:t>
      </w:r>
      <w:r>
        <w:rPr>
          <w:rFonts w:ascii="Arial" w:hAnsi="Arial" w:cs="Arial" w:eastAsia="Arial" w:hint="default"/>
          <w:spacing w:val="-24"/>
        </w:rPr>
        <w:t> </w:t>
      </w:r>
      <w:r>
        <w:rPr/>
        <w:t>业务发</w:t>
      </w:r>
      <w:r>
        <w:rPr>
          <w:w w:val="99"/>
        </w:rPr>
        <w:t> </w:t>
      </w:r>
      <w:r>
        <w:rPr/>
        <w:t>展带来的机遇，公司全面整合资源，积极拓展市场，加快网络建设，业务发展保持平稳，收</w:t>
      </w:r>
      <w:r>
        <w:rPr>
          <w:w w:val="99"/>
        </w:rPr>
        <w:t> </w:t>
      </w:r>
      <w:r>
        <w:rPr/>
        <w:t>入结构逐步改善，网络能力明显增强，为公司未来发展奠定了良好的基础。</w:t>
      </w:r>
    </w:p>
    <w:p>
      <w:pPr>
        <w:spacing w:line="240" w:lineRule="auto" w:before="12"/>
        <w:rPr>
          <w:rFonts w:ascii="宋体" w:hAnsi="宋体" w:cs="宋体" w:eastAsia="宋体" w:hint="default"/>
          <w:sz w:val="18"/>
          <w:szCs w:val="18"/>
        </w:rPr>
      </w:pPr>
    </w:p>
    <w:p>
      <w:pPr>
        <w:pStyle w:val="Heading8"/>
        <w:spacing w:line="240" w:lineRule="auto"/>
        <w:ind w:left="329" w:right="0"/>
        <w:jc w:val="both"/>
        <w:rPr>
          <w:b w:val="0"/>
          <w:bCs w:val="0"/>
        </w:rPr>
      </w:pPr>
      <w:r>
        <w:rPr>
          <w:rFonts w:ascii="Arial" w:hAnsi="Arial" w:cs="Arial" w:eastAsia="Arial" w:hint="default"/>
        </w:rPr>
        <w:t>1</w:t>
      </w:r>
      <w:r>
        <w:rPr/>
        <w:t>、</w:t>
      </w:r>
      <w:r>
        <w:rPr>
          <w:spacing w:val="-36"/>
        </w:rPr>
        <w:t> </w:t>
      </w:r>
      <w:r>
        <w:rPr/>
        <w:t>财务表现</w:t>
      </w:r>
      <w:r>
        <w:rPr>
          <w:b w:val="0"/>
          <w:bCs w:val="0"/>
        </w:rPr>
      </w:r>
    </w:p>
    <w:p>
      <w:pPr>
        <w:spacing w:line="240" w:lineRule="auto" w:before="3"/>
        <w:rPr>
          <w:rFonts w:ascii="宋体" w:hAnsi="宋体" w:cs="宋体" w:eastAsia="宋体" w:hint="default"/>
          <w:b/>
          <w:bCs/>
          <w:sz w:val="21"/>
          <w:szCs w:val="21"/>
        </w:rPr>
      </w:pPr>
    </w:p>
    <w:p>
      <w:pPr>
        <w:pStyle w:val="BodyText"/>
        <w:spacing w:line="220" w:lineRule="auto"/>
        <w:ind w:left="749" w:right="216"/>
        <w:jc w:val="both"/>
      </w:pPr>
      <w:r>
        <w:rPr>
          <w:rFonts w:ascii="Arial" w:hAnsi="Arial" w:cs="Arial" w:eastAsia="Arial" w:hint="default"/>
        </w:rPr>
        <w:t>2009</w:t>
      </w:r>
      <w:r>
        <w:rPr>
          <w:rFonts w:ascii="Arial" w:hAnsi="Arial" w:cs="Arial" w:eastAsia="Arial" w:hint="default"/>
          <w:spacing w:val="-8"/>
        </w:rPr>
        <w:t> </w:t>
      </w:r>
      <w:r>
        <w:rPr/>
        <w:t>年，公司实现营业收入人民币</w:t>
      </w:r>
      <w:r>
        <w:rPr>
          <w:spacing w:val="-56"/>
        </w:rPr>
        <w:t> </w:t>
      </w:r>
      <w:r>
        <w:rPr>
          <w:rFonts w:ascii="Arial" w:hAnsi="Arial" w:cs="Arial" w:eastAsia="Arial" w:hint="default"/>
        </w:rPr>
        <w:t>1,583.7</w:t>
      </w:r>
      <w:r>
        <w:rPr>
          <w:rFonts w:ascii="Arial" w:hAnsi="Arial" w:cs="Arial" w:eastAsia="Arial" w:hint="default"/>
          <w:spacing w:val="-8"/>
        </w:rPr>
        <w:t> </w:t>
      </w:r>
      <w:r>
        <w:rPr/>
        <w:t>亿元，剔除固网初装费递延收入</w:t>
      </w:r>
      <w:r>
        <w:rPr>
          <w:spacing w:val="-57"/>
        </w:rPr>
        <w:t> </w:t>
      </w:r>
      <w:r>
        <w:rPr>
          <w:rFonts w:ascii="Arial" w:hAnsi="Arial" w:cs="Arial" w:eastAsia="Arial" w:hint="default"/>
        </w:rPr>
        <w:t>4.9</w:t>
      </w:r>
      <w:r>
        <w:rPr>
          <w:rFonts w:ascii="Arial" w:hAnsi="Arial" w:cs="Arial" w:eastAsia="Arial" w:hint="default"/>
          <w:spacing w:val="-8"/>
        </w:rPr>
        <w:t> </w:t>
      </w:r>
      <w:r>
        <w:rPr/>
        <w:t>亿元后，实</w:t>
      </w:r>
      <w:r>
        <w:rPr>
          <w:w w:val="99"/>
        </w:rPr>
        <w:t> </w:t>
      </w:r>
      <w:r>
        <w:rPr/>
        <w:t>现通信服务收入人民币</w:t>
      </w:r>
      <w:r>
        <w:rPr>
          <w:spacing w:val="-56"/>
        </w:rPr>
        <w:t> </w:t>
      </w:r>
      <w:r>
        <w:rPr>
          <w:rFonts w:ascii="Arial" w:hAnsi="Arial" w:cs="Arial" w:eastAsia="Arial" w:hint="default"/>
        </w:rPr>
        <w:t>1,533.3</w:t>
      </w:r>
      <w:r>
        <w:rPr>
          <w:rFonts w:ascii="Arial" w:hAnsi="Arial" w:cs="Arial" w:eastAsia="Arial" w:hint="default"/>
          <w:spacing w:val="-8"/>
        </w:rPr>
        <w:t> </w:t>
      </w:r>
      <w:r>
        <w:rPr/>
        <w:t>亿元，按可比口径（附注</w:t>
      </w:r>
      <w:r>
        <w:rPr>
          <w:spacing w:val="-56"/>
        </w:rPr>
        <w:t> </w:t>
      </w:r>
      <w:r>
        <w:rPr>
          <w:rFonts w:ascii="Arial" w:hAnsi="Arial" w:cs="Arial" w:eastAsia="Arial" w:hint="default"/>
        </w:rPr>
        <w:t>2</w:t>
      </w:r>
      <w:r>
        <w:rPr/>
        <w:t>），同比下降</w:t>
      </w:r>
      <w:r>
        <w:rPr>
          <w:spacing w:val="-57"/>
        </w:rPr>
        <w:t> </w:t>
      </w:r>
      <w:r>
        <w:rPr>
          <w:rFonts w:ascii="Arial" w:hAnsi="Arial" w:cs="Arial" w:eastAsia="Arial" w:hint="default"/>
        </w:rPr>
        <w:t>1.1%</w:t>
      </w:r>
      <w:r>
        <w:rPr/>
        <w:t>。其中，移动</w:t>
      </w:r>
      <w:r>
        <w:rPr>
          <w:w w:val="99"/>
        </w:rPr>
        <w:t> </w:t>
      </w:r>
      <w:r>
        <w:rPr/>
        <w:t>业务实现通信服务收入人民币</w:t>
      </w:r>
      <w:r>
        <w:rPr>
          <w:spacing w:val="-67"/>
        </w:rPr>
        <w:t> </w:t>
      </w:r>
      <w:r>
        <w:rPr>
          <w:rFonts w:ascii="Arial" w:hAnsi="Arial" w:cs="Arial" w:eastAsia="Arial" w:hint="default"/>
        </w:rPr>
        <w:t>715.6</w:t>
      </w:r>
      <w:r>
        <w:rPr>
          <w:rFonts w:ascii="Arial" w:hAnsi="Arial" w:cs="Arial" w:eastAsia="Arial" w:hint="default"/>
          <w:spacing w:val="-18"/>
        </w:rPr>
        <w:t> </w:t>
      </w:r>
      <w:r>
        <w:rPr>
          <w:spacing w:val="-5"/>
        </w:rPr>
        <w:t>亿元，同比增长</w:t>
      </w:r>
      <w:r>
        <w:rPr>
          <w:spacing w:val="-67"/>
        </w:rPr>
        <w:t> </w:t>
      </w:r>
      <w:r>
        <w:rPr>
          <w:rFonts w:ascii="Arial" w:hAnsi="Arial" w:cs="Arial" w:eastAsia="Arial" w:hint="default"/>
        </w:rPr>
        <w:t>9.1</w:t>
      </w:r>
      <w:r>
        <w:rPr/>
        <w:t>％；固网业务实现通信服务收入人民</w:t>
      </w:r>
      <w:r>
        <w:rPr>
          <w:w w:val="99"/>
        </w:rPr>
        <w:t> </w:t>
      </w:r>
      <w:r>
        <w:rPr/>
        <w:t>币</w:t>
      </w:r>
      <w:r>
        <w:rPr>
          <w:spacing w:val="-57"/>
        </w:rPr>
        <w:t> </w:t>
      </w:r>
      <w:r>
        <w:rPr>
          <w:rFonts w:ascii="Arial" w:hAnsi="Arial" w:cs="Arial" w:eastAsia="Arial" w:hint="default"/>
        </w:rPr>
        <w:t>814.7</w:t>
      </w:r>
      <w:r>
        <w:rPr>
          <w:rFonts w:ascii="Arial" w:hAnsi="Arial" w:cs="Arial" w:eastAsia="Arial" w:hint="default"/>
          <w:spacing w:val="-8"/>
        </w:rPr>
        <w:t> </w:t>
      </w:r>
      <w:r>
        <w:rPr/>
        <w:t>亿元，按可比口径（附注</w:t>
      </w:r>
      <w:r>
        <w:rPr>
          <w:spacing w:val="-56"/>
        </w:rPr>
        <w:t> </w:t>
      </w:r>
      <w:r>
        <w:rPr>
          <w:rFonts w:ascii="Arial" w:hAnsi="Arial" w:cs="Arial" w:eastAsia="Arial" w:hint="default"/>
        </w:rPr>
        <w:t>2</w:t>
      </w:r>
      <w:r>
        <w:rPr/>
        <w:t>），同比下降</w:t>
      </w:r>
      <w:r>
        <w:rPr>
          <w:spacing w:val="-57"/>
        </w:rPr>
        <w:t> </w:t>
      </w:r>
      <w:r>
        <w:rPr>
          <w:rFonts w:ascii="Arial" w:hAnsi="Arial" w:cs="Arial" w:eastAsia="Arial" w:hint="default"/>
        </w:rPr>
        <w:t>8.5%</w:t>
      </w:r>
      <w:r>
        <w:rPr/>
        <w:t>。固网业务中，固网宽带业务实现收</w:t>
      </w:r>
      <w:r>
        <w:rPr>
          <w:w w:val="99"/>
        </w:rPr>
        <w:t> </w:t>
      </w:r>
      <w:r>
        <w:rPr/>
        <w:t>入人民币</w:t>
      </w:r>
      <w:r>
        <w:rPr>
          <w:spacing w:val="-57"/>
        </w:rPr>
        <w:t> </w:t>
      </w:r>
      <w:r>
        <w:rPr>
          <w:rFonts w:ascii="Arial" w:hAnsi="Arial" w:cs="Arial" w:eastAsia="Arial" w:hint="default"/>
        </w:rPr>
        <w:t>246.4</w:t>
      </w:r>
      <w:r>
        <w:rPr>
          <w:rFonts w:ascii="Arial" w:hAnsi="Arial" w:cs="Arial" w:eastAsia="Arial" w:hint="default"/>
          <w:spacing w:val="-8"/>
        </w:rPr>
        <w:t> </w:t>
      </w:r>
      <w:r>
        <w:rPr/>
        <w:t>亿元，同比增长</w:t>
      </w:r>
      <w:r>
        <w:rPr>
          <w:spacing w:val="-57"/>
        </w:rPr>
        <w:t> </w:t>
      </w:r>
      <w:r>
        <w:rPr>
          <w:rFonts w:ascii="Arial" w:hAnsi="Arial" w:cs="Arial" w:eastAsia="Arial" w:hint="default"/>
        </w:rPr>
        <w:t>14.0%</w:t>
      </w:r>
      <w:r>
        <w:rPr/>
        <w:t>。</w:t>
      </w:r>
    </w:p>
    <w:p>
      <w:pPr>
        <w:spacing w:line="240" w:lineRule="auto" w:before="12"/>
        <w:rPr>
          <w:rFonts w:ascii="宋体" w:hAnsi="宋体" w:cs="宋体" w:eastAsia="宋体" w:hint="default"/>
          <w:sz w:val="19"/>
          <w:szCs w:val="19"/>
        </w:rPr>
      </w:pPr>
    </w:p>
    <w:p>
      <w:pPr>
        <w:pStyle w:val="BodyText"/>
        <w:spacing w:line="292" w:lineRule="exact"/>
        <w:ind w:left="749" w:right="0"/>
        <w:jc w:val="both"/>
      </w:pPr>
      <w:r>
        <w:rPr>
          <w:rFonts w:ascii="Arial" w:hAnsi="Arial" w:cs="Arial" w:eastAsia="Arial" w:hint="default"/>
        </w:rPr>
        <w:t>2009</w:t>
      </w:r>
      <w:r>
        <w:rPr>
          <w:rFonts w:ascii="Arial" w:hAnsi="Arial" w:cs="Arial" w:eastAsia="Arial" w:hint="default"/>
          <w:spacing w:val="-8"/>
        </w:rPr>
        <w:t> </w:t>
      </w:r>
      <w:r>
        <w:rPr/>
        <w:t>年，公司实现盈利人民币</w:t>
      </w:r>
      <w:r>
        <w:rPr>
          <w:spacing w:val="-57"/>
        </w:rPr>
        <w:t> </w:t>
      </w:r>
      <w:r>
        <w:rPr>
          <w:rFonts w:ascii="Arial" w:hAnsi="Arial" w:cs="Arial" w:eastAsia="Arial" w:hint="default"/>
        </w:rPr>
        <w:t>93.7</w:t>
      </w:r>
      <w:r>
        <w:rPr>
          <w:rFonts w:ascii="Arial" w:hAnsi="Arial" w:cs="Arial" w:eastAsia="Arial" w:hint="default"/>
          <w:spacing w:val="-8"/>
        </w:rPr>
        <w:t> </w:t>
      </w:r>
      <w:r>
        <w:rPr/>
        <w:t>亿元，同上年持续经营业务盈利相比，增长</w:t>
      </w:r>
      <w:r>
        <w:rPr>
          <w:spacing w:val="-57"/>
        </w:rPr>
        <w:t> </w:t>
      </w:r>
      <w:r>
        <w:rPr>
          <w:rFonts w:ascii="Arial" w:hAnsi="Arial" w:cs="Arial" w:eastAsia="Arial" w:hint="default"/>
        </w:rPr>
        <w:t>29.3%</w:t>
      </w:r>
      <w:r>
        <w:rPr/>
        <w:t>，其</w:t>
      </w:r>
    </w:p>
    <w:p>
      <w:pPr>
        <w:pStyle w:val="BodyText"/>
        <w:spacing w:line="220" w:lineRule="auto" w:before="8"/>
        <w:ind w:left="749" w:right="217"/>
        <w:jc w:val="both"/>
      </w:pPr>
      <w:r>
        <w:rPr/>
        <w:t>中归属于母公司的净利润为</w:t>
      </w:r>
      <w:r>
        <w:rPr>
          <w:spacing w:val="-63"/>
        </w:rPr>
        <w:t> </w:t>
      </w:r>
      <w:r>
        <w:rPr>
          <w:rFonts w:ascii="Arial" w:hAnsi="Arial" w:cs="Arial" w:eastAsia="Arial" w:hint="default"/>
        </w:rPr>
        <w:t>31.4</w:t>
      </w:r>
      <w:r>
        <w:rPr>
          <w:rFonts w:ascii="Arial" w:hAnsi="Arial" w:cs="Arial" w:eastAsia="Arial" w:hint="default"/>
          <w:spacing w:val="-14"/>
        </w:rPr>
        <w:t> </w:t>
      </w:r>
      <w:r>
        <w:rPr/>
        <w:t>亿元，基本每股收益为人民币</w:t>
      </w:r>
      <w:r>
        <w:rPr>
          <w:spacing w:val="-63"/>
        </w:rPr>
        <w:t> </w:t>
      </w:r>
      <w:r>
        <w:rPr>
          <w:rFonts w:ascii="Arial" w:hAnsi="Arial" w:cs="Arial" w:eastAsia="Arial" w:hint="default"/>
        </w:rPr>
        <w:t>0.148</w:t>
      </w:r>
      <w:r>
        <w:rPr>
          <w:rFonts w:ascii="Arial" w:hAnsi="Arial" w:cs="Arial" w:eastAsia="Arial" w:hint="default"/>
          <w:spacing w:val="-14"/>
        </w:rPr>
        <w:t> </w:t>
      </w:r>
      <w:r>
        <w:rPr/>
        <w:t>元。受固网语音业务下</w:t>
      </w:r>
      <w:r>
        <w:rPr>
          <w:w w:val="99"/>
        </w:rPr>
        <w:t> </w:t>
      </w:r>
      <w:r>
        <w:rPr>
          <w:spacing w:val="-5"/>
        </w:rPr>
        <w:t>滑，以及</w:t>
      </w:r>
      <w:r>
        <w:rPr>
          <w:spacing w:val="-64"/>
        </w:rPr>
        <w:t> </w:t>
      </w:r>
      <w:r>
        <w:rPr>
          <w:rFonts w:ascii="Arial" w:hAnsi="Arial" w:cs="Arial" w:eastAsia="Arial" w:hint="default"/>
        </w:rPr>
        <w:t>3G</w:t>
      </w:r>
      <w:r>
        <w:rPr>
          <w:rFonts w:ascii="Arial" w:hAnsi="Arial" w:cs="Arial" w:eastAsia="Arial" w:hint="default"/>
          <w:spacing w:val="-16"/>
        </w:rPr>
        <w:t> </w:t>
      </w:r>
      <w:r>
        <w:rPr/>
        <w:t>业务处于运营初期等因素的影响，调整后净利润按可比口径（附注</w:t>
      </w:r>
      <w:r>
        <w:rPr>
          <w:spacing w:val="-63"/>
        </w:rPr>
        <w:t> </w:t>
      </w:r>
      <w:r>
        <w:rPr>
          <w:rFonts w:ascii="Arial" w:hAnsi="Arial" w:cs="Arial" w:eastAsia="Arial" w:hint="default"/>
          <w:spacing w:val="-4"/>
        </w:rPr>
        <w:t>3</w:t>
      </w:r>
      <w:r>
        <w:rPr>
          <w:spacing w:val="-4"/>
        </w:rPr>
        <w:t>）同比下降</w:t>
      </w:r>
      <w:r>
        <w:rPr>
          <w:w w:val="99"/>
        </w:rPr>
        <w:t> </w:t>
      </w:r>
      <w:r>
        <w:rPr>
          <w:rFonts w:ascii="Arial" w:hAnsi="Arial" w:cs="Arial" w:eastAsia="Arial" w:hint="default"/>
        </w:rPr>
        <w:t>35.1%</w:t>
      </w:r>
      <w:r>
        <w:rPr/>
        <w:t>。</w:t>
      </w:r>
    </w:p>
    <w:p>
      <w:pPr>
        <w:spacing w:line="240" w:lineRule="auto" w:before="4"/>
        <w:rPr>
          <w:rFonts w:ascii="宋体" w:hAnsi="宋体" w:cs="宋体" w:eastAsia="宋体" w:hint="default"/>
          <w:sz w:val="22"/>
          <w:szCs w:val="22"/>
        </w:rPr>
      </w:pPr>
    </w:p>
    <w:p>
      <w:pPr>
        <w:pStyle w:val="BodyText"/>
        <w:spacing w:line="280" w:lineRule="exact"/>
        <w:ind w:left="749" w:right="337"/>
        <w:jc w:val="left"/>
      </w:pPr>
      <w:r>
        <w:rPr/>
        <w:t>截至</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日，公司总付息债务为人民币</w:t>
      </w:r>
      <w:r>
        <w:rPr>
          <w:spacing w:val="-56"/>
        </w:rPr>
        <w:t> </w:t>
      </w:r>
      <w:r>
        <w:rPr>
          <w:rFonts w:ascii="Arial" w:hAnsi="Arial" w:cs="Arial" w:eastAsia="Arial" w:hint="default"/>
        </w:rPr>
        <w:t>744.6</w:t>
      </w:r>
      <w:r>
        <w:rPr>
          <w:rFonts w:ascii="Arial" w:hAnsi="Arial" w:cs="Arial" w:eastAsia="Arial" w:hint="default"/>
          <w:spacing w:val="-7"/>
        </w:rPr>
        <w:t> </w:t>
      </w:r>
      <w:r>
        <w:rPr/>
        <w:t>亿元，资产负债率（附注</w:t>
      </w:r>
      <w:r>
        <w:rPr>
          <w:spacing w:val="-56"/>
        </w:rPr>
        <w:t> </w:t>
      </w:r>
      <w:r>
        <w:rPr>
          <w:rFonts w:ascii="Arial" w:hAnsi="Arial" w:cs="Arial" w:eastAsia="Arial" w:hint="default"/>
        </w:rPr>
        <w:t>5</w:t>
      </w:r>
      <w:r>
        <w:rPr/>
        <w:t>）为</w:t>
      </w:r>
      <w:r>
        <w:rPr>
          <w:w w:val="99"/>
        </w:rPr>
        <w:t> </w:t>
      </w:r>
      <w:r>
        <w:rPr>
          <w:rFonts w:ascii="Arial" w:hAnsi="Arial" w:cs="Arial" w:eastAsia="Arial" w:hint="default"/>
        </w:rPr>
        <w:t>50.2%</w:t>
      </w:r>
      <w:r>
        <w:rPr/>
        <w:t>，公司债务资本结构稳健。</w:t>
      </w:r>
    </w:p>
    <w:p>
      <w:pPr>
        <w:spacing w:line="240" w:lineRule="auto" w:before="11"/>
        <w:rPr>
          <w:rFonts w:ascii="宋体" w:hAnsi="宋体" w:cs="宋体" w:eastAsia="宋体" w:hint="default"/>
          <w:sz w:val="18"/>
          <w:szCs w:val="18"/>
        </w:rPr>
      </w:pPr>
    </w:p>
    <w:p>
      <w:pPr>
        <w:pStyle w:val="Heading8"/>
        <w:spacing w:line="240" w:lineRule="auto"/>
        <w:ind w:left="329" w:right="0"/>
        <w:jc w:val="both"/>
        <w:rPr>
          <w:b w:val="0"/>
          <w:bCs w:val="0"/>
        </w:rPr>
      </w:pPr>
      <w:r>
        <w:rPr>
          <w:rFonts w:ascii="Arial" w:hAnsi="Arial" w:cs="Arial" w:eastAsia="Arial" w:hint="default"/>
        </w:rPr>
        <w:t>2</w:t>
      </w:r>
      <w:r>
        <w:rPr/>
        <w:t>、</w:t>
      </w:r>
      <w:r>
        <w:rPr>
          <w:spacing w:val="-37"/>
        </w:rPr>
        <w:t> </w:t>
      </w:r>
      <w:r>
        <w:rPr/>
        <w:t>业务表现概述</w:t>
      </w:r>
      <w:r>
        <w:rPr>
          <w:b w:val="0"/>
          <w:bCs w:val="0"/>
        </w:rPr>
      </w:r>
    </w:p>
    <w:p>
      <w:pPr>
        <w:spacing w:line="240" w:lineRule="auto" w:before="2"/>
        <w:rPr>
          <w:rFonts w:ascii="宋体" w:hAnsi="宋体" w:cs="宋体" w:eastAsia="宋体" w:hint="default"/>
          <w:b/>
          <w:bCs/>
          <w:sz w:val="22"/>
          <w:szCs w:val="22"/>
        </w:rPr>
      </w:pPr>
    </w:p>
    <w:p>
      <w:pPr>
        <w:pStyle w:val="BodyText"/>
        <w:spacing w:line="280" w:lineRule="exact"/>
        <w:ind w:left="749" w:right="220"/>
        <w:jc w:val="both"/>
      </w:pPr>
      <w:r>
        <w:rPr>
          <w:rFonts w:ascii="Arial" w:hAnsi="Arial" w:cs="Arial" w:eastAsia="Arial" w:hint="default"/>
        </w:rPr>
        <w:t>2009</w:t>
      </w:r>
      <w:r>
        <w:rPr>
          <w:rFonts w:ascii="Arial" w:hAnsi="Arial" w:cs="Arial" w:eastAsia="Arial" w:hint="default"/>
          <w:spacing w:val="-36"/>
        </w:rPr>
        <w:t> </w:t>
      </w:r>
      <w:r>
        <w:rPr/>
        <w:t>年，公司全面开展全业务运营，移动和固网宽带业务继续保持增长，固网语音业务面临</w:t>
      </w:r>
      <w:r>
        <w:rPr>
          <w:w w:val="99"/>
        </w:rPr>
        <w:t> </w:t>
      </w:r>
      <w:r>
        <w:rPr/>
        <w:t>下滑压力；业务收入结构逐步改善；网络通信能力大幅提升；对外合作取得积极进展。</w:t>
      </w:r>
    </w:p>
    <w:p>
      <w:pPr>
        <w:spacing w:line="240" w:lineRule="auto" w:before="6"/>
        <w:rPr>
          <w:rFonts w:ascii="宋体" w:hAnsi="宋体" w:cs="宋体" w:eastAsia="宋体" w:hint="default"/>
          <w:sz w:val="20"/>
          <w:szCs w:val="20"/>
        </w:rPr>
      </w:pPr>
    </w:p>
    <w:p>
      <w:pPr>
        <w:pStyle w:val="BodyText"/>
        <w:spacing w:line="220" w:lineRule="auto"/>
        <w:ind w:left="748" w:right="100"/>
        <w:jc w:val="left"/>
      </w:pPr>
      <w:r>
        <w:rPr>
          <w:rFonts w:ascii="Arial" w:hAnsi="Arial" w:cs="Arial" w:eastAsia="Arial" w:hint="default"/>
        </w:rPr>
        <w:t>GSM </w:t>
      </w:r>
      <w:r>
        <w:rPr>
          <w:spacing w:val="-6"/>
        </w:rPr>
        <w:t>业务持续增长。公司继续拓展用户市场，加强以</w:t>
      </w:r>
      <w:r>
        <w:rPr>
          <w:spacing w:val="-57"/>
        </w:rPr>
        <w:t> </w:t>
      </w:r>
      <w:r>
        <w:rPr>
          <w:rFonts w:ascii="Arial" w:hAnsi="Arial" w:cs="Arial" w:eastAsia="Arial" w:hint="default"/>
          <w:spacing w:val="-3"/>
        </w:rPr>
        <w:t>GPRS</w:t>
      </w:r>
      <w:r>
        <w:rPr>
          <w:spacing w:val="-3"/>
        </w:rPr>
        <w:t>、短信等为重点的增值业务营销。</w:t>
      </w:r>
      <w:r>
        <w:rPr>
          <w:w w:val="99"/>
        </w:rPr>
        <w:t> </w:t>
      </w:r>
      <w:r>
        <w:rPr/>
        <w:t>截至</w:t>
      </w:r>
      <w:r>
        <w:rPr>
          <w:spacing w:val="-50"/>
        </w:rPr>
        <w:t> </w:t>
      </w:r>
      <w:r>
        <w:rPr>
          <w:rFonts w:ascii="Arial" w:hAnsi="Arial" w:cs="Arial" w:eastAsia="Arial" w:hint="default"/>
        </w:rPr>
        <w:t>2009</w:t>
      </w:r>
      <w:r>
        <w:rPr>
          <w:rFonts w:ascii="Arial" w:hAnsi="Arial" w:cs="Arial" w:eastAsia="Arial" w:hint="default"/>
          <w:spacing w:val="-1"/>
        </w:rPr>
        <w:t> </w:t>
      </w:r>
      <w:r>
        <w:rPr/>
        <w:t>年</w:t>
      </w:r>
      <w:r>
        <w:rPr>
          <w:spacing w:val="-50"/>
        </w:rPr>
        <w:t> </w:t>
      </w:r>
      <w:r>
        <w:rPr>
          <w:rFonts w:ascii="Arial" w:hAnsi="Arial" w:cs="Arial" w:eastAsia="Arial" w:hint="default"/>
        </w:rPr>
        <w:t>12</w:t>
      </w:r>
      <w:r>
        <w:rPr>
          <w:rFonts w:ascii="Arial" w:hAnsi="Arial" w:cs="Arial" w:eastAsia="Arial" w:hint="default"/>
          <w:spacing w:val="-1"/>
        </w:rPr>
        <w:t> </w:t>
      </w:r>
      <w:r>
        <w:rPr/>
        <w:t>月</w:t>
      </w:r>
      <w:r>
        <w:rPr>
          <w:spacing w:val="-50"/>
        </w:rPr>
        <w:t> </w:t>
      </w:r>
      <w:r>
        <w:rPr>
          <w:rFonts w:ascii="Arial" w:hAnsi="Arial" w:cs="Arial" w:eastAsia="Arial" w:hint="default"/>
        </w:rPr>
        <w:t>31</w:t>
      </w:r>
      <w:r>
        <w:rPr>
          <w:rFonts w:ascii="Arial" w:hAnsi="Arial" w:cs="Arial" w:eastAsia="Arial" w:hint="default"/>
          <w:spacing w:val="-1"/>
        </w:rPr>
        <w:t> </w:t>
      </w:r>
      <w:r>
        <w:rPr/>
        <w:t>日，</w:t>
      </w:r>
      <w:r>
        <w:rPr>
          <w:rFonts w:ascii="Arial" w:hAnsi="Arial" w:cs="Arial" w:eastAsia="Arial" w:hint="default"/>
        </w:rPr>
        <w:t>GSM</w:t>
      </w:r>
      <w:r>
        <w:rPr>
          <w:rFonts w:ascii="Arial" w:hAnsi="Arial" w:cs="Arial" w:eastAsia="Arial" w:hint="default"/>
          <w:spacing w:val="-2"/>
        </w:rPr>
        <w:t> </w:t>
      </w:r>
      <w:r>
        <w:rPr/>
        <w:t>用户总数达到</w:t>
      </w:r>
      <w:r>
        <w:rPr>
          <w:spacing w:val="-49"/>
        </w:rPr>
        <w:t> </w:t>
      </w:r>
      <w:r>
        <w:rPr>
          <w:rFonts w:ascii="Arial" w:hAnsi="Arial" w:cs="Arial" w:eastAsia="Arial" w:hint="default"/>
        </w:rPr>
        <w:t>14,484.5</w:t>
      </w:r>
      <w:r>
        <w:rPr>
          <w:rFonts w:ascii="Arial" w:hAnsi="Arial" w:cs="Arial" w:eastAsia="Arial" w:hint="default"/>
          <w:spacing w:val="-1"/>
        </w:rPr>
        <w:t> </w:t>
      </w:r>
      <w:r>
        <w:rPr/>
        <w:t>万户，同比增长</w:t>
      </w:r>
      <w:r>
        <w:rPr>
          <w:spacing w:val="-50"/>
        </w:rPr>
        <w:t> </w:t>
      </w:r>
      <w:r>
        <w:rPr>
          <w:rFonts w:ascii="Arial" w:hAnsi="Arial" w:cs="Arial" w:eastAsia="Arial" w:hint="default"/>
        </w:rPr>
        <w:t>8.6</w:t>
      </w:r>
      <w:r>
        <w:rPr/>
        <w:t>％。</w:t>
      </w:r>
      <w:r>
        <w:rPr>
          <w:rFonts w:ascii="Arial" w:hAnsi="Arial" w:cs="Arial" w:eastAsia="Arial" w:hint="default"/>
        </w:rPr>
        <w:t>GSM</w:t>
      </w:r>
      <w:r>
        <w:rPr>
          <w:rFonts w:ascii="Arial" w:hAnsi="Arial" w:cs="Arial" w:eastAsia="Arial" w:hint="default"/>
          <w:spacing w:val="-2"/>
        </w:rPr>
        <w:t> </w:t>
      </w:r>
      <w:r>
        <w:rPr/>
        <w:t>业务</w:t>
      </w:r>
      <w:r>
        <w:rPr>
          <w:spacing w:val="1"/>
          <w:w w:val="99"/>
        </w:rPr>
        <w:t> </w:t>
      </w:r>
      <w:r>
        <w:rPr/>
        <w:t>实现通信服务收入人民币 </w:t>
      </w:r>
      <w:r>
        <w:rPr>
          <w:rFonts w:ascii="Arial" w:hAnsi="Arial" w:cs="Arial" w:eastAsia="Arial" w:hint="default"/>
        </w:rPr>
        <w:t>715.6 </w:t>
      </w:r>
      <w:r>
        <w:rPr/>
        <w:t>亿元，同比增长 </w:t>
      </w:r>
      <w:r>
        <w:rPr>
          <w:rFonts w:ascii="Arial" w:hAnsi="Arial" w:cs="Arial" w:eastAsia="Arial" w:hint="default"/>
        </w:rPr>
        <w:t>9.1</w:t>
      </w:r>
      <w:r>
        <w:rPr/>
        <w:t>％，其中，</w:t>
      </w:r>
      <w:r>
        <w:rPr>
          <w:rFonts w:ascii="Arial" w:hAnsi="Arial" w:cs="Arial" w:eastAsia="Arial" w:hint="default"/>
        </w:rPr>
        <w:t>GSM </w:t>
      </w:r>
      <w:r>
        <w:rPr/>
        <w:t>增值业务收入占</w:t>
      </w:r>
      <w:r>
        <w:rPr>
          <w:spacing w:val="-43"/>
        </w:rPr>
        <w:t> </w:t>
      </w:r>
      <w:r>
        <w:rPr>
          <w:rFonts w:ascii="Arial" w:hAnsi="Arial" w:cs="Arial" w:eastAsia="Arial" w:hint="default"/>
        </w:rPr>
        <w:t>GSM</w:t>
      </w:r>
      <w:r>
        <w:rPr>
          <w:rFonts w:ascii="Arial" w:hAnsi="Arial" w:cs="Arial" w:eastAsia="Arial" w:hint="default"/>
          <w:w w:val="99"/>
        </w:rPr>
        <w:t> </w:t>
      </w:r>
      <w:r>
        <w:rPr/>
        <w:t>通信服务收入比重达到</w:t>
      </w:r>
      <w:r>
        <w:rPr>
          <w:spacing w:val="-56"/>
        </w:rPr>
        <w:t> </w:t>
      </w:r>
      <w:r>
        <w:rPr>
          <w:rFonts w:ascii="Arial" w:hAnsi="Arial" w:cs="Arial" w:eastAsia="Arial" w:hint="default"/>
        </w:rPr>
        <w:t>27.3</w:t>
      </w:r>
      <w:r>
        <w:rPr/>
        <w:t>％，同比提高</w:t>
      </w:r>
      <w:r>
        <w:rPr>
          <w:spacing w:val="-57"/>
        </w:rPr>
        <w:t> </w:t>
      </w:r>
      <w:r>
        <w:rPr>
          <w:rFonts w:ascii="Arial" w:hAnsi="Arial" w:cs="Arial" w:eastAsia="Arial" w:hint="default"/>
        </w:rPr>
        <w:t>1.9</w:t>
      </w:r>
      <w:r>
        <w:rPr>
          <w:rFonts w:ascii="Arial" w:hAnsi="Arial" w:cs="Arial" w:eastAsia="Arial" w:hint="default"/>
          <w:spacing w:val="-8"/>
        </w:rPr>
        <w:t> </w:t>
      </w:r>
      <w:r>
        <w:rPr/>
        <w:t>个百分点。</w:t>
      </w:r>
    </w:p>
    <w:p>
      <w:pPr>
        <w:spacing w:line="240" w:lineRule="auto" w:before="6"/>
        <w:rPr>
          <w:rFonts w:ascii="宋体" w:hAnsi="宋体" w:cs="宋体" w:eastAsia="宋体" w:hint="default"/>
          <w:sz w:val="22"/>
          <w:szCs w:val="22"/>
        </w:rPr>
      </w:pPr>
    </w:p>
    <w:p>
      <w:pPr>
        <w:pStyle w:val="BodyText"/>
        <w:spacing w:line="280" w:lineRule="exact"/>
        <w:ind w:left="748" w:right="216"/>
        <w:jc w:val="both"/>
      </w:pPr>
      <w:r>
        <w:rPr>
          <w:rFonts w:ascii="Arial" w:hAnsi="Arial" w:cs="Arial" w:eastAsia="Arial" w:hint="default"/>
        </w:rPr>
        <w:t>3G</w:t>
      </w:r>
      <w:r>
        <w:rPr>
          <w:rFonts w:ascii="Arial" w:hAnsi="Arial" w:cs="Arial" w:eastAsia="Arial" w:hint="default"/>
          <w:spacing w:val="-9"/>
        </w:rPr>
        <w:t> </w:t>
      </w:r>
      <w:r>
        <w:rPr/>
        <w:t>业务正式商用并呈现良好发展态势。</w:t>
      </w:r>
      <w:r>
        <w:rPr>
          <w:rFonts w:ascii="Arial" w:hAnsi="Arial" w:cs="Arial" w:eastAsia="Arial" w:hint="default"/>
        </w:rPr>
        <w:t>2009</w:t>
      </w:r>
      <w:r>
        <w:rPr>
          <w:rFonts w:ascii="Arial" w:hAnsi="Arial" w:cs="Arial" w:eastAsia="Arial" w:hint="default"/>
          <w:spacing w:val="-8"/>
        </w:rPr>
        <w:t> </w:t>
      </w:r>
      <w:r>
        <w:rPr/>
        <w:t>年</w:t>
      </w:r>
      <w:r>
        <w:rPr>
          <w:spacing w:val="-57"/>
        </w:rPr>
        <w:t> </w:t>
      </w:r>
      <w:r>
        <w:rPr>
          <w:rFonts w:ascii="Arial" w:hAnsi="Arial" w:cs="Arial" w:eastAsia="Arial" w:hint="default"/>
        </w:rPr>
        <w:t>10</w:t>
      </w:r>
      <w:r>
        <w:rPr>
          <w:rFonts w:ascii="Arial" w:hAnsi="Arial" w:cs="Arial" w:eastAsia="Arial" w:hint="default"/>
          <w:spacing w:val="-8"/>
        </w:rPr>
        <w:t> </w:t>
      </w:r>
      <w:r>
        <w:rPr/>
        <w:t>月</w:t>
      </w:r>
      <w:r>
        <w:rPr>
          <w:spacing w:val="-57"/>
        </w:rPr>
        <w:t> </w:t>
      </w:r>
      <w:r>
        <w:rPr>
          <w:rFonts w:ascii="Arial" w:hAnsi="Arial" w:cs="Arial" w:eastAsia="Arial" w:hint="default"/>
        </w:rPr>
        <w:t>1</w:t>
      </w:r>
      <w:r>
        <w:rPr>
          <w:rFonts w:ascii="Arial" w:hAnsi="Arial" w:cs="Arial" w:eastAsia="Arial" w:hint="default"/>
          <w:spacing w:val="-8"/>
        </w:rPr>
        <w:t> </w:t>
      </w:r>
      <w:r>
        <w:rPr>
          <w:spacing w:val="-4"/>
        </w:rPr>
        <w:t>日，公司在</w:t>
      </w:r>
      <w:r>
        <w:rPr>
          <w:spacing w:val="-57"/>
        </w:rPr>
        <w:t> </w:t>
      </w:r>
      <w:r>
        <w:rPr>
          <w:rFonts w:ascii="Arial" w:hAnsi="Arial" w:cs="Arial" w:eastAsia="Arial" w:hint="default"/>
        </w:rPr>
        <w:t>285</w:t>
      </w:r>
      <w:r>
        <w:rPr>
          <w:rFonts w:ascii="Arial" w:hAnsi="Arial" w:cs="Arial" w:eastAsia="Arial" w:hint="default"/>
          <w:spacing w:val="-8"/>
        </w:rPr>
        <w:t> </w:t>
      </w:r>
      <w:r>
        <w:rPr/>
        <w:t>个城市正式推出</w:t>
      </w:r>
      <w:r>
        <w:rPr>
          <w:spacing w:val="-57"/>
        </w:rPr>
        <w:t> </w:t>
      </w:r>
      <w:r>
        <w:rPr>
          <w:rFonts w:ascii="Arial" w:hAnsi="Arial" w:cs="Arial" w:eastAsia="Arial" w:hint="default"/>
        </w:rPr>
        <w:t>3G</w:t>
      </w:r>
      <w:r>
        <w:rPr>
          <w:rFonts w:ascii="Arial" w:hAnsi="Arial" w:cs="Arial" w:eastAsia="Arial" w:hint="default"/>
          <w:spacing w:val="1"/>
          <w:w w:val="99"/>
        </w:rPr>
        <w:t> </w:t>
      </w:r>
      <w:r>
        <w:rPr>
          <w:spacing w:val="-5"/>
        </w:rPr>
        <w:t>业务。截至</w:t>
      </w:r>
      <w:r>
        <w:rPr>
          <w:spacing w:val="-54"/>
        </w:rPr>
        <w:t> </w:t>
      </w:r>
      <w:r>
        <w:rPr>
          <w:rFonts w:ascii="Arial" w:hAnsi="Arial" w:cs="Arial" w:eastAsia="Arial" w:hint="default"/>
        </w:rPr>
        <w:t>2009</w:t>
      </w:r>
      <w:r>
        <w:rPr>
          <w:rFonts w:ascii="Arial" w:hAnsi="Arial" w:cs="Arial" w:eastAsia="Arial" w:hint="default"/>
          <w:spacing w:val="-6"/>
        </w:rPr>
        <w:t> </w:t>
      </w:r>
      <w:r>
        <w:rPr/>
        <w:t>年</w:t>
      </w:r>
      <w:r>
        <w:rPr>
          <w:spacing w:val="-55"/>
        </w:rPr>
        <w:t> </w:t>
      </w:r>
      <w:r>
        <w:rPr>
          <w:rFonts w:ascii="Arial" w:hAnsi="Arial" w:cs="Arial" w:eastAsia="Arial" w:hint="default"/>
        </w:rPr>
        <w:t>12</w:t>
      </w:r>
      <w:r>
        <w:rPr>
          <w:rFonts w:ascii="Arial" w:hAnsi="Arial" w:cs="Arial" w:eastAsia="Arial" w:hint="default"/>
          <w:spacing w:val="-6"/>
        </w:rPr>
        <w:t> </w:t>
      </w:r>
      <w:r>
        <w:rPr/>
        <w:t>月</w:t>
      </w:r>
      <w:r>
        <w:rPr>
          <w:spacing w:val="-55"/>
        </w:rPr>
        <w:t> </w:t>
      </w:r>
      <w:r>
        <w:rPr>
          <w:rFonts w:ascii="Arial" w:hAnsi="Arial" w:cs="Arial" w:eastAsia="Arial" w:hint="default"/>
        </w:rPr>
        <w:t>31</w:t>
      </w:r>
      <w:r>
        <w:rPr>
          <w:rFonts w:ascii="Arial" w:hAnsi="Arial" w:cs="Arial" w:eastAsia="Arial" w:hint="default"/>
          <w:spacing w:val="-6"/>
        </w:rPr>
        <w:t> </w:t>
      </w:r>
      <w:r>
        <w:rPr>
          <w:spacing w:val="-3"/>
        </w:rPr>
        <w:t>日，商用城市扩大到</w:t>
      </w:r>
      <w:r>
        <w:rPr>
          <w:spacing w:val="-55"/>
        </w:rPr>
        <w:t> </w:t>
      </w:r>
      <w:r>
        <w:rPr>
          <w:rFonts w:ascii="Arial" w:hAnsi="Arial" w:cs="Arial" w:eastAsia="Arial" w:hint="default"/>
        </w:rPr>
        <w:t>335</w:t>
      </w:r>
      <w:r>
        <w:rPr>
          <w:rFonts w:ascii="Arial" w:hAnsi="Arial" w:cs="Arial" w:eastAsia="Arial" w:hint="default"/>
          <w:spacing w:val="-6"/>
        </w:rPr>
        <w:t> </w:t>
      </w:r>
      <w:r>
        <w:rPr>
          <w:spacing w:val="-6"/>
        </w:rPr>
        <w:t>个，</w:t>
      </w:r>
      <w:r>
        <w:rPr>
          <w:rFonts w:ascii="Arial" w:hAnsi="Arial" w:cs="Arial" w:eastAsia="Arial" w:hint="default"/>
          <w:spacing w:val="-6"/>
        </w:rPr>
        <w:t>3G</w:t>
      </w:r>
      <w:r>
        <w:rPr>
          <w:rFonts w:ascii="Arial" w:hAnsi="Arial" w:cs="Arial" w:eastAsia="Arial" w:hint="default"/>
          <w:spacing w:val="-7"/>
        </w:rPr>
        <w:t> </w:t>
      </w:r>
      <w:r>
        <w:rPr/>
        <w:t>用户总数达到</w:t>
      </w:r>
      <w:r>
        <w:rPr>
          <w:spacing w:val="-55"/>
        </w:rPr>
        <w:t> </w:t>
      </w:r>
      <w:r>
        <w:rPr>
          <w:rFonts w:ascii="Arial" w:hAnsi="Arial" w:cs="Arial" w:eastAsia="Arial" w:hint="default"/>
        </w:rPr>
        <w:t>274.2</w:t>
      </w:r>
      <w:r>
        <w:rPr>
          <w:rFonts w:ascii="Arial" w:hAnsi="Arial" w:cs="Arial" w:eastAsia="Arial" w:hint="default"/>
          <w:spacing w:val="-6"/>
        </w:rPr>
        <w:t> </w:t>
      </w:r>
      <w:r>
        <w:rPr>
          <w:spacing w:val="-6"/>
        </w:rPr>
        <w:t>万户，其</w:t>
      </w:r>
      <w:r>
        <w:rPr>
          <w:w w:val="99"/>
        </w:rPr>
        <w:t> </w:t>
      </w:r>
      <w:r>
        <w:rPr/>
        <w:t>中手机用户占比达到</w:t>
      </w:r>
      <w:r>
        <w:rPr>
          <w:spacing w:val="-57"/>
        </w:rPr>
        <w:t> </w:t>
      </w:r>
      <w:r>
        <w:rPr>
          <w:rFonts w:ascii="Arial" w:hAnsi="Arial" w:cs="Arial" w:eastAsia="Arial" w:hint="default"/>
        </w:rPr>
        <w:t>83.7</w:t>
      </w:r>
      <w:r>
        <w:rPr/>
        <w:t>％。</w:t>
      </w:r>
      <w:r>
        <w:rPr>
          <w:rFonts w:ascii="Arial" w:hAnsi="Arial" w:cs="Arial" w:eastAsia="Arial" w:hint="default"/>
        </w:rPr>
        <w:t>3G</w:t>
      </w:r>
      <w:r>
        <w:rPr>
          <w:rFonts w:ascii="Arial" w:hAnsi="Arial" w:cs="Arial" w:eastAsia="Arial" w:hint="default"/>
          <w:spacing w:val="-9"/>
        </w:rPr>
        <w:t> </w:t>
      </w:r>
      <w:r>
        <w:rPr/>
        <w:t>用户</w:t>
      </w:r>
      <w:r>
        <w:rPr>
          <w:spacing w:val="-57"/>
        </w:rPr>
        <w:t> </w:t>
      </w:r>
      <w:r>
        <w:rPr>
          <w:rFonts w:ascii="Arial" w:hAnsi="Arial" w:cs="Arial" w:eastAsia="Arial" w:hint="default"/>
        </w:rPr>
        <w:t>ARPU</w:t>
      </w:r>
      <w:r>
        <w:rPr>
          <w:rFonts w:ascii="Arial" w:hAnsi="Arial" w:cs="Arial" w:eastAsia="Arial" w:hint="default"/>
          <w:spacing w:val="-7"/>
        </w:rPr>
        <w:t> </w:t>
      </w:r>
      <w:r>
        <w:rPr/>
        <w:t>达到</w:t>
      </w:r>
      <w:r>
        <w:rPr>
          <w:spacing w:val="-57"/>
        </w:rPr>
        <w:t> </w:t>
      </w:r>
      <w:r>
        <w:rPr>
          <w:rFonts w:ascii="Arial" w:hAnsi="Arial" w:cs="Arial" w:eastAsia="Arial" w:hint="default"/>
        </w:rPr>
        <w:t>141.7</w:t>
      </w:r>
      <w:r>
        <w:rPr>
          <w:rFonts w:ascii="Arial" w:hAnsi="Arial" w:cs="Arial" w:eastAsia="Arial" w:hint="default"/>
          <w:spacing w:val="-8"/>
        </w:rPr>
        <w:t> </w:t>
      </w:r>
      <w:r>
        <w:rPr/>
        <w:t>元。</w:t>
      </w:r>
    </w:p>
    <w:p>
      <w:pPr>
        <w:spacing w:line="240" w:lineRule="auto" w:before="6"/>
        <w:rPr>
          <w:rFonts w:ascii="宋体" w:hAnsi="宋体" w:cs="宋体" w:eastAsia="宋体" w:hint="default"/>
          <w:sz w:val="20"/>
          <w:szCs w:val="20"/>
        </w:rPr>
      </w:pPr>
    </w:p>
    <w:p>
      <w:pPr>
        <w:pStyle w:val="BodyText"/>
        <w:spacing w:line="220" w:lineRule="auto"/>
        <w:ind w:left="749" w:right="218"/>
        <w:jc w:val="both"/>
      </w:pPr>
      <w:r>
        <w:rPr/>
        <w:t>适应</w:t>
      </w:r>
      <w:r>
        <w:rPr>
          <w:spacing w:val="-56"/>
        </w:rPr>
        <w:t> </w:t>
      </w:r>
      <w:r>
        <w:rPr>
          <w:rFonts w:ascii="Arial" w:hAnsi="Arial" w:cs="Arial" w:eastAsia="Arial" w:hint="default"/>
        </w:rPr>
        <w:t>3G</w:t>
      </w:r>
      <w:r>
        <w:rPr>
          <w:rFonts w:ascii="Arial" w:hAnsi="Arial" w:cs="Arial" w:eastAsia="Arial" w:hint="default"/>
          <w:spacing w:val="-8"/>
        </w:rPr>
        <w:t> </w:t>
      </w:r>
      <w:r>
        <w:rPr>
          <w:spacing w:val="-3"/>
        </w:rPr>
        <w:t>业务发展需要，公司在产品、资费、终端等方面实施全国统一的营销策略。推出多项</w:t>
      </w:r>
      <w:r>
        <w:rPr>
          <w:w w:val="99"/>
        </w:rPr>
        <w:t> </w:t>
      </w:r>
      <w:r>
        <w:rPr>
          <w:rFonts w:ascii="Arial" w:hAnsi="Arial" w:cs="Arial" w:eastAsia="Arial" w:hint="default"/>
        </w:rPr>
        <w:t>3G</w:t>
      </w:r>
      <w:r>
        <w:rPr>
          <w:rFonts w:ascii="Arial" w:hAnsi="Arial" w:cs="Arial" w:eastAsia="Arial" w:hint="default"/>
          <w:spacing w:val="-14"/>
        </w:rPr>
        <w:t> </w:t>
      </w:r>
      <w:r>
        <w:rPr/>
        <w:t>创新产品，拉动数据业务消费；开展多渠道</w:t>
      </w:r>
      <w:r>
        <w:rPr>
          <w:spacing w:val="-61"/>
        </w:rPr>
        <w:t> </w:t>
      </w:r>
      <w:r>
        <w:rPr>
          <w:rFonts w:ascii="Arial" w:hAnsi="Arial" w:cs="Arial" w:eastAsia="Arial" w:hint="default"/>
        </w:rPr>
        <w:t>3G</w:t>
      </w:r>
      <w:r>
        <w:rPr>
          <w:rFonts w:ascii="Arial" w:hAnsi="Arial" w:cs="Arial" w:eastAsia="Arial" w:hint="default"/>
          <w:spacing w:val="-14"/>
        </w:rPr>
        <w:t> </w:t>
      </w:r>
      <w:r>
        <w:rPr/>
        <w:t>业务营销，为用户提供便捷、优质的服务</w:t>
      </w:r>
      <w:r>
        <w:rPr>
          <w:w w:val="99"/>
        </w:rPr>
        <w:t> </w:t>
      </w:r>
      <w:r>
        <w:rPr>
          <w:spacing w:val="-7"/>
        </w:rPr>
        <w:t>体验；推出统一的</w:t>
      </w:r>
      <w:r>
        <w:rPr>
          <w:spacing w:val="-81"/>
        </w:rPr>
        <w:t> </w:t>
      </w:r>
      <w:r>
        <w:rPr>
          <w:rFonts w:ascii="Arial" w:hAnsi="Arial" w:cs="Arial" w:eastAsia="Arial" w:hint="default"/>
        </w:rPr>
        <w:t>3G</w:t>
      </w:r>
      <w:r>
        <w:rPr>
          <w:rFonts w:ascii="Arial" w:hAnsi="Arial" w:cs="Arial" w:eastAsia="Arial" w:hint="default"/>
          <w:spacing w:val="-32"/>
        </w:rPr>
        <w:t> </w:t>
      </w:r>
      <w:r>
        <w:rPr/>
        <w:t>产品电子化销售服务管理系统，为各种销售渠道提供统一的电子化服务</w:t>
      </w:r>
      <w:r>
        <w:rPr>
          <w:w w:val="99"/>
        </w:rPr>
        <w:t> </w:t>
      </w:r>
      <w:r>
        <w:rPr/>
        <w:t>支撑。</w:t>
      </w:r>
    </w:p>
    <w:p>
      <w:pPr>
        <w:spacing w:after="0" w:line="220" w:lineRule="auto"/>
        <w:jc w:val="both"/>
        <w:sectPr>
          <w:pgSz w:w="11910" w:h="16840"/>
          <w:pgMar w:header="587" w:footer="774" w:top="960" w:bottom="960" w:left="1000" w:right="1060"/>
        </w:sectPr>
      </w:pPr>
    </w:p>
    <w:p>
      <w:pPr>
        <w:spacing w:line="240" w:lineRule="auto" w:before="9"/>
        <w:rPr>
          <w:rFonts w:ascii="宋体" w:hAnsi="宋体" w:cs="宋体" w:eastAsia="宋体" w:hint="default"/>
          <w:sz w:val="12"/>
          <w:szCs w:val="12"/>
        </w:rPr>
      </w:pPr>
    </w:p>
    <w:p>
      <w:pPr>
        <w:pStyle w:val="BodyText"/>
        <w:spacing w:line="223" w:lineRule="auto" w:before="49"/>
        <w:ind w:left="569" w:right="216"/>
        <w:jc w:val="both"/>
      </w:pPr>
      <w:r>
        <w:rPr/>
        <w:t>固网宽带业务快速增长，固网语音业务仍面临下滑压力。公司大力推进固网宽带升级提速，</w:t>
      </w:r>
      <w:r>
        <w:rPr>
          <w:w w:val="99"/>
        </w:rPr>
        <w:t> </w:t>
      </w:r>
      <w:r>
        <w:rPr/>
        <w:t>积极拓展固网宽带市场。截至</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日，本地电话用户总数达到</w:t>
      </w:r>
      <w:r>
        <w:rPr>
          <w:spacing w:val="-56"/>
        </w:rPr>
        <w:t> </w:t>
      </w:r>
      <w:r>
        <w:rPr>
          <w:rFonts w:ascii="Arial" w:hAnsi="Arial" w:cs="Arial" w:eastAsia="Arial" w:hint="default"/>
        </w:rPr>
        <w:t>10,282.2</w:t>
      </w:r>
      <w:r>
        <w:rPr>
          <w:rFonts w:ascii="Arial" w:hAnsi="Arial" w:cs="Arial" w:eastAsia="Arial" w:hint="default"/>
          <w:spacing w:val="-7"/>
        </w:rPr>
        <w:t> </w:t>
      </w:r>
      <w:r>
        <w:rPr/>
        <w:t>万户，</w:t>
      </w:r>
      <w:r>
        <w:rPr>
          <w:w w:val="99"/>
        </w:rPr>
        <w:t> </w:t>
      </w:r>
      <w:r>
        <w:rPr/>
        <w:t>同比下降</w:t>
      </w:r>
      <w:r>
        <w:rPr>
          <w:spacing w:val="-68"/>
        </w:rPr>
        <w:t> </w:t>
      </w:r>
      <w:r>
        <w:rPr>
          <w:rFonts w:ascii="Arial" w:hAnsi="Arial" w:cs="Arial" w:eastAsia="Arial" w:hint="default"/>
        </w:rPr>
        <w:t>6.2</w:t>
      </w:r>
      <w:r>
        <w:rPr/>
        <w:t>％；固网宽带用户总数达到</w:t>
      </w:r>
      <w:r>
        <w:rPr>
          <w:spacing w:val="-68"/>
        </w:rPr>
        <w:t> </w:t>
      </w:r>
      <w:r>
        <w:rPr>
          <w:rFonts w:ascii="Arial" w:hAnsi="Arial" w:cs="Arial" w:eastAsia="Arial" w:hint="default"/>
        </w:rPr>
        <w:t>3,855.0</w:t>
      </w:r>
      <w:r>
        <w:rPr>
          <w:rFonts w:ascii="Arial" w:hAnsi="Arial" w:cs="Arial" w:eastAsia="Arial" w:hint="default"/>
          <w:spacing w:val="-19"/>
        </w:rPr>
        <w:t> </w:t>
      </w:r>
      <w:r>
        <w:rPr>
          <w:spacing w:val="-4"/>
        </w:rPr>
        <w:t>万户，同比增长</w:t>
      </w:r>
      <w:r>
        <w:rPr>
          <w:spacing w:val="-68"/>
        </w:rPr>
        <w:t> </w:t>
      </w:r>
      <w:r>
        <w:rPr>
          <w:rFonts w:ascii="Arial" w:hAnsi="Arial" w:cs="Arial" w:eastAsia="Arial" w:hint="default"/>
        </w:rPr>
        <w:t>28.2</w:t>
      </w:r>
      <w:r>
        <w:rPr/>
        <w:t>％。固网宽带业务实现</w:t>
      </w:r>
      <w:r>
        <w:rPr>
          <w:w w:val="99"/>
        </w:rPr>
        <w:t> </w:t>
      </w:r>
      <w:r>
        <w:rPr/>
        <w:t>收入</w:t>
      </w:r>
      <w:r>
        <w:rPr>
          <w:spacing w:val="-62"/>
        </w:rPr>
        <w:t> </w:t>
      </w:r>
      <w:r>
        <w:rPr>
          <w:rFonts w:ascii="Arial" w:hAnsi="Arial" w:cs="Arial" w:eastAsia="Arial" w:hint="default"/>
        </w:rPr>
        <w:t>246.4</w:t>
      </w:r>
      <w:r>
        <w:rPr>
          <w:rFonts w:ascii="Arial" w:hAnsi="Arial" w:cs="Arial" w:eastAsia="Arial" w:hint="default"/>
          <w:spacing w:val="-13"/>
        </w:rPr>
        <w:t> </w:t>
      </w:r>
      <w:r>
        <w:rPr>
          <w:spacing w:val="-5"/>
        </w:rPr>
        <w:t>亿元，同比增长</w:t>
      </w:r>
      <w:r>
        <w:rPr>
          <w:spacing w:val="-62"/>
        </w:rPr>
        <w:t> </w:t>
      </w:r>
      <w:r>
        <w:rPr>
          <w:rFonts w:ascii="Arial" w:hAnsi="Arial" w:cs="Arial" w:eastAsia="Arial" w:hint="default"/>
        </w:rPr>
        <w:t>14.0%</w:t>
      </w:r>
      <w:r>
        <w:rPr/>
        <w:t>，占经调整固网通信服务收入比达到</w:t>
      </w:r>
      <w:r>
        <w:rPr>
          <w:spacing w:val="-62"/>
        </w:rPr>
        <w:t> </w:t>
      </w:r>
      <w:r>
        <w:rPr>
          <w:rFonts w:ascii="Arial" w:hAnsi="Arial" w:cs="Arial" w:eastAsia="Arial" w:hint="default"/>
          <w:spacing w:val="-4"/>
        </w:rPr>
        <w:t>30.3%</w:t>
      </w:r>
      <w:r>
        <w:rPr>
          <w:spacing w:val="-4"/>
        </w:rPr>
        <w:t>，同比提高</w:t>
      </w:r>
      <w:r>
        <w:rPr>
          <w:spacing w:val="-62"/>
        </w:rPr>
        <w:t> </w:t>
      </w:r>
      <w:r>
        <w:rPr>
          <w:rFonts w:ascii="Arial" w:hAnsi="Arial" w:cs="Arial" w:eastAsia="Arial" w:hint="default"/>
        </w:rPr>
        <w:t>6.0</w:t>
      </w:r>
      <w:r>
        <w:rPr>
          <w:rFonts w:ascii="Arial" w:hAnsi="Arial" w:cs="Arial" w:eastAsia="Arial" w:hint="default"/>
          <w:w w:val="99"/>
        </w:rPr>
        <w:t> </w:t>
      </w:r>
      <w:r>
        <w:rPr/>
        <w:t>个百分点。</w:t>
      </w:r>
    </w:p>
    <w:p>
      <w:pPr>
        <w:spacing w:line="240" w:lineRule="auto" w:before="5"/>
        <w:rPr>
          <w:rFonts w:ascii="宋体" w:hAnsi="宋体" w:cs="宋体" w:eastAsia="宋体" w:hint="default"/>
          <w:sz w:val="22"/>
          <w:szCs w:val="22"/>
        </w:rPr>
      </w:pPr>
    </w:p>
    <w:p>
      <w:pPr>
        <w:pStyle w:val="BodyText"/>
        <w:spacing w:line="223" w:lineRule="auto"/>
        <w:ind w:left="569" w:right="100" w:firstLine="10"/>
        <w:jc w:val="left"/>
      </w:pPr>
      <w:r>
        <w:rPr/>
        <w:t>网络能力显著提升。公司大力建设</w:t>
      </w:r>
      <w:r>
        <w:rPr>
          <w:spacing w:val="-55"/>
        </w:rPr>
        <w:t> </w:t>
      </w:r>
      <w:r>
        <w:rPr>
          <w:rFonts w:ascii="Arial" w:hAnsi="Arial" w:cs="Arial" w:eastAsia="Arial" w:hint="default"/>
        </w:rPr>
        <w:t>3G</w:t>
      </w:r>
      <w:r>
        <w:rPr>
          <w:rFonts w:ascii="Arial" w:hAnsi="Arial" w:cs="Arial" w:eastAsia="Arial" w:hint="default"/>
          <w:spacing w:val="-8"/>
        </w:rPr>
        <w:t> </w:t>
      </w:r>
      <w:r>
        <w:rPr/>
        <w:t>网络，迅速形成网络规模。截至</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r>
        <w:rPr>
          <w:w w:val="99"/>
        </w:rPr>
        <w:t> </w:t>
      </w:r>
      <w:r>
        <w:rPr>
          <w:rFonts w:ascii="Arial" w:hAnsi="Arial" w:cs="Arial" w:eastAsia="Arial" w:hint="default"/>
        </w:rPr>
        <w:t>3G</w:t>
      </w:r>
      <w:r>
        <w:rPr>
          <w:rFonts w:ascii="Arial" w:hAnsi="Arial" w:cs="Arial" w:eastAsia="Arial" w:hint="default"/>
          <w:spacing w:val="-9"/>
        </w:rPr>
        <w:t> </w:t>
      </w:r>
      <w:r>
        <w:rPr/>
        <w:t>网络已覆盖全国</w:t>
      </w:r>
      <w:r>
        <w:rPr>
          <w:spacing w:val="-57"/>
        </w:rPr>
        <w:t> </w:t>
      </w:r>
      <w:r>
        <w:rPr>
          <w:rFonts w:ascii="Arial" w:hAnsi="Arial" w:cs="Arial" w:eastAsia="Arial" w:hint="default"/>
        </w:rPr>
        <w:t>335</w:t>
      </w:r>
      <w:r>
        <w:rPr>
          <w:rFonts w:ascii="Arial" w:hAnsi="Arial" w:cs="Arial" w:eastAsia="Arial" w:hint="default"/>
          <w:spacing w:val="-8"/>
        </w:rPr>
        <w:t> </w:t>
      </w:r>
      <w:r>
        <w:rPr/>
        <w:t>个城市，基站总数达到</w:t>
      </w:r>
      <w:r>
        <w:rPr>
          <w:spacing w:val="-57"/>
        </w:rPr>
        <w:t> </w:t>
      </w:r>
      <w:r>
        <w:rPr>
          <w:rFonts w:ascii="Arial" w:hAnsi="Arial" w:cs="Arial" w:eastAsia="Arial" w:hint="default"/>
        </w:rPr>
        <w:t>10.7</w:t>
      </w:r>
      <w:r>
        <w:rPr>
          <w:rFonts w:ascii="Arial" w:hAnsi="Arial" w:cs="Arial" w:eastAsia="Arial" w:hint="default"/>
          <w:spacing w:val="-8"/>
        </w:rPr>
        <w:t> </w:t>
      </w:r>
      <w:r>
        <w:rPr/>
        <w:t>万个。继续扩大</w:t>
      </w:r>
      <w:r>
        <w:rPr>
          <w:spacing w:val="-56"/>
        </w:rPr>
        <w:t> </w:t>
      </w:r>
      <w:r>
        <w:rPr>
          <w:rFonts w:ascii="Arial" w:hAnsi="Arial" w:cs="Arial" w:eastAsia="Arial" w:hint="default"/>
        </w:rPr>
        <w:t>GSM</w:t>
      </w:r>
      <w:r>
        <w:rPr>
          <w:rFonts w:ascii="Arial" w:hAnsi="Arial" w:cs="Arial" w:eastAsia="Arial" w:hint="default"/>
          <w:spacing w:val="-8"/>
        </w:rPr>
        <w:t> </w:t>
      </w:r>
      <w:r>
        <w:rPr/>
        <w:t>网络覆盖范围，</w:t>
      </w:r>
      <w:r>
        <w:rPr>
          <w:w w:val="99"/>
        </w:rPr>
        <w:t> </w:t>
      </w:r>
      <w:r>
        <w:rPr/>
        <w:t>提高网络运行质量。截至</w:t>
      </w:r>
      <w:r>
        <w:rPr>
          <w:spacing w:val="-58"/>
        </w:rPr>
        <w:t> </w:t>
      </w:r>
      <w:r>
        <w:rPr>
          <w:rFonts w:ascii="Arial" w:hAnsi="Arial" w:cs="Arial" w:eastAsia="Arial" w:hint="default"/>
        </w:rPr>
        <w:t>2009</w:t>
      </w:r>
      <w:r>
        <w:rPr>
          <w:rFonts w:ascii="Arial" w:hAnsi="Arial" w:cs="Arial" w:eastAsia="Arial" w:hint="default"/>
          <w:spacing w:val="-9"/>
        </w:rPr>
        <w:t> </w:t>
      </w:r>
      <w:r>
        <w:rPr/>
        <w:t>年</w:t>
      </w:r>
      <w:r>
        <w:rPr>
          <w:spacing w:val="-58"/>
        </w:rPr>
        <w:t> </w:t>
      </w:r>
      <w:r>
        <w:rPr>
          <w:rFonts w:ascii="Arial" w:hAnsi="Arial" w:cs="Arial" w:eastAsia="Arial" w:hint="default"/>
        </w:rPr>
        <w:t>12</w:t>
      </w:r>
      <w:r>
        <w:rPr>
          <w:rFonts w:ascii="Arial" w:hAnsi="Arial" w:cs="Arial" w:eastAsia="Arial" w:hint="default"/>
          <w:spacing w:val="-9"/>
        </w:rPr>
        <w:t> </w:t>
      </w:r>
      <w:r>
        <w:rPr/>
        <w:t>月</w:t>
      </w:r>
      <w:r>
        <w:rPr>
          <w:spacing w:val="-58"/>
        </w:rPr>
        <w:t> </w:t>
      </w:r>
      <w:r>
        <w:rPr>
          <w:rFonts w:ascii="Arial" w:hAnsi="Arial" w:cs="Arial" w:eastAsia="Arial" w:hint="default"/>
        </w:rPr>
        <w:t>31</w:t>
      </w:r>
      <w:r>
        <w:rPr>
          <w:rFonts w:ascii="Arial" w:hAnsi="Arial" w:cs="Arial" w:eastAsia="Arial" w:hint="default"/>
          <w:spacing w:val="-9"/>
        </w:rPr>
        <w:t> </w:t>
      </w:r>
      <w:r>
        <w:rPr>
          <w:spacing w:val="-6"/>
        </w:rPr>
        <w:t>日，</w:t>
      </w:r>
      <w:r>
        <w:rPr>
          <w:rFonts w:ascii="Arial" w:hAnsi="Arial" w:cs="Arial" w:eastAsia="Arial" w:hint="default"/>
          <w:spacing w:val="-6"/>
        </w:rPr>
        <w:t>GSM</w:t>
      </w:r>
      <w:r>
        <w:rPr>
          <w:rFonts w:ascii="Arial" w:hAnsi="Arial" w:cs="Arial" w:eastAsia="Arial" w:hint="default"/>
          <w:spacing w:val="-9"/>
        </w:rPr>
        <w:t> </w:t>
      </w:r>
      <w:r>
        <w:rPr/>
        <w:t>基站数量同比增长</w:t>
      </w:r>
      <w:r>
        <w:rPr>
          <w:spacing w:val="-57"/>
        </w:rPr>
        <w:t> </w:t>
      </w:r>
      <w:r>
        <w:rPr>
          <w:rFonts w:ascii="Arial" w:hAnsi="Arial" w:cs="Arial" w:eastAsia="Arial" w:hint="default"/>
          <w:spacing w:val="-3"/>
        </w:rPr>
        <w:t>36.7</w:t>
      </w:r>
      <w:r>
        <w:rPr>
          <w:spacing w:val="-3"/>
        </w:rPr>
        <w:t>％，网络系统接</w:t>
      </w:r>
      <w:r>
        <w:rPr>
          <w:w w:val="99"/>
        </w:rPr>
        <w:t> </w:t>
      </w:r>
      <w:r>
        <w:rPr/>
        <w:t>通率明显提高，业务信道掉话率明显下降。不断提高固网宽带网络能力，省际网络传输能力</w:t>
      </w:r>
      <w:r>
        <w:rPr>
          <w:w w:val="99"/>
        </w:rPr>
        <w:t> </w:t>
      </w:r>
      <w:r>
        <w:rPr/>
        <w:t>同比增长</w:t>
      </w:r>
      <w:r>
        <w:rPr>
          <w:spacing w:val="-56"/>
        </w:rPr>
        <w:t> </w:t>
      </w:r>
      <w:r>
        <w:rPr>
          <w:rFonts w:ascii="Arial" w:hAnsi="Arial" w:cs="Arial" w:eastAsia="Arial" w:hint="default"/>
        </w:rPr>
        <w:t>70%</w:t>
      </w:r>
      <w:r>
        <w:rPr/>
        <w:t>以上，国际互联网出口带宽同比增长</w:t>
      </w:r>
      <w:r>
        <w:rPr>
          <w:spacing w:val="-56"/>
        </w:rPr>
        <w:t> </w:t>
      </w:r>
      <w:r>
        <w:rPr>
          <w:rFonts w:ascii="Arial" w:hAnsi="Arial" w:cs="Arial" w:eastAsia="Arial" w:hint="default"/>
        </w:rPr>
        <w:t>148.0%</w:t>
      </w:r>
      <w:r>
        <w:rPr/>
        <w:t>。网络能力的提升和网络质量的</w:t>
      </w:r>
      <w:r>
        <w:rPr>
          <w:w w:val="99"/>
        </w:rPr>
        <w:t> </w:t>
      </w:r>
      <w:r>
        <w:rPr/>
        <w:t>改善，为业务发展提供了有力保障。</w:t>
      </w:r>
    </w:p>
    <w:p>
      <w:pPr>
        <w:spacing w:line="240" w:lineRule="auto" w:before="7"/>
        <w:rPr>
          <w:rFonts w:ascii="宋体" w:hAnsi="宋体" w:cs="宋体" w:eastAsia="宋体" w:hint="default"/>
          <w:sz w:val="22"/>
          <w:szCs w:val="22"/>
        </w:rPr>
      </w:pPr>
    </w:p>
    <w:p>
      <w:pPr>
        <w:pStyle w:val="BodyText"/>
        <w:spacing w:line="220" w:lineRule="auto"/>
        <w:ind w:left="569" w:right="103" w:firstLine="11"/>
        <w:jc w:val="left"/>
      </w:pPr>
      <w:r>
        <w:rPr/>
        <w:t>对外合作不断加强。公司注重加强</w:t>
      </w:r>
      <w:r>
        <w:rPr>
          <w:spacing w:val="-46"/>
        </w:rPr>
        <w:t> </w:t>
      </w:r>
      <w:r>
        <w:rPr>
          <w:rFonts w:ascii="Arial" w:hAnsi="Arial" w:cs="Arial" w:eastAsia="Arial" w:hint="default"/>
        </w:rPr>
        <w:t>3G</w:t>
      </w:r>
      <w:r>
        <w:rPr>
          <w:rFonts w:ascii="Arial" w:hAnsi="Arial" w:cs="Arial" w:eastAsia="Arial" w:hint="default"/>
          <w:spacing w:val="1"/>
        </w:rPr>
        <w:t> </w:t>
      </w:r>
      <w:r>
        <w:rPr/>
        <w:t>产业链合作，使</w:t>
      </w:r>
      <w:r>
        <w:rPr>
          <w:spacing w:val="-48"/>
        </w:rPr>
        <w:t> </w:t>
      </w:r>
      <w:r>
        <w:rPr>
          <w:rFonts w:ascii="Arial" w:hAnsi="Arial" w:cs="Arial" w:eastAsia="Arial" w:hint="default"/>
        </w:rPr>
        <w:t>WCDMA</w:t>
      </w:r>
      <w:r>
        <w:rPr>
          <w:rFonts w:ascii="Arial" w:hAnsi="Arial" w:cs="Arial" w:eastAsia="Arial" w:hint="default"/>
          <w:spacing w:val="1"/>
        </w:rPr>
        <w:t> </w:t>
      </w:r>
      <w:r>
        <w:rPr/>
        <w:t>的产业链优势转化为</w:t>
      </w:r>
      <w:r>
        <w:rPr>
          <w:spacing w:val="-48"/>
        </w:rPr>
        <w:t> </w:t>
      </w:r>
      <w:r>
        <w:rPr>
          <w:rFonts w:ascii="Arial" w:hAnsi="Arial" w:cs="Arial" w:eastAsia="Arial" w:hint="default"/>
        </w:rPr>
        <w:t>3G</w:t>
      </w:r>
      <w:r>
        <w:rPr>
          <w:rFonts w:ascii="Arial" w:hAnsi="Arial" w:cs="Arial" w:eastAsia="Arial" w:hint="default"/>
          <w:spacing w:val="2"/>
        </w:rPr>
        <w:t> </w:t>
      </w:r>
      <w:r>
        <w:rPr/>
        <w:t>业</w:t>
      </w:r>
      <w:r>
        <w:rPr>
          <w:w w:val="99"/>
        </w:rPr>
        <w:t> </w:t>
      </w:r>
      <w:r>
        <w:rPr>
          <w:spacing w:val="-7"/>
        </w:rPr>
        <w:t>务发展的市场优势。</w:t>
      </w:r>
      <w:r>
        <w:rPr>
          <w:rFonts w:ascii="Arial" w:hAnsi="Arial" w:cs="Arial" w:eastAsia="Arial" w:hint="default"/>
          <w:spacing w:val="-7"/>
        </w:rPr>
        <w:t>2009</w:t>
      </w:r>
      <w:r>
        <w:rPr>
          <w:rFonts w:ascii="Arial" w:hAnsi="Arial" w:cs="Arial" w:eastAsia="Arial" w:hint="default"/>
          <w:spacing w:val="-6"/>
        </w:rPr>
        <w:t> </w:t>
      </w:r>
      <w:r>
        <w:rPr/>
        <w:t>年</w:t>
      </w:r>
      <w:r>
        <w:rPr>
          <w:spacing w:val="-55"/>
        </w:rPr>
        <w:t> </w:t>
      </w:r>
      <w:r>
        <w:rPr>
          <w:rFonts w:ascii="Arial" w:hAnsi="Arial" w:cs="Arial" w:eastAsia="Arial" w:hint="default"/>
        </w:rPr>
        <w:t>10</w:t>
      </w:r>
      <w:r>
        <w:rPr>
          <w:rFonts w:ascii="Arial" w:hAnsi="Arial" w:cs="Arial" w:eastAsia="Arial" w:hint="default"/>
          <w:spacing w:val="-6"/>
        </w:rPr>
        <w:t> </w:t>
      </w:r>
      <w:r>
        <w:rPr/>
        <w:t>月</w:t>
      </w:r>
      <w:r>
        <w:rPr>
          <w:spacing w:val="-55"/>
        </w:rPr>
        <w:t> </w:t>
      </w:r>
      <w:r>
        <w:rPr>
          <w:rFonts w:ascii="Arial" w:hAnsi="Arial" w:cs="Arial" w:eastAsia="Arial" w:hint="default"/>
        </w:rPr>
        <w:t>30</w:t>
      </w:r>
      <w:r>
        <w:rPr>
          <w:rFonts w:ascii="Arial" w:hAnsi="Arial" w:cs="Arial" w:eastAsia="Arial" w:hint="default"/>
          <w:spacing w:val="-6"/>
        </w:rPr>
        <w:t> </w:t>
      </w:r>
      <w:r>
        <w:rPr>
          <w:spacing w:val="-7"/>
        </w:rPr>
        <w:t>日，公司联合苹果公司推出</w:t>
      </w:r>
      <w:r>
        <w:rPr>
          <w:spacing w:val="-55"/>
        </w:rPr>
        <w:t> </w:t>
      </w:r>
      <w:r>
        <w:rPr>
          <w:rFonts w:ascii="Arial" w:hAnsi="Arial" w:cs="Arial" w:eastAsia="Arial" w:hint="default"/>
        </w:rPr>
        <w:t>iPhone</w:t>
      </w:r>
      <w:r>
        <w:rPr>
          <w:rFonts w:ascii="Arial" w:hAnsi="Arial" w:cs="Arial" w:eastAsia="Arial" w:hint="default"/>
          <w:spacing w:val="-6"/>
        </w:rPr>
        <w:t> </w:t>
      </w:r>
      <w:r>
        <w:rPr>
          <w:spacing w:val="-17"/>
        </w:rPr>
        <w:t>终端，公司</w:t>
      </w:r>
      <w:r>
        <w:rPr>
          <w:spacing w:val="-55"/>
        </w:rPr>
        <w:t> </w:t>
      </w:r>
      <w:r>
        <w:rPr>
          <w:rFonts w:ascii="Arial" w:hAnsi="Arial" w:cs="Arial" w:eastAsia="Arial" w:hint="default"/>
        </w:rPr>
        <w:t>WCDMA</w:t>
      </w:r>
      <w:r>
        <w:rPr>
          <w:rFonts w:ascii="Arial" w:hAnsi="Arial" w:cs="Arial" w:eastAsia="Arial" w:hint="default"/>
          <w:w w:val="99"/>
        </w:rPr>
        <w:t> </w:t>
      </w:r>
      <w:r>
        <w:rPr>
          <w:w w:val="99"/>
        </w:rPr>
        <w:t>网络与</w:t>
      </w:r>
      <w:r>
        <w:rPr>
          <w:spacing w:val="-53"/>
          <w:w w:val="99"/>
        </w:rPr>
        <w:t> </w:t>
      </w:r>
      <w:r>
        <w:rPr>
          <w:rFonts w:ascii="Arial" w:hAnsi="Arial" w:cs="Arial" w:eastAsia="Arial" w:hint="default"/>
          <w:w w:val="99"/>
        </w:rPr>
        <w:t>iPhone</w:t>
      </w:r>
      <w:r>
        <w:rPr>
          <w:rFonts w:ascii="Arial" w:hAnsi="Arial" w:cs="Arial" w:eastAsia="Arial" w:hint="default"/>
          <w:spacing w:val="-4"/>
          <w:w w:val="99"/>
        </w:rPr>
        <w:t> </w:t>
      </w:r>
      <w:r>
        <w:rPr>
          <w:w w:val="99"/>
        </w:rPr>
        <w:t>终端的结合提升了公司</w:t>
      </w:r>
      <w:r>
        <w:rPr>
          <w:spacing w:val="-53"/>
          <w:w w:val="99"/>
        </w:rPr>
        <w:t> </w:t>
      </w:r>
      <w:r>
        <w:rPr>
          <w:rFonts w:ascii="Arial" w:hAnsi="Arial" w:cs="Arial" w:eastAsia="Arial" w:hint="default"/>
          <w:w w:val="99"/>
        </w:rPr>
        <w:t>3G</w:t>
      </w:r>
      <w:r>
        <w:rPr>
          <w:rFonts w:ascii="Arial" w:hAnsi="Arial" w:cs="Arial" w:eastAsia="Arial" w:hint="default"/>
          <w:spacing w:val="-5"/>
          <w:w w:val="99"/>
        </w:rPr>
        <w:t> </w:t>
      </w:r>
      <w:r>
        <w:rPr>
          <w:spacing w:val="-8"/>
          <w:w w:val="99"/>
        </w:rPr>
        <w:t>品牌影响力，也给用户带来了</w:t>
      </w:r>
      <w:r>
        <w:rPr>
          <w:spacing w:val="-52"/>
          <w:w w:val="99"/>
        </w:rPr>
        <w:t> </w:t>
      </w:r>
      <w:r>
        <w:rPr>
          <w:rFonts w:ascii="Arial" w:hAnsi="Arial" w:cs="Arial" w:eastAsia="Arial" w:hint="default"/>
          <w:w w:val="99"/>
        </w:rPr>
        <w:t>3G</w:t>
      </w:r>
      <w:r>
        <w:rPr>
          <w:rFonts w:ascii="Arial" w:hAnsi="Arial" w:cs="Arial" w:eastAsia="Arial" w:hint="default"/>
          <w:spacing w:val="-5"/>
          <w:w w:val="99"/>
        </w:rPr>
        <w:t> </w:t>
      </w:r>
      <w:r>
        <w:rPr>
          <w:w w:val="99"/>
        </w:rPr>
        <w:t>业务的全新体验。 </w:t>
      </w:r>
      <w:r>
        <w:rPr>
          <w:spacing w:val="-5"/>
        </w:rPr>
        <w:t>公司积极推进国际合作，于</w:t>
      </w:r>
      <w:r>
        <w:rPr>
          <w:spacing w:val="-54"/>
        </w:rPr>
        <w:t> </w:t>
      </w:r>
      <w:r>
        <w:rPr>
          <w:rFonts w:ascii="Arial" w:hAnsi="Arial" w:cs="Arial" w:eastAsia="Arial" w:hint="default"/>
        </w:rPr>
        <w:t>2009</w:t>
      </w:r>
      <w:r>
        <w:rPr>
          <w:rFonts w:ascii="Arial" w:hAnsi="Arial" w:cs="Arial" w:eastAsia="Arial" w:hint="default"/>
          <w:spacing w:val="-5"/>
        </w:rPr>
        <w:t> </w:t>
      </w:r>
      <w:r>
        <w:rPr/>
        <w:t>年</w:t>
      </w:r>
      <w:r>
        <w:rPr>
          <w:spacing w:val="-54"/>
        </w:rPr>
        <w:t> </w:t>
      </w:r>
      <w:r>
        <w:rPr>
          <w:rFonts w:ascii="Arial" w:hAnsi="Arial" w:cs="Arial" w:eastAsia="Arial" w:hint="default"/>
        </w:rPr>
        <w:t>9</w:t>
      </w:r>
      <w:r>
        <w:rPr>
          <w:rFonts w:ascii="Arial" w:hAnsi="Arial" w:cs="Arial" w:eastAsia="Arial" w:hint="default"/>
          <w:spacing w:val="-5"/>
        </w:rPr>
        <w:t> </w:t>
      </w:r>
      <w:r>
        <w:rPr/>
        <w:t>月</w:t>
      </w:r>
      <w:r>
        <w:rPr>
          <w:spacing w:val="-54"/>
        </w:rPr>
        <w:t> </w:t>
      </w:r>
      <w:r>
        <w:rPr>
          <w:rFonts w:ascii="Arial" w:hAnsi="Arial" w:cs="Arial" w:eastAsia="Arial" w:hint="default"/>
        </w:rPr>
        <w:t>6</w:t>
      </w:r>
      <w:r>
        <w:rPr>
          <w:rFonts w:ascii="Arial" w:hAnsi="Arial" w:cs="Arial" w:eastAsia="Arial" w:hint="default"/>
          <w:spacing w:val="-5"/>
        </w:rPr>
        <w:t> </w:t>
      </w:r>
      <w:r>
        <w:rPr>
          <w:spacing w:val="-3"/>
        </w:rPr>
        <w:t>日与西班牙电信签订战略联盟及相互投资协议，进</w:t>
      </w:r>
      <w:r>
        <w:rPr>
          <w:spacing w:val="-107"/>
        </w:rPr>
        <w:t> </w:t>
      </w:r>
      <w:r>
        <w:rPr>
          <w:spacing w:val="-107"/>
        </w:rPr>
      </w:r>
      <w:r>
        <w:rPr/>
        <w:t>一步深化多个领域的合作。</w:t>
      </w:r>
    </w:p>
    <w:p>
      <w:pPr>
        <w:spacing w:line="240" w:lineRule="auto" w:before="0"/>
        <w:rPr>
          <w:rFonts w:ascii="宋体" w:hAnsi="宋体" w:cs="宋体" w:eastAsia="宋体" w:hint="default"/>
          <w:sz w:val="21"/>
          <w:szCs w:val="21"/>
        </w:rPr>
      </w:pPr>
    </w:p>
    <w:p>
      <w:pPr>
        <w:pStyle w:val="Heading8"/>
        <w:spacing w:line="240" w:lineRule="auto"/>
        <w:ind w:right="99"/>
        <w:jc w:val="left"/>
        <w:rPr>
          <w:b w:val="0"/>
          <w:bCs w:val="0"/>
        </w:rPr>
      </w:pPr>
      <w:r>
        <w:rPr>
          <w:rFonts w:ascii="Arial" w:hAnsi="Arial" w:cs="Arial" w:eastAsia="Arial" w:hint="default"/>
        </w:rPr>
        <w:t>3</w:t>
      </w:r>
      <w:r>
        <w:rPr/>
        <w:t>、</w:t>
      </w:r>
      <w:r>
        <w:rPr>
          <w:spacing w:val="-36"/>
        </w:rPr>
        <w:t> </w:t>
      </w:r>
      <w:r>
        <w:rPr/>
        <w:t>内部融合</w:t>
      </w:r>
      <w:r>
        <w:rPr>
          <w:b w:val="0"/>
          <w:bCs w:val="0"/>
        </w:rPr>
      </w:r>
    </w:p>
    <w:p>
      <w:pPr>
        <w:spacing w:line="240" w:lineRule="auto" w:before="2"/>
        <w:rPr>
          <w:rFonts w:ascii="宋体" w:hAnsi="宋体" w:cs="宋体" w:eastAsia="宋体" w:hint="default"/>
          <w:b/>
          <w:bCs/>
          <w:sz w:val="22"/>
          <w:szCs w:val="22"/>
        </w:rPr>
      </w:pPr>
    </w:p>
    <w:p>
      <w:pPr>
        <w:pStyle w:val="BodyText"/>
        <w:spacing w:line="280" w:lineRule="exact"/>
        <w:ind w:left="567" w:right="102"/>
        <w:jc w:val="left"/>
      </w:pPr>
      <w:r>
        <w:rPr>
          <w:rFonts w:ascii="Arial" w:hAnsi="Arial" w:cs="Arial" w:eastAsia="Arial" w:hint="default"/>
        </w:rPr>
        <w:t>2009 </w:t>
      </w:r>
      <w:r>
        <w:rPr>
          <w:spacing w:val="-4"/>
        </w:rPr>
        <w:t>年，面对行业重组后的复杂局面，公司进一步明晰发展战略，优化整合组织机构、人力、</w:t>
      </w:r>
      <w:r>
        <w:rPr>
          <w:spacing w:val="-102"/>
        </w:rPr>
        <w:t> </w:t>
      </w:r>
      <w:r>
        <w:rPr>
          <w:spacing w:val="-102"/>
        </w:rPr>
      </w:r>
      <w:r>
        <w:rPr/>
        <w:t>业务、网络、</w:t>
      </w:r>
      <w:r>
        <w:rPr>
          <w:rFonts w:ascii="Arial" w:hAnsi="Arial" w:cs="Arial" w:eastAsia="Arial" w:hint="default"/>
        </w:rPr>
        <w:t>IT</w:t>
      </w:r>
      <w:r>
        <w:rPr>
          <w:rFonts w:ascii="Arial" w:hAnsi="Arial" w:cs="Arial" w:eastAsia="Arial" w:hint="default"/>
          <w:spacing w:val="-7"/>
        </w:rPr>
        <w:t> </w:t>
      </w:r>
      <w:r>
        <w:rPr/>
        <w:t>系统、服务体系、业务品牌等各方面资源，完善财务、风险及内部控制等各</w:t>
      </w:r>
      <w:r>
        <w:rPr>
          <w:w w:val="99"/>
        </w:rPr>
        <w:t> </w:t>
      </w:r>
      <w:r>
        <w:rPr/>
        <w:t>项基础管理制度，循序推进内部融合工作，为公司实现可持续发展奠定坚实基础。</w:t>
      </w:r>
    </w:p>
    <w:p>
      <w:pPr>
        <w:spacing w:line="240" w:lineRule="auto" w:before="12"/>
        <w:rPr>
          <w:rFonts w:ascii="宋体" w:hAnsi="宋体" w:cs="宋体" w:eastAsia="宋体" w:hint="default"/>
          <w:sz w:val="18"/>
          <w:szCs w:val="18"/>
        </w:rPr>
      </w:pPr>
    </w:p>
    <w:p>
      <w:pPr>
        <w:pStyle w:val="Heading8"/>
        <w:spacing w:line="240" w:lineRule="auto"/>
        <w:ind w:right="99"/>
        <w:jc w:val="left"/>
        <w:rPr>
          <w:b w:val="0"/>
          <w:bCs w:val="0"/>
        </w:rPr>
      </w:pPr>
      <w:r>
        <w:rPr>
          <w:rFonts w:ascii="Arial" w:hAnsi="Arial" w:cs="Arial" w:eastAsia="Arial" w:hint="default"/>
        </w:rPr>
        <w:t>4</w:t>
      </w:r>
      <w:r>
        <w:rPr/>
        <w:t>、</w:t>
      </w:r>
      <w:r>
        <w:rPr>
          <w:spacing w:val="-37"/>
        </w:rPr>
        <w:t> </w:t>
      </w:r>
      <w:r>
        <w:rPr/>
        <w:t>企业社会责任</w:t>
      </w:r>
      <w:r>
        <w:rPr>
          <w:b w:val="0"/>
          <w:bCs w:val="0"/>
        </w:rPr>
      </w:r>
    </w:p>
    <w:p>
      <w:pPr>
        <w:spacing w:line="240" w:lineRule="auto" w:before="2"/>
        <w:rPr>
          <w:rFonts w:ascii="宋体" w:hAnsi="宋体" w:cs="宋体" w:eastAsia="宋体" w:hint="default"/>
          <w:b/>
          <w:bCs/>
          <w:sz w:val="22"/>
          <w:szCs w:val="22"/>
        </w:rPr>
      </w:pPr>
    </w:p>
    <w:p>
      <w:pPr>
        <w:pStyle w:val="BodyText"/>
        <w:spacing w:line="280" w:lineRule="exact"/>
        <w:ind w:left="569" w:right="155" w:firstLine="20"/>
        <w:jc w:val="left"/>
      </w:pPr>
      <w:r>
        <w:rPr>
          <w:rFonts w:ascii="Arial" w:hAnsi="Arial" w:cs="Arial" w:eastAsia="Arial" w:hint="default"/>
        </w:rPr>
        <w:t>2009</w:t>
      </w:r>
      <w:r>
        <w:rPr>
          <w:rFonts w:ascii="Arial" w:hAnsi="Arial" w:cs="Arial" w:eastAsia="Arial" w:hint="default"/>
          <w:spacing w:val="-11"/>
        </w:rPr>
        <w:t> </w:t>
      </w:r>
      <w:r>
        <w:rPr/>
        <w:t>年，公司积极履行企业社会责任。全面提升服务水平；保障通信畅通；践行节能减排；</w:t>
      </w:r>
      <w:r>
        <w:rPr>
          <w:w w:val="99"/>
        </w:rPr>
        <w:t> </w:t>
      </w:r>
      <w:r>
        <w:rPr/>
        <w:t>营造健康网络环境；助力农村信息化建设；积极参与灾害救助活动，回报社会。</w:t>
      </w:r>
    </w:p>
    <w:p>
      <w:pPr>
        <w:spacing w:line="240" w:lineRule="auto" w:before="12"/>
        <w:rPr>
          <w:rFonts w:ascii="宋体" w:hAnsi="宋体" w:cs="宋体" w:eastAsia="宋体" w:hint="default"/>
          <w:sz w:val="18"/>
          <w:szCs w:val="18"/>
        </w:rPr>
      </w:pPr>
    </w:p>
    <w:p>
      <w:pPr>
        <w:pStyle w:val="Heading8"/>
        <w:tabs>
          <w:tab w:pos="1409" w:val="left" w:leader="none"/>
        </w:tabs>
        <w:spacing w:line="240" w:lineRule="auto"/>
        <w:ind w:right="99"/>
        <w:jc w:val="left"/>
        <w:rPr>
          <w:b w:val="0"/>
          <w:bCs w:val="0"/>
        </w:rPr>
      </w:pPr>
      <w:r>
        <w:rPr>
          <w:w w:val="95"/>
        </w:rPr>
        <w:t>第二部分</w:t>
        <w:tab/>
      </w:r>
      <w:r>
        <w:rPr/>
        <w:t>业务发展分析</w:t>
      </w:r>
      <w:r>
        <w:rPr>
          <w:b w:val="0"/>
          <w:bCs w:val="0"/>
        </w:rPr>
      </w:r>
    </w:p>
    <w:p>
      <w:pPr>
        <w:spacing w:line="240" w:lineRule="auto" w:before="3"/>
        <w:rPr>
          <w:rFonts w:ascii="宋体" w:hAnsi="宋体" w:cs="宋体" w:eastAsia="宋体" w:hint="default"/>
          <w:b/>
          <w:bCs/>
          <w:sz w:val="23"/>
          <w:szCs w:val="23"/>
        </w:rPr>
      </w:pPr>
    </w:p>
    <w:p>
      <w:pPr>
        <w:pStyle w:val="BodyText"/>
        <w:spacing w:line="280" w:lineRule="exact"/>
        <w:ind w:left="567" w:right="214"/>
        <w:jc w:val="left"/>
      </w:pPr>
      <w:r>
        <w:rPr>
          <w:rFonts w:ascii="Arial" w:hAnsi="Arial" w:cs="Arial" w:eastAsia="Arial" w:hint="default"/>
        </w:rPr>
        <w:t>2009</w:t>
      </w:r>
      <w:r>
        <w:rPr>
          <w:rFonts w:ascii="Arial" w:hAnsi="Arial" w:cs="Arial" w:eastAsia="Arial" w:hint="default"/>
          <w:spacing w:val="-8"/>
        </w:rPr>
        <w:t> </w:t>
      </w:r>
      <w:r>
        <w:rPr/>
        <w:t>年，公司发挥融合优势，开展全业务经营，重点推进</w:t>
      </w:r>
      <w:r>
        <w:rPr>
          <w:spacing w:val="-55"/>
        </w:rPr>
        <w:t> </w:t>
      </w:r>
      <w:r>
        <w:rPr>
          <w:rFonts w:ascii="Arial" w:hAnsi="Arial" w:cs="Arial" w:eastAsia="Arial" w:hint="default"/>
        </w:rPr>
        <w:t>3G</w:t>
      </w:r>
      <w:r>
        <w:rPr>
          <w:rFonts w:ascii="Arial" w:hAnsi="Arial" w:cs="Arial" w:eastAsia="Arial" w:hint="default"/>
          <w:spacing w:val="-9"/>
        </w:rPr>
        <w:t> </w:t>
      </w:r>
      <w:r>
        <w:rPr/>
        <w:t>建设运营，大力实施宽带升级</w:t>
      </w:r>
      <w:r>
        <w:rPr>
          <w:w w:val="99"/>
        </w:rPr>
        <w:t> </w:t>
      </w:r>
      <w:r>
        <w:rPr/>
        <w:t>提速，总体业务保持平稳发展。</w:t>
      </w:r>
    </w:p>
    <w:p>
      <w:pPr>
        <w:spacing w:line="240" w:lineRule="auto" w:before="11"/>
        <w:rPr>
          <w:rFonts w:ascii="宋体" w:hAnsi="宋体" w:cs="宋体" w:eastAsia="宋体" w:hint="default"/>
          <w:sz w:val="18"/>
          <w:szCs w:val="18"/>
        </w:rPr>
      </w:pPr>
    </w:p>
    <w:p>
      <w:pPr>
        <w:pStyle w:val="Heading8"/>
        <w:spacing w:line="240" w:lineRule="auto"/>
        <w:ind w:right="99"/>
        <w:jc w:val="left"/>
        <w:rPr>
          <w:b w:val="0"/>
          <w:bCs w:val="0"/>
        </w:rPr>
      </w:pPr>
      <w:r>
        <w:rPr>
          <w:rFonts w:ascii="Arial" w:hAnsi="Arial" w:cs="Arial" w:eastAsia="Arial" w:hint="default"/>
        </w:rPr>
        <w:t>1</w:t>
      </w:r>
      <w:r>
        <w:rPr/>
        <w:t>、</w:t>
      </w:r>
      <w:r>
        <w:rPr>
          <w:spacing w:val="-36"/>
        </w:rPr>
        <w:t> </w:t>
      </w:r>
      <w:r>
        <w:rPr/>
        <w:t>移动业务</w:t>
      </w:r>
      <w:r>
        <w:rPr>
          <w:b w:val="0"/>
          <w:bCs w:val="0"/>
        </w:rPr>
      </w:r>
    </w:p>
    <w:p>
      <w:pPr>
        <w:spacing w:line="240" w:lineRule="auto" w:before="8"/>
        <w:rPr>
          <w:rFonts w:ascii="宋体" w:hAnsi="宋体" w:cs="宋体" w:eastAsia="宋体" w:hint="default"/>
          <w:b/>
          <w:bCs/>
          <w:sz w:val="19"/>
          <w:szCs w:val="19"/>
        </w:rPr>
      </w:pPr>
    </w:p>
    <w:p>
      <w:pPr>
        <w:spacing w:before="0"/>
        <w:ind w:left="149" w:right="99" w:firstLine="0"/>
        <w:jc w:val="left"/>
        <w:rPr>
          <w:rFonts w:ascii="宋体" w:hAnsi="宋体" w:cs="宋体" w:eastAsia="宋体" w:hint="default"/>
          <w:sz w:val="22"/>
          <w:szCs w:val="22"/>
        </w:rPr>
      </w:pPr>
      <w:r>
        <w:rPr>
          <w:rFonts w:ascii="Arial" w:hAnsi="Arial" w:cs="Arial" w:eastAsia="Arial" w:hint="default"/>
          <w:b/>
          <w:bCs/>
          <w:sz w:val="22"/>
          <w:szCs w:val="22"/>
        </w:rPr>
        <w:t>1.1  GSM</w:t>
      </w:r>
      <w:r>
        <w:rPr>
          <w:rFonts w:ascii="Arial" w:hAnsi="Arial" w:cs="Arial" w:eastAsia="Arial" w:hint="default"/>
          <w:b/>
          <w:bCs/>
          <w:spacing w:val="-17"/>
          <w:sz w:val="22"/>
          <w:szCs w:val="22"/>
        </w:rPr>
        <w:t> </w:t>
      </w:r>
      <w:r>
        <w:rPr>
          <w:rFonts w:ascii="宋体" w:hAnsi="宋体" w:cs="宋体" w:eastAsia="宋体" w:hint="default"/>
          <w:b/>
          <w:bCs/>
          <w:sz w:val="22"/>
          <w:szCs w:val="22"/>
        </w:rPr>
        <w:t>业务</w:t>
      </w:r>
      <w:r>
        <w:rPr>
          <w:rFonts w:ascii="宋体" w:hAnsi="宋体" w:cs="宋体" w:eastAsia="宋体" w:hint="default"/>
          <w:sz w:val="22"/>
          <w:szCs w:val="22"/>
        </w:rPr>
      </w:r>
    </w:p>
    <w:p>
      <w:pPr>
        <w:spacing w:line="240" w:lineRule="auto" w:before="3"/>
        <w:rPr>
          <w:rFonts w:ascii="宋体" w:hAnsi="宋体" w:cs="宋体" w:eastAsia="宋体" w:hint="default"/>
          <w:b/>
          <w:bCs/>
          <w:sz w:val="21"/>
          <w:szCs w:val="21"/>
        </w:rPr>
      </w:pPr>
    </w:p>
    <w:p>
      <w:pPr>
        <w:pStyle w:val="BodyText"/>
        <w:spacing w:line="220" w:lineRule="auto"/>
        <w:ind w:left="567" w:right="102"/>
        <w:jc w:val="left"/>
      </w:pPr>
      <w:r>
        <w:rPr>
          <w:rFonts w:ascii="Arial" w:hAnsi="Arial" w:cs="Arial" w:eastAsia="Arial" w:hint="default"/>
        </w:rPr>
        <w:t>2009 </w:t>
      </w:r>
      <w:r>
        <w:rPr>
          <w:spacing w:val="-4"/>
        </w:rPr>
        <w:t>年，公司坚持业务协调发展，稳步推进固网移动产品融合，加大用户的发展和保有力度，</w:t>
      </w:r>
      <w:r>
        <w:rPr>
          <w:spacing w:val="-104"/>
        </w:rPr>
        <w:t> </w:t>
      </w:r>
      <w:r>
        <w:rPr>
          <w:spacing w:val="-104"/>
        </w:rPr>
      </w:r>
      <w:r>
        <w:rPr>
          <w:rFonts w:ascii="Arial" w:hAnsi="Arial" w:cs="Arial" w:eastAsia="Arial" w:hint="default"/>
        </w:rPr>
        <w:t>GSM</w:t>
      </w:r>
      <w:r>
        <w:rPr>
          <w:rFonts w:ascii="Arial" w:hAnsi="Arial" w:cs="Arial" w:eastAsia="Arial" w:hint="default"/>
          <w:spacing w:val="-8"/>
        </w:rPr>
        <w:t> </w:t>
      </w:r>
      <w:r>
        <w:rPr/>
        <w:t>业务整体保持稳定增长。全年</w:t>
      </w:r>
      <w:r>
        <w:rPr>
          <w:spacing w:val="-56"/>
        </w:rPr>
        <w:t> </w:t>
      </w:r>
      <w:r>
        <w:rPr>
          <w:rFonts w:ascii="Arial" w:hAnsi="Arial" w:cs="Arial" w:eastAsia="Arial" w:hint="default"/>
        </w:rPr>
        <w:t>GSM</w:t>
      </w:r>
      <w:r>
        <w:rPr>
          <w:rFonts w:ascii="Arial" w:hAnsi="Arial" w:cs="Arial" w:eastAsia="Arial" w:hint="default"/>
          <w:spacing w:val="-8"/>
        </w:rPr>
        <w:t> </w:t>
      </w:r>
      <w:r>
        <w:rPr/>
        <w:t>用户净增</w:t>
      </w:r>
      <w:r>
        <w:rPr>
          <w:spacing w:val="-57"/>
        </w:rPr>
        <w:t> </w:t>
      </w:r>
      <w:r>
        <w:rPr>
          <w:rFonts w:ascii="Arial" w:hAnsi="Arial" w:cs="Arial" w:eastAsia="Arial" w:hint="default"/>
        </w:rPr>
        <w:t>1148.0</w:t>
      </w:r>
      <w:r>
        <w:rPr>
          <w:rFonts w:ascii="Arial" w:hAnsi="Arial" w:cs="Arial" w:eastAsia="Arial" w:hint="default"/>
          <w:spacing w:val="-8"/>
        </w:rPr>
        <w:t> </w:t>
      </w:r>
      <w:r>
        <w:rPr/>
        <w:t>万户，达到</w:t>
      </w:r>
      <w:r>
        <w:rPr>
          <w:spacing w:val="-57"/>
        </w:rPr>
        <w:t> </w:t>
      </w:r>
      <w:r>
        <w:rPr>
          <w:rFonts w:ascii="Arial" w:hAnsi="Arial" w:cs="Arial" w:eastAsia="Arial" w:hint="default"/>
        </w:rPr>
        <w:t>14484.5</w:t>
      </w:r>
      <w:r>
        <w:rPr>
          <w:rFonts w:ascii="Arial" w:hAnsi="Arial" w:cs="Arial" w:eastAsia="Arial" w:hint="default"/>
          <w:spacing w:val="-8"/>
        </w:rPr>
        <w:t> </w:t>
      </w:r>
      <w:r>
        <w:rPr/>
        <w:t>万户，比上</w:t>
      </w:r>
      <w:r>
        <w:rPr>
          <w:w w:val="99"/>
        </w:rPr>
        <w:t> </w:t>
      </w:r>
      <w:r>
        <w:rPr/>
        <w:t>年增长</w:t>
      </w:r>
      <w:r>
        <w:rPr>
          <w:spacing w:val="-55"/>
        </w:rPr>
        <w:t> </w:t>
      </w:r>
      <w:r>
        <w:rPr>
          <w:rFonts w:ascii="Arial" w:hAnsi="Arial" w:cs="Arial" w:eastAsia="Arial" w:hint="default"/>
          <w:spacing w:val="-4"/>
        </w:rPr>
        <w:t>8.6%</w:t>
      </w:r>
      <w:r>
        <w:rPr>
          <w:spacing w:val="-4"/>
        </w:rPr>
        <w:t>。</w:t>
      </w:r>
      <w:r>
        <w:rPr>
          <w:rFonts w:ascii="Arial" w:hAnsi="Arial" w:cs="Arial" w:eastAsia="Arial" w:hint="default"/>
          <w:spacing w:val="-4"/>
        </w:rPr>
        <w:t>GSM</w:t>
      </w:r>
      <w:r>
        <w:rPr>
          <w:rFonts w:ascii="Arial" w:hAnsi="Arial" w:cs="Arial" w:eastAsia="Arial" w:hint="default"/>
          <w:spacing w:val="-6"/>
        </w:rPr>
        <w:t> </w:t>
      </w:r>
      <w:r>
        <w:rPr/>
        <w:t>用户通信使用量达到</w:t>
      </w:r>
      <w:r>
        <w:rPr>
          <w:spacing w:val="-55"/>
        </w:rPr>
        <w:t> </w:t>
      </w:r>
      <w:r>
        <w:rPr>
          <w:rFonts w:ascii="Arial" w:hAnsi="Arial" w:cs="Arial" w:eastAsia="Arial" w:hint="default"/>
        </w:rPr>
        <w:t>4230.5</w:t>
      </w:r>
      <w:r>
        <w:rPr>
          <w:rFonts w:ascii="Arial" w:hAnsi="Arial" w:cs="Arial" w:eastAsia="Arial" w:hint="default"/>
          <w:spacing w:val="-6"/>
        </w:rPr>
        <w:t> </w:t>
      </w:r>
      <w:r>
        <w:rPr>
          <w:spacing w:val="-3"/>
        </w:rPr>
        <w:t>亿分钟，比上年增长</w:t>
      </w:r>
      <w:r>
        <w:rPr>
          <w:spacing w:val="-55"/>
        </w:rPr>
        <w:t> </w:t>
      </w:r>
      <w:r>
        <w:rPr>
          <w:rFonts w:ascii="Arial" w:hAnsi="Arial" w:cs="Arial" w:eastAsia="Arial" w:hint="default"/>
          <w:spacing w:val="-3"/>
        </w:rPr>
        <w:t>12.3%</w:t>
      </w:r>
      <w:r>
        <w:rPr>
          <w:spacing w:val="-3"/>
        </w:rPr>
        <w:t>，平均每月每用</w:t>
      </w:r>
      <w:r>
        <w:rPr>
          <w:w w:val="99"/>
        </w:rPr>
        <w:t> </w:t>
      </w:r>
      <w:r>
        <w:rPr/>
        <w:t>户通话分钟数（</w:t>
      </w:r>
      <w:r>
        <w:rPr>
          <w:rFonts w:ascii="Arial" w:hAnsi="Arial" w:cs="Arial" w:eastAsia="Arial" w:hint="default"/>
        </w:rPr>
        <w:t>MOU</w:t>
      </w:r>
      <w:r>
        <w:rPr/>
        <w:t>）为</w:t>
      </w:r>
      <w:r>
        <w:rPr>
          <w:spacing w:val="-71"/>
        </w:rPr>
        <w:t> </w:t>
      </w:r>
      <w:r>
        <w:rPr>
          <w:rFonts w:ascii="Arial" w:hAnsi="Arial" w:cs="Arial" w:eastAsia="Arial" w:hint="default"/>
        </w:rPr>
        <w:t>252.0</w:t>
      </w:r>
      <w:r>
        <w:rPr>
          <w:rFonts w:ascii="Arial" w:hAnsi="Arial" w:cs="Arial" w:eastAsia="Arial" w:hint="default"/>
          <w:spacing w:val="-22"/>
        </w:rPr>
        <w:t> </w:t>
      </w:r>
      <w:r>
        <w:rPr/>
        <w:t>分钟，比上年增长</w:t>
      </w:r>
      <w:r>
        <w:rPr>
          <w:spacing w:val="-71"/>
        </w:rPr>
        <w:t> </w:t>
      </w:r>
      <w:r>
        <w:rPr>
          <w:rFonts w:ascii="Arial" w:hAnsi="Arial" w:cs="Arial" w:eastAsia="Arial" w:hint="default"/>
        </w:rPr>
        <w:t>2.3%</w:t>
      </w:r>
      <w:r>
        <w:rPr/>
        <w:t>；平均每用户每月收入（</w:t>
      </w:r>
      <w:r>
        <w:rPr>
          <w:rFonts w:ascii="Arial" w:hAnsi="Arial" w:cs="Arial" w:eastAsia="Arial" w:hint="default"/>
        </w:rPr>
        <w:t>ARPU</w:t>
      </w:r>
      <w:r>
        <w:rPr/>
        <w:t>）为</w:t>
      </w:r>
      <w:r>
        <w:rPr>
          <w:spacing w:val="-11"/>
          <w:w w:val="99"/>
        </w:rPr>
        <w:t> </w:t>
      </w:r>
      <w:r>
        <w:rPr/>
        <w:t>人民币</w:t>
      </w:r>
      <w:r>
        <w:rPr>
          <w:spacing w:val="-57"/>
        </w:rPr>
        <w:t> </w:t>
      </w:r>
      <w:r>
        <w:rPr>
          <w:rFonts w:ascii="Arial" w:hAnsi="Arial" w:cs="Arial" w:eastAsia="Arial" w:hint="default"/>
        </w:rPr>
        <w:t>41.2</w:t>
      </w:r>
      <w:r>
        <w:rPr>
          <w:rFonts w:ascii="Arial" w:hAnsi="Arial" w:cs="Arial" w:eastAsia="Arial" w:hint="default"/>
          <w:spacing w:val="-8"/>
        </w:rPr>
        <w:t> </w:t>
      </w:r>
      <w:r>
        <w:rPr/>
        <w:t>元，比上年下降</w:t>
      </w:r>
      <w:r>
        <w:rPr>
          <w:spacing w:val="-57"/>
        </w:rPr>
        <w:t> </w:t>
      </w:r>
      <w:r>
        <w:rPr>
          <w:rFonts w:ascii="Arial" w:hAnsi="Arial" w:cs="Arial" w:eastAsia="Arial" w:hint="default"/>
        </w:rPr>
        <w:t>2.4%</w:t>
      </w:r>
      <w:r>
        <w:rPr/>
        <w:t>。</w:t>
      </w:r>
    </w:p>
    <w:p>
      <w:pPr>
        <w:spacing w:line="240" w:lineRule="auto" w:before="10"/>
        <w:rPr>
          <w:rFonts w:ascii="宋体" w:hAnsi="宋体" w:cs="宋体" w:eastAsia="宋体" w:hint="default"/>
          <w:sz w:val="16"/>
          <w:szCs w:val="16"/>
        </w:rPr>
      </w:pPr>
    </w:p>
    <w:p>
      <w:pPr>
        <w:pStyle w:val="BodyText"/>
        <w:spacing w:line="292" w:lineRule="exact"/>
        <w:ind w:left="567" w:right="99"/>
        <w:jc w:val="left"/>
      </w:pPr>
      <w:r>
        <w:rPr>
          <w:rFonts w:ascii="Arial" w:hAnsi="Arial" w:cs="Arial" w:eastAsia="Arial" w:hint="default"/>
        </w:rPr>
        <w:t>2009</w:t>
      </w:r>
      <w:r>
        <w:rPr>
          <w:rFonts w:ascii="Arial" w:hAnsi="Arial" w:cs="Arial" w:eastAsia="Arial" w:hint="default"/>
          <w:spacing w:val="-33"/>
        </w:rPr>
        <w:t> </w:t>
      </w:r>
      <w:r>
        <w:rPr/>
        <w:t>年，公司继续大力发展增值业务，积极推广移动数据业务，提升炫铃、</w:t>
      </w:r>
      <w:r>
        <w:rPr>
          <w:rFonts w:ascii="Arial" w:hAnsi="Arial" w:cs="Arial" w:eastAsia="Arial" w:hint="default"/>
        </w:rPr>
        <w:t>GPRS</w:t>
      </w:r>
      <w:r>
        <w:rPr>
          <w:rFonts w:ascii="Arial" w:hAnsi="Arial" w:cs="Arial" w:eastAsia="Arial" w:hint="default"/>
          <w:spacing w:val="-33"/>
        </w:rPr>
        <w:t> </w:t>
      </w:r>
      <w:r>
        <w:rPr/>
        <w:t>等增值业</w:t>
      </w:r>
    </w:p>
    <w:p>
      <w:pPr>
        <w:pStyle w:val="BodyText"/>
        <w:spacing w:line="280" w:lineRule="exact" w:before="21"/>
        <w:ind w:left="567" w:right="268"/>
        <w:jc w:val="both"/>
      </w:pPr>
      <w:r>
        <w:rPr/>
        <w:t>务的渗透率，</w:t>
      </w:r>
      <w:r>
        <w:rPr>
          <w:rFonts w:ascii="Arial" w:hAnsi="Arial" w:cs="Arial" w:eastAsia="Arial" w:hint="default"/>
        </w:rPr>
        <w:t>GSM</w:t>
      </w:r>
      <w:r>
        <w:rPr>
          <w:rFonts w:ascii="Arial" w:hAnsi="Arial" w:cs="Arial" w:eastAsia="Arial" w:hint="default"/>
          <w:spacing w:val="-9"/>
        </w:rPr>
        <w:t> </w:t>
      </w:r>
      <w:r>
        <w:rPr/>
        <w:t>增值业务持续快速增长。炫铃业务用户净增</w:t>
      </w:r>
      <w:r>
        <w:rPr>
          <w:spacing w:val="-56"/>
        </w:rPr>
        <w:t> </w:t>
      </w:r>
      <w:r>
        <w:rPr>
          <w:rFonts w:ascii="Arial" w:hAnsi="Arial" w:cs="Arial" w:eastAsia="Arial" w:hint="default"/>
        </w:rPr>
        <w:t>509.3</w:t>
      </w:r>
      <w:r>
        <w:rPr>
          <w:rFonts w:ascii="Arial" w:hAnsi="Arial" w:cs="Arial" w:eastAsia="Arial" w:hint="default"/>
          <w:spacing w:val="-8"/>
        </w:rPr>
        <w:t> </w:t>
      </w:r>
      <w:r>
        <w:rPr/>
        <w:t>万户，达到</w:t>
      </w:r>
      <w:r>
        <w:rPr>
          <w:spacing w:val="-56"/>
        </w:rPr>
        <w:t> </w:t>
      </w:r>
      <w:r>
        <w:rPr>
          <w:rFonts w:ascii="Arial" w:hAnsi="Arial" w:cs="Arial" w:eastAsia="Arial" w:hint="default"/>
        </w:rPr>
        <w:t>4922.0</w:t>
      </w:r>
      <w:r>
        <w:rPr>
          <w:rFonts w:ascii="Arial" w:hAnsi="Arial" w:cs="Arial" w:eastAsia="Arial" w:hint="default"/>
          <w:spacing w:val="-8"/>
        </w:rPr>
        <w:t> </w:t>
      </w:r>
      <w:r>
        <w:rPr/>
        <w:t>万</w:t>
      </w:r>
      <w:r>
        <w:rPr>
          <w:w w:val="99"/>
        </w:rPr>
        <w:t> </w:t>
      </w:r>
      <w:r>
        <w:rPr/>
        <w:t>户，用户渗透率从上年的</w:t>
      </w:r>
      <w:r>
        <w:rPr>
          <w:spacing w:val="-57"/>
        </w:rPr>
        <w:t> </w:t>
      </w:r>
      <w:r>
        <w:rPr>
          <w:rFonts w:ascii="Arial" w:hAnsi="Arial" w:cs="Arial" w:eastAsia="Arial" w:hint="default"/>
        </w:rPr>
        <w:t>33.1%</w:t>
      </w:r>
      <w:r>
        <w:rPr/>
        <w:t>上升到</w:t>
      </w:r>
      <w:r>
        <w:rPr>
          <w:spacing w:val="-57"/>
        </w:rPr>
        <w:t> </w:t>
      </w:r>
      <w:r>
        <w:rPr>
          <w:rFonts w:ascii="Arial" w:hAnsi="Arial" w:cs="Arial" w:eastAsia="Arial" w:hint="default"/>
        </w:rPr>
        <w:t>34.0%</w:t>
      </w:r>
      <w:r>
        <w:rPr/>
        <w:t>。</w:t>
      </w:r>
      <w:r>
        <w:rPr>
          <w:rFonts w:ascii="Arial" w:hAnsi="Arial" w:cs="Arial" w:eastAsia="Arial" w:hint="default"/>
        </w:rPr>
        <w:t>GPRS</w:t>
      </w:r>
      <w:r>
        <w:rPr>
          <w:rFonts w:ascii="Arial" w:hAnsi="Arial" w:cs="Arial" w:eastAsia="Arial" w:hint="default"/>
          <w:spacing w:val="-9"/>
        </w:rPr>
        <w:t> </w:t>
      </w:r>
      <w:r>
        <w:rPr/>
        <w:t>用户净增</w:t>
      </w:r>
      <w:r>
        <w:rPr>
          <w:spacing w:val="-57"/>
        </w:rPr>
        <w:t> </w:t>
      </w:r>
      <w:r>
        <w:rPr>
          <w:rFonts w:ascii="Arial" w:hAnsi="Arial" w:cs="Arial" w:eastAsia="Arial" w:hint="default"/>
        </w:rPr>
        <w:t>1356.5</w:t>
      </w:r>
      <w:r>
        <w:rPr>
          <w:rFonts w:ascii="Arial" w:hAnsi="Arial" w:cs="Arial" w:eastAsia="Arial" w:hint="default"/>
          <w:spacing w:val="-8"/>
        </w:rPr>
        <w:t> </w:t>
      </w:r>
      <w:r>
        <w:rPr/>
        <w:t>万户，达到</w:t>
      </w:r>
      <w:r>
        <w:rPr>
          <w:spacing w:val="-57"/>
        </w:rPr>
        <w:t> </w:t>
      </w:r>
      <w:r>
        <w:rPr>
          <w:rFonts w:ascii="Arial" w:hAnsi="Arial" w:cs="Arial" w:eastAsia="Arial" w:hint="default"/>
        </w:rPr>
        <w:t>4478.9</w:t>
      </w:r>
      <w:r>
        <w:rPr>
          <w:rFonts w:ascii="Arial" w:hAnsi="Arial" w:cs="Arial" w:eastAsia="Arial" w:hint="default"/>
          <w:w w:val="99"/>
        </w:rPr>
        <w:t> </w:t>
      </w:r>
      <w:r>
        <w:rPr/>
        <w:t>万户，比上年增长</w:t>
      </w:r>
      <w:r>
        <w:rPr>
          <w:spacing w:val="-58"/>
        </w:rPr>
        <w:t> </w:t>
      </w:r>
      <w:r>
        <w:rPr>
          <w:rFonts w:ascii="Arial" w:hAnsi="Arial" w:cs="Arial" w:eastAsia="Arial" w:hint="default"/>
        </w:rPr>
        <w:t>43.4%</w:t>
      </w:r>
      <w:r>
        <w:rPr/>
        <w:t>，用户渗透率从上年的</w:t>
      </w:r>
      <w:r>
        <w:rPr>
          <w:spacing w:val="-58"/>
        </w:rPr>
        <w:t> </w:t>
      </w:r>
      <w:r>
        <w:rPr>
          <w:rFonts w:ascii="Arial" w:hAnsi="Arial" w:cs="Arial" w:eastAsia="Arial" w:hint="default"/>
        </w:rPr>
        <w:t>23.4%</w:t>
      </w:r>
      <w:r>
        <w:rPr/>
        <w:t>上升到</w:t>
      </w:r>
      <w:r>
        <w:rPr>
          <w:spacing w:val="-58"/>
        </w:rPr>
        <w:t> </w:t>
      </w:r>
      <w:r>
        <w:rPr>
          <w:rFonts w:ascii="Arial" w:hAnsi="Arial" w:cs="Arial" w:eastAsia="Arial" w:hint="default"/>
        </w:rPr>
        <w:t>30.9%</w:t>
      </w:r>
      <w:r>
        <w:rPr/>
        <w:t>。</w:t>
      </w:r>
    </w:p>
    <w:p>
      <w:pPr>
        <w:spacing w:after="0" w:line="280" w:lineRule="exact"/>
        <w:jc w:val="both"/>
        <w:sectPr>
          <w:pgSz w:w="11910" w:h="16840"/>
          <w:pgMar w:header="587" w:footer="774" w:top="960" w:bottom="960" w:left="1180" w:right="1060"/>
        </w:sectPr>
      </w:pPr>
    </w:p>
    <w:p>
      <w:pPr>
        <w:spacing w:line="240" w:lineRule="auto" w:before="9"/>
        <w:rPr>
          <w:rFonts w:ascii="宋体" w:hAnsi="宋体" w:cs="宋体" w:eastAsia="宋体" w:hint="default"/>
          <w:sz w:val="12"/>
          <w:szCs w:val="12"/>
        </w:rPr>
      </w:pPr>
    </w:p>
    <w:p>
      <w:pPr>
        <w:pStyle w:val="Heading8"/>
        <w:spacing w:line="240" w:lineRule="auto" w:before="31"/>
        <w:ind w:right="99"/>
        <w:jc w:val="left"/>
        <w:rPr>
          <w:b w:val="0"/>
          <w:bCs w:val="0"/>
        </w:rPr>
      </w:pPr>
      <w:r>
        <w:rPr>
          <w:rFonts w:ascii="Arial" w:hAnsi="Arial" w:cs="Arial" w:eastAsia="Arial" w:hint="default"/>
        </w:rPr>
        <w:t>1.2  3G</w:t>
      </w:r>
      <w:r>
        <w:rPr>
          <w:rFonts w:ascii="Arial" w:hAnsi="Arial" w:cs="Arial" w:eastAsia="Arial" w:hint="default"/>
          <w:spacing w:val="-17"/>
        </w:rPr>
        <w:t> </w:t>
      </w:r>
      <w:r>
        <w:rPr/>
        <w:t>业务</w:t>
      </w:r>
      <w:r>
        <w:rPr>
          <w:b w:val="0"/>
          <w:bCs w:val="0"/>
        </w:rPr>
      </w:r>
    </w:p>
    <w:p>
      <w:pPr>
        <w:spacing w:line="240" w:lineRule="auto" w:before="12"/>
        <w:rPr>
          <w:rFonts w:ascii="宋体" w:hAnsi="宋体" w:cs="宋体" w:eastAsia="宋体" w:hint="default"/>
          <w:b/>
          <w:bCs/>
          <w:sz w:val="20"/>
          <w:szCs w:val="20"/>
        </w:rPr>
      </w:pPr>
    </w:p>
    <w:p>
      <w:pPr>
        <w:pStyle w:val="BodyText"/>
        <w:spacing w:line="223" w:lineRule="auto"/>
        <w:ind w:left="567" w:right="98"/>
        <w:jc w:val="left"/>
        <w:rPr>
          <w:rFonts w:ascii="Arial" w:hAnsi="Arial" w:cs="Arial" w:eastAsia="Arial" w:hint="default"/>
        </w:rPr>
      </w:pPr>
      <w:r>
        <w:rPr>
          <w:rFonts w:ascii="Arial" w:hAnsi="Arial" w:cs="Arial" w:eastAsia="Arial" w:hint="default"/>
        </w:rPr>
        <w:t>2009</w:t>
      </w:r>
      <w:r>
        <w:rPr>
          <w:rFonts w:ascii="Arial" w:hAnsi="Arial" w:cs="Arial" w:eastAsia="Arial" w:hint="default"/>
          <w:spacing w:val="-4"/>
        </w:rPr>
        <w:t> </w:t>
      </w:r>
      <w:r>
        <w:rPr/>
        <w:t>年</w:t>
      </w:r>
      <w:r>
        <w:rPr>
          <w:spacing w:val="-53"/>
        </w:rPr>
        <w:t> </w:t>
      </w:r>
      <w:r>
        <w:rPr>
          <w:rFonts w:ascii="Arial" w:hAnsi="Arial" w:cs="Arial" w:eastAsia="Arial" w:hint="default"/>
        </w:rPr>
        <w:t>10</w:t>
      </w:r>
      <w:r>
        <w:rPr>
          <w:rFonts w:ascii="Arial" w:hAnsi="Arial" w:cs="Arial" w:eastAsia="Arial" w:hint="default"/>
          <w:spacing w:val="-4"/>
        </w:rPr>
        <w:t> </w:t>
      </w:r>
      <w:r>
        <w:rPr/>
        <w:t>月</w:t>
      </w:r>
      <w:r>
        <w:rPr>
          <w:spacing w:val="-53"/>
        </w:rPr>
        <w:t> </w:t>
      </w:r>
      <w:r>
        <w:rPr>
          <w:rFonts w:ascii="Arial" w:hAnsi="Arial" w:cs="Arial" w:eastAsia="Arial" w:hint="default"/>
        </w:rPr>
        <w:t>1</w:t>
      </w:r>
      <w:r>
        <w:rPr>
          <w:rFonts w:ascii="Arial" w:hAnsi="Arial" w:cs="Arial" w:eastAsia="Arial" w:hint="default"/>
          <w:spacing w:val="-4"/>
        </w:rPr>
        <w:t> </w:t>
      </w:r>
      <w:r>
        <w:rPr>
          <w:spacing w:val="-7"/>
        </w:rPr>
        <w:t>日，</w:t>
      </w:r>
      <w:r>
        <w:rPr>
          <w:rFonts w:ascii="Arial" w:hAnsi="Arial" w:cs="Arial" w:eastAsia="Arial" w:hint="default"/>
          <w:spacing w:val="-7"/>
        </w:rPr>
        <w:t>3G</w:t>
      </w:r>
      <w:r>
        <w:rPr>
          <w:rFonts w:ascii="Arial" w:hAnsi="Arial" w:cs="Arial" w:eastAsia="Arial" w:hint="default"/>
          <w:spacing w:val="-4"/>
        </w:rPr>
        <w:t> </w:t>
      </w:r>
      <w:r>
        <w:rPr>
          <w:spacing w:val="-6"/>
        </w:rPr>
        <w:t>业务正式商用。公司坚持“网络、服务、业务”领先和“品牌、业务、</w:t>
      </w:r>
      <w:r>
        <w:rPr>
          <w:w w:val="99"/>
        </w:rPr>
        <w:t> </w:t>
      </w:r>
      <w:r>
        <w:rPr>
          <w:w w:val="95"/>
        </w:rPr>
        <w:t>资费、包装、终端政策、服务标准”统一策略，引入“</w:t>
      </w:r>
      <w:r>
        <w:rPr>
          <w:rFonts w:ascii="Arial" w:hAnsi="Arial" w:cs="Arial" w:eastAsia="Arial" w:hint="default"/>
          <w:w w:val="95"/>
        </w:rPr>
        <w:t>M/T</w:t>
      </w:r>
      <w:r>
        <w:rPr>
          <w:w w:val="95"/>
        </w:rPr>
        <w:t>”内容计费模式，推出无线上网卡</w:t>
      </w:r>
      <w:r>
        <w:rPr>
          <w:spacing w:val="45"/>
          <w:w w:val="95"/>
        </w:rPr>
        <w:t> </w:t>
      </w:r>
      <w:r>
        <w:rPr>
          <w:spacing w:val="45"/>
          <w:w w:val="95"/>
        </w:rPr>
      </w:r>
      <w:r>
        <w:rPr/>
        <w:t>“套餐自动升级”计费模式，于二零零九年底实现在全国</w:t>
      </w:r>
      <w:r>
        <w:rPr>
          <w:spacing w:val="-54"/>
        </w:rPr>
        <w:t> </w:t>
      </w:r>
      <w:r>
        <w:rPr>
          <w:rFonts w:ascii="Arial" w:hAnsi="Arial" w:cs="Arial" w:eastAsia="Arial" w:hint="default"/>
        </w:rPr>
        <w:t>335</w:t>
      </w:r>
      <w:r>
        <w:rPr>
          <w:rFonts w:ascii="Arial" w:hAnsi="Arial" w:cs="Arial" w:eastAsia="Arial" w:hint="default"/>
          <w:spacing w:val="-7"/>
        </w:rPr>
        <w:t> </w:t>
      </w:r>
      <w:r>
        <w:rPr/>
        <w:t>个城市提供</w:t>
      </w:r>
      <w:r>
        <w:rPr>
          <w:spacing w:val="-56"/>
        </w:rPr>
        <w:t> </w:t>
      </w:r>
      <w:r>
        <w:rPr>
          <w:rFonts w:ascii="Arial" w:hAnsi="Arial" w:cs="Arial" w:eastAsia="Arial" w:hint="default"/>
        </w:rPr>
        <w:t>3G</w:t>
      </w:r>
      <w:r>
        <w:rPr>
          <w:rFonts w:ascii="Arial" w:hAnsi="Arial" w:cs="Arial" w:eastAsia="Arial" w:hint="default"/>
          <w:spacing w:val="-8"/>
        </w:rPr>
        <w:t> </w:t>
      </w:r>
      <w:r>
        <w:rPr/>
        <w:t>服务。重点针</w:t>
      </w:r>
      <w:r>
        <w:rPr>
          <w:w w:val="99"/>
        </w:rPr>
        <w:t> </w:t>
      </w:r>
      <w:r>
        <w:rPr/>
        <w:t>对有移动互联网需求的目标用户，推出手机上网、手机音乐、手机电视、可视电话、手机报</w:t>
      </w:r>
      <w:r>
        <w:rPr>
          <w:w w:val="99"/>
        </w:rPr>
        <w:t> </w:t>
      </w:r>
      <w:r>
        <w:rPr/>
        <w:t>和无线上网卡等多项</w:t>
      </w:r>
      <w:r>
        <w:rPr>
          <w:spacing w:val="-56"/>
        </w:rPr>
        <w:t> </w:t>
      </w:r>
      <w:r>
        <w:rPr>
          <w:rFonts w:ascii="Arial" w:hAnsi="Arial" w:cs="Arial" w:eastAsia="Arial" w:hint="default"/>
        </w:rPr>
        <w:t>3G</w:t>
      </w:r>
      <w:r>
        <w:rPr>
          <w:rFonts w:ascii="Arial" w:hAnsi="Arial" w:cs="Arial" w:eastAsia="Arial" w:hint="default"/>
          <w:spacing w:val="-8"/>
        </w:rPr>
        <w:t> </w:t>
      </w:r>
      <w:r>
        <w:rPr/>
        <w:t>业务。与美国苹果公司合作，开展</w:t>
      </w:r>
      <w:r>
        <w:rPr>
          <w:spacing w:val="-56"/>
        </w:rPr>
        <w:t> </w:t>
      </w:r>
      <w:r>
        <w:rPr>
          <w:rFonts w:ascii="Arial" w:hAnsi="Arial" w:cs="Arial" w:eastAsia="Arial" w:hint="default"/>
        </w:rPr>
        <w:t>iPhone</w:t>
      </w:r>
      <w:r>
        <w:rPr>
          <w:rFonts w:ascii="Arial" w:hAnsi="Arial" w:cs="Arial" w:eastAsia="Arial" w:hint="default"/>
          <w:spacing w:val="-7"/>
        </w:rPr>
        <w:t> </w:t>
      </w:r>
      <w:r>
        <w:rPr/>
        <w:t>销售，支撑</w:t>
      </w:r>
      <w:r>
        <w:rPr>
          <w:spacing w:val="-55"/>
        </w:rPr>
        <w:t> </w:t>
      </w:r>
      <w:r>
        <w:rPr>
          <w:rFonts w:ascii="Arial" w:hAnsi="Arial" w:cs="Arial" w:eastAsia="Arial" w:hint="default"/>
        </w:rPr>
        <w:t>3G</w:t>
      </w:r>
      <w:r>
        <w:rPr>
          <w:rFonts w:ascii="Arial" w:hAnsi="Arial" w:cs="Arial" w:eastAsia="Arial" w:hint="default"/>
          <w:spacing w:val="-8"/>
        </w:rPr>
        <w:t> </w:t>
      </w:r>
      <w:r>
        <w:rPr/>
        <w:t>高端用户</w:t>
      </w:r>
      <w:r>
        <w:rPr>
          <w:w w:val="99"/>
        </w:rPr>
        <w:t> </w:t>
      </w:r>
      <w:r>
        <w:rPr/>
        <w:t>发展。建立全国统一的电子化销售服务系统，支撑</w:t>
      </w:r>
      <w:r>
        <w:rPr>
          <w:spacing w:val="-55"/>
        </w:rPr>
        <w:t> </w:t>
      </w:r>
      <w:r>
        <w:rPr>
          <w:rFonts w:ascii="Arial" w:hAnsi="Arial" w:cs="Arial" w:eastAsia="Arial" w:hint="default"/>
        </w:rPr>
        <w:t>3G</w:t>
      </w:r>
      <w:r>
        <w:rPr>
          <w:rFonts w:ascii="Arial" w:hAnsi="Arial" w:cs="Arial" w:eastAsia="Arial" w:hint="default"/>
          <w:spacing w:val="-8"/>
        </w:rPr>
        <w:t> </w:t>
      </w:r>
      <w:r>
        <w:rPr/>
        <w:t>业务开展。截至二零零九年底，全国</w:t>
      </w:r>
      <w:r>
        <w:rPr>
          <w:w w:val="99"/>
        </w:rPr>
        <w:t> </w:t>
      </w:r>
      <w:r>
        <w:rPr>
          <w:rFonts w:ascii="Arial" w:hAnsi="Arial" w:cs="Arial" w:eastAsia="Arial" w:hint="default"/>
        </w:rPr>
        <w:t>3G</w:t>
      </w:r>
      <w:r>
        <w:rPr>
          <w:rFonts w:ascii="Arial" w:hAnsi="Arial" w:cs="Arial" w:eastAsia="Arial" w:hint="default"/>
          <w:spacing w:val="-8"/>
        </w:rPr>
        <w:t> </w:t>
      </w:r>
      <w:r>
        <w:rPr/>
        <w:t>用户达到</w:t>
      </w:r>
      <w:r>
        <w:rPr>
          <w:spacing w:val="-56"/>
        </w:rPr>
        <w:t> </w:t>
      </w:r>
      <w:r>
        <w:rPr>
          <w:rFonts w:ascii="Arial" w:hAnsi="Arial" w:cs="Arial" w:eastAsia="Arial" w:hint="default"/>
        </w:rPr>
        <w:t>274.2</w:t>
      </w:r>
      <w:r>
        <w:rPr>
          <w:rFonts w:ascii="Arial" w:hAnsi="Arial" w:cs="Arial" w:eastAsia="Arial" w:hint="default"/>
          <w:spacing w:val="-7"/>
        </w:rPr>
        <w:t> </w:t>
      </w:r>
      <w:r>
        <w:rPr>
          <w:spacing w:val="-5"/>
        </w:rPr>
        <w:t>万户，其中，无线上网卡用户达</w:t>
      </w:r>
      <w:r>
        <w:rPr>
          <w:spacing w:val="-56"/>
        </w:rPr>
        <w:t> </w:t>
      </w:r>
      <w:r>
        <w:rPr>
          <w:rFonts w:ascii="Arial" w:hAnsi="Arial" w:cs="Arial" w:eastAsia="Arial" w:hint="default"/>
        </w:rPr>
        <w:t>44.8</w:t>
      </w:r>
      <w:r>
        <w:rPr>
          <w:rFonts w:ascii="Arial" w:hAnsi="Arial" w:cs="Arial" w:eastAsia="Arial" w:hint="default"/>
          <w:spacing w:val="-7"/>
        </w:rPr>
        <w:t> </w:t>
      </w:r>
      <w:r>
        <w:rPr>
          <w:spacing w:val="-7"/>
        </w:rPr>
        <w:t>万户。</w:t>
      </w:r>
      <w:r>
        <w:rPr>
          <w:rFonts w:ascii="Arial" w:hAnsi="Arial" w:cs="Arial" w:eastAsia="Arial" w:hint="default"/>
          <w:spacing w:val="-7"/>
        </w:rPr>
        <w:t>3G</w:t>
      </w:r>
      <w:r>
        <w:rPr>
          <w:rFonts w:ascii="Arial" w:hAnsi="Arial" w:cs="Arial" w:eastAsia="Arial" w:hint="default"/>
          <w:spacing w:val="-8"/>
        </w:rPr>
        <w:t> </w:t>
      </w:r>
      <w:r>
        <w:rPr/>
        <w:t>用户通信使用量达到</w:t>
      </w:r>
      <w:r>
        <w:rPr>
          <w:spacing w:val="-56"/>
        </w:rPr>
        <w:t> </w:t>
      </w:r>
      <w:r>
        <w:rPr>
          <w:rFonts w:ascii="Arial" w:hAnsi="Arial" w:cs="Arial" w:eastAsia="Arial" w:hint="default"/>
        </w:rPr>
        <w:t>30.6</w:t>
      </w:r>
    </w:p>
    <w:p>
      <w:pPr>
        <w:pStyle w:val="BodyText"/>
        <w:spacing w:line="284" w:lineRule="exact"/>
        <w:ind w:left="567" w:right="99"/>
        <w:jc w:val="left"/>
      </w:pPr>
      <w:r>
        <w:rPr/>
        <w:t>亿分钟，平均每用户每月收入（</w:t>
      </w:r>
      <w:r>
        <w:rPr>
          <w:rFonts w:ascii="Arial" w:hAnsi="Arial" w:cs="Arial" w:eastAsia="Arial" w:hint="default"/>
        </w:rPr>
        <w:t>ARPU</w:t>
      </w:r>
      <w:r>
        <w:rPr/>
        <w:t>）为人民币</w:t>
      </w:r>
      <w:r>
        <w:rPr>
          <w:spacing w:val="-57"/>
        </w:rPr>
        <w:t> </w:t>
      </w:r>
      <w:r>
        <w:rPr>
          <w:rFonts w:ascii="Arial" w:hAnsi="Arial" w:cs="Arial" w:eastAsia="Arial" w:hint="default"/>
        </w:rPr>
        <w:t>141.7</w:t>
      </w:r>
      <w:r>
        <w:rPr>
          <w:rFonts w:ascii="Arial" w:hAnsi="Arial" w:cs="Arial" w:eastAsia="Arial" w:hint="default"/>
          <w:spacing w:val="-8"/>
        </w:rPr>
        <w:t> </w:t>
      </w:r>
      <w:r>
        <w:rPr/>
        <w:t>元。</w:t>
      </w:r>
    </w:p>
    <w:p>
      <w:pPr>
        <w:spacing w:line="240" w:lineRule="auto" w:before="7"/>
        <w:rPr>
          <w:rFonts w:ascii="宋体" w:hAnsi="宋体" w:cs="宋体" w:eastAsia="宋体" w:hint="default"/>
          <w:sz w:val="19"/>
          <w:szCs w:val="19"/>
        </w:rPr>
      </w:pPr>
    </w:p>
    <w:p>
      <w:pPr>
        <w:pStyle w:val="Heading8"/>
        <w:tabs>
          <w:tab w:pos="569" w:val="left" w:leader="none"/>
        </w:tabs>
        <w:spacing w:line="240" w:lineRule="auto"/>
        <w:ind w:right="99"/>
        <w:jc w:val="left"/>
        <w:rPr>
          <w:b w:val="0"/>
          <w:bCs w:val="0"/>
        </w:rPr>
      </w:pPr>
      <w:r>
        <w:rPr>
          <w:rFonts w:ascii="Arial" w:hAnsi="Arial" w:cs="Arial" w:eastAsia="Arial" w:hint="default"/>
          <w:w w:val="95"/>
        </w:rPr>
        <w:t>2</w:t>
        <w:tab/>
      </w:r>
      <w:r>
        <w:rPr/>
        <w:t>固网业务</w:t>
      </w:r>
      <w:r>
        <w:rPr>
          <w:b w:val="0"/>
          <w:bCs w:val="0"/>
        </w:rPr>
      </w:r>
    </w:p>
    <w:p>
      <w:pPr>
        <w:spacing w:line="240" w:lineRule="auto" w:before="8"/>
        <w:rPr>
          <w:rFonts w:ascii="宋体" w:hAnsi="宋体" w:cs="宋体" w:eastAsia="宋体" w:hint="default"/>
          <w:b/>
          <w:bCs/>
          <w:sz w:val="19"/>
          <w:szCs w:val="19"/>
        </w:rPr>
      </w:pPr>
    </w:p>
    <w:p>
      <w:pPr>
        <w:spacing w:before="0"/>
        <w:ind w:left="150" w:right="99" w:firstLine="0"/>
        <w:jc w:val="left"/>
        <w:rPr>
          <w:rFonts w:ascii="宋体" w:hAnsi="宋体" w:cs="宋体" w:eastAsia="宋体" w:hint="default"/>
          <w:sz w:val="22"/>
          <w:szCs w:val="22"/>
        </w:rPr>
      </w:pPr>
      <w:r>
        <w:rPr>
          <w:rFonts w:ascii="Arial" w:hAnsi="Arial" w:cs="Arial" w:eastAsia="Arial" w:hint="default"/>
          <w:b/>
          <w:bCs/>
          <w:sz w:val="22"/>
          <w:szCs w:val="22"/>
        </w:rPr>
        <w:t>2.1</w:t>
      </w:r>
      <w:r>
        <w:rPr>
          <w:rFonts w:ascii="Arial" w:hAnsi="Arial" w:cs="Arial" w:eastAsia="Arial" w:hint="default"/>
          <w:b/>
          <w:bCs/>
          <w:spacing w:val="49"/>
          <w:sz w:val="22"/>
          <w:szCs w:val="22"/>
        </w:rPr>
        <w:t> </w:t>
      </w:r>
      <w:r>
        <w:rPr>
          <w:rFonts w:ascii="宋体" w:hAnsi="宋体" w:cs="宋体" w:eastAsia="宋体" w:hint="default"/>
          <w:b/>
          <w:bCs/>
          <w:sz w:val="22"/>
          <w:szCs w:val="22"/>
        </w:rPr>
        <w:t>固网宽带及数据通信业务</w:t>
      </w:r>
      <w:r>
        <w:rPr>
          <w:rFonts w:ascii="宋体" w:hAnsi="宋体" w:cs="宋体" w:eastAsia="宋体" w:hint="default"/>
          <w:sz w:val="22"/>
          <w:szCs w:val="22"/>
        </w:rPr>
      </w:r>
    </w:p>
    <w:p>
      <w:pPr>
        <w:spacing w:line="240" w:lineRule="auto" w:before="8"/>
        <w:rPr>
          <w:rFonts w:ascii="宋体" w:hAnsi="宋体" w:cs="宋体" w:eastAsia="宋体" w:hint="default"/>
          <w:b/>
          <w:bCs/>
          <w:sz w:val="19"/>
          <w:szCs w:val="19"/>
        </w:rPr>
      </w:pPr>
    </w:p>
    <w:p>
      <w:pPr>
        <w:pStyle w:val="BodyText"/>
        <w:spacing w:line="292" w:lineRule="exact"/>
        <w:ind w:left="567" w:right="99"/>
        <w:jc w:val="left"/>
      </w:pPr>
      <w:r>
        <w:rPr>
          <w:rFonts w:ascii="Arial" w:hAnsi="Arial" w:cs="Arial" w:eastAsia="Arial" w:hint="default"/>
        </w:rPr>
        <w:t>2009</w:t>
      </w:r>
      <w:r>
        <w:rPr>
          <w:rFonts w:ascii="Arial" w:hAnsi="Arial" w:cs="Arial" w:eastAsia="Arial" w:hint="default"/>
          <w:spacing w:val="-39"/>
        </w:rPr>
        <w:t> </w:t>
      </w:r>
      <w:r>
        <w:rPr/>
        <w:t>年，公司加快推进宽带升级提速和内容应用业务发展，实施差异化营销。推进家庭网关</w:t>
      </w:r>
    </w:p>
    <w:p>
      <w:pPr>
        <w:pStyle w:val="BodyText"/>
        <w:spacing w:line="220" w:lineRule="auto" w:before="8"/>
        <w:ind w:left="567" w:right="108"/>
        <w:jc w:val="both"/>
      </w:pPr>
      <w:r>
        <w:rPr>
          <w:spacing w:val="-3"/>
        </w:rPr>
        <w:t>发展，提升高速率带宽用户占比，固网宽带业务保持快速发展。全年固网宽带用户净增</w:t>
      </w:r>
      <w:r>
        <w:rPr>
          <w:spacing w:val="-47"/>
        </w:rPr>
        <w:t> </w:t>
      </w:r>
      <w:r>
        <w:rPr>
          <w:rFonts w:ascii="Arial" w:hAnsi="Arial" w:cs="Arial" w:eastAsia="Arial" w:hint="default"/>
        </w:rPr>
        <w:t>846.9</w:t>
      </w:r>
      <w:r>
        <w:rPr>
          <w:rFonts w:ascii="Arial" w:hAnsi="Arial" w:cs="Arial" w:eastAsia="Arial" w:hint="default"/>
          <w:spacing w:val="-46"/>
        </w:rPr>
        <w:t> </w:t>
      </w:r>
      <w:r>
        <w:rPr>
          <w:rFonts w:ascii="Arial" w:hAnsi="Arial" w:cs="Arial" w:eastAsia="Arial" w:hint="default"/>
          <w:spacing w:val="-46"/>
        </w:rPr>
      </w:r>
      <w:r>
        <w:rPr/>
        <w:t>万户，达到</w:t>
      </w:r>
      <w:r>
        <w:rPr>
          <w:spacing w:val="-57"/>
        </w:rPr>
        <w:t> </w:t>
      </w:r>
      <w:r>
        <w:rPr>
          <w:rFonts w:ascii="Arial" w:hAnsi="Arial" w:cs="Arial" w:eastAsia="Arial" w:hint="default"/>
        </w:rPr>
        <w:t>3855.0</w:t>
      </w:r>
      <w:r>
        <w:rPr>
          <w:rFonts w:ascii="Arial" w:hAnsi="Arial" w:cs="Arial" w:eastAsia="Arial" w:hint="default"/>
          <w:spacing w:val="-9"/>
        </w:rPr>
        <w:t> </w:t>
      </w:r>
      <w:r>
        <w:rPr/>
        <w:t>万户，比上年增长</w:t>
      </w:r>
      <w:r>
        <w:rPr>
          <w:spacing w:val="-58"/>
        </w:rPr>
        <w:t> </w:t>
      </w:r>
      <w:r>
        <w:rPr>
          <w:rFonts w:ascii="Arial" w:hAnsi="Arial" w:cs="Arial" w:eastAsia="Arial" w:hint="default"/>
        </w:rPr>
        <w:t>28.2%</w:t>
      </w:r>
      <w:r>
        <w:rPr/>
        <w:t>。</w:t>
      </w:r>
      <w:r>
        <w:rPr>
          <w:rFonts w:ascii="Arial" w:hAnsi="Arial" w:cs="Arial" w:eastAsia="Arial" w:hint="default"/>
        </w:rPr>
        <w:t>2M</w:t>
      </w:r>
      <w:r>
        <w:rPr>
          <w:rFonts w:ascii="Arial" w:hAnsi="Arial" w:cs="Arial" w:eastAsia="Arial" w:hint="default"/>
          <w:spacing w:val="-10"/>
        </w:rPr>
        <w:t> </w:t>
      </w:r>
      <w:r>
        <w:rPr/>
        <w:t>及以上固网宽带用户占比达到</w:t>
      </w:r>
      <w:r>
        <w:rPr>
          <w:spacing w:val="-57"/>
        </w:rPr>
        <w:t> </w:t>
      </w:r>
      <w:r>
        <w:rPr>
          <w:rFonts w:ascii="Arial" w:hAnsi="Arial" w:cs="Arial" w:eastAsia="Arial" w:hint="default"/>
        </w:rPr>
        <w:t>83.2%</w:t>
      </w:r>
      <w:r>
        <w:rPr/>
        <w:t>，比</w:t>
      </w:r>
      <w:r>
        <w:rPr>
          <w:spacing w:val="-2"/>
          <w:w w:val="99"/>
        </w:rPr>
        <w:t> </w:t>
      </w:r>
      <w:r>
        <w:rPr/>
        <w:t>上年提高</w:t>
      </w:r>
      <w:r>
        <w:rPr>
          <w:spacing w:val="-60"/>
        </w:rPr>
        <w:t> </w:t>
      </w:r>
      <w:r>
        <w:rPr>
          <w:rFonts w:ascii="Arial" w:hAnsi="Arial" w:cs="Arial" w:eastAsia="Arial" w:hint="default"/>
        </w:rPr>
        <w:t>21.3</w:t>
      </w:r>
      <w:r>
        <w:rPr>
          <w:rFonts w:ascii="Arial" w:hAnsi="Arial" w:cs="Arial" w:eastAsia="Arial" w:hint="default"/>
          <w:spacing w:val="-11"/>
        </w:rPr>
        <w:t> </w:t>
      </w:r>
      <w:r>
        <w:rPr/>
        <w:t>个百分点。固网宽带内容和应用业务用户达到</w:t>
      </w:r>
      <w:r>
        <w:rPr>
          <w:spacing w:val="-60"/>
        </w:rPr>
        <w:t> </w:t>
      </w:r>
      <w:r>
        <w:rPr>
          <w:rFonts w:ascii="Arial" w:hAnsi="Arial" w:cs="Arial" w:eastAsia="Arial" w:hint="default"/>
        </w:rPr>
        <w:t>815.7</w:t>
      </w:r>
      <w:r>
        <w:rPr>
          <w:rFonts w:ascii="Arial" w:hAnsi="Arial" w:cs="Arial" w:eastAsia="Arial" w:hint="default"/>
          <w:spacing w:val="-11"/>
        </w:rPr>
        <w:t> </w:t>
      </w:r>
      <w:r>
        <w:rPr/>
        <w:t>万户，占固网宽带用户比</w:t>
      </w:r>
      <w:r>
        <w:rPr>
          <w:w w:val="99"/>
        </w:rPr>
        <w:t> </w:t>
      </w:r>
      <w:r>
        <w:rPr/>
        <w:t>例达到</w:t>
      </w:r>
      <w:r>
        <w:rPr>
          <w:spacing w:val="-55"/>
        </w:rPr>
        <w:t> </w:t>
      </w:r>
      <w:r>
        <w:rPr>
          <w:rFonts w:ascii="Arial" w:hAnsi="Arial" w:cs="Arial" w:eastAsia="Arial" w:hint="default"/>
          <w:spacing w:val="-9"/>
        </w:rPr>
        <w:t>21.2%</w:t>
      </w:r>
      <w:r>
        <w:rPr>
          <w:spacing w:val="-9"/>
        </w:rPr>
        <w:t>。固网宽带平均每用户每月收入（</w:t>
      </w:r>
      <w:r>
        <w:rPr>
          <w:rFonts w:ascii="Arial" w:hAnsi="Arial" w:cs="Arial" w:eastAsia="Arial" w:hint="default"/>
          <w:spacing w:val="-9"/>
        </w:rPr>
        <w:t>ARPU</w:t>
      </w:r>
      <w:r>
        <w:rPr>
          <w:spacing w:val="-9"/>
        </w:rPr>
        <w:t>）为人民币</w:t>
      </w:r>
      <w:r>
        <w:rPr>
          <w:spacing w:val="-55"/>
        </w:rPr>
        <w:t> </w:t>
      </w:r>
      <w:r>
        <w:rPr>
          <w:rFonts w:ascii="Arial" w:hAnsi="Arial" w:cs="Arial" w:eastAsia="Arial" w:hint="default"/>
        </w:rPr>
        <w:t>57.2</w:t>
      </w:r>
      <w:r>
        <w:rPr>
          <w:rFonts w:ascii="Arial" w:hAnsi="Arial" w:cs="Arial" w:eastAsia="Arial" w:hint="default"/>
          <w:spacing w:val="-6"/>
        </w:rPr>
        <w:t> </w:t>
      </w:r>
      <w:r>
        <w:rPr>
          <w:spacing w:val="-13"/>
        </w:rPr>
        <w:t>元，比上年下降</w:t>
      </w:r>
      <w:r>
        <w:rPr>
          <w:spacing w:val="-55"/>
        </w:rPr>
        <w:t> </w:t>
      </w:r>
      <w:r>
        <w:rPr>
          <w:rFonts w:ascii="Arial" w:hAnsi="Arial" w:cs="Arial" w:eastAsia="Arial" w:hint="default"/>
        </w:rPr>
        <w:t>10.0%</w:t>
      </w:r>
      <w:r>
        <w:rPr/>
        <w:t>。</w:t>
      </w:r>
    </w:p>
    <w:p>
      <w:pPr>
        <w:spacing w:line="240" w:lineRule="auto" w:before="12"/>
        <w:rPr>
          <w:rFonts w:ascii="宋体" w:hAnsi="宋体" w:cs="宋体" w:eastAsia="宋体" w:hint="default"/>
          <w:sz w:val="19"/>
          <w:szCs w:val="19"/>
        </w:rPr>
      </w:pPr>
    </w:p>
    <w:p>
      <w:pPr>
        <w:pStyle w:val="Heading8"/>
        <w:spacing w:line="240" w:lineRule="auto"/>
        <w:ind w:left="150" w:right="99"/>
        <w:jc w:val="left"/>
        <w:rPr>
          <w:b w:val="0"/>
          <w:bCs w:val="0"/>
        </w:rPr>
      </w:pPr>
      <w:r>
        <w:rPr>
          <w:rFonts w:ascii="Arial" w:hAnsi="Arial" w:cs="Arial" w:eastAsia="Arial" w:hint="default"/>
        </w:rPr>
        <w:t>2.2</w:t>
      </w:r>
      <w:r>
        <w:rPr>
          <w:rFonts w:ascii="Arial" w:hAnsi="Arial" w:cs="Arial" w:eastAsia="Arial" w:hint="default"/>
          <w:spacing w:val="50"/>
        </w:rPr>
        <w:t> </w:t>
      </w:r>
      <w:r>
        <w:rPr/>
        <w:t>传统固网业务</w:t>
      </w:r>
      <w:r>
        <w:rPr>
          <w:b w:val="0"/>
          <w:bCs w:val="0"/>
        </w:rPr>
      </w:r>
    </w:p>
    <w:p>
      <w:pPr>
        <w:spacing w:line="240" w:lineRule="auto" w:before="7"/>
        <w:rPr>
          <w:rFonts w:ascii="宋体" w:hAnsi="宋体" w:cs="宋体" w:eastAsia="宋体" w:hint="default"/>
          <w:b/>
          <w:bCs/>
          <w:sz w:val="19"/>
          <w:szCs w:val="19"/>
        </w:rPr>
      </w:pPr>
    </w:p>
    <w:p>
      <w:pPr>
        <w:pStyle w:val="BodyText"/>
        <w:spacing w:line="292" w:lineRule="exact"/>
        <w:ind w:left="570" w:right="99"/>
        <w:jc w:val="left"/>
      </w:pPr>
      <w:r>
        <w:rPr>
          <w:rFonts w:ascii="Arial" w:hAnsi="Arial" w:cs="Arial" w:eastAsia="Arial" w:hint="default"/>
        </w:rPr>
        <w:t>2009</w:t>
      </w:r>
      <w:r>
        <w:rPr>
          <w:rFonts w:ascii="Arial" w:hAnsi="Arial" w:cs="Arial" w:eastAsia="Arial" w:hint="default"/>
          <w:spacing w:val="-42"/>
        </w:rPr>
        <w:t> </w:t>
      </w:r>
      <w:r>
        <w:rPr/>
        <w:t>年，公司利用全业务经营优势，积极开发推广语音增值产品，通过多业务捆绑和话务量</w:t>
      </w:r>
    </w:p>
    <w:p>
      <w:pPr>
        <w:pStyle w:val="BodyText"/>
        <w:spacing w:line="220" w:lineRule="auto" w:before="9"/>
        <w:ind w:left="569" w:right="207"/>
        <w:jc w:val="left"/>
      </w:pPr>
      <w:r>
        <w:rPr>
          <w:spacing w:val="-3"/>
        </w:rPr>
        <w:t>营销，努力减缓传统固网业务下滑。全年本地电话用户比上年减少</w:t>
      </w:r>
      <w:r>
        <w:rPr>
          <w:spacing w:val="-53"/>
        </w:rPr>
        <w:t> </w:t>
      </w:r>
      <w:r>
        <w:rPr>
          <w:rFonts w:ascii="Arial" w:hAnsi="Arial" w:cs="Arial" w:eastAsia="Arial" w:hint="default"/>
        </w:rPr>
        <w:t>674.8</w:t>
      </w:r>
      <w:r>
        <w:rPr>
          <w:rFonts w:ascii="Arial" w:hAnsi="Arial" w:cs="Arial" w:eastAsia="Arial" w:hint="default"/>
          <w:spacing w:val="-5"/>
        </w:rPr>
        <w:t> </w:t>
      </w:r>
      <w:r>
        <w:rPr>
          <w:spacing w:val="-8"/>
        </w:rPr>
        <w:t>万户，达到</w:t>
      </w:r>
      <w:r>
        <w:rPr>
          <w:spacing w:val="-54"/>
        </w:rPr>
        <w:t> </w:t>
      </w:r>
      <w:r>
        <w:rPr>
          <w:rFonts w:ascii="Arial" w:hAnsi="Arial" w:cs="Arial" w:eastAsia="Arial" w:hint="default"/>
        </w:rPr>
        <w:t>10282.2</w:t>
      </w:r>
      <w:r>
        <w:rPr>
          <w:rFonts w:ascii="Arial" w:hAnsi="Arial" w:cs="Arial" w:eastAsia="Arial" w:hint="default"/>
          <w:w w:val="99"/>
        </w:rPr>
        <w:t> </w:t>
      </w:r>
      <w:r>
        <w:rPr/>
        <w:t>万户，比上年下降</w:t>
      </w:r>
      <w:r>
        <w:rPr>
          <w:spacing w:val="-57"/>
        </w:rPr>
        <w:t> </w:t>
      </w:r>
      <w:r>
        <w:rPr>
          <w:rFonts w:ascii="Arial" w:hAnsi="Arial" w:cs="Arial" w:eastAsia="Arial" w:hint="default"/>
        </w:rPr>
        <w:t>6.2%</w:t>
      </w:r>
      <w:r>
        <w:rPr/>
        <w:t>。悦铃业务用户达到</w:t>
      </w:r>
      <w:r>
        <w:rPr>
          <w:spacing w:val="-57"/>
        </w:rPr>
        <w:t> </w:t>
      </w:r>
      <w:r>
        <w:rPr>
          <w:rFonts w:ascii="Arial" w:hAnsi="Arial" w:cs="Arial" w:eastAsia="Arial" w:hint="default"/>
        </w:rPr>
        <w:t>2663.1</w:t>
      </w:r>
      <w:r>
        <w:rPr>
          <w:rFonts w:ascii="Arial" w:hAnsi="Arial" w:cs="Arial" w:eastAsia="Arial" w:hint="default"/>
          <w:spacing w:val="-8"/>
        </w:rPr>
        <w:t> </w:t>
      </w:r>
      <w:r>
        <w:rPr/>
        <w:t>万户，比上年减少</w:t>
      </w:r>
      <w:r>
        <w:rPr>
          <w:spacing w:val="-57"/>
        </w:rPr>
        <w:t> </w:t>
      </w:r>
      <w:r>
        <w:rPr>
          <w:rFonts w:ascii="Arial" w:hAnsi="Arial" w:cs="Arial" w:eastAsia="Arial" w:hint="default"/>
        </w:rPr>
        <w:t>11.5%</w:t>
      </w:r>
      <w:r>
        <w:rPr/>
        <w:t>；来电显示业</w:t>
      </w:r>
      <w:r>
        <w:rPr>
          <w:w w:val="99"/>
        </w:rPr>
        <w:t> </w:t>
      </w:r>
      <w:r>
        <w:rPr/>
        <w:t>务用户渗透率为</w:t>
      </w:r>
      <w:r>
        <w:rPr>
          <w:spacing w:val="-61"/>
        </w:rPr>
        <w:t> </w:t>
      </w:r>
      <w:r>
        <w:rPr>
          <w:rFonts w:ascii="Arial" w:hAnsi="Arial" w:cs="Arial" w:eastAsia="Arial" w:hint="default"/>
        </w:rPr>
        <w:t>71.4%</w:t>
      </w:r>
      <w:r>
        <w:rPr/>
        <w:t>，比上年减少</w:t>
      </w:r>
      <w:r>
        <w:rPr>
          <w:spacing w:val="-61"/>
        </w:rPr>
        <w:t> </w:t>
      </w:r>
      <w:r>
        <w:rPr>
          <w:rFonts w:ascii="Arial" w:hAnsi="Arial" w:cs="Arial" w:eastAsia="Arial" w:hint="default"/>
        </w:rPr>
        <w:t>1.2</w:t>
      </w:r>
      <w:r>
        <w:rPr>
          <w:rFonts w:ascii="Arial" w:hAnsi="Arial" w:cs="Arial" w:eastAsia="Arial" w:hint="default"/>
          <w:spacing w:val="-12"/>
        </w:rPr>
        <w:t> </w:t>
      </w:r>
      <w:r>
        <w:rPr/>
        <w:t>个百分点；电话导航用户达到</w:t>
      </w:r>
      <w:r>
        <w:rPr>
          <w:spacing w:val="-61"/>
        </w:rPr>
        <w:t> </w:t>
      </w:r>
      <w:r>
        <w:rPr>
          <w:rFonts w:ascii="Arial" w:hAnsi="Arial" w:cs="Arial" w:eastAsia="Arial" w:hint="default"/>
        </w:rPr>
        <w:t>79.9</w:t>
      </w:r>
      <w:r>
        <w:rPr>
          <w:rFonts w:ascii="Arial" w:hAnsi="Arial" w:cs="Arial" w:eastAsia="Arial" w:hint="default"/>
          <w:spacing w:val="-12"/>
        </w:rPr>
        <w:t> </w:t>
      </w:r>
      <w:r>
        <w:rPr/>
        <w:t>万户，比上年增</w:t>
      </w:r>
      <w:r>
        <w:rPr>
          <w:w w:val="99"/>
        </w:rPr>
        <w:t> </w:t>
      </w:r>
      <w:r>
        <w:rPr/>
        <w:t>长</w:t>
      </w:r>
      <w:r>
        <w:rPr>
          <w:spacing w:val="-57"/>
        </w:rPr>
        <w:t> </w:t>
      </w:r>
      <w:r>
        <w:rPr>
          <w:rFonts w:ascii="Arial" w:hAnsi="Arial" w:cs="Arial" w:eastAsia="Arial" w:hint="default"/>
        </w:rPr>
        <w:t>72.9%</w:t>
      </w:r>
      <w:r>
        <w:rPr/>
        <w:t>。全年本地电话通话次数（不含拨号上网）为</w:t>
      </w:r>
      <w:r>
        <w:rPr>
          <w:spacing w:val="-57"/>
        </w:rPr>
        <w:t> </w:t>
      </w:r>
      <w:r>
        <w:rPr>
          <w:rFonts w:ascii="Arial" w:hAnsi="Arial" w:cs="Arial" w:eastAsia="Arial" w:hint="default"/>
        </w:rPr>
        <w:t>1855.4</w:t>
      </w:r>
      <w:r>
        <w:rPr>
          <w:rFonts w:ascii="Arial" w:hAnsi="Arial" w:cs="Arial" w:eastAsia="Arial" w:hint="default"/>
          <w:spacing w:val="-8"/>
        </w:rPr>
        <w:t> </w:t>
      </w:r>
      <w:r>
        <w:rPr/>
        <w:t>亿次，比上年减少</w:t>
      </w:r>
      <w:r>
        <w:rPr>
          <w:spacing w:val="-56"/>
        </w:rPr>
        <w:t> </w:t>
      </w:r>
      <w:r>
        <w:rPr>
          <w:rFonts w:ascii="Arial" w:hAnsi="Arial" w:cs="Arial" w:eastAsia="Arial" w:hint="default"/>
        </w:rPr>
        <w:t>8.9%</w:t>
      </w:r>
      <w:r>
        <w:rPr/>
        <w:t>；平</w:t>
      </w:r>
      <w:r>
        <w:rPr>
          <w:w w:val="99"/>
        </w:rPr>
        <w:t> </w:t>
      </w:r>
      <w:r>
        <w:rPr/>
        <w:t>均每月每用户本地电话通话分钟数（</w:t>
      </w:r>
      <w:r>
        <w:rPr>
          <w:rFonts w:ascii="Arial" w:hAnsi="Arial" w:cs="Arial" w:eastAsia="Arial" w:hint="default"/>
        </w:rPr>
        <w:t>MOU</w:t>
      </w:r>
      <w:r>
        <w:rPr/>
        <w:t>）为</w:t>
      </w:r>
      <w:r>
        <w:rPr>
          <w:spacing w:val="-57"/>
        </w:rPr>
        <w:t> </w:t>
      </w:r>
      <w:r>
        <w:rPr>
          <w:rFonts w:ascii="Arial" w:hAnsi="Arial" w:cs="Arial" w:eastAsia="Arial" w:hint="default"/>
        </w:rPr>
        <w:t>145.4</w:t>
      </w:r>
      <w:r>
        <w:rPr>
          <w:rFonts w:ascii="Arial" w:hAnsi="Arial" w:cs="Arial" w:eastAsia="Arial" w:hint="default"/>
          <w:spacing w:val="-8"/>
        </w:rPr>
        <w:t> </w:t>
      </w:r>
      <w:r>
        <w:rPr/>
        <w:t>分钟，比上年下降</w:t>
      </w:r>
      <w:r>
        <w:rPr>
          <w:spacing w:val="-57"/>
        </w:rPr>
        <w:t> </w:t>
      </w:r>
      <w:r>
        <w:rPr>
          <w:rFonts w:ascii="Arial" w:hAnsi="Arial" w:cs="Arial" w:eastAsia="Arial" w:hint="default"/>
        </w:rPr>
        <w:t>1.1%</w:t>
      </w:r>
      <w:r>
        <w:rPr/>
        <w:t>；平均每用户</w:t>
      </w:r>
      <w:r>
        <w:rPr>
          <w:w w:val="99"/>
        </w:rPr>
        <w:t> </w:t>
      </w:r>
      <w:r>
        <w:rPr/>
        <w:t>每月收入（</w:t>
      </w:r>
      <w:r>
        <w:rPr>
          <w:rFonts w:ascii="Arial" w:hAnsi="Arial" w:cs="Arial" w:eastAsia="Arial" w:hint="default"/>
        </w:rPr>
        <w:t>ARPU</w:t>
      </w:r>
      <w:r>
        <w:rPr/>
        <w:t>）为人民币</w:t>
      </w:r>
      <w:r>
        <w:rPr>
          <w:spacing w:val="-58"/>
        </w:rPr>
        <w:t> </w:t>
      </w:r>
      <w:r>
        <w:rPr>
          <w:rFonts w:ascii="Arial" w:hAnsi="Arial" w:cs="Arial" w:eastAsia="Arial" w:hint="default"/>
        </w:rPr>
        <w:t>31.4</w:t>
      </w:r>
      <w:r>
        <w:rPr>
          <w:rFonts w:ascii="Arial" w:hAnsi="Arial" w:cs="Arial" w:eastAsia="Arial" w:hint="default"/>
          <w:spacing w:val="-9"/>
        </w:rPr>
        <w:t> </w:t>
      </w:r>
      <w:r>
        <w:rPr/>
        <w:t>元，比上年下降</w:t>
      </w:r>
      <w:r>
        <w:rPr>
          <w:spacing w:val="-58"/>
        </w:rPr>
        <w:t> </w:t>
      </w:r>
      <w:r>
        <w:rPr>
          <w:rFonts w:ascii="Arial" w:hAnsi="Arial" w:cs="Arial" w:eastAsia="Arial" w:hint="default"/>
        </w:rPr>
        <w:t>11.2%</w:t>
      </w:r>
      <w:r>
        <w:rPr/>
        <w:t>。</w:t>
      </w:r>
    </w:p>
    <w:p>
      <w:pPr>
        <w:spacing w:line="240" w:lineRule="auto" w:before="12"/>
        <w:rPr>
          <w:rFonts w:ascii="宋体" w:hAnsi="宋体" w:cs="宋体" w:eastAsia="宋体" w:hint="default"/>
          <w:sz w:val="19"/>
          <w:szCs w:val="19"/>
        </w:rPr>
      </w:pPr>
    </w:p>
    <w:p>
      <w:pPr>
        <w:pStyle w:val="Heading8"/>
        <w:spacing w:line="240" w:lineRule="auto"/>
        <w:ind w:right="99"/>
        <w:jc w:val="left"/>
        <w:rPr>
          <w:b w:val="0"/>
          <w:bCs w:val="0"/>
        </w:rPr>
      </w:pPr>
      <w:r>
        <w:rPr>
          <w:rFonts w:ascii="Arial" w:hAnsi="Arial" w:cs="Arial" w:eastAsia="Arial" w:hint="default"/>
        </w:rPr>
        <w:t>3</w:t>
      </w:r>
      <w:r>
        <w:rPr/>
        <w:t>、</w:t>
      </w:r>
      <w:r>
        <w:rPr>
          <w:spacing w:val="-36"/>
        </w:rPr>
        <w:t> </w:t>
      </w:r>
      <w:r>
        <w:rPr/>
        <w:t>网络能力</w:t>
      </w:r>
      <w:r>
        <w:rPr>
          <w:b w:val="0"/>
          <w:bCs w:val="0"/>
        </w:rPr>
      </w:r>
    </w:p>
    <w:p>
      <w:pPr>
        <w:spacing w:line="240" w:lineRule="auto" w:before="8"/>
        <w:rPr>
          <w:rFonts w:ascii="宋体" w:hAnsi="宋体" w:cs="宋体" w:eastAsia="宋体" w:hint="default"/>
          <w:b/>
          <w:bCs/>
          <w:sz w:val="19"/>
          <w:szCs w:val="19"/>
        </w:rPr>
      </w:pPr>
    </w:p>
    <w:p>
      <w:pPr>
        <w:pStyle w:val="BodyText"/>
        <w:spacing w:line="292" w:lineRule="exact"/>
        <w:ind w:left="567" w:right="99"/>
        <w:jc w:val="left"/>
      </w:pPr>
      <w:r>
        <w:rPr>
          <w:rFonts w:ascii="Arial" w:hAnsi="Arial" w:cs="Arial" w:eastAsia="Arial" w:hint="default"/>
        </w:rPr>
        <w:t>2009</w:t>
      </w:r>
      <w:r>
        <w:rPr>
          <w:rFonts w:ascii="Arial" w:hAnsi="Arial" w:cs="Arial" w:eastAsia="Arial" w:hint="default"/>
          <w:spacing w:val="-7"/>
        </w:rPr>
        <w:t> </w:t>
      </w:r>
      <w:r>
        <w:rPr/>
        <w:t>年，公司重点加强移动与宽带网络能力建设截至</w:t>
      </w:r>
      <w:r>
        <w:rPr>
          <w:spacing w:val="-55"/>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r>
        <w:rPr>
          <w:rFonts w:ascii="Arial" w:hAnsi="Arial" w:cs="Arial" w:eastAsia="Arial" w:hint="default"/>
        </w:rPr>
        <w:t>3G</w:t>
      </w:r>
      <w:r>
        <w:rPr>
          <w:rFonts w:ascii="Arial" w:hAnsi="Arial" w:cs="Arial" w:eastAsia="Arial" w:hint="default"/>
          <w:spacing w:val="-8"/>
        </w:rPr>
        <w:t> </w:t>
      </w:r>
      <w:r>
        <w:rPr/>
        <w:t>网络覆盖全</w:t>
      </w:r>
    </w:p>
    <w:p>
      <w:pPr>
        <w:pStyle w:val="BodyText"/>
        <w:spacing w:line="292" w:lineRule="exact"/>
        <w:ind w:left="566" w:right="99"/>
        <w:jc w:val="left"/>
      </w:pPr>
      <w:r>
        <w:rPr/>
        <w:t>国</w:t>
      </w:r>
      <w:r>
        <w:rPr>
          <w:spacing w:val="-56"/>
        </w:rPr>
        <w:t> </w:t>
      </w:r>
      <w:r>
        <w:rPr>
          <w:rFonts w:ascii="Arial" w:hAnsi="Arial" w:cs="Arial" w:eastAsia="Arial" w:hint="default"/>
        </w:rPr>
        <w:t>335</w:t>
      </w:r>
      <w:r>
        <w:rPr>
          <w:rFonts w:ascii="Arial" w:hAnsi="Arial" w:cs="Arial" w:eastAsia="Arial" w:hint="default"/>
          <w:spacing w:val="-7"/>
        </w:rPr>
        <w:t> </w:t>
      </w:r>
      <w:r>
        <w:rPr/>
        <w:t>个城市，基站数量达到</w:t>
      </w:r>
      <w:r>
        <w:rPr>
          <w:spacing w:val="-56"/>
        </w:rPr>
        <w:t> </w:t>
      </w:r>
      <w:r>
        <w:rPr>
          <w:rFonts w:ascii="Arial" w:hAnsi="Arial" w:cs="Arial" w:eastAsia="Arial" w:hint="default"/>
        </w:rPr>
        <w:t>10.7</w:t>
      </w:r>
      <w:r>
        <w:rPr>
          <w:rFonts w:ascii="Arial" w:hAnsi="Arial" w:cs="Arial" w:eastAsia="Arial" w:hint="default"/>
          <w:spacing w:val="-7"/>
        </w:rPr>
        <w:t> </w:t>
      </w:r>
      <w:r>
        <w:rPr/>
        <w:t>万个，室内分布系统</w:t>
      </w:r>
      <w:r>
        <w:rPr>
          <w:spacing w:val="-56"/>
        </w:rPr>
        <w:t> </w:t>
      </w:r>
      <w:r>
        <w:rPr>
          <w:rFonts w:ascii="Arial" w:hAnsi="Arial" w:cs="Arial" w:eastAsia="Arial" w:hint="default"/>
        </w:rPr>
        <w:t>5.6</w:t>
      </w:r>
      <w:r>
        <w:rPr>
          <w:rFonts w:ascii="Arial" w:hAnsi="Arial" w:cs="Arial" w:eastAsia="Arial" w:hint="default"/>
          <w:spacing w:val="-7"/>
        </w:rPr>
        <w:t> </w:t>
      </w:r>
      <w:r>
        <w:rPr/>
        <w:t>万套。</w:t>
      </w:r>
    </w:p>
    <w:p>
      <w:pPr>
        <w:spacing w:line="240" w:lineRule="auto" w:before="2"/>
        <w:rPr>
          <w:rFonts w:ascii="宋体" w:hAnsi="宋体" w:cs="宋体" w:eastAsia="宋体" w:hint="default"/>
          <w:sz w:val="22"/>
          <w:szCs w:val="22"/>
        </w:rPr>
      </w:pPr>
    </w:p>
    <w:p>
      <w:pPr>
        <w:pStyle w:val="BodyText"/>
        <w:spacing w:line="280" w:lineRule="exact"/>
        <w:ind w:left="566" w:right="207"/>
        <w:jc w:val="both"/>
      </w:pPr>
      <w:r>
        <w:rPr>
          <w:w w:val="99"/>
        </w:rPr>
        <w:t>公司继续扩大</w:t>
      </w:r>
      <w:r>
        <w:rPr>
          <w:spacing w:val="-51"/>
          <w:w w:val="99"/>
        </w:rPr>
        <w:t> </w:t>
      </w:r>
      <w:r>
        <w:rPr>
          <w:rFonts w:ascii="Arial" w:hAnsi="Arial" w:cs="Arial" w:eastAsia="Arial" w:hint="default"/>
          <w:w w:val="99"/>
        </w:rPr>
        <w:t>GSM</w:t>
      </w:r>
      <w:r>
        <w:rPr>
          <w:rFonts w:ascii="Arial" w:hAnsi="Arial" w:cs="Arial" w:eastAsia="Arial" w:hint="default"/>
          <w:spacing w:val="-3"/>
          <w:w w:val="99"/>
        </w:rPr>
        <w:t> </w:t>
      </w:r>
      <w:r>
        <w:rPr>
          <w:spacing w:val="-12"/>
          <w:w w:val="99"/>
        </w:rPr>
        <w:t>网络覆盖，提高网络运行质量。</w:t>
      </w:r>
      <w:r>
        <w:rPr>
          <w:rFonts w:ascii="Arial" w:hAnsi="Arial" w:cs="Arial" w:eastAsia="Arial" w:hint="default"/>
          <w:spacing w:val="-12"/>
          <w:w w:val="99"/>
        </w:rPr>
        <w:t>GSM</w:t>
      </w:r>
      <w:r>
        <w:rPr>
          <w:rFonts w:ascii="Arial" w:hAnsi="Arial" w:cs="Arial" w:eastAsia="Arial" w:hint="default"/>
          <w:spacing w:val="-2"/>
          <w:w w:val="99"/>
        </w:rPr>
        <w:t> </w:t>
      </w:r>
      <w:r>
        <w:rPr>
          <w:w w:val="99"/>
        </w:rPr>
        <w:t>交换机容量比上年增长</w:t>
      </w:r>
      <w:r>
        <w:rPr>
          <w:spacing w:val="-51"/>
          <w:w w:val="99"/>
        </w:rPr>
        <w:t> </w:t>
      </w:r>
      <w:r>
        <w:rPr>
          <w:rFonts w:ascii="Arial" w:hAnsi="Arial" w:cs="Arial" w:eastAsia="Arial" w:hint="default"/>
          <w:spacing w:val="-11"/>
          <w:w w:val="99"/>
        </w:rPr>
        <w:t>56.7%</w:t>
      </w:r>
      <w:r>
        <w:rPr>
          <w:spacing w:val="-11"/>
          <w:w w:val="99"/>
        </w:rPr>
        <w:t>，</w:t>
      </w:r>
      <w:r>
        <w:rPr>
          <w:rFonts w:ascii="Arial" w:hAnsi="Arial" w:cs="Arial" w:eastAsia="Arial" w:hint="default"/>
          <w:spacing w:val="-11"/>
          <w:w w:val="99"/>
        </w:rPr>
        <w:t>GSM</w:t>
      </w:r>
      <w:r>
        <w:rPr>
          <w:rFonts w:ascii="Arial" w:hAnsi="Arial" w:cs="Arial" w:eastAsia="Arial" w:hint="default"/>
          <w:spacing w:val="-59"/>
          <w:w w:val="99"/>
        </w:rPr>
        <w:t> </w:t>
      </w:r>
      <w:r>
        <w:rPr/>
        <w:t>基站总数比上年增长</w:t>
      </w:r>
      <w:r>
        <w:rPr>
          <w:spacing w:val="-57"/>
        </w:rPr>
        <w:t> </w:t>
      </w:r>
      <w:r>
        <w:rPr>
          <w:rFonts w:ascii="Arial" w:hAnsi="Arial" w:cs="Arial" w:eastAsia="Arial" w:hint="default"/>
        </w:rPr>
        <w:t>36.7%</w:t>
      </w:r>
      <w:r>
        <w:rPr/>
        <w:t>。</w:t>
      </w:r>
      <w:r>
        <w:rPr>
          <w:rFonts w:ascii="Arial" w:hAnsi="Arial" w:cs="Arial" w:eastAsia="Arial" w:hint="default"/>
        </w:rPr>
        <w:t>GSM</w:t>
      </w:r>
      <w:r>
        <w:rPr>
          <w:rFonts w:ascii="Arial" w:hAnsi="Arial" w:cs="Arial" w:eastAsia="Arial" w:hint="default"/>
          <w:spacing w:val="-8"/>
        </w:rPr>
        <w:t> </w:t>
      </w:r>
      <w:r>
        <w:rPr/>
        <w:t>网络系统接通率由年初的</w:t>
      </w:r>
      <w:r>
        <w:rPr>
          <w:spacing w:val="-57"/>
        </w:rPr>
        <w:t> </w:t>
      </w:r>
      <w:r>
        <w:rPr>
          <w:rFonts w:ascii="Arial" w:hAnsi="Arial" w:cs="Arial" w:eastAsia="Arial" w:hint="default"/>
        </w:rPr>
        <w:t>94.2%</w:t>
      </w:r>
      <w:r>
        <w:rPr/>
        <w:t>提高到</w:t>
      </w:r>
      <w:r>
        <w:rPr>
          <w:spacing w:val="-57"/>
        </w:rPr>
        <w:t> </w:t>
      </w:r>
      <w:r>
        <w:rPr>
          <w:rFonts w:ascii="Arial" w:hAnsi="Arial" w:cs="Arial" w:eastAsia="Arial" w:hint="default"/>
        </w:rPr>
        <w:t>12</w:t>
      </w:r>
      <w:r>
        <w:rPr>
          <w:rFonts w:ascii="Arial" w:hAnsi="Arial" w:cs="Arial" w:eastAsia="Arial" w:hint="default"/>
          <w:spacing w:val="-8"/>
        </w:rPr>
        <w:t> </w:t>
      </w:r>
      <w:r>
        <w:rPr/>
        <w:t>月的</w:t>
      </w:r>
      <w:r>
        <w:rPr>
          <w:spacing w:val="-57"/>
        </w:rPr>
        <w:t> </w:t>
      </w:r>
      <w:r>
        <w:rPr>
          <w:rFonts w:ascii="Arial" w:hAnsi="Arial" w:cs="Arial" w:eastAsia="Arial" w:hint="default"/>
        </w:rPr>
        <w:t>96.2%</w:t>
      </w:r>
      <w:r>
        <w:rPr/>
        <w:t>。</w:t>
      </w:r>
      <w:r>
        <w:rPr>
          <w:w w:val="99"/>
        </w:rPr>
        <w:t> </w:t>
      </w:r>
      <w:r>
        <w:rPr/>
        <w:t>业务信道掉话率由年初的</w:t>
      </w:r>
      <w:r>
        <w:rPr>
          <w:spacing w:val="-57"/>
        </w:rPr>
        <w:t> </w:t>
      </w:r>
      <w:r>
        <w:rPr>
          <w:rFonts w:ascii="Arial" w:hAnsi="Arial" w:cs="Arial" w:eastAsia="Arial" w:hint="default"/>
        </w:rPr>
        <w:t>0.52%</w:t>
      </w:r>
      <w:r>
        <w:rPr/>
        <w:t>下降到</w:t>
      </w:r>
      <w:r>
        <w:rPr>
          <w:spacing w:val="-57"/>
        </w:rPr>
        <w:t> </w:t>
      </w:r>
      <w:r>
        <w:rPr>
          <w:rFonts w:ascii="Arial" w:hAnsi="Arial" w:cs="Arial" w:eastAsia="Arial" w:hint="default"/>
        </w:rPr>
        <w:t>12</w:t>
      </w:r>
      <w:r>
        <w:rPr>
          <w:rFonts w:ascii="Arial" w:hAnsi="Arial" w:cs="Arial" w:eastAsia="Arial" w:hint="default"/>
          <w:spacing w:val="-8"/>
        </w:rPr>
        <w:t> </w:t>
      </w:r>
      <w:r>
        <w:rPr/>
        <w:t>月的</w:t>
      </w:r>
      <w:r>
        <w:rPr>
          <w:spacing w:val="-57"/>
        </w:rPr>
        <w:t> </w:t>
      </w:r>
      <w:r>
        <w:rPr>
          <w:rFonts w:ascii="Arial" w:hAnsi="Arial" w:cs="Arial" w:eastAsia="Arial" w:hint="default"/>
        </w:rPr>
        <w:t>0.41%</w:t>
      </w:r>
      <w:r>
        <w:rPr/>
        <w:t>。</w:t>
      </w:r>
    </w:p>
    <w:p>
      <w:pPr>
        <w:spacing w:line="240" w:lineRule="auto" w:before="6"/>
        <w:rPr>
          <w:rFonts w:ascii="宋体" w:hAnsi="宋体" w:cs="宋体" w:eastAsia="宋体" w:hint="default"/>
          <w:sz w:val="20"/>
          <w:szCs w:val="20"/>
        </w:rPr>
      </w:pPr>
    </w:p>
    <w:p>
      <w:pPr>
        <w:pStyle w:val="BodyText"/>
        <w:spacing w:line="220" w:lineRule="auto"/>
        <w:ind w:left="566" w:right="99"/>
        <w:jc w:val="left"/>
      </w:pPr>
      <w:r>
        <w:rPr/>
        <w:t>公司全面开展宽带升级提速工程，公司固网宽带网络能力明显提升。</w:t>
      </w:r>
      <w:r>
        <w:rPr>
          <w:rFonts w:ascii="Arial" w:hAnsi="Arial" w:cs="Arial" w:eastAsia="Arial" w:hint="default"/>
        </w:rPr>
        <w:t>IP</w:t>
      </w:r>
      <w:r>
        <w:rPr>
          <w:rFonts w:ascii="Arial" w:hAnsi="Arial" w:cs="Arial" w:eastAsia="Arial" w:hint="default"/>
          <w:spacing w:val="-8"/>
        </w:rPr>
        <w:t> </w:t>
      </w:r>
      <w:r>
        <w:rPr/>
        <w:t>接入端口数比上年增</w:t>
      </w:r>
      <w:r>
        <w:rPr>
          <w:w w:val="99"/>
        </w:rPr>
        <w:t> </w:t>
      </w:r>
      <w:r>
        <w:rPr/>
        <w:t>长</w:t>
      </w:r>
      <w:r>
        <w:rPr>
          <w:spacing w:val="-56"/>
        </w:rPr>
        <w:t> </w:t>
      </w:r>
      <w:r>
        <w:rPr>
          <w:rFonts w:ascii="Arial" w:hAnsi="Arial" w:cs="Arial" w:eastAsia="Arial" w:hint="default"/>
        </w:rPr>
        <w:t>38.3%</w:t>
      </w:r>
      <w:r>
        <w:rPr/>
        <w:t>，</w:t>
      </w:r>
      <w:r>
        <w:rPr>
          <w:rFonts w:ascii="Arial" w:hAnsi="Arial" w:cs="Arial" w:eastAsia="Arial" w:hint="default"/>
        </w:rPr>
        <w:t>2M</w:t>
      </w:r>
      <w:r>
        <w:rPr>
          <w:rFonts w:ascii="Arial" w:hAnsi="Arial" w:cs="Arial" w:eastAsia="Arial" w:hint="default"/>
          <w:spacing w:val="-8"/>
        </w:rPr>
        <w:t> </w:t>
      </w:r>
      <w:r>
        <w:rPr/>
        <w:t>及以上速率端口占总端口的比例为</w:t>
      </w:r>
      <w:r>
        <w:rPr>
          <w:spacing w:val="-56"/>
        </w:rPr>
        <w:t> </w:t>
      </w:r>
      <w:r>
        <w:rPr>
          <w:rFonts w:ascii="Arial" w:hAnsi="Arial" w:cs="Arial" w:eastAsia="Arial" w:hint="default"/>
        </w:rPr>
        <w:t>96.8%</w:t>
      </w:r>
      <w:r>
        <w:rPr/>
        <w:t>，较</w:t>
      </w:r>
      <w:r>
        <w:rPr>
          <w:spacing w:val="-56"/>
        </w:rPr>
        <w:t> </w:t>
      </w:r>
      <w:r>
        <w:rPr>
          <w:rFonts w:ascii="Arial" w:hAnsi="Arial" w:cs="Arial" w:eastAsia="Arial" w:hint="default"/>
        </w:rPr>
        <w:t>2008</w:t>
      </w:r>
      <w:r>
        <w:rPr>
          <w:rFonts w:ascii="Arial" w:hAnsi="Arial" w:cs="Arial" w:eastAsia="Arial" w:hint="default"/>
          <w:spacing w:val="-7"/>
        </w:rPr>
        <w:t> </w:t>
      </w:r>
      <w:r>
        <w:rPr/>
        <w:t>年底的</w:t>
      </w:r>
      <w:r>
        <w:rPr>
          <w:spacing w:val="-56"/>
        </w:rPr>
        <w:t> </w:t>
      </w:r>
      <w:r>
        <w:rPr>
          <w:rFonts w:ascii="Arial" w:hAnsi="Arial" w:cs="Arial" w:eastAsia="Arial" w:hint="default"/>
        </w:rPr>
        <w:t>64%</w:t>
      </w:r>
      <w:r>
        <w:rPr/>
        <w:t>提升了</w:t>
      </w:r>
      <w:r>
        <w:rPr>
          <w:spacing w:val="-56"/>
        </w:rPr>
        <w:t> </w:t>
      </w:r>
      <w:r>
        <w:rPr>
          <w:rFonts w:ascii="Arial" w:hAnsi="Arial" w:cs="Arial" w:eastAsia="Arial" w:hint="default"/>
        </w:rPr>
        <w:t>32.8</w:t>
      </w:r>
      <w:r>
        <w:rPr>
          <w:rFonts w:ascii="Arial" w:hAnsi="Arial" w:cs="Arial" w:eastAsia="Arial" w:hint="default"/>
          <w:w w:val="99"/>
        </w:rPr>
        <w:t> </w:t>
      </w:r>
      <w:r>
        <w:rPr>
          <w:spacing w:val="-5"/>
          <w:w w:val="99"/>
        </w:rPr>
        <w:t>个百分点；国际互联网出口带宽比上年增长</w:t>
      </w:r>
      <w:r>
        <w:rPr>
          <w:spacing w:val="-44"/>
          <w:w w:val="99"/>
        </w:rPr>
        <w:t> </w:t>
      </w:r>
      <w:r>
        <w:rPr>
          <w:rFonts w:ascii="Arial" w:hAnsi="Arial" w:cs="Arial" w:eastAsia="Arial" w:hint="default"/>
          <w:spacing w:val="-5"/>
          <w:w w:val="99"/>
        </w:rPr>
        <w:t>148.0%</w:t>
      </w:r>
      <w:r>
        <w:rPr>
          <w:spacing w:val="-5"/>
          <w:w w:val="99"/>
        </w:rPr>
        <w:t>，与中国电信互联带宽比上年增长</w:t>
      </w:r>
      <w:r>
        <w:rPr>
          <w:spacing w:val="-44"/>
          <w:w w:val="99"/>
        </w:rPr>
        <w:t> </w:t>
      </w:r>
      <w:r>
        <w:rPr>
          <w:rFonts w:ascii="Arial" w:hAnsi="Arial" w:cs="Arial" w:eastAsia="Arial" w:hint="default"/>
          <w:spacing w:val="-1"/>
          <w:w w:val="99"/>
        </w:rPr>
        <w:t>49.3%</w:t>
      </w:r>
      <w:r>
        <w:rPr>
          <w:spacing w:val="-1"/>
          <w:w w:val="99"/>
        </w:rPr>
        <w:t>，</w:t>
      </w:r>
      <w:r>
        <w:rPr>
          <w:spacing w:val="-107"/>
          <w:w w:val="99"/>
        </w:rPr>
        <w:t> </w:t>
      </w:r>
      <w:r>
        <w:rPr/>
        <w:t>骨干网中继电路带宽比上年增长</w:t>
      </w:r>
      <w:r>
        <w:rPr>
          <w:spacing w:val="-58"/>
        </w:rPr>
        <w:t> </w:t>
      </w:r>
      <w:r>
        <w:rPr>
          <w:rFonts w:ascii="Arial" w:hAnsi="Arial" w:cs="Arial" w:eastAsia="Arial" w:hint="default"/>
        </w:rPr>
        <w:t>69.0%</w:t>
      </w:r>
      <w:r>
        <w:rPr/>
        <w:t>。</w:t>
      </w:r>
    </w:p>
    <w:p>
      <w:pPr>
        <w:spacing w:line="240" w:lineRule="auto" w:before="6"/>
        <w:rPr>
          <w:rFonts w:ascii="宋体" w:hAnsi="宋体" w:cs="宋体" w:eastAsia="宋体" w:hint="default"/>
          <w:sz w:val="21"/>
          <w:szCs w:val="21"/>
        </w:rPr>
      </w:pPr>
    </w:p>
    <w:p>
      <w:pPr>
        <w:pStyle w:val="BodyText"/>
        <w:spacing w:line="220" w:lineRule="auto"/>
        <w:ind w:left="566" w:right="205"/>
        <w:jc w:val="left"/>
      </w:pPr>
      <w:r>
        <w:rPr/>
        <w:t>公司积极推进网络融合，开展</w:t>
      </w:r>
      <w:r>
        <w:rPr>
          <w:spacing w:val="-57"/>
        </w:rPr>
        <w:t> </w:t>
      </w:r>
      <w:r>
        <w:rPr>
          <w:rFonts w:ascii="Arial" w:hAnsi="Arial" w:cs="Arial" w:eastAsia="Arial" w:hint="default"/>
        </w:rPr>
        <w:t>GPON</w:t>
      </w:r>
      <w:r>
        <w:rPr/>
        <w:t>、</w:t>
      </w:r>
      <w:r>
        <w:rPr>
          <w:rFonts w:ascii="Arial" w:hAnsi="Arial" w:cs="Arial" w:eastAsia="Arial" w:hint="default"/>
        </w:rPr>
        <w:t>40GWDM</w:t>
      </w:r>
      <w:r>
        <w:rPr>
          <w:rFonts w:ascii="Arial" w:hAnsi="Arial" w:cs="Arial" w:eastAsia="Arial" w:hint="default"/>
          <w:spacing w:val="-9"/>
        </w:rPr>
        <w:t> </w:t>
      </w:r>
      <w:r>
        <w:rPr/>
        <w:t>试商用；优化和提升基础传输网、</w:t>
      </w:r>
      <w:r>
        <w:rPr>
          <w:rFonts w:ascii="Arial" w:hAnsi="Arial" w:cs="Arial" w:eastAsia="Arial" w:hint="default"/>
        </w:rPr>
        <w:t>IP</w:t>
      </w:r>
      <w:r>
        <w:rPr>
          <w:rFonts w:ascii="Arial" w:hAnsi="Arial" w:cs="Arial" w:eastAsia="Arial" w:hint="default"/>
          <w:spacing w:val="-8"/>
        </w:rPr>
        <w:t> </w:t>
      </w:r>
      <w:r>
        <w:rPr/>
        <w:t>网的</w:t>
      </w:r>
      <w:r>
        <w:rPr>
          <w:w w:val="99"/>
        </w:rPr>
        <w:t> </w:t>
      </w:r>
      <w:r>
        <w:rPr/>
        <w:t>传输承载能力和安全性；提高国际网络资源综合通信能力，针对</w:t>
      </w:r>
      <w:r>
        <w:rPr>
          <w:spacing w:val="-61"/>
        </w:rPr>
        <w:t> </w:t>
      </w:r>
      <w:r>
        <w:rPr>
          <w:rFonts w:ascii="Arial" w:hAnsi="Arial" w:cs="Arial" w:eastAsia="Arial" w:hint="default"/>
        </w:rPr>
        <w:t>3G</w:t>
      </w:r>
      <w:r>
        <w:rPr>
          <w:rFonts w:ascii="Arial" w:hAnsi="Arial" w:cs="Arial" w:eastAsia="Arial" w:hint="default"/>
          <w:spacing w:val="-13"/>
        </w:rPr>
        <w:t> </w:t>
      </w:r>
      <w:r>
        <w:rPr/>
        <w:t>国际漫游，增开了</w:t>
      </w:r>
      <w:r>
        <w:rPr>
          <w:spacing w:val="-62"/>
        </w:rPr>
        <w:t> </w:t>
      </w:r>
      <w:r>
        <w:rPr>
          <w:rFonts w:ascii="Arial" w:hAnsi="Arial" w:cs="Arial" w:eastAsia="Arial" w:hint="default"/>
        </w:rPr>
        <w:t>35</w:t>
      </w:r>
      <w:r>
        <w:rPr>
          <w:rFonts w:ascii="Arial" w:hAnsi="Arial" w:cs="Arial" w:eastAsia="Arial" w:hint="default"/>
          <w:spacing w:val="-12"/>
        </w:rPr>
        <w:t> </w:t>
      </w:r>
      <w:r>
        <w:rPr/>
        <w:t>个</w:t>
      </w:r>
      <w:r>
        <w:rPr>
          <w:w w:val="99"/>
        </w:rPr>
        <w:t> </w:t>
      </w:r>
      <w:r>
        <w:rPr/>
        <w:t>方向的国际去话直达路由；截至</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日，互联网国际出口带宽达到</w:t>
      </w:r>
      <w:r>
        <w:rPr>
          <w:spacing w:val="-56"/>
        </w:rPr>
        <w:t> </w:t>
      </w:r>
      <w:r>
        <w:rPr>
          <w:rFonts w:ascii="Arial" w:hAnsi="Arial" w:cs="Arial" w:eastAsia="Arial" w:hint="default"/>
        </w:rPr>
        <w:t>310Gb/s</w:t>
      </w:r>
      <w:r>
        <w:rPr/>
        <w:t>；</w:t>
      </w:r>
      <w:r>
        <w:rPr>
          <w:w w:val="99"/>
        </w:rPr>
        <w:t> </w:t>
      </w:r>
      <w:r>
        <w:rPr/>
        <w:t>国际海缆总容量达到了</w:t>
      </w:r>
      <w:r>
        <w:rPr>
          <w:spacing w:val="-58"/>
        </w:rPr>
        <w:t> </w:t>
      </w:r>
      <w:r>
        <w:rPr>
          <w:rFonts w:ascii="Arial" w:hAnsi="Arial" w:cs="Arial" w:eastAsia="Arial" w:hint="default"/>
        </w:rPr>
        <w:t>1110G</w:t>
      </w:r>
      <w:r>
        <w:rPr/>
        <w:t>，国际陆缆总容量达到了</w:t>
      </w:r>
      <w:r>
        <w:rPr>
          <w:spacing w:val="-59"/>
        </w:rPr>
        <w:t> </w:t>
      </w:r>
      <w:r>
        <w:rPr>
          <w:rFonts w:ascii="Arial" w:hAnsi="Arial" w:cs="Arial" w:eastAsia="Arial" w:hint="default"/>
        </w:rPr>
        <w:t>1882G</w:t>
      </w:r>
      <w:r>
        <w:rPr/>
        <w:t>。</w:t>
      </w:r>
    </w:p>
    <w:p>
      <w:pPr>
        <w:spacing w:after="0" w:line="220" w:lineRule="auto"/>
        <w:jc w:val="left"/>
        <w:sectPr>
          <w:pgSz w:w="11910" w:h="16840"/>
          <w:pgMar w:header="587" w:footer="774" w:top="960" w:bottom="960" w:left="1180" w:right="1060"/>
        </w:sectPr>
      </w:pPr>
    </w:p>
    <w:p>
      <w:pPr>
        <w:spacing w:line="240" w:lineRule="auto" w:before="9"/>
        <w:rPr>
          <w:rFonts w:ascii="宋体" w:hAnsi="宋体" w:cs="宋体" w:eastAsia="宋体" w:hint="default"/>
          <w:sz w:val="12"/>
          <w:szCs w:val="12"/>
        </w:rPr>
      </w:pPr>
    </w:p>
    <w:p>
      <w:pPr>
        <w:pStyle w:val="Heading8"/>
        <w:spacing w:line="240" w:lineRule="auto" w:before="31"/>
        <w:ind w:right="99"/>
        <w:jc w:val="left"/>
        <w:rPr>
          <w:b w:val="0"/>
          <w:bCs w:val="0"/>
        </w:rPr>
      </w:pPr>
      <w:r>
        <w:rPr>
          <w:rFonts w:ascii="Arial" w:hAnsi="Arial" w:cs="Arial" w:eastAsia="Arial" w:hint="default"/>
        </w:rPr>
        <w:t>4</w:t>
      </w:r>
      <w:r>
        <w:rPr/>
        <w:t>、</w:t>
      </w:r>
      <w:r>
        <w:rPr>
          <w:spacing w:val="-36"/>
        </w:rPr>
        <w:t> </w:t>
      </w:r>
      <w:r>
        <w:rPr/>
        <w:t>市场营销</w:t>
      </w:r>
      <w:r>
        <w:rPr>
          <w:b w:val="0"/>
          <w:bCs w:val="0"/>
        </w:rPr>
      </w:r>
    </w:p>
    <w:p>
      <w:pPr>
        <w:spacing w:line="240" w:lineRule="auto" w:before="7"/>
        <w:rPr>
          <w:rFonts w:ascii="宋体" w:hAnsi="宋体" w:cs="宋体" w:eastAsia="宋体" w:hint="default"/>
          <w:b/>
          <w:bCs/>
          <w:sz w:val="19"/>
          <w:szCs w:val="19"/>
        </w:rPr>
      </w:pPr>
    </w:p>
    <w:p>
      <w:pPr>
        <w:spacing w:before="0"/>
        <w:ind w:left="149" w:right="99" w:firstLine="0"/>
        <w:jc w:val="left"/>
        <w:rPr>
          <w:rFonts w:ascii="宋体" w:hAnsi="宋体" w:cs="宋体" w:eastAsia="宋体" w:hint="default"/>
          <w:sz w:val="22"/>
          <w:szCs w:val="22"/>
        </w:rPr>
      </w:pPr>
      <w:r>
        <w:rPr>
          <w:rFonts w:ascii="Arial" w:hAnsi="Arial" w:cs="Arial" w:eastAsia="Arial" w:hint="default"/>
          <w:b/>
          <w:bCs/>
          <w:sz w:val="22"/>
          <w:szCs w:val="22"/>
        </w:rPr>
        <w:t>4.1</w:t>
      </w:r>
      <w:r>
        <w:rPr>
          <w:rFonts w:ascii="Arial" w:hAnsi="Arial" w:cs="Arial" w:eastAsia="Arial" w:hint="default"/>
          <w:b/>
          <w:bCs/>
          <w:spacing w:val="51"/>
          <w:sz w:val="22"/>
          <w:szCs w:val="22"/>
        </w:rPr>
        <w:t> </w:t>
      </w:r>
      <w:r>
        <w:rPr>
          <w:rFonts w:ascii="宋体" w:hAnsi="宋体" w:cs="宋体" w:eastAsia="宋体" w:hint="default"/>
          <w:b/>
          <w:bCs/>
          <w:sz w:val="22"/>
          <w:szCs w:val="22"/>
        </w:rPr>
        <w:t>品牌策略</w:t>
      </w:r>
      <w:r>
        <w:rPr>
          <w:rFonts w:ascii="宋体" w:hAnsi="宋体" w:cs="宋体" w:eastAsia="宋体" w:hint="default"/>
          <w:sz w:val="22"/>
          <w:szCs w:val="22"/>
        </w:rPr>
      </w:r>
    </w:p>
    <w:p>
      <w:pPr>
        <w:spacing w:line="240" w:lineRule="auto" w:before="3"/>
        <w:rPr>
          <w:rFonts w:ascii="宋体" w:hAnsi="宋体" w:cs="宋体" w:eastAsia="宋体" w:hint="default"/>
          <w:b/>
          <w:bCs/>
          <w:sz w:val="21"/>
          <w:szCs w:val="21"/>
        </w:rPr>
      </w:pPr>
    </w:p>
    <w:p>
      <w:pPr>
        <w:pStyle w:val="BodyText"/>
        <w:spacing w:line="220" w:lineRule="auto"/>
        <w:ind w:left="567" w:right="218"/>
        <w:jc w:val="both"/>
      </w:pPr>
      <w:r>
        <w:rPr>
          <w:rFonts w:ascii="Arial" w:hAnsi="Arial" w:cs="Arial" w:eastAsia="Arial" w:hint="default"/>
        </w:rPr>
        <w:t>2009</w:t>
      </w:r>
      <w:r>
        <w:rPr>
          <w:rFonts w:ascii="Arial" w:hAnsi="Arial" w:cs="Arial" w:eastAsia="Arial" w:hint="default"/>
          <w:spacing w:val="-33"/>
        </w:rPr>
        <w:t> </w:t>
      </w:r>
      <w:r>
        <w:rPr/>
        <w:t>年，公司贯彻实施全业务品牌战略，整合原有各类业务品牌，建立了全业务品牌架构体</w:t>
      </w:r>
      <w:r>
        <w:rPr>
          <w:w w:val="99"/>
        </w:rPr>
        <w:t> </w:t>
      </w:r>
      <w:r>
        <w:rPr/>
        <w:t>系，推出全业务品牌“沃”。借力 </w:t>
      </w:r>
      <w:r>
        <w:rPr>
          <w:rFonts w:ascii="Arial" w:hAnsi="Arial" w:cs="Arial" w:eastAsia="Arial" w:hint="default"/>
        </w:rPr>
        <w:t>3G </w:t>
      </w:r>
      <w:r>
        <w:rPr/>
        <w:t>业务的推出，提升“沃”品牌知名度。全年完成</w:t>
      </w:r>
      <w:r>
        <w:rPr>
          <w:spacing w:val="-63"/>
        </w:rPr>
        <w:t> </w:t>
      </w:r>
      <w:r>
        <w:rPr>
          <w:rFonts w:ascii="Arial" w:hAnsi="Arial" w:cs="Arial" w:eastAsia="Arial" w:hint="default"/>
        </w:rPr>
        <w:t>303</w:t>
      </w:r>
      <w:r>
        <w:rPr>
          <w:rFonts w:ascii="Arial" w:hAnsi="Arial" w:cs="Arial" w:eastAsia="Arial" w:hint="default"/>
          <w:w w:val="99"/>
        </w:rPr>
        <w:t> </w:t>
      </w:r>
      <w:r>
        <w:rPr/>
        <w:t>个</w:t>
      </w:r>
      <w:r>
        <w:rPr>
          <w:spacing w:val="-56"/>
        </w:rPr>
        <w:t> </w:t>
      </w:r>
      <w:r>
        <w:rPr>
          <w:rFonts w:ascii="Arial" w:hAnsi="Arial" w:cs="Arial" w:eastAsia="Arial" w:hint="default"/>
        </w:rPr>
        <w:t>3G</w:t>
      </w:r>
      <w:r>
        <w:rPr>
          <w:rFonts w:ascii="Arial" w:hAnsi="Arial" w:cs="Arial" w:eastAsia="Arial" w:hint="default"/>
          <w:spacing w:val="-8"/>
        </w:rPr>
        <w:t> </w:t>
      </w:r>
      <w:r>
        <w:rPr/>
        <w:t>品牌店建设，提升客户感知，提升企业形象。</w:t>
      </w:r>
    </w:p>
    <w:p>
      <w:pPr>
        <w:spacing w:line="240" w:lineRule="auto" w:before="11"/>
        <w:rPr>
          <w:rFonts w:ascii="宋体" w:hAnsi="宋体" w:cs="宋体" w:eastAsia="宋体" w:hint="default"/>
          <w:sz w:val="19"/>
          <w:szCs w:val="19"/>
        </w:rPr>
      </w:pPr>
    </w:p>
    <w:p>
      <w:pPr>
        <w:pStyle w:val="Heading8"/>
        <w:spacing w:line="240" w:lineRule="auto"/>
        <w:ind w:left="150" w:right="99"/>
        <w:jc w:val="left"/>
        <w:rPr>
          <w:b w:val="0"/>
          <w:bCs w:val="0"/>
        </w:rPr>
      </w:pPr>
      <w:r>
        <w:rPr>
          <w:rFonts w:ascii="Arial" w:hAnsi="Arial" w:cs="Arial" w:eastAsia="Arial" w:hint="default"/>
        </w:rPr>
        <w:t>4.2</w:t>
      </w:r>
      <w:r>
        <w:rPr>
          <w:rFonts w:ascii="Arial" w:hAnsi="Arial" w:cs="Arial" w:eastAsia="Arial" w:hint="default"/>
          <w:spacing w:val="50"/>
        </w:rPr>
        <w:t> </w:t>
      </w:r>
      <w:r>
        <w:rPr/>
        <w:t>营销渠道资源</w:t>
      </w:r>
      <w:r>
        <w:rPr>
          <w:b w:val="0"/>
          <w:bCs w:val="0"/>
        </w:rPr>
      </w:r>
    </w:p>
    <w:p>
      <w:pPr>
        <w:spacing w:line="240" w:lineRule="auto" w:before="8"/>
        <w:rPr>
          <w:rFonts w:ascii="宋体" w:hAnsi="宋体" w:cs="宋体" w:eastAsia="宋体" w:hint="default"/>
          <w:b/>
          <w:bCs/>
          <w:sz w:val="19"/>
          <w:szCs w:val="19"/>
        </w:rPr>
      </w:pPr>
    </w:p>
    <w:p>
      <w:pPr>
        <w:pStyle w:val="BodyText"/>
        <w:spacing w:line="292" w:lineRule="exact"/>
        <w:ind w:left="568" w:right="0"/>
        <w:jc w:val="both"/>
      </w:pPr>
      <w:r>
        <w:rPr>
          <w:rFonts w:ascii="Arial" w:hAnsi="Arial" w:cs="Arial" w:eastAsia="Arial" w:hint="default"/>
        </w:rPr>
        <w:t>2009</w:t>
      </w:r>
      <w:r>
        <w:rPr>
          <w:rFonts w:ascii="Arial" w:hAnsi="Arial" w:cs="Arial" w:eastAsia="Arial" w:hint="default"/>
          <w:spacing w:val="-39"/>
        </w:rPr>
        <w:t> </w:t>
      </w:r>
      <w:r>
        <w:rPr/>
        <w:t>年，公司继续推进渠道资源的整合及优化，建设和完善面向全业务营销渠道体系。加快</w:t>
      </w:r>
    </w:p>
    <w:p>
      <w:pPr>
        <w:pStyle w:val="BodyText"/>
        <w:spacing w:line="220" w:lineRule="auto" w:before="8"/>
        <w:ind w:left="568" w:right="273"/>
        <w:jc w:val="both"/>
      </w:pPr>
      <w:r>
        <w:rPr/>
        <w:t>自有渠道建设，全面提升自有渠道的销售能力，自有渠道移动业务发展占比从年初的</w:t>
      </w:r>
      <w:r>
        <w:rPr>
          <w:spacing w:val="-56"/>
        </w:rPr>
        <w:t> </w:t>
      </w:r>
      <w:r>
        <w:rPr>
          <w:rFonts w:ascii="Arial" w:hAnsi="Arial" w:cs="Arial" w:eastAsia="Arial" w:hint="default"/>
        </w:rPr>
        <w:t>19.2%</w:t>
      </w:r>
      <w:r>
        <w:rPr>
          <w:rFonts w:ascii="Arial" w:hAnsi="Arial" w:cs="Arial" w:eastAsia="Arial" w:hint="default"/>
          <w:w w:val="99"/>
        </w:rPr>
        <w:t> </w:t>
      </w:r>
      <w:r>
        <w:rPr/>
        <w:t>提高到年底的</w:t>
      </w:r>
      <w:r>
        <w:rPr>
          <w:spacing w:val="-58"/>
        </w:rPr>
        <w:t> </w:t>
      </w:r>
      <w:r>
        <w:rPr>
          <w:rFonts w:ascii="Arial" w:hAnsi="Arial" w:cs="Arial" w:eastAsia="Arial" w:hint="default"/>
        </w:rPr>
        <w:t>28.0%</w:t>
      </w:r>
      <w:r>
        <w:rPr/>
        <w:t>；强化社会渠道扁平化管理，提高社会渠道的可控度；推进渠道电子化</w:t>
      </w:r>
      <w:r>
        <w:rPr>
          <w:w w:val="99"/>
        </w:rPr>
        <w:t> </w:t>
      </w:r>
      <w:r>
        <w:rPr/>
        <w:t>进程，建立基于全国统一平台的电子渠道系统，分流实体渠道压力，提升服务品质。</w:t>
      </w:r>
    </w:p>
    <w:p>
      <w:pPr>
        <w:spacing w:line="240" w:lineRule="auto" w:before="0"/>
        <w:rPr>
          <w:rFonts w:ascii="宋体" w:hAnsi="宋体" w:cs="宋体" w:eastAsia="宋体" w:hint="default"/>
          <w:sz w:val="21"/>
          <w:szCs w:val="21"/>
        </w:rPr>
      </w:pPr>
    </w:p>
    <w:p>
      <w:pPr>
        <w:pStyle w:val="Heading8"/>
        <w:spacing w:line="240" w:lineRule="auto"/>
        <w:ind w:left="150" w:right="99"/>
        <w:jc w:val="left"/>
        <w:rPr>
          <w:b w:val="0"/>
          <w:bCs w:val="0"/>
        </w:rPr>
      </w:pPr>
      <w:r>
        <w:rPr>
          <w:rFonts w:ascii="Arial" w:hAnsi="Arial" w:cs="Arial" w:eastAsia="Arial" w:hint="default"/>
        </w:rPr>
        <w:t>4.3</w:t>
      </w:r>
      <w:r>
        <w:rPr>
          <w:rFonts w:ascii="Arial" w:hAnsi="Arial" w:cs="Arial" w:eastAsia="Arial" w:hint="default"/>
          <w:spacing w:val="51"/>
        </w:rPr>
        <w:t> </w:t>
      </w:r>
      <w:r>
        <w:rPr/>
        <w:t>客户服务</w:t>
      </w:r>
      <w:r>
        <w:rPr>
          <w:b w:val="0"/>
          <w:bCs w:val="0"/>
        </w:rPr>
      </w:r>
    </w:p>
    <w:p>
      <w:pPr>
        <w:spacing w:line="240" w:lineRule="auto" w:before="7"/>
        <w:rPr>
          <w:rFonts w:ascii="宋体" w:hAnsi="宋体" w:cs="宋体" w:eastAsia="宋体" w:hint="default"/>
          <w:b/>
          <w:bCs/>
          <w:sz w:val="20"/>
          <w:szCs w:val="20"/>
        </w:rPr>
      </w:pPr>
    </w:p>
    <w:p>
      <w:pPr>
        <w:pStyle w:val="BodyText"/>
        <w:spacing w:line="228" w:lineRule="auto"/>
        <w:ind w:left="568" w:right="198"/>
        <w:jc w:val="left"/>
      </w:pPr>
      <w:r>
        <w:rPr>
          <w:rFonts w:ascii="Arial" w:hAnsi="Arial" w:cs="Arial" w:eastAsia="Arial" w:hint="default"/>
        </w:rPr>
        <w:t>2009</w:t>
      </w:r>
      <w:r>
        <w:rPr>
          <w:rFonts w:ascii="Arial" w:hAnsi="Arial" w:cs="Arial" w:eastAsia="Arial" w:hint="default"/>
          <w:spacing w:val="-33"/>
        </w:rPr>
        <w:t> </w:t>
      </w:r>
      <w:r>
        <w:rPr/>
        <w:t>年，公司全面推进服务体系的融合与客服中心的整合。建立了全国统一的全业务服务体</w:t>
      </w:r>
      <w:r>
        <w:rPr>
          <w:w w:val="99"/>
        </w:rPr>
        <w:t> </w:t>
      </w:r>
      <w:r>
        <w:rPr/>
        <w:t>系，在全国范围内统一了面向用户的服务标准和渠道规范；全面完成了客服热线的整合，实</w:t>
      </w:r>
      <w:r>
        <w:rPr>
          <w:w w:val="99"/>
        </w:rPr>
        <w:t> </w:t>
      </w:r>
      <w:r>
        <w:rPr/>
        <w:t>现了面向用户提供全业务一站式服务。</w:t>
      </w:r>
    </w:p>
    <w:p>
      <w:pPr>
        <w:spacing w:line="240" w:lineRule="auto" w:before="12"/>
        <w:rPr>
          <w:rFonts w:ascii="宋体" w:hAnsi="宋体" w:cs="宋体" w:eastAsia="宋体" w:hint="default"/>
          <w:sz w:val="20"/>
          <w:szCs w:val="20"/>
        </w:rPr>
      </w:pPr>
    </w:p>
    <w:p>
      <w:pPr>
        <w:pStyle w:val="Heading8"/>
        <w:tabs>
          <w:tab w:pos="1410" w:val="left" w:leader="none"/>
        </w:tabs>
        <w:spacing w:line="240" w:lineRule="auto"/>
        <w:ind w:left="150" w:right="99"/>
        <w:jc w:val="left"/>
        <w:rPr>
          <w:b w:val="0"/>
          <w:bCs w:val="0"/>
        </w:rPr>
      </w:pPr>
      <w:r>
        <w:rPr>
          <w:w w:val="95"/>
        </w:rPr>
        <w:t>第三部分</w:t>
        <w:tab/>
      </w:r>
      <w:r>
        <w:rPr/>
        <w:t>财务状况分析</w:t>
      </w:r>
      <w:r>
        <w:rPr>
          <w:b w:val="0"/>
          <w:bCs w:val="0"/>
        </w:rPr>
      </w:r>
    </w:p>
    <w:p>
      <w:pPr>
        <w:spacing w:line="240" w:lineRule="auto" w:before="9"/>
        <w:rPr>
          <w:rFonts w:ascii="宋体" w:hAnsi="宋体" w:cs="宋体" w:eastAsia="宋体" w:hint="default"/>
          <w:b/>
          <w:bCs/>
          <w:sz w:val="20"/>
          <w:szCs w:val="20"/>
        </w:rPr>
      </w:pPr>
    </w:p>
    <w:p>
      <w:pPr>
        <w:spacing w:before="0"/>
        <w:ind w:left="150" w:right="99" w:firstLine="0"/>
        <w:jc w:val="left"/>
        <w:rPr>
          <w:rFonts w:ascii="宋体" w:hAnsi="宋体" w:cs="宋体" w:eastAsia="宋体" w:hint="default"/>
          <w:sz w:val="22"/>
          <w:szCs w:val="22"/>
        </w:rPr>
      </w:pPr>
      <w:r>
        <w:rPr>
          <w:rFonts w:ascii="Arial" w:hAnsi="Arial" w:cs="Arial" w:eastAsia="Arial" w:hint="default"/>
          <w:b/>
          <w:bCs/>
          <w:sz w:val="22"/>
          <w:szCs w:val="22"/>
        </w:rPr>
        <w:t>1</w:t>
      </w:r>
      <w:r>
        <w:rPr>
          <w:rFonts w:ascii="宋体" w:hAnsi="宋体" w:cs="宋体" w:eastAsia="宋体" w:hint="default"/>
          <w:b/>
          <w:bCs/>
          <w:sz w:val="22"/>
          <w:szCs w:val="22"/>
        </w:rPr>
        <w:t>、</w:t>
      </w:r>
      <w:r>
        <w:rPr>
          <w:rFonts w:ascii="宋体" w:hAnsi="宋体" w:cs="宋体" w:eastAsia="宋体" w:hint="default"/>
          <w:b/>
          <w:bCs/>
          <w:spacing w:val="-36"/>
          <w:sz w:val="22"/>
          <w:szCs w:val="22"/>
        </w:rPr>
        <w:t> </w:t>
      </w:r>
      <w:r>
        <w:rPr>
          <w:rFonts w:ascii="宋体" w:hAnsi="宋体" w:cs="宋体" w:eastAsia="宋体" w:hint="default"/>
          <w:b/>
          <w:bCs/>
          <w:sz w:val="22"/>
          <w:szCs w:val="22"/>
        </w:rPr>
        <w:t>概述</w:t>
      </w:r>
      <w:r>
        <w:rPr>
          <w:rFonts w:ascii="宋体" w:hAnsi="宋体" w:cs="宋体" w:eastAsia="宋体" w:hint="default"/>
          <w:sz w:val="22"/>
          <w:szCs w:val="22"/>
        </w:rPr>
      </w:r>
    </w:p>
    <w:p>
      <w:pPr>
        <w:spacing w:line="240" w:lineRule="auto" w:before="3"/>
        <w:rPr>
          <w:rFonts w:ascii="宋体" w:hAnsi="宋体" w:cs="宋体" w:eastAsia="宋体" w:hint="default"/>
          <w:b/>
          <w:bCs/>
          <w:sz w:val="21"/>
          <w:szCs w:val="21"/>
        </w:rPr>
      </w:pPr>
    </w:p>
    <w:p>
      <w:pPr>
        <w:pStyle w:val="BodyText"/>
        <w:spacing w:line="220" w:lineRule="auto"/>
        <w:ind w:left="570" w:right="214"/>
        <w:jc w:val="both"/>
      </w:pPr>
      <w:r>
        <w:rPr>
          <w:rFonts w:ascii="Arial" w:hAnsi="Arial" w:cs="Arial" w:eastAsia="Arial" w:hint="default"/>
        </w:rPr>
        <w:t>2009</w:t>
      </w:r>
      <w:r>
        <w:rPr>
          <w:rFonts w:ascii="Arial" w:hAnsi="Arial" w:cs="Arial" w:eastAsia="Arial" w:hint="default"/>
          <w:spacing w:val="-6"/>
        </w:rPr>
        <w:t> </w:t>
      </w:r>
      <w:r>
        <w:rPr/>
        <w:t>年是本公司重组后完整运营的第一年，公司加快</w:t>
      </w:r>
      <w:r>
        <w:rPr>
          <w:spacing w:val="-54"/>
        </w:rPr>
        <w:t> </w:t>
      </w:r>
      <w:r>
        <w:rPr>
          <w:rFonts w:ascii="Arial" w:hAnsi="Arial" w:cs="Arial" w:eastAsia="Arial" w:hint="default"/>
        </w:rPr>
        <w:t>3G</w:t>
      </w:r>
      <w:r>
        <w:rPr>
          <w:rFonts w:ascii="Arial" w:hAnsi="Arial" w:cs="Arial" w:eastAsia="Arial" w:hint="default"/>
          <w:spacing w:val="-5"/>
        </w:rPr>
        <w:t> </w:t>
      </w:r>
      <w:r>
        <w:rPr/>
        <w:t>网络建设运营，积极开展全业务经</w:t>
      </w:r>
      <w:r>
        <w:rPr>
          <w:w w:val="99"/>
        </w:rPr>
        <w:t> </w:t>
      </w:r>
      <w:r>
        <w:rPr>
          <w:spacing w:val="2"/>
        </w:rPr>
        <w:t>营，有效推进企业深度融合，业务发展总体保持平稳。</w:t>
      </w:r>
      <w:r>
        <w:rPr>
          <w:rFonts w:ascii="Arial" w:hAnsi="Arial" w:cs="Arial" w:eastAsia="Arial" w:hint="default"/>
          <w:spacing w:val="2"/>
        </w:rPr>
        <w:t>2009 </w:t>
      </w:r>
      <w:r>
        <w:rPr>
          <w:spacing w:val="3"/>
        </w:rPr>
        <w:t>年本公司营业收入达到人民币</w:t>
      </w:r>
      <w:r>
        <w:rPr>
          <w:spacing w:val="-109"/>
        </w:rPr>
        <w:t> </w:t>
      </w:r>
      <w:r>
        <w:rPr>
          <w:spacing w:val="-109"/>
        </w:rPr>
      </w:r>
      <w:r>
        <w:rPr>
          <w:rFonts w:ascii="Arial" w:hAnsi="Arial" w:cs="Arial" w:eastAsia="Arial" w:hint="default"/>
        </w:rPr>
        <w:t>1,583.7</w:t>
      </w:r>
      <w:r>
        <w:rPr>
          <w:rFonts w:ascii="Arial" w:hAnsi="Arial" w:cs="Arial" w:eastAsia="Arial" w:hint="default"/>
          <w:spacing w:val="5"/>
        </w:rPr>
        <w:t> </w:t>
      </w:r>
      <w:r>
        <w:rPr/>
        <w:t>亿元，实现净利润人民币</w:t>
      </w:r>
      <w:r>
        <w:rPr>
          <w:spacing w:val="-43"/>
        </w:rPr>
        <w:t> </w:t>
      </w:r>
      <w:r>
        <w:rPr>
          <w:rFonts w:ascii="Arial" w:hAnsi="Arial" w:cs="Arial" w:eastAsia="Arial" w:hint="default"/>
        </w:rPr>
        <w:t>93.7</w:t>
      </w:r>
      <w:r>
        <w:rPr>
          <w:rFonts w:ascii="Arial" w:hAnsi="Arial" w:cs="Arial" w:eastAsia="Arial" w:hint="default"/>
          <w:spacing w:val="5"/>
        </w:rPr>
        <w:t> </w:t>
      </w:r>
      <w:r>
        <w:rPr/>
        <w:t>亿元，基本每股收益为人民币</w:t>
      </w:r>
      <w:r>
        <w:rPr>
          <w:spacing w:val="-42"/>
        </w:rPr>
        <w:t> </w:t>
      </w:r>
      <w:r>
        <w:rPr>
          <w:rFonts w:ascii="Arial" w:hAnsi="Arial" w:cs="Arial" w:eastAsia="Arial" w:hint="default"/>
        </w:rPr>
        <w:t>0.148</w:t>
      </w:r>
      <w:r>
        <w:rPr>
          <w:rFonts w:ascii="Arial" w:hAnsi="Arial" w:cs="Arial" w:eastAsia="Arial" w:hint="default"/>
          <w:spacing w:val="5"/>
        </w:rPr>
        <w:t> </w:t>
      </w:r>
      <w:r>
        <w:rPr/>
        <w:t>元。剔除固话初</w:t>
      </w:r>
    </w:p>
    <w:p>
      <w:pPr>
        <w:pStyle w:val="BodyText"/>
        <w:spacing w:line="220" w:lineRule="auto"/>
        <w:ind w:left="571" w:right="99"/>
        <w:jc w:val="left"/>
      </w:pPr>
      <w:r>
        <w:rPr/>
        <w:t>装费递延收入因素影响，全年完成营业收入人民币 </w:t>
      </w:r>
      <w:r>
        <w:rPr>
          <w:rFonts w:ascii="Arial" w:hAnsi="Arial" w:cs="Arial" w:eastAsia="Arial" w:hint="default"/>
        </w:rPr>
        <w:t>1,578.8</w:t>
      </w:r>
      <w:r>
        <w:rPr>
          <w:rFonts w:ascii="Arial" w:hAnsi="Arial" w:cs="Arial" w:eastAsia="Arial" w:hint="default"/>
          <w:spacing w:val="47"/>
        </w:rPr>
        <w:t> </w:t>
      </w:r>
      <w:r>
        <w:rPr/>
        <w:t>亿元，其中通信服务收入人民币</w:t>
      </w:r>
      <w:r>
        <w:rPr>
          <w:w w:val="99"/>
        </w:rPr>
        <w:t> </w:t>
      </w:r>
      <w:r>
        <w:rPr>
          <w:rFonts w:ascii="Arial" w:hAnsi="Arial" w:cs="Arial" w:eastAsia="Arial" w:hint="default"/>
        </w:rPr>
        <w:t>1,533.3 </w:t>
      </w:r>
      <w:r>
        <w:rPr/>
        <w:t>亿元，比上年可比口径（附注 </w:t>
      </w:r>
      <w:r>
        <w:rPr>
          <w:rFonts w:ascii="Arial" w:hAnsi="Arial" w:cs="Arial" w:eastAsia="Arial" w:hint="default"/>
        </w:rPr>
        <w:t>2</w:t>
      </w:r>
      <w:r>
        <w:rPr/>
        <w:t>）下降</w:t>
      </w:r>
      <w:r>
        <w:rPr>
          <w:spacing w:val="-29"/>
        </w:rPr>
        <w:t> </w:t>
      </w:r>
      <w:r>
        <w:rPr>
          <w:rFonts w:ascii="Arial" w:hAnsi="Arial" w:cs="Arial" w:eastAsia="Arial" w:hint="default"/>
        </w:rPr>
        <w:t>1.1%</w:t>
      </w:r>
      <w:r>
        <w:rPr/>
        <w:t>。在剔除固话初装费递延收入、非货币</w:t>
      </w:r>
      <w:r>
        <w:rPr>
          <w:w w:val="99"/>
        </w:rPr>
        <w:t> </w:t>
      </w:r>
      <w:r>
        <w:rPr>
          <w:spacing w:val="-3"/>
        </w:rPr>
        <w:t>性资产交换收益、衍生金融工具公允值变动损益、南方</w:t>
      </w:r>
      <w:r>
        <w:rPr>
          <w:spacing w:val="-53"/>
        </w:rPr>
        <w:t> </w:t>
      </w:r>
      <w:r>
        <w:rPr>
          <w:rFonts w:ascii="Arial" w:hAnsi="Arial" w:cs="Arial" w:eastAsia="Arial" w:hint="default"/>
        </w:rPr>
        <w:t>21</w:t>
      </w:r>
      <w:r>
        <w:rPr>
          <w:rFonts w:ascii="Arial" w:hAnsi="Arial" w:cs="Arial" w:eastAsia="Arial" w:hint="default"/>
          <w:spacing w:val="-4"/>
        </w:rPr>
        <w:t> </w:t>
      </w:r>
      <w:r>
        <w:rPr/>
        <w:t>省网络资产租赁费等不可比因素影</w:t>
      </w:r>
      <w:r>
        <w:rPr>
          <w:spacing w:val="-107"/>
        </w:rPr>
        <w:t> </w:t>
      </w:r>
      <w:r>
        <w:rPr>
          <w:spacing w:val="-107"/>
        </w:rPr>
      </w:r>
      <w:r>
        <w:rPr>
          <w:spacing w:val="-8"/>
        </w:rPr>
        <w:t>响（以下简称</w:t>
      </w:r>
      <w:r>
        <w:rPr>
          <w:rFonts w:ascii="Arial" w:hAnsi="Arial" w:cs="Arial" w:eastAsia="Arial" w:hint="default"/>
          <w:spacing w:val="-8"/>
        </w:rPr>
        <w:t>“</w:t>
      </w:r>
      <w:r>
        <w:rPr>
          <w:spacing w:val="-8"/>
        </w:rPr>
        <w:t>调整后</w:t>
      </w:r>
      <w:r>
        <w:rPr>
          <w:rFonts w:ascii="Arial" w:hAnsi="Arial" w:cs="Arial" w:eastAsia="Arial" w:hint="default"/>
          <w:spacing w:val="-8"/>
        </w:rPr>
        <w:t>”</w:t>
      </w:r>
      <w:r>
        <w:rPr>
          <w:spacing w:val="-8"/>
        </w:rPr>
        <w:t>），实现调整后净利润（附注</w:t>
      </w:r>
      <w:r>
        <w:rPr>
          <w:spacing w:val="-53"/>
        </w:rPr>
        <w:t> </w:t>
      </w:r>
      <w:r>
        <w:rPr>
          <w:rFonts w:ascii="Arial" w:hAnsi="Arial" w:cs="Arial" w:eastAsia="Arial" w:hint="default"/>
          <w:spacing w:val="-9"/>
        </w:rPr>
        <w:t>3</w:t>
      </w:r>
      <w:r>
        <w:rPr>
          <w:spacing w:val="-9"/>
        </w:rPr>
        <w:t>）人民币</w:t>
      </w:r>
      <w:r>
        <w:rPr>
          <w:spacing w:val="-53"/>
        </w:rPr>
        <w:t> </w:t>
      </w:r>
      <w:r>
        <w:rPr>
          <w:rFonts w:ascii="Arial" w:hAnsi="Arial" w:cs="Arial" w:eastAsia="Arial" w:hint="default"/>
        </w:rPr>
        <w:t>94.3</w:t>
      </w:r>
      <w:r>
        <w:rPr>
          <w:rFonts w:ascii="Arial" w:hAnsi="Arial" w:cs="Arial" w:eastAsia="Arial" w:hint="default"/>
          <w:spacing w:val="-4"/>
        </w:rPr>
        <w:t> </w:t>
      </w:r>
      <w:r>
        <w:rPr>
          <w:spacing w:val="-6"/>
        </w:rPr>
        <w:t>亿元，比上年下降</w:t>
      </w:r>
      <w:r>
        <w:rPr>
          <w:spacing w:val="-53"/>
        </w:rPr>
        <w:t> </w:t>
      </w:r>
      <w:r>
        <w:rPr>
          <w:rFonts w:ascii="Arial" w:hAnsi="Arial" w:cs="Arial" w:eastAsia="Arial" w:hint="default"/>
        </w:rPr>
        <w:t>35.1%</w:t>
      </w:r>
      <w:r>
        <w:rPr/>
        <w:t>，</w:t>
      </w:r>
      <w:r>
        <w:rPr>
          <w:w w:val="99"/>
        </w:rPr>
        <w:t> </w:t>
      </w:r>
      <w:r>
        <w:rPr/>
        <w:t>调整后</w:t>
      </w:r>
      <w:r>
        <w:rPr>
          <w:spacing w:val="-57"/>
        </w:rPr>
        <w:t> </w:t>
      </w:r>
      <w:r>
        <w:rPr>
          <w:rFonts w:ascii="Arial" w:hAnsi="Arial" w:cs="Arial" w:eastAsia="Arial" w:hint="default"/>
        </w:rPr>
        <w:t>EBITDA</w:t>
      </w:r>
      <w:r>
        <w:rPr/>
        <w:t>（附注</w:t>
      </w:r>
      <w:r>
        <w:rPr>
          <w:spacing w:val="-57"/>
        </w:rPr>
        <w:t> </w:t>
      </w:r>
      <w:r>
        <w:rPr>
          <w:rFonts w:ascii="Arial" w:hAnsi="Arial" w:cs="Arial" w:eastAsia="Arial" w:hint="default"/>
        </w:rPr>
        <w:t>4</w:t>
      </w:r>
      <w:r>
        <w:rPr/>
        <w:t>）为人民币</w:t>
      </w:r>
      <w:r>
        <w:rPr>
          <w:spacing w:val="-57"/>
        </w:rPr>
        <w:t> </w:t>
      </w:r>
      <w:r>
        <w:rPr>
          <w:rFonts w:ascii="Arial" w:hAnsi="Arial" w:cs="Arial" w:eastAsia="Arial" w:hint="default"/>
        </w:rPr>
        <w:t>600.9</w:t>
      </w:r>
      <w:r>
        <w:rPr>
          <w:rFonts w:ascii="Arial" w:hAnsi="Arial" w:cs="Arial" w:eastAsia="Arial" w:hint="default"/>
          <w:spacing w:val="-8"/>
        </w:rPr>
        <w:t> </w:t>
      </w:r>
      <w:r>
        <w:rPr/>
        <w:t>亿元，比上年下降</w:t>
      </w:r>
      <w:r>
        <w:rPr>
          <w:spacing w:val="-57"/>
        </w:rPr>
        <w:t> </w:t>
      </w:r>
      <w:r>
        <w:rPr>
          <w:rFonts w:ascii="Arial" w:hAnsi="Arial" w:cs="Arial" w:eastAsia="Arial" w:hint="default"/>
        </w:rPr>
        <w:t>12.4%</w:t>
      </w:r>
      <w:r>
        <w:rPr/>
        <w:t>。</w:t>
      </w:r>
    </w:p>
    <w:p>
      <w:pPr>
        <w:spacing w:line="240" w:lineRule="auto" w:before="7"/>
        <w:rPr>
          <w:rFonts w:ascii="宋体" w:hAnsi="宋体" w:cs="宋体" w:eastAsia="宋体" w:hint="default"/>
          <w:sz w:val="21"/>
          <w:szCs w:val="21"/>
        </w:rPr>
      </w:pPr>
    </w:p>
    <w:p>
      <w:pPr>
        <w:pStyle w:val="BodyText"/>
        <w:spacing w:line="220" w:lineRule="auto"/>
        <w:ind w:left="569" w:right="218" w:firstLine="20"/>
        <w:jc w:val="both"/>
      </w:pPr>
      <w:r>
        <w:rPr>
          <w:rFonts w:ascii="Arial" w:hAnsi="Arial" w:cs="Arial" w:eastAsia="Arial" w:hint="default"/>
        </w:rPr>
        <w:t>2009</w:t>
      </w:r>
      <w:r>
        <w:rPr>
          <w:rFonts w:ascii="Arial" w:hAnsi="Arial" w:cs="Arial" w:eastAsia="Arial" w:hint="default"/>
          <w:spacing w:val="-19"/>
        </w:rPr>
        <w:t> </w:t>
      </w:r>
      <w:r>
        <w:rPr/>
        <w:t>年本公司资产负债率（附注</w:t>
      </w:r>
      <w:r>
        <w:rPr>
          <w:spacing w:val="-68"/>
        </w:rPr>
        <w:t> </w:t>
      </w:r>
      <w:r>
        <w:rPr>
          <w:rFonts w:ascii="Arial" w:hAnsi="Arial" w:cs="Arial" w:eastAsia="Arial" w:hint="default"/>
        </w:rPr>
        <w:t>5</w:t>
      </w:r>
      <w:r>
        <w:rPr/>
        <w:t>）由上年底的</w:t>
      </w:r>
      <w:r>
        <w:rPr>
          <w:spacing w:val="-68"/>
        </w:rPr>
        <w:t> </w:t>
      </w:r>
      <w:r>
        <w:rPr>
          <w:rFonts w:ascii="Arial" w:hAnsi="Arial" w:cs="Arial" w:eastAsia="Arial" w:hint="default"/>
        </w:rPr>
        <w:t>40.3%</w:t>
      </w:r>
      <w:r>
        <w:rPr/>
        <w:t>上升至</w:t>
      </w:r>
      <w:r>
        <w:rPr>
          <w:spacing w:val="-68"/>
        </w:rPr>
        <w:t> </w:t>
      </w:r>
      <w:r>
        <w:rPr>
          <w:rFonts w:ascii="Arial" w:hAnsi="Arial" w:cs="Arial" w:eastAsia="Arial" w:hint="default"/>
        </w:rPr>
        <w:t>50.2%</w:t>
      </w:r>
      <w:r>
        <w:rPr/>
        <w:t>。经营活动现金流量净</w:t>
      </w:r>
      <w:r>
        <w:rPr>
          <w:w w:val="99"/>
        </w:rPr>
        <w:t> </w:t>
      </w:r>
      <w:r>
        <w:rPr/>
        <w:t>额为人民币</w:t>
      </w:r>
      <w:r>
        <w:rPr>
          <w:spacing w:val="-58"/>
        </w:rPr>
        <w:t> </w:t>
      </w:r>
      <w:r>
        <w:rPr>
          <w:rFonts w:ascii="Arial" w:hAnsi="Arial" w:cs="Arial" w:eastAsia="Arial" w:hint="default"/>
        </w:rPr>
        <w:t>593.1</w:t>
      </w:r>
      <w:r>
        <w:rPr>
          <w:rFonts w:ascii="Arial" w:hAnsi="Arial" w:cs="Arial" w:eastAsia="Arial" w:hint="default"/>
          <w:spacing w:val="-10"/>
        </w:rPr>
        <w:t> </w:t>
      </w:r>
      <w:r>
        <w:rPr/>
        <w:t>亿元，资本开支由于</w:t>
      </w:r>
      <w:r>
        <w:rPr>
          <w:spacing w:val="-59"/>
        </w:rPr>
        <w:t> </w:t>
      </w:r>
      <w:r>
        <w:rPr>
          <w:rFonts w:ascii="Arial" w:hAnsi="Arial" w:cs="Arial" w:eastAsia="Arial" w:hint="default"/>
        </w:rPr>
        <w:t>3G</w:t>
      </w:r>
      <w:r>
        <w:rPr>
          <w:rFonts w:ascii="Arial" w:hAnsi="Arial" w:cs="Arial" w:eastAsia="Arial" w:hint="default"/>
          <w:spacing w:val="-11"/>
        </w:rPr>
        <w:t> </w:t>
      </w:r>
      <w:r>
        <w:rPr/>
        <w:t>网络建设大幅上升为人民币</w:t>
      </w:r>
      <w:r>
        <w:rPr>
          <w:spacing w:val="-59"/>
        </w:rPr>
        <w:t> </w:t>
      </w:r>
      <w:r>
        <w:rPr>
          <w:rFonts w:ascii="Arial" w:hAnsi="Arial" w:cs="Arial" w:eastAsia="Arial" w:hint="default"/>
        </w:rPr>
        <w:t>1124.7</w:t>
      </w:r>
      <w:r>
        <w:rPr>
          <w:rFonts w:ascii="Arial" w:hAnsi="Arial" w:cs="Arial" w:eastAsia="Arial" w:hint="default"/>
          <w:spacing w:val="-10"/>
        </w:rPr>
        <w:t> </w:t>
      </w:r>
      <w:r>
        <w:rPr/>
        <w:t>亿元，自由现</w:t>
      </w:r>
      <w:r>
        <w:rPr>
          <w:w w:val="99"/>
        </w:rPr>
        <w:t> </w:t>
      </w:r>
      <w:r>
        <w:rPr/>
        <w:t>金流（经营活动现金流减资本开支）为人民币</w:t>
      </w:r>
      <w:r>
        <w:rPr>
          <w:rFonts w:ascii="Arial" w:hAnsi="Arial" w:cs="Arial" w:eastAsia="Arial" w:hint="default"/>
        </w:rPr>
        <w:t>-531.6</w:t>
      </w:r>
      <w:r>
        <w:rPr>
          <w:rFonts w:ascii="Arial" w:hAnsi="Arial" w:cs="Arial" w:eastAsia="Arial" w:hint="default"/>
          <w:spacing w:val="-10"/>
        </w:rPr>
        <w:t> </w:t>
      </w:r>
      <w:r>
        <w:rPr/>
        <w:t>亿元。</w:t>
      </w:r>
    </w:p>
    <w:p>
      <w:pPr>
        <w:spacing w:line="240" w:lineRule="auto" w:before="11"/>
        <w:rPr>
          <w:rFonts w:ascii="宋体" w:hAnsi="宋体" w:cs="宋体" w:eastAsia="宋体" w:hint="default"/>
          <w:sz w:val="19"/>
          <w:szCs w:val="19"/>
        </w:rPr>
      </w:pPr>
    </w:p>
    <w:p>
      <w:pPr>
        <w:pStyle w:val="Heading8"/>
        <w:spacing w:line="240" w:lineRule="auto"/>
        <w:ind w:right="99"/>
        <w:jc w:val="left"/>
        <w:rPr>
          <w:b w:val="0"/>
          <w:bCs w:val="0"/>
        </w:rPr>
      </w:pPr>
      <w:r>
        <w:rPr>
          <w:rFonts w:ascii="Arial" w:hAnsi="Arial" w:cs="Arial" w:eastAsia="Arial" w:hint="default"/>
        </w:rPr>
        <w:t>2</w:t>
      </w:r>
      <w:r>
        <w:rPr/>
        <w:t>、</w:t>
      </w:r>
      <w:r>
        <w:rPr>
          <w:spacing w:val="-36"/>
        </w:rPr>
        <w:t> </w:t>
      </w:r>
      <w:r>
        <w:rPr/>
        <w:t>营业收入</w:t>
      </w:r>
      <w:r>
        <w:rPr>
          <w:b w:val="0"/>
          <w:bCs w:val="0"/>
        </w:rPr>
      </w:r>
    </w:p>
    <w:p>
      <w:pPr>
        <w:spacing w:line="240" w:lineRule="auto" w:before="11"/>
        <w:rPr>
          <w:rFonts w:ascii="宋体" w:hAnsi="宋体" w:cs="宋体" w:eastAsia="宋体" w:hint="default"/>
          <w:b/>
          <w:bCs/>
          <w:sz w:val="20"/>
          <w:szCs w:val="20"/>
        </w:rPr>
      </w:pPr>
    </w:p>
    <w:p>
      <w:pPr>
        <w:pStyle w:val="BodyText"/>
        <w:spacing w:line="225" w:lineRule="auto"/>
        <w:ind w:left="569" w:right="202" w:firstLine="20"/>
        <w:jc w:val="left"/>
      </w:pPr>
      <w:r>
        <w:rPr>
          <w:rFonts w:ascii="Arial" w:hAnsi="Arial" w:cs="Arial" w:eastAsia="Arial" w:hint="default"/>
          <w:w w:val="95"/>
        </w:rPr>
        <w:t>2009 </w:t>
      </w:r>
      <w:r>
        <w:rPr>
          <w:w w:val="95"/>
        </w:rPr>
        <w:t>年面对国际金融危机、电信行业市场竞争加剧、资费水平进一步下调以及固话业务持续</w:t>
      </w:r>
      <w:r>
        <w:rPr>
          <w:spacing w:val="-30"/>
          <w:w w:val="95"/>
        </w:rPr>
        <w:t> </w:t>
      </w:r>
      <w:r>
        <w:rPr>
          <w:spacing w:val="-30"/>
          <w:w w:val="95"/>
        </w:rPr>
      </w:r>
      <w:r>
        <w:rPr/>
        <w:t>下滑等挑战，本公司积极开展全业务经营，重点加快移动业务、宽带业务发展，营业收入保</w:t>
      </w:r>
      <w:r>
        <w:rPr>
          <w:w w:val="99"/>
        </w:rPr>
        <w:t> </w:t>
      </w:r>
      <w:r>
        <w:rPr/>
        <w:t>持基本稳定。剔除固话初装费递延收入人民币</w:t>
      </w:r>
      <w:r>
        <w:rPr>
          <w:spacing w:val="-65"/>
        </w:rPr>
        <w:t> </w:t>
      </w:r>
      <w:r>
        <w:rPr>
          <w:rFonts w:ascii="Arial" w:hAnsi="Arial" w:cs="Arial" w:eastAsia="Arial" w:hint="default"/>
        </w:rPr>
        <w:t>4.9</w:t>
      </w:r>
      <w:r>
        <w:rPr>
          <w:rFonts w:ascii="Arial" w:hAnsi="Arial" w:cs="Arial" w:eastAsia="Arial" w:hint="default"/>
          <w:spacing w:val="-17"/>
        </w:rPr>
        <w:t> </w:t>
      </w:r>
      <w:r>
        <w:rPr/>
        <w:t>亿元后，全年完成营业收入人民币</w:t>
      </w:r>
      <w:r>
        <w:rPr>
          <w:spacing w:val="-66"/>
        </w:rPr>
        <w:t> </w:t>
      </w:r>
      <w:r>
        <w:rPr>
          <w:rFonts w:ascii="Arial" w:hAnsi="Arial" w:cs="Arial" w:eastAsia="Arial" w:hint="default"/>
        </w:rPr>
        <w:t>1,578.8</w:t>
      </w:r>
      <w:r>
        <w:rPr>
          <w:rFonts w:ascii="Arial" w:hAnsi="Arial" w:cs="Arial" w:eastAsia="Arial" w:hint="default"/>
          <w:w w:val="99"/>
        </w:rPr>
        <w:t> </w:t>
      </w:r>
      <w:r>
        <w:rPr/>
        <w:t>亿元，其中通信服务收入人民币</w:t>
      </w:r>
      <w:r>
        <w:rPr>
          <w:spacing w:val="-57"/>
        </w:rPr>
        <w:t> </w:t>
      </w:r>
      <w:r>
        <w:rPr>
          <w:rFonts w:ascii="Arial" w:hAnsi="Arial" w:cs="Arial" w:eastAsia="Arial" w:hint="default"/>
        </w:rPr>
        <w:t>1,533.3</w:t>
      </w:r>
      <w:r>
        <w:rPr>
          <w:rFonts w:ascii="Arial" w:hAnsi="Arial" w:cs="Arial" w:eastAsia="Arial" w:hint="default"/>
          <w:spacing w:val="-8"/>
        </w:rPr>
        <w:t> </w:t>
      </w:r>
      <w:r>
        <w:rPr/>
        <w:t>亿元，比上年下降</w:t>
      </w:r>
      <w:r>
        <w:rPr>
          <w:spacing w:val="-57"/>
        </w:rPr>
        <w:t> </w:t>
      </w:r>
      <w:r>
        <w:rPr>
          <w:rFonts w:ascii="Arial" w:hAnsi="Arial" w:cs="Arial" w:eastAsia="Arial" w:hint="default"/>
        </w:rPr>
        <w:t>1.1%</w:t>
      </w:r>
      <w:r>
        <w:rPr/>
        <w:t>。</w:t>
      </w:r>
    </w:p>
    <w:p>
      <w:pPr>
        <w:spacing w:after="0" w:line="225" w:lineRule="auto"/>
        <w:jc w:val="left"/>
        <w:sectPr>
          <w:pgSz w:w="11910" w:h="16840"/>
          <w:pgMar w:header="587" w:footer="774" w:top="960" w:bottom="960" w:left="1180" w:right="1060"/>
        </w:sectPr>
      </w:pPr>
    </w:p>
    <w:p>
      <w:pPr>
        <w:spacing w:line="240" w:lineRule="auto" w:before="9"/>
        <w:rPr>
          <w:rFonts w:ascii="宋体" w:hAnsi="宋体" w:cs="宋体" w:eastAsia="宋体" w:hint="default"/>
          <w:sz w:val="12"/>
          <w:szCs w:val="12"/>
        </w:rPr>
      </w:pPr>
    </w:p>
    <w:p>
      <w:pPr>
        <w:pStyle w:val="BodyText"/>
        <w:spacing w:line="280" w:lineRule="exact" w:before="64"/>
        <w:ind w:left="569" w:right="208"/>
        <w:jc w:val="left"/>
      </w:pPr>
      <w:r>
        <w:rPr/>
        <w:t>下表反映了本公司</w:t>
      </w:r>
      <w:r>
        <w:rPr>
          <w:spacing w:val="-63"/>
        </w:rPr>
        <w:t> </w:t>
      </w:r>
      <w:r>
        <w:rPr>
          <w:rFonts w:ascii="Arial" w:hAnsi="Arial" w:cs="Arial" w:eastAsia="Arial" w:hint="default"/>
        </w:rPr>
        <w:t>2009</w:t>
      </w:r>
      <w:r>
        <w:rPr>
          <w:rFonts w:ascii="Arial" w:hAnsi="Arial" w:cs="Arial" w:eastAsia="Arial" w:hint="default"/>
          <w:spacing w:val="-14"/>
        </w:rPr>
        <w:t> </w:t>
      </w:r>
      <w:r>
        <w:rPr/>
        <w:t>年和</w:t>
      </w:r>
      <w:r>
        <w:rPr>
          <w:spacing w:val="-63"/>
        </w:rPr>
        <w:t> </w:t>
      </w:r>
      <w:r>
        <w:rPr>
          <w:rFonts w:ascii="Arial" w:hAnsi="Arial" w:cs="Arial" w:eastAsia="Arial" w:hint="default"/>
        </w:rPr>
        <w:t>2009</w:t>
      </w:r>
      <w:r>
        <w:rPr>
          <w:rFonts w:ascii="Arial" w:hAnsi="Arial" w:cs="Arial" w:eastAsia="Arial" w:hint="default"/>
          <w:spacing w:val="-14"/>
        </w:rPr>
        <w:t> </w:t>
      </w:r>
      <w:r>
        <w:rPr/>
        <w:t>年通信服务收入构成的变化情况及各业务分部占通信服务</w:t>
      </w:r>
      <w:r>
        <w:rPr>
          <w:w w:val="99"/>
        </w:rPr>
        <w:t> </w:t>
      </w:r>
      <w:r>
        <w:rPr/>
        <w:t>收入的百分比情况。</w:t>
      </w:r>
    </w:p>
    <w:p>
      <w:pPr>
        <w:spacing w:line="240" w:lineRule="auto" w:before="5"/>
        <w:rPr>
          <w:rFonts w:ascii="宋体" w:hAnsi="宋体" w:cs="宋体" w:eastAsia="宋体" w:hint="default"/>
          <w:sz w:val="21"/>
          <w:szCs w:val="21"/>
        </w:rPr>
      </w:pPr>
    </w:p>
    <w:tbl>
      <w:tblPr>
        <w:tblW w:w="0" w:type="auto"/>
        <w:jc w:val="left"/>
        <w:tblInd w:w="519" w:type="dxa"/>
        <w:tblLayout w:type="fixed"/>
        <w:tblCellMar>
          <w:top w:w="0" w:type="dxa"/>
          <w:left w:w="0" w:type="dxa"/>
          <w:bottom w:w="0" w:type="dxa"/>
          <w:right w:w="0" w:type="dxa"/>
        </w:tblCellMar>
        <w:tblLook w:val="01E0"/>
      </w:tblPr>
      <w:tblGrid>
        <w:gridCol w:w="2892"/>
        <w:gridCol w:w="1159"/>
        <w:gridCol w:w="1558"/>
        <w:gridCol w:w="1499"/>
        <w:gridCol w:w="1558"/>
      </w:tblGrid>
      <w:tr>
        <w:trPr>
          <w:trHeight w:val="494" w:hRule="exact"/>
        </w:trPr>
        <w:tc>
          <w:tcPr>
            <w:tcW w:w="2892" w:type="dxa"/>
            <w:vMerge w:val="restart"/>
            <w:tcBorders>
              <w:top w:val="single" w:sz="17" w:space="0" w:color="000000"/>
              <w:left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733" w:right="0"/>
              <w:jc w:val="left"/>
              <w:rPr>
                <w:rFonts w:ascii="宋体" w:hAnsi="宋体" w:cs="宋体" w:eastAsia="宋体" w:hint="default"/>
                <w:sz w:val="18"/>
                <w:szCs w:val="18"/>
              </w:rPr>
            </w:pPr>
            <w:r>
              <w:rPr>
                <w:rFonts w:ascii="宋体" w:hAnsi="宋体" w:cs="宋体" w:eastAsia="宋体" w:hint="default"/>
                <w:sz w:val="18"/>
                <w:szCs w:val="18"/>
              </w:rPr>
              <w:t>（人民币百万元）</w:t>
            </w:r>
          </w:p>
        </w:tc>
        <w:tc>
          <w:tcPr>
            <w:tcW w:w="2717" w:type="dxa"/>
            <w:gridSpan w:val="2"/>
            <w:tcBorders>
              <w:top w:val="single" w:sz="17" w:space="0" w:color="000000"/>
              <w:left w:val="single" w:sz="4" w:space="0" w:color="000000"/>
              <w:bottom w:val="single" w:sz="4" w:space="0" w:color="000000"/>
              <w:right w:val="single" w:sz="4" w:space="0" w:color="000000"/>
            </w:tcBorders>
          </w:tcPr>
          <w:p>
            <w:pPr>
              <w:pStyle w:val="TableParagraph"/>
              <w:spacing w:line="240" w:lineRule="auto" w:before="88"/>
              <w:ind w:right="0"/>
              <w:jc w:val="center"/>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9"/>
                <w:sz w:val="18"/>
                <w:szCs w:val="18"/>
              </w:rPr>
              <w:t> </w:t>
            </w:r>
            <w:r>
              <w:rPr>
                <w:rFonts w:ascii="宋体" w:hAnsi="宋体" w:cs="宋体" w:eastAsia="宋体" w:hint="default"/>
                <w:sz w:val="18"/>
                <w:szCs w:val="18"/>
              </w:rPr>
              <w:t>年</w:t>
            </w:r>
          </w:p>
        </w:tc>
        <w:tc>
          <w:tcPr>
            <w:tcW w:w="3058" w:type="dxa"/>
            <w:gridSpan w:val="2"/>
            <w:tcBorders>
              <w:top w:val="single" w:sz="17" w:space="0" w:color="000000"/>
              <w:left w:val="single" w:sz="4" w:space="0" w:color="000000"/>
              <w:bottom w:val="single" w:sz="4" w:space="0" w:color="000000"/>
              <w:right w:val="nil" w:sz="6" w:space="0" w:color="auto"/>
            </w:tcBorders>
          </w:tcPr>
          <w:p>
            <w:pPr>
              <w:pStyle w:val="TableParagraph"/>
              <w:spacing w:line="213" w:lineRule="exact"/>
              <w:ind w:right="5"/>
              <w:jc w:val="center"/>
              <w:rPr>
                <w:rFonts w:ascii="Arial" w:hAnsi="Arial" w:cs="Arial" w:eastAsia="Arial" w:hint="default"/>
                <w:sz w:val="18"/>
                <w:szCs w:val="18"/>
              </w:rPr>
            </w:pPr>
            <w:r>
              <w:rPr>
                <w:rFonts w:ascii="Arial" w:hAnsi="Arial" w:cs="Arial" w:eastAsia="Arial" w:hint="default"/>
                <w:sz w:val="18"/>
                <w:szCs w:val="18"/>
              </w:rPr>
              <w:t>2008</w:t>
            </w:r>
            <w:r>
              <w:rPr>
                <w:rFonts w:ascii="Arial" w:hAnsi="Arial" w:cs="Arial" w:eastAsia="Arial" w:hint="default"/>
                <w:spacing w:val="-8"/>
                <w:sz w:val="18"/>
                <w:szCs w:val="18"/>
              </w:rPr>
              <w:t> </w:t>
            </w:r>
            <w:r>
              <w:rPr>
                <w:rFonts w:ascii="宋体" w:hAnsi="宋体" w:cs="宋体" w:eastAsia="宋体" w:hint="default"/>
                <w:sz w:val="18"/>
                <w:szCs w:val="18"/>
              </w:rPr>
              <w:t>年</w:t>
            </w:r>
            <w:r>
              <w:rPr>
                <w:rFonts w:ascii="Arial" w:hAnsi="Arial" w:cs="Arial" w:eastAsia="Arial" w:hint="default"/>
                <w:sz w:val="18"/>
                <w:szCs w:val="18"/>
              </w:rPr>
              <w:t>(</w:t>
            </w:r>
            <w:r>
              <w:rPr>
                <w:rFonts w:ascii="宋体" w:hAnsi="宋体" w:cs="宋体" w:eastAsia="宋体" w:hint="default"/>
                <w:sz w:val="18"/>
                <w:szCs w:val="18"/>
              </w:rPr>
              <w:t>经重列</w:t>
            </w:r>
            <w:r>
              <w:rPr>
                <w:rFonts w:ascii="Arial" w:hAnsi="Arial" w:cs="Arial" w:eastAsia="Arial" w:hint="default"/>
                <w:sz w:val="18"/>
                <w:szCs w:val="18"/>
              </w:rPr>
              <w:t>)</w:t>
            </w:r>
          </w:p>
          <w:p>
            <w:pPr>
              <w:pStyle w:val="TableParagraph"/>
              <w:spacing w:line="241" w:lineRule="exact"/>
              <w:ind w:right="2"/>
              <w:jc w:val="center"/>
              <w:rPr>
                <w:rFonts w:ascii="Arial" w:hAnsi="Arial" w:cs="Arial" w:eastAsia="Arial" w:hint="default"/>
                <w:sz w:val="18"/>
                <w:szCs w:val="18"/>
              </w:rPr>
            </w:pPr>
            <w:r>
              <w:rPr>
                <w:rFonts w:ascii="Arial" w:hAnsi="Arial" w:cs="Arial" w:eastAsia="Arial" w:hint="default"/>
                <w:sz w:val="18"/>
                <w:szCs w:val="18"/>
              </w:rPr>
              <w:t>(</w:t>
            </w:r>
            <w:r>
              <w:rPr>
                <w:rFonts w:ascii="宋体" w:hAnsi="宋体" w:cs="宋体" w:eastAsia="宋体" w:hint="default"/>
                <w:sz w:val="18"/>
                <w:szCs w:val="18"/>
              </w:rPr>
              <w:t>附注</w:t>
            </w:r>
            <w:r>
              <w:rPr>
                <w:rFonts w:ascii="宋体" w:hAnsi="宋体" w:cs="宋体" w:eastAsia="宋体" w:hint="default"/>
                <w:spacing w:val="-49"/>
                <w:sz w:val="18"/>
                <w:szCs w:val="18"/>
              </w:rPr>
              <w:t> </w:t>
            </w:r>
            <w:r>
              <w:rPr>
                <w:rFonts w:ascii="Arial" w:hAnsi="Arial" w:cs="Arial" w:eastAsia="Arial" w:hint="default"/>
                <w:sz w:val="18"/>
                <w:szCs w:val="18"/>
              </w:rPr>
              <w:t>1)</w:t>
            </w:r>
          </w:p>
        </w:tc>
      </w:tr>
      <w:tr>
        <w:trPr>
          <w:trHeight w:val="478" w:hRule="exact"/>
        </w:trPr>
        <w:tc>
          <w:tcPr>
            <w:tcW w:w="2892" w:type="dxa"/>
            <w:vMerge/>
            <w:tcBorders>
              <w:left w:val="nil" w:sz="6" w:space="0" w:color="auto"/>
              <w:bottom w:val="single" w:sz="4" w:space="0" w:color="000000"/>
              <w:right w:val="single" w:sz="4" w:space="0" w:color="000000"/>
            </w:tcBorders>
          </w:tcPr>
          <w:p>
            <w:pPr/>
          </w:p>
        </w:tc>
        <w:tc>
          <w:tcPr>
            <w:tcW w:w="115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sz w:val="18"/>
                <w:szCs w:val="18"/>
              </w:rPr>
              <w:t>累计完成</w:t>
            </w:r>
          </w:p>
        </w:tc>
        <w:tc>
          <w:tcPr>
            <w:tcW w:w="1558" w:type="dxa"/>
            <w:tcBorders>
              <w:top w:val="single" w:sz="4" w:space="0" w:color="000000"/>
              <w:left w:val="nil" w:sz="6" w:space="0" w:color="auto"/>
              <w:bottom w:val="single" w:sz="4" w:space="0" w:color="000000"/>
              <w:right w:val="single" w:sz="4" w:space="0" w:color="000000"/>
            </w:tcBorders>
          </w:tcPr>
          <w:p>
            <w:pPr>
              <w:pStyle w:val="TableParagraph"/>
              <w:spacing w:line="205" w:lineRule="exact"/>
              <w:ind w:right="21"/>
              <w:jc w:val="center"/>
              <w:rPr>
                <w:rFonts w:ascii="宋体" w:hAnsi="宋体" w:cs="宋体" w:eastAsia="宋体" w:hint="default"/>
                <w:sz w:val="18"/>
                <w:szCs w:val="18"/>
              </w:rPr>
            </w:pPr>
            <w:r>
              <w:rPr>
                <w:rFonts w:ascii="宋体" w:hAnsi="宋体" w:cs="宋体" w:eastAsia="宋体" w:hint="default"/>
                <w:sz w:val="18"/>
                <w:szCs w:val="18"/>
              </w:rPr>
              <w:t>占通信服务收入</w:t>
            </w:r>
          </w:p>
          <w:p>
            <w:pPr>
              <w:pStyle w:val="TableParagraph"/>
              <w:spacing w:line="235" w:lineRule="exact"/>
              <w:ind w:right="21"/>
              <w:jc w:val="center"/>
              <w:rPr>
                <w:rFonts w:ascii="宋体" w:hAnsi="宋体" w:cs="宋体" w:eastAsia="宋体" w:hint="default"/>
                <w:sz w:val="18"/>
                <w:szCs w:val="18"/>
              </w:rPr>
            </w:pPr>
            <w:r>
              <w:rPr>
                <w:rFonts w:ascii="宋体" w:hAnsi="宋体" w:cs="宋体" w:eastAsia="宋体" w:hint="default"/>
                <w:sz w:val="18"/>
                <w:szCs w:val="18"/>
              </w:rPr>
              <w:t>百分比</w:t>
            </w:r>
          </w:p>
        </w:tc>
        <w:tc>
          <w:tcPr>
            <w:tcW w:w="149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70" w:right="0"/>
              <w:jc w:val="left"/>
              <w:rPr>
                <w:rFonts w:ascii="宋体" w:hAnsi="宋体" w:cs="宋体" w:eastAsia="宋体" w:hint="default"/>
                <w:sz w:val="18"/>
                <w:szCs w:val="18"/>
              </w:rPr>
            </w:pPr>
            <w:r>
              <w:rPr>
                <w:rFonts w:ascii="宋体" w:hAnsi="宋体" w:cs="宋体" w:eastAsia="宋体" w:hint="default"/>
                <w:sz w:val="18"/>
                <w:szCs w:val="18"/>
              </w:rPr>
              <w:t>累计完成</w:t>
            </w:r>
          </w:p>
        </w:tc>
        <w:tc>
          <w:tcPr>
            <w:tcW w:w="1558" w:type="dxa"/>
            <w:tcBorders>
              <w:top w:val="single" w:sz="4" w:space="0" w:color="000000"/>
              <w:left w:val="nil" w:sz="6" w:space="0" w:color="auto"/>
              <w:bottom w:val="single" w:sz="4" w:space="0" w:color="000000"/>
              <w:right w:val="nil" w:sz="6" w:space="0" w:color="auto"/>
            </w:tcBorders>
          </w:tcPr>
          <w:p>
            <w:pPr>
              <w:pStyle w:val="TableParagraph"/>
              <w:spacing w:line="205" w:lineRule="exact"/>
              <w:ind w:right="26"/>
              <w:jc w:val="center"/>
              <w:rPr>
                <w:rFonts w:ascii="宋体" w:hAnsi="宋体" w:cs="宋体" w:eastAsia="宋体" w:hint="default"/>
                <w:sz w:val="18"/>
                <w:szCs w:val="18"/>
              </w:rPr>
            </w:pPr>
            <w:r>
              <w:rPr>
                <w:rFonts w:ascii="宋体" w:hAnsi="宋体" w:cs="宋体" w:eastAsia="宋体" w:hint="default"/>
                <w:sz w:val="18"/>
                <w:szCs w:val="18"/>
              </w:rPr>
              <w:t>占通信服务收入</w:t>
            </w:r>
          </w:p>
          <w:p>
            <w:pPr>
              <w:pStyle w:val="TableParagraph"/>
              <w:spacing w:line="235" w:lineRule="exact"/>
              <w:ind w:right="26"/>
              <w:jc w:val="center"/>
              <w:rPr>
                <w:rFonts w:ascii="宋体" w:hAnsi="宋体" w:cs="宋体" w:eastAsia="宋体" w:hint="default"/>
                <w:sz w:val="18"/>
                <w:szCs w:val="18"/>
              </w:rPr>
            </w:pPr>
            <w:r>
              <w:rPr>
                <w:rFonts w:ascii="宋体" w:hAnsi="宋体" w:cs="宋体" w:eastAsia="宋体" w:hint="default"/>
                <w:sz w:val="18"/>
                <w:szCs w:val="18"/>
              </w:rPr>
              <w:t>百分比</w:t>
            </w:r>
          </w:p>
        </w:tc>
      </w:tr>
      <w:tr>
        <w:trPr>
          <w:trHeight w:val="308" w:hRule="exact"/>
        </w:trPr>
        <w:tc>
          <w:tcPr>
            <w:tcW w:w="2892" w:type="dxa"/>
            <w:tcBorders>
              <w:top w:val="single" w:sz="4" w:space="0" w:color="000000"/>
              <w:left w:val="nil" w:sz="6" w:space="0" w:color="auto"/>
              <w:bottom w:val="nil" w:sz="6" w:space="0" w:color="auto"/>
              <w:right w:val="single" w:sz="4" w:space="0" w:color="000000"/>
            </w:tcBorders>
          </w:tcPr>
          <w:p>
            <w:pPr>
              <w:pStyle w:val="TableParagraph"/>
              <w:spacing w:line="243" w:lineRule="exact"/>
              <w:ind w:left="122" w:right="0"/>
              <w:jc w:val="left"/>
              <w:rPr>
                <w:rFonts w:ascii="宋体" w:hAnsi="宋体" w:cs="宋体" w:eastAsia="宋体" w:hint="default"/>
                <w:sz w:val="18"/>
                <w:szCs w:val="18"/>
              </w:rPr>
            </w:pPr>
            <w:r>
              <w:rPr>
                <w:rFonts w:ascii="宋体" w:hAnsi="宋体" w:cs="宋体" w:eastAsia="宋体" w:hint="default"/>
                <w:sz w:val="18"/>
                <w:szCs w:val="18"/>
              </w:rPr>
              <w:t>通信服务收入（附注</w:t>
            </w:r>
            <w:r>
              <w:rPr>
                <w:rFonts w:ascii="宋体" w:hAnsi="宋体" w:cs="宋体" w:eastAsia="宋体" w:hint="default"/>
                <w:spacing w:val="-48"/>
                <w:sz w:val="18"/>
                <w:szCs w:val="18"/>
              </w:rPr>
              <w:t> </w:t>
            </w:r>
            <w:r>
              <w:rPr>
                <w:rFonts w:ascii="Arial" w:hAnsi="Arial" w:cs="Arial" w:eastAsia="Arial" w:hint="default"/>
                <w:sz w:val="18"/>
                <w:szCs w:val="18"/>
              </w:rPr>
              <w:t>2</w:t>
            </w:r>
            <w:r>
              <w:rPr>
                <w:rFonts w:ascii="宋体" w:hAnsi="宋体" w:cs="宋体" w:eastAsia="宋体" w:hint="default"/>
                <w:sz w:val="18"/>
                <w:szCs w:val="18"/>
              </w:rPr>
              <w:t>）</w:t>
            </w:r>
          </w:p>
        </w:tc>
        <w:tc>
          <w:tcPr>
            <w:tcW w:w="1159" w:type="dxa"/>
            <w:tcBorders>
              <w:top w:val="single" w:sz="4" w:space="0" w:color="000000"/>
              <w:left w:val="single" w:sz="4" w:space="0" w:color="000000"/>
              <w:bottom w:val="nil" w:sz="6" w:space="0" w:color="auto"/>
              <w:right w:val="nil" w:sz="6" w:space="0" w:color="auto"/>
            </w:tcBorders>
          </w:tcPr>
          <w:p>
            <w:pPr>
              <w:pStyle w:val="TableParagraph"/>
              <w:spacing w:line="240" w:lineRule="auto" w:before="76"/>
              <w:ind w:right="132"/>
              <w:jc w:val="right"/>
              <w:rPr>
                <w:rFonts w:ascii="Arial" w:hAnsi="Arial" w:cs="Arial" w:eastAsia="Arial" w:hint="default"/>
                <w:sz w:val="18"/>
                <w:szCs w:val="18"/>
              </w:rPr>
            </w:pPr>
            <w:r>
              <w:rPr>
                <w:rFonts w:ascii="Arial"/>
                <w:spacing w:val="-1"/>
                <w:sz w:val="18"/>
              </w:rPr>
              <w:t>153,332</w:t>
            </w:r>
          </w:p>
        </w:tc>
        <w:tc>
          <w:tcPr>
            <w:tcW w:w="1558" w:type="dxa"/>
            <w:tcBorders>
              <w:top w:val="single" w:sz="4" w:space="0" w:color="000000"/>
              <w:left w:val="nil" w:sz="6" w:space="0" w:color="auto"/>
              <w:bottom w:val="nil" w:sz="6" w:space="0" w:color="auto"/>
              <w:right w:val="single" w:sz="4" w:space="0" w:color="000000"/>
            </w:tcBorders>
          </w:tcPr>
          <w:p>
            <w:pPr>
              <w:pStyle w:val="TableParagraph"/>
              <w:spacing w:line="240" w:lineRule="auto" w:before="76"/>
              <w:ind w:right="100"/>
              <w:jc w:val="right"/>
              <w:rPr>
                <w:rFonts w:ascii="Arial" w:hAnsi="Arial" w:cs="Arial" w:eastAsia="Arial" w:hint="default"/>
                <w:sz w:val="18"/>
                <w:szCs w:val="18"/>
              </w:rPr>
            </w:pPr>
            <w:r>
              <w:rPr>
                <w:rFonts w:ascii="Arial"/>
                <w:spacing w:val="-1"/>
                <w:sz w:val="18"/>
              </w:rPr>
              <w:t>100.0%</w:t>
            </w:r>
          </w:p>
        </w:tc>
        <w:tc>
          <w:tcPr>
            <w:tcW w:w="1499" w:type="dxa"/>
            <w:tcBorders>
              <w:top w:val="single" w:sz="4" w:space="0" w:color="000000"/>
              <w:left w:val="single" w:sz="4" w:space="0" w:color="000000"/>
              <w:bottom w:val="nil" w:sz="6" w:space="0" w:color="auto"/>
              <w:right w:val="nil" w:sz="6" w:space="0" w:color="auto"/>
            </w:tcBorders>
          </w:tcPr>
          <w:p>
            <w:pPr>
              <w:pStyle w:val="TableParagraph"/>
              <w:spacing w:line="240" w:lineRule="auto" w:before="76"/>
              <w:ind w:right="133"/>
              <w:jc w:val="right"/>
              <w:rPr>
                <w:rFonts w:ascii="Arial" w:hAnsi="Arial" w:cs="Arial" w:eastAsia="Arial" w:hint="default"/>
                <w:sz w:val="18"/>
                <w:szCs w:val="18"/>
              </w:rPr>
            </w:pPr>
            <w:r>
              <w:rPr>
                <w:rFonts w:ascii="Arial"/>
                <w:spacing w:val="-1"/>
                <w:sz w:val="18"/>
              </w:rPr>
              <w:t>155,019</w:t>
            </w:r>
            <w:r>
              <w:rPr>
                <w:rFonts w:ascii="Arial"/>
                <w:sz w:val="18"/>
              </w:rPr>
            </w:r>
          </w:p>
        </w:tc>
        <w:tc>
          <w:tcPr>
            <w:tcW w:w="1558" w:type="dxa"/>
            <w:tcBorders>
              <w:top w:val="single" w:sz="4" w:space="0" w:color="000000"/>
              <w:left w:val="nil" w:sz="6" w:space="0" w:color="auto"/>
              <w:bottom w:val="nil" w:sz="6" w:space="0" w:color="auto"/>
              <w:right w:val="nil" w:sz="6" w:space="0" w:color="auto"/>
            </w:tcBorders>
          </w:tcPr>
          <w:p>
            <w:pPr>
              <w:pStyle w:val="TableParagraph"/>
              <w:spacing w:line="240" w:lineRule="auto" w:before="76"/>
              <w:ind w:right="105"/>
              <w:jc w:val="right"/>
              <w:rPr>
                <w:rFonts w:ascii="Arial" w:hAnsi="Arial" w:cs="Arial" w:eastAsia="Arial" w:hint="default"/>
                <w:sz w:val="18"/>
                <w:szCs w:val="18"/>
              </w:rPr>
            </w:pPr>
            <w:r>
              <w:rPr>
                <w:rFonts w:ascii="Arial"/>
                <w:spacing w:val="-1"/>
                <w:sz w:val="18"/>
              </w:rPr>
              <w:t>100.0%</w:t>
            </w:r>
          </w:p>
        </w:tc>
      </w:tr>
      <w:tr>
        <w:trPr>
          <w:trHeight w:val="250" w:hRule="exact"/>
        </w:trPr>
        <w:tc>
          <w:tcPr>
            <w:tcW w:w="2892" w:type="dxa"/>
            <w:tcBorders>
              <w:top w:val="nil" w:sz="6" w:space="0" w:color="auto"/>
              <w:left w:val="nil" w:sz="6" w:space="0" w:color="auto"/>
              <w:bottom w:val="single" w:sz="2" w:space="0" w:color="C0C0C0"/>
              <w:right w:val="single" w:sz="4" w:space="0" w:color="000000"/>
            </w:tcBorders>
          </w:tcPr>
          <w:p>
            <w:pPr>
              <w:pStyle w:val="TableParagraph"/>
              <w:spacing w:line="204" w:lineRule="exact"/>
              <w:ind w:left="482" w:right="0"/>
              <w:jc w:val="left"/>
              <w:rPr>
                <w:rFonts w:ascii="宋体" w:hAnsi="宋体" w:cs="宋体" w:eastAsia="宋体" w:hint="default"/>
                <w:sz w:val="18"/>
                <w:szCs w:val="18"/>
              </w:rPr>
            </w:pPr>
            <w:r>
              <w:rPr>
                <w:rFonts w:ascii="宋体" w:hAnsi="宋体" w:cs="宋体" w:eastAsia="宋体" w:hint="default"/>
                <w:sz w:val="18"/>
                <w:szCs w:val="18"/>
              </w:rPr>
              <w:t>其中：移动电话业务</w:t>
            </w:r>
          </w:p>
        </w:tc>
        <w:tc>
          <w:tcPr>
            <w:tcW w:w="1159" w:type="dxa"/>
            <w:tcBorders>
              <w:top w:val="nil" w:sz="6" w:space="0" w:color="auto"/>
              <w:left w:val="single" w:sz="4" w:space="0" w:color="000000"/>
              <w:bottom w:val="single" w:sz="2" w:space="0" w:color="C0C0C0"/>
              <w:right w:val="nil" w:sz="6" w:space="0" w:color="auto"/>
            </w:tcBorders>
          </w:tcPr>
          <w:p>
            <w:pPr>
              <w:pStyle w:val="TableParagraph"/>
              <w:spacing w:line="240" w:lineRule="auto" w:before="39"/>
              <w:ind w:right="132"/>
              <w:jc w:val="right"/>
              <w:rPr>
                <w:rFonts w:ascii="Arial" w:hAnsi="Arial" w:cs="Arial" w:eastAsia="Arial" w:hint="default"/>
                <w:sz w:val="18"/>
                <w:szCs w:val="18"/>
              </w:rPr>
            </w:pPr>
            <w:r>
              <w:rPr>
                <w:rFonts w:ascii="Arial"/>
                <w:spacing w:val="-1"/>
                <w:sz w:val="18"/>
              </w:rPr>
              <w:t>71,555</w:t>
            </w:r>
          </w:p>
        </w:tc>
        <w:tc>
          <w:tcPr>
            <w:tcW w:w="1558" w:type="dxa"/>
            <w:tcBorders>
              <w:top w:val="nil" w:sz="6" w:space="0" w:color="auto"/>
              <w:left w:val="nil" w:sz="6" w:space="0" w:color="auto"/>
              <w:bottom w:val="single" w:sz="2" w:space="0" w:color="C0C0C0"/>
              <w:right w:val="single" w:sz="4" w:space="0" w:color="000000"/>
            </w:tcBorders>
          </w:tcPr>
          <w:p>
            <w:pPr>
              <w:pStyle w:val="TableParagraph"/>
              <w:spacing w:line="240" w:lineRule="auto" w:before="39"/>
              <w:ind w:right="101"/>
              <w:jc w:val="right"/>
              <w:rPr>
                <w:rFonts w:ascii="Arial" w:hAnsi="Arial" w:cs="Arial" w:eastAsia="Arial" w:hint="default"/>
                <w:sz w:val="18"/>
                <w:szCs w:val="18"/>
              </w:rPr>
            </w:pPr>
            <w:r>
              <w:rPr>
                <w:rFonts w:ascii="Arial"/>
                <w:spacing w:val="-1"/>
                <w:w w:val="95"/>
                <w:sz w:val="18"/>
              </w:rPr>
              <w:t>46.7%</w:t>
            </w:r>
            <w:r>
              <w:rPr>
                <w:rFonts w:ascii="Arial"/>
                <w:sz w:val="18"/>
              </w:rPr>
            </w:r>
          </w:p>
        </w:tc>
        <w:tc>
          <w:tcPr>
            <w:tcW w:w="3058" w:type="dxa"/>
            <w:gridSpan w:val="2"/>
            <w:tcBorders>
              <w:top w:val="nil" w:sz="6" w:space="0" w:color="auto"/>
              <w:left w:val="single" w:sz="4" w:space="0" w:color="000000"/>
              <w:bottom w:val="nil" w:sz="6" w:space="0" w:color="auto"/>
              <w:right w:val="nil" w:sz="6" w:space="0" w:color="auto"/>
            </w:tcBorders>
          </w:tcPr>
          <w:p>
            <w:pPr>
              <w:pStyle w:val="TableParagraph"/>
              <w:tabs>
                <w:tab w:pos="2435" w:val="left" w:leader="none"/>
                <w:tab w:pos="3045" w:val="left" w:leader="none"/>
              </w:tabs>
              <w:spacing w:line="240" w:lineRule="auto" w:before="39"/>
              <w:ind w:left="810" w:right="0"/>
              <w:jc w:val="left"/>
              <w:rPr>
                <w:rFonts w:ascii="Arial" w:hAnsi="Arial" w:cs="Arial" w:eastAsia="Arial" w:hint="default"/>
                <w:sz w:val="18"/>
                <w:szCs w:val="18"/>
              </w:rPr>
            </w:pPr>
            <w:r>
              <w:rPr>
                <w:rFonts w:ascii="Arial"/>
                <w:spacing w:val="-1"/>
                <w:sz w:val="18"/>
              </w:rPr>
              <w:t>65,580</w:t>
            </w:r>
            <w:r>
              <w:rPr>
                <w:rFonts w:ascii="Arial"/>
                <w:spacing w:val="-1"/>
                <w:sz w:val="18"/>
                <w:u w:val="single" w:color="C0C0C0"/>
              </w:rPr>
              <w:t> </w:t>
              <w:tab/>
              <w:t>42.3%</w:t>
              <w:tab/>
            </w:r>
            <w:r>
              <w:rPr>
                <w:rFonts w:ascii="Arial"/>
                <w:spacing w:val="-1"/>
                <w:sz w:val="18"/>
              </w:rPr>
            </w:r>
          </w:p>
        </w:tc>
      </w:tr>
      <w:tr>
        <w:trPr>
          <w:trHeight w:val="310" w:hRule="exact"/>
        </w:trPr>
        <w:tc>
          <w:tcPr>
            <w:tcW w:w="2892" w:type="dxa"/>
            <w:tcBorders>
              <w:top w:val="single" w:sz="2" w:space="0" w:color="C0C0C0"/>
              <w:left w:val="nil" w:sz="6" w:space="0" w:color="auto"/>
              <w:bottom w:val="nil" w:sz="6" w:space="0" w:color="auto"/>
              <w:right w:val="single" w:sz="4" w:space="0" w:color="000000"/>
            </w:tcBorders>
          </w:tcPr>
          <w:p>
            <w:pPr>
              <w:pStyle w:val="TableParagraph"/>
              <w:spacing w:line="231" w:lineRule="exact"/>
              <w:ind w:right="120"/>
              <w:jc w:val="center"/>
              <w:rPr>
                <w:rFonts w:ascii="宋体" w:hAnsi="宋体" w:cs="宋体" w:eastAsia="宋体" w:hint="default"/>
                <w:sz w:val="18"/>
                <w:szCs w:val="18"/>
              </w:rPr>
            </w:pPr>
            <w:r>
              <w:rPr>
                <w:rFonts w:ascii="宋体" w:hAnsi="宋体" w:cs="宋体" w:eastAsia="宋体" w:hint="default"/>
                <w:sz w:val="18"/>
                <w:szCs w:val="18"/>
              </w:rPr>
              <w:t>固网业务</w:t>
            </w:r>
          </w:p>
        </w:tc>
        <w:tc>
          <w:tcPr>
            <w:tcW w:w="1159" w:type="dxa"/>
            <w:tcBorders>
              <w:top w:val="single" w:sz="2" w:space="0" w:color="C0C0C0"/>
              <w:left w:val="single" w:sz="4" w:space="0" w:color="000000"/>
              <w:bottom w:val="nil" w:sz="6" w:space="0" w:color="auto"/>
              <w:right w:val="nil" w:sz="6" w:space="0" w:color="auto"/>
            </w:tcBorders>
          </w:tcPr>
          <w:p>
            <w:pPr>
              <w:pStyle w:val="TableParagraph"/>
              <w:spacing w:line="240" w:lineRule="auto" w:before="76"/>
              <w:ind w:right="132"/>
              <w:jc w:val="right"/>
              <w:rPr>
                <w:rFonts w:ascii="Arial" w:hAnsi="Arial" w:cs="Arial" w:eastAsia="Arial" w:hint="default"/>
                <w:sz w:val="18"/>
                <w:szCs w:val="18"/>
              </w:rPr>
            </w:pPr>
            <w:r>
              <w:rPr>
                <w:rFonts w:ascii="Arial"/>
                <w:spacing w:val="-1"/>
                <w:sz w:val="18"/>
              </w:rPr>
              <w:t>81,465</w:t>
            </w:r>
          </w:p>
        </w:tc>
        <w:tc>
          <w:tcPr>
            <w:tcW w:w="1558" w:type="dxa"/>
            <w:tcBorders>
              <w:top w:val="single" w:sz="2" w:space="0" w:color="C0C0C0"/>
              <w:left w:val="nil" w:sz="6" w:space="0" w:color="auto"/>
              <w:bottom w:val="nil" w:sz="6" w:space="0" w:color="auto"/>
              <w:right w:val="single" w:sz="4" w:space="0" w:color="000000"/>
            </w:tcBorders>
          </w:tcPr>
          <w:p>
            <w:pPr>
              <w:pStyle w:val="TableParagraph"/>
              <w:spacing w:line="240" w:lineRule="auto" w:before="76"/>
              <w:ind w:right="101"/>
              <w:jc w:val="right"/>
              <w:rPr>
                <w:rFonts w:ascii="Arial" w:hAnsi="Arial" w:cs="Arial" w:eastAsia="Arial" w:hint="default"/>
                <w:sz w:val="18"/>
                <w:szCs w:val="18"/>
              </w:rPr>
            </w:pPr>
            <w:r>
              <w:rPr>
                <w:rFonts w:ascii="Arial"/>
                <w:spacing w:val="-1"/>
                <w:w w:val="95"/>
                <w:sz w:val="18"/>
              </w:rPr>
              <w:t>53.1%</w:t>
            </w:r>
            <w:r>
              <w:rPr>
                <w:rFonts w:ascii="Arial"/>
                <w:sz w:val="18"/>
              </w:rPr>
            </w:r>
          </w:p>
        </w:tc>
        <w:tc>
          <w:tcPr>
            <w:tcW w:w="1499"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33"/>
              <w:jc w:val="right"/>
              <w:rPr>
                <w:rFonts w:ascii="Arial" w:hAnsi="Arial" w:cs="Arial" w:eastAsia="Arial" w:hint="default"/>
                <w:sz w:val="18"/>
                <w:szCs w:val="18"/>
              </w:rPr>
            </w:pPr>
            <w:r>
              <w:rPr>
                <w:rFonts w:ascii="Arial"/>
                <w:spacing w:val="-1"/>
                <w:sz w:val="18"/>
              </w:rPr>
              <w:t>89,063</w:t>
            </w:r>
          </w:p>
        </w:tc>
        <w:tc>
          <w:tcPr>
            <w:tcW w:w="1558"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06"/>
              <w:jc w:val="right"/>
              <w:rPr>
                <w:rFonts w:ascii="Arial" w:hAnsi="Arial" w:cs="Arial" w:eastAsia="Arial" w:hint="default"/>
                <w:sz w:val="18"/>
                <w:szCs w:val="18"/>
              </w:rPr>
            </w:pPr>
            <w:r>
              <w:rPr>
                <w:rFonts w:ascii="Arial"/>
                <w:spacing w:val="-1"/>
                <w:w w:val="95"/>
                <w:sz w:val="18"/>
              </w:rPr>
              <w:t>57.5%</w:t>
            </w:r>
            <w:r>
              <w:rPr>
                <w:rFonts w:ascii="Arial"/>
                <w:sz w:val="18"/>
              </w:rPr>
            </w:r>
          </w:p>
        </w:tc>
      </w:tr>
      <w:tr>
        <w:trPr>
          <w:trHeight w:val="286" w:hRule="exact"/>
        </w:trPr>
        <w:tc>
          <w:tcPr>
            <w:tcW w:w="2892" w:type="dxa"/>
            <w:tcBorders>
              <w:top w:val="nil" w:sz="6" w:space="0" w:color="auto"/>
              <w:left w:val="nil" w:sz="6" w:space="0" w:color="auto"/>
              <w:bottom w:val="single" w:sz="17" w:space="0" w:color="000000"/>
              <w:right w:val="single" w:sz="4" w:space="0" w:color="000000"/>
            </w:tcBorders>
          </w:tcPr>
          <w:p>
            <w:pPr>
              <w:pStyle w:val="TableParagraph"/>
              <w:spacing w:line="209" w:lineRule="exact"/>
              <w:ind w:left="1022" w:right="0"/>
              <w:jc w:val="left"/>
              <w:rPr>
                <w:rFonts w:ascii="宋体" w:hAnsi="宋体" w:cs="宋体" w:eastAsia="宋体" w:hint="default"/>
                <w:sz w:val="18"/>
                <w:szCs w:val="18"/>
              </w:rPr>
            </w:pPr>
            <w:r>
              <w:rPr>
                <w:rFonts w:ascii="宋体" w:hAnsi="宋体" w:cs="宋体" w:eastAsia="宋体" w:hint="default"/>
                <w:sz w:val="18"/>
                <w:szCs w:val="18"/>
              </w:rPr>
              <w:t>其中：宽带服务</w:t>
            </w:r>
          </w:p>
        </w:tc>
        <w:tc>
          <w:tcPr>
            <w:tcW w:w="1159" w:type="dxa"/>
            <w:tcBorders>
              <w:top w:val="nil" w:sz="6" w:space="0" w:color="auto"/>
              <w:left w:val="single" w:sz="4" w:space="0" w:color="000000"/>
              <w:bottom w:val="single" w:sz="17" w:space="0" w:color="000000"/>
              <w:right w:val="nil" w:sz="6" w:space="0" w:color="auto"/>
            </w:tcBorders>
          </w:tcPr>
          <w:p>
            <w:pPr>
              <w:pStyle w:val="TableParagraph"/>
              <w:spacing w:line="240" w:lineRule="auto" w:before="54"/>
              <w:ind w:right="132"/>
              <w:jc w:val="right"/>
              <w:rPr>
                <w:rFonts w:ascii="Arial" w:hAnsi="Arial" w:cs="Arial" w:eastAsia="Arial" w:hint="default"/>
                <w:sz w:val="18"/>
                <w:szCs w:val="18"/>
              </w:rPr>
            </w:pPr>
            <w:r>
              <w:rPr>
                <w:rFonts w:ascii="Arial"/>
                <w:spacing w:val="-1"/>
                <w:sz w:val="18"/>
              </w:rPr>
              <w:t>24,643</w:t>
            </w:r>
          </w:p>
        </w:tc>
        <w:tc>
          <w:tcPr>
            <w:tcW w:w="1558" w:type="dxa"/>
            <w:tcBorders>
              <w:top w:val="nil" w:sz="6" w:space="0" w:color="auto"/>
              <w:left w:val="nil" w:sz="6" w:space="0" w:color="auto"/>
              <w:bottom w:val="single" w:sz="17" w:space="0" w:color="000000"/>
              <w:right w:val="single" w:sz="4" w:space="0" w:color="000000"/>
            </w:tcBorders>
          </w:tcPr>
          <w:p>
            <w:pPr>
              <w:pStyle w:val="TableParagraph"/>
              <w:spacing w:line="240" w:lineRule="auto" w:before="54"/>
              <w:ind w:right="101"/>
              <w:jc w:val="right"/>
              <w:rPr>
                <w:rFonts w:ascii="Arial" w:hAnsi="Arial" w:cs="Arial" w:eastAsia="Arial" w:hint="default"/>
                <w:sz w:val="18"/>
                <w:szCs w:val="18"/>
              </w:rPr>
            </w:pPr>
            <w:r>
              <w:rPr>
                <w:rFonts w:ascii="Arial"/>
                <w:spacing w:val="-1"/>
                <w:w w:val="95"/>
                <w:sz w:val="18"/>
              </w:rPr>
              <w:t>16.1%</w:t>
            </w:r>
            <w:r>
              <w:rPr>
                <w:rFonts w:ascii="Arial"/>
                <w:sz w:val="18"/>
              </w:rPr>
            </w:r>
          </w:p>
        </w:tc>
        <w:tc>
          <w:tcPr>
            <w:tcW w:w="1499" w:type="dxa"/>
            <w:tcBorders>
              <w:top w:val="nil" w:sz="6" w:space="0" w:color="auto"/>
              <w:left w:val="single" w:sz="4" w:space="0" w:color="000000"/>
              <w:bottom w:val="single" w:sz="17" w:space="0" w:color="000000"/>
              <w:right w:val="nil" w:sz="6" w:space="0" w:color="auto"/>
            </w:tcBorders>
          </w:tcPr>
          <w:p>
            <w:pPr>
              <w:pStyle w:val="TableParagraph"/>
              <w:spacing w:line="240" w:lineRule="auto" w:before="54"/>
              <w:ind w:right="133"/>
              <w:jc w:val="right"/>
              <w:rPr>
                <w:rFonts w:ascii="Arial" w:hAnsi="Arial" w:cs="Arial" w:eastAsia="Arial" w:hint="default"/>
                <w:sz w:val="18"/>
                <w:szCs w:val="18"/>
              </w:rPr>
            </w:pPr>
            <w:r>
              <w:rPr>
                <w:rFonts w:ascii="Arial"/>
                <w:spacing w:val="-1"/>
                <w:sz w:val="18"/>
              </w:rPr>
              <w:t>21,615</w:t>
            </w:r>
          </w:p>
        </w:tc>
        <w:tc>
          <w:tcPr>
            <w:tcW w:w="1558" w:type="dxa"/>
            <w:tcBorders>
              <w:top w:val="nil" w:sz="6" w:space="0" w:color="auto"/>
              <w:left w:val="nil" w:sz="6" w:space="0" w:color="auto"/>
              <w:bottom w:val="single" w:sz="17" w:space="0" w:color="000000"/>
              <w:right w:val="nil" w:sz="6" w:space="0" w:color="auto"/>
            </w:tcBorders>
          </w:tcPr>
          <w:p>
            <w:pPr>
              <w:pStyle w:val="TableParagraph"/>
              <w:spacing w:line="240" w:lineRule="auto" w:before="54"/>
              <w:ind w:right="106"/>
              <w:jc w:val="right"/>
              <w:rPr>
                <w:rFonts w:ascii="Arial" w:hAnsi="Arial" w:cs="Arial" w:eastAsia="Arial" w:hint="default"/>
                <w:sz w:val="18"/>
                <w:szCs w:val="18"/>
              </w:rPr>
            </w:pPr>
            <w:r>
              <w:rPr>
                <w:rFonts w:ascii="Arial"/>
                <w:spacing w:val="-1"/>
                <w:w w:val="95"/>
                <w:sz w:val="18"/>
              </w:rPr>
              <w:t>13.9%</w:t>
            </w:r>
            <w:r>
              <w:rPr>
                <w:rFonts w:ascii="Arial"/>
                <w:sz w:val="18"/>
              </w:rPr>
            </w:r>
          </w:p>
        </w:tc>
      </w:tr>
    </w:tbl>
    <w:p>
      <w:pPr>
        <w:spacing w:line="240" w:lineRule="auto" w:before="6"/>
        <w:rPr>
          <w:rFonts w:ascii="宋体" w:hAnsi="宋体" w:cs="宋体" w:eastAsia="宋体" w:hint="default"/>
          <w:sz w:val="16"/>
          <w:szCs w:val="16"/>
        </w:rPr>
      </w:pPr>
    </w:p>
    <w:p>
      <w:pPr>
        <w:pStyle w:val="Heading8"/>
        <w:spacing w:line="240" w:lineRule="auto" w:before="31"/>
        <w:ind w:right="99"/>
        <w:jc w:val="left"/>
        <w:rPr>
          <w:b w:val="0"/>
          <w:bCs w:val="0"/>
        </w:rPr>
      </w:pPr>
      <w:r>
        <w:rPr>
          <w:rFonts w:ascii="Arial" w:hAnsi="Arial" w:cs="Arial" w:eastAsia="Arial" w:hint="default"/>
        </w:rPr>
        <w:t>2.1</w:t>
      </w:r>
      <w:r>
        <w:rPr>
          <w:rFonts w:ascii="Arial" w:hAnsi="Arial" w:cs="Arial" w:eastAsia="Arial" w:hint="default"/>
          <w:spacing w:val="50"/>
        </w:rPr>
        <w:t> </w:t>
      </w:r>
      <w:r>
        <w:rPr/>
        <w:t>移动电话业务</w:t>
      </w:r>
      <w:r>
        <w:rPr>
          <w:b w:val="0"/>
          <w:bCs w:val="0"/>
        </w:rPr>
      </w:r>
    </w:p>
    <w:p>
      <w:pPr>
        <w:spacing w:line="240" w:lineRule="auto" w:before="8"/>
        <w:rPr>
          <w:rFonts w:ascii="宋体" w:hAnsi="宋体" w:cs="宋体" w:eastAsia="宋体" w:hint="default"/>
          <w:b/>
          <w:bCs/>
          <w:sz w:val="19"/>
          <w:szCs w:val="19"/>
        </w:rPr>
      </w:pPr>
    </w:p>
    <w:p>
      <w:pPr>
        <w:pStyle w:val="BodyText"/>
        <w:spacing w:line="292" w:lineRule="exact"/>
        <w:ind w:left="569" w:right="0"/>
        <w:jc w:val="both"/>
      </w:pPr>
      <w:r>
        <w:rPr>
          <w:rFonts w:ascii="Arial" w:hAnsi="Arial" w:cs="Arial" w:eastAsia="Arial" w:hint="default"/>
        </w:rPr>
        <w:t>2009</w:t>
      </w:r>
      <w:r>
        <w:rPr>
          <w:rFonts w:ascii="Arial" w:hAnsi="Arial" w:cs="Arial" w:eastAsia="Arial" w:hint="default"/>
          <w:spacing w:val="-12"/>
        </w:rPr>
        <w:t> </w:t>
      </w:r>
      <w:r>
        <w:rPr/>
        <w:t>年本公司移动电话业务继续保持稳定增长，营业收入完成人民币</w:t>
      </w:r>
      <w:r>
        <w:rPr>
          <w:spacing w:val="-59"/>
        </w:rPr>
        <w:t> </w:t>
      </w:r>
      <w:r>
        <w:rPr>
          <w:rFonts w:ascii="Arial" w:hAnsi="Arial" w:cs="Arial" w:eastAsia="Arial" w:hint="default"/>
        </w:rPr>
        <w:t>740.7</w:t>
      </w:r>
      <w:r>
        <w:rPr>
          <w:rFonts w:ascii="Arial" w:hAnsi="Arial" w:cs="Arial" w:eastAsia="Arial" w:hint="default"/>
          <w:spacing w:val="-12"/>
        </w:rPr>
        <w:t> </w:t>
      </w:r>
      <w:r>
        <w:rPr>
          <w:spacing w:val="-3"/>
        </w:rPr>
        <w:t>亿元，其中通信</w:t>
      </w:r>
    </w:p>
    <w:p>
      <w:pPr>
        <w:pStyle w:val="BodyText"/>
        <w:spacing w:line="280" w:lineRule="exact" w:before="21"/>
        <w:ind w:left="570" w:right="218"/>
        <w:jc w:val="both"/>
      </w:pPr>
      <w:r>
        <w:rPr/>
        <w:t>服务收入完成人民币</w:t>
      </w:r>
      <w:r>
        <w:rPr>
          <w:spacing w:val="-39"/>
        </w:rPr>
        <w:t> </w:t>
      </w:r>
      <w:r>
        <w:rPr>
          <w:rFonts w:ascii="Arial" w:hAnsi="Arial" w:cs="Arial" w:eastAsia="Arial" w:hint="default"/>
        </w:rPr>
        <w:t>715.6</w:t>
      </w:r>
      <w:r>
        <w:rPr>
          <w:rFonts w:ascii="Arial" w:hAnsi="Arial" w:cs="Arial" w:eastAsia="Arial" w:hint="default"/>
          <w:spacing w:val="10"/>
        </w:rPr>
        <w:t> </w:t>
      </w:r>
      <w:r>
        <w:rPr/>
        <w:t>亿元，比上年增长</w:t>
      </w:r>
      <w:r>
        <w:rPr>
          <w:spacing w:val="-38"/>
        </w:rPr>
        <w:t> </w:t>
      </w:r>
      <w:r>
        <w:rPr>
          <w:rFonts w:ascii="Arial" w:hAnsi="Arial" w:cs="Arial" w:eastAsia="Arial" w:hint="default"/>
        </w:rPr>
        <w:t>9.1%</w:t>
      </w:r>
      <w:r>
        <w:rPr/>
        <w:t>。期末移动用户数达到</w:t>
      </w:r>
      <w:r>
        <w:rPr>
          <w:spacing w:val="-39"/>
        </w:rPr>
        <w:t> </w:t>
      </w:r>
      <w:r>
        <w:rPr>
          <w:rFonts w:ascii="Arial" w:hAnsi="Arial" w:cs="Arial" w:eastAsia="Arial" w:hint="default"/>
        </w:rPr>
        <w:t>14,758.7</w:t>
      </w:r>
      <w:r>
        <w:rPr>
          <w:rFonts w:ascii="Arial" w:hAnsi="Arial" w:cs="Arial" w:eastAsia="Arial" w:hint="default"/>
          <w:spacing w:val="10"/>
        </w:rPr>
        <w:t> </w:t>
      </w:r>
      <w:r>
        <w:rPr/>
        <w:t>万户，</w:t>
      </w:r>
      <w:r>
        <w:rPr>
          <w:w w:val="99"/>
        </w:rPr>
        <w:t> </w:t>
      </w:r>
      <w:r>
        <w:rPr/>
        <w:t>较上年末净增 </w:t>
      </w:r>
      <w:r>
        <w:rPr>
          <w:rFonts w:ascii="Arial" w:hAnsi="Arial" w:cs="Arial" w:eastAsia="Arial" w:hint="default"/>
        </w:rPr>
        <w:t>1,422.2 </w:t>
      </w:r>
      <w:r>
        <w:rPr/>
        <w:t>万户，其中 </w:t>
      </w:r>
      <w:r>
        <w:rPr>
          <w:rFonts w:ascii="Arial" w:hAnsi="Arial" w:cs="Arial" w:eastAsia="Arial" w:hint="default"/>
        </w:rPr>
        <w:t>3G </w:t>
      </w:r>
      <w:r>
        <w:rPr/>
        <w:t>用户净增 </w:t>
      </w:r>
      <w:r>
        <w:rPr>
          <w:rFonts w:ascii="Arial" w:hAnsi="Arial" w:cs="Arial" w:eastAsia="Arial" w:hint="default"/>
        </w:rPr>
        <w:t>274.2 </w:t>
      </w:r>
      <w:r>
        <w:rPr/>
        <w:t>万户。</w:t>
      </w:r>
      <w:r>
        <w:rPr>
          <w:rFonts w:ascii="Arial" w:hAnsi="Arial" w:cs="Arial" w:eastAsia="Arial" w:hint="default"/>
        </w:rPr>
        <w:t>GSM</w:t>
      </w:r>
      <w:r>
        <w:rPr>
          <w:rFonts w:ascii="Arial" w:hAnsi="Arial" w:cs="Arial" w:eastAsia="Arial" w:hint="default"/>
          <w:spacing w:val="53"/>
        </w:rPr>
        <w:t> </w:t>
      </w:r>
      <w:r>
        <w:rPr/>
        <w:t>业务平均每月每户收入</w:t>
      </w:r>
    </w:p>
    <w:p>
      <w:pPr>
        <w:pStyle w:val="BodyText"/>
        <w:spacing w:line="258" w:lineRule="exact"/>
        <w:ind w:left="570" w:right="0"/>
        <w:jc w:val="both"/>
      </w:pPr>
      <w:r>
        <w:rPr>
          <w:w w:val="99"/>
        </w:rPr>
        <w:t>（</w:t>
      </w:r>
      <w:r>
        <w:rPr>
          <w:rFonts w:ascii="Arial" w:hAnsi="Arial" w:cs="Arial" w:eastAsia="Arial" w:hint="default"/>
          <w:spacing w:val="-1"/>
          <w:w w:val="99"/>
        </w:rPr>
        <w:t>AR</w:t>
      </w:r>
      <w:r>
        <w:rPr>
          <w:rFonts w:ascii="Arial" w:hAnsi="Arial" w:cs="Arial" w:eastAsia="Arial" w:hint="default"/>
          <w:spacing w:val="1"/>
          <w:w w:val="99"/>
        </w:rPr>
        <w:t>P</w:t>
      </w:r>
      <w:r>
        <w:rPr>
          <w:rFonts w:ascii="Arial" w:hAnsi="Arial" w:cs="Arial" w:eastAsia="Arial" w:hint="default"/>
          <w:spacing w:val="-1"/>
          <w:w w:val="99"/>
        </w:rPr>
        <w:t>U</w:t>
      </w:r>
      <w:r>
        <w:rPr>
          <w:spacing w:val="-88"/>
          <w:w w:val="99"/>
        </w:rPr>
        <w:t>）</w:t>
      </w:r>
      <w:r>
        <w:rPr>
          <w:spacing w:val="1"/>
          <w:w w:val="99"/>
        </w:rPr>
        <w:t>由</w:t>
      </w:r>
      <w:r>
        <w:rPr>
          <w:spacing w:val="-1"/>
          <w:w w:val="99"/>
        </w:rPr>
        <w:t>上年的</w:t>
      </w:r>
      <w:r>
        <w:rPr>
          <w:spacing w:val="1"/>
          <w:w w:val="99"/>
        </w:rPr>
        <w:t>人民</w:t>
      </w:r>
      <w:r>
        <w:rPr>
          <w:w w:val="99"/>
        </w:rPr>
        <w:t>币</w:t>
      </w:r>
      <w:r>
        <w:rPr>
          <w:spacing w:val="-55"/>
        </w:rPr>
        <w:t> </w:t>
      </w:r>
      <w:r>
        <w:rPr>
          <w:rFonts w:ascii="Arial" w:hAnsi="Arial" w:cs="Arial" w:eastAsia="Arial" w:hint="default"/>
          <w:w w:val="99"/>
        </w:rPr>
        <w:t>42.3</w:t>
      </w:r>
      <w:r>
        <w:rPr>
          <w:rFonts w:ascii="Arial" w:hAnsi="Arial" w:cs="Arial" w:eastAsia="Arial" w:hint="default"/>
          <w:spacing w:val="-6"/>
        </w:rPr>
        <w:t> </w:t>
      </w:r>
      <w:r>
        <w:rPr>
          <w:w w:val="99"/>
        </w:rPr>
        <w:t>元下降至人民币</w:t>
      </w:r>
      <w:r>
        <w:rPr>
          <w:spacing w:val="-54"/>
        </w:rPr>
        <w:t> </w:t>
      </w:r>
      <w:r>
        <w:rPr>
          <w:rFonts w:ascii="Arial" w:hAnsi="Arial" w:cs="Arial" w:eastAsia="Arial" w:hint="default"/>
          <w:w w:val="99"/>
        </w:rPr>
        <w:t>41.2</w:t>
      </w:r>
      <w:r>
        <w:rPr>
          <w:rFonts w:ascii="Arial" w:hAnsi="Arial" w:cs="Arial" w:eastAsia="Arial" w:hint="default"/>
          <w:spacing w:val="-6"/>
        </w:rPr>
        <w:t> </w:t>
      </w:r>
      <w:r>
        <w:rPr>
          <w:w w:val="99"/>
        </w:rPr>
        <w:t>元</w:t>
      </w:r>
      <w:r>
        <w:rPr>
          <w:spacing w:val="-88"/>
          <w:w w:val="99"/>
        </w:rPr>
        <w:t>，</w:t>
      </w:r>
      <w:r>
        <w:rPr>
          <w:rFonts w:ascii="Arial" w:hAnsi="Arial" w:cs="Arial" w:eastAsia="Arial" w:hint="default"/>
          <w:w w:val="99"/>
        </w:rPr>
        <w:t>3G</w:t>
      </w:r>
      <w:r>
        <w:rPr>
          <w:rFonts w:ascii="Arial" w:hAnsi="Arial" w:cs="Arial" w:eastAsia="Arial" w:hint="default"/>
          <w:spacing w:val="-6"/>
        </w:rPr>
        <w:t> </w:t>
      </w:r>
      <w:r>
        <w:rPr>
          <w:w w:val="99"/>
        </w:rPr>
        <w:t>业务平</w:t>
      </w:r>
      <w:r>
        <w:rPr>
          <w:spacing w:val="1"/>
          <w:w w:val="99"/>
        </w:rPr>
        <w:t>均每</w:t>
      </w:r>
      <w:r>
        <w:rPr>
          <w:w w:val="99"/>
        </w:rPr>
        <w:t>月每户</w:t>
      </w:r>
      <w:r>
        <w:rPr>
          <w:spacing w:val="1"/>
          <w:w w:val="99"/>
        </w:rPr>
        <w:t>收</w:t>
      </w:r>
      <w:r>
        <w:rPr>
          <w:spacing w:val="-87"/>
          <w:w w:val="99"/>
        </w:rPr>
        <w:t>入</w:t>
      </w:r>
      <w:r>
        <w:rPr>
          <w:w w:val="99"/>
        </w:rPr>
        <w:t>（</w:t>
      </w:r>
      <w:r>
        <w:rPr>
          <w:rFonts w:ascii="Arial" w:hAnsi="Arial" w:cs="Arial" w:eastAsia="Arial" w:hint="default"/>
          <w:spacing w:val="-1"/>
          <w:w w:val="99"/>
        </w:rPr>
        <w:t>AR</w:t>
      </w:r>
      <w:r>
        <w:rPr>
          <w:rFonts w:ascii="Arial" w:hAnsi="Arial" w:cs="Arial" w:eastAsia="Arial" w:hint="default"/>
          <w:spacing w:val="1"/>
          <w:w w:val="99"/>
        </w:rPr>
        <w:t>P</w:t>
      </w:r>
      <w:r>
        <w:rPr>
          <w:rFonts w:ascii="Arial" w:hAnsi="Arial" w:cs="Arial" w:eastAsia="Arial" w:hint="default"/>
          <w:spacing w:val="-1"/>
          <w:w w:val="99"/>
        </w:rPr>
        <w:t>U</w:t>
      </w:r>
      <w:r>
        <w:rPr>
          <w:w w:val="99"/>
        </w:rPr>
        <w:t>）</w:t>
      </w:r>
      <w:r>
        <w:rPr/>
      </w:r>
    </w:p>
    <w:p>
      <w:pPr>
        <w:pStyle w:val="BodyText"/>
        <w:spacing w:line="292" w:lineRule="exact"/>
        <w:ind w:left="570" w:right="0"/>
        <w:jc w:val="both"/>
      </w:pPr>
      <w:r>
        <w:rPr/>
        <w:t>达到人民币</w:t>
      </w:r>
      <w:r>
        <w:rPr>
          <w:spacing w:val="-56"/>
        </w:rPr>
        <w:t> </w:t>
      </w:r>
      <w:r>
        <w:rPr>
          <w:rFonts w:ascii="Arial" w:hAnsi="Arial" w:cs="Arial" w:eastAsia="Arial" w:hint="default"/>
        </w:rPr>
        <w:t>141.7</w:t>
      </w:r>
      <w:r>
        <w:rPr>
          <w:rFonts w:ascii="Arial" w:hAnsi="Arial" w:cs="Arial" w:eastAsia="Arial" w:hint="default"/>
          <w:spacing w:val="-8"/>
        </w:rPr>
        <w:t> </w:t>
      </w:r>
      <w:r>
        <w:rPr/>
        <w:t>元。</w:t>
      </w:r>
    </w:p>
    <w:p>
      <w:pPr>
        <w:spacing w:line="240" w:lineRule="auto" w:before="3"/>
        <w:rPr>
          <w:rFonts w:ascii="宋体" w:hAnsi="宋体" w:cs="宋体" w:eastAsia="宋体" w:hint="default"/>
          <w:sz w:val="21"/>
          <w:szCs w:val="21"/>
        </w:rPr>
      </w:pPr>
    </w:p>
    <w:p>
      <w:pPr>
        <w:pStyle w:val="BodyText"/>
        <w:spacing w:line="220" w:lineRule="auto"/>
        <w:ind w:left="570" w:right="216"/>
        <w:jc w:val="both"/>
      </w:pPr>
      <w:r>
        <w:rPr>
          <w:spacing w:val="-3"/>
        </w:rPr>
        <w:t>公司大力发展增值业务，积极推广移动数据业务，继续提升短信、</w:t>
      </w:r>
      <w:r>
        <w:rPr>
          <w:rFonts w:ascii="Arial" w:hAnsi="Arial" w:cs="Arial" w:eastAsia="Arial" w:hint="default"/>
          <w:spacing w:val="-3"/>
        </w:rPr>
        <w:t>GPRS</w:t>
      </w:r>
      <w:r>
        <w:rPr>
          <w:spacing w:val="-3"/>
        </w:rPr>
        <w:t>、炫铃等增值业务的</w:t>
      </w:r>
      <w:r>
        <w:rPr>
          <w:spacing w:val="-98"/>
        </w:rPr>
        <w:t> </w:t>
      </w:r>
      <w:r>
        <w:rPr>
          <w:spacing w:val="-98"/>
        </w:rPr>
      </w:r>
      <w:r>
        <w:rPr/>
        <w:t>渗透率，</w:t>
      </w:r>
      <w:r>
        <w:rPr>
          <w:rFonts w:ascii="Arial" w:hAnsi="Arial" w:cs="Arial" w:eastAsia="Arial" w:hint="default"/>
        </w:rPr>
        <w:t>2009</w:t>
      </w:r>
      <w:r>
        <w:rPr>
          <w:rFonts w:ascii="Arial" w:hAnsi="Arial" w:cs="Arial" w:eastAsia="Arial" w:hint="default"/>
          <w:spacing w:val="-10"/>
        </w:rPr>
        <w:t> </w:t>
      </w:r>
      <w:r>
        <w:rPr/>
        <w:t>年本公司的移动增值服务收入达到人民币</w:t>
      </w:r>
      <w:r>
        <w:rPr>
          <w:spacing w:val="-59"/>
        </w:rPr>
        <w:t> </w:t>
      </w:r>
      <w:r>
        <w:rPr>
          <w:rFonts w:ascii="Arial" w:hAnsi="Arial" w:cs="Arial" w:eastAsia="Arial" w:hint="default"/>
        </w:rPr>
        <w:t>195.6</w:t>
      </w:r>
      <w:r>
        <w:rPr>
          <w:rFonts w:ascii="Arial" w:hAnsi="Arial" w:cs="Arial" w:eastAsia="Arial" w:hint="default"/>
          <w:spacing w:val="-10"/>
        </w:rPr>
        <w:t> </w:t>
      </w:r>
      <w:r>
        <w:rPr>
          <w:spacing w:val="-3"/>
        </w:rPr>
        <w:t>亿元，比上年增长</w:t>
      </w:r>
      <w:r>
        <w:rPr>
          <w:spacing w:val="-59"/>
        </w:rPr>
        <w:t> </w:t>
      </w:r>
      <w:r>
        <w:rPr>
          <w:rFonts w:ascii="Arial" w:hAnsi="Arial" w:cs="Arial" w:eastAsia="Arial" w:hint="default"/>
          <w:spacing w:val="-5"/>
        </w:rPr>
        <w:t>17.3%</w:t>
      </w:r>
      <w:r>
        <w:rPr>
          <w:spacing w:val="-5"/>
        </w:rPr>
        <w:t>，占</w:t>
      </w:r>
      <w:r>
        <w:rPr>
          <w:spacing w:val="-17"/>
          <w:w w:val="99"/>
        </w:rPr>
        <w:t> </w:t>
      </w:r>
      <w:r>
        <w:rPr/>
        <w:t>通信服务收入比重由上年的</w:t>
      </w:r>
      <w:r>
        <w:rPr>
          <w:spacing w:val="-58"/>
        </w:rPr>
        <w:t> </w:t>
      </w:r>
      <w:r>
        <w:rPr>
          <w:rFonts w:ascii="Arial" w:hAnsi="Arial" w:cs="Arial" w:eastAsia="Arial" w:hint="default"/>
        </w:rPr>
        <w:t>25.4%</w:t>
      </w:r>
      <w:r>
        <w:rPr/>
        <w:t>升至</w:t>
      </w:r>
      <w:r>
        <w:rPr>
          <w:spacing w:val="-58"/>
        </w:rPr>
        <w:t> </w:t>
      </w:r>
      <w:r>
        <w:rPr>
          <w:rFonts w:ascii="Arial" w:hAnsi="Arial" w:cs="Arial" w:eastAsia="Arial" w:hint="default"/>
        </w:rPr>
        <w:t>27.3%</w:t>
      </w:r>
      <w:r>
        <w:rPr/>
        <w:t>。</w:t>
      </w:r>
    </w:p>
    <w:p>
      <w:pPr>
        <w:spacing w:line="240" w:lineRule="auto" w:before="11"/>
        <w:rPr>
          <w:rFonts w:ascii="宋体" w:hAnsi="宋体" w:cs="宋体" w:eastAsia="宋体" w:hint="default"/>
          <w:sz w:val="19"/>
          <w:szCs w:val="19"/>
        </w:rPr>
      </w:pPr>
    </w:p>
    <w:p>
      <w:pPr>
        <w:pStyle w:val="Heading8"/>
        <w:spacing w:line="240" w:lineRule="auto"/>
        <w:ind w:left="150" w:right="99"/>
        <w:jc w:val="left"/>
        <w:rPr>
          <w:b w:val="0"/>
          <w:bCs w:val="0"/>
        </w:rPr>
      </w:pPr>
      <w:r>
        <w:rPr>
          <w:rFonts w:ascii="Arial" w:hAnsi="Arial" w:cs="Arial" w:eastAsia="Arial" w:hint="default"/>
        </w:rPr>
        <w:t>2.2</w:t>
      </w:r>
      <w:r>
        <w:rPr>
          <w:rFonts w:ascii="Arial" w:hAnsi="Arial" w:cs="Arial" w:eastAsia="Arial" w:hint="default"/>
          <w:spacing w:val="51"/>
        </w:rPr>
        <w:t> </w:t>
      </w:r>
      <w:r>
        <w:rPr/>
        <w:t>固网业务</w:t>
      </w:r>
      <w:r>
        <w:rPr>
          <w:b w:val="0"/>
          <w:bCs w:val="0"/>
        </w:rPr>
      </w:r>
    </w:p>
    <w:p>
      <w:pPr>
        <w:spacing w:line="240" w:lineRule="auto" w:before="8"/>
        <w:rPr>
          <w:rFonts w:ascii="宋体" w:hAnsi="宋体" w:cs="宋体" w:eastAsia="宋体" w:hint="default"/>
          <w:b/>
          <w:bCs/>
          <w:sz w:val="19"/>
          <w:szCs w:val="19"/>
        </w:rPr>
      </w:pPr>
    </w:p>
    <w:p>
      <w:pPr>
        <w:pStyle w:val="BodyText"/>
        <w:spacing w:line="292" w:lineRule="exact"/>
        <w:ind w:left="570" w:right="0"/>
        <w:jc w:val="both"/>
      </w:pPr>
      <w:r>
        <w:rPr>
          <w:rFonts w:ascii="Arial" w:hAnsi="Arial" w:cs="Arial" w:eastAsia="Arial" w:hint="default"/>
        </w:rPr>
        <w:t>2009</w:t>
      </w:r>
      <w:r>
        <w:rPr>
          <w:rFonts w:ascii="Arial" w:hAnsi="Arial" w:cs="Arial" w:eastAsia="Arial" w:hint="default"/>
          <w:spacing w:val="-41"/>
        </w:rPr>
        <w:t> </w:t>
      </w:r>
      <w:r>
        <w:rPr/>
        <w:t>年本公司积极调整固网业务结构，加大宽带业务及创新型业务的拓展力度，努力减缓固</w:t>
      </w:r>
    </w:p>
    <w:p>
      <w:pPr>
        <w:pStyle w:val="BodyText"/>
        <w:spacing w:line="280" w:lineRule="exact"/>
        <w:ind w:left="570" w:right="0"/>
        <w:jc w:val="both"/>
        <w:rPr>
          <w:rFonts w:ascii="Arial" w:hAnsi="Arial" w:cs="Arial" w:eastAsia="Arial" w:hint="default"/>
        </w:rPr>
      </w:pPr>
      <w:r>
        <w:rPr/>
        <w:t>网传统语音业务持续下滑的趋势。剔除初装费递延收入后，完成固网营业收入人民币</w:t>
      </w:r>
      <w:r>
        <w:rPr>
          <w:spacing w:val="56"/>
        </w:rPr>
        <w:t> </w:t>
      </w:r>
      <w:r>
        <w:rPr>
          <w:rFonts w:ascii="Arial" w:hAnsi="Arial" w:cs="Arial" w:eastAsia="Arial" w:hint="default"/>
        </w:rPr>
        <w:t>875.6</w:t>
      </w:r>
    </w:p>
    <w:p>
      <w:pPr>
        <w:pStyle w:val="BodyText"/>
        <w:spacing w:line="292" w:lineRule="exact"/>
        <w:ind w:left="570" w:right="0"/>
        <w:jc w:val="both"/>
      </w:pPr>
      <w:r>
        <w:rPr/>
        <w:t>亿元，其中通信服务收入人民币</w:t>
      </w:r>
      <w:r>
        <w:rPr>
          <w:spacing w:val="-57"/>
        </w:rPr>
        <w:t> </w:t>
      </w:r>
      <w:r>
        <w:rPr>
          <w:rFonts w:ascii="Arial" w:hAnsi="Arial" w:cs="Arial" w:eastAsia="Arial" w:hint="default"/>
        </w:rPr>
        <w:t>814.7</w:t>
      </w:r>
      <w:r>
        <w:rPr>
          <w:rFonts w:ascii="Arial" w:hAnsi="Arial" w:cs="Arial" w:eastAsia="Arial" w:hint="default"/>
          <w:spacing w:val="-8"/>
        </w:rPr>
        <w:t> </w:t>
      </w:r>
      <w:r>
        <w:rPr/>
        <w:t>亿元，比上年下降</w:t>
      </w:r>
      <w:r>
        <w:rPr>
          <w:spacing w:val="-56"/>
        </w:rPr>
        <w:t> </w:t>
      </w:r>
      <w:r>
        <w:rPr>
          <w:rFonts w:ascii="Arial" w:hAnsi="Arial" w:cs="Arial" w:eastAsia="Arial" w:hint="default"/>
        </w:rPr>
        <w:t>8.5%</w:t>
      </w:r>
      <w:r>
        <w:rPr/>
        <w:t>。</w:t>
      </w:r>
    </w:p>
    <w:p>
      <w:pPr>
        <w:spacing w:line="240" w:lineRule="auto" w:before="2"/>
        <w:rPr>
          <w:rFonts w:ascii="宋体" w:hAnsi="宋体" w:cs="宋体" w:eastAsia="宋体" w:hint="default"/>
          <w:sz w:val="20"/>
          <w:szCs w:val="20"/>
        </w:rPr>
      </w:pPr>
    </w:p>
    <w:p>
      <w:pPr>
        <w:pStyle w:val="BodyText"/>
        <w:spacing w:line="232" w:lineRule="auto"/>
        <w:ind w:left="570" w:right="215"/>
        <w:jc w:val="both"/>
      </w:pPr>
      <w:r>
        <w:rPr/>
        <w:t>随着固网区间资费水平的下降以及无线市话业务持续下滑，本公司虽利用全业务经营优势，</w:t>
      </w:r>
      <w:r>
        <w:rPr>
          <w:spacing w:val="-50"/>
        </w:rPr>
        <w:t> </w:t>
      </w:r>
      <w:r>
        <w:rPr>
          <w:spacing w:val="-50"/>
        </w:rPr>
      </w:r>
      <w:r>
        <w:rPr/>
        <w:t>通过多业务捆绑和话务量营销等方式，努力减缓传统固话业务下滑趋势，但全年本地电话用</w:t>
      </w:r>
      <w:r>
        <w:rPr>
          <w:spacing w:val="-50"/>
        </w:rPr>
        <w:t> </w:t>
      </w:r>
      <w:r>
        <w:rPr>
          <w:spacing w:val="-50"/>
        </w:rPr>
      </w:r>
      <w:r>
        <w:rPr/>
        <w:t>户流失仍较为明显，本地电话业务收入持续下降。全年净减少本地电话用户 </w:t>
      </w:r>
      <w:r>
        <w:rPr>
          <w:rFonts w:ascii="Arial" w:hAnsi="Arial" w:cs="Arial" w:eastAsia="Arial" w:hint="default"/>
        </w:rPr>
        <w:t>674.8</w:t>
      </w:r>
      <w:r>
        <w:rPr>
          <w:rFonts w:ascii="Arial" w:hAnsi="Arial" w:cs="Arial" w:eastAsia="Arial" w:hint="default"/>
          <w:spacing w:val="9"/>
        </w:rPr>
        <w:t> </w:t>
      </w:r>
      <w:r>
        <w:rPr/>
        <w:t>万户，期</w:t>
      </w:r>
    </w:p>
    <w:p>
      <w:pPr>
        <w:pStyle w:val="BodyText"/>
        <w:spacing w:line="280" w:lineRule="exact" w:before="10"/>
        <w:ind w:left="570" w:right="106" w:hanging="1"/>
        <w:jc w:val="left"/>
      </w:pPr>
      <w:r>
        <w:rPr>
          <w:w w:val="99"/>
        </w:rPr>
        <w:t>末用户达到</w:t>
      </w:r>
      <w:r>
        <w:rPr>
          <w:spacing w:val="-59"/>
          <w:w w:val="99"/>
        </w:rPr>
        <w:t> </w:t>
      </w:r>
      <w:r>
        <w:rPr>
          <w:rFonts w:ascii="Arial" w:hAnsi="Arial" w:cs="Arial" w:eastAsia="Arial" w:hint="default"/>
          <w:w w:val="99"/>
        </w:rPr>
        <w:t>10,282.2</w:t>
      </w:r>
      <w:r>
        <w:rPr>
          <w:rFonts w:ascii="Arial" w:hAnsi="Arial" w:cs="Arial" w:eastAsia="Arial" w:hint="default"/>
          <w:spacing w:val="-11"/>
          <w:w w:val="99"/>
        </w:rPr>
        <w:t> </w:t>
      </w:r>
      <w:r>
        <w:rPr>
          <w:spacing w:val="-13"/>
          <w:w w:val="99"/>
        </w:rPr>
        <w:t>万户；本地电话业务</w:t>
      </w:r>
      <w:r>
        <w:rPr>
          <w:spacing w:val="-60"/>
          <w:w w:val="99"/>
        </w:rPr>
        <w:t> </w:t>
      </w:r>
      <w:r>
        <w:rPr>
          <w:rFonts w:ascii="Arial" w:hAnsi="Arial" w:cs="Arial" w:eastAsia="Arial" w:hint="default"/>
          <w:spacing w:val="-1"/>
          <w:w w:val="99"/>
        </w:rPr>
        <w:t>ARPU</w:t>
      </w:r>
      <w:r>
        <w:rPr>
          <w:rFonts w:ascii="Arial" w:hAnsi="Arial" w:cs="Arial" w:eastAsia="Arial" w:hint="default"/>
          <w:spacing w:val="-10"/>
          <w:w w:val="99"/>
        </w:rPr>
        <w:t> </w:t>
      </w:r>
      <w:r>
        <w:rPr>
          <w:w w:val="99"/>
        </w:rPr>
        <w:t>由上年的人民币</w:t>
      </w:r>
      <w:r>
        <w:rPr>
          <w:spacing w:val="-60"/>
          <w:w w:val="99"/>
        </w:rPr>
        <w:t> </w:t>
      </w:r>
      <w:r>
        <w:rPr>
          <w:rFonts w:ascii="Arial" w:hAnsi="Arial" w:cs="Arial" w:eastAsia="Arial" w:hint="default"/>
          <w:w w:val="99"/>
        </w:rPr>
        <w:t>35.4</w:t>
      </w:r>
      <w:r>
        <w:rPr>
          <w:rFonts w:ascii="Arial" w:hAnsi="Arial" w:cs="Arial" w:eastAsia="Arial" w:hint="default"/>
          <w:spacing w:val="-11"/>
          <w:w w:val="99"/>
        </w:rPr>
        <w:t> </w:t>
      </w:r>
      <w:r>
        <w:rPr>
          <w:w w:val="99"/>
        </w:rPr>
        <w:t>元降至人民币</w:t>
      </w:r>
      <w:r>
        <w:rPr>
          <w:spacing w:val="-59"/>
          <w:w w:val="99"/>
        </w:rPr>
        <w:t> </w:t>
      </w:r>
      <w:r>
        <w:rPr>
          <w:rFonts w:ascii="Arial" w:hAnsi="Arial" w:cs="Arial" w:eastAsia="Arial" w:hint="default"/>
          <w:w w:val="99"/>
        </w:rPr>
        <w:t>31.4</w:t>
      </w:r>
      <w:r>
        <w:rPr>
          <w:rFonts w:ascii="Arial" w:hAnsi="Arial" w:cs="Arial" w:eastAsia="Arial" w:hint="default"/>
          <w:spacing w:val="-11"/>
          <w:w w:val="99"/>
        </w:rPr>
        <w:t> </w:t>
      </w:r>
      <w:r>
        <w:rPr>
          <w:w w:val="99"/>
        </w:rPr>
        <w:t>元； </w:t>
      </w:r>
      <w:r>
        <w:rPr/>
        <w:t>本地电话业务收入为人民币</w:t>
      </w:r>
      <w:r>
        <w:rPr>
          <w:spacing w:val="-57"/>
        </w:rPr>
        <w:t> </w:t>
      </w:r>
      <w:r>
        <w:rPr>
          <w:rFonts w:ascii="Arial" w:hAnsi="Arial" w:cs="Arial" w:eastAsia="Arial" w:hint="default"/>
        </w:rPr>
        <w:t>419.2</w:t>
      </w:r>
      <w:r>
        <w:rPr>
          <w:rFonts w:ascii="Arial" w:hAnsi="Arial" w:cs="Arial" w:eastAsia="Arial" w:hint="default"/>
          <w:spacing w:val="-8"/>
        </w:rPr>
        <w:t> </w:t>
      </w:r>
      <w:r>
        <w:rPr/>
        <w:t>亿元，比上年下降</w:t>
      </w:r>
      <w:r>
        <w:rPr>
          <w:spacing w:val="-57"/>
        </w:rPr>
        <w:t> </w:t>
      </w:r>
      <w:r>
        <w:rPr>
          <w:rFonts w:ascii="Arial" w:hAnsi="Arial" w:cs="Arial" w:eastAsia="Arial" w:hint="default"/>
        </w:rPr>
        <w:t>16.6%</w:t>
      </w:r>
      <w:r>
        <w:rPr/>
        <w:t>。</w:t>
      </w:r>
    </w:p>
    <w:p>
      <w:pPr>
        <w:spacing w:line="240" w:lineRule="auto" w:before="13"/>
        <w:rPr>
          <w:rFonts w:ascii="宋体" w:hAnsi="宋体" w:cs="宋体" w:eastAsia="宋体" w:hint="default"/>
          <w:sz w:val="19"/>
          <w:szCs w:val="19"/>
        </w:rPr>
      </w:pPr>
    </w:p>
    <w:p>
      <w:pPr>
        <w:pStyle w:val="BodyText"/>
        <w:spacing w:line="225" w:lineRule="auto"/>
        <w:ind w:left="569" w:right="215" w:firstLine="1"/>
        <w:jc w:val="both"/>
      </w:pPr>
      <w:r>
        <w:rPr/>
        <w:t>公司固网宽带业务继续保持快速发展，公司在大力推进网络提速的同时，丰富应用内容，采</w:t>
      </w:r>
      <w:r>
        <w:rPr>
          <w:spacing w:val="-51"/>
        </w:rPr>
        <w:t> </w:t>
      </w:r>
      <w:r>
        <w:rPr>
          <w:spacing w:val="-51"/>
        </w:rPr>
      </w:r>
      <w:r>
        <w:rPr/>
        <w:t>取多种营销策略，加快用户发展，稳定用户</w:t>
      </w:r>
      <w:r>
        <w:rPr>
          <w:spacing w:val="-36"/>
        </w:rPr>
        <w:t> </w:t>
      </w:r>
      <w:r>
        <w:rPr>
          <w:rFonts w:ascii="Arial" w:hAnsi="Arial" w:cs="Arial" w:eastAsia="Arial" w:hint="default"/>
        </w:rPr>
        <w:t>ARPU</w:t>
      </w:r>
      <w:r>
        <w:rPr/>
        <w:t>。全年净增宽带用户</w:t>
      </w:r>
      <w:r>
        <w:rPr>
          <w:spacing w:val="-36"/>
        </w:rPr>
        <w:t> </w:t>
      </w:r>
      <w:r>
        <w:rPr>
          <w:rFonts w:ascii="Arial" w:hAnsi="Arial" w:cs="Arial" w:eastAsia="Arial" w:hint="default"/>
        </w:rPr>
        <w:t>846.9</w:t>
      </w:r>
      <w:r>
        <w:rPr>
          <w:rFonts w:ascii="Arial" w:hAnsi="Arial" w:cs="Arial" w:eastAsia="Arial" w:hint="default"/>
          <w:spacing w:val="13"/>
        </w:rPr>
        <w:t> </w:t>
      </w:r>
      <w:r>
        <w:rPr/>
        <w:t>万户，期末用</w:t>
      </w:r>
      <w:r>
        <w:rPr>
          <w:w w:val="99"/>
        </w:rPr>
        <w:t> </w:t>
      </w:r>
      <w:r>
        <w:rPr/>
        <w:t>户达到</w:t>
      </w:r>
      <w:r>
        <w:rPr>
          <w:spacing w:val="-48"/>
        </w:rPr>
        <w:t> </w:t>
      </w:r>
      <w:r>
        <w:rPr>
          <w:rFonts w:ascii="Arial" w:hAnsi="Arial" w:cs="Arial" w:eastAsia="Arial" w:hint="default"/>
        </w:rPr>
        <w:t>3,855.0</w:t>
      </w:r>
      <w:r>
        <w:rPr>
          <w:rFonts w:ascii="Arial" w:hAnsi="Arial" w:cs="Arial" w:eastAsia="Arial" w:hint="default"/>
          <w:spacing w:val="1"/>
        </w:rPr>
        <w:t> </w:t>
      </w:r>
      <w:r>
        <w:rPr/>
        <w:t>万户；宽带业务</w:t>
      </w:r>
      <w:r>
        <w:rPr>
          <w:spacing w:val="-48"/>
        </w:rPr>
        <w:t> </w:t>
      </w:r>
      <w:r>
        <w:rPr>
          <w:rFonts w:ascii="Arial" w:hAnsi="Arial" w:cs="Arial" w:eastAsia="Arial" w:hint="default"/>
        </w:rPr>
        <w:t>ARPU</w:t>
      </w:r>
      <w:r>
        <w:rPr>
          <w:rFonts w:ascii="Arial" w:hAnsi="Arial" w:cs="Arial" w:eastAsia="Arial" w:hint="default"/>
          <w:spacing w:val="1"/>
        </w:rPr>
        <w:t> </w:t>
      </w:r>
      <w:r>
        <w:rPr/>
        <w:t>由上年的人民币</w:t>
      </w:r>
      <w:r>
        <w:rPr>
          <w:spacing w:val="-48"/>
        </w:rPr>
        <w:t> </w:t>
      </w:r>
      <w:r>
        <w:rPr>
          <w:rFonts w:ascii="Arial" w:hAnsi="Arial" w:cs="Arial" w:eastAsia="Arial" w:hint="default"/>
        </w:rPr>
        <w:t>63.6</w:t>
      </w:r>
      <w:r>
        <w:rPr>
          <w:rFonts w:ascii="Arial" w:hAnsi="Arial" w:cs="Arial" w:eastAsia="Arial" w:hint="default"/>
          <w:spacing w:val="1"/>
        </w:rPr>
        <w:t> </w:t>
      </w:r>
      <w:r>
        <w:rPr/>
        <w:t>元降至人民币</w:t>
      </w:r>
      <w:r>
        <w:rPr>
          <w:spacing w:val="-48"/>
        </w:rPr>
        <w:t> </w:t>
      </w:r>
      <w:r>
        <w:rPr>
          <w:rFonts w:ascii="Arial" w:hAnsi="Arial" w:cs="Arial" w:eastAsia="Arial" w:hint="default"/>
        </w:rPr>
        <w:t>57.2</w:t>
      </w:r>
      <w:r>
        <w:rPr>
          <w:rFonts w:ascii="Arial" w:hAnsi="Arial" w:cs="Arial" w:eastAsia="Arial" w:hint="default"/>
          <w:spacing w:val="3"/>
        </w:rPr>
        <w:t> </w:t>
      </w:r>
      <w:r>
        <w:rPr/>
        <w:t>元；宽带服</w:t>
      </w:r>
      <w:r>
        <w:rPr>
          <w:w w:val="99"/>
        </w:rPr>
        <w:t> </w:t>
      </w:r>
      <w:r>
        <w:rPr>
          <w:spacing w:val="2"/>
        </w:rPr>
        <w:t>务收入达到人民币 </w:t>
      </w:r>
      <w:r>
        <w:rPr>
          <w:rFonts w:ascii="Arial" w:hAnsi="Arial" w:cs="Arial" w:eastAsia="Arial" w:hint="default"/>
        </w:rPr>
        <w:t>246.4 </w:t>
      </w:r>
      <w:r>
        <w:rPr>
          <w:spacing w:val="2"/>
        </w:rPr>
        <w:t>亿元，比上年增长</w:t>
      </w:r>
      <w:r>
        <w:rPr>
          <w:spacing w:val="-2"/>
        </w:rPr>
        <w:t> </w:t>
      </w:r>
      <w:r>
        <w:rPr>
          <w:rFonts w:ascii="Arial" w:hAnsi="Arial" w:cs="Arial" w:eastAsia="Arial" w:hint="default"/>
          <w:spacing w:val="2"/>
        </w:rPr>
        <w:t>14.0%</w:t>
      </w:r>
      <w:r>
        <w:rPr>
          <w:spacing w:val="2"/>
        </w:rPr>
        <w:t>，占固网通信服务收入的比重由上年的</w:t>
      </w:r>
      <w:r>
        <w:rPr>
          <w:spacing w:val="3"/>
          <w:w w:val="99"/>
        </w:rPr>
        <w:t> </w:t>
      </w:r>
      <w:r>
        <w:rPr>
          <w:rFonts w:ascii="Arial" w:hAnsi="Arial" w:cs="Arial" w:eastAsia="Arial" w:hint="default"/>
        </w:rPr>
        <w:t>23.8%</w:t>
      </w:r>
      <w:r>
        <w:rPr/>
        <w:t>上升至</w:t>
      </w:r>
      <w:r>
        <w:rPr>
          <w:spacing w:val="-60"/>
        </w:rPr>
        <w:t> </w:t>
      </w:r>
      <w:r>
        <w:rPr>
          <w:rFonts w:ascii="Arial" w:hAnsi="Arial" w:cs="Arial" w:eastAsia="Arial" w:hint="default"/>
        </w:rPr>
        <w:t>30.1%</w:t>
      </w:r>
      <w:r>
        <w:rPr/>
        <w:t>。</w:t>
      </w:r>
    </w:p>
    <w:p>
      <w:pPr>
        <w:spacing w:after="0" w:line="225" w:lineRule="auto"/>
        <w:jc w:val="both"/>
        <w:sectPr>
          <w:pgSz w:w="11910" w:h="16840"/>
          <w:pgMar w:header="587" w:footer="774" w:top="960" w:bottom="960" w:left="1180" w:right="1060"/>
        </w:sectPr>
      </w:pPr>
    </w:p>
    <w:p>
      <w:pPr>
        <w:spacing w:line="240" w:lineRule="auto" w:before="9"/>
        <w:rPr>
          <w:rFonts w:ascii="宋体" w:hAnsi="宋体" w:cs="宋体" w:eastAsia="宋体" w:hint="default"/>
          <w:sz w:val="12"/>
          <w:szCs w:val="12"/>
        </w:rPr>
      </w:pPr>
    </w:p>
    <w:p>
      <w:pPr>
        <w:pStyle w:val="Heading8"/>
        <w:spacing w:line="240" w:lineRule="auto" w:before="31"/>
        <w:ind w:right="99"/>
        <w:jc w:val="left"/>
        <w:rPr>
          <w:b w:val="0"/>
          <w:bCs w:val="0"/>
        </w:rPr>
      </w:pPr>
      <w:r>
        <w:rPr>
          <w:rFonts w:ascii="Arial" w:hAnsi="Arial" w:cs="Arial" w:eastAsia="Arial" w:hint="default"/>
        </w:rPr>
        <w:t>3</w:t>
      </w:r>
      <w:r>
        <w:rPr/>
        <w:t>、</w:t>
      </w:r>
      <w:r>
        <w:rPr>
          <w:spacing w:val="-36"/>
        </w:rPr>
        <w:t> </w:t>
      </w:r>
      <w:r>
        <w:rPr/>
        <w:t>成本费用</w:t>
      </w:r>
      <w:r>
        <w:rPr>
          <w:b w:val="0"/>
          <w:bCs w:val="0"/>
        </w:rPr>
      </w:r>
    </w:p>
    <w:p>
      <w:pPr>
        <w:spacing w:line="240" w:lineRule="auto" w:before="7"/>
        <w:rPr>
          <w:rFonts w:ascii="宋体" w:hAnsi="宋体" w:cs="宋体" w:eastAsia="宋体" w:hint="default"/>
          <w:b/>
          <w:bCs/>
          <w:sz w:val="19"/>
          <w:szCs w:val="19"/>
        </w:rPr>
      </w:pPr>
    </w:p>
    <w:p>
      <w:pPr>
        <w:pStyle w:val="BodyText"/>
        <w:spacing w:line="240" w:lineRule="auto"/>
        <w:ind w:left="590" w:right="99"/>
        <w:jc w:val="left"/>
      </w:pPr>
      <w:r>
        <w:rPr>
          <w:rFonts w:ascii="Arial" w:hAnsi="Arial" w:cs="Arial" w:eastAsia="Arial" w:hint="default"/>
        </w:rPr>
        <w:t>2009</w:t>
      </w:r>
      <w:r>
        <w:rPr>
          <w:rFonts w:ascii="Arial" w:hAnsi="Arial" w:cs="Arial" w:eastAsia="Arial" w:hint="default"/>
          <w:spacing w:val="-8"/>
        </w:rPr>
        <w:t> </w:t>
      </w:r>
      <w:r>
        <w:rPr/>
        <w:t>年本公司成本费用合计人民币</w:t>
      </w:r>
      <w:r>
        <w:rPr>
          <w:spacing w:val="-56"/>
        </w:rPr>
        <w:t> </w:t>
      </w:r>
      <w:r>
        <w:rPr>
          <w:rFonts w:ascii="Arial" w:hAnsi="Arial" w:cs="Arial" w:eastAsia="Arial" w:hint="default"/>
        </w:rPr>
        <w:t>1,416.0</w:t>
      </w:r>
      <w:r>
        <w:rPr>
          <w:rFonts w:ascii="Arial" w:hAnsi="Arial" w:cs="Arial" w:eastAsia="Arial" w:hint="default"/>
          <w:spacing w:val="-8"/>
        </w:rPr>
        <w:t> </w:t>
      </w:r>
      <w:r>
        <w:rPr/>
        <w:t>亿元。</w:t>
      </w:r>
    </w:p>
    <w:p>
      <w:pPr>
        <w:spacing w:line="240" w:lineRule="auto" w:before="2"/>
        <w:rPr>
          <w:rFonts w:ascii="宋体" w:hAnsi="宋体" w:cs="宋体" w:eastAsia="宋体" w:hint="default"/>
          <w:sz w:val="22"/>
          <w:szCs w:val="22"/>
        </w:rPr>
      </w:pPr>
    </w:p>
    <w:p>
      <w:pPr>
        <w:pStyle w:val="BodyText"/>
        <w:spacing w:line="280" w:lineRule="exact"/>
        <w:ind w:left="570" w:right="206" w:firstLine="20"/>
        <w:jc w:val="left"/>
      </w:pPr>
      <w:r>
        <w:rPr/>
        <w:t>下表列出了</w:t>
      </w:r>
      <w:r>
        <w:rPr>
          <w:spacing w:val="-67"/>
        </w:rPr>
        <w:t> </w:t>
      </w:r>
      <w:r>
        <w:rPr>
          <w:rFonts w:ascii="Arial" w:hAnsi="Arial" w:cs="Arial" w:eastAsia="Arial" w:hint="default"/>
        </w:rPr>
        <w:t>2009</w:t>
      </w:r>
      <w:r>
        <w:rPr>
          <w:rFonts w:ascii="Arial" w:hAnsi="Arial" w:cs="Arial" w:eastAsia="Arial" w:hint="default"/>
          <w:spacing w:val="-19"/>
        </w:rPr>
        <w:t> </w:t>
      </w:r>
      <w:r>
        <w:rPr/>
        <w:t>年和</w:t>
      </w:r>
      <w:r>
        <w:rPr>
          <w:spacing w:val="-68"/>
        </w:rPr>
        <w:t> </w:t>
      </w:r>
      <w:r>
        <w:rPr>
          <w:rFonts w:ascii="Arial" w:hAnsi="Arial" w:cs="Arial" w:eastAsia="Arial" w:hint="default"/>
        </w:rPr>
        <w:t>2008</w:t>
      </w:r>
      <w:r>
        <w:rPr>
          <w:rFonts w:ascii="Arial" w:hAnsi="Arial" w:cs="Arial" w:eastAsia="Arial" w:hint="default"/>
          <w:spacing w:val="-19"/>
        </w:rPr>
        <w:t> </w:t>
      </w:r>
      <w:r>
        <w:rPr/>
        <w:t>年本公司主要成本项目及其他以及每个项目所占调整后通信服务</w:t>
      </w:r>
      <w:r>
        <w:rPr>
          <w:w w:val="99"/>
        </w:rPr>
        <w:t> </w:t>
      </w:r>
      <w:r>
        <w:rPr/>
        <w:t>收入的百分比变化情况：</w:t>
      </w:r>
    </w:p>
    <w:p>
      <w:pPr>
        <w:spacing w:line="240" w:lineRule="auto" w:before="5"/>
        <w:rPr>
          <w:rFonts w:ascii="宋体" w:hAnsi="宋体" w:cs="宋体" w:eastAsia="宋体" w:hint="default"/>
          <w:sz w:val="21"/>
          <w:szCs w:val="21"/>
        </w:rPr>
      </w:pPr>
    </w:p>
    <w:tbl>
      <w:tblPr>
        <w:tblW w:w="0" w:type="auto"/>
        <w:jc w:val="left"/>
        <w:tblInd w:w="561" w:type="dxa"/>
        <w:tblLayout w:type="fixed"/>
        <w:tblCellMar>
          <w:top w:w="0" w:type="dxa"/>
          <w:left w:w="0" w:type="dxa"/>
          <w:bottom w:w="0" w:type="dxa"/>
          <w:right w:w="0" w:type="dxa"/>
        </w:tblCellMar>
        <w:tblLook w:val="01E0"/>
      </w:tblPr>
      <w:tblGrid>
        <w:gridCol w:w="3053"/>
        <w:gridCol w:w="1150"/>
        <w:gridCol w:w="1621"/>
        <w:gridCol w:w="1124"/>
        <w:gridCol w:w="1672"/>
      </w:tblGrid>
      <w:tr>
        <w:trPr>
          <w:trHeight w:val="625" w:hRule="exact"/>
        </w:trPr>
        <w:tc>
          <w:tcPr>
            <w:tcW w:w="3053" w:type="dxa"/>
            <w:vMerge w:val="restart"/>
            <w:tcBorders>
              <w:top w:val="single" w:sz="17"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733" w:right="0"/>
              <w:jc w:val="left"/>
              <w:rPr>
                <w:rFonts w:ascii="宋体" w:hAnsi="宋体" w:cs="宋体" w:eastAsia="宋体" w:hint="default"/>
                <w:sz w:val="20"/>
                <w:szCs w:val="20"/>
              </w:rPr>
            </w:pPr>
            <w:r>
              <w:rPr>
                <w:rFonts w:ascii="宋体" w:hAnsi="宋体" w:cs="宋体" w:eastAsia="宋体" w:hint="default"/>
                <w:sz w:val="20"/>
                <w:szCs w:val="20"/>
              </w:rPr>
              <w:t>（人民币百万元）</w:t>
            </w:r>
          </w:p>
        </w:tc>
        <w:tc>
          <w:tcPr>
            <w:tcW w:w="2771" w:type="dxa"/>
            <w:gridSpan w:val="2"/>
            <w:tcBorders>
              <w:top w:val="single" w:sz="17" w:space="0" w:color="000000"/>
              <w:left w:val="single" w:sz="4" w:space="0" w:color="000000"/>
              <w:bottom w:val="single" w:sz="8" w:space="0" w:color="000000"/>
              <w:right w:val="single" w:sz="4" w:space="0" w:color="000000"/>
            </w:tcBorders>
          </w:tcPr>
          <w:p>
            <w:pPr>
              <w:pStyle w:val="TableParagraph"/>
              <w:spacing w:line="240" w:lineRule="auto" w:before="136"/>
              <w:ind w:right="1"/>
              <w:jc w:val="center"/>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2796" w:type="dxa"/>
            <w:gridSpan w:val="2"/>
            <w:tcBorders>
              <w:top w:val="single" w:sz="17" w:space="0" w:color="000000"/>
              <w:left w:val="single" w:sz="4" w:space="0" w:color="000000"/>
              <w:bottom w:val="single" w:sz="8" w:space="0" w:color="000000"/>
              <w:right w:val="nil" w:sz="6" w:space="0" w:color="auto"/>
            </w:tcBorders>
          </w:tcPr>
          <w:p>
            <w:pPr>
              <w:pStyle w:val="TableParagraph"/>
              <w:spacing w:line="240" w:lineRule="auto" w:before="136"/>
              <w:ind w:left="331" w:right="0"/>
              <w:jc w:val="left"/>
              <w:rPr>
                <w:rFonts w:ascii="Arial" w:hAnsi="Arial" w:cs="Arial" w:eastAsia="Arial" w:hint="default"/>
                <w:sz w:val="20"/>
                <w:szCs w:val="20"/>
              </w:rPr>
            </w:pPr>
            <w:r>
              <w:rPr>
                <w:rFonts w:ascii="Arial" w:hAnsi="Arial" w:cs="Arial" w:eastAsia="Arial" w:hint="default"/>
                <w:sz w:val="20"/>
                <w:szCs w:val="20"/>
              </w:rPr>
              <w:t>2008 </w:t>
            </w:r>
            <w:r>
              <w:rPr>
                <w:rFonts w:ascii="宋体" w:hAnsi="宋体" w:cs="宋体" w:eastAsia="宋体" w:hint="default"/>
                <w:sz w:val="20"/>
                <w:szCs w:val="20"/>
              </w:rPr>
              <w:t>年</w:t>
            </w:r>
            <w:r>
              <w:rPr>
                <w:rFonts w:ascii="Arial" w:hAnsi="Arial" w:cs="Arial" w:eastAsia="Arial" w:hint="default"/>
                <w:sz w:val="20"/>
                <w:szCs w:val="20"/>
              </w:rPr>
              <w:t>(</w:t>
            </w:r>
            <w:r>
              <w:rPr>
                <w:rFonts w:ascii="宋体" w:hAnsi="宋体" w:cs="宋体" w:eastAsia="宋体" w:hint="default"/>
                <w:sz w:val="20"/>
                <w:szCs w:val="20"/>
              </w:rPr>
              <w:t>经重列</w:t>
            </w:r>
            <w:r>
              <w:rPr>
                <w:rFonts w:ascii="Arial" w:hAnsi="Arial" w:cs="Arial" w:eastAsia="Arial" w:hint="default"/>
                <w:sz w:val="20"/>
                <w:szCs w:val="20"/>
              </w:rPr>
              <w:t>)(</w:t>
            </w:r>
            <w:r>
              <w:rPr>
                <w:rFonts w:ascii="宋体" w:hAnsi="宋体" w:cs="宋体" w:eastAsia="宋体" w:hint="default"/>
                <w:sz w:val="20"/>
                <w:szCs w:val="20"/>
              </w:rPr>
              <w:t>附注</w:t>
            </w:r>
            <w:r>
              <w:rPr>
                <w:rFonts w:ascii="宋体" w:hAnsi="宋体" w:cs="宋体" w:eastAsia="宋体" w:hint="default"/>
                <w:spacing w:val="-59"/>
                <w:sz w:val="20"/>
                <w:szCs w:val="20"/>
              </w:rPr>
              <w:t> </w:t>
            </w:r>
            <w:r>
              <w:rPr>
                <w:rFonts w:ascii="Arial" w:hAnsi="Arial" w:cs="Arial" w:eastAsia="Arial" w:hint="default"/>
                <w:sz w:val="20"/>
                <w:szCs w:val="20"/>
              </w:rPr>
              <w:t>1)</w:t>
            </w:r>
          </w:p>
        </w:tc>
      </w:tr>
      <w:tr>
        <w:trPr>
          <w:trHeight w:val="690" w:hRule="exact"/>
        </w:trPr>
        <w:tc>
          <w:tcPr>
            <w:tcW w:w="3053" w:type="dxa"/>
            <w:vMerge/>
            <w:tcBorders>
              <w:left w:val="nil" w:sz="6" w:space="0" w:color="auto"/>
              <w:bottom w:val="single" w:sz="4" w:space="0" w:color="000000"/>
              <w:right w:val="single" w:sz="4" w:space="0" w:color="000000"/>
            </w:tcBorders>
          </w:tcPr>
          <w:p>
            <w:pPr/>
          </w:p>
        </w:tc>
        <w:tc>
          <w:tcPr>
            <w:tcW w:w="1150"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176"/>
              <w:ind w:left="168" w:right="0"/>
              <w:jc w:val="left"/>
              <w:rPr>
                <w:rFonts w:ascii="宋体" w:hAnsi="宋体" w:cs="宋体" w:eastAsia="宋体" w:hint="default"/>
                <w:sz w:val="20"/>
                <w:szCs w:val="20"/>
              </w:rPr>
            </w:pPr>
            <w:r>
              <w:rPr>
                <w:rFonts w:ascii="宋体" w:hAnsi="宋体" w:cs="宋体" w:eastAsia="宋体" w:hint="default"/>
                <w:sz w:val="20"/>
                <w:szCs w:val="20"/>
              </w:rPr>
              <w:t>累计完成</w:t>
            </w:r>
          </w:p>
        </w:tc>
        <w:tc>
          <w:tcPr>
            <w:tcW w:w="1621" w:type="dxa"/>
            <w:tcBorders>
              <w:top w:val="single" w:sz="8" w:space="0" w:color="000000"/>
              <w:left w:val="nil" w:sz="6" w:space="0" w:color="auto"/>
              <w:bottom w:val="single" w:sz="4" w:space="0" w:color="000000"/>
              <w:right w:val="single" w:sz="4" w:space="0" w:color="000000"/>
            </w:tcBorders>
          </w:tcPr>
          <w:p>
            <w:pPr>
              <w:pStyle w:val="TableParagraph"/>
              <w:spacing w:line="260" w:lineRule="exact" w:before="72"/>
              <w:ind w:left="209" w:right="103" w:hanging="100"/>
              <w:jc w:val="left"/>
              <w:rPr>
                <w:rFonts w:ascii="宋体" w:hAnsi="宋体" w:cs="宋体" w:eastAsia="宋体" w:hint="default"/>
                <w:sz w:val="20"/>
                <w:szCs w:val="20"/>
              </w:rPr>
            </w:pPr>
            <w:r>
              <w:rPr>
                <w:rFonts w:ascii="宋体" w:hAnsi="宋体" w:cs="宋体" w:eastAsia="宋体" w:hint="default"/>
                <w:sz w:val="20"/>
                <w:szCs w:val="20"/>
              </w:rPr>
              <w:t>占调整后通信服</w:t>
            </w:r>
            <w:r>
              <w:rPr>
                <w:rFonts w:ascii="宋体" w:hAnsi="宋体" w:cs="宋体" w:eastAsia="宋体" w:hint="default"/>
                <w:w w:val="100"/>
                <w:sz w:val="20"/>
                <w:szCs w:val="20"/>
              </w:rPr>
              <w:t> </w:t>
            </w:r>
            <w:r>
              <w:rPr>
                <w:rFonts w:ascii="宋体" w:hAnsi="宋体" w:cs="宋体" w:eastAsia="宋体" w:hint="default"/>
                <w:sz w:val="20"/>
                <w:szCs w:val="20"/>
              </w:rPr>
              <w:t>务收入百分比</w:t>
            </w:r>
          </w:p>
        </w:tc>
        <w:tc>
          <w:tcPr>
            <w:tcW w:w="1124" w:type="dxa"/>
            <w:tcBorders>
              <w:top w:val="single" w:sz="8" w:space="0" w:color="000000"/>
              <w:left w:val="single" w:sz="4" w:space="0" w:color="000000"/>
              <w:bottom w:val="single" w:sz="4" w:space="0" w:color="000000"/>
              <w:right w:val="nil" w:sz="6" w:space="0" w:color="auto"/>
            </w:tcBorders>
          </w:tcPr>
          <w:p>
            <w:pPr>
              <w:pStyle w:val="TableParagraph"/>
              <w:spacing w:line="240" w:lineRule="auto" w:before="176"/>
              <w:ind w:right="168"/>
              <w:jc w:val="right"/>
              <w:rPr>
                <w:rFonts w:ascii="宋体" w:hAnsi="宋体" w:cs="宋体" w:eastAsia="宋体" w:hint="default"/>
                <w:sz w:val="20"/>
                <w:szCs w:val="20"/>
              </w:rPr>
            </w:pPr>
            <w:r>
              <w:rPr>
                <w:rFonts w:ascii="宋体" w:hAnsi="宋体" w:cs="宋体" w:eastAsia="宋体" w:hint="default"/>
                <w:sz w:val="20"/>
                <w:szCs w:val="20"/>
              </w:rPr>
              <w:t>累计完成</w:t>
            </w:r>
          </w:p>
        </w:tc>
        <w:tc>
          <w:tcPr>
            <w:tcW w:w="1672" w:type="dxa"/>
            <w:tcBorders>
              <w:top w:val="single" w:sz="8" w:space="0" w:color="000000"/>
              <w:left w:val="nil" w:sz="6" w:space="0" w:color="auto"/>
              <w:bottom w:val="single" w:sz="4" w:space="0" w:color="000000"/>
              <w:right w:val="nil" w:sz="6" w:space="0" w:color="auto"/>
            </w:tcBorders>
          </w:tcPr>
          <w:p>
            <w:pPr>
              <w:pStyle w:val="TableParagraph"/>
              <w:spacing w:line="260" w:lineRule="exact" w:before="72"/>
              <w:ind w:left="226" w:right="143" w:hanging="101"/>
              <w:jc w:val="left"/>
              <w:rPr>
                <w:rFonts w:ascii="宋体" w:hAnsi="宋体" w:cs="宋体" w:eastAsia="宋体" w:hint="default"/>
                <w:sz w:val="20"/>
                <w:szCs w:val="20"/>
              </w:rPr>
            </w:pPr>
            <w:r>
              <w:rPr>
                <w:rFonts w:ascii="宋体" w:hAnsi="宋体" w:cs="宋体" w:eastAsia="宋体" w:hint="default"/>
                <w:spacing w:val="-1"/>
                <w:sz w:val="20"/>
                <w:szCs w:val="20"/>
              </w:rPr>
              <w:t>占调整后通信服</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务收入百分比</w:t>
            </w:r>
          </w:p>
        </w:tc>
      </w:tr>
      <w:tr>
        <w:trPr>
          <w:trHeight w:val="294" w:hRule="exact"/>
        </w:trPr>
        <w:tc>
          <w:tcPr>
            <w:tcW w:w="3053" w:type="dxa"/>
            <w:tcBorders>
              <w:top w:val="single" w:sz="4" w:space="0" w:color="000000"/>
              <w:left w:val="nil" w:sz="6" w:space="0" w:color="auto"/>
              <w:bottom w:val="nil" w:sz="6" w:space="0" w:color="auto"/>
              <w:right w:val="single" w:sz="4" w:space="0" w:color="000000"/>
            </w:tcBorders>
          </w:tcPr>
          <w:p>
            <w:pPr>
              <w:pStyle w:val="TableParagraph"/>
              <w:spacing w:line="243" w:lineRule="exact"/>
              <w:ind w:left="122"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150" w:type="dxa"/>
            <w:tcBorders>
              <w:top w:val="single" w:sz="4" w:space="0" w:color="000000"/>
              <w:left w:val="single" w:sz="4" w:space="0" w:color="000000"/>
              <w:bottom w:val="nil" w:sz="6" w:space="0" w:color="auto"/>
              <w:right w:val="nil" w:sz="6" w:space="0" w:color="auto"/>
            </w:tcBorders>
          </w:tcPr>
          <w:p>
            <w:pPr>
              <w:pStyle w:val="TableParagraph"/>
              <w:spacing w:line="240" w:lineRule="auto" w:before="24"/>
              <w:ind w:right="109"/>
              <w:jc w:val="right"/>
              <w:rPr>
                <w:rFonts w:ascii="Arial" w:hAnsi="Arial" w:cs="Arial" w:eastAsia="Arial" w:hint="default"/>
                <w:sz w:val="20"/>
                <w:szCs w:val="20"/>
              </w:rPr>
            </w:pPr>
            <w:r>
              <w:rPr>
                <w:rFonts w:ascii="Arial"/>
                <w:spacing w:val="-1"/>
                <w:sz w:val="20"/>
              </w:rPr>
              <w:t>141,602</w:t>
            </w:r>
          </w:p>
        </w:tc>
        <w:tc>
          <w:tcPr>
            <w:tcW w:w="1621" w:type="dxa"/>
            <w:tcBorders>
              <w:top w:val="single" w:sz="4" w:space="0" w:color="000000"/>
              <w:left w:val="nil" w:sz="6" w:space="0" w:color="auto"/>
              <w:bottom w:val="nil" w:sz="6" w:space="0" w:color="auto"/>
              <w:right w:val="single" w:sz="4" w:space="0" w:color="000000"/>
            </w:tcBorders>
          </w:tcPr>
          <w:p>
            <w:pPr>
              <w:pStyle w:val="TableParagraph"/>
              <w:spacing w:line="240" w:lineRule="auto" w:before="24"/>
              <w:ind w:right="99"/>
              <w:jc w:val="right"/>
              <w:rPr>
                <w:rFonts w:ascii="Arial" w:hAnsi="Arial" w:cs="Arial" w:eastAsia="Arial" w:hint="default"/>
                <w:sz w:val="20"/>
                <w:szCs w:val="20"/>
              </w:rPr>
            </w:pPr>
            <w:r>
              <w:rPr>
                <w:rFonts w:ascii="Arial"/>
                <w:sz w:val="20"/>
              </w:rPr>
              <w:t>92.4%</w:t>
            </w:r>
          </w:p>
        </w:tc>
        <w:tc>
          <w:tcPr>
            <w:tcW w:w="1124" w:type="dxa"/>
            <w:tcBorders>
              <w:top w:val="single" w:sz="4" w:space="0" w:color="000000"/>
              <w:left w:val="single" w:sz="4" w:space="0" w:color="000000"/>
              <w:bottom w:val="nil" w:sz="6" w:space="0" w:color="auto"/>
              <w:right w:val="nil" w:sz="6" w:space="0" w:color="auto"/>
            </w:tcBorders>
          </w:tcPr>
          <w:p>
            <w:pPr>
              <w:pStyle w:val="TableParagraph"/>
              <w:spacing w:line="240" w:lineRule="auto" w:before="24"/>
              <w:ind w:right="124"/>
              <w:jc w:val="right"/>
              <w:rPr>
                <w:rFonts w:ascii="Arial" w:hAnsi="Arial" w:cs="Arial" w:eastAsia="Arial" w:hint="default"/>
                <w:sz w:val="20"/>
                <w:szCs w:val="20"/>
              </w:rPr>
            </w:pPr>
            <w:r>
              <w:rPr>
                <w:rFonts w:ascii="Arial"/>
                <w:spacing w:val="-1"/>
                <w:sz w:val="20"/>
              </w:rPr>
              <w:t>149,505</w:t>
            </w:r>
          </w:p>
        </w:tc>
        <w:tc>
          <w:tcPr>
            <w:tcW w:w="1672" w:type="dxa"/>
            <w:tcBorders>
              <w:top w:val="single" w:sz="4" w:space="0" w:color="000000"/>
              <w:left w:val="nil" w:sz="6" w:space="0" w:color="auto"/>
              <w:bottom w:val="nil" w:sz="6" w:space="0" w:color="auto"/>
              <w:right w:val="nil" w:sz="6" w:space="0" w:color="auto"/>
            </w:tcBorders>
          </w:tcPr>
          <w:p>
            <w:pPr>
              <w:pStyle w:val="TableParagraph"/>
              <w:spacing w:line="240" w:lineRule="auto" w:before="24"/>
              <w:ind w:right="105"/>
              <w:jc w:val="right"/>
              <w:rPr>
                <w:rFonts w:ascii="Arial" w:hAnsi="Arial" w:cs="Arial" w:eastAsia="Arial" w:hint="default"/>
                <w:sz w:val="20"/>
                <w:szCs w:val="20"/>
              </w:rPr>
            </w:pPr>
            <w:r>
              <w:rPr>
                <w:rFonts w:ascii="Arial"/>
                <w:sz w:val="20"/>
              </w:rPr>
              <w:t>96.4%</w:t>
            </w:r>
          </w:p>
        </w:tc>
      </w:tr>
      <w:tr>
        <w:trPr>
          <w:trHeight w:val="285"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39" w:lineRule="exact"/>
              <w:ind w:left="122" w:right="0"/>
              <w:jc w:val="left"/>
              <w:rPr>
                <w:rFonts w:ascii="宋体" w:hAnsi="宋体" w:cs="宋体" w:eastAsia="宋体" w:hint="default"/>
                <w:sz w:val="20"/>
                <w:szCs w:val="20"/>
              </w:rPr>
            </w:pPr>
            <w:r>
              <w:rPr>
                <w:rFonts w:ascii="宋体" w:hAnsi="宋体" w:cs="宋体" w:eastAsia="宋体" w:hint="default"/>
                <w:sz w:val="20"/>
                <w:szCs w:val="20"/>
              </w:rPr>
              <w:t>其中：网间结算支出</w:t>
            </w:r>
          </w:p>
        </w:tc>
        <w:tc>
          <w:tcPr>
            <w:tcW w:w="1150"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right="107"/>
              <w:jc w:val="right"/>
              <w:rPr>
                <w:rFonts w:ascii="Arial" w:hAnsi="Arial" w:cs="Arial" w:eastAsia="Arial" w:hint="default"/>
                <w:sz w:val="20"/>
                <w:szCs w:val="20"/>
              </w:rPr>
            </w:pPr>
            <w:r>
              <w:rPr>
                <w:rFonts w:ascii="Arial"/>
                <w:sz w:val="20"/>
              </w:rPr>
              <w:t>12,955</w:t>
            </w:r>
          </w:p>
        </w:tc>
        <w:tc>
          <w:tcPr>
            <w:tcW w:w="1621"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right="99"/>
              <w:jc w:val="right"/>
              <w:rPr>
                <w:rFonts w:ascii="Arial" w:hAnsi="Arial" w:cs="Arial" w:eastAsia="Arial" w:hint="default"/>
                <w:sz w:val="20"/>
                <w:szCs w:val="20"/>
              </w:rPr>
            </w:pPr>
            <w:r>
              <w:rPr>
                <w:rFonts w:ascii="Arial"/>
                <w:spacing w:val="-1"/>
                <w:sz w:val="20"/>
              </w:rPr>
              <w:t>8.5%</w:t>
            </w:r>
            <w:r>
              <w:rPr>
                <w:rFonts w:ascii="Arial"/>
                <w:sz w:val="20"/>
              </w:rPr>
            </w:r>
          </w:p>
        </w:tc>
        <w:tc>
          <w:tcPr>
            <w:tcW w:w="1124"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right="123"/>
              <w:jc w:val="right"/>
              <w:rPr>
                <w:rFonts w:ascii="Arial" w:hAnsi="Arial" w:cs="Arial" w:eastAsia="Arial" w:hint="default"/>
                <w:sz w:val="20"/>
                <w:szCs w:val="20"/>
              </w:rPr>
            </w:pPr>
            <w:r>
              <w:rPr>
                <w:rFonts w:ascii="Arial"/>
                <w:sz w:val="20"/>
              </w:rPr>
              <w:t>13,038</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5"/>
              <w:jc w:val="right"/>
              <w:rPr>
                <w:rFonts w:ascii="Arial" w:hAnsi="Arial" w:cs="Arial" w:eastAsia="Arial" w:hint="default"/>
                <w:sz w:val="20"/>
                <w:szCs w:val="20"/>
              </w:rPr>
            </w:pPr>
            <w:r>
              <w:rPr>
                <w:rFonts w:ascii="Arial"/>
                <w:spacing w:val="-1"/>
                <w:sz w:val="20"/>
              </w:rPr>
              <w:t>8.4%</w:t>
            </w:r>
            <w:r>
              <w:rPr>
                <w:rFonts w:ascii="Arial"/>
                <w:sz w:val="20"/>
              </w:rPr>
            </w:r>
          </w:p>
        </w:tc>
      </w:tr>
      <w:tr>
        <w:trPr>
          <w:trHeight w:val="285"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39" w:lineRule="exact"/>
              <w:ind w:left="722" w:right="0"/>
              <w:jc w:val="left"/>
              <w:rPr>
                <w:rFonts w:ascii="宋体" w:hAnsi="宋体" w:cs="宋体" w:eastAsia="宋体" w:hint="default"/>
                <w:sz w:val="20"/>
                <w:szCs w:val="20"/>
              </w:rPr>
            </w:pPr>
            <w:r>
              <w:rPr>
                <w:rFonts w:ascii="宋体" w:hAnsi="宋体" w:cs="宋体" w:eastAsia="宋体" w:hint="default"/>
                <w:sz w:val="20"/>
                <w:szCs w:val="20"/>
              </w:rPr>
              <w:t>折旧及摊销</w:t>
            </w:r>
          </w:p>
        </w:tc>
        <w:tc>
          <w:tcPr>
            <w:tcW w:w="1150"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07"/>
              <w:jc w:val="right"/>
              <w:rPr>
                <w:rFonts w:ascii="Arial" w:hAnsi="Arial" w:cs="Arial" w:eastAsia="Arial" w:hint="default"/>
                <w:sz w:val="20"/>
                <w:szCs w:val="20"/>
              </w:rPr>
            </w:pPr>
            <w:r>
              <w:rPr>
                <w:rFonts w:ascii="Arial"/>
                <w:sz w:val="20"/>
              </w:rPr>
              <w:t>47,898</w:t>
            </w:r>
          </w:p>
        </w:tc>
        <w:tc>
          <w:tcPr>
            <w:tcW w:w="162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right="99"/>
              <w:jc w:val="right"/>
              <w:rPr>
                <w:rFonts w:ascii="Arial" w:hAnsi="Arial" w:cs="Arial" w:eastAsia="Arial" w:hint="default"/>
                <w:sz w:val="20"/>
                <w:szCs w:val="20"/>
              </w:rPr>
            </w:pPr>
            <w:r>
              <w:rPr>
                <w:rFonts w:ascii="Arial"/>
                <w:sz w:val="20"/>
              </w:rPr>
              <w:t>31.2%</w:t>
            </w:r>
          </w:p>
        </w:tc>
        <w:tc>
          <w:tcPr>
            <w:tcW w:w="1124"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23"/>
              <w:jc w:val="right"/>
              <w:rPr>
                <w:rFonts w:ascii="Arial" w:hAnsi="Arial" w:cs="Arial" w:eastAsia="Arial" w:hint="default"/>
                <w:sz w:val="20"/>
                <w:szCs w:val="20"/>
              </w:rPr>
            </w:pPr>
            <w:r>
              <w:rPr>
                <w:rFonts w:ascii="Arial"/>
                <w:sz w:val="20"/>
              </w:rPr>
              <w:t>48,405</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5"/>
              <w:jc w:val="right"/>
              <w:rPr>
                <w:rFonts w:ascii="Arial" w:hAnsi="Arial" w:cs="Arial" w:eastAsia="Arial" w:hint="default"/>
                <w:sz w:val="20"/>
                <w:szCs w:val="20"/>
              </w:rPr>
            </w:pPr>
            <w:r>
              <w:rPr>
                <w:rFonts w:ascii="Arial"/>
                <w:sz w:val="20"/>
              </w:rPr>
              <w:t>31.2%</w:t>
            </w:r>
          </w:p>
        </w:tc>
      </w:tr>
      <w:tr>
        <w:trPr>
          <w:trHeight w:val="285"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39" w:lineRule="exact"/>
              <w:ind w:left="722" w:right="0"/>
              <w:jc w:val="left"/>
              <w:rPr>
                <w:rFonts w:ascii="宋体" w:hAnsi="宋体" w:cs="宋体" w:eastAsia="宋体" w:hint="default"/>
                <w:sz w:val="20"/>
                <w:szCs w:val="20"/>
              </w:rPr>
            </w:pPr>
            <w:r>
              <w:rPr>
                <w:rFonts w:ascii="宋体" w:hAnsi="宋体" w:cs="宋体" w:eastAsia="宋体" w:hint="default"/>
                <w:sz w:val="20"/>
                <w:szCs w:val="20"/>
              </w:rPr>
              <w:t>网络运行及支撑成本</w:t>
            </w:r>
          </w:p>
        </w:tc>
        <w:tc>
          <w:tcPr>
            <w:tcW w:w="1150"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right="107"/>
              <w:jc w:val="right"/>
              <w:rPr>
                <w:rFonts w:ascii="Arial" w:hAnsi="Arial" w:cs="Arial" w:eastAsia="Arial" w:hint="default"/>
                <w:sz w:val="20"/>
                <w:szCs w:val="20"/>
              </w:rPr>
            </w:pPr>
            <w:r>
              <w:rPr>
                <w:rFonts w:ascii="Arial"/>
                <w:sz w:val="20"/>
              </w:rPr>
              <w:t>21,728</w:t>
            </w:r>
          </w:p>
        </w:tc>
        <w:tc>
          <w:tcPr>
            <w:tcW w:w="1621"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right="99"/>
              <w:jc w:val="right"/>
              <w:rPr>
                <w:rFonts w:ascii="Arial" w:hAnsi="Arial" w:cs="Arial" w:eastAsia="Arial" w:hint="default"/>
                <w:sz w:val="20"/>
                <w:szCs w:val="20"/>
              </w:rPr>
            </w:pPr>
            <w:r>
              <w:rPr>
                <w:rFonts w:ascii="Arial"/>
                <w:sz w:val="20"/>
              </w:rPr>
              <w:t>14.2%</w:t>
            </w:r>
          </w:p>
        </w:tc>
        <w:tc>
          <w:tcPr>
            <w:tcW w:w="1124"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right="123"/>
              <w:jc w:val="right"/>
              <w:rPr>
                <w:rFonts w:ascii="Arial" w:hAnsi="Arial" w:cs="Arial" w:eastAsia="Arial" w:hint="default"/>
                <w:sz w:val="20"/>
                <w:szCs w:val="20"/>
              </w:rPr>
            </w:pPr>
            <w:r>
              <w:rPr>
                <w:rFonts w:ascii="Arial"/>
                <w:sz w:val="20"/>
              </w:rPr>
              <w:t>18,736</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5"/>
              <w:jc w:val="right"/>
              <w:rPr>
                <w:rFonts w:ascii="Arial" w:hAnsi="Arial" w:cs="Arial" w:eastAsia="Arial" w:hint="default"/>
                <w:sz w:val="20"/>
                <w:szCs w:val="20"/>
              </w:rPr>
            </w:pPr>
            <w:r>
              <w:rPr>
                <w:rFonts w:ascii="Arial"/>
                <w:sz w:val="20"/>
              </w:rPr>
              <w:t>12.1%</w:t>
            </w:r>
          </w:p>
        </w:tc>
      </w:tr>
      <w:tr>
        <w:trPr>
          <w:trHeight w:val="285"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39" w:lineRule="exact"/>
              <w:ind w:left="722" w:right="0"/>
              <w:jc w:val="left"/>
              <w:rPr>
                <w:rFonts w:ascii="宋体" w:hAnsi="宋体" w:cs="宋体" w:eastAsia="宋体" w:hint="default"/>
                <w:sz w:val="20"/>
                <w:szCs w:val="20"/>
              </w:rPr>
            </w:pPr>
            <w:r>
              <w:rPr>
                <w:rFonts w:ascii="宋体" w:hAnsi="宋体" w:cs="宋体" w:eastAsia="宋体" w:hint="default"/>
                <w:sz w:val="20"/>
                <w:szCs w:val="20"/>
              </w:rPr>
              <w:t>中国南方电信网络租赁费</w:t>
            </w:r>
          </w:p>
        </w:tc>
        <w:tc>
          <w:tcPr>
            <w:tcW w:w="1150"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07"/>
              <w:jc w:val="right"/>
              <w:rPr>
                <w:rFonts w:ascii="Arial" w:hAnsi="Arial" w:cs="Arial" w:eastAsia="Arial" w:hint="default"/>
                <w:sz w:val="20"/>
                <w:szCs w:val="20"/>
              </w:rPr>
            </w:pPr>
            <w:r>
              <w:rPr>
                <w:rFonts w:ascii="Arial"/>
                <w:sz w:val="20"/>
              </w:rPr>
              <w:t>2,000</w:t>
            </w:r>
          </w:p>
        </w:tc>
        <w:tc>
          <w:tcPr>
            <w:tcW w:w="162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right="99"/>
              <w:jc w:val="right"/>
              <w:rPr>
                <w:rFonts w:ascii="Arial" w:hAnsi="Arial" w:cs="Arial" w:eastAsia="Arial" w:hint="default"/>
                <w:sz w:val="20"/>
                <w:szCs w:val="20"/>
              </w:rPr>
            </w:pPr>
            <w:r>
              <w:rPr>
                <w:rFonts w:ascii="Arial"/>
                <w:spacing w:val="-1"/>
                <w:sz w:val="20"/>
              </w:rPr>
              <w:t>1.3%</w:t>
            </w:r>
            <w:r>
              <w:rPr>
                <w:rFonts w:ascii="Arial"/>
                <w:sz w:val="20"/>
              </w:rPr>
            </w:r>
          </w:p>
        </w:tc>
        <w:tc>
          <w:tcPr>
            <w:tcW w:w="1124"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24"/>
              <w:jc w:val="right"/>
              <w:rPr>
                <w:rFonts w:ascii="Arial" w:hAnsi="Arial" w:cs="Arial" w:eastAsia="Arial" w:hint="default"/>
                <w:sz w:val="20"/>
                <w:szCs w:val="20"/>
              </w:rPr>
            </w:pPr>
            <w:r>
              <w:rPr>
                <w:rFonts w:ascii="Arial"/>
                <w:w w:val="100"/>
                <w:sz w:val="20"/>
              </w:rPr>
              <w:t>-</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6"/>
              <w:jc w:val="right"/>
              <w:rPr>
                <w:rFonts w:ascii="Arial" w:hAnsi="Arial" w:cs="Arial" w:eastAsia="Arial" w:hint="default"/>
                <w:sz w:val="20"/>
                <w:szCs w:val="20"/>
              </w:rPr>
            </w:pPr>
            <w:r>
              <w:rPr>
                <w:rFonts w:ascii="Arial"/>
                <w:w w:val="100"/>
                <w:sz w:val="20"/>
              </w:rPr>
              <w:t>-</w:t>
            </w:r>
          </w:p>
        </w:tc>
      </w:tr>
      <w:tr>
        <w:trPr>
          <w:trHeight w:val="285"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39" w:lineRule="exact"/>
              <w:ind w:left="722" w:right="0"/>
              <w:jc w:val="left"/>
              <w:rPr>
                <w:rFonts w:ascii="宋体" w:hAnsi="宋体" w:cs="宋体" w:eastAsia="宋体" w:hint="default"/>
                <w:sz w:val="20"/>
                <w:szCs w:val="20"/>
              </w:rPr>
            </w:pPr>
            <w:r>
              <w:rPr>
                <w:rFonts w:ascii="宋体" w:hAnsi="宋体" w:cs="宋体" w:eastAsia="宋体" w:hint="default"/>
                <w:sz w:val="20"/>
                <w:szCs w:val="20"/>
              </w:rPr>
              <w:t>雇员薪酬及福利开支</w:t>
            </w:r>
          </w:p>
        </w:tc>
        <w:tc>
          <w:tcPr>
            <w:tcW w:w="1150"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right="107"/>
              <w:jc w:val="right"/>
              <w:rPr>
                <w:rFonts w:ascii="Arial" w:hAnsi="Arial" w:cs="Arial" w:eastAsia="Arial" w:hint="default"/>
                <w:sz w:val="20"/>
                <w:szCs w:val="20"/>
              </w:rPr>
            </w:pPr>
            <w:r>
              <w:rPr>
                <w:rFonts w:ascii="Arial"/>
                <w:sz w:val="20"/>
              </w:rPr>
              <w:t>21,934</w:t>
            </w:r>
          </w:p>
        </w:tc>
        <w:tc>
          <w:tcPr>
            <w:tcW w:w="1621"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right="99"/>
              <w:jc w:val="right"/>
              <w:rPr>
                <w:rFonts w:ascii="Arial" w:hAnsi="Arial" w:cs="Arial" w:eastAsia="Arial" w:hint="default"/>
                <w:sz w:val="20"/>
                <w:szCs w:val="20"/>
              </w:rPr>
            </w:pPr>
            <w:r>
              <w:rPr>
                <w:rFonts w:ascii="Arial"/>
                <w:sz w:val="20"/>
              </w:rPr>
              <w:t>14.3%</w:t>
            </w:r>
          </w:p>
        </w:tc>
        <w:tc>
          <w:tcPr>
            <w:tcW w:w="1124"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right="123"/>
              <w:jc w:val="right"/>
              <w:rPr>
                <w:rFonts w:ascii="Arial" w:hAnsi="Arial" w:cs="Arial" w:eastAsia="Arial" w:hint="default"/>
                <w:sz w:val="20"/>
                <w:szCs w:val="20"/>
              </w:rPr>
            </w:pPr>
            <w:r>
              <w:rPr>
                <w:rFonts w:ascii="Arial"/>
                <w:sz w:val="20"/>
              </w:rPr>
              <w:t>20,758</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5"/>
              <w:jc w:val="right"/>
              <w:rPr>
                <w:rFonts w:ascii="Arial" w:hAnsi="Arial" w:cs="Arial" w:eastAsia="Arial" w:hint="default"/>
                <w:sz w:val="20"/>
                <w:szCs w:val="20"/>
              </w:rPr>
            </w:pPr>
            <w:r>
              <w:rPr>
                <w:rFonts w:ascii="Arial"/>
                <w:sz w:val="20"/>
              </w:rPr>
              <w:t>13.4%</w:t>
            </w:r>
          </w:p>
        </w:tc>
      </w:tr>
      <w:tr>
        <w:trPr>
          <w:trHeight w:val="285"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39" w:lineRule="exact"/>
              <w:ind w:left="722" w:right="0"/>
              <w:jc w:val="left"/>
              <w:rPr>
                <w:rFonts w:ascii="宋体" w:hAnsi="宋体" w:cs="宋体" w:eastAsia="宋体" w:hint="default"/>
                <w:sz w:val="20"/>
                <w:szCs w:val="20"/>
              </w:rPr>
            </w:pPr>
            <w:r>
              <w:rPr>
                <w:rFonts w:ascii="宋体" w:hAnsi="宋体" w:cs="宋体" w:eastAsia="宋体" w:hint="default"/>
                <w:sz w:val="20"/>
                <w:szCs w:val="20"/>
              </w:rPr>
              <w:t>销售费用</w:t>
            </w:r>
          </w:p>
        </w:tc>
        <w:tc>
          <w:tcPr>
            <w:tcW w:w="1150"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07"/>
              <w:jc w:val="right"/>
              <w:rPr>
                <w:rFonts w:ascii="Arial" w:hAnsi="Arial" w:cs="Arial" w:eastAsia="Arial" w:hint="default"/>
                <w:sz w:val="20"/>
                <w:szCs w:val="20"/>
              </w:rPr>
            </w:pPr>
            <w:r>
              <w:rPr>
                <w:rFonts w:ascii="Arial"/>
                <w:sz w:val="20"/>
              </w:rPr>
              <w:t>20,957</w:t>
            </w:r>
          </w:p>
        </w:tc>
        <w:tc>
          <w:tcPr>
            <w:tcW w:w="162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right="99"/>
              <w:jc w:val="right"/>
              <w:rPr>
                <w:rFonts w:ascii="Arial" w:hAnsi="Arial" w:cs="Arial" w:eastAsia="Arial" w:hint="default"/>
                <w:sz w:val="20"/>
                <w:szCs w:val="20"/>
              </w:rPr>
            </w:pPr>
            <w:r>
              <w:rPr>
                <w:rFonts w:ascii="Arial"/>
                <w:sz w:val="20"/>
              </w:rPr>
              <w:t>13.7%</w:t>
            </w:r>
          </w:p>
        </w:tc>
        <w:tc>
          <w:tcPr>
            <w:tcW w:w="1124"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23"/>
              <w:jc w:val="right"/>
              <w:rPr>
                <w:rFonts w:ascii="Arial" w:hAnsi="Arial" w:cs="Arial" w:eastAsia="Arial" w:hint="default"/>
                <w:sz w:val="20"/>
                <w:szCs w:val="20"/>
              </w:rPr>
            </w:pPr>
            <w:r>
              <w:rPr>
                <w:rFonts w:ascii="Arial"/>
                <w:sz w:val="20"/>
              </w:rPr>
              <w:t>19,308</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5"/>
              <w:jc w:val="right"/>
              <w:rPr>
                <w:rFonts w:ascii="Arial" w:hAnsi="Arial" w:cs="Arial" w:eastAsia="Arial" w:hint="default"/>
                <w:sz w:val="20"/>
                <w:szCs w:val="20"/>
              </w:rPr>
            </w:pPr>
            <w:r>
              <w:rPr>
                <w:rFonts w:ascii="Arial"/>
                <w:sz w:val="20"/>
              </w:rPr>
              <w:t>12.5%</w:t>
            </w:r>
          </w:p>
        </w:tc>
      </w:tr>
      <w:tr>
        <w:trPr>
          <w:trHeight w:val="285"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39" w:lineRule="exact"/>
              <w:ind w:left="722" w:right="0"/>
              <w:jc w:val="left"/>
              <w:rPr>
                <w:rFonts w:ascii="宋体" w:hAnsi="宋体" w:cs="宋体" w:eastAsia="宋体" w:hint="default"/>
                <w:sz w:val="20"/>
                <w:szCs w:val="20"/>
              </w:rPr>
            </w:pPr>
            <w:r>
              <w:rPr>
                <w:rFonts w:ascii="宋体" w:hAnsi="宋体" w:cs="宋体" w:eastAsia="宋体" w:hint="default"/>
                <w:sz w:val="20"/>
                <w:szCs w:val="20"/>
              </w:rPr>
              <w:t>信息通信技术成本</w:t>
            </w:r>
          </w:p>
        </w:tc>
        <w:tc>
          <w:tcPr>
            <w:tcW w:w="1150"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right="107"/>
              <w:jc w:val="right"/>
              <w:rPr>
                <w:rFonts w:ascii="Arial" w:hAnsi="Arial" w:cs="Arial" w:eastAsia="Arial" w:hint="default"/>
                <w:sz w:val="20"/>
                <w:szCs w:val="20"/>
              </w:rPr>
            </w:pPr>
            <w:r>
              <w:rPr>
                <w:rFonts w:ascii="Arial"/>
                <w:sz w:val="20"/>
              </w:rPr>
              <w:t>839</w:t>
            </w:r>
          </w:p>
        </w:tc>
        <w:tc>
          <w:tcPr>
            <w:tcW w:w="1621"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right="99"/>
              <w:jc w:val="right"/>
              <w:rPr>
                <w:rFonts w:ascii="Arial" w:hAnsi="Arial" w:cs="Arial" w:eastAsia="Arial" w:hint="default"/>
                <w:sz w:val="20"/>
                <w:szCs w:val="20"/>
              </w:rPr>
            </w:pPr>
            <w:r>
              <w:rPr>
                <w:rFonts w:ascii="Arial"/>
                <w:spacing w:val="-1"/>
                <w:sz w:val="20"/>
              </w:rPr>
              <w:t>0.5%</w:t>
            </w:r>
            <w:r>
              <w:rPr>
                <w:rFonts w:ascii="Arial"/>
                <w:sz w:val="20"/>
              </w:rPr>
            </w:r>
          </w:p>
        </w:tc>
        <w:tc>
          <w:tcPr>
            <w:tcW w:w="1124"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right="123"/>
              <w:jc w:val="right"/>
              <w:rPr>
                <w:rFonts w:ascii="Arial" w:hAnsi="Arial" w:cs="Arial" w:eastAsia="Arial" w:hint="default"/>
                <w:sz w:val="20"/>
                <w:szCs w:val="20"/>
              </w:rPr>
            </w:pPr>
            <w:r>
              <w:rPr>
                <w:rFonts w:ascii="Arial"/>
                <w:sz w:val="20"/>
              </w:rPr>
              <w:t>3,010</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5"/>
              <w:jc w:val="right"/>
              <w:rPr>
                <w:rFonts w:ascii="Arial" w:hAnsi="Arial" w:cs="Arial" w:eastAsia="Arial" w:hint="default"/>
                <w:sz w:val="20"/>
                <w:szCs w:val="20"/>
              </w:rPr>
            </w:pPr>
            <w:r>
              <w:rPr>
                <w:rFonts w:ascii="Arial"/>
                <w:spacing w:val="-1"/>
                <w:sz w:val="20"/>
              </w:rPr>
              <w:t>1.9%</w:t>
            </w:r>
            <w:r>
              <w:rPr>
                <w:rFonts w:ascii="Arial"/>
                <w:sz w:val="20"/>
              </w:rPr>
            </w:r>
          </w:p>
        </w:tc>
      </w:tr>
      <w:tr>
        <w:trPr>
          <w:trHeight w:val="285"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39" w:lineRule="exact"/>
              <w:ind w:left="722" w:right="0"/>
              <w:jc w:val="left"/>
              <w:rPr>
                <w:rFonts w:ascii="宋体" w:hAnsi="宋体" w:cs="宋体" w:eastAsia="宋体" w:hint="default"/>
                <w:sz w:val="20"/>
                <w:szCs w:val="20"/>
              </w:rPr>
            </w:pPr>
            <w:r>
              <w:rPr>
                <w:rFonts w:ascii="宋体" w:hAnsi="宋体" w:cs="宋体" w:eastAsia="宋体" w:hint="default"/>
                <w:sz w:val="20"/>
                <w:szCs w:val="20"/>
              </w:rPr>
              <w:t>管理费用及其他</w:t>
            </w:r>
          </w:p>
        </w:tc>
        <w:tc>
          <w:tcPr>
            <w:tcW w:w="1150"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07"/>
              <w:jc w:val="right"/>
              <w:rPr>
                <w:rFonts w:ascii="Arial" w:hAnsi="Arial" w:cs="Arial" w:eastAsia="Arial" w:hint="default"/>
                <w:sz w:val="20"/>
                <w:szCs w:val="20"/>
              </w:rPr>
            </w:pPr>
            <w:r>
              <w:rPr>
                <w:rFonts w:ascii="Arial"/>
                <w:sz w:val="20"/>
              </w:rPr>
              <w:t>9,659</w:t>
            </w:r>
          </w:p>
        </w:tc>
        <w:tc>
          <w:tcPr>
            <w:tcW w:w="162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right="99"/>
              <w:jc w:val="right"/>
              <w:rPr>
                <w:rFonts w:ascii="Arial" w:hAnsi="Arial" w:cs="Arial" w:eastAsia="Arial" w:hint="default"/>
                <w:sz w:val="20"/>
                <w:szCs w:val="20"/>
              </w:rPr>
            </w:pPr>
            <w:r>
              <w:rPr>
                <w:rFonts w:ascii="Arial"/>
                <w:spacing w:val="-1"/>
                <w:sz w:val="20"/>
              </w:rPr>
              <w:t>6.3%</w:t>
            </w:r>
            <w:r>
              <w:rPr>
                <w:rFonts w:ascii="Arial"/>
                <w:sz w:val="20"/>
              </w:rPr>
            </w:r>
          </w:p>
        </w:tc>
        <w:tc>
          <w:tcPr>
            <w:tcW w:w="1124"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23"/>
              <w:jc w:val="right"/>
              <w:rPr>
                <w:rFonts w:ascii="Arial" w:hAnsi="Arial" w:cs="Arial" w:eastAsia="Arial" w:hint="default"/>
                <w:sz w:val="20"/>
                <w:szCs w:val="20"/>
              </w:rPr>
            </w:pPr>
            <w:r>
              <w:rPr>
                <w:rFonts w:ascii="Arial"/>
                <w:sz w:val="20"/>
              </w:rPr>
              <w:t>9,687</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5"/>
              <w:jc w:val="right"/>
              <w:rPr>
                <w:rFonts w:ascii="Arial" w:hAnsi="Arial" w:cs="Arial" w:eastAsia="Arial" w:hint="default"/>
                <w:sz w:val="20"/>
                <w:szCs w:val="20"/>
              </w:rPr>
            </w:pPr>
            <w:r>
              <w:rPr>
                <w:rFonts w:ascii="Arial"/>
                <w:spacing w:val="-1"/>
                <w:sz w:val="20"/>
              </w:rPr>
              <w:t>6.3%</w:t>
            </w:r>
            <w:r>
              <w:rPr>
                <w:rFonts w:ascii="Arial"/>
                <w:sz w:val="20"/>
              </w:rPr>
            </w:r>
          </w:p>
        </w:tc>
      </w:tr>
      <w:tr>
        <w:trPr>
          <w:trHeight w:val="285"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39" w:lineRule="exact"/>
              <w:ind w:left="722" w:right="0"/>
              <w:jc w:val="left"/>
              <w:rPr>
                <w:rFonts w:ascii="宋体" w:hAnsi="宋体" w:cs="宋体" w:eastAsia="宋体" w:hint="default"/>
                <w:sz w:val="20"/>
                <w:szCs w:val="20"/>
              </w:rPr>
            </w:pPr>
            <w:r>
              <w:rPr>
                <w:rFonts w:ascii="宋体" w:hAnsi="宋体" w:cs="宋体" w:eastAsia="宋体" w:hint="default"/>
                <w:sz w:val="20"/>
                <w:szCs w:val="20"/>
              </w:rPr>
              <w:t>销售通信产品</w:t>
            </w:r>
          </w:p>
        </w:tc>
        <w:tc>
          <w:tcPr>
            <w:tcW w:w="1150"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right="107"/>
              <w:jc w:val="right"/>
              <w:rPr>
                <w:rFonts w:ascii="Arial" w:hAnsi="Arial" w:cs="Arial" w:eastAsia="Arial" w:hint="default"/>
                <w:sz w:val="20"/>
                <w:szCs w:val="20"/>
              </w:rPr>
            </w:pPr>
            <w:r>
              <w:rPr>
                <w:rFonts w:ascii="Arial"/>
                <w:sz w:val="20"/>
              </w:rPr>
              <w:t>2,689</w:t>
            </w:r>
          </w:p>
        </w:tc>
        <w:tc>
          <w:tcPr>
            <w:tcW w:w="1621"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right="99"/>
              <w:jc w:val="right"/>
              <w:rPr>
                <w:rFonts w:ascii="Arial" w:hAnsi="Arial" w:cs="Arial" w:eastAsia="Arial" w:hint="default"/>
                <w:sz w:val="20"/>
                <w:szCs w:val="20"/>
              </w:rPr>
            </w:pPr>
            <w:r>
              <w:rPr>
                <w:rFonts w:ascii="Arial"/>
                <w:spacing w:val="-1"/>
                <w:sz w:val="20"/>
              </w:rPr>
              <w:t>1.8%</w:t>
            </w:r>
            <w:r>
              <w:rPr>
                <w:rFonts w:ascii="Arial"/>
                <w:sz w:val="20"/>
              </w:rPr>
            </w:r>
          </w:p>
        </w:tc>
        <w:tc>
          <w:tcPr>
            <w:tcW w:w="1124"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right="123"/>
              <w:jc w:val="right"/>
              <w:rPr>
                <w:rFonts w:ascii="Arial" w:hAnsi="Arial" w:cs="Arial" w:eastAsia="Arial" w:hint="default"/>
                <w:sz w:val="20"/>
                <w:szCs w:val="20"/>
              </w:rPr>
            </w:pPr>
            <w:r>
              <w:rPr>
                <w:rFonts w:ascii="Arial"/>
                <w:sz w:val="20"/>
              </w:rPr>
              <w:t>2,156</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5"/>
              <w:jc w:val="right"/>
              <w:rPr>
                <w:rFonts w:ascii="Arial" w:hAnsi="Arial" w:cs="Arial" w:eastAsia="Arial" w:hint="default"/>
                <w:sz w:val="20"/>
                <w:szCs w:val="20"/>
              </w:rPr>
            </w:pPr>
            <w:r>
              <w:rPr>
                <w:rFonts w:ascii="Arial"/>
                <w:spacing w:val="-1"/>
                <w:sz w:val="20"/>
              </w:rPr>
              <w:t>1.4%</w:t>
            </w:r>
            <w:r>
              <w:rPr>
                <w:rFonts w:ascii="Arial"/>
                <w:sz w:val="20"/>
              </w:rPr>
            </w:r>
          </w:p>
        </w:tc>
      </w:tr>
      <w:tr>
        <w:trPr>
          <w:trHeight w:val="285" w:hRule="exact"/>
        </w:trPr>
        <w:tc>
          <w:tcPr>
            <w:tcW w:w="3053" w:type="dxa"/>
            <w:tcBorders>
              <w:top w:val="nil" w:sz="6" w:space="0" w:color="auto"/>
              <w:left w:val="nil" w:sz="6" w:space="0" w:color="auto"/>
              <w:bottom w:val="nil" w:sz="6" w:space="0" w:color="auto"/>
              <w:right w:val="single" w:sz="4" w:space="0" w:color="000000"/>
            </w:tcBorders>
          </w:tcPr>
          <w:p>
            <w:pPr>
              <w:pStyle w:val="TableParagraph"/>
              <w:spacing w:line="239" w:lineRule="exact"/>
              <w:ind w:left="722"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1150"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07"/>
              <w:jc w:val="right"/>
              <w:rPr>
                <w:rFonts w:ascii="Arial" w:hAnsi="Arial" w:cs="Arial" w:eastAsia="Arial" w:hint="default"/>
                <w:sz w:val="20"/>
                <w:szCs w:val="20"/>
              </w:rPr>
            </w:pPr>
            <w:r>
              <w:rPr>
                <w:rFonts w:ascii="Arial"/>
                <w:sz w:val="20"/>
              </w:rPr>
              <w:t>944</w:t>
            </w:r>
          </w:p>
        </w:tc>
        <w:tc>
          <w:tcPr>
            <w:tcW w:w="1621"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right="99"/>
              <w:jc w:val="right"/>
              <w:rPr>
                <w:rFonts w:ascii="Arial" w:hAnsi="Arial" w:cs="Arial" w:eastAsia="Arial" w:hint="default"/>
                <w:sz w:val="20"/>
                <w:szCs w:val="20"/>
              </w:rPr>
            </w:pPr>
            <w:r>
              <w:rPr>
                <w:rFonts w:ascii="Arial"/>
                <w:spacing w:val="-1"/>
                <w:sz w:val="20"/>
              </w:rPr>
              <w:t>0.6%</w:t>
            </w:r>
            <w:r>
              <w:rPr>
                <w:rFonts w:ascii="Arial"/>
                <w:sz w:val="20"/>
              </w:rPr>
            </w:r>
          </w:p>
        </w:tc>
        <w:tc>
          <w:tcPr>
            <w:tcW w:w="1124" w:type="dxa"/>
            <w:tcBorders>
              <w:top w:val="nil" w:sz="6" w:space="0" w:color="auto"/>
              <w:left w:val="single" w:sz="4" w:space="0" w:color="000000"/>
              <w:bottom w:val="nil" w:sz="6" w:space="0" w:color="auto"/>
              <w:right w:val="nil" w:sz="6" w:space="0" w:color="auto"/>
            </w:tcBorders>
          </w:tcPr>
          <w:p>
            <w:pPr>
              <w:pStyle w:val="TableParagraph"/>
              <w:spacing w:line="240" w:lineRule="auto" w:before="20"/>
              <w:ind w:right="123"/>
              <w:jc w:val="right"/>
              <w:rPr>
                <w:rFonts w:ascii="Arial" w:hAnsi="Arial" w:cs="Arial" w:eastAsia="Arial" w:hint="default"/>
                <w:sz w:val="20"/>
                <w:szCs w:val="20"/>
              </w:rPr>
            </w:pPr>
            <w:r>
              <w:rPr>
                <w:rFonts w:ascii="Arial"/>
                <w:sz w:val="20"/>
              </w:rPr>
              <w:t>2,156</w:t>
            </w:r>
          </w:p>
        </w:tc>
        <w:tc>
          <w:tcPr>
            <w:tcW w:w="167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05"/>
              <w:jc w:val="right"/>
              <w:rPr>
                <w:rFonts w:ascii="Arial" w:hAnsi="Arial" w:cs="Arial" w:eastAsia="Arial" w:hint="default"/>
                <w:sz w:val="20"/>
                <w:szCs w:val="20"/>
              </w:rPr>
            </w:pPr>
            <w:r>
              <w:rPr>
                <w:rFonts w:ascii="Arial"/>
                <w:spacing w:val="-1"/>
                <w:sz w:val="20"/>
              </w:rPr>
              <w:t>1.4%</w:t>
            </w:r>
            <w:r>
              <w:rPr>
                <w:rFonts w:ascii="Arial"/>
                <w:sz w:val="20"/>
              </w:rPr>
            </w:r>
          </w:p>
        </w:tc>
      </w:tr>
      <w:tr>
        <w:trPr>
          <w:trHeight w:val="305" w:hRule="exact"/>
        </w:trPr>
        <w:tc>
          <w:tcPr>
            <w:tcW w:w="3053" w:type="dxa"/>
            <w:tcBorders>
              <w:top w:val="nil" w:sz="6" w:space="0" w:color="auto"/>
              <w:left w:val="nil" w:sz="6" w:space="0" w:color="auto"/>
              <w:bottom w:val="single" w:sz="17" w:space="0" w:color="000000"/>
              <w:right w:val="single" w:sz="4" w:space="0" w:color="000000"/>
            </w:tcBorders>
          </w:tcPr>
          <w:p>
            <w:pPr>
              <w:pStyle w:val="TableParagraph"/>
              <w:spacing w:line="239" w:lineRule="exact"/>
              <w:ind w:left="722" w:right="0"/>
              <w:jc w:val="left"/>
              <w:rPr>
                <w:rFonts w:ascii="宋体" w:hAnsi="宋体" w:cs="宋体" w:eastAsia="宋体" w:hint="default"/>
                <w:sz w:val="20"/>
                <w:szCs w:val="20"/>
              </w:rPr>
            </w:pPr>
            <w:r>
              <w:rPr>
                <w:rFonts w:ascii="宋体" w:hAnsi="宋体" w:cs="宋体" w:eastAsia="宋体" w:hint="default"/>
                <w:sz w:val="20"/>
                <w:szCs w:val="20"/>
              </w:rPr>
              <w:t>固定资产减值损失</w:t>
            </w:r>
          </w:p>
        </w:tc>
        <w:tc>
          <w:tcPr>
            <w:tcW w:w="1150" w:type="dxa"/>
            <w:tcBorders>
              <w:top w:val="nil" w:sz="6" w:space="0" w:color="auto"/>
              <w:left w:val="single" w:sz="4" w:space="0" w:color="000000"/>
              <w:bottom w:val="single" w:sz="17" w:space="0" w:color="000000"/>
              <w:right w:val="nil" w:sz="6" w:space="0" w:color="auto"/>
            </w:tcBorders>
          </w:tcPr>
          <w:p>
            <w:pPr>
              <w:pStyle w:val="TableParagraph"/>
              <w:spacing w:line="240" w:lineRule="auto" w:before="21"/>
              <w:ind w:right="108"/>
              <w:jc w:val="right"/>
              <w:rPr>
                <w:rFonts w:ascii="Arial" w:hAnsi="Arial" w:cs="Arial" w:eastAsia="Arial" w:hint="default"/>
                <w:sz w:val="20"/>
                <w:szCs w:val="20"/>
              </w:rPr>
            </w:pPr>
            <w:r>
              <w:rPr>
                <w:rFonts w:ascii="Arial"/>
                <w:w w:val="100"/>
                <w:sz w:val="20"/>
              </w:rPr>
              <w:t>-</w:t>
            </w:r>
          </w:p>
        </w:tc>
        <w:tc>
          <w:tcPr>
            <w:tcW w:w="1621" w:type="dxa"/>
            <w:tcBorders>
              <w:top w:val="nil" w:sz="6" w:space="0" w:color="auto"/>
              <w:left w:val="nil" w:sz="6" w:space="0" w:color="auto"/>
              <w:bottom w:val="single" w:sz="17" w:space="0" w:color="000000"/>
              <w:right w:val="single" w:sz="4" w:space="0" w:color="000000"/>
            </w:tcBorders>
          </w:tcPr>
          <w:p>
            <w:pPr>
              <w:pStyle w:val="TableParagraph"/>
              <w:spacing w:line="240" w:lineRule="auto" w:before="21"/>
              <w:ind w:right="100"/>
              <w:jc w:val="right"/>
              <w:rPr>
                <w:rFonts w:ascii="Arial" w:hAnsi="Arial" w:cs="Arial" w:eastAsia="Arial" w:hint="default"/>
                <w:sz w:val="20"/>
                <w:szCs w:val="20"/>
              </w:rPr>
            </w:pPr>
            <w:r>
              <w:rPr>
                <w:rFonts w:ascii="Arial"/>
                <w:w w:val="100"/>
                <w:sz w:val="20"/>
              </w:rPr>
              <w:t>-</w:t>
            </w:r>
          </w:p>
        </w:tc>
        <w:tc>
          <w:tcPr>
            <w:tcW w:w="1124" w:type="dxa"/>
            <w:tcBorders>
              <w:top w:val="nil" w:sz="6" w:space="0" w:color="auto"/>
              <w:left w:val="single" w:sz="4" w:space="0" w:color="000000"/>
              <w:bottom w:val="single" w:sz="17" w:space="0" w:color="000000"/>
              <w:right w:val="nil" w:sz="6" w:space="0" w:color="auto"/>
            </w:tcBorders>
          </w:tcPr>
          <w:p>
            <w:pPr>
              <w:pStyle w:val="TableParagraph"/>
              <w:spacing w:line="240" w:lineRule="auto" w:before="21"/>
              <w:ind w:right="123"/>
              <w:jc w:val="right"/>
              <w:rPr>
                <w:rFonts w:ascii="Arial" w:hAnsi="Arial" w:cs="Arial" w:eastAsia="Arial" w:hint="default"/>
                <w:sz w:val="20"/>
                <w:szCs w:val="20"/>
              </w:rPr>
            </w:pPr>
            <w:r>
              <w:rPr>
                <w:rFonts w:ascii="Arial"/>
                <w:sz w:val="20"/>
              </w:rPr>
              <w:t>12,251</w:t>
            </w:r>
          </w:p>
        </w:tc>
        <w:tc>
          <w:tcPr>
            <w:tcW w:w="1672" w:type="dxa"/>
            <w:tcBorders>
              <w:top w:val="nil" w:sz="6" w:space="0" w:color="auto"/>
              <w:left w:val="nil" w:sz="6" w:space="0" w:color="auto"/>
              <w:bottom w:val="single" w:sz="17" w:space="0" w:color="000000"/>
              <w:right w:val="nil" w:sz="6" w:space="0" w:color="auto"/>
            </w:tcBorders>
          </w:tcPr>
          <w:p>
            <w:pPr>
              <w:pStyle w:val="TableParagraph"/>
              <w:spacing w:line="240" w:lineRule="auto" w:before="21"/>
              <w:ind w:right="105"/>
              <w:jc w:val="right"/>
              <w:rPr>
                <w:rFonts w:ascii="Arial" w:hAnsi="Arial" w:cs="Arial" w:eastAsia="Arial" w:hint="default"/>
                <w:sz w:val="20"/>
                <w:szCs w:val="20"/>
              </w:rPr>
            </w:pPr>
            <w:r>
              <w:rPr>
                <w:rFonts w:ascii="Arial"/>
                <w:spacing w:val="-1"/>
                <w:sz w:val="20"/>
              </w:rPr>
              <w:t>7.9%</w:t>
            </w:r>
            <w:r>
              <w:rPr>
                <w:rFonts w:ascii="Arial"/>
                <w:sz w:val="20"/>
              </w:rPr>
            </w:r>
          </w:p>
        </w:tc>
      </w:tr>
    </w:tbl>
    <w:p>
      <w:pPr>
        <w:spacing w:line="240" w:lineRule="auto" w:before="6"/>
        <w:rPr>
          <w:rFonts w:ascii="宋体" w:hAnsi="宋体" w:cs="宋体" w:eastAsia="宋体" w:hint="default"/>
          <w:sz w:val="16"/>
          <w:szCs w:val="16"/>
        </w:rPr>
      </w:pPr>
    </w:p>
    <w:p>
      <w:pPr>
        <w:pStyle w:val="Heading8"/>
        <w:spacing w:line="240" w:lineRule="auto" w:before="31"/>
        <w:ind w:right="99"/>
        <w:jc w:val="left"/>
        <w:rPr>
          <w:b w:val="0"/>
          <w:bCs w:val="0"/>
        </w:rPr>
      </w:pPr>
      <w:r>
        <w:rPr>
          <w:rFonts w:ascii="Arial" w:hAnsi="Arial" w:cs="Arial" w:eastAsia="Arial" w:hint="default"/>
        </w:rPr>
        <w:t>3.1</w:t>
      </w:r>
      <w:r>
        <w:rPr>
          <w:rFonts w:ascii="Arial" w:hAnsi="Arial" w:cs="Arial" w:eastAsia="Arial" w:hint="default"/>
          <w:spacing w:val="50"/>
        </w:rPr>
        <w:t> </w:t>
      </w:r>
      <w:r>
        <w:rPr/>
        <w:t>网间结算支出</w:t>
      </w:r>
      <w:r>
        <w:rPr>
          <w:b w:val="0"/>
          <w:bCs w:val="0"/>
        </w:rPr>
      </w:r>
    </w:p>
    <w:p>
      <w:pPr>
        <w:spacing w:line="240" w:lineRule="auto" w:before="2"/>
        <w:rPr>
          <w:rFonts w:ascii="宋体" w:hAnsi="宋体" w:cs="宋体" w:eastAsia="宋体" w:hint="default"/>
          <w:b/>
          <w:bCs/>
          <w:sz w:val="22"/>
          <w:szCs w:val="22"/>
        </w:rPr>
      </w:pPr>
    </w:p>
    <w:p>
      <w:pPr>
        <w:pStyle w:val="BodyText"/>
        <w:spacing w:line="280" w:lineRule="exact"/>
        <w:ind w:left="569" w:right="206" w:firstLine="2"/>
        <w:jc w:val="left"/>
      </w:pPr>
      <w:r>
        <w:rPr/>
        <w:t>本公司</w:t>
      </w:r>
      <w:r>
        <w:rPr>
          <w:spacing w:val="-54"/>
        </w:rPr>
        <w:t> </w:t>
      </w:r>
      <w:r>
        <w:rPr>
          <w:rFonts w:ascii="Arial" w:hAnsi="Arial" w:cs="Arial" w:eastAsia="Arial" w:hint="default"/>
        </w:rPr>
        <w:t>2009</w:t>
      </w:r>
      <w:r>
        <w:rPr>
          <w:rFonts w:ascii="Arial" w:hAnsi="Arial" w:cs="Arial" w:eastAsia="Arial" w:hint="default"/>
          <w:spacing w:val="-4"/>
        </w:rPr>
        <w:t> </w:t>
      </w:r>
      <w:r>
        <w:rPr/>
        <w:t>年的网间结算成本共发生人民币</w:t>
      </w:r>
      <w:r>
        <w:rPr>
          <w:spacing w:val="-52"/>
        </w:rPr>
        <w:t> </w:t>
      </w:r>
      <w:r>
        <w:rPr>
          <w:rFonts w:ascii="Arial" w:hAnsi="Arial" w:cs="Arial" w:eastAsia="Arial" w:hint="default"/>
        </w:rPr>
        <w:t>129.5</w:t>
      </w:r>
      <w:r>
        <w:rPr>
          <w:rFonts w:ascii="Arial" w:hAnsi="Arial" w:cs="Arial" w:eastAsia="Arial" w:hint="default"/>
          <w:spacing w:val="-4"/>
        </w:rPr>
        <w:t> </w:t>
      </w:r>
      <w:r>
        <w:rPr/>
        <w:t>亿元，比上年下降</w:t>
      </w:r>
      <w:r>
        <w:rPr>
          <w:spacing w:val="-53"/>
        </w:rPr>
        <w:t> </w:t>
      </w:r>
      <w:r>
        <w:rPr>
          <w:rFonts w:ascii="Arial" w:hAnsi="Arial" w:cs="Arial" w:eastAsia="Arial" w:hint="default"/>
        </w:rPr>
        <w:t>0.6%</w:t>
      </w:r>
      <w:r>
        <w:rPr/>
        <w:t>，所占调整后通</w:t>
      </w:r>
      <w:r>
        <w:rPr>
          <w:w w:val="99"/>
        </w:rPr>
        <w:t> </w:t>
      </w:r>
      <w:r>
        <w:rPr/>
        <w:t>信服务收入的比重与上年持平。</w:t>
      </w:r>
    </w:p>
    <w:p>
      <w:pPr>
        <w:spacing w:line="240" w:lineRule="auto" w:before="12"/>
        <w:rPr>
          <w:rFonts w:ascii="宋体" w:hAnsi="宋体" w:cs="宋体" w:eastAsia="宋体" w:hint="default"/>
          <w:sz w:val="18"/>
          <w:szCs w:val="18"/>
        </w:rPr>
      </w:pPr>
    </w:p>
    <w:p>
      <w:pPr>
        <w:pStyle w:val="Heading8"/>
        <w:spacing w:line="240" w:lineRule="auto"/>
        <w:ind w:left="150" w:right="99"/>
        <w:jc w:val="left"/>
        <w:rPr>
          <w:b w:val="0"/>
          <w:bCs w:val="0"/>
        </w:rPr>
      </w:pPr>
      <w:r>
        <w:rPr>
          <w:rFonts w:ascii="Arial" w:hAnsi="Arial" w:cs="Arial" w:eastAsia="Arial" w:hint="default"/>
        </w:rPr>
        <w:t>3.2</w:t>
      </w:r>
      <w:r>
        <w:rPr>
          <w:rFonts w:ascii="Arial" w:hAnsi="Arial" w:cs="Arial" w:eastAsia="Arial" w:hint="default"/>
          <w:spacing w:val="51"/>
        </w:rPr>
        <w:t> </w:t>
      </w:r>
      <w:r>
        <w:rPr/>
        <w:t>折旧及摊销</w:t>
      </w:r>
      <w:r>
        <w:rPr>
          <w:b w:val="0"/>
          <w:bCs w:val="0"/>
        </w:rPr>
      </w:r>
    </w:p>
    <w:p>
      <w:pPr>
        <w:spacing w:line="240" w:lineRule="auto" w:before="2"/>
        <w:rPr>
          <w:rFonts w:ascii="宋体" w:hAnsi="宋体" w:cs="宋体" w:eastAsia="宋体" w:hint="default"/>
          <w:b/>
          <w:bCs/>
          <w:sz w:val="22"/>
          <w:szCs w:val="22"/>
        </w:rPr>
      </w:pPr>
    </w:p>
    <w:p>
      <w:pPr>
        <w:pStyle w:val="BodyText"/>
        <w:spacing w:line="280" w:lineRule="exact"/>
        <w:ind w:left="569" w:right="216" w:firstLine="2"/>
        <w:jc w:val="both"/>
      </w:pPr>
      <w:r>
        <w:rPr>
          <w:w w:val="99"/>
        </w:rPr>
        <w:t>本公司</w:t>
      </w:r>
      <w:r>
        <w:rPr>
          <w:spacing w:val="-53"/>
          <w:w w:val="99"/>
        </w:rPr>
        <w:t> </w:t>
      </w:r>
      <w:r>
        <w:rPr>
          <w:rFonts w:ascii="Arial" w:hAnsi="Arial" w:cs="Arial" w:eastAsia="Arial" w:hint="default"/>
          <w:w w:val="99"/>
        </w:rPr>
        <w:t>3G</w:t>
      </w:r>
      <w:r>
        <w:rPr>
          <w:rFonts w:ascii="Arial" w:hAnsi="Arial" w:cs="Arial" w:eastAsia="Arial" w:hint="default"/>
          <w:spacing w:val="-4"/>
          <w:w w:val="99"/>
        </w:rPr>
        <w:t> </w:t>
      </w:r>
      <w:r>
        <w:rPr>
          <w:w w:val="99"/>
        </w:rPr>
        <w:t>网络资产四季度增加折旧及摊销人民币</w:t>
      </w:r>
      <w:r>
        <w:rPr>
          <w:spacing w:val="-53"/>
          <w:w w:val="99"/>
        </w:rPr>
        <w:t> </w:t>
      </w:r>
      <w:r>
        <w:rPr>
          <w:rFonts w:ascii="Arial" w:hAnsi="Arial" w:cs="Arial" w:eastAsia="Arial" w:hint="default"/>
          <w:w w:val="99"/>
        </w:rPr>
        <w:t>6.5</w:t>
      </w:r>
      <w:r>
        <w:rPr>
          <w:rFonts w:ascii="Arial" w:hAnsi="Arial" w:cs="Arial" w:eastAsia="Arial" w:hint="default"/>
          <w:spacing w:val="-4"/>
          <w:w w:val="99"/>
        </w:rPr>
        <w:t> </w:t>
      </w:r>
      <w:r>
        <w:rPr>
          <w:spacing w:val="-5"/>
          <w:w w:val="99"/>
        </w:rPr>
        <w:t>亿元，但受上年无线市话业务相关资产</w:t>
      </w:r>
      <w:r>
        <w:rPr>
          <w:w w:val="99"/>
        </w:rPr>
        <w:t> </w:t>
      </w:r>
      <w:r>
        <w:rPr/>
        <w:t>减值及本年度部分固定资产提足折旧的影响，</w:t>
      </w:r>
      <w:r>
        <w:rPr>
          <w:rFonts w:ascii="Arial" w:hAnsi="Arial" w:cs="Arial" w:eastAsia="Arial" w:hint="default"/>
        </w:rPr>
        <w:t>2009</w:t>
      </w:r>
      <w:r>
        <w:rPr>
          <w:rFonts w:ascii="Arial" w:hAnsi="Arial" w:cs="Arial" w:eastAsia="Arial" w:hint="default"/>
          <w:spacing w:val="-17"/>
        </w:rPr>
        <w:t> </w:t>
      </w:r>
      <w:r>
        <w:rPr/>
        <w:t>年本公司的折旧及摊销为人民币</w:t>
      </w:r>
      <w:r>
        <w:rPr>
          <w:spacing w:val="-66"/>
        </w:rPr>
        <w:t> </w:t>
      </w:r>
      <w:r>
        <w:rPr>
          <w:rFonts w:ascii="Arial" w:hAnsi="Arial" w:cs="Arial" w:eastAsia="Arial" w:hint="default"/>
        </w:rPr>
        <w:t>479.0</w:t>
      </w:r>
      <w:r>
        <w:rPr>
          <w:rFonts w:ascii="Arial" w:hAnsi="Arial" w:cs="Arial" w:eastAsia="Arial" w:hint="default"/>
          <w:spacing w:val="-18"/>
        </w:rPr>
        <w:t> </w:t>
      </w:r>
      <w:r>
        <w:rPr/>
        <w:t>亿</w:t>
      </w:r>
      <w:r>
        <w:rPr>
          <w:w w:val="99"/>
        </w:rPr>
        <w:t> </w:t>
      </w:r>
      <w:r>
        <w:rPr/>
        <w:t>元，所占调整后通信服务收入的比重与上年持平。</w:t>
      </w:r>
    </w:p>
    <w:p>
      <w:pPr>
        <w:spacing w:line="240" w:lineRule="auto" w:before="12"/>
        <w:rPr>
          <w:rFonts w:ascii="宋体" w:hAnsi="宋体" w:cs="宋体" w:eastAsia="宋体" w:hint="default"/>
          <w:sz w:val="18"/>
          <w:szCs w:val="18"/>
        </w:rPr>
      </w:pPr>
    </w:p>
    <w:p>
      <w:pPr>
        <w:pStyle w:val="Heading8"/>
        <w:spacing w:line="240" w:lineRule="auto"/>
        <w:ind w:left="150" w:right="99"/>
        <w:jc w:val="left"/>
        <w:rPr>
          <w:b w:val="0"/>
          <w:bCs w:val="0"/>
        </w:rPr>
      </w:pPr>
      <w:r>
        <w:rPr>
          <w:rFonts w:ascii="Arial" w:hAnsi="Arial" w:cs="Arial" w:eastAsia="Arial" w:hint="default"/>
        </w:rPr>
        <w:t>3.3</w:t>
      </w:r>
      <w:r>
        <w:rPr>
          <w:rFonts w:ascii="Arial" w:hAnsi="Arial" w:cs="Arial" w:eastAsia="Arial" w:hint="default"/>
          <w:spacing w:val="49"/>
        </w:rPr>
        <w:t> </w:t>
      </w:r>
      <w:r>
        <w:rPr/>
        <w:t>网络、营运及支撑成本</w:t>
      </w:r>
      <w:r>
        <w:rPr>
          <w:b w:val="0"/>
          <w:bCs w:val="0"/>
        </w:rPr>
      </w:r>
    </w:p>
    <w:p>
      <w:pPr>
        <w:spacing w:line="240" w:lineRule="auto" w:before="3"/>
        <w:rPr>
          <w:rFonts w:ascii="宋体" w:hAnsi="宋体" w:cs="宋体" w:eastAsia="宋体" w:hint="default"/>
          <w:b/>
          <w:bCs/>
          <w:sz w:val="21"/>
          <w:szCs w:val="21"/>
        </w:rPr>
      </w:pPr>
    </w:p>
    <w:p>
      <w:pPr>
        <w:pStyle w:val="BodyText"/>
        <w:spacing w:line="220" w:lineRule="auto"/>
        <w:ind w:left="570" w:right="102" w:firstLine="2"/>
        <w:jc w:val="left"/>
      </w:pPr>
      <w:r>
        <w:rPr/>
        <w:t>受</w:t>
      </w:r>
      <w:r>
        <w:rPr>
          <w:spacing w:val="-58"/>
        </w:rPr>
        <w:t> </w:t>
      </w:r>
      <w:r>
        <w:rPr>
          <w:rFonts w:ascii="Arial" w:hAnsi="Arial" w:cs="Arial" w:eastAsia="Arial" w:hint="default"/>
        </w:rPr>
        <w:t>3G</w:t>
      </w:r>
      <w:r>
        <w:rPr>
          <w:rFonts w:ascii="Arial" w:hAnsi="Arial" w:cs="Arial" w:eastAsia="Arial" w:hint="default"/>
          <w:spacing w:val="-10"/>
        </w:rPr>
        <w:t> </w:t>
      </w:r>
      <w:r>
        <w:rPr/>
        <w:t>网络正式运营、</w:t>
      </w:r>
      <w:r>
        <w:rPr>
          <w:rFonts w:ascii="Arial" w:hAnsi="Arial" w:cs="Arial" w:eastAsia="Arial" w:hint="default"/>
        </w:rPr>
        <w:t>GSM</w:t>
      </w:r>
      <w:r>
        <w:rPr>
          <w:rFonts w:ascii="Arial" w:hAnsi="Arial" w:cs="Arial" w:eastAsia="Arial" w:hint="default"/>
          <w:spacing w:val="-9"/>
        </w:rPr>
        <w:t> </w:t>
      </w:r>
      <w:r>
        <w:rPr/>
        <w:t>基站规模扩大和网络设备增加以及水电燃油等能源价格上涨等因</w:t>
      </w:r>
      <w:r>
        <w:rPr>
          <w:w w:val="99"/>
        </w:rPr>
        <w:t> </w:t>
      </w:r>
      <w:r>
        <w:rPr>
          <w:spacing w:val="-11"/>
        </w:rPr>
        <w:t>素影响，本公司</w:t>
      </w:r>
      <w:r>
        <w:rPr>
          <w:spacing w:val="-57"/>
        </w:rPr>
        <w:t> </w:t>
      </w:r>
      <w:r>
        <w:rPr>
          <w:rFonts w:ascii="Arial" w:hAnsi="Arial" w:cs="Arial" w:eastAsia="Arial" w:hint="default"/>
        </w:rPr>
        <w:t>2009</w:t>
      </w:r>
      <w:r>
        <w:rPr>
          <w:rFonts w:ascii="Arial" w:hAnsi="Arial" w:cs="Arial" w:eastAsia="Arial" w:hint="default"/>
          <w:spacing w:val="-8"/>
        </w:rPr>
        <w:t> </w:t>
      </w:r>
      <w:r>
        <w:rPr>
          <w:spacing w:val="-4"/>
        </w:rPr>
        <w:t>的网络、营运及支撑成本共发生人民币</w:t>
      </w:r>
      <w:r>
        <w:rPr>
          <w:spacing w:val="-57"/>
        </w:rPr>
        <w:t> </w:t>
      </w:r>
      <w:r>
        <w:rPr>
          <w:rFonts w:ascii="Arial" w:hAnsi="Arial" w:cs="Arial" w:eastAsia="Arial" w:hint="default"/>
        </w:rPr>
        <w:t>217.3</w:t>
      </w:r>
      <w:r>
        <w:rPr>
          <w:rFonts w:ascii="Arial" w:hAnsi="Arial" w:cs="Arial" w:eastAsia="Arial" w:hint="default"/>
          <w:spacing w:val="-8"/>
        </w:rPr>
        <w:t> </w:t>
      </w:r>
      <w:r>
        <w:rPr>
          <w:spacing w:val="-9"/>
        </w:rPr>
        <w:t>亿元，比上年增长</w:t>
      </w:r>
      <w:r>
        <w:rPr>
          <w:spacing w:val="-57"/>
        </w:rPr>
        <w:t> </w:t>
      </w:r>
      <w:r>
        <w:rPr>
          <w:rFonts w:ascii="Arial" w:hAnsi="Arial" w:cs="Arial" w:eastAsia="Arial" w:hint="default"/>
        </w:rPr>
        <w:t>16.0%</w:t>
      </w:r>
      <w:r>
        <w:rPr/>
        <w:t>，</w:t>
      </w:r>
      <w:r>
        <w:rPr>
          <w:w w:val="99"/>
        </w:rPr>
        <w:t> </w:t>
      </w:r>
      <w:r>
        <w:rPr/>
        <w:t>所占调整后通信服务收入的比重为</w:t>
      </w:r>
      <w:r>
        <w:rPr>
          <w:spacing w:val="-29"/>
        </w:rPr>
        <w:t> </w:t>
      </w:r>
      <w:r>
        <w:rPr>
          <w:rFonts w:ascii="Arial" w:hAnsi="Arial" w:cs="Arial" w:eastAsia="Arial" w:hint="default"/>
        </w:rPr>
        <w:t>14.2%</w:t>
      </w:r>
      <w:r>
        <w:rPr/>
        <w:t>，比上年上升</w:t>
      </w:r>
      <w:r>
        <w:rPr>
          <w:spacing w:val="-31"/>
        </w:rPr>
        <w:t> </w:t>
      </w:r>
      <w:r>
        <w:rPr>
          <w:rFonts w:ascii="Arial" w:hAnsi="Arial" w:cs="Arial" w:eastAsia="Arial" w:hint="default"/>
        </w:rPr>
        <w:t>2.1</w:t>
      </w:r>
      <w:r>
        <w:rPr>
          <w:rFonts w:ascii="Arial" w:hAnsi="Arial" w:cs="Arial" w:eastAsia="Arial" w:hint="default"/>
          <w:spacing w:val="18"/>
        </w:rPr>
        <w:t> </w:t>
      </w:r>
      <w:r>
        <w:rPr/>
        <w:t>个百分点。其中，公司通过实施</w:t>
      </w:r>
      <w:r>
        <w:rPr>
          <w:w w:val="99"/>
        </w:rPr>
        <w:t> </w:t>
      </w:r>
      <w:r>
        <w:rPr/>
        <w:t>网络资源共享，发挥协同效应，通信电路租赁费发生人民币</w:t>
      </w:r>
      <w:r>
        <w:rPr>
          <w:spacing w:val="-56"/>
        </w:rPr>
        <w:t> </w:t>
      </w:r>
      <w:r>
        <w:rPr>
          <w:rFonts w:ascii="Arial" w:hAnsi="Arial" w:cs="Arial" w:eastAsia="Arial" w:hint="default"/>
        </w:rPr>
        <w:t>11.9</w:t>
      </w:r>
      <w:r>
        <w:rPr>
          <w:rFonts w:ascii="Arial" w:hAnsi="Arial" w:cs="Arial" w:eastAsia="Arial" w:hint="default"/>
          <w:spacing w:val="-8"/>
        </w:rPr>
        <w:t> </w:t>
      </w:r>
      <w:r>
        <w:rPr/>
        <w:t>亿元，较上年下降</w:t>
      </w:r>
      <w:r>
        <w:rPr>
          <w:spacing w:val="-57"/>
        </w:rPr>
        <w:t> </w:t>
      </w:r>
      <w:r>
        <w:rPr>
          <w:rFonts w:ascii="Arial" w:hAnsi="Arial" w:cs="Arial" w:eastAsia="Arial" w:hint="default"/>
        </w:rPr>
        <w:t>22.6%</w:t>
      </w:r>
      <w:r>
        <w:rPr/>
        <w:t>。</w:t>
      </w:r>
    </w:p>
    <w:p>
      <w:pPr>
        <w:spacing w:line="240" w:lineRule="auto" w:before="11"/>
        <w:rPr>
          <w:rFonts w:ascii="宋体" w:hAnsi="宋体" w:cs="宋体" w:eastAsia="宋体" w:hint="default"/>
          <w:sz w:val="19"/>
          <w:szCs w:val="19"/>
        </w:rPr>
      </w:pPr>
    </w:p>
    <w:p>
      <w:pPr>
        <w:pStyle w:val="Heading8"/>
        <w:spacing w:line="240" w:lineRule="auto"/>
        <w:ind w:left="150" w:right="99"/>
        <w:jc w:val="left"/>
        <w:rPr>
          <w:b w:val="0"/>
          <w:bCs w:val="0"/>
        </w:rPr>
      </w:pPr>
      <w:r>
        <w:rPr>
          <w:rFonts w:ascii="Arial" w:hAnsi="Arial" w:cs="Arial" w:eastAsia="Arial" w:hint="default"/>
        </w:rPr>
        <w:t>3.4</w:t>
      </w:r>
      <w:r>
        <w:rPr>
          <w:rFonts w:ascii="Arial" w:hAnsi="Arial" w:cs="Arial" w:eastAsia="Arial" w:hint="default"/>
          <w:spacing w:val="48"/>
        </w:rPr>
        <w:t> </w:t>
      </w:r>
      <w:r>
        <w:rPr/>
        <w:t>中国南方电信网络资产产生的租赁费</w:t>
      </w:r>
      <w:r>
        <w:rPr>
          <w:b w:val="0"/>
          <w:bCs w:val="0"/>
        </w:rPr>
      </w:r>
    </w:p>
    <w:p>
      <w:pPr>
        <w:spacing w:line="240" w:lineRule="auto" w:before="8"/>
        <w:rPr>
          <w:rFonts w:ascii="宋体" w:hAnsi="宋体" w:cs="宋体" w:eastAsia="宋体" w:hint="default"/>
          <w:b/>
          <w:bCs/>
          <w:sz w:val="19"/>
          <w:szCs w:val="19"/>
        </w:rPr>
      </w:pPr>
    </w:p>
    <w:p>
      <w:pPr>
        <w:pStyle w:val="BodyText"/>
        <w:spacing w:line="292" w:lineRule="exact"/>
        <w:ind w:left="572" w:right="99"/>
        <w:jc w:val="left"/>
      </w:pPr>
      <w:r>
        <w:rPr/>
        <w:t>本公司于</w:t>
      </w:r>
      <w:r>
        <w:rPr>
          <w:spacing w:val="-48"/>
        </w:rPr>
        <w:t> </w:t>
      </w:r>
      <w:r>
        <w:rPr>
          <w:rFonts w:ascii="Arial" w:hAnsi="Arial" w:cs="Arial" w:eastAsia="Arial" w:hint="default"/>
        </w:rPr>
        <w:t>2009</w:t>
      </w:r>
      <w:r>
        <w:rPr>
          <w:rFonts w:ascii="Arial" w:hAnsi="Arial" w:cs="Arial" w:eastAsia="Arial" w:hint="default"/>
          <w:spacing w:val="2"/>
        </w:rPr>
        <w:t> </w:t>
      </w:r>
      <w:r>
        <w:rPr/>
        <w:t>年</w:t>
      </w:r>
      <w:r>
        <w:rPr>
          <w:spacing w:val="-48"/>
        </w:rPr>
        <w:t> </w:t>
      </w:r>
      <w:r>
        <w:rPr>
          <w:rFonts w:ascii="Arial" w:hAnsi="Arial" w:cs="Arial" w:eastAsia="Arial" w:hint="default"/>
        </w:rPr>
        <w:t>1</w:t>
      </w:r>
      <w:r>
        <w:rPr>
          <w:rFonts w:ascii="Arial" w:hAnsi="Arial" w:cs="Arial" w:eastAsia="Arial" w:hint="default"/>
          <w:spacing w:val="1"/>
        </w:rPr>
        <w:t> </w:t>
      </w:r>
      <w:r>
        <w:rPr/>
        <w:t>月完成中国南方</w:t>
      </w:r>
      <w:r>
        <w:rPr>
          <w:spacing w:val="-46"/>
        </w:rPr>
        <w:t> </w:t>
      </w:r>
      <w:r>
        <w:rPr>
          <w:rFonts w:ascii="Arial" w:hAnsi="Arial" w:cs="Arial" w:eastAsia="Arial" w:hint="default"/>
        </w:rPr>
        <w:t>21</w:t>
      </w:r>
      <w:r>
        <w:rPr>
          <w:rFonts w:ascii="Arial" w:hAnsi="Arial" w:cs="Arial" w:eastAsia="Arial" w:hint="default"/>
          <w:spacing w:val="1"/>
        </w:rPr>
        <w:t> </w:t>
      </w:r>
      <w:r>
        <w:rPr/>
        <w:t>省固网业务收购。收购后中国南方</w:t>
      </w:r>
      <w:r>
        <w:rPr>
          <w:spacing w:val="-47"/>
        </w:rPr>
        <w:t> </w:t>
      </w:r>
      <w:r>
        <w:rPr>
          <w:rFonts w:ascii="Arial" w:hAnsi="Arial" w:cs="Arial" w:eastAsia="Arial" w:hint="default"/>
        </w:rPr>
        <w:t>21</w:t>
      </w:r>
      <w:r>
        <w:rPr>
          <w:rFonts w:ascii="Arial" w:hAnsi="Arial" w:cs="Arial" w:eastAsia="Arial" w:hint="default"/>
          <w:spacing w:val="1"/>
        </w:rPr>
        <w:t> </w:t>
      </w:r>
      <w:r>
        <w:rPr/>
        <w:t>省网络资产保</w:t>
      </w:r>
    </w:p>
    <w:p>
      <w:pPr>
        <w:pStyle w:val="BodyText"/>
        <w:spacing w:line="280" w:lineRule="exact"/>
        <w:ind w:left="570" w:right="99"/>
        <w:jc w:val="left"/>
      </w:pPr>
      <w:r>
        <w:rPr/>
        <w:t>留在联通新时空，自</w:t>
      </w:r>
      <w:r>
        <w:rPr>
          <w:spacing w:val="-50"/>
        </w:rPr>
        <w:t> </w:t>
      </w:r>
      <w:r>
        <w:rPr>
          <w:rFonts w:ascii="Arial" w:hAnsi="Arial" w:cs="Arial" w:eastAsia="Arial" w:hint="default"/>
        </w:rPr>
        <w:t>2009</w:t>
      </w:r>
      <w:r>
        <w:rPr>
          <w:rFonts w:ascii="Arial" w:hAnsi="Arial" w:cs="Arial" w:eastAsia="Arial" w:hint="default"/>
          <w:spacing w:val="-1"/>
        </w:rPr>
        <w:t> </w:t>
      </w:r>
      <w:r>
        <w:rPr/>
        <w:t>年</w:t>
      </w:r>
      <w:r>
        <w:rPr>
          <w:spacing w:val="-50"/>
        </w:rPr>
        <w:t> </w:t>
      </w:r>
      <w:r>
        <w:rPr>
          <w:rFonts w:ascii="Arial" w:hAnsi="Arial" w:cs="Arial" w:eastAsia="Arial" w:hint="default"/>
        </w:rPr>
        <w:t>1</w:t>
      </w:r>
      <w:r>
        <w:rPr>
          <w:rFonts w:ascii="Arial" w:hAnsi="Arial" w:cs="Arial" w:eastAsia="Arial" w:hint="default"/>
          <w:spacing w:val="-1"/>
        </w:rPr>
        <w:t> </w:t>
      </w:r>
      <w:r>
        <w:rPr/>
        <w:t>月</w:t>
      </w:r>
      <w:r>
        <w:rPr>
          <w:spacing w:val="-50"/>
        </w:rPr>
        <w:t> </w:t>
      </w:r>
      <w:r>
        <w:rPr>
          <w:rFonts w:ascii="Arial" w:hAnsi="Arial" w:cs="Arial" w:eastAsia="Arial" w:hint="default"/>
        </w:rPr>
        <w:t>31</w:t>
      </w:r>
      <w:r>
        <w:rPr>
          <w:rFonts w:ascii="Arial" w:hAnsi="Arial" w:cs="Arial" w:eastAsia="Arial" w:hint="default"/>
          <w:spacing w:val="-1"/>
        </w:rPr>
        <w:t> </w:t>
      </w:r>
      <w:r>
        <w:rPr/>
        <w:t>日起由本公司通过经营性租赁经营。因此</w:t>
      </w:r>
      <w:r>
        <w:rPr>
          <w:spacing w:val="-50"/>
        </w:rPr>
        <w:t> </w:t>
      </w:r>
      <w:r>
        <w:rPr>
          <w:rFonts w:ascii="Arial" w:hAnsi="Arial" w:cs="Arial" w:eastAsia="Arial" w:hint="default"/>
        </w:rPr>
        <w:t>2009</w:t>
      </w:r>
      <w:r>
        <w:rPr>
          <w:rFonts w:ascii="Arial" w:hAnsi="Arial" w:cs="Arial" w:eastAsia="Arial" w:hint="default"/>
          <w:spacing w:val="-1"/>
        </w:rPr>
        <w:t> </w:t>
      </w:r>
      <w:r>
        <w:rPr/>
        <w:t>年因租</w:t>
      </w:r>
    </w:p>
    <w:p>
      <w:pPr>
        <w:pStyle w:val="BodyText"/>
        <w:spacing w:line="280" w:lineRule="exact" w:before="21"/>
        <w:ind w:left="570" w:right="209"/>
        <w:jc w:val="left"/>
      </w:pPr>
      <w:r>
        <w:rPr/>
        <w:t>赁中国南方</w:t>
      </w:r>
      <w:r>
        <w:rPr>
          <w:spacing w:val="-54"/>
        </w:rPr>
        <w:t> </w:t>
      </w:r>
      <w:r>
        <w:rPr>
          <w:rFonts w:ascii="Arial" w:hAnsi="Arial" w:cs="Arial" w:eastAsia="Arial" w:hint="default"/>
        </w:rPr>
        <w:t>21</w:t>
      </w:r>
      <w:r>
        <w:rPr>
          <w:rFonts w:ascii="Arial" w:hAnsi="Arial" w:cs="Arial" w:eastAsia="Arial" w:hint="default"/>
          <w:spacing w:val="-6"/>
        </w:rPr>
        <w:t> </w:t>
      </w:r>
      <w:r>
        <w:rPr/>
        <w:t>省网络资产产生的租赁费为人民币</w:t>
      </w:r>
      <w:r>
        <w:rPr>
          <w:spacing w:val="-55"/>
        </w:rPr>
        <w:t> </w:t>
      </w:r>
      <w:r>
        <w:rPr>
          <w:rFonts w:ascii="Arial" w:hAnsi="Arial" w:cs="Arial" w:eastAsia="Arial" w:hint="default"/>
        </w:rPr>
        <w:t>20.0</w:t>
      </w:r>
      <w:r>
        <w:rPr>
          <w:rFonts w:ascii="Arial" w:hAnsi="Arial" w:cs="Arial" w:eastAsia="Arial" w:hint="default"/>
          <w:spacing w:val="-6"/>
        </w:rPr>
        <w:t> </w:t>
      </w:r>
      <w:r>
        <w:rPr>
          <w:spacing w:val="-3"/>
        </w:rPr>
        <w:t>亿元（</w:t>
      </w:r>
      <w:r>
        <w:rPr>
          <w:rFonts w:ascii="Arial" w:hAnsi="Arial" w:cs="Arial" w:eastAsia="Arial" w:hint="default"/>
          <w:spacing w:val="-3"/>
        </w:rPr>
        <w:t>2008</w:t>
      </w:r>
      <w:r>
        <w:rPr>
          <w:rFonts w:ascii="Arial" w:hAnsi="Arial" w:cs="Arial" w:eastAsia="Arial" w:hint="default"/>
          <w:spacing w:val="-6"/>
        </w:rPr>
        <w:t> </w:t>
      </w:r>
      <w:r>
        <w:rPr>
          <w:spacing w:val="-3"/>
        </w:rPr>
        <w:t>年：无租赁费，也无相应</w:t>
      </w:r>
      <w:r>
        <w:rPr>
          <w:w w:val="99"/>
        </w:rPr>
        <w:t> </w:t>
      </w:r>
      <w:r>
        <w:rPr/>
        <w:t>的资产折旧和摊销）。</w:t>
      </w:r>
    </w:p>
    <w:p>
      <w:pPr>
        <w:spacing w:after="0" w:line="280" w:lineRule="exact"/>
        <w:jc w:val="left"/>
        <w:sectPr>
          <w:pgSz w:w="11910" w:h="16840"/>
          <w:pgMar w:header="587" w:footer="774" w:top="960" w:bottom="960" w:left="1180" w:right="1060"/>
        </w:sectPr>
      </w:pPr>
    </w:p>
    <w:p>
      <w:pPr>
        <w:spacing w:line="240" w:lineRule="auto" w:before="9"/>
        <w:rPr>
          <w:rFonts w:ascii="宋体" w:hAnsi="宋体" w:cs="宋体" w:eastAsia="宋体" w:hint="default"/>
          <w:sz w:val="12"/>
          <w:szCs w:val="12"/>
        </w:rPr>
      </w:pPr>
    </w:p>
    <w:p>
      <w:pPr>
        <w:pStyle w:val="Heading8"/>
        <w:spacing w:line="240" w:lineRule="auto" w:before="31"/>
        <w:ind w:right="99"/>
        <w:jc w:val="left"/>
        <w:rPr>
          <w:b w:val="0"/>
          <w:bCs w:val="0"/>
        </w:rPr>
      </w:pPr>
      <w:r>
        <w:rPr>
          <w:rFonts w:ascii="Arial" w:hAnsi="Arial" w:cs="Arial" w:eastAsia="Arial" w:hint="default"/>
        </w:rPr>
        <w:t>3.5</w:t>
      </w:r>
      <w:r>
        <w:rPr>
          <w:rFonts w:ascii="Arial" w:hAnsi="Arial" w:cs="Arial" w:eastAsia="Arial" w:hint="default"/>
          <w:spacing w:val="50"/>
        </w:rPr>
        <w:t> </w:t>
      </w:r>
      <w:r>
        <w:rPr/>
        <w:t>雇员薪酬及福利开支</w:t>
      </w:r>
      <w:r>
        <w:rPr>
          <w:b w:val="0"/>
          <w:bCs w:val="0"/>
        </w:rPr>
      </w:r>
    </w:p>
    <w:p>
      <w:pPr>
        <w:spacing w:line="240" w:lineRule="auto" w:before="7"/>
        <w:rPr>
          <w:rFonts w:ascii="宋体" w:hAnsi="宋体" w:cs="宋体" w:eastAsia="宋体" w:hint="default"/>
          <w:b/>
          <w:bCs/>
          <w:sz w:val="20"/>
          <w:szCs w:val="20"/>
        </w:rPr>
      </w:pPr>
    </w:p>
    <w:p>
      <w:pPr>
        <w:pStyle w:val="BodyText"/>
        <w:spacing w:line="228" w:lineRule="auto"/>
        <w:ind w:left="569" w:right="217" w:firstLine="2"/>
        <w:jc w:val="both"/>
      </w:pPr>
      <w:r>
        <w:rPr/>
        <w:t>受规范社会化用工、社会平均工资增长导致社保及公积金缴存基数提高等因素影响，全年发</w:t>
      </w:r>
      <w:r>
        <w:rPr>
          <w:spacing w:val="-56"/>
        </w:rPr>
        <w:t> </w:t>
      </w:r>
      <w:r>
        <w:rPr>
          <w:spacing w:val="-56"/>
        </w:rPr>
      </w:r>
      <w:r>
        <w:rPr/>
        <w:t>生雇员薪酬及福利开支人民币</w:t>
      </w:r>
      <w:r>
        <w:rPr>
          <w:spacing w:val="-63"/>
        </w:rPr>
        <w:t> </w:t>
      </w:r>
      <w:r>
        <w:rPr>
          <w:rFonts w:ascii="Arial" w:hAnsi="Arial" w:cs="Arial" w:eastAsia="Arial" w:hint="default"/>
        </w:rPr>
        <w:t>219.3</w:t>
      </w:r>
      <w:r>
        <w:rPr>
          <w:rFonts w:ascii="Arial" w:hAnsi="Arial" w:cs="Arial" w:eastAsia="Arial" w:hint="default"/>
          <w:spacing w:val="-14"/>
        </w:rPr>
        <w:t> </w:t>
      </w:r>
      <w:r>
        <w:rPr>
          <w:spacing w:val="-3"/>
        </w:rPr>
        <w:t>亿元，比上年增长</w:t>
      </w:r>
      <w:r>
        <w:rPr>
          <w:spacing w:val="-63"/>
        </w:rPr>
        <w:t> </w:t>
      </w:r>
      <w:r>
        <w:rPr>
          <w:rFonts w:ascii="Arial" w:hAnsi="Arial" w:cs="Arial" w:eastAsia="Arial" w:hint="default"/>
        </w:rPr>
        <w:t>5.7%</w:t>
      </w:r>
      <w:r>
        <w:rPr/>
        <w:t>，所占调整后通信服务收入的比</w:t>
      </w:r>
      <w:r>
        <w:rPr>
          <w:w w:val="99"/>
        </w:rPr>
        <w:t> </w:t>
      </w:r>
      <w:r>
        <w:rPr/>
        <w:t>重为</w:t>
      </w:r>
      <w:r>
        <w:rPr>
          <w:spacing w:val="-57"/>
        </w:rPr>
        <w:t> </w:t>
      </w:r>
      <w:r>
        <w:rPr>
          <w:rFonts w:ascii="Arial" w:hAnsi="Arial" w:cs="Arial" w:eastAsia="Arial" w:hint="default"/>
        </w:rPr>
        <w:t>14.3%</w:t>
      </w:r>
      <w:r>
        <w:rPr/>
        <w:t>，较上年上升</w:t>
      </w:r>
      <w:r>
        <w:rPr>
          <w:spacing w:val="-57"/>
        </w:rPr>
        <w:t> </w:t>
      </w:r>
      <w:r>
        <w:rPr>
          <w:rFonts w:ascii="Arial" w:hAnsi="Arial" w:cs="Arial" w:eastAsia="Arial" w:hint="default"/>
        </w:rPr>
        <w:t>0.9</w:t>
      </w:r>
      <w:r>
        <w:rPr>
          <w:rFonts w:ascii="Arial" w:hAnsi="Arial" w:cs="Arial" w:eastAsia="Arial" w:hint="default"/>
          <w:spacing w:val="-8"/>
        </w:rPr>
        <w:t> </w:t>
      </w:r>
      <w:r>
        <w:rPr/>
        <w:t>个百分点。</w:t>
      </w:r>
    </w:p>
    <w:p>
      <w:pPr>
        <w:spacing w:line="240" w:lineRule="auto" w:before="11"/>
        <w:rPr>
          <w:rFonts w:ascii="宋体" w:hAnsi="宋体" w:cs="宋体" w:eastAsia="宋体" w:hint="default"/>
          <w:sz w:val="19"/>
          <w:szCs w:val="19"/>
        </w:rPr>
      </w:pPr>
    </w:p>
    <w:p>
      <w:pPr>
        <w:pStyle w:val="Heading8"/>
        <w:spacing w:line="240" w:lineRule="auto"/>
        <w:ind w:right="99"/>
        <w:jc w:val="left"/>
        <w:rPr>
          <w:b w:val="0"/>
          <w:bCs w:val="0"/>
        </w:rPr>
      </w:pPr>
      <w:r>
        <w:rPr>
          <w:rFonts w:ascii="Arial" w:hAnsi="Arial" w:cs="Arial" w:eastAsia="Arial" w:hint="default"/>
        </w:rPr>
        <w:t>3.6</w:t>
      </w:r>
      <w:r>
        <w:rPr>
          <w:rFonts w:ascii="Arial" w:hAnsi="Arial" w:cs="Arial" w:eastAsia="Arial" w:hint="default"/>
          <w:spacing w:val="51"/>
        </w:rPr>
        <w:t> </w:t>
      </w:r>
      <w:r>
        <w:rPr/>
        <w:t>销售费用</w:t>
      </w:r>
      <w:r>
        <w:rPr>
          <w:b w:val="0"/>
          <w:bCs w:val="0"/>
        </w:rPr>
      </w:r>
    </w:p>
    <w:p>
      <w:pPr>
        <w:spacing w:line="240" w:lineRule="auto" w:before="1"/>
        <w:rPr>
          <w:rFonts w:ascii="宋体" w:hAnsi="宋体" w:cs="宋体" w:eastAsia="宋体" w:hint="default"/>
          <w:b/>
          <w:bCs/>
          <w:sz w:val="21"/>
          <w:szCs w:val="21"/>
        </w:rPr>
      </w:pPr>
    </w:p>
    <w:p>
      <w:pPr>
        <w:pStyle w:val="BodyText"/>
        <w:spacing w:line="220" w:lineRule="auto"/>
        <w:ind w:left="569" w:right="217" w:firstLine="2"/>
        <w:jc w:val="both"/>
      </w:pPr>
      <w:r>
        <w:rPr>
          <w:rFonts w:ascii="Arial" w:hAnsi="Arial" w:cs="Arial" w:eastAsia="Arial" w:hint="default"/>
        </w:rPr>
        <w:t>3G </w:t>
      </w:r>
      <w:r>
        <w:rPr/>
        <w:t>业务自 </w:t>
      </w:r>
      <w:r>
        <w:rPr>
          <w:rFonts w:ascii="Arial" w:hAnsi="Arial" w:cs="Arial" w:eastAsia="Arial" w:hint="default"/>
        </w:rPr>
        <w:t>10 </w:t>
      </w:r>
      <w:r>
        <w:rPr/>
        <w:t>月 </w:t>
      </w:r>
      <w:r>
        <w:rPr>
          <w:rFonts w:ascii="Arial" w:hAnsi="Arial" w:cs="Arial" w:eastAsia="Arial" w:hint="default"/>
        </w:rPr>
        <w:t>1 </w:t>
      </w:r>
      <w:r>
        <w:rPr/>
        <w:t>日正式商用后，公司加大了广告宣传及市场推广力度，</w:t>
      </w:r>
      <w:r>
        <w:rPr>
          <w:rFonts w:ascii="Arial" w:hAnsi="Arial" w:cs="Arial" w:eastAsia="Arial" w:hint="default"/>
        </w:rPr>
        <w:t>3G</w:t>
      </w:r>
      <w:r>
        <w:rPr>
          <w:rFonts w:ascii="Arial" w:hAnsi="Arial" w:cs="Arial" w:eastAsia="Arial" w:hint="default"/>
          <w:spacing w:val="-32"/>
        </w:rPr>
        <w:t> </w:t>
      </w:r>
      <w:r>
        <w:rPr/>
        <w:t>业务发生业务</w:t>
      </w:r>
      <w:r>
        <w:rPr>
          <w:w w:val="99"/>
        </w:rPr>
        <w:t> </w:t>
      </w:r>
      <w:r>
        <w:rPr/>
        <w:t>及广告宣传费人民币</w:t>
      </w:r>
      <w:r>
        <w:rPr>
          <w:spacing w:val="-39"/>
        </w:rPr>
        <w:t> </w:t>
      </w:r>
      <w:r>
        <w:rPr>
          <w:rFonts w:ascii="Arial" w:hAnsi="Arial" w:cs="Arial" w:eastAsia="Arial" w:hint="default"/>
        </w:rPr>
        <w:t>11.7</w:t>
      </w:r>
      <w:r>
        <w:rPr>
          <w:rFonts w:ascii="Arial" w:hAnsi="Arial" w:cs="Arial" w:eastAsia="Arial" w:hint="default"/>
          <w:spacing w:val="10"/>
        </w:rPr>
        <w:t> </w:t>
      </w:r>
      <w:r>
        <w:rPr/>
        <w:t>亿元。</w:t>
      </w:r>
      <w:r>
        <w:rPr>
          <w:rFonts w:ascii="Arial" w:hAnsi="Arial" w:cs="Arial" w:eastAsia="Arial" w:hint="default"/>
        </w:rPr>
        <w:t>2009</w:t>
      </w:r>
      <w:r>
        <w:rPr>
          <w:rFonts w:ascii="Arial" w:hAnsi="Arial" w:cs="Arial" w:eastAsia="Arial" w:hint="default"/>
          <w:spacing w:val="10"/>
        </w:rPr>
        <w:t> </w:t>
      </w:r>
      <w:r>
        <w:rPr/>
        <w:t>年本公司销售费用支出人民币</w:t>
      </w:r>
      <w:r>
        <w:rPr>
          <w:spacing w:val="-39"/>
        </w:rPr>
        <w:t> </w:t>
      </w:r>
      <w:r>
        <w:rPr>
          <w:rFonts w:ascii="Arial" w:hAnsi="Arial" w:cs="Arial" w:eastAsia="Arial" w:hint="default"/>
        </w:rPr>
        <w:t>209.6</w:t>
      </w:r>
      <w:r>
        <w:rPr>
          <w:rFonts w:ascii="Arial" w:hAnsi="Arial" w:cs="Arial" w:eastAsia="Arial" w:hint="default"/>
          <w:spacing w:val="10"/>
        </w:rPr>
        <w:t> </w:t>
      </w:r>
      <w:r>
        <w:rPr/>
        <w:t>亿元，比上年增</w:t>
      </w:r>
      <w:r>
        <w:rPr>
          <w:w w:val="99"/>
        </w:rPr>
        <w:t> </w:t>
      </w:r>
      <w:r>
        <w:rPr/>
        <w:t>长</w:t>
      </w:r>
      <w:r>
        <w:rPr>
          <w:spacing w:val="-57"/>
        </w:rPr>
        <w:t> </w:t>
      </w:r>
      <w:r>
        <w:rPr>
          <w:rFonts w:ascii="Arial" w:hAnsi="Arial" w:cs="Arial" w:eastAsia="Arial" w:hint="default"/>
        </w:rPr>
        <w:t>8.5%</w:t>
      </w:r>
      <w:r>
        <w:rPr/>
        <w:t>，所占调整后通信服务收入的比重</w:t>
      </w:r>
      <w:r>
        <w:rPr>
          <w:spacing w:val="-57"/>
        </w:rPr>
        <w:t> </w:t>
      </w:r>
      <w:r>
        <w:rPr>
          <w:rFonts w:ascii="Arial" w:hAnsi="Arial" w:cs="Arial" w:eastAsia="Arial" w:hint="default"/>
        </w:rPr>
        <w:t>13.7%</w:t>
      </w:r>
      <w:r>
        <w:rPr/>
        <w:t>，较上年上升</w:t>
      </w:r>
      <w:r>
        <w:rPr>
          <w:spacing w:val="-57"/>
        </w:rPr>
        <w:t> </w:t>
      </w:r>
      <w:r>
        <w:rPr>
          <w:rFonts w:ascii="Arial" w:hAnsi="Arial" w:cs="Arial" w:eastAsia="Arial" w:hint="default"/>
        </w:rPr>
        <w:t>1.2</w:t>
      </w:r>
      <w:r>
        <w:rPr>
          <w:rFonts w:ascii="Arial" w:hAnsi="Arial" w:cs="Arial" w:eastAsia="Arial" w:hint="default"/>
          <w:spacing w:val="-8"/>
        </w:rPr>
        <w:t> </w:t>
      </w:r>
      <w:r>
        <w:rPr/>
        <w:t>个百分点。</w:t>
      </w:r>
    </w:p>
    <w:p>
      <w:pPr>
        <w:spacing w:line="240" w:lineRule="auto" w:before="12"/>
        <w:rPr>
          <w:rFonts w:ascii="宋体" w:hAnsi="宋体" w:cs="宋体" w:eastAsia="宋体" w:hint="default"/>
          <w:sz w:val="19"/>
          <w:szCs w:val="19"/>
        </w:rPr>
      </w:pPr>
    </w:p>
    <w:p>
      <w:pPr>
        <w:pStyle w:val="Heading8"/>
        <w:spacing w:line="240" w:lineRule="auto"/>
        <w:ind w:right="99"/>
        <w:jc w:val="left"/>
        <w:rPr>
          <w:b w:val="0"/>
          <w:bCs w:val="0"/>
        </w:rPr>
      </w:pPr>
      <w:r>
        <w:rPr>
          <w:rFonts w:ascii="Arial" w:hAnsi="Arial" w:cs="Arial" w:eastAsia="Arial" w:hint="default"/>
        </w:rPr>
        <w:t>3.7</w:t>
      </w:r>
      <w:r>
        <w:rPr>
          <w:rFonts w:ascii="Arial" w:hAnsi="Arial" w:cs="Arial" w:eastAsia="Arial" w:hint="default"/>
          <w:spacing w:val="50"/>
        </w:rPr>
        <w:t> </w:t>
      </w:r>
      <w:r>
        <w:rPr/>
        <w:t>信息通信技术成本</w:t>
      </w:r>
      <w:r>
        <w:rPr>
          <w:b w:val="0"/>
          <w:bCs w:val="0"/>
        </w:rPr>
      </w:r>
    </w:p>
    <w:p>
      <w:pPr>
        <w:spacing w:line="240" w:lineRule="auto" w:before="1"/>
        <w:rPr>
          <w:rFonts w:ascii="宋体" w:hAnsi="宋体" w:cs="宋体" w:eastAsia="宋体" w:hint="default"/>
          <w:b/>
          <w:bCs/>
          <w:sz w:val="21"/>
          <w:szCs w:val="21"/>
        </w:rPr>
      </w:pPr>
    </w:p>
    <w:p>
      <w:pPr>
        <w:pStyle w:val="BodyText"/>
        <w:spacing w:line="220" w:lineRule="auto"/>
        <w:ind w:left="570" w:right="215" w:firstLine="2"/>
        <w:jc w:val="both"/>
      </w:pPr>
      <w:r>
        <w:rPr/>
        <w:t>公司调整</w:t>
      </w:r>
      <w:r>
        <w:rPr>
          <w:spacing w:val="-53"/>
        </w:rPr>
        <w:t> </w:t>
      </w:r>
      <w:r>
        <w:rPr>
          <w:rFonts w:ascii="Arial" w:hAnsi="Arial" w:cs="Arial" w:eastAsia="Arial" w:hint="default"/>
        </w:rPr>
        <w:t>IT</w:t>
      </w:r>
      <w:r>
        <w:rPr>
          <w:rFonts w:ascii="Arial" w:hAnsi="Arial" w:cs="Arial" w:eastAsia="Arial" w:hint="default"/>
          <w:spacing w:val="-2"/>
        </w:rPr>
        <w:t> </w:t>
      </w:r>
      <w:r>
        <w:rPr/>
        <w:t>信息通信技术业务发展策略，注重服务技术提供，减少硬件销售，</w:t>
      </w:r>
      <w:r>
        <w:rPr>
          <w:rFonts w:ascii="Arial" w:hAnsi="Arial" w:cs="Arial" w:eastAsia="Arial" w:hint="default"/>
        </w:rPr>
        <w:t>2009</w:t>
      </w:r>
      <w:r>
        <w:rPr>
          <w:rFonts w:ascii="Arial" w:hAnsi="Arial" w:cs="Arial" w:eastAsia="Arial" w:hint="default"/>
          <w:spacing w:val="-3"/>
        </w:rPr>
        <w:t> </w:t>
      </w:r>
      <w:r>
        <w:rPr/>
        <w:t>年</w:t>
      </w:r>
      <w:r>
        <w:rPr>
          <w:spacing w:val="-53"/>
        </w:rPr>
        <w:t> </w:t>
      </w:r>
      <w:r>
        <w:rPr>
          <w:rFonts w:ascii="Arial" w:hAnsi="Arial" w:cs="Arial" w:eastAsia="Arial" w:hint="default"/>
        </w:rPr>
        <w:t>IT</w:t>
      </w:r>
      <w:r>
        <w:rPr>
          <w:rFonts w:ascii="Arial" w:hAnsi="Arial" w:cs="Arial" w:eastAsia="Arial" w:hint="default"/>
          <w:spacing w:val="-5"/>
        </w:rPr>
        <w:t> </w:t>
      </w:r>
      <w:r>
        <w:rPr/>
        <w:t>信</w:t>
      </w:r>
      <w:r>
        <w:rPr>
          <w:w w:val="99"/>
        </w:rPr>
        <w:t> </w:t>
      </w:r>
      <w:r>
        <w:rPr/>
        <w:t>息通信技术成本为人民币</w:t>
      </w:r>
      <w:r>
        <w:rPr>
          <w:spacing w:val="-58"/>
        </w:rPr>
        <w:t> </w:t>
      </w:r>
      <w:r>
        <w:rPr>
          <w:rFonts w:ascii="Arial" w:hAnsi="Arial" w:cs="Arial" w:eastAsia="Arial" w:hint="default"/>
        </w:rPr>
        <w:t>8.4</w:t>
      </w:r>
      <w:r>
        <w:rPr>
          <w:rFonts w:ascii="Arial" w:hAnsi="Arial" w:cs="Arial" w:eastAsia="Arial" w:hint="default"/>
          <w:spacing w:val="-9"/>
        </w:rPr>
        <w:t> </w:t>
      </w:r>
      <w:r>
        <w:rPr/>
        <w:t>亿元，比上年减少</w:t>
      </w:r>
      <w:r>
        <w:rPr>
          <w:spacing w:val="-58"/>
        </w:rPr>
        <w:t> </w:t>
      </w:r>
      <w:r>
        <w:rPr>
          <w:rFonts w:ascii="Arial" w:hAnsi="Arial" w:cs="Arial" w:eastAsia="Arial" w:hint="default"/>
        </w:rPr>
        <w:t>72.1%</w:t>
      </w:r>
      <w:r>
        <w:rPr/>
        <w:t>。同期</w:t>
      </w:r>
      <w:r>
        <w:rPr>
          <w:spacing w:val="-58"/>
        </w:rPr>
        <w:t> </w:t>
      </w:r>
      <w:r>
        <w:rPr>
          <w:rFonts w:ascii="Arial" w:hAnsi="Arial" w:cs="Arial" w:eastAsia="Arial" w:hint="default"/>
        </w:rPr>
        <w:t>IT</w:t>
      </w:r>
      <w:r>
        <w:rPr>
          <w:rFonts w:ascii="Arial" w:hAnsi="Arial" w:cs="Arial" w:eastAsia="Arial" w:hint="default"/>
          <w:spacing w:val="-9"/>
        </w:rPr>
        <w:t> </w:t>
      </w:r>
      <w:r>
        <w:rPr/>
        <w:t>信息通信技术收入为人民币</w:t>
      </w:r>
      <w:r>
        <w:rPr>
          <w:w w:val="99"/>
        </w:rPr>
        <w:t> </w:t>
      </w:r>
      <w:r>
        <w:rPr>
          <w:rFonts w:ascii="Arial" w:hAnsi="Arial" w:cs="Arial" w:eastAsia="Arial" w:hint="default"/>
        </w:rPr>
        <w:t>10.8 </w:t>
      </w:r>
      <w:r>
        <w:rPr/>
        <w:t>亿元，比上年减少</w:t>
      </w:r>
      <w:r>
        <w:rPr>
          <w:spacing w:val="-65"/>
        </w:rPr>
        <w:t> </w:t>
      </w:r>
      <w:r>
        <w:rPr>
          <w:rFonts w:ascii="Arial" w:hAnsi="Arial" w:cs="Arial" w:eastAsia="Arial" w:hint="default"/>
        </w:rPr>
        <w:t>71.2%</w:t>
      </w:r>
      <w:r>
        <w:rPr/>
        <w:t>。</w:t>
      </w:r>
    </w:p>
    <w:p>
      <w:pPr>
        <w:spacing w:line="240" w:lineRule="auto" w:before="12"/>
        <w:rPr>
          <w:rFonts w:ascii="宋体" w:hAnsi="宋体" w:cs="宋体" w:eastAsia="宋体" w:hint="default"/>
          <w:sz w:val="19"/>
          <w:szCs w:val="19"/>
        </w:rPr>
      </w:pPr>
    </w:p>
    <w:p>
      <w:pPr>
        <w:pStyle w:val="Heading8"/>
        <w:spacing w:line="240" w:lineRule="auto"/>
        <w:ind w:left="150" w:right="99"/>
        <w:jc w:val="left"/>
        <w:rPr>
          <w:b w:val="0"/>
          <w:bCs w:val="0"/>
        </w:rPr>
      </w:pPr>
      <w:r>
        <w:rPr>
          <w:rFonts w:ascii="Arial" w:hAnsi="Arial" w:cs="Arial" w:eastAsia="Arial" w:hint="default"/>
        </w:rPr>
        <w:t>3.8</w:t>
      </w:r>
      <w:r>
        <w:rPr>
          <w:rFonts w:ascii="Arial" w:hAnsi="Arial" w:cs="Arial" w:eastAsia="Arial" w:hint="default"/>
          <w:spacing w:val="50"/>
        </w:rPr>
        <w:t> </w:t>
      </w:r>
      <w:r>
        <w:rPr/>
        <w:t>管理费用及其他</w:t>
      </w:r>
      <w:r>
        <w:rPr>
          <w:b w:val="0"/>
          <w:bCs w:val="0"/>
        </w:rPr>
      </w:r>
    </w:p>
    <w:p>
      <w:pPr>
        <w:spacing w:line="240" w:lineRule="auto" w:before="7"/>
        <w:rPr>
          <w:rFonts w:ascii="宋体" w:hAnsi="宋体" w:cs="宋体" w:eastAsia="宋体" w:hint="default"/>
          <w:b/>
          <w:bCs/>
          <w:sz w:val="19"/>
          <w:szCs w:val="19"/>
        </w:rPr>
      </w:pPr>
    </w:p>
    <w:p>
      <w:pPr>
        <w:pStyle w:val="BodyText"/>
        <w:spacing w:line="292" w:lineRule="exact"/>
        <w:ind w:left="572" w:right="0"/>
        <w:jc w:val="both"/>
      </w:pPr>
      <w:r>
        <w:rPr/>
        <w:t>公司有效发挥协同效应，严格控制管理费用增长。</w:t>
      </w:r>
      <w:r>
        <w:rPr>
          <w:rFonts w:ascii="Arial" w:hAnsi="Arial" w:cs="Arial" w:eastAsia="Arial" w:hint="default"/>
        </w:rPr>
        <w:t>2009</w:t>
      </w:r>
      <w:r>
        <w:rPr>
          <w:rFonts w:ascii="Arial" w:hAnsi="Arial" w:cs="Arial" w:eastAsia="Arial" w:hint="default"/>
          <w:spacing w:val="-43"/>
        </w:rPr>
        <w:t> </w:t>
      </w:r>
      <w:r>
        <w:rPr/>
        <w:t>年本公司管理费用及其他支出人民币</w:t>
      </w:r>
    </w:p>
    <w:p>
      <w:pPr>
        <w:pStyle w:val="BodyText"/>
        <w:spacing w:line="292" w:lineRule="exact"/>
        <w:ind w:left="570" w:right="0"/>
        <w:jc w:val="both"/>
      </w:pPr>
      <w:r>
        <w:rPr>
          <w:rFonts w:ascii="Arial" w:hAnsi="Arial" w:cs="Arial" w:eastAsia="Arial" w:hint="default"/>
        </w:rPr>
        <w:t>96.6</w:t>
      </w:r>
      <w:r>
        <w:rPr>
          <w:rFonts w:ascii="Arial" w:hAnsi="Arial" w:cs="Arial" w:eastAsia="Arial" w:hint="default"/>
          <w:spacing w:val="-9"/>
        </w:rPr>
        <w:t> </w:t>
      </w:r>
      <w:r>
        <w:rPr/>
        <w:t>亿元，比上年下降</w:t>
      </w:r>
      <w:r>
        <w:rPr>
          <w:spacing w:val="-57"/>
        </w:rPr>
        <w:t> </w:t>
      </w:r>
      <w:r>
        <w:rPr>
          <w:rFonts w:ascii="Arial" w:hAnsi="Arial" w:cs="Arial" w:eastAsia="Arial" w:hint="default"/>
        </w:rPr>
        <w:t>0.3%</w:t>
      </w:r>
      <w:r>
        <w:rPr/>
        <w:t>，所占调整后通信服务收入的比重</w:t>
      </w:r>
      <w:r>
        <w:rPr>
          <w:spacing w:val="-58"/>
        </w:rPr>
        <w:t> </w:t>
      </w:r>
      <w:r>
        <w:rPr>
          <w:rFonts w:ascii="Arial" w:hAnsi="Arial" w:cs="Arial" w:eastAsia="Arial" w:hint="default"/>
        </w:rPr>
        <w:t>6.3%</w:t>
      </w:r>
      <w:r>
        <w:rPr/>
        <w:t>，与上年基本持平。</w:t>
      </w:r>
    </w:p>
    <w:p>
      <w:pPr>
        <w:spacing w:line="240" w:lineRule="auto" w:before="7"/>
        <w:rPr>
          <w:rFonts w:ascii="宋体" w:hAnsi="宋体" w:cs="宋体" w:eastAsia="宋体" w:hint="default"/>
          <w:sz w:val="19"/>
          <w:szCs w:val="19"/>
        </w:rPr>
      </w:pPr>
    </w:p>
    <w:p>
      <w:pPr>
        <w:pStyle w:val="Heading8"/>
        <w:spacing w:line="240" w:lineRule="auto"/>
        <w:ind w:left="150" w:right="99"/>
        <w:jc w:val="left"/>
        <w:rPr>
          <w:b w:val="0"/>
          <w:bCs w:val="0"/>
        </w:rPr>
      </w:pPr>
      <w:r>
        <w:rPr>
          <w:rFonts w:ascii="Arial" w:hAnsi="Arial" w:cs="Arial" w:eastAsia="Arial" w:hint="default"/>
        </w:rPr>
        <w:t>3.9</w:t>
      </w:r>
      <w:r>
        <w:rPr>
          <w:rFonts w:ascii="Arial" w:hAnsi="Arial" w:cs="Arial" w:eastAsia="Arial" w:hint="default"/>
          <w:spacing w:val="50"/>
        </w:rPr>
        <w:t> </w:t>
      </w:r>
      <w:r>
        <w:rPr/>
        <w:t>销售通信产品成本</w:t>
      </w:r>
      <w:r>
        <w:rPr>
          <w:b w:val="0"/>
          <w:bCs w:val="0"/>
        </w:rPr>
      </w:r>
    </w:p>
    <w:p>
      <w:pPr>
        <w:spacing w:line="240" w:lineRule="auto" w:before="8"/>
        <w:rPr>
          <w:rFonts w:ascii="宋体" w:hAnsi="宋体" w:cs="宋体" w:eastAsia="宋体" w:hint="default"/>
          <w:b/>
          <w:bCs/>
          <w:sz w:val="19"/>
          <w:szCs w:val="19"/>
        </w:rPr>
      </w:pPr>
    </w:p>
    <w:p>
      <w:pPr>
        <w:pStyle w:val="BodyText"/>
        <w:spacing w:line="292" w:lineRule="exact"/>
        <w:ind w:left="573" w:right="0"/>
        <w:jc w:val="both"/>
      </w:pPr>
      <w:r>
        <w:rPr/>
        <w:t>受 </w:t>
      </w:r>
      <w:r>
        <w:rPr>
          <w:rFonts w:ascii="Arial" w:hAnsi="Arial" w:cs="Arial" w:eastAsia="Arial" w:hint="default"/>
        </w:rPr>
        <w:t>3G  </w:t>
      </w:r>
      <w:r>
        <w:rPr>
          <w:spacing w:val="3"/>
        </w:rPr>
        <w:t>正式商用以来</w:t>
      </w:r>
      <w:r>
        <w:rPr>
          <w:rFonts w:ascii="Arial" w:hAnsi="Arial" w:cs="Arial" w:eastAsia="Arial" w:hint="default"/>
          <w:spacing w:val="3"/>
        </w:rPr>
        <w:t>,</w:t>
      </w:r>
      <w:r>
        <w:rPr>
          <w:spacing w:val="3"/>
        </w:rPr>
        <w:t>通信终端销量及补贴增加的影响</w:t>
      </w:r>
      <w:r>
        <w:rPr>
          <w:rFonts w:ascii="Arial" w:hAnsi="Arial" w:cs="Arial" w:eastAsia="Arial" w:hint="default"/>
          <w:spacing w:val="3"/>
        </w:rPr>
        <w:t>,2009</w:t>
      </w:r>
      <w:r>
        <w:rPr>
          <w:rFonts w:ascii="Arial" w:hAnsi="Arial" w:cs="Arial" w:eastAsia="Arial" w:hint="default"/>
          <w:spacing w:val="37"/>
        </w:rPr>
        <w:t> </w:t>
      </w:r>
      <w:r>
        <w:rPr>
          <w:spacing w:val="4"/>
        </w:rPr>
        <w:t>年销售通信产品成本为人民币</w:t>
      </w:r>
      <w:r>
        <w:rPr/>
      </w:r>
    </w:p>
    <w:p>
      <w:pPr>
        <w:pStyle w:val="BodyText"/>
        <w:spacing w:line="292" w:lineRule="exact"/>
        <w:ind w:left="570" w:right="0"/>
        <w:jc w:val="both"/>
      </w:pPr>
      <w:r>
        <w:rPr>
          <w:rFonts w:ascii="Arial" w:hAnsi="Arial" w:cs="Arial" w:eastAsia="Arial" w:hint="default"/>
          <w:w w:val="99"/>
        </w:rPr>
        <w:t>26.9</w:t>
      </w:r>
      <w:r>
        <w:rPr>
          <w:rFonts w:ascii="Arial" w:hAnsi="Arial" w:cs="Arial" w:eastAsia="Arial" w:hint="default"/>
          <w:spacing w:val="-27"/>
        </w:rPr>
        <w:t> </w:t>
      </w:r>
      <w:r>
        <w:rPr>
          <w:w w:val="99"/>
        </w:rPr>
        <w:t>亿元</w:t>
      </w:r>
      <w:r>
        <w:rPr>
          <w:spacing w:val="-110"/>
          <w:w w:val="99"/>
        </w:rPr>
        <w:t>，</w:t>
      </w:r>
      <w:r>
        <w:rPr>
          <w:w w:val="99"/>
        </w:rPr>
        <w:t>比上年增长</w:t>
      </w:r>
      <w:r>
        <w:rPr>
          <w:spacing w:val="-74"/>
        </w:rPr>
        <w:t> </w:t>
      </w:r>
      <w:r>
        <w:rPr>
          <w:rFonts w:ascii="Arial" w:hAnsi="Arial" w:cs="Arial" w:eastAsia="Arial" w:hint="default"/>
          <w:w w:val="99"/>
        </w:rPr>
        <w:t>24.7%</w:t>
      </w:r>
      <w:r>
        <w:rPr>
          <w:spacing w:val="-112"/>
          <w:w w:val="99"/>
        </w:rPr>
        <w:t>。</w:t>
      </w:r>
      <w:r>
        <w:rPr>
          <w:w w:val="99"/>
        </w:rPr>
        <w:t>同</w:t>
      </w:r>
      <w:r>
        <w:rPr>
          <w:spacing w:val="1"/>
          <w:w w:val="99"/>
        </w:rPr>
        <w:t>期</w:t>
      </w:r>
      <w:r>
        <w:rPr>
          <w:w w:val="99"/>
        </w:rPr>
        <w:t>销售通</w:t>
      </w:r>
      <w:r>
        <w:rPr>
          <w:spacing w:val="1"/>
          <w:w w:val="99"/>
        </w:rPr>
        <w:t>信产</w:t>
      </w:r>
      <w:r>
        <w:rPr>
          <w:w w:val="99"/>
        </w:rPr>
        <w:t>品收入</w:t>
      </w:r>
      <w:r>
        <w:rPr>
          <w:spacing w:val="1"/>
          <w:w w:val="99"/>
        </w:rPr>
        <w:t>为人</w:t>
      </w:r>
      <w:r>
        <w:rPr>
          <w:w w:val="99"/>
        </w:rPr>
        <w:t>民币</w:t>
      </w:r>
      <w:r>
        <w:rPr>
          <w:spacing w:val="-75"/>
        </w:rPr>
        <w:t> </w:t>
      </w:r>
      <w:r>
        <w:rPr>
          <w:rFonts w:ascii="Arial" w:hAnsi="Arial" w:cs="Arial" w:eastAsia="Arial" w:hint="default"/>
          <w:w w:val="99"/>
        </w:rPr>
        <w:t>22.3</w:t>
      </w:r>
      <w:r>
        <w:rPr>
          <w:rFonts w:ascii="Arial" w:hAnsi="Arial" w:cs="Arial" w:eastAsia="Arial" w:hint="default"/>
          <w:spacing w:val="-27"/>
        </w:rPr>
        <w:t> </w:t>
      </w:r>
      <w:r>
        <w:rPr>
          <w:w w:val="99"/>
        </w:rPr>
        <w:t>亿元</w:t>
      </w:r>
      <w:r>
        <w:rPr>
          <w:spacing w:val="-111"/>
          <w:w w:val="99"/>
        </w:rPr>
        <w:t>，</w:t>
      </w:r>
      <w:r>
        <w:rPr>
          <w:spacing w:val="1"/>
          <w:w w:val="99"/>
        </w:rPr>
        <w:t>比</w:t>
      </w:r>
      <w:r>
        <w:rPr>
          <w:w w:val="99"/>
        </w:rPr>
        <w:t>上年</w:t>
      </w:r>
      <w:r>
        <w:rPr>
          <w:spacing w:val="1"/>
          <w:w w:val="99"/>
        </w:rPr>
        <w:t>增</w:t>
      </w:r>
      <w:r>
        <w:rPr>
          <w:w w:val="99"/>
        </w:rPr>
        <w:t>长</w:t>
      </w:r>
      <w:r>
        <w:rPr>
          <w:spacing w:val="-76"/>
        </w:rPr>
        <w:t> </w:t>
      </w:r>
      <w:r>
        <w:rPr>
          <w:rFonts w:ascii="Arial" w:hAnsi="Arial" w:cs="Arial" w:eastAsia="Arial" w:hint="default"/>
          <w:w w:val="99"/>
        </w:rPr>
        <w:t>13.1%</w:t>
      </w:r>
      <w:r>
        <w:rPr>
          <w:w w:val="99"/>
        </w:rPr>
        <w:t>。</w:t>
      </w:r>
      <w:r>
        <w:rPr/>
      </w:r>
    </w:p>
    <w:p>
      <w:pPr>
        <w:spacing w:line="240" w:lineRule="auto" w:before="8"/>
        <w:rPr>
          <w:rFonts w:ascii="宋体" w:hAnsi="宋体" w:cs="宋体" w:eastAsia="宋体" w:hint="default"/>
          <w:sz w:val="19"/>
          <w:szCs w:val="19"/>
        </w:rPr>
      </w:pPr>
    </w:p>
    <w:p>
      <w:pPr>
        <w:pStyle w:val="Heading8"/>
        <w:spacing w:line="240" w:lineRule="auto"/>
        <w:ind w:right="99"/>
        <w:jc w:val="left"/>
        <w:rPr>
          <w:b w:val="0"/>
          <w:bCs w:val="0"/>
        </w:rPr>
      </w:pPr>
      <w:r>
        <w:rPr>
          <w:rFonts w:ascii="Arial" w:hAnsi="Arial" w:cs="Arial" w:eastAsia="Arial" w:hint="default"/>
        </w:rPr>
        <w:t>3.10</w:t>
      </w:r>
      <w:r>
        <w:rPr>
          <w:rFonts w:ascii="Arial" w:hAnsi="Arial" w:cs="Arial" w:eastAsia="Arial" w:hint="default"/>
          <w:spacing w:val="-8"/>
        </w:rPr>
        <w:t> </w:t>
      </w:r>
      <w:r>
        <w:rPr/>
        <w:t>财务费用</w:t>
      </w:r>
      <w:r>
        <w:rPr>
          <w:b w:val="0"/>
          <w:bCs w:val="0"/>
        </w:rPr>
      </w:r>
    </w:p>
    <w:p>
      <w:pPr>
        <w:spacing w:line="240" w:lineRule="auto" w:before="2"/>
        <w:rPr>
          <w:rFonts w:ascii="宋体" w:hAnsi="宋体" w:cs="宋体" w:eastAsia="宋体" w:hint="default"/>
          <w:b/>
          <w:bCs/>
          <w:sz w:val="22"/>
          <w:szCs w:val="22"/>
        </w:rPr>
      </w:pPr>
    </w:p>
    <w:p>
      <w:pPr>
        <w:pStyle w:val="BodyText"/>
        <w:spacing w:line="280" w:lineRule="exact"/>
        <w:ind w:left="569" w:right="107" w:firstLine="2"/>
        <w:jc w:val="both"/>
      </w:pPr>
      <w:r>
        <w:rPr/>
        <w:t>公司进一步优化债务结构，加强资金集中管理和统筹运作，积极采取低成本融资方式，同时</w:t>
      </w:r>
      <w:r>
        <w:rPr>
          <w:spacing w:val="-56"/>
        </w:rPr>
        <w:t> </w:t>
      </w:r>
      <w:r>
        <w:rPr>
          <w:spacing w:val="-56"/>
        </w:rPr>
      </w:r>
      <w:r>
        <w:rPr>
          <w:spacing w:val="7"/>
        </w:rPr>
        <w:t>受贷款基准利率下调及由于本年度工程建设相关利息费用资本化金额比上年增加的影响。</w:t>
      </w:r>
      <w:r>
        <w:rPr>
          <w:spacing w:val="-96"/>
        </w:rPr>
        <w:t> </w:t>
      </w:r>
      <w:r>
        <w:rPr>
          <w:spacing w:val="-96"/>
        </w:rPr>
      </w:r>
      <w:r>
        <w:rPr>
          <w:rFonts w:ascii="Arial" w:hAnsi="Arial" w:cs="Arial" w:eastAsia="Arial" w:hint="default"/>
          <w:w w:val="99"/>
        </w:rPr>
        <w:t>2009</w:t>
      </w:r>
      <w:r>
        <w:rPr>
          <w:rFonts w:ascii="Arial" w:hAnsi="Arial" w:cs="Arial" w:eastAsia="Arial" w:hint="default"/>
          <w:spacing w:val="-25"/>
          <w:w w:val="99"/>
        </w:rPr>
        <w:t> </w:t>
      </w:r>
      <w:r>
        <w:rPr>
          <w:w w:val="99"/>
        </w:rPr>
        <w:t>年本公司的财务费用由上年的人民币</w:t>
      </w:r>
      <w:r>
        <w:rPr>
          <w:spacing w:val="-74"/>
          <w:w w:val="99"/>
        </w:rPr>
        <w:t> </w:t>
      </w:r>
      <w:r>
        <w:rPr>
          <w:rFonts w:ascii="Arial" w:hAnsi="Arial" w:cs="Arial" w:eastAsia="Arial" w:hint="default"/>
          <w:w w:val="99"/>
        </w:rPr>
        <w:t>21.6</w:t>
      </w:r>
      <w:r>
        <w:rPr>
          <w:rFonts w:ascii="Arial" w:hAnsi="Arial" w:cs="Arial" w:eastAsia="Arial" w:hint="default"/>
          <w:spacing w:val="-26"/>
          <w:w w:val="99"/>
        </w:rPr>
        <w:t> </w:t>
      </w:r>
      <w:r>
        <w:rPr>
          <w:w w:val="99"/>
        </w:rPr>
        <w:t>亿元下降为人民币</w:t>
      </w:r>
      <w:r>
        <w:rPr>
          <w:spacing w:val="-75"/>
          <w:w w:val="99"/>
        </w:rPr>
        <w:t> </w:t>
      </w:r>
      <w:r>
        <w:rPr>
          <w:rFonts w:ascii="Arial" w:hAnsi="Arial" w:cs="Arial" w:eastAsia="Arial" w:hint="default"/>
          <w:w w:val="99"/>
        </w:rPr>
        <w:t>9.4</w:t>
      </w:r>
      <w:r>
        <w:rPr>
          <w:rFonts w:ascii="Arial" w:hAnsi="Arial" w:cs="Arial" w:eastAsia="Arial" w:hint="default"/>
          <w:spacing w:val="-24"/>
          <w:w w:val="99"/>
        </w:rPr>
        <w:t> </w:t>
      </w:r>
      <w:r>
        <w:rPr>
          <w:spacing w:val="-16"/>
          <w:w w:val="99"/>
        </w:rPr>
        <w:t>亿元，降幅达到</w:t>
      </w:r>
      <w:r>
        <w:rPr>
          <w:spacing w:val="-75"/>
          <w:w w:val="99"/>
        </w:rPr>
        <w:t> </w:t>
      </w:r>
      <w:r>
        <w:rPr>
          <w:rFonts w:ascii="Arial" w:hAnsi="Arial" w:cs="Arial" w:eastAsia="Arial" w:hint="default"/>
          <w:w w:val="99"/>
        </w:rPr>
        <w:t>56.2%</w:t>
      </w:r>
      <w:r>
        <w:rPr>
          <w:w w:val="99"/>
        </w:rPr>
        <w:t>。</w:t>
      </w:r>
      <w:r>
        <w:rPr/>
      </w:r>
    </w:p>
    <w:p>
      <w:pPr>
        <w:spacing w:line="240" w:lineRule="auto" w:before="12"/>
        <w:rPr>
          <w:rFonts w:ascii="宋体" w:hAnsi="宋体" w:cs="宋体" w:eastAsia="宋体" w:hint="default"/>
          <w:sz w:val="18"/>
          <w:szCs w:val="18"/>
        </w:rPr>
      </w:pPr>
    </w:p>
    <w:p>
      <w:pPr>
        <w:pStyle w:val="Heading8"/>
        <w:spacing w:line="240" w:lineRule="auto"/>
        <w:ind w:right="99"/>
        <w:jc w:val="left"/>
        <w:rPr>
          <w:b w:val="0"/>
          <w:bCs w:val="0"/>
        </w:rPr>
      </w:pPr>
      <w:r>
        <w:rPr>
          <w:rFonts w:ascii="Arial" w:hAnsi="Arial" w:cs="Arial" w:eastAsia="Arial" w:hint="default"/>
        </w:rPr>
        <w:t>3.11</w:t>
      </w:r>
      <w:r>
        <w:rPr>
          <w:rFonts w:ascii="Arial" w:hAnsi="Arial" w:cs="Arial" w:eastAsia="Arial" w:hint="default"/>
          <w:spacing w:val="46"/>
        </w:rPr>
        <w:t> </w:t>
      </w:r>
      <w:r>
        <w:rPr/>
        <w:t>固定资产减值损失</w:t>
      </w:r>
      <w:r>
        <w:rPr>
          <w:b w:val="0"/>
          <w:bCs w:val="0"/>
        </w:rPr>
      </w:r>
    </w:p>
    <w:p>
      <w:pPr>
        <w:spacing w:line="240" w:lineRule="auto" w:before="8"/>
        <w:rPr>
          <w:rFonts w:ascii="宋体" w:hAnsi="宋体" w:cs="宋体" w:eastAsia="宋体" w:hint="default"/>
          <w:b/>
          <w:bCs/>
          <w:sz w:val="19"/>
          <w:szCs w:val="19"/>
        </w:rPr>
      </w:pPr>
    </w:p>
    <w:p>
      <w:pPr>
        <w:pStyle w:val="BodyText"/>
        <w:spacing w:line="292" w:lineRule="exact"/>
        <w:ind w:left="571" w:right="0"/>
        <w:jc w:val="both"/>
      </w:pPr>
      <w:r>
        <w:rPr>
          <w:spacing w:val="-6"/>
        </w:rPr>
        <w:t>随与网通合并完成后，管理层在</w:t>
      </w:r>
      <w:r>
        <w:rPr>
          <w:spacing w:val="-59"/>
        </w:rPr>
        <w:t> </w:t>
      </w:r>
      <w:r>
        <w:rPr>
          <w:rFonts w:ascii="Arial" w:hAnsi="Arial" w:cs="Arial" w:eastAsia="Arial" w:hint="default"/>
        </w:rPr>
        <w:t>2008</w:t>
      </w:r>
      <w:r>
        <w:rPr>
          <w:rFonts w:ascii="Arial" w:hAnsi="Arial" w:cs="Arial" w:eastAsia="Arial" w:hint="default"/>
          <w:spacing w:val="-10"/>
        </w:rPr>
        <w:t> </w:t>
      </w:r>
      <w:r>
        <w:rPr/>
        <w:t>年末考虑了本集团对无线市话业务的战略并预期该业务</w:t>
      </w:r>
    </w:p>
    <w:p>
      <w:pPr>
        <w:pStyle w:val="BodyText"/>
        <w:spacing w:line="280" w:lineRule="exact"/>
        <w:ind w:left="569" w:right="0"/>
        <w:jc w:val="both"/>
      </w:pPr>
      <w:r>
        <w:rPr/>
        <w:t>在未来三年内将逐渐终止。于 </w:t>
      </w:r>
      <w:r>
        <w:rPr>
          <w:rFonts w:ascii="Arial" w:hAnsi="Arial" w:cs="Arial" w:eastAsia="Arial" w:hint="default"/>
        </w:rPr>
        <w:t>2008 </w:t>
      </w:r>
      <w:r>
        <w:rPr>
          <w:rFonts w:ascii="Arial" w:hAnsi="Arial" w:cs="Arial" w:eastAsia="Arial" w:hint="default"/>
          <w:spacing w:val="4"/>
        </w:rPr>
        <w:t> </w:t>
      </w:r>
      <w:r>
        <w:rPr/>
        <w:t>年度，本集团对无线市话业务相关设备计提了约人民币</w:t>
      </w:r>
    </w:p>
    <w:p>
      <w:pPr>
        <w:pStyle w:val="BodyText"/>
        <w:spacing w:line="232" w:lineRule="auto"/>
        <w:ind w:left="569" w:right="216"/>
        <w:jc w:val="both"/>
      </w:pPr>
      <w:r>
        <w:rPr>
          <w:rFonts w:ascii="Arial" w:hAnsi="Arial" w:cs="Arial" w:eastAsia="Arial" w:hint="default"/>
        </w:rPr>
        <w:t>122.5</w:t>
      </w:r>
      <w:r>
        <w:rPr>
          <w:rFonts w:ascii="Arial" w:hAnsi="Arial" w:cs="Arial" w:eastAsia="Arial" w:hint="default"/>
          <w:spacing w:val="9"/>
        </w:rPr>
        <w:t> </w:t>
      </w:r>
      <w:r>
        <w:rPr>
          <w:spacing w:val="-3"/>
        </w:rPr>
        <w:t>亿元的减值损失。对无线市话业务的相关资产进行了减值测试，并将本集团无线市话业</w:t>
      </w:r>
      <w:r>
        <w:rPr>
          <w:spacing w:val="-107"/>
        </w:rPr>
        <w:t> </w:t>
      </w:r>
      <w:r>
        <w:rPr>
          <w:spacing w:val="-107"/>
        </w:rPr>
      </w:r>
      <w:r>
        <w:rPr/>
        <w:t>务相关资产的账面价值减至可收回价值。无线市话业务相关资产的可收回价值是根据该等资</w:t>
      </w:r>
      <w:r>
        <w:rPr>
          <w:spacing w:val="-50"/>
        </w:rPr>
        <w:t> </w:t>
      </w:r>
      <w:r>
        <w:rPr>
          <w:spacing w:val="-50"/>
        </w:rPr>
      </w:r>
      <w:r>
        <w:rPr/>
        <w:t>产在持续使用过程中和最终处置时所产生的预计未来现金流量，以恰当的折现率进行折现后</w:t>
      </w:r>
      <w:r>
        <w:rPr>
          <w:spacing w:val="-50"/>
        </w:rPr>
        <w:t> </w:t>
      </w:r>
      <w:r>
        <w:rPr>
          <w:spacing w:val="-50"/>
        </w:rPr>
      </w:r>
      <w:r>
        <w:rPr/>
        <w:t>确定。本集团在评估无线市话业务相关资产的未来现金流量的过程中，对所使用的贴现率和</w:t>
      </w:r>
      <w:r>
        <w:rPr>
          <w:spacing w:val="-50"/>
        </w:rPr>
        <w:t> </w:t>
      </w:r>
      <w:r>
        <w:rPr>
          <w:spacing w:val="-50"/>
        </w:rPr>
      </w:r>
      <w:r>
        <w:rPr/>
        <w:t>未来现金流的预测期限进行估计，同时还考虑了无线市话业务用户净减少数将逐步放缓、无</w:t>
      </w:r>
      <w:r>
        <w:rPr>
          <w:spacing w:val="-50"/>
        </w:rPr>
        <w:t> </w:t>
      </w:r>
      <w:r>
        <w:rPr>
          <w:spacing w:val="-50"/>
        </w:rPr>
      </w:r>
      <w:r>
        <w:rPr/>
        <w:t>线市话业务平均每用户收入预计将保持稳定、无线市话业务可能带来的额外现金流以及本集</w:t>
      </w:r>
      <w:r>
        <w:rPr>
          <w:spacing w:val="-50"/>
        </w:rPr>
        <w:t> </w:t>
      </w:r>
      <w:r>
        <w:rPr>
          <w:spacing w:val="-50"/>
        </w:rPr>
      </w:r>
      <w:r>
        <w:rPr/>
        <w:t>团对无线市话业务采取的付现成本控制措施等因素的影响。本集团对无线市话业务的相关资</w:t>
      </w:r>
      <w:r>
        <w:rPr>
          <w:spacing w:val="-50"/>
        </w:rPr>
        <w:t> </w:t>
      </w:r>
      <w:r>
        <w:rPr>
          <w:spacing w:val="-50"/>
        </w:rPr>
      </w:r>
      <w:r>
        <w:rPr/>
        <w:t>产进行了减值测试时所使用的假设和估计乃基于无线市话业务的历史经营情况、市场整体趋</w:t>
      </w:r>
      <w:r>
        <w:rPr>
          <w:spacing w:val="-50"/>
        </w:rPr>
        <w:t> </w:t>
      </w:r>
      <w:r>
        <w:rPr>
          <w:spacing w:val="-50"/>
        </w:rPr>
      </w:r>
      <w:r>
        <w:rPr/>
        <w:t>势以及无线市话业务相关资产的实体现状而作出。</w:t>
      </w:r>
    </w:p>
    <w:p>
      <w:pPr>
        <w:spacing w:line="240" w:lineRule="auto" w:before="5"/>
        <w:rPr>
          <w:rFonts w:ascii="宋体" w:hAnsi="宋体" w:cs="宋体" w:eastAsia="宋体" w:hint="default"/>
          <w:sz w:val="23"/>
          <w:szCs w:val="23"/>
        </w:rPr>
      </w:pPr>
    </w:p>
    <w:p>
      <w:pPr>
        <w:pStyle w:val="BodyText"/>
        <w:spacing w:line="280" w:lineRule="exact"/>
        <w:ind w:left="569" w:right="219" w:firstLine="2"/>
        <w:jc w:val="both"/>
      </w:pPr>
      <w:r>
        <w:rPr/>
        <w:t>于</w:t>
      </w:r>
      <w:r>
        <w:rPr>
          <w:spacing w:val="-43"/>
        </w:rPr>
        <w:t> </w:t>
      </w:r>
      <w:r>
        <w:rPr>
          <w:rFonts w:ascii="Arial" w:hAnsi="Arial" w:cs="Arial" w:eastAsia="Arial" w:hint="default"/>
        </w:rPr>
        <w:t>2009</w:t>
      </w:r>
      <w:r>
        <w:rPr>
          <w:rFonts w:ascii="Arial" w:hAnsi="Arial" w:cs="Arial" w:eastAsia="Arial" w:hint="default"/>
          <w:spacing w:val="6"/>
        </w:rPr>
        <w:t> </w:t>
      </w:r>
      <w:r>
        <w:rPr/>
        <w:t>年</w:t>
      </w:r>
      <w:r>
        <w:rPr>
          <w:spacing w:val="-44"/>
        </w:rPr>
        <w:t> </w:t>
      </w:r>
      <w:r>
        <w:rPr>
          <w:rFonts w:ascii="Arial" w:hAnsi="Arial" w:cs="Arial" w:eastAsia="Arial" w:hint="default"/>
        </w:rPr>
        <w:t>12</w:t>
      </w:r>
      <w:r>
        <w:rPr>
          <w:rFonts w:ascii="Arial" w:hAnsi="Arial" w:cs="Arial" w:eastAsia="Arial" w:hint="default"/>
          <w:spacing w:val="6"/>
        </w:rPr>
        <w:t> </w:t>
      </w:r>
      <w:r>
        <w:rPr/>
        <w:t>月</w:t>
      </w:r>
      <w:r>
        <w:rPr>
          <w:spacing w:val="-43"/>
        </w:rPr>
        <w:t> </w:t>
      </w:r>
      <w:r>
        <w:rPr>
          <w:rFonts w:ascii="Arial" w:hAnsi="Arial" w:cs="Arial" w:eastAsia="Arial" w:hint="default"/>
        </w:rPr>
        <w:t>31</w:t>
      </w:r>
      <w:r>
        <w:rPr>
          <w:rFonts w:ascii="Arial" w:hAnsi="Arial" w:cs="Arial" w:eastAsia="Arial" w:hint="default"/>
          <w:spacing w:val="6"/>
        </w:rPr>
        <w:t> </w:t>
      </w:r>
      <w:r>
        <w:rPr/>
        <w:t>日，管理层对无线市话业务相关设备进行了更新减值分析，并认为没有</w:t>
      </w:r>
      <w:r>
        <w:rPr>
          <w:w w:val="99"/>
        </w:rPr>
        <w:t> </w:t>
      </w:r>
      <w:r>
        <w:rPr/>
        <w:t>需要对无线市话服务业务相关设备额外增加或冲回减值准备。</w:t>
      </w:r>
    </w:p>
    <w:p>
      <w:pPr>
        <w:spacing w:after="0" w:line="280" w:lineRule="exact"/>
        <w:jc w:val="both"/>
        <w:sectPr>
          <w:pgSz w:w="11910" w:h="16840"/>
          <w:pgMar w:header="587" w:footer="774" w:top="960" w:bottom="960" w:left="1180" w:right="1060"/>
        </w:sectPr>
      </w:pPr>
    </w:p>
    <w:p>
      <w:pPr>
        <w:spacing w:line="240" w:lineRule="auto" w:before="9"/>
        <w:rPr>
          <w:rFonts w:ascii="宋体" w:hAnsi="宋体" w:cs="宋体" w:eastAsia="宋体" w:hint="default"/>
          <w:sz w:val="12"/>
          <w:szCs w:val="12"/>
        </w:rPr>
      </w:pPr>
    </w:p>
    <w:p>
      <w:pPr>
        <w:pStyle w:val="Heading8"/>
        <w:spacing w:line="240" w:lineRule="auto" w:before="31"/>
        <w:ind w:right="99"/>
        <w:jc w:val="left"/>
        <w:rPr>
          <w:b w:val="0"/>
          <w:bCs w:val="0"/>
        </w:rPr>
      </w:pPr>
      <w:r>
        <w:rPr>
          <w:rFonts w:ascii="Arial" w:hAnsi="Arial" w:cs="Arial" w:eastAsia="Arial" w:hint="default"/>
        </w:rPr>
        <w:t>4</w:t>
      </w:r>
      <w:r>
        <w:rPr/>
        <w:t>、</w:t>
      </w:r>
      <w:r>
        <w:rPr>
          <w:spacing w:val="-39"/>
        </w:rPr>
        <w:t> </w:t>
      </w:r>
      <w:r>
        <w:rPr/>
        <w:t>金融工具公允价值变动之已实现盈利</w:t>
      </w:r>
      <w:r>
        <w:rPr>
          <w:b w:val="0"/>
          <w:bCs w:val="0"/>
        </w:rPr>
      </w:r>
    </w:p>
    <w:p>
      <w:pPr>
        <w:spacing w:line="240" w:lineRule="auto" w:before="4"/>
        <w:rPr>
          <w:rFonts w:ascii="宋体" w:hAnsi="宋体" w:cs="宋体" w:eastAsia="宋体" w:hint="default"/>
          <w:b/>
          <w:bCs/>
          <w:sz w:val="20"/>
          <w:szCs w:val="20"/>
        </w:rPr>
      </w:pPr>
    </w:p>
    <w:p>
      <w:pPr>
        <w:pStyle w:val="BodyText"/>
        <w:spacing w:line="230" w:lineRule="auto"/>
        <w:ind w:left="569" w:right="216" w:firstLine="2"/>
        <w:jc w:val="both"/>
      </w:pPr>
      <w:r>
        <w:rPr/>
        <w:t>为加强本公司与西班牙电信之间的合作，本公司于</w:t>
      </w:r>
      <w:r>
        <w:rPr>
          <w:spacing w:val="-37"/>
        </w:rPr>
        <w:t> </w:t>
      </w:r>
      <w:r>
        <w:rPr>
          <w:rFonts w:ascii="Arial" w:hAnsi="Arial" w:cs="Arial" w:eastAsia="Arial" w:hint="default"/>
        </w:rPr>
        <w:t>2009</w:t>
      </w:r>
      <w:r>
        <w:rPr>
          <w:rFonts w:ascii="Arial" w:hAnsi="Arial" w:cs="Arial" w:eastAsia="Arial" w:hint="default"/>
          <w:spacing w:val="11"/>
        </w:rPr>
        <w:t> </w:t>
      </w:r>
      <w:r>
        <w:rPr/>
        <w:t>年</w:t>
      </w:r>
      <w:r>
        <w:rPr>
          <w:spacing w:val="-38"/>
        </w:rPr>
        <w:t> </w:t>
      </w:r>
      <w:r>
        <w:rPr>
          <w:rFonts w:ascii="Arial" w:hAnsi="Arial" w:cs="Arial" w:eastAsia="Arial" w:hint="default"/>
        </w:rPr>
        <w:t>9</w:t>
      </w:r>
      <w:r>
        <w:rPr>
          <w:rFonts w:ascii="Arial" w:hAnsi="Arial" w:cs="Arial" w:eastAsia="Arial" w:hint="default"/>
          <w:spacing w:val="11"/>
        </w:rPr>
        <w:t> </w:t>
      </w:r>
      <w:r>
        <w:rPr/>
        <w:t>月</w:t>
      </w:r>
      <w:r>
        <w:rPr>
          <w:spacing w:val="-38"/>
        </w:rPr>
        <w:t> </w:t>
      </w:r>
      <w:r>
        <w:rPr>
          <w:rFonts w:ascii="Arial" w:hAnsi="Arial" w:cs="Arial" w:eastAsia="Arial" w:hint="default"/>
        </w:rPr>
        <w:t>6</w:t>
      </w:r>
      <w:r>
        <w:rPr>
          <w:rFonts w:ascii="Arial" w:hAnsi="Arial" w:cs="Arial" w:eastAsia="Arial" w:hint="default"/>
          <w:spacing w:val="11"/>
        </w:rPr>
        <w:t> </w:t>
      </w:r>
      <w:r>
        <w:rPr/>
        <w:t>日发出《中国联合网络通</w:t>
      </w:r>
      <w:r>
        <w:rPr>
          <w:w w:val="99"/>
        </w:rPr>
        <w:t> </w:t>
      </w:r>
      <w:r>
        <w:rPr/>
        <w:t>信股份有限公司关于西班牙电信与中国联合网络通信（香港）股份有限公司相互投资及订立</w:t>
      </w:r>
      <w:r>
        <w:rPr>
          <w:spacing w:val="-50"/>
        </w:rPr>
        <w:t> </w:t>
      </w:r>
      <w:r>
        <w:rPr>
          <w:spacing w:val="-50"/>
        </w:rPr>
      </w:r>
      <w:r>
        <w:rPr/>
        <w:t>战略联盟协议的公告》，据此，本公司的子公司联通红筹公司与西班牙电信有条件地同意通</w:t>
      </w:r>
      <w:r>
        <w:rPr>
          <w:spacing w:val="-50"/>
        </w:rPr>
        <w:t> </w:t>
      </w:r>
      <w:r>
        <w:rPr>
          <w:spacing w:val="-50"/>
        </w:rPr>
      </w:r>
      <w:r>
        <w:rPr/>
        <w:t>过互相认购对方相当于</w:t>
      </w:r>
      <w:r>
        <w:rPr>
          <w:spacing w:val="-38"/>
        </w:rPr>
        <w:t> </w:t>
      </w:r>
      <w:r>
        <w:rPr>
          <w:rFonts w:ascii="Arial" w:hAnsi="Arial" w:cs="Arial" w:eastAsia="Arial" w:hint="default"/>
        </w:rPr>
        <w:t>10</w:t>
      </w:r>
      <w:r>
        <w:rPr>
          <w:rFonts w:ascii="Arial" w:hAnsi="Arial" w:cs="Arial" w:eastAsia="Arial" w:hint="default"/>
          <w:spacing w:val="10"/>
        </w:rPr>
        <w:t> </w:t>
      </w:r>
      <w:r>
        <w:rPr/>
        <w:t>亿美元的股份进行投资（</w:t>
      </w:r>
      <w:r>
        <w:rPr>
          <w:rFonts w:ascii="Arial" w:hAnsi="Arial" w:cs="Arial" w:eastAsia="Arial" w:hint="default"/>
        </w:rPr>
        <w:t>“</w:t>
      </w:r>
      <w:r>
        <w:rPr/>
        <w:t>认购协议</w:t>
      </w:r>
      <w:r>
        <w:rPr>
          <w:rFonts w:ascii="Arial" w:hAnsi="Arial" w:cs="Arial" w:eastAsia="Arial" w:hint="default"/>
        </w:rPr>
        <w:t>”</w:t>
      </w:r>
      <w:r>
        <w:rPr/>
        <w:t>）。上述相互投资于</w:t>
      </w:r>
      <w:r>
        <w:rPr>
          <w:spacing w:val="-38"/>
        </w:rPr>
        <w:t> </w:t>
      </w:r>
      <w:r>
        <w:rPr>
          <w:rFonts w:ascii="Arial" w:hAnsi="Arial" w:cs="Arial" w:eastAsia="Arial" w:hint="default"/>
        </w:rPr>
        <w:t>2009</w:t>
      </w:r>
      <w:r>
        <w:rPr>
          <w:rFonts w:ascii="Arial" w:hAnsi="Arial" w:cs="Arial" w:eastAsia="Arial" w:hint="default"/>
          <w:spacing w:val="10"/>
        </w:rPr>
        <w:t> </w:t>
      </w:r>
      <w:r>
        <w:rPr/>
        <w:t>年</w:t>
      </w:r>
    </w:p>
    <w:p>
      <w:pPr>
        <w:pStyle w:val="BodyText"/>
        <w:spacing w:line="273" w:lineRule="exact"/>
        <w:ind w:left="569" w:right="0"/>
        <w:jc w:val="both"/>
      </w:pPr>
      <w:r>
        <w:rPr>
          <w:rFonts w:ascii="Arial" w:hAnsi="Arial" w:cs="Arial" w:eastAsia="Arial" w:hint="default"/>
        </w:rPr>
        <w:t>10</w:t>
      </w:r>
      <w:r>
        <w:rPr>
          <w:rFonts w:ascii="Arial" w:hAnsi="Arial" w:cs="Arial" w:eastAsia="Arial" w:hint="default"/>
          <w:spacing w:val="-7"/>
        </w:rPr>
        <w:t> </w:t>
      </w:r>
      <w:r>
        <w:rPr/>
        <w:t>月</w:t>
      </w:r>
      <w:r>
        <w:rPr>
          <w:spacing w:val="-56"/>
        </w:rPr>
        <w:t> </w:t>
      </w:r>
      <w:r>
        <w:rPr>
          <w:rFonts w:ascii="Arial" w:hAnsi="Arial" w:cs="Arial" w:eastAsia="Arial" w:hint="default"/>
        </w:rPr>
        <w:t>21</w:t>
      </w:r>
      <w:r>
        <w:rPr>
          <w:rFonts w:ascii="Arial" w:hAnsi="Arial" w:cs="Arial" w:eastAsia="Arial" w:hint="default"/>
          <w:spacing w:val="-6"/>
        </w:rPr>
        <w:t> </w:t>
      </w:r>
      <w:r>
        <w:rPr/>
        <w:t>日</w:t>
      </w:r>
      <w:r>
        <w:rPr>
          <w:rFonts w:ascii="Times New Roman" w:hAnsi="Times New Roman" w:cs="Times New Roman" w:eastAsia="Times New Roman" w:hint="default"/>
          <w:sz w:val="24"/>
          <w:szCs w:val="24"/>
        </w:rPr>
        <w:t>(</w:t>
      </w:r>
      <w:r>
        <w:rPr>
          <w:sz w:val="24"/>
          <w:szCs w:val="24"/>
        </w:rPr>
        <w:t>交易完成日</w:t>
      </w:r>
      <w:r>
        <w:rPr>
          <w:rFonts w:ascii="Times New Roman" w:hAnsi="Times New Roman" w:cs="Times New Roman" w:eastAsia="Times New Roman" w:hint="default"/>
          <w:sz w:val="24"/>
          <w:szCs w:val="24"/>
        </w:rPr>
        <w:t>)</w:t>
      </w:r>
      <w:r>
        <w:rPr/>
        <w:t>完成。详见财务报表附注一（</w:t>
      </w:r>
      <w:r>
        <w:rPr>
          <w:rFonts w:ascii="Arial" w:hAnsi="Arial" w:cs="Arial" w:eastAsia="Arial" w:hint="default"/>
        </w:rPr>
        <w:t>7</w:t>
      </w:r>
      <w:r>
        <w:rPr/>
        <w:t>）。根据企业会计准则第</w:t>
      </w:r>
      <w:r>
        <w:rPr>
          <w:spacing w:val="-56"/>
        </w:rPr>
        <w:t> </w:t>
      </w:r>
      <w:r>
        <w:rPr>
          <w:rFonts w:ascii="Arial" w:hAnsi="Arial" w:cs="Arial" w:eastAsia="Arial" w:hint="default"/>
        </w:rPr>
        <w:t>22</w:t>
      </w:r>
      <w:r>
        <w:rPr>
          <w:rFonts w:ascii="Arial" w:hAnsi="Arial" w:cs="Arial" w:eastAsia="Arial" w:hint="default"/>
          <w:spacing w:val="-7"/>
        </w:rPr>
        <w:t> </w:t>
      </w:r>
      <w:r>
        <w:rPr/>
        <w:t>号《金</w:t>
      </w:r>
    </w:p>
    <w:p>
      <w:pPr>
        <w:pStyle w:val="BodyText"/>
        <w:spacing w:line="277" w:lineRule="exact"/>
        <w:ind w:left="569" w:right="0"/>
        <w:jc w:val="both"/>
        <w:rPr>
          <w:rFonts w:ascii="Arial" w:hAnsi="Arial" w:cs="Arial" w:eastAsia="Arial" w:hint="default"/>
        </w:rPr>
      </w:pPr>
      <w:r>
        <w:rPr/>
        <w:t>融工具确认和计量》，上述提及的联通红筹公司许诺的与西班牙电信相互投资，在</w:t>
      </w:r>
      <w:r>
        <w:rPr>
          <w:spacing w:val="-70"/>
        </w:rPr>
        <w:t> </w:t>
      </w:r>
      <w:r>
        <w:rPr>
          <w:rFonts w:ascii="Arial" w:hAnsi="Arial" w:cs="Arial" w:eastAsia="Arial" w:hint="default"/>
        </w:rPr>
        <w:t>2009</w:t>
      </w:r>
      <w:r>
        <w:rPr>
          <w:rFonts w:ascii="Arial" w:hAnsi="Arial" w:cs="Arial" w:eastAsia="Arial" w:hint="default"/>
          <w:spacing w:val="-22"/>
        </w:rPr>
        <w:t> </w:t>
      </w:r>
      <w:r>
        <w:rPr/>
        <w:t>年</w:t>
      </w:r>
      <w:r>
        <w:rPr>
          <w:spacing w:val="-71"/>
        </w:rPr>
        <w:t> </w:t>
      </w:r>
      <w:r>
        <w:rPr>
          <w:rFonts w:ascii="Arial" w:hAnsi="Arial" w:cs="Arial" w:eastAsia="Arial" w:hint="default"/>
        </w:rPr>
        <w:t>9</w:t>
      </w:r>
    </w:p>
    <w:p>
      <w:pPr>
        <w:pStyle w:val="BodyText"/>
        <w:spacing w:line="230" w:lineRule="auto"/>
        <w:ind w:left="569" w:right="216"/>
        <w:jc w:val="both"/>
        <w:rPr>
          <w:rFonts w:ascii="Arial" w:hAnsi="Arial" w:cs="Arial" w:eastAsia="Arial" w:hint="default"/>
        </w:rPr>
      </w:pPr>
      <w:r>
        <w:rPr/>
        <w:t>月 </w:t>
      </w:r>
      <w:r>
        <w:rPr>
          <w:rFonts w:ascii="Arial" w:hAnsi="Arial" w:cs="Arial" w:eastAsia="Arial" w:hint="default"/>
        </w:rPr>
        <w:t>6</w:t>
      </w:r>
      <w:r>
        <w:rPr>
          <w:rFonts w:ascii="Arial" w:hAnsi="Arial" w:cs="Arial" w:eastAsia="Arial" w:hint="default"/>
          <w:spacing w:val="-2"/>
        </w:rPr>
        <w:t> </w:t>
      </w:r>
      <w:r>
        <w:rPr/>
        <w:t>日签订认购协议时作为联通红筹公司与西班牙电信以预先确定的固定价格及不同的外币</w:t>
      </w:r>
      <w:r>
        <w:rPr>
          <w:w w:val="99"/>
        </w:rPr>
        <w:t> </w:t>
      </w:r>
      <w:r>
        <w:rPr/>
        <w:t>相互购买另一方股份的远期合约而被认定为衍生工具。衍生工具于每个资产负债表日按其公</w:t>
      </w:r>
      <w:r>
        <w:rPr>
          <w:spacing w:val="-50"/>
        </w:rPr>
        <w:t> </w:t>
      </w:r>
      <w:r>
        <w:rPr>
          <w:spacing w:val="-50"/>
        </w:rPr>
      </w:r>
      <w:r>
        <w:rPr/>
        <w:t>允价值进行评估，并于联通红筹公司与西班牙电信相互投资完成前发生的所有公允价值变动</w:t>
      </w:r>
      <w:r>
        <w:rPr>
          <w:spacing w:val="-50"/>
        </w:rPr>
        <w:t> </w:t>
      </w:r>
      <w:r>
        <w:rPr>
          <w:spacing w:val="-50"/>
        </w:rPr>
      </w:r>
      <w:r>
        <w:rPr/>
        <w:t>记录于当期利润表。衍生工具于交易完成日终止确认，并按当时的西班牙电信股份公允价值</w:t>
      </w:r>
      <w:r>
        <w:rPr>
          <w:spacing w:val="-50"/>
        </w:rPr>
        <w:t> </w:t>
      </w:r>
      <w:r>
        <w:rPr>
          <w:spacing w:val="-50"/>
        </w:rPr>
      </w:r>
      <w:r>
        <w:rPr/>
        <w:t>确认可供出售金融资产，即对西班牙电信的投资。自</w:t>
      </w:r>
      <w:r>
        <w:rPr>
          <w:spacing w:val="-40"/>
        </w:rPr>
        <w:t> </w:t>
      </w:r>
      <w:r>
        <w:rPr>
          <w:rFonts w:ascii="Arial" w:hAnsi="Arial" w:cs="Arial" w:eastAsia="Arial" w:hint="default"/>
        </w:rPr>
        <w:t>2009</w:t>
      </w:r>
      <w:r>
        <w:rPr>
          <w:rFonts w:ascii="Arial" w:hAnsi="Arial" w:cs="Arial" w:eastAsia="Arial" w:hint="default"/>
          <w:spacing w:val="9"/>
        </w:rPr>
        <w:t> </w:t>
      </w:r>
      <w:r>
        <w:rPr/>
        <w:t>年</w:t>
      </w:r>
      <w:r>
        <w:rPr>
          <w:spacing w:val="-41"/>
        </w:rPr>
        <w:t> </w:t>
      </w:r>
      <w:r>
        <w:rPr>
          <w:rFonts w:ascii="Arial" w:hAnsi="Arial" w:cs="Arial" w:eastAsia="Arial" w:hint="default"/>
        </w:rPr>
        <w:t>9</w:t>
      </w:r>
      <w:r>
        <w:rPr>
          <w:rFonts w:ascii="Arial" w:hAnsi="Arial" w:cs="Arial" w:eastAsia="Arial" w:hint="default"/>
          <w:spacing w:val="10"/>
        </w:rPr>
        <w:t> </w:t>
      </w:r>
      <w:r>
        <w:rPr/>
        <w:t>月</w:t>
      </w:r>
      <w:r>
        <w:rPr>
          <w:spacing w:val="-41"/>
        </w:rPr>
        <w:t> </w:t>
      </w:r>
      <w:r>
        <w:rPr>
          <w:rFonts w:ascii="Arial" w:hAnsi="Arial" w:cs="Arial" w:eastAsia="Arial" w:hint="default"/>
        </w:rPr>
        <w:t>6</w:t>
      </w:r>
      <w:r>
        <w:rPr>
          <w:rFonts w:ascii="Arial" w:hAnsi="Arial" w:cs="Arial" w:eastAsia="Arial" w:hint="default"/>
          <w:spacing w:val="10"/>
        </w:rPr>
        <w:t> </w:t>
      </w:r>
      <w:r>
        <w:rPr/>
        <w:t>日至</w:t>
      </w:r>
      <w:r>
        <w:rPr>
          <w:spacing w:val="-41"/>
        </w:rPr>
        <w:t> </w:t>
      </w:r>
      <w:r>
        <w:rPr>
          <w:rFonts w:ascii="Arial" w:hAnsi="Arial" w:cs="Arial" w:eastAsia="Arial" w:hint="default"/>
        </w:rPr>
        <w:t>2009</w:t>
      </w:r>
      <w:r>
        <w:rPr>
          <w:rFonts w:ascii="Arial" w:hAnsi="Arial" w:cs="Arial" w:eastAsia="Arial" w:hint="default"/>
          <w:spacing w:val="10"/>
        </w:rPr>
        <w:t> </w:t>
      </w:r>
      <w:r>
        <w:rPr/>
        <w:t>年</w:t>
      </w:r>
      <w:r>
        <w:rPr>
          <w:spacing w:val="-41"/>
        </w:rPr>
        <w:t> </w:t>
      </w:r>
      <w:r>
        <w:rPr>
          <w:rFonts w:ascii="Arial" w:hAnsi="Arial" w:cs="Arial" w:eastAsia="Arial" w:hint="default"/>
        </w:rPr>
        <w:t>10</w:t>
      </w:r>
      <w:r>
        <w:rPr>
          <w:rFonts w:ascii="Arial" w:hAnsi="Arial" w:cs="Arial" w:eastAsia="Arial" w:hint="default"/>
          <w:spacing w:val="9"/>
        </w:rPr>
        <w:t> </w:t>
      </w:r>
      <w:r>
        <w:rPr/>
        <w:t>月</w:t>
      </w:r>
      <w:r>
        <w:rPr>
          <w:spacing w:val="-41"/>
        </w:rPr>
        <w:t> </w:t>
      </w:r>
      <w:r>
        <w:rPr>
          <w:rFonts w:ascii="Arial" w:hAnsi="Arial" w:cs="Arial" w:eastAsia="Arial" w:hint="default"/>
        </w:rPr>
        <w:t>21</w:t>
      </w:r>
    </w:p>
    <w:p>
      <w:pPr>
        <w:pStyle w:val="BodyText"/>
        <w:spacing w:line="280" w:lineRule="exact" w:before="10"/>
        <w:ind w:left="568" w:right="218"/>
        <w:jc w:val="both"/>
      </w:pPr>
      <w:r>
        <w:rPr/>
        <w:t>日交易完成日止期间衍生金融工具公允值变动收益约为人民币 </w:t>
      </w:r>
      <w:r>
        <w:rPr>
          <w:rFonts w:ascii="Arial" w:hAnsi="Arial" w:cs="Arial" w:eastAsia="Arial" w:hint="default"/>
        </w:rPr>
        <w:t>12.39</w:t>
      </w:r>
      <w:r>
        <w:rPr>
          <w:rFonts w:ascii="Arial" w:hAnsi="Arial" w:cs="Arial" w:eastAsia="Arial" w:hint="default"/>
          <w:spacing w:val="10"/>
        </w:rPr>
        <w:t> </w:t>
      </w:r>
      <w:r>
        <w:rPr/>
        <w:t>亿元，并于损益表中确</w:t>
      </w:r>
      <w:r>
        <w:rPr>
          <w:w w:val="99"/>
        </w:rPr>
        <w:t> </w:t>
      </w:r>
      <w:r>
        <w:rPr/>
        <w:t>认。</w:t>
      </w:r>
    </w:p>
    <w:p>
      <w:pPr>
        <w:spacing w:line="240" w:lineRule="auto" w:before="12"/>
        <w:rPr>
          <w:rFonts w:ascii="宋体" w:hAnsi="宋体" w:cs="宋体" w:eastAsia="宋体" w:hint="default"/>
          <w:sz w:val="18"/>
          <w:szCs w:val="18"/>
        </w:rPr>
      </w:pPr>
    </w:p>
    <w:p>
      <w:pPr>
        <w:pStyle w:val="Heading8"/>
        <w:spacing w:line="240" w:lineRule="auto"/>
        <w:ind w:left="148" w:right="99"/>
        <w:jc w:val="left"/>
        <w:rPr>
          <w:b w:val="0"/>
          <w:bCs w:val="0"/>
        </w:rPr>
      </w:pPr>
      <w:r>
        <w:rPr>
          <w:rFonts w:ascii="Arial" w:hAnsi="Arial" w:cs="Arial" w:eastAsia="Arial" w:hint="default"/>
        </w:rPr>
        <w:t>5</w:t>
      </w:r>
      <w:r>
        <w:rPr/>
        <w:t>、</w:t>
      </w:r>
      <w:r>
        <w:rPr>
          <w:spacing w:val="-36"/>
        </w:rPr>
        <w:t> </w:t>
      </w:r>
      <w:r>
        <w:rPr/>
        <w:t>盈利水平</w:t>
      </w:r>
      <w:r>
        <w:rPr>
          <w:b w:val="0"/>
          <w:bCs w:val="0"/>
        </w:rPr>
      </w:r>
    </w:p>
    <w:p>
      <w:pPr>
        <w:spacing w:line="240" w:lineRule="auto" w:before="8"/>
        <w:rPr>
          <w:rFonts w:ascii="宋体" w:hAnsi="宋体" w:cs="宋体" w:eastAsia="宋体" w:hint="default"/>
          <w:b/>
          <w:bCs/>
          <w:sz w:val="19"/>
          <w:szCs w:val="19"/>
        </w:rPr>
      </w:pPr>
    </w:p>
    <w:p>
      <w:pPr>
        <w:spacing w:before="0"/>
        <w:ind w:left="148" w:right="99" w:firstLine="0"/>
        <w:jc w:val="left"/>
        <w:rPr>
          <w:rFonts w:ascii="宋体" w:hAnsi="宋体" w:cs="宋体" w:eastAsia="宋体" w:hint="default"/>
          <w:sz w:val="22"/>
          <w:szCs w:val="22"/>
        </w:rPr>
      </w:pPr>
      <w:r>
        <w:rPr>
          <w:rFonts w:ascii="Arial" w:hAnsi="Arial" w:cs="Arial" w:eastAsia="Arial" w:hint="default"/>
          <w:b/>
          <w:bCs/>
          <w:sz w:val="22"/>
          <w:szCs w:val="22"/>
        </w:rPr>
        <w:t>5.1</w:t>
      </w:r>
      <w:r>
        <w:rPr>
          <w:rFonts w:ascii="Arial" w:hAnsi="Arial" w:cs="Arial" w:eastAsia="Arial" w:hint="default"/>
          <w:b/>
          <w:bCs/>
          <w:spacing w:val="51"/>
          <w:sz w:val="22"/>
          <w:szCs w:val="22"/>
        </w:rPr>
        <w:t> </w:t>
      </w:r>
      <w:r>
        <w:rPr>
          <w:rFonts w:ascii="宋体" w:hAnsi="宋体" w:cs="宋体" w:eastAsia="宋体" w:hint="default"/>
          <w:b/>
          <w:bCs/>
          <w:sz w:val="22"/>
          <w:szCs w:val="22"/>
        </w:rPr>
        <w:t>利润总额</w:t>
      </w:r>
      <w:r>
        <w:rPr>
          <w:rFonts w:ascii="宋体" w:hAnsi="宋体" w:cs="宋体" w:eastAsia="宋体" w:hint="default"/>
          <w:sz w:val="22"/>
          <w:szCs w:val="22"/>
        </w:rPr>
      </w:r>
    </w:p>
    <w:p>
      <w:pPr>
        <w:spacing w:line="240" w:lineRule="auto" w:before="1"/>
        <w:rPr>
          <w:rFonts w:ascii="宋体" w:hAnsi="宋体" w:cs="宋体" w:eastAsia="宋体" w:hint="default"/>
          <w:b/>
          <w:bCs/>
          <w:sz w:val="21"/>
          <w:szCs w:val="21"/>
        </w:rPr>
      </w:pPr>
    </w:p>
    <w:p>
      <w:pPr>
        <w:pStyle w:val="BodyText"/>
        <w:spacing w:line="220" w:lineRule="auto"/>
        <w:ind w:left="569" w:right="96" w:firstLine="2"/>
        <w:jc w:val="left"/>
      </w:pPr>
      <w:r>
        <w:rPr>
          <w:rFonts w:ascii="Arial" w:hAnsi="Arial" w:cs="Arial" w:eastAsia="Arial" w:hint="default"/>
        </w:rPr>
        <w:t>2009</w:t>
      </w:r>
      <w:r>
        <w:rPr>
          <w:rFonts w:ascii="Arial" w:hAnsi="Arial" w:cs="Arial" w:eastAsia="Arial" w:hint="default"/>
          <w:spacing w:val="-11"/>
        </w:rPr>
        <w:t> </w:t>
      </w:r>
      <w:r>
        <w:rPr/>
        <w:t>年本公司实现利润总额人民币</w:t>
      </w:r>
      <w:r>
        <w:rPr>
          <w:spacing w:val="-59"/>
        </w:rPr>
        <w:t> </w:t>
      </w:r>
      <w:r>
        <w:rPr>
          <w:rFonts w:ascii="Arial" w:hAnsi="Arial" w:cs="Arial" w:eastAsia="Arial" w:hint="default"/>
        </w:rPr>
        <w:t>121.8</w:t>
      </w:r>
      <w:r>
        <w:rPr>
          <w:rFonts w:ascii="Arial" w:hAnsi="Arial" w:cs="Arial" w:eastAsia="Arial" w:hint="default"/>
          <w:spacing w:val="-11"/>
        </w:rPr>
        <w:t> </w:t>
      </w:r>
      <w:r>
        <w:rPr>
          <w:spacing w:val="-4"/>
        </w:rPr>
        <w:t>亿元，比上年增长</w:t>
      </w:r>
      <w:r>
        <w:rPr>
          <w:spacing w:val="-60"/>
        </w:rPr>
        <w:t> </w:t>
      </w:r>
      <w:r>
        <w:rPr>
          <w:rFonts w:ascii="Arial" w:hAnsi="Arial" w:cs="Arial" w:eastAsia="Arial" w:hint="default"/>
        </w:rPr>
        <w:t>35.6%</w:t>
      </w:r>
      <w:r>
        <w:rPr/>
        <w:t>，主要由于上年计提无线</w:t>
      </w:r>
      <w:r>
        <w:rPr>
          <w:w w:val="99"/>
        </w:rPr>
        <w:t> </w:t>
      </w:r>
      <w:r>
        <w:rPr/>
        <w:t>市话业务相关资产减值准备所致。调整后利润总额（附注</w:t>
      </w:r>
      <w:r>
        <w:rPr>
          <w:spacing w:val="-54"/>
        </w:rPr>
        <w:t> </w:t>
      </w:r>
      <w:r>
        <w:rPr>
          <w:rFonts w:ascii="Arial" w:hAnsi="Arial" w:cs="Arial" w:eastAsia="Arial" w:hint="default"/>
        </w:rPr>
        <w:t>3</w:t>
      </w:r>
      <w:r>
        <w:rPr/>
        <w:t>）约人民币</w:t>
      </w:r>
      <w:r>
        <w:rPr>
          <w:spacing w:val="-56"/>
        </w:rPr>
        <w:t> </w:t>
      </w:r>
      <w:r>
        <w:rPr>
          <w:rFonts w:ascii="Arial" w:hAnsi="Arial" w:cs="Arial" w:eastAsia="Arial" w:hint="default"/>
        </w:rPr>
        <w:t>124.1</w:t>
      </w:r>
      <w:r>
        <w:rPr>
          <w:rFonts w:ascii="Arial" w:hAnsi="Arial" w:cs="Arial" w:eastAsia="Arial" w:hint="default"/>
          <w:spacing w:val="-7"/>
        </w:rPr>
        <w:t> </w:t>
      </w:r>
      <w:r>
        <w:rPr/>
        <w:t>亿元</w:t>
      </w:r>
      <w:r>
        <w:rPr>
          <w:rFonts w:ascii="Arial" w:hAnsi="Arial" w:cs="Arial" w:eastAsia="Arial" w:hint="default"/>
        </w:rPr>
        <w:t>,</w:t>
      </w:r>
      <w:r>
        <w:rPr/>
        <w:t>比上年持</w:t>
      </w:r>
      <w:r>
        <w:rPr>
          <w:w w:val="99"/>
        </w:rPr>
        <w:t> </w:t>
      </w:r>
      <w:r>
        <w:rPr/>
        <w:t>续经营业务下降</w:t>
      </w:r>
      <w:r>
        <w:rPr>
          <w:spacing w:val="-63"/>
        </w:rPr>
        <w:t> </w:t>
      </w:r>
      <w:r>
        <w:rPr>
          <w:rFonts w:ascii="Arial" w:hAnsi="Arial" w:cs="Arial" w:eastAsia="Arial" w:hint="default"/>
        </w:rPr>
        <w:t>34.5%</w:t>
      </w:r>
      <w:r>
        <w:rPr/>
        <w:t>。主要原因是受固网语音业务下滑以及本公司</w:t>
      </w:r>
      <w:r>
        <w:rPr>
          <w:spacing w:val="-61"/>
        </w:rPr>
        <w:t> </w:t>
      </w:r>
      <w:r>
        <w:rPr>
          <w:rFonts w:ascii="Arial" w:hAnsi="Arial" w:cs="Arial" w:eastAsia="Arial" w:hint="default"/>
        </w:rPr>
        <w:t>3G</w:t>
      </w:r>
      <w:r>
        <w:rPr>
          <w:rFonts w:ascii="Arial" w:hAnsi="Arial" w:cs="Arial" w:eastAsia="Arial" w:hint="default"/>
          <w:spacing w:val="-15"/>
        </w:rPr>
        <w:t> </w:t>
      </w:r>
      <w:r>
        <w:rPr/>
        <w:t>业务处于发展初期，</w:t>
      </w:r>
      <w:r>
        <w:rPr>
          <w:w w:val="99"/>
        </w:rPr>
        <w:t> </w:t>
      </w:r>
      <w:r>
        <w:rPr/>
        <w:t>收入无法弥补折旧及摊销、网络运行及支撑成本以及销售费用等成本的增加。</w:t>
      </w:r>
    </w:p>
    <w:p>
      <w:pPr>
        <w:spacing w:line="240" w:lineRule="auto" w:before="0"/>
        <w:rPr>
          <w:rFonts w:ascii="宋体" w:hAnsi="宋体" w:cs="宋体" w:eastAsia="宋体" w:hint="default"/>
          <w:sz w:val="21"/>
          <w:szCs w:val="21"/>
        </w:rPr>
      </w:pPr>
    </w:p>
    <w:p>
      <w:pPr>
        <w:pStyle w:val="Heading8"/>
        <w:spacing w:line="240" w:lineRule="auto"/>
        <w:ind w:right="99"/>
        <w:jc w:val="left"/>
        <w:rPr>
          <w:b w:val="0"/>
          <w:bCs w:val="0"/>
        </w:rPr>
      </w:pPr>
      <w:r>
        <w:rPr>
          <w:rFonts w:ascii="Arial" w:hAnsi="Arial" w:cs="Arial" w:eastAsia="Arial" w:hint="default"/>
        </w:rPr>
        <w:t>5.2</w:t>
      </w:r>
      <w:r>
        <w:rPr>
          <w:rFonts w:ascii="Arial" w:hAnsi="Arial" w:cs="Arial" w:eastAsia="Arial" w:hint="default"/>
          <w:spacing w:val="51"/>
        </w:rPr>
        <w:t> </w:t>
      </w:r>
      <w:r>
        <w:rPr/>
        <w:t>所得税</w:t>
      </w:r>
      <w:r>
        <w:rPr>
          <w:b w:val="0"/>
          <w:bCs w:val="0"/>
        </w:rPr>
      </w:r>
    </w:p>
    <w:p>
      <w:pPr>
        <w:spacing w:line="240" w:lineRule="auto" w:before="2"/>
        <w:rPr>
          <w:rFonts w:ascii="宋体" w:hAnsi="宋体" w:cs="宋体" w:eastAsia="宋体" w:hint="default"/>
          <w:b/>
          <w:bCs/>
          <w:sz w:val="22"/>
          <w:szCs w:val="22"/>
        </w:rPr>
      </w:pPr>
    </w:p>
    <w:p>
      <w:pPr>
        <w:pStyle w:val="BodyText"/>
        <w:spacing w:line="280" w:lineRule="exact"/>
        <w:ind w:left="569" w:right="217" w:firstLine="2"/>
        <w:jc w:val="both"/>
      </w:pPr>
      <w:r>
        <w:rPr>
          <w:rFonts w:ascii="Arial" w:hAnsi="Arial" w:cs="Arial" w:eastAsia="Arial" w:hint="default"/>
        </w:rPr>
        <w:t>2009</w:t>
      </w:r>
      <w:r>
        <w:rPr>
          <w:rFonts w:ascii="Arial" w:hAnsi="Arial" w:cs="Arial" w:eastAsia="Arial" w:hint="default"/>
          <w:spacing w:val="-5"/>
        </w:rPr>
        <w:t> </w:t>
      </w:r>
      <w:r>
        <w:rPr/>
        <w:t>年本公司的所得税为人民币</w:t>
      </w:r>
      <w:r>
        <w:rPr>
          <w:spacing w:val="-54"/>
        </w:rPr>
        <w:t> </w:t>
      </w:r>
      <w:r>
        <w:rPr>
          <w:rFonts w:ascii="Arial" w:hAnsi="Arial" w:cs="Arial" w:eastAsia="Arial" w:hint="default"/>
        </w:rPr>
        <w:t>28.1</w:t>
      </w:r>
      <w:r>
        <w:rPr>
          <w:rFonts w:ascii="Arial" w:hAnsi="Arial" w:cs="Arial" w:eastAsia="Arial" w:hint="default"/>
          <w:spacing w:val="-5"/>
        </w:rPr>
        <w:t> </w:t>
      </w:r>
      <w:r>
        <w:rPr>
          <w:spacing w:val="-3"/>
        </w:rPr>
        <w:t>亿元，全年实际税率为</w:t>
      </w:r>
      <w:r>
        <w:rPr>
          <w:spacing w:val="-54"/>
        </w:rPr>
        <w:t> </w:t>
      </w:r>
      <w:r>
        <w:rPr>
          <w:rFonts w:ascii="Arial" w:hAnsi="Arial" w:cs="Arial" w:eastAsia="Arial" w:hint="default"/>
          <w:spacing w:val="-5"/>
        </w:rPr>
        <w:t>23.0%</w:t>
      </w:r>
      <w:r>
        <w:rPr>
          <w:spacing w:val="-5"/>
        </w:rPr>
        <w:t>，调整后（附注</w:t>
      </w:r>
      <w:r>
        <w:rPr>
          <w:spacing w:val="-54"/>
        </w:rPr>
        <w:t> </w:t>
      </w:r>
      <w:r>
        <w:rPr>
          <w:rFonts w:ascii="Arial" w:hAnsi="Arial" w:cs="Arial" w:eastAsia="Arial" w:hint="default"/>
          <w:spacing w:val="-8"/>
        </w:rPr>
        <w:t>3</w:t>
      </w:r>
      <w:r>
        <w:rPr>
          <w:spacing w:val="-8"/>
        </w:rPr>
        <w:t>）的实</w:t>
      </w:r>
      <w:r>
        <w:rPr>
          <w:w w:val="99"/>
        </w:rPr>
        <w:t> </w:t>
      </w:r>
      <w:r>
        <w:rPr/>
        <w:t>际税率为</w:t>
      </w:r>
      <w:r>
        <w:rPr>
          <w:spacing w:val="-58"/>
        </w:rPr>
        <w:t> </w:t>
      </w:r>
      <w:r>
        <w:rPr>
          <w:rFonts w:ascii="Arial" w:hAnsi="Arial" w:cs="Arial" w:eastAsia="Arial" w:hint="default"/>
        </w:rPr>
        <w:t>24.1%</w:t>
      </w:r>
      <w:r>
        <w:rPr/>
        <w:t>。</w:t>
      </w:r>
    </w:p>
    <w:p>
      <w:pPr>
        <w:spacing w:line="240" w:lineRule="auto" w:before="12"/>
        <w:rPr>
          <w:rFonts w:ascii="宋体" w:hAnsi="宋体" w:cs="宋体" w:eastAsia="宋体" w:hint="default"/>
          <w:sz w:val="18"/>
          <w:szCs w:val="18"/>
        </w:rPr>
      </w:pPr>
    </w:p>
    <w:p>
      <w:pPr>
        <w:pStyle w:val="Heading8"/>
        <w:spacing w:line="240" w:lineRule="auto"/>
        <w:ind w:right="99"/>
        <w:jc w:val="left"/>
        <w:rPr>
          <w:b w:val="0"/>
          <w:bCs w:val="0"/>
        </w:rPr>
      </w:pPr>
      <w:r>
        <w:rPr>
          <w:rFonts w:ascii="Arial" w:hAnsi="Arial" w:cs="Arial" w:eastAsia="Arial" w:hint="default"/>
        </w:rPr>
        <w:t>5.3</w:t>
      </w:r>
      <w:r>
        <w:rPr>
          <w:rFonts w:ascii="Arial" w:hAnsi="Arial" w:cs="Arial" w:eastAsia="Arial" w:hint="default"/>
          <w:spacing w:val="51"/>
        </w:rPr>
        <w:t> </w:t>
      </w:r>
      <w:r>
        <w:rPr/>
        <w:t>年度盈利</w:t>
      </w:r>
      <w:r>
        <w:rPr>
          <w:b w:val="0"/>
          <w:bCs w:val="0"/>
        </w:rPr>
      </w:r>
    </w:p>
    <w:p>
      <w:pPr>
        <w:spacing w:line="240" w:lineRule="auto" w:before="7"/>
        <w:rPr>
          <w:rFonts w:ascii="宋体" w:hAnsi="宋体" w:cs="宋体" w:eastAsia="宋体" w:hint="default"/>
          <w:b/>
          <w:bCs/>
          <w:sz w:val="19"/>
          <w:szCs w:val="19"/>
        </w:rPr>
      </w:pPr>
    </w:p>
    <w:p>
      <w:pPr>
        <w:pStyle w:val="BodyText"/>
        <w:spacing w:line="292" w:lineRule="exact"/>
        <w:ind w:left="571" w:right="0"/>
        <w:jc w:val="both"/>
      </w:pPr>
      <w:r>
        <w:rPr>
          <w:rFonts w:ascii="Arial" w:hAnsi="Arial" w:cs="Arial" w:eastAsia="Arial" w:hint="default"/>
        </w:rPr>
        <w:t>2009 </w:t>
      </w:r>
      <w:r>
        <w:rPr/>
        <w:t>年本公司实现净利润人民币 </w:t>
      </w:r>
      <w:r>
        <w:rPr>
          <w:rFonts w:ascii="Arial" w:hAnsi="Arial" w:cs="Arial" w:eastAsia="Arial" w:hint="default"/>
        </w:rPr>
        <w:t>93.7 </w:t>
      </w:r>
      <w:r>
        <w:rPr/>
        <w:t>亿元，比上年持续经营业务增长</w:t>
      </w:r>
      <w:r>
        <w:rPr>
          <w:spacing w:val="-58"/>
        </w:rPr>
        <w:t> </w:t>
      </w:r>
      <w:r>
        <w:rPr>
          <w:rFonts w:ascii="Arial" w:hAnsi="Arial" w:cs="Arial" w:eastAsia="Arial" w:hint="default"/>
        </w:rPr>
        <w:t>29.3%</w:t>
      </w:r>
      <w:r>
        <w:rPr/>
        <w:t>，其中归属于</w:t>
      </w:r>
    </w:p>
    <w:p>
      <w:pPr>
        <w:pStyle w:val="BodyText"/>
        <w:spacing w:line="280" w:lineRule="exact"/>
        <w:ind w:left="569" w:right="0"/>
        <w:jc w:val="both"/>
      </w:pPr>
      <w:r>
        <w:rPr/>
        <w:t>母公司的净利润为</w:t>
      </w:r>
      <w:r>
        <w:rPr>
          <w:spacing w:val="-63"/>
        </w:rPr>
        <w:t> </w:t>
      </w:r>
      <w:r>
        <w:rPr>
          <w:rFonts w:ascii="Arial" w:hAnsi="Arial" w:cs="Arial" w:eastAsia="Arial" w:hint="default"/>
        </w:rPr>
        <w:t>31.4</w:t>
      </w:r>
      <w:r>
        <w:rPr>
          <w:rFonts w:ascii="Arial" w:hAnsi="Arial" w:cs="Arial" w:eastAsia="Arial" w:hint="default"/>
          <w:spacing w:val="-14"/>
        </w:rPr>
        <w:t> </w:t>
      </w:r>
      <w:r>
        <w:rPr/>
        <w:t>亿元，基本每股收益为人民币</w:t>
      </w:r>
      <w:r>
        <w:rPr>
          <w:spacing w:val="-63"/>
        </w:rPr>
        <w:t> </w:t>
      </w:r>
      <w:r>
        <w:rPr>
          <w:rFonts w:ascii="Arial" w:hAnsi="Arial" w:cs="Arial" w:eastAsia="Arial" w:hint="default"/>
        </w:rPr>
        <w:t>0.148</w:t>
      </w:r>
      <w:r>
        <w:rPr>
          <w:rFonts w:ascii="Arial" w:hAnsi="Arial" w:cs="Arial" w:eastAsia="Arial" w:hint="default"/>
          <w:spacing w:val="-14"/>
        </w:rPr>
        <w:t> </w:t>
      </w:r>
      <w:r>
        <w:rPr/>
        <w:t>元。按可比口径，调整后净利润</w:t>
      </w:r>
    </w:p>
    <w:p>
      <w:pPr>
        <w:pStyle w:val="BodyText"/>
        <w:spacing w:line="280" w:lineRule="exact" w:before="21"/>
        <w:ind w:left="569" w:right="219"/>
        <w:jc w:val="both"/>
      </w:pPr>
      <w:r>
        <w:rPr/>
        <w:t>（附注</w:t>
      </w:r>
      <w:r>
        <w:rPr>
          <w:spacing w:val="-57"/>
        </w:rPr>
        <w:t> </w:t>
      </w:r>
      <w:r>
        <w:rPr>
          <w:rFonts w:ascii="Arial" w:hAnsi="Arial" w:cs="Arial" w:eastAsia="Arial" w:hint="default"/>
        </w:rPr>
        <w:t>3</w:t>
      </w:r>
      <w:r>
        <w:rPr/>
        <w:t>）为人民币</w:t>
      </w:r>
      <w:r>
        <w:rPr>
          <w:spacing w:val="-57"/>
        </w:rPr>
        <w:t> </w:t>
      </w:r>
      <w:r>
        <w:rPr>
          <w:rFonts w:ascii="Arial" w:hAnsi="Arial" w:cs="Arial" w:eastAsia="Arial" w:hint="default"/>
        </w:rPr>
        <w:t>94.3</w:t>
      </w:r>
      <w:r>
        <w:rPr>
          <w:rFonts w:ascii="Arial" w:hAnsi="Arial" w:cs="Arial" w:eastAsia="Arial" w:hint="default"/>
          <w:spacing w:val="-8"/>
        </w:rPr>
        <w:t> </w:t>
      </w:r>
      <w:r>
        <w:rPr/>
        <w:t>亿元，比上年持续经营业务下降</w:t>
      </w:r>
      <w:r>
        <w:rPr>
          <w:spacing w:val="-56"/>
        </w:rPr>
        <w:t> </w:t>
      </w:r>
      <w:r>
        <w:rPr>
          <w:rFonts w:ascii="Arial" w:hAnsi="Arial" w:cs="Arial" w:eastAsia="Arial" w:hint="default"/>
        </w:rPr>
        <w:t>35.1%</w:t>
      </w:r>
      <w:r>
        <w:rPr/>
        <w:t>，其中归属于母公司的净利</w:t>
      </w:r>
      <w:r>
        <w:rPr>
          <w:w w:val="99"/>
        </w:rPr>
        <w:t> </w:t>
      </w:r>
      <w:r>
        <w:rPr/>
        <w:t>润为</w:t>
      </w:r>
      <w:r>
        <w:rPr>
          <w:spacing w:val="-57"/>
        </w:rPr>
        <w:t> </w:t>
      </w:r>
      <w:r>
        <w:rPr>
          <w:rFonts w:ascii="Arial" w:hAnsi="Arial" w:cs="Arial" w:eastAsia="Arial" w:hint="default"/>
        </w:rPr>
        <w:t>31.5</w:t>
      </w:r>
      <w:r>
        <w:rPr>
          <w:rFonts w:ascii="Arial" w:hAnsi="Arial" w:cs="Arial" w:eastAsia="Arial" w:hint="default"/>
          <w:spacing w:val="-8"/>
        </w:rPr>
        <w:t> </w:t>
      </w:r>
      <w:r>
        <w:rPr/>
        <w:t>亿元，基本每股收益为人民币</w:t>
      </w:r>
      <w:r>
        <w:rPr>
          <w:spacing w:val="-57"/>
        </w:rPr>
        <w:t> </w:t>
      </w:r>
      <w:r>
        <w:rPr>
          <w:rFonts w:ascii="Arial" w:hAnsi="Arial" w:cs="Arial" w:eastAsia="Arial" w:hint="default"/>
        </w:rPr>
        <w:t>0.149</w:t>
      </w:r>
      <w:r>
        <w:rPr>
          <w:rFonts w:ascii="Arial" w:hAnsi="Arial" w:cs="Arial" w:eastAsia="Arial" w:hint="default"/>
          <w:spacing w:val="-8"/>
        </w:rPr>
        <w:t> </w:t>
      </w:r>
      <w:r>
        <w:rPr/>
        <w:t>元。</w:t>
      </w:r>
    </w:p>
    <w:p>
      <w:pPr>
        <w:spacing w:line="240" w:lineRule="auto" w:before="12"/>
        <w:rPr>
          <w:rFonts w:ascii="宋体" w:hAnsi="宋体" w:cs="宋体" w:eastAsia="宋体" w:hint="default"/>
          <w:sz w:val="18"/>
          <w:szCs w:val="18"/>
        </w:rPr>
      </w:pPr>
    </w:p>
    <w:p>
      <w:pPr>
        <w:pStyle w:val="Heading8"/>
        <w:spacing w:line="240" w:lineRule="auto"/>
        <w:ind w:right="99"/>
        <w:jc w:val="left"/>
        <w:rPr>
          <w:rFonts w:ascii="Arial" w:hAnsi="Arial" w:cs="Arial" w:eastAsia="Arial" w:hint="default"/>
          <w:b w:val="0"/>
          <w:bCs w:val="0"/>
        </w:rPr>
      </w:pPr>
      <w:r>
        <w:rPr>
          <w:rFonts w:ascii="Arial" w:hAnsi="Arial" w:cs="Arial" w:eastAsia="Arial" w:hint="default"/>
        </w:rPr>
        <w:t>6</w:t>
      </w:r>
      <w:r>
        <w:rPr/>
        <w:t>、调整后</w:t>
      </w:r>
      <w:r>
        <w:rPr>
          <w:spacing w:val="-65"/>
        </w:rPr>
        <w:t> </w:t>
      </w:r>
      <w:r>
        <w:rPr>
          <w:rFonts w:ascii="Arial" w:hAnsi="Arial" w:cs="Arial" w:eastAsia="Arial" w:hint="default"/>
        </w:rPr>
        <w:t>EBITDA</w:t>
      </w:r>
      <w:r>
        <w:rPr>
          <w:rFonts w:ascii="Arial" w:hAnsi="Arial" w:cs="Arial" w:eastAsia="Arial" w:hint="default"/>
          <w:b w:val="0"/>
          <w:bCs w:val="0"/>
        </w:rPr>
      </w:r>
    </w:p>
    <w:p>
      <w:pPr>
        <w:spacing w:line="240" w:lineRule="auto" w:before="4"/>
        <w:rPr>
          <w:rFonts w:ascii="Arial" w:hAnsi="Arial" w:cs="Arial" w:eastAsia="Arial" w:hint="default"/>
          <w:b/>
          <w:bCs/>
          <w:sz w:val="22"/>
          <w:szCs w:val="22"/>
        </w:rPr>
      </w:pPr>
    </w:p>
    <w:p>
      <w:pPr>
        <w:pStyle w:val="BodyText"/>
        <w:spacing w:line="280" w:lineRule="exact"/>
        <w:ind w:left="571" w:right="0"/>
        <w:jc w:val="both"/>
      </w:pPr>
      <w:r>
        <w:rPr>
          <w:rFonts w:ascii="Arial" w:hAnsi="Arial" w:cs="Arial" w:eastAsia="Arial" w:hint="default"/>
        </w:rPr>
        <w:t>2009  </w:t>
      </w:r>
      <w:r>
        <w:rPr/>
        <w:t>年本公司调整后 </w:t>
      </w:r>
      <w:r>
        <w:rPr>
          <w:rFonts w:ascii="Arial" w:hAnsi="Arial" w:cs="Arial" w:eastAsia="Arial" w:hint="default"/>
        </w:rPr>
        <w:t>EBITDA</w:t>
      </w:r>
      <w:r>
        <w:rPr/>
        <w:t>（附注 </w:t>
      </w:r>
      <w:r>
        <w:rPr>
          <w:rFonts w:ascii="Arial" w:hAnsi="Arial" w:cs="Arial" w:eastAsia="Arial" w:hint="default"/>
        </w:rPr>
        <w:t>4</w:t>
      </w:r>
      <w:r>
        <w:rPr/>
        <w:t>）为人民币 </w:t>
      </w:r>
      <w:r>
        <w:rPr>
          <w:rFonts w:ascii="Arial" w:hAnsi="Arial" w:cs="Arial" w:eastAsia="Arial" w:hint="default"/>
        </w:rPr>
        <w:t>600.9</w:t>
      </w:r>
      <w:r>
        <w:rPr>
          <w:rFonts w:ascii="Arial" w:hAnsi="Arial" w:cs="Arial" w:eastAsia="Arial" w:hint="default"/>
          <w:spacing w:val="13"/>
        </w:rPr>
        <w:t> </w:t>
      </w:r>
      <w:r>
        <w:rPr/>
        <w:t>亿元，比上年持续经营业务下降</w:t>
      </w:r>
    </w:p>
    <w:p>
      <w:pPr>
        <w:pStyle w:val="BodyText"/>
        <w:spacing w:line="280" w:lineRule="exact" w:before="32"/>
        <w:ind w:left="569" w:right="220" w:hanging="1"/>
        <w:jc w:val="both"/>
      </w:pPr>
      <w:r>
        <w:rPr>
          <w:rFonts w:ascii="Arial" w:hAnsi="Arial" w:cs="Arial" w:eastAsia="Arial" w:hint="default"/>
        </w:rPr>
        <w:t>12.4%</w:t>
      </w:r>
      <w:r>
        <w:rPr/>
        <w:t>。调整后</w:t>
      </w:r>
      <w:r>
        <w:rPr>
          <w:spacing w:val="-42"/>
        </w:rPr>
        <w:t> </w:t>
      </w:r>
      <w:r>
        <w:rPr>
          <w:rFonts w:ascii="Arial" w:hAnsi="Arial" w:cs="Arial" w:eastAsia="Arial" w:hint="default"/>
        </w:rPr>
        <w:t>EBITDA</w:t>
      </w:r>
      <w:r>
        <w:rPr>
          <w:rFonts w:ascii="Arial" w:hAnsi="Arial" w:cs="Arial" w:eastAsia="Arial" w:hint="default"/>
          <w:spacing w:val="7"/>
        </w:rPr>
        <w:t> </w:t>
      </w:r>
      <w:r>
        <w:rPr/>
        <w:t>率（调整后</w:t>
      </w:r>
      <w:r>
        <w:rPr>
          <w:spacing w:val="-42"/>
        </w:rPr>
        <w:t> </w:t>
      </w:r>
      <w:r>
        <w:rPr>
          <w:rFonts w:ascii="Arial" w:hAnsi="Arial" w:cs="Arial" w:eastAsia="Arial" w:hint="default"/>
        </w:rPr>
        <w:t>EBITDA</w:t>
      </w:r>
      <w:r>
        <w:rPr>
          <w:rFonts w:ascii="Arial" w:hAnsi="Arial" w:cs="Arial" w:eastAsia="Arial" w:hint="default"/>
          <w:spacing w:val="8"/>
        </w:rPr>
        <w:t> </w:t>
      </w:r>
      <w:r>
        <w:rPr/>
        <w:t>占</w:t>
      </w:r>
      <w:r>
        <w:rPr>
          <w:sz w:val="24"/>
          <w:szCs w:val="24"/>
        </w:rPr>
        <w:t>剔除固话初装递延收入后</w:t>
      </w:r>
      <w:r>
        <w:rPr/>
        <w:t>营业收入的百分</w:t>
      </w:r>
      <w:r>
        <w:rPr>
          <w:w w:val="99"/>
        </w:rPr>
        <w:t> </w:t>
      </w:r>
      <w:r>
        <w:rPr/>
        <w:t>比）为</w:t>
      </w:r>
      <w:r>
        <w:rPr>
          <w:spacing w:val="-57"/>
        </w:rPr>
        <w:t> </w:t>
      </w:r>
      <w:r>
        <w:rPr>
          <w:rFonts w:ascii="Arial" w:hAnsi="Arial" w:cs="Arial" w:eastAsia="Arial" w:hint="default"/>
        </w:rPr>
        <w:t>38.1%</w:t>
      </w:r>
      <w:r>
        <w:rPr/>
        <w:t>，比上年持续经营业务减少</w:t>
      </w:r>
      <w:r>
        <w:rPr>
          <w:spacing w:val="-57"/>
        </w:rPr>
        <w:t> </w:t>
      </w:r>
      <w:r>
        <w:rPr>
          <w:rFonts w:ascii="Arial" w:hAnsi="Arial" w:cs="Arial" w:eastAsia="Arial" w:hint="default"/>
        </w:rPr>
        <w:t>4.0</w:t>
      </w:r>
      <w:r>
        <w:rPr>
          <w:rFonts w:ascii="Arial" w:hAnsi="Arial" w:cs="Arial" w:eastAsia="Arial" w:hint="default"/>
          <w:spacing w:val="-8"/>
        </w:rPr>
        <w:t> </w:t>
      </w:r>
      <w:r>
        <w:rPr/>
        <w:t>个百分点。</w:t>
      </w:r>
    </w:p>
    <w:p>
      <w:pPr>
        <w:spacing w:after="0" w:line="280" w:lineRule="exact"/>
        <w:jc w:val="both"/>
        <w:sectPr>
          <w:pgSz w:w="11910" w:h="16840"/>
          <w:pgMar w:header="587" w:footer="774" w:top="960" w:bottom="960" w:left="1180" w:right="1060"/>
        </w:sectPr>
      </w:pPr>
    </w:p>
    <w:p>
      <w:pPr>
        <w:spacing w:line="240" w:lineRule="auto" w:before="9"/>
        <w:rPr>
          <w:rFonts w:ascii="宋体" w:hAnsi="宋体" w:cs="宋体" w:eastAsia="宋体" w:hint="default"/>
          <w:sz w:val="12"/>
          <w:szCs w:val="12"/>
        </w:rPr>
      </w:pPr>
    </w:p>
    <w:p>
      <w:pPr>
        <w:pStyle w:val="Heading8"/>
        <w:spacing w:line="240" w:lineRule="auto" w:before="31"/>
        <w:ind w:right="106"/>
        <w:jc w:val="left"/>
        <w:rPr>
          <w:b w:val="0"/>
          <w:bCs w:val="0"/>
        </w:rPr>
      </w:pPr>
      <w:r>
        <w:rPr>
          <w:rFonts w:ascii="Arial" w:hAnsi="Arial" w:cs="Arial" w:eastAsia="Arial" w:hint="default"/>
        </w:rPr>
        <w:t>7</w:t>
      </w:r>
      <w:r>
        <w:rPr/>
        <w:t>、资本开支及现金流</w:t>
      </w:r>
      <w:r>
        <w:rPr>
          <w:b w:val="0"/>
          <w:bCs w:val="0"/>
        </w:rPr>
      </w:r>
    </w:p>
    <w:p>
      <w:pPr>
        <w:spacing w:line="240" w:lineRule="auto" w:before="1"/>
        <w:rPr>
          <w:rFonts w:ascii="宋体" w:hAnsi="宋体" w:cs="宋体" w:eastAsia="宋体" w:hint="default"/>
          <w:b/>
          <w:bCs/>
          <w:sz w:val="21"/>
          <w:szCs w:val="21"/>
        </w:rPr>
      </w:pPr>
    </w:p>
    <w:p>
      <w:pPr>
        <w:pStyle w:val="BodyText"/>
        <w:spacing w:line="220" w:lineRule="auto"/>
        <w:ind w:left="569" w:right="297" w:firstLine="2"/>
        <w:jc w:val="both"/>
      </w:pPr>
      <w:r>
        <w:rPr>
          <w:rFonts w:ascii="Arial" w:hAnsi="Arial" w:cs="Arial" w:eastAsia="Arial" w:hint="default"/>
        </w:rPr>
        <w:t>2009</w:t>
      </w:r>
      <w:r>
        <w:rPr>
          <w:rFonts w:ascii="Arial" w:hAnsi="Arial" w:cs="Arial" w:eastAsia="Arial" w:hint="default"/>
          <w:spacing w:val="5"/>
        </w:rPr>
        <w:t> </w:t>
      </w:r>
      <w:r>
        <w:rPr/>
        <w:t>年本公司的各项资本开支合计人民币</w:t>
      </w:r>
      <w:r>
        <w:rPr>
          <w:spacing w:val="-44"/>
        </w:rPr>
        <w:t> </w:t>
      </w:r>
      <w:r>
        <w:rPr>
          <w:rFonts w:ascii="Arial" w:hAnsi="Arial" w:cs="Arial" w:eastAsia="Arial" w:hint="default"/>
        </w:rPr>
        <w:t>1,124.7</w:t>
      </w:r>
      <w:r>
        <w:rPr>
          <w:rFonts w:ascii="Arial" w:hAnsi="Arial" w:cs="Arial" w:eastAsia="Arial" w:hint="default"/>
          <w:spacing w:val="5"/>
        </w:rPr>
        <w:t> </w:t>
      </w:r>
      <w:r>
        <w:rPr/>
        <w:t>亿元，主要用于移动</w:t>
      </w:r>
      <w:r>
        <w:rPr>
          <w:spacing w:val="-44"/>
        </w:rPr>
        <w:t> </w:t>
      </w:r>
      <w:r>
        <w:rPr>
          <w:rFonts w:ascii="Arial" w:hAnsi="Arial" w:cs="Arial" w:eastAsia="Arial" w:hint="default"/>
        </w:rPr>
        <w:t>GSM</w:t>
      </w:r>
      <w:r>
        <w:rPr>
          <w:rFonts w:ascii="Arial" w:hAnsi="Arial" w:cs="Arial" w:eastAsia="Arial" w:hint="default"/>
          <w:spacing w:val="4"/>
        </w:rPr>
        <w:t> </w:t>
      </w:r>
      <w:r>
        <w:rPr/>
        <w:t>及</w:t>
      </w:r>
      <w:r>
        <w:rPr>
          <w:spacing w:val="-43"/>
        </w:rPr>
        <w:t> </w:t>
      </w:r>
      <w:r>
        <w:rPr>
          <w:rFonts w:ascii="Arial" w:hAnsi="Arial" w:cs="Arial" w:eastAsia="Arial" w:hint="default"/>
        </w:rPr>
        <w:t>3G</w:t>
      </w:r>
      <w:r>
        <w:rPr>
          <w:rFonts w:ascii="Arial" w:hAnsi="Arial" w:cs="Arial" w:eastAsia="Arial" w:hint="default"/>
          <w:spacing w:val="4"/>
        </w:rPr>
        <w:t> </w:t>
      </w:r>
      <w:r>
        <w:rPr/>
        <w:t>网络、</w:t>
      </w:r>
      <w:r>
        <w:rPr>
          <w:w w:val="99"/>
        </w:rPr>
        <w:t> </w:t>
      </w:r>
      <w:r>
        <w:rPr>
          <w:spacing w:val="-5"/>
        </w:rPr>
        <w:t>宽带及数据、传送网及</w:t>
      </w:r>
      <w:r>
        <w:rPr>
          <w:spacing w:val="-56"/>
        </w:rPr>
        <w:t> </w:t>
      </w:r>
      <w:r>
        <w:rPr>
          <w:rFonts w:ascii="Arial" w:hAnsi="Arial" w:cs="Arial" w:eastAsia="Arial" w:hint="default"/>
        </w:rPr>
        <w:t>IT</w:t>
      </w:r>
      <w:r>
        <w:rPr>
          <w:rFonts w:ascii="Arial" w:hAnsi="Arial" w:cs="Arial" w:eastAsia="Arial" w:hint="default"/>
          <w:spacing w:val="-7"/>
        </w:rPr>
        <w:t> </w:t>
      </w:r>
      <w:r>
        <w:rPr>
          <w:spacing w:val="-8"/>
        </w:rPr>
        <w:t>系统建设等方面。其中，</w:t>
      </w:r>
      <w:r>
        <w:rPr>
          <w:rFonts w:ascii="Arial" w:hAnsi="Arial" w:cs="Arial" w:eastAsia="Arial" w:hint="default"/>
          <w:spacing w:val="-8"/>
        </w:rPr>
        <w:t>3G</w:t>
      </w:r>
      <w:r>
        <w:rPr>
          <w:rFonts w:ascii="Arial" w:hAnsi="Arial" w:cs="Arial" w:eastAsia="Arial" w:hint="default"/>
          <w:spacing w:val="-7"/>
        </w:rPr>
        <w:t> </w:t>
      </w:r>
      <w:r>
        <w:rPr/>
        <w:t>资本开支约为人民币</w:t>
      </w:r>
      <w:r>
        <w:rPr>
          <w:spacing w:val="-56"/>
        </w:rPr>
        <w:t> </w:t>
      </w:r>
      <w:r>
        <w:rPr>
          <w:rFonts w:ascii="Arial" w:hAnsi="Arial" w:cs="Arial" w:eastAsia="Arial" w:hint="default"/>
        </w:rPr>
        <w:t>364.0</w:t>
      </w:r>
      <w:r>
        <w:rPr>
          <w:rFonts w:ascii="Arial" w:hAnsi="Arial" w:cs="Arial" w:eastAsia="Arial" w:hint="default"/>
          <w:spacing w:val="-7"/>
        </w:rPr>
        <w:t> </w:t>
      </w:r>
      <w:r>
        <w:rPr>
          <w:spacing w:val="-9"/>
        </w:rPr>
        <w:t>亿元，</w:t>
      </w:r>
      <w:r>
        <w:rPr>
          <w:rFonts w:ascii="Arial" w:hAnsi="Arial" w:cs="Arial" w:eastAsia="Arial" w:hint="default"/>
          <w:spacing w:val="-9"/>
        </w:rPr>
        <w:t>GSM</w:t>
      </w:r>
      <w:r>
        <w:rPr>
          <w:rFonts w:ascii="Arial" w:hAnsi="Arial" w:cs="Arial" w:eastAsia="Arial" w:hint="default"/>
          <w:w w:val="99"/>
        </w:rPr>
        <w:t> </w:t>
      </w:r>
      <w:r>
        <w:rPr/>
        <w:t>资本开支约为人民币</w:t>
      </w:r>
      <w:r>
        <w:rPr>
          <w:spacing w:val="-39"/>
        </w:rPr>
        <w:t> </w:t>
      </w:r>
      <w:r>
        <w:rPr>
          <w:rFonts w:ascii="Arial" w:hAnsi="Arial" w:cs="Arial" w:eastAsia="Arial" w:hint="default"/>
        </w:rPr>
        <w:t>205.8</w:t>
      </w:r>
      <w:r>
        <w:rPr>
          <w:rFonts w:ascii="Arial" w:hAnsi="Arial" w:cs="Arial" w:eastAsia="Arial" w:hint="default"/>
          <w:spacing w:val="10"/>
        </w:rPr>
        <w:t> </w:t>
      </w:r>
      <w:r>
        <w:rPr/>
        <w:t>亿元，宽带及数据资本开支约为人民币</w:t>
      </w:r>
      <w:r>
        <w:rPr>
          <w:spacing w:val="-39"/>
        </w:rPr>
        <w:t> </w:t>
      </w:r>
      <w:r>
        <w:rPr>
          <w:rFonts w:ascii="Arial" w:hAnsi="Arial" w:cs="Arial" w:eastAsia="Arial" w:hint="default"/>
        </w:rPr>
        <w:t>188.0</w:t>
      </w:r>
      <w:r>
        <w:rPr>
          <w:rFonts w:ascii="Arial" w:hAnsi="Arial" w:cs="Arial" w:eastAsia="Arial" w:hint="default"/>
          <w:spacing w:val="10"/>
        </w:rPr>
        <w:t> </w:t>
      </w:r>
      <w:r>
        <w:rPr/>
        <w:t>亿元，基础设施及</w:t>
      </w:r>
    </w:p>
    <w:p>
      <w:pPr>
        <w:pStyle w:val="BodyText"/>
        <w:spacing w:line="283" w:lineRule="exact"/>
        <w:ind w:left="569" w:right="0"/>
        <w:jc w:val="both"/>
      </w:pPr>
      <w:r>
        <w:rPr/>
        <w:t>传送网资本开支约为人民币</w:t>
      </w:r>
      <w:r>
        <w:rPr>
          <w:spacing w:val="-57"/>
        </w:rPr>
        <w:t> </w:t>
      </w:r>
      <w:r>
        <w:rPr>
          <w:rFonts w:ascii="Arial" w:hAnsi="Arial" w:cs="Arial" w:eastAsia="Arial" w:hint="default"/>
        </w:rPr>
        <w:t>250.1</w:t>
      </w:r>
      <w:r>
        <w:rPr>
          <w:rFonts w:ascii="Arial" w:hAnsi="Arial" w:cs="Arial" w:eastAsia="Arial" w:hint="default"/>
          <w:spacing w:val="-8"/>
        </w:rPr>
        <w:t> </w:t>
      </w:r>
      <w:r>
        <w:rPr/>
        <w:t>亿元，</w:t>
      </w:r>
      <w:r>
        <w:rPr>
          <w:rFonts w:ascii="Arial" w:hAnsi="Arial" w:cs="Arial" w:eastAsia="Arial" w:hint="default"/>
        </w:rPr>
        <w:t>IT</w:t>
      </w:r>
      <w:r>
        <w:rPr>
          <w:rFonts w:ascii="Arial" w:hAnsi="Arial" w:cs="Arial" w:eastAsia="Arial" w:hint="default"/>
          <w:spacing w:val="-8"/>
        </w:rPr>
        <w:t> </w:t>
      </w:r>
      <w:r>
        <w:rPr/>
        <w:t>系统资本开支约为人民币</w:t>
      </w:r>
      <w:r>
        <w:rPr>
          <w:spacing w:val="-56"/>
        </w:rPr>
        <w:t> </w:t>
      </w:r>
      <w:r>
        <w:rPr>
          <w:rFonts w:ascii="Arial" w:hAnsi="Arial" w:cs="Arial" w:eastAsia="Arial" w:hint="default"/>
        </w:rPr>
        <w:t>67.4</w:t>
      </w:r>
      <w:r>
        <w:rPr>
          <w:rFonts w:ascii="Arial" w:hAnsi="Arial" w:cs="Arial" w:eastAsia="Arial" w:hint="default"/>
          <w:spacing w:val="-8"/>
        </w:rPr>
        <w:t> </w:t>
      </w:r>
      <w:r>
        <w:rPr/>
        <w:t>亿元。</w:t>
      </w:r>
    </w:p>
    <w:p>
      <w:pPr>
        <w:spacing w:line="240" w:lineRule="auto" w:before="2"/>
        <w:rPr>
          <w:rFonts w:ascii="宋体" w:hAnsi="宋体" w:cs="宋体" w:eastAsia="宋体" w:hint="default"/>
          <w:sz w:val="22"/>
          <w:szCs w:val="22"/>
        </w:rPr>
      </w:pPr>
    </w:p>
    <w:p>
      <w:pPr>
        <w:pStyle w:val="BodyText"/>
        <w:spacing w:line="280" w:lineRule="exact"/>
        <w:ind w:left="569" w:right="301" w:firstLine="2"/>
        <w:jc w:val="both"/>
      </w:pPr>
      <w:r>
        <w:rPr>
          <w:rFonts w:ascii="Arial" w:hAnsi="Arial" w:cs="Arial" w:eastAsia="Arial" w:hint="default"/>
        </w:rPr>
        <w:t>2009</w:t>
      </w:r>
      <w:r>
        <w:rPr>
          <w:rFonts w:ascii="Arial" w:hAnsi="Arial" w:cs="Arial" w:eastAsia="Arial" w:hint="default"/>
          <w:spacing w:val="-8"/>
        </w:rPr>
        <w:t> </w:t>
      </w:r>
      <w:r>
        <w:rPr/>
        <w:t>年本公司经营活动现金流量净额约为人民币</w:t>
      </w:r>
      <w:r>
        <w:rPr>
          <w:spacing w:val="-56"/>
        </w:rPr>
        <w:t> </w:t>
      </w:r>
      <w:r>
        <w:rPr>
          <w:rFonts w:ascii="Arial" w:hAnsi="Arial" w:cs="Arial" w:eastAsia="Arial" w:hint="default"/>
        </w:rPr>
        <w:t>593.1</w:t>
      </w:r>
      <w:r>
        <w:rPr>
          <w:rFonts w:ascii="Arial" w:hAnsi="Arial" w:cs="Arial" w:eastAsia="Arial" w:hint="default"/>
          <w:spacing w:val="-8"/>
        </w:rPr>
        <w:t> </w:t>
      </w:r>
      <w:r>
        <w:rPr/>
        <w:t>亿元，资本开支由于</w:t>
      </w:r>
      <w:r>
        <w:rPr>
          <w:spacing w:val="-57"/>
        </w:rPr>
        <w:t> </w:t>
      </w:r>
      <w:r>
        <w:rPr>
          <w:rFonts w:ascii="Arial" w:hAnsi="Arial" w:cs="Arial" w:eastAsia="Arial" w:hint="default"/>
        </w:rPr>
        <w:t>3G</w:t>
      </w:r>
      <w:r>
        <w:rPr>
          <w:rFonts w:ascii="Arial" w:hAnsi="Arial" w:cs="Arial" w:eastAsia="Arial" w:hint="default"/>
          <w:spacing w:val="-8"/>
        </w:rPr>
        <w:t> </w:t>
      </w:r>
      <w:r>
        <w:rPr/>
        <w:t>网络建设原</w:t>
      </w:r>
      <w:r>
        <w:rPr>
          <w:w w:val="99"/>
        </w:rPr>
        <w:t> </w:t>
      </w:r>
      <w:r>
        <w:rPr/>
        <w:t>因大幅上升约为人民币</w:t>
      </w:r>
      <w:r>
        <w:rPr>
          <w:spacing w:val="-57"/>
        </w:rPr>
        <w:t> </w:t>
      </w:r>
      <w:r>
        <w:rPr>
          <w:rFonts w:ascii="Arial" w:hAnsi="Arial" w:cs="Arial" w:eastAsia="Arial" w:hint="default"/>
        </w:rPr>
        <w:t>1,124.7</w:t>
      </w:r>
      <w:r>
        <w:rPr>
          <w:rFonts w:ascii="Arial" w:hAnsi="Arial" w:cs="Arial" w:eastAsia="Arial" w:hint="default"/>
          <w:spacing w:val="-9"/>
        </w:rPr>
        <w:t> </w:t>
      </w:r>
      <w:r>
        <w:rPr/>
        <w:t>亿元，自由现金流约为人民币</w:t>
      </w:r>
      <w:r>
        <w:rPr>
          <w:rFonts w:ascii="Arial" w:hAnsi="Arial" w:cs="Arial" w:eastAsia="Arial" w:hint="default"/>
        </w:rPr>
        <w:t>-531.6</w:t>
      </w:r>
      <w:r>
        <w:rPr>
          <w:rFonts w:ascii="Arial" w:hAnsi="Arial" w:cs="Arial" w:eastAsia="Arial" w:hint="default"/>
          <w:spacing w:val="-9"/>
        </w:rPr>
        <w:t> </w:t>
      </w:r>
      <w:r>
        <w:rPr/>
        <w:t>亿元。</w:t>
      </w:r>
    </w:p>
    <w:p>
      <w:pPr>
        <w:spacing w:line="240" w:lineRule="auto" w:before="8"/>
        <w:rPr>
          <w:rFonts w:ascii="宋体" w:hAnsi="宋体" w:cs="宋体" w:eastAsia="宋体" w:hint="default"/>
          <w:sz w:val="18"/>
          <w:szCs w:val="18"/>
        </w:rPr>
      </w:pPr>
    </w:p>
    <w:p>
      <w:pPr>
        <w:pStyle w:val="BodyText"/>
        <w:spacing w:line="240" w:lineRule="auto"/>
        <w:ind w:left="572" w:right="0"/>
        <w:jc w:val="both"/>
      </w:pPr>
      <w:r>
        <w:rPr/>
        <w:t>下表列出了本公司</w:t>
      </w:r>
      <w:r>
        <w:rPr>
          <w:spacing w:val="-57"/>
        </w:rPr>
        <w:t> </w:t>
      </w:r>
      <w:r>
        <w:rPr>
          <w:rFonts w:ascii="Arial" w:hAnsi="Arial" w:cs="Arial" w:eastAsia="Arial" w:hint="default"/>
        </w:rPr>
        <w:t>2009</w:t>
      </w:r>
      <w:r>
        <w:rPr>
          <w:rFonts w:ascii="Arial" w:hAnsi="Arial" w:cs="Arial" w:eastAsia="Arial" w:hint="default"/>
          <w:spacing w:val="-8"/>
        </w:rPr>
        <w:t> </w:t>
      </w:r>
      <w:r>
        <w:rPr/>
        <w:t>年主要资本开支项目和</w:t>
      </w:r>
      <w:r>
        <w:rPr>
          <w:spacing w:val="-57"/>
        </w:rPr>
        <w:t> </w:t>
      </w:r>
      <w:r>
        <w:rPr>
          <w:rFonts w:ascii="Arial" w:hAnsi="Arial" w:cs="Arial" w:eastAsia="Arial" w:hint="default"/>
        </w:rPr>
        <w:t>2010</w:t>
      </w:r>
      <w:r>
        <w:rPr>
          <w:rFonts w:ascii="Arial" w:hAnsi="Arial" w:cs="Arial" w:eastAsia="Arial" w:hint="default"/>
          <w:spacing w:val="-8"/>
        </w:rPr>
        <w:t> </w:t>
      </w:r>
      <w:r>
        <w:rPr/>
        <w:t>零年预计资本开支情况。</w:t>
      </w:r>
    </w:p>
    <w:p>
      <w:pPr>
        <w:spacing w:line="240" w:lineRule="auto" w:before="3"/>
        <w:rPr>
          <w:rFonts w:ascii="宋体" w:hAnsi="宋体" w:cs="宋体" w:eastAsia="宋体" w:hint="default"/>
          <w:sz w:val="25"/>
          <w:szCs w:val="25"/>
        </w:rPr>
      </w:pPr>
    </w:p>
    <w:tbl>
      <w:tblPr>
        <w:tblW w:w="0" w:type="auto"/>
        <w:jc w:val="left"/>
        <w:tblInd w:w="491" w:type="dxa"/>
        <w:tblLayout w:type="fixed"/>
        <w:tblCellMar>
          <w:top w:w="0" w:type="dxa"/>
          <w:left w:w="0" w:type="dxa"/>
          <w:bottom w:w="0" w:type="dxa"/>
          <w:right w:w="0" w:type="dxa"/>
        </w:tblCellMar>
        <w:tblLook w:val="01E0"/>
      </w:tblPr>
      <w:tblGrid>
        <w:gridCol w:w="3265"/>
        <w:gridCol w:w="1574"/>
        <w:gridCol w:w="329"/>
        <w:gridCol w:w="1001"/>
        <w:gridCol w:w="1579"/>
        <w:gridCol w:w="304"/>
        <w:gridCol w:w="1035"/>
      </w:tblGrid>
      <w:tr>
        <w:trPr>
          <w:trHeight w:val="307" w:hRule="exact"/>
        </w:trPr>
        <w:tc>
          <w:tcPr>
            <w:tcW w:w="3265" w:type="dxa"/>
            <w:tcBorders>
              <w:top w:val="single" w:sz="17" w:space="0" w:color="000000"/>
              <w:left w:val="nil" w:sz="6" w:space="0" w:color="auto"/>
              <w:bottom w:val="nil" w:sz="6" w:space="0" w:color="auto"/>
              <w:right w:val="single" w:sz="4" w:space="0" w:color="000000"/>
            </w:tcBorders>
          </w:tcPr>
          <w:p>
            <w:pPr/>
          </w:p>
        </w:tc>
        <w:tc>
          <w:tcPr>
            <w:tcW w:w="1574" w:type="dxa"/>
            <w:tcBorders>
              <w:top w:val="single" w:sz="17" w:space="0" w:color="000000"/>
              <w:left w:val="single" w:sz="4" w:space="0" w:color="000000"/>
              <w:bottom w:val="nil" w:sz="6" w:space="0" w:color="auto"/>
              <w:right w:val="nil" w:sz="6" w:space="0" w:color="auto"/>
            </w:tcBorders>
          </w:tcPr>
          <w:p>
            <w:pPr>
              <w:pStyle w:val="TableParagraph"/>
              <w:spacing w:line="240" w:lineRule="auto" w:before="40"/>
              <w:ind w:right="23"/>
              <w:jc w:val="right"/>
              <w:rPr>
                <w:rFonts w:ascii="Arial" w:hAnsi="Arial" w:cs="Arial" w:eastAsia="Arial" w:hint="default"/>
                <w:sz w:val="20"/>
                <w:szCs w:val="20"/>
              </w:rPr>
            </w:pPr>
            <w:r>
              <w:rPr>
                <w:rFonts w:ascii="Arial"/>
                <w:spacing w:val="-1"/>
                <w:sz w:val="20"/>
              </w:rPr>
              <w:t>2009</w:t>
            </w:r>
          </w:p>
        </w:tc>
        <w:tc>
          <w:tcPr>
            <w:tcW w:w="329" w:type="dxa"/>
            <w:tcBorders>
              <w:top w:val="single" w:sz="17" w:space="0" w:color="000000"/>
              <w:left w:val="nil" w:sz="6" w:space="0" w:color="auto"/>
              <w:bottom w:val="nil" w:sz="6" w:space="0" w:color="auto"/>
              <w:right w:val="nil" w:sz="6" w:space="0" w:color="auto"/>
            </w:tcBorders>
          </w:tcPr>
          <w:p>
            <w:pPr>
              <w:pStyle w:val="TableParagraph"/>
              <w:spacing w:line="256" w:lineRule="exact"/>
              <w:ind w:left="25" w:right="0"/>
              <w:jc w:val="left"/>
              <w:rPr>
                <w:rFonts w:ascii="宋体" w:hAnsi="宋体" w:cs="宋体" w:eastAsia="宋体" w:hint="default"/>
                <w:sz w:val="20"/>
                <w:szCs w:val="20"/>
              </w:rPr>
            </w:pPr>
            <w:r>
              <w:rPr>
                <w:rFonts w:ascii="宋体" w:hAnsi="宋体" w:cs="宋体" w:eastAsia="宋体" w:hint="default"/>
                <w:w w:val="100"/>
                <w:sz w:val="20"/>
                <w:szCs w:val="20"/>
              </w:rPr>
              <w:t>年</w:t>
            </w:r>
          </w:p>
        </w:tc>
        <w:tc>
          <w:tcPr>
            <w:tcW w:w="1001" w:type="dxa"/>
            <w:tcBorders>
              <w:top w:val="single" w:sz="17" w:space="0" w:color="000000"/>
              <w:left w:val="nil" w:sz="6" w:space="0" w:color="auto"/>
              <w:bottom w:val="nil" w:sz="6" w:space="0" w:color="auto"/>
              <w:right w:val="single" w:sz="4" w:space="0" w:color="000000"/>
            </w:tcBorders>
          </w:tcPr>
          <w:p>
            <w:pPr/>
          </w:p>
        </w:tc>
        <w:tc>
          <w:tcPr>
            <w:tcW w:w="1579" w:type="dxa"/>
            <w:tcBorders>
              <w:top w:val="single" w:sz="17" w:space="0" w:color="000000"/>
              <w:left w:val="single" w:sz="4" w:space="0" w:color="000000"/>
              <w:bottom w:val="nil" w:sz="6" w:space="0" w:color="auto"/>
              <w:right w:val="nil" w:sz="6" w:space="0" w:color="auto"/>
            </w:tcBorders>
          </w:tcPr>
          <w:p>
            <w:pPr>
              <w:pStyle w:val="TableParagraph"/>
              <w:spacing w:line="240" w:lineRule="auto" w:before="40"/>
              <w:ind w:right="23"/>
              <w:jc w:val="right"/>
              <w:rPr>
                <w:rFonts w:ascii="Arial" w:hAnsi="Arial" w:cs="Arial" w:eastAsia="Arial" w:hint="default"/>
                <w:sz w:val="20"/>
                <w:szCs w:val="20"/>
              </w:rPr>
            </w:pPr>
            <w:r>
              <w:rPr>
                <w:rFonts w:ascii="Arial"/>
                <w:spacing w:val="-1"/>
                <w:sz w:val="20"/>
              </w:rPr>
              <w:t>2010</w:t>
            </w:r>
          </w:p>
        </w:tc>
        <w:tc>
          <w:tcPr>
            <w:tcW w:w="304" w:type="dxa"/>
            <w:tcBorders>
              <w:top w:val="single" w:sz="17" w:space="0" w:color="000000"/>
              <w:left w:val="nil" w:sz="6" w:space="0" w:color="auto"/>
              <w:bottom w:val="nil" w:sz="6" w:space="0" w:color="auto"/>
              <w:right w:val="nil" w:sz="6" w:space="0" w:color="auto"/>
            </w:tcBorders>
          </w:tcPr>
          <w:p>
            <w:pPr>
              <w:pStyle w:val="TableParagraph"/>
              <w:spacing w:line="256" w:lineRule="exact"/>
              <w:ind w:left="25" w:right="0"/>
              <w:jc w:val="left"/>
              <w:rPr>
                <w:rFonts w:ascii="宋体" w:hAnsi="宋体" w:cs="宋体" w:eastAsia="宋体" w:hint="default"/>
                <w:sz w:val="20"/>
                <w:szCs w:val="20"/>
              </w:rPr>
            </w:pPr>
            <w:r>
              <w:rPr>
                <w:rFonts w:ascii="宋体" w:hAnsi="宋体" w:cs="宋体" w:eastAsia="宋体" w:hint="default"/>
                <w:w w:val="100"/>
                <w:sz w:val="20"/>
                <w:szCs w:val="20"/>
              </w:rPr>
              <w:t>年</w:t>
            </w:r>
          </w:p>
        </w:tc>
        <w:tc>
          <w:tcPr>
            <w:tcW w:w="1035" w:type="dxa"/>
            <w:tcBorders>
              <w:top w:val="single" w:sz="17" w:space="0" w:color="000000"/>
              <w:left w:val="nil" w:sz="6" w:space="0" w:color="auto"/>
              <w:bottom w:val="nil" w:sz="6" w:space="0" w:color="auto"/>
              <w:right w:val="nil" w:sz="6" w:space="0" w:color="auto"/>
            </w:tcBorders>
          </w:tcPr>
          <w:p>
            <w:pPr/>
          </w:p>
        </w:tc>
      </w:tr>
      <w:tr>
        <w:trPr>
          <w:trHeight w:val="299" w:hRule="exact"/>
        </w:trPr>
        <w:tc>
          <w:tcPr>
            <w:tcW w:w="3265" w:type="dxa"/>
            <w:tcBorders>
              <w:top w:val="nil" w:sz="6" w:space="0" w:color="auto"/>
              <w:left w:val="nil" w:sz="6" w:space="0" w:color="auto"/>
              <w:bottom w:val="single" w:sz="4" w:space="0" w:color="000000"/>
              <w:right w:val="single" w:sz="4" w:space="0" w:color="000000"/>
            </w:tcBorders>
          </w:tcPr>
          <w:p>
            <w:pPr>
              <w:pStyle w:val="TableParagraph"/>
              <w:spacing w:line="234" w:lineRule="exact"/>
              <w:ind w:left="1072" w:right="0"/>
              <w:jc w:val="left"/>
              <w:rPr>
                <w:rFonts w:ascii="Arial" w:hAnsi="Arial" w:cs="Arial" w:eastAsia="Arial" w:hint="default"/>
                <w:sz w:val="20"/>
                <w:szCs w:val="20"/>
              </w:rPr>
            </w:pPr>
            <w:r>
              <w:rPr>
                <w:rFonts w:ascii="Arial" w:hAnsi="Arial" w:cs="Arial" w:eastAsia="Arial" w:hint="default"/>
                <w:sz w:val="20"/>
                <w:szCs w:val="20"/>
              </w:rPr>
              <w:t>(</w:t>
            </w:r>
            <w:r>
              <w:rPr>
                <w:rFonts w:ascii="宋体" w:hAnsi="宋体" w:cs="宋体" w:eastAsia="宋体" w:hint="default"/>
                <w:sz w:val="20"/>
                <w:szCs w:val="20"/>
              </w:rPr>
              <w:t>人民币亿元</w:t>
            </w:r>
            <w:r>
              <w:rPr>
                <w:rFonts w:ascii="Arial" w:hAnsi="Arial" w:cs="Arial" w:eastAsia="Arial" w:hint="default"/>
                <w:sz w:val="20"/>
                <w:szCs w:val="20"/>
              </w:rPr>
              <w:t>)</w:t>
            </w:r>
          </w:p>
        </w:tc>
        <w:tc>
          <w:tcPr>
            <w:tcW w:w="1574" w:type="dxa"/>
            <w:tcBorders>
              <w:top w:val="nil" w:sz="6" w:space="0" w:color="auto"/>
              <w:left w:val="single" w:sz="4" w:space="0" w:color="000000"/>
              <w:bottom w:val="single" w:sz="4" w:space="0" w:color="000000"/>
              <w:right w:val="nil" w:sz="6" w:space="0" w:color="auto"/>
            </w:tcBorders>
          </w:tcPr>
          <w:p>
            <w:pPr>
              <w:pStyle w:val="TableParagraph"/>
              <w:spacing w:line="240" w:lineRule="auto" w:before="2"/>
              <w:ind w:left="347" w:right="0"/>
              <w:jc w:val="left"/>
              <w:rPr>
                <w:rFonts w:ascii="宋体" w:hAnsi="宋体" w:cs="宋体" w:eastAsia="宋体" w:hint="default"/>
                <w:sz w:val="20"/>
                <w:szCs w:val="20"/>
              </w:rPr>
            </w:pPr>
            <w:r>
              <w:rPr>
                <w:rFonts w:ascii="宋体" w:hAnsi="宋体" w:cs="宋体" w:eastAsia="宋体" w:hint="default"/>
                <w:sz w:val="20"/>
                <w:szCs w:val="20"/>
              </w:rPr>
              <w:t>累计支出</w:t>
            </w:r>
          </w:p>
        </w:tc>
        <w:tc>
          <w:tcPr>
            <w:tcW w:w="329" w:type="dxa"/>
            <w:tcBorders>
              <w:top w:val="nil" w:sz="6" w:space="0" w:color="auto"/>
              <w:left w:val="nil" w:sz="6" w:space="0" w:color="auto"/>
              <w:bottom w:val="single" w:sz="4" w:space="0" w:color="000000"/>
              <w:right w:val="nil" w:sz="6" w:space="0" w:color="auto"/>
            </w:tcBorders>
          </w:tcPr>
          <w:p>
            <w:pPr/>
          </w:p>
        </w:tc>
        <w:tc>
          <w:tcPr>
            <w:tcW w:w="1001" w:type="dxa"/>
            <w:tcBorders>
              <w:top w:val="nil" w:sz="6" w:space="0" w:color="auto"/>
              <w:left w:val="nil" w:sz="6" w:space="0" w:color="auto"/>
              <w:bottom w:val="single" w:sz="4" w:space="0" w:color="000000"/>
              <w:right w:val="single" w:sz="4" w:space="0" w:color="000000"/>
            </w:tcBorders>
          </w:tcPr>
          <w:p>
            <w:pPr>
              <w:pStyle w:val="TableParagraph"/>
              <w:spacing w:line="240" w:lineRule="auto" w:before="2"/>
              <w:ind w:left="103" w:right="0"/>
              <w:jc w:val="left"/>
              <w:rPr>
                <w:rFonts w:ascii="宋体" w:hAnsi="宋体" w:cs="宋体" w:eastAsia="宋体" w:hint="default"/>
                <w:sz w:val="20"/>
                <w:szCs w:val="20"/>
              </w:rPr>
            </w:pPr>
            <w:r>
              <w:rPr>
                <w:rFonts w:ascii="宋体" w:hAnsi="宋体" w:cs="宋体" w:eastAsia="宋体" w:hint="default"/>
                <w:sz w:val="20"/>
                <w:szCs w:val="20"/>
              </w:rPr>
              <w:t>占比</w:t>
            </w:r>
          </w:p>
        </w:tc>
        <w:tc>
          <w:tcPr>
            <w:tcW w:w="1579" w:type="dxa"/>
            <w:tcBorders>
              <w:top w:val="nil" w:sz="6" w:space="0" w:color="auto"/>
              <w:left w:val="single" w:sz="4" w:space="0" w:color="000000"/>
              <w:bottom w:val="single" w:sz="4" w:space="0" w:color="000000"/>
              <w:right w:val="nil" w:sz="6" w:space="0" w:color="auto"/>
            </w:tcBorders>
          </w:tcPr>
          <w:p>
            <w:pPr>
              <w:pStyle w:val="TableParagraph"/>
              <w:spacing w:line="240" w:lineRule="auto" w:before="2"/>
              <w:ind w:left="296" w:right="0"/>
              <w:jc w:val="left"/>
              <w:rPr>
                <w:rFonts w:ascii="宋体" w:hAnsi="宋体" w:cs="宋体" w:eastAsia="宋体" w:hint="default"/>
                <w:sz w:val="20"/>
                <w:szCs w:val="20"/>
              </w:rPr>
            </w:pPr>
            <w:r>
              <w:rPr>
                <w:rFonts w:ascii="宋体" w:hAnsi="宋体" w:cs="宋体" w:eastAsia="宋体" w:hint="default"/>
                <w:sz w:val="20"/>
                <w:szCs w:val="20"/>
              </w:rPr>
              <w:t>累计支出</w:t>
            </w:r>
          </w:p>
        </w:tc>
        <w:tc>
          <w:tcPr>
            <w:tcW w:w="304" w:type="dxa"/>
            <w:tcBorders>
              <w:top w:val="nil" w:sz="6" w:space="0" w:color="auto"/>
              <w:left w:val="nil" w:sz="6" w:space="0" w:color="auto"/>
              <w:bottom w:val="single" w:sz="4" w:space="0" w:color="000000"/>
              <w:right w:val="nil" w:sz="6" w:space="0" w:color="auto"/>
            </w:tcBorders>
          </w:tcPr>
          <w:p>
            <w:pPr/>
          </w:p>
        </w:tc>
        <w:tc>
          <w:tcPr>
            <w:tcW w:w="1035" w:type="dxa"/>
            <w:tcBorders>
              <w:top w:val="nil" w:sz="6" w:space="0" w:color="auto"/>
              <w:left w:val="nil" w:sz="6" w:space="0" w:color="auto"/>
              <w:bottom w:val="single" w:sz="4" w:space="0" w:color="000000"/>
              <w:right w:val="nil" w:sz="6" w:space="0" w:color="auto"/>
            </w:tcBorders>
          </w:tcPr>
          <w:p>
            <w:pPr>
              <w:pStyle w:val="TableParagraph"/>
              <w:spacing w:line="240" w:lineRule="auto" w:before="2"/>
              <w:ind w:left="77" w:right="0"/>
              <w:jc w:val="left"/>
              <w:rPr>
                <w:rFonts w:ascii="宋体" w:hAnsi="宋体" w:cs="宋体" w:eastAsia="宋体" w:hint="default"/>
                <w:sz w:val="20"/>
                <w:szCs w:val="20"/>
              </w:rPr>
            </w:pPr>
            <w:r>
              <w:rPr>
                <w:rFonts w:ascii="宋体" w:hAnsi="宋体" w:cs="宋体" w:eastAsia="宋体" w:hint="default"/>
                <w:sz w:val="20"/>
                <w:szCs w:val="20"/>
              </w:rPr>
              <w:t>占比</w:t>
            </w:r>
          </w:p>
        </w:tc>
      </w:tr>
      <w:tr>
        <w:trPr>
          <w:trHeight w:val="313" w:hRule="exact"/>
        </w:trPr>
        <w:tc>
          <w:tcPr>
            <w:tcW w:w="3265" w:type="dxa"/>
            <w:tcBorders>
              <w:top w:val="single" w:sz="4" w:space="0" w:color="000000"/>
              <w:left w:val="nil" w:sz="6" w:space="0" w:color="auto"/>
              <w:bottom w:val="nil" w:sz="6" w:space="0" w:color="auto"/>
              <w:right w:val="single" w:sz="4" w:space="0" w:color="000000"/>
            </w:tcBorders>
          </w:tcPr>
          <w:p>
            <w:pPr>
              <w:pStyle w:val="TableParagraph"/>
              <w:spacing w:line="255" w:lineRule="exact"/>
              <w:ind w:left="122"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574" w:type="dxa"/>
            <w:tcBorders>
              <w:top w:val="single" w:sz="4" w:space="0" w:color="000000"/>
              <w:left w:val="single" w:sz="4" w:space="0" w:color="000000"/>
              <w:bottom w:val="nil" w:sz="6" w:space="0" w:color="auto"/>
              <w:right w:val="nil" w:sz="6" w:space="0" w:color="auto"/>
            </w:tcBorders>
          </w:tcPr>
          <w:p>
            <w:pPr>
              <w:pStyle w:val="TableParagraph"/>
              <w:spacing w:line="240" w:lineRule="auto" w:before="51"/>
              <w:ind w:left="727" w:right="0"/>
              <w:jc w:val="left"/>
              <w:rPr>
                <w:rFonts w:ascii="Arial" w:hAnsi="Arial" w:cs="Arial" w:eastAsia="Arial" w:hint="default"/>
                <w:sz w:val="20"/>
                <w:szCs w:val="20"/>
              </w:rPr>
            </w:pPr>
            <w:r>
              <w:rPr>
                <w:rFonts w:ascii="Arial"/>
                <w:sz w:val="20"/>
              </w:rPr>
              <w:t>1,124.7</w:t>
            </w:r>
          </w:p>
        </w:tc>
        <w:tc>
          <w:tcPr>
            <w:tcW w:w="1330" w:type="dxa"/>
            <w:gridSpan w:val="2"/>
            <w:tcBorders>
              <w:top w:val="single" w:sz="4" w:space="0" w:color="000000"/>
              <w:left w:val="nil" w:sz="6" w:space="0" w:color="auto"/>
              <w:bottom w:val="nil" w:sz="6" w:space="0" w:color="auto"/>
              <w:right w:val="single" w:sz="4" w:space="0" w:color="000000"/>
            </w:tcBorders>
          </w:tcPr>
          <w:p>
            <w:pPr>
              <w:pStyle w:val="TableParagraph"/>
              <w:spacing w:line="240" w:lineRule="auto" w:before="51"/>
              <w:ind w:left="542" w:right="0"/>
              <w:jc w:val="left"/>
              <w:rPr>
                <w:rFonts w:ascii="Arial" w:hAnsi="Arial" w:cs="Arial" w:eastAsia="Arial" w:hint="default"/>
                <w:sz w:val="20"/>
                <w:szCs w:val="20"/>
              </w:rPr>
            </w:pPr>
            <w:r>
              <w:rPr>
                <w:rFonts w:ascii="Arial"/>
                <w:sz w:val="20"/>
              </w:rPr>
              <w:t>100.0%</w:t>
            </w:r>
          </w:p>
        </w:tc>
        <w:tc>
          <w:tcPr>
            <w:tcW w:w="1579" w:type="dxa"/>
            <w:tcBorders>
              <w:top w:val="single" w:sz="4" w:space="0" w:color="000000"/>
              <w:left w:val="single" w:sz="4" w:space="0" w:color="000000"/>
              <w:bottom w:val="nil" w:sz="6" w:space="0" w:color="auto"/>
              <w:right w:val="nil" w:sz="6" w:space="0" w:color="auto"/>
            </w:tcBorders>
          </w:tcPr>
          <w:p>
            <w:pPr>
              <w:pStyle w:val="TableParagraph"/>
              <w:spacing w:line="240" w:lineRule="auto" w:before="51"/>
              <w:ind w:left="958" w:right="0"/>
              <w:jc w:val="left"/>
              <w:rPr>
                <w:rFonts w:ascii="Arial" w:hAnsi="Arial" w:cs="Arial" w:eastAsia="Arial" w:hint="default"/>
                <w:sz w:val="20"/>
                <w:szCs w:val="20"/>
              </w:rPr>
            </w:pPr>
            <w:r>
              <w:rPr>
                <w:rFonts w:ascii="Arial"/>
                <w:sz w:val="20"/>
              </w:rPr>
              <w:t>735</w:t>
            </w:r>
          </w:p>
        </w:tc>
        <w:tc>
          <w:tcPr>
            <w:tcW w:w="1338" w:type="dxa"/>
            <w:gridSpan w:val="2"/>
            <w:tcBorders>
              <w:top w:val="single" w:sz="4" w:space="0" w:color="000000"/>
              <w:left w:val="nil" w:sz="6" w:space="0" w:color="auto"/>
              <w:bottom w:val="nil" w:sz="6" w:space="0" w:color="auto"/>
              <w:right w:val="nil" w:sz="6" w:space="0" w:color="auto"/>
            </w:tcBorders>
          </w:tcPr>
          <w:p>
            <w:pPr>
              <w:pStyle w:val="TableParagraph"/>
              <w:spacing w:line="240" w:lineRule="auto" w:before="51"/>
              <w:ind w:left="549" w:right="0"/>
              <w:jc w:val="left"/>
              <w:rPr>
                <w:rFonts w:ascii="Arial" w:hAnsi="Arial" w:cs="Arial" w:eastAsia="Arial" w:hint="default"/>
                <w:sz w:val="20"/>
                <w:szCs w:val="20"/>
              </w:rPr>
            </w:pPr>
            <w:r>
              <w:rPr>
                <w:rFonts w:ascii="Arial"/>
                <w:sz w:val="20"/>
              </w:rPr>
              <w:t>100.0%</w:t>
            </w:r>
          </w:p>
        </w:tc>
      </w:tr>
      <w:tr>
        <w:trPr>
          <w:trHeight w:val="295"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246" w:lineRule="exact"/>
              <w:ind w:left="122" w:right="0"/>
              <w:jc w:val="left"/>
              <w:rPr>
                <w:rFonts w:ascii="Arial" w:hAnsi="Arial" w:cs="Arial" w:eastAsia="Arial" w:hint="default"/>
                <w:sz w:val="20"/>
                <w:szCs w:val="20"/>
              </w:rPr>
            </w:pPr>
            <w:r>
              <w:rPr>
                <w:rFonts w:ascii="宋体" w:hAnsi="宋体" w:cs="宋体" w:eastAsia="宋体" w:hint="default"/>
                <w:sz w:val="20"/>
                <w:szCs w:val="20"/>
              </w:rPr>
              <w:t>其中：</w:t>
            </w:r>
            <w:r>
              <w:rPr>
                <w:rFonts w:ascii="Arial" w:hAnsi="Arial" w:cs="Arial" w:eastAsia="Arial" w:hint="default"/>
                <w:sz w:val="20"/>
                <w:szCs w:val="20"/>
              </w:rPr>
              <w:t>3G</w:t>
            </w:r>
          </w:p>
        </w:tc>
        <w:tc>
          <w:tcPr>
            <w:tcW w:w="1574"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left="894" w:right="0"/>
              <w:jc w:val="left"/>
              <w:rPr>
                <w:rFonts w:ascii="Arial" w:hAnsi="Arial" w:cs="Arial" w:eastAsia="Arial" w:hint="default"/>
                <w:sz w:val="20"/>
                <w:szCs w:val="20"/>
              </w:rPr>
            </w:pPr>
            <w:r>
              <w:rPr>
                <w:rFonts w:ascii="Arial"/>
                <w:sz w:val="20"/>
              </w:rPr>
              <w:t>364.0</w:t>
            </w:r>
          </w:p>
        </w:tc>
        <w:tc>
          <w:tcPr>
            <w:tcW w:w="1330"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27"/>
              <w:ind w:left="654" w:right="0"/>
              <w:jc w:val="left"/>
              <w:rPr>
                <w:rFonts w:ascii="Arial" w:hAnsi="Arial" w:cs="Arial" w:eastAsia="Arial" w:hint="default"/>
                <w:sz w:val="20"/>
                <w:szCs w:val="20"/>
              </w:rPr>
            </w:pPr>
            <w:r>
              <w:rPr>
                <w:rFonts w:ascii="Arial"/>
                <w:sz w:val="20"/>
              </w:rPr>
              <w:t>32.4%</w:t>
            </w:r>
          </w:p>
        </w:tc>
        <w:tc>
          <w:tcPr>
            <w:tcW w:w="1579"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left="958" w:right="0"/>
              <w:jc w:val="left"/>
              <w:rPr>
                <w:rFonts w:ascii="Arial" w:hAnsi="Arial" w:cs="Arial" w:eastAsia="Arial" w:hint="default"/>
                <w:sz w:val="20"/>
                <w:szCs w:val="20"/>
              </w:rPr>
            </w:pPr>
            <w:r>
              <w:rPr>
                <w:rFonts w:ascii="Arial"/>
                <w:sz w:val="20"/>
              </w:rPr>
              <w:t>230</w:t>
            </w:r>
          </w:p>
        </w:tc>
        <w:tc>
          <w:tcPr>
            <w:tcW w:w="13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7"/>
              <w:ind w:left="661" w:right="0"/>
              <w:jc w:val="left"/>
              <w:rPr>
                <w:rFonts w:ascii="Arial" w:hAnsi="Arial" w:cs="Arial" w:eastAsia="Arial" w:hint="default"/>
                <w:sz w:val="20"/>
                <w:szCs w:val="20"/>
              </w:rPr>
            </w:pPr>
            <w:r>
              <w:rPr>
                <w:rFonts w:ascii="Arial"/>
                <w:sz w:val="20"/>
              </w:rPr>
              <w:t>31.3%</w:t>
            </w:r>
          </w:p>
        </w:tc>
      </w:tr>
      <w:tr>
        <w:trPr>
          <w:trHeight w:val="273"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766" w:right="0"/>
              <w:jc w:val="left"/>
              <w:rPr>
                <w:rFonts w:ascii="Arial" w:hAnsi="Arial" w:cs="Arial" w:eastAsia="Arial" w:hint="default"/>
                <w:sz w:val="20"/>
                <w:szCs w:val="20"/>
              </w:rPr>
            </w:pPr>
            <w:r>
              <w:rPr>
                <w:rFonts w:ascii="Arial"/>
                <w:sz w:val="20"/>
              </w:rPr>
              <w:t>GSM</w:t>
            </w:r>
          </w:p>
        </w:tc>
        <w:tc>
          <w:tcPr>
            <w:tcW w:w="1574"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left="894" w:right="0"/>
              <w:jc w:val="left"/>
              <w:rPr>
                <w:rFonts w:ascii="Arial" w:hAnsi="Arial" w:cs="Arial" w:eastAsia="Arial" w:hint="default"/>
                <w:sz w:val="20"/>
                <w:szCs w:val="20"/>
              </w:rPr>
            </w:pPr>
            <w:r>
              <w:rPr>
                <w:rFonts w:ascii="Arial"/>
                <w:sz w:val="20"/>
              </w:rPr>
              <w:t>205.8</w:t>
            </w:r>
          </w:p>
        </w:tc>
        <w:tc>
          <w:tcPr>
            <w:tcW w:w="1330"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6"/>
              <w:ind w:left="654" w:right="0"/>
              <w:jc w:val="left"/>
              <w:rPr>
                <w:rFonts w:ascii="Arial" w:hAnsi="Arial" w:cs="Arial" w:eastAsia="Arial" w:hint="default"/>
                <w:sz w:val="20"/>
                <w:szCs w:val="20"/>
              </w:rPr>
            </w:pPr>
            <w:r>
              <w:rPr>
                <w:rFonts w:ascii="Arial"/>
                <w:sz w:val="20"/>
              </w:rPr>
              <w:t>18.3%</w:t>
            </w:r>
          </w:p>
        </w:tc>
        <w:tc>
          <w:tcPr>
            <w:tcW w:w="1579" w:type="dxa"/>
            <w:tcBorders>
              <w:top w:val="nil" w:sz="6" w:space="0" w:color="auto"/>
              <w:left w:val="single" w:sz="4" w:space="0" w:color="000000"/>
              <w:bottom w:val="nil" w:sz="6" w:space="0" w:color="auto"/>
              <w:right w:val="nil" w:sz="6" w:space="0" w:color="auto"/>
            </w:tcBorders>
          </w:tcPr>
          <w:p>
            <w:pPr>
              <w:pStyle w:val="TableParagraph"/>
              <w:spacing w:line="240" w:lineRule="auto" w:before="16"/>
              <w:ind w:right="278"/>
              <w:jc w:val="right"/>
              <w:rPr>
                <w:rFonts w:ascii="Arial" w:hAnsi="Arial" w:cs="Arial" w:eastAsia="Arial" w:hint="default"/>
                <w:sz w:val="20"/>
                <w:szCs w:val="20"/>
              </w:rPr>
            </w:pPr>
            <w:r>
              <w:rPr>
                <w:rFonts w:ascii="Arial"/>
                <w:sz w:val="20"/>
              </w:rPr>
              <w:t>80</w:t>
            </w:r>
          </w:p>
        </w:tc>
        <w:tc>
          <w:tcPr>
            <w:tcW w:w="13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6"/>
              <w:ind w:left="661" w:right="0"/>
              <w:jc w:val="left"/>
              <w:rPr>
                <w:rFonts w:ascii="Arial" w:hAnsi="Arial" w:cs="Arial" w:eastAsia="Arial" w:hint="default"/>
                <w:sz w:val="20"/>
                <w:szCs w:val="20"/>
              </w:rPr>
            </w:pPr>
            <w:r>
              <w:rPr>
                <w:rFonts w:ascii="Arial"/>
                <w:sz w:val="20"/>
              </w:rPr>
              <w:t>10.9%</w:t>
            </w:r>
          </w:p>
        </w:tc>
      </w:tr>
      <w:tr>
        <w:trPr>
          <w:trHeight w:val="284"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231" w:lineRule="exact"/>
              <w:ind w:left="766" w:right="0"/>
              <w:jc w:val="left"/>
              <w:rPr>
                <w:rFonts w:ascii="宋体" w:hAnsi="宋体" w:cs="宋体" w:eastAsia="宋体" w:hint="default"/>
                <w:sz w:val="20"/>
                <w:szCs w:val="20"/>
              </w:rPr>
            </w:pPr>
            <w:r>
              <w:rPr>
                <w:rFonts w:ascii="宋体" w:hAnsi="宋体" w:cs="宋体" w:eastAsia="宋体" w:hint="default"/>
                <w:sz w:val="20"/>
                <w:szCs w:val="20"/>
              </w:rPr>
              <w:t>固定电话</w:t>
            </w:r>
          </w:p>
        </w:tc>
        <w:tc>
          <w:tcPr>
            <w:tcW w:w="1574"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right="171"/>
              <w:jc w:val="right"/>
              <w:rPr>
                <w:rFonts w:ascii="Arial" w:hAnsi="Arial" w:cs="Arial" w:eastAsia="Arial" w:hint="default"/>
                <w:sz w:val="20"/>
                <w:szCs w:val="20"/>
              </w:rPr>
            </w:pPr>
            <w:r>
              <w:rPr>
                <w:rFonts w:ascii="Arial"/>
                <w:spacing w:val="-1"/>
                <w:sz w:val="20"/>
              </w:rPr>
              <w:t>6.0</w:t>
            </w:r>
            <w:r>
              <w:rPr>
                <w:rFonts w:ascii="Arial"/>
                <w:sz w:val="20"/>
              </w:rPr>
            </w:r>
          </w:p>
        </w:tc>
        <w:tc>
          <w:tcPr>
            <w:tcW w:w="1330"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27"/>
              <w:ind w:left="765" w:right="0"/>
              <w:jc w:val="left"/>
              <w:rPr>
                <w:rFonts w:ascii="Arial" w:hAnsi="Arial" w:cs="Arial" w:eastAsia="Arial" w:hint="default"/>
                <w:sz w:val="20"/>
                <w:szCs w:val="20"/>
              </w:rPr>
            </w:pPr>
            <w:r>
              <w:rPr>
                <w:rFonts w:ascii="Arial"/>
                <w:sz w:val="20"/>
              </w:rPr>
              <w:t>0.5%</w:t>
            </w:r>
          </w:p>
        </w:tc>
        <w:tc>
          <w:tcPr>
            <w:tcW w:w="1579"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right="278"/>
              <w:jc w:val="right"/>
              <w:rPr>
                <w:rFonts w:ascii="Arial" w:hAnsi="Arial" w:cs="Arial" w:eastAsia="Arial" w:hint="default"/>
                <w:sz w:val="20"/>
                <w:szCs w:val="20"/>
              </w:rPr>
            </w:pPr>
            <w:r>
              <w:rPr>
                <w:rFonts w:ascii="Arial"/>
                <w:w w:val="100"/>
                <w:sz w:val="20"/>
              </w:rPr>
              <w:t>6</w:t>
            </w:r>
          </w:p>
        </w:tc>
        <w:tc>
          <w:tcPr>
            <w:tcW w:w="13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7"/>
              <w:ind w:left="773" w:right="0"/>
              <w:jc w:val="left"/>
              <w:rPr>
                <w:rFonts w:ascii="Arial" w:hAnsi="Arial" w:cs="Arial" w:eastAsia="Arial" w:hint="default"/>
                <w:sz w:val="20"/>
                <w:szCs w:val="20"/>
              </w:rPr>
            </w:pPr>
            <w:r>
              <w:rPr>
                <w:rFonts w:ascii="Arial"/>
                <w:sz w:val="20"/>
              </w:rPr>
              <w:t>0.8%</w:t>
            </w:r>
          </w:p>
        </w:tc>
      </w:tr>
      <w:tr>
        <w:trPr>
          <w:trHeight w:val="284"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231" w:lineRule="exact"/>
              <w:ind w:left="766" w:right="0"/>
              <w:jc w:val="left"/>
              <w:rPr>
                <w:rFonts w:ascii="宋体" w:hAnsi="宋体" w:cs="宋体" w:eastAsia="宋体" w:hint="default"/>
                <w:sz w:val="20"/>
                <w:szCs w:val="20"/>
              </w:rPr>
            </w:pPr>
            <w:r>
              <w:rPr>
                <w:rFonts w:ascii="宋体" w:hAnsi="宋体" w:cs="宋体" w:eastAsia="宋体" w:hint="default"/>
                <w:sz w:val="20"/>
                <w:szCs w:val="20"/>
              </w:rPr>
              <w:t>宽带及数据</w:t>
            </w:r>
          </w:p>
        </w:tc>
        <w:tc>
          <w:tcPr>
            <w:tcW w:w="1574"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left="893" w:right="0"/>
              <w:jc w:val="left"/>
              <w:rPr>
                <w:rFonts w:ascii="Arial" w:hAnsi="Arial" w:cs="Arial" w:eastAsia="Arial" w:hint="default"/>
                <w:sz w:val="20"/>
                <w:szCs w:val="20"/>
              </w:rPr>
            </w:pPr>
            <w:r>
              <w:rPr>
                <w:rFonts w:ascii="Arial"/>
                <w:sz w:val="20"/>
              </w:rPr>
              <w:t>188.0</w:t>
            </w:r>
          </w:p>
        </w:tc>
        <w:tc>
          <w:tcPr>
            <w:tcW w:w="1330"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27"/>
              <w:ind w:left="654" w:right="0"/>
              <w:jc w:val="left"/>
              <w:rPr>
                <w:rFonts w:ascii="Arial" w:hAnsi="Arial" w:cs="Arial" w:eastAsia="Arial" w:hint="default"/>
                <w:sz w:val="20"/>
                <w:szCs w:val="20"/>
              </w:rPr>
            </w:pPr>
            <w:r>
              <w:rPr>
                <w:rFonts w:ascii="Arial"/>
                <w:sz w:val="20"/>
              </w:rPr>
              <w:t>16.7%</w:t>
            </w:r>
          </w:p>
        </w:tc>
        <w:tc>
          <w:tcPr>
            <w:tcW w:w="1579"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left="958" w:right="0"/>
              <w:jc w:val="left"/>
              <w:rPr>
                <w:rFonts w:ascii="Arial" w:hAnsi="Arial" w:cs="Arial" w:eastAsia="Arial" w:hint="default"/>
                <w:sz w:val="20"/>
                <w:szCs w:val="20"/>
              </w:rPr>
            </w:pPr>
            <w:r>
              <w:rPr>
                <w:rFonts w:ascii="Arial"/>
                <w:sz w:val="20"/>
              </w:rPr>
              <w:t>153</w:t>
            </w:r>
          </w:p>
        </w:tc>
        <w:tc>
          <w:tcPr>
            <w:tcW w:w="13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7"/>
              <w:ind w:left="661" w:right="0"/>
              <w:jc w:val="left"/>
              <w:rPr>
                <w:rFonts w:ascii="Arial" w:hAnsi="Arial" w:cs="Arial" w:eastAsia="Arial" w:hint="default"/>
                <w:sz w:val="20"/>
                <w:szCs w:val="20"/>
              </w:rPr>
            </w:pPr>
            <w:r>
              <w:rPr>
                <w:rFonts w:ascii="Arial"/>
                <w:sz w:val="20"/>
              </w:rPr>
              <w:t>20.8%</w:t>
            </w:r>
          </w:p>
        </w:tc>
      </w:tr>
      <w:tr>
        <w:trPr>
          <w:trHeight w:val="284"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231" w:lineRule="exact"/>
              <w:ind w:left="766" w:right="0"/>
              <w:jc w:val="left"/>
              <w:rPr>
                <w:rFonts w:ascii="宋体" w:hAnsi="宋体" w:cs="宋体" w:eastAsia="宋体" w:hint="default"/>
                <w:sz w:val="20"/>
                <w:szCs w:val="20"/>
              </w:rPr>
            </w:pPr>
            <w:r>
              <w:rPr>
                <w:rFonts w:ascii="宋体" w:hAnsi="宋体" w:cs="宋体" w:eastAsia="宋体" w:hint="default"/>
                <w:sz w:val="20"/>
                <w:szCs w:val="20"/>
              </w:rPr>
              <w:t>创新及增值平台</w:t>
            </w:r>
          </w:p>
        </w:tc>
        <w:tc>
          <w:tcPr>
            <w:tcW w:w="1574"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left="1005" w:right="0"/>
              <w:jc w:val="left"/>
              <w:rPr>
                <w:rFonts w:ascii="Arial" w:hAnsi="Arial" w:cs="Arial" w:eastAsia="Arial" w:hint="default"/>
                <w:sz w:val="20"/>
                <w:szCs w:val="20"/>
              </w:rPr>
            </w:pPr>
            <w:r>
              <w:rPr>
                <w:rFonts w:ascii="Arial"/>
                <w:sz w:val="20"/>
              </w:rPr>
              <w:t>20.8</w:t>
            </w:r>
          </w:p>
        </w:tc>
        <w:tc>
          <w:tcPr>
            <w:tcW w:w="1330"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27"/>
              <w:ind w:left="765" w:right="0"/>
              <w:jc w:val="left"/>
              <w:rPr>
                <w:rFonts w:ascii="Arial" w:hAnsi="Arial" w:cs="Arial" w:eastAsia="Arial" w:hint="default"/>
                <w:sz w:val="20"/>
                <w:szCs w:val="20"/>
              </w:rPr>
            </w:pPr>
            <w:r>
              <w:rPr>
                <w:rFonts w:ascii="Arial"/>
                <w:sz w:val="20"/>
              </w:rPr>
              <w:t>1.8%</w:t>
            </w:r>
          </w:p>
        </w:tc>
        <w:tc>
          <w:tcPr>
            <w:tcW w:w="1579"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right="278"/>
              <w:jc w:val="right"/>
              <w:rPr>
                <w:rFonts w:ascii="Arial" w:hAnsi="Arial" w:cs="Arial" w:eastAsia="Arial" w:hint="default"/>
                <w:sz w:val="20"/>
                <w:szCs w:val="20"/>
              </w:rPr>
            </w:pPr>
            <w:r>
              <w:rPr>
                <w:rFonts w:ascii="Arial"/>
                <w:spacing w:val="-1"/>
                <w:sz w:val="20"/>
              </w:rPr>
              <w:t>27</w:t>
            </w:r>
            <w:r>
              <w:rPr>
                <w:rFonts w:ascii="Arial"/>
                <w:sz w:val="20"/>
              </w:rPr>
            </w:r>
          </w:p>
        </w:tc>
        <w:tc>
          <w:tcPr>
            <w:tcW w:w="13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7"/>
              <w:ind w:left="772" w:right="0"/>
              <w:jc w:val="left"/>
              <w:rPr>
                <w:rFonts w:ascii="Arial" w:hAnsi="Arial" w:cs="Arial" w:eastAsia="Arial" w:hint="default"/>
                <w:sz w:val="20"/>
                <w:szCs w:val="20"/>
              </w:rPr>
            </w:pPr>
            <w:r>
              <w:rPr>
                <w:rFonts w:ascii="Arial"/>
                <w:sz w:val="20"/>
              </w:rPr>
              <w:t>3.7%</w:t>
            </w:r>
          </w:p>
        </w:tc>
      </w:tr>
      <w:tr>
        <w:trPr>
          <w:trHeight w:val="284"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246" w:lineRule="exact"/>
              <w:ind w:left="766" w:right="0"/>
              <w:jc w:val="left"/>
              <w:rPr>
                <w:rFonts w:ascii="宋体" w:hAnsi="宋体" w:cs="宋体" w:eastAsia="宋体" w:hint="default"/>
                <w:sz w:val="20"/>
                <w:szCs w:val="20"/>
              </w:rPr>
            </w:pPr>
            <w:r>
              <w:rPr>
                <w:rFonts w:ascii="Arial" w:hAnsi="Arial" w:cs="Arial" w:eastAsia="Arial" w:hint="default"/>
                <w:sz w:val="20"/>
                <w:szCs w:val="20"/>
              </w:rPr>
              <w:t>IT</w:t>
            </w:r>
            <w:r>
              <w:rPr>
                <w:rFonts w:ascii="Arial" w:hAnsi="Arial" w:cs="Arial" w:eastAsia="Arial" w:hint="default"/>
                <w:spacing w:val="-6"/>
                <w:sz w:val="20"/>
                <w:szCs w:val="20"/>
              </w:rPr>
              <w:t> </w:t>
            </w:r>
            <w:r>
              <w:rPr>
                <w:rFonts w:ascii="宋体" w:hAnsi="宋体" w:cs="宋体" w:eastAsia="宋体" w:hint="default"/>
                <w:sz w:val="20"/>
                <w:szCs w:val="20"/>
              </w:rPr>
              <w:t>系统</w:t>
            </w:r>
          </w:p>
        </w:tc>
        <w:tc>
          <w:tcPr>
            <w:tcW w:w="1574"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left="1005" w:right="0"/>
              <w:jc w:val="left"/>
              <w:rPr>
                <w:rFonts w:ascii="Arial" w:hAnsi="Arial" w:cs="Arial" w:eastAsia="Arial" w:hint="default"/>
                <w:sz w:val="20"/>
                <w:szCs w:val="20"/>
              </w:rPr>
            </w:pPr>
            <w:r>
              <w:rPr>
                <w:rFonts w:ascii="Arial"/>
                <w:sz w:val="20"/>
              </w:rPr>
              <w:t>67.4</w:t>
            </w:r>
          </w:p>
        </w:tc>
        <w:tc>
          <w:tcPr>
            <w:tcW w:w="1330"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27"/>
              <w:ind w:left="765" w:right="0"/>
              <w:jc w:val="left"/>
              <w:rPr>
                <w:rFonts w:ascii="Arial" w:hAnsi="Arial" w:cs="Arial" w:eastAsia="Arial" w:hint="default"/>
                <w:sz w:val="20"/>
                <w:szCs w:val="20"/>
              </w:rPr>
            </w:pPr>
            <w:r>
              <w:rPr>
                <w:rFonts w:ascii="Arial"/>
                <w:sz w:val="20"/>
              </w:rPr>
              <w:t>6.0%</w:t>
            </w:r>
          </w:p>
        </w:tc>
        <w:tc>
          <w:tcPr>
            <w:tcW w:w="1579"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right="278"/>
              <w:jc w:val="right"/>
              <w:rPr>
                <w:rFonts w:ascii="Arial" w:hAnsi="Arial" w:cs="Arial" w:eastAsia="Arial" w:hint="default"/>
                <w:sz w:val="20"/>
                <w:szCs w:val="20"/>
              </w:rPr>
            </w:pPr>
            <w:r>
              <w:rPr>
                <w:rFonts w:ascii="Arial"/>
                <w:spacing w:val="-1"/>
                <w:sz w:val="20"/>
              </w:rPr>
              <w:t>43</w:t>
            </w:r>
            <w:r>
              <w:rPr>
                <w:rFonts w:ascii="Arial"/>
                <w:sz w:val="20"/>
              </w:rPr>
            </w:r>
          </w:p>
        </w:tc>
        <w:tc>
          <w:tcPr>
            <w:tcW w:w="13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7"/>
              <w:ind w:left="772" w:right="0"/>
              <w:jc w:val="left"/>
              <w:rPr>
                <w:rFonts w:ascii="Arial" w:hAnsi="Arial" w:cs="Arial" w:eastAsia="Arial" w:hint="default"/>
                <w:sz w:val="20"/>
                <w:szCs w:val="20"/>
              </w:rPr>
            </w:pPr>
            <w:r>
              <w:rPr>
                <w:rFonts w:ascii="Arial"/>
                <w:sz w:val="20"/>
              </w:rPr>
              <w:t>5.8%</w:t>
            </w:r>
          </w:p>
        </w:tc>
      </w:tr>
      <w:tr>
        <w:trPr>
          <w:trHeight w:val="284"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231" w:lineRule="exact"/>
              <w:ind w:left="766" w:right="0"/>
              <w:jc w:val="left"/>
              <w:rPr>
                <w:rFonts w:ascii="宋体" w:hAnsi="宋体" w:cs="宋体" w:eastAsia="宋体" w:hint="default"/>
                <w:sz w:val="20"/>
                <w:szCs w:val="20"/>
              </w:rPr>
            </w:pPr>
            <w:r>
              <w:rPr>
                <w:rFonts w:ascii="宋体" w:hAnsi="宋体" w:cs="宋体" w:eastAsia="宋体" w:hint="default"/>
                <w:sz w:val="20"/>
                <w:szCs w:val="20"/>
              </w:rPr>
              <w:t>基础设施及传送网</w:t>
            </w:r>
          </w:p>
        </w:tc>
        <w:tc>
          <w:tcPr>
            <w:tcW w:w="1574"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left="893" w:right="0"/>
              <w:jc w:val="left"/>
              <w:rPr>
                <w:rFonts w:ascii="Arial" w:hAnsi="Arial" w:cs="Arial" w:eastAsia="Arial" w:hint="default"/>
                <w:sz w:val="20"/>
                <w:szCs w:val="20"/>
              </w:rPr>
            </w:pPr>
            <w:r>
              <w:rPr>
                <w:rFonts w:ascii="Arial"/>
                <w:sz w:val="20"/>
              </w:rPr>
              <w:t>250.1</w:t>
            </w:r>
          </w:p>
        </w:tc>
        <w:tc>
          <w:tcPr>
            <w:tcW w:w="1330"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27"/>
              <w:ind w:left="654" w:right="0"/>
              <w:jc w:val="left"/>
              <w:rPr>
                <w:rFonts w:ascii="Arial" w:hAnsi="Arial" w:cs="Arial" w:eastAsia="Arial" w:hint="default"/>
                <w:sz w:val="20"/>
                <w:szCs w:val="20"/>
              </w:rPr>
            </w:pPr>
            <w:r>
              <w:rPr>
                <w:rFonts w:ascii="Arial"/>
                <w:sz w:val="20"/>
              </w:rPr>
              <w:t>22.2%</w:t>
            </w:r>
          </w:p>
        </w:tc>
        <w:tc>
          <w:tcPr>
            <w:tcW w:w="1579" w:type="dxa"/>
            <w:tcBorders>
              <w:top w:val="nil" w:sz="6" w:space="0" w:color="auto"/>
              <w:left w:val="single" w:sz="4" w:space="0" w:color="000000"/>
              <w:bottom w:val="nil" w:sz="6" w:space="0" w:color="auto"/>
              <w:right w:val="nil" w:sz="6" w:space="0" w:color="auto"/>
            </w:tcBorders>
          </w:tcPr>
          <w:p>
            <w:pPr>
              <w:pStyle w:val="TableParagraph"/>
              <w:spacing w:line="240" w:lineRule="auto" w:before="27"/>
              <w:ind w:left="958" w:right="0"/>
              <w:jc w:val="left"/>
              <w:rPr>
                <w:rFonts w:ascii="Arial" w:hAnsi="Arial" w:cs="Arial" w:eastAsia="Arial" w:hint="default"/>
                <w:sz w:val="20"/>
                <w:szCs w:val="20"/>
              </w:rPr>
            </w:pPr>
            <w:r>
              <w:rPr>
                <w:rFonts w:ascii="Arial"/>
                <w:sz w:val="20"/>
              </w:rPr>
              <w:t>174</w:t>
            </w:r>
          </w:p>
        </w:tc>
        <w:tc>
          <w:tcPr>
            <w:tcW w:w="13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7"/>
              <w:ind w:left="661" w:right="0"/>
              <w:jc w:val="left"/>
              <w:rPr>
                <w:rFonts w:ascii="Arial" w:hAnsi="Arial" w:cs="Arial" w:eastAsia="Arial" w:hint="default"/>
                <w:sz w:val="20"/>
                <w:szCs w:val="20"/>
              </w:rPr>
            </w:pPr>
            <w:r>
              <w:rPr>
                <w:rFonts w:ascii="Arial"/>
                <w:sz w:val="20"/>
              </w:rPr>
              <w:t>23.7%</w:t>
            </w:r>
          </w:p>
        </w:tc>
      </w:tr>
      <w:tr>
        <w:trPr>
          <w:trHeight w:val="284" w:hRule="exact"/>
        </w:trPr>
        <w:tc>
          <w:tcPr>
            <w:tcW w:w="3265" w:type="dxa"/>
            <w:tcBorders>
              <w:top w:val="nil" w:sz="6" w:space="0" w:color="auto"/>
              <w:left w:val="nil" w:sz="6" w:space="0" w:color="auto"/>
              <w:bottom w:val="single" w:sz="17" w:space="0" w:color="000000"/>
              <w:right w:val="single" w:sz="4" w:space="0" w:color="000000"/>
            </w:tcBorders>
          </w:tcPr>
          <w:p>
            <w:pPr>
              <w:pStyle w:val="TableParagraph"/>
              <w:spacing w:line="231" w:lineRule="exact"/>
              <w:ind w:left="766" w:right="0"/>
              <w:jc w:val="left"/>
              <w:rPr>
                <w:rFonts w:ascii="宋体" w:hAnsi="宋体" w:cs="宋体" w:eastAsia="宋体" w:hint="default"/>
                <w:sz w:val="20"/>
                <w:szCs w:val="20"/>
              </w:rPr>
            </w:pPr>
            <w:r>
              <w:rPr>
                <w:rFonts w:ascii="宋体" w:hAnsi="宋体" w:cs="宋体" w:eastAsia="宋体" w:hint="default"/>
                <w:sz w:val="20"/>
                <w:szCs w:val="20"/>
              </w:rPr>
              <w:t>其他</w:t>
            </w:r>
          </w:p>
        </w:tc>
        <w:tc>
          <w:tcPr>
            <w:tcW w:w="1574" w:type="dxa"/>
            <w:tcBorders>
              <w:top w:val="nil" w:sz="6" w:space="0" w:color="auto"/>
              <w:left w:val="single" w:sz="4" w:space="0" w:color="000000"/>
              <w:bottom w:val="single" w:sz="17" w:space="0" w:color="000000"/>
              <w:right w:val="nil" w:sz="6" w:space="0" w:color="auto"/>
            </w:tcBorders>
          </w:tcPr>
          <w:p>
            <w:pPr>
              <w:pStyle w:val="TableParagraph"/>
              <w:spacing w:line="240" w:lineRule="auto" w:before="27"/>
              <w:ind w:left="1005" w:right="0"/>
              <w:jc w:val="left"/>
              <w:rPr>
                <w:rFonts w:ascii="Arial" w:hAnsi="Arial" w:cs="Arial" w:eastAsia="Arial" w:hint="default"/>
                <w:sz w:val="20"/>
                <w:szCs w:val="20"/>
              </w:rPr>
            </w:pPr>
            <w:r>
              <w:rPr>
                <w:rFonts w:ascii="Arial"/>
                <w:sz w:val="20"/>
              </w:rPr>
              <w:t>22.6</w:t>
            </w:r>
          </w:p>
        </w:tc>
        <w:tc>
          <w:tcPr>
            <w:tcW w:w="1330" w:type="dxa"/>
            <w:gridSpan w:val="2"/>
            <w:tcBorders>
              <w:top w:val="nil" w:sz="6" w:space="0" w:color="auto"/>
              <w:left w:val="nil" w:sz="6" w:space="0" w:color="auto"/>
              <w:bottom w:val="single" w:sz="17" w:space="0" w:color="000000"/>
              <w:right w:val="single" w:sz="4" w:space="0" w:color="000000"/>
            </w:tcBorders>
          </w:tcPr>
          <w:p>
            <w:pPr>
              <w:pStyle w:val="TableParagraph"/>
              <w:spacing w:line="240" w:lineRule="auto" w:before="27"/>
              <w:ind w:left="765" w:right="0"/>
              <w:jc w:val="left"/>
              <w:rPr>
                <w:rFonts w:ascii="Arial" w:hAnsi="Arial" w:cs="Arial" w:eastAsia="Arial" w:hint="default"/>
                <w:sz w:val="20"/>
                <w:szCs w:val="20"/>
              </w:rPr>
            </w:pPr>
            <w:r>
              <w:rPr>
                <w:rFonts w:ascii="Arial"/>
                <w:sz w:val="20"/>
              </w:rPr>
              <w:t>2.0%</w:t>
            </w:r>
          </w:p>
        </w:tc>
        <w:tc>
          <w:tcPr>
            <w:tcW w:w="1579" w:type="dxa"/>
            <w:tcBorders>
              <w:top w:val="nil" w:sz="6" w:space="0" w:color="auto"/>
              <w:left w:val="single" w:sz="4" w:space="0" w:color="000000"/>
              <w:bottom w:val="single" w:sz="17" w:space="0" w:color="000000"/>
              <w:right w:val="nil" w:sz="6" w:space="0" w:color="auto"/>
            </w:tcBorders>
          </w:tcPr>
          <w:p>
            <w:pPr>
              <w:pStyle w:val="TableParagraph"/>
              <w:spacing w:line="240" w:lineRule="auto" w:before="27"/>
              <w:ind w:right="278"/>
              <w:jc w:val="right"/>
              <w:rPr>
                <w:rFonts w:ascii="Arial" w:hAnsi="Arial" w:cs="Arial" w:eastAsia="Arial" w:hint="default"/>
                <w:sz w:val="20"/>
                <w:szCs w:val="20"/>
              </w:rPr>
            </w:pPr>
            <w:r>
              <w:rPr>
                <w:rFonts w:ascii="Arial"/>
                <w:spacing w:val="-1"/>
                <w:sz w:val="20"/>
              </w:rPr>
              <w:t>22</w:t>
            </w:r>
            <w:r>
              <w:rPr>
                <w:rFonts w:ascii="Arial"/>
                <w:sz w:val="20"/>
              </w:rPr>
            </w:r>
          </w:p>
        </w:tc>
        <w:tc>
          <w:tcPr>
            <w:tcW w:w="1338"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27"/>
              <w:ind w:left="772" w:right="0"/>
              <w:jc w:val="left"/>
              <w:rPr>
                <w:rFonts w:ascii="Arial" w:hAnsi="Arial" w:cs="Arial" w:eastAsia="Arial" w:hint="default"/>
                <w:sz w:val="20"/>
                <w:szCs w:val="20"/>
              </w:rPr>
            </w:pPr>
            <w:r>
              <w:rPr>
                <w:rFonts w:ascii="Arial"/>
                <w:sz w:val="20"/>
              </w:rPr>
              <w:t>3.0%</w:t>
            </w:r>
          </w:p>
        </w:tc>
      </w:tr>
    </w:tbl>
    <w:p>
      <w:pPr>
        <w:spacing w:line="240" w:lineRule="auto" w:before="7"/>
        <w:rPr>
          <w:rFonts w:ascii="宋体" w:hAnsi="宋体" w:cs="宋体" w:eastAsia="宋体" w:hint="default"/>
          <w:sz w:val="16"/>
          <w:szCs w:val="16"/>
        </w:rPr>
      </w:pPr>
    </w:p>
    <w:p>
      <w:pPr>
        <w:pStyle w:val="BodyText"/>
        <w:spacing w:line="295" w:lineRule="exact"/>
        <w:ind w:left="500" w:right="0"/>
        <w:jc w:val="both"/>
      </w:pPr>
      <w:r>
        <w:rPr>
          <w:rFonts w:ascii="Arial" w:hAnsi="Arial" w:cs="Arial" w:eastAsia="Arial" w:hint="default"/>
        </w:rPr>
        <w:t>2010 </w:t>
      </w:r>
      <w:r>
        <w:rPr/>
        <w:t>年本公司资本开支预算为人民币</w:t>
      </w:r>
      <w:r>
        <w:rPr>
          <w:spacing w:val="-48"/>
        </w:rPr>
        <w:t> </w:t>
      </w:r>
      <w:r>
        <w:rPr>
          <w:rFonts w:ascii="Arial" w:hAnsi="Arial" w:cs="Arial" w:eastAsia="Arial" w:hint="default"/>
        </w:rPr>
        <w:t>735 </w:t>
      </w:r>
      <w:r>
        <w:rPr/>
        <w:t>亿元。其中为扩大</w:t>
      </w:r>
      <w:r>
        <w:rPr>
          <w:spacing w:val="-49"/>
        </w:rPr>
        <w:t> </w:t>
      </w:r>
      <w:r>
        <w:rPr>
          <w:rFonts w:ascii="Arial" w:hAnsi="Arial" w:cs="Arial" w:eastAsia="Arial" w:hint="default"/>
        </w:rPr>
        <w:t>3G </w:t>
      </w:r>
      <w:r>
        <w:rPr/>
        <w:t>网络覆盖资本开支约为人民</w:t>
      </w:r>
    </w:p>
    <w:p>
      <w:pPr>
        <w:pStyle w:val="BodyText"/>
        <w:spacing w:line="285" w:lineRule="exact"/>
        <w:ind w:left="500" w:right="0"/>
        <w:jc w:val="both"/>
      </w:pPr>
      <w:r>
        <w:rPr/>
        <w:t>币</w:t>
      </w:r>
      <w:r>
        <w:rPr>
          <w:spacing w:val="-42"/>
        </w:rPr>
        <w:t> </w:t>
      </w:r>
      <w:r>
        <w:rPr>
          <w:rFonts w:ascii="Arial" w:hAnsi="Arial" w:cs="Arial" w:eastAsia="Arial" w:hint="default"/>
        </w:rPr>
        <w:t>230</w:t>
      </w:r>
      <w:r>
        <w:rPr>
          <w:rFonts w:ascii="Arial" w:hAnsi="Arial" w:cs="Arial" w:eastAsia="Arial" w:hint="default"/>
          <w:spacing w:val="7"/>
        </w:rPr>
        <w:t> </w:t>
      </w:r>
      <w:r>
        <w:rPr/>
        <w:t>亿元，</w:t>
      </w:r>
      <w:r>
        <w:rPr>
          <w:rFonts w:ascii="Arial" w:hAnsi="Arial" w:cs="Arial" w:eastAsia="Arial" w:hint="default"/>
        </w:rPr>
        <w:t>GSM</w:t>
      </w:r>
      <w:r>
        <w:rPr>
          <w:rFonts w:ascii="Arial" w:hAnsi="Arial" w:cs="Arial" w:eastAsia="Arial" w:hint="default"/>
          <w:spacing w:val="7"/>
        </w:rPr>
        <w:t> </w:t>
      </w:r>
      <w:r>
        <w:rPr/>
        <w:t>业务资本开支约为人民币</w:t>
      </w:r>
      <w:r>
        <w:rPr>
          <w:spacing w:val="-40"/>
        </w:rPr>
        <w:t> </w:t>
      </w:r>
      <w:r>
        <w:rPr>
          <w:rFonts w:ascii="Arial" w:hAnsi="Arial" w:cs="Arial" w:eastAsia="Arial" w:hint="default"/>
        </w:rPr>
        <w:t>80</w:t>
      </w:r>
      <w:r>
        <w:rPr>
          <w:rFonts w:ascii="Arial" w:hAnsi="Arial" w:cs="Arial" w:eastAsia="Arial" w:hint="default"/>
          <w:spacing w:val="8"/>
        </w:rPr>
        <w:t> </w:t>
      </w:r>
      <w:r>
        <w:rPr/>
        <w:t>亿元，宽带及数据业务资本开支约为人民币</w:t>
      </w:r>
    </w:p>
    <w:p>
      <w:pPr>
        <w:pStyle w:val="BodyText"/>
        <w:spacing w:line="285" w:lineRule="exact"/>
        <w:ind w:left="500" w:right="0"/>
        <w:jc w:val="both"/>
        <w:rPr>
          <w:rFonts w:ascii="Arial" w:hAnsi="Arial" w:cs="Arial" w:eastAsia="Arial" w:hint="default"/>
        </w:rPr>
      </w:pPr>
      <w:r>
        <w:rPr>
          <w:rFonts w:ascii="Arial" w:hAnsi="Arial" w:cs="Arial" w:eastAsia="Arial" w:hint="default"/>
        </w:rPr>
        <w:t>153</w:t>
      </w:r>
      <w:r>
        <w:rPr>
          <w:rFonts w:ascii="Arial" w:hAnsi="Arial" w:cs="Arial" w:eastAsia="Arial" w:hint="default"/>
          <w:spacing w:val="-6"/>
        </w:rPr>
        <w:t> </w:t>
      </w:r>
      <w:r>
        <w:rPr/>
        <w:t>亿元，基础设施及传送网资本开支约为人民币</w:t>
      </w:r>
      <w:r>
        <w:rPr>
          <w:spacing w:val="-54"/>
        </w:rPr>
        <w:t> </w:t>
      </w:r>
      <w:r>
        <w:rPr>
          <w:rFonts w:ascii="Arial" w:hAnsi="Arial" w:cs="Arial" w:eastAsia="Arial" w:hint="default"/>
        </w:rPr>
        <w:t>174</w:t>
      </w:r>
      <w:r>
        <w:rPr>
          <w:rFonts w:ascii="Arial" w:hAnsi="Arial" w:cs="Arial" w:eastAsia="Arial" w:hint="default"/>
          <w:spacing w:val="-4"/>
        </w:rPr>
        <w:t> </w:t>
      </w:r>
      <w:r>
        <w:rPr/>
        <w:t>亿元，</w:t>
      </w:r>
      <w:r>
        <w:rPr>
          <w:rFonts w:ascii="Arial" w:hAnsi="Arial" w:cs="Arial" w:eastAsia="Arial" w:hint="default"/>
        </w:rPr>
        <w:t>IT</w:t>
      </w:r>
      <w:r>
        <w:rPr>
          <w:rFonts w:ascii="Arial" w:hAnsi="Arial" w:cs="Arial" w:eastAsia="Arial" w:hint="default"/>
          <w:spacing w:val="-6"/>
        </w:rPr>
        <w:t> </w:t>
      </w:r>
      <w:r>
        <w:rPr/>
        <w:t>系统资本开支约为人民币</w:t>
      </w:r>
      <w:r>
        <w:rPr>
          <w:spacing w:val="-54"/>
        </w:rPr>
        <w:t> </w:t>
      </w:r>
      <w:r>
        <w:rPr>
          <w:rFonts w:ascii="Arial" w:hAnsi="Arial" w:cs="Arial" w:eastAsia="Arial" w:hint="default"/>
        </w:rPr>
        <w:t>43</w:t>
      </w:r>
    </w:p>
    <w:p>
      <w:pPr>
        <w:pStyle w:val="BodyText"/>
        <w:spacing w:line="295" w:lineRule="exact"/>
        <w:ind w:left="500" w:right="0"/>
        <w:jc w:val="both"/>
      </w:pPr>
      <w:r>
        <w:rPr/>
        <w:t>亿元，创新及增值业务平台资本开支约为人民币</w:t>
      </w:r>
      <w:r>
        <w:rPr>
          <w:spacing w:val="-55"/>
        </w:rPr>
        <w:t> </w:t>
      </w:r>
      <w:r>
        <w:rPr>
          <w:rFonts w:ascii="Arial" w:hAnsi="Arial" w:cs="Arial" w:eastAsia="Arial" w:hint="default"/>
        </w:rPr>
        <w:t>27</w:t>
      </w:r>
      <w:r>
        <w:rPr>
          <w:rFonts w:ascii="Arial" w:hAnsi="Arial" w:cs="Arial" w:eastAsia="Arial" w:hint="default"/>
          <w:spacing w:val="-7"/>
        </w:rPr>
        <w:t> </w:t>
      </w:r>
      <w:r>
        <w:rPr/>
        <w:t>亿元。</w:t>
      </w:r>
    </w:p>
    <w:p>
      <w:pPr>
        <w:spacing w:line="240" w:lineRule="auto" w:before="3"/>
        <w:rPr>
          <w:rFonts w:ascii="宋体" w:hAnsi="宋体" w:cs="宋体" w:eastAsia="宋体" w:hint="default"/>
          <w:sz w:val="20"/>
          <w:szCs w:val="20"/>
        </w:rPr>
      </w:pPr>
    </w:p>
    <w:p>
      <w:pPr>
        <w:pStyle w:val="Heading8"/>
        <w:spacing w:line="240" w:lineRule="auto"/>
        <w:ind w:right="106"/>
        <w:jc w:val="left"/>
        <w:rPr>
          <w:b w:val="0"/>
          <w:bCs w:val="0"/>
        </w:rPr>
      </w:pPr>
      <w:r>
        <w:rPr>
          <w:rFonts w:ascii="Arial" w:hAnsi="Arial" w:cs="Arial" w:eastAsia="Arial" w:hint="default"/>
        </w:rPr>
        <w:t>8</w:t>
      </w:r>
      <w:r>
        <w:rPr/>
        <w:t>、资产负债情况</w:t>
      </w:r>
      <w:r>
        <w:rPr>
          <w:b w:val="0"/>
          <w:bCs w:val="0"/>
        </w:rPr>
      </w:r>
    </w:p>
    <w:p>
      <w:pPr>
        <w:spacing w:line="240" w:lineRule="auto" w:before="1"/>
        <w:rPr>
          <w:rFonts w:ascii="宋体" w:hAnsi="宋体" w:cs="宋体" w:eastAsia="宋体" w:hint="default"/>
          <w:b/>
          <w:bCs/>
          <w:sz w:val="21"/>
          <w:szCs w:val="21"/>
        </w:rPr>
      </w:pPr>
    </w:p>
    <w:p>
      <w:pPr>
        <w:pStyle w:val="BodyText"/>
        <w:spacing w:line="220" w:lineRule="auto"/>
        <w:ind w:left="569" w:right="308" w:firstLine="2"/>
        <w:jc w:val="both"/>
      </w:pPr>
      <w:r>
        <w:rPr/>
        <w:t>受</w:t>
      </w:r>
      <w:r>
        <w:rPr>
          <w:spacing w:val="-56"/>
        </w:rPr>
        <w:t> </w:t>
      </w:r>
      <w:r>
        <w:rPr>
          <w:rFonts w:ascii="Arial" w:hAnsi="Arial" w:cs="Arial" w:eastAsia="Arial" w:hint="default"/>
        </w:rPr>
        <w:t>3G</w:t>
      </w:r>
      <w:r>
        <w:rPr>
          <w:rFonts w:ascii="Arial" w:hAnsi="Arial" w:cs="Arial" w:eastAsia="Arial" w:hint="default"/>
          <w:spacing w:val="-8"/>
        </w:rPr>
        <w:t> </w:t>
      </w:r>
      <w:r>
        <w:rPr/>
        <w:t>网络建设资本性开支增加所致，截至</w:t>
      </w:r>
      <w:r>
        <w:rPr>
          <w:spacing w:val="-56"/>
        </w:rPr>
        <w:t> </w:t>
      </w:r>
      <w:r>
        <w:rPr>
          <w:rFonts w:ascii="Arial" w:hAnsi="Arial" w:cs="Arial" w:eastAsia="Arial" w:hint="default"/>
        </w:rPr>
        <w:t>2009</w:t>
      </w:r>
      <w:r>
        <w:rPr>
          <w:rFonts w:ascii="Arial" w:hAnsi="Arial" w:cs="Arial" w:eastAsia="Arial" w:hint="default"/>
          <w:spacing w:val="-7"/>
        </w:rPr>
        <w:t> </w:t>
      </w:r>
      <w:r>
        <w:rPr/>
        <w:t>年底，本公司的资产总额由</w:t>
      </w:r>
      <w:r>
        <w:rPr>
          <w:spacing w:val="-56"/>
        </w:rPr>
        <w:t> </w:t>
      </w:r>
      <w:r>
        <w:rPr>
          <w:rFonts w:ascii="Arial" w:hAnsi="Arial" w:cs="Arial" w:eastAsia="Arial" w:hint="default"/>
        </w:rPr>
        <w:t>2008</w:t>
      </w:r>
      <w:r>
        <w:rPr>
          <w:rFonts w:ascii="Arial" w:hAnsi="Arial" w:cs="Arial" w:eastAsia="Arial" w:hint="default"/>
          <w:spacing w:val="-7"/>
        </w:rPr>
        <w:t> </w:t>
      </w:r>
      <w:r>
        <w:rPr/>
        <w:t>年底的人</w:t>
      </w:r>
      <w:r>
        <w:rPr>
          <w:w w:val="99"/>
        </w:rPr>
        <w:t> </w:t>
      </w:r>
      <w:r>
        <w:rPr/>
        <w:t>民币</w:t>
      </w:r>
      <w:r>
        <w:rPr>
          <w:spacing w:val="-57"/>
        </w:rPr>
        <w:t> </w:t>
      </w:r>
      <w:r>
        <w:rPr>
          <w:rFonts w:ascii="Arial" w:hAnsi="Arial" w:cs="Arial" w:eastAsia="Arial" w:hint="default"/>
        </w:rPr>
        <w:t>3,518.5</w:t>
      </w:r>
      <w:r>
        <w:rPr>
          <w:rFonts w:ascii="Arial" w:hAnsi="Arial" w:cs="Arial" w:eastAsia="Arial" w:hint="default"/>
          <w:spacing w:val="-8"/>
        </w:rPr>
        <w:t> </w:t>
      </w:r>
      <w:r>
        <w:rPr/>
        <w:t>亿元增至人民币</w:t>
      </w:r>
      <w:r>
        <w:rPr>
          <w:spacing w:val="-57"/>
        </w:rPr>
        <w:t> </w:t>
      </w:r>
      <w:r>
        <w:rPr>
          <w:rFonts w:ascii="Arial" w:hAnsi="Arial" w:cs="Arial" w:eastAsia="Arial" w:hint="default"/>
        </w:rPr>
        <w:t>4,192.3</w:t>
      </w:r>
      <w:r>
        <w:rPr>
          <w:rFonts w:ascii="Arial" w:hAnsi="Arial" w:cs="Arial" w:eastAsia="Arial" w:hint="default"/>
          <w:spacing w:val="-8"/>
        </w:rPr>
        <w:t> </w:t>
      </w:r>
      <w:r>
        <w:rPr/>
        <w:t>亿元，债务总额由</w:t>
      </w:r>
      <w:r>
        <w:rPr>
          <w:spacing w:val="-56"/>
        </w:rPr>
        <w:t> </w:t>
      </w:r>
      <w:r>
        <w:rPr>
          <w:rFonts w:ascii="Arial" w:hAnsi="Arial" w:cs="Arial" w:eastAsia="Arial" w:hint="default"/>
        </w:rPr>
        <w:t>2008</w:t>
      </w:r>
      <w:r>
        <w:rPr>
          <w:rFonts w:ascii="Arial" w:hAnsi="Arial" w:cs="Arial" w:eastAsia="Arial" w:hint="default"/>
          <w:spacing w:val="-8"/>
        </w:rPr>
        <w:t> </w:t>
      </w:r>
      <w:r>
        <w:rPr/>
        <w:t>年底的人民币</w:t>
      </w:r>
      <w:r>
        <w:rPr>
          <w:spacing w:val="-57"/>
        </w:rPr>
        <w:t> </w:t>
      </w:r>
      <w:r>
        <w:rPr>
          <w:rFonts w:ascii="Arial" w:hAnsi="Arial" w:cs="Arial" w:eastAsia="Arial" w:hint="default"/>
        </w:rPr>
        <w:t>1,417.4</w:t>
      </w:r>
      <w:r>
        <w:rPr>
          <w:rFonts w:ascii="Arial" w:hAnsi="Arial" w:cs="Arial" w:eastAsia="Arial" w:hint="default"/>
          <w:spacing w:val="-8"/>
        </w:rPr>
        <w:t> </w:t>
      </w:r>
      <w:r>
        <w:rPr/>
        <w:t>亿元增</w:t>
      </w:r>
      <w:r>
        <w:rPr>
          <w:w w:val="99"/>
        </w:rPr>
        <w:t> </w:t>
      </w:r>
      <w:r>
        <w:rPr/>
        <w:t>至人民币</w:t>
      </w:r>
      <w:r>
        <w:rPr>
          <w:spacing w:val="-57"/>
        </w:rPr>
        <w:t> </w:t>
      </w:r>
      <w:r>
        <w:rPr>
          <w:rFonts w:ascii="Arial" w:hAnsi="Arial" w:cs="Arial" w:eastAsia="Arial" w:hint="default"/>
        </w:rPr>
        <w:t>2103.9</w:t>
      </w:r>
      <w:r>
        <w:rPr>
          <w:rFonts w:ascii="Arial" w:hAnsi="Arial" w:cs="Arial" w:eastAsia="Arial" w:hint="default"/>
          <w:spacing w:val="-8"/>
        </w:rPr>
        <w:t> </w:t>
      </w:r>
      <w:r>
        <w:rPr/>
        <w:t>亿元，资产负债率由</w:t>
      </w:r>
      <w:r>
        <w:rPr>
          <w:spacing w:val="-57"/>
        </w:rPr>
        <w:t> </w:t>
      </w:r>
      <w:r>
        <w:rPr>
          <w:rFonts w:ascii="Arial" w:hAnsi="Arial" w:cs="Arial" w:eastAsia="Arial" w:hint="default"/>
        </w:rPr>
        <w:t>2008</w:t>
      </w:r>
      <w:r>
        <w:rPr>
          <w:rFonts w:ascii="Arial" w:hAnsi="Arial" w:cs="Arial" w:eastAsia="Arial" w:hint="default"/>
          <w:spacing w:val="-8"/>
        </w:rPr>
        <w:t> </w:t>
      </w:r>
      <w:r>
        <w:rPr/>
        <w:t>年底的</w:t>
      </w:r>
      <w:r>
        <w:rPr>
          <w:spacing w:val="-57"/>
        </w:rPr>
        <w:t> </w:t>
      </w:r>
      <w:r>
        <w:rPr>
          <w:rFonts w:ascii="Arial" w:hAnsi="Arial" w:cs="Arial" w:eastAsia="Arial" w:hint="default"/>
        </w:rPr>
        <w:t>40.3%</w:t>
      </w:r>
      <w:r>
        <w:rPr/>
        <w:t>上升至</w:t>
      </w:r>
      <w:r>
        <w:rPr>
          <w:spacing w:val="-57"/>
        </w:rPr>
        <w:t> </w:t>
      </w:r>
      <w:r>
        <w:rPr>
          <w:rFonts w:ascii="Arial" w:hAnsi="Arial" w:cs="Arial" w:eastAsia="Arial" w:hint="default"/>
        </w:rPr>
        <w:t>50.2%</w:t>
      </w:r>
      <w:r>
        <w:rPr/>
        <w:t>。</w:t>
      </w:r>
    </w:p>
    <w:p>
      <w:pPr>
        <w:spacing w:line="240" w:lineRule="auto" w:before="12"/>
        <w:rPr>
          <w:rFonts w:ascii="宋体" w:hAnsi="宋体" w:cs="宋体" w:eastAsia="宋体" w:hint="default"/>
          <w:sz w:val="19"/>
          <w:szCs w:val="19"/>
        </w:rPr>
      </w:pPr>
    </w:p>
    <w:p>
      <w:pPr>
        <w:pStyle w:val="BodyText"/>
        <w:spacing w:line="292" w:lineRule="exact"/>
        <w:ind w:left="571" w:right="0"/>
        <w:jc w:val="both"/>
      </w:pPr>
      <w:r>
        <w:rPr/>
        <w:t>截至</w:t>
      </w:r>
      <w:r>
        <w:rPr>
          <w:spacing w:val="-57"/>
        </w:rPr>
        <w:t> </w:t>
      </w:r>
      <w:r>
        <w:rPr>
          <w:rFonts w:ascii="Arial" w:hAnsi="Arial" w:cs="Arial" w:eastAsia="Arial" w:hint="default"/>
        </w:rPr>
        <w:t>2009</w:t>
      </w:r>
      <w:r>
        <w:rPr>
          <w:rFonts w:ascii="Arial" w:hAnsi="Arial" w:cs="Arial" w:eastAsia="Arial" w:hint="default"/>
          <w:spacing w:val="-8"/>
        </w:rPr>
        <w:t> </w:t>
      </w:r>
      <w:r>
        <w:rPr/>
        <w:t>年底，本公司的流动负债净额（即流动负债减流动资产）为人民币</w:t>
      </w:r>
      <w:r>
        <w:rPr>
          <w:spacing w:val="-56"/>
        </w:rPr>
        <w:t> </w:t>
      </w:r>
      <w:r>
        <w:rPr>
          <w:rFonts w:ascii="Arial" w:hAnsi="Arial" w:cs="Arial" w:eastAsia="Arial" w:hint="default"/>
        </w:rPr>
        <w:t>1,688.9</w:t>
      </w:r>
      <w:r>
        <w:rPr>
          <w:rFonts w:ascii="Arial" w:hAnsi="Arial" w:cs="Arial" w:eastAsia="Arial" w:hint="default"/>
          <w:spacing w:val="-8"/>
        </w:rPr>
        <w:t> </w:t>
      </w:r>
      <w:r>
        <w:rPr/>
        <w:t>亿元，</w:t>
      </w:r>
    </w:p>
    <w:p>
      <w:pPr>
        <w:pStyle w:val="BodyText"/>
        <w:spacing w:line="228" w:lineRule="auto" w:before="1"/>
        <w:ind w:left="569" w:right="300" w:hanging="1"/>
        <w:jc w:val="both"/>
      </w:pPr>
      <w:r>
        <w:rPr/>
        <w:t>比</w:t>
      </w:r>
      <w:r>
        <w:rPr>
          <w:spacing w:val="-57"/>
        </w:rPr>
        <w:t> </w:t>
      </w:r>
      <w:r>
        <w:rPr>
          <w:rFonts w:ascii="Arial" w:hAnsi="Arial" w:cs="Arial" w:eastAsia="Arial" w:hint="default"/>
        </w:rPr>
        <w:t>2008</w:t>
      </w:r>
      <w:r>
        <w:rPr>
          <w:rFonts w:ascii="Arial" w:hAnsi="Arial" w:cs="Arial" w:eastAsia="Arial" w:hint="default"/>
          <w:spacing w:val="-8"/>
        </w:rPr>
        <w:t> </w:t>
      </w:r>
      <w:r>
        <w:rPr/>
        <w:t>年底的人民币</w:t>
      </w:r>
      <w:r>
        <w:rPr>
          <w:spacing w:val="-56"/>
        </w:rPr>
        <w:t> </w:t>
      </w:r>
      <w:r>
        <w:rPr>
          <w:rFonts w:ascii="Arial" w:hAnsi="Arial" w:cs="Arial" w:eastAsia="Arial" w:hint="default"/>
        </w:rPr>
        <w:t>895.8</w:t>
      </w:r>
      <w:r>
        <w:rPr>
          <w:rFonts w:ascii="Arial" w:hAnsi="Arial" w:cs="Arial" w:eastAsia="Arial" w:hint="default"/>
          <w:spacing w:val="-8"/>
        </w:rPr>
        <w:t> </w:t>
      </w:r>
      <w:r>
        <w:rPr/>
        <w:t>亿元增加人民币</w:t>
      </w:r>
      <w:r>
        <w:rPr>
          <w:spacing w:val="-56"/>
        </w:rPr>
        <w:t> </w:t>
      </w:r>
      <w:r>
        <w:rPr>
          <w:rFonts w:ascii="Arial" w:hAnsi="Arial" w:cs="Arial" w:eastAsia="Arial" w:hint="default"/>
        </w:rPr>
        <w:t>793.1</w:t>
      </w:r>
      <w:r>
        <w:rPr>
          <w:rFonts w:ascii="Arial" w:hAnsi="Arial" w:cs="Arial" w:eastAsia="Arial" w:hint="default"/>
          <w:spacing w:val="-8"/>
        </w:rPr>
        <w:t> </w:t>
      </w:r>
      <w:r>
        <w:rPr>
          <w:spacing w:val="-5"/>
        </w:rPr>
        <w:t>亿元，主要是短期借款及应付账款增加所</w:t>
      </w:r>
      <w:r>
        <w:rPr>
          <w:w w:val="99"/>
        </w:rPr>
        <w:t> </w:t>
      </w:r>
      <w:r>
        <w:rPr/>
        <w:t>致。考虑到公司经营活动净现金流入保持稳定以及良好的信贷信用，我们相信公司应有足够</w:t>
      </w:r>
      <w:r>
        <w:rPr>
          <w:w w:val="99"/>
        </w:rPr>
        <w:t> </w:t>
      </w:r>
      <w:r>
        <w:rPr/>
        <w:t>的运营资金满足生产经营需要。</w:t>
      </w:r>
    </w:p>
    <w:p>
      <w:pPr>
        <w:spacing w:after="0" w:line="228" w:lineRule="auto"/>
        <w:jc w:val="both"/>
        <w:sectPr>
          <w:pgSz w:w="11910" w:h="16840"/>
          <w:pgMar w:header="587" w:footer="774" w:top="960" w:bottom="960" w:left="1180" w:right="980"/>
        </w:sectPr>
      </w:pPr>
    </w:p>
    <w:p>
      <w:pPr>
        <w:spacing w:line="240" w:lineRule="auto" w:before="9"/>
        <w:rPr>
          <w:rFonts w:ascii="宋体" w:hAnsi="宋体" w:cs="宋体" w:eastAsia="宋体" w:hint="default"/>
          <w:sz w:val="12"/>
          <w:szCs w:val="12"/>
        </w:rPr>
      </w:pPr>
    </w:p>
    <w:p>
      <w:pPr>
        <w:pStyle w:val="BodyText"/>
        <w:tabs>
          <w:tab w:pos="1409" w:val="left" w:leader="none"/>
        </w:tabs>
        <w:spacing w:line="465" w:lineRule="auto" w:before="31"/>
        <w:ind w:left="572" w:right="650" w:hanging="423"/>
        <w:jc w:val="left"/>
      </w:pPr>
      <w:r>
        <w:rPr>
          <w:rFonts w:ascii="宋体" w:hAnsi="宋体" w:cs="宋体" w:eastAsia="宋体" w:hint="default"/>
          <w:b/>
          <w:bCs/>
          <w:w w:val="95"/>
        </w:rPr>
        <w:t>第四部分</w:t>
        <w:tab/>
      </w:r>
      <w:r>
        <w:rPr>
          <w:rFonts w:ascii="宋体" w:hAnsi="宋体" w:cs="宋体" w:eastAsia="宋体" w:hint="default"/>
          <w:b/>
          <w:bCs/>
        </w:rPr>
        <w:t>展望</w:t>
      </w:r>
      <w:r>
        <w:rPr>
          <w:rFonts w:ascii="宋体" w:hAnsi="宋体" w:cs="宋体" w:eastAsia="宋体" w:hint="default"/>
          <w:b/>
          <w:bCs/>
          <w:spacing w:val="1"/>
          <w:w w:val="99"/>
        </w:rPr>
        <w:t> </w:t>
      </w:r>
      <w:r>
        <w:rPr/>
        <w:t>展望未来，公司将聚焦发展，提升实力，实现公司行业地位的提升和核心业务的领先。</w:t>
      </w:r>
    </w:p>
    <w:p>
      <w:pPr>
        <w:pStyle w:val="BodyText"/>
        <w:spacing w:line="228" w:lineRule="auto" w:before="78"/>
        <w:ind w:left="569" w:right="136" w:firstLine="10"/>
        <w:jc w:val="both"/>
      </w:pPr>
      <w:r>
        <w:rPr>
          <w:rFonts w:ascii="Arial" w:hAnsi="Arial" w:cs="Arial" w:eastAsia="Arial" w:hint="default"/>
        </w:rPr>
        <w:t>2010</w:t>
      </w:r>
      <w:r>
        <w:rPr>
          <w:rFonts w:ascii="Arial" w:hAnsi="Arial" w:cs="Arial" w:eastAsia="Arial" w:hint="default"/>
          <w:spacing w:val="-42"/>
        </w:rPr>
        <w:t> </w:t>
      </w:r>
      <w:r>
        <w:rPr/>
        <w:t>年，公司将牢牢把握国家大力推进信息化发展战略和通信产业升级换代的大趋势，积极</w:t>
      </w:r>
      <w:r>
        <w:rPr>
          <w:w w:val="99"/>
        </w:rPr>
        <w:t> </w:t>
      </w:r>
      <w:r>
        <w:rPr/>
        <w:t>拓展市场，提升支撑能力，强化落实执行，在发展中调整结构，在创新中增强活力，全面提</w:t>
      </w:r>
      <w:r>
        <w:rPr>
          <w:spacing w:val="-50"/>
        </w:rPr>
        <w:t> </w:t>
      </w:r>
      <w:r>
        <w:rPr>
          <w:spacing w:val="-50"/>
        </w:rPr>
      </w:r>
      <w:r>
        <w:rPr/>
        <w:t>升综合竞争实力。</w:t>
      </w:r>
    </w:p>
    <w:p>
      <w:pPr>
        <w:spacing w:line="240" w:lineRule="auto" w:before="5"/>
        <w:rPr>
          <w:rFonts w:ascii="宋体" w:hAnsi="宋体" w:cs="宋体" w:eastAsia="宋体" w:hint="default"/>
          <w:sz w:val="22"/>
          <w:szCs w:val="22"/>
        </w:rPr>
      </w:pPr>
    </w:p>
    <w:p>
      <w:pPr>
        <w:pStyle w:val="BodyText"/>
        <w:spacing w:line="220" w:lineRule="auto"/>
        <w:ind w:left="569" w:right="136" w:firstLine="10"/>
        <w:jc w:val="both"/>
      </w:pPr>
      <w:r>
        <w:rPr/>
        <w:t>加大市场拓展力度，提高业务发展水平。聚焦目标客户群，尽快实现 </w:t>
      </w:r>
      <w:r>
        <w:rPr>
          <w:rFonts w:ascii="Arial" w:hAnsi="Arial" w:cs="Arial" w:eastAsia="Arial" w:hint="default"/>
        </w:rPr>
        <w:t>3G</w:t>
      </w:r>
      <w:r>
        <w:rPr>
          <w:rFonts w:ascii="Arial" w:hAnsi="Arial" w:cs="Arial" w:eastAsia="Arial" w:hint="default"/>
          <w:spacing w:val="36"/>
        </w:rPr>
        <w:t> </w:t>
      </w:r>
      <w:r>
        <w:rPr/>
        <w:t>用户规模发展；积</w:t>
      </w:r>
      <w:r>
        <w:rPr>
          <w:w w:val="99"/>
        </w:rPr>
        <w:t> </w:t>
      </w:r>
      <w:r>
        <w:rPr>
          <w:spacing w:val="-3"/>
        </w:rPr>
        <w:t>极拓展信息化应用市场，确保宽带业务更快发展；加大</w:t>
      </w:r>
      <w:r>
        <w:rPr>
          <w:spacing w:val="-48"/>
        </w:rPr>
        <w:t> </w:t>
      </w:r>
      <w:r>
        <w:rPr>
          <w:rFonts w:ascii="Arial" w:hAnsi="Arial" w:cs="Arial" w:eastAsia="Arial" w:hint="default"/>
        </w:rPr>
        <w:t>GSM</w:t>
      </w:r>
      <w:r>
        <w:rPr>
          <w:rFonts w:ascii="Arial" w:hAnsi="Arial" w:cs="Arial" w:eastAsia="Arial" w:hint="default"/>
          <w:spacing w:val="-2"/>
        </w:rPr>
        <w:t> </w:t>
      </w:r>
      <w:r>
        <w:rPr>
          <w:spacing w:val="-3"/>
        </w:rPr>
        <w:t>用户保有力度，提升用户发展质</w:t>
      </w:r>
      <w:r>
        <w:rPr>
          <w:w w:val="99"/>
        </w:rPr>
        <w:t> </w:t>
      </w:r>
      <w:r>
        <w:rPr/>
        <w:t>量，实现 </w:t>
      </w:r>
      <w:r>
        <w:rPr>
          <w:rFonts w:ascii="Arial" w:hAnsi="Arial" w:cs="Arial" w:eastAsia="Arial" w:hint="default"/>
        </w:rPr>
        <w:t>2G</w:t>
      </w:r>
      <w:r>
        <w:rPr>
          <w:rFonts w:ascii="Arial" w:hAnsi="Arial" w:cs="Arial" w:eastAsia="Arial" w:hint="default"/>
          <w:spacing w:val="46"/>
        </w:rPr>
        <w:t> </w:t>
      </w:r>
      <w:r>
        <w:rPr/>
        <w:t>业务稳定发展；积极采取组合营销等举措，实现固网非语音业务收入占比超过</w:t>
      </w:r>
      <w:r>
        <w:rPr>
          <w:w w:val="99"/>
        </w:rPr>
        <w:t> </w:t>
      </w:r>
      <w:r>
        <w:rPr>
          <w:rFonts w:ascii="Arial" w:hAnsi="Arial" w:cs="Arial" w:eastAsia="Arial" w:hint="default"/>
        </w:rPr>
        <w:t>50%</w:t>
      </w:r>
      <w:r>
        <w:rPr/>
        <w:t>，有效延缓固话业务下滑。</w:t>
      </w:r>
    </w:p>
    <w:p>
      <w:pPr>
        <w:spacing w:line="240" w:lineRule="auto" w:before="7"/>
        <w:rPr>
          <w:rFonts w:ascii="宋体" w:hAnsi="宋体" w:cs="宋体" w:eastAsia="宋体" w:hint="default"/>
          <w:sz w:val="20"/>
          <w:szCs w:val="20"/>
        </w:rPr>
      </w:pPr>
    </w:p>
    <w:p>
      <w:pPr>
        <w:pStyle w:val="BodyText"/>
        <w:spacing w:line="232" w:lineRule="auto"/>
        <w:ind w:left="569" w:right="136" w:firstLine="10"/>
        <w:jc w:val="both"/>
      </w:pPr>
      <w:r>
        <w:rPr/>
        <w:t>围绕重点业务发展，提高经营支撑水平。加快提升自有渠道、社会渠道和电子渠道的销售能</w:t>
      </w:r>
      <w:r>
        <w:rPr>
          <w:spacing w:val="-70"/>
        </w:rPr>
        <w:t> </w:t>
      </w:r>
      <w:r>
        <w:rPr>
          <w:spacing w:val="-70"/>
        </w:rPr>
      </w:r>
      <w:r>
        <w:rPr/>
        <w:t>力；加强业务和资费管理，完善品牌体系，提升营销资源使用效能，提高精细化营销水平；</w:t>
      </w:r>
      <w:r>
        <w:rPr>
          <w:spacing w:val="-50"/>
        </w:rPr>
        <w:t> </w:t>
      </w:r>
      <w:r>
        <w:rPr>
          <w:spacing w:val="-50"/>
        </w:rPr>
      </w:r>
      <w:r>
        <w:rPr/>
        <w:t>建立健全创新产品全过程管理体系；加快提升信息化支撑能力；进一步提高客户服务水平。</w:t>
      </w:r>
    </w:p>
    <w:p>
      <w:pPr>
        <w:spacing w:line="240" w:lineRule="auto" w:before="13"/>
        <w:rPr>
          <w:rFonts w:ascii="宋体" w:hAnsi="宋体" w:cs="宋体" w:eastAsia="宋体" w:hint="default"/>
          <w:sz w:val="21"/>
          <w:szCs w:val="21"/>
        </w:rPr>
      </w:pPr>
    </w:p>
    <w:p>
      <w:pPr>
        <w:pStyle w:val="BodyText"/>
        <w:spacing w:line="225" w:lineRule="auto"/>
        <w:ind w:left="569" w:right="135" w:firstLine="10"/>
        <w:jc w:val="both"/>
      </w:pPr>
      <w:r>
        <w:rPr>
          <w:w w:val="95"/>
        </w:rPr>
        <w:t>大力推进网络建设，提高网络保障水平。充分考虑用户需求和未来发展需要，按照 </w:t>
      </w:r>
      <w:r>
        <w:rPr>
          <w:rFonts w:ascii="Arial" w:hAnsi="Arial" w:cs="Arial" w:eastAsia="Arial" w:hint="default"/>
          <w:w w:val="95"/>
        </w:rPr>
        <w:t>2G/3G“</w:t>
      </w:r>
      <w:r>
        <w:rPr>
          <w:w w:val="95"/>
        </w:rPr>
        <w:t>一</w:t>
      </w:r>
      <w:r>
        <w:rPr>
          <w:spacing w:val="10"/>
          <w:w w:val="95"/>
        </w:rPr>
        <w:t> </w:t>
      </w:r>
      <w:r>
        <w:rPr/>
        <w:t>张网</w:t>
      </w:r>
      <w:r>
        <w:rPr>
          <w:rFonts w:ascii="Arial" w:hAnsi="Arial" w:cs="Arial" w:eastAsia="Arial" w:hint="default"/>
        </w:rPr>
        <w:t>”</w:t>
      </w:r>
      <w:r>
        <w:rPr/>
        <w:t>的原则，推进</w:t>
      </w:r>
      <w:r>
        <w:rPr>
          <w:spacing w:val="-38"/>
        </w:rPr>
        <w:t> </w:t>
      </w:r>
      <w:r>
        <w:rPr>
          <w:rFonts w:ascii="Arial" w:hAnsi="Arial" w:cs="Arial" w:eastAsia="Arial" w:hint="default"/>
        </w:rPr>
        <w:t>3G</w:t>
      </w:r>
      <w:r>
        <w:rPr>
          <w:rFonts w:ascii="Arial" w:hAnsi="Arial" w:cs="Arial" w:eastAsia="Arial" w:hint="default"/>
          <w:spacing w:val="11"/>
        </w:rPr>
        <w:t> </w:t>
      </w:r>
      <w:r>
        <w:rPr/>
        <w:t>精品网络建设，完善</w:t>
      </w:r>
      <w:r>
        <w:rPr>
          <w:spacing w:val="-38"/>
        </w:rPr>
        <w:t> </w:t>
      </w:r>
      <w:r>
        <w:rPr>
          <w:rFonts w:ascii="Arial" w:hAnsi="Arial" w:cs="Arial" w:eastAsia="Arial" w:hint="default"/>
        </w:rPr>
        <w:t>2G</w:t>
      </w:r>
      <w:r>
        <w:rPr>
          <w:rFonts w:ascii="Arial" w:hAnsi="Arial" w:cs="Arial" w:eastAsia="Arial" w:hint="default"/>
          <w:spacing w:val="10"/>
        </w:rPr>
        <w:t> </w:t>
      </w:r>
      <w:r>
        <w:rPr/>
        <w:t>网络；综合考虑移动、宽带、融合业务承载</w:t>
      </w:r>
      <w:r>
        <w:rPr>
          <w:w w:val="99"/>
        </w:rPr>
        <w:t> </w:t>
      </w:r>
      <w:r>
        <w:rPr/>
        <w:t>需求，全面提升宽带接入和基础网络传输能力；加大网络维护和优化力度，进一步提升网络</w:t>
      </w:r>
      <w:r>
        <w:rPr>
          <w:spacing w:val="-50"/>
        </w:rPr>
        <w:t> </w:t>
      </w:r>
      <w:r>
        <w:rPr>
          <w:spacing w:val="-50"/>
        </w:rPr>
      </w:r>
      <w:r>
        <w:rPr/>
        <w:t>质量。</w:t>
      </w:r>
    </w:p>
    <w:p>
      <w:pPr>
        <w:spacing w:line="240" w:lineRule="auto" w:before="7"/>
        <w:rPr>
          <w:rFonts w:ascii="宋体" w:hAnsi="宋体" w:cs="宋体" w:eastAsia="宋体" w:hint="default"/>
          <w:sz w:val="21"/>
          <w:szCs w:val="21"/>
        </w:rPr>
      </w:pPr>
    </w:p>
    <w:p>
      <w:pPr>
        <w:pStyle w:val="BodyText"/>
        <w:spacing w:line="232" w:lineRule="auto"/>
        <w:ind w:left="569" w:right="135" w:firstLine="18"/>
        <w:jc w:val="both"/>
      </w:pPr>
      <w:r>
        <w:rPr/>
        <w:t>建立健全体制机制，提高基础管理水平。整合资源，优化业务流程，全面提高运营效率；进</w:t>
      </w:r>
      <w:r>
        <w:rPr>
          <w:spacing w:val="-84"/>
        </w:rPr>
        <w:t> </w:t>
      </w:r>
      <w:r>
        <w:rPr>
          <w:spacing w:val="-84"/>
        </w:rPr>
      </w:r>
      <w:r>
        <w:rPr/>
        <w:t>一步加强全面预算、资金资产、风险和内部控制、网络信息安全等基础管理工作，为企业持</w:t>
      </w:r>
      <w:r>
        <w:rPr>
          <w:spacing w:val="-50"/>
        </w:rPr>
        <w:t> </w:t>
      </w:r>
      <w:r>
        <w:rPr>
          <w:spacing w:val="-50"/>
        </w:rPr>
      </w:r>
      <w:r>
        <w:rPr/>
        <w:t>续发展奠定坚实基础。</w:t>
      </w:r>
    </w:p>
    <w:p>
      <w:pPr>
        <w:spacing w:line="240" w:lineRule="auto" w:before="4"/>
        <w:rPr>
          <w:rFonts w:ascii="宋体" w:hAnsi="宋体" w:cs="宋体" w:eastAsia="宋体" w:hint="default"/>
          <w:sz w:val="23"/>
          <w:szCs w:val="23"/>
        </w:rPr>
      </w:pPr>
    </w:p>
    <w:p>
      <w:pPr>
        <w:pStyle w:val="BodyText"/>
        <w:spacing w:line="280" w:lineRule="exact"/>
        <w:ind w:left="569" w:right="135" w:firstLine="18"/>
        <w:jc w:val="both"/>
      </w:pPr>
      <w:r>
        <w:rPr/>
        <w:t>最后，感谢股东、政府和社会各界对公司的支持，也衷心感谢公司管理层及全体员工为公司</w:t>
      </w:r>
      <w:r>
        <w:rPr>
          <w:spacing w:val="-84"/>
        </w:rPr>
        <w:t> </w:t>
      </w:r>
      <w:r>
        <w:rPr>
          <w:spacing w:val="-84"/>
        </w:rPr>
      </w:r>
      <w:r>
        <w:rPr/>
        <w:t>发展所做出的努力。</w:t>
      </w:r>
    </w:p>
    <w:p>
      <w:pPr>
        <w:spacing w:line="240" w:lineRule="auto" w:before="5"/>
        <w:rPr>
          <w:rFonts w:ascii="宋体" w:hAnsi="宋体" w:cs="宋体" w:eastAsia="宋体" w:hint="default"/>
          <w:sz w:val="18"/>
          <w:szCs w:val="18"/>
        </w:rPr>
      </w:pPr>
    </w:p>
    <w:p>
      <w:pPr>
        <w:pStyle w:val="BodyText"/>
        <w:spacing w:line="220" w:lineRule="auto"/>
        <w:ind w:left="569" w:right="138" w:firstLine="18"/>
        <w:jc w:val="both"/>
      </w:pPr>
      <w:r>
        <w:rPr>
          <w:rFonts w:ascii="Arial" w:hAnsi="Arial" w:cs="Arial" w:eastAsia="Arial" w:hint="default"/>
          <w:spacing w:val="-1"/>
        </w:rPr>
        <w:t>*</w:t>
      </w:r>
      <w:r>
        <w:rPr>
          <w:spacing w:val="-1"/>
        </w:rPr>
        <w:t>为使投资者加深了解本集团的业绩，上述部分数据分析中，剔除不被视为本集团营运表现的</w:t>
      </w:r>
      <w:r>
        <w:rPr>
          <w:w w:val="99"/>
        </w:rPr>
        <w:t> </w:t>
      </w:r>
      <w:r>
        <w:rPr/>
        <w:t>不可比影响因素。对于调整后的收入、年度盈利和</w:t>
      </w:r>
      <w:r>
        <w:rPr>
          <w:spacing w:val="-80"/>
        </w:rPr>
        <w:t> </w:t>
      </w:r>
      <w:r>
        <w:rPr>
          <w:rFonts w:ascii="Arial" w:hAnsi="Arial" w:cs="Arial" w:eastAsia="Arial" w:hint="default"/>
        </w:rPr>
        <w:t>EBITDA</w:t>
      </w:r>
      <w:r>
        <w:rPr/>
        <w:t>，详情请分别参阅以下附注</w:t>
      </w:r>
      <w:r>
        <w:rPr>
          <w:spacing w:val="-81"/>
        </w:rPr>
        <w:t> </w:t>
      </w:r>
      <w:r>
        <w:rPr>
          <w:rFonts w:ascii="Arial" w:hAnsi="Arial" w:cs="Arial" w:eastAsia="Arial" w:hint="default"/>
          <w:spacing w:val="-12"/>
        </w:rPr>
        <w:t>2</w:t>
      </w:r>
      <w:r>
        <w:rPr>
          <w:spacing w:val="-12"/>
        </w:rPr>
        <w:t>、附</w:t>
      </w:r>
      <w:r>
        <w:rPr>
          <w:spacing w:val="-17"/>
          <w:w w:val="99"/>
        </w:rPr>
        <w:t> </w:t>
      </w:r>
      <w:r>
        <w:rPr/>
        <w:t>注</w:t>
      </w:r>
      <w:r>
        <w:rPr>
          <w:spacing w:val="-56"/>
        </w:rPr>
        <w:t> </w:t>
      </w:r>
      <w:r>
        <w:rPr>
          <w:rFonts w:ascii="Arial" w:hAnsi="Arial" w:cs="Arial" w:eastAsia="Arial" w:hint="default"/>
        </w:rPr>
        <w:t>3</w:t>
      </w:r>
      <w:r>
        <w:rPr>
          <w:rFonts w:ascii="Arial" w:hAnsi="Arial" w:cs="Arial" w:eastAsia="Arial" w:hint="default"/>
          <w:spacing w:val="-7"/>
        </w:rPr>
        <w:t> </w:t>
      </w:r>
      <w:r>
        <w:rPr/>
        <w:t>以及附注</w:t>
      </w:r>
      <w:r>
        <w:rPr>
          <w:spacing w:val="-56"/>
        </w:rPr>
        <w:t> </w:t>
      </w:r>
      <w:r>
        <w:rPr>
          <w:rFonts w:ascii="Arial" w:hAnsi="Arial" w:cs="Arial" w:eastAsia="Arial" w:hint="default"/>
        </w:rPr>
        <w:t>4</w:t>
      </w:r>
      <w:r>
        <w:rPr/>
        <w:t>。</w:t>
      </w:r>
    </w:p>
    <w:p>
      <w:pPr>
        <w:spacing w:line="240" w:lineRule="auto" w:before="9"/>
        <w:rPr>
          <w:rFonts w:ascii="宋体" w:hAnsi="宋体" w:cs="宋体" w:eastAsia="宋体" w:hint="default"/>
          <w:sz w:val="26"/>
          <w:szCs w:val="26"/>
        </w:rPr>
      </w:pPr>
    </w:p>
    <w:p>
      <w:pPr>
        <w:spacing w:line="295" w:lineRule="auto" w:before="0"/>
        <w:ind w:left="750" w:right="136" w:hanging="587"/>
        <w:jc w:val="both"/>
        <w:rPr>
          <w:rFonts w:ascii="宋体" w:hAnsi="宋体" w:cs="宋体" w:eastAsia="宋体" w:hint="default"/>
          <w:sz w:val="18"/>
          <w:szCs w:val="18"/>
        </w:rPr>
      </w:pPr>
      <w:r>
        <w:rPr>
          <w:rFonts w:ascii="宋体" w:hAnsi="宋体" w:cs="宋体" w:eastAsia="宋体" w:hint="default"/>
          <w:spacing w:val="-1"/>
          <w:sz w:val="18"/>
          <w:szCs w:val="18"/>
        </w:rPr>
        <w:t>附注</w:t>
      </w:r>
      <w:r>
        <w:rPr>
          <w:rFonts w:ascii="Arial" w:hAnsi="Arial" w:cs="Arial" w:eastAsia="Arial" w:hint="default"/>
          <w:spacing w:val="-1"/>
          <w:sz w:val="18"/>
          <w:szCs w:val="18"/>
        </w:rPr>
        <w:t>1</w:t>
      </w:r>
      <w:r>
        <w:rPr>
          <w:rFonts w:ascii="宋体" w:hAnsi="宋体" w:cs="宋体" w:eastAsia="宋体" w:hint="default"/>
          <w:spacing w:val="-1"/>
          <w:sz w:val="18"/>
          <w:szCs w:val="18"/>
        </w:rPr>
        <w:t>：于</w:t>
      </w:r>
      <w:r>
        <w:rPr>
          <w:rFonts w:ascii="Arial" w:hAnsi="Arial" w:cs="Arial" w:eastAsia="Arial" w:hint="default"/>
          <w:spacing w:val="-1"/>
          <w:sz w:val="18"/>
          <w:szCs w:val="18"/>
        </w:rPr>
        <w:t>2008</w:t>
      </w:r>
      <w:r>
        <w:rPr>
          <w:rFonts w:ascii="宋体" w:hAnsi="宋体" w:cs="宋体" w:eastAsia="宋体" w:hint="default"/>
          <w:spacing w:val="-1"/>
          <w:sz w:val="18"/>
          <w:szCs w:val="18"/>
        </w:rPr>
        <w:t>年</w:t>
      </w:r>
      <w:r>
        <w:rPr>
          <w:rFonts w:ascii="Arial" w:hAnsi="Arial" w:cs="Arial" w:eastAsia="Arial" w:hint="default"/>
          <w:spacing w:val="-1"/>
          <w:sz w:val="18"/>
          <w:szCs w:val="18"/>
        </w:rPr>
        <w:t>12</w:t>
      </w:r>
      <w:r>
        <w:rPr>
          <w:rFonts w:ascii="宋体" w:hAnsi="宋体" w:cs="宋体" w:eastAsia="宋体" w:hint="default"/>
          <w:spacing w:val="-1"/>
          <w:sz w:val="18"/>
          <w:szCs w:val="18"/>
        </w:rPr>
        <w:t>月</w:t>
      </w:r>
      <w:r>
        <w:rPr>
          <w:rFonts w:ascii="Arial" w:hAnsi="Arial" w:cs="Arial" w:eastAsia="Arial" w:hint="default"/>
          <w:spacing w:val="-1"/>
          <w:sz w:val="18"/>
          <w:szCs w:val="18"/>
        </w:rPr>
        <w:t>16</w:t>
      </w:r>
      <w:r>
        <w:rPr>
          <w:rFonts w:ascii="宋体" w:hAnsi="宋体" w:cs="宋体" w:eastAsia="宋体" w:hint="default"/>
          <w:spacing w:val="-1"/>
          <w:sz w:val="18"/>
          <w:szCs w:val="18"/>
        </w:rPr>
        <w:t>日，本公司所属子公司中国联合网络通信有限公司（</w:t>
      </w:r>
      <w:r>
        <w:rPr>
          <w:rFonts w:ascii="Arial" w:hAnsi="Arial" w:cs="Arial" w:eastAsia="Arial" w:hint="default"/>
          <w:spacing w:val="-1"/>
          <w:sz w:val="18"/>
          <w:szCs w:val="18"/>
        </w:rPr>
        <w:t>“</w:t>
      </w:r>
      <w:r>
        <w:rPr>
          <w:rFonts w:ascii="宋体" w:hAnsi="宋体" w:cs="宋体" w:eastAsia="宋体" w:hint="default"/>
          <w:spacing w:val="-1"/>
          <w:sz w:val="18"/>
          <w:szCs w:val="18"/>
        </w:rPr>
        <w:t>联通运营公司</w:t>
      </w:r>
      <w:r>
        <w:rPr>
          <w:rFonts w:ascii="Arial" w:hAnsi="Arial" w:cs="Arial" w:eastAsia="Arial" w:hint="default"/>
          <w:spacing w:val="-1"/>
          <w:sz w:val="18"/>
          <w:szCs w:val="18"/>
        </w:rPr>
        <w:t>”</w:t>
      </w:r>
      <w:r>
        <w:rPr>
          <w:rFonts w:ascii="宋体" w:hAnsi="宋体" w:cs="宋体" w:eastAsia="宋体" w:hint="default"/>
          <w:spacing w:val="-1"/>
          <w:sz w:val="18"/>
          <w:szCs w:val="18"/>
        </w:rPr>
        <w:t>）与中国联合网络通信集</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团有限公司（</w:t>
      </w:r>
      <w:r>
        <w:rPr>
          <w:rFonts w:ascii="Arial" w:hAnsi="Arial" w:cs="Arial" w:eastAsia="Arial" w:hint="default"/>
          <w:sz w:val="18"/>
          <w:szCs w:val="18"/>
        </w:rPr>
        <w:t>“</w:t>
      </w:r>
      <w:r>
        <w:rPr>
          <w:rFonts w:ascii="宋体" w:hAnsi="宋体" w:cs="宋体" w:eastAsia="宋体" w:hint="default"/>
          <w:sz w:val="18"/>
          <w:szCs w:val="18"/>
        </w:rPr>
        <w:t>联通集团</w:t>
      </w:r>
      <w:r>
        <w:rPr>
          <w:rFonts w:ascii="Arial" w:hAnsi="Arial" w:cs="Arial" w:eastAsia="Arial" w:hint="default"/>
          <w:sz w:val="18"/>
          <w:szCs w:val="18"/>
        </w:rPr>
        <w:t>”</w:t>
      </w:r>
      <w:r>
        <w:rPr>
          <w:rFonts w:ascii="宋体" w:hAnsi="宋体" w:cs="宋体" w:eastAsia="宋体" w:hint="default"/>
          <w:sz w:val="18"/>
          <w:szCs w:val="18"/>
        </w:rPr>
        <w:t>）和中国网络通信集团公司（</w:t>
      </w:r>
      <w:r>
        <w:rPr>
          <w:rFonts w:ascii="Arial" w:hAnsi="Arial" w:cs="Arial" w:eastAsia="Arial" w:hint="default"/>
          <w:sz w:val="18"/>
          <w:szCs w:val="18"/>
        </w:rPr>
        <w:t>“</w:t>
      </w:r>
      <w:r>
        <w:rPr>
          <w:rFonts w:ascii="宋体" w:hAnsi="宋体" w:cs="宋体" w:eastAsia="宋体" w:hint="default"/>
          <w:sz w:val="18"/>
          <w:szCs w:val="18"/>
        </w:rPr>
        <w:t>网通集团</w:t>
      </w:r>
      <w:r>
        <w:rPr>
          <w:rFonts w:ascii="Arial" w:hAnsi="Arial" w:cs="Arial" w:eastAsia="Arial" w:hint="default"/>
          <w:sz w:val="18"/>
          <w:szCs w:val="18"/>
        </w:rPr>
        <w:t>”</w:t>
      </w:r>
      <w:r>
        <w:rPr>
          <w:rFonts w:ascii="宋体" w:hAnsi="宋体" w:cs="宋体" w:eastAsia="宋体" w:hint="default"/>
          <w:sz w:val="18"/>
          <w:szCs w:val="18"/>
        </w:rPr>
        <w:t>）签署协议收购联通集团和网通集团所属的相 关电信业务和资产（以下简称</w:t>
      </w:r>
      <w:r>
        <w:rPr>
          <w:rFonts w:ascii="Arial" w:hAnsi="Arial" w:cs="Arial" w:eastAsia="Arial" w:hint="default"/>
          <w:sz w:val="18"/>
          <w:szCs w:val="18"/>
        </w:rPr>
        <w:t>“</w:t>
      </w:r>
      <w:r>
        <w:rPr>
          <w:rFonts w:ascii="宋体" w:hAnsi="宋体" w:cs="宋体" w:eastAsia="宋体" w:hint="default"/>
          <w:sz w:val="18"/>
          <w:szCs w:val="18"/>
        </w:rPr>
        <w:t>目标业务和资产</w:t>
      </w:r>
      <w:r>
        <w:rPr>
          <w:rFonts w:ascii="Arial" w:hAnsi="Arial" w:cs="Arial" w:eastAsia="Arial" w:hint="default"/>
          <w:sz w:val="18"/>
          <w:szCs w:val="18"/>
        </w:rPr>
        <w:t>”</w:t>
      </w:r>
      <w:r>
        <w:rPr>
          <w:rFonts w:ascii="宋体" w:hAnsi="宋体" w:cs="宋体" w:eastAsia="宋体" w:hint="default"/>
          <w:sz w:val="18"/>
          <w:szCs w:val="18"/>
        </w:rPr>
        <w:t>），详见本公司于</w:t>
      </w:r>
      <w:r>
        <w:rPr>
          <w:rFonts w:ascii="Arial" w:hAnsi="Arial" w:cs="Arial" w:eastAsia="Arial" w:hint="default"/>
          <w:sz w:val="18"/>
          <w:szCs w:val="18"/>
        </w:rPr>
        <w:t>2008</w:t>
      </w:r>
      <w:r>
        <w:rPr>
          <w:rFonts w:ascii="宋体" w:hAnsi="宋体" w:cs="宋体" w:eastAsia="宋体" w:hint="default"/>
          <w:sz w:val="18"/>
          <w:szCs w:val="18"/>
        </w:rPr>
        <w:t>年</w:t>
      </w:r>
      <w:r>
        <w:rPr>
          <w:rFonts w:ascii="Arial" w:hAnsi="Arial" w:cs="Arial" w:eastAsia="Arial" w:hint="default"/>
          <w:sz w:val="18"/>
          <w:szCs w:val="18"/>
        </w:rPr>
        <w:t>12</w:t>
      </w:r>
      <w:r>
        <w:rPr>
          <w:rFonts w:ascii="宋体" w:hAnsi="宋体" w:cs="宋体" w:eastAsia="宋体" w:hint="default"/>
          <w:sz w:val="18"/>
          <w:szCs w:val="18"/>
        </w:rPr>
        <w:t>月</w:t>
      </w:r>
      <w:r>
        <w:rPr>
          <w:rFonts w:ascii="Arial" w:hAnsi="Arial" w:cs="Arial" w:eastAsia="Arial" w:hint="default"/>
          <w:sz w:val="18"/>
          <w:szCs w:val="18"/>
        </w:rPr>
        <w:t>16</w:t>
      </w:r>
      <w:r>
        <w:rPr>
          <w:rFonts w:ascii="宋体" w:hAnsi="宋体" w:cs="宋体" w:eastAsia="宋体" w:hint="default"/>
          <w:sz w:val="18"/>
          <w:szCs w:val="18"/>
        </w:rPr>
        <w:t>日发布的《关于收购相关电信 业务及资产及租赁相关电信网络设施的关联交易公告》。该收购经本公司</w:t>
      </w:r>
      <w:r>
        <w:rPr>
          <w:rFonts w:ascii="Arial" w:hAnsi="Arial" w:cs="Arial" w:eastAsia="Arial" w:hint="default"/>
          <w:sz w:val="18"/>
          <w:szCs w:val="18"/>
        </w:rPr>
        <w:t>2009</w:t>
      </w:r>
      <w:r>
        <w:rPr>
          <w:rFonts w:ascii="宋体" w:hAnsi="宋体" w:cs="宋体" w:eastAsia="宋体" w:hint="default"/>
          <w:sz w:val="18"/>
          <w:szCs w:val="18"/>
        </w:rPr>
        <w:t>年第一次临时股东大会批准后于 </w:t>
      </w:r>
      <w:r>
        <w:rPr>
          <w:rFonts w:ascii="Arial" w:hAnsi="Arial" w:cs="Arial" w:eastAsia="Arial" w:hint="default"/>
          <w:spacing w:val="-1"/>
          <w:sz w:val="18"/>
          <w:szCs w:val="18"/>
        </w:rPr>
        <w:t>2009</w:t>
      </w:r>
      <w:r>
        <w:rPr>
          <w:rFonts w:ascii="宋体" w:hAnsi="宋体" w:cs="宋体" w:eastAsia="宋体" w:hint="default"/>
          <w:spacing w:val="-1"/>
          <w:sz w:val="18"/>
          <w:szCs w:val="18"/>
        </w:rPr>
        <w:t>年</w:t>
      </w:r>
      <w:r>
        <w:rPr>
          <w:rFonts w:ascii="Arial" w:hAnsi="Arial" w:cs="Arial" w:eastAsia="Arial" w:hint="default"/>
          <w:spacing w:val="-1"/>
          <w:sz w:val="18"/>
          <w:szCs w:val="18"/>
        </w:rPr>
        <w:t>1</w:t>
      </w:r>
      <w:r>
        <w:rPr>
          <w:rFonts w:ascii="宋体" w:hAnsi="宋体" w:cs="宋体" w:eastAsia="宋体" w:hint="default"/>
          <w:spacing w:val="-1"/>
          <w:sz w:val="18"/>
          <w:szCs w:val="18"/>
        </w:rPr>
        <w:t>月完成。本次收购的目标业务及资产当中，所收购的原联通集团和原网通集团之中国南方</w:t>
      </w:r>
      <w:r>
        <w:rPr>
          <w:rFonts w:ascii="Arial" w:hAnsi="Arial" w:cs="Arial" w:eastAsia="Arial" w:hint="default"/>
          <w:spacing w:val="-1"/>
          <w:sz w:val="18"/>
          <w:szCs w:val="18"/>
        </w:rPr>
        <w:t>21</w:t>
      </w:r>
      <w:r>
        <w:rPr>
          <w:rFonts w:ascii="宋体" w:hAnsi="宋体" w:cs="宋体" w:eastAsia="宋体" w:hint="default"/>
          <w:spacing w:val="-1"/>
          <w:sz w:val="18"/>
          <w:szCs w:val="18"/>
        </w:rPr>
        <w:t>省、市</w:t>
      </w:r>
      <w:r>
        <w:rPr>
          <w:rFonts w:ascii="Arial" w:hAnsi="Arial" w:cs="Arial" w:eastAsia="Arial" w:hint="default"/>
          <w:spacing w:val="-1"/>
          <w:sz w:val="18"/>
          <w:szCs w:val="18"/>
        </w:rPr>
        <w:t>(</w:t>
      </w:r>
      <w:r>
        <w:rPr>
          <w:rFonts w:ascii="宋体" w:hAnsi="宋体" w:cs="宋体" w:eastAsia="宋体" w:hint="default"/>
          <w:spacing w:val="-1"/>
          <w:sz w:val="18"/>
          <w:szCs w:val="18"/>
        </w:rPr>
        <w:t>区</w:t>
      </w:r>
      <w:r>
        <w:rPr>
          <w:rFonts w:ascii="Arial" w:hAnsi="Arial" w:cs="Arial" w:eastAsia="Arial" w:hint="default"/>
          <w:spacing w:val="-1"/>
          <w:sz w:val="18"/>
          <w:szCs w:val="18"/>
        </w:rPr>
        <w:t>)</w:t>
      </w:r>
      <w:r>
        <w:rPr>
          <w:rFonts w:ascii="Arial" w:hAnsi="Arial" w:cs="Arial" w:eastAsia="Arial" w:hint="default"/>
          <w:sz w:val="18"/>
          <w:szCs w:val="18"/>
        </w:rPr>
        <w:t> </w:t>
      </w:r>
      <w:r>
        <w:rPr>
          <w:rFonts w:ascii="宋体" w:hAnsi="宋体" w:cs="宋体" w:eastAsia="宋体" w:hint="default"/>
          <w:sz w:val="18"/>
          <w:szCs w:val="18"/>
        </w:rPr>
        <w:t>固网业务、天津本地固话业务和资产、联通兴业科贸有限公司、中讯邮电咨询设计院和联通新国信通信有限公 司三家电信服务子公司共同构成目标业务。收购目标业务被视为同一控制下企业合并，故目标业务的资产及负 债被以账面价值并入本集团合并报表，同时视目标业务一直是本集团的一部分并由所列报的最早期间开始时反 映，故合并财务报表中的</w:t>
      </w:r>
      <w:r>
        <w:rPr>
          <w:rFonts w:ascii="Arial" w:hAnsi="Arial" w:cs="Arial" w:eastAsia="Arial" w:hint="default"/>
          <w:sz w:val="18"/>
          <w:szCs w:val="18"/>
        </w:rPr>
        <w:t>2008</w:t>
      </w:r>
      <w:r>
        <w:rPr>
          <w:rFonts w:ascii="宋体" w:hAnsi="宋体" w:cs="宋体" w:eastAsia="宋体" w:hint="default"/>
          <w:sz w:val="18"/>
          <w:szCs w:val="18"/>
        </w:rPr>
        <w:t>年比较数据亦被重新列报。</w:t>
      </w:r>
    </w:p>
    <w:p>
      <w:pPr>
        <w:spacing w:line="240" w:lineRule="auto" w:before="4"/>
        <w:rPr>
          <w:rFonts w:ascii="宋体" w:hAnsi="宋体" w:cs="宋体" w:eastAsia="宋体" w:hint="default"/>
          <w:sz w:val="23"/>
          <w:szCs w:val="23"/>
        </w:rPr>
      </w:pPr>
    </w:p>
    <w:p>
      <w:pPr>
        <w:spacing w:line="290" w:lineRule="auto" w:before="0"/>
        <w:ind w:left="750" w:right="139" w:hanging="587"/>
        <w:jc w:val="both"/>
        <w:rPr>
          <w:rFonts w:ascii="宋体" w:hAnsi="宋体" w:cs="宋体" w:eastAsia="宋体" w:hint="default"/>
          <w:sz w:val="18"/>
          <w:szCs w:val="18"/>
        </w:rPr>
      </w:pPr>
      <w:r>
        <w:rPr>
          <w:rFonts w:ascii="宋体" w:hAnsi="宋体" w:cs="宋体" w:eastAsia="宋体" w:hint="default"/>
          <w:sz w:val="18"/>
          <w:szCs w:val="18"/>
        </w:rPr>
        <w:t>附注</w:t>
      </w:r>
      <w:r>
        <w:rPr>
          <w:rFonts w:ascii="Arial" w:hAnsi="Arial" w:cs="Arial" w:eastAsia="Arial" w:hint="default"/>
          <w:sz w:val="18"/>
          <w:szCs w:val="18"/>
        </w:rPr>
        <w:t>2</w:t>
      </w:r>
      <w:r>
        <w:rPr>
          <w:rFonts w:ascii="宋体" w:hAnsi="宋体" w:cs="宋体" w:eastAsia="宋体" w:hint="default"/>
          <w:sz w:val="18"/>
          <w:szCs w:val="18"/>
        </w:rPr>
        <w:t>：为保持收入数据可比性，对本期及去年全年持续经营业务数据中所包含的以下不可比因素加以剔除调整作额外 分析目的：</w:t>
      </w:r>
    </w:p>
    <w:p>
      <w:pPr>
        <w:spacing w:before="26"/>
        <w:ind w:left="719" w:right="0" w:firstLine="0"/>
        <w:jc w:val="left"/>
        <w:rPr>
          <w:rFonts w:ascii="宋体" w:hAnsi="宋体" w:cs="宋体" w:eastAsia="宋体" w:hint="default"/>
          <w:sz w:val="18"/>
          <w:szCs w:val="18"/>
        </w:rPr>
      </w:pPr>
      <w:r>
        <w:rPr>
          <w:rFonts w:ascii="Arial" w:hAnsi="Arial" w:cs="Arial" w:eastAsia="Arial" w:hint="default"/>
          <w:sz w:val="18"/>
          <w:szCs w:val="18"/>
        </w:rPr>
        <w:t>(1)</w:t>
      </w:r>
      <w:r>
        <w:rPr>
          <w:rFonts w:ascii="Arial" w:hAnsi="Arial" w:cs="Arial" w:eastAsia="Arial" w:hint="default"/>
          <w:spacing w:val="-14"/>
          <w:sz w:val="18"/>
          <w:szCs w:val="18"/>
        </w:rPr>
        <w:t> </w:t>
      </w:r>
      <w:r>
        <w:rPr>
          <w:rFonts w:ascii="Arial" w:hAnsi="Arial" w:cs="Arial" w:eastAsia="Arial" w:hint="default"/>
          <w:sz w:val="18"/>
          <w:szCs w:val="18"/>
        </w:rPr>
        <w:t>2009</w:t>
      </w:r>
      <w:r>
        <w:rPr>
          <w:rFonts w:ascii="宋体" w:hAnsi="宋体" w:cs="宋体" w:eastAsia="宋体" w:hint="default"/>
          <w:sz w:val="18"/>
          <w:szCs w:val="18"/>
        </w:rPr>
        <w:t>年固网初装费递延收入人民币</w:t>
      </w:r>
      <w:r>
        <w:rPr>
          <w:rFonts w:ascii="Arial" w:hAnsi="Arial" w:cs="Arial" w:eastAsia="Arial" w:hint="default"/>
          <w:sz w:val="18"/>
          <w:szCs w:val="18"/>
        </w:rPr>
        <w:t>4.9</w:t>
      </w:r>
      <w:r>
        <w:rPr>
          <w:rFonts w:ascii="宋体" w:hAnsi="宋体" w:cs="宋体" w:eastAsia="宋体" w:hint="default"/>
          <w:sz w:val="18"/>
          <w:szCs w:val="18"/>
        </w:rPr>
        <w:t>亿元，</w:t>
      </w:r>
      <w:r>
        <w:rPr>
          <w:rFonts w:ascii="Arial" w:hAnsi="Arial" w:cs="Arial" w:eastAsia="Arial" w:hint="default"/>
          <w:sz w:val="18"/>
          <w:szCs w:val="18"/>
        </w:rPr>
        <w:t>2008</w:t>
      </w:r>
      <w:r>
        <w:rPr>
          <w:rFonts w:ascii="宋体" w:hAnsi="宋体" w:cs="宋体" w:eastAsia="宋体" w:hint="default"/>
          <w:sz w:val="18"/>
          <w:szCs w:val="18"/>
        </w:rPr>
        <w:t>年固网初装费递延收入人民币</w:t>
      </w:r>
      <w:r>
        <w:rPr>
          <w:rFonts w:ascii="Arial" w:hAnsi="Arial" w:cs="Arial" w:eastAsia="Arial" w:hint="default"/>
          <w:sz w:val="18"/>
          <w:szCs w:val="18"/>
        </w:rPr>
        <w:t>8.9</w:t>
      </w:r>
      <w:r>
        <w:rPr>
          <w:rFonts w:ascii="宋体" w:hAnsi="宋体" w:cs="宋体" w:eastAsia="宋体" w:hint="default"/>
          <w:sz w:val="18"/>
          <w:szCs w:val="18"/>
        </w:rPr>
        <w:t>亿元及；</w:t>
      </w:r>
    </w:p>
    <w:p>
      <w:pPr>
        <w:spacing w:before="51"/>
        <w:ind w:left="719" w:right="0" w:firstLine="0"/>
        <w:jc w:val="left"/>
        <w:rPr>
          <w:rFonts w:ascii="宋体" w:hAnsi="宋体" w:cs="宋体" w:eastAsia="宋体" w:hint="default"/>
          <w:sz w:val="18"/>
          <w:szCs w:val="18"/>
        </w:rPr>
      </w:pPr>
      <w:r>
        <w:rPr>
          <w:rFonts w:ascii="Arial" w:hAnsi="Arial" w:cs="Arial" w:eastAsia="Arial" w:hint="default"/>
          <w:sz w:val="18"/>
          <w:szCs w:val="18"/>
        </w:rPr>
        <w:t>(2)</w:t>
      </w:r>
      <w:r>
        <w:rPr>
          <w:rFonts w:ascii="Arial" w:hAnsi="Arial" w:cs="Arial" w:eastAsia="Arial" w:hint="default"/>
          <w:spacing w:val="-12"/>
          <w:sz w:val="18"/>
          <w:szCs w:val="18"/>
        </w:rPr>
        <w:t> </w:t>
      </w:r>
      <w:r>
        <w:rPr>
          <w:rFonts w:ascii="Arial" w:hAnsi="Arial" w:cs="Arial" w:eastAsia="Arial" w:hint="default"/>
          <w:sz w:val="18"/>
          <w:szCs w:val="18"/>
        </w:rPr>
        <w:t>2008</w:t>
      </w:r>
      <w:r>
        <w:rPr>
          <w:rFonts w:ascii="宋体" w:hAnsi="宋体" w:cs="宋体" w:eastAsia="宋体" w:hint="default"/>
          <w:sz w:val="18"/>
          <w:szCs w:val="18"/>
        </w:rPr>
        <w:t>年全年若干固网业务与</w:t>
      </w:r>
      <w:r>
        <w:rPr>
          <w:rFonts w:ascii="Arial" w:hAnsi="Arial" w:cs="Arial" w:eastAsia="Arial" w:hint="default"/>
          <w:sz w:val="18"/>
          <w:szCs w:val="18"/>
        </w:rPr>
        <w:t>CDMA</w:t>
      </w:r>
      <w:r>
        <w:rPr>
          <w:rFonts w:ascii="宋体" w:hAnsi="宋体" w:cs="宋体" w:eastAsia="宋体" w:hint="default"/>
          <w:sz w:val="18"/>
          <w:szCs w:val="18"/>
        </w:rPr>
        <w:t>终止经营业务结算收入人民币</w:t>
      </w:r>
      <w:r>
        <w:rPr>
          <w:rFonts w:ascii="Arial" w:hAnsi="Arial" w:cs="Arial" w:eastAsia="Arial" w:hint="default"/>
          <w:sz w:val="18"/>
          <w:szCs w:val="18"/>
        </w:rPr>
        <w:t>10.2</w:t>
      </w:r>
      <w:r>
        <w:rPr>
          <w:rFonts w:ascii="宋体" w:hAnsi="宋体" w:cs="宋体" w:eastAsia="宋体" w:hint="default"/>
          <w:sz w:val="18"/>
          <w:szCs w:val="18"/>
        </w:rPr>
        <w:t>亿元。</w:t>
      </w:r>
    </w:p>
    <w:p>
      <w:pPr>
        <w:spacing w:after="0"/>
        <w:jc w:val="left"/>
        <w:rPr>
          <w:rFonts w:ascii="宋体" w:hAnsi="宋体" w:cs="宋体" w:eastAsia="宋体" w:hint="default"/>
          <w:sz w:val="18"/>
          <w:szCs w:val="18"/>
        </w:rPr>
        <w:sectPr>
          <w:pgSz w:w="11910" w:h="16840"/>
          <w:pgMar w:header="587" w:footer="774" w:top="960" w:bottom="960" w:left="1180" w:right="1140"/>
        </w:sectPr>
      </w:pPr>
    </w:p>
    <w:p>
      <w:pPr>
        <w:spacing w:line="240" w:lineRule="auto" w:before="0"/>
        <w:rPr>
          <w:rFonts w:ascii="宋体" w:hAnsi="宋体" w:cs="宋体" w:eastAsia="宋体" w:hint="default"/>
          <w:sz w:val="17"/>
          <w:szCs w:val="17"/>
        </w:rPr>
      </w:pPr>
    </w:p>
    <w:p>
      <w:pPr>
        <w:spacing w:line="290" w:lineRule="auto" w:before="44"/>
        <w:ind w:left="149" w:right="175" w:firstLine="0"/>
        <w:jc w:val="left"/>
        <w:rPr>
          <w:rFonts w:ascii="宋体" w:hAnsi="宋体" w:cs="宋体" w:eastAsia="宋体" w:hint="default"/>
          <w:sz w:val="18"/>
          <w:szCs w:val="18"/>
        </w:rPr>
      </w:pPr>
      <w:r>
        <w:rPr>
          <w:rFonts w:ascii="宋体" w:hAnsi="宋体" w:cs="宋体" w:eastAsia="宋体" w:hint="default"/>
          <w:sz w:val="18"/>
          <w:szCs w:val="18"/>
        </w:rPr>
        <w:t>附注</w:t>
      </w:r>
      <w:r>
        <w:rPr>
          <w:rFonts w:ascii="宋体" w:hAnsi="宋体" w:cs="宋体" w:eastAsia="宋体" w:hint="default"/>
          <w:spacing w:val="-72"/>
          <w:sz w:val="18"/>
          <w:szCs w:val="18"/>
        </w:rPr>
        <w:t> </w:t>
      </w:r>
      <w:r>
        <w:rPr>
          <w:rFonts w:ascii="Arial" w:hAnsi="Arial" w:cs="Arial" w:eastAsia="Arial" w:hint="default"/>
          <w:sz w:val="18"/>
          <w:szCs w:val="18"/>
        </w:rPr>
        <w:t>3</w:t>
      </w:r>
      <w:r>
        <w:rPr>
          <w:rFonts w:ascii="宋体" w:hAnsi="宋体" w:cs="宋体" w:eastAsia="宋体" w:hint="default"/>
          <w:sz w:val="18"/>
          <w:szCs w:val="18"/>
        </w:rPr>
        <w:t>：为保持净利润数据可比性，对本期及去年全年持续经营业务数据中所包含的以下不可比因素及相关所得税加以 剔除调整作额外分析目的：</w:t>
      </w:r>
    </w:p>
    <w:p>
      <w:pPr>
        <w:spacing w:line="240" w:lineRule="auto" w:before="13"/>
        <w:rPr>
          <w:rFonts w:ascii="宋体" w:hAnsi="宋体" w:cs="宋体" w:eastAsia="宋体" w:hint="default"/>
          <w:sz w:val="24"/>
          <w:szCs w:val="24"/>
        </w:rPr>
      </w:pPr>
    </w:p>
    <w:p>
      <w:pPr>
        <w:spacing w:before="0"/>
        <w:ind w:left="722" w:right="0" w:firstLine="0"/>
        <w:jc w:val="both"/>
        <w:rPr>
          <w:rFonts w:ascii="宋体" w:hAnsi="宋体" w:cs="宋体" w:eastAsia="宋体" w:hint="default"/>
          <w:sz w:val="18"/>
          <w:szCs w:val="18"/>
        </w:rPr>
      </w:pPr>
      <w:r>
        <w:rPr>
          <w:rFonts w:ascii="Arial" w:hAnsi="Arial" w:cs="Arial" w:eastAsia="Arial" w:hint="default"/>
          <w:sz w:val="18"/>
          <w:szCs w:val="18"/>
        </w:rPr>
        <w:t>(1)</w:t>
      </w:r>
      <w:r>
        <w:rPr>
          <w:rFonts w:ascii="Arial" w:hAnsi="Arial" w:cs="Arial" w:eastAsia="Arial" w:hint="default"/>
          <w:spacing w:val="-14"/>
          <w:sz w:val="18"/>
          <w:szCs w:val="18"/>
        </w:rPr>
        <w:t> </w:t>
      </w:r>
      <w:r>
        <w:rPr>
          <w:rFonts w:ascii="Arial" w:hAnsi="Arial" w:cs="Arial" w:eastAsia="Arial" w:hint="default"/>
          <w:sz w:val="18"/>
          <w:szCs w:val="18"/>
        </w:rPr>
        <w:t>2009</w:t>
      </w:r>
      <w:r>
        <w:rPr>
          <w:rFonts w:ascii="宋体" w:hAnsi="宋体" w:cs="宋体" w:eastAsia="宋体" w:hint="default"/>
          <w:sz w:val="18"/>
          <w:szCs w:val="18"/>
        </w:rPr>
        <w:t>年固网初装费递延收入人民币</w:t>
      </w:r>
      <w:r>
        <w:rPr>
          <w:rFonts w:ascii="Arial" w:hAnsi="Arial" w:cs="Arial" w:eastAsia="Arial" w:hint="default"/>
          <w:sz w:val="18"/>
          <w:szCs w:val="18"/>
        </w:rPr>
        <w:t>4.9</w:t>
      </w:r>
      <w:r>
        <w:rPr>
          <w:rFonts w:ascii="宋体" w:hAnsi="宋体" w:cs="宋体" w:eastAsia="宋体" w:hint="default"/>
          <w:sz w:val="18"/>
          <w:szCs w:val="18"/>
        </w:rPr>
        <w:t>亿元，</w:t>
      </w:r>
      <w:r>
        <w:rPr>
          <w:rFonts w:ascii="Arial" w:hAnsi="Arial" w:cs="Arial" w:eastAsia="Arial" w:hint="default"/>
          <w:sz w:val="18"/>
          <w:szCs w:val="18"/>
        </w:rPr>
        <w:t>2008</w:t>
      </w:r>
      <w:r>
        <w:rPr>
          <w:rFonts w:ascii="宋体" w:hAnsi="宋体" w:cs="宋体" w:eastAsia="宋体" w:hint="default"/>
          <w:sz w:val="18"/>
          <w:szCs w:val="18"/>
        </w:rPr>
        <w:t>年固网初装费递延收入人民币</w:t>
      </w:r>
      <w:r>
        <w:rPr>
          <w:rFonts w:ascii="Arial" w:hAnsi="Arial" w:cs="Arial" w:eastAsia="Arial" w:hint="default"/>
          <w:sz w:val="18"/>
          <w:szCs w:val="18"/>
        </w:rPr>
        <w:t>8.9</w:t>
      </w:r>
      <w:r>
        <w:rPr>
          <w:rFonts w:ascii="宋体" w:hAnsi="宋体" w:cs="宋体" w:eastAsia="宋体" w:hint="default"/>
          <w:sz w:val="18"/>
          <w:szCs w:val="18"/>
        </w:rPr>
        <w:t>亿元；</w:t>
      </w:r>
    </w:p>
    <w:p>
      <w:pPr>
        <w:spacing w:before="51"/>
        <w:ind w:left="722" w:right="0" w:firstLine="0"/>
        <w:jc w:val="both"/>
        <w:rPr>
          <w:rFonts w:ascii="宋体" w:hAnsi="宋体" w:cs="宋体" w:eastAsia="宋体" w:hint="default"/>
          <w:sz w:val="18"/>
          <w:szCs w:val="18"/>
        </w:rPr>
      </w:pPr>
      <w:r>
        <w:rPr>
          <w:rFonts w:ascii="Arial" w:hAnsi="Arial" w:cs="Arial" w:eastAsia="Arial" w:hint="default"/>
          <w:sz w:val="18"/>
          <w:szCs w:val="18"/>
        </w:rPr>
        <w:t>(2)</w:t>
      </w:r>
      <w:r>
        <w:rPr>
          <w:rFonts w:ascii="Arial" w:hAnsi="Arial" w:cs="Arial" w:eastAsia="Arial" w:hint="default"/>
          <w:spacing w:val="-15"/>
          <w:sz w:val="18"/>
          <w:szCs w:val="18"/>
        </w:rPr>
        <w:t> </w:t>
      </w:r>
      <w:r>
        <w:rPr>
          <w:rFonts w:ascii="Arial" w:hAnsi="Arial" w:cs="Arial" w:eastAsia="Arial" w:hint="default"/>
          <w:sz w:val="18"/>
          <w:szCs w:val="18"/>
        </w:rPr>
        <w:t>2009</w:t>
      </w:r>
      <w:r>
        <w:rPr>
          <w:rFonts w:ascii="宋体" w:hAnsi="宋体" w:cs="宋体" w:eastAsia="宋体" w:hint="default"/>
          <w:sz w:val="18"/>
          <w:szCs w:val="18"/>
        </w:rPr>
        <w:t>年非货币性资产交换净收益人民币</w:t>
      </w:r>
      <w:r>
        <w:rPr>
          <w:rFonts w:ascii="Arial" w:hAnsi="Arial" w:cs="Arial" w:eastAsia="Arial" w:hint="default"/>
          <w:sz w:val="18"/>
          <w:szCs w:val="18"/>
        </w:rPr>
        <w:t>0.4</w:t>
      </w:r>
      <w:r>
        <w:rPr>
          <w:rFonts w:ascii="宋体" w:hAnsi="宋体" w:cs="宋体" w:eastAsia="宋体" w:hint="default"/>
          <w:sz w:val="18"/>
          <w:szCs w:val="18"/>
        </w:rPr>
        <w:t>亿元，</w:t>
      </w:r>
      <w:r>
        <w:rPr>
          <w:rFonts w:ascii="Arial" w:hAnsi="Arial" w:cs="Arial" w:eastAsia="Arial" w:hint="default"/>
          <w:sz w:val="18"/>
          <w:szCs w:val="18"/>
        </w:rPr>
        <w:t>2008</w:t>
      </w:r>
      <w:r>
        <w:rPr>
          <w:rFonts w:ascii="宋体" w:hAnsi="宋体" w:cs="宋体" w:eastAsia="宋体" w:hint="default"/>
          <w:sz w:val="18"/>
          <w:szCs w:val="18"/>
        </w:rPr>
        <w:t>年非货币性资产交换净收益人民币</w:t>
      </w:r>
      <w:r>
        <w:rPr>
          <w:rFonts w:ascii="Arial" w:hAnsi="Arial" w:cs="Arial" w:eastAsia="Arial" w:hint="default"/>
          <w:sz w:val="18"/>
          <w:szCs w:val="18"/>
        </w:rPr>
        <w:t>13.8</w:t>
      </w:r>
      <w:r>
        <w:rPr>
          <w:rFonts w:ascii="宋体" w:hAnsi="宋体" w:cs="宋体" w:eastAsia="宋体" w:hint="default"/>
          <w:sz w:val="18"/>
          <w:szCs w:val="18"/>
        </w:rPr>
        <w:t>亿元；</w:t>
      </w:r>
    </w:p>
    <w:p>
      <w:pPr>
        <w:spacing w:line="295" w:lineRule="auto" w:before="51"/>
        <w:ind w:left="974" w:right="158" w:hanging="252"/>
        <w:jc w:val="both"/>
        <w:rPr>
          <w:rFonts w:ascii="宋体" w:hAnsi="宋体" w:cs="宋体" w:eastAsia="宋体" w:hint="default"/>
          <w:sz w:val="18"/>
          <w:szCs w:val="18"/>
        </w:rPr>
      </w:pPr>
      <w:r>
        <w:rPr>
          <w:rFonts w:ascii="Arial" w:hAnsi="Arial" w:cs="Arial" w:eastAsia="Arial" w:hint="default"/>
          <w:spacing w:val="-1"/>
          <w:sz w:val="18"/>
          <w:szCs w:val="18"/>
        </w:rPr>
        <w:t>(3)</w:t>
      </w:r>
      <w:r>
        <w:rPr>
          <w:rFonts w:ascii="Arial" w:hAnsi="Arial" w:cs="Arial" w:eastAsia="Arial" w:hint="default"/>
          <w:sz w:val="18"/>
          <w:szCs w:val="18"/>
        </w:rPr>
        <w:t> </w:t>
      </w:r>
      <w:r>
        <w:rPr>
          <w:rFonts w:ascii="Arial" w:hAnsi="Arial" w:cs="Arial" w:eastAsia="Arial" w:hint="default"/>
          <w:spacing w:val="-1"/>
          <w:sz w:val="18"/>
          <w:szCs w:val="18"/>
        </w:rPr>
        <w:t>2009</w:t>
      </w:r>
      <w:r>
        <w:rPr>
          <w:rFonts w:ascii="宋体" w:hAnsi="宋体" w:cs="宋体" w:eastAsia="宋体" w:hint="default"/>
          <w:spacing w:val="-1"/>
          <w:sz w:val="18"/>
          <w:szCs w:val="18"/>
        </w:rPr>
        <w:t>年租赁中国南方</w:t>
      </w:r>
      <w:r>
        <w:rPr>
          <w:rFonts w:ascii="Arial" w:hAnsi="Arial" w:cs="Arial" w:eastAsia="Arial" w:hint="default"/>
          <w:spacing w:val="-1"/>
          <w:sz w:val="18"/>
          <w:szCs w:val="18"/>
        </w:rPr>
        <w:t>21</w:t>
      </w:r>
      <w:r>
        <w:rPr>
          <w:rFonts w:ascii="宋体" w:hAnsi="宋体" w:cs="宋体" w:eastAsia="宋体" w:hint="default"/>
          <w:spacing w:val="-1"/>
          <w:sz w:val="18"/>
          <w:szCs w:val="18"/>
        </w:rPr>
        <w:t>省网络资产产生的租赁费人民币</w:t>
      </w:r>
      <w:r>
        <w:rPr>
          <w:rFonts w:ascii="Arial" w:hAnsi="Arial" w:cs="Arial" w:eastAsia="Arial" w:hint="default"/>
          <w:spacing w:val="-1"/>
          <w:sz w:val="18"/>
          <w:szCs w:val="18"/>
        </w:rPr>
        <w:t>20.0</w:t>
      </w:r>
      <w:r>
        <w:rPr>
          <w:rFonts w:ascii="宋体" w:hAnsi="宋体" w:cs="宋体" w:eastAsia="宋体" w:hint="default"/>
          <w:spacing w:val="-1"/>
          <w:sz w:val="18"/>
          <w:szCs w:val="18"/>
        </w:rPr>
        <w:t>亿元（本公司于</w:t>
      </w:r>
      <w:r>
        <w:rPr>
          <w:rFonts w:ascii="Arial" w:hAnsi="Arial" w:cs="Arial" w:eastAsia="Arial" w:hint="default"/>
          <w:spacing w:val="-1"/>
          <w:sz w:val="18"/>
          <w:szCs w:val="18"/>
        </w:rPr>
        <w:t>2009</w:t>
      </w:r>
      <w:r>
        <w:rPr>
          <w:rFonts w:ascii="宋体" w:hAnsi="宋体" w:cs="宋体" w:eastAsia="宋体" w:hint="default"/>
          <w:spacing w:val="-1"/>
          <w:sz w:val="18"/>
          <w:szCs w:val="18"/>
        </w:rPr>
        <w:t>年</w:t>
      </w:r>
      <w:r>
        <w:rPr>
          <w:rFonts w:ascii="Arial" w:hAnsi="Arial" w:cs="Arial" w:eastAsia="Arial" w:hint="default"/>
          <w:spacing w:val="-1"/>
          <w:sz w:val="18"/>
          <w:szCs w:val="18"/>
        </w:rPr>
        <w:t>1</w:t>
      </w:r>
      <w:r>
        <w:rPr>
          <w:rFonts w:ascii="宋体" w:hAnsi="宋体" w:cs="宋体" w:eastAsia="宋体" w:hint="default"/>
          <w:spacing w:val="-1"/>
          <w:sz w:val="18"/>
          <w:szCs w:val="18"/>
        </w:rPr>
        <w:t>月完成收购中国南方</w:t>
      </w:r>
      <w:r>
        <w:rPr>
          <w:rFonts w:ascii="Arial" w:hAnsi="Arial" w:cs="Arial" w:eastAsia="Arial" w:hint="default"/>
          <w:spacing w:val="-1"/>
          <w:sz w:val="18"/>
          <w:szCs w:val="18"/>
        </w:rPr>
        <w:t>21</w:t>
      </w:r>
      <w:r>
        <w:rPr>
          <w:rFonts w:ascii="Arial" w:hAnsi="Arial" w:cs="Arial" w:eastAsia="Arial" w:hint="default"/>
          <w:spacing w:val="-48"/>
          <w:sz w:val="18"/>
          <w:szCs w:val="18"/>
        </w:rPr>
        <w:t> </w:t>
      </w:r>
      <w:r>
        <w:rPr>
          <w:rFonts w:ascii="宋体" w:hAnsi="宋体" w:cs="宋体" w:eastAsia="宋体" w:hint="default"/>
          <w:spacing w:val="-2"/>
          <w:sz w:val="18"/>
          <w:szCs w:val="18"/>
        </w:rPr>
        <w:t>省固网业务、北方一级干线资产和三家子公司。收购后中国南方</w:t>
      </w:r>
      <w:r>
        <w:rPr>
          <w:rFonts w:ascii="Arial" w:hAnsi="Arial" w:cs="Arial" w:eastAsia="Arial" w:hint="default"/>
          <w:spacing w:val="-2"/>
          <w:sz w:val="18"/>
          <w:szCs w:val="18"/>
        </w:rPr>
        <w:t>21</w:t>
      </w:r>
      <w:r>
        <w:rPr>
          <w:rFonts w:ascii="宋体" w:hAnsi="宋体" w:cs="宋体" w:eastAsia="宋体" w:hint="default"/>
          <w:spacing w:val="-2"/>
          <w:sz w:val="18"/>
          <w:szCs w:val="18"/>
        </w:rPr>
        <w:t>省网络资产保留在联通新时空，自</w:t>
      </w:r>
      <w:r>
        <w:rPr>
          <w:rFonts w:ascii="Arial" w:hAnsi="Arial" w:cs="Arial" w:eastAsia="Arial" w:hint="default"/>
          <w:spacing w:val="-2"/>
          <w:sz w:val="18"/>
          <w:szCs w:val="18"/>
        </w:rPr>
        <w:t>2009</w:t>
      </w:r>
      <w:r>
        <w:rPr>
          <w:rFonts w:ascii="宋体" w:hAnsi="宋体" w:cs="宋体" w:eastAsia="宋体" w:hint="default"/>
          <w:spacing w:val="-2"/>
          <w:sz w:val="18"/>
          <w:szCs w:val="18"/>
        </w:rPr>
        <w:t>年</w:t>
      </w:r>
      <w:r>
        <w:rPr>
          <w:rFonts w:ascii="宋体" w:hAnsi="宋体" w:cs="宋体" w:eastAsia="宋体" w:hint="default"/>
          <w:sz w:val="18"/>
          <w:szCs w:val="18"/>
        </w:rPr>
        <w:t> 起经营性租赁经营。由于去年数据包含中国南方固网业务所有收入及运营成本，但并不含网络资产之折旧及 摊销，以及因建造该网络相关的财务费用，同时也无租赁费，故将本年南方</w:t>
      </w:r>
      <w:r>
        <w:rPr>
          <w:rFonts w:ascii="Arial" w:hAnsi="Arial" w:cs="Arial" w:eastAsia="Arial" w:hint="default"/>
          <w:sz w:val="18"/>
          <w:szCs w:val="18"/>
        </w:rPr>
        <w:t>21</w:t>
      </w:r>
      <w:r>
        <w:rPr>
          <w:rFonts w:ascii="宋体" w:hAnsi="宋体" w:cs="宋体" w:eastAsia="宋体" w:hint="default"/>
          <w:sz w:val="18"/>
          <w:szCs w:val="18"/>
        </w:rPr>
        <w:t>省网络租赁费剔除）；</w:t>
      </w:r>
    </w:p>
    <w:p>
      <w:pPr>
        <w:spacing w:before="5"/>
        <w:ind w:left="722" w:right="0" w:firstLine="0"/>
        <w:jc w:val="both"/>
        <w:rPr>
          <w:rFonts w:ascii="宋体" w:hAnsi="宋体" w:cs="宋体" w:eastAsia="宋体" w:hint="default"/>
          <w:sz w:val="18"/>
          <w:szCs w:val="18"/>
        </w:rPr>
      </w:pPr>
      <w:r>
        <w:rPr>
          <w:rFonts w:ascii="Arial" w:hAnsi="Arial" w:cs="Arial" w:eastAsia="Arial" w:hint="default"/>
          <w:sz w:val="18"/>
          <w:szCs w:val="18"/>
        </w:rPr>
        <w:t>(4)</w:t>
      </w:r>
      <w:r>
        <w:rPr>
          <w:rFonts w:ascii="Arial" w:hAnsi="Arial" w:cs="Arial" w:eastAsia="Arial" w:hint="default"/>
          <w:spacing w:val="-10"/>
          <w:sz w:val="18"/>
          <w:szCs w:val="18"/>
        </w:rPr>
        <w:t> </w:t>
      </w:r>
      <w:r>
        <w:rPr>
          <w:rFonts w:ascii="Arial" w:hAnsi="Arial" w:cs="Arial" w:eastAsia="Arial" w:hint="default"/>
          <w:sz w:val="18"/>
          <w:szCs w:val="18"/>
        </w:rPr>
        <w:t>2009</w:t>
      </w:r>
      <w:r>
        <w:rPr>
          <w:rFonts w:ascii="宋体" w:hAnsi="宋体" w:cs="宋体" w:eastAsia="宋体" w:hint="default"/>
          <w:sz w:val="18"/>
          <w:szCs w:val="18"/>
        </w:rPr>
        <w:t>年衍生金融工具公允值变动之已实现盈利人民币</w:t>
      </w:r>
      <w:r>
        <w:rPr>
          <w:rFonts w:ascii="Arial" w:hAnsi="Arial" w:cs="Arial" w:eastAsia="Arial" w:hint="default"/>
          <w:sz w:val="18"/>
          <w:szCs w:val="18"/>
        </w:rPr>
        <w:t>12.4</w:t>
      </w:r>
      <w:r>
        <w:rPr>
          <w:rFonts w:ascii="宋体" w:hAnsi="宋体" w:cs="宋体" w:eastAsia="宋体" w:hint="default"/>
          <w:sz w:val="18"/>
          <w:szCs w:val="18"/>
        </w:rPr>
        <w:t>亿元；</w:t>
      </w:r>
    </w:p>
    <w:p>
      <w:pPr>
        <w:spacing w:before="51"/>
        <w:ind w:left="722" w:right="0" w:firstLine="0"/>
        <w:jc w:val="both"/>
        <w:rPr>
          <w:rFonts w:ascii="宋体" w:hAnsi="宋体" w:cs="宋体" w:eastAsia="宋体" w:hint="default"/>
          <w:sz w:val="18"/>
          <w:szCs w:val="18"/>
        </w:rPr>
      </w:pPr>
      <w:r>
        <w:rPr>
          <w:rFonts w:ascii="Arial" w:hAnsi="Arial" w:cs="Arial" w:eastAsia="Arial" w:hint="default"/>
          <w:sz w:val="18"/>
          <w:szCs w:val="18"/>
        </w:rPr>
        <w:t>(5)</w:t>
      </w:r>
      <w:r>
        <w:rPr>
          <w:rFonts w:ascii="Arial" w:hAnsi="Arial" w:cs="Arial" w:eastAsia="Arial" w:hint="default"/>
          <w:spacing w:val="-11"/>
          <w:sz w:val="18"/>
          <w:szCs w:val="18"/>
        </w:rPr>
        <w:t> </w:t>
      </w:r>
      <w:r>
        <w:rPr>
          <w:rFonts w:ascii="Arial" w:hAnsi="Arial" w:cs="Arial" w:eastAsia="Arial" w:hint="default"/>
          <w:sz w:val="18"/>
          <w:szCs w:val="18"/>
        </w:rPr>
        <w:t>2008</w:t>
      </w:r>
      <w:r>
        <w:rPr>
          <w:rFonts w:ascii="宋体" w:hAnsi="宋体" w:cs="宋体" w:eastAsia="宋体" w:hint="default"/>
          <w:sz w:val="18"/>
          <w:szCs w:val="18"/>
        </w:rPr>
        <w:t>年无线市话业务相关资产减值人民币</w:t>
      </w:r>
      <w:r>
        <w:rPr>
          <w:rFonts w:ascii="Arial" w:hAnsi="Arial" w:cs="Arial" w:eastAsia="Arial" w:hint="default"/>
          <w:sz w:val="18"/>
          <w:szCs w:val="18"/>
        </w:rPr>
        <w:t>122.5</w:t>
      </w:r>
      <w:r>
        <w:rPr>
          <w:rFonts w:ascii="宋体" w:hAnsi="宋体" w:cs="宋体" w:eastAsia="宋体" w:hint="default"/>
          <w:sz w:val="18"/>
          <w:szCs w:val="18"/>
        </w:rPr>
        <w:t>亿元。</w:t>
      </w:r>
    </w:p>
    <w:p>
      <w:pPr>
        <w:spacing w:line="240" w:lineRule="auto" w:before="11"/>
        <w:rPr>
          <w:rFonts w:ascii="宋体" w:hAnsi="宋体" w:cs="宋体" w:eastAsia="宋体" w:hint="default"/>
          <w:sz w:val="26"/>
          <w:szCs w:val="26"/>
        </w:rPr>
      </w:pPr>
    </w:p>
    <w:p>
      <w:pPr>
        <w:spacing w:line="297" w:lineRule="auto" w:before="0"/>
        <w:ind w:left="685" w:right="100" w:hanging="521"/>
        <w:jc w:val="both"/>
        <w:rPr>
          <w:rFonts w:ascii="宋体" w:hAnsi="宋体" w:cs="宋体" w:eastAsia="宋体" w:hint="default"/>
          <w:sz w:val="18"/>
          <w:szCs w:val="18"/>
        </w:rPr>
      </w:pPr>
      <w:r>
        <w:rPr>
          <w:rFonts w:ascii="宋体" w:hAnsi="宋体" w:cs="宋体" w:eastAsia="宋体" w:hint="default"/>
          <w:sz w:val="18"/>
          <w:szCs w:val="18"/>
        </w:rPr>
        <w:t>附注</w:t>
      </w:r>
      <w:r>
        <w:rPr>
          <w:rFonts w:ascii="Arial" w:hAnsi="Arial" w:cs="Arial" w:eastAsia="Arial" w:hint="default"/>
          <w:sz w:val="18"/>
          <w:szCs w:val="18"/>
        </w:rPr>
        <w:t>4:</w:t>
      </w:r>
      <w:r>
        <w:rPr>
          <w:rFonts w:ascii="Arial" w:hAnsi="Arial" w:cs="Arial" w:eastAsia="Arial" w:hint="default"/>
          <w:spacing w:val="-7"/>
          <w:sz w:val="18"/>
          <w:szCs w:val="18"/>
        </w:rPr>
        <w:t> </w:t>
      </w:r>
      <w:r>
        <w:rPr>
          <w:rFonts w:ascii="Arial" w:hAnsi="Arial" w:cs="Arial" w:eastAsia="Arial" w:hint="default"/>
          <w:sz w:val="18"/>
          <w:szCs w:val="18"/>
        </w:rPr>
        <w:t>EBITDA</w:t>
      </w:r>
      <w:r>
        <w:rPr>
          <w:rFonts w:ascii="宋体" w:hAnsi="宋体" w:cs="宋体" w:eastAsia="宋体" w:hint="default"/>
          <w:sz w:val="18"/>
          <w:szCs w:val="18"/>
        </w:rPr>
        <w:t>反映了加回（减去）财务费用（收入）、所得税、营业成本及管理费用中的折旧及摊销以及减去投资收</w:t>
      </w:r>
      <w:r>
        <w:rPr>
          <w:rFonts w:ascii="宋体" w:hAnsi="宋体" w:cs="宋体" w:eastAsia="宋体" w:hint="default"/>
          <w:w w:val="100"/>
          <w:sz w:val="18"/>
          <w:szCs w:val="18"/>
        </w:rPr>
        <w:t> </w:t>
      </w:r>
      <w:r>
        <w:rPr>
          <w:rFonts w:ascii="宋体" w:hAnsi="宋体" w:cs="宋体" w:eastAsia="宋体" w:hint="default"/>
          <w:sz w:val="18"/>
          <w:szCs w:val="18"/>
        </w:rPr>
        <w:t>益的营业利润。由于电信业是资本密集型产业，资本开支和财务费用可能对具有类似经营成果的公司盈利产生</w:t>
      </w:r>
      <w:r>
        <w:rPr>
          <w:rFonts w:ascii="宋体" w:hAnsi="宋体" w:cs="宋体" w:eastAsia="宋体" w:hint="default"/>
          <w:w w:val="100"/>
          <w:sz w:val="18"/>
          <w:szCs w:val="18"/>
        </w:rPr>
        <w:t> </w:t>
      </w:r>
      <w:r>
        <w:rPr>
          <w:rFonts w:ascii="宋体" w:hAnsi="宋体" w:cs="宋体" w:eastAsia="宋体" w:hint="default"/>
          <w:sz w:val="18"/>
          <w:szCs w:val="18"/>
        </w:rPr>
        <w:t>重大影响。因此，本公司认为，对于像本公司这样的电信公司而言，</w:t>
      </w:r>
      <w:r>
        <w:rPr>
          <w:rFonts w:ascii="Arial" w:hAnsi="Arial" w:cs="Arial" w:eastAsia="Arial" w:hint="default"/>
          <w:sz w:val="18"/>
          <w:szCs w:val="18"/>
        </w:rPr>
        <w:t>EBITDA</w:t>
      </w:r>
      <w:r>
        <w:rPr>
          <w:rFonts w:ascii="宋体" w:hAnsi="宋体" w:cs="宋体" w:eastAsia="宋体" w:hint="default"/>
          <w:sz w:val="18"/>
          <w:szCs w:val="18"/>
        </w:rPr>
        <w:t>有助于对本集团经营成果的分析。</w:t>
      </w:r>
    </w:p>
    <w:p>
      <w:pPr>
        <w:spacing w:line="240" w:lineRule="auto" w:before="2"/>
        <w:rPr>
          <w:rFonts w:ascii="宋体" w:hAnsi="宋体" w:cs="宋体" w:eastAsia="宋体" w:hint="default"/>
          <w:sz w:val="23"/>
          <w:szCs w:val="23"/>
        </w:rPr>
      </w:pPr>
    </w:p>
    <w:p>
      <w:pPr>
        <w:spacing w:line="290" w:lineRule="auto" w:before="0"/>
        <w:ind w:left="684" w:right="156" w:firstLine="1"/>
        <w:jc w:val="both"/>
        <w:rPr>
          <w:rFonts w:ascii="宋体" w:hAnsi="宋体" w:cs="宋体" w:eastAsia="宋体" w:hint="default"/>
          <w:sz w:val="18"/>
          <w:szCs w:val="18"/>
        </w:rPr>
      </w:pPr>
      <w:r>
        <w:rPr>
          <w:rFonts w:ascii="宋体" w:hAnsi="宋体" w:cs="宋体" w:eastAsia="宋体" w:hint="default"/>
          <w:sz w:val="18"/>
          <w:szCs w:val="18"/>
        </w:rPr>
        <w:t>调整后</w:t>
      </w:r>
      <w:r>
        <w:rPr>
          <w:rFonts w:ascii="Arial" w:hAnsi="Arial" w:cs="Arial" w:eastAsia="Arial" w:hint="default"/>
          <w:sz w:val="18"/>
          <w:szCs w:val="18"/>
        </w:rPr>
        <w:t>EBITDA</w:t>
      </w:r>
      <w:r>
        <w:rPr>
          <w:rFonts w:ascii="宋体" w:hAnsi="宋体" w:cs="宋体" w:eastAsia="宋体" w:hint="default"/>
          <w:sz w:val="18"/>
          <w:szCs w:val="18"/>
        </w:rPr>
        <w:t>反映了剔除固话初装费递延收入、南方</w:t>
      </w:r>
      <w:r>
        <w:rPr>
          <w:rFonts w:ascii="Arial" w:hAnsi="Arial" w:cs="Arial" w:eastAsia="Arial" w:hint="default"/>
          <w:sz w:val="18"/>
          <w:szCs w:val="18"/>
        </w:rPr>
        <w:t>21</w:t>
      </w:r>
      <w:r>
        <w:rPr>
          <w:rFonts w:ascii="宋体" w:hAnsi="宋体" w:cs="宋体" w:eastAsia="宋体" w:hint="default"/>
          <w:sz w:val="18"/>
          <w:szCs w:val="18"/>
        </w:rPr>
        <w:t>省网络租赁费、衍生金融工具公允值变动损益、</w:t>
      </w:r>
      <w:r>
        <w:rPr>
          <w:rFonts w:ascii="Arial" w:hAnsi="Arial" w:cs="Arial" w:eastAsia="Arial" w:hint="default"/>
          <w:sz w:val="18"/>
          <w:szCs w:val="18"/>
        </w:rPr>
        <w:t>2008</w:t>
      </w:r>
      <w:r>
        <w:rPr>
          <w:rFonts w:ascii="Arial" w:hAnsi="Arial" w:cs="Arial" w:eastAsia="Arial" w:hint="default"/>
          <w:spacing w:val="49"/>
          <w:sz w:val="18"/>
          <w:szCs w:val="18"/>
        </w:rPr>
        <w:t> </w:t>
      </w:r>
      <w:r>
        <w:rPr>
          <w:rFonts w:ascii="宋体" w:hAnsi="宋体" w:cs="宋体" w:eastAsia="宋体" w:hint="default"/>
          <w:sz w:val="18"/>
          <w:szCs w:val="18"/>
        </w:rPr>
        <w:t>年无线市话业务相关资产减值等不可比影响因素后实现的</w:t>
      </w:r>
      <w:r>
        <w:rPr>
          <w:rFonts w:ascii="Arial" w:hAnsi="Arial" w:cs="Arial" w:eastAsia="Arial" w:hint="default"/>
          <w:sz w:val="18"/>
          <w:szCs w:val="18"/>
        </w:rPr>
        <w:t>EBITDA</w:t>
      </w:r>
      <w:r>
        <w:rPr>
          <w:rFonts w:ascii="宋体" w:hAnsi="宋体" w:cs="宋体" w:eastAsia="宋体" w:hint="default"/>
          <w:sz w:val="18"/>
          <w:szCs w:val="18"/>
        </w:rPr>
        <w:t>。由于从现金流量及持续经营角度而言，上述</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不可比影响因素幷不被视为本公司的营运表现，因此，本公司相信剔除上述不可比影响因素的调整后</w:t>
      </w:r>
      <w:r>
        <w:rPr>
          <w:rFonts w:ascii="Arial" w:hAnsi="Arial" w:cs="Arial" w:eastAsia="Arial" w:hint="default"/>
          <w:sz w:val="18"/>
          <w:szCs w:val="18"/>
        </w:rPr>
        <w:t>EBITDA</w:t>
      </w:r>
      <w:r>
        <w:rPr>
          <w:rFonts w:ascii="宋体" w:hAnsi="宋体" w:cs="宋体" w:eastAsia="宋体" w:hint="default"/>
          <w:sz w:val="18"/>
          <w:szCs w:val="18"/>
        </w:rPr>
        <w:t>不</w:t>
      </w:r>
      <w:r>
        <w:rPr>
          <w:rFonts w:ascii="宋体" w:hAnsi="宋体" w:cs="宋体" w:eastAsia="宋体" w:hint="default"/>
          <w:spacing w:val="-83"/>
          <w:sz w:val="18"/>
          <w:szCs w:val="18"/>
        </w:rPr>
        <w:t> </w:t>
      </w:r>
      <w:r>
        <w:rPr>
          <w:rFonts w:ascii="宋体" w:hAnsi="宋体" w:cs="宋体" w:eastAsia="宋体" w:hint="default"/>
          <w:sz w:val="18"/>
          <w:szCs w:val="18"/>
        </w:rPr>
        <w:t>仅可向管理层及投资者提供更有意义的补充信息，也便于他们评价公司的营运表现及流动性。</w:t>
      </w:r>
    </w:p>
    <w:p>
      <w:pPr>
        <w:spacing w:line="240" w:lineRule="auto" w:before="13"/>
        <w:rPr>
          <w:rFonts w:ascii="宋体" w:hAnsi="宋体" w:cs="宋体" w:eastAsia="宋体" w:hint="default"/>
          <w:sz w:val="24"/>
          <w:szCs w:val="24"/>
        </w:rPr>
      </w:pPr>
    </w:p>
    <w:p>
      <w:pPr>
        <w:spacing w:line="290" w:lineRule="auto" w:before="0"/>
        <w:ind w:left="684" w:right="157" w:firstLine="1"/>
        <w:jc w:val="both"/>
        <w:rPr>
          <w:rFonts w:ascii="宋体" w:hAnsi="宋体" w:cs="宋体" w:eastAsia="宋体" w:hint="default"/>
          <w:sz w:val="18"/>
          <w:szCs w:val="18"/>
        </w:rPr>
      </w:pPr>
      <w:r>
        <w:rPr>
          <w:rFonts w:ascii="宋体" w:hAnsi="宋体" w:cs="宋体" w:eastAsia="宋体" w:hint="default"/>
          <w:sz w:val="18"/>
          <w:szCs w:val="18"/>
        </w:rPr>
        <w:t>虽然</w:t>
      </w:r>
      <w:r>
        <w:rPr>
          <w:rFonts w:ascii="Arial" w:hAnsi="Arial" w:cs="Arial" w:eastAsia="Arial" w:hint="default"/>
          <w:sz w:val="18"/>
          <w:szCs w:val="18"/>
        </w:rPr>
        <w:t>EBITDA</w:t>
      </w:r>
      <w:r>
        <w:rPr>
          <w:rFonts w:ascii="宋体" w:hAnsi="宋体" w:cs="宋体" w:eastAsia="宋体" w:hint="default"/>
          <w:sz w:val="18"/>
          <w:szCs w:val="18"/>
        </w:rPr>
        <w:t>在世界各地的电信业被广泛地用作反映经营业绩、财务能力和流动性的指标，但是由于在公认会计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准则下并不存在</w:t>
      </w:r>
      <w:r>
        <w:rPr>
          <w:rFonts w:ascii="Arial" w:hAnsi="Arial" w:cs="Arial" w:eastAsia="Arial" w:hint="default"/>
          <w:sz w:val="18"/>
          <w:szCs w:val="18"/>
        </w:rPr>
        <w:t>EBITDA</w:t>
      </w:r>
      <w:r>
        <w:rPr>
          <w:rFonts w:ascii="宋体" w:hAnsi="宋体" w:cs="宋体" w:eastAsia="宋体" w:hint="default"/>
          <w:sz w:val="18"/>
          <w:szCs w:val="18"/>
        </w:rPr>
        <w:t>的标准定义，因此在考察公司的财务表现和流动性时，应与在公认会计准则下的类似指</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标一并考虑，且不应被视为可替代或优于在公认会计准则下的财务表现指标。此外，本集团的</w:t>
      </w:r>
      <w:r>
        <w:rPr>
          <w:rFonts w:ascii="Arial" w:hAnsi="Arial" w:cs="Arial" w:eastAsia="Arial" w:hint="default"/>
          <w:sz w:val="18"/>
          <w:szCs w:val="18"/>
        </w:rPr>
        <w:t>EBITDA</w:t>
      </w:r>
      <w:r>
        <w:rPr>
          <w:rFonts w:ascii="宋体" w:hAnsi="宋体" w:cs="宋体" w:eastAsia="宋体" w:hint="default"/>
          <w:sz w:val="18"/>
          <w:szCs w:val="18"/>
        </w:rPr>
        <w:t>也不一定</w:t>
      </w:r>
      <w:r>
        <w:rPr>
          <w:rFonts w:ascii="宋体" w:hAnsi="宋体" w:cs="宋体" w:eastAsia="宋体" w:hint="default"/>
          <w:spacing w:val="-86"/>
          <w:sz w:val="18"/>
          <w:szCs w:val="18"/>
        </w:rPr>
        <w:t> </w:t>
      </w:r>
      <w:r>
        <w:rPr>
          <w:rFonts w:ascii="宋体" w:hAnsi="宋体" w:cs="宋体" w:eastAsia="宋体" w:hint="default"/>
          <w:sz w:val="18"/>
          <w:szCs w:val="18"/>
        </w:rPr>
        <w:t>与其它公司的类似指标具有可比性。</w:t>
      </w:r>
    </w:p>
    <w:p>
      <w:pPr>
        <w:spacing w:line="240" w:lineRule="auto" w:before="13"/>
        <w:rPr>
          <w:rFonts w:ascii="宋体" w:hAnsi="宋体" w:cs="宋体" w:eastAsia="宋体" w:hint="default"/>
          <w:sz w:val="24"/>
          <w:szCs w:val="24"/>
        </w:rPr>
      </w:pPr>
    </w:p>
    <w:p>
      <w:pPr>
        <w:spacing w:before="0"/>
        <w:ind w:left="164" w:right="175" w:firstLine="0"/>
        <w:jc w:val="left"/>
        <w:rPr>
          <w:rFonts w:ascii="宋体" w:hAnsi="宋体" w:cs="宋体" w:eastAsia="宋体" w:hint="default"/>
          <w:sz w:val="18"/>
          <w:szCs w:val="18"/>
        </w:rPr>
      </w:pPr>
      <w:r>
        <w:rPr>
          <w:rFonts w:ascii="宋体" w:hAnsi="宋体" w:cs="宋体" w:eastAsia="宋体" w:hint="default"/>
          <w:sz w:val="18"/>
          <w:szCs w:val="18"/>
        </w:rPr>
        <w:t>附注</w:t>
      </w:r>
      <w:r>
        <w:rPr>
          <w:rFonts w:ascii="Arial" w:hAnsi="Arial" w:cs="Arial" w:eastAsia="Arial" w:hint="default"/>
          <w:sz w:val="18"/>
          <w:szCs w:val="18"/>
        </w:rPr>
        <w:t>5:</w:t>
      </w:r>
      <w:r>
        <w:rPr>
          <w:rFonts w:ascii="Arial" w:hAnsi="Arial" w:cs="Arial" w:eastAsia="Arial" w:hint="default"/>
          <w:spacing w:val="25"/>
          <w:sz w:val="18"/>
          <w:szCs w:val="18"/>
        </w:rPr>
        <w:t> </w:t>
      </w:r>
      <w:r>
        <w:rPr>
          <w:rFonts w:ascii="宋体" w:hAnsi="宋体" w:cs="宋体" w:eastAsia="宋体" w:hint="default"/>
          <w:sz w:val="18"/>
          <w:szCs w:val="18"/>
        </w:rPr>
        <w:t>资产负债率即总负债除以总资产。</w:t>
      </w:r>
    </w:p>
    <w:p>
      <w:pPr>
        <w:spacing w:line="240" w:lineRule="auto" w:before="10"/>
        <w:rPr>
          <w:rFonts w:ascii="宋体" w:hAnsi="宋体" w:cs="宋体" w:eastAsia="宋体" w:hint="default"/>
          <w:sz w:val="19"/>
          <w:szCs w:val="19"/>
        </w:rPr>
      </w:pPr>
    </w:p>
    <w:p>
      <w:pPr>
        <w:pStyle w:val="BodyText"/>
        <w:spacing w:line="240" w:lineRule="auto"/>
        <w:ind w:left="164" w:right="175"/>
        <w:jc w:val="left"/>
      </w:pPr>
      <w:r>
        <w:rPr/>
        <w:t>公司是否披露过盈利预测或经营计划：否</w:t>
      </w:r>
    </w:p>
    <w:p>
      <w:pPr>
        <w:spacing w:after="0" w:line="240" w:lineRule="auto"/>
        <w:jc w:val="left"/>
        <w:sectPr>
          <w:pgSz w:w="11910" w:h="16840"/>
          <w:pgMar w:header="587" w:footer="774" w:top="960" w:bottom="960" w:left="1180" w:right="1120"/>
        </w:sectPr>
      </w:pPr>
    </w:p>
    <w:p>
      <w:pPr>
        <w:spacing w:line="240" w:lineRule="auto" w:before="6"/>
        <w:rPr>
          <w:rFonts w:ascii="宋体" w:hAnsi="宋体" w:cs="宋体" w:eastAsia="宋体" w:hint="default"/>
          <w:sz w:val="12"/>
          <w:szCs w:val="12"/>
        </w:rPr>
      </w:pPr>
    </w:p>
    <w:p>
      <w:pPr>
        <w:pStyle w:val="BodyText"/>
        <w:spacing w:line="240" w:lineRule="auto" w:before="31"/>
        <w:ind w:left="105" w:right="3260"/>
        <w:jc w:val="left"/>
      </w:pPr>
      <w:r>
        <w:rPr/>
        <w:t>（二）公司主营业务及其经营状况</w:t>
      </w:r>
    </w:p>
    <w:p>
      <w:pPr>
        <w:spacing w:line="240" w:lineRule="auto" w:before="9"/>
        <w:rPr>
          <w:rFonts w:ascii="宋体" w:hAnsi="宋体" w:cs="宋体" w:eastAsia="宋体" w:hint="default"/>
          <w:sz w:val="16"/>
          <w:szCs w:val="16"/>
        </w:rPr>
      </w:pPr>
    </w:p>
    <w:p>
      <w:pPr>
        <w:pStyle w:val="BodyText"/>
        <w:spacing w:line="297" w:lineRule="exact" w:before="31"/>
        <w:ind w:left="329" w:right="3260"/>
        <w:jc w:val="left"/>
      </w:pPr>
      <w:r>
        <w:rPr>
          <w:rFonts w:ascii="Arial" w:hAnsi="Arial" w:cs="Arial" w:eastAsia="Arial" w:hint="default"/>
        </w:rPr>
        <w:t>(1) </w:t>
      </w:r>
      <w:r>
        <w:rPr>
          <w:rFonts w:ascii="Arial" w:hAnsi="Arial" w:cs="Arial" w:eastAsia="Arial" w:hint="default"/>
          <w:spacing w:val="27"/>
        </w:rPr>
        <w:t> </w:t>
      </w:r>
      <w:r>
        <w:rPr/>
        <w:t>主营业务分行业、产品情况</w:t>
      </w:r>
    </w:p>
    <w:p>
      <w:pPr>
        <w:spacing w:line="269" w:lineRule="exact" w:before="0"/>
        <w:ind w:left="0" w:right="154" w:firstLine="0"/>
        <w:jc w:val="right"/>
        <w:rPr>
          <w:rFonts w:ascii="宋体" w:hAnsi="宋体" w:cs="宋体" w:eastAsia="宋体" w:hint="default"/>
          <w:sz w:val="20"/>
          <w:szCs w:val="20"/>
        </w:rPr>
      </w:pPr>
      <w:r>
        <w:rPr>
          <w:rFonts w:ascii="宋体" w:hAnsi="宋体" w:cs="宋体" w:eastAsia="宋体" w:hint="default"/>
          <w:sz w:val="20"/>
          <w:szCs w:val="20"/>
        </w:rPr>
        <w:t>单位</w:t>
      </w:r>
      <w:r>
        <w:rPr>
          <w:rFonts w:ascii="Arial" w:hAnsi="Arial" w:cs="Arial" w:eastAsia="Arial" w:hint="default"/>
          <w:sz w:val="20"/>
          <w:szCs w:val="20"/>
        </w:rPr>
        <w:t>:</w:t>
      </w:r>
      <w:r>
        <w:rPr>
          <w:rFonts w:ascii="宋体" w:hAnsi="宋体" w:cs="宋体" w:eastAsia="宋体" w:hint="default"/>
          <w:sz w:val="20"/>
          <w:szCs w:val="20"/>
        </w:rPr>
        <w:t>百万元 币种</w:t>
      </w:r>
      <w:r>
        <w:rPr>
          <w:rFonts w:ascii="Arial" w:hAnsi="Arial" w:cs="Arial" w:eastAsia="Arial" w:hint="default"/>
          <w:sz w:val="20"/>
          <w:szCs w:val="20"/>
        </w:rPr>
        <w:t>:</w:t>
      </w:r>
      <w:r>
        <w:rPr>
          <w:rFonts w:ascii="宋体" w:hAnsi="宋体" w:cs="宋体" w:eastAsia="宋体" w:hint="default"/>
          <w:sz w:val="20"/>
          <w:szCs w:val="20"/>
        </w:rPr>
        <w:t>人民币</w:t>
      </w:r>
    </w:p>
    <w:tbl>
      <w:tblPr>
        <w:tblW w:w="0" w:type="auto"/>
        <w:jc w:val="left"/>
        <w:tblInd w:w="672" w:type="dxa"/>
        <w:tblLayout w:type="fixed"/>
        <w:tblCellMar>
          <w:top w:w="0" w:type="dxa"/>
          <w:left w:w="0" w:type="dxa"/>
          <w:bottom w:w="0" w:type="dxa"/>
          <w:right w:w="0" w:type="dxa"/>
        </w:tblCellMar>
        <w:tblLook w:val="01E0"/>
      </w:tblPr>
      <w:tblGrid>
        <w:gridCol w:w="1512"/>
        <w:gridCol w:w="953"/>
        <w:gridCol w:w="978"/>
        <w:gridCol w:w="800"/>
        <w:gridCol w:w="1416"/>
        <w:gridCol w:w="1385"/>
        <w:gridCol w:w="1816"/>
      </w:tblGrid>
      <w:tr>
        <w:trPr>
          <w:trHeight w:val="534" w:hRule="exact"/>
        </w:trPr>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43" w:right="0"/>
              <w:jc w:val="left"/>
              <w:rPr>
                <w:rFonts w:ascii="宋体" w:hAnsi="宋体" w:cs="宋体" w:eastAsia="宋体" w:hint="default"/>
                <w:sz w:val="20"/>
                <w:szCs w:val="20"/>
              </w:rPr>
            </w:pPr>
            <w:r>
              <w:rPr>
                <w:rFonts w:ascii="宋体" w:hAnsi="宋体" w:cs="宋体" w:eastAsia="宋体" w:hint="default"/>
                <w:sz w:val="20"/>
                <w:szCs w:val="20"/>
              </w:rPr>
              <w:t>分行业</w:t>
            </w:r>
          </w:p>
          <w:p>
            <w:pPr>
              <w:pStyle w:val="TableParagraph"/>
              <w:spacing w:line="260" w:lineRule="exact"/>
              <w:ind w:left="43" w:right="0"/>
              <w:jc w:val="left"/>
              <w:rPr>
                <w:rFonts w:ascii="宋体" w:hAnsi="宋体" w:cs="宋体" w:eastAsia="宋体" w:hint="default"/>
                <w:sz w:val="20"/>
                <w:szCs w:val="20"/>
              </w:rPr>
            </w:pPr>
            <w:r>
              <w:rPr>
                <w:rFonts w:ascii="宋体" w:hAnsi="宋体" w:cs="宋体" w:eastAsia="宋体" w:hint="default"/>
                <w:sz w:val="20"/>
                <w:szCs w:val="20"/>
              </w:rPr>
              <w:t>或分产品</w:t>
            </w:r>
          </w:p>
        </w:tc>
        <w:tc>
          <w:tcPr>
            <w:tcW w:w="9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87"/>
              <w:jc w:val="right"/>
              <w:rPr>
                <w:rFonts w:ascii="宋体" w:hAnsi="宋体" w:cs="宋体" w:eastAsia="宋体" w:hint="default"/>
                <w:sz w:val="20"/>
                <w:szCs w:val="20"/>
              </w:rPr>
            </w:pPr>
            <w:r>
              <w:rPr>
                <w:rFonts w:ascii="宋体" w:hAnsi="宋体" w:cs="宋体" w:eastAsia="宋体" w:hint="default"/>
                <w:sz w:val="20"/>
                <w:szCs w:val="20"/>
              </w:rPr>
              <w:t>营业收入</w:t>
            </w:r>
          </w:p>
        </w:tc>
        <w:tc>
          <w:tcPr>
            <w:tcW w:w="9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79"/>
              <w:jc w:val="right"/>
              <w:rPr>
                <w:rFonts w:ascii="宋体" w:hAnsi="宋体" w:cs="宋体" w:eastAsia="宋体" w:hint="default"/>
                <w:sz w:val="20"/>
                <w:szCs w:val="20"/>
              </w:rPr>
            </w:pPr>
            <w:r>
              <w:rPr>
                <w:rFonts w:ascii="宋体" w:hAnsi="宋体" w:cs="宋体" w:eastAsia="宋体" w:hint="default"/>
                <w:sz w:val="20"/>
                <w:szCs w:val="20"/>
              </w:rPr>
              <w:t>营业成本</w:t>
            </w:r>
          </w:p>
        </w:tc>
        <w:tc>
          <w:tcPr>
            <w:tcW w:w="800"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ind w:left="36" w:right="0" w:firstLine="56"/>
              <w:jc w:val="left"/>
              <w:rPr>
                <w:rFonts w:ascii="宋体" w:hAnsi="宋体" w:cs="宋体" w:eastAsia="宋体" w:hint="default"/>
                <w:sz w:val="20"/>
                <w:szCs w:val="20"/>
              </w:rPr>
            </w:pPr>
            <w:r>
              <w:rPr>
                <w:rFonts w:ascii="宋体" w:hAnsi="宋体" w:cs="宋体" w:eastAsia="宋体" w:hint="default"/>
                <w:sz w:val="20"/>
                <w:szCs w:val="20"/>
              </w:rPr>
              <w:t>营业利</w:t>
            </w:r>
          </w:p>
          <w:p>
            <w:pPr>
              <w:pStyle w:val="TableParagraph"/>
              <w:spacing w:line="275" w:lineRule="exact"/>
              <w:ind w:left="36" w:right="0"/>
              <w:jc w:val="left"/>
              <w:rPr>
                <w:rFonts w:ascii="Arial" w:hAnsi="Arial" w:cs="Arial" w:eastAsia="Arial" w:hint="default"/>
                <w:sz w:val="20"/>
                <w:szCs w:val="20"/>
              </w:rPr>
            </w:pPr>
            <w:r>
              <w:rPr>
                <w:rFonts w:ascii="宋体" w:hAnsi="宋体" w:cs="宋体" w:eastAsia="宋体" w:hint="default"/>
                <w:sz w:val="20"/>
                <w:szCs w:val="20"/>
              </w:rPr>
              <w:t>润率</w:t>
            </w:r>
            <w:r>
              <w:rPr>
                <w:rFonts w:ascii="Arial" w:hAnsi="Arial" w:cs="Arial" w:eastAsia="Arial" w:hint="default"/>
                <w:sz w:val="20"/>
                <w:szCs w:val="20"/>
              </w:rPr>
              <w:t>(%)</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ind w:right="15"/>
              <w:jc w:val="center"/>
              <w:rPr>
                <w:rFonts w:ascii="宋体" w:hAnsi="宋体" w:cs="宋体" w:eastAsia="宋体" w:hint="default"/>
                <w:sz w:val="20"/>
                <w:szCs w:val="20"/>
              </w:rPr>
            </w:pPr>
            <w:r>
              <w:rPr>
                <w:rFonts w:ascii="宋体" w:hAnsi="宋体" w:cs="宋体" w:eastAsia="宋体" w:hint="default"/>
                <w:sz w:val="20"/>
                <w:szCs w:val="20"/>
              </w:rPr>
              <w:t>营业收入比上</w:t>
            </w:r>
          </w:p>
          <w:p>
            <w:pPr>
              <w:pStyle w:val="TableParagraph"/>
              <w:spacing w:line="275" w:lineRule="exact"/>
              <w:ind w:right="16"/>
              <w:jc w:val="center"/>
              <w:rPr>
                <w:rFonts w:ascii="Arial" w:hAnsi="Arial" w:cs="Arial" w:eastAsia="Arial" w:hint="default"/>
                <w:sz w:val="20"/>
                <w:szCs w:val="20"/>
              </w:rPr>
            </w:pPr>
            <w:r>
              <w:rPr>
                <w:rFonts w:ascii="宋体" w:hAnsi="宋体" w:cs="宋体" w:eastAsia="宋体" w:hint="default"/>
                <w:sz w:val="20"/>
                <w:szCs w:val="20"/>
              </w:rPr>
              <w:t>年增减</w:t>
            </w:r>
            <w:r>
              <w:rPr>
                <w:rFonts w:ascii="Arial" w:hAnsi="Arial" w:cs="Arial" w:eastAsia="Arial" w:hint="default"/>
                <w:sz w:val="20"/>
                <w:szCs w:val="20"/>
              </w:rPr>
              <w:t>(%)</w:t>
            </w:r>
          </w:p>
        </w:tc>
        <w:tc>
          <w:tcPr>
            <w:tcW w:w="1385"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ind w:left="14" w:right="0"/>
              <w:jc w:val="center"/>
              <w:rPr>
                <w:rFonts w:ascii="宋体" w:hAnsi="宋体" w:cs="宋体" w:eastAsia="宋体" w:hint="default"/>
                <w:sz w:val="20"/>
                <w:szCs w:val="20"/>
              </w:rPr>
            </w:pPr>
            <w:r>
              <w:rPr>
                <w:rFonts w:ascii="宋体" w:hAnsi="宋体" w:cs="宋体" w:eastAsia="宋体" w:hint="default"/>
                <w:sz w:val="20"/>
                <w:szCs w:val="20"/>
              </w:rPr>
              <w:t>营业成本比上</w:t>
            </w:r>
          </w:p>
          <w:p>
            <w:pPr>
              <w:pStyle w:val="TableParagraph"/>
              <w:spacing w:line="275" w:lineRule="exact"/>
              <w:ind w:left="12" w:right="0"/>
              <w:jc w:val="center"/>
              <w:rPr>
                <w:rFonts w:ascii="Arial" w:hAnsi="Arial" w:cs="Arial" w:eastAsia="Arial" w:hint="default"/>
                <w:sz w:val="20"/>
                <w:szCs w:val="20"/>
              </w:rPr>
            </w:pPr>
            <w:r>
              <w:rPr>
                <w:rFonts w:ascii="宋体" w:hAnsi="宋体" w:cs="宋体" w:eastAsia="宋体" w:hint="default"/>
                <w:sz w:val="20"/>
                <w:szCs w:val="20"/>
              </w:rPr>
              <w:t>年增减</w:t>
            </w:r>
            <w:r>
              <w:rPr>
                <w:rFonts w:ascii="Arial" w:hAnsi="Arial" w:cs="Arial" w:eastAsia="Arial" w:hint="default"/>
                <w:sz w:val="20"/>
                <w:szCs w:val="20"/>
              </w:rPr>
              <w:t>(%)</w:t>
            </w:r>
          </w:p>
        </w:tc>
        <w:tc>
          <w:tcPr>
            <w:tcW w:w="1816" w:type="dxa"/>
            <w:tcBorders>
              <w:top w:val="single" w:sz="6" w:space="0" w:color="000000"/>
              <w:left w:val="single" w:sz="6" w:space="0" w:color="000000"/>
              <w:bottom w:val="single" w:sz="6" w:space="0" w:color="000000"/>
              <w:right w:val="single" w:sz="6" w:space="0" w:color="000000"/>
            </w:tcBorders>
          </w:tcPr>
          <w:p>
            <w:pPr>
              <w:pStyle w:val="TableParagraph"/>
              <w:spacing w:line="229" w:lineRule="exact"/>
              <w:ind w:left="2" w:right="0"/>
              <w:jc w:val="center"/>
              <w:rPr>
                <w:rFonts w:ascii="宋体" w:hAnsi="宋体" w:cs="宋体" w:eastAsia="宋体" w:hint="default"/>
                <w:sz w:val="20"/>
                <w:szCs w:val="20"/>
              </w:rPr>
            </w:pPr>
            <w:r>
              <w:rPr>
                <w:rFonts w:ascii="宋体" w:hAnsi="宋体" w:cs="宋体" w:eastAsia="宋体" w:hint="default"/>
                <w:sz w:val="20"/>
                <w:szCs w:val="20"/>
              </w:rPr>
              <w:t>营业利润率比上年</w:t>
            </w:r>
          </w:p>
          <w:p>
            <w:pPr>
              <w:pStyle w:val="TableParagraph"/>
              <w:spacing w:line="275" w:lineRule="exact"/>
              <w:ind w:right="0"/>
              <w:jc w:val="center"/>
              <w:rPr>
                <w:rFonts w:ascii="宋体" w:hAnsi="宋体" w:cs="宋体" w:eastAsia="宋体" w:hint="default"/>
                <w:sz w:val="20"/>
                <w:szCs w:val="20"/>
              </w:rPr>
            </w:pPr>
            <w:r>
              <w:rPr>
                <w:rFonts w:ascii="宋体" w:hAnsi="宋体" w:cs="宋体" w:eastAsia="宋体" w:hint="default"/>
                <w:sz w:val="20"/>
                <w:szCs w:val="20"/>
              </w:rPr>
              <w:t>增减（</w:t>
            </w:r>
            <w:r>
              <w:rPr>
                <w:rFonts w:ascii="Arial" w:hAnsi="Arial" w:cs="Arial" w:eastAsia="Arial" w:hint="default"/>
                <w:sz w:val="20"/>
                <w:szCs w:val="20"/>
              </w:rPr>
              <w:t>%</w:t>
            </w:r>
            <w:r>
              <w:rPr>
                <w:rFonts w:ascii="宋体" w:hAnsi="宋体" w:cs="宋体" w:eastAsia="宋体" w:hint="default"/>
                <w:sz w:val="20"/>
                <w:szCs w:val="20"/>
              </w:rPr>
              <w:t>）</w:t>
            </w:r>
          </w:p>
        </w:tc>
      </w:tr>
      <w:tr>
        <w:trPr>
          <w:trHeight w:val="275" w:hRule="exact"/>
        </w:trPr>
        <w:tc>
          <w:tcPr>
            <w:tcW w:w="8860" w:type="dxa"/>
            <w:gridSpan w:val="7"/>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3" w:right="0"/>
              <w:jc w:val="left"/>
              <w:rPr>
                <w:rFonts w:ascii="宋体" w:hAnsi="宋体" w:cs="宋体" w:eastAsia="宋体" w:hint="default"/>
                <w:sz w:val="20"/>
                <w:szCs w:val="20"/>
              </w:rPr>
            </w:pPr>
            <w:r>
              <w:rPr>
                <w:rFonts w:ascii="宋体" w:hAnsi="宋体" w:cs="宋体" w:eastAsia="宋体" w:hint="default"/>
                <w:sz w:val="20"/>
                <w:szCs w:val="20"/>
              </w:rPr>
              <w:t>分行业</w:t>
            </w:r>
          </w:p>
        </w:tc>
      </w:tr>
      <w:tr>
        <w:trPr>
          <w:trHeight w:val="274" w:hRule="exact"/>
        </w:trPr>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3" w:right="0"/>
              <w:jc w:val="left"/>
              <w:rPr>
                <w:rFonts w:ascii="宋体" w:hAnsi="宋体" w:cs="宋体" w:eastAsia="宋体" w:hint="default"/>
                <w:sz w:val="20"/>
                <w:szCs w:val="20"/>
              </w:rPr>
            </w:pPr>
            <w:r>
              <w:rPr>
                <w:rFonts w:ascii="宋体" w:hAnsi="宋体" w:cs="宋体" w:eastAsia="宋体" w:hint="default"/>
                <w:sz w:val="20"/>
                <w:szCs w:val="20"/>
              </w:rPr>
              <w:t>电信业</w:t>
            </w:r>
          </w:p>
        </w:tc>
        <w:tc>
          <w:tcPr>
            <w:tcW w:w="9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Arial" w:hAnsi="Arial" w:cs="Arial" w:eastAsia="Arial" w:hint="default"/>
                <w:sz w:val="20"/>
                <w:szCs w:val="20"/>
              </w:rPr>
            </w:pPr>
            <w:r>
              <w:rPr>
                <w:rFonts w:ascii="Arial"/>
                <w:spacing w:val="-1"/>
                <w:sz w:val="20"/>
              </w:rPr>
              <w:t>158,369</w:t>
            </w:r>
          </w:p>
        </w:tc>
        <w:tc>
          <w:tcPr>
            <w:tcW w:w="9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Arial" w:hAnsi="Arial" w:cs="Arial" w:eastAsia="Arial" w:hint="default"/>
                <w:sz w:val="20"/>
                <w:szCs w:val="20"/>
              </w:rPr>
            </w:pPr>
            <w:r>
              <w:rPr>
                <w:rFonts w:ascii="Arial"/>
                <w:spacing w:val="-1"/>
                <w:sz w:val="20"/>
              </w:rPr>
              <w:t>110,141</w:t>
            </w:r>
          </w:p>
        </w:tc>
        <w:tc>
          <w:tcPr>
            <w:tcW w:w="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20"/>
                <w:szCs w:val="20"/>
              </w:rPr>
            </w:pPr>
            <w:r>
              <w:rPr>
                <w:rFonts w:ascii="Arial"/>
                <w:sz w:val="20"/>
              </w:rPr>
              <w:t>30.5</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Arial" w:hAnsi="Arial" w:cs="Arial" w:eastAsia="Arial" w:hint="default"/>
                <w:sz w:val="20"/>
                <w:szCs w:val="20"/>
              </w:rPr>
            </w:pPr>
            <w:r>
              <w:rPr>
                <w:rFonts w:ascii="Arial"/>
                <w:sz w:val="20"/>
              </w:rPr>
              <w:t>-3.5</w:t>
            </w:r>
          </w:p>
        </w:tc>
        <w:tc>
          <w:tcPr>
            <w:tcW w:w="13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Arial" w:hAnsi="Arial" w:cs="Arial" w:eastAsia="Arial" w:hint="default"/>
                <w:sz w:val="20"/>
                <w:szCs w:val="20"/>
              </w:rPr>
            </w:pPr>
            <w:r>
              <w:rPr>
                <w:rFonts w:ascii="Arial"/>
                <w:sz w:val="20"/>
              </w:rPr>
              <w:t>3.2</w:t>
            </w:r>
          </w:p>
        </w:tc>
        <w:tc>
          <w:tcPr>
            <w:tcW w:w="1816" w:type="dxa"/>
            <w:tcBorders>
              <w:top w:val="single" w:sz="6" w:space="0" w:color="000000"/>
              <w:left w:val="single" w:sz="6" w:space="0" w:color="000000"/>
              <w:bottom w:val="single" w:sz="6" w:space="0" w:color="000000"/>
              <w:right w:val="single" w:sz="6" w:space="0" w:color="000000"/>
            </w:tcBorders>
          </w:tcPr>
          <w:p>
            <w:pPr>
              <w:pStyle w:val="TableParagraph"/>
              <w:spacing w:line="245" w:lineRule="exact"/>
              <w:ind w:left="121" w:right="0"/>
              <w:jc w:val="left"/>
              <w:rPr>
                <w:rFonts w:ascii="宋体" w:hAnsi="宋体" w:cs="宋体" w:eastAsia="宋体" w:hint="default"/>
                <w:sz w:val="20"/>
                <w:szCs w:val="20"/>
              </w:rPr>
            </w:pPr>
            <w:r>
              <w:rPr>
                <w:rFonts w:ascii="宋体" w:hAnsi="宋体" w:cs="宋体" w:eastAsia="宋体" w:hint="default"/>
                <w:sz w:val="20"/>
                <w:szCs w:val="20"/>
              </w:rPr>
              <w:t>减少</w:t>
            </w:r>
            <w:r>
              <w:rPr>
                <w:rFonts w:ascii="宋体" w:hAnsi="宋体" w:cs="宋体" w:eastAsia="宋体" w:hint="default"/>
                <w:spacing w:val="-51"/>
                <w:sz w:val="20"/>
                <w:szCs w:val="20"/>
              </w:rPr>
              <w:t> </w:t>
            </w:r>
            <w:r>
              <w:rPr>
                <w:rFonts w:ascii="Arial" w:hAnsi="Arial" w:cs="Arial" w:eastAsia="Arial" w:hint="default"/>
                <w:sz w:val="20"/>
                <w:szCs w:val="20"/>
              </w:rPr>
              <w:t>4.5</w:t>
            </w:r>
            <w:r>
              <w:rPr>
                <w:rFonts w:ascii="Arial" w:hAnsi="Arial" w:cs="Arial" w:eastAsia="Arial" w:hint="default"/>
                <w:spacing w:val="-6"/>
                <w:sz w:val="20"/>
                <w:szCs w:val="20"/>
              </w:rPr>
              <w:t> </w:t>
            </w:r>
            <w:r>
              <w:rPr>
                <w:rFonts w:ascii="宋体" w:hAnsi="宋体" w:cs="宋体" w:eastAsia="宋体" w:hint="default"/>
                <w:sz w:val="20"/>
                <w:szCs w:val="20"/>
              </w:rPr>
              <w:t>个百分点</w:t>
            </w:r>
          </w:p>
        </w:tc>
      </w:tr>
      <w:tr>
        <w:trPr>
          <w:trHeight w:val="275" w:hRule="exact"/>
        </w:trPr>
        <w:tc>
          <w:tcPr>
            <w:tcW w:w="8860" w:type="dxa"/>
            <w:gridSpan w:val="7"/>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3" w:right="0"/>
              <w:jc w:val="left"/>
              <w:rPr>
                <w:rFonts w:ascii="宋体" w:hAnsi="宋体" w:cs="宋体" w:eastAsia="宋体" w:hint="default"/>
                <w:sz w:val="20"/>
                <w:szCs w:val="20"/>
              </w:rPr>
            </w:pPr>
            <w:r>
              <w:rPr>
                <w:rFonts w:ascii="宋体" w:hAnsi="宋体" w:cs="宋体" w:eastAsia="宋体" w:hint="default"/>
                <w:sz w:val="20"/>
                <w:szCs w:val="20"/>
              </w:rPr>
              <w:t>分产品</w:t>
            </w:r>
          </w:p>
        </w:tc>
      </w:tr>
      <w:tr>
        <w:trPr>
          <w:trHeight w:val="275" w:hRule="exact"/>
        </w:trPr>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3" w:right="0"/>
              <w:jc w:val="left"/>
              <w:rPr>
                <w:rFonts w:ascii="宋体" w:hAnsi="宋体" w:cs="宋体" w:eastAsia="宋体" w:hint="default"/>
                <w:sz w:val="20"/>
                <w:szCs w:val="20"/>
              </w:rPr>
            </w:pPr>
            <w:r>
              <w:rPr>
                <w:rFonts w:ascii="宋体" w:hAnsi="宋体" w:cs="宋体" w:eastAsia="宋体" w:hint="default"/>
                <w:sz w:val="20"/>
                <w:szCs w:val="20"/>
              </w:rPr>
              <w:t>移动通信业务</w:t>
            </w:r>
          </w:p>
        </w:tc>
        <w:tc>
          <w:tcPr>
            <w:tcW w:w="9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3"/>
              <w:jc w:val="right"/>
              <w:rPr>
                <w:rFonts w:ascii="Arial" w:hAnsi="Arial" w:cs="Arial" w:eastAsia="Arial" w:hint="default"/>
                <w:sz w:val="20"/>
                <w:szCs w:val="20"/>
              </w:rPr>
            </w:pPr>
            <w:r>
              <w:rPr>
                <w:rFonts w:ascii="Arial"/>
                <w:sz w:val="20"/>
              </w:rPr>
              <w:t>74,067</w:t>
            </w:r>
          </w:p>
        </w:tc>
        <w:tc>
          <w:tcPr>
            <w:tcW w:w="9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Arial" w:hAnsi="Arial" w:cs="Arial" w:eastAsia="Arial" w:hint="default"/>
                <w:sz w:val="20"/>
                <w:szCs w:val="20"/>
              </w:rPr>
            </w:pPr>
            <w:r>
              <w:rPr>
                <w:rFonts w:ascii="Arial"/>
                <w:sz w:val="20"/>
              </w:rPr>
              <w:t>37,639</w:t>
            </w:r>
          </w:p>
        </w:tc>
        <w:tc>
          <w:tcPr>
            <w:tcW w:w="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20"/>
                <w:szCs w:val="20"/>
              </w:rPr>
            </w:pPr>
            <w:r>
              <w:rPr>
                <w:rFonts w:ascii="Arial"/>
                <w:sz w:val="20"/>
              </w:rPr>
              <w:t>49.2</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Arial" w:hAnsi="Arial" w:cs="Arial" w:eastAsia="Arial" w:hint="default"/>
                <w:sz w:val="20"/>
                <w:szCs w:val="20"/>
              </w:rPr>
            </w:pPr>
            <w:r>
              <w:rPr>
                <w:rFonts w:ascii="Arial"/>
                <w:sz w:val="20"/>
              </w:rPr>
              <w:t>10.9</w:t>
            </w:r>
          </w:p>
        </w:tc>
        <w:tc>
          <w:tcPr>
            <w:tcW w:w="13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Arial" w:hAnsi="Arial" w:cs="Arial" w:eastAsia="Arial" w:hint="default"/>
                <w:sz w:val="20"/>
                <w:szCs w:val="20"/>
              </w:rPr>
            </w:pPr>
            <w:r>
              <w:rPr>
                <w:rFonts w:ascii="Arial"/>
                <w:sz w:val="20"/>
              </w:rPr>
              <w:t>11.4</w:t>
            </w:r>
          </w:p>
        </w:tc>
        <w:tc>
          <w:tcPr>
            <w:tcW w:w="1816" w:type="dxa"/>
            <w:tcBorders>
              <w:top w:val="single" w:sz="6" w:space="0" w:color="000000"/>
              <w:left w:val="single" w:sz="6" w:space="0" w:color="000000"/>
              <w:bottom w:val="single" w:sz="6" w:space="0" w:color="000000"/>
              <w:right w:val="single" w:sz="6" w:space="0" w:color="000000"/>
            </w:tcBorders>
          </w:tcPr>
          <w:p>
            <w:pPr>
              <w:pStyle w:val="TableParagraph"/>
              <w:spacing w:line="245" w:lineRule="exact"/>
              <w:ind w:left="121" w:right="0"/>
              <w:jc w:val="left"/>
              <w:rPr>
                <w:rFonts w:ascii="宋体" w:hAnsi="宋体" w:cs="宋体" w:eastAsia="宋体" w:hint="default"/>
                <w:sz w:val="20"/>
                <w:szCs w:val="20"/>
              </w:rPr>
            </w:pPr>
            <w:r>
              <w:rPr>
                <w:rFonts w:ascii="宋体" w:hAnsi="宋体" w:cs="宋体" w:eastAsia="宋体" w:hint="default"/>
                <w:sz w:val="20"/>
                <w:szCs w:val="20"/>
              </w:rPr>
              <w:t>减少</w:t>
            </w:r>
            <w:r>
              <w:rPr>
                <w:rFonts w:ascii="宋体" w:hAnsi="宋体" w:cs="宋体" w:eastAsia="宋体" w:hint="default"/>
                <w:spacing w:val="-51"/>
                <w:sz w:val="20"/>
                <w:szCs w:val="20"/>
              </w:rPr>
              <w:t> </w:t>
            </w:r>
            <w:r>
              <w:rPr>
                <w:rFonts w:ascii="Arial" w:hAnsi="Arial" w:cs="Arial" w:eastAsia="Arial" w:hint="default"/>
                <w:sz w:val="20"/>
                <w:szCs w:val="20"/>
              </w:rPr>
              <w:t>0.2</w:t>
            </w:r>
            <w:r>
              <w:rPr>
                <w:rFonts w:ascii="Arial" w:hAnsi="Arial" w:cs="Arial" w:eastAsia="Arial" w:hint="default"/>
                <w:spacing w:val="-6"/>
                <w:sz w:val="20"/>
                <w:szCs w:val="20"/>
              </w:rPr>
              <w:t> </w:t>
            </w:r>
            <w:r>
              <w:rPr>
                <w:rFonts w:ascii="宋体" w:hAnsi="宋体" w:cs="宋体" w:eastAsia="宋体" w:hint="default"/>
                <w:sz w:val="20"/>
                <w:szCs w:val="20"/>
              </w:rPr>
              <w:t>个百分点</w:t>
            </w:r>
          </w:p>
        </w:tc>
      </w:tr>
      <w:tr>
        <w:trPr>
          <w:trHeight w:val="274" w:hRule="exact"/>
        </w:trPr>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3" w:right="0"/>
              <w:jc w:val="left"/>
              <w:rPr>
                <w:rFonts w:ascii="宋体" w:hAnsi="宋体" w:cs="宋体" w:eastAsia="宋体" w:hint="default"/>
                <w:sz w:val="20"/>
                <w:szCs w:val="20"/>
              </w:rPr>
            </w:pPr>
            <w:r>
              <w:rPr>
                <w:rFonts w:ascii="宋体" w:hAnsi="宋体" w:cs="宋体" w:eastAsia="宋体" w:hint="default"/>
                <w:sz w:val="20"/>
                <w:szCs w:val="20"/>
              </w:rPr>
              <w:t>固网业务</w:t>
            </w:r>
          </w:p>
        </w:tc>
        <w:tc>
          <w:tcPr>
            <w:tcW w:w="9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4"/>
              <w:jc w:val="right"/>
              <w:rPr>
                <w:rFonts w:ascii="Arial" w:hAnsi="Arial" w:cs="Arial" w:eastAsia="Arial" w:hint="default"/>
                <w:sz w:val="20"/>
                <w:szCs w:val="20"/>
              </w:rPr>
            </w:pPr>
            <w:r>
              <w:rPr>
                <w:rFonts w:ascii="Arial"/>
                <w:sz w:val="20"/>
              </w:rPr>
              <w:t>88,054</w:t>
            </w:r>
          </w:p>
        </w:tc>
        <w:tc>
          <w:tcPr>
            <w:tcW w:w="9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Arial" w:hAnsi="Arial" w:cs="Arial" w:eastAsia="Arial" w:hint="default"/>
                <w:sz w:val="20"/>
                <w:szCs w:val="20"/>
              </w:rPr>
            </w:pPr>
            <w:r>
              <w:rPr>
                <w:rFonts w:ascii="Arial"/>
                <w:sz w:val="20"/>
              </w:rPr>
              <w:t>44,110</w:t>
            </w:r>
          </w:p>
        </w:tc>
        <w:tc>
          <w:tcPr>
            <w:tcW w:w="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20"/>
                <w:szCs w:val="20"/>
              </w:rPr>
            </w:pPr>
            <w:r>
              <w:rPr>
                <w:rFonts w:ascii="Arial"/>
                <w:sz w:val="20"/>
              </w:rPr>
              <w:t>49.9</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Arial" w:hAnsi="Arial" w:cs="Arial" w:eastAsia="Arial" w:hint="default"/>
                <w:sz w:val="20"/>
                <w:szCs w:val="20"/>
              </w:rPr>
            </w:pPr>
            <w:r>
              <w:rPr>
                <w:rFonts w:ascii="Arial"/>
                <w:sz w:val="20"/>
              </w:rPr>
              <w:t>-12.1</w:t>
            </w:r>
          </w:p>
        </w:tc>
        <w:tc>
          <w:tcPr>
            <w:tcW w:w="13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Arial" w:hAnsi="Arial" w:cs="Arial" w:eastAsia="Arial" w:hint="default"/>
                <w:sz w:val="20"/>
                <w:szCs w:val="20"/>
              </w:rPr>
            </w:pPr>
            <w:r>
              <w:rPr>
                <w:rFonts w:ascii="Arial"/>
                <w:sz w:val="20"/>
              </w:rPr>
              <w:t>-6.8</w:t>
            </w:r>
          </w:p>
        </w:tc>
        <w:tc>
          <w:tcPr>
            <w:tcW w:w="1816" w:type="dxa"/>
            <w:tcBorders>
              <w:top w:val="single" w:sz="6" w:space="0" w:color="000000"/>
              <w:left w:val="single" w:sz="6" w:space="0" w:color="000000"/>
              <w:bottom w:val="single" w:sz="6" w:space="0" w:color="000000"/>
              <w:right w:val="single" w:sz="6" w:space="0" w:color="000000"/>
            </w:tcBorders>
          </w:tcPr>
          <w:p>
            <w:pPr>
              <w:pStyle w:val="TableParagraph"/>
              <w:spacing w:line="245" w:lineRule="exact"/>
              <w:ind w:left="121" w:right="0"/>
              <w:jc w:val="left"/>
              <w:rPr>
                <w:rFonts w:ascii="宋体" w:hAnsi="宋体" w:cs="宋体" w:eastAsia="宋体" w:hint="default"/>
                <w:sz w:val="20"/>
                <w:szCs w:val="20"/>
              </w:rPr>
            </w:pPr>
            <w:r>
              <w:rPr>
                <w:rFonts w:ascii="宋体" w:hAnsi="宋体" w:cs="宋体" w:eastAsia="宋体" w:hint="default"/>
                <w:sz w:val="20"/>
                <w:szCs w:val="20"/>
              </w:rPr>
              <w:t>减少</w:t>
            </w:r>
            <w:r>
              <w:rPr>
                <w:rFonts w:ascii="宋体" w:hAnsi="宋体" w:cs="宋体" w:eastAsia="宋体" w:hint="default"/>
                <w:spacing w:val="-51"/>
                <w:sz w:val="20"/>
                <w:szCs w:val="20"/>
              </w:rPr>
              <w:t> </w:t>
            </w:r>
            <w:r>
              <w:rPr>
                <w:rFonts w:ascii="Arial" w:hAnsi="Arial" w:cs="Arial" w:eastAsia="Arial" w:hint="default"/>
                <w:sz w:val="20"/>
                <w:szCs w:val="20"/>
              </w:rPr>
              <w:t>2.9</w:t>
            </w:r>
            <w:r>
              <w:rPr>
                <w:rFonts w:ascii="Arial" w:hAnsi="Arial" w:cs="Arial" w:eastAsia="Arial" w:hint="default"/>
                <w:spacing w:val="-6"/>
                <w:sz w:val="20"/>
                <w:szCs w:val="20"/>
              </w:rPr>
              <w:t> </w:t>
            </w:r>
            <w:r>
              <w:rPr>
                <w:rFonts w:ascii="宋体" w:hAnsi="宋体" w:cs="宋体" w:eastAsia="宋体" w:hint="default"/>
                <w:sz w:val="20"/>
                <w:szCs w:val="20"/>
              </w:rPr>
              <w:t>个百分点</w:t>
            </w:r>
          </w:p>
        </w:tc>
      </w:tr>
      <w:tr>
        <w:trPr>
          <w:trHeight w:val="275" w:hRule="exact"/>
        </w:trPr>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3" w:right="0"/>
              <w:jc w:val="left"/>
              <w:rPr>
                <w:rFonts w:ascii="宋体" w:hAnsi="宋体" w:cs="宋体" w:eastAsia="宋体" w:hint="default"/>
                <w:sz w:val="20"/>
                <w:szCs w:val="20"/>
              </w:rPr>
            </w:pPr>
            <w:r>
              <w:rPr>
                <w:rFonts w:ascii="宋体" w:hAnsi="宋体" w:cs="宋体" w:eastAsia="宋体" w:hint="default"/>
                <w:sz w:val="20"/>
                <w:szCs w:val="20"/>
              </w:rPr>
              <w:t>不可分摊项目</w:t>
            </w:r>
          </w:p>
        </w:tc>
        <w:tc>
          <w:tcPr>
            <w:tcW w:w="9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3"/>
              <w:jc w:val="right"/>
              <w:rPr>
                <w:rFonts w:ascii="Arial" w:hAnsi="Arial" w:cs="Arial" w:eastAsia="Arial" w:hint="default"/>
                <w:sz w:val="20"/>
                <w:szCs w:val="20"/>
              </w:rPr>
            </w:pPr>
            <w:r>
              <w:rPr>
                <w:rFonts w:ascii="Arial"/>
                <w:sz w:val="20"/>
              </w:rPr>
              <w:t>2,290</w:t>
            </w:r>
          </w:p>
        </w:tc>
        <w:tc>
          <w:tcPr>
            <w:tcW w:w="9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20"/>
                <w:szCs w:val="20"/>
              </w:rPr>
            </w:pPr>
            <w:r>
              <w:rPr>
                <w:rFonts w:ascii="Arial"/>
                <w:sz w:val="20"/>
              </w:rPr>
              <w:t>33,261</w:t>
            </w:r>
          </w:p>
        </w:tc>
        <w:tc>
          <w:tcPr>
            <w:tcW w:w="8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7"/>
              <w:jc w:val="right"/>
              <w:rPr>
                <w:rFonts w:ascii="宋体" w:hAnsi="宋体" w:cs="宋体" w:eastAsia="宋体" w:hint="default"/>
                <w:sz w:val="20"/>
                <w:szCs w:val="20"/>
              </w:rPr>
            </w:pPr>
            <w:r>
              <w:rPr>
                <w:rFonts w:ascii="宋体" w:hAnsi="宋体" w:cs="宋体" w:eastAsia="宋体" w:hint="default"/>
                <w:sz w:val="20"/>
                <w:szCs w:val="20"/>
              </w:rPr>
              <w:t>不适用</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20"/>
                <w:szCs w:val="20"/>
              </w:rPr>
            </w:pPr>
            <w:r>
              <w:rPr>
                <w:rFonts w:ascii="Arial"/>
                <w:spacing w:val="-1"/>
                <w:sz w:val="20"/>
              </w:rPr>
              <w:t>13.9</w:t>
            </w:r>
            <w:r>
              <w:rPr>
                <w:rFonts w:ascii="Arial"/>
                <w:sz w:val="20"/>
              </w:rPr>
            </w:r>
          </w:p>
        </w:tc>
        <w:tc>
          <w:tcPr>
            <w:tcW w:w="13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0"/>
              <w:jc w:val="right"/>
              <w:rPr>
                <w:rFonts w:ascii="Arial" w:hAnsi="Arial" w:cs="Arial" w:eastAsia="Arial" w:hint="default"/>
                <w:sz w:val="20"/>
                <w:szCs w:val="20"/>
              </w:rPr>
            </w:pPr>
            <w:r>
              <w:rPr>
                <w:rFonts w:ascii="Arial"/>
                <w:spacing w:val="-1"/>
                <w:sz w:val="20"/>
              </w:rPr>
              <w:t>12.7</w:t>
            </w:r>
            <w:r>
              <w:rPr>
                <w:rFonts w:ascii="Arial"/>
                <w:sz w:val="20"/>
              </w:rPr>
            </w:r>
          </w:p>
        </w:tc>
        <w:tc>
          <w:tcPr>
            <w:tcW w:w="181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5"/>
              <w:jc w:val="right"/>
              <w:rPr>
                <w:rFonts w:ascii="宋体" w:hAnsi="宋体" w:cs="宋体" w:eastAsia="宋体" w:hint="default"/>
                <w:sz w:val="20"/>
                <w:szCs w:val="20"/>
              </w:rPr>
            </w:pPr>
            <w:r>
              <w:rPr>
                <w:rFonts w:ascii="宋体" w:hAnsi="宋体" w:cs="宋体" w:eastAsia="宋体" w:hint="default"/>
                <w:sz w:val="20"/>
                <w:szCs w:val="20"/>
              </w:rPr>
              <w:t>不适用</w:t>
            </w:r>
          </w:p>
        </w:tc>
      </w:tr>
      <w:tr>
        <w:trPr>
          <w:trHeight w:val="275" w:hRule="exact"/>
        </w:trPr>
        <w:tc>
          <w:tcPr>
            <w:tcW w:w="151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43" w:right="0"/>
              <w:jc w:val="left"/>
              <w:rPr>
                <w:rFonts w:ascii="宋体" w:hAnsi="宋体" w:cs="宋体" w:eastAsia="宋体" w:hint="default"/>
                <w:sz w:val="20"/>
                <w:szCs w:val="20"/>
              </w:rPr>
            </w:pPr>
            <w:r>
              <w:rPr>
                <w:rFonts w:ascii="宋体" w:hAnsi="宋体" w:cs="宋体" w:eastAsia="宋体" w:hint="default"/>
                <w:sz w:val="20"/>
                <w:szCs w:val="20"/>
              </w:rPr>
              <w:t>专业间抵销</w:t>
            </w:r>
          </w:p>
        </w:tc>
        <w:tc>
          <w:tcPr>
            <w:tcW w:w="9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03"/>
              <w:jc w:val="right"/>
              <w:rPr>
                <w:rFonts w:ascii="Arial" w:hAnsi="Arial" w:cs="Arial" w:eastAsia="Arial" w:hint="default"/>
                <w:sz w:val="20"/>
                <w:szCs w:val="20"/>
              </w:rPr>
            </w:pPr>
            <w:r>
              <w:rPr>
                <w:rFonts w:ascii="Arial"/>
                <w:sz w:val="20"/>
              </w:rPr>
              <w:t>-6,043</w:t>
            </w:r>
          </w:p>
        </w:tc>
        <w:tc>
          <w:tcPr>
            <w:tcW w:w="9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20"/>
                <w:szCs w:val="20"/>
              </w:rPr>
            </w:pPr>
            <w:r>
              <w:rPr>
                <w:rFonts w:ascii="Arial"/>
                <w:sz w:val="20"/>
              </w:rPr>
              <w:t>-4,869</w:t>
            </w:r>
          </w:p>
        </w:tc>
        <w:tc>
          <w:tcPr>
            <w:tcW w:w="800"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7"/>
              <w:jc w:val="right"/>
              <w:rPr>
                <w:rFonts w:ascii="宋体" w:hAnsi="宋体" w:cs="宋体" w:eastAsia="宋体" w:hint="default"/>
                <w:sz w:val="20"/>
                <w:szCs w:val="20"/>
              </w:rPr>
            </w:pPr>
            <w:r>
              <w:rPr>
                <w:rFonts w:ascii="宋体" w:hAnsi="宋体" w:cs="宋体" w:eastAsia="宋体" w:hint="default"/>
                <w:sz w:val="20"/>
                <w:szCs w:val="20"/>
              </w:rPr>
              <w:t>不适用</w:t>
            </w:r>
          </w:p>
        </w:tc>
        <w:tc>
          <w:tcPr>
            <w:tcW w:w="141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8"/>
              <w:jc w:val="right"/>
              <w:rPr>
                <w:rFonts w:ascii="宋体" w:hAnsi="宋体" w:cs="宋体" w:eastAsia="宋体" w:hint="default"/>
                <w:sz w:val="20"/>
                <w:szCs w:val="20"/>
              </w:rPr>
            </w:pPr>
            <w:r>
              <w:rPr>
                <w:rFonts w:ascii="宋体" w:hAnsi="宋体" w:cs="宋体" w:eastAsia="宋体" w:hint="default"/>
                <w:sz w:val="20"/>
                <w:szCs w:val="20"/>
              </w:rPr>
              <w:t>不适用</w:t>
            </w:r>
          </w:p>
        </w:tc>
        <w:tc>
          <w:tcPr>
            <w:tcW w:w="1385"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99"/>
              <w:jc w:val="right"/>
              <w:rPr>
                <w:rFonts w:ascii="宋体" w:hAnsi="宋体" w:cs="宋体" w:eastAsia="宋体" w:hint="default"/>
                <w:sz w:val="20"/>
                <w:szCs w:val="20"/>
              </w:rPr>
            </w:pPr>
            <w:r>
              <w:rPr>
                <w:rFonts w:ascii="宋体" w:hAnsi="宋体" w:cs="宋体" w:eastAsia="宋体" w:hint="default"/>
                <w:sz w:val="20"/>
                <w:szCs w:val="20"/>
              </w:rPr>
              <w:t>不适用</w:t>
            </w:r>
          </w:p>
        </w:tc>
        <w:tc>
          <w:tcPr>
            <w:tcW w:w="181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15"/>
              <w:jc w:val="right"/>
              <w:rPr>
                <w:rFonts w:ascii="宋体" w:hAnsi="宋体" w:cs="宋体" w:eastAsia="宋体" w:hint="default"/>
                <w:sz w:val="20"/>
                <w:szCs w:val="20"/>
              </w:rPr>
            </w:pPr>
            <w:r>
              <w:rPr>
                <w:rFonts w:ascii="宋体" w:hAnsi="宋体" w:cs="宋体" w:eastAsia="宋体" w:hint="default"/>
                <w:sz w:val="20"/>
                <w:szCs w:val="20"/>
              </w:rPr>
              <w:t>不适用</w:t>
            </w:r>
          </w:p>
        </w:tc>
      </w:tr>
    </w:tbl>
    <w:p>
      <w:pPr>
        <w:spacing w:line="240" w:lineRule="auto" w:before="4"/>
        <w:rPr>
          <w:rFonts w:ascii="宋体" w:hAnsi="宋体" w:cs="宋体" w:eastAsia="宋体" w:hint="default"/>
          <w:sz w:val="15"/>
          <w:szCs w:val="15"/>
        </w:rPr>
      </w:pPr>
    </w:p>
    <w:p>
      <w:pPr>
        <w:pStyle w:val="BodyText"/>
        <w:tabs>
          <w:tab w:pos="763" w:val="left" w:leader="none"/>
        </w:tabs>
        <w:spacing w:line="240" w:lineRule="auto" w:before="31"/>
        <w:ind w:left="329" w:right="125"/>
        <w:jc w:val="left"/>
      </w:pPr>
      <w:r>
        <w:rPr>
          <w:rFonts w:ascii="Arial" w:hAnsi="Arial" w:cs="Arial" w:eastAsia="Arial" w:hint="default"/>
          <w:w w:val="95"/>
        </w:rPr>
        <w:t>1)</w:t>
        <w:tab/>
      </w:r>
      <w:r>
        <w:rPr/>
        <w:t>上述资料分产品信息所列各项产品的</w:t>
      </w:r>
      <w:r>
        <w:rPr>
          <w:rFonts w:ascii="Arial" w:hAnsi="Arial" w:cs="Arial" w:eastAsia="Arial" w:hint="default"/>
        </w:rPr>
        <w:t>“</w:t>
      </w:r>
      <w:r>
        <w:rPr/>
        <w:t>营业成本</w:t>
      </w:r>
      <w:r>
        <w:rPr>
          <w:rFonts w:ascii="Arial" w:hAnsi="Arial" w:cs="Arial" w:eastAsia="Arial" w:hint="default"/>
        </w:rPr>
        <w:t>”</w:t>
      </w:r>
      <w:r>
        <w:rPr/>
        <w:t>包括营业税金及附加；</w:t>
      </w:r>
    </w:p>
    <w:p>
      <w:pPr>
        <w:spacing w:line="240" w:lineRule="auto" w:before="0"/>
        <w:rPr>
          <w:rFonts w:ascii="宋体" w:hAnsi="宋体" w:cs="宋体" w:eastAsia="宋体" w:hint="default"/>
          <w:sz w:val="20"/>
          <w:szCs w:val="20"/>
        </w:rPr>
      </w:pPr>
    </w:p>
    <w:p>
      <w:pPr>
        <w:pStyle w:val="BodyText"/>
        <w:spacing w:line="286" w:lineRule="exact"/>
        <w:ind w:left="749" w:right="138" w:hanging="420"/>
        <w:jc w:val="both"/>
      </w:pPr>
      <w:r>
        <w:rPr>
          <w:rFonts w:ascii="Arial" w:hAnsi="Arial" w:cs="Arial" w:eastAsia="Arial" w:hint="default"/>
        </w:rPr>
        <w:t>2)</w:t>
      </w:r>
      <w:r>
        <w:rPr>
          <w:rFonts w:ascii="Arial" w:hAnsi="Arial" w:cs="Arial" w:eastAsia="Arial" w:hint="default"/>
          <w:spacing w:val="38"/>
        </w:rPr>
        <w:t> </w:t>
      </w:r>
      <w:r>
        <w:rPr/>
        <w:t>上述资料分产品信息所列各项产品的</w:t>
      </w:r>
      <w:r>
        <w:rPr>
          <w:rFonts w:ascii="Arial" w:hAnsi="Arial" w:cs="Arial" w:eastAsia="Arial" w:hint="default"/>
        </w:rPr>
        <w:t>“</w:t>
      </w:r>
      <w:r>
        <w:rPr/>
        <w:t>营业收入</w:t>
      </w:r>
      <w:r>
        <w:rPr>
          <w:rFonts w:ascii="Arial" w:hAnsi="Arial" w:cs="Arial" w:eastAsia="Arial" w:hint="default"/>
        </w:rPr>
        <w:t>”</w:t>
      </w:r>
      <w:r>
        <w:rPr/>
        <w:t>和</w:t>
      </w:r>
      <w:r>
        <w:rPr>
          <w:rFonts w:ascii="Arial" w:hAnsi="Arial" w:cs="Arial" w:eastAsia="Arial" w:hint="default"/>
        </w:rPr>
        <w:t>“</w:t>
      </w:r>
      <w:r>
        <w:rPr/>
        <w:t>营业成本</w:t>
      </w:r>
      <w:r>
        <w:rPr>
          <w:rFonts w:ascii="Arial" w:hAnsi="Arial" w:cs="Arial" w:eastAsia="Arial" w:hint="default"/>
        </w:rPr>
        <w:t>”</w:t>
      </w:r>
      <w:r>
        <w:rPr/>
        <w:t>包括公司内部专业间结算收入和</w:t>
      </w:r>
      <w:r>
        <w:rPr>
          <w:w w:val="99"/>
        </w:rPr>
        <w:t> </w:t>
      </w:r>
      <w:r>
        <w:rPr/>
        <w:t>结算支出，且为本公司的持续经营业务的经营数据；</w:t>
      </w:r>
    </w:p>
    <w:p>
      <w:pPr>
        <w:spacing w:line="240" w:lineRule="auto" w:before="10"/>
        <w:rPr>
          <w:rFonts w:ascii="宋体" w:hAnsi="宋体" w:cs="宋体" w:eastAsia="宋体" w:hint="default"/>
          <w:sz w:val="17"/>
          <w:szCs w:val="17"/>
        </w:rPr>
      </w:pPr>
    </w:p>
    <w:p>
      <w:pPr>
        <w:pStyle w:val="BodyText"/>
        <w:spacing w:line="232" w:lineRule="auto"/>
        <w:ind w:left="749" w:right="136" w:hanging="421"/>
        <w:jc w:val="both"/>
      </w:pPr>
      <w:r>
        <w:rPr>
          <w:rFonts w:ascii="Arial" w:hAnsi="Arial" w:cs="Arial" w:eastAsia="Arial" w:hint="default"/>
        </w:rPr>
        <w:t>3) </w:t>
      </w:r>
      <w:r>
        <w:rPr/>
        <w:t>自 </w:t>
      </w:r>
      <w:r>
        <w:rPr>
          <w:rFonts w:ascii="Arial" w:hAnsi="Arial" w:cs="Arial" w:eastAsia="Arial" w:hint="default"/>
        </w:rPr>
        <w:t>2009</w:t>
      </w:r>
      <w:r>
        <w:rPr>
          <w:rFonts w:ascii="Arial" w:hAnsi="Arial" w:cs="Arial" w:eastAsia="Arial" w:hint="default"/>
          <w:spacing w:val="-43"/>
        </w:rPr>
        <w:t> </w:t>
      </w:r>
      <w:r>
        <w:rPr/>
        <w:t>年起根据公司内部新的管理和考核体系，本集团的业务分部于本期间调整为列报业务</w:t>
      </w:r>
      <w:r>
        <w:rPr>
          <w:w w:val="99"/>
        </w:rPr>
        <w:t> </w:t>
      </w:r>
      <w:r>
        <w:rPr/>
        <w:t>分部的收入和直接成本费用，而其他成本费用项目，包括部分营业成本，如网络运行及支撑</w:t>
      </w:r>
      <w:r>
        <w:rPr>
          <w:w w:val="99"/>
        </w:rPr>
        <w:t> </w:t>
      </w:r>
      <w:r>
        <w:rPr>
          <w:spacing w:val="-3"/>
        </w:rPr>
        <w:t>成本、人工成本及管理费用等被列报于不可分摊项目，可比期间</w:t>
      </w:r>
      <w:r>
        <w:rPr>
          <w:spacing w:val="-56"/>
        </w:rPr>
        <w:t> </w:t>
      </w:r>
      <w:r>
        <w:rPr>
          <w:rFonts w:ascii="Arial" w:hAnsi="Arial" w:cs="Arial" w:eastAsia="Arial" w:hint="default"/>
        </w:rPr>
        <w:t>2008</w:t>
      </w:r>
      <w:r>
        <w:rPr>
          <w:rFonts w:ascii="Arial" w:hAnsi="Arial" w:cs="Arial" w:eastAsia="Arial" w:hint="default"/>
          <w:spacing w:val="-8"/>
        </w:rPr>
        <w:t> </w:t>
      </w:r>
      <w:r>
        <w:rPr/>
        <w:t>年数据亦被重新列报以</w:t>
      </w:r>
      <w:r>
        <w:rPr>
          <w:w w:val="99"/>
        </w:rPr>
        <w:t> </w:t>
      </w:r>
      <w:r>
        <w:rPr/>
        <w:t>和本期间的列报一致。因此，由于这部分不可分摊的成本并未反映在上表所列示的移动业务</w:t>
      </w:r>
      <w:r>
        <w:rPr>
          <w:w w:val="99"/>
        </w:rPr>
        <w:t> </w:t>
      </w:r>
      <w:r>
        <w:rPr/>
        <w:t>分部和固网业务分部的营业成本中，导致本集团的移动业务分部、固网业务分部的分部营业</w:t>
      </w:r>
      <w:r>
        <w:rPr>
          <w:w w:val="99"/>
        </w:rPr>
        <w:t> </w:t>
      </w:r>
      <w:r>
        <w:rPr/>
        <w:t>利润率明显高于合并后的营业利润率。</w:t>
      </w:r>
    </w:p>
    <w:p>
      <w:pPr>
        <w:spacing w:line="240" w:lineRule="auto" w:before="2"/>
        <w:rPr>
          <w:rFonts w:ascii="宋体" w:hAnsi="宋体" w:cs="宋体" w:eastAsia="宋体" w:hint="default"/>
          <w:sz w:val="19"/>
          <w:szCs w:val="19"/>
        </w:rPr>
      </w:pPr>
    </w:p>
    <w:p>
      <w:pPr>
        <w:pStyle w:val="BodyText"/>
        <w:tabs>
          <w:tab w:pos="749" w:val="left" w:leader="none"/>
        </w:tabs>
        <w:spacing w:line="240" w:lineRule="auto"/>
        <w:ind w:left="329" w:right="125"/>
        <w:jc w:val="left"/>
      </w:pPr>
      <w:r>
        <w:rPr>
          <w:rFonts w:ascii="Arial" w:hAnsi="Arial" w:cs="Arial" w:eastAsia="Arial" w:hint="default"/>
          <w:w w:val="95"/>
        </w:rPr>
        <w:t>4)</w:t>
        <w:tab/>
      </w:r>
      <w:r>
        <w:rPr/>
        <w:t>营业利润率＝（营业收入－营业成本－营业税金）</w:t>
      </w:r>
      <w:r>
        <w:rPr>
          <w:rFonts w:ascii="Arial" w:hAnsi="Arial" w:cs="Arial" w:eastAsia="Arial" w:hint="default"/>
        </w:rPr>
        <w:t>/</w:t>
      </w:r>
      <w:r>
        <w:rPr/>
        <w:t>营业收入</w:t>
      </w:r>
      <w:r>
        <w:rPr>
          <w:rFonts w:ascii="Arial" w:hAnsi="Arial" w:cs="Arial" w:eastAsia="Arial" w:hint="default"/>
        </w:rPr>
        <w:t>*100</w:t>
      </w:r>
      <w:r>
        <w:rPr/>
        <w:t>。</w:t>
      </w:r>
    </w:p>
    <w:p>
      <w:pPr>
        <w:spacing w:line="240" w:lineRule="auto" w:before="7"/>
        <w:rPr>
          <w:rFonts w:ascii="宋体" w:hAnsi="宋体" w:cs="宋体" w:eastAsia="宋体" w:hint="default"/>
          <w:sz w:val="15"/>
          <w:szCs w:val="15"/>
        </w:rPr>
      </w:pPr>
    </w:p>
    <w:p>
      <w:pPr>
        <w:pStyle w:val="BodyText"/>
        <w:spacing w:line="296" w:lineRule="exact" w:before="31"/>
        <w:ind w:left="330" w:right="3260"/>
        <w:jc w:val="left"/>
      </w:pPr>
      <w:r>
        <w:rPr>
          <w:rFonts w:ascii="Arial" w:hAnsi="Arial" w:cs="Arial" w:eastAsia="Arial" w:hint="default"/>
        </w:rPr>
        <w:t>(2) </w:t>
      </w:r>
      <w:r>
        <w:rPr>
          <w:rFonts w:ascii="Arial" w:hAnsi="Arial" w:cs="Arial" w:eastAsia="Arial" w:hint="default"/>
          <w:spacing w:val="26"/>
        </w:rPr>
        <w:t> </w:t>
      </w:r>
      <w:r>
        <w:rPr/>
        <w:t>主营业务分地区情况</w:t>
      </w:r>
    </w:p>
    <w:p>
      <w:pPr>
        <w:spacing w:line="269" w:lineRule="exact" w:before="0"/>
        <w:ind w:left="0" w:right="136" w:firstLine="0"/>
        <w:jc w:val="right"/>
        <w:rPr>
          <w:rFonts w:ascii="宋体" w:hAnsi="宋体" w:cs="宋体" w:eastAsia="宋体" w:hint="default"/>
          <w:sz w:val="20"/>
          <w:szCs w:val="20"/>
        </w:rPr>
      </w:pPr>
      <w:r>
        <w:rPr>
          <w:rFonts w:ascii="宋体" w:hAnsi="宋体" w:cs="宋体" w:eastAsia="宋体" w:hint="default"/>
          <w:sz w:val="20"/>
          <w:szCs w:val="20"/>
        </w:rPr>
        <w:t>单位</w:t>
      </w:r>
      <w:r>
        <w:rPr>
          <w:rFonts w:ascii="Arial" w:hAnsi="Arial" w:cs="Arial" w:eastAsia="Arial" w:hint="default"/>
          <w:sz w:val="20"/>
          <w:szCs w:val="20"/>
        </w:rPr>
        <w:t>:</w:t>
      </w:r>
      <w:r>
        <w:rPr>
          <w:rFonts w:ascii="宋体" w:hAnsi="宋体" w:cs="宋体" w:eastAsia="宋体" w:hint="default"/>
          <w:sz w:val="20"/>
          <w:szCs w:val="20"/>
        </w:rPr>
        <w:t>百万元 币种</w:t>
      </w:r>
      <w:r>
        <w:rPr>
          <w:rFonts w:ascii="Arial" w:hAnsi="Arial" w:cs="Arial" w:eastAsia="Arial" w:hint="default"/>
          <w:sz w:val="20"/>
          <w:szCs w:val="20"/>
        </w:rPr>
        <w:t>:</w:t>
      </w:r>
      <w:r>
        <w:rPr>
          <w:rFonts w:ascii="宋体" w:hAnsi="宋体" w:cs="宋体" w:eastAsia="宋体" w:hint="default"/>
          <w:sz w:val="20"/>
          <w:szCs w:val="20"/>
        </w:rPr>
        <w:t>人民币</w:t>
      </w:r>
    </w:p>
    <w:tbl>
      <w:tblPr>
        <w:tblW w:w="0" w:type="auto"/>
        <w:jc w:val="left"/>
        <w:tblInd w:w="714" w:type="dxa"/>
        <w:tblLayout w:type="fixed"/>
        <w:tblCellMar>
          <w:top w:w="0" w:type="dxa"/>
          <w:left w:w="0" w:type="dxa"/>
          <w:bottom w:w="0" w:type="dxa"/>
          <w:right w:w="0" w:type="dxa"/>
        </w:tblCellMar>
        <w:tblLook w:val="01E0"/>
      </w:tblPr>
      <w:tblGrid>
        <w:gridCol w:w="2422"/>
        <w:gridCol w:w="2626"/>
        <w:gridCol w:w="3852"/>
      </w:tblGrid>
      <w:tr>
        <w:trPr>
          <w:trHeight w:val="274" w:hRule="exact"/>
        </w:trPr>
        <w:tc>
          <w:tcPr>
            <w:tcW w:w="24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sz w:val="20"/>
                <w:szCs w:val="20"/>
              </w:rPr>
              <w:t>地区</w:t>
            </w:r>
          </w:p>
        </w:tc>
        <w:tc>
          <w:tcPr>
            <w:tcW w:w="2626"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904" w:right="0"/>
              <w:jc w:val="left"/>
              <w:rPr>
                <w:rFonts w:ascii="宋体" w:hAnsi="宋体" w:cs="宋体" w:eastAsia="宋体" w:hint="default"/>
                <w:sz w:val="20"/>
                <w:szCs w:val="20"/>
              </w:rPr>
            </w:pPr>
            <w:r>
              <w:rPr>
                <w:rFonts w:ascii="宋体" w:hAnsi="宋体" w:cs="宋体" w:eastAsia="宋体" w:hint="default"/>
                <w:sz w:val="20"/>
                <w:szCs w:val="20"/>
              </w:rPr>
              <w:t>营业收入</w:t>
            </w:r>
          </w:p>
        </w:tc>
        <w:tc>
          <w:tcPr>
            <w:tcW w:w="385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left="1" w:right="0"/>
              <w:jc w:val="center"/>
              <w:rPr>
                <w:rFonts w:ascii="宋体" w:hAnsi="宋体" w:cs="宋体" w:eastAsia="宋体" w:hint="default"/>
                <w:sz w:val="20"/>
                <w:szCs w:val="20"/>
              </w:rPr>
            </w:pPr>
            <w:r>
              <w:rPr>
                <w:rFonts w:ascii="宋体" w:hAnsi="宋体" w:cs="宋体" w:eastAsia="宋体" w:hint="default"/>
                <w:sz w:val="20"/>
                <w:szCs w:val="20"/>
              </w:rPr>
              <w:t>营业收入比上年增减（％）</w:t>
            </w:r>
          </w:p>
        </w:tc>
      </w:tr>
      <w:tr>
        <w:trPr>
          <w:trHeight w:val="275" w:hRule="exact"/>
        </w:trPr>
        <w:tc>
          <w:tcPr>
            <w:tcW w:w="2422" w:type="dxa"/>
            <w:tcBorders>
              <w:top w:val="single" w:sz="6" w:space="0" w:color="000000"/>
              <w:left w:val="single" w:sz="6" w:space="0" w:color="000000"/>
              <w:bottom w:val="single" w:sz="6" w:space="0" w:color="000000"/>
              <w:right w:val="single" w:sz="6" w:space="0" w:color="000000"/>
            </w:tcBorders>
          </w:tcPr>
          <w:p>
            <w:pPr>
              <w:pStyle w:val="TableParagraph"/>
              <w:spacing w:line="231" w:lineRule="exact"/>
              <w:ind w:right="0"/>
              <w:jc w:val="center"/>
              <w:rPr>
                <w:rFonts w:ascii="宋体" w:hAnsi="宋体" w:cs="宋体" w:eastAsia="宋体" w:hint="default"/>
                <w:sz w:val="20"/>
                <w:szCs w:val="20"/>
              </w:rPr>
            </w:pPr>
            <w:r>
              <w:rPr>
                <w:rFonts w:ascii="宋体" w:hAnsi="宋体" w:cs="宋体" w:eastAsia="宋体" w:hint="default"/>
                <w:sz w:val="20"/>
                <w:szCs w:val="20"/>
              </w:rPr>
              <w:t>全国范围内</w:t>
            </w:r>
          </w:p>
        </w:tc>
        <w:tc>
          <w:tcPr>
            <w:tcW w:w="26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left="943" w:right="0"/>
              <w:jc w:val="left"/>
              <w:rPr>
                <w:rFonts w:ascii="Arial" w:hAnsi="Arial" w:cs="Arial" w:eastAsia="Arial" w:hint="default"/>
                <w:sz w:val="20"/>
                <w:szCs w:val="20"/>
              </w:rPr>
            </w:pPr>
            <w:r>
              <w:rPr>
                <w:rFonts w:ascii="Arial"/>
                <w:sz w:val="20"/>
              </w:rPr>
              <w:t>158,369</w:t>
            </w:r>
          </w:p>
        </w:tc>
        <w:tc>
          <w:tcPr>
            <w:tcW w:w="38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20"/>
                <w:szCs w:val="20"/>
              </w:rPr>
            </w:pPr>
            <w:r>
              <w:rPr>
                <w:rFonts w:ascii="Arial"/>
                <w:sz w:val="20"/>
              </w:rPr>
              <w:t>-3.5</w:t>
            </w:r>
          </w:p>
        </w:tc>
      </w:tr>
    </w:tbl>
    <w:p>
      <w:pPr>
        <w:spacing w:line="240" w:lineRule="auto" w:before="9"/>
        <w:rPr>
          <w:rFonts w:ascii="宋体" w:hAnsi="宋体" w:cs="宋体" w:eastAsia="宋体" w:hint="default"/>
          <w:sz w:val="13"/>
          <w:szCs w:val="13"/>
        </w:rPr>
      </w:pPr>
    </w:p>
    <w:p>
      <w:pPr>
        <w:pStyle w:val="BodyText"/>
        <w:spacing w:line="240" w:lineRule="auto" w:before="31"/>
        <w:ind w:left="329" w:right="3260"/>
        <w:jc w:val="left"/>
      </w:pPr>
      <w:r>
        <w:rPr>
          <w:rFonts w:ascii="Arial" w:hAnsi="Arial" w:cs="Arial" w:eastAsia="Arial" w:hint="default"/>
        </w:rPr>
        <w:t>1</w:t>
      </w:r>
      <w:r>
        <w:rPr/>
        <w:t>、</w:t>
      </w:r>
      <w:r>
        <w:rPr>
          <w:spacing w:val="-35"/>
        </w:rPr>
        <w:t> </w:t>
      </w:r>
      <w:r>
        <w:rPr/>
        <w:t>对公司未来发展的展望</w:t>
      </w:r>
    </w:p>
    <w:p>
      <w:pPr>
        <w:spacing w:line="240" w:lineRule="auto" w:before="13"/>
        <w:rPr>
          <w:rFonts w:ascii="宋体" w:hAnsi="宋体" w:cs="宋体" w:eastAsia="宋体" w:hint="default"/>
          <w:sz w:val="17"/>
          <w:szCs w:val="17"/>
        </w:rPr>
      </w:pPr>
    </w:p>
    <w:p>
      <w:pPr>
        <w:pStyle w:val="BodyText"/>
        <w:spacing w:line="240" w:lineRule="auto"/>
        <w:ind w:left="329" w:right="3260"/>
        <w:jc w:val="left"/>
      </w:pPr>
      <w:r>
        <w:rPr>
          <w:rFonts w:ascii="Arial" w:hAnsi="Arial" w:cs="Arial" w:eastAsia="Arial" w:hint="default"/>
        </w:rPr>
        <w:t>(1) </w:t>
      </w:r>
      <w:r>
        <w:rPr>
          <w:rFonts w:ascii="Arial" w:hAnsi="Arial" w:cs="Arial" w:eastAsia="Arial" w:hint="default"/>
          <w:spacing w:val="26"/>
        </w:rPr>
        <w:t> </w:t>
      </w:r>
      <w:r>
        <w:rPr/>
        <w:t>公司是否编制并披露新年度的盈利预测：否</w:t>
      </w:r>
    </w:p>
    <w:p>
      <w:pPr>
        <w:spacing w:line="240" w:lineRule="auto" w:before="12"/>
        <w:rPr>
          <w:rFonts w:ascii="宋体" w:hAnsi="宋体" w:cs="宋体" w:eastAsia="宋体" w:hint="default"/>
          <w:sz w:val="17"/>
          <w:szCs w:val="17"/>
        </w:rPr>
      </w:pPr>
    </w:p>
    <w:p>
      <w:pPr>
        <w:pStyle w:val="BodyText"/>
        <w:spacing w:line="240" w:lineRule="auto"/>
        <w:ind w:left="119" w:right="3260"/>
        <w:jc w:val="left"/>
      </w:pPr>
      <w:r>
        <w:rPr/>
        <w:t>（三）公司投资情况</w:t>
      </w:r>
    </w:p>
    <w:p>
      <w:pPr>
        <w:spacing w:line="240" w:lineRule="auto" w:before="2"/>
        <w:rPr>
          <w:rFonts w:ascii="宋体" w:hAnsi="宋体" w:cs="宋体" w:eastAsia="宋体" w:hint="default"/>
          <w:sz w:val="19"/>
          <w:szCs w:val="19"/>
        </w:rPr>
      </w:pPr>
    </w:p>
    <w:p>
      <w:pPr>
        <w:pStyle w:val="BodyText"/>
        <w:spacing w:line="465" w:lineRule="auto"/>
        <w:ind w:left="742" w:right="2842" w:hanging="413"/>
        <w:jc w:val="left"/>
      </w:pPr>
      <w:r>
        <w:rPr>
          <w:rFonts w:ascii="Arial" w:hAnsi="Arial" w:cs="Arial" w:eastAsia="Arial" w:hint="default"/>
        </w:rPr>
        <w:t>1</w:t>
      </w:r>
      <w:r>
        <w:rPr/>
        <w:t>、</w:t>
      </w:r>
      <w:r>
        <w:rPr>
          <w:spacing w:val="-34"/>
        </w:rPr>
        <w:t> </w:t>
      </w:r>
      <w:r>
        <w:rPr/>
        <w:t>募集资金使用情况</w:t>
      </w:r>
      <w:r>
        <w:rPr>
          <w:w w:val="99"/>
        </w:rPr>
        <w:t> </w:t>
      </w:r>
      <w:r>
        <w:rPr/>
        <w:t>报告期内，公司无募集资金或前期募集资金使用到本期的情况。</w:t>
      </w:r>
    </w:p>
    <w:p>
      <w:pPr>
        <w:pStyle w:val="BodyText"/>
        <w:spacing w:line="240" w:lineRule="auto" w:before="47"/>
        <w:ind w:left="329" w:right="3260"/>
        <w:jc w:val="left"/>
      </w:pPr>
      <w:r>
        <w:rPr>
          <w:rFonts w:ascii="Arial" w:hAnsi="Arial" w:cs="Arial" w:eastAsia="Arial" w:hint="default"/>
        </w:rPr>
        <w:t>2</w:t>
      </w:r>
      <w:r>
        <w:rPr/>
        <w:t>、</w:t>
      </w:r>
      <w:r>
        <w:rPr>
          <w:spacing w:val="-36"/>
        </w:rPr>
        <w:t> </w:t>
      </w:r>
      <w:r>
        <w:rPr/>
        <w:t>非募集资金项目情况</w:t>
      </w:r>
    </w:p>
    <w:p>
      <w:pPr>
        <w:spacing w:line="240" w:lineRule="auto" w:before="11"/>
        <w:rPr>
          <w:rFonts w:ascii="宋体" w:hAnsi="宋体" w:cs="宋体" w:eastAsia="宋体" w:hint="default"/>
          <w:sz w:val="21"/>
          <w:szCs w:val="21"/>
        </w:rPr>
      </w:pPr>
    </w:p>
    <w:p>
      <w:pPr>
        <w:pStyle w:val="BodyText"/>
        <w:spacing w:line="268" w:lineRule="auto"/>
        <w:ind w:left="741" w:right="125" w:firstLine="1"/>
        <w:jc w:val="left"/>
      </w:pPr>
      <w:r>
        <w:rPr>
          <w:rFonts w:ascii="Arial" w:hAnsi="Arial" w:cs="Arial" w:eastAsia="Arial" w:hint="default"/>
          <w:spacing w:val="2"/>
        </w:rPr>
        <w:t>2009</w:t>
      </w:r>
      <w:r>
        <w:rPr>
          <w:spacing w:val="2"/>
        </w:rPr>
        <w:t>年本公司各项业务资本开支及</w:t>
      </w:r>
      <w:r>
        <w:rPr>
          <w:rFonts w:ascii="Arial" w:hAnsi="Arial" w:cs="Arial" w:eastAsia="Arial" w:hint="default"/>
          <w:spacing w:val="2"/>
        </w:rPr>
        <w:t>2010</w:t>
      </w:r>
      <w:r>
        <w:rPr>
          <w:spacing w:val="2"/>
        </w:rPr>
        <w:t>年预计资本开支详见本节</w:t>
      </w:r>
      <w:r>
        <w:rPr>
          <w:rFonts w:ascii="Arial" w:hAnsi="Arial" w:cs="Arial" w:eastAsia="Arial" w:hint="default"/>
          <w:spacing w:val="2"/>
        </w:rPr>
        <w:t>“</w:t>
      </w:r>
      <w:r>
        <w:rPr>
          <w:spacing w:val="2"/>
        </w:rPr>
        <w:t>管理层讨论与分析－第三</w:t>
      </w:r>
      <w:r>
        <w:rPr>
          <w:spacing w:val="-92"/>
        </w:rPr>
        <w:t> </w:t>
      </w:r>
      <w:r>
        <w:rPr>
          <w:spacing w:val="-92"/>
        </w:rPr>
      </w:r>
      <w:r>
        <w:rPr/>
        <w:t>部分财务状况分析－</w:t>
      </w:r>
      <w:r>
        <w:rPr>
          <w:rFonts w:ascii="Arial" w:hAnsi="Arial" w:cs="Arial" w:eastAsia="Arial" w:hint="default"/>
        </w:rPr>
        <w:t>7</w:t>
      </w:r>
      <w:r>
        <w:rPr/>
        <w:t>、资本开支及现金流</w:t>
      </w:r>
      <w:r>
        <w:rPr>
          <w:rFonts w:ascii="Arial" w:hAnsi="Arial" w:cs="Arial" w:eastAsia="Arial" w:hint="default"/>
        </w:rPr>
        <w:t>”</w:t>
      </w:r>
      <w:r>
        <w:rPr/>
        <w:t>。</w:t>
      </w:r>
    </w:p>
    <w:p>
      <w:pPr>
        <w:spacing w:after="0" w:line="268" w:lineRule="auto"/>
        <w:jc w:val="left"/>
        <w:sectPr>
          <w:pgSz w:w="11910" w:h="16840"/>
          <w:pgMar w:header="587" w:footer="774" w:top="960" w:bottom="960" w:left="1000" w:right="1140"/>
        </w:sectPr>
      </w:pPr>
    </w:p>
    <w:p>
      <w:pPr>
        <w:spacing w:line="240" w:lineRule="auto" w:before="6"/>
        <w:rPr>
          <w:rFonts w:ascii="宋体" w:hAnsi="宋体" w:cs="宋体" w:eastAsia="宋体" w:hint="default"/>
          <w:sz w:val="12"/>
          <w:szCs w:val="12"/>
        </w:rPr>
      </w:pPr>
    </w:p>
    <w:p>
      <w:pPr>
        <w:pStyle w:val="BodyText"/>
        <w:spacing w:line="240" w:lineRule="auto" w:before="31"/>
        <w:ind w:left="119" w:right="99"/>
        <w:jc w:val="left"/>
      </w:pPr>
      <w:r>
        <w:rPr/>
        <w:t>（四）与公允价值计量相关的项目</w:t>
      </w:r>
    </w:p>
    <w:p>
      <w:pPr>
        <w:spacing w:line="240" w:lineRule="auto" w:before="0"/>
        <w:rPr>
          <w:rFonts w:ascii="宋体" w:hAnsi="宋体" w:cs="宋体" w:eastAsia="宋体" w:hint="default"/>
          <w:sz w:val="23"/>
          <w:szCs w:val="23"/>
        </w:rPr>
      </w:pPr>
    </w:p>
    <w:p>
      <w:pPr>
        <w:pStyle w:val="BodyText"/>
        <w:spacing w:line="283" w:lineRule="auto"/>
        <w:ind w:left="741" w:right="99" w:firstLine="1"/>
        <w:jc w:val="left"/>
      </w:pPr>
      <w:r>
        <w:rPr/>
        <w:t>本集团的股份支付是联通红筹公司为了获取员工的服务而授予的以权益结算的股份支付，以</w:t>
      </w:r>
      <w:r>
        <w:rPr>
          <w:spacing w:val="-48"/>
        </w:rPr>
        <w:t> </w:t>
      </w:r>
      <w:r>
        <w:rPr>
          <w:spacing w:val="-48"/>
        </w:rPr>
      </w:r>
      <w:r>
        <w:rPr/>
        <w:t>授予日的公允价值计量。具体请参见财务报表附注五</w:t>
      </w:r>
      <w:r>
        <w:rPr>
          <w:rFonts w:ascii="Arial" w:hAnsi="Arial" w:cs="Arial" w:eastAsia="Arial" w:hint="default"/>
        </w:rPr>
        <w:t>(46)</w:t>
      </w:r>
      <w:r>
        <w:rPr/>
        <w:t>。</w:t>
      </w:r>
    </w:p>
    <w:p>
      <w:pPr>
        <w:spacing w:line="240" w:lineRule="auto" w:before="10"/>
        <w:rPr>
          <w:rFonts w:ascii="宋体" w:hAnsi="宋体" w:cs="宋体" w:eastAsia="宋体" w:hint="default"/>
          <w:sz w:val="18"/>
          <w:szCs w:val="18"/>
        </w:rPr>
      </w:pPr>
    </w:p>
    <w:p>
      <w:pPr>
        <w:pStyle w:val="BodyText"/>
        <w:spacing w:line="283" w:lineRule="auto"/>
        <w:ind w:left="741" w:right="99" w:firstLine="1"/>
        <w:jc w:val="left"/>
      </w:pPr>
      <w:r>
        <w:rPr/>
        <w:t>本集团的可供出售金融资产是子公司持有的交通银行股票和西班牙电信股票，具体请参见财</w:t>
      </w:r>
      <w:r>
        <w:rPr>
          <w:spacing w:val="-48"/>
        </w:rPr>
        <w:t> </w:t>
      </w:r>
      <w:r>
        <w:rPr>
          <w:spacing w:val="-48"/>
        </w:rPr>
      </w:r>
      <w:r>
        <w:rPr/>
        <w:t>务报表附注五</w:t>
      </w:r>
      <w:r>
        <w:rPr>
          <w:rFonts w:ascii="Arial" w:hAnsi="Arial" w:cs="Arial" w:eastAsia="Arial" w:hint="default"/>
        </w:rPr>
        <w:t>(7)</w:t>
      </w:r>
      <w:r>
        <w:rPr/>
        <w:t>以及附注十五。</w:t>
      </w:r>
    </w:p>
    <w:p>
      <w:pPr>
        <w:pStyle w:val="BodyText"/>
        <w:spacing w:line="491" w:lineRule="auto" w:before="193"/>
        <w:ind w:left="742" w:right="1722" w:hanging="623"/>
        <w:jc w:val="left"/>
      </w:pPr>
      <w:r>
        <w:rPr/>
        <w:t>（五）持有外币金融资产、金融负债情况</w:t>
      </w:r>
      <w:r>
        <w:rPr>
          <w:w w:val="99"/>
        </w:rPr>
        <w:t> </w:t>
      </w:r>
      <w:r>
        <w:rPr/>
        <w:t>本集团持有的外币金融资产和金融负债的具体情况请参见财务报表附注十六。</w:t>
      </w:r>
    </w:p>
    <w:p>
      <w:pPr>
        <w:pStyle w:val="BodyText"/>
        <w:spacing w:line="286" w:lineRule="exact" w:before="50"/>
        <w:ind w:left="742" w:right="99" w:hanging="623"/>
        <w:jc w:val="left"/>
      </w:pPr>
      <w:r>
        <w:rPr/>
        <w:t>（六）陈述董事会对公司会计政策、会计估计变更、重大会计差错更正、重大遗漏信息补充以及业</w:t>
      </w:r>
      <w:r>
        <w:rPr>
          <w:w w:val="99"/>
        </w:rPr>
        <w:t> </w:t>
      </w:r>
      <w:r>
        <w:rPr/>
        <w:t>绩预告修正的原因及影响的讨论结果，以及对有关责任人采取的问责措施及处理结果</w:t>
      </w:r>
    </w:p>
    <w:p>
      <w:pPr>
        <w:spacing w:line="240" w:lineRule="auto" w:before="0"/>
        <w:rPr>
          <w:rFonts w:ascii="宋体" w:hAnsi="宋体" w:cs="宋体" w:eastAsia="宋体" w:hint="default"/>
          <w:sz w:val="21"/>
          <w:szCs w:val="21"/>
        </w:rPr>
      </w:pPr>
    </w:p>
    <w:p>
      <w:pPr>
        <w:pStyle w:val="BodyText"/>
        <w:spacing w:line="283" w:lineRule="auto"/>
        <w:ind w:left="741" w:right="99" w:firstLine="1"/>
        <w:jc w:val="left"/>
      </w:pPr>
      <w:r>
        <w:rPr/>
        <w:t>报告期内，公司无重大会计政策、会计估计变更、重大会计差错更正、重大遗漏信息补充以</w:t>
      </w:r>
      <w:r>
        <w:rPr>
          <w:spacing w:val="-48"/>
        </w:rPr>
        <w:t> </w:t>
      </w:r>
      <w:r>
        <w:rPr>
          <w:spacing w:val="-48"/>
        </w:rPr>
      </w:r>
      <w:r>
        <w:rPr/>
        <w:t>及业绩预告修正。</w:t>
      </w:r>
    </w:p>
    <w:p>
      <w:pPr>
        <w:spacing w:line="240" w:lineRule="auto" w:before="4"/>
        <w:rPr>
          <w:rFonts w:ascii="宋体" w:hAnsi="宋体" w:cs="宋体" w:eastAsia="宋体" w:hint="default"/>
          <w:sz w:val="16"/>
          <w:szCs w:val="16"/>
        </w:rPr>
      </w:pPr>
    </w:p>
    <w:p>
      <w:pPr>
        <w:pStyle w:val="BodyText"/>
        <w:spacing w:line="240" w:lineRule="auto"/>
        <w:ind w:left="120" w:right="99"/>
        <w:jc w:val="left"/>
      </w:pPr>
      <w:r>
        <w:rPr/>
        <w:t>（七）董事会日常工作情况</w:t>
      </w:r>
    </w:p>
    <w:p>
      <w:pPr>
        <w:spacing w:line="240" w:lineRule="auto" w:before="1"/>
        <w:rPr>
          <w:rFonts w:ascii="宋体" w:hAnsi="宋体" w:cs="宋体" w:eastAsia="宋体" w:hint="default"/>
          <w:sz w:val="19"/>
          <w:szCs w:val="19"/>
        </w:rPr>
      </w:pPr>
    </w:p>
    <w:p>
      <w:pPr>
        <w:pStyle w:val="BodyText"/>
        <w:spacing w:line="240" w:lineRule="auto"/>
        <w:ind w:left="330" w:right="99"/>
        <w:jc w:val="left"/>
      </w:pPr>
      <w:r>
        <w:rPr>
          <w:rFonts w:ascii="Arial" w:hAnsi="Arial" w:cs="Arial" w:eastAsia="Arial" w:hint="default"/>
        </w:rPr>
        <w:t>1</w:t>
      </w:r>
      <w:r>
        <w:rPr/>
        <w:t>、</w:t>
      </w:r>
      <w:r>
        <w:rPr>
          <w:spacing w:val="-35"/>
        </w:rPr>
        <w:t> </w:t>
      </w:r>
      <w:r>
        <w:rPr/>
        <w:t>董事会会议情况及决议内容</w:t>
      </w:r>
    </w:p>
    <w:p>
      <w:pPr>
        <w:spacing w:line="240" w:lineRule="auto" w:before="9"/>
        <w:rPr>
          <w:rFonts w:ascii="宋体" w:hAnsi="宋体" w:cs="宋体" w:eastAsia="宋体" w:hint="default"/>
          <w:sz w:val="20"/>
          <w:szCs w:val="20"/>
        </w:rPr>
      </w:pPr>
    </w:p>
    <w:tbl>
      <w:tblPr>
        <w:tblW w:w="0" w:type="auto"/>
        <w:jc w:val="left"/>
        <w:tblInd w:w="672" w:type="dxa"/>
        <w:tblLayout w:type="fixed"/>
        <w:tblCellMar>
          <w:top w:w="0" w:type="dxa"/>
          <w:left w:w="0" w:type="dxa"/>
          <w:bottom w:w="0" w:type="dxa"/>
          <w:right w:w="0" w:type="dxa"/>
        </w:tblCellMar>
        <w:tblLook w:val="01E0"/>
      </w:tblPr>
      <w:tblGrid>
        <w:gridCol w:w="1952"/>
        <w:gridCol w:w="2098"/>
        <w:gridCol w:w="3199"/>
        <w:gridCol w:w="1901"/>
      </w:tblGrid>
      <w:tr>
        <w:trPr>
          <w:trHeight w:val="534" w:hRule="exact"/>
        </w:trPr>
        <w:tc>
          <w:tcPr>
            <w:tcW w:w="19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568" w:right="0"/>
              <w:jc w:val="left"/>
              <w:rPr>
                <w:rFonts w:ascii="宋体" w:hAnsi="宋体" w:cs="宋体" w:eastAsia="宋体" w:hint="default"/>
                <w:sz w:val="20"/>
                <w:szCs w:val="20"/>
              </w:rPr>
            </w:pPr>
            <w:r>
              <w:rPr>
                <w:rFonts w:ascii="宋体" w:hAnsi="宋体" w:cs="宋体" w:eastAsia="宋体" w:hint="default"/>
                <w:sz w:val="20"/>
                <w:szCs w:val="20"/>
              </w:rPr>
              <w:t>会议届次</w:t>
            </w:r>
          </w:p>
        </w:tc>
        <w:tc>
          <w:tcPr>
            <w:tcW w:w="20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640" w:right="0"/>
              <w:jc w:val="left"/>
              <w:rPr>
                <w:rFonts w:ascii="宋体" w:hAnsi="宋体" w:cs="宋体" w:eastAsia="宋体" w:hint="default"/>
                <w:sz w:val="20"/>
                <w:szCs w:val="20"/>
              </w:rPr>
            </w:pPr>
            <w:r>
              <w:rPr>
                <w:rFonts w:ascii="宋体" w:hAnsi="宋体" w:cs="宋体" w:eastAsia="宋体" w:hint="default"/>
                <w:sz w:val="20"/>
                <w:szCs w:val="20"/>
              </w:rPr>
              <w:t>召开日期</w:t>
            </w:r>
          </w:p>
        </w:tc>
        <w:tc>
          <w:tcPr>
            <w:tcW w:w="31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right="0"/>
              <w:jc w:val="center"/>
              <w:rPr>
                <w:rFonts w:ascii="宋体" w:hAnsi="宋体" w:cs="宋体" w:eastAsia="宋体" w:hint="default"/>
                <w:sz w:val="20"/>
                <w:szCs w:val="20"/>
              </w:rPr>
            </w:pPr>
            <w:r>
              <w:rPr>
                <w:rFonts w:ascii="宋体" w:hAnsi="宋体" w:cs="宋体" w:eastAsia="宋体" w:hint="default"/>
                <w:sz w:val="20"/>
                <w:szCs w:val="20"/>
              </w:rPr>
              <w:t>决议刊登的信息披露报纸</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right="0"/>
              <w:jc w:val="center"/>
              <w:rPr>
                <w:rFonts w:ascii="宋体" w:hAnsi="宋体" w:cs="宋体" w:eastAsia="宋体" w:hint="default"/>
                <w:sz w:val="20"/>
                <w:szCs w:val="20"/>
              </w:rPr>
            </w:pPr>
            <w:r>
              <w:rPr>
                <w:rFonts w:ascii="宋体" w:hAnsi="宋体" w:cs="宋体" w:eastAsia="宋体" w:hint="default"/>
                <w:sz w:val="20"/>
                <w:szCs w:val="20"/>
              </w:rPr>
              <w:t>决议刊登的信息披</w:t>
            </w:r>
          </w:p>
          <w:p>
            <w:pPr>
              <w:pStyle w:val="TableParagraph"/>
              <w:spacing w:line="260" w:lineRule="exact"/>
              <w:ind w:right="1"/>
              <w:jc w:val="center"/>
              <w:rPr>
                <w:rFonts w:ascii="宋体" w:hAnsi="宋体" w:cs="宋体" w:eastAsia="宋体" w:hint="default"/>
                <w:sz w:val="20"/>
                <w:szCs w:val="20"/>
              </w:rPr>
            </w:pPr>
            <w:r>
              <w:rPr>
                <w:rFonts w:ascii="宋体" w:hAnsi="宋体" w:cs="宋体" w:eastAsia="宋体" w:hint="default"/>
                <w:sz w:val="20"/>
                <w:szCs w:val="20"/>
              </w:rPr>
              <w:t>露日期</w:t>
            </w:r>
          </w:p>
        </w:tc>
      </w:tr>
      <w:tr>
        <w:trPr>
          <w:trHeight w:val="534" w:hRule="exact"/>
        </w:trPr>
        <w:tc>
          <w:tcPr>
            <w:tcW w:w="195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第二届董事会第二</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十七次董事会会议</w:t>
            </w:r>
          </w:p>
        </w:tc>
        <w:tc>
          <w:tcPr>
            <w:tcW w:w="20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21</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9" w:type="dxa"/>
            <w:tcBorders>
              <w:top w:val="single" w:sz="6" w:space="0" w:color="000000"/>
              <w:left w:val="single" w:sz="6" w:space="0" w:color="000000"/>
              <w:bottom w:val="single" w:sz="6" w:space="0" w:color="000000"/>
              <w:right w:val="single" w:sz="6" w:space="0" w:color="000000"/>
            </w:tcBorders>
          </w:tcPr>
          <w:p>
            <w:pPr/>
          </w:p>
        </w:tc>
        <w:tc>
          <w:tcPr>
            <w:tcW w:w="1901" w:type="dxa"/>
            <w:tcBorders>
              <w:top w:val="single" w:sz="6" w:space="0" w:color="000000"/>
              <w:left w:val="single" w:sz="6" w:space="0" w:color="000000"/>
              <w:bottom w:val="single" w:sz="6" w:space="0" w:color="000000"/>
              <w:right w:val="single" w:sz="6" w:space="0" w:color="000000"/>
            </w:tcBorders>
          </w:tcPr>
          <w:p>
            <w:pPr/>
          </w:p>
        </w:tc>
      </w:tr>
      <w:tr>
        <w:trPr>
          <w:trHeight w:val="533" w:hRule="exact"/>
        </w:trPr>
        <w:tc>
          <w:tcPr>
            <w:tcW w:w="195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第二届董事会第二</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十八次董事会会议</w:t>
            </w:r>
          </w:p>
        </w:tc>
        <w:tc>
          <w:tcPr>
            <w:tcW w:w="20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6" w:right="0"/>
              <w:jc w:val="center"/>
              <w:rPr>
                <w:rFonts w:ascii="宋体" w:hAnsi="宋体" w:cs="宋体" w:eastAsia="宋体" w:hint="default"/>
                <w:sz w:val="20"/>
                <w:szCs w:val="20"/>
              </w:rPr>
            </w:pPr>
            <w:r>
              <w:rPr>
                <w:rFonts w:ascii="宋体" w:hAnsi="宋体" w:cs="宋体" w:eastAsia="宋体" w:hint="default"/>
                <w:sz w:val="20"/>
                <w:szCs w:val="20"/>
              </w:rPr>
              <w:t>《中国证券报》、《上海证券报》</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4</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日</w:t>
            </w:r>
          </w:p>
        </w:tc>
      </w:tr>
      <w:tr>
        <w:trPr>
          <w:trHeight w:val="534" w:hRule="exact"/>
        </w:trPr>
        <w:tc>
          <w:tcPr>
            <w:tcW w:w="195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第二届董事会二十</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九次董事会会议</w:t>
            </w:r>
          </w:p>
        </w:tc>
        <w:tc>
          <w:tcPr>
            <w:tcW w:w="20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4</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29</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6" w:right="0"/>
              <w:jc w:val="center"/>
              <w:rPr>
                <w:rFonts w:ascii="宋体" w:hAnsi="宋体" w:cs="宋体" w:eastAsia="宋体" w:hint="default"/>
                <w:sz w:val="20"/>
                <w:szCs w:val="20"/>
              </w:rPr>
            </w:pPr>
            <w:r>
              <w:rPr>
                <w:rFonts w:ascii="宋体" w:hAnsi="宋体" w:cs="宋体" w:eastAsia="宋体" w:hint="default"/>
                <w:sz w:val="20"/>
                <w:szCs w:val="20"/>
              </w:rPr>
              <w:t>《中国证券报》、《上海证券报》</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4</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30</w:t>
            </w:r>
            <w:r>
              <w:rPr>
                <w:rFonts w:ascii="Arial" w:hAnsi="Arial" w:cs="Arial" w:eastAsia="Arial" w:hint="default"/>
                <w:spacing w:val="-5"/>
                <w:sz w:val="20"/>
                <w:szCs w:val="20"/>
              </w:rPr>
              <w:t> </w:t>
            </w:r>
            <w:r>
              <w:rPr>
                <w:rFonts w:ascii="宋体" w:hAnsi="宋体" w:cs="宋体" w:eastAsia="宋体" w:hint="default"/>
                <w:sz w:val="20"/>
                <w:szCs w:val="20"/>
              </w:rPr>
              <w:t>日</w:t>
            </w:r>
          </w:p>
        </w:tc>
      </w:tr>
      <w:tr>
        <w:trPr>
          <w:trHeight w:val="534" w:hRule="exact"/>
        </w:trPr>
        <w:tc>
          <w:tcPr>
            <w:tcW w:w="195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第二届董事会第三</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十次董事会会议</w:t>
            </w:r>
          </w:p>
        </w:tc>
        <w:tc>
          <w:tcPr>
            <w:tcW w:w="20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8</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28</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6" w:right="0"/>
              <w:jc w:val="center"/>
              <w:rPr>
                <w:rFonts w:ascii="宋体" w:hAnsi="宋体" w:cs="宋体" w:eastAsia="宋体" w:hint="default"/>
                <w:sz w:val="20"/>
                <w:szCs w:val="20"/>
              </w:rPr>
            </w:pPr>
            <w:r>
              <w:rPr>
                <w:rFonts w:ascii="宋体" w:hAnsi="宋体" w:cs="宋体" w:eastAsia="宋体" w:hint="default"/>
                <w:sz w:val="20"/>
                <w:szCs w:val="20"/>
              </w:rPr>
              <w:t>《中国证券报》、《上海证券报》</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8</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29</w:t>
            </w:r>
            <w:r>
              <w:rPr>
                <w:rFonts w:ascii="Arial" w:hAnsi="Arial" w:cs="Arial" w:eastAsia="Arial" w:hint="default"/>
                <w:spacing w:val="-5"/>
                <w:sz w:val="20"/>
                <w:szCs w:val="20"/>
              </w:rPr>
              <w:t> </w:t>
            </w:r>
            <w:r>
              <w:rPr>
                <w:rFonts w:ascii="宋体" w:hAnsi="宋体" w:cs="宋体" w:eastAsia="宋体" w:hint="default"/>
                <w:sz w:val="20"/>
                <w:szCs w:val="20"/>
              </w:rPr>
              <w:t>日</w:t>
            </w:r>
          </w:p>
        </w:tc>
      </w:tr>
      <w:tr>
        <w:trPr>
          <w:trHeight w:val="534" w:hRule="exact"/>
        </w:trPr>
        <w:tc>
          <w:tcPr>
            <w:tcW w:w="195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第二届董事会第三</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十一次董事会会议</w:t>
            </w:r>
          </w:p>
        </w:tc>
        <w:tc>
          <w:tcPr>
            <w:tcW w:w="20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9</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25</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6" w:right="0"/>
              <w:jc w:val="center"/>
              <w:rPr>
                <w:rFonts w:ascii="宋体" w:hAnsi="宋体" w:cs="宋体" w:eastAsia="宋体" w:hint="default"/>
                <w:sz w:val="20"/>
                <w:szCs w:val="20"/>
              </w:rPr>
            </w:pPr>
            <w:r>
              <w:rPr>
                <w:rFonts w:ascii="宋体" w:hAnsi="宋体" w:cs="宋体" w:eastAsia="宋体" w:hint="default"/>
                <w:sz w:val="20"/>
                <w:szCs w:val="20"/>
              </w:rPr>
              <w:t>《中国证券报》、《上海证券报》</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9</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28</w:t>
            </w:r>
            <w:r>
              <w:rPr>
                <w:rFonts w:ascii="Arial" w:hAnsi="Arial" w:cs="Arial" w:eastAsia="Arial" w:hint="default"/>
                <w:spacing w:val="-5"/>
                <w:sz w:val="20"/>
                <w:szCs w:val="20"/>
              </w:rPr>
              <w:t> </w:t>
            </w:r>
            <w:r>
              <w:rPr>
                <w:rFonts w:ascii="宋体" w:hAnsi="宋体" w:cs="宋体" w:eastAsia="宋体" w:hint="default"/>
                <w:sz w:val="20"/>
                <w:szCs w:val="20"/>
              </w:rPr>
              <w:t>日</w:t>
            </w:r>
          </w:p>
        </w:tc>
      </w:tr>
      <w:tr>
        <w:trPr>
          <w:trHeight w:val="534" w:hRule="exact"/>
        </w:trPr>
        <w:tc>
          <w:tcPr>
            <w:tcW w:w="195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第二届董事会第三</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十二次董事会会议</w:t>
            </w:r>
          </w:p>
        </w:tc>
        <w:tc>
          <w:tcPr>
            <w:tcW w:w="20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10</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15</w:t>
            </w:r>
            <w:r>
              <w:rPr>
                <w:rFonts w:ascii="Arial" w:hAnsi="Arial" w:cs="Arial" w:eastAsia="Arial" w:hint="default"/>
                <w:spacing w:val="-6"/>
                <w:sz w:val="20"/>
                <w:szCs w:val="20"/>
              </w:rPr>
              <w:t> </w:t>
            </w:r>
            <w:r>
              <w:rPr>
                <w:rFonts w:ascii="宋体" w:hAnsi="宋体" w:cs="宋体" w:eastAsia="宋体" w:hint="default"/>
                <w:sz w:val="20"/>
                <w:szCs w:val="20"/>
              </w:rPr>
              <w:t>日</w:t>
            </w:r>
          </w:p>
        </w:tc>
        <w:tc>
          <w:tcPr>
            <w:tcW w:w="31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7" w:right="0"/>
              <w:jc w:val="center"/>
              <w:rPr>
                <w:rFonts w:ascii="宋体" w:hAnsi="宋体" w:cs="宋体" w:eastAsia="宋体" w:hint="default"/>
                <w:sz w:val="20"/>
                <w:szCs w:val="20"/>
              </w:rPr>
            </w:pPr>
            <w:r>
              <w:rPr>
                <w:rFonts w:ascii="宋体" w:hAnsi="宋体" w:cs="宋体" w:eastAsia="宋体" w:hint="default"/>
                <w:sz w:val="20"/>
                <w:szCs w:val="20"/>
              </w:rPr>
              <w:t>《中国证券报》、《上海证券报》</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8"/>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10</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17</w:t>
            </w:r>
            <w:r>
              <w:rPr>
                <w:rFonts w:ascii="Arial" w:hAnsi="Arial" w:cs="Arial" w:eastAsia="Arial" w:hint="default"/>
                <w:spacing w:val="-19"/>
                <w:sz w:val="20"/>
                <w:szCs w:val="20"/>
              </w:rPr>
              <w:t> </w:t>
            </w:r>
            <w:r>
              <w:rPr>
                <w:rFonts w:ascii="宋体" w:hAnsi="宋体" w:cs="宋体" w:eastAsia="宋体" w:hint="default"/>
                <w:sz w:val="20"/>
                <w:szCs w:val="20"/>
              </w:rPr>
              <w:t>日</w:t>
            </w:r>
          </w:p>
        </w:tc>
      </w:tr>
      <w:tr>
        <w:trPr>
          <w:trHeight w:val="533" w:hRule="exact"/>
        </w:trPr>
        <w:tc>
          <w:tcPr>
            <w:tcW w:w="195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第二届董事会第三</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十三次董事会会议</w:t>
            </w:r>
          </w:p>
        </w:tc>
        <w:tc>
          <w:tcPr>
            <w:tcW w:w="20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10</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30</w:t>
            </w:r>
            <w:r>
              <w:rPr>
                <w:rFonts w:ascii="Arial" w:hAnsi="Arial" w:cs="Arial" w:eastAsia="Arial" w:hint="default"/>
                <w:spacing w:val="-6"/>
                <w:sz w:val="20"/>
                <w:szCs w:val="20"/>
              </w:rPr>
              <w:t> </w:t>
            </w:r>
            <w:r>
              <w:rPr>
                <w:rFonts w:ascii="宋体" w:hAnsi="宋体" w:cs="宋体" w:eastAsia="宋体" w:hint="default"/>
                <w:sz w:val="20"/>
                <w:szCs w:val="20"/>
              </w:rPr>
              <w:t>日</w:t>
            </w:r>
          </w:p>
        </w:tc>
        <w:tc>
          <w:tcPr>
            <w:tcW w:w="31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7" w:right="0"/>
              <w:jc w:val="center"/>
              <w:rPr>
                <w:rFonts w:ascii="宋体" w:hAnsi="宋体" w:cs="宋体" w:eastAsia="宋体" w:hint="default"/>
                <w:sz w:val="20"/>
                <w:szCs w:val="20"/>
              </w:rPr>
            </w:pPr>
            <w:r>
              <w:rPr>
                <w:rFonts w:ascii="宋体" w:hAnsi="宋体" w:cs="宋体" w:eastAsia="宋体" w:hint="default"/>
                <w:sz w:val="20"/>
                <w:szCs w:val="20"/>
              </w:rPr>
              <w:t>《中国证券报》、《上海证券报》</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8"/>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10</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31</w:t>
            </w:r>
            <w:r>
              <w:rPr>
                <w:rFonts w:ascii="Arial" w:hAnsi="Arial" w:cs="Arial" w:eastAsia="Arial" w:hint="default"/>
                <w:spacing w:val="-19"/>
                <w:sz w:val="20"/>
                <w:szCs w:val="20"/>
              </w:rPr>
              <w:t> </w:t>
            </w:r>
            <w:r>
              <w:rPr>
                <w:rFonts w:ascii="宋体" w:hAnsi="宋体" w:cs="宋体" w:eastAsia="宋体" w:hint="default"/>
                <w:sz w:val="20"/>
                <w:szCs w:val="20"/>
              </w:rPr>
              <w:t>日</w:t>
            </w:r>
          </w:p>
        </w:tc>
      </w:tr>
      <w:tr>
        <w:trPr>
          <w:trHeight w:val="534" w:hRule="exact"/>
        </w:trPr>
        <w:tc>
          <w:tcPr>
            <w:tcW w:w="195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第三届董事会第一</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次董事会会议</w:t>
            </w:r>
          </w:p>
        </w:tc>
        <w:tc>
          <w:tcPr>
            <w:tcW w:w="20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11</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6</w:t>
            </w:r>
            <w:r>
              <w:rPr>
                <w:rFonts w:ascii="Arial" w:hAnsi="Arial" w:cs="Arial" w:eastAsia="Arial" w:hint="default"/>
                <w:spacing w:val="-7"/>
                <w:sz w:val="20"/>
                <w:szCs w:val="20"/>
              </w:rPr>
              <w:t> </w:t>
            </w:r>
            <w:r>
              <w:rPr>
                <w:rFonts w:ascii="宋体" w:hAnsi="宋体" w:cs="宋体" w:eastAsia="宋体" w:hint="default"/>
                <w:sz w:val="20"/>
                <w:szCs w:val="20"/>
              </w:rPr>
              <w:t>日</w:t>
            </w:r>
          </w:p>
        </w:tc>
        <w:tc>
          <w:tcPr>
            <w:tcW w:w="31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7" w:right="0"/>
              <w:jc w:val="center"/>
              <w:rPr>
                <w:rFonts w:ascii="宋体" w:hAnsi="宋体" w:cs="宋体" w:eastAsia="宋体" w:hint="default"/>
                <w:sz w:val="20"/>
                <w:szCs w:val="20"/>
              </w:rPr>
            </w:pPr>
            <w:r>
              <w:rPr>
                <w:rFonts w:ascii="宋体" w:hAnsi="宋体" w:cs="宋体" w:eastAsia="宋体" w:hint="default"/>
                <w:sz w:val="20"/>
                <w:szCs w:val="20"/>
              </w:rPr>
              <w:t>《中国证券报》、《上海证券报》</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8"/>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11</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10</w:t>
            </w:r>
            <w:r>
              <w:rPr>
                <w:rFonts w:ascii="Arial" w:hAnsi="Arial" w:cs="Arial" w:eastAsia="Arial" w:hint="default"/>
                <w:spacing w:val="-19"/>
                <w:sz w:val="20"/>
                <w:szCs w:val="20"/>
              </w:rPr>
              <w:t> </w:t>
            </w:r>
            <w:r>
              <w:rPr>
                <w:rFonts w:ascii="宋体" w:hAnsi="宋体" w:cs="宋体" w:eastAsia="宋体" w:hint="default"/>
                <w:sz w:val="20"/>
                <w:szCs w:val="20"/>
              </w:rPr>
              <w:t>日</w:t>
            </w:r>
          </w:p>
        </w:tc>
      </w:tr>
      <w:tr>
        <w:trPr>
          <w:trHeight w:val="534" w:hRule="exact"/>
        </w:trPr>
        <w:tc>
          <w:tcPr>
            <w:tcW w:w="195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董事会会议情况的</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说明</w:t>
            </w:r>
          </w:p>
        </w:tc>
        <w:tc>
          <w:tcPr>
            <w:tcW w:w="7198" w:type="dxa"/>
            <w:gridSpan w:val="3"/>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w w:val="100"/>
                <w:sz w:val="20"/>
                <w:szCs w:val="20"/>
              </w:rPr>
              <w:t>公司第</w:t>
            </w:r>
            <w:r>
              <w:rPr>
                <w:rFonts w:ascii="宋体" w:hAnsi="宋体" w:cs="宋体" w:eastAsia="宋体" w:hint="default"/>
                <w:spacing w:val="-2"/>
                <w:w w:val="100"/>
                <w:sz w:val="20"/>
                <w:szCs w:val="20"/>
              </w:rPr>
              <w:t>二</w:t>
            </w:r>
            <w:r>
              <w:rPr>
                <w:rFonts w:ascii="宋体" w:hAnsi="宋体" w:cs="宋体" w:eastAsia="宋体" w:hint="default"/>
                <w:w w:val="100"/>
                <w:sz w:val="20"/>
                <w:szCs w:val="20"/>
              </w:rPr>
              <w:t>届</w:t>
            </w:r>
            <w:r>
              <w:rPr>
                <w:rFonts w:ascii="宋体" w:hAnsi="宋体" w:cs="宋体" w:eastAsia="宋体" w:hint="default"/>
                <w:spacing w:val="-2"/>
                <w:w w:val="100"/>
                <w:sz w:val="20"/>
                <w:szCs w:val="20"/>
              </w:rPr>
              <w:t>董</w:t>
            </w:r>
            <w:r>
              <w:rPr>
                <w:rFonts w:ascii="宋体" w:hAnsi="宋体" w:cs="宋体" w:eastAsia="宋体" w:hint="default"/>
                <w:w w:val="100"/>
                <w:sz w:val="20"/>
                <w:szCs w:val="20"/>
              </w:rPr>
              <w:t>事会第</w:t>
            </w:r>
            <w:r>
              <w:rPr>
                <w:rFonts w:ascii="宋体" w:hAnsi="宋体" w:cs="宋体" w:eastAsia="宋体" w:hint="default"/>
                <w:spacing w:val="-2"/>
                <w:w w:val="100"/>
                <w:sz w:val="20"/>
                <w:szCs w:val="20"/>
              </w:rPr>
              <w:t>二</w:t>
            </w:r>
            <w:r>
              <w:rPr>
                <w:rFonts w:ascii="宋体" w:hAnsi="宋体" w:cs="宋体" w:eastAsia="宋体" w:hint="default"/>
                <w:w w:val="100"/>
                <w:sz w:val="20"/>
                <w:szCs w:val="20"/>
              </w:rPr>
              <w:t>十</w:t>
            </w:r>
            <w:r>
              <w:rPr>
                <w:rFonts w:ascii="宋体" w:hAnsi="宋体" w:cs="宋体" w:eastAsia="宋体" w:hint="default"/>
                <w:spacing w:val="-2"/>
                <w:w w:val="100"/>
                <w:sz w:val="20"/>
                <w:szCs w:val="20"/>
              </w:rPr>
              <w:t>七</w:t>
            </w:r>
            <w:r>
              <w:rPr>
                <w:rFonts w:ascii="宋体" w:hAnsi="宋体" w:cs="宋体" w:eastAsia="宋体" w:hint="default"/>
                <w:w w:val="100"/>
                <w:sz w:val="20"/>
                <w:szCs w:val="20"/>
              </w:rPr>
              <w:t>次会</w:t>
            </w:r>
            <w:r>
              <w:rPr>
                <w:rFonts w:ascii="宋体" w:hAnsi="宋体" w:cs="宋体" w:eastAsia="宋体" w:hint="default"/>
                <w:spacing w:val="-2"/>
                <w:w w:val="100"/>
                <w:sz w:val="20"/>
                <w:szCs w:val="20"/>
              </w:rPr>
              <w:t>议</w:t>
            </w:r>
            <w:r>
              <w:rPr>
                <w:rFonts w:ascii="宋体" w:hAnsi="宋体" w:cs="宋体" w:eastAsia="宋体" w:hint="default"/>
                <w:w w:val="100"/>
                <w:sz w:val="20"/>
                <w:szCs w:val="20"/>
              </w:rPr>
              <w:t>于</w:t>
            </w:r>
            <w:r>
              <w:rPr>
                <w:rFonts w:ascii="宋体" w:hAnsi="宋体" w:cs="宋体" w:eastAsia="宋体" w:hint="default"/>
                <w:spacing w:val="-50"/>
                <w:sz w:val="20"/>
                <w:szCs w:val="20"/>
              </w:rPr>
              <w:t> </w:t>
            </w:r>
            <w:r>
              <w:rPr>
                <w:rFonts w:ascii="Arial" w:hAnsi="Arial" w:cs="Arial" w:eastAsia="Arial" w:hint="default"/>
                <w:w w:val="100"/>
                <w:sz w:val="20"/>
                <w:szCs w:val="20"/>
              </w:rPr>
              <w:t>2</w:t>
            </w:r>
            <w:r>
              <w:rPr>
                <w:rFonts w:ascii="Arial" w:hAnsi="Arial" w:cs="Arial" w:eastAsia="Arial" w:hint="default"/>
                <w:spacing w:val="-2"/>
                <w:w w:val="100"/>
                <w:sz w:val="20"/>
                <w:szCs w:val="20"/>
              </w:rPr>
              <w:t>00</w:t>
            </w:r>
            <w:r>
              <w:rPr>
                <w:rFonts w:ascii="Arial" w:hAnsi="Arial" w:cs="Arial" w:eastAsia="Arial" w:hint="default"/>
                <w:w w:val="100"/>
                <w:sz w:val="20"/>
                <w:szCs w:val="20"/>
              </w:rPr>
              <w:t>9</w:t>
            </w:r>
            <w:r>
              <w:rPr>
                <w:rFonts w:ascii="Arial" w:hAnsi="Arial" w:cs="Arial" w:eastAsia="Arial" w:hint="default"/>
                <w:spacing w:val="-5"/>
                <w:sz w:val="20"/>
                <w:szCs w:val="20"/>
              </w:rPr>
              <w:t> </w:t>
            </w:r>
            <w:r>
              <w:rPr>
                <w:rFonts w:ascii="宋体" w:hAnsi="宋体" w:cs="宋体" w:eastAsia="宋体" w:hint="default"/>
                <w:w w:val="100"/>
                <w:sz w:val="20"/>
                <w:szCs w:val="20"/>
              </w:rPr>
              <w:t>年</w:t>
            </w:r>
            <w:r>
              <w:rPr>
                <w:rFonts w:ascii="宋体" w:hAnsi="宋体" w:cs="宋体" w:eastAsia="宋体" w:hint="default"/>
                <w:spacing w:val="-51"/>
                <w:sz w:val="20"/>
                <w:szCs w:val="20"/>
              </w:rPr>
              <w:t> </w:t>
            </w:r>
            <w:r>
              <w:rPr>
                <w:rFonts w:ascii="Arial" w:hAnsi="Arial" w:cs="Arial" w:eastAsia="Arial" w:hint="default"/>
                <w:w w:val="100"/>
                <w:sz w:val="20"/>
                <w:szCs w:val="20"/>
              </w:rPr>
              <w:t>1</w:t>
            </w:r>
            <w:r>
              <w:rPr>
                <w:rFonts w:ascii="Arial" w:hAnsi="Arial" w:cs="Arial" w:eastAsia="Arial" w:hint="default"/>
                <w:spacing w:val="-7"/>
                <w:sz w:val="20"/>
                <w:szCs w:val="20"/>
              </w:rPr>
              <w:t> </w:t>
            </w:r>
            <w:r>
              <w:rPr>
                <w:rFonts w:ascii="宋体" w:hAnsi="宋体" w:cs="宋体" w:eastAsia="宋体" w:hint="default"/>
                <w:w w:val="100"/>
                <w:sz w:val="20"/>
                <w:szCs w:val="20"/>
              </w:rPr>
              <w:t>月</w:t>
            </w:r>
            <w:r>
              <w:rPr>
                <w:rFonts w:ascii="宋体" w:hAnsi="宋体" w:cs="宋体" w:eastAsia="宋体" w:hint="default"/>
                <w:spacing w:val="-50"/>
                <w:sz w:val="20"/>
                <w:szCs w:val="20"/>
              </w:rPr>
              <w:t> </w:t>
            </w:r>
            <w:r>
              <w:rPr>
                <w:rFonts w:ascii="Arial" w:hAnsi="Arial" w:cs="Arial" w:eastAsia="Arial" w:hint="default"/>
                <w:spacing w:val="-2"/>
                <w:w w:val="100"/>
                <w:sz w:val="20"/>
                <w:szCs w:val="20"/>
              </w:rPr>
              <w:t>2</w:t>
            </w:r>
            <w:r>
              <w:rPr>
                <w:rFonts w:ascii="Arial" w:hAnsi="Arial" w:cs="Arial" w:eastAsia="Arial" w:hint="default"/>
                <w:w w:val="100"/>
                <w:sz w:val="20"/>
                <w:szCs w:val="20"/>
              </w:rPr>
              <w:t>1</w:t>
            </w:r>
            <w:r>
              <w:rPr>
                <w:rFonts w:ascii="Arial" w:hAnsi="Arial" w:cs="Arial" w:eastAsia="Arial" w:hint="default"/>
                <w:spacing w:val="-7"/>
                <w:sz w:val="20"/>
                <w:szCs w:val="20"/>
              </w:rPr>
              <w:t> </w:t>
            </w:r>
            <w:r>
              <w:rPr>
                <w:rFonts w:ascii="宋体" w:hAnsi="宋体" w:cs="宋体" w:eastAsia="宋体" w:hint="default"/>
                <w:w w:val="100"/>
                <w:sz w:val="20"/>
                <w:szCs w:val="20"/>
              </w:rPr>
              <w:t>日在北</w:t>
            </w:r>
            <w:r>
              <w:rPr>
                <w:rFonts w:ascii="宋体" w:hAnsi="宋体" w:cs="宋体" w:eastAsia="宋体" w:hint="default"/>
                <w:spacing w:val="-2"/>
                <w:w w:val="100"/>
                <w:sz w:val="20"/>
                <w:szCs w:val="20"/>
              </w:rPr>
              <w:t>京</w:t>
            </w:r>
            <w:r>
              <w:rPr>
                <w:rFonts w:ascii="宋体" w:hAnsi="宋体" w:cs="宋体" w:eastAsia="宋体" w:hint="default"/>
                <w:w w:val="100"/>
                <w:sz w:val="20"/>
                <w:szCs w:val="20"/>
              </w:rPr>
              <w:t>召</w:t>
            </w:r>
            <w:r>
              <w:rPr>
                <w:rFonts w:ascii="宋体" w:hAnsi="宋体" w:cs="宋体" w:eastAsia="宋体" w:hint="default"/>
                <w:spacing w:val="-2"/>
                <w:w w:val="100"/>
                <w:sz w:val="20"/>
                <w:szCs w:val="20"/>
              </w:rPr>
              <w:t>开</w:t>
            </w:r>
            <w:r>
              <w:rPr>
                <w:rFonts w:ascii="宋体" w:hAnsi="宋体" w:cs="宋体" w:eastAsia="宋体" w:hint="default"/>
                <w:spacing w:val="-98"/>
                <w:w w:val="100"/>
                <w:sz w:val="20"/>
                <w:szCs w:val="20"/>
              </w:rPr>
              <w:t>。</w:t>
            </w:r>
            <w:r>
              <w:rPr>
                <w:rFonts w:ascii="宋体" w:hAnsi="宋体" w:cs="宋体" w:eastAsia="宋体" w:hint="default"/>
                <w:w w:val="100"/>
                <w:sz w:val="20"/>
                <w:szCs w:val="20"/>
              </w:rPr>
              <w:t>会</w:t>
            </w:r>
            <w:r>
              <w:rPr>
                <w:rFonts w:ascii="宋体" w:hAnsi="宋体" w:cs="宋体" w:eastAsia="宋体" w:hint="default"/>
                <w:spacing w:val="-2"/>
                <w:w w:val="100"/>
                <w:sz w:val="20"/>
                <w:szCs w:val="20"/>
              </w:rPr>
              <w:t>议</w:t>
            </w:r>
            <w:r>
              <w:rPr>
                <w:rFonts w:ascii="宋体" w:hAnsi="宋体" w:cs="宋体" w:eastAsia="宋体" w:hint="default"/>
                <w:w w:val="100"/>
                <w:sz w:val="20"/>
                <w:szCs w:val="20"/>
              </w:rPr>
              <w:t>讨论了</w:t>
            </w:r>
          </w:p>
          <w:p>
            <w:pPr>
              <w:pStyle w:val="TableParagraph"/>
              <w:spacing w:line="268"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53"/>
                <w:sz w:val="20"/>
                <w:szCs w:val="20"/>
              </w:rPr>
              <w:t> </w:t>
            </w:r>
            <w:r>
              <w:rPr>
                <w:rFonts w:ascii="Arial" w:hAnsi="Arial" w:cs="Arial" w:eastAsia="Arial" w:hint="default"/>
                <w:sz w:val="20"/>
                <w:szCs w:val="20"/>
              </w:rPr>
              <w:t>3G</w:t>
            </w:r>
            <w:r>
              <w:rPr>
                <w:rFonts w:ascii="Arial" w:hAnsi="Arial" w:cs="Arial" w:eastAsia="Arial" w:hint="default"/>
                <w:spacing w:val="-8"/>
                <w:sz w:val="20"/>
                <w:szCs w:val="20"/>
              </w:rPr>
              <w:t> </w:t>
            </w:r>
            <w:r>
              <w:rPr>
                <w:rFonts w:ascii="宋体" w:hAnsi="宋体" w:cs="宋体" w:eastAsia="宋体" w:hint="default"/>
                <w:sz w:val="20"/>
                <w:szCs w:val="20"/>
              </w:rPr>
              <w:t>业务发展策略、公司</w:t>
            </w:r>
            <w:r>
              <w:rPr>
                <w:rFonts w:ascii="宋体" w:hAnsi="宋体" w:cs="宋体" w:eastAsia="宋体" w:hint="default"/>
                <w:spacing w:val="-53"/>
                <w:sz w:val="20"/>
                <w:szCs w:val="20"/>
              </w:rPr>
              <w:t> </w:t>
            </w:r>
            <w:r>
              <w:rPr>
                <w:rFonts w:ascii="Arial" w:hAnsi="Arial" w:cs="Arial" w:eastAsia="Arial" w:hint="default"/>
                <w:sz w:val="20"/>
                <w:szCs w:val="20"/>
              </w:rPr>
              <w:t>2009</w:t>
            </w:r>
            <w:r>
              <w:rPr>
                <w:rFonts w:ascii="Arial" w:hAnsi="Arial" w:cs="Arial" w:eastAsia="Arial" w:hint="default"/>
                <w:spacing w:val="-10"/>
                <w:sz w:val="20"/>
                <w:szCs w:val="20"/>
              </w:rPr>
              <w:t> </w:t>
            </w:r>
            <w:r>
              <w:rPr>
                <w:rFonts w:ascii="宋体" w:hAnsi="宋体" w:cs="宋体" w:eastAsia="宋体" w:hint="default"/>
                <w:sz w:val="20"/>
                <w:szCs w:val="20"/>
              </w:rPr>
              <w:t>年度财务预算草案以及公司其他事项。</w:t>
            </w:r>
          </w:p>
        </w:tc>
      </w:tr>
    </w:tbl>
    <w:p>
      <w:pPr>
        <w:spacing w:line="240" w:lineRule="auto" w:before="5"/>
        <w:rPr>
          <w:rFonts w:ascii="宋体" w:hAnsi="宋体" w:cs="宋体" w:eastAsia="宋体" w:hint="default"/>
          <w:sz w:val="12"/>
          <w:szCs w:val="12"/>
        </w:rPr>
      </w:pPr>
    </w:p>
    <w:p>
      <w:pPr>
        <w:pStyle w:val="BodyText"/>
        <w:spacing w:line="465" w:lineRule="auto" w:before="31"/>
        <w:ind w:left="742" w:right="5022" w:hanging="413"/>
        <w:jc w:val="left"/>
      </w:pPr>
      <w:r>
        <w:rPr>
          <w:rFonts w:ascii="Arial" w:hAnsi="Arial" w:cs="Arial" w:eastAsia="Arial" w:hint="default"/>
        </w:rPr>
        <w:t>2</w:t>
      </w:r>
      <w:r>
        <w:rPr/>
        <w:t>、</w:t>
      </w:r>
      <w:r>
        <w:rPr>
          <w:spacing w:val="-34"/>
        </w:rPr>
        <w:t> </w:t>
      </w:r>
      <w:r>
        <w:rPr/>
        <w:t>董事会对股东大会决议的执行情况</w:t>
      </w:r>
      <w:r>
        <w:rPr>
          <w:w w:val="99"/>
        </w:rPr>
        <w:t> </w:t>
      </w:r>
      <w:r>
        <w:rPr/>
        <w:t>股东大会所通过的决议全部得到执行落实。</w:t>
      </w:r>
    </w:p>
    <w:p>
      <w:pPr>
        <w:pStyle w:val="BodyText"/>
        <w:spacing w:line="240" w:lineRule="auto" w:before="46"/>
        <w:ind w:left="329" w:right="99"/>
        <w:jc w:val="left"/>
      </w:pPr>
      <w:r>
        <w:rPr>
          <w:rFonts w:ascii="Arial" w:hAnsi="Arial" w:cs="Arial" w:eastAsia="Arial" w:hint="default"/>
        </w:rPr>
        <w:t>3</w:t>
      </w:r>
      <w:r>
        <w:rPr/>
        <w:t>、</w:t>
      </w:r>
      <w:r>
        <w:rPr>
          <w:spacing w:val="-36"/>
        </w:rPr>
        <w:t> </w:t>
      </w:r>
      <w:r>
        <w:rPr/>
        <w:t>董事会下设的审计委员会相关工作制度的建立健全情况、主要内容以及履职情况汇总报告</w:t>
      </w:r>
    </w:p>
    <w:p>
      <w:pPr>
        <w:spacing w:after="0" w:line="240" w:lineRule="auto"/>
        <w:jc w:val="left"/>
        <w:sectPr>
          <w:pgSz w:w="11910" w:h="16840"/>
          <w:pgMar w:header="587" w:footer="774" w:top="960" w:bottom="960" w:left="1000" w:right="940"/>
        </w:sectPr>
      </w:pPr>
    </w:p>
    <w:p>
      <w:pPr>
        <w:spacing w:line="240" w:lineRule="auto" w:before="5"/>
        <w:rPr>
          <w:rFonts w:ascii="宋体" w:hAnsi="宋体" w:cs="宋体" w:eastAsia="宋体" w:hint="default"/>
          <w:sz w:val="16"/>
          <w:szCs w:val="16"/>
        </w:rPr>
      </w:pPr>
    </w:p>
    <w:p>
      <w:pPr>
        <w:pStyle w:val="BodyText"/>
        <w:spacing w:line="240" w:lineRule="auto" w:before="31"/>
        <w:ind w:left="562" w:right="99"/>
        <w:jc w:val="left"/>
      </w:pPr>
      <w:r>
        <w:rPr>
          <w:rFonts w:ascii="Arial" w:hAnsi="Arial" w:cs="Arial" w:eastAsia="Arial" w:hint="default"/>
        </w:rPr>
        <w:t>2009</w:t>
      </w:r>
      <w:r>
        <w:rPr/>
        <w:t>年董事会下设的审计委员会的履职情况汇总：</w:t>
      </w:r>
    </w:p>
    <w:p>
      <w:pPr>
        <w:spacing w:line="240" w:lineRule="auto" w:before="12"/>
        <w:rPr>
          <w:rFonts w:ascii="宋体" w:hAnsi="宋体" w:cs="宋体" w:eastAsia="宋体" w:hint="default"/>
          <w:sz w:val="26"/>
          <w:szCs w:val="26"/>
        </w:rPr>
      </w:pPr>
    </w:p>
    <w:p>
      <w:pPr>
        <w:pStyle w:val="BodyText"/>
        <w:spacing w:line="286" w:lineRule="exact"/>
        <w:ind w:left="513" w:right="252" w:hanging="364"/>
        <w:jc w:val="left"/>
      </w:pPr>
      <w:r>
        <w:rPr>
          <w:rFonts w:ascii="Arial" w:hAnsi="Arial" w:cs="Arial" w:eastAsia="Arial" w:hint="default"/>
        </w:rPr>
        <w:t>3.1</w:t>
      </w:r>
      <w:r>
        <w:rPr>
          <w:rFonts w:ascii="Arial" w:hAnsi="Arial" w:cs="Arial" w:eastAsia="Arial" w:hint="default"/>
          <w:spacing w:val="-5"/>
        </w:rPr>
        <w:t> </w:t>
      </w:r>
      <w:r>
        <w:rPr/>
        <w:t>第二届董事会审计委员会第十五次会议于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w:t>
      </w:r>
      <w:r>
        <w:rPr>
          <w:rFonts w:ascii="Arial" w:hAnsi="Arial" w:cs="Arial" w:eastAsia="Arial" w:hint="default"/>
          <w:spacing w:val="-7"/>
        </w:rPr>
        <w:t> </w:t>
      </w:r>
      <w:r>
        <w:rPr/>
        <w:t>月</w:t>
      </w:r>
      <w:r>
        <w:rPr>
          <w:spacing w:val="-56"/>
        </w:rPr>
        <w:t> </w:t>
      </w:r>
      <w:r>
        <w:rPr>
          <w:rFonts w:ascii="Arial" w:hAnsi="Arial" w:cs="Arial" w:eastAsia="Arial" w:hint="default"/>
        </w:rPr>
        <w:t>21</w:t>
      </w:r>
      <w:r>
        <w:rPr>
          <w:rFonts w:ascii="Arial" w:hAnsi="Arial" w:cs="Arial" w:eastAsia="Arial" w:hint="default"/>
          <w:spacing w:val="-7"/>
        </w:rPr>
        <w:t> </w:t>
      </w:r>
      <w:r>
        <w:rPr/>
        <w:t>日召开，会议听取了外部审计师关</w:t>
      </w:r>
      <w:r>
        <w:rPr>
          <w:w w:val="99"/>
        </w:rPr>
        <w:t> </w:t>
      </w:r>
      <w:r>
        <w:rPr/>
        <w:t>于审计工作安排等情况的汇报。</w:t>
      </w:r>
    </w:p>
    <w:p>
      <w:pPr>
        <w:spacing w:line="240" w:lineRule="auto" w:before="2"/>
        <w:rPr>
          <w:rFonts w:ascii="宋体" w:hAnsi="宋体" w:cs="宋体" w:eastAsia="宋体" w:hint="default"/>
          <w:sz w:val="17"/>
          <w:szCs w:val="17"/>
        </w:rPr>
      </w:pPr>
    </w:p>
    <w:p>
      <w:pPr>
        <w:pStyle w:val="BodyText"/>
        <w:spacing w:line="240" w:lineRule="auto"/>
        <w:ind w:left="149" w:right="99"/>
        <w:jc w:val="left"/>
      </w:pPr>
      <w:r>
        <w:rPr>
          <w:rFonts w:ascii="Arial" w:hAnsi="Arial" w:cs="Arial" w:eastAsia="Arial" w:hint="default"/>
        </w:rPr>
        <w:t>3.2</w:t>
      </w:r>
      <w:r>
        <w:rPr>
          <w:rFonts w:ascii="Arial" w:hAnsi="Arial" w:cs="Arial" w:eastAsia="Arial" w:hint="default"/>
          <w:spacing w:val="51"/>
        </w:rPr>
        <w:t> </w:t>
      </w:r>
      <w:r>
        <w:rPr/>
        <w:t>第二届董事会审计委员会第十六次会议于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3</w:t>
      </w:r>
      <w:r>
        <w:rPr>
          <w:rFonts w:ascii="Arial" w:hAnsi="Arial" w:cs="Arial" w:eastAsia="Arial" w:hint="default"/>
          <w:spacing w:val="-7"/>
        </w:rPr>
        <w:t> </w:t>
      </w:r>
      <w:r>
        <w:rPr/>
        <w:t>月</w:t>
      </w:r>
      <w:r>
        <w:rPr>
          <w:spacing w:val="-56"/>
        </w:rPr>
        <w:t> </w:t>
      </w:r>
      <w:r>
        <w:rPr>
          <w:rFonts w:ascii="Arial" w:hAnsi="Arial" w:cs="Arial" w:eastAsia="Arial" w:hint="default"/>
        </w:rPr>
        <w:t>30</w:t>
      </w:r>
      <w:r>
        <w:rPr>
          <w:rFonts w:ascii="Arial" w:hAnsi="Arial" w:cs="Arial" w:eastAsia="Arial" w:hint="default"/>
          <w:spacing w:val="-7"/>
        </w:rPr>
        <w:t> </w:t>
      </w:r>
      <w:r>
        <w:rPr/>
        <w:t>日召开，审议并通过了以下事项：</w:t>
      </w:r>
    </w:p>
    <w:p>
      <w:pPr>
        <w:spacing w:line="240" w:lineRule="auto" w:before="12"/>
        <w:rPr>
          <w:rFonts w:ascii="宋体" w:hAnsi="宋体" w:cs="宋体" w:eastAsia="宋体" w:hint="default"/>
          <w:sz w:val="17"/>
          <w:szCs w:val="17"/>
        </w:rPr>
      </w:pPr>
    </w:p>
    <w:p>
      <w:pPr>
        <w:pStyle w:val="BodyText"/>
        <w:spacing w:line="240" w:lineRule="auto"/>
        <w:ind w:left="548" w:right="99"/>
        <w:jc w:val="left"/>
      </w:pPr>
      <w:r>
        <w:rPr>
          <w:rFonts w:ascii="Arial" w:hAnsi="Arial" w:cs="Arial" w:eastAsia="Arial" w:hint="default"/>
        </w:rPr>
        <w:t>3.2.1</w:t>
      </w:r>
      <w:r>
        <w:rPr>
          <w:rFonts w:ascii="Arial" w:hAnsi="Arial" w:cs="Arial" w:eastAsia="Arial" w:hint="default"/>
          <w:spacing w:val="-8"/>
        </w:rPr>
        <w:t> </w:t>
      </w:r>
      <w:r>
        <w:rPr/>
        <w:t>公司</w:t>
      </w:r>
      <w:r>
        <w:rPr>
          <w:spacing w:val="-57"/>
        </w:rPr>
        <w:t> </w:t>
      </w:r>
      <w:r>
        <w:rPr>
          <w:rFonts w:ascii="Arial" w:hAnsi="Arial" w:cs="Arial" w:eastAsia="Arial" w:hint="default"/>
        </w:rPr>
        <w:t>2008</w:t>
      </w:r>
      <w:r>
        <w:rPr>
          <w:rFonts w:ascii="Arial" w:hAnsi="Arial" w:cs="Arial" w:eastAsia="Arial" w:hint="default"/>
          <w:spacing w:val="-8"/>
        </w:rPr>
        <w:t> </w:t>
      </w:r>
      <w:r>
        <w:rPr/>
        <w:t>年年度报告中的财务报告、财务决算报告</w:t>
      </w:r>
    </w:p>
    <w:p>
      <w:pPr>
        <w:spacing w:line="240" w:lineRule="auto" w:before="13"/>
        <w:rPr>
          <w:rFonts w:ascii="宋体" w:hAnsi="宋体" w:cs="宋体" w:eastAsia="宋体" w:hint="default"/>
          <w:sz w:val="17"/>
          <w:szCs w:val="17"/>
        </w:rPr>
      </w:pPr>
    </w:p>
    <w:p>
      <w:pPr>
        <w:pStyle w:val="BodyText"/>
        <w:spacing w:line="240" w:lineRule="auto"/>
        <w:ind w:left="548" w:right="99"/>
        <w:jc w:val="left"/>
      </w:pPr>
      <w:r>
        <w:rPr>
          <w:rFonts w:ascii="Arial" w:hAnsi="Arial" w:cs="Arial" w:eastAsia="Arial" w:hint="default"/>
        </w:rPr>
        <w:t>3.2.2</w:t>
      </w:r>
      <w:r>
        <w:rPr>
          <w:rFonts w:ascii="Arial" w:hAnsi="Arial" w:cs="Arial" w:eastAsia="Arial" w:hint="default"/>
          <w:spacing w:val="-8"/>
        </w:rPr>
        <w:t> </w:t>
      </w:r>
      <w:r>
        <w:rPr/>
        <w:t>公司</w:t>
      </w:r>
      <w:r>
        <w:rPr>
          <w:spacing w:val="-57"/>
        </w:rPr>
        <w:t> </w:t>
      </w:r>
      <w:r>
        <w:rPr>
          <w:rFonts w:ascii="Arial" w:hAnsi="Arial" w:cs="Arial" w:eastAsia="Arial" w:hint="default"/>
        </w:rPr>
        <w:t>2008</w:t>
      </w:r>
      <w:r>
        <w:rPr>
          <w:rFonts w:ascii="Arial" w:hAnsi="Arial" w:cs="Arial" w:eastAsia="Arial" w:hint="default"/>
          <w:spacing w:val="-8"/>
        </w:rPr>
        <w:t> </w:t>
      </w:r>
      <w:r>
        <w:rPr/>
        <w:t>年度计提资产减值准备及核销资产损失的议案</w:t>
      </w:r>
    </w:p>
    <w:p>
      <w:pPr>
        <w:spacing w:line="240" w:lineRule="auto" w:before="12"/>
        <w:rPr>
          <w:rFonts w:ascii="宋体" w:hAnsi="宋体" w:cs="宋体" w:eastAsia="宋体" w:hint="default"/>
          <w:sz w:val="17"/>
          <w:szCs w:val="17"/>
        </w:rPr>
      </w:pPr>
    </w:p>
    <w:p>
      <w:pPr>
        <w:pStyle w:val="BodyText"/>
        <w:spacing w:line="240" w:lineRule="auto"/>
        <w:ind w:left="548" w:right="99"/>
        <w:jc w:val="left"/>
      </w:pPr>
      <w:r>
        <w:rPr>
          <w:rFonts w:ascii="Arial" w:hAnsi="Arial" w:cs="Arial" w:eastAsia="Arial" w:hint="default"/>
        </w:rPr>
        <w:t>3.2.3</w:t>
      </w:r>
      <w:r>
        <w:rPr>
          <w:rFonts w:ascii="Arial" w:hAnsi="Arial" w:cs="Arial" w:eastAsia="Arial" w:hint="default"/>
          <w:spacing w:val="-9"/>
        </w:rPr>
        <w:t> </w:t>
      </w:r>
      <w:r>
        <w:rPr/>
        <w:t>关于聘请会计师事务所的议案</w:t>
      </w:r>
    </w:p>
    <w:p>
      <w:pPr>
        <w:spacing w:line="240" w:lineRule="auto" w:before="13"/>
        <w:rPr>
          <w:rFonts w:ascii="宋体" w:hAnsi="宋体" w:cs="宋体" w:eastAsia="宋体" w:hint="default"/>
          <w:sz w:val="17"/>
          <w:szCs w:val="17"/>
        </w:rPr>
      </w:pPr>
    </w:p>
    <w:p>
      <w:pPr>
        <w:pStyle w:val="BodyText"/>
        <w:spacing w:line="240" w:lineRule="auto"/>
        <w:ind w:left="541" w:right="99"/>
        <w:jc w:val="left"/>
      </w:pPr>
      <w:r>
        <w:rPr>
          <w:rFonts w:ascii="Arial" w:hAnsi="Arial" w:cs="Arial" w:eastAsia="Arial" w:hint="default"/>
        </w:rPr>
        <w:t>3.2.4</w:t>
      </w:r>
      <w:r>
        <w:rPr>
          <w:rFonts w:ascii="Arial" w:hAnsi="Arial" w:cs="Arial" w:eastAsia="Arial" w:hint="default"/>
          <w:spacing w:val="-8"/>
        </w:rPr>
        <w:t> </w:t>
      </w:r>
      <w:r>
        <w:rPr/>
        <w:t>关于公司</w:t>
      </w:r>
      <w:r>
        <w:rPr>
          <w:spacing w:val="-57"/>
        </w:rPr>
        <w:t> </w:t>
      </w:r>
      <w:r>
        <w:rPr>
          <w:rFonts w:ascii="Arial" w:hAnsi="Arial" w:cs="Arial" w:eastAsia="Arial" w:hint="default"/>
        </w:rPr>
        <w:t>2008</w:t>
      </w:r>
      <w:r>
        <w:rPr>
          <w:rFonts w:ascii="Arial" w:hAnsi="Arial" w:cs="Arial" w:eastAsia="Arial" w:hint="default"/>
          <w:spacing w:val="-8"/>
        </w:rPr>
        <w:t> </w:t>
      </w:r>
      <w:r>
        <w:rPr/>
        <w:t>年内控和内部审计工作情况以及内控自我评估报告的议案</w:t>
      </w:r>
    </w:p>
    <w:p>
      <w:pPr>
        <w:spacing w:line="240" w:lineRule="auto" w:before="13"/>
        <w:rPr>
          <w:rFonts w:ascii="宋体" w:hAnsi="宋体" w:cs="宋体" w:eastAsia="宋体" w:hint="default"/>
          <w:sz w:val="17"/>
          <w:szCs w:val="17"/>
        </w:rPr>
      </w:pPr>
    </w:p>
    <w:p>
      <w:pPr>
        <w:pStyle w:val="BodyText"/>
        <w:spacing w:line="240" w:lineRule="auto"/>
        <w:ind w:left="1058" w:right="99"/>
        <w:jc w:val="left"/>
      </w:pPr>
      <w:r>
        <w:rPr/>
        <w:t>会议经表决一致同意上述议案并提交董事会审议。</w:t>
      </w:r>
    </w:p>
    <w:p>
      <w:pPr>
        <w:spacing w:line="240" w:lineRule="auto" w:before="3"/>
        <w:rPr>
          <w:rFonts w:ascii="宋体" w:hAnsi="宋体" w:cs="宋体" w:eastAsia="宋体" w:hint="default"/>
          <w:sz w:val="21"/>
          <w:szCs w:val="21"/>
        </w:rPr>
      </w:pPr>
    </w:p>
    <w:p>
      <w:pPr>
        <w:pStyle w:val="BodyText"/>
        <w:spacing w:line="286" w:lineRule="exact"/>
        <w:ind w:left="1058" w:right="99"/>
        <w:jc w:val="left"/>
      </w:pPr>
      <w:r>
        <w:rPr/>
        <w:t>会议听取并讨论了普华永道审计师有关年报审计过程中发现的问题和相关意见及财务部</w:t>
      </w:r>
      <w:r>
        <w:rPr>
          <w:spacing w:val="-99"/>
        </w:rPr>
        <w:t> </w:t>
      </w:r>
      <w:r>
        <w:rPr>
          <w:spacing w:val="-99"/>
        </w:rPr>
      </w:r>
      <w:r>
        <w:rPr/>
        <w:t>关于审计师所提问题的改进措施。</w:t>
      </w:r>
    </w:p>
    <w:p>
      <w:pPr>
        <w:spacing w:line="240" w:lineRule="auto" w:before="13"/>
        <w:rPr>
          <w:rFonts w:ascii="宋体" w:hAnsi="宋体" w:cs="宋体" w:eastAsia="宋体" w:hint="default"/>
          <w:sz w:val="17"/>
          <w:szCs w:val="17"/>
        </w:rPr>
      </w:pPr>
    </w:p>
    <w:p>
      <w:pPr>
        <w:pStyle w:val="BodyText"/>
        <w:spacing w:line="230" w:lineRule="auto"/>
        <w:ind w:left="1058" w:right="92"/>
        <w:jc w:val="left"/>
      </w:pPr>
      <w:r>
        <w:rPr/>
        <w:t>会议认为公司管理层对内部控制和外部审计过程中所发现的问题及提出的审计建议给予</w:t>
      </w:r>
      <w:r>
        <w:rPr>
          <w:spacing w:val="-99"/>
        </w:rPr>
        <w:t> </w:t>
      </w:r>
      <w:r>
        <w:rPr>
          <w:spacing w:val="-99"/>
        </w:rPr>
      </w:r>
      <w:r>
        <w:rPr/>
        <w:t>了高度重视，制定的改进措施是可行的，希望公司在</w:t>
      </w:r>
      <w:r>
        <w:rPr>
          <w:spacing w:val="-68"/>
        </w:rPr>
        <w:t> </w:t>
      </w:r>
      <w:r>
        <w:rPr>
          <w:rFonts w:ascii="Arial" w:hAnsi="Arial" w:cs="Arial" w:eastAsia="Arial" w:hint="default"/>
        </w:rPr>
        <w:t>2009</w:t>
      </w:r>
      <w:r>
        <w:rPr>
          <w:rFonts w:ascii="Arial" w:hAnsi="Arial" w:cs="Arial" w:eastAsia="Arial" w:hint="default"/>
          <w:spacing w:val="-19"/>
        </w:rPr>
        <w:t> </w:t>
      </w:r>
      <w:r>
        <w:rPr/>
        <w:t>年切实加以落实，强化内控，</w:t>
      </w:r>
      <w:r>
        <w:rPr>
          <w:w w:val="99"/>
        </w:rPr>
        <w:t> </w:t>
      </w:r>
      <w:r>
        <w:rPr/>
        <w:t>不断提高公司的各项管理水平。</w:t>
      </w:r>
    </w:p>
    <w:p>
      <w:pPr>
        <w:spacing w:line="240" w:lineRule="auto" w:before="4"/>
        <w:rPr>
          <w:rFonts w:ascii="宋体" w:hAnsi="宋体" w:cs="宋体" w:eastAsia="宋体" w:hint="default"/>
          <w:sz w:val="19"/>
          <w:szCs w:val="19"/>
        </w:rPr>
      </w:pPr>
    </w:p>
    <w:p>
      <w:pPr>
        <w:pStyle w:val="BodyText"/>
        <w:spacing w:line="294" w:lineRule="exact"/>
        <w:ind w:left="149" w:right="99"/>
        <w:jc w:val="left"/>
        <w:rPr>
          <w:rFonts w:ascii="Arial" w:hAnsi="Arial" w:cs="Arial" w:eastAsia="Arial" w:hint="default"/>
        </w:rPr>
      </w:pPr>
      <w:r>
        <w:rPr>
          <w:rFonts w:ascii="Arial" w:hAnsi="Arial" w:cs="Arial" w:eastAsia="Arial" w:hint="default"/>
        </w:rPr>
        <w:t>3.3</w:t>
      </w:r>
      <w:r>
        <w:rPr>
          <w:rFonts w:ascii="Arial" w:hAnsi="Arial" w:cs="Arial" w:eastAsia="Arial" w:hint="default"/>
          <w:spacing w:val="-5"/>
        </w:rPr>
        <w:t> </w:t>
      </w:r>
      <w:r>
        <w:rPr/>
        <w:t>第二届董事会审计委员会第十七次会议于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4</w:t>
      </w:r>
      <w:r>
        <w:rPr>
          <w:rFonts w:ascii="Arial" w:hAnsi="Arial" w:cs="Arial" w:eastAsia="Arial" w:hint="default"/>
          <w:spacing w:val="-7"/>
        </w:rPr>
        <w:t> </w:t>
      </w:r>
      <w:r>
        <w:rPr/>
        <w:t>月</w:t>
      </w:r>
      <w:r>
        <w:rPr>
          <w:spacing w:val="-56"/>
        </w:rPr>
        <w:t> </w:t>
      </w:r>
      <w:r>
        <w:rPr>
          <w:rFonts w:ascii="Arial" w:hAnsi="Arial" w:cs="Arial" w:eastAsia="Arial" w:hint="default"/>
        </w:rPr>
        <w:t>28</w:t>
      </w:r>
      <w:r>
        <w:rPr>
          <w:rFonts w:ascii="Arial" w:hAnsi="Arial" w:cs="Arial" w:eastAsia="Arial" w:hint="default"/>
          <w:spacing w:val="-7"/>
        </w:rPr>
        <w:t> </w:t>
      </w:r>
      <w:r>
        <w:rPr>
          <w:spacing w:val="-5"/>
        </w:rPr>
        <w:t>日召开，审议并同意将《公司</w:t>
      </w:r>
      <w:r>
        <w:rPr>
          <w:spacing w:val="-56"/>
        </w:rPr>
        <w:t> </w:t>
      </w:r>
      <w:r>
        <w:rPr>
          <w:rFonts w:ascii="Arial" w:hAnsi="Arial" w:cs="Arial" w:eastAsia="Arial" w:hint="default"/>
        </w:rPr>
        <w:t>2009</w:t>
      </w:r>
    </w:p>
    <w:p>
      <w:pPr>
        <w:pStyle w:val="BodyText"/>
        <w:spacing w:line="278" w:lineRule="exact"/>
        <w:ind w:left="512" w:right="99"/>
        <w:jc w:val="left"/>
      </w:pPr>
      <w:r>
        <w:rPr/>
        <w:t>年第一季度报告（草案）》提交董事会审议。</w:t>
      </w:r>
    </w:p>
    <w:p>
      <w:pPr>
        <w:spacing w:line="240" w:lineRule="auto" w:before="2"/>
        <w:rPr>
          <w:rFonts w:ascii="宋体" w:hAnsi="宋体" w:cs="宋体" w:eastAsia="宋体" w:hint="default"/>
          <w:sz w:val="19"/>
          <w:szCs w:val="19"/>
        </w:rPr>
      </w:pPr>
    </w:p>
    <w:p>
      <w:pPr>
        <w:pStyle w:val="BodyText"/>
        <w:spacing w:line="240" w:lineRule="auto"/>
        <w:ind w:left="149" w:right="99"/>
        <w:jc w:val="left"/>
      </w:pPr>
      <w:r>
        <w:rPr>
          <w:rFonts w:ascii="Arial" w:hAnsi="Arial" w:cs="Arial" w:eastAsia="Arial" w:hint="default"/>
        </w:rPr>
        <w:t>3.4</w:t>
      </w:r>
      <w:r>
        <w:rPr>
          <w:rFonts w:ascii="Arial" w:hAnsi="Arial" w:cs="Arial" w:eastAsia="Arial" w:hint="default"/>
          <w:spacing w:val="-5"/>
        </w:rPr>
        <w:t> </w:t>
      </w:r>
      <w:r>
        <w:rPr/>
        <w:t>第二届董事会审计委员会第十八次会议于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8</w:t>
      </w:r>
      <w:r>
        <w:rPr>
          <w:rFonts w:ascii="Arial" w:hAnsi="Arial" w:cs="Arial" w:eastAsia="Arial" w:hint="default"/>
          <w:spacing w:val="-7"/>
        </w:rPr>
        <w:t> </w:t>
      </w:r>
      <w:r>
        <w:rPr/>
        <w:t>月</w:t>
      </w:r>
      <w:r>
        <w:rPr>
          <w:spacing w:val="-56"/>
        </w:rPr>
        <w:t> </w:t>
      </w:r>
      <w:r>
        <w:rPr>
          <w:rFonts w:ascii="Arial" w:hAnsi="Arial" w:cs="Arial" w:eastAsia="Arial" w:hint="default"/>
        </w:rPr>
        <w:t>27</w:t>
      </w:r>
      <w:r>
        <w:rPr>
          <w:rFonts w:ascii="Arial" w:hAnsi="Arial" w:cs="Arial" w:eastAsia="Arial" w:hint="default"/>
          <w:spacing w:val="-7"/>
        </w:rPr>
        <w:t> </w:t>
      </w:r>
      <w:r>
        <w:rPr/>
        <w:t>日召开，审议并通过了以下事项：</w:t>
      </w:r>
    </w:p>
    <w:p>
      <w:pPr>
        <w:spacing w:line="240" w:lineRule="auto" w:before="13"/>
        <w:rPr>
          <w:rFonts w:ascii="宋体" w:hAnsi="宋体" w:cs="宋体" w:eastAsia="宋体" w:hint="default"/>
          <w:sz w:val="17"/>
          <w:szCs w:val="17"/>
        </w:rPr>
      </w:pPr>
    </w:p>
    <w:p>
      <w:pPr>
        <w:pStyle w:val="BodyText"/>
        <w:spacing w:line="240" w:lineRule="auto"/>
        <w:ind w:left="638" w:right="99"/>
        <w:jc w:val="left"/>
      </w:pPr>
      <w:r>
        <w:rPr>
          <w:rFonts w:ascii="Arial" w:hAnsi="Arial" w:cs="Arial" w:eastAsia="Arial" w:hint="default"/>
        </w:rPr>
        <w:t>3.4.1</w:t>
      </w:r>
      <w:r>
        <w:rPr>
          <w:rFonts w:ascii="Arial" w:hAnsi="Arial" w:cs="Arial" w:eastAsia="Arial" w:hint="default"/>
          <w:spacing w:val="-8"/>
        </w:rPr>
        <w:t> </w:t>
      </w:r>
      <w:r>
        <w:rPr/>
        <w:t>审议《公司</w:t>
      </w:r>
      <w:r>
        <w:rPr>
          <w:spacing w:val="-57"/>
        </w:rPr>
        <w:t> </w:t>
      </w:r>
      <w:r>
        <w:rPr>
          <w:rFonts w:ascii="Arial" w:hAnsi="Arial" w:cs="Arial" w:eastAsia="Arial" w:hint="default"/>
        </w:rPr>
        <w:t>2009</w:t>
      </w:r>
      <w:r>
        <w:rPr>
          <w:rFonts w:ascii="Arial" w:hAnsi="Arial" w:cs="Arial" w:eastAsia="Arial" w:hint="default"/>
          <w:spacing w:val="-8"/>
        </w:rPr>
        <w:t> </w:t>
      </w:r>
      <w:r>
        <w:rPr/>
        <w:t>年半年度报告》</w:t>
      </w:r>
    </w:p>
    <w:p>
      <w:pPr>
        <w:spacing w:line="240" w:lineRule="auto" w:before="12"/>
        <w:rPr>
          <w:rFonts w:ascii="宋体" w:hAnsi="宋体" w:cs="宋体" w:eastAsia="宋体" w:hint="default"/>
          <w:sz w:val="17"/>
          <w:szCs w:val="17"/>
        </w:rPr>
      </w:pPr>
    </w:p>
    <w:p>
      <w:pPr>
        <w:pStyle w:val="BodyText"/>
        <w:spacing w:line="240" w:lineRule="auto"/>
        <w:ind w:left="638" w:right="99"/>
        <w:jc w:val="left"/>
      </w:pPr>
      <w:r>
        <w:rPr>
          <w:rFonts w:ascii="Arial" w:hAnsi="Arial" w:cs="Arial" w:eastAsia="Arial" w:hint="default"/>
        </w:rPr>
        <w:t>3.4.2 2009</w:t>
      </w:r>
      <w:r>
        <w:rPr>
          <w:rFonts w:ascii="Arial" w:hAnsi="Arial" w:cs="Arial" w:eastAsia="Arial" w:hint="default"/>
          <w:spacing w:val="-10"/>
        </w:rPr>
        <w:t> </w:t>
      </w:r>
      <w:r>
        <w:rPr/>
        <w:t>年内控工作的中期汇报</w:t>
      </w:r>
    </w:p>
    <w:p>
      <w:pPr>
        <w:spacing w:line="240" w:lineRule="auto" w:before="13"/>
        <w:rPr>
          <w:rFonts w:ascii="宋体" w:hAnsi="宋体" w:cs="宋体" w:eastAsia="宋体" w:hint="default"/>
          <w:sz w:val="17"/>
          <w:szCs w:val="17"/>
        </w:rPr>
      </w:pPr>
    </w:p>
    <w:p>
      <w:pPr>
        <w:pStyle w:val="BodyText"/>
        <w:spacing w:line="240" w:lineRule="auto"/>
        <w:ind w:left="1058" w:right="99"/>
        <w:jc w:val="left"/>
      </w:pPr>
      <w:r>
        <w:rPr/>
        <w:t>会议经表决一致同意《公司</w:t>
      </w:r>
      <w:r>
        <w:rPr>
          <w:spacing w:val="-57"/>
        </w:rPr>
        <w:t> </w:t>
      </w:r>
      <w:r>
        <w:rPr>
          <w:rFonts w:ascii="Arial" w:hAnsi="Arial" w:cs="Arial" w:eastAsia="Arial" w:hint="default"/>
        </w:rPr>
        <w:t>2009</w:t>
      </w:r>
      <w:r>
        <w:rPr>
          <w:rFonts w:ascii="Arial" w:hAnsi="Arial" w:cs="Arial" w:eastAsia="Arial" w:hint="default"/>
          <w:spacing w:val="-8"/>
        </w:rPr>
        <w:t> </w:t>
      </w:r>
      <w:r>
        <w:rPr/>
        <w:t>年半年度报告》并提交董事会审议。</w:t>
      </w:r>
    </w:p>
    <w:p>
      <w:pPr>
        <w:spacing w:line="240" w:lineRule="auto" w:before="12"/>
        <w:rPr>
          <w:rFonts w:ascii="宋体" w:hAnsi="宋体" w:cs="宋体" w:eastAsia="宋体" w:hint="default"/>
          <w:sz w:val="17"/>
          <w:szCs w:val="17"/>
        </w:rPr>
      </w:pPr>
    </w:p>
    <w:p>
      <w:pPr>
        <w:pStyle w:val="BodyText"/>
        <w:spacing w:line="294" w:lineRule="exact"/>
        <w:ind w:left="1058" w:right="99"/>
        <w:jc w:val="left"/>
      </w:pPr>
      <w:r>
        <w:rPr/>
        <w:t>会议听取和讨论外部审计师有关 </w:t>
      </w:r>
      <w:r>
        <w:rPr>
          <w:rFonts w:ascii="Arial" w:hAnsi="Arial" w:cs="Arial" w:eastAsia="Arial" w:hint="default"/>
        </w:rPr>
        <w:t>2009</w:t>
      </w:r>
      <w:r>
        <w:rPr>
          <w:rFonts w:ascii="Arial" w:hAnsi="Arial" w:cs="Arial" w:eastAsia="Arial" w:hint="default"/>
          <w:spacing w:val="20"/>
        </w:rPr>
        <w:t> </w:t>
      </w:r>
      <w:r>
        <w:rPr/>
        <w:t>年中期审阅情况及发现的问题、及财务部关于对</w:t>
      </w:r>
    </w:p>
    <w:p>
      <w:pPr>
        <w:pStyle w:val="BodyText"/>
        <w:spacing w:line="294" w:lineRule="exact"/>
        <w:ind w:left="1059" w:right="99"/>
        <w:jc w:val="left"/>
      </w:pPr>
      <w:r>
        <w:rPr>
          <w:rFonts w:ascii="Arial" w:hAnsi="Arial" w:cs="Arial" w:eastAsia="Arial" w:hint="default"/>
        </w:rPr>
        <w:t>2009</w:t>
      </w:r>
      <w:r>
        <w:rPr>
          <w:rFonts w:ascii="Arial" w:hAnsi="Arial" w:cs="Arial" w:eastAsia="Arial" w:hint="default"/>
          <w:spacing w:val="-8"/>
        </w:rPr>
        <w:t> </w:t>
      </w:r>
      <w:r>
        <w:rPr/>
        <w:t>年中期审阅发现的问题的回应及整改汇报。</w:t>
      </w:r>
    </w:p>
    <w:p>
      <w:pPr>
        <w:spacing w:line="240" w:lineRule="auto" w:before="13"/>
        <w:rPr>
          <w:rFonts w:ascii="宋体" w:hAnsi="宋体" w:cs="宋体" w:eastAsia="宋体" w:hint="default"/>
          <w:sz w:val="17"/>
          <w:szCs w:val="17"/>
        </w:rPr>
      </w:pPr>
    </w:p>
    <w:p>
      <w:pPr>
        <w:pStyle w:val="BodyText"/>
        <w:spacing w:line="240" w:lineRule="auto"/>
        <w:ind w:left="1059" w:right="99"/>
        <w:jc w:val="left"/>
      </w:pPr>
      <w:r>
        <w:rPr/>
        <w:t>审计委员会就</w:t>
      </w:r>
      <w:r>
        <w:rPr>
          <w:spacing w:val="-57"/>
        </w:rPr>
        <w:t> </w:t>
      </w:r>
      <w:r>
        <w:rPr>
          <w:rFonts w:ascii="Arial" w:hAnsi="Arial" w:cs="Arial" w:eastAsia="Arial" w:hint="default"/>
        </w:rPr>
        <w:t>2009</w:t>
      </w:r>
      <w:r>
        <w:rPr>
          <w:rFonts w:ascii="Arial" w:hAnsi="Arial" w:cs="Arial" w:eastAsia="Arial" w:hint="default"/>
          <w:spacing w:val="-8"/>
        </w:rPr>
        <w:t> </w:t>
      </w:r>
      <w:r>
        <w:rPr/>
        <w:t>年度审计工作初步安排听取了外部审计师的汇报。</w:t>
      </w:r>
    </w:p>
    <w:p>
      <w:pPr>
        <w:spacing w:line="240" w:lineRule="auto" w:before="0"/>
        <w:rPr>
          <w:rFonts w:ascii="宋体" w:hAnsi="宋体" w:cs="宋体" w:eastAsia="宋体" w:hint="default"/>
          <w:sz w:val="20"/>
          <w:szCs w:val="20"/>
        </w:rPr>
      </w:pPr>
    </w:p>
    <w:p>
      <w:pPr>
        <w:pStyle w:val="BodyText"/>
        <w:spacing w:line="286" w:lineRule="exact"/>
        <w:ind w:left="1059" w:right="99"/>
        <w:jc w:val="left"/>
      </w:pPr>
      <w:r>
        <w:rPr/>
        <w:t>审计委员会确认公司管理层针对公司聘请的普华永道中天会计师事务所提出的内控建议</w:t>
      </w:r>
      <w:r>
        <w:rPr>
          <w:spacing w:val="-99"/>
        </w:rPr>
        <w:t> </w:t>
      </w:r>
      <w:r>
        <w:rPr>
          <w:spacing w:val="-99"/>
        </w:rPr>
      </w:r>
      <w:r>
        <w:rPr/>
        <w:t>而制定的相应改进措施，希望予以落实。</w:t>
      </w:r>
    </w:p>
    <w:p>
      <w:pPr>
        <w:spacing w:line="240" w:lineRule="auto" w:before="2"/>
        <w:rPr>
          <w:rFonts w:ascii="宋体" w:hAnsi="宋体" w:cs="宋体" w:eastAsia="宋体" w:hint="default"/>
          <w:sz w:val="17"/>
          <w:szCs w:val="17"/>
        </w:rPr>
      </w:pPr>
    </w:p>
    <w:p>
      <w:pPr>
        <w:pStyle w:val="BodyText"/>
        <w:spacing w:line="294" w:lineRule="exact"/>
        <w:ind w:left="149" w:right="99"/>
        <w:jc w:val="left"/>
        <w:rPr>
          <w:rFonts w:ascii="Arial" w:hAnsi="Arial" w:cs="Arial" w:eastAsia="Arial" w:hint="default"/>
        </w:rPr>
      </w:pPr>
      <w:r>
        <w:rPr>
          <w:rFonts w:ascii="Arial" w:hAnsi="Arial" w:cs="Arial" w:eastAsia="Arial" w:hint="default"/>
          <w:w w:val="99"/>
        </w:rPr>
        <w:t>3.5</w:t>
      </w:r>
      <w:r>
        <w:rPr>
          <w:rFonts w:ascii="Arial" w:hAnsi="Arial" w:cs="Arial" w:eastAsia="Arial" w:hint="default"/>
        </w:rPr>
        <w:t> </w:t>
      </w:r>
      <w:r>
        <w:rPr>
          <w:rFonts w:ascii="Arial" w:hAnsi="Arial" w:cs="Arial" w:eastAsia="Arial" w:hint="default"/>
          <w:spacing w:val="-8"/>
        </w:rPr>
        <w:t> </w:t>
      </w:r>
      <w:r>
        <w:rPr>
          <w:w w:val="99"/>
        </w:rPr>
        <w:t>第二届</w:t>
      </w:r>
      <w:r>
        <w:rPr>
          <w:spacing w:val="1"/>
          <w:w w:val="99"/>
        </w:rPr>
        <w:t>董事</w:t>
      </w:r>
      <w:r>
        <w:rPr>
          <w:w w:val="99"/>
        </w:rPr>
        <w:t>会审计</w:t>
      </w:r>
      <w:r>
        <w:rPr>
          <w:spacing w:val="1"/>
          <w:w w:val="99"/>
        </w:rPr>
        <w:t>委员</w:t>
      </w:r>
      <w:r>
        <w:rPr>
          <w:w w:val="99"/>
        </w:rPr>
        <w:t>会第十</w:t>
      </w:r>
      <w:r>
        <w:rPr>
          <w:spacing w:val="1"/>
          <w:w w:val="99"/>
        </w:rPr>
        <w:t>九次</w:t>
      </w:r>
      <w:r>
        <w:rPr>
          <w:w w:val="99"/>
        </w:rPr>
        <w:t>会议于</w:t>
      </w:r>
      <w:r>
        <w:rPr>
          <w:spacing w:val="-57"/>
        </w:rPr>
        <w:t> </w:t>
      </w:r>
      <w:r>
        <w:rPr>
          <w:rFonts w:ascii="Arial" w:hAnsi="Arial" w:cs="Arial" w:eastAsia="Arial" w:hint="default"/>
          <w:w w:val="99"/>
        </w:rPr>
        <w:t>20</w:t>
      </w:r>
      <w:r>
        <w:rPr>
          <w:rFonts w:ascii="Arial" w:hAnsi="Arial" w:cs="Arial" w:eastAsia="Arial" w:hint="default"/>
          <w:spacing w:val="1"/>
          <w:w w:val="99"/>
        </w:rPr>
        <w:t>0</w:t>
      </w:r>
      <w:r>
        <w:rPr>
          <w:rFonts w:ascii="Arial" w:hAnsi="Arial" w:cs="Arial" w:eastAsia="Arial" w:hint="default"/>
          <w:w w:val="99"/>
        </w:rPr>
        <w:t>9</w:t>
      </w:r>
      <w:r>
        <w:rPr>
          <w:rFonts w:ascii="Arial" w:hAnsi="Arial" w:cs="Arial" w:eastAsia="Arial" w:hint="default"/>
          <w:spacing w:val="-8"/>
        </w:rPr>
        <w:t> </w:t>
      </w:r>
      <w:r>
        <w:rPr>
          <w:w w:val="99"/>
        </w:rPr>
        <w:t>年</w:t>
      </w:r>
      <w:r>
        <w:rPr>
          <w:spacing w:val="-58"/>
        </w:rPr>
        <w:t> </w:t>
      </w:r>
      <w:r>
        <w:rPr>
          <w:rFonts w:ascii="Arial" w:hAnsi="Arial" w:cs="Arial" w:eastAsia="Arial" w:hint="default"/>
          <w:w w:val="99"/>
        </w:rPr>
        <w:t>10</w:t>
      </w:r>
      <w:r>
        <w:rPr>
          <w:rFonts w:ascii="Arial" w:hAnsi="Arial" w:cs="Arial" w:eastAsia="Arial" w:hint="default"/>
          <w:spacing w:val="-9"/>
        </w:rPr>
        <w:t> </w:t>
      </w:r>
      <w:r>
        <w:rPr>
          <w:w w:val="99"/>
        </w:rPr>
        <w:t>月</w:t>
      </w:r>
      <w:r>
        <w:rPr>
          <w:spacing w:val="-58"/>
        </w:rPr>
        <w:t> </w:t>
      </w:r>
      <w:r>
        <w:rPr>
          <w:rFonts w:ascii="Arial" w:hAnsi="Arial" w:cs="Arial" w:eastAsia="Arial" w:hint="default"/>
          <w:spacing w:val="-1"/>
          <w:w w:val="99"/>
        </w:rPr>
        <w:t>2</w:t>
      </w:r>
      <w:r>
        <w:rPr>
          <w:rFonts w:ascii="Arial" w:hAnsi="Arial" w:cs="Arial" w:eastAsia="Arial" w:hint="default"/>
          <w:w w:val="99"/>
        </w:rPr>
        <w:t>9</w:t>
      </w:r>
      <w:r>
        <w:rPr>
          <w:rFonts w:ascii="Arial" w:hAnsi="Arial" w:cs="Arial" w:eastAsia="Arial" w:hint="default"/>
          <w:spacing w:val="-8"/>
        </w:rPr>
        <w:t> </w:t>
      </w:r>
      <w:r>
        <w:rPr>
          <w:w w:val="99"/>
        </w:rPr>
        <w:t>日召开</w:t>
      </w:r>
      <w:r>
        <w:rPr>
          <w:spacing w:val="-110"/>
          <w:w w:val="99"/>
        </w:rPr>
        <w:t>，</w:t>
      </w:r>
      <w:r>
        <w:rPr>
          <w:spacing w:val="1"/>
          <w:w w:val="99"/>
        </w:rPr>
        <w:t>审</w:t>
      </w:r>
      <w:r>
        <w:rPr>
          <w:w w:val="99"/>
        </w:rPr>
        <w:t>议并同</w:t>
      </w:r>
      <w:r>
        <w:rPr>
          <w:spacing w:val="1"/>
          <w:w w:val="99"/>
        </w:rPr>
        <w:t>意</w:t>
      </w:r>
      <w:r>
        <w:rPr>
          <w:spacing w:val="-111"/>
          <w:w w:val="99"/>
        </w:rPr>
        <w:t>将</w:t>
      </w:r>
      <w:r>
        <w:rPr>
          <w:spacing w:val="1"/>
          <w:w w:val="99"/>
        </w:rPr>
        <w:t>《</w:t>
      </w:r>
      <w:r>
        <w:rPr>
          <w:spacing w:val="-1"/>
          <w:w w:val="99"/>
        </w:rPr>
        <w:t>公</w:t>
      </w:r>
      <w:r>
        <w:rPr>
          <w:w w:val="99"/>
        </w:rPr>
        <w:t>司</w:t>
      </w:r>
      <w:r>
        <w:rPr>
          <w:spacing w:val="-58"/>
        </w:rPr>
        <w:t> </w:t>
      </w:r>
      <w:r>
        <w:rPr>
          <w:rFonts w:ascii="Arial" w:hAnsi="Arial" w:cs="Arial" w:eastAsia="Arial" w:hint="default"/>
          <w:w w:val="99"/>
        </w:rPr>
        <w:t>2009</w:t>
      </w:r>
      <w:r>
        <w:rPr>
          <w:rFonts w:ascii="Arial" w:hAnsi="Arial" w:cs="Arial" w:eastAsia="Arial" w:hint="default"/>
        </w:rPr>
      </w:r>
    </w:p>
    <w:p>
      <w:pPr>
        <w:pStyle w:val="BodyText"/>
        <w:spacing w:line="278" w:lineRule="exact"/>
        <w:ind w:left="569" w:right="99"/>
        <w:jc w:val="left"/>
      </w:pPr>
      <w:r>
        <w:rPr/>
        <w:t>年第三季度报告（草案）》提交董事会审议。</w:t>
      </w:r>
    </w:p>
    <w:p>
      <w:pPr>
        <w:spacing w:line="240" w:lineRule="auto" w:before="2"/>
        <w:rPr>
          <w:rFonts w:ascii="宋体" w:hAnsi="宋体" w:cs="宋体" w:eastAsia="宋体" w:hint="default"/>
          <w:sz w:val="19"/>
          <w:szCs w:val="19"/>
        </w:rPr>
      </w:pPr>
    </w:p>
    <w:p>
      <w:pPr>
        <w:pStyle w:val="BodyText"/>
        <w:spacing w:line="295" w:lineRule="exact"/>
        <w:ind w:left="149" w:right="99"/>
        <w:jc w:val="left"/>
      </w:pPr>
      <w:r>
        <w:rPr>
          <w:rFonts w:ascii="Arial" w:hAnsi="Arial" w:cs="Arial" w:eastAsia="Arial" w:hint="default"/>
        </w:rPr>
        <w:t>3.6</w:t>
      </w:r>
      <w:r>
        <w:rPr>
          <w:rFonts w:ascii="Arial" w:hAnsi="Arial" w:cs="Arial" w:eastAsia="Arial" w:hint="default"/>
          <w:spacing w:val="51"/>
        </w:rPr>
        <w:t> </w:t>
      </w:r>
      <w:r>
        <w:rPr/>
        <w:t>另外，于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23</w:t>
      </w:r>
      <w:r>
        <w:rPr>
          <w:rFonts w:ascii="Arial" w:hAnsi="Arial" w:cs="Arial" w:eastAsia="Arial" w:hint="default"/>
          <w:spacing w:val="-7"/>
        </w:rPr>
        <w:t> </w:t>
      </w:r>
      <w:r>
        <w:rPr/>
        <w:t>日召开的独立董事会议中审计委员会的委员听取了外部审计师关</w:t>
      </w:r>
    </w:p>
    <w:p>
      <w:pPr>
        <w:pStyle w:val="BodyText"/>
        <w:spacing w:line="295" w:lineRule="exact"/>
        <w:ind w:left="569" w:right="99"/>
        <w:jc w:val="left"/>
      </w:pPr>
      <w:r>
        <w:rPr/>
        <w:t>于</w:t>
      </w:r>
      <w:r>
        <w:rPr>
          <w:spacing w:val="-57"/>
        </w:rPr>
        <w:t> </w:t>
      </w:r>
      <w:r>
        <w:rPr>
          <w:rFonts w:ascii="Arial" w:hAnsi="Arial" w:cs="Arial" w:eastAsia="Arial" w:hint="default"/>
        </w:rPr>
        <w:t>2009</w:t>
      </w:r>
      <w:r>
        <w:rPr>
          <w:rFonts w:ascii="Arial" w:hAnsi="Arial" w:cs="Arial" w:eastAsia="Arial" w:hint="default"/>
          <w:spacing w:val="-8"/>
        </w:rPr>
        <w:t> </w:t>
      </w:r>
      <w:r>
        <w:rPr/>
        <w:t>年度审计工作计划安排等情况的汇报。</w:t>
      </w:r>
    </w:p>
    <w:p>
      <w:pPr>
        <w:spacing w:after="0" w:line="295" w:lineRule="exact"/>
        <w:jc w:val="left"/>
        <w:sectPr>
          <w:pgSz w:w="11910" w:h="16840"/>
          <w:pgMar w:header="587" w:footer="774" w:top="960" w:bottom="960" w:left="1180" w:right="1060"/>
        </w:sectPr>
      </w:pPr>
    </w:p>
    <w:p>
      <w:pPr>
        <w:spacing w:line="240" w:lineRule="auto" w:before="6"/>
        <w:rPr>
          <w:rFonts w:ascii="宋体" w:hAnsi="宋体" w:cs="宋体" w:eastAsia="宋体" w:hint="default"/>
          <w:sz w:val="12"/>
          <w:szCs w:val="12"/>
        </w:rPr>
      </w:pPr>
    </w:p>
    <w:p>
      <w:pPr>
        <w:pStyle w:val="BodyText"/>
        <w:spacing w:line="240" w:lineRule="auto" w:before="31"/>
        <w:ind w:left="329" w:right="3260"/>
        <w:jc w:val="left"/>
      </w:pPr>
      <w:r>
        <w:rPr>
          <w:rFonts w:ascii="Arial" w:hAnsi="Arial" w:cs="Arial" w:eastAsia="Arial" w:hint="default"/>
        </w:rPr>
        <w:t>4</w:t>
      </w:r>
      <w:r>
        <w:rPr/>
        <w:t>、</w:t>
      </w:r>
      <w:r>
        <w:rPr>
          <w:spacing w:val="-35"/>
        </w:rPr>
        <w:t> </w:t>
      </w:r>
      <w:r>
        <w:rPr/>
        <w:t>董事会下设的薪酬委员会的履职情况汇总报告</w:t>
      </w:r>
    </w:p>
    <w:p>
      <w:pPr>
        <w:spacing w:line="240" w:lineRule="auto" w:before="12"/>
        <w:rPr>
          <w:rFonts w:ascii="宋体" w:hAnsi="宋体" w:cs="宋体" w:eastAsia="宋体" w:hint="default"/>
          <w:sz w:val="17"/>
          <w:szCs w:val="17"/>
        </w:rPr>
      </w:pPr>
    </w:p>
    <w:p>
      <w:pPr>
        <w:pStyle w:val="BodyText"/>
        <w:spacing w:line="240" w:lineRule="auto"/>
        <w:ind w:left="749" w:right="0"/>
        <w:jc w:val="both"/>
      </w:pPr>
      <w:r>
        <w:rPr>
          <w:rFonts w:ascii="Arial" w:hAnsi="Arial" w:cs="Arial" w:eastAsia="Arial" w:hint="default"/>
        </w:rPr>
        <w:t>2009</w:t>
      </w:r>
      <w:r>
        <w:rPr>
          <w:rFonts w:ascii="Arial" w:hAnsi="Arial" w:cs="Arial" w:eastAsia="Arial" w:hint="default"/>
          <w:spacing w:val="-9"/>
        </w:rPr>
        <w:t> </w:t>
      </w:r>
      <w:r>
        <w:rPr/>
        <w:t>年董事会下设的薪酬委员会的履职情况汇总报告</w:t>
      </w:r>
    </w:p>
    <w:p>
      <w:pPr>
        <w:spacing w:line="240" w:lineRule="auto" w:before="2"/>
        <w:rPr>
          <w:rFonts w:ascii="宋体" w:hAnsi="宋体" w:cs="宋体" w:eastAsia="宋体" w:hint="default"/>
          <w:sz w:val="20"/>
          <w:szCs w:val="20"/>
        </w:rPr>
      </w:pPr>
    </w:p>
    <w:p>
      <w:pPr>
        <w:pStyle w:val="BodyText"/>
        <w:spacing w:line="286" w:lineRule="exact"/>
        <w:ind w:left="763" w:right="165"/>
        <w:jc w:val="both"/>
      </w:pP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3</w:t>
      </w:r>
      <w:r>
        <w:rPr>
          <w:rFonts w:ascii="Arial" w:hAnsi="Arial" w:cs="Arial" w:eastAsia="Arial" w:hint="default"/>
          <w:spacing w:val="-7"/>
        </w:rPr>
        <w:t> </w:t>
      </w:r>
      <w:r>
        <w:rPr/>
        <w:t>月</w:t>
      </w:r>
      <w:r>
        <w:rPr>
          <w:spacing w:val="-56"/>
        </w:rPr>
        <w:t> </w:t>
      </w:r>
      <w:r>
        <w:rPr>
          <w:rFonts w:ascii="Arial" w:hAnsi="Arial" w:cs="Arial" w:eastAsia="Arial" w:hint="default"/>
        </w:rPr>
        <w:t>30</w:t>
      </w:r>
      <w:r>
        <w:rPr>
          <w:rFonts w:ascii="Arial" w:hAnsi="Arial" w:cs="Arial" w:eastAsia="Arial" w:hint="default"/>
          <w:spacing w:val="-7"/>
        </w:rPr>
        <w:t> </w:t>
      </w:r>
      <w:r>
        <w:rPr/>
        <w:t>日公司召开第二届董事会薪酬与考核委员会第二次会议，会议审议并一致通</w:t>
      </w:r>
      <w:r>
        <w:rPr>
          <w:w w:val="99"/>
        </w:rPr>
        <w:t> </w:t>
      </w:r>
      <w:r>
        <w:rPr/>
        <w:t>过了以下事项：</w:t>
      </w:r>
    </w:p>
    <w:p>
      <w:pPr>
        <w:spacing w:line="240" w:lineRule="auto" w:before="1"/>
        <w:rPr>
          <w:rFonts w:ascii="宋体" w:hAnsi="宋体" w:cs="宋体" w:eastAsia="宋体" w:hint="default"/>
          <w:sz w:val="17"/>
          <w:szCs w:val="17"/>
        </w:rPr>
      </w:pPr>
    </w:p>
    <w:p>
      <w:pPr>
        <w:pStyle w:val="BodyText"/>
        <w:spacing w:line="240" w:lineRule="auto"/>
        <w:ind w:left="329" w:right="125"/>
        <w:jc w:val="left"/>
      </w:pPr>
      <w:r>
        <w:rPr>
          <w:rFonts w:ascii="Arial" w:hAnsi="Arial" w:cs="Arial" w:eastAsia="Arial" w:hint="default"/>
        </w:rPr>
        <w:t>4.1</w:t>
      </w:r>
      <w:r>
        <w:rPr/>
        <w:t>、关于公司董事长及高级管理人员</w:t>
      </w:r>
      <w:r>
        <w:rPr>
          <w:spacing w:val="-58"/>
        </w:rPr>
        <w:t> </w:t>
      </w:r>
      <w:r>
        <w:rPr>
          <w:rFonts w:ascii="Arial" w:hAnsi="Arial" w:cs="Arial" w:eastAsia="Arial" w:hint="default"/>
        </w:rPr>
        <w:t>2008</w:t>
      </w:r>
      <w:r>
        <w:rPr>
          <w:rFonts w:ascii="Arial" w:hAnsi="Arial" w:cs="Arial" w:eastAsia="Arial" w:hint="default"/>
          <w:spacing w:val="-9"/>
        </w:rPr>
        <w:t> </w:t>
      </w:r>
      <w:r>
        <w:rPr/>
        <w:t>年度考核情况的议案</w:t>
      </w:r>
    </w:p>
    <w:p>
      <w:pPr>
        <w:spacing w:line="240" w:lineRule="auto" w:before="13"/>
        <w:rPr>
          <w:rFonts w:ascii="宋体" w:hAnsi="宋体" w:cs="宋体" w:eastAsia="宋体" w:hint="default"/>
          <w:sz w:val="17"/>
          <w:szCs w:val="17"/>
        </w:rPr>
      </w:pPr>
    </w:p>
    <w:p>
      <w:pPr>
        <w:pStyle w:val="BodyText"/>
        <w:spacing w:line="424" w:lineRule="auto"/>
        <w:ind w:left="749" w:right="3715" w:hanging="420"/>
        <w:jc w:val="left"/>
      </w:pPr>
      <w:r>
        <w:rPr>
          <w:rFonts w:ascii="Arial" w:hAnsi="Arial" w:cs="Arial" w:eastAsia="Arial" w:hint="default"/>
        </w:rPr>
        <w:t>4.2</w:t>
      </w:r>
      <w:r>
        <w:rPr/>
        <w:t>、关于联通红筹公司期权计划修订方案的议案</w:t>
      </w:r>
      <w:r>
        <w:rPr>
          <w:w w:val="99"/>
        </w:rPr>
        <w:t> </w:t>
      </w:r>
      <w:r>
        <w:rPr/>
        <w:t>会议经表决一致同意上述议案并同意提交董事会审议。</w:t>
      </w:r>
    </w:p>
    <w:p>
      <w:pPr>
        <w:pStyle w:val="BodyText"/>
        <w:spacing w:line="240" w:lineRule="auto" w:before="81"/>
        <w:ind w:left="105" w:right="3260"/>
        <w:jc w:val="left"/>
      </w:pPr>
      <w:r>
        <w:rPr/>
        <w:t>（五）利润分配或资本公积金转增预案</w:t>
      </w:r>
    </w:p>
    <w:p>
      <w:pPr>
        <w:spacing w:line="240" w:lineRule="auto" w:before="2"/>
        <w:rPr>
          <w:rFonts w:ascii="宋体" w:hAnsi="宋体" w:cs="宋体" w:eastAsia="宋体" w:hint="default"/>
          <w:sz w:val="19"/>
          <w:szCs w:val="19"/>
        </w:rPr>
      </w:pPr>
    </w:p>
    <w:p>
      <w:pPr>
        <w:pStyle w:val="BodyText"/>
        <w:spacing w:line="240" w:lineRule="auto"/>
        <w:ind w:left="329" w:right="3260"/>
        <w:jc w:val="left"/>
      </w:pPr>
      <w:r>
        <w:rPr>
          <w:rFonts w:ascii="Arial" w:hAnsi="Arial" w:cs="Arial" w:eastAsia="Arial" w:hint="default"/>
        </w:rPr>
        <w:t>1</w:t>
      </w:r>
      <w:r>
        <w:rPr/>
        <w:t>、</w:t>
      </w:r>
      <w:r>
        <w:rPr>
          <w:spacing w:val="-35"/>
        </w:rPr>
        <w:t> </w:t>
      </w:r>
      <w:r>
        <w:rPr/>
        <w:t>投资收益及可供分配利润情况</w:t>
      </w:r>
    </w:p>
    <w:p>
      <w:pPr>
        <w:spacing w:line="240" w:lineRule="auto" w:before="12"/>
        <w:rPr>
          <w:rFonts w:ascii="宋体" w:hAnsi="宋体" w:cs="宋体" w:eastAsia="宋体" w:hint="default"/>
          <w:sz w:val="17"/>
          <w:szCs w:val="17"/>
        </w:rPr>
      </w:pPr>
    </w:p>
    <w:p>
      <w:pPr>
        <w:pStyle w:val="BodyText"/>
        <w:spacing w:line="240" w:lineRule="auto"/>
        <w:ind w:left="105" w:right="3260"/>
        <w:jc w:val="left"/>
      </w:pPr>
      <w:r>
        <w:rPr/>
        <w:t>（</w:t>
      </w:r>
      <w:r>
        <w:rPr>
          <w:rFonts w:ascii="Arial" w:hAnsi="Arial" w:cs="Arial" w:eastAsia="Arial" w:hint="default"/>
        </w:rPr>
        <w:t>1</w:t>
      </w:r>
      <w:r>
        <w:rPr/>
        <w:t>）</w:t>
      </w:r>
      <w:r>
        <w:rPr>
          <w:spacing w:val="-30"/>
        </w:rPr>
        <w:t> </w:t>
      </w:r>
      <w:r>
        <w:rPr/>
        <w:t>按股权比例分享投资收益情况</w:t>
      </w:r>
    </w:p>
    <w:p>
      <w:pPr>
        <w:spacing w:line="240" w:lineRule="auto" w:before="13"/>
        <w:rPr>
          <w:rFonts w:ascii="宋体" w:hAnsi="宋体" w:cs="宋体" w:eastAsia="宋体" w:hint="default"/>
          <w:sz w:val="17"/>
          <w:szCs w:val="17"/>
        </w:rPr>
      </w:pPr>
    </w:p>
    <w:p>
      <w:pPr>
        <w:pStyle w:val="BodyText"/>
        <w:spacing w:line="240" w:lineRule="auto"/>
        <w:ind w:left="749" w:right="0"/>
        <w:jc w:val="both"/>
      </w:pPr>
      <w:r>
        <w:rPr>
          <w:rFonts w:ascii="Arial" w:hAnsi="Arial" w:cs="Arial" w:eastAsia="Arial" w:hint="default"/>
        </w:rPr>
        <w:t>2009</w:t>
      </w:r>
      <w:r>
        <w:rPr>
          <w:rFonts w:ascii="Arial" w:hAnsi="Arial" w:cs="Arial" w:eastAsia="Arial" w:hint="default"/>
          <w:spacing w:val="-8"/>
        </w:rPr>
        <w:t> </w:t>
      </w:r>
      <w:r>
        <w:rPr/>
        <w:t>年度收到联通</w:t>
      </w:r>
      <w:r>
        <w:rPr>
          <w:spacing w:val="-57"/>
        </w:rPr>
        <w:t> </w:t>
      </w:r>
      <w:r>
        <w:rPr>
          <w:rFonts w:ascii="Arial" w:hAnsi="Arial" w:cs="Arial" w:eastAsia="Arial" w:hint="default"/>
        </w:rPr>
        <w:t>BVI</w:t>
      </w:r>
      <w:r>
        <w:rPr>
          <w:rFonts w:ascii="Arial" w:hAnsi="Arial" w:cs="Arial" w:eastAsia="Arial" w:hint="default"/>
          <w:spacing w:val="-8"/>
        </w:rPr>
        <w:t> </w:t>
      </w:r>
      <w:r>
        <w:rPr/>
        <w:t>公司分红款</w:t>
      </w:r>
      <w:r>
        <w:rPr>
          <w:spacing w:val="-57"/>
        </w:rPr>
        <w:t> </w:t>
      </w:r>
      <w:r>
        <w:rPr>
          <w:rFonts w:ascii="Arial" w:hAnsi="Arial" w:cs="Arial" w:eastAsia="Arial" w:hint="default"/>
        </w:rPr>
        <w:t>15.97</w:t>
      </w:r>
      <w:r>
        <w:rPr>
          <w:rFonts w:ascii="Arial" w:hAnsi="Arial" w:cs="Arial" w:eastAsia="Arial" w:hint="default"/>
          <w:spacing w:val="-8"/>
        </w:rPr>
        <w:t> </w:t>
      </w:r>
      <w:r>
        <w:rPr/>
        <w:t>亿元确认为投资收益。</w:t>
      </w:r>
    </w:p>
    <w:p>
      <w:pPr>
        <w:spacing w:line="240" w:lineRule="auto" w:before="12"/>
        <w:rPr>
          <w:rFonts w:ascii="宋体" w:hAnsi="宋体" w:cs="宋体" w:eastAsia="宋体" w:hint="default"/>
          <w:sz w:val="17"/>
          <w:szCs w:val="17"/>
        </w:rPr>
      </w:pPr>
    </w:p>
    <w:p>
      <w:pPr>
        <w:pStyle w:val="BodyText"/>
        <w:spacing w:line="240" w:lineRule="auto"/>
        <w:ind w:left="105" w:right="3260"/>
        <w:jc w:val="left"/>
      </w:pPr>
      <w:r>
        <w:rPr/>
        <w:t>（</w:t>
      </w:r>
      <w:r>
        <w:rPr>
          <w:rFonts w:ascii="Arial" w:hAnsi="Arial" w:cs="Arial" w:eastAsia="Arial" w:hint="default"/>
        </w:rPr>
        <w:t>2</w:t>
      </w:r>
      <w:r>
        <w:rPr/>
        <w:t>）</w:t>
      </w:r>
      <w:r>
        <w:rPr>
          <w:spacing w:val="-30"/>
        </w:rPr>
        <w:t> </w:t>
      </w:r>
      <w:r>
        <w:rPr/>
        <w:t>可供股东分配的利润</w:t>
      </w:r>
    </w:p>
    <w:p>
      <w:pPr>
        <w:spacing w:line="240" w:lineRule="auto" w:before="13"/>
        <w:rPr>
          <w:rFonts w:ascii="宋体" w:hAnsi="宋体" w:cs="宋体" w:eastAsia="宋体" w:hint="default"/>
          <w:sz w:val="17"/>
          <w:szCs w:val="17"/>
        </w:rPr>
      </w:pPr>
    </w:p>
    <w:p>
      <w:pPr>
        <w:pStyle w:val="BodyText"/>
        <w:spacing w:line="295" w:lineRule="exact"/>
        <w:ind w:left="735" w:right="0"/>
        <w:jc w:val="both"/>
      </w:pPr>
      <w:r>
        <w:rPr/>
        <w:t>扣除公司本部费用</w:t>
      </w:r>
      <w:r>
        <w:rPr>
          <w:spacing w:val="-49"/>
        </w:rPr>
        <w:t> </w:t>
      </w:r>
      <w:r>
        <w:rPr>
          <w:rFonts w:ascii="Arial" w:hAnsi="Arial" w:cs="Arial" w:eastAsia="Arial" w:hint="default"/>
        </w:rPr>
        <w:t>0.13</w:t>
      </w:r>
      <w:r>
        <w:rPr>
          <w:rFonts w:ascii="Arial" w:hAnsi="Arial" w:cs="Arial" w:eastAsia="Arial" w:hint="default"/>
          <w:spacing w:val="2"/>
        </w:rPr>
        <w:t> </w:t>
      </w:r>
      <w:r>
        <w:rPr/>
        <w:t>亿元后，本公司</w:t>
      </w:r>
      <w:r>
        <w:rPr>
          <w:spacing w:val="-49"/>
        </w:rPr>
        <w:t> </w:t>
      </w:r>
      <w:r>
        <w:rPr>
          <w:rFonts w:ascii="Arial" w:hAnsi="Arial" w:cs="Arial" w:eastAsia="Arial" w:hint="default"/>
        </w:rPr>
        <w:t>2009 </w:t>
      </w:r>
      <w:r>
        <w:rPr/>
        <w:t>年度实现净利润为</w:t>
      </w:r>
      <w:r>
        <w:rPr>
          <w:spacing w:val="-49"/>
        </w:rPr>
        <w:t> </w:t>
      </w:r>
      <w:r>
        <w:rPr>
          <w:rFonts w:ascii="Arial" w:hAnsi="Arial" w:cs="Arial" w:eastAsia="Arial" w:hint="default"/>
        </w:rPr>
        <w:t>15.84 </w:t>
      </w:r>
      <w:r>
        <w:rPr/>
        <w:t>亿元。按合并报表计</w:t>
      </w:r>
    </w:p>
    <w:p>
      <w:pPr>
        <w:pStyle w:val="BodyText"/>
        <w:spacing w:line="225" w:lineRule="auto" w:before="6"/>
        <w:ind w:left="735" w:right="135"/>
        <w:jc w:val="both"/>
      </w:pPr>
      <w:r>
        <w:rPr>
          <w:spacing w:val="-22"/>
          <w:w w:val="99"/>
        </w:rPr>
        <w:t>算，本公司</w:t>
      </w:r>
      <w:r>
        <w:rPr>
          <w:spacing w:val="-53"/>
          <w:w w:val="99"/>
        </w:rPr>
        <w:t> </w:t>
      </w:r>
      <w:r>
        <w:rPr>
          <w:rFonts w:ascii="Arial" w:hAnsi="Arial" w:cs="Arial" w:eastAsia="Arial" w:hint="default"/>
          <w:w w:val="99"/>
        </w:rPr>
        <w:t>2009</w:t>
      </w:r>
      <w:r>
        <w:rPr>
          <w:rFonts w:ascii="Arial" w:hAnsi="Arial" w:cs="Arial" w:eastAsia="Arial" w:hint="default"/>
          <w:spacing w:val="-4"/>
          <w:w w:val="99"/>
        </w:rPr>
        <w:t> </w:t>
      </w:r>
      <w:r>
        <w:rPr>
          <w:w w:val="99"/>
        </w:rPr>
        <w:t>年度实现净利润为</w:t>
      </w:r>
      <w:r>
        <w:rPr>
          <w:spacing w:val="-52"/>
          <w:w w:val="99"/>
        </w:rPr>
        <w:t> </w:t>
      </w:r>
      <w:r>
        <w:rPr>
          <w:rFonts w:ascii="Arial" w:hAnsi="Arial" w:cs="Arial" w:eastAsia="Arial" w:hint="default"/>
          <w:w w:val="99"/>
        </w:rPr>
        <w:t>93.7</w:t>
      </w:r>
      <w:r>
        <w:rPr>
          <w:rFonts w:ascii="Arial" w:hAnsi="Arial" w:cs="Arial" w:eastAsia="Arial" w:hint="default"/>
          <w:spacing w:val="-4"/>
          <w:w w:val="99"/>
        </w:rPr>
        <w:t> </w:t>
      </w:r>
      <w:r>
        <w:rPr>
          <w:spacing w:val="-5"/>
          <w:w w:val="99"/>
        </w:rPr>
        <w:t>亿元，其中归属于母公司普通股股东的净利润为</w:t>
      </w:r>
      <w:r>
        <w:rPr>
          <w:spacing w:val="-53"/>
          <w:w w:val="99"/>
        </w:rPr>
        <w:t> </w:t>
      </w:r>
      <w:r>
        <w:rPr>
          <w:rFonts w:ascii="Arial" w:hAnsi="Arial" w:cs="Arial" w:eastAsia="Arial" w:hint="default"/>
          <w:w w:val="99"/>
        </w:rPr>
        <w:t>31.4 </w:t>
      </w:r>
      <w:r>
        <w:rPr>
          <w:spacing w:val="-11"/>
          <w:w w:val="99"/>
        </w:rPr>
        <w:t>亿元。基本每股收益为</w:t>
      </w:r>
      <w:r>
        <w:rPr>
          <w:spacing w:val="-57"/>
          <w:w w:val="99"/>
        </w:rPr>
        <w:t> </w:t>
      </w:r>
      <w:r>
        <w:rPr>
          <w:rFonts w:ascii="Arial" w:hAnsi="Arial" w:cs="Arial" w:eastAsia="Arial" w:hint="default"/>
          <w:w w:val="99"/>
        </w:rPr>
        <w:t>0.148</w:t>
      </w:r>
      <w:r>
        <w:rPr>
          <w:rFonts w:ascii="Arial" w:hAnsi="Arial" w:cs="Arial" w:eastAsia="Arial" w:hint="default"/>
          <w:spacing w:val="-8"/>
          <w:w w:val="99"/>
        </w:rPr>
        <w:t> </w:t>
      </w:r>
      <w:r>
        <w:rPr>
          <w:spacing w:val="-16"/>
          <w:w w:val="99"/>
        </w:rPr>
        <w:t>元，较上年下降</w:t>
      </w:r>
      <w:r>
        <w:rPr>
          <w:spacing w:val="-57"/>
          <w:w w:val="99"/>
        </w:rPr>
        <w:t> </w:t>
      </w:r>
      <w:r>
        <w:rPr>
          <w:rFonts w:ascii="Arial" w:hAnsi="Arial" w:cs="Arial" w:eastAsia="Arial" w:hint="default"/>
          <w:spacing w:val="-13"/>
          <w:w w:val="99"/>
        </w:rPr>
        <w:t>84.5%</w:t>
      </w:r>
      <w:r>
        <w:rPr>
          <w:spacing w:val="-13"/>
          <w:w w:val="99"/>
        </w:rPr>
        <w:t>，主要是</w:t>
      </w:r>
      <w:r>
        <w:rPr>
          <w:spacing w:val="-57"/>
          <w:w w:val="99"/>
        </w:rPr>
        <w:t> </w:t>
      </w:r>
      <w:r>
        <w:rPr>
          <w:rFonts w:ascii="Arial" w:hAnsi="Arial" w:cs="Arial" w:eastAsia="Arial" w:hint="default"/>
          <w:w w:val="99"/>
        </w:rPr>
        <w:t>2008</w:t>
      </w:r>
      <w:r>
        <w:rPr>
          <w:rFonts w:ascii="Arial" w:hAnsi="Arial" w:cs="Arial" w:eastAsia="Arial" w:hint="default"/>
          <w:spacing w:val="-7"/>
          <w:w w:val="99"/>
        </w:rPr>
        <w:t> </w:t>
      </w:r>
      <w:r>
        <w:rPr>
          <w:w w:val="99"/>
        </w:rPr>
        <w:t>作为终止经营业务的</w:t>
      </w:r>
      <w:r>
        <w:rPr>
          <w:spacing w:val="-57"/>
          <w:w w:val="99"/>
        </w:rPr>
        <w:t> </w:t>
      </w:r>
      <w:r>
        <w:rPr>
          <w:rFonts w:ascii="Arial" w:hAnsi="Arial" w:cs="Arial" w:eastAsia="Arial" w:hint="default"/>
          <w:spacing w:val="-1"/>
          <w:w w:val="99"/>
        </w:rPr>
        <w:t>CDMA</w:t>
      </w:r>
      <w:r>
        <w:rPr>
          <w:rFonts w:ascii="Arial" w:hAnsi="Arial" w:cs="Arial" w:eastAsia="Arial" w:hint="default"/>
          <w:spacing w:val="-1"/>
          <w:w w:val="99"/>
        </w:rPr>
        <w:t> </w:t>
      </w:r>
      <w:r>
        <w:rPr/>
        <w:t>业务的出售净收益约人民币</w:t>
      </w:r>
      <w:r>
        <w:rPr>
          <w:spacing w:val="-56"/>
        </w:rPr>
        <w:t> </w:t>
      </w:r>
      <w:r>
        <w:rPr>
          <w:rFonts w:ascii="Arial" w:hAnsi="Arial" w:cs="Arial" w:eastAsia="Arial" w:hint="default"/>
        </w:rPr>
        <w:t>279.5</w:t>
      </w:r>
      <w:r>
        <w:rPr>
          <w:rFonts w:ascii="Arial" w:hAnsi="Arial" w:cs="Arial" w:eastAsia="Arial" w:hint="default"/>
          <w:spacing w:val="-7"/>
        </w:rPr>
        <w:t> </w:t>
      </w:r>
      <w:r>
        <w:rPr/>
        <w:t>亿元不再对本公司</w:t>
      </w:r>
      <w:r>
        <w:rPr>
          <w:spacing w:val="-56"/>
        </w:rPr>
        <w:t> </w:t>
      </w:r>
      <w:r>
        <w:rPr>
          <w:rFonts w:ascii="Arial" w:hAnsi="Arial" w:cs="Arial" w:eastAsia="Arial" w:hint="default"/>
        </w:rPr>
        <w:t>2009</w:t>
      </w:r>
      <w:r>
        <w:rPr>
          <w:rFonts w:ascii="Arial" w:hAnsi="Arial" w:cs="Arial" w:eastAsia="Arial" w:hint="default"/>
          <w:spacing w:val="-7"/>
        </w:rPr>
        <w:t> </w:t>
      </w:r>
      <w:r>
        <w:rPr>
          <w:spacing w:val="-5"/>
        </w:rPr>
        <w:t>年度的经营产生影响。剔除非经营</w:t>
      </w:r>
      <w:r>
        <w:rPr>
          <w:spacing w:val="1"/>
          <w:w w:val="99"/>
        </w:rPr>
        <w:t> </w:t>
      </w:r>
      <w:r>
        <w:rPr/>
        <w:t>性因素影响后基本每股收益为</w:t>
      </w:r>
      <w:r>
        <w:rPr>
          <w:spacing w:val="-57"/>
        </w:rPr>
        <w:t> </w:t>
      </w:r>
      <w:r>
        <w:rPr>
          <w:rFonts w:ascii="Arial" w:hAnsi="Arial" w:cs="Arial" w:eastAsia="Arial" w:hint="default"/>
        </w:rPr>
        <w:t>0.122</w:t>
      </w:r>
      <w:r>
        <w:rPr>
          <w:rFonts w:ascii="Arial" w:hAnsi="Arial" w:cs="Arial" w:eastAsia="Arial" w:hint="default"/>
          <w:spacing w:val="-8"/>
        </w:rPr>
        <w:t> </w:t>
      </w:r>
      <w:r>
        <w:rPr/>
        <w:t>元，较上年下降</w:t>
      </w:r>
      <w:r>
        <w:rPr>
          <w:spacing w:val="-57"/>
        </w:rPr>
        <w:t> </w:t>
      </w:r>
      <w:r>
        <w:rPr>
          <w:rFonts w:ascii="Arial" w:hAnsi="Arial" w:cs="Arial" w:eastAsia="Arial" w:hint="default"/>
        </w:rPr>
        <w:t>88.6%</w:t>
      </w:r>
      <w:r>
        <w:rPr/>
        <w:t>。</w:t>
      </w:r>
    </w:p>
    <w:p>
      <w:pPr>
        <w:spacing w:line="240" w:lineRule="auto" w:before="0"/>
        <w:rPr>
          <w:rFonts w:ascii="宋体" w:hAnsi="宋体" w:cs="宋体" w:eastAsia="宋体" w:hint="default"/>
          <w:sz w:val="18"/>
          <w:szCs w:val="18"/>
        </w:rPr>
      </w:pPr>
    </w:p>
    <w:p>
      <w:pPr>
        <w:pStyle w:val="BodyText"/>
        <w:spacing w:line="295" w:lineRule="exact"/>
        <w:ind w:left="735" w:right="0"/>
        <w:jc w:val="both"/>
      </w:pPr>
      <w:r>
        <w:rPr/>
        <w:t>本公司以本年度净利润约</w:t>
      </w:r>
      <w:r>
        <w:rPr>
          <w:spacing w:val="-57"/>
        </w:rPr>
        <w:t> </w:t>
      </w:r>
      <w:r>
        <w:rPr>
          <w:rFonts w:ascii="Arial" w:hAnsi="Arial" w:cs="Arial" w:eastAsia="Arial" w:hint="default"/>
        </w:rPr>
        <w:t>15.84</w:t>
      </w:r>
      <w:r>
        <w:rPr>
          <w:rFonts w:ascii="Arial" w:hAnsi="Arial" w:cs="Arial" w:eastAsia="Arial" w:hint="default"/>
          <w:spacing w:val="-8"/>
        </w:rPr>
        <w:t> </w:t>
      </w:r>
      <w:r>
        <w:rPr/>
        <w:t>亿元为基准按</w:t>
      </w:r>
      <w:r>
        <w:rPr>
          <w:spacing w:val="-56"/>
        </w:rPr>
        <w:t> </w:t>
      </w:r>
      <w:r>
        <w:rPr>
          <w:rFonts w:ascii="Arial" w:hAnsi="Arial" w:cs="Arial" w:eastAsia="Arial" w:hint="default"/>
        </w:rPr>
        <w:t>10%</w:t>
      </w:r>
      <w:r>
        <w:rPr/>
        <w:t>提取了</w:t>
      </w:r>
      <w:r>
        <w:rPr>
          <w:spacing w:val="-56"/>
        </w:rPr>
        <w:t> </w:t>
      </w:r>
      <w:r>
        <w:rPr>
          <w:rFonts w:ascii="Arial" w:hAnsi="Arial" w:cs="Arial" w:eastAsia="Arial" w:hint="default"/>
        </w:rPr>
        <w:t>2009</w:t>
      </w:r>
      <w:r>
        <w:rPr>
          <w:rFonts w:ascii="Arial" w:hAnsi="Arial" w:cs="Arial" w:eastAsia="Arial" w:hint="default"/>
          <w:spacing w:val="-8"/>
        </w:rPr>
        <w:t> </w:t>
      </w:r>
      <w:r>
        <w:rPr/>
        <w:t>年度法定公积金</w:t>
      </w:r>
      <w:r>
        <w:rPr>
          <w:spacing w:val="-57"/>
        </w:rPr>
        <w:t> </w:t>
      </w:r>
      <w:r>
        <w:rPr>
          <w:rFonts w:ascii="Arial" w:hAnsi="Arial" w:cs="Arial" w:eastAsia="Arial" w:hint="default"/>
        </w:rPr>
        <w:t>1.58</w:t>
      </w:r>
      <w:r>
        <w:rPr>
          <w:rFonts w:ascii="Arial" w:hAnsi="Arial" w:cs="Arial" w:eastAsia="Arial" w:hint="default"/>
          <w:spacing w:val="-8"/>
        </w:rPr>
        <w:t> </w:t>
      </w:r>
      <w:r>
        <w:rPr/>
        <w:t>亿元，</w:t>
      </w:r>
    </w:p>
    <w:p>
      <w:pPr>
        <w:pStyle w:val="BodyText"/>
        <w:spacing w:line="285" w:lineRule="exact"/>
        <w:ind w:left="735" w:right="0"/>
        <w:jc w:val="both"/>
        <w:rPr>
          <w:rFonts w:ascii="Arial" w:hAnsi="Arial" w:cs="Arial" w:eastAsia="Arial" w:hint="default"/>
        </w:rPr>
      </w:pPr>
      <w:r>
        <w:rPr/>
        <w:t>同时，由于本公司已经执行了股东大会批准的</w:t>
      </w:r>
      <w:r>
        <w:rPr>
          <w:spacing w:val="-62"/>
        </w:rPr>
        <w:t> </w:t>
      </w:r>
      <w:r>
        <w:rPr>
          <w:rFonts w:ascii="Arial" w:hAnsi="Arial" w:cs="Arial" w:eastAsia="Arial" w:hint="default"/>
        </w:rPr>
        <w:t>2008</w:t>
      </w:r>
      <w:r>
        <w:rPr>
          <w:rFonts w:ascii="Arial" w:hAnsi="Arial" w:cs="Arial" w:eastAsia="Arial" w:hint="default"/>
          <w:spacing w:val="-14"/>
        </w:rPr>
        <w:t> </w:t>
      </w:r>
      <w:r>
        <w:rPr/>
        <w:t>年度股利分配方案，并已对外分红</w:t>
      </w:r>
      <w:r>
        <w:rPr>
          <w:spacing w:val="-63"/>
        </w:rPr>
        <w:t> </w:t>
      </w:r>
      <w:r>
        <w:rPr>
          <w:rFonts w:ascii="Arial" w:hAnsi="Arial" w:cs="Arial" w:eastAsia="Arial" w:hint="default"/>
        </w:rPr>
        <w:t>14.24</w:t>
      </w:r>
    </w:p>
    <w:p>
      <w:pPr>
        <w:pStyle w:val="BodyText"/>
        <w:spacing w:line="285" w:lineRule="exact"/>
        <w:ind w:left="735" w:right="0"/>
        <w:jc w:val="both"/>
      </w:pPr>
      <w:r>
        <w:rPr>
          <w:spacing w:val="-6"/>
        </w:rPr>
        <w:t>亿元，加上</w:t>
      </w:r>
      <w:r>
        <w:rPr>
          <w:spacing w:val="-56"/>
        </w:rPr>
        <w:t> </w:t>
      </w:r>
      <w:r>
        <w:rPr>
          <w:rFonts w:ascii="Arial" w:hAnsi="Arial" w:cs="Arial" w:eastAsia="Arial" w:hint="default"/>
        </w:rPr>
        <w:t>2008</w:t>
      </w:r>
      <w:r>
        <w:rPr>
          <w:rFonts w:ascii="Arial" w:hAnsi="Arial" w:cs="Arial" w:eastAsia="Arial" w:hint="default"/>
          <w:spacing w:val="-8"/>
        </w:rPr>
        <w:t> </w:t>
      </w:r>
      <w:r>
        <w:rPr/>
        <w:t>年末本公司可供股东分配利润</w:t>
      </w:r>
      <w:r>
        <w:rPr>
          <w:spacing w:val="-56"/>
        </w:rPr>
        <w:t> </w:t>
      </w:r>
      <w:r>
        <w:rPr>
          <w:rFonts w:ascii="Arial" w:hAnsi="Arial" w:cs="Arial" w:eastAsia="Arial" w:hint="default"/>
        </w:rPr>
        <w:t>0.01</w:t>
      </w:r>
      <w:r>
        <w:rPr>
          <w:rFonts w:ascii="Arial" w:hAnsi="Arial" w:cs="Arial" w:eastAsia="Arial" w:hint="default"/>
          <w:spacing w:val="-8"/>
        </w:rPr>
        <w:t> </w:t>
      </w:r>
      <w:r>
        <w:rPr>
          <w:spacing w:val="-4"/>
        </w:rPr>
        <w:t>亿元，</w:t>
      </w:r>
      <w:r>
        <w:rPr>
          <w:rFonts w:ascii="Arial" w:hAnsi="Arial" w:cs="Arial" w:eastAsia="Arial" w:hint="default"/>
          <w:spacing w:val="-4"/>
        </w:rPr>
        <w:t>2009</w:t>
      </w:r>
      <w:r>
        <w:rPr>
          <w:rFonts w:ascii="Arial" w:hAnsi="Arial" w:cs="Arial" w:eastAsia="Arial" w:hint="default"/>
          <w:spacing w:val="-8"/>
        </w:rPr>
        <w:t> </w:t>
      </w:r>
      <w:r>
        <w:rPr/>
        <w:t>年末本公司可供股东分配的</w:t>
      </w:r>
    </w:p>
    <w:p>
      <w:pPr>
        <w:pStyle w:val="BodyText"/>
        <w:spacing w:line="295" w:lineRule="exact"/>
        <w:ind w:left="735" w:right="0"/>
        <w:jc w:val="both"/>
      </w:pPr>
      <w:r>
        <w:rPr/>
        <w:t>利润为</w:t>
      </w:r>
      <w:r>
        <w:rPr>
          <w:spacing w:val="-57"/>
        </w:rPr>
        <w:t> </w:t>
      </w:r>
      <w:r>
        <w:rPr>
          <w:rFonts w:ascii="Arial" w:hAnsi="Arial" w:cs="Arial" w:eastAsia="Arial" w:hint="default"/>
        </w:rPr>
        <w:t>0.02</w:t>
      </w:r>
      <w:r>
        <w:rPr>
          <w:rFonts w:ascii="Arial" w:hAnsi="Arial" w:cs="Arial" w:eastAsia="Arial" w:hint="default"/>
          <w:spacing w:val="-8"/>
        </w:rPr>
        <w:t> </w:t>
      </w:r>
      <w:r>
        <w:rPr/>
        <w:t>亿元。</w:t>
      </w:r>
    </w:p>
    <w:p>
      <w:pPr>
        <w:spacing w:line="240" w:lineRule="auto" w:before="12"/>
        <w:rPr>
          <w:rFonts w:ascii="宋体" w:hAnsi="宋体" w:cs="宋体" w:eastAsia="宋体" w:hint="default"/>
          <w:sz w:val="17"/>
          <w:szCs w:val="17"/>
        </w:rPr>
      </w:pPr>
    </w:p>
    <w:p>
      <w:pPr>
        <w:pStyle w:val="BodyText"/>
        <w:spacing w:line="240" w:lineRule="auto"/>
        <w:ind w:left="329" w:right="3260"/>
        <w:jc w:val="left"/>
      </w:pPr>
      <w:r>
        <w:rPr>
          <w:rFonts w:ascii="Arial" w:hAnsi="Arial" w:cs="Arial" w:eastAsia="Arial" w:hint="default"/>
        </w:rPr>
        <w:t>2</w:t>
      </w:r>
      <w:r>
        <w:rPr/>
        <w:t>、 </w:t>
      </w:r>
      <w:r>
        <w:rPr>
          <w:rFonts w:ascii="Arial" w:hAnsi="Arial" w:cs="Arial" w:eastAsia="Arial" w:hint="default"/>
        </w:rPr>
        <w:t>2009</w:t>
      </w:r>
      <w:r>
        <w:rPr>
          <w:rFonts w:ascii="Arial" w:hAnsi="Arial" w:cs="Arial" w:eastAsia="Arial" w:hint="default"/>
          <w:spacing w:val="-41"/>
        </w:rPr>
        <w:t> </w:t>
      </w:r>
      <w:r>
        <w:rPr/>
        <w:t>年度派发股利的建议</w:t>
      </w:r>
    </w:p>
    <w:p>
      <w:pPr>
        <w:spacing w:line="240" w:lineRule="auto" w:before="2"/>
        <w:rPr>
          <w:rFonts w:ascii="宋体" w:hAnsi="宋体" w:cs="宋体" w:eastAsia="宋体" w:hint="default"/>
          <w:sz w:val="18"/>
          <w:szCs w:val="18"/>
        </w:rPr>
      </w:pPr>
    </w:p>
    <w:p>
      <w:pPr>
        <w:pStyle w:val="BodyText"/>
        <w:spacing w:line="237" w:lineRule="auto"/>
        <w:ind w:left="734" w:right="141"/>
        <w:jc w:val="both"/>
      </w:pPr>
      <w:r>
        <w:rPr>
          <w:spacing w:val="2"/>
        </w:rPr>
        <w:t>本公司作为联通红筹公司的控股公司，按本公司章程规定，应将自联通红筹公司分红所得现</w:t>
      </w:r>
      <w:r>
        <w:rPr>
          <w:w w:val="99"/>
        </w:rPr>
        <w:t> </w:t>
      </w:r>
      <w:r>
        <w:rPr>
          <w:spacing w:val="2"/>
        </w:rPr>
        <w:t>金在扣除公司日常现金开支、税费及法律法规规定应当提取的各项基金后，以现金方式全额</w:t>
      </w:r>
      <w:r>
        <w:rPr>
          <w:w w:val="99"/>
        </w:rPr>
        <w:t> </w:t>
      </w:r>
      <w:r>
        <w:rPr/>
        <w:t>分配给股东。</w:t>
      </w:r>
    </w:p>
    <w:p>
      <w:pPr>
        <w:spacing w:line="240" w:lineRule="auto" w:before="2"/>
        <w:rPr>
          <w:rFonts w:ascii="宋体" w:hAnsi="宋体" w:cs="宋体" w:eastAsia="宋体" w:hint="default"/>
          <w:sz w:val="19"/>
          <w:szCs w:val="19"/>
        </w:rPr>
      </w:pPr>
    </w:p>
    <w:p>
      <w:pPr>
        <w:pStyle w:val="BodyText"/>
        <w:spacing w:line="295" w:lineRule="exact"/>
        <w:ind w:left="734" w:right="0"/>
        <w:jc w:val="both"/>
      </w:pPr>
      <w:r>
        <w:rPr/>
        <w:t>由于联通红筹公司董事会已经于</w:t>
      </w:r>
      <w:r>
        <w:rPr>
          <w:spacing w:val="-48"/>
        </w:rPr>
        <w:t> </w:t>
      </w:r>
      <w:r>
        <w:rPr>
          <w:rFonts w:ascii="Arial" w:hAnsi="Arial" w:cs="Arial" w:eastAsia="Arial" w:hint="default"/>
        </w:rPr>
        <w:t>2010 </w:t>
      </w:r>
      <w:r>
        <w:rPr/>
        <w:t>年</w:t>
      </w:r>
      <w:r>
        <w:rPr>
          <w:spacing w:val="-49"/>
        </w:rPr>
        <w:t> </w:t>
      </w:r>
      <w:r>
        <w:rPr>
          <w:rFonts w:ascii="Arial" w:hAnsi="Arial" w:cs="Arial" w:eastAsia="Arial" w:hint="default"/>
        </w:rPr>
        <w:t>3</w:t>
      </w:r>
      <w:r>
        <w:rPr>
          <w:rFonts w:ascii="Arial" w:hAnsi="Arial" w:cs="Arial" w:eastAsia="Arial" w:hint="default"/>
          <w:spacing w:val="1"/>
        </w:rPr>
        <w:t> </w:t>
      </w:r>
      <w:r>
        <w:rPr/>
        <w:t>月</w:t>
      </w:r>
      <w:r>
        <w:rPr>
          <w:spacing w:val="-49"/>
        </w:rPr>
        <w:t> </w:t>
      </w:r>
      <w:r>
        <w:rPr>
          <w:rFonts w:ascii="Arial" w:hAnsi="Arial" w:cs="Arial" w:eastAsia="Arial" w:hint="default"/>
        </w:rPr>
        <w:t>24 </w:t>
      </w:r>
      <w:r>
        <w:rPr/>
        <w:t>日提议派发</w:t>
      </w:r>
      <w:r>
        <w:rPr>
          <w:spacing w:val="-49"/>
        </w:rPr>
        <w:t> </w:t>
      </w:r>
      <w:r>
        <w:rPr>
          <w:rFonts w:ascii="Arial" w:hAnsi="Arial" w:cs="Arial" w:eastAsia="Arial" w:hint="default"/>
        </w:rPr>
        <w:t>2009 </w:t>
      </w:r>
      <w:r>
        <w:rPr/>
        <w:t>年度股利，每股派发股利</w:t>
      </w:r>
    </w:p>
    <w:p>
      <w:pPr>
        <w:pStyle w:val="BodyText"/>
        <w:spacing w:line="285" w:lineRule="exact"/>
        <w:ind w:left="734" w:right="0"/>
        <w:jc w:val="both"/>
      </w:pPr>
      <w:r>
        <w:rPr>
          <w:rFonts w:ascii="Arial" w:hAnsi="Arial" w:cs="Arial" w:eastAsia="Arial" w:hint="default"/>
        </w:rPr>
        <w:t>0.16</w:t>
      </w:r>
      <w:r>
        <w:rPr>
          <w:rFonts w:ascii="Arial" w:hAnsi="Arial" w:cs="Arial" w:eastAsia="Arial" w:hint="default"/>
          <w:spacing w:val="11"/>
        </w:rPr>
        <w:t> </w:t>
      </w:r>
      <w:r>
        <w:rPr/>
        <w:t>元。该股利预计将于</w:t>
      </w:r>
      <w:r>
        <w:rPr>
          <w:spacing w:val="-38"/>
        </w:rPr>
        <w:t> </w:t>
      </w:r>
      <w:r>
        <w:rPr>
          <w:rFonts w:ascii="Arial" w:hAnsi="Arial" w:cs="Arial" w:eastAsia="Arial" w:hint="default"/>
        </w:rPr>
        <w:t>2010</w:t>
      </w:r>
      <w:r>
        <w:rPr>
          <w:rFonts w:ascii="Arial" w:hAnsi="Arial" w:cs="Arial" w:eastAsia="Arial" w:hint="default"/>
          <w:spacing w:val="11"/>
        </w:rPr>
        <w:t> </w:t>
      </w:r>
      <w:r>
        <w:rPr/>
        <w:t>年</w:t>
      </w:r>
      <w:r>
        <w:rPr>
          <w:spacing w:val="-39"/>
        </w:rPr>
        <w:t> </w:t>
      </w:r>
      <w:r>
        <w:rPr>
          <w:rFonts w:ascii="Arial" w:hAnsi="Arial" w:cs="Arial" w:eastAsia="Arial" w:hint="default"/>
        </w:rPr>
        <w:t>5</w:t>
      </w:r>
      <w:r>
        <w:rPr>
          <w:rFonts w:ascii="Arial" w:hAnsi="Arial" w:cs="Arial" w:eastAsia="Arial" w:hint="default"/>
          <w:spacing w:val="11"/>
        </w:rPr>
        <w:t> </w:t>
      </w:r>
      <w:r>
        <w:rPr/>
        <w:t>月经联通红筹公司股东大会批准后收到。因此本公司董</w:t>
      </w:r>
    </w:p>
    <w:p>
      <w:pPr>
        <w:pStyle w:val="BodyText"/>
        <w:spacing w:line="295" w:lineRule="exact"/>
        <w:ind w:left="734" w:right="0"/>
        <w:jc w:val="both"/>
      </w:pPr>
      <w:r>
        <w:rPr/>
        <w:t>事会提议据此派发</w:t>
      </w:r>
      <w:r>
        <w:rPr>
          <w:spacing w:val="-57"/>
        </w:rPr>
        <w:t> </w:t>
      </w:r>
      <w:r>
        <w:rPr>
          <w:rFonts w:ascii="Arial" w:hAnsi="Arial" w:cs="Arial" w:eastAsia="Arial" w:hint="default"/>
        </w:rPr>
        <w:t>2009</w:t>
      </w:r>
      <w:r>
        <w:rPr>
          <w:rFonts w:ascii="Arial" w:hAnsi="Arial" w:cs="Arial" w:eastAsia="Arial" w:hint="default"/>
          <w:spacing w:val="-8"/>
        </w:rPr>
        <w:t> </w:t>
      </w:r>
      <w:r>
        <w:rPr/>
        <w:t>年度的股利。</w:t>
      </w:r>
    </w:p>
    <w:p>
      <w:pPr>
        <w:spacing w:line="240" w:lineRule="auto" w:before="12"/>
        <w:rPr>
          <w:rFonts w:ascii="宋体" w:hAnsi="宋体" w:cs="宋体" w:eastAsia="宋体" w:hint="default"/>
          <w:sz w:val="17"/>
          <w:szCs w:val="17"/>
        </w:rPr>
      </w:pPr>
    </w:p>
    <w:p>
      <w:pPr>
        <w:pStyle w:val="BodyText"/>
        <w:spacing w:line="295" w:lineRule="exact"/>
        <w:ind w:left="709" w:right="0"/>
        <w:jc w:val="both"/>
        <w:rPr>
          <w:rFonts w:ascii="Arial" w:hAnsi="Arial" w:cs="Arial" w:eastAsia="Arial" w:hint="default"/>
        </w:rPr>
      </w:pPr>
      <w:r>
        <w:rPr/>
        <w:t>根据联通红筹公司</w:t>
      </w:r>
      <w:r>
        <w:rPr>
          <w:spacing w:val="-53"/>
        </w:rPr>
        <w:t> </w:t>
      </w:r>
      <w:r>
        <w:rPr>
          <w:rFonts w:ascii="Arial" w:hAnsi="Arial" w:cs="Arial" w:eastAsia="Arial" w:hint="default"/>
        </w:rPr>
        <w:t>2009</w:t>
      </w:r>
      <w:r>
        <w:rPr>
          <w:rFonts w:ascii="Arial" w:hAnsi="Arial" w:cs="Arial" w:eastAsia="Arial" w:hint="default"/>
          <w:spacing w:val="-4"/>
        </w:rPr>
        <w:t> </w:t>
      </w:r>
      <w:r>
        <w:rPr/>
        <w:t>年度每股派发股利的建议，本公司按持股比例应收现金股利约</w:t>
      </w:r>
      <w:r>
        <w:rPr>
          <w:spacing w:val="-53"/>
        </w:rPr>
        <w:t> </w:t>
      </w:r>
      <w:r>
        <w:rPr>
          <w:rFonts w:ascii="Arial" w:hAnsi="Arial" w:cs="Arial" w:eastAsia="Arial" w:hint="default"/>
        </w:rPr>
        <w:t>12.77</w:t>
      </w:r>
    </w:p>
    <w:p>
      <w:pPr>
        <w:pStyle w:val="BodyText"/>
        <w:spacing w:line="285" w:lineRule="exact"/>
        <w:ind w:left="709" w:right="0"/>
        <w:jc w:val="both"/>
      </w:pPr>
      <w:r>
        <w:rPr/>
        <w:t>亿元。依照本公司的章程，在收到此等股利后，扣除本公司日常开支约</w:t>
      </w:r>
      <w:r>
        <w:rPr>
          <w:spacing w:val="-49"/>
        </w:rPr>
        <w:t> </w:t>
      </w:r>
      <w:r>
        <w:rPr>
          <w:rFonts w:ascii="Arial" w:hAnsi="Arial" w:cs="Arial" w:eastAsia="Arial" w:hint="default"/>
        </w:rPr>
        <w:t>0.14</w:t>
      </w:r>
      <w:r>
        <w:rPr>
          <w:rFonts w:ascii="Arial" w:hAnsi="Arial" w:cs="Arial" w:eastAsia="Arial" w:hint="default"/>
          <w:spacing w:val="-1"/>
        </w:rPr>
        <w:t> </w:t>
      </w:r>
      <w:r>
        <w:rPr/>
        <w:t>亿元，减去预提</w:t>
      </w:r>
    </w:p>
    <w:p>
      <w:pPr>
        <w:pStyle w:val="BodyText"/>
        <w:spacing w:line="285" w:lineRule="exact"/>
        <w:ind w:left="709" w:right="0"/>
        <w:jc w:val="both"/>
      </w:pPr>
      <w:r>
        <w:rPr/>
        <w:t>的</w:t>
      </w:r>
      <w:r>
        <w:rPr>
          <w:spacing w:val="-52"/>
        </w:rPr>
        <w:t> </w:t>
      </w:r>
      <w:r>
        <w:rPr>
          <w:rFonts w:ascii="Arial" w:hAnsi="Arial" w:cs="Arial" w:eastAsia="Arial" w:hint="default"/>
        </w:rPr>
        <w:t>2010</w:t>
      </w:r>
      <w:r>
        <w:rPr>
          <w:rFonts w:ascii="Arial" w:hAnsi="Arial" w:cs="Arial" w:eastAsia="Arial" w:hint="default"/>
          <w:spacing w:val="-2"/>
        </w:rPr>
        <w:t> </w:t>
      </w:r>
      <w:r>
        <w:rPr/>
        <w:t>年度法定公积金约</w:t>
      </w:r>
      <w:r>
        <w:rPr>
          <w:spacing w:val="-51"/>
        </w:rPr>
        <w:t> </w:t>
      </w:r>
      <w:r>
        <w:rPr>
          <w:rFonts w:ascii="Arial" w:hAnsi="Arial" w:cs="Arial" w:eastAsia="Arial" w:hint="default"/>
        </w:rPr>
        <w:t>1.26</w:t>
      </w:r>
      <w:r>
        <w:rPr>
          <w:rFonts w:ascii="Arial" w:hAnsi="Arial" w:cs="Arial" w:eastAsia="Arial" w:hint="default"/>
          <w:spacing w:val="-2"/>
        </w:rPr>
        <w:t> </w:t>
      </w:r>
      <w:r>
        <w:rPr/>
        <w:t>亿元，加上</w:t>
      </w:r>
      <w:r>
        <w:rPr>
          <w:spacing w:val="-51"/>
        </w:rPr>
        <w:t> </w:t>
      </w:r>
      <w:r>
        <w:rPr>
          <w:rFonts w:ascii="Arial" w:hAnsi="Arial" w:cs="Arial" w:eastAsia="Arial" w:hint="default"/>
        </w:rPr>
        <w:t>2009</w:t>
      </w:r>
      <w:r>
        <w:rPr>
          <w:rFonts w:ascii="Arial" w:hAnsi="Arial" w:cs="Arial" w:eastAsia="Arial" w:hint="default"/>
          <w:spacing w:val="-2"/>
        </w:rPr>
        <w:t> </w:t>
      </w:r>
      <w:r>
        <w:rPr/>
        <w:t>年末本公司可供股东分配的利润</w:t>
      </w:r>
      <w:r>
        <w:rPr>
          <w:spacing w:val="-50"/>
        </w:rPr>
        <w:t> </w:t>
      </w:r>
      <w:r>
        <w:rPr>
          <w:rFonts w:ascii="Arial" w:hAnsi="Arial" w:cs="Arial" w:eastAsia="Arial" w:hint="default"/>
        </w:rPr>
        <w:t>0.02</w:t>
      </w:r>
      <w:r>
        <w:rPr>
          <w:rFonts w:ascii="Arial" w:hAnsi="Arial" w:cs="Arial" w:eastAsia="Arial" w:hint="default"/>
          <w:spacing w:val="-2"/>
        </w:rPr>
        <w:t> </w:t>
      </w:r>
      <w:r>
        <w:rPr/>
        <w:t>亿元</w:t>
      </w:r>
    </w:p>
    <w:p>
      <w:pPr>
        <w:pStyle w:val="BodyText"/>
        <w:spacing w:line="285" w:lineRule="exact"/>
        <w:ind w:left="709" w:right="0"/>
        <w:jc w:val="both"/>
      </w:pPr>
      <w:r>
        <w:rPr/>
        <w:t>后，可供股东分配的利润为约</w:t>
      </w:r>
      <w:r>
        <w:rPr>
          <w:spacing w:val="-56"/>
        </w:rPr>
        <w:t> </w:t>
      </w:r>
      <w:r>
        <w:rPr>
          <w:rFonts w:ascii="Arial" w:hAnsi="Arial" w:cs="Arial" w:eastAsia="Arial" w:hint="default"/>
        </w:rPr>
        <w:t>11.39</w:t>
      </w:r>
      <w:r>
        <w:rPr>
          <w:rFonts w:ascii="Arial" w:hAnsi="Arial" w:cs="Arial" w:eastAsia="Arial" w:hint="default"/>
          <w:spacing w:val="-7"/>
        </w:rPr>
        <w:t> </w:t>
      </w:r>
      <w:r>
        <w:rPr/>
        <w:t>亿元。以本公司</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日总股本</w:t>
      </w:r>
      <w:r>
        <w:rPr>
          <w:spacing w:val="-55"/>
        </w:rPr>
        <w:t> </w:t>
      </w:r>
      <w:r>
        <w:rPr>
          <w:rFonts w:ascii="Arial" w:hAnsi="Arial" w:cs="Arial" w:eastAsia="Arial" w:hint="default"/>
        </w:rPr>
        <w:t>211.97</w:t>
      </w:r>
      <w:r>
        <w:rPr>
          <w:rFonts w:ascii="Arial" w:hAnsi="Arial" w:cs="Arial" w:eastAsia="Arial" w:hint="default"/>
          <w:spacing w:val="-7"/>
        </w:rPr>
        <w:t> </w:t>
      </w:r>
      <w:r>
        <w:rPr/>
        <w:t>亿股</w:t>
      </w:r>
    </w:p>
    <w:p>
      <w:pPr>
        <w:pStyle w:val="BodyText"/>
        <w:spacing w:line="285" w:lineRule="exact"/>
        <w:ind w:left="709" w:right="0"/>
        <w:jc w:val="both"/>
      </w:pPr>
      <w:r>
        <w:rPr/>
        <w:t>计算，每股可派发现金股利</w:t>
      </w:r>
      <w:r>
        <w:rPr>
          <w:spacing w:val="-57"/>
        </w:rPr>
        <w:t> </w:t>
      </w:r>
      <w:r>
        <w:rPr>
          <w:rFonts w:ascii="Arial" w:hAnsi="Arial" w:cs="Arial" w:eastAsia="Arial" w:hint="default"/>
        </w:rPr>
        <w:t>0.0536</w:t>
      </w:r>
      <w:r>
        <w:rPr>
          <w:rFonts w:ascii="Arial" w:hAnsi="Arial" w:cs="Arial" w:eastAsia="Arial" w:hint="default"/>
          <w:spacing w:val="-8"/>
        </w:rPr>
        <w:t> </w:t>
      </w:r>
      <w:r>
        <w:rPr/>
        <w:t>元（含税），可向本公司股东派发约</w:t>
      </w:r>
      <w:r>
        <w:rPr>
          <w:spacing w:val="-57"/>
        </w:rPr>
        <w:t> </w:t>
      </w:r>
      <w:r>
        <w:rPr>
          <w:rFonts w:ascii="Arial" w:hAnsi="Arial" w:cs="Arial" w:eastAsia="Arial" w:hint="default"/>
        </w:rPr>
        <w:t>11.36</w:t>
      </w:r>
      <w:r>
        <w:rPr>
          <w:rFonts w:ascii="Arial" w:hAnsi="Arial" w:cs="Arial" w:eastAsia="Arial" w:hint="default"/>
          <w:spacing w:val="-8"/>
        </w:rPr>
        <w:t> </w:t>
      </w:r>
      <w:r>
        <w:rPr/>
        <w:t>亿元的股利，</w:t>
      </w:r>
    </w:p>
    <w:p>
      <w:pPr>
        <w:pStyle w:val="BodyText"/>
        <w:spacing w:line="295" w:lineRule="exact"/>
        <w:ind w:left="709" w:right="0"/>
        <w:jc w:val="both"/>
      </w:pPr>
      <w:r>
        <w:rPr/>
        <w:t>剩余约</w:t>
      </w:r>
      <w:r>
        <w:rPr>
          <w:spacing w:val="-57"/>
        </w:rPr>
        <w:t> </w:t>
      </w:r>
      <w:r>
        <w:rPr>
          <w:rFonts w:ascii="Arial" w:hAnsi="Arial" w:cs="Arial" w:eastAsia="Arial" w:hint="default"/>
        </w:rPr>
        <w:t>0.03</w:t>
      </w:r>
      <w:r>
        <w:rPr>
          <w:rFonts w:ascii="Arial" w:hAnsi="Arial" w:cs="Arial" w:eastAsia="Arial" w:hint="default"/>
          <w:spacing w:val="-8"/>
        </w:rPr>
        <w:t> </w:t>
      </w:r>
      <w:r>
        <w:rPr/>
        <w:t>亿元可供股东分配的利润将用于以后年度的利润分配。</w:t>
      </w:r>
    </w:p>
    <w:p>
      <w:pPr>
        <w:spacing w:after="0" w:line="295" w:lineRule="exact"/>
        <w:jc w:val="both"/>
        <w:sectPr>
          <w:pgSz w:w="11910" w:h="16840"/>
          <w:pgMar w:header="587" w:footer="774" w:top="960" w:bottom="960" w:left="1000" w:right="1140"/>
        </w:sectPr>
      </w:pPr>
    </w:p>
    <w:p>
      <w:pPr>
        <w:spacing w:line="240" w:lineRule="auto" w:before="6"/>
        <w:rPr>
          <w:rFonts w:ascii="宋体" w:hAnsi="宋体" w:cs="宋体" w:eastAsia="宋体" w:hint="default"/>
          <w:sz w:val="12"/>
          <w:szCs w:val="12"/>
        </w:rPr>
      </w:pPr>
    </w:p>
    <w:p>
      <w:pPr>
        <w:pStyle w:val="BodyText"/>
        <w:spacing w:line="287" w:lineRule="exact" w:before="31"/>
        <w:ind w:left="107" w:right="125"/>
        <w:jc w:val="left"/>
      </w:pPr>
      <w:r>
        <w:rPr/>
        <w:t>（六）公司前三年分红情况</w:t>
      </w:r>
    </w:p>
    <w:p>
      <w:pPr>
        <w:pStyle w:val="BodyText"/>
        <w:spacing w:line="287" w:lineRule="exact"/>
        <w:ind w:left="0" w:right="138"/>
        <w:jc w:val="right"/>
      </w:pPr>
      <w:r>
        <w:rPr/>
        <w:t>单位：元</w:t>
      </w:r>
      <w:r>
        <w:rPr>
          <w:spacing w:val="-3"/>
        </w:rPr>
        <w:t> </w:t>
      </w:r>
      <w:r>
        <w:rPr/>
        <w:t>币种：人民币</w:t>
      </w:r>
    </w:p>
    <w:p>
      <w:pPr>
        <w:spacing w:line="240" w:lineRule="auto" w:before="6"/>
        <w:rPr>
          <w:rFonts w:ascii="宋体" w:hAnsi="宋体" w:cs="宋体" w:eastAsia="宋体" w:hint="default"/>
          <w:sz w:val="2"/>
          <w:szCs w:val="2"/>
        </w:rPr>
      </w:pPr>
    </w:p>
    <w:tbl>
      <w:tblPr>
        <w:tblW w:w="0" w:type="auto"/>
        <w:jc w:val="left"/>
        <w:tblInd w:w="702" w:type="dxa"/>
        <w:tblLayout w:type="fixed"/>
        <w:tblCellMar>
          <w:top w:w="0" w:type="dxa"/>
          <w:left w:w="0" w:type="dxa"/>
          <w:bottom w:w="0" w:type="dxa"/>
          <w:right w:w="0" w:type="dxa"/>
        </w:tblCellMar>
        <w:tblLook w:val="01E0"/>
      </w:tblPr>
      <w:tblGrid>
        <w:gridCol w:w="1434"/>
        <w:gridCol w:w="2791"/>
        <w:gridCol w:w="2324"/>
        <w:gridCol w:w="2322"/>
      </w:tblGrid>
      <w:tr>
        <w:trPr>
          <w:trHeight w:val="268" w:hRule="exact"/>
        </w:trPr>
        <w:tc>
          <w:tcPr>
            <w:tcW w:w="1434" w:type="dxa"/>
            <w:tcBorders>
              <w:top w:val="single" w:sz="6" w:space="0" w:color="000000"/>
              <w:left w:val="single" w:sz="6" w:space="0" w:color="000000"/>
              <w:bottom w:val="nil" w:sz="6" w:space="0" w:color="auto"/>
              <w:right w:val="single" w:sz="6" w:space="0" w:color="000000"/>
            </w:tcBorders>
          </w:tcPr>
          <w:p>
            <w:pPr/>
          </w:p>
        </w:tc>
        <w:tc>
          <w:tcPr>
            <w:tcW w:w="2791" w:type="dxa"/>
            <w:tcBorders>
              <w:top w:val="single" w:sz="6" w:space="0" w:color="000000"/>
              <w:left w:val="single" w:sz="6" w:space="0" w:color="000000"/>
              <w:bottom w:val="nil" w:sz="6" w:space="0" w:color="auto"/>
              <w:right w:val="single" w:sz="6" w:space="0" w:color="000000"/>
            </w:tcBorders>
          </w:tcPr>
          <w:p>
            <w:pPr/>
          </w:p>
        </w:tc>
        <w:tc>
          <w:tcPr>
            <w:tcW w:w="2324" w:type="dxa"/>
            <w:tcBorders>
              <w:top w:val="single" w:sz="6" w:space="0" w:color="000000"/>
              <w:left w:val="single" w:sz="6" w:space="0" w:color="000000"/>
              <w:bottom w:val="nil" w:sz="6" w:space="0" w:color="auto"/>
              <w:right w:val="single" w:sz="6" w:space="0" w:color="000000"/>
            </w:tcBorders>
          </w:tcPr>
          <w:p>
            <w:pPr>
              <w:pStyle w:val="TableParagraph"/>
              <w:spacing w:line="231" w:lineRule="exact"/>
              <w:ind w:right="151"/>
              <w:jc w:val="right"/>
              <w:rPr>
                <w:rFonts w:ascii="宋体" w:hAnsi="宋体" w:cs="宋体" w:eastAsia="宋体" w:hint="default"/>
                <w:sz w:val="20"/>
                <w:szCs w:val="20"/>
              </w:rPr>
            </w:pPr>
            <w:r>
              <w:rPr>
                <w:rFonts w:ascii="宋体" w:hAnsi="宋体" w:cs="宋体" w:eastAsia="宋体" w:hint="default"/>
                <w:spacing w:val="-1"/>
                <w:sz w:val="20"/>
                <w:szCs w:val="20"/>
              </w:rPr>
              <w:t>分红年度合并报表中归</w:t>
            </w:r>
          </w:p>
        </w:tc>
        <w:tc>
          <w:tcPr>
            <w:tcW w:w="2322" w:type="dxa"/>
            <w:tcBorders>
              <w:top w:val="single" w:sz="6" w:space="0" w:color="000000"/>
              <w:left w:val="single" w:sz="6" w:space="0" w:color="000000"/>
              <w:bottom w:val="nil" w:sz="6" w:space="0" w:color="auto"/>
              <w:right w:val="single" w:sz="6" w:space="0" w:color="000000"/>
            </w:tcBorders>
          </w:tcPr>
          <w:p>
            <w:pPr>
              <w:pStyle w:val="TableParagraph"/>
              <w:spacing w:line="231" w:lineRule="exact"/>
              <w:ind w:right="150"/>
              <w:jc w:val="right"/>
              <w:rPr>
                <w:rFonts w:ascii="宋体" w:hAnsi="宋体" w:cs="宋体" w:eastAsia="宋体" w:hint="default"/>
                <w:sz w:val="20"/>
                <w:szCs w:val="20"/>
              </w:rPr>
            </w:pPr>
            <w:r>
              <w:rPr>
                <w:rFonts w:ascii="宋体" w:hAnsi="宋体" w:cs="宋体" w:eastAsia="宋体" w:hint="default"/>
                <w:spacing w:val="-1"/>
                <w:sz w:val="20"/>
                <w:szCs w:val="20"/>
              </w:rPr>
              <w:t>占合并报表中归属于上</w:t>
            </w:r>
          </w:p>
        </w:tc>
      </w:tr>
      <w:tr>
        <w:trPr>
          <w:trHeight w:val="260" w:hRule="exact"/>
        </w:trPr>
        <w:tc>
          <w:tcPr>
            <w:tcW w:w="1434" w:type="dxa"/>
            <w:tcBorders>
              <w:top w:val="nil" w:sz="6" w:space="0" w:color="auto"/>
              <w:left w:val="single" w:sz="6" w:space="0" w:color="000000"/>
              <w:bottom w:val="nil" w:sz="6" w:space="0" w:color="auto"/>
              <w:right w:val="single" w:sz="6" w:space="0" w:color="000000"/>
            </w:tcBorders>
          </w:tcPr>
          <w:p>
            <w:pPr>
              <w:pStyle w:val="TableParagraph"/>
              <w:spacing w:line="230" w:lineRule="exact"/>
              <w:ind w:left="308" w:right="0"/>
              <w:jc w:val="left"/>
              <w:rPr>
                <w:rFonts w:ascii="宋体" w:hAnsi="宋体" w:cs="宋体" w:eastAsia="宋体" w:hint="default"/>
                <w:sz w:val="20"/>
                <w:szCs w:val="20"/>
              </w:rPr>
            </w:pPr>
            <w:r>
              <w:rPr>
                <w:rFonts w:ascii="宋体" w:hAnsi="宋体" w:cs="宋体" w:eastAsia="宋体" w:hint="default"/>
                <w:sz w:val="20"/>
                <w:szCs w:val="20"/>
              </w:rPr>
              <w:t>分红年度</w:t>
            </w:r>
          </w:p>
        </w:tc>
        <w:tc>
          <w:tcPr>
            <w:tcW w:w="2791" w:type="dxa"/>
            <w:tcBorders>
              <w:top w:val="nil" w:sz="6" w:space="0" w:color="auto"/>
              <w:left w:val="single" w:sz="6" w:space="0" w:color="000000"/>
              <w:bottom w:val="nil" w:sz="6" w:space="0" w:color="auto"/>
              <w:right w:val="single" w:sz="6" w:space="0" w:color="000000"/>
            </w:tcBorders>
          </w:tcPr>
          <w:p>
            <w:pPr>
              <w:pStyle w:val="TableParagraph"/>
              <w:spacing w:line="230" w:lineRule="exact"/>
              <w:ind w:left="288" w:right="0"/>
              <w:jc w:val="left"/>
              <w:rPr>
                <w:rFonts w:ascii="宋体" w:hAnsi="宋体" w:cs="宋体" w:eastAsia="宋体" w:hint="default"/>
                <w:sz w:val="20"/>
                <w:szCs w:val="20"/>
              </w:rPr>
            </w:pPr>
            <w:r>
              <w:rPr>
                <w:rFonts w:ascii="宋体" w:hAnsi="宋体" w:cs="宋体" w:eastAsia="宋体" w:hint="default"/>
                <w:sz w:val="20"/>
                <w:szCs w:val="20"/>
              </w:rPr>
              <w:t>现金分红的数额（含税）</w:t>
            </w:r>
          </w:p>
        </w:tc>
        <w:tc>
          <w:tcPr>
            <w:tcW w:w="2324" w:type="dxa"/>
            <w:tcBorders>
              <w:top w:val="nil" w:sz="6" w:space="0" w:color="auto"/>
              <w:left w:val="single" w:sz="6" w:space="0" w:color="000000"/>
              <w:bottom w:val="nil" w:sz="6" w:space="0" w:color="auto"/>
              <w:right w:val="single" w:sz="6" w:space="0" w:color="000000"/>
            </w:tcBorders>
          </w:tcPr>
          <w:p>
            <w:pPr>
              <w:pStyle w:val="TableParagraph"/>
              <w:spacing w:line="230" w:lineRule="exact"/>
              <w:ind w:right="151"/>
              <w:jc w:val="right"/>
              <w:rPr>
                <w:rFonts w:ascii="宋体" w:hAnsi="宋体" w:cs="宋体" w:eastAsia="宋体" w:hint="default"/>
                <w:sz w:val="20"/>
                <w:szCs w:val="20"/>
              </w:rPr>
            </w:pPr>
            <w:r>
              <w:rPr>
                <w:rFonts w:ascii="宋体" w:hAnsi="宋体" w:cs="宋体" w:eastAsia="宋体" w:hint="default"/>
                <w:spacing w:val="-1"/>
                <w:sz w:val="20"/>
                <w:szCs w:val="20"/>
              </w:rPr>
              <w:t>属于上市公司股东的净</w:t>
            </w:r>
          </w:p>
        </w:tc>
        <w:tc>
          <w:tcPr>
            <w:tcW w:w="2322" w:type="dxa"/>
            <w:tcBorders>
              <w:top w:val="nil" w:sz="6" w:space="0" w:color="auto"/>
              <w:left w:val="single" w:sz="6" w:space="0" w:color="000000"/>
              <w:bottom w:val="nil" w:sz="6" w:space="0" w:color="auto"/>
              <w:right w:val="single" w:sz="6" w:space="0" w:color="000000"/>
            </w:tcBorders>
          </w:tcPr>
          <w:p>
            <w:pPr>
              <w:pStyle w:val="TableParagraph"/>
              <w:spacing w:line="230" w:lineRule="exact"/>
              <w:ind w:right="150"/>
              <w:jc w:val="right"/>
              <w:rPr>
                <w:rFonts w:ascii="宋体" w:hAnsi="宋体" w:cs="宋体" w:eastAsia="宋体" w:hint="default"/>
                <w:sz w:val="20"/>
                <w:szCs w:val="20"/>
              </w:rPr>
            </w:pPr>
            <w:r>
              <w:rPr>
                <w:rFonts w:ascii="宋体" w:hAnsi="宋体" w:cs="宋体" w:eastAsia="宋体" w:hint="default"/>
                <w:spacing w:val="-1"/>
                <w:sz w:val="20"/>
                <w:szCs w:val="20"/>
              </w:rPr>
              <w:t>市公司股东的净利润的</w:t>
            </w:r>
          </w:p>
        </w:tc>
      </w:tr>
      <w:tr>
        <w:trPr>
          <w:trHeight w:val="266" w:hRule="exact"/>
        </w:trPr>
        <w:tc>
          <w:tcPr>
            <w:tcW w:w="1434" w:type="dxa"/>
            <w:tcBorders>
              <w:top w:val="nil" w:sz="6" w:space="0" w:color="auto"/>
              <w:left w:val="single" w:sz="6" w:space="0" w:color="000000"/>
              <w:bottom w:val="single" w:sz="6" w:space="0" w:color="000000"/>
              <w:right w:val="single" w:sz="6" w:space="0" w:color="000000"/>
            </w:tcBorders>
          </w:tcPr>
          <w:p>
            <w:pPr/>
          </w:p>
        </w:tc>
        <w:tc>
          <w:tcPr>
            <w:tcW w:w="2791" w:type="dxa"/>
            <w:tcBorders>
              <w:top w:val="nil" w:sz="6" w:space="0" w:color="auto"/>
              <w:left w:val="single" w:sz="6" w:space="0" w:color="000000"/>
              <w:bottom w:val="single" w:sz="6" w:space="0" w:color="000000"/>
              <w:right w:val="single" w:sz="6" w:space="0" w:color="000000"/>
            </w:tcBorders>
          </w:tcPr>
          <w:p>
            <w:pPr/>
          </w:p>
        </w:tc>
        <w:tc>
          <w:tcPr>
            <w:tcW w:w="2324" w:type="dxa"/>
            <w:tcBorders>
              <w:top w:val="nil" w:sz="6" w:space="0" w:color="auto"/>
              <w:left w:val="single" w:sz="6" w:space="0" w:color="000000"/>
              <w:bottom w:val="single" w:sz="6" w:space="0" w:color="000000"/>
              <w:right w:val="single" w:sz="6" w:space="0" w:color="000000"/>
            </w:tcBorders>
          </w:tcPr>
          <w:p>
            <w:pPr>
              <w:pStyle w:val="TableParagraph"/>
              <w:spacing w:line="230" w:lineRule="exact"/>
              <w:ind w:left="653" w:right="0"/>
              <w:jc w:val="left"/>
              <w:rPr>
                <w:rFonts w:ascii="宋体" w:hAnsi="宋体" w:cs="宋体" w:eastAsia="宋体" w:hint="default"/>
                <w:sz w:val="20"/>
                <w:szCs w:val="20"/>
              </w:rPr>
            </w:pPr>
            <w:r>
              <w:rPr>
                <w:rFonts w:ascii="宋体" w:hAnsi="宋体" w:cs="宋体" w:eastAsia="宋体" w:hint="default"/>
                <w:sz w:val="20"/>
                <w:szCs w:val="20"/>
              </w:rPr>
              <w:t>利润（注）</w:t>
            </w:r>
          </w:p>
        </w:tc>
        <w:tc>
          <w:tcPr>
            <w:tcW w:w="2322" w:type="dxa"/>
            <w:tcBorders>
              <w:top w:val="nil" w:sz="6" w:space="0" w:color="auto"/>
              <w:left w:val="single" w:sz="6" w:space="0" w:color="000000"/>
              <w:bottom w:val="single" w:sz="6" w:space="0" w:color="000000"/>
              <w:right w:val="single" w:sz="6" w:space="0" w:color="000000"/>
            </w:tcBorders>
          </w:tcPr>
          <w:p>
            <w:pPr>
              <w:pStyle w:val="TableParagraph"/>
              <w:spacing w:line="244" w:lineRule="exact"/>
              <w:ind w:right="0"/>
              <w:jc w:val="center"/>
              <w:rPr>
                <w:rFonts w:ascii="Arial" w:hAnsi="Arial" w:cs="Arial" w:eastAsia="Arial" w:hint="default"/>
                <w:sz w:val="20"/>
                <w:szCs w:val="20"/>
              </w:rPr>
            </w:pPr>
            <w:r>
              <w:rPr>
                <w:rFonts w:ascii="宋体" w:hAnsi="宋体" w:cs="宋体" w:eastAsia="宋体" w:hint="default"/>
                <w:sz w:val="20"/>
                <w:szCs w:val="20"/>
              </w:rPr>
              <w:t>比率</w:t>
            </w:r>
            <w:r>
              <w:rPr>
                <w:rFonts w:ascii="Arial" w:hAnsi="Arial" w:cs="Arial" w:eastAsia="Arial" w:hint="default"/>
                <w:sz w:val="20"/>
                <w:szCs w:val="20"/>
              </w:rPr>
              <w:t>(%)</w:t>
            </w:r>
          </w:p>
        </w:tc>
      </w:tr>
      <w:tr>
        <w:trPr>
          <w:trHeight w:val="275" w:hRule="exact"/>
        </w:trPr>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5" w:lineRule="exact"/>
              <w:ind w:left="100" w:right="0"/>
              <w:jc w:val="left"/>
              <w:rPr>
                <w:rFonts w:ascii="宋体" w:hAnsi="宋体" w:cs="宋体" w:eastAsia="宋体" w:hint="default"/>
                <w:sz w:val="20"/>
                <w:szCs w:val="20"/>
              </w:rPr>
            </w:pPr>
            <w:r>
              <w:rPr>
                <w:rFonts w:ascii="Arial" w:hAnsi="Arial" w:cs="Arial" w:eastAsia="Arial" w:hint="default"/>
                <w:sz w:val="20"/>
                <w:szCs w:val="20"/>
              </w:rPr>
              <w:t>2006</w:t>
            </w:r>
            <w:r>
              <w:rPr>
                <w:rFonts w:ascii="Arial" w:hAnsi="Arial" w:cs="Arial" w:eastAsia="Arial" w:hint="default"/>
                <w:spacing w:val="-6"/>
                <w:sz w:val="20"/>
                <w:szCs w:val="20"/>
              </w:rPr>
              <w:t> </w:t>
            </w:r>
            <w:r>
              <w:rPr>
                <w:rFonts w:ascii="宋体" w:hAnsi="宋体" w:cs="宋体" w:eastAsia="宋体" w:hint="default"/>
                <w:sz w:val="20"/>
                <w:szCs w:val="20"/>
              </w:rPr>
              <w:t>年度</w:t>
            </w:r>
          </w:p>
        </w:tc>
        <w:tc>
          <w:tcPr>
            <w:tcW w:w="27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20"/>
                <w:szCs w:val="20"/>
              </w:rPr>
            </w:pPr>
            <w:r>
              <w:rPr>
                <w:rFonts w:ascii="Arial"/>
                <w:spacing w:val="-2"/>
                <w:sz w:val="20"/>
              </w:rPr>
              <w:t>1,424,411,278</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20"/>
                <w:szCs w:val="20"/>
              </w:rPr>
            </w:pPr>
            <w:r>
              <w:rPr>
                <w:rFonts w:ascii="Arial"/>
                <w:spacing w:val="-1"/>
                <w:sz w:val="20"/>
              </w:rPr>
              <w:t>2,114,297,690</w:t>
            </w:r>
          </w:p>
        </w:tc>
        <w:tc>
          <w:tcPr>
            <w:tcW w:w="2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Arial" w:hAnsi="Arial" w:cs="Arial" w:eastAsia="Arial" w:hint="default"/>
                <w:sz w:val="20"/>
                <w:szCs w:val="20"/>
              </w:rPr>
            </w:pPr>
            <w:r>
              <w:rPr>
                <w:rFonts w:ascii="Arial"/>
                <w:spacing w:val="-1"/>
                <w:sz w:val="20"/>
              </w:rPr>
              <w:t>67.37</w:t>
            </w:r>
            <w:r>
              <w:rPr>
                <w:rFonts w:ascii="Arial"/>
                <w:sz w:val="20"/>
              </w:rPr>
            </w:r>
          </w:p>
        </w:tc>
      </w:tr>
      <w:tr>
        <w:trPr>
          <w:trHeight w:val="274" w:hRule="exact"/>
        </w:trPr>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5" w:lineRule="exact"/>
              <w:ind w:left="100" w:right="0"/>
              <w:jc w:val="left"/>
              <w:rPr>
                <w:rFonts w:ascii="宋体" w:hAnsi="宋体" w:cs="宋体" w:eastAsia="宋体" w:hint="default"/>
                <w:sz w:val="20"/>
                <w:szCs w:val="20"/>
              </w:rPr>
            </w:pPr>
            <w:r>
              <w:rPr>
                <w:rFonts w:ascii="Arial" w:hAnsi="Arial" w:cs="Arial" w:eastAsia="Arial" w:hint="default"/>
                <w:sz w:val="20"/>
                <w:szCs w:val="20"/>
              </w:rPr>
              <w:t>2007</w:t>
            </w:r>
            <w:r>
              <w:rPr>
                <w:rFonts w:ascii="Arial" w:hAnsi="Arial" w:cs="Arial" w:eastAsia="Arial" w:hint="default"/>
                <w:spacing w:val="-6"/>
                <w:sz w:val="20"/>
                <w:szCs w:val="20"/>
              </w:rPr>
              <w:t> </w:t>
            </w:r>
            <w:r>
              <w:rPr>
                <w:rFonts w:ascii="宋体" w:hAnsi="宋体" w:cs="宋体" w:eastAsia="宋体" w:hint="default"/>
                <w:sz w:val="20"/>
                <w:szCs w:val="20"/>
              </w:rPr>
              <w:t>年度</w:t>
            </w:r>
          </w:p>
        </w:tc>
        <w:tc>
          <w:tcPr>
            <w:tcW w:w="27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20"/>
                <w:szCs w:val="20"/>
              </w:rPr>
            </w:pPr>
            <w:r>
              <w:rPr>
                <w:rFonts w:ascii="Arial"/>
                <w:spacing w:val="-2"/>
                <w:sz w:val="20"/>
              </w:rPr>
              <w:t>1,424,411,278</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20"/>
                <w:szCs w:val="20"/>
              </w:rPr>
            </w:pPr>
            <w:r>
              <w:rPr>
                <w:rFonts w:ascii="Arial"/>
                <w:spacing w:val="-1"/>
                <w:sz w:val="20"/>
              </w:rPr>
              <w:t>5,632,878,880</w:t>
            </w:r>
          </w:p>
        </w:tc>
        <w:tc>
          <w:tcPr>
            <w:tcW w:w="2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Arial" w:hAnsi="Arial" w:cs="Arial" w:eastAsia="Arial" w:hint="default"/>
                <w:sz w:val="20"/>
                <w:szCs w:val="20"/>
              </w:rPr>
            </w:pPr>
            <w:r>
              <w:rPr>
                <w:rFonts w:ascii="Arial"/>
                <w:spacing w:val="-1"/>
                <w:sz w:val="20"/>
              </w:rPr>
              <w:t>25.29</w:t>
            </w:r>
            <w:r>
              <w:rPr>
                <w:rFonts w:ascii="Arial"/>
                <w:sz w:val="20"/>
              </w:rPr>
            </w:r>
          </w:p>
        </w:tc>
      </w:tr>
      <w:tr>
        <w:trPr>
          <w:trHeight w:val="276" w:hRule="exact"/>
        </w:trPr>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5" w:lineRule="exact"/>
              <w:ind w:left="100" w:right="0"/>
              <w:jc w:val="left"/>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年度</w:t>
            </w:r>
          </w:p>
        </w:tc>
        <w:tc>
          <w:tcPr>
            <w:tcW w:w="27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Arial" w:hAnsi="Arial" w:cs="Arial" w:eastAsia="Arial" w:hint="default"/>
                <w:sz w:val="20"/>
                <w:szCs w:val="20"/>
              </w:rPr>
            </w:pPr>
            <w:r>
              <w:rPr>
                <w:rFonts w:ascii="Arial"/>
                <w:spacing w:val="-2"/>
                <w:sz w:val="20"/>
              </w:rPr>
              <w:t>1,424,411,278</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9"/>
              <w:jc w:val="right"/>
              <w:rPr>
                <w:rFonts w:ascii="Arial" w:hAnsi="Arial" w:cs="Arial" w:eastAsia="Arial" w:hint="default"/>
                <w:sz w:val="20"/>
                <w:szCs w:val="20"/>
              </w:rPr>
            </w:pPr>
            <w:r>
              <w:rPr>
                <w:rFonts w:ascii="Arial"/>
                <w:spacing w:val="-1"/>
                <w:sz w:val="20"/>
              </w:rPr>
              <w:t>19,741,412,830</w:t>
            </w:r>
          </w:p>
        </w:tc>
        <w:tc>
          <w:tcPr>
            <w:tcW w:w="2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Arial" w:hAnsi="Arial" w:cs="Arial" w:eastAsia="Arial" w:hint="default"/>
                <w:sz w:val="20"/>
                <w:szCs w:val="20"/>
              </w:rPr>
            </w:pPr>
            <w:r>
              <w:rPr>
                <w:rFonts w:ascii="Arial"/>
                <w:spacing w:val="-1"/>
                <w:sz w:val="20"/>
              </w:rPr>
              <w:t>7.22</w:t>
            </w:r>
            <w:r>
              <w:rPr>
                <w:rFonts w:ascii="Arial"/>
                <w:sz w:val="20"/>
              </w:rPr>
            </w:r>
          </w:p>
        </w:tc>
      </w:tr>
    </w:tbl>
    <w:p>
      <w:pPr>
        <w:spacing w:line="240" w:lineRule="auto" w:before="1"/>
        <w:rPr>
          <w:rFonts w:ascii="宋体" w:hAnsi="宋体" w:cs="宋体" w:eastAsia="宋体" w:hint="default"/>
          <w:sz w:val="14"/>
          <w:szCs w:val="14"/>
        </w:rPr>
      </w:pPr>
    </w:p>
    <w:p>
      <w:pPr>
        <w:pStyle w:val="BodyText"/>
        <w:spacing w:line="286" w:lineRule="exact" w:before="60"/>
        <w:ind w:left="1144" w:right="125" w:hanging="435"/>
        <w:jc w:val="left"/>
      </w:pPr>
      <w:r>
        <w:rPr/>
        <w:t>注：虽然联通红筹公司与网通红筹公司的合并采用同一控制下企业合并的会计处理，但实际</w:t>
      </w:r>
      <w:r>
        <w:rPr>
          <w:spacing w:val="-50"/>
        </w:rPr>
        <w:t> </w:t>
      </w:r>
      <w:r>
        <w:rPr>
          <w:spacing w:val="-50"/>
        </w:rPr>
      </w:r>
      <w:r>
        <w:rPr/>
        <w:t>上</w:t>
      </w:r>
      <w:r>
        <w:rPr>
          <w:spacing w:val="-45"/>
        </w:rPr>
        <w:t> </w:t>
      </w:r>
      <w:r>
        <w:rPr>
          <w:rFonts w:ascii="Arial" w:hAnsi="Arial" w:cs="Arial" w:eastAsia="Arial" w:hint="default"/>
        </w:rPr>
        <w:t>2008</w:t>
      </w:r>
      <w:r>
        <w:rPr>
          <w:rFonts w:ascii="Arial" w:hAnsi="Arial" w:cs="Arial" w:eastAsia="Arial" w:hint="default"/>
          <w:spacing w:val="4"/>
        </w:rPr>
        <w:t> </w:t>
      </w:r>
      <w:r>
        <w:rPr>
          <w:spacing w:val="-3"/>
        </w:rPr>
        <w:t>年度以前，网通红筹公司的利润对象并未包括本公司的股东。因此，此处列示的</w:t>
      </w:r>
    </w:p>
    <w:p>
      <w:pPr>
        <w:pStyle w:val="BodyText"/>
        <w:spacing w:line="266" w:lineRule="exact"/>
        <w:ind w:left="1144" w:right="0"/>
        <w:jc w:val="left"/>
      </w:pPr>
      <w:r>
        <w:rPr/>
        <w:t>归属于上市公司股东的净利润为摘自本公司原</w:t>
      </w:r>
      <w:r>
        <w:rPr>
          <w:spacing w:val="-60"/>
        </w:rPr>
        <w:t> </w:t>
      </w:r>
      <w:r>
        <w:rPr>
          <w:rFonts w:ascii="Arial" w:hAnsi="Arial" w:cs="Arial" w:eastAsia="Arial" w:hint="default"/>
        </w:rPr>
        <w:t>2006</w:t>
      </w:r>
      <w:r>
        <w:rPr>
          <w:rFonts w:ascii="Arial" w:hAnsi="Arial" w:cs="Arial" w:eastAsia="Arial" w:hint="default"/>
          <w:spacing w:val="-13"/>
        </w:rPr>
        <w:t> </w:t>
      </w:r>
      <w:r>
        <w:rPr/>
        <w:t>年及</w:t>
      </w:r>
      <w:r>
        <w:rPr>
          <w:spacing w:val="-62"/>
        </w:rPr>
        <w:t> </w:t>
      </w:r>
      <w:r>
        <w:rPr>
          <w:rFonts w:ascii="Arial" w:hAnsi="Arial" w:cs="Arial" w:eastAsia="Arial" w:hint="default"/>
        </w:rPr>
        <w:t>2007</w:t>
      </w:r>
      <w:r>
        <w:rPr>
          <w:rFonts w:ascii="Arial" w:hAnsi="Arial" w:cs="Arial" w:eastAsia="Arial" w:hint="default"/>
          <w:spacing w:val="-13"/>
        </w:rPr>
        <w:t> </w:t>
      </w:r>
      <w:r>
        <w:rPr/>
        <w:t>年年报的数据，不同于本</w:t>
      </w:r>
    </w:p>
    <w:p>
      <w:pPr>
        <w:pStyle w:val="BodyText"/>
        <w:spacing w:line="285" w:lineRule="exact"/>
        <w:ind w:left="1144" w:right="0"/>
        <w:jc w:val="left"/>
      </w:pPr>
      <w:r>
        <w:rPr/>
        <w:t>公司于</w:t>
      </w:r>
      <w:r>
        <w:rPr>
          <w:spacing w:val="-49"/>
        </w:rPr>
        <w:t> </w:t>
      </w:r>
      <w:r>
        <w:rPr>
          <w:rFonts w:ascii="Arial" w:hAnsi="Arial" w:cs="Arial" w:eastAsia="Arial" w:hint="default"/>
        </w:rPr>
        <w:t>2008</w:t>
      </w:r>
      <w:r>
        <w:rPr>
          <w:rFonts w:ascii="Arial" w:hAnsi="Arial" w:cs="Arial" w:eastAsia="Arial" w:hint="default"/>
          <w:spacing w:val="-1"/>
        </w:rPr>
        <w:t> </w:t>
      </w:r>
      <w:r>
        <w:rPr/>
        <w:t>年和</w:t>
      </w:r>
      <w:r>
        <w:rPr>
          <w:spacing w:val="-49"/>
        </w:rPr>
        <w:t> </w:t>
      </w:r>
      <w:r>
        <w:rPr>
          <w:rFonts w:ascii="Arial" w:hAnsi="Arial" w:cs="Arial" w:eastAsia="Arial" w:hint="default"/>
        </w:rPr>
        <w:t>2009</w:t>
      </w:r>
      <w:r>
        <w:rPr>
          <w:rFonts w:ascii="Arial" w:hAnsi="Arial" w:cs="Arial" w:eastAsia="Arial" w:hint="default"/>
          <w:spacing w:val="-1"/>
        </w:rPr>
        <w:t> </w:t>
      </w:r>
      <w:r>
        <w:rPr/>
        <w:t>年年报中重列的相关数据（即不包括网通红筹公司于</w:t>
      </w:r>
      <w:r>
        <w:rPr>
          <w:spacing w:val="-49"/>
        </w:rPr>
        <w:t> </w:t>
      </w:r>
      <w:r>
        <w:rPr>
          <w:rFonts w:ascii="Arial" w:hAnsi="Arial" w:cs="Arial" w:eastAsia="Arial" w:hint="default"/>
        </w:rPr>
        <w:t>2006</w:t>
      </w:r>
      <w:r>
        <w:rPr>
          <w:rFonts w:ascii="Arial" w:hAnsi="Arial" w:cs="Arial" w:eastAsia="Arial" w:hint="default"/>
          <w:spacing w:val="-1"/>
        </w:rPr>
        <w:t> </w:t>
      </w:r>
      <w:r>
        <w:rPr/>
        <w:t>年度</w:t>
      </w:r>
    </w:p>
    <w:p>
      <w:pPr>
        <w:pStyle w:val="BodyText"/>
        <w:spacing w:line="286" w:lineRule="exact" w:before="18"/>
        <w:ind w:left="1143" w:right="125"/>
        <w:jc w:val="left"/>
      </w:pPr>
      <w:r>
        <w:rPr>
          <w:w w:val="95"/>
        </w:rPr>
        <w:t>和 </w:t>
      </w:r>
      <w:r>
        <w:rPr>
          <w:rFonts w:ascii="Arial" w:hAnsi="Arial" w:cs="Arial" w:eastAsia="Arial" w:hint="default"/>
          <w:w w:val="95"/>
        </w:rPr>
        <w:t>2007 </w:t>
      </w:r>
      <w:r>
        <w:rPr>
          <w:w w:val="95"/>
        </w:rPr>
        <w:t>年度的相关盈利及股利分配情况），这样的分红金额占分红年度净利润的比率的</w:t>
      </w:r>
      <w:r>
        <w:rPr>
          <w:spacing w:val="-41"/>
          <w:w w:val="95"/>
        </w:rPr>
        <w:t> </w:t>
      </w:r>
      <w:r>
        <w:rPr>
          <w:spacing w:val="-41"/>
          <w:w w:val="95"/>
        </w:rPr>
      </w:r>
      <w:r>
        <w:rPr/>
        <w:t>会更有可比性。</w:t>
      </w:r>
    </w:p>
    <w:p>
      <w:pPr>
        <w:spacing w:line="240" w:lineRule="auto" w:before="2"/>
        <w:rPr>
          <w:rFonts w:ascii="宋体" w:hAnsi="宋体" w:cs="宋体" w:eastAsia="宋体" w:hint="default"/>
          <w:sz w:val="17"/>
          <w:szCs w:val="17"/>
        </w:rPr>
      </w:pPr>
    </w:p>
    <w:p>
      <w:pPr>
        <w:pStyle w:val="BodyText"/>
        <w:spacing w:line="240" w:lineRule="auto"/>
        <w:ind w:left="88" w:right="4756"/>
        <w:jc w:val="center"/>
      </w:pPr>
      <w:r>
        <w:rPr/>
        <w:t>（七）公司外部信息使用人管理制度建立健全情况</w:t>
      </w:r>
    </w:p>
    <w:p>
      <w:pPr>
        <w:spacing w:line="240" w:lineRule="auto" w:before="2"/>
        <w:rPr>
          <w:rFonts w:ascii="宋体" w:hAnsi="宋体" w:cs="宋体" w:eastAsia="宋体" w:hint="default"/>
          <w:sz w:val="20"/>
          <w:szCs w:val="20"/>
        </w:rPr>
      </w:pPr>
    </w:p>
    <w:p>
      <w:pPr>
        <w:pStyle w:val="BodyText"/>
        <w:spacing w:line="230" w:lineRule="auto"/>
        <w:ind w:left="793" w:right="130" w:hanging="504"/>
        <w:jc w:val="both"/>
      </w:pPr>
      <w:r>
        <w:rPr>
          <w:rFonts w:ascii="Arial" w:hAnsi="Arial" w:cs="Arial" w:eastAsia="Arial" w:hint="default"/>
        </w:rPr>
        <w:t>1</w:t>
      </w:r>
      <w:r>
        <w:rPr/>
        <w:t>、</w:t>
      </w:r>
      <w:r>
        <w:rPr>
          <w:spacing w:val="39"/>
        </w:rPr>
        <w:t> </w:t>
      </w:r>
      <w:r>
        <w:rPr/>
        <w:t>目的：为规范公司股价敏感信息的披露工作，统一信息披露工作流程，加强对信息披露的内</w:t>
      </w:r>
      <w:r>
        <w:rPr>
          <w:w w:val="99"/>
        </w:rPr>
        <w:t> </w:t>
      </w:r>
      <w:r>
        <w:rPr/>
        <w:t>部控制，保证公司按相关法律法规和监管机构的要求，向资本市场、公众媒体及时、合规、</w:t>
      </w:r>
      <w:r>
        <w:rPr>
          <w:w w:val="99"/>
        </w:rPr>
        <w:t> </w:t>
      </w:r>
      <w:r>
        <w:rPr>
          <w:w w:val="95"/>
        </w:rPr>
        <w:t>透明地提供准确无误且完整一致的公司信息，根据《上海证券交易所股票上市规则》、中国</w:t>
      </w:r>
      <w:r>
        <w:rPr>
          <w:w w:val="99"/>
        </w:rPr>
        <w:t> </w:t>
      </w:r>
      <w:r>
        <w:rPr>
          <w:w w:val="95"/>
        </w:rPr>
        <w:t>证监会《上市公司信息披露管理办法》等相关规定，结合公司内部实际情况，特制定了《公</w:t>
      </w:r>
      <w:r>
        <w:rPr>
          <w:w w:val="99"/>
        </w:rPr>
        <w:t> </w:t>
      </w:r>
      <w:r>
        <w:rPr/>
        <w:t>司信息披露管理办法》</w:t>
      </w:r>
    </w:p>
    <w:p>
      <w:pPr>
        <w:spacing w:line="240" w:lineRule="auto" w:before="11"/>
        <w:rPr>
          <w:rFonts w:ascii="宋体" w:hAnsi="宋体" w:cs="宋体" w:eastAsia="宋体" w:hint="default"/>
          <w:sz w:val="20"/>
          <w:szCs w:val="20"/>
        </w:rPr>
      </w:pPr>
    </w:p>
    <w:p>
      <w:pPr>
        <w:pStyle w:val="BodyText"/>
        <w:spacing w:line="240" w:lineRule="auto"/>
        <w:ind w:left="289" w:right="125"/>
        <w:jc w:val="left"/>
      </w:pPr>
      <w:r>
        <w:rPr>
          <w:rFonts w:ascii="Arial" w:hAnsi="Arial" w:cs="Arial" w:eastAsia="Arial" w:hint="default"/>
        </w:rPr>
        <w:t>2</w:t>
      </w:r>
      <w:r>
        <w:rPr/>
        <w:t>、《公司信息披露管理办法》所指信息包括但不限于：</w:t>
      </w:r>
    </w:p>
    <w:p>
      <w:pPr>
        <w:spacing w:line="240" w:lineRule="auto" w:before="8"/>
        <w:rPr>
          <w:rFonts w:ascii="宋体" w:hAnsi="宋体" w:cs="宋体" w:eastAsia="宋体" w:hint="default"/>
          <w:sz w:val="19"/>
          <w:szCs w:val="19"/>
        </w:rPr>
      </w:pPr>
    </w:p>
    <w:p>
      <w:pPr>
        <w:pStyle w:val="BodyText"/>
        <w:tabs>
          <w:tab w:pos="807" w:val="left" w:leader="none"/>
        </w:tabs>
        <w:spacing w:line="292" w:lineRule="exact"/>
        <w:ind w:left="289" w:right="125"/>
        <w:jc w:val="left"/>
      </w:pPr>
      <w:r>
        <w:rPr>
          <w:rFonts w:ascii="Arial" w:hAnsi="Arial" w:cs="Arial" w:eastAsia="Arial" w:hint="default"/>
          <w:w w:val="95"/>
        </w:rPr>
        <w:t>2.1</w:t>
        <w:tab/>
      </w:r>
      <w:r>
        <w:rPr/>
        <w:t>公司定期发生的事项（如财务资料、股息分派等）；</w:t>
      </w:r>
    </w:p>
    <w:p>
      <w:pPr>
        <w:pStyle w:val="BodyText"/>
        <w:tabs>
          <w:tab w:pos="808" w:val="left" w:leader="none"/>
        </w:tabs>
        <w:spacing w:line="280" w:lineRule="exact"/>
        <w:ind w:left="289" w:right="125"/>
        <w:jc w:val="left"/>
      </w:pPr>
      <w:r>
        <w:rPr>
          <w:rFonts w:ascii="Arial" w:hAnsi="Arial" w:cs="Arial" w:eastAsia="Arial" w:hint="default"/>
          <w:w w:val="95"/>
        </w:rPr>
        <w:t>2.2</w:t>
        <w:tab/>
      </w:r>
      <w:r>
        <w:rPr/>
        <w:t>公司面临的重要监管政策的变化；</w:t>
      </w:r>
    </w:p>
    <w:p>
      <w:pPr>
        <w:pStyle w:val="BodyText"/>
        <w:tabs>
          <w:tab w:pos="808" w:val="left" w:leader="none"/>
        </w:tabs>
        <w:spacing w:line="280" w:lineRule="exact"/>
        <w:ind w:left="290" w:right="125"/>
        <w:jc w:val="left"/>
      </w:pPr>
      <w:r>
        <w:rPr>
          <w:rFonts w:ascii="Arial" w:hAnsi="Arial" w:cs="Arial" w:eastAsia="Arial" w:hint="default"/>
          <w:w w:val="95"/>
        </w:rPr>
        <w:t>2.3</w:t>
        <w:tab/>
      </w:r>
      <w:r>
        <w:rPr/>
        <w:t>公司重大经营性或非经营性盈利或亏损；</w:t>
      </w:r>
    </w:p>
    <w:p>
      <w:pPr>
        <w:pStyle w:val="BodyText"/>
        <w:tabs>
          <w:tab w:pos="808" w:val="left" w:leader="none"/>
        </w:tabs>
        <w:spacing w:line="280" w:lineRule="exact"/>
        <w:ind w:left="290" w:right="125"/>
        <w:jc w:val="left"/>
      </w:pPr>
      <w:r>
        <w:rPr>
          <w:rFonts w:ascii="Arial" w:hAnsi="Arial" w:cs="Arial" w:eastAsia="Arial" w:hint="default"/>
          <w:w w:val="95"/>
        </w:rPr>
        <w:t>2.4</w:t>
        <w:tab/>
      </w:r>
      <w:r>
        <w:rPr/>
        <w:t>公司经营范围及主要业务种类的变更；</w:t>
      </w:r>
    </w:p>
    <w:p>
      <w:pPr>
        <w:pStyle w:val="BodyText"/>
        <w:tabs>
          <w:tab w:pos="808" w:val="left" w:leader="none"/>
        </w:tabs>
        <w:spacing w:line="280" w:lineRule="exact"/>
        <w:ind w:left="290" w:right="125"/>
        <w:jc w:val="left"/>
      </w:pPr>
      <w:r>
        <w:rPr>
          <w:rFonts w:ascii="Arial" w:hAnsi="Arial" w:cs="Arial" w:eastAsia="Arial" w:hint="default"/>
          <w:w w:val="95"/>
        </w:rPr>
        <w:t>2.5</w:t>
        <w:tab/>
      </w:r>
      <w:r>
        <w:rPr/>
        <w:t>公司合并、分立、重组、重大兼并及收购、出售等相关信息；</w:t>
      </w:r>
    </w:p>
    <w:p>
      <w:pPr>
        <w:pStyle w:val="BodyText"/>
        <w:spacing w:line="280" w:lineRule="exact" w:before="21"/>
        <w:ind w:left="794" w:right="137" w:hanging="504"/>
        <w:jc w:val="both"/>
      </w:pPr>
      <w:r>
        <w:rPr>
          <w:rFonts w:ascii="Arial" w:hAnsi="Arial" w:cs="Arial" w:eastAsia="Arial" w:hint="default"/>
        </w:rPr>
        <w:t>2.6</w:t>
      </w:r>
      <w:r>
        <w:rPr>
          <w:rFonts w:ascii="Arial" w:hAnsi="Arial" w:cs="Arial" w:eastAsia="Arial" w:hint="default"/>
          <w:spacing w:val="2"/>
        </w:rPr>
        <w:t> </w:t>
      </w:r>
      <w:r>
        <w:rPr/>
        <w:t>公司重大合同及协议（如借贷、委托经营、受托经营、委托理财、捐赠、承包、租赁等）的</w:t>
      </w:r>
      <w:r>
        <w:rPr>
          <w:w w:val="99"/>
        </w:rPr>
        <w:t> </w:t>
      </w:r>
      <w:r>
        <w:rPr>
          <w:w w:val="95"/>
        </w:rPr>
        <w:t>订立、变更和终止，或上述内容以外的可能对公司的资产负债权益和经营结果产生重大影响</w:t>
      </w:r>
      <w:r>
        <w:rPr>
          <w:w w:val="99"/>
        </w:rPr>
        <w:t> </w:t>
      </w:r>
      <w:r>
        <w:rPr/>
        <w:t>的合同及协议的订立、变更和终止；</w:t>
      </w:r>
    </w:p>
    <w:p>
      <w:pPr>
        <w:pStyle w:val="BodyText"/>
        <w:spacing w:line="259" w:lineRule="exact"/>
        <w:ind w:left="290" w:right="125"/>
        <w:jc w:val="left"/>
      </w:pPr>
      <w:r>
        <w:rPr>
          <w:rFonts w:ascii="Arial" w:hAnsi="Arial" w:cs="Arial" w:eastAsia="Arial" w:hint="default"/>
        </w:rPr>
        <w:t>2.7  </w:t>
      </w:r>
      <w:r>
        <w:rPr>
          <w:rFonts w:ascii="Arial" w:hAnsi="Arial" w:cs="Arial" w:eastAsia="Arial" w:hint="default"/>
          <w:spacing w:val="11"/>
        </w:rPr>
        <w:t> </w:t>
      </w:r>
      <w:r>
        <w:rPr/>
        <w:t>公司对外提供担保的相关信息；</w:t>
      </w:r>
    </w:p>
    <w:p>
      <w:pPr>
        <w:pStyle w:val="BodyText"/>
        <w:spacing w:line="280" w:lineRule="exact"/>
        <w:ind w:left="290" w:right="125"/>
        <w:jc w:val="left"/>
      </w:pPr>
      <w:r>
        <w:rPr>
          <w:rFonts w:ascii="Arial" w:hAnsi="Arial" w:cs="Arial" w:eastAsia="Arial" w:hint="default"/>
        </w:rPr>
        <w:t>2.8  </w:t>
      </w:r>
      <w:r>
        <w:rPr>
          <w:rFonts w:ascii="Arial" w:hAnsi="Arial" w:cs="Arial" w:eastAsia="Arial" w:hint="default"/>
          <w:spacing w:val="11"/>
        </w:rPr>
        <w:t> </w:t>
      </w:r>
      <w:r>
        <w:rPr/>
        <w:t>公司正在遭受的重大法律诉讼及目前的状态、可能依法承担的赔偿责任及遭受的损失等；</w:t>
      </w:r>
    </w:p>
    <w:p>
      <w:pPr>
        <w:pStyle w:val="BodyText"/>
        <w:spacing w:line="280" w:lineRule="exact"/>
        <w:ind w:left="290" w:right="125"/>
        <w:jc w:val="left"/>
      </w:pPr>
      <w:r>
        <w:rPr>
          <w:rFonts w:ascii="Arial" w:hAnsi="Arial" w:cs="Arial" w:eastAsia="Arial" w:hint="default"/>
        </w:rPr>
        <w:t>2.9  </w:t>
      </w:r>
      <w:r>
        <w:rPr>
          <w:rFonts w:ascii="Arial" w:hAnsi="Arial" w:cs="Arial" w:eastAsia="Arial" w:hint="default"/>
          <w:spacing w:val="12"/>
        </w:rPr>
        <w:t> </w:t>
      </w:r>
      <w:r>
        <w:rPr/>
        <w:t>公司控制范围以外，但对其运营或财务表现有重大影响的事件；</w:t>
      </w:r>
    </w:p>
    <w:p>
      <w:pPr>
        <w:pStyle w:val="BodyText"/>
        <w:spacing w:line="280" w:lineRule="exact" w:before="21"/>
        <w:ind w:left="794" w:right="123" w:hanging="504"/>
        <w:jc w:val="left"/>
      </w:pPr>
      <w:r>
        <w:rPr>
          <w:rFonts w:ascii="Arial" w:hAnsi="Arial" w:cs="Arial" w:eastAsia="Arial" w:hint="default"/>
        </w:rPr>
        <w:t>2.10</w:t>
      </w:r>
      <w:r>
        <w:rPr>
          <w:rFonts w:ascii="Arial" w:hAnsi="Arial" w:cs="Arial" w:eastAsia="Arial" w:hint="default"/>
          <w:spacing w:val="2"/>
        </w:rPr>
        <w:t> </w:t>
      </w:r>
      <w:r>
        <w:rPr/>
        <w:t>据公司董事所知，在公司有大量业务或交易的行业、国家或地区出现市场大混乱，或人民币</w:t>
      </w:r>
      <w:r>
        <w:rPr>
          <w:w w:val="99"/>
        </w:rPr>
        <w:t> </w:t>
      </w:r>
      <w:r>
        <w:rPr/>
        <w:t>汇率出现重大波动；</w:t>
      </w:r>
    </w:p>
    <w:p>
      <w:pPr>
        <w:pStyle w:val="BodyText"/>
        <w:spacing w:line="259" w:lineRule="exact"/>
        <w:ind w:left="290" w:right="0"/>
        <w:jc w:val="left"/>
      </w:pPr>
      <w:r>
        <w:rPr>
          <w:rFonts w:ascii="Arial" w:hAnsi="Arial" w:cs="Arial" w:eastAsia="Arial" w:hint="default"/>
        </w:rPr>
        <w:t>2.11 </w:t>
      </w:r>
      <w:r>
        <w:rPr/>
        <w:t>据公司董事所知，公司的财政状况或业务表现或公司对本身表现的预期有所转变，而若市场</w:t>
      </w:r>
    </w:p>
    <w:p>
      <w:pPr>
        <w:pStyle w:val="BodyText"/>
        <w:spacing w:line="272" w:lineRule="exact"/>
        <w:ind w:left="794" w:right="0"/>
        <w:jc w:val="both"/>
      </w:pPr>
      <w:r>
        <w:rPr/>
        <w:t>得悉此等转变很可能会导致公司上市证券价格大幅波动；</w:t>
      </w:r>
    </w:p>
    <w:p>
      <w:pPr>
        <w:pStyle w:val="BodyText"/>
        <w:spacing w:line="287" w:lineRule="exact"/>
        <w:ind w:left="290" w:right="125"/>
        <w:jc w:val="left"/>
      </w:pPr>
      <w:r>
        <w:rPr>
          <w:rFonts w:ascii="Arial" w:hAnsi="Arial" w:cs="Arial" w:eastAsia="Arial" w:hint="default"/>
        </w:rPr>
        <w:t>2.12</w:t>
      </w:r>
      <w:r>
        <w:rPr>
          <w:rFonts w:ascii="Arial" w:hAnsi="Arial" w:cs="Arial" w:eastAsia="Arial" w:hint="default"/>
          <w:spacing w:val="12"/>
        </w:rPr>
        <w:t> </w:t>
      </w:r>
      <w:r>
        <w:rPr/>
        <w:t>公司调拨了大量资源往非核心业务的活动，而事前对此未有作任何披露；</w:t>
      </w:r>
    </w:p>
    <w:p>
      <w:pPr>
        <w:pStyle w:val="BodyText"/>
        <w:spacing w:line="292" w:lineRule="exact"/>
        <w:ind w:left="290" w:right="125"/>
        <w:jc w:val="left"/>
      </w:pPr>
      <w:r>
        <w:rPr>
          <w:rFonts w:ascii="Arial" w:hAnsi="Arial" w:cs="Arial" w:eastAsia="Arial" w:hint="default"/>
        </w:rPr>
        <w:t>2.13</w:t>
      </w:r>
      <w:r>
        <w:rPr>
          <w:rFonts w:ascii="Arial" w:hAnsi="Arial" w:cs="Arial" w:eastAsia="Arial" w:hint="default"/>
          <w:spacing w:val="12"/>
        </w:rPr>
        <w:t> </w:t>
      </w:r>
      <w:r>
        <w:rPr/>
        <w:t>或公司上市地证券监管机构要求对外发布的其他任何资料。</w:t>
      </w:r>
    </w:p>
    <w:p>
      <w:pPr>
        <w:spacing w:line="240" w:lineRule="auto" w:before="8"/>
        <w:rPr>
          <w:rFonts w:ascii="宋体" w:hAnsi="宋体" w:cs="宋体" w:eastAsia="宋体" w:hint="default"/>
          <w:sz w:val="19"/>
          <w:szCs w:val="19"/>
        </w:rPr>
      </w:pPr>
    </w:p>
    <w:p>
      <w:pPr>
        <w:pStyle w:val="BodyText"/>
        <w:spacing w:line="240" w:lineRule="auto"/>
        <w:ind w:left="416" w:right="125"/>
        <w:jc w:val="left"/>
      </w:pPr>
      <w:r>
        <w:rPr>
          <w:rFonts w:ascii="Arial" w:hAnsi="Arial" w:cs="Arial" w:eastAsia="Arial" w:hint="default"/>
        </w:rPr>
        <w:t>3</w:t>
      </w:r>
      <w:r>
        <w:rPr/>
        <w:t>、信息的保密</w:t>
      </w:r>
    </w:p>
    <w:p>
      <w:pPr>
        <w:spacing w:line="240" w:lineRule="auto" w:before="3"/>
        <w:rPr>
          <w:rFonts w:ascii="宋体" w:hAnsi="宋体" w:cs="宋体" w:eastAsia="宋体" w:hint="default"/>
          <w:sz w:val="20"/>
          <w:szCs w:val="20"/>
        </w:rPr>
      </w:pPr>
    </w:p>
    <w:p>
      <w:pPr>
        <w:pStyle w:val="BodyText"/>
        <w:spacing w:line="232" w:lineRule="auto"/>
        <w:ind w:left="716" w:right="205"/>
        <w:jc w:val="both"/>
      </w:pPr>
      <w:r>
        <w:rPr/>
        <w:t>为防止公司重大信息泄露，公司授权的信息披露负责人及公司内部知情人士对未公开披露的</w:t>
      </w:r>
      <w:r>
        <w:rPr>
          <w:w w:val="99"/>
        </w:rPr>
        <w:t> </w:t>
      </w:r>
      <w:r>
        <w:rPr/>
        <w:t>公司信息负有保密责任。同时，公司应与聘请的会计师、律师等外部知情人士订立保密条款</w:t>
      </w:r>
      <w:r>
        <w:rPr>
          <w:w w:val="99"/>
        </w:rPr>
        <w:t> </w:t>
      </w:r>
      <w:r>
        <w:rPr/>
        <w:t>或制订严格的保密措施，确保信息在公开披露前不会对外泄露。在公司向公众披露有关信息</w:t>
      </w:r>
      <w:r>
        <w:rPr>
          <w:w w:val="99"/>
        </w:rPr>
        <w:t> </w:t>
      </w:r>
      <w:r>
        <w:rPr/>
        <w:t>之前，不应向董事、雇员及公司聘请的第三方顾问以外的人士透露该等信息。</w:t>
      </w:r>
    </w:p>
    <w:p>
      <w:pPr>
        <w:spacing w:after="0" w:line="232" w:lineRule="auto"/>
        <w:jc w:val="both"/>
        <w:sectPr>
          <w:pgSz w:w="11910" w:h="16840"/>
          <w:pgMar w:header="587" w:footer="774" w:top="960" w:bottom="960" w:left="1040" w:right="1140"/>
        </w:sectPr>
      </w:pPr>
    </w:p>
    <w:p>
      <w:pPr>
        <w:spacing w:line="240" w:lineRule="auto" w:before="9"/>
        <w:rPr>
          <w:rFonts w:ascii="宋体" w:hAnsi="宋体" w:cs="宋体" w:eastAsia="宋体" w:hint="default"/>
          <w:sz w:val="12"/>
          <w:szCs w:val="12"/>
        </w:rPr>
      </w:pPr>
    </w:p>
    <w:p>
      <w:pPr>
        <w:pStyle w:val="BodyText"/>
        <w:spacing w:line="280" w:lineRule="exact" w:before="64"/>
        <w:ind w:left="795" w:right="206"/>
        <w:jc w:val="both"/>
      </w:pPr>
      <w:bookmarkStart w:name="_bookmark7" w:id="9"/>
      <w:bookmarkEnd w:id="9"/>
      <w:r>
        <w:rPr/>
      </w:r>
      <w:r>
        <w:rPr/>
        <w:t>公司内部人士接触的公司信息不应超过其需要知悉的程度。公司内部刊物或其他由公司负责</w:t>
      </w:r>
      <w:r>
        <w:rPr>
          <w:w w:val="99"/>
        </w:rPr>
        <w:t> </w:t>
      </w:r>
      <w:r>
        <w:rPr/>
        <w:t>的媒体中也不应包含未公开披露的公司信息。</w:t>
      </w:r>
    </w:p>
    <w:p>
      <w:pPr>
        <w:spacing w:line="240" w:lineRule="auto" w:before="12"/>
        <w:rPr>
          <w:rFonts w:ascii="宋体" w:hAnsi="宋体" w:cs="宋体" w:eastAsia="宋体" w:hint="default"/>
          <w:sz w:val="18"/>
          <w:szCs w:val="18"/>
        </w:rPr>
      </w:pPr>
    </w:p>
    <w:p>
      <w:pPr>
        <w:pStyle w:val="BodyText"/>
        <w:spacing w:line="240" w:lineRule="auto"/>
        <w:ind w:left="453" w:right="90"/>
        <w:jc w:val="left"/>
      </w:pPr>
      <w:r>
        <w:rPr>
          <w:rFonts w:ascii="Arial" w:hAnsi="Arial" w:cs="Arial" w:eastAsia="Arial" w:hint="default"/>
        </w:rPr>
        <w:t>4</w:t>
      </w:r>
      <w:r>
        <w:rPr/>
        <w:t>、处罚</w:t>
      </w:r>
    </w:p>
    <w:p>
      <w:pPr>
        <w:spacing w:line="240" w:lineRule="auto" w:before="1"/>
        <w:rPr>
          <w:rFonts w:ascii="宋体" w:hAnsi="宋体" w:cs="宋体" w:eastAsia="宋体" w:hint="default"/>
          <w:sz w:val="22"/>
          <w:szCs w:val="22"/>
        </w:rPr>
      </w:pPr>
    </w:p>
    <w:p>
      <w:pPr>
        <w:pStyle w:val="BodyText"/>
        <w:spacing w:line="280" w:lineRule="exact"/>
        <w:ind w:left="795" w:right="206"/>
        <w:jc w:val="both"/>
      </w:pPr>
      <w:r>
        <w:rPr/>
        <w:t>对于违反公司保密规定，擅自发布公司信息造成重大影响的，按照公司保密管理相关规定进</w:t>
      </w:r>
      <w:r>
        <w:rPr>
          <w:w w:val="99"/>
        </w:rPr>
        <w:t> </w:t>
      </w:r>
      <w:r>
        <w:rPr/>
        <w:t>行处理。</w:t>
      </w:r>
    </w:p>
    <w:p>
      <w:pPr>
        <w:spacing w:line="240" w:lineRule="auto" w:before="5"/>
        <w:rPr>
          <w:rFonts w:ascii="宋体" w:hAnsi="宋体" w:cs="宋体" w:eastAsia="宋体" w:hint="default"/>
          <w:sz w:val="19"/>
          <w:szCs w:val="19"/>
        </w:rPr>
      </w:pPr>
    </w:p>
    <w:p>
      <w:pPr>
        <w:pStyle w:val="BodyText"/>
        <w:spacing w:line="232" w:lineRule="auto"/>
        <w:ind w:left="795" w:right="206"/>
        <w:jc w:val="both"/>
      </w:pPr>
      <w:r>
        <w:rPr/>
        <w:t>由于工作失职或者在信息披露过程中不严格按照工作流程操作，导致公司信息披露违规，给</w:t>
      </w:r>
      <w:r>
        <w:rPr>
          <w:w w:val="99"/>
        </w:rPr>
        <w:t> </w:t>
      </w:r>
      <w:r>
        <w:rPr/>
        <w:t>公司造成严重影响或损失的，公司将对该责任人给予内部批评、警告，甚至解除其职务等处</w:t>
      </w:r>
      <w:r>
        <w:rPr>
          <w:w w:val="99"/>
        </w:rPr>
        <w:t> </w:t>
      </w:r>
      <w:r>
        <w:rPr/>
        <w:t>分。</w:t>
      </w:r>
    </w:p>
    <w:p>
      <w:pPr>
        <w:spacing w:line="240" w:lineRule="auto" w:before="12"/>
        <w:rPr>
          <w:rFonts w:ascii="宋体" w:hAnsi="宋体" w:cs="宋体" w:eastAsia="宋体" w:hint="default"/>
          <w:sz w:val="20"/>
          <w:szCs w:val="20"/>
        </w:rPr>
      </w:pPr>
    </w:p>
    <w:p>
      <w:pPr>
        <w:pStyle w:val="Heading8"/>
        <w:spacing w:line="240" w:lineRule="auto"/>
        <w:ind w:left="369" w:right="90"/>
        <w:jc w:val="left"/>
        <w:rPr>
          <w:b w:val="0"/>
          <w:bCs w:val="0"/>
        </w:rPr>
      </w:pPr>
      <w:r>
        <w:rPr/>
        <w:t>九、监事会报告</w:t>
      </w:r>
      <w:r>
        <w:rPr>
          <w:b w:val="0"/>
          <w:bCs w:val="0"/>
        </w:rPr>
      </w:r>
    </w:p>
    <w:p>
      <w:pPr>
        <w:spacing w:line="240" w:lineRule="auto" w:before="10"/>
        <w:rPr>
          <w:rFonts w:ascii="宋体" w:hAnsi="宋体" w:cs="宋体" w:eastAsia="宋体" w:hint="default"/>
          <w:b/>
          <w:bCs/>
          <w:sz w:val="20"/>
          <w:szCs w:val="20"/>
        </w:rPr>
      </w:pPr>
    </w:p>
    <w:p>
      <w:pPr>
        <w:pStyle w:val="BodyText"/>
        <w:spacing w:line="240" w:lineRule="auto"/>
        <w:ind w:left="159" w:right="90"/>
        <w:jc w:val="left"/>
      </w:pPr>
      <w:r>
        <w:rPr/>
        <w:t>（一）监事会的工作情况</w:t>
      </w:r>
    </w:p>
    <w:p>
      <w:pPr>
        <w:spacing w:line="240" w:lineRule="auto" w:before="4"/>
        <w:rPr>
          <w:rFonts w:ascii="宋体" w:hAnsi="宋体" w:cs="宋体" w:eastAsia="宋体" w:hint="default"/>
          <w:sz w:val="23"/>
          <w:szCs w:val="23"/>
        </w:rPr>
      </w:pPr>
    </w:p>
    <w:tbl>
      <w:tblPr>
        <w:tblW w:w="0" w:type="auto"/>
        <w:jc w:val="left"/>
        <w:tblInd w:w="810" w:type="dxa"/>
        <w:tblLayout w:type="fixed"/>
        <w:tblCellMar>
          <w:top w:w="0" w:type="dxa"/>
          <w:left w:w="0" w:type="dxa"/>
          <w:bottom w:w="0" w:type="dxa"/>
          <w:right w:w="0" w:type="dxa"/>
        </w:tblCellMar>
        <w:tblLook w:val="01E0"/>
      </w:tblPr>
      <w:tblGrid>
        <w:gridCol w:w="4194"/>
        <w:gridCol w:w="4650"/>
      </w:tblGrid>
      <w:tr>
        <w:trPr>
          <w:trHeight w:val="295" w:hRule="exact"/>
        </w:trPr>
        <w:tc>
          <w:tcPr>
            <w:tcW w:w="4194" w:type="dxa"/>
            <w:tcBorders>
              <w:top w:val="single" w:sz="6" w:space="0" w:color="000000"/>
              <w:left w:val="single" w:sz="6" w:space="0" w:color="000000"/>
              <w:bottom w:val="single" w:sz="6" w:space="0" w:color="000000"/>
              <w:right w:val="single" w:sz="6" w:space="0" w:color="000000"/>
            </w:tcBorders>
          </w:tcPr>
          <w:p>
            <w:pPr>
              <w:pStyle w:val="TableParagraph"/>
              <w:spacing w:line="254" w:lineRule="exact"/>
              <w:ind w:left="1389" w:right="0"/>
              <w:jc w:val="left"/>
              <w:rPr>
                <w:rFonts w:ascii="宋体" w:hAnsi="宋体" w:cs="宋体" w:eastAsia="宋体" w:hint="default"/>
                <w:sz w:val="20"/>
                <w:szCs w:val="20"/>
              </w:rPr>
            </w:pPr>
            <w:r>
              <w:rPr>
                <w:rFonts w:ascii="宋体" w:hAnsi="宋体" w:cs="宋体" w:eastAsia="宋体" w:hint="default"/>
                <w:sz w:val="20"/>
                <w:szCs w:val="20"/>
              </w:rPr>
              <w:t>监事会会议情况</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54" w:lineRule="exact"/>
              <w:ind w:right="0"/>
              <w:jc w:val="center"/>
              <w:rPr>
                <w:rFonts w:ascii="宋体" w:hAnsi="宋体" w:cs="宋体" w:eastAsia="宋体" w:hint="default"/>
                <w:sz w:val="20"/>
                <w:szCs w:val="20"/>
              </w:rPr>
            </w:pPr>
            <w:r>
              <w:rPr>
                <w:rFonts w:ascii="宋体" w:hAnsi="宋体" w:cs="宋体" w:eastAsia="宋体" w:hint="default"/>
                <w:sz w:val="20"/>
                <w:szCs w:val="20"/>
              </w:rPr>
              <w:t>监事会会议议题</w:t>
            </w:r>
          </w:p>
        </w:tc>
      </w:tr>
      <w:tr>
        <w:trPr>
          <w:trHeight w:val="1975" w:hRule="exact"/>
        </w:trPr>
        <w:tc>
          <w:tcPr>
            <w:tcW w:w="41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2" w:lineRule="auto" w:before="168"/>
              <w:ind w:left="101" w:right="98" w:hanging="1"/>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7"/>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3</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31</w:t>
            </w:r>
            <w:r>
              <w:rPr>
                <w:rFonts w:ascii="Arial" w:hAnsi="Arial" w:cs="Arial" w:eastAsia="Arial" w:hint="default"/>
                <w:spacing w:val="-17"/>
                <w:sz w:val="20"/>
                <w:szCs w:val="20"/>
              </w:rPr>
              <w:t> </w:t>
            </w:r>
            <w:r>
              <w:rPr>
                <w:rFonts w:ascii="宋体" w:hAnsi="宋体" w:cs="宋体" w:eastAsia="宋体" w:hint="default"/>
                <w:sz w:val="20"/>
                <w:szCs w:val="20"/>
              </w:rPr>
              <w:t>日召开第二届监事会第二十一</w:t>
            </w:r>
            <w:r>
              <w:rPr>
                <w:rFonts w:ascii="宋体" w:hAnsi="宋体" w:cs="宋体" w:eastAsia="宋体" w:hint="default"/>
                <w:w w:val="100"/>
                <w:sz w:val="20"/>
                <w:szCs w:val="20"/>
              </w:rPr>
              <w:t> </w:t>
            </w:r>
            <w:r>
              <w:rPr>
                <w:rFonts w:ascii="宋体" w:hAnsi="宋体" w:cs="宋体" w:eastAsia="宋体" w:hint="default"/>
                <w:sz w:val="20"/>
                <w:szCs w:val="20"/>
              </w:rPr>
              <w:t>次会议</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ind w:left="100" w:right="0"/>
              <w:jc w:val="left"/>
              <w:rPr>
                <w:rFonts w:ascii="宋体" w:hAnsi="宋体" w:cs="宋体" w:eastAsia="宋体" w:hint="default"/>
                <w:sz w:val="20"/>
                <w:szCs w:val="20"/>
              </w:rPr>
            </w:pPr>
            <w:r>
              <w:rPr>
                <w:rFonts w:ascii="宋体" w:hAnsi="宋体" w:cs="宋体" w:eastAsia="宋体" w:hint="default"/>
                <w:sz w:val="20"/>
                <w:szCs w:val="20"/>
              </w:rPr>
              <w:t>审议并一致通过如下决议：</w:t>
            </w:r>
            <w:r>
              <w:rPr>
                <w:rFonts w:ascii="Arial" w:hAnsi="Arial" w:cs="Arial" w:eastAsia="Arial" w:hint="default"/>
                <w:sz w:val="20"/>
                <w:szCs w:val="20"/>
              </w:rPr>
              <w:t>1&gt;</w:t>
            </w:r>
            <w:r>
              <w:rPr>
                <w:rFonts w:ascii="宋体" w:hAnsi="宋体" w:cs="宋体" w:eastAsia="宋体" w:hint="default"/>
                <w:sz w:val="20"/>
                <w:szCs w:val="20"/>
              </w:rPr>
              <w:t>同意将</w:t>
            </w:r>
            <w:r>
              <w:rPr>
                <w:rFonts w:ascii="宋体" w:hAnsi="宋体" w:cs="宋体" w:eastAsia="宋体" w:hint="default"/>
                <w:spacing w:val="-54"/>
                <w:sz w:val="20"/>
                <w:szCs w:val="20"/>
              </w:rPr>
              <w:t> </w:t>
            </w:r>
            <w:r>
              <w:rPr>
                <w:rFonts w:ascii="Arial" w:hAnsi="Arial" w:cs="Arial" w:eastAsia="Arial" w:hint="default"/>
                <w:sz w:val="20"/>
                <w:szCs w:val="20"/>
              </w:rPr>
              <w:t>2008</w:t>
            </w:r>
            <w:r>
              <w:rPr>
                <w:rFonts w:ascii="Arial" w:hAnsi="Arial" w:cs="Arial" w:eastAsia="Arial" w:hint="default"/>
                <w:spacing w:val="-8"/>
                <w:sz w:val="20"/>
                <w:szCs w:val="20"/>
              </w:rPr>
              <w:t> </w:t>
            </w:r>
            <w:r>
              <w:rPr>
                <w:rFonts w:ascii="宋体" w:hAnsi="宋体" w:cs="宋体" w:eastAsia="宋体" w:hint="default"/>
                <w:sz w:val="20"/>
                <w:szCs w:val="20"/>
              </w:rPr>
              <w:t>年度监</w:t>
            </w:r>
          </w:p>
          <w:p>
            <w:pPr>
              <w:pStyle w:val="TableParagraph"/>
              <w:spacing w:line="244" w:lineRule="auto" w:before="3"/>
              <w:ind w:left="100" w:right="186"/>
              <w:jc w:val="left"/>
              <w:rPr>
                <w:rFonts w:ascii="宋体" w:hAnsi="宋体" w:cs="宋体" w:eastAsia="宋体" w:hint="default"/>
                <w:sz w:val="20"/>
                <w:szCs w:val="20"/>
              </w:rPr>
            </w:pPr>
            <w:r>
              <w:rPr>
                <w:rFonts w:ascii="宋体" w:hAnsi="宋体" w:cs="宋体" w:eastAsia="宋体" w:hint="default"/>
                <w:sz w:val="20"/>
                <w:szCs w:val="20"/>
              </w:rPr>
              <w:t>事会报告载入《公司</w:t>
            </w:r>
            <w:r>
              <w:rPr>
                <w:rFonts w:ascii="宋体" w:hAnsi="宋体" w:cs="宋体" w:eastAsia="宋体" w:hint="default"/>
                <w:spacing w:val="-52"/>
                <w:sz w:val="20"/>
                <w:szCs w:val="20"/>
              </w:rPr>
              <w:t> </w:t>
            </w:r>
            <w:r>
              <w:rPr>
                <w:rFonts w:ascii="Arial" w:hAnsi="Arial" w:cs="Arial" w:eastAsia="Arial" w:hint="default"/>
                <w:sz w:val="20"/>
                <w:szCs w:val="20"/>
              </w:rPr>
              <w:t>2008</w:t>
            </w:r>
            <w:r>
              <w:rPr>
                <w:rFonts w:ascii="Arial" w:hAnsi="Arial" w:cs="Arial" w:eastAsia="Arial" w:hint="default"/>
                <w:spacing w:val="-8"/>
                <w:sz w:val="20"/>
                <w:szCs w:val="20"/>
              </w:rPr>
              <w:t> </w:t>
            </w:r>
            <w:r>
              <w:rPr>
                <w:rFonts w:ascii="宋体" w:hAnsi="宋体" w:cs="宋体" w:eastAsia="宋体" w:hint="default"/>
                <w:sz w:val="20"/>
                <w:szCs w:val="20"/>
              </w:rPr>
              <w:t>年年度报告》，并提交</w:t>
            </w:r>
            <w:r>
              <w:rPr>
                <w:rFonts w:ascii="宋体" w:hAnsi="宋体" w:cs="宋体" w:eastAsia="宋体" w:hint="default"/>
                <w:w w:val="100"/>
                <w:sz w:val="20"/>
                <w:szCs w:val="20"/>
              </w:rPr>
              <w:t> </w:t>
            </w:r>
            <w:r>
              <w:rPr>
                <w:rFonts w:ascii="宋体" w:hAnsi="宋体" w:cs="宋体" w:eastAsia="宋体" w:hint="default"/>
                <w:sz w:val="20"/>
                <w:szCs w:val="20"/>
              </w:rPr>
              <w:t>股东大会审议。</w:t>
            </w:r>
          </w:p>
          <w:p>
            <w:pPr>
              <w:pStyle w:val="TableParagraph"/>
              <w:spacing w:line="247" w:lineRule="auto" w:before="14"/>
              <w:ind w:left="100" w:right="103"/>
              <w:jc w:val="left"/>
              <w:rPr>
                <w:rFonts w:ascii="宋体" w:hAnsi="宋体" w:cs="宋体" w:eastAsia="宋体" w:hint="default"/>
                <w:sz w:val="20"/>
                <w:szCs w:val="20"/>
              </w:rPr>
            </w:pPr>
            <w:r>
              <w:rPr>
                <w:rFonts w:ascii="Arial" w:hAnsi="Arial" w:cs="Arial" w:eastAsia="Arial" w:hint="default"/>
                <w:sz w:val="20"/>
                <w:szCs w:val="20"/>
              </w:rPr>
              <w:t>2&gt;</w:t>
            </w:r>
            <w:r>
              <w:rPr>
                <w:rFonts w:ascii="宋体" w:hAnsi="宋体" w:cs="宋体" w:eastAsia="宋体" w:hint="default"/>
                <w:sz w:val="20"/>
                <w:szCs w:val="20"/>
              </w:rPr>
              <w:t>同意《公司</w:t>
            </w:r>
            <w:r>
              <w:rPr>
                <w:rFonts w:ascii="宋体" w:hAnsi="宋体" w:cs="宋体" w:eastAsia="宋体" w:hint="default"/>
                <w:spacing w:val="-52"/>
                <w:sz w:val="20"/>
                <w:szCs w:val="20"/>
              </w:rPr>
              <w:t> </w:t>
            </w:r>
            <w:r>
              <w:rPr>
                <w:rFonts w:ascii="Arial" w:hAnsi="Arial" w:cs="Arial" w:eastAsia="Arial" w:hint="default"/>
                <w:sz w:val="20"/>
                <w:szCs w:val="20"/>
              </w:rPr>
              <w:t>2008</w:t>
            </w:r>
            <w:r>
              <w:rPr>
                <w:rFonts w:ascii="Arial" w:hAnsi="Arial" w:cs="Arial" w:eastAsia="Arial" w:hint="default"/>
                <w:spacing w:val="-9"/>
                <w:sz w:val="20"/>
                <w:szCs w:val="20"/>
              </w:rPr>
              <w:t> </w:t>
            </w:r>
            <w:r>
              <w:rPr>
                <w:rFonts w:ascii="宋体" w:hAnsi="宋体" w:cs="宋体" w:eastAsia="宋体" w:hint="default"/>
                <w:sz w:val="20"/>
                <w:szCs w:val="20"/>
              </w:rPr>
              <w:t>年年度报告》并提交股东大会</w:t>
            </w:r>
            <w:r>
              <w:rPr>
                <w:rFonts w:ascii="宋体" w:hAnsi="宋体" w:cs="宋体" w:eastAsia="宋体" w:hint="default"/>
                <w:w w:val="100"/>
                <w:sz w:val="20"/>
                <w:szCs w:val="20"/>
              </w:rPr>
              <w:t> </w:t>
            </w:r>
            <w:r>
              <w:rPr>
                <w:rFonts w:ascii="宋体" w:hAnsi="宋体" w:cs="宋体" w:eastAsia="宋体" w:hint="default"/>
                <w:sz w:val="20"/>
                <w:szCs w:val="20"/>
              </w:rPr>
              <w:t>审议。</w:t>
            </w:r>
            <w:r>
              <w:rPr>
                <w:rFonts w:ascii="宋体" w:hAnsi="宋体" w:cs="宋体" w:eastAsia="宋体" w:hint="default"/>
                <w:w w:val="100"/>
                <w:sz w:val="20"/>
                <w:szCs w:val="20"/>
              </w:rPr>
              <w:t> </w:t>
            </w:r>
            <w:r>
              <w:rPr>
                <w:rFonts w:ascii="Arial" w:hAnsi="Arial" w:cs="Arial" w:eastAsia="Arial" w:hint="default"/>
                <w:sz w:val="20"/>
                <w:szCs w:val="20"/>
              </w:rPr>
              <w:t>3&gt;</w:t>
            </w:r>
            <w:r>
              <w:rPr>
                <w:rFonts w:ascii="宋体" w:hAnsi="宋体" w:cs="宋体" w:eastAsia="宋体" w:hint="default"/>
                <w:sz w:val="20"/>
                <w:szCs w:val="20"/>
              </w:rPr>
              <w:t>同意关于增补监事及监事会延期换届的议案并提</w:t>
            </w:r>
            <w:r>
              <w:rPr>
                <w:rFonts w:ascii="宋体" w:hAnsi="宋体" w:cs="宋体" w:eastAsia="宋体" w:hint="default"/>
                <w:w w:val="100"/>
                <w:sz w:val="20"/>
                <w:szCs w:val="20"/>
              </w:rPr>
              <w:t> </w:t>
            </w:r>
            <w:r>
              <w:rPr>
                <w:rFonts w:ascii="宋体" w:hAnsi="宋体" w:cs="宋体" w:eastAsia="宋体" w:hint="default"/>
                <w:sz w:val="20"/>
                <w:szCs w:val="20"/>
              </w:rPr>
              <w:t>交股东大会审议。</w:t>
            </w:r>
          </w:p>
        </w:tc>
      </w:tr>
      <w:tr>
        <w:trPr>
          <w:trHeight w:val="575" w:hRule="exact"/>
        </w:trPr>
        <w:tc>
          <w:tcPr>
            <w:tcW w:w="4194" w:type="dxa"/>
            <w:tcBorders>
              <w:top w:val="single" w:sz="6" w:space="0" w:color="000000"/>
              <w:left w:val="single" w:sz="6" w:space="0" w:color="000000"/>
              <w:bottom w:val="single" w:sz="6" w:space="0" w:color="000000"/>
              <w:right w:val="single" w:sz="6" w:space="0" w:color="000000"/>
            </w:tcBorders>
          </w:tcPr>
          <w:p>
            <w:pPr>
              <w:pStyle w:val="TableParagraph"/>
              <w:spacing w:line="242" w:lineRule="auto"/>
              <w:ind w:left="101" w:right="98" w:hanging="1"/>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7"/>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4</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29</w:t>
            </w:r>
            <w:r>
              <w:rPr>
                <w:rFonts w:ascii="Arial" w:hAnsi="Arial" w:cs="Arial" w:eastAsia="Arial" w:hint="default"/>
                <w:spacing w:val="-17"/>
                <w:sz w:val="20"/>
                <w:szCs w:val="20"/>
              </w:rPr>
              <w:t> </w:t>
            </w:r>
            <w:r>
              <w:rPr>
                <w:rFonts w:ascii="宋体" w:hAnsi="宋体" w:cs="宋体" w:eastAsia="宋体" w:hint="default"/>
                <w:sz w:val="20"/>
                <w:szCs w:val="20"/>
              </w:rPr>
              <w:t>日召开第二届监事会第二十二</w:t>
            </w:r>
            <w:r>
              <w:rPr>
                <w:rFonts w:ascii="宋体" w:hAnsi="宋体" w:cs="宋体" w:eastAsia="宋体" w:hint="default"/>
                <w:w w:val="100"/>
                <w:sz w:val="20"/>
                <w:szCs w:val="20"/>
              </w:rPr>
              <w:t> </w:t>
            </w:r>
            <w:r>
              <w:rPr>
                <w:rFonts w:ascii="宋体" w:hAnsi="宋体" w:cs="宋体" w:eastAsia="宋体" w:hint="default"/>
                <w:sz w:val="20"/>
                <w:szCs w:val="20"/>
              </w:rPr>
              <w:t>次会议</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00" w:right="0"/>
              <w:jc w:val="left"/>
              <w:rPr>
                <w:rFonts w:ascii="宋体" w:hAnsi="宋体" w:cs="宋体" w:eastAsia="宋体" w:hint="default"/>
                <w:sz w:val="20"/>
                <w:szCs w:val="20"/>
              </w:rPr>
            </w:pPr>
            <w:r>
              <w:rPr>
                <w:rFonts w:ascii="宋体" w:hAnsi="宋体" w:cs="宋体" w:eastAsia="宋体" w:hint="default"/>
                <w:sz w:val="20"/>
                <w:szCs w:val="20"/>
              </w:rPr>
              <w:t>审议并一致同意《公司</w:t>
            </w:r>
            <w:r>
              <w:rPr>
                <w:rFonts w:ascii="宋体" w:hAnsi="宋体" w:cs="宋体" w:eastAsia="宋体" w:hint="default"/>
                <w:spacing w:val="-53"/>
                <w:sz w:val="20"/>
                <w:szCs w:val="20"/>
              </w:rPr>
              <w:t> </w:t>
            </w:r>
            <w:r>
              <w:rPr>
                <w:rFonts w:ascii="Arial" w:hAnsi="Arial" w:cs="Arial" w:eastAsia="Arial" w:hint="default"/>
                <w:sz w:val="20"/>
                <w:szCs w:val="20"/>
              </w:rPr>
              <w:t>2009</w:t>
            </w:r>
            <w:r>
              <w:rPr>
                <w:rFonts w:ascii="Arial" w:hAnsi="Arial" w:cs="Arial" w:eastAsia="Arial" w:hint="default"/>
                <w:spacing w:val="-8"/>
                <w:sz w:val="20"/>
                <w:szCs w:val="20"/>
              </w:rPr>
              <w:t> </w:t>
            </w:r>
            <w:r>
              <w:rPr>
                <w:rFonts w:ascii="宋体" w:hAnsi="宋体" w:cs="宋体" w:eastAsia="宋体" w:hint="default"/>
                <w:sz w:val="20"/>
                <w:szCs w:val="20"/>
              </w:rPr>
              <w:t>年第一季度报告》。</w:t>
            </w:r>
          </w:p>
        </w:tc>
      </w:tr>
      <w:tr>
        <w:trPr>
          <w:trHeight w:val="575" w:hRule="exact"/>
        </w:trPr>
        <w:tc>
          <w:tcPr>
            <w:tcW w:w="4194" w:type="dxa"/>
            <w:tcBorders>
              <w:top w:val="single" w:sz="6" w:space="0" w:color="000000"/>
              <w:left w:val="single" w:sz="6" w:space="0" w:color="000000"/>
              <w:bottom w:val="single" w:sz="6" w:space="0" w:color="000000"/>
              <w:right w:val="single" w:sz="6" w:space="0" w:color="000000"/>
            </w:tcBorders>
          </w:tcPr>
          <w:p>
            <w:pPr>
              <w:pStyle w:val="TableParagraph"/>
              <w:spacing w:line="242" w:lineRule="auto"/>
              <w:ind w:left="101" w:right="98" w:hanging="1"/>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7"/>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5</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26</w:t>
            </w:r>
            <w:r>
              <w:rPr>
                <w:rFonts w:ascii="Arial" w:hAnsi="Arial" w:cs="Arial" w:eastAsia="Arial" w:hint="default"/>
                <w:spacing w:val="-17"/>
                <w:sz w:val="20"/>
                <w:szCs w:val="20"/>
              </w:rPr>
              <w:t> </w:t>
            </w:r>
            <w:r>
              <w:rPr>
                <w:rFonts w:ascii="宋体" w:hAnsi="宋体" w:cs="宋体" w:eastAsia="宋体" w:hint="default"/>
                <w:sz w:val="20"/>
                <w:szCs w:val="20"/>
              </w:rPr>
              <w:t>日召开第二届监事会第二十三</w:t>
            </w:r>
            <w:r>
              <w:rPr>
                <w:rFonts w:ascii="宋体" w:hAnsi="宋体" w:cs="宋体" w:eastAsia="宋体" w:hint="default"/>
                <w:w w:val="100"/>
                <w:sz w:val="20"/>
                <w:szCs w:val="20"/>
              </w:rPr>
              <w:t> </w:t>
            </w:r>
            <w:r>
              <w:rPr>
                <w:rFonts w:ascii="宋体" w:hAnsi="宋体" w:cs="宋体" w:eastAsia="宋体" w:hint="default"/>
                <w:sz w:val="20"/>
                <w:szCs w:val="20"/>
              </w:rPr>
              <w:t>次会议</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00" w:right="0"/>
              <w:jc w:val="left"/>
              <w:rPr>
                <w:rFonts w:ascii="宋体" w:hAnsi="宋体" w:cs="宋体" w:eastAsia="宋体" w:hint="default"/>
                <w:sz w:val="20"/>
                <w:szCs w:val="20"/>
              </w:rPr>
            </w:pPr>
            <w:r>
              <w:rPr>
                <w:rFonts w:ascii="宋体" w:hAnsi="宋体" w:cs="宋体" w:eastAsia="宋体" w:hint="default"/>
                <w:sz w:val="20"/>
                <w:szCs w:val="20"/>
              </w:rPr>
              <w:t>审议并一致同意选举李建国女士为监事会主席。</w:t>
            </w:r>
          </w:p>
        </w:tc>
      </w:tr>
      <w:tr>
        <w:trPr>
          <w:trHeight w:val="575" w:hRule="exact"/>
        </w:trPr>
        <w:tc>
          <w:tcPr>
            <w:tcW w:w="4194" w:type="dxa"/>
            <w:tcBorders>
              <w:top w:val="single" w:sz="6" w:space="0" w:color="000000"/>
              <w:left w:val="single" w:sz="6" w:space="0" w:color="000000"/>
              <w:bottom w:val="single" w:sz="6" w:space="0" w:color="000000"/>
              <w:right w:val="single" w:sz="6" w:space="0" w:color="000000"/>
            </w:tcBorders>
          </w:tcPr>
          <w:p>
            <w:pPr>
              <w:pStyle w:val="TableParagraph"/>
              <w:spacing w:line="242" w:lineRule="auto"/>
              <w:ind w:left="101" w:right="98" w:hanging="1"/>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7"/>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8</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28</w:t>
            </w:r>
            <w:r>
              <w:rPr>
                <w:rFonts w:ascii="Arial" w:hAnsi="Arial" w:cs="Arial" w:eastAsia="Arial" w:hint="default"/>
                <w:spacing w:val="-17"/>
                <w:sz w:val="20"/>
                <w:szCs w:val="20"/>
              </w:rPr>
              <w:t> </w:t>
            </w:r>
            <w:r>
              <w:rPr>
                <w:rFonts w:ascii="宋体" w:hAnsi="宋体" w:cs="宋体" w:eastAsia="宋体" w:hint="default"/>
                <w:sz w:val="20"/>
                <w:szCs w:val="20"/>
              </w:rPr>
              <w:t>日召开第二届监事会第二十四</w:t>
            </w:r>
            <w:r>
              <w:rPr>
                <w:rFonts w:ascii="宋体" w:hAnsi="宋体" w:cs="宋体" w:eastAsia="宋体" w:hint="default"/>
                <w:w w:val="100"/>
                <w:sz w:val="20"/>
                <w:szCs w:val="20"/>
              </w:rPr>
              <w:t> </w:t>
            </w:r>
            <w:r>
              <w:rPr>
                <w:rFonts w:ascii="宋体" w:hAnsi="宋体" w:cs="宋体" w:eastAsia="宋体" w:hint="default"/>
                <w:sz w:val="20"/>
                <w:szCs w:val="20"/>
              </w:rPr>
              <w:t>次会议</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00" w:right="0"/>
              <w:jc w:val="left"/>
              <w:rPr>
                <w:rFonts w:ascii="宋体" w:hAnsi="宋体" w:cs="宋体" w:eastAsia="宋体" w:hint="default"/>
                <w:sz w:val="20"/>
                <w:szCs w:val="20"/>
              </w:rPr>
            </w:pPr>
            <w:r>
              <w:rPr>
                <w:rFonts w:ascii="宋体" w:hAnsi="宋体" w:cs="宋体" w:eastAsia="宋体" w:hint="default"/>
                <w:sz w:val="20"/>
                <w:szCs w:val="20"/>
              </w:rPr>
              <w:t>审议并一致同意《公司</w:t>
            </w:r>
            <w:r>
              <w:rPr>
                <w:rFonts w:ascii="宋体" w:hAnsi="宋体" w:cs="宋体" w:eastAsia="宋体" w:hint="default"/>
                <w:spacing w:val="-53"/>
                <w:sz w:val="20"/>
                <w:szCs w:val="20"/>
              </w:rPr>
              <w:t> </w:t>
            </w:r>
            <w:r>
              <w:rPr>
                <w:rFonts w:ascii="Arial" w:hAnsi="Arial" w:cs="Arial" w:eastAsia="Arial" w:hint="default"/>
                <w:sz w:val="20"/>
                <w:szCs w:val="20"/>
              </w:rPr>
              <w:t>2009</w:t>
            </w:r>
            <w:r>
              <w:rPr>
                <w:rFonts w:ascii="Arial" w:hAnsi="Arial" w:cs="Arial" w:eastAsia="Arial" w:hint="default"/>
                <w:spacing w:val="-9"/>
                <w:sz w:val="20"/>
                <w:szCs w:val="20"/>
              </w:rPr>
              <w:t> </w:t>
            </w:r>
            <w:r>
              <w:rPr>
                <w:rFonts w:ascii="宋体" w:hAnsi="宋体" w:cs="宋体" w:eastAsia="宋体" w:hint="default"/>
                <w:sz w:val="20"/>
                <w:szCs w:val="20"/>
              </w:rPr>
              <w:t>年半年度报告》。</w:t>
            </w:r>
          </w:p>
        </w:tc>
      </w:tr>
      <w:tr>
        <w:trPr>
          <w:trHeight w:val="575" w:hRule="exact"/>
        </w:trPr>
        <w:tc>
          <w:tcPr>
            <w:tcW w:w="4194"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ind w:left="100" w:right="136"/>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10</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15</w:t>
            </w:r>
            <w:r>
              <w:rPr>
                <w:rFonts w:ascii="Arial" w:hAnsi="Arial" w:cs="Arial" w:eastAsia="Arial" w:hint="default"/>
                <w:spacing w:val="-6"/>
                <w:sz w:val="20"/>
                <w:szCs w:val="20"/>
              </w:rPr>
              <w:t> </w:t>
            </w:r>
            <w:r>
              <w:rPr>
                <w:rFonts w:ascii="宋体" w:hAnsi="宋体" w:cs="宋体" w:eastAsia="宋体" w:hint="default"/>
                <w:sz w:val="20"/>
                <w:szCs w:val="20"/>
              </w:rPr>
              <w:t>日召开第二届监事会第二十</w:t>
            </w:r>
            <w:r>
              <w:rPr>
                <w:rFonts w:ascii="宋体" w:hAnsi="宋体" w:cs="宋体" w:eastAsia="宋体" w:hint="default"/>
                <w:w w:val="100"/>
                <w:sz w:val="20"/>
                <w:szCs w:val="20"/>
              </w:rPr>
              <w:t> </w:t>
            </w:r>
            <w:r>
              <w:rPr>
                <w:rFonts w:ascii="宋体" w:hAnsi="宋体" w:cs="宋体" w:eastAsia="宋体" w:hint="default"/>
                <w:sz w:val="20"/>
                <w:szCs w:val="20"/>
              </w:rPr>
              <w:t>五次会议</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00" w:right="0"/>
              <w:jc w:val="left"/>
              <w:rPr>
                <w:rFonts w:ascii="宋体" w:hAnsi="宋体" w:cs="宋体" w:eastAsia="宋体" w:hint="default"/>
                <w:sz w:val="20"/>
                <w:szCs w:val="20"/>
              </w:rPr>
            </w:pPr>
            <w:r>
              <w:rPr>
                <w:rFonts w:ascii="宋体" w:hAnsi="宋体" w:cs="宋体" w:eastAsia="宋体" w:hint="default"/>
                <w:sz w:val="20"/>
                <w:szCs w:val="20"/>
              </w:rPr>
              <w:t>审议并一致通过《关于监事会换届选举的议案》。</w:t>
            </w:r>
          </w:p>
        </w:tc>
      </w:tr>
      <w:tr>
        <w:trPr>
          <w:trHeight w:val="576" w:hRule="exact"/>
        </w:trPr>
        <w:tc>
          <w:tcPr>
            <w:tcW w:w="4194" w:type="dxa"/>
            <w:tcBorders>
              <w:top w:val="single" w:sz="6" w:space="0" w:color="000000"/>
              <w:left w:val="single" w:sz="6" w:space="0" w:color="000000"/>
              <w:bottom w:val="single" w:sz="6" w:space="0" w:color="000000"/>
              <w:right w:val="single" w:sz="6" w:space="0" w:color="000000"/>
            </w:tcBorders>
          </w:tcPr>
          <w:p>
            <w:pPr>
              <w:pStyle w:val="TableParagraph"/>
              <w:spacing w:line="244" w:lineRule="auto"/>
              <w:ind w:left="100" w:right="136"/>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10</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30</w:t>
            </w:r>
            <w:r>
              <w:rPr>
                <w:rFonts w:ascii="Arial" w:hAnsi="Arial" w:cs="Arial" w:eastAsia="Arial" w:hint="default"/>
                <w:spacing w:val="-6"/>
                <w:sz w:val="20"/>
                <w:szCs w:val="20"/>
              </w:rPr>
              <w:t> </w:t>
            </w:r>
            <w:r>
              <w:rPr>
                <w:rFonts w:ascii="宋体" w:hAnsi="宋体" w:cs="宋体" w:eastAsia="宋体" w:hint="default"/>
                <w:sz w:val="20"/>
                <w:szCs w:val="20"/>
              </w:rPr>
              <w:t>日召开第二届监事会第二十</w:t>
            </w:r>
            <w:r>
              <w:rPr>
                <w:rFonts w:ascii="宋体" w:hAnsi="宋体" w:cs="宋体" w:eastAsia="宋体" w:hint="default"/>
                <w:w w:val="100"/>
                <w:sz w:val="20"/>
                <w:szCs w:val="20"/>
              </w:rPr>
              <w:t> </w:t>
            </w:r>
            <w:r>
              <w:rPr>
                <w:rFonts w:ascii="宋体" w:hAnsi="宋体" w:cs="宋体" w:eastAsia="宋体" w:hint="default"/>
                <w:sz w:val="20"/>
                <w:szCs w:val="20"/>
              </w:rPr>
              <w:t>六次会议</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00" w:right="0"/>
              <w:jc w:val="left"/>
              <w:rPr>
                <w:rFonts w:ascii="宋体" w:hAnsi="宋体" w:cs="宋体" w:eastAsia="宋体" w:hint="default"/>
                <w:sz w:val="20"/>
                <w:szCs w:val="20"/>
              </w:rPr>
            </w:pPr>
            <w:r>
              <w:rPr>
                <w:rFonts w:ascii="宋体" w:hAnsi="宋体" w:cs="宋体" w:eastAsia="宋体" w:hint="default"/>
                <w:sz w:val="20"/>
                <w:szCs w:val="20"/>
              </w:rPr>
              <w:t>审议并一致同意《公司</w:t>
            </w:r>
            <w:r>
              <w:rPr>
                <w:rFonts w:ascii="宋体" w:hAnsi="宋体" w:cs="宋体" w:eastAsia="宋体" w:hint="default"/>
                <w:spacing w:val="-53"/>
                <w:sz w:val="20"/>
                <w:szCs w:val="20"/>
              </w:rPr>
              <w:t> </w:t>
            </w:r>
            <w:r>
              <w:rPr>
                <w:rFonts w:ascii="Arial" w:hAnsi="Arial" w:cs="Arial" w:eastAsia="Arial" w:hint="default"/>
                <w:sz w:val="20"/>
                <w:szCs w:val="20"/>
              </w:rPr>
              <w:t>2009</w:t>
            </w:r>
            <w:r>
              <w:rPr>
                <w:rFonts w:ascii="Arial" w:hAnsi="Arial" w:cs="Arial" w:eastAsia="Arial" w:hint="default"/>
                <w:spacing w:val="-8"/>
                <w:sz w:val="20"/>
                <w:szCs w:val="20"/>
              </w:rPr>
              <w:t> </w:t>
            </w:r>
            <w:r>
              <w:rPr>
                <w:rFonts w:ascii="宋体" w:hAnsi="宋体" w:cs="宋体" w:eastAsia="宋体" w:hint="default"/>
                <w:sz w:val="20"/>
                <w:szCs w:val="20"/>
              </w:rPr>
              <w:t>年第三季度报告》。</w:t>
            </w:r>
          </w:p>
        </w:tc>
      </w:tr>
      <w:tr>
        <w:trPr>
          <w:trHeight w:val="575" w:hRule="exact"/>
        </w:trPr>
        <w:tc>
          <w:tcPr>
            <w:tcW w:w="4194" w:type="dxa"/>
            <w:tcBorders>
              <w:top w:val="single" w:sz="6" w:space="0" w:color="000000"/>
              <w:left w:val="single" w:sz="6" w:space="0" w:color="000000"/>
              <w:bottom w:val="single" w:sz="6" w:space="0" w:color="000000"/>
              <w:right w:val="single" w:sz="6" w:space="0" w:color="000000"/>
            </w:tcBorders>
          </w:tcPr>
          <w:p>
            <w:pPr>
              <w:pStyle w:val="TableParagraph"/>
              <w:spacing w:line="242" w:lineRule="auto"/>
              <w:ind w:left="101" w:right="98" w:hanging="1"/>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7"/>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11</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6</w:t>
            </w:r>
            <w:r>
              <w:rPr>
                <w:rFonts w:ascii="Arial" w:hAnsi="Arial" w:cs="Arial" w:eastAsia="Arial" w:hint="default"/>
                <w:spacing w:val="-17"/>
                <w:sz w:val="20"/>
                <w:szCs w:val="20"/>
              </w:rPr>
              <w:t> </w:t>
            </w:r>
            <w:r>
              <w:rPr>
                <w:rFonts w:ascii="宋体" w:hAnsi="宋体" w:cs="宋体" w:eastAsia="宋体" w:hint="default"/>
                <w:sz w:val="20"/>
                <w:szCs w:val="20"/>
              </w:rPr>
              <w:t>日召开第三届监事会第一次会</w:t>
            </w:r>
            <w:r>
              <w:rPr>
                <w:rFonts w:ascii="宋体" w:hAnsi="宋体" w:cs="宋体" w:eastAsia="宋体" w:hint="default"/>
                <w:w w:val="100"/>
                <w:sz w:val="20"/>
                <w:szCs w:val="20"/>
              </w:rPr>
              <w:t> </w:t>
            </w:r>
            <w:r>
              <w:rPr>
                <w:rFonts w:ascii="宋体" w:hAnsi="宋体" w:cs="宋体" w:eastAsia="宋体" w:hint="default"/>
                <w:sz w:val="20"/>
                <w:szCs w:val="20"/>
              </w:rPr>
              <w:t>议</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56" w:lineRule="auto"/>
              <w:ind w:left="100" w:right="131"/>
              <w:jc w:val="left"/>
              <w:rPr>
                <w:rFonts w:ascii="宋体" w:hAnsi="宋体" w:cs="宋体" w:eastAsia="宋体" w:hint="default"/>
                <w:sz w:val="20"/>
                <w:szCs w:val="20"/>
              </w:rPr>
            </w:pPr>
            <w:r>
              <w:rPr>
                <w:rFonts w:ascii="宋体" w:hAnsi="宋体" w:cs="宋体" w:eastAsia="宋体" w:hint="default"/>
                <w:sz w:val="20"/>
                <w:szCs w:val="20"/>
              </w:rPr>
              <w:t>审议并一致同意选举李建国女士任第三届监事会主</w:t>
            </w:r>
            <w:r>
              <w:rPr>
                <w:rFonts w:ascii="宋体" w:hAnsi="宋体" w:cs="宋体" w:eastAsia="宋体" w:hint="default"/>
                <w:w w:val="100"/>
                <w:sz w:val="20"/>
                <w:szCs w:val="20"/>
              </w:rPr>
              <w:t> </w:t>
            </w:r>
            <w:r>
              <w:rPr>
                <w:rFonts w:ascii="宋体" w:hAnsi="宋体" w:cs="宋体" w:eastAsia="宋体" w:hint="default"/>
                <w:sz w:val="20"/>
                <w:szCs w:val="20"/>
              </w:rPr>
              <w:t>席。</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pStyle w:val="Heading8"/>
        <w:spacing w:line="240" w:lineRule="auto" w:before="31"/>
        <w:ind w:left="369" w:right="90"/>
        <w:jc w:val="left"/>
        <w:rPr>
          <w:b w:val="0"/>
          <w:bCs w:val="0"/>
        </w:rPr>
      </w:pPr>
      <w:r>
        <w:rPr/>
        <w:t>十、重要事项</w:t>
      </w:r>
      <w:r>
        <w:rPr>
          <w:b w:val="0"/>
          <w:bCs w:val="0"/>
        </w:rPr>
      </w:r>
    </w:p>
    <w:p>
      <w:pPr>
        <w:spacing w:line="240" w:lineRule="auto" w:before="4"/>
        <w:rPr>
          <w:rFonts w:ascii="宋体" w:hAnsi="宋体" w:cs="宋体" w:eastAsia="宋体" w:hint="default"/>
          <w:b/>
          <w:bCs/>
          <w:sz w:val="25"/>
          <w:szCs w:val="25"/>
        </w:rPr>
      </w:pPr>
    </w:p>
    <w:p>
      <w:pPr>
        <w:pStyle w:val="BodyText"/>
        <w:spacing w:line="468" w:lineRule="auto"/>
        <w:ind w:left="747" w:right="5517" w:hanging="645"/>
        <w:jc w:val="left"/>
      </w:pPr>
      <w:r>
        <w:rPr/>
        <w:t>（一）重大诉讼仲裁事项</w:t>
      </w:r>
      <w:r>
        <w:rPr>
          <w:w w:val="99"/>
        </w:rPr>
        <w:t> </w:t>
      </w:r>
      <w:r>
        <w:rPr/>
        <w:t>本年度公司无重大诉讼、仲裁事项。</w:t>
      </w:r>
    </w:p>
    <w:p>
      <w:pPr>
        <w:pStyle w:val="BodyText"/>
        <w:spacing w:line="465" w:lineRule="auto" w:before="63"/>
        <w:ind w:left="747" w:right="5737" w:hanging="645"/>
        <w:jc w:val="left"/>
      </w:pPr>
      <w:r>
        <w:rPr/>
        <w:t>（二）破产重整相关事项</w:t>
      </w:r>
      <w:r>
        <w:rPr>
          <w:w w:val="99"/>
        </w:rPr>
        <w:t> </w:t>
      </w:r>
      <w:r>
        <w:rPr/>
        <w:t>本年度公司无破产重整相关事项。</w:t>
      </w:r>
    </w:p>
    <w:p>
      <w:pPr>
        <w:spacing w:after="0" w:line="465" w:lineRule="auto"/>
        <w:jc w:val="left"/>
        <w:sectPr>
          <w:pgSz w:w="11910" w:h="16840"/>
          <w:pgMar w:header="587" w:footer="774" w:top="960" w:bottom="960" w:left="960" w:right="1140"/>
        </w:sectPr>
      </w:pPr>
    </w:p>
    <w:p>
      <w:pPr>
        <w:spacing w:line="240" w:lineRule="auto" w:before="9"/>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pgSz w:w="11910" w:h="16840"/>
          <w:pgMar w:header="587" w:footer="774" w:top="960" w:bottom="960" w:left="960" w:right="1060"/>
        </w:sectPr>
      </w:pPr>
    </w:p>
    <w:p>
      <w:pPr>
        <w:pStyle w:val="BodyText"/>
        <w:spacing w:line="284" w:lineRule="exact" w:before="31"/>
        <w:ind w:left="103" w:right="-20"/>
        <w:jc w:val="left"/>
      </w:pPr>
      <w:r>
        <w:rPr/>
        <w:t>（三）公司持有其他上市公司股权、参股金融企业股权情况</w:t>
      </w:r>
    </w:p>
    <w:p>
      <w:pPr>
        <w:pStyle w:val="BodyText"/>
        <w:spacing w:line="299" w:lineRule="exact"/>
        <w:ind w:left="369" w:right="-20"/>
        <w:jc w:val="left"/>
      </w:pPr>
      <w:r>
        <w:rPr>
          <w:rFonts w:ascii="Arial" w:hAnsi="Arial" w:cs="Arial" w:eastAsia="Arial" w:hint="default"/>
        </w:rPr>
        <w:t>1</w:t>
      </w:r>
      <w:r>
        <w:rPr/>
        <w:t>、持有其他上市公司股权情况</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2"/>
        <w:rPr>
          <w:rFonts w:ascii="宋体" w:hAnsi="宋体" w:cs="宋体" w:eastAsia="宋体" w:hint="default"/>
          <w:sz w:val="23"/>
          <w:szCs w:val="23"/>
        </w:rPr>
      </w:pPr>
    </w:p>
    <w:p>
      <w:pPr>
        <w:pStyle w:val="BodyText"/>
        <w:spacing w:line="240" w:lineRule="auto"/>
        <w:ind w:left="103" w:right="0"/>
        <w:jc w:val="left"/>
      </w:pPr>
      <w:r>
        <w:rPr/>
        <w:t>单位：人民币万元</w:t>
      </w:r>
    </w:p>
    <w:p>
      <w:pPr>
        <w:spacing w:after="0" w:line="240" w:lineRule="auto"/>
        <w:jc w:val="left"/>
        <w:sectPr>
          <w:type w:val="continuous"/>
          <w:pgSz w:w="11910" w:h="16840"/>
          <w:pgMar w:top="1600" w:bottom="280" w:left="960" w:right="1060"/>
          <w:cols w:num="2" w:equalWidth="0">
            <w:col w:w="5824" w:space="1978"/>
            <w:col w:w="2088"/>
          </w:cols>
        </w:sectPr>
      </w:pPr>
    </w:p>
    <w:p>
      <w:pPr>
        <w:spacing w:line="240" w:lineRule="auto" w:before="0"/>
        <w:rPr>
          <w:rFonts w:ascii="宋体" w:hAnsi="宋体" w:cs="宋体" w:eastAsia="宋体" w:hint="default"/>
          <w:sz w:val="2"/>
          <w:szCs w:val="2"/>
        </w:rPr>
      </w:pPr>
    </w:p>
    <w:tbl>
      <w:tblPr>
        <w:tblW w:w="0" w:type="auto"/>
        <w:jc w:val="left"/>
        <w:tblInd w:w="740" w:type="dxa"/>
        <w:tblLayout w:type="fixed"/>
        <w:tblCellMar>
          <w:top w:w="0" w:type="dxa"/>
          <w:left w:w="0" w:type="dxa"/>
          <w:bottom w:w="0" w:type="dxa"/>
          <w:right w:w="0" w:type="dxa"/>
        </w:tblCellMar>
        <w:tblLook w:val="01E0"/>
      </w:tblPr>
      <w:tblGrid>
        <w:gridCol w:w="1018"/>
        <w:gridCol w:w="894"/>
        <w:gridCol w:w="1058"/>
        <w:gridCol w:w="1105"/>
        <w:gridCol w:w="1010"/>
        <w:gridCol w:w="874"/>
        <w:gridCol w:w="1066"/>
        <w:gridCol w:w="923"/>
        <w:gridCol w:w="924"/>
      </w:tblGrid>
      <w:tr>
        <w:trPr>
          <w:trHeight w:val="715" w:hRule="exact"/>
        </w:trPr>
        <w:tc>
          <w:tcPr>
            <w:tcW w:w="1018"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321" w:right="319"/>
              <w:jc w:val="left"/>
              <w:rPr>
                <w:rFonts w:ascii="宋体" w:hAnsi="宋体" w:cs="宋体" w:eastAsia="宋体" w:hint="default"/>
                <w:sz w:val="18"/>
                <w:szCs w:val="18"/>
              </w:rPr>
            </w:pPr>
            <w:r>
              <w:rPr>
                <w:rFonts w:ascii="宋体" w:hAnsi="宋体" w:cs="宋体" w:eastAsia="宋体" w:hint="default"/>
                <w:sz w:val="18"/>
                <w:szCs w:val="18"/>
              </w:rPr>
              <w:t>证券 代码</w:t>
            </w:r>
          </w:p>
        </w:tc>
        <w:tc>
          <w:tcPr>
            <w:tcW w:w="89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259" w:right="258"/>
              <w:jc w:val="left"/>
              <w:rPr>
                <w:rFonts w:ascii="宋体" w:hAnsi="宋体" w:cs="宋体" w:eastAsia="宋体" w:hint="default"/>
                <w:sz w:val="18"/>
                <w:szCs w:val="18"/>
              </w:rPr>
            </w:pPr>
            <w:r>
              <w:rPr>
                <w:rFonts w:ascii="宋体" w:hAnsi="宋体" w:cs="宋体" w:eastAsia="宋体" w:hint="default"/>
                <w:sz w:val="18"/>
                <w:szCs w:val="18"/>
              </w:rPr>
              <w:t>证券 简称</w:t>
            </w:r>
          </w:p>
        </w:tc>
        <w:tc>
          <w:tcPr>
            <w:tcW w:w="1058"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342" w:right="159" w:hanging="180"/>
              <w:jc w:val="left"/>
              <w:rPr>
                <w:rFonts w:ascii="宋体" w:hAnsi="宋体" w:cs="宋体" w:eastAsia="宋体" w:hint="default"/>
                <w:sz w:val="18"/>
                <w:szCs w:val="18"/>
              </w:rPr>
            </w:pPr>
            <w:r>
              <w:rPr>
                <w:rFonts w:ascii="宋体" w:hAnsi="宋体" w:cs="宋体" w:eastAsia="宋体" w:hint="default"/>
                <w:sz w:val="18"/>
                <w:szCs w:val="18"/>
              </w:rPr>
              <w:t>初始投资 金额</w:t>
            </w:r>
          </w:p>
        </w:tc>
        <w:tc>
          <w:tcPr>
            <w:tcW w:w="110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占该公司</w:t>
            </w:r>
          </w:p>
          <w:p>
            <w:pPr>
              <w:pStyle w:val="TableParagraph"/>
              <w:spacing w:line="233" w:lineRule="exact"/>
              <w:ind w:right="0"/>
              <w:jc w:val="center"/>
              <w:rPr>
                <w:rFonts w:ascii="宋体" w:hAnsi="宋体" w:cs="宋体" w:eastAsia="宋体" w:hint="default"/>
                <w:sz w:val="18"/>
                <w:szCs w:val="18"/>
              </w:rPr>
            </w:pPr>
            <w:r>
              <w:rPr>
                <w:rFonts w:ascii="宋体" w:hAnsi="宋体" w:cs="宋体" w:eastAsia="宋体" w:hint="default"/>
                <w:sz w:val="18"/>
                <w:szCs w:val="18"/>
              </w:rPr>
              <w:t>股权比例</w:t>
            </w:r>
          </w:p>
          <w:p>
            <w:pPr>
              <w:pStyle w:val="TableParagraph"/>
              <w:spacing w:line="248" w:lineRule="exact"/>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Arial" w:hAnsi="Arial" w:cs="Arial" w:eastAsia="Arial" w:hint="default"/>
                <w:sz w:val="18"/>
                <w:szCs w:val="18"/>
              </w:rPr>
              <w:t>%</w:t>
            </w:r>
            <w:r>
              <w:rPr>
                <w:rFonts w:ascii="宋体" w:hAnsi="宋体" w:cs="宋体" w:eastAsia="宋体" w:hint="default"/>
                <w:sz w:val="18"/>
                <w:szCs w:val="18"/>
              </w:rPr>
              <w:t>）</w:t>
            </w:r>
          </w:p>
        </w:tc>
        <w:tc>
          <w:tcPr>
            <w:tcW w:w="1010"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228" w:right="225" w:firstLine="90"/>
              <w:jc w:val="left"/>
              <w:rPr>
                <w:rFonts w:ascii="宋体" w:hAnsi="宋体" w:cs="宋体" w:eastAsia="宋体" w:hint="default"/>
                <w:sz w:val="18"/>
                <w:szCs w:val="18"/>
              </w:rPr>
            </w:pPr>
            <w:r>
              <w:rPr>
                <w:rFonts w:ascii="宋体" w:hAnsi="宋体" w:cs="宋体" w:eastAsia="宋体" w:hint="default"/>
                <w:sz w:val="18"/>
                <w:szCs w:val="18"/>
              </w:rPr>
              <w:t>期末 账面值</w:t>
            </w:r>
          </w:p>
        </w:tc>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249" w:right="157" w:hanging="90"/>
              <w:jc w:val="left"/>
              <w:rPr>
                <w:rFonts w:ascii="宋体" w:hAnsi="宋体" w:cs="宋体" w:eastAsia="宋体" w:hint="default"/>
                <w:sz w:val="18"/>
                <w:szCs w:val="18"/>
              </w:rPr>
            </w:pPr>
            <w:r>
              <w:rPr>
                <w:rFonts w:ascii="宋体" w:hAnsi="宋体" w:cs="宋体" w:eastAsia="宋体" w:hint="default"/>
                <w:sz w:val="18"/>
                <w:szCs w:val="18"/>
              </w:rPr>
              <w:t>报告期 损益</w:t>
            </w:r>
          </w:p>
        </w:tc>
        <w:tc>
          <w:tcPr>
            <w:tcW w:w="1066"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79" w:right="69"/>
              <w:jc w:val="left"/>
              <w:rPr>
                <w:rFonts w:ascii="宋体" w:hAnsi="宋体" w:cs="宋体" w:eastAsia="宋体" w:hint="default"/>
                <w:sz w:val="18"/>
                <w:szCs w:val="18"/>
              </w:rPr>
            </w:pPr>
            <w:r>
              <w:rPr>
                <w:rFonts w:ascii="宋体" w:hAnsi="宋体" w:cs="宋体" w:eastAsia="宋体" w:hint="default"/>
                <w:sz w:val="18"/>
                <w:szCs w:val="18"/>
              </w:rPr>
              <w:t>报告期所有 者权益变动</w:t>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183" w:right="182"/>
              <w:jc w:val="left"/>
              <w:rPr>
                <w:rFonts w:ascii="宋体" w:hAnsi="宋体" w:cs="宋体" w:eastAsia="宋体" w:hint="default"/>
                <w:sz w:val="18"/>
                <w:szCs w:val="18"/>
              </w:rPr>
            </w:pPr>
            <w:r>
              <w:rPr>
                <w:rFonts w:ascii="宋体" w:hAnsi="宋体" w:cs="宋体" w:eastAsia="宋体" w:hint="default"/>
                <w:sz w:val="18"/>
                <w:szCs w:val="18"/>
              </w:rPr>
              <w:t>会计核 算科目</w:t>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273" w:right="273"/>
              <w:jc w:val="left"/>
              <w:rPr>
                <w:rFonts w:ascii="宋体" w:hAnsi="宋体" w:cs="宋体" w:eastAsia="宋体" w:hint="default"/>
                <w:sz w:val="18"/>
                <w:szCs w:val="18"/>
              </w:rPr>
            </w:pPr>
            <w:r>
              <w:rPr>
                <w:rFonts w:ascii="宋体" w:hAnsi="宋体" w:cs="宋体" w:eastAsia="宋体" w:hint="default"/>
                <w:sz w:val="18"/>
                <w:szCs w:val="18"/>
              </w:rPr>
              <w:t>股份 来源</w:t>
            </w:r>
          </w:p>
        </w:tc>
      </w:tr>
      <w:tr>
        <w:trPr>
          <w:trHeight w:val="240" w:hRule="exact"/>
        </w:trPr>
        <w:tc>
          <w:tcPr>
            <w:tcW w:w="1018" w:type="dxa"/>
            <w:tcBorders>
              <w:top w:val="single" w:sz="6" w:space="0" w:color="000000"/>
              <w:left w:val="single" w:sz="6" w:space="0" w:color="000000"/>
              <w:bottom w:val="nil" w:sz="6" w:space="0" w:color="auto"/>
              <w:right w:val="single" w:sz="6" w:space="0" w:color="000000"/>
            </w:tcBorders>
          </w:tcPr>
          <w:p>
            <w:pPr/>
          </w:p>
        </w:tc>
        <w:tc>
          <w:tcPr>
            <w:tcW w:w="894" w:type="dxa"/>
            <w:tcBorders>
              <w:top w:val="single" w:sz="6" w:space="0" w:color="000000"/>
              <w:left w:val="single" w:sz="6" w:space="0" w:color="000000"/>
              <w:bottom w:val="nil" w:sz="6" w:space="0" w:color="auto"/>
              <w:right w:val="single" w:sz="6" w:space="0" w:color="000000"/>
            </w:tcBorders>
          </w:tcPr>
          <w:p>
            <w:pPr/>
          </w:p>
        </w:tc>
        <w:tc>
          <w:tcPr>
            <w:tcW w:w="1058" w:type="dxa"/>
            <w:tcBorders>
              <w:top w:val="single" w:sz="6" w:space="0" w:color="000000"/>
              <w:left w:val="single" w:sz="6" w:space="0" w:color="000000"/>
              <w:bottom w:val="nil" w:sz="6" w:space="0" w:color="auto"/>
              <w:right w:val="single" w:sz="6" w:space="0" w:color="000000"/>
            </w:tcBorders>
          </w:tcPr>
          <w:p>
            <w:pPr/>
          </w:p>
        </w:tc>
        <w:tc>
          <w:tcPr>
            <w:tcW w:w="1105" w:type="dxa"/>
            <w:tcBorders>
              <w:top w:val="single" w:sz="6" w:space="0" w:color="000000"/>
              <w:left w:val="single" w:sz="6" w:space="0" w:color="000000"/>
              <w:bottom w:val="nil" w:sz="6" w:space="0" w:color="auto"/>
              <w:right w:val="single" w:sz="6" w:space="0" w:color="000000"/>
            </w:tcBorders>
          </w:tcPr>
          <w:p>
            <w:pPr/>
          </w:p>
        </w:tc>
        <w:tc>
          <w:tcPr>
            <w:tcW w:w="1010" w:type="dxa"/>
            <w:tcBorders>
              <w:top w:val="single" w:sz="6" w:space="0" w:color="000000"/>
              <w:left w:val="single" w:sz="6" w:space="0" w:color="000000"/>
              <w:bottom w:val="nil" w:sz="6" w:space="0" w:color="auto"/>
              <w:right w:val="single" w:sz="6" w:space="0" w:color="000000"/>
            </w:tcBorders>
          </w:tcPr>
          <w:p>
            <w:pPr/>
          </w:p>
        </w:tc>
        <w:tc>
          <w:tcPr>
            <w:tcW w:w="874" w:type="dxa"/>
            <w:tcBorders>
              <w:top w:val="single" w:sz="6" w:space="0" w:color="000000"/>
              <w:left w:val="single" w:sz="6" w:space="0" w:color="000000"/>
              <w:bottom w:val="nil" w:sz="6" w:space="0" w:color="auto"/>
              <w:right w:val="single" w:sz="6" w:space="0" w:color="000000"/>
            </w:tcBorders>
          </w:tcPr>
          <w:p>
            <w:pPr/>
          </w:p>
        </w:tc>
        <w:tc>
          <w:tcPr>
            <w:tcW w:w="1066" w:type="dxa"/>
            <w:tcBorders>
              <w:top w:val="single" w:sz="6" w:space="0" w:color="000000"/>
              <w:left w:val="single" w:sz="6" w:space="0" w:color="000000"/>
              <w:bottom w:val="nil" w:sz="6" w:space="0" w:color="auto"/>
              <w:right w:val="single" w:sz="6" w:space="0" w:color="000000"/>
            </w:tcBorders>
          </w:tcPr>
          <w:p>
            <w:pPr/>
          </w:p>
        </w:tc>
        <w:tc>
          <w:tcPr>
            <w:tcW w:w="923"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00" w:right="0"/>
              <w:jc w:val="left"/>
              <w:rPr>
                <w:rFonts w:ascii="宋体" w:hAnsi="宋体" w:cs="宋体" w:eastAsia="宋体" w:hint="default"/>
                <w:sz w:val="18"/>
                <w:szCs w:val="18"/>
              </w:rPr>
            </w:pPr>
            <w:r>
              <w:rPr>
                <w:rFonts w:ascii="宋体" w:hAnsi="宋体" w:cs="宋体" w:eastAsia="宋体" w:hint="default"/>
                <w:sz w:val="18"/>
                <w:szCs w:val="18"/>
              </w:rPr>
              <w:t>可供出</w:t>
            </w:r>
          </w:p>
        </w:tc>
        <w:tc>
          <w:tcPr>
            <w:tcW w:w="924" w:type="dxa"/>
            <w:tcBorders>
              <w:top w:val="single" w:sz="6" w:space="0" w:color="000000"/>
              <w:left w:val="single" w:sz="6" w:space="0" w:color="000000"/>
              <w:bottom w:val="nil" w:sz="6" w:space="0" w:color="auto"/>
              <w:right w:val="single" w:sz="6" w:space="0" w:color="000000"/>
            </w:tcBorders>
          </w:tcPr>
          <w:p>
            <w:pPr/>
          </w:p>
        </w:tc>
      </w:tr>
      <w:tr>
        <w:trPr>
          <w:trHeight w:val="238" w:hRule="exact"/>
        </w:trPr>
        <w:tc>
          <w:tcPr>
            <w:tcW w:w="1018" w:type="dxa"/>
            <w:tcBorders>
              <w:top w:val="nil" w:sz="6" w:space="0" w:color="auto"/>
              <w:left w:val="single" w:sz="6" w:space="0" w:color="000000"/>
              <w:bottom w:val="nil" w:sz="6" w:space="0" w:color="auto"/>
              <w:right w:val="single" w:sz="6" w:space="0" w:color="000000"/>
            </w:tcBorders>
          </w:tcPr>
          <w:p>
            <w:pPr>
              <w:pStyle w:val="TableParagraph"/>
              <w:spacing w:line="240" w:lineRule="auto" w:before="12"/>
              <w:ind w:left="100" w:right="0"/>
              <w:jc w:val="left"/>
              <w:rPr>
                <w:rFonts w:ascii="Arial" w:hAnsi="Arial" w:cs="Arial" w:eastAsia="Arial" w:hint="default"/>
                <w:sz w:val="18"/>
                <w:szCs w:val="18"/>
              </w:rPr>
            </w:pPr>
            <w:r>
              <w:rPr>
                <w:rFonts w:ascii="Arial"/>
                <w:sz w:val="18"/>
              </w:rPr>
              <w:t>601328</w:t>
            </w:r>
          </w:p>
        </w:tc>
        <w:tc>
          <w:tcPr>
            <w:tcW w:w="894"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62" w:right="0"/>
              <w:jc w:val="left"/>
              <w:rPr>
                <w:rFonts w:ascii="宋体" w:hAnsi="宋体" w:cs="宋体" w:eastAsia="宋体" w:hint="default"/>
                <w:sz w:val="18"/>
                <w:szCs w:val="18"/>
              </w:rPr>
            </w:pPr>
            <w:r>
              <w:rPr>
                <w:rFonts w:ascii="宋体" w:hAnsi="宋体" w:cs="宋体" w:eastAsia="宋体" w:hint="default"/>
                <w:sz w:val="18"/>
                <w:szCs w:val="18"/>
              </w:rPr>
              <w:t>交通银行</w:t>
            </w:r>
          </w:p>
        </w:tc>
        <w:tc>
          <w:tcPr>
            <w:tcW w:w="1058" w:type="dxa"/>
            <w:tcBorders>
              <w:top w:val="nil" w:sz="6" w:space="0" w:color="auto"/>
              <w:left w:val="single" w:sz="6" w:space="0" w:color="000000"/>
              <w:bottom w:val="nil" w:sz="6" w:space="0" w:color="auto"/>
              <w:right w:val="single" w:sz="6" w:space="0" w:color="000000"/>
            </w:tcBorders>
          </w:tcPr>
          <w:p>
            <w:pPr>
              <w:pStyle w:val="TableParagraph"/>
              <w:spacing w:line="240" w:lineRule="auto" w:before="12"/>
              <w:ind w:right="98"/>
              <w:jc w:val="right"/>
              <w:rPr>
                <w:rFonts w:ascii="Arial" w:hAnsi="Arial" w:cs="Arial" w:eastAsia="Arial" w:hint="default"/>
                <w:sz w:val="18"/>
                <w:szCs w:val="18"/>
              </w:rPr>
            </w:pPr>
            <w:r>
              <w:rPr>
                <w:rFonts w:ascii="Arial"/>
                <w:spacing w:val="-1"/>
                <w:w w:val="95"/>
                <w:sz w:val="18"/>
              </w:rPr>
              <w:t>3,672</w:t>
            </w:r>
            <w:r>
              <w:rPr>
                <w:rFonts w:ascii="Arial"/>
                <w:sz w:val="18"/>
              </w:rPr>
            </w:r>
          </w:p>
        </w:tc>
        <w:tc>
          <w:tcPr>
            <w:tcW w:w="1105" w:type="dxa"/>
            <w:tcBorders>
              <w:top w:val="nil" w:sz="6" w:space="0" w:color="auto"/>
              <w:left w:val="single" w:sz="6" w:space="0" w:color="000000"/>
              <w:bottom w:val="nil" w:sz="6" w:space="0" w:color="auto"/>
              <w:right w:val="single" w:sz="6" w:space="0" w:color="000000"/>
            </w:tcBorders>
          </w:tcPr>
          <w:p>
            <w:pPr>
              <w:pStyle w:val="TableParagraph"/>
              <w:spacing w:line="240" w:lineRule="auto" w:before="12"/>
              <w:ind w:right="98"/>
              <w:jc w:val="right"/>
              <w:rPr>
                <w:rFonts w:ascii="Arial" w:hAnsi="Arial" w:cs="Arial" w:eastAsia="Arial" w:hint="default"/>
                <w:sz w:val="18"/>
                <w:szCs w:val="18"/>
              </w:rPr>
            </w:pPr>
            <w:r>
              <w:rPr>
                <w:rFonts w:ascii="Arial"/>
                <w:spacing w:val="-1"/>
                <w:w w:val="95"/>
                <w:sz w:val="18"/>
              </w:rPr>
              <w:t>0.04</w:t>
            </w:r>
            <w:r>
              <w:rPr>
                <w:rFonts w:ascii="Arial"/>
                <w:sz w:val="18"/>
              </w:rPr>
            </w:r>
          </w:p>
        </w:tc>
        <w:tc>
          <w:tcPr>
            <w:tcW w:w="1010" w:type="dxa"/>
            <w:tcBorders>
              <w:top w:val="nil" w:sz="6" w:space="0" w:color="auto"/>
              <w:left w:val="single" w:sz="6" w:space="0" w:color="000000"/>
              <w:bottom w:val="nil" w:sz="6" w:space="0" w:color="auto"/>
              <w:right w:val="single" w:sz="6" w:space="0" w:color="000000"/>
            </w:tcBorders>
          </w:tcPr>
          <w:p>
            <w:pPr>
              <w:pStyle w:val="TableParagraph"/>
              <w:spacing w:line="240" w:lineRule="auto" w:before="12"/>
              <w:ind w:right="97"/>
              <w:jc w:val="right"/>
              <w:rPr>
                <w:rFonts w:ascii="Arial" w:hAnsi="Arial" w:cs="Arial" w:eastAsia="Arial" w:hint="default"/>
                <w:sz w:val="18"/>
                <w:szCs w:val="18"/>
              </w:rPr>
            </w:pPr>
            <w:r>
              <w:rPr>
                <w:rFonts w:ascii="Arial"/>
                <w:spacing w:val="-1"/>
                <w:sz w:val="18"/>
              </w:rPr>
              <w:t>18,762</w:t>
            </w:r>
          </w:p>
        </w:tc>
        <w:tc>
          <w:tcPr>
            <w:tcW w:w="874" w:type="dxa"/>
            <w:tcBorders>
              <w:top w:val="nil" w:sz="6" w:space="0" w:color="auto"/>
              <w:left w:val="single" w:sz="6" w:space="0" w:color="000000"/>
              <w:bottom w:val="nil" w:sz="6" w:space="0" w:color="auto"/>
              <w:right w:val="single" w:sz="6" w:space="0" w:color="000000"/>
            </w:tcBorders>
          </w:tcPr>
          <w:p>
            <w:pPr>
              <w:pStyle w:val="TableParagraph"/>
              <w:spacing w:line="240" w:lineRule="auto" w:before="12"/>
              <w:ind w:right="99"/>
              <w:jc w:val="right"/>
              <w:rPr>
                <w:rFonts w:ascii="Arial" w:hAnsi="Arial" w:cs="Arial" w:eastAsia="Arial" w:hint="default"/>
                <w:sz w:val="18"/>
                <w:szCs w:val="18"/>
              </w:rPr>
            </w:pPr>
            <w:r>
              <w:rPr>
                <w:rFonts w:ascii="Arial"/>
                <w:w w:val="99"/>
                <w:sz w:val="18"/>
              </w:rPr>
              <w:t>-</w:t>
            </w:r>
            <w:r>
              <w:rPr>
                <w:rFonts w:ascii="Arial"/>
                <w:sz w:val="18"/>
              </w:rPr>
            </w:r>
          </w:p>
        </w:tc>
        <w:tc>
          <w:tcPr>
            <w:tcW w:w="1066" w:type="dxa"/>
            <w:tcBorders>
              <w:top w:val="nil" w:sz="6" w:space="0" w:color="auto"/>
              <w:left w:val="single" w:sz="6" w:space="0" w:color="000000"/>
              <w:bottom w:val="nil" w:sz="6" w:space="0" w:color="auto"/>
              <w:right w:val="single" w:sz="6" w:space="0" w:color="000000"/>
            </w:tcBorders>
          </w:tcPr>
          <w:p>
            <w:pPr>
              <w:pStyle w:val="TableParagraph"/>
              <w:spacing w:line="240" w:lineRule="auto" w:before="12"/>
              <w:ind w:right="99"/>
              <w:jc w:val="right"/>
              <w:rPr>
                <w:rFonts w:ascii="Arial" w:hAnsi="Arial" w:cs="Arial" w:eastAsia="Arial" w:hint="default"/>
                <w:sz w:val="18"/>
                <w:szCs w:val="18"/>
              </w:rPr>
            </w:pPr>
            <w:r>
              <w:rPr>
                <w:rFonts w:ascii="Arial"/>
                <w:spacing w:val="-1"/>
                <w:w w:val="95"/>
                <w:sz w:val="18"/>
              </w:rPr>
              <w:t>8,448</w:t>
            </w:r>
            <w:r>
              <w:rPr>
                <w:rFonts w:ascii="Arial"/>
                <w:sz w:val="18"/>
              </w:rPr>
            </w:r>
          </w:p>
        </w:tc>
        <w:tc>
          <w:tcPr>
            <w:tcW w:w="923"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售金融</w:t>
            </w:r>
          </w:p>
        </w:tc>
        <w:tc>
          <w:tcPr>
            <w:tcW w:w="924"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购买</w:t>
            </w:r>
          </w:p>
        </w:tc>
      </w:tr>
      <w:tr>
        <w:trPr>
          <w:trHeight w:val="237" w:hRule="exact"/>
        </w:trPr>
        <w:tc>
          <w:tcPr>
            <w:tcW w:w="1018" w:type="dxa"/>
            <w:tcBorders>
              <w:top w:val="nil" w:sz="6" w:space="0" w:color="auto"/>
              <w:left w:val="single" w:sz="6" w:space="0" w:color="000000"/>
              <w:bottom w:val="single" w:sz="6" w:space="0" w:color="000000"/>
              <w:right w:val="single" w:sz="6" w:space="0" w:color="000000"/>
            </w:tcBorders>
          </w:tcPr>
          <w:p>
            <w:pPr/>
          </w:p>
        </w:tc>
        <w:tc>
          <w:tcPr>
            <w:tcW w:w="894" w:type="dxa"/>
            <w:tcBorders>
              <w:top w:val="nil" w:sz="6" w:space="0" w:color="auto"/>
              <w:left w:val="single" w:sz="6" w:space="0" w:color="000000"/>
              <w:bottom w:val="single" w:sz="6" w:space="0" w:color="000000"/>
              <w:right w:val="single" w:sz="6" w:space="0" w:color="000000"/>
            </w:tcBorders>
          </w:tcPr>
          <w:p>
            <w:pPr/>
          </w:p>
        </w:tc>
        <w:tc>
          <w:tcPr>
            <w:tcW w:w="1058" w:type="dxa"/>
            <w:tcBorders>
              <w:top w:val="nil" w:sz="6" w:space="0" w:color="auto"/>
              <w:left w:val="single" w:sz="6" w:space="0" w:color="000000"/>
              <w:bottom w:val="single" w:sz="6" w:space="0" w:color="000000"/>
              <w:right w:val="single" w:sz="6" w:space="0" w:color="000000"/>
            </w:tcBorders>
          </w:tcPr>
          <w:p>
            <w:pPr/>
          </w:p>
        </w:tc>
        <w:tc>
          <w:tcPr>
            <w:tcW w:w="1105" w:type="dxa"/>
            <w:tcBorders>
              <w:top w:val="nil" w:sz="6" w:space="0" w:color="auto"/>
              <w:left w:val="single" w:sz="6" w:space="0" w:color="000000"/>
              <w:bottom w:val="single" w:sz="6" w:space="0" w:color="000000"/>
              <w:right w:val="single" w:sz="6" w:space="0" w:color="000000"/>
            </w:tcBorders>
          </w:tcPr>
          <w:p>
            <w:pPr/>
          </w:p>
        </w:tc>
        <w:tc>
          <w:tcPr>
            <w:tcW w:w="1010" w:type="dxa"/>
            <w:tcBorders>
              <w:top w:val="nil" w:sz="6" w:space="0" w:color="auto"/>
              <w:left w:val="single" w:sz="6" w:space="0" w:color="000000"/>
              <w:bottom w:val="single" w:sz="6" w:space="0" w:color="000000"/>
              <w:right w:val="single" w:sz="6" w:space="0" w:color="000000"/>
            </w:tcBorders>
          </w:tcPr>
          <w:p>
            <w:pPr/>
          </w:p>
        </w:tc>
        <w:tc>
          <w:tcPr>
            <w:tcW w:w="874" w:type="dxa"/>
            <w:tcBorders>
              <w:top w:val="nil" w:sz="6" w:space="0" w:color="auto"/>
              <w:left w:val="single" w:sz="6" w:space="0" w:color="000000"/>
              <w:bottom w:val="single" w:sz="6" w:space="0" w:color="000000"/>
              <w:right w:val="single" w:sz="6" w:space="0" w:color="000000"/>
            </w:tcBorders>
          </w:tcPr>
          <w:p>
            <w:pPr/>
          </w:p>
        </w:tc>
        <w:tc>
          <w:tcPr>
            <w:tcW w:w="1066" w:type="dxa"/>
            <w:tcBorders>
              <w:top w:val="nil" w:sz="6" w:space="0" w:color="auto"/>
              <w:left w:val="single" w:sz="6" w:space="0" w:color="000000"/>
              <w:bottom w:val="single" w:sz="6" w:space="0" w:color="000000"/>
              <w:right w:val="single" w:sz="6" w:space="0" w:color="000000"/>
            </w:tcBorders>
          </w:tcPr>
          <w:p>
            <w:pPr/>
          </w:p>
        </w:tc>
        <w:tc>
          <w:tcPr>
            <w:tcW w:w="923" w:type="dxa"/>
            <w:tcBorders>
              <w:top w:val="nil" w:sz="6" w:space="0" w:color="auto"/>
              <w:left w:val="single" w:sz="6" w:space="0" w:color="000000"/>
              <w:bottom w:val="single" w:sz="6" w:space="0" w:color="000000"/>
              <w:right w:val="single" w:sz="6" w:space="0" w:color="000000"/>
            </w:tcBorders>
          </w:tcPr>
          <w:p>
            <w:pPr>
              <w:pStyle w:val="TableParagraph"/>
              <w:spacing w:line="203" w:lineRule="exact"/>
              <w:ind w:left="100" w:right="0"/>
              <w:jc w:val="left"/>
              <w:rPr>
                <w:rFonts w:ascii="宋体" w:hAnsi="宋体" w:cs="宋体" w:eastAsia="宋体" w:hint="default"/>
                <w:sz w:val="18"/>
                <w:szCs w:val="18"/>
              </w:rPr>
            </w:pPr>
            <w:r>
              <w:rPr>
                <w:rFonts w:ascii="宋体" w:hAnsi="宋体" w:cs="宋体" w:eastAsia="宋体" w:hint="default"/>
                <w:sz w:val="18"/>
                <w:szCs w:val="18"/>
              </w:rPr>
              <w:t>资产</w:t>
            </w:r>
          </w:p>
        </w:tc>
        <w:tc>
          <w:tcPr>
            <w:tcW w:w="924" w:type="dxa"/>
            <w:tcBorders>
              <w:top w:val="nil" w:sz="6" w:space="0" w:color="auto"/>
              <w:left w:val="single" w:sz="6" w:space="0" w:color="000000"/>
              <w:bottom w:val="single" w:sz="6" w:space="0" w:color="000000"/>
              <w:right w:val="single" w:sz="6" w:space="0" w:color="000000"/>
            </w:tcBorders>
          </w:tcPr>
          <w:p>
            <w:pPr/>
          </w:p>
        </w:tc>
      </w:tr>
      <w:tr>
        <w:trPr>
          <w:trHeight w:val="248" w:hRule="exact"/>
        </w:trPr>
        <w:tc>
          <w:tcPr>
            <w:tcW w:w="1912" w:type="dxa"/>
            <w:gridSpan w:val="2"/>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18"/>
                <w:szCs w:val="18"/>
              </w:rPr>
            </w:pPr>
            <w:r>
              <w:rPr>
                <w:rFonts w:ascii="Arial"/>
                <w:spacing w:val="-1"/>
                <w:w w:val="95"/>
                <w:sz w:val="18"/>
              </w:rPr>
              <w:t>3,672</w:t>
            </w:r>
            <w:r>
              <w:rPr>
                <w:rFonts w:ascii="Arial"/>
                <w:sz w:val="18"/>
              </w:rPr>
            </w:r>
          </w:p>
        </w:tc>
        <w:tc>
          <w:tcPr>
            <w:tcW w:w="1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18"/>
                <w:szCs w:val="18"/>
              </w:rPr>
            </w:pPr>
            <w:r>
              <w:rPr>
                <w:rFonts w:ascii="Arial"/>
                <w:spacing w:val="-1"/>
                <w:w w:val="95"/>
                <w:sz w:val="18"/>
              </w:rPr>
              <w:t>0.04</w:t>
            </w:r>
            <w:r>
              <w:rPr>
                <w:rFonts w:ascii="Arial"/>
                <w:sz w:val="18"/>
              </w:rPr>
            </w:r>
          </w:p>
        </w:tc>
        <w:tc>
          <w:tcPr>
            <w:tcW w:w="1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6"/>
              <w:jc w:val="right"/>
              <w:rPr>
                <w:rFonts w:ascii="Arial" w:hAnsi="Arial" w:cs="Arial" w:eastAsia="Arial" w:hint="default"/>
                <w:sz w:val="18"/>
                <w:szCs w:val="18"/>
              </w:rPr>
            </w:pPr>
            <w:r>
              <w:rPr>
                <w:rFonts w:ascii="Arial"/>
                <w:spacing w:val="-1"/>
                <w:sz w:val="18"/>
              </w:rPr>
              <w:t>18,762</w:t>
            </w:r>
          </w:p>
        </w:tc>
        <w:tc>
          <w:tcPr>
            <w:tcW w:w="8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8"/>
              <w:jc w:val="right"/>
              <w:rPr>
                <w:rFonts w:ascii="Arial" w:hAnsi="Arial" w:cs="Arial" w:eastAsia="Arial" w:hint="default"/>
                <w:sz w:val="18"/>
                <w:szCs w:val="18"/>
              </w:rPr>
            </w:pPr>
            <w:r>
              <w:rPr>
                <w:rFonts w:ascii="Arial"/>
                <w:w w:val="99"/>
                <w:sz w:val="18"/>
              </w:rPr>
              <w:t>-</w:t>
            </w:r>
            <w:r>
              <w:rPr>
                <w:rFonts w:ascii="Arial"/>
                <w:sz w:val="18"/>
              </w:rPr>
            </w:r>
          </w:p>
        </w:tc>
        <w:tc>
          <w:tcPr>
            <w:tcW w:w="1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97"/>
              <w:jc w:val="right"/>
              <w:rPr>
                <w:rFonts w:ascii="Arial" w:hAnsi="Arial" w:cs="Arial" w:eastAsia="Arial" w:hint="default"/>
                <w:sz w:val="18"/>
                <w:szCs w:val="18"/>
              </w:rPr>
            </w:pPr>
            <w:r>
              <w:rPr>
                <w:rFonts w:ascii="Arial"/>
                <w:spacing w:val="-1"/>
                <w:w w:val="95"/>
                <w:sz w:val="18"/>
              </w:rPr>
              <w:t>8,448</w:t>
            </w:r>
            <w:r>
              <w:rPr>
                <w:rFonts w:ascii="Arial"/>
                <w:sz w:val="18"/>
              </w:rPr>
            </w:r>
          </w:p>
        </w:tc>
        <w:tc>
          <w:tcPr>
            <w:tcW w:w="9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center"/>
              <w:rPr>
                <w:rFonts w:ascii="Arial" w:hAnsi="Arial" w:cs="Arial" w:eastAsia="Arial" w:hint="default"/>
                <w:sz w:val="18"/>
                <w:szCs w:val="18"/>
              </w:rPr>
            </w:pPr>
            <w:r>
              <w:rPr>
                <w:rFonts w:ascii="Arial"/>
                <w:w w:val="100"/>
                <w:sz w:val="18"/>
              </w:rPr>
              <w:t>/</w:t>
            </w:r>
          </w:p>
        </w:tc>
        <w:tc>
          <w:tcPr>
            <w:tcW w:w="9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1"/>
              <w:jc w:val="center"/>
              <w:rPr>
                <w:rFonts w:ascii="Arial" w:hAnsi="Arial" w:cs="Arial" w:eastAsia="Arial" w:hint="default"/>
                <w:sz w:val="18"/>
                <w:szCs w:val="18"/>
              </w:rPr>
            </w:pPr>
            <w:r>
              <w:rPr>
                <w:rFonts w:ascii="Arial"/>
                <w:w w:val="100"/>
                <w:sz w:val="18"/>
              </w:rPr>
              <w:t>/</w:t>
            </w:r>
          </w:p>
        </w:tc>
      </w:tr>
    </w:tbl>
    <w:p>
      <w:pPr>
        <w:pStyle w:val="BodyText"/>
        <w:spacing w:line="280" w:lineRule="exact" w:before="100"/>
        <w:ind w:left="747" w:right="107"/>
        <w:jc w:val="both"/>
      </w:pPr>
      <w:r>
        <w:rPr/>
        <w:t>本公司的子公司于报告期持有交通银行股份有限公司于上海证券交易所上市的 </w:t>
      </w:r>
      <w:r>
        <w:rPr>
          <w:rFonts w:ascii="Arial" w:hAnsi="Arial" w:cs="Arial" w:eastAsia="Arial" w:hint="default"/>
        </w:rPr>
        <w:t>A</w:t>
      </w:r>
      <w:r>
        <w:rPr>
          <w:rFonts w:ascii="Arial" w:hAnsi="Arial" w:cs="Arial" w:eastAsia="Arial" w:hint="default"/>
          <w:spacing w:val="18"/>
        </w:rPr>
        <w:t> </w:t>
      </w:r>
      <w:r>
        <w:rPr/>
        <w:t>股普通股股</w:t>
      </w:r>
      <w:r>
        <w:rPr>
          <w:w w:val="99"/>
        </w:rPr>
        <w:t> </w:t>
      </w:r>
      <w:r>
        <w:rPr/>
        <w:t>份约 </w:t>
      </w:r>
      <w:r>
        <w:rPr>
          <w:rFonts w:ascii="Arial" w:hAnsi="Arial" w:cs="Arial" w:eastAsia="Arial" w:hint="default"/>
        </w:rPr>
        <w:t>2,007 </w:t>
      </w:r>
      <w:r>
        <w:rPr/>
        <w:t>万股，约占交通银行股份有限公司总股份的</w:t>
      </w:r>
      <w:r>
        <w:rPr>
          <w:spacing w:val="-23"/>
        </w:rPr>
        <w:t> </w:t>
      </w:r>
      <w:r>
        <w:rPr>
          <w:rFonts w:ascii="Arial" w:hAnsi="Arial" w:cs="Arial" w:eastAsia="Arial" w:hint="default"/>
        </w:rPr>
        <w:t>0.04%</w:t>
      </w:r>
      <w:r>
        <w:rPr/>
        <w:t>；以及持有的国外的西班牙电</w:t>
      </w:r>
      <w:r>
        <w:rPr>
          <w:w w:val="99"/>
        </w:rPr>
        <w:t> 信普通股股份约</w:t>
      </w:r>
      <w:r>
        <w:rPr>
          <w:spacing w:val="-72"/>
          <w:w w:val="99"/>
        </w:rPr>
        <w:t> </w:t>
      </w:r>
      <w:r>
        <w:rPr>
          <w:rFonts w:ascii="Arial" w:hAnsi="Arial" w:cs="Arial" w:eastAsia="Arial" w:hint="default"/>
          <w:w w:val="99"/>
        </w:rPr>
        <w:t>4,073</w:t>
      </w:r>
      <w:r>
        <w:rPr>
          <w:rFonts w:ascii="Arial" w:hAnsi="Arial" w:cs="Arial" w:eastAsia="Arial" w:hint="default"/>
          <w:spacing w:val="-22"/>
          <w:w w:val="99"/>
        </w:rPr>
        <w:t> </w:t>
      </w:r>
      <w:r>
        <w:rPr>
          <w:spacing w:val="-8"/>
          <w:w w:val="99"/>
        </w:rPr>
        <w:t>万股，约占西班牙电信总股份的</w:t>
      </w:r>
      <w:r>
        <w:rPr>
          <w:spacing w:val="-71"/>
          <w:w w:val="99"/>
        </w:rPr>
        <w:t> </w:t>
      </w:r>
      <w:r>
        <w:rPr>
          <w:rFonts w:ascii="Arial" w:hAnsi="Arial" w:cs="Arial" w:eastAsia="Arial" w:hint="default"/>
          <w:spacing w:val="-5"/>
          <w:w w:val="99"/>
        </w:rPr>
        <w:t>0.89%</w:t>
      </w:r>
      <w:r>
        <w:rPr>
          <w:spacing w:val="-5"/>
          <w:w w:val="99"/>
        </w:rPr>
        <w:t>。具体请参见财务报表附注五</w:t>
      </w:r>
      <w:r>
        <w:rPr>
          <w:rFonts w:ascii="Arial" w:hAnsi="Arial" w:cs="Arial" w:eastAsia="Arial" w:hint="default"/>
          <w:spacing w:val="-5"/>
          <w:w w:val="99"/>
        </w:rPr>
        <w:t>(7)</w:t>
      </w:r>
      <w:r>
        <w:rPr>
          <w:spacing w:val="-5"/>
          <w:w w:val="99"/>
        </w:rPr>
        <w:t>。</w:t>
      </w:r>
      <w:r>
        <w:rPr>
          <w:spacing w:val="-5"/>
        </w:rPr>
      </w:r>
    </w:p>
    <w:p>
      <w:pPr>
        <w:pStyle w:val="BodyText"/>
        <w:spacing w:line="240" w:lineRule="auto" w:before="67"/>
        <w:ind w:left="369" w:right="306"/>
        <w:jc w:val="left"/>
      </w:pPr>
      <w:r>
        <w:rPr>
          <w:rFonts w:ascii="Arial" w:hAnsi="Arial" w:cs="Arial" w:eastAsia="Arial" w:hint="default"/>
        </w:rPr>
        <w:t>2</w:t>
      </w:r>
      <w:r>
        <w:rPr/>
        <w:t>、持有非上市金融企业股权情况</w:t>
      </w:r>
    </w:p>
    <w:tbl>
      <w:tblPr>
        <w:tblW w:w="0" w:type="auto"/>
        <w:jc w:val="left"/>
        <w:tblInd w:w="354" w:type="dxa"/>
        <w:tblLayout w:type="fixed"/>
        <w:tblCellMar>
          <w:top w:w="0" w:type="dxa"/>
          <w:left w:w="0" w:type="dxa"/>
          <w:bottom w:w="0" w:type="dxa"/>
          <w:right w:w="0" w:type="dxa"/>
        </w:tblCellMar>
        <w:tblLook w:val="01E0"/>
      </w:tblPr>
      <w:tblGrid>
        <w:gridCol w:w="834"/>
        <w:gridCol w:w="1116"/>
        <w:gridCol w:w="1118"/>
        <w:gridCol w:w="1024"/>
        <w:gridCol w:w="1116"/>
        <w:gridCol w:w="1022"/>
        <w:gridCol w:w="1024"/>
        <w:gridCol w:w="1022"/>
        <w:gridCol w:w="1024"/>
      </w:tblGrid>
      <w:tr>
        <w:trPr>
          <w:trHeight w:val="793" w:hRule="exact"/>
        </w:trPr>
        <w:tc>
          <w:tcPr>
            <w:tcW w:w="8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9" w:right="107"/>
              <w:jc w:val="left"/>
              <w:rPr>
                <w:rFonts w:ascii="宋体" w:hAnsi="宋体" w:cs="宋体" w:eastAsia="宋体" w:hint="default"/>
                <w:sz w:val="20"/>
                <w:szCs w:val="20"/>
              </w:rPr>
            </w:pPr>
            <w:r>
              <w:rPr>
                <w:rFonts w:ascii="宋体" w:hAnsi="宋体" w:cs="宋体" w:eastAsia="宋体" w:hint="default"/>
                <w:sz w:val="20"/>
                <w:szCs w:val="20"/>
              </w:rPr>
              <w:t>所持对</w:t>
            </w:r>
            <w:r>
              <w:rPr>
                <w:rFonts w:ascii="宋体" w:hAnsi="宋体" w:cs="宋体" w:eastAsia="宋体" w:hint="default"/>
                <w:w w:val="100"/>
                <w:sz w:val="20"/>
                <w:szCs w:val="20"/>
              </w:rPr>
              <w:t> </w:t>
            </w:r>
            <w:r>
              <w:rPr>
                <w:rFonts w:ascii="宋体" w:hAnsi="宋体" w:cs="宋体" w:eastAsia="宋体" w:hint="default"/>
                <w:sz w:val="20"/>
                <w:szCs w:val="20"/>
              </w:rPr>
              <w:t>象名称</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1" w:firstLine="49"/>
              <w:jc w:val="left"/>
              <w:rPr>
                <w:rFonts w:ascii="宋体" w:hAnsi="宋体" w:cs="宋体" w:eastAsia="宋体" w:hint="default"/>
                <w:sz w:val="20"/>
                <w:szCs w:val="20"/>
              </w:rPr>
            </w:pPr>
            <w:r>
              <w:rPr>
                <w:rFonts w:ascii="宋体" w:hAnsi="宋体" w:cs="宋体" w:eastAsia="宋体" w:hint="default"/>
                <w:sz w:val="20"/>
                <w:szCs w:val="20"/>
              </w:rPr>
              <w:t>最初投资</w:t>
            </w:r>
            <w:r>
              <w:rPr>
                <w:rFonts w:ascii="宋体" w:hAnsi="宋体" w:cs="宋体" w:eastAsia="宋体" w:hint="default"/>
                <w:w w:val="100"/>
                <w:sz w:val="20"/>
                <w:szCs w:val="20"/>
              </w:rPr>
              <w:t> </w:t>
            </w:r>
            <w:r>
              <w:rPr>
                <w:rFonts w:ascii="宋体" w:hAnsi="宋体" w:cs="宋体" w:eastAsia="宋体" w:hint="default"/>
                <w:sz w:val="20"/>
                <w:szCs w:val="20"/>
              </w:rPr>
              <w:t>成本（元）</w:t>
            </w:r>
          </w:p>
        </w:tc>
        <w:tc>
          <w:tcPr>
            <w:tcW w:w="1118"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before="91"/>
              <w:ind w:left="151" w:right="0"/>
              <w:jc w:val="left"/>
              <w:rPr>
                <w:rFonts w:ascii="宋体" w:hAnsi="宋体" w:cs="宋体" w:eastAsia="宋体" w:hint="default"/>
                <w:sz w:val="20"/>
                <w:szCs w:val="20"/>
              </w:rPr>
            </w:pPr>
            <w:r>
              <w:rPr>
                <w:rFonts w:ascii="宋体" w:hAnsi="宋体" w:cs="宋体" w:eastAsia="宋体" w:hint="default"/>
                <w:sz w:val="20"/>
                <w:szCs w:val="20"/>
              </w:rPr>
              <w:t>持有数量</w:t>
            </w:r>
          </w:p>
          <w:p>
            <w:pPr>
              <w:pStyle w:val="TableParagraph"/>
              <w:spacing w:line="273" w:lineRule="exact"/>
              <w:ind w:left="249"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024"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 w:right="0"/>
              <w:jc w:val="center"/>
              <w:rPr>
                <w:rFonts w:ascii="宋体" w:hAnsi="宋体" w:cs="宋体" w:eastAsia="宋体" w:hint="default"/>
                <w:sz w:val="20"/>
                <w:szCs w:val="20"/>
              </w:rPr>
            </w:pPr>
            <w:r>
              <w:rPr>
                <w:rFonts w:ascii="宋体" w:hAnsi="宋体" w:cs="宋体" w:eastAsia="宋体" w:hint="default"/>
                <w:sz w:val="20"/>
                <w:szCs w:val="20"/>
              </w:rPr>
              <w:t>占该公司</w:t>
            </w:r>
          </w:p>
          <w:p>
            <w:pPr>
              <w:pStyle w:val="TableParagraph"/>
              <w:spacing w:line="260" w:lineRule="exact"/>
              <w:ind w:left="1" w:right="0"/>
              <w:jc w:val="center"/>
              <w:rPr>
                <w:rFonts w:ascii="宋体" w:hAnsi="宋体" w:cs="宋体" w:eastAsia="宋体" w:hint="default"/>
                <w:sz w:val="20"/>
                <w:szCs w:val="20"/>
              </w:rPr>
            </w:pPr>
            <w:r>
              <w:rPr>
                <w:rFonts w:ascii="宋体" w:hAnsi="宋体" w:cs="宋体" w:eastAsia="宋体" w:hint="default"/>
                <w:sz w:val="20"/>
                <w:szCs w:val="20"/>
              </w:rPr>
              <w:t>股权比例</w:t>
            </w:r>
          </w:p>
          <w:p>
            <w:pPr>
              <w:pStyle w:val="TableParagraph"/>
              <w:spacing w:line="276" w:lineRule="exact"/>
              <w:ind w:right="0"/>
              <w:jc w:val="center"/>
              <w:rPr>
                <w:rFonts w:ascii="宋体" w:hAnsi="宋体" w:cs="宋体" w:eastAsia="宋体" w:hint="default"/>
                <w:sz w:val="20"/>
                <w:szCs w:val="20"/>
              </w:rPr>
            </w:pPr>
            <w:r>
              <w:rPr>
                <w:rFonts w:ascii="宋体" w:hAnsi="宋体" w:cs="宋体" w:eastAsia="宋体" w:hint="default"/>
                <w:sz w:val="20"/>
                <w:szCs w:val="20"/>
              </w:rPr>
              <w:t>（</w:t>
            </w:r>
            <w:r>
              <w:rPr>
                <w:rFonts w:ascii="Times New Roman" w:hAnsi="Times New Roman" w:cs="Times New Roman" w:eastAsia="Times New Roman" w:hint="default"/>
                <w:sz w:val="20"/>
                <w:szCs w:val="20"/>
              </w:rPr>
              <w:t>%</w:t>
            </w:r>
            <w:r>
              <w:rPr>
                <w:rFonts w:ascii="宋体" w:hAnsi="宋体" w:cs="宋体" w:eastAsia="宋体" w:hint="default"/>
                <w:sz w:val="20"/>
                <w:szCs w:val="20"/>
              </w:rPr>
              <w:t>）</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1" w:firstLine="49"/>
              <w:jc w:val="left"/>
              <w:rPr>
                <w:rFonts w:ascii="宋体" w:hAnsi="宋体" w:cs="宋体" w:eastAsia="宋体" w:hint="default"/>
                <w:sz w:val="20"/>
                <w:szCs w:val="20"/>
              </w:rPr>
            </w:pPr>
            <w:r>
              <w:rPr>
                <w:rFonts w:ascii="宋体" w:hAnsi="宋体" w:cs="宋体" w:eastAsia="宋体" w:hint="default"/>
                <w:sz w:val="20"/>
                <w:szCs w:val="20"/>
              </w:rPr>
              <w:t>期末账面</w:t>
            </w:r>
            <w:r>
              <w:rPr>
                <w:rFonts w:ascii="宋体" w:hAnsi="宋体" w:cs="宋体" w:eastAsia="宋体" w:hint="default"/>
                <w:w w:val="100"/>
                <w:sz w:val="20"/>
                <w:szCs w:val="20"/>
              </w:rPr>
              <w:t> </w:t>
            </w:r>
            <w:r>
              <w:rPr>
                <w:rFonts w:ascii="宋体" w:hAnsi="宋体" w:cs="宋体" w:eastAsia="宋体" w:hint="default"/>
                <w:sz w:val="20"/>
                <w:szCs w:val="20"/>
              </w:rPr>
              <w:t>价值（元）</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3" w:right="99" w:firstLine="1"/>
              <w:jc w:val="left"/>
              <w:rPr>
                <w:rFonts w:ascii="宋体" w:hAnsi="宋体" w:cs="宋体" w:eastAsia="宋体" w:hint="default"/>
                <w:sz w:val="20"/>
                <w:szCs w:val="20"/>
              </w:rPr>
            </w:pPr>
            <w:r>
              <w:rPr>
                <w:rFonts w:ascii="宋体" w:hAnsi="宋体" w:cs="宋体" w:eastAsia="宋体" w:hint="default"/>
                <w:sz w:val="20"/>
                <w:szCs w:val="20"/>
              </w:rPr>
              <w:t>报告期损</w:t>
            </w:r>
            <w:r>
              <w:rPr>
                <w:rFonts w:ascii="宋体" w:hAnsi="宋体" w:cs="宋体" w:eastAsia="宋体" w:hint="default"/>
                <w:w w:val="100"/>
                <w:sz w:val="20"/>
                <w:szCs w:val="20"/>
              </w:rPr>
              <w:t> </w:t>
            </w:r>
            <w:r>
              <w:rPr>
                <w:rFonts w:ascii="宋体" w:hAnsi="宋体" w:cs="宋体" w:eastAsia="宋体" w:hint="default"/>
                <w:sz w:val="20"/>
                <w:szCs w:val="20"/>
              </w:rPr>
              <w:t>益（元）</w:t>
            </w:r>
          </w:p>
        </w:tc>
        <w:tc>
          <w:tcPr>
            <w:tcW w:w="1024"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4" w:right="0"/>
              <w:jc w:val="left"/>
              <w:rPr>
                <w:rFonts w:ascii="宋体" w:hAnsi="宋体" w:cs="宋体" w:eastAsia="宋体" w:hint="default"/>
                <w:sz w:val="20"/>
                <w:szCs w:val="20"/>
              </w:rPr>
            </w:pPr>
            <w:r>
              <w:rPr>
                <w:rFonts w:ascii="宋体" w:hAnsi="宋体" w:cs="宋体" w:eastAsia="宋体" w:hint="default"/>
                <w:sz w:val="20"/>
                <w:szCs w:val="20"/>
              </w:rPr>
              <w:t>报告期所</w:t>
            </w:r>
          </w:p>
          <w:p>
            <w:pPr>
              <w:pStyle w:val="TableParagraph"/>
              <w:spacing w:line="260" w:lineRule="exact" w:before="25"/>
              <w:ind w:left="100" w:right="1" w:firstLine="3"/>
              <w:jc w:val="left"/>
              <w:rPr>
                <w:rFonts w:ascii="宋体" w:hAnsi="宋体" w:cs="宋体" w:eastAsia="宋体" w:hint="default"/>
                <w:sz w:val="20"/>
                <w:szCs w:val="20"/>
              </w:rPr>
            </w:pPr>
            <w:r>
              <w:rPr>
                <w:rFonts w:ascii="宋体" w:hAnsi="宋体" w:cs="宋体" w:eastAsia="宋体" w:hint="default"/>
                <w:sz w:val="20"/>
                <w:szCs w:val="20"/>
              </w:rPr>
              <w:t>有者权益</w:t>
            </w:r>
            <w:r>
              <w:rPr>
                <w:rFonts w:ascii="宋体" w:hAnsi="宋体" w:cs="宋体" w:eastAsia="宋体" w:hint="default"/>
                <w:w w:val="100"/>
                <w:sz w:val="20"/>
                <w:szCs w:val="20"/>
              </w:rPr>
              <w:t> </w:t>
            </w:r>
            <w:r>
              <w:rPr>
                <w:rFonts w:ascii="宋体" w:hAnsi="宋体" w:cs="宋体" w:eastAsia="宋体" w:hint="default"/>
                <w:spacing w:val="-20"/>
                <w:w w:val="100"/>
                <w:sz w:val="20"/>
                <w:szCs w:val="20"/>
              </w:rPr>
              <w:t>变动（元）</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303" w:right="99" w:hanging="200"/>
              <w:jc w:val="left"/>
              <w:rPr>
                <w:rFonts w:ascii="宋体" w:hAnsi="宋体" w:cs="宋体" w:eastAsia="宋体" w:hint="default"/>
                <w:sz w:val="20"/>
                <w:szCs w:val="20"/>
              </w:rPr>
            </w:pPr>
            <w:r>
              <w:rPr>
                <w:rFonts w:ascii="宋体" w:hAnsi="宋体" w:cs="宋体" w:eastAsia="宋体" w:hint="default"/>
                <w:sz w:val="20"/>
                <w:szCs w:val="20"/>
              </w:rPr>
              <w:t>会计核算</w:t>
            </w:r>
            <w:r>
              <w:rPr>
                <w:rFonts w:ascii="宋体" w:hAnsi="宋体" w:cs="宋体" w:eastAsia="宋体" w:hint="default"/>
                <w:w w:val="100"/>
                <w:sz w:val="20"/>
                <w:szCs w:val="20"/>
              </w:rPr>
              <w:t> </w:t>
            </w:r>
            <w:r>
              <w:rPr>
                <w:rFonts w:ascii="宋体" w:hAnsi="宋体" w:cs="宋体" w:eastAsia="宋体" w:hint="default"/>
                <w:sz w:val="20"/>
                <w:szCs w:val="20"/>
              </w:rPr>
              <w:t>科目</w:t>
            </w:r>
          </w:p>
        </w:tc>
        <w:tc>
          <w:tcPr>
            <w:tcW w:w="10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0"/>
                <w:szCs w:val="20"/>
              </w:rPr>
            </w:pPr>
            <w:r>
              <w:rPr>
                <w:rFonts w:ascii="宋体" w:hAnsi="宋体" w:cs="宋体" w:eastAsia="宋体" w:hint="default"/>
                <w:sz w:val="20"/>
                <w:szCs w:val="20"/>
              </w:rPr>
              <w:t>股份来源</w:t>
            </w:r>
          </w:p>
        </w:tc>
      </w:tr>
      <w:tr>
        <w:trPr>
          <w:trHeight w:val="535" w:hRule="exact"/>
        </w:trPr>
        <w:tc>
          <w:tcPr>
            <w:tcW w:w="834"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广东发</w:t>
            </w:r>
          </w:p>
          <w:p>
            <w:pPr>
              <w:pStyle w:val="TableParagraph"/>
              <w:spacing w:line="261" w:lineRule="exact"/>
              <w:ind w:left="100" w:right="0"/>
              <w:jc w:val="left"/>
              <w:rPr>
                <w:rFonts w:ascii="宋体" w:hAnsi="宋体" w:cs="宋体" w:eastAsia="宋体" w:hint="default"/>
                <w:sz w:val="20"/>
                <w:szCs w:val="20"/>
              </w:rPr>
            </w:pPr>
            <w:r>
              <w:rPr>
                <w:rFonts w:ascii="宋体" w:hAnsi="宋体" w:cs="宋体" w:eastAsia="宋体" w:hint="default"/>
                <w:sz w:val="20"/>
                <w:szCs w:val="20"/>
              </w:rPr>
              <w:t>展银行</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Times New Roman" w:hAnsi="Times New Roman" w:cs="Times New Roman" w:eastAsia="Times New Roman" w:hint="default"/>
                <w:sz w:val="20"/>
                <w:szCs w:val="20"/>
              </w:rPr>
            </w:pPr>
            <w:r>
              <w:rPr>
                <w:rFonts w:ascii="Times New Roman"/>
                <w:sz w:val="20"/>
              </w:rPr>
              <w:t>12,000,000</w:t>
            </w:r>
          </w:p>
        </w:tc>
        <w:tc>
          <w:tcPr>
            <w:tcW w:w="11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1" w:right="0"/>
              <w:jc w:val="left"/>
              <w:rPr>
                <w:rFonts w:ascii="Times New Roman" w:hAnsi="Times New Roman" w:cs="Times New Roman" w:eastAsia="Times New Roman" w:hint="default"/>
                <w:sz w:val="20"/>
                <w:szCs w:val="20"/>
              </w:rPr>
            </w:pPr>
            <w:r>
              <w:rPr>
                <w:rFonts w:ascii="Times New Roman"/>
                <w:sz w:val="20"/>
              </w:rPr>
              <w:t>12,000,000</w:t>
            </w:r>
          </w:p>
        </w:tc>
        <w:tc>
          <w:tcPr>
            <w:tcW w:w="10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555" w:right="0"/>
              <w:jc w:val="left"/>
              <w:rPr>
                <w:rFonts w:ascii="Times New Roman" w:hAnsi="Times New Roman" w:cs="Times New Roman" w:eastAsia="Times New Roman" w:hint="default"/>
                <w:sz w:val="20"/>
                <w:szCs w:val="20"/>
              </w:rPr>
            </w:pPr>
            <w:r>
              <w:rPr>
                <w:rFonts w:ascii="Times New Roman"/>
                <w:sz w:val="20"/>
              </w:rPr>
              <w:t>0.01</w:t>
            </w:r>
          </w:p>
        </w:tc>
        <w:tc>
          <w:tcPr>
            <w:tcW w:w="11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99" w:right="0"/>
              <w:jc w:val="left"/>
              <w:rPr>
                <w:rFonts w:ascii="Times New Roman" w:hAnsi="Times New Roman" w:cs="Times New Roman" w:eastAsia="Times New Roman" w:hint="default"/>
                <w:sz w:val="20"/>
                <w:szCs w:val="20"/>
              </w:rPr>
            </w:pPr>
            <w:r>
              <w:rPr>
                <w:rFonts w:ascii="Times New Roman"/>
                <w:sz w:val="20"/>
              </w:rPr>
              <w:t>12,000,000</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255" w:right="0"/>
              <w:jc w:val="left"/>
              <w:rPr>
                <w:rFonts w:ascii="Times New Roman" w:hAnsi="Times New Roman" w:cs="Times New Roman" w:eastAsia="Times New Roman" w:hint="default"/>
                <w:sz w:val="20"/>
                <w:szCs w:val="20"/>
              </w:rPr>
            </w:pPr>
            <w:r>
              <w:rPr>
                <w:rFonts w:ascii="Times New Roman"/>
                <w:sz w:val="20"/>
              </w:rPr>
              <w:t>129,949</w:t>
            </w:r>
          </w:p>
        </w:tc>
        <w:tc>
          <w:tcPr>
            <w:tcW w:w="10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255" w:right="0"/>
              <w:jc w:val="left"/>
              <w:rPr>
                <w:rFonts w:ascii="Times New Roman" w:hAnsi="Times New Roman" w:cs="Times New Roman" w:eastAsia="Times New Roman" w:hint="default"/>
                <w:sz w:val="20"/>
                <w:szCs w:val="20"/>
              </w:rPr>
            </w:pPr>
            <w:r>
              <w:rPr>
                <w:rFonts w:ascii="Times New Roman"/>
                <w:sz w:val="20"/>
              </w:rPr>
              <w:t>129,949</w:t>
            </w:r>
          </w:p>
        </w:tc>
        <w:tc>
          <w:tcPr>
            <w:tcW w:w="102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长期股权</w:t>
            </w:r>
          </w:p>
          <w:p>
            <w:pPr>
              <w:pStyle w:val="TableParagraph"/>
              <w:spacing w:line="261" w:lineRule="exact"/>
              <w:ind w:left="100" w:right="0"/>
              <w:jc w:val="left"/>
              <w:rPr>
                <w:rFonts w:ascii="宋体" w:hAnsi="宋体" w:cs="宋体" w:eastAsia="宋体" w:hint="default"/>
                <w:sz w:val="20"/>
                <w:szCs w:val="20"/>
              </w:rPr>
            </w:pPr>
            <w:r>
              <w:rPr>
                <w:rFonts w:ascii="宋体" w:hAnsi="宋体" w:cs="宋体" w:eastAsia="宋体" w:hint="default"/>
                <w:sz w:val="20"/>
                <w:szCs w:val="20"/>
              </w:rPr>
              <w:t>投资</w:t>
            </w:r>
          </w:p>
        </w:tc>
        <w:tc>
          <w:tcPr>
            <w:tcW w:w="10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宋体" w:hAnsi="宋体" w:cs="宋体" w:eastAsia="宋体" w:hint="default"/>
                <w:sz w:val="20"/>
                <w:szCs w:val="20"/>
              </w:rPr>
              <w:t>购买</w:t>
            </w:r>
          </w:p>
        </w:tc>
      </w:tr>
    </w:tbl>
    <w:p>
      <w:pPr>
        <w:spacing w:line="240" w:lineRule="auto" w:before="9"/>
        <w:rPr>
          <w:rFonts w:ascii="宋体" w:hAnsi="宋体" w:cs="宋体" w:eastAsia="宋体" w:hint="default"/>
          <w:sz w:val="24"/>
          <w:szCs w:val="24"/>
        </w:rPr>
      </w:pPr>
    </w:p>
    <w:p>
      <w:pPr>
        <w:pStyle w:val="BodyText"/>
        <w:spacing w:line="240" w:lineRule="auto" w:before="31"/>
        <w:ind w:left="103" w:right="306"/>
        <w:jc w:val="left"/>
      </w:pPr>
      <w:r>
        <w:rPr/>
        <w:t>（四）报告期内公司收购及出售资产、吸收合并事项</w:t>
      </w:r>
    </w:p>
    <w:p>
      <w:pPr>
        <w:pStyle w:val="BodyText"/>
        <w:spacing w:line="240" w:lineRule="auto" w:before="92"/>
        <w:ind w:left="369" w:right="306"/>
        <w:jc w:val="left"/>
      </w:pPr>
      <w:r>
        <w:rPr>
          <w:rFonts w:ascii="Arial" w:hAnsi="Arial" w:cs="Arial" w:eastAsia="Arial" w:hint="default"/>
        </w:rPr>
        <w:t>1</w:t>
      </w:r>
      <w:r>
        <w:rPr/>
        <w:t>、收购资产以及吸收合并情况</w:t>
      </w:r>
    </w:p>
    <w:p>
      <w:pPr>
        <w:pStyle w:val="BodyText"/>
        <w:spacing w:line="280" w:lineRule="exact" w:before="110"/>
        <w:ind w:left="720" w:right="238"/>
        <w:jc w:val="both"/>
      </w:pPr>
      <w:r>
        <w:rPr/>
        <w:t>详见十、重要事项 — （五）报告期内公司重大关联交易事项 —</w:t>
      </w:r>
      <w:r>
        <w:rPr>
          <w:spacing w:val="-2"/>
        </w:rPr>
        <w:t> </w:t>
      </w:r>
      <w:r>
        <w:rPr>
          <w:rFonts w:ascii="Arial" w:hAnsi="Arial" w:cs="Arial" w:eastAsia="Arial" w:hint="default"/>
        </w:rPr>
        <w:t>2</w:t>
      </w:r>
      <w:r>
        <w:rPr/>
        <w:t>、资产收购、出售发生的</w:t>
      </w:r>
      <w:r>
        <w:rPr>
          <w:w w:val="99"/>
        </w:rPr>
        <w:t> </w:t>
      </w:r>
      <w:r>
        <w:rPr/>
        <w:t>关联交易。</w:t>
      </w:r>
    </w:p>
    <w:p>
      <w:pPr>
        <w:pStyle w:val="BodyText"/>
        <w:spacing w:line="300" w:lineRule="auto" w:before="67"/>
        <w:ind w:left="747" w:right="6257" w:hanging="378"/>
        <w:jc w:val="left"/>
      </w:pPr>
      <w:r>
        <w:rPr>
          <w:rFonts w:ascii="Arial" w:hAnsi="Arial" w:cs="Arial" w:eastAsia="Arial" w:hint="default"/>
        </w:rPr>
        <w:t>2</w:t>
      </w:r>
      <w:r>
        <w:rPr/>
        <w:t>、</w:t>
      </w:r>
      <w:r>
        <w:rPr>
          <w:spacing w:val="-34"/>
        </w:rPr>
        <w:t> </w:t>
      </w:r>
      <w:r>
        <w:rPr/>
        <w:t>资产置换情况</w:t>
      </w:r>
      <w:r>
        <w:rPr>
          <w:w w:val="99"/>
        </w:rPr>
        <w:t> </w:t>
      </w:r>
      <w:r>
        <w:rPr/>
        <w:t>本年度无重大资产置换交易。</w:t>
      </w:r>
    </w:p>
    <w:p>
      <w:pPr>
        <w:pStyle w:val="BodyText"/>
        <w:spacing w:line="240" w:lineRule="auto" w:before="37"/>
        <w:ind w:left="369" w:right="306"/>
        <w:jc w:val="left"/>
      </w:pPr>
      <w:r>
        <w:rPr>
          <w:rFonts w:ascii="Arial" w:hAnsi="Arial" w:cs="Arial" w:eastAsia="Arial" w:hint="default"/>
        </w:rPr>
        <w:t>3</w:t>
      </w:r>
      <w:r>
        <w:rPr/>
        <w:t>、其他事项</w:t>
      </w:r>
    </w:p>
    <w:p>
      <w:pPr>
        <w:pStyle w:val="BodyText"/>
        <w:spacing w:line="220" w:lineRule="auto" w:before="97"/>
        <w:ind w:left="747" w:right="219"/>
        <w:jc w:val="both"/>
        <w:rPr>
          <w:rFonts w:ascii="Arial" w:hAnsi="Arial" w:cs="Arial" w:eastAsia="Arial" w:hint="default"/>
        </w:rPr>
      </w:pPr>
      <w:r>
        <w:rPr/>
        <w:t>联通红筹公司于</w:t>
      </w:r>
      <w:r>
        <w:rPr>
          <w:spacing w:val="-57"/>
        </w:rPr>
        <w:t> </w:t>
      </w:r>
      <w:r>
        <w:rPr>
          <w:rFonts w:ascii="Arial" w:hAnsi="Arial" w:cs="Arial" w:eastAsia="Arial" w:hint="default"/>
        </w:rPr>
        <w:t>2009</w:t>
      </w:r>
      <w:r>
        <w:rPr>
          <w:rFonts w:ascii="Arial" w:hAnsi="Arial" w:cs="Arial" w:eastAsia="Arial" w:hint="default"/>
          <w:spacing w:val="-8"/>
        </w:rPr>
        <w:t> </w:t>
      </w:r>
      <w:r>
        <w:rPr/>
        <w:t>年</w:t>
      </w:r>
      <w:r>
        <w:rPr>
          <w:spacing w:val="-57"/>
        </w:rPr>
        <w:t> </w:t>
      </w:r>
      <w:r>
        <w:rPr>
          <w:rFonts w:ascii="Arial" w:hAnsi="Arial" w:cs="Arial" w:eastAsia="Arial" w:hint="default"/>
        </w:rPr>
        <w:t>9</w:t>
      </w:r>
      <w:r>
        <w:rPr>
          <w:rFonts w:ascii="Arial" w:hAnsi="Arial" w:cs="Arial" w:eastAsia="Arial" w:hint="default"/>
          <w:spacing w:val="-8"/>
        </w:rPr>
        <w:t> </w:t>
      </w:r>
      <w:r>
        <w:rPr/>
        <w:t>月</w:t>
      </w:r>
      <w:r>
        <w:rPr>
          <w:spacing w:val="-57"/>
        </w:rPr>
        <w:t> </w:t>
      </w:r>
      <w:r>
        <w:rPr>
          <w:rFonts w:ascii="Arial" w:hAnsi="Arial" w:cs="Arial" w:eastAsia="Arial" w:hint="default"/>
        </w:rPr>
        <w:t>25</w:t>
      </w:r>
      <w:r>
        <w:rPr>
          <w:rFonts w:ascii="Arial" w:hAnsi="Arial" w:cs="Arial" w:eastAsia="Arial" w:hint="default"/>
          <w:spacing w:val="-8"/>
        </w:rPr>
        <w:t> </w:t>
      </w:r>
      <w:r>
        <w:rPr/>
        <w:t>日收到韩国</w:t>
      </w:r>
      <w:r>
        <w:rPr>
          <w:spacing w:val="-56"/>
        </w:rPr>
        <w:t> </w:t>
      </w:r>
      <w:r>
        <w:rPr>
          <w:rFonts w:ascii="Arial" w:hAnsi="Arial" w:cs="Arial" w:eastAsia="Arial" w:hint="default"/>
        </w:rPr>
        <w:t>SK</w:t>
      </w:r>
      <w:r>
        <w:rPr>
          <w:rFonts w:ascii="Arial" w:hAnsi="Arial" w:cs="Arial" w:eastAsia="Arial" w:hint="default"/>
          <w:spacing w:val="-8"/>
        </w:rPr>
        <w:t> </w:t>
      </w:r>
      <w:r>
        <w:rPr>
          <w:spacing w:val="-3"/>
        </w:rPr>
        <w:t>电讯株式会社（</w:t>
      </w:r>
      <w:r>
        <w:rPr>
          <w:rFonts w:ascii="Arial" w:hAnsi="Arial" w:cs="Arial" w:eastAsia="Arial" w:hint="default"/>
          <w:spacing w:val="-3"/>
        </w:rPr>
        <w:t>“SKT”</w:t>
      </w:r>
      <w:r>
        <w:rPr>
          <w:spacing w:val="-3"/>
        </w:rPr>
        <w:t>）作出的有条件不可撤</w:t>
      </w:r>
      <w:r>
        <w:rPr>
          <w:w w:val="99"/>
        </w:rPr>
        <w:t> </w:t>
      </w:r>
      <w:r>
        <w:rPr/>
        <w:t>回要约，</w:t>
      </w:r>
      <w:r>
        <w:rPr>
          <w:rFonts w:ascii="Arial" w:hAnsi="Arial" w:cs="Arial" w:eastAsia="Arial" w:hint="default"/>
        </w:rPr>
        <w:t>SKT</w:t>
      </w:r>
      <w:r>
        <w:rPr>
          <w:rFonts w:ascii="Arial" w:hAnsi="Arial" w:cs="Arial" w:eastAsia="Arial" w:hint="default"/>
          <w:spacing w:val="-8"/>
        </w:rPr>
        <w:t> </w:t>
      </w:r>
      <w:r>
        <w:rPr/>
        <w:t>拟将其持有的联通红筹公司的所有股份</w:t>
      </w:r>
      <w:r>
        <w:rPr>
          <w:spacing w:val="-57"/>
        </w:rPr>
        <w:t> </w:t>
      </w:r>
      <w:r>
        <w:rPr>
          <w:rFonts w:ascii="Arial" w:hAnsi="Arial" w:cs="Arial" w:eastAsia="Arial" w:hint="default"/>
        </w:rPr>
        <w:t>899,745,075</w:t>
      </w:r>
      <w:r>
        <w:rPr>
          <w:rFonts w:ascii="Arial" w:hAnsi="Arial" w:cs="Arial" w:eastAsia="Arial" w:hint="default"/>
          <w:spacing w:val="-8"/>
        </w:rPr>
        <w:t> </w:t>
      </w:r>
      <w:r>
        <w:rPr/>
        <w:t>股出售给联通红筹公司，</w:t>
      </w:r>
      <w:r>
        <w:rPr>
          <w:w w:val="99"/>
        </w:rPr>
        <w:t> </w:t>
      </w:r>
      <w:r>
        <w:rPr>
          <w:spacing w:val="-1"/>
        </w:rPr>
        <w:t>而联通红筹公司将通过场外股份回购（</w:t>
      </w:r>
      <w:r>
        <w:rPr>
          <w:rFonts w:ascii="Arial" w:hAnsi="Arial" w:cs="Arial" w:eastAsia="Arial" w:hint="default"/>
          <w:spacing w:val="-1"/>
        </w:rPr>
        <w:t>“</w:t>
      </w:r>
      <w:r>
        <w:rPr>
          <w:spacing w:val="-1"/>
        </w:rPr>
        <w:t>股份回购</w:t>
      </w:r>
      <w:r>
        <w:rPr>
          <w:rFonts w:ascii="Arial" w:hAnsi="Arial" w:cs="Arial" w:eastAsia="Arial" w:hint="default"/>
          <w:spacing w:val="-1"/>
        </w:rPr>
        <w:t>”</w:t>
      </w:r>
      <w:r>
        <w:rPr>
          <w:spacing w:val="-1"/>
        </w:rPr>
        <w:t>）的方式回购这些股份。股份回购的对价约</w:t>
      </w:r>
      <w:r>
        <w:rPr>
          <w:spacing w:val="-103"/>
        </w:rPr>
        <w:t> </w:t>
      </w:r>
      <w:r>
        <w:rPr>
          <w:spacing w:val="-103"/>
        </w:rPr>
      </w:r>
      <w:r>
        <w:rPr/>
        <w:t>为</w:t>
      </w:r>
      <w:r>
        <w:rPr>
          <w:spacing w:val="-56"/>
        </w:rPr>
        <w:t> </w:t>
      </w:r>
      <w:r>
        <w:rPr>
          <w:rFonts w:ascii="Arial" w:hAnsi="Arial" w:cs="Arial" w:eastAsia="Arial" w:hint="default"/>
        </w:rPr>
        <w:t>100</w:t>
      </w:r>
      <w:r>
        <w:rPr>
          <w:rFonts w:ascii="Arial" w:hAnsi="Arial" w:cs="Arial" w:eastAsia="Arial" w:hint="default"/>
          <w:spacing w:val="-7"/>
        </w:rPr>
        <w:t> </w:t>
      </w:r>
      <w:r>
        <w:rPr/>
        <w:t>亿港元，即每股回购股份</w:t>
      </w:r>
      <w:r>
        <w:rPr>
          <w:spacing w:val="-56"/>
        </w:rPr>
        <w:t> </w:t>
      </w:r>
      <w:r>
        <w:rPr>
          <w:rFonts w:ascii="Arial" w:hAnsi="Arial" w:cs="Arial" w:eastAsia="Arial" w:hint="default"/>
        </w:rPr>
        <w:t>11.105</w:t>
      </w:r>
      <w:r>
        <w:rPr>
          <w:rFonts w:ascii="Arial" w:hAnsi="Arial" w:cs="Arial" w:eastAsia="Arial" w:hint="default"/>
          <w:spacing w:val="-7"/>
        </w:rPr>
        <w:t> </w:t>
      </w:r>
      <w:r>
        <w:rPr/>
        <w:t>港元，并以现金支付。联通红筹公司于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11</w:t>
      </w:r>
    </w:p>
    <w:p>
      <w:pPr>
        <w:pStyle w:val="BodyText"/>
        <w:spacing w:line="280" w:lineRule="exact" w:before="12"/>
        <w:ind w:left="747" w:right="306"/>
        <w:jc w:val="left"/>
      </w:pPr>
      <w:r>
        <w:rPr/>
        <w:t>月</w:t>
      </w:r>
      <w:r>
        <w:rPr>
          <w:spacing w:val="-56"/>
        </w:rPr>
        <w:t> </w:t>
      </w:r>
      <w:r>
        <w:rPr>
          <w:rFonts w:ascii="Arial" w:hAnsi="Arial" w:cs="Arial" w:eastAsia="Arial" w:hint="default"/>
        </w:rPr>
        <w:t>3</w:t>
      </w:r>
      <w:r>
        <w:rPr>
          <w:rFonts w:ascii="Arial" w:hAnsi="Arial" w:cs="Arial" w:eastAsia="Arial" w:hint="default"/>
          <w:spacing w:val="-7"/>
        </w:rPr>
        <w:t> </w:t>
      </w:r>
      <w:r>
        <w:rPr/>
        <w:t>日召开的特别股东大会及本公司于同日召开的临时股东大会均审议并通过了上述股份回</w:t>
      </w:r>
      <w:r>
        <w:rPr>
          <w:w w:val="99"/>
        </w:rPr>
        <w:t> </w:t>
      </w:r>
      <w:r>
        <w:rPr/>
        <w:t>购交易。该交易亦于当月完成。</w:t>
      </w:r>
    </w:p>
    <w:p>
      <w:pPr>
        <w:pStyle w:val="BodyText"/>
        <w:spacing w:line="240" w:lineRule="auto" w:before="67"/>
        <w:ind w:left="102" w:right="306"/>
        <w:jc w:val="left"/>
      </w:pPr>
      <w:r>
        <w:rPr/>
        <w:t>（五）报告期内公司重大关联交易事项</w:t>
      </w:r>
    </w:p>
    <w:p>
      <w:pPr>
        <w:pStyle w:val="BodyText"/>
        <w:spacing w:line="240" w:lineRule="auto" w:before="92"/>
        <w:ind w:left="369" w:right="306"/>
        <w:jc w:val="left"/>
      </w:pPr>
      <w:r>
        <w:rPr>
          <w:rFonts w:ascii="Arial" w:hAnsi="Arial" w:cs="Arial" w:eastAsia="Arial" w:hint="default"/>
        </w:rPr>
        <w:t>1</w:t>
      </w:r>
      <w:r>
        <w:rPr/>
        <w:t>、与日常经营相关的关联交易</w:t>
      </w:r>
    </w:p>
    <w:p>
      <w:pPr>
        <w:pStyle w:val="BodyText"/>
        <w:spacing w:line="280" w:lineRule="exact"/>
        <w:ind w:left="0" w:right="320"/>
        <w:jc w:val="right"/>
      </w:pPr>
      <w:r>
        <w:rPr/>
        <w:t>单位</w:t>
      </w:r>
      <w:r>
        <w:rPr>
          <w:rFonts w:ascii="Arial" w:hAnsi="Arial" w:cs="Arial" w:eastAsia="Arial" w:hint="default"/>
        </w:rPr>
        <w:t>:</w:t>
      </w:r>
      <w:r>
        <w:rPr/>
        <w:t>亿元</w:t>
      </w:r>
      <w:r>
        <w:rPr>
          <w:spacing w:val="-2"/>
        </w:rPr>
        <w:t> </w:t>
      </w:r>
      <w:r>
        <w:rPr/>
        <w:t>币种</w:t>
      </w:r>
      <w:r>
        <w:rPr>
          <w:rFonts w:ascii="Arial" w:hAnsi="Arial" w:cs="Arial" w:eastAsia="Arial" w:hint="default"/>
        </w:rPr>
        <w:t>:</w:t>
      </w:r>
      <w:r>
        <w:rPr/>
        <w:t>人民币</w:t>
      </w:r>
    </w:p>
    <w:tbl>
      <w:tblPr>
        <w:tblW w:w="0" w:type="auto"/>
        <w:jc w:val="left"/>
        <w:tblInd w:w="712" w:type="dxa"/>
        <w:tblLayout w:type="fixed"/>
        <w:tblCellMar>
          <w:top w:w="0" w:type="dxa"/>
          <w:left w:w="0" w:type="dxa"/>
          <w:bottom w:w="0" w:type="dxa"/>
          <w:right w:w="0" w:type="dxa"/>
        </w:tblCellMar>
        <w:tblLook w:val="01E0"/>
      </w:tblPr>
      <w:tblGrid>
        <w:gridCol w:w="1424"/>
        <w:gridCol w:w="1319"/>
        <w:gridCol w:w="1752"/>
        <w:gridCol w:w="1061"/>
        <w:gridCol w:w="1541"/>
        <w:gridCol w:w="1616"/>
      </w:tblGrid>
      <w:tr>
        <w:trPr>
          <w:trHeight w:val="576" w:hRule="exact"/>
        </w:trPr>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154"/>
              <w:jc w:val="right"/>
              <w:rPr>
                <w:rFonts w:ascii="宋体" w:hAnsi="宋体" w:cs="宋体" w:eastAsia="宋体" w:hint="default"/>
                <w:sz w:val="22"/>
                <w:szCs w:val="22"/>
              </w:rPr>
            </w:pPr>
            <w:r>
              <w:rPr>
                <w:rFonts w:ascii="宋体" w:hAnsi="宋体" w:cs="宋体" w:eastAsia="宋体" w:hint="default"/>
                <w:w w:val="95"/>
                <w:sz w:val="22"/>
                <w:szCs w:val="22"/>
              </w:rPr>
              <w:t>关联交易方</w:t>
            </w:r>
            <w:r>
              <w:rPr>
                <w:rFonts w:ascii="宋体" w:hAnsi="宋体" w:cs="宋体" w:eastAsia="宋体" w:hint="default"/>
                <w:sz w:val="22"/>
                <w:szCs w:val="22"/>
              </w:rPr>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211" w:right="0"/>
              <w:jc w:val="left"/>
              <w:rPr>
                <w:rFonts w:ascii="宋体" w:hAnsi="宋体" w:cs="宋体" w:eastAsia="宋体" w:hint="default"/>
                <w:sz w:val="22"/>
                <w:szCs w:val="22"/>
              </w:rPr>
            </w:pPr>
            <w:r>
              <w:rPr>
                <w:rFonts w:ascii="宋体" w:hAnsi="宋体" w:cs="宋体" w:eastAsia="宋体" w:hint="default"/>
                <w:sz w:val="22"/>
                <w:szCs w:val="22"/>
              </w:rPr>
              <w:t>关联关系</w:t>
            </w:r>
          </w:p>
        </w:tc>
        <w:tc>
          <w:tcPr>
            <w:tcW w:w="17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208" w:right="0"/>
              <w:jc w:val="left"/>
              <w:rPr>
                <w:rFonts w:ascii="宋体" w:hAnsi="宋体" w:cs="宋体" w:eastAsia="宋体" w:hint="default"/>
                <w:sz w:val="22"/>
                <w:szCs w:val="22"/>
              </w:rPr>
            </w:pPr>
            <w:r>
              <w:rPr>
                <w:rFonts w:ascii="宋体" w:hAnsi="宋体" w:cs="宋体" w:eastAsia="宋体" w:hint="default"/>
                <w:sz w:val="22"/>
                <w:szCs w:val="22"/>
              </w:rPr>
              <w:t>关联交易内容</w:t>
            </w:r>
          </w:p>
        </w:tc>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80" w:lineRule="exact" w:before="1"/>
              <w:ind w:left="192" w:right="192"/>
              <w:jc w:val="left"/>
              <w:rPr>
                <w:rFonts w:ascii="宋体" w:hAnsi="宋体" w:cs="宋体" w:eastAsia="宋体" w:hint="default"/>
                <w:sz w:val="22"/>
                <w:szCs w:val="22"/>
              </w:rPr>
            </w:pPr>
            <w:r>
              <w:rPr>
                <w:rFonts w:ascii="宋体" w:hAnsi="宋体" w:cs="宋体" w:eastAsia="宋体" w:hint="default"/>
                <w:sz w:val="22"/>
                <w:szCs w:val="22"/>
              </w:rPr>
              <w:t>关联交</w:t>
            </w:r>
            <w:r>
              <w:rPr>
                <w:rFonts w:ascii="宋体" w:hAnsi="宋体" w:cs="宋体" w:eastAsia="宋体" w:hint="default"/>
                <w:w w:val="99"/>
                <w:sz w:val="22"/>
                <w:szCs w:val="22"/>
              </w:rPr>
              <w:t> </w:t>
            </w:r>
            <w:r>
              <w:rPr>
                <w:rFonts w:ascii="宋体" w:hAnsi="宋体" w:cs="宋体" w:eastAsia="宋体" w:hint="default"/>
                <w:sz w:val="22"/>
                <w:szCs w:val="22"/>
              </w:rPr>
              <w:t>易金额</w:t>
            </w: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80" w:lineRule="exact" w:before="1"/>
              <w:ind w:left="151" w:right="101" w:hanging="50"/>
              <w:jc w:val="left"/>
              <w:rPr>
                <w:rFonts w:ascii="Arial" w:hAnsi="Arial" w:cs="Arial" w:eastAsia="Arial" w:hint="default"/>
                <w:sz w:val="22"/>
                <w:szCs w:val="22"/>
              </w:rPr>
            </w:pPr>
            <w:r>
              <w:rPr>
                <w:rFonts w:ascii="宋体" w:hAnsi="宋体" w:cs="宋体" w:eastAsia="宋体" w:hint="default"/>
                <w:sz w:val="22"/>
                <w:szCs w:val="22"/>
              </w:rPr>
              <w:t>占同类交易金</w:t>
            </w:r>
            <w:r>
              <w:rPr>
                <w:rFonts w:ascii="宋体" w:hAnsi="宋体" w:cs="宋体" w:eastAsia="宋体" w:hint="default"/>
                <w:w w:val="99"/>
                <w:sz w:val="22"/>
                <w:szCs w:val="22"/>
              </w:rPr>
              <w:t> </w:t>
            </w:r>
            <w:r>
              <w:rPr>
                <w:rFonts w:ascii="宋体" w:hAnsi="宋体" w:cs="宋体" w:eastAsia="宋体" w:hint="default"/>
                <w:sz w:val="22"/>
                <w:szCs w:val="22"/>
              </w:rPr>
              <w:t>额的比例</w:t>
            </w:r>
            <w:r>
              <w:rPr>
                <w:rFonts w:ascii="Arial" w:hAnsi="Arial" w:cs="Arial" w:eastAsia="Arial" w:hint="default"/>
                <w:sz w:val="22"/>
                <w:szCs w:val="22"/>
              </w:rPr>
              <w:t>(%)</w:t>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80" w:lineRule="exact" w:before="1"/>
              <w:ind w:left="581" w:right="139" w:hanging="441"/>
              <w:jc w:val="left"/>
              <w:rPr>
                <w:rFonts w:ascii="宋体" w:hAnsi="宋体" w:cs="宋体" w:eastAsia="宋体" w:hint="default"/>
                <w:sz w:val="22"/>
                <w:szCs w:val="22"/>
              </w:rPr>
            </w:pPr>
            <w:r>
              <w:rPr>
                <w:rFonts w:ascii="宋体" w:hAnsi="宋体" w:cs="宋体" w:eastAsia="宋体" w:hint="default"/>
                <w:sz w:val="22"/>
                <w:szCs w:val="22"/>
              </w:rPr>
              <w:t>关联交易结算</w:t>
            </w:r>
            <w:r>
              <w:rPr>
                <w:rFonts w:ascii="宋体" w:hAnsi="宋体" w:cs="宋体" w:eastAsia="宋体" w:hint="default"/>
                <w:w w:val="99"/>
                <w:sz w:val="22"/>
                <w:szCs w:val="22"/>
              </w:rPr>
              <w:t> </w:t>
            </w:r>
            <w:r>
              <w:rPr>
                <w:rFonts w:ascii="宋体" w:hAnsi="宋体" w:cs="宋体" w:eastAsia="宋体" w:hint="default"/>
                <w:sz w:val="22"/>
                <w:szCs w:val="22"/>
              </w:rPr>
              <w:t>方式</w:t>
            </w:r>
          </w:p>
        </w:tc>
      </w:tr>
      <w:tr>
        <w:trPr>
          <w:trHeight w:val="575" w:hRule="exact"/>
        </w:trPr>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8"/>
              <w:ind w:right="208"/>
              <w:jc w:val="right"/>
              <w:rPr>
                <w:rFonts w:ascii="宋体" w:hAnsi="宋体" w:cs="宋体" w:eastAsia="宋体" w:hint="default"/>
                <w:sz w:val="22"/>
                <w:szCs w:val="22"/>
              </w:rPr>
            </w:pPr>
            <w:r>
              <w:rPr>
                <w:rFonts w:ascii="宋体" w:hAnsi="宋体" w:cs="宋体" w:eastAsia="宋体" w:hint="default"/>
                <w:w w:val="95"/>
                <w:sz w:val="22"/>
                <w:szCs w:val="22"/>
              </w:rPr>
              <w:t>联通新时空</w:t>
            </w:r>
            <w:r>
              <w:rPr>
                <w:rFonts w:ascii="宋体" w:hAnsi="宋体" w:cs="宋体" w:eastAsia="宋体" w:hint="default"/>
                <w:sz w:val="22"/>
                <w:szCs w:val="22"/>
              </w:rPr>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80" w:lineRule="exact" w:before="1"/>
              <w:ind w:left="100" w:right="102"/>
              <w:jc w:val="left"/>
              <w:rPr>
                <w:rFonts w:ascii="宋体" w:hAnsi="宋体" w:cs="宋体" w:eastAsia="宋体" w:hint="default"/>
                <w:sz w:val="22"/>
                <w:szCs w:val="22"/>
              </w:rPr>
            </w:pPr>
            <w:r>
              <w:rPr>
                <w:rFonts w:ascii="宋体" w:hAnsi="宋体" w:cs="宋体" w:eastAsia="宋体" w:hint="default"/>
                <w:sz w:val="22"/>
                <w:szCs w:val="22"/>
              </w:rPr>
              <w:t>母公司的全</w:t>
            </w:r>
            <w:r>
              <w:rPr>
                <w:rFonts w:ascii="宋体" w:hAnsi="宋体" w:cs="宋体" w:eastAsia="宋体" w:hint="default"/>
                <w:w w:val="99"/>
                <w:sz w:val="22"/>
                <w:szCs w:val="22"/>
              </w:rPr>
              <w:t> </w:t>
            </w:r>
            <w:r>
              <w:rPr>
                <w:rFonts w:ascii="宋体" w:hAnsi="宋体" w:cs="宋体" w:eastAsia="宋体" w:hint="default"/>
                <w:sz w:val="22"/>
                <w:szCs w:val="22"/>
              </w:rPr>
              <w:t>资子公司</w:t>
            </w:r>
          </w:p>
        </w:tc>
        <w:tc>
          <w:tcPr>
            <w:tcW w:w="1752" w:type="dxa"/>
            <w:tcBorders>
              <w:top w:val="single" w:sz="6" w:space="0" w:color="000000"/>
              <w:left w:val="single" w:sz="6" w:space="0" w:color="000000"/>
              <w:bottom w:val="single" w:sz="6" w:space="0" w:color="000000"/>
              <w:right w:val="single" w:sz="6" w:space="0" w:color="000000"/>
            </w:tcBorders>
          </w:tcPr>
          <w:p>
            <w:pPr>
              <w:pStyle w:val="TableParagraph"/>
              <w:spacing w:line="280" w:lineRule="exact" w:before="1"/>
              <w:ind w:left="100" w:right="180"/>
              <w:jc w:val="left"/>
              <w:rPr>
                <w:rFonts w:ascii="宋体" w:hAnsi="宋体" w:cs="宋体" w:eastAsia="宋体" w:hint="default"/>
                <w:sz w:val="22"/>
                <w:szCs w:val="22"/>
              </w:rPr>
            </w:pPr>
            <w:r>
              <w:rPr>
                <w:rFonts w:ascii="宋体" w:hAnsi="宋体" w:cs="宋体" w:eastAsia="宋体" w:hint="default"/>
                <w:sz w:val="22"/>
                <w:szCs w:val="22"/>
              </w:rPr>
              <w:t>租赁南方</w:t>
            </w:r>
            <w:r>
              <w:rPr>
                <w:rFonts w:ascii="宋体" w:hAnsi="宋体" w:cs="宋体" w:eastAsia="宋体" w:hint="default"/>
                <w:spacing w:val="-56"/>
                <w:sz w:val="22"/>
                <w:szCs w:val="22"/>
              </w:rPr>
              <w:t> </w:t>
            </w:r>
            <w:r>
              <w:rPr>
                <w:rFonts w:ascii="Arial" w:hAnsi="Arial" w:cs="Arial" w:eastAsia="Arial" w:hint="default"/>
                <w:sz w:val="22"/>
                <w:szCs w:val="22"/>
              </w:rPr>
              <w:t>21</w:t>
            </w:r>
            <w:r>
              <w:rPr>
                <w:rFonts w:ascii="Arial" w:hAnsi="Arial" w:cs="Arial" w:eastAsia="Arial" w:hint="default"/>
                <w:spacing w:val="-7"/>
                <w:sz w:val="22"/>
                <w:szCs w:val="22"/>
              </w:rPr>
              <w:t> </w:t>
            </w:r>
            <w:r>
              <w:rPr>
                <w:rFonts w:ascii="宋体" w:hAnsi="宋体" w:cs="宋体" w:eastAsia="宋体" w:hint="default"/>
                <w:sz w:val="22"/>
                <w:szCs w:val="22"/>
              </w:rPr>
              <w:t>省</w:t>
            </w:r>
            <w:r>
              <w:rPr>
                <w:rFonts w:ascii="宋体" w:hAnsi="宋体" w:cs="宋体" w:eastAsia="宋体" w:hint="default"/>
                <w:w w:val="99"/>
                <w:sz w:val="22"/>
                <w:szCs w:val="22"/>
              </w:rPr>
              <w:t> </w:t>
            </w:r>
            <w:r>
              <w:rPr>
                <w:rFonts w:ascii="宋体" w:hAnsi="宋体" w:cs="宋体" w:eastAsia="宋体" w:hint="default"/>
                <w:sz w:val="22"/>
                <w:szCs w:val="22"/>
              </w:rPr>
              <w:t>固定电信网络</w:t>
            </w:r>
          </w:p>
        </w:tc>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8"/>
              <w:ind w:left="516" w:right="0"/>
              <w:jc w:val="left"/>
              <w:rPr>
                <w:rFonts w:ascii="Arial" w:hAnsi="Arial" w:cs="Arial" w:eastAsia="Arial" w:hint="default"/>
                <w:sz w:val="22"/>
                <w:szCs w:val="22"/>
              </w:rPr>
            </w:pPr>
            <w:r>
              <w:rPr>
                <w:rFonts w:ascii="Arial"/>
                <w:sz w:val="22"/>
              </w:rPr>
              <w:t>20.0</w:t>
            </w:r>
          </w:p>
        </w:tc>
        <w:tc>
          <w:tcPr>
            <w:tcW w:w="15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8"/>
              <w:ind w:right="99"/>
              <w:jc w:val="right"/>
              <w:rPr>
                <w:rFonts w:ascii="Arial" w:hAnsi="Arial" w:cs="Arial" w:eastAsia="Arial" w:hint="default"/>
                <w:sz w:val="22"/>
                <w:szCs w:val="22"/>
              </w:rPr>
            </w:pPr>
            <w:r>
              <w:rPr>
                <w:rFonts w:ascii="Arial"/>
                <w:w w:val="95"/>
                <w:sz w:val="22"/>
              </w:rPr>
              <w:t>100</w:t>
            </w:r>
            <w:r>
              <w:rPr>
                <w:rFonts w:ascii="Arial"/>
                <w:sz w:val="22"/>
              </w:rPr>
            </w:r>
          </w:p>
        </w:tc>
        <w:tc>
          <w:tcPr>
            <w:tcW w:w="1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8"/>
              <w:ind w:left="362" w:right="0"/>
              <w:jc w:val="left"/>
              <w:rPr>
                <w:rFonts w:ascii="宋体" w:hAnsi="宋体" w:cs="宋体" w:eastAsia="宋体" w:hint="default"/>
                <w:sz w:val="22"/>
                <w:szCs w:val="22"/>
              </w:rPr>
            </w:pPr>
            <w:r>
              <w:rPr>
                <w:rFonts w:ascii="宋体" w:hAnsi="宋体" w:cs="宋体" w:eastAsia="宋体" w:hint="default"/>
                <w:sz w:val="22"/>
                <w:szCs w:val="22"/>
              </w:rPr>
              <w:t>现金支付</w:t>
            </w:r>
          </w:p>
        </w:tc>
      </w:tr>
    </w:tbl>
    <w:p>
      <w:pPr>
        <w:pStyle w:val="BodyText"/>
        <w:spacing w:line="240" w:lineRule="auto" w:before="77"/>
        <w:ind w:left="369" w:right="306"/>
        <w:jc w:val="left"/>
      </w:pPr>
      <w:r>
        <w:rPr>
          <w:rFonts w:ascii="Arial" w:hAnsi="Arial" w:cs="Arial" w:eastAsia="Arial" w:hint="default"/>
        </w:rPr>
        <w:t>2</w:t>
      </w:r>
      <w:r>
        <w:rPr/>
        <w:t>、资产收购、出售发生的关联交易</w:t>
      </w:r>
    </w:p>
    <w:p>
      <w:pPr>
        <w:pStyle w:val="BodyText"/>
        <w:spacing w:line="292" w:lineRule="exact" w:before="75"/>
        <w:ind w:left="747" w:right="0"/>
        <w:jc w:val="left"/>
      </w:pP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w:t>
      </w:r>
      <w:r>
        <w:rPr>
          <w:rFonts w:ascii="Arial" w:hAnsi="Arial" w:cs="Arial" w:eastAsia="Arial" w:hint="default"/>
          <w:spacing w:val="-7"/>
        </w:rPr>
        <w:t> </w:t>
      </w:r>
      <w:r>
        <w:rPr/>
        <w:t>月</w:t>
      </w:r>
      <w:r>
        <w:rPr>
          <w:spacing w:val="-56"/>
        </w:rPr>
        <w:t> </w:t>
      </w:r>
      <w:r>
        <w:rPr>
          <w:rFonts w:ascii="Arial" w:hAnsi="Arial" w:cs="Arial" w:eastAsia="Arial" w:hint="default"/>
        </w:rPr>
        <w:t>14</w:t>
      </w:r>
      <w:r>
        <w:rPr>
          <w:rFonts w:ascii="Arial" w:hAnsi="Arial" w:cs="Arial" w:eastAsia="Arial" w:hint="default"/>
          <w:spacing w:val="-7"/>
        </w:rPr>
        <w:t> </w:t>
      </w:r>
      <w:r>
        <w:rPr>
          <w:spacing w:val="-14"/>
        </w:rPr>
        <w:t>日，本公司</w:t>
      </w:r>
      <w:r>
        <w:rPr>
          <w:spacing w:val="-2"/>
        </w:rPr>
        <w:t> </w:t>
      </w:r>
      <w:r>
        <w:rPr>
          <w:rFonts w:ascii="Arial" w:hAnsi="Arial" w:cs="Arial" w:eastAsia="Arial" w:hint="default"/>
        </w:rPr>
        <w:t>2009</w:t>
      </w:r>
      <w:r>
        <w:rPr>
          <w:rFonts w:ascii="Arial" w:hAnsi="Arial" w:cs="Arial" w:eastAsia="Arial" w:hint="default"/>
          <w:spacing w:val="-7"/>
        </w:rPr>
        <w:t> </w:t>
      </w:r>
      <w:r>
        <w:rPr/>
        <w:t>年第一次临时股东大会通过如下决议且决议事项于</w:t>
      </w:r>
      <w:r>
        <w:rPr>
          <w:spacing w:val="-55"/>
        </w:rPr>
        <w:t> </w:t>
      </w:r>
      <w:r>
        <w:rPr>
          <w:rFonts w:ascii="Arial" w:hAnsi="Arial" w:cs="Arial" w:eastAsia="Arial" w:hint="default"/>
        </w:rPr>
        <w:t>2009</w:t>
      </w:r>
      <w:r>
        <w:rPr>
          <w:rFonts w:ascii="Arial" w:hAnsi="Arial" w:cs="Arial" w:eastAsia="Arial" w:hint="default"/>
          <w:spacing w:val="-7"/>
        </w:rPr>
        <w:t> </w:t>
      </w:r>
      <w:r>
        <w:rPr/>
        <w:t>年</w:t>
      </w:r>
    </w:p>
    <w:p>
      <w:pPr>
        <w:pStyle w:val="BodyText"/>
        <w:spacing w:line="292" w:lineRule="exact"/>
        <w:ind w:left="747" w:right="306"/>
        <w:jc w:val="left"/>
      </w:pPr>
      <w:r>
        <w:rPr>
          <w:rFonts w:ascii="Arial" w:hAnsi="Arial" w:cs="Arial" w:eastAsia="Arial" w:hint="default"/>
        </w:rPr>
        <w:t>1</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t>日均已完成：</w:t>
      </w:r>
    </w:p>
    <w:p>
      <w:pPr>
        <w:pStyle w:val="BodyText"/>
        <w:tabs>
          <w:tab w:pos="732" w:val="left" w:leader="none"/>
        </w:tabs>
        <w:spacing w:line="280" w:lineRule="exact" w:before="108"/>
        <w:ind w:left="733" w:right="274" w:hanging="364"/>
        <w:jc w:val="left"/>
      </w:pPr>
      <w:r>
        <w:rPr>
          <w:rFonts w:ascii="Arial" w:hAnsi="Arial" w:cs="Arial" w:eastAsia="Arial" w:hint="default"/>
          <w:w w:val="95"/>
        </w:rPr>
        <w:t>i)</w:t>
        <w:tab/>
      </w:r>
      <w:r>
        <w:rPr/>
        <w:t>同意关于本公司与联通集团和网通集团签订的《关于相关电信业务及资产的转让协议》（</w:t>
      </w:r>
      <w:r>
        <w:rPr>
          <w:rFonts w:ascii="Arial" w:hAnsi="Arial" w:cs="Arial" w:eastAsia="Arial" w:hint="default"/>
        </w:rPr>
        <w:t>“</w:t>
      </w:r>
      <w:r>
        <w:rPr/>
        <w:t>转</w:t>
      </w:r>
      <w:r>
        <w:rPr>
          <w:w w:val="99"/>
        </w:rPr>
        <w:t> </w:t>
      </w:r>
      <w:r>
        <w:rPr/>
        <w:t>让协议</w:t>
      </w:r>
      <w:r>
        <w:rPr>
          <w:rFonts w:ascii="Arial" w:hAnsi="Arial" w:cs="Arial" w:eastAsia="Arial" w:hint="default"/>
        </w:rPr>
        <w:t>”</w:t>
      </w:r>
      <w:r>
        <w:rPr/>
        <w:t>）。</w:t>
      </w:r>
    </w:p>
    <w:p>
      <w:pPr>
        <w:spacing w:after="0" w:line="280" w:lineRule="exact"/>
        <w:jc w:val="left"/>
        <w:sectPr>
          <w:type w:val="continuous"/>
          <w:pgSz w:w="11910" w:h="16840"/>
          <w:pgMar w:top="1600" w:bottom="280" w:left="960" w:right="1060"/>
        </w:sectPr>
      </w:pPr>
    </w:p>
    <w:p>
      <w:pPr>
        <w:spacing w:line="240" w:lineRule="auto" w:before="9"/>
        <w:rPr>
          <w:rFonts w:ascii="宋体" w:hAnsi="宋体" w:cs="宋体" w:eastAsia="宋体" w:hint="default"/>
          <w:sz w:val="12"/>
          <w:szCs w:val="12"/>
        </w:rPr>
      </w:pPr>
    </w:p>
    <w:p>
      <w:pPr>
        <w:pStyle w:val="BodyText"/>
        <w:spacing w:line="280" w:lineRule="exact" w:before="64"/>
        <w:ind w:left="693" w:right="311" w:hanging="364"/>
        <w:jc w:val="both"/>
      </w:pPr>
      <w:r>
        <w:rPr>
          <w:rFonts w:ascii="Arial" w:hAnsi="Arial" w:cs="Arial" w:eastAsia="Arial" w:hint="default"/>
        </w:rPr>
        <w:t>ii)</w:t>
      </w:r>
      <w:r>
        <w:rPr>
          <w:rFonts w:ascii="Arial" w:hAnsi="Arial" w:cs="Arial" w:eastAsia="Arial" w:hint="default"/>
          <w:spacing w:val="6"/>
        </w:rPr>
        <w:t> </w:t>
      </w:r>
      <w:r>
        <w:rPr/>
        <w:t>同意关于本公司与联通运营公司签订的《关于</w:t>
      </w:r>
      <w:r>
        <w:rPr>
          <w:rFonts w:ascii="Arial" w:hAnsi="Arial" w:cs="Arial" w:eastAsia="Arial" w:hint="default"/>
        </w:rPr>
        <w:t>&lt;</w:t>
      </w:r>
      <w:r>
        <w:rPr/>
        <w:t>关于相关电信业务及资产的转让协议</w:t>
      </w:r>
      <w:r>
        <w:rPr>
          <w:rFonts w:ascii="Arial" w:hAnsi="Arial" w:cs="Arial" w:eastAsia="Arial" w:hint="default"/>
        </w:rPr>
        <w:t>&gt;</w:t>
      </w:r>
      <w:r>
        <w:rPr/>
        <w:t>的转让</w:t>
      </w:r>
      <w:r>
        <w:rPr>
          <w:w w:val="99"/>
        </w:rPr>
        <w:t> </w:t>
      </w:r>
      <w:r>
        <w:rPr/>
        <w:t>协议》。</w:t>
      </w:r>
    </w:p>
    <w:p>
      <w:pPr>
        <w:spacing w:line="240" w:lineRule="auto" w:before="6"/>
        <w:rPr>
          <w:rFonts w:ascii="宋体" w:hAnsi="宋体" w:cs="宋体" w:eastAsia="宋体" w:hint="default"/>
          <w:sz w:val="21"/>
          <w:szCs w:val="21"/>
        </w:rPr>
      </w:pPr>
    </w:p>
    <w:p>
      <w:pPr>
        <w:pStyle w:val="BodyText"/>
        <w:spacing w:line="280" w:lineRule="exact"/>
        <w:ind w:left="693" w:right="220" w:hanging="364"/>
        <w:jc w:val="both"/>
      </w:pPr>
      <w:r>
        <w:rPr>
          <w:rFonts w:ascii="Arial" w:hAnsi="Arial" w:cs="Arial" w:eastAsia="Arial" w:hint="default"/>
        </w:rPr>
        <w:t>iii) </w:t>
      </w:r>
      <w:r>
        <w:rPr/>
        <w:t>同意关于联通运营公司、联通新时空通信有限公司（</w:t>
      </w:r>
      <w:r>
        <w:rPr>
          <w:rFonts w:ascii="Arial" w:hAnsi="Arial" w:cs="Arial" w:eastAsia="Arial" w:hint="default"/>
        </w:rPr>
        <w:t>“</w:t>
      </w:r>
      <w:r>
        <w:rPr/>
        <w:t>联通新时空</w:t>
      </w:r>
      <w:r>
        <w:rPr>
          <w:rFonts w:ascii="Arial" w:hAnsi="Arial" w:cs="Arial" w:eastAsia="Arial" w:hint="default"/>
        </w:rPr>
        <w:t>”</w:t>
      </w:r>
      <w:r>
        <w:rPr/>
        <w:t>）以及联通集团、网通集团</w:t>
      </w:r>
      <w:r>
        <w:rPr>
          <w:w w:val="99"/>
        </w:rPr>
        <w:t> </w:t>
      </w:r>
      <w:r>
        <w:rPr/>
        <w:t>签订《关于相关电信网络设施的租赁协议》。</w:t>
      </w:r>
    </w:p>
    <w:p>
      <w:pPr>
        <w:spacing w:line="240" w:lineRule="auto" w:before="6"/>
        <w:rPr>
          <w:rFonts w:ascii="宋体" w:hAnsi="宋体" w:cs="宋体" w:eastAsia="宋体" w:hint="default"/>
          <w:sz w:val="21"/>
          <w:szCs w:val="21"/>
        </w:rPr>
      </w:pPr>
    </w:p>
    <w:p>
      <w:pPr>
        <w:pStyle w:val="BodyText"/>
        <w:spacing w:line="280" w:lineRule="exact"/>
        <w:ind w:left="692" w:right="314"/>
        <w:jc w:val="left"/>
      </w:pPr>
      <w:r>
        <w:rPr/>
        <w:t>具体详见本公司</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w:t>
      </w:r>
      <w:r>
        <w:rPr>
          <w:rFonts w:ascii="Arial" w:hAnsi="Arial" w:cs="Arial" w:eastAsia="Arial" w:hint="default"/>
          <w:spacing w:val="-7"/>
        </w:rPr>
        <w:t> </w:t>
      </w:r>
      <w:r>
        <w:rPr/>
        <w:t>月</w:t>
      </w:r>
      <w:r>
        <w:rPr>
          <w:spacing w:val="-56"/>
        </w:rPr>
        <w:t> </w:t>
      </w:r>
      <w:r>
        <w:rPr>
          <w:rFonts w:ascii="Arial" w:hAnsi="Arial" w:cs="Arial" w:eastAsia="Arial" w:hint="default"/>
        </w:rPr>
        <w:t>14</w:t>
      </w:r>
      <w:r>
        <w:rPr>
          <w:rFonts w:ascii="Arial" w:hAnsi="Arial" w:cs="Arial" w:eastAsia="Arial" w:hint="default"/>
          <w:spacing w:val="-7"/>
        </w:rPr>
        <w:t> </w:t>
      </w:r>
      <w:r>
        <w:rPr/>
        <w:t>日发布的</w:t>
      </w:r>
      <w:r>
        <w:rPr>
          <w:spacing w:val="-56"/>
        </w:rPr>
        <w:t> </w:t>
      </w:r>
      <w:r>
        <w:rPr>
          <w:rFonts w:ascii="Arial" w:hAnsi="Arial" w:cs="Arial" w:eastAsia="Arial" w:hint="default"/>
        </w:rPr>
        <w:t>2009</w:t>
      </w:r>
      <w:r>
        <w:rPr>
          <w:rFonts w:ascii="Arial" w:hAnsi="Arial" w:cs="Arial" w:eastAsia="Arial" w:hint="default"/>
          <w:spacing w:val="-7"/>
        </w:rPr>
        <w:t> </w:t>
      </w:r>
      <w:r>
        <w:rPr/>
        <w:t>年第一次临时股东大会决议公告（编号：临</w:t>
      </w:r>
      <w:r>
        <w:rPr>
          <w:w w:val="99"/>
        </w:rPr>
        <w:t> </w:t>
      </w:r>
      <w:r>
        <w:rPr/>
        <w:t>时</w:t>
      </w:r>
      <w:r>
        <w:rPr>
          <w:spacing w:val="-59"/>
        </w:rPr>
        <w:t> </w:t>
      </w:r>
      <w:r>
        <w:rPr>
          <w:rFonts w:ascii="Arial" w:hAnsi="Arial" w:cs="Arial" w:eastAsia="Arial" w:hint="default"/>
        </w:rPr>
        <w:t>2009-003</w:t>
      </w:r>
      <w:r>
        <w:rPr/>
        <w:t>）。</w:t>
      </w:r>
    </w:p>
    <w:p>
      <w:pPr>
        <w:spacing w:line="240" w:lineRule="auto" w:before="6"/>
        <w:rPr>
          <w:rFonts w:ascii="宋体" w:hAnsi="宋体" w:cs="宋体" w:eastAsia="宋体" w:hint="default"/>
          <w:sz w:val="21"/>
          <w:szCs w:val="21"/>
        </w:rPr>
      </w:pPr>
    </w:p>
    <w:p>
      <w:pPr>
        <w:pStyle w:val="BodyText"/>
        <w:spacing w:line="280" w:lineRule="exact"/>
        <w:ind w:left="692" w:right="100"/>
        <w:jc w:val="left"/>
      </w:pPr>
      <w:r>
        <w:rPr>
          <w:spacing w:val="-2"/>
        </w:rPr>
        <w:t>根据上述</w:t>
      </w:r>
      <w:r>
        <w:rPr>
          <w:rFonts w:ascii="Arial" w:hAnsi="Arial" w:cs="Arial" w:eastAsia="Arial" w:hint="default"/>
          <w:spacing w:val="-2"/>
        </w:rPr>
        <w:t>(i)</w:t>
      </w:r>
      <w:r>
        <w:rPr>
          <w:spacing w:val="-2"/>
        </w:rPr>
        <w:t>中的决议，本公司所属子公司联通运营公司向联通集团和网通集团收购了下列相关</w:t>
      </w:r>
      <w:r>
        <w:rPr>
          <w:spacing w:val="-91"/>
        </w:rPr>
        <w:t> </w:t>
      </w:r>
      <w:r>
        <w:rPr>
          <w:spacing w:val="-91"/>
        </w:rPr>
      </w:r>
      <w:r>
        <w:rPr/>
        <w:t>电信业务和资产：</w:t>
      </w:r>
    </w:p>
    <w:p>
      <w:pPr>
        <w:spacing w:line="240" w:lineRule="auto" w:before="9"/>
        <w:rPr>
          <w:rFonts w:ascii="宋体" w:hAnsi="宋体" w:cs="宋体" w:eastAsia="宋体" w:hint="default"/>
          <w:sz w:val="19"/>
          <w:szCs w:val="19"/>
        </w:rPr>
      </w:pPr>
    </w:p>
    <w:p>
      <w:pPr>
        <w:pStyle w:val="BodyText"/>
        <w:spacing w:line="230" w:lineRule="auto"/>
        <w:ind w:left="721" w:right="218" w:hanging="393"/>
        <w:jc w:val="both"/>
      </w:pPr>
      <w:r>
        <w:rPr>
          <w:rFonts w:ascii="Arial" w:hAnsi="Arial" w:cs="Arial" w:eastAsia="Arial" w:hint="default"/>
        </w:rPr>
        <w:t>a) </w:t>
      </w:r>
      <w:r>
        <w:rPr/>
        <w:t>网通集团目前在南方 </w:t>
      </w:r>
      <w:r>
        <w:rPr>
          <w:rFonts w:ascii="Arial" w:hAnsi="Arial" w:cs="Arial" w:eastAsia="Arial" w:hint="default"/>
        </w:rPr>
        <w:t>21</w:t>
      </w:r>
      <w:r>
        <w:rPr>
          <w:rFonts w:ascii="Arial" w:hAnsi="Arial" w:cs="Arial" w:eastAsia="Arial" w:hint="default"/>
          <w:spacing w:val="-11"/>
        </w:rPr>
        <w:t> </w:t>
      </w:r>
      <w:r>
        <w:rPr/>
        <w:t>省、市</w:t>
      </w:r>
      <w:r>
        <w:rPr>
          <w:rFonts w:ascii="Arial" w:hAnsi="Arial" w:cs="Arial" w:eastAsia="Arial" w:hint="default"/>
        </w:rPr>
        <w:t>(</w:t>
      </w:r>
      <w:r>
        <w:rPr/>
        <w:t>区</w:t>
      </w:r>
      <w:r>
        <w:rPr>
          <w:rFonts w:ascii="Arial" w:hAnsi="Arial" w:cs="Arial" w:eastAsia="Arial" w:hint="default"/>
        </w:rPr>
        <w:t>)</w:t>
      </w:r>
      <w:r>
        <w:rPr/>
        <w:t>经营的固网业务（并不包含相关的固定电信网络资产及因</w:t>
      </w:r>
      <w:r>
        <w:rPr>
          <w:w w:val="99"/>
        </w:rPr>
        <w:t> </w:t>
      </w:r>
      <w:r>
        <w:rPr>
          <w:spacing w:val="2"/>
        </w:rPr>
        <w:t>建造电信网络而向联通集团或网通集团借入的关联公司借款和应付工程及设备款，固定电信</w:t>
      </w:r>
      <w:r>
        <w:rPr>
          <w:w w:val="99"/>
        </w:rPr>
        <w:t> </w:t>
      </w:r>
      <w:r>
        <w:rPr>
          <w:spacing w:val="2"/>
        </w:rPr>
        <w:t>网络资产主要为固定资产、在建工程、工程物资、无形资产及长期待摊费用等。）和联通集</w:t>
      </w:r>
      <w:r>
        <w:rPr>
          <w:w w:val="99"/>
        </w:rPr>
        <w:t> </w:t>
      </w:r>
      <w:r>
        <w:rPr/>
        <w:t>团在四川省和重庆市经营的本地固网业务及其与业务运营相关的债权和债务；</w:t>
      </w:r>
    </w:p>
    <w:p>
      <w:pPr>
        <w:spacing w:line="240" w:lineRule="auto" w:before="11"/>
        <w:rPr>
          <w:rFonts w:ascii="宋体" w:hAnsi="宋体" w:cs="宋体" w:eastAsia="宋体" w:hint="default"/>
          <w:sz w:val="20"/>
          <w:szCs w:val="20"/>
        </w:rPr>
      </w:pPr>
    </w:p>
    <w:p>
      <w:pPr>
        <w:pStyle w:val="BodyText"/>
        <w:tabs>
          <w:tab w:pos="749" w:val="left" w:leader="none"/>
        </w:tabs>
        <w:spacing w:line="240" w:lineRule="auto"/>
        <w:ind w:left="329" w:right="337"/>
        <w:jc w:val="left"/>
      </w:pPr>
      <w:r>
        <w:rPr>
          <w:rFonts w:ascii="Arial" w:hAnsi="Arial" w:cs="Arial" w:eastAsia="Arial" w:hint="default"/>
          <w:w w:val="95"/>
        </w:rPr>
        <w:t>b)</w:t>
        <w:tab/>
      </w:r>
      <w:r>
        <w:rPr/>
        <w:t>联通集团在天津市拥有的本地固话资产以及经营的本地固话业务及其相关的资产和负债；</w:t>
      </w:r>
    </w:p>
    <w:p>
      <w:pPr>
        <w:spacing w:line="240" w:lineRule="auto" w:before="2"/>
        <w:rPr>
          <w:rFonts w:ascii="宋体" w:hAnsi="宋体" w:cs="宋体" w:eastAsia="宋体" w:hint="default"/>
          <w:sz w:val="22"/>
          <w:szCs w:val="22"/>
        </w:rPr>
      </w:pPr>
    </w:p>
    <w:p>
      <w:pPr>
        <w:pStyle w:val="BodyText"/>
        <w:spacing w:line="280" w:lineRule="exact"/>
        <w:ind w:left="722" w:right="219" w:hanging="393"/>
        <w:jc w:val="both"/>
      </w:pPr>
      <w:r>
        <w:rPr>
          <w:rFonts w:ascii="Arial" w:hAnsi="Arial" w:cs="Arial" w:eastAsia="Arial" w:hint="default"/>
        </w:rPr>
        <w:t>c)</w:t>
      </w:r>
      <w:r>
        <w:rPr>
          <w:rFonts w:ascii="Arial" w:hAnsi="Arial" w:cs="Arial" w:eastAsia="Arial" w:hint="default"/>
          <w:spacing w:val="26"/>
        </w:rPr>
        <w:t> </w:t>
      </w:r>
      <w:r>
        <w:rPr>
          <w:spacing w:val="2"/>
        </w:rPr>
        <w:t>联通集团持有的联通兴业科贸有限公司、中讯邮电咨询设计院和联通新国信通信有限公司三</w:t>
      </w:r>
      <w:r>
        <w:rPr>
          <w:w w:val="99"/>
        </w:rPr>
        <w:t> </w:t>
      </w:r>
      <w:r>
        <w:rPr/>
        <w:t>家电信服务子公司</w:t>
      </w:r>
      <w:r>
        <w:rPr>
          <w:spacing w:val="-58"/>
        </w:rPr>
        <w:t> </w:t>
      </w:r>
      <w:r>
        <w:rPr>
          <w:rFonts w:ascii="Arial" w:hAnsi="Arial" w:cs="Arial" w:eastAsia="Arial" w:hint="default"/>
        </w:rPr>
        <w:t>100%</w:t>
      </w:r>
      <w:r>
        <w:rPr/>
        <w:t>的股权；</w:t>
      </w:r>
    </w:p>
    <w:p>
      <w:pPr>
        <w:spacing w:line="240" w:lineRule="auto" w:before="6"/>
        <w:rPr>
          <w:rFonts w:ascii="宋体" w:hAnsi="宋体" w:cs="宋体" w:eastAsia="宋体" w:hint="default"/>
          <w:sz w:val="21"/>
          <w:szCs w:val="21"/>
        </w:rPr>
      </w:pPr>
    </w:p>
    <w:p>
      <w:pPr>
        <w:pStyle w:val="BodyText"/>
        <w:spacing w:line="280" w:lineRule="exact"/>
        <w:ind w:left="707" w:right="218" w:hanging="378"/>
        <w:jc w:val="both"/>
      </w:pPr>
      <w:r>
        <w:rPr>
          <w:rFonts w:ascii="Arial" w:hAnsi="Arial" w:cs="Arial" w:eastAsia="Arial" w:hint="default"/>
        </w:rPr>
        <w:t>d) </w:t>
      </w:r>
      <w:r>
        <w:rPr/>
        <w:t>网通集团通过其下属子公司在北方 </w:t>
      </w:r>
      <w:r>
        <w:rPr>
          <w:rFonts w:ascii="Arial" w:hAnsi="Arial" w:cs="Arial" w:eastAsia="Arial" w:hint="default"/>
        </w:rPr>
        <w:t>10</w:t>
      </w:r>
      <w:r>
        <w:rPr>
          <w:rFonts w:ascii="Arial" w:hAnsi="Arial" w:cs="Arial" w:eastAsia="Arial" w:hint="default"/>
          <w:spacing w:val="-10"/>
        </w:rPr>
        <w:t> </w:t>
      </w:r>
      <w:r>
        <w:rPr/>
        <w:t>省、市</w:t>
      </w:r>
      <w:r>
        <w:rPr>
          <w:rFonts w:ascii="Arial" w:hAnsi="Arial" w:cs="Arial" w:eastAsia="Arial" w:hint="default"/>
        </w:rPr>
        <w:t>(</w:t>
      </w:r>
      <w:r>
        <w:rPr/>
        <w:t>区</w:t>
      </w:r>
      <w:r>
        <w:rPr>
          <w:rFonts w:ascii="Arial" w:hAnsi="Arial" w:cs="Arial" w:eastAsia="Arial" w:hint="default"/>
        </w:rPr>
        <w:t>)</w:t>
      </w:r>
      <w:r>
        <w:rPr/>
        <w:t>拥有的北方一级干线传输资产（主要包括电</w:t>
      </w:r>
      <w:r>
        <w:rPr>
          <w:w w:val="99"/>
        </w:rPr>
        <w:t> </w:t>
      </w:r>
      <w:r>
        <w:rPr/>
        <w:t>缆、光缆、管道及部分传输设备，以下简称</w:t>
      </w:r>
      <w:r>
        <w:rPr>
          <w:rFonts w:ascii="Arial" w:hAnsi="Arial" w:cs="Arial" w:eastAsia="Arial" w:hint="default"/>
        </w:rPr>
        <w:t>“</w:t>
      </w:r>
      <w:r>
        <w:rPr/>
        <w:t>一级干线</w:t>
      </w:r>
      <w:r>
        <w:rPr>
          <w:rFonts w:ascii="Arial" w:hAnsi="Arial" w:cs="Arial" w:eastAsia="Arial" w:hint="default"/>
        </w:rPr>
        <w:t>”</w:t>
      </w:r>
      <w:r>
        <w:rPr/>
        <w:t>）。</w:t>
      </w:r>
    </w:p>
    <w:p>
      <w:pPr>
        <w:spacing w:line="240" w:lineRule="auto" w:before="12"/>
        <w:rPr>
          <w:rFonts w:ascii="宋体" w:hAnsi="宋体" w:cs="宋体" w:eastAsia="宋体" w:hint="default"/>
          <w:sz w:val="19"/>
          <w:szCs w:val="19"/>
        </w:rPr>
      </w:pPr>
    </w:p>
    <w:p>
      <w:pPr>
        <w:pStyle w:val="BodyText"/>
        <w:spacing w:line="228" w:lineRule="auto"/>
        <w:ind w:left="721" w:right="108"/>
        <w:jc w:val="both"/>
      </w:pPr>
      <w:r>
        <w:rPr/>
        <w:t>按照转让协议，上述收购目标业务和资产的对价约为人民币</w:t>
      </w:r>
      <w:r>
        <w:rPr>
          <w:spacing w:val="-53"/>
        </w:rPr>
        <w:t> </w:t>
      </w:r>
      <w:r>
        <w:rPr>
          <w:rFonts w:ascii="Arial" w:hAnsi="Arial" w:cs="Arial" w:eastAsia="Arial" w:hint="default"/>
        </w:rPr>
        <w:t>64.3</w:t>
      </w:r>
      <w:r>
        <w:rPr>
          <w:rFonts w:ascii="Arial" w:hAnsi="Arial" w:cs="Arial" w:eastAsia="Arial" w:hint="default"/>
          <w:spacing w:val="-5"/>
        </w:rPr>
        <w:t> </w:t>
      </w:r>
      <w:r>
        <w:rPr/>
        <w:t>亿元（受制于若干调整）。</w:t>
      </w:r>
      <w:r>
        <w:rPr>
          <w:w w:val="99"/>
        </w:rPr>
        <w:t> </w:t>
      </w:r>
      <w:r>
        <w:rPr>
          <w:spacing w:val="2"/>
        </w:rPr>
        <w:t>基于从联通集团获取的若干流动资产和流动负债的最终确认价值，上述资产及业务收购的总</w:t>
      </w:r>
      <w:r>
        <w:rPr>
          <w:spacing w:val="-108"/>
        </w:rPr>
        <w:t> </w:t>
      </w:r>
      <w:r>
        <w:rPr>
          <w:spacing w:val="-108"/>
        </w:rPr>
      </w:r>
      <w:r>
        <w:rPr/>
        <w:t>对价下调约为人民币</w:t>
      </w:r>
      <w:r>
        <w:rPr>
          <w:spacing w:val="-50"/>
        </w:rPr>
        <w:t> </w:t>
      </w:r>
      <w:r>
        <w:rPr>
          <w:rFonts w:ascii="Arial" w:hAnsi="Arial" w:cs="Arial" w:eastAsia="Arial" w:hint="default"/>
        </w:rPr>
        <w:t>18.4</w:t>
      </w:r>
      <w:r>
        <w:rPr>
          <w:rFonts w:ascii="Arial" w:hAnsi="Arial" w:cs="Arial" w:eastAsia="Arial" w:hint="default"/>
          <w:spacing w:val="-1"/>
        </w:rPr>
        <w:t> </w:t>
      </w:r>
      <w:r>
        <w:rPr>
          <w:spacing w:val="-4"/>
        </w:rPr>
        <w:t>亿元。截至本报告期期末，收购目标业务及资产的对价已全部结算。</w:t>
      </w:r>
    </w:p>
    <w:p>
      <w:pPr>
        <w:spacing w:line="240" w:lineRule="auto" w:before="4"/>
        <w:rPr>
          <w:rFonts w:ascii="宋体" w:hAnsi="宋体" w:cs="宋体" w:eastAsia="宋体" w:hint="default"/>
          <w:sz w:val="21"/>
          <w:szCs w:val="21"/>
        </w:rPr>
      </w:pPr>
    </w:p>
    <w:p>
      <w:pPr>
        <w:pStyle w:val="BodyText"/>
        <w:spacing w:line="220" w:lineRule="auto"/>
        <w:ind w:left="721" w:right="107"/>
        <w:jc w:val="both"/>
      </w:pPr>
      <w:r>
        <w:rPr/>
        <w:t>与上述收购目标业务和资产相关，如</w:t>
      </w:r>
      <w:r>
        <w:rPr>
          <w:rFonts w:ascii="Arial" w:hAnsi="Arial" w:cs="Arial" w:eastAsia="Arial" w:hint="default"/>
        </w:rPr>
        <w:t>(iii)</w:t>
      </w:r>
      <w:r>
        <w:rPr/>
        <w:t>中所述决议，联通运营公司、联通集团、网通集团和</w:t>
      </w:r>
      <w:r>
        <w:rPr>
          <w:spacing w:val="-89"/>
        </w:rPr>
        <w:t> </w:t>
      </w:r>
      <w:r>
        <w:rPr>
          <w:spacing w:val="-89"/>
        </w:rPr>
      </w:r>
      <w:r>
        <w:rPr/>
        <w:t>联通集团全资子公司联通新时空移动通信有限公司（</w:t>
      </w:r>
      <w:r>
        <w:rPr>
          <w:rFonts w:ascii="Arial" w:hAnsi="Arial" w:cs="Arial" w:eastAsia="Arial" w:hint="default"/>
        </w:rPr>
        <w:t>“</w:t>
      </w:r>
      <w:r>
        <w:rPr/>
        <w:t>联通新时空</w:t>
      </w:r>
      <w:r>
        <w:rPr>
          <w:rFonts w:ascii="Arial" w:hAnsi="Arial" w:cs="Arial" w:eastAsia="Arial" w:hint="default"/>
        </w:rPr>
        <w:t>”</w:t>
      </w:r>
      <w:r>
        <w:rPr/>
        <w:t>）于</w:t>
      </w:r>
      <w:r>
        <w:rPr>
          <w:spacing w:val="-60"/>
        </w:rPr>
        <w:t> </w:t>
      </w:r>
      <w:r>
        <w:rPr>
          <w:rFonts w:ascii="Arial" w:hAnsi="Arial" w:cs="Arial" w:eastAsia="Arial" w:hint="default"/>
        </w:rPr>
        <w:t>2008</w:t>
      </w:r>
      <w:r>
        <w:rPr>
          <w:rFonts w:ascii="Arial" w:hAnsi="Arial" w:cs="Arial" w:eastAsia="Arial" w:hint="default"/>
          <w:spacing w:val="-12"/>
        </w:rPr>
        <w:t> </w:t>
      </w:r>
      <w:r>
        <w:rPr/>
        <w:t>年</w:t>
      </w:r>
      <w:r>
        <w:rPr>
          <w:spacing w:val="-61"/>
        </w:rPr>
        <w:t> </w:t>
      </w:r>
      <w:r>
        <w:rPr>
          <w:rFonts w:ascii="Arial" w:hAnsi="Arial" w:cs="Arial" w:eastAsia="Arial" w:hint="default"/>
        </w:rPr>
        <w:t>12</w:t>
      </w:r>
      <w:r>
        <w:rPr>
          <w:rFonts w:ascii="Arial" w:hAnsi="Arial" w:cs="Arial" w:eastAsia="Arial" w:hint="default"/>
          <w:spacing w:val="-12"/>
        </w:rPr>
        <w:t> </w:t>
      </w:r>
      <w:r>
        <w:rPr/>
        <w:t>月</w:t>
      </w:r>
      <w:r>
        <w:rPr>
          <w:spacing w:val="-61"/>
        </w:rPr>
        <w:t> </w:t>
      </w:r>
      <w:r>
        <w:rPr>
          <w:rFonts w:ascii="Arial" w:hAnsi="Arial" w:cs="Arial" w:eastAsia="Arial" w:hint="default"/>
        </w:rPr>
        <w:t>16</w:t>
      </w:r>
      <w:r>
        <w:rPr>
          <w:rFonts w:ascii="Arial" w:hAnsi="Arial" w:cs="Arial" w:eastAsia="Arial" w:hint="default"/>
          <w:spacing w:val="-12"/>
        </w:rPr>
        <w:t> </w:t>
      </w:r>
      <w:r>
        <w:rPr/>
        <w:t>日订</w:t>
      </w:r>
      <w:r>
        <w:rPr>
          <w:spacing w:val="-2"/>
          <w:w w:val="99"/>
        </w:rPr>
        <w:t> </w:t>
      </w:r>
      <w:r>
        <w:rPr/>
        <w:t>立《关于相关电信网络设施的租赁协议》（</w:t>
      </w:r>
      <w:r>
        <w:rPr>
          <w:rFonts w:ascii="Arial" w:hAnsi="Arial" w:cs="Arial" w:eastAsia="Arial" w:hint="default"/>
        </w:rPr>
        <w:t>“</w:t>
      </w:r>
      <w:r>
        <w:rPr/>
        <w:t>网络租赁协议</w:t>
      </w:r>
      <w:r>
        <w:rPr>
          <w:rFonts w:ascii="Arial" w:hAnsi="Arial" w:cs="Arial" w:eastAsia="Arial" w:hint="default"/>
        </w:rPr>
        <w:t>”</w:t>
      </w:r>
      <w:r>
        <w:rPr/>
        <w:t>）。根据此协议，收购目标业务和</w:t>
      </w:r>
      <w:r>
        <w:rPr>
          <w:w w:val="99"/>
        </w:rPr>
        <w:t> </w:t>
      </w:r>
      <w:r>
        <w:rPr>
          <w:spacing w:val="-4"/>
          <w:w w:val="99"/>
        </w:rPr>
        <w:t>资产收购完成后，联通运营公司将独家从联通新时空租用其在中国南方</w:t>
      </w:r>
      <w:r>
        <w:rPr>
          <w:spacing w:val="-56"/>
          <w:w w:val="99"/>
        </w:rPr>
        <w:t> </w:t>
      </w:r>
      <w:r>
        <w:rPr>
          <w:rFonts w:ascii="Arial" w:hAnsi="Arial" w:cs="Arial" w:eastAsia="Arial" w:hint="default"/>
          <w:w w:val="99"/>
        </w:rPr>
        <w:t>21</w:t>
      </w:r>
      <w:r>
        <w:rPr>
          <w:rFonts w:ascii="Arial" w:hAnsi="Arial" w:cs="Arial" w:eastAsia="Arial" w:hint="default"/>
          <w:spacing w:val="-10"/>
          <w:w w:val="99"/>
        </w:rPr>
        <w:t> </w:t>
      </w:r>
      <w:r>
        <w:rPr>
          <w:w w:val="99"/>
        </w:rPr>
        <w:t>省的固定电信网络，</w:t>
      </w:r>
      <w:r>
        <w:rPr/>
      </w:r>
    </w:p>
    <w:p>
      <w:pPr>
        <w:pStyle w:val="BodyText"/>
        <w:spacing w:line="285" w:lineRule="exact"/>
        <w:ind w:left="722" w:right="0"/>
        <w:jc w:val="both"/>
      </w:pPr>
      <w:r>
        <w:rPr/>
        <w:t>初始租赁期为</w:t>
      </w:r>
      <w:r>
        <w:rPr>
          <w:spacing w:val="-56"/>
        </w:rPr>
        <w:t> </w:t>
      </w:r>
      <w:r>
        <w:rPr>
          <w:rFonts w:ascii="Arial" w:hAnsi="Arial" w:cs="Arial" w:eastAsia="Arial" w:hint="default"/>
        </w:rPr>
        <w:t>2</w:t>
      </w:r>
      <w:r>
        <w:rPr>
          <w:rFonts w:ascii="Arial" w:hAnsi="Arial" w:cs="Arial" w:eastAsia="Arial" w:hint="default"/>
          <w:spacing w:val="-7"/>
        </w:rPr>
        <w:t> </w:t>
      </w:r>
      <w:r>
        <w:rPr/>
        <w:t>年，自</w:t>
      </w:r>
      <w:r>
        <w:rPr>
          <w:spacing w:val="-55"/>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w:t>
      </w:r>
      <w:r>
        <w:rPr>
          <w:rFonts w:ascii="Arial" w:hAnsi="Arial" w:cs="Arial" w:eastAsia="Arial" w:hint="default"/>
          <w:spacing w:val="-7"/>
        </w:rPr>
        <w:t> </w:t>
      </w:r>
      <w:r>
        <w:rPr/>
        <w:t>月起生效。</w:t>
      </w:r>
    </w:p>
    <w:p>
      <w:pPr>
        <w:spacing w:line="240" w:lineRule="auto" w:before="7"/>
        <w:rPr>
          <w:rFonts w:ascii="宋体" w:hAnsi="宋体" w:cs="宋体" w:eastAsia="宋体" w:hint="default"/>
          <w:sz w:val="19"/>
          <w:szCs w:val="19"/>
        </w:rPr>
      </w:pPr>
    </w:p>
    <w:p>
      <w:pPr>
        <w:pStyle w:val="BodyText"/>
        <w:spacing w:line="240" w:lineRule="auto"/>
        <w:ind w:left="105" w:right="337"/>
        <w:jc w:val="left"/>
      </w:pPr>
      <w:r>
        <w:rPr/>
        <w:t>（六）重大合同及其履行情况</w:t>
      </w:r>
    </w:p>
    <w:p>
      <w:pPr>
        <w:spacing w:line="240" w:lineRule="auto" w:before="11"/>
        <w:rPr>
          <w:rFonts w:ascii="宋体" w:hAnsi="宋体" w:cs="宋体" w:eastAsia="宋体" w:hint="default"/>
          <w:sz w:val="20"/>
          <w:szCs w:val="20"/>
        </w:rPr>
      </w:pPr>
    </w:p>
    <w:p>
      <w:pPr>
        <w:pStyle w:val="BodyText"/>
        <w:spacing w:line="444" w:lineRule="auto"/>
        <w:ind w:left="329" w:right="562"/>
        <w:jc w:val="left"/>
      </w:pPr>
      <w:r>
        <w:rPr>
          <w:rFonts w:ascii="Arial" w:hAnsi="Arial" w:cs="Arial" w:eastAsia="Arial" w:hint="default"/>
        </w:rPr>
        <w:t>1</w:t>
      </w:r>
      <w:r>
        <w:rPr/>
        <w:t>、</w:t>
      </w:r>
      <w:r>
        <w:rPr>
          <w:spacing w:val="-35"/>
        </w:rPr>
        <w:t> </w:t>
      </w:r>
      <w:r>
        <w:rPr/>
        <w:t>为公司带来的利润达到公司本期利润总额</w:t>
      </w:r>
      <w:r>
        <w:rPr>
          <w:spacing w:val="-57"/>
        </w:rPr>
        <w:t> </w:t>
      </w:r>
      <w:r>
        <w:rPr>
          <w:rFonts w:ascii="Arial" w:hAnsi="Arial" w:cs="Arial" w:eastAsia="Arial" w:hint="default"/>
        </w:rPr>
        <w:t>10</w:t>
      </w:r>
      <w:r>
        <w:rPr/>
        <w:t>％以上（含</w:t>
      </w:r>
      <w:r>
        <w:rPr>
          <w:spacing w:val="-57"/>
        </w:rPr>
        <w:t> </w:t>
      </w:r>
      <w:r>
        <w:rPr>
          <w:rFonts w:ascii="Arial" w:hAnsi="Arial" w:cs="Arial" w:eastAsia="Arial" w:hint="default"/>
        </w:rPr>
        <w:t>10</w:t>
      </w:r>
      <w:r>
        <w:rPr/>
        <w:t>％）的托管、承包、租赁事项</w:t>
      </w:r>
      <w:r>
        <w:rPr>
          <w:w w:val="99"/>
        </w:rPr>
        <w:t> </w:t>
      </w:r>
      <w:r>
        <w:rPr>
          <w:rFonts w:ascii="Arial" w:hAnsi="Arial" w:cs="Arial" w:eastAsia="Arial" w:hint="default"/>
        </w:rPr>
        <w:t>(1) </w:t>
      </w:r>
      <w:r>
        <w:rPr>
          <w:rFonts w:ascii="Arial" w:hAnsi="Arial" w:cs="Arial" w:eastAsia="Arial" w:hint="default"/>
          <w:spacing w:val="26"/>
        </w:rPr>
        <w:t> </w:t>
      </w:r>
      <w:r>
        <w:rPr/>
        <w:t>托管情况</w:t>
      </w:r>
    </w:p>
    <w:p>
      <w:pPr>
        <w:pStyle w:val="BodyText"/>
        <w:spacing w:line="240" w:lineRule="auto" w:before="46"/>
        <w:ind w:left="722" w:right="0"/>
        <w:jc w:val="both"/>
      </w:pPr>
      <w:r>
        <w:rPr/>
        <w:t>本年度公司无托管事项。</w:t>
      </w:r>
    </w:p>
    <w:p>
      <w:pPr>
        <w:spacing w:line="240" w:lineRule="auto" w:before="11"/>
        <w:rPr>
          <w:rFonts w:ascii="宋体" w:hAnsi="宋体" w:cs="宋体" w:eastAsia="宋体" w:hint="default"/>
          <w:sz w:val="20"/>
          <w:szCs w:val="20"/>
        </w:rPr>
      </w:pPr>
    </w:p>
    <w:p>
      <w:pPr>
        <w:pStyle w:val="BodyText"/>
        <w:spacing w:line="240" w:lineRule="auto"/>
        <w:ind w:left="329" w:right="337"/>
        <w:jc w:val="left"/>
      </w:pPr>
      <w:r>
        <w:rPr>
          <w:rFonts w:ascii="Arial" w:hAnsi="Arial" w:cs="Arial" w:eastAsia="Arial" w:hint="default"/>
        </w:rPr>
        <w:t>(2) </w:t>
      </w:r>
      <w:r>
        <w:rPr>
          <w:rFonts w:ascii="Arial" w:hAnsi="Arial" w:cs="Arial" w:eastAsia="Arial" w:hint="default"/>
          <w:spacing w:val="26"/>
        </w:rPr>
        <w:t> </w:t>
      </w:r>
      <w:r>
        <w:rPr/>
        <w:t>承包情况</w:t>
      </w:r>
    </w:p>
    <w:p>
      <w:pPr>
        <w:spacing w:line="240" w:lineRule="auto" w:before="8"/>
        <w:rPr>
          <w:rFonts w:ascii="宋体" w:hAnsi="宋体" w:cs="宋体" w:eastAsia="宋体" w:hint="default"/>
          <w:sz w:val="19"/>
          <w:szCs w:val="19"/>
        </w:rPr>
      </w:pPr>
    </w:p>
    <w:p>
      <w:pPr>
        <w:pStyle w:val="BodyText"/>
        <w:spacing w:line="240" w:lineRule="auto"/>
        <w:ind w:left="722" w:right="0"/>
        <w:jc w:val="both"/>
      </w:pPr>
      <w:r>
        <w:rPr/>
        <w:t>本年度公司无承包事项。</w:t>
      </w:r>
    </w:p>
    <w:p>
      <w:pPr>
        <w:spacing w:line="240" w:lineRule="auto" w:before="9"/>
        <w:rPr>
          <w:rFonts w:ascii="宋体" w:hAnsi="宋体" w:cs="宋体" w:eastAsia="宋体" w:hint="default"/>
          <w:sz w:val="20"/>
          <w:szCs w:val="20"/>
        </w:rPr>
      </w:pPr>
    </w:p>
    <w:p>
      <w:pPr>
        <w:pStyle w:val="BodyText"/>
        <w:spacing w:line="240" w:lineRule="auto"/>
        <w:ind w:left="329" w:right="337"/>
        <w:jc w:val="left"/>
      </w:pPr>
      <w:r>
        <w:rPr>
          <w:rFonts w:ascii="Arial" w:hAnsi="Arial" w:cs="Arial" w:eastAsia="Arial" w:hint="default"/>
        </w:rPr>
        <w:t>(3) </w:t>
      </w:r>
      <w:r>
        <w:rPr>
          <w:rFonts w:ascii="Arial" w:hAnsi="Arial" w:cs="Arial" w:eastAsia="Arial" w:hint="default"/>
          <w:spacing w:val="26"/>
        </w:rPr>
        <w:t> </w:t>
      </w:r>
      <w:r>
        <w:rPr/>
        <w:t>租赁情况</w:t>
      </w:r>
    </w:p>
    <w:p>
      <w:pPr>
        <w:spacing w:line="240" w:lineRule="auto" w:before="8"/>
        <w:rPr>
          <w:rFonts w:ascii="宋体" w:hAnsi="宋体" w:cs="宋体" w:eastAsia="宋体" w:hint="default"/>
          <w:sz w:val="19"/>
          <w:szCs w:val="19"/>
        </w:rPr>
      </w:pPr>
    </w:p>
    <w:p>
      <w:pPr>
        <w:pStyle w:val="BodyText"/>
        <w:spacing w:line="240" w:lineRule="auto"/>
        <w:ind w:left="722" w:right="0"/>
        <w:jc w:val="both"/>
      </w:pPr>
      <w:r>
        <w:rPr/>
        <w:t>详见十、重要事项</w:t>
      </w:r>
      <w:r>
        <w:rPr>
          <w:rFonts w:ascii="Arial" w:hAnsi="Arial" w:cs="Arial" w:eastAsia="Arial" w:hint="default"/>
        </w:rPr>
        <w:t>“(</w:t>
      </w:r>
      <w:r>
        <w:rPr/>
        <w:t>五</w:t>
      </w:r>
      <w:r>
        <w:rPr>
          <w:rFonts w:ascii="Arial" w:hAnsi="Arial" w:cs="Arial" w:eastAsia="Arial" w:hint="default"/>
        </w:rPr>
        <w:t>)</w:t>
      </w:r>
      <w:r>
        <w:rPr>
          <w:rFonts w:ascii="Arial" w:hAnsi="Arial" w:cs="Arial" w:eastAsia="Arial" w:hint="default"/>
          <w:spacing w:val="46"/>
        </w:rPr>
        <w:t> </w:t>
      </w:r>
      <w:r>
        <w:rPr/>
        <w:t>报告期内公司重大关联交易事项</w:t>
      </w:r>
      <w:r>
        <w:rPr>
          <w:rFonts w:ascii="Arial" w:hAnsi="Arial" w:cs="Arial" w:eastAsia="Arial" w:hint="default"/>
        </w:rPr>
        <w:t>”</w:t>
      </w:r>
      <w:r>
        <w:rPr/>
        <w:t>。</w:t>
      </w:r>
    </w:p>
    <w:p>
      <w:pPr>
        <w:spacing w:after="0" w:line="240" w:lineRule="auto"/>
        <w:jc w:val="both"/>
        <w:sectPr>
          <w:pgSz w:w="11910" w:h="16840"/>
          <w:pgMar w:header="587" w:footer="774" w:top="960" w:bottom="960" w:left="1000" w:right="1060"/>
        </w:sectPr>
      </w:pPr>
    </w:p>
    <w:p>
      <w:pPr>
        <w:spacing w:line="240" w:lineRule="auto" w:before="9"/>
        <w:rPr>
          <w:rFonts w:ascii="宋体" w:hAnsi="宋体" w:cs="宋体" w:eastAsia="宋体" w:hint="default"/>
          <w:sz w:val="12"/>
          <w:szCs w:val="12"/>
        </w:rPr>
      </w:pPr>
    </w:p>
    <w:p>
      <w:pPr>
        <w:pStyle w:val="BodyText"/>
        <w:spacing w:line="240" w:lineRule="auto" w:before="31"/>
        <w:ind w:left="329" w:right="3260"/>
        <w:jc w:val="left"/>
      </w:pPr>
      <w:r>
        <w:rPr>
          <w:rFonts w:ascii="Arial" w:hAnsi="Arial" w:cs="Arial" w:eastAsia="Arial" w:hint="default"/>
        </w:rPr>
        <w:t>2</w:t>
      </w:r>
      <w:r>
        <w:rPr/>
        <w:t>、</w:t>
      </w:r>
      <w:r>
        <w:rPr>
          <w:spacing w:val="-36"/>
        </w:rPr>
        <w:t> </w:t>
      </w:r>
      <w:r>
        <w:rPr/>
        <w:t>担保情况</w:t>
      </w:r>
    </w:p>
    <w:p>
      <w:pPr>
        <w:spacing w:line="240" w:lineRule="auto" w:before="7"/>
        <w:rPr>
          <w:rFonts w:ascii="宋体" w:hAnsi="宋体" w:cs="宋体" w:eastAsia="宋体" w:hint="default"/>
          <w:sz w:val="19"/>
          <w:szCs w:val="19"/>
        </w:rPr>
      </w:pPr>
    </w:p>
    <w:p>
      <w:pPr>
        <w:pStyle w:val="BodyText"/>
        <w:spacing w:line="240" w:lineRule="auto"/>
        <w:ind w:left="721" w:right="0"/>
        <w:jc w:val="both"/>
      </w:pPr>
      <w:r>
        <w:rPr/>
        <w:t>本年度公司无担保事项。</w:t>
      </w:r>
    </w:p>
    <w:p>
      <w:pPr>
        <w:spacing w:line="240" w:lineRule="auto" w:before="11"/>
        <w:rPr>
          <w:rFonts w:ascii="宋体" w:hAnsi="宋体" w:cs="宋体" w:eastAsia="宋体" w:hint="default"/>
          <w:sz w:val="20"/>
          <w:szCs w:val="20"/>
        </w:rPr>
      </w:pPr>
    </w:p>
    <w:p>
      <w:pPr>
        <w:pStyle w:val="BodyText"/>
        <w:spacing w:line="444" w:lineRule="auto"/>
        <w:ind w:left="721" w:right="6163" w:hanging="393"/>
        <w:jc w:val="left"/>
      </w:pPr>
      <w:r>
        <w:rPr>
          <w:rFonts w:ascii="Arial" w:hAnsi="Arial" w:cs="Arial" w:eastAsia="Arial" w:hint="default"/>
        </w:rPr>
        <w:t>3</w:t>
      </w:r>
      <w:r>
        <w:rPr/>
        <w:t>、</w:t>
      </w:r>
      <w:r>
        <w:rPr>
          <w:spacing w:val="-34"/>
        </w:rPr>
        <w:t> </w:t>
      </w:r>
      <w:r>
        <w:rPr/>
        <w:t>委托理财情况</w:t>
      </w:r>
      <w:r>
        <w:rPr>
          <w:w w:val="99"/>
        </w:rPr>
        <w:t> </w:t>
      </w:r>
      <w:r>
        <w:rPr/>
        <w:t>本年度公司无委托理财事项。</w:t>
      </w:r>
    </w:p>
    <w:p>
      <w:pPr>
        <w:pStyle w:val="BodyText"/>
        <w:spacing w:line="444" w:lineRule="auto" w:before="84"/>
        <w:ind w:left="721" w:right="6163" w:hanging="393"/>
        <w:jc w:val="left"/>
      </w:pPr>
      <w:r>
        <w:rPr>
          <w:rFonts w:ascii="Arial" w:hAnsi="Arial" w:cs="Arial" w:eastAsia="Arial" w:hint="default"/>
        </w:rPr>
        <w:t>4</w:t>
      </w:r>
      <w:r>
        <w:rPr/>
        <w:t>、其他重大合同</w:t>
      </w:r>
      <w:r>
        <w:rPr>
          <w:w w:val="99"/>
        </w:rPr>
        <w:t> </w:t>
      </w:r>
      <w:r>
        <w:rPr/>
        <w:t>本年度公司无其他重大合同。</w:t>
      </w:r>
    </w:p>
    <w:p>
      <w:pPr>
        <w:pStyle w:val="BodyText"/>
        <w:spacing w:line="240" w:lineRule="auto" w:before="85"/>
        <w:ind w:left="104" w:right="3260"/>
        <w:jc w:val="left"/>
      </w:pPr>
      <w:r>
        <w:rPr/>
        <w:t>（七）承诺事项履行情况</w:t>
      </w:r>
    </w:p>
    <w:p>
      <w:pPr>
        <w:spacing w:line="240" w:lineRule="auto" w:before="9"/>
        <w:rPr>
          <w:rFonts w:ascii="宋体" w:hAnsi="宋体" w:cs="宋体" w:eastAsia="宋体" w:hint="default"/>
          <w:sz w:val="20"/>
          <w:szCs w:val="20"/>
        </w:rPr>
      </w:pPr>
    </w:p>
    <w:p>
      <w:pPr>
        <w:pStyle w:val="BodyText"/>
        <w:spacing w:line="240" w:lineRule="auto"/>
        <w:ind w:left="329" w:right="125"/>
        <w:jc w:val="left"/>
      </w:pPr>
      <w:r>
        <w:rPr>
          <w:rFonts w:ascii="Arial" w:hAnsi="Arial" w:cs="Arial" w:eastAsia="Arial" w:hint="default"/>
        </w:rPr>
        <w:t>1</w:t>
      </w:r>
      <w:r>
        <w:rPr/>
        <w:t>、</w:t>
      </w:r>
      <w:r>
        <w:rPr>
          <w:spacing w:val="-36"/>
        </w:rPr>
        <w:t> </w:t>
      </w:r>
      <w:r>
        <w:rPr/>
        <w:t>公司或持股</w:t>
      </w:r>
      <w:r>
        <w:rPr>
          <w:spacing w:val="-57"/>
        </w:rPr>
        <w:t> </w:t>
      </w:r>
      <w:r>
        <w:rPr>
          <w:rFonts w:ascii="Arial" w:hAnsi="Arial" w:cs="Arial" w:eastAsia="Arial" w:hint="default"/>
        </w:rPr>
        <w:t>5%</w:t>
      </w:r>
      <w:r>
        <w:rPr/>
        <w:t>以上股东在报告期内或持续到报告期内的承诺事项</w:t>
      </w:r>
    </w:p>
    <w:p>
      <w:pPr>
        <w:spacing w:line="240" w:lineRule="auto" w:before="8"/>
        <w:rPr>
          <w:rFonts w:ascii="宋体" w:hAnsi="宋体" w:cs="宋体" w:eastAsia="宋体" w:hint="default"/>
          <w:sz w:val="19"/>
          <w:szCs w:val="19"/>
        </w:rPr>
      </w:pPr>
    </w:p>
    <w:p>
      <w:pPr>
        <w:pStyle w:val="BodyText"/>
        <w:spacing w:line="292" w:lineRule="exact"/>
        <w:ind w:left="721" w:right="0"/>
        <w:jc w:val="both"/>
      </w:pPr>
      <w:r>
        <w:rPr/>
        <w:t>根据本公司</w:t>
      </w:r>
      <w:r>
        <w:rPr>
          <w:spacing w:val="-53"/>
        </w:rPr>
        <w:t> </w:t>
      </w:r>
      <w:r>
        <w:rPr>
          <w:rFonts w:ascii="Arial" w:hAnsi="Arial" w:cs="Arial" w:eastAsia="Arial" w:hint="default"/>
        </w:rPr>
        <w:t>2008</w:t>
      </w:r>
      <w:r>
        <w:rPr>
          <w:rFonts w:ascii="Arial" w:hAnsi="Arial" w:cs="Arial" w:eastAsia="Arial" w:hint="default"/>
          <w:spacing w:val="-5"/>
        </w:rPr>
        <w:t> </w:t>
      </w:r>
      <w:r>
        <w:rPr/>
        <w:t>年</w:t>
      </w:r>
      <w:r>
        <w:rPr>
          <w:spacing w:val="-54"/>
        </w:rPr>
        <w:t> </w:t>
      </w:r>
      <w:r>
        <w:rPr>
          <w:rFonts w:ascii="Arial" w:hAnsi="Arial" w:cs="Arial" w:eastAsia="Arial" w:hint="default"/>
        </w:rPr>
        <w:t>9</w:t>
      </w:r>
      <w:r>
        <w:rPr>
          <w:rFonts w:ascii="Arial" w:hAnsi="Arial" w:cs="Arial" w:eastAsia="Arial" w:hint="default"/>
          <w:spacing w:val="-5"/>
        </w:rPr>
        <w:t> </w:t>
      </w:r>
      <w:r>
        <w:rPr/>
        <w:t>月</w:t>
      </w:r>
      <w:r>
        <w:rPr>
          <w:spacing w:val="-54"/>
        </w:rPr>
        <w:t> </w:t>
      </w:r>
      <w:r>
        <w:rPr>
          <w:rFonts w:ascii="Arial" w:hAnsi="Arial" w:cs="Arial" w:eastAsia="Arial" w:hint="default"/>
        </w:rPr>
        <w:t>25</w:t>
      </w:r>
      <w:r>
        <w:rPr>
          <w:rFonts w:ascii="Arial" w:hAnsi="Arial" w:cs="Arial" w:eastAsia="Arial" w:hint="default"/>
          <w:spacing w:val="-5"/>
        </w:rPr>
        <w:t> </w:t>
      </w:r>
      <w:r>
        <w:rPr/>
        <w:t>日发布的《关于控股股东增持本公司股份的公告》，联通集团拟</w:t>
      </w:r>
    </w:p>
    <w:p>
      <w:pPr>
        <w:pStyle w:val="BodyText"/>
        <w:spacing w:line="225" w:lineRule="auto" w:before="3"/>
        <w:ind w:left="721" w:right="137" w:hanging="1"/>
        <w:jc w:val="both"/>
      </w:pPr>
      <w:r>
        <w:rPr/>
        <w:t>在未来</w:t>
      </w:r>
      <w:r>
        <w:rPr>
          <w:spacing w:val="-44"/>
        </w:rPr>
        <w:t> </w:t>
      </w:r>
      <w:r>
        <w:rPr>
          <w:rFonts w:ascii="Arial" w:hAnsi="Arial" w:cs="Arial" w:eastAsia="Arial" w:hint="default"/>
        </w:rPr>
        <w:t>12</w:t>
      </w:r>
      <w:r>
        <w:rPr>
          <w:rFonts w:ascii="Arial" w:hAnsi="Arial" w:cs="Arial" w:eastAsia="Arial" w:hint="default"/>
          <w:spacing w:val="6"/>
        </w:rPr>
        <w:t> </w:t>
      </w:r>
      <w:r>
        <w:rPr/>
        <w:t>个月内（自</w:t>
      </w:r>
      <w:r>
        <w:rPr>
          <w:spacing w:val="-43"/>
        </w:rPr>
        <w:t> </w:t>
      </w:r>
      <w:r>
        <w:rPr>
          <w:rFonts w:ascii="Arial" w:hAnsi="Arial" w:cs="Arial" w:eastAsia="Arial" w:hint="default"/>
        </w:rPr>
        <w:t>2008</w:t>
      </w:r>
      <w:r>
        <w:rPr>
          <w:rFonts w:ascii="Arial" w:hAnsi="Arial" w:cs="Arial" w:eastAsia="Arial" w:hint="default"/>
          <w:spacing w:val="5"/>
        </w:rPr>
        <w:t> </w:t>
      </w:r>
      <w:r>
        <w:rPr/>
        <w:t>年</w:t>
      </w:r>
      <w:r>
        <w:rPr>
          <w:spacing w:val="-44"/>
        </w:rPr>
        <w:t> </w:t>
      </w:r>
      <w:r>
        <w:rPr>
          <w:rFonts w:ascii="Arial" w:hAnsi="Arial" w:cs="Arial" w:eastAsia="Arial" w:hint="default"/>
        </w:rPr>
        <w:t>9</w:t>
      </w:r>
      <w:r>
        <w:rPr>
          <w:rFonts w:ascii="Arial" w:hAnsi="Arial" w:cs="Arial" w:eastAsia="Arial" w:hint="default"/>
          <w:spacing w:val="6"/>
        </w:rPr>
        <w:t> </w:t>
      </w:r>
      <w:r>
        <w:rPr/>
        <w:t>月</w:t>
      </w:r>
      <w:r>
        <w:rPr>
          <w:spacing w:val="-44"/>
        </w:rPr>
        <w:t> </w:t>
      </w:r>
      <w:r>
        <w:rPr>
          <w:rFonts w:ascii="Arial" w:hAnsi="Arial" w:cs="Arial" w:eastAsia="Arial" w:hint="default"/>
        </w:rPr>
        <w:t>24</w:t>
      </w:r>
      <w:r>
        <w:rPr>
          <w:rFonts w:ascii="Arial" w:hAnsi="Arial" w:cs="Arial" w:eastAsia="Arial" w:hint="default"/>
          <w:spacing w:val="5"/>
        </w:rPr>
        <w:t> </w:t>
      </w:r>
      <w:r>
        <w:rPr/>
        <w:t>日起算）以自身名义或通过一致行动人继续通过上海</w:t>
      </w:r>
      <w:r>
        <w:rPr>
          <w:w w:val="99"/>
        </w:rPr>
        <w:t> </w:t>
      </w:r>
      <w:r>
        <w:rPr/>
        <w:t>证券交易所交易系统增持本公司股份，累计增持比例不超过公司已发行总股本的</w:t>
      </w:r>
      <w:r>
        <w:rPr>
          <w:spacing w:val="-75"/>
        </w:rPr>
        <w:t> </w:t>
      </w:r>
      <w:r>
        <w:rPr>
          <w:rFonts w:ascii="Arial" w:hAnsi="Arial" w:cs="Arial" w:eastAsia="Arial" w:hint="default"/>
          <w:spacing w:val="-5"/>
        </w:rPr>
        <w:t>2%</w:t>
      </w:r>
      <w:r>
        <w:rPr>
          <w:spacing w:val="-5"/>
        </w:rPr>
        <w:t>。联通集</w:t>
      </w:r>
      <w:r>
        <w:rPr>
          <w:w w:val="99"/>
        </w:rPr>
        <w:t> </w:t>
      </w:r>
      <w:r>
        <w:rPr>
          <w:spacing w:val="2"/>
        </w:rPr>
        <w:t>团承诺，在增持计划实施期间及法定期限内不减持其所持有的本公司股份。至本报告期末，</w:t>
      </w:r>
      <w:r>
        <w:rPr>
          <w:w w:val="99"/>
        </w:rPr>
        <w:t> </w:t>
      </w:r>
      <w:r>
        <w:rPr/>
        <w:t>该项承诺得以履行，具体详见本公司</w:t>
      </w:r>
      <w:r>
        <w:rPr>
          <w:spacing w:val="-53"/>
        </w:rPr>
        <w:t> </w:t>
      </w:r>
      <w:r>
        <w:rPr>
          <w:rFonts w:ascii="Arial" w:hAnsi="Arial" w:cs="Arial" w:eastAsia="Arial" w:hint="default"/>
        </w:rPr>
        <w:t>2009</w:t>
      </w:r>
      <w:r>
        <w:rPr>
          <w:rFonts w:ascii="Arial" w:hAnsi="Arial" w:cs="Arial" w:eastAsia="Arial" w:hint="default"/>
          <w:spacing w:val="-5"/>
        </w:rPr>
        <w:t> </w:t>
      </w:r>
      <w:r>
        <w:rPr/>
        <w:t>年</w:t>
      </w:r>
      <w:r>
        <w:rPr>
          <w:spacing w:val="-53"/>
        </w:rPr>
        <w:t> </w:t>
      </w:r>
      <w:r>
        <w:rPr>
          <w:rFonts w:ascii="Arial" w:hAnsi="Arial" w:cs="Arial" w:eastAsia="Arial" w:hint="default"/>
        </w:rPr>
        <w:t>9</w:t>
      </w:r>
      <w:r>
        <w:rPr>
          <w:rFonts w:ascii="Arial" w:hAnsi="Arial" w:cs="Arial" w:eastAsia="Arial" w:hint="default"/>
          <w:spacing w:val="-5"/>
        </w:rPr>
        <w:t> </w:t>
      </w:r>
      <w:r>
        <w:rPr/>
        <w:t>月</w:t>
      </w:r>
      <w:r>
        <w:rPr>
          <w:spacing w:val="-54"/>
        </w:rPr>
        <w:t> </w:t>
      </w:r>
      <w:r>
        <w:rPr>
          <w:rFonts w:ascii="Arial" w:hAnsi="Arial" w:cs="Arial" w:eastAsia="Arial" w:hint="default"/>
        </w:rPr>
        <w:t>29</w:t>
      </w:r>
      <w:r>
        <w:rPr>
          <w:rFonts w:ascii="Arial" w:hAnsi="Arial" w:cs="Arial" w:eastAsia="Arial" w:hint="default"/>
          <w:spacing w:val="-5"/>
        </w:rPr>
        <w:t> </w:t>
      </w:r>
      <w:r>
        <w:rPr/>
        <w:t>日发布的《关于控股股东增持本公司股</w:t>
      </w:r>
      <w:r>
        <w:rPr>
          <w:w w:val="99"/>
        </w:rPr>
        <w:t> </w:t>
      </w:r>
      <w:r>
        <w:rPr/>
        <w:t>份计划实施完毕的公告》（编号：临时</w:t>
      </w:r>
      <w:r>
        <w:rPr>
          <w:spacing w:val="-59"/>
        </w:rPr>
        <w:t> </w:t>
      </w:r>
      <w:r>
        <w:rPr>
          <w:rFonts w:ascii="Arial" w:hAnsi="Arial" w:cs="Arial" w:eastAsia="Arial" w:hint="default"/>
        </w:rPr>
        <w:t>2009-030</w:t>
      </w:r>
      <w:r>
        <w:rPr/>
        <w:t>）。</w:t>
      </w:r>
    </w:p>
    <w:p>
      <w:pPr>
        <w:spacing w:line="240" w:lineRule="auto" w:before="4"/>
        <w:rPr>
          <w:rFonts w:ascii="宋体" w:hAnsi="宋体" w:cs="宋体" w:eastAsia="宋体" w:hint="default"/>
          <w:sz w:val="17"/>
          <w:szCs w:val="17"/>
        </w:rPr>
      </w:pPr>
    </w:p>
    <w:p>
      <w:pPr>
        <w:pStyle w:val="BodyText"/>
        <w:spacing w:line="240" w:lineRule="auto" w:before="31"/>
        <w:ind w:left="119" w:right="3260"/>
        <w:jc w:val="left"/>
      </w:pPr>
      <w:r>
        <w:rPr/>
        <w:t>（八）聘任、解聘会计师事务所情况</w:t>
      </w:r>
    </w:p>
    <w:p>
      <w:pPr>
        <w:spacing w:before="16"/>
        <w:ind w:left="0" w:right="137" w:firstLine="0"/>
        <w:jc w:val="right"/>
        <w:rPr>
          <w:rFonts w:ascii="宋体" w:hAnsi="宋体" w:cs="宋体" w:eastAsia="宋体" w:hint="default"/>
          <w:sz w:val="20"/>
          <w:szCs w:val="20"/>
        </w:rPr>
      </w:pPr>
      <w:r>
        <w:rPr>
          <w:rFonts w:ascii="宋体" w:hAnsi="宋体" w:cs="宋体" w:eastAsia="宋体" w:hint="default"/>
          <w:sz w:val="20"/>
          <w:szCs w:val="20"/>
        </w:rPr>
        <w:t>单位</w:t>
      </w:r>
      <w:r>
        <w:rPr>
          <w:rFonts w:ascii="Arial" w:hAnsi="Arial" w:cs="Arial" w:eastAsia="Arial" w:hint="default"/>
          <w:sz w:val="20"/>
          <w:szCs w:val="20"/>
        </w:rPr>
        <w:t>:</w:t>
      </w:r>
      <w:r>
        <w:rPr>
          <w:rFonts w:ascii="宋体" w:hAnsi="宋体" w:cs="宋体" w:eastAsia="宋体" w:hint="default"/>
          <w:sz w:val="20"/>
          <w:szCs w:val="20"/>
        </w:rPr>
        <w:t>万元</w:t>
      </w:r>
      <w:r>
        <w:rPr>
          <w:rFonts w:ascii="宋体" w:hAnsi="宋体" w:cs="宋体" w:eastAsia="宋体" w:hint="default"/>
          <w:spacing w:val="-2"/>
          <w:sz w:val="20"/>
          <w:szCs w:val="20"/>
        </w:rPr>
        <w:t> </w:t>
      </w:r>
      <w:r>
        <w:rPr>
          <w:rFonts w:ascii="宋体" w:hAnsi="宋体" w:cs="宋体" w:eastAsia="宋体" w:hint="default"/>
          <w:sz w:val="20"/>
          <w:szCs w:val="20"/>
        </w:rPr>
        <w:t>币种</w:t>
      </w:r>
      <w:r>
        <w:rPr>
          <w:rFonts w:ascii="Arial" w:hAnsi="Arial" w:cs="Arial" w:eastAsia="Arial" w:hint="default"/>
          <w:sz w:val="20"/>
          <w:szCs w:val="20"/>
        </w:rPr>
        <w:t>:</w:t>
      </w:r>
      <w:r>
        <w:rPr>
          <w:rFonts w:ascii="宋体" w:hAnsi="宋体" w:cs="宋体" w:eastAsia="宋体" w:hint="default"/>
          <w:sz w:val="20"/>
          <w:szCs w:val="20"/>
        </w:rPr>
        <w:t>人民币</w:t>
      </w:r>
    </w:p>
    <w:tbl>
      <w:tblPr>
        <w:tblW w:w="0" w:type="auto"/>
        <w:jc w:val="left"/>
        <w:tblInd w:w="672" w:type="dxa"/>
        <w:tblLayout w:type="fixed"/>
        <w:tblCellMar>
          <w:top w:w="0" w:type="dxa"/>
          <w:left w:w="0" w:type="dxa"/>
          <w:bottom w:w="0" w:type="dxa"/>
          <w:right w:w="0" w:type="dxa"/>
        </w:tblCellMar>
        <w:tblLook w:val="01E0"/>
      </w:tblPr>
      <w:tblGrid>
        <w:gridCol w:w="2743"/>
        <w:gridCol w:w="3100"/>
        <w:gridCol w:w="3098"/>
      </w:tblGrid>
      <w:tr>
        <w:trPr>
          <w:trHeight w:val="295" w:hRule="exact"/>
        </w:trPr>
        <w:tc>
          <w:tcPr>
            <w:tcW w:w="2743" w:type="dxa"/>
            <w:tcBorders>
              <w:top w:val="single" w:sz="6" w:space="0" w:color="000000"/>
              <w:left w:val="single" w:sz="6" w:space="0" w:color="000000"/>
              <w:bottom w:val="single" w:sz="6" w:space="0" w:color="000000"/>
              <w:right w:val="single" w:sz="6" w:space="0" w:color="000000"/>
            </w:tcBorders>
          </w:tcPr>
          <w:p>
            <w:pPr>
              <w:pStyle w:val="TableParagraph"/>
              <w:spacing w:line="254" w:lineRule="exact"/>
              <w:ind w:left="100" w:right="0"/>
              <w:jc w:val="left"/>
              <w:rPr>
                <w:rFonts w:ascii="宋体" w:hAnsi="宋体" w:cs="宋体" w:eastAsia="宋体" w:hint="default"/>
                <w:sz w:val="20"/>
                <w:szCs w:val="20"/>
              </w:rPr>
            </w:pPr>
            <w:r>
              <w:rPr>
                <w:rFonts w:ascii="宋体" w:hAnsi="宋体" w:cs="宋体" w:eastAsia="宋体" w:hint="default"/>
                <w:sz w:val="20"/>
                <w:szCs w:val="20"/>
              </w:rPr>
              <w:t>是否改聘会计师事务所：</w:t>
            </w:r>
          </w:p>
        </w:tc>
        <w:tc>
          <w:tcPr>
            <w:tcW w:w="61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54" w:lineRule="exact"/>
              <w:ind w:right="97"/>
              <w:jc w:val="right"/>
              <w:rPr>
                <w:rFonts w:ascii="宋体" w:hAnsi="宋体" w:cs="宋体" w:eastAsia="宋体" w:hint="default"/>
                <w:sz w:val="20"/>
                <w:szCs w:val="20"/>
              </w:rPr>
            </w:pPr>
            <w:r>
              <w:rPr>
                <w:rFonts w:ascii="宋体" w:hAnsi="宋体" w:cs="宋体" w:eastAsia="宋体" w:hint="default"/>
                <w:w w:val="100"/>
                <w:sz w:val="20"/>
                <w:szCs w:val="20"/>
              </w:rPr>
              <w:t>否</w:t>
            </w:r>
          </w:p>
        </w:tc>
      </w:tr>
      <w:tr>
        <w:trPr>
          <w:trHeight w:val="295" w:hRule="exact"/>
        </w:trPr>
        <w:tc>
          <w:tcPr>
            <w:tcW w:w="2743" w:type="dxa"/>
            <w:tcBorders>
              <w:top w:val="single" w:sz="6" w:space="0" w:color="000000"/>
              <w:left w:val="single" w:sz="6" w:space="0" w:color="000000"/>
              <w:bottom w:val="single" w:sz="6" w:space="0" w:color="000000"/>
              <w:right w:val="single" w:sz="6" w:space="0" w:color="000000"/>
            </w:tcBorders>
          </w:tcPr>
          <w:p>
            <w:pP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54" w:lineRule="exact"/>
              <w:ind w:right="0"/>
              <w:jc w:val="center"/>
              <w:rPr>
                <w:rFonts w:ascii="宋体" w:hAnsi="宋体" w:cs="宋体" w:eastAsia="宋体" w:hint="default"/>
                <w:sz w:val="20"/>
                <w:szCs w:val="20"/>
              </w:rPr>
            </w:pPr>
            <w:r>
              <w:rPr>
                <w:rFonts w:ascii="宋体" w:hAnsi="宋体" w:cs="宋体" w:eastAsia="宋体" w:hint="default"/>
                <w:sz w:val="20"/>
                <w:szCs w:val="20"/>
              </w:rPr>
              <w:t>原聘任</w:t>
            </w:r>
          </w:p>
        </w:tc>
        <w:tc>
          <w:tcPr>
            <w:tcW w:w="3098" w:type="dxa"/>
            <w:tcBorders>
              <w:top w:val="single" w:sz="6" w:space="0" w:color="000000"/>
              <w:left w:val="single" w:sz="6" w:space="0" w:color="000000"/>
              <w:bottom w:val="single" w:sz="6" w:space="0" w:color="000000"/>
              <w:right w:val="single" w:sz="6" w:space="0" w:color="000000"/>
            </w:tcBorders>
          </w:tcPr>
          <w:p>
            <w:pPr>
              <w:pStyle w:val="TableParagraph"/>
              <w:spacing w:line="254" w:lineRule="exact"/>
              <w:ind w:right="1"/>
              <w:jc w:val="center"/>
              <w:rPr>
                <w:rFonts w:ascii="宋体" w:hAnsi="宋体" w:cs="宋体" w:eastAsia="宋体" w:hint="default"/>
                <w:sz w:val="20"/>
                <w:szCs w:val="20"/>
              </w:rPr>
            </w:pPr>
            <w:r>
              <w:rPr>
                <w:rFonts w:ascii="宋体" w:hAnsi="宋体" w:cs="宋体" w:eastAsia="宋体" w:hint="default"/>
                <w:sz w:val="20"/>
                <w:szCs w:val="20"/>
              </w:rPr>
              <w:t>现聘任</w:t>
            </w:r>
          </w:p>
        </w:tc>
      </w:tr>
      <w:tr>
        <w:trPr>
          <w:trHeight w:val="575" w:hRule="exact"/>
        </w:trPr>
        <w:tc>
          <w:tcPr>
            <w:tcW w:w="27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00" w:right="0"/>
              <w:jc w:val="left"/>
              <w:rPr>
                <w:rFonts w:ascii="宋体" w:hAnsi="宋体" w:cs="宋体" w:eastAsia="宋体" w:hint="default"/>
                <w:sz w:val="20"/>
                <w:szCs w:val="20"/>
              </w:rPr>
            </w:pPr>
            <w:r>
              <w:rPr>
                <w:rFonts w:ascii="宋体" w:hAnsi="宋体" w:cs="宋体" w:eastAsia="宋体" w:hint="default"/>
                <w:sz w:val="20"/>
                <w:szCs w:val="20"/>
              </w:rPr>
              <w:t>境内会计师事务所名称</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56" w:lineRule="auto"/>
              <w:ind w:left="100" w:right="181"/>
              <w:jc w:val="left"/>
              <w:rPr>
                <w:rFonts w:ascii="宋体" w:hAnsi="宋体" w:cs="宋体" w:eastAsia="宋体" w:hint="default"/>
                <w:sz w:val="20"/>
                <w:szCs w:val="20"/>
              </w:rPr>
            </w:pPr>
            <w:r>
              <w:rPr>
                <w:rFonts w:ascii="宋体" w:hAnsi="宋体" w:cs="宋体" w:eastAsia="宋体" w:hint="default"/>
                <w:sz w:val="20"/>
                <w:szCs w:val="20"/>
              </w:rPr>
              <w:t>普华永道中天会计师事务所有限</w:t>
            </w:r>
            <w:r>
              <w:rPr>
                <w:rFonts w:ascii="宋体" w:hAnsi="宋体" w:cs="宋体" w:eastAsia="宋体" w:hint="default"/>
                <w:w w:val="100"/>
                <w:sz w:val="20"/>
                <w:szCs w:val="20"/>
              </w:rPr>
              <w:t> </w:t>
            </w:r>
            <w:r>
              <w:rPr>
                <w:rFonts w:ascii="宋体" w:hAnsi="宋体" w:cs="宋体" w:eastAsia="宋体" w:hint="default"/>
                <w:sz w:val="20"/>
                <w:szCs w:val="20"/>
              </w:rPr>
              <w:t>公司</w:t>
            </w:r>
          </w:p>
        </w:tc>
        <w:tc>
          <w:tcPr>
            <w:tcW w:w="3098" w:type="dxa"/>
            <w:tcBorders>
              <w:top w:val="single" w:sz="6" w:space="0" w:color="000000"/>
              <w:left w:val="single" w:sz="6" w:space="0" w:color="000000"/>
              <w:bottom w:val="single" w:sz="6" w:space="0" w:color="000000"/>
              <w:right w:val="single" w:sz="6" w:space="0" w:color="000000"/>
            </w:tcBorders>
          </w:tcPr>
          <w:p>
            <w:pPr>
              <w:pStyle w:val="TableParagraph"/>
              <w:spacing w:line="256" w:lineRule="auto"/>
              <w:ind w:left="100" w:right="180"/>
              <w:jc w:val="left"/>
              <w:rPr>
                <w:rFonts w:ascii="宋体" w:hAnsi="宋体" w:cs="宋体" w:eastAsia="宋体" w:hint="default"/>
                <w:sz w:val="20"/>
                <w:szCs w:val="20"/>
              </w:rPr>
            </w:pPr>
            <w:r>
              <w:rPr>
                <w:rFonts w:ascii="宋体" w:hAnsi="宋体" w:cs="宋体" w:eastAsia="宋体" w:hint="default"/>
                <w:sz w:val="20"/>
                <w:szCs w:val="20"/>
              </w:rPr>
              <w:t>普华永道中天会计师事务所有限</w:t>
            </w:r>
            <w:r>
              <w:rPr>
                <w:rFonts w:ascii="宋体" w:hAnsi="宋体" w:cs="宋体" w:eastAsia="宋体" w:hint="default"/>
                <w:w w:val="100"/>
                <w:sz w:val="20"/>
                <w:szCs w:val="20"/>
              </w:rPr>
              <w:t> </w:t>
            </w:r>
            <w:r>
              <w:rPr>
                <w:rFonts w:ascii="宋体" w:hAnsi="宋体" w:cs="宋体" w:eastAsia="宋体" w:hint="default"/>
                <w:sz w:val="20"/>
                <w:szCs w:val="20"/>
              </w:rPr>
              <w:t>公司</w:t>
            </w:r>
          </w:p>
        </w:tc>
      </w:tr>
      <w:tr>
        <w:trPr>
          <w:trHeight w:val="295" w:hRule="exact"/>
        </w:trPr>
        <w:tc>
          <w:tcPr>
            <w:tcW w:w="2743" w:type="dxa"/>
            <w:tcBorders>
              <w:top w:val="single" w:sz="6" w:space="0" w:color="000000"/>
              <w:left w:val="single" w:sz="6" w:space="0" w:color="000000"/>
              <w:bottom w:val="single" w:sz="6" w:space="0" w:color="000000"/>
              <w:right w:val="single" w:sz="6" w:space="0" w:color="000000"/>
            </w:tcBorders>
          </w:tcPr>
          <w:p>
            <w:pPr>
              <w:pStyle w:val="TableParagraph"/>
              <w:spacing w:line="254" w:lineRule="exact"/>
              <w:ind w:left="100" w:right="0"/>
              <w:jc w:val="left"/>
              <w:rPr>
                <w:rFonts w:ascii="宋体" w:hAnsi="宋体" w:cs="宋体" w:eastAsia="宋体" w:hint="default"/>
                <w:sz w:val="20"/>
                <w:szCs w:val="20"/>
              </w:rPr>
            </w:pPr>
            <w:r>
              <w:rPr>
                <w:rFonts w:ascii="宋体" w:hAnsi="宋体" w:cs="宋体" w:eastAsia="宋体" w:hint="default"/>
                <w:sz w:val="20"/>
                <w:szCs w:val="20"/>
              </w:rPr>
              <w:t>境内会计师事务所报酬</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right="98"/>
              <w:jc w:val="right"/>
              <w:rPr>
                <w:rFonts w:ascii="Arial" w:hAnsi="Arial" w:cs="Arial" w:eastAsia="Arial" w:hint="default"/>
                <w:sz w:val="20"/>
                <w:szCs w:val="20"/>
              </w:rPr>
            </w:pPr>
            <w:r>
              <w:rPr>
                <w:rFonts w:ascii="Arial"/>
                <w:sz w:val="20"/>
              </w:rPr>
              <w:t>401.4</w:t>
            </w:r>
          </w:p>
        </w:tc>
        <w:tc>
          <w:tcPr>
            <w:tcW w:w="30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right="98"/>
              <w:jc w:val="right"/>
              <w:rPr>
                <w:rFonts w:ascii="Arial" w:hAnsi="Arial" w:cs="Arial" w:eastAsia="Arial" w:hint="default"/>
                <w:sz w:val="20"/>
                <w:szCs w:val="20"/>
              </w:rPr>
            </w:pPr>
            <w:r>
              <w:rPr>
                <w:rFonts w:ascii="Arial"/>
                <w:sz w:val="20"/>
              </w:rPr>
              <w:t>380</w:t>
            </w:r>
          </w:p>
        </w:tc>
      </w:tr>
      <w:tr>
        <w:trPr>
          <w:trHeight w:val="295" w:hRule="exact"/>
        </w:trPr>
        <w:tc>
          <w:tcPr>
            <w:tcW w:w="2743" w:type="dxa"/>
            <w:tcBorders>
              <w:top w:val="single" w:sz="6" w:space="0" w:color="000000"/>
              <w:left w:val="single" w:sz="6" w:space="0" w:color="000000"/>
              <w:bottom w:val="single" w:sz="6" w:space="0" w:color="000000"/>
              <w:right w:val="single" w:sz="6" w:space="0" w:color="000000"/>
            </w:tcBorders>
          </w:tcPr>
          <w:p>
            <w:pPr>
              <w:pStyle w:val="TableParagraph"/>
              <w:spacing w:line="254" w:lineRule="exact"/>
              <w:ind w:left="100" w:right="0"/>
              <w:jc w:val="left"/>
              <w:rPr>
                <w:rFonts w:ascii="宋体" w:hAnsi="宋体" w:cs="宋体" w:eastAsia="宋体" w:hint="default"/>
                <w:sz w:val="20"/>
                <w:szCs w:val="20"/>
              </w:rPr>
            </w:pPr>
            <w:r>
              <w:rPr>
                <w:rFonts w:ascii="宋体" w:hAnsi="宋体" w:cs="宋体" w:eastAsia="宋体" w:hint="default"/>
                <w:sz w:val="20"/>
                <w:szCs w:val="20"/>
              </w:rPr>
              <w:t>境内会计师事务所审计年限</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right="98"/>
              <w:jc w:val="right"/>
              <w:rPr>
                <w:rFonts w:ascii="Arial" w:hAnsi="Arial" w:cs="Arial" w:eastAsia="Arial" w:hint="default"/>
                <w:sz w:val="20"/>
                <w:szCs w:val="20"/>
              </w:rPr>
            </w:pPr>
            <w:r>
              <w:rPr>
                <w:rFonts w:ascii="Arial"/>
                <w:w w:val="100"/>
                <w:sz w:val="20"/>
              </w:rPr>
              <w:t>7</w:t>
            </w:r>
          </w:p>
        </w:tc>
        <w:tc>
          <w:tcPr>
            <w:tcW w:w="30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right="100"/>
              <w:jc w:val="right"/>
              <w:rPr>
                <w:rFonts w:ascii="Arial" w:hAnsi="Arial" w:cs="Arial" w:eastAsia="Arial" w:hint="default"/>
                <w:sz w:val="20"/>
                <w:szCs w:val="20"/>
              </w:rPr>
            </w:pPr>
            <w:r>
              <w:rPr>
                <w:rFonts w:ascii="Arial"/>
                <w:w w:val="100"/>
                <w:sz w:val="20"/>
              </w:rPr>
              <w:t>8</w:t>
            </w:r>
          </w:p>
        </w:tc>
      </w:tr>
    </w:tbl>
    <w:p>
      <w:pPr>
        <w:spacing w:line="240" w:lineRule="auto" w:before="6"/>
        <w:rPr>
          <w:rFonts w:ascii="宋体" w:hAnsi="宋体" w:cs="宋体" w:eastAsia="宋体" w:hint="default"/>
          <w:sz w:val="17"/>
          <w:szCs w:val="17"/>
        </w:rPr>
      </w:pPr>
    </w:p>
    <w:p>
      <w:pPr>
        <w:pStyle w:val="BodyText"/>
        <w:spacing w:line="280" w:lineRule="exact" w:before="64"/>
        <w:ind w:left="749" w:right="125"/>
        <w:jc w:val="left"/>
      </w:pPr>
      <w:r>
        <w:rPr/>
        <w:t>鉴于普华永道在过去几年担任外部审计师期间的工作表现以及为保持审计工作的延续性及提</w:t>
      </w:r>
      <w:r>
        <w:rPr>
          <w:spacing w:val="-50"/>
        </w:rPr>
        <w:t> </w:t>
      </w:r>
      <w:r>
        <w:rPr>
          <w:spacing w:val="-50"/>
        </w:rPr>
      </w:r>
      <w:r>
        <w:rPr>
          <w:spacing w:val="-6"/>
        </w:rPr>
        <w:t>高工作效率，建议</w:t>
      </w:r>
      <w:r>
        <w:rPr>
          <w:spacing w:val="-76"/>
        </w:rPr>
        <w:t> </w:t>
      </w:r>
      <w:r>
        <w:rPr>
          <w:rFonts w:ascii="Arial" w:hAnsi="Arial" w:cs="Arial" w:eastAsia="Arial" w:hint="default"/>
        </w:rPr>
        <w:t>2010</w:t>
      </w:r>
      <w:r>
        <w:rPr>
          <w:rFonts w:ascii="Arial" w:hAnsi="Arial" w:cs="Arial" w:eastAsia="Arial" w:hint="default"/>
          <w:spacing w:val="-27"/>
        </w:rPr>
        <w:t> </w:t>
      </w:r>
      <w:r>
        <w:rPr/>
        <w:t>年度继续聘请普华永道中天会计师事务所担任外部审计师，为公司提</w:t>
      </w:r>
    </w:p>
    <w:p>
      <w:pPr>
        <w:pStyle w:val="BodyText"/>
        <w:spacing w:line="270" w:lineRule="exact"/>
        <w:ind w:left="749" w:right="125"/>
        <w:jc w:val="left"/>
      </w:pPr>
      <w:r>
        <w:rPr/>
        <w:t>供包括</w:t>
      </w:r>
      <w:r>
        <w:rPr>
          <w:spacing w:val="-57"/>
        </w:rPr>
        <w:t> </w:t>
      </w:r>
      <w:r>
        <w:rPr>
          <w:rFonts w:ascii="Arial" w:hAnsi="Arial" w:cs="Arial" w:eastAsia="Arial" w:hint="default"/>
        </w:rPr>
        <w:t>2010</w:t>
      </w:r>
      <w:r>
        <w:rPr>
          <w:rFonts w:ascii="Arial" w:hAnsi="Arial" w:cs="Arial" w:eastAsia="Arial" w:hint="default"/>
          <w:spacing w:val="-8"/>
        </w:rPr>
        <w:t> </w:t>
      </w:r>
      <w:r>
        <w:rPr/>
        <w:t>年年度审计、半年报审阅、季报商定程序等专业服务。</w:t>
      </w:r>
    </w:p>
    <w:p>
      <w:pPr>
        <w:spacing w:line="240" w:lineRule="auto" w:before="8"/>
        <w:rPr>
          <w:rFonts w:ascii="宋体" w:hAnsi="宋体" w:cs="宋体" w:eastAsia="宋体" w:hint="default"/>
          <w:sz w:val="19"/>
          <w:szCs w:val="19"/>
        </w:rPr>
      </w:pPr>
    </w:p>
    <w:p>
      <w:pPr>
        <w:pStyle w:val="BodyText"/>
        <w:spacing w:line="240" w:lineRule="auto"/>
        <w:ind w:left="119" w:right="125"/>
        <w:jc w:val="left"/>
      </w:pPr>
      <w:r>
        <w:rPr/>
        <w:t>（九）上市公司及其董事、监事、高级管理人员、公司股东、实际控制人处罚及整改情况</w:t>
      </w:r>
    </w:p>
    <w:p>
      <w:pPr>
        <w:spacing w:line="240" w:lineRule="auto" w:before="3"/>
        <w:rPr>
          <w:rFonts w:ascii="宋体" w:hAnsi="宋体" w:cs="宋体" w:eastAsia="宋体" w:hint="default"/>
          <w:sz w:val="23"/>
          <w:szCs w:val="23"/>
        </w:rPr>
      </w:pPr>
    </w:p>
    <w:p>
      <w:pPr>
        <w:pStyle w:val="BodyText"/>
        <w:spacing w:line="280" w:lineRule="exact"/>
        <w:ind w:left="764" w:right="180"/>
        <w:jc w:val="left"/>
      </w:pPr>
      <w:r>
        <w:rPr/>
        <w:t>本年度公司及其董事、监事、高级管理人员、公司股东、实际控制人均未受中国证监会的稽</w:t>
      </w:r>
      <w:r>
        <w:rPr>
          <w:w w:val="99"/>
        </w:rPr>
        <w:t> </w:t>
      </w:r>
      <w:r>
        <w:rPr/>
        <w:t>查、行政处罚、通报批评及证券交易所的公开谴责。</w:t>
      </w:r>
    </w:p>
    <w:p>
      <w:pPr>
        <w:spacing w:line="240" w:lineRule="auto" w:before="11"/>
        <w:rPr>
          <w:rFonts w:ascii="宋体" w:hAnsi="宋体" w:cs="宋体" w:eastAsia="宋体" w:hint="default"/>
          <w:sz w:val="18"/>
          <w:szCs w:val="18"/>
        </w:rPr>
      </w:pPr>
    </w:p>
    <w:p>
      <w:pPr>
        <w:pStyle w:val="BodyText"/>
        <w:spacing w:line="468" w:lineRule="auto"/>
        <w:ind w:left="764" w:right="6120" w:hanging="645"/>
        <w:jc w:val="left"/>
      </w:pPr>
      <w:r>
        <w:rPr/>
        <w:t>（十）其他重大事项的说明</w:t>
      </w:r>
      <w:r>
        <w:rPr>
          <w:w w:val="99"/>
        </w:rPr>
        <w:t> </w:t>
      </w:r>
      <w:r>
        <w:rPr/>
        <w:t>本年度公司无其他重大事项。</w:t>
      </w:r>
    </w:p>
    <w:p>
      <w:pPr>
        <w:spacing w:after="0" w:line="468" w:lineRule="auto"/>
        <w:jc w:val="left"/>
        <w:sectPr>
          <w:pgSz w:w="11910" w:h="16840"/>
          <w:pgMar w:header="587" w:footer="774" w:top="960" w:bottom="960" w:left="1000" w:right="1140"/>
        </w:sectPr>
      </w:pPr>
    </w:p>
    <w:p>
      <w:pPr>
        <w:spacing w:line="240" w:lineRule="auto" w:before="6"/>
        <w:rPr>
          <w:rFonts w:ascii="宋体" w:hAnsi="宋体" w:cs="宋体" w:eastAsia="宋体" w:hint="default"/>
          <w:sz w:val="12"/>
          <w:szCs w:val="12"/>
        </w:rPr>
      </w:pPr>
    </w:p>
    <w:p>
      <w:pPr>
        <w:pStyle w:val="BodyText"/>
        <w:spacing w:line="240" w:lineRule="auto" w:before="31"/>
        <w:ind w:left="149" w:right="0"/>
        <w:jc w:val="left"/>
      </w:pPr>
      <w:r>
        <w:rPr/>
        <w:t>（十一）</w:t>
      </w:r>
      <w:r>
        <w:rPr>
          <w:spacing w:val="-2"/>
        </w:rPr>
        <w:t> </w:t>
      </w:r>
      <w:r>
        <w:rPr/>
        <w:t>信息披露索引</w:t>
      </w:r>
    </w:p>
    <w:p>
      <w:pPr>
        <w:spacing w:line="240" w:lineRule="auto" w:before="11"/>
        <w:rPr>
          <w:rFonts w:ascii="宋体" w:hAnsi="宋体" w:cs="宋体" w:eastAsia="宋体" w:hint="default"/>
          <w:sz w:val="21"/>
          <w:szCs w:val="21"/>
        </w:rPr>
      </w:pPr>
    </w:p>
    <w:tbl>
      <w:tblPr>
        <w:tblW w:w="0" w:type="auto"/>
        <w:jc w:val="left"/>
        <w:tblInd w:w="133" w:type="dxa"/>
        <w:tblLayout w:type="fixed"/>
        <w:tblCellMar>
          <w:top w:w="0" w:type="dxa"/>
          <w:left w:w="0" w:type="dxa"/>
          <w:bottom w:w="0" w:type="dxa"/>
          <w:right w:w="0" w:type="dxa"/>
        </w:tblCellMar>
        <w:tblLook w:val="01E0"/>
      </w:tblPr>
      <w:tblGrid>
        <w:gridCol w:w="1992"/>
        <w:gridCol w:w="2215"/>
        <w:gridCol w:w="1901"/>
        <w:gridCol w:w="3192"/>
      </w:tblGrid>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right="0"/>
              <w:jc w:val="center"/>
              <w:rPr>
                <w:rFonts w:ascii="宋体" w:hAnsi="宋体" w:cs="宋体" w:eastAsia="宋体" w:hint="default"/>
                <w:sz w:val="20"/>
                <w:szCs w:val="20"/>
              </w:rPr>
            </w:pPr>
            <w:r>
              <w:rPr>
                <w:rFonts w:ascii="宋体" w:hAnsi="宋体" w:cs="宋体" w:eastAsia="宋体" w:hint="default"/>
                <w:sz w:val="20"/>
                <w:szCs w:val="20"/>
              </w:rPr>
              <w:t>事项</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 w:right="0"/>
              <w:jc w:val="center"/>
              <w:rPr>
                <w:rFonts w:ascii="宋体" w:hAnsi="宋体" w:cs="宋体" w:eastAsia="宋体" w:hint="default"/>
                <w:sz w:val="20"/>
                <w:szCs w:val="20"/>
              </w:rPr>
            </w:pPr>
            <w:r>
              <w:rPr>
                <w:rFonts w:ascii="宋体" w:hAnsi="宋体" w:cs="宋体" w:eastAsia="宋体" w:hint="default"/>
                <w:sz w:val="20"/>
                <w:szCs w:val="20"/>
              </w:rPr>
              <w:t>刊载的报刊名称及版</w:t>
            </w:r>
          </w:p>
          <w:p>
            <w:pPr>
              <w:pStyle w:val="TableParagraph"/>
              <w:spacing w:line="260" w:lineRule="exact"/>
              <w:ind w:right="1"/>
              <w:jc w:val="center"/>
              <w:rPr>
                <w:rFonts w:ascii="宋体" w:hAnsi="宋体" w:cs="宋体" w:eastAsia="宋体" w:hint="default"/>
                <w:sz w:val="20"/>
                <w:szCs w:val="20"/>
              </w:rPr>
            </w:pPr>
            <w:r>
              <w:rPr>
                <w:rFonts w:ascii="宋体" w:hAnsi="宋体" w:cs="宋体" w:eastAsia="宋体" w:hint="default"/>
                <w:w w:val="100"/>
                <w:sz w:val="20"/>
                <w:szCs w:val="20"/>
              </w:rPr>
              <w:t>面</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542" w:right="0"/>
              <w:jc w:val="left"/>
              <w:rPr>
                <w:rFonts w:ascii="宋体" w:hAnsi="宋体" w:cs="宋体" w:eastAsia="宋体" w:hint="default"/>
                <w:sz w:val="20"/>
                <w:szCs w:val="20"/>
              </w:rPr>
            </w:pPr>
            <w:r>
              <w:rPr>
                <w:rFonts w:ascii="宋体" w:hAnsi="宋体" w:cs="宋体" w:eastAsia="宋体" w:hint="default"/>
                <w:sz w:val="20"/>
                <w:szCs w:val="20"/>
              </w:rPr>
              <w:t>刊载日期</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288" w:right="0"/>
              <w:jc w:val="left"/>
              <w:rPr>
                <w:rFonts w:ascii="宋体" w:hAnsi="宋体" w:cs="宋体" w:eastAsia="宋体" w:hint="default"/>
                <w:sz w:val="20"/>
                <w:szCs w:val="20"/>
              </w:rPr>
            </w:pPr>
            <w:r>
              <w:rPr>
                <w:rFonts w:ascii="宋体" w:hAnsi="宋体" w:cs="宋体" w:eastAsia="宋体" w:hint="default"/>
                <w:sz w:val="20"/>
                <w:szCs w:val="20"/>
              </w:rPr>
              <w:t>刊载的互联网网站及检索路径</w:t>
            </w:r>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集团公司合并批准</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生效公告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A16</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C8</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7</w:t>
            </w:r>
            <w:r>
              <w:rPr>
                <w:rFonts w:ascii="Arial" w:hAnsi="Arial" w:cs="Arial" w:eastAsia="Arial" w:hint="default"/>
                <w:spacing w:val="-6"/>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宋体" w:hAnsi="宋体" w:cs="宋体" w:eastAsia="宋体" w:hint="default"/>
                <w:sz w:val="20"/>
                <w:szCs w:val="20"/>
              </w:rPr>
              <w:t>获得</w:t>
            </w:r>
            <w:r>
              <w:rPr>
                <w:rFonts w:ascii="宋体" w:hAnsi="宋体" w:cs="宋体" w:eastAsia="宋体" w:hint="default"/>
                <w:spacing w:val="-52"/>
                <w:sz w:val="20"/>
                <w:szCs w:val="20"/>
              </w:rPr>
              <w:t> </w:t>
            </w:r>
            <w:r>
              <w:rPr>
                <w:rFonts w:ascii="Arial" w:hAnsi="Arial" w:cs="Arial" w:eastAsia="Arial" w:hint="default"/>
                <w:sz w:val="20"/>
                <w:szCs w:val="20"/>
              </w:rPr>
              <w:t>3G</w:t>
            </w:r>
            <w:r>
              <w:rPr>
                <w:rFonts w:ascii="Arial" w:hAnsi="Arial" w:cs="Arial" w:eastAsia="Arial" w:hint="default"/>
                <w:spacing w:val="-7"/>
                <w:sz w:val="20"/>
                <w:szCs w:val="20"/>
              </w:rPr>
              <w:t> </w:t>
            </w:r>
            <w:r>
              <w:rPr>
                <w:rFonts w:ascii="宋体" w:hAnsi="宋体" w:cs="宋体" w:eastAsia="宋体" w:hint="default"/>
                <w:sz w:val="20"/>
                <w:szCs w:val="20"/>
              </w:rPr>
              <w:t>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C12</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C3</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8</w:t>
            </w:r>
            <w:r>
              <w:rPr>
                <w:rFonts w:ascii="Arial" w:hAnsi="Arial" w:cs="Arial" w:eastAsia="Arial" w:hint="default"/>
                <w:spacing w:val="-6"/>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8"/>
                <w:sz w:val="20"/>
                <w:szCs w:val="20"/>
              </w:rPr>
              <w:t> </w:t>
            </w:r>
            <w:r>
              <w:rPr>
                <w:rFonts w:ascii="宋体" w:hAnsi="宋体" w:cs="宋体" w:eastAsia="宋体" w:hint="default"/>
                <w:sz w:val="20"/>
                <w:szCs w:val="20"/>
              </w:rPr>
              <w:t>年第一次临时</w:t>
            </w:r>
          </w:p>
          <w:p>
            <w:pPr>
              <w:pStyle w:val="TableParagraph"/>
              <w:spacing w:line="253" w:lineRule="exact"/>
              <w:ind w:left="100" w:right="0"/>
              <w:jc w:val="left"/>
              <w:rPr>
                <w:rFonts w:ascii="宋体" w:hAnsi="宋体" w:cs="宋体" w:eastAsia="宋体" w:hint="default"/>
                <w:sz w:val="20"/>
                <w:szCs w:val="20"/>
              </w:rPr>
            </w:pPr>
            <w:r>
              <w:rPr>
                <w:rFonts w:ascii="宋体" w:hAnsi="宋体" w:cs="宋体" w:eastAsia="宋体" w:hint="default"/>
                <w:sz w:val="20"/>
                <w:szCs w:val="20"/>
              </w:rPr>
              <w:t>股东大会决议公告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D012</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C8</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15</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联通红筹公司股东</w:t>
            </w:r>
          </w:p>
          <w:p>
            <w:pPr>
              <w:pStyle w:val="TableParagraph"/>
              <w:spacing w:line="261" w:lineRule="exact"/>
              <w:ind w:left="100" w:right="0"/>
              <w:jc w:val="left"/>
              <w:rPr>
                <w:rFonts w:ascii="宋体" w:hAnsi="宋体" w:cs="宋体" w:eastAsia="宋体" w:hint="default"/>
                <w:sz w:val="20"/>
                <w:szCs w:val="20"/>
              </w:rPr>
            </w:pPr>
            <w:r>
              <w:rPr>
                <w:rFonts w:ascii="宋体" w:hAnsi="宋体" w:cs="宋体" w:eastAsia="宋体" w:hint="default"/>
                <w:sz w:val="20"/>
                <w:szCs w:val="20"/>
              </w:rPr>
              <w:t>大会决议公告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D012</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C8</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15</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3"/>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75"/>
                <w:sz w:val="20"/>
                <w:szCs w:val="20"/>
              </w:rPr>
              <w:t> </w:t>
            </w:r>
            <w:r>
              <w:rPr>
                <w:rFonts w:ascii="Arial" w:hAnsi="Arial" w:cs="Arial" w:eastAsia="Arial" w:hint="default"/>
                <w:sz w:val="20"/>
                <w:szCs w:val="20"/>
              </w:rPr>
              <w:t>2008</w:t>
            </w:r>
            <w:r>
              <w:rPr>
                <w:rFonts w:ascii="Arial" w:hAnsi="Arial" w:cs="Arial" w:eastAsia="Arial" w:hint="default"/>
                <w:spacing w:val="-30"/>
                <w:sz w:val="20"/>
                <w:szCs w:val="20"/>
              </w:rPr>
              <w:t> </w:t>
            </w:r>
            <w:r>
              <w:rPr>
                <w:rFonts w:ascii="宋体" w:hAnsi="宋体" w:cs="宋体" w:eastAsia="宋体" w:hint="default"/>
                <w:sz w:val="20"/>
                <w:szCs w:val="20"/>
              </w:rPr>
              <w:t>年</w:t>
            </w:r>
            <w:r>
              <w:rPr>
                <w:rFonts w:ascii="宋体" w:hAnsi="宋体" w:cs="宋体" w:eastAsia="宋体" w:hint="default"/>
                <w:spacing w:val="-76"/>
                <w:sz w:val="20"/>
                <w:szCs w:val="20"/>
              </w:rPr>
              <w:t> </w:t>
            </w:r>
            <w:r>
              <w:rPr>
                <w:rFonts w:ascii="Arial" w:hAnsi="Arial" w:cs="Arial" w:eastAsia="Arial" w:hint="default"/>
                <w:sz w:val="20"/>
                <w:szCs w:val="20"/>
              </w:rPr>
              <w:t>12</w:t>
            </w:r>
            <w:r>
              <w:rPr>
                <w:rFonts w:ascii="Arial" w:hAnsi="Arial" w:cs="Arial" w:eastAsia="Arial" w:hint="default"/>
                <w:spacing w:val="-30"/>
                <w:sz w:val="20"/>
                <w:szCs w:val="20"/>
              </w:rPr>
              <w:t> </w:t>
            </w:r>
            <w:r>
              <w:rPr>
                <w:rFonts w:ascii="宋体" w:hAnsi="宋体" w:cs="宋体" w:eastAsia="宋体" w:hint="default"/>
                <w:sz w:val="20"/>
                <w:szCs w:val="20"/>
              </w:rPr>
              <w:t>月份</w:t>
            </w:r>
          </w:p>
          <w:p>
            <w:pPr>
              <w:pStyle w:val="TableParagraph"/>
              <w:spacing w:line="253" w:lineRule="exact"/>
              <w:ind w:left="101" w:right="0"/>
              <w:jc w:val="left"/>
              <w:rPr>
                <w:rFonts w:ascii="宋体" w:hAnsi="宋体" w:cs="宋体" w:eastAsia="宋体" w:hint="default"/>
                <w:sz w:val="20"/>
                <w:szCs w:val="20"/>
              </w:rPr>
            </w:pPr>
            <w:r>
              <w:rPr>
                <w:rFonts w:ascii="宋体" w:hAnsi="宋体" w:cs="宋体" w:eastAsia="宋体" w:hint="default"/>
                <w:sz w:val="20"/>
                <w:szCs w:val="20"/>
              </w:rPr>
              <w:t>业务数据公告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D060</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C57</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21</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52"/>
                <w:sz w:val="20"/>
                <w:szCs w:val="20"/>
              </w:rPr>
              <w:t> </w:t>
            </w:r>
            <w:r>
              <w:rPr>
                <w:rFonts w:ascii="Arial" w:hAnsi="Arial" w:cs="Arial" w:eastAsia="Arial" w:hint="default"/>
                <w:sz w:val="20"/>
                <w:szCs w:val="20"/>
              </w:rPr>
              <w:t>2008</w:t>
            </w:r>
            <w:r>
              <w:rPr>
                <w:rFonts w:ascii="Arial" w:hAnsi="Arial" w:cs="Arial" w:eastAsia="Arial" w:hint="default"/>
                <w:spacing w:val="-7"/>
                <w:sz w:val="20"/>
                <w:szCs w:val="20"/>
              </w:rPr>
              <w:t> </w:t>
            </w:r>
            <w:r>
              <w:rPr>
                <w:rFonts w:ascii="宋体" w:hAnsi="宋体" w:cs="宋体" w:eastAsia="宋体" w:hint="default"/>
                <w:sz w:val="20"/>
                <w:szCs w:val="20"/>
              </w:rPr>
              <w:t>年业绩预</w:t>
            </w:r>
          </w:p>
          <w:p>
            <w:pPr>
              <w:pStyle w:val="TableParagraph"/>
              <w:spacing w:line="253" w:lineRule="exact"/>
              <w:ind w:left="100" w:right="0"/>
              <w:jc w:val="left"/>
              <w:rPr>
                <w:rFonts w:ascii="宋体" w:hAnsi="宋体" w:cs="宋体" w:eastAsia="宋体" w:hint="default"/>
                <w:sz w:val="20"/>
                <w:szCs w:val="20"/>
              </w:rPr>
            </w:pPr>
            <w:r>
              <w:rPr>
                <w:rFonts w:ascii="宋体" w:hAnsi="宋体" w:cs="宋体" w:eastAsia="宋体" w:hint="default"/>
                <w:sz w:val="20"/>
                <w:szCs w:val="20"/>
              </w:rPr>
              <w:t>告公告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D061</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C64</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23</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79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收购交易及相关网</w:t>
            </w:r>
          </w:p>
          <w:p>
            <w:pPr>
              <w:pStyle w:val="TableParagraph"/>
              <w:spacing w:line="260" w:lineRule="exact" w:before="24"/>
              <w:ind w:left="100" w:right="274"/>
              <w:jc w:val="left"/>
              <w:rPr>
                <w:rFonts w:ascii="宋体" w:hAnsi="宋体" w:cs="宋体" w:eastAsia="宋体" w:hint="default"/>
                <w:sz w:val="20"/>
                <w:szCs w:val="20"/>
              </w:rPr>
            </w:pPr>
            <w:r>
              <w:rPr>
                <w:rFonts w:ascii="宋体" w:hAnsi="宋体" w:cs="宋体" w:eastAsia="宋体" w:hint="default"/>
                <w:sz w:val="20"/>
                <w:szCs w:val="20"/>
              </w:rPr>
              <w:t>络租赁交易生效公</w:t>
            </w:r>
            <w:r>
              <w:rPr>
                <w:rFonts w:ascii="宋体" w:hAnsi="宋体" w:cs="宋体" w:eastAsia="宋体" w:hint="default"/>
                <w:w w:val="100"/>
                <w:sz w:val="20"/>
                <w:szCs w:val="20"/>
              </w:rPr>
              <w:t> </w:t>
            </w:r>
            <w:r>
              <w:rPr>
                <w:rFonts w:ascii="宋体" w:hAnsi="宋体" w:cs="宋体" w:eastAsia="宋体" w:hint="default"/>
                <w:sz w:val="20"/>
                <w:szCs w:val="20"/>
              </w:rPr>
              <w:t>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before="98"/>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A12</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C8</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6"/>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51"/>
                <w:sz w:val="20"/>
                <w:szCs w:val="20"/>
              </w:rPr>
              <w:t> </w:t>
            </w: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月份</w:t>
            </w:r>
          </w:p>
          <w:p>
            <w:pPr>
              <w:pStyle w:val="TableParagraph"/>
              <w:spacing w:line="253" w:lineRule="exact"/>
              <w:ind w:left="100" w:right="0"/>
              <w:jc w:val="left"/>
              <w:rPr>
                <w:rFonts w:ascii="宋体" w:hAnsi="宋体" w:cs="宋体" w:eastAsia="宋体" w:hint="default"/>
                <w:sz w:val="20"/>
                <w:szCs w:val="20"/>
              </w:rPr>
            </w:pPr>
            <w:r>
              <w:rPr>
                <w:rFonts w:ascii="宋体" w:hAnsi="宋体" w:cs="宋体" w:eastAsia="宋体" w:hint="default"/>
                <w:sz w:val="20"/>
                <w:szCs w:val="20"/>
              </w:rPr>
              <w:t>业务数据公告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C12</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C16</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20</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更换股改保荐人的</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通知</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D005</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C6</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26</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51"/>
                <w:sz w:val="20"/>
                <w:szCs w:val="20"/>
              </w:rPr>
              <w:t> </w:t>
            </w: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2</w:t>
            </w:r>
            <w:r>
              <w:rPr>
                <w:rFonts w:ascii="Arial" w:hAnsi="Arial" w:cs="Arial" w:eastAsia="Arial" w:hint="default"/>
                <w:spacing w:val="-7"/>
                <w:sz w:val="20"/>
                <w:szCs w:val="20"/>
              </w:rPr>
              <w:t> </w:t>
            </w:r>
            <w:r>
              <w:rPr>
                <w:rFonts w:ascii="宋体" w:hAnsi="宋体" w:cs="宋体" w:eastAsia="宋体" w:hint="default"/>
                <w:sz w:val="20"/>
                <w:szCs w:val="20"/>
              </w:rPr>
              <w:t>月份</w:t>
            </w:r>
          </w:p>
          <w:p>
            <w:pPr>
              <w:pStyle w:val="TableParagraph"/>
              <w:spacing w:line="254" w:lineRule="exact"/>
              <w:ind w:left="100" w:right="0"/>
              <w:jc w:val="left"/>
              <w:rPr>
                <w:rFonts w:ascii="宋体" w:hAnsi="宋体" w:cs="宋体" w:eastAsia="宋体" w:hint="default"/>
                <w:sz w:val="20"/>
                <w:szCs w:val="20"/>
              </w:rPr>
            </w:pPr>
            <w:r>
              <w:rPr>
                <w:rFonts w:ascii="宋体" w:hAnsi="宋体" w:cs="宋体" w:eastAsia="宋体" w:hint="default"/>
                <w:sz w:val="20"/>
                <w:szCs w:val="20"/>
              </w:rPr>
              <w:t>业务数据公告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B04</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C57</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20</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3"/>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52"/>
                <w:sz w:val="20"/>
                <w:szCs w:val="20"/>
              </w:rPr>
              <w:t> </w:t>
            </w:r>
            <w:r>
              <w:rPr>
                <w:rFonts w:ascii="Arial" w:hAnsi="Arial" w:cs="Arial" w:eastAsia="Arial" w:hint="default"/>
                <w:sz w:val="20"/>
                <w:szCs w:val="20"/>
              </w:rPr>
              <w:t>2008</w:t>
            </w:r>
            <w:r>
              <w:rPr>
                <w:rFonts w:ascii="Arial" w:hAnsi="Arial" w:cs="Arial" w:eastAsia="Arial" w:hint="default"/>
                <w:spacing w:val="-7"/>
                <w:sz w:val="20"/>
                <w:szCs w:val="20"/>
              </w:rPr>
              <w:t> </w:t>
            </w:r>
            <w:r>
              <w:rPr>
                <w:rFonts w:ascii="宋体" w:hAnsi="宋体" w:cs="宋体" w:eastAsia="宋体" w:hint="default"/>
                <w:sz w:val="20"/>
                <w:szCs w:val="20"/>
              </w:rPr>
              <w:t>年度报告</w:t>
            </w:r>
          </w:p>
          <w:p>
            <w:pPr>
              <w:pStyle w:val="TableParagraph"/>
              <w:spacing w:line="253" w:lineRule="exact"/>
              <w:ind w:left="100" w:right="0"/>
              <w:jc w:val="left"/>
              <w:rPr>
                <w:rFonts w:ascii="宋体" w:hAnsi="宋体" w:cs="宋体" w:eastAsia="宋体" w:hint="default"/>
                <w:sz w:val="20"/>
                <w:szCs w:val="20"/>
              </w:rPr>
            </w:pPr>
            <w:r>
              <w:rPr>
                <w:rFonts w:ascii="宋体" w:hAnsi="宋体" w:cs="宋体" w:eastAsia="宋体" w:hint="default"/>
                <w:sz w:val="20"/>
                <w:szCs w:val="20"/>
              </w:rPr>
              <w:t>摘要</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D021</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C33</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4</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79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第二届董事会第二</w:t>
            </w:r>
          </w:p>
          <w:p>
            <w:pPr>
              <w:pStyle w:val="TableParagraph"/>
              <w:spacing w:line="260" w:lineRule="exact" w:before="24"/>
              <w:ind w:left="100" w:right="274"/>
              <w:jc w:val="left"/>
              <w:rPr>
                <w:rFonts w:ascii="宋体" w:hAnsi="宋体" w:cs="宋体" w:eastAsia="宋体" w:hint="default"/>
                <w:sz w:val="20"/>
                <w:szCs w:val="20"/>
              </w:rPr>
            </w:pPr>
            <w:r>
              <w:rPr>
                <w:rFonts w:ascii="宋体" w:hAnsi="宋体" w:cs="宋体" w:eastAsia="宋体" w:hint="default"/>
                <w:sz w:val="20"/>
                <w:szCs w:val="20"/>
              </w:rPr>
              <w:t>十八次会议决议公</w:t>
            </w:r>
            <w:r>
              <w:rPr>
                <w:rFonts w:ascii="宋体" w:hAnsi="宋体" w:cs="宋体" w:eastAsia="宋体" w:hint="default"/>
                <w:w w:val="100"/>
                <w:sz w:val="20"/>
                <w:szCs w:val="20"/>
              </w:rPr>
              <w:t> </w:t>
            </w:r>
            <w:r>
              <w:rPr>
                <w:rFonts w:ascii="宋体" w:hAnsi="宋体" w:cs="宋体" w:eastAsia="宋体" w:hint="default"/>
                <w:sz w:val="20"/>
                <w:szCs w:val="20"/>
              </w:rPr>
              <w:t>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before="98"/>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D021</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C33</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4</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79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第二届监事会第二</w:t>
            </w:r>
          </w:p>
          <w:p>
            <w:pPr>
              <w:pStyle w:val="TableParagraph"/>
              <w:spacing w:line="260" w:lineRule="exact" w:before="24"/>
              <w:ind w:left="100" w:right="274"/>
              <w:jc w:val="left"/>
              <w:rPr>
                <w:rFonts w:ascii="宋体" w:hAnsi="宋体" w:cs="宋体" w:eastAsia="宋体" w:hint="default"/>
                <w:sz w:val="20"/>
                <w:szCs w:val="20"/>
              </w:rPr>
            </w:pPr>
            <w:r>
              <w:rPr>
                <w:rFonts w:ascii="宋体" w:hAnsi="宋体" w:cs="宋体" w:eastAsia="宋体" w:hint="default"/>
                <w:sz w:val="20"/>
                <w:szCs w:val="20"/>
              </w:rPr>
              <w:t>十一次会议决议公</w:t>
            </w:r>
            <w:r>
              <w:rPr>
                <w:rFonts w:ascii="宋体" w:hAnsi="宋体" w:cs="宋体" w:eastAsia="宋体" w:hint="default"/>
                <w:w w:val="100"/>
                <w:sz w:val="20"/>
                <w:szCs w:val="20"/>
              </w:rPr>
              <w:t> </w:t>
            </w:r>
            <w:r>
              <w:rPr>
                <w:rFonts w:ascii="宋体" w:hAnsi="宋体" w:cs="宋体" w:eastAsia="宋体" w:hint="default"/>
                <w:sz w:val="20"/>
                <w:szCs w:val="20"/>
              </w:rPr>
              <w:t>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before="98"/>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D021</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C33</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4</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召开</w:t>
            </w:r>
            <w:r>
              <w:rPr>
                <w:rFonts w:ascii="宋体" w:hAnsi="宋体" w:cs="宋体" w:eastAsia="宋体" w:hint="default"/>
                <w:spacing w:val="-52"/>
                <w:sz w:val="20"/>
                <w:szCs w:val="20"/>
              </w:rPr>
              <w:t> </w:t>
            </w:r>
            <w:r>
              <w:rPr>
                <w:rFonts w:ascii="Arial" w:hAnsi="Arial" w:cs="Arial" w:eastAsia="Arial" w:hint="default"/>
                <w:sz w:val="20"/>
                <w:szCs w:val="20"/>
              </w:rPr>
              <w:t>2008</w:t>
            </w:r>
            <w:r>
              <w:rPr>
                <w:rFonts w:ascii="Arial" w:hAnsi="Arial" w:cs="Arial" w:eastAsia="Arial" w:hint="default"/>
                <w:spacing w:val="-7"/>
                <w:sz w:val="20"/>
                <w:szCs w:val="20"/>
              </w:rPr>
              <w:t> </w:t>
            </w:r>
            <w:r>
              <w:rPr>
                <w:rFonts w:ascii="宋体" w:hAnsi="宋体" w:cs="宋体" w:eastAsia="宋体" w:hint="default"/>
                <w:sz w:val="20"/>
                <w:szCs w:val="20"/>
              </w:rPr>
              <w:t>年度股东</w:t>
            </w:r>
          </w:p>
          <w:p>
            <w:pPr>
              <w:pStyle w:val="TableParagraph"/>
              <w:spacing w:line="253" w:lineRule="exact"/>
              <w:ind w:left="100" w:right="0"/>
              <w:jc w:val="left"/>
              <w:rPr>
                <w:rFonts w:ascii="宋体" w:hAnsi="宋体" w:cs="宋体" w:eastAsia="宋体" w:hint="default"/>
                <w:sz w:val="20"/>
                <w:szCs w:val="20"/>
              </w:rPr>
            </w:pPr>
            <w:r>
              <w:rPr>
                <w:rFonts w:ascii="宋体" w:hAnsi="宋体" w:cs="宋体" w:eastAsia="宋体" w:hint="default"/>
                <w:sz w:val="20"/>
                <w:szCs w:val="20"/>
              </w:rPr>
              <w:t>大会公告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D021</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C33</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4</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1</w:t>
            </w:r>
            <w:r>
              <w:rPr>
                <w:rFonts w:ascii="Arial" w:hAnsi="Arial" w:cs="Arial" w:eastAsia="Arial" w:hint="default"/>
                <w:spacing w:val="-6"/>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51"/>
                <w:sz w:val="20"/>
                <w:szCs w:val="20"/>
              </w:rPr>
              <w:t> </w:t>
            </w: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月份</w:t>
            </w:r>
          </w:p>
          <w:p>
            <w:pPr>
              <w:pStyle w:val="TableParagraph"/>
              <w:spacing w:line="253" w:lineRule="exact"/>
              <w:ind w:left="100" w:right="0"/>
              <w:jc w:val="left"/>
              <w:rPr>
                <w:rFonts w:ascii="宋体" w:hAnsi="宋体" w:cs="宋体" w:eastAsia="宋体" w:hint="default"/>
                <w:sz w:val="20"/>
                <w:szCs w:val="20"/>
              </w:rPr>
            </w:pPr>
            <w:r>
              <w:rPr>
                <w:rFonts w:ascii="宋体" w:hAnsi="宋体" w:cs="宋体" w:eastAsia="宋体" w:hint="default"/>
                <w:sz w:val="20"/>
                <w:szCs w:val="20"/>
              </w:rPr>
              <w:t>业务数据公告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A05</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C152</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4</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21</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52"/>
                <w:sz w:val="20"/>
                <w:szCs w:val="20"/>
              </w:rPr>
              <w:t> </w:t>
            </w:r>
            <w:r>
              <w:rPr>
                <w:rFonts w:ascii="Arial" w:hAnsi="Arial" w:cs="Arial" w:eastAsia="Arial" w:hint="default"/>
                <w:sz w:val="20"/>
                <w:szCs w:val="20"/>
              </w:rPr>
              <w:t>2009</w:t>
            </w:r>
            <w:r>
              <w:rPr>
                <w:rFonts w:ascii="Arial" w:hAnsi="Arial" w:cs="Arial" w:eastAsia="Arial" w:hint="default"/>
                <w:spacing w:val="-7"/>
                <w:sz w:val="20"/>
                <w:szCs w:val="20"/>
              </w:rPr>
              <w:t> </w:t>
            </w:r>
            <w:r>
              <w:rPr>
                <w:rFonts w:ascii="宋体" w:hAnsi="宋体" w:cs="宋体" w:eastAsia="宋体" w:hint="default"/>
                <w:sz w:val="20"/>
                <w:szCs w:val="20"/>
              </w:rPr>
              <w:t>年第一季</w:t>
            </w:r>
          </w:p>
          <w:p>
            <w:pPr>
              <w:pStyle w:val="TableParagraph"/>
              <w:spacing w:line="254" w:lineRule="exact"/>
              <w:ind w:left="100" w:right="0"/>
              <w:jc w:val="left"/>
              <w:rPr>
                <w:rFonts w:ascii="宋体" w:hAnsi="宋体" w:cs="宋体" w:eastAsia="宋体" w:hint="default"/>
                <w:sz w:val="20"/>
                <w:szCs w:val="20"/>
              </w:rPr>
            </w:pPr>
            <w:r>
              <w:rPr>
                <w:rFonts w:ascii="宋体" w:hAnsi="宋体" w:cs="宋体" w:eastAsia="宋体" w:hint="default"/>
                <w:sz w:val="20"/>
                <w:szCs w:val="20"/>
              </w:rPr>
              <w:t>度报告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D025</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C75</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4</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30</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3"/>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79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联通集团有限售条</w:t>
            </w:r>
          </w:p>
          <w:p>
            <w:pPr>
              <w:pStyle w:val="TableParagraph"/>
              <w:spacing w:line="240" w:lineRule="auto"/>
              <w:ind w:left="100" w:right="274"/>
              <w:jc w:val="left"/>
              <w:rPr>
                <w:rFonts w:ascii="宋体" w:hAnsi="宋体" w:cs="宋体" w:eastAsia="宋体" w:hint="default"/>
                <w:sz w:val="20"/>
                <w:szCs w:val="20"/>
              </w:rPr>
            </w:pPr>
            <w:r>
              <w:rPr>
                <w:rFonts w:ascii="宋体" w:hAnsi="宋体" w:cs="宋体" w:eastAsia="宋体" w:hint="default"/>
                <w:sz w:val="20"/>
                <w:szCs w:val="20"/>
              </w:rPr>
              <w:t>件的流通股上市公</w:t>
            </w:r>
            <w:r>
              <w:rPr>
                <w:rFonts w:ascii="宋体" w:hAnsi="宋体" w:cs="宋体" w:eastAsia="宋体" w:hint="default"/>
                <w:w w:val="100"/>
                <w:sz w:val="20"/>
                <w:szCs w:val="20"/>
              </w:rPr>
              <w:t> </w:t>
            </w:r>
            <w:r>
              <w:rPr>
                <w:rFonts w:ascii="宋体" w:hAnsi="宋体" w:cs="宋体" w:eastAsia="宋体" w:hint="default"/>
                <w:sz w:val="20"/>
                <w:szCs w:val="20"/>
              </w:rPr>
              <w:t>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before="98"/>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B08</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C8</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5</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13</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51"/>
                <w:sz w:val="20"/>
                <w:szCs w:val="20"/>
              </w:rPr>
              <w:t> </w:t>
            </w: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4</w:t>
            </w:r>
            <w:r>
              <w:rPr>
                <w:rFonts w:ascii="Arial" w:hAnsi="Arial" w:cs="Arial" w:eastAsia="Arial" w:hint="default"/>
                <w:spacing w:val="-7"/>
                <w:sz w:val="20"/>
                <w:szCs w:val="20"/>
              </w:rPr>
              <w:t> </w:t>
            </w:r>
            <w:r>
              <w:rPr>
                <w:rFonts w:ascii="宋体" w:hAnsi="宋体" w:cs="宋体" w:eastAsia="宋体" w:hint="default"/>
                <w:sz w:val="20"/>
                <w:szCs w:val="20"/>
              </w:rPr>
              <w:t>月份</w:t>
            </w:r>
          </w:p>
          <w:p>
            <w:pPr>
              <w:pStyle w:val="TableParagraph"/>
              <w:spacing w:line="253" w:lineRule="exact"/>
              <w:ind w:left="100" w:right="0"/>
              <w:jc w:val="left"/>
              <w:rPr>
                <w:rFonts w:ascii="宋体" w:hAnsi="宋体" w:cs="宋体" w:eastAsia="宋体" w:hint="default"/>
                <w:sz w:val="20"/>
                <w:szCs w:val="20"/>
              </w:rPr>
            </w:pPr>
            <w:r>
              <w:rPr>
                <w:rFonts w:ascii="宋体" w:hAnsi="宋体" w:cs="宋体" w:eastAsia="宋体" w:hint="default"/>
                <w:sz w:val="20"/>
                <w:szCs w:val="20"/>
              </w:rPr>
              <w:t>业务数据公告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D004</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C17</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5</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21</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8"/>
                <w:sz w:val="20"/>
                <w:szCs w:val="20"/>
              </w:rPr>
              <w:t> </w:t>
            </w:r>
            <w:r>
              <w:rPr>
                <w:rFonts w:ascii="宋体" w:hAnsi="宋体" w:cs="宋体" w:eastAsia="宋体" w:hint="default"/>
                <w:sz w:val="20"/>
                <w:szCs w:val="20"/>
              </w:rPr>
              <w:t>年度股东大会</w:t>
            </w:r>
          </w:p>
          <w:p>
            <w:pPr>
              <w:pStyle w:val="TableParagraph"/>
              <w:spacing w:line="253" w:lineRule="exact"/>
              <w:ind w:left="100" w:right="0"/>
              <w:jc w:val="left"/>
              <w:rPr>
                <w:rFonts w:ascii="宋体" w:hAnsi="宋体" w:cs="宋体" w:eastAsia="宋体" w:hint="default"/>
                <w:sz w:val="20"/>
                <w:szCs w:val="20"/>
              </w:rPr>
            </w:pPr>
            <w:r>
              <w:rPr>
                <w:rFonts w:ascii="宋体" w:hAnsi="宋体" w:cs="宋体" w:eastAsia="宋体" w:hint="default"/>
                <w:sz w:val="20"/>
                <w:szCs w:val="20"/>
              </w:rPr>
              <w:t>决议公告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D027</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C11</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5</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27</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联通红筹公司股东</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大会决议</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D027</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C11</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5</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27</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79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第二届监事会第二</w:t>
            </w:r>
          </w:p>
          <w:p>
            <w:pPr>
              <w:pStyle w:val="TableParagraph"/>
              <w:spacing w:line="260" w:lineRule="exact" w:before="24"/>
              <w:ind w:left="100" w:right="274"/>
              <w:jc w:val="left"/>
              <w:rPr>
                <w:rFonts w:ascii="宋体" w:hAnsi="宋体" w:cs="宋体" w:eastAsia="宋体" w:hint="default"/>
                <w:sz w:val="20"/>
                <w:szCs w:val="20"/>
              </w:rPr>
            </w:pPr>
            <w:r>
              <w:rPr>
                <w:rFonts w:ascii="宋体" w:hAnsi="宋体" w:cs="宋体" w:eastAsia="宋体" w:hint="default"/>
                <w:sz w:val="20"/>
                <w:szCs w:val="20"/>
              </w:rPr>
              <w:t>十三次会议决议公</w:t>
            </w:r>
            <w:r>
              <w:rPr>
                <w:rFonts w:ascii="宋体" w:hAnsi="宋体" w:cs="宋体" w:eastAsia="宋体" w:hint="default"/>
                <w:w w:val="100"/>
                <w:sz w:val="20"/>
                <w:szCs w:val="20"/>
              </w:rPr>
              <w:t> </w:t>
            </w:r>
            <w:r>
              <w:rPr>
                <w:rFonts w:ascii="宋体" w:hAnsi="宋体" w:cs="宋体" w:eastAsia="宋体" w:hint="default"/>
                <w:sz w:val="20"/>
                <w:szCs w:val="20"/>
              </w:rPr>
              <w:t>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before="98"/>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D027</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C11</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5</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27</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bl>
    <w:p>
      <w:pPr>
        <w:spacing w:after="0" w:line="240" w:lineRule="auto"/>
        <w:jc w:val="left"/>
        <w:rPr>
          <w:rFonts w:ascii="Arial" w:hAnsi="Arial" w:cs="Arial" w:eastAsia="Arial" w:hint="default"/>
          <w:sz w:val="20"/>
          <w:szCs w:val="20"/>
        </w:rPr>
        <w:sectPr>
          <w:pgSz w:w="11910" w:h="16840"/>
          <w:pgMar w:header="587" w:footer="774" w:top="960" w:bottom="960" w:left="1180" w:right="114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9"/>
          <w:szCs w:val="19"/>
        </w:rPr>
      </w:pPr>
    </w:p>
    <w:tbl>
      <w:tblPr>
        <w:tblW w:w="0" w:type="auto"/>
        <w:jc w:val="left"/>
        <w:tblInd w:w="133" w:type="dxa"/>
        <w:tblLayout w:type="fixed"/>
        <w:tblCellMar>
          <w:top w:w="0" w:type="dxa"/>
          <w:left w:w="0" w:type="dxa"/>
          <w:bottom w:w="0" w:type="dxa"/>
          <w:right w:w="0" w:type="dxa"/>
        </w:tblCellMar>
        <w:tblLook w:val="01E0"/>
      </w:tblPr>
      <w:tblGrid>
        <w:gridCol w:w="1992"/>
        <w:gridCol w:w="2215"/>
        <w:gridCol w:w="1901"/>
        <w:gridCol w:w="3192"/>
      </w:tblGrid>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51"/>
                <w:sz w:val="20"/>
                <w:szCs w:val="20"/>
              </w:rPr>
              <w:t> </w:t>
            </w: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5</w:t>
            </w:r>
            <w:r>
              <w:rPr>
                <w:rFonts w:ascii="Arial" w:hAnsi="Arial" w:cs="Arial" w:eastAsia="Arial" w:hint="default"/>
                <w:spacing w:val="-7"/>
                <w:sz w:val="20"/>
                <w:szCs w:val="20"/>
              </w:rPr>
              <w:t> </w:t>
            </w:r>
            <w:r>
              <w:rPr>
                <w:rFonts w:ascii="宋体" w:hAnsi="宋体" w:cs="宋体" w:eastAsia="宋体" w:hint="default"/>
                <w:sz w:val="20"/>
                <w:szCs w:val="20"/>
              </w:rPr>
              <w:t>月份</w:t>
            </w:r>
          </w:p>
          <w:p>
            <w:pPr>
              <w:pStyle w:val="TableParagraph"/>
              <w:spacing w:line="254" w:lineRule="exact"/>
              <w:ind w:left="100" w:right="0"/>
              <w:jc w:val="left"/>
              <w:rPr>
                <w:rFonts w:ascii="宋体" w:hAnsi="宋体" w:cs="宋体" w:eastAsia="宋体" w:hint="default"/>
                <w:sz w:val="20"/>
                <w:szCs w:val="20"/>
              </w:rPr>
            </w:pPr>
            <w:r>
              <w:rPr>
                <w:rFonts w:ascii="宋体" w:hAnsi="宋体" w:cs="宋体" w:eastAsia="宋体" w:hint="default"/>
                <w:sz w:val="20"/>
                <w:szCs w:val="20"/>
              </w:rPr>
              <w:t>业务数据公告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D004</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C16</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6</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23</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3"/>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公司派发现金红利</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实施公告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B08</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C8</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7</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7</w:t>
            </w:r>
            <w:r>
              <w:rPr>
                <w:rFonts w:ascii="Arial" w:hAnsi="Arial" w:cs="Arial" w:eastAsia="Arial" w:hint="default"/>
                <w:spacing w:val="-6"/>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51"/>
                <w:sz w:val="20"/>
                <w:szCs w:val="20"/>
              </w:rPr>
              <w:t> </w:t>
            </w: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6</w:t>
            </w:r>
            <w:r>
              <w:rPr>
                <w:rFonts w:ascii="Arial" w:hAnsi="Arial" w:cs="Arial" w:eastAsia="Arial" w:hint="default"/>
                <w:spacing w:val="-7"/>
                <w:sz w:val="20"/>
                <w:szCs w:val="20"/>
              </w:rPr>
              <w:t> </w:t>
            </w:r>
            <w:r>
              <w:rPr>
                <w:rFonts w:ascii="宋体" w:hAnsi="宋体" w:cs="宋体" w:eastAsia="宋体" w:hint="default"/>
                <w:sz w:val="20"/>
                <w:szCs w:val="20"/>
              </w:rPr>
              <w:t>月份</w:t>
            </w:r>
          </w:p>
          <w:p>
            <w:pPr>
              <w:pStyle w:val="TableParagraph"/>
              <w:spacing w:line="253" w:lineRule="exact"/>
              <w:ind w:left="100" w:right="0"/>
              <w:jc w:val="left"/>
              <w:rPr>
                <w:rFonts w:ascii="宋体" w:hAnsi="宋体" w:cs="宋体" w:eastAsia="宋体" w:hint="default"/>
                <w:sz w:val="20"/>
                <w:szCs w:val="20"/>
              </w:rPr>
            </w:pPr>
            <w:r>
              <w:rPr>
                <w:rFonts w:ascii="宋体" w:hAnsi="宋体" w:cs="宋体" w:eastAsia="宋体" w:hint="default"/>
                <w:sz w:val="20"/>
                <w:szCs w:val="20"/>
              </w:rPr>
              <w:t>业务数据公告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A08</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C73</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7</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21</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公司新网站上线公</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w w:val="100"/>
                <w:sz w:val="20"/>
                <w:szCs w:val="20"/>
              </w:rPr>
              <w:t>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D004</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C25</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7</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29</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9"/>
              <w:ind w:left="100" w:right="0"/>
              <w:jc w:val="left"/>
              <w:rPr>
                <w:rFonts w:ascii="宋体" w:hAnsi="宋体" w:cs="宋体" w:eastAsia="宋体" w:hint="default"/>
                <w:sz w:val="20"/>
                <w:szCs w:val="20"/>
              </w:rPr>
            </w:pPr>
            <w:r>
              <w:rPr>
                <w:rFonts w:ascii="宋体" w:hAnsi="宋体" w:cs="宋体" w:eastAsia="宋体" w:hint="default"/>
                <w:sz w:val="20"/>
                <w:szCs w:val="20"/>
              </w:rPr>
              <w:t>公司更名公告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C08</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C64</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8</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11</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51"/>
                <w:sz w:val="20"/>
                <w:szCs w:val="20"/>
              </w:rPr>
              <w:t> </w:t>
            </w: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7</w:t>
            </w:r>
            <w:r>
              <w:rPr>
                <w:rFonts w:ascii="Arial" w:hAnsi="Arial" w:cs="Arial" w:eastAsia="Arial" w:hint="default"/>
                <w:spacing w:val="-7"/>
                <w:sz w:val="20"/>
                <w:szCs w:val="20"/>
              </w:rPr>
              <w:t> </w:t>
            </w:r>
            <w:r>
              <w:rPr>
                <w:rFonts w:ascii="宋体" w:hAnsi="宋体" w:cs="宋体" w:eastAsia="宋体" w:hint="default"/>
                <w:sz w:val="20"/>
                <w:szCs w:val="20"/>
              </w:rPr>
              <w:t>月份</w:t>
            </w:r>
          </w:p>
          <w:p>
            <w:pPr>
              <w:pStyle w:val="TableParagraph"/>
              <w:spacing w:line="253" w:lineRule="exact"/>
              <w:ind w:left="100" w:right="0"/>
              <w:jc w:val="left"/>
              <w:rPr>
                <w:rFonts w:ascii="宋体" w:hAnsi="宋体" w:cs="宋体" w:eastAsia="宋体" w:hint="default"/>
                <w:sz w:val="20"/>
                <w:szCs w:val="20"/>
              </w:rPr>
            </w:pPr>
            <w:r>
              <w:rPr>
                <w:rFonts w:ascii="宋体" w:hAnsi="宋体" w:cs="宋体" w:eastAsia="宋体" w:hint="default"/>
                <w:sz w:val="20"/>
                <w:szCs w:val="20"/>
              </w:rPr>
              <w:t>业务数据公告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B04</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C65</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8</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21</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52"/>
                <w:sz w:val="20"/>
                <w:szCs w:val="20"/>
              </w:rPr>
              <w:t> </w:t>
            </w:r>
            <w:r>
              <w:rPr>
                <w:rFonts w:ascii="Arial" w:hAnsi="Arial" w:cs="Arial" w:eastAsia="Arial" w:hint="default"/>
                <w:sz w:val="20"/>
                <w:szCs w:val="20"/>
              </w:rPr>
              <w:t>2009</w:t>
            </w:r>
            <w:r>
              <w:rPr>
                <w:rFonts w:ascii="Arial" w:hAnsi="Arial" w:cs="Arial" w:eastAsia="Arial" w:hint="default"/>
                <w:spacing w:val="-7"/>
                <w:sz w:val="20"/>
                <w:szCs w:val="20"/>
              </w:rPr>
              <w:t> </w:t>
            </w:r>
            <w:r>
              <w:rPr>
                <w:rFonts w:ascii="宋体" w:hAnsi="宋体" w:cs="宋体" w:eastAsia="宋体" w:hint="default"/>
                <w:sz w:val="20"/>
                <w:szCs w:val="20"/>
              </w:rPr>
              <w:t>年半年度</w:t>
            </w:r>
          </w:p>
          <w:p>
            <w:pPr>
              <w:pStyle w:val="TableParagraph"/>
              <w:spacing w:line="253" w:lineRule="exact"/>
              <w:ind w:left="100" w:right="0"/>
              <w:jc w:val="left"/>
              <w:rPr>
                <w:rFonts w:ascii="宋体" w:hAnsi="宋体" w:cs="宋体" w:eastAsia="宋体" w:hint="default"/>
                <w:sz w:val="20"/>
                <w:szCs w:val="20"/>
              </w:rPr>
            </w:pPr>
            <w:r>
              <w:rPr>
                <w:rFonts w:ascii="宋体" w:hAnsi="宋体" w:cs="宋体" w:eastAsia="宋体" w:hint="default"/>
                <w:sz w:val="20"/>
                <w:szCs w:val="20"/>
              </w:rPr>
              <w:t>报告摘要</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C122</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D155</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8</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29</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267"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关于西班牙电信与</w:t>
            </w:r>
          </w:p>
        </w:tc>
        <w:tc>
          <w:tcPr>
            <w:tcW w:w="2215" w:type="dxa"/>
            <w:tcBorders>
              <w:top w:val="single" w:sz="6" w:space="0" w:color="000000"/>
              <w:left w:val="single" w:sz="6" w:space="0" w:color="000000"/>
              <w:bottom w:val="nil" w:sz="6" w:space="0" w:color="auto"/>
              <w:right w:val="single" w:sz="6" w:space="0" w:color="000000"/>
            </w:tcBorders>
          </w:tcPr>
          <w:p>
            <w:pPr/>
          </w:p>
        </w:tc>
        <w:tc>
          <w:tcPr>
            <w:tcW w:w="1901" w:type="dxa"/>
            <w:tcBorders>
              <w:top w:val="single" w:sz="6" w:space="0" w:color="000000"/>
              <w:left w:val="single" w:sz="6" w:space="0" w:color="000000"/>
              <w:bottom w:val="nil" w:sz="6" w:space="0" w:color="auto"/>
              <w:right w:val="single" w:sz="6" w:space="0" w:color="000000"/>
            </w:tcBorders>
          </w:tcPr>
          <w:p>
            <w:pPr/>
          </w:p>
        </w:tc>
        <w:tc>
          <w:tcPr>
            <w:tcW w:w="3192" w:type="dxa"/>
            <w:tcBorders>
              <w:top w:val="single" w:sz="6" w:space="0" w:color="000000"/>
              <w:left w:val="single" w:sz="6" w:space="0" w:color="000000"/>
              <w:bottom w:val="nil" w:sz="6" w:space="0" w:color="auto"/>
              <w:right w:val="single" w:sz="6" w:space="0" w:color="000000"/>
            </w:tcBorders>
          </w:tcPr>
          <w:p>
            <w:pPr/>
          </w:p>
        </w:tc>
      </w:tr>
      <w:tr>
        <w:trPr>
          <w:trHeight w:val="523"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29" w:lineRule="exact"/>
              <w:ind w:left="100" w:right="0"/>
              <w:jc w:val="left"/>
              <w:rPr>
                <w:rFonts w:ascii="宋体" w:hAnsi="宋体" w:cs="宋体" w:eastAsia="宋体" w:hint="default"/>
                <w:sz w:val="20"/>
                <w:szCs w:val="20"/>
              </w:rPr>
            </w:pPr>
            <w:r>
              <w:rPr>
                <w:rFonts w:ascii="宋体" w:hAnsi="宋体" w:cs="宋体" w:eastAsia="宋体" w:hint="default"/>
                <w:sz w:val="20"/>
                <w:szCs w:val="20"/>
              </w:rPr>
              <w:t>联通红筹公司相互</w:t>
            </w:r>
          </w:p>
          <w:p>
            <w:pPr>
              <w:pStyle w:val="TableParagraph"/>
              <w:spacing w:line="260" w:lineRule="exact"/>
              <w:ind w:left="100" w:right="0"/>
              <w:jc w:val="left"/>
              <w:rPr>
                <w:rFonts w:ascii="宋体" w:hAnsi="宋体" w:cs="宋体" w:eastAsia="宋体" w:hint="default"/>
                <w:sz w:val="20"/>
                <w:szCs w:val="20"/>
              </w:rPr>
            </w:pPr>
            <w:r>
              <w:rPr>
                <w:rFonts w:ascii="宋体" w:hAnsi="宋体" w:cs="宋体" w:eastAsia="宋体" w:hint="default"/>
                <w:sz w:val="20"/>
                <w:szCs w:val="20"/>
              </w:rPr>
              <w:t>投资及订立战略联</w:t>
            </w:r>
          </w:p>
        </w:tc>
        <w:tc>
          <w:tcPr>
            <w:tcW w:w="2215"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C004</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D21</w:t>
            </w:r>
          </w:p>
        </w:tc>
        <w:tc>
          <w:tcPr>
            <w:tcW w:w="1901" w:type="dxa"/>
            <w:tcBorders>
              <w:top w:val="nil" w:sz="6" w:space="0" w:color="auto"/>
              <w:left w:val="single" w:sz="6" w:space="0" w:color="000000"/>
              <w:bottom w:val="nil" w:sz="6" w:space="0" w:color="auto"/>
              <w:right w:val="single" w:sz="6" w:space="0" w:color="000000"/>
            </w:tcBorders>
          </w:tcPr>
          <w:p>
            <w:pPr>
              <w:pStyle w:val="TableParagraph"/>
              <w:spacing w:line="240" w:lineRule="auto" w:before="97"/>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9</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7</w:t>
            </w:r>
            <w:r>
              <w:rPr>
                <w:rFonts w:ascii="Arial" w:hAnsi="Arial" w:cs="Arial" w:eastAsia="Arial" w:hint="default"/>
                <w:spacing w:val="-6"/>
                <w:sz w:val="20"/>
                <w:szCs w:val="20"/>
              </w:rPr>
              <w:t> </w:t>
            </w:r>
            <w:r>
              <w:rPr>
                <w:rFonts w:ascii="宋体" w:hAnsi="宋体" w:cs="宋体" w:eastAsia="宋体" w:hint="default"/>
                <w:sz w:val="20"/>
                <w:szCs w:val="20"/>
              </w:rPr>
              <w:t>日</w:t>
            </w:r>
          </w:p>
        </w:tc>
        <w:tc>
          <w:tcPr>
            <w:tcW w:w="3192" w:type="dxa"/>
            <w:tcBorders>
              <w:top w:val="nil" w:sz="6" w:space="0" w:color="auto"/>
              <w:left w:val="single" w:sz="6" w:space="0" w:color="000000"/>
              <w:bottom w:val="nil" w:sz="6" w:space="0" w:color="auto"/>
              <w:right w:val="single" w:sz="6" w:space="0" w:color="000000"/>
            </w:tcBorders>
          </w:tcPr>
          <w:p>
            <w:pPr>
              <w:pStyle w:val="TableParagraph"/>
              <w:spacing w:line="258"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262"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20"/>
                <w:szCs w:val="20"/>
              </w:rPr>
            </w:pPr>
            <w:r>
              <w:rPr>
                <w:rFonts w:ascii="宋体" w:hAnsi="宋体" w:cs="宋体" w:eastAsia="宋体" w:hint="default"/>
                <w:sz w:val="20"/>
                <w:szCs w:val="20"/>
              </w:rPr>
              <w:t>盟协议的公告</w:t>
            </w:r>
          </w:p>
        </w:tc>
        <w:tc>
          <w:tcPr>
            <w:tcW w:w="2215" w:type="dxa"/>
            <w:tcBorders>
              <w:top w:val="nil" w:sz="6" w:space="0" w:color="auto"/>
              <w:left w:val="single" w:sz="6" w:space="0" w:color="000000"/>
              <w:bottom w:val="single" w:sz="6" w:space="0" w:color="000000"/>
              <w:right w:val="single" w:sz="6" w:space="0" w:color="000000"/>
            </w:tcBorders>
          </w:tcPr>
          <w:p>
            <w:pPr/>
          </w:p>
        </w:tc>
        <w:tc>
          <w:tcPr>
            <w:tcW w:w="1901" w:type="dxa"/>
            <w:tcBorders>
              <w:top w:val="nil" w:sz="6" w:space="0" w:color="auto"/>
              <w:left w:val="single" w:sz="6" w:space="0" w:color="000000"/>
              <w:bottom w:val="single" w:sz="6" w:space="0" w:color="000000"/>
              <w:right w:val="single" w:sz="6" w:space="0" w:color="000000"/>
            </w:tcBorders>
          </w:tcPr>
          <w:p>
            <w:pPr/>
          </w:p>
        </w:tc>
        <w:tc>
          <w:tcPr>
            <w:tcW w:w="3192" w:type="dxa"/>
            <w:tcBorders>
              <w:top w:val="nil" w:sz="6" w:space="0" w:color="auto"/>
              <w:left w:val="single" w:sz="6" w:space="0" w:color="000000"/>
              <w:bottom w:val="single" w:sz="6" w:space="0" w:color="000000"/>
              <w:right w:val="single" w:sz="6" w:space="0" w:color="000000"/>
            </w:tcBorders>
          </w:tcPr>
          <w:p>
            <w:pPr/>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51"/>
                <w:sz w:val="20"/>
                <w:szCs w:val="20"/>
              </w:rPr>
              <w:t> </w:t>
            </w: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8</w:t>
            </w:r>
            <w:r>
              <w:rPr>
                <w:rFonts w:ascii="Arial" w:hAnsi="Arial" w:cs="Arial" w:eastAsia="Arial" w:hint="default"/>
                <w:spacing w:val="-7"/>
                <w:sz w:val="20"/>
                <w:szCs w:val="20"/>
              </w:rPr>
              <w:t> </w:t>
            </w:r>
            <w:r>
              <w:rPr>
                <w:rFonts w:ascii="宋体" w:hAnsi="宋体" w:cs="宋体" w:eastAsia="宋体" w:hint="default"/>
                <w:sz w:val="20"/>
                <w:szCs w:val="20"/>
              </w:rPr>
              <w:t>月份</w:t>
            </w:r>
          </w:p>
          <w:p>
            <w:pPr>
              <w:pStyle w:val="TableParagraph"/>
              <w:spacing w:line="253" w:lineRule="exact"/>
              <w:ind w:left="100" w:right="0"/>
              <w:jc w:val="left"/>
              <w:rPr>
                <w:rFonts w:ascii="宋体" w:hAnsi="宋体" w:cs="宋体" w:eastAsia="宋体" w:hint="default"/>
                <w:sz w:val="20"/>
                <w:szCs w:val="20"/>
              </w:rPr>
            </w:pPr>
            <w:r>
              <w:rPr>
                <w:rFonts w:ascii="宋体" w:hAnsi="宋体" w:cs="宋体" w:eastAsia="宋体" w:hint="default"/>
                <w:sz w:val="20"/>
                <w:szCs w:val="20"/>
              </w:rPr>
              <w:t>业务数据公告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D005</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B16</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9</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22</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79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公司第二届董事会</w:t>
            </w:r>
          </w:p>
          <w:p>
            <w:pPr>
              <w:pStyle w:val="TableParagraph"/>
              <w:spacing w:line="260" w:lineRule="exact" w:before="24"/>
              <w:ind w:left="100" w:right="274"/>
              <w:jc w:val="left"/>
              <w:rPr>
                <w:rFonts w:ascii="宋体" w:hAnsi="宋体" w:cs="宋体" w:eastAsia="宋体" w:hint="default"/>
                <w:sz w:val="20"/>
                <w:szCs w:val="20"/>
              </w:rPr>
            </w:pPr>
            <w:r>
              <w:rPr>
                <w:rFonts w:ascii="宋体" w:hAnsi="宋体" w:cs="宋体" w:eastAsia="宋体" w:hint="default"/>
                <w:sz w:val="20"/>
                <w:szCs w:val="20"/>
              </w:rPr>
              <w:t>第三十一次会议决</w:t>
            </w:r>
            <w:r>
              <w:rPr>
                <w:rFonts w:ascii="宋体" w:hAnsi="宋体" w:cs="宋体" w:eastAsia="宋体" w:hint="default"/>
                <w:w w:val="100"/>
                <w:sz w:val="20"/>
                <w:szCs w:val="20"/>
              </w:rPr>
              <w:t> </w:t>
            </w:r>
            <w:r>
              <w:rPr>
                <w:rFonts w:ascii="宋体" w:hAnsi="宋体" w:cs="宋体" w:eastAsia="宋体" w:hint="default"/>
                <w:sz w:val="20"/>
                <w:szCs w:val="20"/>
              </w:rPr>
              <w:t>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before="98"/>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A24</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D38</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9</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28</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267"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31" w:lineRule="exact"/>
              <w:ind w:left="100" w:right="0"/>
              <w:jc w:val="left"/>
              <w:rPr>
                <w:rFonts w:ascii="宋体" w:hAnsi="宋体" w:cs="宋体" w:eastAsia="宋体" w:hint="default"/>
                <w:sz w:val="20"/>
                <w:szCs w:val="20"/>
              </w:rPr>
            </w:pPr>
            <w:r>
              <w:rPr>
                <w:rFonts w:ascii="宋体" w:hAnsi="宋体" w:cs="宋体" w:eastAsia="宋体" w:hint="default"/>
                <w:sz w:val="20"/>
                <w:szCs w:val="20"/>
              </w:rPr>
              <w:t>关于联通红筹公司</w:t>
            </w:r>
          </w:p>
        </w:tc>
        <w:tc>
          <w:tcPr>
            <w:tcW w:w="2215" w:type="dxa"/>
            <w:tcBorders>
              <w:top w:val="single" w:sz="6" w:space="0" w:color="000000"/>
              <w:left w:val="single" w:sz="6" w:space="0" w:color="000000"/>
              <w:bottom w:val="nil" w:sz="6" w:space="0" w:color="auto"/>
              <w:right w:val="single" w:sz="6" w:space="0" w:color="000000"/>
            </w:tcBorders>
          </w:tcPr>
          <w:p>
            <w:pPr/>
          </w:p>
        </w:tc>
        <w:tc>
          <w:tcPr>
            <w:tcW w:w="1901" w:type="dxa"/>
            <w:tcBorders>
              <w:top w:val="single" w:sz="6" w:space="0" w:color="000000"/>
              <w:left w:val="single" w:sz="6" w:space="0" w:color="000000"/>
              <w:bottom w:val="nil" w:sz="6" w:space="0" w:color="auto"/>
              <w:right w:val="single" w:sz="6" w:space="0" w:color="000000"/>
            </w:tcBorders>
          </w:tcPr>
          <w:p>
            <w:pPr/>
          </w:p>
        </w:tc>
        <w:tc>
          <w:tcPr>
            <w:tcW w:w="3192" w:type="dxa"/>
            <w:tcBorders>
              <w:top w:val="single" w:sz="6" w:space="0" w:color="000000"/>
              <w:left w:val="single" w:sz="6" w:space="0" w:color="000000"/>
              <w:bottom w:val="nil" w:sz="6" w:space="0" w:color="auto"/>
              <w:right w:val="single" w:sz="6" w:space="0" w:color="000000"/>
            </w:tcBorders>
          </w:tcPr>
          <w:p>
            <w:pPr/>
          </w:p>
        </w:tc>
      </w:tr>
      <w:tr>
        <w:trPr>
          <w:trHeight w:val="523"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36" w:lineRule="exact"/>
              <w:ind w:left="100" w:right="0"/>
              <w:jc w:val="left"/>
              <w:rPr>
                <w:rFonts w:ascii="宋体" w:hAnsi="宋体" w:cs="宋体" w:eastAsia="宋体" w:hint="default"/>
                <w:sz w:val="20"/>
                <w:szCs w:val="20"/>
              </w:rPr>
            </w:pPr>
            <w:r>
              <w:rPr>
                <w:rFonts w:ascii="宋体" w:hAnsi="宋体" w:cs="宋体" w:eastAsia="宋体" w:hint="default"/>
                <w:sz w:val="20"/>
                <w:szCs w:val="20"/>
              </w:rPr>
              <w:t>回购韩国</w:t>
            </w:r>
            <w:r>
              <w:rPr>
                <w:rFonts w:ascii="宋体" w:hAnsi="宋体" w:cs="宋体" w:eastAsia="宋体" w:hint="default"/>
                <w:spacing w:val="-51"/>
                <w:sz w:val="20"/>
                <w:szCs w:val="20"/>
              </w:rPr>
              <w:t> </w:t>
            </w:r>
            <w:r>
              <w:rPr>
                <w:rFonts w:ascii="Arial" w:hAnsi="Arial" w:cs="Arial" w:eastAsia="Arial" w:hint="default"/>
                <w:sz w:val="20"/>
                <w:szCs w:val="20"/>
              </w:rPr>
              <w:t>SKT</w:t>
            </w:r>
            <w:r>
              <w:rPr>
                <w:rFonts w:ascii="Arial" w:hAnsi="Arial" w:cs="Arial" w:eastAsia="Arial" w:hint="default"/>
                <w:spacing w:val="-7"/>
                <w:sz w:val="20"/>
                <w:szCs w:val="20"/>
              </w:rPr>
              <w:t> </w:t>
            </w:r>
            <w:r>
              <w:rPr>
                <w:rFonts w:ascii="宋体" w:hAnsi="宋体" w:cs="宋体" w:eastAsia="宋体" w:hint="default"/>
                <w:sz w:val="20"/>
                <w:szCs w:val="20"/>
              </w:rPr>
              <w:t>所持</w:t>
            </w:r>
          </w:p>
          <w:p>
            <w:pPr>
              <w:pStyle w:val="TableParagraph"/>
              <w:spacing w:line="253" w:lineRule="exact"/>
              <w:ind w:left="100" w:right="0"/>
              <w:jc w:val="left"/>
              <w:rPr>
                <w:rFonts w:ascii="宋体" w:hAnsi="宋体" w:cs="宋体" w:eastAsia="宋体" w:hint="default"/>
                <w:sz w:val="20"/>
                <w:szCs w:val="20"/>
              </w:rPr>
            </w:pPr>
            <w:r>
              <w:rPr>
                <w:rFonts w:ascii="宋体" w:hAnsi="宋体" w:cs="宋体" w:eastAsia="宋体" w:hint="default"/>
                <w:sz w:val="20"/>
                <w:szCs w:val="20"/>
              </w:rPr>
              <w:t>有其全部股份的公</w:t>
            </w:r>
          </w:p>
        </w:tc>
        <w:tc>
          <w:tcPr>
            <w:tcW w:w="2215"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A24</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D38</w:t>
            </w:r>
          </w:p>
        </w:tc>
        <w:tc>
          <w:tcPr>
            <w:tcW w:w="1901" w:type="dxa"/>
            <w:tcBorders>
              <w:top w:val="nil" w:sz="6" w:space="0" w:color="auto"/>
              <w:left w:val="single" w:sz="6" w:space="0" w:color="000000"/>
              <w:bottom w:val="nil" w:sz="6" w:space="0" w:color="auto"/>
              <w:right w:val="single" w:sz="6" w:space="0" w:color="000000"/>
            </w:tcBorders>
          </w:tcPr>
          <w:p>
            <w:pPr>
              <w:pStyle w:val="TableParagraph"/>
              <w:spacing w:line="240" w:lineRule="auto" w:before="97"/>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9</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28</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nil" w:sz="6" w:space="0" w:color="auto"/>
              <w:left w:val="single" w:sz="6" w:space="0" w:color="000000"/>
              <w:bottom w:val="nil" w:sz="6" w:space="0" w:color="auto"/>
              <w:right w:val="single" w:sz="6" w:space="0" w:color="000000"/>
            </w:tcBorders>
          </w:tcPr>
          <w:p>
            <w:pPr>
              <w:pStyle w:val="TableParagraph"/>
              <w:spacing w:line="258"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262"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25" w:lineRule="exact"/>
              <w:ind w:left="100" w:right="0"/>
              <w:jc w:val="left"/>
              <w:rPr>
                <w:rFonts w:ascii="宋体" w:hAnsi="宋体" w:cs="宋体" w:eastAsia="宋体" w:hint="default"/>
                <w:sz w:val="20"/>
                <w:szCs w:val="20"/>
              </w:rPr>
            </w:pPr>
            <w:r>
              <w:rPr>
                <w:rFonts w:ascii="宋体" w:hAnsi="宋体" w:cs="宋体" w:eastAsia="宋体" w:hint="default"/>
                <w:w w:val="100"/>
                <w:sz w:val="20"/>
                <w:szCs w:val="20"/>
              </w:rPr>
              <w:t>告</w:t>
            </w:r>
          </w:p>
        </w:tc>
        <w:tc>
          <w:tcPr>
            <w:tcW w:w="2215" w:type="dxa"/>
            <w:tcBorders>
              <w:top w:val="nil" w:sz="6" w:space="0" w:color="auto"/>
              <w:left w:val="single" w:sz="6" w:space="0" w:color="000000"/>
              <w:bottom w:val="single" w:sz="6" w:space="0" w:color="000000"/>
              <w:right w:val="single" w:sz="6" w:space="0" w:color="000000"/>
            </w:tcBorders>
          </w:tcPr>
          <w:p>
            <w:pPr/>
          </w:p>
        </w:tc>
        <w:tc>
          <w:tcPr>
            <w:tcW w:w="1901" w:type="dxa"/>
            <w:tcBorders>
              <w:top w:val="nil" w:sz="6" w:space="0" w:color="auto"/>
              <w:left w:val="single" w:sz="6" w:space="0" w:color="000000"/>
              <w:bottom w:val="single" w:sz="6" w:space="0" w:color="000000"/>
              <w:right w:val="single" w:sz="6" w:space="0" w:color="000000"/>
            </w:tcBorders>
          </w:tcPr>
          <w:p>
            <w:pPr/>
          </w:p>
        </w:tc>
        <w:tc>
          <w:tcPr>
            <w:tcW w:w="3192" w:type="dxa"/>
            <w:tcBorders>
              <w:top w:val="nil" w:sz="6" w:space="0" w:color="auto"/>
              <w:left w:val="single" w:sz="6" w:space="0" w:color="000000"/>
              <w:bottom w:val="single" w:sz="6" w:space="0" w:color="000000"/>
              <w:right w:val="single" w:sz="6" w:space="0" w:color="000000"/>
            </w:tcBorders>
          </w:tcPr>
          <w:p>
            <w:pPr/>
          </w:p>
        </w:tc>
      </w:tr>
      <w:tr>
        <w:trPr>
          <w:trHeight w:val="79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公司控股股东增持</w:t>
            </w:r>
          </w:p>
          <w:p>
            <w:pPr>
              <w:pStyle w:val="TableParagraph"/>
              <w:spacing w:line="260" w:lineRule="exact" w:before="24"/>
              <w:ind w:left="100" w:right="274"/>
              <w:jc w:val="left"/>
              <w:rPr>
                <w:rFonts w:ascii="宋体" w:hAnsi="宋体" w:cs="宋体" w:eastAsia="宋体" w:hint="default"/>
                <w:sz w:val="20"/>
                <w:szCs w:val="20"/>
              </w:rPr>
            </w:pPr>
            <w:r>
              <w:rPr>
                <w:rFonts w:ascii="宋体" w:hAnsi="宋体" w:cs="宋体" w:eastAsia="宋体" w:hint="default"/>
                <w:sz w:val="20"/>
                <w:szCs w:val="20"/>
              </w:rPr>
              <w:t>本公司股份计划实</w:t>
            </w:r>
            <w:r>
              <w:rPr>
                <w:rFonts w:ascii="宋体" w:hAnsi="宋体" w:cs="宋体" w:eastAsia="宋体" w:hint="default"/>
                <w:w w:val="100"/>
                <w:sz w:val="20"/>
                <w:szCs w:val="20"/>
              </w:rPr>
              <w:t> </w:t>
            </w:r>
            <w:r>
              <w:rPr>
                <w:rFonts w:ascii="宋体" w:hAnsi="宋体" w:cs="宋体" w:eastAsia="宋体" w:hint="default"/>
                <w:sz w:val="20"/>
                <w:szCs w:val="20"/>
              </w:rPr>
              <w:t>施完毕的公告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before="98"/>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D005</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B24</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9</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29</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79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公司第二届董事会</w:t>
            </w:r>
          </w:p>
          <w:p>
            <w:pPr>
              <w:pStyle w:val="TableParagraph"/>
              <w:spacing w:line="260" w:lineRule="exact" w:before="24"/>
              <w:ind w:left="100" w:right="274"/>
              <w:jc w:val="left"/>
              <w:rPr>
                <w:rFonts w:ascii="宋体" w:hAnsi="宋体" w:cs="宋体" w:eastAsia="宋体" w:hint="default"/>
                <w:sz w:val="20"/>
                <w:szCs w:val="20"/>
              </w:rPr>
            </w:pPr>
            <w:r>
              <w:rPr>
                <w:rFonts w:ascii="宋体" w:hAnsi="宋体" w:cs="宋体" w:eastAsia="宋体" w:hint="default"/>
                <w:sz w:val="20"/>
                <w:szCs w:val="20"/>
              </w:rPr>
              <w:t>第三十二次会议决</w:t>
            </w:r>
            <w:r>
              <w:rPr>
                <w:rFonts w:ascii="宋体" w:hAnsi="宋体" w:cs="宋体" w:eastAsia="宋体" w:hint="default"/>
                <w:w w:val="100"/>
                <w:sz w:val="20"/>
                <w:szCs w:val="20"/>
              </w:rPr>
              <w:t> </w:t>
            </w:r>
            <w:r>
              <w:rPr>
                <w:rFonts w:ascii="宋体" w:hAnsi="宋体" w:cs="宋体" w:eastAsia="宋体" w:hint="default"/>
                <w:sz w:val="20"/>
                <w:szCs w:val="20"/>
              </w:rPr>
              <w:t>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before="98"/>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A12</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D14</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8"/>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10</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17</w:t>
            </w:r>
            <w:r>
              <w:rPr>
                <w:rFonts w:ascii="Arial" w:hAnsi="Arial" w:cs="Arial" w:eastAsia="Arial" w:hint="default"/>
                <w:spacing w:val="-19"/>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79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公司第二届监事会</w:t>
            </w:r>
          </w:p>
          <w:p>
            <w:pPr>
              <w:pStyle w:val="TableParagraph"/>
              <w:spacing w:line="260" w:lineRule="exact" w:before="24"/>
              <w:ind w:left="100" w:right="274"/>
              <w:jc w:val="left"/>
              <w:rPr>
                <w:rFonts w:ascii="宋体" w:hAnsi="宋体" w:cs="宋体" w:eastAsia="宋体" w:hint="default"/>
                <w:sz w:val="20"/>
                <w:szCs w:val="20"/>
              </w:rPr>
            </w:pPr>
            <w:r>
              <w:rPr>
                <w:rFonts w:ascii="宋体" w:hAnsi="宋体" w:cs="宋体" w:eastAsia="宋体" w:hint="default"/>
                <w:sz w:val="20"/>
                <w:szCs w:val="20"/>
              </w:rPr>
              <w:t>第二十五次会议决</w:t>
            </w:r>
            <w:r>
              <w:rPr>
                <w:rFonts w:ascii="宋体" w:hAnsi="宋体" w:cs="宋体" w:eastAsia="宋体" w:hint="default"/>
                <w:w w:val="100"/>
                <w:sz w:val="20"/>
                <w:szCs w:val="20"/>
              </w:rPr>
              <w:t> </w:t>
            </w:r>
            <w:r>
              <w:rPr>
                <w:rFonts w:ascii="宋体" w:hAnsi="宋体" w:cs="宋体" w:eastAsia="宋体" w:hint="default"/>
                <w:sz w:val="20"/>
                <w:szCs w:val="20"/>
              </w:rPr>
              <w:t>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before="98"/>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A12</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D14</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8"/>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10</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17</w:t>
            </w:r>
            <w:r>
              <w:rPr>
                <w:rFonts w:ascii="Arial" w:hAnsi="Arial" w:cs="Arial" w:eastAsia="Arial" w:hint="default"/>
                <w:spacing w:val="-19"/>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召开</w:t>
            </w:r>
            <w:r>
              <w:rPr>
                <w:rFonts w:ascii="宋体" w:hAnsi="宋体" w:cs="宋体" w:eastAsia="宋体" w:hint="default"/>
                <w:spacing w:val="-52"/>
                <w:sz w:val="20"/>
                <w:szCs w:val="20"/>
              </w:rPr>
              <w:t> </w:t>
            </w:r>
            <w:r>
              <w:rPr>
                <w:rFonts w:ascii="Arial" w:hAnsi="Arial" w:cs="Arial" w:eastAsia="Arial" w:hint="default"/>
                <w:sz w:val="20"/>
                <w:szCs w:val="20"/>
              </w:rPr>
              <w:t>2009</w:t>
            </w:r>
            <w:r>
              <w:rPr>
                <w:rFonts w:ascii="Arial" w:hAnsi="Arial" w:cs="Arial" w:eastAsia="Arial" w:hint="default"/>
                <w:spacing w:val="-7"/>
                <w:sz w:val="20"/>
                <w:szCs w:val="20"/>
              </w:rPr>
              <w:t> </w:t>
            </w:r>
            <w:r>
              <w:rPr>
                <w:rFonts w:ascii="宋体" w:hAnsi="宋体" w:cs="宋体" w:eastAsia="宋体" w:hint="default"/>
                <w:sz w:val="20"/>
                <w:szCs w:val="20"/>
              </w:rPr>
              <w:t>年第二次</w:t>
            </w:r>
          </w:p>
          <w:p>
            <w:pPr>
              <w:pStyle w:val="TableParagraph"/>
              <w:spacing w:line="253" w:lineRule="exact"/>
              <w:ind w:left="100" w:right="0"/>
              <w:jc w:val="left"/>
              <w:rPr>
                <w:rFonts w:ascii="宋体" w:hAnsi="宋体" w:cs="宋体" w:eastAsia="宋体" w:hint="default"/>
                <w:sz w:val="20"/>
                <w:szCs w:val="20"/>
              </w:rPr>
            </w:pPr>
            <w:r>
              <w:rPr>
                <w:rFonts w:ascii="宋体" w:hAnsi="宋体" w:cs="宋体" w:eastAsia="宋体" w:hint="default"/>
                <w:sz w:val="20"/>
                <w:szCs w:val="20"/>
              </w:rPr>
              <w:t>临时股东大会公告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A12</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D14</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8"/>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10</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17</w:t>
            </w:r>
            <w:r>
              <w:rPr>
                <w:rFonts w:ascii="Arial" w:hAnsi="Arial" w:cs="Arial" w:eastAsia="Arial" w:hint="default"/>
                <w:spacing w:val="-19"/>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51"/>
                <w:sz w:val="20"/>
                <w:szCs w:val="20"/>
              </w:rPr>
              <w:t> </w:t>
            </w: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9</w:t>
            </w:r>
            <w:r>
              <w:rPr>
                <w:rFonts w:ascii="Arial" w:hAnsi="Arial" w:cs="Arial" w:eastAsia="Arial" w:hint="default"/>
                <w:spacing w:val="-7"/>
                <w:sz w:val="20"/>
                <w:szCs w:val="20"/>
              </w:rPr>
              <w:t> </w:t>
            </w:r>
            <w:r>
              <w:rPr>
                <w:rFonts w:ascii="宋体" w:hAnsi="宋体" w:cs="宋体" w:eastAsia="宋体" w:hint="default"/>
                <w:sz w:val="20"/>
                <w:szCs w:val="20"/>
              </w:rPr>
              <w:t>月份</w:t>
            </w:r>
          </w:p>
          <w:p>
            <w:pPr>
              <w:pStyle w:val="TableParagraph"/>
              <w:spacing w:line="254" w:lineRule="exact"/>
              <w:ind w:left="100" w:right="0"/>
              <w:jc w:val="left"/>
              <w:rPr>
                <w:rFonts w:ascii="宋体" w:hAnsi="宋体" w:cs="宋体" w:eastAsia="宋体" w:hint="default"/>
                <w:sz w:val="20"/>
                <w:szCs w:val="20"/>
              </w:rPr>
            </w:pPr>
            <w:r>
              <w:rPr>
                <w:rFonts w:ascii="宋体" w:hAnsi="宋体" w:cs="宋体" w:eastAsia="宋体" w:hint="default"/>
                <w:sz w:val="20"/>
                <w:szCs w:val="20"/>
              </w:rPr>
              <w:t>业务数据公告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B04</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B20</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8"/>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10</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21</w:t>
            </w:r>
            <w:r>
              <w:rPr>
                <w:rFonts w:ascii="Arial" w:hAnsi="Arial" w:cs="Arial" w:eastAsia="Arial" w:hint="default"/>
                <w:spacing w:val="-19"/>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3"/>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79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关于联通红筹公司</w:t>
            </w:r>
          </w:p>
          <w:p>
            <w:pPr>
              <w:pStyle w:val="TableParagraph"/>
              <w:spacing w:line="240" w:lineRule="auto"/>
              <w:ind w:left="100" w:right="274"/>
              <w:jc w:val="left"/>
              <w:rPr>
                <w:rFonts w:ascii="宋体" w:hAnsi="宋体" w:cs="宋体" w:eastAsia="宋体" w:hint="default"/>
                <w:sz w:val="20"/>
                <w:szCs w:val="20"/>
              </w:rPr>
            </w:pPr>
            <w:r>
              <w:rPr>
                <w:rFonts w:ascii="宋体" w:hAnsi="宋体" w:cs="宋体" w:eastAsia="宋体" w:hint="default"/>
                <w:sz w:val="20"/>
                <w:szCs w:val="20"/>
              </w:rPr>
              <w:t>与西班牙电信完成</w:t>
            </w:r>
            <w:r>
              <w:rPr>
                <w:rFonts w:ascii="宋体" w:hAnsi="宋体" w:cs="宋体" w:eastAsia="宋体" w:hint="default"/>
                <w:w w:val="100"/>
                <w:sz w:val="20"/>
                <w:szCs w:val="20"/>
              </w:rPr>
              <w:t> </w:t>
            </w:r>
            <w:r>
              <w:rPr>
                <w:rFonts w:ascii="宋体" w:hAnsi="宋体" w:cs="宋体" w:eastAsia="宋体" w:hint="default"/>
                <w:sz w:val="20"/>
                <w:szCs w:val="20"/>
              </w:rPr>
              <w:t>相互投资的公告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before="98"/>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B04</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B11</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8"/>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10</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22</w:t>
            </w:r>
            <w:r>
              <w:rPr>
                <w:rFonts w:ascii="Arial" w:hAnsi="Arial" w:cs="Arial" w:eastAsia="Arial" w:hint="default"/>
                <w:spacing w:val="-19"/>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52"/>
                <w:sz w:val="20"/>
                <w:szCs w:val="20"/>
              </w:rPr>
              <w:t> </w:t>
            </w:r>
            <w:r>
              <w:rPr>
                <w:rFonts w:ascii="Arial" w:hAnsi="Arial" w:cs="Arial" w:eastAsia="Arial" w:hint="default"/>
                <w:sz w:val="20"/>
                <w:szCs w:val="20"/>
              </w:rPr>
              <w:t>2009</w:t>
            </w:r>
            <w:r>
              <w:rPr>
                <w:rFonts w:ascii="Arial" w:hAnsi="Arial" w:cs="Arial" w:eastAsia="Arial" w:hint="default"/>
                <w:spacing w:val="-7"/>
                <w:sz w:val="20"/>
                <w:szCs w:val="20"/>
              </w:rPr>
              <w:t> </w:t>
            </w:r>
            <w:r>
              <w:rPr>
                <w:rFonts w:ascii="宋体" w:hAnsi="宋体" w:cs="宋体" w:eastAsia="宋体" w:hint="default"/>
                <w:sz w:val="20"/>
                <w:szCs w:val="20"/>
              </w:rPr>
              <w:t>年第三季</w:t>
            </w:r>
          </w:p>
          <w:p>
            <w:pPr>
              <w:pStyle w:val="TableParagraph"/>
              <w:spacing w:line="253" w:lineRule="exact"/>
              <w:ind w:left="100" w:right="0"/>
              <w:jc w:val="left"/>
              <w:rPr>
                <w:rFonts w:ascii="宋体" w:hAnsi="宋体" w:cs="宋体" w:eastAsia="宋体" w:hint="default"/>
                <w:sz w:val="20"/>
                <w:szCs w:val="20"/>
              </w:rPr>
            </w:pPr>
            <w:r>
              <w:rPr>
                <w:rFonts w:ascii="宋体" w:hAnsi="宋体" w:cs="宋体" w:eastAsia="宋体" w:hint="default"/>
                <w:sz w:val="20"/>
                <w:szCs w:val="20"/>
              </w:rPr>
              <w:t>度报告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C018</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D32</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8"/>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10</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31</w:t>
            </w:r>
            <w:r>
              <w:rPr>
                <w:rFonts w:ascii="Arial" w:hAnsi="Arial" w:cs="Arial" w:eastAsia="Arial" w:hint="default"/>
                <w:spacing w:val="-19"/>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79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52"/>
                <w:sz w:val="20"/>
                <w:szCs w:val="20"/>
              </w:rPr>
              <w:t> </w:t>
            </w:r>
            <w:r>
              <w:rPr>
                <w:rFonts w:ascii="Arial" w:hAnsi="Arial" w:cs="Arial" w:eastAsia="Arial" w:hint="default"/>
                <w:sz w:val="20"/>
                <w:szCs w:val="20"/>
              </w:rPr>
              <w:t>2009</w:t>
            </w:r>
            <w:r>
              <w:rPr>
                <w:rFonts w:ascii="Arial" w:hAnsi="Arial" w:cs="Arial" w:eastAsia="Arial" w:hint="default"/>
                <w:spacing w:val="-7"/>
                <w:sz w:val="20"/>
                <w:szCs w:val="20"/>
              </w:rPr>
              <w:t> </w:t>
            </w:r>
            <w:r>
              <w:rPr>
                <w:rFonts w:ascii="宋体" w:hAnsi="宋体" w:cs="宋体" w:eastAsia="宋体" w:hint="default"/>
                <w:sz w:val="20"/>
                <w:szCs w:val="20"/>
              </w:rPr>
              <w:t>年第二次</w:t>
            </w:r>
          </w:p>
          <w:p>
            <w:pPr>
              <w:pStyle w:val="TableParagraph"/>
              <w:spacing w:line="260" w:lineRule="exact" w:before="17"/>
              <w:ind w:left="100" w:right="274"/>
              <w:jc w:val="left"/>
              <w:rPr>
                <w:rFonts w:ascii="宋体" w:hAnsi="宋体" w:cs="宋体" w:eastAsia="宋体" w:hint="default"/>
                <w:sz w:val="20"/>
                <w:szCs w:val="20"/>
              </w:rPr>
            </w:pPr>
            <w:r>
              <w:rPr>
                <w:rFonts w:ascii="宋体" w:hAnsi="宋体" w:cs="宋体" w:eastAsia="宋体" w:hint="default"/>
                <w:sz w:val="20"/>
                <w:szCs w:val="20"/>
              </w:rPr>
              <w:t>临时股东大会决议</w:t>
            </w:r>
            <w:r>
              <w:rPr>
                <w:rFonts w:ascii="宋体" w:hAnsi="宋体" w:cs="宋体" w:eastAsia="宋体" w:hint="default"/>
                <w:w w:val="100"/>
                <w:sz w:val="20"/>
                <w:szCs w:val="20"/>
              </w:rPr>
              <w:t> </w:t>
            </w:r>
            <w:r>
              <w:rPr>
                <w:rFonts w:ascii="宋体" w:hAnsi="宋体" w:cs="宋体" w:eastAsia="宋体" w:hint="default"/>
                <w:sz w:val="20"/>
                <w:szCs w:val="20"/>
              </w:rPr>
              <w:t>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before="98"/>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A16</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B9</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100"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11</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4</w:t>
            </w:r>
            <w:r>
              <w:rPr>
                <w:rFonts w:ascii="Arial" w:hAnsi="Arial" w:cs="Arial" w:eastAsia="Arial" w:hint="default"/>
                <w:spacing w:val="-7"/>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bl>
    <w:p>
      <w:pPr>
        <w:spacing w:after="0" w:line="240" w:lineRule="auto"/>
        <w:jc w:val="left"/>
        <w:rPr>
          <w:rFonts w:ascii="Arial" w:hAnsi="Arial" w:cs="Arial" w:eastAsia="Arial" w:hint="default"/>
          <w:sz w:val="20"/>
          <w:szCs w:val="20"/>
        </w:rPr>
        <w:sectPr>
          <w:pgSz w:w="11910" w:h="16840"/>
          <w:pgMar w:header="587" w:footer="774" w:top="960" w:bottom="960" w:left="1180" w:right="1140"/>
        </w:sect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9"/>
          <w:szCs w:val="19"/>
        </w:rPr>
      </w:pPr>
    </w:p>
    <w:tbl>
      <w:tblPr>
        <w:tblW w:w="0" w:type="auto"/>
        <w:jc w:val="left"/>
        <w:tblInd w:w="133" w:type="dxa"/>
        <w:tblLayout w:type="fixed"/>
        <w:tblCellMar>
          <w:top w:w="0" w:type="dxa"/>
          <w:left w:w="0" w:type="dxa"/>
          <w:bottom w:w="0" w:type="dxa"/>
          <w:right w:w="0" w:type="dxa"/>
        </w:tblCellMar>
        <w:tblLook w:val="01E0"/>
      </w:tblPr>
      <w:tblGrid>
        <w:gridCol w:w="1992"/>
        <w:gridCol w:w="2215"/>
        <w:gridCol w:w="1901"/>
        <w:gridCol w:w="3192"/>
      </w:tblGrid>
      <w:tr>
        <w:trPr>
          <w:trHeight w:val="79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联通红筹公司股东</w:t>
            </w:r>
          </w:p>
          <w:p>
            <w:pPr>
              <w:pStyle w:val="TableParagraph"/>
              <w:spacing w:line="260" w:lineRule="exact" w:before="25"/>
              <w:ind w:left="100" w:right="274"/>
              <w:jc w:val="left"/>
              <w:rPr>
                <w:rFonts w:ascii="宋体" w:hAnsi="宋体" w:cs="宋体" w:eastAsia="宋体" w:hint="default"/>
                <w:sz w:val="20"/>
                <w:szCs w:val="20"/>
              </w:rPr>
            </w:pPr>
            <w:r>
              <w:rPr>
                <w:rFonts w:ascii="宋体" w:hAnsi="宋体" w:cs="宋体" w:eastAsia="宋体" w:hint="default"/>
                <w:sz w:val="20"/>
                <w:szCs w:val="20"/>
              </w:rPr>
              <w:t>特别大会投票表决</w:t>
            </w:r>
            <w:r>
              <w:rPr>
                <w:rFonts w:ascii="宋体" w:hAnsi="宋体" w:cs="宋体" w:eastAsia="宋体" w:hint="default"/>
                <w:w w:val="100"/>
                <w:sz w:val="20"/>
                <w:szCs w:val="20"/>
              </w:rPr>
              <w:t> </w:t>
            </w:r>
            <w:r>
              <w:rPr>
                <w:rFonts w:ascii="宋体" w:hAnsi="宋体" w:cs="宋体" w:eastAsia="宋体" w:hint="default"/>
                <w:sz w:val="20"/>
                <w:szCs w:val="20"/>
              </w:rPr>
              <w:t>结果的公告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before="98"/>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A16</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B9</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right="53"/>
              <w:jc w:val="center"/>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11</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4</w:t>
            </w:r>
            <w:r>
              <w:rPr>
                <w:rFonts w:ascii="Arial" w:hAnsi="Arial" w:cs="Arial" w:eastAsia="Arial" w:hint="default"/>
                <w:spacing w:val="-7"/>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3"/>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79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联通红筹公司完成</w:t>
            </w:r>
          </w:p>
          <w:p>
            <w:pPr>
              <w:pStyle w:val="TableParagraph"/>
              <w:spacing w:line="260" w:lineRule="exact" w:before="24"/>
              <w:ind w:left="100" w:right="184"/>
              <w:jc w:val="left"/>
              <w:rPr>
                <w:rFonts w:ascii="宋体" w:hAnsi="宋体" w:cs="宋体" w:eastAsia="宋体" w:hint="default"/>
                <w:sz w:val="20"/>
                <w:szCs w:val="20"/>
              </w:rPr>
            </w:pPr>
            <w:r>
              <w:rPr>
                <w:rFonts w:ascii="宋体" w:hAnsi="宋体" w:cs="宋体" w:eastAsia="宋体" w:hint="default"/>
                <w:sz w:val="20"/>
                <w:szCs w:val="20"/>
              </w:rPr>
              <w:t>回购韩国</w:t>
            </w:r>
            <w:r>
              <w:rPr>
                <w:rFonts w:ascii="宋体" w:hAnsi="宋体" w:cs="宋体" w:eastAsia="宋体" w:hint="default"/>
                <w:spacing w:val="-51"/>
                <w:sz w:val="20"/>
                <w:szCs w:val="20"/>
              </w:rPr>
              <w:t> </w:t>
            </w:r>
            <w:r>
              <w:rPr>
                <w:rFonts w:ascii="Arial" w:hAnsi="Arial" w:cs="Arial" w:eastAsia="Arial" w:hint="default"/>
                <w:sz w:val="20"/>
                <w:szCs w:val="20"/>
              </w:rPr>
              <w:t>SKT</w:t>
            </w:r>
            <w:r>
              <w:rPr>
                <w:rFonts w:ascii="Arial" w:hAnsi="Arial" w:cs="Arial" w:eastAsia="Arial" w:hint="default"/>
                <w:spacing w:val="-7"/>
                <w:sz w:val="20"/>
                <w:szCs w:val="20"/>
              </w:rPr>
              <w:t> </w:t>
            </w:r>
            <w:r>
              <w:rPr>
                <w:rFonts w:ascii="宋体" w:hAnsi="宋体" w:cs="宋体" w:eastAsia="宋体" w:hint="default"/>
                <w:sz w:val="20"/>
                <w:szCs w:val="20"/>
              </w:rPr>
              <w:t>所持</w:t>
            </w:r>
            <w:r>
              <w:rPr>
                <w:rFonts w:ascii="宋体" w:hAnsi="宋体" w:cs="宋体" w:eastAsia="宋体" w:hint="default"/>
                <w:w w:val="100"/>
                <w:sz w:val="20"/>
                <w:szCs w:val="20"/>
              </w:rPr>
              <w:t> </w:t>
            </w:r>
            <w:r>
              <w:rPr>
                <w:rFonts w:ascii="宋体" w:hAnsi="宋体" w:cs="宋体" w:eastAsia="宋体" w:hint="default"/>
                <w:sz w:val="20"/>
                <w:szCs w:val="20"/>
              </w:rPr>
              <w:t>其全部股份的公告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before="98"/>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D004</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B25</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right="53"/>
              <w:jc w:val="center"/>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11</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z w:val="20"/>
                <w:szCs w:val="20"/>
              </w:rPr>
              <w:t>6</w:t>
            </w:r>
            <w:r>
              <w:rPr>
                <w:rFonts w:ascii="Arial" w:hAnsi="Arial" w:cs="Arial" w:eastAsia="Arial" w:hint="default"/>
                <w:spacing w:val="-7"/>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79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公司第三届董事会</w:t>
            </w:r>
          </w:p>
          <w:p>
            <w:pPr>
              <w:pStyle w:val="TableParagraph"/>
              <w:spacing w:line="240" w:lineRule="auto"/>
              <w:ind w:left="100" w:right="274"/>
              <w:jc w:val="left"/>
              <w:rPr>
                <w:rFonts w:ascii="宋体" w:hAnsi="宋体" w:cs="宋体" w:eastAsia="宋体" w:hint="default"/>
                <w:sz w:val="20"/>
                <w:szCs w:val="20"/>
              </w:rPr>
            </w:pPr>
            <w:r>
              <w:rPr>
                <w:rFonts w:ascii="宋体" w:hAnsi="宋体" w:cs="宋体" w:eastAsia="宋体" w:hint="default"/>
                <w:sz w:val="20"/>
                <w:szCs w:val="20"/>
              </w:rPr>
              <w:t>第一次会议决议公</w:t>
            </w:r>
            <w:r>
              <w:rPr>
                <w:rFonts w:ascii="宋体" w:hAnsi="宋体" w:cs="宋体" w:eastAsia="宋体" w:hint="default"/>
                <w:w w:val="100"/>
                <w:sz w:val="20"/>
                <w:szCs w:val="20"/>
              </w:rPr>
              <w:t> </w:t>
            </w:r>
            <w:r>
              <w:rPr>
                <w:rFonts w:ascii="宋体" w:hAnsi="宋体" w:cs="宋体" w:eastAsia="宋体" w:hint="default"/>
                <w:sz w:val="20"/>
                <w:szCs w:val="20"/>
              </w:rPr>
              <w:t>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before="98"/>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B04</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B30</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1" w:right="0"/>
              <w:jc w:val="center"/>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8"/>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11</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10</w:t>
            </w:r>
            <w:r>
              <w:rPr>
                <w:rFonts w:ascii="Arial" w:hAnsi="Arial" w:cs="Arial" w:eastAsia="Arial" w:hint="default"/>
                <w:spacing w:val="-19"/>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79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0"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公司第三届监事会</w:t>
            </w:r>
          </w:p>
          <w:p>
            <w:pPr>
              <w:pStyle w:val="TableParagraph"/>
              <w:spacing w:line="260" w:lineRule="exact" w:before="24"/>
              <w:ind w:left="100" w:right="274"/>
              <w:jc w:val="left"/>
              <w:rPr>
                <w:rFonts w:ascii="宋体" w:hAnsi="宋体" w:cs="宋体" w:eastAsia="宋体" w:hint="default"/>
                <w:sz w:val="20"/>
                <w:szCs w:val="20"/>
              </w:rPr>
            </w:pPr>
            <w:r>
              <w:rPr>
                <w:rFonts w:ascii="宋体" w:hAnsi="宋体" w:cs="宋体" w:eastAsia="宋体" w:hint="default"/>
                <w:sz w:val="20"/>
                <w:szCs w:val="20"/>
              </w:rPr>
              <w:t>第一次会议决议公</w:t>
            </w:r>
            <w:r>
              <w:rPr>
                <w:rFonts w:ascii="宋体" w:hAnsi="宋体" w:cs="宋体" w:eastAsia="宋体" w:hint="default"/>
                <w:w w:val="100"/>
                <w:sz w:val="20"/>
                <w:szCs w:val="20"/>
              </w:rPr>
              <w:t> </w:t>
            </w:r>
            <w:r>
              <w:rPr>
                <w:rFonts w:ascii="宋体" w:hAnsi="宋体" w:cs="宋体" w:eastAsia="宋体" w:hint="default"/>
                <w:sz w:val="20"/>
                <w:szCs w:val="20"/>
              </w:rPr>
              <w:t>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68" w:lineRule="exact" w:before="98"/>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B04</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B30</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left="1" w:right="0"/>
              <w:jc w:val="center"/>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8"/>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11</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10</w:t>
            </w:r>
            <w:r>
              <w:rPr>
                <w:rFonts w:ascii="Arial" w:hAnsi="Arial" w:cs="Arial" w:eastAsia="Arial" w:hint="default"/>
                <w:spacing w:val="-19"/>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75"/>
                <w:sz w:val="20"/>
                <w:szCs w:val="20"/>
              </w:rPr>
              <w:t> </w:t>
            </w:r>
            <w:r>
              <w:rPr>
                <w:rFonts w:ascii="Arial" w:hAnsi="Arial" w:cs="Arial" w:eastAsia="Arial" w:hint="default"/>
                <w:sz w:val="20"/>
                <w:szCs w:val="20"/>
              </w:rPr>
              <w:t>2009</w:t>
            </w:r>
            <w:r>
              <w:rPr>
                <w:rFonts w:ascii="Arial" w:hAnsi="Arial" w:cs="Arial" w:eastAsia="Arial" w:hint="default"/>
                <w:spacing w:val="-30"/>
                <w:sz w:val="20"/>
                <w:szCs w:val="20"/>
              </w:rPr>
              <w:t> </w:t>
            </w:r>
            <w:r>
              <w:rPr>
                <w:rFonts w:ascii="宋体" w:hAnsi="宋体" w:cs="宋体" w:eastAsia="宋体" w:hint="default"/>
                <w:sz w:val="20"/>
                <w:szCs w:val="20"/>
              </w:rPr>
              <w:t>年</w:t>
            </w:r>
            <w:r>
              <w:rPr>
                <w:rFonts w:ascii="宋体" w:hAnsi="宋体" w:cs="宋体" w:eastAsia="宋体" w:hint="default"/>
                <w:spacing w:val="-76"/>
                <w:sz w:val="20"/>
                <w:szCs w:val="20"/>
              </w:rPr>
              <w:t> </w:t>
            </w:r>
            <w:r>
              <w:rPr>
                <w:rFonts w:ascii="Arial" w:hAnsi="Arial" w:cs="Arial" w:eastAsia="Arial" w:hint="default"/>
                <w:sz w:val="20"/>
                <w:szCs w:val="20"/>
              </w:rPr>
              <w:t>10</w:t>
            </w:r>
            <w:r>
              <w:rPr>
                <w:rFonts w:ascii="Arial" w:hAnsi="Arial" w:cs="Arial" w:eastAsia="Arial" w:hint="default"/>
                <w:spacing w:val="-30"/>
                <w:sz w:val="20"/>
                <w:szCs w:val="20"/>
              </w:rPr>
              <w:t> </w:t>
            </w:r>
            <w:r>
              <w:rPr>
                <w:rFonts w:ascii="宋体" w:hAnsi="宋体" w:cs="宋体" w:eastAsia="宋体" w:hint="default"/>
                <w:sz w:val="20"/>
                <w:szCs w:val="20"/>
              </w:rPr>
              <w:t>月份</w:t>
            </w:r>
          </w:p>
          <w:p>
            <w:pPr>
              <w:pStyle w:val="TableParagraph"/>
              <w:spacing w:line="253" w:lineRule="exact"/>
              <w:ind w:left="101" w:right="0"/>
              <w:jc w:val="left"/>
              <w:rPr>
                <w:rFonts w:ascii="宋体" w:hAnsi="宋体" w:cs="宋体" w:eastAsia="宋体" w:hint="default"/>
                <w:sz w:val="20"/>
                <w:szCs w:val="20"/>
              </w:rPr>
            </w:pPr>
            <w:r>
              <w:rPr>
                <w:rFonts w:ascii="宋体" w:hAnsi="宋体" w:cs="宋体" w:eastAsia="宋体" w:hint="default"/>
                <w:sz w:val="20"/>
                <w:szCs w:val="20"/>
              </w:rPr>
              <w:t>业务数据公告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A08</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B16</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 w:right="0"/>
              <w:jc w:val="center"/>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8"/>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11</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20</w:t>
            </w:r>
            <w:r>
              <w:rPr>
                <w:rFonts w:ascii="Arial" w:hAnsi="Arial" w:cs="Arial" w:eastAsia="Arial" w:hint="default"/>
                <w:spacing w:val="-19"/>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r>
        <w:trPr>
          <w:trHeight w:val="534"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宋体" w:hAnsi="宋体" w:cs="宋体" w:eastAsia="宋体" w:hint="default"/>
                <w:sz w:val="20"/>
                <w:szCs w:val="20"/>
              </w:rPr>
            </w:pPr>
            <w:r>
              <w:rPr>
                <w:rFonts w:ascii="宋体" w:hAnsi="宋体" w:cs="宋体" w:eastAsia="宋体" w:hint="default"/>
                <w:sz w:val="20"/>
                <w:szCs w:val="20"/>
              </w:rPr>
              <w:t>公司</w:t>
            </w:r>
            <w:r>
              <w:rPr>
                <w:rFonts w:ascii="宋体" w:hAnsi="宋体" w:cs="宋体" w:eastAsia="宋体" w:hint="default"/>
                <w:spacing w:val="-75"/>
                <w:sz w:val="20"/>
                <w:szCs w:val="20"/>
              </w:rPr>
              <w:t> </w:t>
            </w:r>
            <w:r>
              <w:rPr>
                <w:rFonts w:ascii="Arial" w:hAnsi="Arial" w:cs="Arial" w:eastAsia="Arial" w:hint="default"/>
                <w:sz w:val="20"/>
                <w:szCs w:val="20"/>
              </w:rPr>
              <w:t>2009</w:t>
            </w:r>
            <w:r>
              <w:rPr>
                <w:rFonts w:ascii="Arial" w:hAnsi="Arial" w:cs="Arial" w:eastAsia="Arial" w:hint="default"/>
                <w:spacing w:val="-30"/>
                <w:sz w:val="20"/>
                <w:szCs w:val="20"/>
              </w:rPr>
              <w:t> </w:t>
            </w:r>
            <w:r>
              <w:rPr>
                <w:rFonts w:ascii="宋体" w:hAnsi="宋体" w:cs="宋体" w:eastAsia="宋体" w:hint="default"/>
                <w:sz w:val="20"/>
                <w:szCs w:val="20"/>
              </w:rPr>
              <w:t>年</w:t>
            </w:r>
            <w:r>
              <w:rPr>
                <w:rFonts w:ascii="宋体" w:hAnsi="宋体" w:cs="宋体" w:eastAsia="宋体" w:hint="default"/>
                <w:spacing w:val="-76"/>
                <w:sz w:val="20"/>
                <w:szCs w:val="20"/>
              </w:rPr>
              <w:t> </w:t>
            </w:r>
            <w:r>
              <w:rPr>
                <w:rFonts w:ascii="Arial" w:hAnsi="Arial" w:cs="Arial" w:eastAsia="Arial" w:hint="default"/>
                <w:sz w:val="20"/>
                <w:szCs w:val="20"/>
              </w:rPr>
              <w:t>11</w:t>
            </w:r>
            <w:r>
              <w:rPr>
                <w:rFonts w:ascii="Arial" w:hAnsi="Arial" w:cs="Arial" w:eastAsia="Arial" w:hint="default"/>
                <w:spacing w:val="-30"/>
                <w:sz w:val="20"/>
                <w:szCs w:val="20"/>
              </w:rPr>
              <w:t> </w:t>
            </w:r>
            <w:r>
              <w:rPr>
                <w:rFonts w:ascii="宋体" w:hAnsi="宋体" w:cs="宋体" w:eastAsia="宋体" w:hint="default"/>
                <w:sz w:val="20"/>
                <w:szCs w:val="20"/>
              </w:rPr>
              <w:t>月份</w:t>
            </w:r>
          </w:p>
          <w:p>
            <w:pPr>
              <w:pStyle w:val="TableParagraph"/>
              <w:spacing w:line="253" w:lineRule="exact"/>
              <w:ind w:left="101" w:right="0"/>
              <w:jc w:val="left"/>
              <w:rPr>
                <w:rFonts w:ascii="宋体" w:hAnsi="宋体" w:cs="宋体" w:eastAsia="宋体" w:hint="default"/>
                <w:sz w:val="20"/>
                <w:szCs w:val="20"/>
              </w:rPr>
            </w:pPr>
            <w:r>
              <w:rPr>
                <w:rFonts w:ascii="宋体" w:hAnsi="宋体" w:cs="宋体" w:eastAsia="宋体" w:hint="default"/>
                <w:sz w:val="20"/>
                <w:szCs w:val="20"/>
              </w:rPr>
              <w:t>业务数据公告</w:t>
            </w:r>
          </w:p>
        </w:tc>
        <w:tc>
          <w:tcPr>
            <w:tcW w:w="2215" w:type="dxa"/>
            <w:tcBorders>
              <w:top w:val="single" w:sz="6" w:space="0" w:color="000000"/>
              <w:left w:val="single" w:sz="6" w:space="0" w:color="000000"/>
              <w:bottom w:val="single" w:sz="6" w:space="0" w:color="000000"/>
              <w:right w:val="single" w:sz="6" w:space="0" w:color="000000"/>
            </w:tcBorders>
          </w:tcPr>
          <w:p>
            <w:pPr>
              <w:pStyle w:val="TableParagraph"/>
              <w:spacing w:line="237" w:lineRule="exact"/>
              <w:ind w:left="100" w:right="0"/>
              <w:jc w:val="left"/>
              <w:rPr>
                <w:rFonts w:ascii="Arial" w:hAnsi="Arial" w:cs="Arial" w:eastAsia="Arial" w:hint="default"/>
                <w:sz w:val="20"/>
                <w:szCs w:val="20"/>
              </w:rPr>
            </w:pPr>
            <w:r>
              <w:rPr>
                <w:rFonts w:ascii="宋体" w:hAnsi="宋体" w:cs="宋体" w:eastAsia="宋体" w:hint="default"/>
                <w:sz w:val="20"/>
                <w:szCs w:val="20"/>
              </w:rPr>
              <w:t>《中国证券报》</w:t>
            </w:r>
            <w:r>
              <w:rPr>
                <w:rFonts w:ascii="Arial" w:hAnsi="Arial" w:cs="Arial" w:eastAsia="Arial" w:hint="default"/>
                <w:sz w:val="20"/>
                <w:szCs w:val="20"/>
              </w:rPr>
              <w:t>A25</w:t>
            </w:r>
          </w:p>
          <w:p>
            <w:pPr>
              <w:pStyle w:val="TableParagraph"/>
              <w:spacing w:line="268" w:lineRule="exact"/>
              <w:ind w:left="100" w:right="0"/>
              <w:jc w:val="left"/>
              <w:rPr>
                <w:rFonts w:ascii="Arial" w:hAnsi="Arial" w:cs="Arial" w:eastAsia="Arial" w:hint="default"/>
                <w:sz w:val="20"/>
                <w:szCs w:val="20"/>
              </w:rPr>
            </w:pPr>
            <w:r>
              <w:rPr>
                <w:rFonts w:ascii="宋体" w:hAnsi="宋体" w:cs="宋体" w:eastAsia="宋体" w:hint="default"/>
                <w:sz w:val="20"/>
                <w:szCs w:val="20"/>
              </w:rPr>
              <w:t>《上海证券报》</w:t>
            </w:r>
            <w:r>
              <w:rPr>
                <w:rFonts w:ascii="Arial" w:hAnsi="Arial" w:cs="Arial" w:eastAsia="Arial" w:hint="default"/>
                <w:sz w:val="20"/>
                <w:szCs w:val="20"/>
              </w:rPr>
              <w:t>B32</w:t>
            </w:r>
          </w:p>
        </w:tc>
        <w:tc>
          <w:tcPr>
            <w:tcW w:w="19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8"/>
              <w:ind w:left="1" w:right="0"/>
              <w:jc w:val="center"/>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18"/>
                <w:sz w:val="20"/>
                <w:szCs w:val="20"/>
              </w:rPr>
              <w:t> </w:t>
            </w:r>
            <w:r>
              <w:rPr>
                <w:rFonts w:ascii="宋体" w:hAnsi="宋体" w:cs="宋体" w:eastAsia="宋体" w:hint="default"/>
                <w:sz w:val="20"/>
                <w:szCs w:val="20"/>
              </w:rPr>
              <w:t>年</w:t>
            </w:r>
            <w:r>
              <w:rPr>
                <w:rFonts w:ascii="宋体" w:hAnsi="宋体" w:cs="宋体" w:eastAsia="宋体" w:hint="default"/>
                <w:spacing w:val="-62"/>
                <w:sz w:val="20"/>
                <w:szCs w:val="20"/>
              </w:rPr>
              <w:t> </w:t>
            </w:r>
            <w:r>
              <w:rPr>
                <w:rFonts w:ascii="Arial" w:hAnsi="Arial" w:cs="Arial" w:eastAsia="Arial" w:hint="default"/>
                <w:sz w:val="20"/>
                <w:szCs w:val="20"/>
              </w:rPr>
              <w:t>12</w:t>
            </w:r>
            <w:r>
              <w:rPr>
                <w:rFonts w:ascii="Arial" w:hAnsi="Arial" w:cs="Arial" w:eastAsia="Arial" w:hint="default"/>
                <w:spacing w:val="-17"/>
                <w:sz w:val="20"/>
                <w:szCs w:val="20"/>
              </w:rPr>
              <w:t> </w:t>
            </w:r>
            <w:r>
              <w:rPr>
                <w:rFonts w:ascii="宋体" w:hAnsi="宋体" w:cs="宋体" w:eastAsia="宋体" w:hint="default"/>
                <w:sz w:val="20"/>
                <w:szCs w:val="20"/>
              </w:rPr>
              <w:t>月</w:t>
            </w:r>
            <w:r>
              <w:rPr>
                <w:rFonts w:ascii="宋体" w:hAnsi="宋体" w:cs="宋体" w:eastAsia="宋体" w:hint="default"/>
                <w:spacing w:val="-63"/>
                <w:sz w:val="20"/>
                <w:szCs w:val="20"/>
              </w:rPr>
              <w:t> </w:t>
            </w:r>
            <w:r>
              <w:rPr>
                <w:rFonts w:ascii="Arial" w:hAnsi="Arial" w:cs="Arial" w:eastAsia="Arial" w:hint="default"/>
                <w:sz w:val="20"/>
                <w:szCs w:val="20"/>
              </w:rPr>
              <w:t>22</w:t>
            </w:r>
            <w:r>
              <w:rPr>
                <w:rFonts w:ascii="Arial" w:hAnsi="Arial" w:cs="Arial" w:eastAsia="Arial" w:hint="default"/>
                <w:spacing w:val="-19"/>
                <w:sz w:val="20"/>
                <w:szCs w:val="20"/>
              </w:rPr>
              <w:t> </w:t>
            </w:r>
            <w:r>
              <w:rPr>
                <w:rFonts w:ascii="宋体" w:hAnsi="宋体" w:cs="宋体" w:eastAsia="宋体" w:hint="default"/>
                <w:sz w:val="20"/>
                <w:szCs w:val="20"/>
              </w:rPr>
              <w:t>日</w:t>
            </w:r>
          </w:p>
        </w:tc>
        <w:tc>
          <w:tcPr>
            <w:tcW w:w="3192" w:type="dxa"/>
            <w:tcBorders>
              <w:top w:val="single" w:sz="6" w:space="0" w:color="000000"/>
              <w:left w:val="single" w:sz="6" w:space="0" w:color="000000"/>
              <w:bottom w:val="single" w:sz="6" w:space="0" w:color="000000"/>
              <w:right w:val="single" w:sz="6" w:space="0" w:color="000000"/>
            </w:tcBorders>
          </w:tcPr>
          <w:p>
            <w:pPr>
              <w:pStyle w:val="TableParagraph"/>
              <w:spacing w:line="259" w:lineRule="exact"/>
              <w:ind w:left="100" w:right="0"/>
              <w:jc w:val="left"/>
              <w:rPr>
                <w:rFonts w:ascii="宋体" w:hAnsi="宋体" w:cs="宋体" w:eastAsia="宋体" w:hint="default"/>
                <w:sz w:val="20"/>
                <w:szCs w:val="20"/>
              </w:rPr>
            </w:pPr>
            <w:hyperlink r:id="rId12">
              <w:r>
                <w:rPr>
                  <w:rFonts w:ascii="Arial" w:hAnsi="Arial" w:cs="Arial" w:eastAsia="Arial" w:hint="default"/>
                  <w:sz w:val="20"/>
                  <w:szCs w:val="20"/>
                </w:rPr>
                <w:t>www.sse.com.cn</w:t>
              </w:r>
            </w:hyperlink>
            <w:r>
              <w:rPr>
                <w:rFonts w:ascii="Arial" w:hAnsi="Arial" w:cs="Arial" w:eastAsia="Arial" w:hint="default"/>
                <w:spacing w:val="41"/>
                <w:sz w:val="20"/>
                <w:szCs w:val="20"/>
              </w:rPr>
              <w:t> </w:t>
            </w:r>
            <w:r>
              <w:rPr>
                <w:rFonts w:ascii="宋体" w:hAnsi="宋体" w:cs="宋体" w:eastAsia="宋体" w:hint="default"/>
                <w:sz w:val="20"/>
                <w:szCs w:val="20"/>
              </w:rPr>
              <w:t>；</w:t>
            </w:r>
          </w:p>
          <w:p>
            <w:pPr>
              <w:pStyle w:val="TableParagraph"/>
              <w:spacing w:line="240" w:lineRule="auto" w:before="12"/>
              <w:ind w:left="100" w:right="0"/>
              <w:jc w:val="left"/>
              <w:rPr>
                <w:rFonts w:ascii="Arial" w:hAnsi="Arial" w:cs="Arial" w:eastAsia="Arial" w:hint="default"/>
                <w:sz w:val="20"/>
                <w:szCs w:val="20"/>
              </w:rPr>
            </w:pPr>
            <w:hyperlink r:id="rId10">
              <w:r>
                <w:rPr>
                  <w:rFonts w:ascii="Arial"/>
                  <w:sz w:val="20"/>
                </w:rPr>
                <w:t>www.chinaunicom-a.com</w:t>
              </w:r>
            </w:hyperlink>
          </w:p>
        </w:tc>
      </w:tr>
    </w:tbl>
    <w:p>
      <w:pPr>
        <w:spacing w:line="240" w:lineRule="auto" w:before="11"/>
        <w:rPr>
          <w:rFonts w:ascii="Times New Roman" w:hAnsi="Times New Roman" w:cs="Times New Roman" w:eastAsia="Times New Roman" w:hint="default"/>
          <w:sz w:val="14"/>
          <w:szCs w:val="14"/>
        </w:rPr>
      </w:pPr>
    </w:p>
    <w:p>
      <w:pPr>
        <w:pStyle w:val="Heading8"/>
        <w:spacing w:line="240" w:lineRule="auto" w:before="31"/>
        <w:ind w:right="0"/>
        <w:jc w:val="left"/>
        <w:rPr>
          <w:b w:val="0"/>
          <w:bCs w:val="0"/>
        </w:rPr>
      </w:pPr>
      <w:bookmarkStart w:name="_TOC_250000" w:id="10"/>
      <w:r>
        <w:rPr/>
        <w:t>十一、财务报告</w:t>
      </w:r>
      <w:bookmarkEnd w:id="10"/>
      <w:r>
        <w:rPr>
          <w:b w:val="0"/>
          <w:bCs w:val="0"/>
        </w:rPr>
      </w:r>
    </w:p>
    <w:p>
      <w:pPr>
        <w:spacing w:after="0" w:line="240" w:lineRule="auto"/>
        <w:jc w:val="left"/>
        <w:sectPr>
          <w:pgSz w:w="11910" w:h="16840"/>
          <w:pgMar w:header="587" w:footer="774" w:top="960" w:bottom="960" w:left="1180" w:right="114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4"/>
          <w:szCs w:val="14"/>
        </w:rPr>
      </w:pPr>
    </w:p>
    <w:p>
      <w:pPr>
        <w:spacing w:line="391" w:lineRule="exact" w:before="7"/>
        <w:ind w:left="523" w:right="652" w:firstLine="0"/>
        <w:jc w:val="center"/>
        <w:rPr>
          <w:rFonts w:ascii="黑体" w:hAnsi="黑体" w:cs="黑体" w:eastAsia="黑体" w:hint="default"/>
          <w:sz w:val="30"/>
          <w:szCs w:val="30"/>
        </w:rPr>
      </w:pPr>
      <w:r>
        <w:rPr>
          <w:rFonts w:ascii="黑体" w:hAnsi="黑体" w:cs="黑体" w:eastAsia="黑体" w:hint="default"/>
          <w:sz w:val="30"/>
          <w:szCs w:val="30"/>
        </w:rPr>
        <w:t>中国联合网络通信股份有限公司</w:t>
      </w:r>
    </w:p>
    <w:p>
      <w:pPr>
        <w:spacing w:line="391" w:lineRule="exact" w:before="0"/>
        <w:ind w:left="426" w:right="652" w:firstLine="0"/>
        <w:jc w:val="center"/>
        <w:rPr>
          <w:rFonts w:ascii="黑体" w:hAnsi="黑体" w:cs="黑体" w:eastAsia="黑体" w:hint="default"/>
          <w:sz w:val="30"/>
          <w:szCs w:val="30"/>
        </w:rPr>
      </w:pPr>
      <w:r>
        <w:rPr>
          <w:rFonts w:ascii="黑体" w:hAnsi="黑体" w:cs="黑体" w:eastAsia="黑体" w:hint="default"/>
          <w:sz w:val="30"/>
          <w:szCs w:val="30"/>
        </w:rPr>
        <w:t>（原名为“中国联合通信股份有限公司”）</w:t>
      </w:r>
    </w:p>
    <w:p>
      <w:pPr>
        <w:spacing w:line="240" w:lineRule="auto" w:before="2"/>
        <w:rPr>
          <w:rFonts w:ascii="黑体" w:hAnsi="黑体" w:cs="黑体" w:eastAsia="黑体" w:hint="default"/>
          <w:sz w:val="26"/>
          <w:szCs w:val="26"/>
        </w:rPr>
      </w:pPr>
    </w:p>
    <w:p>
      <w:pPr>
        <w:spacing w:before="0"/>
        <w:ind w:left="492" w:right="652" w:firstLine="0"/>
        <w:jc w:val="center"/>
        <w:rPr>
          <w:rFonts w:ascii="黑体" w:hAnsi="黑体" w:cs="黑体" w:eastAsia="黑体" w:hint="default"/>
          <w:sz w:val="30"/>
          <w:szCs w:val="30"/>
        </w:rPr>
      </w:pPr>
      <w:r>
        <w:rPr>
          <w:rFonts w:ascii="Arial" w:hAnsi="Arial" w:cs="Arial" w:eastAsia="Arial" w:hint="default"/>
          <w:sz w:val="30"/>
          <w:szCs w:val="30"/>
        </w:rPr>
        <w:t>2009</w:t>
      </w:r>
      <w:r>
        <w:rPr>
          <w:rFonts w:ascii="Arial" w:hAnsi="Arial" w:cs="Arial" w:eastAsia="Arial" w:hint="default"/>
          <w:spacing w:val="-13"/>
          <w:sz w:val="30"/>
          <w:szCs w:val="30"/>
        </w:rPr>
        <w:t> </w:t>
      </w:r>
      <w:r>
        <w:rPr>
          <w:rFonts w:ascii="黑体" w:hAnsi="黑体" w:cs="黑体" w:eastAsia="黑体" w:hint="default"/>
          <w:sz w:val="30"/>
          <w:szCs w:val="30"/>
        </w:rPr>
        <w:t>年度财务报表及审计报告</w:t>
      </w:r>
    </w:p>
    <w:p>
      <w:pPr>
        <w:spacing w:after="0"/>
        <w:jc w:val="center"/>
        <w:rPr>
          <w:rFonts w:ascii="黑体" w:hAnsi="黑体" w:cs="黑体" w:eastAsia="黑体" w:hint="default"/>
          <w:sz w:val="30"/>
          <w:szCs w:val="30"/>
        </w:rPr>
        <w:sectPr>
          <w:headerReference w:type="default" r:id="rId13"/>
          <w:footerReference w:type="default" r:id="rId14"/>
          <w:pgSz w:w="11910" w:h="16840"/>
          <w:pgMar w:header="0" w:footer="774" w:top="1600" w:bottom="960" w:left="1680" w:right="1680"/>
          <w:pgNumType w:start="47"/>
        </w:sectPr>
      </w:pPr>
    </w:p>
    <w:p>
      <w:pPr>
        <w:spacing w:line="240" w:lineRule="auto" w:before="8"/>
        <w:rPr>
          <w:rFonts w:ascii="黑体" w:hAnsi="黑体" w:cs="黑体" w:eastAsia="黑体" w:hint="default"/>
          <w:sz w:val="6"/>
          <w:szCs w:val="6"/>
        </w:rPr>
      </w:pPr>
    </w:p>
    <w:p>
      <w:pPr>
        <w:spacing w:line="960" w:lineRule="exact"/>
        <w:ind w:left="161" w:right="0" w:firstLine="0"/>
        <w:rPr>
          <w:rFonts w:ascii="黑体" w:hAnsi="黑体" w:cs="黑体" w:eastAsia="黑体" w:hint="default"/>
          <w:sz w:val="20"/>
          <w:szCs w:val="20"/>
        </w:rPr>
      </w:pPr>
      <w:r>
        <w:rPr>
          <w:rFonts w:ascii="黑体" w:hAnsi="黑体" w:cs="黑体" w:eastAsia="黑体" w:hint="default"/>
          <w:position w:val="-18"/>
          <w:sz w:val="20"/>
          <w:szCs w:val="20"/>
        </w:rPr>
        <w:drawing>
          <wp:inline distT="0" distB="0" distL="0" distR="0">
            <wp:extent cx="3157395" cy="609600"/>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7" cstate="print"/>
                    <a:stretch>
                      <a:fillRect/>
                    </a:stretch>
                  </pic:blipFill>
                  <pic:spPr>
                    <a:xfrm>
                      <a:off x="0" y="0"/>
                      <a:ext cx="3157395" cy="609600"/>
                    </a:xfrm>
                    <a:prstGeom prst="rect">
                      <a:avLst/>
                    </a:prstGeom>
                  </pic:spPr>
                </pic:pic>
              </a:graphicData>
            </a:graphic>
          </wp:inline>
        </w:drawing>
      </w:r>
      <w:r>
        <w:rPr>
          <w:rFonts w:ascii="黑体" w:hAnsi="黑体" w:cs="黑体" w:eastAsia="黑体" w:hint="default"/>
          <w:position w:val="-18"/>
          <w:sz w:val="20"/>
          <w:szCs w:val="20"/>
        </w:rPr>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24"/>
          <w:szCs w:val="24"/>
        </w:rPr>
      </w:pPr>
    </w:p>
    <w:p>
      <w:pPr>
        <w:spacing w:before="26"/>
        <w:ind w:left="4149" w:right="5174" w:firstLine="0"/>
        <w:jc w:val="center"/>
        <w:rPr>
          <w:rFonts w:ascii="黑体" w:hAnsi="黑体" w:cs="黑体" w:eastAsia="黑体" w:hint="default"/>
          <w:sz w:val="24"/>
          <w:szCs w:val="24"/>
        </w:rPr>
      </w:pPr>
      <w:r>
        <w:rPr/>
        <w:pict>
          <v:group style="position:absolute;margin-left:84.595001pt;margin-top:-124.904083pt;width:510.55pt;height:101.95pt;mso-position-horizontal-relative:page;mso-position-vertical-relative:paragraph;z-index:1048" coordorigin="1692,-2498" coordsize="10211,2039">
            <v:group style="position:absolute;left:8694;top:-2493;width:2;height:200" coordorigin="8694,-2493" coordsize="2,200">
              <v:shape style="position:absolute;left:8694;top:-2493;width:2;height:200" coordorigin="8694,-2493" coordsize="0,200" path="m8694,-2493l8694,-2294e" filled="false" stroked="true" strokeweight=".48pt" strokecolor="#000000">
                <v:path arrowok="t"/>
              </v:shape>
            </v:group>
            <v:group style="position:absolute;left:8694;top:-2294;width:2;height:201" coordorigin="8694,-2294" coordsize="2,201">
              <v:shape style="position:absolute;left:8694;top:-2294;width:2;height:201" coordorigin="8694,-2294" coordsize="0,201" path="m8694,-2294l8694,-2094e" filled="false" stroked="true" strokeweight=".48pt" strokecolor="#000000">
                <v:path arrowok="t"/>
              </v:shape>
            </v:group>
            <v:group style="position:absolute;left:8694;top:-2094;width:2;height:208" coordorigin="8694,-2094" coordsize="2,208">
              <v:shape style="position:absolute;left:8694;top:-2094;width:2;height:208" coordorigin="8694,-2094" coordsize="0,208" path="m8694,-2094l8694,-1886e" filled="false" stroked="true" strokeweight=".48pt" strokecolor="#000000">
                <v:path arrowok="t"/>
              </v:shape>
            </v:group>
            <v:group style="position:absolute;left:8694;top:-1886;width:2;height:208" coordorigin="8694,-1886" coordsize="2,208">
              <v:shape style="position:absolute;left:8694;top:-1886;width:2;height:208" coordorigin="8694,-1886" coordsize="0,208" path="m8694,-1886l8694,-1678e" filled="false" stroked="true" strokeweight=".48pt" strokecolor="#000000">
                <v:path arrowok="t"/>
              </v:shape>
            </v:group>
            <v:group style="position:absolute;left:8694;top:-1678;width:2;height:200" coordorigin="8694,-1678" coordsize="2,200">
              <v:shape style="position:absolute;left:8694;top:-1678;width:2;height:200" coordorigin="8694,-1678" coordsize="0,200" path="m8694,-1678l8694,-1479e" filled="false" stroked="true" strokeweight=".48pt" strokecolor="#000000">
                <v:path arrowok="t"/>
              </v:shape>
            </v:group>
            <v:group style="position:absolute;left:8694;top:-1479;width:2;height:201" coordorigin="8694,-1479" coordsize="2,201">
              <v:shape style="position:absolute;left:8694;top:-1479;width:2;height:201" coordorigin="8694,-1479" coordsize="0,201" path="m8694,-1479l8694,-1279e" filled="false" stroked="true" strokeweight=".48pt" strokecolor="#000000">
                <v:path arrowok="t"/>
              </v:shape>
            </v:group>
            <v:group style="position:absolute;left:8694;top:-1279;width:2;height:201" coordorigin="8694,-1279" coordsize="2,201">
              <v:shape style="position:absolute;left:8694;top:-1279;width:2;height:201" coordorigin="8694,-1279" coordsize="0,201" path="m8694,-1279l8694,-1078e" filled="false" stroked="true" strokeweight=".48pt" strokecolor="#000000">
                <v:path arrowok="t"/>
              </v:shape>
            </v:group>
            <v:group style="position:absolute;left:8694;top:-1078;width:2;height:200" coordorigin="8694,-1078" coordsize="2,200">
              <v:shape style="position:absolute;left:8694;top:-1078;width:2;height:200" coordorigin="8694,-1078" coordsize="0,200" path="m8694,-1078l8694,-879e" filled="false" stroked="true" strokeweight=".48pt" strokecolor="#000000">
                <v:path arrowok="t"/>
              </v:shape>
            </v:group>
            <v:group style="position:absolute;left:8694;top:-879;width:2;height:416" coordorigin="8694,-879" coordsize="2,416">
              <v:shape style="position:absolute;left:8694;top:-879;width:2;height:416" coordorigin="8694,-879" coordsize="0,416" path="m8694,-879l8694,-464e" filled="false" stroked="true" strokeweight=".48pt" strokecolor="#000000">
                <v:path arrowok="t"/>
              </v:shape>
            </v:group>
            <v:group style="position:absolute;left:1694;top:-2488;width:10206;height:2" coordorigin="1694,-2488" coordsize="10206,2">
              <v:shape style="position:absolute;left:1694;top:-2488;width:10206;height:2" coordorigin="1694,-2488" coordsize="10206,0" path="m1694,-2488l11900,-2488e" filled="false" stroked="true" strokeweight=".25pt" strokecolor="#000000">
                <v:path arrowok="t"/>
              </v:shape>
              <v:shape style="position:absolute;left:1692;top:-2498;width:10211;height:2039" type="#_x0000_t202" filled="false" stroked="false">
                <v:textbox inset="0,0,0,0">
                  <w:txbxContent>
                    <w:p>
                      <w:pPr>
                        <w:spacing w:line="240" w:lineRule="auto" w:before="8"/>
                        <w:rPr>
                          <w:rFonts w:ascii="Arial" w:hAnsi="Arial" w:cs="Arial" w:eastAsia="Arial" w:hint="default"/>
                          <w:sz w:val="17"/>
                          <w:szCs w:val="17"/>
                        </w:rPr>
                      </w:pPr>
                    </w:p>
                    <w:p>
                      <w:pPr>
                        <w:spacing w:line="200" w:lineRule="exact" w:before="0"/>
                        <w:ind w:left="7216" w:right="421" w:firstLine="0"/>
                        <w:jc w:val="left"/>
                        <w:rPr>
                          <w:rFonts w:ascii="宋体" w:hAnsi="宋体" w:cs="宋体" w:eastAsia="宋体" w:hint="default"/>
                          <w:sz w:val="16"/>
                          <w:szCs w:val="16"/>
                        </w:rPr>
                      </w:pPr>
                      <w:r>
                        <w:rPr>
                          <w:rFonts w:ascii="宋体" w:hAnsi="宋体" w:cs="宋体" w:eastAsia="宋体" w:hint="default"/>
                          <w:b/>
                          <w:bCs/>
                          <w:sz w:val="16"/>
                          <w:szCs w:val="16"/>
                        </w:rPr>
                        <w:t>普华永道中天会计师事务所有限公司</w:t>
                      </w:r>
                      <w:r>
                        <w:rPr>
                          <w:rFonts w:ascii="宋体" w:hAnsi="宋体" w:cs="宋体" w:eastAsia="宋体" w:hint="default"/>
                          <w:b/>
                          <w:bCs/>
                          <w:spacing w:val="1"/>
                          <w:w w:val="99"/>
                          <w:sz w:val="16"/>
                          <w:szCs w:val="16"/>
                        </w:rPr>
                        <w:t> </w:t>
                      </w:r>
                      <w:r>
                        <w:rPr>
                          <w:rFonts w:ascii="宋体" w:hAnsi="宋体" w:cs="宋体" w:eastAsia="宋体" w:hint="default"/>
                          <w:sz w:val="16"/>
                          <w:szCs w:val="16"/>
                        </w:rPr>
                        <w:t>中国上海市卢湾区湖滨路</w:t>
                      </w:r>
                      <w:r>
                        <w:rPr>
                          <w:rFonts w:ascii="宋体" w:hAnsi="宋体" w:cs="宋体" w:eastAsia="宋体" w:hint="default"/>
                          <w:spacing w:val="-43"/>
                          <w:sz w:val="16"/>
                          <w:szCs w:val="16"/>
                        </w:rPr>
                        <w:t> </w:t>
                      </w:r>
                      <w:r>
                        <w:rPr>
                          <w:rFonts w:ascii="Arial" w:hAnsi="Arial" w:cs="Arial" w:eastAsia="Arial" w:hint="default"/>
                          <w:sz w:val="16"/>
                          <w:szCs w:val="16"/>
                        </w:rPr>
                        <w:t>202</w:t>
                      </w:r>
                      <w:r>
                        <w:rPr>
                          <w:rFonts w:ascii="Arial" w:hAnsi="Arial" w:cs="Arial" w:eastAsia="Arial" w:hint="default"/>
                          <w:spacing w:val="-6"/>
                          <w:sz w:val="16"/>
                          <w:szCs w:val="16"/>
                        </w:rPr>
                        <w:t> </w:t>
                      </w:r>
                      <w:r>
                        <w:rPr>
                          <w:rFonts w:ascii="宋体" w:hAnsi="宋体" w:cs="宋体" w:eastAsia="宋体" w:hint="default"/>
                          <w:sz w:val="16"/>
                          <w:szCs w:val="16"/>
                        </w:rPr>
                        <w:t>号</w:t>
                      </w:r>
                    </w:p>
                    <w:p>
                      <w:pPr>
                        <w:spacing w:line="195" w:lineRule="exact" w:before="0"/>
                        <w:ind w:left="0" w:right="1862" w:firstLine="0"/>
                        <w:jc w:val="right"/>
                        <w:rPr>
                          <w:rFonts w:ascii="宋体" w:hAnsi="宋体" w:cs="宋体" w:eastAsia="宋体" w:hint="default"/>
                          <w:sz w:val="16"/>
                          <w:szCs w:val="16"/>
                        </w:rPr>
                      </w:pPr>
                      <w:r>
                        <w:rPr>
                          <w:rFonts w:ascii="宋体" w:hAnsi="宋体" w:cs="宋体" w:eastAsia="宋体" w:hint="default"/>
                          <w:sz w:val="16"/>
                          <w:szCs w:val="16"/>
                        </w:rPr>
                        <w:t>企业天地</w:t>
                      </w:r>
                      <w:r>
                        <w:rPr>
                          <w:rFonts w:ascii="宋体" w:hAnsi="宋体" w:cs="宋体" w:eastAsia="宋体" w:hint="default"/>
                          <w:spacing w:val="-41"/>
                          <w:sz w:val="16"/>
                          <w:szCs w:val="16"/>
                        </w:rPr>
                        <w:t> </w:t>
                      </w:r>
                      <w:r>
                        <w:rPr>
                          <w:rFonts w:ascii="Arial" w:hAnsi="Arial" w:cs="Arial" w:eastAsia="Arial" w:hint="default"/>
                          <w:sz w:val="16"/>
                          <w:szCs w:val="16"/>
                        </w:rPr>
                        <w:t>2</w:t>
                      </w:r>
                      <w:r>
                        <w:rPr>
                          <w:rFonts w:ascii="Arial" w:hAnsi="Arial" w:cs="Arial" w:eastAsia="Arial" w:hint="default"/>
                          <w:spacing w:val="-5"/>
                          <w:sz w:val="16"/>
                          <w:szCs w:val="16"/>
                        </w:rPr>
                        <w:t> </w:t>
                      </w:r>
                      <w:r>
                        <w:rPr>
                          <w:rFonts w:ascii="宋体" w:hAnsi="宋体" w:cs="宋体" w:eastAsia="宋体" w:hint="default"/>
                          <w:sz w:val="16"/>
                          <w:szCs w:val="16"/>
                        </w:rPr>
                        <w:t>号楼</w:t>
                      </w:r>
                    </w:p>
                    <w:p>
                      <w:pPr>
                        <w:spacing w:line="203" w:lineRule="exact" w:before="0"/>
                        <w:ind w:left="0" w:right="1614" w:firstLine="0"/>
                        <w:jc w:val="right"/>
                        <w:rPr>
                          <w:rFonts w:ascii="宋体" w:hAnsi="宋体" w:cs="宋体" w:eastAsia="宋体" w:hint="default"/>
                          <w:sz w:val="16"/>
                          <w:szCs w:val="16"/>
                        </w:rPr>
                      </w:pPr>
                      <w:r>
                        <w:rPr>
                          <w:rFonts w:ascii="宋体" w:hAnsi="宋体" w:cs="宋体" w:eastAsia="宋体" w:hint="default"/>
                          <w:sz w:val="16"/>
                          <w:szCs w:val="16"/>
                        </w:rPr>
                        <w:t>普华永道中心</w:t>
                      </w:r>
                      <w:r>
                        <w:rPr>
                          <w:rFonts w:ascii="宋体" w:hAnsi="宋体" w:cs="宋体" w:eastAsia="宋体" w:hint="default"/>
                          <w:spacing w:val="-42"/>
                          <w:sz w:val="16"/>
                          <w:szCs w:val="16"/>
                        </w:rPr>
                        <w:t> </w:t>
                      </w:r>
                      <w:r>
                        <w:rPr>
                          <w:rFonts w:ascii="Arial" w:hAnsi="Arial" w:cs="Arial" w:eastAsia="Arial" w:hint="default"/>
                          <w:sz w:val="16"/>
                          <w:szCs w:val="16"/>
                        </w:rPr>
                        <w:t>11</w:t>
                      </w:r>
                      <w:r>
                        <w:rPr>
                          <w:rFonts w:ascii="Arial" w:hAnsi="Arial" w:cs="Arial" w:eastAsia="Arial" w:hint="default"/>
                          <w:spacing w:val="-5"/>
                          <w:sz w:val="16"/>
                          <w:szCs w:val="16"/>
                        </w:rPr>
                        <w:t> </w:t>
                      </w:r>
                      <w:r>
                        <w:rPr>
                          <w:rFonts w:ascii="宋体" w:hAnsi="宋体" w:cs="宋体" w:eastAsia="宋体" w:hint="default"/>
                          <w:sz w:val="16"/>
                          <w:szCs w:val="16"/>
                        </w:rPr>
                        <w:t>楼</w:t>
                      </w:r>
                    </w:p>
                    <w:p>
                      <w:pPr>
                        <w:spacing w:line="200" w:lineRule="exact" w:before="0"/>
                        <w:ind w:left="0" w:right="1738" w:firstLine="0"/>
                        <w:jc w:val="right"/>
                        <w:rPr>
                          <w:rFonts w:ascii="Arial" w:hAnsi="Arial" w:cs="Arial" w:eastAsia="Arial" w:hint="default"/>
                          <w:sz w:val="16"/>
                          <w:szCs w:val="16"/>
                        </w:rPr>
                      </w:pPr>
                      <w:r>
                        <w:rPr>
                          <w:rFonts w:ascii="宋体" w:hAnsi="宋体" w:cs="宋体" w:eastAsia="宋体" w:hint="default"/>
                          <w:sz w:val="16"/>
                          <w:szCs w:val="16"/>
                        </w:rPr>
                        <w:t>邮政编码</w:t>
                      </w:r>
                      <w:r>
                        <w:rPr>
                          <w:rFonts w:ascii="宋体" w:hAnsi="宋体" w:cs="宋体" w:eastAsia="宋体" w:hint="default"/>
                          <w:spacing w:val="-2"/>
                          <w:sz w:val="16"/>
                          <w:szCs w:val="16"/>
                        </w:rPr>
                        <w:t> </w:t>
                      </w:r>
                      <w:r>
                        <w:rPr>
                          <w:rFonts w:ascii="Arial" w:hAnsi="Arial" w:cs="Arial" w:eastAsia="Arial" w:hint="default"/>
                          <w:sz w:val="16"/>
                          <w:szCs w:val="16"/>
                        </w:rPr>
                        <w:t>200021</w:t>
                      </w:r>
                    </w:p>
                    <w:p>
                      <w:pPr>
                        <w:spacing w:line="200" w:lineRule="exact" w:before="0"/>
                        <w:ind w:left="0" w:right="1192" w:firstLine="0"/>
                        <w:jc w:val="right"/>
                        <w:rPr>
                          <w:rFonts w:ascii="Arial" w:hAnsi="Arial" w:cs="Arial" w:eastAsia="Arial" w:hint="default"/>
                          <w:sz w:val="16"/>
                          <w:szCs w:val="16"/>
                        </w:rPr>
                      </w:pPr>
                      <w:r>
                        <w:rPr>
                          <w:rFonts w:ascii="宋体" w:hAnsi="宋体" w:cs="宋体" w:eastAsia="宋体" w:hint="default"/>
                          <w:sz w:val="16"/>
                          <w:szCs w:val="16"/>
                        </w:rPr>
                        <w:t>电话 </w:t>
                      </w:r>
                      <w:r>
                        <w:rPr>
                          <w:rFonts w:ascii="Arial" w:hAnsi="Arial" w:cs="Arial" w:eastAsia="Arial" w:hint="default"/>
                          <w:sz w:val="16"/>
                          <w:szCs w:val="16"/>
                        </w:rPr>
                        <w:t>+86 (21) 2323</w:t>
                      </w:r>
                      <w:r>
                        <w:rPr>
                          <w:rFonts w:ascii="Arial" w:hAnsi="Arial" w:cs="Arial" w:eastAsia="Arial" w:hint="default"/>
                          <w:spacing w:val="-4"/>
                          <w:sz w:val="16"/>
                          <w:szCs w:val="16"/>
                        </w:rPr>
                        <w:t> </w:t>
                      </w:r>
                      <w:r>
                        <w:rPr>
                          <w:rFonts w:ascii="Arial" w:hAnsi="Arial" w:cs="Arial" w:eastAsia="Arial" w:hint="default"/>
                          <w:sz w:val="16"/>
                          <w:szCs w:val="16"/>
                        </w:rPr>
                        <w:t>8888</w:t>
                      </w:r>
                    </w:p>
                    <w:p>
                      <w:pPr>
                        <w:spacing w:line="211" w:lineRule="exact" w:before="0"/>
                        <w:ind w:left="0" w:right="1192" w:firstLine="0"/>
                        <w:jc w:val="right"/>
                        <w:rPr>
                          <w:rFonts w:ascii="Arial" w:hAnsi="Arial" w:cs="Arial" w:eastAsia="Arial" w:hint="default"/>
                          <w:sz w:val="16"/>
                          <w:szCs w:val="16"/>
                        </w:rPr>
                      </w:pPr>
                      <w:r>
                        <w:rPr>
                          <w:rFonts w:ascii="宋体" w:hAnsi="宋体" w:cs="宋体" w:eastAsia="宋体" w:hint="default"/>
                          <w:sz w:val="16"/>
                          <w:szCs w:val="16"/>
                        </w:rPr>
                        <w:t>传真 </w:t>
                      </w:r>
                      <w:r>
                        <w:rPr>
                          <w:rFonts w:ascii="Arial" w:hAnsi="Arial" w:cs="Arial" w:eastAsia="Arial" w:hint="default"/>
                          <w:sz w:val="16"/>
                          <w:szCs w:val="16"/>
                        </w:rPr>
                        <w:t>+86 (21) 2323</w:t>
                      </w:r>
                      <w:r>
                        <w:rPr>
                          <w:rFonts w:ascii="Arial" w:hAnsi="Arial" w:cs="Arial" w:eastAsia="Arial" w:hint="default"/>
                          <w:spacing w:val="-4"/>
                          <w:sz w:val="16"/>
                          <w:szCs w:val="16"/>
                        </w:rPr>
                        <w:t> </w:t>
                      </w:r>
                      <w:r>
                        <w:rPr>
                          <w:rFonts w:ascii="Arial" w:hAnsi="Arial" w:cs="Arial" w:eastAsia="Arial" w:hint="default"/>
                          <w:sz w:val="16"/>
                          <w:szCs w:val="16"/>
                        </w:rPr>
                        <w:t>8800</w:t>
                      </w:r>
                    </w:p>
                    <w:p>
                      <w:pPr>
                        <w:spacing w:before="15"/>
                        <w:ind w:left="0" w:right="1801" w:firstLine="0"/>
                        <w:jc w:val="right"/>
                        <w:rPr>
                          <w:rFonts w:ascii="Arial" w:hAnsi="Arial" w:cs="Arial" w:eastAsia="Arial" w:hint="default"/>
                          <w:sz w:val="16"/>
                          <w:szCs w:val="16"/>
                        </w:rPr>
                      </w:pPr>
                      <w:hyperlink r:id="rId18">
                        <w:r>
                          <w:rPr>
                            <w:rFonts w:ascii="Arial"/>
                            <w:spacing w:val="-1"/>
                            <w:sz w:val="16"/>
                          </w:rPr>
                          <w:t>www.pwccn.com</w:t>
                        </w:r>
                      </w:hyperlink>
                    </w:p>
                  </w:txbxContent>
                </v:textbox>
                <w10:wrap type="none"/>
              </v:shape>
            </v:group>
            <w10:wrap type="none"/>
          </v:group>
        </w:pict>
      </w:r>
      <w:r>
        <w:rPr>
          <w:rFonts w:ascii="黑体" w:hAnsi="黑体" w:cs="黑体" w:eastAsia="黑体" w:hint="default"/>
          <w:sz w:val="24"/>
          <w:szCs w:val="24"/>
        </w:rPr>
        <w:t>审计报告</w:t>
      </w: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18"/>
          <w:szCs w:val="18"/>
        </w:rPr>
      </w:pPr>
    </w:p>
    <w:p>
      <w:pPr>
        <w:spacing w:line="321" w:lineRule="exact" w:before="26"/>
        <w:ind w:left="0" w:right="1208" w:firstLine="0"/>
        <w:jc w:val="right"/>
        <w:rPr>
          <w:rFonts w:ascii="宋体" w:hAnsi="宋体" w:cs="宋体" w:eastAsia="宋体" w:hint="default"/>
          <w:sz w:val="24"/>
          <w:szCs w:val="24"/>
        </w:rPr>
      </w:pPr>
      <w:r>
        <w:rPr>
          <w:rFonts w:ascii="宋体" w:hAnsi="宋体" w:cs="宋体" w:eastAsia="宋体" w:hint="default"/>
          <w:sz w:val="24"/>
          <w:szCs w:val="24"/>
        </w:rPr>
        <w:t>普华永道中天审字</w:t>
      </w:r>
      <w:r>
        <w:rPr>
          <w:rFonts w:ascii="Arial" w:hAnsi="Arial" w:cs="Arial" w:eastAsia="Arial" w:hint="default"/>
          <w:sz w:val="24"/>
          <w:szCs w:val="24"/>
        </w:rPr>
        <w:t>(2010)</w:t>
      </w:r>
      <w:r>
        <w:rPr>
          <w:rFonts w:ascii="宋体" w:hAnsi="宋体" w:cs="宋体" w:eastAsia="宋体" w:hint="default"/>
          <w:sz w:val="24"/>
          <w:szCs w:val="24"/>
        </w:rPr>
        <w:t>第</w:t>
      </w:r>
      <w:r>
        <w:rPr>
          <w:rFonts w:ascii="宋体" w:hAnsi="宋体" w:cs="宋体" w:eastAsia="宋体" w:hint="default"/>
          <w:spacing w:val="-63"/>
          <w:sz w:val="24"/>
          <w:szCs w:val="24"/>
        </w:rPr>
        <w:t> </w:t>
      </w:r>
      <w:r>
        <w:rPr>
          <w:rFonts w:ascii="Arial" w:hAnsi="Arial" w:cs="Arial" w:eastAsia="Arial" w:hint="default"/>
          <w:sz w:val="24"/>
          <w:szCs w:val="24"/>
        </w:rPr>
        <w:t>10025</w:t>
      </w:r>
      <w:r>
        <w:rPr>
          <w:rFonts w:ascii="Arial" w:hAnsi="Arial" w:cs="Arial" w:eastAsia="Arial" w:hint="default"/>
          <w:spacing w:val="-10"/>
          <w:sz w:val="24"/>
          <w:szCs w:val="24"/>
        </w:rPr>
        <w:t> </w:t>
      </w:r>
      <w:r>
        <w:rPr>
          <w:rFonts w:ascii="宋体" w:hAnsi="宋体" w:cs="宋体" w:eastAsia="宋体" w:hint="default"/>
          <w:sz w:val="24"/>
          <w:szCs w:val="24"/>
        </w:rPr>
        <w:t>号</w:t>
      </w:r>
    </w:p>
    <w:p>
      <w:pPr>
        <w:spacing w:line="304" w:lineRule="exact" w:before="0"/>
        <w:ind w:left="0" w:right="1208" w:firstLine="0"/>
        <w:jc w:val="right"/>
        <w:rPr>
          <w:rFonts w:ascii="宋体" w:hAnsi="宋体" w:cs="宋体" w:eastAsia="宋体" w:hint="default"/>
          <w:sz w:val="24"/>
          <w:szCs w:val="24"/>
        </w:rPr>
      </w:pPr>
      <w:r>
        <w:rPr>
          <w:rFonts w:ascii="宋体" w:hAnsi="宋体" w:cs="宋体" w:eastAsia="宋体" w:hint="default"/>
          <w:sz w:val="24"/>
          <w:szCs w:val="24"/>
        </w:rPr>
        <w:t>（第一页，共二页）</w:t>
      </w:r>
    </w:p>
    <w:p>
      <w:pPr>
        <w:spacing w:line="240" w:lineRule="auto" w:before="11"/>
        <w:rPr>
          <w:rFonts w:ascii="宋体" w:hAnsi="宋体" w:cs="宋体" w:eastAsia="宋体" w:hint="default"/>
          <w:sz w:val="18"/>
          <w:szCs w:val="18"/>
        </w:rPr>
      </w:pPr>
    </w:p>
    <w:p>
      <w:pPr>
        <w:spacing w:before="26"/>
        <w:ind w:left="182" w:right="0" w:firstLine="0"/>
        <w:jc w:val="both"/>
        <w:rPr>
          <w:rFonts w:ascii="宋体" w:hAnsi="宋体" w:cs="宋体" w:eastAsia="宋体" w:hint="default"/>
          <w:sz w:val="24"/>
          <w:szCs w:val="24"/>
        </w:rPr>
      </w:pPr>
      <w:r>
        <w:rPr>
          <w:rFonts w:ascii="宋体" w:hAnsi="宋体" w:cs="宋体" w:eastAsia="宋体" w:hint="default"/>
          <w:sz w:val="24"/>
          <w:szCs w:val="24"/>
        </w:rPr>
        <w:t>中国联合网络通信股份有限公司全体股东：</w:t>
      </w:r>
    </w:p>
    <w:p>
      <w:pPr>
        <w:spacing w:line="240" w:lineRule="auto" w:before="8"/>
        <w:rPr>
          <w:rFonts w:ascii="宋体" w:hAnsi="宋体" w:cs="宋体" w:eastAsia="宋体" w:hint="default"/>
          <w:sz w:val="21"/>
          <w:szCs w:val="21"/>
        </w:rPr>
      </w:pPr>
    </w:p>
    <w:p>
      <w:pPr>
        <w:spacing w:line="232" w:lineRule="auto" w:before="0"/>
        <w:ind w:left="155" w:right="1190" w:firstLine="0"/>
        <w:jc w:val="both"/>
        <w:rPr>
          <w:rFonts w:ascii="宋体" w:hAnsi="宋体" w:cs="宋体" w:eastAsia="宋体" w:hint="default"/>
          <w:sz w:val="24"/>
          <w:szCs w:val="24"/>
        </w:rPr>
      </w:pPr>
      <w:r>
        <w:rPr>
          <w:rFonts w:ascii="宋体" w:hAnsi="宋体" w:cs="宋体" w:eastAsia="宋体" w:hint="default"/>
          <w:spacing w:val="2"/>
          <w:sz w:val="24"/>
          <w:szCs w:val="24"/>
        </w:rPr>
        <w:t>我们审计了后附的中国联合网络通信股份有限公司（以下简称“贵公司”）的财务报 </w:t>
      </w:r>
      <w:r>
        <w:rPr>
          <w:rFonts w:ascii="宋体" w:hAnsi="宋体" w:cs="宋体" w:eastAsia="宋体" w:hint="default"/>
          <w:spacing w:val="-17"/>
          <w:sz w:val="24"/>
          <w:szCs w:val="24"/>
        </w:rPr>
        <w:t>表，包括</w:t>
      </w:r>
      <w:r>
        <w:rPr>
          <w:rFonts w:ascii="宋体" w:hAnsi="宋体" w:cs="宋体" w:eastAsia="宋体" w:hint="default"/>
          <w:spacing w:val="-61"/>
          <w:sz w:val="24"/>
          <w:szCs w:val="24"/>
        </w:rPr>
        <w:t> </w:t>
      </w:r>
      <w:r>
        <w:rPr>
          <w:rFonts w:ascii="Arial" w:hAnsi="Arial" w:cs="Arial" w:eastAsia="Arial" w:hint="default"/>
          <w:sz w:val="24"/>
          <w:szCs w:val="24"/>
        </w:rPr>
        <w:t>2009</w:t>
      </w:r>
      <w:r>
        <w:rPr>
          <w:rFonts w:ascii="Arial" w:hAnsi="Arial" w:cs="Arial" w:eastAsia="Arial" w:hint="default"/>
          <w:spacing w:val="-8"/>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Arial" w:hAnsi="Arial" w:cs="Arial" w:eastAsia="Arial" w:hint="default"/>
          <w:sz w:val="24"/>
          <w:szCs w:val="24"/>
        </w:rPr>
        <w:t>12</w:t>
      </w:r>
      <w:r>
        <w:rPr>
          <w:rFonts w:ascii="Arial" w:hAnsi="Arial" w:cs="Arial" w:eastAsia="Arial" w:hint="default"/>
          <w:spacing w:val="-7"/>
          <w:sz w:val="24"/>
          <w:szCs w:val="24"/>
        </w:rPr>
        <w:t> </w:t>
      </w:r>
      <w:r>
        <w:rPr>
          <w:rFonts w:ascii="宋体" w:hAnsi="宋体" w:cs="宋体" w:eastAsia="宋体" w:hint="default"/>
          <w:sz w:val="24"/>
          <w:szCs w:val="24"/>
        </w:rPr>
        <w:t>月</w:t>
      </w:r>
      <w:r>
        <w:rPr>
          <w:rFonts w:ascii="宋体" w:hAnsi="宋体" w:cs="宋体" w:eastAsia="宋体" w:hint="default"/>
          <w:spacing w:val="-61"/>
          <w:sz w:val="24"/>
          <w:szCs w:val="24"/>
        </w:rPr>
        <w:t> </w:t>
      </w:r>
      <w:r>
        <w:rPr>
          <w:rFonts w:ascii="Arial" w:hAnsi="Arial" w:cs="Arial" w:eastAsia="Arial" w:hint="default"/>
          <w:sz w:val="24"/>
          <w:szCs w:val="24"/>
        </w:rPr>
        <w:t>31</w:t>
      </w:r>
      <w:r>
        <w:rPr>
          <w:rFonts w:ascii="Arial" w:hAnsi="Arial" w:cs="Arial" w:eastAsia="Arial" w:hint="default"/>
          <w:spacing w:val="-8"/>
          <w:sz w:val="24"/>
          <w:szCs w:val="24"/>
        </w:rPr>
        <w:t> </w:t>
      </w:r>
      <w:r>
        <w:rPr>
          <w:rFonts w:ascii="宋体" w:hAnsi="宋体" w:cs="宋体" w:eastAsia="宋体" w:hint="default"/>
          <w:sz w:val="24"/>
          <w:szCs w:val="24"/>
        </w:rPr>
        <w:t>日的合并及公司资产负债表以及</w:t>
      </w:r>
      <w:r>
        <w:rPr>
          <w:rFonts w:ascii="宋体" w:hAnsi="宋体" w:cs="宋体" w:eastAsia="宋体" w:hint="default"/>
          <w:spacing w:val="-61"/>
          <w:sz w:val="24"/>
          <w:szCs w:val="24"/>
        </w:rPr>
        <w:t> </w:t>
      </w:r>
      <w:r>
        <w:rPr>
          <w:rFonts w:ascii="Arial" w:hAnsi="Arial" w:cs="Arial" w:eastAsia="Arial" w:hint="default"/>
          <w:sz w:val="24"/>
          <w:szCs w:val="24"/>
        </w:rPr>
        <w:t>2009</w:t>
      </w:r>
      <w:r>
        <w:rPr>
          <w:rFonts w:ascii="Arial" w:hAnsi="Arial" w:cs="Arial" w:eastAsia="Arial" w:hint="default"/>
          <w:spacing w:val="-7"/>
          <w:sz w:val="24"/>
          <w:szCs w:val="24"/>
        </w:rPr>
        <w:t> </w:t>
      </w:r>
      <w:r>
        <w:rPr>
          <w:rFonts w:ascii="宋体" w:hAnsi="宋体" w:cs="宋体" w:eastAsia="宋体" w:hint="default"/>
          <w:sz w:val="24"/>
          <w:szCs w:val="24"/>
        </w:rPr>
        <w:t>年度的合并及公司利 润表、合并及公司现金流量表、合并及公司股东权益变动表和财务报表附注。</w:t>
      </w:r>
    </w:p>
    <w:p>
      <w:pPr>
        <w:spacing w:line="240" w:lineRule="auto" w:before="12"/>
        <w:rPr>
          <w:rFonts w:ascii="宋体" w:hAnsi="宋体" w:cs="宋体" w:eastAsia="宋体" w:hint="default"/>
          <w:sz w:val="20"/>
          <w:szCs w:val="20"/>
        </w:rPr>
      </w:pPr>
    </w:p>
    <w:p>
      <w:pPr>
        <w:spacing w:line="448" w:lineRule="auto" w:before="0"/>
        <w:ind w:left="155" w:right="1749" w:firstLine="0"/>
        <w:jc w:val="left"/>
        <w:rPr>
          <w:rFonts w:ascii="宋体" w:hAnsi="宋体" w:cs="宋体" w:eastAsia="宋体" w:hint="default"/>
          <w:sz w:val="24"/>
          <w:szCs w:val="24"/>
        </w:rPr>
      </w:pPr>
      <w:r>
        <w:rPr>
          <w:rFonts w:ascii="宋体" w:hAnsi="宋体" w:cs="宋体" w:eastAsia="宋体" w:hint="default"/>
          <w:sz w:val="24"/>
          <w:szCs w:val="24"/>
        </w:rPr>
        <w:t>一、管理层对财务报表的责任 按照企业会计准则的规定编制财务报表是贵公司管理层的责任。这种责任包括：</w:t>
      </w:r>
    </w:p>
    <w:p>
      <w:pPr>
        <w:spacing w:line="310" w:lineRule="exact" w:before="97"/>
        <w:ind w:left="875" w:right="0" w:hanging="360"/>
        <w:jc w:val="left"/>
        <w:rPr>
          <w:rFonts w:ascii="宋体" w:hAnsi="宋体" w:cs="宋体" w:eastAsia="宋体" w:hint="default"/>
          <w:sz w:val="24"/>
          <w:szCs w:val="24"/>
        </w:rPr>
      </w:pPr>
      <w:r>
        <w:rPr>
          <w:rFonts w:ascii="Arial" w:hAnsi="Arial" w:cs="Arial" w:eastAsia="Arial" w:hint="default"/>
          <w:sz w:val="24"/>
          <w:szCs w:val="24"/>
        </w:rPr>
        <w:t>(1)</w:t>
      </w:r>
      <w:r>
        <w:rPr>
          <w:rFonts w:ascii="Arial" w:hAnsi="Arial" w:cs="Arial" w:eastAsia="Arial" w:hint="default"/>
          <w:spacing w:val="-1"/>
          <w:sz w:val="24"/>
          <w:szCs w:val="24"/>
        </w:rPr>
        <w:t> </w:t>
      </w:r>
      <w:r>
        <w:rPr>
          <w:rFonts w:ascii="宋体" w:hAnsi="宋体" w:cs="宋体" w:eastAsia="宋体" w:hint="default"/>
          <w:spacing w:val="2"/>
          <w:sz w:val="24"/>
          <w:szCs w:val="24"/>
        </w:rPr>
        <w:t>设计、实施和维护与财务报表编制相关的内部控制，以使财务报表不存在由于 </w:t>
      </w:r>
      <w:r>
        <w:rPr>
          <w:rFonts w:ascii="宋体" w:hAnsi="宋体" w:cs="宋体" w:eastAsia="宋体" w:hint="default"/>
          <w:sz w:val="24"/>
          <w:szCs w:val="24"/>
        </w:rPr>
        <w:t>舞弊或错误而导致的重大错报；</w:t>
      </w:r>
    </w:p>
    <w:p>
      <w:pPr>
        <w:spacing w:line="290" w:lineRule="exact" w:before="0"/>
        <w:ind w:left="515" w:right="1749" w:firstLine="0"/>
        <w:jc w:val="left"/>
        <w:rPr>
          <w:rFonts w:ascii="宋体" w:hAnsi="宋体" w:cs="宋体" w:eastAsia="宋体" w:hint="default"/>
          <w:sz w:val="24"/>
          <w:szCs w:val="24"/>
        </w:rPr>
      </w:pPr>
      <w:r>
        <w:rPr>
          <w:rFonts w:ascii="Arial" w:hAnsi="Arial" w:cs="Arial" w:eastAsia="Arial" w:hint="default"/>
          <w:sz w:val="24"/>
          <w:szCs w:val="24"/>
        </w:rPr>
        <w:t>(2)</w:t>
      </w:r>
      <w:r>
        <w:rPr>
          <w:rFonts w:ascii="Arial" w:hAnsi="Arial" w:cs="Arial" w:eastAsia="Arial" w:hint="default"/>
          <w:spacing w:val="-3"/>
          <w:sz w:val="24"/>
          <w:szCs w:val="24"/>
        </w:rPr>
        <w:t> </w:t>
      </w:r>
      <w:r>
        <w:rPr>
          <w:rFonts w:ascii="宋体" w:hAnsi="宋体" w:cs="宋体" w:eastAsia="宋体" w:hint="default"/>
          <w:sz w:val="24"/>
          <w:szCs w:val="24"/>
        </w:rPr>
        <w:t>选择和运用恰当的会计政策；</w:t>
      </w:r>
    </w:p>
    <w:p>
      <w:pPr>
        <w:spacing w:line="424" w:lineRule="auto" w:before="0"/>
        <w:ind w:left="155" w:right="7031" w:firstLine="360"/>
        <w:jc w:val="left"/>
        <w:rPr>
          <w:rFonts w:ascii="宋体" w:hAnsi="宋体" w:cs="宋体" w:eastAsia="宋体" w:hint="default"/>
          <w:sz w:val="24"/>
          <w:szCs w:val="24"/>
        </w:rPr>
      </w:pPr>
      <w:r>
        <w:rPr>
          <w:rFonts w:ascii="Arial" w:hAnsi="Arial" w:cs="Arial" w:eastAsia="Arial" w:hint="default"/>
          <w:sz w:val="24"/>
          <w:szCs w:val="24"/>
        </w:rPr>
        <w:t>(3)</w:t>
      </w:r>
      <w:r>
        <w:rPr>
          <w:rFonts w:ascii="Arial" w:hAnsi="Arial" w:cs="Arial" w:eastAsia="Arial" w:hint="default"/>
          <w:spacing w:val="-2"/>
          <w:sz w:val="24"/>
          <w:szCs w:val="24"/>
        </w:rPr>
        <w:t> </w:t>
      </w:r>
      <w:r>
        <w:rPr>
          <w:rFonts w:ascii="宋体" w:hAnsi="宋体" w:cs="宋体" w:eastAsia="宋体" w:hint="default"/>
          <w:sz w:val="24"/>
          <w:szCs w:val="24"/>
        </w:rPr>
        <w:t>作出合理的会计估计。 二、注册会计师的责任</w:t>
      </w:r>
    </w:p>
    <w:p>
      <w:pPr>
        <w:spacing w:line="237" w:lineRule="auto" w:before="90"/>
        <w:ind w:left="155" w:right="1192" w:firstLine="0"/>
        <w:jc w:val="both"/>
        <w:rPr>
          <w:rFonts w:ascii="宋体" w:hAnsi="宋体" w:cs="宋体" w:eastAsia="宋体" w:hint="default"/>
          <w:sz w:val="24"/>
          <w:szCs w:val="24"/>
        </w:rPr>
      </w:pPr>
      <w:r>
        <w:rPr>
          <w:rFonts w:ascii="宋体" w:hAnsi="宋体" w:cs="宋体" w:eastAsia="宋体" w:hint="default"/>
          <w:spacing w:val="2"/>
          <w:sz w:val="24"/>
          <w:szCs w:val="24"/>
        </w:rPr>
        <w:t>我们的责任是在实施审计工作的基础上对财务报表发表审计意见。我们按照中国注册 会计师审计准则的规定执行了审计工作。中国注册会计师审计准则要求我们遵守职业 </w:t>
      </w:r>
      <w:r>
        <w:rPr>
          <w:rFonts w:ascii="宋体" w:hAnsi="宋体" w:cs="宋体" w:eastAsia="宋体" w:hint="default"/>
          <w:sz w:val="24"/>
          <w:szCs w:val="24"/>
        </w:rPr>
        <w:t>道德规范，计划和实施审计工作以对财务报表是否不存在重大错报获取合理保证。</w:t>
      </w:r>
    </w:p>
    <w:p>
      <w:pPr>
        <w:spacing w:line="240" w:lineRule="auto" w:before="2"/>
        <w:rPr>
          <w:rFonts w:ascii="宋体" w:hAnsi="宋体" w:cs="宋体" w:eastAsia="宋体" w:hint="default"/>
          <w:sz w:val="21"/>
          <w:szCs w:val="21"/>
        </w:rPr>
      </w:pPr>
    </w:p>
    <w:p>
      <w:pPr>
        <w:spacing w:line="237" w:lineRule="auto" w:before="0"/>
        <w:ind w:left="155" w:right="1192" w:firstLine="0"/>
        <w:jc w:val="both"/>
        <w:rPr>
          <w:rFonts w:ascii="宋体" w:hAnsi="宋体" w:cs="宋体" w:eastAsia="宋体" w:hint="default"/>
          <w:sz w:val="24"/>
          <w:szCs w:val="24"/>
        </w:rPr>
      </w:pPr>
      <w:r>
        <w:rPr>
          <w:rFonts w:ascii="宋体" w:hAnsi="宋体" w:cs="宋体" w:eastAsia="宋体" w:hint="default"/>
          <w:spacing w:val="2"/>
          <w:sz w:val="24"/>
          <w:szCs w:val="24"/>
        </w:rPr>
        <w:t>审计工作涉及实施审计程序，以获取有关财务报表金额和披露的审计证据。选择的审 计程序取决于注册会计师的判断，包括对由于舞弊或错误导致的财务报表重大错报风 险的评估。在进行风险评估时，我们考虑与财务报表编制相关的内部控制，以设计恰 当的审计程序，但目的并非对内部控制的有效性发表意见。审计工作还包括评价管理 </w:t>
      </w:r>
      <w:r>
        <w:rPr>
          <w:rFonts w:ascii="宋体" w:hAnsi="宋体" w:cs="宋体" w:eastAsia="宋体" w:hint="default"/>
          <w:sz w:val="24"/>
          <w:szCs w:val="24"/>
        </w:rPr>
        <w:t>层选用会计政策的恰当性和作出会计估计的合理性，以及评价财务报表的总体列报。</w:t>
      </w:r>
    </w:p>
    <w:p>
      <w:pPr>
        <w:spacing w:line="240" w:lineRule="auto" w:before="11"/>
        <w:rPr>
          <w:rFonts w:ascii="宋体" w:hAnsi="宋体" w:cs="宋体" w:eastAsia="宋体" w:hint="default"/>
          <w:sz w:val="20"/>
          <w:szCs w:val="20"/>
        </w:rPr>
      </w:pPr>
    </w:p>
    <w:p>
      <w:pPr>
        <w:spacing w:before="0"/>
        <w:ind w:left="155" w:right="0" w:firstLine="0"/>
        <w:jc w:val="both"/>
        <w:rPr>
          <w:rFonts w:ascii="宋体" w:hAnsi="宋体" w:cs="宋体" w:eastAsia="宋体" w:hint="default"/>
          <w:sz w:val="24"/>
          <w:szCs w:val="24"/>
        </w:rPr>
      </w:pPr>
      <w:r>
        <w:rPr>
          <w:rFonts w:ascii="宋体" w:hAnsi="宋体" w:cs="宋体" w:eastAsia="宋体" w:hint="default"/>
          <w:sz w:val="24"/>
          <w:szCs w:val="24"/>
        </w:rPr>
        <w:t>我们相信，我们获取的审计证据是充分、适当的，为发表审计意见提供了基础。</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9"/>
          <w:szCs w:val="29"/>
        </w:rPr>
      </w:pPr>
    </w:p>
    <w:p>
      <w:pPr>
        <w:pStyle w:val="BodyText"/>
        <w:spacing w:line="240" w:lineRule="auto" w:before="71"/>
        <w:ind w:left="4141" w:right="5174"/>
        <w:jc w:val="center"/>
        <w:rPr>
          <w:rFonts w:ascii="Arial" w:hAnsi="Arial" w:cs="Arial" w:eastAsia="Arial" w:hint="default"/>
        </w:rPr>
      </w:pPr>
      <w:r>
        <w:rPr>
          <w:rFonts w:ascii="Arial"/>
        </w:rPr>
        <w:t>48</w:t>
      </w:r>
    </w:p>
    <w:p>
      <w:pPr>
        <w:spacing w:after="0" w:line="240" w:lineRule="auto"/>
        <w:jc w:val="center"/>
        <w:rPr>
          <w:rFonts w:ascii="Arial" w:hAnsi="Arial" w:cs="Arial" w:eastAsia="Arial" w:hint="default"/>
        </w:rPr>
        <w:sectPr>
          <w:headerReference w:type="default" r:id="rId15"/>
          <w:footerReference w:type="default" r:id="rId16"/>
          <w:pgSz w:w="11910" w:h="16840"/>
          <w:pgMar w:header="0" w:footer="0" w:top="440" w:bottom="280" w:left="1580" w:right="0"/>
        </w:sectPr>
      </w:pPr>
    </w:p>
    <w:p>
      <w:pPr>
        <w:spacing w:line="240" w:lineRule="auto" w:before="6"/>
        <w:rPr>
          <w:rFonts w:ascii="Arial" w:hAnsi="Arial" w:cs="Arial" w:eastAsia="Arial" w:hint="default"/>
          <w:sz w:val="6"/>
          <w:szCs w:val="6"/>
        </w:rPr>
      </w:pPr>
    </w:p>
    <w:p>
      <w:pPr>
        <w:spacing w:line="960" w:lineRule="exact"/>
        <w:ind w:left="375" w:right="0" w:firstLine="0"/>
        <w:rPr>
          <w:rFonts w:ascii="Arial" w:hAnsi="Arial" w:cs="Arial" w:eastAsia="Arial" w:hint="default"/>
          <w:sz w:val="20"/>
          <w:szCs w:val="20"/>
        </w:rPr>
      </w:pPr>
      <w:r>
        <w:rPr>
          <w:rFonts w:ascii="Arial" w:hAnsi="Arial" w:cs="Arial" w:eastAsia="Arial" w:hint="default"/>
          <w:position w:val="-18"/>
          <w:sz w:val="20"/>
          <w:szCs w:val="20"/>
        </w:rPr>
        <w:drawing>
          <wp:inline distT="0" distB="0" distL="0" distR="0">
            <wp:extent cx="3157395" cy="609600"/>
            <wp:effectExtent l="0" t="0" r="0" b="0"/>
            <wp:docPr id="5" name="image3.png" descr=""/>
            <wp:cNvGraphicFramePr>
              <a:graphicFrameLocks noChangeAspect="1"/>
            </wp:cNvGraphicFramePr>
            <a:graphic>
              <a:graphicData uri="http://schemas.openxmlformats.org/drawingml/2006/picture">
                <pic:pic>
                  <pic:nvPicPr>
                    <pic:cNvPr id="6" name="image3.png"/>
                    <pic:cNvPicPr/>
                  </pic:nvPicPr>
                  <pic:blipFill>
                    <a:blip r:embed="rId17" cstate="print"/>
                    <a:stretch>
                      <a:fillRect/>
                    </a:stretch>
                  </pic:blipFill>
                  <pic:spPr>
                    <a:xfrm>
                      <a:off x="0" y="0"/>
                      <a:ext cx="3157395" cy="609600"/>
                    </a:xfrm>
                    <a:prstGeom prst="rect">
                      <a:avLst/>
                    </a:prstGeom>
                  </pic:spPr>
                </pic:pic>
              </a:graphicData>
            </a:graphic>
          </wp:inline>
        </w:drawing>
      </w:r>
      <w:r>
        <w:rPr>
          <w:rFonts w:ascii="Arial" w:hAnsi="Arial" w:cs="Arial" w:eastAsia="Arial" w:hint="default"/>
          <w:position w:val="-18"/>
          <w:sz w:val="20"/>
          <w:szCs w:val="20"/>
        </w:rPr>
      </w:r>
    </w:p>
    <w:p>
      <w:pPr>
        <w:spacing w:line="240" w:lineRule="auto" w:before="0"/>
        <w:rPr>
          <w:rFonts w:ascii="Arial" w:hAnsi="Arial" w:cs="Arial" w:eastAsia="Arial" w:hint="default"/>
          <w:sz w:val="20"/>
          <w:szCs w:val="20"/>
        </w:rPr>
      </w:pPr>
    </w:p>
    <w:p>
      <w:pPr>
        <w:spacing w:line="240" w:lineRule="auto" w:before="4"/>
        <w:rPr>
          <w:rFonts w:ascii="Arial" w:hAnsi="Arial" w:cs="Arial" w:eastAsia="Arial" w:hint="default"/>
          <w:sz w:val="22"/>
          <w:szCs w:val="22"/>
        </w:rPr>
      </w:pPr>
    </w:p>
    <w:p>
      <w:pPr>
        <w:spacing w:line="322" w:lineRule="exact" w:before="26"/>
        <w:ind w:left="0" w:right="135" w:firstLine="0"/>
        <w:jc w:val="right"/>
        <w:rPr>
          <w:rFonts w:ascii="宋体" w:hAnsi="宋体" w:cs="宋体" w:eastAsia="宋体" w:hint="default"/>
          <w:sz w:val="24"/>
          <w:szCs w:val="24"/>
        </w:rPr>
      </w:pPr>
      <w:r>
        <w:rPr>
          <w:rFonts w:ascii="宋体" w:hAnsi="宋体" w:cs="宋体" w:eastAsia="宋体" w:hint="default"/>
          <w:sz w:val="24"/>
          <w:szCs w:val="24"/>
        </w:rPr>
        <w:t>普华永道中天审字</w:t>
      </w:r>
      <w:r>
        <w:rPr>
          <w:rFonts w:ascii="Arial" w:hAnsi="Arial" w:cs="Arial" w:eastAsia="Arial" w:hint="default"/>
          <w:sz w:val="24"/>
          <w:szCs w:val="24"/>
        </w:rPr>
        <w:t>(2010)</w:t>
      </w:r>
      <w:r>
        <w:rPr>
          <w:rFonts w:ascii="宋体" w:hAnsi="宋体" w:cs="宋体" w:eastAsia="宋体" w:hint="default"/>
          <w:sz w:val="24"/>
          <w:szCs w:val="24"/>
        </w:rPr>
        <w:t>第</w:t>
      </w:r>
      <w:r>
        <w:rPr>
          <w:rFonts w:ascii="宋体" w:hAnsi="宋体" w:cs="宋体" w:eastAsia="宋体" w:hint="default"/>
          <w:spacing w:val="-63"/>
          <w:sz w:val="24"/>
          <w:szCs w:val="24"/>
        </w:rPr>
        <w:t> </w:t>
      </w:r>
      <w:r>
        <w:rPr>
          <w:rFonts w:ascii="Arial" w:hAnsi="Arial" w:cs="Arial" w:eastAsia="Arial" w:hint="default"/>
          <w:sz w:val="24"/>
          <w:szCs w:val="24"/>
        </w:rPr>
        <w:t>10025</w:t>
      </w:r>
      <w:r>
        <w:rPr>
          <w:rFonts w:ascii="Arial" w:hAnsi="Arial" w:cs="Arial" w:eastAsia="Arial" w:hint="default"/>
          <w:spacing w:val="-10"/>
          <w:sz w:val="24"/>
          <w:szCs w:val="24"/>
        </w:rPr>
        <w:t> </w:t>
      </w:r>
      <w:r>
        <w:rPr>
          <w:rFonts w:ascii="宋体" w:hAnsi="宋体" w:cs="宋体" w:eastAsia="宋体" w:hint="default"/>
          <w:sz w:val="24"/>
          <w:szCs w:val="24"/>
        </w:rPr>
        <w:t>号</w:t>
      </w:r>
    </w:p>
    <w:p>
      <w:pPr>
        <w:spacing w:line="304" w:lineRule="exact" w:before="0"/>
        <w:ind w:left="0" w:right="135" w:firstLine="0"/>
        <w:jc w:val="right"/>
        <w:rPr>
          <w:rFonts w:ascii="宋体" w:hAnsi="宋体" w:cs="宋体" w:eastAsia="宋体" w:hint="default"/>
          <w:sz w:val="24"/>
          <w:szCs w:val="24"/>
        </w:rPr>
      </w:pPr>
      <w:r>
        <w:rPr>
          <w:rFonts w:ascii="宋体" w:hAnsi="宋体" w:cs="宋体" w:eastAsia="宋体" w:hint="default"/>
          <w:sz w:val="24"/>
          <w:szCs w:val="24"/>
        </w:rPr>
        <w:t>（第二页，共二页）</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p>
      <w:pPr>
        <w:spacing w:before="26"/>
        <w:ind w:left="101" w:right="0" w:firstLine="0"/>
        <w:jc w:val="both"/>
        <w:rPr>
          <w:rFonts w:ascii="宋体" w:hAnsi="宋体" w:cs="宋体" w:eastAsia="宋体" w:hint="default"/>
          <w:sz w:val="24"/>
          <w:szCs w:val="24"/>
        </w:rPr>
      </w:pPr>
      <w:r>
        <w:rPr>
          <w:rFonts w:ascii="宋体" w:hAnsi="宋体" w:cs="宋体" w:eastAsia="宋体" w:hint="default"/>
          <w:sz w:val="24"/>
          <w:szCs w:val="24"/>
        </w:rPr>
        <w:t>三、审计意见</w:t>
      </w:r>
    </w:p>
    <w:p>
      <w:pPr>
        <w:spacing w:line="240" w:lineRule="auto" w:before="6"/>
        <w:rPr>
          <w:rFonts w:ascii="宋体" w:hAnsi="宋体" w:cs="宋体" w:eastAsia="宋体" w:hint="default"/>
          <w:sz w:val="21"/>
          <w:szCs w:val="21"/>
        </w:rPr>
      </w:pPr>
    </w:p>
    <w:p>
      <w:pPr>
        <w:spacing w:line="232" w:lineRule="auto" w:before="0"/>
        <w:ind w:left="101" w:right="104" w:firstLine="0"/>
        <w:jc w:val="both"/>
        <w:rPr>
          <w:rFonts w:ascii="宋体" w:hAnsi="宋体" w:cs="宋体" w:eastAsia="宋体" w:hint="default"/>
          <w:sz w:val="24"/>
          <w:szCs w:val="24"/>
        </w:rPr>
      </w:pPr>
      <w:r>
        <w:rPr>
          <w:rFonts w:ascii="宋体" w:hAnsi="宋体" w:cs="宋体" w:eastAsia="宋体" w:hint="default"/>
          <w:sz w:val="24"/>
          <w:szCs w:val="24"/>
        </w:rPr>
        <w:t>我们认为，上述贵公司的财务报表已经按照企业会计准则的规定编制，在所有重</w:t>
      </w:r>
      <w:r>
        <w:rPr>
          <w:rFonts w:ascii="宋体" w:hAnsi="宋体" w:cs="宋体" w:eastAsia="宋体" w:hint="default"/>
          <w:spacing w:val="-53"/>
          <w:sz w:val="24"/>
          <w:szCs w:val="24"/>
        </w:rPr>
        <w:t> </w:t>
      </w:r>
      <w:r>
        <w:rPr>
          <w:rFonts w:ascii="宋体" w:hAnsi="宋体" w:cs="宋体" w:eastAsia="宋体" w:hint="default"/>
          <w:spacing w:val="-53"/>
          <w:sz w:val="24"/>
          <w:szCs w:val="24"/>
        </w:rPr>
      </w:r>
      <w:r>
        <w:rPr>
          <w:rFonts w:ascii="宋体" w:hAnsi="宋体" w:cs="宋体" w:eastAsia="宋体" w:hint="default"/>
          <w:sz w:val="24"/>
          <w:szCs w:val="24"/>
        </w:rPr>
        <w:t>大方面公允反映了贵公司</w:t>
      </w:r>
      <w:r>
        <w:rPr>
          <w:rFonts w:ascii="宋体" w:hAnsi="宋体" w:cs="宋体" w:eastAsia="宋体" w:hint="default"/>
          <w:spacing w:val="-72"/>
          <w:sz w:val="24"/>
          <w:szCs w:val="24"/>
        </w:rPr>
        <w:t> </w:t>
      </w:r>
      <w:r>
        <w:rPr>
          <w:rFonts w:ascii="Arial" w:hAnsi="Arial" w:cs="Arial" w:eastAsia="Arial" w:hint="default"/>
          <w:sz w:val="24"/>
          <w:szCs w:val="24"/>
        </w:rPr>
        <w:t>2009</w:t>
      </w:r>
      <w:r>
        <w:rPr>
          <w:rFonts w:ascii="Arial" w:hAnsi="Arial" w:cs="Arial" w:eastAsia="Arial" w:hint="default"/>
          <w:spacing w:val="-19"/>
          <w:sz w:val="24"/>
          <w:szCs w:val="24"/>
        </w:rPr>
        <w:t> </w:t>
      </w:r>
      <w:r>
        <w:rPr>
          <w:rFonts w:ascii="宋体" w:hAnsi="宋体" w:cs="宋体" w:eastAsia="宋体" w:hint="default"/>
          <w:sz w:val="24"/>
          <w:szCs w:val="24"/>
        </w:rPr>
        <w:t>年</w:t>
      </w:r>
      <w:r>
        <w:rPr>
          <w:rFonts w:ascii="宋体" w:hAnsi="宋体" w:cs="宋体" w:eastAsia="宋体" w:hint="default"/>
          <w:spacing w:val="-72"/>
          <w:sz w:val="24"/>
          <w:szCs w:val="24"/>
        </w:rPr>
        <w:t> </w:t>
      </w:r>
      <w:r>
        <w:rPr>
          <w:rFonts w:ascii="Arial" w:hAnsi="Arial" w:cs="Arial" w:eastAsia="Arial" w:hint="default"/>
          <w:sz w:val="24"/>
          <w:szCs w:val="24"/>
        </w:rPr>
        <w:t>12</w:t>
      </w:r>
      <w:r>
        <w:rPr>
          <w:rFonts w:ascii="Arial" w:hAnsi="Arial" w:cs="Arial" w:eastAsia="Arial" w:hint="default"/>
          <w:spacing w:val="-19"/>
          <w:sz w:val="24"/>
          <w:szCs w:val="24"/>
        </w:rPr>
        <w:t> </w:t>
      </w:r>
      <w:r>
        <w:rPr>
          <w:rFonts w:ascii="宋体" w:hAnsi="宋体" w:cs="宋体" w:eastAsia="宋体" w:hint="default"/>
          <w:sz w:val="24"/>
          <w:szCs w:val="24"/>
        </w:rPr>
        <w:t>月</w:t>
      </w:r>
      <w:r>
        <w:rPr>
          <w:rFonts w:ascii="宋体" w:hAnsi="宋体" w:cs="宋体" w:eastAsia="宋体" w:hint="default"/>
          <w:spacing w:val="-72"/>
          <w:sz w:val="24"/>
          <w:szCs w:val="24"/>
        </w:rPr>
        <w:t> </w:t>
      </w:r>
      <w:r>
        <w:rPr>
          <w:rFonts w:ascii="Arial" w:hAnsi="Arial" w:cs="Arial" w:eastAsia="Arial" w:hint="default"/>
          <w:sz w:val="24"/>
          <w:szCs w:val="24"/>
        </w:rPr>
        <w:t>31</w:t>
      </w:r>
      <w:r>
        <w:rPr>
          <w:rFonts w:ascii="Arial" w:hAnsi="Arial" w:cs="Arial" w:eastAsia="Arial" w:hint="default"/>
          <w:spacing w:val="-19"/>
          <w:sz w:val="24"/>
          <w:szCs w:val="24"/>
        </w:rPr>
        <w:t> </w:t>
      </w:r>
      <w:r>
        <w:rPr>
          <w:rFonts w:ascii="宋体" w:hAnsi="宋体" w:cs="宋体" w:eastAsia="宋体" w:hint="default"/>
          <w:sz w:val="24"/>
          <w:szCs w:val="24"/>
        </w:rPr>
        <w:t>日的合并及公司财务状况以及</w:t>
      </w:r>
      <w:r>
        <w:rPr>
          <w:rFonts w:ascii="宋体" w:hAnsi="宋体" w:cs="宋体" w:eastAsia="宋体" w:hint="default"/>
          <w:spacing w:val="-72"/>
          <w:sz w:val="24"/>
          <w:szCs w:val="24"/>
        </w:rPr>
        <w:t> </w:t>
      </w:r>
      <w:r>
        <w:rPr>
          <w:rFonts w:ascii="Arial" w:hAnsi="Arial" w:cs="Arial" w:eastAsia="Arial" w:hint="default"/>
          <w:sz w:val="24"/>
          <w:szCs w:val="24"/>
        </w:rPr>
        <w:t>2009</w:t>
      </w:r>
      <w:r>
        <w:rPr>
          <w:rFonts w:ascii="Arial" w:hAnsi="Arial" w:cs="Arial" w:eastAsia="Arial" w:hint="default"/>
          <w:spacing w:val="-19"/>
          <w:sz w:val="24"/>
          <w:szCs w:val="24"/>
        </w:rPr>
        <w:t> </w:t>
      </w:r>
      <w:r>
        <w:rPr>
          <w:rFonts w:ascii="宋体" w:hAnsi="宋体" w:cs="宋体" w:eastAsia="宋体" w:hint="default"/>
          <w:sz w:val="24"/>
          <w:szCs w:val="24"/>
        </w:rPr>
        <w:t>年 度的合并及公司经营成果和现金流量。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headerReference w:type="default" r:id="rId19"/>
          <w:footerReference w:type="default" r:id="rId20"/>
          <w:pgSz w:w="11910" w:h="16840"/>
          <w:pgMar w:header="0" w:footer="752" w:top="1160" w:bottom="940" w:left="1600" w:right="1620"/>
          <w:pgNumType w:start="49"/>
        </w:sectPr>
      </w:pPr>
    </w:p>
    <w:p>
      <w:pPr>
        <w:spacing w:line="261" w:lineRule="auto" w:before="54"/>
        <w:ind w:left="101" w:right="-20" w:firstLine="0"/>
        <w:jc w:val="left"/>
        <w:rPr>
          <w:rFonts w:ascii="宋体" w:hAnsi="宋体" w:cs="宋体" w:eastAsia="宋体" w:hint="default"/>
          <w:sz w:val="24"/>
          <w:szCs w:val="24"/>
        </w:rPr>
      </w:pPr>
      <w:r>
        <w:rPr>
          <w:rFonts w:ascii="宋体" w:hAnsi="宋体" w:cs="宋体" w:eastAsia="宋体" w:hint="default"/>
          <w:sz w:val="24"/>
          <w:szCs w:val="24"/>
        </w:rPr>
        <w:t>普华永道中天 会计师事务所有限公司</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8"/>
          <w:szCs w:val="28"/>
        </w:rPr>
      </w:pPr>
    </w:p>
    <w:p>
      <w:pPr>
        <w:spacing w:before="0"/>
        <w:ind w:left="101" w:right="-20" w:firstLine="0"/>
        <w:jc w:val="left"/>
        <w:rPr>
          <w:rFonts w:ascii="宋体" w:hAnsi="宋体" w:cs="宋体" w:eastAsia="宋体" w:hint="default"/>
          <w:sz w:val="24"/>
          <w:szCs w:val="24"/>
        </w:rPr>
      </w:pPr>
      <w:r>
        <w:rPr>
          <w:rFonts w:ascii="宋体" w:hAnsi="宋体" w:cs="宋体" w:eastAsia="宋体" w:hint="default"/>
          <w:sz w:val="24"/>
          <w:szCs w:val="24"/>
        </w:rPr>
        <w:t>中国</w:t>
      </w:r>
      <w:r>
        <w:rPr>
          <w:rFonts w:ascii="Arial" w:hAnsi="Arial" w:cs="Arial" w:eastAsia="Arial" w:hint="default"/>
          <w:sz w:val="24"/>
          <w:szCs w:val="24"/>
        </w:rPr>
        <w:t>•</w:t>
      </w:r>
      <w:r>
        <w:rPr>
          <w:rFonts w:ascii="宋体" w:hAnsi="宋体" w:cs="宋体" w:eastAsia="宋体" w:hint="default"/>
          <w:sz w:val="24"/>
          <w:szCs w:val="24"/>
        </w:rPr>
        <w:t>上海市</w:t>
      </w:r>
    </w:p>
    <w:p>
      <w:pPr>
        <w:spacing w:before="8"/>
        <w:ind w:left="101" w:right="-20" w:firstLine="0"/>
        <w:jc w:val="left"/>
        <w:rPr>
          <w:rFonts w:ascii="宋体" w:hAnsi="宋体" w:cs="宋体" w:eastAsia="宋体" w:hint="default"/>
          <w:sz w:val="24"/>
          <w:szCs w:val="24"/>
        </w:rPr>
      </w:pPr>
      <w:r>
        <w:rPr>
          <w:rFonts w:ascii="Arial" w:hAnsi="Arial" w:cs="Arial" w:eastAsia="Arial" w:hint="default"/>
          <w:sz w:val="24"/>
          <w:szCs w:val="24"/>
        </w:rPr>
        <w:t>2010</w:t>
      </w:r>
      <w:r>
        <w:rPr>
          <w:rFonts w:ascii="Arial" w:hAnsi="Arial" w:cs="Arial" w:eastAsia="Arial" w:hint="default"/>
          <w:spacing w:val="-8"/>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Arial" w:hAnsi="Arial" w:cs="Arial" w:eastAsia="Arial" w:hint="default"/>
          <w:sz w:val="24"/>
          <w:szCs w:val="24"/>
        </w:rPr>
        <w:t>3</w:t>
      </w:r>
      <w:r>
        <w:rPr>
          <w:rFonts w:ascii="Arial" w:hAnsi="Arial" w:cs="Arial" w:eastAsia="Arial" w:hint="default"/>
          <w:spacing w:val="-7"/>
          <w:sz w:val="24"/>
          <w:szCs w:val="24"/>
        </w:rPr>
        <w:t> </w:t>
      </w:r>
      <w:r>
        <w:rPr>
          <w:rFonts w:ascii="宋体" w:hAnsi="宋体" w:cs="宋体" w:eastAsia="宋体" w:hint="default"/>
          <w:sz w:val="24"/>
          <w:szCs w:val="24"/>
        </w:rPr>
        <w:t>月</w:t>
      </w:r>
      <w:r>
        <w:rPr>
          <w:rFonts w:ascii="宋体" w:hAnsi="宋体" w:cs="宋体" w:eastAsia="宋体" w:hint="default"/>
          <w:spacing w:val="-61"/>
          <w:sz w:val="24"/>
          <w:szCs w:val="24"/>
        </w:rPr>
        <w:t> </w:t>
      </w:r>
      <w:r>
        <w:rPr>
          <w:rFonts w:ascii="Arial" w:hAnsi="Arial" w:cs="Arial" w:eastAsia="Arial" w:hint="default"/>
          <w:sz w:val="24"/>
          <w:szCs w:val="24"/>
        </w:rPr>
        <w:t>24</w:t>
      </w:r>
      <w:r>
        <w:rPr>
          <w:rFonts w:ascii="Arial" w:hAnsi="Arial" w:cs="Arial" w:eastAsia="Arial" w:hint="default"/>
          <w:spacing w:val="-8"/>
          <w:sz w:val="24"/>
          <w:szCs w:val="24"/>
        </w:rPr>
        <w:t> </w:t>
      </w:r>
      <w:r>
        <w:rPr>
          <w:rFonts w:ascii="宋体" w:hAnsi="宋体" w:cs="宋体" w:eastAsia="宋体" w:hint="default"/>
          <w:sz w:val="24"/>
          <w:szCs w:val="24"/>
        </w:rPr>
        <w:t>日</w:t>
      </w:r>
    </w:p>
    <w:p>
      <w:pPr>
        <w:spacing w:before="54"/>
        <w:ind w:left="101" w:right="-20" w:firstLine="0"/>
        <w:jc w:val="left"/>
        <w:rPr>
          <w:rFonts w:ascii="宋体" w:hAnsi="宋体" w:cs="宋体" w:eastAsia="宋体" w:hint="default"/>
          <w:sz w:val="24"/>
          <w:szCs w:val="24"/>
        </w:rPr>
      </w:pPr>
      <w:r>
        <w:rPr/>
        <w:br w:type="column"/>
      </w:r>
      <w:r>
        <w:rPr>
          <w:rFonts w:ascii="宋体" w:hAnsi="宋体" w:cs="宋体" w:eastAsia="宋体" w:hint="default"/>
          <w:sz w:val="24"/>
          <w:szCs w:val="24"/>
        </w:rPr>
        <w:t>注册会计师</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13"/>
        <w:rPr>
          <w:rFonts w:ascii="宋体" w:hAnsi="宋体" w:cs="宋体" w:eastAsia="宋体" w:hint="default"/>
          <w:sz w:val="31"/>
          <w:szCs w:val="31"/>
        </w:rPr>
      </w:pPr>
    </w:p>
    <w:p>
      <w:pPr>
        <w:spacing w:before="0"/>
        <w:ind w:left="101" w:right="-20" w:firstLine="0"/>
        <w:jc w:val="left"/>
        <w:rPr>
          <w:rFonts w:ascii="宋体" w:hAnsi="宋体" w:cs="宋体" w:eastAsia="宋体" w:hint="default"/>
          <w:sz w:val="24"/>
          <w:szCs w:val="24"/>
        </w:rPr>
      </w:pPr>
      <w:r>
        <w:rPr>
          <w:rFonts w:ascii="宋体" w:hAnsi="宋体" w:cs="宋体" w:eastAsia="宋体" w:hint="default"/>
          <w:sz w:val="24"/>
          <w:szCs w:val="24"/>
        </w:rPr>
        <w:t>注册会计师</w:t>
      </w:r>
    </w:p>
    <w:p>
      <w:pPr>
        <w:spacing w:before="26"/>
        <w:ind w:left="101" w:right="0" w:firstLine="0"/>
        <w:jc w:val="left"/>
        <w:rPr>
          <w:rFonts w:ascii="宋体" w:hAnsi="宋体" w:cs="宋体" w:eastAsia="宋体" w:hint="default"/>
          <w:sz w:val="24"/>
          <w:szCs w:val="24"/>
        </w:rPr>
      </w:pPr>
      <w:r>
        <w:rPr/>
        <w:br w:type="column"/>
      </w:r>
      <w:r>
        <w:rPr>
          <w:rFonts w:ascii="宋体" w:hAnsi="宋体" w:cs="宋体" w:eastAsia="宋体" w:hint="default"/>
          <w:sz w:val="24"/>
          <w:szCs w:val="24"/>
        </w:rPr>
        <w:t>黄鸣柳</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tabs>
          <w:tab w:pos="581" w:val="left" w:leader="none"/>
        </w:tabs>
        <w:spacing w:before="158"/>
        <w:ind w:left="101" w:right="0" w:firstLine="0"/>
        <w:jc w:val="left"/>
        <w:rPr>
          <w:rFonts w:ascii="宋体" w:hAnsi="宋体" w:cs="宋体" w:eastAsia="宋体" w:hint="default"/>
          <w:sz w:val="24"/>
          <w:szCs w:val="24"/>
        </w:rPr>
      </w:pPr>
      <w:r>
        <w:rPr>
          <w:rFonts w:ascii="宋体" w:hAnsi="宋体" w:cs="宋体" w:eastAsia="宋体" w:hint="default"/>
          <w:sz w:val="24"/>
          <w:szCs w:val="24"/>
        </w:rPr>
        <w:t>杨</w:t>
        <w:tab/>
        <w:t>桢</w:t>
      </w:r>
    </w:p>
    <w:p>
      <w:pPr>
        <w:spacing w:after="0"/>
        <w:jc w:val="left"/>
        <w:rPr>
          <w:rFonts w:ascii="宋体" w:hAnsi="宋体" w:cs="宋体" w:eastAsia="宋体" w:hint="default"/>
          <w:sz w:val="24"/>
          <w:szCs w:val="24"/>
        </w:rPr>
        <w:sectPr>
          <w:type w:val="continuous"/>
          <w:pgSz w:w="11910" w:h="16840"/>
          <w:pgMar w:top="1600" w:bottom="280" w:left="1600" w:right="1620"/>
          <w:cols w:num="3" w:equalWidth="0">
            <w:col w:w="2502" w:space="1783"/>
            <w:col w:w="1302" w:space="713"/>
            <w:col w:w="2390"/>
          </w:cols>
        </w:sectPr>
      </w:pPr>
    </w:p>
    <w:p>
      <w:pPr>
        <w:pStyle w:val="BodyText"/>
        <w:spacing w:line="240" w:lineRule="auto" w:before="2"/>
        <w:ind w:left="109" w:right="0"/>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7"/>
        <w:rPr>
          <w:rFonts w:ascii="黑体" w:hAnsi="黑体" w:cs="黑体" w:eastAsia="黑体" w:hint="default"/>
          <w:sz w:val="21"/>
          <w:szCs w:val="21"/>
        </w:rPr>
      </w:pPr>
    </w:p>
    <w:p>
      <w:pPr>
        <w:pStyle w:val="BodyText"/>
        <w:spacing w:line="295" w:lineRule="exact"/>
        <w:ind w:left="109"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7"/>
        </w:rPr>
        <w:t> </w:t>
      </w:r>
      <w:r>
        <w:rPr>
          <w:rFonts w:ascii="黑体" w:hAnsi="黑体" w:cs="黑体" w:eastAsia="黑体" w:hint="default"/>
        </w:rPr>
        <w:t>年</w:t>
      </w:r>
      <w:r>
        <w:rPr>
          <w:rFonts w:ascii="黑体" w:hAnsi="黑体" w:cs="黑体" w:eastAsia="黑体" w:hint="default"/>
          <w:spacing w:val="-56"/>
        </w:rPr>
        <w:t> </w:t>
      </w:r>
      <w:r>
        <w:rPr>
          <w:rFonts w:ascii="Arial" w:hAnsi="Arial" w:cs="Arial" w:eastAsia="Arial" w:hint="default"/>
        </w:rPr>
        <w:t>12</w:t>
      </w:r>
      <w:r>
        <w:rPr>
          <w:rFonts w:ascii="Arial" w:hAnsi="Arial" w:cs="Arial" w:eastAsia="Arial" w:hint="default"/>
          <w:spacing w:val="-7"/>
        </w:rPr>
        <w:t> </w:t>
      </w:r>
      <w:r>
        <w:rPr>
          <w:rFonts w:ascii="黑体" w:hAnsi="黑体" w:cs="黑体" w:eastAsia="黑体" w:hint="default"/>
        </w:rPr>
        <w:t>月</w:t>
      </w:r>
      <w:r>
        <w:rPr>
          <w:rFonts w:ascii="黑体" w:hAnsi="黑体" w:cs="黑体" w:eastAsia="黑体" w:hint="default"/>
          <w:spacing w:val="-56"/>
        </w:rPr>
        <w:t> </w:t>
      </w:r>
      <w:r>
        <w:rPr>
          <w:rFonts w:ascii="Arial" w:hAnsi="Arial" w:cs="Arial" w:eastAsia="Arial" w:hint="default"/>
        </w:rPr>
        <w:t>31</w:t>
      </w:r>
      <w:r>
        <w:rPr>
          <w:rFonts w:ascii="Arial" w:hAnsi="Arial" w:cs="Arial" w:eastAsia="Arial" w:hint="default"/>
          <w:spacing w:val="-7"/>
        </w:rPr>
        <w:t> </w:t>
      </w:r>
      <w:r>
        <w:rPr>
          <w:rFonts w:ascii="黑体" w:hAnsi="黑体" w:cs="黑体" w:eastAsia="黑体" w:hint="default"/>
        </w:rPr>
        <w:t>日合并及公司资产负债表</w:t>
      </w:r>
    </w:p>
    <w:p>
      <w:pPr>
        <w:pStyle w:val="BodyText"/>
        <w:spacing w:line="279" w:lineRule="exact"/>
        <w:ind w:left="109" w:right="0"/>
        <w:jc w:val="left"/>
        <w:rPr>
          <w:rFonts w:ascii="黑体" w:hAnsi="黑体" w:cs="黑体" w:eastAsia="黑体" w:hint="default"/>
        </w:rPr>
      </w:pPr>
      <w:r>
        <w:rPr>
          <w:rFonts w:ascii="黑体" w:hAnsi="黑体" w:cs="黑体" w:eastAsia="黑体" w:hint="default"/>
        </w:rPr>
        <w:t>（除特别注明外，金额单位为人民币元）</w:t>
      </w:r>
    </w:p>
    <w:p>
      <w:pPr>
        <w:spacing w:line="240" w:lineRule="auto" w:before="12"/>
        <w:rPr>
          <w:rFonts w:ascii="黑体" w:hAnsi="黑体" w:cs="黑体" w:eastAsia="黑体" w:hint="default"/>
          <w:sz w:val="21"/>
          <w:szCs w:val="21"/>
        </w:rPr>
      </w:pPr>
    </w:p>
    <w:tbl>
      <w:tblPr>
        <w:tblW w:w="0" w:type="auto"/>
        <w:jc w:val="left"/>
        <w:tblInd w:w="102" w:type="dxa"/>
        <w:tblLayout w:type="fixed"/>
        <w:tblCellMar>
          <w:top w:w="0" w:type="dxa"/>
          <w:left w:w="0" w:type="dxa"/>
          <w:bottom w:w="0" w:type="dxa"/>
          <w:right w:w="0" w:type="dxa"/>
        </w:tblCellMar>
        <w:tblLook w:val="01E0"/>
      </w:tblPr>
      <w:tblGrid>
        <w:gridCol w:w="2520"/>
        <w:gridCol w:w="1147"/>
        <w:gridCol w:w="1694"/>
        <w:gridCol w:w="1750"/>
        <w:gridCol w:w="1651"/>
        <w:gridCol w:w="1722"/>
      </w:tblGrid>
      <w:tr>
        <w:trPr>
          <w:trHeight w:val="584"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9"/>
              <w:ind w:right="122"/>
              <w:jc w:val="center"/>
              <w:rPr>
                <w:rFonts w:ascii="黑体" w:hAnsi="黑体" w:cs="黑体" w:eastAsia="黑体" w:hint="default"/>
                <w:sz w:val="18"/>
                <w:szCs w:val="18"/>
              </w:rPr>
            </w:pPr>
            <w:r>
              <w:rPr>
                <w:rFonts w:ascii="黑体" w:hAnsi="黑体" w:cs="黑体" w:eastAsia="黑体" w:hint="default"/>
                <w:sz w:val="18"/>
                <w:szCs w:val="18"/>
              </w:rPr>
              <w:t>资  产</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9"/>
              <w:ind w:right="122"/>
              <w:jc w:val="center"/>
              <w:rPr>
                <w:rFonts w:ascii="黑体" w:hAnsi="黑体" w:cs="黑体" w:eastAsia="黑体" w:hint="default"/>
                <w:sz w:val="18"/>
                <w:szCs w:val="18"/>
              </w:rPr>
            </w:pPr>
            <w:r>
              <w:rPr>
                <w:rFonts w:ascii="黑体" w:hAnsi="黑体" w:cs="黑体" w:eastAsia="黑体" w:hint="default"/>
                <w:sz w:val="18"/>
                <w:szCs w:val="18"/>
              </w:rPr>
              <w:t>附注</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2"/>
              <w:ind w:right="68"/>
              <w:jc w:val="center"/>
              <w:rPr>
                <w:rFonts w:ascii="黑体" w:hAnsi="黑体" w:cs="黑体" w:eastAsia="黑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黑体" w:hAnsi="黑体" w:cs="黑体" w:eastAsia="黑体" w:hint="default"/>
                <w:sz w:val="18"/>
                <w:szCs w:val="18"/>
              </w:rPr>
              <w:t>年</w:t>
            </w:r>
            <w:r>
              <w:rPr>
                <w:rFonts w:ascii="黑体" w:hAnsi="黑体" w:cs="黑体" w:eastAsia="黑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黑体" w:hAnsi="黑体" w:cs="黑体" w:eastAsia="黑体" w:hint="default"/>
                <w:sz w:val="18"/>
                <w:szCs w:val="18"/>
              </w:rPr>
              <w:t>月</w:t>
            </w:r>
            <w:r>
              <w:rPr>
                <w:rFonts w:ascii="黑体" w:hAnsi="黑体" w:cs="黑体" w:eastAsia="黑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黑体" w:hAnsi="黑体" w:cs="黑体" w:eastAsia="黑体" w:hint="default"/>
                <w:sz w:val="18"/>
                <w:szCs w:val="18"/>
              </w:rPr>
              <w:t>日</w:t>
            </w:r>
          </w:p>
          <w:p>
            <w:pPr>
              <w:pStyle w:val="TableParagraph"/>
              <w:spacing w:line="228" w:lineRule="exact"/>
              <w:ind w:right="70"/>
              <w:jc w:val="center"/>
              <w:rPr>
                <w:rFonts w:ascii="黑体" w:hAnsi="黑体" w:cs="黑体" w:eastAsia="黑体" w:hint="default"/>
                <w:sz w:val="18"/>
                <w:szCs w:val="18"/>
              </w:rPr>
            </w:pPr>
            <w:r>
              <w:rPr>
                <w:rFonts w:ascii="黑体" w:hAnsi="黑体" w:cs="黑体" w:eastAsia="黑体" w:hint="default"/>
                <w:sz w:val="18"/>
                <w:szCs w:val="18"/>
              </w:rPr>
              <w:t>合并</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2"/>
              <w:ind w:right="69"/>
              <w:jc w:val="center"/>
              <w:rPr>
                <w:rFonts w:ascii="黑体" w:hAnsi="黑体" w:cs="黑体" w:eastAsia="黑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黑体" w:hAnsi="黑体" w:cs="黑体" w:eastAsia="黑体" w:hint="default"/>
                <w:sz w:val="18"/>
                <w:szCs w:val="18"/>
              </w:rPr>
              <w:t>年</w:t>
            </w:r>
            <w:r>
              <w:rPr>
                <w:rFonts w:ascii="黑体" w:hAnsi="黑体" w:cs="黑体" w:eastAsia="黑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黑体" w:hAnsi="黑体" w:cs="黑体" w:eastAsia="黑体" w:hint="default"/>
                <w:sz w:val="18"/>
                <w:szCs w:val="18"/>
              </w:rPr>
              <w:t>月</w:t>
            </w:r>
            <w:r>
              <w:rPr>
                <w:rFonts w:ascii="黑体" w:hAnsi="黑体" w:cs="黑体" w:eastAsia="黑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黑体" w:hAnsi="黑体" w:cs="黑体" w:eastAsia="黑体" w:hint="default"/>
                <w:sz w:val="18"/>
                <w:szCs w:val="18"/>
              </w:rPr>
              <w:t>日</w:t>
            </w:r>
          </w:p>
          <w:p>
            <w:pPr>
              <w:pStyle w:val="TableParagraph"/>
              <w:spacing w:line="228" w:lineRule="exact"/>
              <w:ind w:right="70"/>
              <w:jc w:val="center"/>
              <w:rPr>
                <w:rFonts w:ascii="黑体" w:hAnsi="黑体" w:cs="黑体" w:eastAsia="黑体" w:hint="default"/>
                <w:sz w:val="18"/>
                <w:szCs w:val="18"/>
              </w:rPr>
            </w:pPr>
            <w:r>
              <w:rPr>
                <w:rFonts w:ascii="黑体" w:hAnsi="黑体" w:cs="黑体" w:eastAsia="黑体" w:hint="default"/>
                <w:sz w:val="18"/>
                <w:szCs w:val="18"/>
              </w:rPr>
              <w:t>合并（经重列）</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2"/>
              <w:ind w:right="26"/>
              <w:jc w:val="center"/>
              <w:rPr>
                <w:rFonts w:ascii="黑体" w:hAnsi="黑体" w:cs="黑体" w:eastAsia="黑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黑体" w:hAnsi="黑体" w:cs="黑体" w:eastAsia="黑体" w:hint="default"/>
                <w:sz w:val="18"/>
                <w:szCs w:val="18"/>
              </w:rPr>
              <w:t>年</w:t>
            </w:r>
            <w:r>
              <w:rPr>
                <w:rFonts w:ascii="黑体" w:hAnsi="黑体" w:cs="黑体" w:eastAsia="黑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黑体" w:hAnsi="黑体" w:cs="黑体" w:eastAsia="黑体" w:hint="default"/>
                <w:sz w:val="18"/>
                <w:szCs w:val="18"/>
              </w:rPr>
              <w:t>月</w:t>
            </w:r>
            <w:r>
              <w:rPr>
                <w:rFonts w:ascii="黑体" w:hAnsi="黑体" w:cs="黑体" w:eastAsia="黑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黑体" w:hAnsi="黑体" w:cs="黑体" w:eastAsia="黑体" w:hint="default"/>
                <w:sz w:val="18"/>
                <w:szCs w:val="18"/>
              </w:rPr>
              <w:t>日</w:t>
            </w:r>
          </w:p>
          <w:p>
            <w:pPr>
              <w:pStyle w:val="TableParagraph"/>
              <w:spacing w:line="228" w:lineRule="exact"/>
              <w:ind w:right="27"/>
              <w:jc w:val="center"/>
              <w:rPr>
                <w:rFonts w:ascii="黑体" w:hAnsi="黑体" w:cs="黑体" w:eastAsia="黑体" w:hint="default"/>
                <w:sz w:val="18"/>
                <w:szCs w:val="18"/>
              </w:rPr>
            </w:pPr>
            <w:r>
              <w:rPr>
                <w:rFonts w:ascii="黑体" w:hAnsi="黑体" w:cs="黑体" w:eastAsia="黑体" w:hint="default"/>
                <w:sz w:val="18"/>
                <w:szCs w:val="18"/>
              </w:rPr>
              <w:t>公司</w:t>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2"/>
              <w:ind w:right="27"/>
              <w:jc w:val="center"/>
              <w:rPr>
                <w:rFonts w:ascii="黑体" w:hAnsi="黑体" w:cs="黑体" w:eastAsia="黑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黑体" w:hAnsi="黑体" w:cs="黑体" w:eastAsia="黑体" w:hint="default"/>
                <w:sz w:val="18"/>
                <w:szCs w:val="18"/>
              </w:rPr>
              <w:t>年</w:t>
            </w:r>
            <w:r>
              <w:rPr>
                <w:rFonts w:ascii="黑体" w:hAnsi="黑体" w:cs="黑体" w:eastAsia="黑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黑体" w:hAnsi="黑体" w:cs="黑体" w:eastAsia="黑体" w:hint="default"/>
                <w:sz w:val="18"/>
                <w:szCs w:val="18"/>
              </w:rPr>
              <w:t>月</w:t>
            </w:r>
            <w:r>
              <w:rPr>
                <w:rFonts w:ascii="黑体" w:hAnsi="黑体" w:cs="黑体" w:eastAsia="黑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黑体" w:hAnsi="黑体" w:cs="黑体" w:eastAsia="黑体" w:hint="default"/>
                <w:sz w:val="18"/>
                <w:szCs w:val="18"/>
              </w:rPr>
              <w:t>日</w:t>
            </w:r>
          </w:p>
          <w:p>
            <w:pPr>
              <w:pStyle w:val="TableParagraph"/>
              <w:spacing w:line="228" w:lineRule="exact"/>
              <w:ind w:right="28"/>
              <w:jc w:val="center"/>
              <w:rPr>
                <w:rFonts w:ascii="黑体" w:hAnsi="黑体" w:cs="黑体" w:eastAsia="黑体" w:hint="default"/>
                <w:sz w:val="18"/>
                <w:szCs w:val="18"/>
              </w:rPr>
            </w:pPr>
            <w:r>
              <w:rPr>
                <w:rFonts w:ascii="黑体" w:hAnsi="黑体" w:cs="黑体" w:eastAsia="黑体" w:hint="default"/>
                <w:sz w:val="18"/>
                <w:szCs w:val="18"/>
              </w:rPr>
              <w:t>公司</w:t>
            </w:r>
          </w:p>
        </w:tc>
      </w:tr>
      <w:tr>
        <w:trPr>
          <w:trHeight w:val="256"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1" w:right="0"/>
              <w:jc w:val="left"/>
              <w:rPr>
                <w:rFonts w:ascii="黑体" w:hAnsi="黑体" w:cs="黑体" w:eastAsia="黑体" w:hint="default"/>
                <w:sz w:val="18"/>
                <w:szCs w:val="18"/>
              </w:rPr>
            </w:pPr>
            <w:r>
              <w:rPr>
                <w:rFonts w:ascii="黑体" w:hAnsi="黑体" w:cs="黑体" w:eastAsia="黑体" w:hint="default"/>
                <w:sz w:val="18"/>
                <w:szCs w:val="18"/>
              </w:rPr>
              <w:t>流动资产</w:t>
            </w:r>
          </w:p>
        </w:tc>
        <w:tc>
          <w:tcPr>
            <w:tcW w:w="1147" w:type="dxa"/>
            <w:tcBorders>
              <w:top w:val="single" w:sz="6" w:space="0" w:color="000000"/>
              <w:left w:val="single" w:sz="6" w:space="0" w:color="000000"/>
              <w:bottom w:val="single" w:sz="6" w:space="0" w:color="000000"/>
              <w:right w:val="single" w:sz="6" w:space="0" w:color="000000"/>
            </w:tcBorders>
          </w:tcPr>
          <w:p>
            <w:pPr/>
          </w:p>
        </w:tc>
        <w:tc>
          <w:tcPr>
            <w:tcW w:w="1694"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51" w:type="dxa"/>
            <w:tcBorders>
              <w:top w:val="single" w:sz="6" w:space="0" w:color="000000"/>
              <w:left w:val="single" w:sz="6" w:space="0" w:color="000000"/>
              <w:bottom w:val="single" w:sz="6" w:space="0" w:color="000000"/>
              <w:right w:val="single" w:sz="6" w:space="0" w:color="000000"/>
            </w:tcBorders>
          </w:tcPr>
          <w:p>
            <w:pPr/>
          </w:p>
        </w:tc>
        <w:tc>
          <w:tcPr>
            <w:tcW w:w="1722" w:type="dxa"/>
            <w:tcBorders>
              <w:top w:val="single" w:sz="6" w:space="0" w:color="000000"/>
              <w:left w:val="single" w:sz="6" w:space="0" w:color="000000"/>
              <w:bottom w:val="single" w:sz="6" w:space="0" w:color="000000"/>
              <w:right w:val="single" w:sz="6" w:space="0" w:color="000000"/>
            </w:tcBorders>
          </w:tcPr>
          <w:p>
            <w:pPr/>
          </w:p>
        </w:tc>
      </w:tr>
      <w:tr>
        <w:trPr>
          <w:trHeight w:val="254"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w:t>
            </w:r>
            <w:r>
              <w:rPr>
                <w:rFonts w:ascii="宋体" w:hAnsi="宋体" w:cs="宋体" w:eastAsia="宋体" w:hint="default"/>
                <w:sz w:val="18"/>
                <w:szCs w:val="18"/>
              </w:rPr>
              <w:t>十七</w:t>
            </w:r>
            <w:r>
              <w:rPr>
                <w:rFonts w:ascii="Arial" w:hAnsi="Arial" w:cs="Arial" w:eastAsia="Arial" w:hint="default"/>
                <w:sz w:val="18"/>
                <w:szCs w:val="18"/>
              </w:rPr>
              <w:t>(1)</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49"/>
              <w:jc w:val="right"/>
              <w:rPr>
                <w:rFonts w:ascii="Arial" w:hAnsi="Arial" w:cs="Arial" w:eastAsia="Arial" w:hint="default"/>
                <w:sz w:val="18"/>
                <w:szCs w:val="18"/>
              </w:rPr>
            </w:pPr>
            <w:r>
              <w:rPr>
                <w:rFonts w:ascii="Arial"/>
                <w:spacing w:val="-1"/>
                <w:sz w:val="18"/>
              </w:rPr>
              <w:t>8,828,101,716</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3"/>
              <w:jc w:val="right"/>
              <w:rPr>
                <w:rFonts w:ascii="Arial" w:hAnsi="Arial" w:cs="Arial" w:eastAsia="Arial" w:hint="default"/>
                <w:sz w:val="18"/>
                <w:szCs w:val="18"/>
              </w:rPr>
            </w:pPr>
            <w:r>
              <w:rPr>
                <w:rFonts w:ascii="Arial"/>
                <w:spacing w:val="-1"/>
                <w:sz w:val="18"/>
              </w:rPr>
              <w:t>10,583,915,604</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6"/>
              <w:jc w:val="right"/>
              <w:rPr>
                <w:rFonts w:ascii="Arial" w:hAnsi="Arial" w:cs="Arial" w:eastAsia="Arial" w:hint="default"/>
                <w:sz w:val="18"/>
                <w:szCs w:val="18"/>
              </w:rPr>
            </w:pPr>
            <w:r>
              <w:rPr>
                <w:rFonts w:ascii="Arial"/>
                <w:spacing w:val="-1"/>
                <w:sz w:val="18"/>
              </w:rPr>
              <w:t>11,533,374</w:t>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4"/>
              <w:jc w:val="right"/>
              <w:rPr>
                <w:rFonts w:ascii="Arial" w:hAnsi="Arial" w:cs="Arial" w:eastAsia="Arial" w:hint="default"/>
                <w:sz w:val="18"/>
                <w:szCs w:val="18"/>
              </w:rPr>
            </w:pPr>
            <w:r>
              <w:rPr>
                <w:rFonts w:ascii="Arial"/>
                <w:spacing w:val="-1"/>
                <w:sz w:val="18"/>
              </w:rPr>
              <w:t>10,774,856</w:t>
            </w:r>
          </w:p>
        </w:tc>
      </w:tr>
      <w:tr>
        <w:trPr>
          <w:trHeight w:val="256"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35"/>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48"/>
              <w:jc w:val="right"/>
              <w:rPr>
                <w:rFonts w:ascii="Arial" w:hAnsi="Arial" w:cs="Arial" w:eastAsia="Arial" w:hint="default"/>
                <w:sz w:val="18"/>
                <w:szCs w:val="18"/>
              </w:rPr>
            </w:pPr>
            <w:r>
              <w:rPr>
                <w:rFonts w:ascii="Arial"/>
                <w:spacing w:val="-1"/>
                <w:sz w:val="18"/>
              </w:rPr>
              <w:t>24,522,070</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4"/>
              <w:jc w:val="right"/>
              <w:rPr>
                <w:rFonts w:ascii="Arial" w:hAnsi="Arial" w:cs="Arial" w:eastAsia="Arial" w:hint="default"/>
                <w:sz w:val="18"/>
                <w:szCs w:val="18"/>
              </w:rPr>
            </w:pPr>
            <w:r>
              <w:rPr>
                <w:rFonts w:ascii="Arial"/>
                <w:spacing w:val="-1"/>
                <w:sz w:val="18"/>
              </w:rPr>
              <w:t>64,684,256</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9"/>
              <w:jc w:val="right"/>
              <w:rPr>
                <w:rFonts w:ascii="Arial" w:hAnsi="Arial" w:cs="Arial" w:eastAsia="Arial" w:hint="default"/>
                <w:sz w:val="18"/>
                <w:szCs w:val="18"/>
              </w:rPr>
            </w:pPr>
            <w:r>
              <w:rPr>
                <w:rFonts w:ascii="Arial"/>
                <w:w w:val="99"/>
                <w:sz w:val="18"/>
              </w:rPr>
              <w:t>-</w:t>
            </w:r>
            <w:r>
              <w:rPr>
                <w:rFonts w:ascii="Arial"/>
                <w:sz w:val="18"/>
              </w:rPr>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6"/>
              <w:jc w:val="right"/>
              <w:rPr>
                <w:rFonts w:ascii="Arial" w:hAnsi="Arial" w:cs="Arial" w:eastAsia="Arial" w:hint="default"/>
                <w:sz w:val="18"/>
                <w:szCs w:val="18"/>
              </w:rPr>
            </w:pPr>
            <w:r>
              <w:rPr>
                <w:rFonts w:ascii="Arial"/>
                <w:w w:val="99"/>
                <w:sz w:val="18"/>
              </w:rPr>
              <w:t>-</w:t>
            </w:r>
            <w:r>
              <w:rPr>
                <w:rFonts w:ascii="Arial"/>
                <w:sz w:val="18"/>
              </w:rPr>
            </w:r>
          </w:p>
        </w:tc>
      </w:tr>
      <w:tr>
        <w:trPr>
          <w:trHeight w:val="254"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35"/>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50"/>
              <w:jc w:val="right"/>
              <w:rPr>
                <w:rFonts w:ascii="Arial" w:hAnsi="Arial" w:cs="Arial" w:eastAsia="Arial" w:hint="default"/>
                <w:sz w:val="18"/>
                <w:szCs w:val="18"/>
              </w:rPr>
            </w:pPr>
            <w:r>
              <w:rPr>
                <w:rFonts w:ascii="Arial"/>
                <w:spacing w:val="-1"/>
                <w:sz w:val="18"/>
              </w:rPr>
              <w:t>9,870,653,801</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4"/>
              <w:jc w:val="right"/>
              <w:rPr>
                <w:rFonts w:ascii="Arial" w:hAnsi="Arial" w:cs="Arial" w:eastAsia="Arial" w:hint="default"/>
                <w:sz w:val="18"/>
                <w:szCs w:val="18"/>
              </w:rPr>
            </w:pPr>
            <w:r>
              <w:rPr>
                <w:rFonts w:ascii="Arial"/>
                <w:spacing w:val="-1"/>
                <w:sz w:val="18"/>
              </w:rPr>
              <w:t>9,883,915,868</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7"/>
              <w:jc w:val="right"/>
              <w:rPr>
                <w:rFonts w:ascii="Arial" w:hAnsi="Arial" w:cs="Arial" w:eastAsia="Arial" w:hint="default"/>
                <w:sz w:val="18"/>
                <w:szCs w:val="18"/>
              </w:rPr>
            </w:pPr>
            <w:r>
              <w:rPr>
                <w:rFonts w:ascii="Arial"/>
                <w:w w:val="99"/>
                <w:sz w:val="18"/>
              </w:rPr>
              <w:t>-</w:t>
            </w:r>
            <w:r>
              <w:rPr>
                <w:rFonts w:ascii="Arial"/>
                <w:sz w:val="18"/>
              </w:rPr>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5"/>
              <w:jc w:val="right"/>
              <w:rPr>
                <w:rFonts w:ascii="Arial" w:hAnsi="Arial" w:cs="Arial" w:eastAsia="Arial" w:hint="default"/>
                <w:sz w:val="18"/>
                <w:szCs w:val="18"/>
              </w:rPr>
            </w:pPr>
            <w:r>
              <w:rPr>
                <w:rFonts w:ascii="Arial"/>
                <w:w w:val="99"/>
                <w:sz w:val="18"/>
              </w:rPr>
              <w:t>-</w:t>
            </w:r>
            <w:r>
              <w:rPr>
                <w:rFonts w:ascii="Arial"/>
                <w:sz w:val="18"/>
              </w:rPr>
            </w:r>
          </w:p>
        </w:tc>
      </w:tr>
      <w:tr>
        <w:trPr>
          <w:trHeight w:val="256"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35"/>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(5)</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50"/>
              <w:jc w:val="right"/>
              <w:rPr>
                <w:rFonts w:ascii="Arial" w:hAnsi="Arial" w:cs="Arial" w:eastAsia="Arial" w:hint="default"/>
                <w:sz w:val="18"/>
                <w:szCs w:val="18"/>
              </w:rPr>
            </w:pPr>
            <w:r>
              <w:rPr>
                <w:rFonts w:ascii="Arial"/>
                <w:spacing w:val="-1"/>
                <w:sz w:val="18"/>
              </w:rPr>
              <w:t>1,853,329,628</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4"/>
              <w:jc w:val="right"/>
              <w:rPr>
                <w:rFonts w:ascii="Arial" w:hAnsi="Arial" w:cs="Arial" w:eastAsia="Arial" w:hint="default"/>
                <w:sz w:val="18"/>
                <w:szCs w:val="18"/>
              </w:rPr>
            </w:pPr>
            <w:r>
              <w:rPr>
                <w:rFonts w:ascii="Arial"/>
                <w:spacing w:val="-1"/>
                <w:sz w:val="18"/>
              </w:rPr>
              <w:t>1,765,876,331</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7"/>
              <w:jc w:val="right"/>
              <w:rPr>
                <w:rFonts w:ascii="Arial" w:hAnsi="Arial" w:cs="Arial" w:eastAsia="Arial" w:hint="default"/>
                <w:sz w:val="18"/>
                <w:szCs w:val="18"/>
              </w:rPr>
            </w:pPr>
            <w:r>
              <w:rPr>
                <w:rFonts w:ascii="Arial"/>
                <w:w w:val="99"/>
                <w:sz w:val="18"/>
              </w:rPr>
              <w:t>-</w:t>
            </w:r>
            <w:r>
              <w:rPr>
                <w:rFonts w:ascii="Arial"/>
                <w:sz w:val="18"/>
              </w:rPr>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5"/>
              <w:jc w:val="right"/>
              <w:rPr>
                <w:rFonts w:ascii="Arial" w:hAnsi="Arial" w:cs="Arial" w:eastAsia="Arial" w:hint="default"/>
                <w:sz w:val="18"/>
                <w:szCs w:val="18"/>
              </w:rPr>
            </w:pPr>
            <w:r>
              <w:rPr>
                <w:rFonts w:ascii="Arial"/>
                <w:w w:val="99"/>
                <w:sz w:val="18"/>
              </w:rPr>
              <w:t>-</w:t>
            </w:r>
            <w:r>
              <w:rPr>
                <w:rFonts w:ascii="Arial"/>
                <w:sz w:val="18"/>
              </w:rPr>
            </w:r>
          </w:p>
        </w:tc>
      </w:tr>
      <w:tr>
        <w:trPr>
          <w:trHeight w:val="254"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37"/>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(39)</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47"/>
              <w:jc w:val="right"/>
              <w:rPr>
                <w:rFonts w:ascii="Arial" w:hAnsi="Arial" w:cs="Arial" w:eastAsia="Arial" w:hint="default"/>
                <w:sz w:val="18"/>
                <w:szCs w:val="18"/>
              </w:rPr>
            </w:pPr>
            <w:r>
              <w:rPr>
                <w:rFonts w:ascii="Arial"/>
                <w:spacing w:val="-1"/>
                <w:sz w:val="18"/>
              </w:rPr>
              <w:t>6,874,902</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3"/>
              <w:jc w:val="right"/>
              <w:rPr>
                <w:rFonts w:ascii="Arial" w:hAnsi="Arial" w:cs="Arial" w:eastAsia="Arial" w:hint="default"/>
                <w:sz w:val="18"/>
                <w:szCs w:val="18"/>
              </w:rPr>
            </w:pPr>
            <w:r>
              <w:rPr>
                <w:rFonts w:ascii="Arial"/>
                <w:spacing w:val="-1"/>
                <w:sz w:val="18"/>
              </w:rPr>
              <w:t>9,298,567</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8"/>
              <w:jc w:val="right"/>
              <w:rPr>
                <w:rFonts w:ascii="Arial" w:hAnsi="Arial" w:cs="Arial" w:eastAsia="Arial" w:hint="default"/>
                <w:sz w:val="18"/>
                <w:szCs w:val="18"/>
              </w:rPr>
            </w:pPr>
            <w:r>
              <w:rPr>
                <w:rFonts w:ascii="Arial"/>
                <w:w w:val="99"/>
                <w:sz w:val="18"/>
              </w:rPr>
              <w:t>-</w:t>
            </w:r>
            <w:r>
              <w:rPr>
                <w:rFonts w:ascii="Arial"/>
                <w:sz w:val="18"/>
              </w:rPr>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5"/>
              <w:jc w:val="right"/>
              <w:rPr>
                <w:rFonts w:ascii="Arial" w:hAnsi="Arial" w:cs="Arial" w:eastAsia="Arial" w:hint="default"/>
                <w:sz w:val="18"/>
                <w:szCs w:val="18"/>
              </w:rPr>
            </w:pPr>
            <w:r>
              <w:rPr>
                <w:rFonts w:ascii="Arial"/>
                <w:w w:val="99"/>
                <w:sz w:val="18"/>
              </w:rPr>
              <w:t>-</w:t>
            </w:r>
            <w:r>
              <w:rPr>
                <w:rFonts w:ascii="Arial"/>
                <w:sz w:val="18"/>
              </w:rPr>
            </w:r>
          </w:p>
        </w:tc>
      </w:tr>
      <w:tr>
        <w:trPr>
          <w:trHeight w:val="256"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35"/>
              <w:jc w:val="center"/>
              <w:rPr>
                <w:rFonts w:ascii="Arial" w:hAnsi="Arial" w:cs="Arial" w:eastAsia="Arial" w:hint="default"/>
                <w:sz w:val="18"/>
                <w:szCs w:val="18"/>
              </w:rPr>
            </w:pPr>
            <w:r>
              <w:rPr>
                <w:rFonts w:ascii="宋体" w:hAnsi="宋体" w:cs="宋体" w:eastAsia="宋体" w:hint="default"/>
                <w:sz w:val="18"/>
                <w:szCs w:val="18"/>
              </w:rPr>
              <w:t>十七</w:t>
            </w:r>
            <w:r>
              <w:rPr>
                <w:rFonts w:ascii="Arial" w:hAnsi="Arial" w:cs="Arial" w:eastAsia="Arial" w:hint="default"/>
                <w:sz w:val="18"/>
                <w:szCs w:val="18"/>
              </w:rPr>
              <w:t>(2)</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48"/>
              <w:jc w:val="right"/>
              <w:rPr>
                <w:rFonts w:ascii="Arial" w:hAnsi="Arial" w:cs="Arial" w:eastAsia="Arial" w:hint="default"/>
                <w:sz w:val="18"/>
                <w:szCs w:val="18"/>
              </w:rPr>
            </w:pPr>
            <w:r>
              <w:rPr>
                <w:rFonts w:ascii="Arial"/>
                <w:w w:val="99"/>
                <w:sz w:val="18"/>
              </w:rPr>
              <w:t>-</w:t>
            </w:r>
            <w:r>
              <w:rPr>
                <w:rFonts w:ascii="Arial"/>
                <w:sz w:val="18"/>
              </w:rPr>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3"/>
              <w:jc w:val="right"/>
              <w:rPr>
                <w:rFonts w:ascii="Arial" w:hAnsi="Arial" w:cs="Arial" w:eastAsia="Arial" w:hint="default"/>
                <w:sz w:val="18"/>
                <w:szCs w:val="18"/>
              </w:rPr>
            </w:pPr>
            <w:r>
              <w:rPr>
                <w:rFonts w:ascii="Arial"/>
                <w:w w:val="99"/>
                <w:sz w:val="18"/>
              </w:rPr>
              <w:t>-</w:t>
            </w:r>
            <w:r>
              <w:rPr>
                <w:rFonts w:ascii="Arial"/>
                <w:sz w:val="18"/>
              </w:rPr>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7"/>
              <w:jc w:val="right"/>
              <w:rPr>
                <w:rFonts w:ascii="Arial" w:hAnsi="Arial" w:cs="Arial" w:eastAsia="Arial" w:hint="default"/>
                <w:sz w:val="18"/>
                <w:szCs w:val="18"/>
              </w:rPr>
            </w:pPr>
            <w:r>
              <w:rPr>
                <w:rFonts w:ascii="Arial"/>
                <w:spacing w:val="-1"/>
                <w:sz w:val="18"/>
              </w:rPr>
              <w:t>307,361,297</w:t>
            </w:r>
            <w:r>
              <w:rPr>
                <w:rFonts w:ascii="Arial"/>
                <w:sz w:val="18"/>
              </w:rPr>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5"/>
              <w:jc w:val="right"/>
              <w:rPr>
                <w:rFonts w:ascii="Arial" w:hAnsi="Arial" w:cs="Arial" w:eastAsia="Arial" w:hint="default"/>
                <w:sz w:val="18"/>
                <w:szCs w:val="18"/>
              </w:rPr>
            </w:pPr>
            <w:r>
              <w:rPr>
                <w:rFonts w:ascii="Arial"/>
                <w:spacing w:val="-1"/>
                <w:sz w:val="18"/>
              </w:rPr>
              <w:t>149,000,000</w:t>
            </w:r>
          </w:p>
        </w:tc>
      </w:tr>
      <w:tr>
        <w:trPr>
          <w:trHeight w:val="254"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35"/>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50"/>
              <w:jc w:val="right"/>
              <w:rPr>
                <w:rFonts w:ascii="Arial" w:hAnsi="Arial" w:cs="Arial" w:eastAsia="Arial" w:hint="default"/>
                <w:sz w:val="18"/>
                <w:szCs w:val="18"/>
              </w:rPr>
            </w:pPr>
            <w:r>
              <w:rPr>
                <w:rFonts w:ascii="Arial"/>
                <w:spacing w:val="-1"/>
                <w:sz w:val="18"/>
              </w:rPr>
              <w:t>6,667,416,291</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3"/>
              <w:jc w:val="right"/>
              <w:rPr>
                <w:rFonts w:ascii="Arial" w:hAnsi="Arial" w:cs="Arial" w:eastAsia="Arial" w:hint="default"/>
                <w:sz w:val="18"/>
                <w:szCs w:val="18"/>
              </w:rPr>
            </w:pPr>
            <w:r>
              <w:rPr>
                <w:rFonts w:ascii="Arial"/>
                <w:spacing w:val="-1"/>
                <w:sz w:val="18"/>
              </w:rPr>
              <w:t>15,636,018,847</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8"/>
              <w:jc w:val="right"/>
              <w:rPr>
                <w:rFonts w:ascii="Arial" w:hAnsi="Arial" w:cs="Arial" w:eastAsia="Arial" w:hint="default"/>
                <w:sz w:val="18"/>
                <w:szCs w:val="18"/>
              </w:rPr>
            </w:pPr>
            <w:r>
              <w:rPr>
                <w:rFonts w:ascii="Arial"/>
                <w:spacing w:val="-1"/>
                <w:sz w:val="18"/>
              </w:rPr>
              <w:t>2,002,560</w:t>
            </w:r>
            <w:r>
              <w:rPr>
                <w:rFonts w:ascii="Arial"/>
                <w:sz w:val="18"/>
              </w:rPr>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5"/>
              <w:jc w:val="right"/>
              <w:rPr>
                <w:rFonts w:ascii="Arial" w:hAnsi="Arial" w:cs="Arial" w:eastAsia="Arial" w:hint="default"/>
                <w:sz w:val="18"/>
                <w:szCs w:val="18"/>
              </w:rPr>
            </w:pPr>
            <w:r>
              <w:rPr>
                <w:rFonts w:ascii="Arial"/>
                <w:spacing w:val="-1"/>
                <w:sz w:val="18"/>
              </w:rPr>
              <w:t>1,831,751</w:t>
            </w:r>
          </w:p>
        </w:tc>
      </w:tr>
      <w:tr>
        <w:trPr>
          <w:trHeight w:val="256"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35"/>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(6)</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50"/>
              <w:jc w:val="right"/>
              <w:rPr>
                <w:rFonts w:ascii="Arial" w:hAnsi="Arial" w:cs="Arial" w:eastAsia="Arial" w:hint="default"/>
                <w:sz w:val="18"/>
                <w:szCs w:val="18"/>
              </w:rPr>
            </w:pPr>
            <w:r>
              <w:rPr>
                <w:rFonts w:ascii="Arial"/>
                <w:spacing w:val="-1"/>
                <w:sz w:val="18"/>
              </w:rPr>
              <w:t>2,412,408,382</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4"/>
              <w:jc w:val="right"/>
              <w:rPr>
                <w:rFonts w:ascii="Arial" w:hAnsi="Arial" w:cs="Arial" w:eastAsia="Arial" w:hint="default"/>
                <w:sz w:val="18"/>
                <w:szCs w:val="18"/>
              </w:rPr>
            </w:pPr>
            <w:r>
              <w:rPr>
                <w:rFonts w:ascii="Arial"/>
                <w:spacing w:val="-1"/>
                <w:sz w:val="18"/>
              </w:rPr>
              <w:t>1,092,210,677</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7"/>
              <w:jc w:val="right"/>
              <w:rPr>
                <w:rFonts w:ascii="Arial" w:hAnsi="Arial" w:cs="Arial" w:eastAsia="Arial" w:hint="default"/>
                <w:sz w:val="18"/>
                <w:szCs w:val="18"/>
              </w:rPr>
            </w:pPr>
            <w:r>
              <w:rPr>
                <w:rFonts w:ascii="Arial"/>
                <w:w w:val="99"/>
                <w:sz w:val="18"/>
              </w:rPr>
              <w:t>-</w:t>
            </w:r>
            <w:r>
              <w:rPr>
                <w:rFonts w:ascii="Arial"/>
                <w:sz w:val="18"/>
              </w:rPr>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5"/>
              <w:jc w:val="right"/>
              <w:rPr>
                <w:rFonts w:ascii="Arial" w:hAnsi="Arial" w:cs="Arial" w:eastAsia="Arial" w:hint="default"/>
                <w:sz w:val="18"/>
                <w:szCs w:val="18"/>
              </w:rPr>
            </w:pPr>
            <w:r>
              <w:rPr>
                <w:rFonts w:ascii="Arial"/>
                <w:w w:val="99"/>
                <w:sz w:val="18"/>
              </w:rPr>
              <w:t>-</w:t>
            </w:r>
            <w:r>
              <w:rPr>
                <w:rFonts w:ascii="Arial"/>
                <w:sz w:val="18"/>
              </w:rPr>
            </w:r>
          </w:p>
        </w:tc>
      </w:tr>
      <w:tr>
        <w:trPr>
          <w:trHeight w:val="254"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37"/>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(21)</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48"/>
              <w:jc w:val="right"/>
              <w:rPr>
                <w:rFonts w:ascii="Arial" w:hAnsi="Arial" w:cs="Arial" w:eastAsia="Arial" w:hint="default"/>
                <w:sz w:val="18"/>
                <w:szCs w:val="18"/>
              </w:rPr>
            </w:pPr>
            <w:r>
              <w:rPr>
                <w:rFonts w:ascii="Arial"/>
                <w:spacing w:val="-1"/>
                <w:sz w:val="18"/>
              </w:rPr>
              <w:t>1,059,443,471</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3"/>
              <w:jc w:val="right"/>
              <w:rPr>
                <w:rFonts w:ascii="Arial" w:hAnsi="Arial" w:cs="Arial" w:eastAsia="Arial" w:hint="default"/>
                <w:sz w:val="18"/>
                <w:szCs w:val="18"/>
              </w:rPr>
            </w:pPr>
            <w:r>
              <w:rPr>
                <w:rFonts w:ascii="Arial"/>
                <w:w w:val="99"/>
                <w:sz w:val="18"/>
              </w:rPr>
              <w:t>-</w:t>
            </w:r>
            <w:r>
              <w:rPr>
                <w:rFonts w:ascii="Arial"/>
                <w:sz w:val="18"/>
              </w:rPr>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7"/>
              <w:jc w:val="right"/>
              <w:rPr>
                <w:rFonts w:ascii="Arial" w:hAnsi="Arial" w:cs="Arial" w:eastAsia="Arial" w:hint="default"/>
                <w:sz w:val="18"/>
                <w:szCs w:val="18"/>
              </w:rPr>
            </w:pPr>
            <w:r>
              <w:rPr>
                <w:rFonts w:ascii="Arial"/>
                <w:w w:val="99"/>
                <w:sz w:val="18"/>
              </w:rPr>
              <w:t>-</w:t>
            </w:r>
            <w:r>
              <w:rPr>
                <w:rFonts w:ascii="Arial"/>
                <w:sz w:val="18"/>
              </w:rPr>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4"/>
              <w:jc w:val="right"/>
              <w:rPr>
                <w:rFonts w:ascii="Arial" w:hAnsi="Arial" w:cs="Arial" w:eastAsia="Arial" w:hint="default"/>
                <w:sz w:val="18"/>
                <w:szCs w:val="18"/>
              </w:rPr>
            </w:pPr>
            <w:r>
              <w:rPr>
                <w:rFonts w:ascii="Arial"/>
                <w:w w:val="99"/>
                <w:sz w:val="18"/>
              </w:rPr>
              <w:t>-</w:t>
            </w:r>
            <w:r>
              <w:rPr>
                <w:rFonts w:ascii="Arial"/>
                <w:sz w:val="18"/>
              </w:rPr>
            </w:r>
          </w:p>
        </w:tc>
      </w:tr>
      <w:tr>
        <w:trPr>
          <w:trHeight w:val="256"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1" w:right="0"/>
              <w:jc w:val="left"/>
              <w:rPr>
                <w:rFonts w:ascii="黑体" w:hAnsi="黑体" w:cs="黑体" w:eastAsia="黑体" w:hint="default"/>
                <w:sz w:val="18"/>
                <w:szCs w:val="18"/>
              </w:rPr>
            </w:pPr>
            <w:r>
              <w:rPr>
                <w:rFonts w:ascii="黑体" w:hAnsi="黑体" w:cs="黑体" w:eastAsia="黑体" w:hint="default"/>
                <w:sz w:val="18"/>
                <w:szCs w:val="18"/>
              </w:rPr>
              <w:t>流动资产合计</w:t>
            </w:r>
          </w:p>
        </w:tc>
        <w:tc>
          <w:tcPr>
            <w:tcW w:w="1147" w:type="dxa"/>
            <w:tcBorders>
              <w:top w:val="single" w:sz="6" w:space="0" w:color="000000"/>
              <w:left w:val="single" w:sz="6" w:space="0" w:color="000000"/>
              <w:bottom w:val="single" w:sz="6" w:space="0" w:color="000000"/>
              <w:right w:val="single" w:sz="6" w:space="0" w:color="000000"/>
            </w:tcBorders>
          </w:tcPr>
          <w:p>
            <w:pP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48"/>
              <w:jc w:val="right"/>
              <w:rPr>
                <w:rFonts w:ascii="Arial" w:hAnsi="Arial" w:cs="Arial" w:eastAsia="Arial" w:hint="default"/>
                <w:sz w:val="18"/>
                <w:szCs w:val="18"/>
              </w:rPr>
            </w:pPr>
            <w:r>
              <w:rPr>
                <w:rFonts w:ascii="Arial"/>
                <w:spacing w:val="-1"/>
                <w:sz w:val="18"/>
              </w:rPr>
              <w:t>30,722,750,261</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3"/>
              <w:jc w:val="right"/>
              <w:rPr>
                <w:rFonts w:ascii="Arial" w:hAnsi="Arial" w:cs="Arial" w:eastAsia="Arial" w:hint="default"/>
                <w:sz w:val="18"/>
                <w:szCs w:val="18"/>
              </w:rPr>
            </w:pPr>
            <w:r>
              <w:rPr>
                <w:rFonts w:ascii="Arial"/>
                <w:spacing w:val="-1"/>
                <w:sz w:val="18"/>
              </w:rPr>
              <w:t>39,035,920,150</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8"/>
              <w:jc w:val="right"/>
              <w:rPr>
                <w:rFonts w:ascii="Arial" w:hAnsi="Arial" w:cs="Arial" w:eastAsia="Arial" w:hint="default"/>
                <w:sz w:val="18"/>
                <w:szCs w:val="18"/>
              </w:rPr>
            </w:pPr>
            <w:r>
              <w:rPr>
                <w:rFonts w:ascii="Arial"/>
                <w:spacing w:val="-1"/>
                <w:sz w:val="18"/>
              </w:rPr>
              <w:t>320,897,231</w:t>
            </w:r>
            <w:r>
              <w:rPr>
                <w:rFonts w:ascii="Arial"/>
                <w:sz w:val="18"/>
              </w:rPr>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5"/>
              <w:jc w:val="right"/>
              <w:rPr>
                <w:rFonts w:ascii="Arial" w:hAnsi="Arial" w:cs="Arial" w:eastAsia="Arial" w:hint="default"/>
                <w:sz w:val="18"/>
                <w:szCs w:val="18"/>
              </w:rPr>
            </w:pPr>
            <w:r>
              <w:rPr>
                <w:rFonts w:ascii="Arial"/>
                <w:spacing w:val="-1"/>
                <w:sz w:val="18"/>
              </w:rPr>
              <w:t>161,606,607</w:t>
            </w:r>
          </w:p>
        </w:tc>
      </w:tr>
      <w:tr>
        <w:trPr>
          <w:trHeight w:val="254" w:hRule="exact"/>
        </w:trPr>
        <w:tc>
          <w:tcPr>
            <w:tcW w:w="2520" w:type="dxa"/>
            <w:tcBorders>
              <w:top w:val="single" w:sz="6" w:space="0" w:color="000000"/>
              <w:left w:val="single" w:sz="6" w:space="0" w:color="000000"/>
              <w:bottom w:val="single" w:sz="6" w:space="0" w:color="000000"/>
              <w:right w:val="single" w:sz="6" w:space="0" w:color="000000"/>
            </w:tcBorders>
          </w:tcPr>
          <w:p>
            <w:pPr/>
          </w:p>
        </w:tc>
        <w:tc>
          <w:tcPr>
            <w:tcW w:w="1147" w:type="dxa"/>
            <w:tcBorders>
              <w:top w:val="single" w:sz="6" w:space="0" w:color="000000"/>
              <w:left w:val="single" w:sz="6" w:space="0" w:color="000000"/>
              <w:bottom w:val="single" w:sz="6" w:space="0" w:color="000000"/>
              <w:right w:val="single" w:sz="6" w:space="0" w:color="000000"/>
            </w:tcBorders>
          </w:tcPr>
          <w:p>
            <w:pPr/>
          </w:p>
        </w:tc>
        <w:tc>
          <w:tcPr>
            <w:tcW w:w="1694"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51" w:type="dxa"/>
            <w:tcBorders>
              <w:top w:val="single" w:sz="6" w:space="0" w:color="000000"/>
              <w:left w:val="single" w:sz="6" w:space="0" w:color="000000"/>
              <w:bottom w:val="single" w:sz="6" w:space="0" w:color="000000"/>
              <w:right w:val="single" w:sz="6" w:space="0" w:color="000000"/>
            </w:tcBorders>
          </w:tcPr>
          <w:p>
            <w:pPr/>
          </w:p>
        </w:tc>
        <w:tc>
          <w:tcPr>
            <w:tcW w:w="1722" w:type="dxa"/>
            <w:tcBorders>
              <w:top w:val="single" w:sz="6" w:space="0" w:color="000000"/>
              <w:left w:val="single" w:sz="6" w:space="0" w:color="000000"/>
              <w:bottom w:val="single" w:sz="6" w:space="0" w:color="000000"/>
              <w:right w:val="single" w:sz="6" w:space="0" w:color="000000"/>
            </w:tcBorders>
          </w:tcPr>
          <w:p>
            <w:pPr/>
          </w:p>
        </w:tc>
      </w:tr>
      <w:tr>
        <w:trPr>
          <w:trHeight w:val="256"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1" w:right="0"/>
              <w:jc w:val="left"/>
              <w:rPr>
                <w:rFonts w:ascii="黑体" w:hAnsi="黑体" w:cs="黑体" w:eastAsia="黑体" w:hint="default"/>
                <w:sz w:val="18"/>
                <w:szCs w:val="18"/>
              </w:rPr>
            </w:pPr>
            <w:r>
              <w:rPr>
                <w:rFonts w:ascii="黑体" w:hAnsi="黑体" w:cs="黑体" w:eastAsia="黑体" w:hint="default"/>
                <w:sz w:val="18"/>
                <w:szCs w:val="18"/>
              </w:rPr>
              <w:t>非流动资产</w:t>
            </w:r>
          </w:p>
        </w:tc>
        <w:tc>
          <w:tcPr>
            <w:tcW w:w="1147" w:type="dxa"/>
            <w:tcBorders>
              <w:top w:val="single" w:sz="6" w:space="0" w:color="000000"/>
              <w:left w:val="single" w:sz="6" w:space="0" w:color="000000"/>
              <w:bottom w:val="single" w:sz="6" w:space="0" w:color="000000"/>
              <w:right w:val="single" w:sz="6" w:space="0" w:color="000000"/>
            </w:tcBorders>
          </w:tcPr>
          <w:p>
            <w:pPr/>
          </w:p>
        </w:tc>
        <w:tc>
          <w:tcPr>
            <w:tcW w:w="1694"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51" w:type="dxa"/>
            <w:tcBorders>
              <w:top w:val="single" w:sz="6" w:space="0" w:color="000000"/>
              <w:left w:val="single" w:sz="6" w:space="0" w:color="000000"/>
              <w:bottom w:val="single" w:sz="6" w:space="0" w:color="000000"/>
              <w:right w:val="single" w:sz="6" w:space="0" w:color="000000"/>
            </w:tcBorders>
          </w:tcPr>
          <w:p>
            <w:pPr/>
          </w:p>
        </w:tc>
        <w:tc>
          <w:tcPr>
            <w:tcW w:w="1722" w:type="dxa"/>
            <w:tcBorders>
              <w:top w:val="single" w:sz="6" w:space="0" w:color="000000"/>
              <w:left w:val="single" w:sz="6" w:space="0" w:color="000000"/>
              <w:bottom w:val="single" w:sz="6" w:space="0" w:color="000000"/>
              <w:right w:val="single" w:sz="6" w:space="0" w:color="000000"/>
            </w:tcBorders>
          </w:tcPr>
          <w:p>
            <w:pPr/>
          </w:p>
        </w:tc>
      </w:tr>
      <w:tr>
        <w:trPr>
          <w:trHeight w:val="254"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35"/>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(7)</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49"/>
              <w:jc w:val="right"/>
              <w:rPr>
                <w:rFonts w:ascii="Arial" w:hAnsi="Arial" w:cs="Arial" w:eastAsia="Arial" w:hint="default"/>
                <w:sz w:val="18"/>
                <w:szCs w:val="18"/>
              </w:rPr>
            </w:pPr>
            <w:r>
              <w:rPr>
                <w:rFonts w:ascii="Arial"/>
                <w:spacing w:val="-1"/>
                <w:sz w:val="18"/>
              </w:rPr>
              <w:t>7,976,911,996</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3"/>
              <w:jc w:val="right"/>
              <w:rPr>
                <w:rFonts w:ascii="Arial" w:hAnsi="Arial" w:cs="Arial" w:eastAsia="Arial" w:hint="default"/>
                <w:sz w:val="18"/>
                <w:szCs w:val="18"/>
              </w:rPr>
            </w:pPr>
            <w:r>
              <w:rPr>
                <w:rFonts w:ascii="Arial"/>
                <w:spacing w:val="-1"/>
                <w:sz w:val="18"/>
              </w:rPr>
              <w:t>95,115,992</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8"/>
              <w:jc w:val="right"/>
              <w:rPr>
                <w:rFonts w:ascii="Arial" w:hAnsi="Arial" w:cs="Arial" w:eastAsia="Arial" w:hint="default"/>
                <w:sz w:val="18"/>
                <w:szCs w:val="18"/>
              </w:rPr>
            </w:pPr>
            <w:r>
              <w:rPr>
                <w:rFonts w:ascii="Arial"/>
                <w:w w:val="99"/>
                <w:sz w:val="18"/>
              </w:rPr>
              <w:t>-</w:t>
            </w:r>
            <w:r>
              <w:rPr>
                <w:rFonts w:ascii="Arial"/>
                <w:sz w:val="18"/>
              </w:rPr>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5"/>
              <w:jc w:val="right"/>
              <w:rPr>
                <w:rFonts w:ascii="Arial" w:hAnsi="Arial" w:cs="Arial" w:eastAsia="Arial" w:hint="default"/>
                <w:sz w:val="18"/>
                <w:szCs w:val="18"/>
              </w:rPr>
            </w:pPr>
            <w:r>
              <w:rPr>
                <w:rFonts w:ascii="Arial"/>
                <w:w w:val="99"/>
                <w:sz w:val="18"/>
              </w:rPr>
              <w:t>-</w:t>
            </w:r>
            <w:r>
              <w:rPr>
                <w:rFonts w:ascii="Arial"/>
                <w:sz w:val="18"/>
              </w:rPr>
            </w:r>
          </w:p>
        </w:tc>
      </w:tr>
      <w:tr>
        <w:trPr>
          <w:trHeight w:val="256"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(8),</w:t>
            </w:r>
            <w:r>
              <w:rPr>
                <w:rFonts w:ascii="宋体" w:hAnsi="宋体" w:cs="宋体" w:eastAsia="宋体" w:hint="default"/>
                <w:sz w:val="18"/>
                <w:szCs w:val="18"/>
              </w:rPr>
              <w:t>十七</w:t>
            </w:r>
            <w:r>
              <w:rPr>
                <w:rFonts w:ascii="Arial" w:hAnsi="Arial" w:cs="Arial" w:eastAsia="Arial" w:hint="default"/>
                <w:sz w:val="18"/>
                <w:szCs w:val="18"/>
              </w:rPr>
              <w:t>(3)</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48"/>
              <w:jc w:val="right"/>
              <w:rPr>
                <w:rFonts w:ascii="Arial" w:hAnsi="Arial" w:cs="Arial" w:eastAsia="Arial" w:hint="default"/>
                <w:sz w:val="18"/>
                <w:szCs w:val="18"/>
              </w:rPr>
            </w:pPr>
            <w:r>
              <w:rPr>
                <w:rFonts w:ascii="Arial"/>
                <w:spacing w:val="-1"/>
                <w:sz w:val="18"/>
              </w:rPr>
              <w:t>15,000,000</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3"/>
              <w:jc w:val="right"/>
              <w:rPr>
                <w:rFonts w:ascii="Arial" w:hAnsi="Arial" w:cs="Arial" w:eastAsia="Arial" w:hint="default"/>
                <w:sz w:val="18"/>
                <w:szCs w:val="18"/>
              </w:rPr>
            </w:pPr>
            <w:r>
              <w:rPr>
                <w:rFonts w:ascii="Arial"/>
                <w:spacing w:val="-1"/>
                <w:sz w:val="18"/>
              </w:rPr>
              <w:t>20,542,073</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8"/>
              <w:jc w:val="right"/>
              <w:rPr>
                <w:rFonts w:ascii="Arial" w:hAnsi="Arial" w:cs="Arial" w:eastAsia="Arial" w:hint="default"/>
                <w:sz w:val="18"/>
                <w:szCs w:val="18"/>
              </w:rPr>
            </w:pPr>
            <w:r>
              <w:rPr>
                <w:rFonts w:ascii="Arial"/>
                <w:spacing w:val="-1"/>
                <w:sz w:val="18"/>
              </w:rPr>
              <w:t>38,538,133,791</w:t>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6"/>
              <w:jc w:val="right"/>
              <w:rPr>
                <w:rFonts w:ascii="Arial" w:hAnsi="Arial" w:cs="Arial" w:eastAsia="Arial" w:hint="default"/>
                <w:sz w:val="18"/>
                <w:szCs w:val="18"/>
              </w:rPr>
            </w:pPr>
            <w:r>
              <w:rPr>
                <w:rFonts w:ascii="Arial"/>
                <w:spacing w:val="-1"/>
                <w:sz w:val="18"/>
              </w:rPr>
              <w:t>38,538,133,791</w:t>
            </w:r>
          </w:p>
        </w:tc>
      </w:tr>
      <w:tr>
        <w:trPr>
          <w:trHeight w:val="254"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35"/>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(9)</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48"/>
              <w:jc w:val="right"/>
              <w:rPr>
                <w:rFonts w:ascii="Arial" w:hAnsi="Arial" w:cs="Arial" w:eastAsia="Arial" w:hint="default"/>
                <w:sz w:val="18"/>
                <w:szCs w:val="18"/>
              </w:rPr>
            </w:pPr>
            <w:r>
              <w:rPr>
                <w:rFonts w:ascii="Arial"/>
                <w:spacing w:val="-1"/>
                <w:sz w:val="18"/>
              </w:rPr>
              <w:t>285,035,422,340</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3"/>
              <w:jc w:val="right"/>
              <w:rPr>
                <w:rFonts w:ascii="Arial" w:hAnsi="Arial" w:cs="Arial" w:eastAsia="Arial" w:hint="default"/>
                <w:sz w:val="18"/>
                <w:szCs w:val="18"/>
              </w:rPr>
            </w:pPr>
            <w:r>
              <w:rPr>
                <w:rFonts w:ascii="Arial"/>
                <w:spacing w:val="-1"/>
                <w:sz w:val="18"/>
              </w:rPr>
              <w:t>242,767,387,828</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8"/>
              <w:jc w:val="right"/>
              <w:rPr>
                <w:rFonts w:ascii="Arial" w:hAnsi="Arial" w:cs="Arial" w:eastAsia="Arial" w:hint="default"/>
                <w:sz w:val="18"/>
                <w:szCs w:val="18"/>
              </w:rPr>
            </w:pPr>
            <w:r>
              <w:rPr>
                <w:rFonts w:ascii="Arial"/>
                <w:spacing w:val="-1"/>
                <w:sz w:val="18"/>
              </w:rPr>
              <w:t>5,898,094</w:t>
            </w:r>
            <w:r>
              <w:rPr>
                <w:rFonts w:ascii="Arial"/>
                <w:sz w:val="18"/>
              </w:rPr>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5"/>
              <w:jc w:val="right"/>
              <w:rPr>
                <w:rFonts w:ascii="Arial" w:hAnsi="Arial" w:cs="Arial" w:eastAsia="Arial" w:hint="default"/>
                <w:sz w:val="18"/>
                <w:szCs w:val="18"/>
              </w:rPr>
            </w:pPr>
            <w:r>
              <w:rPr>
                <w:rFonts w:ascii="Arial"/>
                <w:spacing w:val="-1"/>
                <w:sz w:val="18"/>
              </w:rPr>
              <w:t>6,073,296</w:t>
            </w:r>
          </w:p>
        </w:tc>
      </w:tr>
      <w:tr>
        <w:trPr>
          <w:trHeight w:val="256"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37"/>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(10)</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48"/>
              <w:jc w:val="right"/>
              <w:rPr>
                <w:rFonts w:ascii="Arial" w:hAnsi="Arial" w:cs="Arial" w:eastAsia="Arial" w:hint="default"/>
                <w:sz w:val="18"/>
                <w:szCs w:val="18"/>
              </w:rPr>
            </w:pPr>
            <w:r>
              <w:rPr>
                <w:rFonts w:ascii="Arial"/>
                <w:spacing w:val="-1"/>
                <w:sz w:val="18"/>
              </w:rPr>
              <w:t>57,843,899,232</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3"/>
              <w:jc w:val="right"/>
              <w:rPr>
                <w:rFonts w:ascii="Arial" w:hAnsi="Arial" w:cs="Arial" w:eastAsia="Arial" w:hint="default"/>
                <w:sz w:val="18"/>
                <w:szCs w:val="18"/>
              </w:rPr>
            </w:pPr>
            <w:r>
              <w:rPr>
                <w:rFonts w:ascii="Arial"/>
                <w:spacing w:val="-1"/>
                <w:sz w:val="18"/>
              </w:rPr>
              <w:t>35,806,073,782</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8"/>
              <w:jc w:val="right"/>
              <w:rPr>
                <w:rFonts w:ascii="Arial" w:hAnsi="Arial" w:cs="Arial" w:eastAsia="Arial" w:hint="default"/>
                <w:sz w:val="18"/>
                <w:szCs w:val="18"/>
              </w:rPr>
            </w:pPr>
            <w:r>
              <w:rPr>
                <w:rFonts w:ascii="Arial"/>
                <w:w w:val="99"/>
                <w:sz w:val="18"/>
              </w:rPr>
              <w:t>-</w:t>
            </w:r>
            <w:r>
              <w:rPr>
                <w:rFonts w:ascii="Arial"/>
                <w:sz w:val="18"/>
              </w:rPr>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5"/>
              <w:jc w:val="right"/>
              <w:rPr>
                <w:rFonts w:ascii="Arial" w:hAnsi="Arial" w:cs="Arial" w:eastAsia="Arial" w:hint="default"/>
                <w:sz w:val="18"/>
                <w:szCs w:val="18"/>
              </w:rPr>
            </w:pPr>
            <w:r>
              <w:rPr>
                <w:rFonts w:ascii="Arial"/>
                <w:w w:val="99"/>
                <w:sz w:val="18"/>
              </w:rPr>
              <w:t>-</w:t>
            </w:r>
            <w:r>
              <w:rPr>
                <w:rFonts w:ascii="Arial"/>
                <w:sz w:val="18"/>
              </w:rPr>
            </w:r>
          </w:p>
        </w:tc>
      </w:tr>
      <w:tr>
        <w:trPr>
          <w:trHeight w:val="254"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37"/>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(11)</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50"/>
              <w:jc w:val="right"/>
              <w:rPr>
                <w:rFonts w:ascii="Arial" w:hAnsi="Arial" w:cs="Arial" w:eastAsia="Arial" w:hint="default"/>
                <w:sz w:val="18"/>
                <w:szCs w:val="18"/>
              </w:rPr>
            </w:pPr>
            <w:r>
              <w:rPr>
                <w:rFonts w:ascii="Arial"/>
                <w:spacing w:val="-1"/>
                <w:sz w:val="18"/>
              </w:rPr>
              <w:t>6,291,784,814</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4"/>
              <w:jc w:val="right"/>
              <w:rPr>
                <w:rFonts w:ascii="Arial" w:hAnsi="Arial" w:cs="Arial" w:eastAsia="Arial" w:hint="default"/>
                <w:sz w:val="18"/>
                <w:szCs w:val="18"/>
              </w:rPr>
            </w:pPr>
            <w:r>
              <w:rPr>
                <w:rFonts w:ascii="Arial"/>
                <w:spacing w:val="-1"/>
                <w:sz w:val="18"/>
              </w:rPr>
              <w:t>5,022,519,195</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7"/>
              <w:jc w:val="right"/>
              <w:rPr>
                <w:rFonts w:ascii="Arial" w:hAnsi="Arial" w:cs="Arial" w:eastAsia="Arial" w:hint="default"/>
                <w:sz w:val="18"/>
                <w:szCs w:val="18"/>
              </w:rPr>
            </w:pPr>
            <w:r>
              <w:rPr>
                <w:rFonts w:ascii="Arial"/>
                <w:w w:val="99"/>
                <w:sz w:val="18"/>
              </w:rPr>
              <w:t>-</w:t>
            </w:r>
            <w:r>
              <w:rPr>
                <w:rFonts w:ascii="Arial"/>
                <w:sz w:val="18"/>
              </w:rPr>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5"/>
              <w:jc w:val="right"/>
              <w:rPr>
                <w:rFonts w:ascii="Arial" w:hAnsi="Arial" w:cs="Arial" w:eastAsia="Arial" w:hint="default"/>
                <w:sz w:val="18"/>
                <w:szCs w:val="18"/>
              </w:rPr>
            </w:pPr>
            <w:r>
              <w:rPr>
                <w:rFonts w:ascii="Arial"/>
                <w:w w:val="99"/>
                <w:sz w:val="18"/>
              </w:rPr>
              <w:t>-</w:t>
            </w:r>
            <w:r>
              <w:rPr>
                <w:rFonts w:ascii="Arial"/>
                <w:sz w:val="18"/>
              </w:rPr>
            </w:r>
          </w:p>
        </w:tc>
      </w:tr>
      <w:tr>
        <w:trPr>
          <w:trHeight w:val="256"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37"/>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(12)</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48"/>
              <w:jc w:val="right"/>
              <w:rPr>
                <w:rFonts w:ascii="Arial" w:hAnsi="Arial" w:cs="Arial" w:eastAsia="Arial" w:hint="default"/>
                <w:sz w:val="18"/>
                <w:szCs w:val="18"/>
              </w:rPr>
            </w:pPr>
            <w:r>
              <w:rPr>
                <w:rFonts w:ascii="Arial"/>
                <w:spacing w:val="-1"/>
                <w:sz w:val="18"/>
              </w:rPr>
              <w:t>19,645,275,246</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2"/>
              <w:jc w:val="right"/>
              <w:rPr>
                <w:rFonts w:ascii="Arial" w:hAnsi="Arial" w:cs="Arial" w:eastAsia="Arial" w:hint="default"/>
                <w:sz w:val="18"/>
                <w:szCs w:val="18"/>
              </w:rPr>
            </w:pPr>
            <w:r>
              <w:rPr>
                <w:rFonts w:ascii="Arial"/>
                <w:spacing w:val="-1"/>
                <w:sz w:val="18"/>
              </w:rPr>
              <w:t>18,680,657,534</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7"/>
              <w:jc w:val="right"/>
              <w:rPr>
                <w:rFonts w:ascii="Arial" w:hAnsi="Arial" w:cs="Arial" w:eastAsia="Arial" w:hint="default"/>
                <w:sz w:val="18"/>
                <w:szCs w:val="18"/>
              </w:rPr>
            </w:pPr>
            <w:r>
              <w:rPr>
                <w:rFonts w:ascii="Arial"/>
                <w:spacing w:val="-1"/>
                <w:sz w:val="18"/>
              </w:rPr>
              <w:t>11,247,662</w:t>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5"/>
              <w:jc w:val="right"/>
              <w:rPr>
                <w:rFonts w:ascii="Arial" w:hAnsi="Arial" w:cs="Arial" w:eastAsia="Arial" w:hint="default"/>
                <w:sz w:val="18"/>
                <w:szCs w:val="18"/>
              </w:rPr>
            </w:pPr>
            <w:r>
              <w:rPr>
                <w:rFonts w:ascii="Arial"/>
                <w:spacing w:val="-1"/>
                <w:sz w:val="18"/>
              </w:rPr>
              <w:t>11,495,769</w:t>
            </w:r>
          </w:p>
        </w:tc>
      </w:tr>
      <w:tr>
        <w:trPr>
          <w:trHeight w:val="254"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37"/>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(13)</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50"/>
              <w:jc w:val="right"/>
              <w:rPr>
                <w:rFonts w:ascii="Arial" w:hAnsi="Arial" w:cs="Arial" w:eastAsia="Arial" w:hint="default"/>
                <w:sz w:val="18"/>
                <w:szCs w:val="18"/>
              </w:rPr>
            </w:pPr>
            <w:r>
              <w:rPr>
                <w:rFonts w:ascii="Arial"/>
                <w:spacing w:val="-1"/>
                <w:sz w:val="18"/>
              </w:rPr>
              <w:t>7,620,496,398</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4"/>
              <w:jc w:val="right"/>
              <w:rPr>
                <w:rFonts w:ascii="Arial" w:hAnsi="Arial" w:cs="Arial" w:eastAsia="Arial" w:hint="default"/>
                <w:sz w:val="18"/>
                <w:szCs w:val="18"/>
              </w:rPr>
            </w:pPr>
            <w:r>
              <w:rPr>
                <w:rFonts w:ascii="Arial"/>
                <w:spacing w:val="-1"/>
                <w:sz w:val="18"/>
              </w:rPr>
              <w:t>6,111,687,818</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7"/>
              <w:jc w:val="right"/>
              <w:rPr>
                <w:rFonts w:ascii="Arial" w:hAnsi="Arial" w:cs="Arial" w:eastAsia="Arial" w:hint="default"/>
                <w:sz w:val="18"/>
                <w:szCs w:val="18"/>
              </w:rPr>
            </w:pPr>
            <w:r>
              <w:rPr>
                <w:rFonts w:ascii="Arial"/>
                <w:w w:val="99"/>
                <w:sz w:val="18"/>
              </w:rPr>
              <w:t>-</w:t>
            </w:r>
            <w:r>
              <w:rPr>
                <w:rFonts w:ascii="Arial"/>
                <w:sz w:val="18"/>
              </w:rPr>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5"/>
              <w:jc w:val="right"/>
              <w:rPr>
                <w:rFonts w:ascii="Arial" w:hAnsi="Arial" w:cs="Arial" w:eastAsia="Arial" w:hint="default"/>
                <w:sz w:val="18"/>
                <w:szCs w:val="18"/>
              </w:rPr>
            </w:pPr>
            <w:r>
              <w:rPr>
                <w:rFonts w:ascii="Arial"/>
                <w:w w:val="99"/>
                <w:sz w:val="18"/>
              </w:rPr>
              <w:t>-</w:t>
            </w:r>
            <w:r>
              <w:rPr>
                <w:rFonts w:ascii="Arial"/>
                <w:sz w:val="18"/>
              </w:rPr>
            </w:r>
          </w:p>
        </w:tc>
      </w:tr>
      <w:tr>
        <w:trPr>
          <w:trHeight w:val="266"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23" w:lineRule="exact"/>
              <w:ind w:left="27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147" w:type="dxa"/>
            <w:tcBorders>
              <w:top w:val="single" w:sz="6" w:space="0" w:color="000000"/>
              <w:left w:val="single" w:sz="6" w:space="0" w:color="000000"/>
              <w:bottom w:val="single" w:sz="6" w:space="0" w:color="000000"/>
              <w:right w:val="single" w:sz="6" w:space="0" w:color="000000"/>
            </w:tcBorders>
          </w:tcPr>
          <w:p>
            <w:pPr>
              <w:pStyle w:val="TableParagraph"/>
              <w:spacing w:line="236" w:lineRule="exact"/>
              <w:ind w:right="136"/>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(45)(3)</w:t>
            </w: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50"/>
              <w:jc w:val="right"/>
              <w:rPr>
                <w:rFonts w:ascii="Arial" w:hAnsi="Arial" w:cs="Arial" w:eastAsia="Arial" w:hint="default"/>
                <w:sz w:val="18"/>
                <w:szCs w:val="18"/>
              </w:rPr>
            </w:pPr>
            <w:r>
              <w:rPr>
                <w:rFonts w:ascii="Arial"/>
                <w:spacing w:val="-1"/>
                <w:sz w:val="18"/>
              </w:rPr>
              <w:t>4,080,756,622</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104"/>
              <w:jc w:val="right"/>
              <w:rPr>
                <w:rFonts w:ascii="Arial" w:hAnsi="Arial" w:cs="Arial" w:eastAsia="Arial" w:hint="default"/>
                <w:sz w:val="18"/>
                <w:szCs w:val="18"/>
              </w:rPr>
            </w:pPr>
            <w:r>
              <w:rPr>
                <w:rFonts w:ascii="Arial"/>
                <w:spacing w:val="-1"/>
                <w:sz w:val="18"/>
              </w:rPr>
              <w:t>4,307,239,150</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97"/>
              <w:jc w:val="right"/>
              <w:rPr>
                <w:rFonts w:ascii="Arial" w:hAnsi="Arial" w:cs="Arial" w:eastAsia="Arial" w:hint="default"/>
                <w:sz w:val="18"/>
                <w:szCs w:val="18"/>
              </w:rPr>
            </w:pPr>
            <w:r>
              <w:rPr>
                <w:rFonts w:ascii="Arial"/>
                <w:w w:val="99"/>
                <w:sz w:val="18"/>
              </w:rPr>
              <w:t>-</w:t>
            </w:r>
            <w:r>
              <w:rPr>
                <w:rFonts w:ascii="Arial"/>
                <w:sz w:val="18"/>
              </w:rPr>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right="75"/>
              <w:jc w:val="right"/>
              <w:rPr>
                <w:rFonts w:ascii="Arial" w:hAnsi="Arial" w:cs="Arial" w:eastAsia="Arial" w:hint="default"/>
                <w:sz w:val="18"/>
                <w:szCs w:val="18"/>
              </w:rPr>
            </w:pPr>
            <w:r>
              <w:rPr>
                <w:rFonts w:ascii="Arial"/>
                <w:w w:val="99"/>
                <w:sz w:val="18"/>
              </w:rPr>
              <w:t>-</w:t>
            </w:r>
            <w:r>
              <w:rPr>
                <w:rFonts w:ascii="Arial"/>
                <w:sz w:val="18"/>
              </w:rPr>
            </w:r>
          </w:p>
        </w:tc>
      </w:tr>
      <w:tr>
        <w:trPr>
          <w:trHeight w:val="254"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1" w:right="0"/>
              <w:jc w:val="left"/>
              <w:rPr>
                <w:rFonts w:ascii="黑体" w:hAnsi="黑体" w:cs="黑体" w:eastAsia="黑体" w:hint="default"/>
                <w:sz w:val="18"/>
                <w:szCs w:val="18"/>
              </w:rPr>
            </w:pPr>
            <w:r>
              <w:rPr>
                <w:rFonts w:ascii="黑体" w:hAnsi="黑体" w:cs="黑体" w:eastAsia="黑体" w:hint="default"/>
                <w:sz w:val="18"/>
                <w:szCs w:val="18"/>
              </w:rPr>
              <w:t>非流动资产合计</w:t>
            </w:r>
          </w:p>
        </w:tc>
        <w:tc>
          <w:tcPr>
            <w:tcW w:w="1147" w:type="dxa"/>
            <w:tcBorders>
              <w:top w:val="single" w:sz="6" w:space="0" w:color="000000"/>
              <w:left w:val="single" w:sz="6" w:space="0" w:color="000000"/>
              <w:bottom w:val="single" w:sz="6" w:space="0" w:color="000000"/>
              <w:right w:val="single" w:sz="6" w:space="0" w:color="000000"/>
            </w:tcBorders>
          </w:tcPr>
          <w:p>
            <w:pP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48"/>
              <w:jc w:val="right"/>
              <w:rPr>
                <w:rFonts w:ascii="Arial" w:hAnsi="Arial" w:cs="Arial" w:eastAsia="Arial" w:hint="default"/>
                <w:sz w:val="18"/>
                <w:szCs w:val="18"/>
              </w:rPr>
            </w:pPr>
            <w:r>
              <w:rPr>
                <w:rFonts w:ascii="Arial"/>
                <w:spacing w:val="-1"/>
                <w:sz w:val="18"/>
              </w:rPr>
              <w:t>388,509,546,648</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3"/>
              <w:jc w:val="right"/>
              <w:rPr>
                <w:rFonts w:ascii="Arial" w:hAnsi="Arial" w:cs="Arial" w:eastAsia="Arial" w:hint="default"/>
                <w:sz w:val="18"/>
                <w:szCs w:val="18"/>
              </w:rPr>
            </w:pPr>
            <w:r>
              <w:rPr>
                <w:rFonts w:ascii="Arial"/>
                <w:spacing w:val="-1"/>
                <w:sz w:val="18"/>
              </w:rPr>
              <w:t>312,811,223,372</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7"/>
              <w:jc w:val="right"/>
              <w:rPr>
                <w:rFonts w:ascii="Arial" w:hAnsi="Arial" w:cs="Arial" w:eastAsia="Arial" w:hint="default"/>
                <w:sz w:val="18"/>
                <w:szCs w:val="18"/>
              </w:rPr>
            </w:pPr>
            <w:r>
              <w:rPr>
                <w:rFonts w:ascii="Arial"/>
                <w:spacing w:val="-1"/>
                <w:sz w:val="18"/>
              </w:rPr>
              <w:t>38,555,279,547</w:t>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5"/>
              <w:jc w:val="right"/>
              <w:rPr>
                <w:rFonts w:ascii="Arial" w:hAnsi="Arial" w:cs="Arial" w:eastAsia="Arial" w:hint="default"/>
                <w:sz w:val="18"/>
                <w:szCs w:val="18"/>
              </w:rPr>
            </w:pPr>
            <w:r>
              <w:rPr>
                <w:rFonts w:ascii="Arial"/>
                <w:spacing w:val="-1"/>
                <w:sz w:val="18"/>
              </w:rPr>
              <w:t>38,555,702,856</w:t>
            </w:r>
          </w:p>
        </w:tc>
      </w:tr>
      <w:tr>
        <w:trPr>
          <w:trHeight w:val="256" w:hRule="exact"/>
        </w:trPr>
        <w:tc>
          <w:tcPr>
            <w:tcW w:w="2520" w:type="dxa"/>
            <w:tcBorders>
              <w:top w:val="single" w:sz="6" w:space="0" w:color="000000"/>
              <w:left w:val="single" w:sz="6" w:space="0" w:color="000000"/>
              <w:bottom w:val="single" w:sz="6" w:space="0" w:color="000000"/>
              <w:right w:val="single" w:sz="6" w:space="0" w:color="000000"/>
            </w:tcBorders>
          </w:tcPr>
          <w:p>
            <w:pPr/>
          </w:p>
        </w:tc>
        <w:tc>
          <w:tcPr>
            <w:tcW w:w="1147" w:type="dxa"/>
            <w:tcBorders>
              <w:top w:val="single" w:sz="6" w:space="0" w:color="000000"/>
              <w:left w:val="single" w:sz="6" w:space="0" w:color="000000"/>
              <w:bottom w:val="single" w:sz="6" w:space="0" w:color="000000"/>
              <w:right w:val="single" w:sz="6" w:space="0" w:color="000000"/>
            </w:tcBorders>
          </w:tcPr>
          <w:p>
            <w:pPr/>
          </w:p>
        </w:tc>
        <w:tc>
          <w:tcPr>
            <w:tcW w:w="1694" w:type="dxa"/>
            <w:tcBorders>
              <w:top w:val="single" w:sz="6" w:space="0" w:color="000000"/>
              <w:left w:val="single" w:sz="6" w:space="0" w:color="000000"/>
              <w:bottom w:val="single" w:sz="6" w:space="0" w:color="000000"/>
              <w:right w:val="single" w:sz="6" w:space="0" w:color="000000"/>
            </w:tcBorders>
          </w:tcPr>
          <w:p>
            <w:pPr/>
          </w:p>
        </w:tc>
        <w:tc>
          <w:tcPr>
            <w:tcW w:w="1750" w:type="dxa"/>
            <w:tcBorders>
              <w:top w:val="single" w:sz="6" w:space="0" w:color="000000"/>
              <w:left w:val="single" w:sz="6" w:space="0" w:color="000000"/>
              <w:bottom w:val="single" w:sz="6" w:space="0" w:color="000000"/>
              <w:right w:val="single" w:sz="6" w:space="0" w:color="000000"/>
            </w:tcBorders>
          </w:tcPr>
          <w:p>
            <w:pPr/>
          </w:p>
        </w:tc>
        <w:tc>
          <w:tcPr>
            <w:tcW w:w="1651" w:type="dxa"/>
            <w:tcBorders>
              <w:top w:val="single" w:sz="6" w:space="0" w:color="000000"/>
              <w:left w:val="single" w:sz="6" w:space="0" w:color="000000"/>
              <w:bottom w:val="single" w:sz="6" w:space="0" w:color="000000"/>
              <w:right w:val="single" w:sz="6" w:space="0" w:color="000000"/>
            </w:tcBorders>
          </w:tcPr>
          <w:p>
            <w:pPr/>
          </w:p>
        </w:tc>
        <w:tc>
          <w:tcPr>
            <w:tcW w:w="1722" w:type="dxa"/>
            <w:tcBorders>
              <w:top w:val="single" w:sz="6" w:space="0" w:color="000000"/>
              <w:left w:val="single" w:sz="6" w:space="0" w:color="000000"/>
              <w:bottom w:val="single" w:sz="6" w:space="0" w:color="000000"/>
              <w:right w:val="single" w:sz="6" w:space="0" w:color="000000"/>
            </w:tcBorders>
          </w:tcPr>
          <w:p>
            <w:pPr/>
          </w:p>
        </w:tc>
      </w:tr>
      <w:tr>
        <w:trPr>
          <w:trHeight w:val="254"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1" w:right="0"/>
              <w:jc w:val="left"/>
              <w:rPr>
                <w:rFonts w:ascii="黑体" w:hAnsi="黑体" w:cs="黑体" w:eastAsia="黑体" w:hint="default"/>
                <w:sz w:val="18"/>
                <w:szCs w:val="18"/>
              </w:rPr>
            </w:pPr>
            <w:r>
              <w:rPr>
                <w:rFonts w:ascii="黑体" w:hAnsi="黑体" w:cs="黑体" w:eastAsia="黑体" w:hint="default"/>
                <w:sz w:val="18"/>
                <w:szCs w:val="18"/>
              </w:rPr>
              <w:t>资产总计</w:t>
            </w:r>
          </w:p>
        </w:tc>
        <w:tc>
          <w:tcPr>
            <w:tcW w:w="1147" w:type="dxa"/>
            <w:tcBorders>
              <w:top w:val="single" w:sz="6" w:space="0" w:color="000000"/>
              <w:left w:val="single" w:sz="6" w:space="0" w:color="000000"/>
              <w:bottom w:val="single" w:sz="6" w:space="0" w:color="000000"/>
              <w:right w:val="single" w:sz="6" w:space="0" w:color="000000"/>
            </w:tcBorders>
          </w:tcPr>
          <w:p>
            <w:pPr/>
          </w:p>
        </w:tc>
        <w:tc>
          <w:tcPr>
            <w:tcW w:w="1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48"/>
              <w:jc w:val="right"/>
              <w:rPr>
                <w:rFonts w:ascii="Arial" w:hAnsi="Arial" w:cs="Arial" w:eastAsia="Arial" w:hint="default"/>
                <w:sz w:val="18"/>
                <w:szCs w:val="18"/>
              </w:rPr>
            </w:pPr>
            <w:r>
              <w:rPr>
                <w:rFonts w:ascii="Arial"/>
                <w:spacing w:val="-1"/>
                <w:sz w:val="18"/>
              </w:rPr>
              <w:t>419,232,296,909</w:t>
            </w:r>
          </w:p>
        </w:tc>
        <w:tc>
          <w:tcPr>
            <w:tcW w:w="17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3"/>
              <w:jc w:val="right"/>
              <w:rPr>
                <w:rFonts w:ascii="Arial" w:hAnsi="Arial" w:cs="Arial" w:eastAsia="Arial" w:hint="default"/>
                <w:sz w:val="18"/>
                <w:szCs w:val="18"/>
              </w:rPr>
            </w:pPr>
            <w:r>
              <w:rPr>
                <w:rFonts w:ascii="Arial"/>
                <w:spacing w:val="-1"/>
                <w:sz w:val="18"/>
              </w:rPr>
              <w:t>351,847,143,522</w:t>
            </w:r>
          </w:p>
        </w:tc>
        <w:tc>
          <w:tcPr>
            <w:tcW w:w="16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7"/>
              <w:jc w:val="right"/>
              <w:rPr>
                <w:rFonts w:ascii="Arial" w:hAnsi="Arial" w:cs="Arial" w:eastAsia="Arial" w:hint="default"/>
                <w:sz w:val="18"/>
                <w:szCs w:val="18"/>
              </w:rPr>
            </w:pPr>
            <w:r>
              <w:rPr>
                <w:rFonts w:ascii="Arial"/>
                <w:spacing w:val="-1"/>
                <w:sz w:val="18"/>
              </w:rPr>
              <w:t>38,876,176,778</w:t>
            </w:r>
          </w:p>
        </w:tc>
        <w:tc>
          <w:tcPr>
            <w:tcW w:w="17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75"/>
              <w:jc w:val="right"/>
              <w:rPr>
                <w:rFonts w:ascii="Arial" w:hAnsi="Arial" w:cs="Arial" w:eastAsia="Arial" w:hint="default"/>
                <w:sz w:val="18"/>
                <w:szCs w:val="18"/>
              </w:rPr>
            </w:pPr>
            <w:r>
              <w:rPr>
                <w:rFonts w:ascii="Arial"/>
                <w:spacing w:val="-1"/>
                <w:sz w:val="18"/>
              </w:rPr>
              <w:t>38,717,309,463</w:t>
            </w:r>
          </w:p>
        </w:tc>
      </w:tr>
    </w:tbl>
    <w:p>
      <w:pPr>
        <w:spacing w:after="0" w:line="240" w:lineRule="auto"/>
        <w:jc w:val="right"/>
        <w:rPr>
          <w:rFonts w:ascii="Arial" w:hAnsi="Arial" w:cs="Arial" w:eastAsia="Arial" w:hint="default"/>
          <w:sz w:val="18"/>
          <w:szCs w:val="18"/>
        </w:rPr>
        <w:sectPr>
          <w:headerReference w:type="default" r:id="rId21"/>
          <w:footerReference w:type="default" r:id="rId22"/>
          <w:pgSz w:w="11910" w:h="16840"/>
          <w:pgMar w:header="0" w:footer="752" w:top="1260" w:bottom="940" w:left="800" w:right="380"/>
          <w:pgNumType w:start="50"/>
        </w:sectPr>
      </w:pPr>
    </w:p>
    <w:p>
      <w:pPr>
        <w:pStyle w:val="BodyText"/>
        <w:spacing w:line="240" w:lineRule="auto" w:before="2"/>
        <w:ind w:left="115" w:right="0"/>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7"/>
        <w:rPr>
          <w:rFonts w:ascii="黑体" w:hAnsi="黑体" w:cs="黑体" w:eastAsia="黑体" w:hint="default"/>
          <w:sz w:val="21"/>
          <w:szCs w:val="21"/>
        </w:rPr>
      </w:pPr>
    </w:p>
    <w:p>
      <w:pPr>
        <w:pStyle w:val="BodyText"/>
        <w:spacing w:line="295" w:lineRule="exact"/>
        <w:ind w:left="115"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7"/>
        </w:rPr>
        <w:t> </w:t>
      </w:r>
      <w:r>
        <w:rPr>
          <w:rFonts w:ascii="黑体" w:hAnsi="黑体" w:cs="黑体" w:eastAsia="黑体" w:hint="default"/>
        </w:rPr>
        <w:t>年</w:t>
      </w:r>
      <w:r>
        <w:rPr>
          <w:rFonts w:ascii="黑体" w:hAnsi="黑体" w:cs="黑体" w:eastAsia="黑体" w:hint="default"/>
          <w:spacing w:val="-56"/>
        </w:rPr>
        <w:t> </w:t>
      </w:r>
      <w:r>
        <w:rPr>
          <w:rFonts w:ascii="Arial" w:hAnsi="Arial" w:cs="Arial" w:eastAsia="Arial" w:hint="default"/>
        </w:rPr>
        <w:t>12</w:t>
      </w:r>
      <w:r>
        <w:rPr>
          <w:rFonts w:ascii="Arial" w:hAnsi="Arial" w:cs="Arial" w:eastAsia="Arial" w:hint="default"/>
          <w:spacing w:val="-7"/>
        </w:rPr>
        <w:t> </w:t>
      </w:r>
      <w:r>
        <w:rPr>
          <w:rFonts w:ascii="黑体" w:hAnsi="黑体" w:cs="黑体" w:eastAsia="黑体" w:hint="default"/>
        </w:rPr>
        <w:t>月</w:t>
      </w:r>
      <w:r>
        <w:rPr>
          <w:rFonts w:ascii="黑体" w:hAnsi="黑体" w:cs="黑体" w:eastAsia="黑体" w:hint="default"/>
          <w:spacing w:val="-56"/>
        </w:rPr>
        <w:t> </w:t>
      </w:r>
      <w:r>
        <w:rPr>
          <w:rFonts w:ascii="Arial" w:hAnsi="Arial" w:cs="Arial" w:eastAsia="Arial" w:hint="default"/>
        </w:rPr>
        <w:t>31</w:t>
      </w:r>
      <w:r>
        <w:rPr>
          <w:rFonts w:ascii="Arial" w:hAnsi="Arial" w:cs="Arial" w:eastAsia="Arial" w:hint="default"/>
          <w:spacing w:val="-7"/>
        </w:rPr>
        <w:t> </w:t>
      </w:r>
      <w:r>
        <w:rPr>
          <w:rFonts w:ascii="黑体" w:hAnsi="黑体" w:cs="黑体" w:eastAsia="黑体" w:hint="default"/>
        </w:rPr>
        <w:t>日合并及公司资产负债表（续）</w:t>
      </w:r>
    </w:p>
    <w:p>
      <w:pPr>
        <w:pStyle w:val="BodyText"/>
        <w:spacing w:line="279" w:lineRule="exact"/>
        <w:ind w:left="115" w:right="0"/>
        <w:jc w:val="left"/>
        <w:rPr>
          <w:rFonts w:ascii="黑体" w:hAnsi="黑体" w:cs="黑体" w:eastAsia="黑体" w:hint="default"/>
        </w:rPr>
      </w:pPr>
      <w:r>
        <w:rPr>
          <w:rFonts w:ascii="黑体" w:hAnsi="黑体" w:cs="黑体" w:eastAsia="黑体" w:hint="default"/>
        </w:rPr>
        <w:t>（除特别注明外，金额单位为人民币元）</w:t>
      </w:r>
    </w:p>
    <w:p>
      <w:pPr>
        <w:spacing w:line="240" w:lineRule="auto" w:before="12"/>
        <w:rPr>
          <w:rFonts w:ascii="黑体" w:hAnsi="黑体" w:cs="黑体" w:eastAsia="黑体" w:hint="default"/>
          <w:sz w:val="21"/>
          <w:szCs w:val="21"/>
        </w:rPr>
      </w:pPr>
    </w:p>
    <w:tbl>
      <w:tblPr>
        <w:tblW w:w="0" w:type="auto"/>
        <w:jc w:val="left"/>
        <w:tblInd w:w="108" w:type="dxa"/>
        <w:tblLayout w:type="fixed"/>
        <w:tblCellMar>
          <w:top w:w="0" w:type="dxa"/>
          <w:left w:w="0" w:type="dxa"/>
          <w:bottom w:w="0" w:type="dxa"/>
          <w:right w:w="0" w:type="dxa"/>
        </w:tblCellMar>
        <w:tblLook w:val="01E0"/>
      </w:tblPr>
      <w:tblGrid>
        <w:gridCol w:w="2464"/>
        <w:gridCol w:w="1218"/>
        <w:gridCol w:w="1709"/>
        <w:gridCol w:w="1735"/>
        <w:gridCol w:w="1739"/>
        <w:gridCol w:w="1708"/>
      </w:tblGrid>
      <w:tr>
        <w:trPr>
          <w:trHeight w:val="58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9"/>
              <w:ind w:left="592" w:right="0"/>
              <w:jc w:val="left"/>
              <w:rPr>
                <w:rFonts w:ascii="黑体" w:hAnsi="黑体" w:cs="黑体" w:eastAsia="黑体" w:hint="default"/>
                <w:sz w:val="18"/>
                <w:szCs w:val="18"/>
              </w:rPr>
            </w:pPr>
            <w:r>
              <w:rPr>
                <w:rFonts w:ascii="黑体" w:hAnsi="黑体" w:cs="黑体" w:eastAsia="黑体" w:hint="default"/>
                <w:sz w:val="18"/>
                <w:szCs w:val="18"/>
              </w:rPr>
              <w:t>负债和股东权益</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9"/>
              <w:ind w:right="123"/>
              <w:jc w:val="center"/>
              <w:rPr>
                <w:rFonts w:ascii="黑体" w:hAnsi="黑体" w:cs="黑体" w:eastAsia="黑体" w:hint="default"/>
                <w:sz w:val="18"/>
                <w:szCs w:val="18"/>
              </w:rPr>
            </w:pPr>
            <w:r>
              <w:rPr>
                <w:rFonts w:ascii="黑体" w:hAnsi="黑体" w:cs="黑体" w:eastAsia="黑体" w:hint="default"/>
                <w:sz w:val="18"/>
                <w:szCs w:val="18"/>
              </w:rPr>
              <w:t>附注</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2"/>
              <w:ind w:left="3" w:right="0"/>
              <w:jc w:val="center"/>
              <w:rPr>
                <w:rFonts w:ascii="黑体" w:hAnsi="黑体" w:cs="黑体" w:eastAsia="黑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黑体" w:hAnsi="黑体" w:cs="黑体" w:eastAsia="黑体" w:hint="default"/>
                <w:sz w:val="18"/>
                <w:szCs w:val="18"/>
              </w:rPr>
              <w:t>年</w:t>
            </w:r>
            <w:r>
              <w:rPr>
                <w:rFonts w:ascii="黑体" w:hAnsi="黑体" w:cs="黑体" w:eastAsia="黑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黑体" w:hAnsi="黑体" w:cs="黑体" w:eastAsia="黑体" w:hint="default"/>
                <w:sz w:val="18"/>
                <w:szCs w:val="18"/>
              </w:rPr>
              <w:t>月</w:t>
            </w:r>
            <w:r>
              <w:rPr>
                <w:rFonts w:ascii="黑体" w:hAnsi="黑体" w:cs="黑体" w:eastAsia="黑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黑体" w:hAnsi="黑体" w:cs="黑体" w:eastAsia="黑体" w:hint="default"/>
                <w:sz w:val="18"/>
                <w:szCs w:val="18"/>
              </w:rPr>
              <w:t>日</w:t>
            </w:r>
          </w:p>
          <w:p>
            <w:pPr>
              <w:pStyle w:val="TableParagraph"/>
              <w:spacing w:line="228" w:lineRule="exact"/>
              <w:ind w:right="180"/>
              <w:jc w:val="center"/>
              <w:rPr>
                <w:rFonts w:ascii="黑体" w:hAnsi="黑体" w:cs="黑体" w:eastAsia="黑体" w:hint="default"/>
                <w:sz w:val="18"/>
                <w:szCs w:val="18"/>
              </w:rPr>
            </w:pPr>
            <w:r>
              <w:rPr>
                <w:rFonts w:ascii="黑体" w:hAnsi="黑体" w:cs="黑体" w:eastAsia="黑体" w:hint="default"/>
                <w:sz w:val="18"/>
                <w:szCs w:val="18"/>
              </w:rPr>
              <w:t>合并</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2"/>
              <w:ind w:left="29" w:right="0"/>
              <w:jc w:val="center"/>
              <w:rPr>
                <w:rFonts w:ascii="黑体" w:hAnsi="黑体" w:cs="黑体" w:eastAsia="黑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黑体" w:hAnsi="黑体" w:cs="黑体" w:eastAsia="黑体" w:hint="default"/>
                <w:sz w:val="18"/>
                <w:szCs w:val="18"/>
              </w:rPr>
              <w:t>年</w:t>
            </w:r>
            <w:r>
              <w:rPr>
                <w:rFonts w:ascii="黑体" w:hAnsi="黑体" w:cs="黑体" w:eastAsia="黑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黑体" w:hAnsi="黑体" w:cs="黑体" w:eastAsia="黑体" w:hint="default"/>
                <w:sz w:val="18"/>
                <w:szCs w:val="18"/>
              </w:rPr>
              <w:t>月</w:t>
            </w:r>
            <w:r>
              <w:rPr>
                <w:rFonts w:ascii="黑体" w:hAnsi="黑体" w:cs="黑体" w:eastAsia="黑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黑体" w:hAnsi="黑体" w:cs="黑体" w:eastAsia="黑体" w:hint="default"/>
                <w:sz w:val="18"/>
                <w:szCs w:val="18"/>
              </w:rPr>
              <w:t>日</w:t>
            </w:r>
          </w:p>
          <w:p>
            <w:pPr>
              <w:pStyle w:val="TableParagraph"/>
              <w:spacing w:line="228" w:lineRule="exact"/>
              <w:ind w:right="70"/>
              <w:jc w:val="center"/>
              <w:rPr>
                <w:rFonts w:ascii="黑体" w:hAnsi="黑体" w:cs="黑体" w:eastAsia="黑体" w:hint="default"/>
                <w:sz w:val="18"/>
                <w:szCs w:val="18"/>
              </w:rPr>
            </w:pPr>
            <w:r>
              <w:rPr>
                <w:rFonts w:ascii="黑体" w:hAnsi="黑体" w:cs="黑体" w:eastAsia="黑体" w:hint="default"/>
                <w:sz w:val="18"/>
                <w:szCs w:val="18"/>
              </w:rPr>
              <w:t>合并（经重列）</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2"/>
              <w:ind w:left="4" w:right="0"/>
              <w:jc w:val="center"/>
              <w:rPr>
                <w:rFonts w:ascii="黑体" w:hAnsi="黑体" w:cs="黑体" w:eastAsia="黑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黑体" w:hAnsi="黑体" w:cs="黑体" w:eastAsia="黑体" w:hint="default"/>
                <w:sz w:val="18"/>
                <w:szCs w:val="18"/>
              </w:rPr>
              <w:t>年</w:t>
            </w:r>
            <w:r>
              <w:rPr>
                <w:rFonts w:ascii="黑体" w:hAnsi="黑体" w:cs="黑体" w:eastAsia="黑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黑体" w:hAnsi="黑体" w:cs="黑体" w:eastAsia="黑体" w:hint="default"/>
                <w:sz w:val="18"/>
                <w:szCs w:val="18"/>
              </w:rPr>
              <w:t>月</w:t>
            </w:r>
            <w:r>
              <w:rPr>
                <w:rFonts w:ascii="黑体" w:hAnsi="黑体" w:cs="黑体" w:eastAsia="黑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黑体" w:hAnsi="黑体" w:cs="黑体" w:eastAsia="黑体" w:hint="default"/>
                <w:sz w:val="18"/>
                <w:szCs w:val="18"/>
              </w:rPr>
              <w:t>日</w:t>
            </w:r>
          </w:p>
          <w:p>
            <w:pPr>
              <w:pStyle w:val="TableParagraph"/>
              <w:spacing w:line="228" w:lineRule="exact"/>
              <w:ind w:left="5" w:right="0"/>
              <w:jc w:val="center"/>
              <w:rPr>
                <w:rFonts w:ascii="黑体" w:hAnsi="黑体" w:cs="黑体" w:eastAsia="黑体" w:hint="default"/>
                <w:sz w:val="18"/>
                <w:szCs w:val="18"/>
              </w:rPr>
            </w:pPr>
            <w:r>
              <w:rPr>
                <w:rFonts w:ascii="黑体" w:hAnsi="黑体" w:cs="黑体" w:eastAsia="黑体" w:hint="default"/>
                <w:sz w:val="18"/>
                <w:szCs w:val="18"/>
              </w:rPr>
              <w:t>公司</w:t>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2"/>
              <w:ind w:left="30" w:right="0"/>
              <w:jc w:val="center"/>
              <w:rPr>
                <w:rFonts w:ascii="黑体" w:hAnsi="黑体" w:cs="黑体" w:eastAsia="黑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黑体" w:hAnsi="黑体" w:cs="黑体" w:eastAsia="黑体" w:hint="default"/>
                <w:sz w:val="18"/>
                <w:szCs w:val="18"/>
              </w:rPr>
              <w:t>年</w:t>
            </w:r>
            <w:r>
              <w:rPr>
                <w:rFonts w:ascii="黑体" w:hAnsi="黑体" w:cs="黑体" w:eastAsia="黑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黑体" w:hAnsi="黑体" w:cs="黑体" w:eastAsia="黑体" w:hint="default"/>
                <w:sz w:val="18"/>
                <w:szCs w:val="18"/>
              </w:rPr>
              <w:t>月</w:t>
            </w:r>
            <w:r>
              <w:rPr>
                <w:rFonts w:ascii="黑体" w:hAnsi="黑体" w:cs="黑体" w:eastAsia="黑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黑体" w:hAnsi="黑体" w:cs="黑体" w:eastAsia="黑体" w:hint="default"/>
                <w:sz w:val="18"/>
                <w:szCs w:val="18"/>
              </w:rPr>
              <w:t>日</w:t>
            </w:r>
          </w:p>
          <w:p>
            <w:pPr>
              <w:pStyle w:val="TableParagraph"/>
              <w:spacing w:line="228" w:lineRule="exact"/>
              <w:ind w:left="28" w:right="0"/>
              <w:jc w:val="center"/>
              <w:rPr>
                <w:rFonts w:ascii="黑体" w:hAnsi="黑体" w:cs="黑体" w:eastAsia="黑体" w:hint="default"/>
                <w:sz w:val="18"/>
                <w:szCs w:val="18"/>
              </w:rPr>
            </w:pPr>
            <w:r>
              <w:rPr>
                <w:rFonts w:ascii="黑体" w:hAnsi="黑体" w:cs="黑体" w:eastAsia="黑体" w:hint="default"/>
                <w:sz w:val="18"/>
                <w:szCs w:val="18"/>
              </w:rPr>
              <w:t>公司</w:t>
            </w: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1" w:right="0"/>
              <w:jc w:val="left"/>
              <w:rPr>
                <w:rFonts w:ascii="黑体" w:hAnsi="黑体" w:cs="黑体" w:eastAsia="黑体" w:hint="default"/>
                <w:sz w:val="18"/>
                <w:szCs w:val="18"/>
              </w:rPr>
            </w:pPr>
            <w:r>
              <w:rPr>
                <w:rFonts w:ascii="黑体" w:hAnsi="黑体" w:cs="黑体" w:eastAsia="黑体" w:hint="default"/>
                <w:sz w:val="18"/>
                <w:szCs w:val="18"/>
              </w:rPr>
              <w:t>流动负债</w:t>
            </w:r>
          </w:p>
        </w:tc>
        <w:tc>
          <w:tcPr>
            <w:tcW w:w="1218"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6" w:space="0" w:color="000000"/>
            </w:tcBorders>
          </w:tcPr>
          <w:p>
            <w:pPr/>
          </w:p>
        </w:tc>
        <w:tc>
          <w:tcPr>
            <w:tcW w:w="1735" w:type="dxa"/>
            <w:tcBorders>
              <w:top w:val="single" w:sz="6" w:space="0" w:color="000000"/>
              <w:left w:val="single" w:sz="6" w:space="0" w:color="000000"/>
              <w:bottom w:val="single" w:sz="6" w:space="0" w:color="000000"/>
              <w:right w:val="single" w:sz="6" w:space="0" w:color="000000"/>
            </w:tcBorders>
          </w:tcPr>
          <w:p>
            <w:pPr/>
          </w:p>
        </w:tc>
        <w:tc>
          <w:tcPr>
            <w:tcW w:w="1739" w:type="dxa"/>
            <w:tcBorders>
              <w:top w:val="single" w:sz="6" w:space="0" w:color="000000"/>
              <w:left w:val="single" w:sz="6" w:space="0" w:color="000000"/>
              <w:bottom w:val="single" w:sz="6" w:space="0" w:color="000000"/>
              <w:right w:val="single" w:sz="6" w:space="0" w:color="000000"/>
            </w:tcBorders>
          </w:tcPr>
          <w:p>
            <w:pPr/>
          </w:p>
        </w:tc>
        <w:tc>
          <w:tcPr>
            <w:tcW w:w="1708" w:type="dxa"/>
            <w:tcBorders>
              <w:top w:val="single" w:sz="6" w:space="0" w:color="000000"/>
              <w:left w:val="single" w:sz="6" w:space="0" w:color="000000"/>
              <w:bottom w:val="single" w:sz="6" w:space="0" w:color="000000"/>
              <w:right w:val="single" w:sz="6" w:space="0" w:color="000000"/>
            </w:tcBorders>
          </w:tcPr>
          <w:p>
            <w:pP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(15)</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0"/>
              <w:jc w:val="right"/>
              <w:rPr>
                <w:rFonts w:ascii="Arial" w:hAnsi="Arial" w:cs="Arial" w:eastAsia="Arial" w:hint="default"/>
                <w:sz w:val="18"/>
                <w:szCs w:val="18"/>
              </w:rPr>
            </w:pPr>
            <w:r>
              <w:rPr>
                <w:rFonts w:ascii="Arial"/>
                <w:spacing w:val="-1"/>
                <w:sz w:val="18"/>
              </w:rPr>
              <w:t>63,908,500,000</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10,780,000,000</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61"/>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w w:val="99"/>
                <w:sz w:val="18"/>
              </w:rPr>
              <w:t>-</w:t>
            </w:r>
            <w:r>
              <w:rPr>
                <w:rFonts w:ascii="Arial"/>
                <w:sz w:val="18"/>
              </w:rPr>
            </w: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应付短期债券</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(16)</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0"/>
              <w:jc w:val="right"/>
              <w:rPr>
                <w:rFonts w:ascii="Arial" w:hAnsi="Arial" w:cs="Arial" w:eastAsia="Arial" w:hint="default"/>
                <w:sz w:val="18"/>
                <w:szCs w:val="18"/>
              </w:rPr>
            </w:pPr>
            <w:r>
              <w:rPr>
                <w:rFonts w:ascii="Arial"/>
                <w:w w:val="99"/>
                <w:sz w:val="18"/>
              </w:rPr>
              <w:t>-</w:t>
            </w:r>
            <w:r>
              <w:rPr>
                <w:rFonts w:ascii="Arial"/>
                <w:sz w:val="18"/>
              </w:rPr>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10,000,000,000</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62"/>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1"/>
              <w:jc w:val="right"/>
              <w:rPr>
                <w:rFonts w:ascii="Arial" w:hAnsi="Arial" w:cs="Arial" w:eastAsia="Arial" w:hint="default"/>
                <w:sz w:val="18"/>
                <w:szCs w:val="18"/>
              </w:rPr>
            </w:pPr>
            <w:r>
              <w:rPr>
                <w:rFonts w:ascii="Arial"/>
                <w:w w:val="99"/>
                <w:sz w:val="18"/>
              </w:rPr>
              <w:t>-</w:t>
            </w:r>
            <w:r>
              <w:rPr>
                <w:rFonts w:ascii="Arial"/>
                <w:sz w:val="18"/>
              </w:rPr>
            </w: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(17)</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0"/>
              <w:jc w:val="right"/>
              <w:rPr>
                <w:rFonts w:ascii="Arial" w:hAnsi="Arial" w:cs="Arial" w:eastAsia="Arial" w:hint="default"/>
                <w:sz w:val="18"/>
                <w:szCs w:val="18"/>
              </w:rPr>
            </w:pPr>
            <w:r>
              <w:rPr>
                <w:rFonts w:ascii="Arial"/>
                <w:spacing w:val="-1"/>
                <w:sz w:val="18"/>
              </w:rPr>
              <w:t>1,380,861,045</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1"/>
              <w:jc w:val="right"/>
              <w:rPr>
                <w:rFonts w:ascii="Arial" w:hAnsi="Arial" w:cs="Arial" w:eastAsia="Arial" w:hint="default"/>
                <w:sz w:val="18"/>
                <w:szCs w:val="18"/>
              </w:rPr>
            </w:pPr>
            <w:r>
              <w:rPr>
                <w:rFonts w:ascii="Arial"/>
                <w:spacing w:val="-1"/>
                <w:sz w:val="18"/>
              </w:rPr>
              <w:t>1,039,888,705</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61"/>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w w:val="99"/>
                <w:sz w:val="18"/>
              </w:rPr>
              <w:t>-</w:t>
            </w:r>
            <w:r>
              <w:rPr>
                <w:rFonts w:ascii="Arial"/>
                <w:sz w:val="18"/>
              </w:rPr>
            </w: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(18)</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0"/>
              <w:jc w:val="right"/>
              <w:rPr>
                <w:rFonts w:ascii="Arial" w:hAnsi="Arial" w:cs="Arial" w:eastAsia="Arial" w:hint="default"/>
                <w:sz w:val="18"/>
                <w:szCs w:val="18"/>
              </w:rPr>
            </w:pPr>
            <w:r>
              <w:rPr>
                <w:rFonts w:ascii="Arial"/>
                <w:spacing w:val="-1"/>
                <w:sz w:val="18"/>
              </w:rPr>
              <w:t>100,567,494,864</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63,289,406,144</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61"/>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w w:val="99"/>
                <w:sz w:val="18"/>
              </w:rPr>
              <w:t>-</w:t>
            </w:r>
            <w:r>
              <w:rPr>
                <w:rFonts w:ascii="Arial"/>
                <w:sz w:val="18"/>
              </w:rPr>
            </w: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(19)</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0"/>
              <w:jc w:val="right"/>
              <w:rPr>
                <w:rFonts w:ascii="Arial" w:hAnsi="Arial" w:cs="Arial" w:eastAsia="Arial" w:hint="default"/>
                <w:sz w:val="18"/>
                <w:szCs w:val="18"/>
              </w:rPr>
            </w:pPr>
            <w:r>
              <w:rPr>
                <w:rFonts w:ascii="Arial"/>
                <w:spacing w:val="-1"/>
                <w:sz w:val="18"/>
              </w:rPr>
              <w:t>21,135,828,170</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17,099,888,046</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61"/>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w w:val="99"/>
                <w:sz w:val="18"/>
              </w:rPr>
              <w:t>-</w:t>
            </w:r>
            <w:r>
              <w:rPr>
                <w:rFonts w:ascii="Arial"/>
                <w:sz w:val="18"/>
              </w:rPr>
            </w: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(20)</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0"/>
              <w:jc w:val="right"/>
              <w:rPr>
                <w:rFonts w:ascii="Arial" w:hAnsi="Arial" w:cs="Arial" w:eastAsia="Arial" w:hint="default"/>
                <w:sz w:val="18"/>
                <w:szCs w:val="18"/>
              </w:rPr>
            </w:pPr>
            <w:r>
              <w:rPr>
                <w:rFonts w:ascii="Arial"/>
                <w:spacing w:val="-1"/>
                <w:sz w:val="18"/>
              </w:rPr>
              <w:t>3,598,220,139</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1"/>
              <w:jc w:val="right"/>
              <w:rPr>
                <w:rFonts w:ascii="Arial" w:hAnsi="Arial" w:cs="Arial" w:eastAsia="Arial" w:hint="default"/>
                <w:sz w:val="18"/>
                <w:szCs w:val="18"/>
              </w:rPr>
            </w:pPr>
            <w:r>
              <w:rPr>
                <w:rFonts w:ascii="Arial"/>
                <w:spacing w:val="-1"/>
                <w:sz w:val="18"/>
              </w:rPr>
              <w:t>4,033,011,170</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61"/>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w w:val="99"/>
                <w:sz w:val="18"/>
              </w:rPr>
              <w:t>-</w:t>
            </w:r>
            <w:r>
              <w:rPr>
                <w:rFonts w:ascii="Arial"/>
                <w:sz w:val="18"/>
              </w:rPr>
            </w: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(21)</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0"/>
              <w:jc w:val="right"/>
              <w:rPr>
                <w:rFonts w:ascii="Arial" w:hAnsi="Arial" w:cs="Arial" w:eastAsia="Arial" w:hint="default"/>
                <w:sz w:val="18"/>
                <w:szCs w:val="18"/>
              </w:rPr>
            </w:pPr>
            <w:r>
              <w:rPr>
                <w:rFonts w:ascii="Arial"/>
                <w:spacing w:val="-1"/>
                <w:sz w:val="18"/>
              </w:rPr>
              <w:t>911,986,749</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11,306,898,472</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2"/>
              <w:jc w:val="right"/>
              <w:rPr>
                <w:rFonts w:ascii="Arial" w:hAnsi="Arial" w:cs="Arial" w:eastAsia="Arial" w:hint="default"/>
                <w:sz w:val="18"/>
                <w:szCs w:val="18"/>
              </w:rPr>
            </w:pPr>
            <w:r>
              <w:rPr>
                <w:rFonts w:ascii="Arial"/>
                <w:spacing w:val="-1"/>
                <w:sz w:val="18"/>
              </w:rPr>
              <w:t>96,292</w:t>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1"/>
              <w:jc w:val="right"/>
              <w:rPr>
                <w:rFonts w:ascii="Arial" w:hAnsi="Arial" w:cs="Arial" w:eastAsia="Arial" w:hint="default"/>
                <w:sz w:val="18"/>
                <w:szCs w:val="18"/>
              </w:rPr>
            </w:pPr>
            <w:r>
              <w:rPr>
                <w:rFonts w:ascii="Arial"/>
                <w:spacing w:val="-1"/>
                <w:w w:val="95"/>
                <w:sz w:val="18"/>
              </w:rPr>
              <w:t>7,619</w:t>
            </w:r>
            <w:r>
              <w:rPr>
                <w:rFonts w:ascii="Arial"/>
                <w:sz w:val="18"/>
              </w:rPr>
            </w: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(22)</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9"/>
              <w:jc w:val="right"/>
              <w:rPr>
                <w:rFonts w:ascii="Arial" w:hAnsi="Arial" w:cs="Arial" w:eastAsia="Arial" w:hint="default"/>
                <w:sz w:val="18"/>
                <w:szCs w:val="18"/>
              </w:rPr>
            </w:pPr>
            <w:r>
              <w:rPr>
                <w:rFonts w:ascii="Arial"/>
                <w:spacing w:val="-1"/>
                <w:sz w:val="18"/>
              </w:rPr>
              <w:t>216,387,694</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266,907,826</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1"/>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w w:val="99"/>
                <w:sz w:val="18"/>
              </w:rPr>
              <w:t>-</w:t>
            </w:r>
            <w:r>
              <w:rPr>
                <w:rFonts w:ascii="Arial"/>
                <w:sz w:val="18"/>
              </w:rPr>
            </w: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(23)</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0"/>
              <w:jc w:val="right"/>
              <w:rPr>
                <w:rFonts w:ascii="Arial" w:hAnsi="Arial" w:cs="Arial" w:eastAsia="Arial" w:hint="default"/>
                <w:sz w:val="18"/>
                <w:szCs w:val="18"/>
              </w:rPr>
            </w:pPr>
            <w:r>
              <w:rPr>
                <w:rFonts w:ascii="Arial"/>
                <w:spacing w:val="-1"/>
                <w:sz w:val="18"/>
              </w:rPr>
              <w:t>24,133,609</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59"/>
              <w:jc w:val="right"/>
              <w:rPr>
                <w:rFonts w:ascii="Arial" w:hAnsi="Arial" w:cs="Arial" w:eastAsia="Arial" w:hint="default"/>
                <w:sz w:val="18"/>
                <w:szCs w:val="18"/>
              </w:rPr>
            </w:pPr>
            <w:r>
              <w:rPr>
                <w:rFonts w:ascii="Arial"/>
                <w:spacing w:val="-1"/>
                <w:sz w:val="18"/>
              </w:rPr>
              <w:t>267,610,106</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1"/>
              <w:jc w:val="right"/>
              <w:rPr>
                <w:rFonts w:ascii="Arial" w:hAnsi="Arial" w:cs="Arial" w:eastAsia="Arial" w:hint="default"/>
                <w:sz w:val="18"/>
                <w:szCs w:val="18"/>
              </w:rPr>
            </w:pPr>
            <w:r>
              <w:rPr>
                <w:rFonts w:ascii="Arial"/>
                <w:spacing w:val="-1"/>
                <w:sz w:val="18"/>
              </w:rPr>
              <w:t>76,541</w:t>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1,779,147</w:t>
            </w: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5"/>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(24),</w:t>
            </w:r>
            <w:r>
              <w:rPr>
                <w:rFonts w:ascii="宋体" w:hAnsi="宋体" w:cs="宋体" w:eastAsia="宋体" w:hint="default"/>
                <w:sz w:val="18"/>
                <w:szCs w:val="18"/>
              </w:rPr>
              <w:t>十七</w:t>
            </w:r>
            <w:r>
              <w:rPr>
                <w:rFonts w:ascii="Arial" w:hAnsi="Arial" w:cs="Arial" w:eastAsia="Arial" w:hint="default"/>
                <w:sz w:val="18"/>
                <w:szCs w:val="18"/>
              </w:rPr>
              <w:t>(4)</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1"/>
              <w:jc w:val="right"/>
              <w:rPr>
                <w:rFonts w:ascii="Arial" w:hAnsi="Arial" w:cs="Arial" w:eastAsia="Arial" w:hint="default"/>
                <w:sz w:val="18"/>
                <w:szCs w:val="18"/>
              </w:rPr>
            </w:pPr>
            <w:r>
              <w:rPr>
                <w:rFonts w:ascii="Arial"/>
                <w:spacing w:val="-1"/>
                <w:sz w:val="18"/>
              </w:rPr>
              <w:t>7,780,884,818</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1"/>
              <w:jc w:val="right"/>
              <w:rPr>
                <w:rFonts w:ascii="Arial" w:hAnsi="Arial" w:cs="Arial" w:eastAsia="Arial" w:hint="default"/>
                <w:sz w:val="18"/>
                <w:szCs w:val="18"/>
              </w:rPr>
            </w:pPr>
            <w:r>
              <w:rPr>
                <w:rFonts w:ascii="Arial"/>
                <w:spacing w:val="-1"/>
                <w:sz w:val="18"/>
              </w:rPr>
              <w:t>9,319,281,758</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1"/>
              <w:jc w:val="right"/>
              <w:rPr>
                <w:rFonts w:ascii="Arial" w:hAnsi="Arial" w:cs="Arial" w:eastAsia="Arial" w:hint="default"/>
                <w:sz w:val="18"/>
                <w:szCs w:val="18"/>
              </w:rPr>
            </w:pPr>
            <w:r>
              <w:rPr>
                <w:rFonts w:ascii="Arial"/>
                <w:spacing w:val="-1"/>
                <w:sz w:val="18"/>
              </w:rPr>
              <w:t>7,409,145</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6,412,739</w:t>
            </w: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right="194"/>
              <w:jc w:val="righ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(25)</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9"/>
              <w:jc w:val="right"/>
              <w:rPr>
                <w:rFonts w:ascii="Arial" w:hAnsi="Arial" w:cs="Arial" w:eastAsia="Arial" w:hint="default"/>
                <w:sz w:val="18"/>
                <w:szCs w:val="18"/>
              </w:rPr>
            </w:pPr>
            <w:r>
              <w:rPr>
                <w:rFonts w:ascii="Arial"/>
                <w:spacing w:val="-1"/>
                <w:sz w:val="18"/>
              </w:rPr>
              <w:t>88,098,747</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2"/>
              <w:jc w:val="right"/>
              <w:rPr>
                <w:rFonts w:ascii="Arial" w:hAnsi="Arial" w:cs="Arial" w:eastAsia="Arial" w:hint="default"/>
                <w:sz w:val="18"/>
                <w:szCs w:val="18"/>
              </w:rPr>
            </w:pPr>
            <w:r>
              <w:rPr>
                <w:rFonts w:ascii="Arial"/>
                <w:spacing w:val="-1"/>
                <w:sz w:val="18"/>
              </w:rPr>
              <w:t>1,216,510,550</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2"/>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1"/>
              <w:jc w:val="right"/>
              <w:rPr>
                <w:rFonts w:ascii="Arial" w:hAnsi="Arial" w:cs="Arial" w:eastAsia="Arial" w:hint="default"/>
                <w:sz w:val="18"/>
                <w:szCs w:val="18"/>
              </w:rPr>
            </w:pPr>
            <w:r>
              <w:rPr>
                <w:rFonts w:ascii="Arial"/>
                <w:w w:val="99"/>
                <w:sz w:val="18"/>
              </w:rPr>
              <w:t>-</w:t>
            </w:r>
            <w:r>
              <w:rPr>
                <w:rFonts w:ascii="Arial"/>
                <w:sz w:val="18"/>
              </w:rPr>
            </w: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1" w:right="0"/>
              <w:jc w:val="left"/>
              <w:rPr>
                <w:rFonts w:ascii="黑体" w:hAnsi="黑体" w:cs="黑体" w:eastAsia="黑体" w:hint="default"/>
                <w:sz w:val="18"/>
                <w:szCs w:val="18"/>
              </w:rPr>
            </w:pPr>
            <w:r>
              <w:rPr>
                <w:rFonts w:ascii="黑体" w:hAnsi="黑体" w:cs="黑体" w:eastAsia="黑体" w:hint="default"/>
                <w:sz w:val="18"/>
                <w:szCs w:val="18"/>
              </w:rPr>
              <w:t>流动负债合计</w:t>
            </w:r>
          </w:p>
        </w:tc>
        <w:tc>
          <w:tcPr>
            <w:tcW w:w="1218"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9"/>
              <w:jc w:val="right"/>
              <w:rPr>
                <w:rFonts w:ascii="Arial" w:hAnsi="Arial" w:cs="Arial" w:eastAsia="Arial" w:hint="default"/>
                <w:sz w:val="18"/>
                <w:szCs w:val="18"/>
              </w:rPr>
            </w:pPr>
            <w:r>
              <w:rPr>
                <w:rFonts w:ascii="Arial"/>
                <w:spacing w:val="-1"/>
                <w:sz w:val="18"/>
              </w:rPr>
              <w:t>199,612,395,835</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left="307" w:right="0"/>
              <w:jc w:val="left"/>
              <w:rPr>
                <w:rFonts w:ascii="Arial" w:hAnsi="Arial" w:cs="Arial" w:eastAsia="Arial" w:hint="default"/>
                <w:sz w:val="18"/>
                <w:szCs w:val="18"/>
              </w:rPr>
            </w:pPr>
            <w:r>
              <w:rPr>
                <w:rFonts w:ascii="Arial"/>
                <w:sz w:val="18"/>
              </w:rPr>
              <w:t>128,619,402,777</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2"/>
              <w:jc w:val="right"/>
              <w:rPr>
                <w:rFonts w:ascii="Arial" w:hAnsi="Arial" w:cs="Arial" w:eastAsia="Arial" w:hint="default"/>
                <w:sz w:val="18"/>
                <w:szCs w:val="18"/>
              </w:rPr>
            </w:pPr>
            <w:r>
              <w:rPr>
                <w:rFonts w:ascii="Arial"/>
                <w:spacing w:val="-1"/>
                <w:sz w:val="18"/>
              </w:rPr>
              <w:t>7,581,978</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8,199,505</w:t>
            </w: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6" w:space="0" w:color="000000"/>
            </w:tcBorders>
          </w:tcPr>
          <w:p>
            <w:pPr/>
          </w:p>
        </w:tc>
        <w:tc>
          <w:tcPr>
            <w:tcW w:w="1735" w:type="dxa"/>
            <w:tcBorders>
              <w:top w:val="single" w:sz="6" w:space="0" w:color="000000"/>
              <w:left w:val="single" w:sz="6" w:space="0" w:color="000000"/>
              <w:bottom w:val="single" w:sz="6" w:space="0" w:color="000000"/>
              <w:right w:val="single" w:sz="6" w:space="0" w:color="000000"/>
            </w:tcBorders>
          </w:tcPr>
          <w:p>
            <w:pPr/>
          </w:p>
        </w:tc>
        <w:tc>
          <w:tcPr>
            <w:tcW w:w="1739" w:type="dxa"/>
            <w:tcBorders>
              <w:top w:val="single" w:sz="6" w:space="0" w:color="000000"/>
              <w:left w:val="single" w:sz="6" w:space="0" w:color="000000"/>
              <w:bottom w:val="single" w:sz="6" w:space="0" w:color="000000"/>
              <w:right w:val="single" w:sz="6" w:space="0" w:color="000000"/>
            </w:tcBorders>
          </w:tcPr>
          <w:p>
            <w:pPr/>
          </w:p>
        </w:tc>
        <w:tc>
          <w:tcPr>
            <w:tcW w:w="1708" w:type="dxa"/>
            <w:tcBorders>
              <w:top w:val="single" w:sz="6" w:space="0" w:color="000000"/>
              <w:left w:val="single" w:sz="6" w:space="0" w:color="000000"/>
              <w:bottom w:val="single" w:sz="6" w:space="0" w:color="000000"/>
              <w:right w:val="single" w:sz="6" w:space="0" w:color="000000"/>
            </w:tcBorders>
          </w:tcPr>
          <w:p>
            <w:pP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1" w:right="0"/>
              <w:jc w:val="left"/>
              <w:rPr>
                <w:rFonts w:ascii="黑体" w:hAnsi="黑体" w:cs="黑体" w:eastAsia="黑体" w:hint="default"/>
                <w:sz w:val="18"/>
                <w:szCs w:val="18"/>
              </w:rPr>
            </w:pPr>
            <w:r>
              <w:rPr>
                <w:rFonts w:ascii="黑体" w:hAnsi="黑体" w:cs="黑体" w:eastAsia="黑体" w:hint="default"/>
                <w:sz w:val="18"/>
                <w:szCs w:val="18"/>
              </w:rPr>
              <w:t>非流动负债</w:t>
            </w:r>
          </w:p>
        </w:tc>
        <w:tc>
          <w:tcPr>
            <w:tcW w:w="1218"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6" w:space="0" w:color="000000"/>
            </w:tcBorders>
          </w:tcPr>
          <w:p>
            <w:pPr/>
          </w:p>
        </w:tc>
        <w:tc>
          <w:tcPr>
            <w:tcW w:w="1735" w:type="dxa"/>
            <w:tcBorders>
              <w:top w:val="single" w:sz="6" w:space="0" w:color="000000"/>
              <w:left w:val="single" w:sz="6" w:space="0" w:color="000000"/>
              <w:bottom w:val="single" w:sz="6" w:space="0" w:color="000000"/>
              <w:right w:val="single" w:sz="6" w:space="0" w:color="000000"/>
            </w:tcBorders>
          </w:tcPr>
          <w:p>
            <w:pPr/>
          </w:p>
        </w:tc>
        <w:tc>
          <w:tcPr>
            <w:tcW w:w="1739" w:type="dxa"/>
            <w:tcBorders>
              <w:top w:val="single" w:sz="6" w:space="0" w:color="000000"/>
              <w:left w:val="single" w:sz="6" w:space="0" w:color="000000"/>
              <w:bottom w:val="single" w:sz="6" w:space="0" w:color="000000"/>
              <w:right w:val="single" w:sz="6" w:space="0" w:color="000000"/>
            </w:tcBorders>
          </w:tcPr>
          <w:p>
            <w:pPr/>
          </w:p>
        </w:tc>
        <w:tc>
          <w:tcPr>
            <w:tcW w:w="1708" w:type="dxa"/>
            <w:tcBorders>
              <w:top w:val="single" w:sz="6" w:space="0" w:color="000000"/>
              <w:left w:val="single" w:sz="6" w:space="0" w:color="000000"/>
              <w:bottom w:val="single" w:sz="6" w:space="0" w:color="000000"/>
              <w:right w:val="single" w:sz="6" w:space="0" w:color="000000"/>
            </w:tcBorders>
          </w:tcPr>
          <w:p>
            <w:pP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(26)</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9"/>
              <w:jc w:val="right"/>
              <w:rPr>
                <w:rFonts w:ascii="Arial" w:hAnsi="Arial" w:cs="Arial" w:eastAsia="Arial" w:hint="default"/>
                <w:sz w:val="18"/>
                <w:szCs w:val="18"/>
              </w:rPr>
            </w:pPr>
            <w:r>
              <w:rPr>
                <w:rFonts w:ascii="Arial"/>
                <w:spacing w:val="-1"/>
                <w:sz w:val="18"/>
              </w:rPr>
              <w:t>759,455,307</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997,312,478</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61"/>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w w:val="99"/>
                <w:sz w:val="18"/>
              </w:rPr>
              <w:t>-</w:t>
            </w:r>
            <w:r>
              <w:rPr>
                <w:rFonts w:ascii="Arial"/>
                <w:sz w:val="18"/>
              </w:rPr>
            </w: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(27)</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0"/>
              <w:jc w:val="right"/>
              <w:rPr>
                <w:rFonts w:ascii="Arial" w:hAnsi="Arial" w:cs="Arial" w:eastAsia="Arial" w:hint="default"/>
                <w:sz w:val="18"/>
                <w:szCs w:val="18"/>
              </w:rPr>
            </w:pPr>
            <w:r>
              <w:rPr>
                <w:rFonts w:ascii="Arial"/>
                <w:spacing w:val="-1"/>
                <w:sz w:val="18"/>
              </w:rPr>
              <w:t>7,000,000,000</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1"/>
              <w:jc w:val="right"/>
              <w:rPr>
                <w:rFonts w:ascii="Arial" w:hAnsi="Arial" w:cs="Arial" w:eastAsia="Arial" w:hint="default"/>
                <w:sz w:val="18"/>
                <w:szCs w:val="18"/>
              </w:rPr>
            </w:pPr>
            <w:r>
              <w:rPr>
                <w:rFonts w:ascii="Arial"/>
                <w:spacing w:val="-1"/>
                <w:sz w:val="18"/>
              </w:rPr>
              <w:t>7,000,000,000</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61"/>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w w:val="99"/>
                <w:sz w:val="18"/>
              </w:rPr>
              <w:t>-</w:t>
            </w:r>
            <w:r>
              <w:rPr>
                <w:rFonts w:ascii="Arial"/>
                <w:sz w:val="18"/>
              </w:rPr>
            </w: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(28)</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9"/>
              <w:jc w:val="right"/>
              <w:rPr>
                <w:rFonts w:ascii="Arial" w:hAnsi="Arial" w:cs="Arial" w:eastAsia="Arial" w:hint="default"/>
                <w:sz w:val="18"/>
                <w:szCs w:val="18"/>
              </w:rPr>
            </w:pPr>
            <w:r>
              <w:rPr>
                <w:rFonts w:ascii="Arial"/>
                <w:spacing w:val="-1"/>
                <w:sz w:val="18"/>
              </w:rPr>
              <w:t>190,913,424</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1"/>
              <w:jc w:val="right"/>
              <w:rPr>
                <w:rFonts w:ascii="Arial" w:hAnsi="Arial" w:cs="Arial" w:eastAsia="Arial" w:hint="default"/>
                <w:sz w:val="18"/>
                <w:szCs w:val="18"/>
              </w:rPr>
            </w:pPr>
            <w:r>
              <w:rPr>
                <w:rFonts w:ascii="Arial"/>
                <w:spacing w:val="-1"/>
                <w:sz w:val="18"/>
              </w:rPr>
              <w:t>1,688,648,359</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61"/>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w w:val="99"/>
                <w:sz w:val="18"/>
              </w:rPr>
              <w:t>-</w:t>
            </w:r>
            <w:r>
              <w:rPr>
                <w:rFonts w:ascii="Arial"/>
                <w:sz w:val="18"/>
              </w:rPr>
            </w: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(29)</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0"/>
              <w:jc w:val="right"/>
              <w:rPr>
                <w:rFonts w:ascii="Arial" w:hAnsi="Arial" w:cs="Arial" w:eastAsia="Arial" w:hint="default"/>
                <w:sz w:val="18"/>
                <w:szCs w:val="18"/>
              </w:rPr>
            </w:pPr>
            <w:r>
              <w:rPr>
                <w:rFonts w:ascii="Arial"/>
                <w:spacing w:val="-1"/>
                <w:sz w:val="18"/>
              </w:rPr>
              <w:t>2,557,781,469</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1"/>
              <w:jc w:val="right"/>
              <w:rPr>
                <w:rFonts w:ascii="Arial" w:hAnsi="Arial" w:cs="Arial" w:eastAsia="Arial" w:hint="default"/>
                <w:sz w:val="18"/>
                <w:szCs w:val="18"/>
              </w:rPr>
            </w:pPr>
            <w:r>
              <w:rPr>
                <w:rFonts w:ascii="Arial"/>
                <w:spacing w:val="-1"/>
                <w:sz w:val="18"/>
              </w:rPr>
              <w:t>3,388,507,201</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61"/>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w w:val="99"/>
                <w:sz w:val="18"/>
              </w:rPr>
              <w:t>-</w:t>
            </w:r>
            <w:r>
              <w:rPr>
                <w:rFonts w:ascii="Arial"/>
                <w:sz w:val="18"/>
              </w:rPr>
            </w: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5"/>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(45)(3)</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9"/>
              <w:jc w:val="right"/>
              <w:rPr>
                <w:rFonts w:ascii="Arial" w:hAnsi="Arial" w:cs="Arial" w:eastAsia="Arial" w:hint="default"/>
                <w:sz w:val="18"/>
                <w:szCs w:val="18"/>
              </w:rPr>
            </w:pPr>
            <w:r>
              <w:rPr>
                <w:rFonts w:ascii="Arial"/>
                <w:spacing w:val="-1"/>
                <w:sz w:val="18"/>
              </w:rPr>
              <w:t>266,278,342</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40,086,141</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62"/>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1"/>
              <w:jc w:val="right"/>
              <w:rPr>
                <w:rFonts w:ascii="Arial" w:hAnsi="Arial" w:cs="Arial" w:eastAsia="Arial" w:hint="default"/>
                <w:sz w:val="18"/>
                <w:szCs w:val="18"/>
              </w:rPr>
            </w:pPr>
            <w:r>
              <w:rPr>
                <w:rFonts w:ascii="Arial"/>
                <w:w w:val="99"/>
                <w:sz w:val="18"/>
              </w:rPr>
              <w:t>-</w:t>
            </w:r>
            <w:r>
              <w:rPr>
                <w:rFonts w:ascii="Arial"/>
                <w:sz w:val="18"/>
              </w:rPr>
            </w: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218"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9"/>
              <w:jc w:val="right"/>
              <w:rPr>
                <w:rFonts w:ascii="Arial" w:hAnsi="Arial" w:cs="Arial" w:eastAsia="Arial" w:hint="default"/>
                <w:sz w:val="18"/>
                <w:szCs w:val="18"/>
              </w:rPr>
            </w:pPr>
            <w:r>
              <w:rPr>
                <w:rFonts w:ascii="Arial"/>
                <w:w w:val="99"/>
                <w:sz w:val="18"/>
              </w:rPr>
              <w:t>-</w:t>
            </w:r>
            <w:r>
              <w:rPr>
                <w:rFonts w:ascii="Arial"/>
                <w:sz w:val="18"/>
              </w:rPr>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59"/>
              <w:jc w:val="right"/>
              <w:rPr>
                <w:rFonts w:ascii="Arial" w:hAnsi="Arial" w:cs="Arial" w:eastAsia="Arial" w:hint="default"/>
                <w:sz w:val="18"/>
                <w:szCs w:val="18"/>
              </w:rPr>
            </w:pPr>
            <w:r>
              <w:rPr>
                <w:rFonts w:ascii="Arial"/>
                <w:spacing w:val="-1"/>
                <w:sz w:val="18"/>
              </w:rPr>
              <w:t>1,848,172</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61"/>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w w:val="99"/>
                <w:sz w:val="18"/>
              </w:rPr>
              <w:t>-</w:t>
            </w:r>
            <w:r>
              <w:rPr>
                <w:rFonts w:ascii="Arial"/>
                <w:sz w:val="18"/>
              </w:rPr>
            </w: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1" w:right="0"/>
              <w:jc w:val="left"/>
              <w:rPr>
                <w:rFonts w:ascii="黑体" w:hAnsi="黑体" w:cs="黑体" w:eastAsia="黑体" w:hint="default"/>
                <w:sz w:val="18"/>
                <w:szCs w:val="18"/>
              </w:rPr>
            </w:pPr>
            <w:r>
              <w:rPr>
                <w:rFonts w:ascii="黑体" w:hAnsi="黑体" w:cs="黑体" w:eastAsia="黑体" w:hint="default"/>
                <w:sz w:val="18"/>
                <w:szCs w:val="18"/>
              </w:rPr>
              <w:t>非流动负债合计</w:t>
            </w:r>
          </w:p>
        </w:tc>
        <w:tc>
          <w:tcPr>
            <w:tcW w:w="1218"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0"/>
              <w:jc w:val="right"/>
              <w:rPr>
                <w:rFonts w:ascii="Arial" w:hAnsi="Arial" w:cs="Arial" w:eastAsia="Arial" w:hint="default"/>
                <w:sz w:val="18"/>
                <w:szCs w:val="18"/>
              </w:rPr>
            </w:pPr>
            <w:r>
              <w:rPr>
                <w:rFonts w:ascii="Arial"/>
                <w:spacing w:val="-1"/>
                <w:sz w:val="18"/>
              </w:rPr>
              <w:t>10,774,428,542</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13,116,402,351</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61"/>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w w:val="99"/>
                <w:sz w:val="18"/>
              </w:rPr>
              <w:t>-</w:t>
            </w:r>
            <w:r>
              <w:rPr>
                <w:rFonts w:ascii="Arial"/>
                <w:sz w:val="18"/>
              </w:rPr>
            </w: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6" w:space="0" w:color="000000"/>
            </w:tcBorders>
          </w:tcPr>
          <w:p>
            <w:pPr/>
          </w:p>
        </w:tc>
        <w:tc>
          <w:tcPr>
            <w:tcW w:w="1735" w:type="dxa"/>
            <w:tcBorders>
              <w:top w:val="single" w:sz="6" w:space="0" w:color="000000"/>
              <w:left w:val="single" w:sz="6" w:space="0" w:color="000000"/>
              <w:bottom w:val="single" w:sz="6" w:space="0" w:color="000000"/>
              <w:right w:val="single" w:sz="6" w:space="0" w:color="000000"/>
            </w:tcBorders>
          </w:tcPr>
          <w:p>
            <w:pPr/>
          </w:p>
        </w:tc>
        <w:tc>
          <w:tcPr>
            <w:tcW w:w="1739" w:type="dxa"/>
            <w:tcBorders>
              <w:top w:val="single" w:sz="6" w:space="0" w:color="000000"/>
              <w:left w:val="single" w:sz="6" w:space="0" w:color="000000"/>
              <w:bottom w:val="single" w:sz="6" w:space="0" w:color="000000"/>
              <w:right w:val="single" w:sz="6" w:space="0" w:color="000000"/>
            </w:tcBorders>
          </w:tcPr>
          <w:p>
            <w:pPr/>
          </w:p>
        </w:tc>
        <w:tc>
          <w:tcPr>
            <w:tcW w:w="1708" w:type="dxa"/>
            <w:tcBorders>
              <w:top w:val="single" w:sz="6" w:space="0" w:color="000000"/>
              <w:left w:val="single" w:sz="6" w:space="0" w:color="000000"/>
              <w:bottom w:val="single" w:sz="6" w:space="0" w:color="000000"/>
              <w:right w:val="single" w:sz="6" w:space="0" w:color="000000"/>
            </w:tcBorders>
          </w:tcPr>
          <w:p>
            <w:pP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1" w:right="0"/>
              <w:jc w:val="left"/>
              <w:rPr>
                <w:rFonts w:ascii="黑体" w:hAnsi="黑体" w:cs="黑体" w:eastAsia="黑体" w:hint="default"/>
                <w:sz w:val="18"/>
                <w:szCs w:val="18"/>
              </w:rPr>
            </w:pPr>
            <w:r>
              <w:rPr>
                <w:rFonts w:ascii="黑体" w:hAnsi="黑体" w:cs="黑体" w:eastAsia="黑体" w:hint="default"/>
                <w:sz w:val="18"/>
                <w:szCs w:val="18"/>
              </w:rPr>
              <w:t>负债合计</w:t>
            </w:r>
          </w:p>
        </w:tc>
        <w:tc>
          <w:tcPr>
            <w:tcW w:w="1218"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9"/>
              <w:jc w:val="right"/>
              <w:rPr>
                <w:rFonts w:ascii="Arial" w:hAnsi="Arial" w:cs="Arial" w:eastAsia="Arial" w:hint="default"/>
                <w:sz w:val="18"/>
                <w:szCs w:val="18"/>
              </w:rPr>
            </w:pPr>
            <w:r>
              <w:rPr>
                <w:rFonts w:ascii="Arial"/>
                <w:spacing w:val="-1"/>
                <w:sz w:val="18"/>
              </w:rPr>
              <w:t>210,386,824,377</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left="307" w:right="0"/>
              <w:jc w:val="left"/>
              <w:rPr>
                <w:rFonts w:ascii="Arial" w:hAnsi="Arial" w:cs="Arial" w:eastAsia="Arial" w:hint="default"/>
                <w:sz w:val="18"/>
                <w:szCs w:val="18"/>
              </w:rPr>
            </w:pPr>
            <w:r>
              <w:rPr>
                <w:rFonts w:ascii="Arial"/>
                <w:sz w:val="18"/>
              </w:rPr>
              <w:t>141,735,805,128</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61"/>
              <w:jc w:val="right"/>
              <w:rPr>
                <w:rFonts w:ascii="Arial" w:hAnsi="Arial" w:cs="Arial" w:eastAsia="Arial" w:hint="default"/>
                <w:sz w:val="18"/>
                <w:szCs w:val="18"/>
              </w:rPr>
            </w:pPr>
            <w:r>
              <w:rPr>
                <w:rFonts w:ascii="Arial"/>
                <w:spacing w:val="-1"/>
                <w:sz w:val="18"/>
              </w:rPr>
              <w:t>7,581,978</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8,199,505</w:t>
            </w: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6" w:space="0" w:color="000000"/>
            </w:tcBorders>
          </w:tcPr>
          <w:p>
            <w:pPr/>
          </w:p>
        </w:tc>
        <w:tc>
          <w:tcPr>
            <w:tcW w:w="1735" w:type="dxa"/>
            <w:tcBorders>
              <w:top w:val="single" w:sz="6" w:space="0" w:color="000000"/>
              <w:left w:val="single" w:sz="6" w:space="0" w:color="000000"/>
              <w:bottom w:val="single" w:sz="6" w:space="0" w:color="000000"/>
              <w:right w:val="single" w:sz="6" w:space="0" w:color="000000"/>
            </w:tcBorders>
          </w:tcPr>
          <w:p>
            <w:pPr/>
          </w:p>
        </w:tc>
        <w:tc>
          <w:tcPr>
            <w:tcW w:w="1739" w:type="dxa"/>
            <w:tcBorders>
              <w:top w:val="single" w:sz="6" w:space="0" w:color="000000"/>
              <w:left w:val="single" w:sz="6" w:space="0" w:color="000000"/>
              <w:bottom w:val="single" w:sz="6" w:space="0" w:color="000000"/>
              <w:right w:val="single" w:sz="6" w:space="0" w:color="000000"/>
            </w:tcBorders>
          </w:tcPr>
          <w:p>
            <w:pPr/>
          </w:p>
        </w:tc>
        <w:tc>
          <w:tcPr>
            <w:tcW w:w="1708" w:type="dxa"/>
            <w:tcBorders>
              <w:top w:val="single" w:sz="6" w:space="0" w:color="000000"/>
              <w:left w:val="single" w:sz="6" w:space="0" w:color="000000"/>
              <w:bottom w:val="single" w:sz="6" w:space="0" w:color="000000"/>
              <w:right w:val="single" w:sz="6" w:space="0" w:color="000000"/>
            </w:tcBorders>
          </w:tcPr>
          <w:p>
            <w:pP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1" w:right="0"/>
              <w:jc w:val="left"/>
              <w:rPr>
                <w:rFonts w:ascii="黑体" w:hAnsi="黑体" w:cs="黑体" w:eastAsia="黑体" w:hint="default"/>
                <w:sz w:val="18"/>
                <w:szCs w:val="18"/>
              </w:rPr>
            </w:pPr>
            <w:r>
              <w:rPr>
                <w:rFonts w:ascii="黑体" w:hAnsi="黑体" w:cs="黑体" w:eastAsia="黑体" w:hint="default"/>
                <w:sz w:val="18"/>
                <w:szCs w:val="18"/>
              </w:rPr>
              <w:t>股东权益</w:t>
            </w:r>
          </w:p>
        </w:tc>
        <w:tc>
          <w:tcPr>
            <w:tcW w:w="1218"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6" w:space="0" w:color="000000"/>
            </w:tcBorders>
          </w:tcPr>
          <w:p>
            <w:pPr/>
          </w:p>
        </w:tc>
        <w:tc>
          <w:tcPr>
            <w:tcW w:w="1735" w:type="dxa"/>
            <w:tcBorders>
              <w:top w:val="single" w:sz="6" w:space="0" w:color="000000"/>
              <w:left w:val="single" w:sz="6" w:space="0" w:color="000000"/>
              <w:bottom w:val="single" w:sz="6" w:space="0" w:color="000000"/>
              <w:right w:val="single" w:sz="6" w:space="0" w:color="000000"/>
            </w:tcBorders>
          </w:tcPr>
          <w:p>
            <w:pPr/>
          </w:p>
        </w:tc>
        <w:tc>
          <w:tcPr>
            <w:tcW w:w="1739" w:type="dxa"/>
            <w:tcBorders>
              <w:top w:val="single" w:sz="6" w:space="0" w:color="000000"/>
              <w:left w:val="single" w:sz="6" w:space="0" w:color="000000"/>
              <w:bottom w:val="single" w:sz="6" w:space="0" w:color="000000"/>
              <w:right w:val="single" w:sz="6" w:space="0" w:color="000000"/>
            </w:tcBorders>
          </w:tcPr>
          <w:p>
            <w:pPr/>
          </w:p>
        </w:tc>
        <w:tc>
          <w:tcPr>
            <w:tcW w:w="1708" w:type="dxa"/>
            <w:tcBorders>
              <w:top w:val="single" w:sz="6" w:space="0" w:color="000000"/>
              <w:left w:val="single" w:sz="6" w:space="0" w:color="000000"/>
              <w:bottom w:val="single" w:sz="6" w:space="0" w:color="000000"/>
              <w:right w:val="single" w:sz="6" w:space="0" w:color="000000"/>
            </w:tcBorders>
          </w:tcPr>
          <w:p>
            <w:pP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(30)</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0"/>
              <w:jc w:val="right"/>
              <w:rPr>
                <w:rFonts w:ascii="Arial" w:hAnsi="Arial" w:cs="Arial" w:eastAsia="Arial" w:hint="default"/>
                <w:sz w:val="18"/>
                <w:szCs w:val="18"/>
              </w:rPr>
            </w:pPr>
            <w:r>
              <w:rPr>
                <w:rFonts w:ascii="Arial"/>
                <w:spacing w:val="-1"/>
                <w:sz w:val="18"/>
              </w:rPr>
              <w:t>21,196,596,395</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21,196,596,395</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1"/>
              <w:jc w:val="right"/>
              <w:rPr>
                <w:rFonts w:ascii="Arial" w:hAnsi="Arial" w:cs="Arial" w:eastAsia="Arial" w:hint="default"/>
                <w:sz w:val="18"/>
                <w:szCs w:val="18"/>
              </w:rPr>
            </w:pPr>
            <w:r>
              <w:rPr>
                <w:rFonts w:ascii="Arial"/>
                <w:spacing w:val="-1"/>
                <w:sz w:val="18"/>
              </w:rPr>
              <w:t>21,196,596,395</w:t>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21,196,596,395</w:t>
            </w: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(31)</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0"/>
              <w:jc w:val="right"/>
              <w:rPr>
                <w:rFonts w:ascii="Arial" w:hAnsi="Arial" w:cs="Arial" w:eastAsia="Arial" w:hint="default"/>
                <w:sz w:val="18"/>
                <w:szCs w:val="18"/>
              </w:rPr>
            </w:pPr>
            <w:r>
              <w:rPr>
                <w:rFonts w:ascii="Arial"/>
                <w:spacing w:val="-1"/>
                <w:sz w:val="18"/>
              </w:rPr>
              <w:t>28,060,074,201</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26,476,082,290</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1"/>
              <w:jc w:val="right"/>
              <w:rPr>
                <w:rFonts w:ascii="Arial" w:hAnsi="Arial" w:cs="Arial" w:eastAsia="Arial" w:hint="default"/>
                <w:sz w:val="18"/>
                <w:szCs w:val="18"/>
              </w:rPr>
            </w:pPr>
            <w:r>
              <w:rPr>
                <w:rFonts w:ascii="Arial"/>
                <w:spacing w:val="-1"/>
                <w:sz w:val="18"/>
              </w:rPr>
              <w:t>17,111,103,108</w:t>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17,111,103,108</w:t>
            </w: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(32)</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9"/>
              <w:jc w:val="right"/>
              <w:rPr>
                <w:rFonts w:ascii="Arial" w:hAnsi="Arial" w:cs="Arial" w:eastAsia="Arial" w:hint="default"/>
                <w:sz w:val="18"/>
                <w:szCs w:val="18"/>
              </w:rPr>
            </w:pPr>
            <w:r>
              <w:rPr>
                <w:rFonts w:ascii="Arial"/>
                <w:spacing w:val="-1"/>
                <w:sz w:val="18"/>
              </w:rPr>
              <w:t>558,500,106</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400,110,494</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1"/>
              <w:jc w:val="right"/>
              <w:rPr>
                <w:rFonts w:ascii="Arial" w:hAnsi="Arial" w:cs="Arial" w:eastAsia="Arial" w:hint="default"/>
                <w:sz w:val="18"/>
                <w:szCs w:val="18"/>
              </w:rPr>
            </w:pPr>
            <w:r>
              <w:rPr>
                <w:rFonts w:ascii="Arial"/>
                <w:spacing w:val="-1"/>
                <w:sz w:val="18"/>
              </w:rPr>
              <w:t>558,500,106</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400,110,494</w:t>
            </w:r>
          </w:p>
        </w:tc>
      </w:tr>
      <w:tr>
        <w:trPr>
          <w:trHeight w:val="27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ind w:left="27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5" w:lineRule="exact"/>
              <w:ind w:right="124"/>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(33)</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00"/>
              <w:jc w:val="right"/>
              <w:rPr>
                <w:rFonts w:ascii="Arial" w:hAnsi="Arial" w:cs="Arial" w:eastAsia="Arial" w:hint="default"/>
                <w:sz w:val="18"/>
                <w:szCs w:val="18"/>
              </w:rPr>
            </w:pPr>
            <w:r>
              <w:rPr>
                <w:rFonts w:ascii="Arial"/>
                <w:spacing w:val="-1"/>
                <w:sz w:val="18"/>
              </w:rPr>
              <w:t>21,188,259,723</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60"/>
              <w:jc w:val="right"/>
              <w:rPr>
                <w:rFonts w:ascii="Arial" w:hAnsi="Arial" w:cs="Arial" w:eastAsia="Arial" w:hint="default"/>
                <w:sz w:val="18"/>
                <w:szCs w:val="18"/>
              </w:rPr>
            </w:pPr>
            <w:r>
              <w:rPr>
                <w:rFonts w:ascii="Arial"/>
                <w:spacing w:val="-1"/>
                <w:sz w:val="18"/>
              </w:rPr>
              <w:t>22,637,992,941</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91"/>
              <w:jc w:val="right"/>
              <w:rPr>
                <w:rFonts w:ascii="Arial" w:hAnsi="Arial" w:cs="Arial" w:eastAsia="Arial" w:hint="default"/>
                <w:sz w:val="18"/>
                <w:szCs w:val="18"/>
              </w:rPr>
            </w:pPr>
            <w:r>
              <w:rPr>
                <w:rFonts w:ascii="Arial"/>
                <w:spacing w:val="-1"/>
                <w:sz w:val="18"/>
              </w:rPr>
              <w:t>2,395,191</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60"/>
              <w:jc w:val="right"/>
              <w:rPr>
                <w:rFonts w:ascii="Arial" w:hAnsi="Arial" w:cs="Arial" w:eastAsia="Arial" w:hint="default"/>
                <w:sz w:val="18"/>
                <w:szCs w:val="18"/>
              </w:rPr>
            </w:pPr>
            <w:r>
              <w:rPr>
                <w:rFonts w:ascii="Arial"/>
                <w:spacing w:val="-1"/>
                <w:sz w:val="18"/>
              </w:rPr>
              <w:t>1,299,961</w:t>
            </w: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218"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40"/>
              <w:jc w:val="right"/>
              <w:rPr>
                <w:rFonts w:ascii="Arial" w:hAnsi="Arial" w:cs="Arial" w:eastAsia="Arial" w:hint="default"/>
                <w:sz w:val="18"/>
                <w:szCs w:val="18"/>
              </w:rPr>
            </w:pPr>
            <w:r>
              <w:rPr>
                <w:rFonts w:ascii="Arial"/>
                <w:spacing w:val="-1"/>
                <w:sz w:val="18"/>
              </w:rPr>
              <w:t>(19,544,587)</w:t>
            </w:r>
            <w:r>
              <w:rPr>
                <w:rFonts w:ascii="Arial"/>
                <w:sz w:val="18"/>
              </w:rPr>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2"/>
              <w:jc w:val="right"/>
              <w:rPr>
                <w:rFonts w:ascii="Arial" w:hAnsi="Arial" w:cs="Arial" w:eastAsia="Arial" w:hint="default"/>
                <w:sz w:val="18"/>
                <w:szCs w:val="18"/>
              </w:rPr>
            </w:pPr>
            <w:r>
              <w:rPr>
                <w:rFonts w:ascii="Arial"/>
                <w:spacing w:val="-1"/>
                <w:sz w:val="18"/>
              </w:rPr>
              <w:t>(19,458,680)</w:t>
            </w:r>
            <w:r>
              <w:rPr>
                <w:rFonts w:ascii="Arial"/>
                <w:sz w:val="18"/>
              </w:rPr>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3"/>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2"/>
              <w:jc w:val="right"/>
              <w:rPr>
                <w:rFonts w:ascii="Arial" w:hAnsi="Arial" w:cs="Arial" w:eastAsia="Arial" w:hint="default"/>
                <w:sz w:val="18"/>
                <w:szCs w:val="18"/>
              </w:rPr>
            </w:pPr>
            <w:r>
              <w:rPr>
                <w:rFonts w:ascii="Arial"/>
                <w:w w:val="99"/>
                <w:sz w:val="18"/>
              </w:rPr>
              <w:t>-</w:t>
            </w:r>
            <w:r>
              <w:rPr>
                <w:rFonts w:ascii="Arial"/>
                <w:sz w:val="18"/>
              </w:rPr>
            </w: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right="194"/>
              <w:jc w:val="right"/>
              <w:rPr>
                <w:rFonts w:ascii="黑体" w:hAnsi="黑体" w:cs="黑体" w:eastAsia="黑体" w:hint="default"/>
                <w:sz w:val="18"/>
                <w:szCs w:val="18"/>
              </w:rPr>
            </w:pPr>
            <w:r>
              <w:rPr>
                <w:rFonts w:ascii="黑体" w:hAnsi="黑体" w:cs="黑体" w:eastAsia="黑体" w:hint="default"/>
                <w:sz w:val="18"/>
                <w:szCs w:val="18"/>
              </w:rPr>
              <w:t>归属母公司股东权益合计</w:t>
            </w:r>
          </w:p>
        </w:tc>
        <w:tc>
          <w:tcPr>
            <w:tcW w:w="1218"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0"/>
              <w:jc w:val="right"/>
              <w:rPr>
                <w:rFonts w:ascii="Arial" w:hAnsi="Arial" w:cs="Arial" w:eastAsia="Arial" w:hint="default"/>
                <w:sz w:val="18"/>
                <w:szCs w:val="18"/>
              </w:rPr>
            </w:pPr>
            <w:r>
              <w:rPr>
                <w:rFonts w:ascii="Arial"/>
                <w:spacing w:val="-1"/>
                <w:sz w:val="18"/>
              </w:rPr>
              <w:t>70,983,885,838</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70,691,323,440</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0"/>
              <w:jc w:val="right"/>
              <w:rPr>
                <w:rFonts w:ascii="Arial" w:hAnsi="Arial" w:cs="Arial" w:eastAsia="Arial" w:hint="default"/>
                <w:sz w:val="18"/>
                <w:szCs w:val="18"/>
              </w:rPr>
            </w:pPr>
            <w:r>
              <w:rPr>
                <w:rFonts w:ascii="Arial"/>
                <w:spacing w:val="-1"/>
                <w:sz w:val="18"/>
              </w:rPr>
              <w:t>38,868,594,800</w:t>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38,709,109,958</w:t>
            </w: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6" w:space="0" w:color="000000"/>
            </w:tcBorders>
          </w:tcPr>
          <w:p>
            <w:pPr/>
          </w:p>
        </w:tc>
        <w:tc>
          <w:tcPr>
            <w:tcW w:w="1735" w:type="dxa"/>
            <w:tcBorders>
              <w:top w:val="single" w:sz="6" w:space="0" w:color="000000"/>
              <w:left w:val="single" w:sz="6" w:space="0" w:color="000000"/>
              <w:bottom w:val="single" w:sz="6" w:space="0" w:color="000000"/>
              <w:right w:val="single" w:sz="6" w:space="0" w:color="000000"/>
            </w:tcBorders>
          </w:tcPr>
          <w:p>
            <w:pPr/>
          </w:p>
        </w:tc>
        <w:tc>
          <w:tcPr>
            <w:tcW w:w="1739" w:type="dxa"/>
            <w:tcBorders>
              <w:top w:val="single" w:sz="6" w:space="0" w:color="000000"/>
              <w:left w:val="single" w:sz="6" w:space="0" w:color="000000"/>
              <w:bottom w:val="single" w:sz="6" w:space="0" w:color="000000"/>
              <w:right w:val="single" w:sz="6" w:space="0" w:color="000000"/>
            </w:tcBorders>
          </w:tcPr>
          <w:p>
            <w:pPr/>
          </w:p>
        </w:tc>
        <w:tc>
          <w:tcPr>
            <w:tcW w:w="1708" w:type="dxa"/>
            <w:tcBorders>
              <w:top w:val="single" w:sz="6" w:space="0" w:color="000000"/>
              <w:left w:val="single" w:sz="6" w:space="0" w:color="000000"/>
              <w:bottom w:val="single" w:sz="6" w:space="0" w:color="000000"/>
              <w:right w:val="single" w:sz="6" w:space="0" w:color="000000"/>
            </w:tcBorders>
          </w:tcPr>
          <w:p>
            <w:pP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272" w:right="0"/>
              <w:jc w:val="left"/>
              <w:rPr>
                <w:rFonts w:ascii="黑体" w:hAnsi="黑体" w:cs="黑体" w:eastAsia="黑体" w:hint="default"/>
                <w:sz w:val="18"/>
                <w:szCs w:val="18"/>
              </w:rPr>
            </w:pPr>
            <w:r>
              <w:rPr>
                <w:rFonts w:ascii="黑体" w:hAnsi="黑体" w:cs="黑体" w:eastAsia="黑体" w:hint="default"/>
                <w:sz w:val="18"/>
                <w:szCs w:val="18"/>
              </w:rPr>
              <w:t>少数股东权益</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25" w:lineRule="exact"/>
              <w:ind w:right="125"/>
              <w:jc w:val="center"/>
              <w:rPr>
                <w:rFonts w:ascii="Arial" w:hAnsi="Arial" w:cs="Arial" w:eastAsia="Arial" w:hint="default"/>
                <w:sz w:val="18"/>
                <w:szCs w:val="18"/>
              </w:rPr>
            </w:pPr>
            <w:r>
              <w:rPr>
                <w:rFonts w:ascii="宋体" w:hAnsi="宋体" w:cs="宋体" w:eastAsia="宋体" w:hint="default"/>
                <w:sz w:val="18"/>
                <w:szCs w:val="18"/>
              </w:rPr>
              <w:t>五</w:t>
            </w:r>
            <w:r>
              <w:rPr>
                <w:rFonts w:ascii="Arial" w:hAnsi="Arial" w:cs="Arial" w:eastAsia="Arial" w:hint="default"/>
                <w:sz w:val="18"/>
                <w:szCs w:val="18"/>
              </w:rPr>
              <w:t>(34)(1)</w:t>
            </w: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00"/>
              <w:jc w:val="right"/>
              <w:rPr>
                <w:rFonts w:ascii="Arial" w:hAnsi="Arial" w:cs="Arial" w:eastAsia="Arial" w:hint="default"/>
                <w:sz w:val="18"/>
                <w:szCs w:val="18"/>
              </w:rPr>
            </w:pPr>
            <w:r>
              <w:rPr>
                <w:rFonts w:ascii="Arial"/>
                <w:spacing w:val="-1"/>
                <w:sz w:val="18"/>
              </w:rPr>
              <w:t>137,861,586,694</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left="307" w:right="0"/>
              <w:jc w:val="left"/>
              <w:rPr>
                <w:rFonts w:ascii="Arial" w:hAnsi="Arial" w:cs="Arial" w:eastAsia="Arial" w:hint="default"/>
                <w:sz w:val="18"/>
                <w:szCs w:val="18"/>
              </w:rPr>
            </w:pPr>
            <w:r>
              <w:rPr>
                <w:rFonts w:ascii="Arial"/>
                <w:sz w:val="18"/>
              </w:rPr>
              <w:t>139,420,014,954</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161"/>
              <w:jc w:val="right"/>
              <w:rPr>
                <w:rFonts w:ascii="Arial" w:hAnsi="Arial" w:cs="Arial" w:eastAsia="Arial" w:hint="default"/>
                <w:sz w:val="18"/>
                <w:szCs w:val="18"/>
              </w:rPr>
            </w:pPr>
            <w:r>
              <w:rPr>
                <w:rFonts w:ascii="Arial"/>
                <w:w w:val="99"/>
                <w:sz w:val="18"/>
              </w:rPr>
              <w:t>-</w:t>
            </w:r>
            <w:r>
              <w:rPr>
                <w:rFonts w:ascii="Arial"/>
                <w:sz w:val="18"/>
              </w:rPr>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w w:val="99"/>
                <w:sz w:val="18"/>
              </w:rPr>
              <w:t>-</w:t>
            </w:r>
            <w:r>
              <w:rPr>
                <w:rFonts w:ascii="Arial"/>
                <w:sz w:val="18"/>
              </w:rPr>
            </w: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1" w:right="0"/>
              <w:jc w:val="left"/>
              <w:rPr>
                <w:rFonts w:ascii="黑体" w:hAnsi="黑体" w:cs="黑体" w:eastAsia="黑体" w:hint="default"/>
                <w:sz w:val="18"/>
                <w:szCs w:val="18"/>
              </w:rPr>
            </w:pPr>
            <w:r>
              <w:rPr>
                <w:rFonts w:ascii="黑体" w:hAnsi="黑体" w:cs="黑体" w:eastAsia="黑体" w:hint="default"/>
                <w:sz w:val="18"/>
                <w:szCs w:val="18"/>
              </w:rPr>
              <w:t>股东权益合计</w:t>
            </w:r>
          </w:p>
        </w:tc>
        <w:tc>
          <w:tcPr>
            <w:tcW w:w="1218"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9"/>
              <w:jc w:val="right"/>
              <w:rPr>
                <w:rFonts w:ascii="Arial" w:hAnsi="Arial" w:cs="Arial" w:eastAsia="Arial" w:hint="default"/>
                <w:sz w:val="18"/>
                <w:szCs w:val="18"/>
              </w:rPr>
            </w:pPr>
            <w:r>
              <w:rPr>
                <w:rFonts w:ascii="Arial"/>
                <w:spacing w:val="-1"/>
                <w:sz w:val="18"/>
              </w:rPr>
              <w:t>208,845,472,532</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left="308" w:right="0"/>
              <w:jc w:val="left"/>
              <w:rPr>
                <w:rFonts w:ascii="Arial" w:hAnsi="Arial" w:cs="Arial" w:eastAsia="Arial" w:hint="default"/>
                <w:sz w:val="18"/>
                <w:szCs w:val="18"/>
              </w:rPr>
            </w:pPr>
            <w:r>
              <w:rPr>
                <w:rFonts w:ascii="Arial"/>
                <w:sz w:val="18"/>
              </w:rPr>
              <w:t>210,111,338,394</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1"/>
              <w:jc w:val="right"/>
              <w:rPr>
                <w:rFonts w:ascii="Arial" w:hAnsi="Arial" w:cs="Arial" w:eastAsia="Arial" w:hint="default"/>
                <w:sz w:val="18"/>
                <w:szCs w:val="18"/>
              </w:rPr>
            </w:pPr>
            <w:r>
              <w:rPr>
                <w:rFonts w:ascii="Arial"/>
                <w:spacing w:val="-1"/>
                <w:sz w:val="18"/>
              </w:rPr>
              <w:t>38,868,594,800</w:t>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38,709,109,958</w:t>
            </w:r>
          </w:p>
        </w:tc>
      </w:tr>
      <w:tr>
        <w:trPr>
          <w:trHeight w:val="256" w:hRule="exact"/>
        </w:trPr>
        <w:tc>
          <w:tcPr>
            <w:tcW w:w="2464" w:type="dxa"/>
            <w:tcBorders>
              <w:top w:val="single" w:sz="6" w:space="0" w:color="000000"/>
              <w:left w:val="single" w:sz="6"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6" w:space="0" w:color="000000"/>
            </w:tcBorders>
          </w:tcPr>
          <w:p>
            <w:pPr/>
          </w:p>
        </w:tc>
        <w:tc>
          <w:tcPr>
            <w:tcW w:w="1735" w:type="dxa"/>
            <w:tcBorders>
              <w:top w:val="single" w:sz="6" w:space="0" w:color="000000"/>
              <w:left w:val="single" w:sz="6" w:space="0" w:color="000000"/>
              <w:bottom w:val="single" w:sz="6" w:space="0" w:color="000000"/>
              <w:right w:val="single" w:sz="6" w:space="0" w:color="000000"/>
            </w:tcBorders>
          </w:tcPr>
          <w:p>
            <w:pPr/>
          </w:p>
        </w:tc>
        <w:tc>
          <w:tcPr>
            <w:tcW w:w="1739" w:type="dxa"/>
            <w:tcBorders>
              <w:top w:val="single" w:sz="6" w:space="0" w:color="000000"/>
              <w:left w:val="single" w:sz="6" w:space="0" w:color="000000"/>
              <w:bottom w:val="single" w:sz="6" w:space="0" w:color="000000"/>
              <w:right w:val="single" w:sz="6" w:space="0" w:color="000000"/>
            </w:tcBorders>
          </w:tcPr>
          <w:p>
            <w:pPr/>
          </w:p>
        </w:tc>
        <w:tc>
          <w:tcPr>
            <w:tcW w:w="1708" w:type="dxa"/>
            <w:tcBorders>
              <w:top w:val="single" w:sz="6" w:space="0" w:color="000000"/>
              <w:left w:val="single" w:sz="6" w:space="0" w:color="000000"/>
              <w:bottom w:val="single" w:sz="6" w:space="0" w:color="000000"/>
              <w:right w:val="single" w:sz="6" w:space="0" w:color="000000"/>
            </w:tcBorders>
          </w:tcPr>
          <w:p>
            <w:pPr/>
          </w:p>
        </w:tc>
      </w:tr>
      <w:tr>
        <w:trPr>
          <w:trHeight w:val="254" w:hRule="exact"/>
        </w:trPr>
        <w:tc>
          <w:tcPr>
            <w:tcW w:w="2464"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91" w:right="0"/>
              <w:jc w:val="left"/>
              <w:rPr>
                <w:rFonts w:ascii="黑体" w:hAnsi="黑体" w:cs="黑体" w:eastAsia="黑体" w:hint="default"/>
                <w:sz w:val="18"/>
                <w:szCs w:val="18"/>
              </w:rPr>
            </w:pPr>
            <w:r>
              <w:rPr>
                <w:rFonts w:ascii="黑体" w:hAnsi="黑体" w:cs="黑体" w:eastAsia="黑体" w:hint="default"/>
                <w:sz w:val="18"/>
                <w:szCs w:val="18"/>
              </w:rPr>
              <w:t>负债和股东权益总计</w:t>
            </w:r>
          </w:p>
        </w:tc>
        <w:tc>
          <w:tcPr>
            <w:tcW w:w="1218" w:type="dxa"/>
            <w:tcBorders>
              <w:top w:val="single" w:sz="6" w:space="0" w:color="000000"/>
              <w:left w:val="single" w:sz="6" w:space="0" w:color="000000"/>
              <w:bottom w:val="single" w:sz="6" w:space="0" w:color="000000"/>
              <w:right w:val="single" w:sz="6" w:space="0" w:color="000000"/>
            </w:tcBorders>
          </w:tcPr>
          <w:p>
            <w:pPr/>
          </w:p>
        </w:tc>
        <w:tc>
          <w:tcPr>
            <w:tcW w:w="17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9"/>
              <w:jc w:val="right"/>
              <w:rPr>
                <w:rFonts w:ascii="Arial" w:hAnsi="Arial" w:cs="Arial" w:eastAsia="Arial" w:hint="default"/>
                <w:sz w:val="18"/>
                <w:szCs w:val="18"/>
              </w:rPr>
            </w:pPr>
            <w:r>
              <w:rPr>
                <w:rFonts w:ascii="Arial"/>
                <w:spacing w:val="-1"/>
                <w:sz w:val="18"/>
              </w:rPr>
              <w:t>419,232,296,909</w:t>
            </w:r>
          </w:p>
        </w:tc>
        <w:tc>
          <w:tcPr>
            <w:tcW w:w="1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left="308" w:right="0"/>
              <w:jc w:val="left"/>
              <w:rPr>
                <w:rFonts w:ascii="Arial" w:hAnsi="Arial" w:cs="Arial" w:eastAsia="Arial" w:hint="default"/>
                <w:sz w:val="18"/>
                <w:szCs w:val="18"/>
              </w:rPr>
            </w:pPr>
            <w:r>
              <w:rPr>
                <w:rFonts w:ascii="Arial"/>
                <w:sz w:val="18"/>
              </w:rPr>
              <w:t>351,847,143,522</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91"/>
              <w:jc w:val="right"/>
              <w:rPr>
                <w:rFonts w:ascii="Arial" w:hAnsi="Arial" w:cs="Arial" w:eastAsia="Arial" w:hint="default"/>
                <w:sz w:val="18"/>
                <w:szCs w:val="18"/>
              </w:rPr>
            </w:pPr>
            <w:r>
              <w:rPr>
                <w:rFonts w:ascii="Arial"/>
                <w:spacing w:val="-1"/>
                <w:sz w:val="18"/>
              </w:rPr>
              <w:t>38,876,176,778</w:t>
            </w:r>
          </w:p>
        </w:tc>
        <w:tc>
          <w:tcPr>
            <w:tcW w:w="17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1"/>
              <w:ind w:right="60"/>
              <w:jc w:val="right"/>
              <w:rPr>
                <w:rFonts w:ascii="Arial" w:hAnsi="Arial" w:cs="Arial" w:eastAsia="Arial" w:hint="default"/>
                <w:sz w:val="18"/>
                <w:szCs w:val="18"/>
              </w:rPr>
            </w:pPr>
            <w:r>
              <w:rPr>
                <w:rFonts w:ascii="Arial"/>
                <w:spacing w:val="-1"/>
                <w:sz w:val="18"/>
              </w:rPr>
              <w:t>38,717,309,463</w:t>
            </w:r>
          </w:p>
        </w:tc>
      </w:tr>
    </w:tbl>
    <w:p>
      <w:pPr>
        <w:spacing w:line="240" w:lineRule="auto" w:before="4"/>
        <w:rPr>
          <w:rFonts w:ascii="黑体" w:hAnsi="黑体" w:cs="黑体" w:eastAsia="黑体" w:hint="default"/>
          <w:sz w:val="12"/>
          <w:szCs w:val="12"/>
        </w:rPr>
      </w:pPr>
    </w:p>
    <w:p>
      <w:pPr>
        <w:spacing w:before="38"/>
        <w:ind w:left="129" w:right="0" w:firstLine="0"/>
        <w:jc w:val="left"/>
        <w:rPr>
          <w:rFonts w:ascii="黑体" w:hAnsi="黑体" w:cs="黑体" w:eastAsia="黑体" w:hint="default"/>
          <w:sz w:val="20"/>
          <w:szCs w:val="20"/>
        </w:rPr>
      </w:pPr>
      <w:r>
        <w:rPr>
          <w:rFonts w:ascii="黑体" w:hAnsi="黑体" w:cs="黑体" w:eastAsia="黑体" w:hint="default"/>
          <w:sz w:val="20"/>
          <w:szCs w:val="20"/>
        </w:rPr>
        <w:t>后附财务报表附注为财务报表的组成部分。</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pStyle w:val="BodyText"/>
        <w:tabs>
          <w:tab w:pos="3436" w:val="left" w:leader="none"/>
          <w:tab w:pos="7211" w:val="left" w:leader="none"/>
        </w:tabs>
        <w:spacing w:line="240" w:lineRule="auto" w:before="133"/>
        <w:ind w:left="129" w:right="0"/>
        <w:jc w:val="left"/>
        <w:rPr>
          <w:rFonts w:ascii="黑体" w:hAnsi="黑体" w:cs="黑体" w:eastAsia="黑体" w:hint="default"/>
        </w:rPr>
      </w:pPr>
      <w:r>
        <w:rPr>
          <w:rFonts w:ascii="黑体" w:hAnsi="黑体" w:cs="黑体" w:eastAsia="黑体" w:hint="default"/>
          <w:w w:val="95"/>
        </w:rPr>
        <w:t>董事长：常小兵</w:t>
        <w:tab/>
        <w:t>财务负责人：张健</w:t>
        <w:tab/>
      </w:r>
      <w:r>
        <w:rPr>
          <w:rFonts w:ascii="黑体" w:hAnsi="黑体" w:cs="黑体" w:eastAsia="黑体" w:hint="default"/>
        </w:rPr>
        <w:t>财务部总经理：赵玉军</w:t>
      </w:r>
    </w:p>
    <w:p>
      <w:pPr>
        <w:spacing w:after="0" w:line="240" w:lineRule="auto"/>
        <w:jc w:val="left"/>
        <w:rPr>
          <w:rFonts w:ascii="黑体" w:hAnsi="黑体" w:cs="黑体" w:eastAsia="黑体" w:hint="default"/>
        </w:rPr>
        <w:sectPr>
          <w:headerReference w:type="default" r:id="rId23"/>
          <w:footerReference w:type="default" r:id="rId24"/>
          <w:pgSz w:w="11910" w:h="16840"/>
          <w:pgMar w:header="0" w:footer="752" w:top="1260" w:bottom="940" w:left="780" w:right="320"/>
          <w:pgNumType w:start="51"/>
        </w:sectPr>
      </w:pPr>
    </w:p>
    <w:p>
      <w:pPr>
        <w:pStyle w:val="BodyText"/>
        <w:spacing w:line="240" w:lineRule="auto" w:before="17"/>
        <w:ind w:left="115" w:right="0"/>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8"/>
        <w:rPr>
          <w:rFonts w:ascii="黑体" w:hAnsi="黑体" w:cs="黑体" w:eastAsia="黑体" w:hint="default"/>
          <w:sz w:val="21"/>
          <w:szCs w:val="21"/>
        </w:rPr>
      </w:pPr>
    </w:p>
    <w:p>
      <w:pPr>
        <w:pStyle w:val="BodyText"/>
        <w:spacing w:line="295" w:lineRule="exact"/>
        <w:ind w:left="115"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9"/>
        </w:rPr>
        <w:t> </w:t>
      </w:r>
      <w:r>
        <w:rPr>
          <w:rFonts w:ascii="黑体" w:hAnsi="黑体" w:cs="黑体" w:eastAsia="黑体" w:hint="default"/>
        </w:rPr>
        <w:t>年度合并及公司利润表</w:t>
      </w:r>
    </w:p>
    <w:p>
      <w:pPr>
        <w:pStyle w:val="BodyText"/>
        <w:spacing w:line="279" w:lineRule="exact"/>
        <w:ind w:left="115" w:right="0"/>
        <w:jc w:val="left"/>
        <w:rPr>
          <w:rFonts w:ascii="黑体" w:hAnsi="黑体" w:cs="黑体" w:eastAsia="黑体" w:hint="default"/>
        </w:rPr>
      </w:pPr>
      <w:r>
        <w:rPr>
          <w:rFonts w:ascii="黑体" w:hAnsi="黑体" w:cs="黑体" w:eastAsia="黑体" w:hint="default"/>
        </w:rPr>
        <w:t>（除特别注明外，金额单位为人民币元）</w:t>
      </w:r>
    </w:p>
    <w:p>
      <w:pPr>
        <w:spacing w:line="240" w:lineRule="auto" w:before="11"/>
        <w:rPr>
          <w:rFonts w:ascii="黑体" w:hAnsi="黑体" w:cs="黑体" w:eastAsia="黑体" w:hint="default"/>
          <w:sz w:val="21"/>
          <w:szCs w:val="21"/>
        </w:rPr>
      </w:pPr>
    </w:p>
    <w:tbl>
      <w:tblPr>
        <w:tblW w:w="0" w:type="auto"/>
        <w:jc w:val="left"/>
        <w:tblInd w:w="108" w:type="dxa"/>
        <w:tblLayout w:type="fixed"/>
        <w:tblCellMar>
          <w:top w:w="0" w:type="dxa"/>
          <w:left w:w="0" w:type="dxa"/>
          <w:bottom w:w="0" w:type="dxa"/>
          <w:right w:w="0" w:type="dxa"/>
        </w:tblCellMar>
        <w:tblLook w:val="01E0"/>
      </w:tblPr>
      <w:tblGrid>
        <w:gridCol w:w="3724"/>
        <w:gridCol w:w="1163"/>
        <w:gridCol w:w="1538"/>
        <w:gridCol w:w="1568"/>
        <w:gridCol w:w="1344"/>
        <w:gridCol w:w="1320"/>
      </w:tblGrid>
      <w:tr>
        <w:trPr>
          <w:trHeight w:val="518"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right="1"/>
              <w:jc w:val="center"/>
              <w:rPr>
                <w:rFonts w:ascii="黑体" w:hAnsi="黑体" w:cs="黑体" w:eastAsia="黑体" w:hint="default"/>
                <w:sz w:val="17"/>
                <w:szCs w:val="17"/>
              </w:rPr>
            </w:pPr>
            <w:r>
              <w:rPr>
                <w:rFonts w:ascii="黑体" w:hAnsi="黑体" w:cs="黑体" w:eastAsia="黑体" w:hint="default"/>
                <w:sz w:val="17"/>
                <w:szCs w:val="17"/>
              </w:rPr>
              <w:t>项目</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3"/>
              <w:ind w:right="1"/>
              <w:jc w:val="center"/>
              <w:rPr>
                <w:rFonts w:ascii="黑体" w:hAnsi="黑体" w:cs="黑体" w:eastAsia="黑体" w:hint="default"/>
                <w:sz w:val="17"/>
                <w:szCs w:val="17"/>
              </w:rPr>
            </w:pPr>
            <w:r>
              <w:rPr>
                <w:rFonts w:ascii="黑体" w:hAnsi="黑体" w:cs="黑体" w:eastAsia="黑体" w:hint="default"/>
                <w:sz w:val="17"/>
                <w:szCs w:val="17"/>
              </w:rPr>
              <w:t>附注</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26"/>
              <w:ind w:left="590" w:right="379" w:hanging="211"/>
              <w:jc w:val="left"/>
              <w:rPr>
                <w:rFonts w:ascii="黑体" w:hAnsi="黑体" w:cs="黑体" w:eastAsia="黑体" w:hint="default"/>
                <w:sz w:val="17"/>
                <w:szCs w:val="17"/>
              </w:rPr>
            </w:pPr>
            <w:r>
              <w:rPr>
                <w:rFonts w:ascii="Arial" w:hAnsi="Arial" w:cs="Arial" w:eastAsia="Arial" w:hint="default"/>
                <w:sz w:val="17"/>
                <w:szCs w:val="17"/>
              </w:rPr>
              <w:t>2009</w:t>
            </w:r>
            <w:r>
              <w:rPr>
                <w:rFonts w:ascii="Arial" w:hAnsi="Arial" w:cs="Arial" w:eastAsia="Arial" w:hint="default"/>
                <w:spacing w:val="-5"/>
                <w:sz w:val="17"/>
                <w:szCs w:val="17"/>
              </w:rPr>
              <w:t> </w:t>
            </w:r>
            <w:r>
              <w:rPr>
                <w:rFonts w:ascii="黑体" w:hAnsi="黑体" w:cs="黑体" w:eastAsia="黑体" w:hint="default"/>
                <w:sz w:val="17"/>
                <w:szCs w:val="17"/>
              </w:rPr>
              <w:t>年度</w:t>
            </w:r>
            <w:r>
              <w:rPr>
                <w:rFonts w:ascii="黑体" w:hAnsi="黑体" w:cs="黑体" w:eastAsia="黑体" w:hint="default"/>
                <w:w w:val="100"/>
                <w:sz w:val="17"/>
                <w:szCs w:val="17"/>
              </w:rPr>
              <w:t> </w:t>
            </w:r>
            <w:r>
              <w:rPr>
                <w:rFonts w:ascii="黑体" w:hAnsi="黑体" w:cs="黑体" w:eastAsia="黑体" w:hint="default"/>
                <w:sz w:val="17"/>
                <w:szCs w:val="17"/>
              </w:rPr>
              <w:t>合并</w:t>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26"/>
              <w:ind w:left="181" w:right="179" w:firstLine="214"/>
              <w:jc w:val="left"/>
              <w:rPr>
                <w:rFonts w:ascii="黑体" w:hAnsi="黑体" w:cs="黑体" w:eastAsia="黑体" w:hint="default"/>
                <w:sz w:val="17"/>
                <w:szCs w:val="17"/>
              </w:rPr>
            </w:pPr>
            <w:r>
              <w:rPr>
                <w:rFonts w:ascii="Arial" w:hAnsi="Arial" w:cs="Arial" w:eastAsia="Arial" w:hint="default"/>
                <w:sz w:val="17"/>
                <w:szCs w:val="17"/>
              </w:rPr>
              <w:t>2008</w:t>
            </w:r>
            <w:r>
              <w:rPr>
                <w:rFonts w:ascii="Arial" w:hAnsi="Arial" w:cs="Arial" w:eastAsia="Arial" w:hint="default"/>
                <w:spacing w:val="-6"/>
                <w:sz w:val="17"/>
                <w:szCs w:val="17"/>
              </w:rPr>
              <w:t> </w:t>
            </w:r>
            <w:r>
              <w:rPr>
                <w:rFonts w:ascii="黑体" w:hAnsi="黑体" w:cs="黑体" w:eastAsia="黑体" w:hint="default"/>
                <w:sz w:val="17"/>
                <w:szCs w:val="17"/>
              </w:rPr>
              <w:t>年度</w:t>
            </w:r>
            <w:r>
              <w:rPr>
                <w:rFonts w:ascii="黑体" w:hAnsi="黑体" w:cs="黑体" w:eastAsia="黑体" w:hint="default"/>
                <w:w w:val="100"/>
                <w:sz w:val="17"/>
                <w:szCs w:val="17"/>
              </w:rPr>
              <w:t> </w:t>
            </w:r>
            <w:r>
              <w:rPr>
                <w:rFonts w:ascii="黑体" w:hAnsi="黑体" w:cs="黑体" w:eastAsia="黑体" w:hint="default"/>
                <w:sz w:val="17"/>
                <w:szCs w:val="17"/>
              </w:rPr>
              <w:t>合并（经重列）</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26"/>
              <w:ind w:left="493" w:right="282" w:hanging="211"/>
              <w:jc w:val="left"/>
              <w:rPr>
                <w:rFonts w:ascii="黑体" w:hAnsi="黑体" w:cs="黑体" w:eastAsia="黑体" w:hint="default"/>
                <w:sz w:val="17"/>
                <w:szCs w:val="17"/>
              </w:rPr>
            </w:pPr>
            <w:r>
              <w:rPr>
                <w:rFonts w:ascii="Arial" w:hAnsi="Arial" w:cs="Arial" w:eastAsia="Arial" w:hint="default"/>
                <w:sz w:val="17"/>
                <w:szCs w:val="17"/>
              </w:rPr>
              <w:t>2009</w:t>
            </w:r>
            <w:r>
              <w:rPr>
                <w:rFonts w:ascii="Arial" w:hAnsi="Arial" w:cs="Arial" w:eastAsia="Arial" w:hint="default"/>
                <w:spacing w:val="-5"/>
                <w:sz w:val="17"/>
                <w:szCs w:val="17"/>
              </w:rPr>
              <w:t> </w:t>
            </w:r>
            <w:r>
              <w:rPr>
                <w:rFonts w:ascii="黑体" w:hAnsi="黑体" w:cs="黑体" w:eastAsia="黑体" w:hint="default"/>
                <w:sz w:val="17"/>
                <w:szCs w:val="17"/>
              </w:rPr>
              <w:t>年度</w:t>
            </w:r>
            <w:r>
              <w:rPr>
                <w:rFonts w:ascii="黑体" w:hAnsi="黑体" w:cs="黑体" w:eastAsia="黑体" w:hint="default"/>
                <w:w w:val="100"/>
                <w:sz w:val="17"/>
                <w:szCs w:val="17"/>
              </w:rPr>
              <w:t> </w:t>
            </w:r>
            <w:r>
              <w:rPr>
                <w:rFonts w:ascii="黑体" w:hAnsi="黑体" w:cs="黑体" w:eastAsia="黑体" w:hint="default"/>
                <w:sz w:val="17"/>
                <w:szCs w:val="17"/>
              </w:rPr>
              <w:t>公司</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26"/>
              <w:ind w:left="481" w:right="270" w:hanging="211"/>
              <w:jc w:val="left"/>
              <w:rPr>
                <w:rFonts w:ascii="黑体" w:hAnsi="黑体" w:cs="黑体" w:eastAsia="黑体" w:hint="default"/>
                <w:sz w:val="17"/>
                <w:szCs w:val="17"/>
              </w:rPr>
            </w:pPr>
            <w:r>
              <w:rPr>
                <w:rFonts w:ascii="Arial" w:hAnsi="Arial" w:cs="Arial" w:eastAsia="Arial" w:hint="default"/>
                <w:sz w:val="17"/>
                <w:szCs w:val="17"/>
              </w:rPr>
              <w:t>2008</w:t>
            </w:r>
            <w:r>
              <w:rPr>
                <w:rFonts w:ascii="Arial" w:hAnsi="Arial" w:cs="Arial" w:eastAsia="Arial" w:hint="default"/>
                <w:spacing w:val="-5"/>
                <w:sz w:val="17"/>
                <w:szCs w:val="17"/>
              </w:rPr>
              <w:t> </w:t>
            </w:r>
            <w:r>
              <w:rPr>
                <w:rFonts w:ascii="黑体" w:hAnsi="黑体" w:cs="黑体" w:eastAsia="黑体" w:hint="default"/>
                <w:sz w:val="17"/>
                <w:szCs w:val="17"/>
              </w:rPr>
              <w:t>年度</w:t>
            </w:r>
            <w:r>
              <w:rPr>
                <w:rFonts w:ascii="黑体" w:hAnsi="黑体" w:cs="黑体" w:eastAsia="黑体" w:hint="default"/>
                <w:w w:val="100"/>
                <w:sz w:val="17"/>
                <w:szCs w:val="17"/>
              </w:rPr>
              <w:t> </w:t>
            </w:r>
            <w:r>
              <w:rPr>
                <w:rFonts w:ascii="黑体" w:hAnsi="黑体" w:cs="黑体" w:eastAsia="黑体" w:hint="default"/>
                <w:sz w:val="17"/>
                <w:szCs w:val="17"/>
              </w:rPr>
              <w:t>公司</w:t>
            </w: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6" w:lineRule="exact"/>
              <w:ind w:left="100" w:right="0"/>
              <w:jc w:val="left"/>
              <w:rPr>
                <w:rFonts w:ascii="黑体" w:hAnsi="黑体" w:cs="黑体" w:eastAsia="黑体" w:hint="default"/>
                <w:sz w:val="17"/>
                <w:szCs w:val="17"/>
              </w:rPr>
            </w:pPr>
            <w:r>
              <w:rPr>
                <w:rFonts w:ascii="黑体" w:hAnsi="黑体" w:cs="黑体" w:eastAsia="黑体" w:hint="default"/>
                <w:sz w:val="17"/>
                <w:szCs w:val="17"/>
              </w:rPr>
              <w:t>持续经营业务</w:t>
            </w: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
        </w:tc>
        <w:tc>
          <w:tcPr>
            <w:tcW w:w="1568" w:type="dxa"/>
            <w:tcBorders>
              <w:top w:val="single" w:sz="6" w:space="0" w:color="000000"/>
              <w:left w:val="single" w:sz="6" w:space="0" w:color="000000"/>
              <w:bottom w:val="single" w:sz="6" w:space="0" w:color="000000"/>
              <w:right w:val="single" w:sz="6" w:space="0" w:color="000000"/>
            </w:tcBorders>
          </w:tcPr>
          <w:p>
            <w:pPr/>
          </w:p>
        </w:tc>
        <w:tc>
          <w:tcPr>
            <w:tcW w:w="1344" w:type="dxa"/>
            <w:tcBorders>
              <w:top w:val="single" w:sz="6" w:space="0" w:color="000000"/>
              <w:left w:val="single" w:sz="6" w:space="0" w:color="000000"/>
              <w:bottom w:val="single" w:sz="6" w:space="0" w:color="000000"/>
              <w:right w:val="single" w:sz="6" w:space="0" w:color="000000"/>
            </w:tcBorders>
          </w:tcPr>
          <w:p>
            <w:pPr/>
          </w:p>
        </w:tc>
        <w:tc>
          <w:tcPr>
            <w:tcW w:w="1320" w:type="dxa"/>
            <w:tcBorders>
              <w:top w:val="single" w:sz="6" w:space="0" w:color="000000"/>
              <w:left w:val="single" w:sz="6" w:space="0" w:color="000000"/>
              <w:bottom w:val="single" w:sz="6" w:space="0" w:color="000000"/>
              <w:right w:val="single" w:sz="6" w:space="0" w:color="000000"/>
            </w:tcBorders>
          </w:tcPr>
          <w:p>
            <w:pP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6" w:lineRule="exact"/>
              <w:ind w:left="100" w:right="0"/>
              <w:jc w:val="left"/>
              <w:rPr>
                <w:rFonts w:ascii="黑体" w:hAnsi="黑体" w:cs="黑体" w:eastAsia="黑体" w:hint="default"/>
                <w:sz w:val="17"/>
                <w:szCs w:val="17"/>
              </w:rPr>
            </w:pPr>
            <w:r>
              <w:rPr>
                <w:rFonts w:ascii="黑体" w:hAnsi="黑体" w:cs="黑体" w:eastAsia="黑体" w:hint="default"/>
                <w:sz w:val="17"/>
                <w:szCs w:val="17"/>
              </w:rPr>
              <w:t>一、营业收入</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(35)</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60" w:right="0"/>
              <w:jc w:val="left"/>
              <w:rPr>
                <w:rFonts w:ascii="Arial" w:hAnsi="Arial" w:cs="Arial" w:eastAsia="Arial" w:hint="default"/>
                <w:sz w:val="17"/>
                <w:szCs w:val="17"/>
              </w:rPr>
            </w:pPr>
            <w:r>
              <w:rPr>
                <w:rFonts w:ascii="Arial"/>
                <w:sz w:val="17"/>
              </w:rPr>
              <w:t>158,368,819,533</w:t>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4"/>
              <w:jc w:val="right"/>
              <w:rPr>
                <w:rFonts w:ascii="Arial" w:hAnsi="Arial" w:cs="Arial" w:eastAsia="Arial" w:hint="default"/>
                <w:sz w:val="17"/>
                <w:szCs w:val="17"/>
              </w:rPr>
            </w:pPr>
            <w:r>
              <w:rPr>
                <w:rFonts w:ascii="Arial"/>
                <w:spacing w:val="-1"/>
                <w:sz w:val="17"/>
              </w:rPr>
              <w:t>164,085,312,807</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60"/>
              <w:jc w:val="right"/>
              <w:rPr>
                <w:rFonts w:ascii="Arial" w:hAnsi="Arial" w:cs="Arial" w:eastAsia="Arial" w:hint="default"/>
                <w:sz w:val="17"/>
                <w:szCs w:val="17"/>
              </w:rPr>
            </w:pPr>
            <w:r>
              <w:rPr>
                <w:rFonts w:ascii="Arial"/>
                <w:w w:val="100"/>
                <w:sz w:val="17"/>
              </w:rPr>
              <w:t>-</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68"/>
              <w:jc w:val="right"/>
              <w:rPr>
                <w:rFonts w:ascii="Arial" w:hAnsi="Arial" w:cs="Arial" w:eastAsia="Arial" w:hint="default"/>
                <w:sz w:val="17"/>
                <w:szCs w:val="17"/>
              </w:rPr>
            </w:pPr>
            <w:r>
              <w:rPr>
                <w:rFonts w:ascii="Arial"/>
                <w:w w:val="100"/>
                <w:sz w:val="17"/>
              </w:rPr>
              <w:t>-</w:t>
            </w:r>
          </w:p>
        </w:tc>
      </w:tr>
      <w:tr>
        <w:trPr>
          <w:trHeight w:val="236"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6" w:lineRule="exact"/>
              <w:ind w:left="460" w:right="0"/>
              <w:jc w:val="left"/>
              <w:rPr>
                <w:rFonts w:ascii="宋体" w:hAnsi="宋体" w:cs="宋体" w:eastAsia="宋体" w:hint="default"/>
                <w:sz w:val="17"/>
                <w:szCs w:val="17"/>
              </w:rPr>
            </w:pPr>
            <w:r>
              <w:rPr>
                <w:rFonts w:ascii="宋体" w:hAnsi="宋体" w:cs="宋体" w:eastAsia="宋体" w:hint="default"/>
                <w:sz w:val="17"/>
                <w:szCs w:val="17"/>
              </w:rPr>
              <w:t>减：营业成本</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(35)</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7"/>
              <w:jc w:val="right"/>
              <w:rPr>
                <w:rFonts w:ascii="Arial" w:hAnsi="Arial" w:cs="Arial" w:eastAsia="Arial" w:hint="default"/>
                <w:sz w:val="17"/>
                <w:szCs w:val="17"/>
              </w:rPr>
            </w:pPr>
            <w:r>
              <w:rPr>
                <w:rFonts w:ascii="Arial"/>
                <w:spacing w:val="-2"/>
                <w:sz w:val="17"/>
              </w:rPr>
              <w:t>(105,653,764,889)</w:t>
            </w:r>
            <w:r>
              <w:rPr>
                <w:rFonts w:ascii="Arial"/>
                <w:sz w:val="17"/>
              </w:rPr>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57"/>
              <w:jc w:val="right"/>
              <w:rPr>
                <w:rFonts w:ascii="Arial" w:hAnsi="Arial" w:cs="Arial" w:eastAsia="Arial" w:hint="default"/>
                <w:sz w:val="17"/>
                <w:szCs w:val="17"/>
              </w:rPr>
            </w:pPr>
            <w:r>
              <w:rPr>
                <w:rFonts w:ascii="Arial"/>
                <w:spacing w:val="-2"/>
                <w:sz w:val="17"/>
              </w:rPr>
              <w:t>(102,080,809,531)</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59"/>
              <w:jc w:val="right"/>
              <w:rPr>
                <w:rFonts w:ascii="Arial" w:hAnsi="Arial" w:cs="Arial" w:eastAsia="Arial" w:hint="default"/>
                <w:sz w:val="17"/>
                <w:szCs w:val="17"/>
              </w:rPr>
            </w:pPr>
            <w:r>
              <w:rPr>
                <w:rFonts w:ascii="Arial"/>
                <w:w w:val="100"/>
                <w:sz w:val="17"/>
              </w:rPr>
              <w:t>-</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68"/>
              <w:jc w:val="right"/>
              <w:rPr>
                <w:rFonts w:ascii="Arial" w:hAnsi="Arial" w:cs="Arial" w:eastAsia="Arial" w:hint="default"/>
                <w:sz w:val="17"/>
                <w:szCs w:val="17"/>
              </w:rPr>
            </w:pPr>
            <w:r>
              <w:rPr>
                <w:rFonts w:ascii="Arial"/>
                <w:w w:val="100"/>
                <w:sz w:val="17"/>
              </w:rPr>
              <w:t>-</w:t>
            </w: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6" w:lineRule="exact"/>
              <w:ind w:left="818" w:right="0"/>
              <w:jc w:val="left"/>
              <w:rPr>
                <w:rFonts w:ascii="宋体" w:hAnsi="宋体" w:cs="宋体" w:eastAsia="宋体" w:hint="default"/>
                <w:sz w:val="17"/>
                <w:szCs w:val="17"/>
              </w:rPr>
            </w:pPr>
            <w:r>
              <w:rPr>
                <w:rFonts w:ascii="宋体" w:hAnsi="宋体" w:cs="宋体" w:eastAsia="宋体" w:hint="default"/>
                <w:sz w:val="17"/>
                <w:szCs w:val="17"/>
              </w:rPr>
              <w:t>其中：南方固定电信网络租赁费</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(35)</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8"/>
              <w:jc w:val="right"/>
              <w:rPr>
                <w:rFonts w:ascii="Arial" w:hAnsi="Arial" w:cs="Arial" w:eastAsia="Arial" w:hint="default"/>
                <w:sz w:val="17"/>
                <w:szCs w:val="17"/>
              </w:rPr>
            </w:pPr>
            <w:r>
              <w:rPr>
                <w:rFonts w:ascii="Arial"/>
                <w:spacing w:val="-1"/>
                <w:sz w:val="17"/>
              </w:rPr>
              <w:t>(2,000,000,000)</w:t>
            </w:r>
            <w:r>
              <w:rPr>
                <w:rFonts w:ascii="Arial"/>
                <w:sz w:val="17"/>
              </w:rPr>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4"/>
              <w:jc w:val="right"/>
              <w:rPr>
                <w:rFonts w:ascii="Arial" w:hAnsi="Arial" w:cs="Arial" w:eastAsia="Arial" w:hint="default"/>
                <w:sz w:val="17"/>
                <w:szCs w:val="17"/>
              </w:rPr>
            </w:pPr>
            <w:r>
              <w:rPr>
                <w:rFonts w:ascii="Arial"/>
                <w:w w:val="100"/>
                <w:sz w:val="17"/>
              </w:rPr>
              <w:t>-</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60"/>
              <w:jc w:val="right"/>
              <w:rPr>
                <w:rFonts w:ascii="Arial" w:hAnsi="Arial" w:cs="Arial" w:eastAsia="Arial" w:hint="default"/>
                <w:sz w:val="17"/>
                <w:szCs w:val="17"/>
              </w:rPr>
            </w:pPr>
            <w:r>
              <w:rPr>
                <w:rFonts w:ascii="Arial"/>
                <w:w w:val="100"/>
                <w:sz w:val="17"/>
              </w:rPr>
              <w:t>-</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68"/>
              <w:jc w:val="right"/>
              <w:rPr>
                <w:rFonts w:ascii="Arial" w:hAnsi="Arial" w:cs="Arial" w:eastAsia="Arial" w:hint="default"/>
                <w:sz w:val="17"/>
                <w:szCs w:val="17"/>
              </w:rPr>
            </w:pPr>
            <w:r>
              <w:rPr>
                <w:rFonts w:ascii="Arial"/>
                <w:w w:val="100"/>
                <w:sz w:val="17"/>
              </w:rPr>
              <w:t>-</w:t>
            </w: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6" w:lineRule="exact"/>
              <w:ind w:left="793" w:right="0"/>
              <w:jc w:val="left"/>
              <w:rPr>
                <w:rFonts w:ascii="宋体" w:hAnsi="宋体" w:cs="宋体" w:eastAsia="宋体" w:hint="default"/>
                <w:sz w:val="17"/>
                <w:szCs w:val="17"/>
              </w:rPr>
            </w:pPr>
            <w:r>
              <w:rPr>
                <w:rFonts w:ascii="宋体" w:hAnsi="宋体" w:cs="宋体" w:eastAsia="宋体" w:hint="default"/>
                <w:sz w:val="17"/>
                <w:szCs w:val="17"/>
              </w:rPr>
              <w:t>营业税金及附加</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(36)</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7"/>
              <w:jc w:val="right"/>
              <w:rPr>
                <w:rFonts w:ascii="Arial" w:hAnsi="Arial" w:cs="Arial" w:eastAsia="Arial" w:hint="default"/>
                <w:sz w:val="17"/>
                <w:szCs w:val="17"/>
              </w:rPr>
            </w:pPr>
            <w:r>
              <w:rPr>
                <w:rFonts w:ascii="Arial"/>
                <w:spacing w:val="-1"/>
                <w:sz w:val="17"/>
              </w:rPr>
              <w:t>(4,487,042,060)</w:t>
            </w:r>
            <w:r>
              <w:rPr>
                <w:rFonts w:ascii="Arial"/>
                <w:sz w:val="17"/>
              </w:rPr>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57"/>
              <w:jc w:val="right"/>
              <w:rPr>
                <w:rFonts w:ascii="Arial" w:hAnsi="Arial" w:cs="Arial" w:eastAsia="Arial" w:hint="default"/>
                <w:sz w:val="17"/>
                <w:szCs w:val="17"/>
              </w:rPr>
            </w:pPr>
            <w:r>
              <w:rPr>
                <w:rFonts w:ascii="Arial"/>
                <w:spacing w:val="-1"/>
                <w:sz w:val="17"/>
              </w:rPr>
              <w:t>(4,598,333,069)</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60"/>
              <w:jc w:val="right"/>
              <w:rPr>
                <w:rFonts w:ascii="Arial" w:hAnsi="Arial" w:cs="Arial" w:eastAsia="Arial" w:hint="default"/>
                <w:sz w:val="17"/>
                <w:szCs w:val="17"/>
              </w:rPr>
            </w:pPr>
            <w:r>
              <w:rPr>
                <w:rFonts w:ascii="Arial"/>
                <w:w w:val="100"/>
                <w:sz w:val="17"/>
              </w:rPr>
              <w:t>-</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68"/>
              <w:jc w:val="right"/>
              <w:rPr>
                <w:rFonts w:ascii="Arial" w:hAnsi="Arial" w:cs="Arial" w:eastAsia="Arial" w:hint="default"/>
                <w:sz w:val="17"/>
                <w:szCs w:val="17"/>
              </w:rPr>
            </w:pPr>
            <w:r>
              <w:rPr>
                <w:rFonts w:ascii="Arial"/>
                <w:w w:val="100"/>
                <w:sz w:val="17"/>
              </w:rPr>
              <w:t>-</w:t>
            </w: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793" w:right="0"/>
              <w:jc w:val="left"/>
              <w:rPr>
                <w:rFonts w:ascii="宋体" w:hAnsi="宋体" w:cs="宋体" w:eastAsia="宋体" w:hint="default"/>
                <w:sz w:val="17"/>
                <w:szCs w:val="17"/>
              </w:rPr>
            </w:pPr>
            <w:r>
              <w:rPr>
                <w:rFonts w:ascii="宋体" w:hAnsi="宋体" w:cs="宋体" w:eastAsia="宋体" w:hint="default"/>
                <w:sz w:val="17"/>
                <w:szCs w:val="17"/>
              </w:rPr>
              <w:t>销售费用</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(37)</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7"/>
              <w:jc w:val="right"/>
              <w:rPr>
                <w:rFonts w:ascii="Arial" w:hAnsi="Arial" w:cs="Arial" w:eastAsia="Arial" w:hint="default"/>
                <w:sz w:val="17"/>
                <w:szCs w:val="17"/>
              </w:rPr>
            </w:pPr>
            <w:r>
              <w:rPr>
                <w:rFonts w:ascii="Arial"/>
                <w:spacing w:val="-2"/>
                <w:sz w:val="17"/>
              </w:rPr>
              <w:t>(20,956,737,441)</w:t>
            </w:r>
            <w:r>
              <w:rPr>
                <w:rFonts w:ascii="Arial"/>
                <w:sz w:val="17"/>
              </w:rPr>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57"/>
              <w:jc w:val="right"/>
              <w:rPr>
                <w:rFonts w:ascii="Arial" w:hAnsi="Arial" w:cs="Arial" w:eastAsia="Arial" w:hint="default"/>
                <w:sz w:val="17"/>
                <w:szCs w:val="17"/>
              </w:rPr>
            </w:pPr>
            <w:r>
              <w:rPr>
                <w:rFonts w:ascii="Arial"/>
                <w:spacing w:val="-2"/>
                <w:sz w:val="17"/>
              </w:rPr>
              <w:t>(19,308,467,751)</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59"/>
              <w:jc w:val="right"/>
              <w:rPr>
                <w:rFonts w:ascii="Arial" w:hAnsi="Arial" w:cs="Arial" w:eastAsia="Arial" w:hint="default"/>
                <w:sz w:val="17"/>
                <w:szCs w:val="17"/>
              </w:rPr>
            </w:pPr>
            <w:r>
              <w:rPr>
                <w:rFonts w:ascii="Arial"/>
                <w:w w:val="100"/>
                <w:sz w:val="17"/>
              </w:rPr>
              <w:t>-</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68"/>
              <w:jc w:val="right"/>
              <w:rPr>
                <w:rFonts w:ascii="Arial" w:hAnsi="Arial" w:cs="Arial" w:eastAsia="Arial" w:hint="default"/>
                <w:sz w:val="17"/>
                <w:szCs w:val="17"/>
              </w:rPr>
            </w:pPr>
            <w:r>
              <w:rPr>
                <w:rFonts w:ascii="Arial"/>
                <w:w w:val="100"/>
                <w:sz w:val="17"/>
              </w:rPr>
              <w:t>-</w:t>
            </w: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793" w:right="0"/>
              <w:jc w:val="left"/>
              <w:rPr>
                <w:rFonts w:ascii="宋体" w:hAnsi="宋体" w:cs="宋体" w:eastAsia="宋体" w:hint="default"/>
                <w:sz w:val="17"/>
                <w:szCs w:val="17"/>
              </w:rPr>
            </w:pPr>
            <w:r>
              <w:rPr>
                <w:rFonts w:ascii="宋体" w:hAnsi="宋体" w:cs="宋体" w:eastAsia="宋体" w:hint="default"/>
                <w:sz w:val="17"/>
                <w:szCs w:val="17"/>
              </w:rPr>
              <w:t>管理费用</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(38),</w:t>
            </w:r>
            <w:r>
              <w:rPr>
                <w:rFonts w:ascii="宋体" w:hAnsi="宋体" w:cs="宋体" w:eastAsia="宋体" w:hint="default"/>
                <w:sz w:val="17"/>
                <w:szCs w:val="17"/>
              </w:rPr>
              <w:t>十七</w:t>
            </w:r>
            <w:r>
              <w:rPr>
                <w:rFonts w:ascii="Arial" w:hAnsi="Arial" w:cs="Arial" w:eastAsia="Arial" w:hint="default"/>
                <w:sz w:val="17"/>
                <w:szCs w:val="17"/>
              </w:rPr>
              <w:t>(5)</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7"/>
              <w:jc w:val="right"/>
              <w:rPr>
                <w:rFonts w:ascii="Arial" w:hAnsi="Arial" w:cs="Arial" w:eastAsia="Arial" w:hint="default"/>
                <w:sz w:val="17"/>
                <w:szCs w:val="17"/>
              </w:rPr>
            </w:pPr>
            <w:r>
              <w:rPr>
                <w:rFonts w:ascii="Arial"/>
                <w:spacing w:val="-2"/>
                <w:sz w:val="17"/>
              </w:rPr>
              <w:t>(14,047,876,509)</w:t>
            </w:r>
            <w:r>
              <w:rPr>
                <w:rFonts w:ascii="Arial"/>
                <w:sz w:val="17"/>
              </w:rPr>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58"/>
              <w:jc w:val="right"/>
              <w:rPr>
                <w:rFonts w:ascii="Arial" w:hAnsi="Arial" w:cs="Arial" w:eastAsia="Arial" w:hint="default"/>
                <w:sz w:val="17"/>
                <w:szCs w:val="17"/>
              </w:rPr>
            </w:pPr>
            <w:r>
              <w:rPr>
                <w:rFonts w:ascii="Arial"/>
                <w:spacing w:val="-2"/>
                <w:sz w:val="17"/>
              </w:rPr>
              <w:t>(13,709,118,343)</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4"/>
              <w:jc w:val="right"/>
              <w:rPr>
                <w:rFonts w:ascii="Arial" w:hAnsi="Arial" w:cs="Arial" w:eastAsia="Arial" w:hint="default"/>
                <w:sz w:val="17"/>
                <w:szCs w:val="17"/>
              </w:rPr>
            </w:pPr>
            <w:r>
              <w:rPr>
                <w:rFonts w:ascii="Arial"/>
                <w:spacing w:val="-1"/>
                <w:sz w:val="17"/>
              </w:rPr>
              <w:t>(13,410,954)</w:t>
            </w:r>
            <w:r>
              <w:rPr>
                <w:rFonts w:ascii="Arial"/>
                <w:sz w:val="17"/>
              </w:rPr>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2"/>
              <w:jc w:val="right"/>
              <w:rPr>
                <w:rFonts w:ascii="Arial" w:hAnsi="Arial" w:cs="Arial" w:eastAsia="Arial" w:hint="default"/>
                <w:sz w:val="17"/>
                <w:szCs w:val="17"/>
              </w:rPr>
            </w:pPr>
            <w:r>
              <w:rPr>
                <w:rFonts w:ascii="Arial"/>
                <w:spacing w:val="-1"/>
                <w:sz w:val="17"/>
              </w:rPr>
              <w:t>(12,691,365)</w:t>
            </w:r>
            <w:r>
              <w:rPr>
                <w:rFonts w:ascii="Arial"/>
                <w:sz w:val="17"/>
              </w:rPr>
            </w:r>
          </w:p>
        </w:tc>
      </w:tr>
      <w:tr>
        <w:trPr>
          <w:trHeight w:val="236"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6" w:lineRule="exact"/>
              <w:ind w:left="793" w:right="0"/>
              <w:jc w:val="left"/>
              <w:rPr>
                <w:rFonts w:ascii="宋体" w:hAnsi="宋体" w:cs="宋体" w:eastAsia="宋体" w:hint="default"/>
                <w:sz w:val="17"/>
                <w:szCs w:val="17"/>
              </w:rPr>
            </w:pPr>
            <w:r>
              <w:rPr>
                <w:rFonts w:ascii="宋体" w:hAnsi="宋体" w:cs="宋体" w:eastAsia="宋体" w:hint="default"/>
                <w:sz w:val="17"/>
                <w:szCs w:val="17"/>
              </w:rPr>
              <w:t>财务费用（加：收入）</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(39)</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7"/>
              <w:jc w:val="right"/>
              <w:rPr>
                <w:rFonts w:ascii="Arial" w:hAnsi="Arial" w:cs="Arial" w:eastAsia="Arial" w:hint="default"/>
                <w:sz w:val="17"/>
                <w:szCs w:val="17"/>
              </w:rPr>
            </w:pPr>
            <w:r>
              <w:rPr>
                <w:rFonts w:ascii="Arial"/>
                <w:spacing w:val="-1"/>
                <w:sz w:val="17"/>
              </w:rPr>
              <w:t>(943,518,133)</w:t>
            </w:r>
            <w:r>
              <w:rPr>
                <w:rFonts w:ascii="Arial"/>
                <w:sz w:val="17"/>
              </w:rPr>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57"/>
              <w:jc w:val="right"/>
              <w:rPr>
                <w:rFonts w:ascii="Arial" w:hAnsi="Arial" w:cs="Arial" w:eastAsia="Arial" w:hint="default"/>
                <w:sz w:val="17"/>
                <w:szCs w:val="17"/>
              </w:rPr>
            </w:pPr>
            <w:r>
              <w:rPr>
                <w:rFonts w:ascii="Arial"/>
                <w:spacing w:val="-1"/>
                <w:sz w:val="17"/>
              </w:rPr>
              <w:t>(2,155,577,824)</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60"/>
              <w:jc w:val="right"/>
              <w:rPr>
                <w:rFonts w:ascii="Arial" w:hAnsi="Arial" w:cs="Arial" w:eastAsia="Arial" w:hint="default"/>
                <w:sz w:val="17"/>
                <w:szCs w:val="17"/>
              </w:rPr>
            </w:pPr>
            <w:r>
              <w:rPr>
                <w:rFonts w:ascii="Arial"/>
                <w:spacing w:val="-1"/>
                <w:sz w:val="17"/>
              </w:rPr>
              <w:t>534,500</w:t>
            </w:r>
            <w:r>
              <w:rPr>
                <w:rFonts w:ascii="Arial"/>
                <w:sz w:val="17"/>
              </w:rPr>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69"/>
              <w:jc w:val="right"/>
              <w:rPr>
                <w:rFonts w:ascii="Arial" w:hAnsi="Arial" w:cs="Arial" w:eastAsia="Arial" w:hint="default"/>
                <w:sz w:val="17"/>
                <w:szCs w:val="17"/>
              </w:rPr>
            </w:pPr>
            <w:r>
              <w:rPr>
                <w:rFonts w:ascii="Arial"/>
                <w:spacing w:val="-1"/>
                <w:sz w:val="17"/>
              </w:rPr>
              <w:t>42,390</w:t>
            </w:r>
            <w:r>
              <w:rPr>
                <w:rFonts w:ascii="Arial"/>
                <w:sz w:val="17"/>
              </w:rPr>
            </w: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6" w:lineRule="exact"/>
              <w:ind w:left="793" w:right="0"/>
              <w:jc w:val="left"/>
              <w:rPr>
                <w:rFonts w:ascii="宋体" w:hAnsi="宋体" w:cs="宋体" w:eastAsia="宋体" w:hint="default"/>
                <w:sz w:val="17"/>
                <w:szCs w:val="17"/>
              </w:rPr>
            </w:pPr>
            <w:r>
              <w:rPr>
                <w:rFonts w:ascii="宋体" w:hAnsi="宋体" w:cs="宋体" w:eastAsia="宋体" w:hint="default"/>
                <w:sz w:val="17"/>
                <w:szCs w:val="17"/>
              </w:rPr>
              <w:t>资产减值损失</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(42)</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8"/>
              <w:jc w:val="right"/>
              <w:rPr>
                <w:rFonts w:ascii="Arial" w:hAnsi="Arial" w:cs="Arial" w:eastAsia="Arial" w:hint="default"/>
                <w:sz w:val="17"/>
                <w:szCs w:val="17"/>
              </w:rPr>
            </w:pPr>
            <w:r>
              <w:rPr>
                <w:rFonts w:ascii="Arial"/>
                <w:spacing w:val="-1"/>
                <w:sz w:val="17"/>
              </w:rPr>
              <w:t>(2,375,636,936)</w:t>
            </w:r>
            <w:r>
              <w:rPr>
                <w:rFonts w:ascii="Arial"/>
                <w:sz w:val="17"/>
              </w:rPr>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58"/>
              <w:jc w:val="right"/>
              <w:rPr>
                <w:rFonts w:ascii="Arial" w:hAnsi="Arial" w:cs="Arial" w:eastAsia="Arial" w:hint="default"/>
                <w:sz w:val="17"/>
                <w:szCs w:val="17"/>
              </w:rPr>
            </w:pPr>
            <w:r>
              <w:rPr>
                <w:rFonts w:ascii="Arial"/>
                <w:spacing w:val="-2"/>
                <w:sz w:val="17"/>
              </w:rPr>
              <w:t>(15,404,501,877)</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60"/>
              <w:jc w:val="right"/>
              <w:rPr>
                <w:rFonts w:ascii="Arial" w:hAnsi="Arial" w:cs="Arial" w:eastAsia="Arial" w:hint="default"/>
                <w:sz w:val="17"/>
                <w:szCs w:val="17"/>
              </w:rPr>
            </w:pPr>
            <w:r>
              <w:rPr>
                <w:rFonts w:ascii="Arial"/>
                <w:w w:val="100"/>
                <w:sz w:val="17"/>
              </w:rPr>
              <w:t>-</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68"/>
              <w:jc w:val="right"/>
              <w:rPr>
                <w:rFonts w:ascii="Arial" w:hAnsi="Arial" w:cs="Arial" w:eastAsia="Arial" w:hint="default"/>
                <w:sz w:val="17"/>
                <w:szCs w:val="17"/>
              </w:rPr>
            </w:pPr>
            <w:r>
              <w:rPr>
                <w:rFonts w:ascii="Arial"/>
                <w:w w:val="100"/>
                <w:sz w:val="17"/>
              </w:rPr>
              <w:t>-</w:t>
            </w: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6" w:lineRule="exact"/>
              <w:ind w:left="793" w:right="0"/>
              <w:jc w:val="left"/>
              <w:rPr>
                <w:rFonts w:ascii="宋体" w:hAnsi="宋体" w:cs="宋体" w:eastAsia="宋体" w:hint="default"/>
                <w:sz w:val="17"/>
                <w:szCs w:val="17"/>
              </w:rPr>
            </w:pPr>
            <w:r>
              <w:rPr>
                <w:rFonts w:ascii="宋体" w:hAnsi="宋体" w:cs="宋体" w:eastAsia="宋体" w:hint="default"/>
                <w:sz w:val="17"/>
                <w:szCs w:val="17"/>
              </w:rPr>
              <w:t>公允价值变动收益</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(40)</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350" w:right="0"/>
              <w:jc w:val="left"/>
              <w:rPr>
                <w:rFonts w:ascii="Arial" w:hAnsi="Arial" w:cs="Arial" w:eastAsia="Arial" w:hint="default"/>
                <w:sz w:val="17"/>
                <w:szCs w:val="17"/>
              </w:rPr>
            </w:pPr>
            <w:r>
              <w:rPr>
                <w:rFonts w:ascii="Arial"/>
                <w:sz w:val="17"/>
              </w:rPr>
              <w:t>1,239,125,224</w:t>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4"/>
              <w:jc w:val="right"/>
              <w:rPr>
                <w:rFonts w:ascii="Arial" w:hAnsi="Arial" w:cs="Arial" w:eastAsia="Arial" w:hint="default"/>
                <w:sz w:val="17"/>
                <w:szCs w:val="17"/>
              </w:rPr>
            </w:pPr>
            <w:r>
              <w:rPr>
                <w:rFonts w:ascii="Arial"/>
                <w:w w:val="100"/>
                <w:sz w:val="17"/>
              </w:rPr>
              <w:t>-</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60"/>
              <w:jc w:val="right"/>
              <w:rPr>
                <w:rFonts w:ascii="Arial" w:hAnsi="Arial" w:cs="Arial" w:eastAsia="Arial" w:hint="default"/>
                <w:sz w:val="17"/>
                <w:szCs w:val="17"/>
              </w:rPr>
            </w:pPr>
            <w:r>
              <w:rPr>
                <w:rFonts w:ascii="Arial"/>
                <w:w w:val="100"/>
                <w:sz w:val="17"/>
              </w:rPr>
              <w:t>-</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68"/>
              <w:jc w:val="right"/>
              <w:rPr>
                <w:rFonts w:ascii="Arial" w:hAnsi="Arial" w:cs="Arial" w:eastAsia="Arial" w:hint="default"/>
                <w:sz w:val="17"/>
                <w:szCs w:val="17"/>
              </w:rPr>
            </w:pPr>
            <w:r>
              <w:rPr>
                <w:rFonts w:ascii="Arial"/>
                <w:w w:val="100"/>
                <w:sz w:val="17"/>
              </w:rPr>
              <w:t>-</w:t>
            </w: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6" w:lineRule="exact"/>
              <w:ind w:left="460" w:right="0"/>
              <w:jc w:val="left"/>
              <w:rPr>
                <w:rFonts w:ascii="宋体" w:hAnsi="宋体" w:cs="宋体" w:eastAsia="宋体" w:hint="default"/>
                <w:sz w:val="17"/>
                <w:szCs w:val="17"/>
              </w:rPr>
            </w:pPr>
            <w:r>
              <w:rPr>
                <w:rFonts w:ascii="宋体" w:hAnsi="宋体" w:cs="宋体" w:eastAsia="宋体" w:hint="default"/>
                <w:sz w:val="17"/>
                <w:szCs w:val="17"/>
              </w:rPr>
              <w:t>加：投资收益</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(41),</w:t>
            </w:r>
            <w:r>
              <w:rPr>
                <w:rFonts w:ascii="宋体" w:hAnsi="宋体" w:cs="宋体" w:eastAsia="宋体" w:hint="default"/>
                <w:sz w:val="17"/>
                <w:szCs w:val="17"/>
              </w:rPr>
              <w:t>十七</w:t>
            </w:r>
            <w:r>
              <w:rPr>
                <w:rFonts w:ascii="Arial" w:hAnsi="Arial" w:cs="Arial" w:eastAsia="Arial" w:hint="default"/>
                <w:sz w:val="17"/>
                <w:szCs w:val="17"/>
              </w:rPr>
              <w:t>(6)</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84"/>
              <w:jc w:val="right"/>
              <w:rPr>
                <w:rFonts w:ascii="Arial" w:hAnsi="Arial" w:cs="Arial" w:eastAsia="Arial" w:hint="default"/>
                <w:sz w:val="17"/>
                <w:szCs w:val="17"/>
              </w:rPr>
            </w:pPr>
            <w:r>
              <w:rPr>
                <w:rFonts w:ascii="Arial"/>
                <w:spacing w:val="-1"/>
                <w:sz w:val="17"/>
              </w:rPr>
              <w:t>212,157,048</w:t>
            </w:r>
            <w:r>
              <w:rPr>
                <w:rFonts w:ascii="Arial"/>
                <w:sz w:val="17"/>
              </w:rPr>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4"/>
              <w:jc w:val="right"/>
              <w:rPr>
                <w:rFonts w:ascii="Arial" w:hAnsi="Arial" w:cs="Arial" w:eastAsia="Arial" w:hint="default"/>
                <w:sz w:val="17"/>
                <w:szCs w:val="17"/>
              </w:rPr>
            </w:pPr>
            <w:r>
              <w:rPr>
                <w:rFonts w:ascii="Arial"/>
                <w:spacing w:val="-1"/>
                <w:sz w:val="17"/>
              </w:rPr>
              <w:t>4,564,948</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59"/>
              <w:jc w:val="right"/>
              <w:rPr>
                <w:rFonts w:ascii="Arial" w:hAnsi="Arial" w:cs="Arial" w:eastAsia="Arial" w:hint="default"/>
                <w:sz w:val="17"/>
                <w:szCs w:val="17"/>
              </w:rPr>
            </w:pPr>
            <w:r>
              <w:rPr>
                <w:rFonts w:ascii="Arial"/>
                <w:spacing w:val="-1"/>
                <w:sz w:val="17"/>
              </w:rPr>
              <w:t>1,596,772,574</w:t>
            </w:r>
            <w:r>
              <w:rPr>
                <w:rFonts w:ascii="Arial"/>
                <w:sz w:val="17"/>
              </w:rPr>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47" w:right="0"/>
              <w:jc w:val="left"/>
              <w:rPr>
                <w:rFonts w:ascii="Arial" w:hAnsi="Arial" w:cs="Arial" w:eastAsia="Arial" w:hint="default"/>
                <w:sz w:val="17"/>
                <w:szCs w:val="17"/>
              </w:rPr>
            </w:pPr>
            <w:r>
              <w:rPr>
                <w:rFonts w:ascii="Arial"/>
                <w:sz w:val="17"/>
              </w:rPr>
              <w:t>1,596,772,574</w:t>
            </w:r>
          </w:p>
        </w:tc>
      </w:tr>
      <w:tr>
        <w:trPr>
          <w:trHeight w:val="236" w:hRule="exact"/>
        </w:trPr>
        <w:tc>
          <w:tcPr>
            <w:tcW w:w="3724"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
        </w:tc>
        <w:tc>
          <w:tcPr>
            <w:tcW w:w="1568" w:type="dxa"/>
            <w:tcBorders>
              <w:top w:val="single" w:sz="6" w:space="0" w:color="000000"/>
              <w:left w:val="single" w:sz="6" w:space="0" w:color="000000"/>
              <w:bottom w:val="single" w:sz="6" w:space="0" w:color="000000"/>
              <w:right w:val="single" w:sz="6" w:space="0" w:color="000000"/>
            </w:tcBorders>
          </w:tcPr>
          <w:p>
            <w:pPr/>
          </w:p>
        </w:tc>
        <w:tc>
          <w:tcPr>
            <w:tcW w:w="1344" w:type="dxa"/>
            <w:tcBorders>
              <w:top w:val="single" w:sz="6" w:space="0" w:color="000000"/>
              <w:left w:val="single" w:sz="6" w:space="0" w:color="000000"/>
              <w:bottom w:val="single" w:sz="6" w:space="0" w:color="000000"/>
              <w:right w:val="single" w:sz="6" w:space="0" w:color="000000"/>
            </w:tcBorders>
          </w:tcPr>
          <w:p>
            <w:pPr/>
          </w:p>
        </w:tc>
        <w:tc>
          <w:tcPr>
            <w:tcW w:w="1320" w:type="dxa"/>
            <w:tcBorders>
              <w:top w:val="single" w:sz="6" w:space="0" w:color="000000"/>
              <w:left w:val="single" w:sz="6" w:space="0" w:color="000000"/>
              <w:bottom w:val="single" w:sz="6" w:space="0" w:color="000000"/>
              <w:right w:val="single" w:sz="6" w:space="0" w:color="000000"/>
            </w:tcBorders>
          </w:tcPr>
          <w:p>
            <w:pPr/>
          </w:p>
        </w:tc>
      </w:tr>
      <w:tr>
        <w:trPr>
          <w:trHeight w:val="254"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00" w:right="0"/>
              <w:jc w:val="left"/>
              <w:rPr>
                <w:rFonts w:ascii="黑体" w:hAnsi="黑体" w:cs="黑体" w:eastAsia="黑体" w:hint="default"/>
                <w:sz w:val="17"/>
                <w:szCs w:val="17"/>
              </w:rPr>
            </w:pPr>
            <w:r>
              <w:rPr>
                <w:rFonts w:ascii="黑体" w:hAnsi="黑体" w:cs="黑体" w:eastAsia="黑体" w:hint="default"/>
                <w:sz w:val="17"/>
                <w:szCs w:val="17"/>
              </w:rPr>
              <w:t>二、营业利润</w:t>
            </w: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255" w:right="0"/>
              <w:jc w:val="left"/>
              <w:rPr>
                <w:rFonts w:ascii="Arial" w:hAnsi="Arial" w:cs="Arial" w:eastAsia="Arial" w:hint="default"/>
                <w:sz w:val="17"/>
                <w:szCs w:val="17"/>
              </w:rPr>
            </w:pPr>
            <w:r>
              <w:rPr>
                <w:rFonts w:ascii="Arial"/>
                <w:sz w:val="17"/>
              </w:rPr>
              <w:t>11,355,525,837</w:t>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13"/>
              <w:jc w:val="right"/>
              <w:rPr>
                <w:rFonts w:ascii="Arial" w:hAnsi="Arial" w:cs="Arial" w:eastAsia="Arial" w:hint="default"/>
                <w:sz w:val="17"/>
                <w:szCs w:val="17"/>
              </w:rPr>
            </w:pPr>
            <w:r>
              <w:rPr>
                <w:rFonts w:ascii="Arial"/>
                <w:spacing w:val="-1"/>
                <w:sz w:val="17"/>
              </w:rPr>
              <w:t>6,833,069,360</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59"/>
              <w:jc w:val="right"/>
              <w:rPr>
                <w:rFonts w:ascii="Arial" w:hAnsi="Arial" w:cs="Arial" w:eastAsia="Arial" w:hint="default"/>
                <w:sz w:val="17"/>
                <w:szCs w:val="17"/>
              </w:rPr>
            </w:pPr>
            <w:r>
              <w:rPr>
                <w:rFonts w:ascii="Arial"/>
                <w:spacing w:val="-1"/>
                <w:sz w:val="17"/>
              </w:rPr>
              <w:t>1,583,896,120</w:t>
            </w:r>
            <w:r>
              <w:rPr>
                <w:rFonts w:ascii="Arial"/>
                <w:sz w:val="17"/>
              </w:rPr>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147" w:right="0"/>
              <w:jc w:val="left"/>
              <w:rPr>
                <w:rFonts w:ascii="Arial" w:hAnsi="Arial" w:cs="Arial" w:eastAsia="Arial" w:hint="default"/>
                <w:sz w:val="17"/>
                <w:szCs w:val="17"/>
              </w:rPr>
            </w:pPr>
            <w:r>
              <w:rPr>
                <w:rFonts w:ascii="Arial"/>
                <w:sz w:val="17"/>
              </w:rPr>
              <w:t>1,584,123,599</w:t>
            </w:r>
          </w:p>
        </w:tc>
      </w:tr>
      <w:tr>
        <w:trPr>
          <w:trHeight w:val="256"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454" w:right="0"/>
              <w:jc w:val="left"/>
              <w:rPr>
                <w:rFonts w:ascii="宋体" w:hAnsi="宋体" w:cs="宋体" w:eastAsia="宋体" w:hint="default"/>
                <w:sz w:val="17"/>
                <w:szCs w:val="17"/>
              </w:rPr>
            </w:pPr>
            <w:r>
              <w:rPr>
                <w:rFonts w:ascii="宋体" w:hAnsi="宋体" w:cs="宋体" w:eastAsia="宋体" w:hint="default"/>
                <w:sz w:val="17"/>
                <w:szCs w:val="17"/>
              </w:rPr>
              <w:t>加：营业外收入</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(43)</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350" w:right="0"/>
              <w:jc w:val="left"/>
              <w:rPr>
                <w:rFonts w:ascii="Arial" w:hAnsi="Arial" w:cs="Arial" w:eastAsia="Arial" w:hint="default"/>
                <w:sz w:val="17"/>
                <w:szCs w:val="17"/>
              </w:rPr>
            </w:pPr>
            <w:r>
              <w:rPr>
                <w:rFonts w:ascii="Arial"/>
                <w:sz w:val="17"/>
              </w:rPr>
              <w:t>1,100,637,091</w:t>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13"/>
              <w:jc w:val="right"/>
              <w:rPr>
                <w:rFonts w:ascii="Arial" w:hAnsi="Arial" w:cs="Arial" w:eastAsia="Arial" w:hint="default"/>
                <w:sz w:val="17"/>
                <w:szCs w:val="17"/>
              </w:rPr>
            </w:pPr>
            <w:r>
              <w:rPr>
                <w:rFonts w:ascii="Arial"/>
                <w:spacing w:val="-1"/>
                <w:sz w:val="17"/>
              </w:rPr>
              <w:t>2,449,873,393</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60"/>
              <w:jc w:val="right"/>
              <w:rPr>
                <w:rFonts w:ascii="Arial" w:hAnsi="Arial" w:cs="Arial" w:eastAsia="Arial" w:hint="default"/>
                <w:sz w:val="17"/>
                <w:szCs w:val="17"/>
              </w:rPr>
            </w:pPr>
            <w:r>
              <w:rPr>
                <w:rFonts w:ascii="Arial"/>
                <w:w w:val="100"/>
                <w:sz w:val="17"/>
              </w:rPr>
              <w:t>-</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68"/>
              <w:jc w:val="right"/>
              <w:rPr>
                <w:rFonts w:ascii="Arial" w:hAnsi="Arial" w:cs="Arial" w:eastAsia="Arial" w:hint="default"/>
                <w:sz w:val="17"/>
                <w:szCs w:val="17"/>
              </w:rPr>
            </w:pPr>
            <w:r>
              <w:rPr>
                <w:rFonts w:ascii="Arial"/>
                <w:w w:val="100"/>
                <w:sz w:val="17"/>
              </w:rPr>
              <w:t>-</w:t>
            </w:r>
          </w:p>
        </w:tc>
      </w:tr>
      <w:tr>
        <w:trPr>
          <w:trHeight w:val="254"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454" w:right="0"/>
              <w:jc w:val="left"/>
              <w:rPr>
                <w:rFonts w:ascii="宋体" w:hAnsi="宋体" w:cs="宋体" w:eastAsia="宋体" w:hint="default"/>
                <w:sz w:val="17"/>
                <w:szCs w:val="17"/>
              </w:rPr>
            </w:pPr>
            <w:r>
              <w:rPr>
                <w:rFonts w:ascii="宋体" w:hAnsi="宋体" w:cs="宋体" w:eastAsia="宋体" w:hint="default"/>
                <w:sz w:val="17"/>
                <w:szCs w:val="17"/>
              </w:rPr>
              <w:t>减：营业外支出</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(44)</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27"/>
              <w:jc w:val="right"/>
              <w:rPr>
                <w:rFonts w:ascii="Arial" w:hAnsi="Arial" w:cs="Arial" w:eastAsia="Arial" w:hint="default"/>
                <w:sz w:val="17"/>
                <w:szCs w:val="17"/>
              </w:rPr>
            </w:pPr>
            <w:r>
              <w:rPr>
                <w:rFonts w:ascii="Arial"/>
                <w:spacing w:val="-1"/>
                <w:sz w:val="17"/>
              </w:rPr>
              <w:t>(275,186,614)</w:t>
            </w:r>
            <w:r>
              <w:rPr>
                <w:rFonts w:ascii="Arial"/>
                <w:sz w:val="17"/>
              </w:rPr>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57"/>
              <w:jc w:val="right"/>
              <w:rPr>
                <w:rFonts w:ascii="Arial" w:hAnsi="Arial" w:cs="Arial" w:eastAsia="Arial" w:hint="default"/>
                <w:sz w:val="17"/>
                <w:szCs w:val="17"/>
              </w:rPr>
            </w:pPr>
            <w:r>
              <w:rPr>
                <w:rFonts w:ascii="Arial"/>
                <w:spacing w:val="-1"/>
                <w:sz w:val="17"/>
              </w:rPr>
              <w:t>(302,122,156)</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60"/>
              <w:jc w:val="right"/>
              <w:rPr>
                <w:rFonts w:ascii="Arial" w:hAnsi="Arial" w:cs="Arial" w:eastAsia="Arial" w:hint="default"/>
                <w:sz w:val="17"/>
                <w:szCs w:val="17"/>
              </w:rPr>
            </w:pPr>
            <w:r>
              <w:rPr>
                <w:rFonts w:ascii="Arial"/>
                <w:w w:val="100"/>
                <w:sz w:val="17"/>
              </w:rPr>
              <w:t>-</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68"/>
              <w:jc w:val="right"/>
              <w:rPr>
                <w:rFonts w:ascii="Arial" w:hAnsi="Arial" w:cs="Arial" w:eastAsia="Arial" w:hint="default"/>
                <w:sz w:val="17"/>
                <w:szCs w:val="17"/>
              </w:rPr>
            </w:pPr>
            <w:r>
              <w:rPr>
                <w:rFonts w:ascii="Arial"/>
                <w:w w:val="100"/>
                <w:sz w:val="17"/>
              </w:rPr>
              <w:t>-</w:t>
            </w:r>
          </w:p>
        </w:tc>
      </w:tr>
      <w:tr>
        <w:trPr>
          <w:trHeight w:val="256" w:hRule="exact"/>
        </w:trPr>
        <w:tc>
          <w:tcPr>
            <w:tcW w:w="3724"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
        </w:tc>
        <w:tc>
          <w:tcPr>
            <w:tcW w:w="1568" w:type="dxa"/>
            <w:tcBorders>
              <w:top w:val="single" w:sz="6" w:space="0" w:color="000000"/>
              <w:left w:val="single" w:sz="6" w:space="0" w:color="000000"/>
              <w:bottom w:val="single" w:sz="6" w:space="0" w:color="000000"/>
              <w:right w:val="single" w:sz="6" w:space="0" w:color="000000"/>
            </w:tcBorders>
          </w:tcPr>
          <w:p>
            <w:pPr/>
          </w:p>
        </w:tc>
        <w:tc>
          <w:tcPr>
            <w:tcW w:w="1344" w:type="dxa"/>
            <w:tcBorders>
              <w:top w:val="single" w:sz="6" w:space="0" w:color="000000"/>
              <w:left w:val="single" w:sz="6" w:space="0" w:color="000000"/>
              <w:bottom w:val="single" w:sz="6" w:space="0" w:color="000000"/>
              <w:right w:val="single" w:sz="6" w:space="0" w:color="000000"/>
            </w:tcBorders>
          </w:tcPr>
          <w:p>
            <w:pPr/>
          </w:p>
        </w:tc>
        <w:tc>
          <w:tcPr>
            <w:tcW w:w="1320" w:type="dxa"/>
            <w:tcBorders>
              <w:top w:val="single" w:sz="6" w:space="0" w:color="000000"/>
              <w:left w:val="single" w:sz="6" w:space="0" w:color="000000"/>
              <w:bottom w:val="single" w:sz="6" w:space="0" w:color="000000"/>
              <w:right w:val="single" w:sz="6" w:space="0" w:color="000000"/>
            </w:tcBorders>
          </w:tcPr>
          <w:p>
            <w:pPr/>
          </w:p>
        </w:tc>
      </w:tr>
      <w:tr>
        <w:trPr>
          <w:trHeight w:val="254"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黑体" w:hAnsi="黑体" w:cs="黑体" w:eastAsia="黑体" w:hint="default"/>
                <w:sz w:val="17"/>
                <w:szCs w:val="17"/>
              </w:rPr>
            </w:pPr>
            <w:r>
              <w:rPr>
                <w:rFonts w:ascii="黑体" w:hAnsi="黑体" w:cs="黑体" w:eastAsia="黑体" w:hint="default"/>
                <w:sz w:val="17"/>
                <w:szCs w:val="17"/>
              </w:rPr>
              <w:t>三、利润总额</w:t>
            </w: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255" w:right="0"/>
              <w:jc w:val="left"/>
              <w:rPr>
                <w:rFonts w:ascii="Arial" w:hAnsi="Arial" w:cs="Arial" w:eastAsia="Arial" w:hint="default"/>
                <w:sz w:val="17"/>
                <w:szCs w:val="17"/>
              </w:rPr>
            </w:pPr>
            <w:r>
              <w:rPr>
                <w:rFonts w:ascii="Arial"/>
                <w:sz w:val="17"/>
              </w:rPr>
              <w:t>12,180,976,314</w:t>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13"/>
              <w:jc w:val="right"/>
              <w:rPr>
                <w:rFonts w:ascii="Arial" w:hAnsi="Arial" w:cs="Arial" w:eastAsia="Arial" w:hint="default"/>
                <w:sz w:val="17"/>
                <w:szCs w:val="17"/>
              </w:rPr>
            </w:pPr>
            <w:r>
              <w:rPr>
                <w:rFonts w:ascii="Arial"/>
                <w:spacing w:val="-1"/>
                <w:sz w:val="17"/>
              </w:rPr>
              <w:t>8,980,820,597</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59"/>
              <w:jc w:val="right"/>
              <w:rPr>
                <w:rFonts w:ascii="Arial" w:hAnsi="Arial" w:cs="Arial" w:eastAsia="Arial" w:hint="default"/>
                <w:sz w:val="17"/>
                <w:szCs w:val="17"/>
              </w:rPr>
            </w:pPr>
            <w:r>
              <w:rPr>
                <w:rFonts w:ascii="Arial"/>
                <w:spacing w:val="-1"/>
                <w:sz w:val="17"/>
              </w:rPr>
              <w:t>1,583,896,120</w:t>
            </w:r>
            <w:r>
              <w:rPr>
                <w:rFonts w:ascii="Arial"/>
                <w:sz w:val="17"/>
              </w:rPr>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147" w:right="0"/>
              <w:jc w:val="left"/>
              <w:rPr>
                <w:rFonts w:ascii="Arial" w:hAnsi="Arial" w:cs="Arial" w:eastAsia="Arial" w:hint="default"/>
                <w:sz w:val="17"/>
                <w:szCs w:val="17"/>
              </w:rPr>
            </w:pPr>
            <w:r>
              <w:rPr>
                <w:rFonts w:ascii="Arial"/>
                <w:sz w:val="17"/>
              </w:rPr>
              <w:t>1,584,123,599</w:t>
            </w:r>
          </w:p>
        </w:tc>
      </w:tr>
      <w:tr>
        <w:trPr>
          <w:trHeight w:val="256"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454" w:right="0"/>
              <w:jc w:val="left"/>
              <w:rPr>
                <w:rFonts w:ascii="宋体" w:hAnsi="宋体" w:cs="宋体" w:eastAsia="宋体" w:hint="default"/>
                <w:sz w:val="17"/>
                <w:szCs w:val="17"/>
              </w:rPr>
            </w:pPr>
            <w:r>
              <w:rPr>
                <w:rFonts w:ascii="宋体" w:hAnsi="宋体" w:cs="宋体" w:eastAsia="宋体" w:hint="default"/>
                <w:sz w:val="17"/>
                <w:szCs w:val="17"/>
              </w:rPr>
              <w:t>减：所得税费用</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(45)</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27"/>
              <w:jc w:val="right"/>
              <w:rPr>
                <w:rFonts w:ascii="Arial" w:hAnsi="Arial" w:cs="Arial" w:eastAsia="Arial" w:hint="default"/>
                <w:sz w:val="17"/>
                <w:szCs w:val="17"/>
              </w:rPr>
            </w:pPr>
            <w:r>
              <w:rPr>
                <w:rFonts w:ascii="Arial"/>
                <w:spacing w:val="-1"/>
                <w:sz w:val="17"/>
              </w:rPr>
              <w:t>(2,807,082,528)</w:t>
            </w:r>
            <w:r>
              <w:rPr>
                <w:rFonts w:ascii="Arial"/>
                <w:sz w:val="17"/>
              </w:rPr>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57"/>
              <w:jc w:val="right"/>
              <w:rPr>
                <w:rFonts w:ascii="Arial" w:hAnsi="Arial" w:cs="Arial" w:eastAsia="Arial" w:hint="default"/>
                <w:sz w:val="17"/>
                <w:szCs w:val="17"/>
              </w:rPr>
            </w:pPr>
            <w:r>
              <w:rPr>
                <w:rFonts w:ascii="Arial"/>
                <w:spacing w:val="-1"/>
                <w:sz w:val="17"/>
              </w:rPr>
              <w:t>(1,728,669,363)</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60"/>
              <w:jc w:val="right"/>
              <w:rPr>
                <w:rFonts w:ascii="Arial" w:hAnsi="Arial" w:cs="Arial" w:eastAsia="Arial" w:hint="default"/>
                <w:sz w:val="17"/>
                <w:szCs w:val="17"/>
              </w:rPr>
            </w:pPr>
            <w:r>
              <w:rPr>
                <w:rFonts w:ascii="Arial"/>
                <w:w w:val="100"/>
                <w:sz w:val="17"/>
              </w:rPr>
              <w:t>-</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68"/>
              <w:jc w:val="right"/>
              <w:rPr>
                <w:rFonts w:ascii="Arial" w:hAnsi="Arial" w:cs="Arial" w:eastAsia="Arial" w:hint="default"/>
                <w:sz w:val="17"/>
                <w:szCs w:val="17"/>
              </w:rPr>
            </w:pPr>
            <w:r>
              <w:rPr>
                <w:rFonts w:ascii="Arial"/>
                <w:w w:val="100"/>
                <w:sz w:val="17"/>
              </w:rPr>
              <w:t>-</w:t>
            </w:r>
          </w:p>
        </w:tc>
      </w:tr>
      <w:tr>
        <w:trPr>
          <w:trHeight w:val="254" w:hRule="exact"/>
        </w:trPr>
        <w:tc>
          <w:tcPr>
            <w:tcW w:w="3724"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
        </w:tc>
        <w:tc>
          <w:tcPr>
            <w:tcW w:w="1568" w:type="dxa"/>
            <w:tcBorders>
              <w:top w:val="single" w:sz="6" w:space="0" w:color="000000"/>
              <w:left w:val="single" w:sz="6" w:space="0" w:color="000000"/>
              <w:bottom w:val="single" w:sz="6" w:space="0" w:color="000000"/>
              <w:right w:val="single" w:sz="6" w:space="0" w:color="000000"/>
            </w:tcBorders>
          </w:tcPr>
          <w:p>
            <w:pPr/>
          </w:p>
        </w:tc>
        <w:tc>
          <w:tcPr>
            <w:tcW w:w="1344" w:type="dxa"/>
            <w:tcBorders>
              <w:top w:val="single" w:sz="6" w:space="0" w:color="000000"/>
              <w:left w:val="single" w:sz="6" w:space="0" w:color="000000"/>
              <w:bottom w:val="single" w:sz="6" w:space="0" w:color="000000"/>
              <w:right w:val="single" w:sz="6" w:space="0" w:color="000000"/>
            </w:tcBorders>
          </w:tcPr>
          <w:p>
            <w:pPr/>
          </w:p>
        </w:tc>
        <w:tc>
          <w:tcPr>
            <w:tcW w:w="1320" w:type="dxa"/>
            <w:tcBorders>
              <w:top w:val="single" w:sz="6" w:space="0" w:color="000000"/>
              <w:left w:val="single" w:sz="6" w:space="0" w:color="000000"/>
              <w:bottom w:val="single" w:sz="6" w:space="0" w:color="000000"/>
              <w:right w:val="single" w:sz="6" w:space="0" w:color="000000"/>
            </w:tcBorders>
          </w:tcPr>
          <w:p>
            <w:pPr/>
          </w:p>
        </w:tc>
      </w:tr>
      <w:tr>
        <w:trPr>
          <w:trHeight w:val="256"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00" w:right="0"/>
              <w:jc w:val="left"/>
              <w:rPr>
                <w:rFonts w:ascii="黑体" w:hAnsi="黑体" w:cs="黑体" w:eastAsia="黑体" w:hint="default"/>
                <w:sz w:val="17"/>
                <w:szCs w:val="17"/>
              </w:rPr>
            </w:pPr>
            <w:r>
              <w:rPr>
                <w:rFonts w:ascii="黑体" w:hAnsi="黑体" w:cs="黑体" w:eastAsia="黑体" w:hint="default"/>
                <w:sz w:val="17"/>
                <w:szCs w:val="17"/>
              </w:rPr>
              <w:t>四、持续经营业务净利润</w:t>
            </w: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350" w:right="0"/>
              <w:jc w:val="left"/>
              <w:rPr>
                <w:rFonts w:ascii="Arial" w:hAnsi="Arial" w:cs="Arial" w:eastAsia="Arial" w:hint="default"/>
                <w:sz w:val="17"/>
                <w:szCs w:val="17"/>
              </w:rPr>
            </w:pPr>
            <w:r>
              <w:rPr>
                <w:rFonts w:ascii="Arial"/>
                <w:sz w:val="17"/>
              </w:rPr>
              <w:t>9,373,893,786</w:t>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13"/>
              <w:jc w:val="right"/>
              <w:rPr>
                <w:rFonts w:ascii="Arial" w:hAnsi="Arial" w:cs="Arial" w:eastAsia="Arial" w:hint="default"/>
                <w:sz w:val="17"/>
                <w:szCs w:val="17"/>
              </w:rPr>
            </w:pPr>
            <w:r>
              <w:rPr>
                <w:rFonts w:ascii="Arial"/>
                <w:spacing w:val="-1"/>
                <w:sz w:val="17"/>
              </w:rPr>
              <w:t>7,252,151,234</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59"/>
              <w:jc w:val="right"/>
              <w:rPr>
                <w:rFonts w:ascii="Arial" w:hAnsi="Arial" w:cs="Arial" w:eastAsia="Arial" w:hint="default"/>
                <w:sz w:val="17"/>
                <w:szCs w:val="17"/>
              </w:rPr>
            </w:pPr>
            <w:r>
              <w:rPr>
                <w:rFonts w:ascii="Arial"/>
                <w:spacing w:val="-1"/>
                <w:sz w:val="17"/>
              </w:rPr>
              <w:t>1,583,896,120</w:t>
            </w:r>
            <w:r>
              <w:rPr>
                <w:rFonts w:ascii="Arial"/>
                <w:sz w:val="17"/>
              </w:rPr>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147" w:right="0"/>
              <w:jc w:val="left"/>
              <w:rPr>
                <w:rFonts w:ascii="Arial" w:hAnsi="Arial" w:cs="Arial" w:eastAsia="Arial" w:hint="default"/>
                <w:sz w:val="17"/>
                <w:szCs w:val="17"/>
              </w:rPr>
            </w:pPr>
            <w:r>
              <w:rPr>
                <w:rFonts w:ascii="Arial"/>
                <w:sz w:val="17"/>
              </w:rPr>
              <w:t>1,584,123,599</w:t>
            </w:r>
          </w:p>
        </w:tc>
      </w:tr>
      <w:tr>
        <w:trPr>
          <w:trHeight w:val="254" w:hRule="exact"/>
        </w:trPr>
        <w:tc>
          <w:tcPr>
            <w:tcW w:w="3724"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
        </w:tc>
        <w:tc>
          <w:tcPr>
            <w:tcW w:w="1568" w:type="dxa"/>
            <w:tcBorders>
              <w:top w:val="single" w:sz="6" w:space="0" w:color="000000"/>
              <w:left w:val="single" w:sz="6" w:space="0" w:color="000000"/>
              <w:bottom w:val="single" w:sz="6" w:space="0" w:color="000000"/>
              <w:right w:val="single" w:sz="6" w:space="0" w:color="000000"/>
            </w:tcBorders>
          </w:tcPr>
          <w:p>
            <w:pPr/>
          </w:p>
        </w:tc>
        <w:tc>
          <w:tcPr>
            <w:tcW w:w="1344" w:type="dxa"/>
            <w:tcBorders>
              <w:top w:val="single" w:sz="6" w:space="0" w:color="000000"/>
              <w:left w:val="single" w:sz="6" w:space="0" w:color="000000"/>
              <w:bottom w:val="single" w:sz="6" w:space="0" w:color="000000"/>
              <w:right w:val="single" w:sz="6" w:space="0" w:color="000000"/>
            </w:tcBorders>
          </w:tcPr>
          <w:p>
            <w:pPr/>
          </w:p>
        </w:tc>
        <w:tc>
          <w:tcPr>
            <w:tcW w:w="1320" w:type="dxa"/>
            <w:tcBorders>
              <w:top w:val="single" w:sz="6" w:space="0" w:color="000000"/>
              <w:left w:val="single" w:sz="6" w:space="0" w:color="000000"/>
              <w:bottom w:val="single" w:sz="6" w:space="0" w:color="000000"/>
              <w:right w:val="single" w:sz="6" w:space="0" w:color="000000"/>
            </w:tcBorders>
          </w:tcPr>
          <w:p>
            <w:pPr/>
          </w:p>
        </w:tc>
      </w:tr>
      <w:tr>
        <w:trPr>
          <w:trHeight w:val="256"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00" w:right="0"/>
              <w:jc w:val="left"/>
              <w:rPr>
                <w:rFonts w:ascii="黑体" w:hAnsi="黑体" w:cs="黑体" w:eastAsia="黑体" w:hint="default"/>
                <w:sz w:val="17"/>
                <w:szCs w:val="17"/>
              </w:rPr>
            </w:pPr>
            <w:r>
              <w:rPr>
                <w:rFonts w:ascii="黑体" w:hAnsi="黑体" w:cs="黑体" w:eastAsia="黑体" w:hint="default"/>
                <w:sz w:val="17"/>
                <w:szCs w:val="17"/>
              </w:rPr>
              <w:t>终止经营业务</w:t>
            </w: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
        </w:tc>
        <w:tc>
          <w:tcPr>
            <w:tcW w:w="1568" w:type="dxa"/>
            <w:tcBorders>
              <w:top w:val="single" w:sz="6" w:space="0" w:color="000000"/>
              <w:left w:val="single" w:sz="6" w:space="0" w:color="000000"/>
              <w:bottom w:val="single" w:sz="6" w:space="0" w:color="000000"/>
              <w:right w:val="single" w:sz="6" w:space="0" w:color="000000"/>
            </w:tcBorders>
          </w:tcPr>
          <w:p>
            <w:pPr/>
          </w:p>
        </w:tc>
        <w:tc>
          <w:tcPr>
            <w:tcW w:w="1344" w:type="dxa"/>
            <w:tcBorders>
              <w:top w:val="single" w:sz="6" w:space="0" w:color="000000"/>
              <w:left w:val="single" w:sz="6" w:space="0" w:color="000000"/>
              <w:bottom w:val="single" w:sz="6" w:space="0" w:color="000000"/>
              <w:right w:val="single" w:sz="6" w:space="0" w:color="000000"/>
            </w:tcBorders>
          </w:tcPr>
          <w:p>
            <w:pPr/>
          </w:p>
        </w:tc>
        <w:tc>
          <w:tcPr>
            <w:tcW w:w="1320" w:type="dxa"/>
            <w:tcBorders>
              <w:top w:val="single" w:sz="6" w:space="0" w:color="000000"/>
              <w:left w:val="single" w:sz="6" w:space="0" w:color="000000"/>
              <w:bottom w:val="single" w:sz="6" w:space="0" w:color="000000"/>
              <w:right w:val="single" w:sz="6" w:space="0" w:color="000000"/>
            </w:tcBorders>
          </w:tcPr>
          <w:p>
            <w:pPr/>
          </w:p>
        </w:tc>
      </w:tr>
      <w:tr>
        <w:trPr>
          <w:trHeight w:val="254"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00" w:right="0"/>
              <w:jc w:val="left"/>
              <w:rPr>
                <w:rFonts w:ascii="黑体" w:hAnsi="黑体" w:cs="黑体" w:eastAsia="黑体" w:hint="default"/>
                <w:sz w:val="17"/>
                <w:szCs w:val="17"/>
              </w:rPr>
            </w:pPr>
            <w:r>
              <w:rPr>
                <w:rFonts w:ascii="黑体" w:hAnsi="黑体" w:cs="黑体" w:eastAsia="黑体" w:hint="default"/>
                <w:sz w:val="17"/>
                <w:szCs w:val="17"/>
              </w:rPr>
              <w:t>五、终止经营业务净利润</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right="114"/>
              <w:jc w:val="center"/>
              <w:rPr>
                <w:rFonts w:ascii="宋体" w:hAnsi="宋体" w:cs="宋体" w:eastAsia="宋体" w:hint="default"/>
                <w:sz w:val="17"/>
                <w:szCs w:val="17"/>
              </w:rPr>
            </w:pPr>
            <w:r>
              <w:rPr>
                <w:rFonts w:ascii="宋体" w:hAnsi="宋体" w:cs="宋体" w:eastAsia="宋体" w:hint="default"/>
                <w:sz w:val="17"/>
                <w:szCs w:val="17"/>
              </w:rPr>
              <w:t>十一</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84"/>
              <w:jc w:val="right"/>
              <w:rPr>
                <w:rFonts w:ascii="Arial" w:hAnsi="Arial" w:cs="Arial" w:eastAsia="Arial" w:hint="default"/>
                <w:sz w:val="17"/>
                <w:szCs w:val="17"/>
              </w:rPr>
            </w:pPr>
            <w:r>
              <w:rPr>
                <w:rFonts w:ascii="Arial"/>
                <w:w w:val="100"/>
                <w:sz w:val="17"/>
              </w:rPr>
              <w:t>-</w:t>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13"/>
              <w:jc w:val="right"/>
              <w:rPr>
                <w:rFonts w:ascii="Arial" w:hAnsi="Arial" w:cs="Arial" w:eastAsia="Arial" w:hint="default"/>
                <w:sz w:val="17"/>
                <w:szCs w:val="17"/>
              </w:rPr>
            </w:pPr>
            <w:r>
              <w:rPr>
                <w:rFonts w:ascii="Arial"/>
                <w:spacing w:val="-1"/>
                <w:sz w:val="17"/>
              </w:rPr>
              <w:t>27,947,388,024</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61"/>
              <w:jc w:val="right"/>
              <w:rPr>
                <w:rFonts w:ascii="Arial" w:hAnsi="Arial" w:cs="Arial" w:eastAsia="Arial" w:hint="default"/>
                <w:sz w:val="17"/>
                <w:szCs w:val="17"/>
              </w:rPr>
            </w:pPr>
            <w:r>
              <w:rPr>
                <w:rFonts w:ascii="Arial"/>
                <w:w w:val="100"/>
                <w:sz w:val="17"/>
              </w:rPr>
              <w:t>-</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68"/>
              <w:jc w:val="right"/>
              <w:rPr>
                <w:rFonts w:ascii="Arial" w:hAnsi="Arial" w:cs="Arial" w:eastAsia="Arial" w:hint="default"/>
                <w:sz w:val="17"/>
                <w:szCs w:val="17"/>
              </w:rPr>
            </w:pPr>
            <w:r>
              <w:rPr>
                <w:rFonts w:ascii="Arial"/>
                <w:w w:val="100"/>
                <w:sz w:val="17"/>
              </w:rPr>
              <w:t>-</w:t>
            </w: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
        </w:tc>
        <w:tc>
          <w:tcPr>
            <w:tcW w:w="1568" w:type="dxa"/>
            <w:tcBorders>
              <w:top w:val="single" w:sz="6" w:space="0" w:color="000000"/>
              <w:left w:val="single" w:sz="6" w:space="0" w:color="000000"/>
              <w:bottom w:val="single" w:sz="6" w:space="0" w:color="000000"/>
              <w:right w:val="single" w:sz="6" w:space="0" w:color="000000"/>
            </w:tcBorders>
          </w:tcPr>
          <w:p>
            <w:pPr/>
          </w:p>
        </w:tc>
        <w:tc>
          <w:tcPr>
            <w:tcW w:w="1344" w:type="dxa"/>
            <w:tcBorders>
              <w:top w:val="single" w:sz="6" w:space="0" w:color="000000"/>
              <w:left w:val="single" w:sz="6" w:space="0" w:color="000000"/>
              <w:bottom w:val="single" w:sz="6" w:space="0" w:color="000000"/>
              <w:right w:val="single" w:sz="6" w:space="0" w:color="000000"/>
            </w:tcBorders>
          </w:tcPr>
          <w:p>
            <w:pPr/>
          </w:p>
        </w:tc>
        <w:tc>
          <w:tcPr>
            <w:tcW w:w="1320" w:type="dxa"/>
            <w:tcBorders>
              <w:top w:val="single" w:sz="6" w:space="0" w:color="000000"/>
              <w:left w:val="single" w:sz="6" w:space="0" w:color="000000"/>
              <w:bottom w:val="single" w:sz="6" w:space="0" w:color="000000"/>
              <w:right w:val="single" w:sz="6" w:space="0" w:color="000000"/>
            </w:tcBorders>
          </w:tcPr>
          <w:p>
            <w:pPr/>
          </w:p>
        </w:tc>
      </w:tr>
      <w:tr>
        <w:trPr>
          <w:trHeight w:val="256"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100" w:right="0"/>
              <w:jc w:val="left"/>
              <w:rPr>
                <w:rFonts w:ascii="黑体" w:hAnsi="黑体" w:cs="黑体" w:eastAsia="黑体" w:hint="default"/>
                <w:sz w:val="17"/>
                <w:szCs w:val="17"/>
              </w:rPr>
            </w:pPr>
            <w:r>
              <w:rPr>
                <w:rFonts w:ascii="黑体" w:hAnsi="黑体" w:cs="黑体" w:eastAsia="黑体" w:hint="default"/>
                <w:sz w:val="17"/>
                <w:szCs w:val="17"/>
              </w:rPr>
              <w:t>六、净利润</w:t>
            </w: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350" w:right="0"/>
              <w:jc w:val="left"/>
              <w:rPr>
                <w:rFonts w:ascii="Arial" w:hAnsi="Arial" w:cs="Arial" w:eastAsia="Arial" w:hint="default"/>
                <w:sz w:val="17"/>
                <w:szCs w:val="17"/>
              </w:rPr>
            </w:pPr>
            <w:r>
              <w:rPr>
                <w:rFonts w:ascii="Arial"/>
                <w:sz w:val="17"/>
              </w:rPr>
              <w:t>9,373,893,786</w:t>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13"/>
              <w:jc w:val="right"/>
              <w:rPr>
                <w:rFonts w:ascii="Arial" w:hAnsi="Arial" w:cs="Arial" w:eastAsia="Arial" w:hint="default"/>
                <w:sz w:val="17"/>
                <w:szCs w:val="17"/>
              </w:rPr>
            </w:pPr>
            <w:r>
              <w:rPr>
                <w:rFonts w:ascii="Arial"/>
                <w:spacing w:val="-1"/>
                <w:sz w:val="17"/>
              </w:rPr>
              <w:t>35,199,539,258</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59"/>
              <w:jc w:val="right"/>
              <w:rPr>
                <w:rFonts w:ascii="Arial" w:hAnsi="Arial" w:cs="Arial" w:eastAsia="Arial" w:hint="default"/>
                <w:sz w:val="17"/>
                <w:szCs w:val="17"/>
              </w:rPr>
            </w:pPr>
            <w:r>
              <w:rPr>
                <w:rFonts w:ascii="Arial"/>
                <w:spacing w:val="-1"/>
                <w:sz w:val="17"/>
              </w:rPr>
              <w:t>1,583,896,120</w:t>
            </w:r>
            <w:r>
              <w:rPr>
                <w:rFonts w:ascii="Arial"/>
                <w:sz w:val="17"/>
              </w:rPr>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147" w:right="0"/>
              <w:jc w:val="left"/>
              <w:rPr>
                <w:rFonts w:ascii="Arial" w:hAnsi="Arial" w:cs="Arial" w:eastAsia="Arial" w:hint="default"/>
                <w:sz w:val="17"/>
                <w:szCs w:val="17"/>
              </w:rPr>
            </w:pPr>
            <w:r>
              <w:rPr>
                <w:rFonts w:ascii="Arial"/>
                <w:sz w:val="17"/>
              </w:rPr>
              <w:t>1,584,123,599</w:t>
            </w:r>
          </w:p>
        </w:tc>
      </w:tr>
      <w:tr>
        <w:trPr>
          <w:trHeight w:val="270"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51" w:right="0"/>
              <w:jc w:val="left"/>
              <w:rPr>
                <w:rFonts w:ascii="宋体" w:hAnsi="宋体" w:cs="宋体" w:eastAsia="宋体" w:hint="default"/>
                <w:sz w:val="17"/>
                <w:szCs w:val="17"/>
              </w:rPr>
            </w:pPr>
            <w:r>
              <w:rPr>
                <w:rFonts w:ascii="宋体" w:hAnsi="宋体" w:cs="宋体" w:eastAsia="宋体" w:hint="default"/>
                <w:sz w:val="17"/>
                <w:szCs w:val="17"/>
              </w:rPr>
              <w:t>归属于母公司普通股股东净利润</w:t>
            </w: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left="350" w:right="0"/>
              <w:jc w:val="left"/>
              <w:rPr>
                <w:rFonts w:ascii="Arial" w:hAnsi="Arial" w:cs="Arial" w:eastAsia="Arial" w:hint="default"/>
                <w:sz w:val="17"/>
                <w:szCs w:val="17"/>
              </w:rPr>
            </w:pPr>
            <w:r>
              <w:rPr>
                <w:rFonts w:ascii="Arial"/>
                <w:sz w:val="17"/>
              </w:rPr>
              <w:t>3,137,024,492</w:t>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113"/>
              <w:jc w:val="right"/>
              <w:rPr>
                <w:rFonts w:ascii="Arial" w:hAnsi="Arial" w:cs="Arial" w:eastAsia="Arial" w:hint="default"/>
                <w:sz w:val="17"/>
                <w:szCs w:val="17"/>
              </w:rPr>
            </w:pPr>
            <w:r>
              <w:rPr>
                <w:rFonts w:ascii="Arial"/>
                <w:spacing w:val="-1"/>
                <w:sz w:val="17"/>
              </w:rPr>
              <w:t>20,235,902,556</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right="59"/>
              <w:jc w:val="right"/>
              <w:rPr>
                <w:rFonts w:ascii="Arial" w:hAnsi="Arial" w:cs="Arial" w:eastAsia="Arial" w:hint="default"/>
                <w:sz w:val="17"/>
                <w:szCs w:val="17"/>
              </w:rPr>
            </w:pPr>
            <w:r>
              <w:rPr>
                <w:rFonts w:ascii="Arial"/>
                <w:spacing w:val="-1"/>
                <w:sz w:val="17"/>
              </w:rPr>
              <w:t>1,583,896,120</w:t>
            </w:r>
            <w:r>
              <w:rPr>
                <w:rFonts w:ascii="Arial"/>
                <w:sz w:val="17"/>
              </w:rPr>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7"/>
              <w:ind w:left="147" w:right="0"/>
              <w:jc w:val="left"/>
              <w:rPr>
                <w:rFonts w:ascii="Arial" w:hAnsi="Arial" w:cs="Arial" w:eastAsia="Arial" w:hint="default"/>
                <w:sz w:val="17"/>
                <w:szCs w:val="17"/>
              </w:rPr>
            </w:pPr>
            <w:r>
              <w:rPr>
                <w:rFonts w:ascii="Arial"/>
                <w:sz w:val="17"/>
              </w:rPr>
              <w:t>1,584,123,599</w:t>
            </w:r>
          </w:p>
        </w:tc>
      </w:tr>
      <w:tr>
        <w:trPr>
          <w:trHeight w:val="254"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left="451" w:right="0"/>
              <w:jc w:val="left"/>
              <w:rPr>
                <w:rFonts w:ascii="宋体" w:hAnsi="宋体" w:cs="宋体" w:eastAsia="宋体" w:hint="default"/>
                <w:sz w:val="17"/>
                <w:szCs w:val="17"/>
              </w:rPr>
            </w:pPr>
            <w:r>
              <w:rPr>
                <w:rFonts w:ascii="宋体" w:hAnsi="宋体" w:cs="宋体" w:eastAsia="宋体" w:hint="default"/>
                <w:sz w:val="17"/>
                <w:szCs w:val="17"/>
              </w:rPr>
              <w:t>少数股东损益</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right="113"/>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(34)(2)</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left="350" w:right="0"/>
              <w:jc w:val="left"/>
              <w:rPr>
                <w:rFonts w:ascii="Arial" w:hAnsi="Arial" w:cs="Arial" w:eastAsia="Arial" w:hint="default"/>
                <w:sz w:val="17"/>
                <w:szCs w:val="17"/>
              </w:rPr>
            </w:pPr>
            <w:r>
              <w:rPr>
                <w:rFonts w:ascii="Arial"/>
                <w:sz w:val="17"/>
              </w:rPr>
              <w:t>6,236,869,294</w:t>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13"/>
              <w:jc w:val="right"/>
              <w:rPr>
                <w:rFonts w:ascii="Arial" w:hAnsi="Arial" w:cs="Arial" w:eastAsia="Arial" w:hint="default"/>
                <w:sz w:val="17"/>
                <w:szCs w:val="17"/>
              </w:rPr>
            </w:pPr>
            <w:r>
              <w:rPr>
                <w:rFonts w:ascii="Arial"/>
                <w:spacing w:val="-1"/>
                <w:sz w:val="17"/>
              </w:rPr>
              <w:t>14,963,636,702</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right="60"/>
              <w:jc w:val="right"/>
              <w:rPr>
                <w:rFonts w:ascii="宋体" w:hAnsi="宋体" w:cs="宋体" w:eastAsia="宋体" w:hint="default"/>
                <w:sz w:val="17"/>
                <w:szCs w:val="17"/>
              </w:rPr>
            </w:pPr>
            <w:r>
              <w:rPr>
                <w:rFonts w:ascii="宋体" w:hAnsi="宋体" w:cs="宋体" w:eastAsia="宋体" w:hint="default"/>
                <w:sz w:val="17"/>
                <w:szCs w:val="17"/>
              </w:rPr>
              <w:t>不适用</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right="68"/>
              <w:jc w:val="right"/>
              <w:rPr>
                <w:rFonts w:ascii="宋体" w:hAnsi="宋体" w:cs="宋体" w:eastAsia="宋体" w:hint="default"/>
                <w:sz w:val="17"/>
                <w:szCs w:val="17"/>
              </w:rPr>
            </w:pPr>
            <w:r>
              <w:rPr>
                <w:rFonts w:ascii="宋体" w:hAnsi="宋体" w:cs="宋体" w:eastAsia="宋体" w:hint="default"/>
                <w:sz w:val="17"/>
                <w:szCs w:val="17"/>
              </w:rPr>
              <w:t>不适用</w:t>
            </w:r>
          </w:p>
        </w:tc>
      </w:tr>
      <w:tr>
        <w:trPr>
          <w:trHeight w:val="256" w:hRule="exact"/>
        </w:trPr>
        <w:tc>
          <w:tcPr>
            <w:tcW w:w="3724"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
        </w:tc>
        <w:tc>
          <w:tcPr>
            <w:tcW w:w="1568" w:type="dxa"/>
            <w:tcBorders>
              <w:top w:val="single" w:sz="6" w:space="0" w:color="000000"/>
              <w:left w:val="single" w:sz="6" w:space="0" w:color="000000"/>
              <w:bottom w:val="single" w:sz="6" w:space="0" w:color="000000"/>
              <w:right w:val="single" w:sz="6" w:space="0" w:color="000000"/>
            </w:tcBorders>
          </w:tcPr>
          <w:p>
            <w:pPr/>
          </w:p>
        </w:tc>
        <w:tc>
          <w:tcPr>
            <w:tcW w:w="1344" w:type="dxa"/>
            <w:tcBorders>
              <w:top w:val="single" w:sz="6" w:space="0" w:color="000000"/>
              <w:left w:val="single" w:sz="6" w:space="0" w:color="000000"/>
              <w:bottom w:val="single" w:sz="6" w:space="0" w:color="000000"/>
              <w:right w:val="single" w:sz="6" w:space="0" w:color="000000"/>
            </w:tcBorders>
          </w:tcPr>
          <w:p>
            <w:pPr/>
          </w:p>
        </w:tc>
        <w:tc>
          <w:tcPr>
            <w:tcW w:w="1320" w:type="dxa"/>
            <w:tcBorders>
              <w:top w:val="single" w:sz="6" w:space="0" w:color="000000"/>
              <w:left w:val="single" w:sz="6" w:space="0" w:color="000000"/>
              <w:bottom w:val="single" w:sz="6" w:space="0" w:color="000000"/>
              <w:right w:val="single" w:sz="6" w:space="0" w:color="000000"/>
            </w:tcBorders>
          </w:tcPr>
          <w:p>
            <w:pPr/>
          </w:p>
        </w:tc>
      </w:tr>
      <w:tr>
        <w:trPr>
          <w:trHeight w:val="456"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4" w:lineRule="exact"/>
              <w:ind w:left="100" w:right="0"/>
              <w:jc w:val="left"/>
              <w:rPr>
                <w:rFonts w:ascii="黑体" w:hAnsi="黑体" w:cs="黑体" w:eastAsia="黑体" w:hint="default"/>
                <w:sz w:val="17"/>
                <w:szCs w:val="17"/>
              </w:rPr>
            </w:pPr>
            <w:r>
              <w:rPr>
                <w:rFonts w:ascii="黑体" w:hAnsi="黑体" w:cs="黑体" w:eastAsia="黑体" w:hint="default"/>
                <w:sz w:val="17"/>
                <w:szCs w:val="17"/>
              </w:rPr>
              <w:t>七、同一控制下企业合并中被合并方在合并前实</w:t>
            </w:r>
          </w:p>
          <w:p>
            <w:pPr>
              <w:pStyle w:val="TableParagraph"/>
              <w:spacing w:line="221" w:lineRule="exact"/>
              <w:ind w:left="632" w:right="0"/>
              <w:jc w:val="left"/>
              <w:rPr>
                <w:rFonts w:ascii="黑体" w:hAnsi="黑体" w:cs="黑体" w:eastAsia="黑体" w:hint="default"/>
                <w:sz w:val="17"/>
                <w:szCs w:val="17"/>
              </w:rPr>
            </w:pPr>
            <w:r>
              <w:rPr>
                <w:rFonts w:ascii="黑体" w:hAnsi="黑体" w:cs="黑体" w:eastAsia="黑体" w:hint="default"/>
                <w:sz w:val="17"/>
                <w:szCs w:val="17"/>
              </w:rPr>
              <w:t>现的净利润</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黑体" w:hAnsi="黑体" w:cs="黑体" w:eastAsia="黑体" w:hint="default"/>
                <w:sz w:val="14"/>
                <w:szCs w:val="14"/>
              </w:rPr>
            </w:pPr>
          </w:p>
          <w:p>
            <w:pPr>
              <w:pStyle w:val="TableParagraph"/>
              <w:spacing w:line="240" w:lineRule="auto"/>
              <w:ind w:right="113"/>
              <w:jc w:val="center"/>
              <w:rPr>
                <w:rFonts w:ascii="Arial" w:hAnsi="Arial" w:cs="Arial" w:eastAsia="Arial" w:hint="default"/>
                <w:sz w:val="17"/>
                <w:szCs w:val="17"/>
              </w:rPr>
            </w:pPr>
            <w:r>
              <w:rPr>
                <w:rFonts w:ascii="宋体" w:hAnsi="宋体" w:cs="宋体" w:eastAsia="宋体" w:hint="default"/>
                <w:sz w:val="17"/>
                <w:szCs w:val="17"/>
              </w:rPr>
              <w:t>四</w:t>
            </w:r>
            <w:r>
              <w:rPr>
                <w:rFonts w:ascii="Arial" w:hAnsi="Arial" w:cs="Arial" w:eastAsia="Arial" w:hint="default"/>
                <w:sz w:val="17"/>
                <w:szCs w:val="17"/>
              </w:rPr>
              <w:t>(3)</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8"/>
                <w:szCs w:val="18"/>
              </w:rPr>
            </w:pPr>
          </w:p>
          <w:p>
            <w:pPr>
              <w:pStyle w:val="TableParagraph"/>
              <w:spacing w:line="240" w:lineRule="auto"/>
              <w:ind w:right="84"/>
              <w:jc w:val="right"/>
              <w:rPr>
                <w:rFonts w:ascii="Arial" w:hAnsi="Arial" w:cs="Arial" w:eastAsia="Arial" w:hint="default"/>
                <w:sz w:val="17"/>
                <w:szCs w:val="17"/>
              </w:rPr>
            </w:pPr>
            <w:r>
              <w:rPr>
                <w:rFonts w:ascii="Arial"/>
                <w:spacing w:val="-1"/>
                <w:sz w:val="17"/>
              </w:rPr>
              <w:t>117,276,255</w:t>
            </w:r>
            <w:r>
              <w:rPr>
                <w:rFonts w:ascii="Arial"/>
                <w:sz w:val="17"/>
              </w:rPr>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黑体" w:hAnsi="黑体" w:cs="黑体" w:eastAsia="黑体" w:hint="default"/>
                <w:sz w:val="18"/>
                <w:szCs w:val="18"/>
              </w:rPr>
            </w:pPr>
          </w:p>
          <w:p>
            <w:pPr>
              <w:pStyle w:val="TableParagraph"/>
              <w:spacing w:line="240" w:lineRule="auto"/>
              <w:ind w:right="113"/>
              <w:jc w:val="right"/>
              <w:rPr>
                <w:rFonts w:ascii="Arial" w:hAnsi="Arial" w:cs="Arial" w:eastAsia="Arial" w:hint="default"/>
                <w:sz w:val="17"/>
                <w:szCs w:val="17"/>
              </w:rPr>
            </w:pPr>
            <w:r>
              <w:rPr>
                <w:rFonts w:ascii="Arial"/>
                <w:spacing w:val="-1"/>
                <w:sz w:val="17"/>
              </w:rPr>
              <w:t>9,452,367,276</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黑体" w:hAnsi="黑体" w:cs="黑体" w:eastAsia="黑体" w:hint="default"/>
                <w:sz w:val="14"/>
                <w:szCs w:val="14"/>
              </w:rPr>
            </w:pPr>
          </w:p>
          <w:p>
            <w:pPr>
              <w:pStyle w:val="TableParagraph"/>
              <w:spacing w:line="240" w:lineRule="auto"/>
              <w:ind w:right="74"/>
              <w:jc w:val="right"/>
              <w:rPr>
                <w:rFonts w:ascii="宋体" w:hAnsi="宋体" w:cs="宋体" w:eastAsia="宋体" w:hint="default"/>
                <w:sz w:val="17"/>
                <w:szCs w:val="17"/>
              </w:rPr>
            </w:pPr>
            <w:r>
              <w:rPr>
                <w:rFonts w:ascii="宋体" w:hAnsi="宋体" w:cs="宋体" w:eastAsia="宋体" w:hint="default"/>
                <w:sz w:val="17"/>
                <w:szCs w:val="17"/>
              </w:rPr>
              <w:t>不适用</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黑体" w:hAnsi="黑体" w:cs="黑体" w:eastAsia="黑体" w:hint="default"/>
                <w:sz w:val="14"/>
                <w:szCs w:val="14"/>
              </w:rPr>
            </w:pPr>
          </w:p>
          <w:p>
            <w:pPr>
              <w:pStyle w:val="TableParagraph"/>
              <w:spacing w:line="240" w:lineRule="auto"/>
              <w:ind w:right="83"/>
              <w:jc w:val="right"/>
              <w:rPr>
                <w:rFonts w:ascii="宋体" w:hAnsi="宋体" w:cs="宋体" w:eastAsia="宋体" w:hint="default"/>
                <w:sz w:val="17"/>
                <w:szCs w:val="17"/>
              </w:rPr>
            </w:pPr>
            <w:r>
              <w:rPr>
                <w:rFonts w:ascii="宋体" w:hAnsi="宋体" w:cs="宋体" w:eastAsia="宋体" w:hint="default"/>
                <w:sz w:val="17"/>
                <w:szCs w:val="17"/>
              </w:rPr>
              <w:t>不适用</w:t>
            </w:r>
          </w:p>
        </w:tc>
      </w:tr>
      <w:tr>
        <w:trPr>
          <w:trHeight w:val="254" w:hRule="exact"/>
        </w:trPr>
        <w:tc>
          <w:tcPr>
            <w:tcW w:w="3724"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
        </w:tc>
        <w:tc>
          <w:tcPr>
            <w:tcW w:w="1568" w:type="dxa"/>
            <w:tcBorders>
              <w:top w:val="single" w:sz="6" w:space="0" w:color="000000"/>
              <w:left w:val="single" w:sz="6" w:space="0" w:color="000000"/>
              <w:bottom w:val="single" w:sz="6" w:space="0" w:color="000000"/>
              <w:right w:val="single" w:sz="6" w:space="0" w:color="000000"/>
            </w:tcBorders>
          </w:tcPr>
          <w:p>
            <w:pPr/>
          </w:p>
        </w:tc>
        <w:tc>
          <w:tcPr>
            <w:tcW w:w="1344" w:type="dxa"/>
            <w:tcBorders>
              <w:top w:val="single" w:sz="6" w:space="0" w:color="000000"/>
              <w:left w:val="single" w:sz="6" w:space="0" w:color="000000"/>
              <w:bottom w:val="single" w:sz="6" w:space="0" w:color="000000"/>
              <w:right w:val="single" w:sz="6" w:space="0" w:color="000000"/>
            </w:tcBorders>
          </w:tcPr>
          <w:p>
            <w:pPr/>
          </w:p>
        </w:tc>
        <w:tc>
          <w:tcPr>
            <w:tcW w:w="1320" w:type="dxa"/>
            <w:tcBorders>
              <w:top w:val="single" w:sz="6" w:space="0" w:color="000000"/>
              <w:left w:val="single" w:sz="6" w:space="0" w:color="000000"/>
              <w:bottom w:val="single" w:sz="6" w:space="0" w:color="000000"/>
              <w:right w:val="single" w:sz="6" w:space="0" w:color="000000"/>
            </w:tcBorders>
          </w:tcPr>
          <w:p>
            <w:pPr/>
          </w:p>
        </w:tc>
      </w:tr>
      <w:tr>
        <w:trPr>
          <w:trHeight w:val="246"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00" w:lineRule="exact"/>
              <w:ind w:left="118" w:right="0"/>
              <w:jc w:val="left"/>
              <w:rPr>
                <w:rFonts w:ascii="黑体" w:hAnsi="黑体" w:cs="黑体" w:eastAsia="黑体" w:hint="default"/>
                <w:sz w:val="17"/>
                <w:szCs w:val="17"/>
              </w:rPr>
            </w:pPr>
            <w:r>
              <w:rPr>
                <w:rFonts w:ascii="黑体" w:hAnsi="黑体" w:cs="黑体" w:eastAsia="黑体" w:hint="default"/>
                <w:sz w:val="17"/>
                <w:szCs w:val="17"/>
              </w:rPr>
              <w:t>八、每股收益（归属于母公司普通股股东）</w:t>
            </w: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
        </w:tc>
        <w:tc>
          <w:tcPr>
            <w:tcW w:w="1568" w:type="dxa"/>
            <w:tcBorders>
              <w:top w:val="single" w:sz="6" w:space="0" w:color="000000"/>
              <w:left w:val="single" w:sz="6" w:space="0" w:color="000000"/>
              <w:bottom w:val="single" w:sz="6" w:space="0" w:color="000000"/>
              <w:right w:val="single" w:sz="6" w:space="0" w:color="000000"/>
            </w:tcBorders>
          </w:tcPr>
          <w:p>
            <w:pPr/>
          </w:p>
        </w:tc>
        <w:tc>
          <w:tcPr>
            <w:tcW w:w="1344" w:type="dxa"/>
            <w:tcBorders>
              <w:top w:val="single" w:sz="6" w:space="0" w:color="000000"/>
              <w:left w:val="single" w:sz="6" w:space="0" w:color="000000"/>
              <w:bottom w:val="single" w:sz="6" w:space="0" w:color="000000"/>
              <w:right w:val="single" w:sz="6" w:space="0" w:color="000000"/>
            </w:tcBorders>
          </w:tcPr>
          <w:p>
            <w:pPr/>
          </w:p>
        </w:tc>
        <w:tc>
          <w:tcPr>
            <w:tcW w:w="1320" w:type="dxa"/>
            <w:tcBorders>
              <w:top w:val="single" w:sz="6" w:space="0" w:color="000000"/>
              <w:left w:val="single" w:sz="6" w:space="0" w:color="000000"/>
              <w:bottom w:val="single" w:sz="6" w:space="0" w:color="000000"/>
              <w:right w:val="single" w:sz="6" w:space="0" w:color="000000"/>
            </w:tcBorders>
          </w:tcPr>
          <w:p>
            <w:pPr/>
          </w:p>
        </w:tc>
      </w:tr>
      <w:tr>
        <w:trPr>
          <w:trHeight w:val="256"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440" w:right="0"/>
              <w:jc w:val="left"/>
              <w:rPr>
                <w:rFonts w:ascii="黑体" w:hAnsi="黑体" w:cs="黑体" w:eastAsia="黑体" w:hint="default"/>
                <w:sz w:val="17"/>
                <w:szCs w:val="17"/>
              </w:rPr>
            </w:pPr>
            <w:r>
              <w:rPr>
                <w:rFonts w:ascii="黑体" w:hAnsi="黑体" w:cs="黑体" w:eastAsia="黑体" w:hint="default"/>
                <w:sz w:val="17"/>
                <w:szCs w:val="17"/>
              </w:rPr>
              <w:t>基本每股收益</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(47)</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96"/>
              <w:jc w:val="right"/>
              <w:rPr>
                <w:rFonts w:ascii="Arial" w:hAnsi="Arial" w:cs="Arial" w:eastAsia="Arial" w:hint="default"/>
                <w:sz w:val="17"/>
                <w:szCs w:val="17"/>
              </w:rPr>
            </w:pPr>
            <w:r>
              <w:rPr>
                <w:rFonts w:ascii="Arial"/>
                <w:spacing w:val="-1"/>
                <w:sz w:val="17"/>
              </w:rPr>
              <w:t>0.1480</w:t>
            </w:r>
            <w:r>
              <w:rPr>
                <w:rFonts w:ascii="Arial"/>
                <w:sz w:val="17"/>
              </w:rPr>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33"/>
              <w:jc w:val="right"/>
              <w:rPr>
                <w:rFonts w:ascii="Arial" w:hAnsi="Arial" w:cs="Arial" w:eastAsia="Arial" w:hint="default"/>
                <w:sz w:val="17"/>
                <w:szCs w:val="17"/>
              </w:rPr>
            </w:pPr>
            <w:r>
              <w:rPr>
                <w:rFonts w:ascii="Arial"/>
                <w:spacing w:val="-1"/>
                <w:sz w:val="17"/>
              </w:rPr>
              <w:t>0.9547</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right="74"/>
              <w:jc w:val="right"/>
              <w:rPr>
                <w:rFonts w:ascii="宋体" w:hAnsi="宋体" w:cs="宋体" w:eastAsia="宋体" w:hint="default"/>
                <w:sz w:val="17"/>
                <w:szCs w:val="17"/>
              </w:rPr>
            </w:pPr>
            <w:r>
              <w:rPr>
                <w:rFonts w:ascii="宋体" w:hAnsi="宋体" w:cs="宋体" w:eastAsia="宋体" w:hint="default"/>
                <w:sz w:val="17"/>
                <w:szCs w:val="17"/>
              </w:rPr>
              <w:t>不适用</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right="83"/>
              <w:jc w:val="right"/>
              <w:rPr>
                <w:rFonts w:ascii="宋体" w:hAnsi="宋体" w:cs="宋体" w:eastAsia="宋体" w:hint="default"/>
                <w:sz w:val="17"/>
                <w:szCs w:val="17"/>
              </w:rPr>
            </w:pPr>
            <w:r>
              <w:rPr>
                <w:rFonts w:ascii="宋体" w:hAnsi="宋体" w:cs="宋体" w:eastAsia="宋体" w:hint="default"/>
                <w:sz w:val="17"/>
                <w:szCs w:val="17"/>
              </w:rPr>
              <w:t>不适用</w:t>
            </w:r>
          </w:p>
        </w:tc>
      </w:tr>
      <w:tr>
        <w:trPr>
          <w:trHeight w:val="254"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440" w:right="0"/>
              <w:jc w:val="left"/>
              <w:rPr>
                <w:rFonts w:ascii="黑体" w:hAnsi="黑体" w:cs="黑体" w:eastAsia="黑体" w:hint="default"/>
                <w:sz w:val="17"/>
                <w:szCs w:val="17"/>
              </w:rPr>
            </w:pPr>
            <w:r>
              <w:rPr>
                <w:rFonts w:ascii="黑体" w:hAnsi="黑体" w:cs="黑体" w:eastAsia="黑体" w:hint="default"/>
                <w:sz w:val="17"/>
                <w:szCs w:val="17"/>
              </w:rPr>
              <w:t>稀释每股收益</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(47)</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96"/>
              <w:jc w:val="right"/>
              <w:rPr>
                <w:rFonts w:ascii="Arial" w:hAnsi="Arial" w:cs="Arial" w:eastAsia="Arial" w:hint="default"/>
                <w:sz w:val="17"/>
                <w:szCs w:val="17"/>
              </w:rPr>
            </w:pPr>
            <w:r>
              <w:rPr>
                <w:rFonts w:ascii="Arial"/>
                <w:spacing w:val="-1"/>
                <w:sz w:val="17"/>
              </w:rPr>
              <w:t>0.1472</w:t>
            </w:r>
            <w:r>
              <w:rPr>
                <w:rFonts w:ascii="Arial"/>
                <w:sz w:val="17"/>
              </w:rPr>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33"/>
              <w:jc w:val="right"/>
              <w:rPr>
                <w:rFonts w:ascii="Arial" w:hAnsi="Arial" w:cs="Arial" w:eastAsia="Arial" w:hint="default"/>
                <w:sz w:val="17"/>
                <w:szCs w:val="17"/>
              </w:rPr>
            </w:pPr>
            <w:r>
              <w:rPr>
                <w:rFonts w:ascii="Arial"/>
                <w:spacing w:val="-1"/>
                <w:sz w:val="17"/>
              </w:rPr>
              <w:t>0.9471</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right="74"/>
              <w:jc w:val="right"/>
              <w:rPr>
                <w:rFonts w:ascii="宋体" w:hAnsi="宋体" w:cs="宋体" w:eastAsia="宋体" w:hint="default"/>
                <w:sz w:val="17"/>
                <w:szCs w:val="17"/>
              </w:rPr>
            </w:pPr>
            <w:r>
              <w:rPr>
                <w:rFonts w:ascii="宋体" w:hAnsi="宋体" w:cs="宋体" w:eastAsia="宋体" w:hint="default"/>
                <w:sz w:val="17"/>
                <w:szCs w:val="17"/>
              </w:rPr>
              <w:t>不适用</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right="83"/>
              <w:jc w:val="right"/>
              <w:rPr>
                <w:rFonts w:ascii="宋体" w:hAnsi="宋体" w:cs="宋体" w:eastAsia="宋体" w:hint="default"/>
                <w:sz w:val="17"/>
                <w:szCs w:val="17"/>
              </w:rPr>
            </w:pPr>
            <w:r>
              <w:rPr>
                <w:rFonts w:ascii="宋体" w:hAnsi="宋体" w:cs="宋体" w:eastAsia="宋体" w:hint="default"/>
                <w:sz w:val="17"/>
                <w:szCs w:val="17"/>
              </w:rPr>
              <w:t>不适用</w:t>
            </w: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
        </w:tc>
        <w:tc>
          <w:tcPr>
            <w:tcW w:w="1568" w:type="dxa"/>
            <w:tcBorders>
              <w:top w:val="single" w:sz="6" w:space="0" w:color="000000"/>
              <w:left w:val="single" w:sz="6" w:space="0" w:color="000000"/>
              <w:bottom w:val="single" w:sz="6" w:space="0" w:color="000000"/>
              <w:right w:val="single" w:sz="6" w:space="0" w:color="000000"/>
            </w:tcBorders>
          </w:tcPr>
          <w:p>
            <w:pPr/>
          </w:p>
        </w:tc>
        <w:tc>
          <w:tcPr>
            <w:tcW w:w="1344" w:type="dxa"/>
            <w:tcBorders>
              <w:top w:val="single" w:sz="6" w:space="0" w:color="000000"/>
              <w:left w:val="single" w:sz="6" w:space="0" w:color="000000"/>
              <w:bottom w:val="single" w:sz="6" w:space="0" w:color="000000"/>
              <w:right w:val="single" w:sz="6" w:space="0" w:color="000000"/>
            </w:tcBorders>
          </w:tcPr>
          <w:p>
            <w:pPr/>
          </w:p>
        </w:tc>
        <w:tc>
          <w:tcPr>
            <w:tcW w:w="1320" w:type="dxa"/>
            <w:tcBorders>
              <w:top w:val="single" w:sz="6" w:space="0" w:color="000000"/>
              <w:left w:val="single" w:sz="6" w:space="0" w:color="000000"/>
              <w:bottom w:val="single" w:sz="6" w:space="0" w:color="000000"/>
              <w:right w:val="single" w:sz="6" w:space="0" w:color="000000"/>
            </w:tcBorders>
          </w:tcPr>
          <w:p>
            <w:pPr/>
          </w:p>
        </w:tc>
      </w:tr>
      <w:tr>
        <w:trPr>
          <w:trHeight w:val="470"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20" w:lineRule="exact" w:before="2"/>
              <w:ind w:left="632" w:right="33" w:hanging="532"/>
              <w:jc w:val="left"/>
              <w:rPr>
                <w:rFonts w:ascii="黑体" w:hAnsi="黑体" w:cs="黑体" w:eastAsia="黑体" w:hint="default"/>
                <w:sz w:val="17"/>
                <w:szCs w:val="17"/>
              </w:rPr>
            </w:pPr>
            <w:r>
              <w:rPr>
                <w:rFonts w:ascii="黑体" w:hAnsi="黑体" w:cs="黑体" w:eastAsia="黑体" w:hint="default"/>
                <w:sz w:val="17"/>
                <w:szCs w:val="17"/>
              </w:rPr>
              <w:t>九、持续经营业务每股收益（归属于母公司普通</w:t>
            </w:r>
            <w:r>
              <w:rPr>
                <w:rFonts w:ascii="黑体" w:hAnsi="黑体" w:cs="黑体" w:eastAsia="黑体" w:hint="default"/>
                <w:w w:val="100"/>
                <w:sz w:val="17"/>
                <w:szCs w:val="17"/>
              </w:rPr>
              <w:t> </w:t>
            </w:r>
            <w:r>
              <w:rPr>
                <w:rFonts w:ascii="黑体" w:hAnsi="黑体" w:cs="黑体" w:eastAsia="黑体" w:hint="default"/>
                <w:sz w:val="17"/>
                <w:szCs w:val="17"/>
              </w:rPr>
              <w:t>股股东）</w:t>
            </w: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
        </w:tc>
        <w:tc>
          <w:tcPr>
            <w:tcW w:w="1568" w:type="dxa"/>
            <w:tcBorders>
              <w:top w:val="single" w:sz="6" w:space="0" w:color="000000"/>
              <w:left w:val="single" w:sz="6" w:space="0" w:color="000000"/>
              <w:bottom w:val="single" w:sz="6" w:space="0" w:color="000000"/>
              <w:right w:val="single" w:sz="6" w:space="0" w:color="000000"/>
            </w:tcBorders>
          </w:tcPr>
          <w:p>
            <w:pPr/>
          </w:p>
        </w:tc>
        <w:tc>
          <w:tcPr>
            <w:tcW w:w="1344" w:type="dxa"/>
            <w:tcBorders>
              <w:top w:val="single" w:sz="6" w:space="0" w:color="000000"/>
              <w:left w:val="single" w:sz="6" w:space="0" w:color="000000"/>
              <w:bottom w:val="single" w:sz="6" w:space="0" w:color="000000"/>
              <w:right w:val="single" w:sz="6" w:space="0" w:color="000000"/>
            </w:tcBorders>
          </w:tcPr>
          <w:p>
            <w:pPr/>
          </w:p>
        </w:tc>
        <w:tc>
          <w:tcPr>
            <w:tcW w:w="1320" w:type="dxa"/>
            <w:tcBorders>
              <w:top w:val="single" w:sz="6" w:space="0" w:color="000000"/>
              <w:left w:val="single" w:sz="6" w:space="0" w:color="000000"/>
              <w:bottom w:val="single" w:sz="6" w:space="0" w:color="000000"/>
              <w:right w:val="single" w:sz="6" w:space="0" w:color="000000"/>
            </w:tcBorders>
          </w:tcPr>
          <w:p>
            <w:pPr/>
          </w:p>
        </w:tc>
      </w:tr>
      <w:tr>
        <w:trPr>
          <w:trHeight w:val="256"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440" w:right="0"/>
              <w:jc w:val="left"/>
              <w:rPr>
                <w:rFonts w:ascii="黑体" w:hAnsi="黑体" w:cs="黑体" w:eastAsia="黑体" w:hint="default"/>
                <w:sz w:val="17"/>
                <w:szCs w:val="17"/>
              </w:rPr>
            </w:pPr>
            <w:r>
              <w:rPr>
                <w:rFonts w:ascii="黑体" w:hAnsi="黑体" w:cs="黑体" w:eastAsia="黑体" w:hint="default"/>
                <w:sz w:val="17"/>
                <w:szCs w:val="17"/>
              </w:rPr>
              <w:t>基本每股收益</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(47)</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96"/>
              <w:jc w:val="right"/>
              <w:rPr>
                <w:rFonts w:ascii="Arial" w:hAnsi="Arial" w:cs="Arial" w:eastAsia="Arial" w:hint="default"/>
                <w:sz w:val="17"/>
                <w:szCs w:val="17"/>
              </w:rPr>
            </w:pPr>
            <w:r>
              <w:rPr>
                <w:rFonts w:ascii="Arial"/>
                <w:spacing w:val="-1"/>
                <w:sz w:val="17"/>
              </w:rPr>
              <w:t>0.1480</w:t>
            </w:r>
            <w:r>
              <w:rPr>
                <w:rFonts w:ascii="Arial"/>
                <w:sz w:val="17"/>
              </w:rPr>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33"/>
              <w:jc w:val="right"/>
              <w:rPr>
                <w:rFonts w:ascii="Arial" w:hAnsi="Arial" w:cs="Arial" w:eastAsia="Arial" w:hint="default"/>
                <w:sz w:val="17"/>
                <w:szCs w:val="17"/>
              </w:rPr>
            </w:pPr>
            <w:r>
              <w:rPr>
                <w:rFonts w:ascii="Arial"/>
                <w:spacing w:val="-1"/>
                <w:sz w:val="17"/>
              </w:rPr>
              <w:t>0.1844</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right="74"/>
              <w:jc w:val="right"/>
              <w:rPr>
                <w:rFonts w:ascii="宋体" w:hAnsi="宋体" w:cs="宋体" w:eastAsia="宋体" w:hint="default"/>
                <w:sz w:val="17"/>
                <w:szCs w:val="17"/>
              </w:rPr>
            </w:pPr>
            <w:r>
              <w:rPr>
                <w:rFonts w:ascii="宋体" w:hAnsi="宋体" w:cs="宋体" w:eastAsia="宋体" w:hint="default"/>
                <w:sz w:val="17"/>
                <w:szCs w:val="17"/>
              </w:rPr>
              <w:t>不适用</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right="83"/>
              <w:jc w:val="right"/>
              <w:rPr>
                <w:rFonts w:ascii="宋体" w:hAnsi="宋体" w:cs="宋体" w:eastAsia="宋体" w:hint="default"/>
                <w:sz w:val="17"/>
                <w:szCs w:val="17"/>
              </w:rPr>
            </w:pPr>
            <w:r>
              <w:rPr>
                <w:rFonts w:ascii="宋体" w:hAnsi="宋体" w:cs="宋体" w:eastAsia="宋体" w:hint="default"/>
                <w:sz w:val="17"/>
                <w:szCs w:val="17"/>
              </w:rPr>
              <w:t>不适用</w:t>
            </w:r>
          </w:p>
        </w:tc>
      </w:tr>
      <w:tr>
        <w:trPr>
          <w:trHeight w:val="254"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440" w:right="0"/>
              <w:jc w:val="left"/>
              <w:rPr>
                <w:rFonts w:ascii="黑体" w:hAnsi="黑体" w:cs="黑体" w:eastAsia="黑体" w:hint="default"/>
                <w:sz w:val="17"/>
                <w:szCs w:val="17"/>
              </w:rPr>
            </w:pPr>
            <w:r>
              <w:rPr>
                <w:rFonts w:ascii="黑体" w:hAnsi="黑体" w:cs="黑体" w:eastAsia="黑体" w:hint="default"/>
                <w:sz w:val="17"/>
                <w:szCs w:val="17"/>
              </w:rPr>
              <w:t>稀释每股收益</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(47)</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96"/>
              <w:jc w:val="right"/>
              <w:rPr>
                <w:rFonts w:ascii="Arial" w:hAnsi="Arial" w:cs="Arial" w:eastAsia="Arial" w:hint="default"/>
                <w:sz w:val="17"/>
                <w:szCs w:val="17"/>
              </w:rPr>
            </w:pPr>
            <w:r>
              <w:rPr>
                <w:rFonts w:ascii="Arial"/>
                <w:spacing w:val="-1"/>
                <w:sz w:val="17"/>
              </w:rPr>
              <w:t>0.1472</w:t>
            </w:r>
            <w:r>
              <w:rPr>
                <w:rFonts w:ascii="Arial"/>
                <w:sz w:val="17"/>
              </w:rPr>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33"/>
              <w:jc w:val="right"/>
              <w:rPr>
                <w:rFonts w:ascii="Arial" w:hAnsi="Arial" w:cs="Arial" w:eastAsia="Arial" w:hint="default"/>
                <w:sz w:val="17"/>
                <w:szCs w:val="17"/>
              </w:rPr>
            </w:pPr>
            <w:r>
              <w:rPr>
                <w:rFonts w:ascii="Arial"/>
                <w:spacing w:val="-1"/>
                <w:sz w:val="17"/>
              </w:rPr>
              <w:t>0.1829</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right="74"/>
              <w:jc w:val="right"/>
              <w:rPr>
                <w:rFonts w:ascii="宋体" w:hAnsi="宋体" w:cs="宋体" w:eastAsia="宋体" w:hint="default"/>
                <w:sz w:val="17"/>
                <w:szCs w:val="17"/>
              </w:rPr>
            </w:pPr>
            <w:r>
              <w:rPr>
                <w:rFonts w:ascii="宋体" w:hAnsi="宋体" w:cs="宋体" w:eastAsia="宋体" w:hint="default"/>
                <w:sz w:val="17"/>
                <w:szCs w:val="17"/>
              </w:rPr>
              <w:t>不适用</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right="83"/>
              <w:jc w:val="right"/>
              <w:rPr>
                <w:rFonts w:ascii="宋体" w:hAnsi="宋体" w:cs="宋体" w:eastAsia="宋体" w:hint="default"/>
                <w:sz w:val="17"/>
                <w:szCs w:val="17"/>
              </w:rPr>
            </w:pPr>
            <w:r>
              <w:rPr>
                <w:rFonts w:ascii="宋体" w:hAnsi="宋体" w:cs="宋体" w:eastAsia="宋体" w:hint="default"/>
                <w:sz w:val="17"/>
                <w:szCs w:val="17"/>
              </w:rPr>
              <w:t>不适用</w:t>
            </w: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
        </w:tc>
        <w:tc>
          <w:tcPr>
            <w:tcW w:w="1568" w:type="dxa"/>
            <w:tcBorders>
              <w:top w:val="single" w:sz="6" w:space="0" w:color="000000"/>
              <w:left w:val="single" w:sz="6" w:space="0" w:color="000000"/>
              <w:bottom w:val="single" w:sz="6" w:space="0" w:color="000000"/>
              <w:right w:val="single" w:sz="6" w:space="0" w:color="000000"/>
            </w:tcBorders>
          </w:tcPr>
          <w:p>
            <w:pPr/>
          </w:p>
        </w:tc>
        <w:tc>
          <w:tcPr>
            <w:tcW w:w="1344" w:type="dxa"/>
            <w:tcBorders>
              <w:top w:val="single" w:sz="6" w:space="0" w:color="000000"/>
              <w:left w:val="single" w:sz="6" w:space="0" w:color="000000"/>
              <w:bottom w:val="single" w:sz="6" w:space="0" w:color="000000"/>
              <w:right w:val="single" w:sz="6" w:space="0" w:color="000000"/>
            </w:tcBorders>
          </w:tcPr>
          <w:p>
            <w:pPr/>
          </w:p>
        </w:tc>
        <w:tc>
          <w:tcPr>
            <w:tcW w:w="1320" w:type="dxa"/>
            <w:tcBorders>
              <w:top w:val="single" w:sz="6" w:space="0" w:color="000000"/>
              <w:left w:val="single" w:sz="6" w:space="0" w:color="000000"/>
              <w:bottom w:val="single" w:sz="6" w:space="0" w:color="000000"/>
              <w:right w:val="single" w:sz="6" w:space="0" w:color="000000"/>
            </w:tcBorders>
          </w:tcPr>
          <w:p>
            <w:pPr/>
          </w:p>
        </w:tc>
      </w:tr>
      <w:tr>
        <w:trPr>
          <w:trHeight w:val="456"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00" w:right="0"/>
              <w:jc w:val="left"/>
              <w:rPr>
                <w:rFonts w:ascii="黑体" w:hAnsi="黑体" w:cs="黑体" w:eastAsia="黑体" w:hint="default"/>
                <w:sz w:val="17"/>
                <w:szCs w:val="17"/>
              </w:rPr>
            </w:pPr>
            <w:r>
              <w:rPr>
                <w:rFonts w:ascii="黑体" w:hAnsi="黑体" w:cs="黑体" w:eastAsia="黑体" w:hint="default"/>
                <w:sz w:val="17"/>
                <w:szCs w:val="17"/>
              </w:rPr>
              <w:t>十、终止经营业务每股收益（归属于母公司普通</w:t>
            </w:r>
          </w:p>
          <w:p>
            <w:pPr>
              <w:pStyle w:val="TableParagraph"/>
              <w:spacing w:line="222" w:lineRule="exact"/>
              <w:ind w:left="646" w:right="0"/>
              <w:jc w:val="left"/>
              <w:rPr>
                <w:rFonts w:ascii="黑体" w:hAnsi="黑体" w:cs="黑体" w:eastAsia="黑体" w:hint="default"/>
                <w:sz w:val="17"/>
                <w:szCs w:val="17"/>
              </w:rPr>
            </w:pPr>
            <w:r>
              <w:rPr>
                <w:rFonts w:ascii="黑体" w:hAnsi="黑体" w:cs="黑体" w:eastAsia="黑体" w:hint="default"/>
                <w:sz w:val="17"/>
                <w:szCs w:val="17"/>
              </w:rPr>
              <w:t>股股东）</w:t>
            </w: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
        </w:tc>
        <w:tc>
          <w:tcPr>
            <w:tcW w:w="1568" w:type="dxa"/>
            <w:tcBorders>
              <w:top w:val="single" w:sz="6" w:space="0" w:color="000000"/>
              <w:left w:val="single" w:sz="6" w:space="0" w:color="000000"/>
              <w:bottom w:val="single" w:sz="6" w:space="0" w:color="000000"/>
              <w:right w:val="single" w:sz="6" w:space="0" w:color="000000"/>
            </w:tcBorders>
          </w:tcPr>
          <w:p>
            <w:pPr/>
          </w:p>
        </w:tc>
        <w:tc>
          <w:tcPr>
            <w:tcW w:w="1344" w:type="dxa"/>
            <w:tcBorders>
              <w:top w:val="single" w:sz="6" w:space="0" w:color="000000"/>
              <w:left w:val="single" w:sz="6" w:space="0" w:color="000000"/>
              <w:bottom w:val="single" w:sz="6" w:space="0" w:color="000000"/>
              <w:right w:val="single" w:sz="6" w:space="0" w:color="000000"/>
            </w:tcBorders>
          </w:tcPr>
          <w:p>
            <w:pPr/>
          </w:p>
        </w:tc>
        <w:tc>
          <w:tcPr>
            <w:tcW w:w="1320" w:type="dxa"/>
            <w:tcBorders>
              <w:top w:val="single" w:sz="6" w:space="0" w:color="000000"/>
              <w:left w:val="single" w:sz="6" w:space="0" w:color="000000"/>
              <w:bottom w:val="single" w:sz="6" w:space="0" w:color="000000"/>
              <w:right w:val="single" w:sz="6" w:space="0" w:color="000000"/>
            </w:tcBorders>
          </w:tcPr>
          <w:p>
            <w:pPr/>
          </w:p>
        </w:tc>
      </w:tr>
      <w:tr>
        <w:trPr>
          <w:trHeight w:val="256"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440" w:right="0"/>
              <w:jc w:val="left"/>
              <w:rPr>
                <w:rFonts w:ascii="黑体" w:hAnsi="黑体" w:cs="黑体" w:eastAsia="黑体" w:hint="default"/>
                <w:sz w:val="17"/>
                <w:szCs w:val="17"/>
              </w:rPr>
            </w:pPr>
            <w:r>
              <w:rPr>
                <w:rFonts w:ascii="黑体" w:hAnsi="黑体" w:cs="黑体" w:eastAsia="黑体" w:hint="default"/>
                <w:sz w:val="17"/>
                <w:szCs w:val="17"/>
              </w:rPr>
              <w:t>基本每股收益</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27"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(47)</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84"/>
              <w:jc w:val="right"/>
              <w:rPr>
                <w:rFonts w:ascii="Arial" w:hAnsi="Arial" w:cs="Arial" w:eastAsia="Arial" w:hint="default"/>
                <w:sz w:val="17"/>
                <w:szCs w:val="17"/>
              </w:rPr>
            </w:pPr>
            <w:r>
              <w:rPr>
                <w:rFonts w:ascii="Arial"/>
                <w:w w:val="100"/>
                <w:sz w:val="17"/>
              </w:rPr>
              <w:t>-</w:t>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3"/>
              <w:ind w:right="133"/>
              <w:jc w:val="right"/>
              <w:rPr>
                <w:rFonts w:ascii="Arial" w:hAnsi="Arial" w:cs="Arial" w:eastAsia="Arial" w:hint="default"/>
                <w:sz w:val="17"/>
                <w:szCs w:val="17"/>
              </w:rPr>
            </w:pPr>
            <w:r>
              <w:rPr>
                <w:rFonts w:ascii="Arial"/>
                <w:spacing w:val="-1"/>
                <w:sz w:val="17"/>
              </w:rPr>
              <w:t>0.7703</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right="74"/>
              <w:jc w:val="right"/>
              <w:rPr>
                <w:rFonts w:ascii="宋体" w:hAnsi="宋体" w:cs="宋体" w:eastAsia="宋体" w:hint="default"/>
                <w:sz w:val="17"/>
                <w:szCs w:val="17"/>
              </w:rPr>
            </w:pPr>
            <w:r>
              <w:rPr>
                <w:rFonts w:ascii="宋体" w:hAnsi="宋体" w:cs="宋体" w:eastAsia="宋体" w:hint="default"/>
                <w:sz w:val="17"/>
                <w:szCs w:val="17"/>
              </w:rPr>
              <w:t>不适用</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15" w:lineRule="exact"/>
              <w:ind w:right="83"/>
              <w:jc w:val="right"/>
              <w:rPr>
                <w:rFonts w:ascii="宋体" w:hAnsi="宋体" w:cs="宋体" w:eastAsia="宋体" w:hint="default"/>
                <w:sz w:val="17"/>
                <w:szCs w:val="17"/>
              </w:rPr>
            </w:pPr>
            <w:r>
              <w:rPr>
                <w:rFonts w:ascii="宋体" w:hAnsi="宋体" w:cs="宋体" w:eastAsia="宋体" w:hint="default"/>
                <w:sz w:val="17"/>
                <w:szCs w:val="17"/>
              </w:rPr>
              <w:t>不适用</w:t>
            </w: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6" w:lineRule="exact"/>
              <w:ind w:left="440" w:right="0"/>
              <w:jc w:val="left"/>
              <w:rPr>
                <w:rFonts w:ascii="黑体" w:hAnsi="黑体" w:cs="黑体" w:eastAsia="黑体" w:hint="default"/>
                <w:sz w:val="17"/>
                <w:szCs w:val="17"/>
              </w:rPr>
            </w:pPr>
            <w:r>
              <w:rPr>
                <w:rFonts w:ascii="黑体" w:hAnsi="黑体" w:cs="黑体" w:eastAsia="黑体" w:hint="default"/>
                <w:sz w:val="17"/>
                <w:szCs w:val="17"/>
              </w:rPr>
              <w:t>稀释每股收益</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(47)</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84"/>
              <w:jc w:val="right"/>
              <w:rPr>
                <w:rFonts w:ascii="Arial" w:hAnsi="Arial" w:cs="Arial" w:eastAsia="Arial" w:hint="default"/>
                <w:sz w:val="17"/>
                <w:szCs w:val="17"/>
              </w:rPr>
            </w:pPr>
            <w:r>
              <w:rPr>
                <w:rFonts w:ascii="Arial"/>
                <w:w w:val="100"/>
                <w:sz w:val="17"/>
              </w:rPr>
              <w:t>-</w:t>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33"/>
              <w:jc w:val="right"/>
              <w:rPr>
                <w:rFonts w:ascii="Arial" w:hAnsi="Arial" w:cs="Arial" w:eastAsia="Arial" w:hint="default"/>
                <w:sz w:val="17"/>
                <w:szCs w:val="17"/>
              </w:rPr>
            </w:pPr>
            <w:r>
              <w:rPr>
                <w:rFonts w:ascii="Arial"/>
                <w:spacing w:val="-1"/>
                <w:sz w:val="17"/>
              </w:rPr>
              <w:t>0.7642</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196" w:lineRule="exact"/>
              <w:ind w:right="74"/>
              <w:jc w:val="right"/>
              <w:rPr>
                <w:rFonts w:ascii="宋体" w:hAnsi="宋体" w:cs="宋体" w:eastAsia="宋体" w:hint="default"/>
                <w:sz w:val="17"/>
                <w:szCs w:val="17"/>
              </w:rPr>
            </w:pPr>
            <w:r>
              <w:rPr>
                <w:rFonts w:ascii="宋体" w:hAnsi="宋体" w:cs="宋体" w:eastAsia="宋体" w:hint="default"/>
                <w:sz w:val="17"/>
                <w:szCs w:val="17"/>
              </w:rPr>
              <w:t>不适用</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196" w:lineRule="exact"/>
              <w:ind w:right="83"/>
              <w:jc w:val="right"/>
              <w:rPr>
                <w:rFonts w:ascii="宋体" w:hAnsi="宋体" w:cs="宋体" w:eastAsia="宋体" w:hint="default"/>
                <w:sz w:val="17"/>
                <w:szCs w:val="17"/>
              </w:rPr>
            </w:pPr>
            <w:r>
              <w:rPr>
                <w:rFonts w:ascii="宋体" w:hAnsi="宋体" w:cs="宋体" w:eastAsia="宋体" w:hint="default"/>
                <w:sz w:val="17"/>
                <w:szCs w:val="17"/>
              </w:rPr>
              <w:t>不适用</w:t>
            </w: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
        </w:tc>
        <w:tc>
          <w:tcPr>
            <w:tcW w:w="1568" w:type="dxa"/>
            <w:tcBorders>
              <w:top w:val="single" w:sz="6" w:space="0" w:color="000000"/>
              <w:left w:val="single" w:sz="6" w:space="0" w:color="000000"/>
              <w:bottom w:val="single" w:sz="6" w:space="0" w:color="000000"/>
              <w:right w:val="single" w:sz="6" w:space="0" w:color="000000"/>
            </w:tcBorders>
          </w:tcPr>
          <w:p>
            <w:pPr/>
          </w:p>
        </w:tc>
        <w:tc>
          <w:tcPr>
            <w:tcW w:w="1344" w:type="dxa"/>
            <w:tcBorders>
              <w:top w:val="single" w:sz="6" w:space="0" w:color="000000"/>
              <w:left w:val="single" w:sz="6" w:space="0" w:color="000000"/>
              <w:bottom w:val="single" w:sz="6" w:space="0" w:color="000000"/>
              <w:right w:val="single" w:sz="6" w:space="0" w:color="000000"/>
            </w:tcBorders>
          </w:tcPr>
          <w:p>
            <w:pPr/>
          </w:p>
        </w:tc>
        <w:tc>
          <w:tcPr>
            <w:tcW w:w="1320" w:type="dxa"/>
            <w:tcBorders>
              <w:top w:val="single" w:sz="6" w:space="0" w:color="000000"/>
              <w:left w:val="single" w:sz="6" w:space="0" w:color="000000"/>
              <w:bottom w:val="single" w:sz="6" w:space="0" w:color="000000"/>
              <w:right w:val="single" w:sz="6" w:space="0" w:color="000000"/>
            </w:tcBorders>
          </w:tcPr>
          <w:p>
            <w:pP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5" w:lineRule="exact"/>
              <w:ind w:left="100" w:right="0"/>
              <w:jc w:val="left"/>
              <w:rPr>
                <w:rFonts w:ascii="黑体" w:hAnsi="黑体" w:cs="黑体" w:eastAsia="黑体" w:hint="default"/>
                <w:sz w:val="17"/>
                <w:szCs w:val="17"/>
              </w:rPr>
            </w:pPr>
            <w:r>
              <w:rPr>
                <w:rFonts w:ascii="黑体" w:hAnsi="黑体" w:cs="黑体" w:eastAsia="黑体" w:hint="default"/>
                <w:sz w:val="17"/>
                <w:szCs w:val="17"/>
              </w:rPr>
              <w:t>十一、其他综合收益</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ind w:right="114"/>
              <w:jc w:val="center"/>
              <w:rPr>
                <w:rFonts w:ascii="Arial" w:hAnsi="Arial" w:cs="Arial" w:eastAsia="Arial" w:hint="default"/>
                <w:sz w:val="17"/>
                <w:szCs w:val="17"/>
              </w:rPr>
            </w:pPr>
            <w:r>
              <w:rPr>
                <w:rFonts w:ascii="宋体" w:hAnsi="宋体" w:cs="宋体" w:eastAsia="宋体" w:hint="default"/>
                <w:sz w:val="17"/>
                <w:szCs w:val="17"/>
              </w:rPr>
              <w:t>五</w:t>
            </w:r>
            <w:r>
              <w:rPr>
                <w:rFonts w:ascii="Arial" w:hAnsi="Arial" w:cs="Arial" w:eastAsia="Arial" w:hint="default"/>
                <w:sz w:val="17"/>
                <w:szCs w:val="17"/>
              </w:rPr>
              <w:t>(48)</w:t>
            </w: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27"/>
              <w:jc w:val="right"/>
              <w:rPr>
                <w:rFonts w:ascii="Arial" w:hAnsi="Arial" w:cs="Arial" w:eastAsia="Arial" w:hint="default"/>
                <w:sz w:val="17"/>
                <w:szCs w:val="17"/>
              </w:rPr>
            </w:pPr>
            <w:r>
              <w:rPr>
                <w:rFonts w:ascii="Arial"/>
                <w:spacing w:val="-1"/>
                <w:sz w:val="17"/>
              </w:rPr>
              <w:t>(37,472,362)</w:t>
            </w:r>
            <w:r>
              <w:rPr>
                <w:rFonts w:ascii="Arial"/>
                <w:sz w:val="17"/>
              </w:rPr>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57"/>
              <w:jc w:val="right"/>
              <w:rPr>
                <w:rFonts w:ascii="Arial" w:hAnsi="Arial" w:cs="Arial" w:eastAsia="Arial" w:hint="default"/>
                <w:sz w:val="17"/>
                <w:szCs w:val="17"/>
              </w:rPr>
            </w:pPr>
            <w:r>
              <w:rPr>
                <w:rFonts w:ascii="Arial"/>
                <w:spacing w:val="-1"/>
                <w:sz w:val="17"/>
              </w:rPr>
              <w:t>(171,425,040)</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60"/>
              <w:jc w:val="right"/>
              <w:rPr>
                <w:rFonts w:ascii="Arial" w:hAnsi="Arial" w:cs="Arial" w:eastAsia="Arial" w:hint="default"/>
                <w:sz w:val="17"/>
                <w:szCs w:val="17"/>
              </w:rPr>
            </w:pPr>
            <w:r>
              <w:rPr>
                <w:rFonts w:ascii="Arial"/>
                <w:w w:val="100"/>
                <w:sz w:val="17"/>
              </w:rPr>
              <w:t>-</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82"/>
              <w:jc w:val="right"/>
              <w:rPr>
                <w:rFonts w:ascii="Arial" w:hAnsi="Arial" w:cs="Arial" w:eastAsia="Arial" w:hint="default"/>
                <w:sz w:val="17"/>
                <w:szCs w:val="17"/>
              </w:rPr>
            </w:pPr>
            <w:r>
              <w:rPr>
                <w:rFonts w:ascii="Arial"/>
                <w:w w:val="100"/>
                <w:sz w:val="17"/>
              </w:rPr>
              <w:t>-</w:t>
            </w:r>
          </w:p>
        </w:tc>
      </w:tr>
      <w:tr>
        <w:trPr>
          <w:trHeight w:val="236" w:hRule="exact"/>
        </w:trPr>
        <w:tc>
          <w:tcPr>
            <w:tcW w:w="3724" w:type="dxa"/>
            <w:tcBorders>
              <w:top w:val="single" w:sz="6" w:space="0" w:color="000000"/>
              <w:left w:val="single" w:sz="6" w:space="0" w:color="000000"/>
              <w:bottom w:val="single" w:sz="6" w:space="0" w:color="000000"/>
              <w:right w:val="single" w:sz="6" w:space="0" w:color="000000"/>
            </w:tcBorders>
          </w:tcPr>
          <w:p>
            <w:pP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
        </w:tc>
        <w:tc>
          <w:tcPr>
            <w:tcW w:w="1568" w:type="dxa"/>
            <w:tcBorders>
              <w:top w:val="single" w:sz="6" w:space="0" w:color="000000"/>
              <w:left w:val="single" w:sz="6" w:space="0" w:color="000000"/>
              <w:bottom w:val="single" w:sz="6" w:space="0" w:color="000000"/>
              <w:right w:val="single" w:sz="6" w:space="0" w:color="000000"/>
            </w:tcBorders>
          </w:tcPr>
          <w:p>
            <w:pPr/>
          </w:p>
        </w:tc>
        <w:tc>
          <w:tcPr>
            <w:tcW w:w="1344" w:type="dxa"/>
            <w:tcBorders>
              <w:top w:val="single" w:sz="6" w:space="0" w:color="000000"/>
              <w:left w:val="single" w:sz="6" w:space="0" w:color="000000"/>
              <w:bottom w:val="single" w:sz="6" w:space="0" w:color="000000"/>
              <w:right w:val="single" w:sz="6" w:space="0" w:color="000000"/>
            </w:tcBorders>
          </w:tcPr>
          <w:p>
            <w:pPr/>
          </w:p>
        </w:tc>
        <w:tc>
          <w:tcPr>
            <w:tcW w:w="1320" w:type="dxa"/>
            <w:tcBorders>
              <w:top w:val="single" w:sz="6" w:space="0" w:color="000000"/>
              <w:left w:val="single" w:sz="6" w:space="0" w:color="000000"/>
              <w:bottom w:val="single" w:sz="6" w:space="0" w:color="000000"/>
              <w:right w:val="single" w:sz="6" w:space="0" w:color="000000"/>
            </w:tcBorders>
          </w:tcPr>
          <w:p>
            <w:pP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6" w:lineRule="exact"/>
              <w:ind w:left="100" w:right="0"/>
              <w:jc w:val="left"/>
              <w:rPr>
                <w:rFonts w:ascii="黑体" w:hAnsi="黑体" w:cs="黑体" w:eastAsia="黑体" w:hint="default"/>
                <w:sz w:val="17"/>
                <w:szCs w:val="17"/>
              </w:rPr>
            </w:pPr>
            <w:r>
              <w:rPr>
                <w:rFonts w:ascii="黑体" w:hAnsi="黑体" w:cs="黑体" w:eastAsia="黑体" w:hint="default"/>
                <w:sz w:val="17"/>
                <w:szCs w:val="17"/>
              </w:rPr>
              <w:t>十二、综合收益总额</w:t>
            </w: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350" w:right="0"/>
              <w:jc w:val="left"/>
              <w:rPr>
                <w:rFonts w:ascii="Arial" w:hAnsi="Arial" w:cs="Arial" w:eastAsia="Arial" w:hint="default"/>
                <w:sz w:val="17"/>
                <w:szCs w:val="17"/>
              </w:rPr>
            </w:pPr>
            <w:r>
              <w:rPr>
                <w:rFonts w:ascii="Arial"/>
                <w:sz w:val="17"/>
              </w:rPr>
              <w:t>9,336,421,424</w:t>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3"/>
              <w:jc w:val="right"/>
              <w:rPr>
                <w:rFonts w:ascii="Arial" w:hAnsi="Arial" w:cs="Arial" w:eastAsia="Arial" w:hint="default"/>
                <w:sz w:val="17"/>
                <w:szCs w:val="17"/>
              </w:rPr>
            </w:pPr>
            <w:r>
              <w:rPr>
                <w:rFonts w:ascii="Arial"/>
                <w:spacing w:val="-1"/>
                <w:sz w:val="17"/>
              </w:rPr>
              <w:t>35,028,114,218</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59"/>
              <w:jc w:val="right"/>
              <w:rPr>
                <w:rFonts w:ascii="Arial" w:hAnsi="Arial" w:cs="Arial" w:eastAsia="Arial" w:hint="default"/>
                <w:sz w:val="17"/>
                <w:szCs w:val="17"/>
              </w:rPr>
            </w:pPr>
            <w:r>
              <w:rPr>
                <w:rFonts w:ascii="Arial"/>
                <w:spacing w:val="-1"/>
                <w:sz w:val="17"/>
              </w:rPr>
              <w:t>1,583,896,120</w:t>
            </w:r>
            <w:r>
              <w:rPr>
                <w:rFonts w:ascii="Arial"/>
                <w:sz w:val="17"/>
              </w:rPr>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33" w:right="0"/>
              <w:jc w:val="left"/>
              <w:rPr>
                <w:rFonts w:ascii="Arial" w:hAnsi="Arial" w:cs="Arial" w:eastAsia="Arial" w:hint="default"/>
                <w:sz w:val="17"/>
                <w:szCs w:val="17"/>
              </w:rPr>
            </w:pPr>
            <w:r>
              <w:rPr>
                <w:rFonts w:ascii="Arial"/>
                <w:sz w:val="17"/>
              </w:rPr>
              <w:t>1,584,123,599</w:t>
            </w: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6" w:lineRule="exact"/>
              <w:ind w:left="637" w:right="0"/>
              <w:jc w:val="left"/>
              <w:rPr>
                <w:rFonts w:ascii="黑体" w:hAnsi="黑体" w:cs="黑体" w:eastAsia="黑体" w:hint="default"/>
                <w:sz w:val="17"/>
                <w:szCs w:val="17"/>
              </w:rPr>
            </w:pPr>
            <w:r>
              <w:rPr>
                <w:rFonts w:ascii="黑体" w:hAnsi="黑体" w:cs="黑体" w:eastAsia="黑体" w:hint="default"/>
                <w:sz w:val="17"/>
                <w:szCs w:val="17"/>
              </w:rPr>
              <w:t>归属于母公司普通股股东综合收益总额</w:t>
            </w: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350" w:right="0"/>
              <w:jc w:val="left"/>
              <w:rPr>
                <w:rFonts w:ascii="Arial" w:hAnsi="Arial" w:cs="Arial" w:eastAsia="Arial" w:hint="default"/>
                <w:sz w:val="17"/>
                <w:szCs w:val="17"/>
              </w:rPr>
            </w:pPr>
            <w:r>
              <w:rPr>
                <w:rFonts w:ascii="Arial"/>
                <w:sz w:val="17"/>
              </w:rPr>
              <w:t>3,124,117,937</w:t>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3"/>
              <w:jc w:val="right"/>
              <w:rPr>
                <w:rFonts w:ascii="Arial" w:hAnsi="Arial" w:cs="Arial" w:eastAsia="Arial" w:hint="default"/>
                <w:sz w:val="17"/>
                <w:szCs w:val="17"/>
              </w:rPr>
            </w:pPr>
            <w:r>
              <w:rPr>
                <w:rFonts w:ascii="Arial"/>
                <w:spacing w:val="-1"/>
                <w:sz w:val="17"/>
              </w:rPr>
              <w:t>20,178,319,303</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59"/>
              <w:jc w:val="right"/>
              <w:rPr>
                <w:rFonts w:ascii="Arial" w:hAnsi="Arial" w:cs="Arial" w:eastAsia="Arial" w:hint="default"/>
                <w:sz w:val="17"/>
                <w:szCs w:val="17"/>
              </w:rPr>
            </w:pPr>
            <w:r>
              <w:rPr>
                <w:rFonts w:ascii="Arial"/>
                <w:spacing w:val="-1"/>
                <w:sz w:val="17"/>
              </w:rPr>
              <w:t>1,583,896,120</w:t>
            </w:r>
            <w:r>
              <w:rPr>
                <w:rFonts w:ascii="Arial"/>
                <w:sz w:val="17"/>
              </w:rPr>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33" w:right="0"/>
              <w:jc w:val="left"/>
              <w:rPr>
                <w:rFonts w:ascii="Arial" w:hAnsi="Arial" w:cs="Arial" w:eastAsia="Arial" w:hint="default"/>
                <w:sz w:val="17"/>
                <w:szCs w:val="17"/>
              </w:rPr>
            </w:pPr>
            <w:r>
              <w:rPr>
                <w:rFonts w:ascii="Arial"/>
                <w:sz w:val="17"/>
              </w:rPr>
              <w:t>1,584,123,599</w:t>
            </w:r>
          </w:p>
        </w:tc>
      </w:tr>
      <w:tr>
        <w:trPr>
          <w:trHeight w:val="235" w:hRule="exact"/>
        </w:trPr>
        <w:tc>
          <w:tcPr>
            <w:tcW w:w="3724" w:type="dxa"/>
            <w:tcBorders>
              <w:top w:val="single" w:sz="6" w:space="0" w:color="000000"/>
              <w:left w:val="single" w:sz="6" w:space="0" w:color="000000"/>
              <w:bottom w:val="single" w:sz="6" w:space="0" w:color="000000"/>
              <w:right w:val="single" w:sz="6" w:space="0" w:color="000000"/>
            </w:tcBorders>
          </w:tcPr>
          <w:p>
            <w:pPr>
              <w:pStyle w:val="TableParagraph"/>
              <w:spacing w:line="196" w:lineRule="exact"/>
              <w:ind w:left="637" w:right="0"/>
              <w:jc w:val="left"/>
              <w:rPr>
                <w:rFonts w:ascii="黑体" w:hAnsi="黑体" w:cs="黑体" w:eastAsia="黑体" w:hint="default"/>
                <w:sz w:val="17"/>
                <w:szCs w:val="17"/>
              </w:rPr>
            </w:pPr>
            <w:r>
              <w:rPr>
                <w:rFonts w:ascii="黑体" w:hAnsi="黑体" w:cs="黑体" w:eastAsia="黑体" w:hint="default"/>
                <w:sz w:val="17"/>
                <w:szCs w:val="17"/>
              </w:rPr>
              <w:t>归属于少数股东的综合收益总额</w:t>
            </w:r>
          </w:p>
        </w:tc>
        <w:tc>
          <w:tcPr>
            <w:tcW w:w="1163" w:type="dxa"/>
            <w:tcBorders>
              <w:top w:val="single" w:sz="6" w:space="0" w:color="000000"/>
              <w:left w:val="single" w:sz="6" w:space="0" w:color="000000"/>
              <w:bottom w:val="single" w:sz="6" w:space="0" w:color="000000"/>
              <w:right w:val="single" w:sz="6" w:space="0" w:color="000000"/>
            </w:tcBorders>
          </w:tcPr>
          <w:p>
            <w:pPr/>
          </w:p>
        </w:tc>
        <w:tc>
          <w:tcPr>
            <w:tcW w:w="153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350" w:right="0"/>
              <w:jc w:val="left"/>
              <w:rPr>
                <w:rFonts w:ascii="Arial" w:hAnsi="Arial" w:cs="Arial" w:eastAsia="Arial" w:hint="default"/>
                <w:sz w:val="17"/>
                <w:szCs w:val="17"/>
              </w:rPr>
            </w:pPr>
            <w:r>
              <w:rPr>
                <w:rFonts w:ascii="Arial"/>
                <w:sz w:val="17"/>
              </w:rPr>
              <w:t>6,212,303,487</w:t>
            </w:r>
          </w:p>
        </w:tc>
        <w:tc>
          <w:tcPr>
            <w:tcW w:w="1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113"/>
              <w:jc w:val="right"/>
              <w:rPr>
                <w:rFonts w:ascii="Arial" w:hAnsi="Arial" w:cs="Arial" w:eastAsia="Arial" w:hint="default"/>
                <w:sz w:val="17"/>
                <w:szCs w:val="17"/>
              </w:rPr>
            </w:pPr>
            <w:r>
              <w:rPr>
                <w:rFonts w:ascii="Arial"/>
                <w:spacing w:val="-1"/>
                <w:sz w:val="17"/>
              </w:rPr>
              <w:t>14,849,794,915</w:t>
            </w:r>
            <w:r>
              <w:rPr>
                <w:rFonts w:ascii="Arial"/>
                <w:sz w:val="17"/>
              </w:rPr>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60"/>
              <w:jc w:val="right"/>
              <w:rPr>
                <w:rFonts w:ascii="Arial" w:hAnsi="Arial" w:cs="Arial" w:eastAsia="Arial" w:hint="default"/>
                <w:sz w:val="17"/>
                <w:szCs w:val="17"/>
              </w:rPr>
            </w:pPr>
            <w:r>
              <w:rPr>
                <w:rFonts w:ascii="Arial"/>
                <w:w w:val="100"/>
                <w:sz w:val="17"/>
              </w:rPr>
              <w:t>-</w:t>
            </w:r>
          </w:p>
        </w:tc>
        <w:tc>
          <w:tcPr>
            <w:tcW w:w="1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83"/>
              <w:jc w:val="right"/>
              <w:rPr>
                <w:rFonts w:ascii="Arial" w:hAnsi="Arial" w:cs="Arial" w:eastAsia="Arial" w:hint="default"/>
                <w:sz w:val="17"/>
                <w:szCs w:val="17"/>
              </w:rPr>
            </w:pPr>
            <w:r>
              <w:rPr>
                <w:rFonts w:ascii="Arial"/>
                <w:w w:val="100"/>
                <w:sz w:val="17"/>
              </w:rPr>
              <w:t>-</w:t>
            </w:r>
          </w:p>
        </w:tc>
      </w:tr>
    </w:tbl>
    <w:p>
      <w:pPr>
        <w:spacing w:line="240" w:lineRule="auto" w:before="3"/>
        <w:rPr>
          <w:rFonts w:ascii="黑体" w:hAnsi="黑体" w:cs="黑体" w:eastAsia="黑体" w:hint="default"/>
          <w:sz w:val="12"/>
          <w:szCs w:val="12"/>
        </w:rPr>
      </w:pPr>
    </w:p>
    <w:p>
      <w:pPr>
        <w:spacing w:before="38"/>
        <w:ind w:left="115" w:right="0" w:firstLine="0"/>
        <w:jc w:val="left"/>
        <w:rPr>
          <w:rFonts w:ascii="黑体" w:hAnsi="黑体" w:cs="黑体" w:eastAsia="黑体" w:hint="default"/>
          <w:sz w:val="20"/>
          <w:szCs w:val="20"/>
        </w:rPr>
      </w:pPr>
      <w:r>
        <w:rPr>
          <w:rFonts w:ascii="黑体" w:hAnsi="黑体" w:cs="黑体" w:eastAsia="黑体" w:hint="default"/>
          <w:sz w:val="20"/>
          <w:szCs w:val="20"/>
        </w:rPr>
        <w:t>后附财务报表附注为财务报表的组成部分。</w:t>
      </w: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14"/>
          <w:szCs w:val="14"/>
        </w:rPr>
      </w:pPr>
    </w:p>
    <w:p>
      <w:pPr>
        <w:pStyle w:val="BodyText"/>
        <w:tabs>
          <w:tab w:pos="3436" w:val="left" w:leader="none"/>
          <w:tab w:pos="7211" w:val="left" w:leader="none"/>
        </w:tabs>
        <w:spacing w:line="240" w:lineRule="auto"/>
        <w:ind w:left="129" w:right="0"/>
        <w:jc w:val="left"/>
        <w:rPr>
          <w:rFonts w:ascii="黑体" w:hAnsi="黑体" w:cs="黑体" w:eastAsia="黑体" w:hint="default"/>
        </w:rPr>
      </w:pPr>
      <w:r>
        <w:rPr>
          <w:rFonts w:ascii="黑体" w:hAnsi="黑体" w:cs="黑体" w:eastAsia="黑体" w:hint="default"/>
          <w:w w:val="95"/>
        </w:rPr>
        <w:t>董事长：常小兵</w:t>
        <w:tab/>
        <w:t>财务负责人：张健</w:t>
        <w:tab/>
      </w:r>
      <w:r>
        <w:rPr>
          <w:rFonts w:ascii="黑体" w:hAnsi="黑体" w:cs="黑体" w:eastAsia="黑体" w:hint="default"/>
        </w:rPr>
        <w:t>财务部总经理：赵玉军</w:t>
      </w:r>
    </w:p>
    <w:p>
      <w:pPr>
        <w:spacing w:after="0" w:line="240" w:lineRule="auto"/>
        <w:jc w:val="left"/>
        <w:rPr>
          <w:rFonts w:ascii="黑体" w:hAnsi="黑体" w:cs="黑体" w:eastAsia="黑体" w:hint="default"/>
        </w:rPr>
        <w:sectPr>
          <w:headerReference w:type="default" r:id="rId25"/>
          <w:footerReference w:type="default" r:id="rId26"/>
          <w:pgSz w:w="11910" w:h="16840"/>
          <w:pgMar w:header="0" w:footer="488" w:top="400" w:bottom="680" w:left="780" w:right="220"/>
          <w:pgNumType w:start="52"/>
        </w:sectPr>
      </w:pPr>
    </w:p>
    <w:p>
      <w:pPr>
        <w:pStyle w:val="BodyText"/>
        <w:spacing w:line="240" w:lineRule="auto" w:before="17"/>
        <w:ind w:left="107" w:right="0"/>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8"/>
        <w:rPr>
          <w:rFonts w:ascii="黑体" w:hAnsi="黑体" w:cs="黑体" w:eastAsia="黑体" w:hint="default"/>
          <w:sz w:val="21"/>
          <w:szCs w:val="21"/>
        </w:rPr>
      </w:pPr>
    </w:p>
    <w:p>
      <w:pPr>
        <w:pStyle w:val="BodyText"/>
        <w:spacing w:line="295" w:lineRule="exact"/>
        <w:ind w:left="107"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9"/>
        </w:rPr>
        <w:t> </w:t>
      </w:r>
      <w:r>
        <w:rPr>
          <w:rFonts w:ascii="黑体" w:hAnsi="黑体" w:cs="黑体" w:eastAsia="黑体" w:hint="default"/>
        </w:rPr>
        <w:t>年度合并及公司现金流量表</w:t>
      </w:r>
    </w:p>
    <w:p>
      <w:pPr>
        <w:pStyle w:val="BodyText"/>
        <w:spacing w:line="279" w:lineRule="exact"/>
        <w:ind w:left="107" w:right="0"/>
        <w:jc w:val="left"/>
        <w:rPr>
          <w:rFonts w:ascii="黑体" w:hAnsi="黑体" w:cs="黑体" w:eastAsia="黑体" w:hint="default"/>
        </w:rPr>
      </w:pPr>
      <w:r>
        <w:rPr>
          <w:rFonts w:ascii="黑体" w:hAnsi="黑体" w:cs="黑体" w:eastAsia="黑体" w:hint="default"/>
        </w:rPr>
        <w:t>（除特别注明外，金额单位为人民币元）</w:t>
      </w:r>
    </w:p>
    <w:p>
      <w:pPr>
        <w:spacing w:line="240" w:lineRule="auto" w:before="8"/>
        <w:rPr>
          <w:rFonts w:ascii="黑体" w:hAnsi="黑体" w:cs="黑体" w:eastAsia="黑体" w:hint="default"/>
          <w:sz w:val="23"/>
          <w:szCs w:val="23"/>
        </w:rPr>
      </w:pPr>
    </w:p>
    <w:tbl>
      <w:tblPr>
        <w:tblW w:w="0" w:type="auto"/>
        <w:jc w:val="left"/>
        <w:tblInd w:w="113" w:type="dxa"/>
        <w:tblLayout w:type="fixed"/>
        <w:tblCellMar>
          <w:top w:w="0" w:type="dxa"/>
          <w:left w:w="0" w:type="dxa"/>
          <w:bottom w:w="0" w:type="dxa"/>
          <w:right w:w="0" w:type="dxa"/>
        </w:tblCellMar>
        <w:tblLook w:val="01E0"/>
      </w:tblPr>
      <w:tblGrid>
        <w:gridCol w:w="4718"/>
        <w:gridCol w:w="532"/>
        <w:gridCol w:w="1414"/>
        <w:gridCol w:w="1414"/>
        <w:gridCol w:w="1289"/>
        <w:gridCol w:w="1273"/>
      </w:tblGrid>
      <w:tr>
        <w:trPr>
          <w:trHeight w:val="623"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黑体" w:hAnsi="黑体" w:cs="黑体" w:eastAsia="黑体" w:hint="default"/>
                <w:sz w:val="13"/>
                <w:szCs w:val="13"/>
              </w:rPr>
            </w:pPr>
          </w:p>
          <w:p>
            <w:pPr>
              <w:pStyle w:val="TableParagraph"/>
              <w:spacing w:line="240" w:lineRule="auto"/>
              <w:ind w:right="2"/>
              <w:jc w:val="center"/>
              <w:rPr>
                <w:rFonts w:ascii="黑体" w:hAnsi="黑体" w:cs="黑体" w:eastAsia="黑体" w:hint="default"/>
                <w:sz w:val="16"/>
                <w:szCs w:val="16"/>
              </w:rPr>
            </w:pPr>
            <w:r>
              <w:rPr>
                <w:rFonts w:ascii="黑体" w:hAnsi="黑体" w:cs="黑体" w:eastAsia="黑体" w:hint="default"/>
                <w:sz w:val="16"/>
                <w:szCs w:val="16"/>
              </w:rPr>
              <w:t>项目</w:t>
            </w:r>
          </w:p>
        </w:tc>
        <w:tc>
          <w:tcPr>
            <w:tcW w:w="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黑体" w:hAnsi="黑体" w:cs="黑体" w:eastAsia="黑体" w:hint="default"/>
                <w:sz w:val="13"/>
                <w:szCs w:val="13"/>
              </w:rPr>
            </w:pPr>
          </w:p>
          <w:p>
            <w:pPr>
              <w:pStyle w:val="TableParagraph"/>
              <w:spacing w:line="240" w:lineRule="auto"/>
              <w:ind w:right="95"/>
              <w:jc w:val="center"/>
              <w:rPr>
                <w:rFonts w:ascii="黑体" w:hAnsi="黑体" w:cs="黑体" w:eastAsia="黑体" w:hint="default"/>
                <w:sz w:val="16"/>
                <w:szCs w:val="16"/>
              </w:rPr>
            </w:pPr>
            <w:r>
              <w:rPr>
                <w:rFonts w:ascii="黑体" w:hAnsi="黑体" w:cs="黑体" w:eastAsia="黑体" w:hint="default"/>
                <w:sz w:val="16"/>
                <w:szCs w:val="16"/>
              </w:rPr>
              <w:t>附注</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before="89"/>
              <w:ind w:left="554" w:right="338" w:hanging="213"/>
              <w:jc w:val="left"/>
              <w:rPr>
                <w:rFonts w:ascii="黑体" w:hAnsi="黑体" w:cs="黑体" w:eastAsia="黑体" w:hint="default"/>
                <w:sz w:val="16"/>
                <w:szCs w:val="16"/>
              </w:rPr>
            </w:pPr>
            <w:r>
              <w:rPr>
                <w:rFonts w:ascii="Arial" w:hAnsi="Arial" w:cs="Arial" w:eastAsia="Arial" w:hint="default"/>
                <w:sz w:val="16"/>
                <w:szCs w:val="16"/>
              </w:rPr>
              <w:t>2009</w:t>
            </w:r>
            <w:r>
              <w:rPr>
                <w:rFonts w:ascii="Arial" w:hAnsi="Arial" w:cs="Arial" w:eastAsia="Arial" w:hint="default"/>
                <w:spacing w:val="-5"/>
                <w:sz w:val="16"/>
                <w:szCs w:val="16"/>
              </w:rPr>
              <w:t> </w:t>
            </w:r>
            <w:r>
              <w:rPr>
                <w:rFonts w:ascii="黑体" w:hAnsi="黑体" w:cs="黑体" w:eastAsia="黑体" w:hint="default"/>
                <w:sz w:val="16"/>
                <w:szCs w:val="16"/>
              </w:rPr>
              <w:t>年度</w:t>
            </w:r>
            <w:r>
              <w:rPr>
                <w:rFonts w:ascii="黑体" w:hAnsi="黑体" w:cs="黑体" w:eastAsia="黑体" w:hint="default"/>
                <w:spacing w:val="1"/>
                <w:w w:val="99"/>
                <w:sz w:val="16"/>
                <w:szCs w:val="16"/>
              </w:rPr>
              <w:t> </w:t>
            </w:r>
            <w:r>
              <w:rPr>
                <w:rFonts w:ascii="黑体" w:hAnsi="黑体" w:cs="黑体" w:eastAsia="黑体" w:hint="default"/>
                <w:sz w:val="16"/>
                <w:szCs w:val="16"/>
              </w:rPr>
              <w:t>合并</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before="89"/>
              <w:ind w:left="138" w:right="140" w:firstLine="203"/>
              <w:jc w:val="left"/>
              <w:rPr>
                <w:rFonts w:ascii="黑体" w:hAnsi="黑体" w:cs="黑体" w:eastAsia="黑体" w:hint="default"/>
                <w:sz w:val="16"/>
                <w:szCs w:val="16"/>
              </w:rPr>
            </w:pPr>
            <w:r>
              <w:rPr>
                <w:rFonts w:ascii="Arial" w:hAnsi="Arial" w:cs="Arial" w:eastAsia="Arial" w:hint="default"/>
                <w:sz w:val="16"/>
                <w:szCs w:val="16"/>
              </w:rPr>
              <w:t>2008</w:t>
            </w:r>
            <w:r>
              <w:rPr>
                <w:rFonts w:ascii="Arial" w:hAnsi="Arial" w:cs="Arial" w:eastAsia="Arial" w:hint="default"/>
                <w:spacing w:val="-5"/>
                <w:sz w:val="16"/>
                <w:szCs w:val="16"/>
              </w:rPr>
              <w:t> </w:t>
            </w:r>
            <w:r>
              <w:rPr>
                <w:rFonts w:ascii="黑体" w:hAnsi="黑体" w:cs="黑体" w:eastAsia="黑体" w:hint="default"/>
                <w:sz w:val="16"/>
                <w:szCs w:val="16"/>
              </w:rPr>
              <w:t>年度</w:t>
            </w:r>
            <w:r>
              <w:rPr>
                <w:rFonts w:ascii="黑体" w:hAnsi="黑体" w:cs="黑体" w:eastAsia="黑体" w:hint="default"/>
                <w:spacing w:val="1"/>
                <w:w w:val="99"/>
                <w:sz w:val="16"/>
                <w:szCs w:val="16"/>
              </w:rPr>
              <w:t> </w:t>
            </w:r>
            <w:r>
              <w:rPr>
                <w:rFonts w:ascii="黑体" w:hAnsi="黑体" w:cs="黑体" w:eastAsia="黑体" w:hint="default"/>
                <w:sz w:val="16"/>
                <w:szCs w:val="16"/>
              </w:rPr>
              <w:t>合并（经重列）</w:t>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before="89"/>
              <w:ind w:left="476" w:right="277" w:hanging="199"/>
              <w:jc w:val="left"/>
              <w:rPr>
                <w:rFonts w:ascii="黑体" w:hAnsi="黑体" w:cs="黑体" w:eastAsia="黑体" w:hint="default"/>
                <w:sz w:val="16"/>
                <w:szCs w:val="16"/>
              </w:rPr>
            </w:pPr>
            <w:r>
              <w:rPr>
                <w:rFonts w:ascii="Arial" w:hAnsi="Arial" w:cs="Arial" w:eastAsia="Arial" w:hint="default"/>
                <w:sz w:val="16"/>
                <w:szCs w:val="16"/>
              </w:rPr>
              <w:t>2009</w:t>
            </w:r>
            <w:r>
              <w:rPr>
                <w:rFonts w:ascii="Arial" w:hAnsi="Arial" w:cs="Arial" w:eastAsia="Arial" w:hint="default"/>
                <w:spacing w:val="-5"/>
                <w:sz w:val="16"/>
                <w:szCs w:val="16"/>
              </w:rPr>
              <w:t> </w:t>
            </w:r>
            <w:r>
              <w:rPr>
                <w:rFonts w:ascii="黑体" w:hAnsi="黑体" w:cs="黑体" w:eastAsia="黑体" w:hint="default"/>
                <w:sz w:val="16"/>
                <w:szCs w:val="16"/>
              </w:rPr>
              <w:t>年度</w:t>
            </w:r>
            <w:r>
              <w:rPr>
                <w:rFonts w:ascii="黑体" w:hAnsi="黑体" w:cs="黑体" w:eastAsia="黑体" w:hint="default"/>
                <w:spacing w:val="1"/>
                <w:w w:val="99"/>
                <w:sz w:val="16"/>
                <w:szCs w:val="16"/>
              </w:rPr>
              <w:t> </w:t>
            </w:r>
            <w:r>
              <w:rPr>
                <w:rFonts w:ascii="黑体" w:hAnsi="黑体" w:cs="黑体" w:eastAsia="黑体" w:hint="default"/>
                <w:sz w:val="16"/>
                <w:szCs w:val="16"/>
              </w:rPr>
              <w:t>公司</w:t>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08" w:lineRule="exact" w:before="89"/>
              <w:ind w:left="468" w:right="267" w:hanging="196"/>
              <w:jc w:val="left"/>
              <w:rPr>
                <w:rFonts w:ascii="黑体" w:hAnsi="黑体" w:cs="黑体" w:eastAsia="黑体" w:hint="default"/>
                <w:sz w:val="16"/>
                <w:szCs w:val="16"/>
              </w:rPr>
            </w:pPr>
            <w:r>
              <w:rPr>
                <w:rFonts w:ascii="Arial" w:hAnsi="Arial" w:cs="Arial" w:eastAsia="Arial" w:hint="default"/>
                <w:sz w:val="16"/>
                <w:szCs w:val="16"/>
              </w:rPr>
              <w:t>2008</w:t>
            </w:r>
            <w:r>
              <w:rPr>
                <w:rFonts w:ascii="Arial" w:hAnsi="Arial" w:cs="Arial" w:eastAsia="Arial" w:hint="default"/>
                <w:spacing w:val="-5"/>
                <w:sz w:val="16"/>
                <w:szCs w:val="16"/>
              </w:rPr>
              <w:t> </w:t>
            </w:r>
            <w:r>
              <w:rPr>
                <w:rFonts w:ascii="黑体" w:hAnsi="黑体" w:cs="黑体" w:eastAsia="黑体" w:hint="default"/>
                <w:sz w:val="16"/>
                <w:szCs w:val="16"/>
              </w:rPr>
              <w:t>年度</w:t>
            </w:r>
            <w:r>
              <w:rPr>
                <w:rFonts w:ascii="黑体" w:hAnsi="黑体" w:cs="黑体" w:eastAsia="黑体" w:hint="default"/>
                <w:spacing w:val="1"/>
                <w:w w:val="99"/>
                <w:sz w:val="16"/>
                <w:szCs w:val="16"/>
              </w:rPr>
              <w:t> </w:t>
            </w:r>
            <w:r>
              <w:rPr>
                <w:rFonts w:ascii="黑体" w:hAnsi="黑体" w:cs="黑体" w:eastAsia="黑体" w:hint="default"/>
                <w:sz w:val="16"/>
                <w:szCs w:val="16"/>
              </w:rPr>
              <w:t>公司</w:t>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黑体" w:hAnsi="黑体" w:cs="黑体" w:eastAsia="黑体" w:hint="default"/>
                <w:sz w:val="16"/>
                <w:szCs w:val="16"/>
              </w:rPr>
            </w:pPr>
            <w:r>
              <w:rPr>
                <w:rFonts w:ascii="黑体" w:hAnsi="黑体" w:cs="黑体" w:eastAsia="黑体" w:hint="default"/>
                <w:sz w:val="16"/>
                <w:szCs w:val="16"/>
              </w:rPr>
              <w:t>一、经营活动产生的现金流量</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89" w:type="dxa"/>
            <w:tcBorders>
              <w:top w:val="single" w:sz="6" w:space="0" w:color="000000"/>
              <w:left w:val="single" w:sz="6" w:space="0" w:color="000000"/>
              <w:bottom w:val="single" w:sz="6" w:space="0" w:color="000000"/>
              <w:right w:val="single" w:sz="6" w:space="0" w:color="000000"/>
            </w:tcBorders>
          </w:tcPr>
          <w:p>
            <w:pPr/>
          </w:p>
        </w:tc>
        <w:tc>
          <w:tcPr>
            <w:tcW w:w="1273" w:type="dxa"/>
            <w:tcBorders>
              <w:top w:val="single" w:sz="6" w:space="0" w:color="000000"/>
              <w:left w:val="single" w:sz="6" w:space="0" w:color="000000"/>
              <w:bottom w:val="single" w:sz="6" w:space="0" w:color="000000"/>
              <w:right w:val="single" w:sz="6" w:space="0" w:color="000000"/>
            </w:tcBorders>
          </w:tcPr>
          <w:p>
            <w:pPr/>
          </w:p>
        </w:tc>
      </w:tr>
      <w:tr>
        <w:trPr>
          <w:trHeight w:val="25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销售商品、提供劳务收到的现金</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3"/>
              <w:jc w:val="right"/>
              <w:rPr>
                <w:rFonts w:ascii="Arial" w:hAnsi="Arial" w:cs="Arial" w:eastAsia="Arial" w:hint="default"/>
                <w:sz w:val="16"/>
                <w:szCs w:val="16"/>
              </w:rPr>
            </w:pPr>
            <w:r>
              <w:rPr>
                <w:rFonts w:ascii="Arial"/>
                <w:w w:val="95"/>
                <w:sz w:val="16"/>
              </w:rPr>
              <w:t>146,940,734,972</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Arial" w:hAnsi="Arial" w:cs="Arial" w:eastAsia="Arial" w:hint="default"/>
                <w:sz w:val="16"/>
                <w:szCs w:val="16"/>
              </w:rPr>
            </w:pPr>
            <w:r>
              <w:rPr>
                <w:rFonts w:ascii="Arial"/>
                <w:w w:val="95"/>
                <w:sz w:val="16"/>
              </w:rPr>
              <w:t>148,744,898,114</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收到的税款返还</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5"/>
                <w:sz w:val="16"/>
              </w:rPr>
              <w:t>5,459,142</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Arial" w:hAnsi="Arial" w:cs="Arial" w:eastAsia="Arial" w:hint="default"/>
                <w:sz w:val="16"/>
                <w:szCs w:val="16"/>
              </w:rPr>
            </w:pPr>
            <w:r>
              <w:rPr>
                <w:rFonts w:ascii="Arial"/>
                <w:w w:val="95"/>
                <w:sz w:val="16"/>
              </w:rPr>
              <w:t>1,471,360,465</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收到其他与经营活动有关的现金</w:t>
            </w:r>
          </w:p>
        </w:tc>
        <w:tc>
          <w:tcPr>
            <w:tcW w:w="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4" w:right="0"/>
              <w:jc w:val="center"/>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(49)</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5"/>
                <w:sz w:val="16"/>
              </w:rPr>
              <w:t>419,096,390</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Arial" w:hAnsi="Arial" w:cs="Arial" w:eastAsia="Arial" w:hint="default"/>
                <w:sz w:val="16"/>
                <w:szCs w:val="16"/>
              </w:rPr>
            </w:pPr>
            <w:r>
              <w:rPr>
                <w:rFonts w:ascii="Arial"/>
                <w:w w:val="95"/>
                <w:sz w:val="16"/>
              </w:rPr>
              <w:t>399,128,535</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760" w:right="0"/>
              <w:jc w:val="left"/>
              <w:rPr>
                <w:rFonts w:ascii="黑体" w:hAnsi="黑体" w:cs="黑体" w:eastAsia="黑体" w:hint="default"/>
                <w:sz w:val="16"/>
                <w:szCs w:val="16"/>
              </w:rPr>
            </w:pPr>
            <w:r>
              <w:rPr>
                <w:rFonts w:ascii="黑体" w:hAnsi="黑体" w:cs="黑体" w:eastAsia="黑体" w:hint="default"/>
                <w:sz w:val="16"/>
                <w:szCs w:val="16"/>
              </w:rPr>
              <w:t>持续经营业务经营活动现金流入小计</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3"/>
              <w:jc w:val="right"/>
              <w:rPr>
                <w:rFonts w:ascii="Arial" w:hAnsi="Arial" w:cs="Arial" w:eastAsia="Arial" w:hint="default"/>
                <w:sz w:val="16"/>
                <w:szCs w:val="16"/>
              </w:rPr>
            </w:pPr>
            <w:r>
              <w:rPr>
                <w:rFonts w:ascii="Arial"/>
                <w:w w:val="95"/>
                <w:sz w:val="16"/>
              </w:rPr>
              <w:t>147,365,290,504</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Arial" w:hAnsi="Arial" w:cs="Arial" w:eastAsia="Arial" w:hint="default"/>
                <w:sz w:val="16"/>
                <w:szCs w:val="16"/>
              </w:rPr>
            </w:pPr>
            <w:r>
              <w:rPr>
                <w:rFonts w:ascii="Arial"/>
                <w:w w:val="95"/>
                <w:sz w:val="16"/>
              </w:rPr>
              <w:t>150,615,387,114</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购买商品、接受劳务支付的现金</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20"/>
              <w:jc w:val="right"/>
              <w:rPr>
                <w:rFonts w:ascii="Arial" w:hAnsi="Arial" w:cs="Arial" w:eastAsia="Arial" w:hint="default"/>
                <w:sz w:val="16"/>
                <w:szCs w:val="16"/>
              </w:rPr>
            </w:pPr>
            <w:r>
              <w:rPr>
                <w:rFonts w:ascii="Arial"/>
                <w:w w:val="95"/>
                <w:sz w:val="16"/>
              </w:rPr>
              <w:t>(56,170,245,012)</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46"/>
              <w:jc w:val="right"/>
              <w:rPr>
                <w:rFonts w:ascii="Arial" w:hAnsi="Arial" w:cs="Arial" w:eastAsia="Arial" w:hint="default"/>
                <w:sz w:val="16"/>
                <w:szCs w:val="16"/>
              </w:rPr>
            </w:pPr>
            <w:r>
              <w:rPr>
                <w:rFonts w:ascii="Arial"/>
                <w:w w:val="95"/>
                <w:sz w:val="16"/>
              </w:rPr>
              <w:t>(55,422,721,332)</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9"/>
              <w:jc w:val="right"/>
              <w:rPr>
                <w:rFonts w:ascii="Arial" w:hAnsi="Arial" w:cs="Arial" w:eastAsia="Arial" w:hint="default"/>
                <w:sz w:val="16"/>
                <w:szCs w:val="16"/>
              </w:rPr>
            </w:pPr>
            <w:r>
              <w:rPr>
                <w:rFonts w:ascii="Arial"/>
                <w:w w:val="95"/>
                <w:sz w:val="16"/>
              </w:rPr>
              <w:t>(8,789,379)</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31"/>
              <w:jc w:val="right"/>
              <w:rPr>
                <w:rFonts w:ascii="Arial" w:hAnsi="Arial" w:cs="Arial" w:eastAsia="Arial" w:hint="default"/>
                <w:sz w:val="16"/>
                <w:szCs w:val="16"/>
              </w:rPr>
            </w:pPr>
            <w:r>
              <w:rPr>
                <w:rFonts w:ascii="Arial"/>
                <w:w w:val="95"/>
                <w:sz w:val="16"/>
              </w:rPr>
              <w:t>(12,311,160)</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支付给职工以及为职工支付的现金</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20"/>
              <w:jc w:val="right"/>
              <w:rPr>
                <w:rFonts w:ascii="Arial" w:hAnsi="Arial" w:cs="Arial" w:eastAsia="Arial" w:hint="default"/>
                <w:sz w:val="16"/>
                <w:szCs w:val="16"/>
              </w:rPr>
            </w:pPr>
            <w:r>
              <w:rPr>
                <w:rFonts w:ascii="Arial"/>
                <w:w w:val="95"/>
                <w:sz w:val="16"/>
              </w:rPr>
              <w:t>(22,111,777,965)</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46"/>
              <w:jc w:val="right"/>
              <w:rPr>
                <w:rFonts w:ascii="Arial" w:hAnsi="Arial" w:cs="Arial" w:eastAsia="Arial" w:hint="default"/>
                <w:sz w:val="16"/>
                <w:szCs w:val="16"/>
              </w:rPr>
            </w:pPr>
            <w:r>
              <w:rPr>
                <w:rFonts w:ascii="Arial"/>
                <w:w w:val="95"/>
                <w:sz w:val="16"/>
              </w:rPr>
              <w:t>(22,344,908,475)</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9"/>
              <w:jc w:val="right"/>
              <w:rPr>
                <w:rFonts w:ascii="Arial" w:hAnsi="Arial" w:cs="Arial" w:eastAsia="Arial" w:hint="default"/>
                <w:sz w:val="16"/>
                <w:szCs w:val="16"/>
              </w:rPr>
            </w:pPr>
            <w:r>
              <w:rPr>
                <w:rFonts w:ascii="Arial"/>
                <w:w w:val="95"/>
                <w:sz w:val="16"/>
              </w:rPr>
              <w:t>(3,227,353)</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31"/>
              <w:jc w:val="right"/>
              <w:rPr>
                <w:rFonts w:ascii="Arial" w:hAnsi="Arial" w:cs="Arial" w:eastAsia="Arial" w:hint="default"/>
                <w:sz w:val="16"/>
                <w:szCs w:val="16"/>
              </w:rPr>
            </w:pPr>
            <w:r>
              <w:rPr>
                <w:rFonts w:ascii="Arial"/>
                <w:w w:val="95"/>
                <w:sz w:val="16"/>
              </w:rPr>
              <w:t>(2,699,129)</w:t>
            </w:r>
            <w:r>
              <w:rPr>
                <w:rFonts w:ascii="Arial"/>
                <w:sz w:val="16"/>
              </w:rPr>
            </w:r>
          </w:p>
        </w:tc>
      </w:tr>
      <w:tr>
        <w:trPr>
          <w:trHeight w:val="25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支付的各项税费</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20"/>
              <w:jc w:val="right"/>
              <w:rPr>
                <w:rFonts w:ascii="Arial" w:hAnsi="Arial" w:cs="Arial" w:eastAsia="Arial" w:hint="default"/>
                <w:sz w:val="16"/>
                <w:szCs w:val="16"/>
              </w:rPr>
            </w:pPr>
            <w:r>
              <w:rPr>
                <w:rFonts w:ascii="Arial"/>
                <w:w w:val="95"/>
                <w:sz w:val="16"/>
              </w:rPr>
              <w:t>(9,774,448,064)</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45"/>
              <w:jc w:val="right"/>
              <w:rPr>
                <w:rFonts w:ascii="Arial" w:hAnsi="Arial" w:cs="Arial" w:eastAsia="Arial" w:hint="default"/>
                <w:sz w:val="16"/>
                <w:szCs w:val="16"/>
              </w:rPr>
            </w:pPr>
            <w:r>
              <w:rPr>
                <w:rFonts w:ascii="Arial"/>
                <w:w w:val="95"/>
                <w:sz w:val="16"/>
              </w:rPr>
              <w:t>(12,874,039,813)</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760" w:right="0"/>
              <w:jc w:val="left"/>
              <w:rPr>
                <w:rFonts w:ascii="黑体" w:hAnsi="黑体" w:cs="黑体" w:eastAsia="黑体" w:hint="default"/>
                <w:sz w:val="16"/>
                <w:szCs w:val="16"/>
              </w:rPr>
            </w:pPr>
            <w:r>
              <w:rPr>
                <w:rFonts w:ascii="黑体" w:hAnsi="黑体" w:cs="黑体" w:eastAsia="黑体" w:hint="default"/>
                <w:sz w:val="16"/>
                <w:szCs w:val="16"/>
              </w:rPr>
              <w:t>持续经营业务经营活动现金流出小计</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20"/>
              <w:jc w:val="right"/>
              <w:rPr>
                <w:rFonts w:ascii="Arial" w:hAnsi="Arial" w:cs="Arial" w:eastAsia="Arial" w:hint="default"/>
                <w:sz w:val="16"/>
                <w:szCs w:val="16"/>
              </w:rPr>
            </w:pPr>
            <w:r>
              <w:rPr>
                <w:rFonts w:ascii="Arial"/>
                <w:w w:val="95"/>
                <w:sz w:val="16"/>
              </w:rPr>
              <w:t>(88,056,471,041)</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46"/>
              <w:jc w:val="right"/>
              <w:rPr>
                <w:rFonts w:ascii="Arial" w:hAnsi="Arial" w:cs="Arial" w:eastAsia="Arial" w:hint="default"/>
                <w:sz w:val="16"/>
                <w:szCs w:val="16"/>
              </w:rPr>
            </w:pPr>
            <w:r>
              <w:rPr>
                <w:rFonts w:ascii="Arial"/>
                <w:w w:val="95"/>
                <w:sz w:val="16"/>
              </w:rPr>
              <w:t>(90,641,669,620)</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9"/>
              <w:jc w:val="right"/>
              <w:rPr>
                <w:rFonts w:ascii="Arial" w:hAnsi="Arial" w:cs="Arial" w:eastAsia="Arial" w:hint="default"/>
                <w:sz w:val="16"/>
                <w:szCs w:val="16"/>
              </w:rPr>
            </w:pPr>
            <w:r>
              <w:rPr>
                <w:rFonts w:ascii="Arial"/>
                <w:w w:val="95"/>
                <w:sz w:val="16"/>
              </w:rPr>
              <w:t>(12,016,732)</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31"/>
              <w:jc w:val="right"/>
              <w:rPr>
                <w:rFonts w:ascii="Arial" w:hAnsi="Arial" w:cs="Arial" w:eastAsia="Arial" w:hint="default"/>
                <w:sz w:val="16"/>
                <w:szCs w:val="16"/>
              </w:rPr>
            </w:pPr>
            <w:r>
              <w:rPr>
                <w:rFonts w:ascii="Arial"/>
                <w:w w:val="95"/>
                <w:sz w:val="16"/>
              </w:rPr>
              <w:t>(15,010,289)</w:t>
            </w:r>
            <w:r>
              <w:rPr>
                <w:rFonts w:ascii="Arial"/>
                <w:sz w:val="16"/>
              </w:rPr>
            </w:r>
          </w:p>
        </w:tc>
      </w:tr>
      <w:tr>
        <w:trPr>
          <w:trHeight w:val="251"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112"/>
              <w:jc w:val="right"/>
              <w:rPr>
                <w:rFonts w:ascii="黑体" w:hAnsi="黑体" w:cs="黑体" w:eastAsia="黑体" w:hint="default"/>
                <w:sz w:val="16"/>
                <w:szCs w:val="16"/>
              </w:rPr>
            </w:pPr>
            <w:r>
              <w:rPr>
                <w:rFonts w:ascii="黑体" w:hAnsi="黑体" w:cs="黑体" w:eastAsia="黑体" w:hint="default"/>
                <w:w w:val="95"/>
                <w:sz w:val="16"/>
                <w:szCs w:val="16"/>
              </w:rPr>
              <w:t>持续经营业务经营活动产生的现金流量净额（减：支付）</w:t>
            </w:r>
            <w:r>
              <w:rPr>
                <w:rFonts w:ascii="黑体" w:hAnsi="黑体" w:cs="黑体" w:eastAsia="黑体" w:hint="default"/>
                <w:sz w:val="16"/>
                <w:szCs w:val="16"/>
              </w:rPr>
            </w:r>
          </w:p>
        </w:tc>
        <w:tc>
          <w:tcPr>
            <w:tcW w:w="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14" w:right="0"/>
              <w:jc w:val="center"/>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(50)</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63"/>
              <w:jc w:val="right"/>
              <w:rPr>
                <w:rFonts w:ascii="Arial" w:hAnsi="Arial" w:cs="Arial" w:eastAsia="Arial" w:hint="default"/>
                <w:sz w:val="16"/>
                <w:szCs w:val="16"/>
              </w:rPr>
            </w:pPr>
            <w:r>
              <w:rPr>
                <w:rFonts w:ascii="Arial"/>
                <w:w w:val="95"/>
                <w:sz w:val="16"/>
              </w:rPr>
              <w:t>59,308,819,463</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100"/>
              <w:jc w:val="right"/>
              <w:rPr>
                <w:rFonts w:ascii="Arial" w:hAnsi="Arial" w:cs="Arial" w:eastAsia="Arial" w:hint="default"/>
                <w:sz w:val="16"/>
                <w:szCs w:val="16"/>
              </w:rPr>
            </w:pPr>
            <w:r>
              <w:rPr>
                <w:rFonts w:ascii="Arial"/>
                <w:w w:val="95"/>
                <w:sz w:val="16"/>
              </w:rPr>
              <w:t>59,973,717,494</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21"/>
              <w:jc w:val="right"/>
              <w:rPr>
                <w:rFonts w:ascii="Arial" w:hAnsi="Arial" w:cs="Arial" w:eastAsia="Arial" w:hint="default"/>
                <w:sz w:val="16"/>
                <w:szCs w:val="16"/>
              </w:rPr>
            </w:pPr>
            <w:r>
              <w:rPr>
                <w:rFonts w:ascii="Arial"/>
                <w:w w:val="95"/>
                <w:sz w:val="16"/>
              </w:rPr>
              <w:t>(12,016,732)</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0"/>
              <w:ind w:right="32"/>
              <w:jc w:val="right"/>
              <w:rPr>
                <w:rFonts w:ascii="Arial" w:hAnsi="Arial" w:cs="Arial" w:eastAsia="Arial" w:hint="default"/>
                <w:sz w:val="16"/>
                <w:szCs w:val="16"/>
              </w:rPr>
            </w:pPr>
            <w:r>
              <w:rPr>
                <w:rFonts w:ascii="Arial"/>
                <w:w w:val="95"/>
                <w:sz w:val="16"/>
              </w:rPr>
              <w:t>(15,010,289)</w:t>
            </w:r>
            <w:r>
              <w:rPr>
                <w:rFonts w:ascii="Arial"/>
                <w:sz w:val="16"/>
              </w:rPr>
            </w:r>
          </w:p>
        </w:tc>
      </w:tr>
      <w:tr>
        <w:trPr>
          <w:trHeight w:val="26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592" w:right="0"/>
              <w:jc w:val="left"/>
              <w:rPr>
                <w:rFonts w:ascii="黑体" w:hAnsi="黑体" w:cs="黑体" w:eastAsia="黑体" w:hint="default"/>
                <w:sz w:val="16"/>
                <w:szCs w:val="16"/>
              </w:rPr>
            </w:pPr>
            <w:r>
              <w:rPr>
                <w:rFonts w:ascii="黑体" w:hAnsi="黑体" w:cs="黑体" w:eastAsia="黑体" w:hint="default"/>
                <w:sz w:val="16"/>
                <w:szCs w:val="16"/>
              </w:rPr>
              <w:t>终止经营业务经营活动产生的现金流量净额</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61"/>
              <w:jc w:val="right"/>
              <w:rPr>
                <w:rFonts w:ascii="Arial" w:hAnsi="Arial" w:cs="Arial" w:eastAsia="Arial" w:hint="default"/>
                <w:sz w:val="16"/>
                <w:szCs w:val="16"/>
              </w:rPr>
            </w:pPr>
            <w:r>
              <w:rPr>
                <w:rFonts w:ascii="Arial"/>
                <w:w w:val="99"/>
                <w:sz w:val="16"/>
              </w:rPr>
              <w:t>-</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99"/>
              <w:jc w:val="right"/>
              <w:rPr>
                <w:rFonts w:ascii="Arial" w:hAnsi="Arial" w:cs="Arial" w:eastAsia="Arial" w:hint="default"/>
                <w:sz w:val="16"/>
                <w:szCs w:val="16"/>
              </w:rPr>
            </w:pPr>
            <w:r>
              <w:rPr>
                <w:rFonts w:ascii="Arial"/>
                <w:w w:val="95"/>
                <w:sz w:val="16"/>
              </w:rPr>
              <w:t>645,399,807</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黑体" w:hAnsi="黑体" w:cs="黑体" w:eastAsia="黑体" w:hint="default"/>
                <w:sz w:val="16"/>
                <w:szCs w:val="16"/>
              </w:rPr>
            </w:pPr>
            <w:r>
              <w:rPr>
                <w:rFonts w:ascii="黑体" w:hAnsi="黑体" w:cs="黑体" w:eastAsia="黑体" w:hint="default"/>
                <w:sz w:val="16"/>
                <w:szCs w:val="16"/>
              </w:rPr>
              <w:t>经营活动产生的现金流量净额（减：支付）</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3"/>
              <w:jc w:val="right"/>
              <w:rPr>
                <w:rFonts w:ascii="Arial" w:hAnsi="Arial" w:cs="Arial" w:eastAsia="Arial" w:hint="default"/>
                <w:sz w:val="16"/>
                <w:szCs w:val="16"/>
              </w:rPr>
            </w:pPr>
            <w:r>
              <w:rPr>
                <w:rFonts w:ascii="Arial"/>
                <w:w w:val="95"/>
                <w:sz w:val="16"/>
              </w:rPr>
              <w:t>59,308,819,463</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Arial" w:hAnsi="Arial" w:cs="Arial" w:eastAsia="Arial" w:hint="default"/>
                <w:sz w:val="16"/>
                <w:szCs w:val="16"/>
              </w:rPr>
            </w:pPr>
            <w:r>
              <w:rPr>
                <w:rFonts w:ascii="Arial"/>
                <w:w w:val="95"/>
                <w:sz w:val="16"/>
              </w:rPr>
              <w:t>60,619,117,301</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9"/>
              <w:jc w:val="right"/>
              <w:rPr>
                <w:rFonts w:ascii="Arial" w:hAnsi="Arial" w:cs="Arial" w:eastAsia="Arial" w:hint="default"/>
                <w:sz w:val="16"/>
                <w:szCs w:val="16"/>
              </w:rPr>
            </w:pPr>
            <w:r>
              <w:rPr>
                <w:rFonts w:ascii="Arial"/>
                <w:w w:val="95"/>
                <w:sz w:val="16"/>
              </w:rPr>
              <w:t>(12,016,732)</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31"/>
              <w:jc w:val="right"/>
              <w:rPr>
                <w:rFonts w:ascii="Arial" w:hAnsi="Arial" w:cs="Arial" w:eastAsia="Arial" w:hint="default"/>
                <w:sz w:val="16"/>
                <w:szCs w:val="16"/>
              </w:rPr>
            </w:pPr>
            <w:r>
              <w:rPr>
                <w:rFonts w:ascii="Arial"/>
                <w:w w:val="95"/>
                <w:sz w:val="16"/>
              </w:rPr>
              <w:t>(15,010,289)</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黑体" w:hAnsi="黑体" w:cs="黑体" w:eastAsia="黑体" w:hint="default"/>
                <w:sz w:val="16"/>
                <w:szCs w:val="16"/>
              </w:rPr>
            </w:pPr>
            <w:r>
              <w:rPr>
                <w:rFonts w:ascii="黑体" w:hAnsi="黑体" w:cs="黑体" w:eastAsia="黑体" w:hint="default"/>
                <w:sz w:val="16"/>
                <w:szCs w:val="16"/>
              </w:rPr>
              <w:t>二、投资活动产生的现金流量</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89" w:type="dxa"/>
            <w:tcBorders>
              <w:top w:val="single" w:sz="6" w:space="0" w:color="000000"/>
              <w:left w:val="single" w:sz="6" w:space="0" w:color="000000"/>
              <w:bottom w:val="single" w:sz="6" w:space="0" w:color="000000"/>
              <w:right w:val="single" w:sz="6" w:space="0" w:color="000000"/>
            </w:tcBorders>
          </w:tcPr>
          <w:p>
            <w:pPr/>
          </w:p>
        </w:tc>
        <w:tc>
          <w:tcPr>
            <w:tcW w:w="1273" w:type="dxa"/>
            <w:tcBorders>
              <w:top w:val="single" w:sz="6" w:space="0" w:color="000000"/>
              <w:left w:val="single" w:sz="6" w:space="0" w:color="000000"/>
              <w:bottom w:val="single" w:sz="6" w:space="0" w:color="000000"/>
              <w:right w:val="single" w:sz="6" w:space="0" w:color="000000"/>
            </w:tcBorders>
          </w:tcPr>
          <w:p>
            <w:pPr/>
          </w:p>
        </w:tc>
      </w:tr>
      <w:tr>
        <w:trPr>
          <w:trHeight w:val="238"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198" w:lineRule="exact"/>
              <w:ind w:right="107"/>
              <w:jc w:val="right"/>
              <w:rPr>
                <w:rFonts w:ascii="宋体" w:hAnsi="宋体" w:cs="宋体" w:eastAsia="宋体" w:hint="default"/>
                <w:sz w:val="16"/>
                <w:szCs w:val="16"/>
              </w:rPr>
            </w:pPr>
            <w:r>
              <w:rPr>
                <w:rFonts w:ascii="宋体" w:hAnsi="宋体" w:cs="宋体" w:eastAsia="宋体" w:hint="default"/>
                <w:w w:val="95"/>
                <w:sz w:val="16"/>
                <w:szCs w:val="16"/>
              </w:rPr>
              <w:t>处置固定资产、无形资产和其他长期资产所收回的现金净额</w:t>
            </w:r>
            <w:r>
              <w:rPr>
                <w:rFonts w:ascii="宋体" w:hAnsi="宋体" w:cs="宋体" w:eastAsia="宋体" w:hint="default"/>
                <w:sz w:val="16"/>
                <w:szCs w:val="16"/>
              </w:rPr>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61"/>
              <w:jc w:val="right"/>
              <w:rPr>
                <w:rFonts w:ascii="Arial" w:hAnsi="Arial" w:cs="Arial" w:eastAsia="Arial" w:hint="default"/>
                <w:sz w:val="16"/>
                <w:szCs w:val="16"/>
              </w:rPr>
            </w:pPr>
            <w:r>
              <w:rPr>
                <w:rFonts w:ascii="Arial"/>
                <w:w w:val="95"/>
                <w:sz w:val="16"/>
              </w:rPr>
              <w:t>611,015,242</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9"/>
              <w:jc w:val="right"/>
              <w:rPr>
                <w:rFonts w:ascii="Arial" w:hAnsi="Arial" w:cs="Arial" w:eastAsia="Arial" w:hint="default"/>
                <w:sz w:val="16"/>
                <w:szCs w:val="16"/>
              </w:rPr>
            </w:pPr>
            <w:r>
              <w:rPr>
                <w:rFonts w:ascii="Arial"/>
                <w:w w:val="95"/>
                <w:sz w:val="16"/>
              </w:rPr>
              <w:t>398,956,463</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39"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198" w:lineRule="exact"/>
              <w:ind w:left="436" w:right="0"/>
              <w:jc w:val="left"/>
              <w:rPr>
                <w:rFonts w:ascii="宋体" w:hAnsi="宋体" w:cs="宋体" w:eastAsia="宋体" w:hint="default"/>
                <w:sz w:val="16"/>
                <w:szCs w:val="16"/>
              </w:rPr>
            </w:pPr>
            <w:r>
              <w:rPr>
                <w:rFonts w:ascii="宋体" w:hAnsi="宋体" w:cs="宋体" w:eastAsia="宋体" w:hint="default"/>
                <w:sz w:val="16"/>
                <w:szCs w:val="16"/>
              </w:rPr>
              <w:t>收回投资所收到的现金</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61"/>
              <w:jc w:val="right"/>
              <w:rPr>
                <w:rFonts w:ascii="Arial" w:hAnsi="Arial" w:cs="Arial" w:eastAsia="Arial" w:hint="default"/>
                <w:sz w:val="16"/>
                <w:szCs w:val="16"/>
              </w:rPr>
            </w:pPr>
            <w:r>
              <w:rPr>
                <w:rFonts w:ascii="Arial"/>
                <w:w w:val="95"/>
                <w:sz w:val="16"/>
              </w:rPr>
              <w:t>1,370,989</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99"/>
              <w:jc w:val="right"/>
              <w:rPr>
                <w:rFonts w:ascii="Arial" w:hAnsi="Arial" w:cs="Arial" w:eastAsia="Arial" w:hint="default"/>
                <w:sz w:val="16"/>
                <w:szCs w:val="16"/>
              </w:rPr>
            </w:pPr>
            <w:r>
              <w:rPr>
                <w:rFonts w:ascii="Arial"/>
                <w:w w:val="95"/>
                <w:sz w:val="16"/>
              </w:rPr>
              <w:t>89,736,560</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取得投资收益所收到的现金</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5"/>
                <w:sz w:val="16"/>
              </w:rPr>
              <w:t>271,580,498</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Arial" w:hAnsi="Arial" w:cs="Arial" w:eastAsia="Arial" w:hint="default"/>
                <w:sz w:val="16"/>
                <w:szCs w:val="16"/>
              </w:rPr>
            </w:pPr>
            <w:r>
              <w:rPr>
                <w:rFonts w:ascii="Arial"/>
                <w:w w:val="95"/>
                <w:sz w:val="16"/>
              </w:rPr>
              <w:t>272,200,311</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2"/>
              <w:jc w:val="right"/>
              <w:rPr>
                <w:rFonts w:ascii="Arial" w:hAnsi="Arial" w:cs="Arial" w:eastAsia="Arial" w:hint="default"/>
                <w:sz w:val="16"/>
                <w:szCs w:val="16"/>
              </w:rPr>
            </w:pPr>
            <w:r>
              <w:rPr>
                <w:rFonts w:ascii="Arial"/>
                <w:w w:val="95"/>
                <w:sz w:val="16"/>
              </w:rPr>
              <w:t>1,438,948,918</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4"/>
              <w:jc w:val="right"/>
              <w:rPr>
                <w:rFonts w:ascii="Arial" w:hAnsi="Arial" w:cs="Arial" w:eastAsia="Arial" w:hint="default"/>
                <w:sz w:val="16"/>
                <w:szCs w:val="16"/>
              </w:rPr>
            </w:pPr>
            <w:r>
              <w:rPr>
                <w:rFonts w:ascii="Arial"/>
                <w:w w:val="95"/>
                <w:sz w:val="16"/>
              </w:rPr>
              <w:t>1,447,817,494</w:t>
            </w:r>
            <w:r>
              <w:rPr>
                <w:rFonts w:ascii="Arial"/>
                <w:sz w:val="16"/>
              </w:rPr>
            </w:r>
          </w:p>
        </w:tc>
      </w:tr>
      <w:tr>
        <w:trPr>
          <w:trHeight w:val="25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收到其他与投资活动有关的现金</w:t>
            </w:r>
          </w:p>
        </w:tc>
        <w:tc>
          <w:tcPr>
            <w:tcW w:w="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6" w:right="0"/>
              <w:jc w:val="center"/>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(49)</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5"/>
                <w:sz w:val="16"/>
              </w:rPr>
              <w:t>238,259,536</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Arial" w:hAnsi="Arial" w:cs="Arial" w:eastAsia="Arial" w:hint="default"/>
                <w:sz w:val="16"/>
                <w:szCs w:val="16"/>
              </w:rPr>
            </w:pPr>
            <w:r>
              <w:rPr>
                <w:rFonts w:ascii="Arial"/>
                <w:w w:val="95"/>
                <w:sz w:val="16"/>
              </w:rPr>
              <w:t>1,092,162,929</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760" w:right="0"/>
              <w:jc w:val="left"/>
              <w:rPr>
                <w:rFonts w:ascii="黑体" w:hAnsi="黑体" w:cs="黑体" w:eastAsia="黑体" w:hint="default"/>
                <w:sz w:val="16"/>
                <w:szCs w:val="16"/>
              </w:rPr>
            </w:pPr>
            <w:r>
              <w:rPr>
                <w:rFonts w:ascii="黑体" w:hAnsi="黑体" w:cs="黑体" w:eastAsia="黑体" w:hint="default"/>
                <w:sz w:val="16"/>
                <w:szCs w:val="16"/>
              </w:rPr>
              <w:t>持续经营业务投资活动现金流入小计</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5"/>
                <w:sz w:val="16"/>
              </w:rPr>
              <w:t>1,122,226,265</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Arial" w:hAnsi="Arial" w:cs="Arial" w:eastAsia="Arial" w:hint="default"/>
                <w:sz w:val="16"/>
                <w:szCs w:val="16"/>
              </w:rPr>
            </w:pPr>
            <w:r>
              <w:rPr>
                <w:rFonts w:ascii="Arial"/>
                <w:w w:val="95"/>
                <w:sz w:val="16"/>
              </w:rPr>
              <w:t>1,853,056,263</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2"/>
              <w:jc w:val="right"/>
              <w:rPr>
                <w:rFonts w:ascii="Arial" w:hAnsi="Arial" w:cs="Arial" w:eastAsia="Arial" w:hint="default"/>
                <w:sz w:val="16"/>
                <w:szCs w:val="16"/>
              </w:rPr>
            </w:pPr>
            <w:r>
              <w:rPr>
                <w:rFonts w:ascii="Arial"/>
                <w:w w:val="95"/>
                <w:sz w:val="16"/>
              </w:rPr>
              <w:t>1,438,948,918</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4"/>
              <w:jc w:val="right"/>
              <w:rPr>
                <w:rFonts w:ascii="Arial" w:hAnsi="Arial" w:cs="Arial" w:eastAsia="Arial" w:hint="default"/>
                <w:sz w:val="16"/>
                <w:szCs w:val="16"/>
              </w:rPr>
            </w:pPr>
            <w:r>
              <w:rPr>
                <w:rFonts w:ascii="Arial"/>
                <w:w w:val="95"/>
                <w:sz w:val="16"/>
              </w:rPr>
              <w:t>1,447,817,494</w:t>
            </w:r>
            <w:r>
              <w:rPr>
                <w:rFonts w:ascii="Arial"/>
                <w:sz w:val="16"/>
              </w:rPr>
            </w:r>
          </w:p>
        </w:tc>
      </w:tr>
      <w:tr>
        <w:trPr>
          <w:trHeight w:val="25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购建固定资产、无形资产和其他长期资产所支付的现金</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20"/>
              <w:jc w:val="right"/>
              <w:rPr>
                <w:rFonts w:ascii="Arial" w:hAnsi="Arial" w:cs="Arial" w:eastAsia="Arial" w:hint="default"/>
                <w:sz w:val="16"/>
                <w:szCs w:val="16"/>
              </w:rPr>
            </w:pPr>
            <w:r>
              <w:rPr>
                <w:rFonts w:ascii="Arial"/>
                <w:w w:val="95"/>
                <w:sz w:val="16"/>
              </w:rPr>
              <w:t>(81,540,256,970)</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46"/>
              <w:jc w:val="right"/>
              <w:rPr>
                <w:rFonts w:ascii="Arial" w:hAnsi="Arial" w:cs="Arial" w:eastAsia="Arial" w:hint="default"/>
                <w:sz w:val="16"/>
                <w:szCs w:val="16"/>
              </w:rPr>
            </w:pPr>
            <w:r>
              <w:rPr>
                <w:rFonts w:ascii="Arial"/>
                <w:w w:val="95"/>
                <w:sz w:val="16"/>
              </w:rPr>
              <w:t>(49,778,105,611)</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9"/>
              <w:jc w:val="right"/>
              <w:rPr>
                <w:rFonts w:ascii="Arial" w:hAnsi="Arial" w:cs="Arial" w:eastAsia="Arial" w:hint="default"/>
                <w:sz w:val="16"/>
                <w:szCs w:val="16"/>
              </w:rPr>
            </w:pPr>
            <w:r>
              <w:rPr>
                <w:rFonts w:ascii="Arial"/>
                <w:w w:val="95"/>
                <w:sz w:val="16"/>
              </w:rPr>
              <w:t>(59,784)</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31"/>
              <w:jc w:val="right"/>
              <w:rPr>
                <w:rFonts w:ascii="Arial" w:hAnsi="Arial" w:cs="Arial" w:eastAsia="Arial" w:hint="default"/>
                <w:sz w:val="16"/>
                <w:szCs w:val="16"/>
              </w:rPr>
            </w:pPr>
            <w:r>
              <w:rPr>
                <w:rFonts w:ascii="Arial"/>
                <w:w w:val="95"/>
                <w:sz w:val="16"/>
              </w:rPr>
              <w:t>(9,222,582)</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企业合并所支付的现金</w:t>
            </w:r>
          </w:p>
        </w:tc>
        <w:tc>
          <w:tcPr>
            <w:tcW w:w="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6" w:right="0"/>
              <w:jc w:val="center"/>
              <w:rPr>
                <w:rFonts w:ascii="宋体" w:hAnsi="宋体" w:cs="宋体" w:eastAsia="宋体" w:hint="default"/>
                <w:sz w:val="16"/>
                <w:szCs w:val="16"/>
              </w:rPr>
            </w:pPr>
            <w:r>
              <w:rPr>
                <w:rFonts w:ascii="宋体" w:hAnsi="宋体" w:cs="宋体" w:eastAsia="宋体" w:hint="default"/>
                <w:sz w:val="16"/>
                <w:szCs w:val="16"/>
              </w:rPr>
              <w:t>四(</w:t>
            </w:r>
            <w:r>
              <w:rPr>
                <w:rFonts w:ascii="Arial" w:hAnsi="Arial" w:cs="Arial" w:eastAsia="Arial" w:hint="default"/>
                <w:sz w:val="16"/>
                <w:szCs w:val="16"/>
              </w:rPr>
              <w:t>3</w:t>
            </w:r>
            <w:r>
              <w:rPr>
                <w:rFonts w:ascii="宋体" w:hAnsi="宋体" w:cs="宋体" w:eastAsia="宋体" w:hint="default"/>
                <w:sz w:val="16"/>
                <w:szCs w:val="16"/>
              </w:rPr>
              <w:t>)</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20"/>
              <w:jc w:val="right"/>
              <w:rPr>
                <w:rFonts w:ascii="Arial" w:hAnsi="Arial" w:cs="Arial" w:eastAsia="Arial" w:hint="default"/>
                <w:sz w:val="16"/>
                <w:szCs w:val="16"/>
              </w:rPr>
            </w:pPr>
            <w:r>
              <w:rPr>
                <w:rFonts w:ascii="Arial"/>
                <w:w w:val="95"/>
                <w:sz w:val="16"/>
              </w:rPr>
              <w:t>(3,895,085,620)</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45"/>
              <w:jc w:val="right"/>
              <w:rPr>
                <w:rFonts w:ascii="Arial" w:hAnsi="Arial" w:cs="Arial" w:eastAsia="Arial" w:hint="default"/>
                <w:sz w:val="16"/>
                <w:szCs w:val="16"/>
              </w:rPr>
            </w:pPr>
            <w:r>
              <w:rPr>
                <w:rFonts w:ascii="Arial"/>
                <w:w w:val="95"/>
                <w:sz w:val="16"/>
              </w:rPr>
              <w:t>(5,880,845,000)</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支付的其他与投资活动有关的现金</w:t>
            </w:r>
          </w:p>
        </w:tc>
        <w:tc>
          <w:tcPr>
            <w:tcW w:w="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6" w:right="0"/>
              <w:jc w:val="center"/>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(49)</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9"/>
              <w:jc w:val="right"/>
              <w:rPr>
                <w:rFonts w:ascii="Arial" w:hAnsi="Arial" w:cs="Arial" w:eastAsia="Arial" w:hint="default"/>
                <w:sz w:val="16"/>
                <w:szCs w:val="16"/>
              </w:rPr>
            </w:pPr>
            <w:r>
              <w:rPr>
                <w:rFonts w:ascii="Arial"/>
                <w:w w:val="95"/>
                <w:sz w:val="16"/>
              </w:rPr>
              <w:t>(897,650,802)</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46"/>
              <w:jc w:val="right"/>
              <w:rPr>
                <w:rFonts w:ascii="Arial" w:hAnsi="Arial" w:cs="Arial" w:eastAsia="Arial" w:hint="default"/>
                <w:sz w:val="16"/>
                <w:szCs w:val="16"/>
              </w:rPr>
            </w:pPr>
            <w:r>
              <w:rPr>
                <w:rFonts w:ascii="Arial"/>
                <w:w w:val="95"/>
                <w:sz w:val="16"/>
              </w:rPr>
              <w:t>(677,151,767)</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760" w:right="0"/>
              <w:jc w:val="left"/>
              <w:rPr>
                <w:rFonts w:ascii="黑体" w:hAnsi="黑体" w:cs="黑体" w:eastAsia="黑体" w:hint="default"/>
                <w:sz w:val="16"/>
                <w:szCs w:val="16"/>
              </w:rPr>
            </w:pPr>
            <w:r>
              <w:rPr>
                <w:rFonts w:ascii="黑体" w:hAnsi="黑体" w:cs="黑体" w:eastAsia="黑体" w:hint="default"/>
                <w:sz w:val="16"/>
                <w:szCs w:val="16"/>
              </w:rPr>
              <w:t>持续经营业务投资活动现金流出小计</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20"/>
              <w:jc w:val="right"/>
              <w:rPr>
                <w:rFonts w:ascii="Arial" w:hAnsi="Arial" w:cs="Arial" w:eastAsia="Arial" w:hint="default"/>
                <w:sz w:val="16"/>
                <w:szCs w:val="16"/>
              </w:rPr>
            </w:pPr>
            <w:r>
              <w:rPr>
                <w:rFonts w:ascii="Arial"/>
                <w:w w:val="95"/>
                <w:sz w:val="16"/>
              </w:rPr>
              <w:t>(86,332,993,392)</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46"/>
              <w:jc w:val="right"/>
              <w:rPr>
                <w:rFonts w:ascii="Arial" w:hAnsi="Arial" w:cs="Arial" w:eastAsia="Arial" w:hint="default"/>
                <w:sz w:val="16"/>
                <w:szCs w:val="16"/>
              </w:rPr>
            </w:pPr>
            <w:r>
              <w:rPr>
                <w:rFonts w:ascii="Arial"/>
                <w:w w:val="95"/>
                <w:sz w:val="16"/>
              </w:rPr>
              <w:t>(56,336,102,378)</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9"/>
              <w:jc w:val="right"/>
              <w:rPr>
                <w:rFonts w:ascii="Arial" w:hAnsi="Arial" w:cs="Arial" w:eastAsia="Arial" w:hint="default"/>
                <w:sz w:val="16"/>
                <w:szCs w:val="16"/>
              </w:rPr>
            </w:pPr>
            <w:r>
              <w:rPr>
                <w:rFonts w:ascii="Arial"/>
                <w:w w:val="95"/>
                <w:sz w:val="16"/>
              </w:rPr>
              <w:t>(59,784)</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31"/>
              <w:jc w:val="right"/>
              <w:rPr>
                <w:rFonts w:ascii="Arial" w:hAnsi="Arial" w:cs="Arial" w:eastAsia="Arial" w:hint="default"/>
                <w:sz w:val="16"/>
                <w:szCs w:val="16"/>
              </w:rPr>
            </w:pPr>
            <w:r>
              <w:rPr>
                <w:rFonts w:ascii="Arial"/>
                <w:w w:val="95"/>
                <w:sz w:val="16"/>
              </w:rPr>
              <w:t>(9,222,582)</w:t>
            </w:r>
            <w:r>
              <w:rPr>
                <w:rFonts w:ascii="Arial"/>
                <w:sz w:val="16"/>
              </w:rPr>
            </w:r>
          </w:p>
        </w:tc>
      </w:tr>
      <w:tr>
        <w:trPr>
          <w:trHeight w:val="280"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0"/>
              <w:ind w:right="112"/>
              <w:jc w:val="right"/>
              <w:rPr>
                <w:rFonts w:ascii="黑体" w:hAnsi="黑体" w:cs="黑体" w:eastAsia="黑体" w:hint="default"/>
                <w:sz w:val="16"/>
                <w:szCs w:val="16"/>
              </w:rPr>
            </w:pPr>
            <w:r>
              <w:rPr>
                <w:rFonts w:ascii="黑体" w:hAnsi="黑体" w:cs="黑体" w:eastAsia="黑体" w:hint="default"/>
                <w:w w:val="95"/>
                <w:sz w:val="16"/>
                <w:szCs w:val="16"/>
              </w:rPr>
              <w:t>持续经营业务投资活动产生的现金流量净额（减：支付）</w:t>
            </w:r>
            <w:r>
              <w:rPr>
                <w:rFonts w:ascii="黑体" w:hAnsi="黑体" w:cs="黑体" w:eastAsia="黑体" w:hint="default"/>
                <w:sz w:val="16"/>
                <w:szCs w:val="16"/>
              </w:rPr>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20"/>
              <w:jc w:val="right"/>
              <w:rPr>
                <w:rFonts w:ascii="Arial" w:hAnsi="Arial" w:cs="Arial" w:eastAsia="Arial" w:hint="default"/>
                <w:sz w:val="16"/>
                <w:szCs w:val="16"/>
              </w:rPr>
            </w:pPr>
            <w:r>
              <w:rPr>
                <w:rFonts w:ascii="Arial"/>
                <w:w w:val="95"/>
                <w:sz w:val="16"/>
              </w:rPr>
              <w:t>(85,210,767,127)</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45"/>
              <w:jc w:val="right"/>
              <w:rPr>
                <w:rFonts w:ascii="Arial" w:hAnsi="Arial" w:cs="Arial" w:eastAsia="Arial" w:hint="default"/>
                <w:sz w:val="16"/>
                <w:szCs w:val="16"/>
              </w:rPr>
            </w:pPr>
            <w:r>
              <w:rPr>
                <w:rFonts w:ascii="Arial"/>
                <w:w w:val="95"/>
                <w:sz w:val="16"/>
              </w:rPr>
              <w:t>(54,483,046,115)</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61"/>
              <w:jc w:val="right"/>
              <w:rPr>
                <w:rFonts w:ascii="Arial" w:hAnsi="Arial" w:cs="Arial" w:eastAsia="Arial" w:hint="default"/>
                <w:sz w:val="16"/>
                <w:szCs w:val="16"/>
              </w:rPr>
            </w:pPr>
            <w:r>
              <w:rPr>
                <w:rFonts w:ascii="Arial"/>
                <w:w w:val="95"/>
                <w:sz w:val="16"/>
              </w:rPr>
              <w:t>1,438,889,134</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8"/>
              <w:ind w:right="74"/>
              <w:jc w:val="right"/>
              <w:rPr>
                <w:rFonts w:ascii="Arial" w:hAnsi="Arial" w:cs="Arial" w:eastAsia="Arial" w:hint="default"/>
                <w:sz w:val="16"/>
                <w:szCs w:val="16"/>
              </w:rPr>
            </w:pPr>
            <w:r>
              <w:rPr>
                <w:rFonts w:ascii="Arial"/>
                <w:w w:val="95"/>
                <w:sz w:val="16"/>
              </w:rPr>
              <w:t>1,438,594,912</w:t>
            </w:r>
            <w:r>
              <w:rPr>
                <w:rFonts w:ascii="Arial"/>
                <w:sz w:val="16"/>
              </w:rPr>
            </w:r>
          </w:p>
        </w:tc>
      </w:tr>
      <w:tr>
        <w:trPr>
          <w:trHeight w:val="265"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112"/>
              <w:jc w:val="right"/>
              <w:rPr>
                <w:rFonts w:ascii="黑体" w:hAnsi="黑体" w:cs="黑体" w:eastAsia="黑体" w:hint="default"/>
                <w:sz w:val="16"/>
                <w:szCs w:val="16"/>
              </w:rPr>
            </w:pPr>
            <w:r>
              <w:rPr>
                <w:rFonts w:ascii="黑体" w:hAnsi="黑体" w:cs="黑体" w:eastAsia="黑体" w:hint="default"/>
                <w:w w:val="95"/>
                <w:sz w:val="16"/>
                <w:szCs w:val="16"/>
              </w:rPr>
              <w:t>终止经营业务投资活动产生的现金流量净额（减：支付）</w:t>
            </w:r>
            <w:r>
              <w:rPr>
                <w:rFonts w:ascii="黑体" w:hAnsi="黑体" w:cs="黑体" w:eastAsia="黑体" w:hint="default"/>
                <w:sz w:val="16"/>
                <w:szCs w:val="16"/>
              </w:rPr>
            </w:r>
          </w:p>
        </w:tc>
        <w:tc>
          <w:tcPr>
            <w:tcW w:w="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3" w:right="0"/>
              <w:jc w:val="center"/>
              <w:rPr>
                <w:rFonts w:ascii="宋体" w:hAnsi="宋体" w:cs="宋体" w:eastAsia="宋体" w:hint="default"/>
                <w:sz w:val="16"/>
                <w:szCs w:val="16"/>
              </w:rPr>
            </w:pPr>
            <w:r>
              <w:rPr>
                <w:rFonts w:ascii="宋体" w:hAnsi="宋体" w:cs="宋体" w:eastAsia="宋体" w:hint="default"/>
                <w:sz w:val="16"/>
                <w:szCs w:val="16"/>
              </w:rPr>
              <w:t>十一</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20"/>
              <w:jc w:val="right"/>
              <w:rPr>
                <w:rFonts w:ascii="Arial" w:hAnsi="Arial" w:cs="Arial" w:eastAsia="Arial" w:hint="default"/>
                <w:sz w:val="16"/>
                <w:szCs w:val="16"/>
              </w:rPr>
            </w:pPr>
            <w:r>
              <w:rPr>
                <w:rFonts w:ascii="Arial"/>
                <w:w w:val="95"/>
                <w:sz w:val="16"/>
              </w:rPr>
              <w:t>(5,039,198,272)</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100"/>
              <w:jc w:val="right"/>
              <w:rPr>
                <w:rFonts w:ascii="Arial" w:hAnsi="Arial" w:cs="Arial" w:eastAsia="Arial" w:hint="default"/>
                <w:sz w:val="16"/>
                <w:szCs w:val="16"/>
              </w:rPr>
            </w:pPr>
            <w:r>
              <w:rPr>
                <w:rFonts w:ascii="Arial"/>
                <w:w w:val="95"/>
                <w:sz w:val="16"/>
              </w:rPr>
              <w:t>29,499,551,478</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黑体" w:hAnsi="黑体" w:cs="黑体" w:eastAsia="黑体" w:hint="default"/>
                <w:sz w:val="16"/>
                <w:szCs w:val="16"/>
              </w:rPr>
            </w:pPr>
            <w:r>
              <w:rPr>
                <w:rFonts w:ascii="黑体" w:hAnsi="黑体" w:cs="黑体" w:eastAsia="黑体" w:hint="default"/>
                <w:sz w:val="16"/>
                <w:szCs w:val="16"/>
              </w:rPr>
              <w:t>投资活动产生的现金流量净额（减：支付）</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20"/>
              <w:jc w:val="right"/>
              <w:rPr>
                <w:rFonts w:ascii="Arial" w:hAnsi="Arial" w:cs="Arial" w:eastAsia="Arial" w:hint="default"/>
                <w:sz w:val="16"/>
                <w:szCs w:val="16"/>
              </w:rPr>
            </w:pPr>
            <w:r>
              <w:rPr>
                <w:rFonts w:ascii="Arial"/>
                <w:w w:val="95"/>
                <w:sz w:val="16"/>
              </w:rPr>
              <w:t>(90,249,965,399)</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45"/>
              <w:jc w:val="right"/>
              <w:rPr>
                <w:rFonts w:ascii="Arial" w:hAnsi="Arial" w:cs="Arial" w:eastAsia="Arial" w:hint="default"/>
                <w:sz w:val="16"/>
                <w:szCs w:val="16"/>
              </w:rPr>
            </w:pPr>
            <w:r>
              <w:rPr>
                <w:rFonts w:ascii="Arial"/>
                <w:w w:val="95"/>
                <w:sz w:val="16"/>
              </w:rPr>
              <w:t>(24,983,494,637)</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5"/>
                <w:sz w:val="16"/>
              </w:rPr>
              <w:t>1,438,889,134</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4"/>
              <w:jc w:val="right"/>
              <w:rPr>
                <w:rFonts w:ascii="Arial" w:hAnsi="Arial" w:cs="Arial" w:eastAsia="Arial" w:hint="default"/>
                <w:sz w:val="16"/>
                <w:szCs w:val="16"/>
              </w:rPr>
            </w:pPr>
            <w:r>
              <w:rPr>
                <w:rFonts w:ascii="Arial"/>
                <w:w w:val="95"/>
                <w:sz w:val="16"/>
              </w:rPr>
              <w:t>1,438,594,912</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黑体" w:hAnsi="黑体" w:cs="黑体" w:eastAsia="黑体" w:hint="default"/>
                <w:sz w:val="16"/>
                <w:szCs w:val="16"/>
              </w:rPr>
            </w:pPr>
            <w:r>
              <w:rPr>
                <w:rFonts w:ascii="黑体" w:hAnsi="黑体" w:cs="黑体" w:eastAsia="黑体" w:hint="default"/>
                <w:sz w:val="16"/>
                <w:szCs w:val="16"/>
              </w:rPr>
              <w:t>三、筹资活动产生的现金流量</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89" w:type="dxa"/>
            <w:tcBorders>
              <w:top w:val="single" w:sz="6" w:space="0" w:color="000000"/>
              <w:left w:val="single" w:sz="6" w:space="0" w:color="000000"/>
              <w:bottom w:val="single" w:sz="6" w:space="0" w:color="000000"/>
              <w:right w:val="single" w:sz="6" w:space="0" w:color="000000"/>
            </w:tcBorders>
          </w:tcPr>
          <w:p>
            <w:pPr/>
          </w:p>
        </w:tc>
        <w:tc>
          <w:tcPr>
            <w:tcW w:w="1273" w:type="dxa"/>
            <w:tcBorders>
              <w:top w:val="single" w:sz="6" w:space="0" w:color="000000"/>
              <w:left w:val="single" w:sz="6" w:space="0" w:color="000000"/>
              <w:bottom w:val="single" w:sz="6" w:space="0" w:color="000000"/>
              <w:right w:val="single" w:sz="6" w:space="0" w:color="000000"/>
            </w:tcBorders>
          </w:tcPr>
          <w:p>
            <w:pPr/>
          </w:p>
        </w:tc>
      </w:tr>
      <w:tr>
        <w:trPr>
          <w:trHeight w:val="25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子公司吸收少数股东投资所收到的现金</w:t>
            </w:r>
          </w:p>
        </w:tc>
        <w:tc>
          <w:tcPr>
            <w:tcW w:w="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4" w:right="0"/>
              <w:jc w:val="center"/>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(46)</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Arial" w:hAnsi="Arial" w:cs="Arial" w:eastAsia="Arial" w:hint="default"/>
                <w:sz w:val="16"/>
                <w:szCs w:val="16"/>
              </w:rPr>
            </w:pPr>
            <w:r>
              <w:rPr>
                <w:rFonts w:ascii="Arial"/>
                <w:w w:val="95"/>
                <w:sz w:val="16"/>
              </w:rPr>
              <w:t>449,986,242</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发行债券收到的现金</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Arial" w:hAnsi="Arial" w:cs="Arial" w:eastAsia="Arial" w:hint="default"/>
                <w:sz w:val="16"/>
                <w:szCs w:val="16"/>
              </w:rPr>
            </w:pPr>
            <w:r>
              <w:rPr>
                <w:rFonts w:ascii="Arial"/>
                <w:w w:val="95"/>
                <w:sz w:val="16"/>
              </w:rPr>
              <w:t>15,000,000,000</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取得借款所收到的现金</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3"/>
              <w:jc w:val="right"/>
              <w:rPr>
                <w:rFonts w:ascii="Arial" w:hAnsi="Arial" w:cs="Arial" w:eastAsia="Arial" w:hint="default"/>
                <w:sz w:val="16"/>
                <w:szCs w:val="16"/>
              </w:rPr>
            </w:pPr>
            <w:r>
              <w:rPr>
                <w:rFonts w:ascii="Arial"/>
                <w:w w:val="95"/>
                <w:sz w:val="16"/>
              </w:rPr>
              <w:t>98,317,901,438</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Arial" w:hAnsi="Arial" w:cs="Arial" w:eastAsia="Arial" w:hint="default"/>
                <w:sz w:val="16"/>
                <w:szCs w:val="16"/>
              </w:rPr>
            </w:pPr>
            <w:r>
              <w:rPr>
                <w:rFonts w:ascii="Arial"/>
                <w:w w:val="95"/>
                <w:sz w:val="16"/>
              </w:rPr>
              <w:t>53,602,442,162</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760" w:right="0"/>
              <w:jc w:val="left"/>
              <w:rPr>
                <w:rFonts w:ascii="黑体" w:hAnsi="黑体" w:cs="黑体" w:eastAsia="黑体" w:hint="default"/>
                <w:sz w:val="16"/>
                <w:szCs w:val="16"/>
              </w:rPr>
            </w:pPr>
            <w:r>
              <w:rPr>
                <w:rFonts w:ascii="黑体" w:hAnsi="黑体" w:cs="黑体" w:eastAsia="黑体" w:hint="default"/>
                <w:sz w:val="16"/>
                <w:szCs w:val="16"/>
              </w:rPr>
              <w:t>持续经营业务筹资活动现金流入小计</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2"/>
              <w:jc w:val="right"/>
              <w:rPr>
                <w:rFonts w:ascii="Arial" w:hAnsi="Arial" w:cs="Arial" w:eastAsia="Arial" w:hint="default"/>
                <w:sz w:val="16"/>
                <w:szCs w:val="16"/>
              </w:rPr>
            </w:pPr>
            <w:r>
              <w:rPr>
                <w:rFonts w:ascii="Arial"/>
                <w:w w:val="95"/>
                <w:sz w:val="16"/>
              </w:rPr>
              <w:t>98,317,901,438</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Arial" w:hAnsi="Arial" w:cs="Arial" w:eastAsia="Arial" w:hint="default"/>
                <w:sz w:val="16"/>
                <w:szCs w:val="16"/>
              </w:rPr>
            </w:pPr>
            <w:r>
              <w:rPr>
                <w:rFonts w:ascii="Arial"/>
                <w:w w:val="95"/>
                <w:sz w:val="16"/>
              </w:rPr>
              <w:t>69,052,428,404</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偿还债务所支付的现金</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20"/>
              <w:jc w:val="right"/>
              <w:rPr>
                <w:rFonts w:ascii="Arial" w:hAnsi="Arial" w:cs="Arial" w:eastAsia="Arial" w:hint="default"/>
                <w:sz w:val="16"/>
                <w:szCs w:val="16"/>
              </w:rPr>
            </w:pPr>
            <w:r>
              <w:rPr>
                <w:rFonts w:ascii="Arial"/>
                <w:w w:val="95"/>
                <w:sz w:val="16"/>
              </w:rPr>
              <w:t>(54,485,351,743)</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45"/>
              <w:jc w:val="right"/>
              <w:rPr>
                <w:rFonts w:ascii="Arial" w:hAnsi="Arial" w:cs="Arial" w:eastAsia="Arial" w:hint="default"/>
                <w:sz w:val="16"/>
                <w:szCs w:val="16"/>
              </w:rPr>
            </w:pPr>
            <w:r>
              <w:rPr>
                <w:rFonts w:ascii="Arial"/>
                <w:w w:val="95"/>
                <w:sz w:val="16"/>
              </w:rPr>
              <w:t>(97,945,670,940)</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分配股利、利润或偿付利息所支付的现金</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20"/>
              <w:jc w:val="right"/>
              <w:rPr>
                <w:rFonts w:ascii="Arial" w:hAnsi="Arial" w:cs="Arial" w:eastAsia="Arial" w:hint="default"/>
                <w:sz w:val="16"/>
                <w:szCs w:val="16"/>
              </w:rPr>
            </w:pPr>
            <w:r>
              <w:rPr>
                <w:rFonts w:ascii="Arial"/>
                <w:w w:val="95"/>
                <w:sz w:val="16"/>
              </w:rPr>
              <w:t>(6,504,947,640)</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45"/>
              <w:jc w:val="right"/>
              <w:rPr>
                <w:rFonts w:ascii="Arial" w:hAnsi="Arial" w:cs="Arial" w:eastAsia="Arial" w:hint="default"/>
                <w:sz w:val="16"/>
                <w:szCs w:val="16"/>
              </w:rPr>
            </w:pPr>
            <w:r>
              <w:rPr>
                <w:rFonts w:ascii="Arial"/>
                <w:w w:val="95"/>
                <w:sz w:val="16"/>
              </w:rPr>
              <w:t>(9,169,726,582)</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20"/>
              <w:jc w:val="right"/>
              <w:rPr>
                <w:rFonts w:ascii="Arial" w:hAnsi="Arial" w:cs="Arial" w:eastAsia="Arial" w:hint="default"/>
                <w:sz w:val="16"/>
                <w:szCs w:val="16"/>
              </w:rPr>
            </w:pPr>
            <w:r>
              <w:rPr>
                <w:rFonts w:ascii="Arial"/>
                <w:w w:val="95"/>
                <w:sz w:val="16"/>
              </w:rPr>
              <w:t>(1,426,113,884)</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32"/>
              <w:jc w:val="right"/>
              <w:rPr>
                <w:rFonts w:ascii="Arial" w:hAnsi="Arial" w:cs="Arial" w:eastAsia="Arial" w:hint="default"/>
                <w:sz w:val="16"/>
                <w:szCs w:val="16"/>
              </w:rPr>
            </w:pPr>
            <w:r>
              <w:rPr>
                <w:rFonts w:ascii="Arial"/>
                <w:w w:val="95"/>
                <w:sz w:val="16"/>
              </w:rPr>
              <w:t>(1,424,411,581)</w:t>
            </w:r>
            <w:r>
              <w:rPr>
                <w:rFonts w:ascii="Arial"/>
                <w:sz w:val="16"/>
              </w:rPr>
            </w:r>
          </w:p>
        </w:tc>
      </w:tr>
      <w:tr>
        <w:trPr>
          <w:trHeight w:val="25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宋体" w:hAnsi="宋体" w:cs="宋体" w:eastAsia="宋体" w:hint="default"/>
                <w:sz w:val="16"/>
                <w:szCs w:val="16"/>
              </w:rPr>
            </w:pPr>
            <w:r>
              <w:rPr>
                <w:rFonts w:ascii="宋体" w:hAnsi="宋体" w:cs="宋体" w:eastAsia="宋体" w:hint="default"/>
                <w:sz w:val="16"/>
                <w:szCs w:val="16"/>
              </w:rPr>
              <w:t>向</w:t>
            </w:r>
            <w:r>
              <w:rPr>
                <w:rFonts w:ascii="宋体" w:hAnsi="宋体" w:cs="宋体" w:eastAsia="宋体" w:hint="default"/>
                <w:spacing w:val="-43"/>
                <w:sz w:val="16"/>
                <w:szCs w:val="16"/>
              </w:rPr>
              <w:t> </w:t>
            </w:r>
            <w:r>
              <w:rPr>
                <w:rFonts w:ascii="Arial" w:hAnsi="Arial" w:cs="Arial" w:eastAsia="Arial" w:hint="default"/>
                <w:sz w:val="16"/>
                <w:szCs w:val="16"/>
              </w:rPr>
              <w:t>SKT</w:t>
            </w:r>
            <w:r>
              <w:rPr>
                <w:rFonts w:ascii="Arial" w:hAnsi="Arial" w:cs="Arial" w:eastAsia="Arial" w:hint="default"/>
                <w:spacing w:val="-6"/>
                <w:sz w:val="16"/>
                <w:szCs w:val="16"/>
              </w:rPr>
              <w:t> </w:t>
            </w:r>
            <w:r>
              <w:rPr>
                <w:rFonts w:ascii="宋体" w:hAnsi="宋体" w:cs="宋体" w:eastAsia="宋体" w:hint="default"/>
                <w:sz w:val="16"/>
                <w:szCs w:val="16"/>
              </w:rPr>
              <w:t>回购联通红筹公司股份所支付的现金</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21"/>
              <w:jc w:val="right"/>
              <w:rPr>
                <w:rFonts w:ascii="Arial" w:hAnsi="Arial" w:cs="Arial" w:eastAsia="Arial" w:hint="default"/>
                <w:sz w:val="16"/>
                <w:szCs w:val="16"/>
              </w:rPr>
            </w:pPr>
            <w:r>
              <w:rPr>
                <w:rFonts w:ascii="Arial"/>
                <w:spacing w:val="-1"/>
                <w:w w:val="95"/>
                <w:sz w:val="16"/>
              </w:rPr>
              <w:t>(8,801,661,273)</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Arial" w:hAnsi="Arial" w:cs="Arial" w:eastAsia="Arial" w:hint="default"/>
                <w:sz w:val="16"/>
                <w:szCs w:val="16"/>
              </w:rPr>
            </w:pPr>
            <w:r>
              <w:rPr>
                <w:rFonts w:ascii="Arial"/>
                <w:w w:val="99"/>
                <w:sz w:val="16"/>
              </w:rPr>
              <w:t>-</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760" w:right="0"/>
              <w:jc w:val="left"/>
              <w:rPr>
                <w:rFonts w:ascii="黑体" w:hAnsi="黑体" w:cs="黑体" w:eastAsia="黑体" w:hint="default"/>
                <w:sz w:val="16"/>
                <w:szCs w:val="16"/>
              </w:rPr>
            </w:pPr>
            <w:r>
              <w:rPr>
                <w:rFonts w:ascii="黑体" w:hAnsi="黑体" w:cs="黑体" w:eastAsia="黑体" w:hint="default"/>
                <w:sz w:val="16"/>
                <w:szCs w:val="16"/>
              </w:rPr>
              <w:t>持续经营业务筹资活动现金流出小计</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20"/>
              <w:jc w:val="right"/>
              <w:rPr>
                <w:rFonts w:ascii="Arial" w:hAnsi="Arial" w:cs="Arial" w:eastAsia="Arial" w:hint="default"/>
                <w:sz w:val="16"/>
                <w:szCs w:val="16"/>
              </w:rPr>
            </w:pPr>
            <w:r>
              <w:rPr>
                <w:rFonts w:ascii="Arial"/>
                <w:w w:val="95"/>
                <w:sz w:val="16"/>
              </w:rPr>
              <w:t>(69,791,960,656)</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45"/>
              <w:jc w:val="right"/>
              <w:rPr>
                <w:rFonts w:ascii="Arial" w:hAnsi="Arial" w:cs="Arial" w:eastAsia="Arial" w:hint="default"/>
                <w:sz w:val="16"/>
                <w:szCs w:val="16"/>
              </w:rPr>
            </w:pPr>
            <w:r>
              <w:rPr>
                <w:rFonts w:ascii="Arial"/>
                <w:w w:val="95"/>
                <w:sz w:val="16"/>
              </w:rPr>
              <w:t>(107,115,397,522)</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20"/>
              <w:jc w:val="right"/>
              <w:rPr>
                <w:rFonts w:ascii="Arial" w:hAnsi="Arial" w:cs="Arial" w:eastAsia="Arial" w:hint="default"/>
                <w:sz w:val="16"/>
                <w:szCs w:val="16"/>
              </w:rPr>
            </w:pPr>
            <w:r>
              <w:rPr>
                <w:rFonts w:ascii="Arial"/>
                <w:w w:val="95"/>
                <w:sz w:val="16"/>
              </w:rPr>
              <w:t>(1,426,113,884)</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32"/>
              <w:jc w:val="right"/>
              <w:rPr>
                <w:rFonts w:ascii="Arial" w:hAnsi="Arial" w:cs="Arial" w:eastAsia="Arial" w:hint="default"/>
                <w:sz w:val="16"/>
                <w:szCs w:val="16"/>
              </w:rPr>
            </w:pPr>
            <w:r>
              <w:rPr>
                <w:rFonts w:ascii="Arial"/>
                <w:w w:val="95"/>
                <w:sz w:val="16"/>
              </w:rPr>
              <w:t>(1,424,411,581)</w:t>
            </w:r>
            <w:r>
              <w:rPr>
                <w:rFonts w:ascii="Arial"/>
                <w:sz w:val="16"/>
              </w:rPr>
            </w:r>
          </w:p>
        </w:tc>
      </w:tr>
      <w:tr>
        <w:trPr>
          <w:trHeight w:val="239"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198" w:lineRule="exact"/>
              <w:ind w:right="112"/>
              <w:jc w:val="right"/>
              <w:rPr>
                <w:rFonts w:ascii="黑体" w:hAnsi="黑体" w:cs="黑体" w:eastAsia="黑体" w:hint="default"/>
                <w:sz w:val="16"/>
                <w:szCs w:val="16"/>
              </w:rPr>
            </w:pPr>
            <w:r>
              <w:rPr>
                <w:rFonts w:ascii="黑体" w:hAnsi="黑体" w:cs="黑体" w:eastAsia="黑体" w:hint="default"/>
                <w:w w:val="95"/>
                <w:sz w:val="16"/>
                <w:szCs w:val="16"/>
              </w:rPr>
              <w:t>持续经营业务筹资活动产生的现金流量净额（减：支付）</w:t>
            </w:r>
            <w:r>
              <w:rPr>
                <w:rFonts w:ascii="黑体" w:hAnsi="黑体" w:cs="黑体" w:eastAsia="黑体" w:hint="default"/>
                <w:sz w:val="16"/>
                <w:szCs w:val="16"/>
              </w:rPr>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63"/>
              <w:jc w:val="right"/>
              <w:rPr>
                <w:rFonts w:ascii="Arial" w:hAnsi="Arial" w:cs="Arial" w:eastAsia="Arial" w:hint="default"/>
                <w:sz w:val="16"/>
                <w:szCs w:val="16"/>
              </w:rPr>
            </w:pPr>
            <w:r>
              <w:rPr>
                <w:rFonts w:ascii="Arial"/>
                <w:w w:val="95"/>
                <w:sz w:val="16"/>
              </w:rPr>
              <w:t>28,525,940,782</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47"/>
              <w:jc w:val="right"/>
              <w:rPr>
                <w:rFonts w:ascii="Arial" w:hAnsi="Arial" w:cs="Arial" w:eastAsia="Arial" w:hint="default"/>
                <w:sz w:val="16"/>
                <w:szCs w:val="16"/>
              </w:rPr>
            </w:pPr>
            <w:r>
              <w:rPr>
                <w:rFonts w:ascii="Arial"/>
                <w:w w:val="95"/>
                <w:sz w:val="16"/>
              </w:rPr>
              <w:t>(38,062,969,118)</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20"/>
              <w:jc w:val="right"/>
              <w:rPr>
                <w:rFonts w:ascii="Arial" w:hAnsi="Arial" w:cs="Arial" w:eastAsia="Arial" w:hint="default"/>
                <w:sz w:val="16"/>
                <w:szCs w:val="16"/>
              </w:rPr>
            </w:pPr>
            <w:r>
              <w:rPr>
                <w:rFonts w:ascii="Arial"/>
                <w:w w:val="95"/>
                <w:sz w:val="16"/>
              </w:rPr>
              <w:t>(1,426,113,884)</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32"/>
              <w:jc w:val="right"/>
              <w:rPr>
                <w:rFonts w:ascii="Arial" w:hAnsi="Arial" w:cs="Arial" w:eastAsia="Arial" w:hint="default"/>
                <w:sz w:val="16"/>
                <w:szCs w:val="16"/>
              </w:rPr>
            </w:pPr>
            <w:r>
              <w:rPr>
                <w:rFonts w:ascii="Arial"/>
                <w:w w:val="95"/>
                <w:sz w:val="16"/>
              </w:rPr>
              <w:t>(1,424,411,581)</w:t>
            </w:r>
            <w:r>
              <w:rPr>
                <w:rFonts w:ascii="Arial"/>
                <w:sz w:val="16"/>
              </w:rPr>
            </w:r>
          </w:p>
        </w:tc>
      </w:tr>
      <w:tr>
        <w:trPr>
          <w:trHeight w:val="252"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112"/>
              <w:jc w:val="right"/>
              <w:rPr>
                <w:rFonts w:ascii="黑体" w:hAnsi="黑体" w:cs="黑体" w:eastAsia="黑体" w:hint="default"/>
                <w:sz w:val="16"/>
                <w:szCs w:val="16"/>
              </w:rPr>
            </w:pPr>
            <w:r>
              <w:rPr>
                <w:rFonts w:ascii="黑体" w:hAnsi="黑体" w:cs="黑体" w:eastAsia="黑体" w:hint="default"/>
                <w:w w:val="95"/>
                <w:sz w:val="16"/>
                <w:szCs w:val="16"/>
              </w:rPr>
              <w:t>终止经营业务筹资活动产生的现金流量净额（减：支付）</w:t>
            </w:r>
            <w:r>
              <w:rPr>
                <w:rFonts w:ascii="黑体" w:hAnsi="黑体" w:cs="黑体" w:eastAsia="黑体" w:hint="default"/>
                <w:sz w:val="16"/>
                <w:szCs w:val="16"/>
              </w:rPr>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61"/>
              <w:jc w:val="right"/>
              <w:rPr>
                <w:rFonts w:ascii="Arial" w:hAnsi="Arial" w:cs="Arial" w:eastAsia="Arial" w:hint="default"/>
                <w:sz w:val="16"/>
                <w:szCs w:val="16"/>
              </w:rPr>
            </w:pPr>
            <w:r>
              <w:rPr>
                <w:rFonts w:ascii="Arial"/>
                <w:w w:val="99"/>
                <w:sz w:val="16"/>
              </w:rPr>
              <w:t>-</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46"/>
              <w:jc w:val="right"/>
              <w:rPr>
                <w:rFonts w:ascii="Arial" w:hAnsi="Arial" w:cs="Arial" w:eastAsia="Arial" w:hint="default"/>
                <w:sz w:val="16"/>
                <w:szCs w:val="16"/>
              </w:rPr>
            </w:pPr>
            <w:r>
              <w:rPr>
                <w:rFonts w:ascii="Arial"/>
                <w:spacing w:val="-1"/>
                <w:sz w:val="16"/>
              </w:rPr>
              <w:t>(37,598)</w:t>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6" w:right="0"/>
              <w:jc w:val="left"/>
              <w:rPr>
                <w:rFonts w:ascii="黑体" w:hAnsi="黑体" w:cs="黑体" w:eastAsia="黑体" w:hint="default"/>
                <w:sz w:val="16"/>
                <w:szCs w:val="16"/>
              </w:rPr>
            </w:pPr>
            <w:r>
              <w:rPr>
                <w:rFonts w:ascii="黑体" w:hAnsi="黑体" w:cs="黑体" w:eastAsia="黑体" w:hint="default"/>
                <w:sz w:val="16"/>
                <w:szCs w:val="16"/>
              </w:rPr>
              <w:t>筹资活动产生的现金流量净额（减：支付）</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2"/>
              <w:jc w:val="right"/>
              <w:rPr>
                <w:rFonts w:ascii="Arial" w:hAnsi="Arial" w:cs="Arial" w:eastAsia="Arial" w:hint="default"/>
                <w:sz w:val="16"/>
                <w:szCs w:val="16"/>
              </w:rPr>
            </w:pPr>
            <w:r>
              <w:rPr>
                <w:rFonts w:ascii="Arial"/>
                <w:w w:val="95"/>
                <w:sz w:val="16"/>
              </w:rPr>
              <w:t>28,525,940,782</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45"/>
              <w:jc w:val="right"/>
              <w:rPr>
                <w:rFonts w:ascii="Arial" w:hAnsi="Arial" w:cs="Arial" w:eastAsia="Arial" w:hint="default"/>
                <w:sz w:val="16"/>
                <w:szCs w:val="16"/>
              </w:rPr>
            </w:pPr>
            <w:r>
              <w:rPr>
                <w:rFonts w:ascii="Arial"/>
                <w:w w:val="95"/>
                <w:sz w:val="16"/>
              </w:rPr>
              <w:t>(38,063,006,716)</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20"/>
              <w:jc w:val="right"/>
              <w:rPr>
                <w:rFonts w:ascii="Arial" w:hAnsi="Arial" w:cs="Arial" w:eastAsia="Arial" w:hint="default"/>
                <w:sz w:val="16"/>
                <w:szCs w:val="16"/>
              </w:rPr>
            </w:pPr>
            <w:r>
              <w:rPr>
                <w:rFonts w:ascii="Arial"/>
                <w:w w:val="95"/>
                <w:sz w:val="16"/>
              </w:rPr>
              <w:t>(1,426,113,884)</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32"/>
              <w:jc w:val="right"/>
              <w:rPr>
                <w:rFonts w:ascii="Arial" w:hAnsi="Arial" w:cs="Arial" w:eastAsia="Arial" w:hint="default"/>
                <w:sz w:val="16"/>
                <w:szCs w:val="16"/>
              </w:rPr>
            </w:pPr>
            <w:r>
              <w:rPr>
                <w:rFonts w:ascii="Arial"/>
                <w:w w:val="95"/>
                <w:sz w:val="16"/>
              </w:rPr>
              <w:t>(1,424,411,581)</w:t>
            </w:r>
            <w:r>
              <w:rPr>
                <w:rFonts w:ascii="Arial"/>
                <w:sz w:val="16"/>
              </w:rPr>
            </w:r>
          </w:p>
        </w:tc>
      </w:tr>
      <w:tr>
        <w:trPr>
          <w:trHeight w:val="25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黑体" w:hAnsi="黑体" w:cs="黑体" w:eastAsia="黑体" w:hint="default"/>
                <w:sz w:val="16"/>
                <w:szCs w:val="16"/>
              </w:rPr>
            </w:pPr>
            <w:r>
              <w:rPr>
                <w:rFonts w:ascii="黑体" w:hAnsi="黑体" w:cs="黑体" w:eastAsia="黑体" w:hint="default"/>
                <w:sz w:val="16"/>
                <w:szCs w:val="16"/>
              </w:rPr>
              <w:t>四、汇率变动对现金的影响</w:t>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Arial" w:hAnsi="Arial" w:cs="Arial" w:eastAsia="Arial" w:hint="default"/>
                <w:sz w:val="16"/>
                <w:szCs w:val="16"/>
              </w:rPr>
            </w:pPr>
            <w:r>
              <w:rPr>
                <w:rFonts w:ascii="Arial"/>
                <w:w w:val="99"/>
                <w:sz w:val="16"/>
              </w:rPr>
              <w:t>-</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黑体" w:hAnsi="黑体" w:cs="黑体" w:eastAsia="黑体" w:hint="default"/>
                <w:sz w:val="16"/>
                <w:szCs w:val="16"/>
              </w:rPr>
            </w:pPr>
            <w:r>
              <w:rPr>
                <w:rFonts w:ascii="黑体" w:hAnsi="黑体" w:cs="黑体" w:eastAsia="黑体" w:hint="default"/>
                <w:sz w:val="16"/>
                <w:szCs w:val="16"/>
              </w:rPr>
              <w:t>五、现金及现金等价物净增加（减少）额</w:t>
            </w:r>
          </w:p>
        </w:tc>
        <w:tc>
          <w:tcPr>
            <w:tcW w:w="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4" w:right="0"/>
              <w:jc w:val="center"/>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(50)</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20"/>
              <w:jc w:val="right"/>
              <w:rPr>
                <w:rFonts w:ascii="Arial" w:hAnsi="Arial" w:cs="Arial" w:eastAsia="Arial" w:hint="default"/>
                <w:sz w:val="16"/>
                <w:szCs w:val="16"/>
              </w:rPr>
            </w:pPr>
            <w:r>
              <w:rPr>
                <w:rFonts w:ascii="Arial"/>
                <w:w w:val="95"/>
                <w:sz w:val="16"/>
              </w:rPr>
              <w:t>(2,415,205,154)</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45"/>
              <w:jc w:val="right"/>
              <w:rPr>
                <w:rFonts w:ascii="Arial" w:hAnsi="Arial" w:cs="Arial" w:eastAsia="Arial" w:hint="default"/>
                <w:sz w:val="16"/>
                <w:szCs w:val="16"/>
              </w:rPr>
            </w:pPr>
            <w:r>
              <w:rPr>
                <w:rFonts w:ascii="Arial"/>
                <w:w w:val="95"/>
                <w:sz w:val="16"/>
              </w:rPr>
              <w:t>(2,427,384,052)</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2"/>
              <w:jc w:val="right"/>
              <w:rPr>
                <w:rFonts w:ascii="Arial" w:hAnsi="Arial" w:cs="Arial" w:eastAsia="Arial" w:hint="default"/>
                <w:sz w:val="16"/>
                <w:szCs w:val="16"/>
              </w:rPr>
            </w:pPr>
            <w:r>
              <w:rPr>
                <w:rFonts w:ascii="Arial"/>
                <w:w w:val="95"/>
                <w:sz w:val="16"/>
              </w:rPr>
              <w:t>758,518</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31"/>
              <w:jc w:val="right"/>
              <w:rPr>
                <w:rFonts w:ascii="Arial" w:hAnsi="Arial" w:cs="Arial" w:eastAsia="Arial" w:hint="default"/>
                <w:sz w:val="16"/>
                <w:szCs w:val="16"/>
              </w:rPr>
            </w:pPr>
            <w:r>
              <w:rPr>
                <w:rFonts w:ascii="Arial"/>
                <w:w w:val="95"/>
                <w:sz w:val="16"/>
              </w:rPr>
              <w:t>(826,958)</w:t>
            </w:r>
            <w:r>
              <w:rPr>
                <w:rFonts w:ascii="Arial"/>
                <w:sz w:val="16"/>
              </w:rPr>
            </w:r>
          </w:p>
        </w:tc>
      </w:tr>
      <w:tr>
        <w:trPr>
          <w:trHeight w:val="26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257"/>
              <w:jc w:val="right"/>
              <w:rPr>
                <w:rFonts w:ascii="黑体" w:hAnsi="黑体" w:cs="黑体" w:eastAsia="黑体" w:hint="default"/>
                <w:sz w:val="16"/>
                <w:szCs w:val="16"/>
              </w:rPr>
            </w:pPr>
            <w:r>
              <w:rPr>
                <w:rFonts w:ascii="黑体" w:hAnsi="黑体" w:cs="黑体" w:eastAsia="黑体" w:hint="default"/>
                <w:w w:val="95"/>
                <w:sz w:val="16"/>
                <w:szCs w:val="16"/>
              </w:rPr>
              <w:t>持续经营业务期末现金及现金等价物净增加（减少）额</w:t>
            </w:r>
            <w:r>
              <w:rPr>
                <w:rFonts w:ascii="黑体" w:hAnsi="黑体" w:cs="黑体" w:eastAsia="黑体" w:hint="default"/>
                <w:sz w:val="16"/>
                <w:szCs w:val="16"/>
              </w:rPr>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61"/>
              <w:jc w:val="right"/>
              <w:rPr>
                <w:rFonts w:ascii="Arial" w:hAnsi="Arial" w:cs="Arial" w:eastAsia="Arial" w:hint="default"/>
                <w:sz w:val="16"/>
                <w:szCs w:val="16"/>
              </w:rPr>
            </w:pPr>
            <w:r>
              <w:rPr>
                <w:rFonts w:ascii="Arial"/>
                <w:w w:val="95"/>
                <w:sz w:val="16"/>
              </w:rPr>
              <w:t>2,623,993,118</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46"/>
              <w:jc w:val="right"/>
              <w:rPr>
                <w:rFonts w:ascii="Arial" w:hAnsi="Arial" w:cs="Arial" w:eastAsia="Arial" w:hint="default"/>
                <w:sz w:val="16"/>
                <w:szCs w:val="16"/>
              </w:rPr>
            </w:pPr>
            <w:r>
              <w:rPr>
                <w:rFonts w:ascii="Arial"/>
                <w:w w:val="95"/>
                <w:sz w:val="16"/>
              </w:rPr>
              <w:t>(32,572,297,739)</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62"/>
              <w:jc w:val="right"/>
              <w:rPr>
                <w:rFonts w:ascii="Arial" w:hAnsi="Arial" w:cs="Arial" w:eastAsia="Arial" w:hint="default"/>
                <w:sz w:val="16"/>
                <w:szCs w:val="16"/>
              </w:rPr>
            </w:pPr>
            <w:r>
              <w:rPr>
                <w:rFonts w:ascii="Arial"/>
                <w:w w:val="95"/>
                <w:sz w:val="16"/>
              </w:rPr>
              <w:t>758,518</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31"/>
              <w:jc w:val="right"/>
              <w:rPr>
                <w:rFonts w:ascii="Arial" w:hAnsi="Arial" w:cs="Arial" w:eastAsia="Arial" w:hint="default"/>
                <w:sz w:val="16"/>
                <w:szCs w:val="16"/>
              </w:rPr>
            </w:pPr>
            <w:r>
              <w:rPr>
                <w:rFonts w:ascii="Arial"/>
                <w:w w:val="95"/>
                <w:sz w:val="16"/>
              </w:rPr>
              <w:t>(826,958)</w:t>
            </w:r>
            <w:r>
              <w:rPr>
                <w:rFonts w:ascii="Arial"/>
                <w:sz w:val="16"/>
              </w:rPr>
            </w:r>
          </w:p>
        </w:tc>
      </w:tr>
      <w:tr>
        <w:trPr>
          <w:trHeight w:val="266"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257"/>
              <w:jc w:val="right"/>
              <w:rPr>
                <w:rFonts w:ascii="黑体" w:hAnsi="黑体" w:cs="黑体" w:eastAsia="黑体" w:hint="default"/>
                <w:sz w:val="16"/>
                <w:szCs w:val="16"/>
              </w:rPr>
            </w:pPr>
            <w:r>
              <w:rPr>
                <w:rFonts w:ascii="黑体" w:hAnsi="黑体" w:cs="黑体" w:eastAsia="黑体" w:hint="default"/>
                <w:w w:val="95"/>
                <w:sz w:val="16"/>
                <w:szCs w:val="16"/>
              </w:rPr>
              <w:t>终止经营业务期末现金及现金等价物净增加（减少）额</w:t>
            </w:r>
            <w:r>
              <w:rPr>
                <w:rFonts w:ascii="黑体" w:hAnsi="黑体" w:cs="黑体" w:eastAsia="黑体" w:hint="default"/>
                <w:sz w:val="16"/>
                <w:szCs w:val="16"/>
              </w:rPr>
            </w:r>
          </w:p>
        </w:tc>
        <w:tc>
          <w:tcPr>
            <w:tcW w:w="532"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20"/>
              <w:jc w:val="right"/>
              <w:rPr>
                <w:rFonts w:ascii="Arial" w:hAnsi="Arial" w:cs="Arial" w:eastAsia="Arial" w:hint="default"/>
                <w:sz w:val="16"/>
                <w:szCs w:val="16"/>
              </w:rPr>
            </w:pPr>
            <w:r>
              <w:rPr>
                <w:rFonts w:ascii="Arial"/>
                <w:w w:val="95"/>
                <w:sz w:val="16"/>
              </w:rPr>
              <w:t>(5,039,198,272)</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100"/>
              <w:jc w:val="right"/>
              <w:rPr>
                <w:rFonts w:ascii="Arial" w:hAnsi="Arial" w:cs="Arial" w:eastAsia="Arial" w:hint="default"/>
                <w:sz w:val="16"/>
                <w:szCs w:val="16"/>
              </w:rPr>
            </w:pPr>
            <w:r>
              <w:rPr>
                <w:rFonts w:ascii="Arial"/>
                <w:w w:val="95"/>
                <w:sz w:val="16"/>
              </w:rPr>
              <w:t>30,144,913,687</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61"/>
              <w:jc w:val="right"/>
              <w:rPr>
                <w:rFonts w:ascii="Arial" w:hAnsi="Arial" w:cs="Arial" w:eastAsia="Arial" w:hint="default"/>
                <w:sz w:val="16"/>
                <w:szCs w:val="16"/>
              </w:rPr>
            </w:pPr>
            <w:r>
              <w:rPr>
                <w:rFonts w:ascii="Arial"/>
                <w:w w:val="99"/>
                <w:sz w:val="16"/>
              </w:rPr>
              <w:t>-</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4"/>
              <w:ind w:right="73"/>
              <w:jc w:val="right"/>
              <w:rPr>
                <w:rFonts w:ascii="Arial" w:hAnsi="Arial" w:cs="Arial" w:eastAsia="Arial" w:hint="default"/>
                <w:sz w:val="16"/>
                <w:szCs w:val="16"/>
              </w:rPr>
            </w:pPr>
            <w:r>
              <w:rPr>
                <w:rFonts w:ascii="Arial"/>
                <w:w w:val="99"/>
                <w:sz w:val="16"/>
              </w:rPr>
              <w:t>-</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439" w:right="0"/>
              <w:jc w:val="left"/>
              <w:rPr>
                <w:rFonts w:ascii="宋体" w:hAnsi="宋体" w:cs="宋体" w:eastAsia="宋体" w:hint="default"/>
                <w:sz w:val="16"/>
                <w:szCs w:val="16"/>
              </w:rPr>
            </w:pPr>
            <w:r>
              <w:rPr>
                <w:rFonts w:ascii="宋体" w:hAnsi="宋体" w:cs="宋体" w:eastAsia="宋体" w:hint="default"/>
                <w:sz w:val="16"/>
                <w:szCs w:val="16"/>
              </w:rPr>
              <w:t>加：年初现金及现金等价物余额</w:t>
            </w:r>
          </w:p>
        </w:tc>
        <w:tc>
          <w:tcPr>
            <w:tcW w:w="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4" w:right="0"/>
              <w:jc w:val="center"/>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(50)</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3"/>
              <w:jc w:val="right"/>
              <w:rPr>
                <w:rFonts w:ascii="Arial" w:hAnsi="Arial" w:cs="Arial" w:eastAsia="Arial" w:hint="default"/>
                <w:sz w:val="16"/>
                <w:szCs w:val="16"/>
              </w:rPr>
            </w:pPr>
            <w:r>
              <w:rPr>
                <w:rFonts w:ascii="Arial"/>
                <w:w w:val="95"/>
                <w:sz w:val="16"/>
              </w:rPr>
              <w:t>10,247,253,348</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Arial" w:hAnsi="Arial" w:cs="Arial" w:eastAsia="Arial" w:hint="default"/>
                <w:sz w:val="16"/>
                <w:szCs w:val="16"/>
              </w:rPr>
            </w:pPr>
            <w:r>
              <w:rPr>
                <w:rFonts w:ascii="Arial"/>
                <w:w w:val="95"/>
                <w:sz w:val="16"/>
              </w:rPr>
              <w:t>12,674,637,400</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2"/>
              <w:jc w:val="right"/>
              <w:rPr>
                <w:rFonts w:ascii="Arial" w:hAnsi="Arial" w:cs="Arial" w:eastAsia="Arial" w:hint="default"/>
                <w:sz w:val="16"/>
                <w:szCs w:val="16"/>
              </w:rPr>
            </w:pPr>
            <w:r>
              <w:rPr>
                <w:rFonts w:ascii="Arial"/>
                <w:w w:val="95"/>
                <w:sz w:val="16"/>
              </w:rPr>
              <w:t>10,774,856</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4"/>
              <w:jc w:val="right"/>
              <w:rPr>
                <w:rFonts w:ascii="Arial" w:hAnsi="Arial" w:cs="Arial" w:eastAsia="Arial" w:hint="default"/>
                <w:sz w:val="16"/>
                <w:szCs w:val="16"/>
              </w:rPr>
            </w:pPr>
            <w:r>
              <w:rPr>
                <w:rFonts w:ascii="Arial"/>
                <w:w w:val="95"/>
                <w:sz w:val="16"/>
              </w:rPr>
              <w:t>11,601,814</w:t>
            </w:r>
            <w:r>
              <w:rPr>
                <w:rFonts w:ascii="Arial"/>
                <w:sz w:val="16"/>
              </w:rPr>
            </w:r>
          </w:p>
        </w:tc>
      </w:tr>
      <w:tr>
        <w:trPr>
          <w:trHeight w:val="254" w:hRule="exact"/>
        </w:trPr>
        <w:tc>
          <w:tcPr>
            <w:tcW w:w="47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00" w:right="0"/>
              <w:jc w:val="left"/>
              <w:rPr>
                <w:rFonts w:ascii="黑体" w:hAnsi="黑体" w:cs="黑体" w:eastAsia="黑体" w:hint="default"/>
                <w:sz w:val="16"/>
                <w:szCs w:val="16"/>
              </w:rPr>
            </w:pPr>
            <w:r>
              <w:rPr>
                <w:rFonts w:ascii="黑体" w:hAnsi="黑体" w:cs="黑体" w:eastAsia="黑体" w:hint="default"/>
                <w:sz w:val="16"/>
                <w:szCs w:val="16"/>
              </w:rPr>
              <w:t>六、年末现金及现金等价物余额</w:t>
            </w:r>
          </w:p>
        </w:tc>
        <w:tc>
          <w:tcPr>
            <w:tcW w:w="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left="14" w:right="0"/>
              <w:jc w:val="center"/>
              <w:rPr>
                <w:rFonts w:ascii="Arial" w:hAnsi="Arial" w:cs="Arial" w:eastAsia="Arial" w:hint="default"/>
                <w:sz w:val="16"/>
                <w:szCs w:val="16"/>
              </w:rPr>
            </w:pPr>
            <w:r>
              <w:rPr>
                <w:rFonts w:ascii="宋体" w:hAnsi="宋体" w:cs="宋体" w:eastAsia="宋体" w:hint="default"/>
                <w:sz w:val="16"/>
                <w:szCs w:val="16"/>
              </w:rPr>
              <w:t>五</w:t>
            </w:r>
            <w:r>
              <w:rPr>
                <w:rFonts w:ascii="Arial" w:hAnsi="Arial" w:cs="Arial" w:eastAsia="Arial" w:hint="default"/>
                <w:sz w:val="16"/>
                <w:szCs w:val="16"/>
              </w:rPr>
              <w:t>(50)</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1"/>
              <w:jc w:val="right"/>
              <w:rPr>
                <w:rFonts w:ascii="Arial" w:hAnsi="Arial" w:cs="Arial" w:eastAsia="Arial" w:hint="default"/>
                <w:sz w:val="16"/>
                <w:szCs w:val="16"/>
              </w:rPr>
            </w:pPr>
            <w:r>
              <w:rPr>
                <w:rFonts w:ascii="Arial"/>
                <w:w w:val="95"/>
                <w:sz w:val="16"/>
              </w:rPr>
              <w:t>7,832,048,194</w:t>
            </w:r>
            <w:r>
              <w:rPr>
                <w:rFonts w:ascii="Arial"/>
                <w:sz w:val="16"/>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Arial" w:hAnsi="Arial" w:cs="Arial" w:eastAsia="Arial" w:hint="default"/>
                <w:sz w:val="16"/>
                <w:szCs w:val="16"/>
              </w:rPr>
            </w:pPr>
            <w:r>
              <w:rPr>
                <w:rFonts w:ascii="Arial"/>
                <w:w w:val="95"/>
                <w:sz w:val="16"/>
              </w:rPr>
              <w:t>10,247,253,348</w:t>
            </w:r>
            <w:r>
              <w:rPr>
                <w:rFonts w:ascii="Arial"/>
                <w:sz w:val="16"/>
              </w:rPr>
            </w:r>
          </w:p>
        </w:tc>
        <w:tc>
          <w:tcPr>
            <w:tcW w:w="12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62"/>
              <w:jc w:val="right"/>
              <w:rPr>
                <w:rFonts w:ascii="Arial" w:hAnsi="Arial" w:cs="Arial" w:eastAsia="Arial" w:hint="default"/>
                <w:sz w:val="16"/>
                <w:szCs w:val="16"/>
              </w:rPr>
            </w:pPr>
            <w:r>
              <w:rPr>
                <w:rFonts w:ascii="Arial"/>
                <w:w w:val="95"/>
                <w:sz w:val="16"/>
              </w:rPr>
              <w:t>11,533,374</w:t>
            </w:r>
            <w:r>
              <w:rPr>
                <w:rFonts w:ascii="Arial"/>
                <w:sz w:val="16"/>
              </w:rPr>
            </w:r>
          </w:p>
        </w:tc>
        <w:tc>
          <w:tcPr>
            <w:tcW w:w="12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74"/>
              <w:jc w:val="right"/>
              <w:rPr>
                <w:rFonts w:ascii="Arial" w:hAnsi="Arial" w:cs="Arial" w:eastAsia="Arial" w:hint="default"/>
                <w:sz w:val="16"/>
                <w:szCs w:val="16"/>
              </w:rPr>
            </w:pPr>
            <w:r>
              <w:rPr>
                <w:rFonts w:ascii="Arial"/>
                <w:w w:val="95"/>
                <w:sz w:val="16"/>
              </w:rPr>
              <w:t>10,774,856</w:t>
            </w:r>
            <w:r>
              <w:rPr>
                <w:rFonts w:ascii="Arial"/>
                <w:sz w:val="16"/>
              </w:rPr>
            </w:r>
          </w:p>
        </w:tc>
      </w:tr>
    </w:tbl>
    <w:p>
      <w:pPr>
        <w:spacing w:line="240" w:lineRule="auto" w:before="4"/>
        <w:rPr>
          <w:rFonts w:ascii="黑体" w:hAnsi="黑体" w:cs="黑体" w:eastAsia="黑体" w:hint="default"/>
          <w:sz w:val="12"/>
          <w:szCs w:val="12"/>
        </w:rPr>
      </w:pPr>
    </w:p>
    <w:p>
      <w:pPr>
        <w:spacing w:before="38"/>
        <w:ind w:left="120" w:right="0" w:firstLine="0"/>
        <w:jc w:val="left"/>
        <w:rPr>
          <w:rFonts w:ascii="黑体" w:hAnsi="黑体" w:cs="黑体" w:eastAsia="黑体" w:hint="default"/>
          <w:sz w:val="20"/>
          <w:szCs w:val="20"/>
        </w:rPr>
      </w:pPr>
      <w:r>
        <w:rPr>
          <w:rFonts w:ascii="黑体" w:hAnsi="黑体" w:cs="黑体" w:eastAsia="黑体" w:hint="default"/>
          <w:sz w:val="20"/>
          <w:szCs w:val="20"/>
        </w:rPr>
        <w:t>后附财务报表附注为财务报表的组成部分。</w:t>
      </w:r>
    </w:p>
    <w:p>
      <w:pPr>
        <w:spacing w:line="240" w:lineRule="auto" w:before="0"/>
        <w:rPr>
          <w:rFonts w:ascii="黑体" w:hAnsi="黑体" w:cs="黑体" w:eastAsia="黑体" w:hint="default"/>
          <w:sz w:val="20"/>
          <w:szCs w:val="20"/>
        </w:rPr>
      </w:pPr>
    </w:p>
    <w:p>
      <w:pPr>
        <w:pStyle w:val="BodyText"/>
        <w:tabs>
          <w:tab w:pos="3456" w:val="left" w:leader="none"/>
          <w:tab w:pos="7231" w:val="left" w:leader="none"/>
        </w:tabs>
        <w:spacing w:line="240" w:lineRule="auto" w:before="168"/>
        <w:ind w:left="149" w:right="0"/>
        <w:jc w:val="left"/>
        <w:rPr>
          <w:rFonts w:ascii="黑体" w:hAnsi="黑体" w:cs="黑体" w:eastAsia="黑体" w:hint="default"/>
        </w:rPr>
      </w:pPr>
      <w:r>
        <w:rPr>
          <w:rFonts w:ascii="黑体" w:hAnsi="黑体" w:cs="黑体" w:eastAsia="黑体" w:hint="default"/>
          <w:w w:val="95"/>
        </w:rPr>
        <w:t>董事长：常小兵</w:t>
        <w:tab/>
        <w:t>财务负责人：张健</w:t>
        <w:tab/>
      </w:r>
      <w:r>
        <w:rPr>
          <w:rFonts w:ascii="黑体" w:hAnsi="黑体" w:cs="黑体" w:eastAsia="黑体" w:hint="default"/>
        </w:rPr>
        <w:t>财务部总经理：赵玉军</w:t>
      </w:r>
    </w:p>
    <w:p>
      <w:pPr>
        <w:spacing w:after="0" w:line="240" w:lineRule="auto"/>
        <w:jc w:val="left"/>
        <w:rPr>
          <w:rFonts w:ascii="黑体" w:hAnsi="黑体" w:cs="黑体" w:eastAsia="黑体" w:hint="default"/>
        </w:rPr>
        <w:sectPr>
          <w:headerReference w:type="default" r:id="rId27"/>
          <w:footerReference w:type="default" r:id="rId28"/>
          <w:pgSz w:w="11910" w:h="16840"/>
          <w:pgMar w:header="0" w:footer="488" w:top="400" w:bottom="680" w:left="760" w:right="260"/>
          <w:pgNumType w:start="53"/>
        </w:sectPr>
      </w:pPr>
    </w:p>
    <w:p>
      <w:pPr>
        <w:pStyle w:val="BodyText"/>
        <w:spacing w:line="240" w:lineRule="auto" w:before="13"/>
        <w:ind w:left="120" w:right="0"/>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8"/>
        <w:rPr>
          <w:rFonts w:ascii="黑体" w:hAnsi="黑体" w:cs="黑体" w:eastAsia="黑体" w:hint="default"/>
          <w:sz w:val="21"/>
          <w:szCs w:val="21"/>
        </w:rPr>
      </w:pPr>
    </w:p>
    <w:p>
      <w:pPr>
        <w:pStyle w:val="BodyText"/>
        <w:spacing w:line="294" w:lineRule="exact"/>
        <w:ind w:left="120"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9"/>
        </w:rPr>
        <w:t> </w:t>
      </w:r>
      <w:r>
        <w:rPr>
          <w:rFonts w:ascii="黑体" w:hAnsi="黑体" w:cs="黑体" w:eastAsia="黑体" w:hint="default"/>
        </w:rPr>
        <w:t>年度合并股东权益变动表</w:t>
      </w:r>
    </w:p>
    <w:p>
      <w:pPr>
        <w:pStyle w:val="BodyText"/>
        <w:spacing w:line="278" w:lineRule="exact"/>
        <w:ind w:left="120" w:right="0"/>
        <w:jc w:val="left"/>
        <w:rPr>
          <w:rFonts w:ascii="黑体" w:hAnsi="黑体" w:cs="黑体" w:eastAsia="黑体" w:hint="default"/>
        </w:rPr>
      </w:pPr>
      <w:r>
        <w:rPr>
          <w:rFonts w:ascii="黑体" w:hAnsi="黑体" w:cs="黑体" w:eastAsia="黑体" w:hint="default"/>
        </w:rPr>
        <w:t>（除特别注明外，金额单位为人民币元）</w:t>
      </w:r>
    </w:p>
    <w:p>
      <w:pPr>
        <w:spacing w:line="240" w:lineRule="auto" w:before="12"/>
        <w:rPr>
          <w:rFonts w:ascii="黑体" w:hAnsi="黑体" w:cs="黑体" w:eastAsia="黑体" w:hint="default"/>
          <w:sz w:val="27"/>
          <w:szCs w:val="27"/>
        </w:rPr>
      </w:pPr>
    </w:p>
    <w:tbl>
      <w:tblPr>
        <w:tblW w:w="0" w:type="auto"/>
        <w:jc w:val="left"/>
        <w:tblInd w:w="113" w:type="dxa"/>
        <w:tblLayout w:type="fixed"/>
        <w:tblCellMar>
          <w:top w:w="0" w:type="dxa"/>
          <w:left w:w="0" w:type="dxa"/>
          <w:bottom w:w="0" w:type="dxa"/>
          <w:right w:w="0" w:type="dxa"/>
        </w:tblCellMar>
        <w:tblLook w:val="01E0"/>
      </w:tblPr>
      <w:tblGrid>
        <w:gridCol w:w="4620"/>
        <w:gridCol w:w="574"/>
        <w:gridCol w:w="1217"/>
        <w:gridCol w:w="1331"/>
        <w:gridCol w:w="1120"/>
        <w:gridCol w:w="1159"/>
        <w:gridCol w:w="1234"/>
        <w:gridCol w:w="1260"/>
        <w:gridCol w:w="1306"/>
        <w:gridCol w:w="1554"/>
      </w:tblGrid>
      <w:tr>
        <w:trPr>
          <w:trHeight w:val="197" w:hRule="exact"/>
        </w:trPr>
        <w:tc>
          <w:tcPr>
            <w:tcW w:w="4620" w:type="dxa"/>
            <w:vMerge w:val="restart"/>
            <w:tcBorders>
              <w:top w:val="single" w:sz="6" w:space="0" w:color="000000"/>
              <w:left w:val="single" w:sz="6" w:space="0" w:color="000000"/>
              <w:right w:val="single" w:sz="6" w:space="0" w:color="000000"/>
            </w:tcBorders>
          </w:tcPr>
          <w:p>
            <w:pPr>
              <w:pStyle w:val="TableParagraph"/>
              <w:spacing w:line="240" w:lineRule="auto" w:before="5"/>
              <w:ind w:right="0"/>
              <w:jc w:val="left"/>
              <w:rPr>
                <w:rFonts w:ascii="黑体" w:hAnsi="黑体" w:cs="黑体" w:eastAsia="黑体" w:hint="default"/>
                <w:sz w:val="13"/>
                <w:szCs w:val="13"/>
              </w:rPr>
            </w:pPr>
          </w:p>
          <w:p>
            <w:pPr>
              <w:pStyle w:val="TableParagraph"/>
              <w:spacing w:line="240" w:lineRule="auto"/>
              <w:ind w:right="0"/>
              <w:jc w:val="center"/>
              <w:rPr>
                <w:rFonts w:ascii="黑体" w:hAnsi="黑体" w:cs="黑体" w:eastAsia="黑体" w:hint="default"/>
                <w:sz w:val="14"/>
                <w:szCs w:val="14"/>
              </w:rPr>
            </w:pPr>
            <w:r>
              <w:rPr>
                <w:rFonts w:ascii="黑体" w:hAnsi="黑体" w:cs="黑体" w:eastAsia="黑体" w:hint="default"/>
                <w:sz w:val="14"/>
                <w:szCs w:val="14"/>
              </w:rPr>
              <w:t>项目</w:t>
            </w:r>
          </w:p>
        </w:tc>
        <w:tc>
          <w:tcPr>
            <w:tcW w:w="574" w:type="dxa"/>
            <w:vMerge w:val="restart"/>
            <w:tcBorders>
              <w:top w:val="single" w:sz="6" w:space="0" w:color="000000"/>
              <w:left w:val="single" w:sz="6" w:space="0" w:color="000000"/>
              <w:right w:val="single" w:sz="6" w:space="0" w:color="000000"/>
            </w:tcBorders>
          </w:tcPr>
          <w:p>
            <w:pPr>
              <w:pStyle w:val="TableParagraph"/>
              <w:spacing w:line="240" w:lineRule="auto" w:before="5"/>
              <w:ind w:right="0"/>
              <w:jc w:val="left"/>
              <w:rPr>
                <w:rFonts w:ascii="黑体" w:hAnsi="黑体" w:cs="黑体" w:eastAsia="黑体" w:hint="default"/>
                <w:sz w:val="13"/>
                <w:szCs w:val="13"/>
              </w:rPr>
            </w:pPr>
          </w:p>
          <w:p>
            <w:pPr>
              <w:pStyle w:val="TableParagraph"/>
              <w:spacing w:line="240" w:lineRule="auto"/>
              <w:ind w:left="140" w:right="0"/>
              <w:jc w:val="left"/>
              <w:rPr>
                <w:rFonts w:ascii="黑体" w:hAnsi="黑体" w:cs="黑体" w:eastAsia="黑体" w:hint="default"/>
                <w:sz w:val="14"/>
                <w:szCs w:val="14"/>
              </w:rPr>
            </w:pPr>
            <w:r>
              <w:rPr>
                <w:rFonts w:ascii="黑体" w:hAnsi="黑体" w:cs="黑体" w:eastAsia="黑体" w:hint="default"/>
                <w:sz w:val="14"/>
                <w:szCs w:val="14"/>
              </w:rPr>
              <w:t>附注</w:t>
            </w:r>
          </w:p>
        </w:tc>
        <w:tc>
          <w:tcPr>
            <w:tcW w:w="6060" w:type="dxa"/>
            <w:gridSpan w:val="5"/>
            <w:tcBorders>
              <w:top w:val="single" w:sz="6" w:space="0" w:color="000000"/>
              <w:left w:val="single" w:sz="6" w:space="0" w:color="000000"/>
              <w:bottom w:val="single" w:sz="6" w:space="0" w:color="000000"/>
              <w:right w:val="single" w:sz="6" w:space="0" w:color="000000"/>
            </w:tcBorders>
          </w:tcPr>
          <w:p>
            <w:pPr>
              <w:pStyle w:val="TableParagraph"/>
              <w:spacing w:line="161" w:lineRule="exact"/>
              <w:ind w:right="1"/>
              <w:jc w:val="center"/>
              <w:rPr>
                <w:rFonts w:ascii="黑体" w:hAnsi="黑体" w:cs="黑体" w:eastAsia="黑体" w:hint="default"/>
                <w:sz w:val="14"/>
                <w:szCs w:val="14"/>
              </w:rPr>
            </w:pPr>
            <w:r>
              <w:rPr>
                <w:rFonts w:ascii="黑体" w:hAnsi="黑体" w:cs="黑体" w:eastAsia="黑体" w:hint="default"/>
                <w:sz w:val="14"/>
                <w:szCs w:val="14"/>
              </w:rPr>
              <w:t>归属于母公司股东权益</w:t>
            </w:r>
          </w:p>
        </w:tc>
        <w:tc>
          <w:tcPr>
            <w:tcW w:w="1260" w:type="dxa"/>
            <w:vMerge w:val="restart"/>
            <w:tcBorders>
              <w:top w:val="single" w:sz="6" w:space="0" w:color="000000"/>
              <w:left w:val="single" w:sz="6" w:space="0" w:color="000000"/>
              <w:right w:val="single" w:sz="6" w:space="0" w:color="000000"/>
            </w:tcBorders>
          </w:tcPr>
          <w:p>
            <w:pPr>
              <w:pStyle w:val="TableParagraph"/>
              <w:spacing w:line="240" w:lineRule="auto" w:before="5"/>
              <w:ind w:right="0"/>
              <w:jc w:val="left"/>
              <w:rPr>
                <w:rFonts w:ascii="黑体" w:hAnsi="黑体" w:cs="黑体" w:eastAsia="黑体" w:hint="default"/>
                <w:sz w:val="13"/>
                <w:szCs w:val="13"/>
              </w:rPr>
            </w:pPr>
          </w:p>
          <w:p>
            <w:pPr>
              <w:pStyle w:val="TableParagraph"/>
              <w:spacing w:line="240" w:lineRule="auto"/>
              <w:ind w:left="200" w:right="0"/>
              <w:jc w:val="left"/>
              <w:rPr>
                <w:rFonts w:ascii="黑体" w:hAnsi="黑体" w:cs="黑体" w:eastAsia="黑体" w:hint="default"/>
                <w:sz w:val="14"/>
                <w:szCs w:val="14"/>
              </w:rPr>
            </w:pPr>
            <w:r>
              <w:rPr>
                <w:rFonts w:ascii="黑体" w:hAnsi="黑体" w:cs="黑体" w:eastAsia="黑体" w:hint="default"/>
                <w:sz w:val="14"/>
                <w:szCs w:val="14"/>
              </w:rPr>
              <w:t>少数股东权益</w:t>
            </w:r>
          </w:p>
        </w:tc>
        <w:tc>
          <w:tcPr>
            <w:tcW w:w="1306" w:type="dxa"/>
            <w:vMerge w:val="restart"/>
            <w:tcBorders>
              <w:top w:val="single" w:sz="6" w:space="0" w:color="000000"/>
              <w:left w:val="single" w:sz="6" w:space="0" w:color="000000"/>
              <w:right w:val="single" w:sz="6" w:space="0" w:color="000000"/>
            </w:tcBorders>
          </w:tcPr>
          <w:p>
            <w:pPr>
              <w:pStyle w:val="TableParagraph"/>
              <w:spacing w:line="240" w:lineRule="auto" w:before="5"/>
              <w:ind w:right="0"/>
              <w:jc w:val="left"/>
              <w:rPr>
                <w:rFonts w:ascii="黑体" w:hAnsi="黑体" w:cs="黑体" w:eastAsia="黑体" w:hint="default"/>
                <w:sz w:val="13"/>
                <w:szCs w:val="13"/>
              </w:rPr>
            </w:pPr>
          </w:p>
          <w:p>
            <w:pPr>
              <w:pStyle w:val="TableParagraph"/>
              <w:spacing w:line="240" w:lineRule="auto"/>
              <w:ind w:left="223" w:right="0"/>
              <w:jc w:val="left"/>
              <w:rPr>
                <w:rFonts w:ascii="黑体" w:hAnsi="黑体" w:cs="黑体" w:eastAsia="黑体" w:hint="default"/>
                <w:sz w:val="14"/>
                <w:szCs w:val="14"/>
              </w:rPr>
            </w:pPr>
            <w:r>
              <w:rPr>
                <w:rFonts w:ascii="黑体" w:hAnsi="黑体" w:cs="黑体" w:eastAsia="黑体" w:hint="default"/>
                <w:sz w:val="14"/>
                <w:szCs w:val="14"/>
              </w:rPr>
              <w:t>股东权益合计</w:t>
            </w:r>
          </w:p>
        </w:tc>
        <w:tc>
          <w:tcPr>
            <w:tcW w:w="1554" w:type="dxa"/>
            <w:vMerge w:val="restart"/>
            <w:tcBorders>
              <w:top w:val="single" w:sz="6" w:space="0" w:color="000000"/>
              <w:left w:val="single" w:sz="6" w:space="0" w:color="000000"/>
              <w:right w:val="single" w:sz="6" w:space="0" w:color="000000"/>
            </w:tcBorders>
          </w:tcPr>
          <w:p>
            <w:pPr>
              <w:pStyle w:val="TableParagraph"/>
              <w:spacing w:line="240" w:lineRule="auto" w:before="83"/>
              <w:ind w:left="139" w:right="1" w:hanging="138"/>
              <w:jc w:val="left"/>
              <w:rPr>
                <w:rFonts w:ascii="黑体" w:hAnsi="黑体" w:cs="黑体" w:eastAsia="黑体" w:hint="default"/>
                <w:sz w:val="14"/>
                <w:szCs w:val="14"/>
              </w:rPr>
            </w:pPr>
            <w:r>
              <w:rPr>
                <w:rFonts w:ascii="黑体" w:hAnsi="黑体" w:cs="黑体" w:eastAsia="黑体" w:hint="default"/>
                <w:sz w:val="14"/>
                <w:szCs w:val="14"/>
              </w:rPr>
              <w:t>其中：同一控制下收购业</w:t>
            </w:r>
            <w:r>
              <w:rPr>
                <w:rFonts w:ascii="黑体" w:hAnsi="黑体" w:cs="黑体" w:eastAsia="黑体" w:hint="default"/>
                <w:w w:val="100"/>
                <w:sz w:val="14"/>
                <w:szCs w:val="14"/>
              </w:rPr>
              <w:t> </w:t>
            </w:r>
            <w:r>
              <w:rPr>
                <w:rFonts w:ascii="黑体" w:hAnsi="黑体" w:cs="黑体" w:eastAsia="黑体" w:hint="default"/>
                <w:sz w:val="14"/>
                <w:szCs w:val="14"/>
              </w:rPr>
              <w:t>务对股东权益的影响</w:t>
            </w:r>
          </w:p>
        </w:tc>
      </w:tr>
      <w:tr>
        <w:trPr>
          <w:trHeight w:val="408" w:hRule="exact"/>
        </w:trPr>
        <w:tc>
          <w:tcPr>
            <w:tcW w:w="4620" w:type="dxa"/>
            <w:vMerge/>
            <w:tcBorders>
              <w:left w:val="single" w:sz="6" w:space="0" w:color="000000"/>
              <w:bottom w:val="single" w:sz="6" w:space="0" w:color="000000"/>
              <w:right w:val="single" w:sz="6" w:space="0" w:color="000000"/>
            </w:tcBorders>
          </w:tcPr>
          <w:p>
            <w:pPr/>
          </w:p>
        </w:tc>
        <w:tc>
          <w:tcPr>
            <w:tcW w:w="574" w:type="dxa"/>
            <w:vMerge/>
            <w:tcBorders>
              <w:left w:val="single" w:sz="6" w:space="0" w:color="000000"/>
              <w:bottom w:val="single" w:sz="6" w:space="0" w:color="000000"/>
              <w:right w:val="single" w:sz="6" w:space="0" w:color="000000"/>
            </w:tcBorders>
          </w:tcPr>
          <w:p>
            <w:pP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2"/>
              <w:jc w:val="center"/>
              <w:rPr>
                <w:rFonts w:ascii="黑体" w:hAnsi="黑体" w:cs="黑体" w:eastAsia="黑体" w:hint="default"/>
                <w:sz w:val="14"/>
                <w:szCs w:val="14"/>
              </w:rPr>
            </w:pPr>
            <w:r>
              <w:rPr>
                <w:rFonts w:ascii="黑体" w:hAnsi="黑体" w:cs="黑体" w:eastAsia="黑体" w:hint="default"/>
                <w:sz w:val="14"/>
                <w:szCs w:val="14"/>
              </w:rPr>
              <w:t>股本</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left="375" w:right="0"/>
              <w:jc w:val="left"/>
              <w:rPr>
                <w:rFonts w:ascii="黑体" w:hAnsi="黑体" w:cs="黑体" w:eastAsia="黑体" w:hint="default"/>
                <w:sz w:val="14"/>
                <w:szCs w:val="14"/>
              </w:rPr>
            </w:pPr>
            <w:r>
              <w:rPr>
                <w:rFonts w:ascii="黑体" w:hAnsi="黑体" w:cs="黑体" w:eastAsia="黑体" w:hint="default"/>
                <w:sz w:val="14"/>
                <w:szCs w:val="14"/>
              </w:rPr>
              <w:t>资本公积</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left="269" w:right="0"/>
              <w:jc w:val="left"/>
              <w:rPr>
                <w:rFonts w:ascii="黑体" w:hAnsi="黑体" w:cs="黑体" w:eastAsia="黑体" w:hint="default"/>
                <w:sz w:val="14"/>
                <w:szCs w:val="14"/>
              </w:rPr>
            </w:pPr>
            <w:r>
              <w:rPr>
                <w:rFonts w:ascii="黑体" w:hAnsi="黑体" w:cs="黑体" w:eastAsia="黑体" w:hint="default"/>
                <w:sz w:val="14"/>
                <w:szCs w:val="14"/>
              </w:rPr>
              <w:t>盈余公积</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left="220" w:right="0"/>
              <w:jc w:val="left"/>
              <w:rPr>
                <w:rFonts w:ascii="黑体" w:hAnsi="黑体" w:cs="黑体" w:eastAsia="黑体" w:hint="default"/>
                <w:sz w:val="14"/>
                <w:szCs w:val="14"/>
              </w:rPr>
            </w:pPr>
            <w:r>
              <w:rPr>
                <w:rFonts w:ascii="黑体" w:hAnsi="黑体" w:cs="黑体" w:eastAsia="黑体" w:hint="default"/>
                <w:sz w:val="14"/>
                <w:szCs w:val="14"/>
              </w:rPr>
              <w:t>未分配利润</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47"/>
              <w:jc w:val="right"/>
              <w:rPr>
                <w:rFonts w:ascii="黑体" w:hAnsi="黑体" w:cs="黑体" w:eastAsia="黑体" w:hint="default"/>
                <w:sz w:val="14"/>
                <w:szCs w:val="14"/>
              </w:rPr>
            </w:pPr>
            <w:r>
              <w:rPr>
                <w:rFonts w:ascii="黑体" w:hAnsi="黑体" w:cs="黑体" w:eastAsia="黑体" w:hint="default"/>
                <w:spacing w:val="-1"/>
                <w:sz w:val="14"/>
                <w:szCs w:val="14"/>
              </w:rPr>
              <w:t>外币报表折算差额</w:t>
            </w:r>
          </w:p>
        </w:tc>
        <w:tc>
          <w:tcPr>
            <w:tcW w:w="1260" w:type="dxa"/>
            <w:vMerge/>
            <w:tcBorders>
              <w:left w:val="single" w:sz="6" w:space="0" w:color="000000"/>
              <w:bottom w:val="single" w:sz="6" w:space="0" w:color="000000"/>
              <w:right w:val="single" w:sz="6" w:space="0" w:color="000000"/>
            </w:tcBorders>
          </w:tcPr>
          <w:p>
            <w:pPr/>
          </w:p>
        </w:tc>
        <w:tc>
          <w:tcPr>
            <w:tcW w:w="1306" w:type="dxa"/>
            <w:vMerge/>
            <w:tcBorders>
              <w:left w:val="single" w:sz="6" w:space="0" w:color="000000"/>
              <w:bottom w:val="single" w:sz="6" w:space="0" w:color="000000"/>
              <w:right w:val="single" w:sz="6" w:space="0" w:color="000000"/>
            </w:tcBorders>
          </w:tcPr>
          <w:p>
            <w:pPr/>
          </w:p>
        </w:tc>
        <w:tc>
          <w:tcPr>
            <w:tcW w:w="1554" w:type="dxa"/>
            <w:vMerge/>
            <w:tcBorders>
              <w:left w:val="single" w:sz="6" w:space="0" w:color="000000"/>
              <w:bottom w:val="single" w:sz="6" w:space="0" w:color="000000"/>
              <w:right w:val="single" w:sz="6" w:space="0" w:color="000000"/>
            </w:tcBorders>
          </w:tcPr>
          <w:p>
            <w:pP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 w:right="0"/>
              <w:jc w:val="left"/>
              <w:rPr>
                <w:rFonts w:ascii="宋体" w:hAnsi="宋体" w:cs="宋体" w:eastAsia="宋体" w:hint="default"/>
                <w:sz w:val="14"/>
                <w:szCs w:val="14"/>
              </w:rPr>
            </w:pPr>
            <w:r>
              <w:rPr>
                <w:rFonts w:ascii="Arial" w:hAnsi="Arial" w:cs="Arial" w:eastAsia="Arial" w:hint="default"/>
                <w:sz w:val="14"/>
                <w:szCs w:val="14"/>
              </w:rPr>
              <w:t>2007</w:t>
            </w:r>
            <w:r>
              <w:rPr>
                <w:rFonts w:ascii="Arial" w:hAnsi="Arial" w:cs="Arial" w:eastAsia="Arial" w:hint="default"/>
                <w:spacing w:val="-6"/>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Arial" w:hAnsi="Arial" w:cs="Arial" w:eastAsia="Arial" w:hint="default"/>
                <w:sz w:val="14"/>
                <w:szCs w:val="14"/>
              </w:rPr>
              <w:t>12</w:t>
            </w:r>
            <w:r>
              <w:rPr>
                <w:rFonts w:ascii="Arial" w:hAnsi="Arial" w:cs="Arial" w:eastAsia="Arial" w:hint="default"/>
                <w:spacing w:val="-6"/>
                <w:sz w:val="14"/>
                <w:szCs w:val="14"/>
              </w:rPr>
              <w:t> </w:t>
            </w:r>
            <w:r>
              <w:rPr>
                <w:rFonts w:ascii="宋体" w:hAnsi="宋体" w:cs="宋体" w:eastAsia="宋体" w:hint="default"/>
                <w:sz w:val="14"/>
                <w:szCs w:val="14"/>
              </w:rPr>
              <w:t>月</w:t>
            </w:r>
            <w:r>
              <w:rPr>
                <w:rFonts w:ascii="宋体" w:hAnsi="宋体" w:cs="宋体" w:eastAsia="宋体" w:hint="default"/>
                <w:spacing w:val="-37"/>
                <w:sz w:val="14"/>
                <w:szCs w:val="14"/>
              </w:rPr>
              <w:t> </w:t>
            </w:r>
            <w:r>
              <w:rPr>
                <w:rFonts w:ascii="Arial" w:hAnsi="Arial" w:cs="Arial" w:eastAsia="Arial" w:hint="default"/>
                <w:sz w:val="14"/>
                <w:szCs w:val="14"/>
              </w:rPr>
              <w:t>31</w:t>
            </w:r>
            <w:r>
              <w:rPr>
                <w:rFonts w:ascii="Arial" w:hAnsi="Arial" w:cs="Arial" w:eastAsia="Arial" w:hint="default"/>
                <w:spacing w:val="-6"/>
                <w:sz w:val="14"/>
                <w:szCs w:val="14"/>
              </w:rPr>
              <w:t> </w:t>
            </w:r>
            <w:r>
              <w:rPr>
                <w:rFonts w:ascii="宋体" w:hAnsi="宋体" w:cs="宋体" w:eastAsia="宋体" w:hint="default"/>
                <w:sz w:val="14"/>
                <w:szCs w:val="14"/>
              </w:rPr>
              <w:t>日年末余额</w:t>
            </w:r>
          </w:p>
        </w:tc>
        <w:tc>
          <w:tcPr>
            <w:tcW w:w="574" w:type="dxa"/>
            <w:tcBorders>
              <w:top w:val="single" w:sz="6" w:space="0" w:color="000000"/>
              <w:left w:val="single" w:sz="6" w:space="0" w:color="000000"/>
              <w:bottom w:val="single" w:sz="6" w:space="0" w:color="000000"/>
              <w:right w:val="single" w:sz="6" w:space="0" w:color="000000"/>
            </w:tcBorders>
          </w:tcPr>
          <w:p>
            <w:pP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spacing w:val="-1"/>
                <w:sz w:val="14"/>
              </w:rPr>
              <w:t>21,196,596,395</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86" w:right="0"/>
              <w:jc w:val="left"/>
              <w:rPr>
                <w:rFonts w:ascii="Arial" w:hAnsi="Arial" w:cs="Arial" w:eastAsia="Arial" w:hint="default"/>
                <w:sz w:val="14"/>
                <w:szCs w:val="14"/>
              </w:rPr>
            </w:pPr>
            <w:r>
              <w:rPr>
                <w:rFonts w:ascii="Arial"/>
                <w:sz w:val="14"/>
              </w:rPr>
              <w:t>47,894,022,195</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spacing w:val="-1"/>
                <w:sz w:val="14"/>
              </w:rPr>
              <w:t>454,768,781</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8"/>
              <w:jc w:val="right"/>
              <w:rPr>
                <w:rFonts w:ascii="Arial" w:hAnsi="Arial" w:cs="Arial" w:eastAsia="Arial" w:hint="default"/>
                <w:sz w:val="14"/>
                <w:szCs w:val="14"/>
              </w:rPr>
            </w:pPr>
            <w:r>
              <w:rPr>
                <w:rFonts w:ascii="Arial"/>
                <w:spacing w:val="-1"/>
                <w:sz w:val="14"/>
              </w:rPr>
              <w:t>14,407,872,927</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Arial" w:hAnsi="Arial" w:cs="Arial" w:eastAsia="Arial" w:hint="default"/>
                <w:sz w:val="14"/>
                <w:szCs w:val="14"/>
              </w:rPr>
            </w:pPr>
            <w:r>
              <w:rPr>
                <w:rFonts w:ascii="Arial"/>
                <w:spacing w:val="-1"/>
                <w:sz w:val="14"/>
              </w:rPr>
              <w:t>(9,866,662)</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00" w:right="0"/>
              <w:jc w:val="left"/>
              <w:rPr>
                <w:rFonts w:ascii="Arial" w:hAnsi="Arial" w:cs="Arial" w:eastAsia="Arial" w:hint="default"/>
                <w:sz w:val="14"/>
                <w:szCs w:val="14"/>
              </w:rPr>
            </w:pPr>
            <w:r>
              <w:rPr>
                <w:rFonts w:ascii="Arial"/>
                <w:sz w:val="14"/>
              </w:rPr>
              <w:t>96,870,738,229</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1"/>
              <w:jc w:val="right"/>
              <w:rPr>
                <w:rFonts w:ascii="Arial" w:hAnsi="Arial" w:cs="Arial" w:eastAsia="Arial" w:hint="default"/>
                <w:sz w:val="14"/>
                <w:szCs w:val="14"/>
              </w:rPr>
            </w:pPr>
            <w:r>
              <w:rPr>
                <w:rFonts w:ascii="Arial"/>
                <w:spacing w:val="-1"/>
                <w:sz w:val="14"/>
              </w:rPr>
              <w:t>180,814,131,865</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spacing w:val="-1"/>
                <w:sz w:val="14"/>
              </w:rPr>
              <w:t>87,420,996,941</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联通运营公司同一控制下收购目标业务转入的净资产</w:t>
            </w:r>
          </w:p>
        </w:tc>
        <w:tc>
          <w:tcPr>
            <w:tcW w:w="574" w:type="dxa"/>
            <w:tcBorders>
              <w:top w:val="single" w:sz="6" w:space="0" w:color="000000"/>
              <w:left w:val="single" w:sz="6" w:space="0" w:color="000000"/>
              <w:bottom w:val="single" w:sz="6" w:space="0" w:color="000000"/>
              <w:right w:val="single" w:sz="6" w:space="0" w:color="000000"/>
            </w:tcBorders>
          </w:tcPr>
          <w:p>
            <w:pP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64" w:right="0"/>
              <w:jc w:val="left"/>
              <w:rPr>
                <w:rFonts w:ascii="Arial" w:hAnsi="Arial" w:cs="Arial" w:eastAsia="Arial" w:hint="default"/>
                <w:sz w:val="14"/>
                <w:szCs w:val="14"/>
              </w:rPr>
            </w:pPr>
            <w:r>
              <w:rPr>
                <w:rFonts w:ascii="Arial"/>
                <w:sz w:val="14"/>
              </w:rPr>
              <w:t>1,925,304,730</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0"/>
              <w:jc w:val="right"/>
              <w:rPr>
                <w:rFonts w:ascii="Arial" w:hAnsi="Arial" w:cs="Arial" w:eastAsia="Arial" w:hint="default"/>
                <w:sz w:val="14"/>
                <w:szCs w:val="14"/>
              </w:rPr>
            </w:pPr>
            <w:r>
              <w:rPr>
                <w:rFonts w:ascii="Arial"/>
                <w:spacing w:val="-1"/>
                <w:sz w:val="14"/>
              </w:rPr>
              <w:t>(2,028,064,052)</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2"/>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1"/>
              <w:jc w:val="right"/>
              <w:rPr>
                <w:rFonts w:ascii="Arial" w:hAnsi="Arial" w:cs="Arial" w:eastAsia="Arial" w:hint="default"/>
                <w:sz w:val="14"/>
                <w:szCs w:val="14"/>
              </w:rPr>
            </w:pPr>
            <w:r>
              <w:rPr>
                <w:rFonts w:ascii="Arial"/>
                <w:spacing w:val="-1"/>
                <w:sz w:val="14"/>
              </w:rPr>
              <w:t>(199,822,641)</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4"/>
              <w:jc w:val="right"/>
              <w:rPr>
                <w:rFonts w:ascii="Arial" w:hAnsi="Arial" w:cs="Arial" w:eastAsia="Arial" w:hint="default"/>
                <w:sz w:val="14"/>
                <w:szCs w:val="14"/>
              </w:rPr>
            </w:pPr>
            <w:r>
              <w:rPr>
                <w:rFonts w:ascii="Arial"/>
                <w:spacing w:val="-1"/>
                <w:sz w:val="14"/>
              </w:rPr>
              <w:t>(302,581,963)</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
              <w:jc w:val="right"/>
              <w:rPr>
                <w:rFonts w:ascii="Arial" w:hAnsi="Arial" w:cs="Arial" w:eastAsia="Arial" w:hint="default"/>
                <w:sz w:val="14"/>
                <w:szCs w:val="14"/>
              </w:rPr>
            </w:pPr>
            <w:r>
              <w:rPr>
                <w:rFonts w:ascii="Arial"/>
                <w:spacing w:val="-1"/>
                <w:sz w:val="14"/>
              </w:rPr>
              <w:t>(302,581,963)</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 w:right="0"/>
              <w:jc w:val="left"/>
              <w:rPr>
                <w:rFonts w:ascii="宋体" w:hAnsi="宋体" w:cs="宋体" w:eastAsia="宋体" w:hint="default"/>
                <w:sz w:val="14"/>
                <w:szCs w:val="14"/>
              </w:rPr>
            </w:pPr>
            <w:r>
              <w:rPr>
                <w:rFonts w:ascii="Arial" w:hAnsi="Arial" w:cs="Arial" w:eastAsia="Arial" w:hint="default"/>
                <w:sz w:val="14"/>
                <w:szCs w:val="14"/>
              </w:rPr>
              <w:t>2008</w:t>
            </w:r>
            <w:r>
              <w:rPr>
                <w:rFonts w:ascii="Arial" w:hAnsi="Arial" w:cs="Arial" w:eastAsia="Arial" w:hint="default"/>
                <w:spacing w:val="-6"/>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Arial" w:hAnsi="Arial" w:cs="Arial" w:eastAsia="Arial" w:hint="default"/>
                <w:sz w:val="14"/>
                <w:szCs w:val="14"/>
              </w:rPr>
              <w:t>1</w:t>
            </w:r>
            <w:r>
              <w:rPr>
                <w:rFonts w:ascii="Arial" w:hAnsi="Arial" w:cs="Arial" w:eastAsia="Arial" w:hint="default"/>
                <w:spacing w:val="-6"/>
                <w:sz w:val="14"/>
                <w:szCs w:val="14"/>
              </w:rPr>
              <w:t> </w:t>
            </w:r>
            <w:r>
              <w:rPr>
                <w:rFonts w:ascii="宋体" w:hAnsi="宋体" w:cs="宋体" w:eastAsia="宋体" w:hint="default"/>
                <w:sz w:val="14"/>
                <w:szCs w:val="14"/>
              </w:rPr>
              <w:t>月</w:t>
            </w:r>
            <w:r>
              <w:rPr>
                <w:rFonts w:ascii="宋体" w:hAnsi="宋体" w:cs="宋体" w:eastAsia="宋体" w:hint="default"/>
                <w:spacing w:val="-37"/>
                <w:sz w:val="14"/>
                <w:szCs w:val="14"/>
              </w:rPr>
              <w:t> </w:t>
            </w:r>
            <w:r>
              <w:rPr>
                <w:rFonts w:ascii="Arial" w:hAnsi="Arial" w:cs="Arial" w:eastAsia="Arial" w:hint="default"/>
                <w:sz w:val="14"/>
                <w:szCs w:val="14"/>
              </w:rPr>
              <w:t>1</w:t>
            </w:r>
            <w:r>
              <w:rPr>
                <w:rFonts w:ascii="Arial" w:hAnsi="Arial" w:cs="Arial" w:eastAsia="Arial" w:hint="default"/>
                <w:spacing w:val="-6"/>
                <w:sz w:val="14"/>
                <w:szCs w:val="14"/>
              </w:rPr>
              <w:t> </w:t>
            </w:r>
            <w:r>
              <w:rPr>
                <w:rFonts w:ascii="宋体" w:hAnsi="宋体" w:cs="宋体" w:eastAsia="宋体" w:hint="default"/>
                <w:sz w:val="14"/>
                <w:szCs w:val="14"/>
              </w:rPr>
              <w:t>日年初余额（经重列）</w:t>
            </w:r>
          </w:p>
        </w:tc>
        <w:tc>
          <w:tcPr>
            <w:tcW w:w="574" w:type="dxa"/>
            <w:tcBorders>
              <w:top w:val="single" w:sz="6" w:space="0" w:color="000000"/>
              <w:left w:val="single" w:sz="6" w:space="0" w:color="000000"/>
              <w:bottom w:val="single" w:sz="6" w:space="0" w:color="000000"/>
              <w:right w:val="single" w:sz="6" w:space="0" w:color="000000"/>
            </w:tcBorders>
          </w:tcPr>
          <w:p>
            <w:pP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spacing w:val="-1"/>
                <w:sz w:val="14"/>
              </w:rPr>
              <w:t>21,196,596,395</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86" w:right="0"/>
              <w:jc w:val="left"/>
              <w:rPr>
                <w:rFonts w:ascii="Arial" w:hAnsi="Arial" w:cs="Arial" w:eastAsia="Arial" w:hint="default"/>
                <w:sz w:val="14"/>
                <w:szCs w:val="14"/>
              </w:rPr>
            </w:pPr>
            <w:r>
              <w:rPr>
                <w:rFonts w:ascii="Arial"/>
                <w:sz w:val="14"/>
              </w:rPr>
              <w:t>49,819,326,925</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spacing w:val="-1"/>
                <w:sz w:val="14"/>
              </w:rPr>
              <w:t>454,768,781</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8"/>
              <w:jc w:val="right"/>
              <w:rPr>
                <w:rFonts w:ascii="Arial" w:hAnsi="Arial" w:cs="Arial" w:eastAsia="Arial" w:hint="default"/>
                <w:sz w:val="14"/>
                <w:szCs w:val="14"/>
              </w:rPr>
            </w:pPr>
            <w:r>
              <w:rPr>
                <w:rFonts w:ascii="Arial"/>
                <w:spacing w:val="-1"/>
                <w:sz w:val="14"/>
              </w:rPr>
              <w:t>12,379,808,875</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Arial" w:hAnsi="Arial" w:cs="Arial" w:eastAsia="Arial" w:hint="default"/>
                <w:sz w:val="14"/>
                <w:szCs w:val="14"/>
              </w:rPr>
            </w:pPr>
            <w:r>
              <w:rPr>
                <w:rFonts w:ascii="Arial"/>
                <w:spacing w:val="-1"/>
                <w:sz w:val="14"/>
              </w:rPr>
              <w:t>(9,866,662)</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00" w:right="0"/>
              <w:jc w:val="left"/>
              <w:rPr>
                <w:rFonts w:ascii="Arial" w:hAnsi="Arial" w:cs="Arial" w:eastAsia="Arial" w:hint="default"/>
                <w:sz w:val="14"/>
                <w:szCs w:val="14"/>
              </w:rPr>
            </w:pPr>
            <w:r>
              <w:rPr>
                <w:rFonts w:ascii="Arial"/>
                <w:sz w:val="14"/>
              </w:rPr>
              <w:t>96,670,915,588</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1"/>
              <w:jc w:val="right"/>
              <w:rPr>
                <w:rFonts w:ascii="Arial" w:hAnsi="Arial" w:cs="Arial" w:eastAsia="Arial" w:hint="default"/>
                <w:sz w:val="14"/>
                <w:szCs w:val="14"/>
              </w:rPr>
            </w:pPr>
            <w:r>
              <w:rPr>
                <w:rFonts w:ascii="Arial"/>
                <w:spacing w:val="-1"/>
                <w:sz w:val="14"/>
              </w:rPr>
              <w:t>180,511,549,902</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spacing w:val="-1"/>
                <w:sz w:val="14"/>
              </w:rPr>
              <w:t>87,118,414,978</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净利润</w:t>
            </w:r>
          </w:p>
        </w:tc>
        <w:tc>
          <w:tcPr>
            <w:tcW w:w="574" w:type="dxa"/>
            <w:tcBorders>
              <w:top w:val="single" w:sz="6" w:space="0" w:color="000000"/>
              <w:left w:val="single" w:sz="6" w:space="0" w:color="000000"/>
              <w:bottom w:val="single" w:sz="6" w:space="0" w:color="000000"/>
              <w:right w:val="single" w:sz="6" w:space="0" w:color="000000"/>
            </w:tcBorders>
          </w:tcPr>
          <w:p>
            <w:pP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8"/>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7"/>
              <w:jc w:val="right"/>
              <w:rPr>
                <w:rFonts w:ascii="Arial" w:hAnsi="Arial" w:cs="Arial" w:eastAsia="Arial" w:hint="default"/>
                <w:sz w:val="14"/>
                <w:szCs w:val="14"/>
              </w:rPr>
            </w:pPr>
            <w:r>
              <w:rPr>
                <w:rFonts w:ascii="Arial"/>
                <w:spacing w:val="-1"/>
                <w:sz w:val="14"/>
              </w:rPr>
              <w:t>20,235,902,556</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2"/>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00" w:right="0"/>
              <w:jc w:val="left"/>
              <w:rPr>
                <w:rFonts w:ascii="Arial" w:hAnsi="Arial" w:cs="Arial" w:eastAsia="Arial" w:hint="default"/>
                <w:sz w:val="14"/>
                <w:szCs w:val="14"/>
              </w:rPr>
            </w:pPr>
            <w:r>
              <w:rPr>
                <w:rFonts w:ascii="Arial"/>
                <w:sz w:val="14"/>
              </w:rPr>
              <w:t>14,963,636,702</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0"/>
              <w:jc w:val="right"/>
              <w:rPr>
                <w:rFonts w:ascii="Arial" w:hAnsi="Arial" w:cs="Arial" w:eastAsia="Arial" w:hint="default"/>
                <w:sz w:val="14"/>
                <w:szCs w:val="14"/>
              </w:rPr>
            </w:pPr>
            <w:r>
              <w:rPr>
                <w:rFonts w:ascii="Arial"/>
                <w:spacing w:val="-1"/>
                <w:sz w:val="14"/>
              </w:rPr>
              <w:t>35,199,539,258</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spacing w:val="-1"/>
                <w:sz w:val="14"/>
              </w:rPr>
              <w:t>9,452,367,276</w:t>
            </w:r>
          </w:p>
        </w:tc>
      </w:tr>
      <w:tr>
        <w:trPr>
          <w:trHeight w:val="196"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其他综合收益</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(48)</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2"/>
              <w:jc w:val="right"/>
              <w:rPr>
                <w:rFonts w:ascii="Arial" w:hAnsi="Arial" w:cs="Arial" w:eastAsia="Arial" w:hint="default"/>
                <w:sz w:val="14"/>
                <w:szCs w:val="14"/>
              </w:rPr>
            </w:pPr>
            <w:r>
              <w:rPr>
                <w:rFonts w:ascii="Arial"/>
                <w:spacing w:val="-1"/>
                <w:sz w:val="14"/>
              </w:rPr>
              <w:t>(47,991,235)</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7"/>
              <w:jc w:val="right"/>
              <w:rPr>
                <w:rFonts w:ascii="Arial" w:hAnsi="Arial" w:cs="Arial" w:eastAsia="Arial" w:hint="default"/>
                <w:sz w:val="14"/>
                <w:szCs w:val="14"/>
              </w:rPr>
            </w:pPr>
            <w:r>
              <w:rPr>
                <w:rFonts w:ascii="Arial"/>
                <w:w w:val="100"/>
                <w:sz w:val="14"/>
              </w:rPr>
              <w:t>-</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Arial" w:hAnsi="Arial" w:cs="Arial" w:eastAsia="Arial" w:hint="default"/>
                <w:sz w:val="14"/>
                <w:szCs w:val="14"/>
              </w:rPr>
            </w:pPr>
            <w:r>
              <w:rPr>
                <w:rFonts w:ascii="Arial"/>
                <w:spacing w:val="-1"/>
                <w:sz w:val="14"/>
              </w:rPr>
              <w:t>(9,592,018)</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1"/>
              <w:jc w:val="right"/>
              <w:rPr>
                <w:rFonts w:ascii="Arial" w:hAnsi="Arial" w:cs="Arial" w:eastAsia="Arial" w:hint="default"/>
                <w:sz w:val="14"/>
                <w:szCs w:val="14"/>
              </w:rPr>
            </w:pPr>
            <w:r>
              <w:rPr>
                <w:rFonts w:ascii="Arial"/>
                <w:spacing w:val="-1"/>
                <w:sz w:val="14"/>
              </w:rPr>
              <w:t>(113,841,787)</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4"/>
              <w:jc w:val="right"/>
              <w:rPr>
                <w:rFonts w:ascii="Arial" w:hAnsi="Arial" w:cs="Arial" w:eastAsia="Arial" w:hint="default"/>
                <w:sz w:val="14"/>
                <w:szCs w:val="14"/>
              </w:rPr>
            </w:pPr>
            <w:r>
              <w:rPr>
                <w:rFonts w:ascii="Arial"/>
                <w:spacing w:val="-1"/>
                <w:sz w:val="14"/>
              </w:rPr>
              <w:t>(171,425,040)</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
              <w:jc w:val="right"/>
              <w:rPr>
                <w:rFonts w:ascii="Arial" w:hAnsi="Arial" w:cs="Arial" w:eastAsia="Arial" w:hint="default"/>
                <w:sz w:val="14"/>
                <w:szCs w:val="14"/>
              </w:rPr>
            </w:pPr>
            <w:r>
              <w:rPr>
                <w:rFonts w:ascii="Arial"/>
                <w:spacing w:val="-1"/>
                <w:sz w:val="14"/>
              </w:rPr>
              <w:t>(144,766,153)</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盈余公积弥补亏损</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(32)</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6"/>
              <w:jc w:val="right"/>
              <w:rPr>
                <w:rFonts w:ascii="Arial" w:hAnsi="Arial" w:cs="Arial" w:eastAsia="Arial" w:hint="default"/>
                <w:sz w:val="14"/>
                <w:szCs w:val="14"/>
              </w:rPr>
            </w:pPr>
            <w:r>
              <w:rPr>
                <w:rFonts w:ascii="Arial"/>
                <w:spacing w:val="-1"/>
                <w:sz w:val="14"/>
              </w:rPr>
              <w:t>(213,070,647)</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7"/>
              <w:jc w:val="right"/>
              <w:rPr>
                <w:rFonts w:ascii="Arial" w:hAnsi="Arial" w:cs="Arial" w:eastAsia="Arial" w:hint="default"/>
                <w:sz w:val="14"/>
                <w:szCs w:val="14"/>
              </w:rPr>
            </w:pPr>
            <w:r>
              <w:rPr>
                <w:rFonts w:ascii="Arial"/>
                <w:spacing w:val="-1"/>
                <w:sz w:val="14"/>
              </w:rPr>
              <w:t>213,070,647</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2"/>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67"/>
              <w:jc w:val="right"/>
              <w:rPr>
                <w:rFonts w:ascii="Arial" w:hAnsi="Arial" w:cs="Arial" w:eastAsia="Arial" w:hint="default"/>
                <w:sz w:val="14"/>
                <w:szCs w:val="14"/>
              </w:rPr>
            </w:pPr>
            <w:r>
              <w:rPr>
                <w:rFonts w:ascii="Arial"/>
                <w:w w:val="100"/>
                <w:sz w:val="14"/>
              </w:rPr>
              <w:t>-</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1"/>
              <w:jc w:val="right"/>
              <w:rPr>
                <w:rFonts w:ascii="Arial" w:hAnsi="Arial" w:cs="Arial" w:eastAsia="Arial" w:hint="default"/>
                <w:sz w:val="14"/>
                <w:szCs w:val="14"/>
              </w:rPr>
            </w:pPr>
            <w:r>
              <w:rPr>
                <w:rFonts w:ascii="Arial"/>
                <w:w w:val="100"/>
                <w:sz w:val="14"/>
              </w:rPr>
              <w:t>-</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5"/>
              <w:jc w:val="right"/>
              <w:rPr>
                <w:rFonts w:ascii="Arial" w:hAnsi="Arial" w:cs="Arial" w:eastAsia="Arial" w:hint="default"/>
                <w:sz w:val="14"/>
                <w:szCs w:val="14"/>
              </w:rPr>
            </w:pPr>
            <w:r>
              <w:rPr>
                <w:rFonts w:ascii="Arial"/>
                <w:w w:val="100"/>
                <w:sz w:val="14"/>
              </w:rPr>
              <w:t>-</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因所持子公司股份变化对资本公积的影响</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(31)</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1"/>
              <w:jc w:val="right"/>
              <w:rPr>
                <w:rFonts w:ascii="Arial" w:hAnsi="Arial" w:cs="Arial" w:eastAsia="Arial" w:hint="default"/>
                <w:sz w:val="14"/>
                <w:szCs w:val="14"/>
              </w:rPr>
            </w:pPr>
            <w:r>
              <w:rPr>
                <w:rFonts w:ascii="Arial"/>
                <w:spacing w:val="-1"/>
                <w:sz w:val="14"/>
              </w:rPr>
              <w:t>(23,740,846,698)</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0"/>
              <w:jc w:val="right"/>
              <w:rPr>
                <w:rFonts w:ascii="Arial" w:hAnsi="Arial" w:cs="Arial" w:eastAsia="Arial" w:hint="default"/>
                <w:sz w:val="14"/>
                <w:szCs w:val="14"/>
              </w:rPr>
            </w:pPr>
            <w:r>
              <w:rPr>
                <w:rFonts w:ascii="Arial"/>
                <w:spacing w:val="-1"/>
                <w:sz w:val="14"/>
              </w:rPr>
              <w:t>(7,145,802,327)</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2"/>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01" w:right="0"/>
              <w:jc w:val="left"/>
              <w:rPr>
                <w:rFonts w:ascii="Arial" w:hAnsi="Arial" w:cs="Arial" w:eastAsia="Arial" w:hint="default"/>
                <w:sz w:val="14"/>
                <w:szCs w:val="14"/>
              </w:rPr>
            </w:pPr>
            <w:r>
              <w:rPr>
                <w:rFonts w:ascii="Arial"/>
                <w:sz w:val="14"/>
              </w:rPr>
              <w:t>30,886,649,025</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2"/>
              <w:jc w:val="right"/>
              <w:rPr>
                <w:rFonts w:ascii="Arial" w:hAnsi="Arial" w:cs="Arial" w:eastAsia="Arial" w:hint="default"/>
                <w:sz w:val="14"/>
                <w:szCs w:val="14"/>
              </w:rPr>
            </w:pPr>
            <w:r>
              <w:rPr>
                <w:rFonts w:ascii="Arial"/>
                <w:w w:val="100"/>
                <w:sz w:val="14"/>
              </w:rPr>
              <w:t>-</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w w:val="100"/>
                <w:sz w:val="14"/>
              </w:rPr>
              <w:t>-</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确认子公司员工行使股份期权所增加的子公司权益影响</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(31)</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spacing w:val="-1"/>
                <w:sz w:val="14"/>
              </w:rPr>
              <w:t>80,991,638</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7"/>
              <w:jc w:val="right"/>
              <w:rPr>
                <w:rFonts w:ascii="Arial" w:hAnsi="Arial" w:cs="Arial" w:eastAsia="Arial" w:hint="default"/>
                <w:sz w:val="14"/>
                <w:szCs w:val="14"/>
              </w:rPr>
            </w:pPr>
            <w:r>
              <w:rPr>
                <w:rFonts w:ascii="Arial"/>
                <w:w w:val="100"/>
                <w:sz w:val="14"/>
              </w:rPr>
              <w:t>-</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2"/>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67"/>
              <w:jc w:val="right"/>
              <w:rPr>
                <w:rFonts w:ascii="Arial" w:hAnsi="Arial" w:cs="Arial" w:eastAsia="Arial" w:hint="default"/>
                <w:sz w:val="14"/>
                <w:szCs w:val="14"/>
              </w:rPr>
            </w:pPr>
            <w:r>
              <w:rPr>
                <w:rFonts w:ascii="Arial"/>
                <w:spacing w:val="-1"/>
                <w:sz w:val="14"/>
              </w:rPr>
              <w:t>368,994,604</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1"/>
              <w:jc w:val="right"/>
              <w:rPr>
                <w:rFonts w:ascii="Arial" w:hAnsi="Arial" w:cs="Arial" w:eastAsia="Arial" w:hint="default"/>
                <w:sz w:val="14"/>
                <w:szCs w:val="14"/>
              </w:rPr>
            </w:pPr>
            <w:r>
              <w:rPr>
                <w:rFonts w:ascii="Arial"/>
                <w:spacing w:val="-1"/>
                <w:sz w:val="14"/>
              </w:rPr>
              <w:t>449,986,242</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spacing w:val="-1"/>
                <w:sz w:val="14"/>
              </w:rPr>
              <w:t>234,387,889</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与股份支付相关的员工薪酬所确认金额的影响</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(46)</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spacing w:val="-1"/>
                <w:sz w:val="14"/>
              </w:rPr>
              <w:t>47,964,390</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7"/>
              <w:jc w:val="right"/>
              <w:rPr>
                <w:rFonts w:ascii="Arial" w:hAnsi="Arial" w:cs="Arial" w:eastAsia="Arial" w:hint="default"/>
                <w:sz w:val="14"/>
                <w:szCs w:val="14"/>
              </w:rPr>
            </w:pPr>
            <w:r>
              <w:rPr>
                <w:rFonts w:ascii="Arial"/>
                <w:w w:val="100"/>
                <w:sz w:val="14"/>
              </w:rPr>
              <w:t>-</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2"/>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67"/>
              <w:jc w:val="right"/>
              <w:rPr>
                <w:rFonts w:ascii="Arial" w:hAnsi="Arial" w:cs="Arial" w:eastAsia="Arial" w:hint="default"/>
                <w:sz w:val="14"/>
                <w:szCs w:val="14"/>
              </w:rPr>
            </w:pPr>
            <w:r>
              <w:rPr>
                <w:rFonts w:ascii="Arial"/>
                <w:spacing w:val="-1"/>
                <w:sz w:val="14"/>
              </w:rPr>
              <w:t>49,277,248</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1"/>
              <w:jc w:val="right"/>
              <w:rPr>
                <w:rFonts w:ascii="Arial" w:hAnsi="Arial" w:cs="Arial" w:eastAsia="Arial" w:hint="default"/>
                <w:sz w:val="14"/>
                <w:szCs w:val="14"/>
              </w:rPr>
            </w:pPr>
            <w:r>
              <w:rPr>
                <w:rFonts w:ascii="Arial"/>
                <w:spacing w:val="-1"/>
                <w:sz w:val="14"/>
              </w:rPr>
              <w:t>97,241,638</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spacing w:val="-1"/>
                <w:sz w:val="14"/>
              </w:rPr>
              <w:t>23,501,807</w:t>
            </w:r>
          </w:p>
        </w:tc>
      </w:tr>
      <w:tr>
        <w:trPr>
          <w:trHeight w:val="196"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转出与被出售子公司相关的少数股东权益</w:t>
            </w:r>
          </w:p>
        </w:tc>
        <w:tc>
          <w:tcPr>
            <w:tcW w:w="574" w:type="dxa"/>
            <w:tcBorders>
              <w:top w:val="single" w:sz="6" w:space="0" w:color="000000"/>
              <w:left w:val="single" w:sz="6" w:space="0" w:color="000000"/>
              <w:bottom w:val="single" w:sz="6" w:space="0" w:color="000000"/>
              <w:right w:val="single" w:sz="6" w:space="0" w:color="000000"/>
            </w:tcBorders>
          </w:tcPr>
          <w:p>
            <w:pP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8"/>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7"/>
              <w:jc w:val="right"/>
              <w:rPr>
                <w:rFonts w:ascii="Arial" w:hAnsi="Arial" w:cs="Arial" w:eastAsia="Arial" w:hint="default"/>
                <w:sz w:val="14"/>
                <w:szCs w:val="14"/>
              </w:rPr>
            </w:pPr>
            <w:r>
              <w:rPr>
                <w:rFonts w:ascii="Arial"/>
                <w:w w:val="100"/>
                <w:sz w:val="14"/>
              </w:rPr>
              <w:t>-</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2"/>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1"/>
              <w:jc w:val="right"/>
              <w:rPr>
                <w:rFonts w:ascii="Arial" w:hAnsi="Arial" w:cs="Arial" w:eastAsia="Arial" w:hint="default"/>
                <w:sz w:val="14"/>
                <w:szCs w:val="14"/>
              </w:rPr>
            </w:pPr>
            <w:r>
              <w:rPr>
                <w:rFonts w:ascii="Arial"/>
                <w:spacing w:val="-1"/>
                <w:sz w:val="14"/>
              </w:rPr>
              <w:t>(6,230,432)</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5"/>
              <w:jc w:val="right"/>
              <w:rPr>
                <w:rFonts w:ascii="Arial" w:hAnsi="Arial" w:cs="Arial" w:eastAsia="Arial" w:hint="default"/>
                <w:sz w:val="14"/>
                <w:szCs w:val="14"/>
              </w:rPr>
            </w:pPr>
            <w:r>
              <w:rPr>
                <w:rFonts w:ascii="Arial"/>
                <w:spacing w:val="-1"/>
                <w:sz w:val="14"/>
              </w:rPr>
              <w:t>(6,230,432)</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
              <w:jc w:val="right"/>
              <w:rPr>
                <w:rFonts w:ascii="Arial" w:hAnsi="Arial" w:cs="Arial" w:eastAsia="Arial" w:hint="default"/>
                <w:sz w:val="14"/>
                <w:szCs w:val="14"/>
              </w:rPr>
            </w:pPr>
            <w:r>
              <w:rPr>
                <w:rFonts w:ascii="Arial"/>
                <w:spacing w:val="-1"/>
                <w:sz w:val="14"/>
              </w:rPr>
              <w:t>(845,000)</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子公司企业改制以前年度未分配利润转为资本公积</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(31)</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spacing w:val="-1"/>
                <w:sz w:val="14"/>
              </w:rPr>
              <w:t>286,641,018</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1"/>
              <w:jc w:val="right"/>
              <w:rPr>
                <w:rFonts w:ascii="Arial" w:hAnsi="Arial" w:cs="Arial" w:eastAsia="Arial" w:hint="default"/>
                <w:sz w:val="14"/>
                <w:szCs w:val="14"/>
              </w:rPr>
            </w:pPr>
            <w:r>
              <w:rPr>
                <w:rFonts w:ascii="Arial"/>
                <w:spacing w:val="-1"/>
                <w:sz w:val="14"/>
              </w:rPr>
              <w:t>(286,641,018)</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2"/>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68"/>
              <w:jc w:val="right"/>
              <w:rPr>
                <w:rFonts w:ascii="Arial" w:hAnsi="Arial" w:cs="Arial" w:eastAsia="Arial" w:hint="default"/>
                <w:sz w:val="14"/>
                <w:szCs w:val="14"/>
              </w:rPr>
            </w:pPr>
            <w:r>
              <w:rPr>
                <w:rFonts w:ascii="Arial"/>
                <w:w w:val="100"/>
                <w:sz w:val="14"/>
              </w:rPr>
              <w:t>-</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1"/>
              <w:jc w:val="right"/>
              <w:rPr>
                <w:rFonts w:ascii="Arial" w:hAnsi="Arial" w:cs="Arial" w:eastAsia="Arial" w:hint="default"/>
                <w:sz w:val="14"/>
                <w:szCs w:val="14"/>
              </w:rPr>
            </w:pPr>
            <w:r>
              <w:rPr>
                <w:rFonts w:ascii="Arial"/>
                <w:w w:val="100"/>
                <w:sz w:val="14"/>
              </w:rPr>
              <w:t>-</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w w:val="100"/>
                <w:sz w:val="14"/>
              </w:rPr>
              <w:t>-</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子公司企业改制评估增值的影响</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(31)</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spacing w:val="-1"/>
                <w:sz w:val="14"/>
              </w:rPr>
              <w:t>29,996,252</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7"/>
              <w:jc w:val="right"/>
              <w:rPr>
                <w:rFonts w:ascii="Arial" w:hAnsi="Arial" w:cs="Arial" w:eastAsia="Arial" w:hint="default"/>
                <w:sz w:val="14"/>
                <w:szCs w:val="14"/>
              </w:rPr>
            </w:pPr>
            <w:r>
              <w:rPr>
                <w:rFonts w:ascii="Arial"/>
                <w:w w:val="100"/>
                <w:sz w:val="14"/>
              </w:rPr>
              <w:t>-</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2"/>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67"/>
              <w:jc w:val="right"/>
              <w:rPr>
                <w:rFonts w:ascii="Arial" w:hAnsi="Arial" w:cs="Arial" w:eastAsia="Arial" w:hint="default"/>
                <w:sz w:val="14"/>
                <w:szCs w:val="14"/>
              </w:rPr>
            </w:pPr>
            <w:r>
              <w:rPr>
                <w:rFonts w:ascii="Arial"/>
                <w:spacing w:val="-1"/>
                <w:sz w:val="14"/>
              </w:rPr>
              <w:t>59,302,462</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1"/>
              <w:jc w:val="right"/>
              <w:rPr>
                <w:rFonts w:ascii="Arial" w:hAnsi="Arial" w:cs="Arial" w:eastAsia="Arial" w:hint="default"/>
                <w:sz w:val="14"/>
                <w:szCs w:val="14"/>
              </w:rPr>
            </w:pPr>
            <w:r>
              <w:rPr>
                <w:rFonts w:ascii="Arial"/>
                <w:spacing w:val="-1"/>
                <w:sz w:val="14"/>
              </w:rPr>
              <w:t>89,298,714</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spacing w:val="-1"/>
                <w:sz w:val="14"/>
              </w:rPr>
              <w:t>89,298,714</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向股东分派的普通股股利</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(33)</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8"/>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1"/>
              <w:jc w:val="right"/>
              <w:rPr>
                <w:rFonts w:ascii="Arial" w:hAnsi="Arial" w:cs="Arial" w:eastAsia="Arial" w:hint="default"/>
                <w:sz w:val="14"/>
                <w:szCs w:val="14"/>
              </w:rPr>
            </w:pPr>
            <w:r>
              <w:rPr>
                <w:rFonts w:ascii="Arial"/>
                <w:spacing w:val="-1"/>
                <w:sz w:val="14"/>
              </w:rPr>
              <w:t>(2,599,933,432)</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2"/>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1"/>
              <w:jc w:val="right"/>
              <w:rPr>
                <w:rFonts w:ascii="Arial" w:hAnsi="Arial" w:cs="Arial" w:eastAsia="Arial" w:hint="default"/>
                <w:sz w:val="14"/>
                <w:szCs w:val="14"/>
              </w:rPr>
            </w:pPr>
            <w:r>
              <w:rPr>
                <w:rFonts w:ascii="Arial"/>
                <w:spacing w:val="-1"/>
                <w:sz w:val="14"/>
              </w:rPr>
              <w:t>(3,458,688,456)</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4"/>
              <w:jc w:val="right"/>
              <w:rPr>
                <w:rFonts w:ascii="Arial" w:hAnsi="Arial" w:cs="Arial" w:eastAsia="Arial" w:hint="default"/>
                <w:sz w:val="14"/>
                <w:szCs w:val="14"/>
              </w:rPr>
            </w:pPr>
            <w:r>
              <w:rPr>
                <w:rFonts w:ascii="Arial"/>
                <w:spacing w:val="-1"/>
                <w:sz w:val="14"/>
              </w:rPr>
              <w:t>(6,058,621,888)</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
              <w:jc w:val="right"/>
              <w:rPr>
                <w:rFonts w:ascii="Arial" w:hAnsi="Arial" w:cs="Arial" w:eastAsia="Arial" w:hint="default"/>
                <w:sz w:val="14"/>
                <w:szCs w:val="14"/>
              </w:rPr>
            </w:pPr>
            <w:r>
              <w:rPr>
                <w:rFonts w:ascii="Arial"/>
                <w:spacing w:val="-1"/>
                <w:sz w:val="14"/>
              </w:rPr>
              <w:t>(3,499,438,385)</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提取盈余公积</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(32)</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spacing w:val="-1"/>
                <w:sz w:val="14"/>
              </w:rPr>
              <w:t>158,412,360</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1"/>
              <w:jc w:val="right"/>
              <w:rPr>
                <w:rFonts w:ascii="Arial" w:hAnsi="Arial" w:cs="Arial" w:eastAsia="Arial" w:hint="default"/>
                <w:sz w:val="14"/>
                <w:szCs w:val="14"/>
              </w:rPr>
            </w:pPr>
            <w:r>
              <w:rPr>
                <w:rFonts w:ascii="Arial"/>
                <w:spacing w:val="-1"/>
                <w:sz w:val="14"/>
              </w:rPr>
              <w:t>(158,412,360)</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4"/>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68"/>
              <w:jc w:val="right"/>
              <w:rPr>
                <w:rFonts w:ascii="Arial" w:hAnsi="Arial" w:cs="Arial" w:eastAsia="Arial" w:hint="default"/>
                <w:sz w:val="14"/>
                <w:szCs w:val="14"/>
              </w:rPr>
            </w:pPr>
            <w:r>
              <w:rPr>
                <w:rFonts w:ascii="Arial"/>
                <w:w w:val="100"/>
                <w:sz w:val="14"/>
              </w:rPr>
              <w:t>-</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2"/>
              <w:jc w:val="right"/>
              <w:rPr>
                <w:rFonts w:ascii="Arial" w:hAnsi="Arial" w:cs="Arial" w:eastAsia="Arial" w:hint="default"/>
                <w:sz w:val="14"/>
                <w:szCs w:val="14"/>
              </w:rPr>
            </w:pPr>
            <w:r>
              <w:rPr>
                <w:rFonts w:ascii="Arial"/>
                <w:w w:val="100"/>
                <w:sz w:val="14"/>
              </w:rPr>
              <w:t>-</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w w:val="100"/>
                <w:sz w:val="14"/>
              </w:rPr>
              <w:t>-</w:t>
            </w:r>
          </w:p>
        </w:tc>
      </w:tr>
      <w:tr>
        <w:trPr>
          <w:trHeight w:val="196"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 w:right="0"/>
              <w:jc w:val="left"/>
              <w:rPr>
                <w:rFonts w:ascii="宋体" w:hAnsi="宋体" w:cs="宋体" w:eastAsia="宋体" w:hint="default"/>
                <w:sz w:val="14"/>
                <w:szCs w:val="14"/>
              </w:rPr>
            </w:pPr>
            <w:r>
              <w:rPr>
                <w:rFonts w:ascii="Arial" w:hAnsi="Arial" w:cs="Arial" w:eastAsia="Arial" w:hint="default"/>
                <w:sz w:val="14"/>
                <w:szCs w:val="14"/>
              </w:rPr>
              <w:t>2008</w:t>
            </w:r>
            <w:r>
              <w:rPr>
                <w:rFonts w:ascii="Arial" w:hAnsi="Arial" w:cs="Arial" w:eastAsia="Arial" w:hint="default"/>
                <w:spacing w:val="-7"/>
                <w:sz w:val="14"/>
                <w:szCs w:val="14"/>
              </w:rPr>
              <w:t> </w:t>
            </w:r>
            <w:r>
              <w:rPr>
                <w:rFonts w:ascii="宋体" w:hAnsi="宋体" w:cs="宋体" w:eastAsia="宋体" w:hint="default"/>
                <w:sz w:val="14"/>
                <w:szCs w:val="14"/>
              </w:rPr>
              <w:t>年</w:t>
            </w:r>
            <w:r>
              <w:rPr>
                <w:rFonts w:ascii="宋体" w:hAnsi="宋体" w:cs="宋体" w:eastAsia="宋体" w:hint="default"/>
                <w:spacing w:val="-38"/>
                <w:sz w:val="14"/>
                <w:szCs w:val="14"/>
              </w:rPr>
              <w:t> </w:t>
            </w:r>
            <w:r>
              <w:rPr>
                <w:rFonts w:ascii="Arial" w:hAnsi="Arial" w:cs="Arial" w:eastAsia="Arial" w:hint="default"/>
                <w:sz w:val="14"/>
                <w:szCs w:val="14"/>
              </w:rPr>
              <w:t>12</w:t>
            </w:r>
            <w:r>
              <w:rPr>
                <w:rFonts w:ascii="Arial" w:hAnsi="Arial" w:cs="Arial" w:eastAsia="Arial" w:hint="default"/>
                <w:spacing w:val="-7"/>
                <w:sz w:val="14"/>
                <w:szCs w:val="14"/>
              </w:rPr>
              <w:t> </w:t>
            </w:r>
            <w:r>
              <w:rPr>
                <w:rFonts w:ascii="宋体" w:hAnsi="宋体" w:cs="宋体" w:eastAsia="宋体" w:hint="default"/>
                <w:sz w:val="14"/>
                <w:szCs w:val="14"/>
              </w:rPr>
              <w:t>月</w:t>
            </w:r>
            <w:r>
              <w:rPr>
                <w:rFonts w:ascii="宋体" w:hAnsi="宋体" w:cs="宋体" w:eastAsia="宋体" w:hint="default"/>
                <w:spacing w:val="-38"/>
                <w:sz w:val="14"/>
                <w:szCs w:val="14"/>
              </w:rPr>
              <w:t> </w:t>
            </w:r>
            <w:r>
              <w:rPr>
                <w:rFonts w:ascii="Arial" w:hAnsi="Arial" w:cs="Arial" w:eastAsia="Arial" w:hint="default"/>
                <w:sz w:val="14"/>
                <w:szCs w:val="14"/>
              </w:rPr>
              <w:t>31</w:t>
            </w:r>
            <w:r>
              <w:rPr>
                <w:rFonts w:ascii="Arial" w:hAnsi="Arial" w:cs="Arial" w:eastAsia="Arial" w:hint="default"/>
                <w:spacing w:val="-7"/>
                <w:sz w:val="14"/>
                <w:szCs w:val="14"/>
              </w:rPr>
              <w:t> </w:t>
            </w:r>
            <w:r>
              <w:rPr>
                <w:rFonts w:ascii="宋体" w:hAnsi="宋体" w:cs="宋体" w:eastAsia="宋体" w:hint="default"/>
                <w:sz w:val="14"/>
                <w:szCs w:val="14"/>
              </w:rPr>
              <w:t>日年末余额（经重列）</w:t>
            </w:r>
          </w:p>
        </w:tc>
        <w:tc>
          <w:tcPr>
            <w:tcW w:w="574" w:type="dxa"/>
            <w:tcBorders>
              <w:top w:val="single" w:sz="6" w:space="0" w:color="000000"/>
              <w:left w:val="single" w:sz="6" w:space="0" w:color="000000"/>
              <w:bottom w:val="single" w:sz="6" w:space="0" w:color="000000"/>
              <w:right w:val="single" w:sz="6" w:space="0" w:color="000000"/>
            </w:tcBorders>
          </w:tcPr>
          <w:p>
            <w:pP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spacing w:val="-1"/>
                <w:sz w:val="14"/>
              </w:rPr>
              <w:t>21,196,596,395</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86" w:right="0"/>
              <w:jc w:val="left"/>
              <w:rPr>
                <w:rFonts w:ascii="Arial" w:hAnsi="Arial" w:cs="Arial" w:eastAsia="Arial" w:hint="default"/>
                <w:sz w:val="14"/>
                <w:szCs w:val="14"/>
              </w:rPr>
            </w:pPr>
            <w:r>
              <w:rPr>
                <w:rFonts w:ascii="Arial"/>
                <w:sz w:val="14"/>
              </w:rPr>
              <w:t>26,476,082,290</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8"/>
              <w:jc w:val="right"/>
              <w:rPr>
                <w:rFonts w:ascii="Arial" w:hAnsi="Arial" w:cs="Arial" w:eastAsia="Arial" w:hint="default"/>
                <w:sz w:val="14"/>
                <w:szCs w:val="14"/>
              </w:rPr>
            </w:pPr>
            <w:r>
              <w:rPr>
                <w:rFonts w:ascii="Arial"/>
                <w:spacing w:val="-1"/>
                <w:sz w:val="14"/>
              </w:rPr>
              <w:t>400,110,494</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8"/>
              <w:jc w:val="right"/>
              <w:rPr>
                <w:rFonts w:ascii="Arial" w:hAnsi="Arial" w:cs="Arial" w:eastAsia="Arial" w:hint="default"/>
                <w:sz w:val="14"/>
                <w:szCs w:val="14"/>
              </w:rPr>
            </w:pPr>
            <w:r>
              <w:rPr>
                <w:rFonts w:ascii="Arial"/>
                <w:spacing w:val="-1"/>
                <w:sz w:val="14"/>
              </w:rPr>
              <w:t>22,637,992,941</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Arial" w:hAnsi="Arial" w:cs="Arial" w:eastAsia="Arial" w:hint="default"/>
                <w:sz w:val="14"/>
                <w:szCs w:val="14"/>
              </w:rPr>
            </w:pPr>
            <w:r>
              <w:rPr>
                <w:rFonts w:ascii="Arial"/>
                <w:spacing w:val="-1"/>
                <w:sz w:val="14"/>
              </w:rPr>
              <w:t>(19,458,680)</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23" w:right="0"/>
              <w:jc w:val="left"/>
              <w:rPr>
                <w:rFonts w:ascii="Arial" w:hAnsi="Arial" w:cs="Arial" w:eastAsia="Arial" w:hint="default"/>
                <w:sz w:val="14"/>
                <w:szCs w:val="14"/>
              </w:rPr>
            </w:pPr>
            <w:r>
              <w:rPr>
                <w:rFonts w:ascii="Arial"/>
                <w:sz w:val="14"/>
              </w:rPr>
              <w:t>139,420,014,954</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1"/>
              <w:jc w:val="right"/>
              <w:rPr>
                <w:rFonts w:ascii="Arial" w:hAnsi="Arial" w:cs="Arial" w:eastAsia="Arial" w:hint="default"/>
                <w:sz w:val="14"/>
                <w:szCs w:val="14"/>
              </w:rPr>
            </w:pPr>
            <w:r>
              <w:rPr>
                <w:rFonts w:ascii="Arial"/>
                <w:spacing w:val="-1"/>
                <w:sz w:val="14"/>
              </w:rPr>
              <w:t>210,111,338,394</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spacing w:val="-1"/>
                <w:sz w:val="14"/>
              </w:rPr>
              <w:t>93,272,921,126</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净利润</w:t>
            </w:r>
          </w:p>
        </w:tc>
        <w:tc>
          <w:tcPr>
            <w:tcW w:w="574" w:type="dxa"/>
            <w:tcBorders>
              <w:top w:val="single" w:sz="6" w:space="0" w:color="000000"/>
              <w:left w:val="single" w:sz="6" w:space="0" w:color="000000"/>
              <w:bottom w:val="single" w:sz="6" w:space="0" w:color="000000"/>
              <w:right w:val="single" w:sz="6" w:space="0" w:color="000000"/>
            </w:tcBorders>
          </w:tcPr>
          <w:p>
            <w:pP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8"/>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7"/>
              <w:jc w:val="right"/>
              <w:rPr>
                <w:rFonts w:ascii="Arial" w:hAnsi="Arial" w:cs="Arial" w:eastAsia="Arial" w:hint="default"/>
                <w:sz w:val="14"/>
                <w:szCs w:val="14"/>
              </w:rPr>
            </w:pPr>
            <w:r>
              <w:rPr>
                <w:rFonts w:ascii="Arial"/>
                <w:spacing w:val="-1"/>
                <w:sz w:val="14"/>
              </w:rPr>
              <w:t>3,137,024,492</w:t>
            </w:r>
          </w:p>
        </w:tc>
        <w:tc>
          <w:tcPr>
            <w:tcW w:w="123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78" w:right="0"/>
              <w:jc w:val="left"/>
              <w:rPr>
                <w:rFonts w:ascii="Arial" w:hAnsi="Arial" w:cs="Arial" w:eastAsia="Arial" w:hint="default"/>
                <w:sz w:val="14"/>
                <w:szCs w:val="14"/>
              </w:rPr>
            </w:pPr>
            <w:r>
              <w:rPr>
                <w:rFonts w:ascii="Arial"/>
                <w:sz w:val="14"/>
              </w:rPr>
              <w:t>6,236,869,294</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1"/>
              <w:jc w:val="right"/>
              <w:rPr>
                <w:rFonts w:ascii="Arial" w:hAnsi="Arial" w:cs="Arial" w:eastAsia="Arial" w:hint="default"/>
                <w:sz w:val="14"/>
                <w:szCs w:val="14"/>
              </w:rPr>
            </w:pPr>
            <w:r>
              <w:rPr>
                <w:rFonts w:ascii="Arial"/>
                <w:spacing w:val="-1"/>
                <w:sz w:val="14"/>
              </w:rPr>
              <w:t>9,373,893,786</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spacing w:val="-1"/>
                <w:sz w:val="14"/>
              </w:rPr>
              <w:t>117,276,255</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其他综合收益</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(48)</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3"/>
              <w:jc w:val="right"/>
              <w:rPr>
                <w:rFonts w:ascii="Arial" w:hAnsi="Arial" w:cs="Arial" w:eastAsia="Arial" w:hint="default"/>
                <w:sz w:val="14"/>
                <w:szCs w:val="14"/>
              </w:rPr>
            </w:pPr>
            <w:r>
              <w:rPr>
                <w:rFonts w:ascii="Arial"/>
                <w:spacing w:val="-1"/>
                <w:sz w:val="14"/>
              </w:rPr>
              <w:t>(12,820,648)</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7"/>
              <w:jc w:val="right"/>
              <w:rPr>
                <w:rFonts w:ascii="Arial" w:hAnsi="Arial" w:cs="Arial" w:eastAsia="Arial" w:hint="default"/>
                <w:sz w:val="14"/>
                <w:szCs w:val="14"/>
              </w:rPr>
            </w:pPr>
            <w:r>
              <w:rPr>
                <w:rFonts w:ascii="Arial"/>
                <w:w w:val="100"/>
                <w:sz w:val="14"/>
              </w:rPr>
              <w:t>-</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6"/>
              <w:jc w:val="right"/>
              <w:rPr>
                <w:rFonts w:ascii="Arial" w:hAnsi="Arial" w:cs="Arial" w:eastAsia="Arial" w:hint="default"/>
                <w:sz w:val="14"/>
                <w:szCs w:val="14"/>
              </w:rPr>
            </w:pPr>
            <w:r>
              <w:rPr>
                <w:rFonts w:ascii="Arial"/>
                <w:sz w:val="14"/>
              </w:rPr>
              <w:t>(85,907)</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0"/>
              <w:jc w:val="right"/>
              <w:rPr>
                <w:rFonts w:ascii="Arial" w:hAnsi="Arial" w:cs="Arial" w:eastAsia="Arial" w:hint="default"/>
                <w:sz w:val="14"/>
                <w:szCs w:val="14"/>
              </w:rPr>
            </w:pPr>
            <w:r>
              <w:rPr>
                <w:rFonts w:ascii="Arial"/>
                <w:spacing w:val="-1"/>
                <w:sz w:val="14"/>
              </w:rPr>
              <w:t>(24,565,807)</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4"/>
              <w:jc w:val="right"/>
              <w:rPr>
                <w:rFonts w:ascii="Arial" w:hAnsi="Arial" w:cs="Arial" w:eastAsia="Arial" w:hint="default"/>
                <w:sz w:val="14"/>
                <w:szCs w:val="14"/>
              </w:rPr>
            </w:pPr>
            <w:r>
              <w:rPr>
                <w:rFonts w:ascii="Arial"/>
                <w:spacing w:val="-1"/>
                <w:sz w:val="14"/>
              </w:rPr>
              <w:t>(37,472,362)</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w w:val="100"/>
                <w:sz w:val="14"/>
              </w:rPr>
              <w:t>-</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被联通运营公司同一控制下收购的目标业务向联通集团分配利润</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(33)</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8"/>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0"/>
              <w:jc w:val="right"/>
              <w:rPr>
                <w:rFonts w:ascii="Arial" w:hAnsi="Arial" w:cs="Arial" w:eastAsia="Arial" w:hint="default"/>
                <w:sz w:val="14"/>
                <w:szCs w:val="14"/>
              </w:rPr>
            </w:pPr>
            <w:r>
              <w:rPr>
                <w:rFonts w:ascii="Arial"/>
                <w:spacing w:val="-1"/>
                <w:sz w:val="14"/>
              </w:rPr>
              <w:t>(21,570,743)</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2"/>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1"/>
              <w:jc w:val="right"/>
              <w:rPr>
                <w:rFonts w:ascii="Arial" w:hAnsi="Arial" w:cs="Arial" w:eastAsia="Arial" w:hint="default"/>
                <w:sz w:val="14"/>
                <w:szCs w:val="14"/>
              </w:rPr>
            </w:pPr>
            <w:r>
              <w:rPr>
                <w:rFonts w:ascii="Arial"/>
                <w:spacing w:val="-1"/>
                <w:sz w:val="14"/>
              </w:rPr>
              <w:t>(42,645,264)</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4"/>
              <w:jc w:val="right"/>
              <w:rPr>
                <w:rFonts w:ascii="Arial" w:hAnsi="Arial" w:cs="Arial" w:eastAsia="Arial" w:hint="default"/>
                <w:sz w:val="14"/>
                <w:szCs w:val="14"/>
              </w:rPr>
            </w:pPr>
            <w:r>
              <w:rPr>
                <w:rFonts w:ascii="Arial"/>
                <w:spacing w:val="-1"/>
                <w:sz w:val="14"/>
              </w:rPr>
              <w:t>(64,216,007)</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
              <w:jc w:val="right"/>
              <w:rPr>
                <w:rFonts w:ascii="Arial" w:hAnsi="Arial" w:cs="Arial" w:eastAsia="Arial" w:hint="default"/>
                <w:sz w:val="14"/>
                <w:szCs w:val="14"/>
              </w:rPr>
            </w:pPr>
            <w:r>
              <w:rPr>
                <w:rFonts w:ascii="Arial"/>
                <w:spacing w:val="-1"/>
                <w:sz w:val="14"/>
              </w:rPr>
              <w:t>(64,216,007)</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联通运营公司同一控制下收购目标业务支付的价款</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(31)</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11" w:right="0"/>
              <w:jc w:val="left"/>
              <w:rPr>
                <w:rFonts w:ascii="Arial" w:hAnsi="Arial" w:cs="Arial" w:eastAsia="Arial" w:hint="default"/>
                <w:sz w:val="14"/>
                <w:szCs w:val="14"/>
              </w:rPr>
            </w:pPr>
            <w:r>
              <w:rPr>
                <w:rFonts w:ascii="Arial"/>
                <w:sz w:val="14"/>
              </w:rPr>
              <w:t>(1,308,394,781)</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7"/>
              <w:jc w:val="right"/>
              <w:rPr>
                <w:rFonts w:ascii="Arial" w:hAnsi="Arial" w:cs="Arial" w:eastAsia="Arial" w:hint="default"/>
                <w:sz w:val="14"/>
                <w:szCs w:val="14"/>
              </w:rPr>
            </w:pPr>
            <w:r>
              <w:rPr>
                <w:rFonts w:ascii="Arial"/>
                <w:w w:val="100"/>
                <w:sz w:val="14"/>
              </w:rPr>
              <w:t>-</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2"/>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1"/>
              <w:jc w:val="right"/>
              <w:rPr>
                <w:rFonts w:ascii="Arial" w:hAnsi="Arial" w:cs="Arial" w:eastAsia="Arial" w:hint="default"/>
                <w:sz w:val="14"/>
                <w:szCs w:val="14"/>
              </w:rPr>
            </w:pPr>
            <w:r>
              <w:rPr>
                <w:rFonts w:ascii="Arial"/>
                <w:spacing w:val="-1"/>
                <w:sz w:val="14"/>
              </w:rPr>
              <w:t>(2,586,690,838)</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4"/>
              <w:jc w:val="right"/>
              <w:rPr>
                <w:rFonts w:ascii="Arial" w:hAnsi="Arial" w:cs="Arial" w:eastAsia="Arial" w:hint="default"/>
                <w:sz w:val="14"/>
                <w:szCs w:val="14"/>
              </w:rPr>
            </w:pPr>
            <w:r>
              <w:rPr>
                <w:rFonts w:ascii="Arial"/>
                <w:spacing w:val="-1"/>
                <w:sz w:val="14"/>
              </w:rPr>
              <w:t>(3,895,085,619)</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
              <w:jc w:val="right"/>
              <w:rPr>
                <w:rFonts w:ascii="Arial" w:hAnsi="Arial" w:cs="Arial" w:eastAsia="Arial" w:hint="default"/>
                <w:sz w:val="14"/>
                <w:szCs w:val="14"/>
              </w:rPr>
            </w:pPr>
            <w:r>
              <w:rPr>
                <w:rFonts w:ascii="Arial"/>
                <w:spacing w:val="-1"/>
                <w:sz w:val="14"/>
              </w:rPr>
              <w:t>(3,895,085,619)</w:t>
            </w:r>
          </w:p>
        </w:tc>
      </w:tr>
      <w:tr>
        <w:trPr>
          <w:trHeight w:val="196"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联通红筹公司为投资西班牙电信而增发的股份</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(31)</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64" w:right="0"/>
              <w:jc w:val="left"/>
              <w:rPr>
                <w:rFonts w:ascii="Arial" w:hAnsi="Arial" w:cs="Arial" w:eastAsia="Arial" w:hint="default"/>
                <w:sz w:val="14"/>
                <w:szCs w:val="14"/>
              </w:rPr>
            </w:pPr>
            <w:r>
              <w:rPr>
                <w:rFonts w:ascii="Arial"/>
                <w:sz w:val="14"/>
              </w:rPr>
              <w:t>2,274,479,484</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8"/>
              <w:jc w:val="right"/>
              <w:rPr>
                <w:rFonts w:ascii="Arial" w:hAnsi="Arial" w:cs="Arial" w:eastAsia="Arial" w:hint="default"/>
                <w:sz w:val="14"/>
                <w:szCs w:val="14"/>
              </w:rPr>
            </w:pPr>
            <w:r>
              <w:rPr>
                <w:rFonts w:ascii="Arial"/>
                <w:w w:val="100"/>
                <w:sz w:val="14"/>
              </w:rPr>
              <w:t>-</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78" w:right="0"/>
              <w:jc w:val="left"/>
              <w:rPr>
                <w:rFonts w:ascii="Arial" w:hAnsi="Arial" w:cs="Arial" w:eastAsia="Arial" w:hint="default"/>
                <w:sz w:val="14"/>
                <w:szCs w:val="14"/>
              </w:rPr>
            </w:pPr>
            <w:r>
              <w:rPr>
                <w:rFonts w:ascii="Arial"/>
                <w:sz w:val="14"/>
              </w:rPr>
              <w:t>4,437,997,532</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2"/>
              <w:jc w:val="right"/>
              <w:rPr>
                <w:rFonts w:ascii="Arial" w:hAnsi="Arial" w:cs="Arial" w:eastAsia="Arial" w:hint="default"/>
                <w:sz w:val="14"/>
                <w:szCs w:val="14"/>
              </w:rPr>
            </w:pPr>
            <w:r>
              <w:rPr>
                <w:rFonts w:ascii="Arial"/>
                <w:spacing w:val="-1"/>
                <w:sz w:val="14"/>
              </w:rPr>
              <w:t>6,712,477,016</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w w:val="100"/>
                <w:sz w:val="14"/>
              </w:rPr>
              <w:t>-</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223" w:right="0"/>
              <w:jc w:val="left"/>
              <w:rPr>
                <w:rFonts w:ascii="宋体" w:hAnsi="宋体" w:cs="宋体" w:eastAsia="宋体" w:hint="default"/>
                <w:sz w:val="14"/>
                <w:szCs w:val="14"/>
              </w:rPr>
            </w:pPr>
            <w:r>
              <w:rPr>
                <w:rFonts w:ascii="宋体" w:hAnsi="宋体" w:cs="宋体" w:eastAsia="宋体" w:hint="default"/>
                <w:sz w:val="14"/>
                <w:szCs w:val="14"/>
              </w:rPr>
              <w:t>回购韩国</w:t>
            </w:r>
            <w:r>
              <w:rPr>
                <w:rFonts w:ascii="宋体" w:hAnsi="宋体" w:cs="宋体" w:eastAsia="宋体" w:hint="default"/>
                <w:spacing w:val="-38"/>
                <w:sz w:val="14"/>
                <w:szCs w:val="14"/>
              </w:rPr>
              <w:t> </w:t>
            </w:r>
            <w:r>
              <w:rPr>
                <w:rFonts w:ascii="Arial" w:hAnsi="Arial" w:cs="Arial" w:eastAsia="Arial" w:hint="default"/>
                <w:sz w:val="14"/>
                <w:szCs w:val="14"/>
              </w:rPr>
              <w:t>SKT</w:t>
            </w:r>
            <w:r>
              <w:rPr>
                <w:rFonts w:ascii="Arial" w:hAnsi="Arial" w:cs="Arial" w:eastAsia="Arial" w:hint="default"/>
                <w:spacing w:val="-7"/>
                <w:sz w:val="14"/>
                <w:szCs w:val="14"/>
              </w:rPr>
              <w:t> </w:t>
            </w:r>
            <w:r>
              <w:rPr>
                <w:rFonts w:ascii="宋体" w:hAnsi="宋体" w:cs="宋体" w:eastAsia="宋体" w:hint="default"/>
                <w:sz w:val="14"/>
                <w:szCs w:val="14"/>
              </w:rPr>
              <w:t>持有的联通红筹公司股份所支付的价款</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(33)</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8"/>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0"/>
              <w:jc w:val="right"/>
              <w:rPr>
                <w:rFonts w:ascii="Arial" w:hAnsi="Arial" w:cs="Arial" w:eastAsia="Arial" w:hint="default"/>
                <w:sz w:val="14"/>
                <w:szCs w:val="14"/>
              </w:rPr>
            </w:pPr>
            <w:r>
              <w:rPr>
                <w:rFonts w:ascii="Arial"/>
                <w:spacing w:val="-1"/>
                <w:sz w:val="14"/>
              </w:rPr>
              <w:t>(2,982,386,077)</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2"/>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0"/>
              <w:jc w:val="right"/>
              <w:rPr>
                <w:rFonts w:ascii="Arial" w:hAnsi="Arial" w:cs="Arial" w:eastAsia="Arial" w:hint="default"/>
                <w:sz w:val="14"/>
                <w:szCs w:val="14"/>
              </w:rPr>
            </w:pPr>
            <w:r>
              <w:rPr>
                <w:rFonts w:ascii="Arial"/>
                <w:spacing w:val="-1"/>
                <w:sz w:val="14"/>
              </w:rPr>
              <w:t>(5,819,275,196)</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5"/>
              <w:jc w:val="right"/>
              <w:rPr>
                <w:rFonts w:ascii="Arial" w:hAnsi="Arial" w:cs="Arial" w:eastAsia="Arial" w:hint="default"/>
                <w:sz w:val="14"/>
                <w:szCs w:val="14"/>
              </w:rPr>
            </w:pPr>
            <w:r>
              <w:rPr>
                <w:rFonts w:ascii="Arial"/>
                <w:spacing w:val="-1"/>
                <w:sz w:val="14"/>
              </w:rPr>
              <w:t>(8,801,661,273)</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w w:val="100"/>
                <w:sz w:val="14"/>
              </w:rPr>
              <w:t>-</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因所持子公司股份变化对资本公积的影响</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(31)</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spacing w:val="-1"/>
                <w:sz w:val="14"/>
              </w:rPr>
              <w:t>621,507,927</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7"/>
              <w:jc w:val="right"/>
              <w:rPr>
                <w:rFonts w:ascii="Arial" w:hAnsi="Arial" w:cs="Arial" w:eastAsia="Arial" w:hint="default"/>
                <w:sz w:val="14"/>
                <w:szCs w:val="14"/>
              </w:rPr>
            </w:pPr>
            <w:r>
              <w:rPr>
                <w:rFonts w:ascii="Arial"/>
                <w:w w:val="100"/>
                <w:sz w:val="14"/>
              </w:rPr>
              <w:t>-</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2"/>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1"/>
              <w:jc w:val="right"/>
              <w:rPr>
                <w:rFonts w:ascii="Arial" w:hAnsi="Arial" w:cs="Arial" w:eastAsia="Arial" w:hint="default"/>
                <w:sz w:val="14"/>
                <w:szCs w:val="14"/>
              </w:rPr>
            </w:pPr>
            <w:r>
              <w:rPr>
                <w:rFonts w:ascii="Arial"/>
                <w:spacing w:val="-1"/>
                <w:sz w:val="14"/>
              </w:rPr>
              <w:t>(621,507,927)</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1"/>
              <w:jc w:val="right"/>
              <w:rPr>
                <w:rFonts w:ascii="Arial" w:hAnsi="Arial" w:cs="Arial" w:eastAsia="Arial" w:hint="default"/>
                <w:sz w:val="14"/>
                <w:szCs w:val="14"/>
              </w:rPr>
            </w:pPr>
            <w:r>
              <w:rPr>
                <w:rFonts w:ascii="Arial"/>
                <w:w w:val="100"/>
                <w:sz w:val="14"/>
              </w:rPr>
              <w:t>-</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w w:val="100"/>
                <w:sz w:val="14"/>
              </w:rPr>
              <w:t>-</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与股份支付相关的员工薪酬所确认金额的影响</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(46)</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spacing w:val="-1"/>
                <w:sz w:val="14"/>
              </w:rPr>
              <w:t>9,219,929</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7"/>
              <w:jc w:val="right"/>
              <w:rPr>
                <w:rFonts w:ascii="Arial" w:hAnsi="Arial" w:cs="Arial" w:eastAsia="Arial" w:hint="default"/>
                <w:sz w:val="14"/>
                <w:szCs w:val="14"/>
              </w:rPr>
            </w:pPr>
            <w:r>
              <w:rPr>
                <w:rFonts w:ascii="Arial"/>
                <w:w w:val="100"/>
                <w:sz w:val="14"/>
              </w:rPr>
              <w:t>-</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2"/>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67"/>
              <w:jc w:val="right"/>
              <w:rPr>
                <w:rFonts w:ascii="Arial" w:hAnsi="Arial" w:cs="Arial" w:eastAsia="Arial" w:hint="default"/>
                <w:sz w:val="14"/>
                <w:szCs w:val="14"/>
              </w:rPr>
            </w:pPr>
            <w:r>
              <w:rPr>
                <w:rFonts w:ascii="Arial"/>
                <w:spacing w:val="-1"/>
                <w:sz w:val="14"/>
              </w:rPr>
              <w:t>18,202,436</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1"/>
              <w:jc w:val="right"/>
              <w:rPr>
                <w:rFonts w:ascii="Arial" w:hAnsi="Arial" w:cs="Arial" w:eastAsia="Arial" w:hint="default"/>
                <w:sz w:val="14"/>
                <w:szCs w:val="14"/>
              </w:rPr>
            </w:pPr>
            <w:r>
              <w:rPr>
                <w:rFonts w:ascii="Arial"/>
                <w:spacing w:val="-1"/>
                <w:sz w:val="14"/>
              </w:rPr>
              <w:t>27,422,365</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w w:val="100"/>
                <w:sz w:val="14"/>
              </w:rPr>
              <w:t>-</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向股东分派的普通股股利</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(33)</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8"/>
              <w:jc w:val="right"/>
              <w:rPr>
                <w:rFonts w:ascii="Arial" w:hAnsi="Arial" w:cs="Arial" w:eastAsia="Arial" w:hint="default"/>
                <w:sz w:val="14"/>
                <w:szCs w:val="14"/>
              </w:rPr>
            </w:pPr>
            <w:r>
              <w:rPr>
                <w:rFonts w:ascii="Arial"/>
                <w:w w:val="100"/>
                <w:sz w:val="14"/>
              </w:rPr>
              <w:t>-</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0"/>
              <w:jc w:val="right"/>
              <w:rPr>
                <w:rFonts w:ascii="Arial" w:hAnsi="Arial" w:cs="Arial" w:eastAsia="Arial" w:hint="default"/>
                <w:sz w:val="14"/>
                <w:szCs w:val="14"/>
              </w:rPr>
            </w:pPr>
            <w:r>
              <w:rPr>
                <w:rFonts w:ascii="Arial"/>
                <w:spacing w:val="-1"/>
                <w:sz w:val="14"/>
              </w:rPr>
              <w:t>(1,424,411,278)</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2"/>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0"/>
              <w:jc w:val="right"/>
              <w:rPr>
                <w:rFonts w:ascii="Arial" w:hAnsi="Arial" w:cs="Arial" w:eastAsia="Arial" w:hint="default"/>
                <w:sz w:val="14"/>
                <w:szCs w:val="14"/>
              </w:rPr>
            </w:pPr>
            <w:r>
              <w:rPr>
                <w:rFonts w:ascii="Arial"/>
                <w:spacing w:val="-1"/>
                <w:sz w:val="14"/>
              </w:rPr>
              <w:t>(3,156,812,490)</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25"/>
              <w:jc w:val="right"/>
              <w:rPr>
                <w:rFonts w:ascii="Arial" w:hAnsi="Arial" w:cs="Arial" w:eastAsia="Arial" w:hint="default"/>
                <w:sz w:val="14"/>
                <w:szCs w:val="14"/>
              </w:rPr>
            </w:pPr>
            <w:r>
              <w:rPr>
                <w:rFonts w:ascii="Arial"/>
                <w:spacing w:val="-1"/>
                <w:sz w:val="14"/>
              </w:rPr>
              <w:t>(4,581,223,768)</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w w:val="100"/>
                <w:sz w:val="14"/>
              </w:rPr>
              <w:t>-</w:t>
            </w:r>
          </w:p>
        </w:tc>
      </w:tr>
      <w:tr>
        <w:trPr>
          <w:trHeight w:val="196"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61" w:lineRule="exact"/>
              <w:ind w:left="223" w:right="0"/>
              <w:jc w:val="left"/>
              <w:rPr>
                <w:rFonts w:ascii="宋体" w:hAnsi="宋体" w:cs="宋体" w:eastAsia="宋体" w:hint="default"/>
                <w:sz w:val="14"/>
                <w:szCs w:val="14"/>
              </w:rPr>
            </w:pPr>
            <w:r>
              <w:rPr>
                <w:rFonts w:ascii="宋体" w:hAnsi="宋体" w:cs="宋体" w:eastAsia="宋体" w:hint="default"/>
                <w:sz w:val="14"/>
                <w:szCs w:val="14"/>
              </w:rPr>
              <w:t>提取盈余公积</w:t>
            </w:r>
          </w:p>
        </w:tc>
        <w:tc>
          <w:tcPr>
            <w:tcW w:w="574"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right="0"/>
              <w:jc w:val="center"/>
              <w:rPr>
                <w:rFonts w:ascii="Arial" w:hAnsi="Arial" w:cs="Arial" w:eastAsia="Arial" w:hint="default"/>
                <w:sz w:val="14"/>
                <w:szCs w:val="14"/>
              </w:rPr>
            </w:pPr>
            <w:r>
              <w:rPr>
                <w:rFonts w:ascii="宋体" w:hAnsi="宋体" w:cs="宋体" w:eastAsia="宋体" w:hint="default"/>
                <w:sz w:val="14"/>
                <w:szCs w:val="14"/>
              </w:rPr>
              <w:t>五</w:t>
            </w:r>
            <w:r>
              <w:rPr>
                <w:rFonts w:ascii="Arial" w:hAnsi="Arial" w:cs="Arial" w:eastAsia="Arial" w:hint="default"/>
                <w:sz w:val="14"/>
                <w:szCs w:val="14"/>
              </w:rPr>
              <w:t>(32)</w:t>
            </w: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w w:val="100"/>
                <w:sz w:val="14"/>
              </w:rPr>
              <w:t>-</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spacing w:val="-1"/>
                <w:sz w:val="14"/>
              </w:rPr>
              <w:t>158,389,612</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1"/>
              <w:jc w:val="right"/>
              <w:rPr>
                <w:rFonts w:ascii="Arial" w:hAnsi="Arial" w:cs="Arial" w:eastAsia="Arial" w:hint="default"/>
                <w:sz w:val="14"/>
                <w:szCs w:val="14"/>
              </w:rPr>
            </w:pPr>
            <w:r>
              <w:rPr>
                <w:rFonts w:ascii="Arial"/>
                <w:spacing w:val="-1"/>
                <w:sz w:val="14"/>
              </w:rPr>
              <w:t>(158,389,612)</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4"/>
              <w:jc w:val="right"/>
              <w:rPr>
                <w:rFonts w:ascii="Arial" w:hAnsi="Arial" w:cs="Arial" w:eastAsia="Arial" w:hint="default"/>
                <w:sz w:val="14"/>
                <w:szCs w:val="14"/>
              </w:rPr>
            </w:pPr>
            <w:r>
              <w:rPr>
                <w:rFonts w:ascii="Arial"/>
                <w:w w:val="100"/>
                <w:sz w:val="14"/>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68"/>
              <w:jc w:val="right"/>
              <w:rPr>
                <w:rFonts w:ascii="Arial" w:hAnsi="Arial" w:cs="Arial" w:eastAsia="Arial" w:hint="default"/>
                <w:sz w:val="14"/>
                <w:szCs w:val="14"/>
              </w:rPr>
            </w:pPr>
            <w:r>
              <w:rPr>
                <w:rFonts w:ascii="Arial"/>
                <w:w w:val="100"/>
                <w:sz w:val="14"/>
              </w:rPr>
              <w:t>-</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2"/>
              <w:jc w:val="right"/>
              <w:rPr>
                <w:rFonts w:ascii="Arial" w:hAnsi="Arial" w:cs="Arial" w:eastAsia="Arial" w:hint="default"/>
                <w:sz w:val="14"/>
                <w:szCs w:val="14"/>
              </w:rPr>
            </w:pPr>
            <w:r>
              <w:rPr>
                <w:rFonts w:ascii="Arial"/>
                <w:w w:val="100"/>
                <w:sz w:val="14"/>
              </w:rPr>
              <w:t>-</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w w:val="100"/>
                <w:sz w:val="14"/>
              </w:rPr>
              <w:t>-</w:t>
            </w:r>
          </w:p>
        </w:tc>
      </w:tr>
      <w:tr>
        <w:trPr>
          <w:trHeight w:val="197" w:hRule="exact"/>
        </w:trPr>
        <w:tc>
          <w:tcPr>
            <w:tcW w:w="4620"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 w:right="0"/>
              <w:jc w:val="left"/>
              <w:rPr>
                <w:rFonts w:ascii="宋体" w:hAnsi="宋体" w:cs="宋体" w:eastAsia="宋体" w:hint="default"/>
                <w:sz w:val="14"/>
                <w:szCs w:val="14"/>
              </w:rPr>
            </w:pPr>
            <w:r>
              <w:rPr>
                <w:rFonts w:ascii="Arial" w:hAnsi="Arial" w:cs="Arial" w:eastAsia="Arial" w:hint="default"/>
                <w:sz w:val="14"/>
                <w:szCs w:val="14"/>
              </w:rPr>
              <w:t>2009</w:t>
            </w:r>
            <w:r>
              <w:rPr>
                <w:rFonts w:ascii="Arial" w:hAnsi="Arial" w:cs="Arial" w:eastAsia="Arial" w:hint="default"/>
                <w:spacing w:val="-6"/>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Arial" w:hAnsi="Arial" w:cs="Arial" w:eastAsia="Arial" w:hint="default"/>
                <w:sz w:val="14"/>
                <w:szCs w:val="14"/>
              </w:rPr>
              <w:t>12</w:t>
            </w:r>
            <w:r>
              <w:rPr>
                <w:rFonts w:ascii="Arial" w:hAnsi="Arial" w:cs="Arial" w:eastAsia="Arial" w:hint="default"/>
                <w:spacing w:val="-6"/>
                <w:sz w:val="14"/>
                <w:szCs w:val="14"/>
              </w:rPr>
              <w:t> </w:t>
            </w:r>
            <w:r>
              <w:rPr>
                <w:rFonts w:ascii="宋体" w:hAnsi="宋体" w:cs="宋体" w:eastAsia="宋体" w:hint="default"/>
                <w:sz w:val="14"/>
                <w:szCs w:val="14"/>
              </w:rPr>
              <w:t>月</w:t>
            </w:r>
            <w:r>
              <w:rPr>
                <w:rFonts w:ascii="宋体" w:hAnsi="宋体" w:cs="宋体" w:eastAsia="宋体" w:hint="default"/>
                <w:spacing w:val="-37"/>
                <w:sz w:val="14"/>
                <w:szCs w:val="14"/>
              </w:rPr>
              <w:t> </w:t>
            </w:r>
            <w:r>
              <w:rPr>
                <w:rFonts w:ascii="Arial" w:hAnsi="Arial" w:cs="Arial" w:eastAsia="Arial" w:hint="default"/>
                <w:sz w:val="14"/>
                <w:szCs w:val="14"/>
              </w:rPr>
              <w:t>31</w:t>
            </w:r>
            <w:r>
              <w:rPr>
                <w:rFonts w:ascii="Arial" w:hAnsi="Arial" w:cs="Arial" w:eastAsia="Arial" w:hint="default"/>
                <w:spacing w:val="-6"/>
                <w:sz w:val="14"/>
                <w:szCs w:val="14"/>
              </w:rPr>
              <w:t> </w:t>
            </w:r>
            <w:r>
              <w:rPr>
                <w:rFonts w:ascii="宋体" w:hAnsi="宋体" w:cs="宋体" w:eastAsia="宋体" w:hint="default"/>
                <w:sz w:val="14"/>
                <w:szCs w:val="14"/>
              </w:rPr>
              <w:t>日年末余额</w:t>
            </w:r>
          </w:p>
        </w:tc>
        <w:tc>
          <w:tcPr>
            <w:tcW w:w="574" w:type="dxa"/>
            <w:tcBorders>
              <w:top w:val="single" w:sz="6" w:space="0" w:color="000000"/>
              <w:left w:val="single" w:sz="6" w:space="0" w:color="000000"/>
              <w:bottom w:val="single" w:sz="6" w:space="0" w:color="000000"/>
              <w:right w:val="single" w:sz="6" w:space="0" w:color="000000"/>
            </w:tcBorders>
          </w:tcPr>
          <w:p>
            <w:pPr/>
          </w:p>
        </w:tc>
        <w:tc>
          <w:tcPr>
            <w:tcW w:w="12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3"/>
              <w:jc w:val="right"/>
              <w:rPr>
                <w:rFonts w:ascii="Arial" w:hAnsi="Arial" w:cs="Arial" w:eastAsia="Arial" w:hint="default"/>
                <w:sz w:val="14"/>
                <w:szCs w:val="14"/>
              </w:rPr>
            </w:pPr>
            <w:r>
              <w:rPr>
                <w:rFonts w:ascii="Arial"/>
                <w:spacing w:val="-1"/>
                <w:sz w:val="14"/>
              </w:rPr>
              <w:t>21,196,596,395</w:t>
            </w:r>
          </w:p>
        </w:tc>
        <w:tc>
          <w:tcPr>
            <w:tcW w:w="13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86" w:right="0"/>
              <w:jc w:val="left"/>
              <w:rPr>
                <w:rFonts w:ascii="Arial" w:hAnsi="Arial" w:cs="Arial" w:eastAsia="Arial" w:hint="default"/>
                <w:sz w:val="14"/>
                <w:szCs w:val="14"/>
              </w:rPr>
            </w:pPr>
            <w:r>
              <w:rPr>
                <w:rFonts w:ascii="Arial"/>
                <w:sz w:val="14"/>
              </w:rPr>
              <w:t>28,060,074,201</w:t>
            </w:r>
          </w:p>
        </w:tc>
        <w:tc>
          <w:tcPr>
            <w:tcW w:w="11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39"/>
              <w:jc w:val="right"/>
              <w:rPr>
                <w:rFonts w:ascii="Arial" w:hAnsi="Arial" w:cs="Arial" w:eastAsia="Arial" w:hint="default"/>
                <w:sz w:val="14"/>
                <w:szCs w:val="14"/>
              </w:rPr>
            </w:pPr>
            <w:r>
              <w:rPr>
                <w:rFonts w:ascii="Arial"/>
                <w:spacing w:val="-1"/>
                <w:sz w:val="14"/>
              </w:rPr>
              <w:t>558,500,106</w:t>
            </w:r>
          </w:p>
        </w:tc>
        <w:tc>
          <w:tcPr>
            <w:tcW w:w="11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8"/>
              <w:jc w:val="right"/>
              <w:rPr>
                <w:rFonts w:ascii="Arial" w:hAnsi="Arial" w:cs="Arial" w:eastAsia="Arial" w:hint="default"/>
                <w:sz w:val="14"/>
                <w:szCs w:val="14"/>
              </w:rPr>
            </w:pPr>
            <w:r>
              <w:rPr>
                <w:rFonts w:ascii="Arial"/>
                <w:spacing w:val="-1"/>
                <w:sz w:val="14"/>
              </w:rPr>
              <w:t>21,188,259,723</w:t>
            </w:r>
          </w:p>
        </w:tc>
        <w:tc>
          <w:tcPr>
            <w:tcW w:w="1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
              <w:jc w:val="right"/>
              <w:rPr>
                <w:rFonts w:ascii="Arial" w:hAnsi="Arial" w:cs="Arial" w:eastAsia="Arial" w:hint="default"/>
                <w:sz w:val="14"/>
                <w:szCs w:val="14"/>
              </w:rPr>
            </w:pPr>
            <w:r>
              <w:rPr>
                <w:rFonts w:ascii="Arial"/>
                <w:spacing w:val="-1"/>
                <w:sz w:val="14"/>
              </w:rPr>
              <w:t>(19,544,587)</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22" w:right="0"/>
              <w:jc w:val="left"/>
              <w:rPr>
                <w:rFonts w:ascii="Arial" w:hAnsi="Arial" w:cs="Arial" w:eastAsia="Arial" w:hint="default"/>
                <w:sz w:val="14"/>
                <w:szCs w:val="14"/>
              </w:rPr>
            </w:pPr>
            <w:r>
              <w:rPr>
                <w:rFonts w:ascii="Arial"/>
                <w:sz w:val="14"/>
              </w:rPr>
              <w:t>137,861,586,694</w:t>
            </w:r>
          </w:p>
        </w:tc>
        <w:tc>
          <w:tcPr>
            <w:tcW w:w="13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71"/>
              <w:jc w:val="right"/>
              <w:rPr>
                <w:rFonts w:ascii="Arial" w:hAnsi="Arial" w:cs="Arial" w:eastAsia="Arial" w:hint="default"/>
                <w:sz w:val="14"/>
                <w:szCs w:val="14"/>
              </w:rPr>
            </w:pPr>
            <w:r>
              <w:rPr>
                <w:rFonts w:ascii="Arial"/>
                <w:spacing w:val="-1"/>
                <w:sz w:val="14"/>
              </w:rPr>
              <w:t>208,845,472,532</w:t>
            </w:r>
          </w:p>
        </w:tc>
        <w:tc>
          <w:tcPr>
            <w:tcW w:w="15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56"/>
              <w:jc w:val="right"/>
              <w:rPr>
                <w:rFonts w:ascii="Arial" w:hAnsi="Arial" w:cs="Arial" w:eastAsia="Arial" w:hint="default"/>
                <w:sz w:val="14"/>
                <w:szCs w:val="14"/>
              </w:rPr>
            </w:pPr>
            <w:r>
              <w:rPr>
                <w:rFonts w:ascii="Arial"/>
                <w:spacing w:val="-1"/>
                <w:sz w:val="14"/>
              </w:rPr>
              <w:t>89,430,895,755</w:t>
            </w:r>
          </w:p>
        </w:tc>
      </w:tr>
    </w:tbl>
    <w:p>
      <w:pPr>
        <w:spacing w:line="240" w:lineRule="auto" w:before="3"/>
        <w:rPr>
          <w:rFonts w:ascii="黑体" w:hAnsi="黑体" w:cs="黑体" w:eastAsia="黑体" w:hint="default"/>
          <w:sz w:val="12"/>
          <w:szCs w:val="12"/>
        </w:rPr>
      </w:pPr>
    </w:p>
    <w:p>
      <w:pPr>
        <w:spacing w:before="38"/>
        <w:ind w:left="120" w:right="0" w:firstLine="0"/>
        <w:jc w:val="left"/>
        <w:rPr>
          <w:rFonts w:ascii="黑体" w:hAnsi="黑体" w:cs="黑体" w:eastAsia="黑体" w:hint="default"/>
          <w:sz w:val="20"/>
          <w:szCs w:val="20"/>
        </w:rPr>
      </w:pPr>
      <w:r>
        <w:rPr>
          <w:rFonts w:ascii="黑体" w:hAnsi="黑体" w:cs="黑体" w:eastAsia="黑体" w:hint="default"/>
          <w:sz w:val="20"/>
          <w:szCs w:val="20"/>
        </w:rPr>
        <w:t>后附财务报表附注为财务报表的组成部分。</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2"/>
        <w:rPr>
          <w:rFonts w:ascii="黑体" w:hAnsi="黑体" w:cs="黑体" w:eastAsia="黑体" w:hint="default"/>
          <w:sz w:val="16"/>
          <w:szCs w:val="16"/>
        </w:rPr>
      </w:pPr>
    </w:p>
    <w:p>
      <w:pPr>
        <w:pStyle w:val="BodyText"/>
        <w:tabs>
          <w:tab w:pos="5677" w:val="left" w:leader="none"/>
          <w:tab w:pos="11037" w:val="left" w:leader="none"/>
        </w:tabs>
        <w:spacing w:line="240" w:lineRule="auto"/>
        <w:ind w:left="120" w:right="0"/>
        <w:jc w:val="left"/>
        <w:rPr>
          <w:rFonts w:ascii="黑体" w:hAnsi="黑体" w:cs="黑体" w:eastAsia="黑体" w:hint="default"/>
        </w:rPr>
      </w:pPr>
      <w:r>
        <w:rPr>
          <w:rFonts w:ascii="黑体" w:hAnsi="黑体" w:cs="黑体" w:eastAsia="黑体" w:hint="default"/>
          <w:w w:val="95"/>
        </w:rPr>
        <w:t>董事长：常小兵</w:t>
        <w:tab/>
        <w:t>财务负责人：张健</w:t>
        <w:tab/>
      </w:r>
      <w:r>
        <w:rPr>
          <w:rFonts w:ascii="黑体" w:hAnsi="黑体" w:cs="黑体" w:eastAsia="黑体" w:hint="default"/>
        </w:rPr>
        <w:t>财务部总经理：赵玉军</w:t>
      </w:r>
    </w:p>
    <w:p>
      <w:pPr>
        <w:spacing w:after="0" w:line="240" w:lineRule="auto"/>
        <w:jc w:val="left"/>
        <w:rPr>
          <w:rFonts w:ascii="黑体" w:hAnsi="黑体" w:cs="黑体" w:eastAsia="黑体" w:hint="default"/>
        </w:rPr>
        <w:sectPr>
          <w:headerReference w:type="default" r:id="rId29"/>
          <w:footerReference w:type="default" r:id="rId30"/>
          <w:pgSz w:w="16840" w:h="11910" w:orient="landscape"/>
          <w:pgMar w:header="0" w:footer="577" w:top="1080" w:bottom="760" w:left="880" w:right="340"/>
          <w:pgNumType w:start="54"/>
        </w:sectPr>
      </w:pPr>
    </w:p>
    <w:p>
      <w:pPr>
        <w:pStyle w:val="BodyText"/>
        <w:spacing w:line="240" w:lineRule="auto" w:before="13"/>
        <w:ind w:left="140" w:right="141"/>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8"/>
        <w:rPr>
          <w:rFonts w:ascii="黑体" w:hAnsi="黑体" w:cs="黑体" w:eastAsia="黑体" w:hint="default"/>
          <w:sz w:val="21"/>
          <w:szCs w:val="21"/>
        </w:rPr>
      </w:pPr>
    </w:p>
    <w:p>
      <w:pPr>
        <w:pStyle w:val="BodyText"/>
        <w:spacing w:line="294" w:lineRule="exact"/>
        <w:ind w:left="140" w:right="141"/>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9"/>
        </w:rPr>
        <w:t> </w:t>
      </w:r>
      <w:r>
        <w:rPr>
          <w:rFonts w:ascii="黑体" w:hAnsi="黑体" w:cs="黑体" w:eastAsia="黑体" w:hint="default"/>
        </w:rPr>
        <w:t>年度公司股东权益变动表</w:t>
      </w:r>
    </w:p>
    <w:p>
      <w:pPr>
        <w:pStyle w:val="BodyText"/>
        <w:spacing w:line="278" w:lineRule="exact"/>
        <w:ind w:left="140" w:right="141"/>
        <w:jc w:val="left"/>
        <w:rPr>
          <w:rFonts w:ascii="黑体" w:hAnsi="黑体" w:cs="黑体" w:eastAsia="黑体" w:hint="default"/>
        </w:rPr>
      </w:pPr>
      <w:r>
        <w:rPr>
          <w:rFonts w:ascii="黑体" w:hAnsi="黑体" w:cs="黑体" w:eastAsia="黑体" w:hint="default"/>
        </w:rPr>
        <w:t>（除特别注明外，金额单位为人民币元）</w:t>
      </w:r>
    </w:p>
    <w:p>
      <w:pPr>
        <w:spacing w:line="240" w:lineRule="auto" w:before="12"/>
        <w:rPr>
          <w:rFonts w:ascii="黑体" w:hAnsi="黑体" w:cs="黑体" w:eastAsia="黑体" w:hint="default"/>
          <w:sz w:val="27"/>
          <w:szCs w:val="27"/>
        </w:rPr>
      </w:pPr>
    </w:p>
    <w:tbl>
      <w:tblPr>
        <w:tblW w:w="0" w:type="auto"/>
        <w:jc w:val="left"/>
        <w:tblInd w:w="119" w:type="dxa"/>
        <w:tblLayout w:type="fixed"/>
        <w:tblCellMar>
          <w:top w:w="0" w:type="dxa"/>
          <w:left w:w="0" w:type="dxa"/>
          <w:bottom w:w="0" w:type="dxa"/>
          <w:right w:w="0" w:type="dxa"/>
        </w:tblCellMar>
        <w:tblLook w:val="01E0"/>
      </w:tblPr>
      <w:tblGrid>
        <w:gridCol w:w="4618"/>
        <w:gridCol w:w="750"/>
        <w:gridCol w:w="1910"/>
        <w:gridCol w:w="1914"/>
        <w:gridCol w:w="1910"/>
        <w:gridCol w:w="2041"/>
        <w:gridCol w:w="1974"/>
      </w:tblGrid>
      <w:tr>
        <w:trPr>
          <w:trHeight w:val="262" w:hRule="exact"/>
        </w:trPr>
        <w:tc>
          <w:tcPr>
            <w:tcW w:w="4618"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2"/>
              <w:jc w:val="center"/>
              <w:rPr>
                <w:rFonts w:ascii="黑体" w:hAnsi="黑体" w:cs="黑体" w:eastAsia="黑体" w:hint="default"/>
                <w:sz w:val="19"/>
                <w:szCs w:val="19"/>
              </w:rPr>
            </w:pPr>
            <w:r>
              <w:rPr>
                <w:rFonts w:ascii="黑体" w:hAnsi="黑体" w:cs="黑体" w:eastAsia="黑体" w:hint="default"/>
                <w:sz w:val="19"/>
                <w:szCs w:val="19"/>
              </w:rPr>
              <w:t>项目</w:t>
            </w:r>
          </w:p>
        </w:tc>
        <w:tc>
          <w:tcPr>
            <w:tcW w:w="750"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1"/>
              <w:jc w:val="center"/>
              <w:rPr>
                <w:rFonts w:ascii="黑体" w:hAnsi="黑体" w:cs="黑体" w:eastAsia="黑体" w:hint="default"/>
                <w:sz w:val="19"/>
                <w:szCs w:val="19"/>
              </w:rPr>
            </w:pPr>
            <w:r>
              <w:rPr>
                <w:rFonts w:ascii="黑体" w:hAnsi="黑体" w:cs="黑体" w:eastAsia="黑体" w:hint="default"/>
                <w:sz w:val="19"/>
                <w:szCs w:val="19"/>
              </w:rPr>
              <w:t>附注</w:t>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right="0"/>
              <w:jc w:val="center"/>
              <w:rPr>
                <w:rFonts w:ascii="黑体" w:hAnsi="黑体" w:cs="黑体" w:eastAsia="黑体" w:hint="default"/>
                <w:sz w:val="19"/>
                <w:szCs w:val="19"/>
              </w:rPr>
            </w:pPr>
            <w:r>
              <w:rPr>
                <w:rFonts w:ascii="黑体" w:hAnsi="黑体" w:cs="黑体" w:eastAsia="黑体" w:hint="default"/>
                <w:sz w:val="19"/>
                <w:szCs w:val="19"/>
              </w:rPr>
              <w:t>股本</w:t>
            </w:r>
          </w:p>
        </w:tc>
        <w:tc>
          <w:tcPr>
            <w:tcW w:w="191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570" w:right="0"/>
              <w:jc w:val="left"/>
              <w:rPr>
                <w:rFonts w:ascii="黑体" w:hAnsi="黑体" w:cs="黑体" w:eastAsia="黑体" w:hint="default"/>
                <w:sz w:val="19"/>
                <w:szCs w:val="19"/>
              </w:rPr>
            </w:pPr>
            <w:r>
              <w:rPr>
                <w:rFonts w:ascii="黑体" w:hAnsi="黑体" w:cs="黑体" w:eastAsia="黑体" w:hint="default"/>
                <w:sz w:val="19"/>
                <w:szCs w:val="19"/>
              </w:rPr>
              <w:t>资本公积</w:t>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566" w:right="0"/>
              <w:jc w:val="left"/>
              <w:rPr>
                <w:rFonts w:ascii="黑体" w:hAnsi="黑体" w:cs="黑体" w:eastAsia="黑体" w:hint="default"/>
                <w:sz w:val="19"/>
                <w:szCs w:val="19"/>
              </w:rPr>
            </w:pPr>
            <w:r>
              <w:rPr>
                <w:rFonts w:ascii="黑体" w:hAnsi="黑体" w:cs="黑体" w:eastAsia="黑体" w:hint="default"/>
                <w:sz w:val="19"/>
                <w:szCs w:val="19"/>
              </w:rPr>
              <w:t>盈余公积</w:t>
            </w:r>
          </w:p>
        </w:tc>
        <w:tc>
          <w:tcPr>
            <w:tcW w:w="2041"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538" w:right="0"/>
              <w:jc w:val="left"/>
              <w:rPr>
                <w:rFonts w:ascii="黑体" w:hAnsi="黑体" w:cs="黑体" w:eastAsia="黑体" w:hint="default"/>
                <w:sz w:val="19"/>
                <w:szCs w:val="19"/>
              </w:rPr>
            </w:pPr>
            <w:r>
              <w:rPr>
                <w:rFonts w:ascii="黑体" w:hAnsi="黑体" w:cs="黑体" w:eastAsia="黑体" w:hint="default"/>
                <w:sz w:val="19"/>
                <w:szCs w:val="19"/>
              </w:rPr>
              <w:t>未分配利润</w:t>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409" w:right="0"/>
              <w:jc w:val="left"/>
              <w:rPr>
                <w:rFonts w:ascii="黑体" w:hAnsi="黑体" w:cs="黑体" w:eastAsia="黑体" w:hint="default"/>
                <w:sz w:val="19"/>
                <w:szCs w:val="19"/>
              </w:rPr>
            </w:pPr>
            <w:r>
              <w:rPr>
                <w:rFonts w:ascii="黑体" w:hAnsi="黑体" w:cs="黑体" w:eastAsia="黑体" w:hint="default"/>
                <w:sz w:val="19"/>
                <w:szCs w:val="19"/>
              </w:rPr>
              <w:t>股东权益合计</w:t>
            </w:r>
          </w:p>
        </w:tc>
      </w:tr>
      <w:tr>
        <w:trPr>
          <w:trHeight w:val="260" w:hRule="exact"/>
        </w:trPr>
        <w:tc>
          <w:tcPr>
            <w:tcW w:w="4618"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ind w:left="100" w:right="0"/>
              <w:jc w:val="left"/>
              <w:rPr>
                <w:rFonts w:ascii="宋体" w:hAnsi="宋体" w:cs="宋体" w:eastAsia="宋体" w:hint="default"/>
                <w:sz w:val="19"/>
                <w:szCs w:val="19"/>
              </w:rPr>
            </w:pPr>
            <w:r>
              <w:rPr>
                <w:rFonts w:ascii="Arial" w:hAnsi="Arial" w:cs="Arial" w:eastAsia="Arial" w:hint="default"/>
                <w:sz w:val="19"/>
                <w:szCs w:val="19"/>
              </w:rPr>
              <w:t>2008</w:t>
            </w:r>
            <w:r>
              <w:rPr>
                <w:rFonts w:ascii="Arial" w:hAnsi="Arial" w:cs="Arial" w:eastAsia="Arial" w:hint="default"/>
                <w:spacing w:val="-6"/>
                <w:sz w:val="19"/>
                <w:szCs w:val="19"/>
              </w:rPr>
              <w:t> </w:t>
            </w:r>
            <w:r>
              <w:rPr>
                <w:rFonts w:ascii="宋体" w:hAnsi="宋体" w:cs="宋体" w:eastAsia="宋体" w:hint="default"/>
                <w:sz w:val="19"/>
                <w:szCs w:val="19"/>
              </w:rPr>
              <w:t>年</w:t>
            </w:r>
            <w:r>
              <w:rPr>
                <w:rFonts w:ascii="宋体" w:hAnsi="宋体" w:cs="宋体" w:eastAsia="宋体" w:hint="default"/>
                <w:spacing w:val="-49"/>
                <w:sz w:val="19"/>
                <w:szCs w:val="19"/>
              </w:rPr>
              <w:t> </w:t>
            </w:r>
            <w:r>
              <w:rPr>
                <w:rFonts w:ascii="Arial" w:hAnsi="Arial" w:cs="Arial" w:eastAsia="Arial" w:hint="default"/>
                <w:sz w:val="19"/>
                <w:szCs w:val="19"/>
              </w:rPr>
              <w:t>1</w:t>
            </w:r>
            <w:r>
              <w:rPr>
                <w:rFonts w:ascii="Arial" w:hAnsi="Arial" w:cs="Arial" w:eastAsia="Arial" w:hint="default"/>
                <w:spacing w:val="-6"/>
                <w:sz w:val="19"/>
                <w:szCs w:val="19"/>
              </w:rPr>
              <w:t> </w:t>
            </w:r>
            <w:r>
              <w:rPr>
                <w:rFonts w:ascii="宋体" w:hAnsi="宋体" w:cs="宋体" w:eastAsia="宋体" w:hint="default"/>
                <w:sz w:val="19"/>
                <w:szCs w:val="19"/>
              </w:rPr>
              <w:t>月</w:t>
            </w:r>
            <w:r>
              <w:rPr>
                <w:rFonts w:ascii="宋体" w:hAnsi="宋体" w:cs="宋体" w:eastAsia="宋体" w:hint="default"/>
                <w:spacing w:val="-50"/>
                <w:sz w:val="19"/>
                <w:szCs w:val="19"/>
              </w:rPr>
              <w:t> </w:t>
            </w:r>
            <w:r>
              <w:rPr>
                <w:rFonts w:ascii="Arial" w:hAnsi="Arial" w:cs="Arial" w:eastAsia="Arial" w:hint="default"/>
                <w:sz w:val="19"/>
                <w:szCs w:val="19"/>
              </w:rPr>
              <w:t>1</w:t>
            </w:r>
            <w:r>
              <w:rPr>
                <w:rFonts w:ascii="Arial" w:hAnsi="Arial" w:cs="Arial" w:eastAsia="Arial" w:hint="default"/>
                <w:spacing w:val="-6"/>
                <w:sz w:val="19"/>
                <w:szCs w:val="19"/>
              </w:rPr>
              <w:t> </w:t>
            </w:r>
            <w:r>
              <w:rPr>
                <w:rFonts w:ascii="宋体" w:hAnsi="宋体" w:cs="宋体" w:eastAsia="宋体" w:hint="default"/>
                <w:sz w:val="19"/>
                <w:szCs w:val="19"/>
              </w:rPr>
              <w:t>日年初余额</w:t>
            </w:r>
          </w:p>
        </w:tc>
        <w:tc>
          <w:tcPr>
            <w:tcW w:w="750" w:type="dxa"/>
            <w:tcBorders>
              <w:top w:val="single" w:sz="6" w:space="0" w:color="000000"/>
              <w:left w:val="single" w:sz="6" w:space="0" w:color="000000"/>
              <w:bottom w:val="single" w:sz="6" w:space="0" w:color="000000"/>
              <w:right w:val="single" w:sz="6" w:space="0" w:color="000000"/>
            </w:tcBorders>
          </w:tcPr>
          <w:p>
            <w:pP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Arial" w:hAnsi="Arial" w:cs="Arial" w:eastAsia="Arial" w:hint="default"/>
                <w:sz w:val="19"/>
                <w:szCs w:val="19"/>
              </w:rPr>
            </w:pPr>
            <w:r>
              <w:rPr>
                <w:rFonts w:ascii="Arial"/>
                <w:w w:val="95"/>
                <w:sz w:val="19"/>
              </w:rPr>
              <w:t>21,196,596,395</w:t>
            </w:r>
            <w:r>
              <w:rPr>
                <w:rFonts w:ascii="Arial"/>
                <w:sz w:val="19"/>
              </w:rPr>
            </w:r>
          </w:p>
        </w:tc>
        <w:tc>
          <w:tcPr>
            <w:tcW w:w="1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1"/>
              <w:jc w:val="right"/>
              <w:rPr>
                <w:rFonts w:ascii="Arial" w:hAnsi="Arial" w:cs="Arial" w:eastAsia="Arial" w:hint="default"/>
                <w:sz w:val="19"/>
                <w:szCs w:val="19"/>
              </w:rPr>
            </w:pPr>
            <w:r>
              <w:rPr>
                <w:rFonts w:ascii="Arial"/>
                <w:w w:val="95"/>
                <w:sz w:val="19"/>
              </w:rPr>
              <w:t>17,111,103,108</w:t>
            </w:r>
            <w:r>
              <w:rPr>
                <w:rFonts w:ascii="Arial"/>
                <w:sz w:val="19"/>
              </w:rPr>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Arial" w:hAnsi="Arial" w:cs="Arial" w:eastAsia="Arial" w:hint="default"/>
                <w:sz w:val="19"/>
                <w:szCs w:val="19"/>
              </w:rPr>
            </w:pPr>
            <w:r>
              <w:rPr>
                <w:rFonts w:ascii="Arial"/>
                <w:w w:val="95"/>
                <w:sz w:val="19"/>
              </w:rPr>
              <w:t>454,768,781</w:t>
            </w:r>
            <w:r>
              <w:rPr>
                <w:rFonts w:ascii="Arial"/>
                <w:sz w:val="19"/>
              </w:rPr>
            </w:r>
          </w:p>
        </w:tc>
        <w:tc>
          <w:tcPr>
            <w:tcW w:w="20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1"/>
              <w:jc w:val="right"/>
              <w:rPr>
                <w:rFonts w:ascii="Arial" w:hAnsi="Arial" w:cs="Arial" w:eastAsia="Arial" w:hint="default"/>
                <w:sz w:val="19"/>
                <w:szCs w:val="19"/>
              </w:rPr>
            </w:pPr>
            <w:r>
              <w:rPr>
                <w:rFonts w:ascii="Arial"/>
                <w:w w:val="95"/>
                <w:sz w:val="19"/>
              </w:rPr>
              <w:t>(213,070,647)</w:t>
            </w:r>
            <w:r>
              <w:rPr>
                <w:rFonts w:ascii="Arial"/>
                <w:sz w:val="19"/>
              </w:rPr>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9"/>
              <w:jc w:val="right"/>
              <w:rPr>
                <w:rFonts w:ascii="Arial" w:hAnsi="Arial" w:cs="Arial" w:eastAsia="Arial" w:hint="default"/>
                <w:sz w:val="19"/>
                <w:szCs w:val="19"/>
              </w:rPr>
            </w:pPr>
            <w:r>
              <w:rPr>
                <w:rFonts w:ascii="Arial"/>
                <w:w w:val="95"/>
                <w:sz w:val="19"/>
              </w:rPr>
              <w:t>38,549,397,637</w:t>
            </w:r>
            <w:r>
              <w:rPr>
                <w:rFonts w:ascii="Arial"/>
                <w:sz w:val="19"/>
              </w:rPr>
            </w:r>
          </w:p>
        </w:tc>
      </w:tr>
      <w:tr>
        <w:trPr>
          <w:trHeight w:val="262" w:hRule="exact"/>
        </w:trPr>
        <w:tc>
          <w:tcPr>
            <w:tcW w:w="4618"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328" w:right="0"/>
              <w:jc w:val="left"/>
              <w:rPr>
                <w:rFonts w:ascii="宋体" w:hAnsi="宋体" w:cs="宋体" w:eastAsia="宋体" w:hint="default"/>
                <w:sz w:val="19"/>
                <w:szCs w:val="19"/>
              </w:rPr>
            </w:pPr>
            <w:r>
              <w:rPr>
                <w:rFonts w:ascii="宋体" w:hAnsi="宋体" w:cs="宋体" w:eastAsia="宋体" w:hint="default"/>
                <w:sz w:val="19"/>
                <w:szCs w:val="19"/>
              </w:rPr>
              <w:t>盈余公积弥补亏损</w:t>
            </w:r>
          </w:p>
        </w:tc>
        <w:tc>
          <w:tcPr>
            <w:tcW w:w="750"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ind w:right="1"/>
              <w:jc w:val="center"/>
              <w:rPr>
                <w:rFonts w:ascii="Arial" w:hAnsi="Arial" w:cs="Arial" w:eastAsia="Arial" w:hint="default"/>
                <w:sz w:val="19"/>
                <w:szCs w:val="19"/>
              </w:rPr>
            </w:pPr>
            <w:r>
              <w:rPr>
                <w:rFonts w:ascii="宋体" w:hAnsi="宋体" w:cs="宋体" w:eastAsia="宋体" w:hint="default"/>
                <w:sz w:val="19"/>
                <w:szCs w:val="19"/>
              </w:rPr>
              <w:t>五</w:t>
            </w:r>
            <w:r>
              <w:rPr>
                <w:rFonts w:ascii="Arial" w:hAnsi="Arial" w:cs="Arial" w:eastAsia="Arial" w:hint="default"/>
                <w:sz w:val="19"/>
                <w:szCs w:val="19"/>
              </w:rPr>
              <w:t>(32)</w:t>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7"/>
              <w:jc w:val="right"/>
              <w:rPr>
                <w:rFonts w:ascii="Arial" w:hAnsi="Arial" w:cs="Arial" w:eastAsia="Arial" w:hint="default"/>
                <w:sz w:val="19"/>
                <w:szCs w:val="19"/>
              </w:rPr>
            </w:pPr>
            <w:r>
              <w:rPr>
                <w:rFonts w:ascii="Arial"/>
                <w:w w:val="99"/>
                <w:sz w:val="19"/>
              </w:rPr>
              <w:t>-</w:t>
            </w:r>
            <w:r>
              <w:rPr>
                <w:rFonts w:ascii="Arial"/>
                <w:sz w:val="19"/>
              </w:rPr>
            </w:r>
          </w:p>
        </w:tc>
        <w:tc>
          <w:tcPr>
            <w:tcW w:w="1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1"/>
              <w:jc w:val="right"/>
              <w:rPr>
                <w:rFonts w:ascii="Arial" w:hAnsi="Arial" w:cs="Arial" w:eastAsia="Arial" w:hint="default"/>
                <w:sz w:val="19"/>
                <w:szCs w:val="19"/>
              </w:rPr>
            </w:pPr>
            <w:r>
              <w:rPr>
                <w:rFonts w:ascii="Arial"/>
                <w:w w:val="99"/>
                <w:sz w:val="19"/>
              </w:rPr>
              <w:t>-</w:t>
            </w:r>
            <w:r>
              <w:rPr>
                <w:rFonts w:ascii="Arial"/>
                <w:sz w:val="19"/>
              </w:rPr>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35"/>
              <w:jc w:val="right"/>
              <w:rPr>
                <w:rFonts w:ascii="Arial" w:hAnsi="Arial" w:cs="Arial" w:eastAsia="Arial" w:hint="default"/>
                <w:sz w:val="19"/>
                <w:szCs w:val="19"/>
              </w:rPr>
            </w:pPr>
            <w:r>
              <w:rPr>
                <w:rFonts w:ascii="Arial"/>
                <w:w w:val="95"/>
                <w:sz w:val="19"/>
              </w:rPr>
              <w:t>(213,070,647)</w:t>
            </w:r>
            <w:r>
              <w:rPr>
                <w:rFonts w:ascii="Arial"/>
                <w:sz w:val="19"/>
              </w:rPr>
            </w:r>
          </w:p>
        </w:tc>
        <w:tc>
          <w:tcPr>
            <w:tcW w:w="20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56"/>
              <w:jc w:val="right"/>
              <w:rPr>
                <w:rFonts w:ascii="Arial" w:hAnsi="Arial" w:cs="Arial" w:eastAsia="Arial" w:hint="default"/>
                <w:sz w:val="19"/>
                <w:szCs w:val="19"/>
              </w:rPr>
            </w:pPr>
            <w:r>
              <w:rPr>
                <w:rFonts w:ascii="Arial"/>
                <w:w w:val="95"/>
                <w:sz w:val="19"/>
              </w:rPr>
              <w:t>213,070,647</w:t>
            </w:r>
            <w:r>
              <w:rPr>
                <w:rFonts w:ascii="Arial"/>
                <w:sz w:val="19"/>
              </w:rPr>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9"/>
                <w:szCs w:val="19"/>
              </w:rPr>
            </w:pPr>
            <w:r>
              <w:rPr>
                <w:rFonts w:ascii="Arial"/>
                <w:w w:val="99"/>
                <w:sz w:val="19"/>
              </w:rPr>
              <w:t>-</w:t>
            </w:r>
            <w:r>
              <w:rPr>
                <w:rFonts w:ascii="Arial"/>
                <w:sz w:val="19"/>
              </w:rPr>
            </w:r>
          </w:p>
        </w:tc>
      </w:tr>
      <w:tr>
        <w:trPr>
          <w:trHeight w:val="262" w:hRule="exact"/>
        </w:trPr>
        <w:tc>
          <w:tcPr>
            <w:tcW w:w="4618"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328" w:right="0"/>
              <w:jc w:val="left"/>
              <w:rPr>
                <w:rFonts w:ascii="宋体" w:hAnsi="宋体" w:cs="宋体" w:eastAsia="宋体" w:hint="default"/>
                <w:sz w:val="19"/>
                <w:szCs w:val="19"/>
              </w:rPr>
            </w:pPr>
            <w:r>
              <w:rPr>
                <w:rFonts w:ascii="宋体" w:hAnsi="宋体" w:cs="宋体" w:eastAsia="宋体" w:hint="default"/>
                <w:sz w:val="19"/>
                <w:szCs w:val="19"/>
              </w:rPr>
              <w:t>净利润</w:t>
            </w:r>
          </w:p>
        </w:tc>
        <w:tc>
          <w:tcPr>
            <w:tcW w:w="750" w:type="dxa"/>
            <w:tcBorders>
              <w:top w:val="single" w:sz="6" w:space="0" w:color="000000"/>
              <w:left w:val="single" w:sz="6" w:space="0" w:color="000000"/>
              <w:bottom w:val="single" w:sz="6" w:space="0" w:color="000000"/>
              <w:right w:val="single" w:sz="6" w:space="0" w:color="000000"/>
            </w:tcBorders>
          </w:tcPr>
          <w:p>
            <w:pP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Arial" w:hAnsi="Arial" w:cs="Arial" w:eastAsia="Arial" w:hint="default"/>
                <w:sz w:val="19"/>
                <w:szCs w:val="19"/>
              </w:rPr>
            </w:pPr>
            <w:r>
              <w:rPr>
                <w:rFonts w:ascii="Arial"/>
                <w:w w:val="99"/>
                <w:sz w:val="19"/>
              </w:rPr>
              <w:t>-</w:t>
            </w:r>
            <w:r>
              <w:rPr>
                <w:rFonts w:ascii="Arial"/>
                <w:sz w:val="19"/>
              </w:rPr>
            </w:r>
          </w:p>
        </w:tc>
        <w:tc>
          <w:tcPr>
            <w:tcW w:w="1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1"/>
              <w:jc w:val="right"/>
              <w:rPr>
                <w:rFonts w:ascii="Arial" w:hAnsi="Arial" w:cs="Arial" w:eastAsia="Arial" w:hint="default"/>
                <w:sz w:val="19"/>
                <w:szCs w:val="19"/>
              </w:rPr>
            </w:pPr>
            <w:r>
              <w:rPr>
                <w:rFonts w:ascii="Arial"/>
                <w:w w:val="99"/>
                <w:sz w:val="19"/>
              </w:rPr>
              <w:t>-</w:t>
            </w:r>
            <w:r>
              <w:rPr>
                <w:rFonts w:ascii="Arial"/>
                <w:sz w:val="19"/>
              </w:rPr>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Arial" w:hAnsi="Arial" w:cs="Arial" w:eastAsia="Arial" w:hint="default"/>
                <w:sz w:val="19"/>
                <w:szCs w:val="19"/>
              </w:rPr>
            </w:pPr>
            <w:r>
              <w:rPr>
                <w:rFonts w:ascii="Arial"/>
                <w:w w:val="99"/>
                <w:sz w:val="19"/>
              </w:rPr>
              <w:t>-</w:t>
            </w:r>
            <w:r>
              <w:rPr>
                <w:rFonts w:ascii="Arial"/>
                <w:sz w:val="19"/>
              </w:rPr>
            </w:r>
          </w:p>
        </w:tc>
        <w:tc>
          <w:tcPr>
            <w:tcW w:w="20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57"/>
              <w:jc w:val="right"/>
              <w:rPr>
                <w:rFonts w:ascii="Arial" w:hAnsi="Arial" w:cs="Arial" w:eastAsia="Arial" w:hint="default"/>
                <w:sz w:val="19"/>
                <w:szCs w:val="19"/>
              </w:rPr>
            </w:pPr>
            <w:r>
              <w:rPr>
                <w:rFonts w:ascii="Arial"/>
                <w:w w:val="95"/>
                <w:sz w:val="19"/>
              </w:rPr>
              <w:t>1,584,123,599</w:t>
            </w:r>
            <w:r>
              <w:rPr>
                <w:rFonts w:ascii="Arial"/>
                <w:sz w:val="19"/>
              </w:rPr>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9"/>
              <w:jc w:val="right"/>
              <w:rPr>
                <w:rFonts w:ascii="Arial" w:hAnsi="Arial" w:cs="Arial" w:eastAsia="Arial" w:hint="default"/>
                <w:sz w:val="19"/>
                <w:szCs w:val="19"/>
              </w:rPr>
            </w:pPr>
            <w:r>
              <w:rPr>
                <w:rFonts w:ascii="Arial"/>
                <w:w w:val="95"/>
                <w:sz w:val="19"/>
              </w:rPr>
              <w:t>1,584,123,599</w:t>
            </w:r>
            <w:r>
              <w:rPr>
                <w:rFonts w:ascii="Arial"/>
                <w:sz w:val="19"/>
              </w:rPr>
            </w:r>
          </w:p>
        </w:tc>
      </w:tr>
      <w:tr>
        <w:trPr>
          <w:trHeight w:val="262" w:hRule="exact"/>
        </w:trPr>
        <w:tc>
          <w:tcPr>
            <w:tcW w:w="4618"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328" w:right="0"/>
              <w:jc w:val="left"/>
              <w:rPr>
                <w:rFonts w:ascii="宋体" w:hAnsi="宋体" w:cs="宋体" w:eastAsia="宋体" w:hint="default"/>
                <w:sz w:val="19"/>
                <w:szCs w:val="19"/>
              </w:rPr>
            </w:pPr>
            <w:r>
              <w:rPr>
                <w:rFonts w:ascii="宋体" w:hAnsi="宋体" w:cs="宋体" w:eastAsia="宋体" w:hint="default"/>
                <w:sz w:val="19"/>
                <w:szCs w:val="19"/>
              </w:rPr>
              <w:t>向股东分派的普通股股利</w:t>
            </w:r>
          </w:p>
        </w:tc>
        <w:tc>
          <w:tcPr>
            <w:tcW w:w="750"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ind w:right="1"/>
              <w:jc w:val="center"/>
              <w:rPr>
                <w:rFonts w:ascii="Arial" w:hAnsi="Arial" w:cs="Arial" w:eastAsia="Arial" w:hint="default"/>
                <w:sz w:val="19"/>
                <w:szCs w:val="19"/>
              </w:rPr>
            </w:pPr>
            <w:r>
              <w:rPr>
                <w:rFonts w:ascii="宋体" w:hAnsi="宋体" w:cs="宋体" w:eastAsia="宋体" w:hint="default"/>
                <w:sz w:val="19"/>
                <w:szCs w:val="19"/>
              </w:rPr>
              <w:t>五</w:t>
            </w:r>
            <w:r>
              <w:rPr>
                <w:rFonts w:ascii="Arial" w:hAnsi="Arial" w:cs="Arial" w:eastAsia="Arial" w:hint="default"/>
                <w:sz w:val="19"/>
                <w:szCs w:val="19"/>
              </w:rPr>
              <w:t>(33)</w:t>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7"/>
              <w:jc w:val="right"/>
              <w:rPr>
                <w:rFonts w:ascii="Arial" w:hAnsi="Arial" w:cs="Arial" w:eastAsia="Arial" w:hint="default"/>
                <w:sz w:val="19"/>
                <w:szCs w:val="19"/>
              </w:rPr>
            </w:pPr>
            <w:r>
              <w:rPr>
                <w:rFonts w:ascii="Arial"/>
                <w:w w:val="99"/>
                <w:sz w:val="19"/>
              </w:rPr>
              <w:t>-</w:t>
            </w:r>
            <w:r>
              <w:rPr>
                <w:rFonts w:ascii="Arial"/>
                <w:sz w:val="19"/>
              </w:rPr>
            </w:r>
          </w:p>
        </w:tc>
        <w:tc>
          <w:tcPr>
            <w:tcW w:w="1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1"/>
              <w:jc w:val="right"/>
              <w:rPr>
                <w:rFonts w:ascii="Arial" w:hAnsi="Arial" w:cs="Arial" w:eastAsia="Arial" w:hint="default"/>
                <w:sz w:val="19"/>
                <w:szCs w:val="19"/>
              </w:rPr>
            </w:pPr>
            <w:r>
              <w:rPr>
                <w:rFonts w:ascii="Arial"/>
                <w:w w:val="99"/>
                <w:sz w:val="19"/>
              </w:rPr>
              <w:t>-</w:t>
            </w:r>
            <w:r>
              <w:rPr>
                <w:rFonts w:ascii="Arial"/>
                <w:sz w:val="19"/>
              </w:rPr>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Arial" w:hAnsi="Arial" w:cs="Arial" w:eastAsia="Arial" w:hint="default"/>
                <w:sz w:val="19"/>
                <w:szCs w:val="19"/>
              </w:rPr>
            </w:pPr>
            <w:r>
              <w:rPr>
                <w:rFonts w:ascii="Arial"/>
                <w:w w:val="99"/>
                <w:sz w:val="19"/>
              </w:rPr>
              <w:t>-</w:t>
            </w:r>
            <w:r>
              <w:rPr>
                <w:rFonts w:ascii="Arial"/>
                <w:sz w:val="19"/>
              </w:rPr>
            </w:r>
          </w:p>
        </w:tc>
        <w:tc>
          <w:tcPr>
            <w:tcW w:w="20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9"/>
                <w:szCs w:val="19"/>
              </w:rPr>
            </w:pPr>
            <w:r>
              <w:rPr>
                <w:rFonts w:ascii="Arial"/>
                <w:w w:val="95"/>
                <w:sz w:val="19"/>
              </w:rPr>
              <w:t>(1,424,411,278)</w:t>
            </w:r>
            <w:r>
              <w:rPr>
                <w:rFonts w:ascii="Arial"/>
                <w:sz w:val="19"/>
              </w:rPr>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46"/>
              <w:jc w:val="right"/>
              <w:rPr>
                <w:rFonts w:ascii="Arial" w:hAnsi="Arial" w:cs="Arial" w:eastAsia="Arial" w:hint="default"/>
                <w:sz w:val="19"/>
                <w:szCs w:val="19"/>
              </w:rPr>
            </w:pPr>
            <w:r>
              <w:rPr>
                <w:rFonts w:ascii="Arial"/>
                <w:w w:val="95"/>
                <w:sz w:val="19"/>
              </w:rPr>
              <w:t>(1,424,411,278)</w:t>
            </w:r>
            <w:r>
              <w:rPr>
                <w:rFonts w:ascii="Arial"/>
                <w:sz w:val="19"/>
              </w:rPr>
            </w:r>
          </w:p>
        </w:tc>
      </w:tr>
      <w:tr>
        <w:trPr>
          <w:trHeight w:val="262" w:hRule="exact"/>
        </w:trPr>
        <w:tc>
          <w:tcPr>
            <w:tcW w:w="4618"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328" w:right="0"/>
              <w:jc w:val="left"/>
              <w:rPr>
                <w:rFonts w:ascii="宋体" w:hAnsi="宋体" w:cs="宋体" w:eastAsia="宋体" w:hint="default"/>
                <w:sz w:val="19"/>
                <w:szCs w:val="19"/>
              </w:rPr>
            </w:pPr>
            <w:r>
              <w:rPr>
                <w:rFonts w:ascii="宋体" w:hAnsi="宋体" w:cs="宋体" w:eastAsia="宋体" w:hint="default"/>
                <w:sz w:val="19"/>
                <w:szCs w:val="19"/>
              </w:rPr>
              <w:t>提取盈余公积</w:t>
            </w:r>
          </w:p>
        </w:tc>
        <w:tc>
          <w:tcPr>
            <w:tcW w:w="750"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ind w:right="1"/>
              <w:jc w:val="center"/>
              <w:rPr>
                <w:rFonts w:ascii="Arial" w:hAnsi="Arial" w:cs="Arial" w:eastAsia="Arial" w:hint="default"/>
                <w:sz w:val="19"/>
                <w:szCs w:val="19"/>
              </w:rPr>
            </w:pPr>
            <w:r>
              <w:rPr>
                <w:rFonts w:ascii="宋体" w:hAnsi="宋体" w:cs="宋体" w:eastAsia="宋体" w:hint="default"/>
                <w:sz w:val="19"/>
                <w:szCs w:val="19"/>
              </w:rPr>
              <w:t>五</w:t>
            </w:r>
            <w:r>
              <w:rPr>
                <w:rFonts w:ascii="Arial" w:hAnsi="Arial" w:cs="Arial" w:eastAsia="Arial" w:hint="default"/>
                <w:sz w:val="19"/>
                <w:szCs w:val="19"/>
              </w:rPr>
              <w:t>(32)</w:t>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7"/>
              <w:jc w:val="right"/>
              <w:rPr>
                <w:rFonts w:ascii="Arial" w:hAnsi="Arial" w:cs="Arial" w:eastAsia="Arial" w:hint="default"/>
                <w:sz w:val="19"/>
                <w:szCs w:val="19"/>
              </w:rPr>
            </w:pPr>
            <w:r>
              <w:rPr>
                <w:rFonts w:ascii="Arial"/>
                <w:w w:val="99"/>
                <w:sz w:val="19"/>
              </w:rPr>
              <w:t>-</w:t>
            </w:r>
            <w:r>
              <w:rPr>
                <w:rFonts w:ascii="Arial"/>
                <w:sz w:val="19"/>
              </w:rPr>
            </w:r>
          </w:p>
        </w:tc>
        <w:tc>
          <w:tcPr>
            <w:tcW w:w="1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1"/>
              <w:jc w:val="right"/>
              <w:rPr>
                <w:rFonts w:ascii="Arial" w:hAnsi="Arial" w:cs="Arial" w:eastAsia="Arial" w:hint="default"/>
                <w:sz w:val="19"/>
                <w:szCs w:val="19"/>
              </w:rPr>
            </w:pPr>
            <w:r>
              <w:rPr>
                <w:rFonts w:ascii="Arial"/>
                <w:w w:val="99"/>
                <w:sz w:val="19"/>
              </w:rPr>
              <w:t>-</w:t>
            </w:r>
            <w:r>
              <w:rPr>
                <w:rFonts w:ascii="Arial"/>
                <w:sz w:val="19"/>
              </w:rPr>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Arial" w:hAnsi="Arial" w:cs="Arial" w:eastAsia="Arial" w:hint="default"/>
                <w:sz w:val="19"/>
                <w:szCs w:val="19"/>
              </w:rPr>
            </w:pPr>
            <w:r>
              <w:rPr>
                <w:rFonts w:ascii="Arial"/>
                <w:w w:val="95"/>
                <w:sz w:val="19"/>
              </w:rPr>
              <w:t>158,412,360</w:t>
            </w:r>
            <w:r>
              <w:rPr>
                <w:rFonts w:ascii="Arial"/>
                <w:sz w:val="19"/>
              </w:rPr>
            </w:r>
          </w:p>
        </w:tc>
        <w:tc>
          <w:tcPr>
            <w:tcW w:w="20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Arial" w:hAnsi="Arial" w:cs="Arial" w:eastAsia="Arial" w:hint="default"/>
                <w:sz w:val="19"/>
                <w:szCs w:val="19"/>
              </w:rPr>
            </w:pPr>
            <w:r>
              <w:rPr>
                <w:rFonts w:ascii="Arial"/>
                <w:w w:val="95"/>
                <w:sz w:val="19"/>
              </w:rPr>
              <w:t>(158,412,360)</w:t>
            </w:r>
            <w:r>
              <w:rPr>
                <w:rFonts w:ascii="Arial"/>
                <w:sz w:val="19"/>
              </w:rPr>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9"/>
                <w:szCs w:val="19"/>
              </w:rPr>
            </w:pPr>
            <w:r>
              <w:rPr>
                <w:rFonts w:ascii="Arial"/>
                <w:w w:val="99"/>
                <w:sz w:val="19"/>
              </w:rPr>
              <w:t>-</w:t>
            </w:r>
            <w:r>
              <w:rPr>
                <w:rFonts w:ascii="Arial"/>
                <w:sz w:val="19"/>
              </w:rPr>
            </w:r>
          </w:p>
        </w:tc>
      </w:tr>
      <w:tr>
        <w:trPr>
          <w:trHeight w:val="262" w:hRule="exact"/>
        </w:trPr>
        <w:tc>
          <w:tcPr>
            <w:tcW w:w="4618"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ind w:left="100" w:right="0"/>
              <w:jc w:val="left"/>
              <w:rPr>
                <w:rFonts w:ascii="宋体" w:hAnsi="宋体" w:cs="宋体" w:eastAsia="宋体" w:hint="default"/>
                <w:sz w:val="19"/>
                <w:szCs w:val="19"/>
              </w:rPr>
            </w:pPr>
            <w:r>
              <w:rPr>
                <w:rFonts w:ascii="Arial" w:hAnsi="Arial" w:cs="Arial" w:eastAsia="Arial" w:hint="default"/>
                <w:sz w:val="19"/>
                <w:szCs w:val="19"/>
              </w:rPr>
              <w:t>2008</w:t>
            </w:r>
            <w:r>
              <w:rPr>
                <w:rFonts w:ascii="Arial" w:hAnsi="Arial" w:cs="Arial" w:eastAsia="Arial" w:hint="default"/>
                <w:spacing w:val="-6"/>
                <w:sz w:val="19"/>
                <w:szCs w:val="19"/>
              </w:rPr>
              <w:t> </w:t>
            </w:r>
            <w:r>
              <w:rPr>
                <w:rFonts w:ascii="宋体" w:hAnsi="宋体" w:cs="宋体" w:eastAsia="宋体" w:hint="default"/>
                <w:sz w:val="19"/>
                <w:szCs w:val="19"/>
              </w:rPr>
              <w:t>年</w:t>
            </w:r>
            <w:r>
              <w:rPr>
                <w:rFonts w:ascii="宋体" w:hAnsi="宋体" w:cs="宋体" w:eastAsia="宋体" w:hint="default"/>
                <w:spacing w:val="-49"/>
                <w:sz w:val="19"/>
                <w:szCs w:val="19"/>
              </w:rPr>
              <w:t> </w:t>
            </w:r>
            <w:r>
              <w:rPr>
                <w:rFonts w:ascii="Arial" w:hAnsi="Arial" w:cs="Arial" w:eastAsia="Arial" w:hint="default"/>
                <w:sz w:val="19"/>
                <w:szCs w:val="19"/>
              </w:rPr>
              <w:t>12</w:t>
            </w:r>
            <w:r>
              <w:rPr>
                <w:rFonts w:ascii="Arial" w:hAnsi="Arial" w:cs="Arial" w:eastAsia="Arial" w:hint="default"/>
                <w:spacing w:val="-6"/>
                <w:sz w:val="19"/>
                <w:szCs w:val="19"/>
              </w:rPr>
              <w:t> </w:t>
            </w:r>
            <w:r>
              <w:rPr>
                <w:rFonts w:ascii="宋体" w:hAnsi="宋体" w:cs="宋体" w:eastAsia="宋体" w:hint="default"/>
                <w:sz w:val="19"/>
                <w:szCs w:val="19"/>
              </w:rPr>
              <w:t>月</w:t>
            </w:r>
            <w:r>
              <w:rPr>
                <w:rFonts w:ascii="宋体" w:hAnsi="宋体" w:cs="宋体" w:eastAsia="宋体" w:hint="default"/>
                <w:spacing w:val="-50"/>
                <w:sz w:val="19"/>
                <w:szCs w:val="19"/>
              </w:rPr>
              <w:t> </w:t>
            </w:r>
            <w:r>
              <w:rPr>
                <w:rFonts w:ascii="Arial" w:hAnsi="Arial" w:cs="Arial" w:eastAsia="Arial" w:hint="default"/>
                <w:sz w:val="19"/>
                <w:szCs w:val="19"/>
              </w:rPr>
              <w:t>31</w:t>
            </w:r>
            <w:r>
              <w:rPr>
                <w:rFonts w:ascii="Arial" w:hAnsi="Arial" w:cs="Arial" w:eastAsia="Arial" w:hint="default"/>
                <w:spacing w:val="-6"/>
                <w:sz w:val="19"/>
                <w:szCs w:val="19"/>
              </w:rPr>
              <w:t> </w:t>
            </w:r>
            <w:r>
              <w:rPr>
                <w:rFonts w:ascii="宋体" w:hAnsi="宋体" w:cs="宋体" w:eastAsia="宋体" w:hint="default"/>
                <w:sz w:val="19"/>
                <w:szCs w:val="19"/>
              </w:rPr>
              <w:t>日年末余额</w:t>
            </w:r>
          </w:p>
        </w:tc>
        <w:tc>
          <w:tcPr>
            <w:tcW w:w="750" w:type="dxa"/>
            <w:tcBorders>
              <w:top w:val="single" w:sz="6" w:space="0" w:color="000000"/>
              <w:left w:val="single" w:sz="6" w:space="0" w:color="000000"/>
              <w:bottom w:val="single" w:sz="6" w:space="0" w:color="000000"/>
              <w:right w:val="single" w:sz="6" w:space="0" w:color="000000"/>
            </w:tcBorders>
          </w:tcPr>
          <w:p>
            <w:pP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Arial" w:hAnsi="Arial" w:cs="Arial" w:eastAsia="Arial" w:hint="default"/>
                <w:sz w:val="19"/>
                <w:szCs w:val="19"/>
              </w:rPr>
            </w:pPr>
            <w:r>
              <w:rPr>
                <w:rFonts w:ascii="Arial"/>
                <w:w w:val="95"/>
                <w:sz w:val="19"/>
              </w:rPr>
              <w:t>21,196,596,395</w:t>
            </w:r>
            <w:r>
              <w:rPr>
                <w:rFonts w:ascii="Arial"/>
                <w:sz w:val="19"/>
              </w:rPr>
            </w:r>
          </w:p>
        </w:tc>
        <w:tc>
          <w:tcPr>
            <w:tcW w:w="1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1"/>
              <w:jc w:val="right"/>
              <w:rPr>
                <w:rFonts w:ascii="Arial" w:hAnsi="Arial" w:cs="Arial" w:eastAsia="Arial" w:hint="default"/>
                <w:sz w:val="19"/>
                <w:szCs w:val="19"/>
              </w:rPr>
            </w:pPr>
            <w:r>
              <w:rPr>
                <w:rFonts w:ascii="Arial"/>
                <w:w w:val="95"/>
                <w:sz w:val="19"/>
              </w:rPr>
              <w:t>17,111,103,108</w:t>
            </w:r>
            <w:r>
              <w:rPr>
                <w:rFonts w:ascii="Arial"/>
                <w:sz w:val="19"/>
              </w:rPr>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Arial" w:hAnsi="Arial" w:cs="Arial" w:eastAsia="Arial" w:hint="default"/>
                <w:sz w:val="19"/>
                <w:szCs w:val="19"/>
              </w:rPr>
            </w:pPr>
            <w:r>
              <w:rPr>
                <w:rFonts w:ascii="Arial"/>
                <w:w w:val="95"/>
                <w:sz w:val="19"/>
              </w:rPr>
              <w:t>400,110,494</w:t>
            </w:r>
            <w:r>
              <w:rPr>
                <w:rFonts w:ascii="Arial"/>
                <w:sz w:val="19"/>
              </w:rPr>
            </w:r>
          </w:p>
        </w:tc>
        <w:tc>
          <w:tcPr>
            <w:tcW w:w="20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57"/>
              <w:jc w:val="right"/>
              <w:rPr>
                <w:rFonts w:ascii="Arial" w:hAnsi="Arial" w:cs="Arial" w:eastAsia="Arial" w:hint="default"/>
                <w:sz w:val="19"/>
                <w:szCs w:val="19"/>
              </w:rPr>
            </w:pPr>
            <w:r>
              <w:rPr>
                <w:rFonts w:ascii="Arial"/>
                <w:w w:val="95"/>
                <w:sz w:val="19"/>
              </w:rPr>
              <w:t>1,299,961</w:t>
            </w:r>
            <w:r>
              <w:rPr>
                <w:rFonts w:ascii="Arial"/>
                <w:sz w:val="19"/>
              </w:rPr>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9"/>
              <w:jc w:val="right"/>
              <w:rPr>
                <w:rFonts w:ascii="Arial" w:hAnsi="Arial" w:cs="Arial" w:eastAsia="Arial" w:hint="default"/>
                <w:sz w:val="19"/>
                <w:szCs w:val="19"/>
              </w:rPr>
            </w:pPr>
            <w:r>
              <w:rPr>
                <w:rFonts w:ascii="Arial"/>
                <w:w w:val="95"/>
                <w:sz w:val="19"/>
              </w:rPr>
              <w:t>38,709,109,958</w:t>
            </w:r>
            <w:r>
              <w:rPr>
                <w:rFonts w:ascii="Arial"/>
                <w:sz w:val="19"/>
              </w:rPr>
            </w:r>
          </w:p>
        </w:tc>
      </w:tr>
      <w:tr>
        <w:trPr>
          <w:trHeight w:val="260" w:hRule="exact"/>
        </w:trPr>
        <w:tc>
          <w:tcPr>
            <w:tcW w:w="4618"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328" w:right="0"/>
              <w:jc w:val="left"/>
              <w:rPr>
                <w:rFonts w:ascii="宋体" w:hAnsi="宋体" w:cs="宋体" w:eastAsia="宋体" w:hint="default"/>
                <w:sz w:val="19"/>
                <w:szCs w:val="19"/>
              </w:rPr>
            </w:pPr>
            <w:r>
              <w:rPr>
                <w:rFonts w:ascii="宋体" w:hAnsi="宋体" w:cs="宋体" w:eastAsia="宋体" w:hint="default"/>
                <w:sz w:val="19"/>
                <w:szCs w:val="19"/>
              </w:rPr>
              <w:t>净利润</w:t>
            </w:r>
          </w:p>
        </w:tc>
        <w:tc>
          <w:tcPr>
            <w:tcW w:w="750" w:type="dxa"/>
            <w:tcBorders>
              <w:top w:val="single" w:sz="6" w:space="0" w:color="000000"/>
              <w:left w:val="single" w:sz="6" w:space="0" w:color="000000"/>
              <w:bottom w:val="single" w:sz="6" w:space="0" w:color="000000"/>
              <w:right w:val="single" w:sz="6" w:space="0" w:color="000000"/>
            </w:tcBorders>
          </w:tcPr>
          <w:p>
            <w:pP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Arial" w:hAnsi="Arial" w:cs="Arial" w:eastAsia="Arial" w:hint="default"/>
                <w:sz w:val="19"/>
                <w:szCs w:val="19"/>
              </w:rPr>
            </w:pPr>
            <w:r>
              <w:rPr>
                <w:rFonts w:ascii="Arial"/>
                <w:w w:val="99"/>
                <w:sz w:val="19"/>
              </w:rPr>
              <w:t>-</w:t>
            </w:r>
            <w:r>
              <w:rPr>
                <w:rFonts w:ascii="Arial"/>
                <w:sz w:val="19"/>
              </w:rPr>
            </w:r>
          </w:p>
        </w:tc>
        <w:tc>
          <w:tcPr>
            <w:tcW w:w="1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1"/>
              <w:jc w:val="right"/>
              <w:rPr>
                <w:rFonts w:ascii="Arial" w:hAnsi="Arial" w:cs="Arial" w:eastAsia="Arial" w:hint="default"/>
                <w:sz w:val="19"/>
                <w:szCs w:val="19"/>
              </w:rPr>
            </w:pPr>
            <w:r>
              <w:rPr>
                <w:rFonts w:ascii="Arial"/>
                <w:w w:val="99"/>
                <w:sz w:val="19"/>
              </w:rPr>
              <w:t>-</w:t>
            </w:r>
            <w:r>
              <w:rPr>
                <w:rFonts w:ascii="Arial"/>
                <w:sz w:val="19"/>
              </w:rPr>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Arial" w:hAnsi="Arial" w:cs="Arial" w:eastAsia="Arial" w:hint="default"/>
                <w:sz w:val="19"/>
                <w:szCs w:val="19"/>
              </w:rPr>
            </w:pPr>
            <w:r>
              <w:rPr>
                <w:rFonts w:ascii="Arial"/>
                <w:w w:val="99"/>
                <w:sz w:val="19"/>
              </w:rPr>
              <w:t>-</w:t>
            </w:r>
            <w:r>
              <w:rPr>
                <w:rFonts w:ascii="Arial"/>
                <w:sz w:val="19"/>
              </w:rPr>
            </w:r>
          </w:p>
        </w:tc>
        <w:tc>
          <w:tcPr>
            <w:tcW w:w="20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57"/>
              <w:jc w:val="right"/>
              <w:rPr>
                <w:rFonts w:ascii="Arial" w:hAnsi="Arial" w:cs="Arial" w:eastAsia="Arial" w:hint="default"/>
                <w:sz w:val="19"/>
                <w:szCs w:val="19"/>
              </w:rPr>
            </w:pPr>
            <w:r>
              <w:rPr>
                <w:rFonts w:ascii="Arial"/>
                <w:w w:val="95"/>
                <w:sz w:val="19"/>
              </w:rPr>
              <w:t>1,583,896,120</w:t>
            </w:r>
            <w:r>
              <w:rPr>
                <w:rFonts w:ascii="Arial"/>
                <w:sz w:val="19"/>
              </w:rPr>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9"/>
              <w:jc w:val="right"/>
              <w:rPr>
                <w:rFonts w:ascii="Arial" w:hAnsi="Arial" w:cs="Arial" w:eastAsia="Arial" w:hint="default"/>
                <w:sz w:val="19"/>
                <w:szCs w:val="19"/>
              </w:rPr>
            </w:pPr>
            <w:r>
              <w:rPr>
                <w:rFonts w:ascii="Arial"/>
                <w:w w:val="95"/>
                <w:sz w:val="19"/>
              </w:rPr>
              <w:t>1,583,896,120</w:t>
            </w:r>
            <w:r>
              <w:rPr>
                <w:rFonts w:ascii="Arial"/>
                <w:sz w:val="19"/>
              </w:rPr>
            </w:r>
          </w:p>
        </w:tc>
      </w:tr>
      <w:tr>
        <w:trPr>
          <w:trHeight w:val="262" w:hRule="exact"/>
        </w:trPr>
        <w:tc>
          <w:tcPr>
            <w:tcW w:w="4618"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328" w:right="0"/>
              <w:jc w:val="left"/>
              <w:rPr>
                <w:rFonts w:ascii="宋体" w:hAnsi="宋体" w:cs="宋体" w:eastAsia="宋体" w:hint="default"/>
                <w:sz w:val="19"/>
                <w:szCs w:val="19"/>
              </w:rPr>
            </w:pPr>
            <w:r>
              <w:rPr>
                <w:rFonts w:ascii="宋体" w:hAnsi="宋体" w:cs="宋体" w:eastAsia="宋体" w:hint="default"/>
                <w:sz w:val="19"/>
                <w:szCs w:val="19"/>
              </w:rPr>
              <w:t>向股东分派的普通股股利</w:t>
            </w:r>
          </w:p>
        </w:tc>
        <w:tc>
          <w:tcPr>
            <w:tcW w:w="750"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ind w:right="1"/>
              <w:jc w:val="center"/>
              <w:rPr>
                <w:rFonts w:ascii="Arial" w:hAnsi="Arial" w:cs="Arial" w:eastAsia="Arial" w:hint="default"/>
                <w:sz w:val="19"/>
                <w:szCs w:val="19"/>
              </w:rPr>
            </w:pPr>
            <w:r>
              <w:rPr>
                <w:rFonts w:ascii="宋体" w:hAnsi="宋体" w:cs="宋体" w:eastAsia="宋体" w:hint="default"/>
                <w:sz w:val="19"/>
                <w:szCs w:val="19"/>
              </w:rPr>
              <w:t>五</w:t>
            </w:r>
            <w:r>
              <w:rPr>
                <w:rFonts w:ascii="Arial" w:hAnsi="Arial" w:cs="Arial" w:eastAsia="Arial" w:hint="default"/>
                <w:sz w:val="19"/>
                <w:szCs w:val="19"/>
              </w:rPr>
              <w:t>(33)</w:t>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7"/>
              <w:jc w:val="right"/>
              <w:rPr>
                <w:rFonts w:ascii="Arial" w:hAnsi="Arial" w:cs="Arial" w:eastAsia="Arial" w:hint="default"/>
                <w:sz w:val="19"/>
                <w:szCs w:val="19"/>
              </w:rPr>
            </w:pPr>
            <w:r>
              <w:rPr>
                <w:rFonts w:ascii="Arial"/>
                <w:w w:val="99"/>
                <w:sz w:val="19"/>
              </w:rPr>
              <w:t>-</w:t>
            </w:r>
            <w:r>
              <w:rPr>
                <w:rFonts w:ascii="Arial"/>
                <w:sz w:val="19"/>
              </w:rPr>
            </w:r>
          </w:p>
        </w:tc>
        <w:tc>
          <w:tcPr>
            <w:tcW w:w="1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1"/>
              <w:jc w:val="right"/>
              <w:rPr>
                <w:rFonts w:ascii="Arial" w:hAnsi="Arial" w:cs="Arial" w:eastAsia="Arial" w:hint="default"/>
                <w:sz w:val="19"/>
                <w:szCs w:val="19"/>
              </w:rPr>
            </w:pPr>
            <w:r>
              <w:rPr>
                <w:rFonts w:ascii="Arial"/>
                <w:w w:val="99"/>
                <w:sz w:val="19"/>
              </w:rPr>
              <w:t>-</w:t>
            </w:r>
            <w:r>
              <w:rPr>
                <w:rFonts w:ascii="Arial"/>
                <w:sz w:val="19"/>
              </w:rPr>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Arial" w:hAnsi="Arial" w:cs="Arial" w:eastAsia="Arial" w:hint="default"/>
                <w:sz w:val="19"/>
                <w:szCs w:val="19"/>
              </w:rPr>
            </w:pPr>
            <w:r>
              <w:rPr>
                <w:rFonts w:ascii="Arial"/>
                <w:w w:val="99"/>
                <w:sz w:val="19"/>
              </w:rPr>
              <w:t>-</w:t>
            </w:r>
            <w:r>
              <w:rPr>
                <w:rFonts w:ascii="Arial"/>
                <w:sz w:val="19"/>
              </w:rPr>
            </w:r>
          </w:p>
        </w:tc>
        <w:tc>
          <w:tcPr>
            <w:tcW w:w="20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Arial" w:hAnsi="Arial" w:cs="Arial" w:eastAsia="Arial" w:hint="default"/>
                <w:sz w:val="19"/>
                <w:szCs w:val="19"/>
              </w:rPr>
            </w:pPr>
            <w:r>
              <w:rPr>
                <w:rFonts w:ascii="Arial"/>
                <w:w w:val="95"/>
                <w:sz w:val="19"/>
              </w:rPr>
              <w:t>(1,424,411,278)</w:t>
            </w:r>
            <w:r>
              <w:rPr>
                <w:rFonts w:ascii="Arial"/>
                <w:sz w:val="19"/>
              </w:rPr>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46"/>
              <w:jc w:val="right"/>
              <w:rPr>
                <w:rFonts w:ascii="Arial" w:hAnsi="Arial" w:cs="Arial" w:eastAsia="Arial" w:hint="default"/>
                <w:sz w:val="19"/>
                <w:szCs w:val="19"/>
              </w:rPr>
            </w:pPr>
            <w:r>
              <w:rPr>
                <w:rFonts w:ascii="Arial"/>
                <w:w w:val="95"/>
                <w:sz w:val="19"/>
              </w:rPr>
              <w:t>(1,424,411,278)</w:t>
            </w:r>
            <w:r>
              <w:rPr>
                <w:rFonts w:ascii="Arial"/>
                <w:sz w:val="19"/>
              </w:rPr>
            </w:r>
          </w:p>
        </w:tc>
      </w:tr>
      <w:tr>
        <w:trPr>
          <w:trHeight w:val="262" w:hRule="exact"/>
        </w:trPr>
        <w:tc>
          <w:tcPr>
            <w:tcW w:w="4618" w:type="dxa"/>
            <w:tcBorders>
              <w:top w:val="single" w:sz="6" w:space="0" w:color="000000"/>
              <w:left w:val="single" w:sz="6" w:space="0" w:color="000000"/>
              <w:bottom w:val="single" w:sz="6" w:space="0" w:color="000000"/>
              <w:right w:val="single" w:sz="6" w:space="0" w:color="000000"/>
            </w:tcBorders>
          </w:tcPr>
          <w:p>
            <w:pPr>
              <w:pStyle w:val="TableParagraph"/>
              <w:spacing w:line="219" w:lineRule="exact"/>
              <w:ind w:left="328" w:right="0"/>
              <w:jc w:val="left"/>
              <w:rPr>
                <w:rFonts w:ascii="宋体" w:hAnsi="宋体" w:cs="宋体" w:eastAsia="宋体" w:hint="default"/>
                <w:sz w:val="19"/>
                <w:szCs w:val="19"/>
              </w:rPr>
            </w:pPr>
            <w:r>
              <w:rPr>
                <w:rFonts w:ascii="宋体" w:hAnsi="宋体" w:cs="宋体" w:eastAsia="宋体" w:hint="default"/>
                <w:sz w:val="19"/>
                <w:szCs w:val="19"/>
              </w:rPr>
              <w:t>提取盈余公积</w:t>
            </w:r>
          </w:p>
        </w:tc>
        <w:tc>
          <w:tcPr>
            <w:tcW w:w="750"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ind w:right="1"/>
              <w:jc w:val="center"/>
              <w:rPr>
                <w:rFonts w:ascii="Arial" w:hAnsi="Arial" w:cs="Arial" w:eastAsia="Arial" w:hint="default"/>
                <w:sz w:val="19"/>
                <w:szCs w:val="19"/>
              </w:rPr>
            </w:pPr>
            <w:r>
              <w:rPr>
                <w:rFonts w:ascii="宋体" w:hAnsi="宋体" w:cs="宋体" w:eastAsia="宋体" w:hint="default"/>
                <w:sz w:val="19"/>
                <w:szCs w:val="19"/>
              </w:rPr>
              <w:t>五</w:t>
            </w:r>
            <w:r>
              <w:rPr>
                <w:rFonts w:ascii="Arial" w:hAnsi="Arial" w:cs="Arial" w:eastAsia="Arial" w:hint="default"/>
                <w:sz w:val="19"/>
                <w:szCs w:val="19"/>
              </w:rPr>
              <w:t>(32)</w:t>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7"/>
              <w:jc w:val="right"/>
              <w:rPr>
                <w:rFonts w:ascii="Arial" w:hAnsi="Arial" w:cs="Arial" w:eastAsia="Arial" w:hint="default"/>
                <w:sz w:val="19"/>
                <w:szCs w:val="19"/>
              </w:rPr>
            </w:pPr>
            <w:r>
              <w:rPr>
                <w:rFonts w:ascii="Arial"/>
                <w:w w:val="99"/>
                <w:sz w:val="19"/>
              </w:rPr>
              <w:t>-</w:t>
            </w:r>
            <w:r>
              <w:rPr>
                <w:rFonts w:ascii="Arial"/>
                <w:sz w:val="19"/>
              </w:rPr>
            </w:r>
          </w:p>
        </w:tc>
        <w:tc>
          <w:tcPr>
            <w:tcW w:w="1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1"/>
              <w:jc w:val="right"/>
              <w:rPr>
                <w:rFonts w:ascii="Arial" w:hAnsi="Arial" w:cs="Arial" w:eastAsia="Arial" w:hint="default"/>
                <w:sz w:val="19"/>
                <w:szCs w:val="19"/>
              </w:rPr>
            </w:pPr>
            <w:r>
              <w:rPr>
                <w:rFonts w:ascii="Arial"/>
                <w:w w:val="99"/>
                <w:sz w:val="19"/>
              </w:rPr>
              <w:t>-</w:t>
            </w:r>
            <w:r>
              <w:rPr>
                <w:rFonts w:ascii="Arial"/>
                <w:sz w:val="19"/>
              </w:rPr>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Arial" w:hAnsi="Arial" w:cs="Arial" w:eastAsia="Arial" w:hint="default"/>
                <w:sz w:val="19"/>
                <w:szCs w:val="19"/>
              </w:rPr>
            </w:pPr>
            <w:r>
              <w:rPr>
                <w:rFonts w:ascii="Arial"/>
                <w:w w:val="95"/>
                <w:sz w:val="19"/>
              </w:rPr>
              <w:t>158,389,612</w:t>
            </w:r>
            <w:r>
              <w:rPr>
                <w:rFonts w:ascii="Arial"/>
                <w:sz w:val="19"/>
              </w:rPr>
            </w:r>
          </w:p>
        </w:tc>
        <w:tc>
          <w:tcPr>
            <w:tcW w:w="20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Arial" w:hAnsi="Arial" w:cs="Arial" w:eastAsia="Arial" w:hint="default"/>
                <w:sz w:val="19"/>
                <w:szCs w:val="19"/>
              </w:rPr>
            </w:pPr>
            <w:r>
              <w:rPr>
                <w:rFonts w:ascii="Arial"/>
                <w:w w:val="95"/>
                <w:sz w:val="19"/>
              </w:rPr>
              <w:t>(158,389,612)</w:t>
            </w:r>
            <w:r>
              <w:rPr>
                <w:rFonts w:ascii="Arial"/>
                <w:sz w:val="19"/>
              </w:rPr>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8"/>
              <w:jc w:val="right"/>
              <w:rPr>
                <w:rFonts w:ascii="Arial" w:hAnsi="Arial" w:cs="Arial" w:eastAsia="Arial" w:hint="default"/>
                <w:sz w:val="19"/>
                <w:szCs w:val="19"/>
              </w:rPr>
            </w:pPr>
            <w:r>
              <w:rPr>
                <w:rFonts w:ascii="Arial"/>
                <w:w w:val="99"/>
                <w:sz w:val="19"/>
              </w:rPr>
              <w:t>-</w:t>
            </w:r>
            <w:r>
              <w:rPr>
                <w:rFonts w:ascii="Arial"/>
                <w:sz w:val="19"/>
              </w:rPr>
            </w:r>
          </w:p>
        </w:tc>
      </w:tr>
      <w:tr>
        <w:trPr>
          <w:trHeight w:val="260" w:hRule="exact"/>
        </w:trPr>
        <w:tc>
          <w:tcPr>
            <w:tcW w:w="4618"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ind w:left="100" w:right="0"/>
              <w:jc w:val="left"/>
              <w:rPr>
                <w:rFonts w:ascii="宋体" w:hAnsi="宋体" w:cs="宋体" w:eastAsia="宋体" w:hint="default"/>
                <w:sz w:val="19"/>
                <w:szCs w:val="19"/>
              </w:rPr>
            </w:pPr>
            <w:r>
              <w:rPr>
                <w:rFonts w:ascii="Arial" w:hAnsi="Arial" w:cs="Arial" w:eastAsia="Arial" w:hint="default"/>
                <w:sz w:val="19"/>
                <w:szCs w:val="19"/>
              </w:rPr>
              <w:t>2009</w:t>
            </w:r>
            <w:r>
              <w:rPr>
                <w:rFonts w:ascii="Arial" w:hAnsi="Arial" w:cs="Arial" w:eastAsia="Arial" w:hint="default"/>
                <w:spacing w:val="-6"/>
                <w:sz w:val="19"/>
                <w:szCs w:val="19"/>
              </w:rPr>
              <w:t> </w:t>
            </w:r>
            <w:r>
              <w:rPr>
                <w:rFonts w:ascii="宋体" w:hAnsi="宋体" w:cs="宋体" w:eastAsia="宋体" w:hint="default"/>
                <w:sz w:val="19"/>
                <w:szCs w:val="19"/>
              </w:rPr>
              <w:t>年</w:t>
            </w:r>
            <w:r>
              <w:rPr>
                <w:rFonts w:ascii="宋体" w:hAnsi="宋体" w:cs="宋体" w:eastAsia="宋体" w:hint="default"/>
                <w:spacing w:val="-49"/>
                <w:sz w:val="19"/>
                <w:szCs w:val="19"/>
              </w:rPr>
              <w:t> </w:t>
            </w:r>
            <w:r>
              <w:rPr>
                <w:rFonts w:ascii="Arial" w:hAnsi="Arial" w:cs="Arial" w:eastAsia="Arial" w:hint="default"/>
                <w:sz w:val="19"/>
                <w:szCs w:val="19"/>
              </w:rPr>
              <w:t>12</w:t>
            </w:r>
            <w:r>
              <w:rPr>
                <w:rFonts w:ascii="Arial" w:hAnsi="Arial" w:cs="Arial" w:eastAsia="Arial" w:hint="default"/>
                <w:spacing w:val="-6"/>
                <w:sz w:val="19"/>
                <w:szCs w:val="19"/>
              </w:rPr>
              <w:t> </w:t>
            </w:r>
            <w:r>
              <w:rPr>
                <w:rFonts w:ascii="宋体" w:hAnsi="宋体" w:cs="宋体" w:eastAsia="宋体" w:hint="default"/>
                <w:sz w:val="19"/>
                <w:szCs w:val="19"/>
              </w:rPr>
              <w:t>月</w:t>
            </w:r>
            <w:r>
              <w:rPr>
                <w:rFonts w:ascii="宋体" w:hAnsi="宋体" w:cs="宋体" w:eastAsia="宋体" w:hint="default"/>
                <w:spacing w:val="-50"/>
                <w:sz w:val="19"/>
                <w:szCs w:val="19"/>
              </w:rPr>
              <w:t> </w:t>
            </w:r>
            <w:r>
              <w:rPr>
                <w:rFonts w:ascii="Arial" w:hAnsi="Arial" w:cs="Arial" w:eastAsia="Arial" w:hint="default"/>
                <w:sz w:val="19"/>
                <w:szCs w:val="19"/>
              </w:rPr>
              <w:t>31</w:t>
            </w:r>
            <w:r>
              <w:rPr>
                <w:rFonts w:ascii="Arial" w:hAnsi="Arial" w:cs="Arial" w:eastAsia="Arial" w:hint="default"/>
                <w:spacing w:val="-6"/>
                <w:sz w:val="19"/>
                <w:szCs w:val="19"/>
              </w:rPr>
              <w:t> </w:t>
            </w:r>
            <w:r>
              <w:rPr>
                <w:rFonts w:ascii="宋体" w:hAnsi="宋体" w:cs="宋体" w:eastAsia="宋体" w:hint="default"/>
                <w:sz w:val="19"/>
                <w:szCs w:val="19"/>
              </w:rPr>
              <w:t>日年末余额</w:t>
            </w:r>
          </w:p>
        </w:tc>
        <w:tc>
          <w:tcPr>
            <w:tcW w:w="750" w:type="dxa"/>
            <w:tcBorders>
              <w:top w:val="single" w:sz="6" w:space="0" w:color="000000"/>
              <w:left w:val="single" w:sz="6" w:space="0" w:color="000000"/>
              <w:bottom w:val="single" w:sz="6" w:space="0" w:color="000000"/>
              <w:right w:val="single" w:sz="6" w:space="0" w:color="000000"/>
            </w:tcBorders>
          </w:tcPr>
          <w:p>
            <w:pP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Arial" w:hAnsi="Arial" w:cs="Arial" w:eastAsia="Arial" w:hint="default"/>
                <w:sz w:val="19"/>
                <w:szCs w:val="19"/>
              </w:rPr>
            </w:pPr>
            <w:r>
              <w:rPr>
                <w:rFonts w:ascii="Arial"/>
                <w:w w:val="95"/>
                <w:sz w:val="19"/>
              </w:rPr>
              <w:t>21,196,596,395</w:t>
            </w:r>
            <w:r>
              <w:rPr>
                <w:rFonts w:ascii="Arial"/>
                <w:sz w:val="19"/>
              </w:rPr>
            </w:r>
          </w:p>
        </w:tc>
        <w:tc>
          <w:tcPr>
            <w:tcW w:w="19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1"/>
              <w:jc w:val="right"/>
              <w:rPr>
                <w:rFonts w:ascii="Arial" w:hAnsi="Arial" w:cs="Arial" w:eastAsia="Arial" w:hint="default"/>
                <w:sz w:val="19"/>
                <w:szCs w:val="19"/>
              </w:rPr>
            </w:pPr>
            <w:r>
              <w:rPr>
                <w:rFonts w:ascii="Arial"/>
                <w:w w:val="95"/>
                <w:sz w:val="19"/>
              </w:rPr>
              <w:t>17,111,103,108</w:t>
            </w:r>
            <w:r>
              <w:rPr>
                <w:rFonts w:ascii="Arial"/>
                <w:sz w:val="19"/>
              </w:rPr>
            </w:r>
          </w:p>
        </w:tc>
        <w:tc>
          <w:tcPr>
            <w:tcW w:w="19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Arial" w:hAnsi="Arial" w:cs="Arial" w:eastAsia="Arial" w:hint="default"/>
                <w:sz w:val="19"/>
                <w:szCs w:val="19"/>
              </w:rPr>
            </w:pPr>
            <w:r>
              <w:rPr>
                <w:rFonts w:ascii="Arial"/>
                <w:w w:val="95"/>
                <w:sz w:val="19"/>
              </w:rPr>
              <w:t>558,500,106</w:t>
            </w:r>
            <w:r>
              <w:rPr>
                <w:rFonts w:ascii="Arial"/>
                <w:sz w:val="19"/>
              </w:rPr>
            </w:r>
          </w:p>
        </w:tc>
        <w:tc>
          <w:tcPr>
            <w:tcW w:w="20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57"/>
              <w:jc w:val="right"/>
              <w:rPr>
                <w:rFonts w:ascii="Arial" w:hAnsi="Arial" w:cs="Arial" w:eastAsia="Arial" w:hint="default"/>
                <w:sz w:val="19"/>
                <w:szCs w:val="19"/>
              </w:rPr>
            </w:pPr>
            <w:r>
              <w:rPr>
                <w:rFonts w:ascii="Arial"/>
                <w:w w:val="95"/>
                <w:sz w:val="19"/>
              </w:rPr>
              <w:t>2,395,191</w:t>
            </w:r>
            <w:r>
              <w:rPr>
                <w:rFonts w:ascii="Arial"/>
                <w:sz w:val="19"/>
              </w:rPr>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89"/>
              <w:jc w:val="right"/>
              <w:rPr>
                <w:rFonts w:ascii="Arial" w:hAnsi="Arial" w:cs="Arial" w:eastAsia="Arial" w:hint="default"/>
                <w:sz w:val="19"/>
                <w:szCs w:val="19"/>
              </w:rPr>
            </w:pPr>
            <w:r>
              <w:rPr>
                <w:rFonts w:ascii="Arial"/>
                <w:w w:val="95"/>
                <w:sz w:val="19"/>
              </w:rPr>
              <w:t>38,868,594,800</w:t>
            </w:r>
            <w:r>
              <w:rPr>
                <w:rFonts w:ascii="Arial"/>
                <w:sz w:val="19"/>
              </w:rPr>
            </w:r>
          </w:p>
        </w:tc>
      </w:tr>
    </w:tbl>
    <w:p>
      <w:pPr>
        <w:spacing w:line="240" w:lineRule="auto" w:before="4"/>
        <w:rPr>
          <w:rFonts w:ascii="黑体" w:hAnsi="黑体" w:cs="黑体" w:eastAsia="黑体" w:hint="default"/>
          <w:sz w:val="12"/>
          <w:szCs w:val="12"/>
        </w:rPr>
      </w:pPr>
    </w:p>
    <w:p>
      <w:pPr>
        <w:spacing w:before="38"/>
        <w:ind w:left="126" w:right="141" w:firstLine="0"/>
        <w:jc w:val="left"/>
        <w:rPr>
          <w:rFonts w:ascii="黑体" w:hAnsi="黑体" w:cs="黑体" w:eastAsia="黑体" w:hint="default"/>
          <w:sz w:val="20"/>
          <w:szCs w:val="20"/>
        </w:rPr>
      </w:pPr>
      <w:r>
        <w:rPr>
          <w:rFonts w:ascii="黑体" w:hAnsi="黑体" w:cs="黑体" w:eastAsia="黑体" w:hint="default"/>
          <w:sz w:val="20"/>
          <w:szCs w:val="20"/>
        </w:rPr>
        <w:t>后附财务报表附注为财务报表的组成部分。</w:t>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4"/>
          <w:szCs w:val="14"/>
        </w:rPr>
      </w:pPr>
    </w:p>
    <w:p>
      <w:pPr>
        <w:pStyle w:val="BodyText"/>
        <w:tabs>
          <w:tab w:pos="5697" w:val="left" w:leader="none"/>
          <w:tab w:pos="11058" w:val="left" w:leader="none"/>
        </w:tabs>
        <w:spacing w:line="240" w:lineRule="auto"/>
        <w:ind w:left="140" w:right="141"/>
        <w:jc w:val="left"/>
        <w:rPr>
          <w:rFonts w:ascii="黑体" w:hAnsi="黑体" w:cs="黑体" w:eastAsia="黑体" w:hint="default"/>
        </w:rPr>
      </w:pPr>
      <w:r>
        <w:rPr>
          <w:rFonts w:ascii="黑体" w:hAnsi="黑体" w:cs="黑体" w:eastAsia="黑体" w:hint="default"/>
          <w:w w:val="95"/>
        </w:rPr>
        <w:t>董事长：常小兵</w:t>
        <w:tab/>
        <w:t>财务负责人：张健</w:t>
        <w:tab/>
      </w:r>
      <w:r>
        <w:rPr>
          <w:rFonts w:ascii="黑体" w:hAnsi="黑体" w:cs="黑体" w:eastAsia="黑体" w:hint="default"/>
        </w:rPr>
        <w:t>财务部总经理：赵玉军</w:t>
      </w:r>
    </w:p>
    <w:p>
      <w:pPr>
        <w:spacing w:after="0" w:line="240" w:lineRule="auto"/>
        <w:jc w:val="left"/>
        <w:rPr>
          <w:rFonts w:ascii="黑体" w:hAnsi="黑体" w:cs="黑体" w:eastAsia="黑体" w:hint="default"/>
        </w:rPr>
        <w:sectPr>
          <w:headerReference w:type="default" r:id="rId31"/>
          <w:footerReference w:type="default" r:id="rId32"/>
          <w:pgSz w:w="16840" w:h="11910" w:orient="landscape"/>
          <w:pgMar w:header="0" w:footer="577" w:top="1080" w:bottom="760" w:left="860" w:right="620"/>
          <w:pgNumType w:start="55"/>
        </w:sectPr>
      </w:pPr>
    </w:p>
    <w:p>
      <w:pPr>
        <w:spacing w:line="240" w:lineRule="auto" w:before="0"/>
        <w:rPr>
          <w:rFonts w:ascii="黑体" w:hAnsi="黑体" w:cs="黑体" w:eastAsia="黑体" w:hint="default"/>
          <w:sz w:val="15"/>
          <w:szCs w:val="15"/>
        </w:rPr>
      </w:pPr>
    </w:p>
    <w:p>
      <w:pPr>
        <w:pStyle w:val="BodyText"/>
        <w:tabs>
          <w:tab w:pos="538" w:val="left" w:leader="none"/>
        </w:tabs>
        <w:spacing w:line="240" w:lineRule="auto" w:before="31"/>
        <w:ind w:left="104" w:right="0"/>
        <w:jc w:val="left"/>
        <w:rPr>
          <w:rFonts w:ascii="黑体" w:hAnsi="黑体" w:cs="黑体" w:eastAsia="黑体" w:hint="default"/>
        </w:rPr>
      </w:pPr>
      <w:r>
        <w:rPr>
          <w:rFonts w:ascii="黑体" w:hAnsi="黑体" w:cs="黑体" w:eastAsia="黑体" w:hint="default"/>
          <w:w w:val="95"/>
        </w:rPr>
        <w:t>一</w:t>
        <w:tab/>
      </w:r>
      <w:r>
        <w:rPr>
          <w:rFonts w:ascii="黑体" w:hAnsi="黑体" w:cs="黑体" w:eastAsia="黑体" w:hint="default"/>
        </w:rPr>
        <w:t>公司简介</w:t>
      </w:r>
    </w:p>
    <w:p>
      <w:pPr>
        <w:pStyle w:val="BodyText"/>
        <w:spacing w:line="490" w:lineRule="atLeast" w:before="17"/>
        <w:ind w:left="538" w:right="177" w:hanging="435"/>
        <w:jc w:val="left"/>
        <w:rPr>
          <w:rFonts w:ascii="Arial" w:hAnsi="Arial" w:cs="Arial" w:eastAsia="Arial" w:hint="default"/>
        </w:rPr>
      </w:pPr>
      <w:r>
        <w:rPr>
          <w:rFonts w:ascii="Arial" w:hAnsi="Arial" w:cs="Arial" w:eastAsia="Arial" w:hint="default"/>
        </w:rPr>
        <w:t>1</w:t>
      </w:r>
      <w:r>
        <w:rPr/>
        <w:t>、</w:t>
      </w:r>
      <w:r>
        <w:rPr>
          <w:spacing w:val="-18"/>
        </w:rPr>
        <w:t> </w:t>
      </w:r>
      <w:r>
        <w:rPr/>
        <w:t>中国联合网络通信股份有限公司简介</w:t>
      </w:r>
      <w:r>
        <w:rPr>
          <w:w w:val="99"/>
        </w:rPr>
        <w:t> </w:t>
      </w:r>
      <w:r>
        <w:rPr>
          <w:spacing w:val="-6"/>
        </w:rPr>
        <w:t>中国联合网络通信股份有限公司（“本公司”，原名为中国联合通信股份有限公司，根据</w:t>
      </w:r>
      <w:r>
        <w:rPr>
          <w:spacing w:val="-56"/>
        </w:rPr>
        <w:t> </w:t>
      </w:r>
      <w:r>
        <w:rPr>
          <w:rFonts w:ascii="Arial" w:hAnsi="Arial" w:cs="Arial" w:eastAsia="Arial" w:hint="default"/>
        </w:rPr>
        <w:t>2009</w:t>
      </w:r>
    </w:p>
    <w:p>
      <w:pPr>
        <w:pStyle w:val="BodyText"/>
        <w:spacing w:line="228" w:lineRule="auto"/>
        <w:ind w:left="538" w:right="187"/>
        <w:jc w:val="both"/>
      </w:pPr>
      <w:r>
        <w:rPr/>
        <w:t>年</w:t>
      </w:r>
      <w:r>
        <w:rPr>
          <w:spacing w:val="-58"/>
        </w:rPr>
        <w:t> </w:t>
      </w:r>
      <w:r>
        <w:rPr>
          <w:rFonts w:ascii="Arial" w:hAnsi="Arial" w:cs="Arial" w:eastAsia="Arial" w:hint="default"/>
        </w:rPr>
        <w:t>5</w:t>
      </w:r>
      <w:r>
        <w:rPr>
          <w:rFonts w:ascii="Arial" w:hAnsi="Arial" w:cs="Arial" w:eastAsia="Arial" w:hint="default"/>
          <w:spacing w:val="-9"/>
        </w:rPr>
        <w:t> </w:t>
      </w:r>
      <w:r>
        <w:rPr/>
        <w:t>月</w:t>
      </w:r>
      <w:r>
        <w:rPr>
          <w:spacing w:val="-58"/>
        </w:rPr>
        <w:t> </w:t>
      </w:r>
      <w:r>
        <w:rPr>
          <w:rFonts w:ascii="Arial" w:hAnsi="Arial" w:cs="Arial" w:eastAsia="Arial" w:hint="default"/>
        </w:rPr>
        <w:t>26</w:t>
      </w:r>
      <w:r>
        <w:rPr>
          <w:rFonts w:ascii="Arial" w:hAnsi="Arial" w:cs="Arial" w:eastAsia="Arial" w:hint="default"/>
          <w:spacing w:val="-9"/>
        </w:rPr>
        <w:t> </w:t>
      </w:r>
      <w:r>
        <w:rPr/>
        <w:t>日股东大会的批准，于</w:t>
      </w:r>
      <w:r>
        <w:rPr>
          <w:spacing w:val="-57"/>
        </w:rPr>
        <w:t> </w:t>
      </w:r>
      <w:r>
        <w:rPr>
          <w:rFonts w:ascii="Arial" w:hAnsi="Arial" w:cs="Arial" w:eastAsia="Arial" w:hint="default"/>
        </w:rPr>
        <w:t>2009</w:t>
      </w:r>
      <w:r>
        <w:rPr>
          <w:rFonts w:ascii="Arial" w:hAnsi="Arial" w:cs="Arial" w:eastAsia="Arial" w:hint="default"/>
          <w:spacing w:val="-9"/>
        </w:rPr>
        <w:t> </w:t>
      </w:r>
      <w:r>
        <w:rPr/>
        <w:t>年</w:t>
      </w:r>
      <w:r>
        <w:rPr>
          <w:spacing w:val="-58"/>
        </w:rPr>
        <w:t> </w:t>
      </w:r>
      <w:r>
        <w:rPr>
          <w:rFonts w:ascii="Arial" w:hAnsi="Arial" w:cs="Arial" w:eastAsia="Arial" w:hint="default"/>
        </w:rPr>
        <w:t>8</w:t>
      </w:r>
      <w:r>
        <w:rPr>
          <w:rFonts w:ascii="Arial" w:hAnsi="Arial" w:cs="Arial" w:eastAsia="Arial" w:hint="default"/>
          <w:spacing w:val="-9"/>
        </w:rPr>
        <w:t> </w:t>
      </w:r>
      <w:r>
        <w:rPr/>
        <w:t>月</w:t>
      </w:r>
      <w:r>
        <w:rPr>
          <w:spacing w:val="-58"/>
        </w:rPr>
        <w:t> </w:t>
      </w:r>
      <w:r>
        <w:rPr>
          <w:rFonts w:ascii="Arial" w:hAnsi="Arial" w:cs="Arial" w:eastAsia="Arial" w:hint="default"/>
        </w:rPr>
        <w:t>7</w:t>
      </w:r>
      <w:r>
        <w:rPr>
          <w:rFonts w:ascii="Arial" w:hAnsi="Arial" w:cs="Arial" w:eastAsia="Arial" w:hint="default"/>
          <w:spacing w:val="-9"/>
        </w:rPr>
        <w:t> </w:t>
      </w:r>
      <w:r>
        <w:rPr/>
        <w:t>日进行了公司名称变更）是根据国务院批准</w:t>
      </w:r>
      <w:r>
        <w:rPr>
          <w:w w:val="99"/>
        </w:rPr>
        <w:t> </w:t>
      </w:r>
      <w:r>
        <w:rPr>
          <w:spacing w:val="2"/>
        </w:rPr>
        <w:t>的重组方案，由中国联合网络通信集团有限公司（“联通集团”，原名为中国联合通信有限</w:t>
      </w:r>
      <w:r>
        <w:rPr>
          <w:w w:val="99"/>
        </w:rPr>
        <w:t> </w:t>
      </w:r>
      <w:r>
        <w:rPr/>
        <w:t>公司，于</w:t>
      </w:r>
      <w:r>
        <w:rPr>
          <w:spacing w:val="-61"/>
        </w:rPr>
        <w:t> </w:t>
      </w:r>
      <w:r>
        <w:rPr>
          <w:rFonts w:ascii="Arial" w:hAnsi="Arial" w:cs="Arial" w:eastAsia="Arial" w:hint="default"/>
        </w:rPr>
        <w:t>2008</w:t>
      </w:r>
      <w:r>
        <w:rPr>
          <w:rFonts w:ascii="Arial" w:hAnsi="Arial" w:cs="Arial" w:eastAsia="Arial" w:hint="default"/>
          <w:spacing w:val="-12"/>
        </w:rPr>
        <w:t> </w:t>
      </w:r>
      <w:r>
        <w:rPr/>
        <w:t>年</w:t>
      </w:r>
      <w:r>
        <w:rPr>
          <w:spacing w:val="-61"/>
        </w:rPr>
        <w:t> </w:t>
      </w:r>
      <w:r>
        <w:rPr>
          <w:rFonts w:ascii="Arial" w:hAnsi="Arial" w:cs="Arial" w:eastAsia="Arial" w:hint="default"/>
        </w:rPr>
        <w:t>12</w:t>
      </w:r>
      <w:r>
        <w:rPr>
          <w:rFonts w:ascii="Arial" w:hAnsi="Arial" w:cs="Arial" w:eastAsia="Arial" w:hint="default"/>
          <w:spacing w:val="-12"/>
        </w:rPr>
        <w:t> </w:t>
      </w:r>
      <w:r>
        <w:rPr/>
        <w:t>月</w:t>
      </w:r>
      <w:r>
        <w:rPr>
          <w:spacing w:val="-61"/>
        </w:rPr>
        <w:t> </w:t>
      </w:r>
      <w:r>
        <w:rPr>
          <w:rFonts w:ascii="Arial" w:hAnsi="Arial" w:cs="Arial" w:eastAsia="Arial" w:hint="default"/>
        </w:rPr>
        <w:t>12</w:t>
      </w:r>
      <w:r>
        <w:rPr>
          <w:rFonts w:ascii="Arial" w:hAnsi="Arial" w:cs="Arial" w:eastAsia="Arial" w:hint="default"/>
          <w:spacing w:val="-12"/>
        </w:rPr>
        <w:t> </w:t>
      </w:r>
      <w:r>
        <w:rPr/>
        <w:t>日进行了公司名称变更）以其于中国联通（</w:t>
      </w:r>
      <w:r>
        <w:rPr>
          <w:rFonts w:ascii="Arial" w:hAnsi="Arial" w:cs="Arial" w:eastAsia="Arial" w:hint="default"/>
        </w:rPr>
        <w:t>BVI</w:t>
      </w:r>
      <w:r>
        <w:rPr/>
        <w:t>）有限公司（“联</w:t>
      </w:r>
      <w:r>
        <w:rPr>
          <w:w w:val="99"/>
        </w:rPr>
        <w:t> </w:t>
      </w:r>
      <w:r>
        <w:rPr/>
        <w:t>通</w:t>
      </w:r>
      <w:r>
        <w:rPr>
          <w:spacing w:val="-53"/>
        </w:rPr>
        <w:t> </w:t>
      </w:r>
      <w:r>
        <w:rPr>
          <w:rFonts w:ascii="Arial" w:hAnsi="Arial" w:cs="Arial" w:eastAsia="Arial" w:hint="default"/>
        </w:rPr>
        <w:t>BVI</w:t>
      </w:r>
      <w:r>
        <w:rPr>
          <w:rFonts w:ascii="Arial" w:hAnsi="Arial" w:cs="Arial" w:eastAsia="Arial" w:hint="default"/>
          <w:spacing w:val="-4"/>
        </w:rPr>
        <w:t> </w:t>
      </w:r>
      <w:r>
        <w:rPr/>
        <w:t>公司”）的</w:t>
      </w:r>
      <w:r>
        <w:rPr>
          <w:spacing w:val="-52"/>
        </w:rPr>
        <w:t> </w:t>
      </w:r>
      <w:r>
        <w:rPr>
          <w:rFonts w:ascii="Arial" w:hAnsi="Arial" w:cs="Arial" w:eastAsia="Arial" w:hint="default"/>
        </w:rPr>
        <w:t>51%</w:t>
      </w:r>
      <w:r>
        <w:rPr/>
        <w:t>股权投资所对应的经评估的净资产出资，并联合其他四家发起单位以</w:t>
      </w:r>
      <w:r>
        <w:rPr>
          <w:w w:val="99"/>
        </w:rPr>
        <w:t> </w:t>
      </w:r>
      <w:r>
        <w:rPr/>
        <w:t>现金出资于</w:t>
      </w:r>
      <w:r>
        <w:rPr>
          <w:spacing w:val="-38"/>
        </w:rPr>
        <w:t> </w:t>
      </w:r>
      <w:r>
        <w:rPr>
          <w:rFonts w:ascii="Arial" w:hAnsi="Arial" w:cs="Arial" w:eastAsia="Arial" w:hint="default"/>
        </w:rPr>
        <w:t>2001</w:t>
      </w:r>
      <w:r>
        <w:rPr>
          <w:rFonts w:ascii="Arial" w:hAnsi="Arial" w:cs="Arial" w:eastAsia="Arial" w:hint="default"/>
          <w:spacing w:val="10"/>
        </w:rPr>
        <w:t> </w:t>
      </w:r>
      <w:r>
        <w:rPr/>
        <w:t>年</w:t>
      </w:r>
      <w:r>
        <w:rPr>
          <w:spacing w:val="-39"/>
        </w:rPr>
        <w:t> </w:t>
      </w:r>
      <w:r>
        <w:rPr>
          <w:rFonts w:ascii="Arial" w:hAnsi="Arial" w:cs="Arial" w:eastAsia="Arial" w:hint="default"/>
        </w:rPr>
        <w:t>12</w:t>
      </w:r>
      <w:r>
        <w:rPr>
          <w:rFonts w:ascii="Arial" w:hAnsi="Arial" w:cs="Arial" w:eastAsia="Arial" w:hint="default"/>
          <w:spacing w:val="9"/>
        </w:rPr>
        <w:t> </w:t>
      </w:r>
      <w:r>
        <w:rPr/>
        <w:t>月</w:t>
      </w:r>
      <w:r>
        <w:rPr>
          <w:spacing w:val="-39"/>
        </w:rPr>
        <w:t> </w:t>
      </w:r>
      <w:r>
        <w:rPr>
          <w:rFonts w:ascii="Arial" w:hAnsi="Arial" w:cs="Arial" w:eastAsia="Arial" w:hint="default"/>
        </w:rPr>
        <w:t>31</w:t>
      </w:r>
      <w:r>
        <w:rPr>
          <w:rFonts w:ascii="Arial" w:hAnsi="Arial" w:cs="Arial" w:eastAsia="Arial" w:hint="default"/>
          <w:spacing w:val="10"/>
        </w:rPr>
        <w:t> </w:t>
      </w:r>
      <w:r>
        <w:rPr/>
        <w:t>日在中华人民共和国（“中国”）成立的股份有限公司，经批</w:t>
      </w:r>
      <w:r>
        <w:rPr>
          <w:w w:val="99"/>
        </w:rPr>
        <w:t> </w:t>
      </w:r>
      <w:r>
        <w:rPr/>
        <w:t>准的经营范围为从事国（境）内外电信行业的投资。本公司目前只直接持有对联通 </w:t>
      </w:r>
      <w:r>
        <w:rPr>
          <w:rFonts w:ascii="Arial" w:hAnsi="Arial" w:cs="Arial" w:eastAsia="Arial" w:hint="default"/>
        </w:rPr>
        <w:t>BVI</w:t>
      </w:r>
      <w:r>
        <w:rPr>
          <w:rFonts w:ascii="Arial" w:hAnsi="Arial" w:cs="Arial" w:eastAsia="Arial" w:hint="default"/>
          <w:spacing w:val="6"/>
        </w:rPr>
        <w:t> </w:t>
      </w:r>
      <w:r>
        <w:rPr/>
        <w:t>公司</w:t>
      </w:r>
      <w:r>
        <w:rPr>
          <w:w w:val="99"/>
        </w:rPr>
        <w:t> </w:t>
      </w:r>
      <w:r>
        <w:rPr/>
        <w:t>的股权投资</w:t>
      </w:r>
      <w:r>
        <w:rPr>
          <w:spacing w:val="-24"/>
        </w:rPr>
        <w:t> </w:t>
      </w:r>
      <w:r>
        <w:rPr/>
        <w:t>。本公司通过联通</w:t>
      </w:r>
      <w:r>
        <w:rPr>
          <w:spacing w:val="-67"/>
        </w:rPr>
        <w:t> </w:t>
      </w:r>
      <w:r>
        <w:rPr>
          <w:rFonts w:ascii="Arial" w:hAnsi="Arial" w:cs="Arial" w:eastAsia="Arial" w:hint="default"/>
        </w:rPr>
        <w:t>BVI</w:t>
      </w:r>
      <w:r>
        <w:rPr>
          <w:rFonts w:ascii="Arial" w:hAnsi="Arial" w:cs="Arial" w:eastAsia="Arial" w:hint="default"/>
          <w:spacing w:val="-18"/>
        </w:rPr>
        <w:t> </w:t>
      </w:r>
      <w:r>
        <w:rPr/>
        <w:t>公司及其子公司中国联合网络通信（香港）股份有限公司</w:t>
      </w:r>
    </w:p>
    <w:p>
      <w:pPr>
        <w:pStyle w:val="BodyText"/>
        <w:spacing w:line="279" w:lineRule="exact"/>
        <w:ind w:left="538" w:right="0"/>
        <w:jc w:val="both"/>
      </w:pPr>
      <w:r>
        <w:rPr/>
        <w:t>（“联通红筹公司”，于香港联合交易所上市，原名为中国联通股份有限公司，于 </w:t>
      </w:r>
      <w:r>
        <w:rPr>
          <w:rFonts w:ascii="Arial" w:hAnsi="Arial" w:cs="Arial" w:eastAsia="Arial" w:hint="default"/>
        </w:rPr>
        <w:t>2008 </w:t>
      </w:r>
      <w:r>
        <w:rPr>
          <w:rFonts w:ascii="Arial" w:hAnsi="Arial" w:cs="Arial" w:eastAsia="Arial" w:hint="default"/>
          <w:spacing w:val="23"/>
        </w:rPr>
        <w:t> </w:t>
      </w:r>
      <w:r>
        <w:rPr/>
        <w:t>年</w:t>
      </w:r>
    </w:p>
    <w:p>
      <w:pPr>
        <w:pStyle w:val="BodyText"/>
        <w:spacing w:line="285" w:lineRule="exact"/>
        <w:ind w:left="538" w:right="0"/>
        <w:jc w:val="both"/>
      </w:pPr>
      <w:r>
        <w:rPr>
          <w:rFonts w:ascii="Arial" w:hAnsi="Arial" w:cs="Arial" w:eastAsia="Arial" w:hint="default"/>
        </w:rPr>
        <w:t>10 </w:t>
      </w:r>
      <w:r>
        <w:rPr/>
        <w:t>月 </w:t>
      </w:r>
      <w:r>
        <w:rPr>
          <w:rFonts w:ascii="Arial" w:hAnsi="Arial" w:cs="Arial" w:eastAsia="Arial" w:hint="default"/>
        </w:rPr>
        <w:t>15</w:t>
      </w:r>
      <w:r>
        <w:rPr>
          <w:rFonts w:ascii="Arial" w:hAnsi="Arial" w:cs="Arial" w:eastAsia="Arial" w:hint="default"/>
          <w:spacing w:val="30"/>
        </w:rPr>
        <w:t> </w:t>
      </w:r>
      <w:r>
        <w:rPr/>
        <w:t>日进行了公司名称变更）控股中国联合网络通信有限公司（“联通运营公司”，原</w:t>
      </w:r>
    </w:p>
    <w:p>
      <w:pPr>
        <w:pStyle w:val="BodyText"/>
        <w:spacing w:line="285" w:lineRule="exact"/>
        <w:ind w:left="537" w:right="0"/>
        <w:jc w:val="both"/>
      </w:pPr>
      <w:r>
        <w:rPr/>
        <w:t>名为中国联通有限公司，于</w:t>
      </w:r>
      <w:r>
        <w:rPr>
          <w:spacing w:val="-38"/>
        </w:rPr>
        <w:t> </w:t>
      </w:r>
      <w:r>
        <w:rPr>
          <w:rFonts w:ascii="Arial" w:hAnsi="Arial" w:cs="Arial" w:eastAsia="Arial" w:hint="default"/>
        </w:rPr>
        <w:t>2008</w:t>
      </w:r>
      <w:r>
        <w:rPr>
          <w:rFonts w:ascii="Arial" w:hAnsi="Arial" w:cs="Arial" w:eastAsia="Arial" w:hint="default"/>
          <w:spacing w:val="11"/>
        </w:rPr>
        <w:t> </w:t>
      </w:r>
      <w:r>
        <w:rPr/>
        <w:t>年</w:t>
      </w:r>
      <w:r>
        <w:rPr>
          <w:spacing w:val="-38"/>
        </w:rPr>
        <w:t> </w:t>
      </w:r>
      <w:r>
        <w:rPr>
          <w:rFonts w:ascii="Arial" w:hAnsi="Arial" w:cs="Arial" w:eastAsia="Arial" w:hint="default"/>
        </w:rPr>
        <w:t>10</w:t>
      </w:r>
      <w:r>
        <w:rPr>
          <w:rFonts w:ascii="Arial" w:hAnsi="Arial" w:cs="Arial" w:eastAsia="Arial" w:hint="default"/>
          <w:spacing w:val="11"/>
        </w:rPr>
        <w:t> </w:t>
      </w:r>
      <w:r>
        <w:rPr/>
        <w:t>月</w:t>
      </w:r>
      <w:r>
        <w:rPr>
          <w:spacing w:val="-38"/>
        </w:rPr>
        <w:t> </w:t>
      </w:r>
      <w:r>
        <w:rPr>
          <w:rFonts w:ascii="Arial" w:hAnsi="Arial" w:cs="Arial" w:eastAsia="Arial" w:hint="default"/>
        </w:rPr>
        <w:t>16</w:t>
      </w:r>
      <w:r>
        <w:rPr>
          <w:rFonts w:ascii="Arial" w:hAnsi="Arial" w:cs="Arial" w:eastAsia="Arial" w:hint="default"/>
          <w:spacing w:val="10"/>
        </w:rPr>
        <w:t> </w:t>
      </w:r>
      <w:r>
        <w:rPr/>
        <w:t>日进行了公司名称变更），联通运营公司是一</w:t>
      </w:r>
    </w:p>
    <w:p>
      <w:pPr>
        <w:pStyle w:val="BodyText"/>
        <w:spacing w:line="286" w:lineRule="exact" w:before="18"/>
        <w:ind w:left="537" w:right="187"/>
        <w:jc w:val="both"/>
      </w:pPr>
      <w:r>
        <w:rPr/>
        <w:t>家在中国境内提供综合电信服务的大型电信公司，其经联通集团授权并自</w:t>
      </w:r>
      <w:r>
        <w:rPr>
          <w:spacing w:val="-50"/>
        </w:rPr>
        <w:t> </w:t>
      </w:r>
      <w:r>
        <w:rPr>
          <w:rFonts w:ascii="Arial" w:hAnsi="Arial" w:cs="Arial" w:eastAsia="Arial" w:hint="default"/>
        </w:rPr>
        <w:t>2009</w:t>
      </w:r>
      <w:r>
        <w:rPr>
          <w:rFonts w:ascii="Arial" w:hAnsi="Arial" w:cs="Arial" w:eastAsia="Arial" w:hint="default"/>
          <w:spacing w:val="-1"/>
        </w:rPr>
        <w:t> </w:t>
      </w:r>
      <w:r>
        <w:rPr/>
        <w:t>年</w:t>
      </w:r>
      <w:r>
        <w:rPr>
          <w:spacing w:val="-52"/>
        </w:rPr>
        <w:t> </w:t>
      </w:r>
      <w:r>
        <w:rPr>
          <w:rFonts w:ascii="Arial" w:hAnsi="Arial" w:cs="Arial" w:eastAsia="Arial" w:hint="default"/>
        </w:rPr>
        <w:t>10</w:t>
      </w:r>
      <w:r>
        <w:rPr>
          <w:rFonts w:ascii="Arial" w:hAnsi="Arial" w:cs="Arial" w:eastAsia="Arial" w:hint="default"/>
          <w:spacing w:val="-2"/>
        </w:rPr>
        <w:t> </w:t>
      </w:r>
      <w:r>
        <w:rPr/>
        <w:t>月起正</w:t>
      </w:r>
      <w:r>
        <w:rPr>
          <w:w w:val="99"/>
        </w:rPr>
        <w:t> </w:t>
      </w:r>
      <w:r>
        <w:rPr/>
        <w:t>式在中国境内提供</w:t>
      </w:r>
      <w:r>
        <w:rPr>
          <w:spacing w:val="-59"/>
        </w:rPr>
        <w:t> </w:t>
      </w:r>
      <w:r>
        <w:rPr>
          <w:rFonts w:ascii="Arial" w:hAnsi="Arial" w:cs="Arial" w:eastAsia="Arial" w:hint="default"/>
        </w:rPr>
        <w:t>3G</w:t>
      </w:r>
      <w:r>
        <w:rPr/>
        <w:t>（</w:t>
      </w:r>
      <w:r>
        <w:rPr>
          <w:rFonts w:ascii="Arial" w:hAnsi="Arial" w:cs="Arial" w:eastAsia="Arial" w:hint="default"/>
        </w:rPr>
        <w:t>WCDMA</w:t>
      </w:r>
      <w:r>
        <w:rPr/>
        <w:t>）通信服务。</w:t>
      </w:r>
    </w:p>
    <w:p>
      <w:pPr>
        <w:spacing w:line="240" w:lineRule="auto" w:before="2"/>
        <w:rPr>
          <w:rFonts w:ascii="宋体" w:hAnsi="宋体" w:cs="宋体" w:eastAsia="宋体" w:hint="default"/>
          <w:sz w:val="17"/>
          <w:szCs w:val="17"/>
        </w:rPr>
      </w:pPr>
    </w:p>
    <w:p>
      <w:pPr>
        <w:pStyle w:val="BodyText"/>
        <w:spacing w:line="295" w:lineRule="exact"/>
        <w:ind w:left="537" w:right="0"/>
        <w:jc w:val="both"/>
      </w:pPr>
      <w:r>
        <w:rPr/>
        <w:t>于</w:t>
      </w:r>
      <w:r>
        <w:rPr>
          <w:spacing w:val="-44"/>
        </w:rPr>
        <w:t> </w:t>
      </w:r>
      <w:r>
        <w:rPr>
          <w:rFonts w:ascii="Arial" w:hAnsi="Arial" w:cs="Arial" w:eastAsia="Arial" w:hint="default"/>
        </w:rPr>
        <w:t>2002</w:t>
      </w:r>
      <w:r>
        <w:rPr>
          <w:rFonts w:ascii="Arial" w:hAnsi="Arial" w:cs="Arial" w:eastAsia="Arial" w:hint="default"/>
          <w:spacing w:val="5"/>
        </w:rPr>
        <w:t> </w:t>
      </w:r>
      <w:r>
        <w:rPr/>
        <w:t>年</w:t>
      </w:r>
      <w:r>
        <w:rPr>
          <w:spacing w:val="-46"/>
        </w:rPr>
        <w:t> </w:t>
      </w:r>
      <w:r>
        <w:rPr>
          <w:rFonts w:ascii="Arial" w:hAnsi="Arial" w:cs="Arial" w:eastAsia="Arial" w:hint="default"/>
        </w:rPr>
        <w:t>9</w:t>
      </w:r>
      <w:r>
        <w:rPr>
          <w:rFonts w:ascii="Arial" w:hAnsi="Arial" w:cs="Arial" w:eastAsia="Arial" w:hint="default"/>
          <w:spacing w:val="5"/>
        </w:rPr>
        <w:t> </w:t>
      </w:r>
      <w:r>
        <w:rPr/>
        <w:t>月</w:t>
      </w:r>
      <w:r>
        <w:rPr>
          <w:spacing w:val="-44"/>
        </w:rPr>
        <w:t> </w:t>
      </w:r>
      <w:r>
        <w:rPr>
          <w:rFonts w:ascii="Arial" w:hAnsi="Arial" w:cs="Arial" w:eastAsia="Arial" w:hint="default"/>
        </w:rPr>
        <w:t>13</w:t>
      </w:r>
      <w:r>
        <w:rPr>
          <w:rFonts w:ascii="Arial" w:hAnsi="Arial" w:cs="Arial" w:eastAsia="Arial" w:hint="default"/>
          <w:spacing w:val="5"/>
        </w:rPr>
        <w:t> </w:t>
      </w:r>
      <w:r>
        <w:rPr/>
        <w:t>日，本公司向社会公开发行人民币普通股股票</w:t>
      </w:r>
      <w:r>
        <w:rPr>
          <w:spacing w:val="-44"/>
        </w:rPr>
        <w:t> </w:t>
      </w:r>
      <w:r>
        <w:rPr>
          <w:rFonts w:ascii="Arial" w:hAnsi="Arial" w:cs="Arial" w:eastAsia="Arial" w:hint="default"/>
        </w:rPr>
        <w:t>50</w:t>
      </w:r>
      <w:r>
        <w:rPr>
          <w:rFonts w:ascii="Arial" w:hAnsi="Arial" w:cs="Arial" w:eastAsia="Arial" w:hint="default"/>
          <w:spacing w:val="5"/>
        </w:rPr>
        <w:t> </w:t>
      </w:r>
      <w:r>
        <w:rPr/>
        <w:t>亿股。上述股票公开发</w:t>
      </w:r>
    </w:p>
    <w:p>
      <w:pPr>
        <w:pStyle w:val="BodyText"/>
        <w:spacing w:line="225" w:lineRule="auto" w:before="6"/>
        <w:ind w:left="538" w:right="188" w:hanging="1"/>
        <w:jc w:val="both"/>
      </w:pPr>
      <w:r>
        <w:rPr/>
        <w:t>行后，本公司的股本增至</w:t>
      </w:r>
      <w:r>
        <w:rPr>
          <w:spacing w:val="-56"/>
        </w:rPr>
        <w:t> </w:t>
      </w:r>
      <w:r>
        <w:rPr>
          <w:rFonts w:ascii="Arial" w:hAnsi="Arial" w:cs="Arial" w:eastAsia="Arial" w:hint="default"/>
        </w:rPr>
        <w:t>19,696,596,395</w:t>
      </w:r>
      <w:r>
        <w:rPr>
          <w:rFonts w:ascii="Arial" w:hAnsi="Arial" w:cs="Arial" w:eastAsia="Arial" w:hint="default"/>
          <w:spacing w:val="-7"/>
        </w:rPr>
        <w:t> </w:t>
      </w:r>
      <w:r>
        <w:rPr/>
        <w:t>元。于</w:t>
      </w:r>
      <w:r>
        <w:rPr>
          <w:spacing w:val="-56"/>
        </w:rPr>
        <w:t> </w:t>
      </w:r>
      <w:r>
        <w:rPr>
          <w:rFonts w:ascii="Arial" w:hAnsi="Arial" w:cs="Arial" w:eastAsia="Arial" w:hint="default"/>
        </w:rPr>
        <w:t>2002</w:t>
      </w:r>
      <w:r>
        <w:rPr>
          <w:rFonts w:ascii="Arial" w:hAnsi="Arial" w:cs="Arial" w:eastAsia="Arial" w:hint="default"/>
          <w:spacing w:val="-7"/>
        </w:rPr>
        <w:t> </w:t>
      </w:r>
      <w:r>
        <w:rPr/>
        <w:t>年</w:t>
      </w:r>
      <w:r>
        <w:rPr>
          <w:spacing w:val="-56"/>
        </w:rPr>
        <w:t> </w:t>
      </w:r>
      <w:r>
        <w:rPr>
          <w:rFonts w:ascii="Arial" w:hAnsi="Arial" w:cs="Arial" w:eastAsia="Arial" w:hint="default"/>
        </w:rPr>
        <w:t>10</w:t>
      </w:r>
      <w:r>
        <w:rPr>
          <w:rFonts w:ascii="Arial" w:hAnsi="Arial" w:cs="Arial" w:eastAsia="Arial" w:hint="default"/>
          <w:spacing w:val="-7"/>
        </w:rPr>
        <w:t> </w:t>
      </w:r>
      <w:r>
        <w:rPr/>
        <w:t>月</w:t>
      </w:r>
      <w:r>
        <w:rPr>
          <w:spacing w:val="-56"/>
        </w:rPr>
        <w:t> </w:t>
      </w:r>
      <w:r>
        <w:rPr>
          <w:rFonts w:ascii="Arial" w:hAnsi="Arial" w:cs="Arial" w:eastAsia="Arial" w:hint="default"/>
        </w:rPr>
        <w:t>11</w:t>
      </w:r>
      <w:r>
        <w:rPr>
          <w:rFonts w:ascii="Arial" w:hAnsi="Arial" w:cs="Arial" w:eastAsia="Arial" w:hint="default"/>
          <w:spacing w:val="-7"/>
        </w:rPr>
        <w:t> </w:t>
      </w:r>
      <w:r>
        <w:rPr/>
        <w:t>日，本公司以募集资金扣</w:t>
      </w:r>
      <w:r>
        <w:rPr>
          <w:w w:val="99"/>
        </w:rPr>
        <w:t> </w:t>
      </w:r>
      <w:r>
        <w:rPr/>
        <w:t>除发行费用后的全额向联通集团增购其持有的联通</w:t>
      </w:r>
      <w:r>
        <w:rPr>
          <w:spacing w:val="-54"/>
        </w:rPr>
        <w:t> </w:t>
      </w:r>
      <w:r>
        <w:rPr>
          <w:rFonts w:ascii="Arial" w:hAnsi="Arial" w:cs="Arial" w:eastAsia="Arial" w:hint="default"/>
        </w:rPr>
        <w:t>BVI</w:t>
      </w:r>
      <w:r>
        <w:rPr>
          <w:rFonts w:ascii="Arial" w:hAnsi="Arial" w:cs="Arial" w:eastAsia="Arial" w:hint="default"/>
          <w:spacing w:val="-6"/>
        </w:rPr>
        <w:t> </w:t>
      </w:r>
      <w:r>
        <w:rPr/>
        <w:t>公司的</w:t>
      </w:r>
      <w:r>
        <w:rPr>
          <w:spacing w:val="-55"/>
        </w:rPr>
        <w:t> </w:t>
      </w:r>
      <w:r>
        <w:rPr>
          <w:rFonts w:ascii="Arial" w:hAnsi="Arial" w:cs="Arial" w:eastAsia="Arial" w:hint="default"/>
          <w:spacing w:val="-5"/>
        </w:rPr>
        <w:t>22.84%</w:t>
      </w:r>
      <w:r>
        <w:rPr>
          <w:spacing w:val="-5"/>
        </w:rPr>
        <w:t>的股权。收购交易完成</w:t>
      </w:r>
      <w:r>
        <w:rPr>
          <w:w w:val="99"/>
        </w:rPr>
        <w:t> </w:t>
      </w:r>
      <w:r>
        <w:rPr/>
        <w:t>后，本公司对联通</w:t>
      </w:r>
      <w:r>
        <w:rPr>
          <w:spacing w:val="-58"/>
        </w:rPr>
        <w:t> </w:t>
      </w:r>
      <w:r>
        <w:rPr>
          <w:rFonts w:ascii="Arial" w:hAnsi="Arial" w:cs="Arial" w:eastAsia="Arial" w:hint="default"/>
        </w:rPr>
        <w:t>BVI</w:t>
      </w:r>
      <w:r>
        <w:rPr>
          <w:rFonts w:ascii="Arial" w:hAnsi="Arial" w:cs="Arial" w:eastAsia="Arial" w:hint="default"/>
          <w:spacing w:val="-8"/>
        </w:rPr>
        <w:t> </w:t>
      </w:r>
      <w:r>
        <w:rPr/>
        <w:t>公司持股比例由原来的</w:t>
      </w:r>
      <w:r>
        <w:rPr>
          <w:spacing w:val="-57"/>
        </w:rPr>
        <w:t> </w:t>
      </w:r>
      <w:r>
        <w:rPr>
          <w:rFonts w:ascii="Arial" w:hAnsi="Arial" w:cs="Arial" w:eastAsia="Arial" w:hint="default"/>
        </w:rPr>
        <w:t>51%</w:t>
      </w:r>
      <w:r>
        <w:rPr/>
        <w:t>增至</w:t>
      </w:r>
      <w:r>
        <w:rPr>
          <w:spacing w:val="-58"/>
        </w:rPr>
        <w:t> </w:t>
      </w:r>
      <w:r>
        <w:rPr>
          <w:rFonts w:ascii="Arial" w:hAnsi="Arial" w:cs="Arial" w:eastAsia="Arial" w:hint="default"/>
        </w:rPr>
        <w:t>73.84%</w:t>
      </w:r>
      <w:r>
        <w:rPr/>
        <w:t>。</w:t>
      </w:r>
    </w:p>
    <w:p>
      <w:pPr>
        <w:spacing w:line="240" w:lineRule="auto" w:before="4"/>
        <w:rPr>
          <w:rFonts w:ascii="宋体" w:hAnsi="宋体" w:cs="宋体" w:eastAsia="宋体" w:hint="default"/>
          <w:sz w:val="18"/>
          <w:szCs w:val="18"/>
        </w:rPr>
      </w:pPr>
    </w:p>
    <w:p>
      <w:pPr>
        <w:pStyle w:val="BodyText"/>
        <w:spacing w:line="294" w:lineRule="exact"/>
        <w:ind w:left="538" w:right="0"/>
        <w:jc w:val="both"/>
      </w:pPr>
      <w:r>
        <w:rPr/>
        <w:t>于</w:t>
      </w:r>
      <w:r>
        <w:rPr>
          <w:spacing w:val="-44"/>
        </w:rPr>
        <w:t> </w:t>
      </w:r>
      <w:r>
        <w:rPr>
          <w:rFonts w:ascii="Arial" w:hAnsi="Arial" w:cs="Arial" w:eastAsia="Arial" w:hint="default"/>
        </w:rPr>
        <w:t>2004</w:t>
      </w:r>
      <w:r>
        <w:rPr>
          <w:rFonts w:ascii="Arial" w:hAnsi="Arial" w:cs="Arial" w:eastAsia="Arial" w:hint="default"/>
          <w:spacing w:val="5"/>
        </w:rPr>
        <w:t> </w:t>
      </w:r>
      <w:r>
        <w:rPr/>
        <w:t>年</w:t>
      </w:r>
      <w:r>
        <w:rPr>
          <w:spacing w:val="-46"/>
        </w:rPr>
        <w:t> </w:t>
      </w:r>
      <w:r>
        <w:rPr>
          <w:rFonts w:ascii="Arial" w:hAnsi="Arial" w:cs="Arial" w:eastAsia="Arial" w:hint="default"/>
        </w:rPr>
        <w:t>7</w:t>
      </w:r>
      <w:r>
        <w:rPr>
          <w:rFonts w:ascii="Arial" w:hAnsi="Arial" w:cs="Arial" w:eastAsia="Arial" w:hint="default"/>
          <w:spacing w:val="5"/>
        </w:rPr>
        <w:t> </w:t>
      </w:r>
      <w:r>
        <w:rPr/>
        <w:t>月</w:t>
      </w:r>
      <w:r>
        <w:rPr>
          <w:spacing w:val="-44"/>
        </w:rPr>
        <w:t> </w:t>
      </w:r>
      <w:r>
        <w:rPr>
          <w:rFonts w:ascii="Arial" w:hAnsi="Arial" w:cs="Arial" w:eastAsia="Arial" w:hint="default"/>
        </w:rPr>
        <w:t>26</w:t>
      </w:r>
      <w:r>
        <w:rPr>
          <w:rFonts w:ascii="Arial" w:hAnsi="Arial" w:cs="Arial" w:eastAsia="Arial" w:hint="default"/>
          <w:spacing w:val="5"/>
        </w:rPr>
        <w:t> </w:t>
      </w:r>
      <w:r>
        <w:rPr/>
        <w:t>日，本公司完成了</w:t>
      </w:r>
      <w:r>
        <w:rPr>
          <w:spacing w:val="-44"/>
        </w:rPr>
        <w:t> </w:t>
      </w:r>
      <w:r>
        <w:rPr>
          <w:rFonts w:ascii="Arial" w:hAnsi="Arial" w:cs="Arial" w:eastAsia="Arial" w:hint="default"/>
        </w:rPr>
        <w:t>15</w:t>
      </w:r>
      <w:r>
        <w:rPr>
          <w:rFonts w:ascii="Arial" w:hAnsi="Arial" w:cs="Arial" w:eastAsia="Arial" w:hint="default"/>
          <w:spacing w:val="5"/>
        </w:rPr>
        <w:t> </w:t>
      </w:r>
      <w:r>
        <w:rPr/>
        <w:t>亿股人民币普通股的配售工作，股本增加至人民币</w:t>
      </w:r>
    </w:p>
    <w:p>
      <w:pPr>
        <w:pStyle w:val="BodyText"/>
        <w:spacing w:line="286" w:lineRule="exact" w:before="18"/>
        <w:ind w:left="538" w:right="188"/>
        <w:jc w:val="both"/>
      </w:pPr>
      <w:r>
        <w:rPr>
          <w:rFonts w:ascii="Arial" w:hAnsi="Arial" w:cs="Arial" w:eastAsia="Arial" w:hint="default"/>
        </w:rPr>
        <w:t>21,196,596,395</w:t>
      </w:r>
      <w:r>
        <w:rPr>
          <w:rFonts w:ascii="Arial" w:hAnsi="Arial" w:cs="Arial" w:eastAsia="Arial" w:hint="default"/>
          <w:spacing w:val="38"/>
        </w:rPr>
        <w:t> </w:t>
      </w:r>
      <w:r>
        <w:rPr/>
        <w:t>元。同日，根据董事会及股东大会决定的募集资金用途，本公司将配售募集</w:t>
      </w:r>
      <w:r>
        <w:rPr>
          <w:w w:val="99"/>
        </w:rPr>
        <w:t> </w:t>
      </w:r>
      <w:r>
        <w:rPr/>
        <w:t>资金扣除发行费用后的全额支付予联通集团收购其持有的联通 </w:t>
      </w:r>
      <w:r>
        <w:rPr>
          <w:rFonts w:ascii="Arial" w:hAnsi="Arial" w:cs="Arial" w:eastAsia="Arial" w:hint="default"/>
        </w:rPr>
        <w:t>BVI </w:t>
      </w:r>
      <w:r>
        <w:rPr/>
        <w:t>公司的</w:t>
      </w:r>
      <w:r>
        <w:rPr>
          <w:spacing w:val="-71"/>
        </w:rPr>
        <w:t> </w:t>
      </w:r>
      <w:r>
        <w:rPr>
          <w:rFonts w:ascii="Arial" w:hAnsi="Arial" w:cs="Arial" w:eastAsia="Arial" w:hint="default"/>
        </w:rPr>
        <w:t>8.26%</w:t>
      </w:r>
      <w:r>
        <w:rPr/>
        <w:t>的股权。收</w:t>
      </w:r>
      <w:r>
        <w:rPr>
          <w:w w:val="99"/>
        </w:rPr>
        <w:t> </w:t>
      </w:r>
      <w:r>
        <w:rPr/>
        <w:t>购交易完成后，本公司对联通</w:t>
      </w:r>
      <w:r>
        <w:rPr>
          <w:spacing w:val="-58"/>
        </w:rPr>
        <w:t> </w:t>
      </w:r>
      <w:r>
        <w:rPr>
          <w:rFonts w:ascii="Arial" w:hAnsi="Arial" w:cs="Arial" w:eastAsia="Arial" w:hint="default"/>
        </w:rPr>
        <w:t>BVI</w:t>
      </w:r>
      <w:r>
        <w:rPr>
          <w:rFonts w:ascii="Arial" w:hAnsi="Arial" w:cs="Arial" w:eastAsia="Arial" w:hint="default"/>
          <w:spacing w:val="-8"/>
        </w:rPr>
        <w:t> </w:t>
      </w:r>
      <w:r>
        <w:rPr/>
        <w:t>公司的持股比例上升至</w:t>
      </w:r>
      <w:r>
        <w:rPr>
          <w:spacing w:val="-57"/>
        </w:rPr>
        <w:t> </w:t>
      </w:r>
      <w:r>
        <w:rPr>
          <w:rFonts w:ascii="Arial" w:hAnsi="Arial" w:cs="Arial" w:eastAsia="Arial" w:hint="default"/>
        </w:rPr>
        <w:t>82.10%</w:t>
      </w:r>
      <w:r>
        <w:rPr/>
        <w:t>。</w:t>
      </w:r>
    </w:p>
    <w:p>
      <w:pPr>
        <w:spacing w:line="240" w:lineRule="auto" w:before="2"/>
        <w:rPr>
          <w:rFonts w:ascii="宋体" w:hAnsi="宋体" w:cs="宋体" w:eastAsia="宋体" w:hint="default"/>
          <w:sz w:val="17"/>
          <w:szCs w:val="17"/>
        </w:rPr>
      </w:pPr>
    </w:p>
    <w:p>
      <w:pPr>
        <w:pStyle w:val="BodyText"/>
        <w:spacing w:line="294" w:lineRule="exact"/>
        <w:ind w:left="538" w:right="0"/>
        <w:jc w:val="both"/>
      </w:pPr>
      <w:r>
        <w:rPr/>
        <w:t>于</w:t>
      </w:r>
      <w:r>
        <w:rPr>
          <w:spacing w:val="-55"/>
        </w:rPr>
        <w:t> </w:t>
      </w:r>
      <w:r>
        <w:rPr>
          <w:rFonts w:ascii="Arial" w:hAnsi="Arial" w:cs="Arial" w:eastAsia="Arial" w:hint="default"/>
        </w:rPr>
        <w:t>2006</w:t>
      </w:r>
      <w:r>
        <w:rPr>
          <w:rFonts w:ascii="Arial" w:hAnsi="Arial" w:cs="Arial" w:eastAsia="Arial" w:hint="default"/>
          <w:spacing w:val="-6"/>
        </w:rPr>
        <w:t> </w:t>
      </w:r>
      <w:r>
        <w:rPr/>
        <w:t>年</w:t>
      </w:r>
      <w:r>
        <w:rPr>
          <w:spacing w:val="-54"/>
        </w:rPr>
        <w:t> </w:t>
      </w:r>
      <w:r>
        <w:rPr>
          <w:rFonts w:ascii="Arial" w:hAnsi="Arial" w:cs="Arial" w:eastAsia="Arial" w:hint="default"/>
        </w:rPr>
        <w:t>5</w:t>
      </w:r>
      <w:r>
        <w:rPr>
          <w:rFonts w:ascii="Arial" w:hAnsi="Arial" w:cs="Arial" w:eastAsia="Arial" w:hint="default"/>
          <w:spacing w:val="-6"/>
        </w:rPr>
        <w:t> </w:t>
      </w:r>
      <w:r>
        <w:rPr/>
        <w:t>月</w:t>
      </w:r>
      <w:r>
        <w:rPr>
          <w:spacing w:val="-55"/>
        </w:rPr>
        <w:t> </w:t>
      </w:r>
      <w:r>
        <w:rPr>
          <w:rFonts w:ascii="Arial" w:hAnsi="Arial" w:cs="Arial" w:eastAsia="Arial" w:hint="default"/>
        </w:rPr>
        <w:t>11</w:t>
      </w:r>
      <w:r>
        <w:rPr>
          <w:rFonts w:ascii="Arial" w:hAnsi="Arial" w:cs="Arial" w:eastAsia="Arial" w:hint="default"/>
          <w:spacing w:val="-6"/>
        </w:rPr>
        <w:t> </w:t>
      </w:r>
      <w:r>
        <w:rPr/>
        <w:t>日，本公司召开的股东大会审议并通过了《中国联合通信股份有限公司股</w:t>
      </w:r>
    </w:p>
    <w:p>
      <w:pPr>
        <w:pStyle w:val="BodyText"/>
        <w:spacing w:line="285" w:lineRule="exact"/>
        <w:ind w:left="538" w:right="0"/>
        <w:jc w:val="both"/>
      </w:pPr>
      <w:r>
        <w:rPr/>
        <w:t>权分置改革方案》。按照此方案，本公司流通股股东每持有</w:t>
      </w:r>
      <w:r>
        <w:rPr>
          <w:spacing w:val="-77"/>
        </w:rPr>
        <w:t> </w:t>
      </w:r>
      <w:r>
        <w:rPr>
          <w:rFonts w:ascii="Arial" w:hAnsi="Arial" w:cs="Arial" w:eastAsia="Arial" w:hint="default"/>
        </w:rPr>
        <w:t>10</w:t>
      </w:r>
      <w:r>
        <w:rPr>
          <w:rFonts w:ascii="Arial" w:hAnsi="Arial" w:cs="Arial" w:eastAsia="Arial" w:hint="default"/>
          <w:spacing w:val="-28"/>
        </w:rPr>
        <w:t> </w:t>
      </w:r>
      <w:r>
        <w:rPr/>
        <w:t>股流通股可获得非流通股股东</w:t>
      </w:r>
    </w:p>
    <w:p>
      <w:pPr>
        <w:pStyle w:val="BodyText"/>
        <w:spacing w:line="286" w:lineRule="exact" w:before="19"/>
        <w:ind w:left="538" w:right="188"/>
        <w:jc w:val="both"/>
      </w:pPr>
      <w:r>
        <w:rPr>
          <w:w w:val="99"/>
        </w:rPr>
        <w:t>支付的</w:t>
      </w:r>
      <w:r>
        <w:rPr>
          <w:spacing w:val="-46"/>
          <w:w w:val="99"/>
        </w:rPr>
        <w:t> </w:t>
      </w:r>
      <w:r>
        <w:rPr>
          <w:rFonts w:ascii="Arial" w:hAnsi="Arial" w:cs="Arial" w:eastAsia="Arial" w:hint="default"/>
          <w:w w:val="99"/>
        </w:rPr>
        <w:t>2.8</w:t>
      </w:r>
      <w:r>
        <w:rPr>
          <w:rFonts w:ascii="Arial" w:hAnsi="Arial" w:cs="Arial" w:eastAsia="Arial" w:hint="default"/>
          <w:spacing w:val="3"/>
          <w:w w:val="99"/>
        </w:rPr>
        <w:t> </w:t>
      </w:r>
      <w:r>
        <w:rPr>
          <w:spacing w:val="-3"/>
          <w:w w:val="99"/>
        </w:rPr>
        <w:t>股股份，而非流通股股东持有的非流通股股票将自本公司股权分置改革方案实施后</w:t>
      </w:r>
      <w:r>
        <w:rPr>
          <w:spacing w:val="-108"/>
          <w:w w:val="99"/>
        </w:rPr>
        <w:t> </w:t>
      </w:r>
      <w:r>
        <w:rPr>
          <w:spacing w:val="-108"/>
          <w:w w:val="99"/>
        </w:rPr>
      </w:r>
      <w:r>
        <w:rPr/>
        <w:t>首个交易日（</w:t>
      </w:r>
      <w:r>
        <w:rPr>
          <w:rFonts w:ascii="Arial" w:hAnsi="Arial" w:cs="Arial" w:eastAsia="Arial" w:hint="default"/>
        </w:rPr>
        <w:t>2006</w:t>
      </w:r>
      <w:r>
        <w:rPr>
          <w:rFonts w:ascii="Arial" w:hAnsi="Arial" w:cs="Arial" w:eastAsia="Arial" w:hint="default"/>
          <w:spacing w:val="-3"/>
        </w:rPr>
        <w:t> </w:t>
      </w:r>
      <w:r>
        <w:rPr/>
        <w:t>年</w:t>
      </w:r>
      <w:r>
        <w:rPr>
          <w:spacing w:val="-53"/>
        </w:rPr>
        <w:t> </w:t>
      </w:r>
      <w:r>
        <w:rPr>
          <w:rFonts w:ascii="Arial" w:hAnsi="Arial" w:cs="Arial" w:eastAsia="Arial" w:hint="default"/>
        </w:rPr>
        <w:t>5</w:t>
      </w:r>
      <w:r>
        <w:rPr>
          <w:rFonts w:ascii="Arial" w:hAnsi="Arial" w:cs="Arial" w:eastAsia="Arial" w:hint="default"/>
          <w:spacing w:val="-4"/>
        </w:rPr>
        <w:t> </w:t>
      </w:r>
      <w:r>
        <w:rPr/>
        <w:t>月</w:t>
      </w:r>
      <w:r>
        <w:rPr>
          <w:spacing w:val="-53"/>
        </w:rPr>
        <w:t> </w:t>
      </w:r>
      <w:r>
        <w:rPr>
          <w:rFonts w:ascii="Arial" w:hAnsi="Arial" w:cs="Arial" w:eastAsia="Arial" w:hint="default"/>
        </w:rPr>
        <w:t>19</w:t>
      </w:r>
      <w:r>
        <w:rPr>
          <w:rFonts w:ascii="Arial" w:hAnsi="Arial" w:cs="Arial" w:eastAsia="Arial" w:hint="default"/>
          <w:spacing w:val="-3"/>
        </w:rPr>
        <w:t> </w:t>
      </w:r>
      <w:r>
        <w:rPr/>
        <w:t>日）起，获得在</w:t>
      </w:r>
      <w:r>
        <w:rPr>
          <w:spacing w:val="-51"/>
        </w:rPr>
        <w:t> </w:t>
      </w:r>
      <w:r>
        <w:rPr>
          <w:rFonts w:ascii="Arial" w:hAnsi="Arial" w:cs="Arial" w:eastAsia="Arial" w:hint="default"/>
        </w:rPr>
        <w:t>A</w:t>
      </w:r>
      <w:r>
        <w:rPr>
          <w:rFonts w:ascii="Arial" w:hAnsi="Arial" w:cs="Arial" w:eastAsia="Arial" w:hint="default"/>
          <w:spacing w:val="-4"/>
        </w:rPr>
        <w:t> </w:t>
      </w:r>
      <w:r>
        <w:rPr/>
        <w:t>股市场上市流通的权利，并将于规定期限内</w:t>
      </w:r>
      <w:r>
        <w:rPr>
          <w:w w:val="99"/>
        </w:rPr>
        <w:t> </w:t>
      </w:r>
      <w:r>
        <w:rPr/>
        <w:t>分批解除限售条件。于</w:t>
      </w:r>
      <w:r>
        <w:rPr>
          <w:spacing w:val="-54"/>
        </w:rPr>
        <w:t> </w:t>
      </w:r>
      <w:r>
        <w:rPr>
          <w:rFonts w:ascii="Arial" w:hAnsi="Arial" w:cs="Arial" w:eastAsia="Arial" w:hint="default"/>
        </w:rPr>
        <w:t>2006</w:t>
      </w:r>
      <w:r>
        <w:rPr>
          <w:rFonts w:ascii="Arial" w:hAnsi="Arial" w:cs="Arial" w:eastAsia="Arial" w:hint="default"/>
          <w:spacing w:val="-6"/>
        </w:rPr>
        <w:t> </w:t>
      </w:r>
      <w:r>
        <w:rPr/>
        <w:t>年</w:t>
      </w:r>
      <w:r>
        <w:rPr>
          <w:spacing w:val="-55"/>
        </w:rPr>
        <w:t> </w:t>
      </w:r>
      <w:r>
        <w:rPr>
          <w:rFonts w:ascii="Arial" w:hAnsi="Arial" w:cs="Arial" w:eastAsia="Arial" w:hint="default"/>
        </w:rPr>
        <w:t>5</w:t>
      </w:r>
      <w:r>
        <w:rPr>
          <w:rFonts w:ascii="Arial" w:hAnsi="Arial" w:cs="Arial" w:eastAsia="Arial" w:hint="default"/>
          <w:spacing w:val="-6"/>
        </w:rPr>
        <w:t> </w:t>
      </w:r>
      <w:r>
        <w:rPr/>
        <w:t>月</w:t>
      </w:r>
      <w:r>
        <w:rPr>
          <w:spacing w:val="-55"/>
        </w:rPr>
        <w:t> </w:t>
      </w:r>
      <w:r>
        <w:rPr>
          <w:rFonts w:ascii="Arial" w:hAnsi="Arial" w:cs="Arial" w:eastAsia="Arial" w:hint="default"/>
        </w:rPr>
        <w:t>18</w:t>
      </w:r>
      <w:r>
        <w:rPr>
          <w:rFonts w:ascii="Arial" w:hAnsi="Arial" w:cs="Arial" w:eastAsia="Arial" w:hint="default"/>
          <w:spacing w:val="-6"/>
        </w:rPr>
        <w:t> </w:t>
      </w:r>
      <w:r>
        <w:rPr/>
        <w:t>日，本公司完成了该等股权分置改革的安排，本公司</w:t>
      </w:r>
    </w:p>
    <w:p>
      <w:pPr>
        <w:pStyle w:val="BodyText"/>
        <w:spacing w:line="265" w:lineRule="exact"/>
        <w:ind w:left="538" w:right="0"/>
        <w:jc w:val="both"/>
      </w:pPr>
      <w:r>
        <w:rPr/>
        <w:t>的公众股股东从非流通股股东获得了</w:t>
      </w:r>
      <w:r>
        <w:rPr>
          <w:spacing w:val="-56"/>
        </w:rPr>
        <w:t> </w:t>
      </w:r>
      <w:r>
        <w:rPr>
          <w:rFonts w:ascii="Arial" w:hAnsi="Arial" w:cs="Arial" w:eastAsia="Arial" w:hint="default"/>
        </w:rPr>
        <w:t>18.2</w:t>
      </w:r>
      <w:r>
        <w:rPr>
          <w:rFonts w:ascii="Arial" w:hAnsi="Arial" w:cs="Arial" w:eastAsia="Arial" w:hint="default"/>
          <w:spacing w:val="-7"/>
        </w:rPr>
        <w:t> </w:t>
      </w:r>
      <w:r>
        <w:rPr>
          <w:spacing w:val="-6"/>
        </w:rPr>
        <w:t>亿股的流通股。至</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5</w:t>
      </w:r>
      <w:r>
        <w:rPr>
          <w:rFonts w:ascii="Arial" w:hAnsi="Arial" w:cs="Arial" w:eastAsia="Arial" w:hint="default"/>
          <w:spacing w:val="-7"/>
        </w:rPr>
        <w:t> </w:t>
      </w:r>
      <w:r>
        <w:rPr/>
        <w:t>月</w:t>
      </w:r>
      <w:r>
        <w:rPr>
          <w:spacing w:val="-56"/>
        </w:rPr>
        <w:t> </w:t>
      </w:r>
      <w:r>
        <w:rPr>
          <w:rFonts w:ascii="Arial" w:hAnsi="Arial" w:cs="Arial" w:eastAsia="Arial" w:hint="default"/>
        </w:rPr>
        <w:t>19</w:t>
      </w:r>
      <w:r>
        <w:rPr>
          <w:rFonts w:ascii="Arial" w:hAnsi="Arial" w:cs="Arial" w:eastAsia="Arial" w:hint="default"/>
          <w:spacing w:val="-7"/>
        </w:rPr>
        <w:t> </w:t>
      </w:r>
      <w:r>
        <w:rPr>
          <w:spacing w:val="-7"/>
        </w:rPr>
        <w:t>日，本公司因实</w:t>
      </w:r>
    </w:p>
    <w:p>
      <w:pPr>
        <w:pStyle w:val="BodyText"/>
        <w:spacing w:line="448" w:lineRule="auto"/>
        <w:ind w:left="538" w:right="1806"/>
        <w:jc w:val="left"/>
      </w:pPr>
      <w:r>
        <w:rPr/>
        <w:t>施股权分置改革方案而限售的普通股已全部解除限售可以在市场流通。</w:t>
      </w:r>
      <w:r>
        <w:rPr>
          <w:w w:val="99"/>
        </w:rPr>
        <w:t> </w:t>
      </w:r>
      <w:r>
        <w:rPr/>
        <w:t>于下文中本公司及本公司之子公司（详情请参见附注四）统称“本集团”。</w:t>
      </w:r>
    </w:p>
    <w:p>
      <w:pPr>
        <w:pStyle w:val="BodyText"/>
        <w:spacing w:line="240" w:lineRule="auto" w:before="58"/>
        <w:ind w:left="145" w:right="0"/>
        <w:jc w:val="left"/>
      </w:pPr>
      <w:r>
        <w:rPr>
          <w:rFonts w:ascii="Arial" w:hAnsi="Arial" w:cs="Arial" w:eastAsia="Arial" w:hint="default"/>
        </w:rPr>
        <w:t>2</w:t>
      </w:r>
      <w:r>
        <w:rPr/>
        <w:t>、</w:t>
      </w:r>
      <w:r>
        <w:rPr>
          <w:spacing w:val="-62"/>
        </w:rPr>
        <w:t> </w:t>
      </w:r>
      <w:r>
        <w:rPr/>
        <w:t>联通红筹公司向中国电信股份有限公司出售</w:t>
      </w:r>
      <w:r>
        <w:rPr>
          <w:spacing w:val="-55"/>
        </w:rPr>
        <w:t> </w:t>
      </w:r>
      <w:r>
        <w:rPr>
          <w:rFonts w:ascii="Arial" w:hAnsi="Arial" w:cs="Arial" w:eastAsia="Arial" w:hint="default"/>
        </w:rPr>
        <w:t>CDMA</w:t>
      </w:r>
      <w:r>
        <w:rPr>
          <w:rFonts w:ascii="Arial" w:hAnsi="Arial" w:cs="Arial" w:eastAsia="Arial" w:hint="default"/>
          <w:spacing w:val="-7"/>
        </w:rPr>
        <w:t> </w:t>
      </w:r>
      <w:r>
        <w:rPr/>
        <w:t>业务</w:t>
      </w:r>
    </w:p>
    <w:p>
      <w:pPr>
        <w:spacing w:line="240" w:lineRule="auto" w:before="2"/>
        <w:rPr>
          <w:rFonts w:ascii="宋体" w:hAnsi="宋体" w:cs="宋体" w:eastAsia="宋体" w:hint="default"/>
          <w:sz w:val="20"/>
          <w:szCs w:val="20"/>
        </w:rPr>
      </w:pPr>
    </w:p>
    <w:p>
      <w:pPr>
        <w:pStyle w:val="BodyText"/>
        <w:spacing w:line="286" w:lineRule="exact"/>
        <w:ind w:left="538" w:right="190"/>
        <w:jc w:val="both"/>
      </w:pPr>
      <w:r>
        <w:rPr>
          <w:spacing w:val="2"/>
        </w:rPr>
        <w:t>本公司所属子公司联通红筹公司和联通运营公司与中国电信股份有限公司（“中国电信”）</w:t>
      </w:r>
      <w:r>
        <w:rPr>
          <w:w w:val="99"/>
        </w:rPr>
        <w:t> </w:t>
      </w:r>
      <w:r>
        <w:rPr/>
        <w:t>分别于</w:t>
      </w:r>
      <w:r>
        <w:rPr>
          <w:spacing w:val="-44"/>
        </w:rPr>
        <w:t> </w:t>
      </w:r>
      <w:r>
        <w:rPr>
          <w:rFonts w:ascii="Arial" w:hAnsi="Arial" w:cs="Arial" w:eastAsia="Arial" w:hint="default"/>
        </w:rPr>
        <w:t>2008</w:t>
      </w:r>
      <w:r>
        <w:rPr>
          <w:rFonts w:ascii="Arial" w:hAnsi="Arial" w:cs="Arial" w:eastAsia="Arial" w:hint="default"/>
          <w:spacing w:val="5"/>
        </w:rPr>
        <w:t> </w:t>
      </w:r>
      <w:r>
        <w:rPr/>
        <w:t>年</w:t>
      </w:r>
      <w:r>
        <w:rPr>
          <w:spacing w:val="-44"/>
        </w:rPr>
        <w:t> </w:t>
      </w:r>
      <w:r>
        <w:rPr>
          <w:rFonts w:ascii="Arial" w:hAnsi="Arial" w:cs="Arial" w:eastAsia="Arial" w:hint="default"/>
        </w:rPr>
        <w:t>6</w:t>
      </w:r>
      <w:r>
        <w:rPr>
          <w:rFonts w:ascii="Arial" w:hAnsi="Arial" w:cs="Arial" w:eastAsia="Arial" w:hint="default"/>
          <w:spacing w:val="5"/>
        </w:rPr>
        <w:t> </w:t>
      </w:r>
      <w:r>
        <w:rPr/>
        <w:t>月</w:t>
      </w:r>
      <w:r>
        <w:rPr>
          <w:spacing w:val="-44"/>
        </w:rPr>
        <w:t> </w:t>
      </w:r>
      <w:r>
        <w:rPr>
          <w:rFonts w:ascii="Arial" w:hAnsi="Arial" w:cs="Arial" w:eastAsia="Arial" w:hint="default"/>
        </w:rPr>
        <w:t>2</w:t>
      </w:r>
      <w:r>
        <w:rPr>
          <w:rFonts w:ascii="Arial" w:hAnsi="Arial" w:cs="Arial" w:eastAsia="Arial" w:hint="default"/>
          <w:spacing w:val="4"/>
        </w:rPr>
        <w:t> </w:t>
      </w:r>
      <w:r>
        <w:rPr/>
        <w:t>日和</w:t>
      </w:r>
      <w:r>
        <w:rPr>
          <w:spacing w:val="-44"/>
        </w:rPr>
        <w:t> </w:t>
      </w:r>
      <w:r>
        <w:rPr>
          <w:rFonts w:ascii="Arial" w:hAnsi="Arial" w:cs="Arial" w:eastAsia="Arial" w:hint="default"/>
        </w:rPr>
        <w:t>2008</w:t>
      </w:r>
      <w:r>
        <w:rPr>
          <w:rFonts w:ascii="Arial" w:hAnsi="Arial" w:cs="Arial" w:eastAsia="Arial" w:hint="default"/>
          <w:spacing w:val="5"/>
        </w:rPr>
        <w:t> </w:t>
      </w:r>
      <w:r>
        <w:rPr/>
        <w:t>年</w:t>
      </w:r>
      <w:r>
        <w:rPr>
          <w:spacing w:val="-44"/>
        </w:rPr>
        <w:t> </w:t>
      </w:r>
      <w:r>
        <w:rPr>
          <w:rFonts w:ascii="Arial" w:hAnsi="Arial" w:cs="Arial" w:eastAsia="Arial" w:hint="default"/>
        </w:rPr>
        <w:t>7</w:t>
      </w:r>
      <w:r>
        <w:rPr>
          <w:rFonts w:ascii="Arial" w:hAnsi="Arial" w:cs="Arial" w:eastAsia="Arial" w:hint="default"/>
          <w:spacing w:val="5"/>
        </w:rPr>
        <w:t> </w:t>
      </w:r>
      <w:r>
        <w:rPr/>
        <w:t>月</w:t>
      </w:r>
      <w:r>
        <w:rPr>
          <w:spacing w:val="-44"/>
        </w:rPr>
        <w:t> </w:t>
      </w:r>
      <w:r>
        <w:rPr>
          <w:rFonts w:ascii="Arial" w:hAnsi="Arial" w:cs="Arial" w:eastAsia="Arial" w:hint="default"/>
        </w:rPr>
        <w:t>27</w:t>
      </w:r>
      <w:r>
        <w:rPr>
          <w:rFonts w:ascii="Arial" w:hAnsi="Arial" w:cs="Arial" w:eastAsia="Arial" w:hint="default"/>
          <w:spacing w:val="5"/>
        </w:rPr>
        <w:t> </w:t>
      </w:r>
      <w:r>
        <w:rPr/>
        <w:t>日订立了《关于转让</w:t>
      </w:r>
      <w:r>
        <w:rPr>
          <w:spacing w:val="-44"/>
        </w:rPr>
        <w:t> </w:t>
      </w:r>
      <w:r>
        <w:rPr>
          <w:rFonts w:ascii="Arial" w:hAnsi="Arial" w:cs="Arial" w:eastAsia="Arial" w:hint="default"/>
        </w:rPr>
        <w:t>CDMA</w:t>
      </w:r>
      <w:r>
        <w:rPr>
          <w:rFonts w:ascii="Arial" w:hAnsi="Arial" w:cs="Arial" w:eastAsia="Arial" w:hint="default"/>
          <w:spacing w:val="5"/>
        </w:rPr>
        <w:t> </w:t>
      </w:r>
      <w:r>
        <w:rPr/>
        <w:t>业务的框架协议》</w:t>
      </w:r>
    </w:p>
    <w:p>
      <w:pPr>
        <w:pStyle w:val="BodyText"/>
        <w:spacing w:line="266" w:lineRule="exact"/>
        <w:ind w:left="538" w:right="0"/>
        <w:jc w:val="both"/>
      </w:pPr>
      <w:r>
        <w:rPr/>
        <w:t>（“</w:t>
      </w:r>
      <w:r>
        <w:rPr>
          <w:rFonts w:ascii="Arial" w:hAnsi="Arial" w:cs="Arial" w:eastAsia="Arial" w:hint="default"/>
        </w:rPr>
        <w:t>CDMA</w:t>
      </w:r>
      <w:r>
        <w:rPr>
          <w:rFonts w:ascii="Arial" w:hAnsi="Arial" w:cs="Arial" w:eastAsia="Arial" w:hint="default"/>
          <w:spacing w:val="-8"/>
        </w:rPr>
        <w:t> </w:t>
      </w:r>
      <w:r>
        <w:rPr/>
        <w:t>出售框架协议”）和《关于转让</w:t>
      </w:r>
      <w:r>
        <w:rPr>
          <w:spacing w:val="-57"/>
        </w:rPr>
        <w:t> </w:t>
      </w:r>
      <w:r>
        <w:rPr>
          <w:rFonts w:ascii="Arial" w:hAnsi="Arial" w:cs="Arial" w:eastAsia="Arial" w:hint="default"/>
        </w:rPr>
        <w:t>CDMA</w:t>
      </w:r>
      <w:r>
        <w:rPr>
          <w:rFonts w:ascii="Arial" w:hAnsi="Arial" w:cs="Arial" w:eastAsia="Arial" w:hint="default"/>
          <w:spacing w:val="-8"/>
        </w:rPr>
        <w:t> </w:t>
      </w:r>
      <w:r>
        <w:rPr/>
        <w:t>业务的协议》（“</w:t>
      </w:r>
      <w:r>
        <w:rPr>
          <w:rFonts w:ascii="Arial" w:hAnsi="Arial" w:cs="Arial" w:eastAsia="Arial" w:hint="default"/>
        </w:rPr>
        <w:t>CDMA</w:t>
      </w:r>
      <w:r>
        <w:rPr>
          <w:rFonts w:ascii="Arial" w:hAnsi="Arial" w:cs="Arial" w:eastAsia="Arial" w:hint="default"/>
          <w:spacing w:val="-9"/>
        </w:rPr>
        <w:t> </w:t>
      </w:r>
      <w:r>
        <w:rPr/>
        <w:t>出售协议”），</w:t>
      </w:r>
    </w:p>
    <w:p>
      <w:pPr>
        <w:pStyle w:val="BodyText"/>
        <w:spacing w:line="286" w:lineRule="exact" w:before="20"/>
        <w:ind w:left="538" w:right="187" w:hanging="1"/>
        <w:jc w:val="both"/>
      </w:pPr>
      <w:r>
        <w:rPr/>
        <w:t>即联通运营公司将出售及中国电信将购入本集团经营的 </w:t>
      </w:r>
      <w:r>
        <w:rPr>
          <w:rFonts w:ascii="Arial" w:hAnsi="Arial" w:cs="Arial" w:eastAsia="Arial" w:hint="default"/>
        </w:rPr>
        <w:t>CDMA </w:t>
      </w:r>
      <w:r>
        <w:rPr/>
        <w:t>业务。联通红筹公司于</w:t>
      </w:r>
      <w:r>
        <w:rPr>
          <w:spacing w:val="-8"/>
        </w:rPr>
        <w:t> </w:t>
      </w:r>
      <w:r>
        <w:rPr>
          <w:rFonts w:ascii="Arial" w:hAnsi="Arial" w:cs="Arial" w:eastAsia="Arial" w:hint="default"/>
        </w:rPr>
        <w:t>2008</w:t>
      </w:r>
      <w:r>
        <w:rPr>
          <w:rFonts w:ascii="Arial" w:hAnsi="Arial" w:cs="Arial" w:eastAsia="Arial" w:hint="default"/>
          <w:w w:val="99"/>
        </w:rPr>
        <w:t> </w:t>
      </w:r>
      <w:r>
        <w:rPr/>
        <w:t>年 </w:t>
      </w:r>
      <w:r>
        <w:rPr>
          <w:rFonts w:ascii="Arial" w:hAnsi="Arial" w:cs="Arial" w:eastAsia="Arial" w:hint="default"/>
        </w:rPr>
        <w:t>9 </w:t>
      </w:r>
      <w:r>
        <w:rPr/>
        <w:t>月 </w:t>
      </w:r>
      <w:r>
        <w:rPr>
          <w:rFonts w:ascii="Arial" w:hAnsi="Arial" w:cs="Arial" w:eastAsia="Arial" w:hint="default"/>
        </w:rPr>
        <w:t>16</w:t>
      </w:r>
      <w:r>
        <w:rPr>
          <w:rFonts w:ascii="Arial" w:hAnsi="Arial" w:cs="Arial" w:eastAsia="Arial" w:hint="default"/>
          <w:spacing w:val="-19"/>
        </w:rPr>
        <w:t> </w:t>
      </w:r>
      <w:r>
        <w:rPr/>
        <w:t>日召开的特别股东大会及本公司于同日召开的临时股东大会均审议并通过了上述</w:t>
      </w:r>
      <w:r>
        <w:rPr>
          <w:w w:val="99"/>
        </w:rPr>
        <w:t> </w:t>
      </w:r>
      <w:r>
        <w:rPr>
          <w:rFonts w:ascii="Arial" w:hAnsi="Arial" w:cs="Arial" w:eastAsia="Arial" w:hint="default"/>
        </w:rPr>
        <w:t>CDMA</w:t>
      </w:r>
      <w:r>
        <w:rPr>
          <w:rFonts w:ascii="Arial" w:hAnsi="Arial" w:cs="Arial" w:eastAsia="Arial" w:hint="default"/>
          <w:spacing w:val="-8"/>
        </w:rPr>
        <w:t> </w:t>
      </w:r>
      <w:r>
        <w:rPr/>
        <w:t>出售协议。于</w:t>
      </w:r>
      <w:r>
        <w:rPr>
          <w:spacing w:val="-57"/>
        </w:rPr>
        <w:t> </w:t>
      </w:r>
      <w:r>
        <w:rPr>
          <w:rFonts w:ascii="Arial" w:hAnsi="Arial" w:cs="Arial" w:eastAsia="Arial" w:hint="default"/>
        </w:rPr>
        <w:t>2008</w:t>
      </w:r>
      <w:r>
        <w:rPr>
          <w:rFonts w:ascii="Arial" w:hAnsi="Arial" w:cs="Arial" w:eastAsia="Arial" w:hint="default"/>
          <w:spacing w:val="-8"/>
        </w:rPr>
        <w:t> </w:t>
      </w:r>
      <w:r>
        <w:rPr/>
        <w:t>年</w:t>
      </w:r>
      <w:r>
        <w:rPr>
          <w:spacing w:val="-57"/>
        </w:rPr>
        <w:t> </w:t>
      </w:r>
      <w:r>
        <w:rPr>
          <w:rFonts w:ascii="Arial" w:hAnsi="Arial" w:cs="Arial" w:eastAsia="Arial" w:hint="default"/>
        </w:rPr>
        <w:t>10</w:t>
      </w:r>
      <w:r>
        <w:rPr>
          <w:rFonts w:ascii="Arial" w:hAnsi="Arial" w:cs="Arial" w:eastAsia="Arial" w:hint="default"/>
          <w:spacing w:val="-8"/>
        </w:rPr>
        <w:t> </w:t>
      </w:r>
      <w:r>
        <w:rPr/>
        <w:t>月</w:t>
      </w:r>
      <w:r>
        <w:rPr>
          <w:spacing w:val="-57"/>
        </w:rPr>
        <w:t> </w:t>
      </w:r>
      <w:r>
        <w:rPr>
          <w:rFonts w:ascii="Arial" w:hAnsi="Arial" w:cs="Arial" w:eastAsia="Arial" w:hint="default"/>
        </w:rPr>
        <w:t>1</w:t>
      </w:r>
      <w:r>
        <w:rPr>
          <w:rFonts w:ascii="Arial" w:hAnsi="Arial" w:cs="Arial" w:eastAsia="Arial" w:hint="default"/>
          <w:spacing w:val="-8"/>
        </w:rPr>
        <w:t> </w:t>
      </w:r>
      <w:r>
        <w:rPr/>
        <w:t>日，本集团完成了向中国电信出售</w:t>
      </w:r>
      <w:r>
        <w:rPr>
          <w:spacing w:val="-57"/>
        </w:rPr>
        <w:t> </w:t>
      </w:r>
      <w:r>
        <w:rPr>
          <w:rFonts w:ascii="Arial" w:hAnsi="Arial" w:cs="Arial" w:eastAsia="Arial" w:hint="default"/>
        </w:rPr>
        <w:t>CDMA</w:t>
      </w:r>
      <w:r>
        <w:rPr>
          <w:rFonts w:ascii="Arial" w:hAnsi="Arial" w:cs="Arial" w:eastAsia="Arial" w:hint="default"/>
          <w:spacing w:val="-8"/>
        </w:rPr>
        <w:t> </w:t>
      </w:r>
      <w:r>
        <w:rPr/>
        <w:t>业务。</w:t>
      </w:r>
    </w:p>
    <w:p>
      <w:pPr>
        <w:spacing w:after="0" w:line="286" w:lineRule="exact"/>
        <w:jc w:val="both"/>
        <w:sectPr>
          <w:headerReference w:type="default" r:id="rId33"/>
          <w:footerReference w:type="default" r:id="rId34"/>
          <w:pgSz w:w="11910" w:h="16840"/>
          <w:pgMar w:header="967" w:footer="600" w:top="2320" w:bottom="780" w:left="1440" w:right="840"/>
          <w:pgNumType w:start="56"/>
        </w:sectPr>
      </w:pPr>
    </w:p>
    <w:p>
      <w:pPr>
        <w:spacing w:line="240" w:lineRule="auto" w:before="12"/>
        <w:rPr>
          <w:rFonts w:ascii="宋体" w:hAnsi="宋体" w:cs="宋体" w:eastAsia="宋体" w:hint="default"/>
          <w:sz w:val="14"/>
          <w:szCs w:val="14"/>
        </w:rPr>
      </w:pPr>
    </w:p>
    <w:p>
      <w:pPr>
        <w:pStyle w:val="BodyText"/>
        <w:spacing w:line="240" w:lineRule="auto" w:before="31"/>
        <w:ind w:left="146" w:right="99"/>
        <w:jc w:val="left"/>
      </w:pPr>
      <w:r>
        <w:rPr>
          <w:rFonts w:ascii="Arial" w:hAnsi="Arial" w:cs="Arial" w:eastAsia="Arial" w:hint="default"/>
        </w:rPr>
        <w:t>3</w:t>
      </w:r>
      <w:r>
        <w:rPr/>
        <w:t>、</w:t>
      </w:r>
      <w:r>
        <w:rPr>
          <w:spacing w:val="-62"/>
        </w:rPr>
        <w:t> </w:t>
      </w:r>
      <w:r>
        <w:rPr/>
        <w:t>联通红筹公司通过一项协议安排与中国网通集团（香港）有限公司的合并</w:t>
      </w:r>
    </w:p>
    <w:p>
      <w:pPr>
        <w:spacing w:line="240" w:lineRule="auto" w:before="2"/>
        <w:rPr>
          <w:rFonts w:ascii="宋体" w:hAnsi="宋体" w:cs="宋体" w:eastAsia="宋体" w:hint="default"/>
          <w:sz w:val="19"/>
          <w:szCs w:val="19"/>
        </w:rPr>
      </w:pPr>
    </w:p>
    <w:p>
      <w:pPr>
        <w:pStyle w:val="BodyText"/>
        <w:spacing w:line="225" w:lineRule="auto"/>
        <w:ind w:left="538" w:right="99"/>
        <w:jc w:val="left"/>
      </w:pPr>
      <w:r>
        <w:rPr>
          <w:spacing w:val="-2"/>
          <w:w w:val="95"/>
        </w:rPr>
        <w:t>于</w:t>
      </w:r>
      <w:r>
        <w:rPr>
          <w:rFonts w:ascii="Arial" w:hAnsi="Arial" w:cs="Arial" w:eastAsia="Arial" w:hint="default"/>
          <w:spacing w:val="-2"/>
          <w:w w:val="95"/>
        </w:rPr>
        <w:t>2008</w:t>
      </w:r>
      <w:r>
        <w:rPr>
          <w:spacing w:val="-2"/>
          <w:w w:val="95"/>
        </w:rPr>
        <w:t>年</w:t>
      </w:r>
      <w:r>
        <w:rPr>
          <w:rFonts w:ascii="Arial" w:hAnsi="Arial" w:cs="Arial" w:eastAsia="Arial" w:hint="default"/>
          <w:spacing w:val="-2"/>
          <w:w w:val="95"/>
        </w:rPr>
        <w:t>6</w:t>
      </w:r>
      <w:r>
        <w:rPr>
          <w:spacing w:val="-2"/>
          <w:w w:val="95"/>
        </w:rPr>
        <w:t>月</w:t>
      </w:r>
      <w:r>
        <w:rPr>
          <w:rFonts w:ascii="Arial" w:hAnsi="Arial" w:cs="Arial" w:eastAsia="Arial" w:hint="default"/>
          <w:spacing w:val="-2"/>
          <w:w w:val="95"/>
        </w:rPr>
        <w:t>2</w:t>
      </w:r>
      <w:r>
        <w:rPr>
          <w:spacing w:val="-2"/>
          <w:w w:val="95"/>
        </w:rPr>
        <w:t>日，联通红筹公司正式向中国网通集团（香港）有限公司（“网通红筹公司”）</w:t>
      </w:r>
      <w:r>
        <w:rPr>
          <w:spacing w:val="26"/>
          <w:w w:val="95"/>
        </w:rPr>
        <w:t> </w:t>
      </w:r>
      <w:r>
        <w:rPr>
          <w:spacing w:val="26"/>
          <w:w w:val="95"/>
        </w:rPr>
      </w:r>
      <w:r>
        <w:rPr/>
        <w:t>董事会提呈合并建议，即通过由网通红筹公司根据香港公司条例第</w:t>
      </w:r>
      <w:r>
        <w:rPr>
          <w:rFonts w:ascii="Arial" w:hAnsi="Arial" w:cs="Arial" w:eastAsia="Arial" w:hint="default"/>
        </w:rPr>
        <w:t>166</w:t>
      </w:r>
      <w:r>
        <w:rPr/>
        <w:t>条的规定实施一项协议</w:t>
      </w:r>
      <w:r>
        <w:rPr>
          <w:w w:val="99"/>
        </w:rPr>
        <w:t> </w:t>
      </w:r>
      <w:r>
        <w:rPr>
          <w:spacing w:val="-3"/>
        </w:rPr>
        <w:t>安排（“协议安排”）的合并方式以实现两家公司的合并。联通红筹公司于</w:t>
      </w:r>
      <w:r>
        <w:rPr>
          <w:rFonts w:ascii="Arial" w:hAnsi="Arial" w:cs="Arial" w:eastAsia="Arial" w:hint="default"/>
          <w:spacing w:val="-3"/>
        </w:rPr>
        <w:t>2008</w:t>
      </w:r>
      <w:r>
        <w:rPr>
          <w:spacing w:val="-3"/>
        </w:rPr>
        <w:t>年</w:t>
      </w:r>
      <w:r>
        <w:rPr>
          <w:rFonts w:ascii="Arial" w:hAnsi="Arial" w:cs="Arial" w:eastAsia="Arial" w:hint="default"/>
          <w:spacing w:val="-3"/>
        </w:rPr>
        <w:t>9</w:t>
      </w:r>
      <w:r>
        <w:rPr>
          <w:spacing w:val="-3"/>
        </w:rPr>
        <w:t>月</w:t>
      </w:r>
      <w:r>
        <w:rPr>
          <w:rFonts w:ascii="Arial" w:hAnsi="Arial" w:cs="Arial" w:eastAsia="Arial" w:hint="default"/>
          <w:spacing w:val="-3"/>
        </w:rPr>
        <w:t>16</w:t>
      </w:r>
      <w:r>
        <w:rPr>
          <w:spacing w:val="-3"/>
        </w:rPr>
        <w:t>日召</w:t>
      </w:r>
      <w:r>
        <w:rPr>
          <w:spacing w:val="-85"/>
        </w:rPr>
        <w:t> </w:t>
      </w:r>
      <w:r>
        <w:rPr/>
        <w:t>开的特别股东大会及本公司于同日召开的临时股东大会均审议并通过了该协议安排。</w:t>
      </w:r>
    </w:p>
    <w:p>
      <w:pPr>
        <w:spacing w:line="240" w:lineRule="auto" w:before="5"/>
        <w:rPr>
          <w:rFonts w:ascii="宋体" w:hAnsi="宋体" w:cs="宋体" w:eastAsia="宋体" w:hint="default"/>
          <w:sz w:val="21"/>
          <w:szCs w:val="21"/>
        </w:rPr>
      </w:pPr>
    </w:p>
    <w:p>
      <w:pPr>
        <w:pStyle w:val="BodyText"/>
        <w:spacing w:line="286" w:lineRule="exact"/>
        <w:ind w:left="538" w:right="208"/>
        <w:jc w:val="both"/>
      </w:pPr>
      <w:r>
        <w:rPr/>
        <w:t>于</w:t>
      </w:r>
      <w:r>
        <w:rPr>
          <w:rFonts w:ascii="Arial" w:hAnsi="Arial" w:cs="Arial" w:eastAsia="Arial" w:hint="default"/>
        </w:rPr>
        <w:t>2008</w:t>
      </w:r>
      <w:r>
        <w:rPr/>
        <w:t>年</w:t>
      </w:r>
      <w:r>
        <w:rPr>
          <w:rFonts w:ascii="Arial" w:hAnsi="Arial" w:cs="Arial" w:eastAsia="Arial" w:hint="default"/>
        </w:rPr>
        <w:t>10</w:t>
      </w:r>
      <w:r>
        <w:rPr/>
        <w:t>月</w:t>
      </w:r>
      <w:r>
        <w:rPr>
          <w:rFonts w:ascii="Arial" w:hAnsi="Arial" w:cs="Arial" w:eastAsia="Arial" w:hint="default"/>
        </w:rPr>
        <w:t>15</w:t>
      </w:r>
      <w:r>
        <w:rPr/>
        <w:t>日，联通红筹公司和网通红筹公司根据协议安排通过换股方式完成两家公司</w:t>
      </w:r>
      <w:r>
        <w:rPr>
          <w:w w:val="99"/>
        </w:rPr>
        <w:t> </w:t>
      </w:r>
      <w:r>
        <w:rPr>
          <w:spacing w:val="2"/>
        </w:rPr>
        <w:t>的合并。合并后，网通红筹公司成为联通红筹公司的全资子公司，网通红筹公司股份及网通</w:t>
      </w:r>
      <w:r>
        <w:rPr>
          <w:w w:val="99"/>
        </w:rPr>
        <w:t> </w:t>
      </w:r>
      <w:r>
        <w:rPr>
          <w:spacing w:val="2"/>
        </w:rPr>
        <w:t>红筹公司美国托存股份亦分别于香港联交所及纽约证券交易所撤销上市。合并后，本公司所</w:t>
      </w:r>
      <w:r>
        <w:rPr>
          <w:w w:val="99"/>
        </w:rPr>
        <w:t> </w:t>
      </w:r>
      <w:r>
        <w:rPr>
          <w:spacing w:val="-3"/>
        </w:rPr>
        <w:t>属子公司联通</w:t>
      </w:r>
      <w:r>
        <w:rPr>
          <w:rFonts w:ascii="Arial" w:hAnsi="Arial" w:cs="Arial" w:eastAsia="Arial" w:hint="default"/>
          <w:spacing w:val="-3"/>
        </w:rPr>
        <w:t>BVI</w:t>
      </w:r>
      <w:r>
        <w:rPr>
          <w:spacing w:val="-3"/>
        </w:rPr>
        <w:t>公司对联通红筹公司的持股比例由合并前的</w:t>
      </w:r>
      <w:r>
        <w:rPr>
          <w:rFonts w:ascii="Arial" w:hAnsi="Arial" w:cs="Arial" w:eastAsia="Arial" w:hint="default"/>
          <w:spacing w:val="-3"/>
        </w:rPr>
        <w:t>71.17%</w:t>
      </w:r>
      <w:r>
        <w:rPr>
          <w:spacing w:val="-3"/>
        </w:rPr>
        <w:t>（于</w:t>
      </w:r>
      <w:r>
        <w:rPr>
          <w:rFonts w:ascii="Arial" w:hAnsi="Arial" w:cs="Arial" w:eastAsia="Arial" w:hint="default"/>
          <w:spacing w:val="-3"/>
        </w:rPr>
        <w:t>2008</w:t>
      </w:r>
      <w:r>
        <w:rPr>
          <w:spacing w:val="-3"/>
        </w:rPr>
        <w:t>年</w:t>
      </w:r>
      <w:r>
        <w:rPr>
          <w:rFonts w:ascii="Arial" w:hAnsi="Arial" w:cs="Arial" w:eastAsia="Arial" w:hint="default"/>
          <w:spacing w:val="-3"/>
        </w:rPr>
        <w:t>9</w:t>
      </w:r>
      <w:r>
        <w:rPr>
          <w:spacing w:val="-3"/>
        </w:rPr>
        <w:t>月</w:t>
      </w:r>
      <w:r>
        <w:rPr>
          <w:rFonts w:ascii="Arial" w:hAnsi="Arial" w:cs="Arial" w:eastAsia="Arial" w:hint="default"/>
          <w:spacing w:val="-3"/>
        </w:rPr>
        <w:t>30</w:t>
      </w:r>
      <w:r>
        <w:rPr>
          <w:spacing w:val="-3"/>
        </w:rPr>
        <w:t>日）下</w:t>
      </w:r>
      <w:r>
        <w:rPr>
          <w:spacing w:val="-78"/>
        </w:rPr>
        <w:t> </w:t>
      </w:r>
      <w:r>
        <w:rPr>
          <w:spacing w:val="-78"/>
        </w:rPr>
      </w:r>
      <w:r>
        <w:rPr/>
        <w:t>降为合并后的</w:t>
      </w:r>
      <w:r>
        <w:rPr>
          <w:rFonts w:ascii="Arial" w:hAnsi="Arial" w:cs="Arial" w:eastAsia="Arial" w:hint="default"/>
        </w:rPr>
        <w:t>40.92%</w:t>
      </w:r>
      <w:r>
        <w:rPr/>
        <w:t>。</w:t>
      </w:r>
    </w:p>
    <w:p>
      <w:pPr>
        <w:spacing w:line="240" w:lineRule="auto" w:before="3"/>
        <w:rPr>
          <w:rFonts w:ascii="宋体" w:hAnsi="宋体" w:cs="宋体" w:eastAsia="宋体" w:hint="default"/>
          <w:sz w:val="19"/>
          <w:szCs w:val="19"/>
        </w:rPr>
      </w:pPr>
    </w:p>
    <w:p>
      <w:pPr>
        <w:pStyle w:val="BodyText"/>
        <w:spacing w:line="286" w:lineRule="exact"/>
        <w:ind w:left="538" w:right="208"/>
        <w:jc w:val="both"/>
      </w:pPr>
      <w:r>
        <w:rPr>
          <w:w w:val="95"/>
        </w:rPr>
        <w:t>在执行上述协议安排过程中，于</w:t>
      </w:r>
      <w:r>
        <w:rPr>
          <w:rFonts w:ascii="Arial" w:hAnsi="Arial" w:cs="Arial" w:eastAsia="Arial" w:hint="default"/>
          <w:w w:val="95"/>
        </w:rPr>
        <w:t>2008</w:t>
      </w:r>
      <w:r>
        <w:rPr>
          <w:w w:val="95"/>
        </w:rPr>
        <w:t>年</w:t>
      </w:r>
      <w:r>
        <w:rPr>
          <w:rFonts w:ascii="Arial" w:hAnsi="Arial" w:cs="Arial" w:eastAsia="Arial" w:hint="default"/>
          <w:w w:val="95"/>
        </w:rPr>
        <w:t>9</w:t>
      </w:r>
      <w:r>
        <w:rPr>
          <w:w w:val="95"/>
        </w:rPr>
        <w:t>月</w:t>
      </w:r>
      <w:r>
        <w:rPr>
          <w:rFonts w:ascii="Arial" w:hAnsi="Arial" w:cs="Arial" w:eastAsia="Arial" w:hint="default"/>
          <w:w w:val="95"/>
        </w:rPr>
        <w:t>22</w:t>
      </w:r>
      <w:r>
        <w:rPr>
          <w:w w:val="95"/>
        </w:rPr>
        <w:t>日联通</w:t>
      </w:r>
      <w:r>
        <w:rPr>
          <w:rFonts w:ascii="Arial" w:hAnsi="Arial" w:cs="Arial" w:eastAsia="Arial" w:hint="default"/>
          <w:w w:val="95"/>
        </w:rPr>
        <w:t>BVI</w:t>
      </w:r>
      <w:r>
        <w:rPr>
          <w:w w:val="95"/>
        </w:rPr>
        <w:t>公司和网通红筹公司原控股母公司中</w:t>
      </w:r>
      <w:r>
        <w:rPr>
          <w:spacing w:val="6"/>
          <w:w w:val="95"/>
        </w:rPr>
        <w:t> </w:t>
      </w:r>
      <w:r>
        <w:rPr>
          <w:spacing w:val="6"/>
          <w:w w:val="95"/>
        </w:rPr>
      </w:r>
      <w:r>
        <w:rPr/>
        <w:t>国网通集团（</w:t>
      </w:r>
      <w:r>
        <w:rPr>
          <w:rFonts w:ascii="Arial" w:hAnsi="Arial" w:cs="Arial" w:eastAsia="Arial" w:hint="default"/>
        </w:rPr>
        <w:t>BVI</w:t>
      </w:r>
      <w:r>
        <w:rPr/>
        <w:t>）有限公司（“网通集团</w:t>
      </w:r>
      <w:r>
        <w:rPr>
          <w:rFonts w:ascii="Arial" w:hAnsi="Arial" w:cs="Arial" w:eastAsia="Arial" w:hint="default"/>
        </w:rPr>
        <w:t>BVI</w:t>
      </w:r>
      <w:r>
        <w:rPr/>
        <w:t>公司”）订立了一致行动方协议，于协议安排</w:t>
      </w:r>
      <w:r>
        <w:rPr>
          <w:spacing w:val="-78"/>
        </w:rPr>
        <w:t> </w:t>
      </w:r>
      <w:r>
        <w:rPr>
          <w:spacing w:val="-78"/>
        </w:rPr>
      </w:r>
      <w:r>
        <w:rPr/>
        <w:t>完成时联通</w:t>
      </w:r>
      <w:r>
        <w:rPr>
          <w:rFonts w:ascii="Arial" w:hAnsi="Arial" w:cs="Arial" w:eastAsia="Arial" w:hint="default"/>
        </w:rPr>
        <w:t>BVI</w:t>
      </w:r>
      <w:r>
        <w:rPr/>
        <w:t>公司和网通集团</w:t>
      </w:r>
      <w:r>
        <w:rPr>
          <w:rFonts w:ascii="Arial" w:hAnsi="Arial" w:cs="Arial" w:eastAsia="Arial" w:hint="default"/>
        </w:rPr>
        <w:t>BVI</w:t>
      </w:r>
      <w:r>
        <w:rPr/>
        <w:t>公司就联通红筹公司而言成为一致行动人。</w:t>
      </w:r>
    </w:p>
    <w:p>
      <w:pPr>
        <w:pStyle w:val="BodyText"/>
        <w:spacing w:line="240" w:lineRule="auto" w:before="178"/>
        <w:ind w:left="146" w:right="99"/>
        <w:jc w:val="left"/>
      </w:pPr>
      <w:r>
        <w:rPr>
          <w:rFonts w:ascii="Arial" w:hAnsi="Arial" w:cs="Arial" w:eastAsia="Arial" w:hint="default"/>
        </w:rPr>
        <w:t>4</w:t>
      </w:r>
      <w:r>
        <w:rPr/>
        <w:t>、</w:t>
      </w:r>
      <w:r>
        <w:rPr>
          <w:spacing w:val="-62"/>
        </w:rPr>
        <w:t> </w:t>
      </w:r>
      <w:r>
        <w:rPr/>
        <w:t>联通运营公司吸收合并中国网通（集团）有限公司</w:t>
      </w:r>
    </w:p>
    <w:p>
      <w:pPr>
        <w:pStyle w:val="BodyText"/>
        <w:spacing w:line="232" w:lineRule="auto" w:before="196"/>
        <w:ind w:left="539" w:right="209" w:hanging="1"/>
        <w:jc w:val="both"/>
      </w:pPr>
      <w:r>
        <w:rPr>
          <w:w w:val="95"/>
        </w:rPr>
        <w:t>联通红筹公司与网通红筹公司合并后，联通红筹公司于</w:t>
      </w:r>
      <w:r>
        <w:rPr>
          <w:rFonts w:ascii="Arial" w:hAnsi="Arial" w:cs="Arial" w:eastAsia="Arial" w:hint="default"/>
          <w:w w:val="95"/>
        </w:rPr>
        <w:t>2008</w:t>
      </w:r>
      <w:r>
        <w:rPr>
          <w:w w:val="95"/>
        </w:rPr>
        <w:t>年</w:t>
      </w:r>
      <w:r>
        <w:rPr>
          <w:rFonts w:ascii="Arial" w:hAnsi="Arial" w:cs="Arial" w:eastAsia="Arial" w:hint="default"/>
          <w:w w:val="95"/>
        </w:rPr>
        <w:t>10</w:t>
      </w:r>
      <w:r>
        <w:rPr>
          <w:w w:val="95"/>
        </w:rPr>
        <w:t>月</w:t>
      </w:r>
      <w:r>
        <w:rPr>
          <w:rFonts w:ascii="Arial" w:hAnsi="Arial" w:cs="Arial" w:eastAsia="Arial" w:hint="default"/>
          <w:w w:val="95"/>
        </w:rPr>
        <w:t>15</w:t>
      </w:r>
      <w:r>
        <w:rPr>
          <w:w w:val="95"/>
        </w:rPr>
        <w:t>日与网通红筹公司、联</w:t>
      </w:r>
      <w:r>
        <w:rPr>
          <w:spacing w:val="16"/>
          <w:w w:val="95"/>
        </w:rPr>
        <w:t> </w:t>
      </w:r>
      <w:r>
        <w:rPr>
          <w:spacing w:val="16"/>
          <w:w w:val="95"/>
        </w:rPr>
      </w:r>
      <w:r>
        <w:rPr>
          <w:spacing w:val="2"/>
        </w:rPr>
        <w:t>通运营公司及中国网通（集团）有限公司（“网通运营公司”）达成协议由联通运营公司吸</w:t>
      </w:r>
      <w:r>
        <w:rPr>
          <w:w w:val="99"/>
        </w:rPr>
        <w:t> </w:t>
      </w:r>
      <w:r>
        <w:rPr>
          <w:spacing w:val="2"/>
        </w:rPr>
        <w:t>收合并网通运营公司。合并后，联通运营公司存续，网通运营公司资产与负债由联通运营公</w:t>
      </w:r>
      <w:r>
        <w:rPr>
          <w:w w:val="99"/>
        </w:rPr>
        <w:t> </w:t>
      </w:r>
      <w:r>
        <w:rPr/>
        <w:t>司承继，网通运营公司被注销。该合并于</w:t>
      </w:r>
      <w:r>
        <w:rPr>
          <w:rFonts w:ascii="Arial" w:hAnsi="Arial" w:cs="Arial" w:eastAsia="Arial" w:hint="default"/>
        </w:rPr>
        <w:t>2009</w:t>
      </w:r>
      <w:r>
        <w:rPr/>
        <w:t>年</w:t>
      </w:r>
      <w:r>
        <w:rPr>
          <w:rFonts w:ascii="Arial" w:hAnsi="Arial" w:cs="Arial" w:eastAsia="Arial" w:hint="default"/>
        </w:rPr>
        <w:t>1</w:t>
      </w:r>
      <w:r>
        <w:rPr/>
        <w:t>月</w:t>
      </w:r>
      <w:r>
        <w:rPr>
          <w:rFonts w:ascii="Arial" w:hAnsi="Arial" w:cs="Arial" w:eastAsia="Arial" w:hint="default"/>
        </w:rPr>
        <w:t>6</w:t>
      </w:r>
      <w:r>
        <w:rPr/>
        <w:t>日获得商务部批准后正式完成。</w:t>
      </w:r>
    </w:p>
    <w:p>
      <w:pPr>
        <w:pStyle w:val="BodyText"/>
        <w:spacing w:line="240" w:lineRule="auto" w:before="191"/>
        <w:ind w:left="146" w:right="99"/>
        <w:jc w:val="left"/>
      </w:pPr>
      <w:r>
        <w:rPr>
          <w:rFonts w:ascii="Arial" w:hAnsi="Arial" w:cs="Arial" w:eastAsia="Arial" w:hint="default"/>
        </w:rPr>
        <w:t>5</w:t>
      </w:r>
      <w:r>
        <w:rPr/>
        <w:t>、</w:t>
      </w:r>
      <w:r>
        <w:rPr>
          <w:spacing w:val="-62"/>
        </w:rPr>
        <w:t> </w:t>
      </w:r>
      <w:r>
        <w:rPr/>
        <w:t>联通集团吸收合并中国网络通信集团公司</w:t>
      </w:r>
    </w:p>
    <w:p>
      <w:pPr>
        <w:pStyle w:val="BodyText"/>
        <w:spacing w:line="232" w:lineRule="auto" w:before="196"/>
        <w:ind w:left="539" w:right="209" w:hanging="1"/>
        <w:jc w:val="both"/>
      </w:pPr>
      <w:r>
        <w:rPr>
          <w:w w:val="95"/>
        </w:rPr>
        <w:t>于</w:t>
      </w:r>
      <w:r>
        <w:rPr>
          <w:rFonts w:ascii="Arial" w:hAnsi="Arial" w:cs="Arial" w:eastAsia="Arial" w:hint="default"/>
          <w:w w:val="95"/>
        </w:rPr>
        <w:t>2008</w:t>
      </w:r>
      <w:r>
        <w:rPr>
          <w:w w:val="95"/>
        </w:rPr>
        <w:t>年</w:t>
      </w:r>
      <w:r>
        <w:rPr>
          <w:rFonts w:ascii="Arial" w:hAnsi="Arial" w:cs="Arial" w:eastAsia="Arial" w:hint="default"/>
          <w:w w:val="95"/>
        </w:rPr>
        <w:t>11</w:t>
      </w:r>
      <w:r>
        <w:rPr>
          <w:w w:val="95"/>
        </w:rPr>
        <w:t>月</w:t>
      </w:r>
      <w:r>
        <w:rPr>
          <w:rFonts w:ascii="Arial" w:hAnsi="Arial" w:cs="Arial" w:eastAsia="Arial" w:hint="default"/>
          <w:w w:val="95"/>
        </w:rPr>
        <w:t>16</w:t>
      </w:r>
      <w:r>
        <w:rPr>
          <w:w w:val="95"/>
        </w:rPr>
        <w:t>日，本公司收到控股股东联通集团的通知，告知联通集团之股东会已经原则</w:t>
      </w:r>
      <w:r>
        <w:rPr>
          <w:spacing w:val="17"/>
          <w:w w:val="95"/>
        </w:rPr>
        <w:t> </w:t>
      </w:r>
      <w:r>
        <w:rPr>
          <w:spacing w:val="17"/>
          <w:w w:val="95"/>
        </w:rPr>
      </w:r>
      <w:r>
        <w:rPr>
          <w:spacing w:val="2"/>
        </w:rPr>
        <w:t>同意联通集团吸收合并中国网络通信集团公司（“网通集团”）。合并后，联通集团存续，</w:t>
      </w:r>
      <w:r>
        <w:rPr>
          <w:w w:val="99"/>
        </w:rPr>
        <w:t> </w:t>
      </w:r>
      <w:r>
        <w:rPr/>
        <w:t>网通集团资产与负债由联通集团承继，网通集团被注销。于</w:t>
      </w:r>
      <w:r>
        <w:rPr>
          <w:rFonts w:ascii="Arial" w:hAnsi="Arial" w:cs="Arial" w:eastAsia="Arial" w:hint="default"/>
        </w:rPr>
        <w:t>2009</w:t>
      </w:r>
      <w:r>
        <w:rPr/>
        <w:t>年</w:t>
      </w:r>
      <w:r>
        <w:rPr>
          <w:rFonts w:ascii="Arial" w:hAnsi="Arial" w:cs="Arial" w:eastAsia="Arial" w:hint="default"/>
        </w:rPr>
        <w:t>1</w:t>
      </w:r>
      <w:r>
        <w:rPr/>
        <w:t>月</w:t>
      </w:r>
      <w:r>
        <w:rPr>
          <w:rFonts w:ascii="Arial" w:hAnsi="Arial" w:cs="Arial" w:eastAsia="Arial" w:hint="default"/>
        </w:rPr>
        <w:t>6</w:t>
      </w:r>
      <w:r>
        <w:rPr/>
        <w:t>日，本公司获知，国</w:t>
      </w:r>
      <w:r>
        <w:rPr>
          <w:spacing w:val="-108"/>
        </w:rPr>
        <w:t> </w:t>
      </w:r>
      <w:r>
        <w:rPr>
          <w:spacing w:val="-108"/>
        </w:rPr>
      </w:r>
      <w:r>
        <w:rPr>
          <w:spacing w:val="2"/>
        </w:rPr>
        <w:t>务院国有资产监督管理委员会（“国资委”）批准了联通集团吸收合并网通集团，且该合并</w:t>
      </w:r>
      <w:r>
        <w:rPr>
          <w:w w:val="99"/>
        </w:rPr>
        <w:t> </w:t>
      </w:r>
      <w:r>
        <w:rPr/>
        <w:t>亦于同日完成。</w:t>
      </w:r>
    </w:p>
    <w:p>
      <w:pPr>
        <w:spacing w:line="240" w:lineRule="auto" w:before="9"/>
        <w:rPr>
          <w:rFonts w:ascii="宋体" w:hAnsi="宋体" w:cs="宋体" w:eastAsia="宋体" w:hint="default"/>
          <w:sz w:val="15"/>
          <w:szCs w:val="15"/>
        </w:rPr>
      </w:pPr>
    </w:p>
    <w:p>
      <w:pPr>
        <w:pStyle w:val="BodyText"/>
        <w:spacing w:line="240" w:lineRule="auto"/>
        <w:ind w:left="146" w:right="99"/>
        <w:jc w:val="left"/>
      </w:pPr>
      <w:r>
        <w:rPr>
          <w:rFonts w:ascii="Arial" w:hAnsi="Arial" w:cs="Arial" w:eastAsia="Arial" w:hint="default"/>
        </w:rPr>
        <w:t>6</w:t>
      </w:r>
      <w:r>
        <w:rPr/>
        <w:t>、</w:t>
      </w:r>
      <w:r>
        <w:rPr>
          <w:spacing w:val="-62"/>
        </w:rPr>
        <w:t> </w:t>
      </w:r>
      <w:r>
        <w:rPr/>
        <w:t>联通运营公司向联通集团和网通集团收购电信业务和资产</w:t>
      </w:r>
    </w:p>
    <w:p>
      <w:pPr>
        <w:spacing w:line="240" w:lineRule="auto" w:before="7"/>
        <w:rPr>
          <w:rFonts w:ascii="宋体" w:hAnsi="宋体" w:cs="宋体" w:eastAsia="宋体" w:hint="default"/>
          <w:sz w:val="16"/>
          <w:szCs w:val="16"/>
        </w:rPr>
      </w:pPr>
    </w:p>
    <w:p>
      <w:pPr>
        <w:pStyle w:val="BodyText"/>
        <w:spacing w:line="286" w:lineRule="exact"/>
        <w:ind w:left="538" w:right="209"/>
        <w:jc w:val="both"/>
      </w:pPr>
      <w:r>
        <w:rPr/>
        <w:t>于</w:t>
      </w:r>
      <w:r>
        <w:rPr>
          <w:spacing w:val="-39"/>
        </w:rPr>
        <w:t> </w:t>
      </w:r>
      <w:r>
        <w:rPr>
          <w:rFonts w:ascii="Arial" w:hAnsi="Arial" w:cs="Arial" w:eastAsia="Arial" w:hint="default"/>
        </w:rPr>
        <w:t>2008</w:t>
      </w:r>
      <w:r>
        <w:rPr>
          <w:rFonts w:ascii="Arial" w:hAnsi="Arial" w:cs="Arial" w:eastAsia="Arial" w:hint="default"/>
          <w:spacing w:val="10"/>
        </w:rPr>
        <w:t> </w:t>
      </w:r>
      <w:r>
        <w:rPr/>
        <w:t>年</w:t>
      </w:r>
      <w:r>
        <w:rPr>
          <w:spacing w:val="-40"/>
        </w:rPr>
        <w:t> </w:t>
      </w:r>
      <w:r>
        <w:rPr>
          <w:rFonts w:ascii="Arial" w:hAnsi="Arial" w:cs="Arial" w:eastAsia="Arial" w:hint="default"/>
        </w:rPr>
        <w:t>12</w:t>
      </w:r>
      <w:r>
        <w:rPr>
          <w:rFonts w:ascii="Arial" w:hAnsi="Arial" w:cs="Arial" w:eastAsia="Arial" w:hint="default"/>
          <w:spacing w:val="10"/>
        </w:rPr>
        <w:t> </w:t>
      </w:r>
      <w:r>
        <w:rPr/>
        <w:t>月</w:t>
      </w:r>
      <w:r>
        <w:rPr>
          <w:spacing w:val="-39"/>
        </w:rPr>
        <w:t> </w:t>
      </w:r>
      <w:r>
        <w:rPr>
          <w:rFonts w:ascii="Arial" w:hAnsi="Arial" w:cs="Arial" w:eastAsia="Arial" w:hint="default"/>
        </w:rPr>
        <w:t>16</w:t>
      </w:r>
      <w:r>
        <w:rPr>
          <w:rFonts w:ascii="Arial" w:hAnsi="Arial" w:cs="Arial" w:eastAsia="Arial" w:hint="default"/>
          <w:spacing w:val="10"/>
        </w:rPr>
        <w:t> </w:t>
      </w:r>
      <w:r>
        <w:rPr/>
        <w:t>日，本公司与联通集团和网通集团签署了《关于相关电信业务及资产的</w:t>
      </w:r>
      <w:r>
        <w:rPr>
          <w:w w:val="99"/>
        </w:rPr>
        <w:t> </w:t>
      </w:r>
      <w:r>
        <w:rPr>
          <w:spacing w:val="2"/>
        </w:rPr>
        <w:t>转让协议》（“转让协议”），根据协议，联通运营公司向联通集团和网通集团收购下列相</w:t>
      </w:r>
      <w:r>
        <w:rPr>
          <w:w w:val="99"/>
        </w:rPr>
        <w:t> </w:t>
      </w:r>
      <w:r>
        <w:rPr/>
        <w:t>关电信业务和资产：</w:t>
      </w:r>
    </w:p>
    <w:p>
      <w:pPr>
        <w:pStyle w:val="BodyText"/>
        <w:tabs>
          <w:tab w:pos="1015" w:val="left" w:leader="none"/>
        </w:tabs>
        <w:spacing w:line="232" w:lineRule="auto" w:before="185"/>
        <w:ind w:left="1015" w:right="99" w:hanging="477"/>
        <w:jc w:val="left"/>
      </w:pPr>
      <w:r>
        <w:rPr>
          <w:rFonts w:ascii="Arial" w:hAnsi="Arial" w:cs="Arial" w:eastAsia="Arial" w:hint="default"/>
          <w:w w:val="95"/>
        </w:rPr>
        <w:t>(i)</w:t>
        <w:tab/>
      </w:r>
      <w:r>
        <w:rPr>
          <w:spacing w:val="-2"/>
        </w:rPr>
        <w:t>联通集团在四川省和重庆市以及网通集团在上海市、江苏省、浙江省、安徽省、福建省、</w:t>
      </w:r>
      <w:r>
        <w:rPr>
          <w:spacing w:val="-89"/>
        </w:rPr>
        <w:t> </w:t>
      </w:r>
      <w:r>
        <w:rPr>
          <w:spacing w:val="-89"/>
        </w:rPr>
      </w:r>
      <w:r>
        <w:rPr/>
        <w:t>江西省、湖北省、湖南省、广东省、广西壮族自治区、海南省、重庆市、四川省、贵州</w:t>
      </w:r>
      <w:r>
        <w:rPr>
          <w:w w:val="99"/>
        </w:rPr>
        <w:t> </w:t>
      </w:r>
      <w:r>
        <w:rPr/>
        <w:t>省、云南省、西藏自治区、陕西省、甘肃省、青海省、宁夏回族自治区和新疆维吾尔自</w:t>
      </w:r>
      <w:r>
        <w:rPr>
          <w:w w:val="99"/>
        </w:rPr>
        <w:t> </w:t>
      </w:r>
      <w:r>
        <w:rPr/>
        <w:t>治区等</w:t>
      </w:r>
      <w:r>
        <w:rPr>
          <w:spacing w:val="-55"/>
        </w:rPr>
        <w:t> </w:t>
      </w:r>
      <w:r>
        <w:rPr>
          <w:rFonts w:ascii="Arial" w:hAnsi="Arial" w:cs="Arial" w:eastAsia="Arial" w:hint="default"/>
        </w:rPr>
        <w:t>21</w:t>
      </w:r>
      <w:r>
        <w:rPr>
          <w:rFonts w:ascii="Arial" w:hAnsi="Arial" w:cs="Arial" w:eastAsia="Arial" w:hint="default"/>
          <w:spacing w:val="-4"/>
        </w:rPr>
        <w:t> </w:t>
      </w:r>
      <w:r>
        <w:rPr/>
        <w:t>个省、自治区及直辖市（以上地区以下统称“南方</w:t>
      </w:r>
      <w:r>
        <w:rPr>
          <w:spacing w:val="-54"/>
        </w:rPr>
        <w:t> </w:t>
      </w:r>
      <w:r>
        <w:rPr>
          <w:rFonts w:ascii="Arial" w:hAnsi="Arial" w:cs="Arial" w:eastAsia="Arial" w:hint="default"/>
        </w:rPr>
        <w:t>21</w:t>
      </w:r>
      <w:r>
        <w:rPr>
          <w:rFonts w:ascii="Arial" w:hAnsi="Arial" w:cs="Arial" w:eastAsia="Arial" w:hint="default"/>
          <w:spacing w:val="-6"/>
        </w:rPr>
        <w:t> </w:t>
      </w:r>
      <w:r>
        <w:rPr/>
        <w:t>省”）经营的固定电信</w:t>
      </w:r>
    </w:p>
    <w:p>
      <w:pPr>
        <w:pStyle w:val="BodyText"/>
        <w:spacing w:line="232" w:lineRule="auto"/>
        <w:ind w:left="1015" w:right="208"/>
        <w:jc w:val="both"/>
      </w:pPr>
      <w:r>
        <w:rPr/>
        <w:t>网络通信业务和在南方</w:t>
      </w:r>
      <w:r>
        <w:rPr>
          <w:spacing w:val="-54"/>
        </w:rPr>
        <w:t> </w:t>
      </w:r>
      <w:r>
        <w:rPr>
          <w:rFonts w:ascii="Arial" w:hAnsi="Arial" w:cs="Arial" w:eastAsia="Arial" w:hint="default"/>
        </w:rPr>
        <w:t>21</w:t>
      </w:r>
      <w:r>
        <w:rPr>
          <w:rFonts w:ascii="Arial" w:hAnsi="Arial" w:cs="Arial" w:eastAsia="Arial" w:hint="default"/>
          <w:spacing w:val="-6"/>
        </w:rPr>
        <w:t> </w:t>
      </w:r>
      <w:r>
        <w:rPr>
          <w:spacing w:val="-3"/>
        </w:rPr>
        <w:t>省与固定电信网络通信业务运营相关的债权和债务（并不包含</w:t>
      </w:r>
      <w:r>
        <w:rPr>
          <w:w w:val="99"/>
        </w:rPr>
        <w:t> </w:t>
      </w:r>
      <w:r>
        <w:rPr/>
        <w:t>相关的固定电信网络资产及因建造电信网络而向联通集团或网通集团借入的关联公司借</w:t>
      </w:r>
      <w:r>
        <w:rPr>
          <w:spacing w:val="-66"/>
        </w:rPr>
        <w:t> </w:t>
      </w:r>
      <w:r>
        <w:rPr>
          <w:spacing w:val="-66"/>
        </w:rPr>
      </w:r>
      <w:r>
        <w:rPr/>
        <w:t>款和应付工程及设备款，固定电信网络资产主要为固定资产、在建工程、工程物资、无</w:t>
      </w:r>
      <w:r>
        <w:rPr>
          <w:spacing w:val="-66"/>
        </w:rPr>
        <w:t> </w:t>
      </w:r>
      <w:r>
        <w:rPr>
          <w:spacing w:val="-66"/>
        </w:rPr>
      </w:r>
      <w:r>
        <w:rPr>
          <w:spacing w:val="-3"/>
        </w:rPr>
        <w:t>形资产及长期待摊费用等）。后文联通集团和网通集团在南方</w:t>
      </w:r>
      <w:r>
        <w:rPr>
          <w:spacing w:val="-55"/>
        </w:rPr>
        <w:t> </w:t>
      </w:r>
      <w:r>
        <w:rPr>
          <w:rFonts w:ascii="Arial" w:hAnsi="Arial" w:cs="Arial" w:eastAsia="Arial" w:hint="default"/>
        </w:rPr>
        <w:t>21</w:t>
      </w:r>
      <w:r>
        <w:rPr>
          <w:rFonts w:ascii="Arial" w:hAnsi="Arial" w:cs="Arial" w:eastAsia="Arial" w:hint="default"/>
          <w:spacing w:val="-7"/>
        </w:rPr>
        <w:t> </w:t>
      </w:r>
      <w:r>
        <w:rPr/>
        <w:t>省地区经营的固定电信</w:t>
      </w:r>
      <w:r>
        <w:rPr>
          <w:w w:val="99"/>
        </w:rPr>
        <w:t> </w:t>
      </w:r>
      <w:r>
        <w:rPr/>
        <w:t>网络通信业务将被统称为“南方固网业务”。</w:t>
      </w:r>
    </w:p>
    <w:p>
      <w:pPr>
        <w:spacing w:after="0" w:line="232" w:lineRule="auto"/>
        <w:jc w:val="both"/>
        <w:sectPr>
          <w:headerReference w:type="default" r:id="rId35"/>
          <w:pgSz w:w="11910" w:h="16840"/>
          <w:pgMar w:header="967" w:footer="600" w:top="2840" w:bottom="780" w:left="1440" w:right="820"/>
        </w:sectPr>
      </w:pPr>
    </w:p>
    <w:p>
      <w:pPr>
        <w:spacing w:line="240" w:lineRule="auto" w:before="12"/>
        <w:rPr>
          <w:rFonts w:ascii="宋体" w:hAnsi="宋体" w:cs="宋体" w:eastAsia="宋体" w:hint="default"/>
          <w:sz w:val="14"/>
          <w:szCs w:val="14"/>
        </w:rPr>
      </w:pPr>
    </w:p>
    <w:p>
      <w:pPr>
        <w:pStyle w:val="BodyText"/>
        <w:spacing w:line="240" w:lineRule="auto" w:before="31"/>
        <w:ind w:left="118" w:right="702"/>
        <w:jc w:val="left"/>
      </w:pPr>
      <w:r>
        <w:rPr>
          <w:rFonts w:ascii="Arial" w:hAnsi="Arial" w:cs="Arial" w:eastAsia="Arial" w:hint="default"/>
        </w:rPr>
        <w:t>6</w:t>
      </w:r>
      <w:r>
        <w:rPr/>
        <w:t>、</w:t>
      </w:r>
      <w:r>
        <w:rPr>
          <w:spacing w:val="-20"/>
        </w:rPr>
        <w:t> </w:t>
      </w:r>
      <w:r>
        <w:rPr/>
        <w:t>联通运营公司向联通集团和网通集团收购电信业务和资产（续）</w:t>
      </w:r>
    </w:p>
    <w:p>
      <w:pPr>
        <w:spacing w:line="240" w:lineRule="auto" w:before="13"/>
        <w:rPr>
          <w:rFonts w:ascii="宋体" w:hAnsi="宋体" w:cs="宋体" w:eastAsia="宋体" w:hint="default"/>
          <w:sz w:val="17"/>
          <w:szCs w:val="17"/>
        </w:rPr>
      </w:pPr>
    </w:p>
    <w:p>
      <w:pPr>
        <w:pStyle w:val="BodyText"/>
        <w:spacing w:line="240" w:lineRule="auto"/>
        <w:ind w:left="538" w:right="0"/>
        <w:jc w:val="both"/>
      </w:pPr>
      <w:r>
        <w:rPr>
          <w:rFonts w:ascii="Arial" w:hAnsi="Arial" w:cs="Arial" w:eastAsia="Arial" w:hint="default"/>
        </w:rPr>
        <w:t>(ii)  </w:t>
      </w:r>
      <w:r>
        <w:rPr>
          <w:rFonts w:ascii="Arial" w:hAnsi="Arial" w:cs="Arial" w:eastAsia="Arial" w:hint="default"/>
          <w:spacing w:val="47"/>
        </w:rPr>
        <w:t> </w:t>
      </w:r>
      <w:r>
        <w:rPr/>
        <w:t>联通集团在天津市拥有的固网业务及所有相关资产和负债（“天津固网业务”）。</w:t>
      </w:r>
    </w:p>
    <w:p>
      <w:pPr>
        <w:spacing w:line="240" w:lineRule="auto" w:before="1"/>
        <w:rPr>
          <w:rFonts w:ascii="宋体" w:hAnsi="宋体" w:cs="宋体" w:eastAsia="宋体" w:hint="default"/>
          <w:sz w:val="20"/>
          <w:szCs w:val="20"/>
        </w:rPr>
      </w:pPr>
    </w:p>
    <w:p>
      <w:pPr>
        <w:pStyle w:val="BodyText"/>
        <w:spacing w:line="286" w:lineRule="exact"/>
        <w:ind w:left="1015" w:right="129" w:hanging="477"/>
        <w:jc w:val="both"/>
      </w:pPr>
      <w:r>
        <w:rPr>
          <w:rFonts w:ascii="Arial" w:hAnsi="Arial" w:cs="Arial" w:eastAsia="Arial" w:hint="default"/>
        </w:rPr>
        <w:t>(iii)</w:t>
      </w:r>
      <w:r>
        <w:rPr>
          <w:rFonts w:ascii="Arial" w:hAnsi="Arial" w:cs="Arial" w:eastAsia="Arial" w:hint="default"/>
          <w:spacing w:val="37"/>
        </w:rPr>
        <w:t> </w:t>
      </w:r>
      <w:r>
        <w:rPr/>
        <w:t>联通集团持有的联通兴业科贸有限公司（“联通兴业”）、中讯邮电咨询设计院有限公</w:t>
      </w:r>
      <w:r>
        <w:rPr>
          <w:spacing w:val="-105"/>
        </w:rPr>
        <w:t> </w:t>
      </w:r>
      <w:r>
        <w:rPr>
          <w:spacing w:val="-105"/>
        </w:rPr>
      </w:r>
      <w:r>
        <w:rPr/>
        <w:t>司（“中讯设计院”）和联通新国信通信有限公司（“联通新国信”）三家电信服务子</w:t>
      </w:r>
      <w:r>
        <w:rPr>
          <w:w w:val="99"/>
        </w:rPr>
        <w:t> </w:t>
      </w:r>
      <w:r>
        <w:rPr/>
        <w:t>公司</w:t>
      </w:r>
      <w:r>
        <w:rPr>
          <w:spacing w:val="-59"/>
        </w:rPr>
        <w:t> </w:t>
      </w:r>
      <w:r>
        <w:rPr>
          <w:rFonts w:ascii="Arial" w:hAnsi="Arial" w:cs="Arial" w:eastAsia="Arial" w:hint="default"/>
        </w:rPr>
        <w:t>100%</w:t>
      </w:r>
      <w:r>
        <w:rPr/>
        <w:t>的股权。</w:t>
      </w:r>
    </w:p>
    <w:p>
      <w:pPr>
        <w:spacing w:line="240" w:lineRule="auto" w:before="3"/>
        <w:rPr>
          <w:rFonts w:ascii="宋体" w:hAnsi="宋体" w:cs="宋体" w:eastAsia="宋体" w:hint="default"/>
          <w:sz w:val="19"/>
          <w:szCs w:val="19"/>
        </w:rPr>
      </w:pPr>
    </w:p>
    <w:p>
      <w:pPr>
        <w:pStyle w:val="BodyText"/>
        <w:spacing w:line="286" w:lineRule="exact"/>
        <w:ind w:left="1014" w:right="128" w:hanging="477"/>
        <w:jc w:val="both"/>
      </w:pPr>
      <w:r>
        <w:rPr>
          <w:rFonts w:ascii="Arial" w:hAnsi="Arial" w:cs="Arial" w:eastAsia="Arial" w:hint="default"/>
        </w:rPr>
        <w:t>(iv)</w:t>
      </w:r>
      <w:r>
        <w:rPr>
          <w:rFonts w:ascii="Arial" w:hAnsi="Arial" w:cs="Arial" w:eastAsia="Arial" w:hint="default"/>
          <w:spacing w:val="23"/>
        </w:rPr>
        <w:t> </w:t>
      </w:r>
      <w:r>
        <w:rPr/>
        <w:t>网通集团通过其下属子公司在北京市、天津市、河北省、河南省、山东省、辽宁省、黑</w:t>
      </w:r>
      <w:r>
        <w:rPr>
          <w:spacing w:val="-105"/>
        </w:rPr>
        <w:t> </w:t>
      </w:r>
      <w:r>
        <w:rPr>
          <w:spacing w:val="-105"/>
        </w:rPr>
      </w:r>
      <w:r>
        <w:rPr/>
        <w:t>龙江省、吉林省、内蒙古自治区及山西省等</w:t>
      </w:r>
      <w:r>
        <w:rPr>
          <w:spacing w:val="-53"/>
        </w:rPr>
        <w:t> </w:t>
      </w:r>
      <w:r>
        <w:rPr>
          <w:rFonts w:ascii="Arial" w:hAnsi="Arial" w:cs="Arial" w:eastAsia="Arial" w:hint="default"/>
        </w:rPr>
        <w:t>10</w:t>
      </w:r>
      <w:r>
        <w:rPr>
          <w:rFonts w:ascii="Arial" w:hAnsi="Arial" w:cs="Arial" w:eastAsia="Arial" w:hint="default"/>
          <w:spacing w:val="-5"/>
        </w:rPr>
        <w:t> </w:t>
      </w:r>
      <w:r>
        <w:rPr/>
        <w:t>省、自治区及直辖市（“北方</w:t>
      </w:r>
      <w:r>
        <w:rPr>
          <w:spacing w:val="-54"/>
        </w:rPr>
        <w:t> </w:t>
      </w:r>
      <w:r>
        <w:rPr>
          <w:rFonts w:ascii="Arial" w:hAnsi="Arial" w:cs="Arial" w:eastAsia="Arial" w:hint="default"/>
        </w:rPr>
        <w:t>10</w:t>
      </w:r>
      <w:r>
        <w:rPr>
          <w:rFonts w:ascii="Arial" w:hAnsi="Arial" w:cs="Arial" w:eastAsia="Arial" w:hint="default"/>
          <w:spacing w:val="-5"/>
        </w:rPr>
        <w:t> </w:t>
      </w:r>
      <w:r>
        <w:rPr/>
        <w:t>省”）</w:t>
      </w:r>
      <w:r>
        <w:rPr>
          <w:w w:val="99"/>
        </w:rPr>
        <w:t> </w:t>
      </w:r>
      <w:r>
        <w:rPr/>
        <w:t>拥有的北方一级干线传输资产（主要包括电缆、光缆、管道及部分传输设备，以下简称</w:t>
      </w:r>
      <w:r>
        <w:rPr>
          <w:w w:val="99"/>
        </w:rPr>
        <w:t> </w:t>
      </w:r>
      <w:r>
        <w:rPr/>
        <w:t>“北方一级干线”）。</w:t>
      </w:r>
    </w:p>
    <w:p>
      <w:pPr>
        <w:spacing w:line="240" w:lineRule="auto" w:before="3"/>
        <w:rPr>
          <w:rFonts w:ascii="宋体" w:hAnsi="宋体" w:cs="宋体" w:eastAsia="宋体" w:hint="default"/>
          <w:sz w:val="19"/>
          <w:szCs w:val="19"/>
        </w:rPr>
      </w:pPr>
    </w:p>
    <w:p>
      <w:pPr>
        <w:pStyle w:val="BodyText"/>
        <w:spacing w:line="286" w:lineRule="exact"/>
        <w:ind w:left="538" w:right="129"/>
        <w:jc w:val="both"/>
      </w:pPr>
      <w:r>
        <w:rPr/>
        <w:t>上述</w:t>
      </w:r>
      <w:r>
        <w:rPr>
          <w:rFonts w:ascii="Arial" w:hAnsi="Arial" w:cs="Arial" w:eastAsia="Arial" w:hint="default"/>
        </w:rPr>
        <w:t>(i), (ii) </w:t>
      </w:r>
      <w:r>
        <w:rPr/>
        <w:t>和 </w:t>
      </w:r>
      <w:r>
        <w:rPr>
          <w:rFonts w:ascii="Arial" w:hAnsi="Arial" w:cs="Arial" w:eastAsia="Arial" w:hint="default"/>
        </w:rPr>
        <w:t>(iii)</w:t>
      </w:r>
      <w:r>
        <w:rPr>
          <w:rFonts w:ascii="Arial" w:hAnsi="Arial" w:cs="Arial" w:eastAsia="Arial" w:hint="default"/>
          <w:spacing w:val="40"/>
        </w:rPr>
        <w:t> </w:t>
      </w:r>
      <w:r>
        <w:rPr/>
        <w:t>项所描述的业务及资产以下简称“目标业务”，目标业务与北方一级干线</w:t>
      </w:r>
      <w:r>
        <w:rPr>
          <w:w w:val="99"/>
        </w:rPr>
        <w:t> </w:t>
      </w:r>
      <w:r>
        <w:rPr/>
        <w:t>统称为“目标业务和资产”。本次目标业务和资产的收购对价约为人民币</w:t>
      </w:r>
      <w:r>
        <w:rPr>
          <w:spacing w:val="-59"/>
        </w:rPr>
        <w:t> </w:t>
      </w:r>
      <w:r>
        <w:rPr>
          <w:rFonts w:ascii="Arial" w:hAnsi="Arial" w:cs="Arial" w:eastAsia="Arial" w:hint="default"/>
        </w:rPr>
        <w:t>64.3</w:t>
      </w:r>
      <w:r>
        <w:rPr>
          <w:rFonts w:ascii="Arial" w:hAnsi="Arial" w:cs="Arial" w:eastAsia="Arial" w:hint="default"/>
          <w:spacing w:val="-11"/>
        </w:rPr>
        <w:t> </w:t>
      </w:r>
      <w:r>
        <w:rPr/>
        <w:t>亿元，并受制</w:t>
      </w:r>
    </w:p>
    <w:p>
      <w:pPr>
        <w:pStyle w:val="BodyText"/>
        <w:spacing w:line="265" w:lineRule="exact"/>
        <w:ind w:left="538" w:right="0"/>
        <w:jc w:val="both"/>
      </w:pPr>
      <w:r>
        <w:rPr/>
        <w:t>于转让协议中规定的若干调整机制。联通红筹公司于</w:t>
      </w:r>
      <w:r>
        <w:rPr>
          <w:spacing w:val="-54"/>
        </w:rPr>
        <w:t> </w:t>
      </w:r>
      <w:r>
        <w:rPr>
          <w:rFonts w:ascii="Arial" w:hAnsi="Arial" w:cs="Arial" w:eastAsia="Arial" w:hint="default"/>
        </w:rPr>
        <w:t>2009</w:t>
      </w:r>
      <w:r>
        <w:rPr>
          <w:rFonts w:ascii="Arial" w:hAnsi="Arial" w:cs="Arial" w:eastAsia="Arial" w:hint="default"/>
          <w:spacing w:val="-6"/>
        </w:rPr>
        <w:t> </w:t>
      </w:r>
      <w:r>
        <w:rPr/>
        <w:t>年</w:t>
      </w:r>
      <w:r>
        <w:rPr>
          <w:spacing w:val="-55"/>
        </w:rPr>
        <w:t> </w:t>
      </w:r>
      <w:r>
        <w:rPr>
          <w:rFonts w:ascii="Arial" w:hAnsi="Arial" w:cs="Arial" w:eastAsia="Arial" w:hint="default"/>
        </w:rPr>
        <w:t>1</w:t>
      </w:r>
      <w:r>
        <w:rPr>
          <w:rFonts w:ascii="Arial" w:hAnsi="Arial" w:cs="Arial" w:eastAsia="Arial" w:hint="default"/>
          <w:spacing w:val="-6"/>
        </w:rPr>
        <w:t> </w:t>
      </w:r>
      <w:r>
        <w:rPr/>
        <w:t>月</w:t>
      </w:r>
      <w:r>
        <w:rPr>
          <w:spacing w:val="-55"/>
        </w:rPr>
        <w:t> </w:t>
      </w:r>
      <w:r>
        <w:rPr>
          <w:rFonts w:ascii="Arial" w:hAnsi="Arial" w:cs="Arial" w:eastAsia="Arial" w:hint="default"/>
        </w:rPr>
        <w:t>14</w:t>
      </w:r>
      <w:r>
        <w:rPr>
          <w:rFonts w:ascii="Arial" w:hAnsi="Arial" w:cs="Arial" w:eastAsia="Arial" w:hint="default"/>
          <w:spacing w:val="-5"/>
        </w:rPr>
        <w:t> </w:t>
      </w:r>
      <w:r>
        <w:rPr/>
        <w:t>日召开的特别股东大会</w:t>
      </w:r>
    </w:p>
    <w:p>
      <w:pPr>
        <w:pStyle w:val="BodyText"/>
        <w:spacing w:line="285" w:lineRule="exact"/>
        <w:ind w:left="538" w:right="0"/>
        <w:jc w:val="both"/>
        <w:rPr>
          <w:rFonts w:ascii="Arial" w:hAnsi="Arial" w:cs="Arial" w:eastAsia="Arial" w:hint="default"/>
        </w:rPr>
      </w:pPr>
      <w:r>
        <w:rPr/>
        <w:t>和本公司于同日召开的临时股东大会均批准了上述收购目标业务和资产的议案。于</w:t>
      </w:r>
      <w:r>
        <w:rPr>
          <w:spacing w:val="-63"/>
        </w:rPr>
        <w:t> </w:t>
      </w:r>
      <w:r>
        <w:rPr>
          <w:rFonts w:ascii="Arial" w:hAnsi="Arial" w:cs="Arial" w:eastAsia="Arial" w:hint="default"/>
        </w:rPr>
        <w:t>2009</w:t>
      </w:r>
      <w:r>
        <w:rPr>
          <w:rFonts w:ascii="Arial" w:hAnsi="Arial" w:cs="Arial" w:eastAsia="Arial" w:hint="default"/>
          <w:spacing w:val="-15"/>
        </w:rPr>
        <w:t> </w:t>
      </w:r>
      <w:r>
        <w:rPr/>
        <w:t>年</w:t>
      </w:r>
      <w:r>
        <w:rPr>
          <w:spacing w:val="-64"/>
        </w:rPr>
        <w:t> </w:t>
      </w:r>
      <w:r>
        <w:rPr>
          <w:rFonts w:ascii="Arial" w:hAnsi="Arial" w:cs="Arial" w:eastAsia="Arial" w:hint="default"/>
        </w:rPr>
        <w:t>1</w:t>
      </w:r>
    </w:p>
    <w:p>
      <w:pPr>
        <w:pStyle w:val="BodyText"/>
        <w:spacing w:line="295" w:lineRule="exact"/>
        <w:ind w:left="538" w:right="0"/>
        <w:jc w:val="both"/>
      </w:pPr>
      <w:r>
        <w:rPr/>
        <w:t>月</w:t>
      </w:r>
      <w:r>
        <w:rPr>
          <w:spacing w:val="-56"/>
        </w:rPr>
        <w:t> </w:t>
      </w:r>
      <w:r>
        <w:rPr>
          <w:rFonts w:ascii="Arial" w:hAnsi="Arial" w:cs="Arial" w:eastAsia="Arial" w:hint="default"/>
        </w:rPr>
        <w:t>31</w:t>
      </w:r>
      <w:r>
        <w:rPr>
          <w:rFonts w:ascii="Arial" w:hAnsi="Arial" w:cs="Arial" w:eastAsia="Arial" w:hint="default"/>
          <w:spacing w:val="-7"/>
        </w:rPr>
        <w:t> </w:t>
      </w:r>
      <w:r>
        <w:rPr/>
        <w:t>日，本次收购的所有前提条件均已达成，故于该日完成了对目标业务和资产的收购。</w:t>
      </w:r>
    </w:p>
    <w:p>
      <w:pPr>
        <w:spacing w:line="240" w:lineRule="auto" w:before="7"/>
        <w:rPr>
          <w:rFonts w:ascii="宋体" w:hAnsi="宋体" w:cs="宋体" w:eastAsia="宋体" w:hint="default"/>
          <w:sz w:val="18"/>
          <w:szCs w:val="18"/>
        </w:rPr>
      </w:pPr>
    </w:p>
    <w:p>
      <w:pPr>
        <w:pStyle w:val="BodyText"/>
        <w:spacing w:line="232" w:lineRule="auto"/>
        <w:ind w:left="523" w:right="102"/>
        <w:jc w:val="both"/>
      </w:pPr>
      <w:r>
        <w:rPr>
          <w:spacing w:val="2"/>
        </w:rPr>
        <w:t>与收购目标业务和资产相关，联通运营公司、联通集团、网通集团和联通集团全资子公司联</w:t>
      </w:r>
      <w:r>
        <w:rPr>
          <w:spacing w:val="-101"/>
        </w:rPr>
        <w:t> </w:t>
      </w:r>
      <w:r>
        <w:rPr>
          <w:spacing w:val="-101"/>
        </w:rPr>
      </w:r>
      <w:r>
        <w:rPr>
          <w:spacing w:val="-5"/>
        </w:rPr>
        <w:t>通新时空通信有限公司（“联通新时空”）于</w:t>
      </w:r>
      <w:r>
        <w:rPr>
          <w:spacing w:val="-57"/>
        </w:rPr>
        <w:t> </w:t>
      </w:r>
      <w:r>
        <w:rPr>
          <w:rFonts w:ascii="Arial" w:hAnsi="Arial" w:cs="Arial" w:eastAsia="Arial" w:hint="default"/>
        </w:rPr>
        <w:t>2008</w:t>
      </w:r>
      <w:r>
        <w:rPr>
          <w:rFonts w:ascii="Arial" w:hAnsi="Arial" w:cs="Arial" w:eastAsia="Arial" w:hint="default"/>
          <w:spacing w:val="-9"/>
        </w:rPr>
        <w:t> </w:t>
      </w:r>
      <w:r>
        <w:rPr/>
        <w:t>年</w:t>
      </w:r>
      <w:r>
        <w:rPr>
          <w:spacing w:val="-58"/>
        </w:rPr>
        <w:t> </w:t>
      </w:r>
      <w:r>
        <w:rPr>
          <w:rFonts w:ascii="Arial" w:hAnsi="Arial" w:cs="Arial" w:eastAsia="Arial" w:hint="default"/>
        </w:rPr>
        <w:t>12</w:t>
      </w:r>
      <w:r>
        <w:rPr>
          <w:rFonts w:ascii="Arial" w:hAnsi="Arial" w:cs="Arial" w:eastAsia="Arial" w:hint="default"/>
          <w:spacing w:val="-9"/>
        </w:rPr>
        <w:t> </w:t>
      </w:r>
      <w:r>
        <w:rPr/>
        <w:t>月</w:t>
      </w:r>
      <w:r>
        <w:rPr>
          <w:spacing w:val="-58"/>
        </w:rPr>
        <w:t> </w:t>
      </w:r>
      <w:r>
        <w:rPr>
          <w:rFonts w:ascii="Arial" w:hAnsi="Arial" w:cs="Arial" w:eastAsia="Arial" w:hint="default"/>
        </w:rPr>
        <w:t>16</w:t>
      </w:r>
      <w:r>
        <w:rPr>
          <w:rFonts w:ascii="Arial" w:hAnsi="Arial" w:cs="Arial" w:eastAsia="Arial" w:hint="default"/>
          <w:spacing w:val="-9"/>
        </w:rPr>
        <w:t> </w:t>
      </w:r>
      <w:r>
        <w:rPr/>
        <w:t>日订立《关于相关电信网络设</w:t>
      </w:r>
      <w:r>
        <w:rPr>
          <w:spacing w:val="1"/>
          <w:w w:val="99"/>
        </w:rPr>
        <w:t> </w:t>
      </w:r>
      <w:r>
        <w:rPr>
          <w:spacing w:val="2"/>
        </w:rPr>
        <w:t>施的租赁协议》（“网络租赁协议”）。根据此协议，收购目标业务和资产完成后，联通运</w:t>
      </w:r>
      <w:r>
        <w:rPr>
          <w:spacing w:val="-101"/>
        </w:rPr>
        <w:t> </w:t>
      </w:r>
      <w:r>
        <w:rPr>
          <w:spacing w:val="-101"/>
        </w:rPr>
      </w:r>
      <w:r>
        <w:rPr/>
        <w:t>营公司将独家从联通新时空租用其在南方</w:t>
      </w:r>
      <w:r>
        <w:rPr>
          <w:spacing w:val="-57"/>
        </w:rPr>
        <w:t> </w:t>
      </w:r>
      <w:r>
        <w:rPr>
          <w:rFonts w:ascii="Arial" w:hAnsi="Arial" w:cs="Arial" w:eastAsia="Arial" w:hint="default"/>
        </w:rPr>
        <w:t>21</w:t>
      </w:r>
      <w:r>
        <w:rPr>
          <w:rFonts w:ascii="Arial" w:hAnsi="Arial" w:cs="Arial" w:eastAsia="Arial" w:hint="default"/>
          <w:spacing w:val="-7"/>
        </w:rPr>
        <w:t> </w:t>
      </w:r>
      <w:r>
        <w:rPr/>
        <w:t>省的固定电信网络（“南方固定电信网络”），</w:t>
      </w:r>
    </w:p>
    <w:p>
      <w:pPr>
        <w:pStyle w:val="BodyText"/>
        <w:spacing w:line="278" w:lineRule="exact"/>
        <w:ind w:left="523" w:right="0"/>
        <w:jc w:val="both"/>
      </w:pPr>
      <w:r>
        <w:rPr/>
        <w:t>初始租赁期为</w:t>
      </w:r>
      <w:r>
        <w:rPr>
          <w:spacing w:val="-56"/>
        </w:rPr>
        <w:t> </w:t>
      </w:r>
      <w:r>
        <w:rPr>
          <w:rFonts w:ascii="Arial" w:hAnsi="Arial" w:cs="Arial" w:eastAsia="Arial" w:hint="default"/>
        </w:rPr>
        <w:t>2</w:t>
      </w:r>
      <w:r>
        <w:rPr>
          <w:rFonts w:ascii="Arial" w:hAnsi="Arial" w:cs="Arial" w:eastAsia="Arial" w:hint="default"/>
          <w:spacing w:val="-7"/>
        </w:rPr>
        <w:t> </w:t>
      </w:r>
      <w:r>
        <w:rPr>
          <w:spacing w:val="-16"/>
        </w:rPr>
        <w:t>年，自</w:t>
      </w:r>
      <w:r>
        <w:rPr>
          <w:spacing w:val="-55"/>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spacing w:val="-8"/>
        </w:rPr>
        <w:t>日起生效，于</w:t>
      </w:r>
      <w:r>
        <w:rPr>
          <w:spacing w:val="-56"/>
        </w:rPr>
        <w:t> </w:t>
      </w:r>
      <w:r>
        <w:rPr>
          <w:rFonts w:ascii="Arial" w:hAnsi="Arial" w:cs="Arial" w:eastAsia="Arial" w:hint="default"/>
        </w:rPr>
        <w:t>2009</w:t>
      </w:r>
      <w:r>
        <w:rPr>
          <w:rFonts w:ascii="Arial" w:hAnsi="Arial" w:cs="Arial" w:eastAsia="Arial" w:hint="default"/>
          <w:spacing w:val="-7"/>
        </w:rPr>
        <w:t> </w:t>
      </w:r>
      <w:r>
        <w:rPr/>
        <w:t>年和</w:t>
      </w:r>
      <w:r>
        <w:rPr>
          <w:spacing w:val="-56"/>
        </w:rPr>
        <w:t> </w:t>
      </w:r>
      <w:r>
        <w:rPr>
          <w:rFonts w:ascii="Arial" w:hAnsi="Arial" w:cs="Arial" w:eastAsia="Arial" w:hint="default"/>
        </w:rPr>
        <w:t>2010</w:t>
      </w:r>
      <w:r>
        <w:rPr>
          <w:rFonts w:ascii="Arial" w:hAnsi="Arial" w:cs="Arial" w:eastAsia="Arial" w:hint="default"/>
          <w:spacing w:val="-7"/>
        </w:rPr>
        <w:t> </w:t>
      </w:r>
      <w:r>
        <w:rPr/>
        <w:t>年的年度租赁费分别为</w:t>
      </w:r>
    </w:p>
    <w:p>
      <w:pPr>
        <w:pStyle w:val="BodyText"/>
        <w:spacing w:line="295" w:lineRule="exact"/>
        <w:ind w:left="523" w:right="0"/>
        <w:jc w:val="both"/>
      </w:pPr>
      <w:r>
        <w:rPr/>
        <w:t>人民币</w:t>
      </w:r>
      <w:r>
        <w:rPr>
          <w:spacing w:val="-57"/>
        </w:rPr>
        <w:t> </w:t>
      </w:r>
      <w:r>
        <w:rPr>
          <w:rFonts w:ascii="Arial" w:hAnsi="Arial" w:cs="Arial" w:eastAsia="Arial" w:hint="default"/>
        </w:rPr>
        <w:t>20</w:t>
      </w:r>
      <w:r>
        <w:rPr>
          <w:rFonts w:ascii="Arial" w:hAnsi="Arial" w:cs="Arial" w:eastAsia="Arial" w:hint="default"/>
          <w:spacing w:val="-7"/>
        </w:rPr>
        <w:t> </w:t>
      </w:r>
      <w:r>
        <w:rPr/>
        <w:t>亿和人民币</w:t>
      </w:r>
      <w:r>
        <w:rPr>
          <w:spacing w:val="-56"/>
        </w:rPr>
        <w:t> </w:t>
      </w:r>
      <w:r>
        <w:rPr>
          <w:rFonts w:ascii="Arial" w:hAnsi="Arial" w:cs="Arial" w:eastAsia="Arial" w:hint="default"/>
        </w:rPr>
        <w:t>22</w:t>
      </w:r>
      <w:r>
        <w:rPr>
          <w:rFonts w:ascii="Arial" w:hAnsi="Arial" w:cs="Arial" w:eastAsia="Arial" w:hint="default"/>
          <w:spacing w:val="-8"/>
        </w:rPr>
        <w:t> </w:t>
      </w:r>
      <w:r>
        <w:rPr/>
        <w:t>亿元。</w:t>
      </w:r>
    </w:p>
    <w:p>
      <w:pPr>
        <w:spacing w:line="240" w:lineRule="auto" w:before="3"/>
        <w:rPr>
          <w:rFonts w:ascii="宋体" w:hAnsi="宋体" w:cs="宋体" w:eastAsia="宋体" w:hint="default"/>
          <w:sz w:val="16"/>
          <w:szCs w:val="16"/>
        </w:rPr>
      </w:pPr>
    </w:p>
    <w:p>
      <w:pPr>
        <w:pStyle w:val="BodyText"/>
        <w:spacing w:line="240" w:lineRule="auto"/>
        <w:ind w:left="146" w:right="702"/>
        <w:jc w:val="left"/>
      </w:pPr>
      <w:r>
        <w:rPr>
          <w:rFonts w:ascii="Arial" w:hAnsi="Arial" w:cs="Arial" w:eastAsia="Arial" w:hint="default"/>
        </w:rPr>
        <w:t>7</w:t>
      </w:r>
      <w:r>
        <w:rPr/>
        <w:t>、联通红筹公司与西班牙电信互相投资</w:t>
      </w:r>
    </w:p>
    <w:p>
      <w:pPr>
        <w:spacing w:line="240" w:lineRule="auto" w:before="10"/>
        <w:rPr>
          <w:rFonts w:ascii="宋体" w:hAnsi="宋体" w:cs="宋体" w:eastAsia="宋体" w:hint="default"/>
          <w:sz w:val="18"/>
          <w:szCs w:val="18"/>
        </w:rPr>
      </w:pPr>
    </w:p>
    <w:p>
      <w:pPr>
        <w:pStyle w:val="BodyText"/>
        <w:spacing w:line="230" w:lineRule="auto"/>
        <w:ind w:left="524" w:right="128"/>
        <w:jc w:val="both"/>
      </w:pPr>
      <w:r>
        <w:rPr/>
        <w:t>本公司于</w:t>
      </w:r>
      <w:r>
        <w:rPr>
          <w:spacing w:val="-54"/>
        </w:rPr>
        <w:t> </w:t>
      </w:r>
      <w:r>
        <w:rPr>
          <w:rFonts w:ascii="Arial" w:hAnsi="Arial" w:cs="Arial" w:eastAsia="Arial" w:hint="default"/>
        </w:rPr>
        <w:t>2009</w:t>
      </w:r>
      <w:r>
        <w:rPr>
          <w:rFonts w:ascii="Arial" w:hAnsi="Arial" w:cs="Arial" w:eastAsia="Arial" w:hint="default"/>
          <w:spacing w:val="-5"/>
        </w:rPr>
        <w:t> </w:t>
      </w:r>
      <w:r>
        <w:rPr/>
        <w:t>年</w:t>
      </w:r>
      <w:r>
        <w:rPr>
          <w:spacing w:val="-54"/>
        </w:rPr>
        <w:t> </w:t>
      </w:r>
      <w:r>
        <w:rPr>
          <w:rFonts w:ascii="Arial" w:hAnsi="Arial" w:cs="Arial" w:eastAsia="Arial" w:hint="default"/>
        </w:rPr>
        <w:t>9</w:t>
      </w:r>
      <w:r>
        <w:rPr>
          <w:rFonts w:ascii="Arial" w:hAnsi="Arial" w:cs="Arial" w:eastAsia="Arial" w:hint="default"/>
          <w:spacing w:val="-5"/>
        </w:rPr>
        <w:t> </w:t>
      </w:r>
      <w:r>
        <w:rPr/>
        <w:t>月</w:t>
      </w:r>
      <w:r>
        <w:rPr>
          <w:spacing w:val="-54"/>
        </w:rPr>
        <w:t> </w:t>
      </w:r>
      <w:r>
        <w:rPr>
          <w:rFonts w:ascii="Arial" w:hAnsi="Arial" w:cs="Arial" w:eastAsia="Arial" w:hint="default"/>
        </w:rPr>
        <w:t>6</w:t>
      </w:r>
      <w:r>
        <w:rPr>
          <w:rFonts w:ascii="Arial" w:hAnsi="Arial" w:cs="Arial" w:eastAsia="Arial" w:hint="default"/>
          <w:spacing w:val="-5"/>
        </w:rPr>
        <w:t> </w:t>
      </w:r>
      <w:r>
        <w:rPr>
          <w:spacing w:val="-3"/>
        </w:rPr>
        <w:t>日发出《中国联合网络通信股份有限公司关于西班牙电信与中国联合</w:t>
      </w:r>
      <w:r>
        <w:rPr>
          <w:w w:val="99"/>
        </w:rPr>
        <w:t> </w:t>
      </w:r>
      <w:r>
        <w:rPr>
          <w:spacing w:val="2"/>
        </w:rPr>
        <w:t>网络通信（香港）股份有限公司相互投资及订立战略联盟协议的公告》，据此，本公司的子</w:t>
      </w:r>
      <w:r>
        <w:rPr>
          <w:spacing w:val="-101"/>
        </w:rPr>
        <w:t> </w:t>
      </w:r>
      <w:r>
        <w:rPr>
          <w:spacing w:val="-101"/>
        </w:rPr>
      </w:r>
      <w:r>
        <w:rPr/>
        <w:t>公司联通红筹公司与西班牙电信有条件地同意通过互相认购对方相当于</w:t>
      </w:r>
      <w:r>
        <w:rPr>
          <w:spacing w:val="-69"/>
        </w:rPr>
        <w:t> </w:t>
      </w:r>
      <w:r>
        <w:rPr>
          <w:rFonts w:ascii="Arial" w:hAnsi="Arial" w:cs="Arial" w:eastAsia="Arial" w:hint="default"/>
        </w:rPr>
        <w:t>10</w:t>
      </w:r>
      <w:r>
        <w:rPr>
          <w:rFonts w:ascii="Arial" w:hAnsi="Arial" w:cs="Arial" w:eastAsia="Arial" w:hint="default"/>
          <w:spacing w:val="-21"/>
        </w:rPr>
        <w:t> </w:t>
      </w:r>
      <w:r>
        <w:rPr/>
        <w:t>亿美元的股份进行</w:t>
      </w:r>
    </w:p>
    <w:p>
      <w:pPr>
        <w:pStyle w:val="BodyText"/>
        <w:spacing w:line="278" w:lineRule="exact"/>
        <w:ind w:left="524" w:right="0"/>
        <w:jc w:val="both"/>
      </w:pPr>
      <w:r>
        <w:rPr>
          <w:spacing w:val="-4"/>
        </w:rPr>
        <w:t>投资（“认购协议”）。于</w:t>
      </w:r>
      <w:r>
        <w:rPr>
          <w:spacing w:val="-55"/>
        </w:rPr>
        <w:t> </w:t>
      </w:r>
      <w:r>
        <w:rPr>
          <w:rFonts w:ascii="Arial" w:hAnsi="Arial" w:cs="Arial" w:eastAsia="Arial" w:hint="default"/>
        </w:rPr>
        <w:t>2009</w:t>
      </w:r>
      <w:r>
        <w:rPr>
          <w:rFonts w:ascii="Arial" w:hAnsi="Arial" w:cs="Arial" w:eastAsia="Arial" w:hint="default"/>
          <w:spacing w:val="-6"/>
        </w:rPr>
        <w:t> </w:t>
      </w:r>
      <w:r>
        <w:rPr/>
        <w:t>年</w:t>
      </w:r>
      <w:r>
        <w:rPr>
          <w:spacing w:val="-55"/>
        </w:rPr>
        <w:t> </w:t>
      </w:r>
      <w:r>
        <w:rPr>
          <w:rFonts w:ascii="Arial" w:hAnsi="Arial" w:cs="Arial" w:eastAsia="Arial" w:hint="default"/>
        </w:rPr>
        <w:t>10</w:t>
      </w:r>
      <w:r>
        <w:rPr>
          <w:rFonts w:ascii="Arial" w:hAnsi="Arial" w:cs="Arial" w:eastAsia="Arial" w:hint="default"/>
          <w:spacing w:val="-6"/>
        </w:rPr>
        <w:t> </w:t>
      </w:r>
      <w:r>
        <w:rPr/>
        <w:t>月</w:t>
      </w:r>
      <w:r>
        <w:rPr>
          <w:spacing w:val="-55"/>
        </w:rPr>
        <w:t> </w:t>
      </w:r>
      <w:r>
        <w:rPr>
          <w:rFonts w:ascii="Arial" w:hAnsi="Arial" w:cs="Arial" w:eastAsia="Arial" w:hint="default"/>
        </w:rPr>
        <w:t>21</w:t>
      </w:r>
      <w:r>
        <w:rPr>
          <w:rFonts w:ascii="Arial" w:hAnsi="Arial" w:cs="Arial" w:eastAsia="Arial" w:hint="default"/>
          <w:spacing w:val="-6"/>
        </w:rPr>
        <w:t> </w:t>
      </w:r>
      <w:r>
        <w:rPr>
          <w:spacing w:val="-3"/>
        </w:rPr>
        <w:t>日（“交易完成日”），联通红筹公司和西班牙</w:t>
      </w:r>
    </w:p>
    <w:p>
      <w:pPr>
        <w:pStyle w:val="BodyText"/>
        <w:spacing w:line="285" w:lineRule="exact"/>
        <w:ind w:left="523" w:right="0"/>
        <w:jc w:val="both"/>
      </w:pPr>
      <w:r>
        <w:rPr/>
        <w:t>电信通过互换股份的方式完成此项交易，具体实施方式为西班牙电信以每股 </w:t>
      </w:r>
      <w:r>
        <w:rPr>
          <w:rFonts w:ascii="Arial" w:hAnsi="Arial" w:cs="Arial" w:eastAsia="Arial" w:hint="default"/>
        </w:rPr>
        <w:t>11.17</w:t>
      </w:r>
      <w:r>
        <w:rPr>
          <w:rFonts w:ascii="Arial" w:hAnsi="Arial" w:cs="Arial" w:eastAsia="Arial" w:hint="default"/>
          <w:spacing w:val="45"/>
        </w:rPr>
        <w:t> </w:t>
      </w:r>
      <w:r>
        <w:rPr/>
        <w:t>港元的价</w:t>
      </w:r>
    </w:p>
    <w:p>
      <w:pPr>
        <w:pStyle w:val="BodyText"/>
        <w:spacing w:line="285" w:lineRule="exact"/>
        <w:ind w:left="523" w:right="0"/>
        <w:jc w:val="both"/>
      </w:pPr>
      <w:r>
        <w:rPr/>
        <w:t>格认购 </w:t>
      </w:r>
      <w:r>
        <w:rPr>
          <w:rFonts w:ascii="Arial" w:hAnsi="Arial" w:cs="Arial" w:eastAsia="Arial" w:hint="default"/>
        </w:rPr>
        <w:t>693,912,264 </w:t>
      </w:r>
      <w:r>
        <w:rPr/>
        <w:t>股联通红筹公司新发行股份，同时以每股 </w:t>
      </w:r>
      <w:r>
        <w:rPr>
          <w:rFonts w:ascii="Arial" w:hAnsi="Arial" w:cs="Arial" w:eastAsia="Arial" w:hint="default"/>
        </w:rPr>
        <w:t>17.24</w:t>
      </w:r>
      <w:r>
        <w:rPr>
          <w:rFonts w:ascii="Arial" w:hAnsi="Arial" w:cs="Arial" w:eastAsia="Arial" w:hint="default"/>
          <w:spacing w:val="-34"/>
        </w:rPr>
        <w:t> </w:t>
      </w:r>
      <w:r>
        <w:rPr/>
        <w:t>欧元的价格向联通红筹</w:t>
      </w:r>
    </w:p>
    <w:p>
      <w:pPr>
        <w:pStyle w:val="BodyText"/>
        <w:spacing w:line="295" w:lineRule="exact"/>
        <w:ind w:left="523" w:right="0"/>
        <w:jc w:val="both"/>
      </w:pPr>
      <w:r>
        <w:rPr/>
        <w:t>公司转让</w:t>
      </w:r>
      <w:r>
        <w:rPr>
          <w:spacing w:val="-58"/>
        </w:rPr>
        <w:t> </w:t>
      </w:r>
      <w:r>
        <w:rPr>
          <w:rFonts w:ascii="Arial" w:hAnsi="Arial" w:cs="Arial" w:eastAsia="Arial" w:hint="default"/>
        </w:rPr>
        <w:t>40,730,735</w:t>
      </w:r>
      <w:r>
        <w:rPr>
          <w:rFonts w:ascii="Arial" w:hAnsi="Arial" w:cs="Arial" w:eastAsia="Arial" w:hint="default"/>
          <w:spacing w:val="-9"/>
        </w:rPr>
        <w:t> </w:t>
      </w:r>
      <w:r>
        <w:rPr/>
        <w:t>股西班牙电信库存股作为出资。</w:t>
      </w:r>
    </w:p>
    <w:p>
      <w:pPr>
        <w:spacing w:line="240" w:lineRule="auto" w:before="13"/>
        <w:rPr>
          <w:rFonts w:ascii="宋体" w:hAnsi="宋体" w:cs="宋体" w:eastAsia="宋体" w:hint="default"/>
          <w:sz w:val="17"/>
          <w:szCs w:val="17"/>
        </w:rPr>
      </w:pPr>
    </w:p>
    <w:p>
      <w:pPr>
        <w:pStyle w:val="BodyText"/>
        <w:spacing w:line="240" w:lineRule="auto"/>
        <w:ind w:left="145" w:right="702"/>
        <w:jc w:val="left"/>
      </w:pPr>
      <w:r>
        <w:rPr>
          <w:rFonts w:ascii="Arial" w:hAnsi="Arial" w:cs="Arial" w:eastAsia="Arial" w:hint="default"/>
        </w:rPr>
        <w:t>8</w:t>
      </w:r>
      <w:r>
        <w:rPr/>
        <w:t>、联通红筹公司回购韩国</w:t>
      </w:r>
      <w:r>
        <w:rPr>
          <w:spacing w:val="-57"/>
        </w:rPr>
        <w:t> </w:t>
      </w:r>
      <w:r>
        <w:rPr>
          <w:rFonts w:ascii="Arial" w:hAnsi="Arial" w:cs="Arial" w:eastAsia="Arial" w:hint="default"/>
        </w:rPr>
        <w:t>SK</w:t>
      </w:r>
      <w:r>
        <w:rPr>
          <w:rFonts w:ascii="Arial" w:hAnsi="Arial" w:cs="Arial" w:eastAsia="Arial" w:hint="default"/>
          <w:spacing w:val="-8"/>
        </w:rPr>
        <w:t> </w:t>
      </w:r>
      <w:r>
        <w:rPr/>
        <w:t>电讯株式会社持有的联通红筹公司股份</w:t>
      </w:r>
    </w:p>
    <w:p>
      <w:pPr>
        <w:spacing w:line="240" w:lineRule="auto" w:before="0"/>
        <w:rPr>
          <w:rFonts w:ascii="宋体" w:hAnsi="宋体" w:cs="宋体" w:eastAsia="宋体" w:hint="default"/>
          <w:sz w:val="20"/>
          <w:szCs w:val="20"/>
        </w:rPr>
      </w:pPr>
    </w:p>
    <w:p>
      <w:pPr>
        <w:pStyle w:val="BodyText"/>
        <w:spacing w:line="286" w:lineRule="exact"/>
        <w:ind w:left="523" w:right="126"/>
        <w:jc w:val="both"/>
        <w:rPr>
          <w:rFonts w:ascii="Arial" w:hAnsi="Arial" w:cs="Arial" w:eastAsia="Arial" w:hint="default"/>
        </w:rPr>
      </w:pPr>
      <w:r>
        <w:rPr/>
        <w:t>联通红筹公司于</w:t>
      </w:r>
      <w:r>
        <w:rPr>
          <w:spacing w:val="-49"/>
        </w:rPr>
        <w:t> </w:t>
      </w:r>
      <w:r>
        <w:rPr>
          <w:rFonts w:ascii="Arial" w:hAnsi="Arial" w:cs="Arial" w:eastAsia="Arial" w:hint="default"/>
        </w:rPr>
        <w:t>2009</w:t>
      </w:r>
      <w:r>
        <w:rPr>
          <w:rFonts w:ascii="Arial" w:hAnsi="Arial" w:cs="Arial" w:eastAsia="Arial" w:hint="default"/>
          <w:spacing w:val="2"/>
        </w:rPr>
        <w:t> </w:t>
      </w:r>
      <w:r>
        <w:rPr/>
        <w:t>年</w:t>
      </w:r>
      <w:r>
        <w:rPr>
          <w:spacing w:val="-49"/>
        </w:rPr>
        <w:t> </w:t>
      </w:r>
      <w:r>
        <w:rPr>
          <w:rFonts w:ascii="Arial" w:hAnsi="Arial" w:cs="Arial" w:eastAsia="Arial" w:hint="default"/>
        </w:rPr>
        <w:t>9 </w:t>
      </w:r>
      <w:r>
        <w:rPr/>
        <w:t>月</w:t>
      </w:r>
      <w:r>
        <w:rPr>
          <w:spacing w:val="-49"/>
        </w:rPr>
        <w:t> </w:t>
      </w:r>
      <w:r>
        <w:rPr>
          <w:rFonts w:ascii="Arial" w:hAnsi="Arial" w:cs="Arial" w:eastAsia="Arial" w:hint="default"/>
        </w:rPr>
        <w:t>25</w:t>
      </w:r>
      <w:r>
        <w:rPr>
          <w:rFonts w:ascii="Arial" w:hAnsi="Arial" w:cs="Arial" w:eastAsia="Arial" w:hint="default"/>
          <w:spacing w:val="1"/>
        </w:rPr>
        <w:t> </w:t>
      </w:r>
      <w:r>
        <w:rPr/>
        <w:t>日收到韩国</w:t>
      </w:r>
      <w:r>
        <w:rPr>
          <w:spacing w:val="-48"/>
        </w:rPr>
        <w:t> </w:t>
      </w:r>
      <w:r>
        <w:rPr>
          <w:rFonts w:ascii="Arial" w:hAnsi="Arial" w:cs="Arial" w:eastAsia="Arial" w:hint="default"/>
        </w:rPr>
        <w:t>SK </w:t>
      </w:r>
      <w:r>
        <w:rPr/>
        <w:t>电讯株式会社（“</w:t>
      </w:r>
      <w:r>
        <w:rPr>
          <w:rFonts w:ascii="Arial" w:hAnsi="Arial" w:cs="Arial" w:eastAsia="Arial" w:hint="default"/>
        </w:rPr>
        <w:t>SKT</w:t>
      </w:r>
      <w:r>
        <w:rPr/>
        <w:t>”）作出的有条件不</w:t>
      </w:r>
      <w:r>
        <w:rPr>
          <w:spacing w:val="1"/>
          <w:w w:val="99"/>
        </w:rPr>
        <w:t> </w:t>
      </w:r>
      <w:r>
        <w:rPr/>
        <w:t>可撤回要约，</w:t>
      </w:r>
      <w:r>
        <w:rPr>
          <w:rFonts w:ascii="Arial" w:hAnsi="Arial" w:cs="Arial" w:eastAsia="Arial" w:hint="default"/>
        </w:rPr>
        <w:t>SKT </w:t>
      </w:r>
      <w:r>
        <w:rPr/>
        <w:t>拟将其持有的联通红筹公司的所有股份 </w:t>
      </w:r>
      <w:r>
        <w:rPr>
          <w:rFonts w:ascii="Arial" w:hAnsi="Arial" w:cs="Arial" w:eastAsia="Arial" w:hint="default"/>
        </w:rPr>
        <w:t>899,745,075</w:t>
      </w:r>
      <w:r>
        <w:rPr>
          <w:rFonts w:ascii="Arial" w:hAnsi="Arial" w:cs="Arial" w:eastAsia="Arial" w:hint="default"/>
          <w:spacing w:val="-21"/>
        </w:rPr>
        <w:t> </w:t>
      </w:r>
      <w:r>
        <w:rPr/>
        <w:t>股出售给联通红筹公</w:t>
      </w:r>
      <w:r>
        <w:rPr>
          <w:w w:val="99"/>
        </w:rPr>
        <w:t> </w:t>
      </w:r>
      <w:r>
        <w:rPr>
          <w:spacing w:val="2"/>
        </w:rPr>
        <w:t>司，而联通红筹公司将通过场外股份回购（“股份回购”）的方式回购这些股份。股份回购</w:t>
      </w:r>
      <w:r>
        <w:rPr>
          <w:spacing w:val="-101"/>
        </w:rPr>
        <w:t> </w:t>
      </w:r>
      <w:r>
        <w:rPr>
          <w:spacing w:val="-101"/>
        </w:rPr>
      </w:r>
      <w:r>
        <w:rPr/>
        <w:t>的对价约为</w:t>
      </w:r>
      <w:r>
        <w:rPr>
          <w:spacing w:val="-56"/>
        </w:rPr>
        <w:t> </w:t>
      </w:r>
      <w:r>
        <w:rPr>
          <w:rFonts w:ascii="Arial" w:hAnsi="Arial" w:cs="Arial" w:eastAsia="Arial" w:hint="default"/>
        </w:rPr>
        <w:t>100</w:t>
      </w:r>
      <w:r>
        <w:rPr>
          <w:rFonts w:ascii="Arial" w:hAnsi="Arial" w:cs="Arial" w:eastAsia="Arial" w:hint="default"/>
          <w:spacing w:val="-8"/>
        </w:rPr>
        <w:t> </w:t>
      </w:r>
      <w:r>
        <w:rPr>
          <w:spacing w:val="-5"/>
        </w:rPr>
        <w:t>亿港元，即每股回购股份</w:t>
      </w:r>
      <w:r>
        <w:rPr>
          <w:spacing w:val="-57"/>
        </w:rPr>
        <w:t> </w:t>
      </w:r>
      <w:r>
        <w:rPr>
          <w:rFonts w:ascii="Arial" w:hAnsi="Arial" w:cs="Arial" w:eastAsia="Arial" w:hint="default"/>
        </w:rPr>
        <w:t>11.105</w:t>
      </w:r>
      <w:r>
        <w:rPr>
          <w:rFonts w:ascii="Arial" w:hAnsi="Arial" w:cs="Arial" w:eastAsia="Arial" w:hint="default"/>
          <w:spacing w:val="-8"/>
        </w:rPr>
        <w:t> </w:t>
      </w:r>
      <w:r>
        <w:rPr>
          <w:spacing w:val="-6"/>
        </w:rPr>
        <w:t>港元，并以现金支付。联通红筹公司于</w:t>
      </w:r>
      <w:r>
        <w:rPr>
          <w:spacing w:val="-57"/>
        </w:rPr>
        <w:t> </w:t>
      </w:r>
      <w:r>
        <w:rPr>
          <w:rFonts w:ascii="Arial" w:hAnsi="Arial" w:cs="Arial" w:eastAsia="Arial" w:hint="default"/>
        </w:rPr>
        <w:t>2009</w:t>
      </w:r>
    </w:p>
    <w:p>
      <w:pPr>
        <w:pStyle w:val="BodyText"/>
        <w:spacing w:line="265" w:lineRule="exact"/>
        <w:ind w:left="523" w:right="0"/>
        <w:jc w:val="both"/>
      </w:pPr>
      <w:r>
        <w:rPr/>
        <w:t>年</w:t>
      </w:r>
      <w:r>
        <w:rPr>
          <w:spacing w:val="-66"/>
        </w:rPr>
        <w:t> </w:t>
      </w:r>
      <w:r>
        <w:rPr>
          <w:rFonts w:ascii="Arial" w:hAnsi="Arial" w:cs="Arial" w:eastAsia="Arial" w:hint="default"/>
        </w:rPr>
        <w:t>11</w:t>
      </w:r>
      <w:r>
        <w:rPr>
          <w:rFonts w:ascii="Arial" w:hAnsi="Arial" w:cs="Arial" w:eastAsia="Arial" w:hint="default"/>
          <w:spacing w:val="-17"/>
        </w:rPr>
        <w:t> </w:t>
      </w:r>
      <w:r>
        <w:rPr/>
        <w:t>月</w:t>
      </w:r>
      <w:r>
        <w:rPr>
          <w:spacing w:val="-66"/>
        </w:rPr>
        <w:t> </w:t>
      </w:r>
      <w:r>
        <w:rPr>
          <w:rFonts w:ascii="Arial" w:hAnsi="Arial" w:cs="Arial" w:eastAsia="Arial" w:hint="default"/>
        </w:rPr>
        <w:t>3</w:t>
      </w:r>
      <w:r>
        <w:rPr>
          <w:rFonts w:ascii="Arial" w:hAnsi="Arial" w:cs="Arial" w:eastAsia="Arial" w:hint="default"/>
          <w:spacing w:val="-17"/>
        </w:rPr>
        <w:t> </w:t>
      </w:r>
      <w:r>
        <w:rPr/>
        <w:t>日召开的特别股东大会及本公司于同日召开的临时股东大会均审议并通过了上述股</w:t>
      </w:r>
    </w:p>
    <w:p>
      <w:pPr>
        <w:pStyle w:val="BodyText"/>
        <w:spacing w:line="279" w:lineRule="exact"/>
        <w:ind w:left="523" w:right="0"/>
        <w:jc w:val="both"/>
      </w:pPr>
      <w:r>
        <w:rPr/>
        <w:t>份回购交易。该交易稍后亦于当月完成。</w:t>
      </w:r>
    </w:p>
    <w:p>
      <w:pPr>
        <w:spacing w:after="0" w:line="279" w:lineRule="exact"/>
        <w:jc w:val="both"/>
        <w:sectPr>
          <w:headerReference w:type="default" r:id="rId36"/>
          <w:pgSz w:w="11910" w:h="16840"/>
          <w:pgMar w:header="967" w:footer="600" w:top="2840" w:bottom="780" w:left="1440" w:right="900"/>
        </w:sectPr>
      </w:pPr>
    </w:p>
    <w:p>
      <w:pPr>
        <w:spacing w:line="240" w:lineRule="auto" w:before="12"/>
        <w:rPr>
          <w:rFonts w:ascii="宋体" w:hAnsi="宋体" w:cs="宋体" w:eastAsia="宋体" w:hint="default"/>
          <w:sz w:val="14"/>
          <w:szCs w:val="14"/>
        </w:rPr>
      </w:pPr>
    </w:p>
    <w:p>
      <w:pPr>
        <w:pStyle w:val="BodyText"/>
        <w:spacing w:line="240" w:lineRule="auto" w:before="31"/>
        <w:ind w:left="146" w:right="99"/>
        <w:jc w:val="left"/>
      </w:pPr>
      <w:r>
        <w:rPr>
          <w:rFonts w:ascii="Arial" w:hAnsi="Arial" w:cs="Arial" w:eastAsia="Arial" w:hint="default"/>
        </w:rPr>
        <w:t>9</w:t>
      </w:r>
      <w:r>
        <w:rPr/>
        <w:t>、</w:t>
      </w:r>
      <w:r>
        <w:rPr>
          <w:spacing w:val="36"/>
        </w:rPr>
        <w:t> </w:t>
      </w:r>
      <w:r>
        <w:rPr/>
        <w:t>本财务报表由本公司董事会于</w:t>
      </w:r>
      <w:r>
        <w:rPr>
          <w:spacing w:val="-56"/>
        </w:rPr>
        <w:t> </w:t>
      </w:r>
      <w:r>
        <w:rPr>
          <w:rFonts w:ascii="Arial" w:hAnsi="Arial" w:cs="Arial" w:eastAsia="Arial" w:hint="default"/>
        </w:rPr>
        <w:t>2010</w:t>
      </w:r>
      <w:r>
        <w:rPr>
          <w:rFonts w:ascii="Arial" w:hAnsi="Arial" w:cs="Arial" w:eastAsia="Arial" w:hint="default"/>
          <w:spacing w:val="-7"/>
        </w:rPr>
        <w:t> </w:t>
      </w:r>
      <w:r>
        <w:rPr/>
        <w:t>年</w:t>
      </w:r>
      <w:r>
        <w:rPr>
          <w:spacing w:val="-56"/>
        </w:rPr>
        <w:t> </w:t>
      </w:r>
      <w:r>
        <w:rPr>
          <w:rFonts w:ascii="Arial" w:hAnsi="Arial" w:cs="Arial" w:eastAsia="Arial" w:hint="default"/>
        </w:rPr>
        <w:t>3</w:t>
      </w:r>
      <w:r>
        <w:rPr>
          <w:rFonts w:ascii="Arial" w:hAnsi="Arial" w:cs="Arial" w:eastAsia="Arial" w:hint="default"/>
          <w:spacing w:val="-7"/>
        </w:rPr>
        <w:t> </w:t>
      </w:r>
      <w:r>
        <w:rPr/>
        <w:t>月</w:t>
      </w:r>
      <w:r>
        <w:rPr>
          <w:spacing w:val="-56"/>
        </w:rPr>
        <w:t> </w:t>
      </w:r>
      <w:r>
        <w:rPr>
          <w:rFonts w:ascii="Arial" w:hAnsi="Arial" w:cs="Arial" w:eastAsia="Arial" w:hint="default"/>
        </w:rPr>
        <w:t>24</w:t>
      </w:r>
      <w:r>
        <w:rPr>
          <w:rFonts w:ascii="Arial" w:hAnsi="Arial" w:cs="Arial" w:eastAsia="Arial" w:hint="default"/>
          <w:spacing w:val="-7"/>
        </w:rPr>
        <w:t> </w:t>
      </w:r>
      <w:r>
        <w:rPr/>
        <w:t>日批准报出。</w:t>
      </w:r>
    </w:p>
    <w:p>
      <w:pPr>
        <w:spacing w:line="240" w:lineRule="auto" w:before="13"/>
        <w:rPr>
          <w:rFonts w:ascii="宋体" w:hAnsi="宋体" w:cs="宋体" w:eastAsia="宋体" w:hint="default"/>
          <w:sz w:val="17"/>
          <w:szCs w:val="17"/>
        </w:rPr>
      </w:pPr>
    </w:p>
    <w:p>
      <w:pPr>
        <w:pStyle w:val="BodyText"/>
        <w:tabs>
          <w:tab w:pos="636" w:val="left" w:leader="none"/>
        </w:tabs>
        <w:spacing w:line="240" w:lineRule="auto"/>
        <w:ind w:left="146" w:right="99"/>
        <w:jc w:val="left"/>
        <w:rPr>
          <w:rFonts w:ascii="黑体" w:hAnsi="黑体" w:cs="黑体" w:eastAsia="黑体" w:hint="default"/>
        </w:rPr>
      </w:pPr>
      <w:r>
        <w:rPr>
          <w:rFonts w:ascii="黑体" w:hAnsi="黑体" w:cs="黑体" w:eastAsia="黑体" w:hint="default"/>
          <w:w w:val="95"/>
        </w:rPr>
        <w:t>二</w:t>
        <w:tab/>
      </w:r>
      <w:r>
        <w:rPr>
          <w:rFonts w:ascii="黑体" w:hAnsi="黑体" w:cs="黑体" w:eastAsia="黑体" w:hint="default"/>
        </w:rPr>
        <w:t>主要会计政策和会计估计</w:t>
      </w:r>
    </w:p>
    <w:p>
      <w:pPr>
        <w:spacing w:line="240" w:lineRule="auto" w:before="4"/>
        <w:rPr>
          <w:rFonts w:ascii="黑体" w:hAnsi="黑体" w:cs="黑体" w:eastAsia="黑体" w:hint="default"/>
          <w:sz w:val="17"/>
          <w:szCs w:val="17"/>
        </w:rPr>
      </w:pPr>
    </w:p>
    <w:p>
      <w:pPr>
        <w:pStyle w:val="BodyText"/>
        <w:spacing w:line="240" w:lineRule="auto"/>
        <w:ind w:left="118" w:right="99"/>
        <w:jc w:val="left"/>
      </w:pPr>
      <w:r>
        <w:rPr>
          <w:rFonts w:ascii="Arial" w:hAnsi="Arial" w:cs="Arial" w:eastAsia="Arial" w:hint="default"/>
        </w:rPr>
        <w:t>1</w:t>
      </w:r>
      <w:r>
        <w:rPr/>
        <w:t>、</w:t>
      </w:r>
      <w:r>
        <w:rPr>
          <w:spacing w:val="-36"/>
        </w:rPr>
        <w:t> </w:t>
      </w:r>
      <w:r>
        <w:rPr/>
        <w:t>财务报表的编制基础</w:t>
      </w:r>
    </w:p>
    <w:p>
      <w:pPr>
        <w:spacing w:line="240" w:lineRule="auto" w:before="7"/>
        <w:rPr>
          <w:rFonts w:ascii="宋体" w:hAnsi="宋体" w:cs="宋体" w:eastAsia="宋体" w:hint="default"/>
          <w:sz w:val="18"/>
          <w:szCs w:val="18"/>
        </w:rPr>
      </w:pPr>
    </w:p>
    <w:p>
      <w:pPr>
        <w:pStyle w:val="BodyText"/>
        <w:spacing w:line="232" w:lineRule="auto"/>
        <w:ind w:left="538" w:right="206"/>
        <w:jc w:val="both"/>
      </w:pPr>
      <w:r>
        <w:rPr>
          <w:spacing w:val="2"/>
        </w:rPr>
        <w:t>本财务报表按照财政部于</w:t>
      </w:r>
      <w:r>
        <w:rPr>
          <w:rFonts w:ascii="Arial" w:hAnsi="Arial" w:cs="Arial" w:eastAsia="Arial" w:hint="default"/>
          <w:spacing w:val="2"/>
        </w:rPr>
        <w:t>2006</w:t>
      </w:r>
      <w:r>
        <w:rPr>
          <w:spacing w:val="2"/>
        </w:rPr>
        <w:t>年</w:t>
      </w:r>
      <w:r>
        <w:rPr>
          <w:rFonts w:ascii="Arial" w:hAnsi="Arial" w:cs="Arial" w:eastAsia="Arial" w:hint="default"/>
          <w:spacing w:val="2"/>
        </w:rPr>
        <w:t>2</w:t>
      </w:r>
      <w:r>
        <w:rPr>
          <w:spacing w:val="2"/>
        </w:rPr>
        <w:t>月</w:t>
      </w:r>
      <w:r>
        <w:rPr>
          <w:rFonts w:ascii="Arial" w:hAnsi="Arial" w:cs="Arial" w:eastAsia="Arial" w:hint="default"/>
          <w:spacing w:val="2"/>
        </w:rPr>
        <w:t>15</w:t>
      </w:r>
      <w:r>
        <w:rPr>
          <w:spacing w:val="2"/>
        </w:rPr>
        <w:t>日颁布的《企业会计准则—基本准则》和</w:t>
      </w:r>
      <w:r>
        <w:rPr>
          <w:rFonts w:ascii="Arial" w:hAnsi="Arial" w:cs="Arial" w:eastAsia="Arial" w:hint="default"/>
          <w:spacing w:val="2"/>
        </w:rPr>
        <w:t>38</w:t>
      </w:r>
      <w:r>
        <w:rPr>
          <w:spacing w:val="2"/>
        </w:rPr>
        <w:t>项具体会</w:t>
      </w:r>
      <w:r>
        <w:rPr>
          <w:spacing w:val="2"/>
          <w:w w:val="99"/>
        </w:rPr>
        <w:t> </w:t>
      </w:r>
      <w:r>
        <w:rPr>
          <w:spacing w:val="2"/>
        </w:rPr>
        <w:t>计准则、其后颁布的企业会计准则应用指南、企业会计准则解释及其他相关规定（以下合称</w:t>
      </w:r>
      <w:r>
        <w:rPr>
          <w:w w:val="99"/>
        </w:rPr>
        <w:t> </w:t>
      </w:r>
      <w:r>
        <w:rPr>
          <w:spacing w:val="2"/>
        </w:rPr>
        <w:t>“企业会计准则”）以及中国证券监督管理委员会《公开发行证券的公司信息披露编报规则</w:t>
      </w:r>
      <w:r>
        <w:rPr>
          <w:w w:val="99"/>
        </w:rPr>
        <w:t> </w:t>
      </w:r>
      <w:r>
        <w:rPr/>
        <w:t>第</w:t>
      </w:r>
      <w:r>
        <w:rPr>
          <w:rFonts w:ascii="Arial" w:hAnsi="Arial" w:cs="Arial" w:eastAsia="Arial" w:hint="default"/>
        </w:rPr>
        <w:t>15</w:t>
      </w:r>
      <w:r>
        <w:rPr/>
        <w:t>号—财务报告的一般规定》（</w:t>
      </w:r>
      <w:r>
        <w:rPr>
          <w:rFonts w:ascii="Arial" w:hAnsi="Arial" w:cs="Arial" w:eastAsia="Arial" w:hint="default"/>
        </w:rPr>
        <w:t>2010</w:t>
      </w:r>
      <w:r>
        <w:rPr/>
        <w:t>年修订）的披露规定编制。</w:t>
      </w:r>
    </w:p>
    <w:p>
      <w:pPr>
        <w:spacing w:line="240" w:lineRule="auto" w:before="10"/>
        <w:rPr>
          <w:rFonts w:ascii="宋体" w:hAnsi="宋体" w:cs="宋体" w:eastAsia="宋体" w:hint="default"/>
          <w:sz w:val="15"/>
          <w:szCs w:val="15"/>
        </w:rPr>
      </w:pPr>
    </w:p>
    <w:p>
      <w:pPr>
        <w:pStyle w:val="BodyText"/>
        <w:spacing w:line="240" w:lineRule="auto"/>
        <w:ind w:left="118" w:right="99"/>
        <w:jc w:val="left"/>
      </w:pPr>
      <w:r>
        <w:rPr>
          <w:rFonts w:ascii="Arial" w:hAnsi="Arial" w:cs="Arial" w:eastAsia="Arial" w:hint="default"/>
        </w:rPr>
        <w:t>(a) </w:t>
      </w:r>
      <w:r>
        <w:rPr>
          <w:rFonts w:ascii="Arial" w:hAnsi="Arial" w:cs="Arial" w:eastAsia="Arial" w:hint="default"/>
          <w:spacing w:val="26"/>
        </w:rPr>
        <w:t> </w:t>
      </w:r>
      <w:r>
        <w:rPr/>
        <w:t>企业合并</w:t>
      </w:r>
    </w:p>
    <w:p>
      <w:pPr>
        <w:spacing w:line="240" w:lineRule="auto" w:before="9"/>
        <w:rPr>
          <w:rFonts w:ascii="宋体" w:hAnsi="宋体" w:cs="宋体" w:eastAsia="宋体" w:hint="default"/>
          <w:sz w:val="16"/>
          <w:szCs w:val="16"/>
        </w:rPr>
      </w:pPr>
    </w:p>
    <w:p>
      <w:pPr>
        <w:pStyle w:val="BodyText"/>
        <w:spacing w:line="240" w:lineRule="auto"/>
        <w:ind w:left="133" w:right="99"/>
        <w:jc w:val="left"/>
      </w:pPr>
      <w:r>
        <w:rPr>
          <w:rFonts w:ascii="Arial" w:hAnsi="Arial" w:cs="Arial" w:eastAsia="Arial" w:hint="default"/>
        </w:rPr>
        <w:t>(1) </w:t>
      </w:r>
      <w:r>
        <w:rPr>
          <w:rFonts w:ascii="Arial" w:hAnsi="Arial" w:cs="Arial" w:eastAsia="Arial" w:hint="default"/>
          <w:spacing w:val="13"/>
        </w:rPr>
        <w:t> </w:t>
      </w:r>
      <w:r>
        <w:rPr/>
        <w:t>联通红筹公司与网通红筹公司的合并</w:t>
      </w:r>
    </w:p>
    <w:p>
      <w:pPr>
        <w:pStyle w:val="BodyText"/>
        <w:spacing w:line="235" w:lineRule="auto" w:before="171"/>
        <w:ind w:left="538" w:right="99"/>
        <w:jc w:val="left"/>
      </w:pPr>
      <w:r>
        <w:rPr>
          <w:spacing w:val="2"/>
        </w:rPr>
        <w:t>如附注一（</w:t>
      </w:r>
      <w:r>
        <w:rPr>
          <w:rFonts w:ascii="Arial" w:hAnsi="Arial" w:cs="Arial" w:eastAsia="Arial" w:hint="default"/>
          <w:spacing w:val="2"/>
        </w:rPr>
        <w:t>3</w:t>
      </w:r>
      <w:r>
        <w:rPr>
          <w:spacing w:val="2"/>
        </w:rPr>
        <w:t>）所述，于</w:t>
      </w:r>
      <w:r>
        <w:rPr>
          <w:rFonts w:ascii="Arial" w:hAnsi="Arial" w:cs="Arial" w:eastAsia="Arial" w:hint="default"/>
          <w:spacing w:val="2"/>
        </w:rPr>
        <w:t>2008</w:t>
      </w:r>
      <w:r>
        <w:rPr>
          <w:spacing w:val="2"/>
        </w:rPr>
        <w:t>年</w:t>
      </w:r>
      <w:r>
        <w:rPr>
          <w:rFonts w:ascii="Arial" w:hAnsi="Arial" w:cs="Arial" w:eastAsia="Arial" w:hint="default"/>
          <w:spacing w:val="2"/>
        </w:rPr>
        <w:t>10</w:t>
      </w:r>
      <w:r>
        <w:rPr>
          <w:spacing w:val="2"/>
        </w:rPr>
        <w:t>月</w:t>
      </w:r>
      <w:r>
        <w:rPr>
          <w:rFonts w:ascii="Arial" w:hAnsi="Arial" w:cs="Arial" w:eastAsia="Arial" w:hint="default"/>
          <w:spacing w:val="2"/>
        </w:rPr>
        <w:t>15</w:t>
      </w:r>
      <w:r>
        <w:rPr>
          <w:spacing w:val="2"/>
        </w:rPr>
        <w:t>日，联通红筹公司完成了与网通红筹公司的合并。联</w:t>
      </w:r>
      <w:r>
        <w:rPr>
          <w:spacing w:val="2"/>
          <w:w w:val="99"/>
        </w:rPr>
        <w:t> </w:t>
      </w:r>
      <w:r>
        <w:rPr>
          <w:spacing w:val="2"/>
        </w:rPr>
        <w:t>通红筹公司和网通红筹公司在合并前的最终控股公司分别为联通集团和网通集团，联通集团</w:t>
      </w:r>
      <w:r>
        <w:rPr>
          <w:w w:val="99"/>
        </w:rPr>
        <w:t> </w:t>
      </w:r>
      <w:r>
        <w:rPr>
          <w:spacing w:val="2"/>
        </w:rPr>
        <w:t>和网通集团均为国家通过国资委控制的大型国有电信企业。尽管本次企业合并不是同一企业</w:t>
      </w:r>
      <w:r>
        <w:rPr>
          <w:w w:val="99"/>
        </w:rPr>
        <w:t> </w:t>
      </w:r>
      <w:r>
        <w:rPr>
          <w:spacing w:val="2"/>
        </w:rPr>
        <w:t>集团内部的企业合并，但是联通红筹公司和网通红筹公司的企业合并，是根据工业和信息化</w:t>
      </w:r>
      <w:r>
        <w:rPr>
          <w:w w:val="99"/>
        </w:rPr>
        <w:t> </w:t>
      </w:r>
      <w:r>
        <w:rPr>
          <w:spacing w:val="-3"/>
        </w:rPr>
        <w:t>部、国家发展和改革委员会及财政部于</w:t>
      </w:r>
      <w:r>
        <w:rPr>
          <w:rFonts w:ascii="Arial" w:hAnsi="Arial" w:cs="Arial" w:eastAsia="Arial" w:hint="default"/>
          <w:spacing w:val="-3"/>
        </w:rPr>
        <w:t>2008</w:t>
      </w:r>
      <w:r>
        <w:rPr>
          <w:spacing w:val="-3"/>
        </w:rPr>
        <w:t>年</w:t>
      </w:r>
      <w:r>
        <w:rPr>
          <w:rFonts w:ascii="Arial" w:hAnsi="Arial" w:cs="Arial" w:eastAsia="Arial" w:hint="default"/>
          <w:spacing w:val="-3"/>
        </w:rPr>
        <w:t>5</w:t>
      </w:r>
      <w:r>
        <w:rPr>
          <w:spacing w:val="-3"/>
        </w:rPr>
        <w:t>月</w:t>
      </w:r>
      <w:r>
        <w:rPr>
          <w:rFonts w:ascii="Arial" w:hAnsi="Arial" w:cs="Arial" w:eastAsia="Arial" w:hint="default"/>
          <w:spacing w:val="-3"/>
        </w:rPr>
        <w:t>24</w:t>
      </w:r>
      <w:r>
        <w:rPr>
          <w:spacing w:val="-3"/>
        </w:rPr>
        <w:t>日联合发出《关于深化电信体制改革的通</w:t>
      </w:r>
      <w:r>
        <w:rPr>
          <w:spacing w:val="-85"/>
        </w:rPr>
        <w:t> </w:t>
      </w:r>
      <w:r>
        <w:rPr>
          <w:spacing w:val="-85"/>
        </w:rPr>
      </w:r>
      <w:r>
        <w:rPr>
          <w:spacing w:val="2"/>
        </w:rPr>
        <w:t>告》（“《电信改革通告》”）进行的重大电信行业企业重组，重组的方式亦符合《电信改</w:t>
      </w:r>
      <w:r>
        <w:rPr>
          <w:w w:val="99"/>
        </w:rPr>
        <w:t> </w:t>
      </w:r>
      <w:r>
        <w:rPr>
          <w:spacing w:val="2"/>
        </w:rPr>
        <w:t>革通告》中指出的重组方式，即“中国联通和中国网通合并”。故本次企业合并不同于一般</w:t>
      </w:r>
      <w:r>
        <w:rPr>
          <w:w w:val="99"/>
        </w:rPr>
        <w:t> </w:t>
      </w:r>
      <w:r>
        <w:rPr>
          <w:w w:val="95"/>
        </w:rPr>
        <w:t>商业情况下的企业合并，是国家对电信行业进行重组改革而触发的电信企业之间的合并重组。</w:t>
      </w:r>
      <w:r>
        <w:rPr>
          <w:spacing w:val="15"/>
          <w:w w:val="95"/>
        </w:rPr>
        <w:t> </w:t>
      </w:r>
      <w:r>
        <w:rPr>
          <w:spacing w:val="15"/>
          <w:w w:val="95"/>
        </w:rPr>
      </w:r>
      <w:r>
        <w:rPr>
          <w:spacing w:val="2"/>
        </w:rPr>
        <w:t>因此，本公司认为联通红筹公司和网通红筹公司的企业合并实质上是在国家同一控制下因电</w:t>
      </w:r>
      <w:r>
        <w:rPr>
          <w:w w:val="99"/>
        </w:rPr>
        <w:t> </w:t>
      </w:r>
      <w:r>
        <w:rPr/>
        <w:t>信行业重组而进行的企业合并，并将依照《企业会计准则第</w:t>
      </w:r>
      <w:r>
        <w:rPr>
          <w:rFonts w:ascii="Arial" w:hAnsi="Arial" w:cs="Arial" w:eastAsia="Arial" w:hint="default"/>
        </w:rPr>
        <w:t>20</w:t>
      </w:r>
      <w:r>
        <w:rPr/>
        <w:t>号－企业合并》中关于同一控</w:t>
      </w:r>
      <w:r>
        <w:rPr>
          <w:spacing w:val="-54"/>
        </w:rPr>
        <w:t> </w:t>
      </w:r>
      <w:r>
        <w:rPr>
          <w:spacing w:val="-54"/>
        </w:rPr>
      </w:r>
      <w:r>
        <w:rPr>
          <w:spacing w:val="2"/>
        </w:rPr>
        <w:t>制下企业合并的规定对联通红筹公司和网通红筹公司的企业合并进行处理和披露。所以，网</w:t>
      </w:r>
      <w:r>
        <w:rPr>
          <w:w w:val="99"/>
        </w:rPr>
        <w:t> </w:t>
      </w:r>
      <w:r>
        <w:rPr>
          <w:spacing w:val="2"/>
        </w:rPr>
        <w:t>通红筹公司的资产及负债将按其财务账面价值并入本集团的合并财务报表当中，同时视同网</w:t>
      </w:r>
      <w:r>
        <w:rPr>
          <w:w w:val="99"/>
        </w:rPr>
        <w:t> </w:t>
      </w:r>
      <w:r>
        <w:rPr>
          <w:spacing w:val="2"/>
        </w:rPr>
        <w:t>通红筹公司一直是本集团的一部分并由所列报的可比期间期初开始反映。因此，本集团合并</w:t>
      </w:r>
      <w:r>
        <w:rPr>
          <w:w w:val="99"/>
        </w:rPr>
        <w:t> </w:t>
      </w:r>
      <w:r>
        <w:rPr/>
        <w:t>财务报表的比较数据已包含网通红筹公司合并当期期初至合并日（即</w:t>
      </w:r>
      <w:r>
        <w:rPr>
          <w:rFonts w:ascii="Arial" w:hAnsi="Arial" w:cs="Arial" w:eastAsia="Arial" w:hint="default"/>
        </w:rPr>
        <w:t>2008</w:t>
      </w:r>
      <w:r>
        <w:rPr/>
        <w:t>年</w:t>
      </w:r>
      <w:r>
        <w:rPr>
          <w:rFonts w:ascii="Arial" w:hAnsi="Arial" w:cs="Arial" w:eastAsia="Arial" w:hint="default"/>
        </w:rPr>
        <w:t>1</w:t>
      </w:r>
      <w:r>
        <w:rPr/>
        <w:t>月</w:t>
      </w:r>
      <w:r>
        <w:rPr>
          <w:rFonts w:ascii="Arial" w:hAnsi="Arial" w:cs="Arial" w:eastAsia="Arial" w:hint="default"/>
        </w:rPr>
        <w:t>1</w:t>
      </w:r>
      <w:r>
        <w:rPr/>
        <w:t>日至</w:t>
      </w:r>
      <w:r>
        <w:rPr>
          <w:rFonts w:ascii="Arial" w:hAnsi="Arial" w:cs="Arial" w:eastAsia="Arial" w:hint="default"/>
        </w:rPr>
        <w:t>2008</w:t>
      </w:r>
      <w:r>
        <w:rPr/>
        <w:t>年</w:t>
      </w:r>
      <w:r>
        <w:rPr>
          <w:w w:val="99"/>
        </w:rPr>
        <w:t> </w:t>
      </w:r>
      <w:r>
        <w:rPr>
          <w:rFonts w:ascii="Arial" w:hAnsi="Arial" w:cs="Arial" w:eastAsia="Arial" w:hint="default"/>
        </w:rPr>
        <w:t>10</w:t>
      </w:r>
      <w:r>
        <w:rPr/>
        <w:t>月</w:t>
      </w:r>
      <w:r>
        <w:rPr>
          <w:rFonts w:ascii="Arial" w:hAnsi="Arial" w:cs="Arial" w:eastAsia="Arial" w:hint="default"/>
        </w:rPr>
        <w:t>15</w:t>
      </w:r>
      <w:r>
        <w:rPr/>
        <w:t>日止期间）的现金流量和经营成果。</w:t>
      </w:r>
    </w:p>
    <w:p>
      <w:pPr>
        <w:pStyle w:val="BodyText"/>
        <w:spacing w:line="240" w:lineRule="auto" w:before="168"/>
        <w:ind w:left="146" w:right="99"/>
        <w:jc w:val="left"/>
      </w:pPr>
      <w:r>
        <w:rPr>
          <w:rFonts w:ascii="Arial" w:hAnsi="Arial" w:cs="Arial" w:eastAsia="Arial" w:hint="default"/>
        </w:rPr>
        <w:t>(2)</w:t>
      </w:r>
      <w:r>
        <w:rPr>
          <w:rFonts w:ascii="Arial" w:hAnsi="Arial" w:cs="Arial" w:eastAsia="Arial" w:hint="default"/>
          <w:spacing w:val="60"/>
        </w:rPr>
        <w:t> </w:t>
      </w:r>
      <w:r>
        <w:rPr/>
        <w:t>联通运营公司收购目标业务</w:t>
      </w:r>
    </w:p>
    <w:p>
      <w:pPr>
        <w:pStyle w:val="BodyText"/>
        <w:spacing w:line="232" w:lineRule="auto" w:before="173"/>
        <w:ind w:left="538" w:right="205" w:firstLine="14"/>
        <w:jc w:val="both"/>
      </w:pPr>
      <w:r>
        <w:rPr>
          <w:w w:val="95"/>
        </w:rPr>
        <w:t>如附注一（</w:t>
      </w:r>
      <w:r>
        <w:rPr>
          <w:rFonts w:ascii="Arial" w:hAnsi="Arial" w:cs="Arial" w:eastAsia="Arial" w:hint="default"/>
          <w:w w:val="95"/>
        </w:rPr>
        <w:t>6</w:t>
      </w:r>
      <w:r>
        <w:rPr>
          <w:w w:val="95"/>
        </w:rPr>
        <w:t>）所述，于</w:t>
      </w:r>
      <w:r>
        <w:rPr>
          <w:rFonts w:ascii="Arial" w:hAnsi="Arial" w:cs="Arial" w:eastAsia="Arial" w:hint="default"/>
          <w:w w:val="95"/>
        </w:rPr>
        <w:t>2009</w:t>
      </w:r>
      <w:r>
        <w:rPr>
          <w:w w:val="95"/>
        </w:rPr>
        <w:t>年</w:t>
      </w:r>
      <w:r>
        <w:rPr>
          <w:rFonts w:ascii="Arial" w:hAnsi="Arial" w:cs="Arial" w:eastAsia="Arial" w:hint="default"/>
          <w:w w:val="95"/>
        </w:rPr>
        <w:t>1</w:t>
      </w:r>
      <w:r>
        <w:rPr>
          <w:w w:val="95"/>
        </w:rPr>
        <w:t>月</w:t>
      </w:r>
      <w:r>
        <w:rPr>
          <w:rFonts w:ascii="Arial" w:hAnsi="Arial" w:cs="Arial" w:eastAsia="Arial" w:hint="default"/>
          <w:w w:val="95"/>
        </w:rPr>
        <w:t>31</w:t>
      </w:r>
      <w:r>
        <w:rPr>
          <w:w w:val="95"/>
        </w:rPr>
        <w:t>日，联通运营公司完成了对目标业务的收购。于收购完</w:t>
      </w:r>
      <w:r>
        <w:rPr>
          <w:spacing w:val="92"/>
          <w:w w:val="95"/>
        </w:rPr>
        <w:t> </w:t>
      </w:r>
      <w:r>
        <w:rPr>
          <w:spacing w:val="92"/>
          <w:w w:val="95"/>
        </w:rPr>
      </w:r>
      <w:r>
        <w:rPr>
          <w:spacing w:val="2"/>
        </w:rPr>
        <w:t>成前，目标业务的组成部分分别由联通集团和网通集团控制。联通红筹公司和网通红筹公司</w:t>
      </w:r>
      <w:r>
        <w:rPr>
          <w:w w:val="99"/>
        </w:rPr>
        <w:t> </w:t>
      </w:r>
      <w:r>
        <w:rPr/>
        <w:t>完成合并后，联通集团和网通集团于</w:t>
      </w:r>
      <w:r>
        <w:rPr>
          <w:rFonts w:ascii="Arial" w:hAnsi="Arial" w:cs="Arial" w:eastAsia="Arial" w:hint="default"/>
        </w:rPr>
        <w:t>2009</w:t>
      </w:r>
      <w:r>
        <w:rPr/>
        <w:t>年</w:t>
      </w:r>
      <w:r>
        <w:rPr>
          <w:rFonts w:ascii="Arial" w:hAnsi="Arial" w:cs="Arial" w:eastAsia="Arial" w:hint="default"/>
        </w:rPr>
        <w:t>1</w:t>
      </w:r>
      <w:r>
        <w:rPr/>
        <w:t>月</w:t>
      </w:r>
      <w:r>
        <w:rPr>
          <w:rFonts w:ascii="Arial" w:hAnsi="Arial" w:cs="Arial" w:eastAsia="Arial" w:hint="default"/>
        </w:rPr>
        <w:t>6</w:t>
      </w:r>
      <w:r>
        <w:rPr/>
        <w:t>日进行了合并，并自该日起本集团及目标业</w:t>
      </w:r>
      <w:r>
        <w:rPr>
          <w:spacing w:val="-107"/>
        </w:rPr>
        <w:t> </w:t>
      </w:r>
      <w:r>
        <w:rPr>
          <w:spacing w:val="-107"/>
        </w:rPr>
      </w:r>
      <w:r>
        <w:rPr>
          <w:spacing w:val="-3"/>
          <w:w w:val="99"/>
        </w:rPr>
        <w:t>务均由联通集团控制且之后本集团于</w:t>
      </w:r>
      <w:r>
        <w:rPr>
          <w:rFonts w:ascii="Arial" w:hAnsi="Arial" w:cs="Arial" w:eastAsia="Arial" w:hint="default"/>
          <w:spacing w:val="-3"/>
          <w:w w:val="99"/>
        </w:rPr>
        <w:t>2009</w:t>
      </w:r>
      <w:r>
        <w:rPr>
          <w:spacing w:val="-3"/>
          <w:w w:val="99"/>
        </w:rPr>
        <w:t>年</w:t>
      </w:r>
      <w:r>
        <w:rPr>
          <w:rFonts w:ascii="Arial" w:hAnsi="Arial" w:cs="Arial" w:eastAsia="Arial" w:hint="default"/>
          <w:spacing w:val="-3"/>
          <w:w w:val="99"/>
        </w:rPr>
        <w:t>1</w:t>
      </w:r>
      <w:r>
        <w:rPr>
          <w:spacing w:val="-3"/>
          <w:w w:val="99"/>
        </w:rPr>
        <w:t>月</w:t>
      </w:r>
      <w:r>
        <w:rPr>
          <w:rFonts w:ascii="Arial" w:hAnsi="Arial" w:cs="Arial" w:eastAsia="Arial" w:hint="default"/>
          <w:spacing w:val="-3"/>
          <w:w w:val="99"/>
        </w:rPr>
        <w:t>31</w:t>
      </w:r>
      <w:r>
        <w:rPr>
          <w:spacing w:val="-3"/>
          <w:w w:val="99"/>
        </w:rPr>
        <w:t>日完成了目标业务的收购。本集团认为此收</w:t>
      </w:r>
      <w:r>
        <w:rPr>
          <w:spacing w:val="-68"/>
          <w:w w:val="99"/>
        </w:rPr>
        <w:t> </w:t>
      </w:r>
      <w:r>
        <w:rPr>
          <w:spacing w:val="-68"/>
          <w:w w:val="99"/>
        </w:rPr>
      </w:r>
      <w:r>
        <w:rPr>
          <w:spacing w:val="2"/>
        </w:rPr>
        <w:t>购是联通红筹公司和网通红筹公司以及联通集团和网通集团所进行的同一控制下企业合并的</w:t>
      </w:r>
      <w:r>
        <w:rPr>
          <w:w w:val="99"/>
        </w:rPr>
        <w:t> </w:t>
      </w:r>
      <w:r>
        <w:rPr>
          <w:spacing w:val="2"/>
        </w:rPr>
        <w:t>进一步延续，因此对目标业务的收购也被视为同一控制下的企业合并，并依照《企业会计准</w:t>
      </w:r>
      <w:r>
        <w:rPr>
          <w:w w:val="99"/>
        </w:rPr>
        <w:t> </w:t>
      </w:r>
      <w:r>
        <w:rPr/>
        <w:t>则第</w:t>
      </w:r>
      <w:r>
        <w:rPr>
          <w:rFonts w:ascii="Arial" w:hAnsi="Arial" w:cs="Arial" w:eastAsia="Arial" w:hint="default"/>
        </w:rPr>
        <w:t>20</w:t>
      </w:r>
      <w:r>
        <w:rPr/>
        <w:t>号－企业合并》中关于同一控制下企业合并的规定对收购目标业务进行会计处理和披</w:t>
      </w:r>
      <w:r>
        <w:rPr>
          <w:spacing w:val="-54"/>
        </w:rPr>
        <w:t> </w:t>
      </w:r>
      <w:r>
        <w:rPr>
          <w:spacing w:val="-54"/>
        </w:rPr>
      </w:r>
      <w:r>
        <w:rPr>
          <w:spacing w:val="2"/>
        </w:rPr>
        <w:t>露。故目标业务的资产及负债将按其合并日账面价值并入本集团的合并财务报表当中，同时</w:t>
      </w:r>
      <w:r>
        <w:rPr>
          <w:w w:val="99"/>
        </w:rPr>
        <w:t> </w:t>
      </w:r>
      <w:r>
        <w:rPr>
          <w:spacing w:val="2"/>
        </w:rPr>
        <w:t>视同目标业务一直是本集团的一部分并自列报的可比期间期初开始反映，即合并财务报表中</w:t>
      </w:r>
      <w:r>
        <w:rPr>
          <w:w w:val="99"/>
        </w:rPr>
        <w:t> </w:t>
      </w:r>
      <w:r>
        <w:rPr>
          <w:spacing w:val="3"/>
        </w:rPr>
        <w:t>之比较数据被重新列报以包括目标业务于</w:t>
      </w:r>
      <w:r>
        <w:rPr>
          <w:rFonts w:ascii="Arial" w:hAnsi="Arial" w:cs="Arial" w:eastAsia="Arial" w:hint="default"/>
          <w:spacing w:val="3"/>
        </w:rPr>
        <w:t>2008</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日的财务状况以及目标业务</w:t>
      </w:r>
      <w:r>
        <w:rPr>
          <w:rFonts w:ascii="Arial" w:hAnsi="Arial" w:cs="Arial" w:eastAsia="Arial" w:hint="default"/>
          <w:spacing w:val="3"/>
        </w:rPr>
        <w:t>2008</w:t>
      </w:r>
      <w:r>
        <w:rPr>
          <w:spacing w:val="3"/>
        </w:rPr>
        <w:t>年</w:t>
      </w:r>
      <w:r>
        <w:rPr>
          <w:spacing w:val="-108"/>
        </w:rPr>
        <w:t> </w:t>
      </w:r>
      <w:r>
        <w:rPr/>
        <w:t>度的经营成果和现金流量。</w:t>
      </w:r>
    </w:p>
    <w:p>
      <w:pPr>
        <w:spacing w:after="0" w:line="232" w:lineRule="auto"/>
        <w:jc w:val="both"/>
        <w:sectPr>
          <w:headerReference w:type="default" r:id="rId37"/>
          <w:pgSz w:w="11910" w:h="16840"/>
          <w:pgMar w:header="967" w:footer="600" w:top="2840" w:bottom="780" w:left="1440" w:right="820"/>
        </w:sectPr>
      </w:pPr>
    </w:p>
    <w:p>
      <w:pPr>
        <w:spacing w:line="240" w:lineRule="auto" w:before="9"/>
        <w:rPr>
          <w:rFonts w:ascii="宋体" w:hAnsi="宋体" w:cs="宋体" w:eastAsia="宋体" w:hint="default"/>
          <w:sz w:val="12"/>
          <w:szCs w:val="12"/>
        </w:rPr>
      </w:pPr>
    </w:p>
    <w:p>
      <w:pPr>
        <w:pStyle w:val="BodyText"/>
        <w:spacing w:line="240" w:lineRule="auto" w:before="31"/>
        <w:ind w:left="118" w:right="99"/>
        <w:jc w:val="left"/>
      </w:pPr>
      <w:r>
        <w:rPr>
          <w:rFonts w:ascii="Arial" w:hAnsi="Arial" w:cs="Arial" w:eastAsia="Arial" w:hint="default"/>
        </w:rPr>
        <w:t>(a) </w:t>
      </w:r>
      <w:r>
        <w:rPr>
          <w:rFonts w:ascii="Arial" w:hAnsi="Arial" w:cs="Arial" w:eastAsia="Arial" w:hint="default"/>
          <w:spacing w:val="27"/>
        </w:rPr>
        <w:t> </w:t>
      </w:r>
      <w:r>
        <w:rPr/>
        <w:t>企业合并（续）</w:t>
      </w:r>
    </w:p>
    <w:p>
      <w:pPr>
        <w:spacing w:line="240" w:lineRule="auto" w:before="9"/>
        <w:rPr>
          <w:rFonts w:ascii="宋体" w:hAnsi="宋体" w:cs="宋体" w:eastAsia="宋体" w:hint="default"/>
          <w:sz w:val="16"/>
          <w:szCs w:val="16"/>
        </w:rPr>
      </w:pPr>
    </w:p>
    <w:p>
      <w:pPr>
        <w:pStyle w:val="BodyText"/>
        <w:spacing w:line="240" w:lineRule="auto"/>
        <w:ind w:left="146" w:right="99"/>
        <w:jc w:val="left"/>
      </w:pPr>
      <w:r>
        <w:rPr>
          <w:rFonts w:ascii="Arial" w:hAnsi="Arial" w:cs="Arial" w:eastAsia="Arial" w:hint="default"/>
        </w:rPr>
        <w:t>(2)</w:t>
      </w:r>
      <w:r>
        <w:rPr>
          <w:rFonts w:ascii="Arial" w:hAnsi="Arial" w:cs="Arial" w:eastAsia="Arial" w:hint="default"/>
          <w:spacing w:val="60"/>
        </w:rPr>
        <w:t> </w:t>
      </w:r>
      <w:r>
        <w:rPr/>
        <w:t>联通运营公司收购目标业务（续）</w:t>
      </w:r>
    </w:p>
    <w:p>
      <w:pPr>
        <w:spacing w:line="240" w:lineRule="auto" w:before="9"/>
        <w:rPr>
          <w:rFonts w:ascii="宋体" w:hAnsi="宋体" w:cs="宋体" w:eastAsia="宋体" w:hint="default"/>
          <w:sz w:val="18"/>
          <w:szCs w:val="18"/>
        </w:rPr>
      </w:pPr>
    </w:p>
    <w:p>
      <w:pPr>
        <w:pStyle w:val="BodyText"/>
        <w:spacing w:line="230" w:lineRule="auto"/>
        <w:ind w:left="538" w:right="207"/>
        <w:jc w:val="both"/>
      </w:pPr>
      <w:r>
        <w:rPr/>
        <w:t>根据</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16</w:t>
      </w:r>
      <w:r>
        <w:rPr/>
        <w:t>日签订的转让协议，被收购目标业务中的南方固网业务不包括南方固网业</w:t>
      </w:r>
      <w:r>
        <w:rPr>
          <w:w w:val="99"/>
        </w:rPr>
        <w:t> </w:t>
      </w:r>
      <w:r>
        <w:rPr>
          <w:spacing w:val="2"/>
        </w:rPr>
        <w:t>务的固定电信网络资产及因建造电信网络而向联通集团或网通集团借入的关联公司借款和应</w:t>
      </w:r>
      <w:r>
        <w:rPr>
          <w:w w:val="99"/>
        </w:rPr>
        <w:t> </w:t>
      </w:r>
      <w:r>
        <w:rPr>
          <w:spacing w:val="-3"/>
        </w:rPr>
        <w:t>付工程及设备款，此固定电信网络资产将由联通新时空拥有，并自</w:t>
      </w:r>
      <w:r>
        <w:rPr>
          <w:rFonts w:ascii="Arial" w:hAnsi="Arial" w:cs="Arial" w:eastAsia="Arial" w:hint="default"/>
          <w:spacing w:val="-3"/>
        </w:rPr>
        <w:t>2009</w:t>
      </w:r>
      <w:r>
        <w:rPr>
          <w:spacing w:val="-3"/>
        </w:rPr>
        <w:t>年</w:t>
      </w:r>
      <w:r>
        <w:rPr>
          <w:rFonts w:ascii="Arial" w:hAnsi="Arial" w:cs="Arial" w:eastAsia="Arial" w:hint="default"/>
          <w:spacing w:val="-3"/>
        </w:rPr>
        <w:t>1</w:t>
      </w:r>
      <w:r>
        <w:rPr>
          <w:spacing w:val="-3"/>
        </w:rPr>
        <w:t>月</w:t>
      </w:r>
      <w:r>
        <w:rPr>
          <w:rFonts w:ascii="Arial" w:hAnsi="Arial" w:cs="Arial" w:eastAsia="Arial" w:hint="default"/>
          <w:spacing w:val="-3"/>
        </w:rPr>
        <w:t>31</w:t>
      </w:r>
      <w:r>
        <w:rPr>
          <w:spacing w:val="-3"/>
        </w:rPr>
        <w:t>日起由联通运</w:t>
      </w:r>
      <w:r>
        <w:rPr>
          <w:spacing w:val="-84"/>
        </w:rPr>
        <w:t> </w:t>
      </w:r>
      <w:r>
        <w:rPr>
          <w:spacing w:val="-84"/>
        </w:rPr>
      </w:r>
      <w:r>
        <w:rPr>
          <w:spacing w:val="2"/>
        </w:rPr>
        <w:t>营公司独家向联通新时空租赁使用。为更好地反映收购南方固网业务的经济实质，即本集团</w:t>
      </w:r>
      <w:r>
        <w:rPr>
          <w:w w:val="99"/>
        </w:rPr>
        <w:t> </w:t>
      </w:r>
      <w:r>
        <w:rPr>
          <w:spacing w:val="2"/>
        </w:rPr>
        <w:t>并未承担南方固网业务的固定电信网络资产及与固定电信网络资产购建有关的负债的风险和</w:t>
      </w:r>
      <w:r>
        <w:rPr>
          <w:w w:val="99"/>
        </w:rPr>
        <w:t> </w:t>
      </w:r>
      <w:r>
        <w:rPr/>
        <w:t>报酬，于</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日的合并资产负债表中，包括了转让协议中所规定的南方固网业务与</w:t>
      </w:r>
      <w:r>
        <w:rPr>
          <w:w w:val="99"/>
        </w:rPr>
        <w:t> </w:t>
      </w:r>
      <w:r>
        <w:rPr>
          <w:spacing w:val="5"/>
        </w:rPr>
        <w:t>运营相关的流动资产约人民币</w:t>
      </w:r>
      <w:r>
        <w:rPr>
          <w:rFonts w:ascii="Arial" w:hAnsi="Arial" w:cs="Arial" w:eastAsia="Arial" w:hint="default"/>
          <w:spacing w:val="5"/>
        </w:rPr>
        <w:t>9.99</w:t>
      </w:r>
      <w:r>
        <w:rPr>
          <w:spacing w:val="5"/>
        </w:rPr>
        <w:t>亿元及流动负债约人民币</w:t>
      </w:r>
      <w:r>
        <w:rPr>
          <w:rFonts w:ascii="Arial" w:hAnsi="Arial" w:cs="Arial" w:eastAsia="Arial" w:hint="default"/>
          <w:spacing w:val="5"/>
        </w:rPr>
        <w:t>28.41</w:t>
      </w:r>
      <w:r>
        <w:rPr>
          <w:spacing w:val="5"/>
        </w:rPr>
        <w:t>亿元，但并未包括固定资</w:t>
      </w:r>
      <w:r>
        <w:rPr>
          <w:w w:val="99"/>
        </w:rPr>
        <w:t> </w:t>
      </w:r>
      <w:r>
        <w:rPr/>
        <w:t>产、无形资产等固定电信网络资产约为人民币</w:t>
      </w:r>
      <w:r>
        <w:rPr>
          <w:rFonts w:ascii="Arial" w:hAnsi="Arial" w:cs="Arial" w:eastAsia="Arial" w:hint="default"/>
        </w:rPr>
        <w:t>309.11</w:t>
      </w:r>
      <w:r>
        <w:rPr/>
        <w:t>亿元和因建造电信网络而向联通集团或</w:t>
      </w:r>
      <w:r>
        <w:rPr>
          <w:spacing w:val="-45"/>
        </w:rPr>
        <w:t> </w:t>
      </w:r>
      <w:r>
        <w:rPr>
          <w:spacing w:val="-45"/>
        </w:rPr>
      </w:r>
      <w:r>
        <w:rPr>
          <w:spacing w:val="4"/>
        </w:rPr>
        <w:t>网通集团借入的关联公司借款约为人民币</w:t>
      </w:r>
      <w:r>
        <w:rPr>
          <w:rFonts w:ascii="Arial" w:hAnsi="Arial" w:cs="Arial" w:eastAsia="Arial" w:hint="default"/>
          <w:spacing w:val="4"/>
        </w:rPr>
        <w:t>356.52</w:t>
      </w:r>
      <w:r>
        <w:rPr>
          <w:spacing w:val="4"/>
        </w:rPr>
        <w:t>亿元及应付工程及设备款约为人民币</w:t>
      </w:r>
      <w:r>
        <w:rPr>
          <w:rFonts w:ascii="Arial" w:hAnsi="Arial" w:cs="Arial" w:eastAsia="Arial" w:hint="default"/>
          <w:spacing w:val="4"/>
        </w:rPr>
        <w:t>61.76</w:t>
      </w:r>
      <w:r>
        <w:rPr>
          <w:rFonts w:ascii="Arial" w:hAnsi="Arial" w:cs="Arial" w:eastAsia="Arial" w:hint="default"/>
          <w:w w:val="99"/>
        </w:rPr>
        <w:t> </w:t>
      </w:r>
      <w:r>
        <w:rPr/>
        <w:t>亿元。</w:t>
      </w:r>
    </w:p>
    <w:p>
      <w:pPr>
        <w:spacing w:line="240" w:lineRule="auto" w:before="6"/>
        <w:rPr>
          <w:rFonts w:ascii="宋体" w:hAnsi="宋体" w:cs="宋体" w:eastAsia="宋体" w:hint="default"/>
          <w:sz w:val="20"/>
          <w:szCs w:val="20"/>
        </w:rPr>
      </w:pPr>
    </w:p>
    <w:p>
      <w:pPr>
        <w:pStyle w:val="BodyText"/>
        <w:spacing w:line="225" w:lineRule="auto"/>
        <w:ind w:left="538" w:right="203"/>
        <w:jc w:val="both"/>
      </w:pPr>
      <w:r>
        <w:rPr/>
        <w:t>相应的，本集团</w:t>
      </w:r>
      <w:r>
        <w:rPr>
          <w:rFonts w:ascii="Arial" w:hAnsi="Arial" w:cs="Arial" w:eastAsia="Arial" w:hint="default"/>
        </w:rPr>
        <w:t>2008</w:t>
      </w:r>
      <w:r>
        <w:rPr/>
        <w:t>年度的合并利润表中包括南方固网业务的营业收入和运营成本及费用，</w:t>
      </w:r>
      <w:r>
        <w:rPr>
          <w:spacing w:val="-75"/>
        </w:rPr>
        <w:t> </w:t>
      </w:r>
      <w:r>
        <w:rPr>
          <w:spacing w:val="-75"/>
        </w:rPr>
      </w:r>
      <w:r>
        <w:rPr>
          <w:w w:val="95"/>
        </w:rPr>
        <w:t>但不包含南方固网业务固定电信网络资产的折旧及摊销费用约为人民币</w:t>
      </w:r>
      <w:r>
        <w:rPr>
          <w:rFonts w:ascii="Arial" w:hAnsi="Arial" w:cs="Arial" w:eastAsia="Arial" w:hint="default"/>
          <w:w w:val="95"/>
        </w:rPr>
        <w:t>43.25</w:t>
      </w:r>
      <w:r>
        <w:rPr>
          <w:w w:val="95"/>
        </w:rPr>
        <w:t>亿元，及因建造</w:t>
      </w:r>
      <w:r>
        <w:rPr>
          <w:spacing w:val="9"/>
          <w:w w:val="95"/>
        </w:rPr>
        <w:t> </w:t>
      </w:r>
      <w:r>
        <w:rPr>
          <w:spacing w:val="9"/>
          <w:w w:val="95"/>
        </w:rPr>
      </w:r>
      <w:r>
        <w:rPr>
          <w:spacing w:val="2"/>
        </w:rPr>
        <w:t>电信网络而借入的长期关联公司借款产生的财务费用未被资本化的部分约人民币</w:t>
      </w:r>
      <w:r>
        <w:rPr>
          <w:rFonts w:ascii="Arial" w:hAnsi="Arial" w:cs="Arial" w:eastAsia="Arial" w:hint="default"/>
          <w:spacing w:val="2"/>
        </w:rPr>
        <w:t>8.46</w:t>
      </w:r>
      <w:r>
        <w:rPr>
          <w:spacing w:val="2"/>
        </w:rPr>
        <w:t>亿元。</w:t>
      </w:r>
      <w:r>
        <w:rPr>
          <w:w w:val="99"/>
        </w:rPr>
        <w:t> </w:t>
      </w:r>
      <w:r>
        <w:rPr>
          <w:spacing w:val="2"/>
        </w:rPr>
        <w:t>另外，由于联通运营公司从</w:t>
      </w:r>
      <w:r>
        <w:rPr>
          <w:rFonts w:ascii="Arial" w:hAnsi="Arial" w:cs="Arial" w:eastAsia="Arial" w:hint="default"/>
          <w:spacing w:val="2"/>
        </w:rPr>
        <w:t>2009</w:t>
      </w:r>
      <w:r>
        <w:rPr>
          <w:spacing w:val="2"/>
        </w:rPr>
        <w:t>年</w:t>
      </w:r>
      <w:r>
        <w:rPr>
          <w:rFonts w:ascii="Arial" w:hAnsi="Arial" w:cs="Arial" w:eastAsia="Arial" w:hint="default"/>
          <w:spacing w:val="2"/>
        </w:rPr>
        <w:t>1</w:t>
      </w:r>
      <w:r>
        <w:rPr>
          <w:spacing w:val="2"/>
        </w:rPr>
        <w:t>月</w:t>
      </w:r>
      <w:r>
        <w:rPr>
          <w:rFonts w:ascii="Arial" w:hAnsi="Arial" w:cs="Arial" w:eastAsia="Arial" w:hint="default"/>
          <w:spacing w:val="2"/>
        </w:rPr>
        <w:t>31</w:t>
      </w:r>
      <w:r>
        <w:rPr>
          <w:spacing w:val="2"/>
        </w:rPr>
        <w:t>日开始向联通新时空租赁其拥有的南方固定电信网</w:t>
      </w:r>
      <w:r>
        <w:rPr>
          <w:spacing w:val="-97"/>
        </w:rPr>
        <w:t> </w:t>
      </w:r>
      <w:r>
        <w:rPr>
          <w:spacing w:val="-97"/>
        </w:rPr>
      </w:r>
      <w:r>
        <w:rPr>
          <w:spacing w:val="-1"/>
        </w:rPr>
        <w:t>络，本集团</w:t>
      </w:r>
      <w:r>
        <w:rPr>
          <w:rFonts w:ascii="Arial" w:hAnsi="Arial" w:cs="Arial" w:eastAsia="Arial" w:hint="default"/>
          <w:spacing w:val="-1"/>
        </w:rPr>
        <w:t>2009</w:t>
      </w:r>
      <w:r>
        <w:rPr>
          <w:spacing w:val="-1"/>
        </w:rPr>
        <w:t>年度的合并利润表中包含自</w:t>
      </w:r>
      <w:r>
        <w:rPr>
          <w:rFonts w:ascii="Arial" w:hAnsi="Arial" w:cs="Arial" w:eastAsia="Arial" w:hint="default"/>
          <w:spacing w:val="-1"/>
        </w:rPr>
        <w:t>2009</w:t>
      </w:r>
      <w:r>
        <w:rPr>
          <w:spacing w:val="-1"/>
        </w:rPr>
        <w:t>年</w:t>
      </w:r>
      <w:r>
        <w:rPr>
          <w:rFonts w:ascii="Arial" w:hAnsi="Arial" w:cs="Arial" w:eastAsia="Arial" w:hint="default"/>
          <w:spacing w:val="-1"/>
        </w:rPr>
        <w:t>1</w:t>
      </w:r>
      <w:r>
        <w:rPr>
          <w:spacing w:val="-1"/>
        </w:rPr>
        <w:t>月</w:t>
      </w:r>
      <w:r>
        <w:rPr>
          <w:rFonts w:ascii="Arial" w:hAnsi="Arial" w:cs="Arial" w:eastAsia="Arial" w:hint="default"/>
          <w:spacing w:val="-1"/>
        </w:rPr>
        <w:t>31</w:t>
      </w:r>
      <w:r>
        <w:rPr>
          <w:spacing w:val="-1"/>
        </w:rPr>
        <w:t>日至</w:t>
      </w: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日止期间支付予</w:t>
      </w:r>
      <w:r>
        <w:rPr>
          <w:spacing w:val="-100"/>
        </w:rPr>
        <w:t> </w:t>
      </w:r>
      <w:r>
        <w:rPr>
          <w:spacing w:val="-100"/>
        </w:rPr>
      </w:r>
      <w:r>
        <w:rPr/>
        <w:t>联通新时空的南方固定电信网络租赁费约人民币</w:t>
      </w:r>
      <w:r>
        <w:rPr>
          <w:rFonts w:ascii="Arial" w:hAnsi="Arial" w:cs="Arial" w:eastAsia="Arial" w:hint="default"/>
        </w:rPr>
        <w:t>20</w:t>
      </w:r>
      <w:r>
        <w:rPr/>
        <w:t>亿元，但是仍不包含收购完成日前，即从</w:t>
      </w:r>
      <w:r>
        <w:rPr>
          <w:spacing w:val="-54"/>
        </w:rPr>
        <w:t> </w:t>
      </w:r>
      <w:r>
        <w:rPr>
          <w:spacing w:val="-54"/>
        </w:rPr>
      </w:r>
      <w:r>
        <w:rPr>
          <w:rFonts w:ascii="Arial" w:hAnsi="Arial" w:cs="Arial" w:eastAsia="Arial" w:hint="default"/>
          <w:spacing w:val="2"/>
        </w:rPr>
        <w:t>2009</w:t>
      </w:r>
      <w:r>
        <w:rPr>
          <w:spacing w:val="2"/>
        </w:rPr>
        <w:t>年</w:t>
      </w:r>
      <w:r>
        <w:rPr>
          <w:rFonts w:ascii="Arial" w:hAnsi="Arial" w:cs="Arial" w:eastAsia="Arial" w:hint="default"/>
          <w:spacing w:val="2"/>
        </w:rPr>
        <w:t>1</w:t>
      </w:r>
      <w:r>
        <w:rPr>
          <w:spacing w:val="2"/>
        </w:rPr>
        <w:t>月</w:t>
      </w:r>
      <w:r>
        <w:rPr>
          <w:rFonts w:ascii="Arial" w:hAnsi="Arial" w:cs="Arial" w:eastAsia="Arial" w:hint="default"/>
          <w:spacing w:val="2"/>
        </w:rPr>
        <w:t>1</w:t>
      </w:r>
      <w:r>
        <w:rPr>
          <w:spacing w:val="2"/>
        </w:rPr>
        <w:t>日起至</w:t>
      </w:r>
      <w:r>
        <w:rPr>
          <w:rFonts w:ascii="Arial" w:hAnsi="Arial" w:cs="Arial" w:eastAsia="Arial" w:hint="default"/>
          <w:spacing w:val="2"/>
        </w:rPr>
        <w:t>2009</w:t>
      </w:r>
      <w:r>
        <w:rPr>
          <w:spacing w:val="2"/>
        </w:rPr>
        <w:t>年</w:t>
      </w:r>
      <w:r>
        <w:rPr>
          <w:rFonts w:ascii="Arial" w:hAnsi="Arial" w:cs="Arial" w:eastAsia="Arial" w:hint="default"/>
          <w:spacing w:val="2"/>
        </w:rPr>
        <w:t>1</w:t>
      </w:r>
      <w:r>
        <w:rPr>
          <w:spacing w:val="2"/>
        </w:rPr>
        <w:t>月</w:t>
      </w:r>
      <w:r>
        <w:rPr>
          <w:rFonts w:ascii="Arial" w:hAnsi="Arial" w:cs="Arial" w:eastAsia="Arial" w:hint="default"/>
          <w:spacing w:val="2"/>
        </w:rPr>
        <w:t>31</w:t>
      </w:r>
      <w:r>
        <w:rPr>
          <w:spacing w:val="2"/>
        </w:rPr>
        <w:t>日止</w:t>
      </w:r>
      <w:r>
        <w:rPr>
          <w:rFonts w:ascii="Arial" w:hAnsi="Arial" w:cs="Arial" w:eastAsia="Arial" w:hint="default"/>
          <w:spacing w:val="2"/>
        </w:rPr>
        <w:t>1</w:t>
      </w:r>
      <w:r>
        <w:rPr>
          <w:spacing w:val="2"/>
        </w:rPr>
        <w:t>个月期间的由联通新时空持有的南方固网业务的固定</w:t>
      </w:r>
      <w:r>
        <w:rPr>
          <w:spacing w:val="-89"/>
        </w:rPr>
        <w:t> </w:t>
      </w:r>
      <w:r>
        <w:rPr>
          <w:spacing w:val="-89"/>
        </w:rPr>
      </w:r>
      <w:r>
        <w:rPr>
          <w:spacing w:val="2"/>
        </w:rPr>
        <w:t>电信网络资产的折旧及摊销费用约人民币</w:t>
      </w:r>
      <w:r>
        <w:rPr>
          <w:rFonts w:ascii="Arial" w:hAnsi="Arial" w:cs="Arial" w:eastAsia="Arial" w:hint="default"/>
          <w:spacing w:val="2"/>
        </w:rPr>
        <w:t>3.08</w:t>
      </w:r>
      <w:r>
        <w:rPr>
          <w:spacing w:val="2"/>
        </w:rPr>
        <w:t>亿元和因建造电信网络而借入的长期关联公司</w:t>
      </w:r>
      <w:r>
        <w:rPr>
          <w:spacing w:val="-107"/>
        </w:rPr>
        <w:t> </w:t>
      </w:r>
      <w:r>
        <w:rPr>
          <w:spacing w:val="-107"/>
        </w:rPr>
      </w:r>
      <w:r>
        <w:rPr/>
        <w:t>借款产生的财务费用未被资本化的部分约人民币</w:t>
      </w:r>
      <w:r>
        <w:rPr>
          <w:rFonts w:ascii="Arial" w:hAnsi="Arial" w:cs="Arial" w:eastAsia="Arial" w:hint="default"/>
        </w:rPr>
        <w:t>0.26</w:t>
      </w:r>
      <w:r>
        <w:rPr/>
        <w:t>亿元。</w:t>
      </w:r>
    </w:p>
    <w:p>
      <w:pPr>
        <w:pStyle w:val="BodyText"/>
        <w:spacing w:line="240" w:lineRule="auto" w:before="186"/>
        <w:ind w:left="118" w:right="99"/>
        <w:jc w:val="left"/>
      </w:pPr>
      <w:r>
        <w:rPr>
          <w:rFonts w:ascii="Arial" w:hAnsi="Arial" w:cs="Arial" w:eastAsia="Arial" w:hint="default"/>
        </w:rPr>
        <w:t>(b) </w:t>
      </w:r>
      <w:r>
        <w:rPr>
          <w:rFonts w:ascii="Arial" w:hAnsi="Arial" w:cs="Arial" w:eastAsia="Arial" w:hint="default"/>
          <w:spacing w:val="28"/>
        </w:rPr>
        <w:t> </w:t>
      </w:r>
      <w:r>
        <w:rPr/>
        <w:t>终止经营业务</w:t>
      </w:r>
    </w:p>
    <w:p>
      <w:pPr>
        <w:spacing w:line="240" w:lineRule="auto" w:before="10"/>
        <w:rPr>
          <w:rFonts w:ascii="宋体" w:hAnsi="宋体" w:cs="宋体" w:eastAsia="宋体" w:hint="default"/>
          <w:sz w:val="15"/>
          <w:szCs w:val="15"/>
        </w:rPr>
      </w:pPr>
    </w:p>
    <w:p>
      <w:pPr>
        <w:pStyle w:val="BodyText"/>
        <w:spacing w:line="230" w:lineRule="auto"/>
        <w:ind w:left="538" w:right="208"/>
        <w:jc w:val="both"/>
      </w:pPr>
      <w:r>
        <w:rPr>
          <w:spacing w:val="-2"/>
        </w:rPr>
        <w:t>如附注一（</w:t>
      </w:r>
      <w:r>
        <w:rPr>
          <w:rFonts w:ascii="Arial" w:hAnsi="Arial" w:cs="Arial" w:eastAsia="Arial" w:hint="default"/>
          <w:spacing w:val="-2"/>
        </w:rPr>
        <w:t>2</w:t>
      </w:r>
      <w:r>
        <w:rPr>
          <w:spacing w:val="-2"/>
        </w:rPr>
        <w:t>）所述，按照</w:t>
      </w:r>
      <w:r>
        <w:rPr>
          <w:rFonts w:ascii="Arial" w:hAnsi="Arial" w:cs="Arial" w:eastAsia="Arial" w:hint="default"/>
          <w:spacing w:val="-2"/>
        </w:rPr>
        <w:t>2008</w:t>
      </w:r>
      <w:r>
        <w:rPr>
          <w:spacing w:val="-2"/>
        </w:rPr>
        <w:t>年</w:t>
      </w:r>
      <w:r>
        <w:rPr>
          <w:rFonts w:ascii="Arial" w:hAnsi="Arial" w:cs="Arial" w:eastAsia="Arial" w:hint="default"/>
          <w:spacing w:val="-2"/>
        </w:rPr>
        <w:t>6</w:t>
      </w:r>
      <w:r>
        <w:rPr>
          <w:spacing w:val="-2"/>
        </w:rPr>
        <w:t>月</w:t>
      </w:r>
      <w:r>
        <w:rPr>
          <w:rFonts w:ascii="Arial" w:hAnsi="Arial" w:cs="Arial" w:eastAsia="Arial" w:hint="default"/>
          <w:spacing w:val="-2"/>
        </w:rPr>
        <w:t>2</w:t>
      </w:r>
      <w:r>
        <w:rPr>
          <w:spacing w:val="-2"/>
        </w:rPr>
        <w:t>日订立的</w:t>
      </w:r>
      <w:r>
        <w:rPr>
          <w:rFonts w:ascii="Arial" w:hAnsi="Arial" w:cs="Arial" w:eastAsia="Arial" w:hint="default"/>
          <w:spacing w:val="-2"/>
        </w:rPr>
        <w:t>CDMA</w:t>
      </w:r>
      <w:r>
        <w:rPr>
          <w:spacing w:val="-2"/>
        </w:rPr>
        <w:t>出售框架协议，根据企业会计准则中关</w:t>
      </w:r>
      <w:r>
        <w:rPr>
          <w:w w:val="99"/>
        </w:rPr>
        <w:t> </w:t>
      </w:r>
      <w:r>
        <w:rPr>
          <w:spacing w:val="-2"/>
        </w:rPr>
        <w:t>于“终止经营”的规定，本集团于</w:t>
      </w:r>
      <w:r>
        <w:rPr>
          <w:rFonts w:ascii="Arial" w:hAnsi="Arial" w:cs="Arial" w:eastAsia="Arial" w:hint="default"/>
          <w:spacing w:val="-2"/>
        </w:rPr>
        <w:t>2008</w:t>
      </w:r>
      <w:r>
        <w:rPr>
          <w:spacing w:val="-2"/>
        </w:rPr>
        <w:t>年</w:t>
      </w:r>
      <w:r>
        <w:rPr>
          <w:rFonts w:ascii="Arial" w:hAnsi="Arial" w:cs="Arial" w:eastAsia="Arial" w:hint="default"/>
          <w:spacing w:val="-2"/>
        </w:rPr>
        <w:t>10</w:t>
      </w:r>
      <w:r>
        <w:rPr>
          <w:spacing w:val="-2"/>
        </w:rPr>
        <w:t>月</w:t>
      </w:r>
      <w:r>
        <w:rPr>
          <w:rFonts w:ascii="Arial" w:hAnsi="Arial" w:cs="Arial" w:eastAsia="Arial" w:hint="default"/>
          <w:spacing w:val="-2"/>
        </w:rPr>
        <w:t>1</w:t>
      </w:r>
      <w:r>
        <w:rPr>
          <w:spacing w:val="-2"/>
        </w:rPr>
        <w:t>日完成出售的</w:t>
      </w:r>
      <w:r>
        <w:rPr>
          <w:rFonts w:ascii="Arial" w:hAnsi="Arial" w:cs="Arial" w:eastAsia="Arial" w:hint="default"/>
          <w:spacing w:val="-2"/>
        </w:rPr>
        <w:t>CDMA</w:t>
      </w:r>
      <w:r>
        <w:rPr>
          <w:spacing w:val="-2"/>
        </w:rPr>
        <w:t>业务被确认为终止经营业</w:t>
      </w:r>
      <w:r>
        <w:rPr>
          <w:w w:val="99"/>
        </w:rPr>
        <w:t> </w:t>
      </w:r>
      <w:r>
        <w:rPr>
          <w:spacing w:val="2"/>
        </w:rPr>
        <w:t>务。对于终止经营业务的列报，因企业会计准则并未明确规定，为了分别体现持续经营业务</w:t>
      </w:r>
      <w:r>
        <w:rPr>
          <w:w w:val="99"/>
        </w:rPr>
        <w:t> </w:t>
      </w:r>
      <w:r>
        <w:rPr>
          <w:spacing w:val="-1"/>
        </w:rPr>
        <w:t>和终止经营业务的经营成果，提供更相关的财务信息，本集团参照了国际财务报告准则第</w:t>
      </w:r>
      <w:r>
        <w:rPr>
          <w:rFonts w:ascii="Arial" w:hAnsi="Arial" w:cs="Arial" w:eastAsia="Arial" w:hint="default"/>
          <w:spacing w:val="-1"/>
        </w:rPr>
        <w:t>5</w:t>
      </w:r>
      <w:r>
        <w:rPr>
          <w:spacing w:val="-1"/>
        </w:rPr>
        <w:t>号</w:t>
      </w:r>
    </w:p>
    <w:p>
      <w:pPr>
        <w:pStyle w:val="BodyText"/>
        <w:spacing w:line="225" w:lineRule="auto"/>
        <w:ind w:left="538" w:right="91"/>
        <w:jc w:val="left"/>
      </w:pPr>
      <w:r>
        <w:rPr>
          <w:spacing w:val="2"/>
        </w:rPr>
        <w:t>《待出售非流动资产及终止经营业务》对于终止经营业务列报的规定，将</w:t>
      </w:r>
      <w:r>
        <w:rPr>
          <w:rFonts w:ascii="Arial" w:hAnsi="Arial" w:cs="Arial" w:eastAsia="Arial" w:hint="default"/>
          <w:spacing w:val="2"/>
        </w:rPr>
        <w:t>CDMA</w:t>
      </w:r>
      <w:r>
        <w:rPr>
          <w:spacing w:val="2"/>
        </w:rPr>
        <w:t>业务的经营</w:t>
      </w:r>
      <w:r>
        <w:rPr>
          <w:spacing w:val="-106"/>
        </w:rPr>
        <w:t> </w:t>
      </w:r>
      <w:r>
        <w:rPr>
          <w:spacing w:val="-106"/>
        </w:rPr>
      </w:r>
      <w:r>
        <w:rPr>
          <w:spacing w:val="-2"/>
        </w:rPr>
        <w:t>成果及现金流量作为终止经营业务单独列示于本集团合并财务报表之可比期间（即</w:t>
      </w:r>
      <w:r>
        <w:rPr>
          <w:rFonts w:ascii="Arial" w:hAnsi="Arial" w:cs="Arial" w:eastAsia="Arial" w:hint="default"/>
          <w:spacing w:val="-2"/>
        </w:rPr>
        <w:t>2008</w:t>
      </w:r>
      <w:r>
        <w:rPr>
          <w:spacing w:val="-2"/>
        </w:rPr>
        <w:t>年度）</w:t>
      </w:r>
      <w:r>
        <w:rPr>
          <w:spacing w:val="-92"/>
        </w:rPr>
        <w:t> </w:t>
      </w:r>
      <w:r>
        <w:rPr/>
        <w:t>的合并利润表及现金流量表中。对终止经营的列报与本公司</w:t>
      </w:r>
      <w:r>
        <w:rPr>
          <w:rFonts w:ascii="Arial" w:hAnsi="Arial" w:cs="Arial" w:eastAsia="Arial" w:hint="default"/>
        </w:rPr>
        <w:t>2008</w:t>
      </w:r>
      <w:r>
        <w:rPr/>
        <w:t>年年度财务报表的列报是一</w:t>
      </w:r>
      <w:r>
        <w:rPr>
          <w:spacing w:val="-74"/>
        </w:rPr>
        <w:t> </w:t>
      </w:r>
      <w:r>
        <w:rPr>
          <w:spacing w:val="-74"/>
        </w:rPr>
      </w:r>
      <w:r>
        <w:rPr/>
        <w:t>致的。</w:t>
      </w:r>
    </w:p>
    <w:p>
      <w:pPr>
        <w:spacing w:line="240" w:lineRule="auto" w:before="2"/>
        <w:rPr>
          <w:rFonts w:ascii="宋体" w:hAnsi="宋体" w:cs="宋体" w:eastAsia="宋体" w:hint="default"/>
          <w:sz w:val="17"/>
          <w:szCs w:val="17"/>
        </w:rPr>
      </w:pPr>
    </w:p>
    <w:p>
      <w:pPr>
        <w:pStyle w:val="BodyText"/>
        <w:spacing w:line="240" w:lineRule="auto"/>
        <w:ind w:left="146" w:right="99"/>
        <w:jc w:val="left"/>
      </w:pPr>
      <w:r>
        <w:rPr>
          <w:rFonts w:ascii="Arial" w:hAnsi="Arial" w:cs="Arial" w:eastAsia="Arial" w:hint="default"/>
        </w:rPr>
        <w:t>(c) </w:t>
      </w:r>
      <w:r>
        <w:rPr>
          <w:rFonts w:ascii="Arial" w:hAnsi="Arial" w:cs="Arial" w:eastAsia="Arial" w:hint="default"/>
          <w:spacing w:val="10"/>
        </w:rPr>
        <w:t> </w:t>
      </w:r>
      <w:r>
        <w:rPr/>
        <w:t>合并报表</w:t>
      </w:r>
    </w:p>
    <w:p>
      <w:pPr>
        <w:spacing w:line="240" w:lineRule="auto" w:before="10"/>
        <w:rPr>
          <w:rFonts w:ascii="宋体" w:hAnsi="宋体" w:cs="宋体" w:eastAsia="宋体" w:hint="default"/>
          <w:sz w:val="18"/>
          <w:szCs w:val="18"/>
        </w:rPr>
      </w:pPr>
    </w:p>
    <w:p>
      <w:pPr>
        <w:pStyle w:val="BodyText"/>
        <w:spacing w:line="286" w:lineRule="exact"/>
        <w:ind w:left="538" w:right="206"/>
        <w:jc w:val="both"/>
      </w:pPr>
      <w:r>
        <w:rPr>
          <w:spacing w:val="2"/>
        </w:rPr>
        <w:t>如附注一（</w:t>
      </w:r>
      <w:r>
        <w:rPr>
          <w:rFonts w:ascii="Arial" w:hAnsi="Arial" w:cs="Arial" w:eastAsia="Arial" w:hint="default"/>
          <w:spacing w:val="2"/>
        </w:rPr>
        <w:t>3</w:t>
      </w:r>
      <w:r>
        <w:rPr>
          <w:spacing w:val="2"/>
        </w:rPr>
        <w:t>）所述，联通红筹公司与网通红筹公司于</w:t>
      </w:r>
      <w:r>
        <w:rPr>
          <w:rFonts w:ascii="Arial" w:hAnsi="Arial" w:cs="Arial" w:eastAsia="Arial" w:hint="default"/>
          <w:spacing w:val="2"/>
        </w:rPr>
        <w:t>2008</w:t>
      </w:r>
      <w:r>
        <w:rPr>
          <w:spacing w:val="2"/>
        </w:rPr>
        <w:t>年</w:t>
      </w:r>
      <w:r>
        <w:rPr>
          <w:rFonts w:ascii="Arial" w:hAnsi="Arial" w:cs="Arial" w:eastAsia="Arial" w:hint="default"/>
          <w:spacing w:val="2"/>
        </w:rPr>
        <w:t>10</w:t>
      </w:r>
      <w:r>
        <w:rPr>
          <w:spacing w:val="2"/>
        </w:rPr>
        <w:t>月</w:t>
      </w:r>
      <w:r>
        <w:rPr>
          <w:rFonts w:ascii="Arial" w:hAnsi="Arial" w:cs="Arial" w:eastAsia="Arial" w:hint="default"/>
          <w:spacing w:val="2"/>
        </w:rPr>
        <w:t>15</w:t>
      </w:r>
      <w:r>
        <w:rPr>
          <w:spacing w:val="2"/>
        </w:rPr>
        <w:t>日通过换股的形式完成</w:t>
      </w:r>
      <w:r>
        <w:rPr>
          <w:spacing w:val="2"/>
          <w:w w:val="99"/>
        </w:rPr>
        <w:t> </w:t>
      </w:r>
      <w:r>
        <w:rPr>
          <w:spacing w:val="2"/>
        </w:rPr>
        <w:t>合并后，本公司所属子公司联通</w:t>
      </w:r>
      <w:r>
        <w:rPr>
          <w:rFonts w:ascii="Arial" w:hAnsi="Arial" w:cs="Arial" w:eastAsia="Arial" w:hint="default"/>
          <w:spacing w:val="2"/>
        </w:rPr>
        <w:t>BVI</w:t>
      </w:r>
      <w:r>
        <w:rPr>
          <w:spacing w:val="2"/>
        </w:rPr>
        <w:t>公司对联通红筹公司的持股比例由合并前的</w:t>
      </w:r>
      <w:r>
        <w:rPr>
          <w:rFonts w:ascii="Arial" w:hAnsi="Arial" w:cs="Arial" w:eastAsia="Arial" w:hint="default"/>
          <w:spacing w:val="2"/>
        </w:rPr>
        <w:t>71.17%</w:t>
      </w:r>
      <w:r>
        <w:rPr>
          <w:spacing w:val="2"/>
        </w:rPr>
        <w:t>（于</w:t>
      </w:r>
      <w:r>
        <w:rPr>
          <w:spacing w:val="1"/>
          <w:w w:val="99"/>
        </w:rPr>
        <w:t> </w:t>
      </w:r>
      <w:r>
        <w:rPr>
          <w:rFonts w:ascii="Arial" w:hAnsi="Arial" w:cs="Arial" w:eastAsia="Arial" w:hint="default"/>
        </w:rPr>
        <w:t>2008</w:t>
      </w:r>
      <w:r>
        <w:rPr/>
        <w:t>年</w:t>
      </w:r>
      <w:r>
        <w:rPr>
          <w:rFonts w:ascii="Arial" w:hAnsi="Arial" w:cs="Arial" w:eastAsia="Arial" w:hint="default"/>
        </w:rPr>
        <w:t>9</w:t>
      </w:r>
      <w:r>
        <w:rPr/>
        <w:t>月</w:t>
      </w:r>
      <w:r>
        <w:rPr>
          <w:rFonts w:ascii="Arial" w:hAnsi="Arial" w:cs="Arial" w:eastAsia="Arial" w:hint="default"/>
        </w:rPr>
        <w:t>30</w:t>
      </w:r>
      <w:r>
        <w:rPr/>
        <w:t>日）下降为合并后的</w:t>
      </w:r>
      <w:r>
        <w:rPr>
          <w:rFonts w:ascii="Arial" w:hAnsi="Arial" w:cs="Arial" w:eastAsia="Arial" w:hint="default"/>
        </w:rPr>
        <w:t>40.92%</w:t>
      </w:r>
      <w:r>
        <w:rPr/>
        <w:t>。</w:t>
      </w:r>
    </w:p>
    <w:p>
      <w:pPr>
        <w:spacing w:after="0" w:line="286" w:lineRule="exact"/>
        <w:jc w:val="both"/>
        <w:sectPr>
          <w:headerReference w:type="default" r:id="rId38"/>
          <w:pgSz w:w="11910" w:h="16840"/>
          <w:pgMar w:header="967" w:footer="600" w:top="3360" w:bottom="780" w:left="1440" w:right="820"/>
        </w:sectPr>
      </w:pPr>
    </w:p>
    <w:p>
      <w:pPr>
        <w:spacing w:line="240" w:lineRule="auto" w:before="5"/>
        <w:rPr>
          <w:rFonts w:ascii="宋体" w:hAnsi="宋体" w:cs="宋体" w:eastAsia="宋体" w:hint="default"/>
          <w:sz w:val="8"/>
          <w:szCs w:val="8"/>
        </w:rPr>
      </w:pPr>
    </w:p>
    <w:p>
      <w:pPr>
        <w:pStyle w:val="BodyText"/>
        <w:spacing w:line="240" w:lineRule="auto" w:before="31"/>
        <w:ind w:left="146" w:right="99"/>
        <w:jc w:val="left"/>
      </w:pPr>
      <w:r>
        <w:rPr>
          <w:rFonts w:ascii="Arial" w:hAnsi="Arial" w:cs="Arial" w:eastAsia="Arial" w:hint="default"/>
        </w:rPr>
        <w:t>(c) </w:t>
      </w:r>
      <w:r>
        <w:rPr>
          <w:rFonts w:ascii="Arial" w:hAnsi="Arial" w:cs="Arial" w:eastAsia="Arial" w:hint="default"/>
          <w:spacing w:val="11"/>
        </w:rPr>
        <w:t> </w:t>
      </w:r>
      <w:r>
        <w:rPr/>
        <w:t>合并报表（续）</w:t>
      </w:r>
    </w:p>
    <w:p>
      <w:pPr>
        <w:pStyle w:val="BodyText"/>
        <w:spacing w:line="225" w:lineRule="auto" w:before="164"/>
        <w:ind w:left="538" w:right="208"/>
        <w:jc w:val="both"/>
      </w:pPr>
      <w:r>
        <w:rPr>
          <w:spacing w:val="-2"/>
        </w:rPr>
        <w:t>为确保联通</w:t>
      </w:r>
      <w:r>
        <w:rPr>
          <w:rFonts w:ascii="Arial" w:hAnsi="Arial" w:cs="Arial" w:eastAsia="Arial" w:hint="default"/>
          <w:spacing w:val="-2"/>
        </w:rPr>
        <w:t>BVI</w:t>
      </w:r>
      <w:r>
        <w:rPr>
          <w:spacing w:val="-2"/>
        </w:rPr>
        <w:t>公司对联通红筹公司的控制，联通</w:t>
      </w:r>
      <w:r>
        <w:rPr>
          <w:rFonts w:ascii="Arial" w:hAnsi="Arial" w:cs="Arial" w:eastAsia="Arial" w:hint="default"/>
          <w:spacing w:val="-2"/>
        </w:rPr>
        <w:t>BVI</w:t>
      </w:r>
      <w:r>
        <w:rPr>
          <w:spacing w:val="-2"/>
        </w:rPr>
        <w:t>公司和网通集团</w:t>
      </w:r>
      <w:r>
        <w:rPr>
          <w:rFonts w:ascii="Arial" w:hAnsi="Arial" w:cs="Arial" w:eastAsia="Arial" w:hint="default"/>
          <w:spacing w:val="-2"/>
        </w:rPr>
        <w:t>BVI</w:t>
      </w:r>
      <w:r>
        <w:rPr>
          <w:spacing w:val="-2"/>
        </w:rPr>
        <w:t>公司（联通红筹公司</w:t>
      </w:r>
      <w:r>
        <w:rPr>
          <w:w w:val="99"/>
        </w:rPr>
        <w:t> </w:t>
      </w:r>
      <w:r>
        <w:rPr/>
        <w:t>另一股东，于合并后持有联通红筹公司约</w:t>
      </w:r>
      <w:r>
        <w:rPr>
          <w:rFonts w:ascii="Arial" w:hAnsi="Arial" w:cs="Arial" w:eastAsia="Arial" w:hint="default"/>
        </w:rPr>
        <w:t>29.49%</w:t>
      </w:r>
      <w:r>
        <w:rPr/>
        <w:t>的股份）于</w:t>
      </w:r>
      <w:r>
        <w:rPr>
          <w:rFonts w:ascii="Arial" w:hAnsi="Arial" w:cs="Arial" w:eastAsia="Arial" w:hint="default"/>
        </w:rPr>
        <w:t>2008</w:t>
      </w:r>
      <w:r>
        <w:rPr/>
        <w:t>年</w:t>
      </w:r>
      <w:r>
        <w:rPr>
          <w:rFonts w:ascii="Arial" w:hAnsi="Arial" w:cs="Arial" w:eastAsia="Arial" w:hint="default"/>
        </w:rPr>
        <w:t>9</w:t>
      </w:r>
      <w:r>
        <w:rPr/>
        <w:t>月</w:t>
      </w:r>
      <w:r>
        <w:rPr>
          <w:rFonts w:ascii="Arial" w:hAnsi="Arial" w:cs="Arial" w:eastAsia="Arial" w:hint="default"/>
        </w:rPr>
        <w:t>22</w:t>
      </w:r>
      <w:r>
        <w:rPr/>
        <w:t>日签订了《一致行</w:t>
      </w:r>
      <w:r>
        <w:rPr>
          <w:spacing w:val="-91"/>
        </w:rPr>
        <w:t> </w:t>
      </w:r>
      <w:r>
        <w:rPr>
          <w:spacing w:val="-91"/>
        </w:rPr>
      </w:r>
      <w:r>
        <w:rPr>
          <w:spacing w:val="-1"/>
          <w:w w:val="95"/>
        </w:rPr>
        <w:t>动方协议》，同时网通集团</w:t>
      </w:r>
      <w:r>
        <w:rPr>
          <w:rFonts w:ascii="Arial" w:hAnsi="Arial" w:cs="Arial" w:eastAsia="Arial" w:hint="default"/>
          <w:spacing w:val="-1"/>
          <w:w w:val="95"/>
        </w:rPr>
        <w:t>BVI</w:t>
      </w:r>
      <w:r>
        <w:rPr>
          <w:spacing w:val="-1"/>
          <w:w w:val="95"/>
        </w:rPr>
        <w:t>公司还于</w:t>
      </w:r>
      <w:r>
        <w:rPr>
          <w:rFonts w:ascii="Arial" w:hAnsi="Arial" w:cs="Arial" w:eastAsia="Arial" w:hint="default"/>
          <w:spacing w:val="-1"/>
          <w:w w:val="95"/>
        </w:rPr>
        <w:t>2008</w:t>
      </w:r>
      <w:r>
        <w:rPr>
          <w:spacing w:val="-1"/>
          <w:w w:val="95"/>
        </w:rPr>
        <w:t>年</w:t>
      </w:r>
      <w:r>
        <w:rPr>
          <w:rFonts w:ascii="Arial" w:hAnsi="Arial" w:cs="Arial" w:eastAsia="Arial" w:hint="default"/>
          <w:spacing w:val="-1"/>
          <w:w w:val="95"/>
        </w:rPr>
        <w:t>10</w:t>
      </w:r>
      <w:r>
        <w:rPr>
          <w:spacing w:val="-1"/>
          <w:w w:val="95"/>
        </w:rPr>
        <w:t>月</w:t>
      </w:r>
      <w:r>
        <w:rPr>
          <w:rFonts w:ascii="Arial" w:hAnsi="Arial" w:cs="Arial" w:eastAsia="Arial" w:hint="default"/>
          <w:spacing w:val="-1"/>
          <w:w w:val="95"/>
        </w:rPr>
        <w:t>15</w:t>
      </w:r>
      <w:r>
        <w:rPr>
          <w:spacing w:val="-1"/>
          <w:w w:val="95"/>
        </w:rPr>
        <w:t>日向联通</w:t>
      </w:r>
      <w:r>
        <w:rPr>
          <w:rFonts w:ascii="Arial" w:hAnsi="Arial" w:cs="Arial" w:eastAsia="Arial" w:hint="default"/>
          <w:spacing w:val="-1"/>
          <w:w w:val="95"/>
        </w:rPr>
        <w:t>BVI</w:t>
      </w:r>
      <w:r>
        <w:rPr>
          <w:spacing w:val="-1"/>
          <w:w w:val="95"/>
        </w:rPr>
        <w:t>公司发出函件确认其持有</w:t>
      </w:r>
      <w:r>
        <w:rPr>
          <w:spacing w:val="14"/>
          <w:w w:val="95"/>
        </w:rPr>
        <w:t> </w:t>
      </w:r>
      <w:r>
        <w:rPr>
          <w:spacing w:val="14"/>
          <w:w w:val="95"/>
        </w:rPr>
      </w:r>
      <w:r>
        <w:rPr/>
        <w:t>的对联通红筹公司的表决权将由联通</w:t>
      </w:r>
      <w:r>
        <w:rPr>
          <w:rFonts w:ascii="Arial" w:hAnsi="Arial" w:cs="Arial" w:eastAsia="Arial" w:hint="default"/>
        </w:rPr>
        <w:t>BVI</w:t>
      </w:r>
      <w:r>
        <w:rPr/>
        <w:t>公司控制，并且未经联通</w:t>
      </w:r>
      <w:r>
        <w:rPr>
          <w:rFonts w:ascii="Arial" w:hAnsi="Arial" w:cs="Arial" w:eastAsia="Arial" w:hint="default"/>
        </w:rPr>
        <w:t>BVI</w:t>
      </w:r>
      <w:r>
        <w:rPr/>
        <w:t>公司的事先批准，网通</w:t>
      </w:r>
      <w:r>
        <w:rPr>
          <w:spacing w:val="-78"/>
        </w:rPr>
        <w:t> </w:t>
      </w:r>
      <w:r>
        <w:rPr>
          <w:spacing w:val="-78"/>
        </w:rPr>
      </w:r>
      <w:r>
        <w:rPr/>
        <w:t>集团</w:t>
      </w:r>
      <w:r>
        <w:rPr>
          <w:rFonts w:ascii="Arial" w:hAnsi="Arial" w:cs="Arial" w:eastAsia="Arial" w:hint="default"/>
        </w:rPr>
        <w:t>BVI</w:t>
      </w:r>
      <w:r>
        <w:rPr/>
        <w:t>公司将不会提呈任何决议，以供在任何联通红筹公司的股东大会上审议。</w:t>
      </w:r>
    </w:p>
    <w:p>
      <w:pPr>
        <w:spacing w:line="240" w:lineRule="auto" w:before="2"/>
        <w:rPr>
          <w:rFonts w:ascii="宋体" w:hAnsi="宋体" w:cs="宋体" w:eastAsia="宋体" w:hint="default"/>
          <w:sz w:val="19"/>
          <w:szCs w:val="19"/>
        </w:rPr>
      </w:pPr>
    </w:p>
    <w:p>
      <w:pPr>
        <w:pStyle w:val="BodyText"/>
        <w:spacing w:line="228" w:lineRule="auto"/>
        <w:ind w:left="537" w:right="170"/>
        <w:jc w:val="both"/>
      </w:pPr>
      <w:r>
        <w:rPr>
          <w:spacing w:val="2"/>
        </w:rPr>
        <w:t>因此，根据上述《一致行动方协议》和确认函件，在联通红筹公司和网通红筹公司合并完成</w:t>
      </w:r>
      <w:r>
        <w:rPr>
          <w:w w:val="99"/>
        </w:rPr>
        <w:t> </w:t>
      </w:r>
      <w:r>
        <w:rPr/>
        <w:t>后，本公司通过联通</w:t>
      </w:r>
      <w:r>
        <w:rPr>
          <w:rFonts w:ascii="Arial" w:hAnsi="Arial" w:cs="Arial" w:eastAsia="Arial" w:hint="default"/>
        </w:rPr>
        <w:t>BVI</w:t>
      </w:r>
      <w:r>
        <w:rPr/>
        <w:t>公司实际控制了联通红筹公司约</w:t>
      </w:r>
      <w:r>
        <w:rPr>
          <w:rFonts w:ascii="Arial" w:hAnsi="Arial" w:cs="Arial" w:eastAsia="Arial" w:hint="default"/>
        </w:rPr>
        <w:t>70.41%</w:t>
      </w:r>
      <w:r>
        <w:rPr/>
        <w:t>表决权股份。此外，于</w:t>
      </w:r>
      <w:r>
        <w:rPr>
          <w:rFonts w:ascii="Arial" w:hAnsi="Arial" w:cs="Arial" w:eastAsia="Arial" w:hint="default"/>
        </w:rPr>
        <w:t>2009</w:t>
      </w:r>
      <w:r>
        <w:rPr>
          <w:rFonts w:ascii="Arial" w:hAnsi="Arial" w:cs="Arial" w:eastAsia="Arial" w:hint="default"/>
          <w:spacing w:val="-32"/>
        </w:rPr>
        <w:t> </w:t>
      </w:r>
      <w:r>
        <w:rPr/>
        <w:t>年度，联通红筹公司与西班牙电信互相投资（详见附注一</w:t>
      </w:r>
      <w:r>
        <w:rPr>
          <w:rFonts w:ascii="Arial" w:hAnsi="Arial" w:cs="Arial" w:eastAsia="Arial" w:hint="default"/>
        </w:rPr>
        <w:t>(7)</w:t>
      </w:r>
      <w:r>
        <w:rPr/>
        <w:t>）和回购</w:t>
      </w:r>
      <w:r>
        <w:rPr>
          <w:rFonts w:ascii="Arial" w:hAnsi="Arial" w:cs="Arial" w:eastAsia="Arial" w:hint="default"/>
        </w:rPr>
        <w:t>SKT</w:t>
      </w:r>
      <w:r>
        <w:rPr/>
        <w:t>持有的联通红筹公</w:t>
      </w:r>
      <w:r>
        <w:rPr>
          <w:spacing w:val="-68"/>
        </w:rPr>
        <w:t> </w:t>
      </w:r>
      <w:r>
        <w:rPr>
          <w:spacing w:val="-68"/>
        </w:rPr>
      </w:r>
      <w:r>
        <w:rPr/>
        <w:t>司股份（详见附注一</w:t>
      </w:r>
      <w:r>
        <w:rPr>
          <w:rFonts w:ascii="Arial" w:hAnsi="Arial" w:cs="Arial" w:eastAsia="Arial" w:hint="default"/>
        </w:rPr>
        <w:t>(8)</w:t>
      </w:r>
      <w:r>
        <w:rPr/>
        <w:t>）的交易使联通</w:t>
      </w:r>
      <w:r>
        <w:rPr>
          <w:rFonts w:ascii="Arial" w:hAnsi="Arial" w:cs="Arial" w:eastAsia="Arial" w:hint="default"/>
        </w:rPr>
        <w:t>BVI</w:t>
      </w:r>
      <w:r>
        <w:rPr/>
        <w:t>公司和网通集团</w:t>
      </w:r>
      <w:r>
        <w:rPr>
          <w:rFonts w:ascii="Arial" w:hAnsi="Arial" w:cs="Arial" w:eastAsia="Arial" w:hint="default"/>
        </w:rPr>
        <w:t>BVI</w:t>
      </w:r>
      <w:r>
        <w:rPr/>
        <w:t>公司对联通红筹公司的持股比</w:t>
      </w:r>
      <w:r>
        <w:rPr>
          <w:w w:val="99"/>
        </w:rPr>
        <w:t> </w:t>
      </w:r>
      <w:r>
        <w:rPr/>
        <w:t>例发生变化，于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日，联通</w:t>
      </w:r>
      <w:r>
        <w:rPr>
          <w:rFonts w:ascii="Arial" w:hAnsi="Arial" w:cs="Arial" w:eastAsia="Arial" w:hint="default"/>
        </w:rPr>
        <w:t>BVI</w:t>
      </w:r>
      <w:r>
        <w:rPr/>
        <w:t>公司实际控制了联通红筹公司约</w:t>
      </w:r>
      <w:r>
        <w:rPr>
          <w:rFonts w:ascii="Arial" w:hAnsi="Arial" w:cs="Arial" w:eastAsia="Arial" w:hint="default"/>
        </w:rPr>
        <w:t>71.02%</w:t>
      </w:r>
      <w:r>
        <w:rPr/>
        <w:t>表决权股</w:t>
      </w:r>
      <w:r>
        <w:rPr>
          <w:w w:val="99"/>
        </w:rPr>
        <w:t> </w:t>
      </w:r>
      <w:r>
        <w:rPr/>
        <w:t>份（其中联通</w:t>
      </w:r>
      <w:r>
        <w:rPr>
          <w:rFonts w:ascii="Arial" w:hAnsi="Arial" w:cs="Arial" w:eastAsia="Arial" w:hint="default"/>
        </w:rPr>
        <w:t>BVI</w:t>
      </w:r>
      <w:r>
        <w:rPr/>
        <w:t>公司的持股比例为</w:t>
      </w:r>
      <w:r>
        <w:rPr>
          <w:rFonts w:ascii="Arial" w:hAnsi="Arial" w:cs="Arial" w:eastAsia="Arial" w:hint="default"/>
        </w:rPr>
        <w:t>41.27%</w:t>
      </w:r>
      <w:r>
        <w:rPr/>
        <w:t>，网通集团</w:t>
      </w:r>
      <w:r>
        <w:rPr>
          <w:rFonts w:ascii="Arial" w:hAnsi="Arial" w:cs="Arial" w:eastAsia="Arial" w:hint="default"/>
        </w:rPr>
        <w:t>BVI</w:t>
      </w:r>
      <w:r>
        <w:rPr/>
        <w:t>公司的持股比例为</w:t>
      </w:r>
      <w:r>
        <w:rPr>
          <w:rFonts w:ascii="Arial" w:hAnsi="Arial" w:cs="Arial" w:eastAsia="Arial" w:hint="default"/>
        </w:rPr>
        <w:t>29.75%</w:t>
      </w:r>
      <w:r>
        <w:rPr/>
        <w:t>），故</w:t>
      </w:r>
      <w:r>
        <w:rPr>
          <w:spacing w:val="-42"/>
        </w:rPr>
        <w:t> </w:t>
      </w:r>
      <w:r>
        <w:rPr>
          <w:spacing w:val="-42"/>
        </w:rPr>
      </w:r>
      <w:r>
        <w:rPr/>
        <w:t>联通</w:t>
      </w:r>
      <w:r>
        <w:rPr>
          <w:rFonts w:ascii="Arial" w:hAnsi="Arial" w:cs="Arial" w:eastAsia="Arial" w:hint="default"/>
        </w:rPr>
        <w:t>BVI</w:t>
      </w:r>
      <w:r>
        <w:rPr/>
        <w:t>公司仍控制联通红筹公司，联通红筹公司亦继续被纳入本公司的合并财务报表范围。</w:t>
      </w:r>
    </w:p>
    <w:p>
      <w:pPr>
        <w:pStyle w:val="BodyText"/>
        <w:spacing w:line="240" w:lineRule="auto" w:before="185"/>
        <w:ind w:left="118" w:right="99"/>
        <w:jc w:val="left"/>
      </w:pPr>
      <w:r>
        <w:rPr>
          <w:rFonts w:ascii="Arial" w:hAnsi="Arial" w:cs="Arial" w:eastAsia="Arial" w:hint="default"/>
        </w:rPr>
        <w:t>(d) </w:t>
      </w:r>
      <w:r>
        <w:rPr>
          <w:rFonts w:ascii="Arial" w:hAnsi="Arial" w:cs="Arial" w:eastAsia="Arial" w:hint="default"/>
          <w:spacing w:val="26"/>
        </w:rPr>
        <w:t> </w:t>
      </w:r>
      <w:r>
        <w:rPr/>
        <w:t>持续经营</w:t>
      </w:r>
    </w:p>
    <w:p>
      <w:pPr>
        <w:pStyle w:val="BodyText"/>
        <w:spacing w:line="286" w:lineRule="exact" w:before="177"/>
        <w:ind w:left="539" w:right="98" w:hanging="1"/>
        <w:jc w:val="both"/>
      </w:pPr>
      <w:r>
        <w:rPr>
          <w:spacing w:val="-2"/>
        </w:rPr>
        <w:t>于</w:t>
      </w:r>
      <w:r>
        <w:rPr>
          <w:rFonts w:ascii="Arial" w:hAnsi="Arial" w:cs="Arial" w:eastAsia="Arial" w:hint="default"/>
          <w:spacing w:val="-2"/>
        </w:rPr>
        <w:t>2009</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日，本集团的流动负债超出流动资产约人民币</w:t>
      </w:r>
      <w:r>
        <w:rPr>
          <w:rFonts w:ascii="Arial" w:hAnsi="Arial" w:cs="Arial" w:eastAsia="Arial" w:hint="default"/>
          <w:spacing w:val="-2"/>
        </w:rPr>
        <w:t>1,689</w:t>
      </w:r>
      <w:r>
        <w:rPr>
          <w:spacing w:val="-2"/>
        </w:rPr>
        <w:t>亿元（</w:t>
      </w:r>
      <w:r>
        <w:rPr>
          <w:rFonts w:ascii="Arial" w:hAnsi="Arial" w:cs="Arial" w:eastAsia="Arial" w:hint="default"/>
          <w:spacing w:val="-2"/>
        </w:rPr>
        <w:t>2008</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w:t>
      </w:r>
      <w:r>
        <w:rPr>
          <w:w w:val="99"/>
        </w:rPr>
        <w:t> </w:t>
      </w:r>
      <w:r>
        <w:rPr>
          <w:spacing w:val="-4"/>
        </w:rPr>
        <w:t>约人民币</w:t>
      </w:r>
      <w:r>
        <w:rPr>
          <w:rFonts w:ascii="Arial" w:hAnsi="Arial" w:cs="Arial" w:eastAsia="Arial" w:hint="default"/>
          <w:spacing w:val="-4"/>
        </w:rPr>
        <w:t>896</w:t>
      </w:r>
      <w:r>
        <w:rPr>
          <w:spacing w:val="-4"/>
        </w:rPr>
        <w:t>亿元）。考虑到当前全球经济环境，以及本集团在可预见的将来预计的资本支出，</w:t>
      </w:r>
      <w:r>
        <w:rPr>
          <w:spacing w:val="-106"/>
        </w:rPr>
        <w:t> </w:t>
      </w:r>
      <w:r>
        <w:rPr>
          <w:spacing w:val="-106"/>
        </w:rPr>
      </w:r>
      <w:r>
        <w:rPr/>
        <w:t>管理层综合考虑了本集团如下可获得的资金来源。</w:t>
      </w:r>
    </w:p>
    <w:p>
      <w:pPr>
        <w:pStyle w:val="BodyText"/>
        <w:spacing w:line="295" w:lineRule="exact" w:before="155"/>
        <w:ind w:left="566" w:right="0"/>
        <w:jc w:val="both"/>
      </w:pPr>
      <w:r>
        <w:rPr>
          <w:rFonts w:ascii="Symbol" w:hAnsi="Symbol" w:cs="Symbol" w:eastAsia="Symbol" w:hint="default"/>
        </w:rPr>
        <w:t></w:t>
      </w:r>
      <w:r>
        <w:rPr>
          <w:rFonts w:ascii="Times New Roman" w:hAnsi="Times New Roman" w:cs="Times New Roman" w:eastAsia="Times New Roman" w:hint="default"/>
        </w:rPr>
      </w:r>
      <w:r>
        <w:rPr/>
        <w:t>本集团从经营活动中持续取得的净现金流入；</w:t>
      </w:r>
    </w:p>
    <w:p>
      <w:pPr>
        <w:pStyle w:val="BodyText"/>
        <w:tabs>
          <w:tab w:pos="944" w:val="left" w:leader="none"/>
        </w:tabs>
        <w:spacing w:line="284" w:lineRule="exact" w:before="20"/>
        <w:ind w:left="958" w:right="208" w:hanging="393"/>
        <w:jc w:val="left"/>
      </w:pPr>
      <w:r>
        <w:rPr>
          <w:rFonts w:ascii="Symbol" w:hAnsi="Symbol" w:cs="Symbol" w:eastAsia="Symbol" w:hint="default"/>
          <w:w w:val="95"/>
        </w:rPr>
        <w:t></w:t>
      </w:r>
      <w:r>
        <w:rPr>
          <w:rFonts w:ascii="Times New Roman" w:hAnsi="Times New Roman" w:cs="Times New Roman" w:eastAsia="Times New Roman" w:hint="default"/>
          <w:w w:val="95"/>
        </w:rPr>
        <w:tab/>
      </w:r>
      <w:r>
        <w:rPr/>
        <w:t>考虑到本集团获取的银行机构授予的循环信用额度总额约为人民币</w:t>
      </w:r>
      <w:r>
        <w:rPr>
          <w:rFonts w:ascii="Arial" w:hAnsi="Arial" w:cs="Arial" w:eastAsia="Arial" w:hint="default"/>
        </w:rPr>
        <w:t>1,133</w:t>
      </w:r>
      <w:r>
        <w:rPr/>
        <w:t>亿元及未使用的</w:t>
      </w:r>
      <w:r>
        <w:rPr>
          <w:spacing w:val="-105"/>
        </w:rPr>
        <w:t> </w:t>
      </w:r>
      <w:r>
        <w:rPr>
          <w:spacing w:val="-105"/>
        </w:rPr>
      </w:r>
      <w:r>
        <w:rPr/>
        <w:t>额度约人民币</w:t>
      </w:r>
      <w:r>
        <w:rPr>
          <w:rFonts w:ascii="Arial" w:hAnsi="Arial" w:cs="Arial" w:eastAsia="Arial" w:hint="default"/>
        </w:rPr>
        <w:t>588</w:t>
      </w:r>
      <w:r>
        <w:rPr/>
        <w:t>亿元；及</w:t>
      </w:r>
    </w:p>
    <w:p>
      <w:pPr>
        <w:pStyle w:val="BodyText"/>
        <w:spacing w:line="277" w:lineRule="exact"/>
        <w:ind w:left="566" w:right="0"/>
        <w:jc w:val="both"/>
      </w:pPr>
      <w:r>
        <w:rPr>
          <w:rFonts w:ascii="Symbol" w:hAnsi="Symbol" w:cs="Symbol" w:eastAsia="Symbol" w:hint="default"/>
        </w:rPr>
        <w:t></w:t>
      </w:r>
      <w:r>
        <w:rPr>
          <w:rFonts w:ascii="Symbol" w:hAnsi="Symbol" w:cs="Symbol" w:eastAsia="Symbol" w:hint="default"/>
          <w:spacing w:val="54"/>
        </w:rPr>
        <w:t></w:t>
      </w:r>
      <w:r>
        <w:rPr>
          <w:rFonts w:ascii="Times New Roman" w:hAnsi="Times New Roman" w:cs="Times New Roman" w:eastAsia="Times New Roman" w:hint="default"/>
          <w:spacing w:val="54"/>
        </w:rPr>
      </w:r>
      <w:r>
        <w:rPr/>
        <w:t>考虑到本集团的信贷记录，从国内银行和其他金融机构获得的其他融资渠道。</w:t>
      </w:r>
    </w:p>
    <w:p>
      <w:pPr>
        <w:pStyle w:val="BodyText"/>
        <w:spacing w:line="286" w:lineRule="exact" w:before="192"/>
        <w:ind w:left="566" w:right="205"/>
        <w:jc w:val="both"/>
      </w:pPr>
      <w:r>
        <w:rPr/>
        <w:t>此外，本集团将继续优化融资战略，兼顾短、中、长期资金需求，考虑利用当前资本市场机</w:t>
      </w:r>
      <w:r>
        <w:rPr>
          <w:spacing w:val="-55"/>
        </w:rPr>
        <w:t> </w:t>
      </w:r>
      <w:r>
        <w:rPr>
          <w:spacing w:val="-55"/>
        </w:rPr>
      </w:r>
      <w:r>
        <w:rPr/>
        <w:t>会，通过发行中长期债券锁定较低的融资成本。</w:t>
      </w:r>
    </w:p>
    <w:p>
      <w:pPr>
        <w:pStyle w:val="BodyText"/>
        <w:spacing w:line="287" w:lineRule="exact" w:before="155"/>
        <w:ind w:left="566" w:right="0"/>
        <w:jc w:val="both"/>
      </w:pPr>
      <w:r>
        <w:rPr/>
        <w:t>基于以上考虑，董事会认为本集团有足够的资金以满足营运资金和偿债所需。因此，本集团</w:t>
      </w:r>
    </w:p>
    <w:p>
      <w:pPr>
        <w:pStyle w:val="BodyText"/>
        <w:spacing w:line="302" w:lineRule="exact"/>
        <w:ind w:left="566" w:right="0"/>
        <w:jc w:val="both"/>
      </w:pPr>
      <w:r>
        <w:rPr>
          <w:rFonts w:ascii="Arial" w:hAnsi="Arial" w:cs="Arial" w:eastAsia="Arial" w:hint="default"/>
        </w:rPr>
        <w:t>2009</w:t>
      </w:r>
      <w:r>
        <w:rPr/>
        <w:t>年度的财务报表仍按持续经营基础编制。</w:t>
      </w:r>
    </w:p>
    <w:p>
      <w:pPr>
        <w:pStyle w:val="BodyText"/>
        <w:spacing w:line="470" w:lineRule="atLeast"/>
        <w:ind w:left="538" w:right="99" w:hanging="420"/>
        <w:jc w:val="left"/>
      </w:pPr>
      <w:r>
        <w:rPr>
          <w:rFonts w:ascii="Arial" w:hAnsi="Arial" w:cs="Arial" w:eastAsia="Arial" w:hint="default"/>
        </w:rPr>
        <w:t>2</w:t>
      </w:r>
      <w:r>
        <w:rPr>
          <w:rFonts w:ascii="黑体" w:hAnsi="黑体" w:cs="黑体" w:eastAsia="黑体" w:hint="default"/>
        </w:rPr>
        <w:t>、</w:t>
      </w:r>
      <w:r>
        <w:rPr>
          <w:rFonts w:ascii="黑体" w:hAnsi="黑体" w:cs="黑体" w:eastAsia="黑体" w:hint="default"/>
          <w:spacing w:val="-33"/>
        </w:rPr>
        <w:t> </w:t>
      </w:r>
      <w:r>
        <w:rPr/>
        <w:t>遵循企业会计准则的声明</w:t>
      </w:r>
      <w:r>
        <w:rPr>
          <w:w w:val="99"/>
        </w:rPr>
        <w:t> </w:t>
      </w:r>
      <w:r>
        <w:rPr>
          <w:spacing w:val="-1"/>
        </w:rPr>
        <w:t>本公司</w:t>
      </w:r>
      <w:r>
        <w:rPr>
          <w:rFonts w:ascii="Arial" w:hAnsi="Arial" w:cs="Arial" w:eastAsia="Arial" w:hint="default"/>
          <w:spacing w:val="-1"/>
        </w:rPr>
        <w:t>2009</w:t>
      </w:r>
      <w:r>
        <w:rPr>
          <w:spacing w:val="-1"/>
        </w:rPr>
        <w:t>年度财务报表符合企业会计准则的要求，真实、完整地反映了本公司</w:t>
      </w:r>
      <w:r>
        <w:rPr>
          <w:rFonts w:ascii="Arial" w:hAnsi="Arial" w:cs="Arial" w:eastAsia="Arial" w:hint="default"/>
          <w:spacing w:val="-1"/>
        </w:rPr>
        <w:t>2009</w:t>
      </w:r>
      <w:r>
        <w:rPr>
          <w:spacing w:val="-1"/>
        </w:rPr>
        <w:t>年</w:t>
      </w:r>
      <w:r>
        <w:rPr>
          <w:rFonts w:ascii="Arial" w:hAnsi="Arial" w:cs="Arial" w:eastAsia="Arial" w:hint="default"/>
          <w:spacing w:val="-1"/>
        </w:rPr>
        <w:t>12</w:t>
      </w:r>
      <w:r>
        <w:rPr>
          <w:spacing w:val="-1"/>
        </w:rPr>
        <w:t>月</w:t>
      </w:r>
    </w:p>
    <w:p>
      <w:pPr>
        <w:pStyle w:val="BodyText"/>
        <w:spacing w:line="285" w:lineRule="exact"/>
        <w:ind w:left="538" w:right="0"/>
        <w:jc w:val="both"/>
      </w:pPr>
      <w:r>
        <w:rPr>
          <w:rFonts w:ascii="Arial" w:hAnsi="Arial" w:cs="Arial" w:eastAsia="Arial" w:hint="default"/>
        </w:rPr>
        <w:t>31</w:t>
      </w:r>
      <w:r>
        <w:rPr/>
        <w:t>日的合并及公司财务状况以及</w:t>
      </w:r>
      <w:r>
        <w:rPr>
          <w:rFonts w:ascii="Arial" w:hAnsi="Arial" w:cs="Arial" w:eastAsia="Arial" w:hint="default"/>
        </w:rPr>
        <w:t>2009</w:t>
      </w:r>
      <w:r>
        <w:rPr/>
        <w:t>年度的合并及公司经营成果和现金流量等有关信息。</w:t>
      </w:r>
    </w:p>
    <w:p>
      <w:pPr>
        <w:spacing w:line="240" w:lineRule="auto" w:before="2"/>
        <w:rPr>
          <w:rFonts w:ascii="宋体" w:hAnsi="宋体" w:cs="宋体" w:eastAsia="宋体" w:hint="default"/>
          <w:sz w:val="16"/>
          <w:szCs w:val="16"/>
        </w:rPr>
      </w:pPr>
    </w:p>
    <w:p>
      <w:pPr>
        <w:pStyle w:val="BodyText"/>
        <w:spacing w:line="240" w:lineRule="auto"/>
        <w:ind w:left="118" w:right="99"/>
        <w:jc w:val="left"/>
      </w:pPr>
      <w:r>
        <w:rPr>
          <w:rFonts w:ascii="Arial" w:hAnsi="Arial" w:cs="Arial" w:eastAsia="Arial" w:hint="default"/>
        </w:rPr>
        <w:t>3</w:t>
      </w:r>
      <w:r>
        <w:rPr>
          <w:rFonts w:ascii="黑体" w:hAnsi="黑体" w:cs="黑体" w:eastAsia="黑体" w:hint="default"/>
        </w:rPr>
        <w:t>、</w:t>
      </w:r>
      <w:r>
        <w:rPr>
          <w:rFonts w:ascii="黑体" w:hAnsi="黑体" w:cs="黑体" w:eastAsia="黑体" w:hint="default"/>
          <w:spacing w:val="-36"/>
        </w:rPr>
        <w:t> </w:t>
      </w:r>
      <w:r>
        <w:rPr/>
        <w:t>会计年度</w:t>
      </w:r>
    </w:p>
    <w:p>
      <w:pPr>
        <w:pStyle w:val="BodyText"/>
        <w:spacing w:line="240" w:lineRule="auto" w:before="165"/>
        <w:ind w:left="538" w:right="0"/>
        <w:jc w:val="both"/>
      </w:pPr>
      <w:r>
        <w:rPr/>
        <w:t>会计年度为公历</w:t>
      </w:r>
      <w:r>
        <w:rPr>
          <w:rFonts w:ascii="Arial" w:hAnsi="Arial" w:cs="Arial" w:eastAsia="Arial" w:hint="default"/>
        </w:rPr>
        <w:t>1</w:t>
      </w:r>
      <w:r>
        <w:rPr/>
        <w:t>月</w:t>
      </w:r>
      <w:r>
        <w:rPr>
          <w:rFonts w:ascii="Arial" w:hAnsi="Arial" w:cs="Arial" w:eastAsia="Arial" w:hint="default"/>
        </w:rPr>
        <w:t>1</w:t>
      </w:r>
      <w:r>
        <w:rPr/>
        <w:t>日起至</w:t>
      </w:r>
      <w:r>
        <w:rPr>
          <w:rFonts w:ascii="Arial" w:hAnsi="Arial" w:cs="Arial" w:eastAsia="Arial" w:hint="default"/>
        </w:rPr>
        <w:t>12</w:t>
      </w:r>
      <w:r>
        <w:rPr/>
        <w:t>月</w:t>
      </w:r>
      <w:r>
        <w:rPr>
          <w:rFonts w:ascii="Arial" w:hAnsi="Arial" w:cs="Arial" w:eastAsia="Arial" w:hint="default"/>
        </w:rPr>
        <w:t>31</w:t>
      </w:r>
      <w:r>
        <w:rPr/>
        <w:t>日止。</w:t>
      </w:r>
    </w:p>
    <w:p>
      <w:pPr>
        <w:pStyle w:val="BodyText"/>
        <w:spacing w:line="372" w:lineRule="auto" w:before="165"/>
        <w:ind w:left="538" w:right="3806" w:hanging="420"/>
        <w:jc w:val="left"/>
      </w:pPr>
      <w:r>
        <w:rPr>
          <w:rFonts w:ascii="Arial" w:hAnsi="Arial" w:cs="Arial" w:eastAsia="Arial" w:hint="default"/>
        </w:rPr>
        <w:t>4</w:t>
      </w:r>
      <w:r>
        <w:rPr/>
        <w:t>、</w:t>
      </w:r>
      <w:r>
        <w:rPr>
          <w:spacing w:val="-33"/>
        </w:rPr>
        <w:t> </w:t>
      </w:r>
      <w:r>
        <w:rPr/>
        <w:t>记账本位币</w:t>
      </w:r>
      <w:r>
        <w:rPr>
          <w:w w:val="99"/>
        </w:rPr>
        <w:t> </w:t>
      </w:r>
      <w:r>
        <w:rPr/>
        <w:t>本集团除个别境外子公司外，以人民币为记账本位币。</w:t>
      </w:r>
    </w:p>
    <w:p>
      <w:pPr>
        <w:spacing w:after="0" w:line="372" w:lineRule="auto"/>
        <w:jc w:val="left"/>
        <w:sectPr>
          <w:headerReference w:type="default" r:id="rId39"/>
          <w:pgSz w:w="11910" w:h="16840"/>
          <w:pgMar w:header="967" w:footer="600" w:top="3360" w:bottom="780" w:left="1440" w:right="820"/>
        </w:sectPr>
      </w:pPr>
    </w:p>
    <w:p>
      <w:pPr>
        <w:spacing w:line="240" w:lineRule="auto" w:before="0"/>
        <w:rPr>
          <w:rFonts w:ascii="宋体" w:hAnsi="宋体" w:cs="宋体" w:eastAsia="宋体" w:hint="default"/>
          <w:sz w:val="15"/>
          <w:szCs w:val="15"/>
        </w:rPr>
      </w:pPr>
    </w:p>
    <w:p>
      <w:pPr>
        <w:pStyle w:val="BodyText"/>
        <w:spacing w:line="240" w:lineRule="auto" w:before="31"/>
        <w:ind w:left="138" w:right="702"/>
        <w:jc w:val="left"/>
      </w:pPr>
      <w:r>
        <w:rPr>
          <w:rFonts w:ascii="Arial" w:hAnsi="Arial" w:cs="Arial" w:eastAsia="Arial" w:hint="default"/>
        </w:rPr>
        <w:t>5</w:t>
      </w:r>
      <w:r>
        <w:rPr/>
        <w:t>、</w:t>
      </w:r>
      <w:r>
        <w:rPr>
          <w:spacing w:val="-36"/>
        </w:rPr>
        <w:t> </w:t>
      </w:r>
      <w:r>
        <w:rPr/>
        <w:t>企业合并</w:t>
      </w:r>
    </w:p>
    <w:p>
      <w:pPr>
        <w:pStyle w:val="BodyText"/>
        <w:spacing w:line="240" w:lineRule="auto" w:before="165"/>
        <w:ind w:left="138" w:right="702"/>
        <w:jc w:val="left"/>
      </w:pPr>
      <w:r>
        <w:rPr>
          <w:rFonts w:ascii="Arial" w:hAnsi="Arial" w:cs="Arial" w:eastAsia="Arial" w:hint="default"/>
        </w:rPr>
        <w:t>(a) </w:t>
      </w:r>
      <w:r>
        <w:rPr>
          <w:rFonts w:ascii="Arial" w:hAnsi="Arial" w:cs="Arial" w:eastAsia="Arial" w:hint="default"/>
          <w:spacing w:val="27"/>
        </w:rPr>
        <w:t> </w:t>
      </w:r>
      <w:r>
        <w:rPr/>
        <w:t>同一控制下的企业合并</w:t>
      </w:r>
    </w:p>
    <w:p>
      <w:pPr>
        <w:pStyle w:val="BodyText"/>
        <w:spacing w:line="237" w:lineRule="auto" w:before="168"/>
        <w:ind w:left="558" w:right="109"/>
        <w:jc w:val="both"/>
      </w:pPr>
      <w:r>
        <w:rPr>
          <w:spacing w:val="2"/>
        </w:rPr>
        <w:t>合并方支付的合并对价及取得的净资产均按账面价值计量。合并方取得的净资产账面价值与</w:t>
      </w:r>
      <w:r>
        <w:rPr>
          <w:w w:val="99"/>
        </w:rPr>
        <w:t> </w:t>
      </w:r>
      <w:r>
        <w:rPr>
          <w:spacing w:val="2"/>
        </w:rPr>
        <w:t>支付的合并对价账面价值的差额，调整资本公积（资本溢价）；资本公积（资本溢价）不足</w:t>
      </w:r>
      <w:r>
        <w:rPr>
          <w:w w:val="99"/>
        </w:rPr>
        <w:t> </w:t>
      </w:r>
      <w:r>
        <w:rPr/>
        <w:t>以冲减的，调整留存收益。为进行企业合并发生的直接相关费用于发生时计入当期损益。</w:t>
      </w:r>
    </w:p>
    <w:p>
      <w:pPr>
        <w:spacing w:line="240" w:lineRule="auto" w:before="0"/>
        <w:rPr>
          <w:rFonts w:ascii="宋体" w:hAnsi="宋体" w:cs="宋体" w:eastAsia="宋体" w:hint="default"/>
          <w:sz w:val="16"/>
          <w:szCs w:val="16"/>
        </w:rPr>
      </w:pPr>
    </w:p>
    <w:p>
      <w:pPr>
        <w:pStyle w:val="BodyText"/>
        <w:spacing w:line="286" w:lineRule="exact"/>
        <w:ind w:left="558" w:right="109"/>
        <w:jc w:val="both"/>
      </w:pPr>
      <w:r>
        <w:rPr/>
        <w:t>本集团执行企业会计准则（</w:t>
      </w:r>
      <w:r>
        <w:rPr>
          <w:rFonts w:ascii="Arial" w:hAnsi="Arial" w:cs="Arial" w:eastAsia="Arial" w:hint="default"/>
        </w:rPr>
        <w:t>2007</w:t>
      </w:r>
      <w:r>
        <w:rPr/>
        <w:t>年</w:t>
      </w:r>
      <w:r>
        <w:rPr>
          <w:rFonts w:ascii="Arial" w:hAnsi="Arial" w:cs="Arial" w:eastAsia="Arial" w:hint="default"/>
        </w:rPr>
        <w:t>1</w:t>
      </w:r>
      <w:r>
        <w:rPr/>
        <w:t>月</w:t>
      </w:r>
      <w:r>
        <w:rPr>
          <w:rFonts w:ascii="Arial" w:hAnsi="Arial" w:cs="Arial" w:eastAsia="Arial" w:hint="default"/>
        </w:rPr>
        <w:t>1</w:t>
      </w:r>
      <w:r>
        <w:rPr/>
        <w:t>日，“首次执行日”）前的同一控制下的企业收购，</w:t>
      </w:r>
      <w:r>
        <w:rPr>
          <w:spacing w:val="-105"/>
        </w:rPr>
        <w:t> </w:t>
      </w:r>
      <w:r>
        <w:rPr>
          <w:spacing w:val="-105"/>
        </w:rPr>
      </w:r>
      <w:r>
        <w:rPr>
          <w:spacing w:val="2"/>
        </w:rPr>
        <w:t>所支付的合并对价与所收购的改制企业经评估的净资产的账面价值的差额根据《企业会计准</w:t>
      </w:r>
      <w:r>
        <w:rPr>
          <w:w w:val="99"/>
        </w:rPr>
        <w:t> </w:t>
      </w:r>
      <w:r>
        <w:rPr/>
        <w:t>则</w:t>
      </w:r>
      <w:r>
        <w:rPr>
          <w:rFonts w:ascii="Arial" w:hAnsi="Arial" w:cs="Arial" w:eastAsia="Arial" w:hint="default"/>
        </w:rPr>
        <w:t>38</w:t>
      </w:r>
      <w:r>
        <w:rPr/>
        <w:t>号－首次执行企业会计准则》的要求已经于首次执行日追溯调整了本集团的留存收益。</w:t>
      </w:r>
    </w:p>
    <w:p>
      <w:pPr>
        <w:spacing w:line="240" w:lineRule="auto" w:before="1"/>
        <w:rPr>
          <w:rFonts w:ascii="宋体" w:hAnsi="宋体" w:cs="宋体" w:eastAsia="宋体" w:hint="default"/>
          <w:sz w:val="17"/>
          <w:szCs w:val="17"/>
        </w:rPr>
      </w:pPr>
    </w:p>
    <w:p>
      <w:pPr>
        <w:pStyle w:val="BodyText"/>
        <w:spacing w:line="240" w:lineRule="auto"/>
        <w:ind w:left="138" w:right="702"/>
        <w:jc w:val="left"/>
      </w:pPr>
      <w:r>
        <w:rPr>
          <w:rFonts w:ascii="Arial" w:hAnsi="Arial" w:cs="Arial" w:eastAsia="Arial" w:hint="default"/>
        </w:rPr>
        <w:t>(b) </w:t>
      </w:r>
      <w:r>
        <w:rPr>
          <w:rFonts w:ascii="Arial" w:hAnsi="Arial" w:cs="Arial" w:eastAsia="Arial" w:hint="default"/>
          <w:spacing w:val="28"/>
        </w:rPr>
        <w:t> </w:t>
      </w:r>
      <w:r>
        <w:rPr/>
        <w:t>非同一控制下的企业合并</w:t>
      </w:r>
    </w:p>
    <w:p>
      <w:pPr>
        <w:spacing w:line="240" w:lineRule="auto" w:before="2"/>
        <w:rPr>
          <w:rFonts w:ascii="宋体" w:hAnsi="宋体" w:cs="宋体" w:eastAsia="宋体" w:hint="default"/>
          <w:sz w:val="18"/>
          <w:szCs w:val="18"/>
        </w:rPr>
      </w:pPr>
    </w:p>
    <w:p>
      <w:pPr>
        <w:pStyle w:val="BodyText"/>
        <w:spacing w:line="237" w:lineRule="auto"/>
        <w:ind w:left="558" w:right="109"/>
        <w:jc w:val="both"/>
      </w:pPr>
      <w:r>
        <w:rPr>
          <w:spacing w:val="2"/>
        </w:rPr>
        <w:t>购买方发生的合并成本及在合并中取得的可辨认净资产按购买日的公允价值计量。合并成本</w:t>
      </w:r>
      <w:r>
        <w:rPr>
          <w:w w:val="99"/>
        </w:rPr>
        <w:t> </w:t>
      </w:r>
      <w:r>
        <w:rPr>
          <w:spacing w:val="2"/>
        </w:rPr>
        <w:t>大于合并中取得的被购买方于购买日可辨认净资产公允价值份额的差额，确认为商誉；合并</w:t>
      </w:r>
      <w:r>
        <w:rPr>
          <w:w w:val="99"/>
        </w:rPr>
        <w:t> </w:t>
      </w:r>
      <w:r>
        <w:rPr/>
        <w:t>成本小于合并中取得的被购买方可辨认净资产公允价值份额的差额，计入当期损益。</w:t>
      </w:r>
    </w:p>
    <w:p>
      <w:pPr>
        <w:spacing w:line="240" w:lineRule="auto" w:before="2"/>
        <w:rPr>
          <w:rFonts w:ascii="宋体" w:hAnsi="宋体" w:cs="宋体" w:eastAsia="宋体" w:hint="default"/>
          <w:sz w:val="19"/>
          <w:szCs w:val="19"/>
        </w:rPr>
      </w:pPr>
    </w:p>
    <w:p>
      <w:pPr>
        <w:pStyle w:val="BodyText"/>
        <w:spacing w:line="240" w:lineRule="auto"/>
        <w:ind w:left="558" w:right="0"/>
        <w:jc w:val="both"/>
      </w:pPr>
      <w:r>
        <w:rPr/>
        <w:t>为进行企业合并发生的直接相关费用计入企业合并成本。</w:t>
      </w:r>
    </w:p>
    <w:p>
      <w:pPr>
        <w:spacing w:line="240" w:lineRule="auto" w:before="2"/>
        <w:rPr>
          <w:rFonts w:ascii="宋体" w:hAnsi="宋体" w:cs="宋体" w:eastAsia="宋体" w:hint="default"/>
          <w:sz w:val="19"/>
          <w:szCs w:val="19"/>
        </w:rPr>
      </w:pPr>
    </w:p>
    <w:p>
      <w:pPr>
        <w:pStyle w:val="BodyText"/>
        <w:spacing w:line="424" w:lineRule="auto"/>
        <w:ind w:left="558" w:right="3266" w:hanging="420"/>
        <w:jc w:val="left"/>
      </w:pPr>
      <w:r>
        <w:rPr>
          <w:rFonts w:ascii="Arial" w:hAnsi="Arial" w:cs="Arial" w:eastAsia="Arial" w:hint="default"/>
        </w:rPr>
        <w:t>6</w:t>
      </w:r>
      <w:r>
        <w:rPr/>
        <w:t>、</w:t>
      </w:r>
      <w:r>
        <w:rPr>
          <w:spacing w:val="-33"/>
        </w:rPr>
        <w:t> </w:t>
      </w:r>
      <w:r>
        <w:rPr/>
        <w:t>合并财务报表的编制方法</w:t>
      </w:r>
      <w:r>
        <w:rPr>
          <w:w w:val="99"/>
        </w:rPr>
        <w:t> </w:t>
      </w:r>
      <w:r>
        <w:rPr/>
        <w:t>编制合并财务报表时，合并范围包括本公司及全部子公司。</w:t>
      </w:r>
    </w:p>
    <w:p>
      <w:pPr>
        <w:pStyle w:val="BodyText"/>
        <w:spacing w:line="237" w:lineRule="auto" w:before="84"/>
        <w:ind w:left="558" w:right="109"/>
        <w:jc w:val="both"/>
      </w:pPr>
      <w:r>
        <w:rPr>
          <w:spacing w:val="2"/>
        </w:rPr>
        <w:t>从取得子公司的实际控制权之日起，本集团开始将其纳入合并范围；从丧失实际控制权之日</w:t>
      </w:r>
      <w:r>
        <w:rPr>
          <w:w w:val="99"/>
        </w:rPr>
        <w:t> </w:t>
      </w:r>
      <w:r>
        <w:rPr>
          <w:spacing w:val="2"/>
        </w:rPr>
        <w:t>起停止纳入合并范围。对于同一控制下企业合并取得的子公司，自其与本公司同受最终控制</w:t>
      </w:r>
      <w:r>
        <w:rPr>
          <w:w w:val="99"/>
        </w:rPr>
        <w:t> </w:t>
      </w:r>
      <w:r>
        <w:rPr>
          <w:spacing w:val="2"/>
        </w:rPr>
        <w:t>方控制之日起纳入本公司合并范围，并将其在合并日前实现的净利润在合并利润表中单列项</w:t>
      </w:r>
      <w:r>
        <w:rPr>
          <w:w w:val="99"/>
        </w:rPr>
        <w:t> </w:t>
      </w:r>
      <w:r>
        <w:rPr/>
        <w:t>目反映。</w:t>
      </w:r>
    </w:p>
    <w:p>
      <w:pPr>
        <w:spacing w:line="240" w:lineRule="auto" w:before="5"/>
        <w:rPr>
          <w:rFonts w:ascii="宋体" w:hAnsi="宋体" w:cs="宋体" w:eastAsia="宋体" w:hint="default"/>
          <w:sz w:val="19"/>
          <w:szCs w:val="19"/>
        </w:rPr>
      </w:pPr>
    </w:p>
    <w:p>
      <w:pPr>
        <w:pStyle w:val="BodyText"/>
        <w:spacing w:line="237" w:lineRule="auto"/>
        <w:ind w:left="558" w:right="109"/>
        <w:jc w:val="both"/>
      </w:pPr>
      <w:r>
        <w:rPr>
          <w:spacing w:val="2"/>
        </w:rPr>
        <w:t>在编制合并财务报表时，子公司与本公司采用的会计政策或会计期间不一致的，按照本公司</w:t>
      </w:r>
      <w:r>
        <w:rPr>
          <w:w w:val="99"/>
        </w:rPr>
        <w:t> </w:t>
      </w:r>
      <w:r>
        <w:rPr>
          <w:spacing w:val="2"/>
        </w:rPr>
        <w:t>的会计政策或会计期间对子公司财务报表进行必要的调整。对于非同一控制下企业合并取得</w:t>
      </w:r>
      <w:r>
        <w:rPr>
          <w:w w:val="99"/>
        </w:rPr>
        <w:t> </w:t>
      </w:r>
      <w:r>
        <w:rPr/>
        <w:t>的子公司，以购买日可辨认净资产公允价值为基础对其财务报表进行调整。</w:t>
      </w:r>
    </w:p>
    <w:p>
      <w:pPr>
        <w:spacing w:line="240" w:lineRule="auto" w:before="5"/>
        <w:rPr>
          <w:rFonts w:ascii="宋体" w:hAnsi="宋体" w:cs="宋体" w:eastAsia="宋体" w:hint="default"/>
          <w:sz w:val="19"/>
          <w:szCs w:val="19"/>
        </w:rPr>
      </w:pPr>
    </w:p>
    <w:p>
      <w:pPr>
        <w:pStyle w:val="BodyText"/>
        <w:spacing w:line="237" w:lineRule="auto"/>
        <w:ind w:left="558" w:right="109"/>
        <w:jc w:val="both"/>
      </w:pPr>
      <w:r>
        <w:rPr>
          <w:spacing w:val="2"/>
        </w:rPr>
        <w:t>集团内所有重大往来余额、交易及未实现利润在合并财务报表编制时予以抵销。子公司的股</w:t>
      </w:r>
      <w:r>
        <w:rPr>
          <w:w w:val="99"/>
        </w:rPr>
        <w:t> </w:t>
      </w:r>
      <w:r>
        <w:rPr>
          <w:spacing w:val="2"/>
        </w:rPr>
        <w:t>东权益及当期净损益中不属于本公司所拥有的部分分别作为少数股东权益及少数股东损益在</w:t>
      </w:r>
      <w:r>
        <w:rPr>
          <w:w w:val="99"/>
        </w:rPr>
        <w:t> </w:t>
      </w:r>
      <w:r>
        <w:rPr/>
        <w:t>合并财务报表中股东权益及净利润项下单独列示。</w:t>
      </w:r>
    </w:p>
    <w:p>
      <w:pPr>
        <w:spacing w:line="240" w:lineRule="auto" w:before="13"/>
        <w:rPr>
          <w:rFonts w:ascii="宋体" w:hAnsi="宋体" w:cs="宋体" w:eastAsia="宋体" w:hint="default"/>
          <w:sz w:val="16"/>
          <w:szCs w:val="16"/>
        </w:rPr>
      </w:pPr>
    </w:p>
    <w:p>
      <w:pPr>
        <w:pStyle w:val="BodyText"/>
        <w:spacing w:line="240" w:lineRule="auto"/>
        <w:ind w:left="138" w:right="702"/>
        <w:jc w:val="left"/>
      </w:pPr>
      <w:r>
        <w:rPr>
          <w:rFonts w:ascii="Arial" w:hAnsi="Arial" w:cs="Arial" w:eastAsia="Arial" w:hint="default"/>
        </w:rPr>
        <w:t>7</w:t>
      </w:r>
      <w:r>
        <w:rPr/>
        <w:t>、</w:t>
      </w:r>
      <w:r>
        <w:rPr>
          <w:spacing w:val="-35"/>
        </w:rPr>
        <w:t> </w:t>
      </w:r>
      <w:r>
        <w:rPr/>
        <w:t>现金及现金等价物</w:t>
      </w:r>
    </w:p>
    <w:p>
      <w:pPr>
        <w:spacing w:line="240" w:lineRule="auto" w:before="13"/>
        <w:rPr>
          <w:rFonts w:ascii="宋体" w:hAnsi="宋体" w:cs="宋体" w:eastAsia="宋体" w:hint="default"/>
          <w:sz w:val="18"/>
          <w:szCs w:val="18"/>
        </w:rPr>
      </w:pPr>
    </w:p>
    <w:p>
      <w:pPr>
        <w:pStyle w:val="BodyText"/>
        <w:spacing w:line="284" w:lineRule="exact"/>
        <w:ind w:left="558" w:right="108"/>
        <w:jc w:val="both"/>
      </w:pPr>
      <w:r>
        <w:rPr>
          <w:spacing w:val="-1"/>
        </w:rPr>
        <w:t>现金及现金等价物是指库存现金，可随时用于支付的存款，以及持有的期限短（一般不超过</w:t>
      </w:r>
      <w:r>
        <w:rPr>
          <w:rFonts w:ascii="Arial" w:hAnsi="Arial" w:cs="Arial" w:eastAsia="Arial" w:hint="default"/>
          <w:spacing w:val="-1"/>
        </w:rPr>
        <w:t>3</w:t>
      </w:r>
      <w:r>
        <w:rPr>
          <w:rFonts w:ascii="Arial" w:hAnsi="Arial" w:cs="Arial" w:eastAsia="Arial" w:hint="default"/>
          <w:spacing w:val="-51"/>
        </w:rPr>
        <w:t> </w:t>
      </w:r>
      <w:r>
        <w:rPr/>
        <w:t>个月）、流动性强、易于转换为已知金额现金、价值变动风险很小的投资。</w:t>
      </w:r>
    </w:p>
    <w:p>
      <w:pPr>
        <w:spacing w:after="0" w:line="284" w:lineRule="exact"/>
        <w:jc w:val="both"/>
        <w:sectPr>
          <w:headerReference w:type="default" r:id="rId40"/>
          <w:pgSz w:w="11910" w:h="16840"/>
          <w:pgMar w:header="967" w:footer="600" w:top="2860" w:bottom="780" w:left="1420" w:right="920"/>
        </w:sectPr>
      </w:pPr>
    </w:p>
    <w:p>
      <w:pPr>
        <w:spacing w:line="240" w:lineRule="auto" w:before="11"/>
        <w:rPr>
          <w:rFonts w:ascii="宋体" w:hAnsi="宋体" w:cs="宋体" w:eastAsia="宋体" w:hint="default"/>
          <w:sz w:val="12"/>
          <w:szCs w:val="12"/>
        </w:rPr>
      </w:pPr>
    </w:p>
    <w:p>
      <w:pPr>
        <w:pStyle w:val="BodyText"/>
        <w:spacing w:line="240" w:lineRule="auto" w:before="31"/>
        <w:ind w:left="138" w:right="702"/>
        <w:jc w:val="left"/>
      </w:pPr>
      <w:r>
        <w:rPr>
          <w:rFonts w:ascii="Arial" w:hAnsi="Arial" w:cs="Arial" w:eastAsia="Arial" w:hint="default"/>
        </w:rPr>
        <w:t>8</w:t>
      </w:r>
      <w:r>
        <w:rPr/>
        <w:t>、</w:t>
      </w:r>
      <w:r>
        <w:rPr>
          <w:spacing w:val="-36"/>
        </w:rPr>
        <w:t> </w:t>
      </w:r>
      <w:r>
        <w:rPr/>
        <w:t>外币折算</w:t>
      </w:r>
    </w:p>
    <w:p>
      <w:pPr>
        <w:pStyle w:val="BodyText"/>
        <w:spacing w:line="240" w:lineRule="auto" w:before="188"/>
        <w:ind w:left="138" w:right="702"/>
        <w:jc w:val="left"/>
      </w:pPr>
      <w:r>
        <w:rPr>
          <w:rFonts w:ascii="Arial" w:hAnsi="Arial" w:cs="Arial" w:eastAsia="Arial" w:hint="default"/>
        </w:rPr>
        <w:t>(a) </w:t>
      </w:r>
      <w:r>
        <w:rPr>
          <w:rFonts w:ascii="Arial" w:hAnsi="Arial" w:cs="Arial" w:eastAsia="Arial" w:hint="default"/>
          <w:spacing w:val="26"/>
        </w:rPr>
        <w:t> </w:t>
      </w:r>
      <w:r>
        <w:rPr/>
        <w:t>外币交易</w:t>
      </w:r>
    </w:p>
    <w:p>
      <w:pPr>
        <w:spacing w:line="240" w:lineRule="auto" w:before="9"/>
        <w:rPr>
          <w:rFonts w:ascii="宋体" w:hAnsi="宋体" w:cs="宋体" w:eastAsia="宋体" w:hint="default"/>
          <w:sz w:val="16"/>
          <w:szCs w:val="16"/>
        </w:rPr>
      </w:pPr>
    </w:p>
    <w:p>
      <w:pPr>
        <w:pStyle w:val="BodyText"/>
        <w:spacing w:line="240" w:lineRule="auto"/>
        <w:ind w:left="558" w:right="0"/>
        <w:jc w:val="both"/>
      </w:pPr>
      <w:r>
        <w:rPr/>
        <w:t>外币交易按交易发生日的即期汇率将外币金额折算为人民币入账。</w:t>
      </w:r>
    </w:p>
    <w:p>
      <w:pPr>
        <w:spacing w:line="240" w:lineRule="auto" w:before="5"/>
        <w:rPr>
          <w:rFonts w:ascii="宋体" w:hAnsi="宋体" w:cs="宋体" w:eastAsia="宋体" w:hint="default"/>
          <w:sz w:val="19"/>
          <w:szCs w:val="19"/>
        </w:rPr>
      </w:pPr>
    </w:p>
    <w:p>
      <w:pPr>
        <w:pStyle w:val="BodyText"/>
        <w:spacing w:line="237" w:lineRule="auto"/>
        <w:ind w:left="558" w:right="109"/>
        <w:jc w:val="both"/>
      </w:pPr>
      <w:r>
        <w:rPr>
          <w:spacing w:val="2"/>
        </w:rPr>
        <w:t>于资产负债表日，外币货币性项目采用资产负债表日的即期汇率折算为人民币。为购建符合</w:t>
      </w:r>
      <w:r>
        <w:rPr>
          <w:w w:val="99"/>
        </w:rPr>
        <w:t> </w:t>
      </w:r>
      <w:r>
        <w:rPr>
          <w:spacing w:val="2"/>
        </w:rPr>
        <w:t>资本化条件的资产而借入的外币专门借款产生的汇兑差额在资本化期间内予以资本化；其他</w:t>
      </w:r>
      <w:r>
        <w:rPr>
          <w:w w:val="99"/>
        </w:rPr>
        <w:t> </w:t>
      </w:r>
      <w:r>
        <w:rPr>
          <w:spacing w:val="2"/>
        </w:rPr>
        <w:t>汇兑差额直接计入当期损益。以历史成本计量的外币非货币性项目，于资产负债表日采用交</w:t>
      </w:r>
      <w:r>
        <w:rPr>
          <w:w w:val="99"/>
        </w:rPr>
        <w:t> </w:t>
      </w:r>
      <w:r>
        <w:rPr/>
        <w:t>易发生日的即期汇率折算。汇率变动对现金的影响额，在现金流量表中单独列示。</w:t>
      </w:r>
    </w:p>
    <w:p>
      <w:pPr>
        <w:spacing w:line="240" w:lineRule="auto" w:before="13"/>
        <w:rPr>
          <w:rFonts w:ascii="宋体" w:hAnsi="宋体" w:cs="宋体" w:eastAsia="宋体" w:hint="default"/>
          <w:sz w:val="16"/>
          <w:szCs w:val="16"/>
        </w:rPr>
      </w:pPr>
    </w:p>
    <w:p>
      <w:pPr>
        <w:pStyle w:val="BodyText"/>
        <w:spacing w:line="240" w:lineRule="auto"/>
        <w:ind w:left="138" w:right="702"/>
        <w:jc w:val="left"/>
      </w:pPr>
      <w:r>
        <w:rPr>
          <w:rFonts w:ascii="Arial" w:hAnsi="Arial" w:cs="Arial" w:eastAsia="Arial" w:hint="default"/>
        </w:rPr>
        <w:t>(b) </w:t>
      </w:r>
      <w:r>
        <w:rPr>
          <w:rFonts w:ascii="Arial" w:hAnsi="Arial" w:cs="Arial" w:eastAsia="Arial" w:hint="default"/>
          <w:spacing w:val="26"/>
        </w:rPr>
        <w:t> </w:t>
      </w:r>
      <w:r>
        <w:rPr/>
        <w:t>外币财务报表的折算</w:t>
      </w:r>
    </w:p>
    <w:p>
      <w:pPr>
        <w:spacing w:line="240" w:lineRule="auto" w:before="11"/>
        <w:rPr>
          <w:rFonts w:ascii="宋体" w:hAnsi="宋体" w:cs="宋体" w:eastAsia="宋体" w:hint="default"/>
          <w:sz w:val="16"/>
          <w:szCs w:val="16"/>
        </w:rPr>
      </w:pPr>
    </w:p>
    <w:p>
      <w:pPr>
        <w:pStyle w:val="BodyText"/>
        <w:spacing w:line="237" w:lineRule="auto"/>
        <w:ind w:left="558" w:right="109"/>
        <w:jc w:val="both"/>
      </w:pPr>
      <w:r>
        <w:rPr>
          <w:spacing w:val="2"/>
        </w:rPr>
        <w:t>境外经营的子公司资产负债表中的资产和负债项目，采用资产负债表日的即期汇率折算，股</w:t>
      </w:r>
      <w:r>
        <w:rPr>
          <w:w w:val="99"/>
        </w:rPr>
        <w:t> </w:t>
      </w:r>
      <w:r>
        <w:rPr>
          <w:spacing w:val="2"/>
        </w:rPr>
        <w:t>东权益中除未分配利润项目外，其他项目采用发生时的即期汇率折算。境外经营的子公司利</w:t>
      </w:r>
      <w:r>
        <w:rPr>
          <w:w w:val="99"/>
        </w:rPr>
        <w:t> </w:t>
      </w:r>
      <w:r>
        <w:rPr>
          <w:spacing w:val="2"/>
        </w:rPr>
        <w:t>润表中的收入与费用项目，采用交易发生日的即期汇率之近似汇率折算。上述折算产生的外</w:t>
      </w:r>
      <w:r>
        <w:rPr>
          <w:w w:val="99"/>
        </w:rPr>
        <w:t> </w:t>
      </w:r>
      <w:r>
        <w:rPr>
          <w:spacing w:val="2"/>
        </w:rPr>
        <w:t>币报表折算差额，在股东权益中以单独项目列示。境外经营的子公司现金流量项目，采用现</w:t>
      </w:r>
      <w:r>
        <w:rPr>
          <w:w w:val="99"/>
        </w:rPr>
        <w:t> </w:t>
      </w:r>
      <w:r>
        <w:rPr>
          <w:spacing w:val="2"/>
        </w:rPr>
        <w:t>金流量发生日的即期汇率之近似汇率折算。汇率变动对现金的影响额，在现金流量表中单独</w:t>
      </w:r>
      <w:r>
        <w:rPr>
          <w:w w:val="99"/>
        </w:rPr>
        <w:t> </w:t>
      </w:r>
      <w:r>
        <w:rPr/>
        <w:t>列示。</w:t>
      </w:r>
    </w:p>
    <w:p>
      <w:pPr>
        <w:spacing w:line="240" w:lineRule="auto" w:before="13"/>
        <w:rPr>
          <w:rFonts w:ascii="宋体" w:hAnsi="宋体" w:cs="宋体" w:eastAsia="宋体" w:hint="default"/>
          <w:sz w:val="16"/>
          <w:szCs w:val="16"/>
        </w:rPr>
      </w:pPr>
    </w:p>
    <w:p>
      <w:pPr>
        <w:pStyle w:val="BodyText"/>
        <w:spacing w:line="240" w:lineRule="auto"/>
        <w:ind w:left="138" w:right="702"/>
        <w:jc w:val="left"/>
      </w:pPr>
      <w:r>
        <w:rPr>
          <w:rFonts w:ascii="Arial" w:hAnsi="Arial" w:cs="Arial" w:eastAsia="Arial" w:hint="default"/>
        </w:rPr>
        <w:t>9</w:t>
      </w:r>
      <w:r>
        <w:rPr/>
        <w:t>、</w:t>
      </w:r>
      <w:r>
        <w:rPr>
          <w:spacing w:val="-36"/>
        </w:rPr>
        <w:t> </w:t>
      </w:r>
      <w:r>
        <w:rPr/>
        <w:t>金融工具</w:t>
      </w:r>
    </w:p>
    <w:p>
      <w:pPr>
        <w:pStyle w:val="BodyText"/>
        <w:spacing w:line="240" w:lineRule="auto" w:before="176"/>
        <w:ind w:left="138" w:right="702"/>
        <w:jc w:val="left"/>
      </w:pPr>
      <w:r>
        <w:rPr>
          <w:rFonts w:ascii="Arial" w:hAnsi="Arial" w:cs="Arial" w:eastAsia="Arial" w:hint="default"/>
        </w:rPr>
        <w:t>(a) </w:t>
      </w:r>
      <w:r>
        <w:rPr>
          <w:rFonts w:ascii="Arial" w:hAnsi="Arial" w:cs="Arial" w:eastAsia="Arial" w:hint="default"/>
          <w:spacing w:val="26"/>
        </w:rPr>
        <w:t> </w:t>
      </w:r>
      <w:r>
        <w:rPr/>
        <w:t>金融资产</w:t>
      </w:r>
    </w:p>
    <w:p>
      <w:pPr>
        <w:pStyle w:val="BodyText"/>
        <w:spacing w:line="240" w:lineRule="auto" w:before="189"/>
        <w:ind w:left="138" w:right="702"/>
        <w:jc w:val="left"/>
      </w:pPr>
      <w:r>
        <w:rPr>
          <w:rFonts w:ascii="Arial" w:hAnsi="Arial" w:cs="Arial" w:eastAsia="Arial" w:hint="default"/>
        </w:rPr>
        <w:t>(1) </w:t>
      </w:r>
      <w:r>
        <w:rPr>
          <w:rFonts w:ascii="Arial" w:hAnsi="Arial" w:cs="Arial" w:eastAsia="Arial" w:hint="default"/>
          <w:spacing w:val="28"/>
        </w:rPr>
        <w:t> </w:t>
      </w:r>
      <w:r>
        <w:rPr/>
        <w:t>金融资产分类</w:t>
      </w:r>
    </w:p>
    <w:p>
      <w:pPr>
        <w:spacing w:line="240" w:lineRule="auto" w:before="10"/>
        <w:rPr>
          <w:rFonts w:ascii="宋体" w:hAnsi="宋体" w:cs="宋体" w:eastAsia="宋体" w:hint="default"/>
          <w:sz w:val="18"/>
          <w:szCs w:val="18"/>
        </w:rPr>
      </w:pPr>
    </w:p>
    <w:p>
      <w:pPr>
        <w:pStyle w:val="BodyText"/>
        <w:spacing w:line="286" w:lineRule="exact"/>
        <w:ind w:left="558" w:right="110"/>
        <w:jc w:val="both"/>
      </w:pPr>
      <w:r>
        <w:rPr>
          <w:spacing w:val="2"/>
        </w:rPr>
        <w:t>金融资产于初始确认时分类为：以公允价值计量且其变动计入当期损益的金融资产、应收款</w:t>
      </w:r>
      <w:r>
        <w:rPr>
          <w:w w:val="99"/>
        </w:rPr>
        <w:t> </w:t>
      </w:r>
      <w:r>
        <w:rPr>
          <w:spacing w:val="2"/>
        </w:rPr>
        <w:t>项、可供出售金融资产和持有至到期投资。金融资产的分类取决于本集团对金融资产的持有</w:t>
      </w:r>
      <w:r>
        <w:rPr>
          <w:w w:val="99"/>
        </w:rPr>
        <w:t> </w:t>
      </w:r>
      <w:r>
        <w:rPr/>
        <w:t>意图和持有能力。</w:t>
      </w:r>
    </w:p>
    <w:p>
      <w:pPr>
        <w:spacing w:line="240" w:lineRule="auto" w:before="2"/>
        <w:rPr>
          <w:rFonts w:ascii="宋体" w:hAnsi="宋体" w:cs="宋体" w:eastAsia="宋体" w:hint="default"/>
          <w:sz w:val="17"/>
          <w:szCs w:val="17"/>
        </w:rPr>
      </w:pPr>
    </w:p>
    <w:p>
      <w:pPr>
        <w:pStyle w:val="BodyText"/>
        <w:spacing w:line="240" w:lineRule="auto"/>
        <w:ind w:left="558" w:right="0"/>
        <w:jc w:val="both"/>
      </w:pPr>
      <w:r>
        <w:rPr>
          <w:rFonts w:ascii="Arial" w:hAnsi="Arial" w:cs="Arial" w:eastAsia="Arial" w:hint="default"/>
        </w:rPr>
        <w:t>(i) </w:t>
      </w:r>
      <w:r>
        <w:rPr>
          <w:rFonts w:ascii="Arial" w:hAnsi="Arial" w:cs="Arial" w:eastAsia="Arial" w:hint="default"/>
          <w:spacing w:val="16"/>
        </w:rPr>
        <w:t> </w:t>
      </w:r>
      <w:r>
        <w:rPr/>
        <w:t>以公允价值计量且其变动计入当期损益的金融资产</w:t>
      </w:r>
    </w:p>
    <w:p>
      <w:pPr>
        <w:spacing w:line="240" w:lineRule="auto" w:before="13"/>
        <w:rPr>
          <w:rFonts w:ascii="宋体" w:hAnsi="宋体" w:cs="宋体" w:eastAsia="宋体" w:hint="default"/>
          <w:sz w:val="15"/>
          <w:szCs w:val="15"/>
        </w:rPr>
      </w:pPr>
    </w:p>
    <w:p>
      <w:pPr>
        <w:pStyle w:val="BodyText"/>
        <w:spacing w:line="286" w:lineRule="exact"/>
        <w:ind w:left="922" w:right="105"/>
        <w:jc w:val="both"/>
      </w:pPr>
      <w:r>
        <w:rPr>
          <w:spacing w:val="4"/>
        </w:rPr>
        <w:t>以公允价值计量且其变动计入当期损益的金融资产包括持有目的为短期内出售的金融资</w:t>
      </w:r>
      <w:r>
        <w:rPr>
          <w:spacing w:val="4"/>
          <w:w w:val="99"/>
        </w:rPr>
        <w:t> </w:t>
      </w:r>
      <w:r>
        <w:rPr/>
        <w:t>产，该资产在资产负债表中以交易性金融资产列示。</w:t>
      </w:r>
    </w:p>
    <w:p>
      <w:pPr>
        <w:spacing w:line="240" w:lineRule="auto" w:before="1"/>
        <w:rPr>
          <w:rFonts w:ascii="宋体" w:hAnsi="宋体" w:cs="宋体" w:eastAsia="宋体" w:hint="default"/>
          <w:sz w:val="17"/>
          <w:szCs w:val="17"/>
        </w:rPr>
      </w:pPr>
    </w:p>
    <w:p>
      <w:pPr>
        <w:pStyle w:val="BodyText"/>
        <w:spacing w:line="424" w:lineRule="auto"/>
        <w:ind w:left="922" w:right="702" w:hanging="364"/>
        <w:jc w:val="left"/>
      </w:pPr>
      <w:r>
        <w:rPr>
          <w:rFonts w:ascii="Arial" w:hAnsi="Arial" w:cs="Arial" w:eastAsia="Arial" w:hint="default"/>
        </w:rPr>
        <w:t>(ii)</w:t>
      </w:r>
      <w:r>
        <w:rPr>
          <w:rFonts w:ascii="Arial" w:hAnsi="Arial" w:cs="Arial" w:eastAsia="Arial" w:hint="default"/>
          <w:spacing w:val="29"/>
        </w:rPr>
        <w:t> </w:t>
      </w:r>
      <w:r>
        <w:rPr/>
        <w:t>应收款项</w:t>
      </w:r>
      <w:r>
        <w:rPr>
          <w:w w:val="99"/>
        </w:rPr>
        <w:t> </w:t>
      </w:r>
      <w:r>
        <w:rPr/>
        <w:t>应收款项是指在活跃市场中没有报价、回收金额固定或可确定的非衍生金融资产。</w:t>
      </w:r>
    </w:p>
    <w:p>
      <w:pPr>
        <w:pStyle w:val="BodyText"/>
        <w:spacing w:line="240" w:lineRule="auto" w:before="80"/>
        <w:ind w:left="558" w:right="0"/>
        <w:jc w:val="both"/>
      </w:pPr>
      <w:r>
        <w:rPr>
          <w:rFonts w:ascii="Arial" w:hAnsi="Arial" w:cs="Arial" w:eastAsia="Arial" w:hint="default"/>
        </w:rPr>
        <w:t>(iii)</w:t>
      </w:r>
      <w:r>
        <w:rPr>
          <w:rFonts w:ascii="Arial" w:hAnsi="Arial" w:cs="Arial" w:eastAsia="Arial" w:hint="default"/>
          <w:spacing w:val="-22"/>
        </w:rPr>
        <w:t> </w:t>
      </w:r>
      <w:r>
        <w:rPr/>
        <w:t>可供出售金融资产</w:t>
      </w:r>
    </w:p>
    <w:p>
      <w:pPr>
        <w:pStyle w:val="BodyText"/>
        <w:spacing w:line="230" w:lineRule="auto" w:before="192"/>
        <w:ind w:left="922" w:right="104"/>
        <w:jc w:val="both"/>
      </w:pPr>
      <w:r>
        <w:rPr>
          <w:spacing w:val="4"/>
        </w:rPr>
        <w:t>可供出售金融资产包括初始确认时即被指定为可供出售的非衍生金融资产及未被划分为</w:t>
      </w:r>
      <w:r>
        <w:rPr>
          <w:spacing w:val="4"/>
          <w:w w:val="99"/>
        </w:rPr>
        <w:t> </w:t>
      </w:r>
      <w:r>
        <w:rPr>
          <w:spacing w:val="-2"/>
        </w:rPr>
        <w:t>其他类的金融资产。自资产负债表日起</w:t>
      </w:r>
      <w:r>
        <w:rPr>
          <w:rFonts w:ascii="Arial" w:hAnsi="Arial" w:cs="Arial" w:eastAsia="Arial" w:hint="default"/>
          <w:spacing w:val="-2"/>
        </w:rPr>
        <w:t>12</w:t>
      </w:r>
      <w:r>
        <w:rPr>
          <w:spacing w:val="-2"/>
        </w:rPr>
        <w:t>个月内将出售的可供出售金融资产在资产负债表</w:t>
      </w:r>
      <w:r>
        <w:rPr>
          <w:w w:val="99"/>
        </w:rPr>
        <w:t> </w:t>
      </w:r>
      <w:r>
        <w:rPr/>
        <w:t>中列示为其他流动资产。</w:t>
      </w:r>
    </w:p>
    <w:p>
      <w:pPr>
        <w:spacing w:after="0" w:line="230" w:lineRule="auto"/>
        <w:jc w:val="both"/>
        <w:sectPr>
          <w:headerReference w:type="default" r:id="rId41"/>
          <w:pgSz w:w="11910" w:h="16840"/>
          <w:pgMar w:header="967" w:footer="600" w:top="2860" w:bottom="780" w:left="1420" w:right="920"/>
        </w:sectPr>
      </w:pPr>
    </w:p>
    <w:p>
      <w:pPr>
        <w:spacing w:line="240" w:lineRule="auto" w:before="6"/>
        <w:rPr>
          <w:rFonts w:ascii="宋体" w:hAnsi="宋体" w:cs="宋体" w:eastAsia="宋体" w:hint="default"/>
          <w:sz w:val="11"/>
          <w:szCs w:val="11"/>
        </w:rPr>
      </w:pPr>
    </w:p>
    <w:p>
      <w:pPr>
        <w:pStyle w:val="BodyText"/>
        <w:spacing w:line="240" w:lineRule="auto" w:before="31"/>
        <w:ind w:left="138" w:right="99"/>
        <w:jc w:val="left"/>
      </w:pPr>
      <w:r>
        <w:rPr>
          <w:rFonts w:ascii="Arial" w:hAnsi="Arial" w:cs="Arial" w:eastAsia="Arial" w:hint="default"/>
        </w:rPr>
        <w:t>(1) </w:t>
      </w:r>
      <w:r>
        <w:rPr>
          <w:rFonts w:ascii="Arial" w:hAnsi="Arial" w:cs="Arial" w:eastAsia="Arial" w:hint="default"/>
          <w:spacing w:val="26"/>
        </w:rPr>
        <w:t> </w:t>
      </w:r>
      <w:r>
        <w:rPr/>
        <w:t>金融资产分类（续）</w:t>
      </w:r>
    </w:p>
    <w:p>
      <w:pPr>
        <w:spacing w:line="240" w:lineRule="auto" w:before="9"/>
        <w:rPr>
          <w:rFonts w:ascii="宋体" w:hAnsi="宋体" w:cs="宋体" w:eastAsia="宋体" w:hint="default"/>
          <w:sz w:val="16"/>
          <w:szCs w:val="16"/>
        </w:rPr>
      </w:pPr>
    </w:p>
    <w:p>
      <w:pPr>
        <w:pStyle w:val="BodyText"/>
        <w:spacing w:line="240" w:lineRule="auto"/>
        <w:ind w:left="558" w:right="0"/>
        <w:jc w:val="both"/>
      </w:pPr>
      <w:r>
        <w:rPr>
          <w:rFonts w:ascii="Arial" w:hAnsi="Arial" w:cs="Arial" w:eastAsia="Arial" w:hint="default"/>
        </w:rPr>
        <w:t>(iv)</w:t>
      </w:r>
      <w:r>
        <w:rPr>
          <w:rFonts w:ascii="Arial" w:hAnsi="Arial" w:cs="Arial" w:eastAsia="Arial" w:hint="default"/>
          <w:spacing w:val="-35"/>
        </w:rPr>
        <w:t> </w:t>
      </w:r>
      <w:r>
        <w:rPr/>
        <w:t>持有至到期投资</w:t>
      </w:r>
    </w:p>
    <w:p>
      <w:pPr>
        <w:spacing w:line="240" w:lineRule="auto" w:before="10"/>
        <w:rPr>
          <w:rFonts w:ascii="宋体" w:hAnsi="宋体" w:cs="宋体" w:eastAsia="宋体" w:hint="default"/>
          <w:sz w:val="18"/>
          <w:szCs w:val="18"/>
        </w:rPr>
      </w:pPr>
    </w:p>
    <w:p>
      <w:pPr>
        <w:pStyle w:val="BodyText"/>
        <w:spacing w:line="230" w:lineRule="auto"/>
        <w:ind w:left="922" w:right="208"/>
        <w:jc w:val="both"/>
      </w:pPr>
      <w:r>
        <w:rPr>
          <w:spacing w:val="-1"/>
          <w:w w:val="95"/>
        </w:rPr>
        <w:t>持有至到期投资是指到期日固定、回收金额固定或可确定，且管理层有明确意图和能力持</w:t>
      </w:r>
      <w:r>
        <w:rPr>
          <w:spacing w:val="102"/>
          <w:w w:val="95"/>
        </w:rPr>
        <w:t> </w:t>
      </w:r>
      <w:r>
        <w:rPr>
          <w:spacing w:val="102"/>
          <w:w w:val="95"/>
        </w:rPr>
      </w:r>
      <w:r>
        <w:rPr>
          <w:spacing w:val="2"/>
        </w:rPr>
        <w:t>有至到期的非衍生金融资产。取得时期限超过</w:t>
      </w:r>
      <w:r>
        <w:rPr>
          <w:rFonts w:ascii="Arial" w:hAnsi="Arial" w:cs="Arial" w:eastAsia="Arial" w:hint="default"/>
          <w:spacing w:val="2"/>
        </w:rPr>
        <w:t>12</w:t>
      </w:r>
      <w:r>
        <w:rPr>
          <w:spacing w:val="2"/>
        </w:rPr>
        <w:t>个月但自资产负债表日起</w:t>
      </w:r>
      <w:r>
        <w:rPr>
          <w:rFonts w:ascii="Arial" w:hAnsi="Arial" w:cs="Arial" w:eastAsia="Arial" w:hint="default"/>
          <w:spacing w:val="2"/>
        </w:rPr>
        <w:t>12</w:t>
      </w:r>
      <w:r>
        <w:rPr>
          <w:spacing w:val="2"/>
        </w:rPr>
        <w:t>个月（含</w:t>
      </w:r>
      <w:r>
        <w:rPr>
          <w:rFonts w:ascii="Arial" w:hAnsi="Arial" w:cs="Arial" w:eastAsia="Arial" w:hint="default"/>
          <w:spacing w:val="2"/>
        </w:rPr>
        <w:t>12</w:t>
      </w:r>
      <w:r>
        <w:rPr>
          <w:rFonts w:ascii="Arial" w:hAnsi="Arial" w:cs="Arial" w:eastAsia="Arial" w:hint="default"/>
          <w:w w:val="99"/>
        </w:rPr>
        <w:t> </w:t>
      </w:r>
      <w:r>
        <w:rPr>
          <w:spacing w:val="-2"/>
        </w:rPr>
        <w:t>个月）内到期的持有至到期投资，列示为一年内到期的非流动资产；取得时期限在</w:t>
      </w:r>
      <w:r>
        <w:rPr>
          <w:rFonts w:ascii="Arial" w:hAnsi="Arial" w:cs="Arial" w:eastAsia="Arial" w:hint="default"/>
          <w:spacing w:val="-2"/>
        </w:rPr>
        <w:t>12</w:t>
      </w:r>
      <w:r>
        <w:rPr>
          <w:spacing w:val="-2"/>
        </w:rPr>
        <w:t>个月</w:t>
      </w:r>
      <w:r>
        <w:rPr>
          <w:spacing w:val="-107"/>
        </w:rPr>
        <w:t> </w:t>
      </w:r>
      <w:r>
        <w:rPr/>
        <w:t>之内（含</w:t>
      </w:r>
      <w:r>
        <w:rPr>
          <w:rFonts w:ascii="Arial" w:hAnsi="Arial" w:cs="Arial" w:eastAsia="Arial" w:hint="default"/>
        </w:rPr>
        <w:t>12</w:t>
      </w:r>
      <w:r>
        <w:rPr/>
        <w:t>个月）的持有至到期投资，列示为其他流动资产。</w:t>
      </w:r>
    </w:p>
    <w:p>
      <w:pPr>
        <w:pStyle w:val="BodyText"/>
        <w:spacing w:line="240" w:lineRule="auto" w:before="195"/>
        <w:ind w:left="138" w:right="99"/>
        <w:jc w:val="left"/>
      </w:pPr>
      <w:r>
        <w:rPr>
          <w:rFonts w:ascii="Arial" w:hAnsi="Arial" w:cs="Arial" w:eastAsia="Arial" w:hint="default"/>
        </w:rPr>
        <w:t>(2) </w:t>
      </w:r>
      <w:r>
        <w:rPr>
          <w:rFonts w:ascii="Arial" w:hAnsi="Arial" w:cs="Arial" w:eastAsia="Arial" w:hint="default"/>
          <w:spacing w:val="27"/>
        </w:rPr>
        <w:t> </w:t>
      </w:r>
      <w:r>
        <w:rPr/>
        <w:t>确认和计量</w:t>
      </w:r>
    </w:p>
    <w:p>
      <w:pPr>
        <w:pStyle w:val="BodyText"/>
        <w:spacing w:line="286" w:lineRule="exact" w:before="192"/>
        <w:ind w:left="558" w:right="209"/>
        <w:jc w:val="both"/>
      </w:pPr>
      <w:r>
        <w:rPr>
          <w:spacing w:val="2"/>
        </w:rPr>
        <w:t>金融资产于本集团成为金融工具合同的一方时，按公允价值在资产负债表内确认。以公允价</w:t>
      </w:r>
      <w:r>
        <w:rPr>
          <w:w w:val="99"/>
        </w:rPr>
        <w:t> </w:t>
      </w:r>
      <w:r>
        <w:rPr>
          <w:spacing w:val="2"/>
        </w:rPr>
        <w:t>值计量且其变动计入当期损益的金融资产，取得时发生的相关交易费用直接计入当期损益。</w:t>
      </w:r>
      <w:r>
        <w:rPr>
          <w:w w:val="99"/>
        </w:rPr>
        <w:t> </w:t>
      </w:r>
      <w:r>
        <w:rPr/>
        <w:t>其他金融资产的相关交易费用计入初始确认金额。</w:t>
      </w:r>
    </w:p>
    <w:p>
      <w:pPr>
        <w:spacing w:line="240" w:lineRule="auto" w:before="3"/>
        <w:rPr>
          <w:rFonts w:ascii="宋体" w:hAnsi="宋体" w:cs="宋体" w:eastAsia="宋体" w:hint="default"/>
          <w:sz w:val="15"/>
          <w:szCs w:val="15"/>
        </w:rPr>
      </w:pPr>
    </w:p>
    <w:p>
      <w:pPr>
        <w:pStyle w:val="BodyText"/>
        <w:spacing w:line="286" w:lineRule="exact"/>
        <w:ind w:left="558" w:right="209"/>
        <w:jc w:val="both"/>
      </w:pPr>
      <w:r>
        <w:rPr>
          <w:spacing w:val="2"/>
        </w:rPr>
        <w:t>以公允价值计量且其变动计入当期损益的金融资产和可供出售金融资产按照公允价值进行后</w:t>
      </w:r>
      <w:r>
        <w:rPr>
          <w:w w:val="99"/>
        </w:rPr>
        <w:t> </w:t>
      </w:r>
      <w:r>
        <w:rPr>
          <w:spacing w:val="2"/>
        </w:rPr>
        <w:t>续计量，但在活跃市场中没有报价且其公允价值不能可靠计量的权益工具投资，按照成本计</w:t>
      </w:r>
      <w:r>
        <w:rPr>
          <w:w w:val="99"/>
        </w:rPr>
        <w:t> </w:t>
      </w:r>
      <w:r>
        <w:rPr/>
        <w:t>量；应收款项以及持有至到期投资采用实际利率法，以摊余成本计量。</w:t>
      </w:r>
    </w:p>
    <w:p>
      <w:pPr>
        <w:spacing w:line="240" w:lineRule="auto" w:before="3"/>
        <w:rPr>
          <w:rFonts w:ascii="宋体" w:hAnsi="宋体" w:cs="宋体" w:eastAsia="宋体" w:hint="default"/>
          <w:sz w:val="19"/>
          <w:szCs w:val="19"/>
        </w:rPr>
      </w:pPr>
    </w:p>
    <w:p>
      <w:pPr>
        <w:pStyle w:val="BodyText"/>
        <w:spacing w:line="286" w:lineRule="exact"/>
        <w:ind w:left="558" w:right="209"/>
        <w:jc w:val="both"/>
      </w:pPr>
      <w:r>
        <w:rPr>
          <w:spacing w:val="2"/>
        </w:rPr>
        <w:t>以公允价值计量且其变动计入当期损益的金融资产的公允价值变动作为公允价值变动损益计</w:t>
      </w:r>
      <w:r>
        <w:rPr>
          <w:w w:val="99"/>
        </w:rPr>
        <w:t> </w:t>
      </w:r>
      <w:r>
        <w:rPr>
          <w:spacing w:val="2"/>
        </w:rPr>
        <w:t>入当期损益；在资产持有期间所取得的利息或现金股利以及在处置时产生的处置损益，计入</w:t>
      </w:r>
      <w:r>
        <w:rPr>
          <w:w w:val="99"/>
        </w:rPr>
        <w:t> </w:t>
      </w:r>
      <w:r>
        <w:rPr/>
        <w:t>当期损益。</w:t>
      </w:r>
    </w:p>
    <w:p>
      <w:pPr>
        <w:spacing w:line="240" w:lineRule="auto" w:before="3"/>
        <w:rPr>
          <w:rFonts w:ascii="宋体" w:hAnsi="宋体" w:cs="宋体" w:eastAsia="宋体" w:hint="default"/>
          <w:sz w:val="15"/>
          <w:szCs w:val="15"/>
        </w:rPr>
      </w:pPr>
    </w:p>
    <w:p>
      <w:pPr>
        <w:pStyle w:val="BodyText"/>
        <w:spacing w:line="286" w:lineRule="exact"/>
        <w:ind w:left="558" w:right="99"/>
        <w:jc w:val="left"/>
      </w:pPr>
      <w:r>
        <w:rPr>
          <w:spacing w:val="2"/>
        </w:rPr>
        <w:t>除减值损失及外币货币性金融资产形成的汇兑损益外，可供出售金融资产公允价值变动计入</w:t>
      </w:r>
      <w:r>
        <w:rPr>
          <w:w w:val="99"/>
        </w:rPr>
        <w:t> </w:t>
      </w:r>
      <w:r>
        <w:rPr>
          <w:w w:val="95"/>
        </w:rPr>
        <w:t>股东权益，待该金融资产终止确认时，原直接计入权益的公允价值变动累计额转入当期损益。</w:t>
      </w:r>
      <w:r>
        <w:rPr/>
      </w:r>
    </w:p>
    <w:p>
      <w:pPr>
        <w:spacing w:line="240" w:lineRule="auto" w:before="5"/>
        <w:rPr>
          <w:rFonts w:ascii="宋体" w:hAnsi="宋体" w:cs="宋体" w:eastAsia="宋体" w:hint="default"/>
          <w:sz w:val="15"/>
          <w:szCs w:val="15"/>
        </w:rPr>
      </w:pPr>
    </w:p>
    <w:p>
      <w:pPr>
        <w:pStyle w:val="BodyText"/>
        <w:spacing w:line="284" w:lineRule="exact"/>
        <w:ind w:left="558" w:right="99"/>
        <w:jc w:val="left"/>
      </w:pPr>
      <w:r>
        <w:rPr>
          <w:spacing w:val="2"/>
        </w:rPr>
        <w:t>可供出售债务工具投资在持有期间按实际利率法计算利息，作为投资收益计入当期损益；可</w:t>
      </w:r>
      <w:r>
        <w:rPr>
          <w:w w:val="99"/>
        </w:rPr>
        <w:t> </w:t>
      </w:r>
      <w:r>
        <w:rPr>
          <w:w w:val="95"/>
        </w:rPr>
        <w:t>供出售权益工具投资的现金股利，于被投资单位宣告发放股利时作为投资收益计入当期损益。</w:t>
      </w:r>
      <w:r>
        <w:rPr/>
      </w:r>
    </w:p>
    <w:p>
      <w:pPr>
        <w:pStyle w:val="BodyText"/>
        <w:spacing w:line="240" w:lineRule="auto" w:before="196"/>
        <w:ind w:left="138" w:right="99"/>
        <w:jc w:val="left"/>
      </w:pPr>
      <w:r>
        <w:rPr>
          <w:rFonts w:ascii="Arial" w:hAnsi="Arial" w:cs="Arial" w:eastAsia="Arial" w:hint="default"/>
        </w:rPr>
        <w:t>(3) </w:t>
      </w:r>
      <w:r>
        <w:rPr>
          <w:rFonts w:ascii="Arial" w:hAnsi="Arial" w:cs="Arial" w:eastAsia="Arial" w:hint="default"/>
          <w:spacing w:val="28"/>
        </w:rPr>
        <w:t> </w:t>
      </w:r>
      <w:r>
        <w:rPr/>
        <w:t>金融资产减值</w:t>
      </w:r>
    </w:p>
    <w:p>
      <w:pPr>
        <w:spacing w:line="240" w:lineRule="auto" w:before="11"/>
        <w:rPr>
          <w:rFonts w:ascii="宋体" w:hAnsi="宋体" w:cs="宋体" w:eastAsia="宋体" w:hint="default"/>
          <w:sz w:val="18"/>
          <w:szCs w:val="18"/>
        </w:rPr>
      </w:pPr>
    </w:p>
    <w:p>
      <w:pPr>
        <w:pStyle w:val="BodyText"/>
        <w:spacing w:line="286" w:lineRule="exact"/>
        <w:ind w:left="558" w:right="209"/>
        <w:jc w:val="both"/>
      </w:pPr>
      <w:r>
        <w:rPr>
          <w:spacing w:val="2"/>
        </w:rPr>
        <w:t>除以公允价值计量且其变动计入当期损益的金融资产外，本集团于资产负债表日对金融资产</w:t>
      </w:r>
      <w:r>
        <w:rPr>
          <w:w w:val="99"/>
        </w:rPr>
        <w:t> </w:t>
      </w:r>
      <w:r>
        <w:rPr/>
        <w:t>的账面价值进行检查，如果有客观证据表明某项金融资产发生减值的，计提减值准备。</w:t>
      </w:r>
    </w:p>
    <w:p>
      <w:pPr>
        <w:spacing w:line="240" w:lineRule="auto" w:before="3"/>
        <w:rPr>
          <w:rFonts w:ascii="宋体" w:hAnsi="宋体" w:cs="宋体" w:eastAsia="宋体" w:hint="default"/>
          <w:sz w:val="19"/>
          <w:szCs w:val="19"/>
        </w:rPr>
      </w:pPr>
    </w:p>
    <w:p>
      <w:pPr>
        <w:pStyle w:val="BodyText"/>
        <w:spacing w:line="286" w:lineRule="exact"/>
        <w:ind w:left="558" w:right="101"/>
        <w:jc w:val="both"/>
      </w:pPr>
      <w:r>
        <w:rPr>
          <w:spacing w:val="2"/>
        </w:rPr>
        <w:t>以摊余成本计量的金融资产发生减值时，按预计未来现金流量（不包括尚未发生的未来信用</w:t>
      </w:r>
      <w:r>
        <w:rPr>
          <w:w w:val="99"/>
        </w:rPr>
        <w:t> </w:t>
      </w:r>
      <w:r>
        <w:rPr>
          <w:spacing w:val="2"/>
        </w:rPr>
        <w:t>损失）现值低于账面价值的差额，计提减值准备。如果有客观证据表明该金融资产价值已恢</w:t>
      </w:r>
      <w:r>
        <w:rPr>
          <w:w w:val="99"/>
        </w:rPr>
        <w:t> </w:t>
      </w:r>
      <w:r>
        <w:rPr>
          <w:w w:val="95"/>
        </w:rPr>
        <w:t>复，且客观上与确认该损失后发生的事项有关，原确认的减值损失予以转回，计入当期损益。</w:t>
      </w:r>
      <w:r>
        <w:rPr/>
      </w:r>
    </w:p>
    <w:p>
      <w:pPr>
        <w:spacing w:line="240" w:lineRule="auto" w:before="4"/>
        <w:rPr>
          <w:rFonts w:ascii="宋体" w:hAnsi="宋体" w:cs="宋体" w:eastAsia="宋体" w:hint="default"/>
          <w:sz w:val="17"/>
          <w:szCs w:val="17"/>
        </w:rPr>
      </w:pPr>
    </w:p>
    <w:p>
      <w:pPr>
        <w:pStyle w:val="BodyText"/>
        <w:spacing w:line="237" w:lineRule="auto"/>
        <w:ind w:left="558" w:right="209"/>
        <w:jc w:val="both"/>
      </w:pPr>
      <w:r>
        <w:rPr>
          <w:spacing w:val="2"/>
        </w:rPr>
        <w:t>当可供出售金融资产的公允价值发生较大幅度或持久性下降，原直接计入股东权益的因公允</w:t>
      </w:r>
      <w:r>
        <w:rPr>
          <w:w w:val="99"/>
        </w:rPr>
        <w:t> </w:t>
      </w:r>
      <w:r>
        <w:rPr>
          <w:spacing w:val="2"/>
        </w:rPr>
        <w:t>价值下降形成的累计损失予以转出并计入减值损失。对已确认减值损失的可供出售债务工具</w:t>
      </w:r>
      <w:r>
        <w:rPr>
          <w:w w:val="99"/>
        </w:rPr>
        <w:t> </w:t>
      </w:r>
      <w:r>
        <w:rPr>
          <w:spacing w:val="2"/>
        </w:rPr>
        <w:t>投资，在期后公允价值上升且客观上与确认原减值损失后发生的事项有关的，原确认的减值</w:t>
      </w:r>
      <w:r>
        <w:rPr>
          <w:w w:val="99"/>
        </w:rPr>
        <w:t> </w:t>
      </w:r>
      <w:r>
        <w:rPr>
          <w:spacing w:val="2"/>
        </w:rPr>
        <w:t>损失予以转回并计入当期损益。对已确认减值损失的可供出售权益工具投资，在期后公允价</w:t>
      </w:r>
      <w:r>
        <w:rPr>
          <w:w w:val="99"/>
        </w:rPr>
        <w:t> </w:t>
      </w:r>
      <w:r>
        <w:rPr>
          <w:spacing w:val="2"/>
        </w:rPr>
        <w:t>值上升且客观上与确认原减值损失后发生的事项有关的，原确认的减值损失予以转回并直接</w:t>
      </w:r>
      <w:r>
        <w:rPr>
          <w:w w:val="99"/>
        </w:rPr>
        <w:t> </w:t>
      </w:r>
      <w:r>
        <w:rPr/>
        <w:t>计入股东权益。</w:t>
      </w:r>
    </w:p>
    <w:p>
      <w:pPr>
        <w:spacing w:after="0" w:line="237" w:lineRule="auto"/>
        <w:jc w:val="both"/>
        <w:sectPr>
          <w:headerReference w:type="default" r:id="rId42"/>
          <w:pgSz w:w="11910" w:h="16840"/>
          <w:pgMar w:header="967" w:footer="600" w:top="3860" w:bottom="780" w:left="1420" w:right="820"/>
        </w:sectPr>
      </w:pPr>
    </w:p>
    <w:p>
      <w:pPr>
        <w:spacing w:line="240" w:lineRule="auto" w:before="6"/>
        <w:rPr>
          <w:rFonts w:ascii="宋体" w:hAnsi="宋体" w:cs="宋体" w:eastAsia="宋体" w:hint="default"/>
          <w:sz w:val="12"/>
          <w:szCs w:val="12"/>
        </w:rPr>
      </w:pPr>
    </w:p>
    <w:p>
      <w:pPr>
        <w:pStyle w:val="BodyText"/>
        <w:spacing w:line="240" w:lineRule="auto" w:before="31"/>
        <w:ind w:left="138" w:right="702"/>
        <w:jc w:val="left"/>
      </w:pPr>
      <w:r>
        <w:rPr>
          <w:rFonts w:ascii="Arial" w:hAnsi="Arial" w:cs="Arial" w:eastAsia="Arial" w:hint="default"/>
        </w:rPr>
        <w:t>(4) </w:t>
      </w:r>
      <w:r>
        <w:rPr>
          <w:rFonts w:ascii="Arial" w:hAnsi="Arial" w:cs="Arial" w:eastAsia="Arial" w:hint="default"/>
          <w:spacing w:val="26"/>
        </w:rPr>
        <w:t> </w:t>
      </w:r>
      <w:r>
        <w:rPr/>
        <w:t>金融资产的终止确认</w:t>
      </w:r>
    </w:p>
    <w:p>
      <w:pPr>
        <w:spacing w:line="240" w:lineRule="auto" w:before="12"/>
        <w:rPr>
          <w:rFonts w:ascii="宋体" w:hAnsi="宋体" w:cs="宋体" w:eastAsia="宋体" w:hint="default"/>
          <w:sz w:val="17"/>
          <w:szCs w:val="17"/>
        </w:rPr>
      </w:pPr>
    </w:p>
    <w:p>
      <w:pPr>
        <w:pStyle w:val="BodyText"/>
        <w:spacing w:line="225" w:lineRule="auto"/>
        <w:ind w:left="558" w:right="108"/>
        <w:jc w:val="both"/>
      </w:pPr>
      <w:r>
        <w:rPr>
          <w:spacing w:val="-1"/>
        </w:rPr>
        <w:t>金融资产满足下列条件之一的，予以终止确认：（</w:t>
      </w:r>
      <w:r>
        <w:rPr>
          <w:rFonts w:ascii="Arial" w:hAnsi="Arial" w:cs="Arial" w:eastAsia="Arial" w:hint="default"/>
          <w:spacing w:val="-1"/>
        </w:rPr>
        <w:t>1</w:t>
      </w:r>
      <w:r>
        <w:rPr>
          <w:spacing w:val="-1"/>
        </w:rPr>
        <w:t>）收取该金融资产现金流量的合同权利终</w:t>
      </w:r>
      <w:r>
        <w:rPr>
          <w:spacing w:val="-102"/>
        </w:rPr>
        <w:t> </w:t>
      </w:r>
      <w:r>
        <w:rPr>
          <w:spacing w:val="-102"/>
        </w:rPr>
      </w:r>
      <w:r>
        <w:rPr>
          <w:spacing w:val="-1"/>
        </w:rPr>
        <w:t>止；（</w:t>
      </w:r>
      <w:r>
        <w:rPr>
          <w:rFonts w:ascii="Arial" w:hAnsi="Arial" w:cs="Arial" w:eastAsia="Arial" w:hint="default"/>
          <w:spacing w:val="-1"/>
        </w:rPr>
        <w:t>2</w:t>
      </w:r>
      <w:r>
        <w:rPr>
          <w:spacing w:val="-1"/>
        </w:rPr>
        <w:t>）该金融资产已转移，且本集团将金融资产所有权上几乎所有的风险和报酬转移给转</w:t>
      </w:r>
      <w:r>
        <w:rPr>
          <w:spacing w:val="-101"/>
        </w:rPr>
        <w:t> </w:t>
      </w:r>
      <w:r>
        <w:rPr>
          <w:spacing w:val="-101"/>
        </w:rPr>
      </w:r>
      <w:r>
        <w:rPr>
          <w:spacing w:val="-1"/>
        </w:rPr>
        <w:t>入方；（</w:t>
      </w:r>
      <w:r>
        <w:rPr>
          <w:rFonts w:ascii="Arial" w:hAnsi="Arial" w:cs="Arial" w:eastAsia="Arial" w:hint="default"/>
          <w:spacing w:val="-1"/>
        </w:rPr>
        <w:t>3</w:t>
      </w:r>
      <w:r>
        <w:rPr>
          <w:spacing w:val="-1"/>
        </w:rPr>
        <w:t>）该金融资产已转移，虽然本集团既没有转移也没有保留金融资产所有权上几乎所</w:t>
      </w:r>
      <w:r>
        <w:rPr>
          <w:spacing w:val="-101"/>
        </w:rPr>
        <w:t> </w:t>
      </w:r>
      <w:r>
        <w:rPr>
          <w:spacing w:val="-101"/>
        </w:rPr>
      </w:r>
      <w:r>
        <w:rPr/>
        <w:t>有的风险和报酬，但是放弃了对该金融资产控制。</w:t>
      </w:r>
    </w:p>
    <w:p>
      <w:pPr>
        <w:spacing w:line="240" w:lineRule="auto" w:before="6"/>
        <w:rPr>
          <w:rFonts w:ascii="宋体" w:hAnsi="宋体" w:cs="宋体" w:eastAsia="宋体" w:hint="default"/>
          <w:sz w:val="21"/>
          <w:szCs w:val="21"/>
        </w:rPr>
      </w:pPr>
    </w:p>
    <w:p>
      <w:pPr>
        <w:pStyle w:val="BodyText"/>
        <w:spacing w:line="286" w:lineRule="exact"/>
        <w:ind w:left="558" w:right="109"/>
        <w:jc w:val="both"/>
      </w:pPr>
      <w:r>
        <w:rPr>
          <w:spacing w:val="2"/>
        </w:rPr>
        <w:t>金融资产终止确认时，其账面价值与收到的对价以及原直接计入所有者权益的公允价值变动</w:t>
      </w:r>
      <w:r>
        <w:rPr>
          <w:w w:val="99"/>
        </w:rPr>
        <w:t> </w:t>
      </w:r>
      <w:r>
        <w:rPr/>
        <w:t>累计额之和的差额，计入当期损益。</w:t>
      </w:r>
    </w:p>
    <w:p>
      <w:pPr>
        <w:pStyle w:val="BodyText"/>
        <w:spacing w:line="240" w:lineRule="auto" w:before="194"/>
        <w:ind w:left="138" w:right="702"/>
        <w:jc w:val="left"/>
      </w:pPr>
      <w:r>
        <w:rPr>
          <w:rFonts w:ascii="Arial" w:hAnsi="Arial" w:cs="Arial" w:eastAsia="Arial" w:hint="default"/>
        </w:rPr>
        <w:t>(b) </w:t>
      </w:r>
      <w:r>
        <w:rPr>
          <w:rFonts w:ascii="Arial" w:hAnsi="Arial" w:cs="Arial" w:eastAsia="Arial" w:hint="default"/>
          <w:spacing w:val="26"/>
        </w:rPr>
        <w:t> </w:t>
      </w:r>
      <w:r>
        <w:rPr/>
        <w:t>金融负债</w:t>
      </w:r>
    </w:p>
    <w:p>
      <w:pPr>
        <w:spacing w:line="240" w:lineRule="auto" w:before="11"/>
        <w:rPr>
          <w:rFonts w:ascii="宋体" w:hAnsi="宋体" w:cs="宋体" w:eastAsia="宋体" w:hint="default"/>
          <w:sz w:val="18"/>
          <w:szCs w:val="18"/>
        </w:rPr>
      </w:pPr>
    </w:p>
    <w:p>
      <w:pPr>
        <w:pStyle w:val="BodyText"/>
        <w:spacing w:line="286" w:lineRule="exact"/>
        <w:ind w:left="558" w:right="109"/>
        <w:jc w:val="both"/>
      </w:pPr>
      <w:r>
        <w:rPr>
          <w:spacing w:val="2"/>
        </w:rPr>
        <w:t>金融负债于初始确认时分类为以公允价值计量且其变动计入当期损益的金融负债和其他金融</w:t>
      </w:r>
      <w:r>
        <w:rPr>
          <w:w w:val="99"/>
        </w:rPr>
        <w:t> </w:t>
      </w:r>
      <w:r>
        <w:rPr/>
        <w:t>负债。本集团的金融负债主要为其他金融负债，包括应付款项、借款等。</w:t>
      </w:r>
    </w:p>
    <w:p>
      <w:pPr>
        <w:spacing w:line="240" w:lineRule="auto" w:before="3"/>
        <w:rPr>
          <w:rFonts w:ascii="宋体" w:hAnsi="宋体" w:cs="宋体" w:eastAsia="宋体" w:hint="default"/>
          <w:sz w:val="19"/>
          <w:szCs w:val="19"/>
        </w:rPr>
      </w:pPr>
    </w:p>
    <w:p>
      <w:pPr>
        <w:pStyle w:val="BodyText"/>
        <w:spacing w:line="286" w:lineRule="exact"/>
        <w:ind w:left="558" w:right="109"/>
        <w:jc w:val="both"/>
      </w:pPr>
      <w:r>
        <w:rPr>
          <w:spacing w:val="2"/>
        </w:rPr>
        <w:t>应付款项包括应付账款、其他应付款等，以公允价值进行初始计量，并采用实际利率法按摊</w:t>
      </w:r>
      <w:r>
        <w:rPr>
          <w:w w:val="99"/>
        </w:rPr>
        <w:t> </w:t>
      </w:r>
      <w:r>
        <w:rPr>
          <w:spacing w:val="2"/>
        </w:rPr>
        <w:t>余成本进行后续计量。付款期限在一年以下（含一年）的应付款项列示为流动负债，其余的</w:t>
      </w:r>
      <w:r>
        <w:rPr>
          <w:w w:val="99"/>
        </w:rPr>
        <w:t> </w:t>
      </w:r>
      <w:r>
        <w:rPr/>
        <w:t>列示为非流动负债。</w:t>
      </w:r>
    </w:p>
    <w:p>
      <w:pPr>
        <w:spacing w:line="240" w:lineRule="auto" w:before="3"/>
        <w:rPr>
          <w:rFonts w:ascii="宋体" w:hAnsi="宋体" w:cs="宋体" w:eastAsia="宋体" w:hint="default"/>
          <w:sz w:val="19"/>
          <w:szCs w:val="19"/>
        </w:rPr>
      </w:pPr>
    </w:p>
    <w:p>
      <w:pPr>
        <w:pStyle w:val="BodyText"/>
        <w:spacing w:line="286" w:lineRule="exact"/>
        <w:ind w:left="558" w:right="108"/>
        <w:jc w:val="both"/>
      </w:pPr>
      <w:r>
        <w:rPr>
          <w:spacing w:val="2"/>
        </w:rPr>
        <w:t>本集团对借款、短期融资券和长期应付债券按其公允价值扣除交易费用后的金额进行初始计</w:t>
      </w:r>
      <w:r>
        <w:rPr>
          <w:w w:val="99"/>
        </w:rPr>
        <w:t> </w:t>
      </w:r>
      <w:r>
        <w:rPr>
          <w:spacing w:val="-1"/>
          <w:w w:val="95"/>
        </w:rPr>
        <w:t>量，并采用实际利率法按摊余成本进行后续计量。初始期限在一年以下</w:t>
      </w:r>
      <w:r>
        <w:rPr>
          <w:rFonts w:ascii="Arial" w:hAnsi="Arial" w:cs="Arial" w:eastAsia="Arial" w:hint="default"/>
          <w:spacing w:val="-1"/>
          <w:w w:val="95"/>
        </w:rPr>
        <w:t>(</w:t>
      </w:r>
      <w:r>
        <w:rPr>
          <w:spacing w:val="-1"/>
          <w:w w:val="95"/>
        </w:rPr>
        <w:t>含一年</w:t>
      </w:r>
      <w:r>
        <w:rPr>
          <w:rFonts w:ascii="Arial" w:hAnsi="Arial" w:cs="Arial" w:eastAsia="Arial" w:hint="default"/>
          <w:spacing w:val="-1"/>
          <w:w w:val="95"/>
        </w:rPr>
        <w:t>)</w:t>
      </w:r>
      <w:r>
        <w:rPr>
          <w:spacing w:val="-1"/>
          <w:w w:val="95"/>
        </w:rPr>
        <w:t>的负债列示为</w:t>
      </w:r>
      <w:r>
        <w:rPr>
          <w:spacing w:val="16"/>
          <w:w w:val="95"/>
        </w:rPr>
        <w:t> </w:t>
      </w:r>
      <w:r>
        <w:rPr>
          <w:spacing w:val="16"/>
          <w:w w:val="95"/>
        </w:rPr>
      </w:r>
      <w:r>
        <w:rPr>
          <w:spacing w:val="2"/>
        </w:rPr>
        <w:t>短期借款、应付短期债券等流动负债项目；初始期限在一年以上但自资产负债表日起一年内</w:t>
      </w:r>
    </w:p>
    <w:p>
      <w:pPr>
        <w:pStyle w:val="BodyText"/>
        <w:spacing w:line="284" w:lineRule="exact" w:before="1"/>
        <w:ind w:left="558" w:right="108"/>
        <w:jc w:val="both"/>
      </w:pPr>
      <w:r>
        <w:rPr>
          <w:spacing w:val="2"/>
        </w:rPr>
        <w:t>（含一年）到期的负债列示为一年内到期的非流动负债；其余列示为长期借款、应付债券等</w:t>
      </w:r>
      <w:r>
        <w:rPr>
          <w:w w:val="99"/>
        </w:rPr>
        <w:t> </w:t>
      </w:r>
      <w:r>
        <w:rPr/>
        <w:t>非流动负债项目。</w:t>
      </w:r>
    </w:p>
    <w:p>
      <w:pPr>
        <w:spacing w:line="240" w:lineRule="auto" w:before="5"/>
        <w:rPr>
          <w:rFonts w:ascii="宋体" w:hAnsi="宋体" w:cs="宋体" w:eastAsia="宋体" w:hint="default"/>
          <w:sz w:val="19"/>
          <w:szCs w:val="19"/>
        </w:rPr>
      </w:pPr>
    </w:p>
    <w:p>
      <w:pPr>
        <w:pStyle w:val="BodyText"/>
        <w:spacing w:line="286" w:lineRule="exact"/>
        <w:ind w:left="586" w:right="108"/>
        <w:jc w:val="both"/>
      </w:pPr>
      <w:r>
        <w:rPr/>
        <w:t>当金融负债的现时义务全部或部分已经解除时，终止确认该金融负债或义务已解除的部分。</w:t>
      </w:r>
      <w:r>
        <w:rPr>
          <w:spacing w:val="-58"/>
        </w:rPr>
        <w:t> </w:t>
      </w:r>
      <w:r>
        <w:rPr>
          <w:spacing w:val="-58"/>
        </w:rPr>
      </w:r>
      <w:r>
        <w:rPr/>
        <w:t>终止确认部分的账面价值与支付的对价之间的差额，计入当期损益。</w:t>
      </w:r>
    </w:p>
    <w:p>
      <w:pPr>
        <w:pStyle w:val="BodyText"/>
        <w:spacing w:line="240" w:lineRule="auto" w:before="182"/>
        <w:ind w:left="138" w:right="702"/>
        <w:jc w:val="left"/>
      </w:pPr>
      <w:r>
        <w:rPr>
          <w:rFonts w:ascii="Arial" w:hAnsi="Arial" w:cs="Arial" w:eastAsia="Arial" w:hint="default"/>
        </w:rPr>
        <w:t>(c)  </w:t>
      </w:r>
      <w:r>
        <w:rPr>
          <w:rFonts w:ascii="Arial" w:hAnsi="Arial" w:cs="Arial" w:eastAsia="Arial" w:hint="default"/>
          <w:spacing w:val="6"/>
        </w:rPr>
        <w:t> </w:t>
      </w:r>
      <w:r>
        <w:rPr/>
        <w:t>金融工具的公允价值确定</w:t>
      </w:r>
    </w:p>
    <w:p>
      <w:pPr>
        <w:spacing w:line="240" w:lineRule="auto" w:before="11"/>
        <w:rPr>
          <w:rFonts w:ascii="宋体" w:hAnsi="宋体" w:cs="宋体" w:eastAsia="宋体" w:hint="default"/>
          <w:sz w:val="16"/>
          <w:szCs w:val="16"/>
        </w:rPr>
      </w:pPr>
    </w:p>
    <w:p>
      <w:pPr>
        <w:pStyle w:val="BodyText"/>
        <w:spacing w:line="237" w:lineRule="auto"/>
        <w:ind w:left="586" w:right="108"/>
        <w:jc w:val="both"/>
      </w:pPr>
      <w:r>
        <w:rPr/>
        <w:t>存在活跃市场的金融工具，以活跃市场中的报价确定其公允价值。不存在活跃市场的金融工</w:t>
      </w:r>
      <w:r>
        <w:rPr>
          <w:spacing w:val="-58"/>
        </w:rPr>
        <w:t> </w:t>
      </w:r>
      <w:r>
        <w:rPr>
          <w:spacing w:val="-58"/>
        </w:rPr>
      </w:r>
      <w:r>
        <w:rPr/>
        <w:t>具，采用估值技术确定其公允价值。估值技术包括参考熟悉情况并自愿交易的各方最近进行</w:t>
      </w:r>
      <w:r>
        <w:rPr>
          <w:spacing w:val="-58"/>
        </w:rPr>
        <w:t> </w:t>
      </w:r>
      <w:r>
        <w:rPr>
          <w:spacing w:val="-58"/>
        </w:rPr>
      </w:r>
      <w:r>
        <w:rPr/>
        <w:t>的市场交易中使用的价格、参照实质上相同的其他金融资产的当前公允价值、现金流量折现</w:t>
      </w:r>
      <w:r>
        <w:rPr>
          <w:spacing w:val="-58"/>
        </w:rPr>
        <w:t> </w:t>
      </w:r>
      <w:r>
        <w:rPr>
          <w:spacing w:val="-58"/>
        </w:rPr>
      </w:r>
      <w:r>
        <w:rPr/>
        <w:t>法等。采用估值技术时，尽可能最大程度使用可观察到的市场参数，减少使用与本集团特定</w:t>
      </w:r>
      <w:r>
        <w:rPr>
          <w:spacing w:val="-58"/>
        </w:rPr>
        <w:t> </w:t>
      </w:r>
      <w:r>
        <w:rPr>
          <w:spacing w:val="-58"/>
        </w:rPr>
      </w:r>
      <w:r>
        <w:rPr/>
        <w:t>相关的参数。</w:t>
      </w:r>
    </w:p>
    <w:p>
      <w:pPr>
        <w:spacing w:line="240" w:lineRule="auto" w:before="13"/>
        <w:rPr>
          <w:rFonts w:ascii="宋体" w:hAnsi="宋体" w:cs="宋体" w:eastAsia="宋体" w:hint="default"/>
          <w:sz w:val="16"/>
          <w:szCs w:val="16"/>
        </w:rPr>
      </w:pPr>
    </w:p>
    <w:p>
      <w:pPr>
        <w:pStyle w:val="BodyText"/>
        <w:spacing w:line="240" w:lineRule="auto"/>
        <w:ind w:left="138" w:right="702"/>
        <w:jc w:val="left"/>
      </w:pPr>
      <w:r>
        <w:rPr>
          <w:rFonts w:ascii="Arial" w:hAnsi="Arial" w:cs="Arial" w:eastAsia="Arial" w:hint="default"/>
        </w:rPr>
        <w:t>10</w:t>
      </w:r>
      <w:r>
        <w:rPr/>
        <w:t>、应收款项</w:t>
      </w:r>
    </w:p>
    <w:p>
      <w:pPr>
        <w:spacing w:line="240" w:lineRule="auto" w:before="12"/>
        <w:rPr>
          <w:rFonts w:ascii="宋体" w:hAnsi="宋体" w:cs="宋体" w:eastAsia="宋体" w:hint="default"/>
          <w:sz w:val="16"/>
          <w:szCs w:val="16"/>
        </w:rPr>
      </w:pPr>
    </w:p>
    <w:p>
      <w:pPr>
        <w:pStyle w:val="BodyText"/>
        <w:spacing w:line="237" w:lineRule="auto"/>
        <w:ind w:left="586" w:right="108"/>
        <w:jc w:val="both"/>
      </w:pPr>
      <w:r>
        <w:rPr/>
        <w:t>本集团的应收款项主要包括应收账款和其他应收款。本集团对外提供电信服务及其他劳务或</w:t>
      </w:r>
      <w:r>
        <w:rPr>
          <w:spacing w:val="-58"/>
        </w:rPr>
        <w:t> </w:t>
      </w:r>
      <w:r>
        <w:rPr>
          <w:spacing w:val="-58"/>
        </w:rPr>
      </w:r>
      <w:r>
        <w:rPr/>
        <w:t>销售通信产品以及其他日常经营活动形成的应收款项，按应收的合同或协议价款的公允价值</w:t>
      </w:r>
      <w:r>
        <w:rPr>
          <w:spacing w:val="-58"/>
        </w:rPr>
        <w:t> </w:t>
      </w:r>
      <w:r>
        <w:rPr>
          <w:spacing w:val="-58"/>
        </w:rPr>
      </w:r>
      <w:r>
        <w:rPr/>
        <w:t>作为初始确认金额。</w:t>
      </w:r>
    </w:p>
    <w:p>
      <w:pPr>
        <w:spacing w:after="0" w:line="237" w:lineRule="auto"/>
        <w:jc w:val="both"/>
        <w:sectPr>
          <w:headerReference w:type="default" r:id="rId43"/>
          <w:pgSz w:w="11910" w:h="16840"/>
          <w:pgMar w:header="967" w:footer="600" w:top="3860" w:bottom="780" w:left="1420" w:right="920"/>
        </w:sectPr>
      </w:pPr>
    </w:p>
    <w:p>
      <w:pPr>
        <w:spacing w:line="240" w:lineRule="auto" w:before="5"/>
        <w:rPr>
          <w:rFonts w:ascii="宋体" w:hAnsi="宋体" w:cs="宋体" w:eastAsia="宋体" w:hint="default"/>
          <w:sz w:val="12"/>
          <w:szCs w:val="12"/>
        </w:rPr>
      </w:pPr>
    </w:p>
    <w:p>
      <w:pPr>
        <w:pStyle w:val="BodyText"/>
        <w:tabs>
          <w:tab w:pos="615" w:val="left" w:leader="none"/>
        </w:tabs>
        <w:spacing w:line="240" w:lineRule="auto" w:before="31"/>
        <w:ind w:left="138" w:right="702"/>
        <w:jc w:val="left"/>
      </w:pPr>
      <w:r>
        <w:rPr>
          <w:rFonts w:ascii="Arial" w:hAnsi="Arial" w:cs="Arial" w:eastAsia="Arial" w:hint="default"/>
          <w:w w:val="95"/>
        </w:rPr>
        <w:t>(a)</w:t>
        <w:tab/>
      </w:r>
      <w:r>
        <w:rPr/>
        <w:t>单项金额重大的应收款项坏账准备的确认标准、计提方法：</w:t>
      </w:r>
    </w:p>
    <w:p>
      <w:pPr>
        <w:pStyle w:val="BodyText"/>
        <w:tabs>
          <w:tab w:pos="615" w:val="left" w:leader="none"/>
        </w:tabs>
        <w:spacing w:line="240" w:lineRule="auto" w:before="176"/>
        <w:ind w:left="138" w:right="702"/>
        <w:jc w:val="left"/>
      </w:pPr>
      <w:r>
        <w:rPr>
          <w:rFonts w:ascii="Arial" w:hAnsi="Arial" w:cs="Arial" w:eastAsia="Arial" w:hint="default"/>
          <w:w w:val="95"/>
        </w:rPr>
        <w:t>(1)</w:t>
        <w:tab/>
      </w:r>
      <w:r>
        <w:rPr/>
        <w:t>单项金额重大的应收款项坏账准备的确认标准</w:t>
      </w:r>
    </w:p>
    <w:p>
      <w:pPr>
        <w:spacing w:line="240" w:lineRule="auto" w:before="11"/>
        <w:rPr>
          <w:rFonts w:ascii="宋体" w:hAnsi="宋体" w:cs="宋体" w:eastAsia="宋体" w:hint="default"/>
          <w:sz w:val="18"/>
          <w:szCs w:val="18"/>
        </w:rPr>
      </w:pPr>
    </w:p>
    <w:p>
      <w:pPr>
        <w:pStyle w:val="BodyText"/>
        <w:spacing w:line="286" w:lineRule="exact"/>
        <w:ind w:left="615" w:right="107"/>
        <w:jc w:val="left"/>
      </w:pPr>
      <w:r>
        <w:rPr/>
        <w:t>对于单项金额重大的应收款项，单独进行减值测试，当存在客观证据表明本集团将无法按应</w:t>
      </w:r>
      <w:r>
        <w:rPr>
          <w:spacing w:val="-80"/>
        </w:rPr>
        <w:t> </w:t>
      </w:r>
      <w:r>
        <w:rPr>
          <w:spacing w:val="-80"/>
        </w:rPr>
      </w:r>
      <w:r>
        <w:rPr/>
        <w:t>收款项的原有条款收回所有款项时，计提坏账准备。</w:t>
      </w:r>
    </w:p>
    <w:p>
      <w:pPr>
        <w:pStyle w:val="BodyText"/>
        <w:tabs>
          <w:tab w:pos="615" w:val="left" w:leader="none"/>
        </w:tabs>
        <w:spacing w:line="412" w:lineRule="auto" w:before="194"/>
        <w:ind w:left="615" w:right="1906" w:hanging="477"/>
        <w:jc w:val="left"/>
      </w:pPr>
      <w:r>
        <w:rPr>
          <w:rFonts w:ascii="Arial" w:hAnsi="Arial" w:cs="Arial" w:eastAsia="Arial" w:hint="default"/>
          <w:w w:val="95"/>
        </w:rPr>
        <w:t>(2)</w:t>
        <w:tab/>
      </w:r>
      <w:r>
        <w:rPr/>
        <w:t>单项金额重大的应收款项坏账准备的计提方法</w:t>
      </w:r>
      <w:r>
        <w:rPr>
          <w:w w:val="99"/>
        </w:rPr>
        <w:t> </w:t>
      </w:r>
      <w:r>
        <w:rPr/>
        <w:t>根据应收款项的预计未来现金流量现值低于其账面价值的差额进行计提。</w:t>
      </w:r>
    </w:p>
    <w:p>
      <w:pPr>
        <w:pStyle w:val="BodyText"/>
        <w:tabs>
          <w:tab w:pos="615" w:val="left" w:leader="none"/>
        </w:tabs>
        <w:spacing w:line="189" w:lineRule="auto" w:before="117"/>
        <w:ind w:left="615" w:right="107" w:hanging="477"/>
        <w:jc w:val="left"/>
      </w:pPr>
      <w:r>
        <w:rPr>
          <w:rFonts w:ascii="Arial" w:hAnsi="Arial" w:cs="Arial" w:eastAsia="Arial" w:hint="default"/>
          <w:w w:val="95"/>
        </w:rPr>
        <w:t>(b)</w:t>
        <w:tab/>
      </w:r>
      <w:r>
        <w:rPr/>
        <w:t>单项金额不重大，但按信用风险特征组合后该组合的风险较大的应收款项坏账准备的确定依</w:t>
      </w:r>
      <w:r>
        <w:rPr>
          <w:spacing w:val="-86"/>
        </w:rPr>
        <w:t> </w:t>
      </w:r>
      <w:r>
        <w:rPr>
          <w:spacing w:val="-86"/>
        </w:rPr>
      </w:r>
      <w:r>
        <w:rPr/>
        <w:t>据、计提方法：</w:t>
      </w:r>
    </w:p>
    <w:p>
      <w:pPr>
        <w:spacing w:line="240" w:lineRule="auto" w:before="8"/>
        <w:rPr>
          <w:rFonts w:ascii="宋体" w:hAnsi="宋体" w:cs="宋体" w:eastAsia="宋体" w:hint="default"/>
          <w:sz w:val="18"/>
          <w:szCs w:val="18"/>
        </w:rPr>
      </w:pPr>
    </w:p>
    <w:p>
      <w:pPr>
        <w:pStyle w:val="BodyText"/>
        <w:spacing w:line="237" w:lineRule="auto"/>
        <w:ind w:left="615" w:right="107"/>
        <w:jc w:val="both"/>
      </w:pPr>
      <w:r>
        <w:rPr/>
        <w:t>对于单项金额不重大由一般用户使用电信服务产生的应收款项，与未进行上述单独减值测试</w:t>
      </w:r>
      <w:r>
        <w:rPr>
          <w:spacing w:val="-80"/>
        </w:rPr>
        <w:t> </w:t>
      </w:r>
      <w:r>
        <w:rPr>
          <w:spacing w:val="-80"/>
        </w:rPr>
      </w:r>
      <w:r>
        <w:rPr/>
        <w:t>的应收款项一起按信用风险特征划分为若干组合，根据以前年度与之相同或相类似的、具有</w:t>
      </w:r>
      <w:r>
        <w:rPr>
          <w:spacing w:val="-80"/>
        </w:rPr>
        <w:t> </w:t>
      </w:r>
      <w:r>
        <w:rPr>
          <w:spacing w:val="-80"/>
        </w:rPr>
      </w:r>
      <w:r>
        <w:rPr/>
        <w:t>类似信用风险特征的应收账款组合的实际损失率为基础，结合现时情况确定应计提的坏账准</w:t>
      </w:r>
      <w:r>
        <w:rPr>
          <w:spacing w:val="-80"/>
        </w:rPr>
        <w:t> </w:t>
      </w:r>
      <w:r>
        <w:rPr>
          <w:spacing w:val="-80"/>
        </w:rPr>
      </w:r>
      <w:r>
        <w:rPr/>
        <w:t>备。</w:t>
      </w:r>
    </w:p>
    <w:p>
      <w:pPr>
        <w:spacing w:line="240" w:lineRule="auto" w:before="3"/>
        <w:rPr>
          <w:rFonts w:ascii="宋体" w:hAnsi="宋体" w:cs="宋体" w:eastAsia="宋体" w:hint="default"/>
          <w:sz w:val="19"/>
          <w:szCs w:val="19"/>
        </w:rPr>
      </w:pPr>
    </w:p>
    <w:p>
      <w:pPr>
        <w:pStyle w:val="BodyText"/>
        <w:spacing w:line="448" w:lineRule="auto"/>
        <w:ind w:left="615" w:right="789"/>
        <w:jc w:val="left"/>
      </w:pPr>
      <w:r>
        <w:rPr/>
        <w:t>信用风险特征组合的确定依据：以应收款项的账龄为基础确定。</w:t>
      </w:r>
      <w:r>
        <w:rPr>
          <w:w w:val="99"/>
        </w:rPr>
        <w:t> </w:t>
      </w:r>
      <w:r>
        <w:rPr/>
        <w:t>根据信用风险特征组合确定的计提方法为账龄分析法。</w:t>
      </w:r>
      <w:r>
        <w:rPr>
          <w:w w:val="99"/>
        </w:rPr>
        <w:t> </w:t>
      </w:r>
      <w:r>
        <w:rPr/>
        <w:t>一般商务及公众用户的用户欠费作为单独的信用风险特征组合，计提比例列示如下：</w:t>
      </w:r>
    </w:p>
    <w:p>
      <w:pPr>
        <w:pStyle w:val="BodyText"/>
        <w:spacing w:line="240" w:lineRule="auto" w:before="58"/>
        <w:ind w:left="0" w:right="267"/>
        <w:jc w:val="right"/>
      </w:pPr>
      <w:r>
        <w:rPr>
          <w:w w:val="95"/>
        </w:rPr>
        <w:t>应收账款计提比例</w:t>
      </w:r>
      <w:r>
        <w:rPr/>
      </w:r>
    </w:p>
    <w:p>
      <w:pPr>
        <w:spacing w:line="240" w:lineRule="auto" w:before="7"/>
        <w:rPr>
          <w:rFonts w:ascii="宋体" w:hAnsi="宋体" w:cs="宋体" w:eastAsia="宋体" w:hint="default"/>
          <w:sz w:val="2"/>
          <w:szCs w:val="2"/>
        </w:rPr>
      </w:pPr>
    </w:p>
    <w:p>
      <w:pPr>
        <w:spacing w:line="20" w:lineRule="exact"/>
        <w:ind w:left="6941" w:right="0" w:firstLine="0"/>
        <w:rPr>
          <w:rFonts w:ascii="宋体" w:hAnsi="宋体" w:cs="宋体" w:eastAsia="宋体" w:hint="default"/>
          <w:sz w:val="2"/>
          <w:szCs w:val="2"/>
        </w:rPr>
      </w:pPr>
      <w:r>
        <w:rPr>
          <w:rFonts w:ascii="宋体" w:hAnsi="宋体" w:cs="宋体" w:eastAsia="宋体" w:hint="default"/>
          <w:sz w:val="2"/>
          <w:szCs w:val="2"/>
        </w:rPr>
        <w:pict>
          <v:group style="width:123.25pt;height:.75pt;mso-position-horizontal-relative:char;mso-position-vertical-relative:line" coordorigin="0,0" coordsize="2465,15">
            <v:group style="position:absolute;left:7;top:7;width:2451;height:2" coordorigin="7,7" coordsize="2451,2">
              <v:shape style="position:absolute;left:7;top:7;width:2451;height:2" coordorigin="7,7" coordsize="2451,0" path="m7,7l2458,7e" filled="false" stroked="true" strokeweight=".72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sz w:val="10"/>
          <w:szCs w:val="10"/>
        </w:rPr>
      </w:pPr>
    </w:p>
    <w:p>
      <w:pPr>
        <w:pStyle w:val="BodyText"/>
        <w:tabs>
          <w:tab w:pos="9221" w:val="left" w:leader="none"/>
        </w:tabs>
        <w:spacing w:line="305" w:lineRule="exact" w:before="27"/>
        <w:ind w:left="740" w:right="107"/>
        <w:jc w:val="left"/>
        <w:rPr>
          <w:rFonts w:ascii="Arial" w:hAnsi="Arial" w:cs="Arial" w:eastAsia="Arial" w:hint="default"/>
        </w:rPr>
      </w:pPr>
      <w:r>
        <w:rPr>
          <w:position w:val="2"/>
        </w:rPr>
        <w:t>超过信用期后账龄</w:t>
      </w:r>
      <w:r>
        <w:rPr>
          <w:spacing w:val="-57"/>
          <w:position w:val="2"/>
        </w:rPr>
        <w:t> </w:t>
      </w:r>
      <w:r>
        <w:rPr>
          <w:rFonts w:ascii="Arial" w:hAnsi="Arial" w:cs="Arial" w:eastAsia="Arial" w:hint="default"/>
          <w:position w:val="2"/>
        </w:rPr>
        <w:t>3</w:t>
      </w:r>
      <w:r>
        <w:rPr>
          <w:rFonts w:ascii="Arial" w:hAnsi="Arial" w:cs="Arial" w:eastAsia="Arial" w:hint="default"/>
          <w:spacing w:val="-8"/>
          <w:position w:val="2"/>
        </w:rPr>
        <w:t> </w:t>
      </w:r>
      <w:r>
        <w:rPr>
          <w:position w:val="2"/>
        </w:rPr>
        <w:t>个月以内</w:t>
        <w:tab/>
      </w:r>
      <w:r>
        <w:rPr>
          <w:rFonts w:ascii="Arial" w:hAnsi="Arial" w:cs="Arial" w:eastAsia="Arial" w:hint="default"/>
        </w:rPr>
        <w:t>-</w:t>
      </w:r>
    </w:p>
    <w:p>
      <w:pPr>
        <w:pStyle w:val="BodyText"/>
        <w:tabs>
          <w:tab w:pos="8731" w:val="left" w:leader="none"/>
        </w:tabs>
        <w:spacing w:line="305" w:lineRule="exact"/>
        <w:ind w:left="739" w:right="107"/>
        <w:jc w:val="left"/>
        <w:rPr>
          <w:rFonts w:ascii="Arial" w:hAnsi="Arial" w:cs="Arial" w:eastAsia="Arial" w:hint="default"/>
        </w:rPr>
      </w:pPr>
      <w:r>
        <w:rPr>
          <w:position w:val="2"/>
        </w:rPr>
        <w:t>超过信用期后账龄</w:t>
      </w:r>
      <w:r>
        <w:rPr>
          <w:spacing w:val="-57"/>
          <w:position w:val="2"/>
        </w:rPr>
        <w:t> </w:t>
      </w:r>
      <w:r>
        <w:rPr>
          <w:rFonts w:ascii="Arial" w:hAnsi="Arial" w:cs="Arial" w:eastAsia="Arial" w:hint="default"/>
          <w:position w:val="2"/>
        </w:rPr>
        <w:t>3</w:t>
      </w:r>
      <w:r>
        <w:rPr>
          <w:rFonts w:ascii="Arial" w:hAnsi="Arial" w:cs="Arial" w:eastAsia="Arial" w:hint="default"/>
          <w:spacing w:val="-8"/>
          <w:position w:val="2"/>
        </w:rPr>
        <w:t> </w:t>
      </w:r>
      <w:r>
        <w:rPr>
          <w:position w:val="2"/>
        </w:rPr>
        <w:t>个月以上</w:t>
        <w:tab/>
      </w:r>
      <w:r>
        <w:rPr>
          <w:rFonts w:ascii="Arial" w:hAnsi="Arial" w:cs="Arial" w:eastAsia="Arial" w:hint="default"/>
        </w:rPr>
        <w:t>100%</w:t>
      </w:r>
    </w:p>
    <w:p>
      <w:pPr>
        <w:spacing w:line="240" w:lineRule="auto" w:before="11"/>
        <w:rPr>
          <w:rFonts w:ascii="Arial" w:hAnsi="Arial" w:cs="Arial" w:eastAsia="Arial" w:hint="default"/>
          <w:sz w:val="18"/>
          <w:szCs w:val="18"/>
        </w:rPr>
      </w:pPr>
    </w:p>
    <w:p>
      <w:pPr>
        <w:pStyle w:val="BodyText"/>
        <w:spacing w:line="240" w:lineRule="auto"/>
        <w:ind w:left="614" w:right="702"/>
        <w:jc w:val="left"/>
      </w:pPr>
      <w:r>
        <w:rPr/>
        <w:t>除上述情况以外的信用风险特征组合，计提比例列示如下：</w:t>
      </w:r>
    </w:p>
    <w:p>
      <w:pPr>
        <w:spacing w:line="240" w:lineRule="auto" w:before="10"/>
        <w:rPr>
          <w:rFonts w:ascii="宋体" w:hAnsi="宋体" w:cs="宋体" w:eastAsia="宋体" w:hint="default"/>
          <w:sz w:val="16"/>
          <w:szCs w:val="16"/>
        </w:rPr>
      </w:pPr>
    </w:p>
    <w:tbl>
      <w:tblPr>
        <w:tblW w:w="0" w:type="auto"/>
        <w:jc w:val="left"/>
        <w:tblInd w:w="705" w:type="dxa"/>
        <w:tblLayout w:type="fixed"/>
        <w:tblCellMar>
          <w:top w:w="0" w:type="dxa"/>
          <w:left w:w="0" w:type="dxa"/>
          <w:bottom w:w="0" w:type="dxa"/>
          <w:right w:w="0" w:type="dxa"/>
        </w:tblCellMar>
        <w:tblLook w:val="01E0"/>
      </w:tblPr>
      <w:tblGrid>
        <w:gridCol w:w="3389"/>
        <w:gridCol w:w="2617"/>
        <w:gridCol w:w="238"/>
        <w:gridCol w:w="2450"/>
      </w:tblGrid>
      <w:tr>
        <w:trPr>
          <w:trHeight w:val="361" w:hRule="exact"/>
        </w:trPr>
        <w:tc>
          <w:tcPr>
            <w:tcW w:w="3389" w:type="dxa"/>
            <w:tcBorders>
              <w:top w:val="nil" w:sz="6" w:space="0" w:color="auto"/>
              <w:left w:val="nil" w:sz="6" w:space="0" w:color="auto"/>
              <w:bottom w:val="nil" w:sz="6" w:space="0" w:color="auto"/>
              <w:right w:val="nil" w:sz="6" w:space="0" w:color="auto"/>
            </w:tcBorders>
          </w:tcPr>
          <w:p>
            <w:pPr/>
          </w:p>
        </w:tc>
        <w:tc>
          <w:tcPr>
            <w:tcW w:w="2617"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103"/>
              <w:jc w:val="right"/>
              <w:rPr>
                <w:rFonts w:ascii="宋体" w:hAnsi="宋体" w:cs="宋体" w:eastAsia="宋体" w:hint="default"/>
                <w:sz w:val="22"/>
                <w:szCs w:val="22"/>
              </w:rPr>
            </w:pPr>
            <w:r>
              <w:rPr>
                <w:rFonts w:ascii="宋体" w:hAnsi="宋体" w:cs="宋体" w:eastAsia="宋体" w:hint="default"/>
                <w:w w:val="95"/>
                <w:sz w:val="22"/>
                <w:szCs w:val="22"/>
              </w:rPr>
              <w:t>应收账款计提比例</w:t>
            </w:r>
            <w:r>
              <w:rPr>
                <w:rFonts w:ascii="宋体" w:hAnsi="宋体" w:cs="宋体" w:eastAsia="宋体" w:hint="default"/>
                <w:sz w:val="22"/>
                <w:szCs w:val="22"/>
              </w:rPr>
            </w:r>
          </w:p>
        </w:tc>
        <w:tc>
          <w:tcPr>
            <w:tcW w:w="238" w:type="dxa"/>
            <w:tcBorders>
              <w:top w:val="nil" w:sz="6" w:space="0" w:color="auto"/>
              <w:left w:val="nil" w:sz="6" w:space="0" w:color="auto"/>
              <w:bottom w:val="nil" w:sz="6" w:space="0" w:color="auto"/>
              <w:right w:val="nil" w:sz="6" w:space="0" w:color="auto"/>
            </w:tcBorders>
          </w:tcPr>
          <w:p>
            <w:pPr/>
          </w:p>
        </w:tc>
        <w:tc>
          <w:tcPr>
            <w:tcW w:w="2450"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103"/>
              <w:jc w:val="right"/>
              <w:rPr>
                <w:rFonts w:ascii="宋体" w:hAnsi="宋体" w:cs="宋体" w:eastAsia="宋体" w:hint="default"/>
                <w:sz w:val="22"/>
                <w:szCs w:val="22"/>
              </w:rPr>
            </w:pPr>
            <w:r>
              <w:rPr>
                <w:rFonts w:ascii="宋体" w:hAnsi="宋体" w:cs="宋体" w:eastAsia="宋体" w:hint="default"/>
                <w:w w:val="95"/>
                <w:sz w:val="22"/>
                <w:szCs w:val="22"/>
              </w:rPr>
              <w:t>其他应收款计提比例</w:t>
            </w:r>
            <w:r>
              <w:rPr>
                <w:rFonts w:ascii="宋体" w:hAnsi="宋体" w:cs="宋体" w:eastAsia="宋体" w:hint="default"/>
                <w:sz w:val="22"/>
                <w:szCs w:val="22"/>
              </w:rPr>
            </w:r>
          </w:p>
        </w:tc>
      </w:tr>
      <w:tr>
        <w:trPr>
          <w:trHeight w:val="512" w:hRule="exact"/>
        </w:trPr>
        <w:tc>
          <w:tcPr>
            <w:tcW w:w="3389" w:type="dxa"/>
            <w:tcBorders>
              <w:top w:val="nil" w:sz="6" w:space="0" w:color="auto"/>
              <w:left w:val="nil" w:sz="6" w:space="0" w:color="auto"/>
              <w:bottom w:val="nil" w:sz="6" w:space="0" w:color="auto"/>
              <w:right w:val="nil" w:sz="6" w:space="0" w:color="auto"/>
            </w:tcBorders>
          </w:tcPr>
          <w:p>
            <w:pPr>
              <w:pStyle w:val="TableParagraph"/>
              <w:spacing w:line="240" w:lineRule="auto" w:before="178"/>
              <w:ind w:left="35" w:right="0"/>
              <w:jc w:val="left"/>
              <w:rPr>
                <w:rFonts w:ascii="宋体" w:hAnsi="宋体" w:cs="宋体" w:eastAsia="宋体" w:hint="default"/>
                <w:sz w:val="22"/>
                <w:szCs w:val="22"/>
              </w:rPr>
            </w:pPr>
            <w:r>
              <w:rPr>
                <w:rFonts w:ascii="宋体" w:hAnsi="宋体" w:cs="宋体" w:eastAsia="宋体" w:hint="default"/>
                <w:sz w:val="22"/>
                <w:szCs w:val="22"/>
              </w:rPr>
              <w:t>账龄</w:t>
            </w:r>
            <w:r>
              <w:rPr>
                <w:rFonts w:ascii="宋体" w:hAnsi="宋体" w:cs="宋体" w:eastAsia="宋体" w:hint="default"/>
                <w:spacing w:val="-56"/>
                <w:sz w:val="22"/>
                <w:szCs w:val="22"/>
              </w:rPr>
              <w:t> </w:t>
            </w:r>
            <w:r>
              <w:rPr>
                <w:rFonts w:ascii="Arial" w:hAnsi="Arial" w:cs="Arial" w:eastAsia="Arial" w:hint="default"/>
                <w:sz w:val="22"/>
                <w:szCs w:val="22"/>
              </w:rPr>
              <w:t>6</w:t>
            </w:r>
            <w:r>
              <w:rPr>
                <w:rFonts w:ascii="Arial" w:hAnsi="Arial" w:cs="Arial" w:eastAsia="Arial" w:hint="default"/>
                <w:spacing w:val="-7"/>
                <w:sz w:val="22"/>
                <w:szCs w:val="22"/>
              </w:rPr>
              <w:t> </w:t>
            </w:r>
            <w:r>
              <w:rPr>
                <w:rFonts w:ascii="宋体" w:hAnsi="宋体" w:cs="宋体" w:eastAsia="宋体" w:hint="default"/>
                <w:sz w:val="22"/>
                <w:szCs w:val="22"/>
              </w:rPr>
              <w:t>个月以内</w:t>
            </w:r>
          </w:p>
        </w:tc>
        <w:tc>
          <w:tcPr>
            <w:tcW w:w="2617"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2"/>
              <w:jc w:val="right"/>
              <w:rPr>
                <w:rFonts w:ascii="Arial" w:hAnsi="Arial" w:cs="Arial" w:eastAsia="Arial" w:hint="default"/>
                <w:sz w:val="22"/>
                <w:szCs w:val="22"/>
              </w:rPr>
            </w:pPr>
            <w:r>
              <w:rPr>
                <w:rFonts w:ascii="Arial"/>
                <w:w w:val="99"/>
                <w:sz w:val="22"/>
              </w:rPr>
              <w:t>-</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2450"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2"/>
              <w:jc w:val="right"/>
              <w:rPr>
                <w:rFonts w:ascii="Arial" w:hAnsi="Arial" w:cs="Arial" w:eastAsia="Arial" w:hint="default"/>
                <w:sz w:val="22"/>
                <w:szCs w:val="22"/>
              </w:rPr>
            </w:pPr>
            <w:r>
              <w:rPr>
                <w:rFonts w:ascii="Arial"/>
                <w:w w:val="99"/>
                <w:sz w:val="22"/>
              </w:rPr>
              <w:t>-</w:t>
            </w:r>
            <w:r>
              <w:rPr>
                <w:rFonts w:ascii="Arial"/>
                <w:sz w:val="22"/>
              </w:rPr>
            </w:r>
          </w:p>
        </w:tc>
      </w:tr>
      <w:tr>
        <w:trPr>
          <w:trHeight w:val="285" w:hRule="exact"/>
        </w:trPr>
        <w:tc>
          <w:tcPr>
            <w:tcW w:w="3389"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sz w:val="22"/>
                <w:szCs w:val="22"/>
              </w:rPr>
              <w:t>账龄</w:t>
            </w:r>
            <w:r>
              <w:rPr>
                <w:rFonts w:ascii="宋体" w:hAnsi="宋体" w:cs="宋体" w:eastAsia="宋体" w:hint="default"/>
                <w:spacing w:val="-56"/>
                <w:sz w:val="22"/>
                <w:szCs w:val="22"/>
              </w:rPr>
              <w:t> </w:t>
            </w:r>
            <w:r>
              <w:rPr>
                <w:rFonts w:ascii="Arial" w:hAnsi="Arial" w:cs="Arial" w:eastAsia="Arial" w:hint="default"/>
                <w:sz w:val="22"/>
                <w:szCs w:val="22"/>
              </w:rPr>
              <w:t>6-12</w:t>
            </w:r>
            <w:r>
              <w:rPr>
                <w:rFonts w:ascii="Arial" w:hAnsi="Arial" w:cs="Arial" w:eastAsia="Arial" w:hint="default"/>
                <w:spacing w:val="-7"/>
                <w:sz w:val="22"/>
                <w:szCs w:val="22"/>
              </w:rPr>
              <w:t> </w:t>
            </w:r>
            <w:r>
              <w:rPr>
                <w:rFonts w:ascii="宋体" w:hAnsi="宋体" w:cs="宋体" w:eastAsia="宋体" w:hint="default"/>
                <w:sz w:val="22"/>
                <w:szCs w:val="22"/>
              </w:rPr>
              <w:t>个月</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2"/>
              <w:jc w:val="right"/>
              <w:rPr>
                <w:rFonts w:ascii="Arial" w:hAnsi="Arial" w:cs="Arial" w:eastAsia="Arial" w:hint="default"/>
                <w:sz w:val="22"/>
                <w:szCs w:val="22"/>
              </w:rPr>
            </w:pPr>
            <w:r>
              <w:rPr>
                <w:rFonts w:ascii="Arial"/>
                <w:w w:val="95"/>
                <w:sz w:val="22"/>
              </w:rPr>
              <w:t>10%</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245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2"/>
              <w:jc w:val="right"/>
              <w:rPr>
                <w:rFonts w:ascii="Arial" w:hAnsi="Arial" w:cs="Arial" w:eastAsia="Arial" w:hint="default"/>
                <w:sz w:val="22"/>
                <w:szCs w:val="22"/>
              </w:rPr>
            </w:pPr>
            <w:r>
              <w:rPr>
                <w:rFonts w:ascii="Arial"/>
                <w:w w:val="95"/>
                <w:sz w:val="22"/>
              </w:rPr>
              <w:t>10%</w:t>
            </w:r>
            <w:r>
              <w:rPr>
                <w:rFonts w:ascii="Arial"/>
                <w:sz w:val="22"/>
              </w:rPr>
            </w:r>
          </w:p>
        </w:tc>
      </w:tr>
      <w:tr>
        <w:trPr>
          <w:trHeight w:val="286" w:hRule="exact"/>
        </w:trPr>
        <w:tc>
          <w:tcPr>
            <w:tcW w:w="3389"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sz w:val="22"/>
                <w:szCs w:val="22"/>
              </w:rPr>
              <w:t>账龄</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年</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2"/>
              <w:jc w:val="right"/>
              <w:rPr>
                <w:rFonts w:ascii="Arial" w:hAnsi="Arial" w:cs="Arial" w:eastAsia="Arial" w:hint="default"/>
                <w:sz w:val="22"/>
                <w:szCs w:val="22"/>
              </w:rPr>
            </w:pPr>
            <w:r>
              <w:rPr>
                <w:rFonts w:ascii="Arial"/>
                <w:w w:val="95"/>
                <w:sz w:val="22"/>
              </w:rPr>
              <w:t>20%</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245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2"/>
              <w:jc w:val="right"/>
              <w:rPr>
                <w:rFonts w:ascii="Arial" w:hAnsi="Arial" w:cs="Arial" w:eastAsia="Arial" w:hint="default"/>
                <w:sz w:val="22"/>
                <w:szCs w:val="22"/>
              </w:rPr>
            </w:pPr>
            <w:r>
              <w:rPr>
                <w:rFonts w:ascii="Arial"/>
                <w:w w:val="95"/>
                <w:sz w:val="22"/>
              </w:rPr>
              <w:t>20%</w:t>
            </w:r>
            <w:r>
              <w:rPr>
                <w:rFonts w:ascii="Arial"/>
                <w:sz w:val="22"/>
              </w:rPr>
            </w:r>
          </w:p>
        </w:tc>
      </w:tr>
      <w:tr>
        <w:trPr>
          <w:trHeight w:val="286" w:hRule="exact"/>
        </w:trPr>
        <w:tc>
          <w:tcPr>
            <w:tcW w:w="3389"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sz w:val="22"/>
                <w:szCs w:val="22"/>
              </w:rPr>
              <w:t>账龄</w:t>
            </w:r>
            <w:r>
              <w:rPr>
                <w:rFonts w:ascii="宋体" w:hAnsi="宋体" w:cs="宋体" w:eastAsia="宋体" w:hint="default"/>
                <w:spacing w:val="-56"/>
                <w:sz w:val="22"/>
                <w:szCs w:val="22"/>
              </w:rPr>
              <w:t> </w:t>
            </w:r>
            <w:r>
              <w:rPr>
                <w:rFonts w:ascii="Arial" w:hAnsi="Arial" w:cs="Arial" w:eastAsia="Arial" w:hint="default"/>
                <w:sz w:val="22"/>
                <w:szCs w:val="22"/>
              </w:rPr>
              <w:t>2-3</w:t>
            </w:r>
            <w:r>
              <w:rPr>
                <w:rFonts w:ascii="Arial" w:hAnsi="Arial" w:cs="Arial" w:eastAsia="Arial" w:hint="default"/>
                <w:spacing w:val="-7"/>
                <w:sz w:val="22"/>
                <w:szCs w:val="22"/>
              </w:rPr>
              <w:t> </w:t>
            </w:r>
            <w:r>
              <w:rPr>
                <w:rFonts w:ascii="宋体" w:hAnsi="宋体" w:cs="宋体" w:eastAsia="宋体" w:hint="default"/>
                <w:sz w:val="22"/>
                <w:szCs w:val="22"/>
              </w:rPr>
              <w:t>年</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2"/>
              <w:jc w:val="right"/>
              <w:rPr>
                <w:rFonts w:ascii="Arial" w:hAnsi="Arial" w:cs="Arial" w:eastAsia="Arial" w:hint="default"/>
                <w:sz w:val="22"/>
                <w:szCs w:val="22"/>
              </w:rPr>
            </w:pPr>
            <w:r>
              <w:rPr>
                <w:rFonts w:ascii="Arial"/>
                <w:w w:val="95"/>
                <w:sz w:val="22"/>
              </w:rPr>
              <w:t>50%</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245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2"/>
              <w:jc w:val="right"/>
              <w:rPr>
                <w:rFonts w:ascii="Arial" w:hAnsi="Arial" w:cs="Arial" w:eastAsia="Arial" w:hint="default"/>
                <w:sz w:val="22"/>
                <w:szCs w:val="22"/>
              </w:rPr>
            </w:pPr>
            <w:r>
              <w:rPr>
                <w:rFonts w:ascii="Arial"/>
                <w:w w:val="95"/>
                <w:sz w:val="22"/>
              </w:rPr>
              <w:t>50%</w:t>
            </w:r>
            <w:r>
              <w:rPr>
                <w:rFonts w:ascii="Arial"/>
                <w:sz w:val="22"/>
              </w:rPr>
            </w:r>
          </w:p>
        </w:tc>
      </w:tr>
      <w:tr>
        <w:trPr>
          <w:trHeight w:val="366" w:hRule="exact"/>
        </w:trPr>
        <w:tc>
          <w:tcPr>
            <w:tcW w:w="3389"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sz w:val="22"/>
                <w:szCs w:val="22"/>
              </w:rPr>
              <w:t>账龄</w:t>
            </w:r>
            <w:r>
              <w:rPr>
                <w:rFonts w:ascii="宋体" w:hAnsi="宋体" w:cs="宋体" w:eastAsia="宋体" w:hint="default"/>
                <w:spacing w:val="-56"/>
                <w:sz w:val="22"/>
                <w:szCs w:val="22"/>
              </w:rPr>
              <w:t> </w:t>
            </w:r>
            <w:r>
              <w:rPr>
                <w:rFonts w:ascii="Arial" w:hAnsi="Arial" w:cs="Arial" w:eastAsia="Arial" w:hint="default"/>
                <w:sz w:val="22"/>
                <w:szCs w:val="22"/>
              </w:rPr>
              <w:t>3</w:t>
            </w:r>
            <w:r>
              <w:rPr>
                <w:rFonts w:ascii="Arial" w:hAnsi="Arial" w:cs="Arial" w:eastAsia="Arial" w:hint="default"/>
                <w:spacing w:val="-7"/>
                <w:sz w:val="22"/>
                <w:szCs w:val="22"/>
              </w:rPr>
              <w:t> </w:t>
            </w:r>
            <w:r>
              <w:rPr>
                <w:rFonts w:ascii="宋体" w:hAnsi="宋体" w:cs="宋体" w:eastAsia="宋体" w:hint="default"/>
                <w:sz w:val="22"/>
                <w:szCs w:val="22"/>
              </w:rPr>
              <w:t>年以上</w:t>
            </w:r>
          </w:p>
        </w:tc>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2"/>
              <w:jc w:val="right"/>
              <w:rPr>
                <w:rFonts w:ascii="Arial" w:hAnsi="Arial" w:cs="Arial" w:eastAsia="Arial" w:hint="default"/>
                <w:sz w:val="22"/>
                <w:szCs w:val="22"/>
              </w:rPr>
            </w:pPr>
            <w:r>
              <w:rPr>
                <w:rFonts w:ascii="Arial"/>
                <w:w w:val="95"/>
                <w:sz w:val="22"/>
              </w:rPr>
              <w:t>100%</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245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2"/>
              <w:jc w:val="right"/>
              <w:rPr>
                <w:rFonts w:ascii="Arial" w:hAnsi="Arial" w:cs="Arial" w:eastAsia="Arial" w:hint="default"/>
                <w:sz w:val="22"/>
                <w:szCs w:val="22"/>
              </w:rPr>
            </w:pPr>
            <w:r>
              <w:rPr>
                <w:rFonts w:ascii="Arial"/>
                <w:w w:val="95"/>
                <w:sz w:val="22"/>
              </w:rPr>
              <w:t>100%</w:t>
            </w:r>
            <w:r>
              <w:rPr>
                <w:rFonts w:ascii="Arial"/>
                <w:sz w:val="22"/>
              </w:rPr>
            </w:r>
          </w:p>
        </w:tc>
      </w:tr>
    </w:tbl>
    <w:p>
      <w:pPr>
        <w:spacing w:after="0" w:line="240" w:lineRule="auto"/>
        <w:jc w:val="right"/>
        <w:rPr>
          <w:rFonts w:ascii="Arial" w:hAnsi="Arial" w:cs="Arial" w:eastAsia="Arial" w:hint="default"/>
          <w:sz w:val="22"/>
          <w:szCs w:val="22"/>
        </w:rPr>
        <w:sectPr>
          <w:headerReference w:type="default" r:id="rId44"/>
          <w:pgSz w:w="11910" w:h="16840"/>
          <w:pgMar w:header="967" w:footer="600" w:top="3360" w:bottom="780" w:left="1420" w:right="920"/>
        </w:sectPr>
      </w:pPr>
    </w:p>
    <w:p>
      <w:pPr>
        <w:spacing w:line="240" w:lineRule="auto" w:before="11"/>
        <w:rPr>
          <w:rFonts w:ascii="宋体" w:hAnsi="宋体" w:cs="宋体" w:eastAsia="宋体" w:hint="default"/>
          <w:sz w:val="12"/>
          <w:szCs w:val="12"/>
        </w:rPr>
      </w:pPr>
    </w:p>
    <w:p>
      <w:pPr>
        <w:pStyle w:val="BodyText"/>
        <w:spacing w:line="240" w:lineRule="auto" w:before="31"/>
        <w:ind w:left="138" w:right="702"/>
        <w:jc w:val="left"/>
      </w:pPr>
      <w:r>
        <w:rPr>
          <w:rFonts w:ascii="Arial" w:hAnsi="Arial" w:cs="Arial" w:eastAsia="Arial" w:hint="default"/>
        </w:rPr>
        <w:t>11</w:t>
      </w:r>
      <w:r>
        <w:rPr/>
        <w:t>、存货</w:t>
      </w:r>
    </w:p>
    <w:p>
      <w:pPr>
        <w:pStyle w:val="BodyText"/>
        <w:tabs>
          <w:tab w:pos="615" w:val="left" w:leader="none"/>
        </w:tabs>
        <w:spacing w:line="240" w:lineRule="auto" w:before="188"/>
        <w:ind w:left="138" w:right="702"/>
        <w:jc w:val="left"/>
      </w:pPr>
      <w:r>
        <w:rPr>
          <w:rFonts w:ascii="Arial" w:hAnsi="Arial" w:cs="Arial" w:eastAsia="Arial" w:hint="default"/>
          <w:w w:val="95"/>
        </w:rPr>
        <w:t>(a)</w:t>
        <w:tab/>
      </w:r>
      <w:r>
        <w:rPr/>
        <w:t>分类</w:t>
      </w:r>
    </w:p>
    <w:p>
      <w:pPr>
        <w:spacing w:line="240" w:lineRule="auto" w:before="11"/>
        <w:rPr>
          <w:rFonts w:ascii="宋体" w:hAnsi="宋体" w:cs="宋体" w:eastAsia="宋体" w:hint="default"/>
          <w:sz w:val="18"/>
          <w:szCs w:val="18"/>
        </w:rPr>
      </w:pPr>
    </w:p>
    <w:p>
      <w:pPr>
        <w:pStyle w:val="BodyText"/>
        <w:spacing w:line="286" w:lineRule="exact"/>
        <w:ind w:left="615" w:right="108"/>
        <w:jc w:val="both"/>
      </w:pPr>
      <w:r>
        <w:rPr>
          <w:spacing w:val="-1"/>
        </w:rPr>
        <w:t>存货包括手机识别卡（如</w:t>
      </w:r>
      <w:r>
        <w:rPr>
          <w:rFonts w:ascii="Arial" w:hAnsi="Arial" w:cs="Arial" w:eastAsia="Arial" w:hint="default"/>
          <w:spacing w:val="-1"/>
        </w:rPr>
        <w:t>SIM</w:t>
      </w:r>
      <w:r>
        <w:rPr>
          <w:spacing w:val="-1"/>
        </w:rPr>
        <w:t>卡、</w:t>
      </w:r>
      <w:r>
        <w:rPr>
          <w:rFonts w:ascii="Arial" w:hAnsi="Arial" w:cs="Arial" w:eastAsia="Arial" w:hint="default"/>
          <w:spacing w:val="-1"/>
        </w:rPr>
        <w:t>USIM</w:t>
      </w:r>
      <w:r>
        <w:rPr>
          <w:spacing w:val="-1"/>
        </w:rPr>
        <w:t>卡等）、手机及配件等，按成本与可变现净值孰低计</w:t>
      </w:r>
      <w:r>
        <w:rPr>
          <w:spacing w:val="-95"/>
        </w:rPr>
        <w:t> </w:t>
      </w:r>
      <w:r>
        <w:rPr>
          <w:spacing w:val="-95"/>
        </w:rPr>
      </w:r>
      <w:r>
        <w:rPr/>
        <w:t>量。</w:t>
      </w:r>
    </w:p>
    <w:p>
      <w:pPr>
        <w:pStyle w:val="BodyText"/>
        <w:tabs>
          <w:tab w:pos="615" w:val="left" w:leader="none"/>
        </w:tabs>
        <w:spacing w:line="412" w:lineRule="auto" w:before="194"/>
        <w:ind w:left="615" w:right="2126" w:hanging="477"/>
        <w:jc w:val="left"/>
      </w:pPr>
      <w:r>
        <w:rPr>
          <w:rFonts w:ascii="Arial" w:hAnsi="Arial" w:cs="Arial" w:eastAsia="Arial" w:hint="default"/>
          <w:w w:val="95"/>
        </w:rPr>
        <w:t>(b)</w:t>
        <w:tab/>
      </w:r>
      <w:r>
        <w:rPr/>
        <w:t>发出存货的计价方法</w:t>
      </w:r>
      <w:r>
        <w:rPr>
          <w:w w:val="99"/>
        </w:rPr>
        <w:t> </w:t>
      </w:r>
      <w:r>
        <w:rPr/>
        <w:t>存货于取得时按实际成本入账，存货发出时的成本按先进先出法核算。</w:t>
      </w:r>
    </w:p>
    <w:p>
      <w:pPr>
        <w:pStyle w:val="BodyText"/>
        <w:tabs>
          <w:tab w:pos="615" w:val="left" w:leader="none"/>
        </w:tabs>
        <w:spacing w:line="240" w:lineRule="auto" w:before="63"/>
        <w:ind w:left="138" w:right="702"/>
        <w:jc w:val="left"/>
      </w:pPr>
      <w:r>
        <w:rPr>
          <w:rFonts w:ascii="Arial" w:hAnsi="Arial" w:cs="Arial" w:eastAsia="Arial" w:hint="default"/>
          <w:w w:val="95"/>
        </w:rPr>
        <w:t>(c)</w:t>
        <w:tab/>
      </w:r>
      <w:r>
        <w:rPr/>
        <w:t>存货可变现净值的确定依据及存货跌价准备的计提方法</w:t>
      </w:r>
    </w:p>
    <w:p>
      <w:pPr>
        <w:spacing w:line="240" w:lineRule="auto" w:before="13"/>
        <w:rPr>
          <w:rFonts w:ascii="宋体" w:hAnsi="宋体" w:cs="宋体" w:eastAsia="宋体" w:hint="default"/>
          <w:sz w:val="18"/>
          <w:szCs w:val="18"/>
        </w:rPr>
      </w:pPr>
    </w:p>
    <w:p>
      <w:pPr>
        <w:pStyle w:val="BodyText"/>
        <w:spacing w:line="284" w:lineRule="exact"/>
        <w:ind w:left="615" w:right="107"/>
        <w:jc w:val="both"/>
      </w:pPr>
      <w:r>
        <w:rPr/>
        <w:t>存货跌价准备按存货成本高于其可变现净值的差额计提。可变现净值按日常活动中，以存货</w:t>
      </w:r>
      <w:r>
        <w:rPr>
          <w:spacing w:val="-80"/>
        </w:rPr>
        <w:t> </w:t>
      </w:r>
      <w:r>
        <w:rPr>
          <w:spacing w:val="-80"/>
        </w:rPr>
      </w:r>
      <w:r>
        <w:rPr/>
        <w:t>的估计售价减去估计的销售费用及相关税费后的金额确定。</w:t>
      </w:r>
    </w:p>
    <w:p>
      <w:pPr>
        <w:pStyle w:val="BodyText"/>
        <w:tabs>
          <w:tab w:pos="615" w:val="left" w:leader="none"/>
        </w:tabs>
        <w:spacing w:line="388" w:lineRule="auto" w:before="196"/>
        <w:ind w:left="138" w:right="4987"/>
        <w:jc w:val="left"/>
      </w:pPr>
      <w:r>
        <w:rPr>
          <w:rFonts w:ascii="Arial" w:hAnsi="Arial" w:cs="Arial" w:eastAsia="Arial" w:hint="default"/>
          <w:w w:val="95"/>
        </w:rPr>
        <w:t>(d)</w:t>
        <w:tab/>
      </w:r>
      <w:r>
        <w:rPr/>
        <w:t>本集团的存货盘存制度采用永续盘存制。</w:t>
      </w:r>
      <w:r>
        <w:rPr>
          <w:w w:val="99"/>
        </w:rPr>
        <w:t> </w:t>
      </w:r>
      <w:r>
        <w:rPr>
          <w:rFonts w:ascii="Arial" w:hAnsi="Arial" w:cs="Arial" w:eastAsia="Arial" w:hint="default"/>
          <w:w w:val="95"/>
        </w:rPr>
        <w:t>(e)</w:t>
        <w:tab/>
      </w:r>
      <w:r>
        <w:rPr/>
        <w:t>低值易耗品采用一次转销法进行摊销。</w:t>
      </w:r>
      <w:r>
        <w:rPr>
          <w:w w:val="99"/>
        </w:rPr>
        <w:t> </w:t>
      </w:r>
      <w:r>
        <w:rPr>
          <w:rFonts w:ascii="Arial" w:hAnsi="Arial" w:cs="Arial" w:eastAsia="Arial" w:hint="default"/>
        </w:rPr>
        <w:t>12</w:t>
      </w:r>
      <w:r>
        <w:rPr/>
        <w:t>、长期股权投资</w:t>
      </w:r>
    </w:p>
    <w:p>
      <w:pPr>
        <w:pStyle w:val="BodyText"/>
        <w:spacing w:line="286" w:lineRule="exact" w:before="93"/>
        <w:ind w:left="615" w:right="106"/>
        <w:jc w:val="both"/>
      </w:pPr>
      <w:r>
        <w:rPr/>
        <w:t>本集团之长期股权投资包括本公司对子公司的长期股权投资，以及本集团对被投资单位不具</w:t>
      </w:r>
      <w:r>
        <w:rPr>
          <w:spacing w:val="-80"/>
        </w:rPr>
        <w:t> </w:t>
      </w:r>
      <w:r>
        <w:rPr>
          <w:spacing w:val="-80"/>
        </w:rPr>
      </w:r>
      <w:r>
        <w:rPr/>
        <w:t>有控制、共同控制或重大影响，并且在活跃市场中没有报价、公允价值不能可靠计量的长期</w:t>
      </w:r>
      <w:r>
        <w:rPr>
          <w:spacing w:val="-80"/>
        </w:rPr>
        <w:t> </w:t>
      </w:r>
      <w:r>
        <w:rPr>
          <w:spacing w:val="-80"/>
        </w:rPr>
      </w:r>
      <w:r>
        <w:rPr/>
        <w:t>股权投资。</w:t>
      </w:r>
    </w:p>
    <w:p>
      <w:pPr>
        <w:spacing w:line="240" w:lineRule="auto" w:before="2"/>
        <w:rPr>
          <w:rFonts w:ascii="宋体" w:hAnsi="宋体" w:cs="宋体" w:eastAsia="宋体" w:hint="default"/>
          <w:sz w:val="17"/>
          <w:szCs w:val="17"/>
        </w:rPr>
      </w:pPr>
    </w:p>
    <w:p>
      <w:pPr>
        <w:pStyle w:val="BodyText"/>
        <w:spacing w:line="448" w:lineRule="auto"/>
        <w:ind w:left="615" w:right="1889"/>
        <w:jc w:val="left"/>
      </w:pPr>
      <w:r>
        <w:rPr/>
        <w:t>子公司是指本公司能够对其实施控制的被投资单位。</w:t>
      </w:r>
      <w:r>
        <w:rPr>
          <w:w w:val="99"/>
        </w:rPr>
        <w:t> </w:t>
      </w:r>
      <w:r>
        <w:rPr/>
        <w:t>对子公司的投资，在本公司个别财务报表中按照成本法确定的金额列示。</w:t>
      </w:r>
    </w:p>
    <w:p>
      <w:pPr>
        <w:pStyle w:val="BodyText"/>
        <w:tabs>
          <w:tab w:pos="628" w:val="left" w:leader="none"/>
        </w:tabs>
        <w:spacing w:line="240" w:lineRule="auto" w:before="30"/>
        <w:ind w:left="139" w:right="702"/>
        <w:jc w:val="left"/>
      </w:pPr>
      <w:r>
        <w:rPr>
          <w:rFonts w:ascii="Arial" w:hAnsi="Arial" w:cs="Arial" w:eastAsia="Arial" w:hint="default"/>
          <w:w w:val="95"/>
        </w:rPr>
        <w:t>(a)</w:t>
        <w:tab/>
      </w:r>
      <w:r>
        <w:rPr/>
        <w:t>初始投资成本确定</w:t>
      </w:r>
    </w:p>
    <w:p>
      <w:pPr>
        <w:spacing w:line="240" w:lineRule="auto" w:before="13"/>
        <w:rPr>
          <w:rFonts w:ascii="宋体" w:hAnsi="宋体" w:cs="宋体" w:eastAsia="宋体" w:hint="default"/>
          <w:sz w:val="18"/>
          <w:szCs w:val="18"/>
        </w:rPr>
      </w:pPr>
    </w:p>
    <w:p>
      <w:pPr>
        <w:pStyle w:val="BodyText"/>
        <w:spacing w:line="284" w:lineRule="exact"/>
        <w:ind w:left="615" w:right="106"/>
        <w:jc w:val="both"/>
      </w:pPr>
      <w:r>
        <w:rPr/>
        <w:t>采用成本法核算的长期股权投资按照初始投资成本计量。本公司个别子公司在以前年度进行</w:t>
      </w:r>
      <w:r>
        <w:rPr>
          <w:spacing w:val="-80"/>
        </w:rPr>
        <w:t> </w:t>
      </w:r>
      <w:r>
        <w:rPr>
          <w:spacing w:val="-80"/>
        </w:rPr>
      </w:r>
      <w:r>
        <w:rPr/>
        <w:t>公司制改建时对其持有的长期股权投资，按国有资产管理部门确认的评估值作为入账价值。</w:t>
      </w:r>
    </w:p>
    <w:p>
      <w:pPr>
        <w:pStyle w:val="BodyText"/>
        <w:tabs>
          <w:tab w:pos="628" w:val="left" w:leader="none"/>
        </w:tabs>
        <w:spacing w:line="240" w:lineRule="auto" w:before="183"/>
        <w:ind w:left="139" w:right="702"/>
        <w:jc w:val="left"/>
      </w:pPr>
      <w:r>
        <w:rPr>
          <w:rFonts w:ascii="Arial" w:hAnsi="Arial" w:cs="Arial" w:eastAsia="Arial" w:hint="default"/>
          <w:w w:val="95"/>
        </w:rPr>
        <w:t>(b)</w:t>
        <w:tab/>
      </w:r>
      <w:r>
        <w:rPr/>
        <w:t>后续计量及损益确认方法</w:t>
      </w:r>
    </w:p>
    <w:p>
      <w:pPr>
        <w:spacing w:line="240" w:lineRule="auto" w:before="11"/>
        <w:rPr>
          <w:rFonts w:ascii="宋体" w:hAnsi="宋体" w:cs="宋体" w:eastAsia="宋体" w:hint="default"/>
          <w:sz w:val="18"/>
          <w:szCs w:val="18"/>
        </w:rPr>
      </w:pPr>
    </w:p>
    <w:p>
      <w:pPr>
        <w:pStyle w:val="BodyText"/>
        <w:spacing w:line="286" w:lineRule="exact"/>
        <w:ind w:left="615" w:right="106"/>
        <w:jc w:val="both"/>
      </w:pPr>
      <w:r>
        <w:rPr/>
        <w:t>采用成本法核算的长期股权投资，被投资单位宣告分派的现金股利或利润，确认为投资收益</w:t>
      </w:r>
      <w:r>
        <w:rPr>
          <w:spacing w:val="-80"/>
        </w:rPr>
        <w:t> </w:t>
      </w:r>
      <w:r>
        <w:rPr>
          <w:spacing w:val="-80"/>
        </w:rPr>
      </w:r>
      <w:r>
        <w:rPr/>
        <w:t>计入当期损益。</w:t>
      </w:r>
    </w:p>
    <w:p>
      <w:pPr>
        <w:spacing w:after="0" w:line="286" w:lineRule="exact"/>
        <w:jc w:val="both"/>
        <w:sectPr>
          <w:headerReference w:type="default" r:id="rId45"/>
          <w:pgSz w:w="11910" w:h="16840"/>
          <w:pgMar w:header="967" w:footer="600" w:top="2860" w:bottom="780" w:left="1420" w:right="920"/>
        </w:sectPr>
      </w:pPr>
    </w:p>
    <w:p>
      <w:pPr>
        <w:spacing w:line="240" w:lineRule="auto" w:before="11"/>
        <w:rPr>
          <w:rFonts w:ascii="宋体" w:hAnsi="宋体" w:cs="宋体" w:eastAsia="宋体" w:hint="default"/>
          <w:sz w:val="12"/>
          <w:szCs w:val="12"/>
        </w:rPr>
      </w:pPr>
    </w:p>
    <w:p>
      <w:pPr>
        <w:pStyle w:val="BodyText"/>
        <w:spacing w:line="240" w:lineRule="auto" w:before="31"/>
        <w:ind w:left="138" w:right="99"/>
        <w:jc w:val="left"/>
      </w:pPr>
      <w:r>
        <w:rPr>
          <w:rFonts w:ascii="Arial" w:hAnsi="Arial" w:cs="Arial" w:eastAsia="Arial" w:hint="default"/>
        </w:rPr>
        <w:t>12</w:t>
      </w:r>
      <w:r>
        <w:rPr/>
        <w:t>、长期股权投资（续）</w:t>
      </w:r>
    </w:p>
    <w:p>
      <w:pPr>
        <w:pStyle w:val="BodyText"/>
        <w:tabs>
          <w:tab w:pos="628" w:val="left" w:leader="none"/>
        </w:tabs>
        <w:spacing w:line="240" w:lineRule="auto" w:before="176"/>
        <w:ind w:left="138" w:right="99"/>
        <w:jc w:val="left"/>
      </w:pPr>
      <w:r>
        <w:rPr>
          <w:rFonts w:ascii="Arial" w:hAnsi="Arial" w:cs="Arial" w:eastAsia="Arial" w:hint="default"/>
          <w:w w:val="95"/>
        </w:rPr>
        <w:t>(c)</w:t>
        <w:tab/>
      </w:r>
      <w:r>
        <w:rPr/>
        <w:t>确定对被投资单位具有控制、共同控制、重大影响的依据</w:t>
      </w:r>
    </w:p>
    <w:p>
      <w:pPr>
        <w:spacing w:line="240" w:lineRule="auto" w:before="10"/>
        <w:rPr>
          <w:rFonts w:ascii="宋体" w:hAnsi="宋体" w:cs="宋体" w:eastAsia="宋体" w:hint="default"/>
          <w:sz w:val="18"/>
          <w:szCs w:val="18"/>
        </w:rPr>
      </w:pPr>
    </w:p>
    <w:p>
      <w:pPr>
        <w:pStyle w:val="BodyText"/>
        <w:spacing w:line="286" w:lineRule="exact"/>
        <w:ind w:left="615" w:right="207"/>
        <w:jc w:val="both"/>
      </w:pPr>
      <w:r>
        <w:rPr/>
        <w:t>控制是指有权决定被投资单位的财务和经营政策，并能据以从其经营活动中获取利益。在确</w:t>
      </w:r>
      <w:r>
        <w:rPr>
          <w:spacing w:val="-80"/>
        </w:rPr>
        <w:t> </w:t>
      </w:r>
      <w:r>
        <w:rPr>
          <w:spacing w:val="-80"/>
        </w:rPr>
      </w:r>
      <w:r>
        <w:rPr/>
        <w:t>定能否对被投资单位实施控制时，被投资单位当期可转换公司债券、当期可执行认股权证等</w:t>
      </w:r>
      <w:r>
        <w:rPr>
          <w:spacing w:val="-80"/>
        </w:rPr>
        <w:t> </w:t>
      </w:r>
      <w:r>
        <w:rPr>
          <w:spacing w:val="-80"/>
        </w:rPr>
      </w:r>
      <w:r>
        <w:rPr/>
        <w:t>潜在表决权因素也同时予以考虑。</w:t>
      </w:r>
    </w:p>
    <w:p>
      <w:pPr>
        <w:spacing w:line="240" w:lineRule="auto" w:before="3"/>
        <w:rPr>
          <w:rFonts w:ascii="宋体" w:hAnsi="宋体" w:cs="宋体" w:eastAsia="宋体" w:hint="default"/>
          <w:sz w:val="19"/>
          <w:szCs w:val="19"/>
        </w:rPr>
      </w:pPr>
    </w:p>
    <w:p>
      <w:pPr>
        <w:pStyle w:val="BodyText"/>
        <w:spacing w:line="286" w:lineRule="exact"/>
        <w:ind w:left="615" w:right="207"/>
        <w:jc w:val="both"/>
      </w:pPr>
      <w:r>
        <w:rPr/>
        <w:t>共同控制是指按照合同约定对某项经济活动所享有的控制，仅在与该项经济活动相关的重要</w:t>
      </w:r>
      <w:r>
        <w:rPr>
          <w:spacing w:val="-80"/>
        </w:rPr>
        <w:t> </w:t>
      </w:r>
      <w:r>
        <w:rPr>
          <w:spacing w:val="-80"/>
        </w:rPr>
      </w:r>
      <w:r>
        <w:rPr/>
        <w:t>财务和经营决策需要分享控制权的投资方一致同意时存在。</w:t>
      </w:r>
    </w:p>
    <w:p>
      <w:pPr>
        <w:spacing w:line="240" w:lineRule="auto" w:before="4"/>
        <w:rPr>
          <w:rFonts w:ascii="宋体" w:hAnsi="宋体" w:cs="宋体" w:eastAsia="宋体" w:hint="default"/>
          <w:sz w:val="19"/>
          <w:szCs w:val="19"/>
        </w:rPr>
      </w:pPr>
    </w:p>
    <w:p>
      <w:pPr>
        <w:pStyle w:val="BodyText"/>
        <w:spacing w:line="286" w:lineRule="exact"/>
        <w:ind w:left="615" w:right="207"/>
        <w:jc w:val="both"/>
      </w:pPr>
      <w:r>
        <w:rPr/>
        <w:t>重大影响是指对被投资单位的财务和经营政策有参与决策的权力，但并不能够控制或者与其</w:t>
      </w:r>
      <w:r>
        <w:rPr>
          <w:spacing w:val="-80"/>
        </w:rPr>
        <w:t> </w:t>
      </w:r>
      <w:r>
        <w:rPr>
          <w:spacing w:val="-80"/>
        </w:rPr>
      </w:r>
      <w:r>
        <w:rPr/>
        <w:t>他方一起共同控制这些政策的制定。</w:t>
      </w:r>
    </w:p>
    <w:p>
      <w:pPr>
        <w:pStyle w:val="BodyText"/>
        <w:tabs>
          <w:tab w:pos="628" w:val="left" w:leader="none"/>
        </w:tabs>
        <w:spacing w:line="544" w:lineRule="exact" w:before="16"/>
        <w:ind w:left="615" w:right="207" w:hanging="477"/>
        <w:jc w:val="left"/>
      </w:pPr>
      <w:r>
        <w:rPr>
          <w:rFonts w:ascii="Arial" w:hAnsi="Arial" w:cs="Arial" w:eastAsia="Arial" w:hint="default"/>
          <w:w w:val="95"/>
        </w:rPr>
        <w:t>(d)</w:t>
        <w:tab/>
        <w:tab/>
      </w:r>
      <w:r>
        <w:rPr/>
        <w:t>长期股权投资减值</w:t>
      </w:r>
      <w:r>
        <w:rPr>
          <w:w w:val="99"/>
        </w:rPr>
        <w:t> </w:t>
      </w:r>
      <w:r>
        <w:rPr/>
        <w:t>对子公司的长期股权投资，当其可收回金额低于其账面价值时，账面价值减记至可收回金额</w:t>
      </w:r>
    </w:p>
    <w:p>
      <w:pPr>
        <w:pStyle w:val="BodyText"/>
        <w:spacing w:line="214" w:lineRule="exact"/>
        <w:ind w:left="615" w:right="0" w:hanging="1"/>
        <w:jc w:val="both"/>
      </w:pPr>
      <w:r>
        <w:rPr/>
        <w:t>（附注二</w:t>
      </w:r>
      <w:r>
        <w:rPr>
          <w:rFonts w:ascii="Arial" w:hAnsi="Arial" w:cs="Arial" w:eastAsia="Arial" w:hint="default"/>
        </w:rPr>
        <w:t>(18)</w:t>
      </w:r>
      <w:r>
        <w:rPr/>
        <w:t>）。在活跃市场中没有报价且其公允价值不能可靠计量的其他长期股权投资发</w:t>
      </w:r>
    </w:p>
    <w:p>
      <w:pPr>
        <w:pStyle w:val="BodyText"/>
        <w:spacing w:line="284" w:lineRule="exact" w:before="20"/>
        <w:ind w:left="615" w:right="91"/>
        <w:jc w:val="left"/>
      </w:pPr>
      <w:r>
        <w:rPr/>
        <w:t>生减值时，按其账面价值超过按类似金融资产当时市场收益率对未来现金流量折现确定的现</w:t>
      </w:r>
      <w:r>
        <w:rPr>
          <w:spacing w:val="-80"/>
        </w:rPr>
        <w:t> </w:t>
      </w:r>
      <w:r>
        <w:rPr>
          <w:spacing w:val="-80"/>
        </w:rPr>
      </w:r>
      <w:r>
        <w:rPr>
          <w:spacing w:val="-2"/>
        </w:rPr>
        <w:t>值之间的差额，确认减值损失。减值损失一经确认，以后期间不予转回价值得以恢复的部分。</w:t>
      </w:r>
    </w:p>
    <w:p>
      <w:pPr>
        <w:pStyle w:val="BodyText"/>
        <w:spacing w:line="240" w:lineRule="auto" w:before="196"/>
        <w:ind w:left="139" w:right="99"/>
        <w:jc w:val="left"/>
      </w:pPr>
      <w:r>
        <w:rPr>
          <w:rFonts w:ascii="Arial" w:hAnsi="Arial" w:cs="Arial" w:eastAsia="Arial" w:hint="default"/>
        </w:rPr>
        <w:t>13</w:t>
      </w:r>
      <w:r>
        <w:rPr/>
        <w:t>、固定资产</w:t>
      </w:r>
    </w:p>
    <w:p>
      <w:pPr>
        <w:pStyle w:val="BodyText"/>
        <w:tabs>
          <w:tab w:pos="628" w:val="left" w:leader="none"/>
        </w:tabs>
        <w:spacing w:line="240" w:lineRule="auto" w:before="189"/>
        <w:ind w:left="139" w:right="99"/>
        <w:jc w:val="left"/>
      </w:pPr>
      <w:r>
        <w:rPr>
          <w:rFonts w:ascii="Arial" w:hAnsi="Arial" w:cs="Arial" w:eastAsia="Arial" w:hint="default"/>
          <w:w w:val="95"/>
        </w:rPr>
        <w:t>(a)</w:t>
        <w:tab/>
      </w:r>
      <w:r>
        <w:rPr/>
        <w:t>固定资产确认及初始计量</w:t>
      </w:r>
    </w:p>
    <w:p>
      <w:pPr>
        <w:spacing w:line="240" w:lineRule="auto" w:before="11"/>
        <w:rPr>
          <w:rFonts w:ascii="宋体" w:hAnsi="宋体" w:cs="宋体" w:eastAsia="宋体" w:hint="default"/>
          <w:sz w:val="16"/>
          <w:szCs w:val="16"/>
        </w:rPr>
      </w:pPr>
    </w:p>
    <w:p>
      <w:pPr>
        <w:pStyle w:val="BodyText"/>
        <w:spacing w:line="237" w:lineRule="auto"/>
        <w:ind w:left="627" w:right="211"/>
        <w:jc w:val="both"/>
      </w:pPr>
      <w:r>
        <w:rPr/>
        <w:t>固定资产主要包括房屋及建筑物、通信设备以及办公设备等。固定资产在与其有关的经济利</w:t>
      </w:r>
      <w:r>
        <w:rPr>
          <w:spacing w:val="-101"/>
        </w:rPr>
        <w:t> </w:t>
      </w:r>
      <w:r>
        <w:rPr>
          <w:spacing w:val="-101"/>
        </w:rPr>
      </w:r>
      <w:r>
        <w:rPr/>
        <w:t>益很可能流入本集团、且其成本能够可靠计量时予以确认。购置或新建的固定资产按取得时</w:t>
      </w:r>
      <w:r>
        <w:rPr>
          <w:spacing w:val="-101"/>
        </w:rPr>
        <w:t> </w:t>
      </w:r>
      <w:r>
        <w:rPr>
          <w:spacing w:val="-101"/>
        </w:rPr>
      </w:r>
      <w:r>
        <w:rPr/>
        <w:t>的成本进行初始计量。本集团在进行重组时，国有股股东投入的固定资产，按国有资产管理</w:t>
      </w:r>
      <w:r>
        <w:rPr>
          <w:spacing w:val="-101"/>
        </w:rPr>
        <w:t> </w:t>
      </w:r>
      <w:r>
        <w:rPr>
          <w:spacing w:val="-101"/>
        </w:rPr>
      </w:r>
      <w:r>
        <w:rPr/>
        <w:t>部门确认的评估值作为入账价值。</w:t>
      </w:r>
    </w:p>
    <w:p>
      <w:pPr>
        <w:spacing w:line="240" w:lineRule="auto" w:before="3"/>
        <w:rPr>
          <w:rFonts w:ascii="宋体" w:hAnsi="宋体" w:cs="宋体" w:eastAsia="宋体" w:hint="default"/>
          <w:sz w:val="21"/>
          <w:szCs w:val="21"/>
        </w:rPr>
      </w:pPr>
    </w:p>
    <w:p>
      <w:pPr>
        <w:pStyle w:val="BodyText"/>
        <w:spacing w:line="286" w:lineRule="exact"/>
        <w:ind w:left="627" w:right="211"/>
        <w:jc w:val="both"/>
      </w:pPr>
      <w:r>
        <w:rPr/>
        <w:t>与固定资产有关的后续支出，在与其相关的经济利益很可能流入本集团且其成本能够可靠的</w:t>
      </w:r>
      <w:r>
        <w:rPr>
          <w:spacing w:val="-101"/>
        </w:rPr>
        <w:t> </w:t>
      </w:r>
      <w:r>
        <w:rPr>
          <w:spacing w:val="-101"/>
        </w:rPr>
      </w:r>
      <w:r>
        <w:rPr/>
        <w:t>计量时，计入固定资产成本；对于被替换的部分，终止确认其账面价值；所有其他后续支出</w:t>
      </w:r>
      <w:r>
        <w:rPr>
          <w:spacing w:val="-101"/>
        </w:rPr>
        <w:t> </w:t>
      </w:r>
      <w:r>
        <w:rPr>
          <w:spacing w:val="-101"/>
        </w:rPr>
      </w:r>
      <w:r>
        <w:rPr/>
        <w:t>于发生时计入当期损益。</w:t>
      </w:r>
    </w:p>
    <w:p>
      <w:pPr>
        <w:pStyle w:val="BodyText"/>
        <w:tabs>
          <w:tab w:pos="628" w:val="left" w:leader="none"/>
        </w:tabs>
        <w:spacing w:line="240" w:lineRule="auto" w:before="195"/>
        <w:ind w:left="139" w:right="99"/>
        <w:jc w:val="left"/>
      </w:pPr>
      <w:r>
        <w:rPr>
          <w:rFonts w:ascii="Arial" w:hAnsi="Arial" w:cs="Arial" w:eastAsia="Arial" w:hint="default"/>
          <w:w w:val="95"/>
        </w:rPr>
        <w:t>(b)</w:t>
        <w:tab/>
      </w:r>
      <w:r>
        <w:rPr/>
        <w:t>固定资产的折旧方法</w:t>
      </w:r>
    </w:p>
    <w:p>
      <w:pPr>
        <w:spacing w:line="240" w:lineRule="auto" w:before="10"/>
        <w:rPr>
          <w:rFonts w:ascii="宋体" w:hAnsi="宋体" w:cs="宋体" w:eastAsia="宋体" w:hint="default"/>
          <w:sz w:val="18"/>
          <w:szCs w:val="18"/>
        </w:rPr>
      </w:pPr>
    </w:p>
    <w:p>
      <w:pPr>
        <w:pStyle w:val="BodyText"/>
        <w:spacing w:line="286" w:lineRule="exact"/>
        <w:ind w:left="627" w:right="211"/>
        <w:jc w:val="both"/>
      </w:pPr>
      <w:r>
        <w:rPr/>
        <w:t>固定资产折旧采用年限平均法并按其入账价值减去预计净残值后在预计使用寿命内计提。对</w:t>
      </w:r>
      <w:r>
        <w:rPr>
          <w:spacing w:val="-101"/>
        </w:rPr>
        <w:t> </w:t>
      </w:r>
      <w:r>
        <w:rPr>
          <w:spacing w:val="-101"/>
        </w:rPr>
      </w:r>
      <w:r>
        <w:rPr/>
        <w:t>计提了减值准备的固定资产，则在未来期间按扣除减值准备后的账面价值及依据尚可使用年</w:t>
      </w:r>
      <w:r>
        <w:rPr>
          <w:spacing w:val="-101"/>
        </w:rPr>
        <w:t> </w:t>
      </w:r>
      <w:r>
        <w:rPr>
          <w:spacing w:val="-101"/>
        </w:rPr>
      </w:r>
      <w:r>
        <w:rPr/>
        <w:t>限确定折旧额。</w:t>
      </w:r>
    </w:p>
    <w:p>
      <w:pPr>
        <w:spacing w:after="0" w:line="286" w:lineRule="exact"/>
        <w:jc w:val="both"/>
        <w:sectPr>
          <w:headerReference w:type="default" r:id="rId46"/>
          <w:pgSz w:w="11910" w:h="16840"/>
          <w:pgMar w:header="967" w:footer="600" w:top="2860" w:bottom="780" w:left="1420" w:right="820"/>
        </w:sectPr>
      </w:pPr>
    </w:p>
    <w:p>
      <w:pPr>
        <w:spacing w:line="240" w:lineRule="auto" w:before="11"/>
        <w:rPr>
          <w:rFonts w:ascii="宋体" w:hAnsi="宋体" w:cs="宋体" w:eastAsia="宋体" w:hint="default"/>
          <w:sz w:val="12"/>
          <w:szCs w:val="12"/>
        </w:rPr>
      </w:pPr>
    </w:p>
    <w:p>
      <w:pPr>
        <w:pStyle w:val="BodyText"/>
        <w:spacing w:line="240" w:lineRule="auto" w:before="31"/>
        <w:ind w:left="138" w:right="702"/>
        <w:jc w:val="left"/>
      </w:pPr>
      <w:r>
        <w:rPr>
          <w:rFonts w:ascii="Arial" w:hAnsi="Arial" w:cs="Arial" w:eastAsia="Arial" w:hint="default"/>
        </w:rPr>
        <w:t>13</w:t>
      </w:r>
      <w:r>
        <w:rPr/>
        <w:t>、固定资产（续）</w:t>
      </w:r>
    </w:p>
    <w:p>
      <w:pPr>
        <w:spacing w:line="240" w:lineRule="auto" w:before="13"/>
        <w:rPr>
          <w:rFonts w:ascii="宋体" w:hAnsi="宋体" w:cs="宋体" w:eastAsia="宋体" w:hint="default"/>
          <w:sz w:val="11"/>
          <w:szCs w:val="11"/>
        </w:rPr>
      </w:pPr>
    </w:p>
    <w:tbl>
      <w:tblPr>
        <w:tblW w:w="0" w:type="auto"/>
        <w:jc w:val="left"/>
        <w:tblInd w:w="103" w:type="dxa"/>
        <w:tblLayout w:type="fixed"/>
        <w:tblCellMar>
          <w:top w:w="0" w:type="dxa"/>
          <w:left w:w="0" w:type="dxa"/>
          <w:bottom w:w="0" w:type="dxa"/>
          <w:right w:w="0" w:type="dxa"/>
        </w:tblCellMar>
        <w:tblLook w:val="01E0"/>
      </w:tblPr>
      <w:tblGrid>
        <w:gridCol w:w="414"/>
        <w:gridCol w:w="6473"/>
        <w:gridCol w:w="239"/>
        <w:gridCol w:w="2170"/>
      </w:tblGrid>
      <w:tr>
        <w:trPr>
          <w:trHeight w:val="1001" w:hRule="exact"/>
        </w:trPr>
        <w:tc>
          <w:tcPr>
            <w:tcW w:w="414"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5" w:right="0"/>
              <w:jc w:val="left"/>
              <w:rPr>
                <w:rFonts w:ascii="Arial" w:hAnsi="Arial" w:cs="Arial" w:eastAsia="Arial" w:hint="default"/>
                <w:sz w:val="22"/>
                <w:szCs w:val="22"/>
              </w:rPr>
            </w:pPr>
            <w:r>
              <w:rPr>
                <w:rFonts w:ascii="Arial"/>
                <w:sz w:val="22"/>
              </w:rPr>
              <w:t>(b)</w:t>
            </w:r>
          </w:p>
        </w:tc>
        <w:tc>
          <w:tcPr>
            <w:tcW w:w="6473"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11" w:right="0"/>
              <w:jc w:val="left"/>
              <w:rPr>
                <w:rFonts w:ascii="宋体" w:hAnsi="宋体" w:cs="宋体" w:eastAsia="宋体" w:hint="default"/>
                <w:sz w:val="22"/>
                <w:szCs w:val="22"/>
              </w:rPr>
            </w:pPr>
            <w:r>
              <w:rPr>
                <w:rFonts w:ascii="宋体" w:hAnsi="宋体" w:cs="宋体" w:eastAsia="宋体" w:hint="default"/>
                <w:sz w:val="22"/>
                <w:szCs w:val="22"/>
              </w:rPr>
              <w:t>固定资产的折旧方法（续）</w:t>
            </w: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09" w:right="0"/>
              <w:jc w:val="left"/>
              <w:rPr>
                <w:rFonts w:ascii="宋体" w:hAnsi="宋体" w:cs="宋体" w:eastAsia="宋体" w:hint="default"/>
                <w:sz w:val="22"/>
                <w:szCs w:val="22"/>
              </w:rPr>
            </w:pPr>
            <w:r>
              <w:rPr>
                <w:rFonts w:ascii="宋体" w:hAnsi="宋体" w:cs="宋体" w:eastAsia="宋体" w:hint="default"/>
                <w:sz w:val="22"/>
                <w:szCs w:val="22"/>
              </w:rPr>
              <w:t>固定资产的预计使用寿命、净残值率及年折旧率列示如下：</w:t>
            </w:r>
          </w:p>
        </w:tc>
        <w:tc>
          <w:tcPr>
            <w:tcW w:w="2408" w:type="dxa"/>
            <w:gridSpan w:val="2"/>
            <w:tcBorders>
              <w:top w:val="nil" w:sz="6" w:space="0" w:color="auto"/>
              <w:left w:val="nil" w:sz="6" w:space="0" w:color="auto"/>
              <w:bottom w:val="nil" w:sz="6" w:space="0" w:color="auto"/>
              <w:right w:val="nil" w:sz="6" w:space="0" w:color="auto"/>
            </w:tcBorders>
          </w:tcPr>
          <w:p>
            <w:pPr/>
          </w:p>
        </w:tc>
      </w:tr>
      <w:tr>
        <w:trPr>
          <w:trHeight w:val="419" w:hRule="exact"/>
        </w:trPr>
        <w:tc>
          <w:tcPr>
            <w:tcW w:w="414" w:type="dxa"/>
            <w:tcBorders>
              <w:top w:val="nil" w:sz="6" w:space="0" w:color="auto"/>
              <w:left w:val="nil" w:sz="6" w:space="0" w:color="auto"/>
              <w:bottom w:val="nil" w:sz="6" w:space="0" w:color="auto"/>
              <w:right w:val="nil" w:sz="6" w:space="0" w:color="auto"/>
            </w:tcBorders>
          </w:tcPr>
          <w:p>
            <w:pPr/>
          </w:p>
        </w:tc>
        <w:tc>
          <w:tcPr>
            <w:tcW w:w="6473" w:type="dxa"/>
            <w:tcBorders>
              <w:top w:val="nil" w:sz="6" w:space="0" w:color="auto"/>
              <w:left w:val="nil" w:sz="6" w:space="0" w:color="auto"/>
              <w:bottom w:val="single" w:sz="6" w:space="0" w:color="000000"/>
              <w:right w:val="nil" w:sz="6" w:space="0" w:color="auto"/>
            </w:tcBorders>
          </w:tcPr>
          <w:p>
            <w:pPr>
              <w:pStyle w:val="TableParagraph"/>
              <w:tabs>
                <w:tab w:pos="4917" w:val="left" w:leader="none"/>
              </w:tabs>
              <w:spacing w:line="240" w:lineRule="auto" w:before="91"/>
              <w:ind w:left="2695" w:right="0"/>
              <w:jc w:val="left"/>
              <w:rPr>
                <w:rFonts w:ascii="宋体" w:hAnsi="宋体" w:cs="宋体" w:eastAsia="宋体" w:hint="default"/>
                <w:sz w:val="22"/>
                <w:szCs w:val="22"/>
              </w:rPr>
            </w:pPr>
            <w:r>
              <w:rPr>
                <w:rFonts w:ascii="宋体" w:hAnsi="宋体" w:cs="宋体" w:eastAsia="宋体" w:hint="default"/>
                <w:w w:val="95"/>
                <w:sz w:val="22"/>
                <w:szCs w:val="22"/>
              </w:rPr>
              <w:t>预计使用寿命</w:t>
              <w:tab/>
            </w:r>
            <w:r>
              <w:rPr>
                <w:rFonts w:ascii="宋体" w:hAnsi="宋体" w:cs="宋体" w:eastAsia="宋体" w:hint="default"/>
                <w:sz w:val="22"/>
                <w:szCs w:val="22"/>
              </w:rPr>
              <w:t>预计净残值率</w:t>
            </w:r>
          </w:p>
        </w:tc>
        <w:tc>
          <w:tcPr>
            <w:tcW w:w="239" w:type="dxa"/>
            <w:tcBorders>
              <w:top w:val="nil" w:sz="6" w:space="0" w:color="auto"/>
              <w:left w:val="nil" w:sz="6" w:space="0" w:color="auto"/>
              <w:bottom w:val="nil" w:sz="6" w:space="0" w:color="auto"/>
              <w:right w:val="nil" w:sz="6" w:space="0" w:color="auto"/>
            </w:tcBorders>
          </w:tcPr>
          <w:p>
            <w:pPr/>
          </w:p>
        </w:tc>
        <w:tc>
          <w:tcPr>
            <w:tcW w:w="2170" w:type="dxa"/>
            <w:tcBorders>
              <w:top w:val="nil" w:sz="6" w:space="0" w:color="auto"/>
              <w:left w:val="nil" w:sz="6" w:space="0" w:color="auto"/>
              <w:bottom w:val="single" w:sz="6" w:space="0" w:color="000000"/>
              <w:right w:val="nil" w:sz="6" w:space="0" w:color="auto"/>
            </w:tcBorders>
          </w:tcPr>
          <w:p>
            <w:pPr>
              <w:pStyle w:val="TableParagraph"/>
              <w:spacing w:line="240" w:lineRule="auto" w:before="91"/>
              <w:ind w:left="650" w:right="0"/>
              <w:jc w:val="left"/>
              <w:rPr>
                <w:rFonts w:ascii="宋体" w:hAnsi="宋体" w:cs="宋体" w:eastAsia="宋体" w:hint="default"/>
                <w:sz w:val="22"/>
                <w:szCs w:val="22"/>
              </w:rPr>
            </w:pPr>
            <w:r>
              <w:rPr>
                <w:rFonts w:ascii="宋体" w:hAnsi="宋体" w:cs="宋体" w:eastAsia="宋体" w:hint="default"/>
                <w:sz w:val="22"/>
                <w:szCs w:val="22"/>
              </w:rPr>
              <w:t>年折旧率</w:t>
            </w:r>
          </w:p>
        </w:tc>
      </w:tr>
      <w:tr>
        <w:trPr>
          <w:trHeight w:val="513" w:hRule="exact"/>
        </w:trPr>
        <w:tc>
          <w:tcPr>
            <w:tcW w:w="414" w:type="dxa"/>
            <w:tcBorders>
              <w:top w:val="nil" w:sz="6" w:space="0" w:color="auto"/>
              <w:left w:val="nil" w:sz="6" w:space="0" w:color="auto"/>
              <w:bottom w:val="nil" w:sz="6" w:space="0" w:color="auto"/>
              <w:right w:val="nil" w:sz="6" w:space="0" w:color="auto"/>
            </w:tcBorders>
          </w:tcPr>
          <w:p>
            <w:pPr/>
          </w:p>
        </w:tc>
        <w:tc>
          <w:tcPr>
            <w:tcW w:w="6473" w:type="dxa"/>
            <w:tcBorders>
              <w:top w:val="single" w:sz="6" w:space="0" w:color="000000"/>
              <w:left w:val="nil" w:sz="6" w:space="0" w:color="auto"/>
              <w:bottom w:val="nil" w:sz="6" w:space="0" w:color="auto"/>
              <w:right w:val="nil" w:sz="6" w:space="0" w:color="auto"/>
            </w:tcBorders>
          </w:tcPr>
          <w:p>
            <w:pPr>
              <w:pStyle w:val="TableParagraph"/>
              <w:spacing w:line="20" w:lineRule="exact"/>
              <w:ind w:left="2294" w:right="0"/>
              <w:jc w:val="left"/>
              <w:rPr>
                <w:rFonts w:ascii="宋体" w:hAnsi="宋体" w:cs="宋体" w:eastAsia="宋体" w:hint="default"/>
                <w:sz w:val="2"/>
                <w:szCs w:val="2"/>
              </w:rPr>
            </w:pPr>
            <w:r>
              <w:rPr>
                <w:rFonts w:ascii="宋体" w:hAnsi="宋体" w:cs="宋体" w:eastAsia="宋体" w:hint="default"/>
                <w:sz w:val="2"/>
                <w:szCs w:val="2"/>
              </w:rPr>
              <w:pict>
                <v:group style="width:105.55pt;height:.75pt;mso-position-horizontal-relative:char;mso-position-vertical-relative:line" coordorigin="0,0" coordsize="2111,15">
                  <v:group style="position:absolute;left:7;top:7;width:2097;height:2" coordorigin="7,7" coordsize="2097,2">
                    <v:shape style="position:absolute;left:7;top:7;width:2097;height:2" coordorigin="7,7" coordsize="2097,0" path="m7,7l2104,7e" filled="false" stroked="true" strokeweight=".72pt" strokecolor="#000000">
                      <v:path arrowok="t"/>
                    </v:shape>
                  </v:group>
                </v:group>
              </w:pict>
            </w:r>
            <w:r>
              <w:rPr>
                <w:rFonts w:ascii="宋体" w:hAnsi="宋体" w:cs="宋体" w:eastAsia="宋体" w:hint="default"/>
                <w:sz w:val="2"/>
                <w:szCs w:val="2"/>
              </w:rPr>
            </w:r>
          </w:p>
          <w:p>
            <w:pPr>
              <w:pStyle w:val="TableParagraph"/>
              <w:tabs>
                <w:tab w:pos="2936" w:val="left" w:leader="none"/>
                <w:tab w:pos="5222" w:val="left" w:leader="none"/>
              </w:tabs>
              <w:spacing w:line="240" w:lineRule="auto" w:before="161"/>
              <w:ind w:left="222" w:right="0"/>
              <w:jc w:val="left"/>
              <w:rPr>
                <w:rFonts w:ascii="Arial" w:hAnsi="Arial" w:cs="Arial" w:eastAsia="Arial" w:hint="default"/>
                <w:sz w:val="22"/>
                <w:szCs w:val="22"/>
              </w:rPr>
            </w:pPr>
            <w:r>
              <w:rPr>
                <w:rFonts w:ascii="宋体" w:hAnsi="宋体" w:cs="宋体" w:eastAsia="宋体" w:hint="default"/>
                <w:w w:val="95"/>
                <w:position w:val="2"/>
                <w:sz w:val="22"/>
                <w:szCs w:val="22"/>
              </w:rPr>
              <w:t>房屋及建筑物</w:t>
              <w:tab/>
            </w:r>
            <w:r>
              <w:rPr>
                <w:rFonts w:ascii="Arial" w:hAnsi="Arial" w:cs="Arial" w:eastAsia="Arial" w:hint="default"/>
                <w:position w:val="2"/>
                <w:sz w:val="22"/>
                <w:szCs w:val="22"/>
              </w:rPr>
              <w:t>10-30</w:t>
            </w:r>
            <w:r>
              <w:rPr>
                <w:rFonts w:ascii="Arial" w:hAnsi="Arial" w:cs="Arial" w:eastAsia="Arial" w:hint="default"/>
                <w:spacing w:val="-8"/>
                <w:position w:val="2"/>
                <w:sz w:val="22"/>
                <w:szCs w:val="22"/>
              </w:rPr>
              <w:t> </w:t>
            </w:r>
            <w:r>
              <w:rPr>
                <w:rFonts w:ascii="宋体" w:hAnsi="宋体" w:cs="宋体" w:eastAsia="宋体" w:hint="default"/>
                <w:position w:val="2"/>
                <w:sz w:val="22"/>
                <w:szCs w:val="22"/>
              </w:rPr>
              <w:t>年</w:t>
              <w:tab/>
            </w:r>
            <w:r>
              <w:rPr>
                <w:rFonts w:ascii="Arial" w:hAnsi="Arial" w:cs="Arial" w:eastAsia="Arial" w:hint="default"/>
                <w:sz w:val="22"/>
                <w:szCs w:val="22"/>
              </w:rPr>
              <w:t>3%-5%</w:t>
            </w:r>
          </w:p>
        </w:tc>
        <w:tc>
          <w:tcPr>
            <w:tcW w:w="239" w:type="dxa"/>
            <w:tcBorders>
              <w:top w:val="nil" w:sz="6" w:space="0" w:color="auto"/>
              <w:left w:val="nil" w:sz="6" w:space="0" w:color="auto"/>
              <w:bottom w:val="nil" w:sz="6" w:space="0" w:color="auto"/>
              <w:right w:val="nil" w:sz="6" w:space="0" w:color="auto"/>
            </w:tcBorders>
          </w:tcPr>
          <w:p>
            <w:pPr/>
          </w:p>
        </w:tc>
        <w:tc>
          <w:tcPr>
            <w:tcW w:w="2170"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2"/>
              <w:jc w:val="right"/>
              <w:rPr>
                <w:rFonts w:ascii="Arial" w:hAnsi="Arial" w:cs="Arial" w:eastAsia="Arial" w:hint="default"/>
                <w:sz w:val="22"/>
                <w:szCs w:val="22"/>
              </w:rPr>
            </w:pPr>
            <w:r>
              <w:rPr>
                <w:rFonts w:ascii="Arial"/>
                <w:w w:val="95"/>
                <w:sz w:val="22"/>
              </w:rPr>
              <w:t>3.17%-9.70%</w:t>
            </w:r>
            <w:r>
              <w:rPr>
                <w:rFonts w:ascii="Arial"/>
                <w:sz w:val="22"/>
              </w:rPr>
            </w:r>
          </w:p>
        </w:tc>
      </w:tr>
      <w:tr>
        <w:trPr>
          <w:trHeight w:val="286" w:hRule="exact"/>
        </w:trPr>
        <w:tc>
          <w:tcPr>
            <w:tcW w:w="414" w:type="dxa"/>
            <w:tcBorders>
              <w:top w:val="nil" w:sz="6" w:space="0" w:color="auto"/>
              <w:left w:val="nil" w:sz="6" w:space="0" w:color="auto"/>
              <w:bottom w:val="nil" w:sz="6" w:space="0" w:color="auto"/>
              <w:right w:val="nil" w:sz="6" w:space="0" w:color="auto"/>
            </w:tcBorders>
          </w:tcPr>
          <w:p>
            <w:pPr/>
          </w:p>
        </w:tc>
        <w:tc>
          <w:tcPr>
            <w:tcW w:w="6473" w:type="dxa"/>
            <w:tcBorders>
              <w:top w:val="nil" w:sz="6" w:space="0" w:color="auto"/>
              <w:left w:val="nil" w:sz="6" w:space="0" w:color="auto"/>
              <w:bottom w:val="nil" w:sz="6" w:space="0" w:color="auto"/>
              <w:right w:val="nil" w:sz="6" w:space="0" w:color="auto"/>
            </w:tcBorders>
          </w:tcPr>
          <w:p>
            <w:pPr>
              <w:pStyle w:val="TableParagraph"/>
              <w:tabs>
                <w:tab w:pos="2997" w:val="left" w:leader="none"/>
                <w:tab w:pos="5222" w:val="left" w:leader="none"/>
              </w:tabs>
              <w:spacing w:line="271" w:lineRule="exact"/>
              <w:ind w:left="222" w:right="0"/>
              <w:jc w:val="left"/>
              <w:rPr>
                <w:rFonts w:ascii="Arial" w:hAnsi="Arial" w:cs="Arial" w:eastAsia="Arial" w:hint="default"/>
                <w:sz w:val="22"/>
                <w:szCs w:val="22"/>
              </w:rPr>
            </w:pPr>
            <w:r>
              <w:rPr>
                <w:rFonts w:ascii="宋体" w:hAnsi="宋体" w:cs="宋体" w:eastAsia="宋体" w:hint="default"/>
                <w:w w:val="95"/>
                <w:position w:val="2"/>
                <w:sz w:val="22"/>
                <w:szCs w:val="22"/>
              </w:rPr>
              <w:t>通信设备</w:t>
              <w:tab/>
            </w:r>
            <w:r>
              <w:rPr>
                <w:rFonts w:ascii="Arial" w:hAnsi="Arial" w:cs="Arial" w:eastAsia="Arial" w:hint="default"/>
                <w:position w:val="2"/>
                <w:sz w:val="22"/>
                <w:szCs w:val="22"/>
              </w:rPr>
              <w:t>5-10</w:t>
            </w:r>
            <w:r>
              <w:rPr>
                <w:rFonts w:ascii="Arial" w:hAnsi="Arial" w:cs="Arial" w:eastAsia="Arial" w:hint="default"/>
                <w:spacing w:val="-8"/>
                <w:position w:val="2"/>
                <w:sz w:val="22"/>
                <w:szCs w:val="22"/>
              </w:rPr>
              <w:t> </w:t>
            </w:r>
            <w:r>
              <w:rPr>
                <w:rFonts w:ascii="宋体" w:hAnsi="宋体" w:cs="宋体" w:eastAsia="宋体" w:hint="default"/>
                <w:position w:val="2"/>
                <w:sz w:val="22"/>
                <w:szCs w:val="22"/>
              </w:rPr>
              <w:t>年</w:t>
              <w:tab/>
            </w:r>
            <w:r>
              <w:rPr>
                <w:rFonts w:ascii="Arial" w:hAnsi="Arial" w:cs="Arial" w:eastAsia="Arial" w:hint="default"/>
                <w:sz w:val="22"/>
                <w:szCs w:val="22"/>
              </w:rPr>
              <w:t>3%-5%</w:t>
            </w:r>
          </w:p>
        </w:tc>
        <w:tc>
          <w:tcPr>
            <w:tcW w:w="239" w:type="dxa"/>
            <w:tcBorders>
              <w:top w:val="nil" w:sz="6" w:space="0" w:color="auto"/>
              <w:left w:val="nil" w:sz="6" w:space="0" w:color="auto"/>
              <w:bottom w:val="nil" w:sz="6" w:space="0" w:color="auto"/>
              <w:right w:val="nil" w:sz="6" w:space="0" w:color="auto"/>
            </w:tcBorders>
          </w:tcPr>
          <w:p>
            <w:pP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2"/>
              <w:jc w:val="right"/>
              <w:rPr>
                <w:rFonts w:ascii="Arial" w:hAnsi="Arial" w:cs="Arial" w:eastAsia="Arial" w:hint="default"/>
                <w:sz w:val="22"/>
                <w:szCs w:val="22"/>
              </w:rPr>
            </w:pPr>
            <w:r>
              <w:rPr>
                <w:rFonts w:ascii="Arial"/>
                <w:w w:val="95"/>
                <w:sz w:val="22"/>
              </w:rPr>
              <w:t>9.5%-19.40%</w:t>
            </w:r>
            <w:r>
              <w:rPr>
                <w:rFonts w:ascii="Arial"/>
                <w:sz w:val="22"/>
              </w:rPr>
            </w:r>
          </w:p>
        </w:tc>
      </w:tr>
      <w:tr>
        <w:trPr>
          <w:trHeight w:val="366" w:hRule="exact"/>
        </w:trPr>
        <w:tc>
          <w:tcPr>
            <w:tcW w:w="414" w:type="dxa"/>
            <w:tcBorders>
              <w:top w:val="nil" w:sz="6" w:space="0" w:color="auto"/>
              <w:left w:val="nil" w:sz="6" w:space="0" w:color="auto"/>
              <w:bottom w:val="nil" w:sz="6" w:space="0" w:color="auto"/>
              <w:right w:val="nil" w:sz="6" w:space="0" w:color="auto"/>
            </w:tcBorders>
          </w:tcPr>
          <w:p>
            <w:pPr/>
          </w:p>
        </w:tc>
        <w:tc>
          <w:tcPr>
            <w:tcW w:w="6473" w:type="dxa"/>
            <w:tcBorders>
              <w:top w:val="nil" w:sz="6" w:space="0" w:color="auto"/>
              <w:left w:val="nil" w:sz="6" w:space="0" w:color="auto"/>
              <w:bottom w:val="nil" w:sz="6" w:space="0" w:color="auto"/>
              <w:right w:val="nil" w:sz="6" w:space="0" w:color="auto"/>
            </w:tcBorders>
          </w:tcPr>
          <w:p>
            <w:pPr>
              <w:pStyle w:val="TableParagraph"/>
              <w:tabs>
                <w:tab w:pos="2997" w:val="left" w:leader="none"/>
                <w:tab w:pos="5222" w:val="left" w:leader="none"/>
              </w:tabs>
              <w:spacing w:line="271" w:lineRule="exact"/>
              <w:ind w:left="222" w:right="0"/>
              <w:jc w:val="left"/>
              <w:rPr>
                <w:rFonts w:ascii="Arial" w:hAnsi="Arial" w:cs="Arial" w:eastAsia="Arial" w:hint="default"/>
                <w:sz w:val="22"/>
                <w:szCs w:val="22"/>
              </w:rPr>
            </w:pPr>
            <w:r>
              <w:rPr>
                <w:rFonts w:ascii="宋体" w:hAnsi="宋体" w:cs="宋体" w:eastAsia="宋体" w:hint="default"/>
                <w:w w:val="95"/>
                <w:position w:val="2"/>
                <w:sz w:val="22"/>
                <w:szCs w:val="22"/>
              </w:rPr>
              <w:t>办公设备及其他</w:t>
              <w:tab/>
            </w:r>
            <w:r>
              <w:rPr>
                <w:rFonts w:ascii="Arial" w:hAnsi="Arial" w:cs="Arial" w:eastAsia="Arial" w:hint="default"/>
                <w:position w:val="2"/>
                <w:sz w:val="22"/>
                <w:szCs w:val="22"/>
              </w:rPr>
              <w:t>5-10</w:t>
            </w:r>
            <w:r>
              <w:rPr>
                <w:rFonts w:ascii="Arial" w:hAnsi="Arial" w:cs="Arial" w:eastAsia="Arial" w:hint="default"/>
                <w:spacing w:val="-8"/>
                <w:position w:val="2"/>
                <w:sz w:val="22"/>
                <w:szCs w:val="22"/>
              </w:rPr>
              <w:t> </w:t>
            </w:r>
            <w:r>
              <w:rPr>
                <w:rFonts w:ascii="宋体" w:hAnsi="宋体" w:cs="宋体" w:eastAsia="宋体" w:hint="default"/>
                <w:position w:val="2"/>
                <w:sz w:val="22"/>
                <w:szCs w:val="22"/>
              </w:rPr>
              <w:t>年</w:t>
              <w:tab/>
            </w:r>
            <w:r>
              <w:rPr>
                <w:rFonts w:ascii="Arial" w:hAnsi="Arial" w:cs="Arial" w:eastAsia="Arial" w:hint="default"/>
                <w:sz w:val="22"/>
                <w:szCs w:val="22"/>
              </w:rPr>
              <w:t>3%-5%</w:t>
            </w:r>
          </w:p>
        </w:tc>
        <w:tc>
          <w:tcPr>
            <w:tcW w:w="239" w:type="dxa"/>
            <w:tcBorders>
              <w:top w:val="nil" w:sz="6" w:space="0" w:color="auto"/>
              <w:left w:val="nil" w:sz="6" w:space="0" w:color="auto"/>
              <w:bottom w:val="nil" w:sz="6" w:space="0" w:color="auto"/>
              <w:right w:val="nil" w:sz="6" w:space="0" w:color="auto"/>
            </w:tcBorders>
          </w:tcPr>
          <w:p>
            <w:pPr/>
          </w:p>
        </w:tc>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2"/>
              <w:jc w:val="right"/>
              <w:rPr>
                <w:rFonts w:ascii="Arial" w:hAnsi="Arial" w:cs="Arial" w:eastAsia="Arial" w:hint="default"/>
                <w:sz w:val="22"/>
                <w:szCs w:val="22"/>
              </w:rPr>
            </w:pPr>
            <w:r>
              <w:rPr>
                <w:rFonts w:ascii="Arial"/>
                <w:w w:val="95"/>
                <w:sz w:val="22"/>
              </w:rPr>
              <w:t>9.5%-19.40%</w:t>
            </w:r>
            <w:r>
              <w:rPr>
                <w:rFonts w:ascii="Arial"/>
                <w:sz w:val="22"/>
              </w:rPr>
            </w:r>
          </w:p>
        </w:tc>
      </w:tr>
    </w:tbl>
    <w:p>
      <w:pPr>
        <w:spacing w:line="240" w:lineRule="auto" w:before="1"/>
        <w:rPr>
          <w:rFonts w:ascii="宋体" w:hAnsi="宋体" w:cs="宋体" w:eastAsia="宋体" w:hint="default"/>
          <w:sz w:val="7"/>
          <w:szCs w:val="7"/>
        </w:rPr>
      </w:pPr>
    </w:p>
    <w:p>
      <w:pPr>
        <w:pStyle w:val="BodyText"/>
        <w:spacing w:line="237" w:lineRule="auto" w:before="34"/>
        <w:ind w:left="627" w:right="112"/>
        <w:jc w:val="both"/>
      </w:pPr>
      <w:r>
        <w:rPr/>
        <w:t>于每年年度终了，对固定资产的预计使用寿命、预计净残值和折旧方法进行复核，当预计使</w:t>
      </w:r>
      <w:r>
        <w:rPr>
          <w:spacing w:val="-101"/>
        </w:rPr>
        <w:t> </w:t>
      </w:r>
      <w:r>
        <w:rPr>
          <w:spacing w:val="-101"/>
        </w:rPr>
      </w:r>
      <w:r>
        <w:rPr/>
        <w:t>用寿命和预计净残值与原先估计有重大差异时，将适当调整固定资产的预计使用寿命和预计</w:t>
      </w:r>
      <w:r>
        <w:rPr>
          <w:spacing w:val="-101"/>
        </w:rPr>
        <w:t> </w:t>
      </w:r>
      <w:r>
        <w:rPr>
          <w:spacing w:val="-101"/>
        </w:rPr>
      </w:r>
      <w:r>
        <w:rPr/>
        <w:t>净残值；当与固定资产有关的经济利益预期实现方式与原先估计有重大改变时，将适当调整</w:t>
      </w:r>
      <w:r>
        <w:rPr>
          <w:spacing w:val="-101"/>
        </w:rPr>
        <w:t> </w:t>
      </w:r>
      <w:r>
        <w:rPr>
          <w:spacing w:val="-101"/>
        </w:rPr>
      </w:r>
      <w:r>
        <w:rPr/>
        <w:t>固定资产的折旧方法。</w:t>
      </w:r>
    </w:p>
    <w:p>
      <w:pPr>
        <w:spacing w:line="240" w:lineRule="auto" w:before="12"/>
        <w:rPr>
          <w:rFonts w:ascii="宋体" w:hAnsi="宋体" w:cs="宋体" w:eastAsia="宋体" w:hint="default"/>
          <w:sz w:val="16"/>
          <w:szCs w:val="16"/>
        </w:rPr>
      </w:pPr>
    </w:p>
    <w:p>
      <w:pPr>
        <w:pStyle w:val="BodyText"/>
        <w:tabs>
          <w:tab w:pos="628" w:val="left" w:leader="none"/>
        </w:tabs>
        <w:spacing w:line="240" w:lineRule="auto"/>
        <w:ind w:left="138" w:right="107"/>
        <w:jc w:val="left"/>
      </w:pPr>
      <w:r>
        <w:rPr>
          <w:rFonts w:ascii="Arial" w:hAnsi="Arial" w:cs="Arial" w:eastAsia="Arial" w:hint="default"/>
          <w:w w:val="95"/>
        </w:rPr>
        <w:t>(c)</w:t>
        <w:tab/>
      </w:r>
      <w:r>
        <w:rPr/>
        <w:t>当固定资产的可收回金额低于其账面价值时，账面价值减记至可收回金额（附注二</w:t>
      </w:r>
      <w:r>
        <w:rPr>
          <w:rFonts w:ascii="Arial" w:hAnsi="Arial" w:cs="Arial" w:eastAsia="Arial" w:hint="default"/>
        </w:rPr>
        <w:t>(18)</w:t>
      </w:r>
      <w:r>
        <w:rPr/>
        <w:t>）。</w:t>
      </w:r>
    </w:p>
    <w:p>
      <w:pPr>
        <w:pStyle w:val="BodyText"/>
        <w:tabs>
          <w:tab w:pos="628" w:val="left" w:leader="none"/>
        </w:tabs>
        <w:spacing w:line="240" w:lineRule="auto" w:before="189"/>
        <w:ind w:left="138" w:right="702"/>
        <w:jc w:val="left"/>
      </w:pPr>
      <w:r>
        <w:rPr>
          <w:rFonts w:ascii="Arial" w:hAnsi="Arial" w:cs="Arial" w:eastAsia="Arial" w:hint="default"/>
          <w:w w:val="95"/>
        </w:rPr>
        <w:t>(d)</w:t>
        <w:tab/>
      </w:r>
      <w:r>
        <w:rPr/>
        <w:t>融资租入固定资产的认定依据和计价方法</w:t>
      </w:r>
    </w:p>
    <w:p>
      <w:pPr>
        <w:spacing w:line="240" w:lineRule="auto" w:before="11"/>
        <w:rPr>
          <w:rFonts w:ascii="宋体" w:hAnsi="宋体" w:cs="宋体" w:eastAsia="宋体" w:hint="default"/>
          <w:sz w:val="17"/>
          <w:szCs w:val="17"/>
        </w:rPr>
      </w:pPr>
    </w:p>
    <w:p>
      <w:pPr>
        <w:pStyle w:val="BodyText"/>
        <w:spacing w:line="286" w:lineRule="exact"/>
        <w:ind w:left="627" w:right="112"/>
        <w:jc w:val="both"/>
      </w:pPr>
      <w:r>
        <w:rPr/>
        <w:t>实质上转移了与资产所有权有关的全部风险和报酬的租赁为融资租赁。融资租入固定资产以</w:t>
      </w:r>
      <w:r>
        <w:rPr>
          <w:spacing w:val="-101"/>
        </w:rPr>
        <w:t> </w:t>
      </w:r>
      <w:r>
        <w:rPr>
          <w:spacing w:val="-101"/>
        </w:rPr>
      </w:r>
      <w:r>
        <w:rPr/>
        <w:t>租赁资产的公允价值与最低租赁付款额的现值两者中的较低者作为租入资产的入账价值。</w:t>
      </w:r>
    </w:p>
    <w:p>
      <w:pPr>
        <w:spacing w:line="240" w:lineRule="auto" w:before="5"/>
        <w:rPr>
          <w:rFonts w:ascii="宋体" w:hAnsi="宋体" w:cs="宋体" w:eastAsia="宋体" w:hint="default"/>
          <w:sz w:val="17"/>
          <w:szCs w:val="17"/>
        </w:rPr>
      </w:pPr>
    </w:p>
    <w:p>
      <w:pPr>
        <w:pStyle w:val="BodyText"/>
        <w:spacing w:line="237" w:lineRule="auto"/>
        <w:ind w:left="627" w:right="112"/>
        <w:jc w:val="both"/>
      </w:pPr>
      <w:r>
        <w:rPr/>
        <w:t>融资租入的固定资产采用自有固定资产相一致的折旧政策。能够合理确定租赁期届满时将取</w:t>
      </w:r>
      <w:r>
        <w:rPr>
          <w:spacing w:val="-101"/>
        </w:rPr>
        <w:t> </w:t>
      </w:r>
      <w:r>
        <w:rPr>
          <w:spacing w:val="-101"/>
        </w:rPr>
      </w:r>
      <w:r>
        <w:rPr/>
        <w:t>得租入资产所有权的，租入固定资产在其预计使用寿命内计提折旧；否则，租入固定资产在</w:t>
      </w:r>
      <w:r>
        <w:rPr>
          <w:spacing w:val="-101"/>
        </w:rPr>
        <w:t> </w:t>
      </w:r>
      <w:r>
        <w:rPr>
          <w:spacing w:val="-101"/>
        </w:rPr>
      </w:r>
      <w:r>
        <w:rPr/>
        <w:t>租赁期与该资产预计使用寿命两者中较短的期间内计提折旧。</w:t>
      </w:r>
    </w:p>
    <w:p>
      <w:pPr>
        <w:spacing w:line="240" w:lineRule="auto" w:before="13"/>
        <w:rPr>
          <w:rFonts w:ascii="宋体" w:hAnsi="宋体" w:cs="宋体" w:eastAsia="宋体" w:hint="default"/>
          <w:sz w:val="15"/>
          <w:szCs w:val="15"/>
        </w:rPr>
      </w:pPr>
    </w:p>
    <w:p>
      <w:pPr>
        <w:pStyle w:val="BodyText"/>
        <w:tabs>
          <w:tab w:pos="628" w:val="left" w:leader="none"/>
        </w:tabs>
        <w:spacing w:line="240" w:lineRule="auto"/>
        <w:ind w:left="138" w:right="702"/>
        <w:jc w:val="left"/>
      </w:pPr>
      <w:r>
        <w:rPr>
          <w:rFonts w:ascii="Arial" w:hAnsi="Arial" w:cs="Arial" w:eastAsia="Arial" w:hint="default"/>
          <w:w w:val="95"/>
        </w:rPr>
        <w:t>(e)</w:t>
        <w:tab/>
      </w:r>
      <w:r>
        <w:rPr/>
        <w:t>固定资产的处置</w:t>
      </w:r>
    </w:p>
    <w:p>
      <w:pPr>
        <w:spacing w:line="240" w:lineRule="auto" w:before="12"/>
        <w:rPr>
          <w:rFonts w:ascii="宋体" w:hAnsi="宋体" w:cs="宋体" w:eastAsia="宋体" w:hint="default"/>
          <w:sz w:val="16"/>
          <w:szCs w:val="16"/>
        </w:rPr>
      </w:pPr>
    </w:p>
    <w:p>
      <w:pPr>
        <w:pStyle w:val="BodyText"/>
        <w:spacing w:line="237" w:lineRule="auto"/>
        <w:ind w:left="627" w:right="112"/>
        <w:jc w:val="both"/>
      </w:pPr>
      <w:r>
        <w:rPr/>
        <w:t>当固定资产被处置、或者预期通过使用或处置不能产生经济利益时，终止确认该固定资产。</w:t>
      </w:r>
      <w:r>
        <w:rPr>
          <w:spacing w:val="-101"/>
        </w:rPr>
        <w:t> </w:t>
      </w:r>
      <w:r>
        <w:rPr>
          <w:spacing w:val="-101"/>
        </w:rPr>
      </w:r>
      <w:r>
        <w:rPr/>
        <w:t>固定资产出售、转让、报废或毁损时的处置收入扣除其账面价值和相关税费后的金额计入当</w:t>
      </w:r>
      <w:r>
        <w:rPr>
          <w:spacing w:val="-101"/>
        </w:rPr>
        <w:t> </w:t>
      </w:r>
      <w:r>
        <w:rPr>
          <w:spacing w:val="-101"/>
        </w:rPr>
      </w:r>
      <w:r>
        <w:rPr/>
        <w:t>期损益。</w:t>
      </w:r>
    </w:p>
    <w:p>
      <w:pPr>
        <w:spacing w:line="240" w:lineRule="auto" w:before="13"/>
        <w:rPr>
          <w:rFonts w:ascii="宋体" w:hAnsi="宋体" w:cs="宋体" w:eastAsia="宋体" w:hint="default"/>
          <w:sz w:val="16"/>
          <w:szCs w:val="16"/>
        </w:rPr>
      </w:pPr>
    </w:p>
    <w:p>
      <w:pPr>
        <w:pStyle w:val="BodyText"/>
        <w:spacing w:line="240" w:lineRule="auto"/>
        <w:ind w:left="138" w:right="702"/>
        <w:jc w:val="left"/>
      </w:pPr>
      <w:r>
        <w:rPr>
          <w:rFonts w:ascii="Arial" w:hAnsi="Arial" w:cs="Arial" w:eastAsia="Arial" w:hint="default"/>
        </w:rPr>
        <w:t>14</w:t>
      </w:r>
      <w:r>
        <w:rPr/>
        <w:t>、在建工程</w:t>
      </w:r>
    </w:p>
    <w:p>
      <w:pPr>
        <w:spacing w:line="240" w:lineRule="auto" w:before="12"/>
        <w:rPr>
          <w:rFonts w:ascii="宋体" w:hAnsi="宋体" w:cs="宋体" w:eastAsia="宋体" w:hint="default"/>
          <w:sz w:val="16"/>
          <w:szCs w:val="16"/>
        </w:rPr>
      </w:pPr>
    </w:p>
    <w:p>
      <w:pPr>
        <w:pStyle w:val="BodyText"/>
        <w:spacing w:line="237" w:lineRule="auto"/>
        <w:ind w:left="627" w:right="112"/>
        <w:jc w:val="both"/>
      </w:pPr>
      <w:r>
        <w:rPr/>
        <w:t>在建工程按实际发生的成本计量。实际成本包括建筑成本、安装成本、符合资本化条件的借</w:t>
      </w:r>
      <w:r>
        <w:rPr>
          <w:spacing w:val="-101"/>
        </w:rPr>
        <w:t> </w:t>
      </w:r>
      <w:r>
        <w:rPr>
          <w:spacing w:val="-101"/>
        </w:rPr>
      </w:r>
      <w:r>
        <w:rPr/>
        <w:t>款费用以及其他为使在建工程达到预定可使用状态所发生的必要支出。在建工程在达到预定</w:t>
      </w:r>
      <w:r>
        <w:rPr>
          <w:spacing w:val="-101"/>
        </w:rPr>
        <w:t> </w:t>
      </w:r>
      <w:r>
        <w:rPr>
          <w:spacing w:val="-101"/>
        </w:rPr>
      </w:r>
      <w:r>
        <w:rPr/>
        <w:t>可使用状态时，转入固定资产并自次月起开始计提折旧。</w:t>
      </w:r>
    </w:p>
    <w:p>
      <w:pPr>
        <w:spacing w:line="240" w:lineRule="auto" w:before="3"/>
        <w:rPr>
          <w:rFonts w:ascii="宋体" w:hAnsi="宋体" w:cs="宋体" w:eastAsia="宋体" w:hint="default"/>
          <w:sz w:val="19"/>
          <w:szCs w:val="19"/>
        </w:rPr>
      </w:pPr>
    </w:p>
    <w:p>
      <w:pPr>
        <w:pStyle w:val="BodyText"/>
        <w:spacing w:line="240" w:lineRule="auto"/>
        <w:ind w:left="627" w:right="0"/>
        <w:jc w:val="both"/>
      </w:pPr>
      <w:r>
        <w:rPr/>
        <w:t>当在建工程的可收回金额低于其账面价值时，账面价值减记至可收回金额（附注二</w:t>
      </w:r>
      <w:r>
        <w:rPr>
          <w:rFonts w:ascii="Arial" w:hAnsi="Arial" w:cs="Arial" w:eastAsia="Arial" w:hint="default"/>
        </w:rPr>
        <w:t>(18)</w:t>
      </w:r>
      <w:r>
        <w:rPr/>
        <w:t>）。</w:t>
      </w:r>
    </w:p>
    <w:p>
      <w:pPr>
        <w:spacing w:after="0" w:line="240" w:lineRule="auto"/>
        <w:jc w:val="both"/>
        <w:sectPr>
          <w:headerReference w:type="default" r:id="rId47"/>
          <w:pgSz w:w="11910" w:h="16840"/>
          <w:pgMar w:header="967" w:footer="600" w:top="2860" w:bottom="780" w:left="1420" w:right="920"/>
        </w:sectPr>
      </w:pPr>
    </w:p>
    <w:p>
      <w:pPr>
        <w:spacing w:line="240" w:lineRule="auto" w:before="11"/>
        <w:rPr>
          <w:rFonts w:ascii="宋体" w:hAnsi="宋体" w:cs="宋体" w:eastAsia="宋体" w:hint="default"/>
          <w:sz w:val="12"/>
          <w:szCs w:val="12"/>
        </w:rPr>
      </w:pPr>
    </w:p>
    <w:p>
      <w:pPr>
        <w:pStyle w:val="BodyText"/>
        <w:spacing w:line="240" w:lineRule="auto" w:before="31"/>
        <w:ind w:left="138" w:right="702"/>
        <w:jc w:val="left"/>
      </w:pPr>
      <w:r>
        <w:rPr>
          <w:rFonts w:ascii="Arial" w:hAnsi="Arial" w:cs="Arial" w:eastAsia="Arial" w:hint="default"/>
        </w:rPr>
        <w:t>15</w:t>
      </w:r>
      <w:r>
        <w:rPr/>
        <w:t>、借款费用</w:t>
      </w:r>
    </w:p>
    <w:p>
      <w:pPr>
        <w:spacing w:line="240" w:lineRule="auto" w:before="8"/>
        <w:rPr>
          <w:rFonts w:ascii="宋体" w:hAnsi="宋体" w:cs="宋体" w:eastAsia="宋体" w:hint="default"/>
          <w:sz w:val="16"/>
          <w:szCs w:val="16"/>
        </w:rPr>
      </w:pPr>
    </w:p>
    <w:p>
      <w:pPr>
        <w:pStyle w:val="BodyText"/>
        <w:spacing w:line="240" w:lineRule="auto"/>
        <w:ind w:left="627" w:right="0"/>
        <w:jc w:val="both"/>
      </w:pPr>
      <w:r>
        <w:rPr/>
        <w:t>借款费用包括借款利息、辅助费用以及因外币借款而发生的汇兑差额等。</w:t>
      </w:r>
    </w:p>
    <w:p>
      <w:pPr>
        <w:spacing w:line="240" w:lineRule="auto" w:before="5"/>
        <w:rPr>
          <w:rFonts w:ascii="宋体" w:hAnsi="宋体" w:cs="宋体" w:eastAsia="宋体" w:hint="default"/>
          <w:sz w:val="19"/>
          <w:szCs w:val="19"/>
        </w:rPr>
      </w:pPr>
    </w:p>
    <w:p>
      <w:pPr>
        <w:pStyle w:val="BodyText"/>
        <w:spacing w:line="237" w:lineRule="auto"/>
        <w:ind w:left="627" w:right="112"/>
        <w:jc w:val="both"/>
      </w:pPr>
      <w:r>
        <w:rPr/>
        <w:t>发生的可直接归属于需要经过相当长时间的购建活动才能达到预定可使用状态之固定资产的</w:t>
      </w:r>
      <w:r>
        <w:rPr>
          <w:spacing w:val="-101"/>
        </w:rPr>
        <w:t> </w:t>
      </w:r>
      <w:r>
        <w:rPr>
          <w:spacing w:val="-101"/>
        </w:rPr>
      </w:r>
      <w:r>
        <w:rPr/>
        <w:t>购建的借款费用，在资产支出及借款费用已经发生、为使资产达到预定可使用状态所必要的</w:t>
      </w:r>
      <w:r>
        <w:rPr>
          <w:spacing w:val="-101"/>
        </w:rPr>
        <w:t> </w:t>
      </w:r>
      <w:r>
        <w:rPr>
          <w:spacing w:val="-101"/>
        </w:rPr>
      </w:r>
      <w:r>
        <w:rPr/>
        <w:t>购建活动已经开始时，开始资本化并计入该资产的成本。当购建的资产达到预定可使用状态</w:t>
      </w:r>
      <w:r>
        <w:rPr>
          <w:spacing w:val="-101"/>
        </w:rPr>
        <w:t> </w:t>
      </w:r>
      <w:r>
        <w:rPr>
          <w:spacing w:val="-101"/>
        </w:rPr>
      </w:r>
      <w:r>
        <w:rPr/>
        <w:t>时停止资本化，其后发生的借款费用计入当期损益。如果资产的购建活动发生非正常中断，</w:t>
      </w:r>
      <w:r>
        <w:rPr>
          <w:spacing w:val="-101"/>
        </w:rPr>
        <w:t> </w:t>
      </w:r>
      <w:r>
        <w:rPr>
          <w:spacing w:val="-101"/>
        </w:rPr>
      </w:r>
      <w:r>
        <w:rPr/>
        <w:t>并且中断时间连续超过</w:t>
      </w:r>
      <w:r>
        <w:rPr>
          <w:rFonts w:ascii="Arial" w:hAnsi="Arial" w:cs="Arial" w:eastAsia="Arial" w:hint="default"/>
        </w:rPr>
        <w:t>3</w:t>
      </w:r>
      <w:r>
        <w:rPr/>
        <w:t>个月，暂停借款费用的资本化，直至资产的购建活动重新开始。</w:t>
      </w:r>
    </w:p>
    <w:p>
      <w:pPr>
        <w:spacing w:line="240" w:lineRule="auto" w:before="3"/>
        <w:rPr>
          <w:rFonts w:ascii="宋体" w:hAnsi="宋体" w:cs="宋体" w:eastAsia="宋体" w:hint="default"/>
          <w:sz w:val="18"/>
          <w:szCs w:val="18"/>
        </w:rPr>
      </w:pPr>
    </w:p>
    <w:p>
      <w:pPr>
        <w:pStyle w:val="BodyText"/>
        <w:spacing w:line="237" w:lineRule="auto"/>
        <w:ind w:left="627" w:right="112"/>
        <w:jc w:val="both"/>
      </w:pPr>
      <w:r>
        <w:rPr/>
        <w:t>对于为购建符合资本化条件的固定资产而占用的一般借款，按照累计资产支出超过专门借款</w:t>
      </w:r>
      <w:r>
        <w:rPr>
          <w:spacing w:val="-101"/>
        </w:rPr>
        <w:t> </w:t>
      </w:r>
      <w:r>
        <w:rPr>
          <w:spacing w:val="-101"/>
        </w:rPr>
      </w:r>
      <w:r>
        <w:rPr/>
        <w:t>部分的资本支出加权平均数乘以所占用一般借款的加权平均实际利率计算确定一般借款费用</w:t>
      </w:r>
      <w:r>
        <w:rPr>
          <w:spacing w:val="-101"/>
        </w:rPr>
        <w:t> </w:t>
      </w:r>
      <w:r>
        <w:rPr>
          <w:spacing w:val="-101"/>
        </w:rPr>
      </w:r>
      <w:r>
        <w:rPr/>
        <w:t>的资本化金额。实际利率为将借款在预期存续期间或适用的更短期间内的未来现金流量折现</w:t>
      </w:r>
      <w:r>
        <w:rPr>
          <w:spacing w:val="-101"/>
        </w:rPr>
        <w:t> </w:t>
      </w:r>
      <w:r>
        <w:rPr>
          <w:spacing w:val="-101"/>
        </w:rPr>
      </w:r>
      <w:r>
        <w:rPr/>
        <w:t>为该借款初始确认金额所使用的利率。</w:t>
      </w:r>
    </w:p>
    <w:p>
      <w:pPr>
        <w:spacing w:line="240" w:lineRule="auto" w:before="12"/>
        <w:rPr>
          <w:rFonts w:ascii="宋体" w:hAnsi="宋体" w:cs="宋体" w:eastAsia="宋体" w:hint="default"/>
          <w:sz w:val="16"/>
          <w:szCs w:val="16"/>
        </w:rPr>
      </w:pPr>
    </w:p>
    <w:p>
      <w:pPr>
        <w:pStyle w:val="BodyText"/>
        <w:spacing w:line="240" w:lineRule="auto"/>
        <w:ind w:left="138" w:right="702"/>
        <w:jc w:val="left"/>
      </w:pPr>
      <w:r>
        <w:rPr>
          <w:rFonts w:ascii="Arial" w:hAnsi="Arial" w:cs="Arial" w:eastAsia="Arial" w:hint="default"/>
        </w:rPr>
        <w:t>16</w:t>
      </w:r>
      <w:r>
        <w:rPr/>
        <w:t>、无形资产</w:t>
      </w:r>
    </w:p>
    <w:p>
      <w:pPr>
        <w:spacing w:line="240" w:lineRule="auto" w:before="11"/>
        <w:rPr>
          <w:rFonts w:ascii="宋体" w:hAnsi="宋体" w:cs="宋体" w:eastAsia="宋体" w:hint="default"/>
          <w:sz w:val="18"/>
          <w:szCs w:val="18"/>
        </w:rPr>
      </w:pPr>
    </w:p>
    <w:p>
      <w:pPr>
        <w:pStyle w:val="BodyText"/>
        <w:spacing w:line="286" w:lineRule="exact"/>
        <w:ind w:left="627" w:right="112"/>
        <w:jc w:val="both"/>
      </w:pPr>
      <w:r>
        <w:rPr/>
        <w:t>无形资产主要包括土地使用权、计算机软件和电路及设备使用权等，以成本计量。本集团重</w:t>
      </w:r>
      <w:r>
        <w:rPr>
          <w:spacing w:val="-101"/>
        </w:rPr>
        <w:t> </w:t>
      </w:r>
      <w:r>
        <w:rPr>
          <w:spacing w:val="-101"/>
        </w:rPr>
      </w:r>
      <w:r>
        <w:rPr/>
        <w:t>组时国有股股东投入的无形资产，按国有资产管理部门确认的评估值作为入账价值。</w:t>
      </w:r>
    </w:p>
    <w:p>
      <w:pPr>
        <w:pStyle w:val="BodyText"/>
        <w:tabs>
          <w:tab w:pos="628" w:val="left" w:leader="none"/>
        </w:tabs>
        <w:spacing w:line="240" w:lineRule="auto" w:before="195"/>
        <w:ind w:left="138" w:right="702"/>
        <w:jc w:val="left"/>
      </w:pPr>
      <w:r>
        <w:rPr>
          <w:rFonts w:ascii="Arial" w:hAnsi="Arial" w:cs="Arial" w:eastAsia="Arial" w:hint="default"/>
          <w:w w:val="95"/>
        </w:rPr>
        <w:t>(a)</w:t>
        <w:tab/>
      </w:r>
      <w:r>
        <w:rPr/>
        <w:t>土地使用权</w:t>
      </w:r>
    </w:p>
    <w:p>
      <w:pPr>
        <w:spacing w:line="240" w:lineRule="auto" w:before="10"/>
        <w:rPr>
          <w:rFonts w:ascii="宋体" w:hAnsi="宋体" w:cs="宋体" w:eastAsia="宋体" w:hint="default"/>
          <w:sz w:val="18"/>
          <w:szCs w:val="18"/>
        </w:rPr>
      </w:pPr>
    </w:p>
    <w:p>
      <w:pPr>
        <w:pStyle w:val="BodyText"/>
        <w:spacing w:line="286" w:lineRule="exact"/>
        <w:ind w:left="627" w:right="111"/>
        <w:jc w:val="both"/>
      </w:pPr>
      <w:r>
        <w:rPr/>
        <w:t>土地使用权按使用年限平均摊销。外购土地及建筑物支付的价款在建筑物与土地使用权之间</w:t>
      </w:r>
      <w:r>
        <w:rPr>
          <w:spacing w:val="-101"/>
        </w:rPr>
        <w:t> </w:t>
      </w:r>
      <w:r>
        <w:rPr>
          <w:spacing w:val="-101"/>
        </w:rPr>
      </w:r>
      <w:r>
        <w:rPr/>
        <w:t>进行分配。</w:t>
      </w:r>
    </w:p>
    <w:p>
      <w:pPr>
        <w:pStyle w:val="BodyText"/>
        <w:tabs>
          <w:tab w:pos="628" w:val="left" w:leader="none"/>
        </w:tabs>
        <w:spacing w:line="240" w:lineRule="auto" w:before="195"/>
        <w:ind w:left="138" w:right="702"/>
        <w:jc w:val="left"/>
      </w:pPr>
      <w:r>
        <w:rPr>
          <w:rFonts w:ascii="Arial" w:hAnsi="Arial" w:cs="Arial" w:eastAsia="Arial" w:hint="default"/>
          <w:w w:val="95"/>
        </w:rPr>
        <w:t>(b)</w:t>
        <w:tab/>
      </w:r>
      <w:r>
        <w:rPr/>
        <w:t>计算机软件</w:t>
      </w:r>
    </w:p>
    <w:p>
      <w:pPr>
        <w:spacing w:line="240" w:lineRule="auto" w:before="9"/>
        <w:rPr>
          <w:rFonts w:ascii="宋体" w:hAnsi="宋体" w:cs="宋体" w:eastAsia="宋体" w:hint="default"/>
          <w:sz w:val="16"/>
          <w:szCs w:val="16"/>
        </w:rPr>
      </w:pPr>
    </w:p>
    <w:p>
      <w:pPr>
        <w:pStyle w:val="BodyText"/>
        <w:spacing w:line="240" w:lineRule="auto"/>
        <w:ind w:left="627" w:right="0"/>
        <w:jc w:val="both"/>
      </w:pPr>
      <w:r>
        <w:rPr/>
        <w:t>计算机软件在其预计使用年限内平均摊销。</w:t>
      </w:r>
    </w:p>
    <w:p>
      <w:pPr>
        <w:spacing w:line="240" w:lineRule="auto" w:before="12"/>
        <w:rPr>
          <w:rFonts w:ascii="宋体" w:hAnsi="宋体" w:cs="宋体" w:eastAsia="宋体" w:hint="default"/>
          <w:sz w:val="16"/>
          <w:szCs w:val="16"/>
        </w:rPr>
      </w:pPr>
    </w:p>
    <w:p>
      <w:pPr>
        <w:pStyle w:val="BodyText"/>
        <w:tabs>
          <w:tab w:pos="628" w:val="left" w:leader="none"/>
        </w:tabs>
        <w:spacing w:line="240" w:lineRule="auto"/>
        <w:ind w:left="139" w:right="702"/>
        <w:jc w:val="left"/>
      </w:pPr>
      <w:r>
        <w:rPr>
          <w:rFonts w:ascii="Arial" w:hAnsi="Arial" w:cs="Arial" w:eastAsia="Arial" w:hint="default"/>
          <w:w w:val="95"/>
        </w:rPr>
        <w:t>(c)</w:t>
        <w:tab/>
      </w:r>
      <w:r>
        <w:rPr/>
        <w:t>电路及设备使用权</w:t>
      </w:r>
    </w:p>
    <w:p>
      <w:pPr>
        <w:spacing w:line="240" w:lineRule="auto" w:before="11"/>
        <w:rPr>
          <w:rFonts w:ascii="宋体" w:hAnsi="宋体" w:cs="宋体" w:eastAsia="宋体" w:hint="default"/>
          <w:sz w:val="18"/>
          <w:szCs w:val="18"/>
        </w:rPr>
      </w:pPr>
    </w:p>
    <w:p>
      <w:pPr>
        <w:pStyle w:val="BodyText"/>
        <w:spacing w:line="286" w:lineRule="exact"/>
        <w:ind w:left="627" w:right="111"/>
        <w:jc w:val="both"/>
      </w:pPr>
      <w:r>
        <w:rPr/>
        <w:t>电路及设备使用权主要是指本集团购买的不可撤销使用权的网络容量的资本性支出，以成本</w:t>
      </w:r>
      <w:r>
        <w:rPr>
          <w:spacing w:val="-101"/>
        </w:rPr>
        <w:t> </w:t>
      </w:r>
      <w:r>
        <w:rPr>
          <w:spacing w:val="-101"/>
        </w:rPr>
      </w:r>
      <w:r>
        <w:rPr/>
        <w:t>入账并按预计使用期限平均摊销。</w:t>
      </w:r>
    </w:p>
    <w:p>
      <w:pPr>
        <w:pStyle w:val="BodyText"/>
        <w:tabs>
          <w:tab w:pos="629" w:val="left" w:leader="none"/>
        </w:tabs>
        <w:spacing w:line="240" w:lineRule="auto" w:before="181"/>
        <w:ind w:left="139" w:right="702"/>
        <w:jc w:val="left"/>
      </w:pPr>
      <w:r>
        <w:rPr>
          <w:rFonts w:ascii="Arial" w:hAnsi="Arial" w:cs="Arial" w:eastAsia="Arial" w:hint="default"/>
          <w:w w:val="95"/>
        </w:rPr>
        <w:t>(d)</w:t>
        <w:tab/>
      </w:r>
      <w:r>
        <w:rPr/>
        <w:t>定期复核使用寿命和摊销方法</w:t>
      </w:r>
    </w:p>
    <w:p>
      <w:pPr>
        <w:spacing w:line="240" w:lineRule="auto" w:before="11"/>
        <w:rPr>
          <w:rFonts w:ascii="宋体" w:hAnsi="宋体" w:cs="宋体" w:eastAsia="宋体" w:hint="default"/>
          <w:sz w:val="17"/>
          <w:szCs w:val="17"/>
        </w:rPr>
      </w:pPr>
    </w:p>
    <w:p>
      <w:pPr>
        <w:pStyle w:val="BodyText"/>
        <w:spacing w:line="286" w:lineRule="exact"/>
        <w:ind w:left="628" w:right="111"/>
        <w:jc w:val="both"/>
      </w:pPr>
      <w:r>
        <w:rPr/>
        <w:t>本集团对使用寿命有限的无形资产的预计使用寿命及摊销方法于每年年度终了进行复核并作</w:t>
      </w:r>
      <w:r>
        <w:rPr>
          <w:spacing w:val="-101"/>
        </w:rPr>
        <w:t> </w:t>
      </w:r>
      <w:r>
        <w:rPr>
          <w:spacing w:val="-101"/>
        </w:rPr>
      </w:r>
      <w:r>
        <w:rPr/>
        <w:t>适当调整。</w:t>
      </w:r>
    </w:p>
    <w:p>
      <w:pPr>
        <w:pStyle w:val="BodyText"/>
        <w:tabs>
          <w:tab w:pos="629" w:val="left" w:leader="none"/>
        </w:tabs>
        <w:spacing w:line="412" w:lineRule="auto" w:before="195"/>
        <w:ind w:left="628" w:right="181" w:hanging="489"/>
        <w:jc w:val="left"/>
      </w:pPr>
      <w:r>
        <w:rPr>
          <w:rFonts w:ascii="Arial" w:hAnsi="Arial" w:cs="Arial" w:eastAsia="Arial" w:hint="default"/>
          <w:w w:val="95"/>
        </w:rPr>
        <w:t>(e)</w:t>
        <w:tab/>
        <w:tab/>
      </w:r>
      <w:r>
        <w:rPr/>
        <w:t>无形资产减值</w:t>
      </w:r>
      <w:r>
        <w:rPr>
          <w:w w:val="99"/>
        </w:rPr>
        <w:t> </w:t>
      </w:r>
      <w:r>
        <w:rPr/>
        <w:t>当无形资产的可收回金额低于其账面价值时，账面价值减记至可收回金额（附注二</w:t>
      </w:r>
      <w:r>
        <w:rPr>
          <w:rFonts w:ascii="Arial" w:hAnsi="Arial" w:cs="Arial" w:eastAsia="Arial" w:hint="default"/>
        </w:rPr>
        <w:t>(18)</w:t>
      </w:r>
      <w:r>
        <w:rPr/>
        <w:t>）。</w:t>
      </w:r>
    </w:p>
    <w:p>
      <w:pPr>
        <w:spacing w:after="0" w:line="412" w:lineRule="auto"/>
        <w:jc w:val="left"/>
        <w:sectPr>
          <w:headerReference w:type="default" r:id="rId48"/>
          <w:pgSz w:w="11910" w:h="16840"/>
          <w:pgMar w:header="967" w:footer="600" w:top="2860" w:bottom="780" w:left="1420" w:right="920"/>
        </w:sectPr>
      </w:pPr>
    </w:p>
    <w:p>
      <w:pPr>
        <w:spacing w:line="240" w:lineRule="auto" w:before="11"/>
        <w:rPr>
          <w:rFonts w:ascii="宋体" w:hAnsi="宋体" w:cs="宋体" w:eastAsia="宋体" w:hint="default"/>
          <w:sz w:val="12"/>
          <w:szCs w:val="12"/>
        </w:rPr>
      </w:pPr>
    </w:p>
    <w:p>
      <w:pPr>
        <w:pStyle w:val="BodyText"/>
        <w:spacing w:line="240" w:lineRule="auto" w:before="31"/>
        <w:ind w:left="138" w:right="138"/>
        <w:jc w:val="left"/>
      </w:pPr>
      <w:r>
        <w:rPr>
          <w:rFonts w:ascii="Arial" w:hAnsi="Arial" w:cs="Arial" w:eastAsia="Arial" w:hint="default"/>
        </w:rPr>
        <w:t>17</w:t>
      </w:r>
      <w:r>
        <w:rPr/>
        <w:t>、长期待摊费用</w:t>
      </w:r>
    </w:p>
    <w:p>
      <w:pPr>
        <w:spacing w:line="240" w:lineRule="auto" w:before="9"/>
        <w:rPr>
          <w:rFonts w:ascii="宋体" w:hAnsi="宋体" w:cs="宋体" w:eastAsia="宋体" w:hint="default"/>
          <w:sz w:val="15"/>
          <w:szCs w:val="15"/>
        </w:rPr>
      </w:pPr>
    </w:p>
    <w:p>
      <w:pPr>
        <w:pStyle w:val="BodyText"/>
        <w:spacing w:line="294" w:lineRule="exact"/>
        <w:ind w:left="627" w:right="138"/>
        <w:jc w:val="left"/>
      </w:pPr>
      <w:r>
        <w:rPr>
          <w:w w:val="99"/>
        </w:rPr>
        <w:t>长期待</w:t>
      </w:r>
      <w:r>
        <w:rPr>
          <w:spacing w:val="1"/>
          <w:w w:val="99"/>
        </w:rPr>
        <w:t>摊费</w:t>
      </w:r>
      <w:r>
        <w:rPr>
          <w:w w:val="99"/>
        </w:rPr>
        <w:t>用主要</w:t>
      </w:r>
      <w:r>
        <w:rPr>
          <w:spacing w:val="1"/>
          <w:w w:val="99"/>
        </w:rPr>
        <w:t>包括</w:t>
      </w:r>
      <w:r>
        <w:rPr>
          <w:w w:val="99"/>
        </w:rPr>
        <w:t>以下已</w:t>
      </w:r>
      <w:r>
        <w:rPr>
          <w:spacing w:val="1"/>
          <w:w w:val="99"/>
        </w:rPr>
        <w:t>经发</w:t>
      </w:r>
      <w:r>
        <w:rPr>
          <w:w w:val="99"/>
        </w:rPr>
        <w:t>生但应</w:t>
      </w:r>
      <w:r>
        <w:rPr>
          <w:spacing w:val="1"/>
          <w:w w:val="99"/>
        </w:rPr>
        <w:t>由本</w:t>
      </w:r>
      <w:r>
        <w:rPr>
          <w:w w:val="99"/>
        </w:rPr>
        <w:t>期和以</w:t>
      </w:r>
      <w:r>
        <w:rPr>
          <w:spacing w:val="1"/>
          <w:w w:val="99"/>
        </w:rPr>
        <w:t>后各</w:t>
      </w:r>
      <w:r>
        <w:rPr>
          <w:w w:val="99"/>
        </w:rPr>
        <w:t>期负担</w:t>
      </w:r>
      <w:r>
        <w:rPr>
          <w:spacing w:val="1"/>
          <w:w w:val="99"/>
        </w:rPr>
        <w:t>的摊</w:t>
      </w:r>
      <w:r>
        <w:rPr>
          <w:w w:val="99"/>
        </w:rPr>
        <w:t>销期限</w:t>
      </w:r>
      <w:r>
        <w:rPr>
          <w:spacing w:val="1"/>
          <w:w w:val="99"/>
        </w:rPr>
        <w:t>在</w:t>
      </w:r>
      <w:r>
        <w:rPr>
          <w:rFonts w:ascii="Arial" w:hAnsi="Arial" w:cs="Arial" w:eastAsia="Arial" w:hint="default"/>
          <w:spacing w:val="1"/>
          <w:w w:val="99"/>
        </w:rPr>
        <w:t>1</w:t>
      </w:r>
      <w:r>
        <w:rPr>
          <w:spacing w:val="1"/>
          <w:w w:val="99"/>
        </w:rPr>
        <w:t>年</w:t>
      </w:r>
      <w:r>
        <w:rPr>
          <w:spacing w:val="-1"/>
          <w:w w:val="99"/>
        </w:rPr>
        <w:t>以</w:t>
      </w:r>
      <w:r>
        <w:rPr>
          <w:spacing w:val="-99"/>
          <w:w w:val="99"/>
        </w:rPr>
        <w:t>上</w:t>
      </w:r>
      <w:r>
        <w:rPr>
          <w:spacing w:val="-2"/>
          <w:w w:val="99"/>
        </w:rPr>
        <w:t>（</w:t>
      </w:r>
      <w:r>
        <w:rPr>
          <w:spacing w:val="-1"/>
          <w:w w:val="99"/>
        </w:rPr>
        <w:t>不</w:t>
      </w:r>
      <w:r>
        <w:rPr>
          <w:w w:val="99"/>
        </w:rPr>
        <w:t>含</w:t>
      </w:r>
      <w:r>
        <w:rPr/>
      </w:r>
    </w:p>
    <w:p>
      <w:pPr>
        <w:pStyle w:val="BodyText"/>
        <w:spacing w:line="294" w:lineRule="exact"/>
        <w:ind w:left="627" w:right="138"/>
        <w:jc w:val="left"/>
      </w:pPr>
      <w:r>
        <w:rPr>
          <w:rFonts w:ascii="Arial" w:hAnsi="Arial" w:cs="Arial" w:eastAsia="Arial" w:hint="default"/>
        </w:rPr>
        <w:t>1</w:t>
      </w:r>
      <w:r>
        <w:rPr/>
        <w:t>年）的各项费用，按预计受益期间分期摊销，并以实际支出减去累计摊销后的净额列示。</w:t>
      </w:r>
    </w:p>
    <w:p>
      <w:pPr>
        <w:spacing w:line="240" w:lineRule="auto" w:before="7"/>
        <w:rPr>
          <w:rFonts w:ascii="宋体" w:hAnsi="宋体" w:cs="宋体" w:eastAsia="宋体" w:hint="default"/>
          <w:sz w:val="18"/>
          <w:szCs w:val="18"/>
        </w:rPr>
      </w:pPr>
    </w:p>
    <w:p>
      <w:pPr>
        <w:pStyle w:val="BodyText"/>
        <w:tabs>
          <w:tab w:pos="628" w:val="left" w:leader="none"/>
        </w:tabs>
        <w:spacing w:line="284" w:lineRule="exact"/>
        <w:ind w:left="627" w:right="224" w:hanging="489"/>
        <w:jc w:val="left"/>
      </w:pPr>
      <w:r>
        <w:rPr>
          <w:rFonts w:ascii="Arial" w:hAnsi="Arial" w:cs="Arial" w:eastAsia="Arial" w:hint="default"/>
          <w:w w:val="95"/>
        </w:rPr>
        <w:t>(a)</w:t>
        <w:tab/>
        <w:tab/>
      </w:r>
      <w:r>
        <w:rPr/>
        <w:t>经营租入固定资产改良主要指本集团采用经营租赁方式租入办公或经营用房等发生的装修等</w:t>
      </w:r>
      <w:r>
        <w:rPr>
          <w:spacing w:val="-90"/>
        </w:rPr>
        <w:t> </w:t>
      </w:r>
      <w:r>
        <w:rPr>
          <w:spacing w:val="-90"/>
        </w:rPr>
      </w:r>
      <w:r>
        <w:rPr/>
        <w:t>改良支出，按租期与预期受益期限孰短（租期一般为</w:t>
      </w:r>
      <w:r>
        <w:rPr>
          <w:spacing w:val="-55"/>
        </w:rPr>
        <w:t> </w:t>
      </w:r>
      <w:r>
        <w:rPr>
          <w:rFonts w:ascii="Arial" w:hAnsi="Arial" w:cs="Arial" w:eastAsia="Arial" w:hint="default"/>
        </w:rPr>
        <w:t>5</w:t>
      </w:r>
      <w:r>
        <w:rPr>
          <w:rFonts w:ascii="Arial" w:hAnsi="Arial" w:cs="Arial" w:eastAsia="Arial" w:hint="default"/>
          <w:spacing w:val="-7"/>
        </w:rPr>
        <w:t> </w:t>
      </w:r>
      <w:r>
        <w:rPr/>
        <w:t>年至</w:t>
      </w:r>
      <w:r>
        <w:rPr>
          <w:spacing w:val="-56"/>
        </w:rPr>
        <w:t> </w:t>
      </w:r>
      <w:r>
        <w:rPr>
          <w:rFonts w:ascii="Arial" w:hAnsi="Arial" w:cs="Arial" w:eastAsia="Arial" w:hint="default"/>
        </w:rPr>
        <w:t>10</w:t>
      </w:r>
      <w:r>
        <w:rPr>
          <w:rFonts w:ascii="Arial" w:hAnsi="Arial" w:cs="Arial" w:eastAsia="Arial" w:hint="default"/>
          <w:spacing w:val="-7"/>
        </w:rPr>
        <w:t> </w:t>
      </w:r>
      <w:r>
        <w:rPr/>
        <w:t>年）以直线法平均摊销；</w:t>
      </w:r>
    </w:p>
    <w:p>
      <w:pPr>
        <w:spacing w:line="240" w:lineRule="auto" w:before="8"/>
        <w:rPr>
          <w:rFonts w:ascii="宋体" w:hAnsi="宋体" w:cs="宋体" w:eastAsia="宋体" w:hint="default"/>
          <w:sz w:val="17"/>
          <w:szCs w:val="17"/>
        </w:rPr>
      </w:pPr>
    </w:p>
    <w:p>
      <w:pPr>
        <w:pStyle w:val="BodyText"/>
        <w:tabs>
          <w:tab w:pos="628" w:val="left" w:leader="none"/>
        </w:tabs>
        <w:spacing w:line="286" w:lineRule="exact"/>
        <w:ind w:left="627" w:right="222" w:hanging="489"/>
        <w:jc w:val="left"/>
      </w:pPr>
      <w:r>
        <w:rPr>
          <w:rFonts w:ascii="Arial" w:hAnsi="Arial" w:cs="Arial" w:eastAsia="Arial" w:hint="default"/>
          <w:w w:val="95"/>
        </w:rPr>
        <w:t>(b)</w:t>
        <w:tab/>
        <w:tab/>
      </w:r>
      <w:r>
        <w:rPr>
          <w:spacing w:val="2"/>
        </w:rPr>
        <w:t>长期预付租金指按经营租赁方式租赁的基础通信设施及营业场所等所预付的超过 </w:t>
      </w:r>
      <w:r>
        <w:rPr>
          <w:rFonts w:ascii="Arial" w:hAnsi="Arial" w:cs="Arial" w:eastAsia="Arial" w:hint="default"/>
        </w:rPr>
        <w:t>1 </w:t>
      </w:r>
      <w:r>
        <w:rPr>
          <w:rFonts w:ascii="Arial" w:hAnsi="Arial" w:cs="Arial" w:eastAsia="Arial" w:hint="default"/>
          <w:spacing w:val="8"/>
        </w:rPr>
        <w:t> </w:t>
      </w:r>
      <w:r>
        <w:rPr>
          <w:spacing w:val="4"/>
        </w:rPr>
        <w:t>年的租</w:t>
      </w:r>
      <w:r>
        <w:rPr>
          <w:spacing w:val="4"/>
          <w:w w:val="99"/>
        </w:rPr>
        <w:t> </w:t>
      </w:r>
      <w:r>
        <w:rPr/>
        <w:t>金，以直线法于租赁期内（一般为</w:t>
      </w:r>
      <w:r>
        <w:rPr>
          <w:spacing w:val="-56"/>
        </w:rPr>
        <w:t> </w:t>
      </w:r>
      <w:r>
        <w:rPr>
          <w:rFonts w:ascii="Arial" w:hAnsi="Arial" w:cs="Arial" w:eastAsia="Arial" w:hint="default"/>
        </w:rPr>
        <w:t>3</w:t>
      </w:r>
      <w:r>
        <w:rPr>
          <w:rFonts w:ascii="Arial" w:hAnsi="Arial" w:cs="Arial" w:eastAsia="Arial" w:hint="default"/>
          <w:spacing w:val="-8"/>
        </w:rPr>
        <w:t> </w:t>
      </w:r>
      <w:r>
        <w:rPr/>
        <w:t>年至</w:t>
      </w:r>
      <w:r>
        <w:rPr>
          <w:spacing w:val="-57"/>
        </w:rPr>
        <w:t> </w:t>
      </w:r>
      <w:r>
        <w:rPr>
          <w:rFonts w:ascii="Arial" w:hAnsi="Arial" w:cs="Arial" w:eastAsia="Arial" w:hint="default"/>
        </w:rPr>
        <w:t>10</w:t>
      </w:r>
      <w:r>
        <w:rPr>
          <w:rFonts w:ascii="Arial" w:hAnsi="Arial" w:cs="Arial" w:eastAsia="Arial" w:hint="default"/>
          <w:spacing w:val="-8"/>
        </w:rPr>
        <w:t> </w:t>
      </w:r>
      <w:r>
        <w:rPr/>
        <w:t>年）平均摊销；</w:t>
      </w:r>
    </w:p>
    <w:p>
      <w:pPr>
        <w:spacing w:line="240" w:lineRule="auto" w:before="6"/>
        <w:rPr>
          <w:rFonts w:ascii="宋体" w:hAnsi="宋体" w:cs="宋体" w:eastAsia="宋体" w:hint="default"/>
          <w:sz w:val="17"/>
          <w:szCs w:val="17"/>
        </w:rPr>
      </w:pPr>
    </w:p>
    <w:p>
      <w:pPr>
        <w:pStyle w:val="BodyText"/>
        <w:tabs>
          <w:tab w:pos="628" w:val="left" w:leader="none"/>
        </w:tabs>
        <w:spacing w:line="286" w:lineRule="exact"/>
        <w:ind w:left="627" w:right="224" w:hanging="489"/>
        <w:jc w:val="left"/>
      </w:pPr>
      <w:r>
        <w:rPr>
          <w:rFonts w:ascii="Arial" w:hAnsi="Arial" w:cs="Arial" w:eastAsia="Arial" w:hint="default"/>
          <w:w w:val="95"/>
        </w:rPr>
        <w:t>(c)</w:t>
        <w:tab/>
        <w:tab/>
      </w:r>
      <w:r>
        <w:rPr/>
        <w:t>外市电引入是本集团在网络建设过程中，与地方的供电部门共同建设的电力输送设施（本集</w:t>
      </w:r>
      <w:r>
        <w:rPr>
          <w:spacing w:val="-90"/>
        </w:rPr>
        <w:t> </w:t>
      </w:r>
      <w:r>
        <w:rPr>
          <w:spacing w:val="-90"/>
        </w:rPr>
      </w:r>
      <w:r>
        <w:rPr/>
        <w:t>团对此类资产只拥有使用权），该等设施一般以直线法于</w:t>
      </w:r>
      <w:r>
        <w:rPr>
          <w:spacing w:val="-56"/>
        </w:rPr>
        <w:t> </w:t>
      </w:r>
      <w:r>
        <w:rPr>
          <w:rFonts w:ascii="Arial" w:hAnsi="Arial" w:cs="Arial" w:eastAsia="Arial" w:hint="default"/>
        </w:rPr>
        <w:t>5</w:t>
      </w:r>
      <w:r>
        <w:rPr>
          <w:rFonts w:ascii="Arial" w:hAnsi="Arial" w:cs="Arial" w:eastAsia="Arial" w:hint="default"/>
          <w:spacing w:val="-9"/>
        </w:rPr>
        <w:t> </w:t>
      </w:r>
      <w:r>
        <w:rPr/>
        <w:t>年内平均摊销；</w:t>
      </w:r>
    </w:p>
    <w:p>
      <w:pPr>
        <w:spacing w:line="240" w:lineRule="auto" w:before="6"/>
        <w:rPr>
          <w:rFonts w:ascii="宋体" w:hAnsi="宋体" w:cs="宋体" w:eastAsia="宋体" w:hint="default"/>
          <w:sz w:val="17"/>
          <w:szCs w:val="17"/>
        </w:rPr>
      </w:pPr>
    </w:p>
    <w:p>
      <w:pPr>
        <w:pStyle w:val="BodyText"/>
        <w:tabs>
          <w:tab w:pos="628" w:val="left" w:leader="none"/>
        </w:tabs>
        <w:spacing w:line="286" w:lineRule="exact"/>
        <w:ind w:left="627" w:right="225" w:hanging="489"/>
        <w:jc w:val="left"/>
      </w:pPr>
      <w:r>
        <w:rPr>
          <w:rFonts w:ascii="Arial" w:hAnsi="Arial" w:cs="Arial" w:eastAsia="Arial" w:hint="default"/>
          <w:w w:val="95"/>
        </w:rPr>
        <w:t>(d)</w:t>
        <w:tab/>
        <w:tab/>
      </w:r>
      <w:r>
        <w:rPr/>
        <w:t>长期预付线路租赁指按经营租赁方式租赁的通信线路所预付的超过</w:t>
      </w:r>
      <w:r>
        <w:rPr>
          <w:spacing w:val="-49"/>
        </w:rPr>
        <w:t> </w:t>
      </w:r>
      <w:r>
        <w:rPr>
          <w:rFonts w:ascii="Arial" w:hAnsi="Arial" w:cs="Arial" w:eastAsia="Arial" w:hint="default"/>
        </w:rPr>
        <w:t>1 </w:t>
      </w:r>
      <w:r>
        <w:rPr/>
        <w:t>年的租金，以直线法于</w:t>
      </w:r>
      <w:r>
        <w:rPr>
          <w:w w:val="99"/>
        </w:rPr>
        <w:t> </w:t>
      </w:r>
      <w:r>
        <w:rPr/>
        <w:t>租赁期内（一般为</w:t>
      </w:r>
      <w:r>
        <w:rPr>
          <w:spacing w:val="-56"/>
        </w:rPr>
        <w:t> </w:t>
      </w:r>
      <w:r>
        <w:rPr>
          <w:rFonts w:ascii="Arial" w:hAnsi="Arial" w:cs="Arial" w:eastAsia="Arial" w:hint="default"/>
        </w:rPr>
        <w:t>3</w:t>
      </w:r>
      <w:r>
        <w:rPr>
          <w:rFonts w:ascii="Arial" w:hAnsi="Arial" w:cs="Arial" w:eastAsia="Arial" w:hint="default"/>
          <w:spacing w:val="-7"/>
        </w:rPr>
        <w:t> </w:t>
      </w:r>
      <w:r>
        <w:rPr/>
        <w:t>年至</w:t>
      </w:r>
      <w:r>
        <w:rPr>
          <w:spacing w:val="-56"/>
        </w:rPr>
        <w:t> </w:t>
      </w:r>
      <w:r>
        <w:rPr>
          <w:rFonts w:ascii="Arial" w:hAnsi="Arial" w:cs="Arial" w:eastAsia="Arial" w:hint="default"/>
        </w:rPr>
        <w:t>8</w:t>
      </w:r>
      <w:r>
        <w:rPr>
          <w:rFonts w:ascii="Arial" w:hAnsi="Arial" w:cs="Arial" w:eastAsia="Arial" w:hint="default"/>
          <w:spacing w:val="-7"/>
        </w:rPr>
        <w:t> </w:t>
      </w:r>
      <w:r>
        <w:rPr/>
        <w:t>年）平均摊销；</w:t>
      </w:r>
    </w:p>
    <w:p>
      <w:pPr>
        <w:spacing w:line="240" w:lineRule="auto" w:before="6"/>
        <w:rPr>
          <w:rFonts w:ascii="宋体" w:hAnsi="宋体" w:cs="宋体" w:eastAsia="宋体" w:hint="default"/>
          <w:sz w:val="17"/>
          <w:szCs w:val="17"/>
        </w:rPr>
      </w:pPr>
    </w:p>
    <w:p>
      <w:pPr>
        <w:pStyle w:val="BodyText"/>
        <w:tabs>
          <w:tab w:pos="628" w:val="left" w:leader="none"/>
        </w:tabs>
        <w:spacing w:line="286" w:lineRule="exact"/>
        <w:ind w:left="627" w:right="117" w:hanging="489"/>
        <w:jc w:val="left"/>
      </w:pPr>
      <w:r>
        <w:rPr>
          <w:rFonts w:ascii="Arial" w:hAnsi="Arial" w:cs="Arial" w:eastAsia="Arial" w:hint="default"/>
          <w:w w:val="95"/>
        </w:rPr>
        <w:t>(e)</w:t>
        <w:tab/>
        <w:tab/>
      </w:r>
      <w:r>
        <w:rPr/>
        <w:t>开通移动通信服务直接相关成本，主要是与开通移动通信服务所收取的一次性不退还收入直</w:t>
      </w:r>
      <w:r>
        <w:rPr>
          <w:spacing w:val="-90"/>
        </w:rPr>
        <w:t> </w:t>
      </w:r>
      <w:r>
        <w:rPr>
          <w:spacing w:val="-90"/>
        </w:rPr>
      </w:r>
      <w:r>
        <w:rPr>
          <w:spacing w:val="-5"/>
        </w:rPr>
        <w:t>接相关的手机识别卡（如 </w:t>
      </w:r>
      <w:r>
        <w:rPr>
          <w:rFonts w:ascii="Arial" w:hAnsi="Arial" w:cs="Arial" w:eastAsia="Arial" w:hint="default"/>
        </w:rPr>
        <w:t>SIM</w:t>
      </w:r>
      <w:r>
        <w:rPr>
          <w:rFonts w:ascii="Arial" w:hAnsi="Arial" w:cs="Arial" w:eastAsia="Arial" w:hint="default"/>
          <w:spacing w:val="-38"/>
        </w:rPr>
        <w:t> </w:t>
      </w:r>
      <w:r>
        <w:rPr>
          <w:spacing w:val="-4"/>
        </w:rPr>
        <w:t>卡）成本及一次性佣金支出，在预计用户服务期间内平均摊销，</w:t>
      </w:r>
      <w:r>
        <w:rPr>
          <w:w w:val="99"/>
        </w:rPr>
        <w:t> </w:t>
      </w:r>
      <w:r>
        <w:rPr/>
        <w:t>增加的直接相关成本超过相应的一次性不退还收入的部分，立即在利润表中确认为费用。预</w:t>
      </w:r>
      <w:r>
        <w:rPr>
          <w:spacing w:val="1"/>
          <w:w w:val="99"/>
        </w:rPr>
        <w:t> </w:t>
      </w:r>
      <w:r>
        <w:rPr/>
        <w:t>计为客户提供服务的期间根据预计较稳定的用户离网率来估计；</w:t>
      </w:r>
    </w:p>
    <w:p>
      <w:pPr>
        <w:spacing w:line="240" w:lineRule="auto" w:before="7"/>
        <w:rPr>
          <w:rFonts w:ascii="宋体" w:hAnsi="宋体" w:cs="宋体" w:eastAsia="宋体" w:hint="default"/>
          <w:sz w:val="17"/>
          <w:szCs w:val="17"/>
        </w:rPr>
      </w:pPr>
    </w:p>
    <w:p>
      <w:pPr>
        <w:pStyle w:val="BodyText"/>
        <w:spacing w:line="286" w:lineRule="exact"/>
        <w:ind w:left="627" w:right="222" w:hanging="489"/>
        <w:jc w:val="both"/>
      </w:pPr>
      <w:r>
        <w:rPr>
          <w:rFonts w:ascii="Arial" w:hAnsi="Arial" w:cs="Arial" w:eastAsia="Arial" w:hint="default"/>
          <w:w w:val="99"/>
        </w:rPr>
        <w:t>(f) </w:t>
      </w:r>
      <w:r>
        <w:rPr>
          <w:spacing w:val="-3"/>
          <w:w w:val="99"/>
        </w:rPr>
        <w:t>装移机成本主要指与固网业务安装服务相关的直接增加的成本，该成本按</w:t>
      </w:r>
      <w:r>
        <w:rPr>
          <w:w w:val="99"/>
        </w:rPr>
        <w:t> </w:t>
      </w:r>
      <w:r>
        <w:rPr>
          <w:rFonts w:ascii="Arial" w:hAnsi="Arial" w:cs="Arial" w:eastAsia="Arial" w:hint="default"/>
          <w:w w:val="99"/>
        </w:rPr>
        <w:t>10</w:t>
      </w:r>
      <w:r>
        <w:rPr>
          <w:rFonts w:ascii="Arial" w:hAnsi="Arial" w:cs="Arial" w:eastAsia="Arial" w:hint="default"/>
          <w:spacing w:val="-22"/>
          <w:w w:val="99"/>
        </w:rPr>
        <w:t> </w:t>
      </w:r>
      <w:r>
        <w:rPr>
          <w:w w:val="99"/>
        </w:rPr>
        <w:t>年的预计用户服 </w:t>
      </w:r>
      <w:r>
        <w:rPr/>
        <w:t>务期限摊销计入利润表，直接增加成本超出相应装移机费收入的部分，立即在利润表中确认</w:t>
      </w:r>
      <w:r>
        <w:rPr>
          <w:spacing w:val="1"/>
          <w:w w:val="99"/>
        </w:rPr>
        <w:t> </w:t>
      </w:r>
      <w:r>
        <w:rPr/>
        <w:t>为费用。</w:t>
      </w:r>
    </w:p>
    <w:p>
      <w:pPr>
        <w:pStyle w:val="BodyText"/>
        <w:spacing w:line="240" w:lineRule="auto" w:before="181"/>
        <w:ind w:left="138" w:right="138"/>
        <w:jc w:val="left"/>
      </w:pPr>
      <w:r>
        <w:rPr>
          <w:rFonts w:ascii="Arial" w:hAnsi="Arial" w:cs="Arial" w:eastAsia="Arial" w:hint="default"/>
        </w:rPr>
        <w:t>18</w:t>
      </w:r>
      <w:r>
        <w:rPr/>
        <w:t>、长期资产减值</w:t>
      </w:r>
    </w:p>
    <w:p>
      <w:pPr>
        <w:spacing w:line="240" w:lineRule="auto" w:before="2"/>
        <w:rPr>
          <w:rFonts w:ascii="宋体" w:hAnsi="宋体" w:cs="宋体" w:eastAsia="宋体" w:hint="default"/>
          <w:sz w:val="15"/>
          <w:szCs w:val="15"/>
        </w:rPr>
      </w:pPr>
    </w:p>
    <w:p>
      <w:pPr>
        <w:pStyle w:val="BodyText"/>
        <w:spacing w:line="237" w:lineRule="auto"/>
        <w:ind w:left="627" w:right="138"/>
        <w:jc w:val="left"/>
      </w:pPr>
      <w:r>
        <w:rPr/>
        <w:t>固定资产、在建工程（含工程物资）、使用寿命有限的无形资产、长期待摊费用及对子公司</w:t>
      </w:r>
      <w:r>
        <w:rPr>
          <w:spacing w:val="-101"/>
        </w:rPr>
        <w:t> </w:t>
      </w:r>
      <w:r>
        <w:rPr>
          <w:spacing w:val="-101"/>
        </w:rPr>
      </w:r>
      <w:r>
        <w:rPr/>
        <w:t>的长期股权投资等，于资产负债表日存在减值迹象的，进行减值测试。减值测试结果表明资</w:t>
      </w:r>
      <w:r>
        <w:rPr>
          <w:spacing w:val="-101"/>
        </w:rPr>
        <w:t> </w:t>
      </w:r>
      <w:r>
        <w:rPr>
          <w:spacing w:val="-101"/>
        </w:rPr>
      </w:r>
      <w:r>
        <w:rPr/>
        <w:t>产的可收回金额低于其账面价值的，按其差额计提减值准备并计入减值损失。可收回金额为</w:t>
      </w:r>
      <w:r>
        <w:rPr>
          <w:spacing w:val="-101"/>
        </w:rPr>
        <w:t> </w:t>
      </w:r>
      <w:r>
        <w:rPr>
          <w:spacing w:val="-101"/>
        </w:rPr>
      </w:r>
      <w:r>
        <w:rPr/>
        <w:t>资产的公允价值减去处置费用后的净额与资产预计未来现金流量的现值两者之间的较高者。</w:t>
      </w:r>
      <w:r>
        <w:rPr>
          <w:spacing w:val="-101"/>
        </w:rPr>
        <w:t> </w:t>
      </w:r>
      <w:r>
        <w:rPr>
          <w:spacing w:val="-101"/>
        </w:rPr>
      </w:r>
      <w:r>
        <w:rPr>
          <w:spacing w:val="-2"/>
          <w:w w:val="95"/>
        </w:rPr>
        <w:t>资产减值准备按单项资产为基础计算并确认，如果难以对单项资产的可收回金额进行估计的，</w:t>
      </w:r>
      <w:r>
        <w:rPr>
          <w:spacing w:val="25"/>
          <w:w w:val="95"/>
        </w:rPr>
        <w:t> </w:t>
      </w:r>
      <w:r>
        <w:rPr>
          <w:spacing w:val="25"/>
          <w:w w:val="95"/>
        </w:rPr>
      </w:r>
      <w:r>
        <w:rPr/>
        <w:t>以该资产所属的资产组确定资产组的可收回金额。资产组是能够独立产生现金流入的最小资</w:t>
      </w:r>
      <w:r>
        <w:rPr>
          <w:spacing w:val="-101"/>
        </w:rPr>
        <w:t> </w:t>
      </w:r>
      <w:r>
        <w:rPr>
          <w:spacing w:val="-101"/>
        </w:rPr>
      </w:r>
      <w:r>
        <w:rPr/>
        <w:t>产组合。</w:t>
      </w:r>
    </w:p>
    <w:p>
      <w:pPr>
        <w:spacing w:line="240" w:lineRule="auto" w:before="5"/>
        <w:rPr>
          <w:rFonts w:ascii="宋体" w:hAnsi="宋体" w:cs="宋体" w:eastAsia="宋体" w:hint="default"/>
          <w:sz w:val="17"/>
          <w:szCs w:val="17"/>
        </w:rPr>
      </w:pPr>
    </w:p>
    <w:p>
      <w:pPr>
        <w:pStyle w:val="BodyText"/>
        <w:spacing w:line="240" w:lineRule="auto"/>
        <w:ind w:left="627" w:right="138"/>
        <w:jc w:val="left"/>
      </w:pPr>
      <w:r>
        <w:rPr/>
        <w:t>上述资产减值损失一经确认，以后期间不予转回价值得以恢复的部分。</w:t>
      </w:r>
    </w:p>
    <w:p>
      <w:pPr>
        <w:spacing w:line="240" w:lineRule="auto" w:before="13"/>
        <w:rPr>
          <w:rFonts w:ascii="宋体" w:hAnsi="宋体" w:cs="宋体" w:eastAsia="宋体" w:hint="default"/>
          <w:sz w:val="16"/>
          <w:szCs w:val="16"/>
        </w:rPr>
      </w:pPr>
    </w:p>
    <w:p>
      <w:pPr>
        <w:pStyle w:val="BodyText"/>
        <w:spacing w:line="240" w:lineRule="auto"/>
        <w:ind w:left="138" w:right="138"/>
        <w:jc w:val="left"/>
      </w:pPr>
      <w:r>
        <w:rPr>
          <w:rFonts w:ascii="Arial" w:hAnsi="Arial" w:cs="Arial" w:eastAsia="Arial" w:hint="default"/>
        </w:rPr>
        <w:t>19</w:t>
      </w:r>
      <w:r>
        <w:rPr/>
        <w:t>、预收账款</w:t>
      </w:r>
    </w:p>
    <w:p>
      <w:pPr>
        <w:spacing w:line="240" w:lineRule="auto" w:before="10"/>
        <w:rPr>
          <w:rFonts w:ascii="宋体" w:hAnsi="宋体" w:cs="宋体" w:eastAsia="宋体" w:hint="default"/>
          <w:sz w:val="18"/>
          <w:szCs w:val="18"/>
        </w:rPr>
      </w:pPr>
    </w:p>
    <w:p>
      <w:pPr>
        <w:pStyle w:val="BodyText"/>
        <w:spacing w:line="286" w:lineRule="exact"/>
        <w:ind w:left="627" w:right="138"/>
        <w:jc w:val="left"/>
      </w:pPr>
      <w:r>
        <w:rPr/>
        <w:t>预收账款主要指预收的电信业务服务费，是根据于合同生效日期开始已收取的服务费减去于</w:t>
      </w:r>
      <w:r>
        <w:rPr>
          <w:spacing w:val="-101"/>
        </w:rPr>
        <w:t> </w:t>
      </w:r>
      <w:r>
        <w:rPr>
          <w:spacing w:val="-101"/>
        </w:rPr>
      </w:r>
      <w:r>
        <w:rPr/>
        <w:t>各期间已在利润表中确认的收入后的净额列示。</w:t>
      </w:r>
    </w:p>
    <w:p>
      <w:pPr>
        <w:spacing w:after="0" w:line="286" w:lineRule="exact"/>
        <w:jc w:val="left"/>
        <w:sectPr>
          <w:headerReference w:type="default" r:id="rId49"/>
          <w:pgSz w:w="11910" w:h="16840"/>
          <w:pgMar w:header="967" w:footer="600" w:top="2860" w:bottom="780" w:left="1420" w:right="800"/>
        </w:sectPr>
      </w:pPr>
    </w:p>
    <w:p>
      <w:pPr>
        <w:spacing w:line="240" w:lineRule="auto" w:before="11"/>
        <w:rPr>
          <w:rFonts w:ascii="宋体" w:hAnsi="宋体" w:cs="宋体" w:eastAsia="宋体" w:hint="default"/>
          <w:sz w:val="12"/>
          <w:szCs w:val="12"/>
        </w:rPr>
      </w:pPr>
    </w:p>
    <w:p>
      <w:pPr>
        <w:pStyle w:val="BodyText"/>
        <w:spacing w:line="240" w:lineRule="auto" w:before="31"/>
        <w:ind w:left="138" w:right="702"/>
        <w:jc w:val="left"/>
      </w:pPr>
      <w:r>
        <w:rPr>
          <w:rFonts w:ascii="Arial" w:hAnsi="Arial" w:cs="Arial" w:eastAsia="Arial" w:hint="default"/>
        </w:rPr>
        <w:t>20</w:t>
      </w:r>
      <w:r>
        <w:rPr/>
        <w:t>、职工薪酬</w:t>
      </w:r>
    </w:p>
    <w:p>
      <w:pPr>
        <w:spacing w:line="240" w:lineRule="auto" w:before="10"/>
        <w:rPr>
          <w:rFonts w:ascii="宋体" w:hAnsi="宋体" w:cs="宋体" w:eastAsia="宋体" w:hint="default"/>
          <w:sz w:val="18"/>
          <w:szCs w:val="18"/>
        </w:rPr>
      </w:pPr>
    </w:p>
    <w:p>
      <w:pPr>
        <w:pStyle w:val="BodyText"/>
        <w:spacing w:line="286" w:lineRule="exact"/>
        <w:ind w:left="627" w:right="112"/>
        <w:jc w:val="both"/>
      </w:pPr>
      <w:r>
        <w:rPr/>
        <w:t>职工薪酬主要包括工资、奖金、津贴和补贴、职工福利费、社会保险费及住房公积金、工会</w:t>
      </w:r>
      <w:r>
        <w:rPr>
          <w:spacing w:val="-101"/>
        </w:rPr>
        <w:t> </w:t>
      </w:r>
      <w:r>
        <w:rPr>
          <w:spacing w:val="-101"/>
        </w:rPr>
      </w:r>
      <w:r>
        <w:rPr/>
        <w:t>经费和职工教育经费等其他与获得职工提供的服务相关的支出。</w:t>
      </w:r>
    </w:p>
    <w:p>
      <w:pPr>
        <w:spacing w:line="240" w:lineRule="auto" w:before="5"/>
        <w:rPr>
          <w:rFonts w:ascii="宋体" w:hAnsi="宋体" w:cs="宋体" w:eastAsia="宋体" w:hint="default"/>
          <w:sz w:val="17"/>
          <w:szCs w:val="17"/>
        </w:rPr>
      </w:pPr>
    </w:p>
    <w:p>
      <w:pPr>
        <w:pStyle w:val="BodyText"/>
        <w:spacing w:line="237" w:lineRule="auto"/>
        <w:ind w:left="627" w:right="112"/>
        <w:jc w:val="both"/>
      </w:pPr>
      <w:r>
        <w:rPr/>
        <w:t>本集团在职工劳动合同到期之前解除与职工的劳动关系、或者为鼓励职工自愿接受裁减而提</w:t>
      </w:r>
      <w:r>
        <w:rPr>
          <w:spacing w:val="-101"/>
        </w:rPr>
        <w:t> </w:t>
      </w:r>
      <w:r>
        <w:rPr>
          <w:spacing w:val="-101"/>
        </w:rPr>
      </w:r>
      <w:r>
        <w:rPr/>
        <w:t>出给予补偿的建议，当本集团已经制定正式的解除劳动关系计划或提出自愿裁减建议并即将</w:t>
      </w:r>
      <w:r>
        <w:rPr>
          <w:spacing w:val="-101"/>
        </w:rPr>
        <w:t> </w:t>
      </w:r>
      <w:r>
        <w:rPr>
          <w:spacing w:val="-101"/>
        </w:rPr>
      </w:r>
      <w:r>
        <w:rPr/>
        <w:t>实施、且本集团不能单方面撤回解除劳动关系计划或裁减建议时，确认因解除与职工的劳动</w:t>
      </w:r>
      <w:r>
        <w:rPr>
          <w:spacing w:val="-101"/>
        </w:rPr>
        <w:t> </w:t>
      </w:r>
      <w:r>
        <w:rPr>
          <w:spacing w:val="-101"/>
        </w:rPr>
      </w:r>
      <w:r>
        <w:rPr/>
        <w:t>关系给予补偿而产生的预计负债，同时计入当期费用。</w:t>
      </w:r>
    </w:p>
    <w:p>
      <w:pPr>
        <w:spacing w:line="240" w:lineRule="auto" w:before="5"/>
        <w:rPr>
          <w:rFonts w:ascii="宋体" w:hAnsi="宋体" w:cs="宋体" w:eastAsia="宋体" w:hint="default"/>
          <w:sz w:val="19"/>
          <w:szCs w:val="19"/>
        </w:rPr>
      </w:pPr>
    </w:p>
    <w:p>
      <w:pPr>
        <w:pStyle w:val="BodyText"/>
        <w:spacing w:line="237" w:lineRule="auto"/>
        <w:ind w:left="627" w:right="112"/>
        <w:jc w:val="both"/>
      </w:pPr>
      <w:r>
        <w:rPr/>
        <w:t>除因解除与职工的劳动关系给予的补偿及以下员工内部退休计划和补充福利计划外，于职工</w:t>
      </w:r>
      <w:r>
        <w:rPr>
          <w:spacing w:val="-101"/>
        </w:rPr>
        <w:t> </w:t>
      </w:r>
      <w:r>
        <w:rPr>
          <w:spacing w:val="-101"/>
        </w:rPr>
      </w:r>
      <w:r>
        <w:rPr/>
        <w:t>提供服务的期间确认应付的职工薪酬，并根据职工提供服务的受益对象计入相关资产成本和</w:t>
      </w:r>
      <w:r>
        <w:rPr>
          <w:spacing w:val="-101"/>
        </w:rPr>
        <w:t> </w:t>
      </w:r>
      <w:r>
        <w:rPr>
          <w:spacing w:val="-101"/>
        </w:rPr>
      </w:r>
      <w:r>
        <w:rPr/>
        <w:t>费用。</w:t>
      </w:r>
    </w:p>
    <w:p>
      <w:pPr>
        <w:spacing w:line="240" w:lineRule="auto" w:before="13"/>
        <w:rPr>
          <w:rFonts w:ascii="宋体" w:hAnsi="宋体" w:cs="宋体" w:eastAsia="宋体" w:hint="default"/>
          <w:sz w:val="15"/>
          <w:szCs w:val="15"/>
        </w:rPr>
      </w:pPr>
    </w:p>
    <w:p>
      <w:pPr>
        <w:pStyle w:val="BodyText"/>
        <w:tabs>
          <w:tab w:pos="628" w:val="left" w:leader="none"/>
        </w:tabs>
        <w:spacing w:line="240" w:lineRule="auto"/>
        <w:ind w:left="138" w:right="702"/>
        <w:jc w:val="left"/>
      </w:pPr>
      <w:r>
        <w:rPr>
          <w:rFonts w:ascii="Arial" w:hAnsi="Arial" w:cs="Arial" w:eastAsia="Arial" w:hint="default"/>
          <w:w w:val="95"/>
        </w:rPr>
        <w:t>(1)</w:t>
        <w:tab/>
      </w:r>
      <w:r>
        <w:rPr/>
        <w:t>退休福利</w:t>
      </w:r>
    </w:p>
    <w:p>
      <w:pPr>
        <w:spacing w:line="240" w:lineRule="auto" w:before="12"/>
        <w:rPr>
          <w:rFonts w:ascii="宋体" w:hAnsi="宋体" w:cs="宋体" w:eastAsia="宋体" w:hint="default"/>
          <w:sz w:val="16"/>
          <w:szCs w:val="16"/>
        </w:rPr>
      </w:pPr>
    </w:p>
    <w:p>
      <w:pPr>
        <w:pStyle w:val="BodyText"/>
        <w:spacing w:line="237" w:lineRule="auto"/>
        <w:ind w:left="627" w:right="111"/>
        <w:jc w:val="both"/>
      </w:pPr>
      <w:r>
        <w:rPr/>
        <w:t>本集团的所有在职员工均参与并享受由地方政府组织的固定供款的退休养老统筹计划，本集</w:t>
      </w:r>
      <w:r>
        <w:rPr>
          <w:spacing w:val="-101"/>
        </w:rPr>
        <w:t> </w:t>
      </w:r>
      <w:r>
        <w:rPr>
          <w:spacing w:val="-101"/>
        </w:rPr>
      </w:r>
      <w:r>
        <w:rPr/>
        <w:t>团按照在职职工工资总额的一定比例且在不超过规定上限的基础上提取养老保险金，并向当</w:t>
      </w:r>
      <w:r>
        <w:rPr>
          <w:spacing w:val="-101"/>
        </w:rPr>
        <w:t> </w:t>
      </w:r>
      <w:r>
        <w:rPr>
          <w:spacing w:val="-101"/>
        </w:rPr>
      </w:r>
      <w:r>
        <w:rPr/>
        <w:t>地劳动和社会保障机构缴纳。</w:t>
      </w:r>
    </w:p>
    <w:p>
      <w:pPr>
        <w:spacing w:line="240" w:lineRule="auto" w:before="13"/>
        <w:rPr>
          <w:rFonts w:ascii="宋体" w:hAnsi="宋体" w:cs="宋体" w:eastAsia="宋体" w:hint="default"/>
          <w:sz w:val="19"/>
          <w:szCs w:val="19"/>
        </w:rPr>
      </w:pPr>
    </w:p>
    <w:p>
      <w:pPr>
        <w:pStyle w:val="BodyText"/>
        <w:spacing w:line="230" w:lineRule="auto"/>
        <w:ind w:left="627" w:right="109"/>
        <w:jc w:val="both"/>
      </w:pPr>
      <w:r>
        <w:rPr/>
        <w:t>此外，本集团所属联通运营公司的部分省分公司亦加入由独立的保险公司管理的补充养老保</w:t>
      </w:r>
      <w:r>
        <w:rPr>
          <w:spacing w:val="-101"/>
        </w:rPr>
        <w:t> </w:t>
      </w:r>
      <w:r>
        <w:rPr>
          <w:spacing w:val="-101"/>
        </w:rPr>
      </w:r>
      <w:r>
        <w:rPr/>
        <w:t>险计划。根据该计划，该等省分公司需每月按员工上年月平均基本工资的</w:t>
      </w:r>
      <w:r>
        <w:rPr>
          <w:rFonts w:ascii="Arial" w:hAnsi="Arial" w:cs="Arial" w:eastAsia="Arial" w:hint="default"/>
        </w:rPr>
        <w:t>2%-20%</w:t>
      </w:r>
      <w:r>
        <w:rPr/>
        <w:t>（</w:t>
      </w:r>
      <w:r>
        <w:rPr>
          <w:rFonts w:ascii="Arial" w:hAnsi="Arial" w:cs="Arial" w:eastAsia="Arial" w:hint="default"/>
        </w:rPr>
        <w:t>2008</w:t>
      </w:r>
      <w:r>
        <w:rPr/>
        <w:t>年</w:t>
      </w:r>
      <w:r>
        <w:rPr>
          <w:spacing w:val="-103"/>
        </w:rPr>
        <w:t> </w:t>
      </w:r>
      <w:r>
        <w:rPr/>
        <w:t>度：</w:t>
      </w:r>
      <w:r>
        <w:rPr>
          <w:rFonts w:ascii="Arial" w:hAnsi="Arial" w:cs="Arial" w:eastAsia="Arial" w:hint="default"/>
        </w:rPr>
        <w:t>2%-20%</w:t>
      </w:r>
      <w:r>
        <w:rPr/>
        <w:t>）为每个员工支付固定供款额的保险金。该等退休保险不适用于计划执行前员</w:t>
      </w:r>
      <w:r>
        <w:rPr>
          <w:spacing w:val="-53"/>
        </w:rPr>
        <w:t> </w:t>
      </w:r>
      <w:r>
        <w:rPr/>
        <w:t>工已服务年份。</w:t>
      </w:r>
    </w:p>
    <w:p>
      <w:pPr>
        <w:spacing w:line="240" w:lineRule="auto" w:before="1"/>
        <w:rPr>
          <w:rFonts w:ascii="宋体" w:hAnsi="宋体" w:cs="宋体" w:eastAsia="宋体" w:hint="default"/>
          <w:sz w:val="17"/>
          <w:szCs w:val="17"/>
        </w:rPr>
      </w:pPr>
    </w:p>
    <w:p>
      <w:pPr>
        <w:pStyle w:val="BodyText"/>
        <w:tabs>
          <w:tab w:pos="628" w:val="left" w:leader="none"/>
        </w:tabs>
        <w:spacing w:line="240" w:lineRule="auto"/>
        <w:ind w:left="138" w:right="702"/>
        <w:jc w:val="left"/>
      </w:pPr>
      <w:r>
        <w:rPr>
          <w:rFonts w:ascii="Arial" w:hAnsi="Arial" w:cs="Arial" w:eastAsia="Arial" w:hint="default"/>
          <w:w w:val="95"/>
        </w:rPr>
        <w:t>(2)</w:t>
        <w:tab/>
      </w:r>
      <w:r>
        <w:rPr/>
        <w:t>员工内部退休计划</w:t>
      </w:r>
    </w:p>
    <w:p>
      <w:pPr>
        <w:spacing w:line="240" w:lineRule="auto" w:before="11"/>
        <w:rPr>
          <w:rFonts w:ascii="宋体" w:hAnsi="宋体" w:cs="宋体" w:eastAsia="宋体" w:hint="default"/>
          <w:sz w:val="16"/>
          <w:szCs w:val="16"/>
        </w:rPr>
      </w:pPr>
    </w:p>
    <w:p>
      <w:pPr>
        <w:pStyle w:val="BodyText"/>
        <w:spacing w:line="237" w:lineRule="auto"/>
        <w:ind w:left="627" w:right="111"/>
        <w:jc w:val="both"/>
      </w:pPr>
      <w:r>
        <w:rPr/>
        <w:t>本集团的员工内部退休计划是指在企业重组改制过程中，由企业与部分尚未达到国家法定退</w:t>
      </w:r>
      <w:r>
        <w:rPr>
          <w:spacing w:val="-101"/>
        </w:rPr>
        <w:t> </w:t>
      </w:r>
      <w:r>
        <w:rPr>
          <w:spacing w:val="-101"/>
        </w:rPr>
      </w:r>
      <w:r>
        <w:rPr/>
        <w:t>休年龄的员工签署的内部提前退休协议（“内退协议”，签署内退协议的员工以下称“内退</w:t>
      </w:r>
      <w:r>
        <w:rPr>
          <w:spacing w:val="-101"/>
        </w:rPr>
        <w:t> </w:t>
      </w:r>
      <w:r>
        <w:rPr>
          <w:spacing w:val="-101"/>
        </w:rPr>
      </w:r>
      <w:r>
        <w:rPr/>
        <w:t>员工”）。内退员工在达到国家法定退休年龄前将分期获得企业支付的经济补偿，被视为设</w:t>
      </w:r>
      <w:r>
        <w:rPr>
          <w:spacing w:val="-101"/>
        </w:rPr>
        <w:t> </w:t>
      </w:r>
      <w:r>
        <w:rPr>
          <w:spacing w:val="-101"/>
        </w:rPr>
      </w:r>
      <w:r>
        <w:rPr/>
        <w:t>定受益计划。因此，根据内退协议对于该等内退经济补偿支出，于企业与内退员工签署内退</w:t>
      </w:r>
      <w:r>
        <w:rPr>
          <w:spacing w:val="-101"/>
        </w:rPr>
        <w:t> </w:t>
      </w:r>
      <w:r>
        <w:rPr>
          <w:spacing w:val="-101"/>
        </w:rPr>
      </w:r>
      <w:r>
        <w:rPr/>
        <w:t>协议期间全额计提并选择适当的折现率以折现后的金额一次性计入当期费用，同时确认相应</w:t>
      </w:r>
      <w:r>
        <w:rPr>
          <w:spacing w:val="-101"/>
        </w:rPr>
        <w:t> </w:t>
      </w:r>
      <w:r>
        <w:rPr>
          <w:spacing w:val="-101"/>
        </w:rPr>
      </w:r>
      <w:r>
        <w:rPr/>
        <w:t>的负债。</w:t>
      </w:r>
    </w:p>
    <w:p>
      <w:pPr>
        <w:spacing w:line="240" w:lineRule="auto" w:before="13"/>
        <w:rPr>
          <w:rFonts w:ascii="宋体" w:hAnsi="宋体" w:cs="宋体" w:eastAsia="宋体" w:hint="default"/>
          <w:sz w:val="16"/>
          <w:szCs w:val="16"/>
        </w:rPr>
      </w:pPr>
    </w:p>
    <w:p>
      <w:pPr>
        <w:pStyle w:val="BodyText"/>
        <w:tabs>
          <w:tab w:pos="628" w:val="left" w:leader="none"/>
        </w:tabs>
        <w:spacing w:line="240" w:lineRule="auto"/>
        <w:ind w:left="139" w:right="702"/>
        <w:jc w:val="left"/>
      </w:pPr>
      <w:r>
        <w:rPr>
          <w:rFonts w:ascii="Arial" w:hAnsi="Arial" w:cs="Arial" w:eastAsia="Arial" w:hint="default"/>
          <w:w w:val="95"/>
        </w:rPr>
        <w:t>(3)</w:t>
        <w:tab/>
      </w:r>
      <w:r>
        <w:rPr/>
        <w:t>补充福利计划</w:t>
      </w:r>
    </w:p>
    <w:p>
      <w:pPr>
        <w:spacing w:line="240" w:lineRule="auto" w:before="12"/>
        <w:rPr>
          <w:rFonts w:ascii="宋体" w:hAnsi="宋体" w:cs="宋体" w:eastAsia="宋体" w:hint="default"/>
          <w:sz w:val="16"/>
          <w:szCs w:val="16"/>
        </w:rPr>
      </w:pPr>
    </w:p>
    <w:p>
      <w:pPr>
        <w:pStyle w:val="BodyText"/>
        <w:spacing w:line="237" w:lineRule="auto"/>
        <w:ind w:left="627" w:right="111"/>
        <w:jc w:val="both"/>
      </w:pPr>
      <w:r>
        <w:rPr/>
        <w:t>除参加由地方政府组织的固定供款的社会保险外，本集团所属个别子公司亦向其职工提供其</w:t>
      </w:r>
      <w:r>
        <w:rPr>
          <w:spacing w:val="-101"/>
        </w:rPr>
        <w:t> </w:t>
      </w:r>
      <w:r>
        <w:rPr>
          <w:spacing w:val="-101"/>
        </w:rPr>
      </w:r>
      <w:r>
        <w:rPr/>
        <w:t>他离退休后补充福利，主要包括补充退休金津贴，医药费用报销及补充医疗保险，该等离退</w:t>
      </w:r>
      <w:r>
        <w:rPr>
          <w:spacing w:val="-101"/>
        </w:rPr>
        <w:t> </w:t>
      </w:r>
      <w:r>
        <w:rPr>
          <w:spacing w:val="-101"/>
        </w:rPr>
      </w:r>
      <w:r>
        <w:rPr/>
        <w:t>休后补充福利被视为设定受益计划，按其于资产负债表日的现值被确认为负债，列示于资产</w:t>
      </w:r>
      <w:r>
        <w:rPr>
          <w:spacing w:val="-101"/>
        </w:rPr>
        <w:t> </w:t>
      </w:r>
      <w:r>
        <w:rPr>
          <w:spacing w:val="-101"/>
        </w:rPr>
      </w:r>
      <w:r>
        <w:rPr/>
        <w:t>负债表上应付职工薪酬及长期应付款项下。</w:t>
      </w:r>
    </w:p>
    <w:p>
      <w:pPr>
        <w:spacing w:after="0" w:line="237" w:lineRule="auto"/>
        <w:jc w:val="both"/>
        <w:sectPr>
          <w:headerReference w:type="default" r:id="rId50"/>
          <w:pgSz w:w="11910" w:h="16840"/>
          <w:pgMar w:header="967" w:footer="600" w:top="2860" w:bottom="780" w:left="1420" w:right="920"/>
        </w:sectPr>
      </w:pPr>
    </w:p>
    <w:p>
      <w:pPr>
        <w:spacing w:line="240" w:lineRule="auto" w:before="11"/>
        <w:rPr>
          <w:rFonts w:ascii="宋体" w:hAnsi="宋体" w:cs="宋体" w:eastAsia="宋体" w:hint="default"/>
          <w:sz w:val="12"/>
          <w:szCs w:val="12"/>
        </w:rPr>
      </w:pPr>
    </w:p>
    <w:p>
      <w:pPr>
        <w:pStyle w:val="BodyText"/>
        <w:spacing w:line="240" w:lineRule="auto" w:before="31"/>
        <w:ind w:left="138" w:right="99"/>
        <w:jc w:val="left"/>
      </w:pPr>
      <w:r>
        <w:rPr>
          <w:rFonts w:ascii="Arial" w:hAnsi="Arial" w:cs="Arial" w:eastAsia="Arial" w:hint="default"/>
        </w:rPr>
        <w:t>21</w:t>
      </w:r>
      <w:r>
        <w:rPr/>
        <w:t>、股份支付</w:t>
      </w:r>
    </w:p>
    <w:p>
      <w:pPr>
        <w:spacing w:line="240" w:lineRule="auto" w:before="11"/>
        <w:rPr>
          <w:rFonts w:ascii="宋体" w:hAnsi="宋体" w:cs="宋体" w:eastAsia="宋体" w:hint="default"/>
          <w:sz w:val="16"/>
          <w:szCs w:val="16"/>
        </w:rPr>
      </w:pPr>
    </w:p>
    <w:p>
      <w:pPr>
        <w:pStyle w:val="BodyText"/>
        <w:spacing w:line="237" w:lineRule="auto"/>
        <w:ind w:left="627" w:right="99"/>
        <w:jc w:val="left"/>
      </w:pPr>
      <w:r>
        <w:rPr/>
        <w:t>本集团的股份支付是联通红筹公司为了获取员工的服务而授予的以权益结算的股份支付，以</w:t>
      </w:r>
      <w:r>
        <w:rPr>
          <w:spacing w:val="-101"/>
        </w:rPr>
        <w:t> </w:t>
      </w:r>
      <w:r>
        <w:rPr>
          <w:spacing w:val="-101"/>
        </w:rPr>
      </w:r>
      <w:r>
        <w:rPr/>
        <w:t>授予日的公允价值计量。在等待期内的每个资产负债表日，以对可行权权益工具数量的最佳</w:t>
      </w:r>
      <w:r>
        <w:rPr>
          <w:spacing w:val="-101"/>
        </w:rPr>
        <w:t> </w:t>
      </w:r>
      <w:r>
        <w:rPr>
          <w:spacing w:val="-101"/>
        </w:rPr>
      </w:r>
      <w:r>
        <w:rPr/>
        <w:t>估计为基础，按照权益工具授予日的公允价值，将当期取得的服务计入相关成本或费用，相</w:t>
      </w:r>
      <w:r>
        <w:rPr>
          <w:spacing w:val="-101"/>
        </w:rPr>
        <w:t> </w:t>
      </w:r>
      <w:r>
        <w:rPr>
          <w:spacing w:val="-101"/>
        </w:rPr>
      </w:r>
      <w:r>
        <w:rPr>
          <w:spacing w:val="-2"/>
          <w:w w:val="95"/>
        </w:rPr>
        <w:t>应增加资本公积。确认上述公允价值时，不考虑非市场条件的影响（例如收入和利润指标），</w:t>
      </w:r>
      <w:r>
        <w:rPr>
          <w:spacing w:val="24"/>
          <w:w w:val="95"/>
        </w:rPr>
        <w:t> </w:t>
      </w:r>
      <w:r>
        <w:rPr>
          <w:spacing w:val="24"/>
          <w:w w:val="95"/>
        </w:rPr>
      </w:r>
      <w:r>
        <w:rPr/>
        <w:t>且期后也无需重新评估，但非市场条件的影响包括在对预计可行权数量的估计中。在资产负</w:t>
      </w:r>
      <w:r>
        <w:rPr>
          <w:spacing w:val="-101"/>
        </w:rPr>
        <w:t> </w:t>
      </w:r>
      <w:r>
        <w:rPr>
          <w:spacing w:val="-101"/>
        </w:rPr>
      </w:r>
      <w:r>
        <w:rPr/>
        <w:t>债表日，后续信息表明可行权权益工具的数量与以前估计不同的，则对其进行调整，并在可</w:t>
      </w:r>
      <w:r>
        <w:rPr>
          <w:spacing w:val="-101"/>
        </w:rPr>
        <w:t> </w:t>
      </w:r>
      <w:r>
        <w:rPr>
          <w:spacing w:val="-101"/>
        </w:rPr>
      </w:r>
      <w:r>
        <w:rPr/>
        <w:t>行权日，调整至实际可行权的权益工具数量。在可行权日之后，不再对已确认的相关成本或</w:t>
      </w:r>
      <w:r>
        <w:rPr>
          <w:spacing w:val="-101"/>
        </w:rPr>
        <w:t> </w:t>
      </w:r>
      <w:r>
        <w:rPr>
          <w:spacing w:val="-101"/>
        </w:rPr>
      </w:r>
      <w:r>
        <w:rPr/>
        <w:t>费用和所有者权益总额进行调整。于行权日，本集团根据员工实际行权的权益工具数量，将</w:t>
      </w:r>
      <w:r>
        <w:rPr>
          <w:spacing w:val="-101"/>
        </w:rPr>
        <w:t> </w:t>
      </w:r>
      <w:r>
        <w:rPr>
          <w:spacing w:val="-101"/>
        </w:rPr>
      </w:r>
      <w:r>
        <w:rPr/>
        <w:t>所收取的款项扣除交易费用后，确认联通红筹公司的股本和股本溢价，同时结转等待期内确</w:t>
      </w:r>
      <w:r>
        <w:rPr>
          <w:spacing w:val="-101"/>
        </w:rPr>
        <w:t> </w:t>
      </w:r>
      <w:r>
        <w:rPr>
          <w:spacing w:val="-101"/>
        </w:rPr>
      </w:r>
      <w:r>
        <w:rPr/>
        <w:t>认的资本公积（其他资本公积）。</w:t>
      </w:r>
    </w:p>
    <w:p>
      <w:pPr>
        <w:spacing w:line="240" w:lineRule="auto" w:before="8"/>
        <w:rPr>
          <w:rFonts w:ascii="宋体" w:hAnsi="宋体" w:cs="宋体" w:eastAsia="宋体" w:hint="default"/>
          <w:sz w:val="19"/>
          <w:szCs w:val="19"/>
        </w:rPr>
      </w:pPr>
    </w:p>
    <w:p>
      <w:pPr>
        <w:pStyle w:val="BodyText"/>
        <w:spacing w:line="235" w:lineRule="auto"/>
        <w:ind w:left="627" w:right="211"/>
        <w:jc w:val="both"/>
      </w:pPr>
      <w:r>
        <w:rPr/>
        <w:t>在联通红筹公司和网通红筹公司的企业合并过程中发生了股份期权置换，该等股份期权的置</w:t>
      </w:r>
      <w:r>
        <w:rPr>
          <w:spacing w:val="-101"/>
        </w:rPr>
        <w:t> </w:t>
      </w:r>
      <w:r>
        <w:rPr>
          <w:spacing w:val="-101"/>
        </w:rPr>
      </w:r>
      <w:r>
        <w:rPr>
          <w:spacing w:val="-2"/>
        </w:rPr>
        <w:t>换被视为对原股份支付计划的修订。于股份期权置换当日（</w:t>
      </w:r>
      <w:r>
        <w:rPr>
          <w:rFonts w:ascii="Arial" w:hAnsi="Arial" w:cs="Arial" w:eastAsia="Arial" w:hint="default"/>
          <w:spacing w:val="-2"/>
        </w:rPr>
        <w:t>2008</w:t>
      </w:r>
      <w:r>
        <w:rPr>
          <w:spacing w:val="-2"/>
        </w:rPr>
        <w:t>年</w:t>
      </w:r>
      <w:r>
        <w:rPr>
          <w:rFonts w:ascii="Arial" w:hAnsi="Arial" w:cs="Arial" w:eastAsia="Arial" w:hint="default"/>
          <w:spacing w:val="-2"/>
        </w:rPr>
        <w:t>10</w:t>
      </w:r>
      <w:r>
        <w:rPr>
          <w:spacing w:val="-2"/>
        </w:rPr>
        <w:t>月</w:t>
      </w:r>
      <w:r>
        <w:rPr>
          <w:rFonts w:ascii="Arial" w:hAnsi="Arial" w:cs="Arial" w:eastAsia="Arial" w:hint="default"/>
          <w:spacing w:val="-2"/>
        </w:rPr>
        <w:t>15</w:t>
      </w:r>
      <w:r>
        <w:rPr>
          <w:spacing w:val="-2"/>
        </w:rPr>
        <w:t>日），置换后新股</w:t>
      </w:r>
      <w:r>
        <w:rPr>
          <w:spacing w:val="-103"/>
        </w:rPr>
        <w:t> </w:t>
      </w:r>
      <w:r>
        <w:rPr>
          <w:spacing w:val="-103"/>
        </w:rPr>
      </w:r>
      <w:r>
        <w:rPr/>
        <w:t>份期权的公允价值超过原有股份期权公允价值的部分，将确认为本集团独立于企业合并外所</w:t>
      </w:r>
      <w:r>
        <w:rPr>
          <w:spacing w:val="-101"/>
        </w:rPr>
        <w:t> </w:t>
      </w:r>
      <w:r>
        <w:rPr>
          <w:spacing w:val="-101"/>
        </w:rPr>
      </w:r>
      <w:r>
        <w:rPr/>
        <w:t>发生的费用（“额外费用”，即额外的薪酬）。该额外费用中，对于股份期权置换日已经归</w:t>
      </w:r>
      <w:r>
        <w:rPr>
          <w:spacing w:val="-101"/>
        </w:rPr>
        <w:t> </w:t>
      </w:r>
      <w:r>
        <w:rPr>
          <w:spacing w:val="-101"/>
        </w:rPr>
      </w:r>
      <w:r>
        <w:rPr/>
        <w:t>属的新股份期权所对应的额外费用被立即计入利润表；对于于股份期权置换日尚处于等待期</w:t>
      </w:r>
      <w:r>
        <w:rPr>
          <w:spacing w:val="-101"/>
        </w:rPr>
        <w:t> </w:t>
      </w:r>
      <w:r>
        <w:rPr>
          <w:spacing w:val="-101"/>
        </w:rPr>
      </w:r>
      <w:r>
        <w:rPr/>
        <w:t>的新股份期权所对应的额外费用，将在自股份期权置换日起剩余的等待期间内于每个资产负</w:t>
      </w:r>
      <w:r>
        <w:rPr>
          <w:spacing w:val="-101"/>
        </w:rPr>
        <w:t> </w:t>
      </w:r>
      <w:r>
        <w:rPr>
          <w:spacing w:val="-101"/>
        </w:rPr>
      </w:r>
      <w:r>
        <w:rPr/>
        <w:t>债表日按照当期取得的服务计入相关成本或费用，并相应增加资本公积。</w:t>
      </w:r>
    </w:p>
    <w:p>
      <w:pPr>
        <w:spacing w:line="240" w:lineRule="auto" w:before="0"/>
        <w:rPr>
          <w:rFonts w:ascii="宋体" w:hAnsi="宋体" w:cs="宋体" w:eastAsia="宋体" w:hint="default"/>
          <w:sz w:val="16"/>
          <w:szCs w:val="16"/>
        </w:rPr>
      </w:pPr>
    </w:p>
    <w:p>
      <w:pPr>
        <w:pStyle w:val="BodyText"/>
        <w:spacing w:line="240" w:lineRule="auto"/>
        <w:ind w:left="138" w:right="99"/>
        <w:jc w:val="left"/>
      </w:pPr>
      <w:r>
        <w:rPr>
          <w:rFonts w:ascii="Arial" w:hAnsi="Arial" w:cs="Arial" w:eastAsia="Arial" w:hint="default"/>
        </w:rPr>
        <w:t>22</w:t>
      </w:r>
      <w:r>
        <w:rPr/>
        <w:t>、股利分配</w:t>
      </w:r>
    </w:p>
    <w:p>
      <w:pPr>
        <w:spacing w:line="240" w:lineRule="auto" w:before="9"/>
        <w:rPr>
          <w:rFonts w:ascii="宋体" w:hAnsi="宋体" w:cs="宋体" w:eastAsia="宋体" w:hint="default"/>
          <w:sz w:val="16"/>
          <w:szCs w:val="16"/>
        </w:rPr>
      </w:pPr>
    </w:p>
    <w:p>
      <w:pPr>
        <w:pStyle w:val="BodyText"/>
        <w:spacing w:line="240" w:lineRule="auto"/>
        <w:ind w:left="627" w:right="0"/>
        <w:jc w:val="both"/>
      </w:pPr>
      <w:r>
        <w:rPr/>
        <w:t>现金股利于股东大会批准的当期，确认为负债。</w:t>
      </w:r>
    </w:p>
    <w:p>
      <w:pPr>
        <w:spacing w:line="240" w:lineRule="auto" w:before="12"/>
        <w:rPr>
          <w:rFonts w:ascii="宋体" w:hAnsi="宋体" w:cs="宋体" w:eastAsia="宋体" w:hint="default"/>
          <w:sz w:val="16"/>
          <w:szCs w:val="16"/>
        </w:rPr>
      </w:pPr>
    </w:p>
    <w:p>
      <w:pPr>
        <w:pStyle w:val="BodyText"/>
        <w:spacing w:line="240" w:lineRule="auto"/>
        <w:ind w:left="138" w:right="99"/>
        <w:jc w:val="left"/>
      </w:pPr>
      <w:r>
        <w:rPr>
          <w:rFonts w:ascii="Arial" w:hAnsi="Arial" w:cs="Arial" w:eastAsia="Arial" w:hint="default"/>
        </w:rPr>
        <w:t>23</w:t>
      </w:r>
      <w:r>
        <w:rPr/>
        <w:t>、预计负债</w:t>
      </w:r>
    </w:p>
    <w:p>
      <w:pPr>
        <w:spacing w:line="240" w:lineRule="auto" w:before="11"/>
        <w:rPr>
          <w:rFonts w:ascii="宋体" w:hAnsi="宋体" w:cs="宋体" w:eastAsia="宋体" w:hint="default"/>
          <w:sz w:val="18"/>
          <w:szCs w:val="18"/>
        </w:rPr>
      </w:pPr>
    </w:p>
    <w:p>
      <w:pPr>
        <w:pStyle w:val="BodyText"/>
        <w:spacing w:line="286" w:lineRule="exact"/>
        <w:ind w:left="627" w:right="212"/>
        <w:jc w:val="both"/>
      </w:pPr>
      <w:r>
        <w:rPr/>
        <w:t>因产品质量保证、亏损合同等形成的现时义务，当履行该义务很可能导致经济利益的流出，</w:t>
      </w:r>
      <w:r>
        <w:rPr>
          <w:spacing w:val="-101"/>
        </w:rPr>
        <w:t> </w:t>
      </w:r>
      <w:r>
        <w:rPr>
          <w:spacing w:val="-101"/>
        </w:rPr>
      </w:r>
      <w:r>
        <w:rPr/>
        <w:t>且其金额能够可靠计量时，确认为预计负债。</w:t>
      </w:r>
    </w:p>
    <w:p>
      <w:pPr>
        <w:spacing w:line="240" w:lineRule="auto" w:before="5"/>
        <w:rPr>
          <w:rFonts w:ascii="宋体" w:hAnsi="宋体" w:cs="宋体" w:eastAsia="宋体" w:hint="default"/>
          <w:sz w:val="17"/>
          <w:szCs w:val="17"/>
        </w:rPr>
      </w:pPr>
    </w:p>
    <w:p>
      <w:pPr>
        <w:pStyle w:val="BodyText"/>
        <w:spacing w:line="237" w:lineRule="auto"/>
        <w:ind w:left="627" w:right="102"/>
        <w:jc w:val="both"/>
      </w:pPr>
      <w:r>
        <w:rPr/>
        <w:t>预计负债按照履行相关现时义务所需支出的最佳估计数进行初始计量，并综合考虑与或有事</w:t>
      </w:r>
      <w:r>
        <w:rPr>
          <w:spacing w:val="-101"/>
        </w:rPr>
        <w:t> </w:t>
      </w:r>
      <w:r>
        <w:rPr>
          <w:spacing w:val="-101"/>
        </w:rPr>
      </w:r>
      <w:r>
        <w:rPr/>
        <w:t>项有关的风险、不确定性和货币时间价值等因素。货币时间价值影响重大的，通过对相关未</w:t>
      </w:r>
      <w:r>
        <w:rPr>
          <w:spacing w:val="-101"/>
        </w:rPr>
        <w:t> </w:t>
      </w:r>
      <w:r>
        <w:rPr>
          <w:spacing w:val="-101"/>
        </w:rPr>
      </w:r>
      <w:r>
        <w:rPr/>
        <w:t>来现金流出进行折现后确定最佳估计数；因随着时间推移所进行的折现还原而导致的预计负</w:t>
      </w:r>
      <w:r>
        <w:rPr>
          <w:spacing w:val="-101"/>
        </w:rPr>
        <w:t> </w:t>
      </w:r>
      <w:r>
        <w:rPr>
          <w:spacing w:val="-101"/>
        </w:rPr>
      </w:r>
      <w:r>
        <w:rPr/>
        <w:t>债账面价值的增加金额，确认为利息费用。</w:t>
      </w:r>
    </w:p>
    <w:p>
      <w:pPr>
        <w:spacing w:line="240" w:lineRule="auto" w:before="1"/>
        <w:rPr>
          <w:rFonts w:ascii="宋体" w:hAnsi="宋体" w:cs="宋体" w:eastAsia="宋体" w:hint="default"/>
          <w:sz w:val="19"/>
          <w:szCs w:val="19"/>
        </w:rPr>
      </w:pPr>
    </w:p>
    <w:p>
      <w:pPr>
        <w:pStyle w:val="BodyText"/>
        <w:spacing w:line="240" w:lineRule="auto"/>
        <w:ind w:left="627" w:right="0"/>
        <w:jc w:val="both"/>
      </w:pPr>
      <w:r>
        <w:rPr>
          <w:w w:val="95"/>
        </w:rPr>
        <w:t>于资产负债表日，对预计负债的账面价值进行复核并作适当调整，以反映当前的最佳估计数。</w:t>
      </w:r>
      <w:r>
        <w:rPr/>
      </w:r>
    </w:p>
    <w:p>
      <w:pPr>
        <w:spacing w:line="240" w:lineRule="auto" w:before="13"/>
        <w:rPr>
          <w:rFonts w:ascii="宋体" w:hAnsi="宋体" w:cs="宋体" w:eastAsia="宋体" w:hint="default"/>
          <w:sz w:val="16"/>
          <w:szCs w:val="16"/>
        </w:rPr>
      </w:pPr>
    </w:p>
    <w:p>
      <w:pPr>
        <w:pStyle w:val="BodyText"/>
        <w:spacing w:line="240" w:lineRule="auto"/>
        <w:ind w:left="138" w:right="99"/>
        <w:jc w:val="left"/>
      </w:pPr>
      <w:r>
        <w:rPr>
          <w:rFonts w:ascii="Arial" w:hAnsi="Arial" w:cs="Arial" w:eastAsia="Arial" w:hint="default"/>
        </w:rPr>
        <w:t>24</w:t>
      </w:r>
      <w:r>
        <w:rPr/>
        <w:t>、收入确认</w:t>
      </w:r>
    </w:p>
    <w:p>
      <w:pPr>
        <w:spacing w:line="240" w:lineRule="auto" w:before="11"/>
        <w:rPr>
          <w:rFonts w:ascii="宋体" w:hAnsi="宋体" w:cs="宋体" w:eastAsia="宋体" w:hint="default"/>
          <w:sz w:val="16"/>
          <w:szCs w:val="16"/>
        </w:rPr>
      </w:pPr>
    </w:p>
    <w:p>
      <w:pPr>
        <w:pStyle w:val="BodyText"/>
        <w:spacing w:line="237" w:lineRule="auto"/>
        <w:ind w:left="627" w:right="212"/>
        <w:jc w:val="both"/>
      </w:pPr>
      <w:r>
        <w:rPr/>
        <w:t>收入的金额按照本集团在日常经营活动中提供电信服务、其他劳务或销售通信产品时，已收</w:t>
      </w:r>
      <w:r>
        <w:rPr>
          <w:spacing w:val="-101"/>
        </w:rPr>
        <w:t> </w:t>
      </w:r>
      <w:r>
        <w:rPr>
          <w:spacing w:val="-101"/>
        </w:rPr>
      </w:r>
      <w:r>
        <w:rPr/>
        <w:t>或应收合同或协议价款的公允价值确定。收入按扣除商业折扣、销售折让、销售退回、增值</w:t>
      </w:r>
      <w:r>
        <w:rPr>
          <w:spacing w:val="-101"/>
        </w:rPr>
        <w:t> </w:t>
      </w:r>
      <w:r>
        <w:rPr>
          <w:spacing w:val="-101"/>
        </w:rPr>
      </w:r>
      <w:r>
        <w:rPr/>
        <w:t>税以及对集团内部销售后的净额列示。</w:t>
      </w:r>
    </w:p>
    <w:p>
      <w:pPr>
        <w:spacing w:line="240" w:lineRule="auto" w:before="4"/>
        <w:rPr>
          <w:rFonts w:ascii="宋体" w:hAnsi="宋体" w:cs="宋体" w:eastAsia="宋体" w:hint="default"/>
          <w:sz w:val="21"/>
          <w:szCs w:val="21"/>
        </w:rPr>
      </w:pPr>
    </w:p>
    <w:p>
      <w:pPr>
        <w:pStyle w:val="BodyText"/>
        <w:spacing w:line="286" w:lineRule="exact"/>
        <w:ind w:left="627" w:right="212"/>
        <w:jc w:val="both"/>
      </w:pPr>
      <w:r>
        <w:rPr/>
        <w:t>与交易相关的经济利益能够流入本集团，相关的收入和成本能够可靠计量且满足下列各项经</w:t>
      </w:r>
      <w:r>
        <w:rPr>
          <w:spacing w:val="-101"/>
        </w:rPr>
        <w:t> </w:t>
      </w:r>
      <w:r>
        <w:rPr>
          <w:spacing w:val="-101"/>
        </w:rPr>
      </w:r>
      <w:r>
        <w:rPr/>
        <w:t>营活动的特定收入确认标准时，确认相关的收入：</w:t>
      </w:r>
    </w:p>
    <w:p>
      <w:pPr>
        <w:spacing w:after="0" w:line="286" w:lineRule="exact"/>
        <w:jc w:val="both"/>
        <w:sectPr>
          <w:headerReference w:type="default" r:id="rId51"/>
          <w:pgSz w:w="11910" w:h="16840"/>
          <w:pgMar w:header="967" w:footer="600" w:top="2860" w:bottom="780" w:left="1420" w:right="820"/>
        </w:sectPr>
      </w:pPr>
    </w:p>
    <w:p>
      <w:pPr>
        <w:spacing w:line="240" w:lineRule="auto" w:before="11"/>
        <w:rPr>
          <w:rFonts w:ascii="宋体" w:hAnsi="宋体" w:cs="宋体" w:eastAsia="宋体" w:hint="default"/>
          <w:sz w:val="12"/>
          <w:szCs w:val="12"/>
        </w:rPr>
      </w:pPr>
    </w:p>
    <w:p>
      <w:pPr>
        <w:pStyle w:val="BodyText"/>
        <w:spacing w:line="240" w:lineRule="auto" w:before="31"/>
        <w:ind w:left="138" w:right="702"/>
        <w:jc w:val="left"/>
      </w:pPr>
      <w:r>
        <w:rPr>
          <w:rFonts w:ascii="Arial" w:hAnsi="Arial" w:cs="Arial" w:eastAsia="Arial" w:hint="default"/>
        </w:rPr>
        <w:t>24</w:t>
      </w:r>
      <w:r>
        <w:rPr/>
        <w:t>、收入确认（续）</w:t>
      </w:r>
    </w:p>
    <w:p>
      <w:pPr>
        <w:spacing w:line="240" w:lineRule="auto" w:before="8"/>
        <w:rPr>
          <w:rFonts w:ascii="宋体" w:hAnsi="宋体" w:cs="宋体" w:eastAsia="宋体" w:hint="default"/>
          <w:sz w:val="16"/>
          <w:szCs w:val="16"/>
        </w:rPr>
      </w:pPr>
    </w:p>
    <w:p>
      <w:pPr>
        <w:pStyle w:val="BodyText"/>
        <w:spacing w:line="240" w:lineRule="auto"/>
        <w:ind w:left="180" w:right="702"/>
        <w:jc w:val="left"/>
      </w:pPr>
      <w:r>
        <w:rPr>
          <w:rFonts w:ascii="Arial" w:hAnsi="Arial" w:cs="Arial" w:eastAsia="Arial" w:hint="default"/>
        </w:rPr>
        <w:t>(a) </w:t>
      </w:r>
      <w:r>
        <w:rPr>
          <w:rFonts w:ascii="Arial" w:hAnsi="Arial" w:cs="Arial" w:eastAsia="Arial" w:hint="default"/>
          <w:spacing w:val="55"/>
        </w:rPr>
        <w:t> </w:t>
      </w:r>
      <w:r>
        <w:rPr/>
        <w:t>通话费和月租费在提供服务时确认；</w:t>
      </w:r>
    </w:p>
    <w:p>
      <w:pPr>
        <w:spacing w:line="240" w:lineRule="auto" w:before="13"/>
        <w:rPr>
          <w:rFonts w:ascii="宋体" w:hAnsi="宋体" w:cs="宋体" w:eastAsia="宋体" w:hint="default"/>
          <w:sz w:val="17"/>
          <w:szCs w:val="17"/>
        </w:rPr>
      </w:pPr>
    </w:p>
    <w:p>
      <w:pPr>
        <w:pStyle w:val="BodyText"/>
        <w:spacing w:line="240" w:lineRule="auto"/>
        <w:ind w:left="178" w:right="702"/>
        <w:jc w:val="left"/>
      </w:pPr>
      <w:r>
        <w:rPr>
          <w:rFonts w:ascii="Arial" w:hAnsi="Arial" w:cs="Arial" w:eastAsia="Arial" w:hint="default"/>
        </w:rPr>
        <w:t>(b) </w:t>
      </w:r>
      <w:r>
        <w:rPr>
          <w:rFonts w:ascii="Arial" w:hAnsi="Arial" w:cs="Arial" w:eastAsia="Arial" w:hint="default"/>
          <w:spacing w:val="58"/>
        </w:rPr>
        <w:t> </w:t>
      </w:r>
      <w:r>
        <w:rPr/>
        <w:t>提供宽带和其他互联网相关服务以及管理数据服务的收入在提供服务时予以确认；</w:t>
      </w:r>
    </w:p>
    <w:p>
      <w:pPr>
        <w:spacing w:line="240" w:lineRule="auto" w:before="0"/>
        <w:rPr>
          <w:rFonts w:ascii="宋体" w:hAnsi="宋体" w:cs="宋体" w:eastAsia="宋体" w:hint="default"/>
          <w:sz w:val="20"/>
          <w:szCs w:val="20"/>
        </w:rPr>
      </w:pPr>
    </w:p>
    <w:p>
      <w:pPr>
        <w:pStyle w:val="BodyText"/>
        <w:spacing w:line="286" w:lineRule="exact"/>
        <w:ind w:left="633" w:right="112" w:hanging="455"/>
        <w:jc w:val="both"/>
      </w:pPr>
      <w:r>
        <w:rPr>
          <w:rFonts w:ascii="Arial" w:hAnsi="Arial" w:cs="Arial" w:eastAsia="Arial" w:hint="default"/>
        </w:rPr>
        <w:t>(c)</w:t>
      </w:r>
      <w:r>
        <w:rPr>
          <w:rFonts w:ascii="Arial" w:hAnsi="Arial" w:cs="Arial" w:eastAsia="Arial" w:hint="default"/>
          <w:spacing w:val="16"/>
        </w:rPr>
        <w:t> </w:t>
      </w:r>
      <w:r>
        <w:rPr/>
        <w:t>销售有价电话卡收入指为提供通话服务向用户收取的预收服务费，按用户实际使用量进行确</w:t>
      </w:r>
      <w:r>
        <w:rPr>
          <w:spacing w:val="1"/>
          <w:w w:val="99"/>
        </w:rPr>
        <w:t> </w:t>
      </w:r>
      <w:r>
        <w:rPr/>
        <w:t>认；</w:t>
      </w:r>
    </w:p>
    <w:p>
      <w:pPr>
        <w:spacing w:line="240" w:lineRule="auto" w:before="12"/>
        <w:rPr>
          <w:rFonts w:ascii="宋体" w:hAnsi="宋体" w:cs="宋体" w:eastAsia="宋体" w:hint="default"/>
          <w:sz w:val="16"/>
          <w:szCs w:val="16"/>
        </w:rPr>
      </w:pPr>
    </w:p>
    <w:p>
      <w:pPr>
        <w:pStyle w:val="BodyText"/>
        <w:spacing w:line="230" w:lineRule="auto"/>
        <w:ind w:left="633" w:right="111" w:hanging="455"/>
        <w:jc w:val="both"/>
      </w:pPr>
      <w:r>
        <w:rPr>
          <w:rFonts w:ascii="Arial" w:hAnsi="Arial" w:cs="Arial" w:eastAsia="Arial" w:hint="default"/>
        </w:rPr>
        <w:t>(d)</w:t>
      </w:r>
      <w:r>
        <w:rPr>
          <w:rFonts w:ascii="Arial" w:hAnsi="Arial" w:cs="Arial" w:eastAsia="Arial" w:hint="default"/>
          <w:spacing w:val="4"/>
        </w:rPr>
        <w:t> </w:t>
      </w:r>
      <w:r>
        <w:rPr/>
        <w:t>对于信息与通信技术服务收入，若提供劳务交易的结果能够可靠估计，采用完工百分比法确</w:t>
      </w:r>
      <w:r>
        <w:rPr>
          <w:spacing w:val="1"/>
          <w:w w:val="99"/>
        </w:rPr>
        <w:t> </w:t>
      </w:r>
      <w:r>
        <w:rPr/>
        <w:t>认收入；若提供劳务交易的结果不能可靠估计，则不能按照完工百分比法确认而应区别下列</w:t>
      </w:r>
      <w:r>
        <w:rPr>
          <w:w w:val="99"/>
        </w:rPr>
        <w:t> </w:t>
      </w:r>
      <w:r>
        <w:rPr/>
        <w:t>情况处理：</w:t>
      </w:r>
      <w:r>
        <w:rPr>
          <w:rFonts w:ascii="Arial" w:hAnsi="Arial" w:cs="Arial" w:eastAsia="Arial" w:hint="default"/>
        </w:rPr>
        <w:t>(i)</w:t>
      </w:r>
      <w:r>
        <w:rPr/>
        <w:t>已经发生的劳务成本预计全部能够得到补偿的，应按已收或预计能够收回的金</w:t>
      </w:r>
      <w:r>
        <w:rPr>
          <w:spacing w:val="1"/>
          <w:w w:val="99"/>
        </w:rPr>
        <w:t> </w:t>
      </w:r>
      <w:r>
        <w:rPr>
          <w:w w:val="95"/>
        </w:rPr>
        <w:t>额确认提供劳务收入，并结转已经发生的劳务成本，</w:t>
      </w:r>
      <w:r>
        <w:rPr>
          <w:rFonts w:ascii="Arial" w:hAnsi="Arial" w:cs="Arial" w:eastAsia="Arial" w:hint="default"/>
          <w:w w:val="95"/>
        </w:rPr>
        <w:t>(ii)</w:t>
      </w:r>
      <w:r>
        <w:rPr>
          <w:w w:val="95"/>
        </w:rPr>
        <w:t>已经发生的劳务成本预计部分能够得</w:t>
      </w:r>
      <w:r>
        <w:rPr>
          <w:w w:val="99"/>
        </w:rPr>
        <w:t> </w:t>
      </w:r>
      <w:r>
        <w:rPr/>
        <w:t>到补偿的，应按能够得到补偿的劳务成本金额确认提供劳务收入，并结转已经发生的劳务成</w:t>
      </w:r>
      <w:r>
        <w:rPr>
          <w:w w:val="99"/>
        </w:rPr>
        <w:t> </w:t>
      </w:r>
      <w:r>
        <w:rPr>
          <w:spacing w:val="-2"/>
        </w:rPr>
        <w:t>本，及</w:t>
      </w:r>
      <w:r>
        <w:rPr>
          <w:rFonts w:ascii="Arial" w:hAnsi="Arial" w:cs="Arial" w:eastAsia="Arial" w:hint="default"/>
          <w:spacing w:val="-2"/>
        </w:rPr>
        <w:t>(iii)</w:t>
      </w:r>
      <w:r>
        <w:rPr>
          <w:spacing w:val="-2"/>
        </w:rPr>
        <w:t>已经发生的劳务成本预计全部不能得到补偿的，应将已经发生的劳务成本计入当期</w:t>
      </w:r>
      <w:r>
        <w:rPr>
          <w:w w:val="99"/>
        </w:rPr>
        <w:t> </w:t>
      </w:r>
      <w:r>
        <w:rPr/>
        <w:t>损益，不确认提供劳务收入；</w:t>
      </w:r>
    </w:p>
    <w:p>
      <w:pPr>
        <w:spacing w:line="240" w:lineRule="auto" w:before="4"/>
        <w:rPr>
          <w:rFonts w:ascii="宋体" w:hAnsi="宋体" w:cs="宋体" w:eastAsia="宋体" w:hint="default"/>
          <w:sz w:val="21"/>
          <w:szCs w:val="21"/>
        </w:rPr>
      </w:pPr>
    </w:p>
    <w:p>
      <w:pPr>
        <w:pStyle w:val="BodyText"/>
        <w:spacing w:line="286" w:lineRule="exact"/>
        <w:ind w:left="633" w:right="112" w:hanging="455"/>
        <w:jc w:val="both"/>
      </w:pPr>
      <w:r>
        <w:rPr>
          <w:rFonts w:ascii="Arial" w:hAnsi="Arial" w:cs="Arial" w:eastAsia="Arial" w:hint="default"/>
        </w:rPr>
        <w:t>(e)</w:t>
      </w:r>
      <w:r>
        <w:rPr>
          <w:rFonts w:ascii="Arial" w:hAnsi="Arial" w:cs="Arial" w:eastAsia="Arial" w:hint="default"/>
          <w:spacing w:val="4"/>
        </w:rPr>
        <w:t> </w:t>
      </w:r>
      <w:r>
        <w:rPr/>
        <w:t>网间结算收入指本集团与国内外其他电信运营商网络间通信而获得的收入，于发生时确认；</w:t>
      </w:r>
      <w:r>
        <w:rPr>
          <w:spacing w:val="1"/>
          <w:w w:val="99"/>
        </w:rPr>
        <w:t> </w:t>
      </w:r>
      <w:r>
        <w:rPr/>
        <w:t>网间结算支出指本集团与国内外其他电信运营商网络间通信所产生的支出，于发生时确认；</w:t>
      </w:r>
    </w:p>
    <w:p>
      <w:pPr>
        <w:spacing w:line="240" w:lineRule="auto" w:before="3"/>
        <w:rPr>
          <w:rFonts w:ascii="宋体" w:hAnsi="宋体" w:cs="宋体" w:eastAsia="宋体" w:hint="default"/>
          <w:sz w:val="19"/>
          <w:szCs w:val="19"/>
        </w:rPr>
      </w:pPr>
    </w:p>
    <w:p>
      <w:pPr>
        <w:pStyle w:val="BodyText"/>
        <w:spacing w:line="286" w:lineRule="exact"/>
        <w:ind w:left="633" w:right="112" w:hanging="455"/>
        <w:jc w:val="both"/>
      </w:pPr>
      <w:r>
        <w:rPr>
          <w:rFonts w:ascii="Arial" w:hAnsi="Arial" w:cs="Arial" w:eastAsia="Arial" w:hint="default"/>
        </w:rPr>
        <w:t>(f)</w:t>
      </w:r>
      <w:r>
        <w:rPr>
          <w:rFonts w:ascii="Arial" w:hAnsi="Arial" w:cs="Arial" w:eastAsia="Arial" w:hint="default"/>
          <w:spacing w:val="3"/>
        </w:rPr>
        <w:t> </w:t>
      </w:r>
      <w:r>
        <w:rPr/>
        <w:t>增值服务收入是指向用户提供如短信、炫铃、个性化彩铃、无线数据服务、来电显示以及秘</w:t>
      </w:r>
      <w:r>
        <w:rPr>
          <w:spacing w:val="1"/>
          <w:w w:val="99"/>
        </w:rPr>
        <w:t> </w:t>
      </w:r>
      <w:r>
        <w:rPr/>
        <w:t>书服务等，并在服务提供时确认；</w:t>
      </w:r>
    </w:p>
    <w:p>
      <w:pPr>
        <w:spacing w:line="240" w:lineRule="auto" w:before="4"/>
        <w:rPr>
          <w:rFonts w:ascii="宋体" w:hAnsi="宋体" w:cs="宋体" w:eastAsia="宋体" w:hint="default"/>
          <w:sz w:val="19"/>
          <w:szCs w:val="19"/>
        </w:rPr>
      </w:pPr>
    </w:p>
    <w:p>
      <w:pPr>
        <w:pStyle w:val="BodyText"/>
        <w:spacing w:line="286" w:lineRule="exact"/>
        <w:ind w:left="633" w:right="112" w:hanging="455"/>
        <w:jc w:val="both"/>
      </w:pPr>
      <w:r>
        <w:rPr>
          <w:rFonts w:ascii="Arial" w:hAnsi="Arial" w:cs="Arial" w:eastAsia="Arial" w:hint="default"/>
        </w:rPr>
        <w:t>(g)</w:t>
      </w:r>
      <w:r>
        <w:rPr>
          <w:rFonts w:ascii="Arial" w:hAnsi="Arial" w:cs="Arial" w:eastAsia="Arial" w:hint="default"/>
          <w:spacing w:val="4"/>
        </w:rPr>
        <w:t> </w:t>
      </w:r>
      <w:r>
        <w:rPr/>
        <w:t>提供劳务收入是指对外提供通信信息工程和建筑工程的资讯、勘察、设计、监理、客服等劳</w:t>
      </w:r>
      <w:r>
        <w:rPr>
          <w:spacing w:val="1"/>
          <w:w w:val="99"/>
        </w:rPr>
        <w:t> </w:t>
      </w:r>
      <w:r>
        <w:rPr/>
        <w:t>务，当合同已经签订且相关服务已提供完毕时确认相关的收入；</w:t>
      </w:r>
    </w:p>
    <w:p>
      <w:pPr>
        <w:spacing w:line="240" w:lineRule="auto" w:before="3"/>
        <w:rPr>
          <w:rFonts w:ascii="宋体" w:hAnsi="宋体" w:cs="宋体" w:eastAsia="宋体" w:hint="default"/>
          <w:sz w:val="19"/>
          <w:szCs w:val="19"/>
        </w:rPr>
      </w:pPr>
    </w:p>
    <w:p>
      <w:pPr>
        <w:pStyle w:val="BodyText"/>
        <w:spacing w:line="286" w:lineRule="exact"/>
        <w:ind w:left="633" w:right="112" w:hanging="455"/>
        <w:jc w:val="both"/>
      </w:pPr>
      <w:r>
        <w:rPr>
          <w:rFonts w:ascii="Arial" w:hAnsi="Arial" w:cs="Arial" w:eastAsia="Arial" w:hint="default"/>
        </w:rPr>
        <w:t>(h)</w:t>
      </w:r>
      <w:r>
        <w:rPr>
          <w:rFonts w:ascii="Arial" w:hAnsi="Arial" w:cs="Arial" w:eastAsia="Arial" w:hint="default"/>
          <w:spacing w:val="4"/>
        </w:rPr>
        <w:t> </w:t>
      </w:r>
      <w:r>
        <w:rPr/>
        <w:t>销售通信产品收入指销售手机、通信设备等通信产品而产生的收入，在产品所有权上的风险</w:t>
      </w:r>
      <w:r>
        <w:rPr>
          <w:spacing w:val="1"/>
          <w:w w:val="99"/>
        </w:rPr>
        <w:t> </w:t>
      </w:r>
      <w:r>
        <w:rPr/>
        <w:t>和报酬转移给买方时确认；</w:t>
      </w:r>
    </w:p>
    <w:p>
      <w:pPr>
        <w:spacing w:line="240" w:lineRule="auto" w:before="3"/>
        <w:rPr>
          <w:rFonts w:ascii="宋体" w:hAnsi="宋体" w:cs="宋体" w:eastAsia="宋体" w:hint="default"/>
          <w:sz w:val="19"/>
          <w:szCs w:val="19"/>
        </w:rPr>
      </w:pPr>
    </w:p>
    <w:p>
      <w:pPr>
        <w:pStyle w:val="BodyText"/>
        <w:spacing w:line="286" w:lineRule="exact"/>
        <w:ind w:left="633" w:right="112" w:hanging="455"/>
        <w:jc w:val="both"/>
      </w:pPr>
      <w:r>
        <w:rPr>
          <w:rFonts w:ascii="Arial" w:hAnsi="Arial" w:cs="Arial" w:eastAsia="Arial" w:hint="default"/>
        </w:rPr>
        <w:t>(i)</w:t>
      </w:r>
      <w:r>
        <w:rPr>
          <w:rFonts w:ascii="Arial" w:hAnsi="Arial" w:cs="Arial" w:eastAsia="Arial" w:hint="default"/>
          <w:spacing w:val="16"/>
        </w:rPr>
        <w:t> </w:t>
      </w:r>
      <w:r>
        <w:rPr/>
        <w:t>对于捆绑销售通信终端及通信服务合约的业务套餐，分配至通信终端销售的收入金额乃按剩</w:t>
      </w:r>
      <w:r>
        <w:rPr>
          <w:spacing w:val="1"/>
          <w:w w:val="99"/>
        </w:rPr>
        <w:t> </w:t>
      </w:r>
      <w:r>
        <w:rPr/>
        <w:t>余价值法计算。在此方法下，本集团以合同总金额减去通信服务部分的公允价值来计算出售</w:t>
      </w:r>
      <w:r>
        <w:rPr>
          <w:w w:val="99"/>
        </w:rPr>
        <w:t> </w:t>
      </w:r>
      <w:r>
        <w:rPr/>
        <w:t>通信终端的收入。本集团于通信终端交与用户时确认通信终端销售相关收入，而通信服务收</w:t>
      </w:r>
      <w:r>
        <w:rPr>
          <w:w w:val="99"/>
        </w:rPr>
        <w:t> </w:t>
      </w:r>
      <w:r>
        <w:rPr/>
        <w:t>入乃按用户实际使用量而确认。通信终端的成本于利润表内被立即确认为销售成本；</w:t>
      </w:r>
    </w:p>
    <w:p>
      <w:pPr>
        <w:spacing w:line="240" w:lineRule="auto" w:before="3"/>
        <w:rPr>
          <w:rFonts w:ascii="宋体" w:hAnsi="宋体" w:cs="宋体" w:eastAsia="宋体" w:hint="default"/>
          <w:sz w:val="19"/>
          <w:szCs w:val="19"/>
        </w:rPr>
      </w:pPr>
    </w:p>
    <w:p>
      <w:pPr>
        <w:pStyle w:val="BodyText"/>
        <w:spacing w:line="286" w:lineRule="exact"/>
        <w:ind w:left="633" w:right="111" w:hanging="455"/>
        <w:jc w:val="both"/>
      </w:pPr>
      <w:r>
        <w:rPr>
          <w:rFonts w:ascii="Arial" w:hAnsi="Arial" w:cs="Arial" w:eastAsia="Arial" w:hint="default"/>
        </w:rPr>
        <w:t>(j) </w:t>
      </w:r>
      <w:r>
        <w:rPr/>
        <w:t>本集团将向用户收取的为开通移动通信服务的一次性不退还的手机识别卡（如 </w:t>
      </w:r>
      <w:r>
        <w:rPr>
          <w:rFonts w:ascii="Arial" w:hAnsi="Arial" w:cs="Arial" w:eastAsia="Arial" w:hint="default"/>
        </w:rPr>
        <w:t>SIM</w:t>
      </w:r>
      <w:r>
        <w:rPr>
          <w:rFonts w:ascii="Arial" w:hAnsi="Arial" w:cs="Arial" w:eastAsia="Arial" w:hint="default"/>
          <w:spacing w:val="-10"/>
        </w:rPr>
        <w:t> </w:t>
      </w:r>
      <w:r>
        <w:rPr>
          <w:spacing w:val="-6"/>
        </w:rPr>
        <w:t>卡）收入</w:t>
      </w:r>
      <w:r>
        <w:rPr>
          <w:w w:val="99"/>
        </w:rPr>
        <w:t> </w:t>
      </w:r>
      <w:r>
        <w:rPr/>
        <w:t>于预计用户服务期限内按照直线法平均确认；</w:t>
      </w:r>
    </w:p>
    <w:p>
      <w:pPr>
        <w:spacing w:line="240" w:lineRule="auto" w:before="6"/>
        <w:rPr>
          <w:rFonts w:ascii="宋体" w:hAnsi="宋体" w:cs="宋体" w:eastAsia="宋体" w:hint="default"/>
          <w:sz w:val="19"/>
          <w:szCs w:val="19"/>
        </w:rPr>
      </w:pPr>
    </w:p>
    <w:p>
      <w:pPr>
        <w:pStyle w:val="BodyText"/>
        <w:spacing w:line="284" w:lineRule="exact"/>
        <w:ind w:left="633" w:right="112" w:hanging="455"/>
        <w:jc w:val="both"/>
      </w:pPr>
      <w:r>
        <w:rPr>
          <w:rFonts w:ascii="Arial" w:hAnsi="Arial" w:cs="Arial" w:eastAsia="Arial" w:hint="default"/>
        </w:rPr>
        <w:t>(k)</w:t>
      </w:r>
      <w:r>
        <w:rPr>
          <w:rFonts w:ascii="Arial" w:hAnsi="Arial" w:cs="Arial" w:eastAsia="Arial" w:hint="default"/>
          <w:spacing w:val="16"/>
        </w:rPr>
        <w:t> </w:t>
      </w:r>
      <w:r>
        <w:rPr/>
        <w:t>向固网业务用户收取的市话初装费和装移机费被予以递延，并在预计客户服务期内分期确认</w:t>
      </w:r>
      <w:r>
        <w:rPr>
          <w:spacing w:val="1"/>
          <w:w w:val="99"/>
        </w:rPr>
        <w:t> </w:t>
      </w:r>
      <w:r>
        <w:rPr/>
        <w:t>收入。于</w:t>
      </w:r>
      <w:r>
        <w:rPr>
          <w:spacing w:val="-56"/>
        </w:rPr>
        <w:t> </w:t>
      </w:r>
      <w:r>
        <w:rPr>
          <w:rFonts w:ascii="Arial" w:hAnsi="Arial" w:cs="Arial" w:eastAsia="Arial" w:hint="default"/>
        </w:rPr>
        <w:t>2001</w:t>
      </w:r>
      <w:r>
        <w:rPr>
          <w:rFonts w:ascii="Arial" w:hAnsi="Arial" w:cs="Arial" w:eastAsia="Arial" w:hint="default"/>
          <w:spacing w:val="-7"/>
        </w:rPr>
        <w:t> </w:t>
      </w:r>
      <w:r>
        <w:rPr/>
        <w:t>年</w:t>
      </w:r>
      <w:r>
        <w:rPr>
          <w:spacing w:val="-56"/>
        </w:rPr>
        <w:t> </w:t>
      </w:r>
      <w:r>
        <w:rPr>
          <w:rFonts w:ascii="Arial" w:hAnsi="Arial" w:cs="Arial" w:eastAsia="Arial" w:hint="default"/>
        </w:rPr>
        <w:t>7</w:t>
      </w:r>
      <w:r>
        <w:rPr>
          <w:rFonts w:ascii="Arial" w:hAnsi="Arial" w:cs="Arial" w:eastAsia="Arial" w:hint="default"/>
          <w:spacing w:val="-7"/>
        </w:rPr>
        <w:t> </w:t>
      </w:r>
      <w:r>
        <w:rPr/>
        <w:t>月</w:t>
      </w:r>
      <w:r>
        <w:rPr>
          <w:spacing w:val="-56"/>
        </w:rPr>
        <w:t> </w:t>
      </w:r>
      <w:r>
        <w:rPr>
          <w:rFonts w:ascii="Arial" w:hAnsi="Arial" w:cs="Arial" w:eastAsia="Arial" w:hint="default"/>
        </w:rPr>
        <w:t>1</w:t>
      </w:r>
      <w:r>
        <w:rPr>
          <w:rFonts w:ascii="Arial" w:hAnsi="Arial" w:cs="Arial" w:eastAsia="Arial" w:hint="default"/>
          <w:spacing w:val="-7"/>
        </w:rPr>
        <w:t> </w:t>
      </w:r>
      <w:r>
        <w:rPr/>
        <w:t>日起已停止向客户收取市话初装费；</w:t>
      </w:r>
    </w:p>
    <w:p>
      <w:pPr>
        <w:spacing w:line="240" w:lineRule="auto" w:before="2"/>
        <w:rPr>
          <w:rFonts w:ascii="宋体" w:hAnsi="宋体" w:cs="宋体" w:eastAsia="宋体" w:hint="default"/>
          <w:sz w:val="17"/>
          <w:szCs w:val="17"/>
        </w:rPr>
      </w:pPr>
    </w:p>
    <w:p>
      <w:pPr>
        <w:pStyle w:val="BodyText"/>
        <w:tabs>
          <w:tab w:pos="628" w:val="left" w:leader="none"/>
        </w:tabs>
        <w:spacing w:line="240" w:lineRule="auto"/>
        <w:ind w:left="178" w:right="702"/>
        <w:jc w:val="left"/>
      </w:pPr>
      <w:r>
        <w:rPr>
          <w:rFonts w:ascii="Arial" w:hAnsi="Arial" w:cs="Arial" w:eastAsia="Arial" w:hint="default"/>
          <w:w w:val="95"/>
        </w:rPr>
        <w:t>(l)</w:t>
        <w:tab/>
      </w:r>
      <w:r>
        <w:rPr/>
        <w:t>经营租赁收入在租赁期限内按合同约定确认；</w:t>
      </w:r>
    </w:p>
    <w:p>
      <w:pPr>
        <w:spacing w:after="0" w:line="240" w:lineRule="auto"/>
        <w:jc w:val="left"/>
        <w:sectPr>
          <w:headerReference w:type="default" r:id="rId52"/>
          <w:pgSz w:w="11910" w:h="16840"/>
          <w:pgMar w:header="967" w:footer="600" w:top="2860" w:bottom="780" w:left="1420" w:right="920"/>
        </w:sectPr>
      </w:pPr>
    </w:p>
    <w:p>
      <w:pPr>
        <w:spacing w:line="240" w:lineRule="auto" w:before="0"/>
        <w:rPr>
          <w:rFonts w:ascii="宋体" w:hAnsi="宋体" w:cs="宋体" w:eastAsia="宋体" w:hint="default"/>
          <w:sz w:val="15"/>
          <w:szCs w:val="15"/>
        </w:rPr>
      </w:pPr>
    </w:p>
    <w:p>
      <w:pPr>
        <w:pStyle w:val="BodyText"/>
        <w:spacing w:line="240" w:lineRule="auto" w:before="31"/>
        <w:ind w:left="153" w:right="702"/>
        <w:jc w:val="left"/>
      </w:pPr>
      <w:r>
        <w:rPr>
          <w:rFonts w:ascii="Arial" w:hAnsi="Arial" w:cs="Arial" w:eastAsia="Arial" w:hint="default"/>
        </w:rPr>
        <w:t>24</w:t>
      </w:r>
      <w:r>
        <w:rPr/>
        <w:t>、收入确认（续）</w:t>
      </w:r>
    </w:p>
    <w:p>
      <w:pPr>
        <w:spacing w:line="240" w:lineRule="auto" w:before="1"/>
        <w:rPr>
          <w:rFonts w:ascii="宋体" w:hAnsi="宋体" w:cs="宋体" w:eastAsia="宋体" w:hint="default"/>
          <w:sz w:val="20"/>
          <w:szCs w:val="20"/>
        </w:rPr>
      </w:pPr>
    </w:p>
    <w:p>
      <w:pPr>
        <w:pStyle w:val="BodyText"/>
        <w:spacing w:line="286" w:lineRule="exact"/>
        <w:ind w:left="633" w:right="107" w:hanging="455"/>
        <w:jc w:val="left"/>
      </w:pPr>
      <w:r>
        <w:rPr>
          <w:rFonts w:ascii="Arial" w:hAnsi="Arial" w:cs="Arial" w:eastAsia="Arial" w:hint="default"/>
        </w:rPr>
        <w:t>(m)</w:t>
      </w:r>
      <w:r>
        <w:rPr>
          <w:rFonts w:ascii="Arial" w:hAnsi="Arial" w:cs="Arial" w:eastAsia="Arial" w:hint="default"/>
          <w:spacing w:val="3"/>
        </w:rPr>
        <w:t> </w:t>
      </w:r>
      <w:r>
        <w:rPr/>
        <w:t>存放于银行或其他金融机构的存款利息收入按照其他方使用本集团货币资金的时间，采用实</w:t>
      </w:r>
      <w:r>
        <w:rPr>
          <w:spacing w:val="1"/>
          <w:w w:val="99"/>
        </w:rPr>
        <w:t> </w:t>
      </w:r>
      <w:r>
        <w:rPr/>
        <w:t>际利率计算确定；</w:t>
      </w:r>
    </w:p>
    <w:p>
      <w:pPr>
        <w:spacing w:line="240" w:lineRule="auto" w:before="1"/>
        <w:rPr>
          <w:rFonts w:ascii="宋体" w:hAnsi="宋体" w:cs="宋体" w:eastAsia="宋体" w:hint="default"/>
          <w:sz w:val="17"/>
          <w:szCs w:val="17"/>
        </w:rPr>
      </w:pPr>
    </w:p>
    <w:p>
      <w:pPr>
        <w:pStyle w:val="BodyText"/>
        <w:spacing w:line="240" w:lineRule="auto"/>
        <w:ind w:left="178" w:right="702"/>
        <w:jc w:val="left"/>
      </w:pPr>
      <w:r>
        <w:rPr>
          <w:rFonts w:ascii="Arial" w:hAnsi="Arial" w:cs="Arial" w:eastAsia="Arial" w:hint="default"/>
        </w:rPr>
        <w:t>(n) </w:t>
      </w:r>
      <w:r>
        <w:rPr>
          <w:rFonts w:ascii="Arial" w:hAnsi="Arial" w:cs="Arial" w:eastAsia="Arial" w:hint="default"/>
          <w:spacing w:val="56"/>
        </w:rPr>
        <w:t> </w:t>
      </w:r>
      <w:r>
        <w:rPr/>
        <w:t>积分兑换收入的确认请参见附注二（</w:t>
      </w:r>
      <w:r>
        <w:rPr>
          <w:rFonts w:ascii="Arial" w:hAnsi="Arial" w:cs="Arial" w:eastAsia="Arial" w:hint="default"/>
        </w:rPr>
        <w:t>25</w:t>
      </w:r>
      <w:r>
        <w:rPr/>
        <w:t>）。</w:t>
      </w:r>
    </w:p>
    <w:p>
      <w:pPr>
        <w:spacing w:line="240" w:lineRule="auto" w:before="13"/>
        <w:rPr>
          <w:rFonts w:ascii="宋体" w:hAnsi="宋体" w:cs="宋体" w:eastAsia="宋体" w:hint="default"/>
          <w:sz w:val="17"/>
          <w:szCs w:val="17"/>
        </w:rPr>
      </w:pPr>
    </w:p>
    <w:p>
      <w:pPr>
        <w:pStyle w:val="BodyText"/>
        <w:spacing w:line="240" w:lineRule="auto"/>
        <w:ind w:left="153" w:right="702"/>
        <w:jc w:val="left"/>
      </w:pPr>
      <w:r>
        <w:rPr>
          <w:rFonts w:ascii="Arial" w:hAnsi="Arial" w:cs="Arial" w:eastAsia="Arial" w:hint="default"/>
        </w:rPr>
        <w:t>25</w:t>
      </w:r>
      <w:r>
        <w:rPr/>
        <w:t>、积分奖励计划</w:t>
      </w:r>
    </w:p>
    <w:p>
      <w:pPr>
        <w:spacing w:line="240" w:lineRule="auto" w:before="2"/>
        <w:rPr>
          <w:rFonts w:ascii="宋体" w:hAnsi="宋体" w:cs="宋体" w:eastAsia="宋体" w:hint="default"/>
          <w:sz w:val="18"/>
          <w:szCs w:val="18"/>
        </w:rPr>
      </w:pPr>
    </w:p>
    <w:p>
      <w:pPr>
        <w:pStyle w:val="BodyText"/>
        <w:spacing w:line="237" w:lineRule="auto"/>
        <w:ind w:left="627" w:right="111"/>
        <w:jc w:val="both"/>
      </w:pPr>
      <w:r>
        <w:rPr/>
        <w:t>本集团向用户提供了积分奖励计划。该积分奖励计划根据用户的消费额、忠诚度及缴费记录</w:t>
      </w:r>
      <w:r>
        <w:rPr>
          <w:spacing w:val="-101"/>
        </w:rPr>
        <w:t> </w:t>
      </w:r>
      <w:r>
        <w:rPr>
          <w:spacing w:val="-101"/>
        </w:rPr>
      </w:r>
      <w:r>
        <w:rPr/>
        <w:t>对其进行奖励。对于授予用户的积分奖励，在向其提供通信服务的同时，将取得通信服务收</w:t>
      </w:r>
      <w:r>
        <w:rPr>
          <w:spacing w:val="-101"/>
        </w:rPr>
        <w:t> </w:t>
      </w:r>
      <w:r>
        <w:rPr>
          <w:spacing w:val="-101"/>
        </w:rPr>
      </w:r>
      <w:r>
        <w:rPr/>
        <w:t>入的款项或应收款在本次提供的通信服务收入与积分奖励的公允价值之间进行分配。将取得</w:t>
      </w:r>
      <w:r>
        <w:rPr>
          <w:spacing w:val="-101"/>
        </w:rPr>
        <w:t> </w:t>
      </w:r>
      <w:r>
        <w:rPr>
          <w:spacing w:val="-101"/>
        </w:rPr>
      </w:r>
      <w:r>
        <w:rPr/>
        <w:t>的通信服务收入的款项或应收款扣除积分奖励公允价值的部分确认为收入，积分奖励的公允</w:t>
      </w:r>
      <w:r>
        <w:rPr>
          <w:spacing w:val="-101"/>
        </w:rPr>
        <w:t> </w:t>
      </w:r>
      <w:r>
        <w:rPr>
          <w:spacing w:val="-101"/>
        </w:rPr>
      </w:r>
      <w:r>
        <w:rPr/>
        <w:t>价值确认为递延收益。</w:t>
      </w:r>
    </w:p>
    <w:p>
      <w:pPr>
        <w:spacing w:line="240" w:lineRule="auto" w:before="4"/>
        <w:rPr>
          <w:rFonts w:ascii="宋体" w:hAnsi="宋体" w:cs="宋体" w:eastAsia="宋体" w:hint="default"/>
          <w:sz w:val="19"/>
          <w:szCs w:val="19"/>
        </w:rPr>
      </w:pPr>
    </w:p>
    <w:p>
      <w:pPr>
        <w:pStyle w:val="BodyText"/>
        <w:spacing w:line="237" w:lineRule="auto"/>
        <w:ind w:left="627" w:right="111"/>
        <w:jc w:val="both"/>
      </w:pPr>
      <w:r>
        <w:rPr/>
        <w:t>获得积分奖励的用户在满足条件时兑换本集团提供的商品或服务时，本集团将原计入递延收</w:t>
      </w:r>
      <w:r>
        <w:rPr>
          <w:spacing w:val="-101"/>
        </w:rPr>
        <w:t> </w:t>
      </w:r>
      <w:r>
        <w:rPr>
          <w:spacing w:val="-101"/>
        </w:rPr>
      </w:r>
      <w:r>
        <w:rPr/>
        <w:t>益的与所兑换积分相关的部分确认为收入；获得积分奖励的用户在满足条件时有权兑换第三</w:t>
      </w:r>
      <w:r>
        <w:rPr>
          <w:spacing w:val="-101"/>
        </w:rPr>
        <w:t> </w:t>
      </w:r>
      <w:r>
        <w:rPr>
          <w:spacing w:val="-101"/>
        </w:rPr>
      </w:r>
      <w:r>
        <w:rPr/>
        <w:t>方提供的商品或服务时，如果由本集团代表第三方收取对价，则本集团将被兑换积分原计入</w:t>
      </w:r>
      <w:r>
        <w:rPr>
          <w:spacing w:val="-101"/>
        </w:rPr>
        <w:t> </w:t>
      </w:r>
      <w:r>
        <w:rPr>
          <w:spacing w:val="-101"/>
        </w:rPr>
      </w:r>
      <w:r>
        <w:rPr/>
        <w:t>递延收益的金额与应支付给第三方对价的差额确认收入，如果本集团自身收取对价，本集团</w:t>
      </w:r>
      <w:r>
        <w:rPr>
          <w:spacing w:val="-101"/>
        </w:rPr>
        <w:t> </w:t>
      </w:r>
      <w:r>
        <w:rPr>
          <w:spacing w:val="-101"/>
        </w:rPr>
      </w:r>
      <w:r>
        <w:rPr/>
        <w:t>则将被兑换积分原计入递延收益的金额确认收入。</w:t>
      </w:r>
    </w:p>
    <w:p>
      <w:pPr>
        <w:spacing w:line="240" w:lineRule="auto" w:before="5"/>
        <w:rPr>
          <w:rFonts w:ascii="宋体" w:hAnsi="宋体" w:cs="宋体" w:eastAsia="宋体" w:hint="default"/>
          <w:sz w:val="20"/>
          <w:szCs w:val="20"/>
        </w:rPr>
      </w:pPr>
    </w:p>
    <w:p>
      <w:pPr>
        <w:pStyle w:val="BodyText"/>
        <w:spacing w:line="225" w:lineRule="auto"/>
        <w:ind w:left="627" w:right="110"/>
        <w:jc w:val="both"/>
      </w:pPr>
      <w:r>
        <w:rPr/>
        <w:t>本集团在确认积分奖励的公允价值时是依据：</w:t>
      </w:r>
      <w:r>
        <w:rPr>
          <w:rFonts w:ascii="Arial" w:hAnsi="Arial" w:cs="Arial" w:eastAsia="Arial" w:hint="default"/>
        </w:rPr>
        <w:t>(i) </w:t>
      </w:r>
      <w:r>
        <w:rPr/>
        <w:t>用户积分单位价值，</w:t>
      </w:r>
      <w:r>
        <w:rPr>
          <w:rFonts w:ascii="Arial" w:hAnsi="Arial" w:cs="Arial" w:eastAsia="Arial" w:hint="default"/>
        </w:rPr>
        <w:t>(ii)</w:t>
      </w:r>
      <w:r>
        <w:rPr>
          <w:rFonts w:ascii="Arial" w:hAnsi="Arial" w:cs="Arial" w:eastAsia="Arial" w:hint="default"/>
          <w:spacing w:val="43"/>
        </w:rPr>
        <w:t> </w:t>
      </w:r>
      <w:r>
        <w:rPr/>
        <w:t>于每个资产负债表</w:t>
      </w:r>
      <w:r>
        <w:rPr>
          <w:spacing w:val="1"/>
          <w:w w:val="99"/>
        </w:rPr>
        <w:t> </w:t>
      </w:r>
      <w:r>
        <w:rPr/>
        <w:t>日已经有权兑换或预期有权兑换积分的用户积分数，及</w:t>
      </w:r>
      <w:r>
        <w:rPr>
          <w:rFonts w:ascii="Arial" w:hAnsi="Arial" w:cs="Arial" w:eastAsia="Arial" w:hint="default"/>
        </w:rPr>
        <w:t>(iii)</w:t>
      </w:r>
      <w:r>
        <w:rPr>
          <w:rFonts w:ascii="Arial" w:hAnsi="Arial" w:cs="Arial" w:eastAsia="Arial" w:hint="default"/>
          <w:spacing w:val="24"/>
        </w:rPr>
        <w:t> </w:t>
      </w:r>
      <w:r>
        <w:rPr/>
        <w:t>用户兑换积分的历史兑换率。本</w:t>
      </w:r>
      <w:r>
        <w:rPr>
          <w:spacing w:val="-103"/>
        </w:rPr>
        <w:t> </w:t>
      </w:r>
      <w:r>
        <w:rPr>
          <w:spacing w:val="-103"/>
        </w:rPr>
      </w:r>
      <w:r>
        <w:rPr/>
        <w:t>集团定期根据兑换情况更新对历史兑换率的估计。</w:t>
      </w:r>
    </w:p>
    <w:p>
      <w:pPr>
        <w:spacing w:line="240" w:lineRule="auto" w:before="1"/>
        <w:rPr>
          <w:rFonts w:ascii="宋体" w:hAnsi="宋体" w:cs="宋体" w:eastAsia="宋体" w:hint="default"/>
          <w:sz w:val="17"/>
          <w:szCs w:val="17"/>
        </w:rPr>
      </w:pPr>
    </w:p>
    <w:p>
      <w:pPr>
        <w:pStyle w:val="BodyText"/>
        <w:spacing w:line="240" w:lineRule="auto"/>
        <w:ind w:left="139" w:right="702"/>
        <w:jc w:val="left"/>
      </w:pPr>
      <w:r>
        <w:rPr>
          <w:rFonts w:ascii="Arial" w:hAnsi="Arial" w:cs="Arial" w:eastAsia="Arial" w:hint="default"/>
        </w:rPr>
        <w:t>26</w:t>
      </w:r>
      <w:r>
        <w:rPr/>
        <w:t>、政府补助</w:t>
      </w:r>
    </w:p>
    <w:p>
      <w:pPr>
        <w:spacing w:line="240" w:lineRule="auto" w:before="13"/>
        <w:rPr>
          <w:rFonts w:ascii="宋体" w:hAnsi="宋体" w:cs="宋体" w:eastAsia="宋体" w:hint="default"/>
          <w:sz w:val="18"/>
          <w:szCs w:val="18"/>
        </w:rPr>
      </w:pPr>
    </w:p>
    <w:p>
      <w:pPr>
        <w:pStyle w:val="BodyText"/>
        <w:spacing w:line="284" w:lineRule="exact"/>
        <w:ind w:left="627" w:right="111"/>
        <w:jc w:val="both"/>
      </w:pPr>
      <w:r>
        <w:rPr/>
        <w:t>政府补助为本集团从政府无偿取得的货币性资产或非货币性资产，包括税费返还、财政补贴</w:t>
      </w:r>
      <w:r>
        <w:rPr>
          <w:spacing w:val="-101"/>
        </w:rPr>
        <w:t> </w:t>
      </w:r>
      <w:r>
        <w:rPr>
          <w:spacing w:val="-101"/>
        </w:rPr>
      </w:r>
      <w:r>
        <w:rPr/>
        <w:t>等。</w:t>
      </w:r>
    </w:p>
    <w:p>
      <w:pPr>
        <w:spacing w:line="240" w:lineRule="auto" w:before="5"/>
        <w:rPr>
          <w:rFonts w:ascii="宋体" w:hAnsi="宋体" w:cs="宋体" w:eastAsia="宋体" w:hint="default"/>
          <w:sz w:val="19"/>
          <w:szCs w:val="19"/>
        </w:rPr>
      </w:pPr>
    </w:p>
    <w:p>
      <w:pPr>
        <w:pStyle w:val="BodyText"/>
        <w:spacing w:line="286" w:lineRule="exact"/>
        <w:ind w:left="627" w:right="111"/>
        <w:jc w:val="both"/>
      </w:pPr>
      <w:r>
        <w:rPr/>
        <w:t>政府补助在本集团能够满足其所附的条件并能够收到时，予以确认。政府补助为货币性资产</w:t>
      </w:r>
      <w:r>
        <w:rPr>
          <w:spacing w:val="-101"/>
        </w:rPr>
        <w:t> </w:t>
      </w:r>
      <w:r>
        <w:rPr>
          <w:spacing w:val="-101"/>
        </w:rPr>
      </w:r>
      <w:r>
        <w:rPr/>
        <w:t>的，按照收到或应收的金额计量。政府补助为非货币性资产的，按照公允价值计量；公允价</w:t>
      </w:r>
      <w:r>
        <w:rPr>
          <w:spacing w:val="-101"/>
        </w:rPr>
        <w:t> </w:t>
      </w:r>
      <w:r>
        <w:rPr>
          <w:spacing w:val="-101"/>
        </w:rPr>
      </w:r>
      <w:r>
        <w:rPr/>
        <w:t>值不能可靠取得的，按照名义金额计量。</w:t>
      </w:r>
    </w:p>
    <w:p>
      <w:pPr>
        <w:spacing w:line="240" w:lineRule="auto" w:before="3"/>
        <w:rPr>
          <w:rFonts w:ascii="宋体" w:hAnsi="宋体" w:cs="宋体" w:eastAsia="宋体" w:hint="default"/>
          <w:sz w:val="19"/>
          <w:szCs w:val="19"/>
        </w:rPr>
      </w:pPr>
    </w:p>
    <w:p>
      <w:pPr>
        <w:pStyle w:val="BodyText"/>
        <w:spacing w:line="286" w:lineRule="exact"/>
        <w:ind w:left="627" w:right="111"/>
        <w:jc w:val="both"/>
      </w:pPr>
      <w:r>
        <w:rPr/>
        <w:t>与资产相关的政府补助，确认为递延收益，并在相关资产使用期限内平均分配，计入当期损</w:t>
      </w:r>
      <w:r>
        <w:rPr>
          <w:spacing w:val="-101"/>
        </w:rPr>
        <w:t> </w:t>
      </w:r>
      <w:r>
        <w:rPr>
          <w:spacing w:val="-101"/>
        </w:rPr>
      </w:r>
      <w:r>
        <w:rPr/>
        <w:t>益。按照名义金额计量的政府补助，直接计入当期损益。</w:t>
      </w:r>
    </w:p>
    <w:p>
      <w:pPr>
        <w:spacing w:line="240" w:lineRule="auto" w:before="5"/>
        <w:rPr>
          <w:rFonts w:ascii="宋体" w:hAnsi="宋体" w:cs="宋体" w:eastAsia="宋体" w:hint="default"/>
          <w:sz w:val="17"/>
          <w:szCs w:val="17"/>
        </w:rPr>
      </w:pPr>
    </w:p>
    <w:p>
      <w:pPr>
        <w:pStyle w:val="BodyText"/>
        <w:spacing w:line="237" w:lineRule="auto"/>
        <w:ind w:left="627" w:right="111"/>
        <w:jc w:val="both"/>
      </w:pPr>
      <w:r>
        <w:rPr/>
        <w:t>与收益相关的政府补助，用于补偿以后期间的相关费用或损失的，确认为递延收益，并在确</w:t>
      </w:r>
      <w:r>
        <w:rPr>
          <w:spacing w:val="-101"/>
        </w:rPr>
        <w:t> </w:t>
      </w:r>
      <w:r>
        <w:rPr>
          <w:spacing w:val="-101"/>
        </w:rPr>
      </w:r>
      <w:r>
        <w:rPr/>
        <w:t>认相关费用的期间，计入当期损益；用于补偿已发生的相关费用或损失的，直接计入当期损</w:t>
      </w:r>
      <w:r>
        <w:rPr>
          <w:spacing w:val="-101"/>
        </w:rPr>
        <w:t> </w:t>
      </w:r>
      <w:r>
        <w:rPr>
          <w:spacing w:val="-101"/>
        </w:rPr>
      </w:r>
      <w:r>
        <w:rPr/>
        <w:t>益。</w:t>
      </w:r>
    </w:p>
    <w:p>
      <w:pPr>
        <w:spacing w:after="0" w:line="237" w:lineRule="auto"/>
        <w:jc w:val="both"/>
        <w:sectPr>
          <w:pgSz w:w="11910" w:h="16840"/>
          <w:pgMar w:header="967" w:footer="600" w:top="2860" w:bottom="780" w:left="1420" w:right="920"/>
        </w:sectPr>
      </w:pPr>
    </w:p>
    <w:p>
      <w:pPr>
        <w:spacing w:line="240" w:lineRule="auto" w:before="11"/>
        <w:rPr>
          <w:rFonts w:ascii="宋体" w:hAnsi="宋体" w:cs="宋体" w:eastAsia="宋体" w:hint="default"/>
          <w:sz w:val="12"/>
          <w:szCs w:val="12"/>
        </w:rPr>
      </w:pPr>
    </w:p>
    <w:p>
      <w:pPr>
        <w:pStyle w:val="BodyText"/>
        <w:spacing w:line="240" w:lineRule="auto" w:before="31"/>
        <w:ind w:left="138" w:right="702"/>
        <w:jc w:val="left"/>
      </w:pPr>
      <w:r>
        <w:rPr>
          <w:rFonts w:ascii="Arial" w:hAnsi="Arial" w:cs="Arial" w:eastAsia="Arial" w:hint="default"/>
        </w:rPr>
        <w:t>27</w:t>
      </w:r>
      <w:r>
        <w:rPr/>
        <w:t>、递延所得税资产和递延所得税负债</w:t>
      </w:r>
    </w:p>
    <w:p>
      <w:pPr>
        <w:spacing w:line="240" w:lineRule="auto" w:before="11"/>
        <w:rPr>
          <w:rFonts w:ascii="宋体" w:hAnsi="宋体" w:cs="宋体" w:eastAsia="宋体" w:hint="default"/>
          <w:sz w:val="16"/>
          <w:szCs w:val="16"/>
        </w:rPr>
      </w:pPr>
    </w:p>
    <w:p>
      <w:pPr>
        <w:pStyle w:val="BodyText"/>
        <w:spacing w:line="237" w:lineRule="auto"/>
        <w:ind w:left="627" w:right="112"/>
        <w:jc w:val="both"/>
      </w:pPr>
      <w:r>
        <w:rPr/>
        <w:t>递延所得税资产和递延所得税负债根据资产和负债的计税基础与其账面价值的差额（暂时性</w:t>
      </w:r>
      <w:r>
        <w:rPr>
          <w:spacing w:val="-101"/>
        </w:rPr>
        <w:t> </w:t>
      </w:r>
      <w:r>
        <w:rPr>
          <w:spacing w:val="-101"/>
        </w:rPr>
      </w:r>
      <w:r>
        <w:rPr/>
        <w:t>差异）计算确认。对于按照税法规定能够于以后年度抵减应纳税所得额的可抵扣亏损，确认</w:t>
      </w:r>
      <w:r>
        <w:rPr>
          <w:spacing w:val="-101"/>
        </w:rPr>
        <w:t> </w:t>
      </w:r>
      <w:r>
        <w:rPr>
          <w:spacing w:val="-101"/>
        </w:rPr>
      </w:r>
      <w:r>
        <w:rPr/>
        <w:t>相应的递延所得税资产。对于既不影响会计利润也不影响应纳税所得额（或可抵扣亏损）的</w:t>
      </w:r>
      <w:r>
        <w:rPr>
          <w:spacing w:val="-101"/>
        </w:rPr>
        <w:t> </w:t>
      </w:r>
      <w:r>
        <w:rPr>
          <w:spacing w:val="-101"/>
        </w:rPr>
      </w:r>
      <w:r>
        <w:rPr/>
        <w:t>非企业合并的交易中产生的资产或负债的初始确认形成的暂时性差异，不确认相应的递延所</w:t>
      </w:r>
      <w:r>
        <w:rPr>
          <w:spacing w:val="-101"/>
        </w:rPr>
        <w:t> </w:t>
      </w:r>
      <w:r>
        <w:rPr>
          <w:spacing w:val="-101"/>
        </w:rPr>
      </w:r>
      <w:r>
        <w:rPr/>
        <w:t>得税资产和递延所得税负债。于资产负债表日，递延所得税资产和递延所得税负债，按照预</w:t>
      </w:r>
      <w:r>
        <w:rPr>
          <w:spacing w:val="-101"/>
        </w:rPr>
        <w:t> </w:t>
      </w:r>
      <w:r>
        <w:rPr>
          <w:spacing w:val="-101"/>
        </w:rPr>
      </w:r>
      <w:r>
        <w:rPr/>
        <w:t>期收回该资产或清偿该负债期间的适用税率计量。</w:t>
      </w:r>
    </w:p>
    <w:p>
      <w:pPr>
        <w:spacing w:line="240" w:lineRule="auto" w:before="6"/>
        <w:rPr>
          <w:rFonts w:ascii="宋体" w:hAnsi="宋体" w:cs="宋体" w:eastAsia="宋体" w:hint="default"/>
          <w:sz w:val="21"/>
          <w:szCs w:val="21"/>
        </w:rPr>
      </w:pPr>
    </w:p>
    <w:p>
      <w:pPr>
        <w:pStyle w:val="BodyText"/>
        <w:spacing w:line="284" w:lineRule="exact"/>
        <w:ind w:left="627" w:right="112"/>
        <w:jc w:val="both"/>
      </w:pPr>
      <w:r>
        <w:rPr/>
        <w:t>递延所得税资产的确认以本集团很可能取得用来抵扣的可抵扣暂时性差异、可抵扣亏损和税</w:t>
      </w:r>
      <w:r>
        <w:rPr>
          <w:spacing w:val="-101"/>
        </w:rPr>
        <w:t> </w:t>
      </w:r>
      <w:r>
        <w:rPr>
          <w:spacing w:val="-101"/>
        </w:rPr>
      </w:r>
      <w:r>
        <w:rPr/>
        <w:t>款抵减的应纳税所得额为限。</w:t>
      </w:r>
    </w:p>
    <w:p>
      <w:pPr>
        <w:spacing w:line="240" w:lineRule="auto" w:before="5"/>
        <w:rPr>
          <w:rFonts w:ascii="宋体" w:hAnsi="宋体" w:cs="宋体" w:eastAsia="宋体" w:hint="default"/>
          <w:sz w:val="17"/>
          <w:szCs w:val="17"/>
        </w:rPr>
      </w:pPr>
    </w:p>
    <w:p>
      <w:pPr>
        <w:pStyle w:val="BodyText"/>
        <w:spacing w:line="237" w:lineRule="auto"/>
        <w:ind w:left="627" w:right="108"/>
        <w:jc w:val="both"/>
      </w:pPr>
      <w:r>
        <w:rPr/>
        <w:t>对与子公司、联营企业及合营企业投资相关的应纳税暂时性差异，确认递延所得税负债，除</w:t>
      </w:r>
      <w:r>
        <w:rPr>
          <w:spacing w:val="-101"/>
        </w:rPr>
        <w:t> </w:t>
      </w:r>
      <w:r>
        <w:rPr>
          <w:spacing w:val="-101"/>
        </w:rPr>
      </w:r>
      <w:r>
        <w:rPr>
          <w:spacing w:val="6"/>
        </w:rPr>
        <w:t>非本集团能够控制该暂时性差异转回的时间且该暂时性差异在可预见的未来很可能不会转</w:t>
      </w:r>
      <w:r>
        <w:rPr>
          <w:spacing w:val="7"/>
          <w:w w:val="99"/>
        </w:rPr>
        <w:t> </w:t>
      </w:r>
      <w:r>
        <w:rPr/>
        <w:t>回。对与子公司、联营企业及合营企业投资相关的可抵扣暂时性差异，当该暂时性差异在可</w:t>
      </w:r>
      <w:r>
        <w:rPr>
          <w:spacing w:val="-101"/>
        </w:rPr>
        <w:t> </w:t>
      </w:r>
      <w:r>
        <w:rPr>
          <w:spacing w:val="-101"/>
        </w:rPr>
      </w:r>
      <w:r>
        <w:rPr/>
        <w:t>预见的未来很可能转回且未来很可能获得用来抵扣可抵扣暂时性差异的应纳税所得额时，确</w:t>
      </w:r>
      <w:r>
        <w:rPr>
          <w:spacing w:val="-101"/>
        </w:rPr>
        <w:t> </w:t>
      </w:r>
      <w:r>
        <w:rPr>
          <w:spacing w:val="-101"/>
        </w:rPr>
      </w:r>
      <w:r>
        <w:rPr/>
        <w:t>认递延所得税资产。</w:t>
      </w:r>
    </w:p>
    <w:p>
      <w:pPr>
        <w:spacing w:line="240" w:lineRule="auto" w:before="3"/>
        <w:rPr>
          <w:rFonts w:ascii="宋体" w:hAnsi="宋体" w:cs="宋体" w:eastAsia="宋体" w:hint="default"/>
          <w:sz w:val="19"/>
          <w:szCs w:val="19"/>
        </w:rPr>
      </w:pPr>
    </w:p>
    <w:p>
      <w:pPr>
        <w:pStyle w:val="BodyText"/>
        <w:spacing w:line="240" w:lineRule="auto"/>
        <w:ind w:left="627" w:right="0"/>
        <w:jc w:val="both"/>
      </w:pPr>
      <w:r>
        <w:rPr/>
        <w:t>同时满足下列条件的递延所得税资产和递延所得税负债以抵销后的净额列示：</w:t>
      </w:r>
    </w:p>
    <w:p>
      <w:pPr>
        <w:spacing w:line="240" w:lineRule="auto" w:before="3"/>
        <w:rPr>
          <w:rFonts w:ascii="宋体" w:hAnsi="宋体" w:cs="宋体" w:eastAsia="宋体" w:hint="default"/>
          <w:sz w:val="21"/>
          <w:szCs w:val="21"/>
        </w:rPr>
      </w:pPr>
    </w:p>
    <w:p>
      <w:pPr>
        <w:pStyle w:val="BodyText"/>
        <w:tabs>
          <w:tab w:pos="1048" w:val="left" w:leader="none"/>
        </w:tabs>
        <w:spacing w:line="286" w:lineRule="exact"/>
        <w:ind w:left="1048" w:right="111" w:hanging="392"/>
        <w:jc w:val="left"/>
      </w:pPr>
      <w:r>
        <w:rPr>
          <w:rFonts w:ascii="Symbol" w:hAnsi="Symbol" w:cs="Symbol" w:eastAsia="Symbol" w:hint="default"/>
          <w:w w:val="95"/>
        </w:rPr>
        <w:t></w:t>
      </w:r>
      <w:r>
        <w:rPr>
          <w:rFonts w:ascii="Times New Roman" w:hAnsi="Times New Roman" w:cs="Times New Roman" w:eastAsia="Times New Roman" w:hint="default"/>
          <w:w w:val="95"/>
        </w:rPr>
        <w:tab/>
      </w:r>
      <w:r>
        <w:rPr/>
        <w:t>递延所得税资产和递延所得税负债与同一税收征管部门对本集团内同一纳税主体征收的</w:t>
      </w:r>
      <w:r>
        <w:rPr>
          <w:spacing w:val="-87"/>
        </w:rPr>
        <w:t> </w:t>
      </w:r>
      <w:r>
        <w:rPr>
          <w:spacing w:val="-87"/>
        </w:rPr>
      </w:r>
      <w:r>
        <w:rPr/>
        <w:t>所得税相关；</w:t>
      </w:r>
    </w:p>
    <w:p>
      <w:pPr>
        <w:pStyle w:val="BodyText"/>
        <w:spacing w:line="277" w:lineRule="exact"/>
        <w:ind w:left="657" w:right="0"/>
        <w:jc w:val="both"/>
      </w:pPr>
      <w:r>
        <w:rPr>
          <w:rFonts w:ascii="Symbol" w:hAnsi="Symbol" w:cs="Symbol" w:eastAsia="Symbol" w:hint="default"/>
        </w:rPr>
        <w:t></w:t>
      </w:r>
      <w:r>
        <w:rPr>
          <w:rFonts w:ascii="Symbol" w:hAnsi="Symbol" w:cs="Symbol" w:eastAsia="Symbol" w:hint="default"/>
          <w:spacing w:val="13"/>
        </w:rPr>
        <w:t></w:t>
      </w:r>
      <w:r>
        <w:rPr>
          <w:rFonts w:ascii="Times New Roman" w:hAnsi="Times New Roman" w:cs="Times New Roman" w:eastAsia="Times New Roman" w:hint="default"/>
          <w:spacing w:val="13"/>
        </w:rPr>
      </w:r>
      <w:r>
        <w:rPr/>
        <w:t>本集团内该纳税主体拥有以净额结算当期所得税资产及当期所得税负债的法定权利。</w:t>
      </w:r>
    </w:p>
    <w:p>
      <w:pPr>
        <w:spacing w:line="240" w:lineRule="auto" w:before="7"/>
        <w:rPr>
          <w:rFonts w:ascii="宋体" w:hAnsi="宋体" w:cs="宋体" w:eastAsia="宋体" w:hint="default"/>
          <w:sz w:val="15"/>
          <w:szCs w:val="15"/>
        </w:rPr>
      </w:pPr>
    </w:p>
    <w:p>
      <w:pPr>
        <w:pStyle w:val="BodyText"/>
        <w:spacing w:line="240" w:lineRule="auto"/>
        <w:ind w:left="138" w:right="702"/>
        <w:jc w:val="left"/>
      </w:pPr>
      <w:r>
        <w:rPr>
          <w:rFonts w:ascii="Arial" w:hAnsi="Arial" w:cs="Arial" w:eastAsia="Arial" w:hint="default"/>
        </w:rPr>
        <w:t>28</w:t>
      </w:r>
      <w:r>
        <w:rPr/>
        <w:t>、租赁</w:t>
      </w:r>
    </w:p>
    <w:p>
      <w:pPr>
        <w:spacing w:line="240" w:lineRule="auto" w:before="11"/>
        <w:rPr>
          <w:rFonts w:ascii="宋体" w:hAnsi="宋体" w:cs="宋体" w:eastAsia="宋体" w:hint="default"/>
          <w:sz w:val="18"/>
          <w:szCs w:val="18"/>
        </w:rPr>
      </w:pPr>
    </w:p>
    <w:p>
      <w:pPr>
        <w:pStyle w:val="BodyText"/>
        <w:spacing w:line="286" w:lineRule="exact"/>
        <w:ind w:left="627" w:right="112"/>
        <w:jc w:val="both"/>
      </w:pPr>
      <w:r>
        <w:rPr/>
        <w:t>实质上转移了与资产所有权有关的全部风险和报酬的租赁为融资租赁。其他的租赁为经营租</w:t>
      </w:r>
      <w:r>
        <w:rPr>
          <w:spacing w:val="-101"/>
        </w:rPr>
        <w:t> </w:t>
      </w:r>
      <w:r>
        <w:rPr>
          <w:spacing w:val="-101"/>
        </w:rPr>
      </w:r>
      <w:r>
        <w:rPr/>
        <w:t>赁。</w:t>
      </w:r>
    </w:p>
    <w:p>
      <w:pPr>
        <w:spacing w:line="240" w:lineRule="auto" w:before="1"/>
        <w:rPr>
          <w:rFonts w:ascii="宋体" w:hAnsi="宋体" w:cs="宋体" w:eastAsia="宋体" w:hint="default"/>
          <w:sz w:val="17"/>
          <w:szCs w:val="17"/>
        </w:rPr>
      </w:pPr>
    </w:p>
    <w:p>
      <w:pPr>
        <w:pStyle w:val="BodyText"/>
        <w:tabs>
          <w:tab w:pos="628" w:val="left" w:leader="none"/>
        </w:tabs>
        <w:spacing w:line="240" w:lineRule="auto"/>
        <w:ind w:left="138" w:right="702"/>
        <w:jc w:val="left"/>
      </w:pPr>
      <w:r>
        <w:rPr>
          <w:rFonts w:ascii="Arial" w:hAnsi="Arial" w:cs="Arial" w:eastAsia="Arial" w:hint="default"/>
          <w:w w:val="95"/>
        </w:rPr>
        <w:t>(a)</w:t>
        <w:tab/>
      </w:r>
      <w:r>
        <w:rPr/>
        <w:t>融资租赁</w:t>
      </w:r>
    </w:p>
    <w:p>
      <w:pPr>
        <w:spacing w:line="240" w:lineRule="auto" w:before="2"/>
        <w:rPr>
          <w:rFonts w:ascii="宋体" w:hAnsi="宋体" w:cs="宋体" w:eastAsia="宋体" w:hint="default"/>
          <w:sz w:val="20"/>
          <w:szCs w:val="20"/>
        </w:rPr>
      </w:pPr>
    </w:p>
    <w:p>
      <w:pPr>
        <w:pStyle w:val="BodyText"/>
        <w:spacing w:line="286" w:lineRule="exact"/>
        <w:ind w:left="627" w:right="111"/>
        <w:jc w:val="both"/>
      </w:pPr>
      <w:r>
        <w:rPr/>
        <w:t>以租赁资产的公允价值与最低租赁付款额的现值两者中较低者作为租入资产的入账价值，租</w:t>
      </w:r>
      <w:r>
        <w:rPr>
          <w:spacing w:val="-101"/>
        </w:rPr>
        <w:t> </w:t>
      </w:r>
      <w:r>
        <w:rPr>
          <w:spacing w:val="-101"/>
        </w:rPr>
      </w:r>
      <w:r>
        <w:rPr/>
        <w:t>入资产的入账价值与最低租赁付款额之间的差额为未确认融资费用，在租赁期内按实际利率</w:t>
      </w:r>
      <w:r>
        <w:rPr>
          <w:spacing w:val="-101"/>
        </w:rPr>
        <w:t> </w:t>
      </w:r>
      <w:r>
        <w:rPr>
          <w:spacing w:val="-101"/>
        </w:rPr>
      </w:r>
      <w:r>
        <w:rPr/>
        <w:t>法摊销。最低租赁付款额扣除未确认融资费用后的余额作为长期应付款列示。</w:t>
      </w:r>
    </w:p>
    <w:p>
      <w:pPr>
        <w:spacing w:line="240" w:lineRule="auto" w:before="1"/>
        <w:rPr>
          <w:rFonts w:ascii="宋体" w:hAnsi="宋体" w:cs="宋体" w:eastAsia="宋体" w:hint="default"/>
          <w:sz w:val="17"/>
          <w:szCs w:val="17"/>
        </w:rPr>
      </w:pPr>
    </w:p>
    <w:p>
      <w:pPr>
        <w:pStyle w:val="BodyText"/>
        <w:tabs>
          <w:tab w:pos="628" w:val="left" w:leader="none"/>
        </w:tabs>
        <w:spacing w:line="240" w:lineRule="auto"/>
        <w:ind w:left="138" w:right="702"/>
        <w:jc w:val="left"/>
      </w:pPr>
      <w:r>
        <w:rPr>
          <w:rFonts w:ascii="Arial" w:hAnsi="Arial" w:cs="Arial" w:eastAsia="Arial" w:hint="default"/>
          <w:w w:val="95"/>
        </w:rPr>
        <w:t>(b)</w:t>
        <w:tab/>
      </w:r>
      <w:r>
        <w:rPr/>
        <w:t>经营租赁</w:t>
      </w:r>
    </w:p>
    <w:p>
      <w:pPr>
        <w:spacing w:line="240" w:lineRule="auto" w:before="13"/>
        <w:rPr>
          <w:rFonts w:ascii="宋体" w:hAnsi="宋体" w:cs="宋体" w:eastAsia="宋体" w:hint="default"/>
          <w:sz w:val="17"/>
          <w:szCs w:val="17"/>
        </w:rPr>
      </w:pPr>
    </w:p>
    <w:p>
      <w:pPr>
        <w:pStyle w:val="BodyText"/>
        <w:spacing w:line="240" w:lineRule="auto"/>
        <w:ind w:left="627" w:right="0"/>
        <w:jc w:val="both"/>
      </w:pPr>
      <w:r>
        <w:rPr/>
        <w:t>经营租赁的租金支出在租赁期内按照直线法计入相关资产成本或当期损益。</w:t>
      </w:r>
    </w:p>
    <w:p>
      <w:pPr>
        <w:spacing w:after="0" w:line="240" w:lineRule="auto"/>
        <w:jc w:val="both"/>
        <w:sectPr>
          <w:headerReference w:type="default" r:id="rId53"/>
          <w:pgSz w:w="11910" w:h="16840"/>
          <w:pgMar w:header="967" w:footer="600" w:top="2860" w:bottom="780" w:left="1420" w:right="920"/>
        </w:sectPr>
      </w:pPr>
    </w:p>
    <w:p>
      <w:pPr>
        <w:spacing w:line="240" w:lineRule="auto" w:before="11"/>
        <w:rPr>
          <w:rFonts w:ascii="宋体" w:hAnsi="宋体" w:cs="宋体" w:eastAsia="宋体" w:hint="default"/>
          <w:sz w:val="12"/>
          <w:szCs w:val="12"/>
        </w:rPr>
      </w:pPr>
    </w:p>
    <w:p>
      <w:pPr>
        <w:pStyle w:val="BodyText"/>
        <w:spacing w:line="240" w:lineRule="auto" w:before="31"/>
        <w:ind w:left="138" w:right="702"/>
        <w:jc w:val="left"/>
      </w:pPr>
      <w:r>
        <w:rPr>
          <w:rFonts w:ascii="Arial" w:hAnsi="Arial" w:cs="Arial" w:eastAsia="Arial" w:hint="default"/>
        </w:rPr>
        <w:t>29</w:t>
      </w:r>
      <w:r>
        <w:rPr/>
        <w:t>、持有待售及终止经营</w:t>
      </w:r>
    </w:p>
    <w:p>
      <w:pPr>
        <w:spacing w:line="240" w:lineRule="auto" w:before="10"/>
        <w:rPr>
          <w:rFonts w:ascii="宋体" w:hAnsi="宋体" w:cs="宋体" w:eastAsia="宋体" w:hint="default"/>
          <w:sz w:val="18"/>
          <w:szCs w:val="18"/>
        </w:rPr>
      </w:pPr>
    </w:p>
    <w:p>
      <w:pPr>
        <w:pStyle w:val="BodyText"/>
        <w:spacing w:line="286" w:lineRule="exact"/>
        <w:ind w:left="627" w:right="112"/>
        <w:jc w:val="both"/>
      </w:pPr>
      <w:r>
        <w:rPr/>
        <w:t>同时满足下列条件的非流动资产（不包括金融资产及递延所得税资产）或组成部分划分为持</w:t>
      </w:r>
      <w:r>
        <w:rPr>
          <w:spacing w:val="-101"/>
        </w:rPr>
        <w:t> </w:t>
      </w:r>
      <w:r>
        <w:rPr>
          <w:spacing w:val="-101"/>
        </w:rPr>
      </w:r>
      <w:r>
        <w:rPr/>
        <w:t>有待售：（一）本集团已经就处置该非流动资产或组成部分作出决议；（二）本集团已经与</w:t>
      </w:r>
      <w:r>
        <w:rPr>
          <w:spacing w:val="-101"/>
        </w:rPr>
        <w:t> </w:t>
      </w:r>
      <w:r>
        <w:rPr>
          <w:spacing w:val="-101"/>
        </w:rPr>
      </w:r>
      <w:r>
        <w:rPr/>
        <w:t>受让方签订了不可撤销的转让协议；（三）该项转让将在</w:t>
      </w:r>
      <w:r>
        <w:rPr>
          <w:rFonts w:ascii="Arial" w:hAnsi="Arial" w:cs="Arial" w:eastAsia="Arial" w:hint="default"/>
        </w:rPr>
        <w:t>1</w:t>
      </w:r>
      <w:r>
        <w:rPr/>
        <w:t>年内完成。</w:t>
      </w:r>
    </w:p>
    <w:p>
      <w:pPr>
        <w:spacing w:line="240" w:lineRule="auto" w:before="3"/>
        <w:rPr>
          <w:rFonts w:ascii="宋体" w:hAnsi="宋体" w:cs="宋体" w:eastAsia="宋体" w:hint="default"/>
          <w:sz w:val="19"/>
          <w:szCs w:val="19"/>
        </w:rPr>
      </w:pPr>
    </w:p>
    <w:p>
      <w:pPr>
        <w:pStyle w:val="BodyText"/>
        <w:spacing w:line="286" w:lineRule="exact"/>
        <w:ind w:left="627" w:right="112"/>
        <w:jc w:val="both"/>
      </w:pPr>
      <w:r>
        <w:rPr/>
        <w:t>符合持有待售条件的非流动资产，以账面价值与公允价值减去处置费用孰低的金额列示为其</w:t>
      </w:r>
      <w:r>
        <w:rPr>
          <w:spacing w:val="-101"/>
        </w:rPr>
        <w:t> </w:t>
      </w:r>
      <w:r>
        <w:rPr>
          <w:spacing w:val="-101"/>
        </w:rPr>
      </w:r>
      <w:r>
        <w:rPr/>
        <w:t>他流动资产。公允价值减去处置费用低于原账面价值的金额，确认为资产减值损失。</w:t>
      </w:r>
    </w:p>
    <w:p>
      <w:pPr>
        <w:spacing w:line="240" w:lineRule="auto" w:before="4"/>
        <w:rPr>
          <w:rFonts w:ascii="宋体" w:hAnsi="宋体" w:cs="宋体" w:eastAsia="宋体" w:hint="default"/>
          <w:sz w:val="19"/>
          <w:szCs w:val="19"/>
        </w:rPr>
      </w:pPr>
    </w:p>
    <w:p>
      <w:pPr>
        <w:pStyle w:val="BodyText"/>
        <w:spacing w:line="286" w:lineRule="exact"/>
        <w:ind w:left="627" w:right="112"/>
        <w:jc w:val="both"/>
      </w:pPr>
      <w:r>
        <w:rPr/>
        <w:t>终止经营为已被处置或被划归为持有待售的、于经营上和编制财务报表时能够在本集团内单</w:t>
      </w:r>
      <w:r>
        <w:rPr>
          <w:spacing w:val="-101"/>
        </w:rPr>
        <w:t> </w:t>
      </w:r>
      <w:r>
        <w:rPr>
          <w:spacing w:val="-101"/>
        </w:rPr>
      </w:r>
      <w:r>
        <w:rPr/>
        <w:t>独区分的组成部分。</w:t>
      </w:r>
    </w:p>
    <w:p>
      <w:pPr>
        <w:pStyle w:val="BodyText"/>
        <w:spacing w:line="240" w:lineRule="auto" w:before="194"/>
        <w:ind w:left="138" w:right="702"/>
        <w:jc w:val="left"/>
      </w:pPr>
      <w:r>
        <w:rPr>
          <w:rFonts w:ascii="Arial" w:hAnsi="Arial" w:cs="Arial" w:eastAsia="Arial" w:hint="default"/>
        </w:rPr>
        <w:t>30</w:t>
      </w:r>
      <w:r>
        <w:rPr/>
        <w:t>、分部信息</w:t>
      </w:r>
    </w:p>
    <w:p>
      <w:pPr>
        <w:spacing w:line="240" w:lineRule="auto" w:before="11"/>
        <w:rPr>
          <w:rFonts w:ascii="宋体" w:hAnsi="宋体" w:cs="宋体" w:eastAsia="宋体" w:hint="default"/>
          <w:sz w:val="18"/>
          <w:szCs w:val="18"/>
        </w:rPr>
      </w:pPr>
    </w:p>
    <w:p>
      <w:pPr>
        <w:pStyle w:val="BodyText"/>
        <w:spacing w:line="286" w:lineRule="exact"/>
        <w:ind w:left="627" w:right="112"/>
        <w:jc w:val="both"/>
      </w:pPr>
      <w:r>
        <w:rPr/>
        <w:t>本集团以内部组织结构、管理要求、内部报告制度为依据确定经营分部，以经营分部为基础</w:t>
      </w:r>
      <w:r>
        <w:rPr>
          <w:spacing w:val="-101"/>
        </w:rPr>
        <w:t> </w:t>
      </w:r>
      <w:r>
        <w:rPr>
          <w:spacing w:val="-101"/>
        </w:rPr>
      </w:r>
      <w:r>
        <w:rPr/>
        <w:t>确定报告分部并披露分部信息。</w:t>
      </w:r>
    </w:p>
    <w:p>
      <w:pPr>
        <w:spacing w:line="240" w:lineRule="auto" w:before="1"/>
        <w:rPr>
          <w:rFonts w:ascii="宋体" w:hAnsi="宋体" w:cs="宋体" w:eastAsia="宋体" w:hint="default"/>
          <w:sz w:val="18"/>
          <w:szCs w:val="18"/>
        </w:rPr>
      </w:pPr>
    </w:p>
    <w:p>
      <w:pPr>
        <w:pStyle w:val="BodyText"/>
        <w:spacing w:line="228" w:lineRule="auto"/>
        <w:ind w:left="626" w:right="112"/>
        <w:jc w:val="both"/>
      </w:pPr>
      <w:r>
        <w:rPr>
          <w:spacing w:val="-1"/>
        </w:rPr>
        <w:t>经营分部是指本集团内同时满足下列条件的组成部分：</w:t>
      </w:r>
      <w:r>
        <w:rPr>
          <w:rFonts w:ascii="Arial" w:hAnsi="Arial" w:cs="Arial" w:eastAsia="Arial" w:hint="default"/>
          <w:spacing w:val="-1"/>
        </w:rPr>
        <w:t>(1)</w:t>
      </w:r>
      <w:r>
        <w:rPr>
          <w:spacing w:val="-1"/>
        </w:rPr>
        <w:t>该组成部分能够在日常活动中产生</w:t>
      </w:r>
      <w:r>
        <w:rPr>
          <w:spacing w:val="-98"/>
        </w:rPr>
        <w:t> </w:t>
      </w:r>
      <w:r>
        <w:rPr>
          <w:spacing w:val="-98"/>
        </w:rPr>
      </w:r>
      <w:r>
        <w:rPr>
          <w:spacing w:val="-1"/>
        </w:rPr>
        <w:t>收入、发生费用；</w:t>
      </w:r>
      <w:r>
        <w:rPr>
          <w:rFonts w:ascii="Arial" w:hAnsi="Arial" w:cs="Arial" w:eastAsia="Arial" w:hint="default"/>
          <w:spacing w:val="-1"/>
        </w:rPr>
        <w:t>(2)</w:t>
      </w:r>
      <w:r>
        <w:rPr>
          <w:spacing w:val="-1"/>
        </w:rPr>
        <w:t>本集团管理层能够定期评价该组成部分的经营成果，以决定向其配置资</w:t>
      </w:r>
      <w:r>
        <w:rPr>
          <w:spacing w:val="-99"/>
        </w:rPr>
        <w:t> </w:t>
      </w:r>
      <w:r>
        <w:rPr>
          <w:spacing w:val="-99"/>
        </w:rPr>
      </w:r>
      <w:r>
        <w:rPr>
          <w:spacing w:val="-1"/>
        </w:rPr>
        <w:t>源、评价其业绩；</w:t>
      </w:r>
      <w:r>
        <w:rPr>
          <w:rFonts w:ascii="Arial" w:hAnsi="Arial" w:cs="Arial" w:eastAsia="Arial" w:hint="default"/>
          <w:spacing w:val="-1"/>
        </w:rPr>
        <w:t>(3)</w:t>
      </w:r>
      <w:r>
        <w:rPr>
          <w:spacing w:val="-1"/>
        </w:rPr>
        <w:t>本集团能够取得该组成部分的财务状况、经营成果和现金流量等有关会</w:t>
      </w:r>
      <w:r>
        <w:rPr>
          <w:spacing w:val="-99"/>
        </w:rPr>
        <w:t> </w:t>
      </w:r>
      <w:r>
        <w:rPr>
          <w:spacing w:val="-99"/>
        </w:rPr>
      </w:r>
      <w:r>
        <w:rPr/>
        <w:t>计信息。如果两个或多个经营分部具有相似的经济特征，并且满足一定条件的，则可合并为</w:t>
      </w:r>
      <w:r>
        <w:rPr>
          <w:spacing w:val="-101"/>
        </w:rPr>
        <w:t> </w:t>
      </w:r>
      <w:r>
        <w:rPr>
          <w:spacing w:val="-101"/>
        </w:rPr>
      </w:r>
      <w:r>
        <w:rPr/>
        <w:t>一个经营分部。</w:t>
      </w:r>
    </w:p>
    <w:p>
      <w:pPr>
        <w:spacing w:line="240" w:lineRule="auto" w:before="1"/>
        <w:rPr>
          <w:rFonts w:ascii="宋体" w:hAnsi="宋体" w:cs="宋体" w:eastAsia="宋体" w:hint="default"/>
          <w:sz w:val="16"/>
          <w:szCs w:val="16"/>
        </w:rPr>
      </w:pPr>
    </w:p>
    <w:p>
      <w:pPr>
        <w:pStyle w:val="BodyText"/>
        <w:spacing w:line="240" w:lineRule="auto"/>
        <w:ind w:left="138" w:right="702"/>
        <w:jc w:val="left"/>
      </w:pPr>
      <w:r>
        <w:rPr>
          <w:rFonts w:ascii="Arial" w:hAnsi="Arial" w:cs="Arial" w:eastAsia="Arial" w:hint="default"/>
        </w:rPr>
        <w:t>31</w:t>
      </w:r>
      <w:r>
        <w:rPr/>
        <w:t>、非货币性资产交换</w:t>
      </w:r>
    </w:p>
    <w:p>
      <w:pPr>
        <w:spacing w:line="240" w:lineRule="auto" w:before="1"/>
        <w:rPr>
          <w:rFonts w:ascii="宋体" w:hAnsi="宋体" w:cs="宋体" w:eastAsia="宋体" w:hint="default"/>
          <w:sz w:val="17"/>
          <w:szCs w:val="17"/>
        </w:rPr>
      </w:pPr>
    </w:p>
    <w:p>
      <w:pPr>
        <w:pStyle w:val="BodyText"/>
        <w:spacing w:line="235" w:lineRule="auto"/>
        <w:ind w:left="626" w:right="112"/>
        <w:jc w:val="both"/>
      </w:pPr>
      <w:r>
        <w:rPr/>
        <w:t>本集团在与第三方通过存货、固定资产等非货币性资产进行交换时，不涉及或仅涉及少量货</w:t>
      </w:r>
      <w:r>
        <w:rPr>
          <w:spacing w:val="-101"/>
        </w:rPr>
        <w:t> </w:t>
      </w:r>
      <w:r>
        <w:rPr>
          <w:spacing w:val="-101"/>
        </w:rPr>
      </w:r>
      <w:r>
        <w:rPr/>
        <w:t>币性资产（即补价）时，对该等交易按照非货币性资产交换进行处理。非货币性资产交换同</w:t>
      </w:r>
      <w:r>
        <w:rPr>
          <w:spacing w:val="-101"/>
        </w:rPr>
        <w:t> </w:t>
      </w:r>
      <w:r>
        <w:rPr>
          <w:spacing w:val="-101"/>
        </w:rPr>
      </w:r>
      <w:r>
        <w:rPr/>
        <w:t>时满足</w:t>
      </w:r>
      <w:r>
        <w:rPr>
          <w:rFonts w:ascii="Arial" w:hAnsi="Arial" w:cs="Arial" w:eastAsia="Arial" w:hint="default"/>
        </w:rPr>
        <w:t>(i)</w:t>
      </w:r>
      <w:r>
        <w:rPr/>
        <w:t>该项交换具有商业实质，及</w:t>
      </w:r>
      <w:r>
        <w:rPr>
          <w:rFonts w:ascii="Arial" w:hAnsi="Arial" w:cs="Arial" w:eastAsia="Arial" w:hint="default"/>
        </w:rPr>
        <w:t>(ii)</w:t>
      </w:r>
      <w:r>
        <w:rPr/>
        <w:t>换入资产或换出资产的公允价值能够可靠地计量这两</w:t>
      </w:r>
      <w:r>
        <w:rPr>
          <w:spacing w:val="-103"/>
        </w:rPr>
        <w:t> </w:t>
      </w:r>
      <w:r>
        <w:rPr>
          <w:spacing w:val="-103"/>
        </w:rPr>
      </w:r>
      <w:r>
        <w:rPr/>
        <w:t>项条件的，以换出资产公允价值和应支付的相关税费作为换入资产的成本，公允价值与换出</w:t>
      </w:r>
      <w:r>
        <w:rPr>
          <w:spacing w:val="-101"/>
        </w:rPr>
        <w:t> </w:t>
      </w:r>
      <w:r>
        <w:rPr>
          <w:spacing w:val="-101"/>
        </w:rPr>
      </w:r>
      <w:r>
        <w:rPr/>
        <w:t>资产账面价值的差额计入当期损益；未同时满足上述两项条件的非货币性资产交换，以换出</w:t>
      </w:r>
      <w:r>
        <w:rPr>
          <w:spacing w:val="-101"/>
        </w:rPr>
        <w:t> </w:t>
      </w:r>
      <w:r>
        <w:rPr>
          <w:spacing w:val="-101"/>
        </w:rPr>
      </w:r>
      <w:r>
        <w:rPr/>
        <w:t>资产的账面价值和应支付的相关税费作为换入资产的成本，不确认损益。</w:t>
      </w:r>
    </w:p>
    <w:p>
      <w:pPr>
        <w:spacing w:line="240" w:lineRule="auto" w:before="12"/>
        <w:rPr>
          <w:rFonts w:ascii="宋体" w:hAnsi="宋体" w:cs="宋体" w:eastAsia="宋体" w:hint="default"/>
          <w:sz w:val="16"/>
          <w:szCs w:val="16"/>
        </w:rPr>
      </w:pPr>
    </w:p>
    <w:p>
      <w:pPr>
        <w:pStyle w:val="BodyText"/>
        <w:spacing w:line="240" w:lineRule="auto"/>
        <w:ind w:left="137" w:right="702"/>
        <w:jc w:val="left"/>
      </w:pPr>
      <w:r>
        <w:rPr>
          <w:rFonts w:ascii="Arial" w:hAnsi="Arial" w:cs="Arial" w:eastAsia="Arial" w:hint="default"/>
        </w:rPr>
        <w:t>32</w:t>
      </w:r>
      <w:r>
        <w:rPr/>
        <w:t>、与少数股东之间的交易</w:t>
      </w:r>
    </w:p>
    <w:p>
      <w:pPr>
        <w:spacing w:line="240" w:lineRule="auto" w:before="12"/>
        <w:rPr>
          <w:rFonts w:ascii="宋体" w:hAnsi="宋体" w:cs="宋体" w:eastAsia="宋体" w:hint="default"/>
          <w:sz w:val="16"/>
          <w:szCs w:val="16"/>
        </w:rPr>
      </w:pPr>
    </w:p>
    <w:p>
      <w:pPr>
        <w:pStyle w:val="BodyText"/>
        <w:spacing w:line="237" w:lineRule="auto"/>
        <w:ind w:left="626" w:right="113"/>
        <w:jc w:val="both"/>
      </w:pPr>
      <w:r>
        <w:rPr/>
        <w:t>在不影响控制权的情况下，导致本公司对子公司持股比例发生变化的交易属于与少数股东之</w:t>
      </w:r>
      <w:r>
        <w:rPr>
          <w:spacing w:val="-101"/>
        </w:rPr>
        <w:t> </w:t>
      </w:r>
      <w:r>
        <w:rPr>
          <w:spacing w:val="-101"/>
        </w:rPr>
      </w:r>
      <w:r>
        <w:rPr/>
        <w:t>间的交易。对于与少数股东之间的交易，在合并财务报表中，子公司的资产、负债以购买日</w:t>
      </w:r>
      <w:r>
        <w:rPr>
          <w:spacing w:val="-101"/>
        </w:rPr>
        <w:t> </w:t>
      </w:r>
      <w:r>
        <w:rPr>
          <w:spacing w:val="-101"/>
        </w:rPr>
      </w:r>
      <w:r>
        <w:rPr/>
        <w:t>或合并日开始持续计算的金额反映，增加或减少的长期股权投资与按照本公司新的持股比例</w:t>
      </w:r>
      <w:r>
        <w:rPr>
          <w:spacing w:val="-101"/>
        </w:rPr>
        <w:t> </w:t>
      </w:r>
      <w:r>
        <w:rPr>
          <w:spacing w:val="-101"/>
        </w:rPr>
      </w:r>
      <w:r>
        <w:rPr/>
        <w:t>计算应享有子公司自购买日或合并日开始持续计算的净资产份额之间的差额调整资本公积，</w:t>
      </w:r>
      <w:r>
        <w:rPr>
          <w:spacing w:val="-101"/>
        </w:rPr>
        <w:t> </w:t>
      </w:r>
      <w:r>
        <w:rPr>
          <w:spacing w:val="-101"/>
        </w:rPr>
      </w:r>
      <w:r>
        <w:rPr/>
        <w:t>资本公积的金额不足冲减的，调整留存收益。</w:t>
      </w:r>
    </w:p>
    <w:p>
      <w:pPr>
        <w:spacing w:after="0" w:line="237" w:lineRule="auto"/>
        <w:jc w:val="both"/>
        <w:sectPr>
          <w:headerReference w:type="default" r:id="rId54"/>
          <w:pgSz w:w="11910" w:h="16840"/>
          <w:pgMar w:header="967" w:footer="600" w:top="2860" w:bottom="780" w:left="1420" w:right="920"/>
        </w:sectPr>
      </w:pPr>
    </w:p>
    <w:p>
      <w:pPr>
        <w:spacing w:line="240" w:lineRule="auto" w:before="11"/>
        <w:rPr>
          <w:rFonts w:ascii="宋体" w:hAnsi="宋体" w:cs="宋体" w:eastAsia="宋体" w:hint="default"/>
          <w:sz w:val="12"/>
          <w:szCs w:val="12"/>
        </w:rPr>
      </w:pPr>
    </w:p>
    <w:p>
      <w:pPr>
        <w:pStyle w:val="BodyText"/>
        <w:spacing w:line="240" w:lineRule="auto" w:before="31"/>
        <w:ind w:left="138" w:right="175"/>
        <w:jc w:val="left"/>
      </w:pPr>
      <w:r>
        <w:rPr>
          <w:rFonts w:ascii="Arial" w:hAnsi="Arial" w:cs="Arial" w:eastAsia="Arial" w:hint="default"/>
        </w:rPr>
        <w:t>33</w:t>
      </w:r>
      <w:r>
        <w:rPr/>
        <w:t>、重要会计估计和判断</w:t>
      </w:r>
    </w:p>
    <w:p>
      <w:pPr>
        <w:spacing w:line="240" w:lineRule="auto" w:before="10"/>
        <w:rPr>
          <w:rFonts w:ascii="宋体" w:hAnsi="宋体" w:cs="宋体" w:eastAsia="宋体" w:hint="default"/>
          <w:sz w:val="18"/>
          <w:szCs w:val="18"/>
        </w:rPr>
      </w:pPr>
    </w:p>
    <w:p>
      <w:pPr>
        <w:pStyle w:val="BodyText"/>
        <w:spacing w:line="286" w:lineRule="exact"/>
        <w:ind w:left="627" w:right="152"/>
        <w:jc w:val="both"/>
      </w:pPr>
      <w:r>
        <w:rPr/>
        <w:t>本集团根据历史经验和其他因素，包括对未来事项的合理预期，对所采用的重要会计估计和</w:t>
      </w:r>
      <w:r>
        <w:rPr>
          <w:spacing w:val="-101"/>
        </w:rPr>
        <w:t> </w:t>
      </w:r>
      <w:r>
        <w:rPr>
          <w:spacing w:val="-101"/>
        </w:rPr>
      </w:r>
      <w:r>
        <w:rPr/>
        <w:t>关键判断进行持续的评价。</w:t>
      </w:r>
    </w:p>
    <w:p>
      <w:pPr>
        <w:spacing w:line="240" w:lineRule="auto" w:before="2"/>
        <w:rPr>
          <w:rFonts w:ascii="宋体" w:hAnsi="宋体" w:cs="宋体" w:eastAsia="宋体" w:hint="default"/>
          <w:sz w:val="17"/>
          <w:szCs w:val="17"/>
        </w:rPr>
      </w:pPr>
    </w:p>
    <w:p>
      <w:pPr>
        <w:pStyle w:val="BodyText"/>
        <w:spacing w:line="240" w:lineRule="auto"/>
        <w:ind w:left="153" w:right="175"/>
        <w:jc w:val="left"/>
      </w:pPr>
      <w:r>
        <w:rPr>
          <w:rFonts w:ascii="Arial" w:hAnsi="Arial" w:cs="Arial" w:eastAsia="Arial" w:hint="default"/>
        </w:rPr>
        <w:t>(1)  </w:t>
      </w:r>
      <w:r>
        <w:rPr>
          <w:rFonts w:ascii="Arial" w:hAnsi="Arial" w:cs="Arial" w:eastAsia="Arial" w:hint="default"/>
          <w:spacing w:val="8"/>
        </w:rPr>
        <w:t> </w:t>
      </w:r>
      <w:r>
        <w:rPr/>
        <w:t>重要会计估计及其关键假设</w:t>
      </w:r>
    </w:p>
    <w:p>
      <w:pPr>
        <w:spacing w:line="240" w:lineRule="auto" w:before="1"/>
        <w:rPr>
          <w:rFonts w:ascii="宋体" w:hAnsi="宋体" w:cs="宋体" w:eastAsia="宋体" w:hint="default"/>
          <w:sz w:val="20"/>
          <w:szCs w:val="20"/>
        </w:rPr>
      </w:pPr>
    </w:p>
    <w:p>
      <w:pPr>
        <w:pStyle w:val="BodyText"/>
        <w:spacing w:line="286" w:lineRule="exact"/>
        <w:ind w:left="627" w:right="152"/>
        <w:jc w:val="both"/>
      </w:pPr>
      <w:r>
        <w:rPr/>
        <w:t>下列重大会计估计及关键假设存在会导致下一会计年度资产和负债的账面价值出现重大调整</w:t>
      </w:r>
      <w:r>
        <w:rPr>
          <w:spacing w:val="-101"/>
        </w:rPr>
        <w:t> </w:t>
      </w:r>
      <w:r>
        <w:rPr>
          <w:spacing w:val="-101"/>
        </w:rPr>
      </w:r>
      <w:r>
        <w:rPr/>
        <w:t>的主要风险：</w:t>
      </w:r>
    </w:p>
    <w:p>
      <w:pPr>
        <w:spacing w:line="240" w:lineRule="auto" w:before="2"/>
        <w:rPr>
          <w:rFonts w:ascii="宋体" w:hAnsi="宋体" w:cs="宋体" w:eastAsia="宋体" w:hint="default"/>
          <w:sz w:val="17"/>
          <w:szCs w:val="17"/>
        </w:rPr>
      </w:pPr>
    </w:p>
    <w:p>
      <w:pPr>
        <w:pStyle w:val="BodyText"/>
        <w:spacing w:line="240" w:lineRule="auto"/>
        <w:ind w:left="166" w:right="175"/>
        <w:jc w:val="left"/>
      </w:pPr>
      <w:r>
        <w:rPr>
          <w:rFonts w:ascii="Arial" w:hAnsi="Arial" w:cs="Arial" w:eastAsia="Arial" w:hint="default"/>
        </w:rPr>
        <w:t>(a)  </w:t>
      </w:r>
      <w:r>
        <w:rPr>
          <w:rFonts w:ascii="Arial" w:hAnsi="Arial" w:cs="Arial" w:eastAsia="Arial" w:hint="default"/>
          <w:spacing w:val="9"/>
        </w:rPr>
        <w:t> </w:t>
      </w:r>
      <w:r>
        <w:rPr/>
        <w:t>固定资产折旧</w:t>
      </w:r>
    </w:p>
    <w:p>
      <w:pPr>
        <w:spacing w:line="240" w:lineRule="auto" w:before="1"/>
        <w:rPr>
          <w:rFonts w:ascii="宋体" w:hAnsi="宋体" w:cs="宋体" w:eastAsia="宋体" w:hint="default"/>
          <w:sz w:val="20"/>
          <w:szCs w:val="20"/>
        </w:rPr>
      </w:pPr>
    </w:p>
    <w:p>
      <w:pPr>
        <w:pStyle w:val="BodyText"/>
        <w:spacing w:line="286" w:lineRule="exact"/>
        <w:ind w:left="627" w:right="151"/>
        <w:jc w:val="both"/>
      </w:pPr>
      <w:r>
        <w:rPr/>
        <w:t>本集团固定资产的折旧在预计使用寿命内以资产的入账价值减去预计净残值后的金额按直线</w:t>
      </w:r>
      <w:r>
        <w:rPr>
          <w:spacing w:val="-101"/>
        </w:rPr>
        <w:t> </w:t>
      </w:r>
      <w:r>
        <w:rPr>
          <w:spacing w:val="-101"/>
        </w:rPr>
      </w:r>
      <w:r>
        <w:rPr/>
        <w:t>法计提。本集团定期对预计使用寿命和预计净残值进行评估，以确保折旧方法及折旧率与固</w:t>
      </w:r>
      <w:r>
        <w:rPr>
          <w:spacing w:val="-101"/>
        </w:rPr>
        <w:t> </w:t>
      </w:r>
      <w:r>
        <w:rPr>
          <w:spacing w:val="-101"/>
        </w:rPr>
      </w:r>
      <w:r>
        <w:rPr/>
        <w:t>定资产的预计经济利益实现模式一致。</w:t>
      </w:r>
    </w:p>
    <w:p>
      <w:pPr>
        <w:spacing w:line="240" w:lineRule="auto" w:before="3"/>
        <w:rPr>
          <w:rFonts w:ascii="宋体" w:hAnsi="宋体" w:cs="宋体" w:eastAsia="宋体" w:hint="default"/>
          <w:sz w:val="19"/>
          <w:szCs w:val="19"/>
        </w:rPr>
      </w:pPr>
    </w:p>
    <w:p>
      <w:pPr>
        <w:pStyle w:val="BodyText"/>
        <w:spacing w:line="286" w:lineRule="exact"/>
        <w:ind w:left="627" w:right="151"/>
        <w:jc w:val="both"/>
      </w:pPr>
      <w:r>
        <w:rPr/>
        <w:t>本集团对固定资产预计使用寿命及净残值的估计是基于历史经验并考虑预期的技术更新而作</w:t>
      </w:r>
      <w:r>
        <w:rPr>
          <w:spacing w:val="-101"/>
        </w:rPr>
        <w:t> </w:t>
      </w:r>
      <w:r>
        <w:rPr>
          <w:spacing w:val="-101"/>
        </w:rPr>
      </w:r>
      <w:r>
        <w:rPr/>
        <w:t>出的。当预计使用寿命及预计净残值发生重大变化时，可能需要相应调整折旧费用。</w:t>
      </w:r>
    </w:p>
    <w:p>
      <w:pPr>
        <w:spacing w:line="240" w:lineRule="auto" w:before="2"/>
        <w:rPr>
          <w:rFonts w:ascii="宋体" w:hAnsi="宋体" w:cs="宋体" w:eastAsia="宋体" w:hint="default"/>
          <w:sz w:val="17"/>
          <w:szCs w:val="17"/>
        </w:rPr>
      </w:pPr>
    </w:p>
    <w:p>
      <w:pPr>
        <w:pStyle w:val="BodyText"/>
        <w:spacing w:line="240" w:lineRule="auto"/>
        <w:ind w:left="166" w:right="175"/>
        <w:jc w:val="left"/>
      </w:pPr>
      <w:r>
        <w:rPr>
          <w:rFonts w:ascii="Arial" w:hAnsi="Arial" w:cs="Arial" w:eastAsia="Arial" w:hint="default"/>
        </w:rPr>
        <w:t>(b)  </w:t>
      </w:r>
      <w:r>
        <w:rPr>
          <w:rFonts w:ascii="Arial" w:hAnsi="Arial" w:cs="Arial" w:eastAsia="Arial" w:hint="default"/>
          <w:spacing w:val="8"/>
        </w:rPr>
        <w:t> </w:t>
      </w:r>
      <w:r>
        <w:rPr/>
        <w:t>非流动资产的减值</w:t>
      </w:r>
    </w:p>
    <w:p>
      <w:pPr>
        <w:spacing w:line="240" w:lineRule="auto" w:before="6"/>
        <w:rPr>
          <w:rFonts w:ascii="宋体" w:hAnsi="宋体" w:cs="宋体" w:eastAsia="宋体" w:hint="default"/>
          <w:sz w:val="18"/>
          <w:szCs w:val="18"/>
        </w:rPr>
      </w:pPr>
    </w:p>
    <w:p>
      <w:pPr>
        <w:pStyle w:val="BodyText"/>
        <w:spacing w:line="232" w:lineRule="auto"/>
        <w:ind w:left="627" w:right="113"/>
        <w:jc w:val="both"/>
      </w:pPr>
      <w:r>
        <w:rPr/>
        <w:t>本集团按照附注二（</w:t>
      </w:r>
      <w:r>
        <w:rPr>
          <w:rFonts w:ascii="Arial" w:hAnsi="Arial" w:cs="Arial" w:eastAsia="Arial" w:hint="default"/>
        </w:rPr>
        <w:t>18</w:t>
      </w:r>
      <w:r>
        <w:rPr/>
        <w:t>）所述会计政策评估非流动资产是否存在减值。一项资产的可收回金</w:t>
      </w:r>
      <w:r>
        <w:rPr>
          <w:w w:val="99"/>
        </w:rPr>
        <w:t> </w:t>
      </w:r>
      <w:r>
        <w:rPr/>
        <w:t>额是指资产公允价值减去处置费用后的净额与资产预计未来现金流量的现值两者之间的较高</w:t>
      </w:r>
      <w:r>
        <w:rPr>
          <w:spacing w:val="-101"/>
        </w:rPr>
        <w:t> </w:t>
      </w:r>
      <w:r>
        <w:rPr>
          <w:spacing w:val="-101"/>
        </w:rPr>
      </w:r>
      <w:r>
        <w:rPr/>
        <w:t>者。管理层估计的资产预计未来现金流量的现值是根据能够独立产生现金流入的最小资产组</w:t>
      </w:r>
      <w:r>
        <w:rPr>
          <w:spacing w:val="-101"/>
        </w:rPr>
        <w:t> </w:t>
      </w:r>
      <w:r>
        <w:rPr>
          <w:spacing w:val="-101"/>
        </w:rPr>
      </w:r>
      <w:r>
        <w:rPr/>
        <w:t>合的预期未来税前现金流量折现确定。当管理层的假设和非流动资产的预期可收回金额发生</w:t>
      </w:r>
      <w:r>
        <w:rPr>
          <w:spacing w:val="-101"/>
        </w:rPr>
        <w:t> </w:t>
      </w:r>
      <w:r>
        <w:rPr>
          <w:spacing w:val="-101"/>
        </w:rPr>
      </w:r>
      <w:r>
        <w:rPr/>
        <w:t>重大变化时，本集团的未来经营成果将受到影响。</w:t>
      </w:r>
      <w:r>
        <w:rPr>
          <w:rFonts w:ascii="Arial" w:hAnsi="Arial" w:cs="Arial" w:eastAsia="Arial" w:hint="default"/>
        </w:rPr>
        <w:t>2009</w:t>
      </w:r>
      <w:r>
        <w:rPr/>
        <w:t>年度，本集团并未确认对非流动资产</w:t>
      </w:r>
      <w:r>
        <w:rPr>
          <w:w w:val="99"/>
        </w:rPr>
        <w:t> </w:t>
      </w:r>
      <w:r>
        <w:rPr/>
        <w:t>的减值准备，于</w:t>
      </w:r>
      <w:r>
        <w:rPr>
          <w:rFonts w:ascii="Arial" w:hAnsi="Arial" w:cs="Arial" w:eastAsia="Arial" w:hint="default"/>
        </w:rPr>
        <w:t>2008</w:t>
      </w:r>
      <w:r>
        <w:rPr/>
        <w:t>年度确认了对无线市话业务相关资产的减值准备约人民币</w:t>
      </w:r>
      <w:r>
        <w:rPr>
          <w:rFonts w:ascii="Arial" w:hAnsi="Arial" w:cs="Arial" w:eastAsia="Arial" w:hint="default"/>
        </w:rPr>
        <w:t>122.51</w:t>
      </w:r>
      <w:r>
        <w:rPr/>
        <w:t>亿元。</w:t>
      </w:r>
    </w:p>
    <w:p>
      <w:pPr>
        <w:spacing w:line="240" w:lineRule="auto" w:before="1"/>
        <w:rPr>
          <w:rFonts w:ascii="宋体" w:hAnsi="宋体" w:cs="宋体" w:eastAsia="宋体" w:hint="default"/>
          <w:sz w:val="18"/>
          <w:szCs w:val="18"/>
        </w:rPr>
      </w:pPr>
    </w:p>
    <w:p>
      <w:pPr>
        <w:pStyle w:val="BodyText"/>
        <w:tabs>
          <w:tab w:pos="628" w:val="left" w:leader="none"/>
        </w:tabs>
        <w:spacing w:line="240" w:lineRule="auto"/>
        <w:ind w:left="166" w:right="175"/>
        <w:jc w:val="left"/>
      </w:pPr>
      <w:r>
        <w:rPr>
          <w:rFonts w:ascii="Arial" w:hAnsi="Arial" w:cs="Arial" w:eastAsia="Arial" w:hint="default"/>
          <w:w w:val="95"/>
        </w:rPr>
        <w:t>(c)</w:t>
        <w:tab/>
      </w:r>
      <w:r>
        <w:rPr/>
        <w:t>坏账准备</w:t>
      </w:r>
    </w:p>
    <w:p>
      <w:pPr>
        <w:spacing w:line="240" w:lineRule="auto" w:before="4"/>
        <w:rPr>
          <w:rFonts w:ascii="宋体" w:hAnsi="宋体" w:cs="宋体" w:eastAsia="宋体" w:hint="default"/>
          <w:sz w:val="18"/>
          <w:szCs w:val="18"/>
        </w:rPr>
      </w:pPr>
    </w:p>
    <w:p>
      <w:pPr>
        <w:pStyle w:val="BodyText"/>
        <w:spacing w:line="235" w:lineRule="auto"/>
        <w:ind w:left="627" w:right="148"/>
        <w:jc w:val="both"/>
      </w:pPr>
      <w:r>
        <w:rPr>
          <w:spacing w:val="6"/>
        </w:rPr>
        <w:t>本集团对坏账准备的估计是首先通过单独认定已有迹象表明不能回收或不能全额回收的款</w:t>
      </w:r>
      <w:r>
        <w:rPr>
          <w:spacing w:val="7"/>
          <w:w w:val="99"/>
        </w:rPr>
        <w:t> </w:t>
      </w:r>
      <w:r>
        <w:rPr/>
        <w:t>项，亦根据相应不能回收的可能性作出最佳估计后提取专项坏账准备。其余的应收款项于每</w:t>
      </w:r>
      <w:r>
        <w:rPr>
          <w:spacing w:val="-101"/>
        </w:rPr>
        <w:t> </w:t>
      </w:r>
      <w:r>
        <w:rPr>
          <w:spacing w:val="-101"/>
        </w:rPr>
      </w:r>
      <w:r>
        <w:rPr/>
        <w:t>个报告日按照已知数据估计可确定的未来现金流量减少金额提取坏账准备。本集团根据以往</w:t>
      </w:r>
      <w:r>
        <w:rPr>
          <w:spacing w:val="-101"/>
        </w:rPr>
        <w:t> </w:t>
      </w:r>
      <w:r>
        <w:rPr>
          <w:spacing w:val="-101"/>
        </w:rPr>
      </w:r>
      <w:r>
        <w:rPr/>
        <w:t>经验、过往收款模式、用户信用度及回收情况确定此项提取金额。根据本集团授予不同电信</w:t>
      </w:r>
      <w:r>
        <w:rPr>
          <w:spacing w:val="-101"/>
        </w:rPr>
        <w:t> </w:t>
      </w:r>
      <w:r>
        <w:rPr>
          <w:spacing w:val="-101"/>
        </w:rPr>
      </w:r>
      <w:r>
        <w:rPr>
          <w:spacing w:val="-3"/>
          <w:w w:val="99"/>
        </w:rPr>
        <w:t>用户的信用政策，本集团对移动和固网业务一般用户信用期外账龄超过</w:t>
      </w:r>
      <w:r>
        <w:rPr>
          <w:rFonts w:ascii="Arial" w:hAnsi="Arial" w:cs="Arial" w:eastAsia="Arial" w:hint="default"/>
          <w:spacing w:val="-3"/>
          <w:w w:val="99"/>
        </w:rPr>
        <w:t>3</w:t>
      </w:r>
      <w:r>
        <w:rPr>
          <w:spacing w:val="-3"/>
          <w:w w:val="99"/>
        </w:rPr>
        <w:t>个月的款项提取全额</w:t>
      </w:r>
      <w:r>
        <w:rPr>
          <w:spacing w:val="-74"/>
          <w:w w:val="99"/>
        </w:rPr>
        <w:t> </w:t>
      </w:r>
      <w:r>
        <w:rPr>
          <w:spacing w:val="-74"/>
          <w:w w:val="99"/>
        </w:rPr>
      </w:r>
      <w:r>
        <w:rPr/>
        <w:t>的坏账准备。</w:t>
      </w:r>
    </w:p>
    <w:p>
      <w:pPr>
        <w:spacing w:line="240" w:lineRule="auto" w:before="5"/>
        <w:rPr>
          <w:rFonts w:ascii="宋体" w:hAnsi="宋体" w:cs="宋体" w:eastAsia="宋体" w:hint="default"/>
          <w:sz w:val="19"/>
          <w:szCs w:val="19"/>
        </w:rPr>
      </w:pPr>
    </w:p>
    <w:p>
      <w:pPr>
        <w:pStyle w:val="BodyText"/>
        <w:spacing w:line="237" w:lineRule="auto"/>
        <w:ind w:left="627" w:right="151"/>
        <w:jc w:val="both"/>
      </w:pPr>
      <w:r>
        <w:rPr/>
        <w:t>上述估计是本集团基于以往经验、历史回收情况、用户信用度和回收情况确定。如果未来的</w:t>
      </w:r>
      <w:r>
        <w:rPr>
          <w:spacing w:val="-101"/>
        </w:rPr>
        <w:t> </w:t>
      </w:r>
      <w:r>
        <w:rPr>
          <w:spacing w:val="-101"/>
        </w:rPr>
      </w:r>
      <w:r>
        <w:rPr/>
        <w:t>情况因业务发展及外部环境等因素导致改变，本集团可能需对坏账准备计提政策重新评估，</w:t>
      </w:r>
      <w:r>
        <w:rPr>
          <w:spacing w:val="-101"/>
        </w:rPr>
        <w:t> </w:t>
      </w:r>
      <w:r>
        <w:rPr>
          <w:spacing w:val="-101"/>
        </w:rPr>
      </w:r>
      <w:r>
        <w:rPr/>
        <w:t>并额外计提坏账准备。</w:t>
      </w:r>
    </w:p>
    <w:p>
      <w:pPr>
        <w:spacing w:after="0" w:line="237" w:lineRule="auto"/>
        <w:jc w:val="both"/>
        <w:sectPr>
          <w:headerReference w:type="default" r:id="rId55"/>
          <w:pgSz w:w="11910" w:h="16840"/>
          <w:pgMar w:header="967" w:footer="600" w:top="2860" w:bottom="780" w:left="1420" w:right="880"/>
        </w:sectPr>
      </w:pPr>
    </w:p>
    <w:p>
      <w:pPr>
        <w:spacing w:line="240" w:lineRule="auto" w:before="3"/>
        <w:rPr>
          <w:rFonts w:ascii="宋体" w:hAnsi="宋体" w:cs="宋体" w:eastAsia="宋体" w:hint="default"/>
          <w:sz w:val="10"/>
          <w:szCs w:val="10"/>
        </w:rPr>
      </w:pPr>
    </w:p>
    <w:p>
      <w:pPr>
        <w:pStyle w:val="BodyText"/>
        <w:tabs>
          <w:tab w:pos="628" w:val="left" w:leader="none"/>
        </w:tabs>
        <w:spacing w:line="240" w:lineRule="auto" w:before="31"/>
        <w:ind w:left="138" w:right="99"/>
        <w:jc w:val="left"/>
      </w:pPr>
      <w:r>
        <w:rPr>
          <w:rFonts w:ascii="Arial" w:hAnsi="Arial" w:cs="Arial" w:eastAsia="Arial" w:hint="default"/>
          <w:w w:val="95"/>
        </w:rPr>
        <w:t>(1)</w:t>
        <w:tab/>
      </w:r>
      <w:r>
        <w:rPr/>
        <w:t>重要会计估计及其关键假设（续）</w:t>
      </w:r>
    </w:p>
    <w:p>
      <w:pPr>
        <w:spacing w:line="240" w:lineRule="auto" w:before="13"/>
        <w:rPr>
          <w:rFonts w:ascii="宋体" w:hAnsi="宋体" w:cs="宋体" w:eastAsia="宋体" w:hint="default"/>
          <w:sz w:val="17"/>
          <w:szCs w:val="17"/>
        </w:rPr>
      </w:pPr>
    </w:p>
    <w:p>
      <w:pPr>
        <w:pStyle w:val="BodyText"/>
        <w:spacing w:line="240" w:lineRule="auto"/>
        <w:ind w:left="166" w:right="99"/>
        <w:jc w:val="left"/>
      </w:pPr>
      <w:r>
        <w:rPr>
          <w:rFonts w:ascii="Arial" w:hAnsi="Arial" w:cs="Arial" w:eastAsia="Arial" w:hint="default"/>
        </w:rPr>
        <w:t>(d)  </w:t>
      </w:r>
      <w:r>
        <w:rPr>
          <w:rFonts w:ascii="Arial" w:hAnsi="Arial" w:cs="Arial" w:eastAsia="Arial" w:hint="default"/>
          <w:spacing w:val="8"/>
        </w:rPr>
        <w:t> </w:t>
      </w:r>
      <w:r>
        <w:rPr/>
        <w:t>所得税</w:t>
      </w:r>
    </w:p>
    <w:p>
      <w:pPr>
        <w:spacing w:line="240" w:lineRule="auto" w:before="1"/>
        <w:rPr>
          <w:rFonts w:ascii="宋体" w:hAnsi="宋体" w:cs="宋体" w:eastAsia="宋体" w:hint="default"/>
          <w:sz w:val="18"/>
          <w:szCs w:val="18"/>
        </w:rPr>
      </w:pPr>
    </w:p>
    <w:p>
      <w:pPr>
        <w:pStyle w:val="BodyText"/>
        <w:spacing w:line="237" w:lineRule="auto"/>
        <w:ind w:left="627" w:right="211"/>
        <w:jc w:val="both"/>
      </w:pPr>
      <w:r>
        <w:rPr/>
        <w:t>本集团按照现行税收法规计算企业所得税，并考虑了适用的所得税的相关规定及税收优惠。</w:t>
      </w:r>
      <w:r>
        <w:rPr>
          <w:spacing w:val="-101"/>
        </w:rPr>
        <w:t> </w:t>
      </w:r>
      <w:r>
        <w:rPr>
          <w:spacing w:val="-101"/>
        </w:rPr>
      </w:r>
      <w:r>
        <w:rPr/>
        <w:t>本集团在多个地区缴纳企业所得税，在正常的经营活动中，很多交易和事项的最终税务处理</w:t>
      </w:r>
      <w:r>
        <w:rPr>
          <w:spacing w:val="-101"/>
        </w:rPr>
        <w:t> </w:t>
      </w:r>
      <w:r>
        <w:rPr>
          <w:spacing w:val="-101"/>
        </w:rPr>
      </w:r>
      <w:r>
        <w:rPr/>
        <w:t>都存在不确定性，在计提各个地区的所得税费用时本集团需要作出重大判断。本集团还就未</w:t>
      </w:r>
      <w:r>
        <w:rPr>
          <w:spacing w:val="-101"/>
        </w:rPr>
        <w:t> </w:t>
      </w:r>
      <w:r>
        <w:rPr>
          <w:spacing w:val="-101"/>
        </w:rPr>
      </w:r>
      <w:r>
        <w:rPr/>
        <w:t>来最终税务申报过程中可能存在判断差异的纳税项目预计是否需要缴纳额外税款，并根据估</w:t>
      </w:r>
      <w:r>
        <w:rPr>
          <w:spacing w:val="-101"/>
        </w:rPr>
        <w:t> </w:t>
      </w:r>
      <w:r>
        <w:rPr>
          <w:spacing w:val="-101"/>
        </w:rPr>
      </w:r>
      <w:r>
        <w:rPr/>
        <w:t>计的结果判断是否需要确认相应的所得税负债。如果这些税务事项的最终认定结果与最初入</w:t>
      </w:r>
      <w:r>
        <w:rPr>
          <w:spacing w:val="-101"/>
        </w:rPr>
        <w:t> </w:t>
      </w:r>
      <w:r>
        <w:rPr>
          <w:spacing w:val="-101"/>
        </w:rPr>
      </w:r>
      <w:r>
        <w:rPr/>
        <w:t>账的金额存在差异，该差异将对作出上述最终认定期间的所得税费用和递延所得税的金额产</w:t>
      </w:r>
      <w:r>
        <w:rPr>
          <w:spacing w:val="-101"/>
        </w:rPr>
        <w:t> </w:t>
      </w:r>
      <w:r>
        <w:rPr>
          <w:spacing w:val="-101"/>
        </w:rPr>
      </w:r>
      <w:r>
        <w:rPr/>
        <w:t>生影响。</w:t>
      </w:r>
    </w:p>
    <w:p>
      <w:pPr>
        <w:spacing w:line="240" w:lineRule="auto" w:before="5"/>
        <w:rPr>
          <w:rFonts w:ascii="宋体" w:hAnsi="宋体" w:cs="宋体" w:eastAsia="宋体" w:hint="default"/>
          <w:sz w:val="19"/>
          <w:szCs w:val="19"/>
        </w:rPr>
      </w:pPr>
    </w:p>
    <w:p>
      <w:pPr>
        <w:pStyle w:val="BodyText"/>
        <w:spacing w:line="237" w:lineRule="auto"/>
        <w:ind w:left="627" w:right="211"/>
        <w:jc w:val="both"/>
      </w:pPr>
      <w:r>
        <w:rPr/>
        <w:t>在确认递延所得税资产时，本集团也考虑了递延所得税资产得以实现的可能性。可抵扣暂时</w:t>
      </w:r>
      <w:r>
        <w:rPr>
          <w:spacing w:val="-101"/>
        </w:rPr>
        <w:t> </w:t>
      </w:r>
      <w:r>
        <w:rPr>
          <w:spacing w:val="-101"/>
        </w:rPr>
      </w:r>
      <w:r>
        <w:rPr/>
        <w:t>性差异主要包括固定资产及在建工程减值准备、坏账准备及尚未获准税前抵扣的预提费用的</w:t>
      </w:r>
      <w:r>
        <w:rPr>
          <w:spacing w:val="-101"/>
        </w:rPr>
        <w:t> </w:t>
      </w:r>
      <w:r>
        <w:rPr>
          <w:spacing w:val="-101"/>
        </w:rPr>
      </w:r>
      <w:r>
        <w:rPr/>
        <w:t>影响。递延所得税资产的确认是基于本集团预计该递延所得税资产于可预见的将来能够通过</w:t>
      </w:r>
      <w:r>
        <w:rPr>
          <w:spacing w:val="-101"/>
        </w:rPr>
        <w:t> </w:t>
      </w:r>
      <w:r>
        <w:rPr>
          <w:spacing w:val="-101"/>
        </w:rPr>
      </w:r>
      <w:r>
        <w:rPr/>
        <w:t>持续经营产生足够的应纳税所得额而转回。</w:t>
      </w:r>
    </w:p>
    <w:p>
      <w:pPr>
        <w:pStyle w:val="BodyText"/>
        <w:spacing w:line="237" w:lineRule="auto" w:before="180"/>
        <w:ind w:left="627" w:right="208"/>
        <w:jc w:val="both"/>
      </w:pPr>
      <w:r>
        <w:rPr/>
        <w:t>本集团已基于现行的税法规定及当前最佳的估计及假设计提了当期所得税及递延所得税项。</w:t>
      </w:r>
      <w:r>
        <w:rPr>
          <w:spacing w:val="-101"/>
        </w:rPr>
        <w:t> </w:t>
      </w:r>
      <w:r>
        <w:rPr>
          <w:spacing w:val="-101"/>
        </w:rPr>
      </w:r>
      <w:r>
        <w:rPr>
          <w:spacing w:val="6"/>
        </w:rPr>
        <w:t>未来可能因税法规定或相关情况的改变而需要对当期所得税及递延所得税项作出相应的调</w:t>
      </w:r>
      <w:r>
        <w:rPr>
          <w:spacing w:val="7"/>
          <w:w w:val="99"/>
        </w:rPr>
        <w:t> </w:t>
      </w:r>
      <w:r>
        <w:rPr/>
        <w:t>整。</w:t>
      </w:r>
    </w:p>
    <w:p>
      <w:pPr>
        <w:spacing w:line="240" w:lineRule="auto" w:before="2"/>
        <w:rPr>
          <w:rFonts w:ascii="宋体" w:hAnsi="宋体" w:cs="宋体" w:eastAsia="宋体" w:hint="default"/>
          <w:sz w:val="19"/>
          <w:szCs w:val="19"/>
        </w:rPr>
      </w:pPr>
    </w:p>
    <w:p>
      <w:pPr>
        <w:pStyle w:val="BodyText"/>
        <w:tabs>
          <w:tab w:pos="615" w:val="left" w:leader="none"/>
        </w:tabs>
        <w:spacing w:line="240" w:lineRule="auto"/>
        <w:ind w:left="138" w:right="99"/>
        <w:jc w:val="left"/>
      </w:pPr>
      <w:r>
        <w:rPr>
          <w:rFonts w:ascii="Arial" w:hAnsi="Arial" w:cs="Arial" w:eastAsia="Arial" w:hint="default"/>
          <w:w w:val="95"/>
        </w:rPr>
        <w:t>(2)</w:t>
        <w:tab/>
      </w:r>
      <w:r>
        <w:rPr/>
        <w:t>应用会计政策的关键判断</w:t>
      </w:r>
    </w:p>
    <w:p>
      <w:pPr>
        <w:pStyle w:val="BodyText"/>
        <w:tabs>
          <w:tab w:pos="628" w:val="left" w:leader="none"/>
        </w:tabs>
        <w:spacing w:line="240" w:lineRule="auto" w:before="161"/>
        <w:ind w:left="153" w:right="99"/>
        <w:jc w:val="left"/>
      </w:pPr>
      <w:r>
        <w:rPr>
          <w:rFonts w:ascii="Arial" w:hAnsi="Arial" w:cs="Arial" w:eastAsia="Arial" w:hint="default"/>
          <w:w w:val="95"/>
        </w:rPr>
        <w:t>(a)</w:t>
        <w:tab/>
      </w:r>
      <w:r>
        <w:rPr/>
        <w:t>一次性不可退还收入及直接相关成本的确认</w:t>
      </w:r>
    </w:p>
    <w:p>
      <w:pPr>
        <w:spacing w:line="240" w:lineRule="auto" w:before="10"/>
        <w:rPr>
          <w:rFonts w:ascii="宋体" w:hAnsi="宋体" w:cs="宋体" w:eastAsia="宋体" w:hint="default"/>
          <w:sz w:val="18"/>
          <w:szCs w:val="18"/>
        </w:rPr>
      </w:pPr>
    </w:p>
    <w:p>
      <w:pPr>
        <w:pStyle w:val="BodyText"/>
        <w:spacing w:line="230" w:lineRule="auto"/>
        <w:ind w:left="627" w:right="213"/>
        <w:jc w:val="both"/>
      </w:pPr>
      <w:r>
        <w:rPr/>
        <w:t>本集团对开通移动通信服务时收取的一次性不可退还收入，包括自移动电话用户一次性收取</w:t>
      </w:r>
      <w:r>
        <w:rPr>
          <w:spacing w:val="-101"/>
        </w:rPr>
        <w:t> </w:t>
      </w:r>
      <w:r>
        <w:rPr>
          <w:spacing w:val="-101"/>
        </w:rPr>
      </w:r>
      <w:r>
        <w:rPr>
          <w:spacing w:val="-1"/>
        </w:rPr>
        <w:t>的手机识别卡（如</w:t>
      </w:r>
      <w:r>
        <w:rPr>
          <w:rFonts w:ascii="Arial" w:hAnsi="Arial" w:cs="Arial" w:eastAsia="Arial" w:hint="default"/>
          <w:spacing w:val="-1"/>
        </w:rPr>
        <w:t>SIM</w:t>
      </w:r>
      <w:r>
        <w:rPr>
          <w:spacing w:val="-1"/>
        </w:rPr>
        <w:t>卡或</w:t>
      </w:r>
      <w:r>
        <w:rPr>
          <w:rFonts w:ascii="Arial" w:hAnsi="Arial" w:cs="Arial" w:eastAsia="Arial" w:hint="default"/>
          <w:spacing w:val="-1"/>
        </w:rPr>
        <w:t>USIM</w:t>
      </w:r>
      <w:r>
        <w:rPr>
          <w:spacing w:val="-1"/>
        </w:rPr>
        <w:t>卡）开通费，是在预计为移动通信用户提供服务的期限内进</w:t>
      </w:r>
      <w:r>
        <w:rPr>
          <w:w w:val="99"/>
        </w:rPr>
        <w:t> </w:t>
      </w:r>
      <w:r>
        <w:rPr>
          <w:spacing w:val="-4"/>
        </w:rPr>
        <w:t>行递延及摊销。根据目前的市场环境，估计的加权平均移动业务客户服务期限约为</w:t>
      </w:r>
      <w:r>
        <w:rPr>
          <w:rFonts w:ascii="Arial" w:hAnsi="Arial" w:cs="Arial" w:eastAsia="Arial" w:hint="default"/>
          <w:spacing w:val="-4"/>
        </w:rPr>
        <w:t>3</w:t>
      </w:r>
      <w:r>
        <w:rPr>
          <w:spacing w:val="-4"/>
        </w:rPr>
        <w:t>年（</w:t>
      </w:r>
      <w:r>
        <w:rPr>
          <w:rFonts w:ascii="Arial" w:hAnsi="Arial" w:cs="Arial" w:eastAsia="Arial" w:hint="default"/>
          <w:spacing w:val="-4"/>
        </w:rPr>
        <w:t>2008</w:t>
      </w:r>
      <w:r>
        <w:rPr>
          <w:rFonts w:ascii="Arial" w:hAnsi="Arial" w:cs="Arial" w:eastAsia="Arial" w:hint="default"/>
          <w:spacing w:val="-1"/>
          <w:w w:val="99"/>
        </w:rPr>
        <w:t> </w:t>
      </w:r>
      <w:r>
        <w:rPr>
          <w:spacing w:val="-3"/>
        </w:rPr>
        <w:t>年：约</w:t>
      </w:r>
      <w:r>
        <w:rPr>
          <w:rFonts w:ascii="Arial" w:hAnsi="Arial" w:cs="Arial" w:eastAsia="Arial" w:hint="default"/>
          <w:spacing w:val="-3"/>
        </w:rPr>
        <w:t>3</w:t>
      </w:r>
      <w:r>
        <w:rPr>
          <w:spacing w:val="-3"/>
        </w:rPr>
        <w:t>年）。同时，与收取的一次性不可退还收入相关的，为获取和开通移动通信业务而发</w:t>
      </w:r>
      <w:r>
        <w:rPr>
          <w:spacing w:val="-92"/>
        </w:rPr>
        <w:t> </w:t>
      </w:r>
      <w:r>
        <w:rPr>
          <w:spacing w:val="-92"/>
        </w:rPr>
      </w:r>
      <w:r>
        <w:rPr/>
        <w:t>生的直接相关成本，包括手机识别卡成本及佣金亦予以资本化并在预计为移动通信客户提供</w:t>
      </w:r>
      <w:r>
        <w:rPr>
          <w:spacing w:val="-101"/>
        </w:rPr>
        <w:t> </w:t>
      </w:r>
      <w:r>
        <w:rPr>
          <w:spacing w:val="-101"/>
        </w:rPr>
      </w:r>
      <w:r>
        <w:rPr/>
        <w:t>的服务期内进行递延及摊销。</w:t>
      </w:r>
    </w:p>
    <w:p>
      <w:pPr>
        <w:spacing w:line="240" w:lineRule="auto" w:before="4"/>
        <w:rPr>
          <w:rFonts w:ascii="宋体" w:hAnsi="宋体" w:cs="宋体" w:eastAsia="宋体" w:hint="default"/>
          <w:sz w:val="21"/>
          <w:szCs w:val="21"/>
        </w:rPr>
      </w:pPr>
    </w:p>
    <w:p>
      <w:pPr>
        <w:pStyle w:val="BodyText"/>
        <w:spacing w:line="286" w:lineRule="exact"/>
        <w:ind w:left="627" w:right="213"/>
        <w:jc w:val="both"/>
      </w:pPr>
      <w:r>
        <w:rPr/>
        <w:t>本集团对开通固网通信服务时收取的一次性不可退还收入，包括固网客户一次性初装费和装</w:t>
      </w:r>
      <w:r>
        <w:rPr>
          <w:spacing w:val="-101"/>
        </w:rPr>
        <w:t> </w:t>
      </w:r>
      <w:r>
        <w:rPr>
          <w:spacing w:val="-101"/>
        </w:rPr>
      </w:r>
      <w:r>
        <w:rPr/>
        <w:t>移机费在预期固网通信客户服务期限</w:t>
      </w:r>
      <w:r>
        <w:rPr>
          <w:rFonts w:ascii="Arial" w:hAnsi="Arial" w:cs="Arial" w:eastAsia="Arial" w:hint="default"/>
        </w:rPr>
        <w:t>10</w:t>
      </w:r>
      <w:r>
        <w:rPr/>
        <w:t>年进行递延和摊销。与收取的一次性不可退还收入相</w:t>
      </w:r>
      <w:r>
        <w:rPr>
          <w:w w:val="99"/>
        </w:rPr>
        <w:t> </w:t>
      </w:r>
      <w:r>
        <w:rPr/>
        <w:t>关的装移机直接成本也予以资本化并按相同的预期固网通信客户服务期限进行递延和摊销。</w:t>
      </w:r>
    </w:p>
    <w:p>
      <w:pPr>
        <w:spacing w:line="240" w:lineRule="auto" w:before="6"/>
        <w:rPr>
          <w:rFonts w:ascii="宋体" w:hAnsi="宋体" w:cs="宋体" w:eastAsia="宋体" w:hint="default"/>
          <w:sz w:val="19"/>
          <w:szCs w:val="19"/>
        </w:rPr>
      </w:pPr>
    </w:p>
    <w:p>
      <w:pPr>
        <w:pStyle w:val="BodyText"/>
        <w:spacing w:line="284" w:lineRule="exact"/>
        <w:ind w:left="627" w:right="213"/>
        <w:jc w:val="both"/>
      </w:pPr>
      <w:r>
        <w:rPr/>
        <w:t>本集团仅资本化将产生未来经济利益的成本，对于超过一次性不可退还收入部分的直接相关</w:t>
      </w:r>
      <w:r>
        <w:rPr>
          <w:spacing w:val="-101"/>
        </w:rPr>
        <w:t> </w:t>
      </w:r>
      <w:r>
        <w:rPr>
          <w:spacing w:val="-101"/>
        </w:rPr>
      </w:r>
      <w:r>
        <w:rPr/>
        <w:t>成本（如有），差额在当期利润表中被立即确认为费用。</w:t>
      </w:r>
    </w:p>
    <w:p>
      <w:pPr>
        <w:spacing w:line="240" w:lineRule="auto" w:before="5"/>
        <w:rPr>
          <w:rFonts w:ascii="宋体" w:hAnsi="宋体" w:cs="宋体" w:eastAsia="宋体" w:hint="default"/>
          <w:sz w:val="17"/>
          <w:szCs w:val="17"/>
        </w:rPr>
      </w:pPr>
    </w:p>
    <w:p>
      <w:pPr>
        <w:pStyle w:val="BodyText"/>
        <w:spacing w:line="237" w:lineRule="auto"/>
        <w:ind w:left="627" w:right="99"/>
        <w:jc w:val="left"/>
      </w:pPr>
      <w:r>
        <w:rPr/>
        <w:t>本集团根据以往保留客户的经验，预计的未来竞争程度，本集团服务的技术性或功能性过时</w:t>
      </w:r>
      <w:r>
        <w:rPr>
          <w:spacing w:val="-101"/>
        </w:rPr>
        <w:t> </w:t>
      </w:r>
      <w:r>
        <w:rPr>
          <w:spacing w:val="-101"/>
        </w:rPr>
      </w:r>
      <w:r>
        <w:rPr>
          <w:spacing w:val="-2"/>
          <w:w w:val="95"/>
        </w:rPr>
        <w:t>的风险，技术创新以及法规和社会环境的预期变化来评估客户服务期限。如果因为竞争加剧、</w:t>
      </w:r>
      <w:r>
        <w:rPr>
          <w:spacing w:val="24"/>
          <w:w w:val="95"/>
        </w:rPr>
        <w:t> </w:t>
      </w:r>
      <w:r>
        <w:rPr>
          <w:spacing w:val="24"/>
          <w:w w:val="95"/>
        </w:rPr>
      </w:r>
      <w:r>
        <w:rPr/>
        <w:t>电信技术的变化或其它因素而导致本集团的预计客户服务期限发生变化，则本集团的递延的</w:t>
      </w:r>
      <w:r>
        <w:rPr>
          <w:spacing w:val="-101"/>
        </w:rPr>
        <w:t> </w:t>
      </w:r>
      <w:r>
        <w:rPr>
          <w:spacing w:val="-101"/>
        </w:rPr>
      </w:r>
      <w:r>
        <w:rPr/>
        <w:t>一次性不可退还收入及直接相关成本在未来期间内的摊销金额和摊销期可能会发生变化。</w:t>
      </w:r>
    </w:p>
    <w:p>
      <w:pPr>
        <w:spacing w:after="0" w:line="237" w:lineRule="auto"/>
        <w:jc w:val="left"/>
        <w:sectPr>
          <w:headerReference w:type="default" r:id="rId56"/>
          <w:pgSz w:w="11910" w:h="16840"/>
          <w:pgMar w:header="967" w:footer="600" w:top="3380" w:bottom="780" w:left="1420" w:right="820"/>
        </w:sectPr>
      </w:pPr>
    </w:p>
    <w:p>
      <w:pPr>
        <w:spacing w:line="240" w:lineRule="auto" w:before="3"/>
        <w:rPr>
          <w:rFonts w:ascii="宋体" w:hAnsi="宋体" w:cs="宋体" w:eastAsia="宋体" w:hint="default"/>
          <w:sz w:val="10"/>
          <w:szCs w:val="10"/>
        </w:rPr>
      </w:pPr>
    </w:p>
    <w:p>
      <w:pPr>
        <w:pStyle w:val="BodyText"/>
        <w:tabs>
          <w:tab w:pos="614" w:val="left" w:leader="none"/>
        </w:tabs>
        <w:spacing w:line="240" w:lineRule="auto" w:before="31"/>
        <w:ind w:left="138" w:right="99"/>
        <w:jc w:val="left"/>
      </w:pPr>
      <w:r>
        <w:rPr>
          <w:rFonts w:ascii="Arial" w:hAnsi="Arial" w:cs="Arial" w:eastAsia="Arial" w:hint="default"/>
          <w:w w:val="95"/>
        </w:rPr>
        <w:t>(2)</w:t>
        <w:tab/>
      </w:r>
      <w:r>
        <w:rPr/>
        <w:t>应用会计政策的关键判断（续）</w:t>
      </w:r>
    </w:p>
    <w:p>
      <w:pPr>
        <w:pStyle w:val="BodyText"/>
        <w:spacing w:line="240" w:lineRule="auto" w:before="162"/>
        <w:ind w:left="153" w:right="99"/>
        <w:jc w:val="left"/>
      </w:pPr>
      <w:r>
        <w:rPr>
          <w:rFonts w:ascii="Arial" w:hAnsi="Arial" w:cs="Arial" w:eastAsia="Arial" w:hint="default"/>
        </w:rPr>
        <w:t>(b)  </w:t>
      </w:r>
      <w:r>
        <w:rPr>
          <w:rFonts w:ascii="Arial" w:hAnsi="Arial" w:cs="Arial" w:eastAsia="Arial" w:hint="default"/>
          <w:spacing w:val="8"/>
        </w:rPr>
        <w:t> </w:t>
      </w:r>
      <w:r>
        <w:rPr/>
        <w:t>收购目标业务中关于南方固网业务的合并会计处理</w:t>
      </w:r>
    </w:p>
    <w:p>
      <w:pPr>
        <w:pStyle w:val="BodyText"/>
        <w:spacing w:line="232" w:lineRule="auto" w:before="170"/>
        <w:ind w:left="627" w:right="211"/>
        <w:jc w:val="both"/>
      </w:pPr>
      <w:r>
        <w:rPr>
          <w:spacing w:val="-2"/>
        </w:rPr>
        <w:t>如附注一（</w:t>
      </w:r>
      <w:r>
        <w:rPr>
          <w:rFonts w:ascii="Arial" w:hAnsi="Arial" w:cs="Arial" w:eastAsia="Arial" w:hint="default"/>
          <w:spacing w:val="-2"/>
        </w:rPr>
        <w:t>6</w:t>
      </w:r>
      <w:r>
        <w:rPr>
          <w:spacing w:val="-2"/>
        </w:rPr>
        <w:t>）所述，本集团于</w:t>
      </w:r>
      <w:r>
        <w:rPr>
          <w:rFonts w:ascii="Arial" w:hAnsi="Arial" w:cs="Arial" w:eastAsia="Arial" w:hint="default"/>
          <w:spacing w:val="-2"/>
        </w:rPr>
        <w:t>2009</w:t>
      </w:r>
      <w:r>
        <w:rPr>
          <w:spacing w:val="-2"/>
        </w:rPr>
        <w:t>年</w:t>
      </w:r>
      <w:r>
        <w:rPr>
          <w:rFonts w:ascii="Arial" w:hAnsi="Arial" w:cs="Arial" w:eastAsia="Arial" w:hint="default"/>
          <w:spacing w:val="-2"/>
        </w:rPr>
        <w:t>1</w:t>
      </w:r>
      <w:r>
        <w:rPr>
          <w:spacing w:val="-2"/>
        </w:rPr>
        <w:t>月</w:t>
      </w:r>
      <w:r>
        <w:rPr>
          <w:rFonts w:ascii="Arial" w:hAnsi="Arial" w:cs="Arial" w:eastAsia="Arial" w:hint="default"/>
          <w:spacing w:val="-2"/>
        </w:rPr>
        <w:t>31</w:t>
      </w:r>
      <w:r>
        <w:rPr>
          <w:spacing w:val="-2"/>
        </w:rPr>
        <w:t>日完成了对目标业务的收购，该收购属于同一控</w:t>
      </w:r>
      <w:r>
        <w:rPr>
          <w:spacing w:val="-108"/>
        </w:rPr>
        <w:t> </w:t>
      </w:r>
      <w:r>
        <w:rPr>
          <w:spacing w:val="-108"/>
        </w:rPr>
      </w:r>
      <w:r>
        <w:rPr/>
        <w:t>制下的企业合并。根据与收购目标业务相关的转让协议，被收购目标业务中的南方固网业务</w:t>
      </w:r>
      <w:r>
        <w:rPr>
          <w:spacing w:val="-101"/>
        </w:rPr>
        <w:t> </w:t>
      </w:r>
      <w:r>
        <w:rPr>
          <w:spacing w:val="-101"/>
        </w:rPr>
      </w:r>
      <w:r>
        <w:rPr/>
        <w:t>包含与南方固网业务运营相关的流动资产及负债，但不包括南方固网业务的固定电信网络资</w:t>
      </w:r>
      <w:r>
        <w:rPr>
          <w:spacing w:val="-101"/>
        </w:rPr>
        <w:t> </w:t>
      </w:r>
      <w:r>
        <w:rPr>
          <w:spacing w:val="-101"/>
        </w:rPr>
      </w:r>
      <w:r>
        <w:rPr/>
        <w:t>产和因建造电信网络而向联通集团或网通集团借入的关联公司借款及应付工程及设备款。此</w:t>
      </w:r>
      <w:r>
        <w:rPr>
          <w:spacing w:val="-101"/>
        </w:rPr>
        <w:t> </w:t>
      </w:r>
      <w:r>
        <w:rPr>
          <w:spacing w:val="-101"/>
        </w:rPr>
      </w:r>
      <w:r>
        <w:rPr/>
        <w:t>固定电信网络资产将由联通新时空拥有，并自</w:t>
      </w:r>
      <w:r>
        <w:rPr>
          <w:rFonts w:ascii="Arial" w:hAnsi="Arial" w:cs="Arial" w:eastAsia="Arial" w:hint="default"/>
        </w:rPr>
        <w:t>2009</w:t>
      </w:r>
      <w:r>
        <w:rPr/>
        <w:t>年</w:t>
      </w:r>
      <w:r>
        <w:rPr>
          <w:rFonts w:ascii="Arial" w:hAnsi="Arial" w:cs="Arial" w:eastAsia="Arial" w:hint="default"/>
        </w:rPr>
        <w:t>1</w:t>
      </w:r>
      <w:r>
        <w:rPr/>
        <w:t>月</w:t>
      </w:r>
      <w:r>
        <w:rPr>
          <w:rFonts w:ascii="Arial" w:hAnsi="Arial" w:cs="Arial" w:eastAsia="Arial" w:hint="default"/>
        </w:rPr>
        <w:t>31</w:t>
      </w:r>
      <w:r>
        <w:rPr/>
        <w:t>日起由联通运营公司独家向联通</w:t>
      </w:r>
      <w:r>
        <w:rPr>
          <w:spacing w:val="-76"/>
        </w:rPr>
        <w:t> </w:t>
      </w:r>
      <w:r>
        <w:rPr>
          <w:spacing w:val="-76"/>
        </w:rPr>
      </w:r>
      <w:r>
        <w:rPr/>
        <w:t>新时空租赁使用。</w:t>
      </w:r>
    </w:p>
    <w:p>
      <w:pPr>
        <w:pStyle w:val="BodyText"/>
        <w:spacing w:line="228" w:lineRule="auto" w:before="190"/>
        <w:ind w:left="627" w:right="187"/>
        <w:jc w:val="both"/>
      </w:pPr>
      <w:r>
        <w:rPr/>
        <w:t>为更好地反映本集团收购南方固网业务的经济实质，即本集团并未承担南方固网业务的固定</w:t>
      </w:r>
      <w:r>
        <w:rPr>
          <w:spacing w:val="-101"/>
        </w:rPr>
        <w:t> </w:t>
      </w:r>
      <w:r>
        <w:rPr>
          <w:spacing w:val="-101"/>
        </w:rPr>
      </w:r>
      <w:r>
        <w:rPr/>
        <w:t>电信网络资产及与固定电信网络资产购建有关的负债的风险和报酬。因此，自本集团合并财</w:t>
      </w:r>
      <w:r>
        <w:rPr>
          <w:spacing w:val="-101"/>
        </w:rPr>
        <w:t> </w:t>
      </w:r>
      <w:r>
        <w:rPr>
          <w:spacing w:val="-101"/>
        </w:rPr>
      </w:r>
      <w:r>
        <w:rPr>
          <w:spacing w:val="-1"/>
        </w:rPr>
        <w:t>务报表列报的可比期间期初（</w:t>
      </w:r>
      <w:r>
        <w:rPr>
          <w:rFonts w:ascii="Arial" w:hAnsi="Arial" w:cs="Arial" w:eastAsia="Arial" w:hint="default"/>
          <w:spacing w:val="-1"/>
        </w:rPr>
        <w:t>2008</w:t>
      </w:r>
      <w:r>
        <w:rPr>
          <w:spacing w:val="-1"/>
        </w:rPr>
        <w:t>年</w:t>
      </w:r>
      <w:r>
        <w:rPr>
          <w:rFonts w:ascii="Arial" w:hAnsi="Arial" w:cs="Arial" w:eastAsia="Arial" w:hint="default"/>
          <w:spacing w:val="-1"/>
        </w:rPr>
        <w:t>1</w:t>
      </w:r>
      <w:r>
        <w:rPr>
          <w:spacing w:val="-1"/>
        </w:rPr>
        <w:t>月</w:t>
      </w:r>
      <w:r>
        <w:rPr>
          <w:rFonts w:ascii="Arial" w:hAnsi="Arial" w:cs="Arial" w:eastAsia="Arial" w:hint="default"/>
          <w:spacing w:val="-1"/>
        </w:rPr>
        <w:t>1</w:t>
      </w:r>
      <w:r>
        <w:rPr>
          <w:spacing w:val="-1"/>
        </w:rPr>
        <w:t>日）起，南方固网业务的固定电信网络资产及与固</w:t>
      </w:r>
      <w:r>
        <w:rPr>
          <w:w w:val="99"/>
        </w:rPr>
        <w:t> </w:t>
      </w:r>
      <w:r>
        <w:rPr>
          <w:w w:val="95"/>
        </w:rPr>
        <w:t>定电信网络资产购建有关的负债已不包含在本集团所收购的南方固网业务中。因此，于</w:t>
      </w:r>
      <w:r>
        <w:rPr>
          <w:rFonts w:ascii="Arial" w:hAnsi="Arial" w:cs="Arial" w:eastAsia="Arial" w:hint="default"/>
          <w:w w:val="95"/>
        </w:rPr>
        <w:t>2008</w:t>
      </w:r>
      <w:r>
        <w:rPr>
          <w:rFonts w:ascii="Arial" w:hAnsi="Arial" w:cs="Arial" w:eastAsia="Arial" w:hint="default"/>
          <w:spacing w:val="5"/>
          <w:w w:val="95"/>
        </w:rPr>
        <w:t> </w:t>
      </w:r>
      <w:r>
        <w:rPr>
          <w:rFonts w:ascii="Arial" w:hAnsi="Arial" w:cs="Arial" w:eastAsia="Arial" w:hint="default"/>
          <w:spacing w:val="5"/>
          <w:w w:val="95"/>
        </w:rPr>
      </w:r>
      <w:r>
        <w:rPr>
          <w:w w:val="95"/>
        </w:rPr>
        <w:t>年</w:t>
      </w:r>
      <w:r>
        <w:rPr>
          <w:rFonts w:ascii="Arial" w:hAnsi="Arial" w:cs="Arial" w:eastAsia="Arial" w:hint="default"/>
          <w:w w:val="95"/>
        </w:rPr>
        <w:t>12</w:t>
      </w:r>
      <w:r>
        <w:rPr>
          <w:w w:val="95"/>
        </w:rPr>
        <w:t>月</w:t>
      </w:r>
      <w:r>
        <w:rPr>
          <w:rFonts w:ascii="Arial" w:hAnsi="Arial" w:cs="Arial" w:eastAsia="Arial" w:hint="default"/>
          <w:w w:val="95"/>
        </w:rPr>
        <w:t>31</w:t>
      </w:r>
      <w:r>
        <w:rPr>
          <w:w w:val="95"/>
        </w:rPr>
        <w:t>日的合并资产负债表中，包括了转让协议中所规定的南方固网业务与运营相关的流</w:t>
      </w:r>
      <w:r>
        <w:rPr>
          <w:spacing w:val="99"/>
          <w:w w:val="95"/>
        </w:rPr>
        <w:t> </w:t>
      </w:r>
      <w:r>
        <w:rPr>
          <w:spacing w:val="99"/>
          <w:w w:val="95"/>
        </w:rPr>
      </w:r>
      <w:r>
        <w:rPr>
          <w:spacing w:val="-2"/>
        </w:rPr>
        <w:t>动资产约人民币</w:t>
      </w:r>
      <w:r>
        <w:rPr>
          <w:rFonts w:ascii="Arial" w:hAnsi="Arial" w:cs="Arial" w:eastAsia="Arial" w:hint="default"/>
          <w:spacing w:val="-2"/>
        </w:rPr>
        <w:t>9.99</w:t>
      </w:r>
      <w:r>
        <w:rPr>
          <w:spacing w:val="-2"/>
        </w:rPr>
        <w:t>亿元及流动负债约人民币</w:t>
      </w:r>
      <w:r>
        <w:rPr>
          <w:rFonts w:ascii="Arial" w:hAnsi="Arial" w:cs="Arial" w:eastAsia="Arial" w:hint="default"/>
          <w:spacing w:val="-2"/>
        </w:rPr>
        <w:t>28.41</w:t>
      </w:r>
      <w:r>
        <w:rPr>
          <w:spacing w:val="-2"/>
        </w:rPr>
        <w:t>亿元，但并未包括固定资产、无形资产等</w:t>
      </w:r>
      <w:r>
        <w:rPr>
          <w:spacing w:val="-101"/>
        </w:rPr>
        <w:t> </w:t>
      </w:r>
      <w:r>
        <w:rPr>
          <w:spacing w:val="-101"/>
        </w:rPr>
      </w:r>
      <w:r>
        <w:rPr/>
        <w:t>固定电信网络资产约为人民币</w:t>
      </w:r>
      <w:r>
        <w:rPr>
          <w:rFonts w:ascii="Arial" w:hAnsi="Arial" w:cs="Arial" w:eastAsia="Arial" w:hint="default"/>
        </w:rPr>
        <w:t>309.11</w:t>
      </w:r>
      <w:r>
        <w:rPr/>
        <w:t>亿元和因建造电信网络而向联通集团或网通集团借入的</w:t>
      </w:r>
      <w:r>
        <w:rPr>
          <w:w w:val="99"/>
        </w:rPr>
        <w:t> </w:t>
      </w:r>
      <w:r>
        <w:rPr/>
        <w:t>关联公司借款约为人民币</w:t>
      </w:r>
      <w:r>
        <w:rPr>
          <w:rFonts w:ascii="Arial" w:hAnsi="Arial" w:cs="Arial" w:eastAsia="Arial" w:hint="default"/>
        </w:rPr>
        <w:t>356.52</w:t>
      </w:r>
      <w:r>
        <w:rPr/>
        <w:t>亿元及应付工程及设备款约为人民币</w:t>
      </w:r>
      <w:r>
        <w:rPr>
          <w:rFonts w:ascii="Arial" w:hAnsi="Arial" w:cs="Arial" w:eastAsia="Arial" w:hint="default"/>
        </w:rPr>
        <w:t>61.76</w:t>
      </w:r>
      <w:r>
        <w:rPr/>
        <w:t>亿元。。</w:t>
      </w:r>
    </w:p>
    <w:p>
      <w:pPr>
        <w:spacing w:line="240" w:lineRule="auto" w:before="3"/>
        <w:rPr>
          <w:rFonts w:ascii="宋体" w:hAnsi="宋体" w:cs="宋体" w:eastAsia="宋体" w:hint="default"/>
          <w:sz w:val="15"/>
          <w:szCs w:val="15"/>
        </w:rPr>
      </w:pPr>
    </w:p>
    <w:p>
      <w:pPr>
        <w:pStyle w:val="BodyText"/>
        <w:spacing w:line="225" w:lineRule="auto"/>
        <w:ind w:left="627" w:right="187"/>
        <w:jc w:val="both"/>
      </w:pPr>
      <w:r>
        <w:rPr/>
        <w:t>相应的，本集团</w:t>
      </w:r>
      <w:r>
        <w:rPr>
          <w:rFonts w:ascii="Arial" w:hAnsi="Arial" w:cs="Arial" w:eastAsia="Arial" w:hint="default"/>
        </w:rPr>
        <w:t>2008</w:t>
      </w:r>
      <w:r>
        <w:rPr/>
        <w:t>年度的合并利润表中包括南方固网业务的营业收入和运营成本及费用，</w:t>
      </w:r>
      <w:r>
        <w:rPr>
          <w:w w:val="99"/>
        </w:rPr>
        <w:t> </w:t>
      </w:r>
      <w:r>
        <w:rPr>
          <w:spacing w:val="-2"/>
          <w:w w:val="99"/>
        </w:rPr>
        <w:t>但不包含南方固网业务固定电信网络资产的折旧及摊销费用约为人民币</w:t>
      </w:r>
      <w:r>
        <w:rPr>
          <w:rFonts w:ascii="Arial" w:hAnsi="Arial" w:cs="Arial" w:eastAsia="Arial" w:hint="default"/>
          <w:spacing w:val="-2"/>
          <w:w w:val="99"/>
        </w:rPr>
        <w:t>43.25</w:t>
      </w:r>
      <w:r>
        <w:rPr>
          <w:spacing w:val="-2"/>
          <w:w w:val="99"/>
        </w:rPr>
        <w:t>亿元，及因建造</w:t>
      </w:r>
      <w:r>
        <w:rPr>
          <w:spacing w:val="-99"/>
          <w:w w:val="99"/>
        </w:rPr>
        <w:t> </w:t>
      </w:r>
      <w:r>
        <w:rPr>
          <w:spacing w:val="-99"/>
          <w:w w:val="99"/>
        </w:rPr>
      </w:r>
      <w:r>
        <w:rPr/>
        <w:t>电信网络而借入的长期关联公司借款产生的财务费用未被资本化的部分约人民币</w:t>
      </w:r>
      <w:r>
        <w:rPr>
          <w:rFonts w:ascii="Arial" w:hAnsi="Arial" w:cs="Arial" w:eastAsia="Arial" w:hint="default"/>
        </w:rPr>
        <w:t>8.46</w:t>
      </w:r>
      <w:r>
        <w:rPr/>
        <w:t>亿元。</w:t>
      </w:r>
      <w:r>
        <w:rPr>
          <w:spacing w:val="-84"/>
        </w:rPr>
        <w:t> </w:t>
      </w:r>
      <w:r>
        <w:rPr/>
        <w:t>另外，由于联通运营公司从</w:t>
      </w:r>
      <w:r>
        <w:rPr>
          <w:rFonts w:ascii="Arial" w:hAnsi="Arial" w:cs="Arial" w:eastAsia="Arial" w:hint="default"/>
        </w:rPr>
        <w:t>2009</w:t>
      </w:r>
      <w:r>
        <w:rPr/>
        <w:t>年</w:t>
      </w:r>
      <w:r>
        <w:rPr>
          <w:rFonts w:ascii="Arial" w:hAnsi="Arial" w:cs="Arial" w:eastAsia="Arial" w:hint="default"/>
        </w:rPr>
        <w:t>1</w:t>
      </w:r>
      <w:r>
        <w:rPr/>
        <w:t>月</w:t>
      </w:r>
      <w:r>
        <w:rPr>
          <w:rFonts w:ascii="Arial" w:hAnsi="Arial" w:cs="Arial" w:eastAsia="Arial" w:hint="default"/>
        </w:rPr>
        <w:t>31</w:t>
      </w:r>
      <w:r>
        <w:rPr/>
        <w:t>日开始向联通新时空租赁其拥有的南方固定电信网</w:t>
      </w:r>
      <w:r>
        <w:rPr>
          <w:spacing w:val="-76"/>
        </w:rPr>
        <w:t> </w:t>
      </w:r>
      <w:r>
        <w:rPr>
          <w:spacing w:val="-76"/>
        </w:rPr>
      </w:r>
      <w:r>
        <w:rPr>
          <w:spacing w:val="-2"/>
          <w:w w:val="99"/>
        </w:rPr>
        <w:t>络，本集团</w:t>
      </w:r>
      <w:r>
        <w:rPr>
          <w:rFonts w:ascii="Arial" w:hAnsi="Arial" w:cs="Arial" w:eastAsia="Arial" w:hint="default"/>
          <w:spacing w:val="-2"/>
          <w:w w:val="99"/>
        </w:rPr>
        <w:t>2009</w:t>
      </w:r>
      <w:r>
        <w:rPr>
          <w:spacing w:val="-2"/>
          <w:w w:val="99"/>
        </w:rPr>
        <w:t>年度的合并利润表中包含自</w:t>
      </w:r>
      <w:r>
        <w:rPr>
          <w:rFonts w:ascii="Arial" w:hAnsi="Arial" w:cs="Arial" w:eastAsia="Arial" w:hint="default"/>
          <w:spacing w:val="-2"/>
          <w:w w:val="99"/>
        </w:rPr>
        <w:t>2009</w:t>
      </w:r>
      <w:r>
        <w:rPr>
          <w:spacing w:val="-2"/>
          <w:w w:val="99"/>
        </w:rPr>
        <w:t>年</w:t>
      </w:r>
      <w:r>
        <w:rPr>
          <w:rFonts w:ascii="Arial" w:hAnsi="Arial" w:cs="Arial" w:eastAsia="Arial" w:hint="default"/>
          <w:spacing w:val="-2"/>
          <w:w w:val="99"/>
        </w:rPr>
        <w:t>1</w:t>
      </w:r>
      <w:r>
        <w:rPr>
          <w:spacing w:val="-2"/>
          <w:w w:val="99"/>
        </w:rPr>
        <w:t>月</w:t>
      </w:r>
      <w:r>
        <w:rPr>
          <w:rFonts w:ascii="Arial" w:hAnsi="Arial" w:cs="Arial" w:eastAsia="Arial" w:hint="default"/>
          <w:spacing w:val="-2"/>
          <w:w w:val="99"/>
        </w:rPr>
        <w:t>31</w:t>
      </w:r>
      <w:r>
        <w:rPr>
          <w:spacing w:val="-2"/>
          <w:w w:val="99"/>
        </w:rPr>
        <w:t>日至</w:t>
      </w:r>
      <w:r>
        <w:rPr>
          <w:rFonts w:ascii="Arial" w:hAnsi="Arial" w:cs="Arial" w:eastAsia="Arial" w:hint="default"/>
          <w:spacing w:val="-2"/>
          <w:w w:val="99"/>
        </w:rPr>
        <w:t>2009</w:t>
      </w:r>
      <w:r>
        <w:rPr>
          <w:spacing w:val="-2"/>
          <w:w w:val="99"/>
        </w:rPr>
        <w:t>年</w:t>
      </w:r>
      <w:r>
        <w:rPr>
          <w:rFonts w:ascii="Arial" w:hAnsi="Arial" w:cs="Arial" w:eastAsia="Arial" w:hint="default"/>
          <w:spacing w:val="-2"/>
          <w:w w:val="99"/>
        </w:rPr>
        <w:t>12</w:t>
      </w:r>
      <w:r>
        <w:rPr>
          <w:spacing w:val="-2"/>
          <w:w w:val="99"/>
        </w:rPr>
        <w:t>月</w:t>
      </w:r>
      <w:r>
        <w:rPr>
          <w:rFonts w:ascii="Arial" w:hAnsi="Arial" w:cs="Arial" w:eastAsia="Arial" w:hint="default"/>
          <w:spacing w:val="-2"/>
          <w:w w:val="99"/>
        </w:rPr>
        <w:t>31</w:t>
      </w:r>
      <w:r>
        <w:rPr>
          <w:spacing w:val="-2"/>
          <w:w w:val="99"/>
        </w:rPr>
        <w:t>日止期间支付予</w:t>
      </w:r>
      <w:r>
        <w:rPr>
          <w:spacing w:val="-104"/>
          <w:w w:val="99"/>
        </w:rPr>
        <w:t> </w:t>
      </w:r>
      <w:r>
        <w:rPr>
          <w:spacing w:val="-104"/>
          <w:w w:val="99"/>
        </w:rPr>
      </w:r>
      <w:r>
        <w:rPr/>
        <w:t>联通新时空的南方固定电信网络租赁费约人民币</w:t>
      </w:r>
      <w:r>
        <w:rPr>
          <w:rFonts w:ascii="Arial" w:hAnsi="Arial" w:cs="Arial" w:eastAsia="Arial" w:hint="default"/>
        </w:rPr>
        <w:t>20</w:t>
      </w:r>
      <w:r>
        <w:rPr/>
        <w:t>亿元，但是仍不包含收购完成日前，即从</w:t>
      </w:r>
      <w:r>
        <w:rPr>
          <w:w w:val="99"/>
        </w:rPr>
        <w:t> </w:t>
      </w:r>
      <w:r>
        <w:rPr>
          <w:rFonts w:ascii="Arial" w:hAnsi="Arial" w:cs="Arial" w:eastAsia="Arial" w:hint="default"/>
        </w:rPr>
        <w:t>2009</w:t>
      </w:r>
      <w:r>
        <w:rPr/>
        <w:t>年</w:t>
      </w:r>
      <w:r>
        <w:rPr>
          <w:rFonts w:ascii="Arial" w:hAnsi="Arial" w:cs="Arial" w:eastAsia="Arial" w:hint="default"/>
        </w:rPr>
        <w:t>1</w:t>
      </w:r>
      <w:r>
        <w:rPr/>
        <w:t>月</w:t>
      </w:r>
      <w:r>
        <w:rPr>
          <w:rFonts w:ascii="Arial" w:hAnsi="Arial" w:cs="Arial" w:eastAsia="Arial" w:hint="default"/>
        </w:rPr>
        <w:t>1</w:t>
      </w:r>
      <w:r>
        <w:rPr/>
        <w:t>日起至</w:t>
      </w:r>
      <w:r>
        <w:rPr>
          <w:rFonts w:ascii="Arial" w:hAnsi="Arial" w:cs="Arial" w:eastAsia="Arial" w:hint="default"/>
        </w:rPr>
        <w:t>2009</w:t>
      </w:r>
      <w:r>
        <w:rPr/>
        <w:t>年</w:t>
      </w:r>
      <w:r>
        <w:rPr>
          <w:rFonts w:ascii="Arial" w:hAnsi="Arial" w:cs="Arial" w:eastAsia="Arial" w:hint="default"/>
        </w:rPr>
        <w:t>1</w:t>
      </w:r>
      <w:r>
        <w:rPr/>
        <w:t>月</w:t>
      </w:r>
      <w:r>
        <w:rPr>
          <w:rFonts w:ascii="Arial" w:hAnsi="Arial" w:cs="Arial" w:eastAsia="Arial" w:hint="default"/>
        </w:rPr>
        <w:t>31</w:t>
      </w:r>
      <w:r>
        <w:rPr/>
        <w:t>日止</w:t>
      </w:r>
      <w:r>
        <w:rPr>
          <w:rFonts w:ascii="Arial" w:hAnsi="Arial" w:cs="Arial" w:eastAsia="Arial" w:hint="default"/>
        </w:rPr>
        <w:t>1</w:t>
      </w:r>
      <w:r>
        <w:rPr/>
        <w:t>个月期间的由联通新时空持有的南方固网业务的固定</w:t>
      </w:r>
      <w:r>
        <w:rPr>
          <w:spacing w:val="-57"/>
        </w:rPr>
        <w:t> </w:t>
      </w:r>
      <w:r>
        <w:rPr>
          <w:spacing w:val="-57"/>
        </w:rPr>
      </w:r>
      <w:r>
        <w:rPr/>
        <w:t>电信网络资产的折旧及摊销费用约人民币</w:t>
      </w:r>
      <w:r>
        <w:rPr>
          <w:rFonts w:ascii="Arial" w:hAnsi="Arial" w:cs="Arial" w:eastAsia="Arial" w:hint="default"/>
        </w:rPr>
        <w:t>3.08</w:t>
      </w:r>
      <w:r>
        <w:rPr/>
        <w:t>亿元和因建造电信网络而借入的长期关联公司</w:t>
      </w:r>
      <w:r>
        <w:rPr>
          <w:spacing w:val="-87"/>
        </w:rPr>
        <w:t> </w:t>
      </w:r>
      <w:r>
        <w:rPr>
          <w:spacing w:val="-87"/>
        </w:rPr>
      </w:r>
      <w:r>
        <w:rPr/>
        <w:t>借款产生的财务费用未被资本化的部分约人民币</w:t>
      </w:r>
      <w:r>
        <w:rPr>
          <w:rFonts w:ascii="Arial" w:hAnsi="Arial" w:cs="Arial" w:eastAsia="Arial" w:hint="default"/>
        </w:rPr>
        <w:t>0.26</w:t>
      </w:r>
      <w:r>
        <w:rPr/>
        <w:t>亿元。</w:t>
      </w:r>
    </w:p>
    <w:p>
      <w:pPr>
        <w:pStyle w:val="BodyText"/>
        <w:tabs>
          <w:tab w:pos="615" w:val="left" w:leader="none"/>
        </w:tabs>
        <w:spacing w:line="240" w:lineRule="auto" w:before="164"/>
        <w:ind w:left="153" w:right="99"/>
        <w:jc w:val="left"/>
      </w:pPr>
      <w:r>
        <w:rPr>
          <w:rFonts w:ascii="Arial" w:hAnsi="Arial" w:cs="Arial" w:eastAsia="Arial" w:hint="default"/>
          <w:w w:val="95"/>
        </w:rPr>
        <w:t>(c)</w:t>
        <w:tab/>
      </w:r>
      <w:r>
        <w:rPr/>
        <w:t>南方固定电信网络租赁</w:t>
      </w:r>
    </w:p>
    <w:p>
      <w:pPr>
        <w:pStyle w:val="BodyText"/>
        <w:spacing w:line="230" w:lineRule="auto" w:before="172"/>
        <w:ind w:left="627" w:right="118"/>
        <w:jc w:val="left"/>
      </w:pPr>
      <w:r>
        <w:rPr>
          <w:spacing w:val="-3"/>
        </w:rPr>
        <w:t>如附注一（</w:t>
      </w:r>
      <w:r>
        <w:rPr>
          <w:rFonts w:ascii="Arial" w:hAnsi="Arial" w:cs="Arial" w:eastAsia="Arial" w:hint="default"/>
          <w:spacing w:val="-3"/>
        </w:rPr>
        <w:t>6</w:t>
      </w:r>
      <w:r>
        <w:rPr>
          <w:spacing w:val="-3"/>
        </w:rPr>
        <w:t>）所述，收购目标业务和资产完成后，联通运营公司独家向联通新时空租赁其拥</w:t>
      </w:r>
      <w:r>
        <w:rPr>
          <w:spacing w:val="-89"/>
        </w:rPr>
        <w:t> </w:t>
      </w:r>
      <w:r>
        <w:rPr>
          <w:spacing w:val="-89"/>
        </w:rPr>
      </w:r>
      <w:r>
        <w:rPr/>
        <w:t>有的南方固定电信网络以经营固网业务。租赁期自</w:t>
      </w:r>
      <w:r>
        <w:rPr>
          <w:rFonts w:ascii="Arial" w:hAnsi="Arial" w:cs="Arial" w:eastAsia="Arial" w:hint="default"/>
        </w:rPr>
        <w:t>2009</w:t>
      </w:r>
      <w:r>
        <w:rPr/>
        <w:t>年</w:t>
      </w:r>
      <w:r>
        <w:rPr>
          <w:rFonts w:ascii="Arial" w:hAnsi="Arial" w:cs="Arial" w:eastAsia="Arial" w:hint="default"/>
        </w:rPr>
        <w:t>1</w:t>
      </w:r>
      <w:r>
        <w:rPr/>
        <w:t>月</w:t>
      </w:r>
      <w:r>
        <w:rPr>
          <w:rFonts w:ascii="Arial" w:hAnsi="Arial" w:cs="Arial" w:eastAsia="Arial" w:hint="default"/>
        </w:rPr>
        <w:t>31</w:t>
      </w:r>
      <w:r>
        <w:rPr/>
        <w:t>日开始，初始租赁期为</w:t>
      </w:r>
      <w:r>
        <w:rPr>
          <w:rFonts w:ascii="Arial" w:hAnsi="Arial" w:cs="Arial" w:eastAsia="Arial" w:hint="default"/>
        </w:rPr>
        <w:t>2</w:t>
      </w:r>
      <w:r>
        <w:rPr/>
        <w:t>年，</w:t>
      </w:r>
      <w:r>
        <w:rPr>
          <w:spacing w:val="-2"/>
          <w:w w:val="99"/>
        </w:rPr>
        <w:t> </w:t>
      </w:r>
      <w:r>
        <w:rPr>
          <w:rFonts w:ascii="Arial" w:hAnsi="Arial" w:cs="Arial" w:eastAsia="Arial" w:hint="default"/>
        </w:rPr>
        <w:t>2009</w:t>
      </w:r>
      <w:r>
        <w:rPr/>
        <w:t>年和</w:t>
      </w:r>
      <w:r>
        <w:rPr>
          <w:rFonts w:ascii="Arial" w:hAnsi="Arial" w:cs="Arial" w:eastAsia="Arial" w:hint="default"/>
        </w:rPr>
        <w:t>2010</w:t>
      </w:r>
      <w:r>
        <w:rPr/>
        <w:t>年的年度租赁费分别为人民币</w:t>
      </w:r>
      <w:r>
        <w:rPr>
          <w:rFonts w:ascii="Arial" w:hAnsi="Arial" w:cs="Arial" w:eastAsia="Arial" w:hint="default"/>
        </w:rPr>
        <w:t>20</w:t>
      </w:r>
      <w:r>
        <w:rPr/>
        <w:t>亿元和人民币</w:t>
      </w:r>
      <w:r>
        <w:rPr>
          <w:rFonts w:ascii="Arial" w:hAnsi="Arial" w:cs="Arial" w:eastAsia="Arial" w:hint="default"/>
        </w:rPr>
        <w:t>22</w:t>
      </w:r>
      <w:r>
        <w:rPr/>
        <w:t>亿元。联通运营公司有权在</w:t>
      </w:r>
      <w:r>
        <w:rPr>
          <w:spacing w:val="-37"/>
        </w:rPr>
        <w:t> </w:t>
      </w:r>
      <w:r>
        <w:rPr>
          <w:spacing w:val="-37"/>
        </w:rPr>
      </w:r>
      <w:r>
        <w:rPr/>
        <w:t>租赁期届满前通知联通新时空是否按网络租赁协议的条款继续租赁南方固定电信网络，同时</w:t>
      </w:r>
      <w:r>
        <w:rPr>
          <w:spacing w:val="-101"/>
        </w:rPr>
        <w:t> </w:t>
      </w:r>
      <w:r>
        <w:rPr>
          <w:spacing w:val="-101"/>
        </w:rPr>
      </w:r>
      <w:r>
        <w:rPr/>
        <w:t>联通运营公司亦有权购买该等固网电信网络资产，购买价将以独立评估师的评估结果为基础</w:t>
      </w:r>
      <w:r>
        <w:rPr>
          <w:spacing w:val="-101"/>
        </w:rPr>
        <w:t> </w:t>
      </w:r>
      <w:r>
        <w:rPr>
          <w:spacing w:val="-101"/>
        </w:rPr>
      </w:r>
      <w:r>
        <w:rPr/>
        <w:t>由联通新时空和联通运营公司协商确定。</w:t>
      </w:r>
    </w:p>
    <w:p>
      <w:pPr>
        <w:pStyle w:val="BodyText"/>
        <w:spacing w:line="235" w:lineRule="auto" w:before="182"/>
        <w:ind w:left="627" w:right="79"/>
        <w:jc w:val="left"/>
      </w:pPr>
      <w:r>
        <w:rPr/>
        <w:t>联通新时空对南方固定电信网络拥有法律上的所有权。此外，在签订网络租赁协议时，市场</w:t>
      </w:r>
      <w:r>
        <w:rPr>
          <w:spacing w:val="-101"/>
        </w:rPr>
        <w:t> </w:t>
      </w:r>
      <w:r>
        <w:rPr>
          <w:spacing w:val="-101"/>
        </w:rPr>
      </w:r>
      <w:r>
        <w:rPr/>
        <w:t>环境或南方固网业务的经营成果均存在重大的不确定性，故本集团在初始租赁期</w:t>
      </w:r>
      <w:r>
        <w:rPr>
          <w:rFonts w:ascii="Arial" w:hAnsi="Arial" w:cs="Arial" w:eastAsia="Arial" w:hint="default"/>
        </w:rPr>
        <w:t>2</w:t>
      </w:r>
      <w:r>
        <w:rPr/>
        <w:t>年结束后，</w:t>
      </w:r>
      <w:r>
        <w:rPr>
          <w:w w:val="99"/>
        </w:rPr>
        <w:t> </w:t>
      </w:r>
      <w:r>
        <w:rPr/>
        <w:t>是否续租或行使购买选择权存在重大的不确定性。因此，本集团认为本集团仅承担于租赁期</w:t>
      </w:r>
      <w:r>
        <w:rPr>
          <w:spacing w:val="-101"/>
        </w:rPr>
        <w:t> </w:t>
      </w:r>
      <w:r>
        <w:rPr>
          <w:spacing w:val="-101"/>
        </w:rPr>
      </w:r>
      <w:r>
        <w:rPr>
          <w:spacing w:val="-2"/>
        </w:rPr>
        <w:t>间因经营南方固网业务所带来的经营风险，而没有任何拥有南方固定电信网络的所有权风险，</w:t>
      </w:r>
      <w:r>
        <w:rPr>
          <w:w w:val="99"/>
        </w:rPr>
        <w:t> </w:t>
      </w:r>
      <w:r>
        <w:rPr/>
        <w:t>而联通新时空及联通集团承担与南方固定电信网络相关的所有权风险。所以本集团判断上述</w:t>
      </w:r>
      <w:r>
        <w:rPr>
          <w:spacing w:val="-101"/>
        </w:rPr>
        <w:t> </w:t>
      </w:r>
      <w:r>
        <w:rPr>
          <w:spacing w:val="-101"/>
        </w:rPr>
      </w:r>
      <w:r>
        <w:rPr/>
        <w:t>南方固定电信网络租赁为经营性租赁，因此南方固定电信网络租赁费被记录在利润表中，而</w:t>
      </w:r>
      <w:r>
        <w:rPr>
          <w:spacing w:val="-101"/>
        </w:rPr>
        <w:t> </w:t>
      </w:r>
      <w:r>
        <w:rPr>
          <w:spacing w:val="-101"/>
        </w:rPr>
      </w:r>
      <w:r>
        <w:rPr/>
        <w:t>南方固定电信网络资产的账面价值及相关的负债并未包括在本集团的合并资产负债表中。</w:t>
      </w:r>
    </w:p>
    <w:p>
      <w:pPr>
        <w:spacing w:after="0" w:line="235" w:lineRule="auto"/>
        <w:jc w:val="left"/>
        <w:sectPr>
          <w:headerReference w:type="default" r:id="rId57"/>
          <w:pgSz w:w="11910" w:h="16840"/>
          <w:pgMar w:header="967" w:footer="600" w:top="3380" w:bottom="780" w:left="1420" w:right="820"/>
        </w:sectPr>
      </w:pPr>
    </w:p>
    <w:p>
      <w:pPr>
        <w:spacing w:line="240" w:lineRule="auto" w:before="0"/>
        <w:rPr>
          <w:rFonts w:ascii="宋体" w:hAnsi="宋体" w:cs="宋体" w:eastAsia="宋体" w:hint="default"/>
          <w:sz w:val="15"/>
          <w:szCs w:val="15"/>
        </w:rPr>
      </w:pPr>
    </w:p>
    <w:p>
      <w:pPr>
        <w:pStyle w:val="BodyText"/>
        <w:tabs>
          <w:tab w:pos="614" w:val="left" w:leader="none"/>
        </w:tabs>
        <w:spacing w:line="424" w:lineRule="auto" w:before="31"/>
        <w:ind w:left="138" w:right="7627"/>
        <w:jc w:val="left"/>
      </w:pPr>
      <w:r>
        <w:rPr>
          <w:rFonts w:ascii="Arial" w:hAnsi="Arial" w:cs="Arial" w:eastAsia="Arial" w:hint="default"/>
        </w:rPr>
        <w:t>34</w:t>
      </w:r>
      <w:r>
        <w:rPr/>
        <w:t>、金融风险管理</w:t>
      </w:r>
      <w:r>
        <w:rPr>
          <w:w w:val="99"/>
        </w:rPr>
        <w:t> </w:t>
      </w:r>
      <w:r>
        <w:rPr>
          <w:rFonts w:ascii="Arial" w:hAnsi="Arial" w:cs="Arial" w:eastAsia="Arial" w:hint="default"/>
          <w:w w:val="95"/>
        </w:rPr>
        <w:t>(1)</w:t>
        <w:tab/>
      </w:r>
      <w:r>
        <w:rPr/>
        <w:t>金融风险因素</w:t>
      </w:r>
    </w:p>
    <w:p>
      <w:pPr>
        <w:pStyle w:val="BodyText"/>
        <w:spacing w:line="237" w:lineRule="auto" w:before="48"/>
        <w:ind w:left="627" w:right="112"/>
        <w:jc w:val="both"/>
      </w:pPr>
      <w:r>
        <w:rPr/>
        <w:t>本集团的经营活动会涉及各种财务风险包括：市场风险（包括外汇风险、价格风险、现金流</w:t>
      </w:r>
      <w:r>
        <w:rPr>
          <w:spacing w:val="-101"/>
        </w:rPr>
        <w:t> </w:t>
      </w:r>
      <w:r>
        <w:rPr>
          <w:spacing w:val="-101"/>
        </w:rPr>
      </w:r>
      <w:r>
        <w:rPr/>
        <w:t>量利率风险及公允价值利率风险），信用风险和流动性风险。本集团整体风险管理计划是针</w:t>
      </w:r>
      <w:r>
        <w:rPr>
          <w:spacing w:val="-101"/>
        </w:rPr>
        <w:t> </w:t>
      </w:r>
      <w:r>
        <w:rPr>
          <w:spacing w:val="-101"/>
        </w:rPr>
      </w:r>
      <w:r>
        <w:rPr/>
        <w:t>对金融市场的不可预见性，尽可能减少对本集团财务状况的潜在不利影响。</w:t>
      </w:r>
    </w:p>
    <w:p>
      <w:pPr>
        <w:spacing w:line="240" w:lineRule="auto" w:before="3"/>
        <w:rPr>
          <w:rFonts w:ascii="宋体" w:hAnsi="宋体" w:cs="宋体" w:eastAsia="宋体" w:hint="default"/>
          <w:sz w:val="19"/>
          <w:szCs w:val="19"/>
        </w:rPr>
      </w:pPr>
    </w:p>
    <w:p>
      <w:pPr>
        <w:pStyle w:val="BodyText"/>
        <w:tabs>
          <w:tab w:pos="614" w:val="left" w:leader="none"/>
        </w:tabs>
        <w:spacing w:line="240" w:lineRule="auto"/>
        <w:ind w:left="138" w:right="702"/>
        <w:jc w:val="left"/>
      </w:pPr>
      <w:r>
        <w:rPr>
          <w:rFonts w:ascii="Arial" w:hAnsi="Arial" w:cs="Arial" w:eastAsia="Arial" w:hint="default"/>
          <w:w w:val="95"/>
        </w:rPr>
        <w:t>(a)</w:t>
        <w:tab/>
      </w:r>
      <w:r>
        <w:rPr/>
        <w:t>市场风险</w:t>
      </w:r>
    </w:p>
    <w:p>
      <w:pPr>
        <w:spacing w:line="240" w:lineRule="auto" w:before="12"/>
        <w:rPr>
          <w:rFonts w:ascii="宋体" w:hAnsi="宋体" w:cs="宋体" w:eastAsia="宋体" w:hint="default"/>
          <w:sz w:val="17"/>
          <w:szCs w:val="17"/>
        </w:rPr>
      </w:pPr>
    </w:p>
    <w:p>
      <w:pPr>
        <w:pStyle w:val="BodyText"/>
        <w:tabs>
          <w:tab w:pos="614" w:val="left" w:leader="none"/>
        </w:tabs>
        <w:spacing w:line="240" w:lineRule="auto"/>
        <w:ind w:left="138" w:right="702"/>
        <w:jc w:val="left"/>
      </w:pPr>
      <w:r>
        <w:rPr>
          <w:rFonts w:ascii="Arial" w:hAnsi="Arial" w:cs="Arial" w:eastAsia="Arial" w:hint="default"/>
          <w:w w:val="95"/>
        </w:rPr>
        <w:t>(i)</w:t>
        <w:tab/>
      </w:r>
      <w:r>
        <w:rPr/>
        <w:t>外汇风险</w:t>
      </w:r>
    </w:p>
    <w:p>
      <w:pPr>
        <w:spacing w:line="240" w:lineRule="auto" w:before="2"/>
        <w:rPr>
          <w:rFonts w:ascii="宋体" w:hAnsi="宋体" w:cs="宋体" w:eastAsia="宋体" w:hint="default"/>
          <w:sz w:val="18"/>
          <w:szCs w:val="18"/>
        </w:rPr>
      </w:pPr>
    </w:p>
    <w:p>
      <w:pPr>
        <w:pStyle w:val="BodyText"/>
        <w:spacing w:line="237" w:lineRule="auto"/>
        <w:ind w:left="627" w:right="112"/>
        <w:jc w:val="both"/>
      </w:pPr>
      <w:r>
        <w:rPr/>
        <w:t>本集团的主要经营位于中国境内，主要业务也以人民币结算。但本集团承受因多种不同货币</w:t>
      </w:r>
      <w:r>
        <w:rPr>
          <w:spacing w:val="-101"/>
        </w:rPr>
        <w:t> </w:t>
      </w:r>
      <w:r>
        <w:rPr>
          <w:spacing w:val="-101"/>
        </w:rPr>
      </w:r>
      <w:r>
        <w:rPr/>
        <w:t>产生的外汇风险，主要涉及美元、港币和欧元，如当偿还外币贷款，以外币支付款项予设备</w:t>
      </w:r>
      <w:r>
        <w:rPr>
          <w:spacing w:val="-101"/>
        </w:rPr>
        <w:t> </w:t>
      </w:r>
      <w:r>
        <w:rPr>
          <w:spacing w:val="-101"/>
        </w:rPr>
      </w:r>
      <w:r>
        <w:rPr/>
        <w:t>供货商和承办商或偿还外币借款等情况下，即存在外汇风险。</w:t>
      </w:r>
    </w:p>
    <w:p>
      <w:pPr>
        <w:spacing w:line="240" w:lineRule="auto" w:before="5"/>
        <w:rPr>
          <w:rFonts w:ascii="宋体" w:hAnsi="宋体" w:cs="宋体" w:eastAsia="宋体" w:hint="default"/>
          <w:sz w:val="21"/>
          <w:szCs w:val="21"/>
        </w:rPr>
      </w:pPr>
    </w:p>
    <w:p>
      <w:pPr>
        <w:pStyle w:val="BodyText"/>
        <w:spacing w:line="286" w:lineRule="exact"/>
        <w:ind w:left="627" w:right="107"/>
        <w:jc w:val="both"/>
      </w:pPr>
      <w:r>
        <w:rPr/>
        <w:t>集团总部财务部门负责监管集团外币资产及负债金额。本集团可能签署远期外汇合约或货币</w:t>
      </w:r>
      <w:r>
        <w:rPr>
          <w:spacing w:val="-101"/>
        </w:rPr>
        <w:t> </w:t>
      </w:r>
      <w:r>
        <w:rPr>
          <w:spacing w:val="-101"/>
        </w:rPr>
      </w:r>
      <w:r>
        <w:rPr/>
        <w:t>掉期合约以规避外汇风险。在本年度，本集团未签署任何远期外汇合约或货币掉期合约。</w:t>
      </w:r>
    </w:p>
    <w:p>
      <w:pPr>
        <w:spacing w:line="240" w:lineRule="auto" w:before="3"/>
        <w:rPr>
          <w:rFonts w:ascii="宋体" w:hAnsi="宋体" w:cs="宋体" w:eastAsia="宋体" w:hint="default"/>
          <w:sz w:val="19"/>
          <w:szCs w:val="19"/>
        </w:rPr>
      </w:pPr>
    </w:p>
    <w:p>
      <w:pPr>
        <w:pStyle w:val="BodyText"/>
        <w:spacing w:line="286" w:lineRule="exact"/>
        <w:ind w:left="627" w:right="107"/>
        <w:jc w:val="both"/>
      </w:pPr>
      <w:r>
        <w:rPr>
          <w:spacing w:val="3"/>
        </w:rPr>
        <w:t>于</w:t>
      </w:r>
      <w:r>
        <w:rPr>
          <w:rFonts w:ascii="Arial" w:hAnsi="Arial" w:cs="Arial" w:eastAsia="Arial" w:hint="default"/>
          <w:spacing w:val="3"/>
        </w:rPr>
        <w:t>2009</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日及</w:t>
      </w:r>
      <w:r>
        <w:rPr>
          <w:rFonts w:ascii="Arial" w:hAnsi="Arial" w:cs="Arial" w:eastAsia="Arial" w:hint="default"/>
          <w:spacing w:val="3"/>
        </w:rPr>
        <w:t>2008</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日，本集团分别有等值约人民币</w:t>
      </w:r>
      <w:r>
        <w:rPr>
          <w:rFonts w:ascii="Arial" w:hAnsi="Arial" w:cs="Arial" w:eastAsia="Arial" w:hint="default"/>
          <w:spacing w:val="3"/>
        </w:rPr>
        <w:t>93.34</w:t>
      </w:r>
      <w:r>
        <w:rPr>
          <w:spacing w:val="3"/>
        </w:rPr>
        <w:t>亿元和约人民币</w:t>
      </w:r>
      <w:r>
        <w:rPr>
          <w:spacing w:val="4"/>
          <w:w w:val="99"/>
        </w:rPr>
        <w:t> </w:t>
      </w:r>
      <w:r>
        <w:rPr>
          <w:rFonts w:ascii="Arial" w:hAnsi="Arial" w:cs="Arial" w:eastAsia="Arial" w:hint="default"/>
          <w:spacing w:val="-2"/>
        </w:rPr>
        <w:t>13.14</w:t>
      </w:r>
      <w:r>
        <w:rPr>
          <w:spacing w:val="-2"/>
        </w:rPr>
        <w:t>亿元的可供出售金融资产及外币货币资金。于</w:t>
      </w:r>
      <w:r>
        <w:rPr>
          <w:rFonts w:ascii="Arial" w:hAnsi="Arial" w:cs="Arial" w:eastAsia="Arial" w:hint="default"/>
          <w:spacing w:val="-2"/>
        </w:rPr>
        <w:t>2009</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日及</w:t>
      </w:r>
      <w:r>
        <w:rPr>
          <w:rFonts w:ascii="Arial" w:hAnsi="Arial" w:cs="Arial" w:eastAsia="Arial" w:hint="default"/>
          <w:spacing w:val="-2"/>
        </w:rPr>
        <w:t>2008</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日，本</w:t>
      </w:r>
      <w:r>
        <w:rPr>
          <w:spacing w:val="-84"/>
        </w:rPr>
        <w:t> </w:t>
      </w:r>
      <w:r>
        <w:rPr>
          <w:spacing w:val="-84"/>
        </w:rPr>
      </w:r>
      <w:r>
        <w:rPr/>
        <w:t>集团分别有等值约人民币</w:t>
      </w:r>
      <w:r>
        <w:rPr>
          <w:rFonts w:ascii="Arial" w:hAnsi="Arial" w:cs="Arial" w:eastAsia="Arial" w:hint="default"/>
        </w:rPr>
        <w:t>117.30</w:t>
      </w:r>
      <w:r>
        <w:rPr/>
        <w:t>亿元和约人民币</w:t>
      </w:r>
      <w:r>
        <w:rPr>
          <w:rFonts w:ascii="Arial" w:hAnsi="Arial" w:cs="Arial" w:eastAsia="Arial" w:hint="default"/>
        </w:rPr>
        <w:t>10.99</w:t>
      </w:r>
      <w:r>
        <w:rPr/>
        <w:t>亿元的外币借款。</w:t>
      </w:r>
    </w:p>
    <w:p>
      <w:pPr>
        <w:spacing w:line="240" w:lineRule="auto" w:before="3"/>
        <w:rPr>
          <w:rFonts w:ascii="宋体" w:hAnsi="宋体" w:cs="宋体" w:eastAsia="宋体" w:hint="default"/>
          <w:sz w:val="19"/>
          <w:szCs w:val="19"/>
        </w:rPr>
      </w:pPr>
    </w:p>
    <w:p>
      <w:pPr>
        <w:pStyle w:val="BodyText"/>
        <w:spacing w:line="286" w:lineRule="exact"/>
        <w:ind w:left="627" w:right="112"/>
        <w:jc w:val="both"/>
      </w:pPr>
      <w:r>
        <w:rPr>
          <w:spacing w:val="-2"/>
        </w:rPr>
        <w:t>于</w:t>
      </w:r>
      <w:r>
        <w:rPr>
          <w:rFonts w:ascii="Arial" w:hAnsi="Arial" w:cs="Arial" w:eastAsia="Arial" w:hint="default"/>
          <w:spacing w:val="-2"/>
        </w:rPr>
        <w:t>2009</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日，对于本集团以外币计价的货币资金及银行借款，假设人民币对外币（主</w:t>
      </w:r>
      <w:r>
        <w:rPr>
          <w:spacing w:val="-103"/>
        </w:rPr>
        <w:t> </w:t>
      </w:r>
      <w:r>
        <w:rPr>
          <w:spacing w:val="-103"/>
        </w:rPr>
      </w:r>
      <w:r>
        <w:rPr/>
        <w:t>要为对美元、港币和欧元）升值或贬值</w:t>
      </w:r>
      <w:r>
        <w:rPr>
          <w:rFonts w:ascii="Arial" w:hAnsi="Arial" w:cs="Arial" w:eastAsia="Arial" w:hint="default"/>
        </w:rPr>
        <w:t>10%</w:t>
      </w:r>
      <w:r>
        <w:rPr/>
        <w:t>，而其它因素保持不变，则本集团会额外产生汇</w:t>
      </w:r>
      <w:r>
        <w:rPr>
          <w:spacing w:val="-102"/>
        </w:rPr>
        <w:t> </w:t>
      </w:r>
      <w:r>
        <w:rPr>
          <w:spacing w:val="-102"/>
        </w:rPr>
      </w:r>
      <w:r>
        <w:rPr/>
        <w:t>兑收益或损失约人民币</w:t>
      </w:r>
      <w:r>
        <w:rPr>
          <w:rFonts w:ascii="Arial" w:hAnsi="Arial" w:cs="Arial" w:eastAsia="Arial" w:hint="default"/>
        </w:rPr>
        <w:t>10.19</w:t>
      </w:r>
      <w:r>
        <w:rPr/>
        <w:t>亿元（</w:t>
      </w:r>
      <w:r>
        <w:rPr>
          <w:rFonts w:ascii="Arial" w:hAnsi="Arial" w:cs="Arial" w:eastAsia="Arial" w:hint="default"/>
        </w:rPr>
        <w:t>2008</w:t>
      </w:r>
      <w:r>
        <w:rPr/>
        <w:t>年度：汇兑损失或收益约人民币</w:t>
      </w:r>
      <w:r>
        <w:rPr>
          <w:rFonts w:ascii="Arial" w:hAnsi="Arial" w:cs="Arial" w:eastAsia="Arial" w:hint="default"/>
        </w:rPr>
        <w:t>0.22</w:t>
      </w:r>
      <w:r>
        <w:rPr/>
        <w:t>亿元）。</w:t>
      </w:r>
    </w:p>
    <w:p>
      <w:pPr>
        <w:spacing w:line="240" w:lineRule="auto" w:before="2"/>
        <w:rPr>
          <w:rFonts w:ascii="宋体" w:hAnsi="宋体" w:cs="宋体" w:eastAsia="宋体" w:hint="default"/>
          <w:sz w:val="17"/>
          <w:szCs w:val="17"/>
        </w:rPr>
      </w:pPr>
    </w:p>
    <w:p>
      <w:pPr>
        <w:pStyle w:val="BodyText"/>
        <w:tabs>
          <w:tab w:pos="614" w:val="left" w:leader="none"/>
        </w:tabs>
        <w:spacing w:line="240" w:lineRule="auto"/>
        <w:ind w:left="138" w:right="702"/>
        <w:jc w:val="left"/>
      </w:pPr>
      <w:r>
        <w:rPr>
          <w:rFonts w:ascii="Arial" w:hAnsi="Arial" w:cs="Arial" w:eastAsia="Arial" w:hint="default"/>
          <w:w w:val="95"/>
        </w:rPr>
        <w:t>(ii)</w:t>
        <w:tab/>
      </w:r>
      <w:r>
        <w:rPr/>
        <w:t>价格风险</w:t>
      </w:r>
    </w:p>
    <w:p>
      <w:pPr>
        <w:spacing w:line="240" w:lineRule="auto" w:before="0"/>
        <w:rPr>
          <w:rFonts w:ascii="宋体" w:hAnsi="宋体" w:cs="宋体" w:eastAsia="宋体" w:hint="default"/>
          <w:sz w:val="20"/>
          <w:szCs w:val="20"/>
        </w:rPr>
      </w:pPr>
    </w:p>
    <w:p>
      <w:pPr>
        <w:pStyle w:val="BodyText"/>
        <w:spacing w:line="286" w:lineRule="exact"/>
        <w:ind w:left="657" w:right="106" w:hanging="1"/>
        <w:jc w:val="both"/>
      </w:pPr>
      <w:r>
        <w:rPr/>
        <w:t>本集团在资产负债表中被分类为可供出售金融资产的股票投资主要为西班牙电信的股票，因</w:t>
      </w:r>
      <w:r>
        <w:rPr>
          <w:w w:val="99"/>
        </w:rPr>
        <w:t> </w:t>
      </w:r>
      <w:r>
        <w:rPr/>
        <w:t>此本集团承受权益证券的市场价格风险。</w:t>
      </w:r>
    </w:p>
    <w:p>
      <w:pPr>
        <w:spacing w:line="240" w:lineRule="auto" w:before="9"/>
        <w:rPr>
          <w:rFonts w:ascii="宋体" w:hAnsi="宋体" w:cs="宋体" w:eastAsia="宋体" w:hint="default"/>
          <w:sz w:val="17"/>
          <w:szCs w:val="17"/>
        </w:rPr>
      </w:pPr>
    </w:p>
    <w:p>
      <w:pPr>
        <w:pStyle w:val="BodyText"/>
        <w:spacing w:line="232" w:lineRule="auto"/>
        <w:ind w:left="670" w:right="0" w:hanging="14"/>
        <w:jc w:val="left"/>
      </w:pPr>
      <w:r>
        <w:rPr>
          <w:spacing w:val="-3"/>
        </w:rPr>
        <w:t>于</w:t>
      </w:r>
      <w:r>
        <w:rPr>
          <w:rFonts w:ascii="Arial" w:hAnsi="Arial" w:cs="Arial" w:eastAsia="Arial" w:hint="default"/>
          <w:spacing w:val="-3"/>
        </w:rPr>
        <w:t>2009</w:t>
      </w:r>
      <w:r>
        <w:rPr>
          <w:spacing w:val="-3"/>
        </w:rPr>
        <w:t>年</w:t>
      </w:r>
      <w:r>
        <w:rPr>
          <w:rFonts w:ascii="Arial" w:hAnsi="Arial" w:cs="Arial" w:eastAsia="Arial" w:hint="default"/>
          <w:spacing w:val="-3"/>
        </w:rPr>
        <w:t>12</w:t>
      </w:r>
      <w:r>
        <w:rPr>
          <w:spacing w:val="-3"/>
        </w:rPr>
        <w:t>月</w:t>
      </w:r>
      <w:r>
        <w:rPr>
          <w:rFonts w:ascii="Arial" w:hAnsi="Arial" w:cs="Arial" w:eastAsia="Arial" w:hint="default"/>
          <w:spacing w:val="-3"/>
        </w:rPr>
        <w:t>31</w:t>
      </w:r>
      <w:r>
        <w:rPr>
          <w:spacing w:val="-3"/>
        </w:rPr>
        <w:t>日，假设西班牙电信的股票价格上升或下降</w:t>
      </w:r>
      <w:r>
        <w:rPr>
          <w:rFonts w:ascii="Arial" w:hAnsi="Arial" w:cs="Arial" w:eastAsia="Arial" w:hint="default"/>
          <w:spacing w:val="-3"/>
        </w:rPr>
        <w:t>10%</w:t>
      </w:r>
      <w:r>
        <w:rPr>
          <w:spacing w:val="-3"/>
        </w:rPr>
        <w:t>，而其它因素保持不变，则</w:t>
      </w:r>
      <w:r>
        <w:rPr>
          <w:spacing w:val="-82"/>
        </w:rPr>
        <w:t> </w:t>
      </w:r>
      <w:r>
        <w:rPr>
          <w:spacing w:val="-82"/>
        </w:rPr>
      </w:r>
      <w:r>
        <w:rPr/>
        <w:t>本集团会额外确认资本公积项下的可供出售金融资产公允价值变动收益或损失约人民币</w:t>
      </w:r>
      <w:r>
        <w:rPr>
          <w:w w:val="99"/>
        </w:rPr>
        <w:t> </w:t>
      </w:r>
      <w:r>
        <w:rPr>
          <w:rFonts w:ascii="Arial" w:hAnsi="Arial" w:cs="Arial" w:eastAsia="Arial" w:hint="default"/>
        </w:rPr>
        <w:t>7.79</w:t>
      </w:r>
      <w:r>
        <w:rPr/>
        <w:t>亿元。</w:t>
      </w:r>
    </w:p>
    <w:p>
      <w:pPr>
        <w:spacing w:after="0" w:line="232" w:lineRule="auto"/>
        <w:jc w:val="left"/>
        <w:sectPr>
          <w:headerReference w:type="default" r:id="rId58"/>
          <w:pgSz w:w="11910" w:h="16840"/>
          <w:pgMar w:header="967" w:footer="600" w:top="2860" w:bottom="780" w:left="1420" w:right="920"/>
        </w:sectPr>
      </w:pPr>
    </w:p>
    <w:p>
      <w:pPr>
        <w:spacing w:line="240" w:lineRule="auto" w:before="3"/>
        <w:rPr>
          <w:rFonts w:ascii="宋体" w:hAnsi="宋体" w:cs="宋体" w:eastAsia="宋体" w:hint="default"/>
          <w:sz w:val="11"/>
          <w:szCs w:val="11"/>
        </w:rPr>
      </w:pPr>
    </w:p>
    <w:p>
      <w:pPr>
        <w:pStyle w:val="BodyText"/>
        <w:tabs>
          <w:tab w:pos="614" w:val="left" w:leader="none"/>
        </w:tabs>
        <w:spacing w:line="240" w:lineRule="auto" w:before="31"/>
        <w:ind w:left="138" w:right="99"/>
        <w:jc w:val="left"/>
      </w:pPr>
      <w:r>
        <w:rPr>
          <w:rFonts w:ascii="Arial" w:hAnsi="Arial" w:cs="Arial" w:eastAsia="Arial" w:hint="default"/>
          <w:w w:val="95"/>
        </w:rPr>
        <w:t>(a)</w:t>
        <w:tab/>
      </w:r>
      <w:r>
        <w:rPr/>
        <w:t>市场风险（续）</w:t>
      </w:r>
    </w:p>
    <w:p>
      <w:pPr>
        <w:pStyle w:val="BodyText"/>
        <w:spacing w:line="240" w:lineRule="auto" w:before="182"/>
        <w:ind w:left="138" w:right="99"/>
        <w:jc w:val="left"/>
      </w:pPr>
      <w:r>
        <w:rPr>
          <w:rFonts w:ascii="Arial" w:hAnsi="Arial" w:cs="Arial" w:eastAsia="Arial" w:hint="default"/>
        </w:rPr>
        <w:t>(iii) </w:t>
      </w:r>
      <w:r>
        <w:rPr>
          <w:rFonts w:ascii="Arial" w:hAnsi="Arial" w:cs="Arial" w:eastAsia="Arial" w:hint="default"/>
          <w:spacing w:val="58"/>
        </w:rPr>
        <w:t> </w:t>
      </w:r>
      <w:r>
        <w:rPr/>
        <w:t>现金流量利率和公允价值利率风险</w:t>
      </w:r>
    </w:p>
    <w:p>
      <w:pPr>
        <w:spacing w:line="240" w:lineRule="auto" w:before="0"/>
        <w:rPr>
          <w:rFonts w:ascii="宋体" w:hAnsi="宋体" w:cs="宋体" w:eastAsia="宋体" w:hint="default"/>
          <w:sz w:val="16"/>
          <w:szCs w:val="16"/>
        </w:rPr>
      </w:pPr>
    </w:p>
    <w:p>
      <w:pPr>
        <w:pStyle w:val="BodyText"/>
        <w:spacing w:line="286" w:lineRule="exact"/>
        <w:ind w:left="627" w:right="212"/>
        <w:jc w:val="both"/>
      </w:pPr>
      <w:r>
        <w:rPr/>
        <w:t>本集团的带息资产主要为银行存款。由于主要的银行存款皆为短期性质并且所涉及的利息金</w:t>
      </w:r>
      <w:r>
        <w:rPr>
          <w:spacing w:val="-101"/>
        </w:rPr>
        <w:t> </w:t>
      </w:r>
      <w:r>
        <w:rPr>
          <w:spacing w:val="-101"/>
        </w:rPr>
      </w:r>
      <w:r>
        <w:rPr/>
        <w:t>额并不重大，管理层认为市场存款利率的波动并不会对财务报表造成重大的影响。</w:t>
      </w:r>
    </w:p>
    <w:p>
      <w:pPr>
        <w:spacing w:line="240" w:lineRule="auto" w:before="10"/>
        <w:rPr>
          <w:rFonts w:ascii="宋体" w:hAnsi="宋体" w:cs="宋体" w:eastAsia="宋体" w:hint="default"/>
          <w:sz w:val="15"/>
          <w:szCs w:val="15"/>
        </w:rPr>
      </w:pPr>
    </w:p>
    <w:p>
      <w:pPr>
        <w:pStyle w:val="BodyText"/>
        <w:spacing w:line="286" w:lineRule="exact"/>
        <w:ind w:left="627" w:right="95"/>
        <w:jc w:val="left"/>
      </w:pPr>
      <w:r>
        <w:rPr/>
        <w:t>本集团的利率风险产生于带息债务，包括银行借款、长短期债券及关联方借款等计息借款。</w:t>
      </w:r>
      <w:r>
        <w:rPr>
          <w:spacing w:val="-101"/>
        </w:rPr>
        <w:t> </w:t>
      </w:r>
      <w:r>
        <w:rPr>
          <w:spacing w:val="-101"/>
        </w:rPr>
      </w:r>
      <w:r>
        <w:rPr/>
        <w:t>浮动利率计息的借款导致本集团产生现金流量利率风险，而固定利率计息的借款导致本集团</w:t>
      </w:r>
      <w:r>
        <w:rPr>
          <w:spacing w:val="-101"/>
        </w:rPr>
        <w:t> </w:t>
      </w:r>
      <w:r>
        <w:rPr>
          <w:spacing w:val="-101"/>
        </w:rPr>
      </w:r>
      <w:r>
        <w:rPr>
          <w:spacing w:val="-2"/>
          <w:w w:val="99"/>
        </w:rPr>
        <w:t>产生公允价值利率风险。本集团根据当时的市场环境来决定固定利率或浮动利率借款的数量。</w:t>
      </w:r>
      <w:r>
        <w:rPr>
          <w:spacing w:val="-102"/>
          <w:w w:val="99"/>
        </w:rPr>
        <w:t> </w:t>
      </w:r>
      <w:r>
        <w:rPr>
          <w:spacing w:val="-102"/>
          <w:w w:val="99"/>
        </w:rPr>
      </w:r>
      <w:r>
        <w:rPr/>
        <w:t>于</w:t>
      </w:r>
      <w:r>
        <w:rPr>
          <w:rFonts w:ascii="Arial" w:hAnsi="Arial" w:cs="Arial" w:eastAsia="Arial" w:hint="default"/>
        </w:rPr>
        <w:t>2009</w:t>
      </w:r>
      <w:r>
        <w:rPr/>
        <w:t>年度及</w:t>
      </w:r>
      <w:r>
        <w:rPr>
          <w:rFonts w:ascii="Arial" w:hAnsi="Arial" w:cs="Arial" w:eastAsia="Arial" w:hint="default"/>
        </w:rPr>
        <w:t>2008</w:t>
      </w:r>
      <w:r>
        <w:rPr/>
        <w:t>年度，本集团借款主要以固定利率及人民币计价。</w:t>
      </w:r>
    </w:p>
    <w:p>
      <w:pPr>
        <w:pStyle w:val="BodyText"/>
        <w:spacing w:line="237" w:lineRule="auto" w:before="180"/>
        <w:ind w:left="627" w:right="212"/>
        <w:jc w:val="both"/>
      </w:pPr>
      <w:r>
        <w:rPr/>
        <w:t>如果利率上升会增加新增借款的成本以及本集团尚未付清的以浮动利率计息的借款的利息支</w:t>
      </w:r>
      <w:r>
        <w:rPr>
          <w:spacing w:val="-101"/>
        </w:rPr>
        <w:t> </w:t>
      </w:r>
      <w:r>
        <w:rPr>
          <w:spacing w:val="-101"/>
        </w:rPr>
      </w:r>
      <w:r>
        <w:rPr/>
        <w:t>出，并对本集团的财务状况产生重大的不利影响。管理层持续监控集团利率水平并依据最新</w:t>
      </w:r>
      <w:r>
        <w:rPr>
          <w:spacing w:val="-101"/>
        </w:rPr>
        <w:t> </w:t>
      </w:r>
      <w:r>
        <w:rPr>
          <w:spacing w:val="-101"/>
        </w:rPr>
      </w:r>
      <w:r>
        <w:rPr/>
        <w:t>的市场状况及时做出调整。本集团可能采用利率掉期安排以降低由浮动利率计息的借款而产</w:t>
      </w:r>
      <w:r>
        <w:rPr>
          <w:spacing w:val="-101"/>
        </w:rPr>
        <w:t> </w:t>
      </w:r>
      <w:r>
        <w:rPr>
          <w:spacing w:val="-101"/>
        </w:rPr>
      </w:r>
      <w:r>
        <w:rPr/>
        <w:t>生的利率风险，但本集团认为在</w:t>
      </w:r>
      <w:r>
        <w:rPr>
          <w:rFonts w:ascii="Arial" w:hAnsi="Arial" w:cs="Arial" w:eastAsia="Arial" w:hint="default"/>
        </w:rPr>
        <w:t>2009</w:t>
      </w:r>
      <w:r>
        <w:rPr/>
        <w:t>年度及</w:t>
      </w:r>
      <w:r>
        <w:rPr>
          <w:rFonts w:ascii="Arial" w:hAnsi="Arial" w:cs="Arial" w:eastAsia="Arial" w:hint="default"/>
        </w:rPr>
        <w:t>2008</w:t>
      </w:r>
      <w:r>
        <w:rPr/>
        <w:t>年度并无该等安排的需要。</w:t>
      </w:r>
    </w:p>
    <w:p>
      <w:pPr>
        <w:spacing w:line="240" w:lineRule="auto" w:before="1"/>
        <w:rPr>
          <w:rFonts w:ascii="宋体" w:hAnsi="宋体" w:cs="宋体" w:eastAsia="宋体" w:hint="default"/>
          <w:sz w:val="16"/>
          <w:szCs w:val="16"/>
        </w:rPr>
      </w:pPr>
    </w:p>
    <w:p>
      <w:pPr>
        <w:pStyle w:val="BodyText"/>
        <w:spacing w:line="286" w:lineRule="exact"/>
        <w:ind w:left="627" w:right="211"/>
        <w:jc w:val="both"/>
      </w:pPr>
      <w:r>
        <w:rPr>
          <w:spacing w:val="-2"/>
        </w:rPr>
        <w:t>于</w:t>
      </w:r>
      <w:r>
        <w:rPr>
          <w:rFonts w:ascii="Arial" w:hAnsi="Arial" w:cs="Arial" w:eastAsia="Arial" w:hint="default"/>
          <w:spacing w:val="-2"/>
        </w:rPr>
        <w:t>2009</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日，本集团以固定利率计息的银行借款、应付债券及应付短期债券约为人民</w:t>
      </w:r>
      <w:r>
        <w:rPr>
          <w:spacing w:val="-103"/>
        </w:rPr>
        <w:t> </w:t>
      </w:r>
      <w:r>
        <w:rPr>
          <w:spacing w:val="-103"/>
        </w:rPr>
      </w:r>
      <w:r>
        <w:rPr>
          <w:spacing w:val="-2"/>
        </w:rPr>
        <w:t>币</w:t>
      </w:r>
      <w:r>
        <w:rPr>
          <w:rFonts w:ascii="Arial" w:hAnsi="Arial" w:cs="Arial" w:eastAsia="Arial" w:hint="default"/>
          <w:spacing w:val="-2"/>
        </w:rPr>
        <w:t>629.25</w:t>
      </w:r>
      <w:r>
        <w:rPr>
          <w:spacing w:val="-2"/>
        </w:rPr>
        <w:t>亿元（</w:t>
      </w:r>
      <w:r>
        <w:rPr>
          <w:rFonts w:ascii="Arial" w:hAnsi="Arial" w:cs="Arial" w:eastAsia="Arial" w:hint="default"/>
          <w:spacing w:val="-2"/>
        </w:rPr>
        <w:t>2008</w:t>
      </w:r>
      <w:r>
        <w:rPr>
          <w:spacing w:val="-2"/>
        </w:rPr>
        <w:t>年</w:t>
      </w:r>
      <w:r>
        <w:rPr>
          <w:rFonts w:ascii="Arial" w:hAnsi="Arial" w:cs="Arial" w:eastAsia="Arial" w:hint="default"/>
          <w:spacing w:val="-2"/>
        </w:rPr>
        <w:t>12</w:t>
      </w:r>
      <w:r>
        <w:rPr>
          <w:spacing w:val="-2"/>
        </w:rPr>
        <w:t>月</w:t>
      </w:r>
      <w:r>
        <w:rPr>
          <w:rFonts w:ascii="Arial" w:hAnsi="Arial" w:cs="Arial" w:eastAsia="Arial" w:hint="default"/>
          <w:spacing w:val="-2"/>
        </w:rPr>
        <w:t>31</w:t>
      </w:r>
      <w:r>
        <w:rPr>
          <w:spacing w:val="-2"/>
        </w:rPr>
        <w:t>日：约人民币</w:t>
      </w:r>
      <w:r>
        <w:rPr>
          <w:rFonts w:ascii="Arial" w:hAnsi="Arial" w:cs="Arial" w:eastAsia="Arial" w:hint="default"/>
          <w:spacing w:val="-2"/>
        </w:rPr>
        <w:t>288.79</w:t>
      </w:r>
      <w:r>
        <w:rPr>
          <w:spacing w:val="-2"/>
        </w:rPr>
        <w:t>亿元），浮动利率计息的银行借款及关联</w:t>
      </w:r>
      <w:r>
        <w:rPr>
          <w:w w:val="99"/>
        </w:rPr>
        <w:t> </w:t>
      </w:r>
      <w:r>
        <w:rPr/>
        <w:t>方借款约为人民币</w:t>
      </w:r>
      <w:r>
        <w:rPr>
          <w:rFonts w:ascii="Arial" w:hAnsi="Arial" w:cs="Arial" w:eastAsia="Arial" w:hint="default"/>
        </w:rPr>
        <w:t>109.09</w:t>
      </w:r>
      <w:r>
        <w:rPr/>
        <w:t>亿元（</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日：银行借款约人民币</w:t>
      </w:r>
      <w:r>
        <w:rPr>
          <w:rFonts w:ascii="Arial" w:hAnsi="Arial" w:cs="Arial" w:eastAsia="Arial" w:hint="default"/>
        </w:rPr>
        <w:t>11.14</w:t>
      </w:r>
      <w:r>
        <w:rPr/>
        <w:t>亿元）。</w:t>
      </w:r>
    </w:p>
    <w:p>
      <w:pPr>
        <w:spacing w:line="240" w:lineRule="auto" w:before="3"/>
        <w:rPr>
          <w:rFonts w:ascii="宋体" w:hAnsi="宋体" w:cs="宋体" w:eastAsia="宋体" w:hint="default"/>
          <w:sz w:val="15"/>
          <w:szCs w:val="15"/>
        </w:rPr>
      </w:pPr>
    </w:p>
    <w:p>
      <w:pPr>
        <w:pStyle w:val="BodyText"/>
        <w:spacing w:line="286" w:lineRule="exact"/>
        <w:ind w:left="627" w:right="211" w:hanging="1"/>
        <w:jc w:val="both"/>
      </w:pPr>
      <w:r>
        <w:rPr>
          <w:spacing w:val="-1"/>
        </w:rPr>
        <w:t>于</w:t>
      </w:r>
      <w:r>
        <w:rPr>
          <w:rFonts w:ascii="Arial" w:hAnsi="Arial" w:cs="Arial" w:eastAsia="Arial" w:hint="default"/>
          <w:spacing w:val="-1"/>
        </w:rPr>
        <w:t>2009</w:t>
      </w:r>
      <w:r>
        <w:rPr>
          <w:spacing w:val="-1"/>
        </w:rPr>
        <w:t>年度，假设以浮动利率计算的借款利率上升或下降</w:t>
      </w:r>
      <w:r>
        <w:rPr>
          <w:rFonts w:ascii="Arial" w:hAnsi="Arial" w:cs="Arial" w:eastAsia="Arial" w:hint="default"/>
          <w:spacing w:val="-1"/>
        </w:rPr>
        <w:t>10%</w:t>
      </w:r>
      <w:r>
        <w:rPr>
          <w:spacing w:val="-1"/>
        </w:rPr>
        <w:t>，而其它因素保持不变，本集</w:t>
      </w:r>
      <w:r>
        <w:rPr>
          <w:spacing w:val="-100"/>
        </w:rPr>
        <w:t> </w:t>
      </w:r>
      <w:r>
        <w:rPr>
          <w:spacing w:val="-100"/>
        </w:rPr>
      </w:r>
      <w:r>
        <w:rPr/>
        <w:t>团的利息费用会额外增加或减少约人民币</w:t>
      </w:r>
      <w:r>
        <w:rPr>
          <w:rFonts w:ascii="Arial" w:hAnsi="Arial" w:cs="Arial" w:eastAsia="Arial" w:hint="default"/>
        </w:rPr>
        <w:t>0.03</w:t>
      </w:r>
      <w:r>
        <w:rPr/>
        <w:t>亿元（</w:t>
      </w:r>
      <w:r>
        <w:rPr>
          <w:rFonts w:ascii="Arial" w:hAnsi="Arial" w:cs="Arial" w:eastAsia="Arial" w:hint="default"/>
        </w:rPr>
        <w:t>2008</w:t>
      </w:r>
      <w:r>
        <w:rPr/>
        <w:t>年度：约人民币</w:t>
      </w:r>
      <w:r>
        <w:rPr>
          <w:rFonts w:ascii="Arial" w:hAnsi="Arial" w:cs="Arial" w:eastAsia="Arial" w:hint="default"/>
        </w:rPr>
        <w:t>1.25</w:t>
      </w:r>
      <w:r>
        <w:rPr/>
        <w:t>亿元）。</w:t>
      </w:r>
    </w:p>
    <w:p>
      <w:pPr>
        <w:pStyle w:val="BodyText"/>
        <w:tabs>
          <w:tab w:pos="615" w:val="left" w:leader="none"/>
        </w:tabs>
        <w:spacing w:line="240" w:lineRule="auto" w:before="178"/>
        <w:ind w:left="138" w:right="99"/>
        <w:jc w:val="left"/>
      </w:pPr>
      <w:r>
        <w:rPr>
          <w:rFonts w:ascii="Arial" w:hAnsi="Arial" w:cs="Arial" w:eastAsia="Arial" w:hint="default"/>
          <w:w w:val="95"/>
        </w:rPr>
        <w:t>(b)</w:t>
        <w:tab/>
      </w:r>
      <w:r>
        <w:rPr/>
        <w:t>信用风险</w:t>
      </w:r>
    </w:p>
    <w:p>
      <w:pPr>
        <w:spacing w:line="240" w:lineRule="auto" w:before="1"/>
        <w:rPr>
          <w:rFonts w:ascii="宋体" w:hAnsi="宋体" w:cs="宋体" w:eastAsia="宋体" w:hint="default"/>
          <w:sz w:val="16"/>
          <w:szCs w:val="16"/>
        </w:rPr>
      </w:pPr>
    </w:p>
    <w:p>
      <w:pPr>
        <w:pStyle w:val="BodyText"/>
        <w:spacing w:line="286" w:lineRule="exact"/>
        <w:ind w:left="642" w:right="206"/>
        <w:jc w:val="both"/>
      </w:pPr>
      <w:r>
        <w:rPr/>
        <w:t>本集团对信用风险按组合分类进行管理。本集团的货币资金，以及提供给企业客户、个人客</w:t>
      </w:r>
      <w:r>
        <w:rPr>
          <w:w w:val="99"/>
        </w:rPr>
        <w:t> </w:t>
      </w:r>
      <w:r>
        <w:rPr/>
        <w:t>户、关联公司及其它电信运营商的信用额度均会产生信用风险。</w:t>
      </w:r>
    </w:p>
    <w:p>
      <w:pPr>
        <w:spacing w:line="240" w:lineRule="auto" w:before="3"/>
        <w:rPr>
          <w:rFonts w:ascii="宋体" w:hAnsi="宋体" w:cs="宋体" w:eastAsia="宋体" w:hint="default"/>
          <w:sz w:val="15"/>
          <w:szCs w:val="15"/>
        </w:rPr>
      </w:pPr>
    </w:p>
    <w:p>
      <w:pPr>
        <w:pStyle w:val="BodyText"/>
        <w:spacing w:line="286" w:lineRule="exact"/>
        <w:ind w:left="656" w:right="206"/>
        <w:jc w:val="both"/>
      </w:pPr>
      <w:r>
        <w:rPr/>
        <w:t>下表列示了本集团于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日及</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日的存放于主要银行的现金及现金等</w:t>
      </w:r>
      <w:r>
        <w:rPr>
          <w:spacing w:val="-104"/>
        </w:rPr>
        <w:t> </w:t>
      </w:r>
      <w:r>
        <w:rPr>
          <w:spacing w:val="-104"/>
        </w:rPr>
      </w:r>
      <w:r>
        <w:rPr/>
        <w:t>价物及银行存款余额：</w:t>
      </w:r>
    </w:p>
    <w:p>
      <w:pPr>
        <w:spacing w:line="240" w:lineRule="auto" w:before="11"/>
        <w:rPr>
          <w:rFonts w:ascii="宋体" w:hAnsi="宋体" w:cs="宋体" w:eastAsia="宋体" w:hint="default"/>
          <w:sz w:val="15"/>
          <w:szCs w:val="15"/>
        </w:rPr>
      </w:pPr>
    </w:p>
    <w:tbl>
      <w:tblPr>
        <w:tblW w:w="0" w:type="auto"/>
        <w:jc w:val="left"/>
        <w:tblInd w:w="563" w:type="dxa"/>
        <w:tblLayout w:type="fixed"/>
        <w:tblCellMar>
          <w:top w:w="0" w:type="dxa"/>
          <w:left w:w="0" w:type="dxa"/>
          <w:bottom w:w="0" w:type="dxa"/>
          <w:right w:w="0" w:type="dxa"/>
        </w:tblCellMar>
        <w:tblLook w:val="01E0"/>
      </w:tblPr>
      <w:tblGrid>
        <w:gridCol w:w="4041"/>
        <w:gridCol w:w="2240"/>
        <w:gridCol w:w="391"/>
        <w:gridCol w:w="2269"/>
      </w:tblGrid>
      <w:tr>
        <w:trPr>
          <w:trHeight w:val="337" w:hRule="exact"/>
        </w:trPr>
        <w:tc>
          <w:tcPr>
            <w:tcW w:w="4041" w:type="dxa"/>
            <w:tcBorders>
              <w:top w:val="nil" w:sz="6" w:space="0" w:color="auto"/>
              <w:left w:val="nil" w:sz="6" w:space="0" w:color="auto"/>
              <w:bottom w:val="nil" w:sz="6" w:space="0" w:color="auto"/>
              <w:right w:val="nil" w:sz="6" w:space="0" w:color="auto"/>
            </w:tcBorders>
          </w:tcPr>
          <w:p>
            <w:pPr/>
          </w:p>
        </w:tc>
        <w:tc>
          <w:tcPr>
            <w:tcW w:w="2240" w:type="dxa"/>
            <w:tcBorders>
              <w:top w:val="nil" w:sz="6" w:space="0" w:color="auto"/>
              <w:left w:val="nil" w:sz="6" w:space="0" w:color="auto"/>
              <w:bottom w:val="single" w:sz="6" w:space="0" w:color="000000"/>
              <w:right w:val="nil" w:sz="6" w:space="0" w:color="auto"/>
            </w:tcBorders>
          </w:tcPr>
          <w:p>
            <w:pPr>
              <w:pStyle w:val="TableParagraph"/>
              <w:spacing w:line="240" w:lineRule="auto" w:before="38"/>
              <w:ind w:left="255"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宋体" w:hAnsi="宋体" w:cs="宋体" w:eastAsia="宋体" w:hint="default"/>
                <w:sz w:val="20"/>
                <w:szCs w:val="20"/>
              </w:rPr>
              <w:t>日</w:t>
            </w:r>
          </w:p>
        </w:tc>
        <w:tc>
          <w:tcPr>
            <w:tcW w:w="391" w:type="dxa"/>
            <w:tcBorders>
              <w:top w:val="nil" w:sz="6" w:space="0" w:color="auto"/>
              <w:left w:val="nil" w:sz="6" w:space="0" w:color="auto"/>
              <w:bottom w:val="nil" w:sz="6" w:space="0" w:color="auto"/>
              <w:right w:val="nil" w:sz="6" w:space="0" w:color="auto"/>
            </w:tcBorders>
          </w:tcPr>
          <w:p>
            <w:pPr/>
          </w:p>
        </w:tc>
        <w:tc>
          <w:tcPr>
            <w:tcW w:w="2269" w:type="dxa"/>
            <w:tcBorders>
              <w:top w:val="nil" w:sz="6" w:space="0" w:color="auto"/>
              <w:left w:val="nil" w:sz="6" w:space="0" w:color="auto"/>
              <w:bottom w:val="single" w:sz="6" w:space="0" w:color="000000"/>
              <w:right w:val="nil" w:sz="6" w:space="0" w:color="auto"/>
            </w:tcBorders>
          </w:tcPr>
          <w:p>
            <w:pPr>
              <w:pStyle w:val="TableParagraph"/>
              <w:spacing w:line="240" w:lineRule="auto" w:before="38"/>
              <w:ind w:left="268" w:right="0"/>
              <w:jc w:val="left"/>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宋体" w:hAnsi="宋体" w:cs="宋体" w:eastAsia="宋体" w:hint="default"/>
                <w:sz w:val="20"/>
                <w:szCs w:val="20"/>
              </w:rPr>
              <w:t>日</w:t>
            </w:r>
          </w:p>
        </w:tc>
      </w:tr>
      <w:tr>
        <w:trPr>
          <w:trHeight w:val="308" w:hRule="exact"/>
        </w:trPr>
        <w:tc>
          <w:tcPr>
            <w:tcW w:w="4041"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0"/>
                <w:szCs w:val="20"/>
              </w:rPr>
            </w:pPr>
            <w:r>
              <w:rPr>
                <w:rFonts w:ascii="宋体" w:hAnsi="宋体" w:cs="宋体" w:eastAsia="宋体" w:hint="default"/>
                <w:sz w:val="20"/>
                <w:szCs w:val="20"/>
              </w:rPr>
              <w:t>（单位：人民币百万）</w:t>
            </w:r>
          </w:p>
        </w:tc>
        <w:tc>
          <w:tcPr>
            <w:tcW w:w="2240" w:type="dxa"/>
            <w:tcBorders>
              <w:top w:val="single" w:sz="6" w:space="0" w:color="000000"/>
              <w:left w:val="nil" w:sz="6" w:space="0" w:color="auto"/>
              <w:bottom w:val="nil" w:sz="6" w:space="0" w:color="auto"/>
              <w:right w:val="nil" w:sz="6" w:space="0" w:color="auto"/>
            </w:tcBorders>
          </w:tcPr>
          <w:p>
            <w:pPr/>
          </w:p>
        </w:tc>
        <w:tc>
          <w:tcPr>
            <w:tcW w:w="391" w:type="dxa"/>
            <w:tcBorders>
              <w:top w:val="nil" w:sz="6" w:space="0" w:color="auto"/>
              <w:left w:val="nil" w:sz="6" w:space="0" w:color="auto"/>
              <w:bottom w:val="nil" w:sz="6" w:space="0" w:color="auto"/>
              <w:right w:val="nil" w:sz="6" w:space="0" w:color="auto"/>
            </w:tcBorders>
          </w:tcPr>
          <w:p>
            <w:pPr/>
          </w:p>
        </w:tc>
        <w:tc>
          <w:tcPr>
            <w:tcW w:w="2269" w:type="dxa"/>
            <w:tcBorders>
              <w:top w:val="single" w:sz="6" w:space="0" w:color="000000"/>
              <w:left w:val="nil" w:sz="6" w:space="0" w:color="auto"/>
              <w:bottom w:val="nil" w:sz="6" w:space="0" w:color="auto"/>
              <w:right w:val="nil" w:sz="6" w:space="0" w:color="auto"/>
            </w:tcBorders>
          </w:tcPr>
          <w:p>
            <w:pPr>
              <w:pStyle w:val="TableParagraph"/>
              <w:spacing w:line="259" w:lineRule="exact"/>
              <w:ind w:left="639" w:right="0"/>
              <w:jc w:val="left"/>
              <w:rPr>
                <w:rFonts w:ascii="宋体" w:hAnsi="宋体" w:cs="宋体" w:eastAsia="宋体" w:hint="default"/>
                <w:sz w:val="20"/>
                <w:szCs w:val="20"/>
              </w:rPr>
            </w:pPr>
            <w:r>
              <w:rPr>
                <w:rFonts w:ascii="宋体" w:hAnsi="宋体" w:cs="宋体" w:eastAsia="宋体" w:hint="default"/>
                <w:sz w:val="20"/>
                <w:szCs w:val="20"/>
              </w:rPr>
              <w:t>（经重列）</w:t>
            </w:r>
          </w:p>
        </w:tc>
      </w:tr>
      <w:tr>
        <w:trPr>
          <w:trHeight w:val="284" w:hRule="exact"/>
        </w:trPr>
        <w:tc>
          <w:tcPr>
            <w:tcW w:w="4041" w:type="dxa"/>
            <w:tcBorders>
              <w:top w:val="nil" w:sz="6" w:space="0" w:color="auto"/>
              <w:left w:val="nil" w:sz="6" w:space="0" w:color="auto"/>
              <w:bottom w:val="nil" w:sz="6" w:space="0" w:color="auto"/>
              <w:right w:val="nil" w:sz="6" w:space="0" w:color="auto"/>
            </w:tcBorders>
          </w:tcPr>
          <w:p>
            <w:pPr>
              <w:pStyle w:val="TableParagraph"/>
              <w:spacing w:line="242" w:lineRule="exact"/>
              <w:ind w:left="35" w:right="0"/>
              <w:jc w:val="left"/>
              <w:rPr>
                <w:rFonts w:ascii="宋体" w:hAnsi="宋体" w:cs="宋体" w:eastAsia="宋体" w:hint="default"/>
                <w:sz w:val="20"/>
                <w:szCs w:val="20"/>
              </w:rPr>
            </w:pPr>
            <w:r>
              <w:rPr>
                <w:rFonts w:ascii="宋体" w:hAnsi="宋体" w:cs="宋体" w:eastAsia="宋体" w:hint="default"/>
                <w:sz w:val="20"/>
                <w:szCs w:val="20"/>
              </w:rPr>
              <w:t>现金及现金等价物</w:t>
            </w:r>
          </w:p>
        </w:tc>
        <w:tc>
          <w:tcPr>
            <w:tcW w:w="2240" w:type="dxa"/>
            <w:tcBorders>
              <w:top w:val="nil" w:sz="6" w:space="0" w:color="auto"/>
              <w:left w:val="nil" w:sz="6" w:space="0" w:color="auto"/>
              <w:bottom w:val="nil" w:sz="6" w:space="0" w:color="auto"/>
              <w:right w:val="nil" w:sz="6" w:space="0" w:color="auto"/>
            </w:tcBorders>
          </w:tcPr>
          <w:p>
            <w:pPr/>
          </w:p>
        </w:tc>
        <w:tc>
          <w:tcPr>
            <w:tcW w:w="391" w:type="dxa"/>
            <w:tcBorders>
              <w:top w:val="nil" w:sz="6" w:space="0" w:color="auto"/>
              <w:left w:val="nil" w:sz="6" w:space="0" w:color="auto"/>
              <w:bottom w:val="nil" w:sz="6" w:space="0" w:color="auto"/>
              <w:right w:val="nil" w:sz="6" w:space="0" w:color="auto"/>
            </w:tcBorders>
          </w:tcPr>
          <w:p>
            <w:pPr/>
          </w:p>
        </w:tc>
        <w:tc>
          <w:tcPr>
            <w:tcW w:w="2269" w:type="dxa"/>
            <w:tcBorders>
              <w:top w:val="nil" w:sz="6" w:space="0" w:color="auto"/>
              <w:left w:val="nil" w:sz="6" w:space="0" w:color="auto"/>
              <w:bottom w:val="nil" w:sz="6" w:space="0" w:color="auto"/>
              <w:right w:val="nil" w:sz="6" w:space="0" w:color="auto"/>
            </w:tcBorders>
          </w:tcPr>
          <w:p>
            <w:pPr/>
          </w:p>
        </w:tc>
      </w:tr>
      <w:tr>
        <w:trPr>
          <w:trHeight w:val="295" w:hRule="exact"/>
        </w:trPr>
        <w:tc>
          <w:tcPr>
            <w:tcW w:w="4041" w:type="dxa"/>
            <w:tcBorders>
              <w:top w:val="nil" w:sz="6" w:space="0" w:color="auto"/>
              <w:left w:val="nil" w:sz="6" w:space="0" w:color="auto"/>
              <w:bottom w:val="nil" w:sz="6" w:space="0" w:color="auto"/>
              <w:right w:val="nil" w:sz="6" w:space="0" w:color="auto"/>
            </w:tcBorders>
          </w:tcPr>
          <w:p>
            <w:pPr>
              <w:pStyle w:val="TableParagraph"/>
              <w:spacing w:line="242" w:lineRule="exact"/>
              <w:ind w:left="235" w:right="0"/>
              <w:jc w:val="left"/>
              <w:rPr>
                <w:rFonts w:ascii="宋体" w:hAnsi="宋体" w:cs="宋体" w:eastAsia="宋体" w:hint="default"/>
                <w:sz w:val="20"/>
                <w:szCs w:val="20"/>
              </w:rPr>
            </w:pPr>
            <w:r>
              <w:rPr>
                <w:rFonts w:ascii="宋体" w:hAnsi="宋体" w:cs="宋体" w:eastAsia="宋体" w:hint="default"/>
                <w:sz w:val="20"/>
                <w:szCs w:val="20"/>
              </w:rPr>
              <w:t>国有银行</w:t>
            </w:r>
          </w:p>
        </w:tc>
        <w:tc>
          <w:tcPr>
            <w:tcW w:w="224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52"/>
              <w:jc w:val="right"/>
              <w:rPr>
                <w:rFonts w:ascii="Arial" w:hAnsi="Arial" w:cs="Arial" w:eastAsia="Arial" w:hint="default"/>
                <w:sz w:val="20"/>
                <w:szCs w:val="20"/>
              </w:rPr>
            </w:pPr>
            <w:r>
              <w:rPr>
                <w:rFonts w:ascii="Arial"/>
                <w:sz w:val="20"/>
              </w:rPr>
              <w:t>7,497</w:t>
            </w:r>
          </w:p>
        </w:tc>
        <w:tc>
          <w:tcPr>
            <w:tcW w:w="391" w:type="dxa"/>
            <w:tcBorders>
              <w:top w:val="nil" w:sz="6" w:space="0" w:color="auto"/>
              <w:left w:val="nil" w:sz="6" w:space="0" w:color="auto"/>
              <w:bottom w:val="nil" w:sz="6" w:space="0" w:color="auto"/>
              <w:right w:val="nil" w:sz="6" w:space="0" w:color="auto"/>
            </w:tcBorders>
          </w:tcPr>
          <w:p>
            <w:pPr/>
          </w:p>
        </w:tc>
        <w:tc>
          <w:tcPr>
            <w:tcW w:w="2269"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67"/>
              <w:jc w:val="right"/>
              <w:rPr>
                <w:rFonts w:ascii="Arial" w:hAnsi="Arial" w:cs="Arial" w:eastAsia="Arial" w:hint="default"/>
                <w:sz w:val="20"/>
                <w:szCs w:val="20"/>
              </w:rPr>
            </w:pPr>
            <w:r>
              <w:rPr>
                <w:rFonts w:ascii="Arial"/>
                <w:sz w:val="20"/>
              </w:rPr>
              <w:t>9,681</w:t>
            </w:r>
          </w:p>
        </w:tc>
      </w:tr>
      <w:tr>
        <w:trPr>
          <w:trHeight w:val="295" w:hRule="exact"/>
        </w:trPr>
        <w:tc>
          <w:tcPr>
            <w:tcW w:w="4041" w:type="dxa"/>
            <w:tcBorders>
              <w:top w:val="nil" w:sz="6" w:space="0" w:color="auto"/>
              <w:left w:val="nil" w:sz="6" w:space="0" w:color="auto"/>
              <w:bottom w:val="nil" w:sz="6" w:space="0" w:color="auto"/>
              <w:right w:val="nil" w:sz="6" w:space="0" w:color="auto"/>
            </w:tcBorders>
          </w:tcPr>
          <w:p>
            <w:pPr>
              <w:pStyle w:val="TableParagraph"/>
              <w:spacing w:line="231" w:lineRule="exact"/>
              <w:ind w:left="235" w:right="0"/>
              <w:jc w:val="left"/>
              <w:rPr>
                <w:rFonts w:ascii="宋体" w:hAnsi="宋体" w:cs="宋体" w:eastAsia="宋体" w:hint="default"/>
                <w:sz w:val="20"/>
                <w:szCs w:val="20"/>
              </w:rPr>
            </w:pPr>
            <w:r>
              <w:rPr>
                <w:rFonts w:ascii="宋体" w:hAnsi="宋体" w:cs="宋体" w:eastAsia="宋体" w:hint="default"/>
                <w:sz w:val="20"/>
                <w:szCs w:val="20"/>
              </w:rPr>
              <w:t>其他银行</w:t>
            </w:r>
          </w:p>
        </w:tc>
        <w:tc>
          <w:tcPr>
            <w:tcW w:w="2240" w:type="dxa"/>
            <w:tcBorders>
              <w:top w:val="nil" w:sz="6" w:space="0" w:color="auto"/>
              <w:left w:val="nil" w:sz="6" w:space="0" w:color="auto"/>
              <w:bottom w:val="nil" w:sz="6" w:space="0" w:color="auto"/>
              <w:right w:val="nil" w:sz="6" w:space="0" w:color="auto"/>
            </w:tcBorders>
          </w:tcPr>
          <w:p>
            <w:pPr>
              <w:pStyle w:val="TableParagraph"/>
              <w:tabs>
                <w:tab w:pos="1750" w:val="left" w:leader="none"/>
                <w:tab w:pos="2233" w:val="left" w:leader="none"/>
              </w:tabs>
              <w:spacing w:line="240" w:lineRule="auto" w:before="27"/>
              <w:ind w:left="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335</w:t>
              <w:tab/>
            </w:r>
            <w:r>
              <w:rPr>
                <w:rFonts w:ascii="Arial"/>
                <w:sz w:val="20"/>
              </w:rPr>
            </w:r>
          </w:p>
        </w:tc>
        <w:tc>
          <w:tcPr>
            <w:tcW w:w="391" w:type="dxa"/>
            <w:tcBorders>
              <w:top w:val="nil" w:sz="6" w:space="0" w:color="auto"/>
              <w:left w:val="nil" w:sz="6" w:space="0" w:color="auto"/>
              <w:bottom w:val="nil" w:sz="6" w:space="0" w:color="auto"/>
              <w:right w:val="nil" w:sz="6" w:space="0" w:color="auto"/>
            </w:tcBorders>
          </w:tcPr>
          <w:p>
            <w:pPr/>
          </w:p>
        </w:tc>
        <w:tc>
          <w:tcPr>
            <w:tcW w:w="2269" w:type="dxa"/>
            <w:tcBorders>
              <w:top w:val="nil" w:sz="6" w:space="0" w:color="auto"/>
              <w:left w:val="nil" w:sz="6" w:space="0" w:color="auto"/>
              <w:bottom w:val="nil" w:sz="6" w:space="0" w:color="auto"/>
              <w:right w:val="nil" w:sz="6" w:space="0" w:color="auto"/>
            </w:tcBorders>
          </w:tcPr>
          <w:p>
            <w:pPr>
              <w:pStyle w:val="TableParagraph"/>
              <w:tabs>
                <w:tab w:pos="1765" w:val="left" w:leader="none"/>
                <w:tab w:pos="2261" w:val="left" w:leader="none"/>
              </w:tabs>
              <w:spacing w:line="240" w:lineRule="auto" w:before="27"/>
              <w:ind w:left="3"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566</w:t>
              <w:tab/>
            </w:r>
            <w:r>
              <w:rPr>
                <w:rFonts w:ascii="Arial"/>
                <w:sz w:val="20"/>
              </w:rPr>
            </w:r>
          </w:p>
        </w:tc>
      </w:tr>
      <w:tr>
        <w:trPr>
          <w:trHeight w:val="272" w:hRule="exact"/>
        </w:trPr>
        <w:tc>
          <w:tcPr>
            <w:tcW w:w="4041" w:type="dxa"/>
            <w:tcBorders>
              <w:top w:val="nil" w:sz="6" w:space="0" w:color="auto"/>
              <w:left w:val="nil" w:sz="6" w:space="0" w:color="auto"/>
              <w:bottom w:val="nil" w:sz="6" w:space="0" w:color="auto"/>
              <w:right w:val="nil" w:sz="6" w:space="0" w:color="auto"/>
            </w:tcBorders>
          </w:tcPr>
          <w:p>
            <w:pPr/>
          </w:p>
        </w:tc>
        <w:tc>
          <w:tcPr>
            <w:tcW w:w="2240" w:type="dxa"/>
            <w:tcBorders>
              <w:top w:val="nil" w:sz="6" w:space="0" w:color="auto"/>
              <w:left w:val="nil" w:sz="6" w:space="0" w:color="auto"/>
              <w:bottom w:val="single" w:sz="17" w:space="0" w:color="000000"/>
              <w:right w:val="nil" w:sz="6" w:space="0" w:color="auto"/>
            </w:tcBorders>
          </w:tcPr>
          <w:p>
            <w:pPr>
              <w:pStyle w:val="TableParagraph"/>
              <w:spacing w:line="240" w:lineRule="auto" w:before="16"/>
              <w:ind w:right="152"/>
              <w:jc w:val="right"/>
              <w:rPr>
                <w:rFonts w:ascii="Arial" w:hAnsi="Arial" w:cs="Arial" w:eastAsia="Arial" w:hint="default"/>
                <w:sz w:val="20"/>
                <w:szCs w:val="20"/>
              </w:rPr>
            </w:pPr>
            <w:r>
              <w:rPr>
                <w:rFonts w:ascii="Arial"/>
                <w:sz w:val="20"/>
              </w:rPr>
              <w:t>7,832</w:t>
            </w:r>
          </w:p>
        </w:tc>
        <w:tc>
          <w:tcPr>
            <w:tcW w:w="391" w:type="dxa"/>
            <w:tcBorders>
              <w:top w:val="nil" w:sz="6" w:space="0" w:color="auto"/>
              <w:left w:val="nil" w:sz="6" w:space="0" w:color="auto"/>
              <w:bottom w:val="nil" w:sz="6" w:space="0" w:color="auto"/>
              <w:right w:val="nil" w:sz="6" w:space="0" w:color="auto"/>
            </w:tcBorders>
          </w:tcPr>
          <w:p>
            <w:pPr/>
          </w:p>
        </w:tc>
        <w:tc>
          <w:tcPr>
            <w:tcW w:w="2269" w:type="dxa"/>
            <w:tcBorders>
              <w:top w:val="nil" w:sz="6" w:space="0" w:color="auto"/>
              <w:left w:val="nil" w:sz="6" w:space="0" w:color="auto"/>
              <w:bottom w:val="single" w:sz="17" w:space="0" w:color="000000"/>
              <w:right w:val="nil" w:sz="6" w:space="0" w:color="auto"/>
            </w:tcBorders>
          </w:tcPr>
          <w:p>
            <w:pPr>
              <w:pStyle w:val="TableParagraph"/>
              <w:spacing w:line="240" w:lineRule="auto" w:before="16"/>
              <w:ind w:left="1487" w:right="0"/>
              <w:jc w:val="left"/>
              <w:rPr>
                <w:rFonts w:ascii="Arial" w:hAnsi="Arial" w:cs="Arial" w:eastAsia="Arial" w:hint="default"/>
                <w:sz w:val="20"/>
                <w:szCs w:val="20"/>
              </w:rPr>
            </w:pPr>
            <w:r>
              <w:rPr>
                <w:rFonts w:ascii="Arial"/>
                <w:sz w:val="20"/>
              </w:rPr>
              <w:t>10,247</w:t>
            </w:r>
          </w:p>
        </w:tc>
      </w:tr>
      <w:tr>
        <w:trPr>
          <w:trHeight w:val="569" w:hRule="exact"/>
        </w:trPr>
        <w:tc>
          <w:tcPr>
            <w:tcW w:w="4041" w:type="dxa"/>
            <w:tcBorders>
              <w:top w:val="nil" w:sz="6" w:space="0" w:color="auto"/>
              <w:left w:val="nil" w:sz="6" w:space="0" w:color="auto"/>
              <w:bottom w:val="nil" w:sz="6" w:space="0" w:color="auto"/>
              <w:right w:val="nil" w:sz="6" w:space="0" w:color="auto"/>
            </w:tcBorders>
          </w:tcPr>
          <w:p>
            <w:pPr>
              <w:pStyle w:val="TableParagraph"/>
              <w:spacing w:line="262" w:lineRule="exact" w:before="16"/>
              <w:ind w:left="235" w:right="2040" w:hanging="201"/>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个月以上银行存款等</w:t>
            </w:r>
            <w:r>
              <w:rPr>
                <w:rFonts w:ascii="宋体" w:hAnsi="宋体" w:cs="宋体" w:eastAsia="宋体" w:hint="default"/>
                <w:w w:val="100"/>
                <w:sz w:val="20"/>
                <w:szCs w:val="20"/>
              </w:rPr>
              <w:t> </w:t>
            </w:r>
            <w:r>
              <w:rPr>
                <w:rFonts w:ascii="宋体" w:hAnsi="宋体" w:cs="宋体" w:eastAsia="宋体" w:hint="default"/>
                <w:sz w:val="20"/>
                <w:szCs w:val="20"/>
              </w:rPr>
              <w:t>国有银行</w:t>
            </w:r>
          </w:p>
        </w:tc>
        <w:tc>
          <w:tcPr>
            <w:tcW w:w="2240" w:type="dxa"/>
            <w:tcBorders>
              <w:top w:val="single" w:sz="17"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52"/>
              <w:jc w:val="right"/>
              <w:rPr>
                <w:rFonts w:ascii="Arial" w:hAnsi="Arial" w:cs="Arial" w:eastAsia="Arial" w:hint="default"/>
                <w:sz w:val="20"/>
                <w:szCs w:val="20"/>
              </w:rPr>
            </w:pPr>
            <w:r>
              <w:rPr>
                <w:rFonts w:ascii="Arial"/>
                <w:sz w:val="20"/>
              </w:rPr>
              <w:t>861</w:t>
            </w:r>
          </w:p>
        </w:tc>
        <w:tc>
          <w:tcPr>
            <w:tcW w:w="391" w:type="dxa"/>
            <w:tcBorders>
              <w:top w:val="nil" w:sz="6" w:space="0" w:color="auto"/>
              <w:left w:val="nil" w:sz="6" w:space="0" w:color="auto"/>
              <w:bottom w:val="nil" w:sz="6" w:space="0" w:color="auto"/>
              <w:right w:val="nil" w:sz="6" w:space="0" w:color="auto"/>
            </w:tcBorders>
          </w:tcPr>
          <w:p>
            <w:pPr/>
          </w:p>
        </w:tc>
        <w:tc>
          <w:tcPr>
            <w:tcW w:w="2269" w:type="dxa"/>
            <w:tcBorders>
              <w:top w:val="single" w:sz="17"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67"/>
              <w:jc w:val="right"/>
              <w:rPr>
                <w:rFonts w:ascii="Arial" w:hAnsi="Arial" w:cs="Arial" w:eastAsia="Arial" w:hint="default"/>
                <w:sz w:val="20"/>
                <w:szCs w:val="20"/>
              </w:rPr>
            </w:pPr>
            <w:r>
              <w:rPr>
                <w:rFonts w:ascii="Arial"/>
                <w:sz w:val="20"/>
              </w:rPr>
              <w:t>337</w:t>
            </w:r>
          </w:p>
        </w:tc>
      </w:tr>
      <w:tr>
        <w:trPr>
          <w:trHeight w:val="295" w:hRule="exact"/>
        </w:trPr>
        <w:tc>
          <w:tcPr>
            <w:tcW w:w="4041" w:type="dxa"/>
            <w:tcBorders>
              <w:top w:val="nil" w:sz="6" w:space="0" w:color="auto"/>
              <w:left w:val="nil" w:sz="6" w:space="0" w:color="auto"/>
              <w:bottom w:val="nil" w:sz="6" w:space="0" w:color="auto"/>
              <w:right w:val="nil" w:sz="6" w:space="0" w:color="auto"/>
            </w:tcBorders>
          </w:tcPr>
          <w:p>
            <w:pPr>
              <w:pStyle w:val="TableParagraph"/>
              <w:spacing w:line="231" w:lineRule="exact"/>
              <w:ind w:left="235" w:right="0"/>
              <w:jc w:val="left"/>
              <w:rPr>
                <w:rFonts w:ascii="宋体" w:hAnsi="宋体" w:cs="宋体" w:eastAsia="宋体" w:hint="default"/>
                <w:sz w:val="20"/>
                <w:szCs w:val="20"/>
              </w:rPr>
            </w:pPr>
            <w:r>
              <w:rPr>
                <w:rFonts w:ascii="宋体" w:hAnsi="宋体" w:cs="宋体" w:eastAsia="宋体" w:hint="default"/>
                <w:sz w:val="20"/>
                <w:szCs w:val="20"/>
              </w:rPr>
              <w:t>其他银行</w:t>
            </w:r>
          </w:p>
        </w:tc>
        <w:tc>
          <w:tcPr>
            <w:tcW w:w="2240" w:type="dxa"/>
            <w:tcBorders>
              <w:top w:val="nil" w:sz="6" w:space="0" w:color="auto"/>
              <w:left w:val="nil" w:sz="6" w:space="0" w:color="auto"/>
              <w:bottom w:val="nil" w:sz="6" w:space="0" w:color="auto"/>
              <w:right w:val="nil" w:sz="6" w:space="0" w:color="auto"/>
            </w:tcBorders>
          </w:tcPr>
          <w:p>
            <w:pPr>
              <w:pStyle w:val="TableParagraph"/>
              <w:tabs>
                <w:tab w:pos="1751" w:val="left" w:leader="none"/>
                <w:tab w:pos="2233" w:val="left" w:leader="none"/>
              </w:tabs>
              <w:spacing w:line="240" w:lineRule="auto" w:before="27"/>
              <w:ind w:left="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135</w:t>
              <w:tab/>
            </w:r>
            <w:r>
              <w:rPr>
                <w:rFonts w:ascii="Arial"/>
                <w:sz w:val="20"/>
              </w:rPr>
            </w:r>
          </w:p>
        </w:tc>
        <w:tc>
          <w:tcPr>
            <w:tcW w:w="391" w:type="dxa"/>
            <w:tcBorders>
              <w:top w:val="nil" w:sz="6" w:space="0" w:color="auto"/>
              <w:left w:val="nil" w:sz="6" w:space="0" w:color="auto"/>
              <w:bottom w:val="nil" w:sz="6" w:space="0" w:color="auto"/>
              <w:right w:val="nil" w:sz="6" w:space="0" w:color="auto"/>
            </w:tcBorders>
          </w:tcPr>
          <w:p>
            <w:pPr/>
          </w:p>
        </w:tc>
        <w:tc>
          <w:tcPr>
            <w:tcW w:w="2269" w:type="dxa"/>
            <w:tcBorders>
              <w:top w:val="nil" w:sz="6" w:space="0" w:color="auto"/>
              <w:left w:val="nil" w:sz="6" w:space="0" w:color="auto"/>
              <w:bottom w:val="nil" w:sz="6" w:space="0" w:color="auto"/>
              <w:right w:val="nil" w:sz="6" w:space="0" w:color="auto"/>
            </w:tcBorders>
          </w:tcPr>
          <w:p>
            <w:pPr>
              <w:pStyle w:val="TableParagraph"/>
              <w:tabs>
                <w:tab w:pos="2032" w:val="left" w:leader="none"/>
                <w:tab w:pos="2261" w:val="left" w:leader="none"/>
              </w:tabs>
              <w:spacing w:line="240" w:lineRule="auto" w:before="27"/>
              <w:ind w:left="3"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tab/>
            </w:r>
            <w:r>
              <w:rPr>
                <w:rFonts w:ascii="Arial"/>
                <w:sz w:val="20"/>
              </w:rPr>
            </w:r>
          </w:p>
        </w:tc>
      </w:tr>
      <w:tr>
        <w:trPr>
          <w:trHeight w:val="270" w:hRule="exact"/>
        </w:trPr>
        <w:tc>
          <w:tcPr>
            <w:tcW w:w="4041" w:type="dxa"/>
            <w:tcBorders>
              <w:top w:val="nil" w:sz="6" w:space="0" w:color="auto"/>
              <w:left w:val="nil" w:sz="6" w:space="0" w:color="auto"/>
              <w:bottom w:val="nil" w:sz="6" w:space="0" w:color="auto"/>
              <w:right w:val="nil" w:sz="6" w:space="0" w:color="auto"/>
            </w:tcBorders>
          </w:tcPr>
          <w:p>
            <w:pPr/>
          </w:p>
        </w:tc>
        <w:tc>
          <w:tcPr>
            <w:tcW w:w="2240" w:type="dxa"/>
            <w:tcBorders>
              <w:top w:val="nil" w:sz="6" w:space="0" w:color="auto"/>
              <w:left w:val="nil" w:sz="6" w:space="0" w:color="auto"/>
              <w:bottom w:val="single" w:sz="17" w:space="0" w:color="000000"/>
              <w:right w:val="nil" w:sz="6" w:space="0" w:color="auto"/>
            </w:tcBorders>
          </w:tcPr>
          <w:p>
            <w:pPr>
              <w:pStyle w:val="TableParagraph"/>
              <w:spacing w:line="240" w:lineRule="auto" w:before="16"/>
              <w:ind w:right="152"/>
              <w:jc w:val="right"/>
              <w:rPr>
                <w:rFonts w:ascii="Arial" w:hAnsi="Arial" w:cs="Arial" w:eastAsia="Arial" w:hint="default"/>
                <w:sz w:val="20"/>
                <w:szCs w:val="20"/>
              </w:rPr>
            </w:pPr>
            <w:r>
              <w:rPr>
                <w:rFonts w:ascii="Arial"/>
                <w:sz w:val="20"/>
              </w:rPr>
              <w:t>996</w:t>
            </w:r>
          </w:p>
        </w:tc>
        <w:tc>
          <w:tcPr>
            <w:tcW w:w="391" w:type="dxa"/>
            <w:tcBorders>
              <w:top w:val="nil" w:sz="6" w:space="0" w:color="auto"/>
              <w:left w:val="nil" w:sz="6" w:space="0" w:color="auto"/>
              <w:bottom w:val="nil" w:sz="6" w:space="0" w:color="auto"/>
              <w:right w:val="nil" w:sz="6" w:space="0" w:color="auto"/>
            </w:tcBorders>
          </w:tcPr>
          <w:p>
            <w:pPr/>
          </w:p>
        </w:tc>
        <w:tc>
          <w:tcPr>
            <w:tcW w:w="2269" w:type="dxa"/>
            <w:tcBorders>
              <w:top w:val="nil" w:sz="6" w:space="0" w:color="auto"/>
              <w:left w:val="nil" w:sz="6" w:space="0" w:color="auto"/>
              <w:bottom w:val="single" w:sz="17" w:space="0" w:color="000000"/>
              <w:right w:val="nil" w:sz="6" w:space="0" w:color="auto"/>
            </w:tcBorders>
          </w:tcPr>
          <w:p>
            <w:pPr>
              <w:pStyle w:val="TableParagraph"/>
              <w:spacing w:line="240" w:lineRule="auto" w:before="16"/>
              <w:ind w:right="167"/>
              <w:jc w:val="right"/>
              <w:rPr>
                <w:rFonts w:ascii="Arial" w:hAnsi="Arial" w:cs="Arial" w:eastAsia="Arial" w:hint="default"/>
                <w:sz w:val="20"/>
                <w:szCs w:val="20"/>
              </w:rPr>
            </w:pPr>
            <w:r>
              <w:rPr>
                <w:rFonts w:ascii="Arial"/>
                <w:sz w:val="20"/>
              </w:rPr>
              <w:t>337</w:t>
            </w:r>
          </w:p>
        </w:tc>
      </w:tr>
      <w:tr>
        <w:trPr>
          <w:trHeight w:val="400" w:hRule="exact"/>
        </w:trPr>
        <w:tc>
          <w:tcPr>
            <w:tcW w:w="4041" w:type="dxa"/>
            <w:tcBorders>
              <w:top w:val="nil" w:sz="6" w:space="0" w:color="auto"/>
              <w:left w:val="nil" w:sz="6" w:space="0" w:color="auto"/>
              <w:bottom w:val="nil" w:sz="6" w:space="0" w:color="auto"/>
              <w:right w:val="nil" w:sz="6" w:space="0" w:color="auto"/>
            </w:tcBorders>
          </w:tcPr>
          <w:p>
            <w:pPr>
              <w:pStyle w:val="TableParagraph"/>
              <w:spacing w:line="240" w:lineRule="auto" w:before="84"/>
              <w:ind w:left="35" w:right="0"/>
              <w:jc w:val="left"/>
              <w:rPr>
                <w:rFonts w:ascii="宋体" w:hAnsi="宋体" w:cs="宋体" w:eastAsia="宋体" w:hint="default"/>
                <w:sz w:val="20"/>
                <w:szCs w:val="20"/>
              </w:rPr>
            </w:pPr>
            <w:r>
              <w:rPr>
                <w:rFonts w:ascii="宋体" w:hAnsi="宋体" w:cs="宋体" w:eastAsia="宋体" w:hint="default"/>
                <w:sz w:val="20"/>
                <w:szCs w:val="20"/>
              </w:rPr>
              <w:t>货币资金合计</w:t>
            </w:r>
          </w:p>
        </w:tc>
        <w:tc>
          <w:tcPr>
            <w:tcW w:w="2240" w:type="dxa"/>
            <w:tcBorders>
              <w:top w:val="single" w:sz="17" w:space="0" w:color="000000"/>
              <w:left w:val="nil" w:sz="6" w:space="0" w:color="auto"/>
              <w:bottom w:val="single" w:sz="17" w:space="0" w:color="000000"/>
              <w:right w:val="nil" w:sz="6" w:space="0" w:color="auto"/>
            </w:tcBorders>
          </w:tcPr>
          <w:p>
            <w:pPr>
              <w:pStyle w:val="TableParagraph"/>
              <w:spacing w:line="240" w:lineRule="auto" w:before="121"/>
              <w:ind w:right="152"/>
              <w:jc w:val="right"/>
              <w:rPr>
                <w:rFonts w:ascii="Arial" w:hAnsi="Arial" w:cs="Arial" w:eastAsia="Arial" w:hint="default"/>
                <w:sz w:val="20"/>
                <w:szCs w:val="20"/>
              </w:rPr>
            </w:pPr>
            <w:r>
              <w:rPr>
                <w:rFonts w:ascii="Arial"/>
                <w:sz w:val="20"/>
              </w:rPr>
              <w:t>8,828</w:t>
            </w:r>
          </w:p>
        </w:tc>
        <w:tc>
          <w:tcPr>
            <w:tcW w:w="391" w:type="dxa"/>
            <w:tcBorders>
              <w:top w:val="nil" w:sz="6" w:space="0" w:color="auto"/>
              <w:left w:val="nil" w:sz="6" w:space="0" w:color="auto"/>
              <w:bottom w:val="nil" w:sz="6" w:space="0" w:color="auto"/>
              <w:right w:val="nil" w:sz="6" w:space="0" w:color="auto"/>
            </w:tcBorders>
          </w:tcPr>
          <w:p>
            <w:pPr/>
          </w:p>
        </w:tc>
        <w:tc>
          <w:tcPr>
            <w:tcW w:w="2269" w:type="dxa"/>
            <w:tcBorders>
              <w:top w:val="single" w:sz="17" w:space="0" w:color="000000"/>
              <w:left w:val="nil" w:sz="6" w:space="0" w:color="auto"/>
              <w:bottom w:val="single" w:sz="17" w:space="0" w:color="000000"/>
              <w:right w:val="nil" w:sz="6" w:space="0" w:color="auto"/>
            </w:tcBorders>
          </w:tcPr>
          <w:p>
            <w:pPr>
              <w:pStyle w:val="TableParagraph"/>
              <w:spacing w:line="240" w:lineRule="auto" w:before="121"/>
              <w:ind w:left="1486" w:right="0"/>
              <w:jc w:val="left"/>
              <w:rPr>
                <w:rFonts w:ascii="Arial" w:hAnsi="Arial" w:cs="Arial" w:eastAsia="Arial" w:hint="default"/>
                <w:sz w:val="20"/>
                <w:szCs w:val="20"/>
              </w:rPr>
            </w:pPr>
            <w:r>
              <w:rPr>
                <w:rFonts w:ascii="Arial"/>
                <w:sz w:val="20"/>
              </w:rPr>
              <w:t>10,584</w:t>
            </w:r>
          </w:p>
        </w:tc>
      </w:tr>
    </w:tbl>
    <w:p>
      <w:pPr>
        <w:spacing w:after="0" w:line="240" w:lineRule="auto"/>
        <w:jc w:val="left"/>
        <w:rPr>
          <w:rFonts w:ascii="Arial" w:hAnsi="Arial" w:cs="Arial" w:eastAsia="Arial" w:hint="default"/>
          <w:sz w:val="20"/>
          <w:szCs w:val="20"/>
        </w:rPr>
        <w:sectPr>
          <w:headerReference w:type="default" r:id="rId59"/>
          <w:pgSz w:w="11910" w:h="16840"/>
          <w:pgMar w:header="967" w:footer="600" w:top="3880" w:bottom="780" w:left="1420" w:right="820"/>
        </w:sectPr>
      </w:pPr>
    </w:p>
    <w:p>
      <w:pPr>
        <w:spacing w:line="240" w:lineRule="auto" w:before="11"/>
        <w:rPr>
          <w:rFonts w:ascii="宋体" w:hAnsi="宋体" w:cs="宋体" w:eastAsia="宋体" w:hint="default"/>
          <w:sz w:val="11"/>
          <w:szCs w:val="11"/>
        </w:rPr>
      </w:pPr>
    </w:p>
    <w:p>
      <w:pPr>
        <w:pStyle w:val="BodyText"/>
        <w:tabs>
          <w:tab w:pos="615" w:val="left" w:leader="none"/>
        </w:tabs>
        <w:spacing w:line="240" w:lineRule="auto" w:before="31"/>
        <w:ind w:left="138" w:right="702"/>
        <w:jc w:val="left"/>
      </w:pPr>
      <w:r>
        <w:rPr>
          <w:rFonts w:ascii="Arial" w:hAnsi="Arial" w:cs="Arial" w:eastAsia="Arial" w:hint="default"/>
          <w:w w:val="95"/>
        </w:rPr>
        <w:t>(b)</w:t>
        <w:tab/>
      </w:r>
      <w:r>
        <w:rPr/>
        <w:t>信用风险（续）</w:t>
      </w:r>
    </w:p>
    <w:p>
      <w:pPr>
        <w:pStyle w:val="BodyText"/>
        <w:spacing w:line="237" w:lineRule="auto" w:before="185"/>
        <w:ind w:left="627" w:right="112"/>
        <w:jc w:val="both"/>
      </w:pPr>
      <w:r>
        <w:rPr/>
        <w:t>由于国有银行受到政府的支持，而且其它银行均为大中型的上市银行，本集团认为存放于国</w:t>
      </w:r>
      <w:r>
        <w:rPr>
          <w:spacing w:val="-101"/>
        </w:rPr>
        <w:t> </w:t>
      </w:r>
      <w:r>
        <w:rPr>
          <w:spacing w:val="-101"/>
        </w:rPr>
      </w:r>
      <w:r>
        <w:rPr/>
        <w:t>有银行和其它大中型上市银行的现金及现金等价物及银行存款不存在重大的信用风险。管理</w:t>
      </w:r>
      <w:r>
        <w:rPr>
          <w:spacing w:val="-101"/>
        </w:rPr>
        <w:t> </w:t>
      </w:r>
      <w:r>
        <w:rPr>
          <w:spacing w:val="-101"/>
        </w:rPr>
      </w:r>
      <w:r>
        <w:rPr/>
        <w:t>层预计不会因对方单位的违约行为将导致任何重大损失。</w:t>
      </w:r>
    </w:p>
    <w:p>
      <w:pPr>
        <w:spacing w:line="240" w:lineRule="auto" w:before="7"/>
        <w:rPr>
          <w:rFonts w:ascii="宋体" w:hAnsi="宋体" w:cs="宋体" w:eastAsia="宋体" w:hint="default"/>
          <w:sz w:val="15"/>
          <w:szCs w:val="15"/>
        </w:rPr>
      </w:pPr>
    </w:p>
    <w:p>
      <w:pPr>
        <w:pStyle w:val="BodyText"/>
        <w:spacing w:line="235" w:lineRule="auto"/>
        <w:ind w:left="626" w:right="112"/>
        <w:jc w:val="both"/>
      </w:pPr>
      <w:r>
        <w:rPr/>
        <w:t>此外，本集团于企业客户及个人用户方面并无重大集中性的信用风险。本集团的信用风险敞</w:t>
      </w:r>
      <w:r>
        <w:rPr>
          <w:spacing w:val="-101"/>
        </w:rPr>
        <w:t> </w:t>
      </w:r>
      <w:r>
        <w:rPr>
          <w:spacing w:val="-101"/>
        </w:rPr>
      </w:r>
      <w:r>
        <w:rPr/>
        <w:t>口主要表现为应收服务款项的公允价值。本集团设定相关政策以限制该信用风险敞口。本集</w:t>
      </w:r>
      <w:r>
        <w:rPr>
          <w:spacing w:val="-101"/>
        </w:rPr>
        <w:t> </w:t>
      </w:r>
      <w:r>
        <w:rPr>
          <w:spacing w:val="-101"/>
        </w:rPr>
      </w:r>
      <w:r>
        <w:rPr/>
        <w:t>团基于对客户的财务状况、从第三方获取担保的可能性、信用记录及其它因素诸如目前市场</w:t>
      </w:r>
      <w:r>
        <w:rPr>
          <w:spacing w:val="-101"/>
        </w:rPr>
        <w:t> </w:t>
      </w:r>
      <w:r>
        <w:rPr>
          <w:spacing w:val="-101"/>
        </w:rPr>
      </w:r>
      <w:r>
        <w:rPr/>
        <w:t>状况等评估了信用资质并设置信用额度。本集团授予移动通信服务用户的信用期一般为自账</w:t>
      </w:r>
      <w:r>
        <w:rPr>
          <w:spacing w:val="-101"/>
        </w:rPr>
        <w:t> </w:t>
      </w:r>
      <w:r>
        <w:rPr>
          <w:spacing w:val="-101"/>
        </w:rPr>
      </w:r>
      <w:r>
        <w:rPr>
          <w:spacing w:val="-1"/>
        </w:rPr>
        <w:t>单日起平均</w:t>
      </w:r>
      <w:r>
        <w:rPr>
          <w:rFonts w:ascii="Arial" w:hAnsi="Arial" w:cs="Arial" w:eastAsia="Arial" w:hint="default"/>
          <w:spacing w:val="-1"/>
        </w:rPr>
        <w:t>30</w:t>
      </w:r>
      <w:r>
        <w:rPr>
          <w:spacing w:val="-1"/>
        </w:rPr>
        <w:t>天，对固网通信服务的用户的信用期一般为自账单日起平均</w:t>
      </w:r>
      <w:r>
        <w:rPr>
          <w:rFonts w:ascii="Arial" w:hAnsi="Arial" w:cs="Arial" w:eastAsia="Arial" w:hint="default"/>
          <w:spacing w:val="-1"/>
        </w:rPr>
        <w:t>90</w:t>
      </w:r>
      <w:r>
        <w:rPr>
          <w:spacing w:val="-1"/>
        </w:rPr>
        <w:t>天。本集团定期</w:t>
      </w:r>
      <w:r>
        <w:rPr>
          <w:spacing w:val="-101"/>
        </w:rPr>
        <w:t> </w:t>
      </w:r>
      <w:r>
        <w:rPr>
          <w:spacing w:val="-101"/>
        </w:rPr>
      </w:r>
      <w:r>
        <w:rPr/>
        <w:t>对客户使用其信用额度的状况以及结算惯例进行监控。</w:t>
      </w:r>
    </w:p>
    <w:p>
      <w:pPr>
        <w:spacing w:line="240" w:lineRule="auto" w:before="4"/>
        <w:rPr>
          <w:rFonts w:ascii="宋体" w:hAnsi="宋体" w:cs="宋体" w:eastAsia="宋体" w:hint="default"/>
          <w:sz w:val="17"/>
          <w:szCs w:val="17"/>
        </w:rPr>
      </w:pPr>
    </w:p>
    <w:p>
      <w:pPr>
        <w:pStyle w:val="BodyText"/>
        <w:spacing w:line="286" w:lineRule="exact"/>
        <w:ind w:left="626" w:right="112"/>
        <w:jc w:val="both"/>
      </w:pPr>
      <w:r>
        <w:rPr/>
        <w:t>由于关联方及其它电信运营商具有良好的信誉，并且应收此等公司的款项均定期结算，相关</w:t>
      </w:r>
      <w:r>
        <w:rPr>
          <w:spacing w:val="-101"/>
        </w:rPr>
        <w:t> </w:t>
      </w:r>
      <w:r>
        <w:rPr>
          <w:spacing w:val="-101"/>
        </w:rPr>
      </w:r>
      <w:r>
        <w:rPr/>
        <w:t>的信用风险并不重大。</w:t>
      </w:r>
    </w:p>
    <w:p>
      <w:pPr>
        <w:spacing w:line="240" w:lineRule="auto" w:before="1"/>
        <w:rPr>
          <w:rFonts w:ascii="宋体" w:hAnsi="宋体" w:cs="宋体" w:eastAsia="宋体" w:hint="default"/>
          <w:sz w:val="17"/>
          <w:szCs w:val="17"/>
        </w:rPr>
      </w:pPr>
    </w:p>
    <w:p>
      <w:pPr>
        <w:pStyle w:val="BodyText"/>
        <w:tabs>
          <w:tab w:pos="614" w:val="left" w:leader="none"/>
        </w:tabs>
        <w:spacing w:line="240" w:lineRule="auto"/>
        <w:ind w:left="138" w:right="702"/>
        <w:jc w:val="left"/>
      </w:pPr>
      <w:r>
        <w:rPr>
          <w:rFonts w:ascii="Arial" w:hAnsi="Arial" w:cs="Arial" w:eastAsia="Arial" w:hint="default"/>
          <w:w w:val="95"/>
        </w:rPr>
        <w:t>(c)</w:t>
        <w:tab/>
      </w:r>
      <w:r>
        <w:rPr/>
        <w:t>流动性风险</w:t>
      </w:r>
    </w:p>
    <w:p>
      <w:pPr>
        <w:pStyle w:val="BodyText"/>
        <w:spacing w:line="237" w:lineRule="auto" w:before="185"/>
        <w:ind w:left="614" w:right="134" w:firstLine="12"/>
        <w:jc w:val="both"/>
      </w:pPr>
      <w:r>
        <w:rPr/>
        <w:t>谨慎的流动性风险管理指通过不同资金渠道来维持充足的现金和资金获取能力，包括短期银</w:t>
      </w:r>
      <w:r>
        <w:rPr>
          <w:w w:val="99"/>
        </w:rPr>
        <w:t> </w:t>
      </w:r>
      <w:r>
        <w:rPr/>
        <w:t>行借款及发行债券。由于业务本身的多变性，本集团总部的资产管理部门通过在必要时维持</w:t>
      </w:r>
      <w:r>
        <w:rPr>
          <w:w w:val="99"/>
        </w:rPr>
        <w:t> </w:t>
      </w:r>
      <w:r>
        <w:rPr/>
        <w:t>充足的现金及现金等价物和通过保持不同的融资渠道来确保营运资金的灵活性。本集团以持</w:t>
      </w:r>
      <w:r>
        <w:rPr>
          <w:w w:val="99"/>
        </w:rPr>
        <w:t> </w:t>
      </w:r>
      <w:r>
        <w:rPr/>
        <w:t>续经营基准编制其财务报表，请详见附注二</w:t>
      </w:r>
      <w:r>
        <w:rPr>
          <w:rFonts w:ascii="Arial" w:hAnsi="Arial" w:cs="Arial" w:eastAsia="Arial" w:hint="default"/>
        </w:rPr>
        <w:t>(1)(d</w:t>
      </w:r>
      <w:r>
        <w:rPr/>
        <w:t>的说明。</w:t>
      </w:r>
    </w:p>
    <w:p>
      <w:pPr>
        <w:pStyle w:val="BodyText"/>
        <w:spacing w:line="240" w:lineRule="auto" w:before="181"/>
        <w:ind w:left="614" w:right="0"/>
        <w:jc w:val="both"/>
      </w:pPr>
      <w:r>
        <w:rPr/>
        <w:t>本集团金融负债（含利息费用）以未折现金额按合约规定的到期日列示如下：</w:t>
      </w:r>
    </w:p>
    <w:p>
      <w:pPr>
        <w:spacing w:line="240" w:lineRule="auto" w:before="11"/>
        <w:rPr>
          <w:rFonts w:ascii="宋体" w:hAnsi="宋体" w:cs="宋体" w:eastAsia="宋体" w:hint="default"/>
          <w:sz w:val="17"/>
          <w:szCs w:val="17"/>
        </w:rPr>
      </w:pPr>
    </w:p>
    <w:p>
      <w:pPr>
        <w:tabs>
          <w:tab w:pos="4035" w:val="left" w:leader="none"/>
          <w:tab w:pos="5503" w:val="left" w:leader="none"/>
          <w:tab w:pos="6979" w:val="left" w:leader="none"/>
          <w:tab w:pos="8350" w:val="left" w:leader="none"/>
        </w:tabs>
        <w:spacing w:before="0"/>
        <w:ind w:left="1019" w:right="107" w:firstLine="0"/>
        <w:jc w:val="left"/>
        <w:rPr>
          <w:rFonts w:ascii="宋体" w:hAnsi="宋体" w:cs="宋体" w:eastAsia="宋体" w:hint="default"/>
          <w:sz w:val="20"/>
          <w:szCs w:val="20"/>
        </w:rPr>
      </w:pPr>
      <w:r>
        <w:rPr>
          <w:rFonts w:ascii="宋体" w:hAnsi="宋体" w:cs="宋体" w:eastAsia="宋体" w:hint="default"/>
          <w:spacing w:val="-1"/>
          <w:sz w:val="20"/>
          <w:szCs w:val="20"/>
        </w:rPr>
        <w:t>（单位：人民币百万元）</w:t>
        <w:tab/>
      </w:r>
      <w:r>
        <w:rPr>
          <w:rFonts w:ascii="Arial" w:hAnsi="Arial" w:cs="Arial" w:eastAsia="Arial" w:hint="default"/>
          <w:sz w:val="20"/>
          <w:szCs w:val="20"/>
        </w:rPr>
        <w:t>1</w:t>
      </w:r>
      <w:r>
        <w:rPr>
          <w:rFonts w:ascii="宋体" w:hAnsi="宋体" w:cs="宋体" w:eastAsia="宋体" w:hint="default"/>
          <w:sz w:val="20"/>
          <w:szCs w:val="20"/>
        </w:rPr>
        <w:t>年以内</w:t>
        <w:tab/>
      </w:r>
      <w:r>
        <w:rPr>
          <w:rFonts w:ascii="Arial" w:hAnsi="Arial" w:cs="Arial" w:eastAsia="Arial" w:hint="default"/>
          <w:sz w:val="20"/>
          <w:szCs w:val="20"/>
        </w:rPr>
        <w:t>1</w:t>
      </w:r>
      <w:r>
        <w:rPr>
          <w:rFonts w:ascii="宋体" w:hAnsi="宋体" w:cs="宋体" w:eastAsia="宋体" w:hint="default"/>
          <w:sz w:val="20"/>
          <w:szCs w:val="20"/>
        </w:rPr>
        <w:t>至</w:t>
      </w:r>
      <w:r>
        <w:rPr>
          <w:rFonts w:ascii="Arial" w:hAnsi="Arial" w:cs="Arial" w:eastAsia="Arial" w:hint="default"/>
          <w:sz w:val="20"/>
          <w:szCs w:val="20"/>
        </w:rPr>
        <w:t>2</w:t>
      </w:r>
      <w:r>
        <w:rPr>
          <w:rFonts w:ascii="宋体" w:hAnsi="宋体" w:cs="宋体" w:eastAsia="宋体" w:hint="default"/>
          <w:sz w:val="20"/>
          <w:szCs w:val="20"/>
        </w:rPr>
        <w:t>年</w:t>
        <w:tab/>
      </w:r>
      <w:r>
        <w:rPr>
          <w:rFonts w:ascii="Arial" w:hAnsi="Arial" w:cs="Arial" w:eastAsia="Arial" w:hint="default"/>
          <w:sz w:val="20"/>
          <w:szCs w:val="20"/>
        </w:rPr>
        <w:t>2</w:t>
      </w:r>
      <w:r>
        <w:rPr>
          <w:rFonts w:ascii="宋体" w:hAnsi="宋体" w:cs="宋体" w:eastAsia="宋体" w:hint="default"/>
          <w:sz w:val="20"/>
          <w:szCs w:val="20"/>
        </w:rPr>
        <w:t>至</w:t>
      </w:r>
      <w:r>
        <w:rPr>
          <w:rFonts w:ascii="Arial" w:hAnsi="Arial" w:cs="Arial" w:eastAsia="Arial" w:hint="default"/>
          <w:sz w:val="20"/>
          <w:szCs w:val="20"/>
        </w:rPr>
        <w:t>5</w:t>
      </w:r>
      <w:r>
        <w:rPr>
          <w:rFonts w:ascii="宋体" w:hAnsi="宋体" w:cs="宋体" w:eastAsia="宋体" w:hint="default"/>
          <w:sz w:val="20"/>
          <w:szCs w:val="20"/>
        </w:rPr>
        <w:t>年</w:t>
        <w:tab/>
      </w:r>
      <w:r>
        <w:rPr>
          <w:rFonts w:ascii="Arial" w:hAnsi="Arial" w:cs="Arial" w:eastAsia="Arial" w:hint="default"/>
          <w:sz w:val="20"/>
          <w:szCs w:val="20"/>
        </w:rPr>
        <w:t>5</w:t>
      </w:r>
      <w:r>
        <w:rPr>
          <w:rFonts w:ascii="宋体" w:hAnsi="宋体" w:cs="宋体" w:eastAsia="宋体" w:hint="default"/>
          <w:sz w:val="20"/>
          <w:szCs w:val="20"/>
        </w:rPr>
        <w:t>年以上</w:t>
      </w:r>
    </w:p>
    <w:p>
      <w:pPr>
        <w:tabs>
          <w:tab w:pos="5186" w:val="left" w:leader="none"/>
          <w:tab w:pos="6653" w:val="left" w:leader="none"/>
          <w:tab w:pos="8139" w:val="left" w:leader="none"/>
        </w:tabs>
        <w:spacing w:line="20" w:lineRule="exact"/>
        <w:ind w:left="3806" w:right="0" w:firstLine="0"/>
        <w:rPr>
          <w:rFonts w:ascii="宋体" w:hAnsi="宋体" w:cs="宋体" w:eastAsia="宋体" w:hint="default"/>
          <w:sz w:val="2"/>
          <w:szCs w:val="2"/>
        </w:rPr>
      </w:pPr>
      <w:r>
        <w:rPr>
          <w:rFonts w:ascii="宋体"/>
          <w:sz w:val="2"/>
        </w:rPr>
        <w:pict>
          <v:group style="width:57.85pt;height:.75pt;mso-position-horizontal-relative:char;mso-position-vertical-relative:line" coordorigin="0,0" coordsize="1157,15">
            <v:group style="position:absolute;left:7;top:7;width:1143;height:2" coordorigin="7,7" coordsize="1143,2">
              <v:shape style="position:absolute;left:7;top:7;width:1143;height:2" coordorigin="7,7" coordsize="1143,0" path="m7,7l1150,7e" filled="false" stroked="true" strokeweight=".72pt" strokecolor="#000000">
                <v:path arrowok="t"/>
              </v:shape>
            </v:group>
          </v:group>
        </w:pict>
      </w:r>
      <w:r>
        <w:rPr>
          <w:rFonts w:ascii="宋体"/>
          <w:sz w:val="2"/>
        </w:rPr>
      </w:r>
      <w:r>
        <w:rPr>
          <w:rFonts w:ascii="宋体"/>
          <w:sz w:val="2"/>
        </w:rPr>
        <w:tab/>
      </w:r>
      <w:r>
        <w:rPr>
          <w:rFonts w:ascii="宋体"/>
          <w:sz w:val="2"/>
        </w:rPr>
        <w:pict>
          <v:group style="width:62.3pt;height:.75pt;mso-position-horizontal-relative:char;mso-position-vertical-relative:line" coordorigin="0,0" coordsize="1246,15">
            <v:group style="position:absolute;left:7;top:7;width:1232;height:2" coordorigin="7,7" coordsize="1232,2">
              <v:shape style="position:absolute;left:7;top:7;width:1232;height:2" coordorigin="7,7" coordsize="1232,0" path="m7,7l1238,7e" filled="false" stroked="true" strokeweight=".72pt" strokecolor="#000000">
                <v:path arrowok="t"/>
              </v:shape>
            </v:group>
          </v:group>
        </w:pict>
      </w:r>
      <w:r>
        <w:rPr>
          <w:rFonts w:ascii="宋体"/>
          <w:sz w:val="2"/>
        </w:rPr>
      </w:r>
      <w:r>
        <w:rPr>
          <w:rFonts w:ascii="宋体"/>
          <w:sz w:val="2"/>
        </w:rPr>
        <w:tab/>
      </w:r>
      <w:r>
        <w:rPr>
          <w:rFonts w:ascii="宋体"/>
          <w:sz w:val="2"/>
        </w:rPr>
        <w:pict>
          <v:group style="width:63.15pt;height:.75pt;mso-position-horizontal-relative:char;mso-position-vertical-relative:line" coordorigin="0,0" coordsize="1263,15">
            <v:group style="position:absolute;left:7;top:7;width:1248;height:2" coordorigin="7,7" coordsize="1248,2">
              <v:shape style="position:absolute;left:7;top:7;width:1248;height:2" coordorigin="7,7" coordsize="1248,0" path="m7,7l1255,7e" filled="false" stroked="true" strokeweight=".72pt" strokecolor="#000000">
                <v:path arrowok="t"/>
              </v:shape>
            </v:group>
          </v:group>
        </w:pict>
      </w:r>
      <w:r>
        <w:rPr>
          <w:rFonts w:ascii="宋体"/>
          <w:sz w:val="2"/>
        </w:rPr>
      </w:r>
      <w:r>
        <w:rPr>
          <w:rFonts w:ascii="宋体"/>
          <w:sz w:val="2"/>
        </w:rPr>
        <w:tab/>
      </w:r>
      <w:r>
        <w:rPr>
          <w:rFonts w:ascii="宋体"/>
          <w:sz w:val="2"/>
        </w:rPr>
        <w:pict>
          <v:group style="width:56.05pt;height:.75pt;mso-position-horizontal-relative:char;mso-position-vertical-relative:line" coordorigin="0,0" coordsize="1121,15">
            <v:group style="position:absolute;left:7;top:7;width:1107;height:2" coordorigin="7,7" coordsize="1107,2">
              <v:shape style="position:absolute;left:7;top:7;width:1107;height:2" coordorigin="7,7" coordsize="1107,0" path="m7,7l1114,7e" filled="false" stroked="true" strokeweight=".72pt" strokecolor="#000000">
                <v:path arrowok="t"/>
              </v:shape>
            </v:group>
          </v:group>
        </w:pict>
      </w:r>
      <w:r>
        <w:rPr>
          <w:rFonts w:ascii="宋体"/>
          <w:sz w:val="2"/>
        </w:rPr>
      </w:r>
    </w:p>
    <w:p>
      <w:pPr>
        <w:spacing w:line="240" w:lineRule="auto" w:before="12"/>
        <w:rPr>
          <w:rFonts w:ascii="宋体" w:hAnsi="宋体" w:cs="宋体" w:eastAsia="宋体" w:hint="default"/>
          <w:sz w:val="12"/>
          <w:szCs w:val="12"/>
        </w:rPr>
      </w:pPr>
    </w:p>
    <w:p>
      <w:pPr>
        <w:spacing w:before="38"/>
        <w:ind w:left="657" w:right="702" w:firstLine="0"/>
        <w:jc w:val="left"/>
        <w:rPr>
          <w:rFonts w:ascii="宋体" w:hAnsi="宋体" w:cs="宋体" w:eastAsia="宋体" w:hint="default"/>
          <w:sz w:val="20"/>
          <w:szCs w:val="20"/>
        </w:rPr>
      </w:pPr>
      <w:r>
        <w:rPr>
          <w:rFonts w:ascii="Arial" w:hAnsi="Arial" w:cs="Arial" w:eastAsia="Arial" w:hint="default"/>
          <w:sz w:val="20"/>
          <w:szCs w:val="20"/>
        </w:rPr>
        <w:t>2009</w:t>
      </w:r>
      <w:r>
        <w:rPr>
          <w:rFonts w:ascii="宋体" w:hAnsi="宋体" w:cs="宋体" w:eastAsia="宋体" w:hint="default"/>
          <w:sz w:val="20"/>
          <w:szCs w:val="20"/>
        </w:rPr>
        <w:t>年</w:t>
      </w:r>
      <w:r>
        <w:rPr>
          <w:rFonts w:ascii="Arial" w:hAnsi="Arial" w:cs="Arial" w:eastAsia="Arial" w:hint="default"/>
          <w:sz w:val="20"/>
          <w:szCs w:val="20"/>
        </w:rPr>
        <w:t>12</w:t>
      </w:r>
      <w:r>
        <w:rPr>
          <w:rFonts w:ascii="宋体" w:hAnsi="宋体" w:cs="宋体" w:eastAsia="宋体" w:hint="default"/>
          <w:sz w:val="20"/>
          <w:szCs w:val="20"/>
        </w:rPr>
        <w:t>月</w:t>
      </w:r>
      <w:r>
        <w:rPr>
          <w:rFonts w:ascii="Arial" w:hAnsi="Arial" w:cs="Arial" w:eastAsia="Arial" w:hint="default"/>
          <w:sz w:val="20"/>
          <w:szCs w:val="20"/>
        </w:rPr>
        <w:t>31</w:t>
      </w:r>
      <w:r>
        <w:rPr>
          <w:rFonts w:ascii="宋体" w:hAnsi="宋体" w:cs="宋体" w:eastAsia="宋体" w:hint="default"/>
          <w:sz w:val="20"/>
          <w:szCs w:val="20"/>
        </w:rPr>
        <w:t>日</w:t>
      </w:r>
    </w:p>
    <w:p>
      <w:pPr>
        <w:spacing w:line="240" w:lineRule="auto" w:before="9"/>
        <w:rPr>
          <w:rFonts w:ascii="宋体" w:hAnsi="宋体" w:cs="宋体" w:eastAsia="宋体" w:hint="default"/>
          <w:sz w:val="2"/>
          <w:szCs w:val="2"/>
        </w:rPr>
      </w:pPr>
    </w:p>
    <w:tbl>
      <w:tblPr>
        <w:tblW w:w="0" w:type="auto"/>
        <w:jc w:val="left"/>
        <w:tblInd w:w="622" w:type="dxa"/>
        <w:tblLayout w:type="fixed"/>
        <w:tblCellMar>
          <w:top w:w="0" w:type="dxa"/>
          <w:left w:w="0" w:type="dxa"/>
          <w:bottom w:w="0" w:type="dxa"/>
          <w:right w:w="0" w:type="dxa"/>
        </w:tblCellMar>
        <w:tblLook w:val="01E0"/>
      </w:tblPr>
      <w:tblGrid>
        <w:gridCol w:w="3184"/>
        <w:gridCol w:w="1157"/>
        <w:gridCol w:w="227"/>
        <w:gridCol w:w="1242"/>
        <w:gridCol w:w="226"/>
        <w:gridCol w:w="1259"/>
        <w:gridCol w:w="227"/>
        <w:gridCol w:w="1117"/>
      </w:tblGrid>
      <w:tr>
        <w:trPr>
          <w:trHeight w:val="250"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09" w:lineRule="exact"/>
              <w:ind w:left="203" w:right="0"/>
              <w:jc w:val="left"/>
              <w:rPr>
                <w:rFonts w:ascii="宋体" w:hAnsi="宋体" w:cs="宋体" w:eastAsia="宋体" w:hint="default"/>
                <w:sz w:val="20"/>
                <w:szCs w:val="20"/>
              </w:rPr>
            </w:pPr>
            <w:r>
              <w:rPr>
                <w:rFonts w:ascii="宋体" w:hAnsi="宋体" w:cs="宋体" w:eastAsia="宋体" w:hint="default"/>
                <w:sz w:val="20"/>
                <w:szCs w:val="20"/>
              </w:rPr>
              <w:t>长期借款</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38"/>
              <w:jc w:val="right"/>
              <w:rPr>
                <w:rFonts w:ascii="Arial" w:hAnsi="Arial" w:cs="Arial" w:eastAsia="Arial" w:hint="default"/>
                <w:sz w:val="20"/>
                <w:szCs w:val="20"/>
              </w:rPr>
            </w:pPr>
            <w:r>
              <w:rPr>
                <w:rFonts w:ascii="Arial"/>
                <w:sz w:val="20"/>
              </w:rPr>
              <w:t>71</w:t>
            </w:r>
          </w:p>
        </w:tc>
        <w:tc>
          <w:tcPr>
            <w:tcW w:w="227"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31"/>
              <w:jc w:val="right"/>
              <w:rPr>
                <w:rFonts w:ascii="Arial" w:hAnsi="Arial" w:cs="Arial" w:eastAsia="Arial" w:hint="default"/>
                <w:sz w:val="20"/>
                <w:szCs w:val="20"/>
              </w:rPr>
            </w:pPr>
            <w:r>
              <w:rPr>
                <w:rFonts w:ascii="Arial"/>
                <w:sz w:val="20"/>
              </w:rPr>
              <w:t>62</w:t>
            </w:r>
          </w:p>
        </w:tc>
        <w:tc>
          <w:tcPr>
            <w:tcW w:w="22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5"/>
              <w:ind w:left="789" w:right="0"/>
              <w:jc w:val="left"/>
              <w:rPr>
                <w:rFonts w:ascii="Arial" w:hAnsi="Arial" w:cs="Arial" w:eastAsia="Arial" w:hint="default"/>
                <w:sz w:val="20"/>
                <w:szCs w:val="20"/>
              </w:rPr>
            </w:pPr>
            <w:r>
              <w:rPr>
                <w:rFonts w:ascii="Arial"/>
                <w:sz w:val="20"/>
              </w:rPr>
              <w:t>185</w:t>
            </w:r>
          </w:p>
        </w:tc>
        <w:tc>
          <w:tcPr>
            <w:tcW w:w="227"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7"/>
              <w:jc w:val="right"/>
              <w:rPr>
                <w:rFonts w:ascii="Arial" w:hAnsi="Arial" w:cs="Arial" w:eastAsia="Arial" w:hint="default"/>
                <w:sz w:val="20"/>
                <w:szCs w:val="20"/>
              </w:rPr>
            </w:pPr>
            <w:r>
              <w:rPr>
                <w:rFonts w:ascii="Arial"/>
                <w:sz w:val="20"/>
              </w:rPr>
              <w:t>562</w:t>
            </w:r>
          </w:p>
        </w:tc>
      </w:tr>
      <w:tr>
        <w:trPr>
          <w:trHeight w:val="259"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19" w:lineRule="exact"/>
              <w:ind w:left="203" w:right="0"/>
              <w:jc w:val="left"/>
              <w:rPr>
                <w:rFonts w:ascii="宋体" w:hAnsi="宋体" w:cs="宋体" w:eastAsia="宋体" w:hint="default"/>
                <w:sz w:val="20"/>
                <w:szCs w:val="20"/>
              </w:rPr>
            </w:pPr>
            <w:r>
              <w:rPr>
                <w:rFonts w:ascii="宋体" w:hAnsi="宋体" w:cs="宋体" w:eastAsia="宋体" w:hint="default"/>
                <w:sz w:val="20"/>
                <w:szCs w:val="20"/>
              </w:rPr>
              <w:t>应付融资租赁款</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8"/>
              <w:jc w:val="right"/>
              <w:rPr>
                <w:rFonts w:ascii="Arial" w:hAnsi="Arial" w:cs="Arial" w:eastAsia="Arial" w:hint="default"/>
                <w:sz w:val="20"/>
                <w:szCs w:val="20"/>
              </w:rPr>
            </w:pPr>
            <w:r>
              <w:rPr>
                <w:rFonts w:ascii="Arial"/>
                <w:sz w:val="20"/>
              </w:rPr>
              <w:t>29</w:t>
            </w:r>
          </w:p>
        </w:tc>
        <w:tc>
          <w:tcPr>
            <w:tcW w:w="227"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74" w:right="0"/>
              <w:jc w:val="left"/>
              <w:rPr>
                <w:rFonts w:ascii="Arial" w:hAnsi="Arial" w:cs="Arial" w:eastAsia="Arial" w:hint="default"/>
                <w:sz w:val="20"/>
                <w:szCs w:val="20"/>
              </w:rPr>
            </w:pPr>
            <w:r>
              <w:rPr>
                <w:rFonts w:ascii="Arial"/>
                <w:sz w:val="20"/>
              </w:rPr>
              <w:t>105</w:t>
            </w:r>
          </w:p>
        </w:tc>
        <w:tc>
          <w:tcPr>
            <w:tcW w:w="22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2"/>
              <w:jc w:val="right"/>
              <w:rPr>
                <w:rFonts w:ascii="Arial" w:hAnsi="Arial" w:cs="Arial" w:eastAsia="Arial" w:hint="default"/>
                <w:sz w:val="20"/>
                <w:szCs w:val="20"/>
              </w:rPr>
            </w:pPr>
            <w:r>
              <w:rPr>
                <w:rFonts w:ascii="Arial"/>
                <w:w w:val="100"/>
                <w:sz w:val="20"/>
              </w:rPr>
              <w:t>-</w:t>
            </w:r>
          </w:p>
        </w:tc>
        <w:tc>
          <w:tcPr>
            <w:tcW w:w="227"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7"/>
              <w:jc w:val="right"/>
              <w:rPr>
                <w:rFonts w:ascii="Arial" w:hAnsi="Arial" w:cs="Arial" w:eastAsia="Arial" w:hint="default"/>
                <w:sz w:val="20"/>
                <w:szCs w:val="20"/>
              </w:rPr>
            </w:pPr>
            <w:r>
              <w:rPr>
                <w:rFonts w:ascii="Arial"/>
                <w:w w:val="100"/>
                <w:sz w:val="20"/>
              </w:rPr>
              <w:t>-</w:t>
            </w:r>
          </w:p>
        </w:tc>
      </w:tr>
      <w:tr>
        <w:trPr>
          <w:trHeight w:val="260"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19" w:lineRule="exact"/>
              <w:ind w:left="203" w:right="0"/>
              <w:jc w:val="left"/>
              <w:rPr>
                <w:rFonts w:ascii="宋体" w:hAnsi="宋体" w:cs="宋体" w:eastAsia="宋体" w:hint="default"/>
                <w:sz w:val="20"/>
                <w:szCs w:val="20"/>
              </w:rPr>
            </w:pPr>
            <w:r>
              <w:rPr>
                <w:rFonts w:ascii="宋体" w:hAnsi="宋体" w:cs="宋体" w:eastAsia="宋体" w:hint="default"/>
                <w:sz w:val="20"/>
                <w:szCs w:val="20"/>
              </w:rPr>
              <w:t>应付债券</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81" w:right="0"/>
              <w:jc w:val="left"/>
              <w:rPr>
                <w:rFonts w:ascii="Arial" w:hAnsi="Arial" w:cs="Arial" w:eastAsia="Arial" w:hint="default"/>
                <w:sz w:val="20"/>
                <w:szCs w:val="20"/>
              </w:rPr>
            </w:pPr>
            <w:r>
              <w:rPr>
                <w:rFonts w:ascii="Arial"/>
                <w:sz w:val="20"/>
              </w:rPr>
              <w:t>355</w:t>
            </w:r>
          </w:p>
        </w:tc>
        <w:tc>
          <w:tcPr>
            <w:tcW w:w="227"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73" w:right="0"/>
              <w:jc w:val="left"/>
              <w:rPr>
                <w:rFonts w:ascii="Arial" w:hAnsi="Arial" w:cs="Arial" w:eastAsia="Arial" w:hint="default"/>
                <w:sz w:val="20"/>
                <w:szCs w:val="20"/>
              </w:rPr>
            </w:pPr>
            <w:r>
              <w:rPr>
                <w:rFonts w:ascii="Arial"/>
                <w:sz w:val="20"/>
              </w:rPr>
              <w:t>355</w:t>
            </w:r>
          </w:p>
        </w:tc>
        <w:tc>
          <w:tcPr>
            <w:tcW w:w="22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22" w:right="0"/>
              <w:jc w:val="left"/>
              <w:rPr>
                <w:rFonts w:ascii="Arial" w:hAnsi="Arial" w:cs="Arial" w:eastAsia="Arial" w:hint="default"/>
                <w:sz w:val="20"/>
                <w:szCs w:val="20"/>
              </w:rPr>
            </w:pPr>
            <w:r>
              <w:rPr>
                <w:rFonts w:ascii="Arial"/>
                <w:sz w:val="20"/>
              </w:rPr>
              <w:t>5,726</w:t>
            </w:r>
          </w:p>
        </w:tc>
        <w:tc>
          <w:tcPr>
            <w:tcW w:w="227"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66" w:right="0"/>
              <w:jc w:val="left"/>
              <w:rPr>
                <w:rFonts w:ascii="Arial" w:hAnsi="Arial" w:cs="Arial" w:eastAsia="Arial" w:hint="default"/>
                <w:sz w:val="20"/>
                <w:szCs w:val="20"/>
              </w:rPr>
            </w:pPr>
            <w:r>
              <w:rPr>
                <w:rFonts w:ascii="Arial"/>
                <w:sz w:val="20"/>
              </w:rPr>
              <w:t>2,229</w:t>
            </w:r>
          </w:p>
        </w:tc>
      </w:tr>
      <w:tr>
        <w:trPr>
          <w:trHeight w:val="260"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19" w:lineRule="exact"/>
              <w:ind w:left="203" w:right="0"/>
              <w:jc w:val="left"/>
              <w:rPr>
                <w:rFonts w:ascii="宋体" w:hAnsi="宋体" w:cs="宋体" w:eastAsia="宋体" w:hint="default"/>
                <w:sz w:val="20"/>
                <w:szCs w:val="20"/>
              </w:rPr>
            </w:pPr>
            <w:r>
              <w:rPr>
                <w:rFonts w:ascii="宋体" w:hAnsi="宋体" w:cs="宋体" w:eastAsia="宋体" w:hint="default"/>
                <w:sz w:val="20"/>
                <w:szCs w:val="20"/>
              </w:rPr>
              <w:t>应付款项</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92" w:right="0"/>
              <w:jc w:val="left"/>
              <w:rPr>
                <w:rFonts w:ascii="Arial" w:hAnsi="Arial" w:cs="Arial" w:eastAsia="Arial" w:hint="default"/>
                <w:sz w:val="20"/>
                <w:szCs w:val="20"/>
              </w:rPr>
            </w:pPr>
            <w:r>
              <w:rPr>
                <w:rFonts w:ascii="Arial"/>
                <w:sz w:val="20"/>
              </w:rPr>
              <w:t>110,991</w:t>
            </w:r>
          </w:p>
        </w:tc>
        <w:tc>
          <w:tcPr>
            <w:tcW w:w="227"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1"/>
              <w:jc w:val="right"/>
              <w:rPr>
                <w:rFonts w:ascii="Arial" w:hAnsi="Arial" w:cs="Arial" w:eastAsia="Arial" w:hint="default"/>
                <w:sz w:val="20"/>
                <w:szCs w:val="20"/>
              </w:rPr>
            </w:pPr>
            <w:r>
              <w:rPr>
                <w:rFonts w:ascii="Arial"/>
                <w:w w:val="100"/>
                <w:sz w:val="20"/>
              </w:rPr>
              <w:t>6</w:t>
            </w:r>
          </w:p>
        </w:tc>
        <w:tc>
          <w:tcPr>
            <w:tcW w:w="22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2"/>
              <w:jc w:val="right"/>
              <w:rPr>
                <w:rFonts w:ascii="Arial" w:hAnsi="Arial" w:cs="Arial" w:eastAsia="Arial" w:hint="default"/>
                <w:sz w:val="20"/>
                <w:szCs w:val="20"/>
              </w:rPr>
            </w:pPr>
            <w:r>
              <w:rPr>
                <w:rFonts w:ascii="Arial"/>
                <w:sz w:val="20"/>
              </w:rPr>
              <w:t>18</w:t>
            </w:r>
          </w:p>
        </w:tc>
        <w:tc>
          <w:tcPr>
            <w:tcW w:w="227"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6"/>
              <w:jc w:val="right"/>
              <w:rPr>
                <w:rFonts w:ascii="Arial" w:hAnsi="Arial" w:cs="Arial" w:eastAsia="Arial" w:hint="default"/>
                <w:sz w:val="20"/>
                <w:szCs w:val="20"/>
              </w:rPr>
            </w:pPr>
            <w:r>
              <w:rPr>
                <w:rFonts w:ascii="Arial"/>
                <w:sz w:val="20"/>
              </w:rPr>
              <w:t>60</w:t>
            </w:r>
          </w:p>
        </w:tc>
      </w:tr>
      <w:tr>
        <w:trPr>
          <w:trHeight w:val="264"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19" w:lineRule="exact"/>
              <w:ind w:left="203" w:right="0"/>
              <w:jc w:val="left"/>
              <w:rPr>
                <w:rFonts w:ascii="宋体" w:hAnsi="宋体" w:cs="宋体" w:eastAsia="宋体" w:hint="default"/>
                <w:sz w:val="20"/>
                <w:szCs w:val="20"/>
              </w:rPr>
            </w:pPr>
            <w:r>
              <w:rPr>
                <w:rFonts w:ascii="宋体" w:hAnsi="宋体" w:cs="宋体" w:eastAsia="宋体" w:hint="default"/>
                <w:sz w:val="20"/>
                <w:szCs w:val="20"/>
              </w:rPr>
              <w:t>短期借款</w:t>
            </w:r>
          </w:p>
        </w:tc>
        <w:tc>
          <w:tcPr>
            <w:tcW w:w="1157" w:type="dxa"/>
            <w:tcBorders>
              <w:top w:val="nil" w:sz="6" w:space="0" w:color="auto"/>
              <w:left w:val="nil" w:sz="6" w:space="0" w:color="auto"/>
              <w:bottom w:val="nil" w:sz="6" w:space="0" w:color="auto"/>
              <w:right w:val="nil" w:sz="6" w:space="0" w:color="auto"/>
            </w:tcBorders>
          </w:tcPr>
          <w:p>
            <w:pPr>
              <w:pStyle w:val="TableParagraph"/>
              <w:tabs>
                <w:tab w:pos="403" w:val="left" w:leader="none"/>
                <w:tab w:pos="1149" w:val="left" w:leader="none"/>
              </w:tabs>
              <w:spacing w:line="240" w:lineRule="auto" w:before="15"/>
              <w:ind w:left="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64,752</w:t>
              <w:tab/>
            </w:r>
            <w:r>
              <w:rPr>
                <w:rFonts w:ascii="Arial"/>
                <w:sz w:val="20"/>
              </w:rPr>
            </w:r>
          </w:p>
        </w:tc>
        <w:tc>
          <w:tcPr>
            <w:tcW w:w="227"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nil" w:sz="6" w:space="0" w:color="auto"/>
              <w:right w:val="nil" w:sz="6" w:space="0" w:color="auto"/>
            </w:tcBorders>
          </w:tcPr>
          <w:p>
            <w:pPr>
              <w:pStyle w:val="TableParagraph"/>
              <w:tabs>
                <w:tab w:pos="1041" w:val="left" w:leader="none"/>
                <w:tab w:pos="1234" w:val="left" w:leader="none"/>
              </w:tabs>
              <w:spacing w:line="240" w:lineRule="auto" w:before="15"/>
              <w:ind w:left="3"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tab/>
            </w:r>
            <w:r>
              <w:rPr>
                <w:rFonts w:ascii="Arial"/>
                <w:sz w:val="20"/>
              </w:rPr>
            </w:r>
          </w:p>
        </w:tc>
        <w:tc>
          <w:tcPr>
            <w:tcW w:w="22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Style w:val="TableParagraph"/>
              <w:tabs>
                <w:tab w:pos="1057" w:val="left" w:leader="none"/>
                <w:tab w:pos="1251" w:val="left" w:leader="none"/>
              </w:tabs>
              <w:spacing w:line="240" w:lineRule="auto" w:before="15"/>
              <w:ind w:left="3"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tab/>
            </w:r>
            <w:r>
              <w:rPr>
                <w:rFonts w:ascii="Arial"/>
                <w:sz w:val="20"/>
              </w:rPr>
            </w:r>
          </w:p>
        </w:tc>
        <w:tc>
          <w:tcPr>
            <w:tcW w:w="227"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tabs>
                <w:tab w:pos="897" w:val="left" w:leader="none"/>
                <w:tab w:pos="1106" w:val="left" w:leader="none"/>
              </w:tabs>
              <w:spacing w:line="240" w:lineRule="auto" w:before="1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tab/>
            </w:r>
            <w:r>
              <w:rPr>
                <w:rFonts w:ascii="Arial"/>
                <w:sz w:val="20"/>
              </w:rPr>
            </w:r>
          </w:p>
        </w:tc>
      </w:tr>
      <w:tr>
        <w:trPr>
          <w:trHeight w:val="475" w:hRule="exact"/>
        </w:trPr>
        <w:tc>
          <w:tcPr>
            <w:tcW w:w="3184"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92" w:right="0"/>
              <w:jc w:val="left"/>
              <w:rPr>
                <w:rFonts w:ascii="Arial" w:hAnsi="Arial" w:cs="Arial" w:eastAsia="Arial" w:hint="default"/>
                <w:sz w:val="20"/>
                <w:szCs w:val="20"/>
              </w:rPr>
            </w:pPr>
            <w:r>
              <w:rPr>
                <w:rFonts w:ascii="Arial"/>
                <w:sz w:val="20"/>
              </w:rPr>
              <w:t>176,198</w:t>
            </w:r>
          </w:p>
        </w:tc>
        <w:tc>
          <w:tcPr>
            <w:tcW w:w="227"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773" w:right="0"/>
              <w:jc w:val="left"/>
              <w:rPr>
                <w:rFonts w:ascii="Arial" w:hAnsi="Arial" w:cs="Arial" w:eastAsia="Arial" w:hint="default"/>
                <w:sz w:val="20"/>
                <w:szCs w:val="20"/>
              </w:rPr>
            </w:pPr>
            <w:r>
              <w:rPr>
                <w:rFonts w:ascii="Arial"/>
                <w:sz w:val="20"/>
              </w:rPr>
              <w:t>528</w:t>
            </w:r>
          </w:p>
        </w:tc>
        <w:tc>
          <w:tcPr>
            <w:tcW w:w="22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single" w:sz="12" w:space="0" w:color="000000"/>
              <w:right w:val="nil" w:sz="6" w:space="0" w:color="auto"/>
            </w:tcBorders>
          </w:tcPr>
          <w:p>
            <w:pPr>
              <w:pStyle w:val="TableParagraph"/>
              <w:spacing w:line="230" w:lineRule="exact" w:before="1"/>
              <w:ind w:left="622" w:right="132" w:firstLine="434"/>
              <w:jc w:val="left"/>
              <w:rPr>
                <w:rFonts w:ascii="Arial" w:hAnsi="Arial" w:cs="Arial" w:eastAsia="Arial" w:hint="default"/>
                <w:sz w:val="20"/>
                <w:szCs w:val="20"/>
              </w:rPr>
            </w:pPr>
            <w:r>
              <w:rPr>
                <w:rFonts w:ascii="Arial"/>
                <w:sz w:val="20"/>
              </w:rPr>
              <w:t>-</w:t>
            </w:r>
            <w:r>
              <w:rPr>
                <w:rFonts w:ascii="Arial"/>
                <w:w w:val="100"/>
                <w:sz w:val="20"/>
              </w:rPr>
              <w:t> </w:t>
            </w:r>
            <w:r>
              <w:rPr>
                <w:rFonts w:ascii="Arial"/>
                <w:sz w:val="20"/>
              </w:rPr>
              <w:t>5,929</w:t>
            </w:r>
          </w:p>
        </w:tc>
        <w:tc>
          <w:tcPr>
            <w:tcW w:w="227"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single" w:sz="12" w:space="0" w:color="000000"/>
              <w:right w:val="nil" w:sz="6" w:space="0" w:color="auto"/>
            </w:tcBorders>
          </w:tcPr>
          <w:p>
            <w:pPr>
              <w:pStyle w:val="TableParagraph"/>
              <w:spacing w:line="230" w:lineRule="exact" w:before="1"/>
              <w:ind w:left="466" w:right="147" w:firstLine="434"/>
              <w:jc w:val="left"/>
              <w:rPr>
                <w:rFonts w:ascii="Arial" w:hAnsi="Arial" w:cs="Arial" w:eastAsia="Arial" w:hint="default"/>
                <w:sz w:val="20"/>
                <w:szCs w:val="20"/>
              </w:rPr>
            </w:pPr>
            <w:r>
              <w:rPr>
                <w:rFonts w:ascii="Arial"/>
                <w:sz w:val="20"/>
              </w:rPr>
              <w:t>-</w:t>
            </w:r>
            <w:r>
              <w:rPr>
                <w:rFonts w:ascii="Arial"/>
                <w:w w:val="100"/>
                <w:sz w:val="20"/>
              </w:rPr>
              <w:t> </w:t>
            </w:r>
            <w:r>
              <w:rPr>
                <w:rFonts w:ascii="Arial"/>
                <w:sz w:val="20"/>
              </w:rPr>
              <w:t>2,851</w:t>
            </w:r>
          </w:p>
        </w:tc>
      </w:tr>
      <w:tr>
        <w:trPr>
          <w:trHeight w:val="368"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40" w:lineRule="auto" w:before="72"/>
              <w:ind w:left="35" w:right="0"/>
              <w:jc w:val="left"/>
              <w:rPr>
                <w:rFonts w:ascii="宋体" w:hAnsi="宋体" w:cs="宋体" w:eastAsia="宋体" w:hint="default"/>
                <w:sz w:val="20"/>
                <w:szCs w:val="20"/>
              </w:rPr>
            </w:pPr>
            <w:r>
              <w:rPr>
                <w:rFonts w:ascii="Arial" w:hAnsi="Arial" w:cs="Arial" w:eastAsia="Arial" w:hint="default"/>
                <w:sz w:val="20"/>
                <w:szCs w:val="20"/>
              </w:rPr>
              <w:t>2008</w:t>
            </w:r>
            <w:r>
              <w:rPr>
                <w:rFonts w:ascii="宋体" w:hAnsi="宋体" w:cs="宋体" w:eastAsia="宋体" w:hint="default"/>
                <w:sz w:val="20"/>
                <w:szCs w:val="20"/>
              </w:rPr>
              <w:t>年</w:t>
            </w:r>
            <w:r>
              <w:rPr>
                <w:rFonts w:ascii="Arial" w:hAnsi="Arial" w:cs="Arial" w:eastAsia="Arial" w:hint="default"/>
                <w:sz w:val="20"/>
                <w:szCs w:val="20"/>
              </w:rPr>
              <w:t>12</w:t>
            </w:r>
            <w:r>
              <w:rPr>
                <w:rFonts w:ascii="宋体" w:hAnsi="宋体" w:cs="宋体" w:eastAsia="宋体" w:hint="default"/>
                <w:sz w:val="20"/>
                <w:szCs w:val="20"/>
              </w:rPr>
              <w:t>月</w:t>
            </w:r>
            <w:r>
              <w:rPr>
                <w:rFonts w:ascii="Arial" w:hAnsi="Arial" w:cs="Arial" w:eastAsia="Arial" w:hint="default"/>
                <w:sz w:val="20"/>
                <w:szCs w:val="20"/>
              </w:rPr>
              <w:t>31</w:t>
            </w:r>
            <w:r>
              <w:rPr>
                <w:rFonts w:ascii="宋体" w:hAnsi="宋体" w:cs="宋体" w:eastAsia="宋体" w:hint="default"/>
                <w:sz w:val="20"/>
                <w:szCs w:val="20"/>
              </w:rPr>
              <w:t>日（经重列）</w:t>
            </w:r>
          </w:p>
        </w:tc>
        <w:tc>
          <w:tcPr>
            <w:tcW w:w="1157" w:type="dxa"/>
            <w:tcBorders>
              <w:top w:val="single" w:sz="12" w:space="0" w:color="000000"/>
              <w:left w:val="nil" w:sz="6" w:space="0" w:color="auto"/>
              <w:bottom w:val="nil" w:sz="6" w:space="0" w:color="auto"/>
              <w:right w:val="nil" w:sz="6" w:space="0" w:color="auto"/>
            </w:tcBorders>
          </w:tcPr>
          <w:p>
            <w:pPr/>
          </w:p>
        </w:tc>
        <w:tc>
          <w:tcPr>
            <w:tcW w:w="227" w:type="dxa"/>
            <w:tcBorders>
              <w:top w:val="nil" w:sz="6" w:space="0" w:color="auto"/>
              <w:left w:val="nil" w:sz="6" w:space="0" w:color="auto"/>
              <w:bottom w:val="nil" w:sz="6" w:space="0" w:color="auto"/>
              <w:right w:val="nil" w:sz="6" w:space="0" w:color="auto"/>
            </w:tcBorders>
          </w:tcPr>
          <w:p>
            <w:pPr/>
          </w:p>
        </w:tc>
        <w:tc>
          <w:tcPr>
            <w:tcW w:w="1242" w:type="dxa"/>
            <w:tcBorders>
              <w:top w:val="single" w:sz="12" w:space="0" w:color="000000"/>
              <w:left w:val="nil" w:sz="6" w:space="0" w:color="auto"/>
              <w:bottom w:val="nil" w:sz="6" w:space="0" w:color="auto"/>
              <w:right w:val="nil" w:sz="6" w:space="0" w:color="auto"/>
            </w:tcBorders>
          </w:tcPr>
          <w:p>
            <w:pPr/>
          </w:p>
        </w:tc>
        <w:tc>
          <w:tcPr>
            <w:tcW w:w="226" w:type="dxa"/>
            <w:tcBorders>
              <w:top w:val="nil" w:sz="6" w:space="0" w:color="auto"/>
              <w:left w:val="nil" w:sz="6" w:space="0" w:color="auto"/>
              <w:bottom w:val="nil" w:sz="6" w:space="0" w:color="auto"/>
              <w:right w:val="nil" w:sz="6" w:space="0" w:color="auto"/>
            </w:tcBorders>
          </w:tcPr>
          <w:p>
            <w:pPr/>
          </w:p>
        </w:tc>
        <w:tc>
          <w:tcPr>
            <w:tcW w:w="1259" w:type="dxa"/>
            <w:tcBorders>
              <w:top w:val="single" w:sz="12" w:space="0" w:color="000000"/>
              <w:left w:val="nil" w:sz="6" w:space="0" w:color="auto"/>
              <w:bottom w:val="nil" w:sz="6" w:space="0" w:color="auto"/>
              <w:right w:val="nil" w:sz="6" w:space="0" w:color="auto"/>
            </w:tcBorders>
          </w:tcPr>
          <w:p>
            <w:pPr/>
          </w:p>
        </w:tc>
        <w:tc>
          <w:tcPr>
            <w:tcW w:w="227" w:type="dxa"/>
            <w:tcBorders>
              <w:top w:val="nil" w:sz="6" w:space="0" w:color="auto"/>
              <w:left w:val="nil" w:sz="6" w:space="0" w:color="auto"/>
              <w:bottom w:val="nil" w:sz="6" w:space="0" w:color="auto"/>
              <w:right w:val="nil" w:sz="6" w:space="0" w:color="auto"/>
            </w:tcBorders>
          </w:tcPr>
          <w:p>
            <w:pPr/>
          </w:p>
        </w:tc>
        <w:tc>
          <w:tcPr>
            <w:tcW w:w="1117" w:type="dxa"/>
            <w:tcBorders>
              <w:top w:val="single" w:sz="12" w:space="0" w:color="000000"/>
              <w:left w:val="nil" w:sz="6" w:space="0" w:color="auto"/>
              <w:bottom w:val="nil" w:sz="6" w:space="0" w:color="auto"/>
              <w:right w:val="nil" w:sz="6" w:space="0" w:color="auto"/>
            </w:tcBorders>
          </w:tcPr>
          <w:p>
            <w:pPr/>
          </w:p>
        </w:tc>
      </w:tr>
      <w:tr>
        <w:trPr>
          <w:trHeight w:val="265"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25" w:lineRule="exact"/>
              <w:ind w:left="203" w:right="0"/>
              <w:jc w:val="left"/>
              <w:rPr>
                <w:rFonts w:ascii="宋体" w:hAnsi="宋体" w:cs="宋体" w:eastAsia="宋体" w:hint="default"/>
                <w:sz w:val="20"/>
                <w:szCs w:val="20"/>
              </w:rPr>
            </w:pPr>
            <w:r>
              <w:rPr>
                <w:rFonts w:ascii="宋体" w:hAnsi="宋体" w:cs="宋体" w:eastAsia="宋体" w:hint="default"/>
                <w:sz w:val="20"/>
                <w:szCs w:val="20"/>
              </w:rPr>
              <w:t>长期借款</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21"/>
              <w:ind w:left="514" w:right="0"/>
              <w:jc w:val="left"/>
              <w:rPr>
                <w:rFonts w:ascii="Arial" w:hAnsi="Arial" w:cs="Arial" w:eastAsia="Arial" w:hint="default"/>
                <w:sz w:val="20"/>
                <w:szCs w:val="20"/>
              </w:rPr>
            </w:pPr>
            <w:r>
              <w:rPr>
                <w:rFonts w:ascii="Arial"/>
                <w:sz w:val="20"/>
              </w:rPr>
              <w:t>1,299</w:t>
            </w:r>
          </w:p>
        </w:tc>
        <w:tc>
          <w:tcPr>
            <w:tcW w:w="227"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21"/>
              <w:ind w:left="774" w:right="0"/>
              <w:jc w:val="left"/>
              <w:rPr>
                <w:rFonts w:ascii="Arial" w:hAnsi="Arial" w:cs="Arial" w:eastAsia="Arial" w:hint="default"/>
                <w:sz w:val="20"/>
                <w:szCs w:val="20"/>
              </w:rPr>
            </w:pPr>
            <w:r>
              <w:rPr>
                <w:rFonts w:ascii="Arial"/>
                <w:sz w:val="20"/>
              </w:rPr>
              <w:t>108</w:t>
            </w:r>
          </w:p>
        </w:tc>
        <w:tc>
          <w:tcPr>
            <w:tcW w:w="22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21"/>
              <w:ind w:left="789" w:right="0"/>
              <w:jc w:val="left"/>
              <w:rPr>
                <w:rFonts w:ascii="Arial" w:hAnsi="Arial" w:cs="Arial" w:eastAsia="Arial" w:hint="default"/>
                <w:sz w:val="20"/>
                <w:szCs w:val="20"/>
              </w:rPr>
            </w:pPr>
            <w:r>
              <w:rPr>
                <w:rFonts w:ascii="Arial"/>
                <w:sz w:val="20"/>
              </w:rPr>
              <w:t>315</w:t>
            </w:r>
          </w:p>
        </w:tc>
        <w:tc>
          <w:tcPr>
            <w:tcW w:w="227"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46"/>
              <w:jc w:val="right"/>
              <w:rPr>
                <w:rFonts w:ascii="Arial" w:hAnsi="Arial" w:cs="Arial" w:eastAsia="Arial" w:hint="default"/>
                <w:sz w:val="20"/>
                <w:szCs w:val="20"/>
              </w:rPr>
            </w:pPr>
            <w:r>
              <w:rPr>
                <w:rFonts w:ascii="Arial"/>
                <w:sz w:val="20"/>
              </w:rPr>
              <w:t>635</w:t>
            </w:r>
          </w:p>
        </w:tc>
      </w:tr>
      <w:tr>
        <w:trPr>
          <w:trHeight w:val="259"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19" w:lineRule="exact"/>
              <w:ind w:left="203" w:right="0"/>
              <w:jc w:val="left"/>
              <w:rPr>
                <w:rFonts w:ascii="宋体" w:hAnsi="宋体" w:cs="宋体" w:eastAsia="宋体" w:hint="default"/>
                <w:sz w:val="20"/>
                <w:szCs w:val="20"/>
              </w:rPr>
            </w:pPr>
            <w:r>
              <w:rPr>
                <w:rFonts w:ascii="宋体" w:hAnsi="宋体" w:cs="宋体" w:eastAsia="宋体" w:hint="default"/>
                <w:sz w:val="20"/>
                <w:szCs w:val="20"/>
              </w:rPr>
              <w:t>应付债券</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81" w:right="0"/>
              <w:jc w:val="left"/>
              <w:rPr>
                <w:rFonts w:ascii="Arial" w:hAnsi="Arial" w:cs="Arial" w:eastAsia="Arial" w:hint="default"/>
                <w:sz w:val="20"/>
                <w:szCs w:val="20"/>
              </w:rPr>
            </w:pPr>
            <w:r>
              <w:rPr>
                <w:rFonts w:ascii="Arial"/>
                <w:sz w:val="20"/>
              </w:rPr>
              <w:t>355</w:t>
            </w:r>
          </w:p>
        </w:tc>
        <w:tc>
          <w:tcPr>
            <w:tcW w:w="227"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73" w:right="0"/>
              <w:jc w:val="left"/>
              <w:rPr>
                <w:rFonts w:ascii="Arial" w:hAnsi="Arial" w:cs="Arial" w:eastAsia="Arial" w:hint="default"/>
                <w:sz w:val="20"/>
                <w:szCs w:val="20"/>
              </w:rPr>
            </w:pPr>
            <w:r>
              <w:rPr>
                <w:rFonts w:ascii="Arial"/>
                <w:sz w:val="20"/>
              </w:rPr>
              <w:t>355</w:t>
            </w:r>
          </w:p>
        </w:tc>
        <w:tc>
          <w:tcPr>
            <w:tcW w:w="22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22" w:right="0"/>
              <w:jc w:val="left"/>
              <w:rPr>
                <w:rFonts w:ascii="Arial" w:hAnsi="Arial" w:cs="Arial" w:eastAsia="Arial" w:hint="default"/>
                <w:sz w:val="20"/>
                <w:szCs w:val="20"/>
              </w:rPr>
            </w:pPr>
            <w:r>
              <w:rPr>
                <w:rFonts w:ascii="Arial"/>
                <w:sz w:val="20"/>
              </w:rPr>
              <w:t>6,064</w:t>
            </w:r>
          </w:p>
        </w:tc>
        <w:tc>
          <w:tcPr>
            <w:tcW w:w="227"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66" w:right="0"/>
              <w:jc w:val="left"/>
              <w:rPr>
                <w:rFonts w:ascii="Arial" w:hAnsi="Arial" w:cs="Arial" w:eastAsia="Arial" w:hint="default"/>
                <w:sz w:val="20"/>
                <w:szCs w:val="20"/>
              </w:rPr>
            </w:pPr>
            <w:r>
              <w:rPr>
                <w:rFonts w:ascii="Arial"/>
                <w:sz w:val="20"/>
              </w:rPr>
              <w:t>2,360</w:t>
            </w:r>
          </w:p>
        </w:tc>
      </w:tr>
      <w:tr>
        <w:trPr>
          <w:trHeight w:val="259"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19" w:lineRule="exact"/>
              <w:ind w:left="203" w:right="0"/>
              <w:jc w:val="left"/>
              <w:rPr>
                <w:rFonts w:ascii="宋体" w:hAnsi="宋体" w:cs="宋体" w:eastAsia="宋体" w:hint="default"/>
                <w:sz w:val="20"/>
                <w:szCs w:val="20"/>
              </w:rPr>
            </w:pPr>
            <w:r>
              <w:rPr>
                <w:rFonts w:ascii="宋体" w:hAnsi="宋体" w:cs="宋体" w:eastAsia="宋体" w:hint="default"/>
                <w:sz w:val="20"/>
                <w:szCs w:val="20"/>
              </w:rPr>
              <w:t>应付款项</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03" w:right="0"/>
              <w:jc w:val="left"/>
              <w:rPr>
                <w:rFonts w:ascii="Arial" w:hAnsi="Arial" w:cs="Arial" w:eastAsia="Arial" w:hint="default"/>
                <w:sz w:val="20"/>
                <w:szCs w:val="20"/>
              </w:rPr>
            </w:pPr>
            <w:r>
              <w:rPr>
                <w:rFonts w:ascii="Arial"/>
                <w:sz w:val="20"/>
              </w:rPr>
              <w:t>77,531</w:t>
            </w:r>
          </w:p>
        </w:tc>
        <w:tc>
          <w:tcPr>
            <w:tcW w:w="227"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74" w:right="0"/>
              <w:jc w:val="left"/>
              <w:rPr>
                <w:rFonts w:ascii="Arial" w:hAnsi="Arial" w:cs="Arial" w:eastAsia="Arial" w:hint="default"/>
                <w:sz w:val="20"/>
                <w:szCs w:val="20"/>
              </w:rPr>
            </w:pPr>
            <w:r>
              <w:rPr>
                <w:rFonts w:ascii="Arial"/>
                <w:sz w:val="20"/>
              </w:rPr>
              <w:t>400</w:t>
            </w:r>
          </w:p>
        </w:tc>
        <w:tc>
          <w:tcPr>
            <w:tcW w:w="22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22" w:right="0"/>
              <w:jc w:val="left"/>
              <w:rPr>
                <w:rFonts w:ascii="Arial" w:hAnsi="Arial" w:cs="Arial" w:eastAsia="Arial" w:hint="default"/>
                <w:sz w:val="20"/>
                <w:szCs w:val="20"/>
              </w:rPr>
            </w:pPr>
            <w:r>
              <w:rPr>
                <w:rFonts w:ascii="Arial"/>
                <w:sz w:val="20"/>
              </w:rPr>
              <w:t>1,052</w:t>
            </w:r>
          </w:p>
        </w:tc>
        <w:tc>
          <w:tcPr>
            <w:tcW w:w="227"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6"/>
              <w:jc w:val="right"/>
              <w:rPr>
                <w:rFonts w:ascii="Arial" w:hAnsi="Arial" w:cs="Arial" w:eastAsia="Arial" w:hint="default"/>
                <w:sz w:val="20"/>
                <w:szCs w:val="20"/>
              </w:rPr>
            </w:pPr>
            <w:r>
              <w:rPr>
                <w:rFonts w:ascii="Arial"/>
                <w:sz w:val="20"/>
              </w:rPr>
              <w:t>924</w:t>
            </w:r>
          </w:p>
        </w:tc>
      </w:tr>
      <w:tr>
        <w:trPr>
          <w:trHeight w:val="260"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19" w:lineRule="exact"/>
              <w:ind w:left="203" w:right="0"/>
              <w:jc w:val="left"/>
              <w:rPr>
                <w:rFonts w:ascii="宋体" w:hAnsi="宋体" w:cs="宋体" w:eastAsia="宋体" w:hint="default"/>
                <w:sz w:val="20"/>
                <w:szCs w:val="20"/>
              </w:rPr>
            </w:pPr>
            <w:r>
              <w:rPr>
                <w:rFonts w:ascii="宋体" w:hAnsi="宋体" w:cs="宋体" w:eastAsia="宋体" w:hint="default"/>
                <w:sz w:val="20"/>
                <w:szCs w:val="20"/>
              </w:rPr>
              <w:t>应付短期债券</w:t>
            </w:r>
          </w:p>
        </w:tc>
        <w:tc>
          <w:tcPr>
            <w:tcW w:w="115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03" w:right="0"/>
              <w:jc w:val="left"/>
              <w:rPr>
                <w:rFonts w:ascii="Arial" w:hAnsi="Arial" w:cs="Arial" w:eastAsia="Arial" w:hint="default"/>
                <w:sz w:val="20"/>
                <w:szCs w:val="20"/>
              </w:rPr>
            </w:pPr>
            <w:r>
              <w:rPr>
                <w:rFonts w:ascii="Arial"/>
                <w:sz w:val="20"/>
              </w:rPr>
              <w:t>10,447</w:t>
            </w:r>
          </w:p>
        </w:tc>
        <w:tc>
          <w:tcPr>
            <w:tcW w:w="227"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1"/>
              <w:jc w:val="right"/>
              <w:rPr>
                <w:rFonts w:ascii="Arial" w:hAnsi="Arial" w:cs="Arial" w:eastAsia="Arial" w:hint="default"/>
                <w:sz w:val="20"/>
                <w:szCs w:val="20"/>
              </w:rPr>
            </w:pPr>
            <w:r>
              <w:rPr>
                <w:rFonts w:ascii="Arial"/>
                <w:w w:val="100"/>
                <w:sz w:val="20"/>
              </w:rPr>
              <w:t>-</w:t>
            </w:r>
          </w:p>
        </w:tc>
        <w:tc>
          <w:tcPr>
            <w:tcW w:w="22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2"/>
              <w:jc w:val="right"/>
              <w:rPr>
                <w:rFonts w:ascii="Arial" w:hAnsi="Arial" w:cs="Arial" w:eastAsia="Arial" w:hint="default"/>
                <w:sz w:val="20"/>
                <w:szCs w:val="20"/>
              </w:rPr>
            </w:pPr>
            <w:r>
              <w:rPr>
                <w:rFonts w:ascii="Arial"/>
                <w:w w:val="100"/>
                <w:sz w:val="20"/>
              </w:rPr>
              <w:t>-</w:t>
            </w:r>
          </w:p>
        </w:tc>
        <w:tc>
          <w:tcPr>
            <w:tcW w:w="227"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7"/>
              <w:jc w:val="right"/>
              <w:rPr>
                <w:rFonts w:ascii="Arial" w:hAnsi="Arial" w:cs="Arial" w:eastAsia="Arial" w:hint="default"/>
                <w:sz w:val="20"/>
                <w:szCs w:val="20"/>
              </w:rPr>
            </w:pPr>
            <w:r>
              <w:rPr>
                <w:rFonts w:ascii="Arial"/>
                <w:w w:val="100"/>
                <w:sz w:val="20"/>
              </w:rPr>
              <w:t>-</w:t>
            </w:r>
          </w:p>
        </w:tc>
      </w:tr>
      <w:tr>
        <w:trPr>
          <w:trHeight w:val="379" w:hRule="exact"/>
        </w:trPr>
        <w:tc>
          <w:tcPr>
            <w:tcW w:w="3184" w:type="dxa"/>
            <w:tcBorders>
              <w:top w:val="nil" w:sz="6" w:space="0" w:color="auto"/>
              <w:left w:val="nil" w:sz="6" w:space="0" w:color="auto"/>
              <w:bottom w:val="nil" w:sz="6" w:space="0" w:color="auto"/>
              <w:right w:val="nil" w:sz="6" w:space="0" w:color="auto"/>
            </w:tcBorders>
          </w:tcPr>
          <w:p>
            <w:pPr>
              <w:pStyle w:val="TableParagraph"/>
              <w:spacing w:line="219" w:lineRule="exact"/>
              <w:ind w:left="203" w:right="0"/>
              <w:jc w:val="left"/>
              <w:rPr>
                <w:rFonts w:ascii="宋体" w:hAnsi="宋体" w:cs="宋体" w:eastAsia="宋体" w:hint="default"/>
                <w:sz w:val="20"/>
                <w:szCs w:val="20"/>
              </w:rPr>
            </w:pPr>
            <w:r>
              <w:rPr>
                <w:rFonts w:ascii="宋体" w:hAnsi="宋体" w:cs="宋体" w:eastAsia="宋体" w:hint="default"/>
                <w:sz w:val="20"/>
                <w:szCs w:val="20"/>
              </w:rPr>
              <w:t>短期借款</w:t>
            </w:r>
          </w:p>
        </w:tc>
        <w:tc>
          <w:tcPr>
            <w:tcW w:w="1157" w:type="dxa"/>
            <w:tcBorders>
              <w:top w:val="nil" w:sz="6" w:space="0" w:color="auto"/>
              <w:left w:val="nil" w:sz="6" w:space="0" w:color="auto"/>
              <w:bottom w:val="nil" w:sz="6" w:space="0" w:color="auto"/>
              <w:right w:val="nil" w:sz="6" w:space="0" w:color="auto"/>
            </w:tcBorders>
          </w:tcPr>
          <w:p>
            <w:pPr>
              <w:pStyle w:val="TableParagraph"/>
              <w:tabs>
                <w:tab w:pos="403" w:val="left" w:leader="none"/>
                <w:tab w:pos="1149" w:val="left" w:leader="none"/>
              </w:tabs>
              <w:spacing w:line="240" w:lineRule="auto" w:before="15"/>
              <w:ind w:left="7"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11,013</w:t>
              <w:tab/>
            </w:r>
            <w:r>
              <w:rPr>
                <w:rFonts w:ascii="Arial"/>
                <w:sz w:val="20"/>
              </w:rPr>
            </w:r>
          </w:p>
        </w:tc>
        <w:tc>
          <w:tcPr>
            <w:tcW w:w="227"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nil" w:sz="6" w:space="0" w:color="auto"/>
              <w:right w:val="nil" w:sz="6" w:space="0" w:color="auto"/>
            </w:tcBorders>
          </w:tcPr>
          <w:p>
            <w:pPr>
              <w:pStyle w:val="TableParagraph"/>
              <w:tabs>
                <w:tab w:pos="1041" w:val="left" w:leader="none"/>
                <w:tab w:pos="1234" w:val="left" w:leader="none"/>
              </w:tabs>
              <w:spacing w:line="240" w:lineRule="auto" w:before="15"/>
              <w:ind w:left="3"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tab/>
            </w:r>
            <w:r>
              <w:rPr>
                <w:rFonts w:ascii="Arial"/>
                <w:sz w:val="20"/>
              </w:rPr>
            </w:r>
          </w:p>
        </w:tc>
        <w:tc>
          <w:tcPr>
            <w:tcW w:w="22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Style w:val="TableParagraph"/>
              <w:tabs>
                <w:tab w:pos="1057" w:val="left" w:leader="none"/>
                <w:tab w:pos="1251" w:val="left" w:leader="none"/>
              </w:tabs>
              <w:spacing w:line="240" w:lineRule="auto" w:before="15"/>
              <w:ind w:left="3"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tab/>
            </w:r>
            <w:r>
              <w:rPr>
                <w:rFonts w:ascii="Arial"/>
                <w:sz w:val="20"/>
              </w:rPr>
            </w:r>
          </w:p>
        </w:tc>
        <w:tc>
          <w:tcPr>
            <w:tcW w:w="227"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nil" w:sz="6" w:space="0" w:color="auto"/>
              <w:right w:val="nil" w:sz="6" w:space="0" w:color="auto"/>
            </w:tcBorders>
          </w:tcPr>
          <w:p>
            <w:pPr>
              <w:pStyle w:val="TableParagraph"/>
              <w:tabs>
                <w:tab w:pos="897" w:val="left" w:leader="none"/>
                <w:tab w:pos="1106" w:val="left" w:leader="none"/>
              </w:tabs>
              <w:spacing w:line="240" w:lineRule="auto" w:before="1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tab/>
            </w:r>
            <w:r>
              <w:rPr>
                <w:rFonts w:ascii="Arial"/>
                <w:sz w:val="20"/>
              </w:rPr>
            </w:r>
          </w:p>
        </w:tc>
      </w:tr>
      <w:tr>
        <w:trPr>
          <w:trHeight w:val="360" w:hRule="exact"/>
        </w:trPr>
        <w:tc>
          <w:tcPr>
            <w:tcW w:w="3184" w:type="dxa"/>
            <w:tcBorders>
              <w:top w:val="nil" w:sz="6" w:space="0" w:color="auto"/>
              <w:left w:val="nil" w:sz="6" w:space="0" w:color="auto"/>
              <w:bottom w:val="nil" w:sz="6" w:space="0" w:color="auto"/>
              <w:right w:val="nil" w:sz="6" w:space="0" w:color="auto"/>
            </w:tcBorders>
          </w:tcPr>
          <w:p>
            <w:pPr/>
          </w:p>
        </w:tc>
        <w:tc>
          <w:tcPr>
            <w:tcW w:w="1157" w:type="dxa"/>
            <w:tcBorders>
              <w:top w:val="nil" w:sz="6" w:space="0" w:color="auto"/>
              <w:left w:val="nil" w:sz="6" w:space="0" w:color="auto"/>
              <w:bottom w:val="single" w:sz="12" w:space="0" w:color="000000"/>
              <w:right w:val="nil" w:sz="6" w:space="0" w:color="auto"/>
            </w:tcBorders>
          </w:tcPr>
          <w:p>
            <w:pPr>
              <w:pStyle w:val="TableParagraph"/>
              <w:spacing w:line="240" w:lineRule="auto" w:before="112"/>
              <w:ind w:left="292" w:right="0"/>
              <w:jc w:val="left"/>
              <w:rPr>
                <w:rFonts w:ascii="Arial" w:hAnsi="Arial" w:cs="Arial" w:eastAsia="Arial" w:hint="default"/>
                <w:sz w:val="20"/>
                <w:szCs w:val="20"/>
              </w:rPr>
            </w:pPr>
            <w:r>
              <w:rPr>
                <w:rFonts w:ascii="Arial"/>
                <w:sz w:val="20"/>
              </w:rPr>
              <w:t>100,645</w:t>
            </w:r>
          </w:p>
        </w:tc>
        <w:tc>
          <w:tcPr>
            <w:tcW w:w="227" w:type="dxa"/>
            <w:tcBorders>
              <w:top w:val="nil" w:sz="6" w:space="0" w:color="auto"/>
              <w:left w:val="nil" w:sz="6" w:space="0" w:color="auto"/>
              <w:bottom w:val="nil" w:sz="6" w:space="0" w:color="auto"/>
              <w:right w:val="nil" w:sz="6" w:space="0" w:color="auto"/>
            </w:tcBorders>
          </w:tcPr>
          <w:p>
            <w:pPr/>
          </w:p>
        </w:tc>
        <w:tc>
          <w:tcPr>
            <w:tcW w:w="1242" w:type="dxa"/>
            <w:tcBorders>
              <w:top w:val="nil" w:sz="6" w:space="0" w:color="auto"/>
              <w:left w:val="nil" w:sz="6" w:space="0" w:color="auto"/>
              <w:bottom w:val="single" w:sz="12" w:space="0" w:color="000000"/>
              <w:right w:val="nil" w:sz="6" w:space="0" w:color="auto"/>
            </w:tcBorders>
          </w:tcPr>
          <w:p>
            <w:pPr>
              <w:pStyle w:val="TableParagraph"/>
              <w:spacing w:line="240" w:lineRule="auto" w:before="112"/>
              <w:ind w:left="773" w:right="0"/>
              <w:jc w:val="left"/>
              <w:rPr>
                <w:rFonts w:ascii="Arial" w:hAnsi="Arial" w:cs="Arial" w:eastAsia="Arial" w:hint="default"/>
                <w:sz w:val="20"/>
                <w:szCs w:val="20"/>
              </w:rPr>
            </w:pPr>
            <w:r>
              <w:rPr>
                <w:rFonts w:ascii="Arial"/>
                <w:sz w:val="20"/>
              </w:rPr>
              <w:t>863</w:t>
            </w:r>
          </w:p>
        </w:tc>
        <w:tc>
          <w:tcPr>
            <w:tcW w:w="226"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single" w:sz="12" w:space="0" w:color="000000"/>
              <w:right w:val="nil" w:sz="6" w:space="0" w:color="auto"/>
            </w:tcBorders>
          </w:tcPr>
          <w:p>
            <w:pPr>
              <w:pStyle w:val="TableParagraph"/>
              <w:spacing w:line="240" w:lineRule="auto" w:before="112"/>
              <w:ind w:left="622" w:right="0"/>
              <w:jc w:val="left"/>
              <w:rPr>
                <w:rFonts w:ascii="Arial" w:hAnsi="Arial" w:cs="Arial" w:eastAsia="Arial" w:hint="default"/>
                <w:sz w:val="20"/>
                <w:szCs w:val="20"/>
              </w:rPr>
            </w:pPr>
            <w:r>
              <w:rPr>
                <w:rFonts w:ascii="Arial"/>
                <w:sz w:val="20"/>
              </w:rPr>
              <w:t>7,431</w:t>
            </w:r>
          </w:p>
        </w:tc>
        <w:tc>
          <w:tcPr>
            <w:tcW w:w="227" w:type="dxa"/>
            <w:tcBorders>
              <w:top w:val="nil" w:sz="6" w:space="0" w:color="auto"/>
              <w:left w:val="nil" w:sz="6" w:space="0" w:color="auto"/>
              <w:bottom w:val="nil" w:sz="6" w:space="0" w:color="auto"/>
              <w:right w:val="nil" w:sz="6" w:space="0" w:color="auto"/>
            </w:tcBorders>
          </w:tcPr>
          <w:p>
            <w:pPr/>
          </w:p>
        </w:tc>
        <w:tc>
          <w:tcPr>
            <w:tcW w:w="1117" w:type="dxa"/>
            <w:tcBorders>
              <w:top w:val="nil" w:sz="6" w:space="0" w:color="auto"/>
              <w:left w:val="nil" w:sz="6" w:space="0" w:color="auto"/>
              <w:bottom w:val="single" w:sz="12" w:space="0" w:color="000000"/>
              <w:right w:val="nil" w:sz="6" w:space="0" w:color="auto"/>
            </w:tcBorders>
          </w:tcPr>
          <w:p>
            <w:pPr>
              <w:pStyle w:val="TableParagraph"/>
              <w:spacing w:line="240" w:lineRule="auto" w:before="112"/>
              <w:ind w:left="466" w:right="0"/>
              <w:jc w:val="left"/>
              <w:rPr>
                <w:rFonts w:ascii="Arial" w:hAnsi="Arial" w:cs="Arial" w:eastAsia="Arial" w:hint="default"/>
                <w:sz w:val="20"/>
                <w:szCs w:val="20"/>
              </w:rPr>
            </w:pPr>
            <w:r>
              <w:rPr>
                <w:rFonts w:ascii="Arial"/>
                <w:sz w:val="20"/>
              </w:rPr>
              <w:t>3,919</w:t>
            </w:r>
          </w:p>
        </w:tc>
      </w:tr>
    </w:tbl>
    <w:p>
      <w:pPr>
        <w:spacing w:after="0" w:line="240" w:lineRule="auto"/>
        <w:jc w:val="left"/>
        <w:rPr>
          <w:rFonts w:ascii="Arial" w:hAnsi="Arial" w:cs="Arial" w:eastAsia="Arial" w:hint="default"/>
          <w:sz w:val="20"/>
          <w:szCs w:val="20"/>
        </w:rPr>
        <w:sectPr>
          <w:headerReference w:type="default" r:id="rId60"/>
          <w:pgSz w:w="11910" w:h="16840"/>
          <w:pgMar w:header="967" w:footer="600" w:top="3880" w:bottom="780" w:left="1420" w:right="920"/>
        </w:sectPr>
      </w:pPr>
    </w:p>
    <w:p>
      <w:pPr>
        <w:spacing w:line="240" w:lineRule="auto" w:before="11"/>
        <w:rPr>
          <w:rFonts w:ascii="宋体" w:hAnsi="宋体" w:cs="宋体" w:eastAsia="宋体" w:hint="default"/>
          <w:sz w:val="15"/>
          <w:szCs w:val="15"/>
        </w:rPr>
      </w:pPr>
    </w:p>
    <w:p>
      <w:pPr>
        <w:pStyle w:val="BodyText"/>
        <w:tabs>
          <w:tab w:pos="614" w:val="left" w:leader="none"/>
        </w:tabs>
        <w:spacing w:line="427" w:lineRule="auto" w:before="31"/>
        <w:ind w:left="627" w:right="6295" w:hanging="489"/>
        <w:jc w:val="left"/>
      </w:pPr>
      <w:r>
        <w:rPr>
          <w:rFonts w:ascii="Arial" w:hAnsi="Arial" w:cs="Arial" w:eastAsia="Arial" w:hint="default"/>
          <w:w w:val="95"/>
        </w:rPr>
        <w:t>(2)</w:t>
        <w:tab/>
      </w:r>
      <w:r>
        <w:rPr/>
        <w:t>资本风险管理</w:t>
      </w:r>
      <w:r>
        <w:rPr>
          <w:w w:val="99"/>
        </w:rPr>
        <w:t> </w:t>
      </w:r>
      <w:r>
        <w:rPr/>
        <w:t>本集团资本管理的目标为：</w:t>
      </w:r>
    </w:p>
    <w:p>
      <w:pPr>
        <w:pStyle w:val="BodyText"/>
        <w:spacing w:line="295" w:lineRule="exact" w:before="78"/>
        <w:ind w:left="657" w:right="0"/>
        <w:jc w:val="both"/>
      </w:pPr>
      <w:r>
        <w:rPr>
          <w:rFonts w:ascii="Symbol" w:hAnsi="Symbol" w:cs="Symbol" w:eastAsia="Symbol" w:hint="default"/>
        </w:rPr>
        <w:t></w:t>
      </w:r>
      <w:r>
        <w:rPr>
          <w:rFonts w:ascii="Symbol" w:hAnsi="Symbol" w:cs="Symbol" w:eastAsia="Symbol" w:hint="default"/>
          <w:spacing w:val="42"/>
        </w:rPr>
        <w:t></w:t>
      </w:r>
      <w:r>
        <w:rPr>
          <w:rFonts w:ascii="Times New Roman" w:hAnsi="Times New Roman" w:cs="Times New Roman" w:eastAsia="Times New Roman" w:hint="default"/>
          <w:spacing w:val="42"/>
        </w:rPr>
      </w:r>
      <w:r>
        <w:rPr/>
        <w:t>保障本集团的持续经营能力，从而持续地为股东提供回报及使其它利益相关者受益。</w:t>
      </w:r>
    </w:p>
    <w:p>
      <w:pPr>
        <w:pStyle w:val="BodyText"/>
        <w:spacing w:line="285" w:lineRule="exact"/>
        <w:ind w:left="657" w:right="0"/>
        <w:jc w:val="both"/>
      </w:pPr>
      <w:r>
        <w:rPr>
          <w:rFonts w:ascii="Symbol" w:hAnsi="Symbol" w:cs="Symbol" w:eastAsia="Symbol" w:hint="default"/>
        </w:rPr>
        <w:t></w:t>
      </w:r>
      <w:r>
        <w:rPr>
          <w:rFonts w:ascii="Symbol" w:hAnsi="Symbol" w:cs="Symbol" w:eastAsia="Symbol" w:hint="default"/>
          <w:spacing w:val="42"/>
        </w:rPr>
        <w:t></w:t>
      </w:r>
      <w:r>
        <w:rPr>
          <w:rFonts w:ascii="Times New Roman" w:hAnsi="Times New Roman" w:cs="Times New Roman" w:eastAsia="Times New Roman" w:hint="default"/>
          <w:spacing w:val="42"/>
        </w:rPr>
      </w:r>
      <w:r>
        <w:rPr/>
        <w:t>保持本集团的稳定及增长。</w:t>
      </w:r>
    </w:p>
    <w:p>
      <w:pPr>
        <w:pStyle w:val="BodyText"/>
        <w:spacing w:line="295" w:lineRule="exact"/>
        <w:ind w:left="657" w:right="0"/>
        <w:jc w:val="both"/>
      </w:pPr>
      <w:r>
        <w:rPr>
          <w:rFonts w:ascii="Symbol" w:hAnsi="Symbol" w:cs="Symbol" w:eastAsia="Symbol" w:hint="default"/>
        </w:rPr>
        <w:t></w:t>
      </w:r>
      <w:r>
        <w:rPr>
          <w:rFonts w:ascii="Symbol" w:hAnsi="Symbol" w:cs="Symbol" w:eastAsia="Symbol" w:hint="default"/>
          <w:spacing w:val="42"/>
        </w:rPr>
        <w:t></w:t>
      </w:r>
      <w:r>
        <w:rPr>
          <w:rFonts w:ascii="Times New Roman" w:hAnsi="Times New Roman" w:cs="Times New Roman" w:eastAsia="Times New Roman" w:hint="default"/>
          <w:spacing w:val="42"/>
        </w:rPr>
      </w:r>
      <w:r>
        <w:rPr/>
        <w:t>提供资本，以强化本集团的风险管理能力。</w:t>
      </w:r>
    </w:p>
    <w:p>
      <w:pPr>
        <w:spacing w:line="240" w:lineRule="auto" w:before="5"/>
        <w:rPr>
          <w:rFonts w:ascii="宋体" w:hAnsi="宋体" w:cs="宋体" w:eastAsia="宋体" w:hint="default"/>
          <w:sz w:val="16"/>
          <w:szCs w:val="16"/>
        </w:rPr>
      </w:pPr>
    </w:p>
    <w:p>
      <w:pPr>
        <w:pStyle w:val="BodyText"/>
        <w:spacing w:line="286" w:lineRule="exact"/>
        <w:ind w:left="627" w:right="112"/>
        <w:jc w:val="both"/>
      </w:pPr>
      <w:r>
        <w:rPr/>
        <w:t>为了保持及调整资本结构，本集团定期积极复核及管理自身的资本结构，力求达到最理想的</w:t>
      </w:r>
      <w:r>
        <w:rPr>
          <w:spacing w:val="-101"/>
        </w:rPr>
        <w:t> </w:t>
      </w:r>
      <w:r>
        <w:rPr>
          <w:spacing w:val="-101"/>
        </w:rPr>
      </w:r>
      <w:r>
        <w:rPr/>
        <w:t>资本结构及股东回报。本集团考虑的因素包括：本集团未来的资本需求、资本效率、现时的</w:t>
      </w:r>
      <w:r>
        <w:rPr>
          <w:spacing w:val="-101"/>
        </w:rPr>
        <w:t> </w:t>
      </w:r>
      <w:r>
        <w:rPr>
          <w:spacing w:val="-101"/>
        </w:rPr>
      </w:r>
      <w:r>
        <w:rPr/>
        <w:t>及预期的盈利能力、预期的经营现金流、预期资本开支及预期的战略投资机会。</w:t>
      </w:r>
    </w:p>
    <w:p>
      <w:pPr>
        <w:pStyle w:val="BodyText"/>
        <w:spacing w:line="237" w:lineRule="auto" w:before="180"/>
        <w:ind w:left="627" w:right="112"/>
        <w:jc w:val="both"/>
      </w:pPr>
      <w:r>
        <w:rPr/>
        <w:t>本集团以债务资本率来检查资本状况，债务资本率为带息债务加少数股东权益除以带息债务</w:t>
      </w:r>
      <w:r>
        <w:rPr>
          <w:spacing w:val="-101"/>
        </w:rPr>
        <w:t> </w:t>
      </w:r>
      <w:r>
        <w:rPr>
          <w:spacing w:val="-101"/>
        </w:rPr>
      </w:r>
      <w:r>
        <w:rPr/>
        <w:t>加总股东权益。带息债务主要包括资产负债表中的长短期银行借款，关联方借款及长短期债</w:t>
      </w:r>
      <w:r>
        <w:rPr>
          <w:spacing w:val="-101"/>
        </w:rPr>
        <w:t> </w:t>
      </w:r>
      <w:r>
        <w:rPr>
          <w:spacing w:val="-101"/>
        </w:rPr>
      </w:r>
      <w:r>
        <w:rPr/>
        <w:t>券。其中短期借款主要用于电信网络建设及本年度联通红筹公司通过场外股份回购的方式回</w:t>
      </w:r>
      <w:r>
        <w:rPr>
          <w:spacing w:val="-101"/>
        </w:rPr>
        <w:t> </w:t>
      </w:r>
      <w:r>
        <w:rPr>
          <w:spacing w:val="-101"/>
        </w:rPr>
      </w:r>
      <w:r>
        <w:rPr/>
        <w:t>购</w:t>
      </w:r>
      <w:r>
        <w:rPr>
          <w:rFonts w:ascii="Arial" w:hAnsi="Arial" w:cs="Arial" w:eastAsia="Arial" w:hint="default"/>
        </w:rPr>
        <w:t>SKT</w:t>
      </w:r>
      <w:r>
        <w:rPr/>
        <w:t>持有的联通红筹公司股份。</w:t>
      </w:r>
    </w:p>
    <w:p>
      <w:pPr>
        <w:pStyle w:val="BodyText"/>
        <w:spacing w:line="240" w:lineRule="auto" w:before="189"/>
        <w:ind w:left="628" w:right="0"/>
        <w:jc w:val="both"/>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日及</w:t>
      </w:r>
      <w:r>
        <w:rPr>
          <w:rFonts w:ascii="Arial" w:hAnsi="Arial" w:cs="Arial" w:eastAsia="Arial" w:hint="default"/>
        </w:rPr>
        <w:t>2008</w:t>
      </w:r>
      <w:r>
        <w:rPr/>
        <w:t>年</w:t>
      </w:r>
      <w:r>
        <w:rPr>
          <w:rFonts w:ascii="Arial" w:hAnsi="Arial" w:cs="Arial" w:eastAsia="Arial" w:hint="default"/>
        </w:rPr>
        <w:t>12</w:t>
      </w:r>
      <w:r>
        <w:rPr/>
        <w:t>月</w:t>
      </w:r>
      <w:r>
        <w:rPr>
          <w:rFonts w:ascii="Arial" w:hAnsi="Arial" w:cs="Arial" w:eastAsia="Arial" w:hint="default"/>
        </w:rPr>
        <w:t>31</w:t>
      </w:r>
      <w:r>
        <w:rPr/>
        <w:t>日，本集团的债务资本率如下：</w:t>
      </w:r>
    </w:p>
    <w:p>
      <w:pPr>
        <w:spacing w:line="240" w:lineRule="auto" w:before="11"/>
        <w:rPr>
          <w:rFonts w:ascii="宋体" w:hAnsi="宋体" w:cs="宋体" w:eastAsia="宋体" w:hint="default"/>
          <w:sz w:val="11"/>
          <w:szCs w:val="11"/>
        </w:rPr>
      </w:pPr>
    </w:p>
    <w:tbl>
      <w:tblPr>
        <w:tblW w:w="0" w:type="auto"/>
        <w:jc w:val="left"/>
        <w:tblInd w:w="593" w:type="dxa"/>
        <w:tblLayout w:type="fixed"/>
        <w:tblCellMar>
          <w:top w:w="0" w:type="dxa"/>
          <w:left w:w="0" w:type="dxa"/>
          <w:bottom w:w="0" w:type="dxa"/>
          <w:right w:w="0" w:type="dxa"/>
        </w:tblCellMar>
        <w:tblLook w:val="01E0"/>
      </w:tblPr>
      <w:tblGrid>
        <w:gridCol w:w="5159"/>
        <w:gridCol w:w="1721"/>
        <w:gridCol w:w="116"/>
        <w:gridCol w:w="1838"/>
      </w:tblGrid>
      <w:tr>
        <w:trPr>
          <w:trHeight w:val="337"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0"/>
                <w:szCs w:val="20"/>
              </w:rPr>
            </w:pPr>
            <w:r>
              <w:rPr>
                <w:rFonts w:ascii="宋体" w:hAnsi="宋体" w:cs="宋体" w:eastAsia="宋体" w:hint="default"/>
                <w:sz w:val="20"/>
                <w:szCs w:val="20"/>
              </w:rPr>
              <w:t>（单位：人民币百万元）</w:t>
            </w:r>
          </w:p>
        </w:tc>
        <w:tc>
          <w:tcPr>
            <w:tcW w:w="1721" w:type="dxa"/>
            <w:tcBorders>
              <w:top w:val="nil" w:sz="6" w:space="0" w:color="auto"/>
              <w:left w:val="nil" w:sz="6" w:space="0" w:color="auto"/>
              <w:bottom w:val="single" w:sz="6" w:space="0" w:color="000000"/>
              <w:right w:val="nil" w:sz="6" w:space="0" w:color="auto"/>
            </w:tcBorders>
          </w:tcPr>
          <w:p>
            <w:pPr>
              <w:pStyle w:val="TableParagraph"/>
              <w:spacing w:line="240" w:lineRule="auto" w:before="38"/>
              <w:ind w:left="122" w:right="0"/>
              <w:jc w:val="left"/>
              <w:rPr>
                <w:rFonts w:ascii="宋体" w:hAnsi="宋体" w:cs="宋体" w:eastAsia="宋体" w:hint="default"/>
                <w:sz w:val="20"/>
                <w:szCs w:val="20"/>
              </w:rPr>
            </w:pPr>
            <w:r>
              <w:rPr>
                <w:rFonts w:ascii="Arial" w:hAnsi="Arial" w:cs="Arial" w:eastAsia="Arial" w:hint="default"/>
                <w:sz w:val="20"/>
                <w:szCs w:val="20"/>
              </w:rPr>
              <w:t>2009</w:t>
            </w:r>
            <w:r>
              <w:rPr>
                <w:rFonts w:ascii="宋体" w:hAnsi="宋体" w:cs="宋体" w:eastAsia="宋体" w:hint="default"/>
                <w:sz w:val="20"/>
                <w:szCs w:val="20"/>
              </w:rPr>
              <w:t>年</w:t>
            </w:r>
            <w:r>
              <w:rPr>
                <w:rFonts w:ascii="Arial" w:hAnsi="Arial" w:cs="Arial" w:eastAsia="Arial" w:hint="default"/>
                <w:sz w:val="20"/>
                <w:szCs w:val="20"/>
              </w:rPr>
              <w:t>12</w:t>
            </w:r>
            <w:r>
              <w:rPr>
                <w:rFonts w:ascii="宋体" w:hAnsi="宋体" w:cs="宋体" w:eastAsia="宋体" w:hint="default"/>
                <w:sz w:val="20"/>
                <w:szCs w:val="20"/>
              </w:rPr>
              <w:t>月</w:t>
            </w:r>
            <w:r>
              <w:rPr>
                <w:rFonts w:ascii="Arial" w:hAnsi="Arial" w:cs="Arial" w:eastAsia="Arial" w:hint="default"/>
                <w:sz w:val="20"/>
                <w:szCs w:val="20"/>
              </w:rPr>
              <w:t>31</w:t>
            </w:r>
            <w:r>
              <w:rPr>
                <w:rFonts w:ascii="宋体" w:hAnsi="宋体" w:cs="宋体" w:eastAsia="宋体" w:hint="default"/>
                <w:sz w:val="20"/>
                <w:szCs w:val="20"/>
              </w:rPr>
              <w:t>日</w:t>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single" w:sz="6" w:space="0" w:color="000000"/>
              <w:right w:val="nil" w:sz="6" w:space="0" w:color="auto"/>
            </w:tcBorders>
          </w:tcPr>
          <w:p>
            <w:pPr>
              <w:pStyle w:val="TableParagraph"/>
              <w:spacing w:line="240" w:lineRule="auto" w:before="38"/>
              <w:ind w:left="179" w:right="0"/>
              <w:jc w:val="left"/>
              <w:rPr>
                <w:rFonts w:ascii="宋体" w:hAnsi="宋体" w:cs="宋体" w:eastAsia="宋体" w:hint="default"/>
                <w:sz w:val="20"/>
                <w:szCs w:val="20"/>
              </w:rPr>
            </w:pPr>
            <w:r>
              <w:rPr>
                <w:rFonts w:ascii="Arial" w:hAnsi="Arial" w:cs="Arial" w:eastAsia="Arial" w:hint="default"/>
                <w:sz w:val="20"/>
                <w:szCs w:val="20"/>
              </w:rPr>
              <w:t>2008</w:t>
            </w:r>
            <w:r>
              <w:rPr>
                <w:rFonts w:ascii="宋体" w:hAnsi="宋体" w:cs="宋体" w:eastAsia="宋体" w:hint="default"/>
                <w:sz w:val="20"/>
                <w:szCs w:val="20"/>
              </w:rPr>
              <w:t>年</w:t>
            </w:r>
            <w:r>
              <w:rPr>
                <w:rFonts w:ascii="Arial" w:hAnsi="Arial" w:cs="Arial" w:eastAsia="Arial" w:hint="default"/>
                <w:sz w:val="20"/>
                <w:szCs w:val="20"/>
              </w:rPr>
              <w:t>12</w:t>
            </w:r>
            <w:r>
              <w:rPr>
                <w:rFonts w:ascii="宋体" w:hAnsi="宋体" w:cs="宋体" w:eastAsia="宋体" w:hint="default"/>
                <w:sz w:val="20"/>
                <w:szCs w:val="20"/>
              </w:rPr>
              <w:t>月</w:t>
            </w:r>
            <w:r>
              <w:rPr>
                <w:rFonts w:ascii="Arial" w:hAnsi="Arial" w:cs="Arial" w:eastAsia="Arial" w:hint="default"/>
                <w:sz w:val="20"/>
                <w:szCs w:val="20"/>
              </w:rPr>
              <w:t>31</w:t>
            </w:r>
            <w:r>
              <w:rPr>
                <w:rFonts w:ascii="宋体" w:hAnsi="宋体" w:cs="宋体" w:eastAsia="宋体" w:hint="default"/>
                <w:sz w:val="20"/>
                <w:szCs w:val="20"/>
              </w:rPr>
              <w:t>日</w:t>
            </w:r>
          </w:p>
        </w:tc>
      </w:tr>
      <w:tr>
        <w:trPr>
          <w:trHeight w:val="267" w:hRule="exact"/>
        </w:trPr>
        <w:tc>
          <w:tcPr>
            <w:tcW w:w="5159" w:type="dxa"/>
            <w:tcBorders>
              <w:top w:val="nil" w:sz="6" w:space="0" w:color="auto"/>
              <w:left w:val="nil" w:sz="6" w:space="0" w:color="auto"/>
              <w:bottom w:val="nil" w:sz="6" w:space="0" w:color="auto"/>
              <w:right w:val="nil" w:sz="6" w:space="0" w:color="auto"/>
            </w:tcBorders>
          </w:tcPr>
          <w:p>
            <w:pPr/>
          </w:p>
        </w:tc>
        <w:tc>
          <w:tcPr>
            <w:tcW w:w="1721" w:type="dxa"/>
            <w:tcBorders>
              <w:top w:val="single" w:sz="6" w:space="0" w:color="000000"/>
              <w:left w:val="nil" w:sz="6" w:space="0" w:color="auto"/>
              <w:bottom w:val="nil" w:sz="6" w:space="0" w:color="auto"/>
              <w:right w:val="nil" w:sz="6" w:space="0" w:color="auto"/>
            </w:tcBorders>
          </w:tcPr>
          <w:p>
            <w:pP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single" w:sz="6" w:space="0" w:color="000000"/>
              <w:left w:val="nil" w:sz="6" w:space="0" w:color="auto"/>
              <w:bottom w:val="nil" w:sz="6" w:space="0" w:color="auto"/>
              <w:right w:val="nil" w:sz="6" w:space="0" w:color="auto"/>
            </w:tcBorders>
          </w:tcPr>
          <w:p>
            <w:pPr>
              <w:pStyle w:val="TableParagraph"/>
              <w:spacing w:line="231" w:lineRule="exact"/>
              <w:ind w:left="415" w:right="0"/>
              <w:jc w:val="left"/>
              <w:rPr>
                <w:rFonts w:ascii="宋体" w:hAnsi="宋体" w:cs="宋体" w:eastAsia="宋体" w:hint="default"/>
                <w:sz w:val="20"/>
                <w:szCs w:val="20"/>
              </w:rPr>
            </w:pPr>
            <w:r>
              <w:rPr>
                <w:rFonts w:ascii="宋体" w:hAnsi="宋体" w:cs="宋体" w:eastAsia="宋体" w:hint="default"/>
                <w:sz w:val="20"/>
                <w:szCs w:val="20"/>
              </w:rPr>
              <w:t>（经重列）</w:t>
            </w:r>
          </w:p>
        </w:tc>
      </w:tr>
      <w:tr>
        <w:trPr>
          <w:trHeight w:val="259"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29" w:lineRule="exact"/>
              <w:ind w:left="35" w:right="0"/>
              <w:jc w:val="left"/>
              <w:rPr>
                <w:rFonts w:ascii="宋体" w:hAnsi="宋体" w:cs="宋体" w:eastAsia="宋体" w:hint="default"/>
                <w:sz w:val="20"/>
                <w:szCs w:val="20"/>
              </w:rPr>
            </w:pPr>
            <w:r>
              <w:rPr>
                <w:rFonts w:ascii="宋体" w:hAnsi="宋体" w:cs="宋体" w:eastAsia="宋体" w:hint="default"/>
                <w:sz w:val="20"/>
                <w:szCs w:val="20"/>
              </w:rPr>
              <w:t>带息债务：</w:t>
            </w:r>
          </w:p>
        </w:tc>
        <w:tc>
          <w:tcPr>
            <w:tcW w:w="1721" w:type="dxa"/>
            <w:tcBorders>
              <w:top w:val="nil" w:sz="6" w:space="0" w:color="auto"/>
              <w:left w:val="nil" w:sz="6" w:space="0" w:color="auto"/>
              <w:bottom w:val="nil" w:sz="6" w:space="0" w:color="auto"/>
              <w:right w:val="nil" w:sz="6" w:space="0" w:color="auto"/>
            </w:tcBorders>
          </w:tcPr>
          <w:p>
            <w:pP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
        </w:tc>
      </w:tr>
      <w:tr>
        <w:trPr>
          <w:trHeight w:val="271"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44" w:lineRule="exact"/>
              <w:ind w:left="217" w:right="0"/>
              <w:jc w:val="left"/>
              <w:rPr>
                <w:rFonts w:ascii="宋体" w:hAnsi="宋体" w:cs="宋体" w:eastAsia="宋体" w:hint="default"/>
                <w:sz w:val="20"/>
                <w:szCs w:val="20"/>
              </w:rPr>
            </w:pPr>
            <w:r>
              <w:rPr>
                <w:rFonts w:ascii="Arial" w:hAnsi="Arial" w:cs="Arial" w:eastAsia="Arial" w:hint="default"/>
                <w:sz w:val="20"/>
                <w:szCs w:val="20"/>
              </w:rPr>
              <w:t>-</w:t>
            </w:r>
            <w:r>
              <w:rPr>
                <w:rFonts w:ascii="宋体" w:hAnsi="宋体" w:cs="宋体" w:eastAsia="宋体" w:hint="default"/>
                <w:sz w:val="20"/>
                <w:szCs w:val="20"/>
              </w:rPr>
              <w:t>应付短期债券</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1"/>
              <w:jc w:val="right"/>
              <w:rPr>
                <w:rFonts w:ascii="Arial" w:hAnsi="Arial" w:cs="Arial" w:eastAsia="Arial" w:hint="default"/>
                <w:sz w:val="20"/>
                <w:szCs w:val="20"/>
              </w:rPr>
            </w:pPr>
            <w:r>
              <w:rPr>
                <w:rFonts w:ascii="Arial"/>
                <w:w w:val="100"/>
                <w:sz w:val="20"/>
              </w:rPr>
              <w:t>-</w:t>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04" w:right="0"/>
              <w:jc w:val="left"/>
              <w:rPr>
                <w:rFonts w:ascii="Arial" w:hAnsi="Arial" w:cs="Arial" w:eastAsia="Arial" w:hint="default"/>
                <w:sz w:val="20"/>
                <w:szCs w:val="20"/>
              </w:rPr>
            </w:pPr>
            <w:r>
              <w:rPr>
                <w:rFonts w:ascii="Arial"/>
                <w:sz w:val="20"/>
              </w:rPr>
              <w:t>10,000</w:t>
            </w:r>
          </w:p>
        </w:tc>
      </w:tr>
      <w:tr>
        <w:trPr>
          <w:trHeight w:val="260"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34" w:lineRule="exact"/>
              <w:ind w:left="217" w:right="0"/>
              <w:jc w:val="left"/>
              <w:rPr>
                <w:rFonts w:ascii="宋体" w:hAnsi="宋体" w:cs="宋体" w:eastAsia="宋体" w:hint="default"/>
                <w:sz w:val="20"/>
                <w:szCs w:val="20"/>
              </w:rPr>
            </w:pPr>
            <w:r>
              <w:rPr>
                <w:rFonts w:ascii="Arial" w:hAnsi="Arial" w:cs="Arial" w:eastAsia="Arial" w:hint="default"/>
                <w:sz w:val="20"/>
                <w:szCs w:val="20"/>
              </w:rPr>
              <w:t>-</w:t>
            </w:r>
            <w:r>
              <w:rPr>
                <w:rFonts w:ascii="宋体" w:hAnsi="宋体" w:cs="宋体" w:eastAsia="宋体" w:hint="default"/>
                <w:sz w:val="20"/>
                <w:szCs w:val="20"/>
              </w:rPr>
              <w:t>短期借款</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1"/>
              <w:jc w:val="right"/>
              <w:rPr>
                <w:rFonts w:ascii="Arial" w:hAnsi="Arial" w:cs="Arial" w:eastAsia="Arial" w:hint="default"/>
                <w:sz w:val="20"/>
                <w:szCs w:val="20"/>
              </w:rPr>
            </w:pPr>
            <w:r>
              <w:rPr>
                <w:rFonts w:ascii="Arial"/>
                <w:sz w:val="20"/>
              </w:rPr>
              <w:t>63,909</w:t>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04" w:right="0"/>
              <w:jc w:val="left"/>
              <w:rPr>
                <w:rFonts w:ascii="Arial" w:hAnsi="Arial" w:cs="Arial" w:eastAsia="Arial" w:hint="default"/>
                <w:sz w:val="20"/>
                <w:szCs w:val="20"/>
              </w:rPr>
            </w:pPr>
            <w:r>
              <w:rPr>
                <w:rFonts w:ascii="Arial"/>
                <w:sz w:val="20"/>
              </w:rPr>
              <w:t>10,780</w:t>
            </w:r>
          </w:p>
        </w:tc>
      </w:tr>
      <w:tr>
        <w:trPr>
          <w:trHeight w:val="259"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33" w:lineRule="exact"/>
              <w:ind w:left="217" w:right="0"/>
              <w:jc w:val="left"/>
              <w:rPr>
                <w:rFonts w:ascii="宋体" w:hAnsi="宋体" w:cs="宋体" w:eastAsia="宋体" w:hint="default"/>
                <w:sz w:val="20"/>
                <w:szCs w:val="20"/>
              </w:rPr>
            </w:pPr>
            <w:r>
              <w:rPr>
                <w:rFonts w:ascii="Arial" w:hAnsi="Arial" w:cs="Arial" w:eastAsia="Arial" w:hint="default"/>
                <w:sz w:val="20"/>
                <w:szCs w:val="20"/>
              </w:rPr>
              <w:t>-</w:t>
            </w:r>
            <w:r>
              <w:rPr>
                <w:rFonts w:ascii="宋体" w:hAnsi="宋体" w:cs="宋体" w:eastAsia="宋体" w:hint="default"/>
                <w:sz w:val="20"/>
                <w:szCs w:val="20"/>
              </w:rPr>
              <w:t>长期借款</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1"/>
              <w:jc w:val="right"/>
              <w:rPr>
                <w:rFonts w:ascii="Arial" w:hAnsi="Arial" w:cs="Arial" w:eastAsia="Arial" w:hint="default"/>
                <w:sz w:val="20"/>
                <w:szCs w:val="20"/>
              </w:rPr>
            </w:pPr>
            <w:r>
              <w:rPr>
                <w:rFonts w:ascii="Arial"/>
                <w:sz w:val="20"/>
              </w:rPr>
              <w:t>759</w:t>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8"/>
              <w:jc w:val="right"/>
              <w:rPr>
                <w:rFonts w:ascii="Arial" w:hAnsi="Arial" w:cs="Arial" w:eastAsia="Arial" w:hint="default"/>
                <w:sz w:val="20"/>
                <w:szCs w:val="20"/>
              </w:rPr>
            </w:pPr>
            <w:r>
              <w:rPr>
                <w:rFonts w:ascii="Arial"/>
                <w:sz w:val="20"/>
              </w:rPr>
              <w:t>997</w:t>
            </w:r>
          </w:p>
        </w:tc>
      </w:tr>
      <w:tr>
        <w:trPr>
          <w:trHeight w:val="259"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33" w:lineRule="exact"/>
              <w:ind w:left="217" w:right="0"/>
              <w:jc w:val="left"/>
              <w:rPr>
                <w:rFonts w:ascii="宋体" w:hAnsi="宋体" w:cs="宋体" w:eastAsia="宋体" w:hint="default"/>
                <w:sz w:val="20"/>
                <w:szCs w:val="20"/>
              </w:rPr>
            </w:pPr>
            <w:r>
              <w:rPr>
                <w:rFonts w:ascii="Arial" w:hAnsi="Arial" w:cs="Arial" w:eastAsia="Arial" w:hint="default"/>
                <w:sz w:val="20"/>
                <w:szCs w:val="20"/>
              </w:rPr>
              <w:t>-</w:t>
            </w:r>
            <w:r>
              <w:rPr>
                <w:rFonts w:ascii="宋体" w:hAnsi="宋体" w:cs="宋体" w:eastAsia="宋体" w:hint="default"/>
                <w:sz w:val="20"/>
                <w:szCs w:val="20"/>
              </w:rPr>
              <w:t>一年内到期的长期借款</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1"/>
              <w:jc w:val="right"/>
              <w:rPr>
                <w:rFonts w:ascii="Arial" w:hAnsi="Arial" w:cs="Arial" w:eastAsia="Arial" w:hint="default"/>
                <w:sz w:val="20"/>
                <w:szCs w:val="20"/>
              </w:rPr>
            </w:pPr>
            <w:r>
              <w:rPr>
                <w:rFonts w:ascii="Arial"/>
                <w:sz w:val="20"/>
              </w:rPr>
              <w:t>62</w:t>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15" w:right="0"/>
              <w:jc w:val="left"/>
              <w:rPr>
                <w:rFonts w:ascii="Arial" w:hAnsi="Arial" w:cs="Arial" w:eastAsia="Arial" w:hint="default"/>
                <w:sz w:val="20"/>
                <w:szCs w:val="20"/>
              </w:rPr>
            </w:pPr>
            <w:r>
              <w:rPr>
                <w:rFonts w:ascii="Arial"/>
                <w:sz w:val="20"/>
              </w:rPr>
              <w:t>1,216</w:t>
            </w:r>
          </w:p>
        </w:tc>
      </w:tr>
      <w:tr>
        <w:trPr>
          <w:trHeight w:val="259"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33" w:lineRule="exact"/>
              <w:ind w:left="217" w:right="0"/>
              <w:jc w:val="left"/>
              <w:rPr>
                <w:rFonts w:ascii="宋体" w:hAnsi="宋体" w:cs="宋体" w:eastAsia="宋体" w:hint="default"/>
                <w:sz w:val="20"/>
                <w:szCs w:val="20"/>
              </w:rPr>
            </w:pPr>
            <w:r>
              <w:rPr>
                <w:rFonts w:ascii="Arial" w:hAnsi="Arial" w:cs="Arial" w:eastAsia="Arial" w:hint="default"/>
                <w:sz w:val="20"/>
                <w:szCs w:val="20"/>
              </w:rPr>
              <w:t>-</w:t>
            </w:r>
            <w:r>
              <w:rPr>
                <w:rFonts w:ascii="宋体" w:hAnsi="宋体" w:cs="宋体" w:eastAsia="宋体" w:hint="default"/>
                <w:sz w:val="20"/>
                <w:szCs w:val="20"/>
              </w:rPr>
              <w:t>应付融资租赁款</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Arial" w:hAnsi="Arial" w:cs="Arial" w:eastAsia="Arial" w:hint="default"/>
                <w:sz w:val="20"/>
                <w:szCs w:val="20"/>
              </w:rPr>
            </w:pPr>
            <w:r>
              <w:rPr>
                <w:rFonts w:ascii="Arial"/>
                <w:sz w:val="20"/>
              </w:rPr>
              <w:t>103</w:t>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0"/>
              <w:jc w:val="right"/>
              <w:rPr>
                <w:rFonts w:ascii="Arial" w:hAnsi="Arial" w:cs="Arial" w:eastAsia="Arial" w:hint="default"/>
                <w:sz w:val="20"/>
                <w:szCs w:val="20"/>
              </w:rPr>
            </w:pPr>
            <w:r>
              <w:rPr>
                <w:rFonts w:ascii="Arial"/>
                <w:w w:val="100"/>
                <w:sz w:val="20"/>
              </w:rPr>
              <w:t>-</w:t>
            </w:r>
          </w:p>
        </w:tc>
      </w:tr>
      <w:tr>
        <w:trPr>
          <w:trHeight w:val="259"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33" w:lineRule="exact"/>
              <w:ind w:left="217" w:right="0"/>
              <w:jc w:val="left"/>
              <w:rPr>
                <w:rFonts w:ascii="宋体" w:hAnsi="宋体" w:cs="宋体" w:eastAsia="宋体" w:hint="default"/>
                <w:sz w:val="20"/>
                <w:szCs w:val="20"/>
              </w:rPr>
            </w:pPr>
            <w:r>
              <w:rPr>
                <w:rFonts w:ascii="Arial" w:hAnsi="Arial" w:cs="Arial" w:eastAsia="Arial" w:hint="default"/>
                <w:sz w:val="20"/>
                <w:szCs w:val="20"/>
              </w:rPr>
              <w:t>-</w:t>
            </w:r>
            <w:r>
              <w:rPr>
                <w:rFonts w:ascii="宋体" w:hAnsi="宋体" w:cs="宋体" w:eastAsia="宋体" w:hint="default"/>
                <w:sz w:val="20"/>
                <w:szCs w:val="20"/>
              </w:rPr>
              <w:t>一年内到期的应付融资租赁款</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Arial" w:hAnsi="Arial" w:cs="Arial" w:eastAsia="Arial" w:hint="default"/>
                <w:sz w:val="20"/>
                <w:szCs w:val="20"/>
              </w:rPr>
            </w:pPr>
            <w:r>
              <w:rPr>
                <w:rFonts w:ascii="Arial"/>
                <w:sz w:val="20"/>
              </w:rPr>
              <w:t>26</w:t>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8"/>
              <w:jc w:val="right"/>
              <w:rPr>
                <w:rFonts w:ascii="Arial" w:hAnsi="Arial" w:cs="Arial" w:eastAsia="Arial" w:hint="default"/>
                <w:sz w:val="20"/>
                <w:szCs w:val="20"/>
              </w:rPr>
            </w:pPr>
            <w:r>
              <w:rPr>
                <w:rFonts w:ascii="Arial"/>
                <w:w w:val="100"/>
                <w:sz w:val="20"/>
              </w:rPr>
              <w:t>-</w:t>
            </w:r>
          </w:p>
        </w:tc>
      </w:tr>
      <w:tr>
        <w:trPr>
          <w:trHeight w:val="260"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33" w:lineRule="exact"/>
              <w:ind w:left="217" w:right="0"/>
              <w:jc w:val="left"/>
              <w:rPr>
                <w:rFonts w:ascii="宋体" w:hAnsi="宋体" w:cs="宋体" w:eastAsia="宋体" w:hint="default"/>
                <w:sz w:val="20"/>
                <w:szCs w:val="20"/>
              </w:rPr>
            </w:pPr>
            <w:r>
              <w:rPr>
                <w:rFonts w:ascii="Arial" w:hAnsi="Arial" w:cs="Arial" w:eastAsia="Arial" w:hint="default"/>
                <w:sz w:val="20"/>
                <w:szCs w:val="20"/>
              </w:rPr>
              <w:t>-</w:t>
            </w:r>
            <w:r>
              <w:rPr>
                <w:rFonts w:ascii="宋体" w:hAnsi="宋体" w:cs="宋体" w:eastAsia="宋体" w:hint="default"/>
                <w:sz w:val="20"/>
                <w:szCs w:val="20"/>
              </w:rPr>
              <w:t>应付票据</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Arial" w:hAnsi="Arial" w:cs="Arial" w:eastAsia="Arial" w:hint="default"/>
                <w:sz w:val="20"/>
                <w:szCs w:val="20"/>
              </w:rPr>
            </w:pPr>
            <w:r>
              <w:rPr>
                <w:rFonts w:ascii="Arial"/>
                <w:sz w:val="20"/>
              </w:rPr>
              <w:t>500</w:t>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0"/>
              <w:jc w:val="right"/>
              <w:rPr>
                <w:rFonts w:ascii="Arial" w:hAnsi="Arial" w:cs="Arial" w:eastAsia="Arial" w:hint="default"/>
                <w:sz w:val="20"/>
                <w:szCs w:val="20"/>
              </w:rPr>
            </w:pPr>
            <w:r>
              <w:rPr>
                <w:rFonts w:ascii="Arial"/>
                <w:w w:val="100"/>
                <w:sz w:val="20"/>
              </w:rPr>
              <w:t>-</w:t>
            </w:r>
          </w:p>
        </w:tc>
      </w:tr>
      <w:tr>
        <w:trPr>
          <w:trHeight w:val="260"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34" w:lineRule="exact"/>
              <w:ind w:left="217" w:right="0"/>
              <w:jc w:val="left"/>
              <w:rPr>
                <w:rFonts w:ascii="宋体" w:hAnsi="宋体" w:cs="宋体" w:eastAsia="宋体" w:hint="default"/>
                <w:sz w:val="20"/>
                <w:szCs w:val="20"/>
              </w:rPr>
            </w:pPr>
            <w:r>
              <w:rPr>
                <w:rFonts w:ascii="Arial" w:hAnsi="Arial" w:cs="Arial" w:eastAsia="Arial" w:hint="default"/>
                <w:sz w:val="20"/>
                <w:szCs w:val="20"/>
              </w:rPr>
              <w:t>-</w:t>
            </w:r>
            <w:r>
              <w:rPr>
                <w:rFonts w:ascii="宋体" w:hAnsi="宋体" w:cs="宋体" w:eastAsia="宋体" w:hint="default"/>
                <w:sz w:val="20"/>
                <w:szCs w:val="20"/>
              </w:rPr>
              <w:t>关联公司借款</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Arial" w:hAnsi="Arial" w:cs="Arial" w:eastAsia="Arial" w:hint="default"/>
                <w:sz w:val="20"/>
                <w:szCs w:val="20"/>
              </w:rPr>
            </w:pPr>
            <w:r>
              <w:rPr>
                <w:rFonts w:ascii="Arial"/>
                <w:sz w:val="20"/>
              </w:rPr>
              <w:t>2,104</w:t>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8"/>
              <w:jc w:val="right"/>
              <w:rPr>
                <w:rFonts w:ascii="Arial" w:hAnsi="Arial" w:cs="Arial" w:eastAsia="Arial" w:hint="default"/>
                <w:sz w:val="20"/>
                <w:szCs w:val="20"/>
              </w:rPr>
            </w:pPr>
            <w:r>
              <w:rPr>
                <w:rFonts w:ascii="Arial"/>
                <w:w w:val="100"/>
                <w:sz w:val="20"/>
              </w:rPr>
              <w:t>-</w:t>
            </w:r>
          </w:p>
        </w:tc>
      </w:tr>
      <w:tr>
        <w:trPr>
          <w:trHeight w:val="264"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33" w:lineRule="exact"/>
              <w:ind w:left="217" w:right="0"/>
              <w:jc w:val="left"/>
              <w:rPr>
                <w:rFonts w:ascii="宋体" w:hAnsi="宋体" w:cs="宋体" w:eastAsia="宋体" w:hint="default"/>
                <w:sz w:val="20"/>
                <w:szCs w:val="20"/>
              </w:rPr>
            </w:pPr>
            <w:r>
              <w:rPr>
                <w:rFonts w:ascii="Arial" w:hAnsi="Arial" w:cs="Arial" w:eastAsia="Arial" w:hint="default"/>
                <w:sz w:val="20"/>
                <w:szCs w:val="20"/>
              </w:rPr>
              <w:t>-</w:t>
            </w:r>
            <w:r>
              <w:rPr>
                <w:rFonts w:ascii="宋体" w:hAnsi="宋体" w:cs="宋体" w:eastAsia="宋体" w:hint="default"/>
                <w:sz w:val="20"/>
                <w:szCs w:val="20"/>
              </w:rPr>
              <w:t>应付债券</w:t>
            </w:r>
          </w:p>
        </w:tc>
        <w:tc>
          <w:tcPr>
            <w:tcW w:w="1721" w:type="dxa"/>
            <w:tcBorders>
              <w:top w:val="nil" w:sz="6" w:space="0" w:color="auto"/>
              <w:left w:val="nil" w:sz="6" w:space="0" w:color="auto"/>
              <w:bottom w:val="nil" w:sz="6" w:space="0" w:color="auto"/>
              <w:right w:val="nil" w:sz="6" w:space="0" w:color="auto"/>
            </w:tcBorders>
          </w:tcPr>
          <w:p>
            <w:pPr>
              <w:pStyle w:val="TableParagraph"/>
              <w:tabs>
                <w:tab w:pos="1108" w:val="left" w:leader="none"/>
                <w:tab w:pos="1706" w:val="left" w:leader="none"/>
              </w:tabs>
              <w:spacing w:line="240" w:lineRule="auto" w:before="1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7,000</w:t>
              <w:tab/>
            </w:r>
            <w:r>
              <w:rPr>
                <w:rFonts w:ascii="Arial"/>
                <w:sz w:val="20"/>
              </w:rPr>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tabs>
                <w:tab w:pos="1116" w:val="left" w:leader="none"/>
                <w:tab w:pos="1831" w:val="left" w:leader="none"/>
              </w:tabs>
              <w:spacing w:line="240" w:lineRule="auto" w:before="15"/>
              <w:ind w:left="3"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7,000</w:t>
              <w:tab/>
            </w:r>
            <w:r>
              <w:rPr>
                <w:rFonts w:ascii="Arial"/>
                <w:sz w:val="20"/>
              </w:rPr>
            </w:r>
          </w:p>
        </w:tc>
      </w:tr>
      <w:tr>
        <w:trPr>
          <w:trHeight w:val="380"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38" w:lineRule="exact"/>
              <w:ind w:left="35" w:right="0"/>
              <w:jc w:val="left"/>
              <w:rPr>
                <w:rFonts w:ascii="宋体" w:hAnsi="宋体" w:cs="宋体" w:eastAsia="宋体" w:hint="default"/>
                <w:sz w:val="20"/>
                <w:szCs w:val="20"/>
              </w:rPr>
            </w:pPr>
            <w:r>
              <w:rPr>
                <w:rFonts w:ascii="Arial" w:hAnsi="Arial" w:cs="Arial" w:eastAsia="Arial" w:hint="default"/>
                <w:sz w:val="20"/>
                <w:szCs w:val="20"/>
              </w:rPr>
              <w:t>-</w:t>
            </w:r>
            <w:r>
              <w:rPr>
                <w:rFonts w:ascii="宋体" w:hAnsi="宋体" w:cs="宋体" w:eastAsia="宋体" w:hint="default"/>
                <w:sz w:val="20"/>
                <w:szCs w:val="20"/>
              </w:rPr>
              <w:t>小计</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01"/>
              <w:jc w:val="right"/>
              <w:rPr>
                <w:rFonts w:ascii="Arial" w:hAnsi="Arial" w:cs="Arial" w:eastAsia="Arial" w:hint="default"/>
                <w:sz w:val="20"/>
                <w:szCs w:val="20"/>
              </w:rPr>
            </w:pPr>
            <w:r>
              <w:rPr>
                <w:rFonts w:ascii="Arial"/>
                <w:sz w:val="20"/>
              </w:rPr>
              <w:t>74,463</w:t>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004" w:right="0"/>
              <w:jc w:val="left"/>
              <w:rPr>
                <w:rFonts w:ascii="Arial" w:hAnsi="Arial" w:cs="Arial" w:eastAsia="Arial" w:hint="default"/>
                <w:sz w:val="20"/>
                <w:szCs w:val="20"/>
              </w:rPr>
            </w:pPr>
            <w:r>
              <w:rPr>
                <w:rFonts w:ascii="Arial"/>
                <w:sz w:val="20"/>
              </w:rPr>
              <w:t>29,993</w:t>
            </w:r>
          </w:p>
        </w:tc>
      </w:tr>
      <w:tr>
        <w:trPr>
          <w:trHeight w:val="494"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20"/>
                <w:szCs w:val="20"/>
              </w:rPr>
            </w:pPr>
            <w:r>
              <w:rPr>
                <w:rFonts w:ascii="宋体" w:hAnsi="宋体" w:cs="宋体" w:eastAsia="宋体" w:hint="default"/>
                <w:sz w:val="20"/>
                <w:szCs w:val="20"/>
              </w:rPr>
              <w:t>少数股东权益</w:t>
            </w:r>
          </w:p>
        </w:tc>
        <w:tc>
          <w:tcPr>
            <w:tcW w:w="1721" w:type="dxa"/>
            <w:tcBorders>
              <w:top w:val="nil" w:sz="6" w:space="0" w:color="auto"/>
              <w:left w:val="nil" w:sz="6" w:space="0" w:color="auto"/>
              <w:bottom w:val="nil" w:sz="6" w:space="0" w:color="auto"/>
              <w:right w:val="nil" w:sz="6" w:space="0" w:color="auto"/>
            </w:tcBorders>
          </w:tcPr>
          <w:p>
            <w:pPr>
              <w:pStyle w:val="TableParagraph"/>
              <w:tabs>
                <w:tab w:pos="886" w:val="left" w:leader="none"/>
                <w:tab w:pos="1706" w:val="left" w:leader="none"/>
              </w:tabs>
              <w:spacing w:line="240" w:lineRule="auto" w:before="129"/>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137,862</w:t>
              <w:tab/>
            </w:r>
            <w:r>
              <w:rPr>
                <w:rFonts w:ascii="Arial"/>
                <w:spacing w:val="-1"/>
                <w:sz w:val="20"/>
              </w:rPr>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tabs>
                <w:tab w:pos="894" w:val="left" w:leader="none"/>
                <w:tab w:pos="1831" w:val="left" w:leader="none"/>
              </w:tabs>
              <w:spacing w:line="240" w:lineRule="auto" w:before="129"/>
              <w:ind w:left="3"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139,420</w:t>
              <w:tab/>
            </w:r>
            <w:r>
              <w:rPr>
                <w:rFonts w:ascii="Arial"/>
                <w:sz w:val="20"/>
              </w:rPr>
            </w:r>
          </w:p>
        </w:tc>
      </w:tr>
      <w:tr>
        <w:trPr>
          <w:trHeight w:val="499"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20"/>
                <w:szCs w:val="20"/>
              </w:rPr>
            </w:pPr>
            <w:r>
              <w:rPr>
                <w:rFonts w:ascii="宋体" w:hAnsi="宋体" w:cs="宋体" w:eastAsia="宋体" w:hint="default"/>
                <w:sz w:val="20"/>
                <w:szCs w:val="20"/>
              </w:rPr>
              <w:t>带息债务加少数股东权益</w:t>
            </w:r>
          </w:p>
        </w:tc>
        <w:tc>
          <w:tcPr>
            <w:tcW w:w="1721" w:type="dxa"/>
            <w:tcBorders>
              <w:top w:val="nil" w:sz="6" w:space="0" w:color="auto"/>
              <w:left w:val="nil" w:sz="6" w:space="0" w:color="auto"/>
              <w:bottom w:val="nil" w:sz="6" w:space="0" w:color="auto"/>
              <w:right w:val="nil" w:sz="6" w:space="0" w:color="auto"/>
            </w:tcBorders>
          </w:tcPr>
          <w:p>
            <w:pPr>
              <w:pStyle w:val="TableParagraph"/>
              <w:tabs>
                <w:tab w:pos="886" w:val="left" w:leader="none"/>
                <w:tab w:pos="1706" w:val="left" w:leader="none"/>
              </w:tabs>
              <w:spacing w:line="240" w:lineRule="auto" w:before="13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212,325</w:t>
              <w:tab/>
            </w:r>
            <w:r>
              <w:rPr>
                <w:rFonts w:ascii="Arial"/>
                <w:spacing w:val="-1"/>
                <w:sz w:val="20"/>
              </w:rPr>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tabs>
                <w:tab w:pos="894" w:val="left" w:leader="none"/>
                <w:tab w:pos="1831" w:val="left" w:leader="none"/>
              </w:tabs>
              <w:spacing w:line="240" w:lineRule="auto" w:before="135"/>
              <w:ind w:left="3"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169,413</w:t>
              <w:tab/>
            </w:r>
            <w:r>
              <w:rPr>
                <w:rFonts w:ascii="Arial"/>
                <w:sz w:val="20"/>
              </w:rPr>
            </w:r>
          </w:p>
        </w:tc>
      </w:tr>
      <w:tr>
        <w:trPr>
          <w:trHeight w:val="368"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20"/>
                <w:szCs w:val="20"/>
              </w:rPr>
            </w:pPr>
            <w:r>
              <w:rPr>
                <w:rFonts w:ascii="宋体" w:hAnsi="宋体" w:cs="宋体" w:eastAsia="宋体" w:hint="default"/>
                <w:sz w:val="20"/>
                <w:szCs w:val="20"/>
              </w:rPr>
              <w:t>总权益：</w:t>
            </w:r>
          </w:p>
        </w:tc>
        <w:tc>
          <w:tcPr>
            <w:tcW w:w="1721" w:type="dxa"/>
            <w:tcBorders>
              <w:top w:val="nil" w:sz="6" w:space="0" w:color="auto"/>
              <w:left w:val="nil" w:sz="6" w:space="0" w:color="auto"/>
              <w:bottom w:val="nil" w:sz="6" w:space="0" w:color="auto"/>
              <w:right w:val="nil" w:sz="6" w:space="0" w:color="auto"/>
            </w:tcBorders>
          </w:tcPr>
          <w:p>
            <w:pP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
        </w:tc>
      </w:tr>
      <w:tr>
        <w:trPr>
          <w:trHeight w:val="270"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44" w:lineRule="exact"/>
              <w:ind w:left="203" w:right="0"/>
              <w:jc w:val="left"/>
              <w:rPr>
                <w:rFonts w:ascii="宋体" w:hAnsi="宋体" w:cs="宋体" w:eastAsia="宋体" w:hint="default"/>
                <w:sz w:val="20"/>
                <w:szCs w:val="20"/>
              </w:rPr>
            </w:pPr>
            <w:r>
              <w:rPr>
                <w:rFonts w:ascii="Arial" w:hAnsi="Arial" w:cs="Arial" w:eastAsia="Arial" w:hint="default"/>
                <w:sz w:val="20"/>
                <w:szCs w:val="20"/>
              </w:rPr>
              <w:t>-</w:t>
            </w:r>
            <w:r>
              <w:rPr>
                <w:rFonts w:ascii="宋体" w:hAnsi="宋体" w:cs="宋体" w:eastAsia="宋体" w:hint="default"/>
                <w:sz w:val="20"/>
                <w:szCs w:val="20"/>
              </w:rPr>
              <w:t>归属于母公司股东权益</w:t>
            </w:r>
          </w:p>
        </w:tc>
        <w:tc>
          <w:tcPr>
            <w:tcW w:w="172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1"/>
              <w:jc w:val="right"/>
              <w:rPr>
                <w:rFonts w:ascii="Arial" w:hAnsi="Arial" w:cs="Arial" w:eastAsia="Arial" w:hint="default"/>
                <w:sz w:val="20"/>
                <w:szCs w:val="20"/>
              </w:rPr>
            </w:pPr>
            <w:r>
              <w:rPr>
                <w:rFonts w:ascii="Arial"/>
                <w:sz w:val="20"/>
              </w:rPr>
              <w:t>70,984</w:t>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004" w:right="0"/>
              <w:jc w:val="left"/>
              <w:rPr>
                <w:rFonts w:ascii="Arial" w:hAnsi="Arial" w:cs="Arial" w:eastAsia="Arial" w:hint="default"/>
                <w:sz w:val="20"/>
                <w:szCs w:val="20"/>
              </w:rPr>
            </w:pPr>
            <w:r>
              <w:rPr>
                <w:rFonts w:ascii="Arial"/>
                <w:sz w:val="20"/>
              </w:rPr>
              <w:t>70,691</w:t>
            </w:r>
          </w:p>
        </w:tc>
      </w:tr>
      <w:tr>
        <w:trPr>
          <w:trHeight w:val="261"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33" w:lineRule="exact"/>
              <w:ind w:left="188" w:right="0"/>
              <w:jc w:val="left"/>
              <w:rPr>
                <w:rFonts w:ascii="宋体" w:hAnsi="宋体" w:cs="宋体" w:eastAsia="宋体" w:hint="default"/>
                <w:sz w:val="20"/>
                <w:szCs w:val="20"/>
              </w:rPr>
            </w:pPr>
            <w:r>
              <w:rPr>
                <w:rFonts w:ascii="Arial" w:hAnsi="Arial" w:cs="Arial" w:eastAsia="Arial" w:hint="default"/>
                <w:sz w:val="20"/>
                <w:szCs w:val="20"/>
              </w:rPr>
              <w:t>-</w:t>
            </w:r>
            <w:r>
              <w:rPr>
                <w:rFonts w:ascii="宋体" w:hAnsi="宋体" w:cs="宋体" w:eastAsia="宋体" w:hint="default"/>
                <w:sz w:val="20"/>
                <w:szCs w:val="20"/>
              </w:rPr>
              <w:t>少数股东权益</w:t>
            </w:r>
          </w:p>
        </w:tc>
        <w:tc>
          <w:tcPr>
            <w:tcW w:w="1721" w:type="dxa"/>
            <w:tcBorders>
              <w:top w:val="nil" w:sz="6" w:space="0" w:color="auto"/>
              <w:left w:val="nil" w:sz="6" w:space="0" w:color="auto"/>
              <w:bottom w:val="nil" w:sz="6" w:space="0" w:color="auto"/>
              <w:right w:val="nil" w:sz="6" w:space="0" w:color="auto"/>
            </w:tcBorders>
          </w:tcPr>
          <w:p>
            <w:pPr>
              <w:pStyle w:val="TableParagraph"/>
              <w:tabs>
                <w:tab w:pos="886" w:val="left" w:leader="none"/>
                <w:tab w:pos="1706" w:val="left" w:leader="none"/>
              </w:tabs>
              <w:spacing w:line="240" w:lineRule="auto" w:before="1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137,862</w:t>
              <w:tab/>
            </w:r>
            <w:r>
              <w:rPr>
                <w:rFonts w:ascii="Arial"/>
                <w:spacing w:val="-1"/>
                <w:sz w:val="20"/>
              </w:rPr>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tabs>
                <w:tab w:pos="894" w:val="left" w:leader="none"/>
                <w:tab w:pos="1831" w:val="left" w:leader="none"/>
              </w:tabs>
              <w:spacing w:line="240" w:lineRule="auto" w:before="15"/>
              <w:ind w:left="3"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139,420</w:t>
              <w:tab/>
            </w:r>
            <w:r>
              <w:rPr>
                <w:rFonts w:ascii="Arial"/>
                <w:sz w:val="20"/>
              </w:rPr>
            </w:r>
          </w:p>
        </w:tc>
      </w:tr>
      <w:tr>
        <w:trPr>
          <w:trHeight w:val="354" w:hRule="exact"/>
        </w:trPr>
        <w:tc>
          <w:tcPr>
            <w:tcW w:w="5159" w:type="dxa"/>
            <w:tcBorders>
              <w:top w:val="nil" w:sz="6" w:space="0" w:color="auto"/>
              <w:left w:val="nil" w:sz="6" w:space="0" w:color="auto"/>
              <w:bottom w:val="nil" w:sz="6" w:space="0" w:color="auto"/>
              <w:right w:val="nil" w:sz="6" w:space="0" w:color="auto"/>
            </w:tcBorders>
          </w:tcPr>
          <w:p>
            <w:pPr/>
          </w:p>
        </w:tc>
        <w:tc>
          <w:tcPr>
            <w:tcW w:w="1721" w:type="dxa"/>
            <w:tcBorders>
              <w:top w:val="nil" w:sz="6" w:space="0" w:color="auto"/>
              <w:left w:val="nil" w:sz="6" w:space="0" w:color="auto"/>
              <w:bottom w:val="nil" w:sz="6" w:space="0" w:color="auto"/>
              <w:right w:val="nil" w:sz="6" w:space="0" w:color="auto"/>
            </w:tcBorders>
          </w:tcPr>
          <w:p>
            <w:pPr>
              <w:pStyle w:val="TableParagraph"/>
              <w:spacing w:line="225" w:lineRule="exact"/>
              <w:ind w:right="101"/>
              <w:jc w:val="right"/>
              <w:rPr>
                <w:rFonts w:ascii="Arial" w:hAnsi="Arial" w:cs="Arial" w:eastAsia="Arial" w:hint="default"/>
                <w:sz w:val="20"/>
                <w:szCs w:val="20"/>
              </w:rPr>
            </w:pPr>
            <w:r>
              <w:rPr>
                <w:rFonts w:ascii="Arial"/>
                <w:spacing w:val="-1"/>
                <w:sz w:val="20"/>
              </w:rPr>
              <w:t>208,845</w:t>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spacing w:line="225" w:lineRule="exact"/>
              <w:ind w:left="893" w:right="0"/>
              <w:jc w:val="left"/>
              <w:rPr>
                <w:rFonts w:ascii="Arial" w:hAnsi="Arial" w:cs="Arial" w:eastAsia="Arial" w:hint="default"/>
                <w:sz w:val="20"/>
                <w:szCs w:val="20"/>
              </w:rPr>
            </w:pPr>
            <w:r>
              <w:rPr>
                <w:rFonts w:ascii="Arial"/>
                <w:sz w:val="20"/>
              </w:rPr>
              <w:t>210,111</w:t>
            </w:r>
          </w:p>
        </w:tc>
      </w:tr>
      <w:tr>
        <w:trPr>
          <w:trHeight w:val="494"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40" w:lineRule="auto" w:before="71"/>
              <w:ind w:left="35" w:right="0"/>
              <w:jc w:val="left"/>
              <w:rPr>
                <w:rFonts w:ascii="宋体" w:hAnsi="宋体" w:cs="宋体" w:eastAsia="宋体" w:hint="default"/>
                <w:sz w:val="20"/>
                <w:szCs w:val="20"/>
              </w:rPr>
            </w:pPr>
            <w:r>
              <w:rPr>
                <w:rFonts w:ascii="宋体" w:hAnsi="宋体" w:cs="宋体" w:eastAsia="宋体" w:hint="default"/>
                <w:sz w:val="20"/>
                <w:szCs w:val="20"/>
              </w:rPr>
              <w:t>带息债务加股东权益合计</w:t>
            </w:r>
          </w:p>
        </w:tc>
        <w:tc>
          <w:tcPr>
            <w:tcW w:w="1721" w:type="dxa"/>
            <w:tcBorders>
              <w:top w:val="nil" w:sz="6" w:space="0" w:color="auto"/>
              <w:left w:val="nil" w:sz="6" w:space="0" w:color="auto"/>
              <w:bottom w:val="nil" w:sz="6" w:space="0" w:color="auto"/>
              <w:right w:val="nil" w:sz="6" w:space="0" w:color="auto"/>
            </w:tcBorders>
          </w:tcPr>
          <w:p>
            <w:pPr>
              <w:pStyle w:val="TableParagraph"/>
              <w:tabs>
                <w:tab w:pos="886" w:val="left" w:leader="none"/>
                <w:tab w:pos="1706" w:val="left" w:leader="none"/>
              </w:tabs>
              <w:spacing w:line="240" w:lineRule="auto" w:before="129"/>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283,308</w:t>
              <w:tab/>
            </w:r>
            <w:r>
              <w:rPr>
                <w:rFonts w:ascii="Arial"/>
                <w:spacing w:val="-1"/>
                <w:sz w:val="20"/>
              </w:rPr>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nil" w:sz="6" w:space="0" w:color="auto"/>
              <w:right w:val="nil" w:sz="6" w:space="0" w:color="auto"/>
            </w:tcBorders>
          </w:tcPr>
          <w:p>
            <w:pPr>
              <w:pStyle w:val="TableParagraph"/>
              <w:tabs>
                <w:tab w:pos="894" w:val="left" w:leader="none"/>
                <w:tab w:pos="1831" w:val="left" w:leader="none"/>
              </w:tabs>
              <w:spacing w:line="240" w:lineRule="auto" w:before="129"/>
              <w:ind w:left="3"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240,104</w:t>
              <w:tab/>
            </w:r>
            <w:r>
              <w:rPr>
                <w:rFonts w:ascii="Arial"/>
                <w:sz w:val="20"/>
              </w:rPr>
            </w:r>
          </w:p>
        </w:tc>
      </w:tr>
      <w:tr>
        <w:trPr>
          <w:trHeight w:val="385" w:hRule="exact"/>
        </w:trPr>
        <w:tc>
          <w:tcPr>
            <w:tcW w:w="5159"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20"/>
                <w:szCs w:val="20"/>
              </w:rPr>
            </w:pPr>
            <w:r>
              <w:rPr>
                <w:rFonts w:ascii="宋体" w:hAnsi="宋体" w:cs="宋体" w:eastAsia="宋体" w:hint="default"/>
                <w:sz w:val="20"/>
                <w:szCs w:val="20"/>
              </w:rPr>
              <w:t>债务资本率</w:t>
            </w:r>
          </w:p>
        </w:tc>
        <w:tc>
          <w:tcPr>
            <w:tcW w:w="1721" w:type="dxa"/>
            <w:tcBorders>
              <w:top w:val="nil" w:sz="6" w:space="0" w:color="auto"/>
              <w:left w:val="nil" w:sz="6" w:space="0" w:color="auto"/>
              <w:bottom w:val="single" w:sz="12" w:space="0" w:color="000000"/>
              <w:right w:val="nil" w:sz="6" w:space="0" w:color="auto"/>
            </w:tcBorders>
          </w:tcPr>
          <w:p>
            <w:pPr>
              <w:pStyle w:val="TableParagraph"/>
              <w:spacing w:line="240" w:lineRule="auto" w:before="135"/>
              <w:ind w:right="82"/>
              <w:jc w:val="right"/>
              <w:rPr>
                <w:rFonts w:ascii="Arial" w:hAnsi="Arial" w:cs="Arial" w:eastAsia="Arial" w:hint="default"/>
                <w:sz w:val="20"/>
                <w:szCs w:val="20"/>
              </w:rPr>
            </w:pPr>
            <w:r>
              <w:rPr>
                <w:rFonts w:ascii="Arial"/>
                <w:spacing w:val="-1"/>
                <w:sz w:val="20"/>
              </w:rPr>
              <w:t>74.94%</w:t>
            </w:r>
            <w:r>
              <w:rPr>
                <w:rFonts w:ascii="Arial"/>
                <w:sz w:val="20"/>
              </w:rPr>
            </w:r>
          </w:p>
        </w:tc>
        <w:tc>
          <w:tcPr>
            <w:tcW w:w="116" w:type="dxa"/>
            <w:tcBorders>
              <w:top w:val="nil" w:sz="6" w:space="0" w:color="auto"/>
              <w:left w:val="nil" w:sz="6" w:space="0" w:color="auto"/>
              <w:bottom w:val="nil" w:sz="6" w:space="0" w:color="auto"/>
              <w:right w:val="nil" w:sz="6" w:space="0" w:color="auto"/>
            </w:tcBorders>
          </w:tcPr>
          <w:p>
            <w:pPr/>
          </w:p>
        </w:tc>
        <w:tc>
          <w:tcPr>
            <w:tcW w:w="1838" w:type="dxa"/>
            <w:tcBorders>
              <w:top w:val="nil" w:sz="6" w:space="0" w:color="auto"/>
              <w:left w:val="nil" w:sz="6" w:space="0" w:color="auto"/>
              <w:bottom w:val="single" w:sz="12" w:space="0" w:color="000000"/>
              <w:right w:val="nil" w:sz="6" w:space="0" w:color="auto"/>
            </w:tcBorders>
          </w:tcPr>
          <w:p>
            <w:pPr>
              <w:pStyle w:val="TableParagraph"/>
              <w:spacing w:line="240" w:lineRule="auto" w:before="135"/>
              <w:ind w:left="969" w:right="0"/>
              <w:jc w:val="left"/>
              <w:rPr>
                <w:rFonts w:ascii="Arial" w:hAnsi="Arial" w:cs="Arial" w:eastAsia="Arial" w:hint="default"/>
                <w:sz w:val="20"/>
                <w:szCs w:val="20"/>
              </w:rPr>
            </w:pPr>
            <w:r>
              <w:rPr>
                <w:rFonts w:ascii="Arial"/>
                <w:sz w:val="20"/>
              </w:rPr>
              <w:t>70.56%</w:t>
            </w:r>
          </w:p>
        </w:tc>
      </w:tr>
    </w:tbl>
    <w:p>
      <w:pPr>
        <w:spacing w:after="0" w:line="240" w:lineRule="auto"/>
        <w:jc w:val="left"/>
        <w:rPr>
          <w:rFonts w:ascii="Arial" w:hAnsi="Arial" w:cs="Arial" w:eastAsia="Arial" w:hint="default"/>
          <w:sz w:val="20"/>
          <w:szCs w:val="20"/>
        </w:rPr>
        <w:sectPr>
          <w:headerReference w:type="default" r:id="rId61"/>
          <w:pgSz w:w="11910" w:h="16840"/>
          <w:pgMar w:header="967" w:footer="600" w:top="3380" w:bottom="780" w:left="1420" w:right="920"/>
        </w:sectPr>
      </w:pPr>
    </w:p>
    <w:p>
      <w:pPr>
        <w:spacing w:line="240" w:lineRule="auto" w:before="1"/>
        <w:rPr>
          <w:rFonts w:ascii="宋体" w:hAnsi="宋体" w:cs="宋体" w:eastAsia="宋体" w:hint="default"/>
          <w:sz w:val="14"/>
          <w:szCs w:val="14"/>
        </w:rPr>
      </w:pPr>
    </w:p>
    <w:p>
      <w:pPr>
        <w:pStyle w:val="BodyText"/>
        <w:tabs>
          <w:tab w:pos="615" w:val="left" w:leader="none"/>
        </w:tabs>
        <w:spacing w:line="240" w:lineRule="auto" w:before="31"/>
        <w:ind w:left="138" w:right="0"/>
        <w:jc w:val="left"/>
      </w:pPr>
      <w:r>
        <w:rPr>
          <w:rFonts w:ascii="Arial" w:hAnsi="Arial" w:cs="Arial" w:eastAsia="Arial" w:hint="default"/>
          <w:w w:val="95"/>
        </w:rPr>
        <w:t>(3)</w:t>
        <w:tab/>
      </w:r>
      <w:r>
        <w:rPr/>
        <w:t>公允价值估计</w:t>
      </w:r>
    </w:p>
    <w:p>
      <w:pPr>
        <w:spacing w:line="240" w:lineRule="auto" w:before="4"/>
        <w:rPr>
          <w:rFonts w:ascii="宋体" w:hAnsi="宋体" w:cs="宋体" w:eastAsia="宋体" w:hint="default"/>
          <w:sz w:val="18"/>
          <w:szCs w:val="18"/>
        </w:rPr>
      </w:pPr>
    </w:p>
    <w:p>
      <w:pPr>
        <w:pStyle w:val="BodyText"/>
        <w:spacing w:line="286" w:lineRule="exact"/>
        <w:ind w:left="627" w:right="132"/>
        <w:jc w:val="both"/>
      </w:pPr>
      <w:r>
        <w:rPr/>
        <w:t>本集团运用估值技术确定期权（包括换股权和股份期权）的公允价值。基于每个评估日的市</w:t>
      </w:r>
      <w:r>
        <w:rPr>
          <w:spacing w:val="-101"/>
        </w:rPr>
        <w:t> </w:t>
      </w:r>
      <w:r>
        <w:rPr>
          <w:spacing w:val="-101"/>
        </w:rPr>
      </w:r>
      <w:r>
        <w:rPr/>
        <w:t>场情况，本集团选择适当的估值方法作出相应假设，见附注五</w:t>
      </w:r>
      <w:r>
        <w:rPr>
          <w:rFonts w:ascii="Arial" w:hAnsi="Arial" w:cs="Arial" w:eastAsia="Arial" w:hint="default"/>
        </w:rPr>
        <w:t>(46)</w:t>
      </w:r>
      <w:r>
        <w:rPr/>
        <w:t>。</w:t>
      </w:r>
    </w:p>
    <w:p>
      <w:pPr>
        <w:spacing w:line="240" w:lineRule="auto" w:before="8"/>
        <w:rPr>
          <w:rFonts w:ascii="宋体" w:hAnsi="宋体" w:cs="宋体" w:eastAsia="宋体" w:hint="default"/>
          <w:sz w:val="15"/>
          <w:szCs w:val="15"/>
        </w:rPr>
      </w:pPr>
    </w:p>
    <w:p>
      <w:pPr>
        <w:pStyle w:val="BodyText"/>
        <w:spacing w:line="237" w:lineRule="auto"/>
        <w:ind w:left="627" w:right="132"/>
        <w:jc w:val="both"/>
      </w:pPr>
      <w:r>
        <w:rPr/>
        <w:t>在活跃市场上交易的金融工具的公允价值以资产负债表日的市场报价为基础。若报价可方便</w:t>
      </w:r>
      <w:r>
        <w:rPr>
          <w:spacing w:val="-101"/>
        </w:rPr>
        <w:t> </w:t>
      </w:r>
      <w:r>
        <w:rPr>
          <w:spacing w:val="-101"/>
        </w:rPr>
      </w:r>
      <w:r>
        <w:rPr/>
        <w:t>及定期的自交易所、证券商、经纪、行业团体、报价服务者、或监管代理处获得，且该等报</w:t>
      </w:r>
      <w:r>
        <w:rPr>
          <w:spacing w:val="-101"/>
        </w:rPr>
        <w:t> </w:t>
      </w:r>
      <w:r>
        <w:rPr>
          <w:spacing w:val="-101"/>
        </w:rPr>
      </w:r>
      <w:r>
        <w:rPr/>
        <w:t>价代表按公平交易基准进行的实际或常规市场交易时，该市场被视为活跃。本集团持有的可</w:t>
      </w:r>
      <w:r>
        <w:rPr>
          <w:spacing w:val="-101"/>
        </w:rPr>
        <w:t> </w:t>
      </w:r>
      <w:r>
        <w:rPr>
          <w:spacing w:val="-101"/>
        </w:rPr>
      </w:r>
      <w:r>
        <w:rPr/>
        <w:t>供出售金融资产（如对西班牙电信的股票投资）的市场报价为当时公开股票交易市场上的买</w:t>
      </w:r>
      <w:r>
        <w:rPr>
          <w:spacing w:val="-101"/>
        </w:rPr>
        <w:t> </w:t>
      </w:r>
      <w:r>
        <w:rPr>
          <w:spacing w:val="-101"/>
        </w:rPr>
      </w:r>
      <w:r>
        <w:rPr/>
        <w:t>方报价。</w:t>
      </w:r>
    </w:p>
    <w:p>
      <w:pPr>
        <w:spacing w:line="240" w:lineRule="auto" w:before="7"/>
        <w:rPr>
          <w:rFonts w:ascii="宋体" w:hAnsi="宋体" w:cs="宋体" w:eastAsia="宋体" w:hint="default"/>
          <w:sz w:val="21"/>
          <w:szCs w:val="21"/>
        </w:rPr>
      </w:pPr>
    </w:p>
    <w:p>
      <w:pPr>
        <w:pStyle w:val="BodyText"/>
        <w:spacing w:line="240" w:lineRule="auto"/>
        <w:ind w:left="153" w:right="0"/>
        <w:jc w:val="left"/>
        <w:rPr>
          <w:rFonts w:ascii="黑体" w:hAnsi="黑体" w:cs="黑体" w:eastAsia="黑体" w:hint="default"/>
        </w:rPr>
      </w:pPr>
      <w:r>
        <w:rPr>
          <w:rFonts w:ascii="黑体" w:hAnsi="黑体" w:cs="黑体" w:eastAsia="黑体" w:hint="default"/>
        </w:rPr>
        <w:t>三、税项</w:t>
      </w:r>
    </w:p>
    <w:p>
      <w:pPr>
        <w:spacing w:line="240" w:lineRule="auto" w:before="6"/>
        <w:rPr>
          <w:rFonts w:ascii="黑体" w:hAnsi="黑体" w:cs="黑体" w:eastAsia="黑体" w:hint="default"/>
          <w:sz w:val="19"/>
          <w:szCs w:val="19"/>
        </w:rPr>
      </w:pPr>
    </w:p>
    <w:p>
      <w:pPr>
        <w:pStyle w:val="BodyText"/>
        <w:spacing w:line="240" w:lineRule="auto"/>
        <w:ind w:left="139" w:right="0"/>
        <w:jc w:val="left"/>
      </w:pPr>
      <w:r>
        <w:rPr>
          <w:rFonts w:ascii="Arial" w:hAnsi="Arial" w:cs="Arial" w:eastAsia="Arial" w:hint="default"/>
        </w:rPr>
        <w:t>1</w:t>
      </w:r>
      <w:r>
        <w:rPr/>
        <w:t>、</w:t>
      </w:r>
      <w:r>
        <w:rPr>
          <w:spacing w:val="22"/>
        </w:rPr>
        <w:t> </w:t>
      </w:r>
      <w:r>
        <w:rPr/>
        <w:t>营业税</w:t>
      </w:r>
    </w:p>
    <w:p>
      <w:pPr>
        <w:spacing w:line="240" w:lineRule="auto" w:before="11"/>
        <w:rPr>
          <w:rFonts w:ascii="宋体" w:hAnsi="宋体" w:cs="宋体" w:eastAsia="宋体" w:hint="default"/>
          <w:sz w:val="19"/>
          <w:szCs w:val="19"/>
        </w:rPr>
      </w:pPr>
    </w:p>
    <w:p>
      <w:pPr>
        <w:pStyle w:val="BodyText"/>
        <w:spacing w:line="230" w:lineRule="auto"/>
        <w:ind w:left="615" w:right="129"/>
        <w:jc w:val="both"/>
      </w:pPr>
      <w:r>
        <w:rPr/>
        <w:t>根据《中华人民共和国营业税暂行条例》的规定，本公司所属中国境内各个子公司（见附注</w:t>
      </w:r>
      <w:r>
        <w:rPr>
          <w:spacing w:val="-86"/>
        </w:rPr>
        <w:t> </w:t>
      </w:r>
      <w:r>
        <w:rPr>
          <w:spacing w:val="-86"/>
        </w:rPr>
      </w:r>
      <w:r>
        <w:rPr/>
        <w:t>四），包括联通运营公司、联通新国信、联通宽带在线有限公司（“宽带在线公司”，原名</w:t>
      </w:r>
      <w:r>
        <w:rPr>
          <w:spacing w:val="-86"/>
        </w:rPr>
        <w:t> </w:t>
      </w:r>
      <w:r>
        <w:rPr>
          <w:spacing w:val="-86"/>
        </w:rPr>
      </w:r>
      <w:r>
        <w:rPr/>
        <w:t>为中国网通集团宽带在线有限公司，于</w:t>
      </w:r>
      <w:r>
        <w:rPr>
          <w:spacing w:val="-64"/>
        </w:rPr>
        <w:t> </w:t>
      </w:r>
      <w:r>
        <w:rPr>
          <w:rFonts w:ascii="Arial" w:hAnsi="Arial" w:cs="Arial" w:eastAsia="Arial" w:hint="default"/>
        </w:rPr>
        <w:t>2009</w:t>
      </w:r>
      <w:r>
        <w:rPr>
          <w:rFonts w:ascii="Arial" w:hAnsi="Arial" w:cs="Arial" w:eastAsia="Arial" w:hint="default"/>
          <w:spacing w:val="-15"/>
        </w:rPr>
        <w:t> </w:t>
      </w:r>
      <w:r>
        <w:rPr/>
        <w:t>年</w:t>
      </w:r>
      <w:r>
        <w:rPr>
          <w:spacing w:val="-64"/>
        </w:rPr>
        <w:t> </w:t>
      </w:r>
      <w:r>
        <w:rPr>
          <w:rFonts w:ascii="Arial" w:hAnsi="Arial" w:cs="Arial" w:eastAsia="Arial" w:hint="default"/>
        </w:rPr>
        <w:t>5</w:t>
      </w:r>
      <w:r>
        <w:rPr>
          <w:rFonts w:ascii="Arial" w:hAnsi="Arial" w:cs="Arial" w:eastAsia="Arial" w:hint="default"/>
          <w:spacing w:val="-15"/>
        </w:rPr>
        <w:t> </w:t>
      </w:r>
      <w:r>
        <w:rPr/>
        <w:t>月</w:t>
      </w:r>
      <w:r>
        <w:rPr>
          <w:spacing w:val="-64"/>
        </w:rPr>
        <w:t> </w:t>
      </w:r>
      <w:r>
        <w:rPr>
          <w:rFonts w:ascii="Arial" w:hAnsi="Arial" w:cs="Arial" w:eastAsia="Arial" w:hint="default"/>
        </w:rPr>
        <w:t>15</w:t>
      </w:r>
      <w:r>
        <w:rPr>
          <w:rFonts w:ascii="Arial" w:hAnsi="Arial" w:cs="Arial" w:eastAsia="Arial" w:hint="default"/>
          <w:spacing w:val="-15"/>
        </w:rPr>
        <w:t> </w:t>
      </w:r>
      <w:r>
        <w:rPr/>
        <w:t>日进行了公司名称变更）、联通兴业</w:t>
      </w:r>
      <w:r>
        <w:rPr>
          <w:w w:val="99"/>
        </w:rPr>
        <w:t> </w:t>
      </w:r>
      <w:r>
        <w:rPr>
          <w:spacing w:val="5"/>
        </w:rPr>
        <w:t>等对其提供电信服务的收入以及随同电信服务收入一并收取的销售手机识别卡（</w:t>
      </w:r>
      <w:r>
        <w:rPr>
          <w:rFonts w:ascii="Arial" w:hAnsi="Arial" w:cs="Arial" w:eastAsia="Arial" w:hint="default"/>
          <w:spacing w:val="5"/>
        </w:rPr>
        <w:t>SIM</w:t>
      </w:r>
      <w:r>
        <w:rPr>
          <w:rFonts w:ascii="Arial" w:hAnsi="Arial" w:cs="Arial" w:eastAsia="Arial" w:hint="default"/>
          <w:spacing w:val="43"/>
        </w:rPr>
        <w:t> </w:t>
      </w:r>
      <w:r>
        <w:rPr>
          <w:spacing w:val="3"/>
        </w:rPr>
        <w:t>卡及</w:t>
      </w:r>
      <w:r>
        <w:rPr>
          <w:spacing w:val="3"/>
          <w:w w:val="99"/>
        </w:rPr>
        <w:t> </w:t>
      </w:r>
      <w:r>
        <w:rPr>
          <w:rFonts w:ascii="Arial" w:hAnsi="Arial" w:cs="Arial" w:eastAsia="Arial" w:hint="default"/>
        </w:rPr>
        <w:t>USIM </w:t>
      </w:r>
      <w:r>
        <w:rPr>
          <w:spacing w:val="-3"/>
        </w:rPr>
        <w:t>卡等）、手机等电信产品的收入均按</w:t>
      </w:r>
      <w:r>
        <w:rPr>
          <w:spacing w:val="-79"/>
        </w:rPr>
        <w:t> </w:t>
      </w:r>
      <w:r>
        <w:rPr>
          <w:rFonts w:ascii="Arial" w:hAnsi="Arial" w:cs="Arial" w:eastAsia="Arial" w:hint="default"/>
        </w:rPr>
        <w:t>3%</w:t>
      </w:r>
      <w:r>
        <w:rPr/>
        <w:t>的税率缴纳营业税；对于提供其他非电信服务</w:t>
      </w:r>
      <w:r>
        <w:rPr>
          <w:w w:val="99"/>
        </w:rPr>
        <w:t> </w:t>
      </w:r>
      <w:r>
        <w:rPr/>
        <w:t>的劳务或服务收入，均按</w:t>
      </w:r>
      <w:r>
        <w:rPr>
          <w:spacing w:val="-57"/>
        </w:rPr>
        <w:t> </w:t>
      </w:r>
      <w:r>
        <w:rPr>
          <w:rFonts w:ascii="Arial" w:hAnsi="Arial" w:cs="Arial" w:eastAsia="Arial" w:hint="default"/>
        </w:rPr>
        <w:t>5%</w:t>
      </w:r>
      <w:r>
        <w:rPr/>
        <w:t>的税率缴纳营业税。</w:t>
      </w:r>
    </w:p>
    <w:p>
      <w:pPr>
        <w:spacing w:line="240" w:lineRule="auto" w:before="5"/>
        <w:rPr>
          <w:rFonts w:ascii="宋体" w:hAnsi="宋体" w:cs="宋体" w:eastAsia="宋体" w:hint="default"/>
          <w:sz w:val="18"/>
          <w:szCs w:val="18"/>
        </w:rPr>
      </w:pPr>
    </w:p>
    <w:p>
      <w:pPr>
        <w:pStyle w:val="BodyText"/>
        <w:spacing w:line="240" w:lineRule="auto"/>
        <w:ind w:left="138" w:right="0"/>
        <w:jc w:val="left"/>
      </w:pPr>
      <w:r>
        <w:rPr>
          <w:rFonts w:ascii="Arial" w:hAnsi="Arial" w:cs="Arial" w:eastAsia="Arial" w:hint="default"/>
        </w:rPr>
        <w:t>2</w:t>
      </w:r>
      <w:r>
        <w:rPr/>
        <w:t>、</w:t>
      </w:r>
      <w:r>
        <w:rPr>
          <w:spacing w:val="35"/>
        </w:rPr>
        <w:t> </w:t>
      </w:r>
      <w:r>
        <w:rPr/>
        <w:t>增值税</w:t>
      </w:r>
    </w:p>
    <w:p>
      <w:pPr>
        <w:spacing w:line="240" w:lineRule="auto" w:before="4"/>
        <w:rPr>
          <w:rFonts w:ascii="宋体" w:hAnsi="宋体" w:cs="宋体" w:eastAsia="宋体" w:hint="default"/>
          <w:sz w:val="17"/>
          <w:szCs w:val="17"/>
        </w:rPr>
      </w:pPr>
    </w:p>
    <w:p>
      <w:pPr>
        <w:pStyle w:val="BodyText"/>
        <w:spacing w:line="232" w:lineRule="auto"/>
        <w:ind w:left="628" w:right="98"/>
        <w:jc w:val="both"/>
      </w:pPr>
      <w:r>
        <w:rPr/>
        <w:t>根据《中华人民共和国增值税暂行条例》的规定，联通运营公司子公司联通华盛通信有限公</w:t>
      </w:r>
      <w:r>
        <w:rPr>
          <w:w w:val="99"/>
        </w:rPr>
        <w:t> </w:t>
      </w:r>
      <w:r>
        <w:rPr/>
        <w:t>司（“新联通华盛”）的通信终端销售和维修业务及联通系统集成有限公司（“系统集成公</w:t>
      </w:r>
      <w:r>
        <w:rPr>
          <w:w w:val="99"/>
        </w:rPr>
        <w:t> </w:t>
      </w:r>
      <w:r>
        <w:rPr/>
        <w:t>司”，原名为中国网通集团系统集成有限公司，于</w:t>
      </w:r>
      <w:r>
        <w:rPr>
          <w:spacing w:val="-55"/>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5</w:t>
      </w:r>
      <w:r>
        <w:rPr>
          <w:rFonts w:ascii="Arial" w:hAnsi="Arial" w:cs="Arial" w:eastAsia="Arial" w:hint="default"/>
          <w:spacing w:val="-7"/>
        </w:rPr>
        <w:t> </w:t>
      </w:r>
      <w:r>
        <w:rPr/>
        <w:t>月</w:t>
      </w:r>
      <w:r>
        <w:rPr>
          <w:spacing w:val="-56"/>
        </w:rPr>
        <w:t> </w:t>
      </w:r>
      <w:r>
        <w:rPr>
          <w:rFonts w:ascii="Arial" w:hAnsi="Arial" w:cs="Arial" w:eastAsia="Arial" w:hint="default"/>
        </w:rPr>
        <w:t>8</w:t>
      </w:r>
      <w:r>
        <w:rPr>
          <w:rFonts w:ascii="Arial" w:hAnsi="Arial" w:cs="Arial" w:eastAsia="Arial" w:hint="default"/>
          <w:spacing w:val="-7"/>
        </w:rPr>
        <w:t> </w:t>
      </w:r>
      <w:r>
        <w:rPr/>
        <w:t>日进行了公司名称变更）</w:t>
      </w:r>
      <w:r>
        <w:rPr>
          <w:w w:val="99"/>
        </w:rPr>
        <w:t> </w:t>
      </w:r>
      <w:r>
        <w:rPr/>
        <w:t>的信息与通信技术业务中对第三方产品销售的业务适用增值税，税率为</w:t>
      </w:r>
      <w:r>
        <w:rPr>
          <w:spacing w:val="-57"/>
        </w:rPr>
        <w:t> </w:t>
      </w:r>
      <w:r>
        <w:rPr>
          <w:rFonts w:ascii="Arial" w:hAnsi="Arial" w:cs="Arial" w:eastAsia="Arial" w:hint="default"/>
        </w:rPr>
        <w:t>17%</w:t>
      </w:r>
      <w:r>
        <w:rPr/>
        <w:t>。其购买商品、</w:t>
      </w:r>
      <w:r>
        <w:rPr>
          <w:w w:val="99"/>
        </w:rPr>
        <w:t> </w:t>
      </w:r>
      <w:r>
        <w:rPr/>
        <w:t>运费等支付的增值税进项税额可以按相关规定抵扣销项税额。增值税应纳税额为当期销项税</w:t>
      </w:r>
      <w:r>
        <w:rPr>
          <w:w w:val="99"/>
        </w:rPr>
        <w:t> </w:t>
      </w:r>
      <w:r>
        <w:rPr/>
        <w:t>额抵减当期可以抵扣的进项税额后的余额。</w:t>
      </w:r>
    </w:p>
    <w:p>
      <w:pPr>
        <w:spacing w:line="240" w:lineRule="auto" w:before="9"/>
        <w:rPr>
          <w:rFonts w:ascii="宋体" w:hAnsi="宋体" w:cs="宋体" w:eastAsia="宋体" w:hint="default"/>
          <w:sz w:val="21"/>
          <w:szCs w:val="21"/>
        </w:rPr>
      </w:pPr>
    </w:p>
    <w:p>
      <w:pPr>
        <w:pStyle w:val="BodyText"/>
        <w:spacing w:line="287" w:lineRule="exact"/>
        <w:ind w:left="628" w:right="0"/>
        <w:jc w:val="both"/>
      </w:pPr>
      <w:r>
        <w:rPr/>
        <w:t>本公司所属中国境内各个子公司（除联通运营公司外）均按实际缴纳营业税额或增值税额的</w:t>
      </w:r>
    </w:p>
    <w:p>
      <w:pPr>
        <w:pStyle w:val="BodyText"/>
        <w:spacing w:line="302" w:lineRule="exact"/>
        <w:ind w:left="628" w:right="0"/>
        <w:jc w:val="both"/>
      </w:pPr>
      <w:r>
        <w:rPr>
          <w:rFonts w:ascii="Arial" w:hAnsi="Arial" w:cs="Arial" w:eastAsia="Arial" w:hint="default"/>
        </w:rPr>
        <w:t>7%</w:t>
      </w:r>
      <w:r>
        <w:rPr/>
        <w:t>缴纳城市维护建设税。</w:t>
      </w:r>
    </w:p>
    <w:p>
      <w:pPr>
        <w:spacing w:line="240" w:lineRule="auto" w:before="2"/>
        <w:rPr>
          <w:rFonts w:ascii="宋体" w:hAnsi="宋体" w:cs="宋体" w:eastAsia="宋体" w:hint="default"/>
          <w:sz w:val="18"/>
          <w:szCs w:val="18"/>
        </w:rPr>
      </w:pPr>
    </w:p>
    <w:p>
      <w:pPr>
        <w:pStyle w:val="BodyText"/>
        <w:spacing w:line="240" w:lineRule="auto"/>
        <w:ind w:left="138" w:right="0"/>
        <w:jc w:val="left"/>
      </w:pPr>
      <w:r>
        <w:rPr>
          <w:rFonts w:ascii="Arial" w:hAnsi="Arial" w:cs="Arial" w:eastAsia="Arial" w:hint="default"/>
        </w:rPr>
        <w:t>3</w:t>
      </w:r>
      <w:r>
        <w:rPr/>
        <w:t>、</w:t>
      </w:r>
      <w:r>
        <w:rPr>
          <w:spacing w:val="-35"/>
        </w:rPr>
        <w:t> </w:t>
      </w:r>
      <w:r>
        <w:rPr/>
        <w:t>企业所得税</w:t>
      </w:r>
    </w:p>
    <w:p>
      <w:pPr>
        <w:spacing w:line="240" w:lineRule="auto" w:before="9"/>
        <w:rPr>
          <w:rFonts w:ascii="宋体" w:hAnsi="宋体" w:cs="宋体" w:eastAsia="宋体" w:hint="default"/>
          <w:sz w:val="16"/>
          <w:szCs w:val="16"/>
        </w:rPr>
      </w:pPr>
    </w:p>
    <w:p>
      <w:pPr>
        <w:pStyle w:val="BodyText"/>
        <w:spacing w:line="240" w:lineRule="auto"/>
        <w:ind w:left="138" w:right="0"/>
        <w:jc w:val="left"/>
      </w:pPr>
      <w:r>
        <w:rPr>
          <w:rFonts w:ascii="Arial" w:hAnsi="Arial" w:cs="Arial" w:eastAsia="Arial" w:hint="default"/>
        </w:rPr>
        <w:t>(1) </w:t>
      </w:r>
      <w:r>
        <w:rPr>
          <w:rFonts w:ascii="Arial" w:hAnsi="Arial" w:cs="Arial" w:eastAsia="Arial" w:hint="default"/>
          <w:spacing w:val="27"/>
        </w:rPr>
        <w:t> </w:t>
      </w:r>
      <w:r>
        <w:rPr/>
        <w:t>本公司企业所得税</w:t>
      </w:r>
    </w:p>
    <w:p>
      <w:pPr>
        <w:spacing w:line="240" w:lineRule="auto" w:before="12"/>
        <w:rPr>
          <w:rFonts w:ascii="宋体" w:hAnsi="宋体" w:cs="宋体" w:eastAsia="宋体" w:hint="default"/>
          <w:sz w:val="17"/>
          <w:szCs w:val="17"/>
        </w:rPr>
      </w:pPr>
    </w:p>
    <w:p>
      <w:pPr>
        <w:pStyle w:val="BodyText"/>
        <w:spacing w:line="295" w:lineRule="exact"/>
        <w:ind w:left="558" w:right="0"/>
        <w:jc w:val="both"/>
        <w:rPr>
          <w:rFonts w:ascii="Arial" w:hAnsi="Arial" w:cs="Arial" w:eastAsia="Arial" w:hint="default"/>
        </w:rPr>
      </w:pPr>
      <w:r>
        <w:rPr/>
        <w:t>自</w:t>
      </w:r>
      <w:r>
        <w:rPr>
          <w:spacing w:val="-47"/>
        </w:rPr>
        <w:t> </w:t>
      </w:r>
      <w:r>
        <w:rPr>
          <w:rFonts w:ascii="Arial" w:hAnsi="Arial" w:cs="Arial" w:eastAsia="Arial" w:hint="default"/>
        </w:rPr>
        <w:t>2008</w:t>
      </w:r>
      <w:r>
        <w:rPr>
          <w:rFonts w:ascii="Arial" w:hAnsi="Arial" w:cs="Arial" w:eastAsia="Arial" w:hint="default"/>
          <w:spacing w:val="3"/>
        </w:rPr>
        <w:t> </w:t>
      </w:r>
      <w:r>
        <w:rPr/>
        <w:t>年</w:t>
      </w:r>
      <w:r>
        <w:rPr>
          <w:spacing w:val="-46"/>
        </w:rPr>
        <w:t> </w:t>
      </w:r>
      <w:r>
        <w:rPr>
          <w:rFonts w:ascii="Arial" w:hAnsi="Arial" w:cs="Arial" w:eastAsia="Arial" w:hint="default"/>
        </w:rPr>
        <w:t>1</w:t>
      </w:r>
      <w:r>
        <w:rPr>
          <w:rFonts w:ascii="Arial" w:hAnsi="Arial" w:cs="Arial" w:eastAsia="Arial" w:hint="default"/>
          <w:spacing w:val="2"/>
        </w:rPr>
        <w:t> </w:t>
      </w:r>
      <w:r>
        <w:rPr/>
        <w:t>月</w:t>
      </w:r>
      <w:r>
        <w:rPr>
          <w:spacing w:val="-47"/>
        </w:rPr>
        <w:t> </w:t>
      </w:r>
      <w:r>
        <w:rPr>
          <w:rFonts w:ascii="Arial" w:hAnsi="Arial" w:cs="Arial" w:eastAsia="Arial" w:hint="default"/>
        </w:rPr>
        <w:t>1</w:t>
      </w:r>
      <w:r>
        <w:rPr>
          <w:rFonts w:ascii="Arial" w:hAnsi="Arial" w:cs="Arial" w:eastAsia="Arial" w:hint="default"/>
          <w:spacing w:val="2"/>
        </w:rPr>
        <w:t> </w:t>
      </w:r>
      <w:r>
        <w:rPr/>
        <w:t>日起，根据全国人民代表大会于</w:t>
      </w:r>
      <w:r>
        <w:rPr>
          <w:spacing w:val="-46"/>
        </w:rPr>
        <w:t> </w:t>
      </w:r>
      <w:r>
        <w:rPr>
          <w:rFonts w:ascii="Arial" w:hAnsi="Arial" w:cs="Arial" w:eastAsia="Arial" w:hint="default"/>
        </w:rPr>
        <w:t>2007</w:t>
      </w:r>
      <w:r>
        <w:rPr>
          <w:rFonts w:ascii="Arial" w:hAnsi="Arial" w:cs="Arial" w:eastAsia="Arial" w:hint="default"/>
          <w:spacing w:val="4"/>
        </w:rPr>
        <w:t> </w:t>
      </w:r>
      <w:r>
        <w:rPr/>
        <w:t>年</w:t>
      </w:r>
      <w:r>
        <w:rPr>
          <w:spacing w:val="-47"/>
        </w:rPr>
        <w:t> </w:t>
      </w:r>
      <w:r>
        <w:rPr>
          <w:rFonts w:ascii="Arial" w:hAnsi="Arial" w:cs="Arial" w:eastAsia="Arial" w:hint="default"/>
        </w:rPr>
        <w:t>3</w:t>
      </w:r>
      <w:r>
        <w:rPr>
          <w:rFonts w:ascii="Arial" w:hAnsi="Arial" w:cs="Arial" w:eastAsia="Arial" w:hint="default"/>
          <w:spacing w:val="2"/>
        </w:rPr>
        <w:t> </w:t>
      </w:r>
      <w:r>
        <w:rPr/>
        <w:t>月</w:t>
      </w:r>
      <w:r>
        <w:rPr>
          <w:spacing w:val="-47"/>
        </w:rPr>
        <w:t> </w:t>
      </w:r>
      <w:r>
        <w:rPr>
          <w:rFonts w:ascii="Arial" w:hAnsi="Arial" w:cs="Arial" w:eastAsia="Arial" w:hint="default"/>
        </w:rPr>
        <w:t>16</w:t>
      </w:r>
      <w:r>
        <w:rPr>
          <w:rFonts w:ascii="Arial" w:hAnsi="Arial" w:cs="Arial" w:eastAsia="Arial" w:hint="default"/>
          <w:spacing w:val="4"/>
        </w:rPr>
        <w:t> </w:t>
      </w:r>
      <w:r>
        <w:rPr/>
        <w:t>日通过的并于</w:t>
      </w:r>
      <w:r>
        <w:rPr>
          <w:spacing w:val="-46"/>
        </w:rPr>
        <w:t> </w:t>
      </w:r>
      <w:r>
        <w:rPr>
          <w:rFonts w:ascii="Arial" w:hAnsi="Arial" w:cs="Arial" w:eastAsia="Arial" w:hint="default"/>
        </w:rPr>
        <w:t>2008</w:t>
      </w:r>
      <w:r>
        <w:rPr>
          <w:rFonts w:ascii="Arial" w:hAnsi="Arial" w:cs="Arial" w:eastAsia="Arial" w:hint="default"/>
          <w:spacing w:val="3"/>
        </w:rPr>
        <w:t> </w:t>
      </w:r>
      <w:r>
        <w:rPr/>
        <w:t>年</w:t>
      </w:r>
      <w:r>
        <w:rPr>
          <w:spacing w:val="-47"/>
        </w:rPr>
        <w:t> </w:t>
      </w:r>
      <w:r>
        <w:rPr>
          <w:rFonts w:ascii="Arial" w:hAnsi="Arial" w:cs="Arial" w:eastAsia="Arial" w:hint="default"/>
        </w:rPr>
        <w:t>1</w:t>
      </w:r>
    </w:p>
    <w:p>
      <w:pPr>
        <w:pStyle w:val="BodyText"/>
        <w:spacing w:line="285" w:lineRule="exact"/>
        <w:ind w:left="558" w:right="0"/>
        <w:jc w:val="both"/>
      </w:pPr>
      <w:r>
        <w:rPr/>
        <w:t>月 </w:t>
      </w:r>
      <w:r>
        <w:rPr>
          <w:rFonts w:ascii="Arial" w:hAnsi="Arial" w:cs="Arial" w:eastAsia="Arial" w:hint="default"/>
        </w:rPr>
        <w:t>1</w:t>
      </w:r>
      <w:r>
        <w:rPr>
          <w:rFonts w:ascii="Arial" w:hAnsi="Arial" w:cs="Arial" w:eastAsia="Arial" w:hint="default"/>
          <w:spacing w:val="17"/>
        </w:rPr>
        <w:t> </w:t>
      </w:r>
      <w:r>
        <w:rPr/>
        <w:t>日施行的《中华人民共和国企业所得税法》（“所得税法”），本公司适用的企业所得</w:t>
      </w:r>
    </w:p>
    <w:p>
      <w:pPr>
        <w:pStyle w:val="BodyText"/>
        <w:spacing w:line="286" w:lineRule="exact" w:before="19"/>
        <w:ind w:left="557" w:right="129"/>
        <w:jc w:val="both"/>
      </w:pPr>
      <w:r>
        <w:rPr/>
        <w:t>税率自</w:t>
      </w:r>
      <w:r>
        <w:rPr>
          <w:spacing w:val="-45"/>
        </w:rPr>
        <w:t> </w:t>
      </w:r>
      <w:r>
        <w:rPr>
          <w:rFonts w:ascii="Arial" w:hAnsi="Arial" w:cs="Arial" w:eastAsia="Arial" w:hint="default"/>
        </w:rPr>
        <w:t>2008</w:t>
      </w:r>
      <w:r>
        <w:rPr>
          <w:rFonts w:ascii="Arial" w:hAnsi="Arial" w:cs="Arial" w:eastAsia="Arial" w:hint="default"/>
          <w:spacing w:val="4"/>
        </w:rPr>
        <w:t> </w:t>
      </w:r>
      <w:r>
        <w:rPr/>
        <w:t>年</w:t>
      </w:r>
      <w:r>
        <w:rPr>
          <w:spacing w:val="-46"/>
        </w:rPr>
        <w:t> </w:t>
      </w:r>
      <w:r>
        <w:rPr>
          <w:rFonts w:ascii="Arial" w:hAnsi="Arial" w:cs="Arial" w:eastAsia="Arial" w:hint="default"/>
        </w:rPr>
        <w:t>1</w:t>
      </w:r>
      <w:r>
        <w:rPr>
          <w:rFonts w:ascii="Arial" w:hAnsi="Arial" w:cs="Arial" w:eastAsia="Arial" w:hint="default"/>
          <w:spacing w:val="4"/>
        </w:rPr>
        <w:t> </w:t>
      </w:r>
      <w:r>
        <w:rPr/>
        <w:t>月</w:t>
      </w:r>
      <w:r>
        <w:rPr>
          <w:spacing w:val="-45"/>
        </w:rPr>
        <w:t> </w:t>
      </w:r>
      <w:r>
        <w:rPr>
          <w:rFonts w:ascii="Arial" w:hAnsi="Arial" w:cs="Arial" w:eastAsia="Arial" w:hint="default"/>
        </w:rPr>
        <w:t>1</w:t>
      </w:r>
      <w:r>
        <w:rPr>
          <w:rFonts w:ascii="Arial" w:hAnsi="Arial" w:cs="Arial" w:eastAsia="Arial" w:hint="default"/>
          <w:spacing w:val="4"/>
        </w:rPr>
        <w:t> </w:t>
      </w:r>
      <w:r>
        <w:rPr/>
        <w:t>日起为</w:t>
      </w:r>
      <w:r>
        <w:rPr>
          <w:spacing w:val="-46"/>
        </w:rPr>
        <w:t> </w:t>
      </w:r>
      <w:r>
        <w:rPr>
          <w:rFonts w:ascii="Arial" w:hAnsi="Arial" w:cs="Arial" w:eastAsia="Arial" w:hint="default"/>
        </w:rPr>
        <w:t>25%</w:t>
      </w:r>
      <w:r>
        <w:rPr/>
        <w:t>。本公司按收入总额减去准予扣除项目后计算应纳税所得</w:t>
      </w:r>
      <w:r>
        <w:rPr>
          <w:w w:val="99"/>
        </w:rPr>
        <w:t> </w:t>
      </w:r>
      <w:r>
        <w:rPr/>
        <w:t>额。</w:t>
      </w:r>
    </w:p>
    <w:p>
      <w:pPr>
        <w:spacing w:after="0" w:line="286" w:lineRule="exact"/>
        <w:jc w:val="both"/>
        <w:sectPr>
          <w:headerReference w:type="default" r:id="rId62"/>
          <w:pgSz w:w="11910" w:h="16840"/>
          <w:pgMar w:header="967" w:footer="600" w:top="3380" w:bottom="780" w:left="1420" w:right="900"/>
        </w:sectPr>
      </w:pPr>
    </w:p>
    <w:p>
      <w:pPr>
        <w:spacing w:line="240" w:lineRule="auto" w:before="6"/>
        <w:rPr>
          <w:rFonts w:ascii="宋体" w:hAnsi="宋体" w:cs="宋体" w:eastAsia="宋体" w:hint="default"/>
          <w:sz w:val="11"/>
          <w:szCs w:val="11"/>
        </w:rPr>
      </w:pPr>
    </w:p>
    <w:p>
      <w:pPr>
        <w:pStyle w:val="BodyText"/>
        <w:spacing w:line="240" w:lineRule="auto" w:before="31"/>
        <w:ind w:left="102" w:right="109"/>
        <w:jc w:val="left"/>
      </w:pPr>
      <w:r>
        <w:rPr>
          <w:rFonts w:ascii="Arial" w:hAnsi="Arial" w:cs="Arial" w:eastAsia="Arial" w:hint="default"/>
        </w:rPr>
        <w:t>(2) </w:t>
      </w:r>
      <w:r>
        <w:rPr>
          <w:rFonts w:ascii="Arial" w:hAnsi="Arial" w:cs="Arial" w:eastAsia="Arial" w:hint="default"/>
          <w:spacing w:val="27"/>
        </w:rPr>
        <w:t> </w:t>
      </w:r>
      <w:r>
        <w:rPr/>
        <w:t>联通运营公司（含网通运营公司）企业所得税</w:t>
      </w:r>
    </w:p>
    <w:p>
      <w:pPr>
        <w:spacing w:line="240" w:lineRule="auto" w:before="10"/>
        <w:rPr>
          <w:rFonts w:ascii="宋体" w:hAnsi="宋体" w:cs="宋体" w:eastAsia="宋体" w:hint="default"/>
          <w:sz w:val="18"/>
          <w:szCs w:val="18"/>
        </w:rPr>
      </w:pPr>
    </w:p>
    <w:p>
      <w:pPr>
        <w:pStyle w:val="BodyText"/>
        <w:spacing w:line="230" w:lineRule="auto"/>
        <w:ind w:left="522" w:right="108"/>
        <w:jc w:val="both"/>
      </w:pPr>
      <w:r>
        <w:rPr/>
        <w:t>本公司境内子公司联通运营公司（含网通运营公司）自</w:t>
      </w:r>
      <w:r>
        <w:rPr>
          <w:spacing w:val="-41"/>
        </w:rPr>
        <w:t> </w:t>
      </w:r>
      <w:r>
        <w:rPr>
          <w:rFonts w:ascii="Arial" w:hAnsi="Arial" w:cs="Arial" w:eastAsia="Arial" w:hint="default"/>
        </w:rPr>
        <w:t>2008</w:t>
      </w:r>
      <w:r>
        <w:rPr>
          <w:rFonts w:ascii="Arial" w:hAnsi="Arial" w:cs="Arial" w:eastAsia="Arial" w:hint="default"/>
          <w:spacing w:val="8"/>
        </w:rPr>
        <w:t> </w:t>
      </w:r>
      <w:r>
        <w:rPr/>
        <w:t>年</w:t>
      </w:r>
      <w:r>
        <w:rPr>
          <w:spacing w:val="-42"/>
        </w:rPr>
        <w:t> </w:t>
      </w:r>
      <w:r>
        <w:rPr>
          <w:rFonts w:ascii="Arial" w:hAnsi="Arial" w:cs="Arial" w:eastAsia="Arial" w:hint="default"/>
        </w:rPr>
        <w:t>1</w:t>
      </w:r>
      <w:r>
        <w:rPr>
          <w:rFonts w:ascii="Arial" w:hAnsi="Arial" w:cs="Arial" w:eastAsia="Arial" w:hint="default"/>
          <w:spacing w:val="7"/>
        </w:rPr>
        <w:t> </w:t>
      </w:r>
      <w:r>
        <w:rPr/>
        <w:t>月</w:t>
      </w:r>
      <w:r>
        <w:rPr>
          <w:spacing w:val="-42"/>
        </w:rPr>
        <w:t> </w:t>
      </w:r>
      <w:r>
        <w:rPr>
          <w:rFonts w:ascii="Arial" w:hAnsi="Arial" w:cs="Arial" w:eastAsia="Arial" w:hint="default"/>
        </w:rPr>
        <w:t>1</w:t>
      </w:r>
      <w:r>
        <w:rPr>
          <w:rFonts w:ascii="Arial" w:hAnsi="Arial" w:cs="Arial" w:eastAsia="Arial" w:hint="default"/>
          <w:spacing w:val="7"/>
        </w:rPr>
        <w:t> </w:t>
      </w:r>
      <w:r>
        <w:rPr/>
        <w:t>日起按照所得税法及其</w:t>
      </w:r>
      <w:r>
        <w:rPr>
          <w:w w:val="99"/>
        </w:rPr>
        <w:t> </w:t>
      </w:r>
      <w:r>
        <w:rPr/>
        <w:t>实施细则的有关规定，对其所属各省、市、区分公司分别按所在地适用的所得税税率计算所得</w:t>
      </w:r>
      <w:r>
        <w:rPr>
          <w:spacing w:val="-71"/>
        </w:rPr>
        <w:t> </w:t>
      </w:r>
      <w:r>
        <w:rPr>
          <w:spacing w:val="-71"/>
        </w:rPr>
      </w:r>
      <w:r>
        <w:rPr/>
        <w:t>税，并在北京汇总后集中缴纳。</w:t>
      </w:r>
    </w:p>
    <w:p>
      <w:pPr>
        <w:spacing w:line="240" w:lineRule="auto" w:before="4"/>
        <w:rPr>
          <w:rFonts w:ascii="宋体" w:hAnsi="宋体" w:cs="宋体" w:eastAsia="宋体" w:hint="default"/>
          <w:sz w:val="19"/>
          <w:szCs w:val="19"/>
        </w:rPr>
      </w:pPr>
    </w:p>
    <w:p>
      <w:pPr>
        <w:pStyle w:val="BodyText"/>
        <w:spacing w:line="295" w:lineRule="exact"/>
        <w:ind w:left="522" w:right="0"/>
        <w:jc w:val="both"/>
        <w:rPr>
          <w:rFonts w:ascii="Arial" w:hAnsi="Arial" w:cs="Arial" w:eastAsia="Arial" w:hint="default"/>
        </w:rPr>
      </w:pPr>
      <w:r>
        <w:rPr>
          <w:spacing w:val="-6"/>
        </w:rPr>
        <w:t>如附注一（</w:t>
      </w:r>
      <w:r>
        <w:rPr>
          <w:rFonts w:ascii="Arial" w:hAnsi="Arial" w:cs="Arial" w:eastAsia="Arial" w:hint="default"/>
          <w:spacing w:val="-6"/>
        </w:rPr>
        <w:t>4</w:t>
      </w:r>
      <w:r>
        <w:rPr>
          <w:spacing w:val="-6"/>
        </w:rPr>
        <w:t>）所述，联通运营公司于</w:t>
      </w:r>
      <w:r>
        <w:rPr>
          <w:spacing w:val="-63"/>
        </w:rPr>
        <w:t> </w:t>
      </w:r>
      <w:r>
        <w:rPr>
          <w:rFonts w:ascii="Arial" w:hAnsi="Arial" w:cs="Arial" w:eastAsia="Arial" w:hint="default"/>
        </w:rPr>
        <w:t>2009</w:t>
      </w:r>
      <w:r>
        <w:rPr>
          <w:rFonts w:ascii="Arial" w:hAnsi="Arial" w:cs="Arial" w:eastAsia="Arial" w:hint="default"/>
          <w:spacing w:val="-14"/>
        </w:rPr>
        <w:t> </w:t>
      </w:r>
      <w:r>
        <w:rPr/>
        <w:t>年</w:t>
      </w:r>
      <w:r>
        <w:rPr>
          <w:spacing w:val="-63"/>
        </w:rPr>
        <w:t> </w:t>
      </w:r>
      <w:r>
        <w:rPr>
          <w:rFonts w:ascii="Arial" w:hAnsi="Arial" w:cs="Arial" w:eastAsia="Arial" w:hint="default"/>
        </w:rPr>
        <w:t>1</w:t>
      </w:r>
      <w:r>
        <w:rPr>
          <w:rFonts w:ascii="Arial" w:hAnsi="Arial" w:cs="Arial" w:eastAsia="Arial" w:hint="default"/>
          <w:spacing w:val="-14"/>
        </w:rPr>
        <w:t> </w:t>
      </w:r>
      <w:r>
        <w:rPr/>
        <w:t>月完成了吸收合并网通运营公司，因此自</w:t>
      </w:r>
      <w:r>
        <w:rPr>
          <w:spacing w:val="-62"/>
        </w:rPr>
        <w:t> </w:t>
      </w:r>
      <w:r>
        <w:rPr>
          <w:rFonts w:ascii="Arial" w:hAnsi="Arial" w:cs="Arial" w:eastAsia="Arial" w:hint="default"/>
        </w:rPr>
        <w:t>2009</w:t>
      </w:r>
    </w:p>
    <w:p>
      <w:pPr>
        <w:pStyle w:val="BodyText"/>
        <w:spacing w:line="286" w:lineRule="exact" w:before="19"/>
        <w:ind w:left="522" w:right="109"/>
        <w:jc w:val="both"/>
      </w:pPr>
      <w:r>
        <w:rPr/>
        <w:t>年 </w:t>
      </w:r>
      <w:r>
        <w:rPr>
          <w:rFonts w:ascii="Arial" w:hAnsi="Arial" w:cs="Arial" w:eastAsia="Arial" w:hint="default"/>
        </w:rPr>
        <w:t>1</w:t>
      </w:r>
      <w:r>
        <w:rPr>
          <w:rFonts w:ascii="Arial" w:hAnsi="Arial" w:cs="Arial" w:eastAsia="Arial" w:hint="default"/>
          <w:spacing w:val="-26"/>
        </w:rPr>
        <w:t> </w:t>
      </w:r>
      <w:r>
        <w:rPr/>
        <w:t>月起，网通运营公司的企业所得税权利及应税义务由联通运营公司承继，并统一由联通运</w:t>
      </w:r>
      <w:r>
        <w:rPr>
          <w:w w:val="99"/>
        </w:rPr>
        <w:t> </w:t>
      </w:r>
      <w:r>
        <w:rPr/>
        <w:t>营公司计算汇总后于北京集中缴纳企业所得税，网通运营公司依法进行税务注销。</w:t>
      </w:r>
    </w:p>
    <w:p>
      <w:pPr>
        <w:spacing w:line="240" w:lineRule="auto" w:before="1"/>
        <w:rPr>
          <w:rFonts w:ascii="宋体" w:hAnsi="宋体" w:cs="宋体" w:eastAsia="宋体" w:hint="default"/>
          <w:sz w:val="17"/>
          <w:szCs w:val="17"/>
        </w:rPr>
      </w:pPr>
    </w:p>
    <w:p>
      <w:pPr>
        <w:pStyle w:val="BodyText"/>
        <w:spacing w:line="240" w:lineRule="auto"/>
        <w:ind w:left="536" w:right="0"/>
        <w:jc w:val="both"/>
      </w:pPr>
      <w:r>
        <w:rPr/>
        <w:t>联通运营公司部分分公司于所得税法下的税收优惠政策：</w:t>
      </w:r>
    </w:p>
    <w:p>
      <w:pPr>
        <w:spacing w:line="240" w:lineRule="auto" w:before="7"/>
        <w:rPr>
          <w:rFonts w:ascii="宋体" w:hAnsi="宋体" w:cs="宋体" w:eastAsia="宋体" w:hint="default"/>
          <w:sz w:val="19"/>
          <w:szCs w:val="19"/>
        </w:rPr>
      </w:pPr>
    </w:p>
    <w:p>
      <w:pPr>
        <w:tabs>
          <w:tab w:pos="2860" w:val="left" w:leader="none"/>
          <w:tab w:pos="4914" w:val="left" w:leader="none"/>
          <w:tab w:pos="7256" w:val="left" w:leader="none"/>
        </w:tabs>
        <w:spacing w:before="0"/>
        <w:ind w:left="619" w:right="0" w:firstLine="0"/>
        <w:jc w:val="both"/>
        <w:rPr>
          <w:rFonts w:ascii="宋体" w:hAnsi="宋体" w:cs="宋体" w:eastAsia="宋体" w:hint="default"/>
          <w:sz w:val="20"/>
          <w:szCs w:val="20"/>
        </w:rPr>
      </w:pPr>
      <w:r>
        <w:rPr>
          <w:rFonts w:ascii="宋体" w:hAnsi="宋体" w:cs="宋体" w:eastAsia="宋体" w:hint="default"/>
          <w:spacing w:val="-1"/>
          <w:sz w:val="20"/>
          <w:szCs w:val="20"/>
        </w:rPr>
        <w:t>分公司名称</w:t>
        <w:tab/>
      </w:r>
      <w:r>
        <w:rPr>
          <w:rFonts w:ascii="宋体" w:hAnsi="宋体" w:cs="宋体" w:eastAsia="宋体" w:hint="default"/>
          <w:sz w:val="20"/>
          <w:szCs w:val="20"/>
        </w:rPr>
        <w:t>税率</w:t>
        <w:tab/>
        <w:t>批准单位</w:t>
        <w:tab/>
      </w:r>
      <w:r>
        <w:rPr>
          <w:rFonts w:ascii="宋体" w:hAnsi="宋体" w:cs="宋体" w:eastAsia="宋体" w:hint="default"/>
          <w:spacing w:val="-1"/>
          <w:sz w:val="20"/>
          <w:szCs w:val="20"/>
        </w:rPr>
        <w:t>政府文件及适用期限</w:t>
      </w:r>
    </w:p>
    <w:p>
      <w:pPr>
        <w:spacing w:line="240" w:lineRule="auto" w:before="11"/>
        <w:rPr>
          <w:rFonts w:ascii="宋体" w:hAnsi="宋体" w:cs="宋体" w:eastAsia="宋体" w:hint="default"/>
          <w:sz w:val="2"/>
          <w:szCs w:val="2"/>
        </w:rPr>
      </w:pPr>
    </w:p>
    <w:tbl>
      <w:tblPr>
        <w:tblW w:w="0" w:type="auto"/>
        <w:jc w:val="left"/>
        <w:tblInd w:w="507" w:type="dxa"/>
        <w:tblLayout w:type="fixed"/>
        <w:tblCellMar>
          <w:top w:w="0" w:type="dxa"/>
          <w:left w:w="0" w:type="dxa"/>
          <w:bottom w:w="0" w:type="dxa"/>
          <w:right w:w="0" w:type="dxa"/>
        </w:tblCellMar>
        <w:tblLook w:val="01E0"/>
      </w:tblPr>
      <w:tblGrid>
        <w:gridCol w:w="112"/>
        <w:gridCol w:w="1400"/>
        <w:gridCol w:w="49"/>
        <w:gridCol w:w="244"/>
        <w:gridCol w:w="695"/>
        <w:gridCol w:w="235"/>
        <w:gridCol w:w="660"/>
        <w:gridCol w:w="239"/>
        <w:gridCol w:w="2336"/>
        <w:gridCol w:w="239"/>
        <w:gridCol w:w="2869"/>
      </w:tblGrid>
      <w:tr>
        <w:trPr>
          <w:trHeight w:val="248" w:hRule="exact"/>
        </w:trPr>
        <w:tc>
          <w:tcPr>
            <w:tcW w:w="1805" w:type="dxa"/>
            <w:gridSpan w:val="4"/>
            <w:tcBorders>
              <w:top w:val="nil" w:sz="6" w:space="0" w:color="auto"/>
              <w:left w:val="nil" w:sz="6" w:space="0" w:color="auto"/>
              <w:bottom w:val="nil" w:sz="6" w:space="0" w:color="auto"/>
              <w:right w:val="nil" w:sz="6" w:space="0" w:color="auto"/>
            </w:tcBorders>
          </w:tcPr>
          <w:p>
            <w:pPr/>
          </w:p>
        </w:tc>
        <w:tc>
          <w:tcPr>
            <w:tcW w:w="695" w:type="dxa"/>
            <w:tcBorders>
              <w:top w:val="single" w:sz="6" w:space="0" w:color="000000"/>
              <w:left w:val="nil" w:sz="6" w:space="0" w:color="auto"/>
              <w:bottom w:val="single" w:sz="6" w:space="0" w:color="000000"/>
              <w:right w:val="nil" w:sz="6" w:space="0" w:color="auto"/>
            </w:tcBorders>
          </w:tcPr>
          <w:p>
            <w:pPr>
              <w:pStyle w:val="TableParagraph"/>
              <w:spacing w:line="219" w:lineRule="exact"/>
              <w:ind w:right="23"/>
              <w:jc w:val="center"/>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9"/>
                <w:sz w:val="18"/>
                <w:szCs w:val="18"/>
              </w:rPr>
              <w:t> </w:t>
            </w:r>
            <w:r>
              <w:rPr>
                <w:rFonts w:ascii="宋体" w:hAnsi="宋体" w:cs="宋体" w:eastAsia="宋体" w:hint="default"/>
                <w:sz w:val="18"/>
                <w:szCs w:val="18"/>
              </w:rPr>
              <w:t>年</w:t>
            </w:r>
          </w:p>
        </w:tc>
        <w:tc>
          <w:tcPr>
            <w:tcW w:w="235" w:type="dxa"/>
            <w:tcBorders>
              <w:top w:val="single" w:sz="6" w:space="0" w:color="000000"/>
              <w:left w:val="nil" w:sz="6" w:space="0" w:color="auto"/>
              <w:bottom w:val="nil" w:sz="6" w:space="0" w:color="auto"/>
              <w:right w:val="nil" w:sz="6" w:space="0" w:color="auto"/>
            </w:tcBorders>
          </w:tcPr>
          <w:p>
            <w:pPr/>
          </w:p>
        </w:tc>
        <w:tc>
          <w:tcPr>
            <w:tcW w:w="660" w:type="dxa"/>
            <w:tcBorders>
              <w:top w:val="single" w:sz="6" w:space="0" w:color="000000"/>
              <w:left w:val="nil" w:sz="6" w:space="0" w:color="auto"/>
              <w:bottom w:val="single" w:sz="6" w:space="0" w:color="000000"/>
              <w:right w:val="nil" w:sz="6" w:space="0" w:color="auto"/>
            </w:tcBorders>
          </w:tcPr>
          <w:p>
            <w:pPr>
              <w:pStyle w:val="TableParagraph"/>
              <w:spacing w:line="219" w:lineRule="exact"/>
              <w:ind w:right="22"/>
              <w:jc w:val="center"/>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20"/>
                <w:sz w:val="18"/>
                <w:szCs w:val="18"/>
              </w:rPr>
              <w:t> </w:t>
            </w:r>
            <w:r>
              <w:rPr>
                <w:rFonts w:ascii="宋体" w:hAnsi="宋体" w:cs="宋体" w:eastAsia="宋体" w:hint="default"/>
                <w:sz w:val="18"/>
                <w:szCs w:val="18"/>
              </w:rPr>
              <w:t>年</w:t>
            </w:r>
          </w:p>
        </w:tc>
        <w:tc>
          <w:tcPr>
            <w:tcW w:w="5683" w:type="dxa"/>
            <w:gridSpan w:val="4"/>
            <w:vMerge w:val="restart"/>
            <w:tcBorders>
              <w:top w:val="nil" w:sz="6" w:space="0" w:color="auto"/>
              <w:left w:val="nil" w:sz="6" w:space="0" w:color="auto"/>
              <w:right w:val="nil" w:sz="6" w:space="0" w:color="auto"/>
            </w:tcBorders>
          </w:tcPr>
          <w:p>
            <w:pPr/>
          </w:p>
        </w:tc>
      </w:tr>
      <w:tr>
        <w:trPr>
          <w:trHeight w:val="244" w:hRule="exact"/>
        </w:trPr>
        <w:tc>
          <w:tcPr>
            <w:tcW w:w="112"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single" w:sz="4" w:space="0" w:color="000000"/>
              <w:right w:val="nil" w:sz="6" w:space="0" w:color="auto"/>
            </w:tcBorders>
          </w:tcPr>
          <w:p>
            <w:pPr>
              <w:pStyle w:val="TableParagraph"/>
              <w:spacing w:line="238" w:lineRule="exact"/>
              <w:ind w:right="0"/>
              <w:jc w:val="left"/>
              <w:rPr>
                <w:rFonts w:ascii="黑体" w:hAnsi="黑体" w:cs="黑体" w:eastAsia="黑体" w:hint="default"/>
                <w:sz w:val="20"/>
                <w:szCs w:val="20"/>
              </w:rPr>
            </w:pPr>
            <w:r>
              <w:rPr>
                <w:rFonts w:ascii="黑体" w:hAnsi="黑体" w:cs="黑体" w:eastAsia="黑体" w:hint="default"/>
                <w:spacing w:val="-1"/>
                <w:sz w:val="20"/>
                <w:szCs w:val="20"/>
              </w:rPr>
              <w:t>联通运营公司：</w:t>
            </w:r>
          </w:p>
        </w:tc>
        <w:tc>
          <w:tcPr>
            <w:tcW w:w="49"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695" w:type="dxa"/>
            <w:tcBorders>
              <w:top w:val="single" w:sz="6" w:space="0" w:color="000000"/>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660" w:type="dxa"/>
            <w:tcBorders>
              <w:top w:val="single" w:sz="6" w:space="0" w:color="000000"/>
              <w:left w:val="nil" w:sz="6" w:space="0" w:color="auto"/>
              <w:bottom w:val="nil" w:sz="6" w:space="0" w:color="auto"/>
              <w:right w:val="nil" w:sz="6" w:space="0" w:color="auto"/>
            </w:tcBorders>
          </w:tcPr>
          <w:p>
            <w:pPr/>
          </w:p>
        </w:tc>
        <w:tc>
          <w:tcPr>
            <w:tcW w:w="5683" w:type="dxa"/>
            <w:gridSpan w:val="4"/>
            <w:vMerge/>
            <w:tcBorders>
              <w:left w:val="nil" w:sz="6" w:space="0" w:color="auto"/>
              <w:bottom w:val="nil" w:sz="6" w:space="0" w:color="auto"/>
              <w:right w:val="nil" w:sz="6" w:space="0" w:color="auto"/>
            </w:tcBorders>
          </w:tcPr>
          <w:p>
            <w:pPr/>
          </w:p>
        </w:tc>
      </w:tr>
      <w:tr>
        <w:trPr>
          <w:trHeight w:val="266" w:hRule="exact"/>
        </w:trPr>
        <w:tc>
          <w:tcPr>
            <w:tcW w:w="112" w:type="dxa"/>
            <w:tcBorders>
              <w:top w:val="nil" w:sz="6" w:space="0" w:color="auto"/>
              <w:left w:val="nil" w:sz="6" w:space="0" w:color="auto"/>
              <w:bottom w:val="nil" w:sz="6" w:space="0" w:color="auto"/>
              <w:right w:val="nil" w:sz="6" w:space="0" w:color="auto"/>
            </w:tcBorders>
          </w:tcPr>
          <w:p>
            <w:pPr/>
          </w:p>
        </w:tc>
        <w:tc>
          <w:tcPr>
            <w:tcW w:w="1400" w:type="dxa"/>
            <w:tcBorders>
              <w:top w:val="single" w:sz="4" w:space="0" w:color="000000"/>
              <w:left w:val="nil" w:sz="6" w:space="0" w:color="auto"/>
              <w:bottom w:val="nil" w:sz="6" w:space="0" w:color="auto"/>
              <w:right w:val="nil" w:sz="6" w:space="0" w:color="auto"/>
            </w:tcBorders>
          </w:tcPr>
          <w:p>
            <w:pPr>
              <w:pStyle w:val="TableParagraph"/>
              <w:spacing w:line="223" w:lineRule="exact"/>
              <w:ind w:right="0"/>
              <w:jc w:val="left"/>
              <w:rPr>
                <w:rFonts w:ascii="宋体" w:hAnsi="宋体" w:cs="宋体" w:eastAsia="宋体" w:hint="default"/>
                <w:sz w:val="18"/>
                <w:szCs w:val="18"/>
              </w:rPr>
            </w:pPr>
            <w:r>
              <w:rPr>
                <w:rFonts w:ascii="宋体" w:hAnsi="宋体" w:cs="宋体" w:eastAsia="宋体" w:hint="default"/>
                <w:sz w:val="18"/>
                <w:szCs w:val="18"/>
              </w:rPr>
              <w:t>深圳分公司</w:t>
            </w:r>
          </w:p>
        </w:tc>
        <w:tc>
          <w:tcPr>
            <w:tcW w:w="49"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center"/>
              <w:rPr>
                <w:rFonts w:ascii="Arial" w:hAnsi="Arial" w:cs="Arial" w:eastAsia="Arial" w:hint="default"/>
                <w:sz w:val="18"/>
                <w:szCs w:val="18"/>
              </w:rPr>
            </w:pPr>
            <w:r>
              <w:rPr>
                <w:rFonts w:ascii="Arial"/>
                <w:sz w:val="18"/>
              </w:rPr>
              <w:t>18%</w:t>
            </w:r>
          </w:p>
        </w:tc>
        <w:tc>
          <w:tcPr>
            <w:tcW w:w="235"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
              <w:jc w:val="center"/>
              <w:rPr>
                <w:rFonts w:ascii="Arial" w:hAnsi="Arial" w:cs="Arial" w:eastAsia="Arial" w:hint="default"/>
                <w:sz w:val="18"/>
                <w:szCs w:val="18"/>
              </w:rPr>
            </w:pPr>
            <w:r>
              <w:rPr>
                <w:rFonts w:ascii="Arial"/>
                <w:sz w:val="18"/>
              </w:rPr>
              <w:t>20%</w:t>
            </w:r>
          </w:p>
        </w:tc>
        <w:tc>
          <w:tcPr>
            <w:tcW w:w="239" w:type="dxa"/>
            <w:tcBorders>
              <w:top w:val="nil" w:sz="6" w:space="0" w:color="auto"/>
              <w:left w:val="nil" w:sz="6" w:space="0" w:color="auto"/>
              <w:bottom w:val="nil" w:sz="6" w:space="0" w:color="auto"/>
              <w:right w:val="nil" w:sz="6" w:space="0" w:color="auto"/>
            </w:tcBorders>
          </w:tcPr>
          <w:p>
            <w:pPr/>
          </w:p>
        </w:tc>
        <w:tc>
          <w:tcPr>
            <w:tcW w:w="2336" w:type="dxa"/>
            <w:tcBorders>
              <w:top w:val="nil" w:sz="6" w:space="0" w:color="auto"/>
              <w:left w:val="nil" w:sz="6" w:space="0" w:color="auto"/>
              <w:bottom w:val="nil" w:sz="6" w:space="0" w:color="auto"/>
              <w:right w:val="nil" w:sz="6" w:space="0" w:color="auto"/>
            </w:tcBorders>
          </w:tcPr>
          <w:p>
            <w:pPr>
              <w:pStyle w:val="TableParagraph"/>
              <w:spacing w:line="228" w:lineRule="exact"/>
              <w:ind w:left="92" w:right="0"/>
              <w:jc w:val="left"/>
              <w:rPr>
                <w:rFonts w:ascii="宋体" w:hAnsi="宋体" w:cs="宋体" w:eastAsia="宋体" w:hint="default"/>
                <w:sz w:val="18"/>
                <w:szCs w:val="18"/>
              </w:rPr>
            </w:pPr>
            <w:r>
              <w:rPr>
                <w:rFonts w:ascii="宋体" w:hAnsi="宋体" w:cs="宋体" w:eastAsia="宋体" w:hint="default"/>
                <w:sz w:val="18"/>
                <w:szCs w:val="18"/>
              </w:rPr>
              <w:t>国务院</w:t>
            </w:r>
          </w:p>
        </w:tc>
        <w:tc>
          <w:tcPr>
            <w:tcW w:w="239" w:type="dxa"/>
            <w:tcBorders>
              <w:top w:val="nil" w:sz="6" w:space="0" w:color="auto"/>
              <w:left w:val="nil" w:sz="6" w:space="0" w:color="auto"/>
              <w:bottom w:val="nil" w:sz="6" w:space="0" w:color="auto"/>
              <w:right w:val="nil" w:sz="6" w:space="0" w:color="auto"/>
            </w:tcBorders>
          </w:tcPr>
          <w:p>
            <w:pPr/>
          </w:p>
        </w:tc>
        <w:tc>
          <w:tcPr>
            <w:tcW w:w="2869" w:type="dxa"/>
            <w:tcBorders>
              <w:top w:val="nil" w:sz="6" w:space="0" w:color="auto"/>
              <w:left w:val="nil" w:sz="6" w:space="0" w:color="auto"/>
              <w:bottom w:val="nil" w:sz="6" w:space="0" w:color="auto"/>
              <w:right w:val="nil" w:sz="6" w:space="0" w:color="auto"/>
            </w:tcBorders>
          </w:tcPr>
          <w:p>
            <w:pPr>
              <w:pStyle w:val="TableParagraph"/>
              <w:spacing w:line="241" w:lineRule="exact"/>
              <w:ind w:left="7" w:right="0"/>
              <w:jc w:val="left"/>
              <w:rPr>
                <w:rFonts w:ascii="宋体" w:hAnsi="宋体" w:cs="宋体" w:eastAsia="宋体" w:hint="default"/>
                <w:sz w:val="18"/>
                <w:szCs w:val="18"/>
              </w:rPr>
            </w:pPr>
            <w:r>
              <w:rPr>
                <w:rFonts w:ascii="宋体" w:hAnsi="宋体" w:cs="宋体" w:eastAsia="宋体" w:hint="default"/>
                <w:sz w:val="18"/>
                <w:szCs w:val="18"/>
              </w:rPr>
              <w:t>国发</w:t>
            </w:r>
            <w:r>
              <w:rPr>
                <w:rFonts w:ascii="Arial" w:hAnsi="Arial" w:cs="Arial" w:eastAsia="Arial" w:hint="default"/>
                <w:sz w:val="18"/>
                <w:szCs w:val="18"/>
              </w:rPr>
              <w:t>[2007]39</w:t>
            </w:r>
            <w:r>
              <w:rPr>
                <w:rFonts w:ascii="Arial" w:hAnsi="Arial" w:cs="Arial" w:eastAsia="Arial" w:hint="default"/>
                <w:spacing w:val="-8"/>
                <w:sz w:val="18"/>
                <w:szCs w:val="18"/>
              </w:rPr>
              <w:t> </w:t>
            </w:r>
            <w:r>
              <w:rPr>
                <w:rFonts w:ascii="宋体" w:hAnsi="宋体" w:cs="宋体" w:eastAsia="宋体" w:hint="default"/>
                <w:sz w:val="18"/>
                <w:szCs w:val="18"/>
              </w:rPr>
              <w:t>号，至</w:t>
            </w:r>
            <w:r>
              <w:rPr>
                <w:rFonts w:ascii="宋体" w:hAnsi="宋体" w:cs="宋体" w:eastAsia="宋体" w:hint="default"/>
                <w:spacing w:val="-49"/>
                <w:sz w:val="18"/>
                <w:szCs w:val="18"/>
              </w:rPr>
              <w:t> </w:t>
            </w:r>
            <w:r>
              <w:rPr>
                <w:rFonts w:ascii="Arial" w:hAnsi="Arial" w:cs="Arial" w:eastAsia="Arial" w:hint="default"/>
                <w:sz w:val="18"/>
                <w:szCs w:val="18"/>
              </w:rPr>
              <w:t>2012</w:t>
            </w:r>
            <w:r>
              <w:rPr>
                <w:rFonts w:ascii="Arial" w:hAnsi="Arial" w:cs="Arial" w:eastAsia="Arial" w:hint="default"/>
                <w:spacing w:val="-9"/>
                <w:sz w:val="18"/>
                <w:szCs w:val="18"/>
              </w:rPr>
              <w:t> </w:t>
            </w:r>
            <w:r>
              <w:rPr>
                <w:rFonts w:ascii="宋体" w:hAnsi="宋体" w:cs="宋体" w:eastAsia="宋体" w:hint="default"/>
                <w:sz w:val="18"/>
                <w:szCs w:val="18"/>
              </w:rPr>
              <w:t>年</w:t>
            </w:r>
          </w:p>
        </w:tc>
      </w:tr>
      <w:tr>
        <w:trPr>
          <w:trHeight w:val="234" w:hRule="exact"/>
        </w:trPr>
        <w:tc>
          <w:tcPr>
            <w:tcW w:w="112"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Style w:val="TableParagraph"/>
              <w:spacing w:line="196" w:lineRule="exact"/>
              <w:ind w:right="0"/>
              <w:jc w:val="left"/>
              <w:rPr>
                <w:rFonts w:ascii="宋体" w:hAnsi="宋体" w:cs="宋体" w:eastAsia="宋体" w:hint="default"/>
                <w:sz w:val="18"/>
                <w:szCs w:val="18"/>
              </w:rPr>
            </w:pPr>
            <w:r>
              <w:rPr>
                <w:rFonts w:ascii="宋体" w:hAnsi="宋体" w:cs="宋体" w:eastAsia="宋体" w:hint="default"/>
                <w:sz w:val="18"/>
                <w:szCs w:val="18"/>
              </w:rPr>
              <w:t>珠海分公司</w:t>
            </w:r>
          </w:p>
        </w:tc>
        <w:tc>
          <w:tcPr>
            <w:tcW w:w="49"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center"/>
              <w:rPr>
                <w:rFonts w:ascii="Arial" w:hAnsi="Arial" w:cs="Arial" w:eastAsia="Arial" w:hint="default"/>
                <w:sz w:val="18"/>
                <w:szCs w:val="18"/>
              </w:rPr>
            </w:pPr>
            <w:r>
              <w:rPr>
                <w:rFonts w:ascii="Arial"/>
                <w:sz w:val="18"/>
              </w:rPr>
              <w:t>18%</w:t>
            </w:r>
          </w:p>
        </w:tc>
        <w:tc>
          <w:tcPr>
            <w:tcW w:w="235"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
              <w:jc w:val="center"/>
              <w:rPr>
                <w:rFonts w:ascii="Arial" w:hAnsi="Arial" w:cs="Arial" w:eastAsia="Arial" w:hint="default"/>
                <w:sz w:val="18"/>
                <w:szCs w:val="18"/>
              </w:rPr>
            </w:pPr>
            <w:r>
              <w:rPr>
                <w:rFonts w:ascii="Arial"/>
                <w:sz w:val="18"/>
              </w:rPr>
              <w:t>20%</w:t>
            </w:r>
          </w:p>
        </w:tc>
        <w:tc>
          <w:tcPr>
            <w:tcW w:w="239" w:type="dxa"/>
            <w:tcBorders>
              <w:top w:val="nil" w:sz="6" w:space="0" w:color="auto"/>
              <w:left w:val="nil" w:sz="6" w:space="0" w:color="auto"/>
              <w:bottom w:val="nil" w:sz="6" w:space="0" w:color="auto"/>
              <w:right w:val="nil" w:sz="6" w:space="0" w:color="auto"/>
            </w:tcBorders>
          </w:tcPr>
          <w:p>
            <w:pPr/>
          </w:p>
        </w:tc>
        <w:tc>
          <w:tcPr>
            <w:tcW w:w="2336" w:type="dxa"/>
            <w:tcBorders>
              <w:top w:val="nil" w:sz="6" w:space="0" w:color="auto"/>
              <w:left w:val="nil" w:sz="6" w:space="0" w:color="auto"/>
              <w:bottom w:val="nil" w:sz="6" w:space="0" w:color="auto"/>
              <w:right w:val="nil" w:sz="6" w:space="0" w:color="auto"/>
            </w:tcBorders>
          </w:tcPr>
          <w:p>
            <w:pPr>
              <w:pStyle w:val="TableParagraph"/>
              <w:spacing w:line="196" w:lineRule="exact"/>
              <w:ind w:left="92" w:right="0"/>
              <w:jc w:val="left"/>
              <w:rPr>
                <w:rFonts w:ascii="宋体" w:hAnsi="宋体" w:cs="宋体" w:eastAsia="宋体" w:hint="default"/>
                <w:sz w:val="18"/>
                <w:szCs w:val="18"/>
              </w:rPr>
            </w:pPr>
            <w:r>
              <w:rPr>
                <w:rFonts w:ascii="宋体" w:hAnsi="宋体" w:cs="宋体" w:eastAsia="宋体" w:hint="default"/>
                <w:sz w:val="18"/>
                <w:szCs w:val="18"/>
              </w:rPr>
              <w:t>国务院</w:t>
            </w:r>
          </w:p>
        </w:tc>
        <w:tc>
          <w:tcPr>
            <w:tcW w:w="239" w:type="dxa"/>
            <w:tcBorders>
              <w:top w:val="nil" w:sz="6" w:space="0" w:color="auto"/>
              <w:left w:val="nil" w:sz="6" w:space="0" w:color="auto"/>
              <w:bottom w:val="nil" w:sz="6" w:space="0" w:color="auto"/>
              <w:right w:val="nil" w:sz="6" w:space="0" w:color="auto"/>
            </w:tcBorders>
          </w:tcPr>
          <w:p>
            <w:pPr/>
          </w:p>
        </w:tc>
        <w:tc>
          <w:tcPr>
            <w:tcW w:w="2869" w:type="dxa"/>
            <w:tcBorders>
              <w:top w:val="nil" w:sz="6" w:space="0" w:color="auto"/>
              <w:left w:val="nil" w:sz="6" w:space="0" w:color="auto"/>
              <w:bottom w:val="nil" w:sz="6" w:space="0" w:color="auto"/>
              <w:right w:val="nil" w:sz="6" w:space="0" w:color="auto"/>
            </w:tcBorders>
          </w:tcPr>
          <w:p>
            <w:pPr>
              <w:pStyle w:val="TableParagraph"/>
              <w:spacing w:line="209" w:lineRule="exact"/>
              <w:ind w:left="7" w:right="0"/>
              <w:jc w:val="left"/>
              <w:rPr>
                <w:rFonts w:ascii="宋体" w:hAnsi="宋体" w:cs="宋体" w:eastAsia="宋体" w:hint="default"/>
                <w:sz w:val="18"/>
                <w:szCs w:val="18"/>
              </w:rPr>
            </w:pPr>
            <w:r>
              <w:rPr>
                <w:rFonts w:ascii="宋体" w:hAnsi="宋体" w:cs="宋体" w:eastAsia="宋体" w:hint="default"/>
                <w:sz w:val="18"/>
                <w:szCs w:val="18"/>
              </w:rPr>
              <w:t>国发</w:t>
            </w:r>
            <w:r>
              <w:rPr>
                <w:rFonts w:ascii="Arial" w:hAnsi="Arial" w:cs="Arial" w:eastAsia="Arial" w:hint="default"/>
                <w:sz w:val="18"/>
                <w:szCs w:val="18"/>
              </w:rPr>
              <w:t>[2007]39</w:t>
            </w:r>
            <w:r>
              <w:rPr>
                <w:rFonts w:ascii="Arial" w:hAnsi="Arial" w:cs="Arial" w:eastAsia="Arial" w:hint="default"/>
                <w:spacing w:val="-8"/>
                <w:sz w:val="18"/>
                <w:szCs w:val="18"/>
              </w:rPr>
              <w:t> </w:t>
            </w:r>
            <w:r>
              <w:rPr>
                <w:rFonts w:ascii="宋体" w:hAnsi="宋体" w:cs="宋体" w:eastAsia="宋体" w:hint="default"/>
                <w:sz w:val="18"/>
                <w:szCs w:val="18"/>
              </w:rPr>
              <w:t>号，至</w:t>
            </w:r>
            <w:r>
              <w:rPr>
                <w:rFonts w:ascii="宋体" w:hAnsi="宋体" w:cs="宋体" w:eastAsia="宋体" w:hint="default"/>
                <w:spacing w:val="-49"/>
                <w:sz w:val="18"/>
                <w:szCs w:val="18"/>
              </w:rPr>
              <w:t> </w:t>
            </w:r>
            <w:r>
              <w:rPr>
                <w:rFonts w:ascii="Arial" w:hAnsi="Arial" w:cs="Arial" w:eastAsia="Arial" w:hint="default"/>
                <w:sz w:val="18"/>
                <w:szCs w:val="18"/>
              </w:rPr>
              <w:t>2012</w:t>
            </w:r>
            <w:r>
              <w:rPr>
                <w:rFonts w:ascii="Arial" w:hAnsi="Arial" w:cs="Arial" w:eastAsia="Arial" w:hint="default"/>
                <w:spacing w:val="-9"/>
                <w:sz w:val="18"/>
                <w:szCs w:val="18"/>
              </w:rPr>
              <w:t> </w:t>
            </w:r>
            <w:r>
              <w:rPr>
                <w:rFonts w:ascii="宋体" w:hAnsi="宋体" w:cs="宋体" w:eastAsia="宋体" w:hint="default"/>
                <w:sz w:val="18"/>
                <w:szCs w:val="18"/>
              </w:rPr>
              <w:t>年</w:t>
            </w:r>
          </w:p>
        </w:tc>
      </w:tr>
      <w:tr>
        <w:trPr>
          <w:trHeight w:val="233" w:hRule="exact"/>
        </w:trPr>
        <w:tc>
          <w:tcPr>
            <w:tcW w:w="112"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Style w:val="TableParagraph"/>
              <w:spacing w:line="196" w:lineRule="exact"/>
              <w:ind w:right="0"/>
              <w:jc w:val="left"/>
              <w:rPr>
                <w:rFonts w:ascii="宋体" w:hAnsi="宋体" w:cs="宋体" w:eastAsia="宋体" w:hint="default"/>
                <w:sz w:val="18"/>
                <w:szCs w:val="18"/>
              </w:rPr>
            </w:pPr>
            <w:r>
              <w:rPr>
                <w:rFonts w:ascii="宋体" w:hAnsi="宋体" w:cs="宋体" w:eastAsia="宋体" w:hint="default"/>
                <w:sz w:val="18"/>
                <w:szCs w:val="18"/>
              </w:rPr>
              <w:t>厦门分公司</w:t>
            </w:r>
          </w:p>
        </w:tc>
        <w:tc>
          <w:tcPr>
            <w:tcW w:w="49"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center"/>
              <w:rPr>
                <w:rFonts w:ascii="Arial" w:hAnsi="Arial" w:cs="Arial" w:eastAsia="Arial" w:hint="default"/>
                <w:sz w:val="18"/>
                <w:szCs w:val="18"/>
              </w:rPr>
            </w:pPr>
            <w:r>
              <w:rPr>
                <w:rFonts w:ascii="Arial"/>
                <w:sz w:val="18"/>
              </w:rPr>
              <w:t>18%</w:t>
            </w:r>
          </w:p>
        </w:tc>
        <w:tc>
          <w:tcPr>
            <w:tcW w:w="235"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
              <w:jc w:val="center"/>
              <w:rPr>
                <w:rFonts w:ascii="Arial" w:hAnsi="Arial" w:cs="Arial" w:eastAsia="Arial" w:hint="default"/>
                <w:sz w:val="18"/>
                <w:szCs w:val="18"/>
              </w:rPr>
            </w:pPr>
            <w:r>
              <w:rPr>
                <w:rFonts w:ascii="Arial"/>
                <w:sz w:val="18"/>
              </w:rPr>
              <w:t>20%</w:t>
            </w:r>
          </w:p>
        </w:tc>
        <w:tc>
          <w:tcPr>
            <w:tcW w:w="239" w:type="dxa"/>
            <w:tcBorders>
              <w:top w:val="nil" w:sz="6" w:space="0" w:color="auto"/>
              <w:left w:val="nil" w:sz="6" w:space="0" w:color="auto"/>
              <w:bottom w:val="nil" w:sz="6" w:space="0" w:color="auto"/>
              <w:right w:val="nil" w:sz="6" w:space="0" w:color="auto"/>
            </w:tcBorders>
          </w:tcPr>
          <w:p>
            <w:pPr/>
          </w:p>
        </w:tc>
        <w:tc>
          <w:tcPr>
            <w:tcW w:w="2336" w:type="dxa"/>
            <w:tcBorders>
              <w:top w:val="nil" w:sz="6" w:space="0" w:color="auto"/>
              <w:left w:val="nil" w:sz="6" w:space="0" w:color="auto"/>
              <w:bottom w:val="nil" w:sz="6" w:space="0" w:color="auto"/>
              <w:right w:val="nil" w:sz="6" w:space="0" w:color="auto"/>
            </w:tcBorders>
          </w:tcPr>
          <w:p>
            <w:pPr>
              <w:pStyle w:val="TableParagraph"/>
              <w:spacing w:line="196" w:lineRule="exact"/>
              <w:ind w:left="92" w:right="0"/>
              <w:jc w:val="left"/>
              <w:rPr>
                <w:rFonts w:ascii="宋体" w:hAnsi="宋体" w:cs="宋体" w:eastAsia="宋体" w:hint="default"/>
                <w:sz w:val="18"/>
                <w:szCs w:val="18"/>
              </w:rPr>
            </w:pPr>
            <w:r>
              <w:rPr>
                <w:rFonts w:ascii="宋体" w:hAnsi="宋体" w:cs="宋体" w:eastAsia="宋体" w:hint="default"/>
                <w:sz w:val="18"/>
                <w:szCs w:val="18"/>
              </w:rPr>
              <w:t>国务院</w:t>
            </w:r>
          </w:p>
        </w:tc>
        <w:tc>
          <w:tcPr>
            <w:tcW w:w="239" w:type="dxa"/>
            <w:tcBorders>
              <w:top w:val="nil" w:sz="6" w:space="0" w:color="auto"/>
              <w:left w:val="nil" w:sz="6" w:space="0" w:color="auto"/>
              <w:bottom w:val="nil" w:sz="6" w:space="0" w:color="auto"/>
              <w:right w:val="nil" w:sz="6" w:space="0" w:color="auto"/>
            </w:tcBorders>
          </w:tcPr>
          <w:p>
            <w:pPr/>
          </w:p>
        </w:tc>
        <w:tc>
          <w:tcPr>
            <w:tcW w:w="2869" w:type="dxa"/>
            <w:tcBorders>
              <w:top w:val="nil" w:sz="6" w:space="0" w:color="auto"/>
              <w:left w:val="nil" w:sz="6" w:space="0" w:color="auto"/>
              <w:bottom w:val="nil" w:sz="6" w:space="0" w:color="auto"/>
              <w:right w:val="nil" w:sz="6" w:space="0" w:color="auto"/>
            </w:tcBorders>
          </w:tcPr>
          <w:p>
            <w:pPr>
              <w:pStyle w:val="TableParagraph"/>
              <w:spacing w:line="209" w:lineRule="exact"/>
              <w:ind w:left="7" w:right="0"/>
              <w:jc w:val="left"/>
              <w:rPr>
                <w:rFonts w:ascii="宋体" w:hAnsi="宋体" w:cs="宋体" w:eastAsia="宋体" w:hint="default"/>
                <w:sz w:val="18"/>
                <w:szCs w:val="18"/>
              </w:rPr>
            </w:pPr>
            <w:r>
              <w:rPr>
                <w:rFonts w:ascii="宋体" w:hAnsi="宋体" w:cs="宋体" w:eastAsia="宋体" w:hint="default"/>
                <w:sz w:val="18"/>
                <w:szCs w:val="18"/>
              </w:rPr>
              <w:t>国发</w:t>
            </w:r>
            <w:r>
              <w:rPr>
                <w:rFonts w:ascii="Arial" w:hAnsi="Arial" w:cs="Arial" w:eastAsia="Arial" w:hint="default"/>
                <w:sz w:val="18"/>
                <w:szCs w:val="18"/>
              </w:rPr>
              <w:t>[2007]39</w:t>
            </w:r>
            <w:r>
              <w:rPr>
                <w:rFonts w:ascii="Arial" w:hAnsi="Arial" w:cs="Arial" w:eastAsia="Arial" w:hint="default"/>
                <w:spacing w:val="-8"/>
                <w:sz w:val="18"/>
                <w:szCs w:val="18"/>
              </w:rPr>
              <w:t> </w:t>
            </w:r>
            <w:r>
              <w:rPr>
                <w:rFonts w:ascii="宋体" w:hAnsi="宋体" w:cs="宋体" w:eastAsia="宋体" w:hint="default"/>
                <w:sz w:val="18"/>
                <w:szCs w:val="18"/>
              </w:rPr>
              <w:t>号，至</w:t>
            </w:r>
            <w:r>
              <w:rPr>
                <w:rFonts w:ascii="宋体" w:hAnsi="宋体" w:cs="宋体" w:eastAsia="宋体" w:hint="default"/>
                <w:spacing w:val="-49"/>
                <w:sz w:val="18"/>
                <w:szCs w:val="18"/>
              </w:rPr>
              <w:t> </w:t>
            </w:r>
            <w:r>
              <w:rPr>
                <w:rFonts w:ascii="Arial" w:hAnsi="Arial" w:cs="Arial" w:eastAsia="Arial" w:hint="default"/>
                <w:sz w:val="18"/>
                <w:szCs w:val="18"/>
              </w:rPr>
              <w:t>2012</w:t>
            </w:r>
            <w:r>
              <w:rPr>
                <w:rFonts w:ascii="Arial" w:hAnsi="Arial" w:cs="Arial" w:eastAsia="Arial" w:hint="default"/>
                <w:spacing w:val="-9"/>
                <w:sz w:val="18"/>
                <w:szCs w:val="18"/>
              </w:rPr>
              <w:t> </w:t>
            </w:r>
            <w:r>
              <w:rPr>
                <w:rFonts w:ascii="宋体" w:hAnsi="宋体" w:cs="宋体" w:eastAsia="宋体" w:hint="default"/>
                <w:sz w:val="18"/>
                <w:szCs w:val="18"/>
              </w:rPr>
              <w:t>年</w:t>
            </w:r>
          </w:p>
        </w:tc>
      </w:tr>
      <w:tr>
        <w:trPr>
          <w:trHeight w:val="233" w:hRule="exact"/>
        </w:trPr>
        <w:tc>
          <w:tcPr>
            <w:tcW w:w="112"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Style w:val="TableParagraph"/>
              <w:spacing w:line="195" w:lineRule="exact"/>
              <w:ind w:right="0"/>
              <w:jc w:val="left"/>
              <w:rPr>
                <w:rFonts w:ascii="宋体" w:hAnsi="宋体" w:cs="宋体" w:eastAsia="宋体" w:hint="default"/>
                <w:sz w:val="18"/>
                <w:szCs w:val="18"/>
              </w:rPr>
            </w:pPr>
            <w:r>
              <w:rPr>
                <w:rFonts w:ascii="宋体" w:hAnsi="宋体" w:cs="宋体" w:eastAsia="宋体" w:hint="default"/>
                <w:sz w:val="18"/>
                <w:szCs w:val="18"/>
              </w:rPr>
              <w:t>汕头分公司</w:t>
            </w:r>
          </w:p>
        </w:tc>
        <w:tc>
          <w:tcPr>
            <w:tcW w:w="49"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5" w:right="0"/>
              <w:jc w:val="center"/>
              <w:rPr>
                <w:rFonts w:ascii="Arial" w:hAnsi="Arial" w:cs="Arial" w:eastAsia="Arial" w:hint="default"/>
                <w:sz w:val="18"/>
                <w:szCs w:val="18"/>
              </w:rPr>
            </w:pPr>
            <w:r>
              <w:rPr>
                <w:rFonts w:ascii="Arial"/>
                <w:sz w:val="18"/>
              </w:rPr>
              <w:t>18%</w:t>
            </w:r>
          </w:p>
        </w:tc>
        <w:tc>
          <w:tcPr>
            <w:tcW w:w="235"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
              <w:jc w:val="center"/>
              <w:rPr>
                <w:rFonts w:ascii="Arial" w:hAnsi="Arial" w:cs="Arial" w:eastAsia="Arial" w:hint="default"/>
                <w:sz w:val="18"/>
                <w:szCs w:val="18"/>
              </w:rPr>
            </w:pPr>
            <w:r>
              <w:rPr>
                <w:rFonts w:ascii="Arial"/>
                <w:sz w:val="18"/>
              </w:rPr>
              <w:t>20%</w:t>
            </w:r>
          </w:p>
        </w:tc>
        <w:tc>
          <w:tcPr>
            <w:tcW w:w="239" w:type="dxa"/>
            <w:tcBorders>
              <w:top w:val="nil" w:sz="6" w:space="0" w:color="auto"/>
              <w:left w:val="nil" w:sz="6" w:space="0" w:color="auto"/>
              <w:bottom w:val="nil" w:sz="6" w:space="0" w:color="auto"/>
              <w:right w:val="nil" w:sz="6" w:space="0" w:color="auto"/>
            </w:tcBorders>
          </w:tcPr>
          <w:p>
            <w:pPr/>
          </w:p>
        </w:tc>
        <w:tc>
          <w:tcPr>
            <w:tcW w:w="2336" w:type="dxa"/>
            <w:tcBorders>
              <w:top w:val="nil" w:sz="6" w:space="0" w:color="auto"/>
              <w:left w:val="nil" w:sz="6" w:space="0" w:color="auto"/>
              <w:bottom w:val="nil" w:sz="6" w:space="0" w:color="auto"/>
              <w:right w:val="nil" w:sz="6" w:space="0" w:color="auto"/>
            </w:tcBorders>
          </w:tcPr>
          <w:p>
            <w:pPr>
              <w:pStyle w:val="TableParagraph"/>
              <w:spacing w:line="195" w:lineRule="exact"/>
              <w:ind w:left="92" w:right="0"/>
              <w:jc w:val="left"/>
              <w:rPr>
                <w:rFonts w:ascii="宋体" w:hAnsi="宋体" w:cs="宋体" w:eastAsia="宋体" w:hint="default"/>
                <w:sz w:val="18"/>
                <w:szCs w:val="18"/>
              </w:rPr>
            </w:pPr>
            <w:r>
              <w:rPr>
                <w:rFonts w:ascii="宋体" w:hAnsi="宋体" w:cs="宋体" w:eastAsia="宋体" w:hint="default"/>
                <w:sz w:val="18"/>
                <w:szCs w:val="18"/>
              </w:rPr>
              <w:t>国务院</w:t>
            </w:r>
          </w:p>
        </w:tc>
        <w:tc>
          <w:tcPr>
            <w:tcW w:w="239" w:type="dxa"/>
            <w:tcBorders>
              <w:top w:val="nil" w:sz="6" w:space="0" w:color="auto"/>
              <w:left w:val="nil" w:sz="6" w:space="0" w:color="auto"/>
              <w:bottom w:val="nil" w:sz="6" w:space="0" w:color="auto"/>
              <w:right w:val="nil" w:sz="6" w:space="0" w:color="auto"/>
            </w:tcBorders>
          </w:tcPr>
          <w:p>
            <w:pPr/>
          </w:p>
        </w:tc>
        <w:tc>
          <w:tcPr>
            <w:tcW w:w="2869" w:type="dxa"/>
            <w:tcBorders>
              <w:top w:val="nil" w:sz="6" w:space="0" w:color="auto"/>
              <w:left w:val="nil" w:sz="6" w:space="0" w:color="auto"/>
              <w:bottom w:val="nil" w:sz="6" w:space="0" w:color="auto"/>
              <w:right w:val="nil" w:sz="6" w:space="0" w:color="auto"/>
            </w:tcBorders>
          </w:tcPr>
          <w:p>
            <w:pPr>
              <w:pStyle w:val="TableParagraph"/>
              <w:spacing w:line="208" w:lineRule="exact"/>
              <w:ind w:left="7" w:right="0"/>
              <w:jc w:val="left"/>
              <w:rPr>
                <w:rFonts w:ascii="宋体" w:hAnsi="宋体" w:cs="宋体" w:eastAsia="宋体" w:hint="default"/>
                <w:sz w:val="18"/>
                <w:szCs w:val="18"/>
              </w:rPr>
            </w:pPr>
            <w:r>
              <w:rPr>
                <w:rFonts w:ascii="宋体" w:hAnsi="宋体" w:cs="宋体" w:eastAsia="宋体" w:hint="default"/>
                <w:sz w:val="18"/>
                <w:szCs w:val="18"/>
              </w:rPr>
              <w:t>国发</w:t>
            </w:r>
            <w:r>
              <w:rPr>
                <w:rFonts w:ascii="Arial" w:hAnsi="Arial" w:cs="Arial" w:eastAsia="Arial" w:hint="default"/>
                <w:sz w:val="18"/>
                <w:szCs w:val="18"/>
              </w:rPr>
              <w:t>[2007]39</w:t>
            </w:r>
            <w:r>
              <w:rPr>
                <w:rFonts w:ascii="Arial" w:hAnsi="Arial" w:cs="Arial" w:eastAsia="Arial" w:hint="default"/>
                <w:spacing w:val="-8"/>
                <w:sz w:val="18"/>
                <w:szCs w:val="18"/>
              </w:rPr>
              <w:t> </w:t>
            </w:r>
            <w:r>
              <w:rPr>
                <w:rFonts w:ascii="宋体" w:hAnsi="宋体" w:cs="宋体" w:eastAsia="宋体" w:hint="default"/>
                <w:sz w:val="18"/>
                <w:szCs w:val="18"/>
              </w:rPr>
              <w:t>号，至</w:t>
            </w:r>
            <w:r>
              <w:rPr>
                <w:rFonts w:ascii="宋体" w:hAnsi="宋体" w:cs="宋体" w:eastAsia="宋体" w:hint="default"/>
                <w:spacing w:val="-49"/>
                <w:sz w:val="18"/>
                <w:szCs w:val="18"/>
              </w:rPr>
              <w:t> </w:t>
            </w:r>
            <w:r>
              <w:rPr>
                <w:rFonts w:ascii="Arial" w:hAnsi="Arial" w:cs="Arial" w:eastAsia="Arial" w:hint="default"/>
                <w:sz w:val="18"/>
                <w:szCs w:val="18"/>
              </w:rPr>
              <w:t>2012</w:t>
            </w:r>
            <w:r>
              <w:rPr>
                <w:rFonts w:ascii="Arial" w:hAnsi="Arial" w:cs="Arial" w:eastAsia="Arial" w:hint="default"/>
                <w:spacing w:val="-9"/>
                <w:sz w:val="18"/>
                <w:szCs w:val="18"/>
              </w:rPr>
              <w:t> </w:t>
            </w:r>
            <w:r>
              <w:rPr>
                <w:rFonts w:ascii="宋体" w:hAnsi="宋体" w:cs="宋体" w:eastAsia="宋体" w:hint="default"/>
                <w:sz w:val="18"/>
                <w:szCs w:val="18"/>
              </w:rPr>
              <w:t>年</w:t>
            </w:r>
          </w:p>
        </w:tc>
      </w:tr>
      <w:tr>
        <w:trPr>
          <w:trHeight w:val="233" w:hRule="exact"/>
        </w:trPr>
        <w:tc>
          <w:tcPr>
            <w:tcW w:w="112"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Style w:val="TableParagraph"/>
              <w:spacing w:line="196" w:lineRule="exact"/>
              <w:ind w:right="0"/>
              <w:jc w:val="left"/>
              <w:rPr>
                <w:rFonts w:ascii="宋体" w:hAnsi="宋体" w:cs="宋体" w:eastAsia="宋体" w:hint="default"/>
                <w:sz w:val="18"/>
                <w:szCs w:val="18"/>
              </w:rPr>
            </w:pPr>
            <w:r>
              <w:rPr>
                <w:rFonts w:ascii="宋体" w:hAnsi="宋体" w:cs="宋体" w:eastAsia="宋体" w:hint="default"/>
                <w:sz w:val="18"/>
                <w:szCs w:val="18"/>
              </w:rPr>
              <w:t>海南分公司</w:t>
            </w:r>
          </w:p>
        </w:tc>
        <w:tc>
          <w:tcPr>
            <w:tcW w:w="49"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center"/>
              <w:rPr>
                <w:rFonts w:ascii="Arial" w:hAnsi="Arial" w:cs="Arial" w:eastAsia="Arial" w:hint="default"/>
                <w:sz w:val="18"/>
                <w:szCs w:val="18"/>
              </w:rPr>
            </w:pPr>
            <w:r>
              <w:rPr>
                <w:rFonts w:ascii="Arial"/>
                <w:sz w:val="18"/>
              </w:rPr>
              <w:t>18%</w:t>
            </w:r>
          </w:p>
        </w:tc>
        <w:tc>
          <w:tcPr>
            <w:tcW w:w="235"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
              <w:jc w:val="center"/>
              <w:rPr>
                <w:rFonts w:ascii="Arial" w:hAnsi="Arial" w:cs="Arial" w:eastAsia="Arial" w:hint="default"/>
                <w:sz w:val="18"/>
                <w:szCs w:val="18"/>
              </w:rPr>
            </w:pPr>
            <w:r>
              <w:rPr>
                <w:rFonts w:ascii="Arial"/>
                <w:sz w:val="18"/>
              </w:rPr>
              <w:t>20%</w:t>
            </w:r>
          </w:p>
        </w:tc>
        <w:tc>
          <w:tcPr>
            <w:tcW w:w="239" w:type="dxa"/>
            <w:tcBorders>
              <w:top w:val="nil" w:sz="6" w:space="0" w:color="auto"/>
              <w:left w:val="nil" w:sz="6" w:space="0" w:color="auto"/>
              <w:bottom w:val="nil" w:sz="6" w:space="0" w:color="auto"/>
              <w:right w:val="nil" w:sz="6" w:space="0" w:color="auto"/>
            </w:tcBorders>
          </w:tcPr>
          <w:p>
            <w:pPr/>
          </w:p>
        </w:tc>
        <w:tc>
          <w:tcPr>
            <w:tcW w:w="2336" w:type="dxa"/>
            <w:tcBorders>
              <w:top w:val="nil" w:sz="6" w:space="0" w:color="auto"/>
              <w:left w:val="nil" w:sz="6" w:space="0" w:color="auto"/>
              <w:bottom w:val="nil" w:sz="6" w:space="0" w:color="auto"/>
              <w:right w:val="nil" w:sz="6" w:space="0" w:color="auto"/>
            </w:tcBorders>
          </w:tcPr>
          <w:p>
            <w:pPr>
              <w:pStyle w:val="TableParagraph"/>
              <w:spacing w:line="196" w:lineRule="exact"/>
              <w:ind w:left="92" w:right="0"/>
              <w:jc w:val="left"/>
              <w:rPr>
                <w:rFonts w:ascii="宋体" w:hAnsi="宋体" w:cs="宋体" w:eastAsia="宋体" w:hint="default"/>
                <w:sz w:val="18"/>
                <w:szCs w:val="18"/>
              </w:rPr>
            </w:pPr>
            <w:r>
              <w:rPr>
                <w:rFonts w:ascii="宋体" w:hAnsi="宋体" w:cs="宋体" w:eastAsia="宋体" w:hint="default"/>
                <w:sz w:val="18"/>
                <w:szCs w:val="18"/>
              </w:rPr>
              <w:t>国务院</w:t>
            </w:r>
          </w:p>
        </w:tc>
        <w:tc>
          <w:tcPr>
            <w:tcW w:w="239" w:type="dxa"/>
            <w:tcBorders>
              <w:top w:val="nil" w:sz="6" w:space="0" w:color="auto"/>
              <w:left w:val="nil" w:sz="6" w:space="0" w:color="auto"/>
              <w:bottom w:val="nil" w:sz="6" w:space="0" w:color="auto"/>
              <w:right w:val="nil" w:sz="6" w:space="0" w:color="auto"/>
            </w:tcBorders>
          </w:tcPr>
          <w:p>
            <w:pPr/>
          </w:p>
        </w:tc>
        <w:tc>
          <w:tcPr>
            <w:tcW w:w="2869" w:type="dxa"/>
            <w:tcBorders>
              <w:top w:val="nil" w:sz="6" w:space="0" w:color="auto"/>
              <w:left w:val="nil" w:sz="6" w:space="0" w:color="auto"/>
              <w:bottom w:val="nil" w:sz="6" w:space="0" w:color="auto"/>
              <w:right w:val="nil" w:sz="6" w:space="0" w:color="auto"/>
            </w:tcBorders>
          </w:tcPr>
          <w:p>
            <w:pPr>
              <w:pStyle w:val="TableParagraph"/>
              <w:spacing w:line="209" w:lineRule="exact"/>
              <w:ind w:left="7" w:right="0"/>
              <w:jc w:val="left"/>
              <w:rPr>
                <w:rFonts w:ascii="宋体" w:hAnsi="宋体" w:cs="宋体" w:eastAsia="宋体" w:hint="default"/>
                <w:sz w:val="18"/>
                <w:szCs w:val="18"/>
              </w:rPr>
            </w:pPr>
            <w:r>
              <w:rPr>
                <w:rFonts w:ascii="宋体" w:hAnsi="宋体" w:cs="宋体" w:eastAsia="宋体" w:hint="default"/>
                <w:sz w:val="18"/>
                <w:szCs w:val="18"/>
              </w:rPr>
              <w:t>国发</w:t>
            </w:r>
            <w:r>
              <w:rPr>
                <w:rFonts w:ascii="Arial" w:hAnsi="Arial" w:cs="Arial" w:eastAsia="Arial" w:hint="default"/>
                <w:sz w:val="18"/>
                <w:szCs w:val="18"/>
              </w:rPr>
              <w:t>[2007]39</w:t>
            </w:r>
            <w:r>
              <w:rPr>
                <w:rFonts w:ascii="Arial" w:hAnsi="Arial" w:cs="Arial" w:eastAsia="Arial" w:hint="default"/>
                <w:spacing w:val="-8"/>
                <w:sz w:val="18"/>
                <w:szCs w:val="18"/>
              </w:rPr>
              <w:t> </w:t>
            </w:r>
            <w:r>
              <w:rPr>
                <w:rFonts w:ascii="宋体" w:hAnsi="宋体" w:cs="宋体" w:eastAsia="宋体" w:hint="default"/>
                <w:sz w:val="18"/>
                <w:szCs w:val="18"/>
              </w:rPr>
              <w:t>号，至</w:t>
            </w:r>
            <w:r>
              <w:rPr>
                <w:rFonts w:ascii="宋体" w:hAnsi="宋体" w:cs="宋体" w:eastAsia="宋体" w:hint="default"/>
                <w:spacing w:val="-49"/>
                <w:sz w:val="18"/>
                <w:szCs w:val="18"/>
              </w:rPr>
              <w:t> </w:t>
            </w:r>
            <w:r>
              <w:rPr>
                <w:rFonts w:ascii="Arial" w:hAnsi="Arial" w:cs="Arial" w:eastAsia="Arial" w:hint="default"/>
                <w:sz w:val="18"/>
                <w:szCs w:val="18"/>
              </w:rPr>
              <w:t>2012</w:t>
            </w:r>
            <w:r>
              <w:rPr>
                <w:rFonts w:ascii="Arial" w:hAnsi="Arial" w:cs="Arial" w:eastAsia="Arial" w:hint="default"/>
                <w:spacing w:val="-9"/>
                <w:sz w:val="18"/>
                <w:szCs w:val="18"/>
              </w:rPr>
              <w:t> </w:t>
            </w:r>
            <w:r>
              <w:rPr>
                <w:rFonts w:ascii="宋体" w:hAnsi="宋体" w:cs="宋体" w:eastAsia="宋体" w:hint="default"/>
                <w:sz w:val="18"/>
                <w:szCs w:val="18"/>
              </w:rPr>
              <w:t>年</w:t>
            </w:r>
          </w:p>
        </w:tc>
      </w:tr>
      <w:tr>
        <w:trPr>
          <w:trHeight w:val="317" w:hRule="exact"/>
        </w:trPr>
        <w:tc>
          <w:tcPr>
            <w:tcW w:w="112" w:type="dxa"/>
            <w:tcBorders>
              <w:top w:val="nil" w:sz="6" w:space="0" w:color="auto"/>
              <w:left w:val="nil" w:sz="6" w:space="0" w:color="auto"/>
              <w:bottom w:val="nil" w:sz="6" w:space="0" w:color="auto"/>
              <w:right w:val="nil" w:sz="6" w:space="0" w:color="auto"/>
            </w:tcBorders>
          </w:tcPr>
          <w:p>
            <w:pPr/>
          </w:p>
        </w:tc>
        <w:tc>
          <w:tcPr>
            <w:tcW w:w="1400" w:type="dxa"/>
            <w:tcBorders>
              <w:top w:val="nil" w:sz="6" w:space="0" w:color="auto"/>
              <w:left w:val="nil" w:sz="6" w:space="0" w:color="auto"/>
              <w:bottom w:val="nil" w:sz="6" w:space="0" w:color="auto"/>
              <w:right w:val="nil" w:sz="6" w:space="0" w:color="auto"/>
            </w:tcBorders>
          </w:tcPr>
          <w:p>
            <w:pPr>
              <w:pStyle w:val="TableParagraph"/>
              <w:spacing w:line="195" w:lineRule="exact"/>
              <w:ind w:right="0"/>
              <w:jc w:val="left"/>
              <w:rPr>
                <w:rFonts w:ascii="宋体" w:hAnsi="宋体" w:cs="宋体" w:eastAsia="宋体" w:hint="default"/>
                <w:sz w:val="18"/>
                <w:szCs w:val="18"/>
              </w:rPr>
            </w:pPr>
            <w:r>
              <w:rPr>
                <w:rFonts w:ascii="宋体" w:hAnsi="宋体" w:cs="宋体" w:eastAsia="宋体" w:hint="default"/>
                <w:sz w:val="18"/>
                <w:szCs w:val="18"/>
              </w:rPr>
              <w:t>西藏分公司</w:t>
            </w:r>
          </w:p>
        </w:tc>
        <w:tc>
          <w:tcPr>
            <w:tcW w:w="49" w:type="dxa"/>
            <w:tcBorders>
              <w:top w:val="nil" w:sz="6" w:space="0" w:color="auto"/>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69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5" w:right="0"/>
              <w:jc w:val="center"/>
              <w:rPr>
                <w:rFonts w:ascii="Arial" w:hAnsi="Arial" w:cs="Arial" w:eastAsia="Arial" w:hint="default"/>
                <w:sz w:val="18"/>
                <w:szCs w:val="18"/>
              </w:rPr>
            </w:pPr>
            <w:r>
              <w:rPr>
                <w:rFonts w:ascii="Arial"/>
                <w:sz w:val="18"/>
              </w:rPr>
              <w:t>10%</w:t>
            </w:r>
          </w:p>
        </w:tc>
        <w:tc>
          <w:tcPr>
            <w:tcW w:w="235" w:type="dxa"/>
            <w:tcBorders>
              <w:top w:val="nil" w:sz="6" w:space="0" w:color="auto"/>
              <w:left w:val="nil" w:sz="6" w:space="0" w:color="auto"/>
              <w:bottom w:val="nil" w:sz="6" w:space="0" w:color="auto"/>
              <w:right w:val="nil" w:sz="6" w:space="0" w:color="auto"/>
            </w:tcBorders>
          </w:tcPr>
          <w:p>
            <w:pPr/>
          </w:p>
        </w:tc>
        <w:tc>
          <w:tcPr>
            <w:tcW w:w="66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
              <w:jc w:val="center"/>
              <w:rPr>
                <w:rFonts w:ascii="Arial" w:hAnsi="Arial" w:cs="Arial" w:eastAsia="Arial" w:hint="default"/>
                <w:sz w:val="18"/>
                <w:szCs w:val="18"/>
              </w:rPr>
            </w:pPr>
            <w:r>
              <w:rPr>
                <w:rFonts w:ascii="Arial"/>
                <w:sz w:val="18"/>
              </w:rPr>
              <w:t>12%</w:t>
            </w:r>
          </w:p>
        </w:tc>
        <w:tc>
          <w:tcPr>
            <w:tcW w:w="239" w:type="dxa"/>
            <w:tcBorders>
              <w:top w:val="nil" w:sz="6" w:space="0" w:color="auto"/>
              <w:left w:val="nil" w:sz="6" w:space="0" w:color="auto"/>
              <w:bottom w:val="nil" w:sz="6" w:space="0" w:color="auto"/>
              <w:right w:val="nil" w:sz="6" w:space="0" w:color="auto"/>
            </w:tcBorders>
          </w:tcPr>
          <w:p>
            <w:pPr/>
          </w:p>
        </w:tc>
        <w:tc>
          <w:tcPr>
            <w:tcW w:w="2336" w:type="dxa"/>
            <w:tcBorders>
              <w:top w:val="nil" w:sz="6" w:space="0" w:color="auto"/>
              <w:left w:val="nil" w:sz="6" w:space="0" w:color="auto"/>
              <w:bottom w:val="nil" w:sz="6" w:space="0" w:color="auto"/>
              <w:right w:val="nil" w:sz="6" w:space="0" w:color="auto"/>
            </w:tcBorders>
          </w:tcPr>
          <w:p>
            <w:pPr>
              <w:pStyle w:val="TableParagraph"/>
              <w:spacing w:line="195" w:lineRule="exact"/>
              <w:ind w:left="92" w:right="0"/>
              <w:jc w:val="left"/>
              <w:rPr>
                <w:rFonts w:ascii="宋体" w:hAnsi="宋体" w:cs="宋体" w:eastAsia="宋体" w:hint="default"/>
                <w:sz w:val="18"/>
                <w:szCs w:val="18"/>
              </w:rPr>
            </w:pPr>
            <w:r>
              <w:rPr>
                <w:rFonts w:ascii="宋体" w:hAnsi="宋体" w:cs="宋体" w:eastAsia="宋体" w:hint="default"/>
                <w:sz w:val="18"/>
                <w:szCs w:val="18"/>
              </w:rPr>
              <w:t>西藏自治区人民政府</w:t>
            </w:r>
          </w:p>
        </w:tc>
        <w:tc>
          <w:tcPr>
            <w:tcW w:w="239" w:type="dxa"/>
            <w:tcBorders>
              <w:top w:val="nil" w:sz="6" w:space="0" w:color="auto"/>
              <w:left w:val="nil" w:sz="6" w:space="0" w:color="auto"/>
              <w:bottom w:val="nil" w:sz="6" w:space="0" w:color="auto"/>
              <w:right w:val="nil" w:sz="6" w:space="0" w:color="auto"/>
            </w:tcBorders>
          </w:tcPr>
          <w:p>
            <w:pPr/>
          </w:p>
        </w:tc>
        <w:tc>
          <w:tcPr>
            <w:tcW w:w="2869" w:type="dxa"/>
            <w:tcBorders>
              <w:top w:val="nil" w:sz="6" w:space="0" w:color="auto"/>
              <w:left w:val="nil" w:sz="6" w:space="0" w:color="auto"/>
              <w:bottom w:val="nil" w:sz="6" w:space="0" w:color="auto"/>
              <w:right w:val="nil" w:sz="6" w:space="0" w:color="auto"/>
            </w:tcBorders>
          </w:tcPr>
          <w:p>
            <w:pPr>
              <w:pStyle w:val="TableParagraph"/>
              <w:spacing w:line="208" w:lineRule="exact"/>
              <w:ind w:left="7" w:right="0"/>
              <w:jc w:val="left"/>
              <w:rPr>
                <w:rFonts w:ascii="宋体" w:hAnsi="宋体" w:cs="宋体" w:eastAsia="宋体" w:hint="default"/>
                <w:sz w:val="18"/>
                <w:szCs w:val="18"/>
              </w:rPr>
            </w:pPr>
            <w:r>
              <w:rPr>
                <w:rFonts w:ascii="宋体" w:hAnsi="宋体" w:cs="宋体" w:eastAsia="宋体" w:hint="default"/>
                <w:sz w:val="18"/>
                <w:szCs w:val="18"/>
              </w:rPr>
              <w:t>藏政发</w:t>
            </w:r>
            <w:r>
              <w:rPr>
                <w:rFonts w:ascii="Arial" w:hAnsi="Arial" w:cs="Arial" w:eastAsia="Arial" w:hint="default"/>
                <w:sz w:val="18"/>
                <w:szCs w:val="18"/>
              </w:rPr>
              <w:t>[2008]78</w:t>
            </w:r>
            <w:r>
              <w:rPr>
                <w:rFonts w:ascii="Arial" w:hAnsi="Arial" w:cs="Arial" w:eastAsia="Arial" w:hint="default"/>
                <w:spacing w:val="-14"/>
                <w:sz w:val="18"/>
                <w:szCs w:val="18"/>
              </w:rPr>
              <w:t> </w:t>
            </w:r>
            <w:r>
              <w:rPr>
                <w:rFonts w:ascii="宋体" w:hAnsi="宋体" w:cs="宋体" w:eastAsia="宋体" w:hint="default"/>
                <w:sz w:val="18"/>
                <w:szCs w:val="18"/>
              </w:rPr>
              <w:t>号，无限期</w:t>
            </w:r>
          </w:p>
        </w:tc>
      </w:tr>
    </w:tbl>
    <w:p>
      <w:pPr>
        <w:spacing w:line="240" w:lineRule="auto" w:before="12"/>
        <w:rPr>
          <w:rFonts w:ascii="宋体" w:hAnsi="宋体" w:cs="宋体" w:eastAsia="宋体" w:hint="default"/>
          <w:sz w:val="6"/>
          <w:szCs w:val="6"/>
        </w:rPr>
      </w:pPr>
    </w:p>
    <w:p>
      <w:pPr>
        <w:pStyle w:val="BodyText"/>
        <w:spacing w:line="295" w:lineRule="exact" w:before="31"/>
        <w:ind w:left="522" w:right="0"/>
        <w:jc w:val="both"/>
        <w:rPr>
          <w:rFonts w:ascii="Arial" w:hAnsi="Arial" w:cs="Arial" w:eastAsia="Arial" w:hint="default"/>
        </w:rPr>
      </w:pPr>
      <w:r>
        <w:rPr/>
        <w:t>联通运营公司除上表列示的部分所属分公司享受所列的优惠税率外，其他各分公司均适用</w:t>
      </w:r>
      <w:r>
        <w:rPr>
          <w:spacing w:val="-62"/>
        </w:rPr>
        <w:t> </w:t>
      </w:r>
      <w:r>
        <w:rPr>
          <w:rFonts w:ascii="Arial" w:hAnsi="Arial" w:cs="Arial" w:eastAsia="Arial" w:hint="default"/>
        </w:rPr>
        <w:t>25%</w:t>
      </w:r>
    </w:p>
    <w:p>
      <w:pPr>
        <w:pStyle w:val="BodyText"/>
        <w:spacing w:line="279" w:lineRule="exact"/>
        <w:ind w:left="522" w:right="0"/>
        <w:jc w:val="both"/>
      </w:pPr>
      <w:r>
        <w:rPr/>
        <w:t>的企业所得税税率。</w:t>
      </w:r>
    </w:p>
    <w:p>
      <w:pPr>
        <w:spacing w:line="240" w:lineRule="auto" w:before="4"/>
        <w:rPr>
          <w:rFonts w:ascii="宋体" w:hAnsi="宋体" w:cs="宋体" w:eastAsia="宋体" w:hint="default"/>
          <w:sz w:val="20"/>
          <w:szCs w:val="20"/>
        </w:rPr>
      </w:pPr>
    </w:p>
    <w:p>
      <w:pPr>
        <w:pStyle w:val="BodyText"/>
        <w:spacing w:line="225" w:lineRule="auto"/>
        <w:ind w:left="522" w:right="107"/>
        <w:jc w:val="both"/>
      </w:pPr>
      <w:r>
        <w:rPr/>
        <w:t>根据国发</w:t>
      </w:r>
      <w:r>
        <w:rPr>
          <w:rFonts w:ascii="Arial" w:hAnsi="Arial" w:cs="Arial" w:eastAsia="Arial" w:hint="default"/>
        </w:rPr>
        <w:t>[2007]39</w:t>
      </w:r>
      <w:r>
        <w:rPr>
          <w:rFonts w:ascii="Arial" w:hAnsi="Arial" w:cs="Arial" w:eastAsia="Arial" w:hint="default"/>
          <w:spacing w:val="-2"/>
        </w:rPr>
        <w:t> </w:t>
      </w:r>
      <w:r>
        <w:rPr/>
        <w:t>号文，自</w:t>
      </w:r>
      <w:r>
        <w:rPr>
          <w:spacing w:val="-52"/>
        </w:rPr>
        <w:t> </w:t>
      </w:r>
      <w:r>
        <w:rPr>
          <w:rFonts w:ascii="Arial" w:hAnsi="Arial" w:cs="Arial" w:eastAsia="Arial" w:hint="default"/>
        </w:rPr>
        <w:t>2008</w:t>
      </w:r>
      <w:r>
        <w:rPr>
          <w:rFonts w:ascii="Arial" w:hAnsi="Arial" w:cs="Arial" w:eastAsia="Arial" w:hint="default"/>
          <w:spacing w:val="-2"/>
        </w:rPr>
        <w:t> </w:t>
      </w:r>
      <w:r>
        <w:rPr/>
        <w:t>年</w:t>
      </w:r>
      <w:r>
        <w:rPr>
          <w:spacing w:val="-52"/>
        </w:rPr>
        <w:t> </w:t>
      </w:r>
      <w:r>
        <w:rPr>
          <w:rFonts w:ascii="Arial" w:hAnsi="Arial" w:cs="Arial" w:eastAsia="Arial" w:hint="default"/>
        </w:rPr>
        <w:t>1</w:t>
      </w:r>
      <w:r>
        <w:rPr>
          <w:rFonts w:ascii="Arial" w:hAnsi="Arial" w:cs="Arial" w:eastAsia="Arial" w:hint="default"/>
          <w:spacing w:val="-2"/>
        </w:rPr>
        <w:t> </w:t>
      </w:r>
      <w:r>
        <w:rPr/>
        <w:t>月</w:t>
      </w:r>
      <w:r>
        <w:rPr>
          <w:spacing w:val="-52"/>
        </w:rPr>
        <w:t> </w:t>
      </w:r>
      <w:r>
        <w:rPr>
          <w:rFonts w:ascii="Arial" w:hAnsi="Arial" w:cs="Arial" w:eastAsia="Arial" w:hint="default"/>
        </w:rPr>
        <w:t>1</w:t>
      </w:r>
      <w:r>
        <w:rPr>
          <w:rFonts w:ascii="Arial" w:hAnsi="Arial" w:cs="Arial" w:eastAsia="Arial" w:hint="default"/>
          <w:spacing w:val="-2"/>
        </w:rPr>
        <w:t> </w:t>
      </w:r>
      <w:r>
        <w:rPr/>
        <w:t>日起，联通运营公司所属的深圳等</w:t>
      </w:r>
      <w:r>
        <w:rPr>
          <w:spacing w:val="-51"/>
        </w:rPr>
        <w:t> </w:t>
      </w:r>
      <w:r>
        <w:rPr>
          <w:rFonts w:ascii="Arial" w:hAnsi="Arial" w:cs="Arial" w:eastAsia="Arial" w:hint="default"/>
        </w:rPr>
        <w:t>5</w:t>
      </w:r>
      <w:r>
        <w:rPr>
          <w:rFonts w:ascii="Arial" w:hAnsi="Arial" w:cs="Arial" w:eastAsia="Arial" w:hint="default"/>
          <w:spacing w:val="-1"/>
        </w:rPr>
        <w:t> </w:t>
      </w:r>
      <w:r>
        <w:rPr/>
        <w:t>家分公司在所</w:t>
      </w:r>
      <w:r>
        <w:rPr>
          <w:w w:val="99"/>
        </w:rPr>
        <w:t> </w:t>
      </w:r>
      <w:r>
        <w:rPr/>
        <w:t>得税法实施后</w:t>
      </w:r>
      <w:r>
        <w:rPr>
          <w:spacing w:val="-61"/>
        </w:rPr>
        <w:t> </w:t>
      </w:r>
      <w:r>
        <w:rPr>
          <w:rFonts w:ascii="Arial" w:hAnsi="Arial" w:cs="Arial" w:eastAsia="Arial" w:hint="default"/>
        </w:rPr>
        <w:t>5</w:t>
      </w:r>
      <w:r>
        <w:rPr>
          <w:rFonts w:ascii="Arial" w:hAnsi="Arial" w:cs="Arial" w:eastAsia="Arial" w:hint="default"/>
          <w:spacing w:val="-12"/>
        </w:rPr>
        <w:t> </w:t>
      </w:r>
      <w:r>
        <w:rPr/>
        <w:t>年内逐步过渡到</w:t>
      </w:r>
      <w:r>
        <w:rPr>
          <w:spacing w:val="-61"/>
        </w:rPr>
        <w:t> </w:t>
      </w:r>
      <w:r>
        <w:rPr>
          <w:rFonts w:ascii="Arial" w:hAnsi="Arial" w:cs="Arial" w:eastAsia="Arial" w:hint="default"/>
        </w:rPr>
        <w:t>25%</w:t>
      </w:r>
      <w:r>
        <w:rPr/>
        <w:t>的法定企业所得税率。</w:t>
      </w:r>
      <w:r>
        <w:rPr>
          <w:rFonts w:ascii="Arial" w:hAnsi="Arial" w:cs="Arial" w:eastAsia="Arial" w:hint="default"/>
        </w:rPr>
        <w:t>2008</w:t>
      </w:r>
      <w:r>
        <w:rPr>
          <w:rFonts w:ascii="Arial" w:hAnsi="Arial" w:cs="Arial" w:eastAsia="Arial" w:hint="default"/>
          <w:spacing w:val="-12"/>
        </w:rPr>
        <w:t> </w:t>
      </w:r>
      <w:r>
        <w:rPr/>
        <w:t>年度和</w:t>
      </w:r>
      <w:r>
        <w:rPr>
          <w:spacing w:val="-61"/>
        </w:rPr>
        <w:t> </w:t>
      </w:r>
      <w:r>
        <w:rPr>
          <w:rFonts w:ascii="Arial" w:hAnsi="Arial" w:cs="Arial" w:eastAsia="Arial" w:hint="default"/>
        </w:rPr>
        <w:t>2009</w:t>
      </w:r>
      <w:r>
        <w:rPr>
          <w:rFonts w:ascii="Arial" w:hAnsi="Arial" w:cs="Arial" w:eastAsia="Arial" w:hint="default"/>
          <w:spacing w:val="-12"/>
        </w:rPr>
        <w:t> </w:t>
      </w:r>
      <w:r>
        <w:rPr>
          <w:spacing w:val="-5"/>
        </w:rPr>
        <w:t>年度，联通运营</w:t>
      </w:r>
      <w:r>
        <w:rPr>
          <w:w w:val="99"/>
        </w:rPr>
        <w:t> </w:t>
      </w:r>
      <w:r>
        <w:rPr/>
        <w:t>公司所属深圳等</w:t>
      </w:r>
      <w:r>
        <w:rPr>
          <w:spacing w:val="-57"/>
        </w:rPr>
        <w:t> </w:t>
      </w:r>
      <w:r>
        <w:rPr>
          <w:rFonts w:ascii="Arial" w:hAnsi="Arial" w:cs="Arial" w:eastAsia="Arial" w:hint="default"/>
        </w:rPr>
        <w:t>5</w:t>
      </w:r>
      <w:r>
        <w:rPr>
          <w:rFonts w:ascii="Arial" w:hAnsi="Arial" w:cs="Arial" w:eastAsia="Arial" w:hint="default"/>
          <w:spacing w:val="-8"/>
        </w:rPr>
        <w:t> </w:t>
      </w:r>
      <w:r>
        <w:rPr/>
        <w:t>家分公司适用的企业所得税优惠税率分别为</w:t>
      </w:r>
      <w:r>
        <w:rPr>
          <w:spacing w:val="-56"/>
        </w:rPr>
        <w:t> </w:t>
      </w:r>
      <w:r>
        <w:rPr>
          <w:rFonts w:ascii="Arial" w:hAnsi="Arial" w:cs="Arial" w:eastAsia="Arial" w:hint="default"/>
        </w:rPr>
        <w:t>18%</w:t>
      </w:r>
      <w:r>
        <w:rPr/>
        <w:t>和</w:t>
      </w:r>
      <w:r>
        <w:rPr>
          <w:spacing w:val="-56"/>
        </w:rPr>
        <w:t> </w:t>
      </w:r>
      <w:r>
        <w:rPr>
          <w:rFonts w:ascii="Arial" w:hAnsi="Arial" w:cs="Arial" w:eastAsia="Arial" w:hint="default"/>
        </w:rPr>
        <w:t>20%</w:t>
      </w:r>
      <w:r>
        <w:rPr/>
        <w:t>。</w:t>
      </w:r>
    </w:p>
    <w:p>
      <w:pPr>
        <w:spacing w:line="240" w:lineRule="auto" w:before="4"/>
        <w:rPr>
          <w:rFonts w:ascii="宋体" w:hAnsi="宋体" w:cs="宋体" w:eastAsia="宋体" w:hint="default"/>
          <w:sz w:val="20"/>
          <w:szCs w:val="20"/>
        </w:rPr>
      </w:pPr>
    </w:p>
    <w:p>
      <w:pPr>
        <w:pStyle w:val="BodyText"/>
        <w:spacing w:line="286" w:lineRule="exact"/>
        <w:ind w:left="522" w:right="107"/>
        <w:jc w:val="both"/>
      </w:pPr>
      <w:r>
        <w:rPr/>
        <w:t>根据藏政发</w:t>
      </w:r>
      <w:r>
        <w:rPr>
          <w:rFonts w:ascii="Arial" w:hAnsi="Arial" w:cs="Arial" w:eastAsia="Arial" w:hint="default"/>
        </w:rPr>
        <w:t>[2008]78 </w:t>
      </w:r>
      <w:r>
        <w:rPr>
          <w:spacing w:val="-3"/>
        </w:rPr>
        <w:t>号文，上表所列原适用优惠税率的西藏分公司在所得税法实施后，</w:t>
      </w:r>
      <w:r>
        <w:rPr>
          <w:rFonts w:ascii="Arial" w:hAnsi="Arial" w:cs="Arial" w:eastAsia="Arial" w:hint="default"/>
          <w:spacing w:val="-3"/>
        </w:rPr>
        <w:t>2008</w:t>
      </w:r>
      <w:r>
        <w:rPr>
          <w:rFonts w:ascii="Arial" w:hAnsi="Arial" w:cs="Arial" w:eastAsia="Arial" w:hint="default"/>
          <w:spacing w:val="-4"/>
        </w:rPr>
        <w:t> </w:t>
      </w:r>
      <w:r>
        <w:rPr/>
        <w:t>年</w:t>
      </w:r>
      <w:r>
        <w:rPr>
          <w:w w:val="99"/>
        </w:rPr>
        <w:t> </w:t>
      </w:r>
      <w:r>
        <w:rPr/>
        <w:t>度仍继续执行</w:t>
      </w:r>
      <w:r>
        <w:rPr>
          <w:spacing w:val="-57"/>
        </w:rPr>
        <w:t> </w:t>
      </w:r>
      <w:r>
        <w:rPr>
          <w:rFonts w:ascii="Arial" w:hAnsi="Arial" w:cs="Arial" w:eastAsia="Arial" w:hint="default"/>
        </w:rPr>
        <w:t>10%</w:t>
      </w:r>
      <w:r>
        <w:rPr/>
        <w:t>的优惠税率，</w:t>
      </w:r>
      <w:r>
        <w:rPr>
          <w:rFonts w:ascii="Arial" w:hAnsi="Arial" w:cs="Arial" w:eastAsia="Arial" w:hint="default"/>
        </w:rPr>
        <w:t>2009</w:t>
      </w:r>
      <w:r>
        <w:rPr>
          <w:rFonts w:ascii="Arial" w:hAnsi="Arial" w:cs="Arial" w:eastAsia="Arial" w:hint="default"/>
          <w:spacing w:val="-8"/>
        </w:rPr>
        <w:t> </w:t>
      </w:r>
      <w:r>
        <w:rPr/>
        <w:t>年和</w:t>
      </w:r>
      <w:r>
        <w:rPr>
          <w:spacing w:val="-57"/>
        </w:rPr>
        <w:t> </w:t>
      </w:r>
      <w:r>
        <w:rPr>
          <w:rFonts w:ascii="Arial" w:hAnsi="Arial" w:cs="Arial" w:eastAsia="Arial" w:hint="default"/>
        </w:rPr>
        <w:t>2010</w:t>
      </w:r>
      <w:r>
        <w:rPr>
          <w:rFonts w:ascii="Arial" w:hAnsi="Arial" w:cs="Arial" w:eastAsia="Arial" w:hint="default"/>
          <w:spacing w:val="-8"/>
        </w:rPr>
        <w:t> </w:t>
      </w:r>
      <w:r>
        <w:rPr/>
        <w:t>年分别执行</w:t>
      </w:r>
      <w:r>
        <w:rPr>
          <w:spacing w:val="-57"/>
        </w:rPr>
        <w:t> </w:t>
      </w:r>
      <w:r>
        <w:rPr>
          <w:rFonts w:ascii="Arial" w:hAnsi="Arial" w:cs="Arial" w:eastAsia="Arial" w:hint="default"/>
        </w:rPr>
        <w:t>12%</w:t>
      </w:r>
      <w:r>
        <w:rPr/>
        <w:t>和</w:t>
      </w:r>
      <w:r>
        <w:rPr>
          <w:spacing w:val="-57"/>
        </w:rPr>
        <w:t> </w:t>
      </w:r>
      <w:r>
        <w:rPr>
          <w:rFonts w:ascii="Arial" w:hAnsi="Arial" w:cs="Arial" w:eastAsia="Arial" w:hint="default"/>
        </w:rPr>
        <w:t>15%</w:t>
      </w:r>
      <w:r>
        <w:rPr/>
        <w:t>的优惠税率。</w:t>
      </w:r>
    </w:p>
    <w:p>
      <w:pPr>
        <w:spacing w:line="240" w:lineRule="auto" w:before="1"/>
        <w:rPr>
          <w:rFonts w:ascii="宋体" w:hAnsi="宋体" w:cs="宋体" w:eastAsia="宋体" w:hint="default"/>
          <w:sz w:val="17"/>
          <w:szCs w:val="17"/>
        </w:rPr>
      </w:pPr>
    </w:p>
    <w:p>
      <w:pPr>
        <w:pStyle w:val="BodyText"/>
        <w:spacing w:line="240" w:lineRule="auto"/>
        <w:ind w:left="102" w:right="109"/>
        <w:jc w:val="left"/>
      </w:pPr>
      <w:r>
        <w:rPr>
          <w:rFonts w:ascii="Arial" w:hAnsi="Arial" w:cs="Arial" w:eastAsia="Arial" w:hint="default"/>
        </w:rPr>
        <w:t>(3) </w:t>
      </w:r>
      <w:r>
        <w:rPr>
          <w:rFonts w:ascii="Arial" w:hAnsi="Arial" w:cs="Arial" w:eastAsia="Arial" w:hint="default"/>
          <w:spacing w:val="27"/>
        </w:rPr>
        <w:t> </w:t>
      </w:r>
      <w:r>
        <w:rPr/>
        <w:t>联通运营公司所属子公司之企业所得税</w:t>
      </w:r>
    </w:p>
    <w:p>
      <w:pPr>
        <w:spacing w:line="240" w:lineRule="auto" w:before="2"/>
        <w:rPr>
          <w:rFonts w:ascii="宋体" w:hAnsi="宋体" w:cs="宋体" w:eastAsia="宋体" w:hint="default"/>
          <w:sz w:val="20"/>
          <w:szCs w:val="20"/>
        </w:rPr>
      </w:pPr>
    </w:p>
    <w:p>
      <w:pPr>
        <w:pStyle w:val="BodyText"/>
        <w:spacing w:line="286" w:lineRule="exact"/>
        <w:ind w:left="522" w:right="108"/>
        <w:jc w:val="both"/>
      </w:pPr>
      <w:r>
        <w:rPr/>
        <w:t>联通运营公司所属子公司新联通华盛和联通移动网络公司为联通运营公司于 </w:t>
      </w:r>
      <w:r>
        <w:rPr>
          <w:rFonts w:ascii="Arial" w:hAnsi="Arial" w:cs="Arial" w:eastAsia="Arial" w:hint="default"/>
        </w:rPr>
        <w:t>2008</w:t>
      </w:r>
      <w:r>
        <w:rPr>
          <w:rFonts w:ascii="Arial" w:hAnsi="Arial" w:cs="Arial" w:eastAsia="Arial" w:hint="default"/>
          <w:spacing w:val="47"/>
        </w:rPr>
        <w:t> </w:t>
      </w:r>
      <w:r>
        <w:rPr/>
        <w:t>年设立的境</w:t>
      </w:r>
      <w:r>
        <w:rPr>
          <w:w w:val="99"/>
        </w:rPr>
        <w:t> </w:t>
      </w:r>
      <w:r>
        <w:rPr/>
        <w:t>内企业，根据所得税法，均适用</w:t>
      </w:r>
      <w:r>
        <w:rPr>
          <w:spacing w:val="-59"/>
        </w:rPr>
        <w:t> </w:t>
      </w:r>
      <w:r>
        <w:rPr>
          <w:rFonts w:ascii="Arial" w:hAnsi="Arial" w:cs="Arial" w:eastAsia="Arial" w:hint="default"/>
        </w:rPr>
        <w:t>25%</w:t>
      </w:r>
      <w:r>
        <w:rPr/>
        <w:t>的企业所得税税率。</w:t>
      </w:r>
    </w:p>
    <w:p>
      <w:pPr>
        <w:spacing w:line="240" w:lineRule="auto" w:before="11"/>
        <w:rPr>
          <w:rFonts w:ascii="宋体" w:hAnsi="宋体" w:cs="宋体" w:eastAsia="宋体" w:hint="default"/>
          <w:sz w:val="17"/>
          <w:szCs w:val="17"/>
        </w:rPr>
      </w:pPr>
    </w:p>
    <w:p>
      <w:pPr>
        <w:pStyle w:val="BodyText"/>
        <w:spacing w:line="230" w:lineRule="auto"/>
        <w:ind w:left="522" w:right="108"/>
        <w:jc w:val="both"/>
      </w:pPr>
      <w:r>
        <w:rPr/>
        <w:t>于 </w:t>
      </w:r>
      <w:r>
        <w:rPr>
          <w:rFonts w:ascii="Arial" w:hAnsi="Arial" w:cs="Arial" w:eastAsia="Arial" w:hint="default"/>
        </w:rPr>
        <w:t>2009 </w:t>
      </w:r>
      <w:r>
        <w:rPr/>
        <w:t>年 </w:t>
      </w:r>
      <w:r>
        <w:rPr>
          <w:rFonts w:ascii="Arial" w:hAnsi="Arial" w:cs="Arial" w:eastAsia="Arial" w:hint="default"/>
        </w:rPr>
        <w:t>1</w:t>
      </w:r>
      <w:r>
        <w:rPr>
          <w:rFonts w:ascii="Arial" w:hAnsi="Arial" w:cs="Arial" w:eastAsia="Arial" w:hint="default"/>
          <w:spacing w:val="-28"/>
        </w:rPr>
        <w:t> </w:t>
      </w:r>
      <w:r>
        <w:rPr/>
        <w:t>月，联通运营公司完成对网通运营公司的吸收合并及对目标业务的收购，故下文</w:t>
      </w:r>
      <w:r>
        <w:rPr>
          <w:w w:val="99"/>
        </w:rPr>
        <w:t> </w:t>
      </w:r>
      <w:r>
        <w:rPr/>
        <w:t>中北京电信规划设计院有限公司（“规划设计院”）、系统集成公司、宽带在线公司、中融信</w:t>
      </w:r>
      <w:r>
        <w:rPr>
          <w:spacing w:val="-71"/>
        </w:rPr>
        <w:t> </w:t>
      </w:r>
      <w:r>
        <w:rPr>
          <w:spacing w:val="-71"/>
        </w:rPr>
      </w:r>
      <w:r>
        <w:rPr>
          <w:spacing w:val="-3"/>
        </w:rPr>
        <w:t>息服务有限公司（“中融信息”）、联通兴业、联通新国信和中讯设计院</w:t>
      </w:r>
      <w:r>
        <w:rPr>
          <w:spacing w:val="-53"/>
        </w:rPr>
        <w:t> </w:t>
      </w:r>
      <w:r>
        <w:rPr>
          <w:rFonts w:ascii="Arial" w:hAnsi="Arial" w:cs="Arial" w:eastAsia="Arial" w:hint="default"/>
        </w:rPr>
        <w:t>7</w:t>
      </w:r>
      <w:r>
        <w:rPr>
          <w:rFonts w:ascii="Arial" w:hAnsi="Arial" w:cs="Arial" w:eastAsia="Arial" w:hint="default"/>
          <w:spacing w:val="-5"/>
        </w:rPr>
        <w:t> </w:t>
      </w:r>
      <w:r>
        <w:rPr/>
        <w:t>家公司自</w:t>
      </w:r>
      <w:r>
        <w:rPr>
          <w:spacing w:val="-54"/>
        </w:rPr>
        <w:t> </w:t>
      </w:r>
      <w:r>
        <w:rPr>
          <w:rFonts w:ascii="Arial" w:hAnsi="Arial" w:cs="Arial" w:eastAsia="Arial" w:hint="default"/>
        </w:rPr>
        <w:t>2009</w:t>
      </w:r>
      <w:r>
        <w:rPr>
          <w:rFonts w:ascii="Arial" w:hAnsi="Arial" w:cs="Arial" w:eastAsia="Arial" w:hint="default"/>
          <w:spacing w:val="-5"/>
        </w:rPr>
        <w:t> </w:t>
      </w:r>
      <w:r>
        <w:rPr/>
        <w:t>年</w:t>
      </w:r>
      <w:r>
        <w:rPr>
          <w:spacing w:val="-54"/>
        </w:rPr>
        <w:t> </w:t>
      </w:r>
      <w:r>
        <w:rPr>
          <w:rFonts w:ascii="Arial" w:hAnsi="Arial" w:cs="Arial" w:eastAsia="Arial" w:hint="default"/>
        </w:rPr>
        <w:t>1</w:t>
      </w:r>
      <w:r>
        <w:rPr>
          <w:rFonts w:ascii="Arial" w:hAnsi="Arial" w:cs="Arial" w:eastAsia="Arial" w:hint="default"/>
          <w:w w:val="99"/>
        </w:rPr>
        <w:t> </w:t>
      </w:r>
      <w:r>
        <w:rPr/>
        <w:t>月起均成为联通运营公司之子公司。</w:t>
      </w:r>
    </w:p>
    <w:p>
      <w:pPr>
        <w:spacing w:after="0" w:line="230" w:lineRule="auto"/>
        <w:jc w:val="both"/>
        <w:sectPr>
          <w:headerReference w:type="default" r:id="rId63"/>
          <w:pgSz w:w="11910" w:h="16840"/>
          <w:pgMar w:header="1189" w:footer="600" w:top="3660" w:bottom="780" w:left="1280" w:right="920"/>
        </w:sectPr>
      </w:pPr>
    </w:p>
    <w:p>
      <w:pPr>
        <w:spacing w:line="240" w:lineRule="auto" w:before="10"/>
        <w:rPr>
          <w:rFonts w:ascii="宋体" w:hAnsi="宋体" w:cs="宋体" w:eastAsia="宋体" w:hint="default"/>
          <w:sz w:val="8"/>
          <w:szCs w:val="8"/>
        </w:rPr>
      </w:pPr>
    </w:p>
    <w:p>
      <w:pPr>
        <w:pStyle w:val="BodyText"/>
        <w:spacing w:line="240" w:lineRule="auto" w:before="31"/>
        <w:ind w:left="107" w:right="97"/>
        <w:jc w:val="left"/>
      </w:pPr>
      <w:r>
        <w:rPr>
          <w:rFonts w:ascii="Arial" w:hAnsi="Arial" w:cs="Arial" w:eastAsia="Arial" w:hint="default"/>
        </w:rPr>
        <w:t>(3) </w:t>
      </w:r>
      <w:r>
        <w:rPr>
          <w:rFonts w:ascii="Arial" w:hAnsi="Arial" w:cs="Arial" w:eastAsia="Arial" w:hint="default"/>
          <w:spacing w:val="41"/>
        </w:rPr>
        <w:t> </w:t>
      </w:r>
      <w:r>
        <w:rPr/>
        <w:t>联通运营公司所属子公司之企业所得税（续）</w:t>
      </w:r>
    </w:p>
    <w:p>
      <w:pPr>
        <w:pStyle w:val="BodyText"/>
        <w:spacing w:line="286" w:lineRule="exact" w:before="170"/>
        <w:ind w:left="556" w:right="208" w:hanging="15"/>
        <w:jc w:val="both"/>
      </w:pPr>
      <w:r>
        <w:rPr/>
        <w:t>系统集成公司为设立于北京的高新技术企业，并在黑龙江省、山东省、吉林省、河南省、山西</w:t>
      </w:r>
      <w:r>
        <w:rPr>
          <w:spacing w:val="-71"/>
        </w:rPr>
        <w:t> </w:t>
      </w:r>
      <w:r>
        <w:rPr>
          <w:spacing w:val="-71"/>
        </w:rPr>
      </w:r>
      <w:r>
        <w:rPr/>
        <w:t>省、内蒙古自治区、天津市、辽宁省和河北省分别设立有分公司。除系统集成公司总部外，系</w:t>
      </w:r>
      <w:r>
        <w:rPr>
          <w:spacing w:val="-101"/>
        </w:rPr>
        <w:t> </w:t>
      </w:r>
      <w:r>
        <w:rPr>
          <w:spacing w:val="-101"/>
        </w:rPr>
      </w:r>
      <w:r>
        <w:rPr/>
        <w:t>统集成公司各分公司均适用</w:t>
      </w:r>
      <w:r>
        <w:rPr>
          <w:spacing w:val="-73"/>
        </w:rPr>
        <w:t> </w:t>
      </w:r>
      <w:r>
        <w:rPr>
          <w:rFonts w:ascii="Arial" w:hAnsi="Arial" w:cs="Arial" w:eastAsia="Arial" w:hint="default"/>
        </w:rPr>
        <w:t>25%</w:t>
      </w:r>
      <w:r>
        <w:rPr/>
        <w:t>的企业所得税税率并汇总在北京集中缴纳企业所得税；系统集</w:t>
      </w:r>
      <w:r>
        <w:rPr>
          <w:w w:val="99"/>
        </w:rPr>
        <w:t> </w:t>
      </w:r>
      <w:r>
        <w:rPr/>
        <w:t>成公司北京总部于</w:t>
      </w:r>
      <w:r>
        <w:rPr>
          <w:spacing w:val="-44"/>
        </w:rPr>
        <w:t> </w:t>
      </w:r>
      <w:r>
        <w:rPr>
          <w:rFonts w:ascii="Arial" w:hAnsi="Arial" w:cs="Arial" w:eastAsia="Arial" w:hint="default"/>
        </w:rPr>
        <w:t>2008</w:t>
      </w:r>
      <w:r>
        <w:rPr>
          <w:rFonts w:ascii="Arial" w:hAnsi="Arial" w:cs="Arial" w:eastAsia="Arial" w:hint="default"/>
          <w:spacing w:val="5"/>
        </w:rPr>
        <w:t> </w:t>
      </w:r>
      <w:r>
        <w:rPr/>
        <w:t>年</w:t>
      </w:r>
      <w:r>
        <w:rPr>
          <w:spacing w:val="-44"/>
        </w:rPr>
        <w:t> </w:t>
      </w:r>
      <w:r>
        <w:rPr>
          <w:rFonts w:ascii="Arial" w:hAnsi="Arial" w:cs="Arial" w:eastAsia="Arial" w:hint="default"/>
        </w:rPr>
        <w:t>1</w:t>
      </w:r>
      <w:r>
        <w:rPr>
          <w:rFonts w:ascii="Arial" w:hAnsi="Arial" w:cs="Arial" w:eastAsia="Arial" w:hint="default"/>
          <w:spacing w:val="5"/>
        </w:rPr>
        <w:t> </w:t>
      </w:r>
      <w:r>
        <w:rPr/>
        <w:t>月</w:t>
      </w:r>
      <w:r>
        <w:rPr>
          <w:spacing w:val="-44"/>
        </w:rPr>
        <w:t> </w:t>
      </w:r>
      <w:r>
        <w:rPr>
          <w:rFonts w:ascii="Arial" w:hAnsi="Arial" w:cs="Arial" w:eastAsia="Arial" w:hint="default"/>
        </w:rPr>
        <w:t>1</w:t>
      </w:r>
      <w:r>
        <w:rPr>
          <w:rFonts w:ascii="Arial" w:hAnsi="Arial" w:cs="Arial" w:eastAsia="Arial" w:hint="default"/>
          <w:spacing w:val="5"/>
        </w:rPr>
        <w:t> </w:t>
      </w:r>
      <w:r>
        <w:rPr/>
        <w:t>日前经批准享受“三免三减半”的税收优惠政策，由于系统</w:t>
      </w:r>
    </w:p>
    <w:p>
      <w:pPr>
        <w:pStyle w:val="BodyText"/>
        <w:spacing w:line="265" w:lineRule="exact"/>
        <w:ind w:left="556" w:right="0"/>
        <w:jc w:val="both"/>
        <w:rPr>
          <w:rFonts w:ascii="Arial" w:hAnsi="Arial" w:cs="Arial" w:eastAsia="Arial" w:hint="default"/>
        </w:rPr>
      </w:pPr>
      <w:r>
        <w:rPr/>
        <w:t>集成公司总部的第一个获利年度为</w:t>
      </w:r>
      <w:r>
        <w:rPr>
          <w:spacing w:val="-55"/>
        </w:rPr>
        <w:t> </w:t>
      </w:r>
      <w:r>
        <w:rPr>
          <w:rFonts w:ascii="Arial" w:hAnsi="Arial" w:cs="Arial" w:eastAsia="Arial" w:hint="default"/>
        </w:rPr>
        <w:t>2006</w:t>
      </w:r>
      <w:r>
        <w:rPr>
          <w:rFonts w:ascii="Arial" w:hAnsi="Arial" w:cs="Arial" w:eastAsia="Arial" w:hint="default"/>
          <w:spacing w:val="-7"/>
        </w:rPr>
        <w:t> </w:t>
      </w:r>
      <w:r>
        <w:rPr>
          <w:spacing w:val="-11"/>
        </w:rPr>
        <w:t>年，故其自</w:t>
      </w:r>
      <w:r>
        <w:rPr>
          <w:spacing w:val="-56"/>
        </w:rPr>
        <w:t> </w:t>
      </w:r>
      <w:r>
        <w:rPr>
          <w:rFonts w:ascii="Arial" w:hAnsi="Arial" w:cs="Arial" w:eastAsia="Arial" w:hint="default"/>
        </w:rPr>
        <w:t>2006</w:t>
      </w:r>
      <w:r>
        <w:rPr>
          <w:rFonts w:ascii="Arial" w:hAnsi="Arial" w:cs="Arial" w:eastAsia="Arial" w:hint="default"/>
          <w:spacing w:val="-7"/>
        </w:rPr>
        <w:t> </w:t>
      </w:r>
      <w:r>
        <w:rPr/>
        <w:t>年至</w:t>
      </w:r>
      <w:r>
        <w:rPr>
          <w:spacing w:val="-56"/>
        </w:rPr>
        <w:t> </w:t>
      </w:r>
      <w:r>
        <w:rPr>
          <w:rFonts w:ascii="Arial" w:hAnsi="Arial" w:cs="Arial" w:eastAsia="Arial" w:hint="default"/>
        </w:rPr>
        <w:t>2008</w:t>
      </w:r>
      <w:r>
        <w:rPr>
          <w:rFonts w:ascii="Arial" w:hAnsi="Arial" w:cs="Arial" w:eastAsia="Arial" w:hint="default"/>
          <w:spacing w:val="-7"/>
        </w:rPr>
        <w:t> </w:t>
      </w:r>
      <w:r>
        <w:rPr>
          <w:spacing w:val="-6"/>
        </w:rPr>
        <w:t>年享受免税政策，自</w:t>
      </w:r>
      <w:r>
        <w:rPr>
          <w:spacing w:val="-56"/>
        </w:rPr>
        <w:t> </w:t>
      </w:r>
      <w:r>
        <w:rPr>
          <w:rFonts w:ascii="Arial" w:hAnsi="Arial" w:cs="Arial" w:eastAsia="Arial" w:hint="default"/>
        </w:rPr>
        <w:t>2009</w:t>
      </w:r>
    </w:p>
    <w:p>
      <w:pPr>
        <w:pStyle w:val="BodyText"/>
        <w:spacing w:line="286" w:lineRule="exact" w:before="18"/>
        <w:ind w:left="555" w:right="208"/>
        <w:jc w:val="both"/>
      </w:pPr>
      <w:r>
        <w:rPr/>
        <w:t>年至</w:t>
      </w:r>
      <w:r>
        <w:rPr>
          <w:spacing w:val="-43"/>
        </w:rPr>
        <w:t> </w:t>
      </w:r>
      <w:r>
        <w:rPr>
          <w:rFonts w:ascii="Arial" w:hAnsi="Arial" w:cs="Arial" w:eastAsia="Arial" w:hint="default"/>
        </w:rPr>
        <w:t>2011</w:t>
      </w:r>
      <w:r>
        <w:rPr>
          <w:rFonts w:ascii="Arial" w:hAnsi="Arial" w:cs="Arial" w:eastAsia="Arial" w:hint="default"/>
          <w:spacing w:val="7"/>
        </w:rPr>
        <w:t> </w:t>
      </w:r>
      <w:r>
        <w:rPr/>
        <w:t>年适用减半的优惠税率。于</w:t>
      </w:r>
      <w:r>
        <w:rPr>
          <w:spacing w:val="-43"/>
        </w:rPr>
        <w:t> </w:t>
      </w:r>
      <w:r>
        <w:rPr>
          <w:rFonts w:ascii="Arial" w:hAnsi="Arial" w:cs="Arial" w:eastAsia="Arial" w:hint="default"/>
        </w:rPr>
        <w:t>2008</w:t>
      </w:r>
      <w:r>
        <w:rPr>
          <w:rFonts w:ascii="Arial" w:hAnsi="Arial" w:cs="Arial" w:eastAsia="Arial" w:hint="default"/>
          <w:spacing w:val="7"/>
        </w:rPr>
        <w:t> </w:t>
      </w:r>
      <w:r>
        <w:rPr/>
        <w:t>年</w:t>
      </w:r>
      <w:r>
        <w:rPr>
          <w:spacing w:val="-43"/>
        </w:rPr>
        <w:t> </w:t>
      </w:r>
      <w:r>
        <w:rPr>
          <w:rFonts w:ascii="Arial" w:hAnsi="Arial" w:cs="Arial" w:eastAsia="Arial" w:hint="default"/>
        </w:rPr>
        <w:t>12</w:t>
      </w:r>
      <w:r>
        <w:rPr>
          <w:rFonts w:ascii="Arial" w:hAnsi="Arial" w:cs="Arial" w:eastAsia="Arial" w:hint="default"/>
          <w:spacing w:val="6"/>
        </w:rPr>
        <w:t> </w:t>
      </w:r>
      <w:r>
        <w:rPr/>
        <w:t>月</w:t>
      </w:r>
      <w:r>
        <w:rPr>
          <w:spacing w:val="-43"/>
        </w:rPr>
        <w:t> </w:t>
      </w:r>
      <w:r>
        <w:rPr>
          <w:rFonts w:ascii="Arial" w:hAnsi="Arial" w:cs="Arial" w:eastAsia="Arial" w:hint="default"/>
        </w:rPr>
        <w:t>24</w:t>
      </w:r>
      <w:r>
        <w:rPr>
          <w:rFonts w:ascii="Arial" w:hAnsi="Arial" w:cs="Arial" w:eastAsia="Arial" w:hint="default"/>
          <w:spacing w:val="7"/>
        </w:rPr>
        <w:t> </w:t>
      </w:r>
      <w:r>
        <w:rPr/>
        <w:t>日，系统集成公司北京总部获得主管</w:t>
      </w:r>
      <w:r>
        <w:rPr>
          <w:w w:val="99"/>
        </w:rPr>
        <w:t> </w:t>
      </w:r>
      <w:r>
        <w:rPr>
          <w:w w:val="95"/>
        </w:rPr>
        <w:t>机关“高新技术企业”认证（证书编号：</w:t>
      </w:r>
      <w:r>
        <w:rPr>
          <w:rFonts w:ascii="Arial" w:hAnsi="Arial" w:cs="Arial" w:eastAsia="Arial" w:hint="default"/>
          <w:w w:val="95"/>
        </w:rPr>
        <w:t>GR200811001570</w:t>
      </w:r>
      <w:r>
        <w:rPr>
          <w:w w:val="95"/>
        </w:rPr>
        <w:t>），故根据所得税法适用 </w:t>
      </w:r>
      <w:r>
        <w:rPr>
          <w:rFonts w:ascii="Arial" w:hAnsi="Arial" w:cs="Arial" w:eastAsia="Arial" w:hint="default"/>
          <w:w w:val="95"/>
        </w:rPr>
        <w:t>15%</w:t>
      </w:r>
      <w:r>
        <w:rPr>
          <w:w w:val="95"/>
        </w:rPr>
        <w:t>的企</w:t>
      </w:r>
      <w:r>
        <w:rPr>
          <w:spacing w:val="21"/>
          <w:w w:val="95"/>
        </w:rPr>
        <w:t> </w:t>
      </w:r>
      <w:r>
        <w:rPr/>
        <w:t>业所得税税率且于</w:t>
      </w:r>
      <w:r>
        <w:rPr>
          <w:spacing w:val="-49"/>
        </w:rPr>
        <w:t> </w:t>
      </w:r>
      <w:r>
        <w:rPr>
          <w:rFonts w:ascii="Arial" w:hAnsi="Arial" w:cs="Arial" w:eastAsia="Arial" w:hint="default"/>
        </w:rPr>
        <w:t>2008</w:t>
      </w:r>
      <w:r>
        <w:rPr>
          <w:rFonts w:ascii="Arial" w:hAnsi="Arial" w:cs="Arial" w:eastAsia="Arial" w:hint="default"/>
          <w:spacing w:val="1"/>
        </w:rPr>
        <w:t> </w:t>
      </w:r>
      <w:r>
        <w:rPr/>
        <w:t>年度内继续享受免税的税收优惠政策，于</w:t>
      </w:r>
      <w:r>
        <w:rPr>
          <w:spacing w:val="-48"/>
        </w:rPr>
        <w:t> </w:t>
      </w:r>
      <w:r>
        <w:rPr>
          <w:rFonts w:ascii="Arial" w:hAnsi="Arial" w:cs="Arial" w:eastAsia="Arial" w:hint="default"/>
        </w:rPr>
        <w:t>2009</w:t>
      </w:r>
      <w:r>
        <w:rPr>
          <w:rFonts w:ascii="Arial" w:hAnsi="Arial" w:cs="Arial" w:eastAsia="Arial" w:hint="default"/>
          <w:spacing w:val="1"/>
        </w:rPr>
        <w:t> </w:t>
      </w:r>
      <w:r>
        <w:rPr/>
        <w:t>年度适用</w:t>
      </w:r>
      <w:r>
        <w:rPr>
          <w:spacing w:val="-49"/>
        </w:rPr>
        <w:t> </w:t>
      </w:r>
      <w:r>
        <w:rPr>
          <w:rFonts w:ascii="Arial" w:hAnsi="Arial" w:cs="Arial" w:eastAsia="Arial" w:hint="default"/>
        </w:rPr>
        <w:t>7.5%</w:t>
      </w:r>
      <w:r>
        <w:rPr/>
        <w:t>的减半</w:t>
      </w:r>
      <w:r>
        <w:rPr>
          <w:w w:val="99"/>
        </w:rPr>
        <w:t> </w:t>
      </w:r>
      <w:r>
        <w:rPr/>
        <w:t>优惠税率。</w:t>
      </w:r>
    </w:p>
    <w:p>
      <w:pPr>
        <w:pStyle w:val="BodyText"/>
        <w:spacing w:line="294" w:lineRule="exact" w:before="131"/>
        <w:ind w:left="541" w:right="0"/>
        <w:jc w:val="both"/>
      </w:pPr>
      <w:r>
        <w:rPr/>
        <w:t>宽带在线公司为设立于北京的高新技术企业。于</w:t>
      </w:r>
      <w:r>
        <w:rPr>
          <w:spacing w:val="-41"/>
        </w:rPr>
        <w:t> </w:t>
      </w:r>
      <w:r>
        <w:rPr>
          <w:rFonts w:ascii="Arial" w:hAnsi="Arial" w:cs="Arial" w:eastAsia="Arial" w:hint="default"/>
        </w:rPr>
        <w:t>2008</w:t>
      </w:r>
      <w:r>
        <w:rPr>
          <w:rFonts w:ascii="Arial" w:hAnsi="Arial" w:cs="Arial" w:eastAsia="Arial" w:hint="default"/>
          <w:spacing w:val="7"/>
        </w:rPr>
        <w:t> </w:t>
      </w:r>
      <w:r>
        <w:rPr/>
        <w:t>年</w:t>
      </w:r>
      <w:r>
        <w:rPr>
          <w:spacing w:val="-42"/>
        </w:rPr>
        <w:t> </w:t>
      </w:r>
      <w:r>
        <w:rPr>
          <w:rFonts w:ascii="Arial" w:hAnsi="Arial" w:cs="Arial" w:eastAsia="Arial" w:hint="default"/>
        </w:rPr>
        <w:t>1</w:t>
      </w:r>
      <w:r>
        <w:rPr>
          <w:rFonts w:ascii="Arial" w:hAnsi="Arial" w:cs="Arial" w:eastAsia="Arial" w:hint="default"/>
          <w:spacing w:val="7"/>
        </w:rPr>
        <w:t> </w:t>
      </w:r>
      <w:r>
        <w:rPr/>
        <w:t>月</w:t>
      </w:r>
      <w:r>
        <w:rPr>
          <w:spacing w:val="-42"/>
        </w:rPr>
        <w:t> </w:t>
      </w:r>
      <w:r>
        <w:rPr>
          <w:rFonts w:ascii="Arial" w:hAnsi="Arial" w:cs="Arial" w:eastAsia="Arial" w:hint="default"/>
        </w:rPr>
        <w:t>1</w:t>
      </w:r>
      <w:r>
        <w:rPr>
          <w:rFonts w:ascii="Arial" w:hAnsi="Arial" w:cs="Arial" w:eastAsia="Arial" w:hint="default"/>
          <w:spacing w:val="7"/>
        </w:rPr>
        <w:t> </w:t>
      </w:r>
      <w:r>
        <w:rPr/>
        <w:t>日前，宽带在线公司经批准享</w:t>
      </w:r>
    </w:p>
    <w:p>
      <w:pPr>
        <w:pStyle w:val="BodyText"/>
        <w:spacing w:line="285" w:lineRule="exact"/>
        <w:ind w:left="541" w:right="0"/>
        <w:jc w:val="both"/>
      </w:pPr>
      <w:r>
        <w:rPr/>
        <w:t>受“三免三减半”的税收优惠政策，由于宽带在线公司的第一个获利年度为 </w:t>
      </w:r>
      <w:r>
        <w:rPr>
          <w:rFonts w:ascii="Arial" w:hAnsi="Arial" w:cs="Arial" w:eastAsia="Arial" w:hint="default"/>
        </w:rPr>
        <w:t>2006</w:t>
      </w:r>
      <w:r>
        <w:rPr>
          <w:rFonts w:ascii="Arial" w:hAnsi="Arial" w:cs="Arial" w:eastAsia="Arial" w:hint="default"/>
          <w:spacing w:val="47"/>
        </w:rPr>
        <w:t> </w:t>
      </w:r>
      <w:r>
        <w:rPr/>
        <w:t>年，故其自</w:t>
      </w:r>
    </w:p>
    <w:p>
      <w:pPr>
        <w:pStyle w:val="BodyText"/>
        <w:spacing w:line="285" w:lineRule="exact"/>
        <w:ind w:left="541" w:right="0"/>
        <w:jc w:val="both"/>
        <w:rPr>
          <w:rFonts w:ascii="Arial" w:hAnsi="Arial" w:cs="Arial" w:eastAsia="Arial" w:hint="default"/>
        </w:rPr>
      </w:pPr>
      <w:r>
        <w:rPr>
          <w:rFonts w:ascii="Arial" w:hAnsi="Arial" w:cs="Arial" w:eastAsia="Arial" w:hint="default"/>
        </w:rPr>
        <w:t>2006</w:t>
      </w:r>
      <w:r>
        <w:rPr>
          <w:rFonts w:ascii="Arial" w:hAnsi="Arial" w:cs="Arial" w:eastAsia="Arial" w:hint="default"/>
          <w:spacing w:val="4"/>
        </w:rPr>
        <w:t> </w:t>
      </w:r>
      <w:r>
        <w:rPr/>
        <w:t>年至</w:t>
      </w:r>
      <w:r>
        <w:rPr>
          <w:spacing w:val="-45"/>
        </w:rPr>
        <w:t> </w:t>
      </w:r>
      <w:r>
        <w:rPr>
          <w:rFonts w:ascii="Arial" w:hAnsi="Arial" w:cs="Arial" w:eastAsia="Arial" w:hint="default"/>
        </w:rPr>
        <w:t>2008</w:t>
      </w:r>
      <w:r>
        <w:rPr>
          <w:rFonts w:ascii="Arial" w:hAnsi="Arial" w:cs="Arial" w:eastAsia="Arial" w:hint="default"/>
          <w:spacing w:val="4"/>
        </w:rPr>
        <w:t> </w:t>
      </w:r>
      <w:r>
        <w:rPr/>
        <w:t>年享受免税政策，自</w:t>
      </w:r>
      <w:r>
        <w:rPr>
          <w:spacing w:val="-45"/>
        </w:rPr>
        <w:t> </w:t>
      </w:r>
      <w:r>
        <w:rPr>
          <w:rFonts w:ascii="Arial" w:hAnsi="Arial" w:cs="Arial" w:eastAsia="Arial" w:hint="default"/>
        </w:rPr>
        <w:t>2009</w:t>
      </w:r>
      <w:r>
        <w:rPr>
          <w:rFonts w:ascii="Arial" w:hAnsi="Arial" w:cs="Arial" w:eastAsia="Arial" w:hint="default"/>
          <w:spacing w:val="4"/>
        </w:rPr>
        <w:t> </w:t>
      </w:r>
      <w:r>
        <w:rPr/>
        <w:t>年至</w:t>
      </w:r>
      <w:r>
        <w:rPr>
          <w:spacing w:val="-46"/>
        </w:rPr>
        <w:t> </w:t>
      </w:r>
      <w:r>
        <w:rPr>
          <w:rFonts w:ascii="Arial" w:hAnsi="Arial" w:cs="Arial" w:eastAsia="Arial" w:hint="default"/>
        </w:rPr>
        <w:t>2011</w:t>
      </w:r>
      <w:r>
        <w:rPr>
          <w:rFonts w:ascii="Arial" w:hAnsi="Arial" w:cs="Arial" w:eastAsia="Arial" w:hint="default"/>
          <w:spacing w:val="4"/>
        </w:rPr>
        <w:t> </w:t>
      </w:r>
      <w:r>
        <w:rPr/>
        <w:t>年适用减半的优惠税率。于</w:t>
      </w:r>
      <w:r>
        <w:rPr>
          <w:spacing w:val="-45"/>
        </w:rPr>
        <w:t> </w:t>
      </w:r>
      <w:r>
        <w:rPr>
          <w:rFonts w:ascii="Arial" w:hAnsi="Arial" w:cs="Arial" w:eastAsia="Arial" w:hint="default"/>
        </w:rPr>
        <w:t>2008</w:t>
      </w:r>
      <w:r>
        <w:rPr>
          <w:rFonts w:ascii="Arial" w:hAnsi="Arial" w:cs="Arial" w:eastAsia="Arial" w:hint="default"/>
          <w:spacing w:val="4"/>
        </w:rPr>
        <w:t> </w:t>
      </w:r>
      <w:r>
        <w:rPr/>
        <w:t>年</w:t>
      </w:r>
      <w:r>
        <w:rPr>
          <w:spacing w:val="-46"/>
        </w:rPr>
        <w:t> </w:t>
      </w:r>
      <w:r>
        <w:rPr>
          <w:rFonts w:ascii="Arial" w:hAnsi="Arial" w:cs="Arial" w:eastAsia="Arial" w:hint="default"/>
        </w:rPr>
        <w:t>12</w:t>
      </w:r>
    </w:p>
    <w:p>
      <w:pPr>
        <w:pStyle w:val="BodyText"/>
        <w:spacing w:line="225" w:lineRule="auto" w:before="6"/>
        <w:ind w:left="540" w:right="97"/>
        <w:jc w:val="left"/>
      </w:pPr>
      <w:r>
        <w:rPr/>
        <w:t>月</w:t>
      </w:r>
      <w:r>
        <w:rPr>
          <w:spacing w:val="-53"/>
        </w:rPr>
        <w:t> </w:t>
      </w:r>
      <w:r>
        <w:rPr>
          <w:rFonts w:ascii="Arial" w:hAnsi="Arial" w:cs="Arial" w:eastAsia="Arial" w:hint="default"/>
        </w:rPr>
        <w:t>24</w:t>
      </w:r>
      <w:r>
        <w:rPr>
          <w:rFonts w:ascii="Arial" w:hAnsi="Arial" w:cs="Arial" w:eastAsia="Arial" w:hint="default"/>
          <w:spacing w:val="-4"/>
        </w:rPr>
        <w:t> </w:t>
      </w:r>
      <w:r>
        <w:rPr>
          <w:spacing w:val="-10"/>
        </w:rPr>
        <w:t>日，宽带在线公司获得主管机关“高新技术企业”认证后（证书编号：</w:t>
      </w:r>
      <w:r>
        <w:rPr>
          <w:rFonts w:ascii="Arial" w:hAnsi="Arial" w:cs="Arial" w:eastAsia="Arial" w:hint="default"/>
          <w:spacing w:val="-10"/>
        </w:rPr>
        <w:t>GR200811001569</w:t>
      </w:r>
      <w:r>
        <w:rPr>
          <w:spacing w:val="-10"/>
        </w:rPr>
        <w:t>），</w:t>
      </w:r>
      <w:r>
        <w:rPr>
          <w:w w:val="99"/>
        </w:rPr>
        <w:t> </w:t>
      </w:r>
      <w:r>
        <w:rPr/>
        <w:t>根据所得税法适用</w:t>
      </w:r>
      <w:r>
        <w:rPr>
          <w:spacing w:val="-38"/>
        </w:rPr>
        <w:t> </w:t>
      </w:r>
      <w:r>
        <w:rPr>
          <w:rFonts w:ascii="Arial" w:hAnsi="Arial" w:cs="Arial" w:eastAsia="Arial" w:hint="default"/>
        </w:rPr>
        <w:t>15%</w:t>
      </w:r>
      <w:r>
        <w:rPr/>
        <w:t>的企业所得税税率且于</w:t>
      </w:r>
      <w:r>
        <w:rPr>
          <w:spacing w:val="-37"/>
        </w:rPr>
        <w:t> </w:t>
      </w:r>
      <w:r>
        <w:rPr>
          <w:rFonts w:ascii="Arial" w:hAnsi="Arial" w:cs="Arial" w:eastAsia="Arial" w:hint="default"/>
        </w:rPr>
        <w:t>2008</w:t>
      </w:r>
      <w:r>
        <w:rPr>
          <w:rFonts w:ascii="Arial" w:hAnsi="Arial" w:cs="Arial" w:eastAsia="Arial" w:hint="default"/>
          <w:spacing w:val="11"/>
        </w:rPr>
        <w:t> </w:t>
      </w:r>
      <w:r>
        <w:rPr/>
        <w:t>年度内继续享受免税的税收优惠政策，于</w:t>
      </w:r>
      <w:r>
        <w:rPr>
          <w:w w:val="99"/>
        </w:rPr>
        <w:t> </w:t>
      </w:r>
      <w:r>
        <w:rPr>
          <w:rFonts w:ascii="Arial" w:hAnsi="Arial" w:cs="Arial" w:eastAsia="Arial" w:hint="default"/>
        </w:rPr>
        <w:t>2009 </w:t>
      </w:r>
      <w:r>
        <w:rPr/>
        <w:t>年适用</w:t>
      </w:r>
      <w:r>
        <w:rPr>
          <w:spacing w:val="-65"/>
        </w:rPr>
        <w:t> </w:t>
      </w:r>
      <w:r>
        <w:rPr>
          <w:rFonts w:ascii="Arial" w:hAnsi="Arial" w:cs="Arial" w:eastAsia="Arial" w:hint="default"/>
        </w:rPr>
        <w:t>7.5%</w:t>
      </w:r>
      <w:r>
        <w:rPr/>
        <w:t>的减半优惠税率。</w:t>
      </w:r>
    </w:p>
    <w:p>
      <w:pPr>
        <w:pStyle w:val="BodyText"/>
        <w:spacing w:line="294" w:lineRule="exact" w:before="146"/>
        <w:ind w:left="542" w:right="0"/>
        <w:jc w:val="both"/>
      </w:pPr>
      <w:r>
        <w:rPr/>
        <w:t>中讯设计院和规划设计院自</w:t>
      </w:r>
      <w:r>
        <w:rPr>
          <w:spacing w:val="-52"/>
        </w:rPr>
        <w:t> </w:t>
      </w:r>
      <w:r>
        <w:rPr>
          <w:rFonts w:ascii="Arial" w:hAnsi="Arial" w:cs="Arial" w:eastAsia="Arial" w:hint="default"/>
        </w:rPr>
        <w:t>2008</w:t>
      </w:r>
      <w:r>
        <w:rPr>
          <w:rFonts w:ascii="Arial" w:hAnsi="Arial" w:cs="Arial" w:eastAsia="Arial" w:hint="default"/>
          <w:spacing w:val="-3"/>
        </w:rPr>
        <w:t> </w:t>
      </w:r>
      <w:r>
        <w:rPr/>
        <w:t>年</w:t>
      </w:r>
      <w:r>
        <w:rPr>
          <w:spacing w:val="-53"/>
        </w:rPr>
        <w:t> </w:t>
      </w:r>
      <w:r>
        <w:rPr>
          <w:rFonts w:ascii="Arial" w:hAnsi="Arial" w:cs="Arial" w:eastAsia="Arial" w:hint="default"/>
        </w:rPr>
        <w:t>1</w:t>
      </w:r>
      <w:r>
        <w:rPr>
          <w:rFonts w:ascii="Arial" w:hAnsi="Arial" w:cs="Arial" w:eastAsia="Arial" w:hint="default"/>
          <w:spacing w:val="-3"/>
        </w:rPr>
        <w:t> </w:t>
      </w:r>
      <w:r>
        <w:rPr/>
        <w:t>月</w:t>
      </w:r>
      <w:r>
        <w:rPr>
          <w:spacing w:val="-53"/>
        </w:rPr>
        <w:t> </w:t>
      </w:r>
      <w:r>
        <w:rPr>
          <w:rFonts w:ascii="Arial" w:hAnsi="Arial" w:cs="Arial" w:eastAsia="Arial" w:hint="default"/>
        </w:rPr>
        <w:t>1</w:t>
      </w:r>
      <w:r>
        <w:rPr>
          <w:rFonts w:ascii="Arial" w:hAnsi="Arial" w:cs="Arial" w:eastAsia="Arial" w:hint="default"/>
          <w:spacing w:val="-3"/>
        </w:rPr>
        <w:t> </w:t>
      </w:r>
      <w:r>
        <w:rPr/>
        <w:t>日起根据所得税法均适用</w:t>
      </w:r>
      <w:r>
        <w:rPr>
          <w:spacing w:val="-51"/>
        </w:rPr>
        <w:t> </w:t>
      </w:r>
      <w:r>
        <w:rPr>
          <w:rFonts w:ascii="Arial" w:hAnsi="Arial" w:cs="Arial" w:eastAsia="Arial" w:hint="default"/>
        </w:rPr>
        <w:t>25%</w:t>
      </w:r>
      <w:r>
        <w:rPr/>
        <w:t>的企业所得税率。中</w:t>
      </w:r>
    </w:p>
    <w:p>
      <w:pPr>
        <w:pStyle w:val="BodyText"/>
        <w:spacing w:line="285" w:lineRule="exact"/>
        <w:ind w:left="542" w:right="0"/>
        <w:jc w:val="both"/>
      </w:pPr>
      <w:r>
        <w:rPr>
          <w:spacing w:val="12"/>
        </w:rPr>
        <w:t>讯设计院于 </w:t>
      </w:r>
      <w:r>
        <w:rPr>
          <w:rFonts w:ascii="Arial" w:hAnsi="Arial" w:cs="Arial" w:eastAsia="Arial" w:hint="default"/>
        </w:rPr>
        <w:t>2009  </w:t>
      </w:r>
      <w:r>
        <w:rPr/>
        <w:t>年 </w:t>
      </w:r>
      <w:r>
        <w:rPr>
          <w:rFonts w:ascii="Arial" w:hAnsi="Arial" w:cs="Arial" w:eastAsia="Arial" w:hint="default"/>
        </w:rPr>
        <w:t>5  </w:t>
      </w:r>
      <w:r>
        <w:rPr/>
        <w:t>月 </w:t>
      </w:r>
      <w:r>
        <w:rPr>
          <w:rFonts w:ascii="Arial" w:hAnsi="Arial" w:cs="Arial" w:eastAsia="Arial" w:hint="default"/>
        </w:rPr>
        <w:t>27 </w:t>
      </w:r>
      <w:r>
        <w:rPr>
          <w:rFonts w:ascii="Arial" w:hAnsi="Arial" w:cs="Arial" w:eastAsia="Arial" w:hint="default"/>
          <w:spacing w:val="24"/>
        </w:rPr>
        <w:t> </w:t>
      </w:r>
      <w:r>
        <w:rPr>
          <w:spacing w:val="15"/>
        </w:rPr>
        <w:t>日起获得主管机关“高新技术企业”认证后（证书编号：</w:t>
      </w:r>
      <w:r>
        <w:rPr/>
      </w:r>
    </w:p>
    <w:p>
      <w:pPr>
        <w:pStyle w:val="BodyText"/>
        <w:spacing w:line="286" w:lineRule="exact"/>
        <w:ind w:left="542" w:right="0"/>
        <w:jc w:val="both"/>
        <w:rPr>
          <w:rFonts w:ascii="Arial" w:hAnsi="Arial" w:cs="Arial" w:eastAsia="Arial" w:hint="default"/>
        </w:rPr>
      </w:pPr>
      <w:r>
        <w:rPr>
          <w:rFonts w:ascii="Arial" w:hAnsi="Arial" w:cs="Arial" w:eastAsia="Arial" w:hint="default"/>
          <w:spacing w:val="-5"/>
        </w:rPr>
        <w:t>GR200911000227</w:t>
      </w:r>
      <w:r>
        <w:rPr>
          <w:spacing w:val="-5"/>
        </w:rPr>
        <w:t>），自</w:t>
      </w:r>
      <w:r>
        <w:rPr>
          <w:spacing w:val="-60"/>
        </w:rPr>
        <w:t> </w:t>
      </w:r>
      <w:r>
        <w:rPr>
          <w:rFonts w:ascii="Arial" w:hAnsi="Arial" w:cs="Arial" w:eastAsia="Arial" w:hint="default"/>
        </w:rPr>
        <w:t>2009</w:t>
      </w:r>
      <w:r>
        <w:rPr>
          <w:rFonts w:ascii="Arial" w:hAnsi="Arial" w:cs="Arial" w:eastAsia="Arial" w:hint="default"/>
          <w:spacing w:val="-11"/>
        </w:rPr>
        <w:t> </w:t>
      </w:r>
      <w:r>
        <w:rPr/>
        <w:t>年</w:t>
      </w:r>
      <w:r>
        <w:rPr>
          <w:spacing w:val="-60"/>
        </w:rPr>
        <w:t> </w:t>
      </w:r>
      <w:r>
        <w:rPr>
          <w:rFonts w:ascii="Arial" w:hAnsi="Arial" w:cs="Arial" w:eastAsia="Arial" w:hint="default"/>
        </w:rPr>
        <w:t>1</w:t>
      </w:r>
      <w:r>
        <w:rPr>
          <w:rFonts w:ascii="Arial" w:hAnsi="Arial" w:cs="Arial" w:eastAsia="Arial" w:hint="default"/>
          <w:spacing w:val="-11"/>
        </w:rPr>
        <w:t> </w:t>
      </w:r>
      <w:r>
        <w:rPr/>
        <w:t>月</w:t>
      </w:r>
      <w:r>
        <w:rPr>
          <w:spacing w:val="-60"/>
        </w:rPr>
        <w:t> </w:t>
      </w:r>
      <w:r>
        <w:rPr>
          <w:rFonts w:ascii="Arial" w:hAnsi="Arial" w:cs="Arial" w:eastAsia="Arial" w:hint="default"/>
        </w:rPr>
        <w:t>1</w:t>
      </w:r>
      <w:r>
        <w:rPr>
          <w:rFonts w:ascii="Arial" w:hAnsi="Arial" w:cs="Arial" w:eastAsia="Arial" w:hint="default"/>
          <w:spacing w:val="-11"/>
        </w:rPr>
        <w:t> </w:t>
      </w:r>
      <w:r>
        <w:rPr/>
        <w:t>日起适用</w:t>
      </w:r>
      <w:r>
        <w:rPr>
          <w:spacing w:val="-60"/>
        </w:rPr>
        <w:t> </w:t>
      </w:r>
      <w:r>
        <w:rPr>
          <w:rFonts w:ascii="Arial" w:hAnsi="Arial" w:cs="Arial" w:eastAsia="Arial" w:hint="default"/>
        </w:rPr>
        <w:t>15%</w:t>
      </w:r>
      <w:r>
        <w:rPr/>
        <w:t>的企业所得税税率；规划设计院于</w:t>
      </w:r>
      <w:r>
        <w:rPr>
          <w:spacing w:val="-60"/>
        </w:rPr>
        <w:t> </w:t>
      </w:r>
      <w:r>
        <w:rPr>
          <w:rFonts w:ascii="Arial" w:hAnsi="Arial" w:cs="Arial" w:eastAsia="Arial" w:hint="default"/>
        </w:rPr>
        <w:t>2009</w:t>
      </w:r>
    </w:p>
    <w:p>
      <w:pPr>
        <w:pStyle w:val="BodyText"/>
        <w:spacing w:line="286" w:lineRule="exact"/>
        <w:ind w:left="541" w:right="0"/>
        <w:jc w:val="both"/>
      </w:pPr>
      <w:r>
        <w:rPr/>
        <w:t>年</w:t>
      </w:r>
      <w:r>
        <w:rPr>
          <w:spacing w:val="-36"/>
        </w:rPr>
        <w:t> </w:t>
      </w:r>
      <w:r>
        <w:rPr>
          <w:rFonts w:ascii="Arial" w:hAnsi="Arial" w:cs="Arial" w:eastAsia="Arial" w:hint="default"/>
        </w:rPr>
        <w:t>7</w:t>
      </w:r>
      <w:r>
        <w:rPr>
          <w:rFonts w:ascii="Arial" w:hAnsi="Arial" w:cs="Arial" w:eastAsia="Arial" w:hint="default"/>
          <w:spacing w:val="13"/>
        </w:rPr>
        <w:t> </w:t>
      </w:r>
      <w:r>
        <w:rPr/>
        <w:t>月</w:t>
      </w:r>
      <w:r>
        <w:rPr>
          <w:spacing w:val="-36"/>
        </w:rPr>
        <w:t> </w:t>
      </w:r>
      <w:r>
        <w:rPr>
          <w:rFonts w:ascii="Arial" w:hAnsi="Arial" w:cs="Arial" w:eastAsia="Arial" w:hint="default"/>
        </w:rPr>
        <w:t>23</w:t>
      </w:r>
      <w:r>
        <w:rPr>
          <w:rFonts w:ascii="Arial" w:hAnsi="Arial" w:cs="Arial" w:eastAsia="Arial" w:hint="default"/>
          <w:spacing w:val="12"/>
        </w:rPr>
        <w:t> </w:t>
      </w:r>
      <w:r>
        <w:rPr/>
        <w:t>日起获得主管机关“高新技术企业”认证后（证书编号：</w:t>
      </w:r>
      <w:r>
        <w:rPr>
          <w:rFonts w:ascii="Arial" w:hAnsi="Arial" w:cs="Arial" w:eastAsia="Arial" w:hint="default"/>
        </w:rPr>
        <w:t>GR200911000912</w:t>
      </w:r>
      <w:r>
        <w:rPr/>
        <w:t>），自</w:t>
      </w:r>
    </w:p>
    <w:p>
      <w:pPr>
        <w:pStyle w:val="BodyText"/>
        <w:spacing w:line="295" w:lineRule="exact"/>
        <w:ind w:left="542" w:right="0"/>
        <w:jc w:val="both"/>
      </w:pP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w:t>
      </w:r>
      <w:r>
        <w:rPr>
          <w:rFonts w:ascii="Arial" w:hAnsi="Arial" w:cs="Arial" w:eastAsia="Arial" w:hint="default"/>
          <w:spacing w:val="-7"/>
        </w:rPr>
        <w:t> </w:t>
      </w:r>
      <w:r>
        <w:rPr/>
        <w:t>月</w:t>
      </w:r>
      <w:r>
        <w:rPr>
          <w:spacing w:val="-56"/>
        </w:rPr>
        <w:t> </w:t>
      </w:r>
      <w:r>
        <w:rPr>
          <w:rFonts w:ascii="Arial" w:hAnsi="Arial" w:cs="Arial" w:eastAsia="Arial" w:hint="default"/>
        </w:rPr>
        <w:t>1</w:t>
      </w:r>
      <w:r>
        <w:rPr>
          <w:rFonts w:ascii="Arial" w:hAnsi="Arial" w:cs="Arial" w:eastAsia="Arial" w:hint="default"/>
          <w:spacing w:val="-7"/>
        </w:rPr>
        <w:t> </w:t>
      </w:r>
      <w:r>
        <w:rPr/>
        <w:t>日起适用</w:t>
      </w:r>
      <w:r>
        <w:rPr>
          <w:spacing w:val="-56"/>
        </w:rPr>
        <w:t> </w:t>
      </w:r>
      <w:r>
        <w:rPr>
          <w:rFonts w:ascii="Arial" w:hAnsi="Arial" w:cs="Arial" w:eastAsia="Arial" w:hint="default"/>
        </w:rPr>
        <w:t>15%</w:t>
      </w:r>
      <w:r>
        <w:rPr/>
        <w:t>的企业所得税税率。</w:t>
      </w:r>
    </w:p>
    <w:p>
      <w:pPr>
        <w:pStyle w:val="BodyText"/>
        <w:spacing w:line="240" w:lineRule="auto" w:before="141"/>
        <w:ind w:left="541" w:right="0"/>
        <w:jc w:val="both"/>
      </w:pPr>
      <w:r>
        <w:rPr/>
        <w:t>联通新国信和中融信息自</w:t>
      </w:r>
      <w:r>
        <w:rPr>
          <w:spacing w:val="-57"/>
        </w:rPr>
        <w:t> </w:t>
      </w:r>
      <w:r>
        <w:rPr>
          <w:rFonts w:ascii="Arial" w:hAnsi="Arial" w:cs="Arial" w:eastAsia="Arial" w:hint="default"/>
        </w:rPr>
        <w:t>2008</w:t>
      </w:r>
      <w:r>
        <w:rPr>
          <w:rFonts w:ascii="Arial" w:hAnsi="Arial" w:cs="Arial" w:eastAsia="Arial" w:hint="default"/>
          <w:spacing w:val="-8"/>
        </w:rPr>
        <w:t> </w:t>
      </w:r>
      <w:r>
        <w:rPr/>
        <w:t>年</w:t>
      </w:r>
      <w:r>
        <w:rPr>
          <w:spacing w:val="-57"/>
        </w:rPr>
        <w:t> </w:t>
      </w:r>
      <w:r>
        <w:rPr>
          <w:rFonts w:ascii="Arial" w:hAnsi="Arial" w:cs="Arial" w:eastAsia="Arial" w:hint="default"/>
        </w:rPr>
        <w:t>1</w:t>
      </w:r>
      <w:r>
        <w:rPr>
          <w:rFonts w:ascii="Arial" w:hAnsi="Arial" w:cs="Arial" w:eastAsia="Arial" w:hint="default"/>
          <w:spacing w:val="-8"/>
        </w:rPr>
        <w:t> </w:t>
      </w:r>
      <w:r>
        <w:rPr/>
        <w:t>月</w:t>
      </w:r>
      <w:r>
        <w:rPr>
          <w:spacing w:val="-57"/>
        </w:rPr>
        <w:t> </w:t>
      </w:r>
      <w:r>
        <w:rPr>
          <w:rFonts w:ascii="Arial" w:hAnsi="Arial" w:cs="Arial" w:eastAsia="Arial" w:hint="default"/>
        </w:rPr>
        <w:t>1</w:t>
      </w:r>
      <w:r>
        <w:rPr>
          <w:rFonts w:ascii="Arial" w:hAnsi="Arial" w:cs="Arial" w:eastAsia="Arial" w:hint="default"/>
          <w:spacing w:val="-8"/>
        </w:rPr>
        <w:t> </w:t>
      </w:r>
      <w:r>
        <w:rPr/>
        <w:t>日起根据所得税法均适用</w:t>
      </w:r>
      <w:r>
        <w:rPr>
          <w:spacing w:val="-57"/>
        </w:rPr>
        <w:t> </w:t>
      </w:r>
      <w:r>
        <w:rPr>
          <w:rFonts w:ascii="Arial" w:hAnsi="Arial" w:cs="Arial" w:eastAsia="Arial" w:hint="default"/>
        </w:rPr>
        <w:t>25%</w:t>
      </w:r>
      <w:r>
        <w:rPr/>
        <w:t>的企业所得税率。</w:t>
      </w:r>
    </w:p>
    <w:p>
      <w:pPr>
        <w:pStyle w:val="BodyText"/>
        <w:spacing w:line="295" w:lineRule="exact" w:before="141"/>
        <w:ind w:left="541" w:right="0"/>
        <w:jc w:val="both"/>
      </w:pPr>
      <w:r>
        <w:rPr/>
        <w:t>联通兴业是一家设立于北京的高新技术企业，根据所得税法，并于</w:t>
      </w:r>
      <w:r>
        <w:rPr>
          <w:spacing w:val="-46"/>
        </w:rPr>
        <w:t> </w:t>
      </w:r>
      <w:r>
        <w:rPr>
          <w:rFonts w:ascii="Arial" w:hAnsi="Arial" w:cs="Arial" w:eastAsia="Arial" w:hint="default"/>
        </w:rPr>
        <w:t>2008</w:t>
      </w:r>
      <w:r>
        <w:rPr>
          <w:rFonts w:ascii="Arial" w:hAnsi="Arial" w:cs="Arial" w:eastAsia="Arial" w:hint="default"/>
          <w:spacing w:val="3"/>
        </w:rPr>
        <w:t> </w:t>
      </w:r>
      <w:r>
        <w:rPr/>
        <w:t>年</w:t>
      </w:r>
      <w:r>
        <w:rPr>
          <w:spacing w:val="-47"/>
        </w:rPr>
        <w:t> </w:t>
      </w:r>
      <w:r>
        <w:rPr>
          <w:rFonts w:ascii="Arial" w:hAnsi="Arial" w:cs="Arial" w:eastAsia="Arial" w:hint="default"/>
        </w:rPr>
        <w:t>12</w:t>
      </w:r>
      <w:r>
        <w:rPr>
          <w:rFonts w:ascii="Arial" w:hAnsi="Arial" w:cs="Arial" w:eastAsia="Arial" w:hint="default"/>
          <w:spacing w:val="2"/>
        </w:rPr>
        <w:t> </w:t>
      </w:r>
      <w:r>
        <w:rPr/>
        <w:t>月</w:t>
      </w:r>
      <w:r>
        <w:rPr>
          <w:spacing w:val="-46"/>
        </w:rPr>
        <w:t> </w:t>
      </w:r>
      <w:r>
        <w:rPr>
          <w:rFonts w:ascii="Arial" w:hAnsi="Arial" w:cs="Arial" w:eastAsia="Arial" w:hint="default"/>
        </w:rPr>
        <w:t>18</w:t>
      </w:r>
      <w:r>
        <w:rPr>
          <w:rFonts w:ascii="Arial" w:hAnsi="Arial" w:cs="Arial" w:eastAsia="Arial" w:hint="default"/>
          <w:spacing w:val="3"/>
        </w:rPr>
        <w:t> </w:t>
      </w:r>
      <w:r>
        <w:rPr/>
        <w:t>日获得主</w:t>
      </w:r>
    </w:p>
    <w:p>
      <w:pPr>
        <w:pStyle w:val="BodyText"/>
        <w:spacing w:line="284" w:lineRule="exact" w:before="20"/>
        <w:ind w:left="541" w:right="208" w:hanging="1"/>
        <w:jc w:val="both"/>
      </w:pPr>
      <w:r>
        <w:rPr/>
        <w:t>管机关“高新技术企业”认证后（证书编号：</w:t>
      </w:r>
      <w:r>
        <w:rPr>
          <w:rFonts w:ascii="Arial" w:hAnsi="Arial" w:cs="Arial" w:eastAsia="Arial" w:hint="default"/>
        </w:rPr>
        <w:t>GR200811000620</w:t>
      </w:r>
      <w:r>
        <w:rPr/>
        <w:t>），自</w:t>
      </w:r>
      <w:r>
        <w:rPr>
          <w:spacing w:val="-49"/>
        </w:rPr>
        <w:t> </w:t>
      </w:r>
      <w:r>
        <w:rPr>
          <w:rFonts w:ascii="Arial" w:hAnsi="Arial" w:cs="Arial" w:eastAsia="Arial" w:hint="default"/>
        </w:rPr>
        <w:t>2008 </w:t>
      </w:r>
      <w:r>
        <w:rPr/>
        <w:t>年</w:t>
      </w:r>
      <w:r>
        <w:rPr>
          <w:spacing w:val="-50"/>
        </w:rPr>
        <w:t> </w:t>
      </w:r>
      <w:r>
        <w:rPr>
          <w:rFonts w:ascii="Arial" w:hAnsi="Arial" w:cs="Arial" w:eastAsia="Arial" w:hint="default"/>
        </w:rPr>
        <w:t>1 </w:t>
      </w:r>
      <w:r>
        <w:rPr/>
        <w:t>月</w:t>
      </w:r>
      <w:r>
        <w:rPr>
          <w:spacing w:val="-49"/>
        </w:rPr>
        <w:t> </w:t>
      </w:r>
      <w:r>
        <w:rPr>
          <w:rFonts w:ascii="Arial" w:hAnsi="Arial" w:cs="Arial" w:eastAsia="Arial" w:hint="default"/>
        </w:rPr>
        <w:t>1 </w:t>
      </w:r>
      <w:r>
        <w:rPr/>
        <w:t>日起适</w:t>
      </w:r>
      <w:r>
        <w:rPr>
          <w:w w:val="99"/>
        </w:rPr>
        <w:t> </w:t>
      </w:r>
      <w:r>
        <w:rPr/>
        <w:t>用</w:t>
      </w:r>
      <w:r>
        <w:rPr>
          <w:spacing w:val="-57"/>
        </w:rPr>
        <w:t> </w:t>
      </w:r>
      <w:r>
        <w:rPr>
          <w:rFonts w:ascii="Arial" w:hAnsi="Arial" w:cs="Arial" w:eastAsia="Arial" w:hint="default"/>
        </w:rPr>
        <w:t>15%</w:t>
      </w:r>
      <w:r>
        <w:rPr/>
        <w:t>的企业所得税税率。</w:t>
      </w:r>
    </w:p>
    <w:p>
      <w:pPr>
        <w:pStyle w:val="BodyText"/>
        <w:spacing w:line="240" w:lineRule="auto" w:before="131"/>
        <w:ind w:left="121" w:right="97"/>
        <w:jc w:val="left"/>
      </w:pPr>
      <w:r>
        <w:rPr>
          <w:rFonts w:ascii="Arial" w:hAnsi="Arial" w:cs="Arial" w:eastAsia="Arial" w:hint="default"/>
        </w:rPr>
        <w:t>(4) </w:t>
      </w:r>
      <w:r>
        <w:rPr>
          <w:rFonts w:ascii="Arial" w:hAnsi="Arial" w:cs="Arial" w:eastAsia="Arial" w:hint="default"/>
          <w:spacing w:val="27"/>
        </w:rPr>
        <w:t> </w:t>
      </w:r>
      <w:r>
        <w:rPr/>
        <w:t>本集团所属境外子公司所得税</w:t>
      </w:r>
    </w:p>
    <w:p>
      <w:pPr>
        <w:pStyle w:val="BodyText"/>
        <w:spacing w:line="230" w:lineRule="auto" w:before="153"/>
        <w:ind w:left="556" w:right="208" w:hanging="15"/>
        <w:jc w:val="both"/>
      </w:pPr>
      <w:r>
        <w:rPr/>
        <w:t>除联通红筹公司、网通红筹公司及联通 </w:t>
      </w:r>
      <w:r>
        <w:rPr>
          <w:rFonts w:ascii="Arial" w:hAnsi="Arial" w:cs="Arial" w:eastAsia="Arial" w:hint="default"/>
        </w:rPr>
        <w:t>BVI</w:t>
      </w:r>
      <w:r>
        <w:rPr>
          <w:rFonts w:ascii="Arial" w:hAnsi="Arial" w:cs="Arial" w:eastAsia="Arial" w:hint="default"/>
          <w:spacing w:val="-39"/>
        </w:rPr>
        <w:t> </w:t>
      </w:r>
      <w:r>
        <w:rPr/>
        <w:t>公司外的本集团所属境外子公司，如中国联通（香</w:t>
      </w:r>
      <w:r>
        <w:rPr>
          <w:w w:val="99"/>
        </w:rPr>
        <w:t> </w:t>
      </w:r>
      <w:r>
        <w:rPr/>
        <w:t>港）运营有限公司等（请参见附注四），其企业所得税按其在有关期间的应纳税所得额以及各</w:t>
      </w:r>
      <w:r>
        <w:rPr>
          <w:spacing w:val="-101"/>
        </w:rPr>
        <w:t> </w:t>
      </w:r>
      <w:r>
        <w:rPr>
          <w:spacing w:val="-101"/>
        </w:rPr>
      </w:r>
      <w:r>
        <w:rPr/>
        <w:t>公司所在国家或地区的企业所得税率计算，企业所得税率一般在</w:t>
      </w:r>
      <w:r>
        <w:rPr>
          <w:spacing w:val="-57"/>
        </w:rPr>
        <w:t> </w:t>
      </w:r>
      <w:r>
        <w:rPr>
          <w:rFonts w:ascii="Arial" w:hAnsi="Arial" w:cs="Arial" w:eastAsia="Arial" w:hint="default"/>
        </w:rPr>
        <w:t>16.5%</w:t>
      </w:r>
      <w:r>
        <w:rPr/>
        <w:t>至</w:t>
      </w:r>
      <w:r>
        <w:rPr>
          <w:spacing w:val="-58"/>
        </w:rPr>
        <w:t> </w:t>
      </w:r>
      <w:r>
        <w:rPr>
          <w:rFonts w:ascii="Arial" w:hAnsi="Arial" w:cs="Arial" w:eastAsia="Arial" w:hint="default"/>
        </w:rPr>
        <w:t>34.00%</w:t>
      </w:r>
      <w:r>
        <w:rPr/>
        <w:t>之间。</w:t>
      </w:r>
    </w:p>
    <w:p>
      <w:pPr>
        <w:pStyle w:val="BodyText"/>
        <w:spacing w:line="286" w:lineRule="exact" w:before="171"/>
        <w:ind w:left="541" w:right="208" w:hanging="435"/>
        <w:jc w:val="both"/>
      </w:pPr>
      <w:r>
        <w:rPr>
          <w:rFonts w:ascii="Arial" w:hAnsi="Arial" w:cs="Arial" w:eastAsia="Arial" w:hint="default"/>
        </w:rPr>
        <w:t>(5)</w:t>
      </w:r>
      <w:r>
        <w:rPr>
          <w:rFonts w:ascii="Arial" w:hAnsi="Arial" w:cs="Arial" w:eastAsia="Arial" w:hint="default"/>
          <w:spacing w:val="16"/>
        </w:rPr>
        <w:t> </w:t>
      </w:r>
      <w:r>
        <w:rPr/>
        <w:t>根据国务院为所得税法发布的新《中华人民共和国企业所得税法实施条例》（“实施条例”）</w:t>
      </w:r>
      <w:r>
        <w:rPr>
          <w:spacing w:val="-106"/>
        </w:rPr>
        <w:t> </w:t>
      </w:r>
      <w:r>
        <w:rPr>
          <w:spacing w:val="-106"/>
        </w:rPr>
      </w:r>
      <w:r>
        <w:rPr>
          <w:spacing w:val="-1"/>
        </w:rPr>
        <w:t>和由财政部及国家税务总局共同发布的《关于企业所得税若干优惠政策的通知》（财税</w:t>
      </w:r>
      <w:r>
        <w:rPr>
          <w:rFonts w:ascii="Arial" w:hAnsi="Arial" w:cs="Arial" w:eastAsia="Arial" w:hint="default"/>
          <w:spacing w:val="-1"/>
        </w:rPr>
        <w:t>[2008]1</w:t>
      </w:r>
      <w:r>
        <w:rPr>
          <w:rFonts w:ascii="Arial" w:hAnsi="Arial" w:cs="Arial" w:eastAsia="Arial" w:hint="default"/>
          <w:w w:val="99"/>
        </w:rPr>
        <w:t> </w:t>
      </w:r>
      <w:r>
        <w:rPr>
          <w:spacing w:val="-8"/>
        </w:rPr>
        <w:t>号），外商投资企业在</w:t>
      </w:r>
      <w:r>
        <w:rPr>
          <w:spacing w:val="-54"/>
        </w:rPr>
        <w:t> </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w:t>
      </w:r>
      <w:r>
        <w:rPr>
          <w:rFonts w:ascii="Arial" w:hAnsi="Arial" w:cs="Arial" w:eastAsia="Arial" w:hint="default"/>
          <w:spacing w:val="-7"/>
        </w:rPr>
        <w:t> </w:t>
      </w:r>
      <w:r>
        <w:rPr/>
        <w:t>月</w:t>
      </w:r>
      <w:r>
        <w:rPr>
          <w:spacing w:val="-56"/>
        </w:rPr>
        <w:t> </w:t>
      </w:r>
      <w:r>
        <w:rPr>
          <w:rFonts w:ascii="Arial" w:hAnsi="Arial" w:cs="Arial" w:eastAsia="Arial" w:hint="default"/>
        </w:rPr>
        <w:t>1</w:t>
      </w:r>
      <w:r>
        <w:rPr>
          <w:rFonts w:ascii="Arial" w:hAnsi="Arial" w:cs="Arial" w:eastAsia="Arial" w:hint="default"/>
          <w:spacing w:val="-7"/>
        </w:rPr>
        <w:t> </w:t>
      </w:r>
      <w:r>
        <w:rPr/>
        <w:t>日后向其成立于香港的外国投资者分派</w:t>
      </w:r>
      <w:r>
        <w:rPr>
          <w:spacing w:val="-56"/>
        </w:rPr>
        <w:t> </w:t>
      </w:r>
      <w:r>
        <w:rPr>
          <w:rFonts w:ascii="Arial" w:hAnsi="Arial" w:cs="Arial" w:eastAsia="Arial" w:hint="default"/>
        </w:rPr>
        <w:t>2008</w:t>
      </w:r>
      <w:r>
        <w:rPr>
          <w:rFonts w:ascii="Arial" w:hAnsi="Arial" w:cs="Arial" w:eastAsia="Arial" w:hint="default"/>
          <w:spacing w:val="-7"/>
        </w:rPr>
        <w:t> </w:t>
      </w:r>
      <w:r>
        <w:rPr/>
        <w:t>年以前年度</w:t>
      </w:r>
    </w:p>
    <w:p>
      <w:pPr>
        <w:pStyle w:val="BodyText"/>
        <w:spacing w:line="265" w:lineRule="exact"/>
        <w:ind w:left="542" w:right="0"/>
        <w:jc w:val="both"/>
      </w:pPr>
      <w:r>
        <w:rPr/>
        <w:t>的未分配利润免征企业所得税，而分配 </w:t>
      </w:r>
      <w:r>
        <w:rPr>
          <w:rFonts w:ascii="Arial" w:hAnsi="Arial" w:cs="Arial" w:eastAsia="Arial" w:hint="default"/>
        </w:rPr>
        <w:t>2008</w:t>
      </w:r>
      <w:r>
        <w:rPr>
          <w:rFonts w:ascii="Arial" w:hAnsi="Arial" w:cs="Arial" w:eastAsia="Arial" w:hint="default"/>
          <w:spacing w:val="46"/>
        </w:rPr>
        <w:t> </w:t>
      </w:r>
      <w:r>
        <w:rPr/>
        <w:t>年及以后年度新增利润所对应的股息时则需缴纳</w:t>
      </w:r>
    </w:p>
    <w:p>
      <w:pPr>
        <w:pStyle w:val="BodyText"/>
        <w:spacing w:line="228" w:lineRule="auto" w:before="4"/>
        <w:ind w:left="541" w:right="97"/>
        <w:jc w:val="left"/>
      </w:pPr>
      <w:r>
        <w:rPr>
          <w:rFonts w:ascii="Arial" w:hAnsi="Arial" w:cs="Arial" w:eastAsia="Arial" w:hint="default"/>
        </w:rPr>
        <w:t>10%</w:t>
      </w:r>
      <w:r>
        <w:rPr/>
        <w:t>的预提所得税，除非该投资者被视为中国居民企业。根据国家税务总局</w:t>
      </w:r>
      <w:r>
        <w:rPr>
          <w:spacing w:val="-59"/>
        </w:rPr>
        <w:t> </w:t>
      </w:r>
      <w:r>
        <w:rPr>
          <w:rFonts w:ascii="Arial" w:hAnsi="Arial" w:cs="Arial" w:eastAsia="Arial" w:hint="default"/>
        </w:rPr>
        <w:t>2009</w:t>
      </w:r>
      <w:r>
        <w:rPr>
          <w:rFonts w:ascii="Arial" w:hAnsi="Arial" w:cs="Arial" w:eastAsia="Arial" w:hint="default"/>
          <w:spacing w:val="-11"/>
        </w:rPr>
        <w:t> </w:t>
      </w:r>
      <w:r>
        <w:rPr/>
        <w:t>年</w:t>
      </w:r>
      <w:r>
        <w:rPr>
          <w:spacing w:val="-60"/>
        </w:rPr>
        <w:t> </w:t>
      </w:r>
      <w:r>
        <w:rPr>
          <w:rFonts w:ascii="Arial" w:hAnsi="Arial" w:cs="Arial" w:eastAsia="Arial" w:hint="default"/>
        </w:rPr>
        <w:t>4</w:t>
      </w:r>
      <w:r>
        <w:rPr>
          <w:rFonts w:ascii="Arial" w:hAnsi="Arial" w:cs="Arial" w:eastAsia="Arial" w:hint="default"/>
          <w:spacing w:val="-11"/>
        </w:rPr>
        <w:t> </w:t>
      </w:r>
      <w:r>
        <w:rPr/>
        <w:t>月</w:t>
      </w:r>
      <w:r>
        <w:rPr>
          <w:spacing w:val="-60"/>
        </w:rPr>
        <w:t> </w:t>
      </w:r>
      <w:r>
        <w:rPr>
          <w:rFonts w:ascii="Arial" w:hAnsi="Arial" w:cs="Arial" w:eastAsia="Arial" w:hint="default"/>
        </w:rPr>
        <w:t>22</w:t>
      </w:r>
      <w:r>
        <w:rPr>
          <w:rFonts w:ascii="Arial" w:hAnsi="Arial" w:cs="Arial" w:eastAsia="Arial" w:hint="default"/>
          <w:spacing w:val="-12"/>
        </w:rPr>
        <w:t> </w:t>
      </w:r>
      <w:r>
        <w:rPr/>
        <w:t>日</w:t>
      </w:r>
      <w:r>
        <w:rPr>
          <w:w w:val="99"/>
        </w:rPr>
        <w:t> </w:t>
      </w:r>
      <w:r>
        <w:rPr>
          <w:spacing w:val="-2"/>
        </w:rPr>
        <w:t>发布的《关于境外注册中资控股企业依据实际管理机构标准认定为居民企业有关问题的通知》，</w:t>
      </w:r>
      <w:r>
        <w:rPr>
          <w:spacing w:val="-89"/>
        </w:rPr>
        <w:t> </w:t>
      </w:r>
      <w:r>
        <w:rPr>
          <w:spacing w:val="-89"/>
        </w:rPr>
      </w:r>
      <w:r>
        <w:rPr/>
        <w:t>本集团经评估，认为联通红筹公司、网通红筹公司及联通 </w:t>
      </w:r>
      <w:r>
        <w:rPr>
          <w:rFonts w:ascii="Arial" w:hAnsi="Arial" w:cs="Arial" w:eastAsia="Arial" w:hint="default"/>
        </w:rPr>
        <w:t>BVI</w:t>
      </w:r>
      <w:r>
        <w:rPr>
          <w:rFonts w:ascii="Arial" w:hAnsi="Arial" w:cs="Arial" w:eastAsia="Arial" w:hint="default"/>
          <w:spacing w:val="-36"/>
        </w:rPr>
        <w:t> </w:t>
      </w:r>
      <w:r>
        <w:rPr/>
        <w:t>公司符合中国居民企业的定义，</w:t>
      </w:r>
      <w:r>
        <w:rPr>
          <w:w w:val="99"/>
        </w:rPr>
        <w:t> </w:t>
      </w:r>
      <w:r>
        <w:rPr>
          <w:spacing w:val="-12"/>
        </w:rPr>
        <w:t>因此，于</w:t>
      </w:r>
      <w:r>
        <w:rPr>
          <w:spacing w:val="-55"/>
        </w:rPr>
        <w:t> </w:t>
      </w:r>
      <w:r>
        <w:rPr>
          <w:rFonts w:ascii="Arial" w:hAnsi="Arial" w:cs="Arial" w:eastAsia="Arial" w:hint="default"/>
        </w:rPr>
        <w:t>2009</w:t>
      </w:r>
      <w:r>
        <w:rPr>
          <w:rFonts w:ascii="Arial" w:hAnsi="Arial" w:cs="Arial" w:eastAsia="Arial" w:hint="default"/>
          <w:spacing w:val="-6"/>
        </w:rPr>
        <w:t> </w:t>
      </w:r>
      <w:r>
        <w:rPr/>
        <w:t>年</w:t>
      </w:r>
      <w:r>
        <w:rPr>
          <w:spacing w:val="-55"/>
        </w:rPr>
        <w:t> </w:t>
      </w:r>
      <w:r>
        <w:rPr>
          <w:rFonts w:ascii="Arial" w:hAnsi="Arial" w:cs="Arial" w:eastAsia="Arial" w:hint="default"/>
        </w:rPr>
        <w:t>12</w:t>
      </w:r>
      <w:r>
        <w:rPr>
          <w:rFonts w:ascii="Arial" w:hAnsi="Arial" w:cs="Arial" w:eastAsia="Arial" w:hint="default"/>
          <w:spacing w:val="-6"/>
        </w:rPr>
        <w:t> </w:t>
      </w:r>
      <w:r>
        <w:rPr/>
        <w:t>月</w:t>
      </w:r>
      <w:r>
        <w:rPr>
          <w:spacing w:val="-55"/>
        </w:rPr>
        <w:t> </w:t>
      </w:r>
      <w:r>
        <w:rPr>
          <w:rFonts w:ascii="Arial" w:hAnsi="Arial" w:cs="Arial" w:eastAsia="Arial" w:hint="default"/>
        </w:rPr>
        <w:t>31</w:t>
      </w:r>
      <w:r>
        <w:rPr>
          <w:rFonts w:ascii="Arial" w:hAnsi="Arial" w:cs="Arial" w:eastAsia="Arial" w:hint="default"/>
          <w:spacing w:val="-6"/>
        </w:rPr>
        <w:t> </w:t>
      </w:r>
      <w:r>
        <w:rPr/>
        <w:t>日和</w:t>
      </w:r>
      <w:r>
        <w:rPr>
          <w:spacing w:val="-55"/>
        </w:rPr>
        <w:t> </w:t>
      </w:r>
      <w:r>
        <w:rPr>
          <w:rFonts w:ascii="Arial" w:hAnsi="Arial" w:cs="Arial" w:eastAsia="Arial" w:hint="default"/>
        </w:rPr>
        <w:t>2008</w:t>
      </w:r>
      <w:r>
        <w:rPr>
          <w:rFonts w:ascii="Arial" w:hAnsi="Arial" w:cs="Arial" w:eastAsia="Arial" w:hint="default"/>
          <w:spacing w:val="-6"/>
        </w:rPr>
        <w:t> </w:t>
      </w:r>
      <w:r>
        <w:rPr/>
        <w:t>年</w:t>
      </w:r>
      <w:r>
        <w:rPr>
          <w:spacing w:val="-55"/>
        </w:rPr>
        <w:t> </w:t>
      </w:r>
      <w:r>
        <w:rPr>
          <w:rFonts w:ascii="Arial" w:hAnsi="Arial" w:cs="Arial" w:eastAsia="Arial" w:hint="default"/>
        </w:rPr>
        <w:t>12</w:t>
      </w:r>
      <w:r>
        <w:rPr>
          <w:rFonts w:ascii="Arial" w:hAnsi="Arial" w:cs="Arial" w:eastAsia="Arial" w:hint="default"/>
          <w:spacing w:val="-6"/>
        </w:rPr>
        <w:t> </w:t>
      </w:r>
      <w:r>
        <w:rPr/>
        <w:t>月</w:t>
      </w:r>
      <w:r>
        <w:rPr>
          <w:spacing w:val="-55"/>
        </w:rPr>
        <w:t> </w:t>
      </w:r>
      <w:r>
        <w:rPr>
          <w:rFonts w:ascii="Arial" w:hAnsi="Arial" w:cs="Arial" w:eastAsia="Arial" w:hint="default"/>
        </w:rPr>
        <w:t>31</w:t>
      </w:r>
      <w:r>
        <w:rPr>
          <w:rFonts w:ascii="Arial" w:hAnsi="Arial" w:cs="Arial" w:eastAsia="Arial" w:hint="default"/>
          <w:spacing w:val="-6"/>
        </w:rPr>
        <w:t> </w:t>
      </w:r>
      <w:r>
        <w:rPr>
          <w:spacing w:val="-4"/>
        </w:rPr>
        <w:t>日，本集团未对境内各子公司</w:t>
      </w:r>
      <w:r>
        <w:rPr>
          <w:spacing w:val="-55"/>
        </w:rPr>
        <w:t> </w:t>
      </w:r>
      <w:r>
        <w:rPr>
          <w:rFonts w:ascii="Arial" w:hAnsi="Arial" w:cs="Arial" w:eastAsia="Arial" w:hint="default"/>
        </w:rPr>
        <w:t>2008</w:t>
      </w:r>
      <w:r>
        <w:rPr>
          <w:rFonts w:ascii="Arial" w:hAnsi="Arial" w:cs="Arial" w:eastAsia="Arial" w:hint="default"/>
          <w:spacing w:val="-6"/>
        </w:rPr>
        <w:t> </w:t>
      </w:r>
      <w:r>
        <w:rPr/>
        <w:t>年度以后</w:t>
      </w:r>
      <w:r>
        <w:rPr>
          <w:w w:val="99"/>
        </w:rPr>
        <w:t> </w:t>
      </w:r>
      <w:r>
        <w:rPr/>
        <w:t>产生的未分配利润计提递延所得税负债。</w:t>
      </w:r>
    </w:p>
    <w:p>
      <w:pPr>
        <w:spacing w:after="0" w:line="228" w:lineRule="auto"/>
        <w:jc w:val="left"/>
        <w:sectPr>
          <w:headerReference w:type="default" r:id="rId64"/>
          <w:pgSz w:w="11910" w:h="16840"/>
          <w:pgMar w:header="1189" w:footer="600" w:top="3660" w:bottom="780" w:left="1260" w:right="820"/>
        </w:sectPr>
      </w:pPr>
    </w:p>
    <w:p>
      <w:pPr>
        <w:spacing w:line="240" w:lineRule="auto" w:before="3"/>
        <w:rPr>
          <w:rFonts w:ascii="宋体" w:hAnsi="宋体" w:cs="宋体" w:eastAsia="宋体" w:hint="default"/>
          <w:sz w:val="17"/>
          <w:szCs w:val="17"/>
        </w:rPr>
      </w:pPr>
    </w:p>
    <w:tbl>
      <w:tblPr>
        <w:tblW w:w="0" w:type="auto"/>
        <w:jc w:val="left"/>
        <w:tblInd w:w="111" w:type="dxa"/>
        <w:tblLayout w:type="fixed"/>
        <w:tblCellMar>
          <w:top w:w="0" w:type="dxa"/>
          <w:left w:w="0" w:type="dxa"/>
          <w:bottom w:w="0" w:type="dxa"/>
          <w:right w:w="0" w:type="dxa"/>
        </w:tblCellMar>
        <w:tblLook w:val="01E0"/>
      </w:tblPr>
      <w:tblGrid>
        <w:gridCol w:w="4491"/>
        <w:gridCol w:w="675"/>
        <w:gridCol w:w="1130"/>
        <w:gridCol w:w="854"/>
        <w:gridCol w:w="822"/>
        <w:gridCol w:w="663"/>
        <w:gridCol w:w="1112"/>
        <w:gridCol w:w="1216"/>
        <w:gridCol w:w="1028"/>
        <w:gridCol w:w="540"/>
        <w:gridCol w:w="599"/>
        <w:gridCol w:w="516"/>
        <w:gridCol w:w="877"/>
        <w:gridCol w:w="552"/>
        <w:gridCol w:w="474"/>
      </w:tblGrid>
      <w:tr>
        <w:trPr>
          <w:trHeight w:val="1023" w:hRule="exact"/>
        </w:trPr>
        <w:tc>
          <w:tcPr>
            <w:tcW w:w="449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49" w:right="0"/>
              <w:jc w:val="left"/>
              <w:rPr>
                <w:rFonts w:ascii="黑体" w:hAnsi="黑体" w:cs="黑体" w:eastAsia="黑体" w:hint="default"/>
                <w:sz w:val="22"/>
                <w:szCs w:val="22"/>
              </w:rPr>
            </w:pPr>
            <w:r>
              <w:rPr>
                <w:rFonts w:ascii="黑体" w:hAnsi="黑体" w:cs="黑体" w:eastAsia="黑体" w:hint="default"/>
                <w:sz w:val="22"/>
                <w:szCs w:val="22"/>
              </w:rPr>
              <w:t>四、企业合并及合并财务报表</w:t>
            </w:r>
          </w:p>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62" w:right="0"/>
              <w:jc w:val="left"/>
              <w:rPr>
                <w:rFonts w:ascii="宋体" w:hAnsi="宋体" w:cs="宋体" w:eastAsia="宋体" w:hint="default"/>
                <w:sz w:val="22"/>
                <w:szCs w:val="22"/>
              </w:rPr>
            </w:pPr>
            <w:r>
              <w:rPr>
                <w:rFonts w:ascii="Arial" w:hAnsi="Arial" w:cs="Arial" w:eastAsia="Arial" w:hint="default"/>
                <w:sz w:val="22"/>
                <w:szCs w:val="22"/>
              </w:rPr>
              <w:t>1</w:t>
            </w:r>
            <w:r>
              <w:rPr>
                <w:rFonts w:ascii="宋体" w:hAnsi="宋体" w:cs="宋体" w:eastAsia="宋体" w:hint="default"/>
                <w:sz w:val="22"/>
                <w:szCs w:val="22"/>
              </w:rPr>
              <w:t>、</w:t>
            </w:r>
            <w:r>
              <w:rPr>
                <w:rFonts w:ascii="宋体" w:hAnsi="宋体" w:cs="宋体" w:eastAsia="宋体" w:hint="default"/>
                <w:spacing w:val="-62"/>
                <w:sz w:val="22"/>
                <w:szCs w:val="22"/>
              </w:rPr>
              <w:t> </w:t>
            </w:r>
            <w:r>
              <w:rPr>
                <w:rFonts w:ascii="宋体" w:hAnsi="宋体" w:cs="宋体" w:eastAsia="宋体" w:hint="default"/>
                <w:sz w:val="22"/>
                <w:szCs w:val="22"/>
              </w:rPr>
              <w:t>重要子公司情况</w:t>
            </w:r>
          </w:p>
        </w:tc>
        <w:tc>
          <w:tcPr>
            <w:tcW w:w="11059" w:type="dxa"/>
            <w:gridSpan w:val="14"/>
            <w:vMerge w:val="restart"/>
            <w:tcBorders>
              <w:top w:val="nil" w:sz="6" w:space="0" w:color="auto"/>
              <w:left w:val="nil" w:sz="6" w:space="0" w:color="auto"/>
              <w:right w:val="nil" w:sz="6" w:space="0" w:color="auto"/>
            </w:tcBorders>
          </w:tcPr>
          <w:p>
            <w:pPr/>
          </w:p>
        </w:tc>
      </w:tr>
      <w:tr>
        <w:trPr>
          <w:trHeight w:val="522" w:hRule="exact"/>
        </w:trPr>
        <w:tc>
          <w:tcPr>
            <w:tcW w:w="4491"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2"/>
                <w:szCs w:val="22"/>
              </w:rPr>
            </w:pPr>
            <w:r>
              <w:rPr>
                <w:rFonts w:ascii="Arial" w:hAnsi="Arial" w:cs="Arial" w:eastAsia="Arial" w:hint="default"/>
                <w:sz w:val="22"/>
                <w:szCs w:val="22"/>
              </w:rPr>
              <w:t>(a) </w:t>
            </w:r>
            <w:r>
              <w:rPr>
                <w:rFonts w:ascii="Arial" w:hAnsi="Arial" w:cs="Arial" w:eastAsia="Arial" w:hint="default"/>
                <w:spacing w:val="28"/>
                <w:sz w:val="22"/>
                <w:szCs w:val="22"/>
              </w:rPr>
              <w:t> </w:t>
            </w:r>
            <w:r>
              <w:rPr>
                <w:rFonts w:ascii="宋体" w:hAnsi="宋体" w:cs="宋体" w:eastAsia="宋体" w:hint="default"/>
                <w:sz w:val="22"/>
                <w:szCs w:val="22"/>
              </w:rPr>
              <w:t>通过设立或投资等方式取得的子公司</w:t>
            </w:r>
          </w:p>
        </w:tc>
        <w:tc>
          <w:tcPr>
            <w:tcW w:w="11059" w:type="dxa"/>
            <w:gridSpan w:val="14"/>
            <w:vMerge/>
            <w:tcBorders>
              <w:left w:val="nil" w:sz="6" w:space="0" w:color="auto"/>
              <w:bottom w:val="nil" w:sz="6" w:space="0" w:color="auto"/>
              <w:right w:val="nil" w:sz="6" w:space="0" w:color="auto"/>
            </w:tcBorders>
          </w:tcPr>
          <w:p>
            <w:pPr/>
          </w:p>
        </w:tc>
      </w:tr>
      <w:tr>
        <w:trPr>
          <w:trHeight w:val="517" w:hRule="exact"/>
        </w:trPr>
        <w:tc>
          <w:tcPr>
            <w:tcW w:w="4491" w:type="dxa"/>
            <w:tcBorders>
              <w:top w:val="nil" w:sz="6" w:space="0" w:color="auto"/>
              <w:left w:val="nil" w:sz="6" w:space="0" w:color="auto"/>
              <w:bottom w:val="nil" w:sz="6" w:space="0" w:color="auto"/>
              <w:right w:val="nil" w:sz="6" w:space="0" w:color="auto"/>
            </w:tcBorders>
          </w:tcPr>
          <w:p>
            <w:pPr/>
          </w:p>
        </w:tc>
        <w:tc>
          <w:tcPr>
            <w:tcW w:w="675" w:type="dxa"/>
            <w:tcBorders>
              <w:top w:val="nil" w:sz="6" w:space="0" w:color="auto"/>
              <w:left w:val="nil" w:sz="6" w:space="0" w:color="auto"/>
              <w:bottom w:val="nil" w:sz="6" w:space="0" w:color="auto"/>
              <w:right w:val="nil" w:sz="6" w:space="0" w:color="auto"/>
            </w:tcBorders>
          </w:tcPr>
          <w:p>
            <w:pPr/>
          </w:p>
        </w:tc>
        <w:tc>
          <w:tcPr>
            <w:tcW w:w="1130"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822" w:type="dxa"/>
            <w:tcBorders>
              <w:top w:val="nil" w:sz="6" w:space="0" w:color="auto"/>
              <w:left w:val="nil" w:sz="6" w:space="0" w:color="auto"/>
              <w:bottom w:val="nil" w:sz="6" w:space="0" w:color="auto"/>
              <w:right w:val="nil" w:sz="6" w:space="0" w:color="auto"/>
            </w:tcBorders>
          </w:tcPr>
          <w:p>
            <w:pPr/>
          </w:p>
        </w:tc>
        <w:tc>
          <w:tcPr>
            <w:tcW w:w="663" w:type="dxa"/>
            <w:tcBorders>
              <w:top w:val="nil" w:sz="6" w:space="0" w:color="auto"/>
              <w:left w:val="nil" w:sz="6" w:space="0" w:color="auto"/>
              <w:bottom w:val="nil" w:sz="6" w:space="0" w:color="auto"/>
              <w:right w:val="nil" w:sz="6" w:space="0" w:color="auto"/>
            </w:tcBorders>
          </w:tcPr>
          <w:p>
            <w:pPr/>
          </w:p>
        </w:tc>
        <w:tc>
          <w:tcPr>
            <w:tcW w:w="1112"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left="41" w:right="0"/>
              <w:jc w:val="center"/>
              <w:rPr>
                <w:rFonts w:ascii="宋体" w:hAnsi="宋体" w:cs="宋体" w:eastAsia="宋体" w:hint="default"/>
                <w:sz w:val="16"/>
                <w:szCs w:val="16"/>
              </w:rPr>
            </w:pPr>
            <w:r>
              <w:rPr>
                <w:rFonts w:ascii="宋体" w:hAnsi="宋体" w:cs="宋体" w:eastAsia="宋体" w:hint="default"/>
                <w:sz w:val="16"/>
                <w:szCs w:val="16"/>
              </w:rPr>
              <w:t>实质上构成</w:t>
            </w:r>
          </w:p>
        </w:tc>
        <w:tc>
          <w:tcPr>
            <w:tcW w:w="540"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
        </w:tc>
        <w:tc>
          <w:tcPr>
            <w:tcW w:w="516"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12" w:right="118"/>
              <w:jc w:val="left"/>
              <w:rPr>
                <w:rFonts w:ascii="宋体" w:hAnsi="宋体" w:cs="宋体" w:eastAsia="宋体" w:hint="default"/>
                <w:sz w:val="16"/>
                <w:szCs w:val="16"/>
              </w:rPr>
            </w:pPr>
            <w:r>
              <w:rPr>
                <w:rFonts w:ascii="宋体" w:hAnsi="宋体" w:cs="宋体" w:eastAsia="宋体" w:hint="default"/>
                <w:sz w:val="16"/>
                <w:szCs w:val="16"/>
              </w:rPr>
              <w:t>少数</w:t>
            </w:r>
            <w:r>
              <w:rPr>
                <w:rFonts w:ascii="宋体" w:hAnsi="宋体" w:cs="宋体" w:eastAsia="宋体" w:hint="default"/>
                <w:w w:val="99"/>
                <w:sz w:val="16"/>
                <w:szCs w:val="16"/>
              </w:rPr>
              <w:t> </w:t>
            </w:r>
            <w:r>
              <w:rPr>
                <w:rFonts w:ascii="宋体" w:hAnsi="宋体" w:cs="宋体" w:eastAsia="宋体" w:hint="default"/>
                <w:sz w:val="16"/>
                <w:szCs w:val="16"/>
              </w:rPr>
              <w:t>股东</w:t>
            </w:r>
          </w:p>
        </w:tc>
        <w:tc>
          <w:tcPr>
            <w:tcW w:w="474" w:type="dxa"/>
            <w:tcBorders>
              <w:top w:val="nil" w:sz="6" w:space="0" w:color="auto"/>
              <w:left w:val="nil" w:sz="6" w:space="0" w:color="auto"/>
              <w:bottom w:val="nil" w:sz="6" w:space="0" w:color="auto"/>
              <w:right w:val="nil" w:sz="6" w:space="0" w:color="auto"/>
            </w:tcBorders>
          </w:tcPr>
          <w:p>
            <w:pPr>
              <w:pStyle w:val="TableParagraph"/>
              <w:spacing w:line="240" w:lineRule="auto" w:before="88"/>
              <w:ind w:left="120" w:right="33"/>
              <w:jc w:val="left"/>
              <w:rPr>
                <w:rFonts w:ascii="宋体" w:hAnsi="宋体" w:cs="宋体" w:eastAsia="宋体" w:hint="default"/>
                <w:sz w:val="16"/>
                <w:szCs w:val="16"/>
              </w:rPr>
            </w:pPr>
            <w:r>
              <w:rPr>
                <w:rFonts w:ascii="宋体" w:hAnsi="宋体" w:cs="宋体" w:eastAsia="宋体" w:hint="default"/>
                <w:sz w:val="16"/>
                <w:szCs w:val="16"/>
              </w:rPr>
              <w:t>少数</w:t>
            </w:r>
            <w:r>
              <w:rPr>
                <w:rFonts w:ascii="宋体" w:hAnsi="宋体" w:cs="宋体" w:eastAsia="宋体" w:hint="default"/>
                <w:w w:val="99"/>
                <w:sz w:val="16"/>
                <w:szCs w:val="16"/>
              </w:rPr>
              <w:t> </w:t>
            </w:r>
            <w:r>
              <w:rPr>
                <w:rFonts w:ascii="宋体" w:hAnsi="宋体" w:cs="宋体" w:eastAsia="宋体" w:hint="default"/>
                <w:sz w:val="16"/>
                <w:szCs w:val="16"/>
              </w:rPr>
              <w:t>股东</w:t>
            </w:r>
          </w:p>
        </w:tc>
      </w:tr>
      <w:tr>
        <w:trPr>
          <w:trHeight w:val="208" w:hRule="exact"/>
        </w:trPr>
        <w:tc>
          <w:tcPr>
            <w:tcW w:w="4491" w:type="dxa"/>
            <w:tcBorders>
              <w:top w:val="nil" w:sz="6" w:space="0" w:color="auto"/>
              <w:left w:val="nil" w:sz="6" w:space="0" w:color="auto"/>
              <w:bottom w:val="nil" w:sz="6" w:space="0" w:color="auto"/>
              <w:right w:val="nil" w:sz="6" w:space="0" w:color="auto"/>
            </w:tcBorders>
          </w:tcPr>
          <w:p>
            <w:pPr/>
          </w:p>
        </w:tc>
        <w:tc>
          <w:tcPr>
            <w:tcW w:w="675" w:type="dxa"/>
            <w:tcBorders>
              <w:top w:val="nil" w:sz="6" w:space="0" w:color="auto"/>
              <w:left w:val="nil" w:sz="6" w:space="0" w:color="auto"/>
              <w:bottom w:val="nil" w:sz="6" w:space="0" w:color="auto"/>
              <w:right w:val="nil" w:sz="6" w:space="0" w:color="auto"/>
            </w:tcBorders>
          </w:tcPr>
          <w:p>
            <w:pPr/>
          </w:p>
        </w:tc>
        <w:tc>
          <w:tcPr>
            <w:tcW w:w="1130"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822" w:type="dxa"/>
            <w:tcBorders>
              <w:top w:val="nil" w:sz="6" w:space="0" w:color="auto"/>
              <w:left w:val="nil" w:sz="6" w:space="0" w:color="auto"/>
              <w:bottom w:val="nil" w:sz="6" w:space="0" w:color="auto"/>
              <w:right w:val="nil" w:sz="6" w:space="0" w:color="auto"/>
            </w:tcBorders>
          </w:tcPr>
          <w:p>
            <w:pPr/>
          </w:p>
        </w:tc>
        <w:tc>
          <w:tcPr>
            <w:tcW w:w="663" w:type="dxa"/>
            <w:tcBorders>
              <w:top w:val="nil" w:sz="6" w:space="0" w:color="auto"/>
              <w:left w:val="nil" w:sz="6" w:space="0" w:color="auto"/>
              <w:bottom w:val="nil" w:sz="6" w:space="0" w:color="auto"/>
              <w:right w:val="nil" w:sz="6" w:space="0" w:color="auto"/>
            </w:tcBorders>
          </w:tcPr>
          <w:p>
            <w:pPr/>
          </w:p>
        </w:tc>
        <w:tc>
          <w:tcPr>
            <w:tcW w:w="1112"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Style w:val="TableParagraph"/>
              <w:spacing w:line="171" w:lineRule="exact"/>
              <w:ind w:left="229" w:right="0"/>
              <w:jc w:val="left"/>
              <w:rPr>
                <w:rFonts w:ascii="宋体" w:hAnsi="宋体" w:cs="宋体" w:eastAsia="宋体" w:hint="default"/>
                <w:sz w:val="16"/>
                <w:szCs w:val="16"/>
              </w:rPr>
            </w:pPr>
            <w:r>
              <w:rPr>
                <w:rFonts w:ascii="宋体" w:hAnsi="宋体" w:cs="宋体" w:eastAsia="宋体" w:hint="default"/>
                <w:sz w:val="16"/>
                <w:szCs w:val="16"/>
              </w:rPr>
              <w:t>年末实际</w:t>
            </w:r>
          </w:p>
        </w:tc>
        <w:tc>
          <w:tcPr>
            <w:tcW w:w="1028" w:type="dxa"/>
            <w:tcBorders>
              <w:top w:val="nil" w:sz="6" w:space="0" w:color="auto"/>
              <w:left w:val="nil" w:sz="6" w:space="0" w:color="auto"/>
              <w:bottom w:val="nil" w:sz="6" w:space="0" w:color="auto"/>
              <w:right w:val="nil" w:sz="6" w:space="0" w:color="auto"/>
            </w:tcBorders>
          </w:tcPr>
          <w:p>
            <w:pPr>
              <w:pStyle w:val="TableParagraph"/>
              <w:spacing w:line="172" w:lineRule="exact"/>
              <w:ind w:left="41" w:right="0"/>
              <w:jc w:val="center"/>
              <w:rPr>
                <w:rFonts w:ascii="宋体" w:hAnsi="宋体" w:cs="宋体" w:eastAsia="宋体" w:hint="default"/>
                <w:sz w:val="16"/>
                <w:szCs w:val="16"/>
              </w:rPr>
            </w:pPr>
            <w:r>
              <w:rPr>
                <w:rFonts w:ascii="宋体" w:hAnsi="宋体" w:cs="宋体" w:eastAsia="宋体" w:hint="default"/>
                <w:sz w:val="16"/>
                <w:szCs w:val="16"/>
              </w:rPr>
              <w:t>对子公司净</w:t>
            </w:r>
          </w:p>
        </w:tc>
        <w:tc>
          <w:tcPr>
            <w:tcW w:w="540" w:type="dxa"/>
            <w:tcBorders>
              <w:top w:val="nil" w:sz="6" w:space="0" w:color="auto"/>
              <w:left w:val="nil" w:sz="6" w:space="0" w:color="auto"/>
              <w:bottom w:val="nil" w:sz="6" w:space="0" w:color="auto"/>
              <w:right w:val="nil" w:sz="6" w:space="0" w:color="auto"/>
            </w:tcBorders>
          </w:tcPr>
          <w:p>
            <w:pPr>
              <w:pStyle w:val="TableParagraph"/>
              <w:spacing w:line="195" w:lineRule="exact"/>
              <w:ind w:left="24" w:right="0"/>
              <w:jc w:val="center"/>
              <w:rPr>
                <w:rFonts w:ascii="宋体" w:hAnsi="宋体" w:cs="宋体" w:eastAsia="宋体" w:hint="default"/>
                <w:sz w:val="16"/>
                <w:szCs w:val="16"/>
              </w:rPr>
            </w:pPr>
            <w:r>
              <w:rPr>
                <w:rFonts w:ascii="宋体" w:hAnsi="宋体" w:cs="宋体" w:eastAsia="宋体" w:hint="default"/>
                <w:sz w:val="16"/>
                <w:szCs w:val="16"/>
              </w:rPr>
              <w:t>持股</w:t>
            </w:r>
          </w:p>
        </w:tc>
        <w:tc>
          <w:tcPr>
            <w:tcW w:w="599" w:type="dxa"/>
            <w:tcBorders>
              <w:top w:val="nil" w:sz="6" w:space="0" w:color="auto"/>
              <w:left w:val="nil" w:sz="6" w:space="0" w:color="auto"/>
              <w:bottom w:val="nil" w:sz="6" w:space="0" w:color="auto"/>
              <w:right w:val="nil" w:sz="6" w:space="0" w:color="auto"/>
            </w:tcBorders>
          </w:tcPr>
          <w:p>
            <w:pPr>
              <w:pStyle w:val="TableParagraph"/>
              <w:spacing w:line="196" w:lineRule="exact"/>
              <w:ind w:right="26"/>
              <w:jc w:val="center"/>
              <w:rPr>
                <w:rFonts w:ascii="宋体" w:hAnsi="宋体" w:cs="宋体" w:eastAsia="宋体" w:hint="default"/>
                <w:sz w:val="16"/>
                <w:szCs w:val="16"/>
              </w:rPr>
            </w:pPr>
            <w:r>
              <w:rPr>
                <w:rFonts w:ascii="宋体" w:hAnsi="宋体" w:cs="宋体" w:eastAsia="宋体" w:hint="default"/>
                <w:sz w:val="16"/>
                <w:szCs w:val="16"/>
              </w:rPr>
              <w:t>表决权</w:t>
            </w:r>
          </w:p>
        </w:tc>
        <w:tc>
          <w:tcPr>
            <w:tcW w:w="516" w:type="dxa"/>
            <w:tcBorders>
              <w:top w:val="nil" w:sz="6" w:space="0" w:color="auto"/>
              <w:left w:val="nil" w:sz="6" w:space="0" w:color="auto"/>
              <w:bottom w:val="nil" w:sz="6" w:space="0" w:color="auto"/>
              <w:right w:val="nil" w:sz="6" w:space="0" w:color="auto"/>
            </w:tcBorders>
          </w:tcPr>
          <w:p>
            <w:pPr>
              <w:pStyle w:val="TableParagraph"/>
              <w:spacing w:line="172" w:lineRule="exact"/>
              <w:ind w:right="52"/>
              <w:jc w:val="center"/>
              <w:rPr>
                <w:rFonts w:ascii="宋体" w:hAnsi="宋体" w:cs="宋体" w:eastAsia="宋体" w:hint="default"/>
                <w:sz w:val="16"/>
                <w:szCs w:val="16"/>
              </w:rPr>
            </w:pPr>
            <w:r>
              <w:rPr>
                <w:rFonts w:ascii="宋体" w:hAnsi="宋体" w:cs="宋体" w:eastAsia="宋体" w:hint="default"/>
                <w:sz w:val="16"/>
                <w:szCs w:val="16"/>
              </w:rPr>
              <w:t>是否</w:t>
            </w:r>
          </w:p>
        </w:tc>
        <w:tc>
          <w:tcPr>
            <w:tcW w:w="877" w:type="dxa"/>
            <w:tcBorders>
              <w:top w:val="nil" w:sz="6" w:space="0" w:color="auto"/>
              <w:left w:val="nil" w:sz="6" w:space="0" w:color="auto"/>
              <w:bottom w:val="nil" w:sz="6" w:space="0" w:color="auto"/>
              <w:right w:val="nil" w:sz="6" w:space="0" w:color="auto"/>
            </w:tcBorders>
          </w:tcPr>
          <w:p>
            <w:pPr>
              <w:pStyle w:val="TableParagraph"/>
              <w:spacing w:line="172" w:lineRule="exact"/>
              <w:ind w:left="13" w:right="0"/>
              <w:jc w:val="center"/>
              <w:rPr>
                <w:rFonts w:ascii="宋体" w:hAnsi="宋体" w:cs="宋体" w:eastAsia="宋体" w:hint="default"/>
                <w:sz w:val="16"/>
                <w:szCs w:val="16"/>
              </w:rPr>
            </w:pPr>
            <w:r>
              <w:rPr>
                <w:rFonts w:ascii="宋体" w:hAnsi="宋体" w:cs="宋体" w:eastAsia="宋体" w:hint="default"/>
                <w:sz w:val="16"/>
                <w:szCs w:val="16"/>
              </w:rPr>
              <w:t>少数股东</w:t>
            </w:r>
          </w:p>
        </w:tc>
        <w:tc>
          <w:tcPr>
            <w:tcW w:w="552" w:type="dxa"/>
            <w:tcBorders>
              <w:top w:val="nil" w:sz="6" w:space="0" w:color="auto"/>
              <w:left w:val="nil" w:sz="6" w:space="0" w:color="auto"/>
              <w:bottom w:val="nil" w:sz="6" w:space="0" w:color="auto"/>
              <w:right w:val="nil" w:sz="6" w:space="0" w:color="auto"/>
            </w:tcBorders>
          </w:tcPr>
          <w:p>
            <w:pPr>
              <w:pStyle w:val="TableParagraph"/>
              <w:spacing w:line="196" w:lineRule="exact"/>
              <w:ind w:right="5"/>
              <w:jc w:val="center"/>
              <w:rPr>
                <w:rFonts w:ascii="宋体" w:hAnsi="宋体" w:cs="宋体" w:eastAsia="宋体" w:hint="default"/>
                <w:sz w:val="16"/>
                <w:szCs w:val="16"/>
              </w:rPr>
            </w:pPr>
            <w:r>
              <w:rPr>
                <w:rFonts w:ascii="宋体" w:hAnsi="宋体" w:cs="宋体" w:eastAsia="宋体" w:hint="default"/>
                <w:sz w:val="16"/>
                <w:szCs w:val="16"/>
              </w:rPr>
              <w:t>权益</w:t>
            </w:r>
          </w:p>
        </w:tc>
        <w:tc>
          <w:tcPr>
            <w:tcW w:w="474" w:type="dxa"/>
            <w:tcBorders>
              <w:top w:val="nil" w:sz="6" w:space="0" w:color="auto"/>
              <w:left w:val="nil" w:sz="6" w:space="0" w:color="auto"/>
              <w:bottom w:val="nil" w:sz="6" w:space="0" w:color="auto"/>
              <w:right w:val="nil" w:sz="6" w:space="0" w:color="auto"/>
            </w:tcBorders>
          </w:tcPr>
          <w:p>
            <w:pPr>
              <w:pStyle w:val="TableParagraph"/>
              <w:spacing w:line="196" w:lineRule="exact"/>
              <w:ind w:left="120" w:right="0"/>
              <w:jc w:val="left"/>
              <w:rPr>
                <w:rFonts w:ascii="宋体" w:hAnsi="宋体" w:cs="宋体" w:eastAsia="宋体" w:hint="default"/>
                <w:sz w:val="16"/>
                <w:szCs w:val="16"/>
              </w:rPr>
            </w:pPr>
            <w:r>
              <w:rPr>
                <w:rFonts w:ascii="宋体" w:hAnsi="宋体" w:cs="宋体" w:eastAsia="宋体" w:hint="default"/>
                <w:sz w:val="16"/>
                <w:szCs w:val="16"/>
              </w:rPr>
              <w:t>权益</w:t>
            </w:r>
          </w:p>
        </w:tc>
      </w:tr>
      <w:tr>
        <w:trPr>
          <w:trHeight w:val="207" w:hRule="exact"/>
        </w:trPr>
        <w:tc>
          <w:tcPr>
            <w:tcW w:w="4491" w:type="dxa"/>
            <w:tcBorders>
              <w:top w:val="nil" w:sz="6" w:space="0" w:color="auto"/>
              <w:left w:val="nil" w:sz="6" w:space="0" w:color="auto"/>
              <w:bottom w:val="nil" w:sz="6" w:space="0" w:color="auto"/>
              <w:right w:val="nil" w:sz="6" w:space="0" w:color="auto"/>
            </w:tcBorders>
          </w:tcPr>
          <w:p>
            <w:pPr>
              <w:pStyle w:val="TableParagraph"/>
              <w:tabs>
                <w:tab w:pos="3661" w:val="left" w:leader="none"/>
              </w:tabs>
              <w:spacing w:line="171" w:lineRule="exact"/>
              <w:ind w:left="2823" w:right="0"/>
              <w:jc w:val="left"/>
              <w:rPr>
                <w:rFonts w:ascii="宋体" w:hAnsi="宋体" w:cs="宋体" w:eastAsia="宋体" w:hint="default"/>
                <w:sz w:val="16"/>
                <w:szCs w:val="16"/>
              </w:rPr>
            </w:pPr>
            <w:r>
              <w:rPr>
                <w:rFonts w:ascii="宋体" w:hAnsi="宋体" w:cs="宋体" w:eastAsia="宋体" w:hint="default"/>
                <w:w w:val="95"/>
                <w:sz w:val="16"/>
                <w:szCs w:val="16"/>
              </w:rPr>
              <w:t>子公司</w:t>
              <w:tab/>
            </w:r>
            <w:r>
              <w:rPr>
                <w:rFonts w:ascii="宋体" w:hAnsi="宋体" w:cs="宋体" w:eastAsia="宋体" w:hint="default"/>
                <w:sz w:val="16"/>
                <w:szCs w:val="16"/>
              </w:rPr>
              <w:t>注册地及</w:t>
            </w:r>
          </w:p>
        </w:tc>
        <w:tc>
          <w:tcPr>
            <w:tcW w:w="675" w:type="dxa"/>
            <w:tcBorders>
              <w:top w:val="nil" w:sz="6" w:space="0" w:color="auto"/>
              <w:left w:val="nil" w:sz="6" w:space="0" w:color="auto"/>
              <w:bottom w:val="nil" w:sz="6" w:space="0" w:color="auto"/>
              <w:right w:val="nil" w:sz="6" w:space="0" w:color="auto"/>
            </w:tcBorders>
          </w:tcPr>
          <w:p>
            <w:pPr>
              <w:pStyle w:val="TableParagraph"/>
              <w:spacing w:line="171" w:lineRule="exact"/>
              <w:ind w:right="158"/>
              <w:jc w:val="right"/>
              <w:rPr>
                <w:rFonts w:ascii="宋体" w:hAnsi="宋体" w:cs="宋体" w:eastAsia="宋体" w:hint="default"/>
                <w:sz w:val="16"/>
                <w:szCs w:val="16"/>
              </w:rPr>
            </w:pPr>
            <w:r>
              <w:rPr>
                <w:rFonts w:ascii="宋体" w:hAnsi="宋体" w:cs="宋体" w:eastAsia="宋体" w:hint="default"/>
                <w:w w:val="95"/>
                <w:sz w:val="16"/>
                <w:szCs w:val="16"/>
              </w:rPr>
              <w:t>业务</w:t>
            </w:r>
            <w:r>
              <w:rPr>
                <w:rFonts w:ascii="宋体" w:hAnsi="宋体" w:cs="宋体" w:eastAsia="宋体" w:hint="default"/>
                <w:sz w:val="16"/>
                <w:szCs w:val="16"/>
              </w:rPr>
            </w:r>
          </w:p>
        </w:tc>
        <w:tc>
          <w:tcPr>
            <w:tcW w:w="1130" w:type="dxa"/>
            <w:tcBorders>
              <w:top w:val="nil" w:sz="6" w:space="0" w:color="auto"/>
              <w:left w:val="nil" w:sz="6" w:space="0" w:color="auto"/>
              <w:bottom w:val="nil" w:sz="6" w:space="0" w:color="auto"/>
              <w:right w:val="nil" w:sz="6" w:space="0" w:color="auto"/>
            </w:tcBorders>
          </w:tcPr>
          <w:p>
            <w:pPr>
              <w:pStyle w:val="TableParagraph"/>
              <w:spacing w:line="171" w:lineRule="exact"/>
              <w:ind w:left="259" w:right="0"/>
              <w:jc w:val="left"/>
              <w:rPr>
                <w:rFonts w:ascii="宋体" w:hAnsi="宋体" w:cs="宋体" w:eastAsia="宋体" w:hint="default"/>
                <w:sz w:val="16"/>
                <w:szCs w:val="16"/>
              </w:rPr>
            </w:pPr>
            <w:r>
              <w:rPr>
                <w:rFonts w:ascii="宋体" w:hAnsi="宋体" w:cs="宋体" w:eastAsia="宋体" w:hint="default"/>
                <w:sz w:val="16"/>
                <w:szCs w:val="16"/>
              </w:rPr>
              <w:t>注册资本</w:t>
            </w:r>
          </w:p>
        </w:tc>
        <w:tc>
          <w:tcPr>
            <w:tcW w:w="854" w:type="dxa"/>
            <w:tcBorders>
              <w:top w:val="nil" w:sz="6" w:space="0" w:color="auto"/>
              <w:left w:val="nil" w:sz="6" w:space="0" w:color="auto"/>
              <w:bottom w:val="nil" w:sz="6" w:space="0" w:color="auto"/>
              <w:right w:val="nil" w:sz="6" w:space="0" w:color="auto"/>
            </w:tcBorders>
          </w:tcPr>
          <w:p>
            <w:pPr/>
          </w:p>
        </w:tc>
        <w:tc>
          <w:tcPr>
            <w:tcW w:w="822" w:type="dxa"/>
            <w:tcBorders>
              <w:top w:val="nil" w:sz="6" w:space="0" w:color="auto"/>
              <w:left w:val="nil" w:sz="6" w:space="0" w:color="auto"/>
              <w:bottom w:val="nil" w:sz="6" w:space="0" w:color="auto"/>
              <w:right w:val="nil" w:sz="6" w:space="0" w:color="auto"/>
            </w:tcBorders>
          </w:tcPr>
          <w:p>
            <w:pPr/>
          </w:p>
        </w:tc>
        <w:tc>
          <w:tcPr>
            <w:tcW w:w="663" w:type="dxa"/>
            <w:tcBorders>
              <w:top w:val="nil" w:sz="6" w:space="0" w:color="auto"/>
              <w:left w:val="nil" w:sz="6" w:space="0" w:color="auto"/>
              <w:bottom w:val="nil" w:sz="6" w:space="0" w:color="auto"/>
              <w:right w:val="nil" w:sz="6" w:space="0" w:color="auto"/>
            </w:tcBorders>
          </w:tcPr>
          <w:p>
            <w:pPr>
              <w:pStyle w:val="TableParagraph"/>
              <w:spacing w:line="171" w:lineRule="exact"/>
              <w:ind w:right="116"/>
              <w:jc w:val="right"/>
              <w:rPr>
                <w:rFonts w:ascii="宋体" w:hAnsi="宋体" w:cs="宋体" w:eastAsia="宋体" w:hint="default"/>
                <w:sz w:val="16"/>
                <w:szCs w:val="16"/>
              </w:rPr>
            </w:pPr>
            <w:r>
              <w:rPr>
                <w:rFonts w:ascii="宋体" w:hAnsi="宋体" w:cs="宋体" w:eastAsia="宋体" w:hint="default"/>
                <w:w w:val="95"/>
                <w:sz w:val="16"/>
                <w:szCs w:val="16"/>
              </w:rPr>
              <w:t>法人</w:t>
            </w:r>
            <w:r>
              <w:rPr>
                <w:rFonts w:ascii="宋体" w:hAnsi="宋体" w:cs="宋体" w:eastAsia="宋体" w:hint="default"/>
                <w:sz w:val="16"/>
                <w:szCs w:val="16"/>
              </w:rPr>
            </w:r>
          </w:p>
        </w:tc>
        <w:tc>
          <w:tcPr>
            <w:tcW w:w="1112" w:type="dxa"/>
            <w:tcBorders>
              <w:top w:val="nil" w:sz="6" w:space="0" w:color="auto"/>
              <w:left w:val="nil" w:sz="6" w:space="0" w:color="auto"/>
              <w:bottom w:val="nil" w:sz="6" w:space="0" w:color="auto"/>
              <w:right w:val="nil" w:sz="6" w:space="0" w:color="auto"/>
            </w:tcBorders>
          </w:tcPr>
          <w:p>
            <w:pPr>
              <w:pStyle w:val="TableParagraph"/>
              <w:spacing w:line="171" w:lineRule="exact"/>
              <w:ind w:left="170" w:right="0"/>
              <w:jc w:val="left"/>
              <w:rPr>
                <w:rFonts w:ascii="宋体" w:hAnsi="宋体" w:cs="宋体" w:eastAsia="宋体" w:hint="default"/>
                <w:sz w:val="16"/>
                <w:szCs w:val="16"/>
              </w:rPr>
            </w:pPr>
            <w:r>
              <w:rPr>
                <w:rFonts w:ascii="宋体" w:hAnsi="宋体" w:cs="宋体" w:eastAsia="宋体" w:hint="default"/>
                <w:sz w:val="16"/>
                <w:szCs w:val="16"/>
              </w:rPr>
              <w:t>组织机构</w:t>
            </w:r>
          </w:p>
        </w:tc>
        <w:tc>
          <w:tcPr>
            <w:tcW w:w="1216" w:type="dxa"/>
            <w:tcBorders>
              <w:top w:val="nil" w:sz="6" w:space="0" w:color="auto"/>
              <w:left w:val="nil" w:sz="6" w:space="0" w:color="auto"/>
              <w:bottom w:val="nil" w:sz="6" w:space="0" w:color="auto"/>
              <w:right w:val="nil" w:sz="6" w:space="0" w:color="auto"/>
            </w:tcBorders>
          </w:tcPr>
          <w:p>
            <w:pPr>
              <w:pStyle w:val="TableParagraph"/>
              <w:spacing w:line="171" w:lineRule="exact"/>
              <w:ind w:left="309" w:right="0"/>
              <w:jc w:val="left"/>
              <w:rPr>
                <w:rFonts w:ascii="宋体" w:hAnsi="宋体" w:cs="宋体" w:eastAsia="宋体" w:hint="default"/>
                <w:sz w:val="16"/>
                <w:szCs w:val="16"/>
              </w:rPr>
            </w:pPr>
            <w:r>
              <w:rPr>
                <w:rFonts w:ascii="宋体" w:hAnsi="宋体" w:cs="宋体" w:eastAsia="宋体" w:hint="default"/>
                <w:sz w:val="16"/>
                <w:szCs w:val="16"/>
              </w:rPr>
              <w:t>出资额</w:t>
            </w:r>
          </w:p>
        </w:tc>
        <w:tc>
          <w:tcPr>
            <w:tcW w:w="1028" w:type="dxa"/>
            <w:tcBorders>
              <w:top w:val="nil" w:sz="6" w:space="0" w:color="auto"/>
              <w:left w:val="nil" w:sz="6" w:space="0" w:color="auto"/>
              <w:bottom w:val="nil" w:sz="6" w:space="0" w:color="auto"/>
              <w:right w:val="nil" w:sz="6" w:space="0" w:color="auto"/>
            </w:tcBorders>
          </w:tcPr>
          <w:p>
            <w:pPr>
              <w:pStyle w:val="TableParagraph"/>
              <w:spacing w:line="172" w:lineRule="exact"/>
              <w:ind w:left="41" w:right="0"/>
              <w:jc w:val="center"/>
              <w:rPr>
                <w:rFonts w:ascii="宋体" w:hAnsi="宋体" w:cs="宋体" w:eastAsia="宋体" w:hint="default"/>
                <w:sz w:val="16"/>
                <w:szCs w:val="16"/>
              </w:rPr>
            </w:pPr>
            <w:r>
              <w:rPr>
                <w:rFonts w:ascii="宋体" w:hAnsi="宋体" w:cs="宋体" w:eastAsia="宋体" w:hint="default"/>
                <w:sz w:val="16"/>
                <w:szCs w:val="16"/>
              </w:rPr>
              <w:t>投资的其他</w:t>
            </w:r>
          </w:p>
        </w:tc>
        <w:tc>
          <w:tcPr>
            <w:tcW w:w="540" w:type="dxa"/>
            <w:tcBorders>
              <w:top w:val="nil" w:sz="6" w:space="0" w:color="auto"/>
              <w:left w:val="nil" w:sz="6" w:space="0" w:color="auto"/>
              <w:bottom w:val="nil" w:sz="6" w:space="0" w:color="auto"/>
              <w:right w:val="nil" w:sz="6" w:space="0" w:color="auto"/>
            </w:tcBorders>
          </w:tcPr>
          <w:p>
            <w:pPr>
              <w:pStyle w:val="TableParagraph"/>
              <w:spacing w:line="195" w:lineRule="exact"/>
              <w:ind w:left="24" w:right="0"/>
              <w:jc w:val="center"/>
              <w:rPr>
                <w:rFonts w:ascii="宋体" w:hAnsi="宋体" w:cs="宋体" w:eastAsia="宋体" w:hint="default"/>
                <w:sz w:val="16"/>
                <w:szCs w:val="16"/>
              </w:rPr>
            </w:pPr>
            <w:r>
              <w:rPr>
                <w:rFonts w:ascii="宋体" w:hAnsi="宋体" w:cs="宋体" w:eastAsia="宋体" w:hint="default"/>
                <w:sz w:val="16"/>
                <w:szCs w:val="16"/>
              </w:rPr>
              <w:t>比例</w:t>
            </w:r>
          </w:p>
        </w:tc>
        <w:tc>
          <w:tcPr>
            <w:tcW w:w="599" w:type="dxa"/>
            <w:tcBorders>
              <w:top w:val="nil" w:sz="6" w:space="0" w:color="auto"/>
              <w:left w:val="nil" w:sz="6" w:space="0" w:color="auto"/>
              <w:bottom w:val="nil" w:sz="6" w:space="0" w:color="auto"/>
              <w:right w:val="nil" w:sz="6" w:space="0" w:color="auto"/>
            </w:tcBorders>
          </w:tcPr>
          <w:p>
            <w:pPr>
              <w:pStyle w:val="TableParagraph"/>
              <w:spacing w:line="196" w:lineRule="exact"/>
              <w:ind w:right="27"/>
              <w:jc w:val="center"/>
              <w:rPr>
                <w:rFonts w:ascii="宋体" w:hAnsi="宋体" w:cs="宋体" w:eastAsia="宋体" w:hint="default"/>
                <w:sz w:val="16"/>
                <w:szCs w:val="16"/>
              </w:rPr>
            </w:pPr>
            <w:r>
              <w:rPr>
                <w:rFonts w:ascii="宋体" w:hAnsi="宋体" w:cs="宋体" w:eastAsia="宋体" w:hint="default"/>
                <w:sz w:val="16"/>
                <w:szCs w:val="16"/>
              </w:rPr>
              <w:t>比例</w:t>
            </w:r>
          </w:p>
        </w:tc>
        <w:tc>
          <w:tcPr>
            <w:tcW w:w="516" w:type="dxa"/>
            <w:tcBorders>
              <w:top w:val="nil" w:sz="6" w:space="0" w:color="auto"/>
              <w:left w:val="nil" w:sz="6" w:space="0" w:color="auto"/>
              <w:bottom w:val="nil" w:sz="6" w:space="0" w:color="auto"/>
              <w:right w:val="nil" w:sz="6" w:space="0" w:color="auto"/>
            </w:tcBorders>
          </w:tcPr>
          <w:p>
            <w:pPr>
              <w:pStyle w:val="TableParagraph"/>
              <w:spacing w:line="172" w:lineRule="exact"/>
              <w:ind w:right="52"/>
              <w:jc w:val="center"/>
              <w:rPr>
                <w:rFonts w:ascii="宋体" w:hAnsi="宋体" w:cs="宋体" w:eastAsia="宋体" w:hint="default"/>
                <w:sz w:val="16"/>
                <w:szCs w:val="16"/>
              </w:rPr>
            </w:pPr>
            <w:r>
              <w:rPr>
                <w:rFonts w:ascii="宋体" w:hAnsi="宋体" w:cs="宋体" w:eastAsia="宋体" w:hint="default"/>
                <w:sz w:val="16"/>
                <w:szCs w:val="16"/>
              </w:rPr>
              <w:t>合并</w:t>
            </w:r>
          </w:p>
        </w:tc>
        <w:tc>
          <w:tcPr>
            <w:tcW w:w="877" w:type="dxa"/>
            <w:tcBorders>
              <w:top w:val="nil" w:sz="6" w:space="0" w:color="auto"/>
              <w:left w:val="nil" w:sz="6" w:space="0" w:color="auto"/>
              <w:bottom w:val="nil" w:sz="6" w:space="0" w:color="auto"/>
              <w:right w:val="nil" w:sz="6" w:space="0" w:color="auto"/>
            </w:tcBorders>
          </w:tcPr>
          <w:p>
            <w:pPr>
              <w:pStyle w:val="TableParagraph"/>
              <w:spacing w:line="172" w:lineRule="exact"/>
              <w:ind w:left="13" w:right="0"/>
              <w:jc w:val="center"/>
              <w:rPr>
                <w:rFonts w:ascii="宋体" w:hAnsi="宋体" w:cs="宋体" w:eastAsia="宋体" w:hint="default"/>
                <w:sz w:val="16"/>
                <w:szCs w:val="16"/>
              </w:rPr>
            </w:pPr>
            <w:r>
              <w:rPr>
                <w:rFonts w:ascii="宋体" w:hAnsi="宋体" w:cs="宋体" w:eastAsia="宋体" w:hint="default"/>
                <w:sz w:val="16"/>
                <w:szCs w:val="16"/>
              </w:rPr>
              <w:t>权益</w:t>
            </w:r>
          </w:p>
        </w:tc>
        <w:tc>
          <w:tcPr>
            <w:tcW w:w="552" w:type="dxa"/>
            <w:tcBorders>
              <w:top w:val="nil" w:sz="6" w:space="0" w:color="auto"/>
              <w:left w:val="nil" w:sz="6" w:space="0" w:color="auto"/>
              <w:bottom w:val="nil" w:sz="6" w:space="0" w:color="auto"/>
              <w:right w:val="nil" w:sz="6" w:space="0" w:color="auto"/>
            </w:tcBorders>
          </w:tcPr>
          <w:p>
            <w:pPr>
              <w:pStyle w:val="TableParagraph"/>
              <w:spacing w:line="195" w:lineRule="exact"/>
              <w:ind w:right="5"/>
              <w:jc w:val="center"/>
              <w:rPr>
                <w:rFonts w:ascii="宋体" w:hAnsi="宋体" w:cs="宋体" w:eastAsia="宋体" w:hint="default"/>
                <w:sz w:val="16"/>
                <w:szCs w:val="16"/>
              </w:rPr>
            </w:pPr>
            <w:r>
              <w:rPr>
                <w:rFonts w:ascii="宋体" w:hAnsi="宋体" w:cs="宋体" w:eastAsia="宋体" w:hint="default"/>
                <w:sz w:val="16"/>
                <w:szCs w:val="16"/>
              </w:rPr>
              <w:t>项目</w:t>
            </w:r>
          </w:p>
        </w:tc>
        <w:tc>
          <w:tcPr>
            <w:tcW w:w="474" w:type="dxa"/>
            <w:tcBorders>
              <w:top w:val="nil" w:sz="6" w:space="0" w:color="auto"/>
              <w:left w:val="nil" w:sz="6" w:space="0" w:color="auto"/>
              <w:bottom w:val="nil" w:sz="6" w:space="0" w:color="auto"/>
              <w:right w:val="nil" w:sz="6" w:space="0" w:color="auto"/>
            </w:tcBorders>
          </w:tcPr>
          <w:p>
            <w:pPr>
              <w:pStyle w:val="TableParagraph"/>
              <w:spacing w:line="195" w:lineRule="exact"/>
              <w:ind w:left="120" w:right="0"/>
              <w:jc w:val="left"/>
              <w:rPr>
                <w:rFonts w:ascii="宋体" w:hAnsi="宋体" w:cs="宋体" w:eastAsia="宋体" w:hint="default"/>
                <w:sz w:val="16"/>
                <w:szCs w:val="16"/>
              </w:rPr>
            </w:pPr>
            <w:r>
              <w:rPr>
                <w:rFonts w:ascii="宋体" w:hAnsi="宋体" w:cs="宋体" w:eastAsia="宋体" w:hint="default"/>
                <w:sz w:val="16"/>
                <w:szCs w:val="16"/>
              </w:rPr>
              <w:t>项目</w:t>
            </w:r>
          </w:p>
        </w:tc>
      </w:tr>
      <w:tr>
        <w:trPr>
          <w:trHeight w:val="205" w:hRule="exact"/>
        </w:trPr>
        <w:tc>
          <w:tcPr>
            <w:tcW w:w="4491" w:type="dxa"/>
            <w:tcBorders>
              <w:top w:val="nil" w:sz="6" w:space="0" w:color="auto"/>
              <w:left w:val="nil" w:sz="6" w:space="0" w:color="auto"/>
              <w:bottom w:val="single" w:sz="6" w:space="0" w:color="000000"/>
              <w:right w:val="nil" w:sz="6" w:space="0" w:color="auto"/>
            </w:tcBorders>
          </w:tcPr>
          <w:p>
            <w:pPr>
              <w:pStyle w:val="TableParagraph"/>
              <w:tabs>
                <w:tab w:pos="2361" w:val="left" w:leader="none"/>
                <w:tab w:pos="2902" w:val="left" w:leader="none"/>
                <w:tab w:pos="3661" w:val="left" w:leader="none"/>
              </w:tabs>
              <w:spacing w:line="172" w:lineRule="exact"/>
              <w:ind w:left="548" w:right="0"/>
              <w:jc w:val="left"/>
              <w:rPr>
                <w:rFonts w:ascii="宋体" w:hAnsi="宋体" w:cs="宋体" w:eastAsia="宋体" w:hint="default"/>
                <w:sz w:val="16"/>
                <w:szCs w:val="16"/>
              </w:rPr>
            </w:pPr>
            <w:r>
              <w:rPr>
                <w:rFonts w:ascii="宋体" w:hAnsi="宋体" w:cs="宋体" w:eastAsia="宋体" w:hint="default"/>
                <w:w w:val="95"/>
                <w:sz w:val="16"/>
                <w:szCs w:val="16"/>
              </w:rPr>
              <w:t>名称</w:t>
              <w:tab/>
              <w:t>注释</w:t>
              <w:tab/>
              <w:t>类型</w:t>
              <w:tab/>
            </w:r>
            <w:r>
              <w:rPr>
                <w:rFonts w:ascii="宋体" w:hAnsi="宋体" w:cs="宋体" w:eastAsia="宋体" w:hint="default"/>
                <w:sz w:val="16"/>
                <w:szCs w:val="16"/>
              </w:rPr>
              <w:t>设立日期</w:t>
            </w:r>
          </w:p>
        </w:tc>
        <w:tc>
          <w:tcPr>
            <w:tcW w:w="675" w:type="dxa"/>
            <w:tcBorders>
              <w:top w:val="nil" w:sz="6" w:space="0" w:color="auto"/>
              <w:left w:val="nil" w:sz="6" w:space="0" w:color="auto"/>
              <w:bottom w:val="single" w:sz="6" w:space="0" w:color="000000"/>
              <w:right w:val="nil" w:sz="6" w:space="0" w:color="auto"/>
            </w:tcBorders>
          </w:tcPr>
          <w:p>
            <w:pPr>
              <w:pStyle w:val="TableParagraph"/>
              <w:spacing w:line="172" w:lineRule="exact"/>
              <w:ind w:right="158"/>
              <w:jc w:val="right"/>
              <w:rPr>
                <w:rFonts w:ascii="宋体" w:hAnsi="宋体" w:cs="宋体" w:eastAsia="宋体" w:hint="default"/>
                <w:sz w:val="16"/>
                <w:szCs w:val="16"/>
              </w:rPr>
            </w:pPr>
            <w:r>
              <w:rPr>
                <w:rFonts w:ascii="宋体" w:hAnsi="宋体" w:cs="宋体" w:eastAsia="宋体" w:hint="default"/>
                <w:w w:val="95"/>
                <w:sz w:val="16"/>
                <w:szCs w:val="16"/>
              </w:rPr>
              <w:t>性质</w:t>
            </w:r>
            <w:r>
              <w:rPr>
                <w:rFonts w:ascii="宋体" w:hAnsi="宋体" w:cs="宋体" w:eastAsia="宋体" w:hint="default"/>
                <w:sz w:val="16"/>
                <w:szCs w:val="16"/>
              </w:rPr>
            </w:r>
          </w:p>
        </w:tc>
        <w:tc>
          <w:tcPr>
            <w:tcW w:w="1130" w:type="dxa"/>
            <w:tcBorders>
              <w:top w:val="nil" w:sz="6" w:space="0" w:color="auto"/>
              <w:left w:val="nil" w:sz="6" w:space="0" w:color="auto"/>
              <w:bottom w:val="single" w:sz="6" w:space="0" w:color="000000"/>
              <w:right w:val="nil" w:sz="6" w:space="0" w:color="auto"/>
            </w:tcBorders>
          </w:tcPr>
          <w:p>
            <w:pPr>
              <w:pStyle w:val="TableParagraph"/>
              <w:spacing w:line="172" w:lineRule="exact"/>
              <w:ind w:left="279" w:right="0"/>
              <w:jc w:val="left"/>
              <w:rPr>
                <w:rFonts w:ascii="宋体" w:hAnsi="宋体" w:cs="宋体" w:eastAsia="宋体" w:hint="default"/>
                <w:sz w:val="16"/>
                <w:szCs w:val="16"/>
              </w:rPr>
            </w:pPr>
            <w:r>
              <w:rPr>
                <w:rFonts w:ascii="宋体" w:hAnsi="宋体" w:cs="宋体" w:eastAsia="宋体" w:hint="default"/>
                <w:sz w:val="16"/>
                <w:szCs w:val="16"/>
              </w:rPr>
              <w:t>（千元）</w:t>
            </w:r>
          </w:p>
        </w:tc>
        <w:tc>
          <w:tcPr>
            <w:tcW w:w="854" w:type="dxa"/>
            <w:tcBorders>
              <w:top w:val="nil" w:sz="6" w:space="0" w:color="auto"/>
              <w:left w:val="nil" w:sz="6" w:space="0" w:color="auto"/>
              <w:bottom w:val="single" w:sz="6" w:space="0" w:color="000000"/>
              <w:right w:val="nil" w:sz="6" w:space="0" w:color="auto"/>
            </w:tcBorders>
          </w:tcPr>
          <w:p>
            <w:pPr>
              <w:pStyle w:val="TableParagraph"/>
              <w:spacing w:line="172" w:lineRule="exact"/>
              <w:ind w:left="128" w:right="0"/>
              <w:jc w:val="left"/>
              <w:rPr>
                <w:rFonts w:ascii="宋体" w:hAnsi="宋体" w:cs="宋体" w:eastAsia="宋体" w:hint="default"/>
                <w:sz w:val="16"/>
                <w:szCs w:val="16"/>
              </w:rPr>
            </w:pPr>
            <w:r>
              <w:rPr>
                <w:rFonts w:ascii="宋体" w:hAnsi="宋体" w:cs="宋体" w:eastAsia="宋体" w:hint="default"/>
                <w:sz w:val="16"/>
                <w:szCs w:val="16"/>
              </w:rPr>
              <w:t>经营范围</w:t>
            </w:r>
          </w:p>
        </w:tc>
        <w:tc>
          <w:tcPr>
            <w:tcW w:w="822" w:type="dxa"/>
            <w:tcBorders>
              <w:top w:val="nil" w:sz="6" w:space="0" w:color="auto"/>
              <w:left w:val="nil" w:sz="6" w:space="0" w:color="auto"/>
              <w:bottom w:val="single" w:sz="6" w:space="0" w:color="000000"/>
              <w:right w:val="nil" w:sz="6" w:space="0" w:color="auto"/>
            </w:tcBorders>
          </w:tcPr>
          <w:p>
            <w:pPr>
              <w:pStyle w:val="TableParagraph"/>
              <w:spacing w:line="172" w:lineRule="exact"/>
              <w:ind w:left="13" w:right="0"/>
              <w:jc w:val="center"/>
              <w:rPr>
                <w:rFonts w:ascii="宋体" w:hAnsi="宋体" w:cs="宋体" w:eastAsia="宋体" w:hint="default"/>
                <w:sz w:val="16"/>
                <w:szCs w:val="16"/>
              </w:rPr>
            </w:pPr>
            <w:r>
              <w:rPr>
                <w:rFonts w:ascii="宋体" w:hAnsi="宋体" w:cs="宋体" w:eastAsia="宋体" w:hint="default"/>
                <w:sz w:val="16"/>
                <w:szCs w:val="16"/>
              </w:rPr>
              <w:t>企业类型</w:t>
            </w:r>
          </w:p>
        </w:tc>
        <w:tc>
          <w:tcPr>
            <w:tcW w:w="663" w:type="dxa"/>
            <w:tcBorders>
              <w:top w:val="nil" w:sz="6" w:space="0" w:color="auto"/>
              <w:left w:val="nil" w:sz="6" w:space="0" w:color="auto"/>
              <w:bottom w:val="single" w:sz="6" w:space="0" w:color="000000"/>
              <w:right w:val="nil" w:sz="6" w:space="0" w:color="auto"/>
            </w:tcBorders>
          </w:tcPr>
          <w:p>
            <w:pPr>
              <w:pStyle w:val="TableParagraph"/>
              <w:spacing w:line="172" w:lineRule="exact"/>
              <w:ind w:right="116"/>
              <w:jc w:val="right"/>
              <w:rPr>
                <w:rFonts w:ascii="宋体" w:hAnsi="宋体" w:cs="宋体" w:eastAsia="宋体" w:hint="default"/>
                <w:sz w:val="16"/>
                <w:szCs w:val="16"/>
              </w:rPr>
            </w:pPr>
            <w:r>
              <w:rPr>
                <w:rFonts w:ascii="宋体" w:hAnsi="宋体" w:cs="宋体" w:eastAsia="宋体" w:hint="default"/>
                <w:w w:val="95"/>
                <w:sz w:val="16"/>
                <w:szCs w:val="16"/>
              </w:rPr>
              <w:t>代表</w:t>
            </w:r>
            <w:r>
              <w:rPr>
                <w:rFonts w:ascii="宋体" w:hAnsi="宋体" w:cs="宋体" w:eastAsia="宋体" w:hint="default"/>
                <w:sz w:val="16"/>
                <w:szCs w:val="16"/>
              </w:rPr>
            </w:r>
          </w:p>
        </w:tc>
        <w:tc>
          <w:tcPr>
            <w:tcW w:w="1112" w:type="dxa"/>
            <w:tcBorders>
              <w:top w:val="nil" w:sz="6" w:space="0" w:color="auto"/>
              <w:left w:val="nil" w:sz="6" w:space="0" w:color="auto"/>
              <w:bottom w:val="single" w:sz="6" w:space="0" w:color="000000"/>
              <w:right w:val="nil" w:sz="6" w:space="0" w:color="auto"/>
            </w:tcBorders>
          </w:tcPr>
          <w:p>
            <w:pPr>
              <w:pStyle w:val="TableParagraph"/>
              <w:spacing w:line="172" w:lineRule="exact"/>
              <w:ind w:left="330" w:right="0"/>
              <w:jc w:val="left"/>
              <w:rPr>
                <w:rFonts w:ascii="宋体" w:hAnsi="宋体" w:cs="宋体" w:eastAsia="宋体" w:hint="default"/>
                <w:sz w:val="16"/>
                <w:szCs w:val="16"/>
              </w:rPr>
            </w:pPr>
            <w:r>
              <w:rPr>
                <w:rFonts w:ascii="宋体" w:hAnsi="宋体" w:cs="宋体" w:eastAsia="宋体" w:hint="default"/>
                <w:sz w:val="16"/>
                <w:szCs w:val="16"/>
              </w:rPr>
              <w:t>代码</w:t>
            </w:r>
          </w:p>
        </w:tc>
        <w:tc>
          <w:tcPr>
            <w:tcW w:w="1216" w:type="dxa"/>
            <w:tcBorders>
              <w:top w:val="nil" w:sz="6" w:space="0" w:color="auto"/>
              <w:left w:val="nil" w:sz="6" w:space="0" w:color="auto"/>
              <w:bottom w:val="single" w:sz="6" w:space="0" w:color="000000"/>
              <w:right w:val="nil" w:sz="6" w:space="0" w:color="auto"/>
            </w:tcBorders>
          </w:tcPr>
          <w:p>
            <w:pPr>
              <w:pStyle w:val="TableParagraph"/>
              <w:spacing w:line="172" w:lineRule="exact"/>
              <w:ind w:left="229" w:right="0"/>
              <w:jc w:val="left"/>
              <w:rPr>
                <w:rFonts w:ascii="宋体" w:hAnsi="宋体" w:cs="宋体" w:eastAsia="宋体" w:hint="default"/>
                <w:sz w:val="16"/>
                <w:szCs w:val="16"/>
              </w:rPr>
            </w:pPr>
            <w:r>
              <w:rPr>
                <w:rFonts w:ascii="宋体" w:hAnsi="宋体" w:cs="宋体" w:eastAsia="宋体" w:hint="default"/>
                <w:sz w:val="16"/>
                <w:szCs w:val="16"/>
              </w:rPr>
              <w:t>（千元）</w:t>
            </w:r>
          </w:p>
        </w:tc>
        <w:tc>
          <w:tcPr>
            <w:tcW w:w="1028" w:type="dxa"/>
            <w:tcBorders>
              <w:top w:val="nil" w:sz="6" w:space="0" w:color="auto"/>
              <w:left w:val="nil" w:sz="6" w:space="0" w:color="auto"/>
              <w:bottom w:val="single" w:sz="6" w:space="0" w:color="000000"/>
              <w:right w:val="nil" w:sz="6" w:space="0" w:color="auto"/>
            </w:tcBorders>
          </w:tcPr>
          <w:p>
            <w:pPr>
              <w:pStyle w:val="TableParagraph"/>
              <w:spacing w:line="171" w:lineRule="exact"/>
              <w:ind w:left="42" w:right="0"/>
              <w:jc w:val="center"/>
              <w:rPr>
                <w:rFonts w:ascii="宋体" w:hAnsi="宋体" w:cs="宋体" w:eastAsia="宋体" w:hint="default"/>
                <w:sz w:val="16"/>
                <w:szCs w:val="16"/>
              </w:rPr>
            </w:pPr>
            <w:r>
              <w:rPr>
                <w:rFonts w:ascii="宋体" w:hAnsi="宋体" w:cs="宋体" w:eastAsia="宋体" w:hint="default"/>
                <w:sz w:val="16"/>
                <w:szCs w:val="16"/>
              </w:rPr>
              <w:t>项目余额</w:t>
            </w:r>
          </w:p>
        </w:tc>
        <w:tc>
          <w:tcPr>
            <w:tcW w:w="540" w:type="dxa"/>
            <w:tcBorders>
              <w:top w:val="nil" w:sz="6" w:space="0" w:color="auto"/>
              <w:left w:val="nil" w:sz="6" w:space="0" w:color="auto"/>
              <w:bottom w:val="single" w:sz="6" w:space="0" w:color="000000"/>
              <w:right w:val="nil" w:sz="6" w:space="0" w:color="auto"/>
            </w:tcBorders>
          </w:tcPr>
          <w:p>
            <w:pPr>
              <w:pStyle w:val="TableParagraph"/>
              <w:spacing w:line="240" w:lineRule="auto" w:before="11"/>
              <w:ind w:left="24" w:right="0"/>
              <w:jc w:val="center"/>
              <w:rPr>
                <w:rFonts w:ascii="Arial" w:hAnsi="Arial" w:cs="Arial" w:eastAsia="Arial" w:hint="default"/>
                <w:sz w:val="16"/>
                <w:szCs w:val="16"/>
              </w:rPr>
            </w:pPr>
            <w:r>
              <w:rPr>
                <w:rFonts w:ascii="Arial"/>
                <w:sz w:val="16"/>
              </w:rPr>
              <w:t>(%)</w:t>
            </w:r>
          </w:p>
        </w:tc>
        <w:tc>
          <w:tcPr>
            <w:tcW w:w="599" w:type="dxa"/>
            <w:tcBorders>
              <w:top w:val="nil" w:sz="6" w:space="0" w:color="auto"/>
              <w:left w:val="nil" w:sz="6" w:space="0" w:color="auto"/>
              <w:bottom w:val="single" w:sz="6" w:space="0" w:color="000000"/>
              <w:right w:val="nil" w:sz="6" w:space="0" w:color="auto"/>
            </w:tcBorders>
          </w:tcPr>
          <w:p>
            <w:pPr>
              <w:pStyle w:val="TableParagraph"/>
              <w:spacing w:line="240" w:lineRule="auto" w:before="12"/>
              <w:ind w:right="27"/>
              <w:jc w:val="center"/>
              <w:rPr>
                <w:rFonts w:ascii="Arial" w:hAnsi="Arial" w:cs="Arial" w:eastAsia="Arial" w:hint="default"/>
                <w:sz w:val="16"/>
                <w:szCs w:val="16"/>
              </w:rPr>
            </w:pPr>
            <w:r>
              <w:rPr>
                <w:rFonts w:ascii="Arial"/>
                <w:sz w:val="16"/>
              </w:rPr>
              <w:t>(%)</w:t>
            </w:r>
          </w:p>
        </w:tc>
        <w:tc>
          <w:tcPr>
            <w:tcW w:w="516" w:type="dxa"/>
            <w:tcBorders>
              <w:top w:val="nil" w:sz="6" w:space="0" w:color="auto"/>
              <w:left w:val="nil" w:sz="6" w:space="0" w:color="auto"/>
              <w:bottom w:val="single" w:sz="6" w:space="0" w:color="000000"/>
              <w:right w:val="nil" w:sz="6" w:space="0" w:color="auto"/>
            </w:tcBorders>
          </w:tcPr>
          <w:p>
            <w:pPr>
              <w:pStyle w:val="TableParagraph"/>
              <w:spacing w:line="172" w:lineRule="exact"/>
              <w:ind w:right="52"/>
              <w:jc w:val="center"/>
              <w:rPr>
                <w:rFonts w:ascii="宋体" w:hAnsi="宋体" w:cs="宋体" w:eastAsia="宋体" w:hint="default"/>
                <w:sz w:val="16"/>
                <w:szCs w:val="16"/>
              </w:rPr>
            </w:pPr>
            <w:r>
              <w:rPr>
                <w:rFonts w:ascii="宋体" w:hAnsi="宋体" w:cs="宋体" w:eastAsia="宋体" w:hint="default"/>
                <w:sz w:val="16"/>
                <w:szCs w:val="16"/>
              </w:rPr>
              <w:t>报表</w:t>
            </w:r>
          </w:p>
        </w:tc>
        <w:tc>
          <w:tcPr>
            <w:tcW w:w="877" w:type="dxa"/>
            <w:tcBorders>
              <w:top w:val="nil" w:sz="6" w:space="0" w:color="auto"/>
              <w:left w:val="nil" w:sz="6" w:space="0" w:color="auto"/>
              <w:bottom w:val="single" w:sz="6" w:space="0" w:color="000000"/>
              <w:right w:val="nil" w:sz="6" w:space="0" w:color="auto"/>
            </w:tcBorders>
          </w:tcPr>
          <w:p>
            <w:pPr>
              <w:pStyle w:val="TableParagraph"/>
              <w:spacing w:line="172" w:lineRule="exact"/>
              <w:ind w:left="13" w:right="0"/>
              <w:jc w:val="center"/>
              <w:rPr>
                <w:rFonts w:ascii="宋体" w:hAnsi="宋体" w:cs="宋体" w:eastAsia="宋体" w:hint="default"/>
                <w:sz w:val="16"/>
                <w:szCs w:val="16"/>
              </w:rPr>
            </w:pPr>
            <w:r>
              <w:rPr>
                <w:rFonts w:ascii="宋体" w:hAnsi="宋体" w:cs="宋体" w:eastAsia="宋体" w:hint="default"/>
                <w:sz w:val="16"/>
                <w:szCs w:val="16"/>
              </w:rPr>
              <w:t>（亿元）</w:t>
            </w:r>
          </w:p>
        </w:tc>
        <w:tc>
          <w:tcPr>
            <w:tcW w:w="552" w:type="dxa"/>
            <w:tcBorders>
              <w:top w:val="nil" w:sz="6" w:space="0" w:color="auto"/>
              <w:left w:val="nil" w:sz="6" w:space="0" w:color="auto"/>
              <w:bottom w:val="single" w:sz="6" w:space="0" w:color="000000"/>
              <w:right w:val="nil" w:sz="6" w:space="0" w:color="auto"/>
            </w:tcBorders>
          </w:tcPr>
          <w:p>
            <w:pPr>
              <w:pStyle w:val="TableParagraph"/>
              <w:spacing w:line="240" w:lineRule="auto" w:before="10"/>
              <w:ind w:right="5"/>
              <w:jc w:val="center"/>
              <w:rPr>
                <w:rFonts w:ascii="Arial" w:hAnsi="Arial" w:cs="Arial" w:eastAsia="Arial" w:hint="default"/>
                <w:sz w:val="16"/>
                <w:szCs w:val="16"/>
              </w:rPr>
            </w:pPr>
            <w:r>
              <w:rPr>
                <w:rFonts w:ascii="Arial"/>
                <w:w w:val="99"/>
                <w:sz w:val="16"/>
              </w:rPr>
              <w:t>1</w:t>
            </w:r>
            <w:r>
              <w:rPr>
                <w:rFonts w:ascii="Arial"/>
                <w:sz w:val="16"/>
              </w:rPr>
            </w:r>
          </w:p>
        </w:tc>
        <w:tc>
          <w:tcPr>
            <w:tcW w:w="474" w:type="dxa"/>
            <w:tcBorders>
              <w:top w:val="nil" w:sz="6" w:space="0" w:color="auto"/>
              <w:left w:val="nil" w:sz="6" w:space="0" w:color="auto"/>
              <w:bottom w:val="single" w:sz="6" w:space="0" w:color="000000"/>
              <w:right w:val="nil" w:sz="6" w:space="0" w:color="auto"/>
            </w:tcBorders>
          </w:tcPr>
          <w:p>
            <w:pPr>
              <w:pStyle w:val="TableParagraph"/>
              <w:spacing w:line="240" w:lineRule="auto" w:before="11"/>
              <w:ind w:left="235" w:right="0"/>
              <w:jc w:val="left"/>
              <w:rPr>
                <w:rFonts w:ascii="Arial" w:hAnsi="Arial" w:cs="Arial" w:eastAsia="Arial" w:hint="default"/>
                <w:sz w:val="16"/>
                <w:szCs w:val="16"/>
              </w:rPr>
            </w:pPr>
            <w:r>
              <w:rPr>
                <w:rFonts w:ascii="Arial"/>
                <w:w w:val="99"/>
                <w:sz w:val="16"/>
              </w:rPr>
              <w:t>2</w:t>
            </w:r>
            <w:r>
              <w:rPr>
                <w:rFonts w:ascii="Arial"/>
                <w:sz w:val="16"/>
              </w:rPr>
            </w:r>
          </w:p>
        </w:tc>
      </w:tr>
      <w:tr>
        <w:trPr>
          <w:trHeight w:val="215" w:hRule="exact"/>
        </w:trPr>
        <w:tc>
          <w:tcPr>
            <w:tcW w:w="4491" w:type="dxa"/>
            <w:tcBorders>
              <w:top w:val="single" w:sz="6" w:space="0" w:color="000000"/>
              <w:left w:val="nil" w:sz="6" w:space="0" w:color="auto"/>
              <w:bottom w:val="nil" w:sz="6" w:space="0" w:color="auto"/>
              <w:right w:val="nil" w:sz="6" w:space="0" w:color="auto"/>
            </w:tcBorders>
          </w:tcPr>
          <w:p>
            <w:pPr>
              <w:pStyle w:val="TableParagraph"/>
              <w:spacing w:line="184" w:lineRule="exact"/>
              <w:ind w:right="217"/>
              <w:jc w:val="right"/>
              <w:rPr>
                <w:rFonts w:ascii="宋体" w:hAnsi="宋体" w:cs="宋体" w:eastAsia="宋体" w:hint="default"/>
                <w:sz w:val="16"/>
                <w:szCs w:val="16"/>
              </w:rPr>
            </w:pPr>
            <w:r>
              <w:rPr>
                <w:rFonts w:ascii="宋体" w:hAnsi="宋体" w:cs="宋体" w:eastAsia="宋体" w:hint="default"/>
                <w:w w:val="95"/>
                <w:sz w:val="16"/>
                <w:szCs w:val="16"/>
              </w:rPr>
              <w:t>（英属）</w:t>
            </w:r>
            <w:r>
              <w:rPr>
                <w:rFonts w:ascii="宋体" w:hAnsi="宋体" w:cs="宋体" w:eastAsia="宋体" w:hint="default"/>
                <w:sz w:val="16"/>
                <w:szCs w:val="16"/>
              </w:rPr>
            </w:r>
          </w:p>
        </w:tc>
        <w:tc>
          <w:tcPr>
            <w:tcW w:w="675" w:type="dxa"/>
            <w:tcBorders>
              <w:top w:val="single" w:sz="6" w:space="0" w:color="000000"/>
              <w:left w:val="nil" w:sz="6" w:space="0" w:color="auto"/>
              <w:bottom w:val="nil" w:sz="6" w:space="0" w:color="auto"/>
              <w:right w:val="nil" w:sz="6" w:space="0" w:color="auto"/>
            </w:tcBorders>
          </w:tcPr>
          <w:p>
            <w:pPr/>
          </w:p>
        </w:tc>
        <w:tc>
          <w:tcPr>
            <w:tcW w:w="1130" w:type="dxa"/>
            <w:tcBorders>
              <w:top w:val="single" w:sz="6" w:space="0" w:color="000000"/>
              <w:left w:val="nil" w:sz="6" w:space="0" w:color="auto"/>
              <w:bottom w:val="nil" w:sz="6" w:space="0" w:color="auto"/>
              <w:right w:val="nil" w:sz="6" w:space="0" w:color="auto"/>
            </w:tcBorders>
          </w:tcPr>
          <w:p>
            <w:pPr/>
          </w:p>
        </w:tc>
        <w:tc>
          <w:tcPr>
            <w:tcW w:w="854" w:type="dxa"/>
            <w:tcBorders>
              <w:top w:val="single" w:sz="6" w:space="0" w:color="000000"/>
              <w:left w:val="nil" w:sz="6" w:space="0" w:color="auto"/>
              <w:bottom w:val="nil" w:sz="6" w:space="0" w:color="auto"/>
              <w:right w:val="nil" w:sz="6" w:space="0" w:color="auto"/>
            </w:tcBorders>
          </w:tcPr>
          <w:p>
            <w:pPr/>
          </w:p>
        </w:tc>
        <w:tc>
          <w:tcPr>
            <w:tcW w:w="822" w:type="dxa"/>
            <w:tcBorders>
              <w:top w:val="single" w:sz="6" w:space="0" w:color="000000"/>
              <w:left w:val="nil" w:sz="6" w:space="0" w:color="auto"/>
              <w:bottom w:val="nil" w:sz="6" w:space="0" w:color="auto"/>
              <w:right w:val="nil" w:sz="6" w:space="0" w:color="auto"/>
            </w:tcBorders>
          </w:tcPr>
          <w:p>
            <w:pPr/>
          </w:p>
        </w:tc>
        <w:tc>
          <w:tcPr>
            <w:tcW w:w="663" w:type="dxa"/>
            <w:tcBorders>
              <w:top w:val="single" w:sz="6" w:space="0" w:color="000000"/>
              <w:left w:val="nil" w:sz="6" w:space="0" w:color="auto"/>
              <w:bottom w:val="nil" w:sz="6" w:space="0" w:color="auto"/>
              <w:right w:val="nil" w:sz="6" w:space="0" w:color="auto"/>
            </w:tcBorders>
          </w:tcPr>
          <w:p>
            <w:pPr/>
          </w:p>
        </w:tc>
        <w:tc>
          <w:tcPr>
            <w:tcW w:w="1112" w:type="dxa"/>
            <w:tcBorders>
              <w:top w:val="single" w:sz="6" w:space="0" w:color="000000"/>
              <w:left w:val="nil" w:sz="6" w:space="0" w:color="auto"/>
              <w:bottom w:val="nil" w:sz="6" w:space="0" w:color="auto"/>
              <w:right w:val="nil" w:sz="6" w:space="0" w:color="auto"/>
            </w:tcBorders>
          </w:tcPr>
          <w:p>
            <w:pPr/>
          </w:p>
        </w:tc>
        <w:tc>
          <w:tcPr>
            <w:tcW w:w="1216" w:type="dxa"/>
            <w:tcBorders>
              <w:top w:val="single" w:sz="6" w:space="0" w:color="000000"/>
              <w:left w:val="nil" w:sz="6" w:space="0" w:color="auto"/>
              <w:bottom w:val="nil" w:sz="6" w:space="0" w:color="auto"/>
              <w:right w:val="nil" w:sz="6" w:space="0" w:color="auto"/>
            </w:tcBorders>
          </w:tcPr>
          <w:p>
            <w:pPr/>
          </w:p>
        </w:tc>
        <w:tc>
          <w:tcPr>
            <w:tcW w:w="1028" w:type="dxa"/>
            <w:tcBorders>
              <w:top w:val="single" w:sz="6" w:space="0" w:color="000000"/>
              <w:left w:val="nil" w:sz="6" w:space="0" w:color="auto"/>
              <w:bottom w:val="nil" w:sz="6" w:space="0" w:color="auto"/>
              <w:right w:val="nil" w:sz="6" w:space="0" w:color="auto"/>
            </w:tcBorders>
          </w:tcPr>
          <w:p>
            <w:pPr/>
          </w:p>
        </w:tc>
        <w:tc>
          <w:tcPr>
            <w:tcW w:w="540" w:type="dxa"/>
            <w:tcBorders>
              <w:top w:val="single" w:sz="6" w:space="0" w:color="000000"/>
              <w:left w:val="nil" w:sz="6" w:space="0" w:color="auto"/>
              <w:bottom w:val="nil" w:sz="6" w:space="0" w:color="auto"/>
              <w:right w:val="nil" w:sz="6" w:space="0" w:color="auto"/>
            </w:tcBorders>
          </w:tcPr>
          <w:p>
            <w:pPr/>
          </w:p>
        </w:tc>
        <w:tc>
          <w:tcPr>
            <w:tcW w:w="599" w:type="dxa"/>
            <w:tcBorders>
              <w:top w:val="single" w:sz="6" w:space="0" w:color="000000"/>
              <w:left w:val="nil" w:sz="6" w:space="0" w:color="auto"/>
              <w:bottom w:val="nil" w:sz="6" w:space="0" w:color="auto"/>
              <w:right w:val="nil" w:sz="6" w:space="0" w:color="auto"/>
            </w:tcBorders>
          </w:tcPr>
          <w:p>
            <w:pPr/>
          </w:p>
        </w:tc>
        <w:tc>
          <w:tcPr>
            <w:tcW w:w="516" w:type="dxa"/>
            <w:tcBorders>
              <w:top w:val="single" w:sz="6" w:space="0" w:color="000000"/>
              <w:left w:val="nil" w:sz="6" w:space="0" w:color="auto"/>
              <w:bottom w:val="nil" w:sz="6" w:space="0" w:color="auto"/>
              <w:right w:val="nil" w:sz="6" w:space="0" w:color="auto"/>
            </w:tcBorders>
          </w:tcPr>
          <w:p>
            <w:pPr/>
          </w:p>
        </w:tc>
        <w:tc>
          <w:tcPr>
            <w:tcW w:w="877" w:type="dxa"/>
            <w:tcBorders>
              <w:top w:val="single" w:sz="6" w:space="0" w:color="000000"/>
              <w:left w:val="nil" w:sz="6" w:space="0" w:color="auto"/>
              <w:bottom w:val="nil" w:sz="6" w:space="0" w:color="auto"/>
              <w:right w:val="nil" w:sz="6" w:space="0" w:color="auto"/>
            </w:tcBorders>
          </w:tcPr>
          <w:p>
            <w:pPr/>
          </w:p>
        </w:tc>
        <w:tc>
          <w:tcPr>
            <w:tcW w:w="552" w:type="dxa"/>
            <w:tcBorders>
              <w:top w:val="single" w:sz="6" w:space="0" w:color="000000"/>
              <w:left w:val="nil" w:sz="6" w:space="0" w:color="auto"/>
              <w:bottom w:val="nil" w:sz="6" w:space="0" w:color="auto"/>
              <w:right w:val="nil" w:sz="6" w:space="0" w:color="auto"/>
            </w:tcBorders>
          </w:tcPr>
          <w:p>
            <w:pPr/>
          </w:p>
        </w:tc>
        <w:tc>
          <w:tcPr>
            <w:tcW w:w="474" w:type="dxa"/>
            <w:tcBorders>
              <w:top w:val="single" w:sz="6" w:space="0" w:color="000000"/>
              <w:left w:val="nil" w:sz="6" w:space="0" w:color="auto"/>
              <w:bottom w:val="nil" w:sz="6" w:space="0" w:color="auto"/>
              <w:right w:val="nil" w:sz="6" w:space="0" w:color="auto"/>
            </w:tcBorders>
          </w:tcPr>
          <w:p>
            <w:pPr/>
          </w:p>
        </w:tc>
      </w:tr>
      <w:tr>
        <w:trPr>
          <w:trHeight w:val="207" w:hRule="exact"/>
        </w:trPr>
        <w:tc>
          <w:tcPr>
            <w:tcW w:w="4491" w:type="dxa"/>
            <w:tcBorders>
              <w:top w:val="nil" w:sz="6" w:space="0" w:color="auto"/>
              <w:left w:val="nil" w:sz="6" w:space="0" w:color="auto"/>
              <w:bottom w:val="nil" w:sz="6" w:space="0" w:color="auto"/>
              <w:right w:val="nil" w:sz="6" w:space="0" w:color="auto"/>
            </w:tcBorders>
          </w:tcPr>
          <w:p>
            <w:pPr>
              <w:pStyle w:val="TableParagraph"/>
              <w:spacing w:line="184" w:lineRule="exact"/>
              <w:ind w:right="137"/>
              <w:jc w:val="right"/>
              <w:rPr>
                <w:rFonts w:ascii="宋体" w:hAnsi="宋体" w:cs="宋体" w:eastAsia="宋体" w:hint="default"/>
                <w:sz w:val="16"/>
                <w:szCs w:val="16"/>
              </w:rPr>
            </w:pPr>
            <w:r>
              <w:rPr>
                <w:rFonts w:ascii="宋体" w:hAnsi="宋体" w:cs="宋体" w:eastAsia="宋体" w:hint="default"/>
                <w:w w:val="95"/>
                <w:sz w:val="16"/>
                <w:szCs w:val="16"/>
              </w:rPr>
              <w:t>维尔京群岛</w:t>
            </w:r>
            <w:r>
              <w:rPr>
                <w:rFonts w:ascii="宋体" w:hAnsi="宋体" w:cs="宋体" w:eastAsia="宋体" w:hint="default"/>
                <w:sz w:val="16"/>
                <w:szCs w:val="16"/>
              </w:rPr>
            </w:r>
          </w:p>
        </w:tc>
        <w:tc>
          <w:tcPr>
            <w:tcW w:w="675" w:type="dxa"/>
            <w:tcBorders>
              <w:top w:val="nil" w:sz="6" w:space="0" w:color="auto"/>
              <w:left w:val="nil" w:sz="6" w:space="0" w:color="auto"/>
              <w:bottom w:val="nil" w:sz="6" w:space="0" w:color="auto"/>
              <w:right w:val="nil" w:sz="6" w:space="0" w:color="auto"/>
            </w:tcBorders>
          </w:tcPr>
          <w:p>
            <w:pPr/>
          </w:p>
        </w:tc>
        <w:tc>
          <w:tcPr>
            <w:tcW w:w="1130"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822" w:type="dxa"/>
            <w:tcBorders>
              <w:top w:val="nil" w:sz="6" w:space="0" w:color="auto"/>
              <w:left w:val="nil" w:sz="6" w:space="0" w:color="auto"/>
              <w:bottom w:val="nil" w:sz="6" w:space="0" w:color="auto"/>
              <w:right w:val="nil" w:sz="6" w:space="0" w:color="auto"/>
            </w:tcBorders>
          </w:tcPr>
          <w:p>
            <w:pPr/>
          </w:p>
        </w:tc>
        <w:tc>
          <w:tcPr>
            <w:tcW w:w="663" w:type="dxa"/>
            <w:tcBorders>
              <w:top w:val="nil" w:sz="6" w:space="0" w:color="auto"/>
              <w:left w:val="nil" w:sz="6" w:space="0" w:color="auto"/>
              <w:bottom w:val="nil" w:sz="6" w:space="0" w:color="auto"/>
              <w:right w:val="nil" w:sz="6" w:space="0" w:color="auto"/>
            </w:tcBorders>
          </w:tcPr>
          <w:p>
            <w:pPr/>
          </w:p>
        </w:tc>
        <w:tc>
          <w:tcPr>
            <w:tcW w:w="1112"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
        </w:tc>
        <w:tc>
          <w:tcPr>
            <w:tcW w:w="516"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552" w:type="dxa"/>
            <w:tcBorders>
              <w:top w:val="nil" w:sz="6" w:space="0" w:color="auto"/>
              <w:left w:val="nil" w:sz="6" w:space="0" w:color="auto"/>
              <w:bottom w:val="nil" w:sz="6" w:space="0" w:color="auto"/>
              <w:right w:val="nil" w:sz="6" w:space="0" w:color="auto"/>
            </w:tcBorders>
          </w:tcPr>
          <w:p>
            <w:pPr/>
          </w:p>
        </w:tc>
        <w:tc>
          <w:tcPr>
            <w:tcW w:w="474" w:type="dxa"/>
            <w:tcBorders>
              <w:top w:val="nil" w:sz="6" w:space="0" w:color="auto"/>
              <w:left w:val="nil" w:sz="6" w:space="0" w:color="auto"/>
              <w:bottom w:val="nil" w:sz="6" w:space="0" w:color="auto"/>
              <w:right w:val="nil" w:sz="6" w:space="0" w:color="auto"/>
            </w:tcBorders>
          </w:tcPr>
          <w:p>
            <w:pPr/>
          </w:p>
        </w:tc>
      </w:tr>
      <w:tr>
        <w:trPr>
          <w:trHeight w:val="211" w:hRule="exact"/>
        </w:trPr>
        <w:tc>
          <w:tcPr>
            <w:tcW w:w="4491" w:type="dxa"/>
            <w:tcBorders>
              <w:top w:val="nil" w:sz="6" w:space="0" w:color="auto"/>
              <w:left w:val="nil" w:sz="6" w:space="0" w:color="auto"/>
              <w:bottom w:val="nil" w:sz="6" w:space="0" w:color="auto"/>
              <w:right w:val="nil" w:sz="6" w:space="0" w:color="auto"/>
            </w:tcBorders>
          </w:tcPr>
          <w:p>
            <w:pPr>
              <w:pStyle w:val="TableParagraph"/>
              <w:tabs>
                <w:tab w:pos="2903" w:val="left" w:leader="none"/>
                <w:tab w:pos="3674" w:val="left" w:leader="none"/>
              </w:tabs>
              <w:spacing w:line="194" w:lineRule="exact"/>
              <w:ind w:left="548" w:right="0"/>
              <w:jc w:val="left"/>
              <w:rPr>
                <w:rFonts w:ascii="宋体" w:hAnsi="宋体" w:cs="宋体" w:eastAsia="宋体" w:hint="default"/>
                <w:sz w:val="16"/>
                <w:szCs w:val="16"/>
              </w:rPr>
            </w:pPr>
            <w:r>
              <w:rPr>
                <w:rFonts w:ascii="宋体" w:hAnsi="宋体" w:cs="宋体" w:eastAsia="宋体" w:hint="default"/>
                <w:sz w:val="16"/>
                <w:szCs w:val="16"/>
              </w:rPr>
              <w:t>中国联通</w:t>
            </w:r>
            <w:r>
              <w:rPr>
                <w:rFonts w:ascii="宋体" w:hAnsi="宋体" w:cs="宋体" w:eastAsia="宋体" w:hint="default"/>
                <w:spacing w:val="-42"/>
                <w:sz w:val="16"/>
                <w:szCs w:val="16"/>
              </w:rPr>
              <w:t> </w:t>
            </w:r>
            <w:r>
              <w:rPr>
                <w:rFonts w:ascii="Arial" w:hAnsi="Arial" w:cs="Arial" w:eastAsia="Arial" w:hint="default"/>
                <w:sz w:val="16"/>
                <w:szCs w:val="16"/>
              </w:rPr>
              <w:t>BVI</w:t>
            </w:r>
            <w:r>
              <w:rPr>
                <w:rFonts w:ascii="Arial" w:hAnsi="Arial" w:cs="Arial" w:eastAsia="Arial" w:hint="default"/>
                <w:spacing w:val="-6"/>
                <w:sz w:val="16"/>
                <w:szCs w:val="16"/>
              </w:rPr>
              <w:t> </w:t>
            </w:r>
            <w:r>
              <w:rPr>
                <w:rFonts w:ascii="宋体" w:hAnsi="宋体" w:cs="宋体" w:eastAsia="宋体" w:hint="default"/>
                <w:sz w:val="16"/>
                <w:szCs w:val="16"/>
              </w:rPr>
              <w:t>有限公司</w:t>
              <w:tab/>
            </w:r>
            <w:r>
              <w:rPr>
                <w:rFonts w:ascii="宋体" w:hAnsi="宋体" w:cs="宋体" w:eastAsia="宋体" w:hint="default"/>
                <w:w w:val="95"/>
                <w:sz w:val="16"/>
                <w:szCs w:val="16"/>
              </w:rPr>
              <w:t>直接</w:t>
              <w:tab/>
            </w:r>
            <w:r>
              <w:rPr>
                <w:rFonts w:ascii="Arial" w:hAnsi="Arial" w:cs="Arial" w:eastAsia="Arial" w:hint="default"/>
                <w:sz w:val="16"/>
                <w:szCs w:val="16"/>
              </w:rPr>
              <w:t>2000</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675" w:type="dxa"/>
            <w:tcBorders>
              <w:top w:val="nil" w:sz="6" w:space="0" w:color="auto"/>
              <w:left w:val="nil" w:sz="6" w:space="0" w:color="auto"/>
              <w:bottom w:val="nil" w:sz="6" w:space="0" w:color="auto"/>
              <w:right w:val="nil" w:sz="6" w:space="0" w:color="auto"/>
            </w:tcBorders>
          </w:tcPr>
          <w:p>
            <w:pPr>
              <w:pStyle w:val="TableParagraph"/>
              <w:spacing w:line="183" w:lineRule="exact"/>
              <w:ind w:right="214"/>
              <w:jc w:val="right"/>
              <w:rPr>
                <w:rFonts w:ascii="宋体" w:hAnsi="宋体" w:cs="宋体" w:eastAsia="宋体" w:hint="default"/>
                <w:sz w:val="16"/>
                <w:szCs w:val="16"/>
              </w:rPr>
            </w:pPr>
            <w:r>
              <w:rPr>
                <w:rFonts w:ascii="宋体" w:hAnsi="宋体" w:cs="宋体" w:eastAsia="宋体" w:hint="default"/>
                <w:w w:val="95"/>
                <w:sz w:val="16"/>
                <w:szCs w:val="16"/>
              </w:rPr>
              <w:t>投资</w:t>
            </w:r>
            <w:r>
              <w:rPr>
                <w:rFonts w:ascii="宋体" w:hAnsi="宋体" w:cs="宋体" w:eastAsia="宋体" w:hint="default"/>
                <w:sz w:val="16"/>
                <w:szCs w:val="16"/>
              </w:rPr>
            </w:r>
          </w:p>
        </w:tc>
        <w:tc>
          <w:tcPr>
            <w:tcW w:w="1130"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822" w:type="dxa"/>
            <w:tcBorders>
              <w:top w:val="nil" w:sz="6" w:space="0" w:color="auto"/>
              <w:left w:val="nil" w:sz="6" w:space="0" w:color="auto"/>
              <w:bottom w:val="nil" w:sz="6" w:space="0" w:color="auto"/>
              <w:right w:val="nil" w:sz="6" w:space="0" w:color="auto"/>
            </w:tcBorders>
          </w:tcPr>
          <w:p>
            <w:pPr>
              <w:pStyle w:val="TableParagraph"/>
              <w:spacing w:line="183" w:lineRule="exact"/>
              <w:ind w:right="47"/>
              <w:jc w:val="center"/>
              <w:rPr>
                <w:rFonts w:ascii="宋体" w:hAnsi="宋体" w:cs="宋体" w:eastAsia="宋体" w:hint="default"/>
                <w:sz w:val="16"/>
                <w:szCs w:val="16"/>
              </w:rPr>
            </w:pPr>
            <w:r>
              <w:rPr>
                <w:rFonts w:ascii="宋体" w:hAnsi="宋体" w:cs="宋体" w:eastAsia="宋体" w:hint="default"/>
                <w:sz w:val="16"/>
                <w:szCs w:val="16"/>
              </w:rPr>
              <w:t>有限</w:t>
            </w:r>
          </w:p>
        </w:tc>
        <w:tc>
          <w:tcPr>
            <w:tcW w:w="663" w:type="dxa"/>
            <w:tcBorders>
              <w:top w:val="nil" w:sz="6" w:space="0" w:color="auto"/>
              <w:left w:val="nil" w:sz="6" w:space="0" w:color="auto"/>
              <w:bottom w:val="nil" w:sz="6" w:space="0" w:color="auto"/>
              <w:right w:val="nil" w:sz="6" w:space="0" w:color="auto"/>
            </w:tcBorders>
          </w:tcPr>
          <w:p>
            <w:pPr/>
          </w:p>
        </w:tc>
        <w:tc>
          <w:tcPr>
            <w:tcW w:w="1112"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
        </w:tc>
        <w:tc>
          <w:tcPr>
            <w:tcW w:w="516"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552" w:type="dxa"/>
            <w:tcBorders>
              <w:top w:val="nil" w:sz="6" w:space="0" w:color="auto"/>
              <w:left w:val="nil" w:sz="6" w:space="0" w:color="auto"/>
              <w:bottom w:val="nil" w:sz="6" w:space="0" w:color="auto"/>
              <w:right w:val="nil" w:sz="6" w:space="0" w:color="auto"/>
            </w:tcBorders>
          </w:tcPr>
          <w:p>
            <w:pPr/>
          </w:p>
        </w:tc>
        <w:tc>
          <w:tcPr>
            <w:tcW w:w="474" w:type="dxa"/>
            <w:tcBorders>
              <w:top w:val="nil" w:sz="6" w:space="0" w:color="auto"/>
              <w:left w:val="nil" w:sz="6" w:space="0" w:color="auto"/>
              <w:bottom w:val="nil" w:sz="6" w:space="0" w:color="auto"/>
              <w:right w:val="nil" w:sz="6" w:space="0" w:color="auto"/>
            </w:tcBorders>
          </w:tcPr>
          <w:p>
            <w:pPr/>
          </w:p>
        </w:tc>
      </w:tr>
      <w:tr>
        <w:trPr>
          <w:trHeight w:val="305" w:hRule="exact"/>
        </w:trPr>
        <w:tc>
          <w:tcPr>
            <w:tcW w:w="4491" w:type="dxa"/>
            <w:tcBorders>
              <w:top w:val="nil" w:sz="6" w:space="0" w:color="auto"/>
              <w:left w:val="nil" w:sz="6" w:space="0" w:color="auto"/>
              <w:bottom w:val="nil" w:sz="6" w:space="0" w:color="auto"/>
              <w:right w:val="nil" w:sz="6" w:space="0" w:color="auto"/>
            </w:tcBorders>
          </w:tcPr>
          <w:p>
            <w:pPr>
              <w:pStyle w:val="TableParagraph"/>
              <w:tabs>
                <w:tab w:pos="2903" w:val="left" w:leader="none"/>
                <w:tab w:pos="3599" w:val="left" w:leader="none"/>
              </w:tabs>
              <w:spacing w:line="191" w:lineRule="exact"/>
              <w:ind w:left="548" w:right="0"/>
              <w:jc w:val="left"/>
              <w:rPr>
                <w:rFonts w:ascii="宋体" w:hAnsi="宋体" w:cs="宋体" w:eastAsia="宋体" w:hint="default"/>
                <w:sz w:val="16"/>
                <w:szCs w:val="16"/>
              </w:rPr>
            </w:pPr>
            <w:r>
              <w:rPr>
                <w:rFonts w:ascii="宋体" w:hAnsi="宋体" w:cs="宋体" w:eastAsia="宋体" w:hint="default"/>
                <w:sz w:val="16"/>
                <w:szCs w:val="16"/>
              </w:rPr>
              <w:t>（“联通</w:t>
            </w:r>
            <w:r>
              <w:rPr>
                <w:rFonts w:ascii="宋体" w:hAnsi="宋体" w:cs="宋体" w:eastAsia="宋体" w:hint="default"/>
                <w:spacing w:val="-42"/>
                <w:sz w:val="16"/>
                <w:szCs w:val="16"/>
              </w:rPr>
              <w:t> </w:t>
            </w:r>
            <w:r>
              <w:rPr>
                <w:rFonts w:ascii="Arial" w:hAnsi="Arial" w:cs="Arial" w:eastAsia="Arial" w:hint="default"/>
                <w:sz w:val="16"/>
                <w:szCs w:val="16"/>
              </w:rPr>
              <w:t>BVI</w:t>
            </w:r>
            <w:r>
              <w:rPr>
                <w:rFonts w:ascii="Arial" w:hAnsi="Arial" w:cs="Arial" w:eastAsia="Arial" w:hint="default"/>
                <w:spacing w:val="-6"/>
                <w:sz w:val="16"/>
                <w:szCs w:val="16"/>
              </w:rPr>
              <w:t> </w:t>
            </w:r>
            <w:r>
              <w:rPr>
                <w:rFonts w:ascii="宋体" w:hAnsi="宋体" w:cs="宋体" w:eastAsia="宋体" w:hint="default"/>
                <w:sz w:val="16"/>
                <w:szCs w:val="16"/>
              </w:rPr>
              <w:t>公司”）</w:t>
              <w:tab/>
            </w:r>
            <w:r>
              <w:rPr>
                <w:rFonts w:ascii="宋体" w:hAnsi="宋体" w:cs="宋体" w:eastAsia="宋体" w:hint="default"/>
                <w:w w:val="95"/>
                <w:sz w:val="16"/>
                <w:szCs w:val="16"/>
              </w:rPr>
              <w:t>控股</w:t>
              <w:tab/>
            </w:r>
            <w:r>
              <w:rPr>
                <w:rFonts w:ascii="Arial" w:hAnsi="Arial" w:cs="Arial" w:eastAsia="Arial" w:hint="default"/>
                <w:sz w:val="16"/>
                <w:szCs w:val="16"/>
              </w:rPr>
              <w:t>1</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r>
          </w:p>
        </w:tc>
        <w:tc>
          <w:tcPr>
            <w:tcW w:w="675" w:type="dxa"/>
            <w:tcBorders>
              <w:top w:val="nil" w:sz="6" w:space="0" w:color="auto"/>
              <w:left w:val="nil" w:sz="6" w:space="0" w:color="auto"/>
              <w:bottom w:val="nil" w:sz="6" w:space="0" w:color="auto"/>
              <w:right w:val="nil" w:sz="6" w:space="0" w:color="auto"/>
            </w:tcBorders>
          </w:tcPr>
          <w:p>
            <w:pPr>
              <w:pStyle w:val="TableParagraph"/>
              <w:spacing w:line="180" w:lineRule="exact"/>
              <w:ind w:right="214"/>
              <w:jc w:val="right"/>
              <w:rPr>
                <w:rFonts w:ascii="宋体" w:hAnsi="宋体" w:cs="宋体" w:eastAsia="宋体" w:hint="default"/>
                <w:sz w:val="16"/>
                <w:szCs w:val="16"/>
              </w:rPr>
            </w:pPr>
            <w:r>
              <w:rPr>
                <w:rFonts w:ascii="宋体" w:hAnsi="宋体" w:cs="宋体" w:eastAsia="宋体" w:hint="default"/>
                <w:w w:val="95"/>
                <w:sz w:val="16"/>
                <w:szCs w:val="16"/>
              </w:rPr>
              <w:t>控股</w:t>
            </w:r>
            <w:r>
              <w:rPr>
                <w:rFonts w:ascii="宋体" w:hAnsi="宋体" w:cs="宋体" w:eastAsia="宋体" w:hint="default"/>
                <w:sz w:val="16"/>
                <w:szCs w:val="16"/>
              </w:rPr>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2"/>
              <w:jc w:val="right"/>
              <w:rPr>
                <w:rFonts w:ascii="Arial" w:hAnsi="Arial" w:cs="Arial" w:eastAsia="Arial" w:hint="default"/>
                <w:sz w:val="16"/>
                <w:szCs w:val="16"/>
              </w:rPr>
            </w:pPr>
            <w:r>
              <w:rPr>
                <w:rFonts w:ascii="Arial"/>
                <w:w w:val="95"/>
                <w:sz w:val="16"/>
              </w:rPr>
              <w:t>413</w:t>
            </w:r>
            <w:r>
              <w:rPr>
                <w:rFonts w:ascii="Arial"/>
                <w:sz w:val="16"/>
              </w:rPr>
            </w:r>
          </w:p>
        </w:tc>
        <w:tc>
          <w:tcPr>
            <w:tcW w:w="854" w:type="dxa"/>
            <w:tcBorders>
              <w:top w:val="nil" w:sz="6" w:space="0" w:color="auto"/>
              <w:left w:val="nil" w:sz="6" w:space="0" w:color="auto"/>
              <w:bottom w:val="nil" w:sz="6" w:space="0" w:color="auto"/>
              <w:right w:val="nil" w:sz="6" w:space="0" w:color="auto"/>
            </w:tcBorders>
          </w:tcPr>
          <w:p>
            <w:pPr>
              <w:pStyle w:val="TableParagraph"/>
              <w:spacing w:line="180" w:lineRule="exact"/>
              <w:ind w:left="149" w:right="0"/>
              <w:jc w:val="left"/>
              <w:rPr>
                <w:rFonts w:ascii="宋体" w:hAnsi="宋体" w:cs="宋体" w:eastAsia="宋体" w:hint="default"/>
                <w:sz w:val="16"/>
                <w:szCs w:val="16"/>
              </w:rPr>
            </w:pPr>
            <w:r>
              <w:rPr>
                <w:rFonts w:ascii="宋体" w:hAnsi="宋体" w:cs="宋体" w:eastAsia="宋体" w:hint="default"/>
                <w:sz w:val="16"/>
                <w:szCs w:val="16"/>
              </w:rPr>
              <w:t>投资控股</w:t>
            </w:r>
          </w:p>
        </w:tc>
        <w:tc>
          <w:tcPr>
            <w:tcW w:w="822" w:type="dxa"/>
            <w:tcBorders>
              <w:top w:val="nil" w:sz="6" w:space="0" w:color="auto"/>
              <w:left w:val="nil" w:sz="6" w:space="0" w:color="auto"/>
              <w:bottom w:val="nil" w:sz="6" w:space="0" w:color="auto"/>
              <w:right w:val="nil" w:sz="6" w:space="0" w:color="auto"/>
            </w:tcBorders>
          </w:tcPr>
          <w:p>
            <w:pPr>
              <w:pStyle w:val="TableParagraph"/>
              <w:spacing w:line="180" w:lineRule="exact"/>
              <w:ind w:right="47"/>
              <w:jc w:val="center"/>
              <w:rPr>
                <w:rFonts w:ascii="宋体" w:hAnsi="宋体" w:cs="宋体" w:eastAsia="宋体" w:hint="default"/>
                <w:sz w:val="16"/>
                <w:szCs w:val="16"/>
              </w:rPr>
            </w:pPr>
            <w:r>
              <w:rPr>
                <w:rFonts w:ascii="宋体" w:hAnsi="宋体" w:cs="宋体" w:eastAsia="宋体" w:hint="default"/>
                <w:sz w:val="16"/>
                <w:szCs w:val="16"/>
              </w:rPr>
              <w:t>公司</w:t>
            </w:r>
          </w:p>
        </w:tc>
        <w:tc>
          <w:tcPr>
            <w:tcW w:w="663" w:type="dxa"/>
            <w:tcBorders>
              <w:top w:val="nil" w:sz="6" w:space="0" w:color="auto"/>
              <w:left w:val="nil" w:sz="6" w:space="0" w:color="auto"/>
              <w:bottom w:val="nil" w:sz="6" w:space="0" w:color="auto"/>
              <w:right w:val="nil" w:sz="6" w:space="0" w:color="auto"/>
            </w:tcBorders>
          </w:tcPr>
          <w:p>
            <w:pPr>
              <w:pStyle w:val="TableParagraph"/>
              <w:spacing w:line="180" w:lineRule="exact"/>
              <w:ind w:right="96"/>
              <w:jc w:val="right"/>
              <w:rPr>
                <w:rFonts w:ascii="宋体" w:hAnsi="宋体" w:cs="宋体" w:eastAsia="宋体" w:hint="default"/>
                <w:sz w:val="16"/>
                <w:szCs w:val="16"/>
              </w:rPr>
            </w:pPr>
            <w:r>
              <w:rPr>
                <w:rFonts w:ascii="宋体" w:hAnsi="宋体" w:cs="宋体" w:eastAsia="宋体" w:hint="default"/>
                <w:w w:val="95"/>
                <w:sz w:val="16"/>
                <w:szCs w:val="16"/>
              </w:rPr>
              <w:t>不适用</w:t>
            </w:r>
            <w:r>
              <w:rPr>
                <w:rFonts w:ascii="宋体" w:hAnsi="宋体" w:cs="宋体" w:eastAsia="宋体" w:hint="default"/>
                <w:sz w:val="16"/>
                <w:szCs w:val="16"/>
              </w:rPr>
            </w:r>
          </w:p>
        </w:tc>
        <w:tc>
          <w:tcPr>
            <w:tcW w:w="1112" w:type="dxa"/>
            <w:tcBorders>
              <w:top w:val="nil" w:sz="6" w:space="0" w:color="auto"/>
              <w:left w:val="nil" w:sz="6" w:space="0" w:color="auto"/>
              <w:bottom w:val="nil" w:sz="6" w:space="0" w:color="auto"/>
              <w:right w:val="nil" w:sz="6" w:space="0" w:color="auto"/>
            </w:tcBorders>
          </w:tcPr>
          <w:p>
            <w:pPr>
              <w:pStyle w:val="TableParagraph"/>
              <w:spacing w:line="180" w:lineRule="exact"/>
              <w:ind w:left="257" w:right="0"/>
              <w:jc w:val="left"/>
              <w:rPr>
                <w:rFonts w:ascii="宋体" w:hAnsi="宋体" w:cs="宋体" w:eastAsia="宋体" w:hint="default"/>
                <w:sz w:val="16"/>
                <w:szCs w:val="16"/>
              </w:rPr>
            </w:pPr>
            <w:r>
              <w:rPr>
                <w:rFonts w:ascii="宋体" w:hAnsi="宋体" w:cs="宋体" w:eastAsia="宋体" w:hint="default"/>
                <w:sz w:val="16"/>
                <w:szCs w:val="16"/>
              </w:rPr>
              <w:t>不适用</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33"/>
              <w:jc w:val="right"/>
              <w:rPr>
                <w:rFonts w:ascii="Arial" w:hAnsi="Arial" w:cs="Arial" w:eastAsia="Arial" w:hint="default"/>
                <w:sz w:val="16"/>
                <w:szCs w:val="16"/>
              </w:rPr>
            </w:pPr>
            <w:r>
              <w:rPr>
                <w:rFonts w:ascii="Arial"/>
                <w:w w:val="95"/>
                <w:sz w:val="16"/>
              </w:rPr>
              <w:t>38,538,134</w:t>
            </w:r>
            <w:r>
              <w:rPr>
                <w:rFonts w:ascii="Arial"/>
                <w:sz w:val="16"/>
              </w:rPr>
            </w:r>
          </w:p>
        </w:tc>
        <w:tc>
          <w:tcPr>
            <w:tcW w:w="1028" w:type="dxa"/>
            <w:tcBorders>
              <w:top w:val="nil" w:sz="6" w:space="0" w:color="auto"/>
              <w:left w:val="nil" w:sz="6" w:space="0" w:color="auto"/>
              <w:bottom w:val="nil" w:sz="6" w:space="0" w:color="auto"/>
              <w:right w:val="nil" w:sz="6" w:space="0" w:color="auto"/>
            </w:tcBorders>
          </w:tcPr>
          <w:p>
            <w:pPr>
              <w:pStyle w:val="TableParagraph"/>
              <w:spacing w:line="179" w:lineRule="exact"/>
              <w:ind w:left="55" w:right="0"/>
              <w:jc w:val="center"/>
              <w:rPr>
                <w:rFonts w:ascii="宋体" w:hAnsi="宋体" w:cs="宋体" w:eastAsia="宋体" w:hint="default"/>
                <w:sz w:val="16"/>
                <w:szCs w:val="16"/>
              </w:rPr>
            </w:pPr>
            <w:r>
              <w:rPr>
                <w:rFonts w:ascii="宋体" w:hAnsi="宋体" w:cs="宋体" w:eastAsia="宋体" w:hint="default"/>
                <w:w w:val="99"/>
                <w:sz w:val="16"/>
                <w:szCs w:val="16"/>
              </w:rPr>
              <w:t>无</w:t>
            </w:r>
            <w:r>
              <w:rPr>
                <w:rFonts w:ascii="宋体" w:hAnsi="宋体" w:cs="宋体" w:eastAsia="宋体" w:hint="default"/>
                <w:sz w:val="16"/>
                <w:szCs w:val="16"/>
              </w:rPr>
            </w:r>
          </w:p>
        </w:tc>
        <w:tc>
          <w:tcPr>
            <w:tcW w:w="540" w:type="dxa"/>
            <w:tcBorders>
              <w:top w:val="nil" w:sz="6" w:space="0" w:color="auto"/>
              <w:left w:val="nil" w:sz="6" w:space="0" w:color="auto"/>
              <w:bottom w:val="nil" w:sz="6" w:space="0" w:color="auto"/>
              <w:right w:val="nil" w:sz="6" w:space="0" w:color="auto"/>
            </w:tcBorders>
          </w:tcPr>
          <w:p>
            <w:pPr>
              <w:pStyle w:val="TableParagraph"/>
              <w:spacing w:line="240" w:lineRule="auto" w:before="19"/>
              <w:ind w:left="47" w:right="0"/>
              <w:jc w:val="center"/>
              <w:rPr>
                <w:rFonts w:ascii="Arial" w:hAnsi="Arial" w:cs="Arial" w:eastAsia="Arial" w:hint="default"/>
                <w:sz w:val="16"/>
                <w:szCs w:val="16"/>
              </w:rPr>
            </w:pPr>
            <w:r>
              <w:rPr>
                <w:rFonts w:ascii="Arial"/>
                <w:sz w:val="16"/>
              </w:rPr>
              <w:t>82.10</w:t>
            </w:r>
          </w:p>
        </w:tc>
        <w:tc>
          <w:tcPr>
            <w:tcW w:w="59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55" w:right="0"/>
              <w:jc w:val="center"/>
              <w:rPr>
                <w:rFonts w:ascii="Arial" w:hAnsi="Arial" w:cs="Arial" w:eastAsia="Arial" w:hint="default"/>
                <w:sz w:val="16"/>
                <w:szCs w:val="16"/>
              </w:rPr>
            </w:pPr>
            <w:r>
              <w:rPr>
                <w:rFonts w:ascii="Arial"/>
                <w:sz w:val="16"/>
              </w:rPr>
              <w:t>82.10</w:t>
            </w:r>
          </w:p>
        </w:tc>
        <w:tc>
          <w:tcPr>
            <w:tcW w:w="516" w:type="dxa"/>
            <w:tcBorders>
              <w:top w:val="nil" w:sz="6" w:space="0" w:color="auto"/>
              <w:left w:val="nil" w:sz="6" w:space="0" w:color="auto"/>
              <w:bottom w:val="nil" w:sz="6" w:space="0" w:color="auto"/>
              <w:right w:val="nil" w:sz="6" w:space="0" w:color="auto"/>
            </w:tcBorders>
          </w:tcPr>
          <w:p>
            <w:pPr>
              <w:pStyle w:val="TableParagraph"/>
              <w:spacing w:line="179" w:lineRule="exact"/>
              <w:ind w:right="54"/>
              <w:jc w:val="center"/>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6" w:right="0"/>
              <w:jc w:val="center"/>
              <w:rPr>
                <w:rFonts w:ascii="Arial" w:hAnsi="Arial" w:cs="Arial" w:eastAsia="Arial" w:hint="default"/>
                <w:sz w:val="16"/>
                <w:szCs w:val="16"/>
              </w:rPr>
            </w:pPr>
            <w:r>
              <w:rPr>
                <w:rFonts w:ascii="Arial"/>
                <w:sz w:val="16"/>
              </w:rPr>
              <w:t>154</w:t>
            </w:r>
          </w:p>
        </w:tc>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 w:right="0"/>
              <w:jc w:val="center"/>
              <w:rPr>
                <w:rFonts w:ascii="Arial" w:hAnsi="Arial" w:cs="Arial" w:eastAsia="Arial" w:hint="default"/>
                <w:sz w:val="16"/>
                <w:szCs w:val="16"/>
              </w:rPr>
            </w:pPr>
            <w:r>
              <w:rPr>
                <w:rFonts w:ascii="Arial"/>
                <w:w w:val="99"/>
                <w:sz w:val="16"/>
              </w:rPr>
              <w:t>-</w:t>
            </w:r>
            <w:r>
              <w:rPr>
                <w:rFonts w:ascii="Arial"/>
                <w:sz w:val="16"/>
              </w:rPr>
            </w:r>
          </w:p>
        </w:tc>
        <w:tc>
          <w:tcPr>
            <w:tcW w:w="474"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90" w:right="0"/>
              <w:jc w:val="left"/>
              <w:rPr>
                <w:rFonts w:ascii="Arial" w:hAnsi="Arial" w:cs="Arial" w:eastAsia="Arial" w:hint="default"/>
                <w:sz w:val="16"/>
                <w:szCs w:val="16"/>
              </w:rPr>
            </w:pPr>
            <w:r>
              <w:rPr>
                <w:rFonts w:ascii="Arial"/>
                <w:w w:val="99"/>
                <w:sz w:val="16"/>
              </w:rPr>
              <w:t>-</w:t>
            </w:r>
            <w:r>
              <w:rPr>
                <w:rFonts w:ascii="Arial"/>
                <w:sz w:val="16"/>
              </w:rPr>
            </w:r>
          </w:p>
        </w:tc>
      </w:tr>
      <w:tr>
        <w:trPr>
          <w:trHeight w:val="289" w:hRule="exact"/>
        </w:trPr>
        <w:tc>
          <w:tcPr>
            <w:tcW w:w="4491" w:type="dxa"/>
            <w:tcBorders>
              <w:top w:val="nil" w:sz="6" w:space="0" w:color="auto"/>
              <w:left w:val="nil" w:sz="6" w:space="0" w:color="auto"/>
              <w:bottom w:val="nil" w:sz="6" w:space="0" w:color="auto"/>
              <w:right w:val="nil" w:sz="6" w:space="0" w:color="auto"/>
            </w:tcBorders>
          </w:tcPr>
          <w:p>
            <w:pPr>
              <w:pStyle w:val="TableParagraph"/>
              <w:tabs>
                <w:tab w:pos="3003" w:val="left" w:leader="none"/>
              </w:tabs>
              <w:spacing w:line="240" w:lineRule="auto" w:before="56"/>
              <w:ind w:right="137"/>
              <w:jc w:val="right"/>
              <w:rPr>
                <w:rFonts w:ascii="宋体" w:hAnsi="宋体" w:cs="宋体" w:eastAsia="宋体" w:hint="default"/>
                <w:sz w:val="16"/>
                <w:szCs w:val="16"/>
              </w:rPr>
            </w:pPr>
            <w:r>
              <w:rPr>
                <w:rFonts w:ascii="宋体" w:hAnsi="宋体" w:cs="宋体" w:eastAsia="宋体" w:hint="default"/>
                <w:w w:val="95"/>
                <w:sz w:val="16"/>
                <w:szCs w:val="16"/>
              </w:rPr>
              <w:t>中国联合网络通信</w:t>
              <w:tab/>
              <w:t>中国，香港</w:t>
            </w:r>
            <w:r>
              <w:rPr>
                <w:rFonts w:ascii="宋体" w:hAnsi="宋体" w:cs="宋体" w:eastAsia="宋体" w:hint="default"/>
                <w:sz w:val="16"/>
                <w:szCs w:val="16"/>
              </w:rPr>
            </w:r>
          </w:p>
        </w:tc>
        <w:tc>
          <w:tcPr>
            <w:tcW w:w="675" w:type="dxa"/>
            <w:tcBorders>
              <w:top w:val="nil" w:sz="6" w:space="0" w:color="auto"/>
              <w:left w:val="nil" w:sz="6" w:space="0" w:color="auto"/>
              <w:bottom w:val="nil" w:sz="6" w:space="0" w:color="auto"/>
              <w:right w:val="nil" w:sz="6" w:space="0" w:color="auto"/>
            </w:tcBorders>
          </w:tcPr>
          <w:p>
            <w:pPr/>
          </w:p>
        </w:tc>
        <w:tc>
          <w:tcPr>
            <w:tcW w:w="1130"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822" w:type="dxa"/>
            <w:tcBorders>
              <w:top w:val="nil" w:sz="6" w:space="0" w:color="auto"/>
              <w:left w:val="nil" w:sz="6" w:space="0" w:color="auto"/>
              <w:bottom w:val="nil" w:sz="6" w:space="0" w:color="auto"/>
              <w:right w:val="nil" w:sz="6" w:space="0" w:color="auto"/>
            </w:tcBorders>
          </w:tcPr>
          <w:p>
            <w:pPr/>
          </w:p>
        </w:tc>
        <w:tc>
          <w:tcPr>
            <w:tcW w:w="663" w:type="dxa"/>
            <w:tcBorders>
              <w:top w:val="nil" w:sz="6" w:space="0" w:color="auto"/>
              <w:left w:val="nil" w:sz="6" w:space="0" w:color="auto"/>
              <w:bottom w:val="nil" w:sz="6" w:space="0" w:color="auto"/>
              <w:right w:val="nil" w:sz="6" w:space="0" w:color="auto"/>
            </w:tcBorders>
          </w:tcPr>
          <w:p>
            <w:pPr/>
          </w:p>
        </w:tc>
        <w:tc>
          <w:tcPr>
            <w:tcW w:w="1112"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
        </w:tc>
        <w:tc>
          <w:tcPr>
            <w:tcW w:w="516"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552" w:type="dxa"/>
            <w:tcBorders>
              <w:top w:val="nil" w:sz="6" w:space="0" w:color="auto"/>
              <w:left w:val="nil" w:sz="6" w:space="0" w:color="auto"/>
              <w:bottom w:val="nil" w:sz="6" w:space="0" w:color="auto"/>
              <w:right w:val="nil" w:sz="6" w:space="0" w:color="auto"/>
            </w:tcBorders>
          </w:tcPr>
          <w:p>
            <w:pPr/>
          </w:p>
        </w:tc>
        <w:tc>
          <w:tcPr>
            <w:tcW w:w="474" w:type="dxa"/>
            <w:tcBorders>
              <w:top w:val="nil" w:sz="6" w:space="0" w:color="auto"/>
              <w:left w:val="nil" w:sz="6" w:space="0" w:color="auto"/>
              <w:bottom w:val="nil" w:sz="6" w:space="0" w:color="auto"/>
              <w:right w:val="nil" w:sz="6" w:space="0" w:color="auto"/>
            </w:tcBorders>
          </w:tcPr>
          <w:p>
            <w:pPr/>
          </w:p>
        </w:tc>
      </w:tr>
      <w:tr>
        <w:trPr>
          <w:trHeight w:val="212" w:hRule="exact"/>
        </w:trPr>
        <w:tc>
          <w:tcPr>
            <w:tcW w:w="4491" w:type="dxa"/>
            <w:tcBorders>
              <w:top w:val="nil" w:sz="6" w:space="0" w:color="auto"/>
              <w:left w:val="nil" w:sz="6" w:space="0" w:color="auto"/>
              <w:bottom w:val="nil" w:sz="6" w:space="0" w:color="auto"/>
              <w:right w:val="nil" w:sz="6" w:space="0" w:color="auto"/>
            </w:tcBorders>
          </w:tcPr>
          <w:p>
            <w:pPr>
              <w:pStyle w:val="TableParagraph"/>
              <w:tabs>
                <w:tab w:pos="2902" w:val="left" w:leader="none"/>
                <w:tab w:pos="3645" w:val="left" w:leader="none"/>
              </w:tabs>
              <w:spacing w:line="195" w:lineRule="exact"/>
              <w:ind w:left="548" w:right="0"/>
              <w:jc w:val="left"/>
              <w:rPr>
                <w:rFonts w:ascii="宋体" w:hAnsi="宋体" w:cs="宋体" w:eastAsia="宋体" w:hint="default"/>
                <w:sz w:val="16"/>
                <w:szCs w:val="16"/>
              </w:rPr>
            </w:pPr>
            <w:r>
              <w:rPr>
                <w:rFonts w:ascii="宋体" w:hAnsi="宋体" w:cs="宋体" w:eastAsia="宋体" w:hint="default"/>
                <w:w w:val="95"/>
                <w:sz w:val="16"/>
                <w:szCs w:val="16"/>
              </w:rPr>
              <w:t>（香港）股份有限公司</w:t>
              <w:tab/>
              <w:t>间接</w:t>
              <w:tab/>
            </w:r>
            <w:r>
              <w:rPr>
                <w:rFonts w:ascii="Arial" w:hAnsi="Arial" w:cs="Arial" w:eastAsia="Arial" w:hint="default"/>
                <w:sz w:val="16"/>
                <w:szCs w:val="16"/>
              </w:rPr>
              <w:t>2000</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675" w:type="dxa"/>
            <w:tcBorders>
              <w:top w:val="nil" w:sz="6" w:space="0" w:color="auto"/>
              <w:left w:val="nil" w:sz="6" w:space="0" w:color="auto"/>
              <w:bottom w:val="nil" w:sz="6" w:space="0" w:color="auto"/>
              <w:right w:val="nil" w:sz="6" w:space="0" w:color="auto"/>
            </w:tcBorders>
          </w:tcPr>
          <w:p>
            <w:pPr>
              <w:pStyle w:val="TableParagraph"/>
              <w:spacing w:line="184" w:lineRule="exact"/>
              <w:ind w:right="214"/>
              <w:jc w:val="right"/>
              <w:rPr>
                <w:rFonts w:ascii="宋体" w:hAnsi="宋体" w:cs="宋体" w:eastAsia="宋体" w:hint="default"/>
                <w:sz w:val="16"/>
                <w:szCs w:val="16"/>
              </w:rPr>
            </w:pPr>
            <w:r>
              <w:rPr>
                <w:rFonts w:ascii="宋体" w:hAnsi="宋体" w:cs="宋体" w:eastAsia="宋体" w:hint="default"/>
                <w:w w:val="95"/>
                <w:sz w:val="16"/>
                <w:szCs w:val="16"/>
              </w:rPr>
              <w:t>投资</w:t>
            </w:r>
            <w:r>
              <w:rPr>
                <w:rFonts w:ascii="宋体" w:hAnsi="宋体" w:cs="宋体" w:eastAsia="宋体" w:hint="default"/>
                <w:sz w:val="16"/>
                <w:szCs w:val="16"/>
              </w:rPr>
            </w:r>
          </w:p>
        </w:tc>
        <w:tc>
          <w:tcPr>
            <w:tcW w:w="1130"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822" w:type="dxa"/>
            <w:tcBorders>
              <w:top w:val="nil" w:sz="6" w:space="0" w:color="auto"/>
              <w:left w:val="nil" w:sz="6" w:space="0" w:color="auto"/>
              <w:bottom w:val="nil" w:sz="6" w:space="0" w:color="auto"/>
              <w:right w:val="nil" w:sz="6" w:space="0" w:color="auto"/>
            </w:tcBorders>
          </w:tcPr>
          <w:p>
            <w:pPr>
              <w:pStyle w:val="TableParagraph"/>
              <w:spacing w:line="184" w:lineRule="exact"/>
              <w:ind w:right="47"/>
              <w:jc w:val="center"/>
              <w:rPr>
                <w:rFonts w:ascii="宋体" w:hAnsi="宋体" w:cs="宋体" w:eastAsia="宋体" w:hint="default"/>
                <w:sz w:val="16"/>
                <w:szCs w:val="16"/>
              </w:rPr>
            </w:pPr>
            <w:r>
              <w:rPr>
                <w:rFonts w:ascii="宋体" w:hAnsi="宋体" w:cs="宋体" w:eastAsia="宋体" w:hint="default"/>
                <w:sz w:val="16"/>
                <w:szCs w:val="16"/>
              </w:rPr>
              <w:t>有限</w:t>
            </w:r>
          </w:p>
        </w:tc>
        <w:tc>
          <w:tcPr>
            <w:tcW w:w="663" w:type="dxa"/>
            <w:tcBorders>
              <w:top w:val="nil" w:sz="6" w:space="0" w:color="auto"/>
              <w:left w:val="nil" w:sz="6" w:space="0" w:color="auto"/>
              <w:bottom w:val="nil" w:sz="6" w:space="0" w:color="auto"/>
              <w:right w:val="nil" w:sz="6" w:space="0" w:color="auto"/>
            </w:tcBorders>
          </w:tcPr>
          <w:p>
            <w:pPr/>
          </w:p>
        </w:tc>
        <w:tc>
          <w:tcPr>
            <w:tcW w:w="1112"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
        </w:tc>
        <w:tc>
          <w:tcPr>
            <w:tcW w:w="516"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552" w:type="dxa"/>
            <w:tcBorders>
              <w:top w:val="nil" w:sz="6" w:space="0" w:color="auto"/>
              <w:left w:val="nil" w:sz="6" w:space="0" w:color="auto"/>
              <w:bottom w:val="nil" w:sz="6" w:space="0" w:color="auto"/>
              <w:right w:val="nil" w:sz="6" w:space="0" w:color="auto"/>
            </w:tcBorders>
          </w:tcPr>
          <w:p>
            <w:pPr/>
          </w:p>
        </w:tc>
        <w:tc>
          <w:tcPr>
            <w:tcW w:w="474" w:type="dxa"/>
            <w:tcBorders>
              <w:top w:val="nil" w:sz="6" w:space="0" w:color="auto"/>
              <w:left w:val="nil" w:sz="6" w:space="0" w:color="auto"/>
              <w:bottom w:val="nil" w:sz="6" w:space="0" w:color="auto"/>
              <w:right w:val="nil" w:sz="6" w:space="0" w:color="auto"/>
            </w:tcBorders>
          </w:tcPr>
          <w:p>
            <w:pPr/>
          </w:p>
        </w:tc>
      </w:tr>
      <w:tr>
        <w:trPr>
          <w:trHeight w:val="305" w:hRule="exact"/>
        </w:trPr>
        <w:tc>
          <w:tcPr>
            <w:tcW w:w="4491" w:type="dxa"/>
            <w:tcBorders>
              <w:top w:val="nil" w:sz="6" w:space="0" w:color="auto"/>
              <w:left w:val="nil" w:sz="6" w:space="0" w:color="auto"/>
              <w:bottom w:val="nil" w:sz="6" w:space="0" w:color="auto"/>
              <w:right w:val="nil" w:sz="6" w:space="0" w:color="auto"/>
            </w:tcBorders>
          </w:tcPr>
          <w:p>
            <w:pPr>
              <w:pStyle w:val="TableParagraph"/>
              <w:tabs>
                <w:tab w:pos="2423" w:val="left" w:leader="none"/>
                <w:tab w:pos="2902" w:val="left" w:leader="none"/>
                <w:tab w:pos="3614" w:val="left" w:leader="none"/>
              </w:tabs>
              <w:spacing w:line="202" w:lineRule="exact"/>
              <w:ind w:left="548" w:right="0"/>
              <w:jc w:val="left"/>
              <w:rPr>
                <w:rFonts w:ascii="宋体" w:hAnsi="宋体" w:cs="宋体" w:eastAsia="宋体" w:hint="default"/>
                <w:sz w:val="16"/>
                <w:szCs w:val="16"/>
              </w:rPr>
            </w:pPr>
            <w:r>
              <w:rPr>
                <w:rFonts w:ascii="宋体" w:hAnsi="宋体" w:cs="宋体" w:eastAsia="宋体" w:hint="default"/>
                <w:w w:val="95"/>
                <w:position w:val="1"/>
                <w:sz w:val="16"/>
                <w:szCs w:val="16"/>
              </w:rPr>
              <w:t>（“联通红筹公司”）</w:t>
              <w:tab/>
            </w:r>
            <w:r>
              <w:rPr>
                <w:rFonts w:ascii="Arial" w:hAnsi="Arial" w:cs="Arial" w:eastAsia="Arial" w:hint="default"/>
                <w:spacing w:val="-1"/>
                <w:sz w:val="16"/>
                <w:szCs w:val="16"/>
              </w:rPr>
              <w:t>(1)</w:t>
              <w:tab/>
            </w:r>
            <w:r>
              <w:rPr>
                <w:rFonts w:ascii="宋体" w:hAnsi="宋体" w:cs="宋体" w:eastAsia="宋体" w:hint="default"/>
                <w:w w:val="95"/>
                <w:position w:val="1"/>
                <w:sz w:val="16"/>
                <w:szCs w:val="16"/>
              </w:rPr>
              <w:t>控股</w:t>
              <w:tab/>
            </w:r>
            <w:r>
              <w:rPr>
                <w:rFonts w:ascii="Arial" w:hAnsi="Arial" w:cs="Arial" w:eastAsia="Arial" w:hint="default"/>
                <w:position w:val="1"/>
                <w:sz w:val="16"/>
                <w:szCs w:val="16"/>
              </w:rPr>
              <w:t>2</w:t>
            </w:r>
            <w:r>
              <w:rPr>
                <w:rFonts w:ascii="Arial" w:hAnsi="Arial" w:cs="Arial" w:eastAsia="Arial" w:hint="default"/>
                <w:spacing w:val="-6"/>
                <w:position w:val="1"/>
                <w:sz w:val="16"/>
                <w:szCs w:val="16"/>
              </w:rPr>
              <w:t> </w:t>
            </w:r>
            <w:r>
              <w:rPr>
                <w:rFonts w:ascii="宋体" w:hAnsi="宋体" w:cs="宋体" w:eastAsia="宋体" w:hint="default"/>
                <w:position w:val="1"/>
                <w:sz w:val="16"/>
                <w:szCs w:val="16"/>
              </w:rPr>
              <w:t>月</w:t>
            </w:r>
            <w:r>
              <w:rPr>
                <w:rFonts w:ascii="宋体" w:hAnsi="宋体" w:cs="宋体" w:eastAsia="宋体" w:hint="default"/>
                <w:spacing w:val="-41"/>
                <w:position w:val="1"/>
                <w:sz w:val="16"/>
                <w:szCs w:val="16"/>
              </w:rPr>
              <w:t> </w:t>
            </w:r>
            <w:r>
              <w:rPr>
                <w:rFonts w:ascii="Arial" w:hAnsi="Arial" w:cs="Arial" w:eastAsia="Arial" w:hint="default"/>
                <w:position w:val="1"/>
                <w:sz w:val="16"/>
                <w:szCs w:val="16"/>
              </w:rPr>
              <w:t>8</w:t>
            </w:r>
            <w:r>
              <w:rPr>
                <w:rFonts w:ascii="Arial" w:hAnsi="Arial" w:cs="Arial" w:eastAsia="Arial" w:hint="default"/>
                <w:spacing w:val="-6"/>
                <w:position w:val="1"/>
                <w:sz w:val="16"/>
                <w:szCs w:val="16"/>
              </w:rPr>
              <w:t> </w:t>
            </w:r>
            <w:r>
              <w:rPr>
                <w:rFonts w:ascii="宋体" w:hAnsi="宋体" w:cs="宋体" w:eastAsia="宋体" w:hint="default"/>
                <w:position w:val="1"/>
                <w:sz w:val="16"/>
                <w:szCs w:val="16"/>
              </w:rPr>
              <w:t>日</w:t>
            </w:r>
            <w:r>
              <w:rPr>
                <w:rFonts w:ascii="宋体" w:hAnsi="宋体" w:cs="宋体" w:eastAsia="宋体" w:hint="default"/>
                <w:sz w:val="16"/>
                <w:szCs w:val="16"/>
              </w:rPr>
            </w:r>
          </w:p>
        </w:tc>
        <w:tc>
          <w:tcPr>
            <w:tcW w:w="675" w:type="dxa"/>
            <w:tcBorders>
              <w:top w:val="nil" w:sz="6" w:space="0" w:color="auto"/>
              <w:left w:val="nil" w:sz="6" w:space="0" w:color="auto"/>
              <w:bottom w:val="nil" w:sz="6" w:space="0" w:color="auto"/>
              <w:right w:val="nil" w:sz="6" w:space="0" w:color="auto"/>
            </w:tcBorders>
          </w:tcPr>
          <w:p>
            <w:pPr>
              <w:pStyle w:val="TableParagraph"/>
              <w:spacing w:line="180" w:lineRule="exact"/>
              <w:ind w:right="214"/>
              <w:jc w:val="right"/>
              <w:rPr>
                <w:rFonts w:ascii="宋体" w:hAnsi="宋体" w:cs="宋体" w:eastAsia="宋体" w:hint="default"/>
                <w:sz w:val="16"/>
                <w:szCs w:val="16"/>
              </w:rPr>
            </w:pPr>
            <w:r>
              <w:rPr>
                <w:rFonts w:ascii="宋体" w:hAnsi="宋体" w:cs="宋体" w:eastAsia="宋体" w:hint="default"/>
                <w:w w:val="95"/>
                <w:sz w:val="16"/>
                <w:szCs w:val="16"/>
              </w:rPr>
              <w:t>控股</w:t>
            </w:r>
            <w:r>
              <w:rPr>
                <w:rFonts w:ascii="宋体" w:hAnsi="宋体" w:cs="宋体" w:eastAsia="宋体" w:hint="default"/>
                <w:sz w:val="16"/>
                <w:szCs w:val="16"/>
              </w:rPr>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2"/>
              <w:jc w:val="right"/>
              <w:rPr>
                <w:rFonts w:ascii="Arial" w:hAnsi="Arial" w:cs="Arial" w:eastAsia="Arial" w:hint="default"/>
                <w:sz w:val="16"/>
                <w:szCs w:val="16"/>
              </w:rPr>
            </w:pPr>
            <w:r>
              <w:rPr>
                <w:rFonts w:ascii="Arial"/>
                <w:w w:val="95"/>
                <w:sz w:val="16"/>
              </w:rPr>
              <w:t>2,310,408</w:t>
            </w:r>
            <w:r>
              <w:rPr>
                <w:rFonts w:ascii="Arial"/>
                <w:sz w:val="16"/>
              </w:rPr>
            </w:r>
          </w:p>
        </w:tc>
        <w:tc>
          <w:tcPr>
            <w:tcW w:w="854" w:type="dxa"/>
            <w:tcBorders>
              <w:top w:val="nil" w:sz="6" w:space="0" w:color="auto"/>
              <w:left w:val="nil" w:sz="6" w:space="0" w:color="auto"/>
              <w:bottom w:val="nil" w:sz="6" w:space="0" w:color="auto"/>
              <w:right w:val="nil" w:sz="6" w:space="0" w:color="auto"/>
            </w:tcBorders>
          </w:tcPr>
          <w:p>
            <w:pPr>
              <w:pStyle w:val="TableParagraph"/>
              <w:spacing w:line="180" w:lineRule="exact"/>
              <w:ind w:left="105" w:right="0"/>
              <w:jc w:val="left"/>
              <w:rPr>
                <w:rFonts w:ascii="宋体" w:hAnsi="宋体" w:cs="宋体" w:eastAsia="宋体" w:hint="default"/>
                <w:sz w:val="16"/>
                <w:szCs w:val="16"/>
              </w:rPr>
            </w:pPr>
            <w:r>
              <w:rPr>
                <w:rFonts w:ascii="宋体" w:hAnsi="宋体" w:cs="宋体" w:eastAsia="宋体" w:hint="default"/>
                <w:sz w:val="16"/>
                <w:szCs w:val="16"/>
              </w:rPr>
              <w:t>投资控股</w:t>
            </w:r>
          </w:p>
        </w:tc>
        <w:tc>
          <w:tcPr>
            <w:tcW w:w="822" w:type="dxa"/>
            <w:tcBorders>
              <w:top w:val="nil" w:sz="6" w:space="0" w:color="auto"/>
              <w:left w:val="nil" w:sz="6" w:space="0" w:color="auto"/>
              <w:bottom w:val="nil" w:sz="6" w:space="0" w:color="auto"/>
              <w:right w:val="nil" w:sz="6" w:space="0" w:color="auto"/>
            </w:tcBorders>
          </w:tcPr>
          <w:p>
            <w:pPr>
              <w:pStyle w:val="TableParagraph"/>
              <w:spacing w:line="180" w:lineRule="exact"/>
              <w:ind w:right="47"/>
              <w:jc w:val="center"/>
              <w:rPr>
                <w:rFonts w:ascii="宋体" w:hAnsi="宋体" w:cs="宋体" w:eastAsia="宋体" w:hint="default"/>
                <w:sz w:val="16"/>
                <w:szCs w:val="16"/>
              </w:rPr>
            </w:pPr>
            <w:r>
              <w:rPr>
                <w:rFonts w:ascii="宋体" w:hAnsi="宋体" w:cs="宋体" w:eastAsia="宋体" w:hint="default"/>
                <w:sz w:val="16"/>
                <w:szCs w:val="16"/>
              </w:rPr>
              <w:t>公司</w:t>
            </w:r>
          </w:p>
        </w:tc>
        <w:tc>
          <w:tcPr>
            <w:tcW w:w="663" w:type="dxa"/>
            <w:tcBorders>
              <w:top w:val="nil" w:sz="6" w:space="0" w:color="auto"/>
              <w:left w:val="nil" w:sz="6" w:space="0" w:color="auto"/>
              <w:bottom w:val="nil" w:sz="6" w:space="0" w:color="auto"/>
              <w:right w:val="nil" w:sz="6" w:space="0" w:color="auto"/>
            </w:tcBorders>
          </w:tcPr>
          <w:p>
            <w:pPr>
              <w:pStyle w:val="TableParagraph"/>
              <w:spacing w:line="180" w:lineRule="exact"/>
              <w:ind w:right="96"/>
              <w:jc w:val="right"/>
              <w:rPr>
                <w:rFonts w:ascii="宋体" w:hAnsi="宋体" w:cs="宋体" w:eastAsia="宋体" w:hint="default"/>
                <w:sz w:val="16"/>
                <w:szCs w:val="16"/>
              </w:rPr>
            </w:pPr>
            <w:r>
              <w:rPr>
                <w:rFonts w:ascii="宋体" w:hAnsi="宋体" w:cs="宋体" w:eastAsia="宋体" w:hint="default"/>
                <w:w w:val="95"/>
                <w:sz w:val="16"/>
                <w:szCs w:val="16"/>
              </w:rPr>
              <w:t>不适用</w:t>
            </w:r>
            <w:r>
              <w:rPr>
                <w:rFonts w:ascii="宋体" w:hAnsi="宋体" w:cs="宋体" w:eastAsia="宋体" w:hint="default"/>
                <w:sz w:val="16"/>
                <w:szCs w:val="16"/>
              </w:rPr>
            </w:r>
          </w:p>
        </w:tc>
        <w:tc>
          <w:tcPr>
            <w:tcW w:w="1112" w:type="dxa"/>
            <w:tcBorders>
              <w:top w:val="nil" w:sz="6" w:space="0" w:color="auto"/>
              <w:left w:val="nil" w:sz="6" w:space="0" w:color="auto"/>
              <w:bottom w:val="nil" w:sz="6" w:space="0" w:color="auto"/>
              <w:right w:val="nil" w:sz="6" w:space="0" w:color="auto"/>
            </w:tcBorders>
          </w:tcPr>
          <w:p>
            <w:pPr>
              <w:pStyle w:val="TableParagraph"/>
              <w:spacing w:line="180" w:lineRule="exact"/>
              <w:ind w:left="257" w:right="0"/>
              <w:jc w:val="left"/>
              <w:rPr>
                <w:rFonts w:ascii="宋体" w:hAnsi="宋体" w:cs="宋体" w:eastAsia="宋体" w:hint="default"/>
                <w:sz w:val="16"/>
                <w:szCs w:val="16"/>
              </w:rPr>
            </w:pPr>
            <w:r>
              <w:rPr>
                <w:rFonts w:ascii="宋体" w:hAnsi="宋体" w:cs="宋体" w:eastAsia="宋体" w:hint="default"/>
                <w:sz w:val="16"/>
                <w:szCs w:val="16"/>
              </w:rPr>
              <w:t>不适用</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3"/>
              <w:jc w:val="right"/>
              <w:rPr>
                <w:rFonts w:ascii="Arial" w:hAnsi="Arial" w:cs="Arial" w:eastAsia="Arial" w:hint="default"/>
                <w:sz w:val="16"/>
                <w:szCs w:val="16"/>
              </w:rPr>
            </w:pPr>
            <w:r>
              <w:rPr>
                <w:rFonts w:ascii="Arial"/>
                <w:w w:val="95"/>
                <w:sz w:val="16"/>
              </w:rPr>
              <w:t>9,289,080</w:t>
            </w:r>
            <w:r>
              <w:rPr>
                <w:rFonts w:ascii="Arial"/>
                <w:sz w:val="16"/>
              </w:rPr>
            </w:r>
          </w:p>
        </w:tc>
        <w:tc>
          <w:tcPr>
            <w:tcW w:w="1028" w:type="dxa"/>
            <w:tcBorders>
              <w:top w:val="nil" w:sz="6" w:space="0" w:color="auto"/>
              <w:left w:val="nil" w:sz="6" w:space="0" w:color="auto"/>
              <w:bottom w:val="nil" w:sz="6" w:space="0" w:color="auto"/>
              <w:right w:val="nil" w:sz="6" w:space="0" w:color="auto"/>
            </w:tcBorders>
          </w:tcPr>
          <w:p>
            <w:pPr>
              <w:pStyle w:val="TableParagraph"/>
              <w:spacing w:line="180" w:lineRule="exact"/>
              <w:ind w:left="41" w:right="0"/>
              <w:jc w:val="center"/>
              <w:rPr>
                <w:rFonts w:ascii="宋体" w:hAnsi="宋体" w:cs="宋体" w:eastAsia="宋体" w:hint="default"/>
                <w:sz w:val="16"/>
                <w:szCs w:val="16"/>
              </w:rPr>
            </w:pPr>
            <w:r>
              <w:rPr>
                <w:rFonts w:ascii="宋体" w:hAnsi="宋体" w:cs="宋体" w:eastAsia="宋体" w:hint="default"/>
                <w:w w:val="99"/>
                <w:sz w:val="16"/>
                <w:szCs w:val="16"/>
              </w:rPr>
              <w:t>无</w:t>
            </w:r>
            <w:r>
              <w:rPr>
                <w:rFonts w:ascii="宋体" w:hAnsi="宋体" w:cs="宋体" w:eastAsia="宋体" w:hint="default"/>
                <w:sz w:val="16"/>
                <w:szCs w:val="16"/>
              </w:rPr>
            </w:r>
          </w:p>
        </w:tc>
        <w:tc>
          <w:tcPr>
            <w:tcW w:w="54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7" w:right="0"/>
              <w:jc w:val="center"/>
              <w:rPr>
                <w:rFonts w:ascii="Arial" w:hAnsi="Arial" w:cs="Arial" w:eastAsia="Arial" w:hint="default"/>
                <w:sz w:val="16"/>
                <w:szCs w:val="16"/>
              </w:rPr>
            </w:pPr>
            <w:r>
              <w:rPr>
                <w:rFonts w:ascii="Arial"/>
                <w:sz w:val="16"/>
              </w:rPr>
              <w:t>33.88</w:t>
            </w:r>
          </w:p>
        </w:tc>
        <w:tc>
          <w:tcPr>
            <w:tcW w:w="59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6" w:right="0"/>
              <w:jc w:val="center"/>
              <w:rPr>
                <w:rFonts w:ascii="Arial" w:hAnsi="Arial" w:cs="Arial" w:eastAsia="Arial" w:hint="default"/>
                <w:sz w:val="16"/>
                <w:szCs w:val="16"/>
              </w:rPr>
            </w:pPr>
            <w:r>
              <w:rPr>
                <w:rFonts w:ascii="Arial"/>
                <w:sz w:val="16"/>
              </w:rPr>
              <w:t>58.30</w:t>
            </w:r>
          </w:p>
        </w:tc>
        <w:tc>
          <w:tcPr>
            <w:tcW w:w="516" w:type="dxa"/>
            <w:tcBorders>
              <w:top w:val="nil" w:sz="6" w:space="0" w:color="auto"/>
              <w:left w:val="nil" w:sz="6" w:space="0" w:color="auto"/>
              <w:bottom w:val="nil" w:sz="6" w:space="0" w:color="auto"/>
              <w:right w:val="nil" w:sz="6" w:space="0" w:color="auto"/>
            </w:tcBorders>
          </w:tcPr>
          <w:p>
            <w:pPr>
              <w:pStyle w:val="TableParagraph"/>
              <w:spacing w:line="180" w:lineRule="exact"/>
              <w:ind w:right="53"/>
              <w:jc w:val="center"/>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8" w:right="0"/>
              <w:jc w:val="center"/>
              <w:rPr>
                <w:rFonts w:ascii="Arial" w:hAnsi="Arial" w:cs="Arial" w:eastAsia="Arial" w:hint="default"/>
                <w:sz w:val="16"/>
                <w:szCs w:val="16"/>
              </w:rPr>
            </w:pPr>
            <w:r>
              <w:rPr>
                <w:rFonts w:ascii="Arial"/>
                <w:sz w:val="16"/>
              </w:rPr>
              <w:t>1,225</w:t>
            </w:r>
          </w:p>
        </w:tc>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 w:right="0"/>
              <w:jc w:val="center"/>
              <w:rPr>
                <w:rFonts w:ascii="Arial" w:hAnsi="Arial" w:cs="Arial" w:eastAsia="Arial" w:hint="default"/>
                <w:sz w:val="16"/>
                <w:szCs w:val="16"/>
              </w:rPr>
            </w:pPr>
            <w:r>
              <w:rPr>
                <w:rFonts w:ascii="Arial"/>
                <w:w w:val="99"/>
                <w:sz w:val="16"/>
              </w:rPr>
              <w:t>-</w:t>
            </w:r>
            <w:r>
              <w:rPr>
                <w:rFonts w:ascii="Arial"/>
                <w:sz w:val="16"/>
              </w:rPr>
            </w:r>
          </w:p>
        </w:tc>
        <w:tc>
          <w:tcPr>
            <w:tcW w:w="47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90" w:right="0"/>
              <w:jc w:val="left"/>
              <w:rPr>
                <w:rFonts w:ascii="Arial" w:hAnsi="Arial" w:cs="Arial" w:eastAsia="Arial" w:hint="default"/>
                <w:sz w:val="16"/>
                <w:szCs w:val="16"/>
              </w:rPr>
            </w:pPr>
            <w:r>
              <w:rPr>
                <w:rFonts w:ascii="Arial"/>
                <w:w w:val="99"/>
                <w:sz w:val="16"/>
              </w:rPr>
              <w:t>-</w:t>
            </w:r>
            <w:r>
              <w:rPr>
                <w:rFonts w:ascii="Arial"/>
                <w:sz w:val="16"/>
              </w:rPr>
            </w:r>
          </w:p>
        </w:tc>
      </w:tr>
      <w:tr>
        <w:trPr>
          <w:trHeight w:val="290" w:hRule="exact"/>
        </w:trPr>
        <w:tc>
          <w:tcPr>
            <w:tcW w:w="4491" w:type="dxa"/>
            <w:tcBorders>
              <w:top w:val="nil" w:sz="6" w:space="0" w:color="auto"/>
              <w:left w:val="nil" w:sz="6" w:space="0" w:color="auto"/>
              <w:bottom w:val="nil" w:sz="6" w:space="0" w:color="auto"/>
              <w:right w:val="nil" w:sz="6" w:space="0" w:color="auto"/>
            </w:tcBorders>
          </w:tcPr>
          <w:p>
            <w:pPr>
              <w:pStyle w:val="TableParagraph"/>
              <w:tabs>
                <w:tab w:pos="2924" w:val="left" w:leader="none"/>
              </w:tabs>
              <w:spacing w:line="240" w:lineRule="auto" w:before="57"/>
              <w:ind w:right="57"/>
              <w:jc w:val="right"/>
              <w:rPr>
                <w:rFonts w:ascii="宋体" w:hAnsi="宋体" w:cs="宋体" w:eastAsia="宋体" w:hint="default"/>
                <w:sz w:val="16"/>
                <w:szCs w:val="16"/>
              </w:rPr>
            </w:pPr>
            <w:r>
              <w:rPr>
                <w:rFonts w:ascii="宋体" w:hAnsi="宋体" w:cs="宋体" w:eastAsia="宋体" w:hint="default"/>
                <w:w w:val="95"/>
                <w:sz w:val="16"/>
                <w:szCs w:val="16"/>
              </w:rPr>
              <w:t>中国联合网络通信有限</w:t>
              <w:tab/>
              <w:t>中国，北京市</w:t>
            </w:r>
            <w:r>
              <w:rPr>
                <w:rFonts w:ascii="宋体" w:hAnsi="宋体" w:cs="宋体" w:eastAsia="宋体" w:hint="default"/>
                <w:sz w:val="16"/>
                <w:szCs w:val="16"/>
              </w:rPr>
            </w:r>
          </w:p>
        </w:tc>
        <w:tc>
          <w:tcPr>
            <w:tcW w:w="675" w:type="dxa"/>
            <w:tcBorders>
              <w:top w:val="nil" w:sz="6" w:space="0" w:color="auto"/>
              <w:left w:val="nil" w:sz="6" w:space="0" w:color="auto"/>
              <w:bottom w:val="nil" w:sz="6" w:space="0" w:color="auto"/>
              <w:right w:val="nil" w:sz="6" w:space="0" w:color="auto"/>
            </w:tcBorders>
          </w:tcPr>
          <w:p>
            <w:pPr/>
          </w:p>
        </w:tc>
        <w:tc>
          <w:tcPr>
            <w:tcW w:w="1130"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822" w:type="dxa"/>
            <w:tcBorders>
              <w:top w:val="nil" w:sz="6" w:space="0" w:color="auto"/>
              <w:left w:val="nil" w:sz="6" w:space="0" w:color="auto"/>
              <w:bottom w:val="nil" w:sz="6" w:space="0" w:color="auto"/>
              <w:right w:val="nil" w:sz="6" w:space="0" w:color="auto"/>
            </w:tcBorders>
          </w:tcPr>
          <w:p>
            <w:pPr/>
          </w:p>
        </w:tc>
        <w:tc>
          <w:tcPr>
            <w:tcW w:w="663" w:type="dxa"/>
            <w:tcBorders>
              <w:top w:val="nil" w:sz="6" w:space="0" w:color="auto"/>
              <w:left w:val="nil" w:sz="6" w:space="0" w:color="auto"/>
              <w:bottom w:val="nil" w:sz="6" w:space="0" w:color="auto"/>
              <w:right w:val="nil" w:sz="6" w:space="0" w:color="auto"/>
            </w:tcBorders>
          </w:tcPr>
          <w:p>
            <w:pPr/>
          </w:p>
        </w:tc>
        <w:tc>
          <w:tcPr>
            <w:tcW w:w="1112"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
        </w:tc>
        <w:tc>
          <w:tcPr>
            <w:tcW w:w="516"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552" w:type="dxa"/>
            <w:tcBorders>
              <w:top w:val="nil" w:sz="6" w:space="0" w:color="auto"/>
              <w:left w:val="nil" w:sz="6" w:space="0" w:color="auto"/>
              <w:bottom w:val="nil" w:sz="6" w:space="0" w:color="auto"/>
              <w:right w:val="nil" w:sz="6" w:space="0" w:color="auto"/>
            </w:tcBorders>
          </w:tcPr>
          <w:p>
            <w:pPr/>
          </w:p>
        </w:tc>
        <w:tc>
          <w:tcPr>
            <w:tcW w:w="474" w:type="dxa"/>
            <w:tcBorders>
              <w:top w:val="nil" w:sz="6" w:space="0" w:color="auto"/>
              <w:left w:val="nil" w:sz="6" w:space="0" w:color="auto"/>
              <w:bottom w:val="nil" w:sz="6" w:space="0" w:color="auto"/>
              <w:right w:val="nil" w:sz="6" w:space="0" w:color="auto"/>
            </w:tcBorders>
          </w:tcPr>
          <w:p>
            <w:pPr/>
          </w:p>
        </w:tc>
      </w:tr>
      <w:tr>
        <w:trPr>
          <w:trHeight w:val="212" w:hRule="exact"/>
        </w:trPr>
        <w:tc>
          <w:tcPr>
            <w:tcW w:w="4491" w:type="dxa"/>
            <w:tcBorders>
              <w:top w:val="nil" w:sz="6" w:space="0" w:color="auto"/>
              <w:left w:val="nil" w:sz="6" w:space="0" w:color="auto"/>
              <w:bottom w:val="nil" w:sz="6" w:space="0" w:color="auto"/>
              <w:right w:val="nil" w:sz="6" w:space="0" w:color="auto"/>
            </w:tcBorders>
          </w:tcPr>
          <w:p>
            <w:pPr>
              <w:pStyle w:val="TableParagraph"/>
              <w:tabs>
                <w:tab w:pos="2903" w:val="left" w:leader="none"/>
                <w:tab w:pos="3674" w:val="left" w:leader="none"/>
              </w:tabs>
              <w:spacing w:line="195" w:lineRule="exact"/>
              <w:ind w:left="708" w:right="0"/>
              <w:jc w:val="left"/>
              <w:rPr>
                <w:rFonts w:ascii="宋体" w:hAnsi="宋体" w:cs="宋体" w:eastAsia="宋体" w:hint="default"/>
                <w:sz w:val="16"/>
                <w:szCs w:val="16"/>
              </w:rPr>
            </w:pPr>
            <w:r>
              <w:rPr>
                <w:rFonts w:ascii="宋体" w:hAnsi="宋体" w:cs="宋体" w:eastAsia="宋体" w:hint="default"/>
                <w:w w:val="95"/>
                <w:sz w:val="16"/>
                <w:szCs w:val="16"/>
              </w:rPr>
              <w:t>公司</w:t>
              <w:tab/>
              <w:t>间接</w:t>
              <w:tab/>
            </w:r>
            <w:r>
              <w:rPr>
                <w:rFonts w:ascii="Arial" w:hAnsi="Arial" w:cs="Arial" w:eastAsia="Arial" w:hint="default"/>
                <w:sz w:val="16"/>
                <w:szCs w:val="16"/>
              </w:rPr>
              <w:t>2000</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675" w:type="dxa"/>
            <w:tcBorders>
              <w:top w:val="nil" w:sz="6" w:space="0" w:color="auto"/>
              <w:left w:val="nil" w:sz="6" w:space="0" w:color="auto"/>
              <w:bottom w:val="nil" w:sz="6" w:space="0" w:color="auto"/>
              <w:right w:val="nil" w:sz="6" w:space="0" w:color="auto"/>
            </w:tcBorders>
          </w:tcPr>
          <w:p>
            <w:pPr>
              <w:pStyle w:val="TableParagraph"/>
              <w:spacing w:line="184" w:lineRule="exact"/>
              <w:ind w:right="214"/>
              <w:jc w:val="right"/>
              <w:rPr>
                <w:rFonts w:ascii="宋体" w:hAnsi="宋体" w:cs="宋体" w:eastAsia="宋体" w:hint="default"/>
                <w:sz w:val="16"/>
                <w:szCs w:val="16"/>
              </w:rPr>
            </w:pPr>
            <w:r>
              <w:rPr>
                <w:rFonts w:ascii="宋体" w:hAnsi="宋体" w:cs="宋体" w:eastAsia="宋体" w:hint="default"/>
                <w:w w:val="95"/>
                <w:sz w:val="16"/>
                <w:szCs w:val="16"/>
              </w:rPr>
              <w:t>电信</w:t>
            </w:r>
            <w:r>
              <w:rPr>
                <w:rFonts w:ascii="宋体" w:hAnsi="宋体" w:cs="宋体" w:eastAsia="宋体" w:hint="default"/>
                <w:sz w:val="16"/>
                <w:szCs w:val="16"/>
              </w:rPr>
            </w:r>
          </w:p>
        </w:tc>
        <w:tc>
          <w:tcPr>
            <w:tcW w:w="1130"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822" w:type="dxa"/>
            <w:tcBorders>
              <w:top w:val="nil" w:sz="6" w:space="0" w:color="auto"/>
              <w:left w:val="nil" w:sz="6" w:space="0" w:color="auto"/>
              <w:bottom w:val="nil" w:sz="6" w:space="0" w:color="auto"/>
              <w:right w:val="nil" w:sz="6" w:space="0" w:color="auto"/>
            </w:tcBorders>
          </w:tcPr>
          <w:p>
            <w:pPr>
              <w:pStyle w:val="TableParagraph"/>
              <w:spacing w:line="184" w:lineRule="exact"/>
              <w:ind w:right="47"/>
              <w:jc w:val="center"/>
              <w:rPr>
                <w:rFonts w:ascii="宋体" w:hAnsi="宋体" w:cs="宋体" w:eastAsia="宋体" w:hint="default"/>
                <w:sz w:val="16"/>
                <w:szCs w:val="16"/>
              </w:rPr>
            </w:pPr>
            <w:r>
              <w:rPr>
                <w:rFonts w:ascii="宋体" w:hAnsi="宋体" w:cs="宋体" w:eastAsia="宋体" w:hint="default"/>
                <w:sz w:val="16"/>
                <w:szCs w:val="16"/>
              </w:rPr>
              <w:t>有限责任</w:t>
            </w:r>
          </w:p>
        </w:tc>
        <w:tc>
          <w:tcPr>
            <w:tcW w:w="663" w:type="dxa"/>
            <w:tcBorders>
              <w:top w:val="nil" w:sz="6" w:space="0" w:color="auto"/>
              <w:left w:val="nil" w:sz="6" w:space="0" w:color="auto"/>
              <w:bottom w:val="nil" w:sz="6" w:space="0" w:color="auto"/>
              <w:right w:val="nil" w:sz="6" w:space="0" w:color="auto"/>
            </w:tcBorders>
          </w:tcPr>
          <w:p>
            <w:pPr/>
          </w:p>
        </w:tc>
        <w:tc>
          <w:tcPr>
            <w:tcW w:w="1112"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
        </w:tc>
        <w:tc>
          <w:tcPr>
            <w:tcW w:w="516"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552" w:type="dxa"/>
            <w:tcBorders>
              <w:top w:val="nil" w:sz="6" w:space="0" w:color="auto"/>
              <w:left w:val="nil" w:sz="6" w:space="0" w:color="auto"/>
              <w:bottom w:val="nil" w:sz="6" w:space="0" w:color="auto"/>
              <w:right w:val="nil" w:sz="6" w:space="0" w:color="auto"/>
            </w:tcBorders>
          </w:tcPr>
          <w:p>
            <w:pPr/>
          </w:p>
        </w:tc>
        <w:tc>
          <w:tcPr>
            <w:tcW w:w="474" w:type="dxa"/>
            <w:tcBorders>
              <w:top w:val="nil" w:sz="6" w:space="0" w:color="auto"/>
              <w:left w:val="nil" w:sz="6" w:space="0" w:color="auto"/>
              <w:bottom w:val="nil" w:sz="6" w:space="0" w:color="auto"/>
              <w:right w:val="nil" w:sz="6" w:space="0" w:color="auto"/>
            </w:tcBorders>
          </w:tcPr>
          <w:p>
            <w:pPr/>
          </w:p>
        </w:tc>
      </w:tr>
      <w:tr>
        <w:trPr>
          <w:trHeight w:val="305" w:hRule="exact"/>
        </w:trPr>
        <w:tc>
          <w:tcPr>
            <w:tcW w:w="4491" w:type="dxa"/>
            <w:tcBorders>
              <w:top w:val="nil" w:sz="6" w:space="0" w:color="auto"/>
              <w:left w:val="nil" w:sz="6" w:space="0" w:color="auto"/>
              <w:bottom w:val="nil" w:sz="6" w:space="0" w:color="auto"/>
              <w:right w:val="nil" w:sz="6" w:space="0" w:color="auto"/>
            </w:tcBorders>
          </w:tcPr>
          <w:p>
            <w:pPr>
              <w:pStyle w:val="TableParagraph"/>
              <w:tabs>
                <w:tab w:pos="2424" w:val="left" w:leader="none"/>
                <w:tab w:pos="2903" w:val="left" w:leader="none"/>
                <w:tab w:pos="3599" w:val="left" w:leader="none"/>
              </w:tabs>
              <w:spacing w:line="202" w:lineRule="exact"/>
              <w:ind w:left="548" w:right="0"/>
              <w:jc w:val="left"/>
              <w:rPr>
                <w:rFonts w:ascii="宋体" w:hAnsi="宋体" w:cs="宋体" w:eastAsia="宋体" w:hint="default"/>
                <w:sz w:val="16"/>
                <w:szCs w:val="16"/>
              </w:rPr>
            </w:pPr>
            <w:r>
              <w:rPr>
                <w:rFonts w:ascii="宋体" w:hAnsi="宋体" w:cs="宋体" w:eastAsia="宋体" w:hint="default"/>
                <w:w w:val="95"/>
                <w:position w:val="1"/>
                <w:sz w:val="16"/>
                <w:szCs w:val="16"/>
              </w:rPr>
              <w:t>（“联通运营公司”）</w:t>
              <w:tab/>
            </w:r>
            <w:r>
              <w:rPr>
                <w:rFonts w:ascii="Arial" w:hAnsi="Arial" w:cs="Arial" w:eastAsia="Arial" w:hint="default"/>
                <w:spacing w:val="-1"/>
                <w:sz w:val="16"/>
                <w:szCs w:val="16"/>
              </w:rPr>
              <w:t>(2)</w:t>
              <w:tab/>
            </w:r>
            <w:r>
              <w:rPr>
                <w:rFonts w:ascii="宋体" w:hAnsi="宋体" w:cs="宋体" w:eastAsia="宋体" w:hint="default"/>
                <w:w w:val="95"/>
                <w:position w:val="1"/>
                <w:sz w:val="16"/>
                <w:szCs w:val="16"/>
              </w:rPr>
              <w:t>控股</w:t>
              <w:tab/>
            </w:r>
            <w:r>
              <w:rPr>
                <w:rFonts w:ascii="Arial" w:hAnsi="Arial" w:cs="Arial" w:eastAsia="Arial" w:hint="default"/>
                <w:position w:val="1"/>
                <w:sz w:val="16"/>
                <w:szCs w:val="16"/>
              </w:rPr>
              <w:t>4</w:t>
            </w:r>
            <w:r>
              <w:rPr>
                <w:rFonts w:ascii="Arial" w:hAnsi="Arial" w:cs="Arial" w:eastAsia="Arial" w:hint="default"/>
                <w:spacing w:val="-6"/>
                <w:position w:val="1"/>
                <w:sz w:val="16"/>
                <w:szCs w:val="16"/>
              </w:rPr>
              <w:t> </w:t>
            </w:r>
            <w:r>
              <w:rPr>
                <w:rFonts w:ascii="宋体" w:hAnsi="宋体" w:cs="宋体" w:eastAsia="宋体" w:hint="default"/>
                <w:position w:val="1"/>
                <w:sz w:val="16"/>
                <w:szCs w:val="16"/>
              </w:rPr>
              <w:t>月</w:t>
            </w:r>
            <w:r>
              <w:rPr>
                <w:rFonts w:ascii="宋体" w:hAnsi="宋体" w:cs="宋体" w:eastAsia="宋体" w:hint="default"/>
                <w:spacing w:val="-42"/>
                <w:position w:val="1"/>
                <w:sz w:val="16"/>
                <w:szCs w:val="16"/>
              </w:rPr>
              <w:t> </w:t>
            </w:r>
            <w:r>
              <w:rPr>
                <w:rFonts w:ascii="Arial" w:hAnsi="Arial" w:cs="Arial" w:eastAsia="Arial" w:hint="default"/>
                <w:position w:val="1"/>
                <w:sz w:val="16"/>
                <w:szCs w:val="16"/>
              </w:rPr>
              <w:t>21</w:t>
            </w:r>
            <w:r>
              <w:rPr>
                <w:rFonts w:ascii="Arial" w:hAnsi="Arial" w:cs="Arial" w:eastAsia="Arial" w:hint="default"/>
                <w:spacing w:val="-6"/>
                <w:position w:val="1"/>
                <w:sz w:val="16"/>
                <w:szCs w:val="16"/>
              </w:rPr>
              <w:t> </w:t>
            </w:r>
            <w:r>
              <w:rPr>
                <w:rFonts w:ascii="宋体" w:hAnsi="宋体" w:cs="宋体" w:eastAsia="宋体" w:hint="default"/>
                <w:position w:val="1"/>
                <w:sz w:val="16"/>
                <w:szCs w:val="16"/>
              </w:rPr>
              <w:t>日</w:t>
            </w:r>
            <w:r>
              <w:rPr>
                <w:rFonts w:ascii="宋体" w:hAnsi="宋体" w:cs="宋体" w:eastAsia="宋体" w:hint="default"/>
                <w:sz w:val="16"/>
                <w:szCs w:val="16"/>
              </w:rPr>
            </w:r>
          </w:p>
        </w:tc>
        <w:tc>
          <w:tcPr>
            <w:tcW w:w="675" w:type="dxa"/>
            <w:tcBorders>
              <w:top w:val="nil" w:sz="6" w:space="0" w:color="auto"/>
              <w:left w:val="nil" w:sz="6" w:space="0" w:color="auto"/>
              <w:bottom w:val="nil" w:sz="6" w:space="0" w:color="auto"/>
              <w:right w:val="nil" w:sz="6" w:space="0" w:color="auto"/>
            </w:tcBorders>
          </w:tcPr>
          <w:p>
            <w:pPr>
              <w:pStyle w:val="TableParagraph"/>
              <w:spacing w:line="180" w:lineRule="exact"/>
              <w:ind w:right="214"/>
              <w:jc w:val="right"/>
              <w:rPr>
                <w:rFonts w:ascii="宋体" w:hAnsi="宋体" w:cs="宋体" w:eastAsia="宋体" w:hint="default"/>
                <w:sz w:val="16"/>
                <w:szCs w:val="16"/>
              </w:rPr>
            </w:pPr>
            <w:r>
              <w:rPr>
                <w:rFonts w:ascii="宋体" w:hAnsi="宋体" w:cs="宋体" w:eastAsia="宋体" w:hint="default"/>
                <w:w w:val="95"/>
                <w:sz w:val="16"/>
                <w:szCs w:val="16"/>
              </w:rPr>
              <w:t>业务</w:t>
            </w:r>
            <w:r>
              <w:rPr>
                <w:rFonts w:ascii="宋体" w:hAnsi="宋体" w:cs="宋体" w:eastAsia="宋体" w:hint="default"/>
                <w:sz w:val="16"/>
                <w:szCs w:val="16"/>
              </w:rPr>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2"/>
              <w:jc w:val="right"/>
              <w:rPr>
                <w:rFonts w:ascii="Arial" w:hAnsi="Arial" w:cs="Arial" w:eastAsia="Arial" w:hint="default"/>
                <w:sz w:val="16"/>
                <w:szCs w:val="16"/>
              </w:rPr>
            </w:pPr>
            <w:r>
              <w:rPr>
                <w:rFonts w:ascii="Arial"/>
                <w:w w:val="95"/>
                <w:sz w:val="16"/>
              </w:rPr>
              <w:t>138,091,678</w:t>
            </w:r>
            <w:r>
              <w:rPr>
                <w:rFonts w:ascii="Arial"/>
                <w:sz w:val="16"/>
              </w:rPr>
            </w:r>
          </w:p>
        </w:tc>
        <w:tc>
          <w:tcPr>
            <w:tcW w:w="854" w:type="dxa"/>
            <w:tcBorders>
              <w:top w:val="nil" w:sz="6" w:space="0" w:color="auto"/>
              <w:left w:val="nil" w:sz="6" w:space="0" w:color="auto"/>
              <w:bottom w:val="nil" w:sz="6" w:space="0" w:color="auto"/>
              <w:right w:val="nil" w:sz="6" w:space="0" w:color="auto"/>
            </w:tcBorders>
          </w:tcPr>
          <w:p>
            <w:pPr>
              <w:pStyle w:val="TableParagraph"/>
              <w:spacing w:line="180" w:lineRule="exact"/>
              <w:ind w:left="105" w:right="0"/>
              <w:jc w:val="left"/>
              <w:rPr>
                <w:rFonts w:ascii="宋体" w:hAnsi="宋体" w:cs="宋体" w:eastAsia="宋体" w:hint="default"/>
                <w:sz w:val="16"/>
                <w:szCs w:val="16"/>
              </w:rPr>
            </w:pPr>
            <w:r>
              <w:rPr>
                <w:rFonts w:ascii="宋体" w:hAnsi="宋体" w:cs="宋体" w:eastAsia="宋体" w:hint="default"/>
                <w:sz w:val="16"/>
                <w:szCs w:val="16"/>
              </w:rPr>
              <w:t>电信业务</w:t>
            </w:r>
          </w:p>
        </w:tc>
        <w:tc>
          <w:tcPr>
            <w:tcW w:w="822" w:type="dxa"/>
            <w:tcBorders>
              <w:top w:val="nil" w:sz="6" w:space="0" w:color="auto"/>
              <w:left w:val="nil" w:sz="6" w:space="0" w:color="auto"/>
              <w:bottom w:val="nil" w:sz="6" w:space="0" w:color="auto"/>
              <w:right w:val="nil" w:sz="6" w:space="0" w:color="auto"/>
            </w:tcBorders>
          </w:tcPr>
          <w:p>
            <w:pPr>
              <w:pStyle w:val="TableParagraph"/>
              <w:spacing w:line="180" w:lineRule="exact"/>
              <w:ind w:right="47"/>
              <w:jc w:val="center"/>
              <w:rPr>
                <w:rFonts w:ascii="宋体" w:hAnsi="宋体" w:cs="宋体" w:eastAsia="宋体" w:hint="default"/>
                <w:sz w:val="16"/>
                <w:szCs w:val="16"/>
              </w:rPr>
            </w:pPr>
            <w:r>
              <w:rPr>
                <w:rFonts w:ascii="宋体" w:hAnsi="宋体" w:cs="宋体" w:eastAsia="宋体" w:hint="default"/>
                <w:sz w:val="16"/>
                <w:szCs w:val="16"/>
              </w:rPr>
              <w:t>公司</w:t>
            </w:r>
          </w:p>
        </w:tc>
        <w:tc>
          <w:tcPr>
            <w:tcW w:w="663" w:type="dxa"/>
            <w:tcBorders>
              <w:top w:val="nil" w:sz="6" w:space="0" w:color="auto"/>
              <w:left w:val="nil" w:sz="6" w:space="0" w:color="auto"/>
              <w:bottom w:val="nil" w:sz="6" w:space="0" w:color="auto"/>
              <w:right w:val="nil" w:sz="6" w:space="0" w:color="auto"/>
            </w:tcBorders>
          </w:tcPr>
          <w:p>
            <w:pPr>
              <w:pStyle w:val="TableParagraph"/>
              <w:spacing w:line="180" w:lineRule="exact"/>
              <w:ind w:right="96"/>
              <w:jc w:val="right"/>
              <w:rPr>
                <w:rFonts w:ascii="宋体" w:hAnsi="宋体" w:cs="宋体" w:eastAsia="宋体" w:hint="default"/>
                <w:sz w:val="16"/>
                <w:szCs w:val="16"/>
              </w:rPr>
            </w:pPr>
            <w:r>
              <w:rPr>
                <w:rFonts w:ascii="宋体" w:hAnsi="宋体" w:cs="宋体" w:eastAsia="宋体" w:hint="default"/>
                <w:w w:val="95"/>
                <w:sz w:val="16"/>
                <w:szCs w:val="16"/>
              </w:rPr>
              <w:t>常小兵</w:t>
            </w:r>
            <w:r>
              <w:rPr>
                <w:rFonts w:ascii="宋体" w:hAnsi="宋体" w:cs="宋体" w:eastAsia="宋体" w:hint="default"/>
                <w:sz w:val="16"/>
                <w:szCs w:val="16"/>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98" w:right="0"/>
              <w:jc w:val="left"/>
              <w:rPr>
                <w:rFonts w:ascii="Arial" w:hAnsi="Arial" w:cs="Arial" w:eastAsia="Arial" w:hint="default"/>
                <w:sz w:val="16"/>
                <w:szCs w:val="16"/>
              </w:rPr>
            </w:pPr>
            <w:r>
              <w:rPr>
                <w:rFonts w:ascii="Arial"/>
                <w:sz w:val="16"/>
              </w:rPr>
              <w:t>710939135</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3"/>
              <w:jc w:val="right"/>
              <w:rPr>
                <w:rFonts w:ascii="Arial" w:hAnsi="Arial" w:cs="Arial" w:eastAsia="Arial" w:hint="default"/>
                <w:sz w:val="16"/>
                <w:szCs w:val="16"/>
              </w:rPr>
            </w:pPr>
            <w:r>
              <w:rPr>
                <w:rFonts w:ascii="Arial"/>
                <w:w w:val="95"/>
                <w:sz w:val="16"/>
              </w:rPr>
              <w:t>139,797,368</w:t>
            </w:r>
            <w:r>
              <w:rPr>
                <w:rFonts w:ascii="Arial"/>
                <w:sz w:val="16"/>
              </w:rPr>
            </w:r>
          </w:p>
        </w:tc>
        <w:tc>
          <w:tcPr>
            <w:tcW w:w="1028" w:type="dxa"/>
            <w:tcBorders>
              <w:top w:val="nil" w:sz="6" w:space="0" w:color="auto"/>
              <w:left w:val="nil" w:sz="6" w:space="0" w:color="auto"/>
              <w:bottom w:val="nil" w:sz="6" w:space="0" w:color="auto"/>
              <w:right w:val="nil" w:sz="6" w:space="0" w:color="auto"/>
            </w:tcBorders>
          </w:tcPr>
          <w:p>
            <w:pPr>
              <w:pStyle w:val="TableParagraph"/>
              <w:spacing w:line="180" w:lineRule="exact"/>
              <w:ind w:left="42" w:right="0"/>
              <w:jc w:val="center"/>
              <w:rPr>
                <w:rFonts w:ascii="宋体" w:hAnsi="宋体" w:cs="宋体" w:eastAsia="宋体" w:hint="default"/>
                <w:sz w:val="16"/>
                <w:szCs w:val="16"/>
              </w:rPr>
            </w:pPr>
            <w:r>
              <w:rPr>
                <w:rFonts w:ascii="宋体" w:hAnsi="宋体" w:cs="宋体" w:eastAsia="宋体" w:hint="default"/>
                <w:w w:val="99"/>
                <w:sz w:val="16"/>
                <w:szCs w:val="16"/>
              </w:rPr>
              <w:t>无</w:t>
            </w:r>
            <w:r>
              <w:rPr>
                <w:rFonts w:ascii="宋体" w:hAnsi="宋体" w:cs="宋体" w:eastAsia="宋体" w:hint="default"/>
                <w:sz w:val="16"/>
                <w:szCs w:val="16"/>
              </w:rPr>
            </w:r>
          </w:p>
        </w:tc>
        <w:tc>
          <w:tcPr>
            <w:tcW w:w="54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8" w:right="0"/>
              <w:jc w:val="center"/>
              <w:rPr>
                <w:rFonts w:ascii="Arial" w:hAnsi="Arial" w:cs="Arial" w:eastAsia="Arial" w:hint="default"/>
                <w:sz w:val="16"/>
                <w:szCs w:val="16"/>
              </w:rPr>
            </w:pPr>
            <w:r>
              <w:rPr>
                <w:rFonts w:ascii="Arial"/>
                <w:sz w:val="16"/>
              </w:rPr>
              <w:t>33.88</w:t>
            </w:r>
          </w:p>
        </w:tc>
        <w:tc>
          <w:tcPr>
            <w:tcW w:w="59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6" w:right="0"/>
              <w:jc w:val="center"/>
              <w:rPr>
                <w:rFonts w:ascii="Arial" w:hAnsi="Arial" w:cs="Arial" w:eastAsia="Arial" w:hint="default"/>
                <w:sz w:val="16"/>
                <w:szCs w:val="16"/>
              </w:rPr>
            </w:pPr>
            <w:r>
              <w:rPr>
                <w:rFonts w:ascii="Arial"/>
                <w:sz w:val="16"/>
              </w:rPr>
              <w:t>58.30</w:t>
            </w:r>
          </w:p>
        </w:tc>
        <w:tc>
          <w:tcPr>
            <w:tcW w:w="516" w:type="dxa"/>
            <w:tcBorders>
              <w:top w:val="nil" w:sz="6" w:space="0" w:color="auto"/>
              <w:left w:val="nil" w:sz="6" w:space="0" w:color="auto"/>
              <w:bottom w:val="nil" w:sz="6" w:space="0" w:color="auto"/>
              <w:right w:val="nil" w:sz="6" w:space="0" w:color="auto"/>
            </w:tcBorders>
          </w:tcPr>
          <w:p>
            <w:pPr>
              <w:pStyle w:val="TableParagraph"/>
              <w:spacing w:line="180" w:lineRule="exact"/>
              <w:ind w:right="52"/>
              <w:jc w:val="center"/>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9" w:right="0"/>
              <w:jc w:val="center"/>
              <w:rPr>
                <w:rFonts w:ascii="Arial" w:hAnsi="Arial" w:cs="Arial" w:eastAsia="Arial" w:hint="default"/>
                <w:sz w:val="16"/>
                <w:szCs w:val="16"/>
              </w:rPr>
            </w:pPr>
            <w:r>
              <w:rPr>
                <w:rFonts w:ascii="Arial"/>
                <w:w w:val="99"/>
                <w:sz w:val="16"/>
              </w:rPr>
              <w:t>-</w:t>
            </w:r>
            <w:r>
              <w:rPr>
                <w:rFonts w:ascii="Arial"/>
                <w:sz w:val="16"/>
              </w:rPr>
            </w:r>
          </w:p>
        </w:tc>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6" w:right="0"/>
              <w:jc w:val="center"/>
              <w:rPr>
                <w:rFonts w:ascii="Arial" w:hAnsi="Arial" w:cs="Arial" w:eastAsia="Arial" w:hint="default"/>
                <w:sz w:val="16"/>
                <w:szCs w:val="16"/>
              </w:rPr>
            </w:pPr>
            <w:r>
              <w:rPr>
                <w:rFonts w:ascii="Arial"/>
                <w:w w:val="99"/>
                <w:sz w:val="16"/>
              </w:rPr>
              <w:t>-</w:t>
            </w:r>
            <w:r>
              <w:rPr>
                <w:rFonts w:ascii="Arial"/>
                <w:sz w:val="16"/>
              </w:rPr>
            </w:r>
          </w:p>
        </w:tc>
        <w:tc>
          <w:tcPr>
            <w:tcW w:w="47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91" w:right="0"/>
              <w:jc w:val="left"/>
              <w:rPr>
                <w:rFonts w:ascii="Arial" w:hAnsi="Arial" w:cs="Arial" w:eastAsia="Arial" w:hint="default"/>
                <w:sz w:val="16"/>
                <w:szCs w:val="16"/>
              </w:rPr>
            </w:pPr>
            <w:r>
              <w:rPr>
                <w:rFonts w:ascii="Arial"/>
                <w:w w:val="99"/>
                <w:sz w:val="16"/>
              </w:rPr>
              <w:t>-</w:t>
            </w:r>
            <w:r>
              <w:rPr>
                <w:rFonts w:ascii="Arial"/>
                <w:sz w:val="16"/>
              </w:rPr>
            </w:r>
          </w:p>
        </w:tc>
      </w:tr>
      <w:tr>
        <w:trPr>
          <w:trHeight w:val="290" w:hRule="exact"/>
        </w:trPr>
        <w:tc>
          <w:tcPr>
            <w:tcW w:w="4491"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56"/>
              <w:jc w:val="right"/>
              <w:rPr>
                <w:rFonts w:ascii="宋体" w:hAnsi="宋体" w:cs="宋体" w:eastAsia="宋体" w:hint="default"/>
                <w:sz w:val="16"/>
                <w:szCs w:val="16"/>
              </w:rPr>
            </w:pPr>
            <w:r>
              <w:rPr>
                <w:rFonts w:ascii="宋体" w:hAnsi="宋体" w:cs="宋体" w:eastAsia="宋体" w:hint="default"/>
                <w:w w:val="95"/>
                <w:sz w:val="16"/>
                <w:szCs w:val="16"/>
              </w:rPr>
              <w:t>中国，北京市</w:t>
            </w:r>
            <w:r>
              <w:rPr>
                <w:rFonts w:ascii="宋体" w:hAnsi="宋体" w:cs="宋体" w:eastAsia="宋体" w:hint="default"/>
                <w:sz w:val="16"/>
                <w:szCs w:val="16"/>
              </w:rPr>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214"/>
              <w:jc w:val="right"/>
              <w:rPr>
                <w:rFonts w:ascii="宋体" w:hAnsi="宋体" w:cs="宋体" w:eastAsia="宋体" w:hint="default"/>
                <w:sz w:val="16"/>
                <w:szCs w:val="16"/>
              </w:rPr>
            </w:pPr>
            <w:r>
              <w:rPr>
                <w:rFonts w:ascii="宋体" w:hAnsi="宋体" w:cs="宋体" w:eastAsia="宋体" w:hint="default"/>
                <w:w w:val="95"/>
                <w:sz w:val="16"/>
                <w:szCs w:val="16"/>
              </w:rPr>
              <w:t>通信</w:t>
            </w:r>
            <w:r>
              <w:rPr>
                <w:rFonts w:ascii="宋体" w:hAnsi="宋体" w:cs="宋体" w:eastAsia="宋体" w:hint="default"/>
                <w:sz w:val="16"/>
                <w:szCs w:val="16"/>
              </w:rPr>
            </w:r>
          </w:p>
        </w:tc>
        <w:tc>
          <w:tcPr>
            <w:tcW w:w="1130"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822" w:type="dxa"/>
            <w:tcBorders>
              <w:top w:val="nil" w:sz="6" w:space="0" w:color="auto"/>
              <w:left w:val="nil" w:sz="6" w:space="0" w:color="auto"/>
              <w:bottom w:val="nil" w:sz="6" w:space="0" w:color="auto"/>
              <w:right w:val="nil" w:sz="6" w:space="0" w:color="auto"/>
            </w:tcBorders>
          </w:tcPr>
          <w:p>
            <w:pPr/>
          </w:p>
        </w:tc>
        <w:tc>
          <w:tcPr>
            <w:tcW w:w="663" w:type="dxa"/>
            <w:tcBorders>
              <w:top w:val="nil" w:sz="6" w:space="0" w:color="auto"/>
              <w:left w:val="nil" w:sz="6" w:space="0" w:color="auto"/>
              <w:bottom w:val="nil" w:sz="6" w:space="0" w:color="auto"/>
              <w:right w:val="nil" w:sz="6" w:space="0" w:color="auto"/>
            </w:tcBorders>
          </w:tcPr>
          <w:p>
            <w:pPr/>
          </w:p>
        </w:tc>
        <w:tc>
          <w:tcPr>
            <w:tcW w:w="1112"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
        </w:tc>
        <w:tc>
          <w:tcPr>
            <w:tcW w:w="516"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552" w:type="dxa"/>
            <w:tcBorders>
              <w:top w:val="nil" w:sz="6" w:space="0" w:color="auto"/>
              <w:left w:val="nil" w:sz="6" w:space="0" w:color="auto"/>
              <w:bottom w:val="nil" w:sz="6" w:space="0" w:color="auto"/>
              <w:right w:val="nil" w:sz="6" w:space="0" w:color="auto"/>
            </w:tcBorders>
          </w:tcPr>
          <w:p>
            <w:pPr/>
          </w:p>
        </w:tc>
        <w:tc>
          <w:tcPr>
            <w:tcW w:w="474" w:type="dxa"/>
            <w:tcBorders>
              <w:top w:val="nil" w:sz="6" w:space="0" w:color="auto"/>
              <w:left w:val="nil" w:sz="6" w:space="0" w:color="auto"/>
              <w:bottom w:val="nil" w:sz="6" w:space="0" w:color="auto"/>
              <w:right w:val="nil" w:sz="6" w:space="0" w:color="auto"/>
            </w:tcBorders>
          </w:tcPr>
          <w:p>
            <w:pPr/>
          </w:p>
        </w:tc>
      </w:tr>
      <w:tr>
        <w:trPr>
          <w:trHeight w:val="211" w:hRule="exact"/>
        </w:trPr>
        <w:tc>
          <w:tcPr>
            <w:tcW w:w="4491" w:type="dxa"/>
            <w:tcBorders>
              <w:top w:val="nil" w:sz="6" w:space="0" w:color="auto"/>
              <w:left w:val="nil" w:sz="6" w:space="0" w:color="auto"/>
              <w:bottom w:val="nil" w:sz="6" w:space="0" w:color="auto"/>
              <w:right w:val="nil" w:sz="6" w:space="0" w:color="auto"/>
            </w:tcBorders>
          </w:tcPr>
          <w:p>
            <w:pPr>
              <w:pStyle w:val="TableParagraph"/>
              <w:tabs>
                <w:tab w:pos="2903" w:val="left" w:leader="none"/>
                <w:tab w:pos="3674" w:val="left" w:leader="none"/>
              </w:tabs>
              <w:spacing w:line="196" w:lineRule="exact"/>
              <w:ind w:left="548" w:right="0"/>
              <w:jc w:val="left"/>
              <w:rPr>
                <w:rFonts w:ascii="宋体" w:hAnsi="宋体" w:cs="宋体" w:eastAsia="宋体" w:hint="default"/>
                <w:sz w:val="16"/>
                <w:szCs w:val="16"/>
              </w:rPr>
            </w:pPr>
            <w:r>
              <w:rPr>
                <w:rFonts w:ascii="宋体" w:hAnsi="宋体" w:cs="宋体" w:eastAsia="宋体" w:hint="default"/>
                <w:w w:val="95"/>
                <w:sz w:val="16"/>
                <w:szCs w:val="16"/>
              </w:rPr>
              <w:t>联通华盛通信有限公司</w:t>
              <w:tab/>
              <w:t>间接</w:t>
              <w:tab/>
            </w:r>
            <w:r>
              <w:rPr>
                <w:rFonts w:ascii="Arial" w:hAnsi="Arial" w:cs="Arial" w:eastAsia="Arial" w:hint="default"/>
                <w:sz w:val="16"/>
                <w:szCs w:val="16"/>
              </w:rPr>
              <w:t>2008</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675" w:type="dxa"/>
            <w:tcBorders>
              <w:top w:val="nil" w:sz="6" w:space="0" w:color="auto"/>
              <w:left w:val="nil" w:sz="6" w:space="0" w:color="auto"/>
              <w:bottom w:val="nil" w:sz="6" w:space="0" w:color="auto"/>
              <w:right w:val="nil" w:sz="6" w:space="0" w:color="auto"/>
            </w:tcBorders>
          </w:tcPr>
          <w:p>
            <w:pPr>
              <w:pStyle w:val="TableParagraph"/>
              <w:spacing w:line="184" w:lineRule="exact"/>
              <w:ind w:right="214"/>
              <w:jc w:val="right"/>
              <w:rPr>
                <w:rFonts w:ascii="宋体" w:hAnsi="宋体" w:cs="宋体" w:eastAsia="宋体" w:hint="default"/>
                <w:sz w:val="16"/>
                <w:szCs w:val="16"/>
              </w:rPr>
            </w:pPr>
            <w:r>
              <w:rPr>
                <w:rFonts w:ascii="宋体" w:hAnsi="宋体" w:cs="宋体" w:eastAsia="宋体" w:hint="default"/>
                <w:w w:val="95"/>
                <w:sz w:val="16"/>
                <w:szCs w:val="16"/>
              </w:rPr>
              <w:t>终端</w:t>
            </w:r>
            <w:r>
              <w:rPr>
                <w:rFonts w:ascii="宋体" w:hAnsi="宋体" w:cs="宋体" w:eastAsia="宋体" w:hint="default"/>
                <w:sz w:val="16"/>
                <w:szCs w:val="16"/>
              </w:rPr>
            </w:r>
          </w:p>
        </w:tc>
        <w:tc>
          <w:tcPr>
            <w:tcW w:w="1130"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185" w:lineRule="exact"/>
              <w:ind w:left="105" w:right="0"/>
              <w:jc w:val="left"/>
              <w:rPr>
                <w:rFonts w:ascii="宋体" w:hAnsi="宋体" w:cs="宋体" w:eastAsia="宋体" w:hint="default"/>
                <w:sz w:val="16"/>
                <w:szCs w:val="16"/>
              </w:rPr>
            </w:pPr>
            <w:r>
              <w:rPr>
                <w:rFonts w:ascii="宋体" w:hAnsi="宋体" w:cs="宋体" w:eastAsia="宋体" w:hint="default"/>
                <w:sz w:val="16"/>
                <w:szCs w:val="16"/>
              </w:rPr>
              <w:t>通信终端</w:t>
            </w:r>
          </w:p>
        </w:tc>
        <w:tc>
          <w:tcPr>
            <w:tcW w:w="822" w:type="dxa"/>
            <w:tcBorders>
              <w:top w:val="nil" w:sz="6" w:space="0" w:color="auto"/>
              <w:left w:val="nil" w:sz="6" w:space="0" w:color="auto"/>
              <w:bottom w:val="nil" w:sz="6" w:space="0" w:color="auto"/>
              <w:right w:val="nil" w:sz="6" w:space="0" w:color="auto"/>
            </w:tcBorders>
          </w:tcPr>
          <w:p>
            <w:pPr>
              <w:pStyle w:val="TableParagraph"/>
              <w:spacing w:line="183" w:lineRule="exact"/>
              <w:ind w:right="48"/>
              <w:jc w:val="center"/>
              <w:rPr>
                <w:rFonts w:ascii="宋体" w:hAnsi="宋体" w:cs="宋体" w:eastAsia="宋体" w:hint="default"/>
                <w:sz w:val="16"/>
                <w:szCs w:val="16"/>
              </w:rPr>
            </w:pPr>
            <w:r>
              <w:rPr>
                <w:rFonts w:ascii="宋体" w:hAnsi="宋体" w:cs="宋体" w:eastAsia="宋体" w:hint="default"/>
                <w:sz w:val="16"/>
                <w:szCs w:val="16"/>
              </w:rPr>
              <w:t>有限责任</w:t>
            </w:r>
          </w:p>
        </w:tc>
        <w:tc>
          <w:tcPr>
            <w:tcW w:w="663" w:type="dxa"/>
            <w:tcBorders>
              <w:top w:val="nil" w:sz="6" w:space="0" w:color="auto"/>
              <w:left w:val="nil" w:sz="6" w:space="0" w:color="auto"/>
              <w:bottom w:val="nil" w:sz="6" w:space="0" w:color="auto"/>
              <w:right w:val="nil" w:sz="6" w:space="0" w:color="auto"/>
            </w:tcBorders>
          </w:tcPr>
          <w:p>
            <w:pPr/>
          </w:p>
        </w:tc>
        <w:tc>
          <w:tcPr>
            <w:tcW w:w="1112"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
        </w:tc>
        <w:tc>
          <w:tcPr>
            <w:tcW w:w="516"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552" w:type="dxa"/>
            <w:tcBorders>
              <w:top w:val="nil" w:sz="6" w:space="0" w:color="auto"/>
              <w:left w:val="nil" w:sz="6" w:space="0" w:color="auto"/>
              <w:bottom w:val="nil" w:sz="6" w:space="0" w:color="auto"/>
              <w:right w:val="nil" w:sz="6" w:space="0" w:color="auto"/>
            </w:tcBorders>
          </w:tcPr>
          <w:p>
            <w:pPr/>
          </w:p>
        </w:tc>
        <w:tc>
          <w:tcPr>
            <w:tcW w:w="474" w:type="dxa"/>
            <w:tcBorders>
              <w:top w:val="nil" w:sz="6" w:space="0" w:color="auto"/>
              <w:left w:val="nil" w:sz="6" w:space="0" w:color="auto"/>
              <w:bottom w:val="nil" w:sz="6" w:space="0" w:color="auto"/>
              <w:right w:val="nil" w:sz="6" w:space="0" w:color="auto"/>
            </w:tcBorders>
          </w:tcPr>
          <w:p>
            <w:pPr/>
          </w:p>
        </w:tc>
      </w:tr>
      <w:tr>
        <w:trPr>
          <w:trHeight w:val="305" w:hRule="exact"/>
        </w:trPr>
        <w:tc>
          <w:tcPr>
            <w:tcW w:w="4491" w:type="dxa"/>
            <w:tcBorders>
              <w:top w:val="nil" w:sz="6" w:space="0" w:color="auto"/>
              <w:left w:val="nil" w:sz="6" w:space="0" w:color="auto"/>
              <w:bottom w:val="nil" w:sz="6" w:space="0" w:color="auto"/>
              <w:right w:val="nil" w:sz="6" w:space="0" w:color="auto"/>
            </w:tcBorders>
          </w:tcPr>
          <w:p>
            <w:pPr>
              <w:pStyle w:val="TableParagraph"/>
              <w:tabs>
                <w:tab w:pos="2424" w:val="left" w:leader="none"/>
                <w:tab w:pos="2903" w:val="left" w:leader="none"/>
                <w:tab w:pos="3599" w:val="left" w:leader="none"/>
              </w:tabs>
              <w:spacing w:line="202" w:lineRule="exact"/>
              <w:ind w:left="548" w:right="0"/>
              <w:jc w:val="left"/>
              <w:rPr>
                <w:rFonts w:ascii="宋体" w:hAnsi="宋体" w:cs="宋体" w:eastAsia="宋体" w:hint="default"/>
                <w:sz w:val="16"/>
                <w:szCs w:val="16"/>
              </w:rPr>
            </w:pPr>
            <w:r>
              <w:rPr>
                <w:rFonts w:ascii="宋体" w:hAnsi="宋体" w:cs="宋体" w:eastAsia="宋体" w:hint="default"/>
                <w:w w:val="95"/>
                <w:position w:val="1"/>
                <w:sz w:val="16"/>
                <w:szCs w:val="16"/>
              </w:rPr>
              <w:t>（“新联通华盛”）</w:t>
              <w:tab/>
            </w:r>
            <w:r>
              <w:rPr>
                <w:rFonts w:ascii="Arial" w:hAnsi="Arial" w:cs="Arial" w:eastAsia="Arial" w:hint="default"/>
                <w:spacing w:val="-1"/>
                <w:sz w:val="16"/>
                <w:szCs w:val="16"/>
              </w:rPr>
              <w:t>(2)</w:t>
              <w:tab/>
            </w:r>
            <w:r>
              <w:rPr>
                <w:rFonts w:ascii="宋体" w:hAnsi="宋体" w:cs="宋体" w:eastAsia="宋体" w:hint="default"/>
                <w:w w:val="95"/>
                <w:position w:val="1"/>
                <w:sz w:val="16"/>
                <w:szCs w:val="16"/>
              </w:rPr>
              <w:t>控股</w:t>
              <w:tab/>
            </w:r>
            <w:r>
              <w:rPr>
                <w:rFonts w:ascii="Arial" w:hAnsi="Arial" w:cs="Arial" w:eastAsia="Arial" w:hint="default"/>
                <w:position w:val="1"/>
                <w:sz w:val="16"/>
                <w:szCs w:val="16"/>
              </w:rPr>
              <w:t>8</w:t>
            </w:r>
            <w:r>
              <w:rPr>
                <w:rFonts w:ascii="Arial" w:hAnsi="Arial" w:cs="Arial" w:eastAsia="Arial" w:hint="default"/>
                <w:spacing w:val="-6"/>
                <w:position w:val="1"/>
                <w:sz w:val="16"/>
                <w:szCs w:val="16"/>
              </w:rPr>
              <w:t> </w:t>
            </w:r>
            <w:r>
              <w:rPr>
                <w:rFonts w:ascii="宋体" w:hAnsi="宋体" w:cs="宋体" w:eastAsia="宋体" w:hint="default"/>
                <w:position w:val="1"/>
                <w:sz w:val="16"/>
                <w:szCs w:val="16"/>
              </w:rPr>
              <w:t>月</w:t>
            </w:r>
            <w:r>
              <w:rPr>
                <w:rFonts w:ascii="宋体" w:hAnsi="宋体" w:cs="宋体" w:eastAsia="宋体" w:hint="default"/>
                <w:spacing w:val="-42"/>
                <w:position w:val="1"/>
                <w:sz w:val="16"/>
                <w:szCs w:val="16"/>
              </w:rPr>
              <w:t> </w:t>
            </w:r>
            <w:r>
              <w:rPr>
                <w:rFonts w:ascii="Arial" w:hAnsi="Arial" w:cs="Arial" w:eastAsia="Arial" w:hint="default"/>
                <w:position w:val="1"/>
                <w:sz w:val="16"/>
                <w:szCs w:val="16"/>
              </w:rPr>
              <w:t>19</w:t>
            </w:r>
            <w:r>
              <w:rPr>
                <w:rFonts w:ascii="Arial" w:hAnsi="Arial" w:cs="Arial" w:eastAsia="Arial" w:hint="default"/>
                <w:spacing w:val="-6"/>
                <w:position w:val="1"/>
                <w:sz w:val="16"/>
                <w:szCs w:val="16"/>
              </w:rPr>
              <w:t> </w:t>
            </w:r>
            <w:r>
              <w:rPr>
                <w:rFonts w:ascii="宋体" w:hAnsi="宋体" w:cs="宋体" w:eastAsia="宋体" w:hint="default"/>
                <w:position w:val="1"/>
                <w:sz w:val="16"/>
                <w:szCs w:val="16"/>
              </w:rPr>
              <w:t>日</w:t>
            </w:r>
            <w:r>
              <w:rPr>
                <w:rFonts w:ascii="宋体" w:hAnsi="宋体" w:cs="宋体" w:eastAsia="宋体" w:hint="default"/>
                <w:sz w:val="16"/>
                <w:szCs w:val="16"/>
              </w:rPr>
            </w:r>
          </w:p>
        </w:tc>
        <w:tc>
          <w:tcPr>
            <w:tcW w:w="675" w:type="dxa"/>
            <w:tcBorders>
              <w:top w:val="nil" w:sz="6" w:space="0" w:color="auto"/>
              <w:left w:val="nil" w:sz="6" w:space="0" w:color="auto"/>
              <w:bottom w:val="nil" w:sz="6" w:space="0" w:color="auto"/>
              <w:right w:val="nil" w:sz="6" w:space="0" w:color="auto"/>
            </w:tcBorders>
          </w:tcPr>
          <w:p>
            <w:pPr>
              <w:pStyle w:val="TableParagraph"/>
              <w:spacing w:line="181" w:lineRule="exact"/>
              <w:ind w:right="214"/>
              <w:jc w:val="right"/>
              <w:rPr>
                <w:rFonts w:ascii="宋体" w:hAnsi="宋体" w:cs="宋体" w:eastAsia="宋体" w:hint="default"/>
                <w:sz w:val="16"/>
                <w:szCs w:val="16"/>
              </w:rPr>
            </w:pPr>
            <w:r>
              <w:rPr>
                <w:rFonts w:ascii="宋体" w:hAnsi="宋体" w:cs="宋体" w:eastAsia="宋体" w:hint="default"/>
                <w:w w:val="95"/>
                <w:sz w:val="16"/>
                <w:szCs w:val="16"/>
              </w:rPr>
              <w:t>销售</w:t>
            </w:r>
            <w:r>
              <w:rPr>
                <w:rFonts w:ascii="宋体" w:hAnsi="宋体" w:cs="宋体" w:eastAsia="宋体" w:hint="default"/>
                <w:sz w:val="16"/>
                <w:szCs w:val="16"/>
              </w:rPr>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2"/>
              <w:jc w:val="right"/>
              <w:rPr>
                <w:rFonts w:ascii="Arial" w:hAnsi="Arial" w:cs="Arial" w:eastAsia="Arial" w:hint="default"/>
                <w:sz w:val="16"/>
                <w:szCs w:val="16"/>
              </w:rPr>
            </w:pPr>
            <w:r>
              <w:rPr>
                <w:rFonts w:ascii="Arial"/>
                <w:w w:val="95"/>
                <w:sz w:val="16"/>
              </w:rPr>
              <w:t>500,000</w:t>
            </w:r>
            <w:r>
              <w:rPr>
                <w:rFonts w:ascii="Arial"/>
                <w:sz w:val="16"/>
              </w:rPr>
            </w:r>
          </w:p>
        </w:tc>
        <w:tc>
          <w:tcPr>
            <w:tcW w:w="854" w:type="dxa"/>
            <w:tcBorders>
              <w:top w:val="nil" w:sz="6" w:space="0" w:color="auto"/>
              <w:left w:val="nil" w:sz="6" w:space="0" w:color="auto"/>
              <w:bottom w:val="nil" w:sz="6" w:space="0" w:color="auto"/>
              <w:right w:val="nil" w:sz="6" w:space="0" w:color="auto"/>
            </w:tcBorders>
          </w:tcPr>
          <w:p>
            <w:pPr>
              <w:pStyle w:val="TableParagraph"/>
              <w:spacing w:line="181" w:lineRule="exact"/>
              <w:ind w:left="278" w:right="0"/>
              <w:jc w:val="left"/>
              <w:rPr>
                <w:rFonts w:ascii="宋体" w:hAnsi="宋体" w:cs="宋体" w:eastAsia="宋体" w:hint="default"/>
                <w:sz w:val="16"/>
                <w:szCs w:val="16"/>
              </w:rPr>
            </w:pPr>
            <w:r>
              <w:rPr>
                <w:rFonts w:ascii="宋体" w:hAnsi="宋体" w:cs="宋体" w:eastAsia="宋体" w:hint="default"/>
                <w:sz w:val="16"/>
                <w:szCs w:val="16"/>
              </w:rPr>
              <w:t>销售</w:t>
            </w:r>
          </w:p>
        </w:tc>
        <w:tc>
          <w:tcPr>
            <w:tcW w:w="822" w:type="dxa"/>
            <w:tcBorders>
              <w:top w:val="nil" w:sz="6" w:space="0" w:color="auto"/>
              <w:left w:val="nil" w:sz="6" w:space="0" w:color="auto"/>
              <w:bottom w:val="nil" w:sz="6" w:space="0" w:color="auto"/>
              <w:right w:val="nil" w:sz="6" w:space="0" w:color="auto"/>
            </w:tcBorders>
          </w:tcPr>
          <w:p>
            <w:pPr>
              <w:pStyle w:val="TableParagraph"/>
              <w:spacing w:line="179" w:lineRule="exact"/>
              <w:ind w:right="48"/>
              <w:jc w:val="center"/>
              <w:rPr>
                <w:rFonts w:ascii="宋体" w:hAnsi="宋体" w:cs="宋体" w:eastAsia="宋体" w:hint="default"/>
                <w:sz w:val="16"/>
                <w:szCs w:val="16"/>
              </w:rPr>
            </w:pPr>
            <w:r>
              <w:rPr>
                <w:rFonts w:ascii="宋体" w:hAnsi="宋体" w:cs="宋体" w:eastAsia="宋体" w:hint="default"/>
                <w:sz w:val="16"/>
                <w:szCs w:val="16"/>
              </w:rPr>
              <w:t>公司</w:t>
            </w:r>
          </w:p>
        </w:tc>
        <w:tc>
          <w:tcPr>
            <w:tcW w:w="663" w:type="dxa"/>
            <w:tcBorders>
              <w:top w:val="nil" w:sz="6" w:space="0" w:color="auto"/>
              <w:left w:val="nil" w:sz="6" w:space="0" w:color="auto"/>
              <w:bottom w:val="nil" w:sz="6" w:space="0" w:color="auto"/>
              <w:right w:val="nil" w:sz="6" w:space="0" w:color="auto"/>
            </w:tcBorders>
          </w:tcPr>
          <w:p>
            <w:pPr>
              <w:pStyle w:val="TableParagraph"/>
              <w:spacing w:line="179" w:lineRule="exact"/>
              <w:ind w:left="165" w:right="0"/>
              <w:jc w:val="left"/>
              <w:rPr>
                <w:rFonts w:ascii="宋体" w:hAnsi="宋体" w:cs="宋体" w:eastAsia="宋体" w:hint="default"/>
                <w:sz w:val="16"/>
                <w:szCs w:val="16"/>
              </w:rPr>
            </w:pPr>
            <w:r>
              <w:rPr>
                <w:rFonts w:ascii="宋体" w:hAnsi="宋体" w:cs="宋体" w:eastAsia="宋体" w:hint="default"/>
                <w:sz w:val="16"/>
                <w:szCs w:val="16"/>
              </w:rPr>
              <w:t>李刚</w:t>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20" w:right="0"/>
              <w:jc w:val="left"/>
              <w:rPr>
                <w:rFonts w:ascii="Arial" w:hAnsi="Arial" w:cs="Arial" w:eastAsia="Arial" w:hint="default"/>
                <w:sz w:val="16"/>
                <w:szCs w:val="16"/>
              </w:rPr>
            </w:pPr>
            <w:r>
              <w:rPr>
                <w:rFonts w:ascii="Arial"/>
                <w:sz w:val="16"/>
              </w:rPr>
              <w:t>678751887</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4"/>
              <w:jc w:val="right"/>
              <w:rPr>
                <w:rFonts w:ascii="Arial" w:hAnsi="Arial" w:cs="Arial" w:eastAsia="Arial" w:hint="default"/>
                <w:sz w:val="16"/>
                <w:szCs w:val="16"/>
              </w:rPr>
            </w:pPr>
            <w:r>
              <w:rPr>
                <w:rFonts w:ascii="Arial"/>
                <w:w w:val="95"/>
                <w:sz w:val="16"/>
              </w:rPr>
              <w:t>500,000</w:t>
            </w:r>
            <w:r>
              <w:rPr>
                <w:rFonts w:ascii="Arial"/>
                <w:sz w:val="16"/>
              </w:rPr>
            </w:r>
          </w:p>
        </w:tc>
        <w:tc>
          <w:tcPr>
            <w:tcW w:w="1028" w:type="dxa"/>
            <w:tcBorders>
              <w:top w:val="nil" w:sz="6" w:space="0" w:color="auto"/>
              <w:left w:val="nil" w:sz="6" w:space="0" w:color="auto"/>
              <w:bottom w:val="nil" w:sz="6" w:space="0" w:color="auto"/>
              <w:right w:val="nil" w:sz="6" w:space="0" w:color="auto"/>
            </w:tcBorders>
          </w:tcPr>
          <w:p>
            <w:pPr>
              <w:pStyle w:val="TableParagraph"/>
              <w:spacing w:line="179" w:lineRule="exact"/>
              <w:ind w:left="40" w:right="0"/>
              <w:jc w:val="center"/>
              <w:rPr>
                <w:rFonts w:ascii="宋体" w:hAnsi="宋体" w:cs="宋体" w:eastAsia="宋体" w:hint="default"/>
                <w:sz w:val="16"/>
                <w:szCs w:val="16"/>
              </w:rPr>
            </w:pPr>
            <w:r>
              <w:rPr>
                <w:rFonts w:ascii="宋体" w:hAnsi="宋体" w:cs="宋体" w:eastAsia="宋体" w:hint="default"/>
                <w:w w:val="99"/>
                <w:sz w:val="16"/>
                <w:szCs w:val="16"/>
              </w:rPr>
              <w:t>无</w:t>
            </w:r>
            <w:r>
              <w:rPr>
                <w:rFonts w:ascii="宋体" w:hAnsi="宋体" w:cs="宋体" w:eastAsia="宋体" w:hint="default"/>
                <w:sz w:val="16"/>
                <w:szCs w:val="16"/>
              </w:rPr>
            </w:r>
          </w:p>
        </w:tc>
        <w:tc>
          <w:tcPr>
            <w:tcW w:w="540" w:type="dxa"/>
            <w:tcBorders>
              <w:top w:val="nil" w:sz="6" w:space="0" w:color="auto"/>
              <w:left w:val="nil" w:sz="6" w:space="0" w:color="auto"/>
              <w:bottom w:val="nil" w:sz="6" w:space="0" w:color="auto"/>
              <w:right w:val="nil" w:sz="6" w:space="0" w:color="auto"/>
            </w:tcBorders>
          </w:tcPr>
          <w:p>
            <w:pPr>
              <w:pStyle w:val="TableParagraph"/>
              <w:spacing w:line="240" w:lineRule="auto" w:before="17"/>
              <w:ind w:left="46" w:right="0"/>
              <w:jc w:val="center"/>
              <w:rPr>
                <w:rFonts w:ascii="Arial" w:hAnsi="Arial" w:cs="Arial" w:eastAsia="Arial" w:hint="default"/>
                <w:sz w:val="16"/>
                <w:szCs w:val="16"/>
              </w:rPr>
            </w:pPr>
            <w:r>
              <w:rPr>
                <w:rFonts w:ascii="Arial"/>
                <w:sz w:val="16"/>
              </w:rPr>
              <w:t>33.88</w:t>
            </w:r>
          </w:p>
        </w:tc>
        <w:tc>
          <w:tcPr>
            <w:tcW w:w="599" w:type="dxa"/>
            <w:tcBorders>
              <w:top w:val="nil" w:sz="6" w:space="0" w:color="auto"/>
              <w:left w:val="nil" w:sz="6" w:space="0" w:color="auto"/>
              <w:bottom w:val="nil" w:sz="6" w:space="0" w:color="auto"/>
              <w:right w:val="nil" w:sz="6" w:space="0" w:color="auto"/>
            </w:tcBorders>
          </w:tcPr>
          <w:p>
            <w:pPr>
              <w:pStyle w:val="TableParagraph"/>
              <w:spacing w:line="240" w:lineRule="auto" w:before="17"/>
              <w:ind w:left="55" w:right="0"/>
              <w:jc w:val="center"/>
              <w:rPr>
                <w:rFonts w:ascii="Arial" w:hAnsi="Arial" w:cs="Arial" w:eastAsia="Arial" w:hint="default"/>
                <w:sz w:val="16"/>
                <w:szCs w:val="16"/>
              </w:rPr>
            </w:pPr>
            <w:r>
              <w:rPr>
                <w:rFonts w:ascii="Arial"/>
                <w:sz w:val="16"/>
              </w:rPr>
              <w:t>58.30</w:t>
            </w:r>
          </w:p>
        </w:tc>
        <w:tc>
          <w:tcPr>
            <w:tcW w:w="516" w:type="dxa"/>
            <w:tcBorders>
              <w:top w:val="nil" w:sz="6" w:space="0" w:color="auto"/>
              <w:left w:val="nil" w:sz="6" w:space="0" w:color="auto"/>
              <w:bottom w:val="nil" w:sz="6" w:space="0" w:color="auto"/>
              <w:right w:val="nil" w:sz="6" w:space="0" w:color="auto"/>
            </w:tcBorders>
          </w:tcPr>
          <w:p>
            <w:pPr>
              <w:pStyle w:val="TableParagraph"/>
              <w:spacing w:line="179" w:lineRule="exact"/>
              <w:ind w:right="54"/>
              <w:jc w:val="center"/>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7"/>
              <w:ind w:left="27" w:right="0"/>
              <w:jc w:val="center"/>
              <w:rPr>
                <w:rFonts w:ascii="Arial" w:hAnsi="Arial" w:cs="Arial" w:eastAsia="Arial" w:hint="default"/>
                <w:sz w:val="16"/>
                <w:szCs w:val="16"/>
              </w:rPr>
            </w:pPr>
            <w:r>
              <w:rPr>
                <w:rFonts w:ascii="Arial"/>
                <w:w w:val="99"/>
                <w:sz w:val="16"/>
              </w:rPr>
              <w:t>-</w:t>
            </w:r>
            <w:r>
              <w:rPr>
                <w:rFonts w:ascii="Arial"/>
                <w:sz w:val="16"/>
              </w:rPr>
            </w:r>
          </w:p>
        </w:tc>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4" w:right="0"/>
              <w:jc w:val="center"/>
              <w:rPr>
                <w:rFonts w:ascii="Arial" w:hAnsi="Arial" w:cs="Arial" w:eastAsia="Arial" w:hint="default"/>
                <w:sz w:val="16"/>
                <w:szCs w:val="16"/>
              </w:rPr>
            </w:pPr>
            <w:r>
              <w:rPr>
                <w:rFonts w:ascii="Arial"/>
                <w:w w:val="99"/>
                <w:sz w:val="16"/>
              </w:rPr>
              <w:t>-</w:t>
            </w:r>
            <w:r>
              <w:rPr>
                <w:rFonts w:ascii="Arial"/>
                <w:sz w:val="16"/>
              </w:rPr>
            </w:r>
          </w:p>
        </w:tc>
        <w:tc>
          <w:tcPr>
            <w:tcW w:w="474"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90" w:right="0"/>
              <w:jc w:val="left"/>
              <w:rPr>
                <w:rFonts w:ascii="Arial" w:hAnsi="Arial" w:cs="Arial" w:eastAsia="Arial" w:hint="default"/>
                <w:sz w:val="16"/>
                <w:szCs w:val="16"/>
              </w:rPr>
            </w:pPr>
            <w:r>
              <w:rPr>
                <w:rFonts w:ascii="Arial"/>
                <w:w w:val="99"/>
                <w:sz w:val="16"/>
              </w:rPr>
              <w:t>-</w:t>
            </w:r>
            <w:r>
              <w:rPr>
                <w:rFonts w:ascii="Arial"/>
                <w:sz w:val="16"/>
              </w:rPr>
            </w:r>
          </w:p>
        </w:tc>
      </w:tr>
      <w:tr>
        <w:trPr>
          <w:trHeight w:val="290" w:hRule="exact"/>
        </w:trPr>
        <w:tc>
          <w:tcPr>
            <w:tcW w:w="4491" w:type="dxa"/>
            <w:tcBorders>
              <w:top w:val="nil" w:sz="6" w:space="0" w:color="auto"/>
              <w:left w:val="nil" w:sz="6" w:space="0" w:color="auto"/>
              <w:bottom w:val="nil" w:sz="6" w:space="0" w:color="auto"/>
              <w:right w:val="nil" w:sz="6" w:space="0" w:color="auto"/>
            </w:tcBorders>
          </w:tcPr>
          <w:p>
            <w:pPr>
              <w:pStyle w:val="TableParagraph"/>
              <w:tabs>
                <w:tab w:pos="2924" w:val="left" w:leader="none"/>
              </w:tabs>
              <w:spacing w:line="240" w:lineRule="auto" w:before="56"/>
              <w:ind w:right="57"/>
              <w:jc w:val="right"/>
              <w:rPr>
                <w:rFonts w:ascii="宋体" w:hAnsi="宋体" w:cs="宋体" w:eastAsia="宋体" w:hint="default"/>
                <w:sz w:val="16"/>
                <w:szCs w:val="16"/>
              </w:rPr>
            </w:pPr>
            <w:r>
              <w:rPr>
                <w:rFonts w:ascii="宋体" w:hAnsi="宋体" w:cs="宋体" w:eastAsia="宋体" w:hint="default"/>
                <w:w w:val="95"/>
                <w:sz w:val="16"/>
                <w:szCs w:val="16"/>
              </w:rPr>
              <w:t>中国联通集团移动网络</w:t>
              <w:tab/>
              <w:t>中国，北京市</w:t>
            </w:r>
            <w:r>
              <w:rPr>
                <w:rFonts w:ascii="宋体" w:hAnsi="宋体" w:cs="宋体" w:eastAsia="宋体" w:hint="default"/>
                <w:sz w:val="16"/>
                <w:szCs w:val="16"/>
              </w:rPr>
            </w:r>
          </w:p>
        </w:tc>
        <w:tc>
          <w:tcPr>
            <w:tcW w:w="67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35"/>
              <w:jc w:val="right"/>
              <w:rPr>
                <w:rFonts w:ascii="宋体" w:hAnsi="宋体" w:cs="宋体" w:eastAsia="宋体" w:hint="default"/>
                <w:sz w:val="16"/>
                <w:szCs w:val="16"/>
              </w:rPr>
            </w:pPr>
            <w:r>
              <w:rPr>
                <w:rFonts w:ascii="宋体" w:hAnsi="宋体" w:cs="宋体" w:eastAsia="宋体" w:hint="default"/>
                <w:w w:val="95"/>
                <w:sz w:val="16"/>
                <w:szCs w:val="16"/>
              </w:rPr>
              <w:t>网络建</w:t>
            </w:r>
            <w:r>
              <w:rPr>
                <w:rFonts w:ascii="宋体" w:hAnsi="宋体" w:cs="宋体" w:eastAsia="宋体" w:hint="default"/>
                <w:sz w:val="16"/>
                <w:szCs w:val="16"/>
              </w:rPr>
            </w:r>
          </w:p>
        </w:tc>
        <w:tc>
          <w:tcPr>
            <w:tcW w:w="1130"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822" w:type="dxa"/>
            <w:tcBorders>
              <w:top w:val="nil" w:sz="6" w:space="0" w:color="auto"/>
              <w:left w:val="nil" w:sz="6" w:space="0" w:color="auto"/>
              <w:bottom w:val="nil" w:sz="6" w:space="0" w:color="auto"/>
              <w:right w:val="nil" w:sz="6" w:space="0" w:color="auto"/>
            </w:tcBorders>
          </w:tcPr>
          <w:p>
            <w:pPr/>
          </w:p>
        </w:tc>
        <w:tc>
          <w:tcPr>
            <w:tcW w:w="663" w:type="dxa"/>
            <w:tcBorders>
              <w:top w:val="nil" w:sz="6" w:space="0" w:color="auto"/>
              <w:left w:val="nil" w:sz="6" w:space="0" w:color="auto"/>
              <w:bottom w:val="nil" w:sz="6" w:space="0" w:color="auto"/>
              <w:right w:val="nil" w:sz="6" w:space="0" w:color="auto"/>
            </w:tcBorders>
          </w:tcPr>
          <w:p>
            <w:pPr/>
          </w:p>
        </w:tc>
        <w:tc>
          <w:tcPr>
            <w:tcW w:w="1112"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
        </w:tc>
        <w:tc>
          <w:tcPr>
            <w:tcW w:w="516"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552" w:type="dxa"/>
            <w:tcBorders>
              <w:top w:val="nil" w:sz="6" w:space="0" w:color="auto"/>
              <w:left w:val="nil" w:sz="6" w:space="0" w:color="auto"/>
              <w:bottom w:val="nil" w:sz="6" w:space="0" w:color="auto"/>
              <w:right w:val="nil" w:sz="6" w:space="0" w:color="auto"/>
            </w:tcBorders>
          </w:tcPr>
          <w:p>
            <w:pPr/>
          </w:p>
        </w:tc>
        <w:tc>
          <w:tcPr>
            <w:tcW w:w="474" w:type="dxa"/>
            <w:tcBorders>
              <w:top w:val="nil" w:sz="6" w:space="0" w:color="auto"/>
              <w:left w:val="nil" w:sz="6" w:space="0" w:color="auto"/>
              <w:bottom w:val="nil" w:sz="6" w:space="0" w:color="auto"/>
              <w:right w:val="nil" w:sz="6" w:space="0" w:color="auto"/>
            </w:tcBorders>
          </w:tcPr>
          <w:p>
            <w:pPr/>
          </w:p>
        </w:tc>
      </w:tr>
      <w:tr>
        <w:trPr>
          <w:trHeight w:val="212" w:hRule="exact"/>
        </w:trPr>
        <w:tc>
          <w:tcPr>
            <w:tcW w:w="4491" w:type="dxa"/>
            <w:tcBorders>
              <w:top w:val="nil" w:sz="6" w:space="0" w:color="auto"/>
              <w:left w:val="nil" w:sz="6" w:space="0" w:color="auto"/>
              <w:bottom w:val="nil" w:sz="6" w:space="0" w:color="auto"/>
              <w:right w:val="nil" w:sz="6" w:space="0" w:color="auto"/>
            </w:tcBorders>
          </w:tcPr>
          <w:p>
            <w:pPr>
              <w:pStyle w:val="TableParagraph"/>
              <w:tabs>
                <w:tab w:pos="2902" w:val="left" w:leader="none"/>
                <w:tab w:pos="3673" w:val="left" w:leader="none"/>
              </w:tabs>
              <w:spacing w:line="195" w:lineRule="exact"/>
              <w:ind w:left="707" w:right="0"/>
              <w:jc w:val="left"/>
              <w:rPr>
                <w:rFonts w:ascii="宋体" w:hAnsi="宋体" w:cs="宋体" w:eastAsia="宋体" w:hint="default"/>
                <w:sz w:val="16"/>
                <w:szCs w:val="16"/>
              </w:rPr>
            </w:pPr>
            <w:r>
              <w:rPr>
                <w:rFonts w:ascii="宋体" w:hAnsi="宋体" w:cs="宋体" w:eastAsia="宋体" w:hint="default"/>
                <w:w w:val="95"/>
                <w:sz w:val="16"/>
                <w:szCs w:val="16"/>
              </w:rPr>
              <w:t>有限公司</w:t>
              <w:tab/>
              <w:t>间接</w:t>
              <w:tab/>
            </w:r>
            <w:r>
              <w:rPr>
                <w:rFonts w:ascii="Arial" w:hAnsi="Arial" w:cs="Arial" w:eastAsia="Arial" w:hint="default"/>
                <w:sz w:val="16"/>
                <w:szCs w:val="16"/>
              </w:rPr>
              <w:t>2008</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675" w:type="dxa"/>
            <w:tcBorders>
              <w:top w:val="nil" w:sz="6" w:space="0" w:color="auto"/>
              <w:left w:val="nil" w:sz="6" w:space="0" w:color="auto"/>
              <w:bottom w:val="nil" w:sz="6" w:space="0" w:color="auto"/>
              <w:right w:val="nil" w:sz="6" w:space="0" w:color="auto"/>
            </w:tcBorders>
          </w:tcPr>
          <w:p>
            <w:pPr>
              <w:pStyle w:val="TableParagraph"/>
              <w:spacing w:line="184" w:lineRule="exact"/>
              <w:ind w:right="135"/>
              <w:jc w:val="right"/>
              <w:rPr>
                <w:rFonts w:ascii="宋体" w:hAnsi="宋体" w:cs="宋体" w:eastAsia="宋体" w:hint="default"/>
                <w:sz w:val="16"/>
                <w:szCs w:val="16"/>
              </w:rPr>
            </w:pPr>
            <w:r>
              <w:rPr>
                <w:rFonts w:ascii="宋体" w:hAnsi="宋体" w:cs="宋体" w:eastAsia="宋体" w:hint="default"/>
                <w:w w:val="95"/>
                <w:sz w:val="16"/>
                <w:szCs w:val="16"/>
              </w:rPr>
              <w:t>设及维</w:t>
            </w:r>
            <w:r>
              <w:rPr>
                <w:rFonts w:ascii="宋体" w:hAnsi="宋体" w:cs="宋体" w:eastAsia="宋体" w:hint="default"/>
                <w:sz w:val="16"/>
                <w:szCs w:val="16"/>
              </w:rPr>
            </w:r>
          </w:p>
        </w:tc>
        <w:tc>
          <w:tcPr>
            <w:tcW w:w="1130"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Style w:val="TableParagraph"/>
              <w:spacing w:line="184" w:lineRule="exact"/>
              <w:ind w:left="104" w:right="0"/>
              <w:jc w:val="left"/>
              <w:rPr>
                <w:rFonts w:ascii="宋体" w:hAnsi="宋体" w:cs="宋体" w:eastAsia="宋体" w:hint="default"/>
                <w:sz w:val="16"/>
                <w:szCs w:val="16"/>
              </w:rPr>
            </w:pPr>
            <w:r>
              <w:rPr>
                <w:rFonts w:ascii="宋体" w:hAnsi="宋体" w:cs="宋体" w:eastAsia="宋体" w:hint="default"/>
                <w:sz w:val="16"/>
                <w:szCs w:val="16"/>
              </w:rPr>
              <w:t>网络建设</w:t>
            </w:r>
          </w:p>
        </w:tc>
        <w:tc>
          <w:tcPr>
            <w:tcW w:w="822" w:type="dxa"/>
            <w:tcBorders>
              <w:top w:val="nil" w:sz="6" w:space="0" w:color="auto"/>
              <w:left w:val="nil" w:sz="6" w:space="0" w:color="auto"/>
              <w:bottom w:val="nil" w:sz="6" w:space="0" w:color="auto"/>
              <w:right w:val="nil" w:sz="6" w:space="0" w:color="auto"/>
            </w:tcBorders>
          </w:tcPr>
          <w:p>
            <w:pPr>
              <w:pStyle w:val="TableParagraph"/>
              <w:spacing w:line="184" w:lineRule="exact"/>
              <w:ind w:right="49"/>
              <w:jc w:val="center"/>
              <w:rPr>
                <w:rFonts w:ascii="宋体" w:hAnsi="宋体" w:cs="宋体" w:eastAsia="宋体" w:hint="default"/>
                <w:sz w:val="16"/>
                <w:szCs w:val="16"/>
              </w:rPr>
            </w:pPr>
            <w:r>
              <w:rPr>
                <w:rFonts w:ascii="宋体" w:hAnsi="宋体" w:cs="宋体" w:eastAsia="宋体" w:hint="default"/>
                <w:sz w:val="16"/>
                <w:szCs w:val="16"/>
              </w:rPr>
              <w:t>有限责任</w:t>
            </w:r>
          </w:p>
        </w:tc>
        <w:tc>
          <w:tcPr>
            <w:tcW w:w="663" w:type="dxa"/>
            <w:tcBorders>
              <w:top w:val="nil" w:sz="6" w:space="0" w:color="auto"/>
              <w:left w:val="nil" w:sz="6" w:space="0" w:color="auto"/>
              <w:bottom w:val="nil" w:sz="6" w:space="0" w:color="auto"/>
              <w:right w:val="nil" w:sz="6" w:space="0" w:color="auto"/>
            </w:tcBorders>
          </w:tcPr>
          <w:p>
            <w:pPr/>
          </w:p>
        </w:tc>
        <w:tc>
          <w:tcPr>
            <w:tcW w:w="1112" w:type="dxa"/>
            <w:tcBorders>
              <w:top w:val="nil" w:sz="6" w:space="0" w:color="auto"/>
              <w:left w:val="nil" w:sz="6" w:space="0" w:color="auto"/>
              <w:bottom w:val="nil" w:sz="6" w:space="0" w:color="auto"/>
              <w:right w:val="nil" w:sz="6" w:space="0" w:color="auto"/>
            </w:tcBorders>
          </w:tcPr>
          <w:p>
            <w:pPr/>
          </w:p>
        </w:tc>
        <w:tc>
          <w:tcPr>
            <w:tcW w:w="1216" w:type="dxa"/>
            <w:tcBorders>
              <w:top w:val="nil" w:sz="6" w:space="0" w:color="auto"/>
              <w:left w:val="nil" w:sz="6" w:space="0" w:color="auto"/>
              <w:bottom w:val="nil" w:sz="6" w:space="0" w:color="auto"/>
              <w:right w:val="nil" w:sz="6" w:space="0" w:color="auto"/>
            </w:tcBorders>
          </w:tcPr>
          <w:p>
            <w:pPr/>
          </w:p>
        </w:tc>
        <w:tc>
          <w:tcPr>
            <w:tcW w:w="1028"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
        </w:tc>
        <w:tc>
          <w:tcPr>
            <w:tcW w:w="516" w:type="dxa"/>
            <w:tcBorders>
              <w:top w:val="nil" w:sz="6" w:space="0" w:color="auto"/>
              <w:left w:val="nil" w:sz="6" w:space="0" w:color="auto"/>
              <w:bottom w:val="nil" w:sz="6" w:space="0" w:color="auto"/>
              <w:right w:val="nil" w:sz="6" w:space="0" w:color="auto"/>
            </w:tcBorders>
          </w:tcPr>
          <w:p>
            <w:pPr/>
          </w:p>
        </w:tc>
        <w:tc>
          <w:tcPr>
            <w:tcW w:w="877" w:type="dxa"/>
            <w:tcBorders>
              <w:top w:val="nil" w:sz="6" w:space="0" w:color="auto"/>
              <w:left w:val="nil" w:sz="6" w:space="0" w:color="auto"/>
              <w:bottom w:val="nil" w:sz="6" w:space="0" w:color="auto"/>
              <w:right w:val="nil" w:sz="6" w:space="0" w:color="auto"/>
            </w:tcBorders>
          </w:tcPr>
          <w:p>
            <w:pPr/>
          </w:p>
        </w:tc>
        <w:tc>
          <w:tcPr>
            <w:tcW w:w="552" w:type="dxa"/>
            <w:tcBorders>
              <w:top w:val="nil" w:sz="6" w:space="0" w:color="auto"/>
              <w:left w:val="nil" w:sz="6" w:space="0" w:color="auto"/>
              <w:bottom w:val="nil" w:sz="6" w:space="0" w:color="auto"/>
              <w:right w:val="nil" w:sz="6" w:space="0" w:color="auto"/>
            </w:tcBorders>
          </w:tcPr>
          <w:p>
            <w:pPr/>
          </w:p>
        </w:tc>
        <w:tc>
          <w:tcPr>
            <w:tcW w:w="474" w:type="dxa"/>
            <w:tcBorders>
              <w:top w:val="nil" w:sz="6" w:space="0" w:color="auto"/>
              <w:left w:val="nil" w:sz="6" w:space="0" w:color="auto"/>
              <w:bottom w:val="nil" w:sz="6" w:space="0" w:color="auto"/>
              <w:right w:val="nil" w:sz="6" w:space="0" w:color="auto"/>
            </w:tcBorders>
          </w:tcPr>
          <w:p>
            <w:pPr/>
          </w:p>
        </w:tc>
      </w:tr>
      <w:tr>
        <w:trPr>
          <w:trHeight w:val="299" w:hRule="exact"/>
        </w:trPr>
        <w:tc>
          <w:tcPr>
            <w:tcW w:w="4491" w:type="dxa"/>
            <w:tcBorders>
              <w:top w:val="nil" w:sz="6" w:space="0" w:color="auto"/>
              <w:left w:val="nil" w:sz="6" w:space="0" w:color="auto"/>
              <w:bottom w:val="nil" w:sz="6" w:space="0" w:color="auto"/>
              <w:right w:val="nil" w:sz="6" w:space="0" w:color="auto"/>
            </w:tcBorders>
          </w:tcPr>
          <w:p>
            <w:pPr>
              <w:pStyle w:val="TableParagraph"/>
              <w:tabs>
                <w:tab w:pos="2902" w:val="left" w:leader="none"/>
                <w:tab w:pos="3553" w:val="left" w:leader="none"/>
              </w:tabs>
              <w:spacing w:line="202" w:lineRule="exact"/>
              <w:ind w:left="548" w:right="0"/>
              <w:jc w:val="left"/>
              <w:rPr>
                <w:rFonts w:ascii="宋体" w:hAnsi="宋体" w:cs="宋体" w:eastAsia="宋体" w:hint="default"/>
                <w:sz w:val="16"/>
                <w:szCs w:val="16"/>
              </w:rPr>
            </w:pPr>
            <w:r>
              <w:rPr>
                <w:rFonts w:ascii="宋体" w:hAnsi="宋体" w:cs="宋体" w:eastAsia="宋体" w:hint="default"/>
                <w:spacing w:val="-10"/>
                <w:position w:val="1"/>
                <w:sz w:val="16"/>
                <w:szCs w:val="16"/>
              </w:rPr>
              <w:t>（“联通移动网络公司”）</w:t>
            </w:r>
            <w:r>
              <w:rPr>
                <w:rFonts w:ascii="宋体" w:hAnsi="宋体" w:cs="宋体" w:eastAsia="宋体" w:hint="default"/>
                <w:spacing w:val="-9"/>
                <w:position w:val="1"/>
                <w:sz w:val="16"/>
                <w:szCs w:val="16"/>
              </w:rPr>
              <w:t> </w:t>
            </w:r>
            <w:r>
              <w:rPr>
                <w:rFonts w:ascii="Arial" w:hAnsi="Arial" w:cs="Arial" w:eastAsia="Arial" w:hint="default"/>
                <w:sz w:val="16"/>
                <w:szCs w:val="16"/>
              </w:rPr>
              <w:t>(2)</w:t>
              <w:tab/>
            </w:r>
            <w:r>
              <w:rPr>
                <w:rFonts w:ascii="宋体" w:hAnsi="宋体" w:cs="宋体" w:eastAsia="宋体" w:hint="default"/>
                <w:w w:val="95"/>
                <w:position w:val="1"/>
                <w:sz w:val="16"/>
                <w:szCs w:val="16"/>
              </w:rPr>
              <w:t>控股</w:t>
              <w:tab/>
            </w:r>
            <w:r>
              <w:rPr>
                <w:rFonts w:ascii="Arial" w:hAnsi="Arial" w:cs="Arial" w:eastAsia="Arial" w:hint="default"/>
                <w:position w:val="1"/>
                <w:sz w:val="16"/>
                <w:szCs w:val="16"/>
              </w:rPr>
              <w:t>12</w:t>
            </w:r>
            <w:r>
              <w:rPr>
                <w:rFonts w:ascii="Arial" w:hAnsi="Arial" w:cs="Arial" w:eastAsia="Arial" w:hint="default"/>
                <w:spacing w:val="-6"/>
                <w:position w:val="1"/>
                <w:sz w:val="16"/>
                <w:szCs w:val="16"/>
              </w:rPr>
              <w:t> </w:t>
            </w:r>
            <w:r>
              <w:rPr>
                <w:rFonts w:ascii="宋体" w:hAnsi="宋体" w:cs="宋体" w:eastAsia="宋体" w:hint="default"/>
                <w:position w:val="1"/>
                <w:sz w:val="16"/>
                <w:szCs w:val="16"/>
              </w:rPr>
              <w:t>月</w:t>
            </w:r>
            <w:r>
              <w:rPr>
                <w:rFonts w:ascii="宋体" w:hAnsi="宋体" w:cs="宋体" w:eastAsia="宋体" w:hint="default"/>
                <w:spacing w:val="-42"/>
                <w:position w:val="1"/>
                <w:sz w:val="16"/>
                <w:szCs w:val="16"/>
              </w:rPr>
              <w:t> </w:t>
            </w:r>
            <w:r>
              <w:rPr>
                <w:rFonts w:ascii="Arial" w:hAnsi="Arial" w:cs="Arial" w:eastAsia="Arial" w:hint="default"/>
                <w:position w:val="1"/>
                <w:sz w:val="16"/>
                <w:szCs w:val="16"/>
              </w:rPr>
              <w:t>31</w:t>
            </w:r>
            <w:r>
              <w:rPr>
                <w:rFonts w:ascii="Arial" w:hAnsi="Arial" w:cs="Arial" w:eastAsia="Arial" w:hint="default"/>
                <w:spacing w:val="-6"/>
                <w:position w:val="1"/>
                <w:sz w:val="16"/>
                <w:szCs w:val="16"/>
              </w:rPr>
              <w:t> </w:t>
            </w:r>
            <w:r>
              <w:rPr>
                <w:rFonts w:ascii="宋体" w:hAnsi="宋体" w:cs="宋体" w:eastAsia="宋体" w:hint="default"/>
                <w:position w:val="1"/>
                <w:sz w:val="16"/>
                <w:szCs w:val="16"/>
              </w:rPr>
              <w:t>日</w:t>
            </w:r>
            <w:r>
              <w:rPr>
                <w:rFonts w:ascii="宋体" w:hAnsi="宋体" w:cs="宋体" w:eastAsia="宋体" w:hint="default"/>
                <w:sz w:val="16"/>
                <w:szCs w:val="16"/>
              </w:rPr>
            </w:r>
          </w:p>
        </w:tc>
        <w:tc>
          <w:tcPr>
            <w:tcW w:w="675" w:type="dxa"/>
            <w:tcBorders>
              <w:top w:val="nil" w:sz="6" w:space="0" w:color="auto"/>
              <w:left w:val="nil" w:sz="6" w:space="0" w:color="auto"/>
              <w:bottom w:val="nil" w:sz="6" w:space="0" w:color="auto"/>
              <w:right w:val="nil" w:sz="6" w:space="0" w:color="auto"/>
            </w:tcBorders>
          </w:tcPr>
          <w:p>
            <w:pPr>
              <w:pStyle w:val="TableParagraph"/>
              <w:spacing w:line="180" w:lineRule="exact"/>
              <w:ind w:left="218" w:right="0"/>
              <w:jc w:val="left"/>
              <w:rPr>
                <w:rFonts w:ascii="宋体" w:hAnsi="宋体" w:cs="宋体" w:eastAsia="宋体" w:hint="default"/>
                <w:sz w:val="16"/>
                <w:szCs w:val="16"/>
              </w:rPr>
            </w:pPr>
            <w:r>
              <w:rPr>
                <w:rFonts w:ascii="宋体" w:hAnsi="宋体" w:cs="宋体" w:eastAsia="宋体" w:hint="default"/>
                <w:w w:val="99"/>
                <w:sz w:val="16"/>
                <w:szCs w:val="16"/>
              </w:rPr>
              <w:t>护</w:t>
            </w:r>
            <w:r>
              <w:rPr>
                <w:rFonts w:ascii="宋体" w:hAnsi="宋体" w:cs="宋体" w:eastAsia="宋体" w:hint="default"/>
                <w:sz w:val="16"/>
                <w:szCs w:val="16"/>
              </w:rPr>
            </w:r>
          </w:p>
        </w:tc>
        <w:tc>
          <w:tcPr>
            <w:tcW w:w="113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03"/>
              <w:jc w:val="right"/>
              <w:rPr>
                <w:rFonts w:ascii="Arial" w:hAnsi="Arial" w:cs="Arial" w:eastAsia="Arial" w:hint="default"/>
                <w:sz w:val="16"/>
                <w:szCs w:val="16"/>
              </w:rPr>
            </w:pPr>
            <w:r>
              <w:rPr>
                <w:rFonts w:ascii="Arial"/>
                <w:w w:val="95"/>
                <w:sz w:val="16"/>
              </w:rPr>
              <w:t>500,000</w:t>
            </w:r>
            <w:r>
              <w:rPr>
                <w:rFonts w:ascii="Arial"/>
                <w:sz w:val="16"/>
              </w:rPr>
            </w:r>
          </w:p>
        </w:tc>
        <w:tc>
          <w:tcPr>
            <w:tcW w:w="854" w:type="dxa"/>
            <w:tcBorders>
              <w:top w:val="nil" w:sz="6" w:space="0" w:color="auto"/>
              <w:left w:val="nil" w:sz="6" w:space="0" w:color="auto"/>
              <w:bottom w:val="nil" w:sz="6" w:space="0" w:color="auto"/>
              <w:right w:val="nil" w:sz="6" w:space="0" w:color="auto"/>
            </w:tcBorders>
          </w:tcPr>
          <w:p>
            <w:pPr>
              <w:pStyle w:val="TableParagraph"/>
              <w:spacing w:line="180" w:lineRule="exact"/>
              <w:ind w:left="198" w:right="0"/>
              <w:jc w:val="left"/>
              <w:rPr>
                <w:rFonts w:ascii="宋体" w:hAnsi="宋体" w:cs="宋体" w:eastAsia="宋体" w:hint="default"/>
                <w:sz w:val="16"/>
                <w:szCs w:val="16"/>
              </w:rPr>
            </w:pPr>
            <w:r>
              <w:rPr>
                <w:rFonts w:ascii="宋体" w:hAnsi="宋体" w:cs="宋体" w:eastAsia="宋体" w:hint="default"/>
                <w:sz w:val="16"/>
                <w:szCs w:val="16"/>
              </w:rPr>
              <w:t>及维护</w:t>
            </w:r>
          </w:p>
        </w:tc>
        <w:tc>
          <w:tcPr>
            <w:tcW w:w="822" w:type="dxa"/>
            <w:tcBorders>
              <w:top w:val="nil" w:sz="6" w:space="0" w:color="auto"/>
              <w:left w:val="nil" w:sz="6" w:space="0" w:color="auto"/>
              <w:bottom w:val="nil" w:sz="6" w:space="0" w:color="auto"/>
              <w:right w:val="nil" w:sz="6" w:space="0" w:color="auto"/>
            </w:tcBorders>
          </w:tcPr>
          <w:p>
            <w:pPr>
              <w:pStyle w:val="TableParagraph"/>
              <w:spacing w:line="180" w:lineRule="exact"/>
              <w:ind w:right="49"/>
              <w:jc w:val="center"/>
              <w:rPr>
                <w:rFonts w:ascii="宋体" w:hAnsi="宋体" w:cs="宋体" w:eastAsia="宋体" w:hint="default"/>
                <w:sz w:val="16"/>
                <w:szCs w:val="16"/>
              </w:rPr>
            </w:pPr>
            <w:r>
              <w:rPr>
                <w:rFonts w:ascii="宋体" w:hAnsi="宋体" w:cs="宋体" w:eastAsia="宋体" w:hint="default"/>
                <w:sz w:val="16"/>
                <w:szCs w:val="16"/>
              </w:rPr>
              <w:t>公司</w:t>
            </w:r>
          </w:p>
        </w:tc>
        <w:tc>
          <w:tcPr>
            <w:tcW w:w="663" w:type="dxa"/>
            <w:tcBorders>
              <w:top w:val="nil" w:sz="6" w:space="0" w:color="auto"/>
              <w:left w:val="nil" w:sz="6" w:space="0" w:color="auto"/>
              <w:bottom w:val="nil" w:sz="6" w:space="0" w:color="auto"/>
              <w:right w:val="nil" w:sz="6" w:space="0" w:color="auto"/>
            </w:tcBorders>
          </w:tcPr>
          <w:p>
            <w:pPr>
              <w:pStyle w:val="TableParagraph"/>
              <w:spacing w:line="180" w:lineRule="exact"/>
              <w:ind w:right="97"/>
              <w:jc w:val="right"/>
              <w:rPr>
                <w:rFonts w:ascii="宋体" w:hAnsi="宋体" w:cs="宋体" w:eastAsia="宋体" w:hint="default"/>
                <w:sz w:val="16"/>
                <w:szCs w:val="16"/>
              </w:rPr>
            </w:pPr>
            <w:r>
              <w:rPr>
                <w:rFonts w:ascii="宋体" w:hAnsi="宋体" w:cs="宋体" w:eastAsia="宋体" w:hint="default"/>
                <w:w w:val="95"/>
                <w:sz w:val="16"/>
                <w:szCs w:val="16"/>
              </w:rPr>
              <w:t>张钧安</w:t>
            </w:r>
            <w:r>
              <w:rPr>
                <w:rFonts w:ascii="宋体" w:hAnsi="宋体" w:cs="宋体" w:eastAsia="宋体" w:hint="default"/>
                <w:sz w:val="16"/>
                <w:szCs w:val="16"/>
              </w:rPr>
            </w:r>
          </w:p>
        </w:tc>
        <w:tc>
          <w:tcPr>
            <w:tcW w:w="111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0" w:right="0"/>
              <w:jc w:val="left"/>
              <w:rPr>
                <w:rFonts w:ascii="Arial" w:hAnsi="Arial" w:cs="Arial" w:eastAsia="Arial" w:hint="default"/>
                <w:sz w:val="16"/>
                <w:szCs w:val="16"/>
              </w:rPr>
            </w:pPr>
            <w:r>
              <w:rPr>
                <w:rFonts w:ascii="Arial"/>
                <w:sz w:val="16"/>
              </w:rPr>
              <w:t>710935820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34"/>
              <w:jc w:val="right"/>
              <w:rPr>
                <w:rFonts w:ascii="Arial" w:hAnsi="Arial" w:cs="Arial" w:eastAsia="Arial" w:hint="default"/>
                <w:sz w:val="16"/>
                <w:szCs w:val="16"/>
              </w:rPr>
            </w:pPr>
            <w:r>
              <w:rPr>
                <w:rFonts w:ascii="Arial"/>
                <w:w w:val="95"/>
                <w:sz w:val="16"/>
              </w:rPr>
              <w:t>500,000</w:t>
            </w:r>
            <w:r>
              <w:rPr>
                <w:rFonts w:ascii="Arial"/>
                <w:sz w:val="16"/>
              </w:rPr>
            </w:r>
          </w:p>
        </w:tc>
        <w:tc>
          <w:tcPr>
            <w:tcW w:w="1028" w:type="dxa"/>
            <w:tcBorders>
              <w:top w:val="nil" w:sz="6" w:space="0" w:color="auto"/>
              <w:left w:val="nil" w:sz="6" w:space="0" w:color="auto"/>
              <w:bottom w:val="nil" w:sz="6" w:space="0" w:color="auto"/>
              <w:right w:val="nil" w:sz="6" w:space="0" w:color="auto"/>
            </w:tcBorders>
          </w:tcPr>
          <w:p>
            <w:pPr>
              <w:pStyle w:val="TableParagraph"/>
              <w:spacing w:line="180" w:lineRule="exact"/>
              <w:ind w:left="40" w:right="0"/>
              <w:jc w:val="center"/>
              <w:rPr>
                <w:rFonts w:ascii="宋体" w:hAnsi="宋体" w:cs="宋体" w:eastAsia="宋体" w:hint="default"/>
                <w:sz w:val="16"/>
                <w:szCs w:val="16"/>
              </w:rPr>
            </w:pPr>
            <w:r>
              <w:rPr>
                <w:rFonts w:ascii="宋体" w:hAnsi="宋体" w:cs="宋体" w:eastAsia="宋体" w:hint="default"/>
                <w:w w:val="99"/>
                <w:sz w:val="16"/>
                <w:szCs w:val="16"/>
              </w:rPr>
              <w:t>无</w:t>
            </w:r>
            <w:r>
              <w:rPr>
                <w:rFonts w:ascii="宋体" w:hAnsi="宋体" w:cs="宋体" w:eastAsia="宋体" w:hint="default"/>
                <w:sz w:val="16"/>
                <w:szCs w:val="16"/>
              </w:rPr>
            </w:r>
          </w:p>
        </w:tc>
        <w:tc>
          <w:tcPr>
            <w:tcW w:w="54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6" w:right="0"/>
              <w:jc w:val="center"/>
              <w:rPr>
                <w:rFonts w:ascii="Arial" w:hAnsi="Arial" w:cs="Arial" w:eastAsia="Arial" w:hint="default"/>
                <w:sz w:val="16"/>
                <w:szCs w:val="16"/>
              </w:rPr>
            </w:pPr>
            <w:r>
              <w:rPr>
                <w:rFonts w:ascii="Arial"/>
                <w:sz w:val="16"/>
              </w:rPr>
              <w:t>33.88</w:t>
            </w:r>
          </w:p>
        </w:tc>
        <w:tc>
          <w:tcPr>
            <w:tcW w:w="59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4" w:right="0"/>
              <w:jc w:val="center"/>
              <w:rPr>
                <w:rFonts w:ascii="Arial" w:hAnsi="Arial" w:cs="Arial" w:eastAsia="Arial" w:hint="default"/>
                <w:sz w:val="16"/>
                <w:szCs w:val="16"/>
              </w:rPr>
            </w:pPr>
            <w:r>
              <w:rPr>
                <w:rFonts w:ascii="Arial"/>
                <w:sz w:val="16"/>
              </w:rPr>
              <w:t>58.30</w:t>
            </w:r>
          </w:p>
        </w:tc>
        <w:tc>
          <w:tcPr>
            <w:tcW w:w="516" w:type="dxa"/>
            <w:tcBorders>
              <w:top w:val="nil" w:sz="6" w:space="0" w:color="auto"/>
              <w:left w:val="nil" w:sz="6" w:space="0" w:color="auto"/>
              <w:bottom w:val="nil" w:sz="6" w:space="0" w:color="auto"/>
              <w:right w:val="nil" w:sz="6" w:space="0" w:color="auto"/>
            </w:tcBorders>
          </w:tcPr>
          <w:p>
            <w:pPr>
              <w:pStyle w:val="TableParagraph"/>
              <w:spacing w:line="180" w:lineRule="exact"/>
              <w:ind w:right="54"/>
              <w:jc w:val="center"/>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27" w:right="0"/>
              <w:jc w:val="center"/>
              <w:rPr>
                <w:rFonts w:ascii="Arial" w:hAnsi="Arial" w:cs="Arial" w:eastAsia="Arial" w:hint="default"/>
                <w:sz w:val="16"/>
                <w:szCs w:val="16"/>
              </w:rPr>
            </w:pPr>
            <w:r>
              <w:rPr>
                <w:rFonts w:ascii="Arial"/>
                <w:w w:val="99"/>
                <w:sz w:val="16"/>
              </w:rPr>
              <w:t>-</w:t>
            </w:r>
            <w:r>
              <w:rPr>
                <w:rFonts w:ascii="Arial"/>
                <w:sz w:val="16"/>
              </w:rPr>
            </w:r>
          </w:p>
        </w:tc>
        <w:tc>
          <w:tcPr>
            <w:tcW w:w="552"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 w:right="0"/>
              <w:jc w:val="center"/>
              <w:rPr>
                <w:rFonts w:ascii="Arial" w:hAnsi="Arial" w:cs="Arial" w:eastAsia="Arial" w:hint="default"/>
                <w:sz w:val="16"/>
                <w:szCs w:val="16"/>
              </w:rPr>
            </w:pPr>
            <w:r>
              <w:rPr>
                <w:rFonts w:ascii="Arial"/>
                <w:w w:val="99"/>
                <w:sz w:val="16"/>
              </w:rPr>
              <w:t>-</w:t>
            </w:r>
            <w:r>
              <w:rPr>
                <w:rFonts w:ascii="Arial"/>
                <w:sz w:val="16"/>
              </w:rPr>
            </w:r>
          </w:p>
        </w:tc>
        <w:tc>
          <w:tcPr>
            <w:tcW w:w="47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90" w:right="0"/>
              <w:jc w:val="left"/>
              <w:rPr>
                <w:rFonts w:ascii="Arial" w:hAnsi="Arial" w:cs="Arial" w:eastAsia="Arial" w:hint="default"/>
                <w:sz w:val="16"/>
                <w:szCs w:val="16"/>
              </w:rPr>
            </w:pPr>
            <w:r>
              <w:rPr>
                <w:rFonts w:ascii="Arial"/>
                <w:w w:val="99"/>
                <w:sz w:val="16"/>
              </w:rPr>
              <w:t>-</w:t>
            </w:r>
            <w:r>
              <w:rPr>
                <w:rFonts w:ascii="Arial"/>
                <w:sz w:val="16"/>
              </w:rPr>
            </w:r>
          </w:p>
        </w:tc>
      </w:tr>
    </w:tbl>
    <w:p>
      <w:pPr>
        <w:spacing w:line="214" w:lineRule="exact" w:before="109"/>
        <w:ind w:left="650" w:right="0" w:firstLine="0"/>
        <w:jc w:val="left"/>
        <w:rPr>
          <w:rFonts w:ascii="宋体" w:hAnsi="宋体" w:cs="宋体" w:eastAsia="宋体" w:hint="default"/>
          <w:sz w:val="16"/>
          <w:szCs w:val="16"/>
        </w:rPr>
      </w:pPr>
      <w:r>
        <w:rPr>
          <w:rFonts w:ascii="宋体" w:hAnsi="宋体" w:cs="宋体" w:eastAsia="宋体" w:hint="default"/>
          <w:sz w:val="16"/>
          <w:szCs w:val="16"/>
        </w:rPr>
        <w:t>注：少数股东权益项目</w:t>
      </w:r>
      <w:r>
        <w:rPr>
          <w:rFonts w:ascii="宋体" w:hAnsi="宋体" w:cs="宋体" w:eastAsia="宋体" w:hint="default"/>
          <w:spacing w:val="-42"/>
          <w:sz w:val="16"/>
          <w:szCs w:val="16"/>
        </w:rPr>
        <w:t> </w:t>
      </w:r>
      <w:r>
        <w:rPr>
          <w:rFonts w:ascii="Arial" w:hAnsi="Arial" w:cs="Arial" w:eastAsia="Arial" w:hint="default"/>
          <w:sz w:val="16"/>
          <w:szCs w:val="16"/>
        </w:rPr>
        <w:t>1</w:t>
      </w:r>
      <w:r>
        <w:rPr>
          <w:rFonts w:ascii="Arial" w:hAnsi="Arial" w:cs="Arial" w:eastAsia="Arial" w:hint="default"/>
          <w:spacing w:val="-8"/>
          <w:sz w:val="16"/>
          <w:szCs w:val="16"/>
        </w:rPr>
        <w:t> </w:t>
      </w:r>
      <w:r>
        <w:rPr>
          <w:rFonts w:ascii="宋体" w:hAnsi="宋体" w:cs="宋体" w:eastAsia="宋体" w:hint="default"/>
          <w:sz w:val="16"/>
          <w:szCs w:val="16"/>
        </w:rPr>
        <w:t>指“少数股东权益中用于冲减少数股东损益的金额”。</w:t>
      </w:r>
    </w:p>
    <w:p>
      <w:pPr>
        <w:spacing w:line="214" w:lineRule="exact" w:before="0"/>
        <w:ind w:left="971" w:right="0" w:firstLine="0"/>
        <w:jc w:val="left"/>
        <w:rPr>
          <w:rFonts w:ascii="宋体" w:hAnsi="宋体" w:cs="宋体" w:eastAsia="宋体" w:hint="default"/>
          <w:sz w:val="16"/>
          <w:szCs w:val="16"/>
        </w:rPr>
      </w:pPr>
      <w:r>
        <w:rPr>
          <w:rFonts w:ascii="宋体" w:hAnsi="宋体" w:cs="宋体" w:eastAsia="宋体" w:hint="default"/>
          <w:sz w:val="16"/>
          <w:szCs w:val="16"/>
        </w:rPr>
        <w:t>少数股东权益项目</w:t>
      </w:r>
      <w:r>
        <w:rPr>
          <w:rFonts w:ascii="宋体" w:hAnsi="宋体" w:cs="宋体" w:eastAsia="宋体" w:hint="default"/>
          <w:spacing w:val="-45"/>
          <w:sz w:val="16"/>
          <w:szCs w:val="16"/>
        </w:rPr>
        <w:t> </w:t>
      </w:r>
      <w:r>
        <w:rPr>
          <w:rFonts w:ascii="Arial" w:hAnsi="Arial" w:cs="Arial" w:eastAsia="Arial" w:hint="default"/>
          <w:sz w:val="16"/>
          <w:szCs w:val="16"/>
        </w:rPr>
        <w:t>2</w:t>
      </w:r>
      <w:r>
        <w:rPr>
          <w:rFonts w:ascii="Arial" w:hAnsi="Arial" w:cs="Arial" w:eastAsia="Arial" w:hint="default"/>
          <w:spacing w:val="-9"/>
          <w:sz w:val="16"/>
          <w:szCs w:val="16"/>
        </w:rPr>
        <w:t> </w:t>
      </w:r>
      <w:r>
        <w:rPr>
          <w:rFonts w:ascii="宋体" w:hAnsi="宋体" w:cs="宋体" w:eastAsia="宋体" w:hint="default"/>
          <w:sz w:val="16"/>
          <w:szCs w:val="16"/>
        </w:rPr>
        <w:t>指“从母公司所有者权益冲减子公司少数股东分担的本年亏损超过少数股东在该子公司年初所有者权益中所享有份额后的余额”。</w:t>
      </w:r>
    </w:p>
    <w:p>
      <w:pPr>
        <w:spacing w:after="0" w:line="214" w:lineRule="exact"/>
        <w:jc w:val="left"/>
        <w:rPr>
          <w:rFonts w:ascii="宋体" w:hAnsi="宋体" w:cs="宋体" w:eastAsia="宋体" w:hint="default"/>
          <w:sz w:val="16"/>
          <w:szCs w:val="16"/>
        </w:rPr>
        <w:sectPr>
          <w:headerReference w:type="default" r:id="rId65"/>
          <w:footerReference w:type="default" r:id="rId66"/>
          <w:pgSz w:w="16840" w:h="11910" w:orient="landscape"/>
          <w:pgMar w:header="1189" w:footer="589" w:top="2540" w:bottom="780" w:left="420" w:right="640"/>
          <w:pgNumType w:start="88"/>
        </w:sectPr>
      </w:pPr>
    </w:p>
    <w:p>
      <w:pPr>
        <w:spacing w:line="240" w:lineRule="auto" w:before="10"/>
        <w:rPr>
          <w:rFonts w:ascii="宋体" w:hAnsi="宋体" w:cs="宋体" w:eastAsia="宋体" w:hint="default"/>
          <w:sz w:val="16"/>
          <w:szCs w:val="16"/>
        </w:rPr>
      </w:pPr>
    </w:p>
    <w:tbl>
      <w:tblPr>
        <w:tblW w:w="0" w:type="auto"/>
        <w:jc w:val="left"/>
        <w:tblInd w:w="111" w:type="dxa"/>
        <w:tblLayout w:type="fixed"/>
        <w:tblCellMar>
          <w:top w:w="0" w:type="dxa"/>
          <w:left w:w="0" w:type="dxa"/>
          <w:bottom w:w="0" w:type="dxa"/>
          <w:right w:w="0" w:type="dxa"/>
        </w:tblCellMar>
        <w:tblLook w:val="01E0"/>
      </w:tblPr>
      <w:tblGrid>
        <w:gridCol w:w="2110"/>
        <w:gridCol w:w="374"/>
        <w:gridCol w:w="567"/>
        <w:gridCol w:w="1177"/>
        <w:gridCol w:w="714"/>
        <w:gridCol w:w="1087"/>
        <w:gridCol w:w="834"/>
        <w:gridCol w:w="832"/>
        <w:gridCol w:w="687"/>
        <w:gridCol w:w="1128"/>
        <w:gridCol w:w="1139"/>
        <w:gridCol w:w="1063"/>
        <w:gridCol w:w="540"/>
        <w:gridCol w:w="578"/>
        <w:gridCol w:w="452"/>
        <w:gridCol w:w="811"/>
        <w:gridCol w:w="646"/>
        <w:gridCol w:w="599"/>
      </w:tblGrid>
      <w:tr>
        <w:trPr>
          <w:trHeight w:val="1018" w:hRule="exact"/>
        </w:trPr>
        <w:tc>
          <w:tcPr>
            <w:tcW w:w="4942"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31"/>
              <w:ind w:left="62" w:right="0"/>
              <w:jc w:val="left"/>
              <w:rPr>
                <w:rFonts w:ascii="宋体" w:hAnsi="宋体" w:cs="宋体" w:eastAsia="宋体" w:hint="default"/>
                <w:sz w:val="22"/>
                <w:szCs w:val="22"/>
              </w:rPr>
            </w:pPr>
            <w:r>
              <w:rPr>
                <w:rFonts w:ascii="Arial" w:hAnsi="Arial" w:cs="Arial" w:eastAsia="Arial" w:hint="default"/>
                <w:sz w:val="22"/>
                <w:szCs w:val="22"/>
              </w:rPr>
              <w:t>1</w:t>
            </w:r>
            <w:r>
              <w:rPr>
                <w:rFonts w:ascii="宋体" w:hAnsi="宋体" w:cs="宋体" w:eastAsia="宋体" w:hint="default"/>
                <w:sz w:val="22"/>
                <w:szCs w:val="22"/>
              </w:rPr>
              <w:t>、</w:t>
            </w:r>
            <w:r>
              <w:rPr>
                <w:rFonts w:ascii="宋体" w:hAnsi="宋体" w:cs="宋体" w:eastAsia="宋体" w:hint="default"/>
                <w:spacing w:val="-62"/>
                <w:sz w:val="22"/>
                <w:szCs w:val="22"/>
              </w:rPr>
              <w:t> </w:t>
            </w:r>
            <w:r>
              <w:rPr>
                <w:rFonts w:ascii="宋体" w:hAnsi="宋体" w:cs="宋体" w:eastAsia="宋体" w:hint="default"/>
                <w:sz w:val="22"/>
                <w:szCs w:val="22"/>
              </w:rPr>
              <w:t>重要子公司情况（续）</w:t>
            </w: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22"/>
                <w:szCs w:val="22"/>
              </w:rPr>
            </w:pPr>
            <w:r>
              <w:rPr>
                <w:rFonts w:ascii="Arial" w:hAnsi="Arial" w:cs="Arial" w:eastAsia="Arial" w:hint="default"/>
                <w:sz w:val="22"/>
                <w:szCs w:val="22"/>
              </w:rPr>
              <w:t>(b) </w:t>
            </w:r>
            <w:r>
              <w:rPr>
                <w:rFonts w:ascii="Arial" w:hAnsi="Arial" w:cs="Arial" w:eastAsia="Arial" w:hint="default"/>
                <w:spacing w:val="27"/>
                <w:sz w:val="22"/>
                <w:szCs w:val="22"/>
              </w:rPr>
              <w:t> </w:t>
            </w:r>
            <w:r>
              <w:rPr>
                <w:rFonts w:ascii="宋体" w:hAnsi="宋体" w:cs="宋体" w:eastAsia="宋体" w:hint="default"/>
                <w:sz w:val="22"/>
                <w:szCs w:val="22"/>
              </w:rPr>
              <w:t>通过同一控制下的企业合并取得的子公司</w:t>
            </w:r>
          </w:p>
        </w:tc>
        <w:tc>
          <w:tcPr>
            <w:tcW w:w="10396" w:type="dxa"/>
            <w:gridSpan w:val="13"/>
            <w:tcBorders>
              <w:top w:val="nil" w:sz="6" w:space="0" w:color="auto"/>
              <w:left w:val="nil" w:sz="6" w:space="0" w:color="auto"/>
              <w:bottom w:val="nil" w:sz="6" w:space="0" w:color="auto"/>
              <w:right w:val="nil" w:sz="6" w:space="0" w:color="auto"/>
            </w:tcBorders>
          </w:tcPr>
          <w:p>
            <w:pPr/>
          </w:p>
        </w:tc>
      </w:tr>
      <w:tr>
        <w:trPr>
          <w:trHeight w:val="333" w:hRule="exact"/>
        </w:trPr>
        <w:tc>
          <w:tcPr>
            <w:tcW w:w="4942" w:type="dxa"/>
            <w:gridSpan w:val="5"/>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832" w:type="dxa"/>
            <w:tcBorders>
              <w:top w:val="nil" w:sz="6" w:space="0" w:color="auto"/>
              <w:left w:val="nil" w:sz="6" w:space="0" w:color="auto"/>
              <w:bottom w:val="nil" w:sz="6" w:space="0" w:color="auto"/>
              <w:right w:val="nil" w:sz="6" w:space="0" w:color="auto"/>
            </w:tcBorders>
          </w:tcPr>
          <w:p>
            <w:pPr/>
          </w:p>
        </w:tc>
        <w:tc>
          <w:tcPr>
            <w:tcW w:w="687"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Style w:val="TableParagraph"/>
              <w:spacing w:line="240" w:lineRule="auto" w:before="99"/>
              <w:ind w:left="77" w:right="0"/>
              <w:jc w:val="center"/>
              <w:rPr>
                <w:rFonts w:ascii="宋体" w:hAnsi="宋体" w:cs="宋体" w:eastAsia="宋体" w:hint="default"/>
                <w:sz w:val="16"/>
                <w:szCs w:val="16"/>
              </w:rPr>
            </w:pPr>
            <w:r>
              <w:rPr>
                <w:rFonts w:ascii="宋体" w:hAnsi="宋体" w:cs="宋体" w:eastAsia="宋体" w:hint="default"/>
                <w:sz w:val="16"/>
                <w:szCs w:val="16"/>
              </w:rPr>
              <w:t>实质上构成</w:t>
            </w:r>
          </w:p>
        </w:tc>
        <w:tc>
          <w:tcPr>
            <w:tcW w:w="540"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3" w:right="0"/>
              <w:jc w:val="center"/>
              <w:rPr>
                <w:rFonts w:ascii="宋体" w:hAnsi="宋体" w:cs="宋体" w:eastAsia="宋体" w:hint="default"/>
                <w:sz w:val="16"/>
                <w:szCs w:val="16"/>
              </w:rPr>
            </w:pPr>
            <w:r>
              <w:rPr>
                <w:rFonts w:ascii="宋体" w:hAnsi="宋体" w:cs="宋体" w:eastAsia="宋体" w:hint="default"/>
                <w:sz w:val="16"/>
                <w:szCs w:val="16"/>
              </w:rPr>
              <w:t>少数股</w:t>
            </w:r>
          </w:p>
        </w:tc>
        <w:tc>
          <w:tcPr>
            <w:tcW w:w="599"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40"/>
              <w:jc w:val="right"/>
              <w:rPr>
                <w:rFonts w:ascii="宋体" w:hAnsi="宋体" w:cs="宋体" w:eastAsia="宋体" w:hint="default"/>
                <w:sz w:val="16"/>
                <w:szCs w:val="16"/>
              </w:rPr>
            </w:pPr>
            <w:r>
              <w:rPr>
                <w:rFonts w:ascii="宋体" w:hAnsi="宋体" w:cs="宋体" w:eastAsia="宋体" w:hint="default"/>
                <w:w w:val="95"/>
                <w:sz w:val="16"/>
                <w:szCs w:val="16"/>
              </w:rPr>
              <w:t>少数股</w:t>
            </w:r>
            <w:r>
              <w:rPr>
                <w:rFonts w:ascii="宋体" w:hAnsi="宋体" w:cs="宋体" w:eastAsia="宋体" w:hint="default"/>
                <w:sz w:val="16"/>
                <w:szCs w:val="16"/>
              </w:rPr>
            </w:r>
          </w:p>
        </w:tc>
      </w:tr>
      <w:tr>
        <w:trPr>
          <w:trHeight w:val="219" w:hRule="exact"/>
        </w:trPr>
        <w:tc>
          <w:tcPr>
            <w:tcW w:w="4942" w:type="dxa"/>
            <w:gridSpan w:val="5"/>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832" w:type="dxa"/>
            <w:tcBorders>
              <w:top w:val="nil" w:sz="6" w:space="0" w:color="auto"/>
              <w:left w:val="nil" w:sz="6" w:space="0" w:color="auto"/>
              <w:bottom w:val="nil" w:sz="6" w:space="0" w:color="auto"/>
              <w:right w:val="nil" w:sz="6" w:space="0" w:color="auto"/>
            </w:tcBorders>
          </w:tcPr>
          <w:p>
            <w:pPr/>
          </w:p>
        </w:tc>
        <w:tc>
          <w:tcPr>
            <w:tcW w:w="687"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Style w:val="TableParagraph"/>
              <w:spacing w:line="183" w:lineRule="exact"/>
              <w:ind w:left="204" w:right="0"/>
              <w:jc w:val="left"/>
              <w:rPr>
                <w:rFonts w:ascii="宋体" w:hAnsi="宋体" w:cs="宋体" w:eastAsia="宋体" w:hint="default"/>
                <w:sz w:val="16"/>
                <w:szCs w:val="16"/>
              </w:rPr>
            </w:pPr>
            <w:r>
              <w:rPr>
                <w:rFonts w:ascii="宋体" w:hAnsi="宋体" w:cs="宋体" w:eastAsia="宋体" w:hint="default"/>
                <w:sz w:val="16"/>
                <w:szCs w:val="16"/>
              </w:rPr>
              <w:t>年末实际</w:t>
            </w:r>
          </w:p>
        </w:tc>
        <w:tc>
          <w:tcPr>
            <w:tcW w:w="1063" w:type="dxa"/>
            <w:tcBorders>
              <w:top w:val="nil" w:sz="6" w:space="0" w:color="auto"/>
              <w:left w:val="nil" w:sz="6" w:space="0" w:color="auto"/>
              <w:bottom w:val="nil" w:sz="6" w:space="0" w:color="auto"/>
              <w:right w:val="nil" w:sz="6" w:space="0" w:color="auto"/>
            </w:tcBorders>
          </w:tcPr>
          <w:p>
            <w:pPr>
              <w:pStyle w:val="TableParagraph"/>
              <w:spacing w:line="183" w:lineRule="exact"/>
              <w:ind w:left="77" w:right="0"/>
              <w:jc w:val="center"/>
              <w:rPr>
                <w:rFonts w:ascii="宋体" w:hAnsi="宋体" w:cs="宋体" w:eastAsia="宋体" w:hint="default"/>
                <w:sz w:val="16"/>
                <w:szCs w:val="16"/>
              </w:rPr>
            </w:pPr>
            <w:r>
              <w:rPr>
                <w:rFonts w:ascii="宋体" w:hAnsi="宋体" w:cs="宋体" w:eastAsia="宋体" w:hint="default"/>
                <w:sz w:val="16"/>
                <w:szCs w:val="16"/>
              </w:rPr>
              <w:t>对子公司净</w:t>
            </w:r>
          </w:p>
        </w:tc>
        <w:tc>
          <w:tcPr>
            <w:tcW w:w="540" w:type="dxa"/>
            <w:tcBorders>
              <w:top w:val="nil" w:sz="6" w:space="0" w:color="auto"/>
              <w:left w:val="nil" w:sz="6" w:space="0" w:color="auto"/>
              <w:bottom w:val="nil" w:sz="6" w:space="0" w:color="auto"/>
              <w:right w:val="nil" w:sz="6" w:space="0" w:color="auto"/>
            </w:tcBorders>
          </w:tcPr>
          <w:p>
            <w:pPr>
              <w:pStyle w:val="TableParagraph"/>
              <w:spacing w:line="208" w:lineRule="exact"/>
              <w:ind w:left="23" w:right="0"/>
              <w:jc w:val="center"/>
              <w:rPr>
                <w:rFonts w:ascii="宋体" w:hAnsi="宋体" w:cs="宋体" w:eastAsia="宋体" w:hint="default"/>
                <w:sz w:val="16"/>
                <w:szCs w:val="16"/>
              </w:rPr>
            </w:pPr>
            <w:r>
              <w:rPr>
                <w:rFonts w:ascii="宋体" w:hAnsi="宋体" w:cs="宋体" w:eastAsia="宋体" w:hint="default"/>
                <w:sz w:val="16"/>
                <w:szCs w:val="16"/>
              </w:rPr>
              <w:t>持股</w:t>
            </w:r>
          </w:p>
        </w:tc>
        <w:tc>
          <w:tcPr>
            <w:tcW w:w="578" w:type="dxa"/>
            <w:tcBorders>
              <w:top w:val="nil" w:sz="6" w:space="0" w:color="auto"/>
              <w:left w:val="nil" w:sz="6" w:space="0" w:color="auto"/>
              <w:bottom w:val="nil" w:sz="6" w:space="0" w:color="auto"/>
              <w:right w:val="nil" w:sz="6" w:space="0" w:color="auto"/>
            </w:tcBorders>
          </w:tcPr>
          <w:p>
            <w:pPr>
              <w:pStyle w:val="TableParagraph"/>
              <w:spacing w:line="208" w:lineRule="exact"/>
              <w:ind w:right="51"/>
              <w:jc w:val="right"/>
              <w:rPr>
                <w:rFonts w:ascii="宋体" w:hAnsi="宋体" w:cs="宋体" w:eastAsia="宋体" w:hint="default"/>
                <w:sz w:val="16"/>
                <w:szCs w:val="16"/>
              </w:rPr>
            </w:pPr>
            <w:r>
              <w:rPr>
                <w:rFonts w:ascii="宋体" w:hAnsi="宋体" w:cs="宋体" w:eastAsia="宋体" w:hint="default"/>
                <w:w w:val="95"/>
                <w:sz w:val="16"/>
                <w:szCs w:val="16"/>
              </w:rPr>
              <w:t>表决权</w:t>
            </w:r>
            <w:r>
              <w:rPr>
                <w:rFonts w:ascii="宋体" w:hAnsi="宋体" w:cs="宋体" w:eastAsia="宋体" w:hint="default"/>
                <w:sz w:val="16"/>
                <w:szCs w:val="16"/>
              </w:rPr>
            </w:r>
          </w:p>
        </w:tc>
        <w:tc>
          <w:tcPr>
            <w:tcW w:w="452" w:type="dxa"/>
            <w:tcBorders>
              <w:top w:val="nil" w:sz="6" w:space="0" w:color="auto"/>
              <w:left w:val="nil" w:sz="6" w:space="0" w:color="auto"/>
              <w:bottom w:val="nil" w:sz="6" w:space="0" w:color="auto"/>
              <w:right w:val="nil" w:sz="6" w:space="0" w:color="auto"/>
            </w:tcBorders>
          </w:tcPr>
          <w:p>
            <w:pPr>
              <w:pStyle w:val="TableParagraph"/>
              <w:spacing w:line="184" w:lineRule="exact"/>
              <w:ind w:right="31"/>
              <w:jc w:val="center"/>
              <w:rPr>
                <w:rFonts w:ascii="宋体" w:hAnsi="宋体" w:cs="宋体" w:eastAsia="宋体" w:hint="default"/>
                <w:sz w:val="16"/>
                <w:szCs w:val="16"/>
              </w:rPr>
            </w:pPr>
            <w:r>
              <w:rPr>
                <w:rFonts w:ascii="宋体" w:hAnsi="宋体" w:cs="宋体" w:eastAsia="宋体" w:hint="default"/>
                <w:sz w:val="16"/>
                <w:szCs w:val="16"/>
              </w:rPr>
              <w:t>是否</w:t>
            </w:r>
          </w:p>
        </w:tc>
        <w:tc>
          <w:tcPr>
            <w:tcW w:w="811" w:type="dxa"/>
            <w:tcBorders>
              <w:top w:val="nil" w:sz="6" w:space="0" w:color="auto"/>
              <w:left w:val="nil" w:sz="6" w:space="0" w:color="auto"/>
              <w:bottom w:val="nil" w:sz="6" w:space="0" w:color="auto"/>
              <w:right w:val="nil" w:sz="6" w:space="0" w:color="auto"/>
            </w:tcBorders>
          </w:tcPr>
          <w:p>
            <w:pPr>
              <w:pStyle w:val="TableParagraph"/>
              <w:spacing w:line="184" w:lineRule="exact"/>
              <w:ind w:right="6"/>
              <w:jc w:val="center"/>
              <w:rPr>
                <w:rFonts w:ascii="宋体" w:hAnsi="宋体" w:cs="宋体" w:eastAsia="宋体" w:hint="default"/>
                <w:sz w:val="16"/>
                <w:szCs w:val="16"/>
              </w:rPr>
            </w:pPr>
            <w:r>
              <w:rPr>
                <w:rFonts w:ascii="宋体" w:hAnsi="宋体" w:cs="宋体" w:eastAsia="宋体" w:hint="default"/>
                <w:sz w:val="16"/>
                <w:szCs w:val="16"/>
              </w:rPr>
              <w:t>少数股东</w:t>
            </w:r>
          </w:p>
        </w:tc>
        <w:tc>
          <w:tcPr>
            <w:tcW w:w="646" w:type="dxa"/>
            <w:tcBorders>
              <w:top w:val="nil" w:sz="6" w:space="0" w:color="auto"/>
              <w:left w:val="nil" w:sz="6" w:space="0" w:color="auto"/>
              <w:bottom w:val="nil" w:sz="6" w:space="0" w:color="auto"/>
              <w:right w:val="nil" w:sz="6" w:space="0" w:color="auto"/>
            </w:tcBorders>
          </w:tcPr>
          <w:p>
            <w:pPr>
              <w:pStyle w:val="TableParagraph"/>
              <w:spacing w:line="184" w:lineRule="exact"/>
              <w:ind w:left="13" w:right="0"/>
              <w:jc w:val="center"/>
              <w:rPr>
                <w:rFonts w:ascii="宋体" w:hAnsi="宋体" w:cs="宋体" w:eastAsia="宋体" w:hint="default"/>
                <w:sz w:val="16"/>
                <w:szCs w:val="16"/>
              </w:rPr>
            </w:pPr>
            <w:r>
              <w:rPr>
                <w:rFonts w:ascii="宋体" w:hAnsi="宋体" w:cs="宋体" w:eastAsia="宋体" w:hint="default"/>
                <w:sz w:val="16"/>
                <w:szCs w:val="16"/>
              </w:rPr>
              <w:t>东权益</w:t>
            </w:r>
          </w:p>
        </w:tc>
        <w:tc>
          <w:tcPr>
            <w:tcW w:w="599" w:type="dxa"/>
            <w:tcBorders>
              <w:top w:val="nil" w:sz="6" w:space="0" w:color="auto"/>
              <w:left w:val="nil" w:sz="6" w:space="0" w:color="auto"/>
              <w:bottom w:val="nil" w:sz="6" w:space="0" w:color="auto"/>
              <w:right w:val="nil" w:sz="6" w:space="0" w:color="auto"/>
            </w:tcBorders>
          </w:tcPr>
          <w:p>
            <w:pPr>
              <w:pStyle w:val="TableParagraph"/>
              <w:spacing w:line="184" w:lineRule="exact"/>
              <w:ind w:right="40"/>
              <w:jc w:val="right"/>
              <w:rPr>
                <w:rFonts w:ascii="宋体" w:hAnsi="宋体" w:cs="宋体" w:eastAsia="宋体" w:hint="default"/>
                <w:sz w:val="16"/>
                <w:szCs w:val="16"/>
              </w:rPr>
            </w:pPr>
            <w:r>
              <w:rPr>
                <w:rFonts w:ascii="宋体" w:hAnsi="宋体" w:cs="宋体" w:eastAsia="宋体" w:hint="default"/>
                <w:w w:val="95"/>
                <w:sz w:val="16"/>
                <w:szCs w:val="16"/>
              </w:rPr>
              <w:t>东权益</w:t>
            </w:r>
            <w:r>
              <w:rPr>
                <w:rFonts w:ascii="宋体" w:hAnsi="宋体" w:cs="宋体" w:eastAsia="宋体" w:hint="default"/>
                <w:sz w:val="16"/>
                <w:szCs w:val="16"/>
              </w:rPr>
            </w:r>
          </w:p>
        </w:tc>
      </w:tr>
      <w:tr>
        <w:trPr>
          <w:trHeight w:val="208" w:hRule="exact"/>
        </w:trPr>
        <w:tc>
          <w:tcPr>
            <w:tcW w:w="4942" w:type="dxa"/>
            <w:gridSpan w:val="5"/>
            <w:tcBorders>
              <w:top w:val="nil" w:sz="6" w:space="0" w:color="auto"/>
              <w:left w:val="nil" w:sz="6" w:space="0" w:color="auto"/>
              <w:bottom w:val="nil" w:sz="6" w:space="0" w:color="auto"/>
              <w:right w:val="nil" w:sz="6" w:space="0" w:color="auto"/>
            </w:tcBorders>
          </w:tcPr>
          <w:p>
            <w:pPr>
              <w:pStyle w:val="TableParagraph"/>
              <w:tabs>
                <w:tab w:pos="3381" w:val="left" w:leader="none"/>
                <w:tab w:pos="4407" w:val="left" w:leader="none"/>
              </w:tabs>
              <w:spacing w:line="171" w:lineRule="exact"/>
              <w:ind w:left="2546" w:right="0"/>
              <w:jc w:val="left"/>
              <w:rPr>
                <w:rFonts w:ascii="宋体" w:hAnsi="宋体" w:cs="宋体" w:eastAsia="宋体" w:hint="default"/>
                <w:sz w:val="16"/>
                <w:szCs w:val="16"/>
              </w:rPr>
            </w:pPr>
            <w:r>
              <w:rPr>
                <w:rFonts w:ascii="宋体" w:hAnsi="宋体" w:cs="宋体" w:eastAsia="宋体" w:hint="default"/>
                <w:w w:val="95"/>
                <w:sz w:val="16"/>
                <w:szCs w:val="16"/>
              </w:rPr>
              <w:t>子公司</w:t>
              <w:tab/>
              <w:t>注册地及</w:t>
              <w:tab/>
            </w:r>
            <w:r>
              <w:rPr>
                <w:rFonts w:ascii="宋体" w:hAnsi="宋体" w:cs="宋体" w:eastAsia="宋体" w:hint="default"/>
                <w:sz w:val="16"/>
                <w:szCs w:val="16"/>
              </w:rPr>
              <w:t>业务</w:t>
            </w:r>
          </w:p>
        </w:tc>
        <w:tc>
          <w:tcPr>
            <w:tcW w:w="1087" w:type="dxa"/>
            <w:tcBorders>
              <w:top w:val="nil" w:sz="6" w:space="0" w:color="auto"/>
              <w:left w:val="nil" w:sz="6" w:space="0" w:color="auto"/>
              <w:bottom w:val="nil" w:sz="6" w:space="0" w:color="auto"/>
              <w:right w:val="nil" w:sz="6" w:space="0" w:color="auto"/>
            </w:tcBorders>
          </w:tcPr>
          <w:p>
            <w:pPr>
              <w:pStyle w:val="TableParagraph"/>
              <w:spacing w:line="171" w:lineRule="exact"/>
              <w:ind w:left="203" w:right="0"/>
              <w:jc w:val="left"/>
              <w:rPr>
                <w:rFonts w:ascii="宋体" w:hAnsi="宋体" w:cs="宋体" w:eastAsia="宋体" w:hint="default"/>
                <w:sz w:val="16"/>
                <w:szCs w:val="16"/>
              </w:rPr>
            </w:pPr>
            <w:r>
              <w:rPr>
                <w:rFonts w:ascii="宋体" w:hAnsi="宋体" w:cs="宋体" w:eastAsia="宋体" w:hint="default"/>
                <w:sz w:val="16"/>
                <w:szCs w:val="16"/>
              </w:rPr>
              <w:t>注册资本</w:t>
            </w:r>
          </w:p>
        </w:tc>
        <w:tc>
          <w:tcPr>
            <w:tcW w:w="834" w:type="dxa"/>
            <w:tcBorders>
              <w:top w:val="nil" w:sz="6" w:space="0" w:color="auto"/>
              <w:left w:val="nil" w:sz="6" w:space="0" w:color="auto"/>
              <w:bottom w:val="nil" w:sz="6" w:space="0" w:color="auto"/>
              <w:right w:val="nil" w:sz="6" w:space="0" w:color="auto"/>
            </w:tcBorders>
          </w:tcPr>
          <w:p>
            <w:pPr/>
          </w:p>
        </w:tc>
        <w:tc>
          <w:tcPr>
            <w:tcW w:w="832" w:type="dxa"/>
            <w:tcBorders>
              <w:top w:val="nil" w:sz="6" w:space="0" w:color="auto"/>
              <w:left w:val="nil" w:sz="6" w:space="0" w:color="auto"/>
              <w:bottom w:val="nil" w:sz="6" w:space="0" w:color="auto"/>
              <w:right w:val="nil" w:sz="6" w:space="0" w:color="auto"/>
            </w:tcBorders>
          </w:tcPr>
          <w:p>
            <w:pPr/>
          </w:p>
        </w:tc>
        <w:tc>
          <w:tcPr>
            <w:tcW w:w="687" w:type="dxa"/>
            <w:tcBorders>
              <w:top w:val="nil" w:sz="6" w:space="0" w:color="auto"/>
              <w:left w:val="nil" w:sz="6" w:space="0" w:color="auto"/>
              <w:bottom w:val="nil" w:sz="6" w:space="0" w:color="auto"/>
              <w:right w:val="nil" w:sz="6" w:space="0" w:color="auto"/>
            </w:tcBorders>
          </w:tcPr>
          <w:p>
            <w:pPr>
              <w:pStyle w:val="TableParagraph"/>
              <w:spacing w:line="171" w:lineRule="exact"/>
              <w:ind w:right="140"/>
              <w:jc w:val="right"/>
              <w:rPr>
                <w:rFonts w:ascii="宋体" w:hAnsi="宋体" w:cs="宋体" w:eastAsia="宋体" w:hint="default"/>
                <w:sz w:val="16"/>
                <w:szCs w:val="16"/>
              </w:rPr>
            </w:pPr>
            <w:r>
              <w:rPr>
                <w:rFonts w:ascii="宋体" w:hAnsi="宋体" w:cs="宋体" w:eastAsia="宋体" w:hint="default"/>
                <w:w w:val="95"/>
                <w:sz w:val="16"/>
                <w:szCs w:val="16"/>
              </w:rPr>
              <w:t>法人</w:t>
            </w:r>
            <w:r>
              <w:rPr>
                <w:rFonts w:ascii="宋体" w:hAnsi="宋体" w:cs="宋体" w:eastAsia="宋体" w:hint="default"/>
                <w:sz w:val="16"/>
                <w:szCs w:val="16"/>
              </w:rPr>
            </w:r>
          </w:p>
        </w:tc>
        <w:tc>
          <w:tcPr>
            <w:tcW w:w="1128" w:type="dxa"/>
            <w:tcBorders>
              <w:top w:val="nil" w:sz="6" w:space="0" w:color="auto"/>
              <w:left w:val="nil" w:sz="6" w:space="0" w:color="auto"/>
              <w:bottom w:val="nil" w:sz="6" w:space="0" w:color="auto"/>
              <w:right w:val="nil" w:sz="6" w:space="0" w:color="auto"/>
            </w:tcBorders>
          </w:tcPr>
          <w:p>
            <w:pPr>
              <w:pStyle w:val="TableParagraph"/>
              <w:spacing w:line="171" w:lineRule="exact"/>
              <w:ind w:left="164" w:right="0"/>
              <w:jc w:val="left"/>
              <w:rPr>
                <w:rFonts w:ascii="宋体" w:hAnsi="宋体" w:cs="宋体" w:eastAsia="宋体" w:hint="default"/>
                <w:sz w:val="16"/>
                <w:szCs w:val="16"/>
              </w:rPr>
            </w:pPr>
            <w:r>
              <w:rPr>
                <w:rFonts w:ascii="宋体" w:hAnsi="宋体" w:cs="宋体" w:eastAsia="宋体" w:hint="default"/>
                <w:sz w:val="16"/>
                <w:szCs w:val="16"/>
              </w:rPr>
              <w:t>组织机构</w:t>
            </w:r>
          </w:p>
        </w:tc>
        <w:tc>
          <w:tcPr>
            <w:tcW w:w="1139" w:type="dxa"/>
            <w:tcBorders>
              <w:top w:val="nil" w:sz="6" w:space="0" w:color="auto"/>
              <w:left w:val="nil" w:sz="6" w:space="0" w:color="auto"/>
              <w:bottom w:val="nil" w:sz="6" w:space="0" w:color="auto"/>
              <w:right w:val="nil" w:sz="6" w:space="0" w:color="auto"/>
            </w:tcBorders>
          </w:tcPr>
          <w:p>
            <w:pPr>
              <w:pStyle w:val="TableParagraph"/>
              <w:spacing w:line="171" w:lineRule="exact"/>
              <w:ind w:left="285" w:right="0"/>
              <w:jc w:val="left"/>
              <w:rPr>
                <w:rFonts w:ascii="宋体" w:hAnsi="宋体" w:cs="宋体" w:eastAsia="宋体" w:hint="default"/>
                <w:sz w:val="16"/>
                <w:szCs w:val="16"/>
              </w:rPr>
            </w:pPr>
            <w:r>
              <w:rPr>
                <w:rFonts w:ascii="宋体" w:hAnsi="宋体" w:cs="宋体" w:eastAsia="宋体" w:hint="default"/>
                <w:sz w:val="16"/>
                <w:szCs w:val="16"/>
              </w:rPr>
              <w:t>出资额</w:t>
            </w:r>
          </w:p>
        </w:tc>
        <w:tc>
          <w:tcPr>
            <w:tcW w:w="1063" w:type="dxa"/>
            <w:tcBorders>
              <w:top w:val="nil" w:sz="6" w:space="0" w:color="auto"/>
              <w:left w:val="nil" w:sz="6" w:space="0" w:color="auto"/>
              <w:bottom w:val="nil" w:sz="6" w:space="0" w:color="auto"/>
              <w:right w:val="nil" w:sz="6" w:space="0" w:color="auto"/>
            </w:tcBorders>
          </w:tcPr>
          <w:p>
            <w:pPr>
              <w:pStyle w:val="TableParagraph"/>
              <w:spacing w:line="172" w:lineRule="exact"/>
              <w:ind w:left="77" w:right="0"/>
              <w:jc w:val="center"/>
              <w:rPr>
                <w:rFonts w:ascii="宋体" w:hAnsi="宋体" w:cs="宋体" w:eastAsia="宋体" w:hint="default"/>
                <w:sz w:val="16"/>
                <w:szCs w:val="16"/>
              </w:rPr>
            </w:pPr>
            <w:r>
              <w:rPr>
                <w:rFonts w:ascii="宋体" w:hAnsi="宋体" w:cs="宋体" w:eastAsia="宋体" w:hint="default"/>
                <w:sz w:val="16"/>
                <w:szCs w:val="16"/>
              </w:rPr>
              <w:t>投资的其他</w:t>
            </w:r>
          </w:p>
        </w:tc>
        <w:tc>
          <w:tcPr>
            <w:tcW w:w="540" w:type="dxa"/>
            <w:tcBorders>
              <w:top w:val="nil" w:sz="6" w:space="0" w:color="auto"/>
              <w:left w:val="nil" w:sz="6" w:space="0" w:color="auto"/>
              <w:bottom w:val="nil" w:sz="6" w:space="0" w:color="auto"/>
              <w:right w:val="nil" w:sz="6" w:space="0" w:color="auto"/>
            </w:tcBorders>
          </w:tcPr>
          <w:p>
            <w:pPr>
              <w:pStyle w:val="TableParagraph"/>
              <w:spacing w:line="196" w:lineRule="exact"/>
              <w:ind w:left="23" w:right="0"/>
              <w:jc w:val="center"/>
              <w:rPr>
                <w:rFonts w:ascii="宋体" w:hAnsi="宋体" w:cs="宋体" w:eastAsia="宋体" w:hint="default"/>
                <w:sz w:val="16"/>
                <w:szCs w:val="16"/>
              </w:rPr>
            </w:pPr>
            <w:r>
              <w:rPr>
                <w:rFonts w:ascii="宋体" w:hAnsi="宋体" w:cs="宋体" w:eastAsia="宋体" w:hint="default"/>
                <w:sz w:val="16"/>
                <w:szCs w:val="16"/>
              </w:rPr>
              <w:t>比例</w:t>
            </w:r>
          </w:p>
        </w:tc>
        <w:tc>
          <w:tcPr>
            <w:tcW w:w="578" w:type="dxa"/>
            <w:tcBorders>
              <w:top w:val="nil" w:sz="6" w:space="0" w:color="auto"/>
              <w:left w:val="nil" w:sz="6" w:space="0" w:color="auto"/>
              <w:bottom w:val="nil" w:sz="6" w:space="0" w:color="auto"/>
              <w:right w:val="nil" w:sz="6" w:space="0" w:color="auto"/>
            </w:tcBorders>
          </w:tcPr>
          <w:p>
            <w:pPr>
              <w:pStyle w:val="TableParagraph"/>
              <w:spacing w:line="196" w:lineRule="exact"/>
              <w:ind w:left="125" w:right="0"/>
              <w:jc w:val="left"/>
              <w:rPr>
                <w:rFonts w:ascii="宋体" w:hAnsi="宋体" w:cs="宋体" w:eastAsia="宋体" w:hint="default"/>
                <w:sz w:val="16"/>
                <w:szCs w:val="16"/>
              </w:rPr>
            </w:pPr>
            <w:r>
              <w:rPr>
                <w:rFonts w:ascii="宋体" w:hAnsi="宋体" w:cs="宋体" w:eastAsia="宋体" w:hint="default"/>
                <w:sz w:val="16"/>
                <w:szCs w:val="16"/>
              </w:rPr>
              <w:t>比例</w:t>
            </w:r>
          </w:p>
        </w:tc>
        <w:tc>
          <w:tcPr>
            <w:tcW w:w="452" w:type="dxa"/>
            <w:tcBorders>
              <w:top w:val="nil" w:sz="6" w:space="0" w:color="auto"/>
              <w:left w:val="nil" w:sz="6" w:space="0" w:color="auto"/>
              <w:bottom w:val="nil" w:sz="6" w:space="0" w:color="auto"/>
              <w:right w:val="nil" w:sz="6" w:space="0" w:color="auto"/>
            </w:tcBorders>
          </w:tcPr>
          <w:p>
            <w:pPr>
              <w:pStyle w:val="TableParagraph"/>
              <w:spacing w:line="172" w:lineRule="exact"/>
              <w:ind w:right="31"/>
              <w:jc w:val="center"/>
              <w:rPr>
                <w:rFonts w:ascii="宋体" w:hAnsi="宋体" w:cs="宋体" w:eastAsia="宋体" w:hint="default"/>
                <w:sz w:val="16"/>
                <w:szCs w:val="16"/>
              </w:rPr>
            </w:pPr>
            <w:r>
              <w:rPr>
                <w:rFonts w:ascii="宋体" w:hAnsi="宋体" w:cs="宋体" w:eastAsia="宋体" w:hint="default"/>
                <w:sz w:val="16"/>
                <w:szCs w:val="16"/>
              </w:rPr>
              <w:t>合并</w:t>
            </w:r>
          </w:p>
        </w:tc>
        <w:tc>
          <w:tcPr>
            <w:tcW w:w="811" w:type="dxa"/>
            <w:tcBorders>
              <w:top w:val="nil" w:sz="6" w:space="0" w:color="auto"/>
              <w:left w:val="nil" w:sz="6" w:space="0" w:color="auto"/>
              <w:bottom w:val="nil" w:sz="6" w:space="0" w:color="auto"/>
              <w:right w:val="nil" w:sz="6" w:space="0" w:color="auto"/>
            </w:tcBorders>
          </w:tcPr>
          <w:p>
            <w:pPr>
              <w:pStyle w:val="TableParagraph"/>
              <w:spacing w:line="172" w:lineRule="exact"/>
              <w:ind w:right="6"/>
              <w:jc w:val="center"/>
              <w:rPr>
                <w:rFonts w:ascii="宋体" w:hAnsi="宋体" w:cs="宋体" w:eastAsia="宋体" w:hint="default"/>
                <w:sz w:val="16"/>
                <w:szCs w:val="16"/>
              </w:rPr>
            </w:pPr>
            <w:r>
              <w:rPr>
                <w:rFonts w:ascii="宋体" w:hAnsi="宋体" w:cs="宋体" w:eastAsia="宋体" w:hint="default"/>
                <w:sz w:val="16"/>
                <w:szCs w:val="16"/>
              </w:rPr>
              <w:t>权益</w:t>
            </w:r>
          </w:p>
        </w:tc>
        <w:tc>
          <w:tcPr>
            <w:tcW w:w="646" w:type="dxa"/>
            <w:tcBorders>
              <w:top w:val="nil" w:sz="6" w:space="0" w:color="auto"/>
              <w:left w:val="nil" w:sz="6" w:space="0" w:color="auto"/>
              <w:bottom w:val="nil" w:sz="6" w:space="0" w:color="auto"/>
              <w:right w:val="nil" w:sz="6" w:space="0" w:color="auto"/>
            </w:tcBorders>
          </w:tcPr>
          <w:p>
            <w:pPr>
              <w:pStyle w:val="TableParagraph"/>
              <w:spacing w:line="184" w:lineRule="exact"/>
              <w:ind w:left="13" w:right="0"/>
              <w:jc w:val="center"/>
              <w:rPr>
                <w:rFonts w:ascii="Arial" w:hAnsi="Arial" w:cs="Arial" w:eastAsia="Arial" w:hint="default"/>
                <w:sz w:val="16"/>
                <w:szCs w:val="16"/>
              </w:rPr>
            </w:pPr>
            <w:r>
              <w:rPr>
                <w:rFonts w:ascii="宋体" w:hAnsi="宋体" w:cs="宋体" w:eastAsia="宋体" w:hint="default"/>
                <w:sz w:val="16"/>
                <w:szCs w:val="16"/>
              </w:rPr>
              <w:t>项目</w:t>
            </w:r>
            <w:r>
              <w:rPr>
                <w:rFonts w:ascii="宋体" w:hAnsi="宋体" w:cs="宋体" w:eastAsia="宋体" w:hint="default"/>
                <w:spacing w:val="-43"/>
                <w:sz w:val="16"/>
                <w:szCs w:val="16"/>
              </w:rPr>
              <w:t> </w:t>
            </w:r>
            <w:r>
              <w:rPr>
                <w:rFonts w:ascii="Arial" w:hAnsi="Arial" w:cs="Arial" w:eastAsia="Arial" w:hint="default"/>
                <w:sz w:val="16"/>
                <w:szCs w:val="16"/>
              </w:rPr>
              <w:t>1</w:t>
            </w:r>
          </w:p>
        </w:tc>
        <w:tc>
          <w:tcPr>
            <w:tcW w:w="599" w:type="dxa"/>
            <w:tcBorders>
              <w:top w:val="nil" w:sz="6" w:space="0" w:color="auto"/>
              <w:left w:val="nil" w:sz="6" w:space="0" w:color="auto"/>
              <w:bottom w:val="nil" w:sz="6" w:space="0" w:color="auto"/>
              <w:right w:val="nil" w:sz="6" w:space="0" w:color="auto"/>
            </w:tcBorders>
          </w:tcPr>
          <w:p>
            <w:pPr>
              <w:pStyle w:val="TableParagraph"/>
              <w:spacing w:line="184" w:lineRule="exact"/>
              <w:ind w:right="56"/>
              <w:jc w:val="right"/>
              <w:rPr>
                <w:rFonts w:ascii="Arial" w:hAnsi="Arial" w:cs="Arial" w:eastAsia="Arial" w:hint="default"/>
                <w:sz w:val="16"/>
                <w:szCs w:val="16"/>
              </w:rPr>
            </w:pPr>
            <w:r>
              <w:rPr>
                <w:rFonts w:ascii="宋体" w:hAnsi="宋体" w:cs="宋体" w:eastAsia="宋体" w:hint="default"/>
                <w:sz w:val="16"/>
                <w:szCs w:val="16"/>
              </w:rPr>
              <w:t>项目</w:t>
            </w:r>
            <w:r>
              <w:rPr>
                <w:rFonts w:ascii="宋体" w:hAnsi="宋体" w:cs="宋体" w:eastAsia="宋体" w:hint="default"/>
                <w:spacing w:val="-43"/>
                <w:sz w:val="16"/>
                <w:szCs w:val="16"/>
              </w:rPr>
              <w:t> </w:t>
            </w:r>
            <w:r>
              <w:rPr>
                <w:rFonts w:ascii="Arial" w:hAnsi="Arial" w:cs="Arial" w:eastAsia="Arial" w:hint="default"/>
                <w:sz w:val="16"/>
                <w:szCs w:val="16"/>
              </w:rPr>
              <w:t>2</w:t>
            </w:r>
          </w:p>
        </w:tc>
      </w:tr>
      <w:tr>
        <w:trPr>
          <w:trHeight w:val="204" w:hRule="exact"/>
        </w:trPr>
        <w:tc>
          <w:tcPr>
            <w:tcW w:w="4942" w:type="dxa"/>
            <w:gridSpan w:val="5"/>
            <w:tcBorders>
              <w:top w:val="nil" w:sz="6" w:space="0" w:color="auto"/>
              <w:left w:val="nil" w:sz="6" w:space="0" w:color="auto"/>
              <w:bottom w:val="nil" w:sz="6" w:space="0" w:color="auto"/>
              <w:right w:val="nil" w:sz="6" w:space="0" w:color="auto"/>
            </w:tcBorders>
          </w:tcPr>
          <w:p>
            <w:pPr>
              <w:pStyle w:val="TableParagraph"/>
              <w:tabs>
                <w:tab w:pos="2084" w:val="left" w:leader="none"/>
                <w:tab w:pos="2625" w:val="left" w:leader="none"/>
                <w:tab w:pos="3381" w:val="left" w:leader="none"/>
                <w:tab w:pos="4407" w:val="left" w:leader="none"/>
              </w:tabs>
              <w:spacing w:line="171" w:lineRule="exact"/>
              <w:ind w:left="548" w:right="0"/>
              <w:jc w:val="left"/>
              <w:rPr>
                <w:rFonts w:ascii="宋体" w:hAnsi="宋体" w:cs="宋体" w:eastAsia="宋体" w:hint="default"/>
                <w:sz w:val="16"/>
                <w:szCs w:val="16"/>
              </w:rPr>
            </w:pPr>
            <w:r>
              <w:rPr>
                <w:rFonts w:ascii="宋体" w:hAnsi="宋体" w:cs="宋体" w:eastAsia="宋体" w:hint="default"/>
                <w:w w:val="95"/>
                <w:sz w:val="16"/>
                <w:szCs w:val="16"/>
              </w:rPr>
              <w:t>名称</w:t>
              <w:tab/>
              <w:t>注释</w:t>
              <w:tab/>
              <w:t>类型</w:t>
              <w:tab/>
              <w:t>设立日期</w:t>
              <w:tab/>
            </w:r>
            <w:r>
              <w:rPr>
                <w:rFonts w:ascii="宋体" w:hAnsi="宋体" w:cs="宋体" w:eastAsia="宋体" w:hint="default"/>
                <w:sz w:val="16"/>
                <w:szCs w:val="16"/>
              </w:rPr>
              <w:t>性质</w:t>
            </w:r>
          </w:p>
        </w:tc>
        <w:tc>
          <w:tcPr>
            <w:tcW w:w="1087" w:type="dxa"/>
            <w:tcBorders>
              <w:top w:val="nil" w:sz="6" w:space="0" w:color="auto"/>
              <w:left w:val="nil" w:sz="6" w:space="0" w:color="auto"/>
              <w:bottom w:val="single" w:sz="6" w:space="0" w:color="000000"/>
              <w:right w:val="nil" w:sz="6" w:space="0" w:color="auto"/>
            </w:tcBorders>
          </w:tcPr>
          <w:p>
            <w:pPr>
              <w:pStyle w:val="TableParagraph"/>
              <w:spacing w:line="171" w:lineRule="exact"/>
              <w:ind w:left="223" w:right="0"/>
              <w:jc w:val="left"/>
              <w:rPr>
                <w:rFonts w:ascii="宋体" w:hAnsi="宋体" w:cs="宋体" w:eastAsia="宋体" w:hint="default"/>
                <w:sz w:val="16"/>
                <w:szCs w:val="16"/>
              </w:rPr>
            </w:pPr>
            <w:r>
              <w:rPr>
                <w:rFonts w:ascii="宋体" w:hAnsi="宋体" w:cs="宋体" w:eastAsia="宋体" w:hint="default"/>
                <w:sz w:val="16"/>
                <w:szCs w:val="16"/>
              </w:rPr>
              <w:t>（千元）</w:t>
            </w:r>
          </w:p>
        </w:tc>
        <w:tc>
          <w:tcPr>
            <w:tcW w:w="834" w:type="dxa"/>
            <w:tcBorders>
              <w:top w:val="nil" w:sz="6" w:space="0" w:color="auto"/>
              <w:left w:val="nil" w:sz="6" w:space="0" w:color="auto"/>
              <w:bottom w:val="single" w:sz="6" w:space="0" w:color="000000"/>
              <w:right w:val="nil" w:sz="6" w:space="0" w:color="auto"/>
            </w:tcBorders>
          </w:tcPr>
          <w:p>
            <w:pPr>
              <w:pStyle w:val="TableParagraph"/>
              <w:spacing w:line="171" w:lineRule="exact"/>
              <w:ind w:left="39" w:right="0"/>
              <w:jc w:val="center"/>
              <w:rPr>
                <w:rFonts w:ascii="宋体" w:hAnsi="宋体" w:cs="宋体" w:eastAsia="宋体" w:hint="default"/>
                <w:sz w:val="16"/>
                <w:szCs w:val="16"/>
              </w:rPr>
            </w:pPr>
            <w:r>
              <w:rPr>
                <w:rFonts w:ascii="宋体" w:hAnsi="宋体" w:cs="宋体" w:eastAsia="宋体" w:hint="default"/>
                <w:sz w:val="16"/>
                <w:szCs w:val="16"/>
              </w:rPr>
              <w:t>经营范围</w:t>
            </w:r>
          </w:p>
        </w:tc>
        <w:tc>
          <w:tcPr>
            <w:tcW w:w="832" w:type="dxa"/>
            <w:tcBorders>
              <w:top w:val="nil" w:sz="6" w:space="0" w:color="auto"/>
              <w:left w:val="nil" w:sz="6" w:space="0" w:color="auto"/>
              <w:bottom w:val="single" w:sz="6" w:space="0" w:color="000000"/>
              <w:right w:val="nil" w:sz="6" w:space="0" w:color="auto"/>
            </w:tcBorders>
          </w:tcPr>
          <w:p>
            <w:pPr>
              <w:pStyle w:val="TableParagraph"/>
              <w:spacing w:line="171" w:lineRule="exact"/>
              <w:ind w:left="24" w:right="0"/>
              <w:jc w:val="center"/>
              <w:rPr>
                <w:rFonts w:ascii="宋体" w:hAnsi="宋体" w:cs="宋体" w:eastAsia="宋体" w:hint="default"/>
                <w:sz w:val="16"/>
                <w:szCs w:val="16"/>
              </w:rPr>
            </w:pPr>
            <w:r>
              <w:rPr>
                <w:rFonts w:ascii="宋体" w:hAnsi="宋体" w:cs="宋体" w:eastAsia="宋体" w:hint="default"/>
                <w:sz w:val="16"/>
                <w:szCs w:val="16"/>
              </w:rPr>
              <w:t>企业类型</w:t>
            </w:r>
          </w:p>
        </w:tc>
        <w:tc>
          <w:tcPr>
            <w:tcW w:w="687" w:type="dxa"/>
            <w:tcBorders>
              <w:top w:val="nil" w:sz="6" w:space="0" w:color="auto"/>
              <w:left w:val="nil" w:sz="6" w:space="0" w:color="auto"/>
              <w:bottom w:val="single" w:sz="6" w:space="0" w:color="000000"/>
              <w:right w:val="nil" w:sz="6" w:space="0" w:color="auto"/>
            </w:tcBorders>
          </w:tcPr>
          <w:p>
            <w:pPr>
              <w:pStyle w:val="TableParagraph"/>
              <w:spacing w:line="171" w:lineRule="exact"/>
              <w:ind w:right="140"/>
              <w:jc w:val="right"/>
              <w:rPr>
                <w:rFonts w:ascii="宋体" w:hAnsi="宋体" w:cs="宋体" w:eastAsia="宋体" w:hint="default"/>
                <w:sz w:val="16"/>
                <w:szCs w:val="16"/>
              </w:rPr>
            </w:pPr>
            <w:r>
              <w:rPr>
                <w:rFonts w:ascii="宋体" w:hAnsi="宋体" w:cs="宋体" w:eastAsia="宋体" w:hint="default"/>
                <w:w w:val="95"/>
                <w:sz w:val="16"/>
                <w:szCs w:val="16"/>
              </w:rPr>
              <w:t>代表</w:t>
            </w:r>
            <w:r>
              <w:rPr>
                <w:rFonts w:ascii="宋体" w:hAnsi="宋体" w:cs="宋体" w:eastAsia="宋体" w:hint="default"/>
                <w:sz w:val="16"/>
                <w:szCs w:val="16"/>
              </w:rPr>
            </w:r>
          </w:p>
        </w:tc>
        <w:tc>
          <w:tcPr>
            <w:tcW w:w="1128" w:type="dxa"/>
            <w:tcBorders>
              <w:top w:val="nil" w:sz="6" w:space="0" w:color="auto"/>
              <w:left w:val="nil" w:sz="6" w:space="0" w:color="auto"/>
              <w:bottom w:val="single" w:sz="6" w:space="0" w:color="000000"/>
              <w:right w:val="nil" w:sz="6" w:space="0" w:color="auto"/>
            </w:tcBorders>
          </w:tcPr>
          <w:p>
            <w:pPr>
              <w:pStyle w:val="TableParagraph"/>
              <w:spacing w:line="171" w:lineRule="exact"/>
              <w:ind w:left="323" w:right="0"/>
              <w:jc w:val="left"/>
              <w:rPr>
                <w:rFonts w:ascii="宋体" w:hAnsi="宋体" w:cs="宋体" w:eastAsia="宋体" w:hint="default"/>
                <w:sz w:val="16"/>
                <w:szCs w:val="16"/>
              </w:rPr>
            </w:pPr>
            <w:r>
              <w:rPr>
                <w:rFonts w:ascii="宋体" w:hAnsi="宋体" w:cs="宋体" w:eastAsia="宋体" w:hint="default"/>
                <w:sz w:val="16"/>
                <w:szCs w:val="16"/>
              </w:rPr>
              <w:t>代码</w:t>
            </w:r>
          </w:p>
        </w:tc>
        <w:tc>
          <w:tcPr>
            <w:tcW w:w="1139" w:type="dxa"/>
            <w:tcBorders>
              <w:top w:val="nil" w:sz="6" w:space="0" w:color="auto"/>
              <w:left w:val="nil" w:sz="6" w:space="0" w:color="auto"/>
              <w:bottom w:val="single" w:sz="6" w:space="0" w:color="000000"/>
              <w:right w:val="nil" w:sz="6" w:space="0" w:color="auto"/>
            </w:tcBorders>
          </w:tcPr>
          <w:p>
            <w:pPr>
              <w:pStyle w:val="TableParagraph"/>
              <w:spacing w:line="171" w:lineRule="exact"/>
              <w:ind w:left="204" w:right="0"/>
              <w:jc w:val="left"/>
              <w:rPr>
                <w:rFonts w:ascii="宋体" w:hAnsi="宋体" w:cs="宋体" w:eastAsia="宋体" w:hint="default"/>
                <w:sz w:val="16"/>
                <w:szCs w:val="16"/>
              </w:rPr>
            </w:pPr>
            <w:r>
              <w:rPr>
                <w:rFonts w:ascii="宋体" w:hAnsi="宋体" w:cs="宋体" w:eastAsia="宋体" w:hint="default"/>
                <w:sz w:val="16"/>
                <w:szCs w:val="16"/>
              </w:rPr>
              <w:t>（千元）</w:t>
            </w:r>
          </w:p>
        </w:tc>
        <w:tc>
          <w:tcPr>
            <w:tcW w:w="1063" w:type="dxa"/>
            <w:tcBorders>
              <w:top w:val="nil" w:sz="6" w:space="0" w:color="auto"/>
              <w:left w:val="nil" w:sz="6" w:space="0" w:color="auto"/>
              <w:bottom w:val="single" w:sz="6" w:space="0" w:color="000000"/>
              <w:right w:val="nil" w:sz="6" w:space="0" w:color="auto"/>
            </w:tcBorders>
          </w:tcPr>
          <w:p>
            <w:pPr>
              <w:pStyle w:val="TableParagraph"/>
              <w:spacing w:line="172" w:lineRule="exact"/>
              <w:ind w:left="78" w:right="0"/>
              <w:jc w:val="center"/>
              <w:rPr>
                <w:rFonts w:ascii="宋体" w:hAnsi="宋体" w:cs="宋体" w:eastAsia="宋体" w:hint="default"/>
                <w:sz w:val="16"/>
                <w:szCs w:val="16"/>
              </w:rPr>
            </w:pPr>
            <w:r>
              <w:rPr>
                <w:rFonts w:ascii="宋体" w:hAnsi="宋体" w:cs="宋体" w:eastAsia="宋体" w:hint="default"/>
                <w:sz w:val="16"/>
                <w:szCs w:val="16"/>
              </w:rPr>
              <w:t>项目余额</w:t>
            </w:r>
          </w:p>
        </w:tc>
        <w:tc>
          <w:tcPr>
            <w:tcW w:w="540" w:type="dxa"/>
            <w:tcBorders>
              <w:top w:val="nil" w:sz="6" w:space="0" w:color="auto"/>
              <w:left w:val="nil" w:sz="6" w:space="0" w:color="auto"/>
              <w:bottom w:val="single" w:sz="6" w:space="0" w:color="000000"/>
              <w:right w:val="nil" w:sz="6" w:space="0" w:color="auto"/>
            </w:tcBorders>
          </w:tcPr>
          <w:p>
            <w:pPr>
              <w:pStyle w:val="TableParagraph"/>
              <w:spacing w:line="240" w:lineRule="auto" w:before="11"/>
              <w:ind w:left="23" w:right="0"/>
              <w:jc w:val="center"/>
              <w:rPr>
                <w:rFonts w:ascii="Arial" w:hAnsi="Arial" w:cs="Arial" w:eastAsia="Arial" w:hint="default"/>
                <w:sz w:val="16"/>
                <w:szCs w:val="16"/>
              </w:rPr>
            </w:pPr>
            <w:r>
              <w:rPr>
                <w:rFonts w:ascii="Arial"/>
                <w:sz w:val="16"/>
              </w:rPr>
              <w:t>(%)</w:t>
            </w:r>
          </w:p>
        </w:tc>
        <w:tc>
          <w:tcPr>
            <w:tcW w:w="578" w:type="dxa"/>
            <w:tcBorders>
              <w:top w:val="nil" w:sz="6" w:space="0" w:color="auto"/>
              <w:left w:val="nil" w:sz="6" w:space="0" w:color="auto"/>
              <w:bottom w:val="single" w:sz="6" w:space="0" w:color="000000"/>
              <w:right w:val="nil" w:sz="6" w:space="0" w:color="auto"/>
            </w:tcBorders>
          </w:tcPr>
          <w:p>
            <w:pPr>
              <w:pStyle w:val="TableParagraph"/>
              <w:spacing w:line="240" w:lineRule="auto" w:before="11"/>
              <w:ind w:left="161" w:right="0"/>
              <w:jc w:val="left"/>
              <w:rPr>
                <w:rFonts w:ascii="Arial" w:hAnsi="Arial" w:cs="Arial" w:eastAsia="Arial" w:hint="default"/>
                <w:sz w:val="16"/>
                <w:szCs w:val="16"/>
              </w:rPr>
            </w:pPr>
            <w:r>
              <w:rPr>
                <w:rFonts w:ascii="Arial"/>
                <w:sz w:val="16"/>
              </w:rPr>
              <w:t>(%)</w:t>
            </w:r>
          </w:p>
        </w:tc>
        <w:tc>
          <w:tcPr>
            <w:tcW w:w="452" w:type="dxa"/>
            <w:tcBorders>
              <w:top w:val="nil" w:sz="6" w:space="0" w:color="auto"/>
              <w:left w:val="nil" w:sz="6" w:space="0" w:color="auto"/>
              <w:bottom w:val="single" w:sz="6" w:space="0" w:color="000000"/>
              <w:right w:val="nil" w:sz="6" w:space="0" w:color="auto"/>
            </w:tcBorders>
          </w:tcPr>
          <w:p>
            <w:pPr>
              <w:pStyle w:val="TableParagraph"/>
              <w:spacing w:line="172" w:lineRule="exact"/>
              <w:ind w:right="31"/>
              <w:jc w:val="center"/>
              <w:rPr>
                <w:rFonts w:ascii="宋体" w:hAnsi="宋体" w:cs="宋体" w:eastAsia="宋体" w:hint="default"/>
                <w:sz w:val="16"/>
                <w:szCs w:val="16"/>
              </w:rPr>
            </w:pPr>
            <w:r>
              <w:rPr>
                <w:rFonts w:ascii="宋体" w:hAnsi="宋体" w:cs="宋体" w:eastAsia="宋体" w:hint="default"/>
                <w:sz w:val="16"/>
                <w:szCs w:val="16"/>
              </w:rPr>
              <w:t>报表</w:t>
            </w:r>
          </w:p>
        </w:tc>
        <w:tc>
          <w:tcPr>
            <w:tcW w:w="811" w:type="dxa"/>
            <w:tcBorders>
              <w:top w:val="nil" w:sz="6" w:space="0" w:color="auto"/>
              <w:left w:val="nil" w:sz="6" w:space="0" w:color="auto"/>
              <w:bottom w:val="single" w:sz="6" w:space="0" w:color="000000"/>
              <w:right w:val="nil" w:sz="6" w:space="0" w:color="auto"/>
            </w:tcBorders>
          </w:tcPr>
          <w:p>
            <w:pPr>
              <w:pStyle w:val="TableParagraph"/>
              <w:spacing w:line="172" w:lineRule="exact"/>
              <w:ind w:right="6"/>
              <w:jc w:val="center"/>
              <w:rPr>
                <w:rFonts w:ascii="宋体" w:hAnsi="宋体" w:cs="宋体" w:eastAsia="宋体" w:hint="default"/>
                <w:sz w:val="16"/>
                <w:szCs w:val="16"/>
              </w:rPr>
            </w:pPr>
            <w:r>
              <w:rPr>
                <w:rFonts w:ascii="宋体" w:hAnsi="宋体" w:cs="宋体" w:eastAsia="宋体" w:hint="default"/>
                <w:sz w:val="16"/>
                <w:szCs w:val="16"/>
              </w:rPr>
              <w:t>（亿元）</w:t>
            </w:r>
          </w:p>
        </w:tc>
        <w:tc>
          <w:tcPr>
            <w:tcW w:w="646" w:type="dxa"/>
            <w:tcBorders>
              <w:top w:val="nil" w:sz="6" w:space="0" w:color="auto"/>
              <w:left w:val="nil" w:sz="6" w:space="0" w:color="auto"/>
              <w:bottom w:val="single" w:sz="6" w:space="0" w:color="000000"/>
              <w:right w:val="nil" w:sz="6" w:space="0" w:color="auto"/>
            </w:tcBorders>
          </w:tcPr>
          <w:p>
            <w:pPr>
              <w:pStyle w:val="TableParagraph"/>
              <w:spacing w:line="172" w:lineRule="exact"/>
              <w:ind w:left="13" w:right="0"/>
              <w:jc w:val="center"/>
              <w:rPr>
                <w:rFonts w:ascii="宋体" w:hAnsi="宋体" w:cs="宋体" w:eastAsia="宋体" w:hint="default"/>
                <w:sz w:val="16"/>
                <w:szCs w:val="16"/>
              </w:rPr>
            </w:pPr>
            <w:r>
              <w:rPr>
                <w:rFonts w:ascii="宋体" w:hAnsi="宋体" w:cs="宋体" w:eastAsia="宋体" w:hint="default"/>
                <w:sz w:val="16"/>
                <w:szCs w:val="16"/>
              </w:rPr>
              <w:t>（注）</w:t>
            </w:r>
          </w:p>
        </w:tc>
        <w:tc>
          <w:tcPr>
            <w:tcW w:w="599" w:type="dxa"/>
            <w:tcBorders>
              <w:top w:val="nil" w:sz="6" w:space="0" w:color="auto"/>
              <w:left w:val="nil" w:sz="6" w:space="0" w:color="auto"/>
              <w:bottom w:val="single" w:sz="6" w:space="0" w:color="000000"/>
              <w:right w:val="nil" w:sz="6" w:space="0" w:color="auto"/>
            </w:tcBorders>
          </w:tcPr>
          <w:p>
            <w:pPr>
              <w:pStyle w:val="TableParagraph"/>
              <w:spacing w:line="172" w:lineRule="exact"/>
              <w:ind w:right="40"/>
              <w:jc w:val="right"/>
              <w:rPr>
                <w:rFonts w:ascii="宋体" w:hAnsi="宋体" w:cs="宋体" w:eastAsia="宋体" w:hint="default"/>
                <w:sz w:val="16"/>
                <w:szCs w:val="16"/>
              </w:rPr>
            </w:pPr>
            <w:r>
              <w:rPr>
                <w:rFonts w:ascii="宋体" w:hAnsi="宋体" w:cs="宋体" w:eastAsia="宋体" w:hint="default"/>
                <w:w w:val="95"/>
                <w:sz w:val="16"/>
                <w:szCs w:val="16"/>
              </w:rPr>
              <w:t>（注）</w:t>
            </w:r>
            <w:r>
              <w:rPr>
                <w:rFonts w:ascii="宋体" w:hAnsi="宋体" w:cs="宋体" w:eastAsia="宋体" w:hint="default"/>
                <w:sz w:val="16"/>
                <w:szCs w:val="16"/>
              </w:rPr>
            </w:r>
          </w:p>
        </w:tc>
      </w:tr>
      <w:tr>
        <w:trPr>
          <w:trHeight w:val="215" w:hRule="exact"/>
        </w:trPr>
        <w:tc>
          <w:tcPr>
            <w:tcW w:w="4942" w:type="dxa"/>
            <w:gridSpan w:val="5"/>
            <w:tcBorders>
              <w:top w:val="nil" w:sz="6" w:space="0" w:color="auto"/>
              <w:left w:val="nil" w:sz="6" w:space="0" w:color="auto"/>
              <w:bottom w:val="nil" w:sz="6" w:space="0" w:color="auto"/>
              <w:right w:val="nil" w:sz="6" w:space="0" w:color="auto"/>
            </w:tcBorders>
          </w:tcPr>
          <w:p>
            <w:pPr>
              <w:pStyle w:val="TableParagraph"/>
              <w:tabs>
                <w:tab w:pos="3155" w:val="left" w:leader="none"/>
                <w:tab w:pos="4340" w:val="left" w:leader="none"/>
              </w:tabs>
              <w:spacing w:line="191" w:lineRule="exact"/>
              <w:ind w:left="548" w:right="0"/>
              <w:jc w:val="left"/>
              <w:rPr>
                <w:rFonts w:ascii="宋体" w:hAnsi="宋体" w:cs="宋体" w:eastAsia="宋体" w:hint="default"/>
                <w:sz w:val="16"/>
                <w:szCs w:val="16"/>
              </w:rPr>
            </w:pPr>
            <w:r>
              <w:rPr>
                <w:rFonts w:ascii="宋体" w:hAnsi="宋体" w:cs="宋体" w:eastAsia="宋体" w:hint="default"/>
                <w:w w:val="95"/>
                <w:sz w:val="16"/>
                <w:szCs w:val="16"/>
              </w:rPr>
              <w:t>联通系统集成有限</w:t>
              <w:tab/>
              <w:t>中国，北京市</w:t>
              <w:tab/>
            </w:r>
            <w:r>
              <w:rPr>
                <w:rFonts w:ascii="宋体" w:hAnsi="宋体" w:cs="宋体" w:eastAsia="宋体" w:hint="default"/>
                <w:sz w:val="16"/>
                <w:szCs w:val="16"/>
              </w:rPr>
              <w:t>信息及</w:t>
            </w:r>
          </w:p>
        </w:tc>
        <w:tc>
          <w:tcPr>
            <w:tcW w:w="1087" w:type="dxa"/>
            <w:tcBorders>
              <w:top w:val="single" w:sz="6" w:space="0" w:color="000000"/>
              <w:left w:val="nil" w:sz="6" w:space="0" w:color="auto"/>
              <w:bottom w:val="nil" w:sz="6" w:space="0" w:color="auto"/>
              <w:right w:val="nil" w:sz="6" w:space="0" w:color="auto"/>
            </w:tcBorders>
          </w:tcPr>
          <w:p>
            <w:pPr/>
          </w:p>
        </w:tc>
        <w:tc>
          <w:tcPr>
            <w:tcW w:w="834" w:type="dxa"/>
            <w:tcBorders>
              <w:top w:val="single" w:sz="6" w:space="0" w:color="000000"/>
              <w:left w:val="nil" w:sz="6" w:space="0" w:color="auto"/>
              <w:bottom w:val="nil" w:sz="6" w:space="0" w:color="auto"/>
              <w:right w:val="nil" w:sz="6" w:space="0" w:color="auto"/>
            </w:tcBorders>
          </w:tcPr>
          <w:p>
            <w:pPr>
              <w:pStyle w:val="TableParagraph"/>
              <w:spacing w:line="184" w:lineRule="exact"/>
              <w:ind w:left="37" w:right="0"/>
              <w:jc w:val="center"/>
              <w:rPr>
                <w:rFonts w:ascii="宋体" w:hAnsi="宋体" w:cs="宋体" w:eastAsia="宋体" w:hint="default"/>
                <w:sz w:val="16"/>
                <w:szCs w:val="16"/>
              </w:rPr>
            </w:pPr>
            <w:r>
              <w:rPr>
                <w:rFonts w:ascii="宋体" w:hAnsi="宋体" w:cs="宋体" w:eastAsia="宋体" w:hint="default"/>
                <w:sz w:val="16"/>
                <w:szCs w:val="16"/>
              </w:rPr>
              <w:t>信息及系</w:t>
            </w:r>
          </w:p>
        </w:tc>
        <w:tc>
          <w:tcPr>
            <w:tcW w:w="832" w:type="dxa"/>
            <w:tcBorders>
              <w:top w:val="single" w:sz="6" w:space="0" w:color="000000"/>
              <w:left w:val="nil" w:sz="6" w:space="0" w:color="auto"/>
              <w:bottom w:val="nil" w:sz="6" w:space="0" w:color="auto"/>
              <w:right w:val="nil" w:sz="6" w:space="0" w:color="auto"/>
            </w:tcBorders>
          </w:tcPr>
          <w:p>
            <w:pPr/>
          </w:p>
        </w:tc>
        <w:tc>
          <w:tcPr>
            <w:tcW w:w="687" w:type="dxa"/>
            <w:tcBorders>
              <w:top w:val="single" w:sz="6" w:space="0" w:color="000000"/>
              <w:left w:val="nil" w:sz="6" w:space="0" w:color="auto"/>
              <w:bottom w:val="nil" w:sz="6" w:space="0" w:color="auto"/>
              <w:right w:val="nil" w:sz="6" w:space="0" w:color="auto"/>
            </w:tcBorders>
          </w:tcPr>
          <w:p>
            <w:pPr/>
          </w:p>
        </w:tc>
        <w:tc>
          <w:tcPr>
            <w:tcW w:w="1128" w:type="dxa"/>
            <w:tcBorders>
              <w:top w:val="single" w:sz="6" w:space="0" w:color="000000"/>
              <w:left w:val="nil" w:sz="6" w:space="0" w:color="auto"/>
              <w:bottom w:val="nil" w:sz="6" w:space="0" w:color="auto"/>
              <w:right w:val="nil" w:sz="6" w:space="0" w:color="auto"/>
            </w:tcBorders>
          </w:tcPr>
          <w:p>
            <w:pPr/>
          </w:p>
        </w:tc>
        <w:tc>
          <w:tcPr>
            <w:tcW w:w="1139" w:type="dxa"/>
            <w:tcBorders>
              <w:top w:val="single" w:sz="6" w:space="0" w:color="000000"/>
              <w:left w:val="nil" w:sz="6" w:space="0" w:color="auto"/>
              <w:bottom w:val="nil" w:sz="6" w:space="0" w:color="auto"/>
              <w:right w:val="nil" w:sz="6" w:space="0" w:color="auto"/>
            </w:tcBorders>
          </w:tcPr>
          <w:p>
            <w:pPr/>
          </w:p>
        </w:tc>
        <w:tc>
          <w:tcPr>
            <w:tcW w:w="1063" w:type="dxa"/>
            <w:tcBorders>
              <w:top w:val="single" w:sz="6" w:space="0" w:color="000000"/>
              <w:left w:val="nil" w:sz="6" w:space="0" w:color="auto"/>
              <w:bottom w:val="nil" w:sz="6" w:space="0" w:color="auto"/>
              <w:right w:val="nil" w:sz="6" w:space="0" w:color="auto"/>
            </w:tcBorders>
          </w:tcPr>
          <w:p>
            <w:pPr/>
          </w:p>
        </w:tc>
        <w:tc>
          <w:tcPr>
            <w:tcW w:w="540" w:type="dxa"/>
            <w:tcBorders>
              <w:top w:val="single" w:sz="6" w:space="0" w:color="000000"/>
              <w:left w:val="nil" w:sz="6" w:space="0" w:color="auto"/>
              <w:bottom w:val="nil" w:sz="6" w:space="0" w:color="auto"/>
              <w:right w:val="nil" w:sz="6" w:space="0" w:color="auto"/>
            </w:tcBorders>
          </w:tcPr>
          <w:p>
            <w:pPr/>
          </w:p>
        </w:tc>
        <w:tc>
          <w:tcPr>
            <w:tcW w:w="578" w:type="dxa"/>
            <w:tcBorders>
              <w:top w:val="single" w:sz="6" w:space="0" w:color="000000"/>
              <w:left w:val="nil" w:sz="6" w:space="0" w:color="auto"/>
              <w:bottom w:val="nil" w:sz="6" w:space="0" w:color="auto"/>
              <w:right w:val="nil" w:sz="6" w:space="0" w:color="auto"/>
            </w:tcBorders>
          </w:tcPr>
          <w:p>
            <w:pPr/>
          </w:p>
        </w:tc>
        <w:tc>
          <w:tcPr>
            <w:tcW w:w="452" w:type="dxa"/>
            <w:tcBorders>
              <w:top w:val="single" w:sz="6" w:space="0" w:color="000000"/>
              <w:left w:val="nil" w:sz="6" w:space="0" w:color="auto"/>
              <w:bottom w:val="nil" w:sz="6" w:space="0" w:color="auto"/>
              <w:right w:val="nil" w:sz="6" w:space="0" w:color="auto"/>
            </w:tcBorders>
          </w:tcPr>
          <w:p>
            <w:pPr/>
          </w:p>
        </w:tc>
        <w:tc>
          <w:tcPr>
            <w:tcW w:w="811" w:type="dxa"/>
            <w:tcBorders>
              <w:top w:val="single" w:sz="6" w:space="0" w:color="000000"/>
              <w:left w:val="nil" w:sz="6" w:space="0" w:color="auto"/>
              <w:bottom w:val="nil" w:sz="6" w:space="0" w:color="auto"/>
              <w:right w:val="nil" w:sz="6" w:space="0" w:color="auto"/>
            </w:tcBorders>
          </w:tcPr>
          <w:p>
            <w:pPr/>
          </w:p>
        </w:tc>
        <w:tc>
          <w:tcPr>
            <w:tcW w:w="646" w:type="dxa"/>
            <w:tcBorders>
              <w:top w:val="single" w:sz="6" w:space="0" w:color="000000"/>
              <w:left w:val="nil" w:sz="6" w:space="0" w:color="auto"/>
              <w:bottom w:val="nil" w:sz="6" w:space="0" w:color="auto"/>
              <w:right w:val="nil" w:sz="6" w:space="0" w:color="auto"/>
            </w:tcBorders>
          </w:tcPr>
          <w:p>
            <w:pPr/>
          </w:p>
        </w:tc>
        <w:tc>
          <w:tcPr>
            <w:tcW w:w="599" w:type="dxa"/>
            <w:tcBorders>
              <w:top w:val="single" w:sz="6" w:space="0" w:color="000000"/>
              <w:left w:val="nil" w:sz="6" w:space="0" w:color="auto"/>
              <w:bottom w:val="nil" w:sz="6" w:space="0" w:color="auto"/>
              <w:right w:val="nil" w:sz="6" w:space="0" w:color="auto"/>
            </w:tcBorders>
          </w:tcPr>
          <w:p>
            <w:pPr/>
          </w:p>
        </w:tc>
      </w:tr>
      <w:tr>
        <w:trPr>
          <w:trHeight w:val="210" w:hRule="exact"/>
        </w:trPr>
        <w:tc>
          <w:tcPr>
            <w:tcW w:w="4942" w:type="dxa"/>
            <w:gridSpan w:val="5"/>
            <w:tcBorders>
              <w:top w:val="nil" w:sz="6" w:space="0" w:color="auto"/>
              <w:left w:val="nil" w:sz="6" w:space="0" w:color="auto"/>
              <w:bottom w:val="nil" w:sz="6" w:space="0" w:color="auto"/>
              <w:right w:val="nil" w:sz="6" w:space="0" w:color="auto"/>
            </w:tcBorders>
          </w:tcPr>
          <w:p>
            <w:pPr>
              <w:pStyle w:val="TableParagraph"/>
              <w:tabs>
                <w:tab w:pos="2625" w:val="left" w:leader="none"/>
                <w:tab w:pos="3357" w:val="left" w:leader="none"/>
                <w:tab w:pos="4340" w:val="left" w:leader="none"/>
              </w:tabs>
              <w:spacing w:line="195" w:lineRule="exact"/>
              <w:ind w:left="708" w:right="0"/>
              <w:jc w:val="left"/>
              <w:rPr>
                <w:rFonts w:ascii="宋体" w:hAnsi="宋体" w:cs="宋体" w:eastAsia="宋体" w:hint="default"/>
                <w:sz w:val="16"/>
                <w:szCs w:val="16"/>
              </w:rPr>
            </w:pPr>
            <w:r>
              <w:rPr>
                <w:rFonts w:ascii="宋体" w:hAnsi="宋体" w:cs="宋体" w:eastAsia="宋体" w:hint="default"/>
                <w:w w:val="95"/>
                <w:sz w:val="16"/>
                <w:szCs w:val="16"/>
              </w:rPr>
              <w:t>公司</w:t>
              <w:tab/>
              <w:t>间接</w:t>
              <w:tab/>
            </w:r>
            <w:r>
              <w:rPr>
                <w:rFonts w:ascii="Arial" w:hAnsi="Arial" w:cs="Arial" w:eastAsia="Arial" w:hint="default"/>
                <w:sz w:val="16"/>
                <w:szCs w:val="16"/>
              </w:rPr>
              <w:t>2006</w:t>
            </w:r>
            <w:r>
              <w:rPr>
                <w:rFonts w:ascii="Arial" w:hAnsi="Arial" w:cs="Arial" w:eastAsia="Arial" w:hint="default"/>
                <w:spacing w:val="-7"/>
                <w:sz w:val="16"/>
                <w:szCs w:val="16"/>
              </w:rPr>
              <w:t> </w:t>
            </w:r>
            <w:r>
              <w:rPr>
                <w:rFonts w:ascii="宋体" w:hAnsi="宋体" w:cs="宋体" w:eastAsia="宋体" w:hint="default"/>
                <w:sz w:val="16"/>
                <w:szCs w:val="16"/>
              </w:rPr>
              <w:t>年</w:t>
              <w:tab/>
              <w:t>系统集</w:t>
            </w:r>
          </w:p>
        </w:tc>
        <w:tc>
          <w:tcPr>
            <w:tcW w:w="1087"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Style w:val="TableParagraph"/>
              <w:spacing w:line="183" w:lineRule="exact"/>
              <w:ind w:left="37" w:right="0"/>
              <w:jc w:val="center"/>
              <w:rPr>
                <w:rFonts w:ascii="宋体" w:hAnsi="宋体" w:cs="宋体" w:eastAsia="宋体" w:hint="default"/>
                <w:sz w:val="16"/>
                <w:szCs w:val="16"/>
              </w:rPr>
            </w:pPr>
            <w:r>
              <w:rPr>
                <w:rFonts w:ascii="宋体" w:hAnsi="宋体" w:cs="宋体" w:eastAsia="宋体" w:hint="default"/>
                <w:sz w:val="16"/>
                <w:szCs w:val="16"/>
              </w:rPr>
              <w:t>统集成业</w:t>
            </w:r>
          </w:p>
        </w:tc>
        <w:tc>
          <w:tcPr>
            <w:tcW w:w="832" w:type="dxa"/>
            <w:tcBorders>
              <w:top w:val="nil" w:sz="6" w:space="0" w:color="auto"/>
              <w:left w:val="nil" w:sz="6" w:space="0" w:color="auto"/>
              <w:bottom w:val="nil" w:sz="6" w:space="0" w:color="auto"/>
              <w:right w:val="nil" w:sz="6" w:space="0" w:color="auto"/>
            </w:tcBorders>
          </w:tcPr>
          <w:p>
            <w:pPr>
              <w:pStyle w:val="TableParagraph"/>
              <w:spacing w:line="183" w:lineRule="exact"/>
              <w:ind w:right="37"/>
              <w:jc w:val="center"/>
              <w:rPr>
                <w:rFonts w:ascii="宋体" w:hAnsi="宋体" w:cs="宋体" w:eastAsia="宋体" w:hint="default"/>
                <w:sz w:val="16"/>
                <w:szCs w:val="16"/>
              </w:rPr>
            </w:pPr>
            <w:r>
              <w:rPr>
                <w:rFonts w:ascii="宋体" w:hAnsi="宋体" w:cs="宋体" w:eastAsia="宋体" w:hint="default"/>
                <w:sz w:val="16"/>
                <w:szCs w:val="16"/>
              </w:rPr>
              <w:t>有限责任</w:t>
            </w:r>
          </w:p>
        </w:tc>
        <w:tc>
          <w:tcPr>
            <w:tcW w:w="687"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646"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
        </w:tc>
      </w:tr>
      <w:tr>
        <w:trPr>
          <w:trHeight w:val="306"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161" w:lineRule="exact"/>
              <w:ind w:left="548" w:right="0"/>
              <w:jc w:val="left"/>
              <w:rPr>
                <w:rFonts w:ascii="宋体" w:hAnsi="宋体" w:cs="宋体" w:eastAsia="宋体" w:hint="default"/>
                <w:sz w:val="16"/>
                <w:szCs w:val="16"/>
              </w:rPr>
            </w:pPr>
            <w:r>
              <w:rPr>
                <w:rFonts w:ascii="宋体" w:hAnsi="宋体" w:cs="宋体" w:eastAsia="宋体" w:hint="default"/>
                <w:spacing w:val="-9"/>
                <w:sz w:val="16"/>
                <w:szCs w:val="16"/>
              </w:rPr>
              <w:t>（“系统集成公司”）</w:t>
            </w:r>
          </w:p>
        </w:tc>
        <w:tc>
          <w:tcPr>
            <w:tcW w:w="374" w:type="dxa"/>
            <w:tcBorders>
              <w:top w:val="nil" w:sz="6" w:space="0" w:color="auto"/>
              <w:left w:val="nil" w:sz="6" w:space="0" w:color="auto"/>
              <w:bottom w:val="nil" w:sz="6" w:space="0" w:color="auto"/>
              <w:right w:val="nil" w:sz="6" w:space="0" w:color="auto"/>
            </w:tcBorders>
          </w:tcPr>
          <w:p>
            <w:pPr>
              <w:pStyle w:val="TableParagraph"/>
              <w:spacing w:line="240" w:lineRule="auto"/>
              <w:ind w:left="37" w:right="0"/>
              <w:jc w:val="left"/>
              <w:rPr>
                <w:rFonts w:ascii="Arial" w:hAnsi="Arial" w:cs="Arial" w:eastAsia="Arial" w:hint="default"/>
                <w:sz w:val="16"/>
                <w:szCs w:val="16"/>
              </w:rPr>
            </w:pPr>
            <w:r>
              <w:rPr>
                <w:rFonts w:ascii="Arial"/>
                <w:sz w:val="16"/>
              </w:rPr>
              <w:t>(3)</w:t>
            </w:r>
          </w:p>
        </w:tc>
        <w:tc>
          <w:tcPr>
            <w:tcW w:w="567" w:type="dxa"/>
            <w:tcBorders>
              <w:top w:val="nil" w:sz="6" w:space="0" w:color="auto"/>
              <w:left w:val="nil" w:sz="6" w:space="0" w:color="auto"/>
              <w:bottom w:val="nil" w:sz="6" w:space="0" w:color="auto"/>
              <w:right w:val="nil" w:sz="6" w:space="0" w:color="auto"/>
            </w:tcBorders>
          </w:tcPr>
          <w:p>
            <w:pPr>
              <w:pStyle w:val="TableParagraph"/>
              <w:spacing w:line="160" w:lineRule="exact"/>
              <w:ind w:left="141" w:right="0"/>
              <w:jc w:val="left"/>
              <w:rPr>
                <w:rFonts w:ascii="宋体" w:hAnsi="宋体" w:cs="宋体" w:eastAsia="宋体" w:hint="default"/>
                <w:sz w:val="16"/>
                <w:szCs w:val="16"/>
              </w:rPr>
            </w:pPr>
            <w:r>
              <w:rPr>
                <w:rFonts w:ascii="宋体" w:hAnsi="宋体" w:cs="宋体" w:eastAsia="宋体" w:hint="default"/>
                <w:sz w:val="16"/>
                <w:szCs w:val="16"/>
              </w:rPr>
              <w:t>控股</w:t>
            </w:r>
          </w:p>
        </w:tc>
        <w:tc>
          <w:tcPr>
            <w:tcW w:w="1177" w:type="dxa"/>
            <w:tcBorders>
              <w:top w:val="nil" w:sz="6" w:space="0" w:color="auto"/>
              <w:left w:val="nil" w:sz="6" w:space="0" w:color="auto"/>
              <w:bottom w:val="nil" w:sz="6" w:space="0" w:color="auto"/>
              <w:right w:val="nil" w:sz="6" w:space="0" w:color="auto"/>
            </w:tcBorders>
          </w:tcPr>
          <w:p>
            <w:pPr>
              <w:pStyle w:val="TableParagraph"/>
              <w:spacing w:line="172" w:lineRule="exact"/>
              <w:ind w:right="6"/>
              <w:jc w:val="center"/>
              <w:rPr>
                <w:rFonts w:ascii="宋体" w:hAnsi="宋体" w:cs="宋体" w:eastAsia="宋体" w:hint="default"/>
                <w:sz w:val="16"/>
                <w:szCs w:val="16"/>
              </w:rPr>
            </w:pPr>
            <w:r>
              <w:rPr>
                <w:rFonts w:ascii="Arial" w:hAnsi="Arial" w:cs="Arial" w:eastAsia="Arial" w:hint="default"/>
                <w:sz w:val="16"/>
                <w:szCs w:val="16"/>
              </w:rPr>
              <w:t>4</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30</w:t>
            </w:r>
            <w:r>
              <w:rPr>
                <w:rFonts w:ascii="Arial" w:hAnsi="Arial" w:cs="Arial" w:eastAsia="Arial" w:hint="default"/>
                <w:spacing w:val="-6"/>
                <w:sz w:val="16"/>
                <w:szCs w:val="16"/>
              </w:rPr>
              <w:t> </w:t>
            </w:r>
            <w:r>
              <w:rPr>
                <w:rFonts w:ascii="宋体" w:hAnsi="宋体" w:cs="宋体" w:eastAsia="宋体" w:hint="default"/>
                <w:sz w:val="16"/>
                <w:szCs w:val="16"/>
              </w:rPr>
              <w:t>日</w:t>
            </w:r>
          </w:p>
        </w:tc>
        <w:tc>
          <w:tcPr>
            <w:tcW w:w="714" w:type="dxa"/>
            <w:tcBorders>
              <w:top w:val="nil" w:sz="6" w:space="0" w:color="auto"/>
              <w:left w:val="nil" w:sz="6" w:space="0" w:color="auto"/>
              <w:bottom w:val="nil" w:sz="6" w:space="0" w:color="auto"/>
              <w:right w:val="nil" w:sz="6" w:space="0" w:color="auto"/>
            </w:tcBorders>
          </w:tcPr>
          <w:p>
            <w:pPr>
              <w:pStyle w:val="TableParagraph"/>
              <w:spacing w:line="161" w:lineRule="exact"/>
              <w:ind w:right="5"/>
              <w:jc w:val="center"/>
              <w:rPr>
                <w:rFonts w:ascii="宋体" w:hAnsi="宋体" w:cs="宋体" w:eastAsia="宋体" w:hint="default"/>
                <w:sz w:val="16"/>
                <w:szCs w:val="16"/>
              </w:rPr>
            </w:pPr>
            <w:r>
              <w:rPr>
                <w:rFonts w:ascii="宋体" w:hAnsi="宋体" w:cs="宋体" w:eastAsia="宋体" w:hint="default"/>
                <w:sz w:val="16"/>
                <w:szCs w:val="16"/>
              </w:rPr>
              <w:t>成业务</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ind w:right="115"/>
              <w:jc w:val="right"/>
              <w:rPr>
                <w:rFonts w:ascii="Arial" w:hAnsi="Arial" w:cs="Arial" w:eastAsia="Arial" w:hint="default"/>
                <w:sz w:val="16"/>
                <w:szCs w:val="16"/>
              </w:rPr>
            </w:pPr>
            <w:r>
              <w:rPr>
                <w:rFonts w:ascii="Arial"/>
                <w:w w:val="95"/>
                <w:sz w:val="16"/>
              </w:rPr>
              <w:t>550,000</w:t>
            </w:r>
            <w:r>
              <w:rPr>
                <w:rFonts w:ascii="Arial"/>
                <w:sz w:val="16"/>
              </w:rPr>
            </w:r>
          </w:p>
        </w:tc>
        <w:tc>
          <w:tcPr>
            <w:tcW w:w="834" w:type="dxa"/>
            <w:tcBorders>
              <w:top w:val="nil" w:sz="6" w:space="0" w:color="auto"/>
              <w:left w:val="nil" w:sz="6" w:space="0" w:color="auto"/>
              <w:bottom w:val="nil" w:sz="6" w:space="0" w:color="auto"/>
              <w:right w:val="nil" w:sz="6" w:space="0" w:color="auto"/>
            </w:tcBorders>
          </w:tcPr>
          <w:p>
            <w:pPr>
              <w:pStyle w:val="TableParagraph"/>
              <w:spacing w:line="161" w:lineRule="exact"/>
              <w:ind w:left="39" w:right="0"/>
              <w:jc w:val="center"/>
              <w:rPr>
                <w:rFonts w:ascii="宋体" w:hAnsi="宋体" w:cs="宋体" w:eastAsia="宋体" w:hint="default"/>
                <w:sz w:val="16"/>
                <w:szCs w:val="16"/>
              </w:rPr>
            </w:pPr>
            <w:r>
              <w:rPr>
                <w:rFonts w:ascii="宋体" w:hAnsi="宋体" w:cs="宋体" w:eastAsia="宋体" w:hint="default"/>
                <w:w w:val="99"/>
                <w:sz w:val="16"/>
                <w:szCs w:val="16"/>
              </w:rPr>
              <w:t>务</w:t>
            </w:r>
            <w:r>
              <w:rPr>
                <w:rFonts w:ascii="宋体" w:hAnsi="宋体" w:cs="宋体" w:eastAsia="宋体" w:hint="default"/>
                <w:sz w:val="16"/>
                <w:szCs w:val="16"/>
              </w:rPr>
            </w:r>
          </w:p>
        </w:tc>
        <w:tc>
          <w:tcPr>
            <w:tcW w:w="832" w:type="dxa"/>
            <w:tcBorders>
              <w:top w:val="nil" w:sz="6" w:space="0" w:color="auto"/>
              <w:left w:val="nil" w:sz="6" w:space="0" w:color="auto"/>
              <w:bottom w:val="nil" w:sz="6" w:space="0" w:color="auto"/>
              <w:right w:val="nil" w:sz="6" w:space="0" w:color="auto"/>
            </w:tcBorders>
          </w:tcPr>
          <w:p>
            <w:pPr>
              <w:pStyle w:val="TableParagraph"/>
              <w:spacing w:line="160" w:lineRule="exact"/>
              <w:ind w:right="37"/>
              <w:jc w:val="center"/>
              <w:rPr>
                <w:rFonts w:ascii="宋体" w:hAnsi="宋体" w:cs="宋体" w:eastAsia="宋体" w:hint="default"/>
                <w:sz w:val="16"/>
                <w:szCs w:val="16"/>
              </w:rPr>
            </w:pPr>
            <w:r>
              <w:rPr>
                <w:rFonts w:ascii="宋体" w:hAnsi="宋体" w:cs="宋体" w:eastAsia="宋体" w:hint="default"/>
                <w:sz w:val="16"/>
                <w:szCs w:val="16"/>
              </w:rPr>
              <w:t>公司</w:t>
            </w:r>
          </w:p>
        </w:tc>
        <w:tc>
          <w:tcPr>
            <w:tcW w:w="687" w:type="dxa"/>
            <w:tcBorders>
              <w:top w:val="nil" w:sz="6" w:space="0" w:color="auto"/>
              <w:left w:val="nil" w:sz="6" w:space="0" w:color="auto"/>
              <w:bottom w:val="nil" w:sz="6" w:space="0" w:color="auto"/>
              <w:right w:val="nil" w:sz="6" w:space="0" w:color="auto"/>
            </w:tcBorders>
          </w:tcPr>
          <w:p>
            <w:pPr>
              <w:pStyle w:val="TableParagraph"/>
              <w:spacing w:line="161" w:lineRule="exact"/>
              <w:ind w:right="121"/>
              <w:jc w:val="right"/>
              <w:rPr>
                <w:rFonts w:ascii="宋体" w:hAnsi="宋体" w:cs="宋体" w:eastAsia="宋体" w:hint="default"/>
                <w:sz w:val="16"/>
                <w:szCs w:val="16"/>
              </w:rPr>
            </w:pPr>
            <w:r>
              <w:rPr>
                <w:rFonts w:ascii="宋体" w:hAnsi="宋体" w:cs="宋体" w:eastAsia="宋体" w:hint="default"/>
                <w:w w:val="95"/>
                <w:sz w:val="16"/>
                <w:szCs w:val="16"/>
              </w:rPr>
              <w:t>孙世臻</w:t>
            </w:r>
            <w:r>
              <w:rPr>
                <w:rFonts w:ascii="宋体" w:hAnsi="宋体" w:cs="宋体" w:eastAsia="宋体" w:hint="default"/>
                <w:sz w:val="16"/>
                <w:szCs w:val="16"/>
              </w:rPr>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ind w:left="123" w:right="0"/>
              <w:jc w:val="left"/>
              <w:rPr>
                <w:rFonts w:ascii="Arial" w:hAnsi="Arial" w:cs="Arial" w:eastAsia="Arial" w:hint="default"/>
                <w:sz w:val="16"/>
                <w:szCs w:val="16"/>
              </w:rPr>
            </w:pPr>
            <w:r>
              <w:rPr>
                <w:rFonts w:ascii="Arial"/>
                <w:sz w:val="16"/>
              </w:rPr>
              <w:t>788601492</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ind w:right="169"/>
              <w:jc w:val="right"/>
              <w:rPr>
                <w:rFonts w:ascii="Arial" w:hAnsi="Arial" w:cs="Arial" w:eastAsia="Arial" w:hint="default"/>
                <w:sz w:val="16"/>
                <w:szCs w:val="16"/>
              </w:rPr>
            </w:pPr>
            <w:r>
              <w:rPr>
                <w:rFonts w:ascii="Arial"/>
                <w:w w:val="95"/>
                <w:sz w:val="16"/>
              </w:rPr>
              <w:t>550,000</w:t>
            </w:r>
            <w:r>
              <w:rPr>
                <w:rFonts w:ascii="Arial"/>
                <w:sz w:val="16"/>
              </w:rPr>
            </w:r>
          </w:p>
        </w:tc>
        <w:tc>
          <w:tcPr>
            <w:tcW w:w="1063" w:type="dxa"/>
            <w:tcBorders>
              <w:top w:val="nil" w:sz="6" w:space="0" w:color="auto"/>
              <w:left w:val="nil" w:sz="6" w:space="0" w:color="auto"/>
              <w:bottom w:val="nil" w:sz="6" w:space="0" w:color="auto"/>
              <w:right w:val="nil" w:sz="6" w:space="0" w:color="auto"/>
            </w:tcBorders>
          </w:tcPr>
          <w:p>
            <w:pPr>
              <w:pStyle w:val="TableParagraph"/>
              <w:spacing w:line="161" w:lineRule="exact"/>
              <w:ind w:left="77" w:right="0"/>
              <w:jc w:val="center"/>
              <w:rPr>
                <w:rFonts w:ascii="宋体" w:hAnsi="宋体" w:cs="宋体" w:eastAsia="宋体" w:hint="default"/>
                <w:sz w:val="16"/>
                <w:szCs w:val="16"/>
              </w:rPr>
            </w:pPr>
            <w:r>
              <w:rPr>
                <w:rFonts w:ascii="宋体" w:hAnsi="宋体" w:cs="宋体" w:eastAsia="宋体" w:hint="default"/>
                <w:w w:val="99"/>
                <w:sz w:val="16"/>
                <w:szCs w:val="16"/>
              </w:rPr>
              <w:t>无</w:t>
            </w:r>
            <w:r>
              <w:rPr>
                <w:rFonts w:ascii="宋体" w:hAnsi="宋体" w:cs="宋体" w:eastAsia="宋体" w:hint="default"/>
                <w:sz w:val="16"/>
                <w:szCs w:val="16"/>
              </w:rPr>
            </w:r>
          </w:p>
        </w:tc>
        <w:tc>
          <w:tcPr>
            <w:tcW w:w="540" w:type="dxa"/>
            <w:tcBorders>
              <w:top w:val="nil" w:sz="6" w:space="0" w:color="auto"/>
              <w:left w:val="nil" w:sz="6" w:space="0" w:color="auto"/>
              <w:bottom w:val="nil" w:sz="6" w:space="0" w:color="auto"/>
              <w:right w:val="nil" w:sz="6" w:space="0" w:color="auto"/>
            </w:tcBorders>
          </w:tcPr>
          <w:p>
            <w:pPr>
              <w:pStyle w:val="TableParagraph"/>
              <w:spacing w:line="240" w:lineRule="auto"/>
              <w:ind w:left="46" w:right="0"/>
              <w:jc w:val="center"/>
              <w:rPr>
                <w:rFonts w:ascii="Arial" w:hAnsi="Arial" w:cs="Arial" w:eastAsia="Arial" w:hint="default"/>
                <w:sz w:val="16"/>
                <w:szCs w:val="16"/>
              </w:rPr>
            </w:pPr>
            <w:r>
              <w:rPr>
                <w:rFonts w:ascii="Arial"/>
                <w:sz w:val="16"/>
              </w:rPr>
              <w:t>33.88</w:t>
            </w:r>
          </w:p>
        </w:tc>
        <w:tc>
          <w:tcPr>
            <w:tcW w:w="578" w:type="dxa"/>
            <w:tcBorders>
              <w:top w:val="nil" w:sz="6" w:space="0" w:color="auto"/>
              <w:left w:val="nil" w:sz="6" w:space="0" w:color="auto"/>
              <w:bottom w:val="nil" w:sz="6" w:space="0" w:color="auto"/>
              <w:right w:val="nil" w:sz="6" w:space="0" w:color="auto"/>
            </w:tcBorders>
          </w:tcPr>
          <w:p>
            <w:pPr>
              <w:pStyle w:val="TableParagraph"/>
              <w:spacing w:line="240" w:lineRule="auto"/>
              <w:ind w:right="48"/>
              <w:jc w:val="right"/>
              <w:rPr>
                <w:rFonts w:ascii="Arial" w:hAnsi="Arial" w:cs="Arial" w:eastAsia="Arial" w:hint="default"/>
                <w:sz w:val="16"/>
                <w:szCs w:val="16"/>
              </w:rPr>
            </w:pPr>
            <w:r>
              <w:rPr>
                <w:rFonts w:ascii="Arial"/>
                <w:w w:val="95"/>
                <w:sz w:val="16"/>
              </w:rPr>
              <w:t>58.30</w:t>
            </w:r>
            <w:r>
              <w:rPr>
                <w:rFonts w:ascii="Arial"/>
                <w:sz w:val="16"/>
              </w:rPr>
            </w:r>
          </w:p>
        </w:tc>
        <w:tc>
          <w:tcPr>
            <w:tcW w:w="452" w:type="dxa"/>
            <w:tcBorders>
              <w:top w:val="nil" w:sz="6" w:space="0" w:color="auto"/>
              <w:left w:val="nil" w:sz="6" w:space="0" w:color="auto"/>
              <w:bottom w:val="nil" w:sz="6" w:space="0" w:color="auto"/>
              <w:right w:val="nil" w:sz="6" w:space="0" w:color="auto"/>
            </w:tcBorders>
          </w:tcPr>
          <w:p>
            <w:pPr>
              <w:pStyle w:val="TableParagraph"/>
              <w:spacing w:line="161" w:lineRule="exact"/>
              <w:ind w:right="28"/>
              <w:jc w:val="center"/>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c>
        <w:tc>
          <w:tcPr>
            <w:tcW w:w="2056" w:type="dxa"/>
            <w:gridSpan w:val="3"/>
            <w:tcBorders>
              <w:top w:val="nil" w:sz="6" w:space="0" w:color="auto"/>
              <w:left w:val="nil" w:sz="6" w:space="0" w:color="auto"/>
              <w:bottom w:val="nil" w:sz="6" w:space="0" w:color="auto"/>
              <w:right w:val="nil" w:sz="6" w:space="0" w:color="auto"/>
            </w:tcBorders>
          </w:tcPr>
          <w:p>
            <w:pPr>
              <w:pStyle w:val="TableParagraph"/>
              <w:tabs>
                <w:tab w:pos="1068" w:val="left" w:leader="none"/>
                <w:tab w:pos="1701" w:val="left" w:leader="none"/>
              </w:tabs>
              <w:spacing w:line="240" w:lineRule="auto"/>
              <w:ind w:left="328" w:right="0"/>
              <w:jc w:val="left"/>
              <w:rPr>
                <w:rFonts w:ascii="Arial" w:hAnsi="Arial" w:cs="Arial" w:eastAsia="Arial" w:hint="default"/>
                <w:sz w:val="16"/>
                <w:szCs w:val="16"/>
              </w:rPr>
            </w:pPr>
            <w:r>
              <w:rPr>
                <w:rFonts w:ascii="Arial"/>
                <w:w w:val="95"/>
                <w:sz w:val="16"/>
              </w:rPr>
              <w:t>-</w:t>
              <w:tab/>
              <w:t>-</w:t>
              <w:tab/>
            </w:r>
            <w:r>
              <w:rPr>
                <w:rFonts w:ascii="Arial"/>
                <w:sz w:val="16"/>
              </w:rPr>
              <w:t>-</w:t>
            </w:r>
          </w:p>
        </w:tc>
      </w:tr>
      <w:tr>
        <w:trPr>
          <w:trHeight w:val="289" w:hRule="exact"/>
        </w:trPr>
        <w:tc>
          <w:tcPr>
            <w:tcW w:w="2110" w:type="dxa"/>
            <w:tcBorders>
              <w:top w:val="nil" w:sz="6" w:space="0" w:color="auto"/>
              <w:left w:val="nil" w:sz="6" w:space="0" w:color="auto"/>
              <w:bottom w:val="nil" w:sz="6" w:space="0" w:color="auto"/>
              <w:right w:val="nil" w:sz="6" w:space="0" w:color="auto"/>
            </w:tcBorders>
          </w:tcPr>
          <w:p>
            <w:pPr/>
          </w:p>
        </w:tc>
        <w:tc>
          <w:tcPr>
            <w:tcW w:w="374" w:type="dxa"/>
            <w:tcBorders>
              <w:top w:val="nil" w:sz="6" w:space="0" w:color="auto"/>
              <w:left w:val="nil" w:sz="6" w:space="0" w:color="auto"/>
              <w:bottom w:val="nil" w:sz="6" w:space="0" w:color="auto"/>
              <w:right w:val="nil" w:sz="6" w:space="0" w:color="auto"/>
            </w:tcBorders>
          </w:tcPr>
          <w:p>
            <w:pPr/>
          </w:p>
        </w:tc>
        <w:tc>
          <w:tcPr>
            <w:tcW w:w="567" w:type="dxa"/>
            <w:tcBorders>
              <w:top w:val="nil" w:sz="6" w:space="0" w:color="auto"/>
              <w:left w:val="nil" w:sz="6" w:space="0" w:color="auto"/>
              <w:bottom w:val="nil" w:sz="6" w:space="0" w:color="auto"/>
              <w:right w:val="nil" w:sz="6" w:space="0" w:color="auto"/>
            </w:tcBorders>
          </w:tcPr>
          <w:p>
            <w:pPr/>
          </w:p>
        </w:tc>
        <w:tc>
          <w:tcPr>
            <w:tcW w:w="1177" w:type="dxa"/>
            <w:tcBorders>
              <w:top w:val="nil" w:sz="6" w:space="0" w:color="auto"/>
              <w:left w:val="nil" w:sz="6" w:space="0" w:color="auto"/>
              <w:bottom w:val="nil" w:sz="6" w:space="0" w:color="auto"/>
              <w:right w:val="nil" w:sz="6" w:space="0" w:color="auto"/>
            </w:tcBorders>
          </w:tcPr>
          <w:p>
            <w:pPr/>
          </w:p>
        </w:tc>
        <w:tc>
          <w:tcPr>
            <w:tcW w:w="714"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8"/>
              <w:jc w:val="center"/>
              <w:rPr>
                <w:rFonts w:ascii="宋体" w:hAnsi="宋体" w:cs="宋体" w:eastAsia="宋体" w:hint="default"/>
                <w:sz w:val="16"/>
                <w:szCs w:val="16"/>
              </w:rPr>
            </w:pPr>
            <w:r>
              <w:rPr>
                <w:rFonts w:ascii="宋体" w:hAnsi="宋体" w:cs="宋体" w:eastAsia="宋体" w:hint="default"/>
                <w:sz w:val="16"/>
                <w:szCs w:val="16"/>
              </w:rPr>
              <w:t>互联网</w:t>
            </w:r>
          </w:p>
        </w:tc>
        <w:tc>
          <w:tcPr>
            <w:tcW w:w="1087"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7" w:right="0"/>
              <w:jc w:val="center"/>
              <w:rPr>
                <w:rFonts w:ascii="宋体" w:hAnsi="宋体" w:cs="宋体" w:eastAsia="宋体" w:hint="default"/>
                <w:sz w:val="16"/>
                <w:szCs w:val="16"/>
              </w:rPr>
            </w:pPr>
            <w:r>
              <w:rPr>
                <w:rFonts w:ascii="宋体" w:hAnsi="宋体" w:cs="宋体" w:eastAsia="宋体" w:hint="default"/>
                <w:sz w:val="16"/>
                <w:szCs w:val="16"/>
              </w:rPr>
              <w:t>互联网、</w:t>
            </w:r>
          </w:p>
        </w:tc>
        <w:tc>
          <w:tcPr>
            <w:tcW w:w="832" w:type="dxa"/>
            <w:tcBorders>
              <w:top w:val="nil" w:sz="6" w:space="0" w:color="auto"/>
              <w:left w:val="nil" w:sz="6" w:space="0" w:color="auto"/>
              <w:bottom w:val="nil" w:sz="6" w:space="0" w:color="auto"/>
              <w:right w:val="nil" w:sz="6" w:space="0" w:color="auto"/>
            </w:tcBorders>
          </w:tcPr>
          <w:p>
            <w:pPr/>
          </w:p>
        </w:tc>
        <w:tc>
          <w:tcPr>
            <w:tcW w:w="687"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2056" w:type="dxa"/>
            <w:gridSpan w:val="3"/>
            <w:tcBorders>
              <w:top w:val="nil" w:sz="6" w:space="0" w:color="auto"/>
              <w:left w:val="nil" w:sz="6" w:space="0" w:color="auto"/>
              <w:bottom w:val="nil" w:sz="6" w:space="0" w:color="auto"/>
              <w:right w:val="nil" w:sz="6" w:space="0" w:color="auto"/>
            </w:tcBorders>
          </w:tcPr>
          <w:p>
            <w:pPr/>
          </w:p>
        </w:tc>
      </w:tr>
      <w:tr>
        <w:trPr>
          <w:trHeight w:val="208"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183" w:lineRule="exact"/>
              <w:ind w:left="548" w:right="0"/>
              <w:jc w:val="left"/>
              <w:rPr>
                <w:rFonts w:ascii="宋体" w:hAnsi="宋体" w:cs="宋体" w:eastAsia="宋体" w:hint="default"/>
                <w:sz w:val="16"/>
                <w:szCs w:val="16"/>
              </w:rPr>
            </w:pPr>
            <w:r>
              <w:rPr>
                <w:rFonts w:ascii="宋体" w:hAnsi="宋体" w:cs="宋体" w:eastAsia="宋体" w:hint="default"/>
                <w:sz w:val="16"/>
                <w:szCs w:val="16"/>
              </w:rPr>
              <w:t>联通宽带在线有限</w:t>
            </w:r>
          </w:p>
        </w:tc>
        <w:tc>
          <w:tcPr>
            <w:tcW w:w="374" w:type="dxa"/>
            <w:tcBorders>
              <w:top w:val="nil" w:sz="6" w:space="0" w:color="auto"/>
              <w:left w:val="nil" w:sz="6" w:space="0" w:color="auto"/>
              <w:bottom w:val="nil" w:sz="6" w:space="0" w:color="auto"/>
              <w:right w:val="nil" w:sz="6" w:space="0" w:color="auto"/>
            </w:tcBorders>
          </w:tcPr>
          <w:p>
            <w:pPr/>
          </w:p>
        </w:tc>
        <w:tc>
          <w:tcPr>
            <w:tcW w:w="567" w:type="dxa"/>
            <w:tcBorders>
              <w:top w:val="nil" w:sz="6" w:space="0" w:color="auto"/>
              <w:left w:val="nil" w:sz="6" w:space="0" w:color="auto"/>
              <w:bottom w:val="nil" w:sz="6" w:space="0" w:color="auto"/>
              <w:right w:val="nil" w:sz="6" w:space="0" w:color="auto"/>
            </w:tcBorders>
          </w:tcPr>
          <w:p>
            <w:pPr/>
          </w:p>
        </w:tc>
        <w:tc>
          <w:tcPr>
            <w:tcW w:w="1177" w:type="dxa"/>
            <w:tcBorders>
              <w:top w:val="nil" w:sz="6" w:space="0" w:color="auto"/>
              <w:left w:val="nil" w:sz="6" w:space="0" w:color="auto"/>
              <w:bottom w:val="nil" w:sz="6" w:space="0" w:color="auto"/>
              <w:right w:val="nil" w:sz="6" w:space="0" w:color="auto"/>
            </w:tcBorders>
          </w:tcPr>
          <w:p>
            <w:pPr>
              <w:pStyle w:val="TableParagraph"/>
              <w:spacing w:line="184" w:lineRule="exact"/>
              <w:ind w:right="6"/>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714" w:type="dxa"/>
            <w:tcBorders>
              <w:top w:val="nil" w:sz="6" w:space="0" w:color="auto"/>
              <w:left w:val="nil" w:sz="6" w:space="0" w:color="auto"/>
              <w:bottom w:val="nil" w:sz="6" w:space="0" w:color="auto"/>
              <w:right w:val="nil" w:sz="6" w:space="0" w:color="auto"/>
            </w:tcBorders>
          </w:tcPr>
          <w:p>
            <w:pPr>
              <w:pStyle w:val="TableParagraph"/>
              <w:spacing w:line="184" w:lineRule="exact"/>
              <w:ind w:right="8"/>
              <w:jc w:val="center"/>
              <w:rPr>
                <w:rFonts w:ascii="宋体" w:hAnsi="宋体" w:cs="宋体" w:eastAsia="宋体" w:hint="default"/>
                <w:sz w:val="16"/>
                <w:szCs w:val="16"/>
              </w:rPr>
            </w:pPr>
            <w:r>
              <w:rPr>
                <w:rFonts w:ascii="宋体" w:hAnsi="宋体" w:cs="宋体" w:eastAsia="宋体" w:hint="default"/>
                <w:sz w:val="16"/>
                <w:szCs w:val="16"/>
              </w:rPr>
              <w:t>及电信</w:t>
            </w:r>
          </w:p>
        </w:tc>
        <w:tc>
          <w:tcPr>
            <w:tcW w:w="1087"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Style w:val="TableParagraph"/>
              <w:spacing w:line="184" w:lineRule="exact"/>
              <w:ind w:left="37" w:right="0"/>
              <w:jc w:val="center"/>
              <w:rPr>
                <w:rFonts w:ascii="宋体" w:hAnsi="宋体" w:cs="宋体" w:eastAsia="宋体" w:hint="default"/>
                <w:sz w:val="16"/>
                <w:szCs w:val="16"/>
              </w:rPr>
            </w:pPr>
            <w:r>
              <w:rPr>
                <w:rFonts w:ascii="宋体" w:hAnsi="宋体" w:cs="宋体" w:eastAsia="宋体" w:hint="default"/>
                <w:sz w:val="16"/>
                <w:szCs w:val="16"/>
              </w:rPr>
              <w:t>互联网电</w:t>
            </w:r>
          </w:p>
        </w:tc>
        <w:tc>
          <w:tcPr>
            <w:tcW w:w="832" w:type="dxa"/>
            <w:tcBorders>
              <w:top w:val="nil" w:sz="6" w:space="0" w:color="auto"/>
              <w:left w:val="nil" w:sz="6" w:space="0" w:color="auto"/>
              <w:bottom w:val="nil" w:sz="6" w:space="0" w:color="auto"/>
              <w:right w:val="nil" w:sz="6" w:space="0" w:color="auto"/>
            </w:tcBorders>
          </w:tcPr>
          <w:p>
            <w:pPr/>
          </w:p>
        </w:tc>
        <w:tc>
          <w:tcPr>
            <w:tcW w:w="687"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2056" w:type="dxa"/>
            <w:gridSpan w:val="3"/>
            <w:tcBorders>
              <w:top w:val="nil" w:sz="6" w:space="0" w:color="auto"/>
              <w:left w:val="nil" w:sz="6" w:space="0" w:color="auto"/>
              <w:bottom w:val="nil" w:sz="6" w:space="0" w:color="auto"/>
              <w:right w:val="nil" w:sz="6" w:space="0" w:color="auto"/>
            </w:tcBorders>
          </w:tcPr>
          <w:p>
            <w:pPr/>
          </w:p>
        </w:tc>
      </w:tr>
      <w:tr>
        <w:trPr>
          <w:trHeight w:val="211"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183" w:lineRule="exact"/>
              <w:ind w:right="372"/>
              <w:jc w:val="center"/>
              <w:rPr>
                <w:rFonts w:ascii="宋体" w:hAnsi="宋体" w:cs="宋体" w:eastAsia="宋体" w:hint="default"/>
                <w:sz w:val="16"/>
                <w:szCs w:val="16"/>
              </w:rPr>
            </w:pPr>
            <w:r>
              <w:rPr>
                <w:rFonts w:ascii="宋体" w:hAnsi="宋体" w:cs="宋体" w:eastAsia="宋体" w:hint="default"/>
                <w:sz w:val="16"/>
                <w:szCs w:val="16"/>
              </w:rPr>
              <w:t>公司</w:t>
            </w:r>
          </w:p>
        </w:tc>
        <w:tc>
          <w:tcPr>
            <w:tcW w:w="374" w:type="dxa"/>
            <w:tcBorders>
              <w:top w:val="nil" w:sz="6" w:space="0" w:color="auto"/>
              <w:left w:val="nil" w:sz="6" w:space="0" w:color="auto"/>
              <w:bottom w:val="nil" w:sz="6" w:space="0" w:color="auto"/>
              <w:right w:val="nil" w:sz="6" w:space="0" w:color="auto"/>
            </w:tcBorders>
          </w:tcPr>
          <w:p>
            <w:pPr/>
          </w:p>
        </w:tc>
        <w:tc>
          <w:tcPr>
            <w:tcW w:w="567" w:type="dxa"/>
            <w:tcBorders>
              <w:top w:val="nil" w:sz="6" w:space="0" w:color="auto"/>
              <w:left w:val="nil" w:sz="6" w:space="0" w:color="auto"/>
              <w:bottom w:val="nil" w:sz="6" w:space="0" w:color="auto"/>
              <w:right w:val="nil" w:sz="6" w:space="0" w:color="auto"/>
            </w:tcBorders>
          </w:tcPr>
          <w:p>
            <w:pPr>
              <w:pStyle w:val="TableParagraph"/>
              <w:spacing w:line="184" w:lineRule="exact"/>
              <w:ind w:left="141" w:right="0"/>
              <w:jc w:val="left"/>
              <w:rPr>
                <w:rFonts w:ascii="宋体" w:hAnsi="宋体" w:cs="宋体" w:eastAsia="宋体" w:hint="default"/>
                <w:sz w:val="16"/>
                <w:szCs w:val="16"/>
              </w:rPr>
            </w:pPr>
            <w:r>
              <w:rPr>
                <w:rFonts w:ascii="宋体" w:hAnsi="宋体" w:cs="宋体" w:eastAsia="宋体" w:hint="default"/>
                <w:sz w:val="16"/>
                <w:szCs w:val="16"/>
              </w:rPr>
              <w:t>间接</w:t>
            </w:r>
          </w:p>
        </w:tc>
        <w:tc>
          <w:tcPr>
            <w:tcW w:w="1177" w:type="dxa"/>
            <w:tcBorders>
              <w:top w:val="nil" w:sz="6" w:space="0" w:color="auto"/>
              <w:left w:val="nil" w:sz="6" w:space="0" w:color="auto"/>
              <w:bottom w:val="nil" w:sz="6" w:space="0" w:color="auto"/>
              <w:right w:val="nil" w:sz="6" w:space="0" w:color="auto"/>
            </w:tcBorders>
          </w:tcPr>
          <w:p>
            <w:pPr>
              <w:pStyle w:val="TableParagraph"/>
              <w:spacing w:line="195" w:lineRule="exact"/>
              <w:ind w:right="7"/>
              <w:jc w:val="center"/>
              <w:rPr>
                <w:rFonts w:ascii="宋体" w:hAnsi="宋体" w:cs="宋体" w:eastAsia="宋体" w:hint="default"/>
                <w:sz w:val="16"/>
                <w:szCs w:val="16"/>
              </w:rPr>
            </w:pPr>
            <w:r>
              <w:rPr>
                <w:rFonts w:ascii="Arial" w:hAnsi="Arial" w:cs="Arial" w:eastAsia="Arial" w:hint="default"/>
                <w:sz w:val="16"/>
                <w:szCs w:val="16"/>
              </w:rPr>
              <w:t>2006</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714" w:type="dxa"/>
            <w:tcBorders>
              <w:top w:val="nil" w:sz="6" w:space="0" w:color="auto"/>
              <w:left w:val="nil" w:sz="6" w:space="0" w:color="auto"/>
              <w:bottom w:val="nil" w:sz="6" w:space="0" w:color="auto"/>
              <w:right w:val="nil" w:sz="6" w:space="0" w:color="auto"/>
            </w:tcBorders>
          </w:tcPr>
          <w:p>
            <w:pPr>
              <w:pStyle w:val="TableParagraph"/>
              <w:spacing w:line="184" w:lineRule="exact"/>
              <w:ind w:right="8"/>
              <w:jc w:val="center"/>
              <w:rPr>
                <w:rFonts w:ascii="宋体" w:hAnsi="宋体" w:cs="宋体" w:eastAsia="宋体" w:hint="default"/>
                <w:sz w:val="16"/>
                <w:szCs w:val="16"/>
              </w:rPr>
            </w:pPr>
            <w:r>
              <w:rPr>
                <w:rFonts w:ascii="宋体" w:hAnsi="宋体" w:cs="宋体" w:eastAsia="宋体" w:hint="default"/>
                <w:sz w:val="16"/>
                <w:szCs w:val="16"/>
              </w:rPr>
              <w:t>增值业</w:t>
            </w:r>
          </w:p>
        </w:tc>
        <w:tc>
          <w:tcPr>
            <w:tcW w:w="1087"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Style w:val="TableParagraph"/>
              <w:spacing w:line="184" w:lineRule="exact"/>
              <w:ind w:left="37" w:right="0"/>
              <w:jc w:val="center"/>
              <w:rPr>
                <w:rFonts w:ascii="宋体" w:hAnsi="宋体" w:cs="宋体" w:eastAsia="宋体" w:hint="default"/>
                <w:sz w:val="16"/>
                <w:szCs w:val="16"/>
              </w:rPr>
            </w:pPr>
            <w:r>
              <w:rPr>
                <w:rFonts w:ascii="宋体" w:hAnsi="宋体" w:cs="宋体" w:eastAsia="宋体" w:hint="default"/>
                <w:sz w:val="16"/>
                <w:szCs w:val="16"/>
              </w:rPr>
              <w:t>信增值业</w:t>
            </w:r>
          </w:p>
        </w:tc>
        <w:tc>
          <w:tcPr>
            <w:tcW w:w="832" w:type="dxa"/>
            <w:tcBorders>
              <w:top w:val="nil" w:sz="6" w:space="0" w:color="auto"/>
              <w:left w:val="nil" w:sz="6" w:space="0" w:color="auto"/>
              <w:bottom w:val="nil" w:sz="6" w:space="0" w:color="auto"/>
              <w:right w:val="nil" w:sz="6" w:space="0" w:color="auto"/>
            </w:tcBorders>
          </w:tcPr>
          <w:p>
            <w:pPr>
              <w:pStyle w:val="TableParagraph"/>
              <w:spacing w:line="184" w:lineRule="exact"/>
              <w:ind w:right="38"/>
              <w:jc w:val="center"/>
              <w:rPr>
                <w:rFonts w:ascii="宋体" w:hAnsi="宋体" w:cs="宋体" w:eastAsia="宋体" w:hint="default"/>
                <w:sz w:val="16"/>
                <w:szCs w:val="16"/>
              </w:rPr>
            </w:pPr>
            <w:r>
              <w:rPr>
                <w:rFonts w:ascii="宋体" w:hAnsi="宋体" w:cs="宋体" w:eastAsia="宋体" w:hint="default"/>
                <w:sz w:val="16"/>
                <w:szCs w:val="16"/>
              </w:rPr>
              <w:t>有限责任</w:t>
            </w:r>
          </w:p>
        </w:tc>
        <w:tc>
          <w:tcPr>
            <w:tcW w:w="687"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2056" w:type="dxa"/>
            <w:gridSpan w:val="3"/>
            <w:tcBorders>
              <w:top w:val="nil" w:sz="6" w:space="0" w:color="auto"/>
              <w:left w:val="nil" w:sz="6" w:space="0" w:color="auto"/>
              <w:bottom w:val="nil" w:sz="6" w:space="0" w:color="auto"/>
              <w:right w:val="nil" w:sz="6" w:space="0" w:color="auto"/>
            </w:tcBorders>
          </w:tcPr>
          <w:p>
            <w:pPr/>
          </w:p>
        </w:tc>
      </w:tr>
      <w:tr>
        <w:trPr>
          <w:trHeight w:val="305"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180" w:lineRule="exact"/>
              <w:ind w:left="548" w:right="0"/>
              <w:jc w:val="left"/>
              <w:rPr>
                <w:rFonts w:ascii="宋体" w:hAnsi="宋体" w:cs="宋体" w:eastAsia="宋体" w:hint="default"/>
                <w:sz w:val="16"/>
                <w:szCs w:val="16"/>
              </w:rPr>
            </w:pPr>
            <w:r>
              <w:rPr>
                <w:rFonts w:ascii="宋体" w:hAnsi="宋体" w:cs="宋体" w:eastAsia="宋体" w:hint="default"/>
                <w:spacing w:val="-8"/>
                <w:sz w:val="16"/>
                <w:szCs w:val="16"/>
              </w:rPr>
              <w:t>（“宽带在线公司”）</w:t>
            </w:r>
          </w:p>
        </w:tc>
        <w:tc>
          <w:tcPr>
            <w:tcW w:w="37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7" w:right="0"/>
              <w:jc w:val="left"/>
              <w:rPr>
                <w:rFonts w:ascii="Arial" w:hAnsi="Arial" w:cs="Arial" w:eastAsia="Arial" w:hint="default"/>
                <w:sz w:val="16"/>
                <w:szCs w:val="16"/>
              </w:rPr>
            </w:pPr>
            <w:r>
              <w:rPr>
                <w:rFonts w:ascii="Arial"/>
                <w:sz w:val="16"/>
              </w:rPr>
              <w:t>(3)</w:t>
            </w:r>
          </w:p>
        </w:tc>
        <w:tc>
          <w:tcPr>
            <w:tcW w:w="567" w:type="dxa"/>
            <w:tcBorders>
              <w:top w:val="nil" w:sz="6" w:space="0" w:color="auto"/>
              <w:left w:val="nil" w:sz="6" w:space="0" w:color="auto"/>
              <w:bottom w:val="nil" w:sz="6" w:space="0" w:color="auto"/>
              <w:right w:val="nil" w:sz="6" w:space="0" w:color="auto"/>
            </w:tcBorders>
          </w:tcPr>
          <w:p>
            <w:pPr>
              <w:pStyle w:val="TableParagraph"/>
              <w:spacing w:line="180" w:lineRule="exact"/>
              <w:ind w:left="141" w:right="0"/>
              <w:jc w:val="left"/>
              <w:rPr>
                <w:rFonts w:ascii="宋体" w:hAnsi="宋体" w:cs="宋体" w:eastAsia="宋体" w:hint="default"/>
                <w:sz w:val="16"/>
                <w:szCs w:val="16"/>
              </w:rPr>
            </w:pPr>
            <w:r>
              <w:rPr>
                <w:rFonts w:ascii="宋体" w:hAnsi="宋体" w:cs="宋体" w:eastAsia="宋体" w:hint="default"/>
                <w:sz w:val="16"/>
                <w:szCs w:val="16"/>
              </w:rPr>
              <w:t>控股</w:t>
            </w:r>
          </w:p>
        </w:tc>
        <w:tc>
          <w:tcPr>
            <w:tcW w:w="1177" w:type="dxa"/>
            <w:tcBorders>
              <w:top w:val="nil" w:sz="6" w:space="0" w:color="auto"/>
              <w:left w:val="nil" w:sz="6" w:space="0" w:color="auto"/>
              <w:bottom w:val="nil" w:sz="6" w:space="0" w:color="auto"/>
              <w:right w:val="nil" w:sz="6" w:space="0" w:color="auto"/>
            </w:tcBorders>
          </w:tcPr>
          <w:p>
            <w:pPr>
              <w:pStyle w:val="TableParagraph"/>
              <w:spacing w:line="191" w:lineRule="exact"/>
              <w:ind w:right="7"/>
              <w:jc w:val="center"/>
              <w:rPr>
                <w:rFonts w:ascii="宋体" w:hAnsi="宋体" w:cs="宋体" w:eastAsia="宋体" w:hint="default"/>
                <w:sz w:val="16"/>
                <w:szCs w:val="16"/>
              </w:rPr>
            </w:pPr>
            <w:r>
              <w:rPr>
                <w:rFonts w:ascii="Arial" w:hAnsi="Arial" w:cs="Arial" w:eastAsia="Arial" w:hint="default"/>
                <w:sz w:val="16"/>
                <w:szCs w:val="16"/>
              </w:rPr>
              <w:t>3</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29</w:t>
            </w:r>
            <w:r>
              <w:rPr>
                <w:rFonts w:ascii="Arial" w:hAnsi="Arial" w:cs="Arial" w:eastAsia="Arial" w:hint="default"/>
                <w:spacing w:val="-6"/>
                <w:sz w:val="16"/>
                <w:szCs w:val="16"/>
              </w:rPr>
              <w:t> </w:t>
            </w:r>
            <w:r>
              <w:rPr>
                <w:rFonts w:ascii="宋体" w:hAnsi="宋体" w:cs="宋体" w:eastAsia="宋体" w:hint="default"/>
                <w:sz w:val="16"/>
                <w:szCs w:val="16"/>
              </w:rPr>
              <w:t>日</w:t>
            </w:r>
          </w:p>
        </w:tc>
        <w:tc>
          <w:tcPr>
            <w:tcW w:w="714" w:type="dxa"/>
            <w:tcBorders>
              <w:top w:val="nil" w:sz="6" w:space="0" w:color="auto"/>
              <w:left w:val="nil" w:sz="6" w:space="0" w:color="auto"/>
              <w:bottom w:val="nil" w:sz="6" w:space="0" w:color="auto"/>
              <w:right w:val="nil" w:sz="6" w:space="0" w:color="auto"/>
            </w:tcBorders>
          </w:tcPr>
          <w:p>
            <w:pPr>
              <w:pStyle w:val="TableParagraph"/>
              <w:spacing w:line="180" w:lineRule="exact"/>
              <w:ind w:right="6"/>
              <w:jc w:val="center"/>
              <w:rPr>
                <w:rFonts w:ascii="宋体" w:hAnsi="宋体" w:cs="宋体" w:eastAsia="宋体" w:hint="default"/>
                <w:sz w:val="16"/>
                <w:szCs w:val="16"/>
              </w:rPr>
            </w:pPr>
            <w:r>
              <w:rPr>
                <w:rFonts w:ascii="宋体" w:hAnsi="宋体" w:cs="宋体" w:eastAsia="宋体" w:hint="default"/>
                <w:w w:val="99"/>
                <w:sz w:val="16"/>
                <w:szCs w:val="16"/>
              </w:rPr>
              <w:t>务</w:t>
            </w:r>
            <w:r>
              <w:rPr>
                <w:rFonts w:ascii="宋体" w:hAnsi="宋体" w:cs="宋体" w:eastAsia="宋体" w:hint="default"/>
                <w:sz w:val="16"/>
                <w:szCs w:val="16"/>
              </w:rPr>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15"/>
              <w:jc w:val="right"/>
              <w:rPr>
                <w:rFonts w:ascii="Arial" w:hAnsi="Arial" w:cs="Arial" w:eastAsia="Arial" w:hint="default"/>
                <w:sz w:val="16"/>
                <w:szCs w:val="16"/>
              </w:rPr>
            </w:pPr>
            <w:r>
              <w:rPr>
                <w:rFonts w:ascii="Arial"/>
                <w:w w:val="95"/>
                <w:sz w:val="16"/>
              </w:rPr>
              <w:t>30,000</w:t>
            </w:r>
            <w:r>
              <w:rPr>
                <w:rFonts w:ascii="Arial"/>
                <w:sz w:val="16"/>
              </w:rPr>
            </w:r>
          </w:p>
        </w:tc>
        <w:tc>
          <w:tcPr>
            <w:tcW w:w="834" w:type="dxa"/>
            <w:tcBorders>
              <w:top w:val="nil" w:sz="6" w:space="0" w:color="auto"/>
              <w:left w:val="nil" w:sz="6" w:space="0" w:color="auto"/>
              <w:bottom w:val="nil" w:sz="6" w:space="0" w:color="auto"/>
              <w:right w:val="nil" w:sz="6" w:space="0" w:color="auto"/>
            </w:tcBorders>
          </w:tcPr>
          <w:p>
            <w:pPr>
              <w:pStyle w:val="TableParagraph"/>
              <w:spacing w:line="180" w:lineRule="exact"/>
              <w:ind w:left="38" w:right="0"/>
              <w:jc w:val="center"/>
              <w:rPr>
                <w:rFonts w:ascii="宋体" w:hAnsi="宋体" w:cs="宋体" w:eastAsia="宋体" w:hint="default"/>
                <w:sz w:val="16"/>
                <w:szCs w:val="16"/>
              </w:rPr>
            </w:pPr>
            <w:r>
              <w:rPr>
                <w:rFonts w:ascii="宋体" w:hAnsi="宋体" w:cs="宋体" w:eastAsia="宋体" w:hint="default"/>
                <w:w w:val="99"/>
                <w:sz w:val="16"/>
                <w:szCs w:val="16"/>
              </w:rPr>
              <w:t>务</w:t>
            </w:r>
            <w:r>
              <w:rPr>
                <w:rFonts w:ascii="宋体" w:hAnsi="宋体" w:cs="宋体" w:eastAsia="宋体" w:hint="default"/>
                <w:sz w:val="16"/>
                <w:szCs w:val="16"/>
              </w:rPr>
            </w:r>
          </w:p>
        </w:tc>
        <w:tc>
          <w:tcPr>
            <w:tcW w:w="832" w:type="dxa"/>
            <w:tcBorders>
              <w:top w:val="nil" w:sz="6" w:space="0" w:color="auto"/>
              <w:left w:val="nil" w:sz="6" w:space="0" w:color="auto"/>
              <w:bottom w:val="nil" w:sz="6" w:space="0" w:color="auto"/>
              <w:right w:val="nil" w:sz="6" w:space="0" w:color="auto"/>
            </w:tcBorders>
          </w:tcPr>
          <w:p>
            <w:pPr>
              <w:pStyle w:val="TableParagraph"/>
              <w:spacing w:line="180" w:lineRule="exact"/>
              <w:ind w:right="38"/>
              <w:jc w:val="center"/>
              <w:rPr>
                <w:rFonts w:ascii="宋体" w:hAnsi="宋体" w:cs="宋体" w:eastAsia="宋体" w:hint="default"/>
                <w:sz w:val="16"/>
                <w:szCs w:val="16"/>
              </w:rPr>
            </w:pPr>
            <w:r>
              <w:rPr>
                <w:rFonts w:ascii="宋体" w:hAnsi="宋体" w:cs="宋体" w:eastAsia="宋体" w:hint="default"/>
                <w:sz w:val="16"/>
                <w:szCs w:val="16"/>
              </w:rPr>
              <w:t>公司</w:t>
            </w:r>
          </w:p>
        </w:tc>
        <w:tc>
          <w:tcPr>
            <w:tcW w:w="687" w:type="dxa"/>
            <w:tcBorders>
              <w:top w:val="nil" w:sz="6" w:space="0" w:color="auto"/>
              <w:left w:val="nil" w:sz="6" w:space="0" w:color="auto"/>
              <w:bottom w:val="nil" w:sz="6" w:space="0" w:color="auto"/>
              <w:right w:val="nil" w:sz="6" w:space="0" w:color="auto"/>
            </w:tcBorders>
          </w:tcPr>
          <w:p>
            <w:pPr>
              <w:pStyle w:val="TableParagraph"/>
              <w:spacing w:line="180" w:lineRule="exact"/>
              <w:ind w:left="165" w:right="0"/>
              <w:jc w:val="left"/>
              <w:rPr>
                <w:rFonts w:ascii="宋体" w:hAnsi="宋体" w:cs="宋体" w:eastAsia="宋体" w:hint="default"/>
                <w:sz w:val="16"/>
                <w:szCs w:val="16"/>
              </w:rPr>
            </w:pPr>
            <w:r>
              <w:rPr>
                <w:rFonts w:ascii="宋体" w:hAnsi="宋体" w:cs="宋体" w:eastAsia="宋体" w:hint="default"/>
                <w:sz w:val="16"/>
                <w:szCs w:val="16"/>
              </w:rPr>
              <w:t>左风</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3" w:right="0"/>
              <w:jc w:val="left"/>
              <w:rPr>
                <w:rFonts w:ascii="Arial" w:hAnsi="Arial" w:cs="Arial" w:eastAsia="Arial" w:hint="default"/>
                <w:sz w:val="16"/>
                <w:szCs w:val="16"/>
              </w:rPr>
            </w:pPr>
            <w:r>
              <w:rPr>
                <w:rFonts w:ascii="Arial"/>
                <w:sz w:val="16"/>
              </w:rPr>
              <w:t>788601580</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69"/>
              <w:jc w:val="right"/>
              <w:rPr>
                <w:rFonts w:ascii="Arial" w:hAnsi="Arial" w:cs="Arial" w:eastAsia="Arial" w:hint="default"/>
                <w:sz w:val="16"/>
                <w:szCs w:val="16"/>
              </w:rPr>
            </w:pPr>
            <w:r>
              <w:rPr>
                <w:rFonts w:ascii="Arial"/>
                <w:w w:val="95"/>
                <w:sz w:val="16"/>
              </w:rPr>
              <w:t>30,000</w:t>
            </w:r>
            <w:r>
              <w:rPr>
                <w:rFonts w:ascii="Arial"/>
                <w:sz w:val="16"/>
              </w:rPr>
            </w:r>
          </w:p>
        </w:tc>
        <w:tc>
          <w:tcPr>
            <w:tcW w:w="1063" w:type="dxa"/>
            <w:tcBorders>
              <w:top w:val="nil" w:sz="6" w:space="0" w:color="auto"/>
              <w:left w:val="nil" w:sz="6" w:space="0" w:color="auto"/>
              <w:bottom w:val="nil" w:sz="6" w:space="0" w:color="auto"/>
              <w:right w:val="nil" w:sz="6" w:space="0" w:color="auto"/>
            </w:tcBorders>
          </w:tcPr>
          <w:p>
            <w:pPr>
              <w:pStyle w:val="TableParagraph"/>
              <w:spacing w:line="180" w:lineRule="exact"/>
              <w:ind w:left="76" w:right="0"/>
              <w:jc w:val="center"/>
              <w:rPr>
                <w:rFonts w:ascii="宋体" w:hAnsi="宋体" w:cs="宋体" w:eastAsia="宋体" w:hint="default"/>
                <w:sz w:val="16"/>
                <w:szCs w:val="16"/>
              </w:rPr>
            </w:pPr>
            <w:r>
              <w:rPr>
                <w:rFonts w:ascii="宋体" w:hAnsi="宋体" w:cs="宋体" w:eastAsia="宋体" w:hint="default"/>
                <w:w w:val="99"/>
                <w:sz w:val="16"/>
                <w:szCs w:val="16"/>
              </w:rPr>
              <w:t>无</w:t>
            </w:r>
            <w:r>
              <w:rPr>
                <w:rFonts w:ascii="宋体" w:hAnsi="宋体" w:cs="宋体" w:eastAsia="宋体" w:hint="default"/>
                <w:sz w:val="16"/>
                <w:szCs w:val="16"/>
              </w:rPr>
            </w:r>
          </w:p>
        </w:tc>
        <w:tc>
          <w:tcPr>
            <w:tcW w:w="54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5" w:right="0"/>
              <w:jc w:val="center"/>
              <w:rPr>
                <w:rFonts w:ascii="Arial" w:hAnsi="Arial" w:cs="Arial" w:eastAsia="Arial" w:hint="default"/>
                <w:sz w:val="16"/>
                <w:szCs w:val="16"/>
              </w:rPr>
            </w:pPr>
            <w:r>
              <w:rPr>
                <w:rFonts w:ascii="Arial"/>
                <w:sz w:val="16"/>
              </w:rPr>
              <w:t>33.88</w:t>
            </w:r>
          </w:p>
        </w:tc>
        <w:tc>
          <w:tcPr>
            <w:tcW w:w="57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50"/>
              <w:jc w:val="right"/>
              <w:rPr>
                <w:rFonts w:ascii="Arial" w:hAnsi="Arial" w:cs="Arial" w:eastAsia="Arial" w:hint="default"/>
                <w:sz w:val="16"/>
                <w:szCs w:val="16"/>
              </w:rPr>
            </w:pPr>
            <w:r>
              <w:rPr>
                <w:rFonts w:ascii="Arial"/>
                <w:w w:val="95"/>
                <w:sz w:val="16"/>
              </w:rPr>
              <w:t>58.30</w:t>
            </w:r>
            <w:r>
              <w:rPr>
                <w:rFonts w:ascii="Arial"/>
                <w:sz w:val="16"/>
              </w:rPr>
            </w:r>
          </w:p>
        </w:tc>
        <w:tc>
          <w:tcPr>
            <w:tcW w:w="452" w:type="dxa"/>
            <w:tcBorders>
              <w:top w:val="nil" w:sz="6" w:space="0" w:color="auto"/>
              <w:left w:val="nil" w:sz="6" w:space="0" w:color="auto"/>
              <w:bottom w:val="nil" w:sz="6" w:space="0" w:color="auto"/>
              <w:right w:val="nil" w:sz="6" w:space="0" w:color="auto"/>
            </w:tcBorders>
          </w:tcPr>
          <w:p>
            <w:pPr>
              <w:pStyle w:val="TableParagraph"/>
              <w:spacing w:line="180" w:lineRule="exact"/>
              <w:ind w:right="29"/>
              <w:jc w:val="center"/>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c>
        <w:tc>
          <w:tcPr>
            <w:tcW w:w="2056" w:type="dxa"/>
            <w:gridSpan w:val="3"/>
            <w:tcBorders>
              <w:top w:val="nil" w:sz="6" w:space="0" w:color="auto"/>
              <w:left w:val="nil" w:sz="6" w:space="0" w:color="auto"/>
              <w:bottom w:val="nil" w:sz="6" w:space="0" w:color="auto"/>
              <w:right w:val="nil" w:sz="6" w:space="0" w:color="auto"/>
            </w:tcBorders>
          </w:tcPr>
          <w:p>
            <w:pPr>
              <w:pStyle w:val="TableParagraph"/>
              <w:tabs>
                <w:tab w:pos="1068" w:val="left" w:leader="none"/>
                <w:tab w:pos="1700" w:val="left" w:leader="none"/>
              </w:tabs>
              <w:spacing w:line="240" w:lineRule="auto" w:before="18"/>
              <w:ind w:left="328" w:right="0"/>
              <w:jc w:val="left"/>
              <w:rPr>
                <w:rFonts w:ascii="Arial" w:hAnsi="Arial" w:cs="Arial" w:eastAsia="Arial" w:hint="default"/>
                <w:sz w:val="16"/>
                <w:szCs w:val="16"/>
              </w:rPr>
            </w:pPr>
            <w:r>
              <w:rPr>
                <w:rFonts w:ascii="Arial"/>
                <w:w w:val="95"/>
                <w:sz w:val="16"/>
              </w:rPr>
              <w:t>-</w:t>
              <w:tab/>
              <w:t>-</w:t>
              <w:tab/>
            </w:r>
            <w:r>
              <w:rPr>
                <w:rFonts w:ascii="Arial"/>
                <w:sz w:val="16"/>
              </w:rPr>
              <w:t>-</w:t>
            </w:r>
          </w:p>
        </w:tc>
      </w:tr>
      <w:tr>
        <w:trPr>
          <w:trHeight w:val="290"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548" w:right="0"/>
              <w:jc w:val="left"/>
              <w:rPr>
                <w:rFonts w:ascii="宋体" w:hAnsi="宋体" w:cs="宋体" w:eastAsia="宋体" w:hint="default"/>
                <w:sz w:val="16"/>
                <w:szCs w:val="16"/>
              </w:rPr>
            </w:pPr>
            <w:r>
              <w:rPr>
                <w:rFonts w:ascii="宋体" w:hAnsi="宋体" w:cs="宋体" w:eastAsia="宋体" w:hint="default"/>
                <w:sz w:val="16"/>
                <w:szCs w:val="16"/>
              </w:rPr>
              <w:t>北京电信规划设计院</w:t>
            </w:r>
          </w:p>
        </w:tc>
        <w:tc>
          <w:tcPr>
            <w:tcW w:w="374" w:type="dxa"/>
            <w:tcBorders>
              <w:top w:val="nil" w:sz="6" w:space="0" w:color="auto"/>
              <w:left w:val="nil" w:sz="6" w:space="0" w:color="auto"/>
              <w:bottom w:val="nil" w:sz="6" w:space="0" w:color="auto"/>
              <w:right w:val="nil" w:sz="6" w:space="0" w:color="auto"/>
            </w:tcBorders>
          </w:tcPr>
          <w:p>
            <w:pPr/>
          </w:p>
        </w:tc>
        <w:tc>
          <w:tcPr>
            <w:tcW w:w="567" w:type="dxa"/>
            <w:tcBorders>
              <w:top w:val="nil" w:sz="6" w:space="0" w:color="auto"/>
              <w:left w:val="nil" w:sz="6" w:space="0" w:color="auto"/>
              <w:bottom w:val="nil" w:sz="6" w:space="0" w:color="auto"/>
              <w:right w:val="nil" w:sz="6" w:space="0" w:color="auto"/>
            </w:tcBorders>
          </w:tcPr>
          <w:p>
            <w:pP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5"/>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714"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7"/>
              <w:jc w:val="center"/>
              <w:rPr>
                <w:rFonts w:ascii="宋体" w:hAnsi="宋体" w:cs="宋体" w:eastAsia="宋体" w:hint="default"/>
                <w:sz w:val="16"/>
                <w:szCs w:val="16"/>
              </w:rPr>
            </w:pPr>
            <w:r>
              <w:rPr>
                <w:rFonts w:ascii="宋体" w:hAnsi="宋体" w:cs="宋体" w:eastAsia="宋体" w:hint="default"/>
                <w:sz w:val="16"/>
                <w:szCs w:val="16"/>
              </w:rPr>
              <w:t>勘察设</w:t>
            </w:r>
          </w:p>
        </w:tc>
        <w:tc>
          <w:tcPr>
            <w:tcW w:w="1087"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8" w:right="0"/>
              <w:jc w:val="center"/>
              <w:rPr>
                <w:rFonts w:ascii="宋体" w:hAnsi="宋体" w:cs="宋体" w:eastAsia="宋体" w:hint="default"/>
                <w:sz w:val="16"/>
                <w:szCs w:val="16"/>
              </w:rPr>
            </w:pPr>
            <w:r>
              <w:rPr>
                <w:rFonts w:ascii="宋体" w:hAnsi="宋体" w:cs="宋体" w:eastAsia="宋体" w:hint="default"/>
                <w:sz w:val="16"/>
                <w:szCs w:val="16"/>
              </w:rPr>
              <w:t>勘察设计</w:t>
            </w:r>
          </w:p>
        </w:tc>
        <w:tc>
          <w:tcPr>
            <w:tcW w:w="832" w:type="dxa"/>
            <w:tcBorders>
              <w:top w:val="nil" w:sz="6" w:space="0" w:color="auto"/>
              <w:left w:val="nil" w:sz="6" w:space="0" w:color="auto"/>
              <w:bottom w:val="nil" w:sz="6" w:space="0" w:color="auto"/>
              <w:right w:val="nil" w:sz="6" w:space="0" w:color="auto"/>
            </w:tcBorders>
          </w:tcPr>
          <w:p>
            <w:pPr/>
          </w:p>
        </w:tc>
        <w:tc>
          <w:tcPr>
            <w:tcW w:w="687"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2056" w:type="dxa"/>
            <w:gridSpan w:val="3"/>
            <w:tcBorders>
              <w:top w:val="nil" w:sz="6" w:space="0" w:color="auto"/>
              <w:left w:val="nil" w:sz="6" w:space="0" w:color="auto"/>
              <w:bottom w:val="nil" w:sz="6" w:space="0" w:color="auto"/>
              <w:right w:val="nil" w:sz="6" w:space="0" w:color="auto"/>
            </w:tcBorders>
          </w:tcPr>
          <w:p>
            <w:pPr/>
          </w:p>
        </w:tc>
      </w:tr>
      <w:tr>
        <w:trPr>
          <w:trHeight w:val="211"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183" w:lineRule="exact"/>
              <w:ind w:right="51"/>
              <w:jc w:val="center"/>
              <w:rPr>
                <w:rFonts w:ascii="宋体" w:hAnsi="宋体" w:cs="宋体" w:eastAsia="宋体" w:hint="default"/>
                <w:sz w:val="16"/>
                <w:szCs w:val="16"/>
              </w:rPr>
            </w:pPr>
            <w:r>
              <w:rPr>
                <w:rFonts w:ascii="宋体" w:hAnsi="宋体" w:cs="宋体" w:eastAsia="宋体" w:hint="default"/>
                <w:sz w:val="16"/>
                <w:szCs w:val="16"/>
              </w:rPr>
              <w:t>有限公司</w:t>
            </w:r>
          </w:p>
        </w:tc>
        <w:tc>
          <w:tcPr>
            <w:tcW w:w="374" w:type="dxa"/>
            <w:tcBorders>
              <w:top w:val="nil" w:sz="6" w:space="0" w:color="auto"/>
              <w:left w:val="nil" w:sz="6" w:space="0" w:color="auto"/>
              <w:bottom w:val="nil" w:sz="6" w:space="0" w:color="auto"/>
              <w:right w:val="nil" w:sz="6" w:space="0" w:color="auto"/>
            </w:tcBorders>
          </w:tcPr>
          <w:p>
            <w:pPr/>
          </w:p>
        </w:tc>
        <w:tc>
          <w:tcPr>
            <w:tcW w:w="567" w:type="dxa"/>
            <w:tcBorders>
              <w:top w:val="nil" w:sz="6" w:space="0" w:color="auto"/>
              <w:left w:val="nil" w:sz="6" w:space="0" w:color="auto"/>
              <w:bottom w:val="nil" w:sz="6" w:space="0" w:color="auto"/>
              <w:right w:val="nil" w:sz="6" w:space="0" w:color="auto"/>
            </w:tcBorders>
          </w:tcPr>
          <w:p>
            <w:pPr>
              <w:pStyle w:val="TableParagraph"/>
              <w:spacing w:line="184" w:lineRule="exact"/>
              <w:ind w:left="141" w:right="0"/>
              <w:jc w:val="left"/>
              <w:rPr>
                <w:rFonts w:ascii="宋体" w:hAnsi="宋体" w:cs="宋体" w:eastAsia="宋体" w:hint="default"/>
                <w:sz w:val="16"/>
                <w:szCs w:val="16"/>
              </w:rPr>
            </w:pPr>
            <w:r>
              <w:rPr>
                <w:rFonts w:ascii="宋体" w:hAnsi="宋体" w:cs="宋体" w:eastAsia="宋体" w:hint="default"/>
                <w:sz w:val="16"/>
                <w:szCs w:val="16"/>
              </w:rPr>
              <w:t>间接</w:t>
            </w:r>
          </w:p>
        </w:tc>
        <w:tc>
          <w:tcPr>
            <w:tcW w:w="1177" w:type="dxa"/>
            <w:tcBorders>
              <w:top w:val="nil" w:sz="6" w:space="0" w:color="auto"/>
              <w:left w:val="nil" w:sz="6" w:space="0" w:color="auto"/>
              <w:bottom w:val="nil" w:sz="6" w:space="0" w:color="auto"/>
              <w:right w:val="nil" w:sz="6" w:space="0" w:color="auto"/>
            </w:tcBorders>
          </w:tcPr>
          <w:p>
            <w:pPr>
              <w:pStyle w:val="TableParagraph"/>
              <w:spacing w:line="195" w:lineRule="exact"/>
              <w:ind w:right="6"/>
              <w:jc w:val="center"/>
              <w:rPr>
                <w:rFonts w:ascii="宋体" w:hAnsi="宋体" w:cs="宋体" w:eastAsia="宋体" w:hint="default"/>
                <w:sz w:val="16"/>
                <w:szCs w:val="16"/>
              </w:rPr>
            </w:pPr>
            <w:r>
              <w:rPr>
                <w:rFonts w:ascii="Arial" w:hAnsi="Arial" w:cs="Arial" w:eastAsia="Arial" w:hint="default"/>
                <w:sz w:val="16"/>
                <w:szCs w:val="16"/>
              </w:rPr>
              <w:t>2007</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714" w:type="dxa"/>
            <w:tcBorders>
              <w:top w:val="nil" w:sz="6" w:space="0" w:color="auto"/>
              <w:left w:val="nil" w:sz="6" w:space="0" w:color="auto"/>
              <w:bottom w:val="nil" w:sz="6" w:space="0" w:color="auto"/>
              <w:right w:val="nil" w:sz="6" w:space="0" w:color="auto"/>
            </w:tcBorders>
          </w:tcPr>
          <w:p>
            <w:pPr>
              <w:pStyle w:val="TableParagraph"/>
              <w:spacing w:line="184" w:lineRule="exact"/>
              <w:ind w:right="7"/>
              <w:jc w:val="center"/>
              <w:rPr>
                <w:rFonts w:ascii="宋体" w:hAnsi="宋体" w:cs="宋体" w:eastAsia="宋体" w:hint="default"/>
                <w:sz w:val="16"/>
                <w:szCs w:val="16"/>
              </w:rPr>
            </w:pPr>
            <w:r>
              <w:rPr>
                <w:rFonts w:ascii="宋体" w:hAnsi="宋体" w:cs="宋体" w:eastAsia="宋体" w:hint="default"/>
                <w:sz w:val="16"/>
                <w:szCs w:val="16"/>
              </w:rPr>
              <w:t>计及咨</w:t>
            </w:r>
          </w:p>
        </w:tc>
        <w:tc>
          <w:tcPr>
            <w:tcW w:w="1087"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Style w:val="TableParagraph"/>
              <w:spacing w:line="184" w:lineRule="exact"/>
              <w:ind w:left="38" w:right="0"/>
              <w:jc w:val="center"/>
              <w:rPr>
                <w:rFonts w:ascii="宋体" w:hAnsi="宋体" w:cs="宋体" w:eastAsia="宋体" w:hint="default"/>
                <w:sz w:val="16"/>
                <w:szCs w:val="16"/>
              </w:rPr>
            </w:pPr>
            <w:r>
              <w:rPr>
                <w:rFonts w:ascii="宋体" w:hAnsi="宋体" w:cs="宋体" w:eastAsia="宋体" w:hint="default"/>
                <w:sz w:val="16"/>
                <w:szCs w:val="16"/>
              </w:rPr>
              <w:t>及咨询服</w:t>
            </w:r>
          </w:p>
        </w:tc>
        <w:tc>
          <w:tcPr>
            <w:tcW w:w="832" w:type="dxa"/>
            <w:tcBorders>
              <w:top w:val="nil" w:sz="6" w:space="0" w:color="auto"/>
              <w:left w:val="nil" w:sz="6" w:space="0" w:color="auto"/>
              <w:bottom w:val="nil" w:sz="6" w:space="0" w:color="auto"/>
              <w:right w:val="nil" w:sz="6" w:space="0" w:color="auto"/>
            </w:tcBorders>
          </w:tcPr>
          <w:p>
            <w:pPr>
              <w:pStyle w:val="TableParagraph"/>
              <w:spacing w:line="184" w:lineRule="exact"/>
              <w:ind w:right="36"/>
              <w:jc w:val="center"/>
              <w:rPr>
                <w:rFonts w:ascii="宋体" w:hAnsi="宋体" w:cs="宋体" w:eastAsia="宋体" w:hint="default"/>
                <w:sz w:val="16"/>
                <w:szCs w:val="16"/>
              </w:rPr>
            </w:pPr>
            <w:r>
              <w:rPr>
                <w:rFonts w:ascii="宋体" w:hAnsi="宋体" w:cs="宋体" w:eastAsia="宋体" w:hint="default"/>
                <w:sz w:val="16"/>
                <w:szCs w:val="16"/>
              </w:rPr>
              <w:t>有限责任</w:t>
            </w:r>
          </w:p>
        </w:tc>
        <w:tc>
          <w:tcPr>
            <w:tcW w:w="687"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2056" w:type="dxa"/>
            <w:gridSpan w:val="3"/>
            <w:tcBorders>
              <w:top w:val="nil" w:sz="6" w:space="0" w:color="auto"/>
              <w:left w:val="nil" w:sz="6" w:space="0" w:color="auto"/>
              <w:bottom w:val="nil" w:sz="6" w:space="0" w:color="auto"/>
              <w:right w:val="nil" w:sz="6" w:space="0" w:color="auto"/>
            </w:tcBorders>
          </w:tcPr>
          <w:p>
            <w:pPr/>
          </w:p>
        </w:tc>
      </w:tr>
      <w:tr>
        <w:trPr>
          <w:trHeight w:val="305"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180" w:lineRule="exact"/>
              <w:ind w:left="548" w:right="0"/>
              <w:jc w:val="left"/>
              <w:rPr>
                <w:rFonts w:ascii="宋体" w:hAnsi="宋体" w:cs="宋体" w:eastAsia="宋体" w:hint="default"/>
                <w:sz w:val="16"/>
                <w:szCs w:val="16"/>
              </w:rPr>
            </w:pPr>
            <w:r>
              <w:rPr>
                <w:rFonts w:ascii="宋体" w:hAnsi="宋体" w:cs="宋体" w:eastAsia="宋体" w:hint="default"/>
                <w:sz w:val="16"/>
                <w:szCs w:val="16"/>
              </w:rPr>
              <w:t>（“规划设计院”）</w:t>
            </w:r>
          </w:p>
        </w:tc>
        <w:tc>
          <w:tcPr>
            <w:tcW w:w="37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7" w:right="0"/>
              <w:jc w:val="left"/>
              <w:rPr>
                <w:rFonts w:ascii="Arial" w:hAnsi="Arial" w:cs="Arial" w:eastAsia="Arial" w:hint="default"/>
                <w:sz w:val="16"/>
                <w:szCs w:val="16"/>
              </w:rPr>
            </w:pPr>
            <w:r>
              <w:rPr>
                <w:rFonts w:ascii="Arial"/>
                <w:sz w:val="16"/>
              </w:rPr>
              <w:t>(3)</w:t>
            </w:r>
          </w:p>
        </w:tc>
        <w:tc>
          <w:tcPr>
            <w:tcW w:w="567" w:type="dxa"/>
            <w:tcBorders>
              <w:top w:val="nil" w:sz="6" w:space="0" w:color="auto"/>
              <w:left w:val="nil" w:sz="6" w:space="0" w:color="auto"/>
              <w:bottom w:val="nil" w:sz="6" w:space="0" w:color="auto"/>
              <w:right w:val="nil" w:sz="6" w:space="0" w:color="auto"/>
            </w:tcBorders>
          </w:tcPr>
          <w:p>
            <w:pPr>
              <w:pStyle w:val="TableParagraph"/>
              <w:spacing w:line="180" w:lineRule="exact"/>
              <w:ind w:left="141" w:right="0"/>
              <w:jc w:val="left"/>
              <w:rPr>
                <w:rFonts w:ascii="宋体" w:hAnsi="宋体" w:cs="宋体" w:eastAsia="宋体" w:hint="default"/>
                <w:sz w:val="16"/>
                <w:szCs w:val="16"/>
              </w:rPr>
            </w:pPr>
            <w:r>
              <w:rPr>
                <w:rFonts w:ascii="宋体" w:hAnsi="宋体" w:cs="宋体" w:eastAsia="宋体" w:hint="default"/>
                <w:sz w:val="16"/>
                <w:szCs w:val="16"/>
              </w:rPr>
              <w:t>控股</w:t>
            </w:r>
          </w:p>
        </w:tc>
        <w:tc>
          <w:tcPr>
            <w:tcW w:w="1177" w:type="dxa"/>
            <w:tcBorders>
              <w:top w:val="nil" w:sz="6" w:space="0" w:color="auto"/>
              <w:left w:val="nil" w:sz="6" w:space="0" w:color="auto"/>
              <w:bottom w:val="nil" w:sz="6" w:space="0" w:color="auto"/>
              <w:right w:val="nil" w:sz="6" w:space="0" w:color="auto"/>
            </w:tcBorders>
          </w:tcPr>
          <w:p>
            <w:pPr>
              <w:pStyle w:val="TableParagraph"/>
              <w:spacing w:line="191" w:lineRule="exact"/>
              <w:ind w:right="6"/>
              <w:jc w:val="center"/>
              <w:rPr>
                <w:rFonts w:ascii="宋体" w:hAnsi="宋体" w:cs="宋体" w:eastAsia="宋体" w:hint="default"/>
                <w:sz w:val="16"/>
                <w:szCs w:val="16"/>
              </w:rPr>
            </w:pPr>
            <w:r>
              <w:rPr>
                <w:rFonts w:ascii="Arial" w:hAnsi="Arial" w:cs="Arial" w:eastAsia="Arial" w:hint="default"/>
                <w:sz w:val="16"/>
                <w:szCs w:val="16"/>
              </w:rPr>
              <w:t>6</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1"/>
                <w:sz w:val="16"/>
                <w:szCs w:val="16"/>
              </w:rPr>
              <w:t> </w:t>
            </w:r>
            <w:r>
              <w:rPr>
                <w:rFonts w:ascii="Arial" w:hAnsi="Arial" w:cs="Arial" w:eastAsia="Arial" w:hint="default"/>
                <w:sz w:val="16"/>
                <w:szCs w:val="16"/>
              </w:rPr>
              <w:t>1</w:t>
            </w:r>
            <w:r>
              <w:rPr>
                <w:rFonts w:ascii="Arial" w:hAnsi="Arial" w:cs="Arial" w:eastAsia="Arial" w:hint="default"/>
                <w:spacing w:val="-6"/>
                <w:sz w:val="16"/>
                <w:szCs w:val="16"/>
              </w:rPr>
              <w:t> </w:t>
            </w:r>
            <w:r>
              <w:rPr>
                <w:rFonts w:ascii="宋体" w:hAnsi="宋体" w:cs="宋体" w:eastAsia="宋体" w:hint="default"/>
                <w:sz w:val="16"/>
                <w:szCs w:val="16"/>
              </w:rPr>
              <w:t>日</w:t>
            </w:r>
          </w:p>
        </w:tc>
        <w:tc>
          <w:tcPr>
            <w:tcW w:w="714" w:type="dxa"/>
            <w:tcBorders>
              <w:top w:val="nil" w:sz="6" w:space="0" w:color="auto"/>
              <w:left w:val="nil" w:sz="6" w:space="0" w:color="auto"/>
              <w:bottom w:val="nil" w:sz="6" w:space="0" w:color="auto"/>
              <w:right w:val="nil" w:sz="6" w:space="0" w:color="auto"/>
            </w:tcBorders>
          </w:tcPr>
          <w:p>
            <w:pPr>
              <w:pStyle w:val="TableParagraph"/>
              <w:spacing w:line="180" w:lineRule="exact"/>
              <w:ind w:right="4"/>
              <w:jc w:val="center"/>
              <w:rPr>
                <w:rFonts w:ascii="宋体" w:hAnsi="宋体" w:cs="宋体" w:eastAsia="宋体" w:hint="default"/>
                <w:sz w:val="16"/>
                <w:szCs w:val="16"/>
              </w:rPr>
            </w:pPr>
            <w:r>
              <w:rPr>
                <w:rFonts w:ascii="宋体" w:hAnsi="宋体" w:cs="宋体" w:eastAsia="宋体" w:hint="default"/>
                <w:sz w:val="16"/>
                <w:szCs w:val="16"/>
              </w:rPr>
              <w:t>询服务</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14"/>
              <w:jc w:val="right"/>
              <w:rPr>
                <w:rFonts w:ascii="Arial" w:hAnsi="Arial" w:cs="Arial" w:eastAsia="Arial" w:hint="default"/>
                <w:sz w:val="16"/>
                <w:szCs w:val="16"/>
              </w:rPr>
            </w:pPr>
            <w:r>
              <w:rPr>
                <w:rFonts w:ascii="Arial"/>
                <w:w w:val="95"/>
                <w:sz w:val="16"/>
              </w:rPr>
              <w:t>264,227</w:t>
            </w:r>
            <w:r>
              <w:rPr>
                <w:rFonts w:ascii="Arial"/>
                <w:sz w:val="16"/>
              </w:rPr>
            </w:r>
          </w:p>
        </w:tc>
        <w:tc>
          <w:tcPr>
            <w:tcW w:w="834" w:type="dxa"/>
            <w:tcBorders>
              <w:top w:val="nil" w:sz="6" w:space="0" w:color="auto"/>
              <w:left w:val="nil" w:sz="6" w:space="0" w:color="auto"/>
              <w:bottom w:val="nil" w:sz="6" w:space="0" w:color="auto"/>
              <w:right w:val="nil" w:sz="6" w:space="0" w:color="auto"/>
            </w:tcBorders>
          </w:tcPr>
          <w:p>
            <w:pPr>
              <w:pStyle w:val="TableParagraph"/>
              <w:spacing w:line="180" w:lineRule="exact"/>
              <w:ind w:left="40" w:right="0"/>
              <w:jc w:val="center"/>
              <w:rPr>
                <w:rFonts w:ascii="宋体" w:hAnsi="宋体" w:cs="宋体" w:eastAsia="宋体" w:hint="default"/>
                <w:sz w:val="16"/>
                <w:szCs w:val="16"/>
              </w:rPr>
            </w:pPr>
            <w:r>
              <w:rPr>
                <w:rFonts w:ascii="宋体" w:hAnsi="宋体" w:cs="宋体" w:eastAsia="宋体" w:hint="default"/>
                <w:w w:val="99"/>
                <w:sz w:val="16"/>
                <w:szCs w:val="16"/>
              </w:rPr>
              <w:t>务</w:t>
            </w:r>
            <w:r>
              <w:rPr>
                <w:rFonts w:ascii="宋体" w:hAnsi="宋体" w:cs="宋体" w:eastAsia="宋体" w:hint="default"/>
                <w:sz w:val="16"/>
                <w:szCs w:val="16"/>
              </w:rPr>
            </w:r>
          </w:p>
        </w:tc>
        <w:tc>
          <w:tcPr>
            <w:tcW w:w="832" w:type="dxa"/>
            <w:tcBorders>
              <w:top w:val="nil" w:sz="6" w:space="0" w:color="auto"/>
              <w:left w:val="nil" w:sz="6" w:space="0" w:color="auto"/>
              <w:bottom w:val="nil" w:sz="6" w:space="0" w:color="auto"/>
              <w:right w:val="nil" w:sz="6" w:space="0" w:color="auto"/>
            </w:tcBorders>
          </w:tcPr>
          <w:p>
            <w:pPr>
              <w:pStyle w:val="TableParagraph"/>
              <w:spacing w:line="180" w:lineRule="exact"/>
              <w:ind w:right="36"/>
              <w:jc w:val="center"/>
              <w:rPr>
                <w:rFonts w:ascii="宋体" w:hAnsi="宋体" w:cs="宋体" w:eastAsia="宋体" w:hint="default"/>
                <w:sz w:val="16"/>
                <w:szCs w:val="16"/>
              </w:rPr>
            </w:pPr>
            <w:r>
              <w:rPr>
                <w:rFonts w:ascii="宋体" w:hAnsi="宋体" w:cs="宋体" w:eastAsia="宋体" w:hint="default"/>
                <w:sz w:val="16"/>
                <w:szCs w:val="16"/>
              </w:rPr>
              <w:t>公司</w:t>
            </w:r>
          </w:p>
        </w:tc>
        <w:tc>
          <w:tcPr>
            <w:tcW w:w="687" w:type="dxa"/>
            <w:tcBorders>
              <w:top w:val="nil" w:sz="6" w:space="0" w:color="auto"/>
              <w:left w:val="nil" w:sz="6" w:space="0" w:color="auto"/>
              <w:bottom w:val="nil" w:sz="6" w:space="0" w:color="auto"/>
              <w:right w:val="nil" w:sz="6" w:space="0" w:color="auto"/>
            </w:tcBorders>
          </w:tcPr>
          <w:p>
            <w:pPr>
              <w:pStyle w:val="TableParagraph"/>
              <w:spacing w:line="180" w:lineRule="exact"/>
              <w:ind w:left="165" w:right="0"/>
              <w:jc w:val="left"/>
              <w:rPr>
                <w:rFonts w:ascii="宋体" w:hAnsi="宋体" w:cs="宋体" w:eastAsia="宋体" w:hint="default"/>
                <w:sz w:val="16"/>
                <w:szCs w:val="16"/>
              </w:rPr>
            </w:pPr>
            <w:r>
              <w:rPr>
                <w:rFonts w:ascii="宋体" w:hAnsi="宋体" w:cs="宋体" w:eastAsia="宋体" w:hint="default"/>
                <w:sz w:val="16"/>
                <w:szCs w:val="16"/>
              </w:rPr>
              <w:t>陈峰</w:t>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24" w:right="0"/>
              <w:jc w:val="left"/>
              <w:rPr>
                <w:rFonts w:ascii="Arial" w:hAnsi="Arial" w:cs="Arial" w:eastAsia="Arial" w:hint="default"/>
                <w:sz w:val="16"/>
                <w:szCs w:val="16"/>
              </w:rPr>
            </w:pPr>
            <w:r>
              <w:rPr>
                <w:rFonts w:ascii="Arial"/>
                <w:sz w:val="16"/>
              </w:rPr>
              <w:t>101940069</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68"/>
              <w:jc w:val="right"/>
              <w:rPr>
                <w:rFonts w:ascii="Arial" w:hAnsi="Arial" w:cs="Arial" w:eastAsia="Arial" w:hint="default"/>
                <w:sz w:val="16"/>
                <w:szCs w:val="16"/>
              </w:rPr>
            </w:pPr>
            <w:r>
              <w:rPr>
                <w:rFonts w:ascii="Arial"/>
                <w:w w:val="95"/>
                <w:sz w:val="16"/>
              </w:rPr>
              <w:t>264,227</w:t>
            </w:r>
            <w:r>
              <w:rPr>
                <w:rFonts w:ascii="Arial"/>
                <w:sz w:val="16"/>
              </w:rPr>
            </w:r>
          </w:p>
        </w:tc>
        <w:tc>
          <w:tcPr>
            <w:tcW w:w="1063" w:type="dxa"/>
            <w:tcBorders>
              <w:top w:val="nil" w:sz="6" w:space="0" w:color="auto"/>
              <w:left w:val="nil" w:sz="6" w:space="0" w:color="auto"/>
              <w:bottom w:val="nil" w:sz="6" w:space="0" w:color="auto"/>
              <w:right w:val="nil" w:sz="6" w:space="0" w:color="auto"/>
            </w:tcBorders>
          </w:tcPr>
          <w:p>
            <w:pPr>
              <w:pStyle w:val="TableParagraph"/>
              <w:spacing w:line="180" w:lineRule="exact"/>
              <w:ind w:left="78" w:right="0"/>
              <w:jc w:val="center"/>
              <w:rPr>
                <w:rFonts w:ascii="宋体" w:hAnsi="宋体" w:cs="宋体" w:eastAsia="宋体" w:hint="default"/>
                <w:sz w:val="16"/>
                <w:szCs w:val="16"/>
              </w:rPr>
            </w:pPr>
            <w:r>
              <w:rPr>
                <w:rFonts w:ascii="宋体" w:hAnsi="宋体" w:cs="宋体" w:eastAsia="宋体" w:hint="default"/>
                <w:w w:val="99"/>
                <w:sz w:val="16"/>
                <w:szCs w:val="16"/>
              </w:rPr>
              <w:t>无</w:t>
            </w:r>
            <w:r>
              <w:rPr>
                <w:rFonts w:ascii="宋体" w:hAnsi="宋体" w:cs="宋体" w:eastAsia="宋体" w:hint="default"/>
                <w:sz w:val="16"/>
                <w:szCs w:val="16"/>
              </w:rPr>
            </w:r>
          </w:p>
        </w:tc>
        <w:tc>
          <w:tcPr>
            <w:tcW w:w="54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7" w:right="0"/>
              <w:jc w:val="center"/>
              <w:rPr>
                <w:rFonts w:ascii="Arial" w:hAnsi="Arial" w:cs="Arial" w:eastAsia="Arial" w:hint="default"/>
                <w:sz w:val="16"/>
                <w:szCs w:val="16"/>
              </w:rPr>
            </w:pPr>
            <w:r>
              <w:rPr>
                <w:rFonts w:ascii="Arial"/>
                <w:sz w:val="16"/>
              </w:rPr>
              <w:t>33.88</w:t>
            </w:r>
          </w:p>
        </w:tc>
        <w:tc>
          <w:tcPr>
            <w:tcW w:w="57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8"/>
              <w:jc w:val="right"/>
              <w:rPr>
                <w:rFonts w:ascii="Arial" w:hAnsi="Arial" w:cs="Arial" w:eastAsia="Arial" w:hint="default"/>
                <w:sz w:val="16"/>
                <w:szCs w:val="16"/>
              </w:rPr>
            </w:pPr>
            <w:r>
              <w:rPr>
                <w:rFonts w:ascii="Arial"/>
                <w:w w:val="95"/>
                <w:sz w:val="16"/>
              </w:rPr>
              <w:t>58.30</w:t>
            </w:r>
            <w:r>
              <w:rPr>
                <w:rFonts w:ascii="Arial"/>
                <w:sz w:val="16"/>
              </w:rPr>
            </w:r>
          </w:p>
        </w:tc>
        <w:tc>
          <w:tcPr>
            <w:tcW w:w="452" w:type="dxa"/>
            <w:tcBorders>
              <w:top w:val="nil" w:sz="6" w:space="0" w:color="auto"/>
              <w:left w:val="nil" w:sz="6" w:space="0" w:color="auto"/>
              <w:bottom w:val="nil" w:sz="6" w:space="0" w:color="auto"/>
              <w:right w:val="nil" w:sz="6" w:space="0" w:color="auto"/>
            </w:tcBorders>
          </w:tcPr>
          <w:p>
            <w:pPr>
              <w:pStyle w:val="TableParagraph"/>
              <w:spacing w:line="180" w:lineRule="exact"/>
              <w:ind w:right="27"/>
              <w:jc w:val="center"/>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c>
        <w:tc>
          <w:tcPr>
            <w:tcW w:w="2056" w:type="dxa"/>
            <w:gridSpan w:val="3"/>
            <w:tcBorders>
              <w:top w:val="nil" w:sz="6" w:space="0" w:color="auto"/>
              <w:left w:val="nil" w:sz="6" w:space="0" w:color="auto"/>
              <w:bottom w:val="nil" w:sz="6" w:space="0" w:color="auto"/>
              <w:right w:val="nil" w:sz="6" w:space="0" w:color="auto"/>
            </w:tcBorders>
          </w:tcPr>
          <w:p>
            <w:pPr>
              <w:pStyle w:val="TableParagraph"/>
              <w:tabs>
                <w:tab w:pos="1069" w:val="left" w:leader="none"/>
                <w:tab w:pos="1701" w:val="left" w:leader="none"/>
              </w:tabs>
              <w:spacing w:line="240" w:lineRule="auto" w:before="18"/>
              <w:ind w:left="328" w:right="0"/>
              <w:jc w:val="left"/>
              <w:rPr>
                <w:rFonts w:ascii="Arial" w:hAnsi="Arial" w:cs="Arial" w:eastAsia="Arial" w:hint="default"/>
                <w:sz w:val="16"/>
                <w:szCs w:val="16"/>
              </w:rPr>
            </w:pPr>
            <w:r>
              <w:rPr>
                <w:rFonts w:ascii="Arial"/>
                <w:w w:val="95"/>
                <w:sz w:val="16"/>
              </w:rPr>
              <w:t>-</w:t>
              <w:tab/>
              <w:t>-</w:t>
              <w:tab/>
            </w:r>
            <w:r>
              <w:rPr>
                <w:rFonts w:ascii="Arial"/>
                <w:sz w:val="16"/>
              </w:rPr>
              <w:t>-</w:t>
            </w:r>
          </w:p>
        </w:tc>
      </w:tr>
      <w:tr>
        <w:trPr>
          <w:trHeight w:val="290"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549" w:right="0"/>
              <w:jc w:val="left"/>
              <w:rPr>
                <w:rFonts w:ascii="宋体" w:hAnsi="宋体" w:cs="宋体" w:eastAsia="宋体" w:hint="default"/>
                <w:sz w:val="16"/>
                <w:szCs w:val="16"/>
              </w:rPr>
            </w:pPr>
            <w:r>
              <w:rPr>
                <w:rFonts w:ascii="宋体" w:hAnsi="宋体" w:cs="宋体" w:eastAsia="宋体" w:hint="default"/>
                <w:sz w:val="16"/>
                <w:szCs w:val="16"/>
              </w:rPr>
              <w:t>中融信息服务有限</w:t>
            </w:r>
          </w:p>
        </w:tc>
        <w:tc>
          <w:tcPr>
            <w:tcW w:w="374" w:type="dxa"/>
            <w:tcBorders>
              <w:top w:val="nil" w:sz="6" w:space="0" w:color="auto"/>
              <w:left w:val="nil" w:sz="6" w:space="0" w:color="auto"/>
              <w:bottom w:val="nil" w:sz="6" w:space="0" w:color="auto"/>
              <w:right w:val="nil" w:sz="6" w:space="0" w:color="auto"/>
            </w:tcBorders>
          </w:tcPr>
          <w:p>
            <w:pPr/>
          </w:p>
        </w:tc>
        <w:tc>
          <w:tcPr>
            <w:tcW w:w="567" w:type="dxa"/>
            <w:tcBorders>
              <w:top w:val="nil" w:sz="6" w:space="0" w:color="auto"/>
              <w:left w:val="nil" w:sz="6" w:space="0" w:color="auto"/>
              <w:bottom w:val="nil" w:sz="6" w:space="0" w:color="auto"/>
              <w:right w:val="nil" w:sz="6" w:space="0" w:color="auto"/>
            </w:tcBorders>
          </w:tcPr>
          <w:p>
            <w:pP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4"/>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714"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832" w:type="dxa"/>
            <w:tcBorders>
              <w:top w:val="nil" w:sz="6" w:space="0" w:color="auto"/>
              <w:left w:val="nil" w:sz="6" w:space="0" w:color="auto"/>
              <w:bottom w:val="nil" w:sz="6" w:space="0" w:color="auto"/>
              <w:right w:val="nil" w:sz="6" w:space="0" w:color="auto"/>
            </w:tcBorders>
          </w:tcPr>
          <w:p>
            <w:pPr/>
          </w:p>
        </w:tc>
        <w:tc>
          <w:tcPr>
            <w:tcW w:w="687"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2056" w:type="dxa"/>
            <w:gridSpan w:val="3"/>
            <w:tcBorders>
              <w:top w:val="nil" w:sz="6" w:space="0" w:color="auto"/>
              <w:left w:val="nil" w:sz="6" w:space="0" w:color="auto"/>
              <w:bottom w:val="nil" w:sz="6" w:space="0" w:color="auto"/>
              <w:right w:val="nil" w:sz="6" w:space="0" w:color="auto"/>
            </w:tcBorders>
          </w:tcPr>
          <w:p>
            <w:pPr/>
          </w:p>
        </w:tc>
      </w:tr>
      <w:tr>
        <w:trPr>
          <w:trHeight w:val="211"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184" w:lineRule="exact"/>
              <w:ind w:right="370"/>
              <w:jc w:val="center"/>
              <w:rPr>
                <w:rFonts w:ascii="宋体" w:hAnsi="宋体" w:cs="宋体" w:eastAsia="宋体" w:hint="default"/>
                <w:sz w:val="16"/>
                <w:szCs w:val="16"/>
              </w:rPr>
            </w:pPr>
            <w:r>
              <w:rPr>
                <w:rFonts w:ascii="宋体" w:hAnsi="宋体" w:cs="宋体" w:eastAsia="宋体" w:hint="default"/>
                <w:sz w:val="16"/>
                <w:szCs w:val="16"/>
              </w:rPr>
              <w:t>公司</w:t>
            </w:r>
          </w:p>
        </w:tc>
        <w:tc>
          <w:tcPr>
            <w:tcW w:w="374" w:type="dxa"/>
            <w:tcBorders>
              <w:top w:val="nil" w:sz="6" w:space="0" w:color="auto"/>
              <w:left w:val="nil" w:sz="6" w:space="0" w:color="auto"/>
              <w:bottom w:val="nil" w:sz="6" w:space="0" w:color="auto"/>
              <w:right w:val="nil" w:sz="6" w:space="0" w:color="auto"/>
            </w:tcBorders>
          </w:tcPr>
          <w:p>
            <w:pPr/>
          </w:p>
        </w:tc>
        <w:tc>
          <w:tcPr>
            <w:tcW w:w="567" w:type="dxa"/>
            <w:tcBorders>
              <w:top w:val="nil" w:sz="6" w:space="0" w:color="auto"/>
              <w:left w:val="nil" w:sz="6" w:space="0" w:color="auto"/>
              <w:bottom w:val="nil" w:sz="6" w:space="0" w:color="auto"/>
              <w:right w:val="nil" w:sz="6" w:space="0" w:color="auto"/>
            </w:tcBorders>
          </w:tcPr>
          <w:p>
            <w:pPr>
              <w:pStyle w:val="TableParagraph"/>
              <w:spacing w:line="184" w:lineRule="exact"/>
              <w:ind w:left="142" w:right="0"/>
              <w:jc w:val="left"/>
              <w:rPr>
                <w:rFonts w:ascii="宋体" w:hAnsi="宋体" w:cs="宋体" w:eastAsia="宋体" w:hint="default"/>
                <w:sz w:val="16"/>
                <w:szCs w:val="16"/>
              </w:rPr>
            </w:pPr>
            <w:r>
              <w:rPr>
                <w:rFonts w:ascii="宋体" w:hAnsi="宋体" w:cs="宋体" w:eastAsia="宋体" w:hint="default"/>
                <w:sz w:val="16"/>
                <w:szCs w:val="16"/>
              </w:rPr>
              <w:t>间接</w:t>
            </w:r>
          </w:p>
        </w:tc>
        <w:tc>
          <w:tcPr>
            <w:tcW w:w="1177" w:type="dxa"/>
            <w:tcBorders>
              <w:top w:val="nil" w:sz="6" w:space="0" w:color="auto"/>
              <w:left w:val="nil" w:sz="6" w:space="0" w:color="auto"/>
              <w:bottom w:val="nil" w:sz="6" w:space="0" w:color="auto"/>
              <w:right w:val="nil" w:sz="6" w:space="0" w:color="auto"/>
            </w:tcBorders>
          </w:tcPr>
          <w:p>
            <w:pPr>
              <w:pStyle w:val="TableParagraph"/>
              <w:spacing w:line="195" w:lineRule="exact"/>
              <w:ind w:right="5"/>
              <w:jc w:val="center"/>
              <w:rPr>
                <w:rFonts w:ascii="宋体" w:hAnsi="宋体" w:cs="宋体" w:eastAsia="宋体" w:hint="default"/>
                <w:sz w:val="16"/>
                <w:szCs w:val="16"/>
              </w:rPr>
            </w:pPr>
            <w:r>
              <w:rPr>
                <w:rFonts w:ascii="Arial" w:hAnsi="Arial" w:cs="Arial" w:eastAsia="Arial" w:hint="default"/>
                <w:sz w:val="16"/>
                <w:szCs w:val="16"/>
              </w:rPr>
              <w:t>2008</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714" w:type="dxa"/>
            <w:tcBorders>
              <w:top w:val="nil" w:sz="6" w:space="0" w:color="auto"/>
              <w:left w:val="nil" w:sz="6" w:space="0" w:color="auto"/>
              <w:bottom w:val="nil" w:sz="6" w:space="0" w:color="auto"/>
              <w:right w:val="nil" w:sz="6" w:space="0" w:color="auto"/>
            </w:tcBorders>
          </w:tcPr>
          <w:p>
            <w:pPr>
              <w:pStyle w:val="TableParagraph"/>
              <w:spacing w:line="184" w:lineRule="exact"/>
              <w:ind w:right="5"/>
              <w:jc w:val="center"/>
              <w:rPr>
                <w:rFonts w:ascii="宋体" w:hAnsi="宋体" w:cs="宋体" w:eastAsia="宋体" w:hint="default"/>
                <w:sz w:val="16"/>
                <w:szCs w:val="16"/>
              </w:rPr>
            </w:pPr>
            <w:r>
              <w:rPr>
                <w:rFonts w:ascii="宋体" w:hAnsi="宋体" w:cs="宋体" w:eastAsia="宋体" w:hint="default"/>
                <w:sz w:val="16"/>
                <w:szCs w:val="16"/>
              </w:rPr>
              <w:t>信息</w:t>
            </w:r>
          </w:p>
        </w:tc>
        <w:tc>
          <w:tcPr>
            <w:tcW w:w="1087"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832" w:type="dxa"/>
            <w:tcBorders>
              <w:top w:val="nil" w:sz="6" w:space="0" w:color="auto"/>
              <w:left w:val="nil" w:sz="6" w:space="0" w:color="auto"/>
              <w:bottom w:val="nil" w:sz="6" w:space="0" w:color="auto"/>
              <w:right w:val="nil" w:sz="6" w:space="0" w:color="auto"/>
            </w:tcBorders>
          </w:tcPr>
          <w:p>
            <w:pPr>
              <w:pStyle w:val="TableParagraph"/>
              <w:spacing w:line="184" w:lineRule="exact"/>
              <w:ind w:right="35"/>
              <w:jc w:val="center"/>
              <w:rPr>
                <w:rFonts w:ascii="宋体" w:hAnsi="宋体" w:cs="宋体" w:eastAsia="宋体" w:hint="default"/>
                <w:sz w:val="16"/>
                <w:szCs w:val="16"/>
              </w:rPr>
            </w:pPr>
            <w:r>
              <w:rPr>
                <w:rFonts w:ascii="宋体" w:hAnsi="宋体" w:cs="宋体" w:eastAsia="宋体" w:hint="default"/>
                <w:sz w:val="16"/>
                <w:szCs w:val="16"/>
              </w:rPr>
              <w:t>有限责任</w:t>
            </w:r>
          </w:p>
        </w:tc>
        <w:tc>
          <w:tcPr>
            <w:tcW w:w="687"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2056" w:type="dxa"/>
            <w:gridSpan w:val="3"/>
            <w:tcBorders>
              <w:top w:val="nil" w:sz="6" w:space="0" w:color="auto"/>
              <w:left w:val="nil" w:sz="6" w:space="0" w:color="auto"/>
              <w:bottom w:val="nil" w:sz="6" w:space="0" w:color="auto"/>
              <w:right w:val="nil" w:sz="6" w:space="0" w:color="auto"/>
            </w:tcBorders>
          </w:tcPr>
          <w:p>
            <w:pPr/>
          </w:p>
        </w:tc>
      </w:tr>
      <w:tr>
        <w:trPr>
          <w:trHeight w:val="305"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180" w:lineRule="exact"/>
              <w:ind w:left="549" w:right="0"/>
              <w:jc w:val="left"/>
              <w:rPr>
                <w:rFonts w:ascii="宋体" w:hAnsi="宋体" w:cs="宋体" w:eastAsia="宋体" w:hint="default"/>
                <w:sz w:val="16"/>
                <w:szCs w:val="16"/>
              </w:rPr>
            </w:pPr>
            <w:r>
              <w:rPr>
                <w:rFonts w:ascii="宋体" w:hAnsi="宋体" w:cs="宋体" w:eastAsia="宋体" w:hint="default"/>
                <w:sz w:val="16"/>
                <w:szCs w:val="16"/>
              </w:rPr>
              <w:t>（“中融信息”）</w:t>
            </w:r>
          </w:p>
        </w:tc>
        <w:tc>
          <w:tcPr>
            <w:tcW w:w="37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8" w:right="0"/>
              <w:jc w:val="left"/>
              <w:rPr>
                <w:rFonts w:ascii="Arial" w:hAnsi="Arial" w:cs="Arial" w:eastAsia="Arial" w:hint="default"/>
                <w:sz w:val="16"/>
                <w:szCs w:val="16"/>
              </w:rPr>
            </w:pPr>
            <w:r>
              <w:rPr>
                <w:rFonts w:ascii="Arial"/>
                <w:sz w:val="16"/>
              </w:rPr>
              <w:t>(3)</w:t>
            </w:r>
          </w:p>
        </w:tc>
        <w:tc>
          <w:tcPr>
            <w:tcW w:w="567" w:type="dxa"/>
            <w:tcBorders>
              <w:top w:val="nil" w:sz="6" w:space="0" w:color="auto"/>
              <w:left w:val="nil" w:sz="6" w:space="0" w:color="auto"/>
              <w:bottom w:val="nil" w:sz="6" w:space="0" w:color="auto"/>
              <w:right w:val="nil" w:sz="6" w:space="0" w:color="auto"/>
            </w:tcBorders>
          </w:tcPr>
          <w:p>
            <w:pPr>
              <w:pStyle w:val="TableParagraph"/>
              <w:spacing w:line="181" w:lineRule="exact"/>
              <w:ind w:left="142" w:right="0"/>
              <w:jc w:val="left"/>
              <w:rPr>
                <w:rFonts w:ascii="宋体" w:hAnsi="宋体" w:cs="宋体" w:eastAsia="宋体" w:hint="default"/>
                <w:sz w:val="16"/>
                <w:szCs w:val="16"/>
              </w:rPr>
            </w:pPr>
            <w:r>
              <w:rPr>
                <w:rFonts w:ascii="宋体" w:hAnsi="宋体" w:cs="宋体" w:eastAsia="宋体" w:hint="default"/>
                <w:sz w:val="16"/>
                <w:szCs w:val="16"/>
              </w:rPr>
              <w:t>控股</w:t>
            </w:r>
          </w:p>
        </w:tc>
        <w:tc>
          <w:tcPr>
            <w:tcW w:w="1177" w:type="dxa"/>
            <w:tcBorders>
              <w:top w:val="nil" w:sz="6" w:space="0" w:color="auto"/>
              <w:left w:val="nil" w:sz="6" w:space="0" w:color="auto"/>
              <w:bottom w:val="nil" w:sz="6" w:space="0" w:color="auto"/>
              <w:right w:val="nil" w:sz="6" w:space="0" w:color="auto"/>
            </w:tcBorders>
          </w:tcPr>
          <w:p>
            <w:pPr>
              <w:pStyle w:val="TableParagraph"/>
              <w:spacing w:line="192" w:lineRule="exact"/>
              <w:ind w:right="4"/>
              <w:jc w:val="center"/>
              <w:rPr>
                <w:rFonts w:ascii="宋体" w:hAnsi="宋体" w:cs="宋体" w:eastAsia="宋体" w:hint="default"/>
                <w:sz w:val="16"/>
                <w:szCs w:val="16"/>
              </w:rPr>
            </w:pPr>
            <w:r>
              <w:rPr>
                <w:rFonts w:ascii="Arial" w:hAnsi="Arial" w:cs="Arial" w:eastAsia="Arial" w:hint="default"/>
                <w:sz w:val="16"/>
                <w:szCs w:val="16"/>
              </w:rPr>
              <w:t>3</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r>
          </w:p>
        </w:tc>
        <w:tc>
          <w:tcPr>
            <w:tcW w:w="714" w:type="dxa"/>
            <w:tcBorders>
              <w:top w:val="nil" w:sz="6" w:space="0" w:color="auto"/>
              <w:left w:val="nil" w:sz="6" w:space="0" w:color="auto"/>
              <w:bottom w:val="nil" w:sz="6" w:space="0" w:color="auto"/>
              <w:right w:val="nil" w:sz="6" w:space="0" w:color="auto"/>
            </w:tcBorders>
          </w:tcPr>
          <w:p>
            <w:pPr>
              <w:pStyle w:val="TableParagraph"/>
              <w:spacing w:line="181" w:lineRule="exact"/>
              <w:ind w:right="5"/>
              <w:jc w:val="center"/>
              <w:rPr>
                <w:rFonts w:ascii="宋体" w:hAnsi="宋体" w:cs="宋体" w:eastAsia="宋体" w:hint="default"/>
                <w:sz w:val="16"/>
                <w:szCs w:val="16"/>
              </w:rPr>
            </w:pPr>
            <w:r>
              <w:rPr>
                <w:rFonts w:ascii="宋体" w:hAnsi="宋体" w:cs="宋体" w:eastAsia="宋体" w:hint="default"/>
                <w:sz w:val="16"/>
                <w:szCs w:val="16"/>
              </w:rPr>
              <w:t>咨询</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14"/>
              <w:jc w:val="right"/>
              <w:rPr>
                <w:rFonts w:ascii="Arial" w:hAnsi="Arial" w:cs="Arial" w:eastAsia="Arial" w:hint="default"/>
                <w:sz w:val="16"/>
                <w:szCs w:val="16"/>
              </w:rPr>
            </w:pPr>
            <w:r>
              <w:rPr>
                <w:rFonts w:ascii="Arial"/>
                <w:w w:val="95"/>
                <w:sz w:val="16"/>
              </w:rPr>
              <w:t>50,000</w:t>
            </w:r>
            <w:r>
              <w:rPr>
                <w:rFonts w:ascii="Arial"/>
                <w:sz w:val="16"/>
              </w:rPr>
            </w:r>
          </w:p>
        </w:tc>
        <w:tc>
          <w:tcPr>
            <w:tcW w:w="834" w:type="dxa"/>
            <w:tcBorders>
              <w:top w:val="nil" w:sz="6" w:space="0" w:color="auto"/>
              <w:left w:val="nil" w:sz="6" w:space="0" w:color="auto"/>
              <w:bottom w:val="nil" w:sz="6" w:space="0" w:color="auto"/>
              <w:right w:val="nil" w:sz="6" w:space="0" w:color="auto"/>
            </w:tcBorders>
          </w:tcPr>
          <w:p>
            <w:pPr>
              <w:pStyle w:val="TableParagraph"/>
              <w:spacing w:line="181" w:lineRule="exact"/>
              <w:ind w:left="42" w:right="0"/>
              <w:jc w:val="center"/>
              <w:rPr>
                <w:rFonts w:ascii="宋体" w:hAnsi="宋体" w:cs="宋体" w:eastAsia="宋体" w:hint="default"/>
                <w:sz w:val="16"/>
                <w:szCs w:val="16"/>
              </w:rPr>
            </w:pPr>
            <w:r>
              <w:rPr>
                <w:rFonts w:ascii="宋体" w:hAnsi="宋体" w:cs="宋体" w:eastAsia="宋体" w:hint="default"/>
                <w:sz w:val="16"/>
                <w:szCs w:val="16"/>
              </w:rPr>
              <w:t>信息咨询</w:t>
            </w:r>
          </w:p>
        </w:tc>
        <w:tc>
          <w:tcPr>
            <w:tcW w:w="832" w:type="dxa"/>
            <w:tcBorders>
              <w:top w:val="nil" w:sz="6" w:space="0" w:color="auto"/>
              <w:left w:val="nil" w:sz="6" w:space="0" w:color="auto"/>
              <w:bottom w:val="nil" w:sz="6" w:space="0" w:color="auto"/>
              <w:right w:val="nil" w:sz="6" w:space="0" w:color="auto"/>
            </w:tcBorders>
          </w:tcPr>
          <w:p>
            <w:pPr>
              <w:pStyle w:val="TableParagraph"/>
              <w:spacing w:line="181" w:lineRule="exact"/>
              <w:ind w:right="35"/>
              <w:jc w:val="center"/>
              <w:rPr>
                <w:rFonts w:ascii="宋体" w:hAnsi="宋体" w:cs="宋体" w:eastAsia="宋体" w:hint="default"/>
                <w:sz w:val="16"/>
                <w:szCs w:val="16"/>
              </w:rPr>
            </w:pPr>
            <w:r>
              <w:rPr>
                <w:rFonts w:ascii="宋体" w:hAnsi="宋体" w:cs="宋体" w:eastAsia="宋体" w:hint="default"/>
                <w:sz w:val="16"/>
                <w:szCs w:val="16"/>
              </w:rPr>
              <w:t>公司</w:t>
            </w:r>
          </w:p>
        </w:tc>
        <w:tc>
          <w:tcPr>
            <w:tcW w:w="687" w:type="dxa"/>
            <w:tcBorders>
              <w:top w:val="nil" w:sz="6" w:space="0" w:color="auto"/>
              <w:left w:val="nil" w:sz="6" w:space="0" w:color="auto"/>
              <w:bottom w:val="nil" w:sz="6" w:space="0" w:color="auto"/>
              <w:right w:val="nil" w:sz="6" w:space="0" w:color="auto"/>
            </w:tcBorders>
          </w:tcPr>
          <w:p>
            <w:pPr>
              <w:pStyle w:val="TableParagraph"/>
              <w:spacing w:line="179" w:lineRule="exact"/>
              <w:ind w:right="121"/>
              <w:jc w:val="right"/>
              <w:rPr>
                <w:rFonts w:ascii="宋体" w:hAnsi="宋体" w:cs="宋体" w:eastAsia="宋体" w:hint="default"/>
                <w:sz w:val="16"/>
                <w:szCs w:val="16"/>
              </w:rPr>
            </w:pPr>
            <w:r>
              <w:rPr>
                <w:rFonts w:ascii="宋体" w:hAnsi="宋体" w:cs="宋体" w:eastAsia="宋体" w:hint="default"/>
                <w:w w:val="95"/>
                <w:sz w:val="16"/>
                <w:szCs w:val="16"/>
              </w:rPr>
              <w:t>牛俊岩</w:t>
            </w:r>
            <w:r>
              <w:rPr>
                <w:rFonts w:ascii="宋体" w:hAnsi="宋体" w:cs="宋体" w:eastAsia="宋体" w:hint="default"/>
                <w:sz w:val="16"/>
                <w:szCs w:val="16"/>
              </w:rPr>
            </w:r>
          </w:p>
        </w:tc>
        <w:tc>
          <w:tcPr>
            <w:tcW w:w="1128"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23" w:right="0"/>
              <w:jc w:val="left"/>
              <w:rPr>
                <w:rFonts w:ascii="Arial" w:hAnsi="Arial" w:cs="Arial" w:eastAsia="Arial" w:hint="default"/>
                <w:sz w:val="16"/>
                <w:szCs w:val="16"/>
              </w:rPr>
            </w:pPr>
            <w:r>
              <w:rPr>
                <w:rFonts w:ascii="Arial"/>
                <w:sz w:val="16"/>
              </w:rPr>
              <w:t>673804476</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69"/>
              <w:jc w:val="right"/>
              <w:rPr>
                <w:rFonts w:ascii="Arial" w:hAnsi="Arial" w:cs="Arial" w:eastAsia="Arial" w:hint="default"/>
                <w:sz w:val="16"/>
                <w:szCs w:val="16"/>
              </w:rPr>
            </w:pPr>
            <w:r>
              <w:rPr>
                <w:rFonts w:ascii="Arial"/>
                <w:w w:val="95"/>
                <w:sz w:val="16"/>
              </w:rPr>
              <w:t>50,000</w:t>
            </w:r>
            <w:r>
              <w:rPr>
                <w:rFonts w:ascii="Arial"/>
                <w:sz w:val="16"/>
              </w:rPr>
            </w:r>
          </w:p>
        </w:tc>
        <w:tc>
          <w:tcPr>
            <w:tcW w:w="1063" w:type="dxa"/>
            <w:tcBorders>
              <w:top w:val="nil" w:sz="6" w:space="0" w:color="auto"/>
              <w:left w:val="nil" w:sz="6" w:space="0" w:color="auto"/>
              <w:bottom w:val="nil" w:sz="6" w:space="0" w:color="auto"/>
              <w:right w:val="nil" w:sz="6" w:space="0" w:color="auto"/>
            </w:tcBorders>
          </w:tcPr>
          <w:p>
            <w:pPr>
              <w:pStyle w:val="TableParagraph"/>
              <w:spacing w:line="179" w:lineRule="exact"/>
              <w:ind w:left="76" w:right="0"/>
              <w:jc w:val="center"/>
              <w:rPr>
                <w:rFonts w:ascii="宋体" w:hAnsi="宋体" w:cs="宋体" w:eastAsia="宋体" w:hint="default"/>
                <w:sz w:val="16"/>
                <w:szCs w:val="16"/>
              </w:rPr>
            </w:pPr>
            <w:r>
              <w:rPr>
                <w:rFonts w:ascii="宋体" w:hAnsi="宋体" w:cs="宋体" w:eastAsia="宋体" w:hint="default"/>
                <w:w w:val="99"/>
                <w:sz w:val="16"/>
                <w:szCs w:val="16"/>
              </w:rPr>
              <w:t>无</w:t>
            </w:r>
            <w:r>
              <w:rPr>
                <w:rFonts w:ascii="宋体" w:hAnsi="宋体" w:cs="宋体" w:eastAsia="宋体" w:hint="default"/>
                <w:sz w:val="16"/>
                <w:szCs w:val="16"/>
              </w:rPr>
            </w:r>
          </w:p>
        </w:tc>
        <w:tc>
          <w:tcPr>
            <w:tcW w:w="540" w:type="dxa"/>
            <w:tcBorders>
              <w:top w:val="nil" w:sz="6" w:space="0" w:color="auto"/>
              <w:left w:val="nil" w:sz="6" w:space="0" w:color="auto"/>
              <w:bottom w:val="nil" w:sz="6" w:space="0" w:color="auto"/>
              <w:right w:val="nil" w:sz="6" w:space="0" w:color="auto"/>
            </w:tcBorders>
          </w:tcPr>
          <w:p>
            <w:pPr>
              <w:pStyle w:val="TableParagraph"/>
              <w:spacing w:line="240" w:lineRule="auto" w:before="17"/>
              <w:ind w:left="45" w:right="0"/>
              <w:jc w:val="center"/>
              <w:rPr>
                <w:rFonts w:ascii="Arial" w:hAnsi="Arial" w:cs="Arial" w:eastAsia="Arial" w:hint="default"/>
                <w:sz w:val="16"/>
                <w:szCs w:val="16"/>
              </w:rPr>
            </w:pPr>
            <w:r>
              <w:rPr>
                <w:rFonts w:ascii="Arial"/>
                <w:sz w:val="16"/>
              </w:rPr>
              <w:t>33.88</w:t>
            </w:r>
          </w:p>
        </w:tc>
        <w:tc>
          <w:tcPr>
            <w:tcW w:w="57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9"/>
              <w:jc w:val="right"/>
              <w:rPr>
                <w:rFonts w:ascii="Arial" w:hAnsi="Arial" w:cs="Arial" w:eastAsia="Arial" w:hint="default"/>
                <w:sz w:val="16"/>
                <w:szCs w:val="16"/>
              </w:rPr>
            </w:pPr>
            <w:r>
              <w:rPr>
                <w:rFonts w:ascii="Arial"/>
                <w:w w:val="95"/>
                <w:sz w:val="16"/>
              </w:rPr>
              <w:t>58.30</w:t>
            </w:r>
            <w:r>
              <w:rPr>
                <w:rFonts w:ascii="Arial"/>
                <w:sz w:val="16"/>
              </w:rPr>
            </w:r>
          </w:p>
        </w:tc>
        <w:tc>
          <w:tcPr>
            <w:tcW w:w="452" w:type="dxa"/>
            <w:tcBorders>
              <w:top w:val="nil" w:sz="6" w:space="0" w:color="auto"/>
              <w:left w:val="nil" w:sz="6" w:space="0" w:color="auto"/>
              <w:bottom w:val="nil" w:sz="6" w:space="0" w:color="auto"/>
              <w:right w:val="nil" w:sz="6" w:space="0" w:color="auto"/>
            </w:tcBorders>
          </w:tcPr>
          <w:p>
            <w:pPr>
              <w:pStyle w:val="TableParagraph"/>
              <w:spacing w:line="179" w:lineRule="exact"/>
              <w:ind w:right="29"/>
              <w:jc w:val="center"/>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c>
        <w:tc>
          <w:tcPr>
            <w:tcW w:w="2056" w:type="dxa"/>
            <w:gridSpan w:val="3"/>
            <w:tcBorders>
              <w:top w:val="nil" w:sz="6" w:space="0" w:color="auto"/>
              <w:left w:val="nil" w:sz="6" w:space="0" w:color="auto"/>
              <w:bottom w:val="nil" w:sz="6" w:space="0" w:color="auto"/>
              <w:right w:val="nil" w:sz="6" w:space="0" w:color="auto"/>
            </w:tcBorders>
          </w:tcPr>
          <w:p>
            <w:pPr>
              <w:pStyle w:val="TableParagraph"/>
              <w:tabs>
                <w:tab w:pos="1068" w:val="left" w:leader="none"/>
                <w:tab w:pos="1700" w:val="left" w:leader="none"/>
              </w:tabs>
              <w:spacing w:line="240" w:lineRule="auto" w:before="17"/>
              <w:ind w:left="328" w:right="0"/>
              <w:jc w:val="left"/>
              <w:rPr>
                <w:rFonts w:ascii="Arial" w:hAnsi="Arial" w:cs="Arial" w:eastAsia="Arial" w:hint="default"/>
                <w:sz w:val="16"/>
                <w:szCs w:val="16"/>
              </w:rPr>
            </w:pPr>
            <w:r>
              <w:rPr>
                <w:rFonts w:ascii="Arial"/>
                <w:w w:val="95"/>
                <w:sz w:val="16"/>
              </w:rPr>
              <w:t>-</w:t>
              <w:tab/>
              <w:t>-</w:t>
              <w:tab/>
            </w:r>
            <w:r>
              <w:rPr>
                <w:rFonts w:ascii="Arial"/>
                <w:sz w:val="16"/>
              </w:rPr>
              <w:t>-</w:t>
            </w:r>
          </w:p>
        </w:tc>
      </w:tr>
      <w:tr>
        <w:trPr>
          <w:trHeight w:val="289"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56"/>
              <w:ind w:left="548" w:right="0"/>
              <w:jc w:val="left"/>
              <w:rPr>
                <w:rFonts w:ascii="宋体" w:hAnsi="宋体" w:cs="宋体" w:eastAsia="宋体" w:hint="default"/>
                <w:sz w:val="16"/>
                <w:szCs w:val="16"/>
              </w:rPr>
            </w:pPr>
            <w:r>
              <w:rPr>
                <w:rFonts w:ascii="宋体" w:hAnsi="宋体" w:cs="宋体" w:eastAsia="宋体" w:hint="default"/>
                <w:sz w:val="16"/>
                <w:szCs w:val="16"/>
              </w:rPr>
              <w:t>中国联通（香港）</w:t>
            </w:r>
          </w:p>
        </w:tc>
        <w:tc>
          <w:tcPr>
            <w:tcW w:w="374" w:type="dxa"/>
            <w:tcBorders>
              <w:top w:val="nil" w:sz="6" w:space="0" w:color="auto"/>
              <w:left w:val="nil" w:sz="6" w:space="0" w:color="auto"/>
              <w:bottom w:val="nil" w:sz="6" w:space="0" w:color="auto"/>
              <w:right w:val="nil" w:sz="6" w:space="0" w:color="auto"/>
            </w:tcBorders>
          </w:tcPr>
          <w:p>
            <w:pPr/>
          </w:p>
        </w:tc>
        <w:tc>
          <w:tcPr>
            <w:tcW w:w="567" w:type="dxa"/>
            <w:tcBorders>
              <w:top w:val="nil" w:sz="6" w:space="0" w:color="auto"/>
              <w:left w:val="nil" w:sz="6" w:space="0" w:color="auto"/>
              <w:bottom w:val="nil" w:sz="6" w:space="0" w:color="auto"/>
              <w:right w:val="nil" w:sz="6" w:space="0" w:color="auto"/>
            </w:tcBorders>
          </w:tcPr>
          <w:p>
            <w:pP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7"/>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714"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832" w:type="dxa"/>
            <w:tcBorders>
              <w:top w:val="nil" w:sz="6" w:space="0" w:color="auto"/>
              <w:left w:val="nil" w:sz="6" w:space="0" w:color="auto"/>
              <w:bottom w:val="nil" w:sz="6" w:space="0" w:color="auto"/>
              <w:right w:val="nil" w:sz="6" w:space="0" w:color="auto"/>
            </w:tcBorders>
          </w:tcPr>
          <w:p>
            <w:pPr/>
          </w:p>
        </w:tc>
        <w:tc>
          <w:tcPr>
            <w:tcW w:w="687"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2056" w:type="dxa"/>
            <w:gridSpan w:val="3"/>
            <w:tcBorders>
              <w:top w:val="nil" w:sz="6" w:space="0" w:color="auto"/>
              <w:left w:val="nil" w:sz="6" w:space="0" w:color="auto"/>
              <w:bottom w:val="nil" w:sz="6" w:space="0" w:color="auto"/>
              <w:right w:val="nil" w:sz="6" w:space="0" w:color="auto"/>
            </w:tcBorders>
          </w:tcPr>
          <w:p>
            <w:pPr/>
          </w:p>
        </w:tc>
      </w:tr>
      <w:tr>
        <w:trPr>
          <w:trHeight w:val="212"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184" w:lineRule="exact"/>
              <w:ind w:left="708" w:right="0"/>
              <w:jc w:val="left"/>
              <w:rPr>
                <w:rFonts w:ascii="宋体" w:hAnsi="宋体" w:cs="宋体" w:eastAsia="宋体" w:hint="default"/>
                <w:sz w:val="16"/>
                <w:szCs w:val="16"/>
              </w:rPr>
            </w:pPr>
            <w:r>
              <w:rPr>
                <w:rFonts w:ascii="宋体" w:hAnsi="宋体" w:cs="宋体" w:eastAsia="宋体" w:hint="default"/>
                <w:sz w:val="16"/>
                <w:szCs w:val="16"/>
              </w:rPr>
              <w:t>运营有限公司</w:t>
            </w:r>
          </w:p>
        </w:tc>
        <w:tc>
          <w:tcPr>
            <w:tcW w:w="374" w:type="dxa"/>
            <w:tcBorders>
              <w:top w:val="nil" w:sz="6" w:space="0" w:color="auto"/>
              <w:left w:val="nil" w:sz="6" w:space="0" w:color="auto"/>
              <w:bottom w:val="nil" w:sz="6" w:space="0" w:color="auto"/>
              <w:right w:val="nil" w:sz="6" w:space="0" w:color="auto"/>
            </w:tcBorders>
          </w:tcPr>
          <w:p>
            <w:pPr/>
          </w:p>
        </w:tc>
        <w:tc>
          <w:tcPr>
            <w:tcW w:w="567" w:type="dxa"/>
            <w:tcBorders>
              <w:top w:val="nil" w:sz="6" w:space="0" w:color="auto"/>
              <w:left w:val="nil" w:sz="6" w:space="0" w:color="auto"/>
              <w:bottom w:val="nil" w:sz="6" w:space="0" w:color="auto"/>
              <w:right w:val="nil" w:sz="6" w:space="0" w:color="auto"/>
            </w:tcBorders>
          </w:tcPr>
          <w:p>
            <w:pPr>
              <w:pStyle w:val="TableParagraph"/>
              <w:spacing w:line="184" w:lineRule="exact"/>
              <w:ind w:left="141" w:right="0"/>
              <w:jc w:val="left"/>
              <w:rPr>
                <w:rFonts w:ascii="宋体" w:hAnsi="宋体" w:cs="宋体" w:eastAsia="宋体" w:hint="default"/>
                <w:sz w:val="16"/>
                <w:szCs w:val="16"/>
              </w:rPr>
            </w:pPr>
            <w:r>
              <w:rPr>
                <w:rFonts w:ascii="宋体" w:hAnsi="宋体" w:cs="宋体" w:eastAsia="宋体" w:hint="default"/>
                <w:sz w:val="16"/>
                <w:szCs w:val="16"/>
              </w:rPr>
              <w:t>间接</w:t>
            </w:r>
          </w:p>
        </w:tc>
        <w:tc>
          <w:tcPr>
            <w:tcW w:w="1177" w:type="dxa"/>
            <w:tcBorders>
              <w:top w:val="nil" w:sz="6" w:space="0" w:color="auto"/>
              <w:left w:val="nil" w:sz="6" w:space="0" w:color="auto"/>
              <w:bottom w:val="nil" w:sz="6" w:space="0" w:color="auto"/>
              <w:right w:val="nil" w:sz="6" w:space="0" w:color="auto"/>
            </w:tcBorders>
          </w:tcPr>
          <w:p>
            <w:pPr>
              <w:pStyle w:val="TableParagraph"/>
              <w:spacing w:line="195" w:lineRule="exact"/>
              <w:ind w:right="6"/>
              <w:jc w:val="center"/>
              <w:rPr>
                <w:rFonts w:ascii="宋体" w:hAnsi="宋体" w:cs="宋体" w:eastAsia="宋体" w:hint="default"/>
                <w:sz w:val="16"/>
                <w:szCs w:val="16"/>
              </w:rPr>
            </w:pPr>
            <w:r>
              <w:rPr>
                <w:rFonts w:ascii="Arial" w:hAnsi="Arial" w:cs="Arial" w:eastAsia="Arial" w:hint="default"/>
                <w:sz w:val="16"/>
                <w:szCs w:val="16"/>
              </w:rPr>
              <w:t>2000</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714" w:type="dxa"/>
            <w:tcBorders>
              <w:top w:val="nil" w:sz="6" w:space="0" w:color="auto"/>
              <w:left w:val="nil" w:sz="6" w:space="0" w:color="auto"/>
              <w:bottom w:val="nil" w:sz="6" w:space="0" w:color="auto"/>
              <w:right w:val="nil" w:sz="6" w:space="0" w:color="auto"/>
            </w:tcBorders>
          </w:tcPr>
          <w:p>
            <w:pPr>
              <w:pStyle w:val="TableParagraph"/>
              <w:spacing w:line="184" w:lineRule="exact"/>
              <w:ind w:right="6"/>
              <w:jc w:val="center"/>
              <w:rPr>
                <w:rFonts w:ascii="宋体" w:hAnsi="宋体" w:cs="宋体" w:eastAsia="宋体" w:hint="default"/>
                <w:sz w:val="16"/>
                <w:szCs w:val="16"/>
              </w:rPr>
            </w:pPr>
            <w:r>
              <w:rPr>
                <w:rFonts w:ascii="宋体" w:hAnsi="宋体" w:cs="宋体" w:eastAsia="宋体" w:hint="default"/>
                <w:sz w:val="16"/>
                <w:szCs w:val="16"/>
              </w:rPr>
              <w:t>电信</w:t>
            </w:r>
          </w:p>
        </w:tc>
        <w:tc>
          <w:tcPr>
            <w:tcW w:w="1087"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832" w:type="dxa"/>
            <w:tcBorders>
              <w:top w:val="nil" w:sz="6" w:space="0" w:color="auto"/>
              <w:left w:val="nil" w:sz="6" w:space="0" w:color="auto"/>
              <w:bottom w:val="nil" w:sz="6" w:space="0" w:color="auto"/>
              <w:right w:val="nil" w:sz="6" w:space="0" w:color="auto"/>
            </w:tcBorders>
          </w:tcPr>
          <w:p>
            <w:pPr>
              <w:pStyle w:val="TableParagraph"/>
              <w:spacing w:line="184" w:lineRule="exact"/>
              <w:ind w:right="37"/>
              <w:jc w:val="center"/>
              <w:rPr>
                <w:rFonts w:ascii="宋体" w:hAnsi="宋体" w:cs="宋体" w:eastAsia="宋体" w:hint="default"/>
                <w:sz w:val="16"/>
                <w:szCs w:val="16"/>
              </w:rPr>
            </w:pPr>
            <w:r>
              <w:rPr>
                <w:rFonts w:ascii="宋体" w:hAnsi="宋体" w:cs="宋体" w:eastAsia="宋体" w:hint="default"/>
                <w:sz w:val="16"/>
                <w:szCs w:val="16"/>
              </w:rPr>
              <w:t>有限</w:t>
            </w:r>
          </w:p>
        </w:tc>
        <w:tc>
          <w:tcPr>
            <w:tcW w:w="687"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2056" w:type="dxa"/>
            <w:gridSpan w:val="3"/>
            <w:tcBorders>
              <w:top w:val="nil" w:sz="6" w:space="0" w:color="auto"/>
              <w:left w:val="nil" w:sz="6" w:space="0" w:color="auto"/>
              <w:bottom w:val="nil" w:sz="6" w:space="0" w:color="auto"/>
              <w:right w:val="nil" w:sz="6" w:space="0" w:color="auto"/>
            </w:tcBorders>
          </w:tcPr>
          <w:p>
            <w:pPr/>
          </w:p>
        </w:tc>
      </w:tr>
      <w:tr>
        <w:trPr>
          <w:trHeight w:val="305"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180" w:lineRule="exact"/>
              <w:ind w:left="548" w:right="0"/>
              <w:jc w:val="left"/>
              <w:rPr>
                <w:rFonts w:ascii="宋体" w:hAnsi="宋体" w:cs="宋体" w:eastAsia="宋体" w:hint="default"/>
                <w:sz w:val="16"/>
                <w:szCs w:val="16"/>
              </w:rPr>
            </w:pPr>
            <w:r>
              <w:rPr>
                <w:rFonts w:ascii="宋体" w:hAnsi="宋体" w:cs="宋体" w:eastAsia="宋体" w:hint="default"/>
                <w:spacing w:val="-9"/>
                <w:sz w:val="16"/>
                <w:szCs w:val="16"/>
              </w:rPr>
              <w:t>（“联通香港运营”）</w:t>
            </w:r>
          </w:p>
        </w:tc>
        <w:tc>
          <w:tcPr>
            <w:tcW w:w="37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7" w:right="0"/>
              <w:jc w:val="left"/>
              <w:rPr>
                <w:rFonts w:ascii="Arial" w:hAnsi="Arial" w:cs="Arial" w:eastAsia="Arial" w:hint="default"/>
                <w:sz w:val="16"/>
                <w:szCs w:val="16"/>
              </w:rPr>
            </w:pPr>
            <w:r>
              <w:rPr>
                <w:rFonts w:ascii="Arial"/>
                <w:sz w:val="16"/>
              </w:rPr>
              <w:t>(1)</w:t>
            </w:r>
          </w:p>
        </w:tc>
        <w:tc>
          <w:tcPr>
            <w:tcW w:w="567" w:type="dxa"/>
            <w:tcBorders>
              <w:top w:val="nil" w:sz="6" w:space="0" w:color="auto"/>
              <w:left w:val="nil" w:sz="6" w:space="0" w:color="auto"/>
              <w:bottom w:val="nil" w:sz="6" w:space="0" w:color="auto"/>
              <w:right w:val="nil" w:sz="6" w:space="0" w:color="auto"/>
            </w:tcBorders>
          </w:tcPr>
          <w:p>
            <w:pPr>
              <w:pStyle w:val="TableParagraph"/>
              <w:spacing w:line="180" w:lineRule="exact"/>
              <w:ind w:left="141" w:right="0"/>
              <w:jc w:val="left"/>
              <w:rPr>
                <w:rFonts w:ascii="宋体" w:hAnsi="宋体" w:cs="宋体" w:eastAsia="宋体" w:hint="default"/>
                <w:sz w:val="16"/>
                <w:szCs w:val="16"/>
              </w:rPr>
            </w:pPr>
            <w:r>
              <w:rPr>
                <w:rFonts w:ascii="宋体" w:hAnsi="宋体" w:cs="宋体" w:eastAsia="宋体" w:hint="default"/>
                <w:sz w:val="16"/>
                <w:szCs w:val="16"/>
              </w:rPr>
              <w:t>控股</w:t>
            </w:r>
          </w:p>
        </w:tc>
        <w:tc>
          <w:tcPr>
            <w:tcW w:w="1177" w:type="dxa"/>
            <w:tcBorders>
              <w:top w:val="nil" w:sz="6" w:space="0" w:color="auto"/>
              <w:left w:val="nil" w:sz="6" w:space="0" w:color="auto"/>
              <w:bottom w:val="nil" w:sz="6" w:space="0" w:color="auto"/>
              <w:right w:val="nil" w:sz="6" w:space="0" w:color="auto"/>
            </w:tcBorders>
          </w:tcPr>
          <w:p>
            <w:pPr>
              <w:pStyle w:val="TableParagraph"/>
              <w:spacing w:line="191" w:lineRule="exact"/>
              <w:ind w:right="6"/>
              <w:jc w:val="center"/>
              <w:rPr>
                <w:rFonts w:ascii="宋体" w:hAnsi="宋体" w:cs="宋体" w:eastAsia="宋体" w:hint="default"/>
                <w:sz w:val="16"/>
                <w:szCs w:val="16"/>
              </w:rPr>
            </w:pPr>
            <w:r>
              <w:rPr>
                <w:rFonts w:ascii="Arial" w:hAnsi="Arial" w:cs="Arial" w:eastAsia="Arial" w:hint="default"/>
                <w:sz w:val="16"/>
                <w:szCs w:val="16"/>
              </w:rPr>
              <w:t>5</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24</w:t>
            </w:r>
            <w:r>
              <w:rPr>
                <w:rFonts w:ascii="Arial" w:hAnsi="Arial" w:cs="Arial" w:eastAsia="Arial" w:hint="default"/>
                <w:spacing w:val="-6"/>
                <w:sz w:val="16"/>
                <w:szCs w:val="16"/>
              </w:rPr>
              <w:t> </w:t>
            </w:r>
            <w:r>
              <w:rPr>
                <w:rFonts w:ascii="宋体" w:hAnsi="宋体" w:cs="宋体" w:eastAsia="宋体" w:hint="default"/>
                <w:sz w:val="16"/>
                <w:szCs w:val="16"/>
              </w:rPr>
              <w:t>日</w:t>
            </w:r>
          </w:p>
        </w:tc>
        <w:tc>
          <w:tcPr>
            <w:tcW w:w="714" w:type="dxa"/>
            <w:tcBorders>
              <w:top w:val="nil" w:sz="6" w:space="0" w:color="auto"/>
              <w:left w:val="nil" w:sz="6" w:space="0" w:color="auto"/>
              <w:bottom w:val="nil" w:sz="6" w:space="0" w:color="auto"/>
              <w:right w:val="nil" w:sz="6" w:space="0" w:color="auto"/>
            </w:tcBorders>
          </w:tcPr>
          <w:p>
            <w:pPr>
              <w:pStyle w:val="TableParagraph"/>
              <w:spacing w:line="180" w:lineRule="exact"/>
              <w:ind w:right="6"/>
              <w:jc w:val="center"/>
              <w:rPr>
                <w:rFonts w:ascii="宋体" w:hAnsi="宋体" w:cs="宋体" w:eastAsia="宋体" w:hint="default"/>
                <w:sz w:val="16"/>
                <w:szCs w:val="16"/>
              </w:rPr>
            </w:pPr>
            <w:r>
              <w:rPr>
                <w:rFonts w:ascii="宋体" w:hAnsi="宋体" w:cs="宋体" w:eastAsia="宋体" w:hint="default"/>
                <w:sz w:val="16"/>
                <w:szCs w:val="16"/>
              </w:rPr>
              <w:t>业务</w:t>
            </w:r>
          </w:p>
        </w:tc>
        <w:tc>
          <w:tcPr>
            <w:tcW w:w="1087" w:type="dxa"/>
            <w:tcBorders>
              <w:top w:val="nil" w:sz="6" w:space="0" w:color="auto"/>
              <w:left w:val="nil" w:sz="6" w:space="0" w:color="auto"/>
              <w:bottom w:val="nil" w:sz="6" w:space="0" w:color="auto"/>
              <w:right w:val="nil" w:sz="6" w:space="0" w:color="auto"/>
            </w:tcBorders>
          </w:tcPr>
          <w:p>
            <w:pPr>
              <w:pStyle w:val="TableParagraph"/>
              <w:spacing w:line="191" w:lineRule="exact"/>
              <w:ind w:right="115"/>
              <w:jc w:val="right"/>
              <w:rPr>
                <w:rFonts w:ascii="Arial" w:hAnsi="Arial" w:cs="Arial" w:eastAsia="Arial" w:hint="default"/>
                <w:sz w:val="16"/>
                <w:szCs w:val="16"/>
              </w:rPr>
            </w:pPr>
            <w:r>
              <w:rPr>
                <w:rFonts w:ascii="宋体" w:hAnsi="宋体" w:cs="宋体" w:eastAsia="宋体" w:hint="default"/>
                <w:sz w:val="16"/>
                <w:szCs w:val="16"/>
              </w:rPr>
              <w:t>港币</w:t>
            </w:r>
            <w:r>
              <w:rPr>
                <w:rFonts w:ascii="宋体" w:hAnsi="宋体" w:cs="宋体" w:eastAsia="宋体" w:hint="default"/>
                <w:spacing w:val="-43"/>
                <w:sz w:val="16"/>
                <w:szCs w:val="16"/>
              </w:rPr>
              <w:t> </w:t>
            </w:r>
            <w:r>
              <w:rPr>
                <w:rFonts w:ascii="Arial" w:hAnsi="Arial" w:cs="Arial" w:eastAsia="Arial" w:hint="default"/>
                <w:sz w:val="16"/>
                <w:szCs w:val="16"/>
              </w:rPr>
              <w:t>59,218</w:t>
            </w:r>
          </w:p>
        </w:tc>
        <w:tc>
          <w:tcPr>
            <w:tcW w:w="834" w:type="dxa"/>
            <w:tcBorders>
              <w:top w:val="nil" w:sz="6" w:space="0" w:color="auto"/>
              <w:left w:val="nil" w:sz="6" w:space="0" w:color="auto"/>
              <w:bottom w:val="nil" w:sz="6" w:space="0" w:color="auto"/>
              <w:right w:val="nil" w:sz="6" w:space="0" w:color="auto"/>
            </w:tcBorders>
          </w:tcPr>
          <w:p>
            <w:pPr>
              <w:pStyle w:val="TableParagraph"/>
              <w:spacing w:line="180" w:lineRule="exact"/>
              <w:ind w:left="40" w:right="0"/>
              <w:jc w:val="center"/>
              <w:rPr>
                <w:rFonts w:ascii="宋体" w:hAnsi="宋体" w:cs="宋体" w:eastAsia="宋体" w:hint="default"/>
                <w:sz w:val="16"/>
                <w:szCs w:val="16"/>
              </w:rPr>
            </w:pPr>
            <w:r>
              <w:rPr>
                <w:rFonts w:ascii="宋体" w:hAnsi="宋体" w:cs="宋体" w:eastAsia="宋体" w:hint="default"/>
                <w:sz w:val="16"/>
                <w:szCs w:val="16"/>
              </w:rPr>
              <w:t>电信业务</w:t>
            </w:r>
          </w:p>
        </w:tc>
        <w:tc>
          <w:tcPr>
            <w:tcW w:w="832" w:type="dxa"/>
            <w:tcBorders>
              <w:top w:val="nil" w:sz="6" w:space="0" w:color="auto"/>
              <w:left w:val="nil" w:sz="6" w:space="0" w:color="auto"/>
              <w:bottom w:val="nil" w:sz="6" w:space="0" w:color="auto"/>
              <w:right w:val="nil" w:sz="6" w:space="0" w:color="auto"/>
            </w:tcBorders>
          </w:tcPr>
          <w:p>
            <w:pPr>
              <w:pStyle w:val="TableParagraph"/>
              <w:spacing w:line="180" w:lineRule="exact"/>
              <w:ind w:right="37"/>
              <w:jc w:val="center"/>
              <w:rPr>
                <w:rFonts w:ascii="宋体" w:hAnsi="宋体" w:cs="宋体" w:eastAsia="宋体" w:hint="default"/>
                <w:sz w:val="16"/>
                <w:szCs w:val="16"/>
              </w:rPr>
            </w:pPr>
            <w:r>
              <w:rPr>
                <w:rFonts w:ascii="宋体" w:hAnsi="宋体" w:cs="宋体" w:eastAsia="宋体" w:hint="default"/>
                <w:sz w:val="16"/>
                <w:szCs w:val="16"/>
              </w:rPr>
              <w:t>公司</w:t>
            </w:r>
          </w:p>
        </w:tc>
        <w:tc>
          <w:tcPr>
            <w:tcW w:w="687" w:type="dxa"/>
            <w:tcBorders>
              <w:top w:val="nil" w:sz="6" w:space="0" w:color="auto"/>
              <w:left w:val="nil" w:sz="6" w:space="0" w:color="auto"/>
              <w:bottom w:val="nil" w:sz="6" w:space="0" w:color="auto"/>
              <w:right w:val="nil" w:sz="6" w:space="0" w:color="auto"/>
            </w:tcBorders>
          </w:tcPr>
          <w:p>
            <w:pPr>
              <w:pStyle w:val="TableParagraph"/>
              <w:spacing w:line="180" w:lineRule="exact"/>
              <w:ind w:right="121"/>
              <w:jc w:val="right"/>
              <w:rPr>
                <w:rFonts w:ascii="宋体" w:hAnsi="宋体" w:cs="宋体" w:eastAsia="宋体" w:hint="default"/>
                <w:sz w:val="16"/>
                <w:szCs w:val="16"/>
              </w:rPr>
            </w:pPr>
            <w:r>
              <w:rPr>
                <w:rFonts w:ascii="宋体" w:hAnsi="宋体" w:cs="宋体" w:eastAsia="宋体" w:hint="default"/>
                <w:w w:val="95"/>
                <w:sz w:val="16"/>
                <w:szCs w:val="16"/>
              </w:rPr>
              <w:t>不适用</w:t>
            </w:r>
            <w:r>
              <w:rPr>
                <w:rFonts w:ascii="宋体" w:hAnsi="宋体" w:cs="宋体" w:eastAsia="宋体" w:hint="default"/>
                <w:sz w:val="16"/>
                <w:szCs w:val="16"/>
              </w:rPr>
            </w:r>
          </w:p>
        </w:tc>
        <w:tc>
          <w:tcPr>
            <w:tcW w:w="1128" w:type="dxa"/>
            <w:tcBorders>
              <w:top w:val="nil" w:sz="6" w:space="0" w:color="auto"/>
              <w:left w:val="nil" w:sz="6" w:space="0" w:color="auto"/>
              <w:bottom w:val="nil" w:sz="6" w:space="0" w:color="auto"/>
              <w:right w:val="nil" w:sz="6" w:space="0" w:color="auto"/>
            </w:tcBorders>
          </w:tcPr>
          <w:p>
            <w:pPr>
              <w:pStyle w:val="TableParagraph"/>
              <w:spacing w:line="180" w:lineRule="exact"/>
              <w:ind w:left="283" w:right="0"/>
              <w:jc w:val="left"/>
              <w:rPr>
                <w:rFonts w:ascii="宋体" w:hAnsi="宋体" w:cs="宋体" w:eastAsia="宋体" w:hint="default"/>
                <w:sz w:val="16"/>
                <w:szCs w:val="16"/>
              </w:rPr>
            </w:pPr>
            <w:r>
              <w:rPr>
                <w:rFonts w:ascii="宋体" w:hAnsi="宋体" w:cs="宋体" w:eastAsia="宋体" w:hint="default"/>
                <w:sz w:val="16"/>
                <w:szCs w:val="16"/>
              </w:rPr>
              <w:t>不适用</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69"/>
              <w:jc w:val="right"/>
              <w:rPr>
                <w:rFonts w:ascii="Arial" w:hAnsi="Arial" w:cs="Arial" w:eastAsia="Arial" w:hint="default"/>
                <w:sz w:val="16"/>
                <w:szCs w:val="16"/>
              </w:rPr>
            </w:pPr>
            <w:r>
              <w:rPr>
                <w:rFonts w:ascii="Arial"/>
                <w:w w:val="95"/>
                <w:sz w:val="16"/>
              </w:rPr>
              <w:t>106,579</w:t>
            </w:r>
            <w:r>
              <w:rPr>
                <w:rFonts w:ascii="Arial"/>
                <w:sz w:val="16"/>
              </w:rPr>
            </w:r>
          </w:p>
        </w:tc>
        <w:tc>
          <w:tcPr>
            <w:tcW w:w="1063" w:type="dxa"/>
            <w:tcBorders>
              <w:top w:val="nil" w:sz="6" w:space="0" w:color="auto"/>
              <w:left w:val="nil" w:sz="6" w:space="0" w:color="auto"/>
              <w:bottom w:val="nil" w:sz="6" w:space="0" w:color="auto"/>
              <w:right w:val="nil" w:sz="6" w:space="0" w:color="auto"/>
            </w:tcBorders>
          </w:tcPr>
          <w:p>
            <w:pPr>
              <w:pStyle w:val="TableParagraph"/>
              <w:spacing w:line="180" w:lineRule="exact"/>
              <w:ind w:left="76" w:right="0"/>
              <w:jc w:val="center"/>
              <w:rPr>
                <w:rFonts w:ascii="宋体" w:hAnsi="宋体" w:cs="宋体" w:eastAsia="宋体" w:hint="default"/>
                <w:sz w:val="16"/>
                <w:szCs w:val="16"/>
              </w:rPr>
            </w:pPr>
            <w:r>
              <w:rPr>
                <w:rFonts w:ascii="宋体" w:hAnsi="宋体" w:cs="宋体" w:eastAsia="宋体" w:hint="default"/>
                <w:w w:val="99"/>
                <w:sz w:val="16"/>
                <w:szCs w:val="16"/>
              </w:rPr>
              <w:t>无</w:t>
            </w:r>
            <w:r>
              <w:rPr>
                <w:rFonts w:ascii="宋体" w:hAnsi="宋体" w:cs="宋体" w:eastAsia="宋体" w:hint="default"/>
                <w:sz w:val="16"/>
                <w:szCs w:val="16"/>
              </w:rPr>
            </w:r>
          </w:p>
        </w:tc>
        <w:tc>
          <w:tcPr>
            <w:tcW w:w="54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5" w:right="0"/>
              <w:jc w:val="center"/>
              <w:rPr>
                <w:rFonts w:ascii="Arial" w:hAnsi="Arial" w:cs="Arial" w:eastAsia="Arial" w:hint="default"/>
                <w:sz w:val="16"/>
                <w:szCs w:val="16"/>
              </w:rPr>
            </w:pPr>
            <w:r>
              <w:rPr>
                <w:rFonts w:ascii="Arial"/>
                <w:sz w:val="16"/>
              </w:rPr>
              <w:t>33.88</w:t>
            </w:r>
          </w:p>
        </w:tc>
        <w:tc>
          <w:tcPr>
            <w:tcW w:w="57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8"/>
              <w:jc w:val="right"/>
              <w:rPr>
                <w:rFonts w:ascii="Arial" w:hAnsi="Arial" w:cs="Arial" w:eastAsia="Arial" w:hint="default"/>
                <w:sz w:val="16"/>
                <w:szCs w:val="16"/>
              </w:rPr>
            </w:pPr>
            <w:r>
              <w:rPr>
                <w:rFonts w:ascii="Arial"/>
                <w:w w:val="95"/>
                <w:sz w:val="16"/>
              </w:rPr>
              <w:t>58.30</w:t>
            </w:r>
            <w:r>
              <w:rPr>
                <w:rFonts w:ascii="Arial"/>
                <w:sz w:val="16"/>
              </w:rPr>
            </w:r>
          </w:p>
        </w:tc>
        <w:tc>
          <w:tcPr>
            <w:tcW w:w="452" w:type="dxa"/>
            <w:tcBorders>
              <w:top w:val="nil" w:sz="6" w:space="0" w:color="auto"/>
              <w:left w:val="nil" w:sz="6" w:space="0" w:color="auto"/>
              <w:bottom w:val="nil" w:sz="6" w:space="0" w:color="auto"/>
              <w:right w:val="nil" w:sz="6" w:space="0" w:color="auto"/>
            </w:tcBorders>
          </w:tcPr>
          <w:p>
            <w:pPr>
              <w:pStyle w:val="TableParagraph"/>
              <w:spacing w:line="180" w:lineRule="exact"/>
              <w:ind w:right="28"/>
              <w:jc w:val="center"/>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c>
        <w:tc>
          <w:tcPr>
            <w:tcW w:w="2056" w:type="dxa"/>
            <w:gridSpan w:val="3"/>
            <w:tcBorders>
              <w:top w:val="nil" w:sz="6" w:space="0" w:color="auto"/>
              <w:left w:val="nil" w:sz="6" w:space="0" w:color="auto"/>
              <w:bottom w:val="nil" w:sz="6" w:space="0" w:color="auto"/>
              <w:right w:val="nil" w:sz="6" w:space="0" w:color="auto"/>
            </w:tcBorders>
          </w:tcPr>
          <w:p>
            <w:pPr>
              <w:pStyle w:val="TableParagraph"/>
              <w:tabs>
                <w:tab w:pos="1068" w:val="left" w:leader="none"/>
                <w:tab w:pos="1700" w:val="left" w:leader="none"/>
              </w:tabs>
              <w:spacing w:line="240" w:lineRule="auto" w:before="18"/>
              <w:ind w:left="328" w:right="0"/>
              <w:jc w:val="left"/>
              <w:rPr>
                <w:rFonts w:ascii="Arial" w:hAnsi="Arial" w:cs="Arial" w:eastAsia="Arial" w:hint="default"/>
                <w:sz w:val="16"/>
                <w:szCs w:val="16"/>
              </w:rPr>
            </w:pPr>
            <w:r>
              <w:rPr>
                <w:rFonts w:ascii="Arial"/>
                <w:w w:val="95"/>
                <w:sz w:val="16"/>
              </w:rPr>
              <w:t>-</w:t>
              <w:tab/>
              <w:t>-</w:t>
              <w:tab/>
            </w:r>
            <w:r>
              <w:rPr>
                <w:rFonts w:ascii="Arial"/>
                <w:sz w:val="16"/>
              </w:rPr>
              <w:t>-</w:t>
            </w:r>
          </w:p>
        </w:tc>
      </w:tr>
      <w:tr>
        <w:trPr>
          <w:trHeight w:val="290"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240" w:lineRule="auto" w:before="57"/>
              <w:ind w:left="548" w:right="0"/>
              <w:jc w:val="left"/>
              <w:rPr>
                <w:rFonts w:ascii="宋体" w:hAnsi="宋体" w:cs="宋体" w:eastAsia="宋体" w:hint="default"/>
                <w:sz w:val="16"/>
                <w:szCs w:val="16"/>
              </w:rPr>
            </w:pPr>
            <w:r>
              <w:rPr>
                <w:rFonts w:ascii="宋体" w:hAnsi="宋体" w:cs="宋体" w:eastAsia="宋体" w:hint="default"/>
                <w:sz w:val="16"/>
                <w:szCs w:val="16"/>
              </w:rPr>
              <w:t>中国联通（美洲）</w:t>
            </w:r>
          </w:p>
        </w:tc>
        <w:tc>
          <w:tcPr>
            <w:tcW w:w="374" w:type="dxa"/>
            <w:tcBorders>
              <w:top w:val="nil" w:sz="6" w:space="0" w:color="auto"/>
              <w:left w:val="nil" w:sz="6" w:space="0" w:color="auto"/>
              <w:bottom w:val="nil" w:sz="6" w:space="0" w:color="auto"/>
              <w:right w:val="nil" w:sz="6" w:space="0" w:color="auto"/>
            </w:tcBorders>
          </w:tcPr>
          <w:p>
            <w:pPr/>
          </w:p>
        </w:tc>
        <w:tc>
          <w:tcPr>
            <w:tcW w:w="567" w:type="dxa"/>
            <w:tcBorders>
              <w:top w:val="nil" w:sz="6" w:space="0" w:color="auto"/>
              <w:left w:val="nil" w:sz="6" w:space="0" w:color="auto"/>
              <w:bottom w:val="nil" w:sz="6" w:space="0" w:color="auto"/>
              <w:right w:val="nil" w:sz="6" w:space="0" w:color="auto"/>
            </w:tcBorders>
          </w:tcPr>
          <w:p>
            <w:pP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6"/>
              <w:jc w:val="center"/>
              <w:rPr>
                <w:rFonts w:ascii="宋体" w:hAnsi="宋体" w:cs="宋体" w:eastAsia="宋体" w:hint="default"/>
                <w:sz w:val="16"/>
                <w:szCs w:val="16"/>
              </w:rPr>
            </w:pPr>
            <w:r>
              <w:rPr>
                <w:rFonts w:ascii="宋体" w:hAnsi="宋体" w:cs="宋体" w:eastAsia="宋体" w:hint="default"/>
                <w:sz w:val="16"/>
                <w:szCs w:val="16"/>
              </w:rPr>
              <w:t>美国</w:t>
            </w:r>
          </w:p>
        </w:tc>
        <w:tc>
          <w:tcPr>
            <w:tcW w:w="714"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832" w:type="dxa"/>
            <w:tcBorders>
              <w:top w:val="nil" w:sz="6" w:space="0" w:color="auto"/>
              <w:left w:val="nil" w:sz="6" w:space="0" w:color="auto"/>
              <w:bottom w:val="nil" w:sz="6" w:space="0" w:color="auto"/>
              <w:right w:val="nil" w:sz="6" w:space="0" w:color="auto"/>
            </w:tcBorders>
          </w:tcPr>
          <w:p>
            <w:pPr/>
          </w:p>
        </w:tc>
        <w:tc>
          <w:tcPr>
            <w:tcW w:w="687"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2056" w:type="dxa"/>
            <w:gridSpan w:val="3"/>
            <w:tcBorders>
              <w:top w:val="nil" w:sz="6" w:space="0" w:color="auto"/>
              <w:left w:val="nil" w:sz="6" w:space="0" w:color="auto"/>
              <w:bottom w:val="nil" w:sz="6" w:space="0" w:color="auto"/>
              <w:right w:val="nil" w:sz="6" w:space="0" w:color="auto"/>
            </w:tcBorders>
          </w:tcPr>
          <w:p>
            <w:pPr/>
          </w:p>
        </w:tc>
      </w:tr>
      <w:tr>
        <w:trPr>
          <w:trHeight w:val="212"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184" w:lineRule="exact"/>
              <w:ind w:left="708" w:right="0"/>
              <w:jc w:val="left"/>
              <w:rPr>
                <w:rFonts w:ascii="宋体" w:hAnsi="宋体" w:cs="宋体" w:eastAsia="宋体" w:hint="default"/>
                <w:sz w:val="16"/>
                <w:szCs w:val="16"/>
              </w:rPr>
            </w:pPr>
            <w:r>
              <w:rPr>
                <w:rFonts w:ascii="宋体" w:hAnsi="宋体" w:cs="宋体" w:eastAsia="宋体" w:hint="default"/>
                <w:sz w:val="16"/>
                <w:szCs w:val="16"/>
              </w:rPr>
              <w:t>运营有限公司</w:t>
            </w:r>
          </w:p>
        </w:tc>
        <w:tc>
          <w:tcPr>
            <w:tcW w:w="374" w:type="dxa"/>
            <w:tcBorders>
              <w:top w:val="nil" w:sz="6" w:space="0" w:color="auto"/>
              <w:left w:val="nil" w:sz="6" w:space="0" w:color="auto"/>
              <w:bottom w:val="nil" w:sz="6" w:space="0" w:color="auto"/>
              <w:right w:val="nil" w:sz="6" w:space="0" w:color="auto"/>
            </w:tcBorders>
          </w:tcPr>
          <w:p>
            <w:pPr/>
          </w:p>
        </w:tc>
        <w:tc>
          <w:tcPr>
            <w:tcW w:w="567" w:type="dxa"/>
            <w:tcBorders>
              <w:top w:val="nil" w:sz="6" w:space="0" w:color="auto"/>
              <w:left w:val="nil" w:sz="6" w:space="0" w:color="auto"/>
              <w:bottom w:val="nil" w:sz="6" w:space="0" w:color="auto"/>
              <w:right w:val="nil" w:sz="6" w:space="0" w:color="auto"/>
            </w:tcBorders>
          </w:tcPr>
          <w:p>
            <w:pPr>
              <w:pStyle w:val="TableParagraph"/>
              <w:spacing w:line="184" w:lineRule="exact"/>
              <w:ind w:left="141" w:right="0"/>
              <w:jc w:val="left"/>
              <w:rPr>
                <w:rFonts w:ascii="宋体" w:hAnsi="宋体" w:cs="宋体" w:eastAsia="宋体" w:hint="default"/>
                <w:sz w:val="16"/>
                <w:szCs w:val="16"/>
              </w:rPr>
            </w:pPr>
            <w:r>
              <w:rPr>
                <w:rFonts w:ascii="宋体" w:hAnsi="宋体" w:cs="宋体" w:eastAsia="宋体" w:hint="default"/>
                <w:sz w:val="16"/>
                <w:szCs w:val="16"/>
              </w:rPr>
              <w:t>间接</w:t>
            </w:r>
          </w:p>
        </w:tc>
        <w:tc>
          <w:tcPr>
            <w:tcW w:w="1177" w:type="dxa"/>
            <w:tcBorders>
              <w:top w:val="nil" w:sz="6" w:space="0" w:color="auto"/>
              <w:left w:val="nil" w:sz="6" w:space="0" w:color="auto"/>
              <w:bottom w:val="nil" w:sz="6" w:space="0" w:color="auto"/>
              <w:right w:val="nil" w:sz="6" w:space="0" w:color="auto"/>
            </w:tcBorders>
          </w:tcPr>
          <w:p>
            <w:pPr>
              <w:pStyle w:val="TableParagraph"/>
              <w:spacing w:line="195" w:lineRule="exact"/>
              <w:ind w:right="6"/>
              <w:jc w:val="center"/>
              <w:rPr>
                <w:rFonts w:ascii="宋体" w:hAnsi="宋体" w:cs="宋体" w:eastAsia="宋体" w:hint="default"/>
                <w:sz w:val="16"/>
                <w:szCs w:val="16"/>
              </w:rPr>
            </w:pPr>
            <w:r>
              <w:rPr>
                <w:rFonts w:ascii="Arial" w:hAnsi="Arial" w:cs="Arial" w:eastAsia="Arial" w:hint="default"/>
                <w:sz w:val="16"/>
                <w:szCs w:val="16"/>
              </w:rPr>
              <w:t>2002</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714" w:type="dxa"/>
            <w:tcBorders>
              <w:top w:val="nil" w:sz="6" w:space="0" w:color="auto"/>
              <w:left w:val="nil" w:sz="6" w:space="0" w:color="auto"/>
              <w:bottom w:val="nil" w:sz="6" w:space="0" w:color="auto"/>
              <w:right w:val="nil" w:sz="6" w:space="0" w:color="auto"/>
            </w:tcBorders>
          </w:tcPr>
          <w:p>
            <w:pPr>
              <w:pStyle w:val="TableParagraph"/>
              <w:spacing w:line="184" w:lineRule="exact"/>
              <w:ind w:right="6"/>
              <w:jc w:val="center"/>
              <w:rPr>
                <w:rFonts w:ascii="宋体" w:hAnsi="宋体" w:cs="宋体" w:eastAsia="宋体" w:hint="default"/>
                <w:sz w:val="16"/>
                <w:szCs w:val="16"/>
              </w:rPr>
            </w:pPr>
            <w:r>
              <w:rPr>
                <w:rFonts w:ascii="宋体" w:hAnsi="宋体" w:cs="宋体" w:eastAsia="宋体" w:hint="default"/>
                <w:sz w:val="16"/>
                <w:szCs w:val="16"/>
              </w:rPr>
              <w:t>电信</w:t>
            </w:r>
          </w:p>
        </w:tc>
        <w:tc>
          <w:tcPr>
            <w:tcW w:w="1087" w:type="dxa"/>
            <w:tcBorders>
              <w:top w:val="nil" w:sz="6" w:space="0" w:color="auto"/>
              <w:left w:val="nil" w:sz="6" w:space="0" w:color="auto"/>
              <w:bottom w:val="nil" w:sz="6" w:space="0" w:color="auto"/>
              <w:right w:val="nil" w:sz="6" w:space="0" w:color="auto"/>
            </w:tcBorders>
          </w:tcPr>
          <w:p>
            <w:pPr/>
          </w:p>
        </w:tc>
        <w:tc>
          <w:tcPr>
            <w:tcW w:w="834" w:type="dxa"/>
            <w:tcBorders>
              <w:top w:val="nil" w:sz="6" w:space="0" w:color="auto"/>
              <w:left w:val="nil" w:sz="6" w:space="0" w:color="auto"/>
              <w:bottom w:val="nil" w:sz="6" w:space="0" w:color="auto"/>
              <w:right w:val="nil" w:sz="6" w:space="0" w:color="auto"/>
            </w:tcBorders>
          </w:tcPr>
          <w:p>
            <w:pPr/>
          </w:p>
        </w:tc>
        <w:tc>
          <w:tcPr>
            <w:tcW w:w="832" w:type="dxa"/>
            <w:tcBorders>
              <w:top w:val="nil" w:sz="6" w:space="0" w:color="auto"/>
              <w:left w:val="nil" w:sz="6" w:space="0" w:color="auto"/>
              <w:bottom w:val="nil" w:sz="6" w:space="0" w:color="auto"/>
              <w:right w:val="nil" w:sz="6" w:space="0" w:color="auto"/>
            </w:tcBorders>
          </w:tcPr>
          <w:p>
            <w:pPr>
              <w:pStyle w:val="TableParagraph"/>
              <w:spacing w:line="184" w:lineRule="exact"/>
              <w:ind w:right="37"/>
              <w:jc w:val="center"/>
              <w:rPr>
                <w:rFonts w:ascii="宋体" w:hAnsi="宋体" w:cs="宋体" w:eastAsia="宋体" w:hint="default"/>
                <w:sz w:val="16"/>
                <w:szCs w:val="16"/>
              </w:rPr>
            </w:pPr>
            <w:r>
              <w:rPr>
                <w:rFonts w:ascii="宋体" w:hAnsi="宋体" w:cs="宋体" w:eastAsia="宋体" w:hint="default"/>
                <w:sz w:val="16"/>
                <w:szCs w:val="16"/>
              </w:rPr>
              <w:t>有限</w:t>
            </w:r>
          </w:p>
        </w:tc>
        <w:tc>
          <w:tcPr>
            <w:tcW w:w="687" w:type="dxa"/>
            <w:tcBorders>
              <w:top w:val="nil" w:sz="6" w:space="0" w:color="auto"/>
              <w:left w:val="nil" w:sz="6" w:space="0" w:color="auto"/>
              <w:bottom w:val="nil" w:sz="6" w:space="0" w:color="auto"/>
              <w:right w:val="nil" w:sz="6" w:space="0" w:color="auto"/>
            </w:tcBorders>
          </w:tcPr>
          <w:p>
            <w:pPr/>
          </w:p>
        </w:tc>
        <w:tc>
          <w:tcPr>
            <w:tcW w:w="1128"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063" w:type="dxa"/>
            <w:tcBorders>
              <w:top w:val="nil" w:sz="6" w:space="0" w:color="auto"/>
              <w:left w:val="nil" w:sz="6" w:space="0" w:color="auto"/>
              <w:bottom w:val="nil" w:sz="6" w:space="0" w:color="auto"/>
              <w:right w:val="nil" w:sz="6" w:space="0" w:color="auto"/>
            </w:tcBorders>
          </w:tcPr>
          <w:p>
            <w:pPr/>
          </w:p>
        </w:tc>
        <w:tc>
          <w:tcPr>
            <w:tcW w:w="540"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52" w:type="dxa"/>
            <w:tcBorders>
              <w:top w:val="nil" w:sz="6" w:space="0" w:color="auto"/>
              <w:left w:val="nil" w:sz="6" w:space="0" w:color="auto"/>
              <w:bottom w:val="nil" w:sz="6" w:space="0" w:color="auto"/>
              <w:right w:val="nil" w:sz="6" w:space="0" w:color="auto"/>
            </w:tcBorders>
          </w:tcPr>
          <w:p>
            <w:pPr/>
          </w:p>
        </w:tc>
        <w:tc>
          <w:tcPr>
            <w:tcW w:w="2056" w:type="dxa"/>
            <w:gridSpan w:val="3"/>
            <w:tcBorders>
              <w:top w:val="nil" w:sz="6" w:space="0" w:color="auto"/>
              <w:left w:val="nil" w:sz="6" w:space="0" w:color="auto"/>
              <w:bottom w:val="nil" w:sz="6" w:space="0" w:color="auto"/>
              <w:right w:val="nil" w:sz="6" w:space="0" w:color="auto"/>
            </w:tcBorders>
          </w:tcPr>
          <w:p>
            <w:pPr/>
          </w:p>
        </w:tc>
      </w:tr>
      <w:tr>
        <w:trPr>
          <w:trHeight w:val="299" w:hRule="exact"/>
        </w:trPr>
        <w:tc>
          <w:tcPr>
            <w:tcW w:w="2110" w:type="dxa"/>
            <w:tcBorders>
              <w:top w:val="nil" w:sz="6" w:space="0" w:color="auto"/>
              <w:left w:val="nil" w:sz="6" w:space="0" w:color="auto"/>
              <w:bottom w:val="nil" w:sz="6" w:space="0" w:color="auto"/>
              <w:right w:val="nil" w:sz="6" w:space="0" w:color="auto"/>
            </w:tcBorders>
          </w:tcPr>
          <w:p>
            <w:pPr>
              <w:pStyle w:val="TableParagraph"/>
              <w:spacing w:line="180" w:lineRule="exact"/>
              <w:ind w:left="548" w:right="0"/>
              <w:jc w:val="left"/>
              <w:rPr>
                <w:rFonts w:ascii="宋体" w:hAnsi="宋体" w:cs="宋体" w:eastAsia="宋体" w:hint="default"/>
                <w:sz w:val="16"/>
                <w:szCs w:val="16"/>
              </w:rPr>
            </w:pPr>
            <w:r>
              <w:rPr>
                <w:rFonts w:ascii="宋体" w:hAnsi="宋体" w:cs="宋体" w:eastAsia="宋体" w:hint="default"/>
                <w:spacing w:val="-8"/>
                <w:sz w:val="16"/>
                <w:szCs w:val="16"/>
              </w:rPr>
              <w:t>（“联通美洲运营”）</w:t>
            </w:r>
          </w:p>
        </w:tc>
        <w:tc>
          <w:tcPr>
            <w:tcW w:w="37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7" w:right="0"/>
              <w:jc w:val="left"/>
              <w:rPr>
                <w:rFonts w:ascii="Arial" w:hAnsi="Arial" w:cs="Arial" w:eastAsia="Arial" w:hint="default"/>
                <w:sz w:val="16"/>
                <w:szCs w:val="16"/>
              </w:rPr>
            </w:pPr>
            <w:r>
              <w:rPr>
                <w:rFonts w:ascii="Arial"/>
                <w:sz w:val="16"/>
              </w:rPr>
              <w:t>(1)</w:t>
            </w:r>
          </w:p>
        </w:tc>
        <w:tc>
          <w:tcPr>
            <w:tcW w:w="567" w:type="dxa"/>
            <w:tcBorders>
              <w:top w:val="nil" w:sz="6" w:space="0" w:color="auto"/>
              <w:left w:val="nil" w:sz="6" w:space="0" w:color="auto"/>
              <w:bottom w:val="nil" w:sz="6" w:space="0" w:color="auto"/>
              <w:right w:val="nil" w:sz="6" w:space="0" w:color="auto"/>
            </w:tcBorders>
          </w:tcPr>
          <w:p>
            <w:pPr>
              <w:pStyle w:val="TableParagraph"/>
              <w:spacing w:line="180" w:lineRule="exact"/>
              <w:ind w:left="141" w:right="0"/>
              <w:jc w:val="left"/>
              <w:rPr>
                <w:rFonts w:ascii="宋体" w:hAnsi="宋体" w:cs="宋体" w:eastAsia="宋体" w:hint="default"/>
                <w:sz w:val="16"/>
                <w:szCs w:val="16"/>
              </w:rPr>
            </w:pPr>
            <w:r>
              <w:rPr>
                <w:rFonts w:ascii="宋体" w:hAnsi="宋体" w:cs="宋体" w:eastAsia="宋体" w:hint="default"/>
                <w:sz w:val="16"/>
                <w:szCs w:val="16"/>
              </w:rPr>
              <w:t>控股</w:t>
            </w:r>
          </w:p>
        </w:tc>
        <w:tc>
          <w:tcPr>
            <w:tcW w:w="1177" w:type="dxa"/>
            <w:tcBorders>
              <w:top w:val="nil" w:sz="6" w:space="0" w:color="auto"/>
              <w:left w:val="nil" w:sz="6" w:space="0" w:color="auto"/>
              <w:bottom w:val="nil" w:sz="6" w:space="0" w:color="auto"/>
              <w:right w:val="nil" w:sz="6" w:space="0" w:color="auto"/>
            </w:tcBorders>
          </w:tcPr>
          <w:p>
            <w:pPr>
              <w:pStyle w:val="TableParagraph"/>
              <w:spacing w:line="191" w:lineRule="exact"/>
              <w:ind w:right="6"/>
              <w:jc w:val="center"/>
              <w:rPr>
                <w:rFonts w:ascii="宋体" w:hAnsi="宋体" w:cs="宋体" w:eastAsia="宋体" w:hint="default"/>
                <w:sz w:val="16"/>
                <w:szCs w:val="16"/>
              </w:rPr>
            </w:pPr>
            <w:r>
              <w:rPr>
                <w:rFonts w:ascii="Arial" w:hAnsi="Arial" w:cs="Arial" w:eastAsia="Arial" w:hint="default"/>
                <w:sz w:val="16"/>
                <w:szCs w:val="16"/>
              </w:rPr>
              <w:t>5</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24</w:t>
            </w:r>
            <w:r>
              <w:rPr>
                <w:rFonts w:ascii="Arial" w:hAnsi="Arial" w:cs="Arial" w:eastAsia="Arial" w:hint="default"/>
                <w:spacing w:val="-6"/>
                <w:sz w:val="16"/>
                <w:szCs w:val="16"/>
              </w:rPr>
              <w:t> </w:t>
            </w:r>
            <w:r>
              <w:rPr>
                <w:rFonts w:ascii="宋体" w:hAnsi="宋体" w:cs="宋体" w:eastAsia="宋体" w:hint="default"/>
                <w:sz w:val="16"/>
                <w:szCs w:val="16"/>
              </w:rPr>
              <w:t>日</w:t>
            </w:r>
          </w:p>
        </w:tc>
        <w:tc>
          <w:tcPr>
            <w:tcW w:w="714" w:type="dxa"/>
            <w:tcBorders>
              <w:top w:val="nil" w:sz="6" w:space="0" w:color="auto"/>
              <w:left w:val="nil" w:sz="6" w:space="0" w:color="auto"/>
              <w:bottom w:val="nil" w:sz="6" w:space="0" w:color="auto"/>
              <w:right w:val="nil" w:sz="6" w:space="0" w:color="auto"/>
            </w:tcBorders>
          </w:tcPr>
          <w:p>
            <w:pPr>
              <w:pStyle w:val="TableParagraph"/>
              <w:spacing w:line="180" w:lineRule="exact"/>
              <w:ind w:right="6"/>
              <w:jc w:val="center"/>
              <w:rPr>
                <w:rFonts w:ascii="宋体" w:hAnsi="宋体" w:cs="宋体" w:eastAsia="宋体" w:hint="default"/>
                <w:sz w:val="16"/>
                <w:szCs w:val="16"/>
              </w:rPr>
            </w:pPr>
            <w:r>
              <w:rPr>
                <w:rFonts w:ascii="宋体" w:hAnsi="宋体" w:cs="宋体" w:eastAsia="宋体" w:hint="default"/>
                <w:sz w:val="16"/>
                <w:szCs w:val="16"/>
              </w:rPr>
              <w:t>业务</w:t>
            </w:r>
          </w:p>
        </w:tc>
        <w:tc>
          <w:tcPr>
            <w:tcW w:w="1087" w:type="dxa"/>
            <w:tcBorders>
              <w:top w:val="nil" w:sz="6" w:space="0" w:color="auto"/>
              <w:left w:val="nil" w:sz="6" w:space="0" w:color="auto"/>
              <w:bottom w:val="nil" w:sz="6" w:space="0" w:color="auto"/>
              <w:right w:val="nil" w:sz="6" w:space="0" w:color="auto"/>
            </w:tcBorders>
          </w:tcPr>
          <w:p>
            <w:pPr>
              <w:pStyle w:val="TableParagraph"/>
              <w:spacing w:line="191" w:lineRule="exact"/>
              <w:ind w:right="115"/>
              <w:jc w:val="right"/>
              <w:rPr>
                <w:rFonts w:ascii="Arial" w:hAnsi="Arial" w:cs="Arial" w:eastAsia="Arial" w:hint="default"/>
                <w:sz w:val="16"/>
                <w:szCs w:val="16"/>
              </w:rPr>
            </w:pPr>
            <w:r>
              <w:rPr>
                <w:rFonts w:ascii="宋体" w:hAnsi="宋体" w:cs="宋体" w:eastAsia="宋体" w:hint="default"/>
                <w:sz w:val="16"/>
                <w:szCs w:val="16"/>
              </w:rPr>
              <w:t>美元</w:t>
            </w:r>
            <w:r>
              <w:rPr>
                <w:rFonts w:ascii="宋体" w:hAnsi="宋体" w:cs="宋体" w:eastAsia="宋体" w:hint="default"/>
                <w:spacing w:val="-43"/>
                <w:sz w:val="16"/>
                <w:szCs w:val="16"/>
              </w:rPr>
              <w:t> </w:t>
            </w:r>
            <w:r>
              <w:rPr>
                <w:rFonts w:ascii="Arial" w:hAnsi="Arial" w:cs="Arial" w:eastAsia="Arial" w:hint="default"/>
                <w:sz w:val="16"/>
                <w:szCs w:val="16"/>
              </w:rPr>
              <w:t>500</w:t>
            </w:r>
          </w:p>
        </w:tc>
        <w:tc>
          <w:tcPr>
            <w:tcW w:w="834" w:type="dxa"/>
            <w:tcBorders>
              <w:top w:val="nil" w:sz="6" w:space="0" w:color="auto"/>
              <w:left w:val="nil" w:sz="6" w:space="0" w:color="auto"/>
              <w:bottom w:val="nil" w:sz="6" w:space="0" w:color="auto"/>
              <w:right w:val="nil" w:sz="6" w:space="0" w:color="auto"/>
            </w:tcBorders>
          </w:tcPr>
          <w:p>
            <w:pPr>
              <w:pStyle w:val="TableParagraph"/>
              <w:spacing w:line="180" w:lineRule="exact"/>
              <w:ind w:left="40" w:right="0"/>
              <w:jc w:val="center"/>
              <w:rPr>
                <w:rFonts w:ascii="宋体" w:hAnsi="宋体" w:cs="宋体" w:eastAsia="宋体" w:hint="default"/>
                <w:sz w:val="16"/>
                <w:szCs w:val="16"/>
              </w:rPr>
            </w:pPr>
            <w:r>
              <w:rPr>
                <w:rFonts w:ascii="宋体" w:hAnsi="宋体" w:cs="宋体" w:eastAsia="宋体" w:hint="default"/>
                <w:sz w:val="16"/>
                <w:szCs w:val="16"/>
              </w:rPr>
              <w:t>电信业务</w:t>
            </w:r>
          </w:p>
        </w:tc>
        <w:tc>
          <w:tcPr>
            <w:tcW w:w="832" w:type="dxa"/>
            <w:tcBorders>
              <w:top w:val="nil" w:sz="6" w:space="0" w:color="auto"/>
              <w:left w:val="nil" w:sz="6" w:space="0" w:color="auto"/>
              <w:bottom w:val="nil" w:sz="6" w:space="0" w:color="auto"/>
              <w:right w:val="nil" w:sz="6" w:space="0" w:color="auto"/>
            </w:tcBorders>
          </w:tcPr>
          <w:p>
            <w:pPr>
              <w:pStyle w:val="TableParagraph"/>
              <w:spacing w:line="180" w:lineRule="exact"/>
              <w:ind w:right="37"/>
              <w:jc w:val="center"/>
              <w:rPr>
                <w:rFonts w:ascii="宋体" w:hAnsi="宋体" w:cs="宋体" w:eastAsia="宋体" w:hint="default"/>
                <w:sz w:val="16"/>
                <w:szCs w:val="16"/>
              </w:rPr>
            </w:pPr>
            <w:r>
              <w:rPr>
                <w:rFonts w:ascii="宋体" w:hAnsi="宋体" w:cs="宋体" w:eastAsia="宋体" w:hint="default"/>
                <w:sz w:val="16"/>
                <w:szCs w:val="16"/>
              </w:rPr>
              <w:t>公司</w:t>
            </w:r>
          </w:p>
        </w:tc>
        <w:tc>
          <w:tcPr>
            <w:tcW w:w="687" w:type="dxa"/>
            <w:tcBorders>
              <w:top w:val="nil" w:sz="6" w:space="0" w:color="auto"/>
              <w:left w:val="nil" w:sz="6" w:space="0" w:color="auto"/>
              <w:bottom w:val="nil" w:sz="6" w:space="0" w:color="auto"/>
              <w:right w:val="nil" w:sz="6" w:space="0" w:color="auto"/>
            </w:tcBorders>
          </w:tcPr>
          <w:p>
            <w:pPr>
              <w:pStyle w:val="TableParagraph"/>
              <w:spacing w:line="180" w:lineRule="exact"/>
              <w:ind w:right="121"/>
              <w:jc w:val="right"/>
              <w:rPr>
                <w:rFonts w:ascii="宋体" w:hAnsi="宋体" w:cs="宋体" w:eastAsia="宋体" w:hint="default"/>
                <w:sz w:val="16"/>
                <w:szCs w:val="16"/>
              </w:rPr>
            </w:pPr>
            <w:r>
              <w:rPr>
                <w:rFonts w:ascii="宋体" w:hAnsi="宋体" w:cs="宋体" w:eastAsia="宋体" w:hint="default"/>
                <w:w w:val="95"/>
                <w:sz w:val="16"/>
                <w:szCs w:val="16"/>
              </w:rPr>
              <w:t>不适用</w:t>
            </w:r>
            <w:r>
              <w:rPr>
                <w:rFonts w:ascii="宋体" w:hAnsi="宋体" w:cs="宋体" w:eastAsia="宋体" w:hint="default"/>
                <w:sz w:val="16"/>
                <w:szCs w:val="16"/>
              </w:rPr>
            </w:r>
          </w:p>
        </w:tc>
        <w:tc>
          <w:tcPr>
            <w:tcW w:w="1128" w:type="dxa"/>
            <w:tcBorders>
              <w:top w:val="nil" w:sz="6" w:space="0" w:color="auto"/>
              <w:left w:val="nil" w:sz="6" w:space="0" w:color="auto"/>
              <w:bottom w:val="nil" w:sz="6" w:space="0" w:color="auto"/>
              <w:right w:val="nil" w:sz="6" w:space="0" w:color="auto"/>
            </w:tcBorders>
          </w:tcPr>
          <w:p>
            <w:pPr>
              <w:pStyle w:val="TableParagraph"/>
              <w:spacing w:line="180" w:lineRule="exact"/>
              <w:ind w:left="283" w:right="0"/>
              <w:jc w:val="left"/>
              <w:rPr>
                <w:rFonts w:ascii="宋体" w:hAnsi="宋体" w:cs="宋体" w:eastAsia="宋体" w:hint="default"/>
                <w:sz w:val="16"/>
                <w:szCs w:val="16"/>
              </w:rPr>
            </w:pPr>
            <w:r>
              <w:rPr>
                <w:rFonts w:ascii="宋体" w:hAnsi="宋体" w:cs="宋体" w:eastAsia="宋体" w:hint="default"/>
                <w:sz w:val="16"/>
                <w:szCs w:val="16"/>
              </w:rPr>
              <w:t>不适用</w:t>
            </w:r>
          </w:p>
        </w:tc>
        <w:tc>
          <w:tcPr>
            <w:tcW w:w="113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69"/>
              <w:jc w:val="right"/>
              <w:rPr>
                <w:rFonts w:ascii="Arial" w:hAnsi="Arial" w:cs="Arial" w:eastAsia="Arial" w:hint="default"/>
                <w:sz w:val="16"/>
                <w:szCs w:val="16"/>
              </w:rPr>
            </w:pPr>
            <w:r>
              <w:rPr>
                <w:rFonts w:ascii="Arial"/>
                <w:w w:val="95"/>
                <w:sz w:val="16"/>
              </w:rPr>
              <w:t>109,218</w:t>
            </w:r>
            <w:r>
              <w:rPr>
                <w:rFonts w:ascii="Arial"/>
                <w:sz w:val="16"/>
              </w:rPr>
            </w:r>
          </w:p>
        </w:tc>
        <w:tc>
          <w:tcPr>
            <w:tcW w:w="1063" w:type="dxa"/>
            <w:tcBorders>
              <w:top w:val="nil" w:sz="6" w:space="0" w:color="auto"/>
              <w:left w:val="nil" w:sz="6" w:space="0" w:color="auto"/>
              <w:bottom w:val="nil" w:sz="6" w:space="0" w:color="auto"/>
              <w:right w:val="nil" w:sz="6" w:space="0" w:color="auto"/>
            </w:tcBorders>
          </w:tcPr>
          <w:p>
            <w:pPr>
              <w:pStyle w:val="TableParagraph"/>
              <w:spacing w:line="180" w:lineRule="exact"/>
              <w:ind w:left="76" w:right="0"/>
              <w:jc w:val="center"/>
              <w:rPr>
                <w:rFonts w:ascii="宋体" w:hAnsi="宋体" w:cs="宋体" w:eastAsia="宋体" w:hint="default"/>
                <w:sz w:val="16"/>
                <w:szCs w:val="16"/>
              </w:rPr>
            </w:pPr>
            <w:r>
              <w:rPr>
                <w:rFonts w:ascii="宋体" w:hAnsi="宋体" w:cs="宋体" w:eastAsia="宋体" w:hint="default"/>
                <w:w w:val="99"/>
                <w:sz w:val="16"/>
                <w:szCs w:val="16"/>
              </w:rPr>
              <w:t>无</w:t>
            </w:r>
            <w:r>
              <w:rPr>
                <w:rFonts w:ascii="宋体" w:hAnsi="宋体" w:cs="宋体" w:eastAsia="宋体" w:hint="default"/>
                <w:sz w:val="16"/>
                <w:szCs w:val="16"/>
              </w:rPr>
            </w:r>
          </w:p>
        </w:tc>
        <w:tc>
          <w:tcPr>
            <w:tcW w:w="54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5" w:right="0"/>
              <w:jc w:val="center"/>
              <w:rPr>
                <w:rFonts w:ascii="Arial" w:hAnsi="Arial" w:cs="Arial" w:eastAsia="Arial" w:hint="default"/>
                <w:sz w:val="16"/>
                <w:szCs w:val="16"/>
              </w:rPr>
            </w:pPr>
            <w:r>
              <w:rPr>
                <w:rFonts w:ascii="Arial"/>
                <w:sz w:val="16"/>
              </w:rPr>
              <w:t>33.88</w:t>
            </w:r>
          </w:p>
        </w:tc>
        <w:tc>
          <w:tcPr>
            <w:tcW w:w="57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8"/>
              <w:jc w:val="right"/>
              <w:rPr>
                <w:rFonts w:ascii="Arial" w:hAnsi="Arial" w:cs="Arial" w:eastAsia="Arial" w:hint="default"/>
                <w:sz w:val="16"/>
                <w:szCs w:val="16"/>
              </w:rPr>
            </w:pPr>
            <w:r>
              <w:rPr>
                <w:rFonts w:ascii="Arial"/>
                <w:w w:val="95"/>
                <w:sz w:val="16"/>
              </w:rPr>
              <w:t>58.30</w:t>
            </w:r>
            <w:r>
              <w:rPr>
                <w:rFonts w:ascii="Arial"/>
                <w:sz w:val="16"/>
              </w:rPr>
            </w:r>
          </w:p>
        </w:tc>
        <w:tc>
          <w:tcPr>
            <w:tcW w:w="452" w:type="dxa"/>
            <w:tcBorders>
              <w:top w:val="nil" w:sz="6" w:space="0" w:color="auto"/>
              <w:left w:val="nil" w:sz="6" w:space="0" w:color="auto"/>
              <w:bottom w:val="nil" w:sz="6" w:space="0" w:color="auto"/>
              <w:right w:val="nil" w:sz="6" w:space="0" w:color="auto"/>
            </w:tcBorders>
          </w:tcPr>
          <w:p>
            <w:pPr>
              <w:pStyle w:val="TableParagraph"/>
              <w:spacing w:line="180" w:lineRule="exact"/>
              <w:ind w:right="28"/>
              <w:jc w:val="center"/>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c>
        <w:tc>
          <w:tcPr>
            <w:tcW w:w="2056" w:type="dxa"/>
            <w:gridSpan w:val="3"/>
            <w:tcBorders>
              <w:top w:val="nil" w:sz="6" w:space="0" w:color="auto"/>
              <w:left w:val="nil" w:sz="6" w:space="0" w:color="auto"/>
              <w:bottom w:val="nil" w:sz="6" w:space="0" w:color="auto"/>
              <w:right w:val="nil" w:sz="6" w:space="0" w:color="auto"/>
            </w:tcBorders>
          </w:tcPr>
          <w:p>
            <w:pPr>
              <w:pStyle w:val="TableParagraph"/>
              <w:tabs>
                <w:tab w:pos="1068" w:val="left" w:leader="none"/>
                <w:tab w:pos="1700" w:val="left" w:leader="none"/>
              </w:tabs>
              <w:spacing w:line="240" w:lineRule="auto" w:before="18"/>
              <w:ind w:left="328" w:right="0"/>
              <w:jc w:val="left"/>
              <w:rPr>
                <w:rFonts w:ascii="Arial" w:hAnsi="Arial" w:cs="Arial" w:eastAsia="Arial" w:hint="default"/>
                <w:sz w:val="16"/>
                <w:szCs w:val="16"/>
              </w:rPr>
            </w:pPr>
            <w:r>
              <w:rPr>
                <w:rFonts w:ascii="Arial"/>
                <w:w w:val="95"/>
                <w:sz w:val="16"/>
              </w:rPr>
              <w:t>-</w:t>
              <w:tab/>
              <w:t>-</w:t>
              <w:tab/>
            </w:r>
            <w:r>
              <w:rPr>
                <w:rFonts w:ascii="Arial"/>
                <w:sz w:val="16"/>
              </w:rPr>
              <w:t>-</w:t>
            </w:r>
          </w:p>
        </w:tc>
      </w:tr>
    </w:tbl>
    <w:p>
      <w:pPr>
        <w:spacing w:line="240" w:lineRule="auto" w:before="3"/>
        <w:rPr>
          <w:rFonts w:ascii="宋体" w:hAnsi="宋体" w:cs="宋体" w:eastAsia="宋体" w:hint="default"/>
          <w:sz w:val="6"/>
          <w:szCs w:val="6"/>
        </w:rPr>
      </w:pPr>
    </w:p>
    <w:p>
      <w:pPr>
        <w:spacing w:line="214" w:lineRule="exact" w:before="50"/>
        <w:ind w:left="650" w:right="0" w:firstLine="0"/>
        <w:jc w:val="left"/>
        <w:rPr>
          <w:rFonts w:ascii="宋体" w:hAnsi="宋体" w:cs="宋体" w:eastAsia="宋体" w:hint="default"/>
          <w:sz w:val="16"/>
          <w:szCs w:val="16"/>
        </w:rPr>
      </w:pPr>
      <w:r>
        <w:rPr>
          <w:rFonts w:ascii="宋体" w:hAnsi="宋体" w:cs="宋体" w:eastAsia="宋体" w:hint="default"/>
          <w:sz w:val="16"/>
          <w:szCs w:val="16"/>
        </w:rPr>
        <w:t>注：少数股东权益项目</w:t>
      </w:r>
      <w:r>
        <w:rPr>
          <w:rFonts w:ascii="宋体" w:hAnsi="宋体" w:cs="宋体" w:eastAsia="宋体" w:hint="default"/>
          <w:spacing w:val="-42"/>
          <w:sz w:val="16"/>
          <w:szCs w:val="16"/>
        </w:rPr>
        <w:t> </w:t>
      </w:r>
      <w:r>
        <w:rPr>
          <w:rFonts w:ascii="Arial" w:hAnsi="Arial" w:cs="Arial" w:eastAsia="Arial" w:hint="default"/>
          <w:sz w:val="16"/>
          <w:szCs w:val="16"/>
        </w:rPr>
        <w:t>1</w:t>
      </w:r>
      <w:r>
        <w:rPr>
          <w:rFonts w:ascii="Arial" w:hAnsi="Arial" w:cs="Arial" w:eastAsia="Arial" w:hint="default"/>
          <w:spacing w:val="-8"/>
          <w:sz w:val="16"/>
          <w:szCs w:val="16"/>
        </w:rPr>
        <w:t> </w:t>
      </w:r>
      <w:r>
        <w:rPr>
          <w:rFonts w:ascii="宋体" w:hAnsi="宋体" w:cs="宋体" w:eastAsia="宋体" w:hint="default"/>
          <w:sz w:val="16"/>
          <w:szCs w:val="16"/>
        </w:rPr>
        <w:t>指“少数股东权益中用于冲减少数股东损益的金额”。</w:t>
      </w:r>
    </w:p>
    <w:p>
      <w:pPr>
        <w:spacing w:line="214" w:lineRule="exact" w:before="0"/>
        <w:ind w:left="986" w:right="0" w:firstLine="0"/>
        <w:jc w:val="left"/>
        <w:rPr>
          <w:rFonts w:ascii="宋体" w:hAnsi="宋体" w:cs="宋体" w:eastAsia="宋体" w:hint="default"/>
          <w:sz w:val="16"/>
          <w:szCs w:val="16"/>
        </w:rPr>
      </w:pPr>
      <w:r>
        <w:rPr>
          <w:rFonts w:ascii="宋体" w:hAnsi="宋体" w:cs="宋体" w:eastAsia="宋体" w:hint="default"/>
          <w:sz w:val="16"/>
          <w:szCs w:val="16"/>
        </w:rPr>
        <w:t>少数股东权益项目</w:t>
      </w:r>
      <w:r>
        <w:rPr>
          <w:rFonts w:ascii="宋体" w:hAnsi="宋体" w:cs="宋体" w:eastAsia="宋体" w:hint="default"/>
          <w:spacing w:val="-45"/>
          <w:sz w:val="16"/>
          <w:szCs w:val="16"/>
        </w:rPr>
        <w:t> </w:t>
      </w:r>
      <w:r>
        <w:rPr>
          <w:rFonts w:ascii="Arial" w:hAnsi="Arial" w:cs="Arial" w:eastAsia="Arial" w:hint="default"/>
          <w:sz w:val="16"/>
          <w:szCs w:val="16"/>
        </w:rPr>
        <w:t>2</w:t>
      </w:r>
      <w:r>
        <w:rPr>
          <w:rFonts w:ascii="Arial" w:hAnsi="Arial" w:cs="Arial" w:eastAsia="Arial" w:hint="default"/>
          <w:spacing w:val="-9"/>
          <w:sz w:val="16"/>
          <w:szCs w:val="16"/>
        </w:rPr>
        <w:t> </w:t>
      </w:r>
      <w:r>
        <w:rPr>
          <w:rFonts w:ascii="宋体" w:hAnsi="宋体" w:cs="宋体" w:eastAsia="宋体" w:hint="default"/>
          <w:sz w:val="16"/>
          <w:szCs w:val="16"/>
        </w:rPr>
        <w:t>指“从母公司所有者权益冲减子公司少数股东分担的本年亏损超过少数股东在该子公司年初所有者权益中所享有份额后的余额”。</w:t>
      </w:r>
    </w:p>
    <w:p>
      <w:pPr>
        <w:spacing w:after="0" w:line="214" w:lineRule="exact"/>
        <w:jc w:val="left"/>
        <w:rPr>
          <w:rFonts w:ascii="宋体" w:hAnsi="宋体" w:cs="宋体" w:eastAsia="宋体" w:hint="default"/>
          <w:sz w:val="16"/>
          <w:szCs w:val="16"/>
        </w:rPr>
        <w:sectPr>
          <w:headerReference w:type="default" r:id="rId67"/>
          <w:pgSz w:w="16840" w:h="11910" w:orient="landscape"/>
          <w:pgMar w:header="1189" w:footer="589" w:top="3080" w:bottom="780" w:left="420" w:right="860"/>
        </w:sectPr>
      </w:pPr>
    </w:p>
    <w:p>
      <w:pPr>
        <w:spacing w:line="240" w:lineRule="auto" w:before="10"/>
        <w:rPr>
          <w:rFonts w:ascii="宋体" w:hAnsi="宋体" w:cs="宋体" w:eastAsia="宋体" w:hint="default"/>
          <w:sz w:val="16"/>
          <w:szCs w:val="16"/>
        </w:rPr>
      </w:pPr>
    </w:p>
    <w:tbl>
      <w:tblPr>
        <w:tblW w:w="0" w:type="auto"/>
        <w:jc w:val="left"/>
        <w:tblInd w:w="119" w:type="dxa"/>
        <w:tblLayout w:type="fixed"/>
        <w:tblCellMar>
          <w:top w:w="0" w:type="dxa"/>
          <w:left w:w="0" w:type="dxa"/>
          <w:bottom w:w="0" w:type="dxa"/>
          <w:right w:w="0" w:type="dxa"/>
        </w:tblCellMar>
        <w:tblLook w:val="01E0"/>
      </w:tblPr>
      <w:tblGrid>
        <w:gridCol w:w="2061"/>
        <w:gridCol w:w="395"/>
        <w:gridCol w:w="599"/>
        <w:gridCol w:w="1177"/>
        <w:gridCol w:w="637"/>
        <w:gridCol w:w="213"/>
        <w:gridCol w:w="917"/>
        <w:gridCol w:w="808"/>
        <w:gridCol w:w="789"/>
        <w:gridCol w:w="779"/>
        <w:gridCol w:w="1083"/>
        <w:gridCol w:w="1229"/>
        <w:gridCol w:w="1152"/>
        <w:gridCol w:w="572"/>
        <w:gridCol w:w="578"/>
        <w:gridCol w:w="463"/>
        <w:gridCol w:w="856"/>
        <w:gridCol w:w="756"/>
        <w:gridCol w:w="665"/>
      </w:tblGrid>
      <w:tr>
        <w:trPr>
          <w:trHeight w:val="1018" w:hRule="exact"/>
        </w:trPr>
        <w:tc>
          <w:tcPr>
            <w:tcW w:w="5083"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2"/>
                <w:szCs w:val="22"/>
              </w:rPr>
            </w:pPr>
            <w:r>
              <w:rPr>
                <w:rFonts w:ascii="Arial" w:hAnsi="Arial" w:cs="Arial" w:eastAsia="Arial" w:hint="default"/>
                <w:sz w:val="22"/>
                <w:szCs w:val="22"/>
              </w:rPr>
              <w:t>1</w:t>
            </w:r>
            <w:r>
              <w:rPr>
                <w:rFonts w:ascii="宋体" w:hAnsi="宋体" w:cs="宋体" w:eastAsia="宋体" w:hint="default"/>
                <w:sz w:val="22"/>
                <w:szCs w:val="22"/>
              </w:rPr>
              <w:t>、</w:t>
            </w:r>
            <w:r>
              <w:rPr>
                <w:rFonts w:ascii="宋体" w:hAnsi="宋体" w:cs="宋体" w:eastAsia="宋体" w:hint="default"/>
                <w:spacing w:val="-62"/>
                <w:sz w:val="22"/>
                <w:szCs w:val="22"/>
              </w:rPr>
              <w:t> </w:t>
            </w:r>
            <w:r>
              <w:rPr>
                <w:rFonts w:ascii="宋体" w:hAnsi="宋体" w:cs="宋体" w:eastAsia="宋体" w:hint="default"/>
                <w:sz w:val="22"/>
                <w:szCs w:val="22"/>
              </w:rPr>
              <w:t>重要子公司情况（续）</w:t>
            </w: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22"/>
                <w:szCs w:val="22"/>
              </w:rPr>
            </w:pPr>
            <w:r>
              <w:rPr>
                <w:rFonts w:ascii="Arial" w:hAnsi="Arial" w:cs="Arial" w:eastAsia="Arial" w:hint="default"/>
                <w:sz w:val="22"/>
                <w:szCs w:val="22"/>
              </w:rPr>
              <w:t>(b)  </w:t>
            </w:r>
            <w:r>
              <w:rPr>
                <w:rFonts w:ascii="宋体" w:hAnsi="宋体" w:cs="宋体" w:eastAsia="宋体" w:hint="default"/>
                <w:sz w:val="22"/>
                <w:szCs w:val="22"/>
              </w:rPr>
              <w:t>通过同一控制下的企业合并取得的子公司（续）</w:t>
            </w:r>
          </w:p>
        </w:tc>
        <w:tc>
          <w:tcPr>
            <w:tcW w:w="10649" w:type="dxa"/>
            <w:gridSpan w:val="13"/>
            <w:tcBorders>
              <w:top w:val="nil" w:sz="6" w:space="0" w:color="auto"/>
              <w:left w:val="nil" w:sz="6" w:space="0" w:color="auto"/>
              <w:bottom w:val="nil" w:sz="6" w:space="0" w:color="auto"/>
              <w:right w:val="nil" w:sz="6" w:space="0" w:color="auto"/>
            </w:tcBorders>
          </w:tcPr>
          <w:p>
            <w:pPr/>
          </w:p>
        </w:tc>
      </w:tr>
      <w:tr>
        <w:trPr>
          <w:trHeight w:val="333" w:hRule="exact"/>
        </w:trPr>
        <w:tc>
          <w:tcPr>
            <w:tcW w:w="5083" w:type="dxa"/>
            <w:gridSpan w:val="6"/>
            <w:tcBorders>
              <w:top w:val="nil" w:sz="6" w:space="0" w:color="auto"/>
              <w:left w:val="nil" w:sz="6" w:space="0" w:color="auto"/>
              <w:bottom w:val="nil" w:sz="6" w:space="0" w:color="auto"/>
              <w:right w:val="nil" w:sz="6" w:space="0" w:color="auto"/>
            </w:tcBorders>
          </w:tcPr>
          <w:p>
            <w:pPr/>
          </w:p>
        </w:tc>
        <w:tc>
          <w:tcPr>
            <w:tcW w:w="917" w:type="dxa"/>
            <w:tcBorders>
              <w:top w:val="nil" w:sz="6" w:space="0" w:color="auto"/>
              <w:left w:val="nil" w:sz="6" w:space="0" w:color="auto"/>
              <w:bottom w:val="nil" w:sz="6" w:space="0" w:color="auto"/>
              <w:right w:val="nil" w:sz="6" w:space="0" w:color="auto"/>
            </w:tcBorders>
          </w:tcPr>
          <w:p>
            <w:pPr/>
          </w:p>
        </w:tc>
        <w:tc>
          <w:tcPr>
            <w:tcW w:w="808" w:type="dxa"/>
            <w:tcBorders>
              <w:top w:val="nil" w:sz="6" w:space="0" w:color="auto"/>
              <w:left w:val="nil" w:sz="6" w:space="0" w:color="auto"/>
              <w:bottom w:val="nil" w:sz="6" w:space="0" w:color="auto"/>
              <w:right w:val="nil" w:sz="6" w:space="0" w:color="auto"/>
            </w:tcBorders>
          </w:tcPr>
          <w:p>
            <w:pPr/>
          </w:p>
        </w:tc>
        <w:tc>
          <w:tcPr>
            <w:tcW w:w="789"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99"/>
              <w:ind w:left="43" w:right="0"/>
              <w:jc w:val="center"/>
              <w:rPr>
                <w:rFonts w:ascii="宋体" w:hAnsi="宋体" w:cs="宋体" w:eastAsia="宋体" w:hint="default"/>
                <w:sz w:val="16"/>
                <w:szCs w:val="16"/>
              </w:rPr>
            </w:pPr>
            <w:r>
              <w:rPr>
                <w:rFonts w:ascii="宋体" w:hAnsi="宋体" w:cs="宋体" w:eastAsia="宋体" w:hint="default"/>
                <w:sz w:val="16"/>
                <w:szCs w:val="16"/>
              </w:rPr>
              <w:t>实质上构成</w:t>
            </w:r>
          </w:p>
        </w:tc>
        <w:tc>
          <w:tcPr>
            <w:tcW w:w="572"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63" w:type="dxa"/>
            <w:tcBorders>
              <w:top w:val="nil" w:sz="6" w:space="0" w:color="auto"/>
              <w:left w:val="nil" w:sz="6" w:space="0" w:color="auto"/>
              <w:bottom w:val="nil" w:sz="6" w:space="0" w:color="auto"/>
              <w:right w:val="nil" w:sz="6" w:space="0" w:color="auto"/>
            </w:tcBorders>
          </w:tcPr>
          <w:p>
            <w:pPr/>
          </w:p>
        </w:tc>
        <w:tc>
          <w:tcPr>
            <w:tcW w:w="85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Style w:val="TableParagraph"/>
              <w:spacing w:line="240" w:lineRule="auto" w:before="100"/>
              <w:ind w:right="19"/>
              <w:jc w:val="center"/>
              <w:rPr>
                <w:rFonts w:ascii="宋体" w:hAnsi="宋体" w:cs="宋体" w:eastAsia="宋体" w:hint="default"/>
                <w:sz w:val="16"/>
                <w:szCs w:val="16"/>
              </w:rPr>
            </w:pPr>
            <w:r>
              <w:rPr>
                <w:rFonts w:ascii="宋体" w:hAnsi="宋体" w:cs="宋体" w:eastAsia="宋体" w:hint="default"/>
                <w:sz w:val="16"/>
                <w:szCs w:val="16"/>
              </w:rPr>
              <w:t>少数股</w:t>
            </w:r>
          </w:p>
        </w:tc>
        <w:tc>
          <w:tcPr>
            <w:tcW w:w="665"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06" w:right="0"/>
              <w:jc w:val="center"/>
              <w:rPr>
                <w:rFonts w:ascii="宋体" w:hAnsi="宋体" w:cs="宋体" w:eastAsia="宋体" w:hint="default"/>
                <w:sz w:val="16"/>
                <w:szCs w:val="16"/>
              </w:rPr>
            </w:pPr>
            <w:r>
              <w:rPr>
                <w:rFonts w:ascii="宋体" w:hAnsi="宋体" w:cs="宋体" w:eastAsia="宋体" w:hint="default"/>
                <w:sz w:val="16"/>
                <w:szCs w:val="16"/>
              </w:rPr>
              <w:t>少数股</w:t>
            </w:r>
          </w:p>
        </w:tc>
      </w:tr>
      <w:tr>
        <w:trPr>
          <w:trHeight w:val="219" w:hRule="exact"/>
        </w:trPr>
        <w:tc>
          <w:tcPr>
            <w:tcW w:w="5083" w:type="dxa"/>
            <w:gridSpan w:val="6"/>
            <w:tcBorders>
              <w:top w:val="nil" w:sz="6" w:space="0" w:color="auto"/>
              <w:left w:val="nil" w:sz="6" w:space="0" w:color="auto"/>
              <w:bottom w:val="nil" w:sz="6" w:space="0" w:color="auto"/>
              <w:right w:val="nil" w:sz="6" w:space="0" w:color="auto"/>
            </w:tcBorders>
          </w:tcPr>
          <w:p>
            <w:pPr/>
          </w:p>
        </w:tc>
        <w:tc>
          <w:tcPr>
            <w:tcW w:w="917" w:type="dxa"/>
            <w:tcBorders>
              <w:top w:val="nil" w:sz="6" w:space="0" w:color="auto"/>
              <w:left w:val="nil" w:sz="6" w:space="0" w:color="auto"/>
              <w:bottom w:val="nil" w:sz="6" w:space="0" w:color="auto"/>
              <w:right w:val="nil" w:sz="6" w:space="0" w:color="auto"/>
            </w:tcBorders>
          </w:tcPr>
          <w:p>
            <w:pPr/>
          </w:p>
        </w:tc>
        <w:tc>
          <w:tcPr>
            <w:tcW w:w="808" w:type="dxa"/>
            <w:tcBorders>
              <w:top w:val="nil" w:sz="6" w:space="0" w:color="auto"/>
              <w:left w:val="nil" w:sz="6" w:space="0" w:color="auto"/>
              <w:bottom w:val="nil" w:sz="6" w:space="0" w:color="auto"/>
              <w:right w:val="nil" w:sz="6" w:space="0" w:color="auto"/>
            </w:tcBorders>
          </w:tcPr>
          <w:p>
            <w:pPr/>
          </w:p>
        </w:tc>
        <w:tc>
          <w:tcPr>
            <w:tcW w:w="789"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Style w:val="TableParagraph"/>
              <w:spacing w:line="183" w:lineRule="exact"/>
              <w:ind w:left="210" w:right="0"/>
              <w:jc w:val="left"/>
              <w:rPr>
                <w:rFonts w:ascii="宋体" w:hAnsi="宋体" w:cs="宋体" w:eastAsia="宋体" w:hint="default"/>
                <w:sz w:val="16"/>
                <w:szCs w:val="16"/>
              </w:rPr>
            </w:pPr>
            <w:r>
              <w:rPr>
                <w:rFonts w:ascii="宋体" w:hAnsi="宋体" w:cs="宋体" w:eastAsia="宋体" w:hint="default"/>
                <w:sz w:val="16"/>
                <w:szCs w:val="16"/>
              </w:rPr>
              <w:t>年末实际</w:t>
            </w:r>
          </w:p>
        </w:tc>
        <w:tc>
          <w:tcPr>
            <w:tcW w:w="1152" w:type="dxa"/>
            <w:tcBorders>
              <w:top w:val="nil" w:sz="6" w:space="0" w:color="auto"/>
              <w:left w:val="nil" w:sz="6" w:space="0" w:color="auto"/>
              <w:bottom w:val="nil" w:sz="6" w:space="0" w:color="auto"/>
              <w:right w:val="nil" w:sz="6" w:space="0" w:color="auto"/>
            </w:tcBorders>
          </w:tcPr>
          <w:p>
            <w:pPr>
              <w:pStyle w:val="TableParagraph"/>
              <w:spacing w:line="183" w:lineRule="exact"/>
              <w:ind w:left="43" w:right="0"/>
              <w:jc w:val="center"/>
              <w:rPr>
                <w:rFonts w:ascii="宋体" w:hAnsi="宋体" w:cs="宋体" w:eastAsia="宋体" w:hint="default"/>
                <w:sz w:val="16"/>
                <w:szCs w:val="16"/>
              </w:rPr>
            </w:pPr>
            <w:r>
              <w:rPr>
                <w:rFonts w:ascii="宋体" w:hAnsi="宋体" w:cs="宋体" w:eastAsia="宋体" w:hint="default"/>
                <w:sz w:val="16"/>
                <w:szCs w:val="16"/>
              </w:rPr>
              <w:t>对子公司净</w:t>
            </w:r>
          </w:p>
        </w:tc>
        <w:tc>
          <w:tcPr>
            <w:tcW w:w="572" w:type="dxa"/>
            <w:tcBorders>
              <w:top w:val="nil" w:sz="6" w:space="0" w:color="auto"/>
              <w:left w:val="nil" w:sz="6" w:space="0" w:color="auto"/>
              <w:bottom w:val="nil" w:sz="6" w:space="0" w:color="auto"/>
              <w:right w:val="nil" w:sz="6" w:space="0" w:color="auto"/>
            </w:tcBorders>
          </w:tcPr>
          <w:p>
            <w:pPr>
              <w:pStyle w:val="TableParagraph"/>
              <w:spacing w:line="208" w:lineRule="exact"/>
              <w:ind w:left="57" w:right="0"/>
              <w:jc w:val="center"/>
              <w:rPr>
                <w:rFonts w:ascii="宋体" w:hAnsi="宋体" w:cs="宋体" w:eastAsia="宋体" w:hint="default"/>
                <w:sz w:val="16"/>
                <w:szCs w:val="16"/>
              </w:rPr>
            </w:pPr>
            <w:r>
              <w:rPr>
                <w:rFonts w:ascii="宋体" w:hAnsi="宋体" w:cs="宋体" w:eastAsia="宋体" w:hint="default"/>
                <w:sz w:val="16"/>
                <w:szCs w:val="16"/>
              </w:rPr>
              <w:t>持股</w:t>
            </w:r>
          </w:p>
        </w:tc>
        <w:tc>
          <w:tcPr>
            <w:tcW w:w="578" w:type="dxa"/>
            <w:tcBorders>
              <w:top w:val="nil" w:sz="6" w:space="0" w:color="auto"/>
              <w:left w:val="nil" w:sz="6" w:space="0" w:color="auto"/>
              <w:bottom w:val="nil" w:sz="6" w:space="0" w:color="auto"/>
              <w:right w:val="nil" w:sz="6" w:space="0" w:color="auto"/>
            </w:tcBorders>
          </w:tcPr>
          <w:p>
            <w:pPr>
              <w:pStyle w:val="TableParagraph"/>
              <w:spacing w:line="208" w:lineRule="exact"/>
              <w:ind w:right="51"/>
              <w:jc w:val="right"/>
              <w:rPr>
                <w:rFonts w:ascii="宋体" w:hAnsi="宋体" w:cs="宋体" w:eastAsia="宋体" w:hint="default"/>
                <w:sz w:val="16"/>
                <w:szCs w:val="16"/>
              </w:rPr>
            </w:pPr>
            <w:r>
              <w:rPr>
                <w:rFonts w:ascii="宋体" w:hAnsi="宋体" w:cs="宋体" w:eastAsia="宋体" w:hint="default"/>
                <w:w w:val="95"/>
                <w:sz w:val="16"/>
                <w:szCs w:val="16"/>
              </w:rPr>
              <w:t>表决权</w:t>
            </w:r>
            <w:r>
              <w:rPr>
                <w:rFonts w:ascii="宋体" w:hAnsi="宋体" w:cs="宋体" w:eastAsia="宋体" w:hint="default"/>
                <w:sz w:val="16"/>
                <w:szCs w:val="16"/>
              </w:rPr>
            </w:r>
          </w:p>
        </w:tc>
        <w:tc>
          <w:tcPr>
            <w:tcW w:w="463" w:type="dxa"/>
            <w:tcBorders>
              <w:top w:val="nil" w:sz="6" w:space="0" w:color="auto"/>
              <w:left w:val="nil" w:sz="6" w:space="0" w:color="auto"/>
              <w:bottom w:val="nil" w:sz="6" w:space="0" w:color="auto"/>
              <w:right w:val="nil" w:sz="6" w:space="0" w:color="auto"/>
            </w:tcBorders>
          </w:tcPr>
          <w:p>
            <w:pPr>
              <w:pStyle w:val="TableParagraph"/>
              <w:spacing w:line="184" w:lineRule="exact"/>
              <w:ind w:right="39"/>
              <w:jc w:val="center"/>
              <w:rPr>
                <w:rFonts w:ascii="宋体" w:hAnsi="宋体" w:cs="宋体" w:eastAsia="宋体" w:hint="default"/>
                <w:sz w:val="16"/>
                <w:szCs w:val="16"/>
              </w:rPr>
            </w:pPr>
            <w:r>
              <w:rPr>
                <w:rFonts w:ascii="宋体" w:hAnsi="宋体" w:cs="宋体" w:eastAsia="宋体" w:hint="default"/>
                <w:sz w:val="16"/>
                <w:szCs w:val="16"/>
              </w:rPr>
              <w:t>是否</w:t>
            </w:r>
          </w:p>
        </w:tc>
        <w:tc>
          <w:tcPr>
            <w:tcW w:w="856" w:type="dxa"/>
            <w:tcBorders>
              <w:top w:val="nil" w:sz="6" w:space="0" w:color="auto"/>
              <w:left w:val="nil" w:sz="6" w:space="0" w:color="auto"/>
              <w:bottom w:val="nil" w:sz="6" w:space="0" w:color="auto"/>
              <w:right w:val="nil" w:sz="6" w:space="0" w:color="auto"/>
            </w:tcBorders>
          </w:tcPr>
          <w:p>
            <w:pPr>
              <w:pStyle w:val="TableParagraph"/>
              <w:spacing w:line="184" w:lineRule="exact"/>
              <w:ind w:right="30"/>
              <w:jc w:val="center"/>
              <w:rPr>
                <w:rFonts w:ascii="宋体" w:hAnsi="宋体" w:cs="宋体" w:eastAsia="宋体" w:hint="default"/>
                <w:sz w:val="16"/>
                <w:szCs w:val="16"/>
              </w:rPr>
            </w:pPr>
            <w:r>
              <w:rPr>
                <w:rFonts w:ascii="宋体" w:hAnsi="宋体" w:cs="宋体" w:eastAsia="宋体" w:hint="default"/>
                <w:sz w:val="16"/>
                <w:szCs w:val="16"/>
              </w:rPr>
              <w:t>少数股东</w:t>
            </w:r>
          </w:p>
        </w:tc>
        <w:tc>
          <w:tcPr>
            <w:tcW w:w="756" w:type="dxa"/>
            <w:tcBorders>
              <w:top w:val="nil" w:sz="6" w:space="0" w:color="auto"/>
              <w:left w:val="nil" w:sz="6" w:space="0" w:color="auto"/>
              <w:bottom w:val="nil" w:sz="6" w:space="0" w:color="auto"/>
              <w:right w:val="nil" w:sz="6" w:space="0" w:color="auto"/>
            </w:tcBorders>
          </w:tcPr>
          <w:p>
            <w:pPr>
              <w:pStyle w:val="TableParagraph"/>
              <w:spacing w:line="184" w:lineRule="exact"/>
              <w:ind w:right="19"/>
              <w:jc w:val="center"/>
              <w:rPr>
                <w:rFonts w:ascii="宋体" w:hAnsi="宋体" w:cs="宋体" w:eastAsia="宋体" w:hint="default"/>
                <w:sz w:val="16"/>
                <w:szCs w:val="16"/>
              </w:rPr>
            </w:pPr>
            <w:r>
              <w:rPr>
                <w:rFonts w:ascii="宋体" w:hAnsi="宋体" w:cs="宋体" w:eastAsia="宋体" w:hint="default"/>
                <w:sz w:val="16"/>
                <w:szCs w:val="16"/>
              </w:rPr>
              <w:t>东权益</w:t>
            </w:r>
          </w:p>
        </w:tc>
        <w:tc>
          <w:tcPr>
            <w:tcW w:w="665" w:type="dxa"/>
            <w:tcBorders>
              <w:top w:val="nil" w:sz="6" w:space="0" w:color="auto"/>
              <w:left w:val="nil" w:sz="6" w:space="0" w:color="auto"/>
              <w:bottom w:val="nil" w:sz="6" w:space="0" w:color="auto"/>
              <w:right w:val="nil" w:sz="6" w:space="0" w:color="auto"/>
            </w:tcBorders>
          </w:tcPr>
          <w:p>
            <w:pPr>
              <w:pStyle w:val="TableParagraph"/>
              <w:spacing w:line="184" w:lineRule="exact"/>
              <w:ind w:left="106" w:right="0"/>
              <w:jc w:val="center"/>
              <w:rPr>
                <w:rFonts w:ascii="宋体" w:hAnsi="宋体" w:cs="宋体" w:eastAsia="宋体" w:hint="default"/>
                <w:sz w:val="16"/>
                <w:szCs w:val="16"/>
              </w:rPr>
            </w:pPr>
            <w:r>
              <w:rPr>
                <w:rFonts w:ascii="宋体" w:hAnsi="宋体" w:cs="宋体" w:eastAsia="宋体" w:hint="default"/>
                <w:sz w:val="16"/>
                <w:szCs w:val="16"/>
              </w:rPr>
              <w:t>东权益</w:t>
            </w:r>
          </w:p>
        </w:tc>
      </w:tr>
      <w:tr>
        <w:trPr>
          <w:trHeight w:val="208" w:hRule="exact"/>
        </w:trPr>
        <w:tc>
          <w:tcPr>
            <w:tcW w:w="5083" w:type="dxa"/>
            <w:gridSpan w:val="6"/>
            <w:tcBorders>
              <w:top w:val="nil" w:sz="6" w:space="0" w:color="auto"/>
              <w:left w:val="nil" w:sz="6" w:space="0" w:color="auto"/>
              <w:bottom w:val="nil" w:sz="6" w:space="0" w:color="auto"/>
              <w:right w:val="nil" w:sz="6" w:space="0" w:color="auto"/>
            </w:tcBorders>
          </w:tcPr>
          <w:p>
            <w:pPr>
              <w:pStyle w:val="TableParagraph"/>
              <w:tabs>
                <w:tab w:pos="3353" w:val="left" w:leader="none"/>
                <w:tab w:pos="4380" w:val="left" w:leader="none"/>
              </w:tabs>
              <w:spacing w:line="171" w:lineRule="exact"/>
              <w:ind w:left="2518" w:right="0"/>
              <w:jc w:val="left"/>
              <w:rPr>
                <w:rFonts w:ascii="宋体" w:hAnsi="宋体" w:cs="宋体" w:eastAsia="宋体" w:hint="default"/>
                <w:sz w:val="16"/>
                <w:szCs w:val="16"/>
              </w:rPr>
            </w:pPr>
            <w:r>
              <w:rPr>
                <w:rFonts w:ascii="宋体" w:hAnsi="宋体" w:cs="宋体" w:eastAsia="宋体" w:hint="default"/>
                <w:w w:val="95"/>
                <w:sz w:val="16"/>
                <w:szCs w:val="16"/>
              </w:rPr>
              <w:t>子公司</w:t>
              <w:tab/>
              <w:t>注册地及</w:t>
              <w:tab/>
            </w:r>
            <w:r>
              <w:rPr>
                <w:rFonts w:ascii="宋体" w:hAnsi="宋体" w:cs="宋体" w:eastAsia="宋体" w:hint="default"/>
                <w:sz w:val="16"/>
                <w:szCs w:val="16"/>
              </w:rPr>
              <w:t>业务</w:t>
            </w:r>
          </w:p>
        </w:tc>
        <w:tc>
          <w:tcPr>
            <w:tcW w:w="917" w:type="dxa"/>
            <w:tcBorders>
              <w:top w:val="nil" w:sz="6" w:space="0" w:color="auto"/>
              <w:left w:val="nil" w:sz="6" w:space="0" w:color="auto"/>
              <w:bottom w:val="nil" w:sz="6" w:space="0" w:color="auto"/>
              <w:right w:val="nil" w:sz="6" w:space="0" w:color="auto"/>
            </w:tcBorders>
          </w:tcPr>
          <w:p>
            <w:pPr>
              <w:pStyle w:val="TableParagraph"/>
              <w:spacing w:line="171" w:lineRule="exact"/>
              <w:ind w:left="35" w:right="0"/>
              <w:jc w:val="left"/>
              <w:rPr>
                <w:rFonts w:ascii="宋体" w:hAnsi="宋体" w:cs="宋体" w:eastAsia="宋体" w:hint="default"/>
                <w:sz w:val="16"/>
                <w:szCs w:val="16"/>
              </w:rPr>
            </w:pPr>
            <w:r>
              <w:rPr>
                <w:rFonts w:ascii="宋体" w:hAnsi="宋体" w:cs="宋体" w:eastAsia="宋体" w:hint="default"/>
                <w:sz w:val="16"/>
                <w:szCs w:val="16"/>
              </w:rPr>
              <w:t>注册资本</w:t>
            </w:r>
          </w:p>
        </w:tc>
        <w:tc>
          <w:tcPr>
            <w:tcW w:w="808" w:type="dxa"/>
            <w:tcBorders>
              <w:top w:val="nil" w:sz="6" w:space="0" w:color="auto"/>
              <w:left w:val="nil" w:sz="6" w:space="0" w:color="auto"/>
              <w:bottom w:val="nil" w:sz="6" w:space="0" w:color="auto"/>
              <w:right w:val="nil" w:sz="6" w:space="0" w:color="auto"/>
            </w:tcBorders>
          </w:tcPr>
          <w:p>
            <w:pPr/>
          </w:p>
        </w:tc>
        <w:tc>
          <w:tcPr>
            <w:tcW w:w="789"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Style w:val="TableParagraph"/>
              <w:spacing w:line="171" w:lineRule="exact"/>
              <w:ind w:left="54" w:right="0"/>
              <w:jc w:val="center"/>
              <w:rPr>
                <w:rFonts w:ascii="宋体" w:hAnsi="宋体" w:cs="宋体" w:eastAsia="宋体" w:hint="default"/>
                <w:sz w:val="16"/>
                <w:szCs w:val="16"/>
              </w:rPr>
            </w:pPr>
            <w:r>
              <w:rPr>
                <w:rFonts w:ascii="宋体" w:hAnsi="宋体" w:cs="宋体" w:eastAsia="宋体" w:hint="default"/>
                <w:sz w:val="16"/>
                <w:szCs w:val="16"/>
              </w:rPr>
              <w:t>法人</w:t>
            </w:r>
          </w:p>
        </w:tc>
        <w:tc>
          <w:tcPr>
            <w:tcW w:w="1083" w:type="dxa"/>
            <w:tcBorders>
              <w:top w:val="nil" w:sz="6" w:space="0" w:color="auto"/>
              <w:left w:val="nil" w:sz="6" w:space="0" w:color="auto"/>
              <w:bottom w:val="nil" w:sz="6" w:space="0" w:color="auto"/>
              <w:right w:val="nil" w:sz="6" w:space="0" w:color="auto"/>
            </w:tcBorders>
          </w:tcPr>
          <w:p>
            <w:pPr>
              <w:pStyle w:val="TableParagraph"/>
              <w:spacing w:line="171" w:lineRule="exact"/>
              <w:ind w:left="140" w:right="0"/>
              <w:jc w:val="left"/>
              <w:rPr>
                <w:rFonts w:ascii="宋体" w:hAnsi="宋体" w:cs="宋体" w:eastAsia="宋体" w:hint="default"/>
                <w:sz w:val="16"/>
                <w:szCs w:val="16"/>
              </w:rPr>
            </w:pPr>
            <w:r>
              <w:rPr>
                <w:rFonts w:ascii="宋体" w:hAnsi="宋体" w:cs="宋体" w:eastAsia="宋体" w:hint="default"/>
                <w:sz w:val="16"/>
                <w:szCs w:val="16"/>
              </w:rPr>
              <w:t>组织机构</w:t>
            </w:r>
          </w:p>
        </w:tc>
        <w:tc>
          <w:tcPr>
            <w:tcW w:w="1229" w:type="dxa"/>
            <w:tcBorders>
              <w:top w:val="nil" w:sz="6" w:space="0" w:color="auto"/>
              <w:left w:val="nil" w:sz="6" w:space="0" w:color="auto"/>
              <w:bottom w:val="nil" w:sz="6" w:space="0" w:color="auto"/>
              <w:right w:val="nil" w:sz="6" w:space="0" w:color="auto"/>
            </w:tcBorders>
          </w:tcPr>
          <w:p>
            <w:pPr>
              <w:pStyle w:val="TableParagraph"/>
              <w:spacing w:line="171" w:lineRule="exact"/>
              <w:ind w:left="291" w:right="0"/>
              <w:jc w:val="left"/>
              <w:rPr>
                <w:rFonts w:ascii="宋体" w:hAnsi="宋体" w:cs="宋体" w:eastAsia="宋体" w:hint="default"/>
                <w:sz w:val="16"/>
                <w:szCs w:val="16"/>
              </w:rPr>
            </w:pPr>
            <w:r>
              <w:rPr>
                <w:rFonts w:ascii="宋体" w:hAnsi="宋体" w:cs="宋体" w:eastAsia="宋体" w:hint="default"/>
                <w:sz w:val="16"/>
                <w:szCs w:val="16"/>
              </w:rPr>
              <w:t>出资额</w:t>
            </w:r>
          </w:p>
        </w:tc>
        <w:tc>
          <w:tcPr>
            <w:tcW w:w="1152" w:type="dxa"/>
            <w:tcBorders>
              <w:top w:val="nil" w:sz="6" w:space="0" w:color="auto"/>
              <w:left w:val="nil" w:sz="6" w:space="0" w:color="auto"/>
              <w:bottom w:val="nil" w:sz="6" w:space="0" w:color="auto"/>
              <w:right w:val="nil" w:sz="6" w:space="0" w:color="auto"/>
            </w:tcBorders>
          </w:tcPr>
          <w:p>
            <w:pPr>
              <w:pStyle w:val="TableParagraph"/>
              <w:spacing w:line="172" w:lineRule="exact"/>
              <w:ind w:left="43" w:right="0"/>
              <w:jc w:val="center"/>
              <w:rPr>
                <w:rFonts w:ascii="宋体" w:hAnsi="宋体" w:cs="宋体" w:eastAsia="宋体" w:hint="default"/>
                <w:sz w:val="16"/>
                <w:szCs w:val="16"/>
              </w:rPr>
            </w:pPr>
            <w:r>
              <w:rPr>
                <w:rFonts w:ascii="宋体" w:hAnsi="宋体" w:cs="宋体" w:eastAsia="宋体" w:hint="default"/>
                <w:sz w:val="16"/>
                <w:szCs w:val="16"/>
              </w:rPr>
              <w:t>投资的其他</w:t>
            </w:r>
          </w:p>
        </w:tc>
        <w:tc>
          <w:tcPr>
            <w:tcW w:w="572" w:type="dxa"/>
            <w:tcBorders>
              <w:top w:val="nil" w:sz="6" w:space="0" w:color="auto"/>
              <w:left w:val="nil" w:sz="6" w:space="0" w:color="auto"/>
              <w:bottom w:val="nil" w:sz="6" w:space="0" w:color="auto"/>
              <w:right w:val="nil" w:sz="6" w:space="0" w:color="auto"/>
            </w:tcBorders>
          </w:tcPr>
          <w:p>
            <w:pPr>
              <w:pStyle w:val="TableParagraph"/>
              <w:spacing w:line="196" w:lineRule="exact"/>
              <w:ind w:left="57" w:right="0"/>
              <w:jc w:val="center"/>
              <w:rPr>
                <w:rFonts w:ascii="宋体" w:hAnsi="宋体" w:cs="宋体" w:eastAsia="宋体" w:hint="default"/>
                <w:sz w:val="16"/>
                <w:szCs w:val="16"/>
              </w:rPr>
            </w:pPr>
            <w:r>
              <w:rPr>
                <w:rFonts w:ascii="宋体" w:hAnsi="宋体" w:cs="宋体" w:eastAsia="宋体" w:hint="default"/>
                <w:sz w:val="16"/>
                <w:szCs w:val="16"/>
              </w:rPr>
              <w:t>比例</w:t>
            </w:r>
          </w:p>
        </w:tc>
        <w:tc>
          <w:tcPr>
            <w:tcW w:w="578" w:type="dxa"/>
            <w:tcBorders>
              <w:top w:val="nil" w:sz="6" w:space="0" w:color="auto"/>
              <w:left w:val="nil" w:sz="6" w:space="0" w:color="auto"/>
              <w:bottom w:val="nil" w:sz="6" w:space="0" w:color="auto"/>
              <w:right w:val="nil" w:sz="6" w:space="0" w:color="auto"/>
            </w:tcBorders>
          </w:tcPr>
          <w:p>
            <w:pPr>
              <w:pStyle w:val="TableParagraph"/>
              <w:spacing w:line="196" w:lineRule="exact"/>
              <w:ind w:left="125" w:right="0"/>
              <w:jc w:val="left"/>
              <w:rPr>
                <w:rFonts w:ascii="宋体" w:hAnsi="宋体" w:cs="宋体" w:eastAsia="宋体" w:hint="default"/>
                <w:sz w:val="16"/>
                <w:szCs w:val="16"/>
              </w:rPr>
            </w:pPr>
            <w:r>
              <w:rPr>
                <w:rFonts w:ascii="宋体" w:hAnsi="宋体" w:cs="宋体" w:eastAsia="宋体" w:hint="default"/>
                <w:sz w:val="16"/>
                <w:szCs w:val="16"/>
              </w:rPr>
              <w:t>比例</w:t>
            </w:r>
          </w:p>
        </w:tc>
        <w:tc>
          <w:tcPr>
            <w:tcW w:w="463" w:type="dxa"/>
            <w:tcBorders>
              <w:top w:val="nil" w:sz="6" w:space="0" w:color="auto"/>
              <w:left w:val="nil" w:sz="6" w:space="0" w:color="auto"/>
              <w:bottom w:val="nil" w:sz="6" w:space="0" w:color="auto"/>
              <w:right w:val="nil" w:sz="6" w:space="0" w:color="auto"/>
            </w:tcBorders>
          </w:tcPr>
          <w:p>
            <w:pPr>
              <w:pStyle w:val="TableParagraph"/>
              <w:spacing w:line="172" w:lineRule="exact"/>
              <w:ind w:right="39"/>
              <w:jc w:val="center"/>
              <w:rPr>
                <w:rFonts w:ascii="宋体" w:hAnsi="宋体" w:cs="宋体" w:eastAsia="宋体" w:hint="default"/>
                <w:sz w:val="16"/>
                <w:szCs w:val="16"/>
              </w:rPr>
            </w:pPr>
            <w:r>
              <w:rPr>
                <w:rFonts w:ascii="宋体" w:hAnsi="宋体" w:cs="宋体" w:eastAsia="宋体" w:hint="default"/>
                <w:sz w:val="16"/>
                <w:szCs w:val="16"/>
              </w:rPr>
              <w:t>合并</w:t>
            </w:r>
          </w:p>
        </w:tc>
        <w:tc>
          <w:tcPr>
            <w:tcW w:w="856" w:type="dxa"/>
            <w:tcBorders>
              <w:top w:val="nil" w:sz="6" w:space="0" w:color="auto"/>
              <w:left w:val="nil" w:sz="6" w:space="0" w:color="auto"/>
              <w:bottom w:val="nil" w:sz="6" w:space="0" w:color="auto"/>
              <w:right w:val="nil" w:sz="6" w:space="0" w:color="auto"/>
            </w:tcBorders>
          </w:tcPr>
          <w:p>
            <w:pPr>
              <w:pStyle w:val="TableParagraph"/>
              <w:spacing w:line="172" w:lineRule="exact"/>
              <w:ind w:right="30"/>
              <w:jc w:val="center"/>
              <w:rPr>
                <w:rFonts w:ascii="宋体" w:hAnsi="宋体" w:cs="宋体" w:eastAsia="宋体" w:hint="default"/>
                <w:sz w:val="16"/>
                <w:szCs w:val="16"/>
              </w:rPr>
            </w:pPr>
            <w:r>
              <w:rPr>
                <w:rFonts w:ascii="宋体" w:hAnsi="宋体" w:cs="宋体" w:eastAsia="宋体" w:hint="default"/>
                <w:sz w:val="16"/>
                <w:szCs w:val="16"/>
              </w:rPr>
              <w:t>权益</w:t>
            </w:r>
          </w:p>
        </w:tc>
        <w:tc>
          <w:tcPr>
            <w:tcW w:w="756" w:type="dxa"/>
            <w:tcBorders>
              <w:top w:val="nil" w:sz="6" w:space="0" w:color="auto"/>
              <w:left w:val="nil" w:sz="6" w:space="0" w:color="auto"/>
              <w:bottom w:val="nil" w:sz="6" w:space="0" w:color="auto"/>
              <w:right w:val="nil" w:sz="6" w:space="0" w:color="auto"/>
            </w:tcBorders>
          </w:tcPr>
          <w:p>
            <w:pPr>
              <w:pStyle w:val="TableParagraph"/>
              <w:spacing w:line="172" w:lineRule="exact"/>
              <w:ind w:right="20"/>
              <w:jc w:val="center"/>
              <w:rPr>
                <w:rFonts w:ascii="宋体" w:hAnsi="宋体" w:cs="宋体" w:eastAsia="宋体" w:hint="default"/>
                <w:sz w:val="16"/>
                <w:szCs w:val="16"/>
              </w:rPr>
            </w:pPr>
            <w:r>
              <w:rPr>
                <w:rFonts w:ascii="宋体" w:hAnsi="宋体" w:cs="宋体" w:eastAsia="宋体" w:hint="default"/>
                <w:sz w:val="16"/>
                <w:szCs w:val="16"/>
              </w:rPr>
              <w:t>项目</w:t>
            </w:r>
          </w:p>
        </w:tc>
        <w:tc>
          <w:tcPr>
            <w:tcW w:w="665" w:type="dxa"/>
            <w:tcBorders>
              <w:top w:val="nil" w:sz="6" w:space="0" w:color="auto"/>
              <w:left w:val="nil" w:sz="6" w:space="0" w:color="auto"/>
              <w:bottom w:val="nil" w:sz="6" w:space="0" w:color="auto"/>
              <w:right w:val="nil" w:sz="6" w:space="0" w:color="auto"/>
            </w:tcBorders>
          </w:tcPr>
          <w:p>
            <w:pPr>
              <w:pStyle w:val="TableParagraph"/>
              <w:spacing w:line="172" w:lineRule="exact"/>
              <w:ind w:left="107" w:right="0"/>
              <w:jc w:val="center"/>
              <w:rPr>
                <w:rFonts w:ascii="宋体" w:hAnsi="宋体" w:cs="宋体" w:eastAsia="宋体" w:hint="default"/>
                <w:sz w:val="16"/>
                <w:szCs w:val="16"/>
              </w:rPr>
            </w:pPr>
            <w:r>
              <w:rPr>
                <w:rFonts w:ascii="宋体" w:hAnsi="宋体" w:cs="宋体" w:eastAsia="宋体" w:hint="default"/>
                <w:sz w:val="16"/>
                <w:szCs w:val="16"/>
              </w:rPr>
              <w:t>项目</w:t>
            </w:r>
          </w:p>
        </w:tc>
      </w:tr>
      <w:tr>
        <w:trPr>
          <w:trHeight w:val="204" w:hRule="exact"/>
        </w:trPr>
        <w:tc>
          <w:tcPr>
            <w:tcW w:w="5083" w:type="dxa"/>
            <w:gridSpan w:val="6"/>
            <w:tcBorders>
              <w:top w:val="nil" w:sz="6" w:space="0" w:color="auto"/>
              <w:left w:val="nil" w:sz="6" w:space="0" w:color="auto"/>
              <w:bottom w:val="nil" w:sz="6" w:space="0" w:color="auto"/>
              <w:right w:val="nil" w:sz="6" w:space="0" w:color="auto"/>
            </w:tcBorders>
          </w:tcPr>
          <w:p>
            <w:pPr>
              <w:pStyle w:val="TableParagraph"/>
              <w:tabs>
                <w:tab w:pos="2056" w:val="left" w:leader="none"/>
                <w:tab w:pos="2597" w:val="left" w:leader="none"/>
                <w:tab w:pos="3353" w:val="left" w:leader="none"/>
                <w:tab w:pos="4380" w:val="left" w:leader="none"/>
              </w:tabs>
              <w:spacing w:line="171" w:lineRule="exact"/>
              <w:ind w:left="520" w:right="0"/>
              <w:jc w:val="left"/>
              <w:rPr>
                <w:rFonts w:ascii="宋体" w:hAnsi="宋体" w:cs="宋体" w:eastAsia="宋体" w:hint="default"/>
                <w:sz w:val="16"/>
                <w:szCs w:val="16"/>
              </w:rPr>
            </w:pPr>
            <w:r>
              <w:rPr>
                <w:rFonts w:ascii="宋体" w:hAnsi="宋体" w:cs="宋体" w:eastAsia="宋体" w:hint="default"/>
                <w:w w:val="95"/>
                <w:sz w:val="16"/>
                <w:szCs w:val="16"/>
              </w:rPr>
              <w:t>名称</w:t>
              <w:tab/>
              <w:t>注释</w:t>
              <w:tab/>
              <w:t>类型</w:t>
              <w:tab/>
              <w:t>设立日期</w:t>
              <w:tab/>
            </w:r>
            <w:r>
              <w:rPr>
                <w:rFonts w:ascii="宋体" w:hAnsi="宋体" w:cs="宋体" w:eastAsia="宋体" w:hint="default"/>
                <w:sz w:val="16"/>
                <w:szCs w:val="16"/>
              </w:rPr>
              <w:t>性质</w:t>
            </w:r>
          </w:p>
        </w:tc>
        <w:tc>
          <w:tcPr>
            <w:tcW w:w="917" w:type="dxa"/>
            <w:tcBorders>
              <w:top w:val="nil" w:sz="6" w:space="0" w:color="auto"/>
              <w:left w:val="nil" w:sz="6" w:space="0" w:color="auto"/>
              <w:bottom w:val="single" w:sz="6" w:space="0" w:color="000000"/>
              <w:right w:val="nil" w:sz="6" w:space="0" w:color="auto"/>
            </w:tcBorders>
          </w:tcPr>
          <w:p>
            <w:pPr>
              <w:pStyle w:val="TableParagraph"/>
              <w:spacing w:line="171" w:lineRule="exact"/>
              <w:ind w:left="55" w:right="0"/>
              <w:jc w:val="left"/>
              <w:rPr>
                <w:rFonts w:ascii="宋体" w:hAnsi="宋体" w:cs="宋体" w:eastAsia="宋体" w:hint="default"/>
                <w:sz w:val="16"/>
                <w:szCs w:val="16"/>
              </w:rPr>
            </w:pPr>
            <w:r>
              <w:rPr>
                <w:rFonts w:ascii="宋体" w:hAnsi="宋体" w:cs="宋体" w:eastAsia="宋体" w:hint="default"/>
                <w:sz w:val="16"/>
                <w:szCs w:val="16"/>
              </w:rPr>
              <w:t>（千元）</w:t>
            </w:r>
          </w:p>
        </w:tc>
        <w:tc>
          <w:tcPr>
            <w:tcW w:w="808" w:type="dxa"/>
            <w:tcBorders>
              <w:top w:val="nil" w:sz="6" w:space="0" w:color="auto"/>
              <w:left w:val="nil" w:sz="6" w:space="0" w:color="auto"/>
              <w:bottom w:val="single" w:sz="6" w:space="0" w:color="000000"/>
              <w:right w:val="nil" w:sz="6" w:space="0" w:color="auto"/>
            </w:tcBorders>
          </w:tcPr>
          <w:p>
            <w:pPr>
              <w:pStyle w:val="TableParagraph"/>
              <w:spacing w:line="171" w:lineRule="exact"/>
              <w:ind w:left="67" w:right="0"/>
              <w:jc w:val="center"/>
              <w:rPr>
                <w:rFonts w:ascii="宋体" w:hAnsi="宋体" w:cs="宋体" w:eastAsia="宋体" w:hint="default"/>
                <w:sz w:val="16"/>
                <w:szCs w:val="16"/>
              </w:rPr>
            </w:pPr>
            <w:r>
              <w:rPr>
                <w:rFonts w:ascii="宋体" w:hAnsi="宋体" w:cs="宋体" w:eastAsia="宋体" w:hint="default"/>
                <w:sz w:val="16"/>
                <w:szCs w:val="16"/>
              </w:rPr>
              <w:t>经营范围</w:t>
            </w:r>
          </w:p>
        </w:tc>
        <w:tc>
          <w:tcPr>
            <w:tcW w:w="789" w:type="dxa"/>
            <w:tcBorders>
              <w:top w:val="nil" w:sz="6" w:space="0" w:color="auto"/>
              <w:left w:val="nil" w:sz="6" w:space="0" w:color="auto"/>
              <w:bottom w:val="single" w:sz="6" w:space="0" w:color="000000"/>
              <w:right w:val="nil" w:sz="6" w:space="0" w:color="auto"/>
            </w:tcBorders>
          </w:tcPr>
          <w:p>
            <w:pPr>
              <w:pStyle w:val="TableParagraph"/>
              <w:spacing w:line="171" w:lineRule="exact"/>
              <w:ind w:left="15" w:right="0"/>
              <w:jc w:val="center"/>
              <w:rPr>
                <w:rFonts w:ascii="宋体" w:hAnsi="宋体" w:cs="宋体" w:eastAsia="宋体" w:hint="default"/>
                <w:sz w:val="16"/>
                <w:szCs w:val="16"/>
              </w:rPr>
            </w:pPr>
            <w:r>
              <w:rPr>
                <w:rFonts w:ascii="宋体" w:hAnsi="宋体" w:cs="宋体" w:eastAsia="宋体" w:hint="default"/>
                <w:sz w:val="16"/>
                <w:szCs w:val="16"/>
              </w:rPr>
              <w:t>企业类型</w:t>
            </w:r>
          </w:p>
        </w:tc>
        <w:tc>
          <w:tcPr>
            <w:tcW w:w="779" w:type="dxa"/>
            <w:tcBorders>
              <w:top w:val="nil" w:sz="6" w:space="0" w:color="auto"/>
              <w:left w:val="nil" w:sz="6" w:space="0" w:color="auto"/>
              <w:bottom w:val="single" w:sz="6" w:space="0" w:color="000000"/>
              <w:right w:val="nil" w:sz="6" w:space="0" w:color="auto"/>
            </w:tcBorders>
          </w:tcPr>
          <w:p>
            <w:pPr>
              <w:pStyle w:val="TableParagraph"/>
              <w:spacing w:line="171" w:lineRule="exact"/>
              <w:ind w:left="54" w:right="0"/>
              <w:jc w:val="center"/>
              <w:rPr>
                <w:rFonts w:ascii="宋体" w:hAnsi="宋体" w:cs="宋体" w:eastAsia="宋体" w:hint="default"/>
                <w:sz w:val="16"/>
                <w:szCs w:val="16"/>
              </w:rPr>
            </w:pPr>
            <w:r>
              <w:rPr>
                <w:rFonts w:ascii="宋体" w:hAnsi="宋体" w:cs="宋体" w:eastAsia="宋体" w:hint="default"/>
                <w:sz w:val="16"/>
                <w:szCs w:val="16"/>
              </w:rPr>
              <w:t>代表</w:t>
            </w:r>
          </w:p>
        </w:tc>
        <w:tc>
          <w:tcPr>
            <w:tcW w:w="1083" w:type="dxa"/>
            <w:tcBorders>
              <w:top w:val="nil" w:sz="6" w:space="0" w:color="auto"/>
              <w:left w:val="nil" w:sz="6" w:space="0" w:color="auto"/>
              <w:bottom w:val="single" w:sz="6" w:space="0" w:color="000000"/>
              <w:right w:val="nil" w:sz="6" w:space="0" w:color="auto"/>
            </w:tcBorders>
          </w:tcPr>
          <w:p>
            <w:pPr>
              <w:pStyle w:val="TableParagraph"/>
              <w:spacing w:line="171" w:lineRule="exact"/>
              <w:ind w:left="300" w:right="0"/>
              <w:jc w:val="left"/>
              <w:rPr>
                <w:rFonts w:ascii="宋体" w:hAnsi="宋体" w:cs="宋体" w:eastAsia="宋体" w:hint="default"/>
                <w:sz w:val="16"/>
                <w:szCs w:val="16"/>
              </w:rPr>
            </w:pPr>
            <w:r>
              <w:rPr>
                <w:rFonts w:ascii="宋体" w:hAnsi="宋体" w:cs="宋体" w:eastAsia="宋体" w:hint="default"/>
                <w:sz w:val="16"/>
                <w:szCs w:val="16"/>
              </w:rPr>
              <w:t>代码</w:t>
            </w:r>
          </w:p>
        </w:tc>
        <w:tc>
          <w:tcPr>
            <w:tcW w:w="1229" w:type="dxa"/>
            <w:tcBorders>
              <w:top w:val="nil" w:sz="6" w:space="0" w:color="auto"/>
              <w:left w:val="nil" w:sz="6" w:space="0" w:color="auto"/>
              <w:bottom w:val="single" w:sz="6" w:space="0" w:color="000000"/>
              <w:right w:val="nil" w:sz="6" w:space="0" w:color="auto"/>
            </w:tcBorders>
          </w:tcPr>
          <w:p>
            <w:pPr>
              <w:pStyle w:val="TableParagraph"/>
              <w:spacing w:line="171" w:lineRule="exact"/>
              <w:ind w:left="210" w:right="0"/>
              <w:jc w:val="left"/>
              <w:rPr>
                <w:rFonts w:ascii="宋体" w:hAnsi="宋体" w:cs="宋体" w:eastAsia="宋体" w:hint="default"/>
                <w:sz w:val="16"/>
                <w:szCs w:val="16"/>
              </w:rPr>
            </w:pPr>
            <w:r>
              <w:rPr>
                <w:rFonts w:ascii="宋体" w:hAnsi="宋体" w:cs="宋体" w:eastAsia="宋体" w:hint="default"/>
                <w:sz w:val="16"/>
                <w:szCs w:val="16"/>
              </w:rPr>
              <w:t>（千元）</w:t>
            </w:r>
          </w:p>
        </w:tc>
        <w:tc>
          <w:tcPr>
            <w:tcW w:w="1152" w:type="dxa"/>
            <w:tcBorders>
              <w:top w:val="nil" w:sz="6" w:space="0" w:color="auto"/>
              <w:left w:val="nil" w:sz="6" w:space="0" w:color="auto"/>
              <w:bottom w:val="single" w:sz="6" w:space="0" w:color="000000"/>
              <w:right w:val="nil" w:sz="6" w:space="0" w:color="auto"/>
            </w:tcBorders>
          </w:tcPr>
          <w:p>
            <w:pPr>
              <w:pStyle w:val="TableParagraph"/>
              <w:spacing w:line="172" w:lineRule="exact"/>
              <w:ind w:left="43" w:right="0"/>
              <w:jc w:val="center"/>
              <w:rPr>
                <w:rFonts w:ascii="宋体" w:hAnsi="宋体" w:cs="宋体" w:eastAsia="宋体" w:hint="default"/>
                <w:sz w:val="16"/>
                <w:szCs w:val="16"/>
              </w:rPr>
            </w:pPr>
            <w:r>
              <w:rPr>
                <w:rFonts w:ascii="宋体" w:hAnsi="宋体" w:cs="宋体" w:eastAsia="宋体" w:hint="default"/>
                <w:sz w:val="16"/>
                <w:szCs w:val="16"/>
              </w:rPr>
              <w:t>项目余额</w:t>
            </w:r>
          </w:p>
        </w:tc>
        <w:tc>
          <w:tcPr>
            <w:tcW w:w="572" w:type="dxa"/>
            <w:tcBorders>
              <w:top w:val="nil" w:sz="6" w:space="0" w:color="auto"/>
              <w:left w:val="nil" w:sz="6" w:space="0" w:color="auto"/>
              <w:bottom w:val="single" w:sz="6" w:space="0" w:color="000000"/>
              <w:right w:val="nil" w:sz="6" w:space="0" w:color="auto"/>
            </w:tcBorders>
          </w:tcPr>
          <w:p>
            <w:pPr>
              <w:pStyle w:val="TableParagraph"/>
              <w:spacing w:line="240" w:lineRule="auto" w:before="11"/>
              <w:ind w:left="57" w:right="0"/>
              <w:jc w:val="center"/>
              <w:rPr>
                <w:rFonts w:ascii="Arial" w:hAnsi="Arial" w:cs="Arial" w:eastAsia="Arial" w:hint="default"/>
                <w:sz w:val="16"/>
                <w:szCs w:val="16"/>
              </w:rPr>
            </w:pPr>
            <w:r>
              <w:rPr>
                <w:rFonts w:ascii="Arial"/>
                <w:sz w:val="16"/>
              </w:rPr>
              <w:t>(%)</w:t>
            </w:r>
          </w:p>
        </w:tc>
        <w:tc>
          <w:tcPr>
            <w:tcW w:w="578" w:type="dxa"/>
            <w:tcBorders>
              <w:top w:val="nil" w:sz="6" w:space="0" w:color="auto"/>
              <w:left w:val="nil" w:sz="6" w:space="0" w:color="auto"/>
              <w:bottom w:val="single" w:sz="6" w:space="0" w:color="000000"/>
              <w:right w:val="nil" w:sz="6" w:space="0" w:color="auto"/>
            </w:tcBorders>
          </w:tcPr>
          <w:p>
            <w:pPr>
              <w:pStyle w:val="TableParagraph"/>
              <w:spacing w:line="240" w:lineRule="auto" w:before="11"/>
              <w:ind w:left="161" w:right="0"/>
              <w:jc w:val="left"/>
              <w:rPr>
                <w:rFonts w:ascii="Arial" w:hAnsi="Arial" w:cs="Arial" w:eastAsia="Arial" w:hint="default"/>
                <w:sz w:val="16"/>
                <w:szCs w:val="16"/>
              </w:rPr>
            </w:pPr>
            <w:r>
              <w:rPr>
                <w:rFonts w:ascii="Arial"/>
                <w:sz w:val="16"/>
              </w:rPr>
              <w:t>(%)</w:t>
            </w:r>
          </w:p>
        </w:tc>
        <w:tc>
          <w:tcPr>
            <w:tcW w:w="463" w:type="dxa"/>
            <w:tcBorders>
              <w:top w:val="nil" w:sz="6" w:space="0" w:color="auto"/>
              <w:left w:val="nil" w:sz="6" w:space="0" w:color="auto"/>
              <w:bottom w:val="single" w:sz="6" w:space="0" w:color="000000"/>
              <w:right w:val="nil" w:sz="6" w:space="0" w:color="auto"/>
            </w:tcBorders>
          </w:tcPr>
          <w:p>
            <w:pPr>
              <w:pStyle w:val="TableParagraph"/>
              <w:spacing w:line="172" w:lineRule="exact"/>
              <w:ind w:right="39"/>
              <w:jc w:val="center"/>
              <w:rPr>
                <w:rFonts w:ascii="宋体" w:hAnsi="宋体" w:cs="宋体" w:eastAsia="宋体" w:hint="default"/>
                <w:sz w:val="16"/>
                <w:szCs w:val="16"/>
              </w:rPr>
            </w:pPr>
            <w:r>
              <w:rPr>
                <w:rFonts w:ascii="宋体" w:hAnsi="宋体" w:cs="宋体" w:eastAsia="宋体" w:hint="default"/>
                <w:sz w:val="16"/>
                <w:szCs w:val="16"/>
              </w:rPr>
              <w:t>报表</w:t>
            </w:r>
          </w:p>
        </w:tc>
        <w:tc>
          <w:tcPr>
            <w:tcW w:w="856" w:type="dxa"/>
            <w:tcBorders>
              <w:top w:val="nil" w:sz="6" w:space="0" w:color="auto"/>
              <w:left w:val="nil" w:sz="6" w:space="0" w:color="auto"/>
              <w:bottom w:val="single" w:sz="6" w:space="0" w:color="000000"/>
              <w:right w:val="nil" w:sz="6" w:space="0" w:color="auto"/>
            </w:tcBorders>
          </w:tcPr>
          <w:p>
            <w:pPr>
              <w:pStyle w:val="TableParagraph"/>
              <w:spacing w:line="172" w:lineRule="exact"/>
              <w:ind w:right="30"/>
              <w:jc w:val="center"/>
              <w:rPr>
                <w:rFonts w:ascii="宋体" w:hAnsi="宋体" w:cs="宋体" w:eastAsia="宋体" w:hint="default"/>
                <w:sz w:val="16"/>
                <w:szCs w:val="16"/>
              </w:rPr>
            </w:pPr>
            <w:r>
              <w:rPr>
                <w:rFonts w:ascii="宋体" w:hAnsi="宋体" w:cs="宋体" w:eastAsia="宋体" w:hint="default"/>
                <w:sz w:val="16"/>
                <w:szCs w:val="16"/>
              </w:rPr>
              <w:t>（亿元）</w:t>
            </w:r>
          </w:p>
        </w:tc>
        <w:tc>
          <w:tcPr>
            <w:tcW w:w="756" w:type="dxa"/>
            <w:tcBorders>
              <w:top w:val="nil" w:sz="6" w:space="0" w:color="auto"/>
              <w:left w:val="nil" w:sz="6" w:space="0" w:color="auto"/>
              <w:bottom w:val="single" w:sz="6" w:space="0" w:color="000000"/>
              <w:right w:val="nil" w:sz="6" w:space="0" w:color="auto"/>
            </w:tcBorders>
          </w:tcPr>
          <w:p>
            <w:pPr>
              <w:pStyle w:val="TableParagraph"/>
              <w:spacing w:line="184" w:lineRule="exact"/>
              <w:ind w:right="17"/>
              <w:jc w:val="center"/>
              <w:rPr>
                <w:rFonts w:ascii="Arial" w:hAnsi="Arial" w:cs="Arial" w:eastAsia="Arial" w:hint="default"/>
                <w:sz w:val="16"/>
                <w:szCs w:val="16"/>
              </w:rPr>
            </w:pPr>
            <w:r>
              <w:rPr>
                <w:rFonts w:ascii="Arial" w:hAnsi="Arial" w:cs="Arial" w:eastAsia="Arial" w:hint="default"/>
                <w:sz w:val="16"/>
                <w:szCs w:val="16"/>
              </w:rPr>
              <w:t>1(</w:t>
            </w:r>
            <w:r>
              <w:rPr>
                <w:rFonts w:ascii="宋体" w:hAnsi="宋体" w:cs="宋体" w:eastAsia="宋体" w:hint="default"/>
                <w:sz w:val="16"/>
                <w:szCs w:val="16"/>
              </w:rPr>
              <w:t>注</w:t>
            </w:r>
            <w:r>
              <w:rPr>
                <w:rFonts w:ascii="宋体" w:hAnsi="宋体" w:cs="宋体" w:eastAsia="宋体" w:hint="default"/>
                <w:spacing w:val="-42"/>
                <w:sz w:val="16"/>
                <w:szCs w:val="16"/>
              </w:rPr>
              <w:t> </w:t>
            </w:r>
            <w:r>
              <w:rPr>
                <w:rFonts w:ascii="Arial" w:hAnsi="Arial" w:cs="Arial" w:eastAsia="Arial" w:hint="default"/>
                <w:sz w:val="16"/>
                <w:szCs w:val="16"/>
              </w:rPr>
              <w:t>1)</w:t>
            </w:r>
          </w:p>
        </w:tc>
        <w:tc>
          <w:tcPr>
            <w:tcW w:w="665" w:type="dxa"/>
            <w:tcBorders>
              <w:top w:val="nil" w:sz="6" w:space="0" w:color="auto"/>
              <w:left w:val="nil" w:sz="6" w:space="0" w:color="auto"/>
              <w:bottom w:val="single" w:sz="6" w:space="0" w:color="000000"/>
              <w:right w:val="nil" w:sz="6" w:space="0" w:color="auto"/>
            </w:tcBorders>
          </w:tcPr>
          <w:p>
            <w:pPr>
              <w:pStyle w:val="TableParagraph"/>
              <w:spacing w:line="184" w:lineRule="exact"/>
              <w:ind w:left="110" w:right="0"/>
              <w:jc w:val="center"/>
              <w:rPr>
                <w:rFonts w:ascii="Arial" w:hAnsi="Arial" w:cs="Arial" w:eastAsia="Arial" w:hint="default"/>
                <w:sz w:val="16"/>
                <w:szCs w:val="16"/>
              </w:rPr>
            </w:pPr>
            <w:r>
              <w:rPr>
                <w:rFonts w:ascii="Arial" w:hAnsi="Arial" w:cs="Arial" w:eastAsia="Arial" w:hint="default"/>
                <w:sz w:val="16"/>
                <w:szCs w:val="16"/>
              </w:rPr>
              <w:t>2(</w:t>
            </w:r>
            <w:r>
              <w:rPr>
                <w:rFonts w:ascii="宋体" w:hAnsi="宋体" w:cs="宋体" w:eastAsia="宋体" w:hint="default"/>
                <w:sz w:val="16"/>
                <w:szCs w:val="16"/>
              </w:rPr>
              <w:t>注</w:t>
            </w:r>
            <w:r>
              <w:rPr>
                <w:rFonts w:ascii="宋体" w:hAnsi="宋体" w:cs="宋体" w:eastAsia="宋体" w:hint="default"/>
                <w:spacing w:val="-42"/>
                <w:sz w:val="16"/>
                <w:szCs w:val="16"/>
              </w:rPr>
              <w:t> </w:t>
            </w:r>
            <w:r>
              <w:rPr>
                <w:rFonts w:ascii="Arial" w:hAnsi="Arial" w:cs="Arial" w:eastAsia="Arial" w:hint="default"/>
                <w:sz w:val="16"/>
                <w:szCs w:val="16"/>
              </w:rPr>
              <w:t>1)</w:t>
            </w:r>
          </w:p>
        </w:tc>
      </w:tr>
      <w:tr>
        <w:trPr>
          <w:trHeight w:val="191" w:hRule="exact"/>
        </w:trPr>
        <w:tc>
          <w:tcPr>
            <w:tcW w:w="5083" w:type="dxa"/>
            <w:gridSpan w:val="6"/>
            <w:tcBorders>
              <w:top w:val="nil" w:sz="6" w:space="0" w:color="auto"/>
              <w:left w:val="nil" w:sz="6" w:space="0" w:color="auto"/>
              <w:bottom w:val="nil" w:sz="6" w:space="0" w:color="auto"/>
              <w:right w:val="nil" w:sz="6" w:space="0" w:color="auto"/>
            </w:tcBorders>
          </w:tcPr>
          <w:p>
            <w:pPr>
              <w:pStyle w:val="TableParagraph"/>
              <w:tabs>
                <w:tab w:pos="3513" w:val="left" w:leader="none"/>
              </w:tabs>
              <w:spacing w:line="191" w:lineRule="exact"/>
              <w:ind w:left="521" w:right="0"/>
              <w:jc w:val="left"/>
              <w:rPr>
                <w:rFonts w:ascii="宋体" w:hAnsi="宋体" w:cs="宋体" w:eastAsia="宋体" w:hint="default"/>
                <w:sz w:val="16"/>
                <w:szCs w:val="16"/>
              </w:rPr>
            </w:pPr>
            <w:r>
              <w:rPr>
                <w:rFonts w:ascii="宋体" w:hAnsi="宋体" w:cs="宋体" w:eastAsia="宋体" w:hint="default"/>
                <w:w w:val="95"/>
                <w:sz w:val="16"/>
                <w:szCs w:val="16"/>
              </w:rPr>
              <w:t>中国联通（欧洲）</w:t>
              <w:tab/>
            </w:r>
            <w:r>
              <w:rPr>
                <w:rFonts w:ascii="宋体" w:hAnsi="宋体" w:cs="宋体" w:eastAsia="宋体" w:hint="default"/>
                <w:sz w:val="16"/>
                <w:szCs w:val="16"/>
              </w:rPr>
              <w:t>英国</w:t>
            </w:r>
          </w:p>
        </w:tc>
        <w:tc>
          <w:tcPr>
            <w:tcW w:w="917" w:type="dxa"/>
            <w:tcBorders>
              <w:top w:val="single" w:sz="6" w:space="0" w:color="000000"/>
              <w:left w:val="nil" w:sz="6" w:space="0" w:color="auto"/>
              <w:bottom w:val="nil" w:sz="6" w:space="0" w:color="auto"/>
              <w:right w:val="nil" w:sz="6" w:space="0" w:color="auto"/>
            </w:tcBorders>
          </w:tcPr>
          <w:p>
            <w:pPr/>
          </w:p>
        </w:tc>
        <w:tc>
          <w:tcPr>
            <w:tcW w:w="808" w:type="dxa"/>
            <w:tcBorders>
              <w:top w:val="single" w:sz="6" w:space="0" w:color="000000"/>
              <w:left w:val="nil" w:sz="6" w:space="0" w:color="auto"/>
              <w:bottom w:val="nil" w:sz="6" w:space="0" w:color="auto"/>
              <w:right w:val="nil" w:sz="6" w:space="0" w:color="auto"/>
            </w:tcBorders>
          </w:tcPr>
          <w:p>
            <w:pPr/>
          </w:p>
        </w:tc>
        <w:tc>
          <w:tcPr>
            <w:tcW w:w="789" w:type="dxa"/>
            <w:tcBorders>
              <w:top w:val="single" w:sz="6" w:space="0" w:color="000000"/>
              <w:left w:val="nil" w:sz="6" w:space="0" w:color="auto"/>
              <w:bottom w:val="nil" w:sz="6" w:space="0" w:color="auto"/>
              <w:right w:val="nil" w:sz="6" w:space="0" w:color="auto"/>
            </w:tcBorders>
          </w:tcPr>
          <w:p>
            <w:pPr/>
          </w:p>
        </w:tc>
        <w:tc>
          <w:tcPr>
            <w:tcW w:w="779" w:type="dxa"/>
            <w:tcBorders>
              <w:top w:val="single" w:sz="6" w:space="0" w:color="000000"/>
              <w:left w:val="nil" w:sz="6" w:space="0" w:color="auto"/>
              <w:bottom w:val="nil" w:sz="6" w:space="0" w:color="auto"/>
              <w:right w:val="nil" w:sz="6" w:space="0" w:color="auto"/>
            </w:tcBorders>
          </w:tcPr>
          <w:p>
            <w:pPr/>
          </w:p>
        </w:tc>
        <w:tc>
          <w:tcPr>
            <w:tcW w:w="1083" w:type="dxa"/>
            <w:tcBorders>
              <w:top w:val="single" w:sz="6" w:space="0" w:color="000000"/>
              <w:left w:val="nil" w:sz="6" w:space="0" w:color="auto"/>
              <w:bottom w:val="nil" w:sz="6" w:space="0" w:color="auto"/>
              <w:right w:val="nil" w:sz="6" w:space="0" w:color="auto"/>
            </w:tcBorders>
          </w:tcPr>
          <w:p>
            <w:pPr/>
          </w:p>
        </w:tc>
        <w:tc>
          <w:tcPr>
            <w:tcW w:w="1229" w:type="dxa"/>
            <w:tcBorders>
              <w:top w:val="single" w:sz="6" w:space="0" w:color="000000"/>
              <w:left w:val="nil" w:sz="6" w:space="0" w:color="auto"/>
              <w:bottom w:val="nil" w:sz="6" w:space="0" w:color="auto"/>
              <w:right w:val="nil" w:sz="6" w:space="0" w:color="auto"/>
            </w:tcBorders>
          </w:tcPr>
          <w:p>
            <w:pPr/>
          </w:p>
        </w:tc>
        <w:tc>
          <w:tcPr>
            <w:tcW w:w="1152" w:type="dxa"/>
            <w:tcBorders>
              <w:top w:val="single" w:sz="6" w:space="0" w:color="000000"/>
              <w:left w:val="nil" w:sz="6" w:space="0" w:color="auto"/>
              <w:bottom w:val="nil" w:sz="6" w:space="0" w:color="auto"/>
              <w:right w:val="nil" w:sz="6" w:space="0" w:color="auto"/>
            </w:tcBorders>
          </w:tcPr>
          <w:p>
            <w:pPr/>
          </w:p>
        </w:tc>
        <w:tc>
          <w:tcPr>
            <w:tcW w:w="572" w:type="dxa"/>
            <w:tcBorders>
              <w:top w:val="single" w:sz="6" w:space="0" w:color="000000"/>
              <w:left w:val="nil" w:sz="6" w:space="0" w:color="auto"/>
              <w:bottom w:val="nil" w:sz="6" w:space="0" w:color="auto"/>
              <w:right w:val="nil" w:sz="6" w:space="0" w:color="auto"/>
            </w:tcBorders>
          </w:tcPr>
          <w:p>
            <w:pPr/>
          </w:p>
        </w:tc>
        <w:tc>
          <w:tcPr>
            <w:tcW w:w="578" w:type="dxa"/>
            <w:tcBorders>
              <w:top w:val="single" w:sz="6" w:space="0" w:color="000000"/>
              <w:left w:val="nil" w:sz="6" w:space="0" w:color="auto"/>
              <w:bottom w:val="nil" w:sz="6" w:space="0" w:color="auto"/>
              <w:right w:val="nil" w:sz="6" w:space="0" w:color="auto"/>
            </w:tcBorders>
          </w:tcPr>
          <w:p>
            <w:pPr/>
          </w:p>
        </w:tc>
        <w:tc>
          <w:tcPr>
            <w:tcW w:w="463" w:type="dxa"/>
            <w:tcBorders>
              <w:top w:val="single" w:sz="6" w:space="0" w:color="000000"/>
              <w:left w:val="nil" w:sz="6" w:space="0" w:color="auto"/>
              <w:bottom w:val="nil" w:sz="6" w:space="0" w:color="auto"/>
              <w:right w:val="nil" w:sz="6" w:space="0" w:color="auto"/>
            </w:tcBorders>
          </w:tcPr>
          <w:p>
            <w:pPr/>
          </w:p>
        </w:tc>
        <w:tc>
          <w:tcPr>
            <w:tcW w:w="856" w:type="dxa"/>
            <w:tcBorders>
              <w:top w:val="single" w:sz="6" w:space="0" w:color="000000"/>
              <w:left w:val="nil" w:sz="6" w:space="0" w:color="auto"/>
              <w:bottom w:val="nil" w:sz="6" w:space="0" w:color="auto"/>
              <w:right w:val="nil" w:sz="6" w:space="0" w:color="auto"/>
            </w:tcBorders>
          </w:tcPr>
          <w:p>
            <w:pPr/>
          </w:p>
        </w:tc>
        <w:tc>
          <w:tcPr>
            <w:tcW w:w="756" w:type="dxa"/>
            <w:tcBorders>
              <w:top w:val="single" w:sz="6" w:space="0" w:color="000000"/>
              <w:left w:val="nil" w:sz="6" w:space="0" w:color="auto"/>
              <w:bottom w:val="nil" w:sz="6" w:space="0" w:color="auto"/>
              <w:right w:val="nil" w:sz="6" w:space="0" w:color="auto"/>
            </w:tcBorders>
          </w:tcPr>
          <w:p>
            <w:pPr/>
          </w:p>
        </w:tc>
        <w:tc>
          <w:tcPr>
            <w:tcW w:w="665" w:type="dxa"/>
            <w:tcBorders>
              <w:top w:val="single" w:sz="6" w:space="0" w:color="000000"/>
              <w:left w:val="nil" w:sz="6" w:space="0" w:color="auto"/>
              <w:bottom w:val="nil" w:sz="6" w:space="0" w:color="auto"/>
              <w:right w:val="nil" w:sz="6" w:space="0" w:color="auto"/>
            </w:tcBorders>
          </w:tcPr>
          <w:p>
            <w:pPr/>
          </w:p>
        </w:tc>
      </w:tr>
      <w:tr>
        <w:trPr>
          <w:trHeight w:val="233" w:hRule="exact"/>
        </w:trPr>
        <w:tc>
          <w:tcPr>
            <w:tcW w:w="5083" w:type="dxa"/>
            <w:gridSpan w:val="6"/>
            <w:tcBorders>
              <w:top w:val="nil" w:sz="6" w:space="0" w:color="auto"/>
              <w:left w:val="nil" w:sz="6" w:space="0" w:color="auto"/>
              <w:bottom w:val="nil" w:sz="6" w:space="0" w:color="auto"/>
              <w:right w:val="nil" w:sz="6" w:space="0" w:color="auto"/>
            </w:tcBorders>
          </w:tcPr>
          <w:p>
            <w:pPr>
              <w:pStyle w:val="TableParagraph"/>
              <w:tabs>
                <w:tab w:pos="2597" w:val="left" w:leader="none"/>
                <w:tab w:pos="3395" w:val="left" w:leader="none"/>
                <w:tab w:pos="4393" w:val="left" w:leader="none"/>
              </w:tabs>
              <w:spacing w:line="218" w:lineRule="exact"/>
              <w:ind w:left="680" w:right="0"/>
              <w:jc w:val="left"/>
              <w:rPr>
                <w:rFonts w:ascii="宋体" w:hAnsi="宋体" w:cs="宋体" w:eastAsia="宋体" w:hint="default"/>
                <w:sz w:val="16"/>
                <w:szCs w:val="16"/>
              </w:rPr>
            </w:pPr>
            <w:r>
              <w:rPr>
                <w:rFonts w:ascii="宋体" w:hAnsi="宋体" w:cs="宋体" w:eastAsia="宋体" w:hint="default"/>
                <w:w w:val="95"/>
                <w:sz w:val="16"/>
                <w:szCs w:val="16"/>
              </w:rPr>
              <w:t>运营有限公司</w:t>
              <w:tab/>
              <w:t>间接</w:t>
              <w:tab/>
            </w:r>
            <w:r>
              <w:rPr>
                <w:rFonts w:ascii="Arial" w:hAnsi="Arial" w:cs="Arial" w:eastAsia="Arial" w:hint="default"/>
                <w:sz w:val="16"/>
                <w:szCs w:val="16"/>
              </w:rPr>
              <w:t>2006</w:t>
            </w:r>
            <w:r>
              <w:rPr>
                <w:rFonts w:ascii="Arial" w:hAnsi="Arial" w:cs="Arial" w:eastAsia="Arial" w:hint="default"/>
                <w:spacing w:val="-7"/>
                <w:sz w:val="16"/>
                <w:szCs w:val="16"/>
              </w:rPr>
              <w:t> </w:t>
            </w:r>
            <w:r>
              <w:rPr>
                <w:rFonts w:ascii="宋体" w:hAnsi="宋体" w:cs="宋体" w:eastAsia="宋体" w:hint="default"/>
                <w:sz w:val="16"/>
                <w:szCs w:val="16"/>
              </w:rPr>
              <w:t>年</w:t>
              <w:tab/>
              <w:t>电信</w:t>
            </w:r>
          </w:p>
        </w:tc>
        <w:tc>
          <w:tcPr>
            <w:tcW w:w="917" w:type="dxa"/>
            <w:tcBorders>
              <w:top w:val="nil" w:sz="6" w:space="0" w:color="auto"/>
              <w:left w:val="nil" w:sz="6" w:space="0" w:color="auto"/>
              <w:bottom w:val="nil" w:sz="6" w:space="0" w:color="auto"/>
              <w:right w:val="nil" w:sz="6" w:space="0" w:color="auto"/>
            </w:tcBorders>
          </w:tcPr>
          <w:p>
            <w:pPr/>
          </w:p>
        </w:tc>
        <w:tc>
          <w:tcPr>
            <w:tcW w:w="808" w:type="dxa"/>
            <w:tcBorders>
              <w:top w:val="nil" w:sz="6" w:space="0" w:color="auto"/>
              <w:left w:val="nil" w:sz="6" w:space="0" w:color="auto"/>
              <w:bottom w:val="nil" w:sz="6" w:space="0" w:color="auto"/>
              <w:right w:val="nil" w:sz="6" w:space="0" w:color="auto"/>
            </w:tcBorders>
          </w:tcPr>
          <w:p>
            <w:pPr/>
          </w:p>
        </w:tc>
        <w:tc>
          <w:tcPr>
            <w:tcW w:w="789" w:type="dxa"/>
            <w:tcBorders>
              <w:top w:val="nil" w:sz="6" w:space="0" w:color="auto"/>
              <w:left w:val="nil" w:sz="6" w:space="0" w:color="auto"/>
              <w:bottom w:val="nil" w:sz="6" w:space="0" w:color="auto"/>
              <w:right w:val="nil" w:sz="6" w:space="0" w:color="auto"/>
            </w:tcBorders>
          </w:tcPr>
          <w:p>
            <w:pPr>
              <w:pStyle w:val="TableParagraph"/>
              <w:spacing w:line="205" w:lineRule="exact"/>
              <w:ind w:right="45"/>
              <w:jc w:val="center"/>
              <w:rPr>
                <w:rFonts w:ascii="宋体" w:hAnsi="宋体" w:cs="宋体" w:eastAsia="宋体" w:hint="default"/>
                <w:sz w:val="16"/>
                <w:szCs w:val="16"/>
              </w:rPr>
            </w:pPr>
            <w:r>
              <w:rPr>
                <w:rFonts w:ascii="宋体" w:hAnsi="宋体" w:cs="宋体" w:eastAsia="宋体" w:hint="default"/>
                <w:sz w:val="16"/>
                <w:szCs w:val="16"/>
              </w:rPr>
              <w:t>有限</w:t>
            </w:r>
          </w:p>
        </w:tc>
        <w:tc>
          <w:tcPr>
            <w:tcW w:w="779"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152" w:type="dxa"/>
            <w:tcBorders>
              <w:top w:val="nil" w:sz="6" w:space="0" w:color="auto"/>
              <w:left w:val="nil" w:sz="6" w:space="0" w:color="auto"/>
              <w:bottom w:val="nil" w:sz="6" w:space="0" w:color="auto"/>
              <w:right w:val="nil" w:sz="6" w:space="0" w:color="auto"/>
            </w:tcBorders>
          </w:tcPr>
          <w:p>
            <w:pPr/>
          </w:p>
        </w:tc>
        <w:tc>
          <w:tcPr>
            <w:tcW w:w="572" w:type="dxa"/>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63" w:type="dxa"/>
            <w:tcBorders>
              <w:top w:val="nil" w:sz="6" w:space="0" w:color="auto"/>
              <w:left w:val="nil" w:sz="6" w:space="0" w:color="auto"/>
              <w:bottom w:val="nil" w:sz="6" w:space="0" w:color="auto"/>
              <w:right w:val="nil" w:sz="6" w:space="0" w:color="auto"/>
            </w:tcBorders>
          </w:tcPr>
          <w:p>
            <w:pPr/>
          </w:p>
        </w:tc>
        <w:tc>
          <w:tcPr>
            <w:tcW w:w="856" w:type="dxa"/>
            <w:tcBorders>
              <w:top w:val="nil" w:sz="6" w:space="0" w:color="auto"/>
              <w:left w:val="nil" w:sz="6" w:space="0" w:color="auto"/>
              <w:bottom w:val="nil" w:sz="6" w:space="0" w:color="auto"/>
              <w:right w:val="nil" w:sz="6" w:space="0" w:color="auto"/>
            </w:tcBorders>
          </w:tcPr>
          <w:p>
            <w:pPr/>
          </w:p>
        </w:tc>
        <w:tc>
          <w:tcPr>
            <w:tcW w:w="756" w:type="dxa"/>
            <w:tcBorders>
              <w:top w:val="nil" w:sz="6" w:space="0" w:color="auto"/>
              <w:left w:val="nil" w:sz="6" w:space="0" w:color="auto"/>
              <w:bottom w:val="nil" w:sz="6" w:space="0" w:color="auto"/>
              <w:right w:val="nil" w:sz="6" w:space="0" w:color="auto"/>
            </w:tcBorders>
          </w:tcPr>
          <w:p>
            <w:pPr/>
          </w:p>
        </w:tc>
        <w:tc>
          <w:tcPr>
            <w:tcW w:w="665" w:type="dxa"/>
            <w:tcBorders>
              <w:top w:val="nil" w:sz="6" w:space="0" w:color="auto"/>
              <w:left w:val="nil" w:sz="6" w:space="0" w:color="auto"/>
              <w:bottom w:val="nil" w:sz="6" w:space="0" w:color="auto"/>
              <w:right w:val="nil" w:sz="6" w:space="0" w:color="auto"/>
            </w:tcBorders>
          </w:tcPr>
          <w:p>
            <w:pPr/>
          </w:p>
        </w:tc>
      </w:tr>
      <w:tr>
        <w:trPr>
          <w:trHeight w:val="306" w:hRule="exact"/>
        </w:trPr>
        <w:tc>
          <w:tcPr>
            <w:tcW w:w="2061" w:type="dxa"/>
            <w:tcBorders>
              <w:top w:val="nil" w:sz="6" w:space="0" w:color="auto"/>
              <w:left w:val="nil" w:sz="6" w:space="0" w:color="auto"/>
              <w:bottom w:val="nil" w:sz="6" w:space="0" w:color="auto"/>
              <w:right w:val="nil" w:sz="6" w:space="0" w:color="auto"/>
            </w:tcBorders>
          </w:tcPr>
          <w:p>
            <w:pPr>
              <w:pStyle w:val="TableParagraph"/>
              <w:spacing w:line="162" w:lineRule="exact"/>
              <w:ind w:left="521" w:right="0"/>
              <w:jc w:val="left"/>
              <w:rPr>
                <w:rFonts w:ascii="宋体" w:hAnsi="宋体" w:cs="宋体" w:eastAsia="宋体" w:hint="default"/>
                <w:sz w:val="16"/>
                <w:szCs w:val="16"/>
              </w:rPr>
            </w:pPr>
            <w:r>
              <w:rPr>
                <w:rFonts w:ascii="宋体" w:hAnsi="宋体" w:cs="宋体" w:eastAsia="宋体" w:hint="default"/>
                <w:spacing w:val="-12"/>
                <w:sz w:val="16"/>
                <w:szCs w:val="16"/>
              </w:rPr>
              <w:t>（“联通欧洲运营”）</w:t>
            </w:r>
          </w:p>
        </w:tc>
        <w:tc>
          <w:tcPr>
            <w:tcW w:w="395" w:type="dxa"/>
            <w:tcBorders>
              <w:top w:val="nil" w:sz="6" w:space="0" w:color="auto"/>
              <w:left w:val="nil" w:sz="6" w:space="0" w:color="auto"/>
              <w:bottom w:val="nil" w:sz="6" w:space="0" w:color="auto"/>
              <w:right w:val="nil" w:sz="6" w:space="0" w:color="auto"/>
            </w:tcBorders>
          </w:tcPr>
          <w:p>
            <w:pPr>
              <w:pStyle w:val="TableParagraph"/>
              <w:spacing w:line="240" w:lineRule="auto"/>
              <w:ind w:left="58" w:right="0"/>
              <w:jc w:val="left"/>
              <w:rPr>
                <w:rFonts w:ascii="Arial" w:hAnsi="Arial" w:cs="Arial" w:eastAsia="Arial" w:hint="default"/>
                <w:sz w:val="16"/>
                <w:szCs w:val="16"/>
              </w:rPr>
            </w:pPr>
            <w:r>
              <w:rPr>
                <w:rFonts w:ascii="Arial"/>
                <w:sz w:val="16"/>
              </w:rPr>
              <w:t>(1)</w:t>
            </w:r>
          </w:p>
        </w:tc>
        <w:tc>
          <w:tcPr>
            <w:tcW w:w="599" w:type="dxa"/>
            <w:tcBorders>
              <w:top w:val="nil" w:sz="6" w:space="0" w:color="auto"/>
              <w:left w:val="nil" w:sz="6" w:space="0" w:color="auto"/>
              <w:bottom w:val="nil" w:sz="6" w:space="0" w:color="auto"/>
              <w:right w:val="nil" w:sz="6" w:space="0" w:color="auto"/>
            </w:tcBorders>
          </w:tcPr>
          <w:p>
            <w:pPr>
              <w:pStyle w:val="TableParagraph"/>
              <w:spacing w:line="160" w:lineRule="exact"/>
              <w:ind w:left="142" w:right="0"/>
              <w:jc w:val="left"/>
              <w:rPr>
                <w:rFonts w:ascii="宋体" w:hAnsi="宋体" w:cs="宋体" w:eastAsia="宋体" w:hint="default"/>
                <w:sz w:val="16"/>
                <w:szCs w:val="16"/>
              </w:rPr>
            </w:pPr>
            <w:r>
              <w:rPr>
                <w:rFonts w:ascii="宋体" w:hAnsi="宋体" w:cs="宋体" w:eastAsia="宋体" w:hint="default"/>
                <w:sz w:val="16"/>
                <w:szCs w:val="16"/>
              </w:rPr>
              <w:t>控股</w:t>
            </w:r>
          </w:p>
        </w:tc>
        <w:tc>
          <w:tcPr>
            <w:tcW w:w="1177" w:type="dxa"/>
            <w:tcBorders>
              <w:top w:val="nil" w:sz="6" w:space="0" w:color="auto"/>
              <w:left w:val="nil" w:sz="6" w:space="0" w:color="auto"/>
              <w:bottom w:val="nil" w:sz="6" w:space="0" w:color="auto"/>
              <w:right w:val="nil" w:sz="6" w:space="0" w:color="auto"/>
            </w:tcBorders>
          </w:tcPr>
          <w:p>
            <w:pPr>
              <w:pStyle w:val="TableParagraph"/>
              <w:spacing w:line="172" w:lineRule="exact"/>
              <w:ind w:left="59" w:right="0"/>
              <w:jc w:val="center"/>
              <w:rPr>
                <w:rFonts w:ascii="宋体" w:hAnsi="宋体" w:cs="宋体" w:eastAsia="宋体" w:hint="default"/>
                <w:sz w:val="16"/>
                <w:szCs w:val="16"/>
              </w:rPr>
            </w:pPr>
            <w:r>
              <w:rPr>
                <w:rFonts w:ascii="Arial" w:hAnsi="Arial" w:cs="Arial" w:eastAsia="Arial" w:hint="default"/>
                <w:sz w:val="16"/>
                <w:szCs w:val="16"/>
              </w:rPr>
              <w:t>11</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1"/>
                <w:sz w:val="16"/>
                <w:szCs w:val="16"/>
              </w:rPr>
              <w:t> </w:t>
            </w:r>
            <w:r>
              <w:rPr>
                <w:rFonts w:ascii="Arial" w:hAnsi="Arial" w:cs="Arial" w:eastAsia="Arial" w:hint="default"/>
                <w:sz w:val="16"/>
                <w:szCs w:val="16"/>
              </w:rPr>
              <w:t>8</w:t>
            </w:r>
            <w:r>
              <w:rPr>
                <w:rFonts w:ascii="Arial" w:hAnsi="Arial" w:cs="Arial" w:eastAsia="Arial" w:hint="default"/>
                <w:spacing w:val="-6"/>
                <w:sz w:val="16"/>
                <w:szCs w:val="16"/>
              </w:rPr>
              <w:t> </w:t>
            </w:r>
            <w:r>
              <w:rPr>
                <w:rFonts w:ascii="宋体" w:hAnsi="宋体" w:cs="宋体" w:eastAsia="宋体" w:hint="default"/>
                <w:sz w:val="16"/>
                <w:szCs w:val="16"/>
              </w:rPr>
              <w:t>日</w:t>
            </w:r>
          </w:p>
        </w:tc>
        <w:tc>
          <w:tcPr>
            <w:tcW w:w="637" w:type="dxa"/>
            <w:tcBorders>
              <w:top w:val="nil" w:sz="6" w:space="0" w:color="auto"/>
              <w:left w:val="nil" w:sz="6" w:space="0" w:color="auto"/>
              <w:bottom w:val="nil" w:sz="6" w:space="0" w:color="auto"/>
              <w:right w:val="nil" w:sz="6" w:space="0" w:color="auto"/>
            </w:tcBorders>
          </w:tcPr>
          <w:p>
            <w:pPr>
              <w:pStyle w:val="TableParagraph"/>
              <w:spacing w:line="160" w:lineRule="exact"/>
              <w:ind w:left="4" w:right="0"/>
              <w:jc w:val="center"/>
              <w:rPr>
                <w:rFonts w:ascii="宋体" w:hAnsi="宋体" w:cs="宋体" w:eastAsia="宋体" w:hint="default"/>
                <w:sz w:val="16"/>
                <w:szCs w:val="16"/>
              </w:rPr>
            </w:pPr>
            <w:r>
              <w:rPr>
                <w:rFonts w:ascii="宋体" w:hAnsi="宋体" w:cs="宋体" w:eastAsia="宋体" w:hint="default"/>
                <w:sz w:val="16"/>
                <w:szCs w:val="16"/>
              </w:rPr>
              <w:t>业务</w:t>
            </w:r>
          </w:p>
        </w:tc>
        <w:tc>
          <w:tcPr>
            <w:tcW w:w="1131" w:type="dxa"/>
            <w:gridSpan w:val="2"/>
            <w:tcBorders>
              <w:top w:val="nil" w:sz="6" w:space="0" w:color="auto"/>
              <w:left w:val="nil" w:sz="6" w:space="0" w:color="auto"/>
              <w:bottom w:val="nil" w:sz="6" w:space="0" w:color="auto"/>
              <w:right w:val="nil" w:sz="6" w:space="0" w:color="auto"/>
            </w:tcBorders>
          </w:tcPr>
          <w:p>
            <w:pPr>
              <w:pStyle w:val="TableParagraph"/>
              <w:spacing w:line="172" w:lineRule="exact"/>
              <w:ind w:left="254" w:right="0"/>
              <w:jc w:val="left"/>
              <w:rPr>
                <w:rFonts w:ascii="Arial" w:hAnsi="Arial" w:cs="Arial" w:eastAsia="Arial" w:hint="default"/>
                <w:sz w:val="16"/>
                <w:szCs w:val="16"/>
              </w:rPr>
            </w:pPr>
            <w:r>
              <w:rPr>
                <w:rFonts w:ascii="宋体" w:hAnsi="宋体" w:cs="宋体" w:eastAsia="宋体" w:hint="default"/>
                <w:sz w:val="16"/>
                <w:szCs w:val="16"/>
              </w:rPr>
              <w:t>英镑</w:t>
            </w:r>
            <w:r>
              <w:rPr>
                <w:rFonts w:ascii="宋体" w:hAnsi="宋体" w:cs="宋体" w:eastAsia="宋体" w:hint="default"/>
                <w:spacing w:val="-42"/>
                <w:sz w:val="16"/>
                <w:szCs w:val="16"/>
              </w:rPr>
              <w:t> </w:t>
            </w:r>
            <w:r>
              <w:rPr>
                <w:rFonts w:ascii="Arial" w:hAnsi="Arial" w:cs="Arial" w:eastAsia="Arial" w:hint="default"/>
                <w:sz w:val="16"/>
                <w:szCs w:val="16"/>
              </w:rPr>
              <w:t>4,861</w:t>
            </w:r>
          </w:p>
        </w:tc>
        <w:tc>
          <w:tcPr>
            <w:tcW w:w="808" w:type="dxa"/>
            <w:tcBorders>
              <w:top w:val="nil" w:sz="6" w:space="0" w:color="auto"/>
              <w:left w:val="nil" w:sz="6" w:space="0" w:color="auto"/>
              <w:bottom w:val="nil" w:sz="6" w:space="0" w:color="auto"/>
              <w:right w:val="nil" w:sz="6" w:space="0" w:color="auto"/>
            </w:tcBorders>
          </w:tcPr>
          <w:p>
            <w:pPr>
              <w:pStyle w:val="TableParagraph"/>
              <w:spacing w:line="161" w:lineRule="exact"/>
              <w:ind w:left="67" w:right="0"/>
              <w:jc w:val="center"/>
              <w:rPr>
                <w:rFonts w:ascii="宋体" w:hAnsi="宋体" w:cs="宋体" w:eastAsia="宋体" w:hint="default"/>
                <w:sz w:val="16"/>
                <w:szCs w:val="16"/>
              </w:rPr>
            </w:pPr>
            <w:r>
              <w:rPr>
                <w:rFonts w:ascii="宋体" w:hAnsi="宋体" w:cs="宋体" w:eastAsia="宋体" w:hint="default"/>
                <w:sz w:val="16"/>
                <w:szCs w:val="16"/>
              </w:rPr>
              <w:t>电信业务</w:t>
            </w:r>
          </w:p>
        </w:tc>
        <w:tc>
          <w:tcPr>
            <w:tcW w:w="789" w:type="dxa"/>
            <w:tcBorders>
              <w:top w:val="nil" w:sz="6" w:space="0" w:color="auto"/>
              <w:left w:val="nil" w:sz="6" w:space="0" w:color="auto"/>
              <w:bottom w:val="nil" w:sz="6" w:space="0" w:color="auto"/>
              <w:right w:val="nil" w:sz="6" w:space="0" w:color="auto"/>
            </w:tcBorders>
          </w:tcPr>
          <w:p>
            <w:pPr>
              <w:pStyle w:val="TableParagraph"/>
              <w:spacing w:line="160" w:lineRule="exact"/>
              <w:ind w:right="45"/>
              <w:jc w:val="center"/>
              <w:rPr>
                <w:rFonts w:ascii="宋体" w:hAnsi="宋体" w:cs="宋体" w:eastAsia="宋体" w:hint="default"/>
                <w:sz w:val="16"/>
                <w:szCs w:val="16"/>
              </w:rPr>
            </w:pPr>
            <w:r>
              <w:rPr>
                <w:rFonts w:ascii="宋体" w:hAnsi="宋体" w:cs="宋体" w:eastAsia="宋体" w:hint="default"/>
                <w:sz w:val="16"/>
                <w:szCs w:val="16"/>
              </w:rPr>
              <w:t>公司</w:t>
            </w:r>
          </w:p>
        </w:tc>
        <w:tc>
          <w:tcPr>
            <w:tcW w:w="779" w:type="dxa"/>
            <w:tcBorders>
              <w:top w:val="nil" w:sz="6" w:space="0" w:color="auto"/>
              <w:left w:val="nil" w:sz="6" w:space="0" w:color="auto"/>
              <w:bottom w:val="nil" w:sz="6" w:space="0" w:color="auto"/>
              <w:right w:val="nil" w:sz="6" w:space="0" w:color="auto"/>
            </w:tcBorders>
          </w:tcPr>
          <w:p>
            <w:pPr>
              <w:pStyle w:val="TableParagraph"/>
              <w:spacing w:line="161" w:lineRule="exact"/>
              <w:ind w:right="4"/>
              <w:jc w:val="center"/>
              <w:rPr>
                <w:rFonts w:ascii="宋体" w:hAnsi="宋体" w:cs="宋体" w:eastAsia="宋体" w:hint="default"/>
                <w:sz w:val="16"/>
                <w:szCs w:val="16"/>
              </w:rPr>
            </w:pPr>
            <w:r>
              <w:rPr>
                <w:rFonts w:ascii="宋体" w:hAnsi="宋体" w:cs="宋体" w:eastAsia="宋体" w:hint="default"/>
                <w:sz w:val="16"/>
                <w:szCs w:val="16"/>
              </w:rPr>
              <w:t>不适用</w:t>
            </w:r>
          </w:p>
        </w:tc>
        <w:tc>
          <w:tcPr>
            <w:tcW w:w="1083" w:type="dxa"/>
            <w:tcBorders>
              <w:top w:val="nil" w:sz="6" w:space="0" w:color="auto"/>
              <w:left w:val="nil" w:sz="6" w:space="0" w:color="auto"/>
              <w:bottom w:val="nil" w:sz="6" w:space="0" w:color="auto"/>
              <w:right w:val="nil" w:sz="6" w:space="0" w:color="auto"/>
            </w:tcBorders>
          </w:tcPr>
          <w:p>
            <w:pPr>
              <w:pStyle w:val="TableParagraph"/>
              <w:spacing w:line="161" w:lineRule="exact"/>
              <w:ind w:left="219" w:right="0"/>
              <w:jc w:val="left"/>
              <w:rPr>
                <w:rFonts w:ascii="宋体" w:hAnsi="宋体" w:cs="宋体" w:eastAsia="宋体" w:hint="default"/>
                <w:sz w:val="16"/>
                <w:szCs w:val="16"/>
              </w:rPr>
            </w:pPr>
            <w:r>
              <w:rPr>
                <w:rFonts w:ascii="宋体" w:hAnsi="宋体" w:cs="宋体" w:eastAsia="宋体" w:hint="default"/>
                <w:sz w:val="16"/>
                <w:szCs w:val="16"/>
              </w:rPr>
              <w:t>不适用</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ind w:left="487" w:right="0"/>
              <w:jc w:val="left"/>
              <w:rPr>
                <w:rFonts w:ascii="Arial" w:hAnsi="Arial" w:cs="Arial" w:eastAsia="Arial" w:hint="default"/>
                <w:sz w:val="16"/>
                <w:szCs w:val="16"/>
              </w:rPr>
            </w:pPr>
            <w:r>
              <w:rPr>
                <w:rFonts w:ascii="Arial"/>
                <w:sz w:val="16"/>
              </w:rPr>
              <w:t>65,737</w:t>
            </w:r>
          </w:p>
        </w:tc>
        <w:tc>
          <w:tcPr>
            <w:tcW w:w="1724" w:type="dxa"/>
            <w:gridSpan w:val="2"/>
            <w:tcBorders>
              <w:top w:val="nil" w:sz="6" w:space="0" w:color="auto"/>
              <w:left w:val="nil" w:sz="6" w:space="0" w:color="auto"/>
              <w:bottom w:val="nil" w:sz="6" w:space="0" w:color="auto"/>
              <w:right w:val="nil" w:sz="6" w:space="0" w:color="auto"/>
            </w:tcBorders>
          </w:tcPr>
          <w:p>
            <w:pPr>
              <w:pStyle w:val="TableParagraph"/>
              <w:tabs>
                <w:tab w:pos="1278" w:val="left" w:leader="none"/>
              </w:tabs>
              <w:spacing w:line="240" w:lineRule="auto"/>
              <w:ind w:left="991" w:right="0"/>
              <w:jc w:val="left"/>
              <w:rPr>
                <w:rFonts w:ascii="Arial" w:hAnsi="Arial" w:cs="Arial" w:eastAsia="Arial" w:hint="default"/>
                <w:sz w:val="16"/>
                <w:szCs w:val="16"/>
              </w:rPr>
            </w:pPr>
            <w:r>
              <w:rPr>
                <w:rFonts w:ascii="Arial"/>
                <w:w w:val="95"/>
                <w:sz w:val="16"/>
              </w:rPr>
              <w:t>-</w:t>
              <w:tab/>
            </w:r>
            <w:r>
              <w:rPr>
                <w:rFonts w:ascii="Arial"/>
                <w:sz w:val="16"/>
              </w:rPr>
              <w:t>33.88</w:t>
            </w:r>
          </w:p>
        </w:tc>
        <w:tc>
          <w:tcPr>
            <w:tcW w:w="578" w:type="dxa"/>
            <w:tcBorders>
              <w:top w:val="nil" w:sz="6" w:space="0" w:color="auto"/>
              <w:left w:val="nil" w:sz="6" w:space="0" w:color="auto"/>
              <w:bottom w:val="nil" w:sz="6" w:space="0" w:color="auto"/>
              <w:right w:val="nil" w:sz="6" w:space="0" w:color="auto"/>
            </w:tcBorders>
          </w:tcPr>
          <w:p>
            <w:pPr>
              <w:pStyle w:val="TableParagraph"/>
              <w:spacing w:line="240" w:lineRule="auto"/>
              <w:ind w:right="49"/>
              <w:jc w:val="right"/>
              <w:rPr>
                <w:rFonts w:ascii="Arial" w:hAnsi="Arial" w:cs="Arial" w:eastAsia="Arial" w:hint="default"/>
                <w:sz w:val="16"/>
                <w:szCs w:val="16"/>
              </w:rPr>
            </w:pPr>
            <w:r>
              <w:rPr>
                <w:rFonts w:ascii="Arial"/>
                <w:w w:val="95"/>
                <w:sz w:val="16"/>
              </w:rPr>
              <w:t>58.30</w:t>
            </w:r>
            <w:r>
              <w:rPr>
                <w:rFonts w:ascii="Arial"/>
                <w:sz w:val="16"/>
              </w:rPr>
            </w:r>
          </w:p>
        </w:tc>
        <w:tc>
          <w:tcPr>
            <w:tcW w:w="463" w:type="dxa"/>
            <w:tcBorders>
              <w:top w:val="nil" w:sz="6" w:space="0" w:color="auto"/>
              <w:left w:val="nil" w:sz="6" w:space="0" w:color="auto"/>
              <w:bottom w:val="nil" w:sz="6" w:space="0" w:color="auto"/>
              <w:right w:val="nil" w:sz="6" w:space="0" w:color="auto"/>
            </w:tcBorders>
          </w:tcPr>
          <w:p>
            <w:pPr>
              <w:pStyle w:val="TableParagraph"/>
              <w:spacing w:line="161" w:lineRule="exact"/>
              <w:ind w:right="38"/>
              <w:jc w:val="center"/>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c>
        <w:tc>
          <w:tcPr>
            <w:tcW w:w="2277" w:type="dxa"/>
            <w:gridSpan w:val="3"/>
            <w:tcBorders>
              <w:top w:val="nil" w:sz="6" w:space="0" w:color="auto"/>
              <w:left w:val="nil" w:sz="6" w:space="0" w:color="auto"/>
              <w:bottom w:val="nil" w:sz="6" w:space="0" w:color="auto"/>
              <w:right w:val="nil" w:sz="6" w:space="0" w:color="auto"/>
            </w:tcBorders>
          </w:tcPr>
          <w:p>
            <w:pPr>
              <w:pStyle w:val="TableParagraph"/>
              <w:tabs>
                <w:tab w:pos="1197" w:val="left" w:leader="none"/>
                <w:tab w:pos="1856" w:val="left" w:leader="none"/>
              </w:tabs>
              <w:spacing w:line="240" w:lineRule="auto"/>
              <w:ind w:left="338" w:right="0"/>
              <w:jc w:val="left"/>
              <w:rPr>
                <w:rFonts w:ascii="Arial" w:hAnsi="Arial" w:cs="Arial" w:eastAsia="Arial" w:hint="default"/>
                <w:sz w:val="16"/>
                <w:szCs w:val="16"/>
              </w:rPr>
            </w:pPr>
            <w:r>
              <w:rPr>
                <w:rFonts w:ascii="Arial"/>
                <w:w w:val="95"/>
                <w:sz w:val="16"/>
              </w:rPr>
              <w:t>-</w:t>
              <w:tab/>
              <w:t>-</w:t>
              <w:tab/>
            </w:r>
            <w:r>
              <w:rPr>
                <w:rFonts w:ascii="Arial"/>
                <w:sz w:val="16"/>
              </w:rPr>
              <w:t>-</w:t>
            </w:r>
          </w:p>
        </w:tc>
      </w:tr>
      <w:tr>
        <w:trPr>
          <w:trHeight w:val="290" w:hRule="exact"/>
        </w:trPr>
        <w:tc>
          <w:tcPr>
            <w:tcW w:w="2061" w:type="dxa"/>
            <w:tcBorders>
              <w:top w:val="nil" w:sz="6" w:space="0" w:color="auto"/>
              <w:left w:val="nil" w:sz="6" w:space="0" w:color="auto"/>
              <w:bottom w:val="nil" w:sz="6" w:space="0" w:color="auto"/>
              <w:right w:val="nil" w:sz="6" w:space="0" w:color="auto"/>
            </w:tcBorders>
          </w:tcPr>
          <w:p>
            <w:pPr>
              <w:pStyle w:val="TableParagraph"/>
              <w:spacing w:line="240" w:lineRule="auto" w:before="56"/>
              <w:ind w:left="520" w:right="0"/>
              <w:jc w:val="left"/>
              <w:rPr>
                <w:rFonts w:ascii="宋体" w:hAnsi="宋体" w:cs="宋体" w:eastAsia="宋体" w:hint="default"/>
                <w:sz w:val="16"/>
                <w:szCs w:val="16"/>
              </w:rPr>
            </w:pPr>
            <w:r>
              <w:rPr>
                <w:rFonts w:ascii="宋体" w:hAnsi="宋体" w:cs="宋体" w:eastAsia="宋体" w:hint="default"/>
                <w:sz w:val="16"/>
                <w:szCs w:val="16"/>
              </w:rPr>
              <w:t>中国联通（日本）</w:t>
            </w:r>
          </w:p>
        </w:tc>
        <w:tc>
          <w:tcPr>
            <w:tcW w:w="395"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59" w:right="0"/>
              <w:jc w:val="center"/>
              <w:rPr>
                <w:rFonts w:ascii="宋体" w:hAnsi="宋体" w:cs="宋体" w:eastAsia="宋体" w:hint="default"/>
                <w:sz w:val="16"/>
                <w:szCs w:val="16"/>
              </w:rPr>
            </w:pPr>
            <w:r>
              <w:rPr>
                <w:rFonts w:ascii="宋体" w:hAnsi="宋体" w:cs="宋体" w:eastAsia="宋体" w:hint="default"/>
                <w:sz w:val="16"/>
                <w:szCs w:val="16"/>
              </w:rPr>
              <w:t>日本</w:t>
            </w:r>
          </w:p>
        </w:tc>
        <w:tc>
          <w:tcPr>
            <w:tcW w:w="637" w:type="dxa"/>
            <w:tcBorders>
              <w:top w:val="nil" w:sz="6" w:space="0" w:color="auto"/>
              <w:left w:val="nil" w:sz="6" w:space="0" w:color="auto"/>
              <w:bottom w:val="nil" w:sz="6" w:space="0" w:color="auto"/>
              <w:right w:val="nil" w:sz="6" w:space="0" w:color="auto"/>
            </w:tcBorders>
          </w:tcPr>
          <w:p>
            <w:pPr/>
          </w:p>
        </w:tc>
        <w:tc>
          <w:tcPr>
            <w:tcW w:w="1131" w:type="dxa"/>
            <w:gridSpan w:val="2"/>
            <w:tcBorders>
              <w:top w:val="nil" w:sz="6" w:space="0" w:color="auto"/>
              <w:left w:val="nil" w:sz="6" w:space="0" w:color="auto"/>
              <w:bottom w:val="nil" w:sz="6" w:space="0" w:color="auto"/>
              <w:right w:val="nil" w:sz="6" w:space="0" w:color="auto"/>
            </w:tcBorders>
          </w:tcPr>
          <w:p>
            <w:pPr/>
          </w:p>
        </w:tc>
        <w:tc>
          <w:tcPr>
            <w:tcW w:w="808" w:type="dxa"/>
            <w:tcBorders>
              <w:top w:val="nil" w:sz="6" w:space="0" w:color="auto"/>
              <w:left w:val="nil" w:sz="6" w:space="0" w:color="auto"/>
              <w:bottom w:val="nil" w:sz="6" w:space="0" w:color="auto"/>
              <w:right w:val="nil" w:sz="6" w:space="0" w:color="auto"/>
            </w:tcBorders>
          </w:tcPr>
          <w:p>
            <w:pPr/>
          </w:p>
        </w:tc>
        <w:tc>
          <w:tcPr>
            <w:tcW w:w="789"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724" w:type="dxa"/>
            <w:gridSpan w:val="2"/>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63" w:type="dxa"/>
            <w:tcBorders>
              <w:top w:val="nil" w:sz="6" w:space="0" w:color="auto"/>
              <w:left w:val="nil" w:sz="6" w:space="0" w:color="auto"/>
              <w:bottom w:val="nil" w:sz="6" w:space="0" w:color="auto"/>
              <w:right w:val="nil" w:sz="6" w:space="0" w:color="auto"/>
            </w:tcBorders>
          </w:tcPr>
          <w:p>
            <w:pPr/>
          </w:p>
        </w:tc>
        <w:tc>
          <w:tcPr>
            <w:tcW w:w="2277" w:type="dxa"/>
            <w:gridSpan w:val="3"/>
            <w:tcBorders>
              <w:top w:val="nil" w:sz="6" w:space="0" w:color="auto"/>
              <w:left w:val="nil" w:sz="6" w:space="0" w:color="auto"/>
              <w:bottom w:val="nil" w:sz="6" w:space="0" w:color="auto"/>
              <w:right w:val="nil" w:sz="6" w:space="0" w:color="auto"/>
            </w:tcBorders>
          </w:tcPr>
          <w:p>
            <w:pPr/>
          </w:p>
        </w:tc>
      </w:tr>
      <w:tr>
        <w:trPr>
          <w:trHeight w:val="212" w:hRule="exact"/>
        </w:trPr>
        <w:tc>
          <w:tcPr>
            <w:tcW w:w="2061" w:type="dxa"/>
            <w:tcBorders>
              <w:top w:val="nil" w:sz="6" w:space="0" w:color="auto"/>
              <w:left w:val="nil" w:sz="6" w:space="0" w:color="auto"/>
              <w:bottom w:val="nil" w:sz="6" w:space="0" w:color="auto"/>
              <w:right w:val="nil" w:sz="6" w:space="0" w:color="auto"/>
            </w:tcBorders>
          </w:tcPr>
          <w:p>
            <w:pPr>
              <w:pStyle w:val="TableParagraph"/>
              <w:spacing w:line="184" w:lineRule="exact"/>
              <w:ind w:left="680" w:right="0"/>
              <w:jc w:val="left"/>
              <w:rPr>
                <w:rFonts w:ascii="宋体" w:hAnsi="宋体" w:cs="宋体" w:eastAsia="宋体" w:hint="default"/>
                <w:sz w:val="16"/>
                <w:szCs w:val="16"/>
              </w:rPr>
            </w:pPr>
            <w:r>
              <w:rPr>
                <w:rFonts w:ascii="宋体" w:hAnsi="宋体" w:cs="宋体" w:eastAsia="宋体" w:hint="default"/>
                <w:sz w:val="16"/>
                <w:szCs w:val="16"/>
              </w:rPr>
              <w:t>运营有限公司</w:t>
            </w:r>
          </w:p>
        </w:tc>
        <w:tc>
          <w:tcPr>
            <w:tcW w:w="395"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Style w:val="TableParagraph"/>
              <w:spacing w:line="184" w:lineRule="exact"/>
              <w:ind w:left="142" w:right="0"/>
              <w:jc w:val="left"/>
              <w:rPr>
                <w:rFonts w:ascii="宋体" w:hAnsi="宋体" w:cs="宋体" w:eastAsia="宋体" w:hint="default"/>
                <w:sz w:val="16"/>
                <w:szCs w:val="16"/>
              </w:rPr>
            </w:pPr>
            <w:r>
              <w:rPr>
                <w:rFonts w:ascii="宋体" w:hAnsi="宋体" w:cs="宋体" w:eastAsia="宋体" w:hint="default"/>
                <w:sz w:val="16"/>
                <w:szCs w:val="16"/>
              </w:rPr>
              <w:t>间接</w:t>
            </w:r>
          </w:p>
        </w:tc>
        <w:tc>
          <w:tcPr>
            <w:tcW w:w="1177" w:type="dxa"/>
            <w:tcBorders>
              <w:top w:val="nil" w:sz="6" w:space="0" w:color="auto"/>
              <w:left w:val="nil" w:sz="6" w:space="0" w:color="auto"/>
              <w:bottom w:val="nil" w:sz="6" w:space="0" w:color="auto"/>
              <w:right w:val="nil" w:sz="6" w:space="0" w:color="auto"/>
            </w:tcBorders>
          </w:tcPr>
          <w:p>
            <w:pPr>
              <w:pStyle w:val="TableParagraph"/>
              <w:spacing w:line="195" w:lineRule="exact"/>
              <w:ind w:left="59" w:right="0"/>
              <w:jc w:val="center"/>
              <w:rPr>
                <w:rFonts w:ascii="宋体" w:hAnsi="宋体" w:cs="宋体" w:eastAsia="宋体" w:hint="default"/>
                <w:sz w:val="16"/>
                <w:szCs w:val="16"/>
              </w:rPr>
            </w:pPr>
            <w:r>
              <w:rPr>
                <w:rFonts w:ascii="Arial" w:hAnsi="Arial" w:cs="Arial" w:eastAsia="Arial" w:hint="default"/>
                <w:sz w:val="16"/>
                <w:szCs w:val="16"/>
              </w:rPr>
              <w:t>2007</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637" w:type="dxa"/>
            <w:tcBorders>
              <w:top w:val="nil" w:sz="6" w:space="0" w:color="auto"/>
              <w:left w:val="nil" w:sz="6" w:space="0" w:color="auto"/>
              <w:bottom w:val="nil" w:sz="6" w:space="0" w:color="auto"/>
              <w:right w:val="nil" w:sz="6" w:space="0" w:color="auto"/>
            </w:tcBorders>
          </w:tcPr>
          <w:p>
            <w:pPr>
              <w:pStyle w:val="TableParagraph"/>
              <w:spacing w:line="184" w:lineRule="exact"/>
              <w:ind w:left="3" w:right="0"/>
              <w:jc w:val="center"/>
              <w:rPr>
                <w:rFonts w:ascii="宋体" w:hAnsi="宋体" w:cs="宋体" w:eastAsia="宋体" w:hint="default"/>
                <w:sz w:val="16"/>
                <w:szCs w:val="16"/>
              </w:rPr>
            </w:pPr>
            <w:r>
              <w:rPr>
                <w:rFonts w:ascii="宋体" w:hAnsi="宋体" w:cs="宋体" w:eastAsia="宋体" w:hint="default"/>
                <w:sz w:val="16"/>
                <w:szCs w:val="16"/>
              </w:rPr>
              <w:t>电信</w:t>
            </w:r>
          </w:p>
        </w:tc>
        <w:tc>
          <w:tcPr>
            <w:tcW w:w="1131" w:type="dxa"/>
            <w:gridSpan w:val="2"/>
            <w:tcBorders>
              <w:top w:val="nil" w:sz="6" w:space="0" w:color="auto"/>
              <w:left w:val="nil" w:sz="6" w:space="0" w:color="auto"/>
              <w:bottom w:val="nil" w:sz="6" w:space="0" w:color="auto"/>
              <w:right w:val="nil" w:sz="6" w:space="0" w:color="auto"/>
            </w:tcBorders>
          </w:tcPr>
          <w:p>
            <w:pPr/>
          </w:p>
        </w:tc>
        <w:tc>
          <w:tcPr>
            <w:tcW w:w="808" w:type="dxa"/>
            <w:tcBorders>
              <w:top w:val="nil" w:sz="6" w:space="0" w:color="auto"/>
              <w:left w:val="nil" w:sz="6" w:space="0" w:color="auto"/>
              <w:bottom w:val="nil" w:sz="6" w:space="0" w:color="auto"/>
              <w:right w:val="nil" w:sz="6" w:space="0" w:color="auto"/>
            </w:tcBorders>
          </w:tcPr>
          <w:p>
            <w:pPr/>
          </w:p>
        </w:tc>
        <w:tc>
          <w:tcPr>
            <w:tcW w:w="789" w:type="dxa"/>
            <w:tcBorders>
              <w:top w:val="nil" w:sz="6" w:space="0" w:color="auto"/>
              <w:left w:val="nil" w:sz="6" w:space="0" w:color="auto"/>
              <w:bottom w:val="nil" w:sz="6" w:space="0" w:color="auto"/>
              <w:right w:val="nil" w:sz="6" w:space="0" w:color="auto"/>
            </w:tcBorders>
          </w:tcPr>
          <w:p>
            <w:pPr>
              <w:pStyle w:val="TableParagraph"/>
              <w:spacing w:line="184" w:lineRule="exact"/>
              <w:ind w:right="45"/>
              <w:jc w:val="center"/>
              <w:rPr>
                <w:rFonts w:ascii="宋体" w:hAnsi="宋体" w:cs="宋体" w:eastAsia="宋体" w:hint="default"/>
                <w:sz w:val="16"/>
                <w:szCs w:val="16"/>
              </w:rPr>
            </w:pPr>
            <w:r>
              <w:rPr>
                <w:rFonts w:ascii="宋体" w:hAnsi="宋体" w:cs="宋体" w:eastAsia="宋体" w:hint="default"/>
                <w:sz w:val="16"/>
                <w:szCs w:val="16"/>
              </w:rPr>
              <w:t>有限</w:t>
            </w:r>
          </w:p>
        </w:tc>
        <w:tc>
          <w:tcPr>
            <w:tcW w:w="779"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724" w:type="dxa"/>
            <w:gridSpan w:val="2"/>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63" w:type="dxa"/>
            <w:tcBorders>
              <w:top w:val="nil" w:sz="6" w:space="0" w:color="auto"/>
              <w:left w:val="nil" w:sz="6" w:space="0" w:color="auto"/>
              <w:bottom w:val="nil" w:sz="6" w:space="0" w:color="auto"/>
              <w:right w:val="nil" w:sz="6" w:space="0" w:color="auto"/>
            </w:tcBorders>
          </w:tcPr>
          <w:p>
            <w:pPr/>
          </w:p>
        </w:tc>
        <w:tc>
          <w:tcPr>
            <w:tcW w:w="2277" w:type="dxa"/>
            <w:gridSpan w:val="3"/>
            <w:tcBorders>
              <w:top w:val="nil" w:sz="6" w:space="0" w:color="auto"/>
              <w:left w:val="nil" w:sz="6" w:space="0" w:color="auto"/>
              <w:bottom w:val="nil" w:sz="6" w:space="0" w:color="auto"/>
              <w:right w:val="nil" w:sz="6" w:space="0" w:color="auto"/>
            </w:tcBorders>
          </w:tcPr>
          <w:p>
            <w:pPr/>
          </w:p>
        </w:tc>
      </w:tr>
      <w:tr>
        <w:trPr>
          <w:trHeight w:val="305" w:hRule="exact"/>
        </w:trPr>
        <w:tc>
          <w:tcPr>
            <w:tcW w:w="2061" w:type="dxa"/>
            <w:tcBorders>
              <w:top w:val="nil" w:sz="6" w:space="0" w:color="auto"/>
              <w:left w:val="nil" w:sz="6" w:space="0" w:color="auto"/>
              <w:bottom w:val="nil" w:sz="6" w:space="0" w:color="auto"/>
              <w:right w:val="nil" w:sz="6" w:space="0" w:color="auto"/>
            </w:tcBorders>
          </w:tcPr>
          <w:p>
            <w:pPr>
              <w:pStyle w:val="TableParagraph"/>
              <w:spacing w:line="180" w:lineRule="exact"/>
              <w:ind w:left="520" w:right="0"/>
              <w:jc w:val="left"/>
              <w:rPr>
                <w:rFonts w:ascii="宋体" w:hAnsi="宋体" w:cs="宋体" w:eastAsia="宋体" w:hint="default"/>
                <w:sz w:val="16"/>
                <w:szCs w:val="16"/>
              </w:rPr>
            </w:pPr>
            <w:r>
              <w:rPr>
                <w:rFonts w:ascii="宋体" w:hAnsi="宋体" w:cs="宋体" w:eastAsia="宋体" w:hint="default"/>
                <w:spacing w:val="-12"/>
                <w:sz w:val="16"/>
                <w:szCs w:val="16"/>
              </w:rPr>
              <w:t>（“联通日本运营”）</w:t>
            </w:r>
          </w:p>
        </w:tc>
        <w:tc>
          <w:tcPr>
            <w:tcW w:w="395"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8" w:right="0"/>
              <w:jc w:val="left"/>
              <w:rPr>
                <w:rFonts w:ascii="Arial" w:hAnsi="Arial" w:cs="Arial" w:eastAsia="Arial" w:hint="default"/>
                <w:sz w:val="16"/>
                <w:szCs w:val="16"/>
              </w:rPr>
            </w:pPr>
            <w:r>
              <w:rPr>
                <w:rFonts w:ascii="Arial"/>
                <w:sz w:val="16"/>
              </w:rPr>
              <w:t>(1)</w:t>
            </w:r>
          </w:p>
        </w:tc>
        <w:tc>
          <w:tcPr>
            <w:tcW w:w="599" w:type="dxa"/>
            <w:tcBorders>
              <w:top w:val="nil" w:sz="6" w:space="0" w:color="auto"/>
              <w:left w:val="nil" w:sz="6" w:space="0" w:color="auto"/>
              <w:bottom w:val="nil" w:sz="6" w:space="0" w:color="auto"/>
              <w:right w:val="nil" w:sz="6" w:space="0" w:color="auto"/>
            </w:tcBorders>
          </w:tcPr>
          <w:p>
            <w:pPr>
              <w:pStyle w:val="TableParagraph"/>
              <w:spacing w:line="180" w:lineRule="exact"/>
              <w:ind w:left="142" w:right="0"/>
              <w:jc w:val="left"/>
              <w:rPr>
                <w:rFonts w:ascii="宋体" w:hAnsi="宋体" w:cs="宋体" w:eastAsia="宋体" w:hint="default"/>
                <w:sz w:val="16"/>
                <w:szCs w:val="16"/>
              </w:rPr>
            </w:pPr>
            <w:r>
              <w:rPr>
                <w:rFonts w:ascii="宋体" w:hAnsi="宋体" w:cs="宋体" w:eastAsia="宋体" w:hint="default"/>
                <w:sz w:val="16"/>
                <w:szCs w:val="16"/>
              </w:rPr>
              <w:t>控股</w:t>
            </w:r>
          </w:p>
        </w:tc>
        <w:tc>
          <w:tcPr>
            <w:tcW w:w="1177" w:type="dxa"/>
            <w:tcBorders>
              <w:top w:val="nil" w:sz="6" w:space="0" w:color="auto"/>
              <w:left w:val="nil" w:sz="6" w:space="0" w:color="auto"/>
              <w:bottom w:val="nil" w:sz="6" w:space="0" w:color="auto"/>
              <w:right w:val="nil" w:sz="6" w:space="0" w:color="auto"/>
            </w:tcBorders>
          </w:tcPr>
          <w:p>
            <w:pPr>
              <w:pStyle w:val="TableParagraph"/>
              <w:spacing w:line="191" w:lineRule="exact"/>
              <w:ind w:left="59" w:right="0"/>
              <w:jc w:val="center"/>
              <w:rPr>
                <w:rFonts w:ascii="宋体" w:hAnsi="宋体" w:cs="宋体" w:eastAsia="宋体" w:hint="default"/>
                <w:sz w:val="16"/>
                <w:szCs w:val="16"/>
              </w:rPr>
            </w:pPr>
            <w:r>
              <w:rPr>
                <w:rFonts w:ascii="Arial" w:hAnsi="Arial" w:cs="Arial" w:eastAsia="Arial" w:hint="default"/>
                <w:sz w:val="16"/>
                <w:szCs w:val="16"/>
              </w:rPr>
              <w:t>1</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25</w:t>
            </w:r>
            <w:r>
              <w:rPr>
                <w:rFonts w:ascii="Arial" w:hAnsi="Arial" w:cs="Arial" w:eastAsia="Arial" w:hint="default"/>
                <w:spacing w:val="-6"/>
                <w:sz w:val="16"/>
                <w:szCs w:val="16"/>
              </w:rPr>
              <w:t> </w:t>
            </w:r>
            <w:r>
              <w:rPr>
                <w:rFonts w:ascii="宋体" w:hAnsi="宋体" w:cs="宋体" w:eastAsia="宋体" w:hint="default"/>
                <w:sz w:val="16"/>
                <w:szCs w:val="16"/>
              </w:rPr>
              <w:t>日</w:t>
            </w:r>
          </w:p>
        </w:tc>
        <w:tc>
          <w:tcPr>
            <w:tcW w:w="637" w:type="dxa"/>
            <w:tcBorders>
              <w:top w:val="nil" w:sz="6" w:space="0" w:color="auto"/>
              <w:left w:val="nil" w:sz="6" w:space="0" w:color="auto"/>
              <w:bottom w:val="nil" w:sz="6" w:space="0" w:color="auto"/>
              <w:right w:val="nil" w:sz="6" w:space="0" w:color="auto"/>
            </w:tcBorders>
          </w:tcPr>
          <w:p>
            <w:pPr>
              <w:pStyle w:val="TableParagraph"/>
              <w:spacing w:line="180" w:lineRule="exact"/>
              <w:ind w:left="3" w:right="0"/>
              <w:jc w:val="center"/>
              <w:rPr>
                <w:rFonts w:ascii="宋体" w:hAnsi="宋体" w:cs="宋体" w:eastAsia="宋体" w:hint="default"/>
                <w:sz w:val="16"/>
                <w:szCs w:val="16"/>
              </w:rPr>
            </w:pPr>
            <w:r>
              <w:rPr>
                <w:rFonts w:ascii="宋体" w:hAnsi="宋体" w:cs="宋体" w:eastAsia="宋体" w:hint="default"/>
                <w:sz w:val="16"/>
                <w:szCs w:val="16"/>
              </w:rPr>
              <w:t>业务</w:t>
            </w:r>
          </w:p>
        </w:tc>
        <w:tc>
          <w:tcPr>
            <w:tcW w:w="1131" w:type="dxa"/>
            <w:gridSpan w:val="2"/>
            <w:tcBorders>
              <w:top w:val="nil" w:sz="6" w:space="0" w:color="auto"/>
              <w:left w:val="nil" w:sz="6" w:space="0" w:color="auto"/>
              <w:bottom w:val="nil" w:sz="6" w:space="0" w:color="auto"/>
              <w:right w:val="nil" w:sz="6" w:space="0" w:color="auto"/>
            </w:tcBorders>
          </w:tcPr>
          <w:p>
            <w:pPr>
              <w:pStyle w:val="TableParagraph"/>
              <w:spacing w:line="191" w:lineRule="exact"/>
              <w:ind w:left="76" w:right="0"/>
              <w:jc w:val="left"/>
              <w:rPr>
                <w:rFonts w:ascii="Arial" w:hAnsi="Arial" w:cs="Arial" w:eastAsia="Arial" w:hint="default"/>
                <w:sz w:val="16"/>
                <w:szCs w:val="16"/>
              </w:rPr>
            </w:pPr>
            <w:r>
              <w:rPr>
                <w:rFonts w:ascii="宋体" w:hAnsi="宋体" w:cs="宋体" w:eastAsia="宋体" w:hint="default"/>
                <w:sz w:val="16"/>
                <w:szCs w:val="16"/>
              </w:rPr>
              <w:t>日元</w:t>
            </w:r>
            <w:r>
              <w:rPr>
                <w:rFonts w:ascii="宋体" w:hAnsi="宋体" w:cs="宋体" w:eastAsia="宋体" w:hint="default"/>
                <w:spacing w:val="-43"/>
                <w:sz w:val="16"/>
                <w:szCs w:val="16"/>
              </w:rPr>
              <w:t> </w:t>
            </w:r>
            <w:r>
              <w:rPr>
                <w:rFonts w:ascii="Arial" w:hAnsi="Arial" w:cs="Arial" w:eastAsia="Arial" w:hint="default"/>
                <w:sz w:val="16"/>
                <w:szCs w:val="16"/>
              </w:rPr>
              <w:t>366,000</w:t>
            </w:r>
          </w:p>
        </w:tc>
        <w:tc>
          <w:tcPr>
            <w:tcW w:w="808" w:type="dxa"/>
            <w:tcBorders>
              <w:top w:val="nil" w:sz="6" w:space="0" w:color="auto"/>
              <w:left w:val="nil" w:sz="6" w:space="0" w:color="auto"/>
              <w:bottom w:val="nil" w:sz="6" w:space="0" w:color="auto"/>
              <w:right w:val="nil" w:sz="6" w:space="0" w:color="auto"/>
            </w:tcBorders>
          </w:tcPr>
          <w:p>
            <w:pPr>
              <w:pStyle w:val="TableParagraph"/>
              <w:spacing w:line="180" w:lineRule="exact"/>
              <w:ind w:left="66" w:right="0"/>
              <w:jc w:val="center"/>
              <w:rPr>
                <w:rFonts w:ascii="宋体" w:hAnsi="宋体" w:cs="宋体" w:eastAsia="宋体" w:hint="default"/>
                <w:sz w:val="16"/>
                <w:szCs w:val="16"/>
              </w:rPr>
            </w:pPr>
            <w:r>
              <w:rPr>
                <w:rFonts w:ascii="宋体" w:hAnsi="宋体" w:cs="宋体" w:eastAsia="宋体" w:hint="default"/>
                <w:sz w:val="16"/>
                <w:szCs w:val="16"/>
              </w:rPr>
              <w:t>电信业务</w:t>
            </w:r>
          </w:p>
        </w:tc>
        <w:tc>
          <w:tcPr>
            <w:tcW w:w="789" w:type="dxa"/>
            <w:tcBorders>
              <w:top w:val="nil" w:sz="6" w:space="0" w:color="auto"/>
              <w:left w:val="nil" w:sz="6" w:space="0" w:color="auto"/>
              <w:bottom w:val="nil" w:sz="6" w:space="0" w:color="auto"/>
              <w:right w:val="nil" w:sz="6" w:space="0" w:color="auto"/>
            </w:tcBorders>
          </w:tcPr>
          <w:p>
            <w:pPr>
              <w:pStyle w:val="TableParagraph"/>
              <w:spacing w:line="180" w:lineRule="exact"/>
              <w:ind w:right="45"/>
              <w:jc w:val="center"/>
              <w:rPr>
                <w:rFonts w:ascii="宋体" w:hAnsi="宋体" w:cs="宋体" w:eastAsia="宋体" w:hint="default"/>
                <w:sz w:val="16"/>
                <w:szCs w:val="16"/>
              </w:rPr>
            </w:pPr>
            <w:r>
              <w:rPr>
                <w:rFonts w:ascii="宋体" w:hAnsi="宋体" w:cs="宋体" w:eastAsia="宋体" w:hint="default"/>
                <w:sz w:val="16"/>
                <w:szCs w:val="16"/>
              </w:rPr>
              <w:t>公司</w:t>
            </w:r>
          </w:p>
        </w:tc>
        <w:tc>
          <w:tcPr>
            <w:tcW w:w="779" w:type="dxa"/>
            <w:tcBorders>
              <w:top w:val="nil" w:sz="6" w:space="0" w:color="auto"/>
              <w:left w:val="nil" w:sz="6" w:space="0" w:color="auto"/>
              <w:bottom w:val="nil" w:sz="6" w:space="0" w:color="auto"/>
              <w:right w:val="nil" w:sz="6" w:space="0" w:color="auto"/>
            </w:tcBorders>
          </w:tcPr>
          <w:p>
            <w:pPr>
              <w:pStyle w:val="TableParagraph"/>
              <w:spacing w:line="180" w:lineRule="exact"/>
              <w:ind w:right="3"/>
              <w:jc w:val="center"/>
              <w:rPr>
                <w:rFonts w:ascii="宋体" w:hAnsi="宋体" w:cs="宋体" w:eastAsia="宋体" w:hint="default"/>
                <w:sz w:val="16"/>
                <w:szCs w:val="16"/>
              </w:rPr>
            </w:pPr>
            <w:r>
              <w:rPr>
                <w:rFonts w:ascii="宋体" w:hAnsi="宋体" w:cs="宋体" w:eastAsia="宋体" w:hint="default"/>
                <w:sz w:val="16"/>
                <w:szCs w:val="16"/>
              </w:rPr>
              <w:t>高津昌广</w:t>
            </w:r>
          </w:p>
        </w:tc>
        <w:tc>
          <w:tcPr>
            <w:tcW w:w="1083" w:type="dxa"/>
            <w:tcBorders>
              <w:top w:val="nil" w:sz="6" w:space="0" w:color="auto"/>
              <w:left w:val="nil" w:sz="6" w:space="0" w:color="auto"/>
              <w:bottom w:val="nil" w:sz="6" w:space="0" w:color="auto"/>
              <w:right w:val="nil" w:sz="6" w:space="0" w:color="auto"/>
            </w:tcBorders>
          </w:tcPr>
          <w:p>
            <w:pPr>
              <w:pStyle w:val="TableParagraph"/>
              <w:spacing w:line="180" w:lineRule="exact"/>
              <w:ind w:left="219" w:right="0"/>
              <w:jc w:val="left"/>
              <w:rPr>
                <w:rFonts w:ascii="宋体" w:hAnsi="宋体" w:cs="宋体" w:eastAsia="宋体" w:hint="default"/>
                <w:sz w:val="16"/>
                <w:szCs w:val="16"/>
              </w:rPr>
            </w:pPr>
            <w:r>
              <w:rPr>
                <w:rFonts w:ascii="宋体" w:hAnsi="宋体" w:cs="宋体" w:eastAsia="宋体" w:hint="default"/>
                <w:sz w:val="16"/>
                <w:szCs w:val="16"/>
              </w:rPr>
              <w:t>不适用</w:t>
            </w:r>
          </w:p>
        </w:tc>
        <w:tc>
          <w:tcPr>
            <w:tcW w:w="1229"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87" w:right="0"/>
              <w:jc w:val="left"/>
              <w:rPr>
                <w:rFonts w:ascii="Arial" w:hAnsi="Arial" w:cs="Arial" w:eastAsia="Arial" w:hint="default"/>
                <w:sz w:val="16"/>
                <w:szCs w:val="16"/>
              </w:rPr>
            </w:pPr>
            <w:r>
              <w:rPr>
                <w:rFonts w:ascii="Arial"/>
                <w:sz w:val="16"/>
              </w:rPr>
              <w:t>23,807</w:t>
            </w:r>
          </w:p>
        </w:tc>
        <w:tc>
          <w:tcPr>
            <w:tcW w:w="1724" w:type="dxa"/>
            <w:gridSpan w:val="2"/>
            <w:tcBorders>
              <w:top w:val="nil" w:sz="6" w:space="0" w:color="auto"/>
              <w:left w:val="nil" w:sz="6" w:space="0" w:color="auto"/>
              <w:bottom w:val="nil" w:sz="6" w:space="0" w:color="auto"/>
              <w:right w:val="nil" w:sz="6" w:space="0" w:color="auto"/>
            </w:tcBorders>
          </w:tcPr>
          <w:p>
            <w:pPr>
              <w:pStyle w:val="TableParagraph"/>
              <w:tabs>
                <w:tab w:pos="1278" w:val="left" w:leader="none"/>
              </w:tabs>
              <w:spacing w:line="240" w:lineRule="auto" w:before="18"/>
              <w:ind w:left="991" w:right="0"/>
              <w:jc w:val="left"/>
              <w:rPr>
                <w:rFonts w:ascii="Arial" w:hAnsi="Arial" w:cs="Arial" w:eastAsia="Arial" w:hint="default"/>
                <w:sz w:val="16"/>
                <w:szCs w:val="16"/>
              </w:rPr>
            </w:pPr>
            <w:r>
              <w:rPr>
                <w:rFonts w:ascii="Arial"/>
                <w:w w:val="95"/>
                <w:sz w:val="16"/>
              </w:rPr>
              <w:t>-</w:t>
              <w:tab/>
            </w:r>
            <w:r>
              <w:rPr>
                <w:rFonts w:ascii="Arial"/>
                <w:sz w:val="16"/>
              </w:rPr>
              <w:t>33.88</w:t>
            </w:r>
          </w:p>
        </w:tc>
        <w:tc>
          <w:tcPr>
            <w:tcW w:w="57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9"/>
              <w:jc w:val="right"/>
              <w:rPr>
                <w:rFonts w:ascii="Arial" w:hAnsi="Arial" w:cs="Arial" w:eastAsia="Arial" w:hint="default"/>
                <w:sz w:val="16"/>
                <w:szCs w:val="16"/>
              </w:rPr>
            </w:pPr>
            <w:r>
              <w:rPr>
                <w:rFonts w:ascii="Arial"/>
                <w:w w:val="95"/>
                <w:sz w:val="16"/>
              </w:rPr>
              <w:t>58.30</w:t>
            </w:r>
            <w:r>
              <w:rPr>
                <w:rFonts w:ascii="Arial"/>
                <w:sz w:val="16"/>
              </w:rPr>
            </w:r>
          </w:p>
        </w:tc>
        <w:tc>
          <w:tcPr>
            <w:tcW w:w="463" w:type="dxa"/>
            <w:tcBorders>
              <w:top w:val="nil" w:sz="6" w:space="0" w:color="auto"/>
              <w:left w:val="nil" w:sz="6" w:space="0" w:color="auto"/>
              <w:bottom w:val="nil" w:sz="6" w:space="0" w:color="auto"/>
              <w:right w:val="nil" w:sz="6" w:space="0" w:color="auto"/>
            </w:tcBorders>
          </w:tcPr>
          <w:p>
            <w:pPr>
              <w:pStyle w:val="TableParagraph"/>
              <w:spacing w:line="180" w:lineRule="exact"/>
              <w:ind w:right="38"/>
              <w:jc w:val="center"/>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c>
        <w:tc>
          <w:tcPr>
            <w:tcW w:w="2277" w:type="dxa"/>
            <w:gridSpan w:val="3"/>
            <w:tcBorders>
              <w:top w:val="nil" w:sz="6" w:space="0" w:color="auto"/>
              <w:left w:val="nil" w:sz="6" w:space="0" w:color="auto"/>
              <w:bottom w:val="nil" w:sz="6" w:space="0" w:color="auto"/>
              <w:right w:val="nil" w:sz="6" w:space="0" w:color="auto"/>
            </w:tcBorders>
          </w:tcPr>
          <w:p>
            <w:pPr>
              <w:pStyle w:val="TableParagraph"/>
              <w:tabs>
                <w:tab w:pos="1197" w:val="left" w:leader="none"/>
                <w:tab w:pos="1856" w:val="left" w:leader="none"/>
              </w:tabs>
              <w:spacing w:line="240" w:lineRule="auto" w:before="18"/>
              <w:ind w:left="338" w:right="0"/>
              <w:jc w:val="left"/>
              <w:rPr>
                <w:rFonts w:ascii="Arial" w:hAnsi="Arial" w:cs="Arial" w:eastAsia="Arial" w:hint="default"/>
                <w:sz w:val="16"/>
                <w:szCs w:val="16"/>
              </w:rPr>
            </w:pPr>
            <w:r>
              <w:rPr>
                <w:rFonts w:ascii="Arial"/>
                <w:w w:val="95"/>
                <w:sz w:val="16"/>
              </w:rPr>
              <w:t>-</w:t>
              <w:tab/>
              <w:t>-</w:t>
              <w:tab/>
            </w:r>
            <w:r>
              <w:rPr>
                <w:rFonts w:ascii="Arial"/>
                <w:sz w:val="16"/>
              </w:rPr>
              <w:t>-</w:t>
            </w:r>
          </w:p>
        </w:tc>
      </w:tr>
      <w:tr>
        <w:trPr>
          <w:trHeight w:val="290" w:hRule="exact"/>
        </w:trPr>
        <w:tc>
          <w:tcPr>
            <w:tcW w:w="2061" w:type="dxa"/>
            <w:tcBorders>
              <w:top w:val="nil" w:sz="6" w:space="0" w:color="auto"/>
              <w:left w:val="nil" w:sz="6" w:space="0" w:color="auto"/>
              <w:bottom w:val="nil" w:sz="6" w:space="0" w:color="auto"/>
              <w:right w:val="nil" w:sz="6" w:space="0" w:color="auto"/>
            </w:tcBorders>
          </w:tcPr>
          <w:p>
            <w:pPr>
              <w:pStyle w:val="TableParagraph"/>
              <w:spacing w:line="240" w:lineRule="auto" w:before="57"/>
              <w:ind w:left="520" w:right="0"/>
              <w:jc w:val="left"/>
              <w:rPr>
                <w:rFonts w:ascii="宋体" w:hAnsi="宋体" w:cs="宋体" w:eastAsia="宋体" w:hint="default"/>
                <w:sz w:val="16"/>
                <w:szCs w:val="16"/>
              </w:rPr>
            </w:pPr>
            <w:r>
              <w:rPr>
                <w:rFonts w:ascii="宋体" w:hAnsi="宋体" w:cs="宋体" w:eastAsia="宋体" w:hint="default"/>
                <w:sz w:val="16"/>
                <w:szCs w:val="16"/>
              </w:rPr>
              <w:t>中讯邮电咨询设计院</w:t>
            </w:r>
          </w:p>
        </w:tc>
        <w:tc>
          <w:tcPr>
            <w:tcW w:w="395"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7"/>
              <w:ind w:left="57" w:right="0"/>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637" w:type="dxa"/>
            <w:tcBorders>
              <w:top w:val="nil" w:sz="6" w:space="0" w:color="auto"/>
              <w:left w:val="nil" w:sz="6" w:space="0" w:color="auto"/>
              <w:bottom w:val="nil" w:sz="6" w:space="0" w:color="auto"/>
              <w:right w:val="nil" w:sz="6" w:space="0" w:color="auto"/>
            </w:tcBorders>
          </w:tcPr>
          <w:p>
            <w:pPr>
              <w:pStyle w:val="TableParagraph"/>
              <w:spacing w:line="240" w:lineRule="auto" w:before="57"/>
              <w:ind w:left="2" w:right="0"/>
              <w:jc w:val="center"/>
              <w:rPr>
                <w:rFonts w:ascii="宋体" w:hAnsi="宋体" w:cs="宋体" w:eastAsia="宋体" w:hint="default"/>
                <w:sz w:val="16"/>
                <w:szCs w:val="16"/>
              </w:rPr>
            </w:pPr>
            <w:r>
              <w:rPr>
                <w:rFonts w:ascii="宋体" w:hAnsi="宋体" w:cs="宋体" w:eastAsia="宋体" w:hint="default"/>
                <w:sz w:val="16"/>
                <w:szCs w:val="16"/>
              </w:rPr>
              <w:t>勘察设</w:t>
            </w:r>
          </w:p>
        </w:tc>
        <w:tc>
          <w:tcPr>
            <w:tcW w:w="1131" w:type="dxa"/>
            <w:gridSpan w:val="2"/>
            <w:tcBorders>
              <w:top w:val="nil" w:sz="6" w:space="0" w:color="auto"/>
              <w:left w:val="nil" w:sz="6" w:space="0" w:color="auto"/>
              <w:bottom w:val="nil" w:sz="6" w:space="0" w:color="auto"/>
              <w:right w:val="nil" w:sz="6" w:space="0" w:color="auto"/>
            </w:tcBorders>
          </w:tcPr>
          <w:p>
            <w:pPr/>
          </w:p>
        </w:tc>
        <w:tc>
          <w:tcPr>
            <w:tcW w:w="808" w:type="dxa"/>
            <w:tcBorders>
              <w:top w:val="nil" w:sz="6" w:space="0" w:color="auto"/>
              <w:left w:val="nil" w:sz="6" w:space="0" w:color="auto"/>
              <w:bottom w:val="nil" w:sz="6" w:space="0" w:color="auto"/>
              <w:right w:val="nil" w:sz="6" w:space="0" w:color="auto"/>
            </w:tcBorders>
          </w:tcPr>
          <w:p>
            <w:pPr>
              <w:pStyle w:val="TableParagraph"/>
              <w:spacing w:line="240" w:lineRule="auto" w:before="57"/>
              <w:ind w:left="64" w:right="0"/>
              <w:jc w:val="center"/>
              <w:rPr>
                <w:rFonts w:ascii="宋体" w:hAnsi="宋体" w:cs="宋体" w:eastAsia="宋体" w:hint="default"/>
                <w:sz w:val="16"/>
                <w:szCs w:val="16"/>
              </w:rPr>
            </w:pPr>
            <w:r>
              <w:rPr>
                <w:rFonts w:ascii="宋体" w:hAnsi="宋体" w:cs="宋体" w:eastAsia="宋体" w:hint="default"/>
                <w:sz w:val="16"/>
                <w:szCs w:val="16"/>
              </w:rPr>
              <w:t>勘察设计</w:t>
            </w:r>
          </w:p>
        </w:tc>
        <w:tc>
          <w:tcPr>
            <w:tcW w:w="789"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724" w:type="dxa"/>
            <w:gridSpan w:val="2"/>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63" w:type="dxa"/>
            <w:tcBorders>
              <w:top w:val="nil" w:sz="6" w:space="0" w:color="auto"/>
              <w:left w:val="nil" w:sz="6" w:space="0" w:color="auto"/>
              <w:bottom w:val="nil" w:sz="6" w:space="0" w:color="auto"/>
              <w:right w:val="nil" w:sz="6" w:space="0" w:color="auto"/>
            </w:tcBorders>
          </w:tcPr>
          <w:p>
            <w:pPr/>
          </w:p>
        </w:tc>
        <w:tc>
          <w:tcPr>
            <w:tcW w:w="2277" w:type="dxa"/>
            <w:gridSpan w:val="3"/>
            <w:tcBorders>
              <w:top w:val="nil" w:sz="6" w:space="0" w:color="auto"/>
              <w:left w:val="nil" w:sz="6" w:space="0" w:color="auto"/>
              <w:bottom w:val="nil" w:sz="6" w:space="0" w:color="auto"/>
              <w:right w:val="nil" w:sz="6" w:space="0" w:color="auto"/>
            </w:tcBorders>
          </w:tcPr>
          <w:p>
            <w:pPr/>
          </w:p>
        </w:tc>
      </w:tr>
      <w:tr>
        <w:trPr>
          <w:trHeight w:val="211" w:hRule="exact"/>
        </w:trPr>
        <w:tc>
          <w:tcPr>
            <w:tcW w:w="2061" w:type="dxa"/>
            <w:tcBorders>
              <w:top w:val="nil" w:sz="6" w:space="0" w:color="auto"/>
              <w:left w:val="nil" w:sz="6" w:space="0" w:color="auto"/>
              <w:bottom w:val="nil" w:sz="6" w:space="0" w:color="auto"/>
              <w:right w:val="nil" w:sz="6" w:space="0" w:color="auto"/>
            </w:tcBorders>
          </w:tcPr>
          <w:p>
            <w:pPr>
              <w:pStyle w:val="TableParagraph"/>
              <w:spacing w:line="184" w:lineRule="exact"/>
              <w:ind w:left="680" w:right="0"/>
              <w:jc w:val="left"/>
              <w:rPr>
                <w:rFonts w:ascii="宋体" w:hAnsi="宋体" w:cs="宋体" w:eastAsia="宋体" w:hint="default"/>
                <w:sz w:val="16"/>
                <w:szCs w:val="16"/>
              </w:rPr>
            </w:pPr>
            <w:r>
              <w:rPr>
                <w:rFonts w:ascii="宋体" w:hAnsi="宋体" w:cs="宋体" w:eastAsia="宋体" w:hint="default"/>
                <w:sz w:val="16"/>
                <w:szCs w:val="16"/>
              </w:rPr>
              <w:t>有限公司</w:t>
            </w:r>
          </w:p>
        </w:tc>
        <w:tc>
          <w:tcPr>
            <w:tcW w:w="395"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Style w:val="TableParagraph"/>
              <w:spacing w:line="184" w:lineRule="exact"/>
              <w:ind w:left="142" w:right="0"/>
              <w:jc w:val="left"/>
              <w:rPr>
                <w:rFonts w:ascii="宋体" w:hAnsi="宋体" w:cs="宋体" w:eastAsia="宋体" w:hint="default"/>
                <w:sz w:val="16"/>
                <w:szCs w:val="16"/>
              </w:rPr>
            </w:pPr>
            <w:r>
              <w:rPr>
                <w:rFonts w:ascii="宋体" w:hAnsi="宋体" w:cs="宋体" w:eastAsia="宋体" w:hint="default"/>
                <w:sz w:val="16"/>
                <w:szCs w:val="16"/>
              </w:rPr>
              <w:t>间接</w:t>
            </w:r>
          </w:p>
        </w:tc>
        <w:tc>
          <w:tcPr>
            <w:tcW w:w="1177" w:type="dxa"/>
            <w:tcBorders>
              <w:top w:val="nil" w:sz="6" w:space="0" w:color="auto"/>
              <w:left w:val="nil" w:sz="6" w:space="0" w:color="auto"/>
              <w:bottom w:val="nil" w:sz="6" w:space="0" w:color="auto"/>
              <w:right w:val="nil" w:sz="6" w:space="0" w:color="auto"/>
            </w:tcBorders>
          </w:tcPr>
          <w:p>
            <w:pPr>
              <w:pStyle w:val="TableParagraph"/>
              <w:spacing w:line="195" w:lineRule="exact"/>
              <w:ind w:left="59" w:right="0"/>
              <w:jc w:val="center"/>
              <w:rPr>
                <w:rFonts w:ascii="宋体" w:hAnsi="宋体" w:cs="宋体" w:eastAsia="宋体" w:hint="default"/>
                <w:sz w:val="16"/>
                <w:szCs w:val="16"/>
              </w:rPr>
            </w:pPr>
            <w:r>
              <w:rPr>
                <w:rFonts w:ascii="Arial" w:hAnsi="Arial" w:cs="Arial" w:eastAsia="Arial" w:hint="default"/>
                <w:sz w:val="16"/>
                <w:szCs w:val="16"/>
              </w:rPr>
              <w:t>2008</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637" w:type="dxa"/>
            <w:tcBorders>
              <w:top w:val="nil" w:sz="6" w:space="0" w:color="auto"/>
              <w:left w:val="nil" w:sz="6" w:space="0" w:color="auto"/>
              <w:bottom w:val="nil" w:sz="6" w:space="0" w:color="auto"/>
              <w:right w:val="nil" w:sz="6" w:space="0" w:color="auto"/>
            </w:tcBorders>
          </w:tcPr>
          <w:p>
            <w:pPr>
              <w:pStyle w:val="TableParagraph"/>
              <w:spacing w:line="184" w:lineRule="exact"/>
              <w:ind w:left="2" w:right="0"/>
              <w:jc w:val="center"/>
              <w:rPr>
                <w:rFonts w:ascii="宋体" w:hAnsi="宋体" w:cs="宋体" w:eastAsia="宋体" w:hint="default"/>
                <w:sz w:val="16"/>
                <w:szCs w:val="16"/>
              </w:rPr>
            </w:pPr>
            <w:r>
              <w:rPr>
                <w:rFonts w:ascii="宋体" w:hAnsi="宋体" w:cs="宋体" w:eastAsia="宋体" w:hint="default"/>
                <w:sz w:val="16"/>
                <w:szCs w:val="16"/>
              </w:rPr>
              <w:t>计及咨</w:t>
            </w:r>
          </w:p>
        </w:tc>
        <w:tc>
          <w:tcPr>
            <w:tcW w:w="1131" w:type="dxa"/>
            <w:gridSpan w:val="2"/>
            <w:tcBorders>
              <w:top w:val="nil" w:sz="6" w:space="0" w:color="auto"/>
              <w:left w:val="nil" w:sz="6" w:space="0" w:color="auto"/>
              <w:bottom w:val="nil" w:sz="6" w:space="0" w:color="auto"/>
              <w:right w:val="nil" w:sz="6" w:space="0" w:color="auto"/>
            </w:tcBorders>
          </w:tcPr>
          <w:p>
            <w:pPr/>
          </w:p>
        </w:tc>
        <w:tc>
          <w:tcPr>
            <w:tcW w:w="808" w:type="dxa"/>
            <w:tcBorders>
              <w:top w:val="nil" w:sz="6" w:space="0" w:color="auto"/>
              <w:left w:val="nil" w:sz="6" w:space="0" w:color="auto"/>
              <w:bottom w:val="nil" w:sz="6" w:space="0" w:color="auto"/>
              <w:right w:val="nil" w:sz="6" w:space="0" w:color="auto"/>
            </w:tcBorders>
          </w:tcPr>
          <w:p>
            <w:pPr>
              <w:pStyle w:val="TableParagraph"/>
              <w:spacing w:line="184" w:lineRule="exact"/>
              <w:ind w:left="64" w:right="0"/>
              <w:jc w:val="center"/>
              <w:rPr>
                <w:rFonts w:ascii="宋体" w:hAnsi="宋体" w:cs="宋体" w:eastAsia="宋体" w:hint="default"/>
                <w:sz w:val="16"/>
                <w:szCs w:val="16"/>
              </w:rPr>
            </w:pPr>
            <w:r>
              <w:rPr>
                <w:rFonts w:ascii="宋体" w:hAnsi="宋体" w:cs="宋体" w:eastAsia="宋体" w:hint="default"/>
                <w:sz w:val="16"/>
                <w:szCs w:val="16"/>
              </w:rPr>
              <w:t>及咨询服</w:t>
            </w:r>
          </w:p>
        </w:tc>
        <w:tc>
          <w:tcPr>
            <w:tcW w:w="789" w:type="dxa"/>
            <w:tcBorders>
              <w:top w:val="nil" w:sz="6" w:space="0" w:color="auto"/>
              <w:left w:val="nil" w:sz="6" w:space="0" w:color="auto"/>
              <w:bottom w:val="nil" w:sz="6" w:space="0" w:color="auto"/>
              <w:right w:val="nil" w:sz="6" w:space="0" w:color="auto"/>
            </w:tcBorders>
          </w:tcPr>
          <w:p>
            <w:pPr>
              <w:pStyle w:val="TableParagraph"/>
              <w:spacing w:line="184" w:lineRule="exact"/>
              <w:ind w:right="45"/>
              <w:jc w:val="center"/>
              <w:rPr>
                <w:rFonts w:ascii="宋体" w:hAnsi="宋体" w:cs="宋体" w:eastAsia="宋体" w:hint="default"/>
                <w:sz w:val="16"/>
                <w:szCs w:val="16"/>
              </w:rPr>
            </w:pPr>
            <w:r>
              <w:rPr>
                <w:rFonts w:ascii="宋体" w:hAnsi="宋体" w:cs="宋体" w:eastAsia="宋体" w:hint="default"/>
                <w:sz w:val="16"/>
                <w:szCs w:val="16"/>
              </w:rPr>
              <w:t>有限责任</w:t>
            </w:r>
          </w:p>
        </w:tc>
        <w:tc>
          <w:tcPr>
            <w:tcW w:w="779"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724" w:type="dxa"/>
            <w:gridSpan w:val="2"/>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63" w:type="dxa"/>
            <w:tcBorders>
              <w:top w:val="nil" w:sz="6" w:space="0" w:color="auto"/>
              <w:left w:val="nil" w:sz="6" w:space="0" w:color="auto"/>
              <w:bottom w:val="nil" w:sz="6" w:space="0" w:color="auto"/>
              <w:right w:val="nil" w:sz="6" w:space="0" w:color="auto"/>
            </w:tcBorders>
          </w:tcPr>
          <w:p>
            <w:pPr/>
          </w:p>
        </w:tc>
        <w:tc>
          <w:tcPr>
            <w:tcW w:w="2277" w:type="dxa"/>
            <w:gridSpan w:val="3"/>
            <w:tcBorders>
              <w:top w:val="nil" w:sz="6" w:space="0" w:color="auto"/>
              <w:left w:val="nil" w:sz="6" w:space="0" w:color="auto"/>
              <w:bottom w:val="nil" w:sz="6" w:space="0" w:color="auto"/>
              <w:right w:val="nil" w:sz="6" w:space="0" w:color="auto"/>
            </w:tcBorders>
          </w:tcPr>
          <w:p>
            <w:pPr/>
          </w:p>
        </w:tc>
      </w:tr>
      <w:tr>
        <w:trPr>
          <w:trHeight w:val="305" w:hRule="exact"/>
        </w:trPr>
        <w:tc>
          <w:tcPr>
            <w:tcW w:w="2061" w:type="dxa"/>
            <w:tcBorders>
              <w:top w:val="nil" w:sz="6" w:space="0" w:color="auto"/>
              <w:left w:val="nil" w:sz="6" w:space="0" w:color="auto"/>
              <w:bottom w:val="nil" w:sz="6" w:space="0" w:color="auto"/>
              <w:right w:val="nil" w:sz="6" w:space="0" w:color="auto"/>
            </w:tcBorders>
          </w:tcPr>
          <w:p>
            <w:pPr>
              <w:pStyle w:val="TableParagraph"/>
              <w:spacing w:line="180" w:lineRule="exact"/>
              <w:ind w:left="520" w:right="0"/>
              <w:jc w:val="left"/>
              <w:rPr>
                <w:rFonts w:ascii="宋体" w:hAnsi="宋体" w:cs="宋体" w:eastAsia="宋体" w:hint="default"/>
                <w:sz w:val="16"/>
                <w:szCs w:val="16"/>
              </w:rPr>
            </w:pPr>
            <w:r>
              <w:rPr>
                <w:rFonts w:ascii="宋体" w:hAnsi="宋体" w:cs="宋体" w:eastAsia="宋体" w:hint="default"/>
                <w:sz w:val="16"/>
                <w:szCs w:val="16"/>
              </w:rPr>
              <w:t>（“中讯设计院”）</w:t>
            </w:r>
          </w:p>
        </w:tc>
        <w:tc>
          <w:tcPr>
            <w:tcW w:w="395"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8" w:right="0"/>
              <w:jc w:val="left"/>
              <w:rPr>
                <w:rFonts w:ascii="Arial" w:hAnsi="Arial" w:cs="Arial" w:eastAsia="Arial" w:hint="default"/>
                <w:sz w:val="16"/>
                <w:szCs w:val="16"/>
              </w:rPr>
            </w:pPr>
            <w:r>
              <w:rPr>
                <w:rFonts w:ascii="Arial"/>
                <w:sz w:val="16"/>
              </w:rPr>
              <w:t>(4)</w:t>
            </w:r>
          </w:p>
        </w:tc>
        <w:tc>
          <w:tcPr>
            <w:tcW w:w="599" w:type="dxa"/>
            <w:tcBorders>
              <w:top w:val="nil" w:sz="6" w:space="0" w:color="auto"/>
              <w:left w:val="nil" w:sz="6" w:space="0" w:color="auto"/>
              <w:bottom w:val="nil" w:sz="6" w:space="0" w:color="auto"/>
              <w:right w:val="nil" w:sz="6" w:space="0" w:color="auto"/>
            </w:tcBorders>
          </w:tcPr>
          <w:p>
            <w:pPr>
              <w:pStyle w:val="TableParagraph"/>
              <w:spacing w:line="180" w:lineRule="exact"/>
              <w:ind w:left="142" w:right="0"/>
              <w:jc w:val="left"/>
              <w:rPr>
                <w:rFonts w:ascii="宋体" w:hAnsi="宋体" w:cs="宋体" w:eastAsia="宋体" w:hint="default"/>
                <w:sz w:val="16"/>
                <w:szCs w:val="16"/>
              </w:rPr>
            </w:pPr>
            <w:r>
              <w:rPr>
                <w:rFonts w:ascii="宋体" w:hAnsi="宋体" w:cs="宋体" w:eastAsia="宋体" w:hint="default"/>
                <w:sz w:val="16"/>
                <w:szCs w:val="16"/>
              </w:rPr>
              <w:t>控股</w:t>
            </w:r>
          </w:p>
        </w:tc>
        <w:tc>
          <w:tcPr>
            <w:tcW w:w="1177" w:type="dxa"/>
            <w:tcBorders>
              <w:top w:val="nil" w:sz="6" w:space="0" w:color="auto"/>
              <w:left w:val="nil" w:sz="6" w:space="0" w:color="auto"/>
              <w:bottom w:val="nil" w:sz="6" w:space="0" w:color="auto"/>
              <w:right w:val="nil" w:sz="6" w:space="0" w:color="auto"/>
            </w:tcBorders>
          </w:tcPr>
          <w:p>
            <w:pPr>
              <w:pStyle w:val="TableParagraph"/>
              <w:spacing w:line="191" w:lineRule="exact"/>
              <w:ind w:left="59" w:right="0"/>
              <w:jc w:val="center"/>
              <w:rPr>
                <w:rFonts w:ascii="宋体" w:hAnsi="宋体" w:cs="宋体" w:eastAsia="宋体" w:hint="default"/>
                <w:sz w:val="16"/>
                <w:szCs w:val="16"/>
              </w:rPr>
            </w:pPr>
            <w:r>
              <w:rPr>
                <w:rFonts w:ascii="Arial" w:hAnsi="Arial" w:cs="Arial" w:eastAsia="Arial" w:hint="default"/>
                <w:sz w:val="16"/>
                <w:szCs w:val="16"/>
              </w:rPr>
              <w:t>9</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27</w:t>
            </w:r>
            <w:r>
              <w:rPr>
                <w:rFonts w:ascii="Arial" w:hAnsi="Arial" w:cs="Arial" w:eastAsia="Arial" w:hint="default"/>
                <w:spacing w:val="-6"/>
                <w:sz w:val="16"/>
                <w:szCs w:val="16"/>
              </w:rPr>
              <w:t> </w:t>
            </w:r>
            <w:r>
              <w:rPr>
                <w:rFonts w:ascii="宋体" w:hAnsi="宋体" w:cs="宋体" w:eastAsia="宋体" w:hint="default"/>
                <w:sz w:val="16"/>
                <w:szCs w:val="16"/>
              </w:rPr>
              <w:t>日</w:t>
            </w:r>
          </w:p>
        </w:tc>
        <w:tc>
          <w:tcPr>
            <w:tcW w:w="637" w:type="dxa"/>
            <w:tcBorders>
              <w:top w:val="nil" w:sz="6" w:space="0" w:color="auto"/>
              <w:left w:val="nil" w:sz="6" w:space="0" w:color="auto"/>
              <w:bottom w:val="nil" w:sz="6" w:space="0" w:color="auto"/>
              <w:right w:val="nil" w:sz="6" w:space="0" w:color="auto"/>
            </w:tcBorders>
          </w:tcPr>
          <w:p>
            <w:pPr>
              <w:pStyle w:val="TableParagraph"/>
              <w:spacing w:line="180" w:lineRule="exact"/>
              <w:ind w:left="5" w:right="0"/>
              <w:jc w:val="center"/>
              <w:rPr>
                <w:rFonts w:ascii="宋体" w:hAnsi="宋体" w:cs="宋体" w:eastAsia="宋体" w:hint="default"/>
                <w:sz w:val="16"/>
                <w:szCs w:val="16"/>
              </w:rPr>
            </w:pPr>
            <w:r>
              <w:rPr>
                <w:rFonts w:ascii="宋体" w:hAnsi="宋体" w:cs="宋体" w:eastAsia="宋体" w:hint="default"/>
                <w:sz w:val="16"/>
                <w:szCs w:val="16"/>
              </w:rPr>
              <w:t>询服务</w:t>
            </w:r>
          </w:p>
        </w:tc>
        <w:tc>
          <w:tcPr>
            <w:tcW w:w="113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8"/>
              <w:ind w:left="525" w:right="0"/>
              <w:jc w:val="left"/>
              <w:rPr>
                <w:rFonts w:ascii="Arial" w:hAnsi="Arial" w:cs="Arial" w:eastAsia="Arial" w:hint="default"/>
                <w:sz w:val="16"/>
                <w:szCs w:val="16"/>
              </w:rPr>
            </w:pPr>
            <w:r>
              <w:rPr>
                <w:rFonts w:ascii="Arial"/>
                <w:sz w:val="16"/>
              </w:rPr>
              <w:t>60,000</w:t>
            </w:r>
          </w:p>
        </w:tc>
        <w:tc>
          <w:tcPr>
            <w:tcW w:w="808" w:type="dxa"/>
            <w:tcBorders>
              <w:top w:val="nil" w:sz="6" w:space="0" w:color="auto"/>
              <w:left w:val="nil" w:sz="6" w:space="0" w:color="auto"/>
              <w:bottom w:val="nil" w:sz="6" w:space="0" w:color="auto"/>
              <w:right w:val="nil" w:sz="6" w:space="0" w:color="auto"/>
            </w:tcBorders>
          </w:tcPr>
          <w:p>
            <w:pPr>
              <w:pStyle w:val="TableParagraph"/>
              <w:spacing w:line="180" w:lineRule="exact"/>
              <w:ind w:left="65" w:right="0"/>
              <w:jc w:val="center"/>
              <w:rPr>
                <w:rFonts w:ascii="宋体" w:hAnsi="宋体" w:cs="宋体" w:eastAsia="宋体" w:hint="default"/>
                <w:sz w:val="16"/>
                <w:szCs w:val="16"/>
              </w:rPr>
            </w:pPr>
            <w:r>
              <w:rPr>
                <w:rFonts w:ascii="宋体" w:hAnsi="宋体" w:cs="宋体" w:eastAsia="宋体" w:hint="default"/>
                <w:w w:val="99"/>
                <w:sz w:val="16"/>
                <w:szCs w:val="16"/>
              </w:rPr>
              <w:t>务</w:t>
            </w:r>
            <w:r>
              <w:rPr>
                <w:rFonts w:ascii="宋体" w:hAnsi="宋体" w:cs="宋体" w:eastAsia="宋体" w:hint="default"/>
                <w:sz w:val="16"/>
                <w:szCs w:val="16"/>
              </w:rPr>
            </w:r>
          </w:p>
        </w:tc>
        <w:tc>
          <w:tcPr>
            <w:tcW w:w="789" w:type="dxa"/>
            <w:tcBorders>
              <w:top w:val="nil" w:sz="6" w:space="0" w:color="auto"/>
              <w:left w:val="nil" w:sz="6" w:space="0" w:color="auto"/>
              <w:bottom w:val="nil" w:sz="6" w:space="0" w:color="auto"/>
              <w:right w:val="nil" w:sz="6" w:space="0" w:color="auto"/>
            </w:tcBorders>
          </w:tcPr>
          <w:p>
            <w:pPr>
              <w:pStyle w:val="TableParagraph"/>
              <w:spacing w:line="180" w:lineRule="exact"/>
              <w:ind w:right="45"/>
              <w:jc w:val="center"/>
              <w:rPr>
                <w:rFonts w:ascii="宋体" w:hAnsi="宋体" w:cs="宋体" w:eastAsia="宋体" w:hint="default"/>
                <w:sz w:val="16"/>
                <w:szCs w:val="16"/>
              </w:rPr>
            </w:pPr>
            <w:r>
              <w:rPr>
                <w:rFonts w:ascii="宋体" w:hAnsi="宋体" w:cs="宋体" w:eastAsia="宋体" w:hint="default"/>
                <w:sz w:val="16"/>
                <w:szCs w:val="16"/>
              </w:rPr>
              <w:t>公司</w:t>
            </w:r>
          </w:p>
        </w:tc>
        <w:tc>
          <w:tcPr>
            <w:tcW w:w="779" w:type="dxa"/>
            <w:tcBorders>
              <w:top w:val="nil" w:sz="6" w:space="0" w:color="auto"/>
              <w:left w:val="nil" w:sz="6" w:space="0" w:color="auto"/>
              <w:bottom w:val="nil" w:sz="6" w:space="0" w:color="auto"/>
              <w:right w:val="nil" w:sz="6" w:space="0" w:color="auto"/>
            </w:tcBorders>
          </w:tcPr>
          <w:p>
            <w:pPr>
              <w:pStyle w:val="TableParagraph"/>
              <w:spacing w:line="180" w:lineRule="exact"/>
              <w:ind w:right="4"/>
              <w:jc w:val="center"/>
              <w:rPr>
                <w:rFonts w:ascii="宋体" w:hAnsi="宋体" w:cs="宋体" w:eastAsia="宋体" w:hint="default"/>
                <w:sz w:val="16"/>
                <w:szCs w:val="16"/>
              </w:rPr>
            </w:pPr>
            <w:r>
              <w:rPr>
                <w:rFonts w:ascii="宋体" w:hAnsi="宋体" w:cs="宋体" w:eastAsia="宋体" w:hint="default"/>
                <w:sz w:val="16"/>
                <w:szCs w:val="16"/>
              </w:rPr>
              <w:t>韩志刚</w:t>
            </w: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73" w:right="0"/>
              <w:jc w:val="left"/>
              <w:rPr>
                <w:rFonts w:ascii="Arial" w:hAnsi="Arial" w:cs="Arial" w:eastAsia="Arial" w:hint="default"/>
                <w:sz w:val="16"/>
                <w:szCs w:val="16"/>
              </w:rPr>
            </w:pPr>
            <w:r>
              <w:rPr>
                <w:rFonts w:ascii="Arial"/>
                <w:sz w:val="16"/>
              </w:rPr>
              <w:t>170054458</w:t>
            </w:r>
          </w:p>
        </w:tc>
        <w:tc>
          <w:tcPr>
            <w:tcW w:w="1229" w:type="dxa"/>
            <w:tcBorders>
              <w:top w:val="nil" w:sz="6" w:space="0" w:color="auto"/>
              <w:left w:val="nil" w:sz="6" w:space="0" w:color="auto"/>
              <w:bottom w:val="nil" w:sz="6" w:space="0" w:color="auto"/>
              <w:right w:val="nil" w:sz="6" w:space="0" w:color="auto"/>
            </w:tcBorders>
          </w:tcPr>
          <w:p>
            <w:pPr>
              <w:pStyle w:val="TableParagraph"/>
              <w:spacing w:line="192" w:lineRule="exact"/>
              <w:ind w:right="196"/>
              <w:jc w:val="right"/>
              <w:rPr>
                <w:rFonts w:ascii="Arial" w:hAnsi="Arial" w:cs="Arial" w:eastAsia="Arial" w:hint="default"/>
                <w:sz w:val="16"/>
                <w:szCs w:val="16"/>
              </w:rPr>
            </w:pPr>
            <w:r>
              <w:rPr>
                <w:rFonts w:ascii="Arial" w:hAnsi="Arial" w:cs="Arial" w:eastAsia="Arial" w:hint="default"/>
                <w:sz w:val="16"/>
                <w:szCs w:val="16"/>
              </w:rPr>
              <w:t>(</w:t>
            </w:r>
            <w:r>
              <w:rPr>
                <w:rFonts w:ascii="宋体" w:hAnsi="宋体" w:cs="宋体" w:eastAsia="宋体" w:hint="default"/>
                <w:sz w:val="16"/>
                <w:szCs w:val="16"/>
              </w:rPr>
              <w:t>注</w:t>
            </w:r>
            <w:r>
              <w:rPr>
                <w:rFonts w:ascii="宋体" w:hAnsi="宋体" w:cs="宋体" w:eastAsia="宋体" w:hint="default"/>
                <w:spacing w:val="-41"/>
                <w:sz w:val="16"/>
                <w:szCs w:val="16"/>
              </w:rPr>
              <w:t> </w:t>
            </w:r>
            <w:r>
              <w:rPr>
                <w:rFonts w:ascii="Arial" w:hAnsi="Arial" w:cs="Arial" w:eastAsia="Arial" w:hint="default"/>
                <w:sz w:val="16"/>
                <w:szCs w:val="16"/>
              </w:rPr>
              <w:t>2)</w:t>
            </w:r>
          </w:p>
        </w:tc>
        <w:tc>
          <w:tcPr>
            <w:tcW w:w="172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8"/>
              <w:ind w:left="984" w:right="0"/>
              <w:jc w:val="left"/>
              <w:rPr>
                <w:rFonts w:ascii="Arial" w:hAnsi="Arial" w:cs="Arial" w:eastAsia="Arial" w:hint="default"/>
                <w:sz w:val="16"/>
                <w:szCs w:val="16"/>
              </w:rPr>
            </w:pPr>
            <w:r>
              <w:rPr>
                <w:rFonts w:ascii="Arial"/>
                <w:sz w:val="16"/>
              </w:rPr>
              <w:t>-    -</w:t>
            </w:r>
            <w:r>
              <w:rPr>
                <w:rFonts w:ascii="Arial"/>
                <w:spacing w:val="-37"/>
                <w:sz w:val="16"/>
              </w:rPr>
              <w:t> </w:t>
            </w:r>
            <w:r>
              <w:rPr>
                <w:rFonts w:ascii="Arial"/>
                <w:sz w:val="16"/>
              </w:rPr>
              <w:t>33.88</w:t>
            </w:r>
          </w:p>
        </w:tc>
        <w:tc>
          <w:tcPr>
            <w:tcW w:w="57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9"/>
              <w:jc w:val="right"/>
              <w:rPr>
                <w:rFonts w:ascii="Arial" w:hAnsi="Arial" w:cs="Arial" w:eastAsia="Arial" w:hint="default"/>
                <w:sz w:val="16"/>
                <w:szCs w:val="16"/>
              </w:rPr>
            </w:pPr>
            <w:r>
              <w:rPr>
                <w:rFonts w:ascii="Arial"/>
                <w:w w:val="95"/>
                <w:sz w:val="16"/>
              </w:rPr>
              <w:t>58.30</w:t>
            </w:r>
            <w:r>
              <w:rPr>
                <w:rFonts w:ascii="Arial"/>
                <w:sz w:val="16"/>
              </w:rPr>
            </w:r>
          </w:p>
        </w:tc>
        <w:tc>
          <w:tcPr>
            <w:tcW w:w="463" w:type="dxa"/>
            <w:tcBorders>
              <w:top w:val="nil" w:sz="6" w:space="0" w:color="auto"/>
              <w:left w:val="nil" w:sz="6" w:space="0" w:color="auto"/>
              <w:bottom w:val="nil" w:sz="6" w:space="0" w:color="auto"/>
              <w:right w:val="nil" w:sz="6" w:space="0" w:color="auto"/>
            </w:tcBorders>
          </w:tcPr>
          <w:p>
            <w:pPr>
              <w:pStyle w:val="TableParagraph"/>
              <w:spacing w:line="179" w:lineRule="exact"/>
              <w:ind w:right="38"/>
              <w:jc w:val="center"/>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c>
        <w:tc>
          <w:tcPr>
            <w:tcW w:w="2277" w:type="dxa"/>
            <w:gridSpan w:val="3"/>
            <w:tcBorders>
              <w:top w:val="nil" w:sz="6" w:space="0" w:color="auto"/>
              <w:left w:val="nil" w:sz="6" w:space="0" w:color="auto"/>
              <w:bottom w:val="nil" w:sz="6" w:space="0" w:color="auto"/>
              <w:right w:val="nil" w:sz="6" w:space="0" w:color="auto"/>
            </w:tcBorders>
          </w:tcPr>
          <w:p>
            <w:pPr>
              <w:pStyle w:val="TableParagraph"/>
              <w:tabs>
                <w:tab w:pos="1197" w:val="left" w:leader="none"/>
                <w:tab w:pos="1856" w:val="left" w:leader="none"/>
              </w:tabs>
              <w:spacing w:line="240" w:lineRule="auto" w:before="17"/>
              <w:ind w:left="338" w:right="0"/>
              <w:jc w:val="left"/>
              <w:rPr>
                <w:rFonts w:ascii="Arial" w:hAnsi="Arial" w:cs="Arial" w:eastAsia="Arial" w:hint="default"/>
                <w:sz w:val="16"/>
                <w:szCs w:val="16"/>
              </w:rPr>
            </w:pPr>
            <w:r>
              <w:rPr>
                <w:rFonts w:ascii="Arial"/>
                <w:w w:val="95"/>
                <w:sz w:val="16"/>
              </w:rPr>
              <w:t>-</w:t>
              <w:tab/>
              <w:t>-</w:t>
              <w:tab/>
            </w:r>
            <w:r>
              <w:rPr>
                <w:rFonts w:ascii="Arial"/>
                <w:sz w:val="16"/>
              </w:rPr>
              <w:t>-</w:t>
            </w:r>
          </w:p>
        </w:tc>
      </w:tr>
      <w:tr>
        <w:trPr>
          <w:trHeight w:val="290" w:hRule="exact"/>
        </w:trPr>
        <w:tc>
          <w:tcPr>
            <w:tcW w:w="2061" w:type="dxa"/>
            <w:tcBorders>
              <w:top w:val="nil" w:sz="6" w:space="0" w:color="auto"/>
              <w:left w:val="nil" w:sz="6" w:space="0" w:color="auto"/>
              <w:bottom w:val="nil" w:sz="6" w:space="0" w:color="auto"/>
              <w:right w:val="nil" w:sz="6" w:space="0" w:color="auto"/>
            </w:tcBorders>
          </w:tcPr>
          <w:p>
            <w:pPr>
              <w:pStyle w:val="TableParagraph"/>
              <w:spacing w:line="240" w:lineRule="auto" w:before="56"/>
              <w:ind w:left="520" w:right="0"/>
              <w:jc w:val="left"/>
              <w:rPr>
                <w:rFonts w:ascii="宋体" w:hAnsi="宋体" w:cs="宋体" w:eastAsia="宋体" w:hint="default"/>
                <w:sz w:val="16"/>
                <w:szCs w:val="16"/>
              </w:rPr>
            </w:pPr>
            <w:r>
              <w:rPr>
                <w:rFonts w:ascii="宋体" w:hAnsi="宋体" w:cs="宋体" w:eastAsia="宋体" w:hint="default"/>
                <w:sz w:val="16"/>
                <w:szCs w:val="16"/>
              </w:rPr>
              <w:t>联通新国信通信</w:t>
            </w:r>
          </w:p>
        </w:tc>
        <w:tc>
          <w:tcPr>
            <w:tcW w:w="395"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57" w:right="0"/>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637" w:type="dxa"/>
            <w:tcBorders>
              <w:top w:val="nil" w:sz="6" w:space="0" w:color="auto"/>
              <w:left w:val="nil" w:sz="6" w:space="0" w:color="auto"/>
              <w:bottom w:val="nil" w:sz="6" w:space="0" w:color="auto"/>
              <w:right w:val="nil" w:sz="6" w:space="0" w:color="auto"/>
            </w:tcBorders>
          </w:tcPr>
          <w:p>
            <w:pPr/>
          </w:p>
        </w:tc>
        <w:tc>
          <w:tcPr>
            <w:tcW w:w="1131" w:type="dxa"/>
            <w:gridSpan w:val="2"/>
            <w:tcBorders>
              <w:top w:val="nil" w:sz="6" w:space="0" w:color="auto"/>
              <w:left w:val="nil" w:sz="6" w:space="0" w:color="auto"/>
              <w:bottom w:val="nil" w:sz="6" w:space="0" w:color="auto"/>
              <w:right w:val="nil" w:sz="6" w:space="0" w:color="auto"/>
            </w:tcBorders>
          </w:tcPr>
          <w:p>
            <w:pPr/>
          </w:p>
        </w:tc>
        <w:tc>
          <w:tcPr>
            <w:tcW w:w="808" w:type="dxa"/>
            <w:tcBorders>
              <w:top w:val="nil" w:sz="6" w:space="0" w:color="auto"/>
              <w:left w:val="nil" w:sz="6" w:space="0" w:color="auto"/>
              <w:bottom w:val="nil" w:sz="6" w:space="0" w:color="auto"/>
              <w:right w:val="nil" w:sz="6" w:space="0" w:color="auto"/>
            </w:tcBorders>
          </w:tcPr>
          <w:p>
            <w:pPr/>
          </w:p>
        </w:tc>
        <w:tc>
          <w:tcPr>
            <w:tcW w:w="789"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724" w:type="dxa"/>
            <w:gridSpan w:val="2"/>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63" w:type="dxa"/>
            <w:tcBorders>
              <w:top w:val="nil" w:sz="6" w:space="0" w:color="auto"/>
              <w:left w:val="nil" w:sz="6" w:space="0" w:color="auto"/>
              <w:bottom w:val="nil" w:sz="6" w:space="0" w:color="auto"/>
              <w:right w:val="nil" w:sz="6" w:space="0" w:color="auto"/>
            </w:tcBorders>
          </w:tcPr>
          <w:p>
            <w:pPr/>
          </w:p>
        </w:tc>
        <w:tc>
          <w:tcPr>
            <w:tcW w:w="2277" w:type="dxa"/>
            <w:gridSpan w:val="3"/>
            <w:tcBorders>
              <w:top w:val="nil" w:sz="6" w:space="0" w:color="auto"/>
              <w:left w:val="nil" w:sz="6" w:space="0" w:color="auto"/>
              <w:bottom w:val="nil" w:sz="6" w:space="0" w:color="auto"/>
              <w:right w:val="nil" w:sz="6" w:space="0" w:color="auto"/>
            </w:tcBorders>
          </w:tcPr>
          <w:p>
            <w:pPr/>
          </w:p>
        </w:tc>
      </w:tr>
      <w:tr>
        <w:trPr>
          <w:trHeight w:val="212" w:hRule="exact"/>
        </w:trPr>
        <w:tc>
          <w:tcPr>
            <w:tcW w:w="2061" w:type="dxa"/>
            <w:tcBorders>
              <w:top w:val="nil" w:sz="6" w:space="0" w:color="auto"/>
              <w:left w:val="nil" w:sz="6" w:space="0" w:color="auto"/>
              <w:bottom w:val="nil" w:sz="6" w:space="0" w:color="auto"/>
              <w:right w:val="nil" w:sz="6" w:space="0" w:color="auto"/>
            </w:tcBorders>
          </w:tcPr>
          <w:p>
            <w:pPr>
              <w:pStyle w:val="TableParagraph"/>
              <w:spacing w:line="184" w:lineRule="exact"/>
              <w:ind w:left="680" w:right="0"/>
              <w:jc w:val="left"/>
              <w:rPr>
                <w:rFonts w:ascii="宋体" w:hAnsi="宋体" w:cs="宋体" w:eastAsia="宋体" w:hint="default"/>
                <w:sz w:val="16"/>
                <w:szCs w:val="16"/>
              </w:rPr>
            </w:pPr>
            <w:r>
              <w:rPr>
                <w:rFonts w:ascii="宋体" w:hAnsi="宋体" w:cs="宋体" w:eastAsia="宋体" w:hint="default"/>
                <w:sz w:val="16"/>
                <w:szCs w:val="16"/>
              </w:rPr>
              <w:t>有限公司</w:t>
            </w:r>
          </w:p>
        </w:tc>
        <w:tc>
          <w:tcPr>
            <w:tcW w:w="395"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Style w:val="TableParagraph"/>
              <w:spacing w:line="184" w:lineRule="exact"/>
              <w:ind w:left="142" w:right="0"/>
              <w:jc w:val="left"/>
              <w:rPr>
                <w:rFonts w:ascii="宋体" w:hAnsi="宋体" w:cs="宋体" w:eastAsia="宋体" w:hint="default"/>
                <w:sz w:val="16"/>
                <w:szCs w:val="16"/>
              </w:rPr>
            </w:pPr>
            <w:r>
              <w:rPr>
                <w:rFonts w:ascii="宋体" w:hAnsi="宋体" w:cs="宋体" w:eastAsia="宋体" w:hint="default"/>
                <w:sz w:val="16"/>
                <w:szCs w:val="16"/>
              </w:rPr>
              <w:t>间接</w:t>
            </w:r>
          </w:p>
        </w:tc>
        <w:tc>
          <w:tcPr>
            <w:tcW w:w="1177" w:type="dxa"/>
            <w:tcBorders>
              <w:top w:val="nil" w:sz="6" w:space="0" w:color="auto"/>
              <w:left w:val="nil" w:sz="6" w:space="0" w:color="auto"/>
              <w:bottom w:val="nil" w:sz="6" w:space="0" w:color="auto"/>
              <w:right w:val="nil" w:sz="6" w:space="0" w:color="auto"/>
            </w:tcBorders>
          </w:tcPr>
          <w:p>
            <w:pPr>
              <w:pStyle w:val="TableParagraph"/>
              <w:spacing w:line="195" w:lineRule="exact"/>
              <w:ind w:left="59" w:right="0"/>
              <w:jc w:val="center"/>
              <w:rPr>
                <w:rFonts w:ascii="宋体" w:hAnsi="宋体" w:cs="宋体" w:eastAsia="宋体" w:hint="default"/>
                <w:sz w:val="16"/>
                <w:szCs w:val="16"/>
              </w:rPr>
            </w:pPr>
            <w:r>
              <w:rPr>
                <w:rFonts w:ascii="Arial" w:hAnsi="Arial" w:cs="Arial" w:eastAsia="Arial" w:hint="default"/>
                <w:sz w:val="16"/>
                <w:szCs w:val="16"/>
              </w:rPr>
              <w:t>1998</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637" w:type="dxa"/>
            <w:tcBorders>
              <w:top w:val="nil" w:sz="6" w:space="0" w:color="auto"/>
              <w:left w:val="nil" w:sz="6" w:space="0" w:color="auto"/>
              <w:bottom w:val="nil" w:sz="6" w:space="0" w:color="auto"/>
              <w:right w:val="nil" w:sz="6" w:space="0" w:color="auto"/>
            </w:tcBorders>
          </w:tcPr>
          <w:p>
            <w:pPr>
              <w:pStyle w:val="TableParagraph"/>
              <w:spacing w:line="184" w:lineRule="exact"/>
              <w:ind w:left="2" w:right="0"/>
              <w:jc w:val="center"/>
              <w:rPr>
                <w:rFonts w:ascii="宋体" w:hAnsi="宋体" w:cs="宋体" w:eastAsia="宋体" w:hint="default"/>
                <w:sz w:val="16"/>
                <w:szCs w:val="16"/>
              </w:rPr>
            </w:pPr>
            <w:r>
              <w:rPr>
                <w:rFonts w:ascii="宋体" w:hAnsi="宋体" w:cs="宋体" w:eastAsia="宋体" w:hint="default"/>
                <w:sz w:val="16"/>
                <w:szCs w:val="16"/>
              </w:rPr>
              <w:t>电信客</w:t>
            </w:r>
          </w:p>
        </w:tc>
        <w:tc>
          <w:tcPr>
            <w:tcW w:w="1131" w:type="dxa"/>
            <w:gridSpan w:val="2"/>
            <w:tcBorders>
              <w:top w:val="nil" w:sz="6" w:space="0" w:color="auto"/>
              <w:left w:val="nil" w:sz="6" w:space="0" w:color="auto"/>
              <w:bottom w:val="nil" w:sz="6" w:space="0" w:color="auto"/>
              <w:right w:val="nil" w:sz="6" w:space="0" w:color="auto"/>
            </w:tcBorders>
          </w:tcPr>
          <w:p>
            <w:pPr/>
          </w:p>
        </w:tc>
        <w:tc>
          <w:tcPr>
            <w:tcW w:w="808" w:type="dxa"/>
            <w:tcBorders>
              <w:top w:val="nil" w:sz="6" w:space="0" w:color="auto"/>
              <w:left w:val="nil" w:sz="6" w:space="0" w:color="auto"/>
              <w:bottom w:val="nil" w:sz="6" w:space="0" w:color="auto"/>
              <w:right w:val="nil" w:sz="6" w:space="0" w:color="auto"/>
            </w:tcBorders>
          </w:tcPr>
          <w:p>
            <w:pPr>
              <w:pStyle w:val="TableParagraph"/>
              <w:spacing w:line="184" w:lineRule="exact"/>
              <w:ind w:left="64" w:right="0"/>
              <w:jc w:val="center"/>
              <w:rPr>
                <w:rFonts w:ascii="宋体" w:hAnsi="宋体" w:cs="宋体" w:eastAsia="宋体" w:hint="default"/>
                <w:sz w:val="16"/>
                <w:szCs w:val="16"/>
              </w:rPr>
            </w:pPr>
            <w:r>
              <w:rPr>
                <w:rFonts w:ascii="宋体" w:hAnsi="宋体" w:cs="宋体" w:eastAsia="宋体" w:hint="default"/>
                <w:sz w:val="16"/>
                <w:szCs w:val="16"/>
              </w:rPr>
              <w:t>电信客户</w:t>
            </w:r>
          </w:p>
        </w:tc>
        <w:tc>
          <w:tcPr>
            <w:tcW w:w="789" w:type="dxa"/>
            <w:tcBorders>
              <w:top w:val="nil" w:sz="6" w:space="0" w:color="auto"/>
              <w:left w:val="nil" w:sz="6" w:space="0" w:color="auto"/>
              <w:bottom w:val="nil" w:sz="6" w:space="0" w:color="auto"/>
              <w:right w:val="nil" w:sz="6" w:space="0" w:color="auto"/>
            </w:tcBorders>
          </w:tcPr>
          <w:p>
            <w:pPr>
              <w:pStyle w:val="TableParagraph"/>
              <w:spacing w:line="184" w:lineRule="exact"/>
              <w:ind w:right="45"/>
              <w:jc w:val="center"/>
              <w:rPr>
                <w:rFonts w:ascii="宋体" w:hAnsi="宋体" w:cs="宋体" w:eastAsia="宋体" w:hint="default"/>
                <w:sz w:val="16"/>
                <w:szCs w:val="16"/>
              </w:rPr>
            </w:pPr>
            <w:r>
              <w:rPr>
                <w:rFonts w:ascii="宋体" w:hAnsi="宋体" w:cs="宋体" w:eastAsia="宋体" w:hint="default"/>
                <w:sz w:val="16"/>
                <w:szCs w:val="16"/>
              </w:rPr>
              <w:t>有限责任</w:t>
            </w:r>
          </w:p>
        </w:tc>
        <w:tc>
          <w:tcPr>
            <w:tcW w:w="779"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724" w:type="dxa"/>
            <w:gridSpan w:val="2"/>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63" w:type="dxa"/>
            <w:tcBorders>
              <w:top w:val="nil" w:sz="6" w:space="0" w:color="auto"/>
              <w:left w:val="nil" w:sz="6" w:space="0" w:color="auto"/>
              <w:bottom w:val="nil" w:sz="6" w:space="0" w:color="auto"/>
              <w:right w:val="nil" w:sz="6" w:space="0" w:color="auto"/>
            </w:tcBorders>
          </w:tcPr>
          <w:p>
            <w:pPr/>
          </w:p>
        </w:tc>
        <w:tc>
          <w:tcPr>
            <w:tcW w:w="2277" w:type="dxa"/>
            <w:gridSpan w:val="3"/>
            <w:tcBorders>
              <w:top w:val="nil" w:sz="6" w:space="0" w:color="auto"/>
              <w:left w:val="nil" w:sz="6" w:space="0" w:color="auto"/>
              <w:bottom w:val="nil" w:sz="6" w:space="0" w:color="auto"/>
              <w:right w:val="nil" w:sz="6" w:space="0" w:color="auto"/>
            </w:tcBorders>
          </w:tcPr>
          <w:p>
            <w:pPr/>
          </w:p>
        </w:tc>
      </w:tr>
      <w:tr>
        <w:trPr>
          <w:trHeight w:val="305" w:hRule="exact"/>
        </w:trPr>
        <w:tc>
          <w:tcPr>
            <w:tcW w:w="2061" w:type="dxa"/>
            <w:tcBorders>
              <w:top w:val="nil" w:sz="6" w:space="0" w:color="auto"/>
              <w:left w:val="nil" w:sz="6" w:space="0" w:color="auto"/>
              <w:bottom w:val="nil" w:sz="6" w:space="0" w:color="auto"/>
              <w:right w:val="nil" w:sz="6" w:space="0" w:color="auto"/>
            </w:tcBorders>
          </w:tcPr>
          <w:p>
            <w:pPr>
              <w:pStyle w:val="TableParagraph"/>
              <w:spacing w:line="180" w:lineRule="exact"/>
              <w:ind w:left="520" w:right="0"/>
              <w:jc w:val="left"/>
              <w:rPr>
                <w:rFonts w:ascii="宋体" w:hAnsi="宋体" w:cs="宋体" w:eastAsia="宋体" w:hint="default"/>
                <w:sz w:val="16"/>
                <w:szCs w:val="16"/>
              </w:rPr>
            </w:pPr>
            <w:r>
              <w:rPr>
                <w:rFonts w:ascii="宋体" w:hAnsi="宋体" w:cs="宋体" w:eastAsia="宋体" w:hint="default"/>
                <w:sz w:val="16"/>
                <w:szCs w:val="16"/>
              </w:rPr>
              <w:t>（“联通新国信”）</w:t>
            </w:r>
          </w:p>
        </w:tc>
        <w:tc>
          <w:tcPr>
            <w:tcW w:w="395"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8" w:right="0"/>
              <w:jc w:val="left"/>
              <w:rPr>
                <w:rFonts w:ascii="Arial" w:hAnsi="Arial" w:cs="Arial" w:eastAsia="Arial" w:hint="default"/>
                <w:sz w:val="16"/>
                <w:szCs w:val="16"/>
              </w:rPr>
            </w:pPr>
            <w:r>
              <w:rPr>
                <w:rFonts w:ascii="Arial"/>
                <w:sz w:val="16"/>
              </w:rPr>
              <w:t>(4)</w:t>
            </w:r>
          </w:p>
        </w:tc>
        <w:tc>
          <w:tcPr>
            <w:tcW w:w="599" w:type="dxa"/>
            <w:tcBorders>
              <w:top w:val="nil" w:sz="6" w:space="0" w:color="auto"/>
              <w:left w:val="nil" w:sz="6" w:space="0" w:color="auto"/>
              <w:bottom w:val="nil" w:sz="6" w:space="0" w:color="auto"/>
              <w:right w:val="nil" w:sz="6" w:space="0" w:color="auto"/>
            </w:tcBorders>
          </w:tcPr>
          <w:p>
            <w:pPr>
              <w:pStyle w:val="TableParagraph"/>
              <w:spacing w:line="180" w:lineRule="exact"/>
              <w:ind w:left="142" w:right="0"/>
              <w:jc w:val="left"/>
              <w:rPr>
                <w:rFonts w:ascii="宋体" w:hAnsi="宋体" w:cs="宋体" w:eastAsia="宋体" w:hint="default"/>
                <w:sz w:val="16"/>
                <w:szCs w:val="16"/>
              </w:rPr>
            </w:pPr>
            <w:r>
              <w:rPr>
                <w:rFonts w:ascii="宋体" w:hAnsi="宋体" w:cs="宋体" w:eastAsia="宋体" w:hint="default"/>
                <w:sz w:val="16"/>
                <w:szCs w:val="16"/>
              </w:rPr>
              <w:t>控股</w:t>
            </w:r>
          </w:p>
        </w:tc>
        <w:tc>
          <w:tcPr>
            <w:tcW w:w="1177" w:type="dxa"/>
            <w:tcBorders>
              <w:top w:val="nil" w:sz="6" w:space="0" w:color="auto"/>
              <w:left w:val="nil" w:sz="6" w:space="0" w:color="auto"/>
              <w:bottom w:val="nil" w:sz="6" w:space="0" w:color="auto"/>
              <w:right w:val="nil" w:sz="6" w:space="0" w:color="auto"/>
            </w:tcBorders>
          </w:tcPr>
          <w:p>
            <w:pPr>
              <w:pStyle w:val="TableParagraph"/>
              <w:spacing w:line="191" w:lineRule="exact"/>
              <w:ind w:left="59" w:right="0"/>
              <w:jc w:val="center"/>
              <w:rPr>
                <w:rFonts w:ascii="宋体" w:hAnsi="宋体" w:cs="宋体" w:eastAsia="宋体" w:hint="default"/>
                <w:sz w:val="16"/>
                <w:szCs w:val="16"/>
              </w:rPr>
            </w:pPr>
            <w:r>
              <w:rPr>
                <w:rFonts w:ascii="Arial" w:hAnsi="Arial" w:cs="Arial" w:eastAsia="Arial" w:hint="default"/>
                <w:sz w:val="16"/>
                <w:szCs w:val="16"/>
              </w:rPr>
              <w:t>9</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17</w:t>
            </w:r>
            <w:r>
              <w:rPr>
                <w:rFonts w:ascii="Arial" w:hAnsi="Arial" w:cs="Arial" w:eastAsia="Arial" w:hint="default"/>
                <w:spacing w:val="-6"/>
                <w:sz w:val="16"/>
                <w:szCs w:val="16"/>
              </w:rPr>
              <w:t> </w:t>
            </w:r>
            <w:r>
              <w:rPr>
                <w:rFonts w:ascii="宋体" w:hAnsi="宋体" w:cs="宋体" w:eastAsia="宋体" w:hint="default"/>
                <w:sz w:val="16"/>
                <w:szCs w:val="16"/>
              </w:rPr>
              <w:t>日</w:t>
            </w:r>
          </w:p>
        </w:tc>
        <w:tc>
          <w:tcPr>
            <w:tcW w:w="637" w:type="dxa"/>
            <w:tcBorders>
              <w:top w:val="nil" w:sz="6" w:space="0" w:color="auto"/>
              <w:left w:val="nil" w:sz="6" w:space="0" w:color="auto"/>
              <w:bottom w:val="nil" w:sz="6" w:space="0" w:color="auto"/>
              <w:right w:val="nil" w:sz="6" w:space="0" w:color="auto"/>
            </w:tcBorders>
          </w:tcPr>
          <w:p>
            <w:pPr>
              <w:pStyle w:val="TableParagraph"/>
              <w:spacing w:line="180" w:lineRule="exact"/>
              <w:ind w:left="4" w:right="0"/>
              <w:jc w:val="center"/>
              <w:rPr>
                <w:rFonts w:ascii="宋体" w:hAnsi="宋体" w:cs="宋体" w:eastAsia="宋体" w:hint="default"/>
                <w:sz w:val="16"/>
                <w:szCs w:val="16"/>
              </w:rPr>
            </w:pPr>
            <w:r>
              <w:rPr>
                <w:rFonts w:ascii="宋体" w:hAnsi="宋体" w:cs="宋体" w:eastAsia="宋体" w:hint="default"/>
                <w:sz w:val="16"/>
                <w:szCs w:val="16"/>
              </w:rPr>
              <w:t>户服务</w:t>
            </w:r>
          </w:p>
        </w:tc>
        <w:tc>
          <w:tcPr>
            <w:tcW w:w="113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8"/>
              <w:ind w:left="303" w:right="0"/>
              <w:jc w:val="left"/>
              <w:rPr>
                <w:rFonts w:ascii="Arial" w:hAnsi="Arial" w:cs="Arial" w:eastAsia="Arial" w:hint="default"/>
                <w:sz w:val="16"/>
                <w:szCs w:val="16"/>
              </w:rPr>
            </w:pPr>
            <w:r>
              <w:rPr>
                <w:rFonts w:ascii="Arial"/>
                <w:sz w:val="16"/>
              </w:rPr>
              <w:t>6,825,088</w:t>
            </w:r>
          </w:p>
        </w:tc>
        <w:tc>
          <w:tcPr>
            <w:tcW w:w="808" w:type="dxa"/>
            <w:tcBorders>
              <w:top w:val="nil" w:sz="6" w:space="0" w:color="auto"/>
              <w:left w:val="nil" w:sz="6" w:space="0" w:color="auto"/>
              <w:bottom w:val="nil" w:sz="6" w:space="0" w:color="auto"/>
              <w:right w:val="nil" w:sz="6" w:space="0" w:color="auto"/>
            </w:tcBorders>
          </w:tcPr>
          <w:p>
            <w:pPr>
              <w:pStyle w:val="TableParagraph"/>
              <w:spacing w:line="180" w:lineRule="exact"/>
              <w:ind w:left="66" w:right="0"/>
              <w:jc w:val="center"/>
              <w:rPr>
                <w:rFonts w:ascii="宋体" w:hAnsi="宋体" w:cs="宋体" w:eastAsia="宋体" w:hint="default"/>
                <w:sz w:val="16"/>
                <w:szCs w:val="16"/>
              </w:rPr>
            </w:pPr>
            <w:r>
              <w:rPr>
                <w:rFonts w:ascii="宋体" w:hAnsi="宋体" w:cs="宋体" w:eastAsia="宋体" w:hint="default"/>
                <w:sz w:val="16"/>
                <w:szCs w:val="16"/>
              </w:rPr>
              <w:t>服务</w:t>
            </w:r>
          </w:p>
        </w:tc>
        <w:tc>
          <w:tcPr>
            <w:tcW w:w="789" w:type="dxa"/>
            <w:tcBorders>
              <w:top w:val="nil" w:sz="6" w:space="0" w:color="auto"/>
              <w:left w:val="nil" w:sz="6" w:space="0" w:color="auto"/>
              <w:bottom w:val="nil" w:sz="6" w:space="0" w:color="auto"/>
              <w:right w:val="nil" w:sz="6" w:space="0" w:color="auto"/>
            </w:tcBorders>
          </w:tcPr>
          <w:p>
            <w:pPr>
              <w:pStyle w:val="TableParagraph"/>
              <w:spacing w:line="180" w:lineRule="exact"/>
              <w:ind w:right="45"/>
              <w:jc w:val="center"/>
              <w:rPr>
                <w:rFonts w:ascii="宋体" w:hAnsi="宋体" w:cs="宋体" w:eastAsia="宋体" w:hint="default"/>
                <w:sz w:val="16"/>
                <w:szCs w:val="16"/>
              </w:rPr>
            </w:pPr>
            <w:r>
              <w:rPr>
                <w:rFonts w:ascii="宋体" w:hAnsi="宋体" w:cs="宋体" w:eastAsia="宋体" w:hint="default"/>
                <w:sz w:val="16"/>
                <w:szCs w:val="16"/>
              </w:rPr>
              <w:t>公司</w:t>
            </w:r>
          </w:p>
        </w:tc>
        <w:tc>
          <w:tcPr>
            <w:tcW w:w="779" w:type="dxa"/>
            <w:tcBorders>
              <w:top w:val="nil" w:sz="6" w:space="0" w:color="auto"/>
              <w:left w:val="nil" w:sz="6" w:space="0" w:color="auto"/>
              <w:bottom w:val="nil" w:sz="6" w:space="0" w:color="auto"/>
              <w:right w:val="nil" w:sz="6" w:space="0" w:color="auto"/>
            </w:tcBorders>
          </w:tcPr>
          <w:p>
            <w:pPr>
              <w:pStyle w:val="TableParagraph"/>
              <w:spacing w:line="180" w:lineRule="exact"/>
              <w:ind w:right="3"/>
              <w:jc w:val="center"/>
              <w:rPr>
                <w:rFonts w:ascii="宋体" w:hAnsi="宋体" w:cs="宋体" w:eastAsia="宋体" w:hint="default"/>
                <w:sz w:val="16"/>
                <w:szCs w:val="16"/>
              </w:rPr>
            </w:pPr>
            <w:r>
              <w:rPr>
                <w:rFonts w:ascii="宋体" w:hAnsi="宋体" w:cs="宋体" w:eastAsia="宋体" w:hint="default"/>
                <w:sz w:val="16"/>
                <w:szCs w:val="16"/>
              </w:rPr>
              <w:t>李刚</w:t>
            </w: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73" w:right="0"/>
              <w:jc w:val="left"/>
              <w:rPr>
                <w:rFonts w:ascii="Arial" w:hAnsi="Arial" w:cs="Arial" w:eastAsia="Arial" w:hint="default"/>
                <w:sz w:val="16"/>
                <w:szCs w:val="16"/>
              </w:rPr>
            </w:pPr>
            <w:r>
              <w:rPr>
                <w:rFonts w:ascii="Arial"/>
                <w:sz w:val="16"/>
              </w:rPr>
              <w:t>710923096</w:t>
            </w:r>
          </w:p>
        </w:tc>
        <w:tc>
          <w:tcPr>
            <w:tcW w:w="1229" w:type="dxa"/>
            <w:tcBorders>
              <w:top w:val="nil" w:sz="6" w:space="0" w:color="auto"/>
              <w:left w:val="nil" w:sz="6" w:space="0" w:color="auto"/>
              <w:bottom w:val="nil" w:sz="6" w:space="0" w:color="auto"/>
              <w:right w:val="nil" w:sz="6" w:space="0" w:color="auto"/>
            </w:tcBorders>
          </w:tcPr>
          <w:p>
            <w:pPr>
              <w:pStyle w:val="TableParagraph"/>
              <w:spacing w:line="191" w:lineRule="exact"/>
              <w:ind w:right="196"/>
              <w:jc w:val="right"/>
              <w:rPr>
                <w:rFonts w:ascii="Arial" w:hAnsi="Arial" w:cs="Arial" w:eastAsia="Arial" w:hint="default"/>
                <w:sz w:val="16"/>
                <w:szCs w:val="16"/>
              </w:rPr>
            </w:pPr>
            <w:r>
              <w:rPr>
                <w:rFonts w:ascii="Arial" w:hAnsi="Arial" w:cs="Arial" w:eastAsia="Arial" w:hint="default"/>
                <w:sz w:val="16"/>
                <w:szCs w:val="16"/>
              </w:rPr>
              <w:t>(</w:t>
            </w:r>
            <w:r>
              <w:rPr>
                <w:rFonts w:ascii="宋体" w:hAnsi="宋体" w:cs="宋体" w:eastAsia="宋体" w:hint="default"/>
                <w:sz w:val="16"/>
                <w:szCs w:val="16"/>
              </w:rPr>
              <w:t>注</w:t>
            </w:r>
            <w:r>
              <w:rPr>
                <w:rFonts w:ascii="宋体" w:hAnsi="宋体" w:cs="宋体" w:eastAsia="宋体" w:hint="default"/>
                <w:spacing w:val="-41"/>
                <w:sz w:val="16"/>
                <w:szCs w:val="16"/>
              </w:rPr>
              <w:t> </w:t>
            </w:r>
            <w:r>
              <w:rPr>
                <w:rFonts w:ascii="Arial" w:hAnsi="Arial" w:cs="Arial" w:eastAsia="Arial" w:hint="default"/>
                <w:sz w:val="16"/>
                <w:szCs w:val="16"/>
              </w:rPr>
              <w:t>2)</w:t>
            </w:r>
          </w:p>
        </w:tc>
        <w:tc>
          <w:tcPr>
            <w:tcW w:w="1724" w:type="dxa"/>
            <w:gridSpan w:val="2"/>
            <w:tcBorders>
              <w:top w:val="nil" w:sz="6" w:space="0" w:color="auto"/>
              <w:left w:val="nil" w:sz="6" w:space="0" w:color="auto"/>
              <w:bottom w:val="nil" w:sz="6" w:space="0" w:color="auto"/>
              <w:right w:val="nil" w:sz="6" w:space="0" w:color="auto"/>
            </w:tcBorders>
          </w:tcPr>
          <w:p>
            <w:pPr>
              <w:pStyle w:val="TableParagraph"/>
              <w:tabs>
                <w:tab w:pos="1278" w:val="left" w:leader="none"/>
              </w:tabs>
              <w:spacing w:line="240" w:lineRule="auto" w:before="18"/>
              <w:ind w:left="984" w:right="0"/>
              <w:jc w:val="left"/>
              <w:rPr>
                <w:rFonts w:ascii="Arial" w:hAnsi="Arial" w:cs="Arial" w:eastAsia="Arial" w:hint="default"/>
                <w:sz w:val="16"/>
                <w:szCs w:val="16"/>
              </w:rPr>
            </w:pPr>
            <w:r>
              <w:rPr>
                <w:rFonts w:ascii="Arial"/>
                <w:w w:val="95"/>
                <w:sz w:val="16"/>
              </w:rPr>
              <w:t>-</w:t>
              <w:tab/>
            </w:r>
            <w:r>
              <w:rPr>
                <w:rFonts w:ascii="Arial"/>
                <w:sz w:val="16"/>
              </w:rPr>
              <w:t>33.88</w:t>
            </w:r>
          </w:p>
        </w:tc>
        <w:tc>
          <w:tcPr>
            <w:tcW w:w="57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9"/>
              <w:jc w:val="right"/>
              <w:rPr>
                <w:rFonts w:ascii="Arial" w:hAnsi="Arial" w:cs="Arial" w:eastAsia="Arial" w:hint="default"/>
                <w:sz w:val="16"/>
                <w:szCs w:val="16"/>
              </w:rPr>
            </w:pPr>
            <w:r>
              <w:rPr>
                <w:rFonts w:ascii="Arial"/>
                <w:w w:val="95"/>
                <w:sz w:val="16"/>
              </w:rPr>
              <w:t>58.30</w:t>
            </w:r>
            <w:r>
              <w:rPr>
                <w:rFonts w:ascii="Arial"/>
                <w:sz w:val="16"/>
              </w:rPr>
            </w:r>
          </w:p>
        </w:tc>
        <w:tc>
          <w:tcPr>
            <w:tcW w:w="463" w:type="dxa"/>
            <w:tcBorders>
              <w:top w:val="nil" w:sz="6" w:space="0" w:color="auto"/>
              <w:left w:val="nil" w:sz="6" w:space="0" w:color="auto"/>
              <w:bottom w:val="nil" w:sz="6" w:space="0" w:color="auto"/>
              <w:right w:val="nil" w:sz="6" w:space="0" w:color="auto"/>
            </w:tcBorders>
          </w:tcPr>
          <w:p>
            <w:pPr>
              <w:pStyle w:val="TableParagraph"/>
              <w:spacing w:line="180" w:lineRule="exact"/>
              <w:ind w:right="38"/>
              <w:jc w:val="center"/>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c>
        <w:tc>
          <w:tcPr>
            <w:tcW w:w="2277" w:type="dxa"/>
            <w:gridSpan w:val="3"/>
            <w:tcBorders>
              <w:top w:val="nil" w:sz="6" w:space="0" w:color="auto"/>
              <w:left w:val="nil" w:sz="6" w:space="0" w:color="auto"/>
              <w:bottom w:val="nil" w:sz="6" w:space="0" w:color="auto"/>
              <w:right w:val="nil" w:sz="6" w:space="0" w:color="auto"/>
            </w:tcBorders>
          </w:tcPr>
          <w:p>
            <w:pPr>
              <w:pStyle w:val="TableParagraph"/>
              <w:tabs>
                <w:tab w:pos="1197" w:val="left" w:leader="none"/>
                <w:tab w:pos="1855" w:val="left" w:leader="none"/>
              </w:tabs>
              <w:spacing w:line="240" w:lineRule="auto" w:before="18"/>
              <w:ind w:left="338" w:right="0"/>
              <w:jc w:val="left"/>
              <w:rPr>
                <w:rFonts w:ascii="Arial" w:hAnsi="Arial" w:cs="Arial" w:eastAsia="Arial" w:hint="default"/>
                <w:sz w:val="16"/>
                <w:szCs w:val="16"/>
              </w:rPr>
            </w:pPr>
            <w:r>
              <w:rPr>
                <w:rFonts w:ascii="Arial"/>
                <w:w w:val="95"/>
                <w:sz w:val="16"/>
              </w:rPr>
              <w:t>-</w:t>
              <w:tab/>
              <w:t>-</w:t>
              <w:tab/>
            </w:r>
            <w:r>
              <w:rPr>
                <w:rFonts w:ascii="Arial"/>
                <w:sz w:val="16"/>
              </w:rPr>
              <w:t>-</w:t>
            </w:r>
          </w:p>
        </w:tc>
      </w:tr>
      <w:tr>
        <w:trPr>
          <w:trHeight w:val="290" w:hRule="exact"/>
        </w:trPr>
        <w:tc>
          <w:tcPr>
            <w:tcW w:w="2061" w:type="dxa"/>
            <w:tcBorders>
              <w:top w:val="nil" w:sz="6" w:space="0" w:color="auto"/>
              <w:left w:val="nil" w:sz="6" w:space="0" w:color="auto"/>
              <w:bottom w:val="nil" w:sz="6" w:space="0" w:color="auto"/>
              <w:right w:val="nil" w:sz="6" w:space="0" w:color="auto"/>
            </w:tcBorders>
          </w:tcPr>
          <w:p>
            <w:pPr>
              <w:pStyle w:val="TableParagraph"/>
              <w:spacing w:line="240" w:lineRule="auto" w:before="57"/>
              <w:ind w:left="520" w:right="0"/>
              <w:jc w:val="left"/>
              <w:rPr>
                <w:rFonts w:ascii="宋体" w:hAnsi="宋体" w:cs="宋体" w:eastAsia="宋体" w:hint="default"/>
                <w:sz w:val="16"/>
                <w:szCs w:val="16"/>
              </w:rPr>
            </w:pPr>
            <w:r>
              <w:rPr>
                <w:rFonts w:ascii="宋体" w:hAnsi="宋体" w:cs="宋体" w:eastAsia="宋体" w:hint="default"/>
                <w:sz w:val="16"/>
                <w:szCs w:val="16"/>
              </w:rPr>
              <w:t>联通兴业科贸有限</w:t>
            </w:r>
          </w:p>
        </w:tc>
        <w:tc>
          <w:tcPr>
            <w:tcW w:w="395"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57"/>
              <w:ind w:left="57" w:right="0"/>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637" w:type="dxa"/>
            <w:tcBorders>
              <w:top w:val="nil" w:sz="6" w:space="0" w:color="auto"/>
              <w:left w:val="nil" w:sz="6" w:space="0" w:color="auto"/>
              <w:bottom w:val="nil" w:sz="6" w:space="0" w:color="auto"/>
              <w:right w:val="nil" w:sz="6" w:space="0" w:color="auto"/>
            </w:tcBorders>
          </w:tcPr>
          <w:p>
            <w:pPr/>
          </w:p>
        </w:tc>
        <w:tc>
          <w:tcPr>
            <w:tcW w:w="1131" w:type="dxa"/>
            <w:gridSpan w:val="2"/>
            <w:tcBorders>
              <w:top w:val="nil" w:sz="6" w:space="0" w:color="auto"/>
              <w:left w:val="nil" w:sz="6" w:space="0" w:color="auto"/>
              <w:bottom w:val="nil" w:sz="6" w:space="0" w:color="auto"/>
              <w:right w:val="nil" w:sz="6" w:space="0" w:color="auto"/>
            </w:tcBorders>
          </w:tcPr>
          <w:p>
            <w:pPr/>
          </w:p>
        </w:tc>
        <w:tc>
          <w:tcPr>
            <w:tcW w:w="808" w:type="dxa"/>
            <w:tcBorders>
              <w:top w:val="nil" w:sz="6" w:space="0" w:color="auto"/>
              <w:left w:val="nil" w:sz="6" w:space="0" w:color="auto"/>
              <w:bottom w:val="nil" w:sz="6" w:space="0" w:color="auto"/>
              <w:right w:val="nil" w:sz="6" w:space="0" w:color="auto"/>
            </w:tcBorders>
          </w:tcPr>
          <w:p>
            <w:pPr/>
          </w:p>
        </w:tc>
        <w:tc>
          <w:tcPr>
            <w:tcW w:w="789"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724" w:type="dxa"/>
            <w:gridSpan w:val="2"/>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63" w:type="dxa"/>
            <w:tcBorders>
              <w:top w:val="nil" w:sz="6" w:space="0" w:color="auto"/>
              <w:left w:val="nil" w:sz="6" w:space="0" w:color="auto"/>
              <w:bottom w:val="nil" w:sz="6" w:space="0" w:color="auto"/>
              <w:right w:val="nil" w:sz="6" w:space="0" w:color="auto"/>
            </w:tcBorders>
          </w:tcPr>
          <w:p>
            <w:pPr/>
          </w:p>
        </w:tc>
        <w:tc>
          <w:tcPr>
            <w:tcW w:w="2277" w:type="dxa"/>
            <w:gridSpan w:val="3"/>
            <w:tcBorders>
              <w:top w:val="nil" w:sz="6" w:space="0" w:color="auto"/>
              <w:left w:val="nil" w:sz="6" w:space="0" w:color="auto"/>
              <w:bottom w:val="nil" w:sz="6" w:space="0" w:color="auto"/>
              <w:right w:val="nil" w:sz="6" w:space="0" w:color="auto"/>
            </w:tcBorders>
          </w:tcPr>
          <w:p>
            <w:pPr/>
          </w:p>
        </w:tc>
      </w:tr>
      <w:tr>
        <w:trPr>
          <w:trHeight w:val="211" w:hRule="exact"/>
        </w:trPr>
        <w:tc>
          <w:tcPr>
            <w:tcW w:w="2061" w:type="dxa"/>
            <w:tcBorders>
              <w:top w:val="nil" w:sz="6" w:space="0" w:color="auto"/>
              <w:left w:val="nil" w:sz="6" w:space="0" w:color="auto"/>
              <w:bottom w:val="nil" w:sz="6" w:space="0" w:color="auto"/>
              <w:right w:val="nil" w:sz="6" w:space="0" w:color="auto"/>
            </w:tcBorders>
          </w:tcPr>
          <w:p>
            <w:pPr>
              <w:pStyle w:val="TableParagraph"/>
              <w:spacing w:line="184" w:lineRule="exact"/>
              <w:ind w:left="680" w:right="0"/>
              <w:jc w:val="left"/>
              <w:rPr>
                <w:rFonts w:ascii="宋体" w:hAnsi="宋体" w:cs="宋体" w:eastAsia="宋体" w:hint="default"/>
                <w:sz w:val="16"/>
                <w:szCs w:val="16"/>
              </w:rPr>
            </w:pPr>
            <w:r>
              <w:rPr>
                <w:rFonts w:ascii="宋体" w:hAnsi="宋体" w:cs="宋体" w:eastAsia="宋体" w:hint="default"/>
                <w:sz w:val="16"/>
                <w:szCs w:val="16"/>
              </w:rPr>
              <w:t>公司</w:t>
            </w:r>
          </w:p>
        </w:tc>
        <w:tc>
          <w:tcPr>
            <w:tcW w:w="395" w:type="dxa"/>
            <w:tcBorders>
              <w:top w:val="nil" w:sz="6" w:space="0" w:color="auto"/>
              <w:left w:val="nil" w:sz="6" w:space="0" w:color="auto"/>
              <w:bottom w:val="nil" w:sz="6" w:space="0" w:color="auto"/>
              <w:right w:val="nil" w:sz="6" w:space="0" w:color="auto"/>
            </w:tcBorders>
          </w:tcPr>
          <w:p>
            <w:pPr/>
          </w:p>
        </w:tc>
        <w:tc>
          <w:tcPr>
            <w:tcW w:w="599" w:type="dxa"/>
            <w:tcBorders>
              <w:top w:val="nil" w:sz="6" w:space="0" w:color="auto"/>
              <w:left w:val="nil" w:sz="6" w:space="0" w:color="auto"/>
              <w:bottom w:val="nil" w:sz="6" w:space="0" w:color="auto"/>
              <w:right w:val="nil" w:sz="6" w:space="0" w:color="auto"/>
            </w:tcBorders>
          </w:tcPr>
          <w:p>
            <w:pPr>
              <w:pStyle w:val="TableParagraph"/>
              <w:spacing w:line="184" w:lineRule="exact"/>
              <w:ind w:left="142" w:right="0"/>
              <w:jc w:val="left"/>
              <w:rPr>
                <w:rFonts w:ascii="宋体" w:hAnsi="宋体" w:cs="宋体" w:eastAsia="宋体" w:hint="default"/>
                <w:sz w:val="16"/>
                <w:szCs w:val="16"/>
              </w:rPr>
            </w:pPr>
            <w:r>
              <w:rPr>
                <w:rFonts w:ascii="宋体" w:hAnsi="宋体" w:cs="宋体" w:eastAsia="宋体" w:hint="default"/>
                <w:sz w:val="16"/>
                <w:szCs w:val="16"/>
              </w:rPr>
              <w:t>间接</w:t>
            </w:r>
          </w:p>
        </w:tc>
        <w:tc>
          <w:tcPr>
            <w:tcW w:w="1177" w:type="dxa"/>
            <w:tcBorders>
              <w:top w:val="nil" w:sz="6" w:space="0" w:color="auto"/>
              <w:left w:val="nil" w:sz="6" w:space="0" w:color="auto"/>
              <w:bottom w:val="nil" w:sz="6" w:space="0" w:color="auto"/>
              <w:right w:val="nil" w:sz="6" w:space="0" w:color="auto"/>
            </w:tcBorders>
          </w:tcPr>
          <w:p>
            <w:pPr>
              <w:pStyle w:val="TableParagraph"/>
              <w:spacing w:line="195" w:lineRule="exact"/>
              <w:ind w:left="58" w:right="0"/>
              <w:jc w:val="center"/>
              <w:rPr>
                <w:rFonts w:ascii="宋体" w:hAnsi="宋体" w:cs="宋体" w:eastAsia="宋体" w:hint="default"/>
                <w:sz w:val="16"/>
                <w:szCs w:val="16"/>
              </w:rPr>
            </w:pPr>
            <w:r>
              <w:rPr>
                <w:rFonts w:ascii="Arial" w:hAnsi="Arial" w:cs="Arial" w:eastAsia="Arial" w:hint="default"/>
                <w:sz w:val="16"/>
                <w:szCs w:val="16"/>
              </w:rPr>
              <w:t>2000</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637" w:type="dxa"/>
            <w:tcBorders>
              <w:top w:val="nil" w:sz="6" w:space="0" w:color="auto"/>
              <w:left w:val="nil" w:sz="6" w:space="0" w:color="auto"/>
              <w:bottom w:val="nil" w:sz="6" w:space="0" w:color="auto"/>
              <w:right w:val="nil" w:sz="6" w:space="0" w:color="auto"/>
            </w:tcBorders>
          </w:tcPr>
          <w:p>
            <w:pPr>
              <w:pStyle w:val="TableParagraph"/>
              <w:spacing w:line="184" w:lineRule="exact"/>
              <w:ind w:left="2" w:right="0"/>
              <w:jc w:val="center"/>
              <w:rPr>
                <w:rFonts w:ascii="宋体" w:hAnsi="宋体" w:cs="宋体" w:eastAsia="宋体" w:hint="default"/>
                <w:sz w:val="16"/>
                <w:szCs w:val="16"/>
              </w:rPr>
            </w:pPr>
            <w:r>
              <w:rPr>
                <w:rFonts w:ascii="宋体" w:hAnsi="宋体" w:cs="宋体" w:eastAsia="宋体" w:hint="default"/>
                <w:sz w:val="16"/>
                <w:szCs w:val="16"/>
              </w:rPr>
              <w:t>通信配</w:t>
            </w:r>
          </w:p>
        </w:tc>
        <w:tc>
          <w:tcPr>
            <w:tcW w:w="1131" w:type="dxa"/>
            <w:gridSpan w:val="2"/>
            <w:tcBorders>
              <w:top w:val="nil" w:sz="6" w:space="0" w:color="auto"/>
              <w:left w:val="nil" w:sz="6" w:space="0" w:color="auto"/>
              <w:bottom w:val="nil" w:sz="6" w:space="0" w:color="auto"/>
              <w:right w:val="nil" w:sz="6" w:space="0" w:color="auto"/>
            </w:tcBorders>
          </w:tcPr>
          <w:p>
            <w:pPr/>
          </w:p>
        </w:tc>
        <w:tc>
          <w:tcPr>
            <w:tcW w:w="808" w:type="dxa"/>
            <w:tcBorders>
              <w:top w:val="nil" w:sz="6" w:space="0" w:color="auto"/>
              <w:left w:val="nil" w:sz="6" w:space="0" w:color="auto"/>
              <w:bottom w:val="nil" w:sz="6" w:space="0" w:color="auto"/>
              <w:right w:val="nil" w:sz="6" w:space="0" w:color="auto"/>
            </w:tcBorders>
          </w:tcPr>
          <w:p>
            <w:pPr>
              <w:pStyle w:val="TableParagraph"/>
              <w:spacing w:line="184" w:lineRule="exact"/>
              <w:ind w:left="63" w:right="0"/>
              <w:jc w:val="center"/>
              <w:rPr>
                <w:rFonts w:ascii="宋体" w:hAnsi="宋体" w:cs="宋体" w:eastAsia="宋体" w:hint="default"/>
                <w:sz w:val="16"/>
                <w:szCs w:val="16"/>
              </w:rPr>
            </w:pPr>
            <w:r>
              <w:rPr>
                <w:rFonts w:ascii="宋体" w:hAnsi="宋体" w:cs="宋体" w:eastAsia="宋体" w:hint="default"/>
                <w:sz w:val="16"/>
                <w:szCs w:val="16"/>
              </w:rPr>
              <w:t>通信配件</w:t>
            </w:r>
          </w:p>
        </w:tc>
        <w:tc>
          <w:tcPr>
            <w:tcW w:w="789" w:type="dxa"/>
            <w:tcBorders>
              <w:top w:val="nil" w:sz="6" w:space="0" w:color="auto"/>
              <w:left w:val="nil" w:sz="6" w:space="0" w:color="auto"/>
              <w:bottom w:val="nil" w:sz="6" w:space="0" w:color="auto"/>
              <w:right w:val="nil" w:sz="6" w:space="0" w:color="auto"/>
            </w:tcBorders>
          </w:tcPr>
          <w:p>
            <w:pPr>
              <w:pStyle w:val="TableParagraph"/>
              <w:spacing w:line="184" w:lineRule="exact"/>
              <w:ind w:right="45"/>
              <w:jc w:val="center"/>
              <w:rPr>
                <w:rFonts w:ascii="宋体" w:hAnsi="宋体" w:cs="宋体" w:eastAsia="宋体" w:hint="default"/>
                <w:sz w:val="16"/>
                <w:szCs w:val="16"/>
              </w:rPr>
            </w:pPr>
            <w:r>
              <w:rPr>
                <w:rFonts w:ascii="宋体" w:hAnsi="宋体" w:cs="宋体" w:eastAsia="宋体" w:hint="default"/>
                <w:sz w:val="16"/>
                <w:szCs w:val="16"/>
              </w:rPr>
              <w:t>有限责任</w:t>
            </w:r>
          </w:p>
        </w:tc>
        <w:tc>
          <w:tcPr>
            <w:tcW w:w="779" w:type="dxa"/>
            <w:tcBorders>
              <w:top w:val="nil" w:sz="6" w:space="0" w:color="auto"/>
              <w:left w:val="nil" w:sz="6" w:space="0" w:color="auto"/>
              <w:bottom w:val="nil" w:sz="6" w:space="0" w:color="auto"/>
              <w:right w:val="nil" w:sz="6" w:space="0" w:color="auto"/>
            </w:tcBorders>
          </w:tcPr>
          <w:p>
            <w:pPr/>
          </w:p>
        </w:tc>
        <w:tc>
          <w:tcPr>
            <w:tcW w:w="1083"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724" w:type="dxa"/>
            <w:gridSpan w:val="2"/>
            <w:tcBorders>
              <w:top w:val="nil" w:sz="6" w:space="0" w:color="auto"/>
              <w:left w:val="nil" w:sz="6" w:space="0" w:color="auto"/>
              <w:bottom w:val="nil" w:sz="6" w:space="0" w:color="auto"/>
              <w:right w:val="nil" w:sz="6" w:space="0" w:color="auto"/>
            </w:tcBorders>
          </w:tcPr>
          <w:p>
            <w:pPr/>
          </w:p>
        </w:tc>
        <w:tc>
          <w:tcPr>
            <w:tcW w:w="578" w:type="dxa"/>
            <w:tcBorders>
              <w:top w:val="nil" w:sz="6" w:space="0" w:color="auto"/>
              <w:left w:val="nil" w:sz="6" w:space="0" w:color="auto"/>
              <w:bottom w:val="nil" w:sz="6" w:space="0" w:color="auto"/>
              <w:right w:val="nil" w:sz="6" w:space="0" w:color="auto"/>
            </w:tcBorders>
          </w:tcPr>
          <w:p>
            <w:pPr/>
          </w:p>
        </w:tc>
        <w:tc>
          <w:tcPr>
            <w:tcW w:w="463" w:type="dxa"/>
            <w:tcBorders>
              <w:top w:val="nil" w:sz="6" w:space="0" w:color="auto"/>
              <w:left w:val="nil" w:sz="6" w:space="0" w:color="auto"/>
              <w:bottom w:val="nil" w:sz="6" w:space="0" w:color="auto"/>
              <w:right w:val="nil" w:sz="6" w:space="0" w:color="auto"/>
            </w:tcBorders>
          </w:tcPr>
          <w:p>
            <w:pPr/>
          </w:p>
        </w:tc>
        <w:tc>
          <w:tcPr>
            <w:tcW w:w="2277" w:type="dxa"/>
            <w:gridSpan w:val="3"/>
            <w:tcBorders>
              <w:top w:val="nil" w:sz="6" w:space="0" w:color="auto"/>
              <w:left w:val="nil" w:sz="6" w:space="0" w:color="auto"/>
              <w:bottom w:val="nil" w:sz="6" w:space="0" w:color="auto"/>
              <w:right w:val="nil" w:sz="6" w:space="0" w:color="auto"/>
            </w:tcBorders>
          </w:tcPr>
          <w:p>
            <w:pPr/>
          </w:p>
        </w:tc>
      </w:tr>
      <w:tr>
        <w:trPr>
          <w:trHeight w:val="299" w:hRule="exact"/>
        </w:trPr>
        <w:tc>
          <w:tcPr>
            <w:tcW w:w="2061" w:type="dxa"/>
            <w:tcBorders>
              <w:top w:val="nil" w:sz="6" w:space="0" w:color="auto"/>
              <w:left w:val="nil" w:sz="6" w:space="0" w:color="auto"/>
              <w:bottom w:val="nil" w:sz="6" w:space="0" w:color="auto"/>
              <w:right w:val="nil" w:sz="6" w:space="0" w:color="auto"/>
            </w:tcBorders>
          </w:tcPr>
          <w:p>
            <w:pPr>
              <w:pStyle w:val="TableParagraph"/>
              <w:spacing w:line="180" w:lineRule="exact"/>
              <w:ind w:left="520" w:right="0"/>
              <w:jc w:val="left"/>
              <w:rPr>
                <w:rFonts w:ascii="宋体" w:hAnsi="宋体" w:cs="宋体" w:eastAsia="宋体" w:hint="default"/>
                <w:sz w:val="16"/>
                <w:szCs w:val="16"/>
              </w:rPr>
            </w:pPr>
            <w:r>
              <w:rPr>
                <w:rFonts w:ascii="宋体" w:hAnsi="宋体" w:cs="宋体" w:eastAsia="宋体" w:hint="default"/>
                <w:sz w:val="16"/>
                <w:szCs w:val="16"/>
              </w:rPr>
              <w:t>（“联通兴业”）</w:t>
            </w:r>
          </w:p>
        </w:tc>
        <w:tc>
          <w:tcPr>
            <w:tcW w:w="395"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8" w:right="0"/>
              <w:jc w:val="left"/>
              <w:rPr>
                <w:rFonts w:ascii="Arial" w:hAnsi="Arial" w:cs="Arial" w:eastAsia="Arial" w:hint="default"/>
                <w:sz w:val="16"/>
                <w:szCs w:val="16"/>
              </w:rPr>
            </w:pPr>
            <w:r>
              <w:rPr>
                <w:rFonts w:ascii="Arial"/>
                <w:sz w:val="16"/>
              </w:rPr>
              <w:t>(4)</w:t>
            </w:r>
          </w:p>
        </w:tc>
        <w:tc>
          <w:tcPr>
            <w:tcW w:w="599" w:type="dxa"/>
            <w:tcBorders>
              <w:top w:val="nil" w:sz="6" w:space="0" w:color="auto"/>
              <w:left w:val="nil" w:sz="6" w:space="0" w:color="auto"/>
              <w:bottom w:val="nil" w:sz="6" w:space="0" w:color="auto"/>
              <w:right w:val="nil" w:sz="6" w:space="0" w:color="auto"/>
            </w:tcBorders>
          </w:tcPr>
          <w:p>
            <w:pPr>
              <w:pStyle w:val="TableParagraph"/>
              <w:spacing w:line="180" w:lineRule="exact"/>
              <w:ind w:left="142" w:right="0"/>
              <w:jc w:val="left"/>
              <w:rPr>
                <w:rFonts w:ascii="宋体" w:hAnsi="宋体" w:cs="宋体" w:eastAsia="宋体" w:hint="default"/>
                <w:sz w:val="16"/>
                <w:szCs w:val="16"/>
              </w:rPr>
            </w:pPr>
            <w:r>
              <w:rPr>
                <w:rFonts w:ascii="宋体" w:hAnsi="宋体" w:cs="宋体" w:eastAsia="宋体" w:hint="default"/>
                <w:sz w:val="16"/>
                <w:szCs w:val="16"/>
              </w:rPr>
              <w:t>控股</w:t>
            </w:r>
          </w:p>
        </w:tc>
        <w:tc>
          <w:tcPr>
            <w:tcW w:w="1177" w:type="dxa"/>
            <w:tcBorders>
              <w:top w:val="nil" w:sz="6" w:space="0" w:color="auto"/>
              <w:left w:val="nil" w:sz="6" w:space="0" w:color="auto"/>
              <w:bottom w:val="nil" w:sz="6" w:space="0" w:color="auto"/>
              <w:right w:val="nil" w:sz="6" w:space="0" w:color="auto"/>
            </w:tcBorders>
          </w:tcPr>
          <w:p>
            <w:pPr>
              <w:pStyle w:val="TableParagraph"/>
              <w:spacing w:line="192" w:lineRule="exact"/>
              <w:ind w:left="58" w:right="0"/>
              <w:jc w:val="center"/>
              <w:rPr>
                <w:rFonts w:ascii="宋体" w:hAnsi="宋体" w:cs="宋体" w:eastAsia="宋体" w:hint="default"/>
                <w:sz w:val="16"/>
                <w:szCs w:val="16"/>
              </w:rPr>
            </w:pPr>
            <w:r>
              <w:rPr>
                <w:rFonts w:ascii="Arial" w:hAnsi="Arial" w:cs="Arial" w:eastAsia="Arial" w:hint="default"/>
                <w:sz w:val="16"/>
                <w:szCs w:val="16"/>
              </w:rPr>
              <w:t>10</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30</w:t>
            </w:r>
            <w:r>
              <w:rPr>
                <w:rFonts w:ascii="Arial" w:hAnsi="Arial" w:cs="Arial" w:eastAsia="Arial" w:hint="default"/>
                <w:spacing w:val="-6"/>
                <w:sz w:val="16"/>
                <w:szCs w:val="16"/>
              </w:rPr>
              <w:t> </w:t>
            </w:r>
            <w:r>
              <w:rPr>
                <w:rFonts w:ascii="宋体" w:hAnsi="宋体" w:cs="宋体" w:eastAsia="宋体" w:hint="default"/>
                <w:sz w:val="16"/>
                <w:szCs w:val="16"/>
              </w:rPr>
              <w:t>日</w:t>
            </w:r>
          </w:p>
        </w:tc>
        <w:tc>
          <w:tcPr>
            <w:tcW w:w="637" w:type="dxa"/>
            <w:tcBorders>
              <w:top w:val="nil" w:sz="6" w:space="0" w:color="auto"/>
              <w:left w:val="nil" w:sz="6" w:space="0" w:color="auto"/>
              <w:bottom w:val="nil" w:sz="6" w:space="0" w:color="auto"/>
              <w:right w:val="nil" w:sz="6" w:space="0" w:color="auto"/>
            </w:tcBorders>
          </w:tcPr>
          <w:p>
            <w:pPr>
              <w:pStyle w:val="TableParagraph"/>
              <w:spacing w:line="180" w:lineRule="exact"/>
              <w:ind w:left="4" w:right="0"/>
              <w:jc w:val="center"/>
              <w:rPr>
                <w:rFonts w:ascii="宋体" w:hAnsi="宋体" w:cs="宋体" w:eastAsia="宋体" w:hint="default"/>
                <w:sz w:val="16"/>
                <w:szCs w:val="16"/>
              </w:rPr>
            </w:pPr>
            <w:r>
              <w:rPr>
                <w:rFonts w:ascii="宋体" w:hAnsi="宋体" w:cs="宋体" w:eastAsia="宋体" w:hint="default"/>
                <w:sz w:val="16"/>
                <w:szCs w:val="16"/>
              </w:rPr>
              <w:t>件销售</w:t>
            </w:r>
          </w:p>
        </w:tc>
        <w:tc>
          <w:tcPr>
            <w:tcW w:w="113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8"/>
              <w:ind w:left="525" w:right="0"/>
              <w:jc w:val="left"/>
              <w:rPr>
                <w:rFonts w:ascii="Arial" w:hAnsi="Arial" w:cs="Arial" w:eastAsia="Arial" w:hint="default"/>
                <w:sz w:val="16"/>
                <w:szCs w:val="16"/>
              </w:rPr>
            </w:pPr>
            <w:r>
              <w:rPr>
                <w:rFonts w:ascii="Arial"/>
                <w:sz w:val="16"/>
              </w:rPr>
              <w:t>30,000</w:t>
            </w:r>
          </w:p>
        </w:tc>
        <w:tc>
          <w:tcPr>
            <w:tcW w:w="808" w:type="dxa"/>
            <w:tcBorders>
              <w:top w:val="nil" w:sz="6" w:space="0" w:color="auto"/>
              <w:left w:val="nil" w:sz="6" w:space="0" w:color="auto"/>
              <w:bottom w:val="nil" w:sz="6" w:space="0" w:color="auto"/>
              <w:right w:val="nil" w:sz="6" w:space="0" w:color="auto"/>
            </w:tcBorders>
          </w:tcPr>
          <w:p>
            <w:pPr>
              <w:pStyle w:val="TableParagraph"/>
              <w:spacing w:line="180" w:lineRule="exact"/>
              <w:ind w:left="66" w:right="0"/>
              <w:jc w:val="center"/>
              <w:rPr>
                <w:rFonts w:ascii="宋体" w:hAnsi="宋体" w:cs="宋体" w:eastAsia="宋体" w:hint="default"/>
                <w:sz w:val="16"/>
                <w:szCs w:val="16"/>
              </w:rPr>
            </w:pPr>
            <w:r>
              <w:rPr>
                <w:rFonts w:ascii="宋体" w:hAnsi="宋体" w:cs="宋体" w:eastAsia="宋体" w:hint="default"/>
                <w:sz w:val="16"/>
                <w:szCs w:val="16"/>
              </w:rPr>
              <w:t>销售</w:t>
            </w:r>
          </w:p>
        </w:tc>
        <w:tc>
          <w:tcPr>
            <w:tcW w:w="789" w:type="dxa"/>
            <w:tcBorders>
              <w:top w:val="nil" w:sz="6" w:space="0" w:color="auto"/>
              <w:left w:val="nil" w:sz="6" w:space="0" w:color="auto"/>
              <w:bottom w:val="nil" w:sz="6" w:space="0" w:color="auto"/>
              <w:right w:val="nil" w:sz="6" w:space="0" w:color="auto"/>
            </w:tcBorders>
          </w:tcPr>
          <w:p>
            <w:pPr>
              <w:pStyle w:val="TableParagraph"/>
              <w:spacing w:line="180" w:lineRule="exact"/>
              <w:ind w:right="45"/>
              <w:jc w:val="center"/>
              <w:rPr>
                <w:rFonts w:ascii="宋体" w:hAnsi="宋体" w:cs="宋体" w:eastAsia="宋体" w:hint="default"/>
                <w:sz w:val="16"/>
                <w:szCs w:val="16"/>
              </w:rPr>
            </w:pPr>
            <w:r>
              <w:rPr>
                <w:rFonts w:ascii="宋体" w:hAnsi="宋体" w:cs="宋体" w:eastAsia="宋体" w:hint="default"/>
                <w:sz w:val="16"/>
                <w:szCs w:val="16"/>
              </w:rPr>
              <w:t>公司</w:t>
            </w:r>
          </w:p>
        </w:tc>
        <w:tc>
          <w:tcPr>
            <w:tcW w:w="779" w:type="dxa"/>
            <w:tcBorders>
              <w:top w:val="nil" w:sz="6" w:space="0" w:color="auto"/>
              <w:left w:val="nil" w:sz="6" w:space="0" w:color="auto"/>
              <w:bottom w:val="nil" w:sz="6" w:space="0" w:color="auto"/>
              <w:right w:val="nil" w:sz="6" w:space="0" w:color="auto"/>
            </w:tcBorders>
          </w:tcPr>
          <w:p>
            <w:pPr>
              <w:pStyle w:val="TableParagraph"/>
              <w:spacing w:line="180" w:lineRule="exact"/>
              <w:ind w:right="6"/>
              <w:jc w:val="center"/>
              <w:rPr>
                <w:rFonts w:ascii="宋体" w:hAnsi="宋体" w:cs="宋体" w:eastAsia="宋体" w:hint="default"/>
                <w:sz w:val="16"/>
                <w:szCs w:val="16"/>
              </w:rPr>
            </w:pPr>
            <w:r>
              <w:rPr>
                <w:rFonts w:ascii="宋体" w:hAnsi="宋体" w:cs="宋体" w:eastAsia="宋体" w:hint="default"/>
                <w:sz w:val="16"/>
                <w:szCs w:val="16"/>
              </w:rPr>
              <w:t>李广群</w:t>
            </w: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73" w:right="0"/>
              <w:jc w:val="left"/>
              <w:rPr>
                <w:rFonts w:ascii="Arial" w:hAnsi="Arial" w:cs="Arial" w:eastAsia="Arial" w:hint="default"/>
                <w:sz w:val="16"/>
                <w:szCs w:val="16"/>
              </w:rPr>
            </w:pPr>
            <w:r>
              <w:rPr>
                <w:rFonts w:ascii="Arial"/>
                <w:sz w:val="16"/>
              </w:rPr>
              <w:t>710927345</w:t>
            </w:r>
          </w:p>
        </w:tc>
        <w:tc>
          <w:tcPr>
            <w:tcW w:w="1229" w:type="dxa"/>
            <w:tcBorders>
              <w:top w:val="nil" w:sz="6" w:space="0" w:color="auto"/>
              <w:left w:val="nil" w:sz="6" w:space="0" w:color="auto"/>
              <w:bottom w:val="nil" w:sz="6" w:space="0" w:color="auto"/>
              <w:right w:val="nil" w:sz="6" w:space="0" w:color="auto"/>
            </w:tcBorders>
          </w:tcPr>
          <w:p>
            <w:pPr>
              <w:pStyle w:val="TableParagraph"/>
              <w:spacing w:line="192" w:lineRule="exact"/>
              <w:ind w:right="196"/>
              <w:jc w:val="right"/>
              <w:rPr>
                <w:rFonts w:ascii="Arial" w:hAnsi="Arial" w:cs="Arial" w:eastAsia="Arial" w:hint="default"/>
                <w:sz w:val="16"/>
                <w:szCs w:val="16"/>
              </w:rPr>
            </w:pPr>
            <w:r>
              <w:rPr>
                <w:rFonts w:ascii="Arial" w:hAnsi="Arial" w:cs="Arial" w:eastAsia="Arial" w:hint="default"/>
                <w:sz w:val="16"/>
                <w:szCs w:val="16"/>
              </w:rPr>
              <w:t>(</w:t>
            </w:r>
            <w:r>
              <w:rPr>
                <w:rFonts w:ascii="宋体" w:hAnsi="宋体" w:cs="宋体" w:eastAsia="宋体" w:hint="default"/>
                <w:sz w:val="16"/>
                <w:szCs w:val="16"/>
              </w:rPr>
              <w:t>注</w:t>
            </w:r>
            <w:r>
              <w:rPr>
                <w:rFonts w:ascii="宋体" w:hAnsi="宋体" w:cs="宋体" w:eastAsia="宋体" w:hint="default"/>
                <w:spacing w:val="-41"/>
                <w:sz w:val="16"/>
                <w:szCs w:val="16"/>
              </w:rPr>
              <w:t> </w:t>
            </w:r>
            <w:r>
              <w:rPr>
                <w:rFonts w:ascii="Arial" w:hAnsi="Arial" w:cs="Arial" w:eastAsia="Arial" w:hint="default"/>
                <w:sz w:val="16"/>
                <w:szCs w:val="16"/>
              </w:rPr>
              <w:t>2)</w:t>
            </w:r>
          </w:p>
        </w:tc>
        <w:tc>
          <w:tcPr>
            <w:tcW w:w="172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8"/>
              <w:ind w:left="984" w:right="0"/>
              <w:jc w:val="left"/>
              <w:rPr>
                <w:rFonts w:ascii="Arial" w:hAnsi="Arial" w:cs="Arial" w:eastAsia="Arial" w:hint="default"/>
                <w:sz w:val="16"/>
                <w:szCs w:val="16"/>
              </w:rPr>
            </w:pPr>
            <w:r>
              <w:rPr>
                <w:rFonts w:ascii="Arial"/>
                <w:sz w:val="16"/>
              </w:rPr>
              <w:t>-    -</w:t>
            </w:r>
            <w:r>
              <w:rPr>
                <w:rFonts w:ascii="Arial"/>
                <w:spacing w:val="-37"/>
                <w:sz w:val="16"/>
              </w:rPr>
              <w:t> </w:t>
            </w:r>
            <w:r>
              <w:rPr>
                <w:rFonts w:ascii="Arial"/>
                <w:sz w:val="16"/>
              </w:rPr>
              <w:t>33.88</w:t>
            </w:r>
          </w:p>
        </w:tc>
        <w:tc>
          <w:tcPr>
            <w:tcW w:w="57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9"/>
              <w:jc w:val="right"/>
              <w:rPr>
                <w:rFonts w:ascii="Arial" w:hAnsi="Arial" w:cs="Arial" w:eastAsia="Arial" w:hint="default"/>
                <w:sz w:val="16"/>
                <w:szCs w:val="16"/>
              </w:rPr>
            </w:pPr>
            <w:r>
              <w:rPr>
                <w:rFonts w:ascii="Arial"/>
                <w:w w:val="95"/>
                <w:sz w:val="16"/>
              </w:rPr>
              <w:t>58.30</w:t>
            </w:r>
            <w:r>
              <w:rPr>
                <w:rFonts w:ascii="Arial"/>
                <w:sz w:val="16"/>
              </w:rPr>
            </w:r>
          </w:p>
        </w:tc>
        <w:tc>
          <w:tcPr>
            <w:tcW w:w="463" w:type="dxa"/>
            <w:tcBorders>
              <w:top w:val="nil" w:sz="6" w:space="0" w:color="auto"/>
              <w:left w:val="nil" w:sz="6" w:space="0" w:color="auto"/>
              <w:bottom w:val="nil" w:sz="6" w:space="0" w:color="auto"/>
              <w:right w:val="nil" w:sz="6" w:space="0" w:color="auto"/>
            </w:tcBorders>
          </w:tcPr>
          <w:p>
            <w:pPr>
              <w:pStyle w:val="TableParagraph"/>
              <w:spacing w:line="179" w:lineRule="exact"/>
              <w:ind w:right="38"/>
              <w:jc w:val="center"/>
              <w:rPr>
                <w:rFonts w:ascii="宋体" w:hAnsi="宋体" w:cs="宋体" w:eastAsia="宋体" w:hint="default"/>
                <w:sz w:val="16"/>
                <w:szCs w:val="16"/>
              </w:rPr>
            </w:pPr>
            <w:r>
              <w:rPr>
                <w:rFonts w:ascii="宋体" w:hAnsi="宋体" w:cs="宋体" w:eastAsia="宋体" w:hint="default"/>
                <w:w w:val="99"/>
                <w:sz w:val="16"/>
                <w:szCs w:val="16"/>
              </w:rPr>
              <w:t>是</w:t>
            </w:r>
            <w:r>
              <w:rPr>
                <w:rFonts w:ascii="宋体" w:hAnsi="宋体" w:cs="宋体" w:eastAsia="宋体" w:hint="default"/>
                <w:sz w:val="16"/>
                <w:szCs w:val="16"/>
              </w:rPr>
            </w:r>
          </w:p>
        </w:tc>
        <w:tc>
          <w:tcPr>
            <w:tcW w:w="2277" w:type="dxa"/>
            <w:gridSpan w:val="3"/>
            <w:tcBorders>
              <w:top w:val="nil" w:sz="6" w:space="0" w:color="auto"/>
              <w:left w:val="nil" w:sz="6" w:space="0" w:color="auto"/>
              <w:bottom w:val="nil" w:sz="6" w:space="0" w:color="auto"/>
              <w:right w:val="nil" w:sz="6" w:space="0" w:color="auto"/>
            </w:tcBorders>
          </w:tcPr>
          <w:p>
            <w:pPr>
              <w:pStyle w:val="TableParagraph"/>
              <w:tabs>
                <w:tab w:pos="1197" w:val="left" w:leader="none"/>
                <w:tab w:pos="1856" w:val="left" w:leader="none"/>
              </w:tabs>
              <w:spacing w:line="240" w:lineRule="auto" w:before="17"/>
              <w:ind w:left="338" w:right="0"/>
              <w:jc w:val="left"/>
              <w:rPr>
                <w:rFonts w:ascii="Arial" w:hAnsi="Arial" w:cs="Arial" w:eastAsia="Arial" w:hint="default"/>
                <w:sz w:val="16"/>
                <w:szCs w:val="16"/>
              </w:rPr>
            </w:pPr>
            <w:r>
              <w:rPr>
                <w:rFonts w:ascii="Arial"/>
                <w:w w:val="95"/>
                <w:sz w:val="16"/>
              </w:rPr>
              <w:t>-</w:t>
              <w:tab/>
              <w:t>-</w:t>
              <w:tab/>
            </w:r>
            <w:r>
              <w:rPr>
                <w:rFonts w:ascii="Arial"/>
                <w:sz w:val="16"/>
              </w:rPr>
              <w:t>-</w:t>
            </w:r>
          </w:p>
        </w:tc>
      </w:tr>
    </w:tbl>
    <w:p>
      <w:pPr>
        <w:spacing w:line="240" w:lineRule="auto" w:before="3"/>
        <w:rPr>
          <w:rFonts w:ascii="宋体" w:hAnsi="宋体" w:cs="宋体" w:eastAsia="宋体" w:hint="default"/>
          <w:sz w:val="6"/>
          <w:szCs w:val="6"/>
        </w:rPr>
      </w:pPr>
    </w:p>
    <w:p>
      <w:pPr>
        <w:spacing w:line="214" w:lineRule="exact" w:before="50"/>
        <w:ind w:left="630" w:right="0" w:firstLine="0"/>
        <w:jc w:val="left"/>
        <w:rPr>
          <w:rFonts w:ascii="宋体" w:hAnsi="宋体" w:cs="宋体" w:eastAsia="宋体" w:hint="default"/>
          <w:sz w:val="16"/>
          <w:szCs w:val="16"/>
        </w:rPr>
      </w:pPr>
      <w:r>
        <w:rPr>
          <w:rFonts w:ascii="宋体" w:hAnsi="宋体" w:cs="宋体" w:eastAsia="宋体" w:hint="default"/>
          <w:sz w:val="16"/>
          <w:szCs w:val="16"/>
        </w:rPr>
        <w:t>注</w:t>
      </w:r>
      <w:r>
        <w:rPr>
          <w:rFonts w:ascii="宋体" w:hAnsi="宋体" w:cs="宋体" w:eastAsia="宋体" w:hint="default"/>
          <w:spacing w:val="-2"/>
          <w:sz w:val="16"/>
          <w:szCs w:val="16"/>
        </w:rPr>
        <w:t> </w:t>
      </w:r>
      <w:r>
        <w:rPr>
          <w:rFonts w:ascii="Arial" w:hAnsi="Arial" w:cs="Arial" w:eastAsia="Arial" w:hint="default"/>
          <w:sz w:val="16"/>
          <w:szCs w:val="16"/>
        </w:rPr>
        <w:t>1</w:t>
      </w:r>
      <w:r>
        <w:rPr>
          <w:rFonts w:ascii="宋体" w:hAnsi="宋体" w:cs="宋体" w:eastAsia="宋体" w:hint="default"/>
          <w:sz w:val="16"/>
          <w:szCs w:val="16"/>
        </w:rPr>
        <w:t>：少数股东权益项目</w:t>
      </w:r>
      <w:r>
        <w:rPr>
          <w:rFonts w:ascii="宋体" w:hAnsi="宋体" w:cs="宋体" w:eastAsia="宋体" w:hint="default"/>
          <w:spacing w:val="-42"/>
          <w:sz w:val="16"/>
          <w:szCs w:val="16"/>
        </w:rPr>
        <w:t> </w:t>
      </w:r>
      <w:r>
        <w:rPr>
          <w:rFonts w:ascii="Arial" w:hAnsi="Arial" w:cs="Arial" w:eastAsia="Arial" w:hint="default"/>
          <w:sz w:val="16"/>
          <w:szCs w:val="16"/>
        </w:rPr>
        <w:t>1</w:t>
      </w:r>
      <w:r>
        <w:rPr>
          <w:rFonts w:ascii="Arial" w:hAnsi="Arial" w:cs="Arial" w:eastAsia="Arial" w:hint="default"/>
          <w:spacing w:val="-6"/>
          <w:sz w:val="16"/>
          <w:szCs w:val="16"/>
        </w:rPr>
        <w:t> </w:t>
      </w:r>
      <w:r>
        <w:rPr>
          <w:rFonts w:ascii="宋体" w:hAnsi="宋体" w:cs="宋体" w:eastAsia="宋体" w:hint="default"/>
          <w:sz w:val="16"/>
          <w:szCs w:val="16"/>
        </w:rPr>
        <w:t>指“少数股东权益中用于冲减少数股东损益的金额”。</w:t>
      </w:r>
    </w:p>
    <w:p>
      <w:pPr>
        <w:spacing w:line="214" w:lineRule="exact" w:before="0"/>
        <w:ind w:left="1148" w:right="0" w:firstLine="0"/>
        <w:jc w:val="left"/>
        <w:rPr>
          <w:rFonts w:ascii="宋体" w:hAnsi="宋体" w:cs="宋体" w:eastAsia="宋体" w:hint="default"/>
          <w:sz w:val="16"/>
          <w:szCs w:val="16"/>
        </w:rPr>
      </w:pPr>
      <w:r>
        <w:rPr>
          <w:rFonts w:ascii="宋体" w:hAnsi="宋体" w:cs="宋体" w:eastAsia="宋体" w:hint="default"/>
          <w:sz w:val="16"/>
          <w:szCs w:val="16"/>
        </w:rPr>
        <w:t>少数股东权益项目</w:t>
      </w:r>
      <w:r>
        <w:rPr>
          <w:rFonts w:ascii="宋体" w:hAnsi="宋体" w:cs="宋体" w:eastAsia="宋体" w:hint="default"/>
          <w:spacing w:val="-45"/>
          <w:sz w:val="16"/>
          <w:szCs w:val="16"/>
        </w:rPr>
        <w:t> </w:t>
      </w:r>
      <w:r>
        <w:rPr>
          <w:rFonts w:ascii="Arial" w:hAnsi="Arial" w:cs="Arial" w:eastAsia="Arial" w:hint="default"/>
          <w:sz w:val="16"/>
          <w:szCs w:val="16"/>
        </w:rPr>
        <w:t>2</w:t>
      </w:r>
      <w:r>
        <w:rPr>
          <w:rFonts w:ascii="Arial" w:hAnsi="Arial" w:cs="Arial" w:eastAsia="Arial" w:hint="default"/>
          <w:spacing w:val="-9"/>
          <w:sz w:val="16"/>
          <w:szCs w:val="16"/>
        </w:rPr>
        <w:t> </w:t>
      </w:r>
      <w:r>
        <w:rPr>
          <w:rFonts w:ascii="宋体" w:hAnsi="宋体" w:cs="宋体" w:eastAsia="宋体" w:hint="default"/>
          <w:sz w:val="16"/>
          <w:szCs w:val="16"/>
        </w:rPr>
        <w:t>指“从母公司所有者权益冲减子公司少数股东分担的本年亏损超过少数股东在该子公司年初所有者权益中所享有份额后的余额”。</w:t>
      </w:r>
    </w:p>
    <w:p>
      <w:pPr>
        <w:spacing w:line="240" w:lineRule="auto" w:before="4"/>
        <w:rPr>
          <w:rFonts w:ascii="宋体" w:hAnsi="宋体" w:cs="宋体" w:eastAsia="宋体" w:hint="default"/>
          <w:sz w:val="18"/>
          <w:szCs w:val="18"/>
        </w:rPr>
      </w:pPr>
    </w:p>
    <w:p>
      <w:pPr>
        <w:spacing w:line="214" w:lineRule="exact" w:before="0"/>
        <w:ind w:left="615" w:right="0" w:firstLine="0"/>
        <w:jc w:val="left"/>
        <w:rPr>
          <w:rFonts w:ascii="Arial" w:hAnsi="Arial" w:cs="Arial" w:eastAsia="Arial" w:hint="default"/>
          <w:sz w:val="16"/>
          <w:szCs w:val="16"/>
        </w:rPr>
      </w:pPr>
      <w:r>
        <w:rPr>
          <w:rFonts w:ascii="宋体" w:hAnsi="宋体" w:cs="宋体" w:eastAsia="宋体" w:hint="default"/>
          <w:sz w:val="16"/>
          <w:szCs w:val="16"/>
        </w:rPr>
        <w:t>注</w:t>
      </w:r>
      <w:r>
        <w:rPr>
          <w:rFonts w:ascii="宋体" w:hAnsi="宋体" w:cs="宋体" w:eastAsia="宋体" w:hint="default"/>
          <w:spacing w:val="-8"/>
          <w:sz w:val="16"/>
          <w:szCs w:val="16"/>
        </w:rPr>
        <w:t> </w:t>
      </w:r>
      <w:r>
        <w:rPr>
          <w:rFonts w:ascii="Arial" w:hAnsi="Arial" w:cs="Arial" w:eastAsia="Arial" w:hint="default"/>
          <w:sz w:val="16"/>
          <w:szCs w:val="16"/>
        </w:rPr>
        <w:t>2</w:t>
      </w:r>
      <w:r>
        <w:rPr>
          <w:rFonts w:ascii="宋体" w:hAnsi="宋体" w:cs="宋体" w:eastAsia="宋体" w:hint="default"/>
          <w:sz w:val="16"/>
          <w:szCs w:val="16"/>
        </w:rPr>
        <w:t>：</w:t>
      </w:r>
      <w:r>
        <w:rPr>
          <w:rFonts w:ascii="宋体" w:hAnsi="宋体" w:cs="宋体" w:eastAsia="宋体" w:hint="default"/>
          <w:spacing w:val="-16"/>
          <w:sz w:val="16"/>
          <w:szCs w:val="16"/>
        </w:rPr>
        <w:t> </w:t>
      </w:r>
      <w:r>
        <w:rPr>
          <w:rFonts w:ascii="宋体" w:hAnsi="宋体" w:cs="宋体" w:eastAsia="宋体" w:hint="default"/>
          <w:sz w:val="16"/>
          <w:szCs w:val="16"/>
        </w:rPr>
        <w:t>如附注四</w:t>
      </w:r>
      <w:r>
        <w:rPr>
          <w:rFonts w:ascii="Arial" w:hAnsi="Arial" w:cs="Arial" w:eastAsia="Arial" w:hint="default"/>
          <w:sz w:val="16"/>
          <w:szCs w:val="16"/>
        </w:rPr>
        <w:t>(3)(a)</w:t>
      </w:r>
      <w:r>
        <w:rPr>
          <w:rFonts w:ascii="宋体" w:hAnsi="宋体" w:cs="宋体" w:eastAsia="宋体" w:hint="default"/>
          <w:sz w:val="16"/>
          <w:szCs w:val="16"/>
        </w:rPr>
        <w:t>所述，联通运营公司于</w:t>
      </w:r>
      <w:r>
        <w:rPr>
          <w:rFonts w:ascii="宋体" w:hAnsi="宋体" w:cs="宋体" w:eastAsia="宋体" w:hint="default"/>
          <w:spacing w:val="-45"/>
          <w:sz w:val="16"/>
          <w:szCs w:val="16"/>
        </w:rPr>
        <w:t> </w:t>
      </w:r>
      <w:r>
        <w:rPr>
          <w:rFonts w:ascii="Arial" w:hAnsi="Arial" w:cs="Arial" w:eastAsia="Arial" w:hint="default"/>
          <w:sz w:val="16"/>
          <w:szCs w:val="16"/>
        </w:rPr>
        <w:t>2009</w:t>
      </w:r>
      <w:r>
        <w:rPr>
          <w:rFonts w:ascii="Arial" w:hAnsi="Arial" w:cs="Arial" w:eastAsia="Arial" w:hint="default"/>
          <w:spacing w:val="-8"/>
          <w:sz w:val="16"/>
          <w:szCs w:val="16"/>
        </w:rPr>
        <w:t> </w:t>
      </w:r>
      <w:r>
        <w:rPr>
          <w:rFonts w:ascii="宋体" w:hAnsi="宋体" w:cs="宋体" w:eastAsia="宋体" w:hint="default"/>
          <w:sz w:val="16"/>
          <w:szCs w:val="16"/>
        </w:rPr>
        <w:t>年</w:t>
      </w:r>
      <w:r>
        <w:rPr>
          <w:rFonts w:ascii="宋体" w:hAnsi="宋体" w:cs="宋体" w:eastAsia="宋体" w:hint="default"/>
          <w:spacing w:val="-45"/>
          <w:sz w:val="16"/>
          <w:szCs w:val="16"/>
        </w:rPr>
        <w:t> </w:t>
      </w:r>
      <w:r>
        <w:rPr>
          <w:rFonts w:ascii="Arial" w:hAnsi="Arial" w:cs="Arial" w:eastAsia="Arial" w:hint="default"/>
          <w:sz w:val="16"/>
          <w:szCs w:val="16"/>
        </w:rPr>
        <w:t>1</w:t>
      </w:r>
      <w:r>
        <w:rPr>
          <w:rFonts w:ascii="Arial" w:hAnsi="Arial" w:cs="Arial" w:eastAsia="Arial" w:hint="default"/>
          <w:spacing w:val="-8"/>
          <w:sz w:val="16"/>
          <w:szCs w:val="16"/>
        </w:rPr>
        <w:t> </w:t>
      </w:r>
      <w:r>
        <w:rPr>
          <w:rFonts w:ascii="宋体" w:hAnsi="宋体" w:cs="宋体" w:eastAsia="宋体" w:hint="default"/>
          <w:sz w:val="16"/>
          <w:szCs w:val="16"/>
        </w:rPr>
        <w:t>月完成对目标业务的同一控制下的企业合并，目标业务中包括中讯设计院、联通新国信和联通兴业的全部股权，此收购的总对价调整后约为人民币</w:t>
      </w:r>
      <w:r>
        <w:rPr>
          <w:rFonts w:ascii="宋体" w:hAnsi="宋体" w:cs="宋体" w:eastAsia="宋体" w:hint="default"/>
          <w:spacing w:val="-45"/>
          <w:sz w:val="16"/>
          <w:szCs w:val="16"/>
        </w:rPr>
        <w:t> </w:t>
      </w:r>
      <w:r>
        <w:rPr>
          <w:rFonts w:ascii="Arial" w:hAnsi="Arial" w:cs="Arial" w:eastAsia="Arial" w:hint="default"/>
          <w:sz w:val="16"/>
          <w:szCs w:val="16"/>
        </w:rPr>
        <w:t>38.95</w:t>
      </w:r>
    </w:p>
    <w:p>
      <w:pPr>
        <w:spacing w:line="202" w:lineRule="exact" w:before="0"/>
        <w:ind w:left="1176" w:right="0" w:firstLine="0"/>
        <w:jc w:val="left"/>
        <w:rPr>
          <w:rFonts w:ascii="宋体" w:hAnsi="宋体" w:cs="宋体" w:eastAsia="宋体" w:hint="default"/>
          <w:sz w:val="16"/>
          <w:szCs w:val="16"/>
        </w:rPr>
      </w:pPr>
      <w:r>
        <w:rPr>
          <w:rFonts w:ascii="宋体" w:hAnsi="宋体" w:cs="宋体" w:eastAsia="宋体" w:hint="default"/>
          <w:sz w:val="16"/>
          <w:szCs w:val="16"/>
        </w:rPr>
        <w:t>亿元。</w:t>
      </w:r>
    </w:p>
    <w:p>
      <w:pPr>
        <w:spacing w:after="0" w:line="202" w:lineRule="exact"/>
        <w:jc w:val="left"/>
        <w:rPr>
          <w:rFonts w:ascii="宋体" w:hAnsi="宋体" w:cs="宋体" w:eastAsia="宋体" w:hint="default"/>
          <w:sz w:val="16"/>
          <w:szCs w:val="16"/>
        </w:rPr>
        <w:sectPr>
          <w:pgSz w:w="16840" w:h="11910" w:orient="landscape"/>
          <w:pgMar w:header="1189" w:footer="589" w:top="3080" w:bottom="780" w:left="440" w:right="440"/>
        </w:sectPr>
      </w:pPr>
    </w:p>
    <w:p>
      <w:pPr>
        <w:spacing w:line="240" w:lineRule="auto" w:before="5"/>
        <w:rPr>
          <w:rFonts w:ascii="宋体" w:hAnsi="宋体" w:cs="宋体" w:eastAsia="宋体" w:hint="default"/>
          <w:sz w:val="13"/>
          <w:szCs w:val="13"/>
        </w:rPr>
      </w:pPr>
    </w:p>
    <w:p>
      <w:pPr>
        <w:pStyle w:val="BodyText"/>
        <w:spacing w:line="286" w:lineRule="exact" w:before="60"/>
        <w:ind w:left="526" w:right="209" w:hanging="1"/>
        <w:jc w:val="both"/>
      </w:pPr>
      <w:r>
        <w:rPr/>
        <w:t>如附注一（</w:t>
      </w:r>
      <w:r>
        <w:rPr>
          <w:rFonts w:ascii="Arial" w:hAnsi="Arial" w:cs="Arial" w:eastAsia="Arial" w:hint="default"/>
        </w:rPr>
        <w:t>5</w:t>
      </w:r>
      <w:r>
        <w:rPr/>
        <w:t>）所述，联通集团已于</w:t>
      </w:r>
      <w:r>
        <w:rPr>
          <w:spacing w:val="-62"/>
        </w:rPr>
        <w:t> </w:t>
      </w:r>
      <w:r>
        <w:rPr>
          <w:rFonts w:ascii="Arial" w:hAnsi="Arial" w:cs="Arial" w:eastAsia="Arial" w:hint="default"/>
        </w:rPr>
        <w:t>2009</w:t>
      </w:r>
      <w:r>
        <w:rPr>
          <w:rFonts w:ascii="Arial" w:hAnsi="Arial" w:cs="Arial" w:eastAsia="Arial" w:hint="default"/>
          <w:spacing w:val="-14"/>
        </w:rPr>
        <w:t> </w:t>
      </w:r>
      <w:r>
        <w:rPr/>
        <w:t>年</w:t>
      </w:r>
      <w:r>
        <w:rPr>
          <w:spacing w:val="-63"/>
        </w:rPr>
        <w:t> </w:t>
      </w:r>
      <w:r>
        <w:rPr>
          <w:rFonts w:ascii="Arial" w:hAnsi="Arial" w:cs="Arial" w:eastAsia="Arial" w:hint="default"/>
        </w:rPr>
        <w:t>1</w:t>
      </w:r>
      <w:r>
        <w:rPr>
          <w:rFonts w:ascii="Arial" w:hAnsi="Arial" w:cs="Arial" w:eastAsia="Arial" w:hint="default"/>
          <w:spacing w:val="-14"/>
        </w:rPr>
        <w:t> </w:t>
      </w:r>
      <w:r>
        <w:rPr/>
        <w:t>月吸收合并了网通集团，因此联通集团被认为是</w:t>
      </w:r>
      <w:r>
        <w:rPr>
          <w:w w:val="99"/>
        </w:rPr>
        <w:t> </w:t>
      </w:r>
      <w:r>
        <w:rPr/>
        <w:t>本公司及上述所列各子公司的最终母公司。</w:t>
      </w:r>
    </w:p>
    <w:p>
      <w:pPr>
        <w:pStyle w:val="BodyText"/>
        <w:spacing w:line="240" w:lineRule="auto" w:before="177"/>
        <w:ind w:left="525" w:right="0"/>
        <w:jc w:val="both"/>
      </w:pPr>
      <w:r>
        <w:rPr/>
        <w:t>注释：</w:t>
      </w:r>
    </w:p>
    <w:p>
      <w:pPr>
        <w:spacing w:line="240" w:lineRule="auto" w:before="4"/>
        <w:rPr>
          <w:rFonts w:ascii="宋体" w:hAnsi="宋体" w:cs="宋体" w:eastAsia="宋体" w:hint="default"/>
          <w:sz w:val="16"/>
          <w:szCs w:val="16"/>
        </w:rPr>
      </w:pPr>
    </w:p>
    <w:p>
      <w:pPr>
        <w:pStyle w:val="BodyText"/>
        <w:spacing w:line="232" w:lineRule="auto"/>
        <w:ind w:left="525" w:right="206" w:hanging="420"/>
        <w:jc w:val="both"/>
      </w:pPr>
      <w:r>
        <w:rPr>
          <w:rFonts w:ascii="Arial" w:hAnsi="Arial" w:cs="Arial" w:eastAsia="Arial" w:hint="default"/>
        </w:rPr>
        <w:t>(1)</w:t>
      </w:r>
      <w:r>
        <w:rPr>
          <w:rFonts w:ascii="Arial" w:hAnsi="Arial" w:cs="Arial" w:eastAsia="Arial" w:hint="default"/>
          <w:spacing w:val="28"/>
        </w:rPr>
        <w:t> </w:t>
      </w:r>
      <w:r>
        <w:rPr/>
        <w:t>联通红筹公司是于</w:t>
      </w:r>
      <w:r>
        <w:rPr>
          <w:spacing w:val="-43"/>
        </w:rPr>
        <w:t> </w:t>
      </w:r>
      <w:r>
        <w:rPr>
          <w:rFonts w:ascii="Arial" w:hAnsi="Arial" w:cs="Arial" w:eastAsia="Arial" w:hint="default"/>
        </w:rPr>
        <w:t>2000</w:t>
      </w:r>
      <w:r>
        <w:rPr>
          <w:rFonts w:ascii="Arial" w:hAnsi="Arial" w:cs="Arial" w:eastAsia="Arial" w:hint="default"/>
          <w:spacing w:val="6"/>
        </w:rPr>
        <w:t> </w:t>
      </w:r>
      <w:r>
        <w:rPr/>
        <w:t>年</w:t>
      </w:r>
      <w:r>
        <w:rPr>
          <w:spacing w:val="-42"/>
        </w:rPr>
        <w:t> </w:t>
      </w:r>
      <w:r>
        <w:rPr>
          <w:rFonts w:ascii="Arial" w:hAnsi="Arial" w:cs="Arial" w:eastAsia="Arial" w:hint="default"/>
        </w:rPr>
        <w:t>2</w:t>
      </w:r>
      <w:r>
        <w:rPr>
          <w:rFonts w:ascii="Arial" w:hAnsi="Arial" w:cs="Arial" w:eastAsia="Arial" w:hint="default"/>
          <w:spacing w:val="6"/>
        </w:rPr>
        <w:t> </w:t>
      </w:r>
      <w:r>
        <w:rPr/>
        <w:t>月</w:t>
      </w:r>
      <w:r>
        <w:rPr>
          <w:spacing w:val="-42"/>
        </w:rPr>
        <w:t> </w:t>
      </w:r>
      <w:r>
        <w:rPr>
          <w:rFonts w:ascii="Arial" w:hAnsi="Arial" w:cs="Arial" w:eastAsia="Arial" w:hint="default"/>
        </w:rPr>
        <w:t>8</w:t>
      </w:r>
      <w:r>
        <w:rPr>
          <w:rFonts w:ascii="Arial" w:hAnsi="Arial" w:cs="Arial" w:eastAsia="Arial" w:hint="default"/>
          <w:spacing w:val="7"/>
        </w:rPr>
        <w:t> </w:t>
      </w:r>
      <w:r>
        <w:rPr/>
        <w:t>日在香港注册成立的有限责任公司，主营业务为投资控股，</w:t>
      </w:r>
      <w:r>
        <w:rPr>
          <w:w w:val="99"/>
        </w:rPr>
        <w:t> </w:t>
      </w:r>
      <w:r>
        <w:rPr/>
        <w:t>目前其通过在中国境内全资拥有的联通运营公司提供移动电话、本地固定电话、长途电话、数</w:t>
      </w:r>
      <w:r>
        <w:rPr>
          <w:spacing w:val="1"/>
          <w:w w:val="99"/>
        </w:rPr>
        <w:t> </w:t>
      </w:r>
      <w:r>
        <w:rPr/>
        <w:t>据和互联网及宽带等电信业务。联通红筹公司的股票分别在香港和纽约证券交易所上市。除联</w:t>
      </w:r>
      <w:r>
        <w:rPr>
          <w:spacing w:val="1"/>
          <w:w w:val="99"/>
        </w:rPr>
        <w:t> </w:t>
      </w:r>
      <w:r>
        <w:rPr/>
        <w:t>通运营公司外，联通红筹公司还于 </w:t>
      </w:r>
      <w:r>
        <w:rPr>
          <w:rFonts w:ascii="Arial" w:hAnsi="Arial" w:cs="Arial" w:eastAsia="Arial" w:hint="default"/>
        </w:rPr>
        <w:t>2004 </w:t>
      </w:r>
      <w:r>
        <w:rPr/>
        <w:t>年 </w:t>
      </w:r>
      <w:r>
        <w:rPr>
          <w:rFonts w:ascii="Arial" w:hAnsi="Arial" w:cs="Arial" w:eastAsia="Arial" w:hint="default"/>
        </w:rPr>
        <w:t>9</w:t>
      </w:r>
      <w:r>
        <w:rPr>
          <w:rFonts w:ascii="Arial" w:hAnsi="Arial" w:cs="Arial" w:eastAsia="Arial" w:hint="default"/>
          <w:spacing w:val="-30"/>
        </w:rPr>
        <w:t> </w:t>
      </w:r>
      <w:r>
        <w:rPr/>
        <w:t>月在同一控制下收购了联通集团在香港的子公司</w:t>
      </w:r>
    </w:p>
    <w:p>
      <w:pPr>
        <w:pStyle w:val="BodyText"/>
        <w:spacing w:line="277" w:lineRule="exact"/>
        <w:ind w:left="525" w:right="0"/>
        <w:jc w:val="both"/>
        <w:rPr>
          <w:rFonts w:ascii="Arial" w:hAnsi="Arial" w:cs="Arial" w:eastAsia="Arial" w:hint="default"/>
        </w:rPr>
      </w:pPr>
      <w:r>
        <w:rPr>
          <w:spacing w:val="-2"/>
        </w:rPr>
        <w:t>中国联通（香港）运营有限公司（“联通香港运营”，原名为联通国际通信有限公司，于</w:t>
      </w:r>
      <w:r>
        <w:rPr>
          <w:spacing w:val="-41"/>
        </w:rPr>
        <w:t> </w:t>
      </w:r>
      <w:r>
        <w:rPr>
          <w:rFonts w:ascii="Arial" w:hAnsi="Arial" w:cs="Arial" w:eastAsia="Arial" w:hint="default"/>
        </w:rPr>
        <w:t>2009</w:t>
      </w:r>
    </w:p>
    <w:p>
      <w:pPr>
        <w:pStyle w:val="BodyText"/>
        <w:spacing w:line="285" w:lineRule="exact"/>
        <w:ind w:left="525" w:right="0"/>
        <w:jc w:val="both"/>
      </w:pPr>
      <w:r>
        <w:rPr>
          <w:w w:val="99"/>
        </w:rPr>
        <w:t>年</w:t>
      </w:r>
      <w:r>
        <w:rPr>
          <w:spacing w:val="-55"/>
        </w:rPr>
        <w:t> </w:t>
      </w:r>
      <w:r>
        <w:rPr>
          <w:rFonts w:ascii="Arial" w:hAnsi="Arial" w:cs="Arial" w:eastAsia="Arial" w:hint="default"/>
          <w:w w:val="99"/>
        </w:rPr>
        <w:t>9</w:t>
      </w:r>
      <w:r>
        <w:rPr>
          <w:rFonts w:ascii="Arial" w:hAnsi="Arial" w:cs="Arial" w:eastAsia="Arial" w:hint="default"/>
          <w:spacing w:val="-6"/>
        </w:rPr>
        <w:t> </w:t>
      </w:r>
      <w:r>
        <w:rPr>
          <w:w w:val="99"/>
        </w:rPr>
        <w:t>月</w:t>
      </w:r>
      <w:r>
        <w:rPr>
          <w:spacing w:val="-55"/>
        </w:rPr>
        <w:t> </w:t>
      </w:r>
      <w:r>
        <w:rPr>
          <w:rFonts w:ascii="Arial" w:hAnsi="Arial" w:cs="Arial" w:eastAsia="Arial" w:hint="default"/>
          <w:w w:val="99"/>
        </w:rPr>
        <w:t>10</w:t>
      </w:r>
      <w:r>
        <w:rPr>
          <w:rFonts w:ascii="Arial" w:hAnsi="Arial" w:cs="Arial" w:eastAsia="Arial" w:hint="default"/>
          <w:spacing w:val="-6"/>
        </w:rPr>
        <w:t> </w:t>
      </w:r>
      <w:r>
        <w:rPr>
          <w:w w:val="99"/>
        </w:rPr>
        <w:t>日进行</w:t>
      </w:r>
      <w:r>
        <w:rPr>
          <w:spacing w:val="1"/>
          <w:w w:val="99"/>
        </w:rPr>
        <w:t>了公</w:t>
      </w:r>
      <w:r>
        <w:rPr>
          <w:w w:val="99"/>
        </w:rPr>
        <w:t>司名称</w:t>
      </w:r>
      <w:r>
        <w:rPr>
          <w:spacing w:val="1"/>
          <w:w w:val="99"/>
        </w:rPr>
        <w:t>变</w:t>
      </w:r>
      <w:r>
        <w:rPr>
          <w:w w:val="99"/>
        </w:rPr>
        <w:t>更</w:t>
      </w:r>
      <w:r>
        <w:rPr>
          <w:spacing w:val="-107"/>
          <w:w w:val="99"/>
        </w:rPr>
        <w:t>）</w:t>
      </w:r>
      <w:r>
        <w:rPr>
          <w:w w:val="99"/>
        </w:rPr>
        <w:t>及联通</w:t>
      </w:r>
      <w:r>
        <w:rPr>
          <w:spacing w:val="1"/>
          <w:w w:val="99"/>
        </w:rPr>
        <w:t>香港</w:t>
      </w:r>
      <w:r>
        <w:rPr>
          <w:w w:val="99"/>
        </w:rPr>
        <w:t>运营的</w:t>
      </w:r>
      <w:r>
        <w:rPr>
          <w:spacing w:val="1"/>
          <w:w w:val="99"/>
        </w:rPr>
        <w:t>子公</w:t>
      </w:r>
      <w:r>
        <w:rPr>
          <w:w w:val="99"/>
        </w:rPr>
        <w:t>司中国</w:t>
      </w:r>
      <w:r>
        <w:rPr>
          <w:spacing w:val="1"/>
          <w:w w:val="99"/>
        </w:rPr>
        <w:t>联</w:t>
      </w:r>
      <w:r>
        <w:rPr>
          <w:spacing w:val="-108"/>
          <w:w w:val="99"/>
        </w:rPr>
        <w:t>通</w:t>
      </w:r>
      <w:r>
        <w:rPr>
          <w:spacing w:val="1"/>
          <w:w w:val="99"/>
        </w:rPr>
        <w:t>（</w:t>
      </w:r>
      <w:r>
        <w:rPr>
          <w:w w:val="99"/>
        </w:rPr>
        <w:t>美洲</w:t>
      </w:r>
      <w:r>
        <w:rPr>
          <w:spacing w:val="-108"/>
          <w:w w:val="99"/>
        </w:rPr>
        <w:t>）</w:t>
      </w:r>
      <w:r>
        <w:rPr>
          <w:spacing w:val="1"/>
          <w:w w:val="99"/>
        </w:rPr>
        <w:t>运</w:t>
      </w:r>
      <w:r>
        <w:rPr>
          <w:spacing w:val="-1"/>
          <w:w w:val="99"/>
        </w:rPr>
        <w:t>营</w:t>
      </w:r>
      <w:r>
        <w:rPr>
          <w:spacing w:val="1"/>
          <w:w w:val="99"/>
        </w:rPr>
        <w:t>有</w:t>
      </w:r>
      <w:r>
        <w:rPr>
          <w:spacing w:val="-1"/>
          <w:w w:val="99"/>
        </w:rPr>
        <w:t>限公</w:t>
      </w:r>
      <w:r>
        <w:rPr>
          <w:spacing w:val="-108"/>
          <w:w w:val="99"/>
        </w:rPr>
        <w:t>司</w:t>
      </w:r>
      <w:r>
        <w:rPr>
          <w:spacing w:val="-107"/>
          <w:w w:val="99"/>
        </w:rPr>
        <w:t>（</w:t>
      </w:r>
      <w:r>
        <w:rPr>
          <w:w w:val="99"/>
        </w:rPr>
        <w:t>“联</w:t>
      </w:r>
      <w:r>
        <w:rPr/>
      </w:r>
    </w:p>
    <w:p>
      <w:pPr>
        <w:pStyle w:val="BodyText"/>
        <w:spacing w:line="286" w:lineRule="exact" w:before="19"/>
        <w:ind w:left="525" w:right="208"/>
        <w:jc w:val="both"/>
      </w:pPr>
      <w:r>
        <w:rPr/>
        <w:t>通美洲运营”，原名为中国联通美国公司，于</w:t>
      </w:r>
      <w:r>
        <w:rPr>
          <w:spacing w:val="-61"/>
        </w:rPr>
        <w:t> </w:t>
      </w:r>
      <w:r>
        <w:rPr>
          <w:rFonts w:ascii="Arial" w:hAnsi="Arial" w:cs="Arial" w:eastAsia="Arial" w:hint="default"/>
        </w:rPr>
        <w:t>2009</w:t>
      </w:r>
      <w:r>
        <w:rPr>
          <w:rFonts w:ascii="Arial" w:hAnsi="Arial" w:cs="Arial" w:eastAsia="Arial" w:hint="default"/>
          <w:spacing w:val="-14"/>
        </w:rPr>
        <w:t> </w:t>
      </w:r>
      <w:r>
        <w:rPr/>
        <w:t>年</w:t>
      </w:r>
      <w:r>
        <w:rPr>
          <w:spacing w:val="-63"/>
        </w:rPr>
        <w:t> </w:t>
      </w:r>
      <w:r>
        <w:rPr>
          <w:rFonts w:ascii="Arial" w:hAnsi="Arial" w:cs="Arial" w:eastAsia="Arial" w:hint="default"/>
        </w:rPr>
        <w:t>8</w:t>
      </w:r>
      <w:r>
        <w:rPr>
          <w:rFonts w:ascii="Arial" w:hAnsi="Arial" w:cs="Arial" w:eastAsia="Arial" w:hint="default"/>
          <w:spacing w:val="-14"/>
        </w:rPr>
        <w:t> </w:t>
      </w:r>
      <w:r>
        <w:rPr/>
        <w:t>月</w:t>
      </w:r>
      <w:r>
        <w:rPr>
          <w:spacing w:val="-63"/>
        </w:rPr>
        <w:t> </w:t>
      </w:r>
      <w:r>
        <w:rPr>
          <w:rFonts w:ascii="Arial" w:hAnsi="Arial" w:cs="Arial" w:eastAsia="Arial" w:hint="default"/>
        </w:rPr>
        <w:t>31</w:t>
      </w:r>
      <w:r>
        <w:rPr>
          <w:rFonts w:ascii="Arial" w:hAnsi="Arial" w:cs="Arial" w:eastAsia="Arial" w:hint="default"/>
          <w:spacing w:val="-14"/>
        </w:rPr>
        <w:t> </w:t>
      </w:r>
      <w:r>
        <w:rPr/>
        <w:t>日进行了公司名称变更），并通</w:t>
      </w:r>
      <w:r>
        <w:rPr>
          <w:w w:val="99"/>
        </w:rPr>
        <w:t> </w:t>
      </w:r>
      <w:r>
        <w:rPr/>
        <w:t>过这两家公司提供境外电信服务。</w:t>
      </w:r>
    </w:p>
    <w:p>
      <w:pPr>
        <w:spacing w:line="240" w:lineRule="auto" w:before="1"/>
        <w:rPr>
          <w:rFonts w:ascii="宋体" w:hAnsi="宋体" w:cs="宋体" w:eastAsia="宋体" w:hint="default"/>
          <w:sz w:val="17"/>
          <w:szCs w:val="17"/>
        </w:rPr>
      </w:pPr>
    </w:p>
    <w:p>
      <w:pPr>
        <w:pStyle w:val="BodyText"/>
        <w:spacing w:line="295" w:lineRule="exact"/>
        <w:ind w:left="525" w:right="0"/>
        <w:jc w:val="both"/>
      </w:pPr>
      <w:r>
        <w:rPr>
          <w:spacing w:val="-3"/>
        </w:rPr>
        <w:t>如附注一（</w:t>
      </w:r>
      <w:r>
        <w:rPr>
          <w:rFonts w:ascii="Arial" w:hAnsi="Arial" w:cs="Arial" w:eastAsia="Arial" w:hint="default"/>
          <w:spacing w:val="-3"/>
        </w:rPr>
        <w:t>3</w:t>
      </w:r>
      <w:r>
        <w:rPr>
          <w:spacing w:val="-3"/>
        </w:rPr>
        <w:t>）所述，联通红筹公司于</w:t>
      </w:r>
      <w:r>
        <w:rPr>
          <w:spacing w:val="-59"/>
        </w:rPr>
        <w:t> </w:t>
      </w:r>
      <w:r>
        <w:rPr>
          <w:rFonts w:ascii="Arial" w:hAnsi="Arial" w:cs="Arial" w:eastAsia="Arial" w:hint="default"/>
        </w:rPr>
        <w:t>2008</w:t>
      </w:r>
      <w:r>
        <w:rPr>
          <w:rFonts w:ascii="Arial" w:hAnsi="Arial" w:cs="Arial" w:eastAsia="Arial" w:hint="default"/>
          <w:spacing w:val="-10"/>
        </w:rPr>
        <w:t> </w:t>
      </w:r>
      <w:r>
        <w:rPr/>
        <w:t>年</w:t>
      </w:r>
      <w:r>
        <w:rPr>
          <w:spacing w:val="-59"/>
        </w:rPr>
        <w:t> </w:t>
      </w:r>
      <w:r>
        <w:rPr>
          <w:rFonts w:ascii="Arial" w:hAnsi="Arial" w:cs="Arial" w:eastAsia="Arial" w:hint="default"/>
        </w:rPr>
        <w:t>10</w:t>
      </w:r>
      <w:r>
        <w:rPr>
          <w:rFonts w:ascii="Arial" w:hAnsi="Arial" w:cs="Arial" w:eastAsia="Arial" w:hint="default"/>
          <w:spacing w:val="-10"/>
        </w:rPr>
        <w:t> </w:t>
      </w:r>
      <w:r>
        <w:rPr/>
        <w:t>月</w:t>
      </w:r>
      <w:r>
        <w:rPr>
          <w:spacing w:val="-59"/>
        </w:rPr>
        <w:t> </w:t>
      </w:r>
      <w:r>
        <w:rPr>
          <w:rFonts w:ascii="Arial" w:hAnsi="Arial" w:cs="Arial" w:eastAsia="Arial" w:hint="default"/>
        </w:rPr>
        <w:t>15</w:t>
      </w:r>
      <w:r>
        <w:rPr>
          <w:rFonts w:ascii="Arial" w:hAnsi="Arial" w:cs="Arial" w:eastAsia="Arial" w:hint="default"/>
          <w:spacing w:val="-10"/>
        </w:rPr>
        <w:t> </w:t>
      </w:r>
      <w:r>
        <w:rPr/>
        <w:t>日完成了与网通红筹公司的合并。网通</w:t>
      </w:r>
    </w:p>
    <w:p>
      <w:pPr>
        <w:pStyle w:val="BodyText"/>
        <w:spacing w:line="235" w:lineRule="auto"/>
        <w:ind w:left="525" w:right="207"/>
        <w:jc w:val="both"/>
      </w:pPr>
      <w:r>
        <w:rPr/>
        <w:t>红筹公司是于</w:t>
      </w:r>
      <w:r>
        <w:rPr>
          <w:spacing w:val="-58"/>
        </w:rPr>
        <w:t> </w:t>
      </w:r>
      <w:r>
        <w:rPr>
          <w:rFonts w:ascii="Arial" w:hAnsi="Arial" w:cs="Arial" w:eastAsia="Arial" w:hint="default"/>
        </w:rPr>
        <w:t>1999</w:t>
      </w:r>
      <w:r>
        <w:rPr>
          <w:rFonts w:ascii="Arial" w:hAnsi="Arial" w:cs="Arial" w:eastAsia="Arial" w:hint="default"/>
          <w:spacing w:val="-9"/>
        </w:rPr>
        <w:t> </w:t>
      </w:r>
      <w:r>
        <w:rPr/>
        <w:t>年</w:t>
      </w:r>
      <w:r>
        <w:rPr>
          <w:spacing w:val="-58"/>
        </w:rPr>
        <w:t> </w:t>
      </w:r>
      <w:r>
        <w:rPr>
          <w:rFonts w:ascii="Arial" w:hAnsi="Arial" w:cs="Arial" w:eastAsia="Arial" w:hint="default"/>
        </w:rPr>
        <w:t>10</w:t>
      </w:r>
      <w:r>
        <w:rPr>
          <w:rFonts w:ascii="Arial" w:hAnsi="Arial" w:cs="Arial" w:eastAsia="Arial" w:hint="default"/>
          <w:spacing w:val="-9"/>
        </w:rPr>
        <w:t> </w:t>
      </w:r>
      <w:r>
        <w:rPr/>
        <w:t>月</w:t>
      </w:r>
      <w:r>
        <w:rPr>
          <w:spacing w:val="-58"/>
        </w:rPr>
        <w:t> </w:t>
      </w:r>
      <w:r>
        <w:rPr>
          <w:rFonts w:ascii="Arial" w:hAnsi="Arial" w:cs="Arial" w:eastAsia="Arial" w:hint="default"/>
        </w:rPr>
        <w:t>22</w:t>
      </w:r>
      <w:r>
        <w:rPr>
          <w:rFonts w:ascii="Arial" w:hAnsi="Arial" w:cs="Arial" w:eastAsia="Arial" w:hint="default"/>
          <w:spacing w:val="-9"/>
        </w:rPr>
        <w:t> </w:t>
      </w:r>
      <w:r>
        <w:rPr/>
        <w:t>日在香港注册成立的有限责任公司，并于</w:t>
      </w:r>
      <w:r>
        <w:rPr>
          <w:spacing w:val="-58"/>
        </w:rPr>
        <w:t> </w:t>
      </w:r>
      <w:r>
        <w:rPr>
          <w:rFonts w:ascii="Arial" w:hAnsi="Arial" w:cs="Arial" w:eastAsia="Arial" w:hint="default"/>
        </w:rPr>
        <w:t>2004</w:t>
      </w:r>
      <w:r>
        <w:rPr>
          <w:rFonts w:ascii="Arial" w:hAnsi="Arial" w:cs="Arial" w:eastAsia="Arial" w:hint="default"/>
          <w:spacing w:val="-9"/>
        </w:rPr>
        <w:t> </w:t>
      </w:r>
      <w:r>
        <w:rPr/>
        <w:t>年</w:t>
      </w:r>
      <w:r>
        <w:rPr>
          <w:spacing w:val="-58"/>
        </w:rPr>
        <w:t> </w:t>
      </w:r>
      <w:r>
        <w:rPr>
          <w:rFonts w:ascii="Arial" w:hAnsi="Arial" w:cs="Arial" w:eastAsia="Arial" w:hint="default"/>
        </w:rPr>
        <w:t>11</w:t>
      </w:r>
      <w:r>
        <w:rPr>
          <w:rFonts w:ascii="Arial" w:hAnsi="Arial" w:cs="Arial" w:eastAsia="Arial" w:hint="default"/>
          <w:spacing w:val="-9"/>
        </w:rPr>
        <w:t> </w:t>
      </w:r>
      <w:r>
        <w:rPr/>
        <w:t>月在境外</w:t>
      </w:r>
      <w:r>
        <w:rPr>
          <w:w w:val="99"/>
        </w:rPr>
        <w:t> </w:t>
      </w:r>
      <w:r>
        <w:rPr/>
        <w:t>发行股票后在香港、美国上市。此次合并后，网通红筹公司成为联通红筹公司的子公司，并在</w:t>
      </w:r>
      <w:r>
        <w:rPr>
          <w:spacing w:val="-71"/>
        </w:rPr>
        <w:t> </w:t>
      </w:r>
      <w:r>
        <w:rPr>
          <w:spacing w:val="-71"/>
        </w:rPr>
      </w:r>
      <w:r>
        <w:rPr/>
        <w:t>香港和美国撤市。网通红筹公司原通过其在中国境内全资拥有的网通运营公司提供本地固定电</w:t>
      </w:r>
      <w:r>
        <w:rPr>
          <w:spacing w:val="-71"/>
        </w:rPr>
        <w:t> </w:t>
      </w:r>
      <w:r>
        <w:rPr>
          <w:spacing w:val="-71"/>
        </w:rPr>
      </w:r>
      <w:r>
        <w:rPr/>
        <w:t>话、长途电话、数据和互联网及宽带等电信业务。同时，网通红筹公司还通过其在百慕大群岛</w:t>
      </w:r>
      <w:r>
        <w:rPr>
          <w:spacing w:val="-71"/>
        </w:rPr>
        <w:t> </w:t>
      </w:r>
      <w:r>
        <w:rPr>
          <w:spacing w:val="-71"/>
        </w:rPr>
      </w:r>
      <w:r>
        <w:rPr/>
        <w:t>设立的全资子公司中国网通国际有限公司（“网通国际”）持有中国网通（香港）运营有限公</w:t>
      </w:r>
      <w:r>
        <w:rPr>
          <w:spacing w:val="-71"/>
        </w:rPr>
        <w:t> </w:t>
      </w:r>
      <w:r>
        <w:rPr>
          <w:spacing w:val="-71"/>
        </w:rPr>
      </w:r>
      <w:r>
        <w:rPr/>
        <w:t>司（“网通香港运营”）、中国网通（美国）运营有限公司（“网通美国运营”）、中国联通</w:t>
      </w:r>
    </w:p>
    <w:p>
      <w:pPr>
        <w:pStyle w:val="BodyText"/>
        <w:spacing w:line="293" w:lineRule="exact"/>
        <w:ind w:left="525" w:right="0"/>
        <w:jc w:val="both"/>
        <w:rPr>
          <w:rFonts w:ascii="Arial" w:hAnsi="Arial" w:cs="Arial" w:eastAsia="Arial" w:hint="default"/>
        </w:rPr>
      </w:pPr>
      <w:r>
        <w:rPr>
          <w:spacing w:val="-2"/>
        </w:rPr>
        <w:t>（欧洲）运营有限公司（“联通欧洲运营”，原名为中国网通（欧洲）运营有限公司，于</w:t>
      </w:r>
      <w:r>
        <w:rPr>
          <w:spacing w:val="-38"/>
        </w:rPr>
        <w:t> </w:t>
      </w:r>
      <w:r>
        <w:rPr>
          <w:rFonts w:ascii="Arial" w:hAnsi="Arial" w:cs="Arial" w:eastAsia="Arial" w:hint="default"/>
        </w:rPr>
        <w:t>2009</w:t>
      </w:r>
    </w:p>
    <w:p>
      <w:pPr>
        <w:pStyle w:val="BodyText"/>
        <w:spacing w:line="285" w:lineRule="exact"/>
        <w:ind w:left="525" w:right="0"/>
        <w:jc w:val="both"/>
      </w:pP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11</w:t>
      </w:r>
      <w:r>
        <w:rPr>
          <w:rFonts w:ascii="Arial" w:hAnsi="Arial" w:cs="Arial" w:eastAsia="Arial" w:hint="default"/>
          <w:spacing w:val="-7"/>
        </w:rPr>
        <w:t> </w:t>
      </w:r>
      <w:r>
        <w:rPr/>
        <w:t>日进行了公司名称变更）和中国联通（日本）运营有限公司（“联通日本运营”，</w:t>
      </w:r>
    </w:p>
    <w:p>
      <w:pPr>
        <w:pStyle w:val="BodyText"/>
        <w:spacing w:line="286" w:lineRule="exact" w:before="18"/>
        <w:ind w:left="524" w:right="208"/>
        <w:jc w:val="both"/>
      </w:pPr>
      <w:r>
        <w:rPr/>
        <w:t>原名为中国网通（日本）运营有限公司，于</w:t>
      </w:r>
      <w:r>
        <w:rPr>
          <w:spacing w:val="-42"/>
        </w:rPr>
        <w:t> </w:t>
      </w:r>
      <w:r>
        <w:rPr>
          <w:rFonts w:ascii="Arial" w:hAnsi="Arial" w:cs="Arial" w:eastAsia="Arial" w:hint="default"/>
        </w:rPr>
        <w:t>2010</w:t>
      </w:r>
      <w:r>
        <w:rPr>
          <w:rFonts w:ascii="Arial" w:hAnsi="Arial" w:cs="Arial" w:eastAsia="Arial" w:hint="default"/>
          <w:spacing w:val="6"/>
        </w:rPr>
        <w:t> </w:t>
      </w:r>
      <w:r>
        <w:rPr/>
        <w:t>年</w:t>
      </w:r>
      <w:r>
        <w:rPr>
          <w:spacing w:val="-42"/>
        </w:rPr>
        <w:t> </w:t>
      </w:r>
      <w:r>
        <w:rPr>
          <w:rFonts w:ascii="Arial" w:hAnsi="Arial" w:cs="Arial" w:eastAsia="Arial" w:hint="default"/>
        </w:rPr>
        <w:t>1</w:t>
      </w:r>
      <w:r>
        <w:rPr>
          <w:rFonts w:ascii="Arial" w:hAnsi="Arial" w:cs="Arial" w:eastAsia="Arial" w:hint="default"/>
          <w:spacing w:val="6"/>
        </w:rPr>
        <w:t> </w:t>
      </w:r>
      <w:r>
        <w:rPr/>
        <w:t>月</w:t>
      </w:r>
      <w:r>
        <w:rPr>
          <w:spacing w:val="-42"/>
        </w:rPr>
        <w:t> </w:t>
      </w:r>
      <w:r>
        <w:rPr>
          <w:rFonts w:ascii="Arial" w:hAnsi="Arial" w:cs="Arial" w:eastAsia="Arial" w:hint="default"/>
        </w:rPr>
        <w:t>1</w:t>
      </w:r>
      <w:r>
        <w:rPr>
          <w:rFonts w:ascii="Arial" w:hAnsi="Arial" w:cs="Arial" w:eastAsia="Arial" w:hint="default"/>
          <w:spacing w:val="6"/>
        </w:rPr>
        <w:t> </w:t>
      </w:r>
      <w:r>
        <w:rPr/>
        <w:t>日进行了公司名称变更）四家海外</w:t>
      </w:r>
      <w:r>
        <w:rPr>
          <w:w w:val="99"/>
        </w:rPr>
        <w:t> </w:t>
      </w:r>
      <w:r>
        <w:rPr/>
        <w:t>子公司</w:t>
      </w:r>
      <w:r>
        <w:rPr>
          <w:spacing w:val="-59"/>
        </w:rPr>
        <w:t> </w:t>
      </w:r>
      <w:r>
        <w:rPr>
          <w:rFonts w:ascii="Arial" w:hAnsi="Arial" w:cs="Arial" w:eastAsia="Arial" w:hint="default"/>
        </w:rPr>
        <w:t>100%</w:t>
      </w:r>
      <w:r>
        <w:rPr/>
        <w:t>的股权，并在这些运营公司所在地提供电信服务。</w:t>
      </w:r>
    </w:p>
    <w:p>
      <w:pPr>
        <w:spacing w:line="240" w:lineRule="auto" w:before="10"/>
        <w:rPr>
          <w:rFonts w:ascii="宋体" w:hAnsi="宋体" w:cs="宋体" w:eastAsia="宋体" w:hint="default"/>
          <w:sz w:val="17"/>
          <w:szCs w:val="17"/>
        </w:rPr>
      </w:pPr>
    </w:p>
    <w:p>
      <w:pPr>
        <w:pStyle w:val="BodyText"/>
        <w:spacing w:line="232" w:lineRule="auto"/>
        <w:ind w:left="524" w:right="208"/>
        <w:jc w:val="both"/>
      </w:pPr>
      <w:r>
        <w:rPr/>
        <w:t>于 </w:t>
      </w:r>
      <w:r>
        <w:rPr>
          <w:rFonts w:ascii="Arial" w:hAnsi="Arial" w:cs="Arial" w:eastAsia="Arial" w:hint="default"/>
        </w:rPr>
        <w:t>2009</w:t>
      </w:r>
      <w:r>
        <w:rPr>
          <w:rFonts w:ascii="Arial" w:hAnsi="Arial" w:cs="Arial" w:eastAsia="Arial" w:hint="default"/>
          <w:spacing w:val="44"/>
        </w:rPr>
        <w:t> </w:t>
      </w:r>
      <w:r>
        <w:rPr/>
        <w:t>年度，根据联通红筹公司和网通国际、网通红筹公司的协议，网通国际将其对网通美</w:t>
      </w:r>
      <w:r>
        <w:rPr>
          <w:w w:val="99"/>
        </w:rPr>
        <w:t> </w:t>
      </w:r>
      <w:r>
        <w:rPr/>
        <w:t>国运营、联通欧洲运营和联通日本运营的全部股权转让予联通红筹公司。同时，网通国际还将</w:t>
      </w:r>
      <w:r>
        <w:rPr>
          <w:spacing w:val="-71"/>
        </w:rPr>
        <w:t> </w:t>
      </w:r>
      <w:r>
        <w:rPr>
          <w:spacing w:val="-71"/>
        </w:rPr>
      </w:r>
      <w:r>
        <w:rPr/>
        <w:t>其持有的网通香港运营的全部资产及业务转让予联通香港运营，交易完成后，网通香港运营将</w:t>
      </w:r>
      <w:r>
        <w:rPr>
          <w:spacing w:val="-71"/>
        </w:rPr>
        <w:t> </w:t>
      </w:r>
      <w:r>
        <w:rPr>
          <w:spacing w:val="-71"/>
        </w:rPr>
      </w:r>
      <w:r>
        <w:rPr/>
        <w:t>被注销，该交易已于</w:t>
      </w:r>
      <w:r>
        <w:rPr>
          <w:spacing w:val="-57"/>
        </w:rPr>
        <w:t> </w:t>
      </w:r>
      <w:r>
        <w:rPr>
          <w:rFonts w:ascii="Arial" w:hAnsi="Arial" w:cs="Arial" w:eastAsia="Arial" w:hint="default"/>
        </w:rPr>
        <w:t>2010</w:t>
      </w:r>
      <w:r>
        <w:rPr>
          <w:rFonts w:ascii="Arial" w:hAnsi="Arial" w:cs="Arial" w:eastAsia="Arial" w:hint="default"/>
          <w:spacing w:val="-8"/>
        </w:rPr>
        <w:t> </w:t>
      </w:r>
      <w:r>
        <w:rPr/>
        <w:t>年</w:t>
      </w:r>
      <w:r>
        <w:rPr>
          <w:spacing w:val="-57"/>
        </w:rPr>
        <w:t> </w:t>
      </w:r>
      <w:r>
        <w:rPr>
          <w:rFonts w:ascii="Arial" w:hAnsi="Arial" w:cs="Arial" w:eastAsia="Arial" w:hint="default"/>
        </w:rPr>
        <w:t>1</w:t>
      </w:r>
      <w:r>
        <w:rPr>
          <w:rFonts w:ascii="Arial" w:hAnsi="Arial" w:cs="Arial" w:eastAsia="Arial" w:hint="default"/>
          <w:spacing w:val="-8"/>
        </w:rPr>
        <w:t> </w:t>
      </w:r>
      <w:r>
        <w:rPr/>
        <w:t>月</w:t>
      </w:r>
      <w:r>
        <w:rPr>
          <w:spacing w:val="-57"/>
        </w:rPr>
        <w:t> </w:t>
      </w:r>
      <w:r>
        <w:rPr>
          <w:rFonts w:ascii="Arial" w:hAnsi="Arial" w:cs="Arial" w:eastAsia="Arial" w:hint="default"/>
        </w:rPr>
        <w:t>22</w:t>
      </w:r>
      <w:r>
        <w:rPr>
          <w:rFonts w:ascii="Arial" w:hAnsi="Arial" w:cs="Arial" w:eastAsia="Arial" w:hint="default"/>
          <w:spacing w:val="-8"/>
        </w:rPr>
        <w:t> </w:t>
      </w:r>
      <w:r>
        <w:rPr/>
        <w:t>日获得香港电讯管理局（</w:t>
      </w:r>
      <w:r>
        <w:rPr>
          <w:rFonts w:ascii="Arial" w:hAnsi="Arial" w:cs="Arial" w:eastAsia="Arial" w:hint="default"/>
        </w:rPr>
        <w:t>OFTA</w:t>
      </w:r>
      <w:r>
        <w:rPr/>
        <w:t>）的批准并生效。</w:t>
      </w:r>
    </w:p>
    <w:p>
      <w:pPr>
        <w:spacing w:line="240" w:lineRule="auto" w:before="2"/>
        <w:rPr>
          <w:rFonts w:ascii="宋体" w:hAnsi="宋体" w:cs="宋体" w:eastAsia="宋体" w:hint="default"/>
          <w:sz w:val="20"/>
          <w:szCs w:val="20"/>
        </w:rPr>
      </w:pPr>
    </w:p>
    <w:p>
      <w:pPr>
        <w:pStyle w:val="BodyText"/>
        <w:spacing w:line="286" w:lineRule="exact"/>
        <w:ind w:left="524" w:right="90"/>
        <w:jc w:val="left"/>
      </w:pPr>
      <w:r>
        <w:rPr>
          <w:spacing w:val="-13"/>
        </w:rPr>
        <w:t>另外，于</w:t>
      </w:r>
      <w:r>
        <w:rPr>
          <w:spacing w:val="-57"/>
        </w:rPr>
        <w:t> </w:t>
      </w:r>
      <w:r>
        <w:rPr>
          <w:rFonts w:ascii="Arial" w:hAnsi="Arial" w:cs="Arial" w:eastAsia="Arial" w:hint="default"/>
        </w:rPr>
        <w:t>2009</w:t>
      </w:r>
      <w:r>
        <w:rPr>
          <w:rFonts w:ascii="Arial" w:hAnsi="Arial" w:cs="Arial" w:eastAsia="Arial" w:hint="default"/>
          <w:spacing w:val="-8"/>
        </w:rPr>
        <w:t> </w:t>
      </w:r>
      <w:r>
        <w:rPr/>
        <w:t>年</w:t>
      </w:r>
      <w:r>
        <w:rPr>
          <w:spacing w:val="-57"/>
        </w:rPr>
        <w:t> </w:t>
      </w:r>
      <w:r>
        <w:rPr>
          <w:rFonts w:ascii="Arial" w:hAnsi="Arial" w:cs="Arial" w:eastAsia="Arial" w:hint="default"/>
        </w:rPr>
        <w:t>8</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spacing w:val="-3"/>
        </w:rPr>
        <w:t>日，联通美洲运营吸收合并网通美国运营，合并后联通美洲运营存续，</w:t>
      </w:r>
      <w:r>
        <w:rPr>
          <w:w w:val="99"/>
        </w:rPr>
        <w:t> </w:t>
      </w:r>
      <w:r>
        <w:rPr/>
        <w:t>而网通美国运营将被注销。</w:t>
      </w:r>
    </w:p>
    <w:p>
      <w:pPr>
        <w:spacing w:after="0" w:line="286" w:lineRule="exact"/>
        <w:jc w:val="left"/>
        <w:sectPr>
          <w:headerReference w:type="default" r:id="rId68"/>
          <w:footerReference w:type="default" r:id="rId69"/>
          <w:pgSz w:w="11910" w:h="16840"/>
          <w:pgMar w:header="1189" w:footer="600" w:top="3660" w:bottom="780" w:left="1280" w:right="820"/>
          <w:pgNumType w:start="91"/>
        </w:sectPr>
      </w:pPr>
    </w:p>
    <w:p>
      <w:pPr>
        <w:spacing w:line="240" w:lineRule="auto" w:before="3"/>
        <w:rPr>
          <w:rFonts w:ascii="宋体" w:hAnsi="宋体" w:cs="宋体" w:eastAsia="宋体" w:hint="default"/>
          <w:sz w:val="19"/>
          <w:szCs w:val="19"/>
        </w:rPr>
      </w:pPr>
    </w:p>
    <w:p>
      <w:pPr>
        <w:pStyle w:val="BodyText"/>
        <w:spacing w:line="451" w:lineRule="auto" w:before="31"/>
        <w:ind w:left="526" w:right="7061" w:hanging="393"/>
        <w:jc w:val="left"/>
      </w:pPr>
      <w:r>
        <w:rPr>
          <w:rFonts w:ascii="Arial" w:hAnsi="Arial" w:cs="Arial" w:eastAsia="Arial" w:hint="default"/>
        </w:rPr>
        <w:t>1</w:t>
      </w:r>
      <w:r>
        <w:rPr/>
        <w:t>、</w:t>
      </w:r>
      <w:r>
        <w:rPr>
          <w:spacing w:val="-62"/>
        </w:rPr>
        <w:t> </w:t>
      </w:r>
      <w:r>
        <w:rPr/>
        <w:t>重要子公司情况（续）</w:t>
      </w:r>
      <w:r>
        <w:rPr>
          <w:w w:val="99"/>
        </w:rPr>
        <w:t> </w:t>
      </w:r>
      <w:r>
        <w:rPr/>
        <w:t>注释（续）</w:t>
      </w:r>
    </w:p>
    <w:p>
      <w:pPr>
        <w:pStyle w:val="BodyText"/>
        <w:spacing w:line="294" w:lineRule="exact" w:before="57"/>
        <w:ind w:left="106" w:right="90"/>
        <w:jc w:val="left"/>
      </w:pPr>
      <w:r>
        <w:rPr>
          <w:rFonts w:ascii="Arial" w:hAnsi="Arial" w:cs="Arial" w:eastAsia="Arial" w:hint="default"/>
        </w:rPr>
        <w:t>(2) </w:t>
      </w:r>
      <w:r>
        <w:rPr>
          <w:rFonts w:ascii="Arial" w:hAnsi="Arial" w:cs="Arial" w:eastAsia="Arial" w:hint="default"/>
          <w:spacing w:val="15"/>
        </w:rPr>
        <w:t> </w:t>
      </w:r>
      <w:r>
        <w:rPr/>
        <w:t>联通运营公司为联通红筹公司的全资子公司，是一家于</w:t>
      </w:r>
      <w:r>
        <w:rPr>
          <w:spacing w:val="-60"/>
        </w:rPr>
        <w:t> </w:t>
      </w:r>
      <w:r>
        <w:rPr>
          <w:rFonts w:ascii="Arial" w:hAnsi="Arial" w:cs="Arial" w:eastAsia="Arial" w:hint="default"/>
        </w:rPr>
        <w:t>2000</w:t>
      </w:r>
      <w:r>
        <w:rPr>
          <w:rFonts w:ascii="Arial" w:hAnsi="Arial" w:cs="Arial" w:eastAsia="Arial" w:hint="default"/>
          <w:spacing w:val="-11"/>
        </w:rPr>
        <w:t> </w:t>
      </w:r>
      <w:r>
        <w:rPr/>
        <w:t>年</w:t>
      </w:r>
      <w:r>
        <w:rPr>
          <w:spacing w:val="-60"/>
        </w:rPr>
        <w:t> </w:t>
      </w:r>
      <w:r>
        <w:rPr>
          <w:rFonts w:ascii="Arial" w:hAnsi="Arial" w:cs="Arial" w:eastAsia="Arial" w:hint="default"/>
        </w:rPr>
        <w:t>4</w:t>
      </w:r>
      <w:r>
        <w:rPr>
          <w:rFonts w:ascii="Arial" w:hAnsi="Arial" w:cs="Arial" w:eastAsia="Arial" w:hint="default"/>
          <w:spacing w:val="-11"/>
        </w:rPr>
        <w:t> </w:t>
      </w:r>
      <w:r>
        <w:rPr/>
        <w:t>月</w:t>
      </w:r>
      <w:r>
        <w:rPr>
          <w:spacing w:val="-60"/>
        </w:rPr>
        <w:t> </w:t>
      </w:r>
      <w:r>
        <w:rPr>
          <w:rFonts w:ascii="Arial" w:hAnsi="Arial" w:cs="Arial" w:eastAsia="Arial" w:hint="default"/>
        </w:rPr>
        <w:t>21</w:t>
      </w:r>
      <w:r>
        <w:rPr>
          <w:rFonts w:ascii="Arial" w:hAnsi="Arial" w:cs="Arial" w:eastAsia="Arial" w:hint="default"/>
          <w:spacing w:val="-11"/>
        </w:rPr>
        <w:t> </w:t>
      </w:r>
      <w:r>
        <w:rPr/>
        <w:t>日在中国北京注册成立</w:t>
      </w:r>
    </w:p>
    <w:p>
      <w:pPr>
        <w:pStyle w:val="BodyText"/>
        <w:spacing w:line="285" w:lineRule="exact"/>
        <w:ind w:left="525" w:right="0"/>
        <w:jc w:val="both"/>
      </w:pPr>
      <w:r>
        <w:rPr/>
        <w:t>的有限责任公司（后于 </w:t>
      </w:r>
      <w:r>
        <w:rPr>
          <w:rFonts w:ascii="Arial" w:hAnsi="Arial" w:cs="Arial" w:eastAsia="Arial" w:hint="default"/>
        </w:rPr>
        <w:t>2000 </w:t>
      </w:r>
      <w:r>
        <w:rPr/>
        <w:t>年 </w:t>
      </w:r>
      <w:r>
        <w:rPr>
          <w:rFonts w:ascii="Arial" w:hAnsi="Arial" w:cs="Arial" w:eastAsia="Arial" w:hint="default"/>
        </w:rPr>
        <w:t>6</w:t>
      </w:r>
      <w:r>
        <w:rPr>
          <w:rFonts w:ascii="Arial" w:hAnsi="Arial" w:cs="Arial" w:eastAsia="Arial" w:hint="default"/>
          <w:spacing w:val="-30"/>
        </w:rPr>
        <w:t> </w:t>
      </w:r>
      <w:r>
        <w:rPr/>
        <w:t>月经原对外贸易经济合作部批准成为一家外商投资企业）。</w:t>
      </w:r>
    </w:p>
    <w:p>
      <w:pPr>
        <w:pStyle w:val="BodyText"/>
        <w:spacing w:line="286" w:lineRule="exact" w:before="19"/>
        <w:ind w:left="525" w:right="207"/>
        <w:jc w:val="both"/>
      </w:pPr>
      <w:r>
        <w:rPr/>
        <w:t>分别于</w:t>
      </w:r>
      <w:r>
        <w:rPr>
          <w:spacing w:val="-56"/>
        </w:rPr>
        <w:t> </w:t>
      </w:r>
      <w:r>
        <w:rPr>
          <w:rFonts w:ascii="Arial" w:hAnsi="Arial" w:cs="Arial" w:eastAsia="Arial" w:hint="default"/>
        </w:rPr>
        <w:t>2004</w:t>
      </w:r>
      <w:r>
        <w:rPr>
          <w:rFonts w:ascii="Arial" w:hAnsi="Arial" w:cs="Arial" w:eastAsia="Arial" w:hint="default"/>
          <w:spacing w:val="-7"/>
        </w:rPr>
        <w:t> </w:t>
      </w:r>
      <w:r>
        <w:rPr/>
        <w:t>年</w:t>
      </w:r>
      <w:r>
        <w:rPr>
          <w:spacing w:val="-56"/>
        </w:rPr>
        <w:t> </w:t>
      </w:r>
      <w:r>
        <w:rPr>
          <w:rFonts w:ascii="Arial" w:hAnsi="Arial" w:cs="Arial" w:eastAsia="Arial" w:hint="default"/>
        </w:rPr>
        <w:t>7</w:t>
      </w:r>
      <w:r>
        <w:rPr>
          <w:rFonts w:ascii="Arial" w:hAnsi="Arial" w:cs="Arial" w:eastAsia="Arial" w:hint="default"/>
          <w:spacing w:val="-7"/>
        </w:rPr>
        <w:t> </w:t>
      </w:r>
      <w:r>
        <w:rPr/>
        <w:t>月</w:t>
      </w:r>
      <w:r>
        <w:rPr>
          <w:spacing w:val="-56"/>
        </w:rPr>
        <w:t> </w:t>
      </w:r>
      <w:r>
        <w:rPr>
          <w:rFonts w:ascii="Arial" w:hAnsi="Arial" w:cs="Arial" w:eastAsia="Arial" w:hint="default"/>
        </w:rPr>
        <w:t>30</w:t>
      </w:r>
      <w:r>
        <w:rPr>
          <w:rFonts w:ascii="Arial" w:hAnsi="Arial" w:cs="Arial" w:eastAsia="Arial" w:hint="default"/>
          <w:spacing w:val="-7"/>
        </w:rPr>
        <w:t> </w:t>
      </w:r>
      <w:r>
        <w:rPr/>
        <w:t>日和</w:t>
      </w:r>
      <w:r>
        <w:rPr>
          <w:spacing w:val="-56"/>
        </w:rPr>
        <w:t> </w:t>
      </w:r>
      <w:r>
        <w:rPr>
          <w:rFonts w:ascii="Arial" w:hAnsi="Arial" w:cs="Arial" w:eastAsia="Arial" w:hint="default"/>
        </w:rPr>
        <w:t>2005</w:t>
      </w:r>
      <w:r>
        <w:rPr>
          <w:rFonts w:ascii="Arial" w:hAnsi="Arial" w:cs="Arial" w:eastAsia="Arial" w:hint="default"/>
          <w:spacing w:val="-7"/>
        </w:rPr>
        <w:t> </w:t>
      </w:r>
      <w:r>
        <w:rPr/>
        <w:t>年</w:t>
      </w:r>
      <w:r>
        <w:rPr>
          <w:spacing w:val="-56"/>
        </w:rPr>
        <w:t> </w:t>
      </w:r>
      <w:r>
        <w:rPr>
          <w:rFonts w:ascii="Arial" w:hAnsi="Arial" w:cs="Arial" w:eastAsia="Arial" w:hint="default"/>
        </w:rPr>
        <w:t>9</w:t>
      </w:r>
      <w:r>
        <w:rPr>
          <w:rFonts w:ascii="Arial" w:hAnsi="Arial" w:cs="Arial" w:eastAsia="Arial" w:hint="default"/>
          <w:spacing w:val="-7"/>
        </w:rPr>
        <w:t> </w:t>
      </w:r>
      <w:r>
        <w:rPr/>
        <w:t>月</w:t>
      </w:r>
      <w:r>
        <w:rPr>
          <w:spacing w:val="-56"/>
        </w:rPr>
        <w:t> </w:t>
      </w:r>
      <w:r>
        <w:rPr>
          <w:rFonts w:ascii="Arial" w:hAnsi="Arial" w:cs="Arial" w:eastAsia="Arial" w:hint="default"/>
        </w:rPr>
        <w:t>1</w:t>
      </w:r>
      <w:r>
        <w:rPr>
          <w:rFonts w:ascii="Arial" w:hAnsi="Arial" w:cs="Arial" w:eastAsia="Arial" w:hint="default"/>
          <w:spacing w:val="-7"/>
        </w:rPr>
        <w:t> </w:t>
      </w:r>
      <w:r>
        <w:rPr/>
        <w:t>日，联通运营公司以吸收合并方式完成与联通新世</w:t>
      </w:r>
      <w:r>
        <w:rPr>
          <w:w w:val="99"/>
        </w:rPr>
        <w:t> </w:t>
      </w:r>
      <w:r>
        <w:rPr/>
        <w:t>纪通信有限公司（“联通新世纪”）和联通新世界通信有限公司（“联通新世界”）的合并。</w:t>
      </w:r>
      <w:r>
        <w:rPr>
          <w:spacing w:val="-71"/>
        </w:rPr>
        <w:t> </w:t>
      </w:r>
      <w:r>
        <w:rPr>
          <w:spacing w:val="-71"/>
        </w:rPr>
      </w:r>
      <w:r>
        <w:rPr>
          <w:w w:val="99"/>
        </w:rPr>
        <w:t>于</w:t>
      </w:r>
      <w:r>
        <w:rPr>
          <w:spacing w:val="-61"/>
          <w:w w:val="99"/>
        </w:rPr>
        <w:t> </w:t>
      </w:r>
      <w:r>
        <w:rPr>
          <w:rFonts w:ascii="Arial" w:hAnsi="Arial" w:cs="Arial" w:eastAsia="Arial" w:hint="default"/>
          <w:w w:val="99"/>
        </w:rPr>
        <w:t>2007</w:t>
      </w:r>
      <w:r>
        <w:rPr>
          <w:rFonts w:ascii="Arial" w:hAnsi="Arial" w:cs="Arial" w:eastAsia="Arial" w:hint="default"/>
          <w:spacing w:val="-11"/>
          <w:w w:val="99"/>
        </w:rPr>
        <w:t> </w:t>
      </w:r>
      <w:r>
        <w:rPr>
          <w:w w:val="99"/>
        </w:rPr>
        <w:t>年</w:t>
      </w:r>
      <w:r>
        <w:rPr>
          <w:spacing w:val="-61"/>
          <w:w w:val="99"/>
        </w:rPr>
        <w:t> </w:t>
      </w:r>
      <w:r>
        <w:rPr>
          <w:rFonts w:ascii="Arial" w:hAnsi="Arial" w:cs="Arial" w:eastAsia="Arial" w:hint="default"/>
          <w:w w:val="99"/>
        </w:rPr>
        <w:t>12</w:t>
      </w:r>
      <w:r>
        <w:rPr>
          <w:rFonts w:ascii="Arial" w:hAnsi="Arial" w:cs="Arial" w:eastAsia="Arial" w:hint="default"/>
          <w:spacing w:val="-11"/>
          <w:w w:val="99"/>
        </w:rPr>
        <w:t> </w:t>
      </w:r>
      <w:r>
        <w:rPr>
          <w:w w:val="99"/>
        </w:rPr>
        <w:t>月</w:t>
      </w:r>
      <w:r>
        <w:rPr>
          <w:spacing w:val="-61"/>
          <w:w w:val="99"/>
        </w:rPr>
        <w:t> </w:t>
      </w:r>
      <w:r>
        <w:rPr>
          <w:rFonts w:ascii="Arial" w:hAnsi="Arial" w:cs="Arial" w:eastAsia="Arial" w:hint="default"/>
          <w:w w:val="99"/>
        </w:rPr>
        <w:t>31</w:t>
      </w:r>
      <w:r>
        <w:rPr>
          <w:rFonts w:ascii="Arial" w:hAnsi="Arial" w:cs="Arial" w:eastAsia="Arial" w:hint="default"/>
          <w:spacing w:val="-11"/>
          <w:w w:val="99"/>
        </w:rPr>
        <w:t> </w:t>
      </w:r>
      <w:r>
        <w:rPr>
          <w:spacing w:val="-10"/>
          <w:w w:val="99"/>
        </w:rPr>
        <w:t>日，联通运营公司完成了向联通集团收购其贵州分公司移动业务及资产（“贵</w:t>
      </w:r>
      <w:r>
        <w:rPr>
          <w:w w:val="99"/>
        </w:rPr>
        <w:t> </w:t>
      </w:r>
      <w:r>
        <w:rPr/>
        <w:t>州业务”）。</w:t>
      </w:r>
    </w:p>
    <w:p>
      <w:pPr>
        <w:spacing w:line="240" w:lineRule="auto" w:before="3"/>
        <w:rPr>
          <w:rFonts w:ascii="宋体" w:hAnsi="宋体" w:cs="宋体" w:eastAsia="宋体" w:hint="default"/>
          <w:sz w:val="19"/>
          <w:szCs w:val="19"/>
        </w:rPr>
      </w:pPr>
    </w:p>
    <w:p>
      <w:pPr>
        <w:pStyle w:val="BodyText"/>
        <w:spacing w:line="286" w:lineRule="exact"/>
        <w:ind w:left="525" w:right="207"/>
        <w:jc w:val="both"/>
      </w:pPr>
      <w:r>
        <w:rPr/>
        <w:t>联通移动网络公司与联通华凯通信有限公司（“联通华凯”）均为联通运营公司出资设立的全</w:t>
      </w:r>
      <w:r>
        <w:rPr>
          <w:spacing w:val="-71"/>
        </w:rPr>
        <w:t> </w:t>
      </w:r>
      <w:r>
        <w:rPr>
          <w:spacing w:val="-71"/>
        </w:rPr>
      </w:r>
      <w:r>
        <w:rPr/>
        <w:t>资子公司。于</w:t>
      </w:r>
      <w:r>
        <w:rPr>
          <w:spacing w:val="-46"/>
        </w:rPr>
        <w:t> </w:t>
      </w:r>
      <w:r>
        <w:rPr>
          <w:rFonts w:ascii="Arial" w:hAnsi="Arial" w:cs="Arial" w:eastAsia="Arial" w:hint="default"/>
        </w:rPr>
        <w:t>2008</w:t>
      </w:r>
      <w:r>
        <w:rPr>
          <w:rFonts w:ascii="Arial" w:hAnsi="Arial" w:cs="Arial" w:eastAsia="Arial" w:hint="default"/>
          <w:spacing w:val="3"/>
        </w:rPr>
        <w:t> </w:t>
      </w:r>
      <w:r>
        <w:rPr/>
        <w:t>年</w:t>
      </w:r>
      <w:r>
        <w:rPr>
          <w:spacing w:val="-46"/>
        </w:rPr>
        <w:t> </w:t>
      </w:r>
      <w:r>
        <w:rPr>
          <w:rFonts w:ascii="Arial" w:hAnsi="Arial" w:cs="Arial" w:eastAsia="Arial" w:hint="default"/>
        </w:rPr>
        <w:t>12</w:t>
      </w:r>
      <w:r>
        <w:rPr>
          <w:rFonts w:ascii="Arial" w:hAnsi="Arial" w:cs="Arial" w:eastAsia="Arial" w:hint="default"/>
          <w:spacing w:val="3"/>
        </w:rPr>
        <w:t> </w:t>
      </w:r>
      <w:r>
        <w:rPr/>
        <w:t>月</w:t>
      </w:r>
      <w:r>
        <w:rPr>
          <w:spacing w:val="-47"/>
        </w:rPr>
        <w:t> </w:t>
      </w:r>
      <w:r>
        <w:rPr>
          <w:rFonts w:ascii="Arial" w:hAnsi="Arial" w:cs="Arial" w:eastAsia="Arial" w:hint="default"/>
        </w:rPr>
        <w:t>26</w:t>
      </w:r>
      <w:r>
        <w:rPr>
          <w:rFonts w:ascii="Arial" w:hAnsi="Arial" w:cs="Arial" w:eastAsia="Arial" w:hint="default"/>
          <w:spacing w:val="3"/>
        </w:rPr>
        <w:t> </w:t>
      </w:r>
      <w:r>
        <w:rPr/>
        <w:t>日，联通华凯的名称变更为联通华盛通信有限公司即新联通华</w:t>
      </w:r>
      <w:r>
        <w:rPr>
          <w:w w:val="99"/>
        </w:rPr>
        <w:t> </w:t>
      </w:r>
      <w:r>
        <w:rPr/>
        <w:t>盛。</w:t>
      </w:r>
    </w:p>
    <w:p>
      <w:pPr>
        <w:spacing w:line="240" w:lineRule="auto" w:before="3"/>
        <w:rPr>
          <w:rFonts w:ascii="宋体" w:hAnsi="宋体" w:cs="宋体" w:eastAsia="宋体" w:hint="default"/>
          <w:sz w:val="19"/>
          <w:szCs w:val="19"/>
        </w:rPr>
      </w:pPr>
    </w:p>
    <w:p>
      <w:pPr>
        <w:pStyle w:val="BodyText"/>
        <w:spacing w:line="286" w:lineRule="exact"/>
        <w:ind w:left="525" w:right="99"/>
        <w:jc w:val="both"/>
      </w:pPr>
      <w:r>
        <w:rPr/>
        <w:t>自</w:t>
      </w:r>
      <w:r>
        <w:rPr>
          <w:spacing w:val="-43"/>
        </w:rPr>
        <w:t> </w:t>
      </w:r>
      <w:r>
        <w:rPr>
          <w:rFonts w:ascii="Arial" w:hAnsi="Arial" w:cs="Arial" w:eastAsia="Arial" w:hint="default"/>
        </w:rPr>
        <w:t>2002</w:t>
      </w:r>
      <w:r>
        <w:rPr>
          <w:rFonts w:ascii="Arial" w:hAnsi="Arial" w:cs="Arial" w:eastAsia="Arial" w:hint="default"/>
          <w:spacing w:val="7"/>
        </w:rPr>
        <w:t> </w:t>
      </w:r>
      <w:r>
        <w:rPr/>
        <w:t>年</w:t>
      </w:r>
      <w:r>
        <w:rPr>
          <w:spacing w:val="-42"/>
        </w:rPr>
        <w:t> </w:t>
      </w:r>
      <w:r>
        <w:rPr>
          <w:rFonts w:ascii="Arial" w:hAnsi="Arial" w:cs="Arial" w:eastAsia="Arial" w:hint="default"/>
        </w:rPr>
        <w:t>1</w:t>
      </w:r>
      <w:r>
        <w:rPr>
          <w:rFonts w:ascii="Arial" w:hAnsi="Arial" w:cs="Arial" w:eastAsia="Arial" w:hint="default"/>
          <w:spacing w:val="6"/>
        </w:rPr>
        <w:t> </w:t>
      </w:r>
      <w:r>
        <w:rPr/>
        <w:t>月</w:t>
      </w:r>
      <w:r>
        <w:rPr>
          <w:spacing w:val="-42"/>
        </w:rPr>
        <w:t> </w:t>
      </w:r>
      <w:r>
        <w:rPr>
          <w:rFonts w:ascii="Arial" w:hAnsi="Arial" w:cs="Arial" w:eastAsia="Arial" w:hint="default"/>
        </w:rPr>
        <w:t>8</w:t>
      </w:r>
      <w:r>
        <w:rPr>
          <w:rFonts w:ascii="Arial" w:hAnsi="Arial" w:cs="Arial" w:eastAsia="Arial" w:hint="default"/>
          <w:spacing w:val="6"/>
        </w:rPr>
        <w:t> </w:t>
      </w:r>
      <w:r>
        <w:rPr/>
        <w:t>日起，联通运营公司（含原联通新世纪和原联通新世界及此两家公司设立前</w:t>
      </w:r>
      <w:r>
        <w:rPr>
          <w:w w:val="99"/>
        </w:rPr>
        <w:t> </w:t>
      </w:r>
      <w:r>
        <w:rPr/>
        <w:t>在联通集团的前身移动业务及贵州业务）开始通过租赁方式在中国经营</w:t>
      </w:r>
      <w:r>
        <w:rPr>
          <w:spacing w:val="-56"/>
        </w:rPr>
        <w:t> </w:t>
      </w:r>
      <w:r>
        <w:rPr>
          <w:rFonts w:ascii="Arial" w:hAnsi="Arial" w:cs="Arial" w:eastAsia="Arial" w:hint="default"/>
        </w:rPr>
        <w:t>CDMA</w:t>
      </w:r>
      <w:r>
        <w:rPr>
          <w:rFonts w:ascii="Arial" w:hAnsi="Arial" w:cs="Arial" w:eastAsia="Arial" w:hint="default"/>
          <w:spacing w:val="-8"/>
        </w:rPr>
        <w:t> </w:t>
      </w:r>
      <w:r>
        <w:rPr/>
        <w:t>移动电话业务，</w:t>
      </w:r>
      <w:r>
        <w:rPr>
          <w:w w:val="99"/>
        </w:rPr>
        <w:t> </w:t>
      </w:r>
      <w:r>
        <w:rPr>
          <w:rFonts w:ascii="Arial" w:hAnsi="Arial" w:cs="Arial" w:eastAsia="Arial" w:hint="default"/>
        </w:rPr>
        <w:t>CDMA</w:t>
      </w:r>
      <w:r>
        <w:rPr>
          <w:rFonts w:ascii="Arial" w:hAnsi="Arial" w:cs="Arial" w:eastAsia="Arial" w:hint="default"/>
          <w:spacing w:val="-15"/>
        </w:rPr>
        <w:t> </w:t>
      </w:r>
      <w:r>
        <w:rPr/>
        <w:t>移动电话业务以及此租赁已于</w:t>
      </w:r>
      <w:r>
        <w:rPr>
          <w:spacing w:val="-64"/>
        </w:rPr>
        <w:t> </w:t>
      </w:r>
      <w:r>
        <w:rPr>
          <w:rFonts w:ascii="Arial" w:hAnsi="Arial" w:cs="Arial" w:eastAsia="Arial" w:hint="default"/>
        </w:rPr>
        <w:t>2008</w:t>
      </w:r>
      <w:r>
        <w:rPr>
          <w:rFonts w:ascii="Arial" w:hAnsi="Arial" w:cs="Arial" w:eastAsia="Arial" w:hint="default"/>
          <w:spacing w:val="-14"/>
        </w:rPr>
        <w:t> </w:t>
      </w:r>
      <w:r>
        <w:rPr/>
        <w:t>年</w:t>
      </w:r>
      <w:r>
        <w:rPr>
          <w:spacing w:val="-65"/>
        </w:rPr>
        <w:t> </w:t>
      </w:r>
      <w:r>
        <w:rPr>
          <w:rFonts w:ascii="Arial" w:hAnsi="Arial" w:cs="Arial" w:eastAsia="Arial" w:hint="default"/>
        </w:rPr>
        <w:t>10</w:t>
      </w:r>
      <w:r>
        <w:rPr>
          <w:rFonts w:ascii="Arial" w:hAnsi="Arial" w:cs="Arial" w:eastAsia="Arial" w:hint="default"/>
          <w:spacing w:val="-16"/>
        </w:rPr>
        <w:t> </w:t>
      </w:r>
      <w:r>
        <w:rPr/>
        <w:t>月</w:t>
      </w:r>
      <w:r>
        <w:rPr>
          <w:spacing w:val="-63"/>
        </w:rPr>
        <w:t> </w:t>
      </w:r>
      <w:r>
        <w:rPr>
          <w:rFonts w:ascii="Arial" w:hAnsi="Arial" w:cs="Arial" w:eastAsia="Arial" w:hint="default"/>
        </w:rPr>
        <w:t>1</w:t>
      </w:r>
      <w:r>
        <w:rPr>
          <w:rFonts w:ascii="Arial" w:hAnsi="Arial" w:cs="Arial" w:eastAsia="Arial" w:hint="default"/>
          <w:spacing w:val="-15"/>
        </w:rPr>
        <w:t> </w:t>
      </w:r>
      <w:r>
        <w:rPr/>
        <w:t>日本集团</w:t>
      </w:r>
      <w:r>
        <w:rPr>
          <w:spacing w:val="-64"/>
        </w:rPr>
        <w:t> </w:t>
      </w:r>
      <w:r>
        <w:rPr>
          <w:rFonts w:ascii="Arial" w:hAnsi="Arial" w:cs="Arial" w:eastAsia="Arial" w:hint="default"/>
        </w:rPr>
        <w:t>CDMA</w:t>
      </w:r>
      <w:r>
        <w:rPr>
          <w:rFonts w:ascii="Arial" w:hAnsi="Arial" w:cs="Arial" w:eastAsia="Arial" w:hint="default"/>
          <w:spacing w:val="-15"/>
        </w:rPr>
        <w:t> </w:t>
      </w:r>
      <w:r>
        <w:rPr/>
        <w:t>业务出售完成时被终止。</w:t>
      </w:r>
    </w:p>
    <w:p>
      <w:pPr>
        <w:spacing w:line="240" w:lineRule="auto" w:before="1"/>
        <w:rPr>
          <w:rFonts w:ascii="宋体" w:hAnsi="宋体" w:cs="宋体" w:eastAsia="宋体" w:hint="default"/>
          <w:sz w:val="17"/>
          <w:szCs w:val="17"/>
        </w:rPr>
      </w:pPr>
    </w:p>
    <w:p>
      <w:pPr>
        <w:pStyle w:val="BodyText"/>
        <w:spacing w:line="295" w:lineRule="exact"/>
        <w:ind w:left="525" w:right="0"/>
        <w:jc w:val="both"/>
      </w:pPr>
      <w:r>
        <w:rPr/>
        <w:t>如附注一（</w:t>
      </w:r>
      <w:r>
        <w:rPr>
          <w:rFonts w:ascii="Arial" w:hAnsi="Arial" w:cs="Arial" w:eastAsia="Arial" w:hint="default"/>
        </w:rPr>
        <w:t>4</w:t>
      </w:r>
      <w:r>
        <w:rPr/>
        <w:t>）所述，于</w:t>
      </w:r>
      <w:r>
        <w:rPr>
          <w:spacing w:val="-63"/>
        </w:rPr>
        <w:t> </w:t>
      </w:r>
      <w:r>
        <w:rPr>
          <w:rFonts w:ascii="Arial" w:hAnsi="Arial" w:cs="Arial" w:eastAsia="Arial" w:hint="default"/>
        </w:rPr>
        <w:t>2009</w:t>
      </w:r>
      <w:r>
        <w:rPr>
          <w:rFonts w:ascii="Arial" w:hAnsi="Arial" w:cs="Arial" w:eastAsia="Arial" w:hint="default"/>
          <w:spacing w:val="-15"/>
        </w:rPr>
        <w:t> </w:t>
      </w:r>
      <w:r>
        <w:rPr/>
        <w:t>年</w:t>
      </w:r>
      <w:r>
        <w:rPr>
          <w:spacing w:val="-64"/>
        </w:rPr>
        <w:t> </w:t>
      </w:r>
      <w:r>
        <w:rPr>
          <w:rFonts w:ascii="Arial" w:hAnsi="Arial" w:cs="Arial" w:eastAsia="Arial" w:hint="default"/>
        </w:rPr>
        <w:t>1</w:t>
      </w:r>
      <w:r>
        <w:rPr>
          <w:rFonts w:ascii="Arial" w:hAnsi="Arial" w:cs="Arial" w:eastAsia="Arial" w:hint="default"/>
          <w:spacing w:val="-15"/>
        </w:rPr>
        <w:t> </w:t>
      </w:r>
      <w:r>
        <w:rPr/>
        <w:t>月，联通运营公司完成吸收合并网通运营公司，合并后联通</w:t>
      </w:r>
    </w:p>
    <w:p>
      <w:pPr>
        <w:pStyle w:val="BodyText"/>
        <w:spacing w:line="286" w:lineRule="exact" w:before="19"/>
        <w:ind w:left="525" w:right="206" w:hanging="1"/>
        <w:jc w:val="both"/>
      </w:pPr>
      <w:r>
        <w:rPr/>
        <w:t>运营公司存续，而网通运营公司被注销。另外，如附注一（</w:t>
      </w:r>
      <w:r>
        <w:rPr>
          <w:rFonts w:ascii="Arial" w:hAnsi="Arial" w:cs="Arial" w:eastAsia="Arial" w:hint="default"/>
        </w:rPr>
        <w:t>6</w:t>
      </w:r>
      <w:r>
        <w:rPr/>
        <w:t>）所述，于</w:t>
      </w:r>
      <w:r>
        <w:rPr>
          <w:spacing w:val="-63"/>
        </w:rPr>
        <w:t> </w:t>
      </w:r>
      <w:r>
        <w:rPr>
          <w:rFonts w:ascii="Arial" w:hAnsi="Arial" w:cs="Arial" w:eastAsia="Arial" w:hint="default"/>
        </w:rPr>
        <w:t>2009</w:t>
      </w:r>
      <w:r>
        <w:rPr>
          <w:rFonts w:ascii="Arial" w:hAnsi="Arial" w:cs="Arial" w:eastAsia="Arial" w:hint="default"/>
          <w:spacing w:val="-14"/>
        </w:rPr>
        <w:t> </w:t>
      </w:r>
      <w:r>
        <w:rPr/>
        <w:t>年</w:t>
      </w:r>
      <w:r>
        <w:rPr>
          <w:spacing w:val="-63"/>
        </w:rPr>
        <w:t> </w:t>
      </w:r>
      <w:r>
        <w:rPr>
          <w:rFonts w:ascii="Arial" w:hAnsi="Arial" w:cs="Arial" w:eastAsia="Arial" w:hint="default"/>
        </w:rPr>
        <w:t>1</w:t>
      </w:r>
      <w:r>
        <w:rPr>
          <w:rFonts w:ascii="Arial" w:hAnsi="Arial" w:cs="Arial" w:eastAsia="Arial" w:hint="default"/>
          <w:spacing w:val="-14"/>
        </w:rPr>
        <w:t> </w:t>
      </w:r>
      <w:r>
        <w:rPr/>
        <w:t>月，联通运</w:t>
      </w:r>
      <w:r>
        <w:rPr>
          <w:w w:val="99"/>
        </w:rPr>
        <w:t> </w:t>
      </w:r>
      <w:r>
        <w:rPr/>
        <w:t>营公司亦完成了对目标业务和资产的收购。</w:t>
      </w:r>
    </w:p>
    <w:p>
      <w:pPr>
        <w:spacing w:line="240" w:lineRule="auto" w:before="3"/>
        <w:rPr>
          <w:rFonts w:ascii="宋体" w:hAnsi="宋体" w:cs="宋体" w:eastAsia="宋体" w:hint="default"/>
          <w:sz w:val="19"/>
          <w:szCs w:val="19"/>
        </w:rPr>
      </w:pPr>
    </w:p>
    <w:p>
      <w:pPr>
        <w:pStyle w:val="BodyText"/>
        <w:spacing w:line="286" w:lineRule="exact"/>
        <w:ind w:left="526" w:right="90"/>
        <w:jc w:val="left"/>
      </w:pPr>
      <w:r>
        <w:rPr/>
        <w:t>经过上述一系列的企业合并和收购，联通运营公司成为一家全业务电信运营公司，目前的经营</w:t>
      </w:r>
      <w:r>
        <w:rPr>
          <w:spacing w:val="-71"/>
        </w:rPr>
        <w:t> </w:t>
      </w:r>
      <w:r>
        <w:rPr>
          <w:spacing w:val="-71"/>
        </w:rPr>
      </w:r>
      <w:r>
        <w:rPr>
          <w:spacing w:val="-2"/>
        </w:rPr>
        <w:t>范围包括在中国境内提供移动电话、本地固定电话以及全国范围的国内、国际长途通信、数据、</w:t>
      </w:r>
      <w:r>
        <w:rPr>
          <w:spacing w:val="-93"/>
        </w:rPr>
        <w:t> </w:t>
      </w:r>
      <w:r>
        <w:rPr>
          <w:spacing w:val="-93"/>
        </w:rPr>
      </w:r>
      <w:r>
        <w:rPr/>
        <w:t>互联网及宽带等电信通信服务、电信增值服务以及信息系统集成和广告传媒等相关业务。</w:t>
      </w:r>
    </w:p>
    <w:p>
      <w:pPr>
        <w:spacing w:line="240" w:lineRule="auto" w:before="3"/>
        <w:rPr>
          <w:rFonts w:ascii="宋体" w:hAnsi="宋体" w:cs="宋体" w:eastAsia="宋体" w:hint="default"/>
          <w:sz w:val="19"/>
          <w:szCs w:val="19"/>
        </w:rPr>
      </w:pPr>
    </w:p>
    <w:p>
      <w:pPr>
        <w:pStyle w:val="BodyText"/>
        <w:spacing w:line="286" w:lineRule="exact"/>
        <w:ind w:left="525" w:right="208"/>
        <w:jc w:val="both"/>
      </w:pPr>
      <w:r>
        <w:rPr/>
        <w:t>在联通集团获得</w:t>
      </w:r>
      <w:r>
        <w:rPr>
          <w:spacing w:val="-59"/>
        </w:rPr>
        <w:t> </w:t>
      </w:r>
      <w:r>
        <w:rPr>
          <w:rFonts w:ascii="Arial" w:hAnsi="Arial" w:cs="Arial" w:eastAsia="Arial" w:hint="default"/>
        </w:rPr>
        <w:t>3G</w:t>
      </w:r>
      <w:r>
        <w:rPr/>
        <w:t>（</w:t>
      </w:r>
      <w:r>
        <w:rPr>
          <w:rFonts w:ascii="Arial" w:hAnsi="Arial" w:cs="Arial" w:eastAsia="Arial" w:hint="default"/>
        </w:rPr>
        <w:t>WCDMA</w:t>
      </w:r>
      <w:r>
        <w:rPr/>
        <w:t>）运营牌照后，联通运营公司自</w:t>
      </w:r>
      <w:r>
        <w:rPr>
          <w:spacing w:val="-59"/>
        </w:rPr>
        <w:t> </w:t>
      </w:r>
      <w:r>
        <w:rPr>
          <w:rFonts w:ascii="Arial" w:hAnsi="Arial" w:cs="Arial" w:eastAsia="Arial" w:hint="default"/>
        </w:rPr>
        <w:t>2009</w:t>
      </w:r>
      <w:r>
        <w:rPr>
          <w:rFonts w:ascii="Arial" w:hAnsi="Arial" w:cs="Arial" w:eastAsia="Arial" w:hint="default"/>
          <w:spacing w:val="-10"/>
        </w:rPr>
        <w:t> </w:t>
      </w:r>
      <w:r>
        <w:rPr/>
        <w:t>年于</w:t>
      </w:r>
      <w:r>
        <w:rPr>
          <w:spacing w:val="-59"/>
        </w:rPr>
        <w:t> </w:t>
      </w:r>
      <w:r>
        <w:rPr>
          <w:rFonts w:ascii="Arial" w:hAnsi="Arial" w:cs="Arial" w:eastAsia="Arial" w:hint="default"/>
        </w:rPr>
        <w:t>1</w:t>
      </w:r>
      <w:r>
        <w:rPr>
          <w:rFonts w:ascii="Arial" w:hAnsi="Arial" w:cs="Arial" w:eastAsia="Arial" w:hint="default"/>
          <w:spacing w:val="-10"/>
        </w:rPr>
        <w:t> </w:t>
      </w:r>
      <w:r>
        <w:rPr/>
        <w:t>月</w:t>
      </w:r>
      <w:r>
        <w:rPr>
          <w:spacing w:val="-59"/>
        </w:rPr>
        <w:t> </w:t>
      </w:r>
      <w:r>
        <w:rPr>
          <w:rFonts w:ascii="Arial" w:hAnsi="Arial" w:cs="Arial" w:eastAsia="Arial" w:hint="default"/>
        </w:rPr>
        <w:t>7</w:t>
      </w:r>
      <w:r>
        <w:rPr>
          <w:rFonts w:ascii="Arial" w:hAnsi="Arial" w:cs="Arial" w:eastAsia="Arial" w:hint="default"/>
          <w:spacing w:val="-10"/>
        </w:rPr>
        <w:t> </w:t>
      </w:r>
      <w:r>
        <w:rPr/>
        <w:t>日经联通集团</w:t>
      </w:r>
      <w:r>
        <w:rPr>
          <w:w w:val="99"/>
        </w:rPr>
        <w:t> </w:t>
      </w:r>
      <w:r>
        <w:rPr/>
        <w:t>授权在中国境内开始</w:t>
      </w:r>
      <w:r>
        <w:rPr>
          <w:spacing w:val="-56"/>
        </w:rPr>
        <w:t> </w:t>
      </w:r>
      <w:r>
        <w:rPr>
          <w:rFonts w:ascii="Arial" w:hAnsi="Arial" w:cs="Arial" w:eastAsia="Arial" w:hint="default"/>
        </w:rPr>
        <w:t>3G</w:t>
      </w:r>
      <w:r>
        <w:rPr>
          <w:rFonts w:ascii="Arial" w:hAnsi="Arial" w:cs="Arial" w:eastAsia="Arial" w:hint="default"/>
          <w:spacing w:val="-8"/>
        </w:rPr>
        <w:t> </w:t>
      </w:r>
      <w:r>
        <w:rPr/>
        <w:t>网络建设，并于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10</w:t>
      </w:r>
      <w:r>
        <w:rPr>
          <w:rFonts w:ascii="Arial" w:hAnsi="Arial" w:cs="Arial" w:eastAsia="Arial" w:hint="default"/>
          <w:spacing w:val="-7"/>
        </w:rPr>
        <w:t> </w:t>
      </w:r>
      <w:r>
        <w:rPr/>
        <w:t>月正式投入运营。</w:t>
      </w:r>
    </w:p>
    <w:p>
      <w:pPr>
        <w:spacing w:line="240" w:lineRule="auto" w:before="4"/>
        <w:rPr>
          <w:rFonts w:ascii="宋体" w:hAnsi="宋体" w:cs="宋体" w:eastAsia="宋体" w:hint="default"/>
          <w:sz w:val="19"/>
          <w:szCs w:val="19"/>
        </w:rPr>
      </w:pPr>
    </w:p>
    <w:p>
      <w:pPr>
        <w:pStyle w:val="BodyText"/>
        <w:spacing w:line="286" w:lineRule="exact"/>
        <w:ind w:left="540" w:right="90" w:hanging="435"/>
        <w:jc w:val="left"/>
      </w:pPr>
      <w:r>
        <w:rPr>
          <w:rFonts w:ascii="Arial" w:hAnsi="Arial" w:cs="Arial" w:eastAsia="Arial" w:hint="default"/>
        </w:rPr>
        <w:t>(3) </w:t>
      </w:r>
      <w:r>
        <w:rPr/>
        <w:t>系统集成公司和宽带在线公司是网通运营公司于 </w:t>
      </w:r>
      <w:r>
        <w:rPr>
          <w:rFonts w:ascii="Arial" w:hAnsi="Arial" w:cs="Arial" w:eastAsia="Arial" w:hint="default"/>
        </w:rPr>
        <w:t>2006</w:t>
      </w:r>
      <w:r>
        <w:rPr>
          <w:rFonts w:ascii="Arial" w:hAnsi="Arial" w:cs="Arial" w:eastAsia="Arial" w:hint="default"/>
          <w:spacing w:val="12"/>
        </w:rPr>
        <w:t> </w:t>
      </w:r>
      <w:r>
        <w:rPr/>
        <w:t>年在中国境内设立的两家全资子公司，</w:t>
      </w:r>
      <w:r>
        <w:rPr>
          <w:w w:val="99"/>
        </w:rPr>
        <w:t> </w:t>
      </w:r>
      <w:r>
        <w:rPr/>
        <w:t>主要从事系统集成和互联网方面的业务。</w:t>
      </w:r>
    </w:p>
    <w:p>
      <w:pPr>
        <w:spacing w:line="240" w:lineRule="auto" w:before="3"/>
        <w:rPr>
          <w:rFonts w:ascii="宋体" w:hAnsi="宋体" w:cs="宋体" w:eastAsia="宋体" w:hint="default"/>
          <w:sz w:val="19"/>
          <w:szCs w:val="19"/>
        </w:rPr>
      </w:pPr>
    </w:p>
    <w:p>
      <w:pPr>
        <w:pStyle w:val="BodyText"/>
        <w:spacing w:line="286" w:lineRule="exact"/>
        <w:ind w:left="540" w:right="207" w:hanging="1"/>
        <w:jc w:val="both"/>
      </w:pPr>
      <w:r>
        <w:rPr/>
        <w:t>系统集成公司于</w:t>
      </w:r>
      <w:r>
        <w:rPr>
          <w:spacing w:val="-52"/>
        </w:rPr>
        <w:t> </w:t>
      </w:r>
      <w:r>
        <w:rPr>
          <w:rFonts w:ascii="Arial" w:hAnsi="Arial" w:cs="Arial" w:eastAsia="Arial" w:hint="default"/>
        </w:rPr>
        <w:t>2007</w:t>
      </w:r>
      <w:r>
        <w:rPr>
          <w:rFonts w:ascii="Arial" w:hAnsi="Arial" w:cs="Arial" w:eastAsia="Arial" w:hint="default"/>
          <w:spacing w:val="-2"/>
        </w:rPr>
        <w:t> </w:t>
      </w:r>
      <w:r>
        <w:rPr/>
        <w:t>年</w:t>
      </w:r>
      <w:r>
        <w:rPr>
          <w:spacing w:val="-53"/>
        </w:rPr>
        <w:t> </w:t>
      </w:r>
      <w:r>
        <w:rPr>
          <w:rFonts w:ascii="Arial" w:hAnsi="Arial" w:cs="Arial" w:eastAsia="Arial" w:hint="default"/>
        </w:rPr>
        <w:t>12</w:t>
      </w:r>
      <w:r>
        <w:rPr>
          <w:rFonts w:ascii="Arial" w:hAnsi="Arial" w:cs="Arial" w:eastAsia="Arial" w:hint="default"/>
          <w:spacing w:val="-3"/>
        </w:rPr>
        <w:t> </w:t>
      </w:r>
      <w:r>
        <w:rPr/>
        <w:t>月</w:t>
      </w:r>
      <w:r>
        <w:rPr>
          <w:spacing w:val="-53"/>
        </w:rPr>
        <w:t> </w:t>
      </w:r>
      <w:r>
        <w:rPr>
          <w:rFonts w:ascii="Arial" w:hAnsi="Arial" w:cs="Arial" w:eastAsia="Arial" w:hint="default"/>
        </w:rPr>
        <w:t>31</w:t>
      </w:r>
      <w:r>
        <w:rPr>
          <w:rFonts w:ascii="Arial" w:hAnsi="Arial" w:cs="Arial" w:eastAsia="Arial" w:hint="default"/>
          <w:spacing w:val="-2"/>
        </w:rPr>
        <w:t> </w:t>
      </w:r>
      <w:r>
        <w:rPr/>
        <w:t>日以人民币约</w:t>
      </w:r>
      <w:r>
        <w:rPr>
          <w:spacing w:val="-52"/>
        </w:rPr>
        <w:t> </w:t>
      </w:r>
      <w:r>
        <w:rPr>
          <w:rFonts w:ascii="Arial" w:hAnsi="Arial" w:cs="Arial" w:eastAsia="Arial" w:hint="default"/>
        </w:rPr>
        <w:t>3</w:t>
      </w:r>
      <w:r>
        <w:rPr>
          <w:rFonts w:ascii="Arial" w:hAnsi="Arial" w:cs="Arial" w:eastAsia="Arial" w:hint="default"/>
          <w:spacing w:val="-4"/>
        </w:rPr>
        <w:t> </w:t>
      </w:r>
      <w:r>
        <w:rPr/>
        <w:t>亿元的对价完成了向中国网通集团北京市通</w:t>
      </w:r>
      <w:r>
        <w:rPr>
          <w:w w:val="99"/>
        </w:rPr>
        <w:t> </w:t>
      </w:r>
      <w:r>
        <w:rPr/>
        <w:t>信公司（网通集团所属子公司）收购其所属子公司规划设计院的全部股权。规划设计院是北京</w:t>
      </w:r>
      <w:r>
        <w:rPr>
          <w:spacing w:val="-87"/>
        </w:rPr>
        <w:t> </w:t>
      </w:r>
      <w:r>
        <w:rPr>
          <w:spacing w:val="-87"/>
        </w:rPr>
      </w:r>
      <w:r>
        <w:rPr/>
        <w:t>电信规划设计院进行公司制改制后于</w:t>
      </w:r>
      <w:r>
        <w:rPr>
          <w:spacing w:val="-56"/>
        </w:rPr>
        <w:t> </w:t>
      </w:r>
      <w:r>
        <w:rPr>
          <w:rFonts w:ascii="Arial" w:hAnsi="Arial" w:cs="Arial" w:eastAsia="Arial" w:hint="default"/>
        </w:rPr>
        <w:t>2007</w:t>
      </w:r>
      <w:r>
        <w:rPr>
          <w:rFonts w:ascii="Arial" w:hAnsi="Arial" w:cs="Arial" w:eastAsia="Arial" w:hint="default"/>
          <w:spacing w:val="-7"/>
        </w:rPr>
        <w:t> </w:t>
      </w:r>
      <w:r>
        <w:rPr/>
        <w:t>年</w:t>
      </w:r>
      <w:r>
        <w:rPr>
          <w:spacing w:val="-56"/>
        </w:rPr>
        <w:t> </w:t>
      </w:r>
      <w:r>
        <w:rPr>
          <w:rFonts w:ascii="Arial" w:hAnsi="Arial" w:cs="Arial" w:eastAsia="Arial" w:hint="default"/>
        </w:rPr>
        <w:t>6</w:t>
      </w:r>
      <w:r>
        <w:rPr>
          <w:rFonts w:ascii="Arial" w:hAnsi="Arial" w:cs="Arial" w:eastAsia="Arial" w:hint="default"/>
          <w:spacing w:val="-7"/>
        </w:rPr>
        <w:t> </w:t>
      </w:r>
      <w:r>
        <w:rPr/>
        <w:t>月</w:t>
      </w:r>
      <w:r>
        <w:rPr>
          <w:spacing w:val="-56"/>
        </w:rPr>
        <w:t> </w:t>
      </w:r>
      <w:r>
        <w:rPr>
          <w:rFonts w:ascii="Arial" w:hAnsi="Arial" w:cs="Arial" w:eastAsia="Arial" w:hint="default"/>
        </w:rPr>
        <w:t>1</w:t>
      </w:r>
      <w:r>
        <w:rPr>
          <w:rFonts w:ascii="Arial" w:hAnsi="Arial" w:cs="Arial" w:eastAsia="Arial" w:hint="default"/>
          <w:spacing w:val="-7"/>
        </w:rPr>
        <w:t> </w:t>
      </w:r>
      <w:r>
        <w:rPr/>
        <w:t>日组建的有限公司。</w:t>
      </w:r>
    </w:p>
    <w:p>
      <w:pPr>
        <w:spacing w:line="240" w:lineRule="auto" w:before="3"/>
        <w:rPr>
          <w:rFonts w:ascii="宋体" w:hAnsi="宋体" w:cs="宋体" w:eastAsia="宋体" w:hint="default"/>
          <w:sz w:val="19"/>
          <w:szCs w:val="19"/>
        </w:rPr>
      </w:pPr>
    </w:p>
    <w:p>
      <w:pPr>
        <w:pStyle w:val="BodyText"/>
        <w:spacing w:line="286" w:lineRule="exact"/>
        <w:ind w:left="540" w:right="207"/>
        <w:jc w:val="both"/>
      </w:pPr>
      <w:r>
        <w:rPr/>
        <w:t>另外网通运营公司于</w:t>
      </w:r>
      <w:r>
        <w:rPr>
          <w:spacing w:val="-65"/>
        </w:rPr>
        <w:t> </w:t>
      </w:r>
      <w:r>
        <w:rPr>
          <w:rFonts w:ascii="Arial" w:hAnsi="Arial" w:cs="Arial" w:eastAsia="Arial" w:hint="default"/>
        </w:rPr>
        <w:t>2008</w:t>
      </w:r>
      <w:r>
        <w:rPr>
          <w:rFonts w:ascii="Arial" w:hAnsi="Arial" w:cs="Arial" w:eastAsia="Arial" w:hint="default"/>
          <w:spacing w:val="-16"/>
        </w:rPr>
        <w:t> </w:t>
      </w:r>
      <w:r>
        <w:rPr/>
        <w:t>年</w:t>
      </w:r>
      <w:r>
        <w:rPr>
          <w:spacing w:val="-65"/>
        </w:rPr>
        <w:t> </w:t>
      </w:r>
      <w:r>
        <w:rPr>
          <w:rFonts w:ascii="Arial" w:hAnsi="Arial" w:cs="Arial" w:eastAsia="Arial" w:hint="default"/>
        </w:rPr>
        <w:t>3</w:t>
      </w:r>
      <w:r>
        <w:rPr>
          <w:rFonts w:ascii="Arial" w:hAnsi="Arial" w:cs="Arial" w:eastAsia="Arial" w:hint="default"/>
          <w:spacing w:val="-16"/>
        </w:rPr>
        <w:t> </w:t>
      </w:r>
      <w:r>
        <w:rPr/>
        <w:t>月</w:t>
      </w:r>
      <w:r>
        <w:rPr>
          <w:spacing w:val="-65"/>
        </w:rPr>
        <w:t> </w:t>
      </w:r>
      <w:r>
        <w:rPr>
          <w:rFonts w:ascii="Arial" w:hAnsi="Arial" w:cs="Arial" w:eastAsia="Arial" w:hint="default"/>
        </w:rPr>
        <w:t>31</w:t>
      </w:r>
      <w:r>
        <w:rPr>
          <w:rFonts w:ascii="Arial" w:hAnsi="Arial" w:cs="Arial" w:eastAsia="Arial" w:hint="default"/>
          <w:spacing w:val="-16"/>
        </w:rPr>
        <w:t> </w:t>
      </w:r>
      <w:r>
        <w:rPr/>
        <w:t>日还在中国北京设立了全资子公司中融信息，主要从事信</w:t>
      </w:r>
      <w:r>
        <w:rPr>
          <w:w w:val="99"/>
        </w:rPr>
        <w:t> </w:t>
      </w:r>
      <w:r>
        <w:rPr/>
        <w:t>息咨询和技术开发方面的业务。</w:t>
      </w:r>
    </w:p>
    <w:p>
      <w:pPr>
        <w:spacing w:line="240" w:lineRule="auto" w:before="6"/>
        <w:rPr>
          <w:rFonts w:ascii="宋体" w:hAnsi="宋体" w:cs="宋体" w:eastAsia="宋体" w:hint="default"/>
          <w:sz w:val="19"/>
          <w:szCs w:val="19"/>
        </w:rPr>
      </w:pPr>
    </w:p>
    <w:p>
      <w:pPr>
        <w:pStyle w:val="BodyText"/>
        <w:spacing w:line="284" w:lineRule="exact"/>
        <w:ind w:left="540" w:right="208"/>
        <w:jc w:val="both"/>
      </w:pPr>
      <w:r>
        <w:rPr/>
        <w:t>如附注一（</w:t>
      </w:r>
      <w:r>
        <w:rPr>
          <w:rFonts w:ascii="Arial" w:hAnsi="Arial" w:cs="Arial" w:eastAsia="Arial" w:hint="default"/>
        </w:rPr>
        <w:t>4</w:t>
      </w:r>
      <w:r>
        <w:rPr/>
        <w:t>）所述，在联通运营公司于</w:t>
      </w:r>
      <w:r>
        <w:rPr>
          <w:spacing w:val="-66"/>
        </w:rPr>
        <w:t> </w:t>
      </w:r>
      <w:r>
        <w:rPr>
          <w:rFonts w:ascii="Arial" w:hAnsi="Arial" w:cs="Arial" w:eastAsia="Arial" w:hint="default"/>
        </w:rPr>
        <w:t>2009</w:t>
      </w:r>
      <w:r>
        <w:rPr>
          <w:rFonts w:ascii="Arial" w:hAnsi="Arial" w:cs="Arial" w:eastAsia="Arial" w:hint="default"/>
          <w:spacing w:val="-17"/>
        </w:rPr>
        <w:t> </w:t>
      </w:r>
      <w:r>
        <w:rPr/>
        <w:t>年</w:t>
      </w:r>
      <w:r>
        <w:rPr>
          <w:spacing w:val="-66"/>
        </w:rPr>
        <w:t> </w:t>
      </w:r>
      <w:r>
        <w:rPr>
          <w:rFonts w:ascii="Arial" w:hAnsi="Arial" w:cs="Arial" w:eastAsia="Arial" w:hint="default"/>
        </w:rPr>
        <w:t>1</w:t>
      </w:r>
      <w:r>
        <w:rPr>
          <w:rFonts w:ascii="Arial" w:hAnsi="Arial" w:cs="Arial" w:eastAsia="Arial" w:hint="default"/>
          <w:spacing w:val="-17"/>
        </w:rPr>
        <w:t> </w:t>
      </w:r>
      <w:r>
        <w:rPr/>
        <w:t>月完成吸收合并网通运营公司后，系统集成</w:t>
      </w:r>
      <w:r>
        <w:rPr>
          <w:w w:val="99"/>
        </w:rPr>
        <w:t> </w:t>
      </w:r>
      <w:r>
        <w:rPr/>
        <w:t>公司、宽带在线公司、规划设计院以及中融信息成为联通运营公司的全资子公司。</w:t>
      </w:r>
    </w:p>
    <w:p>
      <w:pPr>
        <w:spacing w:after="0" w:line="284" w:lineRule="exact"/>
        <w:jc w:val="both"/>
        <w:sectPr>
          <w:headerReference w:type="default" r:id="rId70"/>
          <w:pgSz w:w="11910" w:h="16840"/>
          <w:pgMar w:header="1189" w:footer="600" w:top="3080" w:bottom="780" w:left="1280" w:right="820"/>
        </w:sectPr>
      </w:pPr>
    </w:p>
    <w:p>
      <w:pPr>
        <w:spacing w:line="240" w:lineRule="auto" w:before="3"/>
        <w:rPr>
          <w:rFonts w:ascii="宋体" w:hAnsi="宋体" w:cs="宋体" w:eastAsia="宋体" w:hint="default"/>
          <w:sz w:val="19"/>
          <w:szCs w:val="19"/>
        </w:rPr>
      </w:pPr>
    </w:p>
    <w:p>
      <w:pPr>
        <w:pStyle w:val="BodyText"/>
        <w:spacing w:line="451" w:lineRule="auto" w:before="31"/>
        <w:ind w:left="526" w:right="6961" w:hanging="393"/>
        <w:jc w:val="left"/>
      </w:pPr>
      <w:r>
        <w:rPr>
          <w:rFonts w:ascii="Arial" w:hAnsi="Arial" w:cs="Arial" w:eastAsia="Arial" w:hint="default"/>
        </w:rPr>
        <w:t>1</w:t>
      </w:r>
      <w:r>
        <w:rPr/>
        <w:t>、</w:t>
      </w:r>
      <w:r>
        <w:rPr>
          <w:spacing w:val="-62"/>
        </w:rPr>
        <w:t> </w:t>
      </w:r>
      <w:r>
        <w:rPr/>
        <w:t>重要子公司情况（续）</w:t>
      </w:r>
      <w:r>
        <w:rPr>
          <w:w w:val="99"/>
        </w:rPr>
        <w:t> </w:t>
      </w:r>
      <w:r>
        <w:rPr/>
        <w:t>注释（续）</w:t>
      </w:r>
    </w:p>
    <w:p>
      <w:pPr>
        <w:pStyle w:val="BodyText"/>
        <w:spacing w:line="232" w:lineRule="auto" w:before="65"/>
        <w:ind w:left="526" w:right="106" w:hanging="420"/>
        <w:jc w:val="both"/>
      </w:pPr>
      <w:r>
        <w:rPr>
          <w:rFonts w:ascii="Arial" w:hAnsi="Arial" w:cs="Arial" w:eastAsia="Arial" w:hint="default"/>
        </w:rPr>
        <w:t>(4)</w:t>
      </w:r>
      <w:r>
        <w:rPr>
          <w:rFonts w:ascii="Arial" w:hAnsi="Arial" w:cs="Arial" w:eastAsia="Arial" w:hint="default"/>
          <w:spacing w:val="15"/>
        </w:rPr>
        <w:t> </w:t>
      </w:r>
      <w:r>
        <w:rPr/>
        <w:t>中讯设计院原为联通集团所属子企业，于</w:t>
      </w:r>
      <w:r>
        <w:rPr>
          <w:spacing w:val="-60"/>
        </w:rPr>
        <w:t> </w:t>
      </w:r>
      <w:r>
        <w:rPr>
          <w:rFonts w:ascii="Arial" w:hAnsi="Arial" w:cs="Arial" w:eastAsia="Arial" w:hint="default"/>
        </w:rPr>
        <w:t>2008</w:t>
      </w:r>
      <w:r>
        <w:rPr>
          <w:rFonts w:ascii="Arial" w:hAnsi="Arial" w:cs="Arial" w:eastAsia="Arial" w:hint="default"/>
          <w:spacing w:val="-11"/>
        </w:rPr>
        <w:t> </w:t>
      </w:r>
      <w:r>
        <w:rPr/>
        <w:t>年</w:t>
      </w:r>
      <w:r>
        <w:rPr>
          <w:spacing w:val="-60"/>
        </w:rPr>
        <w:t> </w:t>
      </w:r>
      <w:r>
        <w:rPr>
          <w:rFonts w:ascii="Arial" w:hAnsi="Arial" w:cs="Arial" w:eastAsia="Arial" w:hint="default"/>
        </w:rPr>
        <w:t>9</w:t>
      </w:r>
      <w:r>
        <w:rPr>
          <w:rFonts w:ascii="Arial" w:hAnsi="Arial" w:cs="Arial" w:eastAsia="Arial" w:hint="default"/>
          <w:spacing w:val="-11"/>
        </w:rPr>
        <w:t> </w:t>
      </w:r>
      <w:r>
        <w:rPr/>
        <w:t>月</w:t>
      </w:r>
      <w:r>
        <w:rPr>
          <w:spacing w:val="-60"/>
        </w:rPr>
        <w:t> </w:t>
      </w:r>
      <w:r>
        <w:rPr>
          <w:rFonts w:ascii="Arial" w:hAnsi="Arial" w:cs="Arial" w:eastAsia="Arial" w:hint="default"/>
        </w:rPr>
        <w:t>27</w:t>
      </w:r>
      <w:r>
        <w:rPr>
          <w:rFonts w:ascii="Arial" w:hAnsi="Arial" w:cs="Arial" w:eastAsia="Arial" w:hint="default"/>
          <w:spacing w:val="-11"/>
        </w:rPr>
        <w:t> </w:t>
      </w:r>
      <w:r>
        <w:rPr/>
        <w:t>日，中讯设计院完成公司制改制后在</w:t>
      </w:r>
      <w:r>
        <w:rPr>
          <w:w w:val="99"/>
        </w:rPr>
        <w:t> </w:t>
      </w:r>
      <w:r>
        <w:rPr/>
        <w:t>中国北京注册成立为一家有限责任公司，其主要经营范围包括：通信信息工程和建筑工程的咨</w:t>
      </w:r>
      <w:r>
        <w:rPr>
          <w:spacing w:val="1"/>
          <w:w w:val="99"/>
        </w:rPr>
        <w:t> </w:t>
      </w:r>
      <w:r>
        <w:rPr/>
        <w:t>询、勘察、设计、监理、工程总承包；信息网络、通信网络的设计、集成、软件开发、技术开</w:t>
      </w:r>
      <w:r>
        <w:rPr>
          <w:spacing w:val="1"/>
          <w:w w:val="99"/>
        </w:rPr>
        <w:t> </w:t>
      </w:r>
      <w:r>
        <w:rPr/>
        <w:t>发、技术咨询、技术服务、技术转让、技术劳务服务等。</w:t>
      </w:r>
    </w:p>
    <w:p>
      <w:pPr>
        <w:spacing w:line="240" w:lineRule="auto" w:before="7"/>
        <w:rPr>
          <w:rFonts w:ascii="宋体" w:hAnsi="宋体" w:cs="宋体" w:eastAsia="宋体" w:hint="default"/>
          <w:sz w:val="21"/>
          <w:szCs w:val="21"/>
        </w:rPr>
      </w:pPr>
    </w:p>
    <w:p>
      <w:pPr>
        <w:pStyle w:val="BodyText"/>
        <w:spacing w:line="284" w:lineRule="exact"/>
        <w:ind w:left="553" w:right="106"/>
        <w:jc w:val="both"/>
      </w:pPr>
      <w:r>
        <w:rPr/>
        <w:t>中讯设计院目前下属有华夏邮电咨询监理有限公司、郑州凯成实业有限公司和郑州中讯邮电设</w:t>
      </w:r>
      <w:r>
        <w:rPr>
          <w:spacing w:val="-102"/>
        </w:rPr>
        <w:t> </w:t>
      </w:r>
      <w:r>
        <w:rPr>
          <w:spacing w:val="-102"/>
        </w:rPr>
      </w:r>
      <w:r>
        <w:rPr/>
        <w:t>计技术杂志社三家子公司。</w:t>
      </w:r>
    </w:p>
    <w:p>
      <w:pPr>
        <w:spacing w:line="240" w:lineRule="auto" w:before="3"/>
        <w:rPr>
          <w:rFonts w:ascii="宋体" w:hAnsi="宋体" w:cs="宋体" w:eastAsia="宋体" w:hint="default"/>
          <w:sz w:val="17"/>
          <w:szCs w:val="17"/>
        </w:rPr>
      </w:pPr>
    </w:p>
    <w:p>
      <w:pPr>
        <w:pStyle w:val="BodyText"/>
        <w:spacing w:line="295" w:lineRule="exact"/>
        <w:ind w:left="526" w:right="0"/>
        <w:jc w:val="both"/>
      </w:pPr>
      <w:r>
        <w:rPr/>
        <w:t>联通新国信原为联通集团的子公司，于</w:t>
      </w:r>
      <w:r>
        <w:rPr>
          <w:spacing w:val="-63"/>
        </w:rPr>
        <w:t> </w:t>
      </w:r>
      <w:r>
        <w:rPr>
          <w:rFonts w:ascii="Arial" w:hAnsi="Arial" w:cs="Arial" w:eastAsia="Arial" w:hint="default"/>
        </w:rPr>
        <w:t>1998</w:t>
      </w:r>
      <w:r>
        <w:rPr>
          <w:rFonts w:ascii="Arial" w:hAnsi="Arial" w:cs="Arial" w:eastAsia="Arial" w:hint="default"/>
          <w:spacing w:val="-14"/>
        </w:rPr>
        <w:t> </w:t>
      </w:r>
      <w:r>
        <w:rPr/>
        <w:t>年</w:t>
      </w:r>
      <w:r>
        <w:rPr>
          <w:spacing w:val="-63"/>
        </w:rPr>
        <w:t> </w:t>
      </w:r>
      <w:r>
        <w:rPr>
          <w:rFonts w:ascii="Arial" w:hAnsi="Arial" w:cs="Arial" w:eastAsia="Arial" w:hint="default"/>
        </w:rPr>
        <w:t>9</w:t>
      </w:r>
      <w:r>
        <w:rPr>
          <w:rFonts w:ascii="Arial" w:hAnsi="Arial" w:cs="Arial" w:eastAsia="Arial" w:hint="default"/>
          <w:spacing w:val="-14"/>
        </w:rPr>
        <w:t> </w:t>
      </w:r>
      <w:r>
        <w:rPr/>
        <w:t>月</w:t>
      </w:r>
      <w:r>
        <w:rPr>
          <w:spacing w:val="-63"/>
        </w:rPr>
        <w:t> </w:t>
      </w:r>
      <w:r>
        <w:rPr>
          <w:rFonts w:ascii="Arial" w:hAnsi="Arial" w:cs="Arial" w:eastAsia="Arial" w:hint="default"/>
        </w:rPr>
        <w:t>17</w:t>
      </w:r>
      <w:r>
        <w:rPr>
          <w:rFonts w:ascii="Arial" w:hAnsi="Arial" w:cs="Arial" w:eastAsia="Arial" w:hint="default"/>
          <w:spacing w:val="-14"/>
        </w:rPr>
        <w:t> </w:t>
      </w:r>
      <w:r>
        <w:rPr/>
        <w:t>日在中国北京注册成立。目前的主营业</w:t>
      </w:r>
    </w:p>
    <w:p>
      <w:pPr>
        <w:pStyle w:val="BodyText"/>
        <w:spacing w:line="284" w:lineRule="exact" w:before="20"/>
        <w:ind w:left="526" w:right="107"/>
        <w:jc w:val="both"/>
      </w:pPr>
      <w:r>
        <w:rPr/>
        <w:t>务为向联通运营公司提供客户服务，例如</w:t>
      </w:r>
      <w:r>
        <w:rPr>
          <w:spacing w:val="-64"/>
        </w:rPr>
        <w:t> </w:t>
      </w:r>
      <w:r>
        <w:rPr>
          <w:rFonts w:ascii="Arial" w:hAnsi="Arial" w:cs="Arial" w:eastAsia="Arial" w:hint="default"/>
        </w:rPr>
        <w:t>10010</w:t>
      </w:r>
      <w:r>
        <w:rPr>
          <w:rFonts w:ascii="Arial" w:hAnsi="Arial" w:cs="Arial" w:eastAsia="Arial" w:hint="default"/>
          <w:spacing w:val="-15"/>
        </w:rPr>
        <w:t> </w:t>
      </w:r>
      <w:r>
        <w:rPr/>
        <w:t>服务热线，以及基于综合人工信息服务平台开</w:t>
      </w:r>
      <w:r>
        <w:rPr>
          <w:w w:val="99"/>
        </w:rPr>
        <w:t> </w:t>
      </w:r>
      <w:r>
        <w:rPr/>
        <w:t>展的联通秘书、电话营销、联通导航等业务。</w:t>
      </w:r>
    </w:p>
    <w:p>
      <w:pPr>
        <w:spacing w:line="240" w:lineRule="auto" w:before="5"/>
        <w:rPr>
          <w:rFonts w:ascii="宋体" w:hAnsi="宋体" w:cs="宋体" w:eastAsia="宋体" w:hint="default"/>
          <w:sz w:val="19"/>
          <w:szCs w:val="19"/>
        </w:rPr>
      </w:pPr>
    </w:p>
    <w:p>
      <w:pPr>
        <w:pStyle w:val="BodyText"/>
        <w:spacing w:line="286" w:lineRule="exact"/>
        <w:ind w:left="541" w:right="106" w:hanging="15"/>
        <w:jc w:val="both"/>
      </w:pPr>
      <w:r>
        <w:rPr/>
        <w:t>联通兴业原为联通集团的子公司，于</w:t>
      </w:r>
      <w:r>
        <w:rPr>
          <w:spacing w:val="-46"/>
        </w:rPr>
        <w:t> </w:t>
      </w:r>
      <w:r>
        <w:rPr>
          <w:rFonts w:ascii="Arial" w:hAnsi="Arial" w:cs="Arial" w:eastAsia="Arial" w:hint="default"/>
        </w:rPr>
        <w:t>2000</w:t>
      </w:r>
      <w:r>
        <w:rPr>
          <w:rFonts w:ascii="Arial" w:hAnsi="Arial" w:cs="Arial" w:eastAsia="Arial" w:hint="default"/>
          <w:spacing w:val="3"/>
        </w:rPr>
        <w:t> </w:t>
      </w:r>
      <w:r>
        <w:rPr/>
        <w:t>年</w:t>
      </w:r>
      <w:r>
        <w:rPr>
          <w:spacing w:val="-46"/>
        </w:rPr>
        <w:t> </w:t>
      </w:r>
      <w:r>
        <w:rPr>
          <w:rFonts w:ascii="Arial" w:hAnsi="Arial" w:cs="Arial" w:eastAsia="Arial" w:hint="default"/>
        </w:rPr>
        <w:t>10</w:t>
      </w:r>
      <w:r>
        <w:rPr>
          <w:rFonts w:ascii="Arial" w:hAnsi="Arial" w:cs="Arial" w:eastAsia="Arial" w:hint="default"/>
          <w:spacing w:val="3"/>
        </w:rPr>
        <w:t> </w:t>
      </w:r>
      <w:r>
        <w:rPr/>
        <w:t>月</w:t>
      </w:r>
      <w:r>
        <w:rPr>
          <w:spacing w:val="-47"/>
        </w:rPr>
        <w:t> </w:t>
      </w:r>
      <w:r>
        <w:rPr>
          <w:rFonts w:ascii="Arial" w:hAnsi="Arial" w:cs="Arial" w:eastAsia="Arial" w:hint="default"/>
        </w:rPr>
        <w:t>30</w:t>
      </w:r>
      <w:r>
        <w:rPr>
          <w:rFonts w:ascii="Arial" w:hAnsi="Arial" w:cs="Arial" w:eastAsia="Arial" w:hint="default"/>
          <w:spacing w:val="3"/>
        </w:rPr>
        <w:t> </w:t>
      </w:r>
      <w:r>
        <w:rPr/>
        <w:t>日在中国北京注册成立。目前的主营业</w:t>
      </w:r>
      <w:r>
        <w:rPr>
          <w:w w:val="99"/>
        </w:rPr>
        <w:t> </w:t>
      </w:r>
      <w:r>
        <w:rPr/>
        <w:t>务是向联通运营公司提供移动通信业务所需的手机识别卡，同时也从事一些技术开发、通信设</w:t>
      </w:r>
      <w:r>
        <w:rPr>
          <w:spacing w:val="-101"/>
        </w:rPr>
        <w:t> </w:t>
      </w:r>
      <w:r>
        <w:rPr>
          <w:spacing w:val="-101"/>
        </w:rPr>
      </w:r>
      <w:r>
        <w:rPr/>
        <w:t>备、电子计算机及配件的销售等业务。</w:t>
      </w:r>
    </w:p>
    <w:p>
      <w:pPr>
        <w:spacing w:line="240" w:lineRule="auto" w:before="9"/>
        <w:rPr>
          <w:rFonts w:ascii="宋体" w:hAnsi="宋体" w:cs="宋体" w:eastAsia="宋体" w:hint="default"/>
          <w:sz w:val="17"/>
          <w:szCs w:val="17"/>
        </w:rPr>
      </w:pPr>
    </w:p>
    <w:p>
      <w:pPr>
        <w:pStyle w:val="BodyText"/>
        <w:spacing w:line="232" w:lineRule="auto"/>
        <w:ind w:left="540" w:right="106"/>
        <w:jc w:val="both"/>
      </w:pPr>
      <w:r>
        <w:rPr/>
        <w:t>北京通和兴电信科技有限公司（“北京通和兴”）是由联通兴业和威声企业有限公司共同出资</w:t>
      </w:r>
      <w:r>
        <w:rPr>
          <w:spacing w:val="-86"/>
        </w:rPr>
        <w:t> </w:t>
      </w:r>
      <w:r>
        <w:rPr>
          <w:spacing w:val="-86"/>
        </w:rPr>
      </w:r>
      <w:r>
        <w:rPr>
          <w:spacing w:val="6"/>
        </w:rPr>
        <w:t>组建的一家从事电信配套、计算机软硬件和系统集成的技术开发及相关产品销售的公司，于</w:t>
      </w:r>
      <w:r>
        <w:rPr>
          <w:w w:val="99"/>
        </w:rPr>
        <w:t> </w:t>
      </w:r>
      <w:r>
        <w:rPr>
          <w:rFonts w:ascii="Arial" w:hAnsi="Arial" w:cs="Arial" w:eastAsia="Arial" w:hint="default"/>
        </w:rPr>
        <w:t>2000 </w:t>
      </w:r>
      <w:r>
        <w:rPr/>
        <w:t>年</w:t>
      </w:r>
      <w:r>
        <w:rPr>
          <w:spacing w:val="-49"/>
        </w:rPr>
        <w:t> </w:t>
      </w:r>
      <w:r>
        <w:rPr>
          <w:rFonts w:ascii="Arial" w:hAnsi="Arial" w:cs="Arial" w:eastAsia="Arial" w:hint="default"/>
        </w:rPr>
        <w:t>12 </w:t>
      </w:r>
      <w:r>
        <w:rPr/>
        <w:t>月</w:t>
      </w:r>
      <w:r>
        <w:rPr>
          <w:spacing w:val="-49"/>
        </w:rPr>
        <w:t> </w:t>
      </w:r>
      <w:r>
        <w:rPr>
          <w:rFonts w:ascii="Arial" w:hAnsi="Arial" w:cs="Arial" w:eastAsia="Arial" w:hint="default"/>
        </w:rPr>
        <w:t>28 </w:t>
      </w:r>
      <w:r>
        <w:rPr/>
        <w:t>日在中国北京注册成立，联通兴业持有其</w:t>
      </w:r>
      <w:r>
        <w:rPr>
          <w:spacing w:val="-48"/>
        </w:rPr>
        <w:t> </w:t>
      </w:r>
      <w:r>
        <w:rPr>
          <w:rFonts w:ascii="Arial" w:hAnsi="Arial" w:cs="Arial" w:eastAsia="Arial" w:hint="default"/>
        </w:rPr>
        <w:t>51%</w:t>
      </w:r>
      <w:r>
        <w:rPr/>
        <w:t>的股权。目前北京通和兴处于</w:t>
      </w:r>
      <w:r>
        <w:rPr>
          <w:w w:val="99"/>
        </w:rPr>
        <w:t> </w:t>
      </w:r>
      <w:r>
        <w:rPr/>
        <w:t>暂停经营的状态，并无重大经营业务。</w:t>
      </w:r>
    </w:p>
    <w:p>
      <w:pPr>
        <w:spacing w:line="240" w:lineRule="auto" w:before="5"/>
        <w:rPr>
          <w:rFonts w:ascii="宋体" w:hAnsi="宋体" w:cs="宋体" w:eastAsia="宋体" w:hint="default"/>
          <w:sz w:val="21"/>
          <w:szCs w:val="21"/>
        </w:rPr>
      </w:pPr>
    </w:p>
    <w:p>
      <w:pPr>
        <w:pStyle w:val="BodyText"/>
        <w:spacing w:line="286" w:lineRule="exact"/>
        <w:ind w:left="554" w:right="108"/>
        <w:jc w:val="both"/>
      </w:pPr>
      <w:r>
        <w:rPr/>
        <w:t>如附注一（</w:t>
      </w:r>
      <w:r>
        <w:rPr>
          <w:rFonts w:ascii="Arial" w:hAnsi="Arial" w:cs="Arial" w:eastAsia="Arial" w:hint="default"/>
        </w:rPr>
        <w:t>6</w:t>
      </w:r>
      <w:r>
        <w:rPr/>
        <w:t>）所述，作为被收购的目标业务的一部分，在联通运营公司于</w:t>
      </w:r>
      <w:r>
        <w:rPr>
          <w:spacing w:val="-69"/>
        </w:rPr>
        <w:t> </w:t>
      </w:r>
      <w:r>
        <w:rPr>
          <w:rFonts w:ascii="Arial" w:hAnsi="Arial" w:cs="Arial" w:eastAsia="Arial" w:hint="default"/>
        </w:rPr>
        <w:t>2009</w:t>
      </w:r>
      <w:r>
        <w:rPr>
          <w:rFonts w:ascii="Arial" w:hAnsi="Arial" w:cs="Arial" w:eastAsia="Arial" w:hint="default"/>
          <w:spacing w:val="-21"/>
        </w:rPr>
        <w:t> </w:t>
      </w:r>
      <w:r>
        <w:rPr/>
        <w:t>年</w:t>
      </w:r>
      <w:r>
        <w:rPr>
          <w:spacing w:val="-70"/>
        </w:rPr>
        <w:t> </w:t>
      </w:r>
      <w:r>
        <w:rPr>
          <w:rFonts w:ascii="Arial" w:hAnsi="Arial" w:cs="Arial" w:eastAsia="Arial" w:hint="default"/>
        </w:rPr>
        <w:t>1</w:t>
      </w:r>
      <w:r>
        <w:rPr>
          <w:rFonts w:ascii="Arial" w:hAnsi="Arial" w:cs="Arial" w:eastAsia="Arial" w:hint="default"/>
          <w:spacing w:val="-21"/>
        </w:rPr>
        <w:t> </w:t>
      </w:r>
      <w:r>
        <w:rPr/>
        <w:t>月完成对</w:t>
      </w:r>
      <w:r>
        <w:rPr>
          <w:w w:val="99"/>
        </w:rPr>
        <w:t> </w:t>
      </w:r>
      <w:r>
        <w:rPr/>
        <w:t>目标业务的收购后，中讯设计院、联通新国信和联通兴业成为联通运营公司的全资子公司。</w:t>
      </w:r>
    </w:p>
    <w:p>
      <w:pPr>
        <w:spacing w:line="240" w:lineRule="auto" w:before="1"/>
        <w:rPr>
          <w:rFonts w:ascii="宋体" w:hAnsi="宋体" w:cs="宋体" w:eastAsia="宋体" w:hint="default"/>
          <w:sz w:val="17"/>
          <w:szCs w:val="17"/>
        </w:rPr>
      </w:pPr>
    </w:p>
    <w:p>
      <w:pPr>
        <w:pStyle w:val="BodyText"/>
        <w:spacing w:line="240" w:lineRule="auto"/>
        <w:ind w:left="106" w:right="109"/>
        <w:jc w:val="left"/>
      </w:pPr>
      <w:r>
        <w:rPr>
          <w:rFonts w:ascii="Arial" w:hAnsi="Arial" w:cs="Arial" w:eastAsia="Arial" w:hint="default"/>
        </w:rPr>
        <w:t>2</w:t>
      </w:r>
      <w:r>
        <w:rPr/>
        <w:t>、本年度新纳入合并范围的主体</w:t>
      </w:r>
    </w:p>
    <w:p>
      <w:pPr>
        <w:spacing w:line="240" w:lineRule="auto" w:before="12"/>
        <w:rPr>
          <w:rFonts w:ascii="宋体" w:hAnsi="宋体" w:cs="宋体" w:eastAsia="宋体" w:hint="default"/>
          <w:sz w:val="15"/>
          <w:szCs w:val="15"/>
        </w:rPr>
      </w:pPr>
    </w:p>
    <w:tbl>
      <w:tblPr>
        <w:tblW w:w="0" w:type="auto"/>
        <w:jc w:val="left"/>
        <w:tblInd w:w="421" w:type="dxa"/>
        <w:tblLayout w:type="fixed"/>
        <w:tblCellMar>
          <w:top w:w="0" w:type="dxa"/>
          <w:left w:w="0" w:type="dxa"/>
          <w:bottom w:w="0" w:type="dxa"/>
          <w:right w:w="0" w:type="dxa"/>
        </w:tblCellMar>
        <w:tblLook w:val="01E0"/>
      </w:tblPr>
      <w:tblGrid>
        <w:gridCol w:w="3820"/>
        <w:gridCol w:w="2714"/>
        <w:gridCol w:w="236"/>
        <w:gridCol w:w="2350"/>
      </w:tblGrid>
      <w:tr>
        <w:trPr>
          <w:trHeight w:val="362" w:hRule="exact"/>
        </w:trPr>
        <w:tc>
          <w:tcPr>
            <w:tcW w:w="3820"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2"/>
                <w:szCs w:val="22"/>
              </w:rPr>
            </w:pPr>
            <w:r>
              <w:rPr>
                <w:rFonts w:ascii="宋体" w:hAnsi="宋体" w:cs="宋体" w:eastAsia="宋体" w:hint="default"/>
                <w:sz w:val="22"/>
                <w:szCs w:val="22"/>
              </w:rPr>
              <w:t>（单位：人民币百万元）</w:t>
            </w:r>
          </w:p>
        </w:tc>
        <w:tc>
          <w:tcPr>
            <w:tcW w:w="2714"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100"/>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20"/>
                <w:sz w:val="22"/>
                <w:szCs w:val="22"/>
              </w:rPr>
              <w:t> </w:t>
            </w:r>
            <w:r>
              <w:rPr>
                <w:rFonts w:ascii="宋体" w:hAnsi="宋体" w:cs="宋体" w:eastAsia="宋体" w:hint="default"/>
                <w:sz w:val="22"/>
                <w:szCs w:val="22"/>
              </w:rPr>
              <w:t>年</w:t>
            </w:r>
            <w:r>
              <w:rPr>
                <w:rFonts w:ascii="宋体" w:hAnsi="宋体" w:cs="宋体" w:eastAsia="宋体" w:hint="default"/>
                <w:spacing w:val="-70"/>
                <w:sz w:val="22"/>
                <w:szCs w:val="22"/>
              </w:rPr>
              <w:t> </w:t>
            </w:r>
            <w:r>
              <w:rPr>
                <w:rFonts w:ascii="Arial" w:hAnsi="Arial" w:cs="Arial" w:eastAsia="Arial" w:hint="default"/>
                <w:sz w:val="22"/>
                <w:szCs w:val="22"/>
              </w:rPr>
              <w:t>12</w:t>
            </w:r>
            <w:r>
              <w:rPr>
                <w:rFonts w:ascii="Arial" w:hAnsi="Arial" w:cs="Arial" w:eastAsia="Arial" w:hint="default"/>
                <w:spacing w:val="-19"/>
                <w:sz w:val="22"/>
                <w:szCs w:val="22"/>
              </w:rPr>
              <w:t> </w:t>
            </w:r>
            <w:r>
              <w:rPr>
                <w:rFonts w:ascii="宋体" w:hAnsi="宋体" w:cs="宋体" w:eastAsia="宋体" w:hint="default"/>
                <w:sz w:val="22"/>
                <w:szCs w:val="22"/>
              </w:rPr>
              <w:t>月</w:t>
            </w:r>
            <w:r>
              <w:rPr>
                <w:rFonts w:ascii="宋体" w:hAnsi="宋体" w:cs="宋体" w:eastAsia="宋体" w:hint="default"/>
                <w:spacing w:val="-70"/>
                <w:sz w:val="22"/>
                <w:szCs w:val="22"/>
              </w:rPr>
              <w:t> </w:t>
            </w:r>
            <w:r>
              <w:rPr>
                <w:rFonts w:ascii="Arial" w:hAnsi="Arial" w:cs="Arial" w:eastAsia="Arial" w:hint="default"/>
                <w:sz w:val="22"/>
                <w:szCs w:val="22"/>
              </w:rPr>
              <w:t>31</w:t>
            </w:r>
            <w:r>
              <w:rPr>
                <w:rFonts w:ascii="Arial" w:hAnsi="Arial" w:cs="Arial" w:eastAsia="Arial" w:hint="default"/>
                <w:spacing w:val="-20"/>
                <w:sz w:val="22"/>
                <w:szCs w:val="22"/>
              </w:rPr>
              <w:t> </w:t>
            </w:r>
            <w:r>
              <w:rPr>
                <w:rFonts w:ascii="宋体" w:hAnsi="宋体" w:cs="宋体" w:eastAsia="宋体" w:hint="default"/>
                <w:sz w:val="22"/>
                <w:szCs w:val="22"/>
              </w:rPr>
              <w:t>日净资产</w:t>
            </w:r>
          </w:p>
        </w:tc>
        <w:tc>
          <w:tcPr>
            <w:tcW w:w="236" w:type="dxa"/>
            <w:tcBorders>
              <w:top w:val="nil" w:sz="6" w:space="0" w:color="auto"/>
              <w:left w:val="nil" w:sz="6" w:space="0" w:color="auto"/>
              <w:bottom w:val="nil" w:sz="6" w:space="0" w:color="auto"/>
              <w:right w:val="nil" w:sz="6" w:space="0" w:color="auto"/>
            </w:tcBorders>
          </w:tcPr>
          <w:p>
            <w:pPr/>
          </w:p>
        </w:tc>
        <w:tc>
          <w:tcPr>
            <w:tcW w:w="2350"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131"/>
              <w:jc w:val="right"/>
              <w:rPr>
                <w:rFonts w:ascii="宋体" w:hAnsi="宋体" w:cs="宋体" w:eastAsia="宋体" w:hint="default"/>
                <w:sz w:val="22"/>
                <w:szCs w:val="22"/>
              </w:rPr>
            </w:pPr>
            <w:r>
              <w:rPr>
                <w:rFonts w:ascii="宋体" w:hAnsi="宋体" w:cs="宋体" w:eastAsia="宋体" w:hint="default"/>
                <w:w w:val="95"/>
                <w:sz w:val="22"/>
                <w:szCs w:val="22"/>
              </w:rPr>
              <w:t>本期净利润</w:t>
            </w:r>
            <w:r>
              <w:rPr>
                <w:rFonts w:ascii="宋体" w:hAnsi="宋体" w:cs="宋体" w:eastAsia="宋体" w:hint="default"/>
                <w:sz w:val="22"/>
                <w:szCs w:val="22"/>
              </w:rPr>
            </w:r>
          </w:p>
        </w:tc>
      </w:tr>
      <w:tr>
        <w:trPr>
          <w:trHeight w:val="602" w:hRule="exact"/>
        </w:trPr>
        <w:tc>
          <w:tcPr>
            <w:tcW w:w="382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联通新国信（注</w:t>
            </w:r>
            <w:r>
              <w:rPr>
                <w:rFonts w:ascii="宋体" w:hAnsi="宋体" w:cs="宋体" w:eastAsia="宋体" w:hint="default"/>
                <w:spacing w:val="-57"/>
                <w:sz w:val="22"/>
                <w:szCs w:val="22"/>
              </w:rPr>
              <w:t> </w:t>
            </w:r>
            <w:r>
              <w:rPr>
                <w:rFonts w:ascii="Arial" w:hAnsi="Arial" w:cs="Arial" w:eastAsia="Arial" w:hint="default"/>
                <w:sz w:val="22"/>
                <w:szCs w:val="22"/>
              </w:rPr>
              <w:t>1</w:t>
            </w:r>
            <w:r>
              <w:rPr>
                <w:rFonts w:ascii="宋体" w:hAnsi="宋体" w:cs="宋体" w:eastAsia="宋体" w:hint="default"/>
                <w:sz w:val="22"/>
                <w:szCs w:val="22"/>
              </w:rPr>
              <w:t>）</w:t>
            </w:r>
          </w:p>
        </w:tc>
        <w:tc>
          <w:tcPr>
            <w:tcW w:w="2714"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73"/>
              <w:jc w:val="right"/>
              <w:rPr>
                <w:rFonts w:ascii="Arial" w:hAnsi="Arial" w:cs="Arial" w:eastAsia="Arial" w:hint="default"/>
                <w:sz w:val="22"/>
                <w:szCs w:val="22"/>
              </w:rPr>
            </w:pPr>
            <w:r>
              <w:rPr>
                <w:rFonts w:ascii="Arial"/>
                <w:w w:val="95"/>
                <w:sz w:val="22"/>
              </w:rPr>
              <w:t>1,408</w:t>
            </w:r>
            <w:r>
              <w:rPr>
                <w:rFonts w:ascii="Arial"/>
                <w:sz w:val="22"/>
              </w:rPr>
            </w:r>
          </w:p>
        </w:tc>
        <w:tc>
          <w:tcPr>
            <w:tcW w:w="236" w:type="dxa"/>
            <w:tcBorders>
              <w:top w:val="nil" w:sz="6" w:space="0" w:color="auto"/>
              <w:left w:val="nil" w:sz="6" w:space="0" w:color="auto"/>
              <w:bottom w:val="nil" w:sz="6" w:space="0" w:color="auto"/>
              <w:right w:val="nil" w:sz="6" w:space="0" w:color="auto"/>
            </w:tcBorders>
          </w:tcPr>
          <w:p>
            <w:pPr/>
          </w:p>
        </w:tc>
        <w:tc>
          <w:tcPr>
            <w:tcW w:w="2350"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84"/>
              <w:jc w:val="right"/>
              <w:rPr>
                <w:rFonts w:ascii="Arial" w:hAnsi="Arial" w:cs="Arial" w:eastAsia="Arial" w:hint="default"/>
                <w:sz w:val="22"/>
                <w:szCs w:val="22"/>
              </w:rPr>
            </w:pPr>
            <w:r>
              <w:rPr>
                <w:rFonts w:ascii="Arial"/>
                <w:w w:val="95"/>
                <w:sz w:val="22"/>
              </w:rPr>
              <w:t>193</w:t>
            </w:r>
            <w:r>
              <w:rPr>
                <w:rFonts w:ascii="Arial"/>
                <w:sz w:val="22"/>
              </w:rPr>
            </w:r>
          </w:p>
        </w:tc>
      </w:tr>
      <w:tr>
        <w:trPr>
          <w:trHeight w:val="290" w:hRule="exact"/>
        </w:trPr>
        <w:tc>
          <w:tcPr>
            <w:tcW w:w="3820" w:type="dxa"/>
            <w:tcBorders>
              <w:top w:val="nil" w:sz="6" w:space="0" w:color="auto"/>
              <w:left w:val="nil" w:sz="6" w:space="0" w:color="auto"/>
              <w:bottom w:val="nil" w:sz="6" w:space="0" w:color="auto"/>
              <w:right w:val="nil" w:sz="6" w:space="0" w:color="auto"/>
            </w:tcBorders>
          </w:tcPr>
          <w:p>
            <w:pPr>
              <w:pStyle w:val="TableParagraph"/>
              <w:spacing w:line="257" w:lineRule="exact"/>
              <w:ind w:left="35" w:right="0"/>
              <w:jc w:val="left"/>
              <w:rPr>
                <w:rFonts w:ascii="宋体" w:hAnsi="宋体" w:cs="宋体" w:eastAsia="宋体" w:hint="default"/>
                <w:sz w:val="22"/>
                <w:szCs w:val="22"/>
              </w:rPr>
            </w:pPr>
            <w:r>
              <w:rPr>
                <w:rFonts w:ascii="宋体" w:hAnsi="宋体" w:cs="宋体" w:eastAsia="宋体" w:hint="default"/>
                <w:sz w:val="22"/>
                <w:szCs w:val="22"/>
              </w:rPr>
              <w:t>联通兴业（注</w:t>
            </w:r>
            <w:r>
              <w:rPr>
                <w:rFonts w:ascii="宋体" w:hAnsi="宋体" w:cs="宋体" w:eastAsia="宋体" w:hint="default"/>
                <w:spacing w:val="-57"/>
                <w:sz w:val="22"/>
                <w:szCs w:val="22"/>
              </w:rPr>
              <w:t> </w:t>
            </w:r>
            <w:r>
              <w:rPr>
                <w:rFonts w:ascii="Arial" w:hAnsi="Arial" w:cs="Arial" w:eastAsia="Arial" w:hint="default"/>
                <w:sz w:val="22"/>
                <w:szCs w:val="22"/>
              </w:rPr>
              <w:t>1</w:t>
            </w:r>
            <w:r>
              <w:rPr>
                <w:rFonts w:ascii="宋体" w:hAnsi="宋体" w:cs="宋体" w:eastAsia="宋体" w:hint="default"/>
                <w:sz w:val="22"/>
                <w:szCs w:val="22"/>
              </w:rPr>
              <w:t>）</w:t>
            </w:r>
          </w:p>
        </w:tc>
        <w:tc>
          <w:tcPr>
            <w:tcW w:w="271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75"/>
              <w:jc w:val="right"/>
              <w:rPr>
                <w:rFonts w:ascii="Arial" w:hAnsi="Arial" w:cs="Arial" w:eastAsia="Arial" w:hint="default"/>
                <w:sz w:val="22"/>
                <w:szCs w:val="22"/>
              </w:rPr>
            </w:pPr>
            <w:r>
              <w:rPr>
                <w:rFonts w:ascii="Arial"/>
                <w:w w:val="95"/>
                <w:sz w:val="22"/>
              </w:rPr>
              <w:t>935</w:t>
            </w:r>
            <w:r>
              <w:rPr>
                <w:rFonts w:ascii="Arial"/>
                <w:sz w:val="22"/>
              </w:rPr>
            </w:r>
          </w:p>
        </w:tc>
        <w:tc>
          <w:tcPr>
            <w:tcW w:w="236" w:type="dxa"/>
            <w:tcBorders>
              <w:top w:val="nil" w:sz="6" w:space="0" w:color="auto"/>
              <w:left w:val="nil" w:sz="6" w:space="0" w:color="auto"/>
              <w:bottom w:val="nil" w:sz="6" w:space="0" w:color="auto"/>
              <w:right w:val="nil" w:sz="6" w:space="0" w:color="auto"/>
            </w:tcBorders>
          </w:tcPr>
          <w:p>
            <w:pP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84"/>
              <w:jc w:val="right"/>
              <w:rPr>
                <w:rFonts w:ascii="Arial" w:hAnsi="Arial" w:cs="Arial" w:eastAsia="Arial" w:hint="default"/>
                <w:sz w:val="22"/>
                <w:szCs w:val="22"/>
              </w:rPr>
            </w:pPr>
            <w:r>
              <w:rPr>
                <w:rFonts w:ascii="Arial"/>
                <w:w w:val="95"/>
                <w:sz w:val="22"/>
              </w:rPr>
              <w:t>531</w:t>
            </w:r>
            <w:r>
              <w:rPr>
                <w:rFonts w:ascii="Arial"/>
                <w:sz w:val="22"/>
              </w:rPr>
            </w:r>
          </w:p>
        </w:tc>
      </w:tr>
      <w:tr>
        <w:trPr>
          <w:trHeight w:val="368" w:hRule="exact"/>
        </w:trPr>
        <w:tc>
          <w:tcPr>
            <w:tcW w:w="3820" w:type="dxa"/>
            <w:tcBorders>
              <w:top w:val="nil" w:sz="6" w:space="0" w:color="auto"/>
              <w:left w:val="nil" w:sz="6" w:space="0" w:color="auto"/>
              <w:bottom w:val="nil" w:sz="6" w:space="0" w:color="auto"/>
              <w:right w:val="nil" w:sz="6" w:space="0" w:color="auto"/>
            </w:tcBorders>
          </w:tcPr>
          <w:p>
            <w:pPr>
              <w:pStyle w:val="TableParagraph"/>
              <w:spacing w:line="258" w:lineRule="exact"/>
              <w:ind w:left="35" w:right="0"/>
              <w:jc w:val="left"/>
              <w:rPr>
                <w:rFonts w:ascii="宋体" w:hAnsi="宋体" w:cs="宋体" w:eastAsia="宋体" w:hint="default"/>
                <w:sz w:val="22"/>
                <w:szCs w:val="22"/>
              </w:rPr>
            </w:pPr>
            <w:r>
              <w:rPr>
                <w:rFonts w:ascii="宋体" w:hAnsi="宋体" w:cs="宋体" w:eastAsia="宋体" w:hint="default"/>
                <w:sz w:val="22"/>
                <w:szCs w:val="22"/>
              </w:rPr>
              <w:t>中讯设计院（注</w:t>
            </w:r>
            <w:r>
              <w:rPr>
                <w:rFonts w:ascii="宋体" w:hAnsi="宋体" w:cs="宋体" w:eastAsia="宋体" w:hint="default"/>
                <w:spacing w:val="-57"/>
                <w:sz w:val="22"/>
                <w:szCs w:val="22"/>
              </w:rPr>
              <w:t> </w:t>
            </w:r>
            <w:r>
              <w:rPr>
                <w:rFonts w:ascii="Arial" w:hAnsi="Arial" w:cs="Arial" w:eastAsia="Arial" w:hint="default"/>
                <w:sz w:val="22"/>
                <w:szCs w:val="22"/>
              </w:rPr>
              <w:t>1</w:t>
            </w:r>
            <w:r>
              <w:rPr>
                <w:rFonts w:ascii="宋体" w:hAnsi="宋体" w:cs="宋体" w:eastAsia="宋体" w:hint="default"/>
                <w:sz w:val="22"/>
                <w:szCs w:val="22"/>
              </w:rPr>
              <w:t>）</w:t>
            </w:r>
          </w:p>
        </w:tc>
        <w:tc>
          <w:tcPr>
            <w:tcW w:w="2714"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74"/>
              <w:jc w:val="right"/>
              <w:rPr>
                <w:rFonts w:ascii="Arial" w:hAnsi="Arial" w:cs="Arial" w:eastAsia="Arial" w:hint="default"/>
                <w:sz w:val="22"/>
                <w:szCs w:val="22"/>
              </w:rPr>
            </w:pPr>
            <w:r>
              <w:rPr>
                <w:rFonts w:ascii="Arial"/>
                <w:w w:val="95"/>
                <w:sz w:val="22"/>
              </w:rPr>
              <w:t>1,524</w:t>
            </w:r>
            <w:r>
              <w:rPr>
                <w:rFonts w:ascii="Arial"/>
                <w:sz w:val="22"/>
              </w:rPr>
            </w:r>
          </w:p>
        </w:tc>
        <w:tc>
          <w:tcPr>
            <w:tcW w:w="236" w:type="dxa"/>
            <w:tcBorders>
              <w:top w:val="nil" w:sz="6" w:space="0" w:color="auto"/>
              <w:left w:val="nil" w:sz="6" w:space="0" w:color="auto"/>
              <w:bottom w:val="nil" w:sz="6" w:space="0" w:color="auto"/>
              <w:right w:val="nil" w:sz="6" w:space="0" w:color="auto"/>
            </w:tcBorders>
          </w:tcPr>
          <w:p>
            <w:pPr/>
          </w:p>
        </w:tc>
        <w:tc>
          <w:tcPr>
            <w:tcW w:w="2350"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84"/>
              <w:jc w:val="right"/>
              <w:rPr>
                <w:rFonts w:ascii="Arial" w:hAnsi="Arial" w:cs="Arial" w:eastAsia="Arial" w:hint="default"/>
                <w:sz w:val="22"/>
                <w:szCs w:val="22"/>
              </w:rPr>
            </w:pPr>
            <w:r>
              <w:rPr>
                <w:rFonts w:ascii="Arial"/>
                <w:w w:val="95"/>
                <w:sz w:val="22"/>
              </w:rPr>
              <w:t>146</w:t>
            </w:r>
            <w:r>
              <w:rPr>
                <w:rFonts w:ascii="Arial"/>
                <w:sz w:val="22"/>
              </w:rPr>
            </w:r>
          </w:p>
        </w:tc>
      </w:tr>
    </w:tbl>
    <w:p>
      <w:pPr>
        <w:spacing w:line="240" w:lineRule="auto" w:before="1"/>
        <w:rPr>
          <w:rFonts w:ascii="宋体" w:hAnsi="宋体" w:cs="宋体" w:eastAsia="宋体" w:hint="default"/>
          <w:sz w:val="7"/>
          <w:szCs w:val="7"/>
        </w:rPr>
      </w:pPr>
    </w:p>
    <w:p>
      <w:pPr>
        <w:pStyle w:val="BodyText"/>
        <w:spacing w:line="225" w:lineRule="auto" w:before="47"/>
        <w:ind w:left="1085" w:right="108" w:hanging="617"/>
        <w:jc w:val="both"/>
      </w:pPr>
      <w:r>
        <w:rPr/>
        <w:t>注</w:t>
      </w:r>
      <w:r>
        <w:rPr>
          <w:spacing w:val="-61"/>
        </w:rPr>
        <w:t> </w:t>
      </w:r>
      <w:r>
        <w:rPr>
          <w:rFonts w:ascii="Arial" w:hAnsi="Arial" w:cs="Arial" w:eastAsia="Arial" w:hint="default"/>
        </w:rPr>
        <w:t>1</w:t>
      </w:r>
      <w:r>
        <w:rPr/>
        <w:t>：如附注二</w:t>
      </w:r>
      <w:r>
        <w:rPr>
          <w:rFonts w:ascii="Arial" w:hAnsi="Arial" w:cs="Arial" w:eastAsia="Arial" w:hint="default"/>
        </w:rPr>
        <w:t>(1)</w:t>
      </w:r>
      <w:r>
        <w:rPr>
          <w:rFonts w:ascii="Arial" w:hAnsi="Arial" w:cs="Arial" w:eastAsia="Arial" w:hint="default"/>
          <w:spacing w:val="-12"/>
        </w:rPr>
        <w:t> </w:t>
      </w:r>
      <w:r>
        <w:rPr>
          <w:rFonts w:ascii="Arial" w:hAnsi="Arial" w:cs="Arial" w:eastAsia="Arial" w:hint="default"/>
        </w:rPr>
        <w:t>(a)</w:t>
      </w:r>
      <w:r>
        <w:rPr/>
        <w:t>所述，联通新国信、联通兴业和中讯设计院的收购均属于同一控制下的企</w:t>
      </w:r>
      <w:r>
        <w:rPr>
          <w:w w:val="99"/>
        </w:rPr>
        <w:t> </w:t>
      </w:r>
      <w:r>
        <w:rPr/>
        <w:t>业合并；另外，除完成对上述</w:t>
      </w:r>
      <w:r>
        <w:rPr>
          <w:spacing w:val="-50"/>
        </w:rPr>
        <w:t> </w:t>
      </w:r>
      <w:r>
        <w:rPr>
          <w:rFonts w:ascii="Arial" w:hAnsi="Arial" w:cs="Arial" w:eastAsia="Arial" w:hint="default"/>
        </w:rPr>
        <w:t>3</w:t>
      </w:r>
      <w:r>
        <w:rPr>
          <w:rFonts w:ascii="Arial" w:hAnsi="Arial" w:cs="Arial" w:eastAsia="Arial" w:hint="default"/>
          <w:spacing w:val="-1"/>
        </w:rPr>
        <w:t> </w:t>
      </w:r>
      <w:r>
        <w:rPr/>
        <w:t>家公司的收购外，本集团还同时于</w:t>
      </w:r>
      <w:r>
        <w:rPr>
          <w:spacing w:val="-50"/>
        </w:rPr>
        <w:t> </w:t>
      </w:r>
      <w:r>
        <w:rPr>
          <w:rFonts w:ascii="Arial" w:hAnsi="Arial" w:cs="Arial" w:eastAsia="Arial" w:hint="default"/>
        </w:rPr>
        <w:t>2009</w:t>
      </w:r>
      <w:r>
        <w:rPr>
          <w:rFonts w:ascii="Arial" w:hAnsi="Arial" w:cs="Arial" w:eastAsia="Arial" w:hint="default"/>
          <w:spacing w:val="-1"/>
        </w:rPr>
        <w:t> </w:t>
      </w:r>
      <w:r>
        <w:rPr/>
        <w:t>年</w:t>
      </w:r>
      <w:r>
        <w:rPr>
          <w:spacing w:val="-50"/>
        </w:rPr>
        <w:t> </w:t>
      </w:r>
      <w:r>
        <w:rPr>
          <w:rFonts w:ascii="Arial" w:hAnsi="Arial" w:cs="Arial" w:eastAsia="Arial" w:hint="default"/>
        </w:rPr>
        <w:t>1</w:t>
      </w:r>
      <w:r>
        <w:rPr>
          <w:rFonts w:ascii="Arial" w:hAnsi="Arial" w:cs="Arial" w:eastAsia="Arial" w:hint="default"/>
          <w:spacing w:val="-1"/>
        </w:rPr>
        <w:t> </w:t>
      </w:r>
      <w:r>
        <w:rPr/>
        <w:t>月</w:t>
      </w:r>
      <w:r>
        <w:rPr>
          <w:spacing w:val="-50"/>
        </w:rPr>
        <w:t> </w:t>
      </w:r>
      <w:r>
        <w:rPr>
          <w:rFonts w:ascii="Arial" w:hAnsi="Arial" w:cs="Arial" w:eastAsia="Arial" w:hint="default"/>
        </w:rPr>
        <w:t>31</w:t>
      </w:r>
      <w:r>
        <w:rPr>
          <w:rFonts w:ascii="Arial" w:hAnsi="Arial" w:cs="Arial" w:eastAsia="Arial" w:hint="default"/>
          <w:spacing w:val="-1"/>
        </w:rPr>
        <w:t> </w:t>
      </w:r>
      <w:r>
        <w:rPr/>
        <w:t>日完</w:t>
      </w:r>
      <w:r>
        <w:rPr>
          <w:w w:val="99"/>
        </w:rPr>
        <w:t> </w:t>
      </w:r>
      <w:r>
        <w:rPr/>
        <w:t>成了对南方固网业务和天津固网业务的同一控制下的企业合并，详见附注四</w:t>
      </w:r>
      <w:r>
        <w:rPr>
          <w:rFonts w:ascii="Arial" w:hAnsi="Arial" w:cs="Arial" w:eastAsia="Arial" w:hint="default"/>
        </w:rPr>
        <w:t>(3)</w:t>
      </w:r>
      <w:r>
        <w:rPr/>
        <w:t>。</w:t>
      </w:r>
    </w:p>
    <w:p>
      <w:pPr>
        <w:spacing w:after="0" w:line="225" w:lineRule="auto"/>
        <w:jc w:val="both"/>
        <w:sectPr>
          <w:pgSz w:w="11910" w:h="16840"/>
          <w:pgMar w:header="1189" w:footer="600" w:top="3080" w:bottom="780" w:left="1280" w:right="920"/>
        </w:sectPr>
      </w:pPr>
    </w:p>
    <w:p>
      <w:pPr>
        <w:spacing w:line="240" w:lineRule="auto" w:before="3"/>
        <w:rPr>
          <w:rFonts w:ascii="宋体" w:hAnsi="宋体" w:cs="宋体" w:eastAsia="宋体" w:hint="default"/>
          <w:sz w:val="19"/>
          <w:szCs w:val="19"/>
        </w:rPr>
      </w:pPr>
    </w:p>
    <w:p>
      <w:pPr>
        <w:pStyle w:val="BodyText"/>
        <w:spacing w:line="240" w:lineRule="auto" w:before="31"/>
        <w:ind w:left="173" w:right="97"/>
        <w:jc w:val="left"/>
      </w:pPr>
      <w:r>
        <w:rPr>
          <w:rFonts w:ascii="Arial" w:hAnsi="Arial" w:cs="Arial" w:eastAsia="Arial" w:hint="default"/>
        </w:rPr>
        <w:t>3</w:t>
      </w:r>
      <w:r>
        <w:rPr/>
        <w:t>、同一控制下企业合并</w:t>
      </w:r>
    </w:p>
    <w:p>
      <w:pPr>
        <w:spacing w:line="240" w:lineRule="auto" w:before="1"/>
        <w:rPr>
          <w:rFonts w:ascii="宋体" w:hAnsi="宋体" w:cs="宋体" w:eastAsia="宋体" w:hint="default"/>
          <w:sz w:val="23"/>
          <w:szCs w:val="23"/>
        </w:rPr>
      </w:pPr>
    </w:p>
    <w:p>
      <w:pPr>
        <w:tabs>
          <w:tab w:pos="6903" w:val="left" w:leader="none"/>
        </w:tabs>
        <w:spacing w:before="0"/>
        <w:ind w:left="509" w:right="97" w:firstLine="0"/>
        <w:jc w:val="left"/>
        <w:rPr>
          <w:rFonts w:ascii="宋体" w:hAnsi="宋体" w:cs="宋体" w:eastAsia="宋体" w:hint="default"/>
          <w:sz w:val="20"/>
          <w:szCs w:val="20"/>
        </w:rPr>
      </w:pPr>
      <w:r>
        <w:rPr/>
        <w:pict>
          <v:group style="position:absolute;margin-left:372.720001pt;margin-top:14.919966pt;width:168.5pt;height:.1pt;mso-position-horizontal-relative:page;mso-position-vertical-relative:paragraph;z-index:1216" coordorigin="7454,298" coordsize="3370,2">
            <v:shape style="position:absolute;left:7454;top:298;width:3370;height:2" coordorigin="7454,298" coordsize="3370,0" path="m7454,298l10824,298e" filled="false" stroked="true" strokeweight=".72pt" strokecolor="#000000">
              <v:path arrowok="t"/>
            </v:shape>
            <w10:wrap type="none"/>
          </v:group>
        </w:pict>
      </w:r>
      <w:r>
        <w:rPr>
          <w:rFonts w:ascii="宋体" w:hAnsi="宋体" w:cs="宋体" w:eastAsia="宋体" w:hint="default"/>
          <w:spacing w:val="-1"/>
          <w:sz w:val="20"/>
          <w:szCs w:val="20"/>
        </w:rPr>
        <w:t>（单位：人民币百万元）</w:t>
        <w:tab/>
        <w:t>合并当年年初至合并日</w:t>
      </w:r>
    </w:p>
    <w:p>
      <w:pPr>
        <w:spacing w:after="0"/>
        <w:jc w:val="left"/>
        <w:rPr>
          <w:rFonts w:ascii="宋体" w:hAnsi="宋体" w:cs="宋体" w:eastAsia="宋体" w:hint="default"/>
          <w:sz w:val="20"/>
          <w:szCs w:val="20"/>
        </w:rPr>
        <w:sectPr>
          <w:headerReference w:type="default" r:id="rId71"/>
          <w:pgSz w:w="11910" w:h="16840"/>
          <w:pgMar w:header="1189" w:footer="600" w:top="3080" w:bottom="780" w:left="1240" w:right="840"/>
        </w:sectPr>
      </w:pPr>
    </w:p>
    <w:p>
      <w:pPr>
        <w:spacing w:line="240" w:lineRule="auto" w:before="5"/>
        <w:rPr>
          <w:rFonts w:ascii="宋体" w:hAnsi="宋体" w:cs="宋体" w:eastAsia="宋体" w:hint="default"/>
          <w:sz w:val="25"/>
          <w:szCs w:val="25"/>
        </w:rPr>
      </w:pPr>
    </w:p>
    <w:p>
      <w:pPr>
        <w:spacing w:before="0"/>
        <w:ind w:left="0" w:right="0" w:firstLine="0"/>
        <w:jc w:val="right"/>
        <w:rPr>
          <w:rFonts w:ascii="宋体" w:hAnsi="宋体" w:cs="宋体" w:eastAsia="宋体" w:hint="default"/>
          <w:sz w:val="20"/>
          <w:szCs w:val="20"/>
        </w:rPr>
      </w:pPr>
      <w:r>
        <w:rPr>
          <w:rFonts w:ascii="宋体" w:hAnsi="宋体" w:cs="宋体" w:eastAsia="宋体" w:hint="default"/>
          <w:sz w:val="20"/>
          <w:szCs w:val="20"/>
        </w:rPr>
        <w:t>注释</w:t>
      </w:r>
    </w:p>
    <w:p>
      <w:pPr>
        <w:spacing w:before="44"/>
        <w:ind w:left="509" w:right="0" w:firstLine="0"/>
        <w:jc w:val="left"/>
        <w:rPr>
          <w:rFonts w:ascii="宋体" w:hAnsi="宋体" w:cs="宋体" w:eastAsia="宋体" w:hint="default"/>
          <w:sz w:val="20"/>
          <w:szCs w:val="20"/>
        </w:rPr>
      </w:pPr>
      <w:r>
        <w:rPr/>
        <w:pict>
          <v:group style="position:absolute;margin-left:156.419998pt;margin-top:1.879966pt;width:25.95pt;height:.1pt;mso-position-horizontal-relative:page;mso-position-vertical-relative:paragraph;z-index:1240" coordorigin="3128,38" coordsize="519,2">
            <v:shape style="position:absolute;left:3128;top:38;width:519;height:2" coordorigin="3128,38" coordsize="519,0" path="m3128,38l3647,38e" filled="false" stroked="true" strokeweight=".72pt" strokecolor="#000000">
              <v:path arrowok="t"/>
            </v:shape>
            <w10:wrap type="none"/>
          </v:group>
        </w:pict>
      </w:r>
      <w:r>
        <w:rPr>
          <w:rFonts w:ascii="Arial" w:hAnsi="Arial" w:cs="Arial" w:eastAsia="Arial" w:hint="default"/>
          <w:sz w:val="20"/>
          <w:szCs w:val="20"/>
        </w:rPr>
        <w:t>2009</w:t>
      </w:r>
      <w:r>
        <w:rPr>
          <w:rFonts w:ascii="Arial" w:hAnsi="Arial" w:cs="Arial" w:eastAsia="Arial" w:hint="default"/>
          <w:spacing w:val="-11"/>
          <w:sz w:val="20"/>
          <w:szCs w:val="20"/>
        </w:rPr>
        <w:t> </w:t>
      </w:r>
      <w:r>
        <w:rPr>
          <w:rFonts w:ascii="宋体" w:hAnsi="宋体" w:cs="宋体" w:eastAsia="宋体" w:hint="default"/>
          <w:sz w:val="20"/>
          <w:szCs w:val="20"/>
        </w:rPr>
        <w:t>年收购目</w:t>
      </w:r>
    </w:p>
    <w:p>
      <w:pPr>
        <w:spacing w:line="264" w:lineRule="auto" w:before="43"/>
        <w:ind w:left="743" w:right="-11" w:hanging="400"/>
        <w:jc w:val="left"/>
        <w:rPr>
          <w:rFonts w:ascii="宋体" w:hAnsi="宋体" w:cs="宋体" w:eastAsia="宋体" w:hint="default"/>
          <w:sz w:val="20"/>
          <w:szCs w:val="20"/>
        </w:rPr>
      </w:pPr>
      <w:r>
        <w:rPr>
          <w:spacing w:val="-1"/>
        </w:rPr>
        <w:br w:type="column"/>
      </w:r>
      <w:r>
        <w:rPr>
          <w:rFonts w:ascii="宋体" w:hAnsi="宋体" w:cs="宋体" w:eastAsia="宋体" w:hint="default"/>
          <w:spacing w:val="-1"/>
          <w:sz w:val="20"/>
          <w:szCs w:val="20"/>
        </w:rPr>
        <w:t>属于同一控制下企业</w:t>
      </w:r>
      <w:r>
        <w:rPr>
          <w:rFonts w:ascii="宋体" w:hAnsi="宋体" w:cs="宋体" w:eastAsia="宋体" w:hint="default"/>
          <w:spacing w:val="-92"/>
          <w:sz w:val="20"/>
          <w:szCs w:val="20"/>
        </w:rPr>
        <w:t> </w:t>
      </w:r>
      <w:r>
        <w:rPr>
          <w:rFonts w:ascii="宋体" w:hAnsi="宋体" w:cs="宋体" w:eastAsia="宋体" w:hint="default"/>
          <w:spacing w:val="-92"/>
          <w:sz w:val="20"/>
          <w:szCs w:val="20"/>
        </w:rPr>
      </w:r>
      <w:r>
        <w:rPr>
          <w:rFonts w:ascii="宋体" w:hAnsi="宋体" w:cs="宋体" w:eastAsia="宋体" w:hint="default"/>
          <w:spacing w:val="-1"/>
          <w:sz w:val="20"/>
          <w:szCs w:val="20"/>
        </w:rPr>
        <w:t>合并的判断依据</w:t>
      </w:r>
    </w:p>
    <w:p>
      <w:pPr>
        <w:spacing w:before="43"/>
        <w:ind w:left="241" w:right="-19" w:firstLine="0"/>
        <w:jc w:val="left"/>
        <w:rPr>
          <w:rFonts w:ascii="宋体" w:hAnsi="宋体" w:cs="宋体" w:eastAsia="宋体" w:hint="default"/>
          <w:sz w:val="20"/>
          <w:szCs w:val="20"/>
        </w:rPr>
      </w:pPr>
      <w:r>
        <w:rPr/>
        <w:br w:type="column"/>
      </w:r>
      <w:r>
        <w:rPr>
          <w:rFonts w:ascii="宋体" w:hAnsi="宋体" w:cs="宋体" w:eastAsia="宋体" w:hint="default"/>
          <w:sz w:val="20"/>
          <w:szCs w:val="20"/>
        </w:rPr>
        <w:t>同一控制的实</w:t>
      </w:r>
    </w:p>
    <w:p>
      <w:pPr>
        <w:tabs>
          <w:tab w:pos="1752" w:val="left" w:leader="none"/>
          <w:tab w:pos="3123" w:val="left" w:leader="none"/>
        </w:tabs>
        <w:spacing w:before="27"/>
        <w:ind w:left="640" w:right="-19" w:firstLine="0"/>
        <w:jc w:val="left"/>
        <w:rPr>
          <w:rFonts w:ascii="宋体" w:hAnsi="宋体" w:cs="宋体" w:eastAsia="宋体" w:hint="default"/>
          <w:sz w:val="20"/>
          <w:szCs w:val="20"/>
        </w:rPr>
      </w:pPr>
      <w:r>
        <w:rPr/>
        <w:pict>
          <v:group style="position:absolute;margin-left:298.559998pt;margin-top:16.330687pt;width:67.150pt;height:.1pt;mso-position-horizontal-relative:page;mso-position-vertical-relative:paragraph;z-index:1288" coordorigin="5971,327" coordsize="1343,2">
            <v:shape style="position:absolute;left:5971;top:327;width:1343;height:2" coordorigin="5971,327" coordsize="1343,0" path="m5971,327l7314,327e" filled="false" stroked="true" strokeweight=".72pt" strokecolor="#000000">
              <v:path arrowok="t"/>
            </v:shape>
            <w10:wrap type="none"/>
          </v:group>
        </w:pict>
      </w:r>
      <w:r>
        <w:rPr/>
        <w:pict>
          <v:group style="position:absolute;margin-left:372.720001pt;margin-top:16.330687pt;width:48.6pt;height:.1pt;mso-position-horizontal-relative:page;mso-position-vertical-relative:paragraph;z-index:1312" coordorigin="7454,327" coordsize="972,2">
            <v:shape style="position:absolute;left:7454;top:327;width:972;height:2" coordorigin="7454,327" coordsize="972,0" path="m7454,327l8426,327e" filled="false" stroked="true" strokeweight=".72pt" strokecolor="#000000">
              <v:path arrowok="t"/>
            </v:shape>
            <w10:wrap type="none"/>
          </v:group>
        </w:pict>
      </w:r>
      <w:r>
        <w:rPr/>
        <w:pict>
          <v:group style="position:absolute;margin-left:427.980011pt;margin-top:16.330687pt;width:51.85pt;height:.1pt;mso-position-horizontal-relative:page;mso-position-vertical-relative:paragraph;z-index:1336" coordorigin="8560,327" coordsize="1037,2">
            <v:shape style="position:absolute;left:8560;top:327;width:1037;height:2" coordorigin="8560,327" coordsize="1037,0" path="m8560,327l9596,327e" filled="false" stroked="true" strokeweight=".72pt" strokecolor="#000000">
              <v:path arrowok="t"/>
            </v:shape>
            <w10:wrap type="none"/>
          </v:group>
        </w:pict>
      </w:r>
      <w:r>
        <w:rPr>
          <w:rFonts w:ascii="宋体" w:hAnsi="宋体" w:cs="宋体" w:eastAsia="宋体" w:hint="default"/>
          <w:sz w:val="20"/>
          <w:szCs w:val="20"/>
        </w:rPr>
        <w:t>际控制人</w:t>
        <w:tab/>
        <w:t>营业收入</w:t>
        <w:tab/>
        <w:t>净利润</w:t>
      </w:r>
    </w:p>
    <w:p>
      <w:pPr>
        <w:spacing w:line="264" w:lineRule="auto" w:before="43"/>
        <w:ind w:left="386" w:right="274" w:firstLine="0"/>
        <w:jc w:val="left"/>
        <w:rPr>
          <w:rFonts w:ascii="宋体" w:hAnsi="宋体" w:cs="宋体" w:eastAsia="宋体" w:hint="default"/>
          <w:sz w:val="20"/>
          <w:szCs w:val="20"/>
        </w:rPr>
      </w:pPr>
      <w:r>
        <w:rPr/>
        <w:br w:type="column"/>
      </w:r>
      <w:r>
        <w:rPr>
          <w:rFonts w:ascii="宋体" w:hAnsi="宋体" w:cs="宋体" w:eastAsia="宋体" w:hint="default"/>
          <w:sz w:val="20"/>
          <w:szCs w:val="20"/>
        </w:rPr>
        <w:t>经营活动</w:t>
      </w:r>
      <w:r>
        <w:rPr>
          <w:rFonts w:ascii="宋体" w:hAnsi="宋体" w:cs="宋体" w:eastAsia="宋体" w:hint="default"/>
          <w:w w:val="100"/>
          <w:sz w:val="20"/>
          <w:szCs w:val="20"/>
        </w:rPr>
        <w:t> </w:t>
      </w:r>
      <w:r>
        <w:rPr>
          <w:rFonts w:ascii="宋体" w:hAnsi="宋体" w:cs="宋体" w:eastAsia="宋体" w:hint="default"/>
          <w:sz w:val="20"/>
          <w:szCs w:val="20"/>
        </w:rPr>
        <w:t>现金流量</w:t>
      </w:r>
    </w:p>
    <w:p>
      <w:pPr>
        <w:spacing w:after="0" w:line="264" w:lineRule="auto"/>
        <w:jc w:val="left"/>
        <w:rPr>
          <w:rFonts w:ascii="宋体" w:hAnsi="宋体" w:cs="宋体" w:eastAsia="宋体" w:hint="default"/>
          <w:sz w:val="20"/>
          <w:szCs w:val="20"/>
        </w:rPr>
        <w:sectPr>
          <w:type w:val="continuous"/>
          <w:pgSz w:w="11910" w:h="16840"/>
          <w:pgMar w:top="1600" w:bottom="280" w:left="1240" w:right="840"/>
          <w:cols w:num="4" w:equalWidth="0">
            <w:col w:w="2354" w:space="40"/>
            <w:col w:w="2146" w:space="40"/>
            <w:col w:w="3725" w:space="40"/>
            <w:col w:w="1485"/>
          </w:cols>
        </w:sectPr>
      </w:pPr>
    </w:p>
    <w:p>
      <w:pPr>
        <w:tabs>
          <w:tab w:pos="2107" w:val="left" w:leader="none"/>
          <w:tab w:pos="3048" w:val="left" w:leader="none"/>
          <w:tab w:pos="5219" w:val="left" w:leader="none"/>
          <w:tab w:pos="6631" w:val="left" w:leader="none"/>
          <w:tab w:pos="7969" w:val="left" w:leader="none"/>
          <w:tab w:pos="9531" w:val="right" w:leader="none"/>
        </w:tabs>
        <w:spacing w:before="16"/>
        <w:ind w:left="691" w:right="0" w:firstLine="0"/>
        <w:jc w:val="left"/>
        <w:rPr>
          <w:rFonts w:ascii="Arial" w:hAnsi="Arial" w:cs="Arial" w:eastAsia="Arial" w:hint="default"/>
          <w:sz w:val="20"/>
          <w:szCs w:val="20"/>
        </w:rPr>
      </w:pPr>
      <w:r>
        <w:rPr/>
        <w:pict>
          <v:group style="position:absolute;margin-left:189.360001pt;margin-top:-14.140212pt;width:102.2pt;height:.1pt;mso-position-horizontal-relative:page;mso-position-vertical-relative:paragraph;z-index:1264" coordorigin="3787,-283" coordsize="2044,2">
            <v:shape style="position:absolute;left:3787;top:-283;width:2044;height:2" coordorigin="3787,-283" coordsize="2044,0" path="m3787,-283l5831,-283e" filled="false" stroked="true" strokeweight=".72pt" strokecolor="#000000">
              <v:path arrowok="t"/>
            </v:shape>
            <w10:wrap type="none"/>
          </v:group>
        </w:pict>
      </w:r>
      <w:r>
        <w:rPr/>
        <w:pict>
          <v:group style="position:absolute;margin-left:486.779999pt;margin-top:-14.140212pt;width:54.45pt;height:.1pt;mso-position-horizontal-relative:page;mso-position-vertical-relative:paragraph;z-index:1360" coordorigin="9736,-283" coordsize="1089,2">
            <v:shape style="position:absolute;left:9736;top:-283;width:1089;height:2" coordorigin="9736,-283" coordsize="1089,0" path="m9736,-283l10824,-283e" filled="false" stroked="true" strokeweight=".72pt" strokecolor="#000000">
              <v:path arrowok="t"/>
            </v:shape>
            <w10:wrap type="none"/>
          </v:group>
        </w:pict>
      </w:r>
      <w:r>
        <w:rPr>
          <w:rFonts w:ascii="宋体" w:hAnsi="宋体" w:cs="宋体" w:eastAsia="宋体" w:hint="default"/>
          <w:position w:val="1"/>
          <w:sz w:val="20"/>
          <w:szCs w:val="20"/>
        </w:rPr>
        <w:t>标业务</w:t>
        <w:tab/>
      </w:r>
      <w:r>
        <w:rPr>
          <w:rFonts w:ascii="Arial" w:hAnsi="Arial" w:cs="Arial" w:eastAsia="Arial" w:hint="default"/>
          <w:sz w:val="20"/>
          <w:szCs w:val="20"/>
        </w:rPr>
        <w:t>(a)</w:t>
        <w:tab/>
      </w:r>
      <w:r>
        <w:rPr>
          <w:rFonts w:ascii="宋体" w:hAnsi="宋体" w:cs="宋体" w:eastAsia="宋体" w:hint="default"/>
          <w:spacing w:val="-1"/>
          <w:position w:val="1"/>
          <w:sz w:val="20"/>
          <w:szCs w:val="20"/>
        </w:rPr>
        <w:t>详见附注二</w:t>
      </w:r>
      <w:r>
        <w:rPr>
          <w:rFonts w:ascii="Arial" w:hAnsi="Arial" w:cs="Arial" w:eastAsia="Arial" w:hint="default"/>
          <w:spacing w:val="-1"/>
          <w:position w:val="1"/>
          <w:sz w:val="20"/>
          <w:szCs w:val="20"/>
        </w:rPr>
        <w:t>(1)(a)</w:t>
        <w:tab/>
      </w:r>
      <w:r>
        <w:rPr>
          <w:rFonts w:ascii="宋体" w:hAnsi="宋体" w:cs="宋体" w:eastAsia="宋体" w:hint="default"/>
          <w:position w:val="1"/>
          <w:sz w:val="20"/>
          <w:szCs w:val="20"/>
        </w:rPr>
        <w:t>联通集团</w:t>
        <w:tab/>
      </w:r>
      <w:r>
        <w:rPr>
          <w:rFonts w:ascii="Arial" w:hAnsi="Arial" w:cs="Arial" w:eastAsia="Arial" w:hint="default"/>
          <w:sz w:val="20"/>
          <w:szCs w:val="20"/>
        </w:rPr>
        <w:t>1,093</w:t>
        <w:tab/>
        <w:t>117</w:t>
        <w:tab/>
        <w:t>11</w:t>
      </w:r>
    </w:p>
    <w:p>
      <w:pPr>
        <w:spacing w:before="0"/>
        <w:ind w:left="509" w:right="0" w:firstLine="0"/>
        <w:jc w:val="both"/>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11"/>
          <w:sz w:val="20"/>
          <w:szCs w:val="20"/>
        </w:rPr>
        <w:t> </w:t>
      </w:r>
      <w:r>
        <w:rPr>
          <w:rFonts w:ascii="宋体" w:hAnsi="宋体" w:cs="宋体" w:eastAsia="宋体" w:hint="default"/>
          <w:sz w:val="20"/>
          <w:szCs w:val="20"/>
        </w:rPr>
        <w:t>年合并网</w:t>
      </w:r>
    </w:p>
    <w:p>
      <w:pPr>
        <w:tabs>
          <w:tab w:pos="2107" w:val="left" w:leader="none"/>
          <w:tab w:pos="3048" w:val="left" w:leader="none"/>
          <w:tab w:pos="5219" w:val="left" w:leader="none"/>
          <w:tab w:pos="6520" w:val="left" w:leader="none"/>
          <w:tab w:pos="7801" w:val="left" w:leader="none"/>
          <w:tab w:pos="8918" w:val="left" w:leader="none"/>
        </w:tabs>
        <w:spacing w:before="17"/>
        <w:ind w:left="705" w:right="97" w:firstLine="0"/>
        <w:jc w:val="left"/>
        <w:rPr>
          <w:rFonts w:ascii="Arial" w:hAnsi="Arial" w:cs="Arial" w:eastAsia="Arial" w:hint="default"/>
          <w:sz w:val="20"/>
          <w:szCs w:val="20"/>
        </w:rPr>
      </w:pPr>
      <w:r>
        <w:rPr>
          <w:rFonts w:ascii="宋体" w:hAnsi="宋体" w:cs="宋体" w:eastAsia="宋体" w:hint="default"/>
          <w:spacing w:val="-1"/>
          <w:position w:val="1"/>
          <w:sz w:val="20"/>
          <w:szCs w:val="20"/>
        </w:rPr>
        <w:t>通红筹公司</w:t>
        <w:tab/>
      </w:r>
      <w:r>
        <w:rPr>
          <w:rFonts w:ascii="Arial" w:hAnsi="Arial" w:cs="Arial" w:eastAsia="Arial" w:hint="default"/>
          <w:sz w:val="20"/>
          <w:szCs w:val="20"/>
        </w:rPr>
        <w:t>(b)</w:t>
        <w:tab/>
      </w:r>
      <w:r>
        <w:rPr>
          <w:rFonts w:ascii="宋体" w:hAnsi="宋体" w:cs="宋体" w:eastAsia="宋体" w:hint="default"/>
          <w:spacing w:val="-1"/>
          <w:position w:val="1"/>
          <w:sz w:val="20"/>
          <w:szCs w:val="20"/>
        </w:rPr>
        <w:t>详见附注二</w:t>
      </w:r>
      <w:r>
        <w:rPr>
          <w:rFonts w:ascii="Arial" w:hAnsi="Arial" w:cs="Arial" w:eastAsia="Arial" w:hint="default"/>
          <w:spacing w:val="-1"/>
          <w:position w:val="1"/>
          <w:sz w:val="20"/>
          <w:szCs w:val="20"/>
        </w:rPr>
        <w:t>(1)(a)</w:t>
        <w:tab/>
      </w:r>
      <w:r>
        <w:rPr>
          <w:rFonts w:ascii="宋体" w:hAnsi="宋体" w:cs="宋体" w:eastAsia="宋体" w:hint="default"/>
          <w:position w:val="1"/>
          <w:sz w:val="20"/>
          <w:szCs w:val="20"/>
        </w:rPr>
        <w:t>联通集团</w:t>
        <w:tab/>
      </w:r>
      <w:r>
        <w:rPr>
          <w:rFonts w:ascii="Arial" w:hAnsi="Arial" w:cs="Arial" w:eastAsia="Arial" w:hint="default"/>
          <w:sz w:val="20"/>
          <w:szCs w:val="20"/>
        </w:rPr>
        <w:t>68,688</w:t>
        <w:tab/>
        <w:t>7,981</w:t>
        <w:tab/>
        <w:t>26,909</w:t>
      </w:r>
    </w:p>
    <w:p>
      <w:pPr>
        <w:spacing w:line="240" w:lineRule="auto" w:before="2"/>
        <w:rPr>
          <w:rFonts w:ascii="Arial" w:hAnsi="Arial" w:cs="Arial" w:eastAsia="Arial" w:hint="default"/>
          <w:sz w:val="19"/>
          <w:szCs w:val="19"/>
        </w:rPr>
      </w:pPr>
    </w:p>
    <w:p>
      <w:pPr>
        <w:pStyle w:val="BodyText"/>
        <w:spacing w:line="240" w:lineRule="auto"/>
        <w:ind w:left="145" w:right="97"/>
        <w:jc w:val="left"/>
      </w:pPr>
      <w:r>
        <w:rPr>
          <w:rFonts w:ascii="Arial" w:hAnsi="Arial" w:cs="Arial" w:eastAsia="Arial" w:hint="default"/>
        </w:rPr>
        <w:t>(a)</w:t>
      </w:r>
      <w:r>
        <w:rPr>
          <w:rFonts w:ascii="Arial" w:hAnsi="Arial" w:cs="Arial" w:eastAsia="Arial" w:hint="default"/>
          <w:spacing w:val="3"/>
        </w:rPr>
        <w:t> </w:t>
      </w:r>
      <w:r>
        <w:rPr/>
        <w:t>目标业务</w:t>
      </w:r>
    </w:p>
    <w:p>
      <w:pPr>
        <w:spacing w:line="240" w:lineRule="auto" w:before="0"/>
        <w:rPr>
          <w:rFonts w:ascii="宋体" w:hAnsi="宋体" w:cs="宋体" w:eastAsia="宋体" w:hint="default"/>
          <w:sz w:val="20"/>
          <w:szCs w:val="20"/>
        </w:rPr>
      </w:pPr>
    </w:p>
    <w:p>
      <w:pPr>
        <w:pStyle w:val="BodyText"/>
        <w:spacing w:line="286" w:lineRule="exact"/>
        <w:ind w:left="538" w:right="198"/>
        <w:jc w:val="both"/>
      </w:pPr>
      <w:r>
        <w:rPr/>
        <w:t>如附注一（</w:t>
      </w:r>
      <w:r>
        <w:rPr>
          <w:rFonts w:ascii="Arial" w:hAnsi="Arial" w:cs="Arial" w:eastAsia="Arial" w:hint="default"/>
        </w:rPr>
        <w:t>6</w:t>
      </w:r>
      <w:r>
        <w:rPr/>
        <w:t>）所述，联通运营公司于</w:t>
      </w:r>
      <w:r>
        <w:rPr>
          <w:spacing w:val="-44"/>
        </w:rPr>
        <w:t> </w:t>
      </w:r>
      <w:r>
        <w:rPr>
          <w:rFonts w:ascii="Arial" w:hAnsi="Arial" w:cs="Arial" w:eastAsia="Arial" w:hint="default"/>
        </w:rPr>
        <w:t>2009</w:t>
      </w:r>
      <w:r>
        <w:rPr>
          <w:rFonts w:ascii="Arial" w:hAnsi="Arial" w:cs="Arial" w:eastAsia="Arial" w:hint="default"/>
          <w:spacing w:val="6"/>
        </w:rPr>
        <w:t> </w:t>
      </w:r>
      <w:r>
        <w:rPr/>
        <w:t>年</w:t>
      </w:r>
      <w:r>
        <w:rPr>
          <w:spacing w:val="-43"/>
        </w:rPr>
        <w:t> </w:t>
      </w:r>
      <w:r>
        <w:rPr>
          <w:rFonts w:ascii="Arial" w:hAnsi="Arial" w:cs="Arial" w:eastAsia="Arial" w:hint="default"/>
        </w:rPr>
        <w:t>1</w:t>
      </w:r>
      <w:r>
        <w:rPr>
          <w:rFonts w:ascii="Arial" w:hAnsi="Arial" w:cs="Arial" w:eastAsia="Arial" w:hint="default"/>
          <w:spacing w:val="5"/>
        </w:rPr>
        <w:t> </w:t>
      </w:r>
      <w:r>
        <w:rPr/>
        <w:t>月</w:t>
      </w:r>
      <w:r>
        <w:rPr>
          <w:spacing w:val="-44"/>
        </w:rPr>
        <w:t> </w:t>
      </w:r>
      <w:r>
        <w:rPr>
          <w:rFonts w:ascii="Arial" w:hAnsi="Arial" w:cs="Arial" w:eastAsia="Arial" w:hint="default"/>
        </w:rPr>
        <w:t>31</w:t>
      </w:r>
      <w:r>
        <w:rPr>
          <w:rFonts w:ascii="Arial" w:hAnsi="Arial" w:cs="Arial" w:eastAsia="Arial" w:hint="default"/>
          <w:spacing w:val="6"/>
        </w:rPr>
        <w:t> </w:t>
      </w:r>
      <w:r>
        <w:rPr/>
        <w:t>日完成向联通集团和网通集团收购目标</w:t>
      </w:r>
      <w:r>
        <w:rPr>
          <w:w w:val="99"/>
        </w:rPr>
        <w:t> </w:t>
      </w:r>
      <w:r>
        <w:rPr/>
        <w:t>业务，本次对目标业务的收购属于同一控制下的企业合并。按照转让协议，收购目标业务和资</w:t>
      </w:r>
      <w:r>
        <w:rPr>
          <w:spacing w:val="-60"/>
        </w:rPr>
        <w:t> </w:t>
      </w:r>
      <w:r>
        <w:rPr>
          <w:spacing w:val="-60"/>
        </w:rPr>
      </w:r>
      <w:r>
        <w:rPr/>
        <w:t>产的总对价约人民币</w:t>
      </w:r>
      <w:r>
        <w:rPr>
          <w:spacing w:val="-57"/>
        </w:rPr>
        <w:t> </w:t>
      </w:r>
      <w:r>
        <w:rPr>
          <w:rFonts w:ascii="Arial" w:hAnsi="Arial" w:cs="Arial" w:eastAsia="Arial" w:hint="default"/>
        </w:rPr>
        <w:t>64.3</w:t>
      </w:r>
      <w:r>
        <w:rPr>
          <w:rFonts w:ascii="Arial" w:hAnsi="Arial" w:cs="Arial" w:eastAsia="Arial" w:hint="default"/>
          <w:spacing w:val="-8"/>
        </w:rPr>
        <w:t> </w:t>
      </w:r>
      <w:r>
        <w:rPr/>
        <w:t>亿元，但受制于若干调整。</w:t>
      </w:r>
    </w:p>
    <w:p>
      <w:pPr>
        <w:spacing w:line="240" w:lineRule="auto" w:before="9"/>
        <w:rPr>
          <w:rFonts w:ascii="宋体" w:hAnsi="宋体" w:cs="宋体" w:eastAsia="宋体" w:hint="default"/>
          <w:sz w:val="14"/>
          <w:szCs w:val="14"/>
        </w:rPr>
      </w:pPr>
    </w:p>
    <w:tbl>
      <w:tblPr>
        <w:tblW w:w="0" w:type="auto"/>
        <w:jc w:val="left"/>
        <w:tblInd w:w="110" w:type="dxa"/>
        <w:tblLayout w:type="fixed"/>
        <w:tblCellMar>
          <w:top w:w="0" w:type="dxa"/>
          <w:left w:w="0" w:type="dxa"/>
          <w:bottom w:w="0" w:type="dxa"/>
          <w:right w:w="0" w:type="dxa"/>
        </w:tblCellMar>
        <w:tblLook w:val="01E0"/>
      </w:tblPr>
      <w:tblGrid>
        <w:gridCol w:w="6726"/>
        <w:gridCol w:w="2731"/>
      </w:tblGrid>
      <w:tr>
        <w:trPr>
          <w:trHeight w:val="900" w:hRule="exact"/>
        </w:trPr>
        <w:tc>
          <w:tcPr>
            <w:tcW w:w="67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2"/>
                <w:szCs w:val="22"/>
              </w:rPr>
            </w:pPr>
            <w:r>
              <w:rPr>
                <w:rFonts w:ascii="Arial" w:hAnsi="Arial" w:cs="Arial" w:eastAsia="Arial" w:hint="default"/>
                <w:sz w:val="22"/>
                <w:szCs w:val="22"/>
              </w:rPr>
              <w:t>(i) </w:t>
            </w:r>
            <w:r>
              <w:rPr>
                <w:rFonts w:ascii="Arial" w:hAnsi="Arial" w:cs="Arial" w:eastAsia="Arial" w:hint="default"/>
                <w:spacing w:val="58"/>
                <w:sz w:val="22"/>
                <w:szCs w:val="22"/>
              </w:rPr>
              <w:t> </w:t>
            </w:r>
            <w:r>
              <w:rPr>
                <w:rFonts w:ascii="宋体" w:hAnsi="宋体" w:cs="宋体" w:eastAsia="宋体" w:hint="default"/>
                <w:sz w:val="22"/>
                <w:szCs w:val="22"/>
              </w:rPr>
              <w:t>于收购完成日，目标业务的净资产账面价值如下：</w:t>
            </w:r>
          </w:p>
        </w:tc>
        <w:tc>
          <w:tcPr>
            <w:tcW w:w="2731"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
              <w:jc w:val="right"/>
              <w:rPr>
                <w:rFonts w:ascii="宋体" w:hAnsi="宋体" w:cs="宋体" w:eastAsia="宋体" w:hint="default"/>
                <w:sz w:val="22"/>
                <w:szCs w:val="22"/>
              </w:rPr>
            </w:pPr>
            <w:r>
              <w:rPr>
                <w:rFonts w:ascii="宋体" w:hAnsi="宋体" w:cs="宋体" w:eastAsia="宋体" w:hint="default"/>
                <w:w w:val="95"/>
                <w:sz w:val="22"/>
                <w:szCs w:val="22"/>
              </w:rPr>
              <w:t>（单位：人民币百万元）</w:t>
            </w:r>
            <w:r>
              <w:rPr>
                <w:rFonts w:ascii="宋体" w:hAnsi="宋体" w:cs="宋体" w:eastAsia="宋体" w:hint="default"/>
                <w:sz w:val="22"/>
                <w:szCs w:val="22"/>
              </w:rPr>
            </w:r>
          </w:p>
        </w:tc>
      </w:tr>
      <w:tr>
        <w:trPr>
          <w:trHeight w:val="558" w:hRule="exact"/>
        </w:trPr>
        <w:tc>
          <w:tcPr>
            <w:tcW w:w="672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428" w:right="0"/>
              <w:jc w:val="left"/>
              <w:rPr>
                <w:rFonts w:ascii="宋体" w:hAnsi="宋体" w:cs="宋体" w:eastAsia="宋体" w:hint="default"/>
                <w:sz w:val="22"/>
                <w:szCs w:val="22"/>
              </w:rPr>
            </w:pPr>
            <w:r>
              <w:rPr>
                <w:rFonts w:ascii="宋体" w:hAnsi="宋体" w:cs="宋体" w:eastAsia="宋体" w:hint="default"/>
                <w:sz w:val="22"/>
                <w:szCs w:val="22"/>
              </w:rPr>
              <w:t>成本－支付的现金</w:t>
            </w:r>
          </w:p>
        </w:tc>
        <w:tc>
          <w:tcPr>
            <w:tcW w:w="2731"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38"/>
              <w:jc w:val="right"/>
              <w:rPr>
                <w:rFonts w:ascii="Arial" w:hAnsi="Arial" w:cs="Arial" w:eastAsia="Arial" w:hint="default"/>
                <w:sz w:val="22"/>
                <w:szCs w:val="22"/>
              </w:rPr>
            </w:pPr>
            <w:r>
              <w:rPr>
                <w:rFonts w:ascii="Arial"/>
                <w:w w:val="95"/>
                <w:sz w:val="22"/>
              </w:rPr>
              <w:t>6,428</w:t>
            </w:r>
            <w:r>
              <w:rPr>
                <w:rFonts w:ascii="Arial"/>
                <w:sz w:val="22"/>
              </w:rPr>
            </w:r>
          </w:p>
        </w:tc>
      </w:tr>
      <w:tr>
        <w:trPr>
          <w:trHeight w:val="285" w:hRule="exact"/>
        </w:trPr>
        <w:tc>
          <w:tcPr>
            <w:tcW w:w="6726" w:type="dxa"/>
            <w:tcBorders>
              <w:top w:val="nil" w:sz="6" w:space="0" w:color="auto"/>
              <w:left w:val="nil" w:sz="6" w:space="0" w:color="auto"/>
              <w:bottom w:val="nil" w:sz="6" w:space="0" w:color="auto"/>
              <w:right w:val="nil" w:sz="6" w:space="0" w:color="auto"/>
            </w:tcBorders>
          </w:tcPr>
          <w:p>
            <w:pPr>
              <w:pStyle w:val="TableParagraph"/>
              <w:spacing w:line="255" w:lineRule="exact"/>
              <w:ind w:left="428" w:right="0"/>
              <w:jc w:val="left"/>
              <w:rPr>
                <w:rFonts w:ascii="宋体" w:hAnsi="宋体" w:cs="宋体" w:eastAsia="宋体" w:hint="default"/>
                <w:sz w:val="22"/>
                <w:szCs w:val="22"/>
              </w:rPr>
            </w:pPr>
            <w:r>
              <w:rPr>
                <w:rFonts w:ascii="宋体" w:hAnsi="宋体" w:cs="宋体" w:eastAsia="宋体" w:hint="default"/>
                <w:sz w:val="22"/>
                <w:szCs w:val="22"/>
              </w:rPr>
              <w:t>减：北方一级干线资产（注</w:t>
            </w:r>
            <w:r>
              <w:rPr>
                <w:rFonts w:ascii="宋体" w:hAnsi="宋体" w:cs="宋体" w:eastAsia="宋体" w:hint="default"/>
                <w:spacing w:val="-57"/>
                <w:sz w:val="22"/>
                <w:szCs w:val="22"/>
              </w:rPr>
              <w:t> </w:t>
            </w:r>
            <w:r>
              <w:rPr>
                <w:rFonts w:ascii="Arial" w:hAnsi="Arial" w:cs="Arial" w:eastAsia="Arial" w:hint="default"/>
                <w:sz w:val="22"/>
                <w:szCs w:val="22"/>
              </w:rPr>
              <w:t>1</w:t>
            </w:r>
            <w:r>
              <w:rPr>
                <w:rFonts w:ascii="宋体" w:hAnsi="宋体" w:cs="宋体" w:eastAsia="宋体" w:hint="default"/>
                <w:sz w:val="22"/>
                <w:szCs w:val="22"/>
              </w:rPr>
              <w:t>）</w:t>
            </w:r>
          </w:p>
        </w:tc>
        <w:tc>
          <w:tcPr>
            <w:tcW w:w="273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65"/>
              <w:jc w:val="right"/>
              <w:rPr>
                <w:rFonts w:ascii="Arial" w:hAnsi="Arial" w:cs="Arial" w:eastAsia="Arial" w:hint="default"/>
                <w:sz w:val="22"/>
                <w:szCs w:val="22"/>
              </w:rPr>
            </w:pPr>
            <w:r>
              <w:rPr>
                <w:rFonts w:ascii="Arial"/>
                <w:w w:val="95"/>
                <w:sz w:val="22"/>
              </w:rPr>
              <w:t>(690)</w:t>
            </w:r>
            <w:r>
              <w:rPr>
                <w:rFonts w:ascii="Arial"/>
                <w:sz w:val="22"/>
              </w:rPr>
            </w:r>
          </w:p>
        </w:tc>
      </w:tr>
      <w:tr>
        <w:trPr>
          <w:trHeight w:val="293" w:hRule="exact"/>
        </w:trPr>
        <w:tc>
          <w:tcPr>
            <w:tcW w:w="6726" w:type="dxa"/>
            <w:tcBorders>
              <w:top w:val="nil" w:sz="6" w:space="0" w:color="auto"/>
              <w:left w:val="nil" w:sz="6" w:space="0" w:color="auto"/>
              <w:bottom w:val="nil" w:sz="6" w:space="0" w:color="auto"/>
              <w:right w:val="nil" w:sz="6" w:space="0" w:color="auto"/>
            </w:tcBorders>
          </w:tcPr>
          <w:p>
            <w:pPr>
              <w:pStyle w:val="TableParagraph"/>
              <w:spacing w:line="255" w:lineRule="exact"/>
              <w:ind w:left="867" w:right="0"/>
              <w:jc w:val="left"/>
              <w:rPr>
                <w:rFonts w:ascii="宋体" w:hAnsi="宋体" w:cs="宋体" w:eastAsia="宋体" w:hint="default"/>
                <w:sz w:val="22"/>
                <w:szCs w:val="22"/>
              </w:rPr>
            </w:pPr>
            <w:r>
              <w:rPr>
                <w:rFonts w:ascii="宋体" w:hAnsi="宋体" w:cs="宋体" w:eastAsia="宋体" w:hint="default"/>
                <w:sz w:val="22"/>
                <w:szCs w:val="22"/>
              </w:rPr>
              <w:t>收购南方固网业务产生的应收联通集团款（注</w:t>
            </w:r>
            <w:r>
              <w:rPr>
                <w:rFonts w:ascii="宋体" w:hAnsi="宋体" w:cs="宋体" w:eastAsia="宋体" w:hint="default"/>
                <w:spacing w:val="-55"/>
                <w:sz w:val="22"/>
                <w:szCs w:val="22"/>
              </w:rPr>
              <w:t> </w:t>
            </w:r>
            <w:r>
              <w:rPr>
                <w:rFonts w:ascii="Arial" w:hAnsi="Arial" w:cs="Arial" w:eastAsia="Arial" w:hint="default"/>
                <w:sz w:val="22"/>
                <w:szCs w:val="22"/>
              </w:rPr>
              <w:t>2</w:t>
            </w:r>
            <w:r>
              <w:rPr>
                <w:rFonts w:ascii="宋体" w:hAnsi="宋体" w:cs="宋体" w:eastAsia="宋体" w:hint="default"/>
                <w:sz w:val="22"/>
                <w:szCs w:val="22"/>
              </w:rPr>
              <w:t>）</w:t>
            </w:r>
          </w:p>
        </w:tc>
        <w:tc>
          <w:tcPr>
            <w:tcW w:w="2731" w:type="dxa"/>
            <w:tcBorders>
              <w:top w:val="nil" w:sz="6" w:space="0" w:color="auto"/>
              <w:left w:val="nil" w:sz="6" w:space="0" w:color="auto"/>
              <w:bottom w:val="nil" w:sz="6" w:space="0" w:color="auto"/>
              <w:right w:val="nil" w:sz="6" w:space="0" w:color="auto"/>
            </w:tcBorders>
          </w:tcPr>
          <w:p>
            <w:pPr>
              <w:pStyle w:val="TableParagraph"/>
              <w:tabs>
                <w:tab w:pos="1959" w:val="left" w:leader="none"/>
                <w:tab w:pos="2716"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(1,843)</w:t>
            </w:r>
            <w:r>
              <w:rPr>
                <w:rFonts w:ascii="Arial"/>
                <w:sz w:val="22"/>
                <w:u w:val="single" w:color="000000"/>
              </w:rPr>
              <w:tab/>
            </w:r>
            <w:r>
              <w:rPr>
                <w:rFonts w:ascii="Arial"/>
                <w:sz w:val="22"/>
              </w:rPr>
            </w:r>
          </w:p>
        </w:tc>
      </w:tr>
      <w:tr>
        <w:trPr>
          <w:trHeight w:val="293" w:hRule="exact"/>
        </w:trPr>
        <w:tc>
          <w:tcPr>
            <w:tcW w:w="6726" w:type="dxa"/>
            <w:tcBorders>
              <w:top w:val="nil" w:sz="6" w:space="0" w:color="auto"/>
              <w:left w:val="nil" w:sz="6" w:space="0" w:color="auto"/>
              <w:bottom w:val="nil" w:sz="6" w:space="0" w:color="auto"/>
              <w:right w:val="nil" w:sz="6" w:space="0" w:color="auto"/>
            </w:tcBorders>
          </w:tcPr>
          <w:p>
            <w:pPr>
              <w:pStyle w:val="TableParagraph"/>
              <w:spacing w:line="247" w:lineRule="exact"/>
              <w:ind w:left="428" w:right="0"/>
              <w:jc w:val="left"/>
              <w:rPr>
                <w:rFonts w:ascii="宋体" w:hAnsi="宋体" w:cs="宋体" w:eastAsia="宋体" w:hint="default"/>
                <w:sz w:val="22"/>
                <w:szCs w:val="22"/>
              </w:rPr>
            </w:pPr>
            <w:r>
              <w:rPr>
                <w:rFonts w:ascii="宋体" w:hAnsi="宋体" w:cs="宋体" w:eastAsia="宋体" w:hint="default"/>
                <w:sz w:val="22"/>
                <w:szCs w:val="22"/>
              </w:rPr>
              <w:t>调整后对价（取得目标业务支付的现金净额）</w:t>
            </w:r>
          </w:p>
        </w:tc>
        <w:tc>
          <w:tcPr>
            <w:tcW w:w="273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9"/>
              <w:jc w:val="right"/>
              <w:rPr>
                <w:rFonts w:ascii="Arial" w:hAnsi="Arial" w:cs="Arial" w:eastAsia="Arial" w:hint="default"/>
                <w:sz w:val="22"/>
                <w:szCs w:val="22"/>
              </w:rPr>
            </w:pPr>
            <w:r>
              <w:rPr>
                <w:rFonts w:ascii="Arial"/>
                <w:w w:val="95"/>
                <w:sz w:val="22"/>
              </w:rPr>
              <w:t>3,895</w:t>
            </w:r>
            <w:r>
              <w:rPr>
                <w:rFonts w:ascii="Arial"/>
                <w:sz w:val="22"/>
              </w:rPr>
            </w:r>
          </w:p>
        </w:tc>
      </w:tr>
      <w:tr>
        <w:trPr>
          <w:trHeight w:val="293" w:hRule="exact"/>
        </w:trPr>
        <w:tc>
          <w:tcPr>
            <w:tcW w:w="6726" w:type="dxa"/>
            <w:tcBorders>
              <w:top w:val="nil" w:sz="6" w:space="0" w:color="auto"/>
              <w:left w:val="nil" w:sz="6" w:space="0" w:color="auto"/>
              <w:bottom w:val="nil" w:sz="6" w:space="0" w:color="auto"/>
              <w:right w:val="nil" w:sz="6" w:space="0" w:color="auto"/>
            </w:tcBorders>
          </w:tcPr>
          <w:p>
            <w:pPr>
              <w:pStyle w:val="TableParagraph"/>
              <w:spacing w:line="240" w:lineRule="exact"/>
              <w:ind w:left="428" w:right="0"/>
              <w:jc w:val="left"/>
              <w:rPr>
                <w:rFonts w:ascii="宋体" w:hAnsi="宋体" w:cs="宋体" w:eastAsia="宋体" w:hint="default"/>
                <w:sz w:val="22"/>
                <w:szCs w:val="22"/>
              </w:rPr>
            </w:pPr>
            <w:r>
              <w:rPr>
                <w:rFonts w:ascii="宋体" w:hAnsi="宋体" w:cs="宋体" w:eastAsia="宋体" w:hint="default"/>
                <w:sz w:val="22"/>
                <w:szCs w:val="22"/>
              </w:rPr>
              <w:t>减：取得的目标业务净资产账面价值</w:t>
            </w:r>
          </w:p>
        </w:tc>
        <w:tc>
          <w:tcPr>
            <w:tcW w:w="2731" w:type="dxa"/>
            <w:tcBorders>
              <w:top w:val="nil" w:sz="6" w:space="0" w:color="auto"/>
              <w:left w:val="nil" w:sz="6" w:space="0" w:color="auto"/>
              <w:bottom w:val="nil" w:sz="6" w:space="0" w:color="auto"/>
              <w:right w:val="nil" w:sz="6" w:space="0" w:color="auto"/>
            </w:tcBorders>
          </w:tcPr>
          <w:p>
            <w:pPr>
              <w:pStyle w:val="TableParagraph"/>
              <w:tabs>
                <w:tab w:pos="1959" w:val="left" w:leader="none"/>
                <w:tab w:pos="2716" w:val="left" w:leader="none"/>
              </w:tabs>
              <w:spacing w:line="240" w:lineRule="auto" w:before="18"/>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(1,227)</w:t>
            </w:r>
            <w:r>
              <w:rPr>
                <w:rFonts w:ascii="Arial"/>
                <w:sz w:val="22"/>
                <w:u w:val="single" w:color="000000"/>
              </w:rPr>
              <w:tab/>
            </w:r>
            <w:r>
              <w:rPr>
                <w:rFonts w:ascii="Arial"/>
                <w:sz w:val="22"/>
              </w:rPr>
            </w:r>
          </w:p>
        </w:tc>
      </w:tr>
      <w:tr>
        <w:trPr>
          <w:trHeight w:val="303" w:hRule="exact"/>
        </w:trPr>
        <w:tc>
          <w:tcPr>
            <w:tcW w:w="6726" w:type="dxa"/>
            <w:tcBorders>
              <w:top w:val="nil" w:sz="6" w:space="0" w:color="auto"/>
              <w:left w:val="nil" w:sz="6" w:space="0" w:color="auto"/>
              <w:bottom w:val="nil" w:sz="6" w:space="0" w:color="auto"/>
              <w:right w:val="nil" w:sz="6" w:space="0" w:color="auto"/>
            </w:tcBorders>
          </w:tcPr>
          <w:p>
            <w:pPr>
              <w:pStyle w:val="TableParagraph"/>
              <w:spacing w:line="247" w:lineRule="exact"/>
              <w:ind w:left="428" w:right="0"/>
              <w:jc w:val="left"/>
              <w:rPr>
                <w:rFonts w:ascii="宋体" w:hAnsi="宋体" w:cs="宋体" w:eastAsia="宋体" w:hint="default"/>
                <w:sz w:val="22"/>
                <w:szCs w:val="22"/>
              </w:rPr>
            </w:pPr>
            <w:r>
              <w:rPr>
                <w:rFonts w:ascii="宋体" w:hAnsi="宋体" w:cs="宋体" w:eastAsia="宋体" w:hint="default"/>
                <w:sz w:val="22"/>
                <w:szCs w:val="22"/>
              </w:rPr>
              <w:t>调整合并方资本公积的金额</w:t>
            </w:r>
          </w:p>
        </w:tc>
        <w:tc>
          <w:tcPr>
            <w:tcW w:w="2731"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38"/>
              <w:jc w:val="right"/>
              <w:rPr>
                <w:rFonts w:ascii="Arial" w:hAnsi="Arial" w:cs="Arial" w:eastAsia="Arial" w:hint="default"/>
                <w:sz w:val="22"/>
                <w:szCs w:val="22"/>
              </w:rPr>
            </w:pPr>
            <w:r>
              <w:rPr>
                <w:rFonts w:ascii="Arial"/>
                <w:w w:val="95"/>
                <w:sz w:val="22"/>
              </w:rPr>
              <w:t>2,668</w:t>
            </w:r>
            <w:r>
              <w:rPr>
                <w:rFonts w:ascii="Arial"/>
                <w:sz w:val="22"/>
              </w:rPr>
            </w:r>
          </w:p>
        </w:tc>
      </w:tr>
    </w:tbl>
    <w:p>
      <w:pPr>
        <w:spacing w:line="240" w:lineRule="auto" w:before="7"/>
        <w:rPr>
          <w:rFonts w:ascii="宋体" w:hAnsi="宋体" w:cs="宋体" w:eastAsia="宋体" w:hint="default"/>
          <w:sz w:val="12"/>
          <w:szCs w:val="12"/>
        </w:rPr>
      </w:pPr>
    </w:p>
    <w:p>
      <w:pPr>
        <w:pStyle w:val="BodyText"/>
        <w:spacing w:line="286" w:lineRule="exact" w:before="60"/>
        <w:ind w:left="1126" w:right="98" w:hanging="588"/>
        <w:jc w:val="left"/>
      </w:pPr>
      <w:r>
        <w:rPr>
          <w:w w:val="95"/>
        </w:rPr>
        <w:t>注 </w:t>
      </w:r>
      <w:r>
        <w:rPr>
          <w:rFonts w:ascii="Arial" w:hAnsi="Arial" w:cs="Arial" w:eastAsia="Arial" w:hint="default"/>
          <w:w w:val="95"/>
        </w:rPr>
        <w:t>1</w:t>
      </w:r>
      <w:r>
        <w:rPr>
          <w:w w:val="95"/>
        </w:rPr>
        <w:t>：本次收购对价中包括对北方一级干线的价款，由于收购北方一级干线是购买固定资产而非</w:t>
      </w:r>
      <w:r>
        <w:rPr>
          <w:spacing w:val="5"/>
          <w:w w:val="95"/>
        </w:rPr>
        <w:t> </w:t>
      </w:r>
      <w:r>
        <w:rPr>
          <w:spacing w:val="5"/>
          <w:w w:val="95"/>
        </w:rPr>
      </w:r>
      <w:r>
        <w:rPr/>
        <w:t>企业合并，因此北方一级干线的价款被从总对价中扣除以便计算对收购目标业务的影响。</w:t>
      </w:r>
    </w:p>
    <w:p>
      <w:pPr>
        <w:spacing w:line="240" w:lineRule="auto" w:before="3"/>
        <w:rPr>
          <w:rFonts w:ascii="宋体" w:hAnsi="宋体" w:cs="宋体" w:eastAsia="宋体" w:hint="default"/>
          <w:sz w:val="19"/>
          <w:szCs w:val="19"/>
        </w:rPr>
      </w:pPr>
    </w:p>
    <w:p>
      <w:pPr>
        <w:pStyle w:val="BodyText"/>
        <w:spacing w:line="286" w:lineRule="exact"/>
        <w:ind w:left="1126" w:right="155" w:hanging="588"/>
        <w:jc w:val="left"/>
      </w:pPr>
      <w:r>
        <w:rPr/>
        <w:t>注</w:t>
      </w:r>
      <w:r>
        <w:rPr>
          <w:spacing w:val="-59"/>
        </w:rPr>
        <w:t> </w:t>
      </w:r>
      <w:r>
        <w:rPr>
          <w:rFonts w:ascii="Arial" w:hAnsi="Arial" w:cs="Arial" w:eastAsia="Arial" w:hint="default"/>
          <w:spacing w:val="-2"/>
        </w:rPr>
        <w:t>2</w:t>
      </w:r>
      <w:r>
        <w:rPr>
          <w:spacing w:val="-2"/>
        </w:rPr>
        <w:t>：上述目标业务收购的总对价的调整金额代表上述被收购目标业务于交割时根据转让协议所</w:t>
      </w:r>
      <w:r>
        <w:rPr>
          <w:w w:val="99"/>
        </w:rPr>
        <w:t> </w:t>
      </w:r>
      <w:r>
        <w:rPr/>
        <w:t>确认的应收联通集团款项。截至</w:t>
      </w:r>
      <w:r>
        <w:rPr>
          <w:spacing w:val="-64"/>
        </w:rPr>
        <w:t> </w:t>
      </w:r>
      <w:r>
        <w:rPr>
          <w:rFonts w:ascii="Arial" w:hAnsi="Arial" w:cs="Arial" w:eastAsia="Arial" w:hint="default"/>
        </w:rPr>
        <w:t>2009</w:t>
      </w:r>
      <w:r>
        <w:rPr>
          <w:rFonts w:ascii="Arial" w:hAnsi="Arial" w:cs="Arial" w:eastAsia="Arial" w:hint="default"/>
          <w:spacing w:val="-15"/>
        </w:rPr>
        <w:t> </w:t>
      </w:r>
      <w:r>
        <w:rPr/>
        <w:t>年</w:t>
      </w:r>
      <w:r>
        <w:rPr>
          <w:spacing w:val="-64"/>
        </w:rPr>
        <w:t> </w:t>
      </w:r>
      <w:r>
        <w:rPr>
          <w:rFonts w:ascii="Arial" w:hAnsi="Arial" w:cs="Arial" w:eastAsia="Arial" w:hint="default"/>
        </w:rPr>
        <w:t>12</w:t>
      </w:r>
      <w:r>
        <w:rPr>
          <w:rFonts w:ascii="Arial" w:hAnsi="Arial" w:cs="Arial" w:eastAsia="Arial" w:hint="default"/>
          <w:spacing w:val="-15"/>
        </w:rPr>
        <w:t> </w:t>
      </w:r>
      <w:r>
        <w:rPr/>
        <w:t>月</w:t>
      </w:r>
      <w:r>
        <w:rPr>
          <w:spacing w:val="-64"/>
        </w:rPr>
        <w:t> </w:t>
      </w:r>
      <w:r>
        <w:rPr>
          <w:rFonts w:ascii="Arial" w:hAnsi="Arial" w:cs="Arial" w:eastAsia="Arial" w:hint="default"/>
        </w:rPr>
        <w:t>31</w:t>
      </w:r>
      <w:r>
        <w:rPr>
          <w:rFonts w:ascii="Arial" w:hAnsi="Arial" w:cs="Arial" w:eastAsia="Arial" w:hint="default"/>
          <w:spacing w:val="-15"/>
        </w:rPr>
        <w:t> </w:t>
      </w:r>
      <w:r>
        <w:rPr/>
        <w:t>日止，联通集团已经将上述南方固网业</w:t>
      </w:r>
    </w:p>
    <w:p>
      <w:pPr>
        <w:pStyle w:val="BodyText"/>
        <w:spacing w:line="275" w:lineRule="exact"/>
        <w:ind w:left="1126" w:right="97"/>
        <w:jc w:val="left"/>
      </w:pPr>
      <w:r>
        <w:rPr/>
        <w:t>务应收联通集团款项约人民币</w:t>
      </w:r>
      <w:r>
        <w:rPr>
          <w:spacing w:val="-57"/>
        </w:rPr>
        <w:t> </w:t>
      </w:r>
      <w:r>
        <w:rPr>
          <w:rFonts w:ascii="Arial" w:hAnsi="Arial" w:cs="Arial" w:eastAsia="Arial" w:hint="default"/>
        </w:rPr>
        <w:t>18.43</w:t>
      </w:r>
      <w:r>
        <w:rPr>
          <w:rFonts w:ascii="Arial" w:hAnsi="Arial" w:cs="Arial" w:eastAsia="Arial" w:hint="default"/>
          <w:spacing w:val="-8"/>
        </w:rPr>
        <w:t> </w:t>
      </w:r>
      <w:r>
        <w:rPr/>
        <w:t>亿元支付予联通运营公司。</w:t>
      </w:r>
    </w:p>
    <w:p>
      <w:pPr>
        <w:spacing w:after="0" w:line="275" w:lineRule="exact"/>
        <w:jc w:val="left"/>
        <w:sectPr>
          <w:type w:val="continuous"/>
          <w:pgSz w:w="11910" w:h="16840"/>
          <w:pgMar w:top="1600" w:bottom="280" w:left="1240" w:right="840"/>
        </w:sectPr>
      </w:pPr>
    </w:p>
    <w:p>
      <w:pPr>
        <w:spacing w:line="240" w:lineRule="auto" w:before="11"/>
        <w:rPr>
          <w:rFonts w:ascii="宋体" w:hAnsi="宋体" w:cs="宋体" w:eastAsia="宋体" w:hint="default"/>
          <w:sz w:val="15"/>
          <w:szCs w:val="15"/>
        </w:rPr>
      </w:pPr>
    </w:p>
    <w:p>
      <w:pPr>
        <w:pStyle w:val="BodyText"/>
        <w:spacing w:line="240" w:lineRule="auto" w:before="31"/>
        <w:ind w:left="106" w:right="0"/>
        <w:jc w:val="left"/>
      </w:pPr>
      <w:r>
        <w:rPr>
          <w:rFonts w:ascii="Arial" w:hAnsi="Arial" w:cs="Arial" w:eastAsia="Arial" w:hint="default"/>
        </w:rPr>
        <w:t>(a) </w:t>
      </w:r>
      <w:r>
        <w:rPr>
          <w:rFonts w:ascii="Arial" w:hAnsi="Arial" w:cs="Arial" w:eastAsia="Arial" w:hint="default"/>
          <w:spacing w:val="27"/>
        </w:rPr>
        <w:t> </w:t>
      </w:r>
      <w:r>
        <w:rPr/>
        <w:t>目标业务（续）</w:t>
      </w:r>
    </w:p>
    <w:p>
      <w:pPr>
        <w:spacing w:line="240" w:lineRule="auto" w:before="13"/>
        <w:rPr>
          <w:rFonts w:ascii="宋体" w:hAnsi="宋体" w:cs="宋体" w:eastAsia="宋体" w:hint="default"/>
          <w:sz w:val="17"/>
          <w:szCs w:val="17"/>
        </w:rPr>
      </w:pPr>
    </w:p>
    <w:p>
      <w:pPr>
        <w:pStyle w:val="BodyText"/>
        <w:spacing w:line="240" w:lineRule="auto"/>
        <w:ind w:left="106" w:right="0"/>
        <w:jc w:val="left"/>
      </w:pPr>
      <w:r>
        <w:rPr>
          <w:rFonts w:ascii="Arial" w:hAnsi="Arial" w:cs="Arial" w:eastAsia="Arial" w:hint="default"/>
        </w:rPr>
        <w:t>(ii) </w:t>
      </w:r>
      <w:r>
        <w:rPr>
          <w:rFonts w:ascii="Arial" w:hAnsi="Arial" w:cs="Arial" w:eastAsia="Arial" w:hint="default"/>
          <w:spacing w:val="51"/>
        </w:rPr>
        <w:t> </w:t>
      </w:r>
      <w:r>
        <w:rPr/>
        <w:t>目标业务于收购完成日（</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日）的资产、负债账面价值列示如下：</w:t>
      </w:r>
    </w:p>
    <w:p>
      <w:pPr>
        <w:spacing w:line="240" w:lineRule="auto" w:before="12"/>
        <w:rPr>
          <w:rFonts w:ascii="宋体" w:hAnsi="宋体" w:cs="宋体" w:eastAsia="宋体" w:hint="default"/>
          <w:sz w:val="17"/>
          <w:szCs w:val="17"/>
        </w:rPr>
      </w:pPr>
    </w:p>
    <w:p>
      <w:pPr>
        <w:pStyle w:val="BodyText"/>
        <w:tabs>
          <w:tab w:pos="8419" w:val="left" w:leader="none"/>
        </w:tabs>
        <w:spacing w:line="240" w:lineRule="auto"/>
        <w:ind w:left="628" w:right="0"/>
        <w:jc w:val="left"/>
      </w:pPr>
      <w:r>
        <w:rPr>
          <w:w w:val="95"/>
        </w:rPr>
        <w:t>（单位：人民币百万元）</w:t>
        <w:tab/>
      </w:r>
      <w:r>
        <w:rPr/>
        <w:t>收购完成日</w:t>
      </w:r>
    </w:p>
    <w:p>
      <w:pPr>
        <w:spacing w:line="240" w:lineRule="auto" w:before="7"/>
        <w:rPr>
          <w:rFonts w:ascii="宋体" w:hAnsi="宋体" w:cs="宋体" w:eastAsia="宋体" w:hint="default"/>
          <w:sz w:val="2"/>
          <w:szCs w:val="2"/>
        </w:rPr>
      </w:pPr>
    </w:p>
    <w:p>
      <w:pPr>
        <w:spacing w:line="20" w:lineRule="exact"/>
        <w:ind w:left="7566" w:right="0" w:firstLine="0"/>
        <w:rPr>
          <w:rFonts w:ascii="宋体" w:hAnsi="宋体" w:cs="宋体" w:eastAsia="宋体" w:hint="default"/>
          <w:sz w:val="2"/>
          <w:szCs w:val="2"/>
        </w:rPr>
      </w:pPr>
      <w:r>
        <w:rPr>
          <w:rFonts w:ascii="宋体" w:hAnsi="宋体" w:cs="宋体" w:eastAsia="宋体" w:hint="default"/>
          <w:sz w:val="2"/>
          <w:szCs w:val="2"/>
        </w:rPr>
        <w:pict>
          <v:group style="width:100.9pt;height:.75pt;mso-position-horizontal-relative:char;mso-position-vertical-relative:line" coordorigin="0,0" coordsize="2018,15">
            <v:group style="position:absolute;left:7;top:7;width:2003;height:2" coordorigin="7,7" coordsize="2003,2">
              <v:shape style="position:absolute;left:7;top:7;width:2003;height:2" coordorigin="7,7" coordsize="2003,0" path="m7,7l2010,7e" filled="false" stroked="true" strokeweight=".72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13"/>
          <w:szCs w:val="13"/>
        </w:rPr>
      </w:pPr>
    </w:p>
    <w:p>
      <w:pPr>
        <w:pStyle w:val="BodyText"/>
        <w:tabs>
          <w:tab w:pos="8905" w:val="left" w:leader="none"/>
        </w:tabs>
        <w:spacing w:line="305" w:lineRule="exact" w:before="27"/>
        <w:ind w:left="628" w:right="0"/>
        <w:jc w:val="left"/>
        <w:rPr>
          <w:rFonts w:ascii="Arial" w:hAnsi="Arial" w:cs="Arial" w:eastAsia="Arial" w:hint="default"/>
        </w:rPr>
      </w:pPr>
      <w:r>
        <w:rPr>
          <w:w w:val="95"/>
          <w:position w:val="2"/>
        </w:rPr>
        <w:t>货币资金</w:t>
        <w:tab/>
      </w:r>
      <w:r>
        <w:rPr>
          <w:rFonts w:ascii="Arial" w:hAnsi="Arial" w:cs="Arial" w:eastAsia="Arial" w:hint="default"/>
        </w:rPr>
        <w:t>1,116</w:t>
      </w:r>
    </w:p>
    <w:p>
      <w:pPr>
        <w:pStyle w:val="BodyText"/>
        <w:tabs>
          <w:tab w:pos="8905" w:val="left" w:leader="none"/>
        </w:tabs>
        <w:spacing w:line="285" w:lineRule="exact"/>
        <w:ind w:left="627" w:right="0"/>
        <w:jc w:val="left"/>
        <w:rPr>
          <w:rFonts w:ascii="Arial" w:hAnsi="Arial" w:cs="Arial" w:eastAsia="Arial" w:hint="default"/>
        </w:rPr>
      </w:pPr>
      <w:r>
        <w:rPr>
          <w:w w:val="95"/>
          <w:position w:val="2"/>
        </w:rPr>
        <w:t>应收款项</w:t>
        <w:tab/>
      </w:r>
      <w:r>
        <w:rPr>
          <w:rFonts w:ascii="Arial" w:hAnsi="Arial" w:cs="Arial" w:eastAsia="Arial" w:hint="default"/>
        </w:rPr>
        <w:t>5,178</w:t>
      </w:r>
    </w:p>
    <w:p>
      <w:pPr>
        <w:pStyle w:val="BodyText"/>
        <w:tabs>
          <w:tab w:pos="9456" w:val="right" w:leader="none"/>
        </w:tabs>
        <w:spacing w:line="285" w:lineRule="exact"/>
        <w:ind w:left="627" w:right="0"/>
        <w:jc w:val="left"/>
        <w:rPr>
          <w:rFonts w:ascii="Arial" w:hAnsi="Arial" w:cs="Arial" w:eastAsia="Arial" w:hint="default"/>
        </w:rPr>
      </w:pPr>
      <w:r>
        <w:rPr>
          <w:position w:val="2"/>
        </w:rPr>
        <w:t>存货</w:t>
      </w:r>
      <w:r>
        <w:rPr>
          <w:rFonts w:ascii="Arial" w:hAnsi="Arial" w:cs="Arial" w:eastAsia="Arial" w:hint="default"/>
        </w:rPr>
        <w:tab/>
        <w:t>12</w:t>
      </w:r>
    </w:p>
    <w:p>
      <w:pPr>
        <w:pStyle w:val="BodyText"/>
        <w:tabs>
          <w:tab w:pos="8905" w:val="left" w:leader="none"/>
        </w:tabs>
        <w:spacing w:line="286" w:lineRule="exact"/>
        <w:ind w:left="628" w:right="0"/>
        <w:jc w:val="left"/>
        <w:rPr>
          <w:rFonts w:ascii="Arial" w:hAnsi="Arial" w:cs="Arial" w:eastAsia="Arial" w:hint="default"/>
        </w:rPr>
      </w:pPr>
      <w:r>
        <w:rPr>
          <w:w w:val="95"/>
          <w:position w:val="2"/>
        </w:rPr>
        <w:t>固定资产</w:t>
        <w:tab/>
      </w:r>
      <w:r>
        <w:rPr>
          <w:rFonts w:ascii="Arial" w:hAnsi="Arial" w:cs="Arial" w:eastAsia="Arial" w:hint="default"/>
        </w:rPr>
        <w:t>1,557</w:t>
      </w:r>
    </w:p>
    <w:p>
      <w:pPr>
        <w:pStyle w:val="BodyText"/>
        <w:tabs>
          <w:tab w:pos="9456" w:val="right" w:leader="none"/>
        </w:tabs>
        <w:spacing w:line="285" w:lineRule="exact"/>
        <w:ind w:left="628" w:right="0"/>
        <w:jc w:val="left"/>
        <w:rPr>
          <w:rFonts w:ascii="Arial" w:hAnsi="Arial" w:cs="Arial" w:eastAsia="Arial" w:hint="default"/>
        </w:rPr>
      </w:pPr>
      <w:r>
        <w:rPr>
          <w:position w:val="2"/>
        </w:rPr>
        <w:t>无形资产</w:t>
      </w:r>
      <w:r>
        <w:rPr>
          <w:rFonts w:ascii="Arial" w:hAnsi="Arial" w:cs="Arial" w:eastAsia="Arial" w:hint="default"/>
        </w:rPr>
        <w:tab/>
        <w:t>130</w:t>
      </w:r>
    </w:p>
    <w:p>
      <w:pPr>
        <w:pStyle w:val="BodyText"/>
        <w:tabs>
          <w:tab w:pos="9456" w:val="right" w:leader="none"/>
        </w:tabs>
        <w:spacing w:line="285" w:lineRule="exact"/>
        <w:ind w:left="628" w:right="0"/>
        <w:jc w:val="left"/>
        <w:rPr>
          <w:rFonts w:ascii="Arial" w:hAnsi="Arial" w:cs="Arial" w:eastAsia="Arial" w:hint="default"/>
        </w:rPr>
      </w:pPr>
      <w:r>
        <w:rPr>
          <w:position w:val="2"/>
        </w:rPr>
        <w:t>其他非流动资产</w:t>
      </w:r>
      <w:r>
        <w:rPr>
          <w:rFonts w:ascii="Arial" w:hAnsi="Arial" w:cs="Arial" w:eastAsia="Arial" w:hint="default"/>
        </w:rPr>
        <w:tab/>
        <w:t>335</w:t>
      </w:r>
    </w:p>
    <w:p>
      <w:pPr>
        <w:pStyle w:val="BodyText"/>
        <w:tabs>
          <w:tab w:pos="8999" w:val="left" w:leader="none"/>
        </w:tabs>
        <w:spacing w:line="285" w:lineRule="exact"/>
        <w:ind w:left="628" w:right="0"/>
        <w:jc w:val="left"/>
        <w:rPr>
          <w:rFonts w:ascii="Arial" w:hAnsi="Arial" w:cs="Arial" w:eastAsia="Arial" w:hint="default"/>
        </w:rPr>
      </w:pPr>
      <w:r>
        <w:rPr>
          <w:w w:val="95"/>
          <w:position w:val="2"/>
        </w:rPr>
        <w:t>减：应付职工薪酬</w:t>
        <w:tab/>
      </w:r>
      <w:r>
        <w:rPr>
          <w:rFonts w:ascii="Arial" w:hAnsi="Arial" w:cs="Arial" w:eastAsia="Arial" w:hint="default"/>
        </w:rPr>
        <w:t>(233)</w:t>
      </w:r>
    </w:p>
    <w:p>
      <w:pPr>
        <w:pStyle w:val="BodyText"/>
        <w:tabs>
          <w:tab w:pos="7573" w:val="left" w:leader="none"/>
          <w:tab w:pos="8815" w:val="left" w:leader="none"/>
          <w:tab w:pos="9576" w:val="left" w:leader="none"/>
        </w:tabs>
        <w:spacing w:line="298" w:lineRule="exact"/>
        <w:ind w:left="1044" w:right="0"/>
        <w:jc w:val="left"/>
        <w:rPr>
          <w:rFonts w:ascii="Arial" w:hAnsi="Arial" w:cs="Arial" w:eastAsia="Arial" w:hint="default"/>
        </w:rPr>
      </w:pPr>
      <w:r>
        <w:rPr>
          <w:w w:val="95"/>
          <w:position w:val="2"/>
        </w:rPr>
        <w:t>应付款项及其他负债</w:t>
        <w:tab/>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(6,866)</w:t>
        <w:tab/>
      </w:r>
      <w:r>
        <w:rPr>
          <w:rFonts w:ascii="Arial" w:hAnsi="Arial" w:cs="Arial" w:eastAsia="Arial" w:hint="default"/>
        </w:rPr>
      </w:r>
    </w:p>
    <w:p>
      <w:pPr>
        <w:pStyle w:val="BodyText"/>
        <w:tabs>
          <w:tab w:pos="8905" w:val="left" w:leader="none"/>
        </w:tabs>
        <w:spacing w:line="288" w:lineRule="exact"/>
        <w:ind w:left="628" w:right="0"/>
        <w:jc w:val="left"/>
        <w:rPr>
          <w:rFonts w:ascii="Arial" w:hAnsi="Arial" w:cs="Arial" w:eastAsia="Arial" w:hint="default"/>
        </w:rPr>
      </w:pPr>
      <w:r>
        <w:rPr>
          <w:w w:val="95"/>
          <w:position w:val="1"/>
        </w:rPr>
        <w:t>小计</w:t>
        <w:tab/>
      </w:r>
      <w:r>
        <w:rPr>
          <w:rFonts w:ascii="Arial" w:hAnsi="Arial" w:cs="Arial" w:eastAsia="Arial" w:hint="default"/>
        </w:rPr>
        <w:t>1,229</w:t>
      </w:r>
    </w:p>
    <w:p>
      <w:pPr>
        <w:pStyle w:val="BodyText"/>
        <w:tabs>
          <w:tab w:pos="7573" w:val="left" w:leader="none"/>
          <w:tab w:pos="9243" w:val="left" w:leader="none"/>
          <w:tab w:pos="9576" w:val="left" w:leader="none"/>
        </w:tabs>
        <w:spacing w:line="298" w:lineRule="exact"/>
        <w:ind w:left="628" w:right="0"/>
        <w:jc w:val="left"/>
        <w:rPr>
          <w:rFonts w:ascii="Arial" w:hAnsi="Arial" w:cs="Arial" w:eastAsia="Arial" w:hint="default"/>
        </w:rPr>
      </w:pPr>
      <w:r>
        <w:rPr>
          <w:w w:val="95"/>
          <w:position w:val="2"/>
        </w:rPr>
        <w:t>减：目标业务少数股东权益</w:t>
        <w:tab/>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(2)</w:t>
        <w:tab/>
      </w:r>
      <w:r>
        <w:rPr>
          <w:rFonts w:ascii="Arial" w:hAnsi="Arial" w:cs="Arial" w:eastAsia="Arial" w:hint="default"/>
        </w:rPr>
      </w:r>
    </w:p>
    <w:p>
      <w:pPr>
        <w:pStyle w:val="BodyText"/>
        <w:tabs>
          <w:tab w:pos="7566" w:val="left" w:leader="none"/>
          <w:tab w:pos="8905" w:val="left" w:leader="none"/>
          <w:tab w:pos="9583" w:val="left" w:leader="none"/>
        </w:tabs>
        <w:spacing w:line="307" w:lineRule="exact"/>
        <w:ind w:left="627" w:right="0"/>
        <w:jc w:val="left"/>
        <w:rPr>
          <w:rFonts w:ascii="Arial" w:hAnsi="Arial" w:cs="Arial" w:eastAsia="Arial" w:hint="default"/>
        </w:rPr>
      </w:pPr>
      <w:r>
        <w:rPr>
          <w:w w:val="95"/>
          <w:position w:val="1"/>
        </w:rPr>
        <w:t>取得的净资产</w:t>
        <w:tab/>
      </w:r>
      <w:r>
        <w:rPr>
          <w:rFonts w:ascii="Arial" w:hAnsi="Arial" w:cs="Arial" w:eastAsia="Arial" w:hint="default"/>
          <w:w w:val="95"/>
        </w:rPr>
      </w:r>
      <w:r>
        <w:rPr>
          <w:rFonts w:ascii="Arial" w:hAnsi="Arial" w:cs="Arial" w:eastAsia="Arial" w:hint="default"/>
          <w:w w:val="95"/>
          <w:u w:val="thick" w:color="000000"/>
        </w:rPr>
        <w:t> </w:t>
        <w:tab/>
      </w:r>
      <w:r>
        <w:rPr>
          <w:rFonts w:ascii="Arial" w:hAnsi="Arial" w:cs="Arial" w:eastAsia="Arial" w:hint="default"/>
          <w:u w:val="thick" w:color="000000"/>
        </w:rPr>
        <w:t>1,227</w:t>
        <w:tab/>
      </w:r>
      <w:r>
        <w:rPr>
          <w:rFonts w:ascii="Arial" w:hAnsi="Arial" w:cs="Arial" w:eastAsia="Arial" w:hint="default"/>
        </w:rPr>
      </w:r>
    </w:p>
    <w:p>
      <w:pPr>
        <w:spacing w:line="240" w:lineRule="auto" w:before="11"/>
        <w:rPr>
          <w:rFonts w:ascii="Arial" w:hAnsi="Arial" w:cs="Arial" w:eastAsia="Arial" w:hint="default"/>
          <w:sz w:val="16"/>
          <w:szCs w:val="16"/>
        </w:rPr>
      </w:pPr>
    </w:p>
    <w:p>
      <w:pPr>
        <w:pStyle w:val="BodyText"/>
        <w:spacing w:line="284" w:lineRule="exact" w:before="61"/>
        <w:ind w:left="567" w:right="0" w:hanging="448"/>
        <w:jc w:val="left"/>
      </w:pPr>
      <w:r>
        <w:rPr>
          <w:rFonts w:ascii="Arial" w:hAnsi="Arial" w:cs="Arial" w:eastAsia="Arial" w:hint="default"/>
        </w:rPr>
        <w:t>(iii)</w:t>
      </w:r>
      <w:r>
        <w:rPr>
          <w:rFonts w:ascii="Arial" w:hAnsi="Arial" w:cs="Arial" w:eastAsia="Arial" w:hint="default"/>
          <w:spacing w:val="27"/>
        </w:rPr>
        <w:t> </w:t>
      </w:r>
      <w:r>
        <w:rPr/>
        <w:t>目标业务自</w:t>
      </w:r>
      <w:r>
        <w:rPr>
          <w:spacing w:val="-56"/>
        </w:rPr>
        <w:t> </w:t>
      </w:r>
      <w:r>
        <w:rPr>
          <w:rFonts w:ascii="Arial" w:hAnsi="Arial" w:cs="Arial" w:eastAsia="Arial" w:hint="default"/>
        </w:rPr>
        <w:t>2009</w:t>
      </w:r>
      <w:r>
        <w:rPr>
          <w:rFonts w:ascii="Arial" w:hAnsi="Arial" w:cs="Arial" w:eastAsia="Arial" w:hint="default"/>
          <w:spacing w:val="-8"/>
        </w:rPr>
        <w:t> </w:t>
      </w:r>
      <w:r>
        <w:rPr/>
        <w:t>年</w:t>
      </w:r>
      <w:r>
        <w:rPr>
          <w:spacing w:val="-57"/>
        </w:rPr>
        <w:t> </w:t>
      </w:r>
      <w:r>
        <w:rPr>
          <w:rFonts w:ascii="Arial" w:hAnsi="Arial" w:cs="Arial" w:eastAsia="Arial" w:hint="default"/>
        </w:rPr>
        <w:t>1</w:t>
      </w:r>
      <w:r>
        <w:rPr>
          <w:rFonts w:ascii="Arial" w:hAnsi="Arial" w:cs="Arial" w:eastAsia="Arial" w:hint="default"/>
          <w:spacing w:val="-8"/>
        </w:rPr>
        <w:t> </w:t>
      </w:r>
      <w:r>
        <w:rPr/>
        <w:t>月</w:t>
      </w:r>
      <w:r>
        <w:rPr>
          <w:spacing w:val="-57"/>
        </w:rPr>
        <w:t> </w:t>
      </w:r>
      <w:r>
        <w:rPr>
          <w:rFonts w:ascii="Arial" w:hAnsi="Arial" w:cs="Arial" w:eastAsia="Arial" w:hint="default"/>
        </w:rPr>
        <w:t>1</w:t>
      </w:r>
      <w:r>
        <w:rPr>
          <w:rFonts w:ascii="Arial" w:hAnsi="Arial" w:cs="Arial" w:eastAsia="Arial" w:hint="default"/>
          <w:spacing w:val="-8"/>
        </w:rPr>
        <w:t> </w:t>
      </w:r>
      <w:r>
        <w:rPr/>
        <w:t>日至合并日（</w:t>
      </w:r>
      <w:r>
        <w:rPr>
          <w:rFonts w:ascii="Arial" w:hAnsi="Arial" w:cs="Arial" w:eastAsia="Arial" w:hint="default"/>
        </w:rPr>
        <w:t>2009</w:t>
      </w:r>
      <w:r>
        <w:rPr>
          <w:rFonts w:ascii="Arial" w:hAnsi="Arial" w:cs="Arial" w:eastAsia="Arial" w:hint="default"/>
          <w:spacing w:val="-7"/>
        </w:rPr>
        <w:t> </w:t>
      </w:r>
      <w:r>
        <w:rPr/>
        <w:t>年</w:t>
      </w:r>
      <w:r>
        <w:rPr>
          <w:spacing w:val="-57"/>
        </w:rPr>
        <w:t> </w:t>
      </w:r>
      <w:r>
        <w:rPr>
          <w:rFonts w:ascii="Arial" w:hAnsi="Arial" w:cs="Arial" w:eastAsia="Arial" w:hint="default"/>
        </w:rPr>
        <w:t>1</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t>日）止期间和</w:t>
      </w:r>
      <w:r>
        <w:rPr>
          <w:spacing w:val="-57"/>
        </w:rPr>
        <w:t> </w:t>
      </w:r>
      <w:r>
        <w:rPr>
          <w:rFonts w:ascii="Arial" w:hAnsi="Arial" w:cs="Arial" w:eastAsia="Arial" w:hint="default"/>
        </w:rPr>
        <w:t>2008</w:t>
      </w:r>
      <w:r>
        <w:rPr>
          <w:rFonts w:ascii="Arial" w:hAnsi="Arial" w:cs="Arial" w:eastAsia="Arial" w:hint="default"/>
          <w:spacing w:val="-8"/>
        </w:rPr>
        <w:t> </w:t>
      </w:r>
      <w:r>
        <w:rPr/>
        <w:t>年度的收入、净利</w:t>
      </w:r>
      <w:r>
        <w:rPr>
          <w:w w:val="99"/>
        </w:rPr>
        <w:t> </w:t>
      </w:r>
      <w:r>
        <w:rPr/>
        <w:t>润和现金流量列示如下：</w:t>
      </w:r>
    </w:p>
    <w:p>
      <w:pPr>
        <w:spacing w:line="240" w:lineRule="auto" w:before="1"/>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headerReference w:type="default" r:id="rId72"/>
          <w:pgSz w:w="11910" w:h="16840"/>
          <w:pgMar w:header="1189" w:footer="600" w:top="3640" w:bottom="780" w:left="1280" w:right="700"/>
        </w:sectPr>
      </w:pPr>
    </w:p>
    <w:p>
      <w:pPr>
        <w:spacing w:line="240" w:lineRule="auto" w:before="3"/>
        <w:rPr>
          <w:rFonts w:ascii="宋体" w:hAnsi="宋体" w:cs="宋体" w:eastAsia="宋体" w:hint="default"/>
          <w:sz w:val="24"/>
          <w:szCs w:val="24"/>
        </w:rPr>
      </w:pPr>
    </w:p>
    <w:p>
      <w:pPr>
        <w:pStyle w:val="BodyText"/>
        <w:spacing w:line="240" w:lineRule="auto"/>
        <w:ind w:left="628" w:right="0"/>
        <w:jc w:val="left"/>
      </w:pPr>
      <w:r>
        <w:rPr>
          <w:w w:val="95"/>
        </w:rPr>
        <w:t>（单位：人民币百万元）</w:t>
      </w:r>
      <w:r>
        <w:rPr/>
      </w:r>
    </w:p>
    <w:p>
      <w:pPr>
        <w:pStyle w:val="BodyText"/>
        <w:spacing w:line="295" w:lineRule="exact" w:before="31"/>
        <w:ind w:left="628" w:right="0"/>
        <w:jc w:val="left"/>
      </w:pPr>
      <w:r>
        <w:rPr/>
        <w:br w:type="column"/>
      </w:r>
      <w:r>
        <w:rPr/>
        <w:t>自</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w:t>
      </w:r>
      <w:r>
        <w:rPr>
          <w:rFonts w:ascii="Arial" w:hAnsi="Arial" w:cs="Arial" w:eastAsia="Arial" w:hint="default"/>
          <w:spacing w:val="-7"/>
        </w:rPr>
        <w:t> </w:t>
      </w:r>
      <w:r>
        <w:rPr/>
        <w:t>月</w:t>
      </w:r>
      <w:r>
        <w:rPr>
          <w:spacing w:val="-56"/>
        </w:rPr>
        <w:t> </w:t>
      </w:r>
      <w:r>
        <w:rPr>
          <w:rFonts w:ascii="Arial" w:hAnsi="Arial" w:cs="Arial" w:eastAsia="Arial" w:hint="default"/>
        </w:rPr>
        <w:t>1</w:t>
      </w:r>
      <w:r>
        <w:rPr>
          <w:rFonts w:ascii="Arial" w:hAnsi="Arial" w:cs="Arial" w:eastAsia="Arial" w:hint="default"/>
          <w:spacing w:val="-7"/>
        </w:rPr>
        <w:t> </w:t>
      </w:r>
      <w:r>
        <w:rPr/>
        <w:t>日</w:t>
      </w:r>
    </w:p>
    <w:p>
      <w:pPr>
        <w:pStyle w:val="BodyText"/>
        <w:tabs>
          <w:tab w:pos="3771" w:val="left" w:leader="none"/>
        </w:tabs>
        <w:spacing w:line="295" w:lineRule="exact"/>
        <w:ind w:left="1471" w:right="0"/>
        <w:jc w:val="left"/>
      </w:pPr>
      <w:r>
        <w:rPr>
          <w:w w:val="95"/>
        </w:rPr>
        <w:t>至合并日止</w:t>
        <w:tab/>
      </w:r>
      <w:r>
        <w:rPr>
          <w:rFonts w:ascii="Arial" w:hAnsi="Arial" w:cs="Arial" w:eastAsia="Arial" w:hint="default"/>
        </w:rPr>
        <w:t>2008</w:t>
      </w:r>
      <w:r>
        <w:rPr>
          <w:rFonts w:ascii="Arial" w:hAnsi="Arial" w:cs="Arial" w:eastAsia="Arial" w:hint="default"/>
          <w:spacing w:val="-8"/>
        </w:rPr>
        <w:t> </w:t>
      </w:r>
      <w:r>
        <w:rPr/>
        <w:t>年度</w:t>
      </w:r>
    </w:p>
    <w:p>
      <w:pPr>
        <w:spacing w:after="0" w:line="295" w:lineRule="exact"/>
        <w:jc w:val="left"/>
        <w:sectPr>
          <w:type w:val="continuous"/>
          <w:pgSz w:w="11910" w:h="16840"/>
          <w:pgMar w:top="1600" w:bottom="280" w:left="1280" w:right="700"/>
          <w:cols w:num="2" w:equalWidth="0">
            <w:col w:w="3048" w:space="1765"/>
            <w:col w:w="5117"/>
          </w:cols>
        </w:sectPr>
      </w:pPr>
    </w:p>
    <w:p>
      <w:pPr>
        <w:spacing w:line="20" w:lineRule="exact"/>
        <w:ind w:left="5188" w:right="0" w:firstLine="0"/>
        <w:rPr>
          <w:rFonts w:ascii="宋体" w:hAnsi="宋体" w:cs="宋体" w:eastAsia="宋体" w:hint="default"/>
          <w:sz w:val="2"/>
          <w:szCs w:val="2"/>
        </w:rPr>
      </w:pPr>
      <w:r>
        <w:rPr>
          <w:rFonts w:ascii="宋体"/>
          <w:sz w:val="2"/>
        </w:rPr>
        <w:pict>
          <v:group style="width:112pt;height:.75pt;mso-position-horizontal-relative:char;mso-position-vertical-relative:line" coordorigin="0,0" coordsize="2240,15">
            <v:group style="position:absolute;left:7;top:7;width:2225;height:2" coordorigin="7,7" coordsize="2225,2">
              <v:shape style="position:absolute;left:7;top:7;width:2225;height:2" coordorigin="7,7" coordsize="2225,0" path="m7,7l2232,7e" filled="false" stroked="true" strokeweight=".72pt" strokecolor="#000000">
                <v:path arrowok="t"/>
              </v:shape>
            </v:group>
          </v:group>
        </w:pict>
      </w:r>
      <w:r>
        <w:rPr>
          <w:rFonts w:ascii="宋体"/>
          <w:sz w:val="2"/>
        </w:rPr>
      </w:r>
      <w:r>
        <w:rPr>
          <w:rFonts w:ascii="Times New Roman"/>
          <w:spacing w:val="103"/>
          <w:sz w:val="2"/>
        </w:rPr>
        <w:t> </w:t>
      </w:r>
      <w:r>
        <w:rPr>
          <w:rFonts w:ascii="宋体"/>
          <w:spacing w:val="103"/>
          <w:sz w:val="2"/>
        </w:rPr>
        <w:pict>
          <v:group style="width:101.55pt;height:.75pt;mso-position-horizontal-relative:char;mso-position-vertical-relative:line" coordorigin="0,0" coordsize="2031,15">
            <v:group style="position:absolute;left:7;top:7;width:2016;height:2" coordorigin="7,7" coordsize="2016,2">
              <v:shape style="position:absolute;left:7;top:7;width:2016;height:2" coordorigin="7,7" coordsize="2016,0" path="m7,7l2023,7e" filled="false" stroked="true" strokeweight=".72pt" strokecolor="#000000">
                <v:path arrowok="t"/>
              </v:shape>
            </v:group>
          </v:group>
        </w:pict>
      </w:r>
      <w:r>
        <w:rPr>
          <w:rFonts w:ascii="宋体"/>
          <w:spacing w:val="103"/>
          <w:sz w:val="2"/>
        </w:rPr>
      </w:r>
    </w:p>
    <w:p>
      <w:pPr>
        <w:spacing w:line="240" w:lineRule="auto" w:before="8"/>
        <w:rPr>
          <w:rFonts w:ascii="宋体" w:hAnsi="宋体" w:cs="宋体" w:eastAsia="宋体" w:hint="default"/>
          <w:sz w:val="14"/>
          <w:szCs w:val="14"/>
        </w:rPr>
      </w:pPr>
    </w:p>
    <w:tbl>
      <w:tblPr>
        <w:tblW w:w="0" w:type="auto"/>
        <w:jc w:val="left"/>
        <w:tblInd w:w="607" w:type="dxa"/>
        <w:tblLayout w:type="fixed"/>
        <w:tblCellMar>
          <w:top w:w="0" w:type="dxa"/>
          <w:left w:w="0" w:type="dxa"/>
          <w:bottom w:w="0" w:type="dxa"/>
          <w:right w:w="0" w:type="dxa"/>
        </w:tblCellMar>
        <w:tblLook w:val="01E0"/>
      </w:tblPr>
      <w:tblGrid>
        <w:gridCol w:w="4849"/>
        <w:gridCol w:w="2637"/>
        <w:gridCol w:w="1427"/>
      </w:tblGrid>
      <w:tr>
        <w:trPr>
          <w:trHeight w:val="368" w:hRule="exact"/>
        </w:trPr>
        <w:tc>
          <w:tcPr>
            <w:tcW w:w="4849"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22"/>
                <w:szCs w:val="22"/>
              </w:rPr>
            </w:pPr>
            <w:r>
              <w:rPr>
                <w:rFonts w:ascii="宋体" w:hAnsi="宋体" w:cs="宋体" w:eastAsia="宋体" w:hint="default"/>
                <w:sz w:val="22"/>
                <w:szCs w:val="22"/>
              </w:rPr>
              <w:t>营业收入</w:t>
            </w:r>
          </w:p>
        </w:tc>
        <w:tc>
          <w:tcPr>
            <w:tcW w:w="263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790"/>
              <w:jc w:val="right"/>
              <w:rPr>
                <w:rFonts w:ascii="Arial" w:hAnsi="Arial" w:cs="Arial" w:eastAsia="Arial" w:hint="default"/>
                <w:sz w:val="22"/>
                <w:szCs w:val="22"/>
              </w:rPr>
            </w:pPr>
            <w:r>
              <w:rPr>
                <w:rFonts w:ascii="Arial"/>
                <w:w w:val="95"/>
                <w:sz w:val="22"/>
              </w:rPr>
              <w:t>1,093</w:t>
            </w:r>
            <w:r>
              <w:rPr>
                <w:rFonts w:ascii="Arial"/>
                <w:sz w:val="22"/>
              </w:rPr>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33"/>
              <w:jc w:val="right"/>
              <w:rPr>
                <w:rFonts w:ascii="Arial" w:hAnsi="Arial" w:cs="Arial" w:eastAsia="Arial" w:hint="default"/>
                <w:sz w:val="22"/>
                <w:szCs w:val="22"/>
              </w:rPr>
            </w:pPr>
            <w:r>
              <w:rPr>
                <w:rFonts w:ascii="Arial"/>
                <w:w w:val="95"/>
                <w:sz w:val="22"/>
              </w:rPr>
              <w:t>14,946</w:t>
            </w:r>
            <w:r>
              <w:rPr>
                <w:rFonts w:ascii="Arial"/>
                <w:sz w:val="22"/>
              </w:rPr>
            </w:r>
          </w:p>
        </w:tc>
      </w:tr>
      <w:tr>
        <w:trPr>
          <w:trHeight w:val="285" w:hRule="exact"/>
        </w:trPr>
        <w:tc>
          <w:tcPr>
            <w:tcW w:w="4849" w:type="dxa"/>
            <w:tcBorders>
              <w:top w:val="nil" w:sz="6" w:space="0" w:color="auto"/>
              <w:left w:val="nil" w:sz="6" w:space="0" w:color="auto"/>
              <w:bottom w:val="nil" w:sz="6" w:space="0" w:color="auto"/>
              <w:right w:val="nil" w:sz="6" w:space="0" w:color="auto"/>
            </w:tcBorders>
          </w:tcPr>
          <w:p>
            <w:pPr>
              <w:pStyle w:val="TableParagraph"/>
              <w:spacing w:line="242" w:lineRule="exact"/>
              <w:ind w:left="35" w:right="0"/>
              <w:jc w:val="left"/>
              <w:rPr>
                <w:rFonts w:ascii="宋体" w:hAnsi="宋体" w:cs="宋体" w:eastAsia="宋体" w:hint="default"/>
                <w:sz w:val="22"/>
                <w:szCs w:val="22"/>
              </w:rPr>
            </w:pPr>
            <w:r>
              <w:rPr>
                <w:rFonts w:ascii="宋体" w:hAnsi="宋体" w:cs="宋体" w:eastAsia="宋体" w:hint="default"/>
                <w:sz w:val="22"/>
                <w:szCs w:val="22"/>
              </w:rPr>
              <w:t>净利润</w:t>
            </w:r>
          </w:p>
        </w:tc>
        <w:tc>
          <w:tcPr>
            <w:tcW w:w="2637" w:type="dxa"/>
            <w:tcBorders>
              <w:top w:val="nil" w:sz="6" w:space="0" w:color="auto"/>
              <w:left w:val="nil" w:sz="6" w:space="0" w:color="auto"/>
              <w:bottom w:val="nil" w:sz="6" w:space="0" w:color="auto"/>
              <w:right w:val="nil" w:sz="6" w:space="0" w:color="auto"/>
            </w:tcBorders>
          </w:tcPr>
          <w:p>
            <w:pPr>
              <w:pStyle w:val="TableParagraph"/>
              <w:spacing w:line="241" w:lineRule="exact"/>
              <w:ind w:right="790"/>
              <w:jc w:val="right"/>
              <w:rPr>
                <w:rFonts w:ascii="Arial" w:hAnsi="Arial" w:cs="Arial" w:eastAsia="Arial" w:hint="default"/>
                <w:sz w:val="22"/>
                <w:szCs w:val="22"/>
              </w:rPr>
            </w:pPr>
            <w:r>
              <w:rPr>
                <w:rFonts w:ascii="Arial"/>
                <w:w w:val="95"/>
                <w:sz w:val="22"/>
              </w:rPr>
              <w:t>117</w:t>
            </w:r>
            <w:r>
              <w:rPr>
                <w:rFonts w:ascii="Arial"/>
                <w:sz w:val="22"/>
              </w:rPr>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3"/>
              <w:jc w:val="right"/>
              <w:rPr>
                <w:rFonts w:ascii="Arial" w:hAnsi="Arial" w:cs="Arial" w:eastAsia="Arial" w:hint="default"/>
                <w:sz w:val="22"/>
                <w:szCs w:val="22"/>
              </w:rPr>
            </w:pPr>
            <w:r>
              <w:rPr>
                <w:rFonts w:ascii="Arial"/>
                <w:w w:val="95"/>
                <w:sz w:val="22"/>
              </w:rPr>
              <w:t>1,471</w:t>
            </w:r>
            <w:r>
              <w:rPr>
                <w:rFonts w:ascii="Arial"/>
                <w:sz w:val="22"/>
              </w:rPr>
            </w:r>
          </w:p>
        </w:tc>
      </w:tr>
      <w:tr>
        <w:trPr>
          <w:trHeight w:val="285" w:hRule="exact"/>
        </w:trPr>
        <w:tc>
          <w:tcPr>
            <w:tcW w:w="4849" w:type="dxa"/>
            <w:tcBorders>
              <w:top w:val="nil" w:sz="6" w:space="0" w:color="auto"/>
              <w:left w:val="nil" w:sz="6" w:space="0" w:color="auto"/>
              <w:bottom w:val="nil" w:sz="6" w:space="0" w:color="auto"/>
              <w:right w:val="nil" w:sz="6" w:space="0" w:color="auto"/>
            </w:tcBorders>
          </w:tcPr>
          <w:p>
            <w:pPr>
              <w:pStyle w:val="TableParagraph"/>
              <w:spacing w:line="242" w:lineRule="exact"/>
              <w:ind w:left="35" w:right="0"/>
              <w:jc w:val="left"/>
              <w:rPr>
                <w:rFonts w:ascii="宋体" w:hAnsi="宋体" w:cs="宋体" w:eastAsia="宋体" w:hint="default"/>
                <w:sz w:val="22"/>
                <w:szCs w:val="22"/>
              </w:rPr>
            </w:pPr>
            <w:r>
              <w:rPr>
                <w:rFonts w:ascii="宋体" w:hAnsi="宋体" w:cs="宋体" w:eastAsia="宋体" w:hint="default"/>
                <w:sz w:val="22"/>
                <w:szCs w:val="22"/>
              </w:rPr>
              <w:t>经营活动现金流入净额</w:t>
            </w:r>
          </w:p>
        </w:tc>
        <w:tc>
          <w:tcPr>
            <w:tcW w:w="2637" w:type="dxa"/>
            <w:tcBorders>
              <w:top w:val="nil" w:sz="6" w:space="0" w:color="auto"/>
              <w:left w:val="nil" w:sz="6" w:space="0" w:color="auto"/>
              <w:bottom w:val="nil" w:sz="6" w:space="0" w:color="auto"/>
              <w:right w:val="nil" w:sz="6" w:space="0" w:color="auto"/>
            </w:tcBorders>
          </w:tcPr>
          <w:p>
            <w:pPr>
              <w:pStyle w:val="TableParagraph"/>
              <w:spacing w:line="241" w:lineRule="exact"/>
              <w:ind w:right="790"/>
              <w:jc w:val="right"/>
              <w:rPr>
                <w:rFonts w:ascii="Arial" w:hAnsi="Arial" w:cs="Arial" w:eastAsia="Arial" w:hint="default"/>
                <w:sz w:val="22"/>
                <w:szCs w:val="22"/>
              </w:rPr>
            </w:pPr>
            <w:r>
              <w:rPr>
                <w:rFonts w:ascii="Arial"/>
                <w:w w:val="95"/>
                <w:sz w:val="22"/>
              </w:rPr>
              <w:t>11</w:t>
            </w:r>
            <w:r>
              <w:rPr>
                <w:rFonts w:ascii="Arial"/>
                <w:sz w:val="22"/>
              </w:rPr>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3"/>
              <w:jc w:val="right"/>
              <w:rPr>
                <w:rFonts w:ascii="Arial" w:hAnsi="Arial" w:cs="Arial" w:eastAsia="Arial" w:hint="default"/>
                <w:sz w:val="22"/>
                <w:szCs w:val="22"/>
              </w:rPr>
            </w:pPr>
            <w:r>
              <w:rPr>
                <w:rFonts w:ascii="Arial"/>
                <w:w w:val="95"/>
                <w:sz w:val="22"/>
              </w:rPr>
              <w:t>550</w:t>
            </w:r>
            <w:r>
              <w:rPr>
                <w:rFonts w:ascii="Arial"/>
                <w:sz w:val="22"/>
              </w:rPr>
            </w:r>
          </w:p>
        </w:tc>
      </w:tr>
      <w:tr>
        <w:trPr>
          <w:trHeight w:val="369" w:hRule="exact"/>
        </w:trPr>
        <w:tc>
          <w:tcPr>
            <w:tcW w:w="4849" w:type="dxa"/>
            <w:tcBorders>
              <w:top w:val="nil" w:sz="6" w:space="0" w:color="auto"/>
              <w:left w:val="nil" w:sz="6" w:space="0" w:color="auto"/>
              <w:bottom w:val="nil" w:sz="6" w:space="0" w:color="auto"/>
              <w:right w:val="nil" w:sz="6" w:space="0" w:color="auto"/>
            </w:tcBorders>
          </w:tcPr>
          <w:p>
            <w:pPr>
              <w:pStyle w:val="TableParagraph"/>
              <w:spacing w:line="242" w:lineRule="exact"/>
              <w:ind w:left="35" w:right="0"/>
              <w:jc w:val="left"/>
              <w:rPr>
                <w:rFonts w:ascii="宋体" w:hAnsi="宋体" w:cs="宋体" w:eastAsia="宋体" w:hint="default"/>
                <w:sz w:val="22"/>
                <w:szCs w:val="22"/>
              </w:rPr>
            </w:pPr>
            <w:r>
              <w:rPr>
                <w:rFonts w:ascii="宋体" w:hAnsi="宋体" w:cs="宋体" w:eastAsia="宋体" w:hint="default"/>
                <w:sz w:val="22"/>
                <w:szCs w:val="22"/>
              </w:rPr>
              <w:t>现金及现金等价物净（减少）增加额</w:t>
            </w:r>
          </w:p>
        </w:tc>
        <w:tc>
          <w:tcPr>
            <w:tcW w:w="2637" w:type="dxa"/>
            <w:tcBorders>
              <w:top w:val="nil" w:sz="6" w:space="0" w:color="auto"/>
              <w:left w:val="nil" w:sz="6" w:space="0" w:color="auto"/>
              <w:bottom w:val="nil" w:sz="6" w:space="0" w:color="auto"/>
              <w:right w:val="nil" w:sz="6" w:space="0" w:color="auto"/>
            </w:tcBorders>
          </w:tcPr>
          <w:p>
            <w:pPr>
              <w:pStyle w:val="TableParagraph"/>
              <w:spacing w:line="241" w:lineRule="exact"/>
              <w:ind w:right="716"/>
              <w:jc w:val="right"/>
              <w:rPr>
                <w:rFonts w:ascii="Arial" w:hAnsi="Arial" w:cs="Arial" w:eastAsia="Arial" w:hint="default"/>
                <w:sz w:val="22"/>
                <w:szCs w:val="22"/>
              </w:rPr>
            </w:pPr>
            <w:r>
              <w:rPr>
                <w:rFonts w:ascii="Arial"/>
                <w:w w:val="95"/>
                <w:sz w:val="22"/>
              </w:rPr>
              <w:t>(68)</w:t>
            </w:r>
            <w:r>
              <w:rPr>
                <w:rFonts w:ascii="Arial"/>
                <w:sz w:val="22"/>
              </w:rPr>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3"/>
              <w:jc w:val="right"/>
              <w:rPr>
                <w:rFonts w:ascii="Arial" w:hAnsi="Arial" w:cs="Arial" w:eastAsia="Arial" w:hint="default"/>
                <w:sz w:val="22"/>
                <w:szCs w:val="22"/>
              </w:rPr>
            </w:pPr>
            <w:r>
              <w:rPr>
                <w:rFonts w:ascii="Arial"/>
                <w:w w:val="95"/>
                <w:sz w:val="22"/>
              </w:rPr>
              <w:t>315</w:t>
            </w:r>
            <w:r>
              <w:rPr>
                <w:rFonts w:ascii="Arial"/>
                <w:sz w:val="22"/>
              </w:rPr>
            </w:r>
          </w:p>
        </w:tc>
      </w:tr>
    </w:tbl>
    <w:p>
      <w:pPr>
        <w:spacing w:line="240" w:lineRule="auto" w:before="4"/>
        <w:rPr>
          <w:rFonts w:ascii="宋体" w:hAnsi="宋体" w:cs="宋体" w:eastAsia="宋体" w:hint="default"/>
          <w:sz w:val="26"/>
          <w:szCs w:val="26"/>
        </w:rPr>
      </w:pPr>
    </w:p>
    <w:p>
      <w:pPr>
        <w:pStyle w:val="BodyText"/>
        <w:spacing w:line="240" w:lineRule="auto" w:before="31"/>
        <w:ind w:left="105" w:right="0"/>
        <w:jc w:val="left"/>
      </w:pPr>
      <w:r>
        <w:rPr>
          <w:rFonts w:ascii="Arial" w:hAnsi="Arial" w:cs="Arial" w:eastAsia="Arial" w:hint="default"/>
        </w:rPr>
        <w:t>(b) </w:t>
      </w:r>
      <w:r>
        <w:rPr>
          <w:rFonts w:ascii="Arial" w:hAnsi="Arial" w:cs="Arial" w:eastAsia="Arial" w:hint="default"/>
          <w:spacing w:val="28"/>
        </w:rPr>
        <w:t> </w:t>
      </w:r>
      <w:r>
        <w:rPr/>
        <w:t>网通红筹公司</w:t>
      </w:r>
    </w:p>
    <w:p>
      <w:pPr>
        <w:spacing w:line="240" w:lineRule="auto" w:before="10"/>
        <w:rPr>
          <w:rFonts w:ascii="宋体" w:hAnsi="宋体" w:cs="宋体" w:eastAsia="宋体" w:hint="default"/>
          <w:sz w:val="18"/>
          <w:szCs w:val="18"/>
        </w:rPr>
      </w:pPr>
    </w:p>
    <w:p>
      <w:pPr>
        <w:pStyle w:val="BodyText"/>
        <w:spacing w:line="230" w:lineRule="auto"/>
        <w:ind w:left="567" w:right="104"/>
        <w:jc w:val="both"/>
      </w:pPr>
      <w:r>
        <w:rPr>
          <w:spacing w:val="-5"/>
        </w:rPr>
        <w:t>根据附注一（</w:t>
      </w:r>
      <w:r>
        <w:rPr>
          <w:rFonts w:ascii="Arial" w:hAnsi="Arial" w:cs="Arial" w:eastAsia="Arial" w:hint="default"/>
          <w:spacing w:val="-5"/>
        </w:rPr>
        <w:t>3</w:t>
      </w:r>
      <w:r>
        <w:rPr>
          <w:spacing w:val="-5"/>
        </w:rPr>
        <w:t>）所述，联通红筹公司于</w:t>
      </w:r>
      <w:r>
        <w:rPr>
          <w:spacing w:val="-56"/>
        </w:rPr>
        <w:t> </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9</w:t>
      </w:r>
      <w:r>
        <w:rPr>
          <w:rFonts w:ascii="Arial" w:hAnsi="Arial" w:cs="Arial" w:eastAsia="Arial" w:hint="default"/>
          <w:spacing w:val="-7"/>
        </w:rPr>
        <w:t> </w:t>
      </w:r>
      <w:r>
        <w:rPr/>
        <w:t>月</w:t>
      </w:r>
      <w:r>
        <w:rPr>
          <w:spacing w:val="-56"/>
        </w:rPr>
        <w:t> </w:t>
      </w:r>
      <w:r>
        <w:rPr>
          <w:rFonts w:ascii="Arial" w:hAnsi="Arial" w:cs="Arial" w:eastAsia="Arial" w:hint="default"/>
        </w:rPr>
        <w:t>16</w:t>
      </w:r>
      <w:r>
        <w:rPr>
          <w:rFonts w:ascii="Arial" w:hAnsi="Arial" w:cs="Arial" w:eastAsia="Arial" w:hint="default"/>
          <w:spacing w:val="-7"/>
        </w:rPr>
        <w:t> </w:t>
      </w:r>
      <w:r>
        <w:rPr/>
        <w:t>日召开的特别股东大会及本公司于同日</w:t>
      </w:r>
      <w:r>
        <w:rPr>
          <w:w w:val="99"/>
        </w:rPr>
        <w:t> </w:t>
      </w:r>
      <w:r>
        <w:rPr>
          <w:spacing w:val="2"/>
        </w:rPr>
        <w:t>召开的临时股东大会均审议并通过了关于联通红筹公司与网通红筹公司合并的协议安排。国资</w:t>
      </w:r>
      <w:r>
        <w:rPr>
          <w:spacing w:val="-93"/>
        </w:rPr>
        <w:t> </w:t>
      </w:r>
      <w:r>
        <w:rPr>
          <w:spacing w:val="-93"/>
        </w:rPr>
      </w:r>
      <w:r>
        <w:rPr>
          <w:spacing w:val="-3"/>
        </w:rPr>
        <w:t>委、中国证券监督管理委员会（“证监会”）和香港高等法院亦先后分别于</w:t>
      </w:r>
      <w:r>
        <w:rPr>
          <w:spacing w:val="-52"/>
        </w:rPr>
        <w:t> </w:t>
      </w:r>
      <w:r>
        <w:rPr>
          <w:rFonts w:ascii="Arial" w:hAnsi="Arial" w:cs="Arial" w:eastAsia="Arial" w:hint="default"/>
        </w:rPr>
        <w:t>2008</w:t>
      </w:r>
      <w:r>
        <w:rPr>
          <w:rFonts w:ascii="Arial" w:hAnsi="Arial" w:cs="Arial" w:eastAsia="Arial" w:hint="default"/>
          <w:spacing w:val="-4"/>
        </w:rPr>
        <w:t> </w:t>
      </w:r>
      <w:r>
        <w:rPr/>
        <w:t>年</w:t>
      </w:r>
      <w:r>
        <w:rPr>
          <w:spacing w:val="-53"/>
        </w:rPr>
        <w:t> </w:t>
      </w:r>
      <w:r>
        <w:rPr>
          <w:rFonts w:ascii="Arial" w:hAnsi="Arial" w:cs="Arial" w:eastAsia="Arial" w:hint="default"/>
        </w:rPr>
        <w:t>9</w:t>
      </w:r>
      <w:r>
        <w:rPr>
          <w:rFonts w:ascii="Arial" w:hAnsi="Arial" w:cs="Arial" w:eastAsia="Arial" w:hint="default"/>
          <w:spacing w:val="-4"/>
        </w:rPr>
        <w:t> </w:t>
      </w:r>
      <w:r>
        <w:rPr/>
        <w:t>月</w:t>
      </w:r>
      <w:r>
        <w:rPr>
          <w:spacing w:val="-53"/>
        </w:rPr>
        <w:t> </w:t>
      </w:r>
      <w:r>
        <w:rPr>
          <w:rFonts w:ascii="Arial" w:hAnsi="Arial" w:cs="Arial" w:eastAsia="Arial" w:hint="default"/>
        </w:rPr>
        <w:t>17</w:t>
      </w:r>
      <w:r>
        <w:rPr>
          <w:rFonts w:ascii="Arial" w:hAnsi="Arial" w:cs="Arial" w:eastAsia="Arial" w:hint="default"/>
          <w:spacing w:val="-4"/>
        </w:rPr>
        <w:t> </w:t>
      </w:r>
      <w:r>
        <w:rPr/>
        <w:t>日、</w:t>
      </w:r>
    </w:p>
    <w:p>
      <w:pPr>
        <w:pStyle w:val="BodyText"/>
        <w:spacing w:line="286" w:lineRule="exact" w:before="12"/>
        <w:ind w:left="567" w:right="214"/>
        <w:jc w:val="both"/>
      </w:pPr>
      <w:r>
        <w:rPr>
          <w:rFonts w:ascii="Arial" w:hAnsi="Arial" w:cs="Arial" w:eastAsia="Arial" w:hint="default"/>
        </w:rPr>
        <w:t>10</w:t>
      </w:r>
      <w:r>
        <w:rPr>
          <w:rFonts w:ascii="Arial" w:hAnsi="Arial" w:cs="Arial" w:eastAsia="Arial" w:hint="default"/>
          <w:spacing w:val="-8"/>
        </w:rPr>
        <w:t> </w:t>
      </w:r>
      <w:r>
        <w:rPr/>
        <w:t>月</w:t>
      </w:r>
      <w:r>
        <w:rPr>
          <w:spacing w:val="-57"/>
        </w:rPr>
        <w:t> </w:t>
      </w:r>
      <w:r>
        <w:rPr>
          <w:rFonts w:ascii="Arial" w:hAnsi="Arial" w:cs="Arial" w:eastAsia="Arial" w:hint="default"/>
        </w:rPr>
        <w:t>6</w:t>
      </w:r>
      <w:r>
        <w:rPr>
          <w:rFonts w:ascii="Arial" w:hAnsi="Arial" w:cs="Arial" w:eastAsia="Arial" w:hint="default"/>
          <w:spacing w:val="-8"/>
        </w:rPr>
        <w:t> </w:t>
      </w:r>
      <w:r>
        <w:rPr/>
        <w:t>日和</w:t>
      </w:r>
      <w:r>
        <w:rPr>
          <w:spacing w:val="-57"/>
        </w:rPr>
        <w:t> </w:t>
      </w:r>
      <w:r>
        <w:rPr>
          <w:rFonts w:ascii="Arial" w:hAnsi="Arial" w:cs="Arial" w:eastAsia="Arial" w:hint="default"/>
        </w:rPr>
        <w:t>10</w:t>
      </w:r>
      <w:r>
        <w:rPr>
          <w:rFonts w:ascii="Arial" w:hAnsi="Arial" w:cs="Arial" w:eastAsia="Arial" w:hint="default"/>
          <w:spacing w:val="-8"/>
        </w:rPr>
        <w:t> </w:t>
      </w:r>
      <w:r>
        <w:rPr/>
        <w:t>月</w:t>
      </w:r>
      <w:r>
        <w:rPr>
          <w:spacing w:val="-57"/>
        </w:rPr>
        <w:t> </w:t>
      </w:r>
      <w:r>
        <w:rPr>
          <w:rFonts w:ascii="Arial" w:hAnsi="Arial" w:cs="Arial" w:eastAsia="Arial" w:hint="default"/>
        </w:rPr>
        <w:t>14</w:t>
      </w:r>
      <w:r>
        <w:rPr>
          <w:rFonts w:ascii="Arial" w:hAnsi="Arial" w:cs="Arial" w:eastAsia="Arial" w:hint="default"/>
          <w:spacing w:val="-8"/>
        </w:rPr>
        <w:t> </w:t>
      </w:r>
      <w:r>
        <w:rPr/>
        <w:t>日批准了该合并交易。于</w:t>
      </w:r>
      <w:r>
        <w:rPr>
          <w:spacing w:val="-57"/>
        </w:rPr>
        <w:t> </w:t>
      </w:r>
      <w:r>
        <w:rPr>
          <w:rFonts w:ascii="Arial" w:hAnsi="Arial" w:cs="Arial" w:eastAsia="Arial" w:hint="default"/>
        </w:rPr>
        <w:t>2008</w:t>
      </w:r>
      <w:r>
        <w:rPr>
          <w:rFonts w:ascii="Arial" w:hAnsi="Arial" w:cs="Arial" w:eastAsia="Arial" w:hint="default"/>
          <w:spacing w:val="-8"/>
        </w:rPr>
        <w:t> </w:t>
      </w:r>
      <w:r>
        <w:rPr/>
        <w:t>年</w:t>
      </w:r>
      <w:r>
        <w:rPr>
          <w:spacing w:val="-57"/>
        </w:rPr>
        <w:t> </w:t>
      </w:r>
      <w:r>
        <w:rPr>
          <w:rFonts w:ascii="Arial" w:hAnsi="Arial" w:cs="Arial" w:eastAsia="Arial" w:hint="default"/>
        </w:rPr>
        <w:t>10</w:t>
      </w:r>
      <w:r>
        <w:rPr>
          <w:rFonts w:ascii="Arial" w:hAnsi="Arial" w:cs="Arial" w:eastAsia="Arial" w:hint="default"/>
          <w:spacing w:val="-8"/>
        </w:rPr>
        <w:t> </w:t>
      </w:r>
      <w:r>
        <w:rPr/>
        <w:t>月</w:t>
      </w:r>
      <w:r>
        <w:rPr>
          <w:spacing w:val="-57"/>
        </w:rPr>
        <w:t> </w:t>
      </w:r>
      <w:r>
        <w:rPr>
          <w:rFonts w:ascii="Arial" w:hAnsi="Arial" w:cs="Arial" w:eastAsia="Arial" w:hint="default"/>
        </w:rPr>
        <w:t>15</w:t>
      </w:r>
      <w:r>
        <w:rPr>
          <w:rFonts w:ascii="Arial" w:hAnsi="Arial" w:cs="Arial" w:eastAsia="Arial" w:hint="default"/>
          <w:spacing w:val="-8"/>
        </w:rPr>
        <w:t> </w:t>
      </w:r>
      <w:r>
        <w:rPr/>
        <w:t>日，联通红筹公司与网通红筹</w:t>
      </w:r>
      <w:r>
        <w:rPr>
          <w:w w:val="99"/>
        </w:rPr>
        <w:t> </w:t>
      </w:r>
      <w:r>
        <w:rPr>
          <w:spacing w:val="-3"/>
        </w:rPr>
        <w:t>公司合并的协议安排正式生效，网通红筹公司成为联通红筹公司的全资子公司，本次合并被视为</w:t>
      </w:r>
      <w:r>
        <w:rPr>
          <w:spacing w:val="-89"/>
        </w:rPr>
        <w:t> </w:t>
      </w:r>
      <w:r>
        <w:rPr>
          <w:spacing w:val="-89"/>
        </w:rPr>
      </w:r>
      <w:r>
        <w:rPr/>
        <w:t>同一控制下的企业合并。</w:t>
      </w:r>
    </w:p>
    <w:p>
      <w:pPr>
        <w:spacing w:after="0" w:line="286" w:lineRule="exact"/>
        <w:jc w:val="both"/>
        <w:sectPr>
          <w:type w:val="continuous"/>
          <w:pgSz w:w="11910" w:h="16840"/>
          <w:pgMar w:top="1600" w:bottom="280" w:left="1280" w:right="700"/>
        </w:sectPr>
      </w:pPr>
    </w:p>
    <w:p>
      <w:pPr>
        <w:pStyle w:val="BodyText"/>
        <w:spacing w:line="240" w:lineRule="auto" w:before="53"/>
        <w:ind w:left="162" w:right="90"/>
        <w:jc w:val="left"/>
      </w:pPr>
      <w:r>
        <w:rPr>
          <w:rFonts w:ascii="Arial" w:hAnsi="Arial" w:cs="Arial" w:eastAsia="Arial" w:hint="default"/>
        </w:rPr>
        <w:t>(b)</w:t>
      </w:r>
      <w:r>
        <w:rPr>
          <w:rFonts w:ascii="Arial" w:hAnsi="Arial" w:cs="Arial" w:eastAsia="Arial" w:hint="default"/>
          <w:spacing w:val="31"/>
        </w:rPr>
        <w:t> </w:t>
      </w:r>
      <w:r>
        <w:rPr/>
        <w:t>网通红筹公司（续）</w:t>
      </w:r>
    </w:p>
    <w:p>
      <w:pPr>
        <w:pStyle w:val="BodyText"/>
        <w:spacing w:line="240" w:lineRule="auto" w:before="141"/>
        <w:ind w:left="147" w:right="90"/>
        <w:jc w:val="left"/>
      </w:pPr>
      <w:r>
        <w:rPr>
          <w:rFonts w:ascii="Arial" w:hAnsi="Arial" w:cs="Arial" w:eastAsia="Arial" w:hint="default"/>
        </w:rPr>
        <w:t>(i) </w:t>
      </w:r>
      <w:r>
        <w:rPr>
          <w:rFonts w:ascii="Arial" w:hAnsi="Arial" w:cs="Arial" w:eastAsia="Arial" w:hint="default"/>
          <w:spacing w:val="58"/>
        </w:rPr>
        <w:t> </w:t>
      </w:r>
      <w:r>
        <w:rPr/>
        <w:t>于合并完成日，网通红筹公司的净资产账面价值如下：</w:t>
      </w:r>
    </w:p>
    <w:p>
      <w:pPr>
        <w:pStyle w:val="BodyText"/>
        <w:spacing w:line="240" w:lineRule="auto" w:before="162"/>
        <w:ind w:left="0" w:right="108"/>
        <w:jc w:val="right"/>
      </w:pPr>
      <w:r>
        <w:rPr>
          <w:w w:val="95"/>
        </w:rPr>
        <w:t>（单位：人民币百万元）</w:t>
      </w:r>
      <w:r>
        <w:rPr/>
      </w:r>
    </w:p>
    <w:p>
      <w:pPr>
        <w:spacing w:line="240" w:lineRule="auto" w:before="7"/>
        <w:rPr>
          <w:rFonts w:ascii="宋体" w:hAnsi="宋体" w:cs="宋体" w:eastAsia="宋体" w:hint="default"/>
          <w:sz w:val="2"/>
          <w:szCs w:val="2"/>
        </w:rPr>
      </w:pPr>
    </w:p>
    <w:p>
      <w:pPr>
        <w:spacing w:line="20" w:lineRule="exact"/>
        <w:ind w:left="7259" w:right="0" w:firstLine="0"/>
        <w:rPr>
          <w:rFonts w:ascii="宋体" w:hAnsi="宋体" w:cs="宋体" w:eastAsia="宋体" w:hint="default"/>
          <w:sz w:val="2"/>
          <w:szCs w:val="2"/>
        </w:rPr>
      </w:pPr>
      <w:r>
        <w:rPr>
          <w:rFonts w:ascii="宋体" w:hAnsi="宋体" w:cs="宋体" w:eastAsia="宋体" w:hint="default"/>
          <w:sz w:val="2"/>
          <w:szCs w:val="2"/>
        </w:rPr>
        <w:pict>
          <v:group style="width:121.1pt;height:.75pt;mso-position-horizontal-relative:char;mso-position-vertical-relative:line" coordorigin="0,0" coordsize="2422,15">
            <v:group style="position:absolute;left:7;top:7;width:2408;height:2" coordorigin="7,7" coordsize="2408,2">
              <v:shape style="position:absolute;left:7;top:7;width:2408;height:2" coordorigin="7,7" coordsize="2408,0" path="m7,7l2414,7e" filled="false" stroked="true" strokeweight=".72pt" strokecolor="#000000">
                <v:path arrowok="t"/>
              </v:shape>
            </v:group>
          </v:group>
        </w:pict>
      </w:r>
      <w:r>
        <w:rPr>
          <w:rFonts w:ascii="宋体" w:hAnsi="宋体" w:cs="宋体" w:eastAsia="宋体" w:hint="default"/>
          <w:sz w:val="2"/>
          <w:szCs w:val="2"/>
        </w:rPr>
      </w:r>
    </w:p>
    <w:p>
      <w:pPr>
        <w:pStyle w:val="BodyText"/>
        <w:tabs>
          <w:tab w:pos="8356" w:val="left" w:leader="none"/>
        </w:tabs>
        <w:spacing w:line="240" w:lineRule="auto" w:before="92"/>
        <w:ind w:left="0" w:right="204"/>
        <w:jc w:val="right"/>
        <w:rPr>
          <w:rFonts w:ascii="Arial" w:hAnsi="Arial" w:cs="Arial" w:eastAsia="Arial" w:hint="default"/>
        </w:rPr>
      </w:pPr>
      <w:r>
        <w:rPr>
          <w:w w:val="95"/>
          <w:position w:val="2"/>
        </w:rPr>
        <w:t>取得的被合并方净资产账面价值</w:t>
        <w:tab/>
      </w:r>
      <w:r>
        <w:rPr>
          <w:rFonts w:ascii="Arial" w:hAnsi="Arial" w:cs="Arial" w:eastAsia="Arial" w:hint="default"/>
          <w:w w:val="95"/>
        </w:rPr>
        <w:t>92,614</w:t>
      </w:r>
      <w:r>
        <w:rPr>
          <w:rFonts w:ascii="Arial" w:hAnsi="Arial" w:cs="Arial" w:eastAsia="Arial" w:hint="default"/>
        </w:rPr>
      </w:r>
    </w:p>
    <w:p>
      <w:pPr>
        <w:spacing w:line="43" w:lineRule="exact"/>
        <w:ind w:left="7252" w:right="0" w:firstLine="0"/>
        <w:rPr>
          <w:rFonts w:ascii="Arial" w:hAnsi="Arial" w:cs="Arial" w:eastAsia="Arial" w:hint="default"/>
          <w:sz w:val="4"/>
          <w:szCs w:val="4"/>
        </w:rPr>
      </w:pPr>
      <w:r>
        <w:rPr>
          <w:rFonts w:ascii="Arial" w:hAnsi="Arial" w:cs="Arial" w:eastAsia="Arial" w:hint="default"/>
          <w:position w:val="0"/>
          <w:sz w:val="4"/>
          <w:szCs w:val="4"/>
        </w:rPr>
        <w:pict>
          <v:group style="width:121.8pt;height:2.2pt;mso-position-horizontal-relative:char;mso-position-vertical-relative:line" coordorigin="0,0" coordsize="2436,44">
            <v:group style="position:absolute;left:7;top:36;width:2422;height:2" coordorigin="7,36" coordsize="2422,2">
              <v:shape style="position:absolute;left:7;top:36;width:2422;height:2" coordorigin="7,36" coordsize="2422,0" path="m7,36l2429,36e" filled="false" stroked="true" strokeweight=".72pt" strokecolor="#000000">
                <v:path arrowok="t"/>
              </v:shape>
            </v:group>
            <v:group style="position:absolute;left:7;top:7;width:2422;height:2" coordorigin="7,7" coordsize="2422,2">
              <v:shape style="position:absolute;left:7;top:7;width:2422;height:2" coordorigin="7,7" coordsize="2422,0" path="m7,7l2429,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5"/>
        <w:rPr>
          <w:rFonts w:ascii="Arial" w:hAnsi="Arial" w:cs="Arial" w:eastAsia="Arial" w:hint="default"/>
          <w:sz w:val="8"/>
          <w:szCs w:val="8"/>
        </w:rPr>
      </w:pPr>
    </w:p>
    <w:p>
      <w:pPr>
        <w:pStyle w:val="BodyText"/>
        <w:tabs>
          <w:tab w:pos="595" w:val="left" w:leader="none"/>
        </w:tabs>
        <w:spacing w:line="240" w:lineRule="auto" w:before="31"/>
        <w:ind w:left="147" w:right="90"/>
        <w:jc w:val="left"/>
      </w:pPr>
      <w:r>
        <w:rPr>
          <w:rFonts w:ascii="Arial" w:hAnsi="Arial" w:cs="Arial" w:eastAsia="Arial" w:hint="default"/>
          <w:w w:val="95"/>
        </w:rPr>
        <w:t>(ii)</w:t>
        <w:tab/>
      </w:r>
      <w:r>
        <w:rPr/>
        <w:t>网通红筹公司于合并日的资产、负债账面价值列示如下：</w:t>
      </w:r>
    </w:p>
    <w:p>
      <w:pPr>
        <w:pStyle w:val="BodyText"/>
        <w:tabs>
          <w:tab w:pos="7641" w:val="left" w:leader="none"/>
        </w:tabs>
        <w:spacing w:line="240" w:lineRule="auto" w:before="141"/>
        <w:ind w:left="459" w:right="90"/>
        <w:jc w:val="left"/>
      </w:pPr>
      <w:r>
        <w:rPr>
          <w:w w:val="95"/>
        </w:rPr>
        <w:t>（单位：人民币百万元）</w:t>
        <w:tab/>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10</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p>
      <w:pPr>
        <w:spacing w:line="20" w:lineRule="exact"/>
        <w:ind w:left="7259" w:right="0" w:firstLine="0"/>
        <w:rPr>
          <w:rFonts w:ascii="宋体" w:hAnsi="宋体" w:cs="宋体" w:eastAsia="宋体" w:hint="default"/>
          <w:sz w:val="2"/>
          <w:szCs w:val="2"/>
        </w:rPr>
      </w:pPr>
      <w:r>
        <w:rPr>
          <w:rFonts w:ascii="宋体" w:hAnsi="宋体" w:cs="宋体" w:eastAsia="宋体" w:hint="default"/>
          <w:sz w:val="2"/>
          <w:szCs w:val="2"/>
        </w:rPr>
        <w:pict>
          <v:group style="width:119pt;height:.75pt;mso-position-horizontal-relative:char;mso-position-vertical-relative:line" coordorigin="0,0" coordsize="2380,15">
            <v:group style="position:absolute;left:7;top:7;width:2366;height:2" coordorigin="7,7" coordsize="2366,2">
              <v:shape style="position:absolute;left:7;top:7;width:2366;height:2" coordorigin="7,7" coordsize="2366,0" path="m7,7l2372,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15"/>
          <w:szCs w:val="15"/>
        </w:rPr>
      </w:pPr>
    </w:p>
    <w:tbl>
      <w:tblPr>
        <w:tblW w:w="0" w:type="auto"/>
        <w:jc w:val="left"/>
        <w:tblInd w:w="592" w:type="dxa"/>
        <w:tblLayout w:type="fixed"/>
        <w:tblCellMar>
          <w:top w:w="0" w:type="dxa"/>
          <w:left w:w="0" w:type="dxa"/>
          <w:bottom w:w="0" w:type="dxa"/>
          <w:right w:w="0" w:type="dxa"/>
        </w:tblCellMar>
        <w:tblLook w:val="01E0"/>
      </w:tblPr>
      <w:tblGrid>
        <w:gridCol w:w="6666"/>
        <w:gridCol w:w="2380"/>
      </w:tblGrid>
      <w:tr>
        <w:trPr>
          <w:trHeight w:val="366" w:hRule="exact"/>
        </w:trPr>
        <w:tc>
          <w:tcPr>
            <w:tcW w:w="666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2"/>
                <w:szCs w:val="22"/>
              </w:rPr>
            </w:pPr>
            <w:r>
              <w:rPr>
                <w:rFonts w:ascii="宋体" w:hAnsi="宋体" w:cs="宋体" w:eastAsia="宋体" w:hint="default"/>
                <w:sz w:val="22"/>
                <w:szCs w:val="22"/>
              </w:rPr>
              <w:t>现金及现金等价物</w:t>
            </w:r>
          </w:p>
        </w:tc>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23"/>
              <w:jc w:val="right"/>
              <w:rPr>
                <w:rFonts w:ascii="Arial" w:hAnsi="Arial" w:cs="Arial" w:eastAsia="Arial" w:hint="default"/>
                <w:sz w:val="22"/>
                <w:szCs w:val="22"/>
              </w:rPr>
            </w:pPr>
            <w:r>
              <w:rPr>
                <w:rFonts w:ascii="Arial"/>
                <w:w w:val="95"/>
                <w:sz w:val="22"/>
              </w:rPr>
              <w:t>3,946</w:t>
            </w:r>
            <w:r>
              <w:rPr>
                <w:rFonts w:ascii="Arial"/>
                <w:sz w:val="22"/>
              </w:rPr>
            </w:r>
          </w:p>
        </w:tc>
      </w:tr>
      <w:tr>
        <w:trPr>
          <w:trHeight w:val="285" w:hRule="exact"/>
        </w:trPr>
        <w:tc>
          <w:tcPr>
            <w:tcW w:w="6666"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应收款项</w:t>
            </w:r>
          </w:p>
        </w:tc>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23"/>
              <w:jc w:val="right"/>
              <w:rPr>
                <w:rFonts w:ascii="Arial" w:hAnsi="Arial" w:cs="Arial" w:eastAsia="Arial" w:hint="default"/>
                <w:sz w:val="22"/>
                <w:szCs w:val="22"/>
              </w:rPr>
            </w:pPr>
            <w:r>
              <w:rPr>
                <w:rFonts w:ascii="Arial"/>
                <w:w w:val="95"/>
                <w:sz w:val="22"/>
              </w:rPr>
              <w:t>9,003</w:t>
            </w:r>
            <w:r>
              <w:rPr>
                <w:rFonts w:ascii="Arial"/>
                <w:sz w:val="22"/>
              </w:rPr>
            </w:r>
          </w:p>
        </w:tc>
      </w:tr>
      <w:tr>
        <w:trPr>
          <w:trHeight w:val="285" w:hRule="exact"/>
        </w:trPr>
        <w:tc>
          <w:tcPr>
            <w:tcW w:w="6666"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存货</w:t>
            </w:r>
          </w:p>
        </w:tc>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24"/>
              <w:jc w:val="right"/>
              <w:rPr>
                <w:rFonts w:ascii="Arial" w:hAnsi="Arial" w:cs="Arial" w:eastAsia="Arial" w:hint="default"/>
                <w:sz w:val="22"/>
                <w:szCs w:val="22"/>
              </w:rPr>
            </w:pPr>
            <w:r>
              <w:rPr>
                <w:rFonts w:ascii="Arial"/>
                <w:w w:val="95"/>
                <w:sz w:val="22"/>
              </w:rPr>
              <w:t>305</w:t>
            </w:r>
            <w:r>
              <w:rPr>
                <w:rFonts w:ascii="Arial"/>
                <w:sz w:val="22"/>
              </w:rPr>
            </w:r>
          </w:p>
        </w:tc>
      </w:tr>
      <w:tr>
        <w:trPr>
          <w:trHeight w:val="285" w:hRule="exact"/>
        </w:trPr>
        <w:tc>
          <w:tcPr>
            <w:tcW w:w="6666"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固定资产</w:t>
            </w:r>
          </w:p>
        </w:tc>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23"/>
              <w:jc w:val="right"/>
              <w:rPr>
                <w:rFonts w:ascii="Arial" w:hAnsi="Arial" w:cs="Arial" w:eastAsia="Arial" w:hint="default"/>
                <w:sz w:val="22"/>
                <w:szCs w:val="22"/>
              </w:rPr>
            </w:pPr>
            <w:r>
              <w:rPr>
                <w:rFonts w:ascii="Arial"/>
                <w:w w:val="95"/>
                <w:sz w:val="22"/>
              </w:rPr>
              <w:t>148,542</w:t>
            </w:r>
            <w:r>
              <w:rPr>
                <w:rFonts w:ascii="Arial"/>
                <w:sz w:val="22"/>
              </w:rPr>
            </w:r>
          </w:p>
        </w:tc>
      </w:tr>
      <w:tr>
        <w:trPr>
          <w:trHeight w:val="286" w:hRule="exact"/>
        </w:trPr>
        <w:tc>
          <w:tcPr>
            <w:tcW w:w="6666" w:type="dxa"/>
            <w:tcBorders>
              <w:top w:val="nil" w:sz="6" w:space="0" w:color="auto"/>
              <w:left w:val="nil" w:sz="6" w:space="0" w:color="auto"/>
              <w:bottom w:val="nil" w:sz="6" w:space="0" w:color="auto"/>
              <w:right w:val="nil" w:sz="6" w:space="0" w:color="auto"/>
            </w:tcBorders>
          </w:tcPr>
          <w:p>
            <w:pPr>
              <w:pStyle w:val="TableParagraph"/>
              <w:spacing w:line="240" w:lineRule="exact"/>
              <w:ind w:left="35" w:right="0"/>
              <w:jc w:val="left"/>
              <w:rPr>
                <w:rFonts w:ascii="宋体" w:hAnsi="宋体" w:cs="宋体" w:eastAsia="宋体" w:hint="default"/>
                <w:sz w:val="22"/>
                <w:szCs w:val="22"/>
              </w:rPr>
            </w:pPr>
            <w:r>
              <w:rPr>
                <w:rFonts w:ascii="宋体" w:hAnsi="宋体" w:cs="宋体" w:eastAsia="宋体" w:hint="default"/>
                <w:sz w:val="22"/>
                <w:szCs w:val="22"/>
              </w:rPr>
              <w:t>无形资产</w:t>
            </w:r>
          </w:p>
        </w:tc>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22"/>
              <w:jc w:val="right"/>
              <w:rPr>
                <w:rFonts w:ascii="Arial" w:hAnsi="Arial" w:cs="Arial" w:eastAsia="Arial" w:hint="default"/>
                <w:sz w:val="22"/>
                <w:szCs w:val="22"/>
              </w:rPr>
            </w:pPr>
            <w:r>
              <w:rPr>
                <w:rFonts w:ascii="Arial"/>
                <w:w w:val="95"/>
                <w:sz w:val="22"/>
              </w:rPr>
              <w:t>11,172</w:t>
            </w:r>
            <w:r>
              <w:rPr>
                <w:rFonts w:ascii="Arial"/>
                <w:sz w:val="22"/>
              </w:rPr>
            </w:r>
          </w:p>
        </w:tc>
      </w:tr>
      <w:tr>
        <w:trPr>
          <w:trHeight w:val="285" w:hRule="exact"/>
        </w:trPr>
        <w:tc>
          <w:tcPr>
            <w:tcW w:w="6666"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其他非流动资产</w:t>
            </w:r>
          </w:p>
        </w:tc>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23"/>
              <w:jc w:val="right"/>
              <w:rPr>
                <w:rFonts w:ascii="Arial" w:hAnsi="Arial" w:cs="Arial" w:eastAsia="Arial" w:hint="default"/>
                <w:sz w:val="22"/>
                <w:szCs w:val="22"/>
              </w:rPr>
            </w:pPr>
            <w:r>
              <w:rPr>
                <w:rFonts w:ascii="Arial"/>
                <w:w w:val="95"/>
                <w:sz w:val="22"/>
              </w:rPr>
              <w:t>8,572</w:t>
            </w:r>
            <w:r>
              <w:rPr>
                <w:rFonts w:ascii="Arial"/>
                <w:sz w:val="22"/>
              </w:rPr>
            </w:r>
          </w:p>
        </w:tc>
      </w:tr>
      <w:tr>
        <w:trPr>
          <w:trHeight w:val="285" w:hRule="exact"/>
        </w:trPr>
        <w:tc>
          <w:tcPr>
            <w:tcW w:w="6666" w:type="dxa"/>
            <w:tcBorders>
              <w:top w:val="nil" w:sz="6" w:space="0" w:color="auto"/>
              <w:left w:val="nil" w:sz="6" w:space="0" w:color="auto"/>
              <w:bottom w:val="nil" w:sz="6" w:space="0" w:color="auto"/>
              <w:right w:val="nil" w:sz="6" w:space="0" w:color="auto"/>
            </w:tcBorders>
          </w:tcPr>
          <w:p>
            <w:pPr>
              <w:pStyle w:val="TableParagraph"/>
              <w:spacing w:line="239" w:lineRule="exact"/>
              <w:ind w:left="53" w:right="0"/>
              <w:jc w:val="left"/>
              <w:rPr>
                <w:rFonts w:ascii="宋体" w:hAnsi="宋体" w:cs="宋体" w:eastAsia="宋体" w:hint="default"/>
                <w:sz w:val="22"/>
                <w:szCs w:val="22"/>
              </w:rPr>
            </w:pPr>
            <w:r>
              <w:rPr>
                <w:rFonts w:ascii="宋体" w:hAnsi="宋体" w:cs="宋体" w:eastAsia="宋体" w:hint="default"/>
                <w:sz w:val="22"/>
                <w:szCs w:val="22"/>
              </w:rPr>
              <w:t>减：借款</w:t>
            </w:r>
          </w:p>
        </w:tc>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9"/>
              <w:jc w:val="right"/>
              <w:rPr>
                <w:rFonts w:ascii="Arial" w:hAnsi="Arial" w:cs="Arial" w:eastAsia="Arial" w:hint="default"/>
                <w:sz w:val="22"/>
                <w:szCs w:val="22"/>
              </w:rPr>
            </w:pPr>
            <w:r>
              <w:rPr>
                <w:rFonts w:ascii="Arial"/>
                <w:w w:val="95"/>
                <w:sz w:val="22"/>
              </w:rPr>
              <w:t>(33,815)</w:t>
            </w:r>
            <w:r>
              <w:rPr>
                <w:rFonts w:ascii="Arial"/>
                <w:sz w:val="22"/>
              </w:rPr>
            </w:r>
          </w:p>
        </w:tc>
      </w:tr>
      <w:tr>
        <w:trPr>
          <w:trHeight w:val="285" w:hRule="exact"/>
        </w:trPr>
        <w:tc>
          <w:tcPr>
            <w:tcW w:w="6666" w:type="dxa"/>
            <w:tcBorders>
              <w:top w:val="nil" w:sz="6" w:space="0" w:color="auto"/>
              <w:left w:val="nil" w:sz="6" w:space="0" w:color="auto"/>
              <w:bottom w:val="nil" w:sz="6" w:space="0" w:color="auto"/>
              <w:right w:val="nil" w:sz="6" w:space="0" w:color="auto"/>
            </w:tcBorders>
          </w:tcPr>
          <w:p>
            <w:pPr>
              <w:pStyle w:val="TableParagraph"/>
              <w:spacing w:line="239" w:lineRule="exact"/>
              <w:ind w:left="440" w:right="0"/>
              <w:jc w:val="left"/>
              <w:rPr>
                <w:rFonts w:ascii="宋体" w:hAnsi="宋体" w:cs="宋体" w:eastAsia="宋体" w:hint="default"/>
                <w:sz w:val="22"/>
                <w:szCs w:val="22"/>
              </w:rPr>
            </w:pPr>
            <w:r>
              <w:rPr>
                <w:rFonts w:ascii="宋体" w:hAnsi="宋体" w:cs="宋体" w:eastAsia="宋体" w:hint="default"/>
                <w:sz w:val="22"/>
                <w:szCs w:val="22"/>
              </w:rPr>
              <w:t>应付债券</w:t>
            </w:r>
          </w:p>
        </w:tc>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9"/>
              <w:jc w:val="right"/>
              <w:rPr>
                <w:rFonts w:ascii="Arial" w:hAnsi="Arial" w:cs="Arial" w:eastAsia="Arial" w:hint="default"/>
                <w:sz w:val="22"/>
                <w:szCs w:val="22"/>
              </w:rPr>
            </w:pPr>
            <w:r>
              <w:rPr>
                <w:rFonts w:ascii="Arial"/>
                <w:w w:val="95"/>
                <w:sz w:val="22"/>
              </w:rPr>
              <w:t>(17,000)</w:t>
            </w:r>
            <w:r>
              <w:rPr>
                <w:rFonts w:ascii="Arial"/>
                <w:sz w:val="22"/>
              </w:rPr>
            </w:r>
          </w:p>
        </w:tc>
      </w:tr>
      <w:tr>
        <w:trPr>
          <w:trHeight w:val="285" w:hRule="exact"/>
        </w:trPr>
        <w:tc>
          <w:tcPr>
            <w:tcW w:w="6666" w:type="dxa"/>
            <w:tcBorders>
              <w:top w:val="nil" w:sz="6" w:space="0" w:color="auto"/>
              <w:left w:val="nil" w:sz="6" w:space="0" w:color="auto"/>
              <w:bottom w:val="nil" w:sz="6" w:space="0" w:color="auto"/>
              <w:right w:val="nil" w:sz="6" w:space="0" w:color="auto"/>
            </w:tcBorders>
          </w:tcPr>
          <w:p>
            <w:pPr>
              <w:pStyle w:val="TableParagraph"/>
              <w:spacing w:line="239" w:lineRule="exact"/>
              <w:ind w:left="440" w:right="0"/>
              <w:jc w:val="left"/>
              <w:rPr>
                <w:rFonts w:ascii="宋体" w:hAnsi="宋体" w:cs="宋体" w:eastAsia="宋体" w:hint="default"/>
                <w:sz w:val="22"/>
                <w:szCs w:val="22"/>
              </w:rPr>
            </w:pPr>
            <w:r>
              <w:rPr>
                <w:rFonts w:ascii="宋体" w:hAnsi="宋体" w:cs="宋体" w:eastAsia="宋体" w:hint="default"/>
                <w:sz w:val="22"/>
                <w:szCs w:val="22"/>
              </w:rPr>
              <w:t>应付职工薪酬</w:t>
            </w:r>
          </w:p>
        </w:tc>
        <w:tc>
          <w:tcPr>
            <w:tcW w:w="238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9"/>
              <w:jc w:val="right"/>
              <w:rPr>
                <w:rFonts w:ascii="Arial" w:hAnsi="Arial" w:cs="Arial" w:eastAsia="Arial" w:hint="default"/>
                <w:sz w:val="22"/>
                <w:szCs w:val="22"/>
              </w:rPr>
            </w:pPr>
            <w:r>
              <w:rPr>
                <w:rFonts w:ascii="Arial"/>
                <w:w w:val="95"/>
                <w:sz w:val="22"/>
              </w:rPr>
              <w:t>(3,639)</w:t>
            </w:r>
            <w:r>
              <w:rPr>
                <w:rFonts w:ascii="Arial"/>
                <w:sz w:val="22"/>
              </w:rPr>
            </w:r>
          </w:p>
        </w:tc>
      </w:tr>
      <w:tr>
        <w:trPr>
          <w:trHeight w:val="293" w:hRule="exact"/>
        </w:trPr>
        <w:tc>
          <w:tcPr>
            <w:tcW w:w="6666" w:type="dxa"/>
            <w:tcBorders>
              <w:top w:val="nil" w:sz="6" w:space="0" w:color="auto"/>
              <w:left w:val="nil" w:sz="6" w:space="0" w:color="auto"/>
              <w:bottom w:val="nil" w:sz="6" w:space="0" w:color="auto"/>
              <w:right w:val="nil" w:sz="6" w:space="0" w:color="auto"/>
            </w:tcBorders>
          </w:tcPr>
          <w:p>
            <w:pPr>
              <w:pStyle w:val="TableParagraph"/>
              <w:spacing w:line="239" w:lineRule="exact"/>
              <w:ind w:left="440" w:right="0"/>
              <w:jc w:val="left"/>
              <w:rPr>
                <w:rFonts w:ascii="宋体" w:hAnsi="宋体" w:cs="宋体" w:eastAsia="宋体" w:hint="default"/>
                <w:sz w:val="22"/>
                <w:szCs w:val="22"/>
              </w:rPr>
            </w:pPr>
            <w:r>
              <w:rPr>
                <w:rFonts w:ascii="宋体" w:hAnsi="宋体" w:cs="宋体" w:eastAsia="宋体" w:hint="default"/>
                <w:sz w:val="22"/>
                <w:szCs w:val="22"/>
              </w:rPr>
              <w:t>应付款项及其他负债</w:t>
            </w:r>
          </w:p>
        </w:tc>
        <w:tc>
          <w:tcPr>
            <w:tcW w:w="2380" w:type="dxa"/>
            <w:tcBorders>
              <w:top w:val="nil" w:sz="6" w:space="0" w:color="auto"/>
              <w:left w:val="nil" w:sz="6" w:space="0" w:color="auto"/>
              <w:bottom w:val="nil" w:sz="6" w:space="0" w:color="auto"/>
              <w:right w:val="nil" w:sz="6" w:space="0" w:color="auto"/>
            </w:tcBorders>
          </w:tcPr>
          <w:p>
            <w:pPr>
              <w:pStyle w:val="TableParagraph"/>
              <w:tabs>
                <w:tab w:pos="1501" w:val="left" w:leader="none"/>
              </w:tabs>
              <w:spacing w:line="240" w:lineRule="auto" w:before="17"/>
              <w:ind w:right="49"/>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(34,472)</w:t>
            </w:r>
            <w:r>
              <w:rPr>
                <w:rFonts w:ascii="Arial"/>
                <w:w w:val="95"/>
                <w:sz w:val="22"/>
              </w:rPr>
            </w:r>
            <w:r>
              <w:rPr>
                <w:rFonts w:ascii="Arial"/>
                <w:sz w:val="22"/>
              </w:rPr>
            </w:r>
          </w:p>
        </w:tc>
      </w:tr>
      <w:tr>
        <w:trPr>
          <w:trHeight w:val="305" w:hRule="exact"/>
        </w:trPr>
        <w:tc>
          <w:tcPr>
            <w:tcW w:w="6666" w:type="dxa"/>
            <w:tcBorders>
              <w:top w:val="nil" w:sz="6" w:space="0" w:color="auto"/>
              <w:left w:val="nil" w:sz="6" w:space="0" w:color="auto"/>
              <w:bottom w:val="nil" w:sz="6" w:space="0" w:color="auto"/>
              <w:right w:val="nil" w:sz="6" w:space="0" w:color="auto"/>
            </w:tcBorders>
          </w:tcPr>
          <w:p>
            <w:pPr>
              <w:pStyle w:val="TableParagraph"/>
              <w:spacing w:line="247" w:lineRule="exact"/>
              <w:ind w:left="35" w:right="0"/>
              <w:jc w:val="left"/>
              <w:rPr>
                <w:rFonts w:ascii="宋体" w:hAnsi="宋体" w:cs="宋体" w:eastAsia="宋体" w:hint="default"/>
                <w:sz w:val="22"/>
                <w:szCs w:val="22"/>
              </w:rPr>
            </w:pPr>
            <w:r>
              <w:rPr>
                <w:rFonts w:ascii="宋体" w:hAnsi="宋体" w:cs="宋体" w:eastAsia="宋体" w:hint="default"/>
                <w:sz w:val="22"/>
                <w:szCs w:val="22"/>
              </w:rPr>
              <w:t>取得的净资产</w:t>
            </w:r>
          </w:p>
        </w:tc>
        <w:tc>
          <w:tcPr>
            <w:tcW w:w="2380"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22"/>
              <w:jc w:val="right"/>
              <w:rPr>
                <w:rFonts w:ascii="Arial" w:hAnsi="Arial" w:cs="Arial" w:eastAsia="Arial" w:hint="default"/>
                <w:sz w:val="22"/>
                <w:szCs w:val="22"/>
              </w:rPr>
            </w:pPr>
            <w:r>
              <w:rPr>
                <w:rFonts w:ascii="Arial"/>
                <w:w w:val="95"/>
                <w:sz w:val="22"/>
              </w:rPr>
              <w:t>92,614</w:t>
            </w:r>
            <w:r>
              <w:rPr>
                <w:rFonts w:ascii="Arial"/>
                <w:sz w:val="22"/>
              </w:rPr>
            </w:r>
          </w:p>
        </w:tc>
      </w:tr>
    </w:tbl>
    <w:p>
      <w:pPr>
        <w:spacing w:line="240" w:lineRule="auto" w:before="5"/>
        <w:rPr>
          <w:rFonts w:ascii="宋体" w:hAnsi="宋体" w:cs="宋体" w:eastAsia="宋体" w:hint="default"/>
          <w:sz w:val="5"/>
          <w:szCs w:val="5"/>
        </w:rPr>
      </w:pPr>
    </w:p>
    <w:p>
      <w:pPr>
        <w:pStyle w:val="BodyText"/>
        <w:tabs>
          <w:tab w:pos="637" w:val="left" w:leader="none"/>
        </w:tabs>
        <w:spacing w:line="240" w:lineRule="auto" w:before="31"/>
        <w:ind w:left="105" w:right="90"/>
        <w:jc w:val="left"/>
      </w:pPr>
      <w:r>
        <w:rPr>
          <w:rFonts w:ascii="Arial" w:hAnsi="Arial" w:cs="Arial" w:eastAsia="Arial" w:hint="default"/>
          <w:w w:val="95"/>
        </w:rPr>
        <w:t>(iii)</w:t>
        <w:tab/>
      </w:r>
      <w:r>
        <w:rPr/>
        <w:t>网通红筹公司</w:t>
      </w:r>
      <w:r>
        <w:rPr>
          <w:spacing w:val="-56"/>
        </w:rPr>
        <w:t> </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w:t>
      </w:r>
      <w:r>
        <w:rPr>
          <w:rFonts w:ascii="Arial" w:hAnsi="Arial" w:cs="Arial" w:eastAsia="Arial" w:hint="default"/>
          <w:spacing w:val="-7"/>
        </w:rPr>
        <w:t> </w:t>
      </w:r>
      <w:r>
        <w:rPr/>
        <w:t>月</w:t>
      </w:r>
      <w:r>
        <w:rPr>
          <w:spacing w:val="-56"/>
        </w:rPr>
        <w:t> </w:t>
      </w:r>
      <w:r>
        <w:rPr>
          <w:rFonts w:ascii="Arial" w:hAnsi="Arial" w:cs="Arial" w:eastAsia="Arial" w:hint="default"/>
        </w:rPr>
        <w:t>1</w:t>
      </w:r>
      <w:r>
        <w:rPr>
          <w:rFonts w:ascii="Arial" w:hAnsi="Arial" w:cs="Arial" w:eastAsia="Arial" w:hint="default"/>
          <w:spacing w:val="-7"/>
        </w:rPr>
        <w:t> </w:t>
      </w:r>
      <w:r>
        <w:rPr/>
        <w:t>日至合并日止期间的收入、净利润和现金流量列示如下：</w:t>
      </w:r>
    </w:p>
    <w:p>
      <w:pPr>
        <w:pStyle w:val="BodyText"/>
        <w:spacing w:line="240" w:lineRule="auto" w:before="141"/>
        <w:ind w:left="0" w:right="260"/>
        <w:jc w:val="right"/>
      </w:pPr>
      <w:r>
        <w:rPr/>
        <w:t>自</w:t>
      </w:r>
      <w:r>
        <w:rPr>
          <w:spacing w:val="-56"/>
        </w:rPr>
        <w:t> </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w:t>
      </w:r>
      <w:r>
        <w:rPr>
          <w:rFonts w:ascii="Arial" w:hAnsi="Arial" w:cs="Arial" w:eastAsia="Arial" w:hint="default"/>
          <w:spacing w:val="-7"/>
        </w:rPr>
        <w:t> </w:t>
      </w:r>
      <w:r>
        <w:rPr/>
        <w:t>月</w:t>
      </w:r>
      <w:r>
        <w:rPr>
          <w:spacing w:val="-56"/>
        </w:rPr>
        <w:t> </w:t>
      </w:r>
      <w:r>
        <w:rPr>
          <w:rFonts w:ascii="Arial" w:hAnsi="Arial" w:cs="Arial" w:eastAsia="Arial" w:hint="default"/>
        </w:rPr>
        <w:t>1</w:t>
      </w:r>
      <w:r>
        <w:rPr>
          <w:rFonts w:ascii="Arial" w:hAnsi="Arial" w:cs="Arial" w:eastAsia="Arial" w:hint="default"/>
          <w:spacing w:val="-7"/>
        </w:rPr>
        <w:t> </w:t>
      </w:r>
      <w:r>
        <w:rPr/>
        <w:t>日至</w:t>
      </w:r>
    </w:p>
    <w:p>
      <w:pPr>
        <w:spacing w:line="240" w:lineRule="auto" w:before="9"/>
        <w:rPr>
          <w:rFonts w:ascii="宋体" w:hAnsi="宋体" w:cs="宋体" w:eastAsia="宋体" w:hint="default"/>
          <w:sz w:val="2"/>
          <w:szCs w:val="2"/>
        </w:rPr>
      </w:pPr>
    </w:p>
    <w:tbl>
      <w:tblPr>
        <w:tblW w:w="0" w:type="auto"/>
        <w:jc w:val="left"/>
        <w:tblInd w:w="592" w:type="dxa"/>
        <w:tblLayout w:type="fixed"/>
        <w:tblCellMar>
          <w:top w:w="0" w:type="dxa"/>
          <w:left w:w="0" w:type="dxa"/>
          <w:bottom w:w="0" w:type="dxa"/>
          <w:right w:w="0" w:type="dxa"/>
        </w:tblCellMar>
        <w:tblLook w:val="01E0"/>
      </w:tblPr>
      <w:tblGrid>
        <w:gridCol w:w="6673"/>
        <w:gridCol w:w="2365"/>
      </w:tblGrid>
      <w:tr>
        <w:trPr>
          <w:trHeight w:val="275" w:hRule="exact"/>
        </w:trPr>
        <w:tc>
          <w:tcPr>
            <w:tcW w:w="6673" w:type="dxa"/>
            <w:tcBorders>
              <w:top w:val="nil" w:sz="6" w:space="0" w:color="auto"/>
              <w:left w:val="nil" w:sz="6" w:space="0" w:color="auto"/>
              <w:bottom w:val="nil" w:sz="6" w:space="0" w:color="auto"/>
              <w:right w:val="nil" w:sz="6" w:space="0" w:color="auto"/>
            </w:tcBorders>
          </w:tcPr>
          <w:p>
            <w:pPr>
              <w:pStyle w:val="TableParagraph"/>
              <w:spacing w:line="235" w:lineRule="exact"/>
              <w:ind w:left="35" w:right="0"/>
              <w:jc w:val="left"/>
              <w:rPr>
                <w:rFonts w:ascii="宋体" w:hAnsi="宋体" w:cs="宋体" w:eastAsia="宋体" w:hint="default"/>
                <w:sz w:val="22"/>
                <w:szCs w:val="22"/>
              </w:rPr>
            </w:pPr>
            <w:r>
              <w:rPr>
                <w:rFonts w:ascii="宋体" w:hAnsi="宋体" w:cs="宋体" w:eastAsia="宋体" w:hint="default"/>
                <w:sz w:val="22"/>
                <w:szCs w:val="22"/>
              </w:rPr>
              <w:t>（单位：人民币百万元）</w:t>
            </w:r>
          </w:p>
        </w:tc>
        <w:tc>
          <w:tcPr>
            <w:tcW w:w="2365" w:type="dxa"/>
            <w:tcBorders>
              <w:top w:val="nil" w:sz="6" w:space="0" w:color="auto"/>
              <w:left w:val="nil" w:sz="6" w:space="0" w:color="auto"/>
              <w:bottom w:val="single" w:sz="6" w:space="0" w:color="000000"/>
              <w:right w:val="nil" w:sz="6" w:space="0" w:color="auto"/>
            </w:tcBorders>
          </w:tcPr>
          <w:p>
            <w:pPr>
              <w:pStyle w:val="TableParagraph"/>
              <w:spacing w:line="235" w:lineRule="exact"/>
              <w:ind w:right="88"/>
              <w:jc w:val="right"/>
              <w:rPr>
                <w:rFonts w:ascii="宋体" w:hAnsi="宋体" w:cs="宋体" w:eastAsia="宋体" w:hint="default"/>
                <w:sz w:val="22"/>
                <w:szCs w:val="22"/>
              </w:rPr>
            </w:pPr>
            <w:r>
              <w:rPr>
                <w:rFonts w:ascii="宋体" w:hAnsi="宋体" w:cs="宋体" w:eastAsia="宋体" w:hint="default"/>
                <w:w w:val="95"/>
                <w:sz w:val="22"/>
                <w:szCs w:val="22"/>
              </w:rPr>
              <w:t>合并日止</w:t>
            </w:r>
            <w:r>
              <w:rPr>
                <w:rFonts w:ascii="宋体" w:hAnsi="宋体" w:cs="宋体" w:eastAsia="宋体" w:hint="default"/>
                <w:sz w:val="22"/>
                <w:szCs w:val="22"/>
              </w:rPr>
            </w:r>
          </w:p>
        </w:tc>
      </w:tr>
      <w:tr>
        <w:trPr>
          <w:trHeight w:val="444" w:hRule="exact"/>
        </w:trPr>
        <w:tc>
          <w:tcPr>
            <w:tcW w:w="6673" w:type="dxa"/>
            <w:tcBorders>
              <w:top w:val="nil" w:sz="6" w:space="0" w:color="auto"/>
              <w:left w:val="nil" w:sz="6" w:space="0" w:color="auto"/>
              <w:bottom w:val="nil" w:sz="6" w:space="0" w:color="auto"/>
              <w:right w:val="nil" w:sz="6" w:space="0" w:color="auto"/>
            </w:tcBorders>
          </w:tcPr>
          <w:p>
            <w:pPr>
              <w:pStyle w:val="TableParagraph"/>
              <w:spacing w:line="240" w:lineRule="auto" w:before="110"/>
              <w:ind w:left="49" w:right="0"/>
              <w:jc w:val="left"/>
              <w:rPr>
                <w:rFonts w:ascii="宋体" w:hAnsi="宋体" w:cs="宋体" w:eastAsia="宋体" w:hint="default"/>
                <w:sz w:val="22"/>
                <w:szCs w:val="22"/>
              </w:rPr>
            </w:pPr>
            <w:r>
              <w:rPr>
                <w:rFonts w:ascii="宋体" w:hAnsi="宋体" w:cs="宋体" w:eastAsia="宋体" w:hint="default"/>
                <w:sz w:val="22"/>
                <w:szCs w:val="22"/>
              </w:rPr>
              <w:t>营业收入</w:t>
            </w:r>
          </w:p>
        </w:tc>
        <w:tc>
          <w:tcPr>
            <w:tcW w:w="2365" w:type="dxa"/>
            <w:tcBorders>
              <w:top w:val="single" w:sz="6" w:space="0" w:color="000000"/>
              <w:left w:val="nil" w:sz="6" w:space="0" w:color="auto"/>
              <w:bottom w:val="nil" w:sz="6" w:space="0" w:color="auto"/>
              <w:right w:val="nil" w:sz="6" w:space="0" w:color="auto"/>
            </w:tcBorders>
          </w:tcPr>
          <w:p>
            <w:pPr>
              <w:pStyle w:val="TableParagraph"/>
              <w:spacing w:line="240" w:lineRule="auto" w:before="169"/>
              <w:ind w:right="88"/>
              <w:jc w:val="right"/>
              <w:rPr>
                <w:rFonts w:ascii="Arial" w:hAnsi="Arial" w:cs="Arial" w:eastAsia="Arial" w:hint="default"/>
                <w:sz w:val="22"/>
                <w:szCs w:val="22"/>
              </w:rPr>
            </w:pPr>
            <w:r>
              <w:rPr>
                <w:rFonts w:ascii="Arial"/>
                <w:w w:val="95"/>
                <w:sz w:val="22"/>
              </w:rPr>
              <w:t>68,668</w:t>
            </w:r>
            <w:r>
              <w:rPr>
                <w:rFonts w:ascii="Arial"/>
                <w:sz w:val="22"/>
              </w:rPr>
            </w:r>
          </w:p>
        </w:tc>
      </w:tr>
      <w:tr>
        <w:trPr>
          <w:trHeight w:val="285" w:hRule="exact"/>
        </w:trPr>
        <w:tc>
          <w:tcPr>
            <w:tcW w:w="6673" w:type="dxa"/>
            <w:tcBorders>
              <w:top w:val="nil" w:sz="6" w:space="0" w:color="auto"/>
              <w:left w:val="nil" w:sz="6" w:space="0" w:color="auto"/>
              <w:bottom w:val="nil" w:sz="6" w:space="0" w:color="auto"/>
              <w:right w:val="nil" w:sz="6" w:space="0" w:color="auto"/>
            </w:tcBorders>
          </w:tcPr>
          <w:p>
            <w:pPr>
              <w:pStyle w:val="TableParagraph"/>
              <w:spacing w:line="239" w:lineRule="exact"/>
              <w:ind w:left="49" w:right="0"/>
              <w:jc w:val="left"/>
              <w:rPr>
                <w:rFonts w:ascii="宋体" w:hAnsi="宋体" w:cs="宋体" w:eastAsia="宋体" w:hint="default"/>
                <w:sz w:val="22"/>
                <w:szCs w:val="22"/>
              </w:rPr>
            </w:pPr>
            <w:r>
              <w:rPr>
                <w:rFonts w:ascii="宋体" w:hAnsi="宋体" w:cs="宋体" w:eastAsia="宋体" w:hint="default"/>
                <w:sz w:val="22"/>
                <w:szCs w:val="22"/>
              </w:rPr>
              <w:t>净利润</w:t>
            </w:r>
          </w:p>
        </w:tc>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8"/>
              <w:jc w:val="right"/>
              <w:rPr>
                <w:rFonts w:ascii="Arial" w:hAnsi="Arial" w:cs="Arial" w:eastAsia="Arial" w:hint="default"/>
                <w:sz w:val="22"/>
                <w:szCs w:val="22"/>
              </w:rPr>
            </w:pPr>
            <w:r>
              <w:rPr>
                <w:rFonts w:ascii="Arial"/>
                <w:w w:val="95"/>
                <w:sz w:val="22"/>
              </w:rPr>
              <w:t>7,981</w:t>
            </w:r>
            <w:r>
              <w:rPr>
                <w:rFonts w:ascii="Arial"/>
                <w:sz w:val="22"/>
              </w:rPr>
            </w:r>
          </w:p>
        </w:tc>
      </w:tr>
      <w:tr>
        <w:trPr>
          <w:trHeight w:val="285" w:hRule="exact"/>
        </w:trPr>
        <w:tc>
          <w:tcPr>
            <w:tcW w:w="6673" w:type="dxa"/>
            <w:tcBorders>
              <w:top w:val="nil" w:sz="6" w:space="0" w:color="auto"/>
              <w:left w:val="nil" w:sz="6" w:space="0" w:color="auto"/>
              <w:bottom w:val="nil" w:sz="6" w:space="0" w:color="auto"/>
              <w:right w:val="nil" w:sz="6" w:space="0" w:color="auto"/>
            </w:tcBorders>
          </w:tcPr>
          <w:p>
            <w:pPr>
              <w:pStyle w:val="TableParagraph"/>
              <w:spacing w:line="239" w:lineRule="exact"/>
              <w:ind w:left="49" w:right="0"/>
              <w:jc w:val="left"/>
              <w:rPr>
                <w:rFonts w:ascii="宋体" w:hAnsi="宋体" w:cs="宋体" w:eastAsia="宋体" w:hint="default"/>
                <w:sz w:val="22"/>
                <w:szCs w:val="22"/>
              </w:rPr>
            </w:pPr>
            <w:r>
              <w:rPr>
                <w:rFonts w:ascii="宋体" w:hAnsi="宋体" w:cs="宋体" w:eastAsia="宋体" w:hint="default"/>
                <w:sz w:val="22"/>
                <w:szCs w:val="22"/>
              </w:rPr>
              <w:t>经营活动现金流入净额</w:t>
            </w:r>
          </w:p>
        </w:tc>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8"/>
              <w:jc w:val="right"/>
              <w:rPr>
                <w:rFonts w:ascii="Arial" w:hAnsi="Arial" w:cs="Arial" w:eastAsia="Arial" w:hint="default"/>
                <w:sz w:val="22"/>
                <w:szCs w:val="22"/>
              </w:rPr>
            </w:pPr>
            <w:r>
              <w:rPr>
                <w:rFonts w:ascii="Arial"/>
                <w:w w:val="95"/>
                <w:sz w:val="22"/>
              </w:rPr>
              <w:t>26,909</w:t>
            </w:r>
            <w:r>
              <w:rPr>
                <w:rFonts w:ascii="Arial"/>
                <w:sz w:val="22"/>
              </w:rPr>
            </w:r>
          </w:p>
        </w:tc>
      </w:tr>
      <w:tr>
        <w:trPr>
          <w:trHeight w:val="366" w:hRule="exact"/>
        </w:trPr>
        <w:tc>
          <w:tcPr>
            <w:tcW w:w="6673" w:type="dxa"/>
            <w:tcBorders>
              <w:top w:val="nil" w:sz="6" w:space="0" w:color="auto"/>
              <w:left w:val="nil" w:sz="6" w:space="0" w:color="auto"/>
              <w:bottom w:val="nil" w:sz="6" w:space="0" w:color="auto"/>
              <w:right w:val="nil" w:sz="6" w:space="0" w:color="auto"/>
            </w:tcBorders>
          </w:tcPr>
          <w:p>
            <w:pPr>
              <w:pStyle w:val="TableParagraph"/>
              <w:spacing w:line="239" w:lineRule="exact"/>
              <w:ind w:left="49" w:right="0"/>
              <w:jc w:val="left"/>
              <w:rPr>
                <w:rFonts w:ascii="宋体" w:hAnsi="宋体" w:cs="宋体" w:eastAsia="宋体" w:hint="default"/>
                <w:sz w:val="22"/>
                <w:szCs w:val="22"/>
              </w:rPr>
            </w:pPr>
            <w:r>
              <w:rPr>
                <w:rFonts w:ascii="宋体" w:hAnsi="宋体" w:cs="宋体" w:eastAsia="宋体" w:hint="default"/>
                <w:sz w:val="22"/>
                <w:szCs w:val="22"/>
              </w:rPr>
              <w:t>现金及现金等价物净减少额</w:t>
            </w:r>
          </w:p>
        </w:tc>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8"/>
              <w:jc w:val="right"/>
              <w:rPr>
                <w:rFonts w:ascii="Arial" w:hAnsi="Arial" w:cs="Arial" w:eastAsia="Arial" w:hint="default"/>
                <w:sz w:val="22"/>
                <w:szCs w:val="22"/>
              </w:rPr>
            </w:pPr>
            <w:r>
              <w:rPr>
                <w:rFonts w:ascii="Arial"/>
                <w:w w:val="95"/>
                <w:sz w:val="22"/>
              </w:rPr>
              <w:t>1,432</w:t>
            </w:r>
            <w:r>
              <w:rPr>
                <w:rFonts w:ascii="Arial"/>
                <w:sz w:val="22"/>
              </w:rPr>
            </w:r>
          </w:p>
        </w:tc>
      </w:tr>
    </w:tbl>
    <w:p>
      <w:pPr>
        <w:spacing w:after="0" w:line="240" w:lineRule="auto"/>
        <w:jc w:val="right"/>
        <w:rPr>
          <w:rFonts w:ascii="Arial" w:hAnsi="Arial" w:cs="Arial" w:eastAsia="Arial" w:hint="default"/>
          <w:sz w:val="22"/>
          <w:szCs w:val="22"/>
        </w:rPr>
        <w:sectPr>
          <w:headerReference w:type="default" r:id="rId73"/>
          <w:pgSz w:w="11910" w:h="16840"/>
          <w:pgMar w:header="1189" w:footer="600" w:top="3640" w:bottom="780" w:left="1280" w:right="820"/>
        </w:sectPr>
      </w:pPr>
    </w:p>
    <w:p>
      <w:pPr>
        <w:pStyle w:val="BodyText"/>
        <w:spacing w:line="240" w:lineRule="auto" w:before="31"/>
        <w:ind w:left="162" w:right="-12"/>
        <w:jc w:val="left"/>
      </w:pPr>
      <w:r>
        <w:rPr>
          <w:rFonts w:ascii="Arial" w:hAnsi="Arial" w:cs="Arial" w:eastAsia="Arial" w:hint="default"/>
        </w:rPr>
        <w:t>4</w:t>
      </w:r>
      <w:r>
        <w:rPr/>
        <w:t>、境外经营实体主要报表项目的折算汇率</w:t>
      </w:r>
    </w:p>
    <w:p>
      <w:pPr>
        <w:pStyle w:val="Heading8"/>
        <w:spacing w:line="240" w:lineRule="auto" w:before="146"/>
        <w:ind w:left="3961" w:right="-12"/>
        <w:jc w:val="left"/>
        <w:rPr>
          <w:b w:val="0"/>
          <w:bCs w:val="0"/>
        </w:rPr>
      </w:pPr>
      <w:r>
        <w:rPr/>
        <w:t>资产和负债项目</w:t>
      </w:r>
      <w:r>
        <w:rPr>
          <w:b w:val="0"/>
          <w:bCs w:val="0"/>
        </w:rPr>
      </w:r>
    </w:p>
    <w:p>
      <w:pPr>
        <w:tabs>
          <w:tab w:pos="5184" w:val="left" w:leader="none"/>
        </w:tabs>
        <w:spacing w:before="18"/>
        <w:ind w:left="2693" w:right="-12" w:firstLine="0"/>
        <w:jc w:val="left"/>
        <w:rPr>
          <w:rFonts w:ascii="宋体" w:hAnsi="宋体" w:cs="宋体" w:eastAsia="宋体" w:hint="default"/>
          <w:sz w:val="22"/>
          <w:szCs w:val="22"/>
        </w:rPr>
      </w:pPr>
      <w:r>
        <w:rPr/>
        <w:pict>
          <v:group style="position:absolute;margin-left:178.860001pt;margin-top:1.700253pt;width:243.2pt;height:.75pt;mso-position-horizontal-relative:page;mso-position-vertical-relative:paragraph;z-index:-917896" coordorigin="3577,34" coordsize="4864,15">
            <v:group style="position:absolute;left:3584;top:41;width:2507;height:2" coordorigin="3584,41" coordsize="2507,2">
              <v:shape style="position:absolute;left:3584;top:41;width:2507;height:2" coordorigin="3584,41" coordsize="2507,0" path="m3584,41l6091,41e" filled="false" stroked="true" strokeweight=".72pt" strokecolor="#000000">
                <v:path arrowok="t"/>
              </v:shape>
            </v:group>
            <v:group style="position:absolute;left:6091;top:41;width:2343;height:2" coordorigin="6091,41" coordsize="2343,2">
              <v:shape style="position:absolute;left:6091;top:41;width:2343;height:2" coordorigin="6091,41" coordsize="2343,0" path="m6091,41l8434,41e" filled="false" stroked="true" strokeweight=".72pt" strokecolor="#000000">
                <v:path arrowok="t"/>
              </v:shape>
            </v:group>
            <w10:wrap type="none"/>
          </v:group>
        </w:pict>
      </w:r>
      <w:r>
        <w:rPr>
          <w:rFonts w:ascii="Arial" w:hAnsi="Arial" w:cs="Arial" w:eastAsia="Arial" w:hint="default"/>
          <w:b/>
          <w:bCs/>
          <w:sz w:val="22"/>
          <w:szCs w:val="22"/>
        </w:rPr>
        <w:t>2009</w:t>
      </w:r>
      <w:r>
        <w:rPr>
          <w:rFonts w:ascii="Arial" w:hAnsi="Arial" w:cs="Arial" w:eastAsia="Arial" w:hint="default"/>
          <w:b/>
          <w:bCs/>
          <w:spacing w:val="-8"/>
          <w:sz w:val="22"/>
          <w:szCs w:val="22"/>
        </w:rPr>
        <w:t> </w:t>
      </w:r>
      <w:r>
        <w:rPr>
          <w:rFonts w:ascii="宋体" w:hAnsi="宋体" w:cs="宋体" w:eastAsia="宋体" w:hint="default"/>
          <w:b/>
          <w:bCs/>
          <w:sz w:val="22"/>
          <w:szCs w:val="22"/>
        </w:rPr>
        <w:t>年</w:t>
      </w:r>
      <w:r>
        <w:rPr>
          <w:rFonts w:ascii="宋体" w:hAnsi="宋体" w:cs="宋体" w:eastAsia="宋体" w:hint="default"/>
          <w:b/>
          <w:bCs/>
          <w:spacing w:val="-57"/>
          <w:sz w:val="22"/>
          <w:szCs w:val="22"/>
        </w:rPr>
        <w:t> </w:t>
      </w:r>
      <w:r>
        <w:rPr>
          <w:rFonts w:ascii="Arial" w:hAnsi="Arial" w:cs="Arial" w:eastAsia="Arial" w:hint="default"/>
          <w:b/>
          <w:bCs/>
          <w:sz w:val="22"/>
          <w:szCs w:val="22"/>
        </w:rPr>
        <w:t>12</w:t>
      </w:r>
      <w:r>
        <w:rPr>
          <w:rFonts w:ascii="Arial" w:hAnsi="Arial" w:cs="Arial" w:eastAsia="Arial" w:hint="default"/>
          <w:b/>
          <w:bCs/>
          <w:spacing w:val="-8"/>
          <w:sz w:val="22"/>
          <w:szCs w:val="22"/>
        </w:rPr>
        <w:t> </w:t>
      </w:r>
      <w:r>
        <w:rPr>
          <w:rFonts w:ascii="宋体" w:hAnsi="宋体" w:cs="宋体" w:eastAsia="宋体" w:hint="default"/>
          <w:b/>
          <w:bCs/>
          <w:sz w:val="22"/>
          <w:szCs w:val="22"/>
        </w:rPr>
        <w:t>月</w:t>
      </w:r>
      <w:r>
        <w:rPr>
          <w:rFonts w:ascii="宋体" w:hAnsi="宋体" w:cs="宋体" w:eastAsia="宋体" w:hint="default"/>
          <w:b/>
          <w:bCs/>
          <w:spacing w:val="-57"/>
          <w:sz w:val="22"/>
          <w:szCs w:val="22"/>
        </w:rPr>
        <w:t> </w:t>
      </w:r>
      <w:r>
        <w:rPr>
          <w:rFonts w:ascii="Arial" w:hAnsi="Arial" w:cs="Arial" w:eastAsia="Arial" w:hint="default"/>
          <w:b/>
          <w:bCs/>
          <w:sz w:val="22"/>
          <w:szCs w:val="22"/>
        </w:rPr>
        <w:t>31</w:t>
      </w:r>
      <w:r>
        <w:rPr>
          <w:rFonts w:ascii="Arial" w:hAnsi="Arial" w:cs="Arial" w:eastAsia="Arial" w:hint="default"/>
          <w:b/>
          <w:bCs/>
          <w:spacing w:val="-8"/>
          <w:sz w:val="22"/>
          <w:szCs w:val="22"/>
        </w:rPr>
        <w:t> </w:t>
      </w:r>
      <w:r>
        <w:rPr>
          <w:rFonts w:ascii="宋体" w:hAnsi="宋体" w:cs="宋体" w:eastAsia="宋体" w:hint="default"/>
          <w:b/>
          <w:bCs/>
          <w:sz w:val="22"/>
          <w:szCs w:val="22"/>
        </w:rPr>
        <w:t>日</w:t>
        <w:tab/>
      </w:r>
      <w:r>
        <w:rPr>
          <w:rFonts w:ascii="Arial" w:hAnsi="Arial" w:cs="Arial" w:eastAsia="Arial" w:hint="default"/>
          <w:b/>
          <w:bCs/>
          <w:sz w:val="22"/>
          <w:szCs w:val="22"/>
        </w:rPr>
        <w:t>2008</w:t>
      </w:r>
      <w:r>
        <w:rPr>
          <w:rFonts w:ascii="Arial" w:hAnsi="Arial" w:cs="Arial" w:eastAsia="Arial" w:hint="default"/>
          <w:b/>
          <w:bCs/>
          <w:spacing w:val="-8"/>
          <w:sz w:val="22"/>
          <w:szCs w:val="22"/>
        </w:rPr>
        <w:t> </w:t>
      </w:r>
      <w:r>
        <w:rPr>
          <w:rFonts w:ascii="宋体" w:hAnsi="宋体" w:cs="宋体" w:eastAsia="宋体" w:hint="default"/>
          <w:b/>
          <w:bCs/>
          <w:sz w:val="22"/>
          <w:szCs w:val="22"/>
        </w:rPr>
        <w:t>年</w:t>
      </w:r>
      <w:r>
        <w:rPr>
          <w:rFonts w:ascii="宋体" w:hAnsi="宋体" w:cs="宋体" w:eastAsia="宋体" w:hint="default"/>
          <w:b/>
          <w:bCs/>
          <w:spacing w:val="-57"/>
          <w:sz w:val="22"/>
          <w:szCs w:val="22"/>
        </w:rPr>
        <w:t> </w:t>
      </w:r>
      <w:r>
        <w:rPr>
          <w:rFonts w:ascii="Arial" w:hAnsi="Arial" w:cs="Arial" w:eastAsia="Arial" w:hint="default"/>
          <w:b/>
          <w:bCs/>
          <w:sz w:val="22"/>
          <w:szCs w:val="22"/>
        </w:rPr>
        <w:t>12</w:t>
      </w:r>
      <w:r>
        <w:rPr>
          <w:rFonts w:ascii="Arial" w:hAnsi="Arial" w:cs="Arial" w:eastAsia="Arial" w:hint="default"/>
          <w:b/>
          <w:bCs/>
          <w:spacing w:val="-8"/>
          <w:sz w:val="22"/>
          <w:szCs w:val="22"/>
        </w:rPr>
        <w:t> </w:t>
      </w:r>
      <w:r>
        <w:rPr>
          <w:rFonts w:ascii="宋体" w:hAnsi="宋体" w:cs="宋体" w:eastAsia="宋体" w:hint="default"/>
          <w:b/>
          <w:bCs/>
          <w:sz w:val="22"/>
          <w:szCs w:val="22"/>
        </w:rPr>
        <w:t>月</w:t>
      </w:r>
      <w:r>
        <w:rPr>
          <w:rFonts w:ascii="宋体" w:hAnsi="宋体" w:cs="宋体" w:eastAsia="宋体" w:hint="default"/>
          <w:b/>
          <w:bCs/>
          <w:spacing w:val="-57"/>
          <w:sz w:val="22"/>
          <w:szCs w:val="22"/>
        </w:rPr>
        <w:t> </w:t>
      </w:r>
      <w:r>
        <w:rPr>
          <w:rFonts w:ascii="Arial" w:hAnsi="Arial" w:cs="Arial" w:eastAsia="Arial" w:hint="default"/>
          <w:b/>
          <w:bCs/>
          <w:sz w:val="22"/>
          <w:szCs w:val="22"/>
        </w:rPr>
        <w:t>31</w:t>
      </w:r>
      <w:r>
        <w:rPr>
          <w:rFonts w:ascii="Arial" w:hAnsi="Arial" w:cs="Arial" w:eastAsia="Arial" w:hint="default"/>
          <w:b/>
          <w:bCs/>
          <w:spacing w:val="-8"/>
          <w:sz w:val="22"/>
          <w:szCs w:val="22"/>
        </w:rPr>
        <w:t> </w:t>
      </w:r>
      <w:r>
        <w:rPr>
          <w:rFonts w:ascii="宋体" w:hAnsi="宋体" w:cs="宋体" w:eastAsia="宋体" w:hint="default"/>
          <w:b/>
          <w:bCs/>
          <w:sz w:val="22"/>
          <w:szCs w:val="22"/>
        </w:rPr>
        <w:t>日</w:t>
      </w:r>
      <w:r>
        <w:rPr>
          <w:rFonts w:ascii="宋体" w:hAnsi="宋体" w:cs="宋体" w:eastAsia="宋体" w:hint="default"/>
          <w:sz w:val="22"/>
          <w:szCs w:val="22"/>
        </w:rPr>
      </w:r>
    </w:p>
    <w:p>
      <w:pPr>
        <w:spacing w:line="240" w:lineRule="auto" w:before="0"/>
        <w:rPr>
          <w:rFonts w:ascii="宋体" w:hAnsi="宋体" w:cs="宋体" w:eastAsia="宋体" w:hint="default"/>
          <w:b/>
          <w:bCs/>
          <w:sz w:val="22"/>
          <w:szCs w:val="22"/>
        </w:rPr>
      </w:pPr>
      <w:r>
        <w:rPr/>
        <w:br w:type="column"/>
      </w:r>
      <w:r>
        <w:rPr>
          <w:rFonts w:ascii="宋体"/>
          <w:b/>
          <w:sz w:val="22"/>
        </w:rPr>
      </w:r>
    </w:p>
    <w:p>
      <w:pPr>
        <w:spacing w:line="240" w:lineRule="auto" w:before="12"/>
        <w:rPr>
          <w:rFonts w:ascii="宋体" w:hAnsi="宋体" w:cs="宋体" w:eastAsia="宋体" w:hint="default"/>
          <w:b/>
          <w:bCs/>
          <w:sz w:val="15"/>
          <w:szCs w:val="15"/>
        </w:rPr>
      </w:pPr>
    </w:p>
    <w:p>
      <w:pPr>
        <w:spacing w:line="242" w:lineRule="auto" w:before="0"/>
        <w:ind w:left="162" w:right="220" w:firstLine="441"/>
        <w:jc w:val="left"/>
        <w:rPr>
          <w:rFonts w:ascii="宋体" w:hAnsi="宋体" w:cs="宋体" w:eastAsia="宋体" w:hint="default"/>
          <w:sz w:val="22"/>
          <w:szCs w:val="22"/>
        </w:rPr>
      </w:pPr>
      <w:r>
        <w:rPr>
          <w:rFonts w:ascii="宋体" w:hAnsi="宋体" w:cs="宋体" w:eastAsia="宋体" w:hint="default"/>
          <w:b/>
          <w:bCs/>
          <w:sz w:val="22"/>
          <w:szCs w:val="22"/>
        </w:rPr>
        <w:t>收入、费用</w:t>
      </w:r>
      <w:r>
        <w:rPr>
          <w:rFonts w:ascii="宋体" w:hAnsi="宋体" w:cs="宋体" w:eastAsia="宋体" w:hint="default"/>
          <w:b/>
          <w:bCs/>
          <w:spacing w:val="1"/>
          <w:w w:val="99"/>
          <w:sz w:val="22"/>
          <w:szCs w:val="22"/>
        </w:rPr>
        <w:t> </w:t>
      </w:r>
      <w:r>
        <w:rPr>
          <w:rFonts w:ascii="宋体" w:hAnsi="宋体" w:cs="宋体" w:eastAsia="宋体" w:hint="default"/>
          <w:b/>
          <w:bCs/>
          <w:sz w:val="22"/>
          <w:szCs w:val="22"/>
        </w:rPr>
        <w:t>及现金流量项目</w:t>
      </w:r>
      <w:r>
        <w:rPr>
          <w:rFonts w:ascii="宋体" w:hAnsi="宋体" w:cs="宋体" w:eastAsia="宋体" w:hint="default"/>
          <w:sz w:val="22"/>
          <w:szCs w:val="22"/>
        </w:rPr>
      </w:r>
    </w:p>
    <w:p>
      <w:pPr>
        <w:spacing w:after="0" w:line="242" w:lineRule="auto"/>
        <w:jc w:val="left"/>
        <w:rPr>
          <w:rFonts w:ascii="宋体" w:hAnsi="宋体" w:cs="宋体" w:eastAsia="宋体" w:hint="default"/>
          <w:sz w:val="22"/>
          <w:szCs w:val="22"/>
        </w:rPr>
        <w:sectPr>
          <w:type w:val="continuous"/>
          <w:pgSz w:w="11910" w:h="16840"/>
          <w:pgMar w:top="1600" w:bottom="280" w:left="1280" w:right="820"/>
          <w:cols w:num="2" w:equalWidth="0">
            <w:col w:w="7101" w:space="755"/>
            <w:col w:w="1954"/>
          </w:cols>
        </w:sectPr>
      </w:pPr>
    </w:p>
    <w:p>
      <w:pPr>
        <w:spacing w:line="20" w:lineRule="exact"/>
        <w:ind w:left="2297" w:right="0" w:firstLine="0"/>
        <w:rPr>
          <w:rFonts w:ascii="宋体" w:hAnsi="宋体" w:cs="宋体" w:eastAsia="宋体" w:hint="default"/>
          <w:sz w:val="2"/>
          <w:szCs w:val="2"/>
        </w:rPr>
      </w:pPr>
      <w:r>
        <w:rPr>
          <w:rFonts w:ascii="宋体"/>
          <w:sz w:val="2"/>
        </w:rPr>
        <w:pict>
          <v:group style="width:118.65pt;height:.75pt;mso-position-horizontal-relative:char;mso-position-vertical-relative:line" coordorigin="0,0" coordsize="2373,15">
            <v:group style="position:absolute;left:7;top:7;width:2358;height:2" coordorigin="7,7" coordsize="2358,2">
              <v:shape style="position:absolute;left:7;top:7;width:2358;height:2" coordorigin="7,7" coordsize="2358,0" path="m7,7l2365,7e" filled="false" stroked="true" strokeweight=".72pt" strokecolor="#000000">
                <v:path arrowok="t"/>
              </v:shape>
            </v:group>
          </v:group>
        </w:pict>
      </w:r>
      <w:r>
        <w:rPr>
          <w:rFonts w:ascii="宋体"/>
          <w:sz w:val="2"/>
        </w:rPr>
      </w:r>
      <w:r>
        <w:rPr>
          <w:rFonts w:ascii="Times New Roman"/>
          <w:spacing w:val="111"/>
          <w:sz w:val="2"/>
        </w:rPr>
        <w:t> </w:t>
      </w:r>
      <w:r>
        <w:rPr>
          <w:rFonts w:ascii="宋体"/>
          <w:spacing w:val="111"/>
          <w:sz w:val="2"/>
        </w:rPr>
        <w:pict>
          <v:group style="width:118.6pt;height:.75pt;mso-position-horizontal-relative:char;mso-position-vertical-relative:line" coordorigin="0,0" coordsize="2372,15">
            <v:group style="position:absolute;left:7;top:7;width:2357;height:2" coordorigin="7,7" coordsize="2357,2">
              <v:shape style="position:absolute;left:7;top:7;width:2357;height:2" coordorigin="7,7" coordsize="2357,0" path="m7,7l2364,7e" filled="false" stroked="true" strokeweight=".72pt" strokecolor="#000000">
                <v:path arrowok="t"/>
              </v:shape>
            </v:group>
          </v:group>
        </w:pict>
      </w:r>
      <w:r>
        <w:rPr>
          <w:rFonts w:ascii="宋体"/>
          <w:spacing w:val="111"/>
          <w:sz w:val="2"/>
        </w:rPr>
      </w:r>
      <w:r>
        <w:rPr>
          <w:rFonts w:ascii="Times New Roman"/>
          <w:spacing w:val="111"/>
          <w:sz w:val="2"/>
        </w:rPr>
        <w:t> </w:t>
      </w:r>
      <w:r>
        <w:rPr>
          <w:rFonts w:ascii="宋体"/>
          <w:spacing w:val="111"/>
          <w:sz w:val="2"/>
        </w:rPr>
        <w:pict>
          <v:group style="width:117.25pt;height:.75pt;mso-position-horizontal-relative:char;mso-position-vertical-relative:line" coordorigin="0,0" coordsize="2345,15">
            <v:group style="position:absolute;left:7;top:7;width:2331;height:2" coordorigin="7,7" coordsize="2331,2">
              <v:shape style="position:absolute;left:7;top:7;width:2331;height:2" coordorigin="7,7" coordsize="2331,0" path="m7,7l2338,7e" filled="false" stroked="true" strokeweight=".72pt" strokecolor="#000000">
                <v:path arrowok="t"/>
              </v:shape>
            </v:group>
          </v:group>
        </w:pict>
      </w:r>
      <w:r>
        <w:rPr>
          <w:rFonts w:ascii="宋体"/>
          <w:spacing w:val="111"/>
          <w:sz w:val="2"/>
        </w:rPr>
      </w:r>
    </w:p>
    <w:p>
      <w:pPr>
        <w:spacing w:line="240" w:lineRule="auto" w:before="11"/>
        <w:rPr>
          <w:rFonts w:ascii="宋体" w:hAnsi="宋体" w:cs="宋体" w:eastAsia="宋体" w:hint="default"/>
          <w:b/>
          <w:bCs/>
          <w:sz w:val="8"/>
          <w:szCs w:val="8"/>
        </w:rPr>
      </w:pPr>
    </w:p>
    <w:tbl>
      <w:tblPr>
        <w:tblW w:w="0" w:type="auto"/>
        <w:jc w:val="left"/>
        <w:tblInd w:w="530" w:type="dxa"/>
        <w:tblLayout w:type="fixed"/>
        <w:tblCellMar>
          <w:top w:w="0" w:type="dxa"/>
          <w:left w:w="0" w:type="dxa"/>
          <w:bottom w:w="0" w:type="dxa"/>
          <w:right w:w="0" w:type="dxa"/>
        </w:tblCellMar>
        <w:tblLook w:val="01E0"/>
      </w:tblPr>
      <w:tblGrid>
        <w:gridCol w:w="1710"/>
        <w:gridCol w:w="2547"/>
        <w:gridCol w:w="2440"/>
        <w:gridCol w:w="2371"/>
      </w:tblGrid>
      <w:tr>
        <w:trPr>
          <w:trHeight w:val="650" w:hRule="exact"/>
        </w:trPr>
        <w:tc>
          <w:tcPr>
            <w:tcW w:w="171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b/>
                <w:bCs/>
                <w:sz w:val="22"/>
                <w:szCs w:val="22"/>
              </w:rPr>
              <w:t>香港地区子公司</w:t>
            </w:r>
            <w:r>
              <w:rPr>
                <w:rFonts w:ascii="宋体" w:hAnsi="宋体" w:cs="宋体" w:eastAsia="宋体" w:hint="default"/>
                <w:sz w:val="22"/>
                <w:szCs w:val="22"/>
              </w:rPr>
            </w:r>
          </w:p>
        </w:tc>
        <w:tc>
          <w:tcPr>
            <w:tcW w:w="254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left="54" w:right="0"/>
              <w:jc w:val="center"/>
              <w:rPr>
                <w:rFonts w:ascii="宋体" w:hAnsi="宋体" w:cs="宋体" w:eastAsia="宋体" w:hint="default"/>
                <w:sz w:val="22"/>
                <w:szCs w:val="22"/>
              </w:rPr>
            </w:pPr>
            <w:r>
              <w:rPr>
                <w:rFonts w:ascii="Arial" w:hAnsi="Arial" w:cs="Arial" w:eastAsia="Arial" w:hint="default"/>
                <w:b/>
                <w:bCs/>
                <w:sz w:val="22"/>
                <w:szCs w:val="22"/>
              </w:rPr>
              <w:t>1 </w:t>
            </w:r>
            <w:r>
              <w:rPr>
                <w:rFonts w:ascii="宋体" w:hAnsi="宋体" w:cs="宋体" w:eastAsia="宋体" w:hint="default"/>
                <w:b/>
                <w:bCs/>
                <w:sz w:val="22"/>
                <w:szCs w:val="22"/>
              </w:rPr>
              <w:t>港币</w:t>
            </w:r>
            <w:r>
              <w:rPr>
                <w:rFonts w:ascii="Arial" w:hAnsi="Arial" w:cs="Arial" w:eastAsia="Arial" w:hint="default"/>
                <w:b/>
                <w:bCs/>
                <w:sz w:val="22"/>
                <w:szCs w:val="22"/>
              </w:rPr>
              <w:t>=0.8805</w:t>
            </w:r>
            <w:r>
              <w:rPr>
                <w:rFonts w:ascii="Arial" w:hAnsi="Arial" w:cs="Arial" w:eastAsia="Arial" w:hint="default"/>
                <w:b/>
                <w:bCs/>
                <w:spacing w:val="-16"/>
                <w:sz w:val="22"/>
                <w:szCs w:val="22"/>
              </w:rPr>
              <w:t> </w:t>
            </w:r>
            <w:r>
              <w:rPr>
                <w:rFonts w:ascii="宋体" w:hAnsi="宋体" w:cs="宋体" w:eastAsia="宋体" w:hint="default"/>
                <w:b/>
                <w:bCs/>
                <w:sz w:val="22"/>
                <w:szCs w:val="22"/>
              </w:rPr>
              <w:t>人民币</w:t>
            </w:r>
            <w:r>
              <w:rPr>
                <w:rFonts w:ascii="宋体" w:hAnsi="宋体" w:cs="宋体" w:eastAsia="宋体" w:hint="default"/>
                <w:sz w:val="22"/>
                <w:szCs w:val="22"/>
              </w:rPr>
            </w:r>
          </w:p>
        </w:tc>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4"/>
                <w:szCs w:val="24"/>
              </w:rPr>
            </w:pPr>
          </w:p>
          <w:p>
            <w:pPr>
              <w:pStyle w:val="TableParagraph"/>
              <w:spacing w:line="240" w:lineRule="auto"/>
              <w:ind w:right="123"/>
              <w:jc w:val="right"/>
              <w:rPr>
                <w:rFonts w:ascii="宋体" w:hAnsi="宋体" w:cs="宋体" w:eastAsia="宋体" w:hint="default"/>
                <w:sz w:val="22"/>
                <w:szCs w:val="22"/>
              </w:rPr>
            </w:pPr>
            <w:r>
              <w:rPr>
                <w:rFonts w:ascii="Arial" w:hAnsi="Arial" w:cs="Arial" w:eastAsia="Arial" w:hint="default"/>
                <w:b/>
                <w:bCs/>
                <w:sz w:val="22"/>
                <w:szCs w:val="22"/>
              </w:rPr>
              <w:t>1 </w:t>
            </w:r>
            <w:r>
              <w:rPr>
                <w:rFonts w:ascii="宋体" w:hAnsi="宋体" w:cs="宋体" w:eastAsia="宋体" w:hint="default"/>
                <w:b/>
                <w:bCs/>
                <w:sz w:val="22"/>
                <w:szCs w:val="22"/>
              </w:rPr>
              <w:t>港币</w:t>
            </w:r>
            <w:r>
              <w:rPr>
                <w:rFonts w:ascii="Arial" w:hAnsi="Arial" w:cs="Arial" w:eastAsia="Arial" w:hint="default"/>
                <w:b/>
                <w:bCs/>
                <w:sz w:val="22"/>
                <w:szCs w:val="22"/>
              </w:rPr>
              <w:t>=0.8819</w:t>
            </w:r>
            <w:r>
              <w:rPr>
                <w:rFonts w:ascii="Arial" w:hAnsi="Arial" w:cs="Arial" w:eastAsia="Arial" w:hint="default"/>
                <w:b/>
                <w:bCs/>
                <w:spacing w:val="-16"/>
                <w:sz w:val="22"/>
                <w:szCs w:val="22"/>
              </w:rPr>
              <w:t> </w:t>
            </w:r>
            <w:r>
              <w:rPr>
                <w:rFonts w:ascii="宋体" w:hAnsi="宋体" w:cs="宋体" w:eastAsia="宋体" w:hint="default"/>
                <w:b/>
                <w:bCs/>
                <w:sz w:val="22"/>
                <w:szCs w:val="22"/>
              </w:rPr>
              <w:t>人民币</w:t>
            </w:r>
            <w:r>
              <w:rPr>
                <w:rFonts w:ascii="宋体" w:hAnsi="宋体" w:cs="宋体" w:eastAsia="宋体" w:hint="default"/>
                <w:sz w:val="22"/>
                <w:szCs w:val="22"/>
              </w:rPr>
            </w:r>
          </w:p>
        </w:tc>
        <w:tc>
          <w:tcPr>
            <w:tcW w:w="2371" w:type="dxa"/>
            <w:tcBorders>
              <w:top w:val="nil" w:sz="6" w:space="0" w:color="auto"/>
              <w:left w:val="nil" w:sz="6" w:space="0" w:color="auto"/>
              <w:bottom w:val="nil" w:sz="6" w:space="0" w:color="auto"/>
              <w:right w:val="nil" w:sz="6" w:space="0" w:color="auto"/>
            </w:tcBorders>
          </w:tcPr>
          <w:p>
            <w:pPr>
              <w:pStyle w:val="TableParagraph"/>
              <w:spacing w:line="242" w:lineRule="auto" w:before="31"/>
              <w:ind w:left="124" w:right="33"/>
              <w:jc w:val="left"/>
              <w:rPr>
                <w:rFonts w:ascii="宋体" w:hAnsi="宋体" w:cs="宋体" w:eastAsia="宋体" w:hint="default"/>
                <w:sz w:val="22"/>
                <w:szCs w:val="22"/>
              </w:rPr>
            </w:pPr>
            <w:r>
              <w:rPr>
                <w:rFonts w:ascii="宋体" w:hAnsi="宋体" w:cs="宋体" w:eastAsia="宋体" w:hint="default"/>
                <w:b/>
                <w:bCs/>
                <w:sz w:val="22"/>
                <w:szCs w:val="22"/>
              </w:rPr>
              <w:t>交易发生日的即期汇率</w:t>
            </w:r>
            <w:r>
              <w:rPr>
                <w:rFonts w:ascii="宋体" w:hAnsi="宋体" w:cs="宋体" w:eastAsia="宋体" w:hint="default"/>
                <w:b/>
                <w:bCs/>
                <w:spacing w:val="1"/>
                <w:w w:val="99"/>
                <w:sz w:val="22"/>
                <w:szCs w:val="22"/>
              </w:rPr>
              <w:t> </w:t>
            </w:r>
            <w:r>
              <w:rPr>
                <w:rFonts w:ascii="宋体" w:hAnsi="宋体" w:cs="宋体" w:eastAsia="宋体" w:hint="default"/>
                <w:b/>
                <w:bCs/>
                <w:sz w:val="22"/>
                <w:szCs w:val="22"/>
              </w:rPr>
              <w:t>之近似汇率</w:t>
            </w:r>
            <w:r>
              <w:rPr>
                <w:rFonts w:ascii="宋体" w:hAnsi="宋体" w:cs="宋体" w:eastAsia="宋体" w:hint="default"/>
                <w:sz w:val="22"/>
                <w:szCs w:val="22"/>
              </w:rPr>
            </w:r>
          </w:p>
        </w:tc>
      </w:tr>
      <w:tr>
        <w:trPr>
          <w:trHeight w:val="284" w:hRule="exact"/>
        </w:trPr>
        <w:tc>
          <w:tcPr>
            <w:tcW w:w="1710" w:type="dxa"/>
            <w:tcBorders>
              <w:top w:val="nil" w:sz="6" w:space="0" w:color="auto"/>
              <w:left w:val="nil" w:sz="6" w:space="0" w:color="auto"/>
              <w:bottom w:val="nil" w:sz="6" w:space="0" w:color="auto"/>
              <w:right w:val="nil" w:sz="6" w:space="0" w:color="auto"/>
            </w:tcBorders>
          </w:tcPr>
          <w:p>
            <w:pPr/>
          </w:p>
        </w:tc>
        <w:tc>
          <w:tcPr>
            <w:tcW w:w="2547" w:type="dxa"/>
            <w:tcBorders>
              <w:top w:val="nil" w:sz="6" w:space="0" w:color="auto"/>
              <w:left w:val="nil" w:sz="6" w:space="0" w:color="auto"/>
              <w:bottom w:val="nil" w:sz="6" w:space="0" w:color="auto"/>
              <w:right w:val="nil" w:sz="6" w:space="0" w:color="auto"/>
            </w:tcBorders>
          </w:tcPr>
          <w:p>
            <w:pPr/>
          </w:p>
        </w:tc>
        <w:tc>
          <w:tcPr>
            <w:tcW w:w="2440" w:type="dxa"/>
            <w:tcBorders>
              <w:top w:val="nil" w:sz="6" w:space="0" w:color="auto"/>
              <w:left w:val="nil" w:sz="6" w:space="0" w:color="auto"/>
              <w:bottom w:val="nil" w:sz="6" w:space="0" w:color="auto"/>
              <w:right w:val="nil" w:sz="6" w:space="0" w:color="auto"/>
            </w:tcBorders>
          </w:tcPr>
          <w:p>
            <w:pPr/>
          </w:p>
        </w:tc>
        <w:tc>
          <w:tcPr>
            <w:tcW w:w="2371" w:type="dxa"/>
            <w:tcBorders>
              <w:top w:val="nil" w:sz="6" w:space="0" w:color="auto"/>
              <w:left w:val="nil" w:sz="6" w:space="0" w:color="auto"/>
              <w:bottom w:val="nil" w:sz="6" w:space="0" w:color="auto"/>
              <w:right w:val="nil" w:sz="6" w:space="0" w:color="auto"/>
            </w:tcBorders>
          </w:tcPr>
          <w:p>
            <w:pPr>
              <w:pStyle w:val="TableParagraph"/>
              <w:spacing w:line="249" w:lineRule="exact"/>
              <w:ind w:left="124" w:right="0"/>
              <w:jc w:val="left"/>
              <w:rPr>
                <w:rFonts w:ascii="宋体" w:hAnsi="宋体" w:cs="宋体" w:eastAsia="宋体" w:hint="default"/>
                <w:sz w:val="22"/>
                <w:szCs w:val="22"/>
              </w:rPr>
            </w:pPr>
            <w:r>
              <w:rPr>
                <w:rFonts w:ascii="宋体" w:hAnsi="宋体" w:cs="宋体" w:eastAsia="宋体" w:hint="default"/>
                <w:b/>
                <w:bCs/>
                <w:sz w:val="22"/>
                <w:szCs w:val="22"/>
              </w:rPr>
              <w:t>交易发生日的即期汇率</w:t>
            </w:r>
            <w:r>
              <w:rPr>
                <w:rFonts w:ascii="宋体" w:hAnsi="宋体" w:cs="宋体" w:eastAsia="宋体" w:hint="default"/>
                <w:sz w:val="22"/>
                <w:szCs w:val="22"/>
              </w:rPr>
            </w:r>
          </w:p>
        </w:tc>
      </w:tr>
      <w:tr>
        <w:trPr>
          <w:trHeight w:val="580" w:hRule="exact"/>
        </w:trPr>
        <w:tc>
          <w:tcPr>
            <w:tcW w:w="1710"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b/>
                <w:bCs/>
                <w:sz w:val="22"/>
                <w:szCs w:val="22"/>
              </w:rPr>
              <w:t>美洲地区子公司</w:t>
            </w:r>
            <w:r>
              <w:rPr>
                <w:rFonts w:ascii="宋体" w:hAnsi="宋体" w:cs="宋体" w:eastAsia="宋体" w:hint="default"/>
                <w:sz w:val="22"/>
                <w:szCs w:val="22"/>
              </w:rPr>
            </w:r>
          </w:p>
        </w:tc>
        <w:tc>
          <w:tcPr>
            <w:tcW w:w="2547" w:type="dxa"/>
            <w:tcBorders>
              <w:top w:val="nil" w:sz="6" w:space="0" w:color="auto"/>
              <w:left w:val="nil" w:sz="6" w:space="0" w:color="auto"/>
              <w:bottom w:val="nil" w:sz="6" w:space="0" w:color="auto"/>
              <w:right w:val="nil" w:sz="6" w:space="0" w:color="auto"/>
            </w:tcBorders>
          </w:tcPr>
          <w:p>
            <w:pPr>
              <w:pStyle w:val="TableParagraph"/>
              <w:spacing w:line="271" w:lineRule="exact"/>
              <w:ind w:left="55" w:right="0"/>
              <w:jc w:val="center"/>
              <w:rPr>
                <w:rFonts w:ascii="宋体" w:hAnsi="宋体" w:cs="宋体" w:eastAsia="宋体" w:hint="default"/>
                <w:sz w:val="22"/>
                <w:szCs w:val="22"/>
              </w:rPr>
            </w:pPr>
            <w:r>
              <w:rPr>
                <w:rFonts w:ascii="Arial" w:hAnsi="Arial" w:cs="Arial" w:eastAsia="Arial" w:hint="default"/>
                <w:b/>
                <w:bCs/>
                <w:sz w:val="22"/>
                <w:szCs w:val="22"/>
              </w:rPr>
              <w:t>1 </w:t>
            </w:r>
            <w:r>
              <w:rPr>
                <w:rFonts w:ascii="宋体" w:hAnsi="宋体" w:cs="宋体" w:eastAsia="宋体" w:hint="default"/>
                <w:b/>
                <w:bCs/>
                <w:sz w:val="22"/>
                <w:szCs w:val="22"/>
              </w:rPr>
              <w:t>美元</w:t>
            </w:r>
            <w:r>
              <w:rPr>
                <w:rFonts w:ascii="Arial" w:hAnsi="Arial" w:cs="Arial" w:eastAsia="Arial" w:hint="default"/>
                <w:b/>
                <w:bCs/>
                <w:sz w:val="22"/>
                <w:szCs w:val="22"/>
              </w:rPr>
              <w:t>=6.8282</w:t>
            </w:r>
            <w:r>
              <w:rPr>
                <w:rFonts w:ascii="Arial" w:hAnsi="Arial" w:cs="Arial" w:eastAsia="Arial" w:hint="default"/>
                <w:b/>
                <w:bCs/>
                <w:spacing w:val="-16"/>
                <w:sz w:val="22"/>
                <w:szCs w:val="22"/>
              </w:rPr>
              <w:t> </w:t>
            </w:r>
            <w:r>
              <w:rPr>
                <w:rFonts w:ascii="宋体" w:hAnsi="宋体" w:cs="宋体" w:eastAsia="宋体" w:hint="default"/>
                <w:b/>
                <w:bCs/>
                <w:sz w:val="22"/>
                <w:szCs w:val="22"/>
              </w:rPr>
              <w:t>人民币</w:t>
            </w:r>
            <w:r>
              <w:rPr>
                <w:rFonts w:ascii="宋体" w:hAnsi="宋体" w:cs="宋体" w:eastAsia="宋体" w:hint="default"/>
                <w:sz w:val="22"/>
                <w:szCs w:val="22"/>
              </w:rPr>
            </w:r>
          </w:p>
        </w:tc>
        <w:tc>
          <w:tcPr>
            <w:tcW w:w="2440" w:type="dxa"/>
            <w:tcBorders>
              <w:top w:val="nil" w:sz="6" w:space="0" w:color="auto"/>
              <w:left w:val="nil" w:sz="6" w:space="0" w:color="auto"/>
              <w:bottom w:val="nil" w:sz="6" w:space="0" w:color="auto"/>
              <w:right w:val="nil" w:sz="6" w:space="0" w:color="auto"/>
            </w:tcBorders>
          </w:tcPr>
          <w:p>
            <w:pPr>
              <w:pStyle w:val="TableParagraph"/>
              <w:spacing w:line="271" w:lineRule="exact"/>
              <w:ind w:right="122"/>
              <w:jc w:val="right"/>
              <w:rPr>
                <w:rFonts w:ascii="宋体" w:hAnsi="宋体" w:cs="宋体" w:eastAsia="宋体" w:hint="default"/>
                <w:sz w:val="22"/>
                <w:szCs w:val="22"/>
              </w:rPr>
            </w:pPr>
            <w:r>
              <w:rPr>
                <w:rFonts w:ascii="Arial" w:hAnsi="Arial" w:cs="Arial" w:eastAsia="Arial" w:hint="default"/>
                <w:b/>
                <w:bCs/>
                <w:sz w:val="22"/>
                <w:szCs w:val="22"/>
              </w:rPr>
              <w:t>1 </w:t>
            </w:r>
            <w:r>
              <w:rPr>
                <w:rFonts w:ascii="宋体" w:hAnsi="宋体" w:cs="宋体" w:eastAsia="宋体" w:hint="default"/>
                <w:b/>
                <w:bCs/>
                <w:sz w:val="22"/>
                <w:szCs w:val="22"/>
              </w:rPr>
              <w:t>美元</w:t>
            </w:r>
            <w:r>
              <w:rPr>
                <w:rFonts w:ascii="Arial" w:hAnsi="Arial" w:cs="Arial" w:eastAsia="Arial" w:hint="default"/>
                <w:b/>
                <w:bCs/>
                <w:sz w:val="22"/>
                <w:szCs w:val="22"/>
              </w:rPr>
              <w:t>=6.8346</w:t>
            </w:r>
            <w:r>
              <w:rPr>
                <w:rFonts w:ascii="Arial" w:hAnsi="Arial" w:cs="Arial" w:eastAsia="Arial" w:hint="default"/>
                <w:b/>
                <w:bCs/>
                <w:spacing w:val="-16"/>
                <w:sz w:val="22"/>
                <w:szCs w:val="22"/>
              </w:rPr>
              <w:t> </w:t>
            </w:r>
            <w:r>
              <w:rPr>
                <w:rFonts w:ascii="宋体" w:hAnsi="宋体" w:cs="宋体" w:eastAsia="宋体" w:hint="default"/>
                <w:b/>
                <w:bCs/>
                <w:sz w:val="22"/>
                <w:szCs w:val="22"/>
              </w:rPr>
              <w:t>人民币</w:t>
            </w:r>
            <w:r>
              <w:rPr>
                <w:rFonts w:ascii="宋体" w:hAnsi="宋体" w:cs="宋体" w:eastAsia="宋体" w:hint="default"/>
                <w:sz w:val="22"/>
                <w:szCs w:val="22"/>
              </w:rPr>
            </w:r>
          </w:p>
        </w:tc>
        <w:tc>
          <w:tcPr>
            <w:tcW w:w="2371" w:type="dxa"/>
            <w:tcBorders>
              <w:top w:val="nil" w:sz="6" w:space="0" w:color="auto"/>
              <w:left w:val="nil" w:sz="6" w:space="0" w:color="auto"/>
              <w:bottom w:val="nil" w:sz="6" w:space="0" w:color="auto"/>
              <w:right w:val="nil" w:sz="6" w:space="0" w:color="auto"/>
            </w:tcBorders>
          </w:tcPr>
          <w:p>
            <w:pPr>
              <w:pStyle w:val="TableParagraph"/>
              <w:spacing w:line="255" w:lineRule="exact"/>
              <w:ind w:left="124" w:right="0"/>
              <w:jc w:val="left"/>
              <w:rPr>
                <w:rFonts w:ascii="宋体" w:hAnsi="宋体" w:cs="宋体" w:eastAsia="宋体" w:hint="default"/>
                <w:sz w:val="22"/>
                <w:szCs w:val="22"/>
              </w:rPr>
            </w:pPr>
            <w:r>
              <w:rPr>
                <w:rFonts w:ascii="宋体" w:hAnsi="宋体" w:cs="宋体" w:eastAsia="宋体" w:hint="default"/>
                <w:b/>
                <w:bCs/>
                <w:sz w:val="22"/>
                <w:szCs w:val="22"/>
              </w:rPr>
              <w:t>之近似汇率</w:t>
            </w:r>
            <w:r>
              <w:rPr>
                <w:rFonts w:ascii="宋体" w:hAnsi="宋体" w:cs="宋体" w:eastAsia="宋体" w:hint="default"/>
                <w:sz w:val="22"/>
                <w:szCs w:val="22"/>
              </w:rPr>
            </w:r>
          </w:p>
          <w:p>
            <w:pPr>
              <w:pStyle w:val="TableParagraph"/>
              <w:spacing w:line="240" w:lineRule="auto" w:before="2"/>
              <w:ind w:left="125" w:right="0"/>
              <w:jc w:val="left"/>
              <w:rPr>
                <w:rFonts w:ascii="宋体" w:hAnsi="宋体" w:cs="宋体" w:eastAsia="宋体" w:hint="default"/>
                <w:sz w:val="22"/>
                <w:szCs w:val="22"/>
              </w:rPr>
            </w:pPr>
            <w:r>
              <w:rPr>
                <w:rFonts w:ascii="宋体" w:hAnsi="宋体" w:cs="宋体" w:eastAsia="宋体" w:hint="default"/>
                <w:b/>
                <w:bCs/>
                <w:sz w:val="22"/>
                <w:szCs w:val="22"/>
              </w:rPr>
              <w:t>交易发生日的即期汇率</w:t>
            </w:r>
            <w:r>
              <w:rPr>
                <w:rFonts w:ascii="宋体" w:hAnsi="宋体" w:cs="宋体" w:eastAsia="宋体" w:hint="default"/>
                <w:sz w:val="22"/>
                <w:szCs w:val="22"/>
              </w:rPr>
            </w:r>
          </w:p>
        </w:tc>
      </w:tr>
      <w:tr>
        <w:trPr>
          <w:trHeight w:val="580" w:hRule="exact"/>
        </w:trPr>
        <w:tc>
          <w:tcPr>
            <w:tcW w:w="1710"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2"/>
                <w:szCs w:val="22"/>
              </w:rPr>
            </w:pPr>
            <w:r>
              <w:rPr>
                <w:rFonts w:ascii="宋体" w:hAnsi="宋体" w:cs="宋体" w:eastAsia="宋体" w:hint="default"/>
                <w:b/>
                <w:bCs/>
                <w:sz w:val="22"/>
                <w:szCs w:val="22"/>
              </w:rPr>
              <w:t>日本地区子公司</w:t>
            </w:r>
            <w:r>
              <w:rPr>
                <w:rFonts w:ascii="宋体" w:hAnsi="宋体" w:cs="宋体" w:eastAsia="宋体" w:hint="default"/>
                <w:sz w:val="22"/>
                <w:szCs w:val="22"/>
              </w:rPr>
            </w:r>
          </w:p>
        </w:tc>
        <w:tc>
          <w:tcPr>
            <w:tcW w:w="2547" w:type="dxa"/>
            <w:tcBorders>
              <w:top w:val="nil" w:sz="6" w:space="0" w:color="auto"/>
              <w:left w:val="nil" w:sz="6" w:space="0" w:color="auto"/>
              <w:bottom w:val="nil" w:sz="6" w:space="0" w:color="auto"/>
              <w:right w:val="nil" w:sz="6" w:space="0" w:color="auto"/>
            </w:tcBorders>
          </w:tcPr>
          <w:p>
            <w:pPr>
              <w:pStyle w:val="TableParagraph"/>
              <w:spacing w:line="271" w:lineRule="exact"/>
              <w:ind w:left="55" w:right="0"/>
              <w:jc w:val="center"/>
              <w:rPr>
                <w:rFonts w:ascii="宋体" w:hAnsi="宋体" w:cs="宋体" w:eastAsia="宋体" w:hint="default"/>
                <w:sz w:val="22"/>
                <w:szCs w:val="22"/>
              </w:rPr>
            </w:pPr>
            <w:r>
              <w:rPr>
                <w:rFonts w:ascii="Arial" w:hAnsi="Arial" w:cs="Arial" w:eastAsia="Arial" w:hint="default"/>
                <w:b/>
                <w:bCs/>
                <w:sz w:val="22"/>
                <w:szCs w:val="22"/>
              </w:rPr>
              <w:t>1 </w:t>
            </w:r>
            <w:r>
              <w:rPr>
                <w:rFonts w:ascii="宋体" w:hAnsi="宋体" w:cs="宋体" w:eastAsia="宋体" w:hint="default"/>
                <w:b/>
                <w:bCs/>
                <w:sz w:val="22"/>
                <w:szCs w:val="22"/>
              </w:rPr>
              <w:t>日元</w:t>
            </w:r>
            <w:r>
              <w:rPr>
                <w:rFonts w:ascii="Arial" w:hAnsi="Arial" w:cs="Arial" w:eastAsia="Arial" w:hint="default"/>
                <w:b/>
                <w:bCs/>
                <w:sz w:val="22"/>
                <w:szCs w:val="22"/>
              </w:rPr>
              <w:t>=0.0738</w:t>
            </w:r>
            <w:r>
              <w:rPr>
                <w:rFonts w:ascii="Arial" w:hAnsi="Arial" w:cs="Arial" w:eastAsia="Arial" w:hint="default"/>
                <w:b/>
                <w:bCs/>
                <w:spacing w:val="-16"/>
                <w:sz w:val="22"/>
                <w:szCs w:val="22"/>
              </w:rPr>
              <w:t> </w:t>
            </w:r>
            <w:r>
              <w:rPr>
                <w:rFonts w:ascii="宋体" w:hAnsi="宋体" w:cs="宋体" w:eastAsia="宋体" w:hint="default"/>
                <w:b/>
                <w:bCs/>
                <w:sz w:val="22"/>
                <w:szCs w:val="22"/>
              </w:rPr>
              <w:t>人民币</w:t>
            </w:r>
            <w:r>
              <w:rPr>
                <w:rFonts w:ascii="宋体" w:hAnsi="宋体" w:cs="宋体" w:eastAsia="宋体" w:hint="default"/>
                <w:sz w:val="22"/>
                <w:szCs w:val="22"/>
              </w:rPr>
            </w:r>
          </w:p>
        </w:tc>
        <w:tc>
          <w:tcPr>
            <w:tcW w:w="2440" w:type="dxa"/>
            <w:tcBorders>
              <w:top w:val="nil" w:sz="6" w:space="0" w:color="auto"/>
              <w:left w:val="nil" w:sz="6" w:space="0" w:color="auto"/>
              <w:bottom w:val="nil" w:sz="6" w:space="0" w:color="auto"/>
              <w:right w:val="nil" w:sz="6" w:space="0" w:color="auto"/>
            </w:tcBorders>
          </w:tcPr>
          <w:p>
            <w:pPr>
              <w:pStyle w:val="TableParagraph"/>
              <w:spacing w:line="271" w:lineRule="exact"/>
              <w:ind w:right="122"/>
              <w:jc w:val="right"/>
              <w:rPr>
                <w:rFonts w:ascii="宋体" w:hAnsi="宋体" w:cs="宋体" w:eastAsia="宋体" w:hint="default"/>
                <w:sz w:val="22"/>
                <w:szCs w:val="22"/>
              </w:rPr>
            </w:pPr>
            <w:r>
              <w:rPr>
                <w:rFonts w:ascii="Arial" w:hAnsi="Arial" w:cs="Arial" w:eastAsia="Arial" w:hint="default"/>
                <w:b/>
                <w:bCs/>
                <w:sz w:val="22"/>
                <w:szCs w:val="22"/>
              </w:rPr>
              <w:t>1 </w:t>
            </w:r>
            <w:r>
              <w:rPr>
                <w:rFonts w:ascii="宋体" w:hAnsi="宋体" w:cs="宋体" w:eastAsia="宋体" w:hint="default"/>
                <w:b/>
                <w:bCs/>
                <w:sz w:val="22"/>
                <w:szCs w:val="22"/>
              </w:rPr>
              <w:t>日元</w:t>
            </w:r>
            <w:r>
              <w:rPr>
                <w:rFonts w:ascii="Arial" w:hAnsi="Arial" w:cs="Arial" w:eastAsia="Arial" w:hint="default"/>
                <w:b/>
                <w:bCs/>
                <w:sz w:val="22"/>
                <w:szCs w:val="22"/>
              </w:rPr>
              <w:t>=0.0757</w:t>
            </w:r>
            <w:r>
              <w:rPr>
                <w:rFonts w:ascii="Arial" w:hAnsi="Arial" w:cs="Arial" w:eastAsia="Arial" w:hint="default"/>
                <w:b/>
                <w:bCs/>
                <w:spacing w:val="-16"/>
                <w:sz w:val="22"/>
                <w:szCs w:val="22"/>
              </w:rPr>
              <w:t> </w:t>
            </w:r>
            <w:r>
              <w:rPr>
                <w:rFonts w:ascii="宋体" w:hAnsi="宋体" w:cs="宋体" w:eastAsia="宋体" w:hint="default"/>
                <w:b/>
                <w:bCs/>
                <w:sz w:val="22"/>
                <w:szCs w:val="22"/>
              </w:rPr>
              <w:t>人民币</w:t>
            </w:r>
            <w:r>
              <w:rPr>
                <w:rFonts w:ascii="宋体" w:hAnsi="宋体" w:cs="宋体" w:eastAsia="宋体" w:hint="default"/>
                <w:sz w:val="22"/>
                <w:szCs w:val="22"/>
              </w:rPr>
            </w:r>
          </w:p>
        </w:tc>
        <w:tc>
          <w:tcPr>
            <w:tcW w:w="2371" w:type="dxa"/>
            <w:tcBorders>
              <w:top w:val="nil" w:sz="6" w:space="0" w:color="auto"/>
              <w:left w:val="nil" w:sz="6" w:space="0" w:color="auto"/>
              <w:bottom w:val="nil" w:sz="6" w:space="0" w:color="auto"/>
              <w:right w:val="nil" w:sz="6" w:space="0" w:color="auto"/>
            </w:tcBorders>
          </w:tcPr>
          <w:p>
            <w:pPr>
              <w:pStyle w:val="TableParagraph"/>
              <w:spacing w:line="254" w:lineRule="exact"/>
              <w:ind w:left="125" w:right="0"/>
              <w:jc w:val="left"/>
              <w:rPr>
                <w:rFonts w:ascii="宋体" w:hAnsi="宋体" w:cs="宋体" w:eastAsia="宋体" w:hint="default"/>
                <w:sz w:val="22"/>
                <w:szCs w:val="22"/>
              </w:rPr>
            </w:pPr>
            <w:r>
              <w:rPr>
                <w:rFonts w:ascii="宋体" w:hAnsi="宋体" w:cs="宋体" w:eastAsia="宋体" w:hint="default"/>
                <w:b/>
                <w:bCs/>
                <w:sz w:val="22"/>
                <w:szCs w:val="22"/>
              </w:rPr>
              <w:t>之近似汇率</w:t>
            </w:r>
            <w:r>
              <w:rPr>
                <w:rFonts w:ascii="宋体" w:hAnsi="宋体" w:cs="宋体" w:eastAsia="宋体" w:hint="default"/>
                <w:sz w:val="22"/>
                <w:szCs w:val="22"/>
              </w:rPr>
            </w:r>
          </w:p>
          <w:p>
            <w:pPr>
              <w:pStyle w:val="TableParagraph"/>
              <w:spacing w:line="240" w:lineRule="auto" w:before="2"/>
              <w:ind w:left="125" w:right="0"/>
              <w:jc w:val="left"/>
              <w:rPr>
                <w:rFonts w:ascii="宋体" w:hAnsi="宋体" w:cs="宋体" w:eastAsia="宋体" w:hint="default"/>
                <w:sz w:val="22"/>
                <w:szCs w:val="22"/>
              </w:rPr>
            </w:pPr>
            <w:r>
              <w:rPr>
                <w:rFonts w:ascii="宋体" w:hAnsi="宋体" w:cs="宋体" w:eastAsia="宋体" w:hint="default"/>
                <w:b/>
                <w:bCs/>
                <w:sz w:val="22"/>
                <w:szCs w:val="22"/>
              </w:rPr>
              <w:t>交易发生日的即期汇率</w:t>
            </w:r>
            <w:r>
              <w:rPr>
                <w:rFonts w:ascii="宋体" w:hAnsi="宋体" w:cs="宋体" w:eastAsia="宋体" w:hint="default"/>
                <w:sz w:val="22"/>
                <w:szCs w:val="22"/>
              </w:rPr>
            </w:r>
          </w:p>
        </w:tc>
      </w:tr>
      <w:tr>
        <w:trPr>
          <w:trHeight w:val="347" w:hRule="exact"/>
        </w:trPr>
        <w:tc>
          <w:tcPr>
            <w:tcW w:w="1710"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b/>
                <w:bCs/>
                <w:sz w:val="22"/>
                <w:szCs w:val="22"/>
              </w:rPr>
              <w:t>欧洲地区子公司</w:t>
            </w:r>
            <w:r>
              <w:rPr>
                <w:rFonts w:ascii="宋体" w:hAnsi="宋体" w:cs="宋体" w:eastAsia="宋体" w:hint="default"/>
                <w:sz w:val="22"/>
                <w:szCs w:val="22"/>
              </w:rPr>
            </w:r>
          </w:p>
        </w:tc>
        <w:tc>
          <w:tcPr>
            <w:tcW w:w="2547" w:type="dxa"/>
            <w:tcBorders>
              <w:top w:val="nil" w:sz="6" w:space="0" w:color="auto"/>
              <w:left w:val="nil" w:sz="6" w:space="0" w:color="auto"/>
              <w:bottom w:val="nil" w:sz="6" w:space="0" w:color="auto"/>
              <w:right w:val="nil" w:sz="6" w:space="0" w:color="auto"/>
            </w:tcBorders>
          </w:tcPr>
          <w:p>
            <w:pPr>
              <w:pStyle w:val="TableParagraph"/>
              <w:spacing w:line="271" w:lineRule="exact"/>
              <w:ind w:right="45"/>
              <w:jc w:val="center"/>
              <w:rPr>
                <w:rFonts w:ascii="宋体" w:hAnsi="宋体" w:cs="宋体" w:eastAsia="宋体" w:hint="default"/>
                <w:sz w:val="22"/>
                <w:szCs w:val="22"/>
              </w:rPr>
            </w:pPr>
            <w:r>
              <w:rPr>
                <w:rFonts w:ascii="Arial" w:hAnsi="Arial" w:cs="Arial" w:eastAsia="Arial" w:hint="default"/>
                <w:b/>
                <w:bCs/>
                <w:sz w:val="22"/>
                <w:szCs w:val="22"/>
              </w:rPr>
              <w:t>1 </w:t>
            </w:r>
            <w:r>
              <w:rPr>
                <w:rFonts w:ascii="宋体" w:hAnsi="宋体" w:cs="宋体" w:eastAsia="宋体" w:hint="default"/>
                <w:b/>
                <w:bCs/>
                <w:sz w:val="22"/>
                <w:szCs w:val="22"/>
              </w:rPr>
              <w:t>英镑</w:t>
            </w:r>
            <w:r>
              <w:rPr>
                <w:rFonts w:ascii="Arial" w:hAnsi="Arial" w:cs="Arial" w:eastAsia="Arial" w:hint="default"/>
                <w:b/>
                <w:bCs/>
                <w:sz w:val="22"/>
                <w:szCs w:val="22"/>
              </w:rPr>
              <w:t>=10.9780</w:t>
            </w:r>
            <w:r>
              <w:rPr>
                <w:rFonts w:ascii="Arial" w:hAnsi="Arial" w:cs="Arial" w:eastAsia="Arial" w:hint="default"/>
                <w:b/>
                <w:bCs/>
                <w:spacing w:val="-36"/>
                <w:sz w:val="22"/>
                <w:szCs w:val="22"/>
              </w:rPr>
              <w:t> </w:t>
            </w:r>
            <w:r>
              <w:rPr>
                <w:rFonts w:ascii="宋体" w:hAnsi="宋体" w:cs="宋体" w:eastAsia="宋体" w:hint="default"/>
                <w:b/>
                <w:bCs/>
                <w:sz w:val="22"/>
                <w:szCs w:val="22"/>
              </w:rPr>
              <w:t>人民币</w:t>
            </w:r>
            <w:r>
              <w:rPr>
                <w:rFonts w:ascii="宋体" w:hAnsi="宋体" w:cs="宋体" w:eastAsia="宋体" w:hint="default"/>
                <w:sz w:val="22"/>
                <w:szCs w:val="22"/>
              </w:rPr>
            </w:r>
          </w:p>
        </w:tc>
        <w:tc>
          <w:tcPr>
            <w:tcW w:w="2440" w:type="dxa"/>
            <w:tcBorders>
              <w:top w:val="nil" w:sz="6" w:space="0" w:color="auto"/>
              <w:left w:val="nil" w:sz="6" w:space="0" w:color="auto"/>
              <w:bottom w:val="nil" w:sz="6" w:space="0" w:color="auto"/>
              <w:right w:val="nil" w:sz="6" w:space="0" w:color="auto"/>
            </w:tcBorders>
          </w:tcPr>
          <w:p>
            <w:pPr>
              <w:pStyle w:val="TableParagraph"/>
              <w:spacing w:line="271" w:lineRule="exact"/>
              <w:ind w:right="122"/>
              <w:jc w:val="right"/>
              <w:rPr>
                <w:rFonts w:ascii="宋体" w:hAnsi="宋体" w:cs="宋体" w:eastAsia="宋体" w:hint="default"/>
                <w:sz w:val="22"/>
                <w:szCs w:val="22"/>
              </w:rPr>
            </w:pPr>
            <w:r>
              <w:rPr>
                <w:rFonts w:ascii="Arial" w:hAnsi="Arial" w:cs="Arial" w:eastAsia="Arial" w:hint="default"/>
                <w:b/>
                <w:bCs/>
                <w:sz w:val="22"/>
                <w:szCs w:val="22"/>
              </w:rPr>
              <w:t>1 </w:t>
            </w:r>
            <w:r>
              <w:rPr>
                <w:rFonts w:ascii="宋体" w:hAnsi="宋体" w:cs="宋体" w:eastAsia="宋体" w:hint="default"/>
                <w:b/>
                <w:bCs/>
                <w:sz w:val="22"/>
                <w:szCs w:val="22"/>
              </w:rPr>
              <w:t>英镑</w:t>
            </w:r>
            <w:r>
              <w:rPr>
                <w:rFonts w:ascii="Arial" w:hAnsi="Arial" w:cs="Arial" w:eastAsia="Arial" w:hint="default"/>
                <w:b/>
                <w:bCs/>
                <w:sz w:val="22"/>
                <w:szCs w:val="22"/>
              </w:rPr>
              <w:t>=9.8798</w:t>
            </w:r>
            <w:r>
              <w:rPr>
                <w:rFonts w:ascii="Arial" w:hAnsi="Arial" w:cs="Arial" w:eastAsia="Arial" w:hint="default"/>
                <w:b/>
                <w:bCs/>
                <w:spacing w:val="-16"/>
                <w:sz w:val="22"/>
                <w:szCs w:val="22"/>
              </w:rPr>
              <w:t> </w:t>
            </w:r>
            <w:r>
              <w:rPr>
                <w:rFonts w:ascii="宋体" w:hAnsi="宋体" w:cs="宋体" w:eastAsia="宋体" w:hint="default"/>
                <w:b/>
                <w:bCs/>
                <w:sz w:val="22"/>
                <w:szCs w:val="22"/>
              </w:rPr>
              <w:t>人民币</w:t>
            </w:r>
            <w:r>
              <w:rPr>
                <w:rFonts w:ascii="宋体" w:hAnsi="宋体" w:cs="宋体" w:eastAsia="宋体" w:hint="default"/>
                <w:sz w:val="22"/>
                <w:szCs w:val="22"/>
              </w:rPr>
            </w:r>
          </w:p>
        </w:tc>
        <w:tc>
          <w:tcPr>
            <w:tcW w:w="2371" w:type="dxa"/>
            <w:tcBorders>
              <w:top w:val="nil" w:sz="6" w:space="0" w:color="auto"/>
              <w:left w:val="nil" w:sz="6" w:space="0" w:color="auto"/>
              <w:bottom w:val="nil" w:sz="6" w:space="0" w:color="auto"/>
              <w:right w:val="nil" w:sz="6" w:space="0" w:color="auto"/>
            </w:tcBorders>
          </w:tcPr>
          <w:p>
            <w:pPr>
              <w:pStyle w:val="TableParagraph"/>
              <w:spacing w:line="255" w:lineRule="exact"/>
              <w:ind w:left="125" w:right="0"/>
              <w:jc w:val="left"/>
              <w:rPr>
                <w:rFonts w:ascii="宋体" w:hAnsi="宋体" w:cs="宋体" w:eastAsia="宋体" w:hint="default"/>
                <w:sz w:val="22"/>
                <w:szCs w:val="22"/>
              </w:rPr>
            </w:pPr>
            <w:r>
              <w:rPr>
                <w:rFonts w:ascii="宋体" w:hAnsi="宋体" w:cs="宋体" w:eastAsia="宋体" w:hint="default"/>
                <w:b/>
                <w:bCs/>
                <w:sz w:val="22"/>
                <w:szCs w:val="22"/>
              </w:rPr>
              <w:t>之近似汇率</w:t>
            </w:r>
            <w:r>
              <w:rPr>
                <w:rFonts w:ascii="宋体" w:hAnsi="宋体" w:cs="宋体" w:eastAsia="宋体" w:hint="default"/>
                <w:sz w:val="22"/>
                <w:szCs w:val="22"/>
              </w:rPr>
            </w:r>
          </w:p>
        </w:tc>
      </w:tr>
    </w:tbl>
    <w:p>
      <w:pPr>
        <w:spacing w:after="0" w:line="255" w:lineRule="exact"/>
        <w:jc w:val="left"/>
        <w:rPr>
          <w:rFonts w:ascii="宋体" w:hAnsi="宋体" w:cs="宋体" w:eastAsia="宋体" w:hint="default"/>
          <w:sz w:val="22"/>
          <w:szCs w:val="22"/>
        </w:rPr>
        <w:sectPr>
          <w:type w:val="continuous"/>
          <w:pgSz w:w="11910" w:h="16840"/>
          <w:pgMar w:top="1600" w:bottom="280" w:left="1280" w:right="820"/>
        </w:sectPr>
      </w:pPr>
    </w:p>
    <w:p>
      <w:pPr>
        <w:spacing w:line="240" w:lineRule="auto" w:before="10"/>
        <w:rPr>
          <w:rFonts w:ascii="宋体" w:hAnsi="宋体" w:cs="宋体" w:eastAsia="宋体" w:hint="default"/>
          <w:b/>
          <w:bCs/>
          <w:sz w:val="16"/>
          <w:szCs w:val="16"/>
        </w:rPr>
      </w:pPr>
    </w:p>
    <w:tbl>
      <w:tblPr>
        <w:tblW w:w="0" w:type="auto"/>
        <w:jc w:val="left"/>
        <w:tblInd w:w="111" w:type="dxa"/>
        <w:tblLayout w:type="fixed"/>
        <w:tblCellMar>
          <w:top w:w="0" w:type="dxa"/>
          <w:left w:w="0" w:type="dxa"/>
          <w:bottom w:w="0" w:type="dxa"/>
          <w:right w:w="0" w:type="dxa"/>
        </w:tblCellMar>
        <w:tblLook w:val="01E0"/>
      </w:tblPr>
      <w:tblGrid>
        <w:gridCol w:w="2533"/>
        <w:gridCol w:w="3547"/>
        <w:gridCol w:w="3429"/>
      </w:tblGrid>
      <w:tr>
        <w:trPr>
          <w:trHeight w:val="847"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黑体" w:hAnsi="黑体" w:cs="黑体" w:eastAsia="黑体" w:hint="default"/>
                <w:sz w:val="22"/>
                <w:szCs w:val="22"/>
              </w:rPr>
            </w:pPr>
            <w:r>
              <w:rPr>
                <w:rFonts w:ascii="Arial" w:hAnsi="Arial" w:cs="Arial" w:eastAsia="Arial" w:hint="default"/>
                <w:sz w:val="22"/>
                <w:szCs w:val="22"/>
              </w:rPr>
              <w:t>1</w:t>
            </w:r>
            <w:r>
              <w:rPr>
                <w:rFonts w:ascii="黑体" w:hAnsi="黑体" w:cs="黑体" w:eastAsia="黑体" w:hint="default"/>
                <w:sz w:val="22"/>
                <w:szCs w:val="22"/>
              </w:rPr>
              <w:t>、</w:t>
            </w:r>
            <w:r>
              <w:rPr>
                <w:rFonts w:ascii="黑体" w:hAnsi="黑体" w:cs="黑体" w:eastAsia="黑体" w:hint="default"/>
                <w:spacing w:val="-36"/>
                <w:sz w:val="22"/>
                <w:szCs w:val="22"/>
              </w:rPr>
              <w:t> </w:t>
            </w:r>
            <w:r>
              <w:rPr>
                <w:rFonts w:ascii="黑体" w:hAnsi="黑体" w:cs="黑体" w:eastAsia="黑体" w:hint="default"/>
                <w:sz w:val="22"/>
                <w:szCs w:val="22"/>
              </w:rPr>
              <w:t>货币资金</w:t>
            </w:r>
          </w:p>
        </w:tc>
        <w:tc>
          <w:tcPr>
            <w:tcW w:w="3547"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25"/>
                <w:szCs w:val="25"/>
              </w:rPr>
            </w:pPr>
          </w:p>
          <w:p>
            <w:pPr>
              <w:pStyle w:val="TableParagraph"/>
              <w:spacing w:line="240" w:lineRule="auto"/>
              <w:ind w:left="945"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3429"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25"/>
                <w:szCs w:val="25"/>
              </w:rPr>
            </w:pPr>
          </w:p>
          <w:p>
            <w:pPr>
              <w:pStyle w:val="TableParagraph"/>
              <w:spacing w:line="240" w:lineRule="auto"/>
              <w:ind w:left="460" w:right="0"/>
              <w:jc w:val="lef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日（经重列）</w:t>
            </w:r>
          </w:p>
        </w:tc>
      </w:tr>
      <w:tr>
        <w:trPr>
          <w:trHeight w:val="248" w:hRule="exact"/>
        </w:trPr>
        <w:tc>
          <w:tcPr>
            <w:tcW w:w="2533" w:type="dxa"/>
            <w:tcBorders>
              <w:top w:val="nil" w:sz="6" w:space="0" w:color="auto"/>
              <w:left w:val="nil" w:sz="6" w:space="0" w:color="auto"/>
              <w:bottom w:val="nil" w:sz="6" w:space="0" w:color="auto"/>
              <w:right w:val="nil" w:sz="6" w:space="0" w:color="auto"/>
            </w:tcBorders>
          </w:tcPr>
          <w:p>
            <w:pPr/>
          </w:p>
        </w:tc>
        <w:tc>
          <w:tcPr>
            <w:tcW w:w="3547" w:type="dxa"/>
            <w:tcBorders>
              <w:top w:val="single" w:sz="6" w:space="0" w:color="000000"/>
              <w:left w:val="nil" w:sz="6" w:space="0" w:color="auto"/>
              <w:bottom w:val="single" w:sz="6" w:space="0" w:color="000000"/>
              <w:right w:val="nil" w:sz="6" w:space="0" w:color="auto"/>
            </w:tcBorders>
          </w:tcPr>
          <w:p>
            <w:pPr>
              <w:pStyle w:val="TableParagraph"/>
              <w:tabs>
                <w:tab w:pos="1523" w:val="left" w:leader="none"/>
                <w:tab w:pos="2494" w:val="left" w:leader="none"/>
              </w:tabs>
              <w:spacing w:line="207" w:lineRule="exact"/>
              <w:ind w:left="421" w:right="0"/>
              <w:jc w:val="left"/>
              <w:rPr>
                <w:rFonts w:ascii="宋体" w:hAnsi="宋体" w:cs="宋体" w:eastAsia="宋体" w:hint="default"/>
                <w:sz w:val="18"/>
                <w:szCs w:val="18"/>
              </w:rPr>
            </w:pPr>
            <w:r>
              <w:rPr>
                <w:rFonts w:ascii="宋体" w:hAnsi="宋体" w:cs="宋体" w:eastAsia="宋体" w:hint="default"/>
                <w:sz w:val="18"/>
                <w:szCs w:val="18"/>
              </w:rPr>
              <w:t>外币金额</w:t>
              <w:tab/>
              <w:t>汇率</w:t>
              <w:tab/>
              <w:t>人民币金额</w:t>
            </w:r>
          </w:p>
        </w:tc>
        <w:tc>
          <w:tcPr>
            <w:tcW w:w="3429" w:type="dxa"/>
            <w:tcBorders>
              <w:top w:val="single" w:sz="6" w:space="0" w:color="000000"/>
              <w:left w:val="nil" w:sz="6" w:space="0" w:color="auto"/>
              <w:bottom w:val="single" w:sz="6" w:space="0" w:color="000000"/>
              <w:right w:val="nil" w:sz="6" w:space="0" w:color="auto"/>
            </w:tcBorders>
          </w:tcPr>
          <w:p>
            <w:pPr>
              <w:pStyle w:val="TableParagraph"/>
              <w:tabs>
                <w:tab w:pos="1144" w:val="left" w:leader="none"/>
                <w:tab w:pos="2131" w:val="left" w:leader="none"/>
              </w:tabs>
              <w:spacing w:line="207" w:lineRule="exact"/>
              <w:ind w:right="37"/>
              <w:jc w:val="right"/>
              <w:rPr>
                <w:rFonts w:ascii="宋体" w:hAnsi="宋体" w:cs="宋体" w:eastAsia="宋体" w:hint="default"/>
                <w:sz w:val="18"/>
                <w:szCs w:val="18"/>
              </w:rPr>
            </w:pPr>
            <w:r>
              <w:rPr>
                <w:rFonts w:ascii="宋体" w:hAnsi="宋体" w:cs="宋体" w:eastAsia="宋体" w:hint="default"/>
                <w:sz w:val="18"/>
                <w:szCs w:val="18"/>
              </w:rPr>
              <w:t>外币金额</w:t>
              <w:tab/>
              <w:t>汇率</w:t>
              <w:tab/>
            </w:r>
            <w:r>
              <w:rPr>
                <w:rFonts w:ascii="宋体" w:hAnsi="宋体" w:cs="宋体" w:eastAsia="宋体" w:hint="default"/>
                <w:w w:val="95"/>
                <w:sz w:val="18"/>
                <w:szCs w:val="18"/>
              </w:rPr>
              <w:t>人民币金额</w:t>
            </w:r>
          </w:p>
        </w:tc>
      </w:tr>
      <w:tr>
        <w:trPr>
          <w:trHeight w:val="484"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left="523" w:right="0"/>
              <w:jc w:val="left"/>
              <w:rPr>
                <w:rFonts w:ascii="宋体" w:hAnsi="宋体" w:cs="宋体" w:eastAsia="宋体" w:hint="default"/>
                <w:sz w:val="18"/>
                <w:szCs w:val="18"/>
              </w:rPr>
            </w:pPr>
            <w:r>
              <w:rPr>
                <w:rFonts w:ascii="宋体" w:hAnsi="宋体" w:cs="宋体" w:eastAsia="宋体" w:hint="default"/>
                <w:sz w:val="18"/>
                <w:szCs w:val="18"/>
              </w:rPr>
              <w:t>库存现金</w:t>
            </w:r>
            <w:r>
              <w:rPr>
                <w:rFonts w:ascii="Arial" w:hAnsi="Arial" w:cs="Arial" w:eastAsia="Arial" w:hint="default"/>
                <w:sz w:val="18"/>
                <w:szCs w:val="18"/>
              </w:rPr>
              <w:t>-</w:t>
            </w:r>
            <w:r>
              <w:rPr>
                <w:rFonts w:ascii="宋体" w:hAnsi="宋体" w:cs="宋体" w:eastAsia="宋体" w:hint="default"/>
                <w:sz w:val="18"/>
                <w:szCs w:val="18"/>
              </w:rPr>
              <w:t>人民币</w:t>
            </w:r>
          </w:p>
        </w:tc>
        <w:tc>
          <w:tcPr>
            <w:tcW w:w="3547"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187"/>
              <w:jc w:val="right"/>
              <w:rPr>
                <w:rFonts w:ascii="Arial" w:hAnsi="Arial" w:cs="Arial" w:eastAsia="Arial" w:hint="default"/>
                <w:sz w:val="18"/>
                <w:szCs w:val="18"/>
              </w:rPr>
            </w:pPr>
            <w:r>
              <w:rPr>
                <w:rFonts w:ascii="Arial"/>
                <w:spacing w:val="-1"/>
                <w:sz w:val="18"/>
              </w:rPr>
              <w:t>7,388,848</w:t>
            </w:r>
          </w:p>
        </w:tc>
        <w:tc>
          <w:tcPr>
            <w:tcW w:w="3429"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9"/>
                <w:szCs w:val="19"/>
              </w:rPr>
            </w:pPr>
          </w:p>
          <w:p>
            <w:pPr>
              <w:pStyle w:val="TableParagraph"/>
              <w:spacing w:line="240" w:lineRule="auto"/>
              <w:ind w:right="52"/>
              <w:jc w:val="right"/>
              <w:rPr>
                <w:rFonts w:ascii="Arial" w:hAnsi="Arial" w:cs="Arial" w:eastAsia="Arial" w:hint="default"/>
                <w:sz w:val="18"/>
                <w:szCs w:val="18"/>
              </w:rPr>
            </w:pPr>
            <w:r>
              <w:rPr>
                <w:rFonts w:ascii="Arial"/>
                <w:spacing w:val="-1"/>
                <w:sz w:val="18"/>
              </w:rPr>
              <w:t>8,051,407</w:t>
            </w:r>
          </w:p>
        </w:tc>
      </w:tr>
      <w:tr>
        <w:trPr>
          <w:trHeight w:val="233"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08" w:lineRule="exact"/>
              <w:ind w:left="392" w:right="0"/>
              <w:jc w:val="center"/>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美元</w:t>
            </w:r>
          </w:p>
        </w:tc>
        <w:tc>
          <w:tcPr>
            <w:tcW w:w="3547" w:type="dxa"/>
            <w:tcBorders>
              <w:top w:val="nil" w:sz="6" w:space="0" w:color="auto"/>
              <w:left w:val="nil" w:sz="6" w:space="0" w:color="auto"/>
              <w:bottom w:val="nil" w:sz="6" w:space="0" w:color="auto"/>
              <w:right w:val="nil" w:sz="6" w:space="0" w:color="auto"/>
            </w:tcBorders>
          </w:tcPr>
          <w:p>
            <w:pPr>
              <w:pStyle w:val="TableParagraph"/>
              <w:tabs>
                <w:tab w:pos="961" w:val="left" w:leader="none"/>
                <w:tab w:pos="2171" w:val="left" w:leader="none"/>
              </w:tabs>
              <w:spacing w:line="240" w:lineRule="auto" w:before="14"/>
              <w:ind w:right="187"/>
              <w:jc w:val="right"/>
              <w:rPr>
                <w:rFonts w:ascii="Arial" w:hAnsi="Arial" w:cs="Arial" w:eastAsia="Arial" w:hint="default"/>
                <w:sz w:val="18"/>
                <w:szCs w:val="18"/>
              </w:rPr>
            </w:pPr>
            <w:r>
              <w:rPr>
                <w:rFonts w:ascii="Arial"/>
                <w:spacing w:val="-1"/>
                <w:sz w:val="18"/>
              </w:rPr>
              <w:t>4,494</w:t>
              <w:tab/>
              <w:t>6.83</w:t>
              <w:tab/>
              <w:t>30,688</w:t>
            </w:r>
          </w:p>
        </w:tc>
        <w:tc>
          <w:tcPr>
            <w:tcW w:w="3429" w:type="dxa"/>
            <w:tcBorders>
              <w:top w:val="nil" w:sz="6" w:space="0" w:color="auto"/>
              <w:left w:val="nil" w:sz="6" w:space="0" w:color="auto"/>
              <w:bottom w:val="nil" w:sz="6" w:space="0" w:color="auto"/>
              <w:right w:val="nil" w:sz="6" w:space="0" w:color="auto"/>
            </w:tcBorders>
          </w:tcPr>
          <w:p>
            <w:pPr>
              <w:pStyle w:val="TableParagraph"/>
              <w:tabs>
                <w:tab w:pos="935" w:val="left" w:leader="none"/>
                <w:tab w:pos="2236" w:val="left" w:leader="none"/>
              </w:tabs>
              <w:spacing w:line="240" w:lineRule="auto" w:before="14"/>
              <w:ind w:right="53"/>
              <w:jc w:val="right"/>
              <w:rPr>
                <w:rFonts w:ascii="Arial" w:hAnsi="Arial" w:cs="Arial" w:eastAsia="Arial" w:hint="default"/>
                <w:sz w:val="18"/>
                <w:szCs w:val="18"/>
              </w:rPr>
            </w:pPr>
            <w:r>
              <w:rPr>
                <w:rFonts w:ascii="Arial"/>
                <w:spacing w:val="-1"/>
                <w:sz w:val="18"/>
              </w:rPr>
              <w:t>8,400</w:t>
              <w:tab/>
              <w:t>6.83</w:t>
              <w:tab/>
              <w:t>57,413</w:t>
            </w:r>
          </w:p>
        </w:tc>
      </w:tr>
      <w:tr>
        <w:trPr>
          <w:trHeight w:val="344"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09" w:lineRule="exact"/>
              <w:ind w:left="392" w:right="0"/>
              <w:jc w:val="center"/>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港币</w:t>
            </w:r>
          </w:p>
        </w:tc>
        <w:tc>
          <w:tcPr>
            <w:tcW w:w="3547" w:type="dxa"/>
            <w:tcBorders>
              <w:top w:val="nil" w:sz="6" w:space="0" w:color="auto"/>
              <w:left w:val="nil" w:sz="6" w:space="0" w:color="auto"/>
              <w:bottom w:val="nil" w:sz="6" w:space="0" w:color="auto"/>
              <w:right w:val="nil" w:sz="6" w:space="0" w:color="auto"/>
            </w:tcBorders>
          </w:tcPr>
          <w:p>
            <w:pPr>
              <w:pStyle w:val="TableParagraph"/>
              <w:tabs>
                <w:tab w:pos="1061" w:val="left" w:leader="none"/>
                <w:tab w:pos="2272" w:val="left" w:leader="none"/>
                <w:tab w:pos="2909" w:val="left" w:leader="none"/>
              </w:tabs>
              <w:spacing w:line="240" w:lineRule="auto" w:before="15"/>
              <w:ind w:right="101"/>
              <w:jc w:val="right"/>
              <w:rPr>
                <w:rFonts w:ascii="Arial" w:hAnsi="Arial" w:cs="Arial" w:eastAsia="Arial" w:hint="default"/>
                <w:sz w:val="18"/>
                <w:szCs w:val="18"/>
              </w:rPr>
            </w:pPr>
            <w:r>
              <w:rPr>
                <w:rFonts w:ascii="Arial"/>
                <w:spacing w:val="-1"/>
                <w:sz w:val="18"/>
              </w:rPr>
              <w:t>32,335</w:t>
              <w:tab/>
              <w:t>0.88</w:t>
            </w:r>
            <w:r>
              <w:rPr>
                <w:rFonts w:ascii="Arial"/>
                <w:spacing w:val="-1"/>
                <w:sz w:val="18"/>
                <w:u w:val="single" w:color="000000"/>
              </w:rPr>
              <w:t> </w:t>
              <w:tab/>
              <w:t>28,471</w:t>
              <w:tab/>
            </w:r>
            <w:r>
              <w:rPr>
                <w:rFonts w:ascii="Arial"/>
                <w:spacing w:val="-1"/>
                <w:sz w:val="18"/>
              </w:rPr>
            </w:r>
          </w:p>
        </w:tc>
        <w:tc>
          <w:tcPr>
            <w:tcW w:w="3429" w:type="dxa"/>
            <w:tcBorders>
              <w:top w:val="nil" w:sz="6" w:space="0" w:color="auto"/>
              <w:left w:val="nil" w:sz="6" w:space="0" w:color="auto"/>
              <w:bottom w:val="nil" w:sz="6" w:space="0" w:color="auto"/>
              <w:right w:val="nil" w:sz="6" w:space="0" w:color="auto"/>
            </w:tcBorders>
          </w:tcPr>
          <w:p>
            <w:pPr>
              <w:pStyle w:val="TableParagraph"/>
              <w:tabs>
                <w:tab w:pos="1035" w:val="left" w:leader="none"/>
                <w:tab w:pos="2336" w:val="left" w:leader="none"/>
                <w:tab w:pos="2935" w:val="left" w:leader="none"/>
              </w:tabs>
              <w:spacing w:line="240" w:lineRule="auto" w:before="15"/>
              <w:ind w:right="5"/>
              <w:jc w:val="right"/>
              <w:rPr>
                <w:rFonts w:ascii="Arial" w:hAnsi="Arial" w:cs="Arial" w:eastAsia="Arial" w:hint="default"/>
                <w:sz w:val="18"/>
                <w:szCs w:val="18"/>
              </w:rPr>
            </w:pPr>
            <w:r>
              <w:rPr>
                <w:rFonts w:ascii="Arial"/>
                <w:spacing w:val="-1"/>
                <w:sz w:val="18"/>
              </w:rPr>
              <w:t>92,307</w:t>
              <w:tab/>
              <w:t>0.88</w:t>
            </w:r>
            <w:r>
              <w:rPr>
                <w:rFonts w:ascii="Arial"/>
                <w:spacing w:val="-1"/>
                <w:sz w:val="18"/>
                <w:u w:val="single" w:color="000000"/>
              </w:rPr>
              <w:t> </w:t>
              <w:tab/>
              <w:t>81,405</w:t>
              <w:tab/>
            </w:r>
            <w:r>
              <w:rPr>
                <w:rFonts w:ascii="Arial"/>
                <w:spacing w:val="-1"/>
                <w:sz w:val="18"/>
              </w:rPr>
            </w:r>
          </w:p>
        </w:tc>
      </w:tr>
      <w:tr>
        <w:trPr>
          <w:trHeight w:val="455"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496" w:right="0"/>
              <w:jc w:val="left"/>
              <w:rPr>
                <w:rFonts w:ascii="宋体" w:hAnsi="宋体" w:cs="宋体" w:eastAsia="宋体" w:hint="default"/>
                <w:sz w:val="18"/>
                <w:szCs w:val="18"/>
              </w:rPr>
            </w:pPr>
            <w:r>
              <w:rPr>
                <w:rFonts w:ascii="宋体" w:hAnsi="宋体" w:cs="宋体" w:eastAsia="宋体" w:hint="default"/>
                <w:sz w:val="18"/>
                <w:szCs w:val="18"/>
              </w:rPr>
              <w:t>库存现金小计</w:t>
            </w:r>
          </w:p>
        </w:tc>
        <w:tc>
          <w:tcPr>
            <w:tcW w:w="3547" w:type="dxa"/>
            <w:tcBorders>
              <w:top w:val="nil" w:sz="6" w:space="0" w:color="auto"/>
              <w:left w:val="nil" w:sz="6" w:space="0" w:color="auto"/>
              <w:bottom w:val="nil" w:sz="6" w:space="0" w:color="auto"/>
              <w:right w:val="nil" w:sz="6" w:space="0" w:color="auto"/>
            </w:tcBorders>
          </w:tcPr>
          <w:p>
            <w:pPr>
              <w:pStyle w:val="TableParagraph"/>
              <w:tabs>
                <w:tab w:pos="506" w:val="left" w:leader="none"/>
                <w:tab w:pos="1391" w:val="left" w:leader="none"/>
              </w:tabs>
              <w:spacing w:line="240" w:lineRule="auto" w:before="125"/>
              <w:ind w:right="101"/>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7,448,007</w:t>
              <w:tab/>
            </w:r>
            <w:r>
              <w:rPr>
                <w:rFonts w:ascii="Arial"/>
                <w:spacing w:val="-1"/>
                <w:sz w:val="18"/>
              </w:rPr>
            </w:r>
          </w:p>
        </w:tc>
        <w:tc>
          <w:tcPr>
            <w:tcW w:w="3429" w:type="dxa"/>
            <w:tcBorders>
              <w:top w:val="nil" w:sz="6" w:space="0" w:color="auto"/>
              <w:left w:val="nil" w:sz="6" w:space="0" w:color="auto"/>
              <w:bottom w:val="nil" w:sz="6" w:space="0" w:color="auto"/>
              <w:right w:val="nil" w:sz="6" w:space="0" w:color="auto"/>
            </w:tcBorders>
          </w:tcPr>
          <w:p>
            <w:pPr>
              <w:pStyle w:val="TableParagraph"/>
              <w:tabs>
                <w:tab w:pos="554" w:val="left" w:leader="none"/>
              </w:tabs>
              <w:spacing w:line="240" w:lineRule="auto" w:before="125"/>
              <w:ind w:right="52"/>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8,190,225</w:t>
            </w:r>
            <w:r>
              <w:rPr>
                <w:rFonts w:ascii="Arial"/>
                <w:spacing w:val="-1"/>
                <w:sz w:val="18"/>
              </w:rPr>
            </w:r>
          </w:p>
        </w:tc>
      </w:tr>
      <w:tr>
        <w:trPr>
          <w:trHeight w:val="338"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496" w:right="0"/>
              <w:jc w:val="left"/>
              <w:rPr>
                <w:rFonts w:ascii="宋体" w:hAnsi="宋体" w:cs="宋体" w:eastAsia="宋体" w:hint="default"/>
                <w:sz w:val="18"/>
                <w:szCs w:val="18"/>
              </w:rPr>
            </w:pPr>
            <w:r>
              <w:rPr>
                <w:rFonts w:ascii="Arial" w:hAnsi="Arial" w:cs="Arial" w:eastAsia="Arial" w:hint="default"/>
                <w:sz w:val="18"/>
                <w:szCs w:val="18"/>
              </w:rPr>
              <w:t>3</w:t>
            </w:r>
            <w:r>
              <w:rPr>
                <w:rFonts w:ascii="Arial" w:hAnsi="Arial" w:cs="Arial" w:eastAsia="Arial" w:hint="default"/>
                <w:spacing w:val="-7"/>
                <w:sz w:val="18"/>
                <w:szCs w:val="18"/>
              </w:rPr>
              <w:t> </w:t>
            </w:r>
            <w:r>
              <w:rPr>
                <w:rFonts w:ascii="宋体" w:hAnsi="宋体" w:cs="宋体" w:eastAsia="宋体" w:hint="default"/>
                <w:sz w:val="18"/>
                <w:szCs w:val="18"/>
              </w:rPr>
              <w:t>个月以下银行存款</w:t>
            </w:r>
          </w:p>
        </w:tc>
        <w:tc>
          <w:tcPr>
            <w:tcW w:w="3547" w:type="dxa"/>
            <w:tcBorders>
              <w:top w:val="nil" w:sz="6" w:space="0" w:color="auto"/>
              <w:left w:val="nil" w:sz="6" w:space="0" w:color="auto"/>
              <w:bottom w:val="nil" w:sz="6" w:space="0" w:color="auto"/>
              <w:right w:val="nil" w:sz="6" w:space="0" w:color="auto"/>
            </w:tcBorders>
          </w:tcPr>
          <w:p>
            <w:pPr/>
          </w:p>
        </w:tc>
        <w:tc>
          <w:tcPr>
            <w:tcW w:w="3429" w:type="dxa"/>
            <w:tcBorders>
              <w:top w:val="nil" w:sz="6" w:space="0" w:color="auto"/>
              <w:left w:val="nil" w:sz="6" w:space="0" w:color="auto"/>
              <w:bottom w:val="nil" w:sz="6" w:space="0" w:color="auto"/>
              <w:right w:val="nil" w:sz="6" w:space="0" w:color="auto"/>
            </w:tcBorders>
          </w:tcPr>
          <w:p>
            <w:pPr/>
          </w:p>
        </w:tc>
      </w:tr>
      <w:tr>
        <w:trPr>
          <w:trHeight w:val="240"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15" w:lineRule="exact"/>
              <w:ind w:left="1225" w:right="0"/>
              <w:jc w:val="left"/>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人民币</w:t>
            </w:r>
          </w:p>
        </w:tc>
        <w:tc>
          <w:tcPr>
            <w:tcW w:w="354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88"/>
              <w:jc w:val="right"/>
              <w:rPr>
                <w:rFonts w:ascii="Arial" w:hAnsi="Arial" w:cs="Arial" w:eastAsia="Arial" w:hint="default"/>
                <w:sz w:val="18"/>
                <w:szCs w:val="18"/>
              </w:rPr>
            </w:pPr>
            <w:r>
              <w:rPr>
                <w:rFonts w:ascii="Arial"/>
                <w:spacing w:val="-1"/>
                <w:sz w:val="18"/>
              </w:rPr>
              <w:t>6,336,342,113</w:t>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3"/>
              <w:jc w:val="right"/>
              <w:rPr>
                <w:rFonts w:ascii="Arial" w:hAnsi="Arial" w:cs="Arial" w:eastAsia="Arial" w:hint="default"/>
                <w:sz w:val="18"/>
                <w:szCs w:val="18"/>
              </w:rPr>
            </w:pPr>
            <w:r>
              <w:rPr>
                <w:rFonts w:ascii="Arial"/>
                <w:spacing w:val="-1"/>
                <w:sz w:val="18"/>
              </w:rPr>
              <w:t>8,677,737,673</w:t>
            </w:r>
          </w:p>
        </w:tc>
      </w:tr>
      <w:tr>
        <w:trPr>
          <w:trHeight w:val="234"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09" w:lineRule="exact"/>
              <w:ind w:left="337" w:right="0"/>
              <w:jc w:val="center"/>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美元</w:t>
            </w:r>
          </w:p>
        </w:tc>
        <w:tc>
          <w:tcPr>
            <w:tcW w:w="3547" w:type="dxa"/>
            <w:tcBorders>
              <w:top w:val="nil" w:sz="6" w:space="0" w:color="auto"/>
              <w:left w:val="nil" w:sz="6" w:space="0" w:color="auto"/>
              <w:bottom w:val="nil" w:sz="6" w:space="0" w:color="auto"/>
              <w:right w:val="nil" w:sz="6" w:space="0" w:color="auto"/>
            </w:tcBorders>
          </w:tcPr>
          <w:p>
            <w:pPr>
              <w:pStyle w:val="TableParagraph"/>
              <w:tabs>
                <w:tab w:pos="1596" w:val="left" w:leader="none"/>
                <w:tab w:pos="2356" w:val="left" w:leader="none"/>
              </w:tabs>
              <w:spacing w:line="240" w:lineRule="auto" w:before="15"/>
              <w:ind w:left="184" w:right="0"/>
              <w:jc w:val="left"/>
              <w:rPr>
                <w:rFonts w:ascii="Arial" w:hAnsi="Arial" w:cs="Arial" w:eastAsia="Arial" w:hint="default"/>
                <w:sz w:val="18"/>
                <w:szCs w:val="18"/>
              </w:rPr>
            </w:pPr>
            <w:r>
              <w:rPr>
                <w:rFonts w:ascii="Arial"/>
                <w:spacing w:val="-1"/>
                <w:sz w:val="18"/>
              </w:rPr>
              <w:t>85,661,588</w:t>
              <w:tab/>
              <w:t>6.83</w:t>
              <w:tab/>
              <w:t>584,914,457</w:t>
            </w:r>
          </w:p>
        </w:tc>
        <w:tc>
          <w:tcPr>
            <w:tcW w:w="3429" w:type="dxa"/>
            <w:tcBorders>
              <w:top w:val="nil" w:sz="6" w:space="0" w:color="auto"/>
              <w:left w:val="nil" w:sz="6" w:space="0" w:color="auto"/>
              <w:bottom w:val="nil" w:sz="6" w:space="0" w:color="auto"/>
              <w:right w:val="nil" w:sz="6" w:space="0" w:color="auto"/>
            </w:tcBorders>
          </w:tcPr>
          <w:p>
            <w:pPr>
              <w:pStyle w:val="TableParagraph"/>
              <w:tabs>
                <w:tab w:pos="1476" w:val="left" w:leader="none"/>
                <w:tab w:pos="2327" w:val="left" w:leader="none"/>
              </w:tabs>
              <w:spacing w:line="240" w:lineRule="auto" w:before="15"/>
              <w:ind w:right="53"/>
              <w:jc w:val="right"/>
              <w:rPr>
                <w:rFonts w:ascii="Arial" w:hAnsi="Arial" w:cs="Arial" w:eastAsia="Arial" w:hint="default"/>
                <w:sz w:val="18"/>
                <w:szCs w:val="18"/>
              </w:rPr>
            </w:pPr>
            <w:r>
              <w:rPr>
                <w:rFonts w:ascii="Arial"/>
                <w:spacing w:val="-1"/>
                <w:sz w:val="18"/>
              </w:rPr>
              <w:t>133,688,972</w:t>
              <w:tab/>
              <w:t>6.83</w:t>
              <w:tab/>
              <w:t>913,710,648</w:t>
            </w:r>
          </w:p>
        </w:tc>
      </w:tr>
      <w:tr>
        <w:trPr>
          <w:trHeight w:val="233"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09" w:lineRule="exact"/>
              <w:ind w:left="337" w:right="0"/>
              <w:jc w:val="center"/>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港币</w:t>
            </w:r>
          </w:p>
        </w:tc>
        <w:tc>
          <w:tcPr>
            <w:tcW w:w="3547" w:type="dxa"/>
            <w:tcBorders>
              <w:top w:val="nil" w:sz="6" w:space="0" w:color="auto"/>
              <w:left w:val="nil" w:sz="6" w:space="0" w:color="auto"/>
              <w:bottom w:val="nil" w:sz="6" w:space="0" w:color="auto"/>
              <w:right w:val="nil" w:sz="6" w:space="0" w:color="auto"/>
            </w:tcBorders>
          </w:tcPr>
          <w:p>
            <w:pPr>
              <w:pStyle w:val="TableParagraph"/>
              <w:tabs>
                <w:tab w:pos="1596" w:val="left" w:leader="none"/>
                <w:tab w:pos="2356" w:val="left" w:leader="none"/>
              </w:tabs>
              <w:spacing w:line="240" w:lineRule="auto" w:before="15"/>
              <w:ind w:left="85" w:right="0"/>
              <w:jc w:val="left"/>
              <w:rPr>
                <w:rFonts w:ascii="Arial" w:hAnsi="Arial" w:cs="Arial" w:eastAsia="Arial" w:hint="default"/>
                <w:sz w:val="18"/>
                <w:szCs w:val="18"/>
              </w:rPr>
            </w:pPr>
            <w:r>
              <w:rPr>
                <w:rFonts w:ascii="Arial"/>
                <w:spacing w:val="-1"/>
                <w:sz w:val="18"/>
              </w:rPr>
              <w:t>323,560,768</w:t>
              <w:tab/>
              <w:t>0.88</w:t>
              <w:tab/>
              <w:t>284,895,256</w:t>
            </w:r>
          </w:p>
        </w:tc>
        <w:tc>
          <w:tcPr>
            <w:tcW w:w="3429" w:type="dxa"/>
            <w:tcBorders>
              <w:top w:val="nil" w:sz="6" w:space="0" w:color="auto"/>
              <w:left w:val="nil" w:sz="6" w:space="0" w:color="auto"/>
              <w:bottom w:val="nil" w:sz="6" w:space="0" w:color="auto"/>
              <w:right w:val="nil" w:sz="6" w:space="0" w:color="auto"/>
            </w:tcBorders>
          </w:tcPr>
          <w:p>
            <w:pPr>
              <w:pStyle w:val="TableParagraph"/>
              <w:tabs>
                <w:tab w:pos="1476" w:val="left" w:leader="none"/>
                <w:tab w:pos="2327" w:val="left" w:leader="none"/>
              </w:tabs>
              <w:spacing w:line="240" w:lineRule="auto" w:before="15"/>
              <w:ind w:right="53"/>
              <w:jc w:val="right"/>
              <w:rPr>
                <w:rFonts w:ascii="Arial" w:hAnsi="Arial" w:cs="Arial" w:eastAsia="Arial" w:hint="default"/>
                <w:sz w:val="18"/>
                <w:szCs w:val="18"/>
              </w:rPr>
            </w:pPr>
            <w:r>
              <w:rPr>
                <w:rFonts w:ascii="Arial"/>
                <w:spacing w:val="-1"/>
                <w:sz w:val="18"/>
              </w:rPr>
              <w:t>223,220,405</w:t>
              <w:tab/>
              <w:t>0.88</w:t>
              <w:tab/>
              <w:t>196,855,843</w:t>
            </w:r>
          </w:p>
        </w:tc>
      </w:tr>
      <w:tr>
        <w:trPr>
          <w:trHeight w:val="233"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08" w:lineRule="exact"/>
              <w:ind w:left="375" w:right="0"/>
              <w:jc w:val="center"/>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欧元</w:t>
            </w:r>
          </w:p>
        </w:tc>
        <w:tc>
          <w:tcPr>
            <w:tcW w:w="3547" w:type="dxa"/>
            <w:tcBorders>
              <w:top w:val="nil" w:sz="6" w:space="0" w:color="auto"/>
              <w:left w:val="nil" w:sz="6" w:space="0" w:color="auto"/>
              <w:bottom w:val="nil" w:sz="6" w:space="0" w:color="auto"/>
              <w:right w:val="nil" w:sz="6" w:space="0" w:color="auto"/>
            </w:tcBorders>
          </w:tcPr>
          <w:p>
            <w:pPr>
              <w:pStyle w:val="TableParagraph"/>
              <w:tabs>
                <w:tab w:pos="1596" w:val="left" w:leader="none"/>
                <w:tab w:pos="2357" w:val="left" w:leader="none"/>
              </w:tabs>
              <w:spacing w:line="240" w:lineRule="auto" w:before="14"/>
              <w:ind w:left="184" w:right="0"/>
              <w:jc w:val="left"/>
              <w:rPr>
                <w:rFonts w:ascii="Arial" w:hAnsi="Arial" w:cs="Arial" w:eastAsia="Arial" w:hint="default"/>
                <w:sz w:val="18"/>
                <w:szCs w:val="18"/>
              </w:rPr>
            </w:pPr>
            <w:r>
              <w:rPr>
                <w:rFonts w:ascii="Arial"/>
                <w:spacing w:val="-1"/>
                <w:sz w:val="18"/>
              </w:rPr>
              <w:t>26,296,659</w:t>
              <w:tab/>
              <w:t>9.80</w:t>
              <w:tab/>
              <w:t>257,630,994</w:t>
            </w:r>
          </w:p>
        </w:tc>
        <w:tc>
          <w:tcPr>
            <w:tcW w:w="3429" w:type="dxa"/>
            <w:tcBorders>
              <w:top w:val="nil" w:sz="6" w:space="0" w:color="auto"/>
              <w:left w:val="nil" w:sz="6" w:space="0" w:color="auto"/>
              <w:bottom w:val="nil" w:sz="6" w:space="0" w:color="auto"/>
              <w:right w:val="nil" w:sz="6" w:space="0" w:color="auto"/>
            </w:tcBorders>
          </w:tcPr>
          <w:p>
            <w:pPr>
              <w:pStyle w:val="TableParagraph"/>
              <w:tabs>
                <w:tab w:pos="1274" w:val="left" w:leader="none"/>
                <w:tab w:pos="2224" w:val="left" w:leader="none"/>
              </w:tabs>
              <w:spacing w:line="240" w:lineRule="auto" w:before="14"/>
              <w:ind w:right="53"/>
              <w:jc w:val="right"/>
              <w:rPr>
                <w:rFonts w:ascii="Arial" w:hAnsi="Arial" w:cs="Arial" w:eastAsia="Arial" w:hint="default"/>
                <w:sz w:val="18"/>
                <w:szCs w:val="18"/>
              </w:rPr>
            </w:pPr>
            <w:r>
              <w:rPr>
                <w:rFonts w:ascii="Arial"/>
                <w:spacing w:val="-1"/>
                <w:sz w:val="18"/>
              </w:rPr>
              <w:t>4,418,792</w:t>
              <w:tab/>
              <w:t>9.66</w:t>
              <w:tab/>
              <w:t>42,681,111</w:t>
            </w:r>
          </w:p>
        </w:tc>
      </w:tr>
      <w:tr>
        <w:trPr>
          <w:trHeight w:val="233"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09" w:lineRule="exact"/>
              <w:ind w:left="375" w:right="0"/>
              <w:jc w:val="center"/>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英镑</w:t>
            </w:r>
          </w:p>
        </w:tc>
        <w:tc>
          <w:tcPr>
            <w:tcW w:w="3547" w:type="dxa"/>
            <w:tcBorders>
              <w:top w:val="nil" w:sz="6" w:space="0" w:color="auto"/>
              <w:left w:val="nil" w:sz="6" w:space="0" w:color="auto"/>
              <w:bottom w:val="nil" w:sz="6" w:space="0" w:color="auto"/>
              <w:right w:val="nil" w:sz="6" w:space="0" w:color="auto"/>
            </w:tcBorders>
          </w:tcPr>
          <w:p>
            <w:pPr>
              <w:pStyle w:val="TableParagraph"/>
              <w:tabs>
                <w:tab w:pos="1497" w:val="left" w:leader="none"/>
                <w:tab w:pos="2557" w:val="left" w:leader="none"/>
              </w:tabs>
              <w:spacing w:line="240" w:lineRule="auto" w:before="15"/>
              <w:ind w:left="435" w:right="0"/>
              <w:jc w:val="left"/>
              <w:rPr>
                <w:rFonts w:ascii="Arial" w:hAnsi="Arial" w:cs="Arial" w:eastAsia="Arial" w:hint="default"/>
                <w:sz w:val="18"/>
                <w:szCs w:val="18"/>
              </w:rPr>
            </w:pPr>
            <w:r>
              <w:rPr>
                <w:rFonts w:ascii="Arial"/>
                <w:spacing w:val="-1"/>
                <w:sz w:val="18"/>
              </w:rPr>
              <w:t>404,273</w:t>
              <w:tab/>
              <w:t>10.98</w:t>
              <w:tab/>
              <w:t>4,438,111</w:t>
            </w:r>
          </w:p>
        </w:tc>
        <w:tc>
          <w:tcPr>
            <w:tcW w:w="3429" w:type="dxa"/>
            <w:tcBorders>
              <w:top w:val="nil" w:sz="6" w:space="0" w:color="auto"/>
              <w:left w:val="nil" w:sz="6" w:space="0" w:color="auto"/>
              <w:bottom w:val="nil" w:sz="6" w:space="0" w:color="auto"/>
              <w:right w:val="nil" w:sz="6" w:space="0" w:color="auto"/>
            </w:tcBorders>
          </w:tcPr>
          <w:p>
            <w:pPr>
              <w:pStyle w:val="TableParagraph"/>
              <w:tabs>
                <w:tab w:pos="1275" w:val="left" w:leader="none"/>
                <w:tab w:pos="2225" w:val="left" w:leader="none"/>
              </w:tabs>
              <w:spacing w:line="240" w:lineRule="auto" w:before="15"/>
              <w:ind w:right="53"/>
              <w:jc w:val="right"/>
              <w:rPr>
                <w:rFonts w:ascii="Arial" w:hAnsi="Arial" w:cs="Arial" w:eastAsia="Arial" w:hint="default"/>
                <w:sz w:val="18"/>
                <w:szCs w:val="18"/>
              </w:rPr>
            </w:pPr>
            <w:r>
              <w:rPr>
                <w:rFonts w:ascii="Arial"/>
                <w:spacing w:val="-1"/>
                <w:sz w:val="18"/>
              </w:rPr>
              <w:t>1,990,614</w:t>
              <w:tab/>
              <w:t>9.88</w:t>
              <w:tab/>
              <w:t>19,666,869</w:t>
            </w:r>
          </w:p>
        </w:tc>
      </w:tr>
      <w:tr>
        <w:trPr>
          <w:trHeight w:val="344"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08" w:lineRule="exact"/>
              <w:ind w:left="375" w:right="0"/>
              <w:jc w:val="center"/>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日元</w:t>
            </w:r>
          </w:p>
        </w:tc>
        <w:tc>
          <w:tcPr>
            <w:tcW w:w="3547" w:type="dxa"/>
            <w:tcBorders>
              <w:top w:val="nil" w:sz="6" w:space="0" w:color="auto"/>
              <w:left w:val="nil" w:sz="6" w:space="0" w:color="auto"/>
              <w:bottom w:val="nil" w:sz="6" w:space="0" w:color="auto"/>
              <w:right w:val="nil" w:sz="6" w:space="0" w:color="auto"/>
            </w:tcBorders>
          </w:tcPr>
          <w:p>
            <w:pPr>
              <w:pStyle w:val="TableParagraph"/>
              <w:tabs>
                <w:tab w:pos="1411" w:val="left" w:leader="none"/>
                <w:tab w:pos="2372" w:val="left" w:leader="none"/>
                <w:tab w:pos="3259" w:val="left" w:leader="none"/>
              </w:tabs>
              <w:spacing w:line="240" w:lineRule="auto" w:before="14"/>
              <w:ind w:right="101"/>
              <w:jc w:val="right"/>
              <w:rPr>
                <w:rFonts w:ascii="Arial" w:hAnsi="Arial" w:cs="Arial" w:eastAsia="Arial" w:hint="default"/>
                <w:sz w:val="18"/>
                <w:szCs w:val="18"/>
              </w:rPr>
            </w:pPr>
            <w:r>
              <w:rPr>
                <w:rFonts w:ascii="Arial"/>
                <w:spacing w:val="-1"/>
                <w:sz w:val="18"/>
              </w:rPr>
              <w:t>19,903,442</w:t>
              <w:tab/>
              <w:t>0.07</w:t>
            </w:r>
            <w:r>
              <w:rPr>
                <w:rFonts w:ascii="Arial"/>
                <w:spacing w:val="-1"/>
                <w:sz w:val="18"/>
                <w:u w:val="single" w:color="000000"/>
              </w:rPr>
              <w:t> </w:t>
              <w:tab/>
              <w:t>1,468,874</w:t>
              <w:tab/>
            </w:r>
            <w:r>
              <w:rPr>
                <w:rFonts w:ascii="Arial"/>
                <w:spacing w:val="-1"/>
                <w:sz w:val="18"/>
              </w:rPr>
            </w:r>
          </w:p>
        </w:tc>
        <w:tc>
          <w:tcPr>
            <w:tcW w:w="3429" w:type="dxa"/>
            <w:tcBorders>
              <w:top w:val="nil" w:sz="6" w:space="0" w:color="auto"/>
              <w:left w:val="nil" w:sz="6" w:space="0" w:color="auto"/>
              <w:bottom w:val="nil" w:sz="6" w:space="0" w:color="auto"/>
              <w:right w:val="nil" w:sz="6" w:space="0" w:color="auto"/>
            </w:tcBorders>
          </w:tcPr>
          <w:p>
            <w:pPr>
              <w:pStyle w:val="TableParagraph"/>
              <w:tabs>
                <w:tab w:pos="1376" w:val="left" w:leader="none"/>
                <w:tab w:pos="2427" w:val="left" w:leader="none"/>
                <w:tab w:pos="3275" w:val="left" w:leader="none"/>
              </w:tabs>
              <w:spacing w:line="240" w:lineRule="auto" w:before="14"/>
              <w:ind w:right="5"/>
              <w:jc w:val="right"/>
              <w:rPr>
                <w:rFonts w:ascii="Arial" w:hAnsi="Arial" w:cs="Arial" w:eastAsia="Arial" w:hint="default"/>
                <w:sz w:val="18"/>
                <w:szCs w:val="18"/>
              </w:rPr>
            </w:pPr>
            <w:r>
              <w:rPr>
                <w:rFonts w:ascii="Arial"/>
                <w:spacing w:val="-1"/>
                <w:sz w:val="18"/>
              </w:rPr>
              <w:t>49,621,203</w:t>
              <w:tab/>
              <w:t>0.08</w:t>
            </w:r>
            <w:r>
              <w:rPr>
                <w:rFonts w:ascii="Arial"/>
                <w:spacing w:val="-1"/>
                <w:sz w:val="18"/>
                <w:u w:val="single" w:color="000000"/>
              </w:rPr>
              <w:t> </w:t>
              <w:tab/>
              <w:t>3,753,844</w:t>
              <w:tab/>
            </w:r>
            <w:r>
              <w:rPr>
                <w:rFonts w:ascii="Arial"/>
                <w:spacing w:val="-1"/>
                <w:sz w:val="18"/>
              </w:rPr>
            </w:r>
          </w:p>
        </w:tc>
      </w:tr>
      <w:tr>
        <w:trPr>
          <w:trHeight w:val="455"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89"/>
              <w:jc w:val="right"/>
              <w:rPr>
                <w:rFonts w:ascii="宋体" w:hAnsi="宋体" w:cs="宋体" w:eastAsia="宋体" w:hint="default"/>
                <w:sz w:val="18"/>
                <w:szCs w:val="18"/>
              </w:rPr>
            </w:pPr>
            <w:r>
              <w:rPr>
                <w:rFonts w:ascii="Arial" w:hAnsi="Arial" w:cs="Arial" w:eastAsia="Arial" w:hint="default"/>
                <w:sz w:val="18"/>
                <w:szCs w:val="18"/>
              </w:rPr>
              <w:t>3</w:t>
            </w:r>
            <w:r>
              <w:rPr>
                <w:rFonts w:ascii="Arial" w:hAnsi="Arial" w:cs="Arial" w:eastAsia="Arial" w:hint="default"/>
                <w:spacing w:val="-7"/>
                <w:sz w:val="18"/>
                <w:szCs w:val="18"/>
              </w:rPr>
              <w:t> </w:t>
            </w:r>
            <w:r>
              <w:rPr>
                <w:rFonts w:ascii="宋体" w:hAnsi="宋体" w:cs="宋体" w:eastAsia="宋体" w:hint="default"/>
                <w:sz w:val="18"/>
                <w:szCs w:val="18"/>
              </w:rPr>
              <w:t>个月以下银行存款小计</w:t>
            </w:r>
          </w:p>
        </w:tc>
        <w:tc>
          <w:tcPr>
            <w:tcW w:w="3547" w:type="dxa"/>
            <w:tcBorders>
              <w:top w:val="nil" w:sz="6" w:space="0" w:color="auto"/>
              <w:left w:val="nil" w:sz="6" w:space="0" w:color="auto"/>
              <w:bottom w:val="nil" w:sz="6" w:space="0" w:color="auto"/>
              <w:right w:val="nil" w:sz="6" w:space="0" w:color="auto"/>
            </w:tcBorders>
          </w:tcPr>
          <w:p>
            <w:pPr>
              <w:pStyle w:val="TableParagraph"/>
              <w:tabs>
                <w:tab w:pos="1391" w:val="left" w:leader="none"/>
              </w:tabs>
              <w:spacing w:line="240" w:lineRule="auto" w:before="126"/>
              <w:ind w:right="101"/>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4"/>
                <w:sz w:val="18"/>
                <w:u w:val="single" w:color="000000"/>
              </w:rPr>
              <w:t> </w:t>
            </w:r>
            <w:r>
              <w:rPr>
                <w:rFonts w:ascii="Arial"/>
                <w:spacing w:val="-1"/>
                <w:sz w:val="18"/>
                <w:u w:val="single" w:color="000000"/>
              </w:rPr>
              <w:t>7,469,689,805</w:t>
              <w:tab/>
            </w:r>
            <w:r>
              <w:rPr>
                <w:rFonts w:ascii="Arial"/>
                <w:spacing w:val="-1"/>
                <w:sz w:val="18"/>
              </w:rPr>
            </w:r>
          </w:p>
        </w:tc>
        <w:tc>
          <w:tcPr>
            <w:tcW w:w="3429" w:type="dxa"/>
            <w:tcBorders>
              <w:top w:val="nil" w:sz="6" w:space="0" w:color="auto"/>
              <w:left w:val="nil" w:sz="6" w:space="0" w:color="auto"/>
              <w:bottom w:val="nil" w:sz="6" w:space="0" w:color="auto"/>
              <w:right w:val="nil" w:sz="6" w:space="0" w:color="auto"/>
            </w:tcBorders>
          </w:tcPr>
          <w:p>
            <w:pPr>
              <w:pStyle w:val="TableParagraph"/>
              <w:tabs>
                <w:tab w:pos="1401" w:val="left" w:leader="none"/>
              </w:tabs>
              <w:spacing w:line="240" w:lineRule="auto" w:before="126"/>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
                <w:sz w:val="18"/>
                <w:u w:val="single" w:color="000000"/>
              </w:rPr>
              <w:t> </w:t>
            </w:r>
            <w:r>
              <w:rPr>
                <w:rFonts w:ascii="Arial"/>
                <w:spacing w:val="-1"/>
                <w:sz w:val="18"/>
                <w:u w:val="single" w:color="000000"/>
              </w:rPr>
              <w:t>9,854,405,988</w:t>
              <w:tab/>
            </w:r>
            <w:r>
              <w:rPr>
                <w:rFonts w:ascii="Arial"/>
                <w:spacing w:val="-1"/>
                <w:sz w:val="18"/>
              </w:rPr>
            </w:r>
          </w:p>
        </w:tc>
      </w:tr>
      <w:tr>
        <w:trPr>
          <w:trHeight w:val="455"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49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547" w:type="dxa"/>
            <w:tcBorders>
              <w:top w:val="nil" w:sz="6" w:space="0" w:color="auto"/>
              <w:left w:val="nil" w:sz="6" w:space="0" w:color="auto"/>
              <w:bottom w:val="nil" w:sz="6" w:space="0" w:color="auto"/>
              <w:right w:val="nil" w:sz="6" w:space="0" w:color="auto"/>
            </w:tcBorders>
          </w:tcPr>
          <w:p>
            <w:pPr>
              <w:pStyle w:val="TableParagraph"/>
              <w:tabs>
                <w:tab w:pos="306" w:val="left" w:leader="none"/>
                <w:tab w:pos="1391" w:val="left" w:leader="none"/>
              </w:tabs>
              <w:spacing w:line="240" w:lineRule="auto" w:before="125"/>
              <w:ind w:right="101"/>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354,910,382</w:t>
              <w:tab/>
            </w:r>
            <w:r>
              <w:rPr>
                <w:rFonts w:ascii="Arial"/>
                <w:spacing w:val="-1"/>
                <w:sz w:val="18"/>
              </w:rPr>
            </w:r>
          </w:p>
        </w:tc>
        <w:tc>
          <w:tcPr>
            <w:tcW w:w="3429" w:type="dxa"/>
            <w:tcBorders>
              <w:top w:val="nil" w:sz="6" w:space="0" w:color="auto"/>
              <w:left w:val="nil" w:sz="6" w:space="0" w:color="auto"/>
              <w:bottom w:val="nil" w:sz="6" w:space="0" w:color="auto"/>
              <w:right w:val="nil" w:sz="6" w:space="0" w:color="auto"/>
            </w:tcBorders>
          </w:tcPr>
          <w:p>
            <w:pPr>
              <w:pStyle w:val="TableParagraph"/>
              <w:tabs>
                <w:tab w:pos="353" w:val="left" w:leader="none"/>
              </w:tabs>
              <w:spacing w:line="240" w:lineRule="auto" w:before="125"/>
              <w:ind w:right="52"/>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384,657,135</w:t>
            </w:r>
            <w:r>
              <w:rPr>
                <w:rFonts w:ascii="Arial"/>
                <w:spacing w:val="-1"/>
                <w:sz w:val="18"/>
              </w:rPr>
            </w:r>
          </w:p>
        </w:tc>
      </w:tr>
      <w:tr>
        <w:trPr>
          <w:trHeight w:val="455"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496" w:right="0"/>
              <w:jc w:val="left"/>
              <w:rPr>
                <w:rFonts w:ascii="宋体" w:hAnsi="宋体" w:cs="宋体" w:eastAsia="宋体" w:hint="default"/>
                <w:sz w:val="18"/>
                <w:szCs w:val="18"/>
              </w:rPr>
            </w:pPr>
            <w:r>
              <w:rPr>
                <w:rFonts w:ascii="宋体" w:hAnsi="宋体" w:cs="宋体" w:eastAsia="宋体" w:hint="default"/>
                <w:sz w:val="18"/>
                <w:szCs w:val="18"/>
              </w:rPr>
              <w:t>现金及现金等价物小计</w:t>
            </w:r>
          </w:p>
        </w:tc>
        <w:tc>
          <w:tcPr>
            <w:tcW w:w="3547" w:type="dxa"/>
            <w:tcBorders>
              <w:top w:val="nil" w:sz="6" w:space="0" w:color="auto"/>
              <w:left w:val="nil" w:sz="6" w:space="0" w:color="auto"/>
              <w:bottom w:val="nil" w:sz="6" w:space="0" w:color="auto"/>
              <w:right w:val="nil" w:sz="6" w:space="0" w:color="auto"/>
            </w:tcBorders>
          </w:tcPr>
          <w:p>
            <w:pPr>
              <w:pStyle w:val="TableParagraph"/>
              <w:tabs>
                <w:tab w:pos="1391" w:val="left" w:leader="none"/>
              </w:tabs>
              <w:spacing w:line="240" w:lineRule="auto" w:before="126"/>
              <w:ind w:right="101"/>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4"/>
                <w:sz w:val="18"/>
                <w:u w:val="single" w:color="000000"/>
              </w:rPr>
              <w:t> </w:t>
            </w:r>
            <w:r>
              <w:rPr>
                <w:rFonts w:ascii="Arial"/>
                <w:spacing w:val="-1"/>
                <w:sz w:val="18"/>
                <w:u w:val="single" w:color="000000"/>
              </w:rPr>
              <w:t>7,832,048,194</w:t>
              <w:tab/>
            </w:r>
            <w:r>
              <w:rPr>
                <w:rFonts w:ascii="Arial"/>
                <w:spacing w:val="-1"/>
                <w:sz w:val="18"/>
              </w:rPr>
            </w:r>
          </w:p>
        </w:tc>
        <w:tc>
          <w:tcPr>
            <w:tcW w:w="3429" w:type="dxa"/>
            <w:tcBorders>
              <w:top w:val="nil" w:sz="6" w:space="0" w:color="auto"/>
              <w:left w:val="nil" w:sz="6" w:space="0" w:color="auto"/>
              <w:bottom w:val="nil" w:sz="6" w:space="0" w:color="auto"/>
              <w:right w:val="nil" w:sz="6" w:space="0" w:color="auto"/>
            </w:tcBorders>
          </w:tcPr>
          <w:p>
            <w:pPr>
              <w:pStyle w:val="TableParagraph"/>
              <w:tabs>
                <w:tab w:pos="1401" w:val="left" w:leader="none"/>
              </w:tabs>
              <w:spacing w:line="240" w:lineRule="auto" w:before="126"/>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3"/>
                <w:sz w:val="18"/>
                <w:u w:val="single" w:color="000000"/>
              </w:rPr>
              <w:t> </w:t>
            </w:r>
            <w:r>
              <w:rPr>
                <w:rFonts w:ascii="Arial"/>
                <w:spacing w:val="-1"/>
                <w:sz w:val="18"/>
                <w:u w:val="single" w:color="000000"/>
              </w:rPr>
              <w:t>10,247,253,348</w:t>
              <w:tab/>
            </w:r>
            <w:r>
              <w:rPr>
                <w:rFonts w:ascii="Arial"/>
                <w:spacing w:val="-1"/>
                <w:sz w:val="18"/>
              </w:rPr>
            </w:r>
          </w:p>
        </w:tc>
      </w:tr>
      <w:tr>
        <w:trPr>
          <w:trHeight w:val="338"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496" w:right="0"/>
              <w:jc w:val="left"/>
              <w:rPr>
                <w:rFonts w:ascii="宋体" w:hAnsi="宋体" w:cs="宋体" w:eastAsia="宋体" w:hint="default"/>
                <w:sz w:val="18"/>
                <w:szCs w:val="18"/>
              </w:rPr>
            </w:pPr>
            <w:r>
              <w:rPr>
                <w:rFonts w:ascii="Arial" w:hAnsi="Arial" w:cs="Arial" w:eastAsia="Arial" w:hint="default"/>
                <w:sz w:val="18"/>
                <w:szCs w:val="18"/>
              </w:rPr>
              <w:t>3</w:t>
            </w:r>
            <w:r>
              <w:rPr>
                <w:rFonts w:ascii="Arial" w:hAnsi="Arial" w:cs="Arial" w:eastAsia="Arial" w:hint="default"/>
                <w:spacing w:val="-7"/>
                <w:sz w:val="18"/>
                <w:szCs w:val="18"/>
              </w:rPr>
              <w:t> </w:t>
            </w:r>
            <w:r>
              <w:rPr>
                <w:rFonts w:ascii="宋体" w:hAnsi="宋体" w:cs="宋体" w:eastAsia="宋体" w:hint="default"/>
                <w:sz w:val="18"/>
                <w:szCs w:val="18"/>
              </w:rPr>
              <w:t>个月以上银行存款</w:t>
            </w:r>
          </w:p>
        </w:tc>
        <w:tc>
          <w:tcPr>
            <w:tcW w:w="3547" w:type="dxa"/>
            <w:tcBorders>
              <w:top w:val="nil" w:sz="6" w:space="0" w:color="auto"/>
              <w:left w:val="nil" w:sz="6" w:space="0" w:color="auto"/>
              <w:bottom w:val="nil" w:sz="6" w:space="0" w:color="auto"/>
              <w:right w:val="nil" w:sz="6" w:space="0" w:color="auto"/>
            </w:tcBorders>
          </w:tcPr>
          <w:p>
            <w:pPr/>
          </w:p>
        </w:tc>
        <w:tc>
          <w:tcPr>
            <w:tcW w:w="3429" w:type="dxa"/>
            <w:tcBorders>
              <w:top w:val="nil" w:sz="6" w:space="0" w:color="auto"/>
              <w:left w:val="nil" w:sz="6" w:space="0" w:color="auto"/>
              <w:bottom w:val="nil" w:sz="6" w:space="0" w:color="auto"/>
              <w:right w:val="nil" w:sz="6" w:space="0" w:color="auto"/>
            </w:tcBorders>
          </w:tcPr>
          <w:p>
            <w:pPr/>
          </w:p>
        </w:tc>
      </w:tr>
      <w:tr>
        <w:trPr>
          <w:trHeight w:val="240"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15" w:lineRule="exact"/>
              <w:ind w:left="1247" w:right="0"/>
              <w:jc w:val="left"/>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人民币</w:t>
            </w:r>
          </w:p>
        </w:tc>
        <w:tc>
          <w:tcPr>
            <w:tcW w:w="3547"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87"/>
              <w:jc w:val="right"/>
              <w:rPr>
                <w:rFonts w:ascii="Arial" w:hAnsi="Arial" w:cs="Arial" w:eastAsia="Arial" w:hint="default"/>
                <w:sz w:val="18"/>
                <w:szCs w:val="18"/>
              </w:rPr>
            </w:pPr>
            <w:r>
              <w:rPr>
                <w:rFonts w:ascii="Arial"/>
                <w:spacing w:val="-1"/>
                <w:sz w:val="18"/>
              </w:rPr>
              <w:t>558,284,927</w:t>
            </w:r>
          </w:p>
        </w:tc>
        <w:tc>
          <w:tcPr>
            <w:tcW w:w="342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53"/>
              <w:jc w:val="right"/>
              <w:rPr>
                <w:rFonts w:ascii="Arial" w:hAnsi="Arial" w:cs="Arial" w:eastAsia="Arial" w:hint="default"/>
                <w:sz w:val="18"/>
                <w:szCs w:val="18"/>
              </w:rPr>
            </w:pPr>
            <w:r>
              <w:rPr>
                <w:rFonts w:ascii="Arial"/>
                <w:spacing w:val="-1"/>
                <w:sz w:val="18"/>
              </w:rPr>
              <w:t>169,315,611</w:t>
            </w:r>
          </w:p>
        </w:tc>
      </w:tr>
      <w:tr>
        <w:trPr>
          <w:trHeight w:val="233"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08" w:lineRule="exact"/>
              <w:ind w:left="380" w:right="0"/>
              <w:jc w:val="center"/>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美元</w:t>
            </w:r>
          </w:p>
        </w:tc>
        <w:tc>
          <w:tcPr>
            <w:tcW w:w="3547" w:type="dxa"/>
            <w:tcBorders>
              <w:top w:val="nil" w:sz="6" w:space="0" w:color="auto"/>
              <w:left w:val="nil" w:sz="6" w:space="0" w:color="auto"/>
              <w:bottom w:val="nil" w:sz="6" w:space="0" w:color="auto"/>
              <w:right w:val="nil" w:sz="6" w:space="0" w:color="auto"/>
            </w:tcBorders>
          </w:tcPr>
          <w:p>
            <w:pPr>
              <w:pStyle w:val="TableParagraph"/>
              <w:tabs>
                <w:tab w:pos="1596" w:val="left" w:leader="none"/>
                <w:tab w:pos="2356" w:val="left" w:leader="none"/>
              </w:tabs>
              <w:spacing w:line="240" w:lineRule="auto" w:before="14"/>
              <w:ind w:left="184" w:right="0"/>
              <w:jc w:val="left"/>
              <w:rPr>
                <w:rFonts w:ascii="Arial" w:hAnsi="Arial" w:cs="Arial" w:eastAsia="Arial" w:hint="default"/>
                <w:sz w:val="18"/>
                <w:szCs w:val="18"/>
              </w:rPr>
            </w:pPr>
            <w:r>
              <w:rPr>
                <w:rFonts w:ascii="Arial"/>
                <w:spacing w:val="-1"/>
                <w:sz w:val="18"/>
              </w:rPr>
              <w:t>49,262,684</w:t>
              <w:tab/>
              <w:t>6.83</w:t>
              <w:tab/>
              <w:t>336,375,459</w:t>
            </w:r>
          </w:p>
        </w:tc>
        <w:tc>
          <w:tcPr>
            <w:tcW w:w="3429" w:type="dxa"/>
            <w:tcBorders>
              <w:top w:val="nil" w:sz="6" w:space="0" w:color="auto"/>
              <w:left w:val="nil" w:sz="6" w:space="0" w:color="auto"/>
              <w:bottom w:val="nil" w:sz="6" w:space="0" w:color="auto"/>
              <w:right w:val="nil" w:sz="6" w:space="0" w:color="auto"/>
            </w:tcBorders>
          </w:tcPr>
          <w:p>
            <w:pPr>
              <w:pStyle w:val="TableParagraph"/>
              <w:tabs>
                <w:tab w:pos="1377" w:val="left" w:leader="none"/>
                <w:tab w:pos="2227" w:val="left" w:leader="none"/>
              </w:tabs>
              <w:spacing w:line="240" w:lineRule="auto" w:before="14"/>
              <w:ind w:right="53"/>
              <w:jc w:val="right"/>
              <w:rPr>
                <w:rFonts w:ascii="Arial" w:hAnsi="Arial" w:cs="Arial" w:eastAsia="Arial" w:hint="default"/>
                <w:sz w:val="18"/>
                <w:szCs w:val="18"/>
              </w:rPr>
            </w:pPr>
            <w:r>
              <w:rPr>
                <w:rFonts w:ascii="Arial"/>
                <w:spacing w:val="-1"/>
                <w:sz w:val="18"/>
              </w:rPr>
              <w:t>19,905,798</w:t>
              <w:tab/>
              <w:t>6.83</w:t>
              <w:tab/>
              <w:t>136,048,170</w:t>
            </w:r>
          </w:p>
        </w:tc>
      </w:tr>
      <w:tr>
        <w:trPr>
          <w:trHeight w:val="344"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09" w:lineRule="exact"/>
              <w:ind w:left="380" w:right="0"/>
              <w:jc w:val="center"/>
              <w:rPr>
                <w:rFonts w:ascii="宋体" w:hAnsi="宋体" w:cs="宋体" w:eastAsia="宋体" w:hint="default"/>
                <w:sz w:val="18"/>
                <w:szCs w:val="18"/>
              </w:rPr>
            </w:pPr>
            <w:r>
              <w:rPr>
                <w:rFonts w:ascii="Arial" w:hAnsi="Arial" w:cs="Arial" w:eastAsia="Arial" w:hint="default"/>
                <w:sz w:val="18"/>
                <w:szCs w:val="18"/>
              </w:rPr>
              <w:t>-</w:t>
            </w:r>
            <w:r>
              <w:rPr>
                <w:rFonts w:ascii="宋体" w:hAnsi="宋体" w:cs="宋体" w:eastAsia="宋体" w:hint="default"/>
                <w:sz w:val="18"/>
                <w:szCs w:val="18"/>
              </w:rPr>
              <w:t>港币</w:t>
            </w:r>
          </w:p>
        </w:tc>
        <w:tc>
          <w:tcPr>
            <w:tcW w:w="3547" w:type="dxa"/>
            <w:tcBorders>
              <w:top w:val="nil" w:sz="6" w:space="0" w:color="auto"/>
              <w:left w:val="nil" w:sz="6" w:space="0" w:color="auto"/>
              <w:bottom w:val="nil" w:sz="6" w:space="0" w:color="auto"/>
              <w:right w:val="nil" w:sz="6" w:space="0" w:color="auto"/>
            </w:tcBorders>
          </w:tcPr>
          <w:p>
            <w:pPr>
              <w:pStyle w:val="TableParagraph"/>
              <w:tabs>
                <w:tab w:pos="1411" w:val="left" w:leader="none"/>
                <w:tab w:pos="2271" w:val="left" w:leader="none"/>
                <w:tab w:pos="3259" w:val="left" w:leader="none"/>
              </w:tabs>
              <w:spacing w:line="240" w:lineRule="auto" w:before="15"/>
              <w:ind w:right="101"/>
              <w:jc w:val="right"/>
              <w:rPr>
                <w:rFonts w:ascii="Arial" w:hAnsi="Arial" w:cs="Arial" w:eastAsia="Arial" w:hint="default"/>
                <w:sz w:val="18"/>
                <w:szCs w:val="18"/>
              </w:rPr>
            </w:pPr>
            <w:r>
              <w:rPr>
                <w:rFonts w:ascii="Arial"/>
                <w:spacing w:val="-1"/>
                <w:sz w:val="18"/>
              </w:rPr>
              <w:t>85,828,302</w:t>
              <w:tab/>
              <w:t>0.88</w:t>
            </w:r>
            <w:r>
              <w:rPr>
                <w:rFonts w:ascii="Arial"/>
                <w:spacing w:val="-1"/>
                <w:sz w:val="18"/>
                <w:u w:val="single" w:color="000000"/>
              </w:rPr>
              <w:t> </w:t>
              <w:tab/>
              <w:t>75,571,820</w:t>
              <w:tab/>
            </w:r>
            <w:r>
              <w:rPr>
                <w:rFonts w:ascii="Arial"/>
                <w:spacing w:val="-1"/>
                <w:sz w:val="18"/>
              </w:rPr>
            </w:r>
          </w:p>
        </w:tc>
        <w:tc>
          <w:tcPr>
            <w:tcW w:w="3429" w:type="dxa"/>
            <w:tcBorders>
              <w:top w:val="nil" w:sz="6" w:space="0" w:color="auto"/>
              <w:left w:val="nil" w:sz="6" w:space="0" w:color="auto"/>
              <w:bottom w:val="nil" w:sz="6" w:space="0" w:color="auto"/>
              <w:right w:val="nil" w:sz="6" w:space="0" w:color="auto"/>
            </w:tcBorders>
          </w:tcPr>
          <w:p>
            <w:pPr>
              <w:pStyle w:val="TableParagraph"/>
              <w:tabs>
                <w:tab w:pos="1275" w:val="left" w:leader="none"/>
                <w:tab w:pos="2326" w:val="left" w:leader="none"/>
                <w:tab w:pos="3174" w:val="left" w:leader="none"/>
              </w:tabs>
              <w:spacing w:line="240" w:lineRule="auto" w:before="15"/>
              <w:ind w:right="5"/>
              <w:jc w:val="right"/>
              <w:rPr>
                <w:rFonts w:ascii="Arial" w:hAnsi="Arial" w:cs="Arial" w:eastAsia="Arial" w:hint="default"/>
                <w:sz w:val="18"/>
                <w:szCs w:val="18"/>
              </w:rPr>
            </w:pPr>
            <w:r>
              <w:rPr>
                <w:rFonts w:ascii="Arial"/>
                <w:spacing w:val="-1"/>
                <w:sz w:val="18"/>
              </w:rPr>
              <w:t>1,159,021</w:t>
              <w:tab/>
              <w:t>0.88</w:t>
            </w:r>
            <w:r>
              <w:rPr>
                <w:rFonts w:ascii="Arial"/>
                <w:spacing w:val="-1"/>
                <w:sz w:val="18"/>
                <w:u w:val="single" w:color="000000"/>
              </w:rPr>
              <w:t> </w:t>
              <w:tab/>
              <w:t>1,018,896</w:t>
              <w:tab/>
            </w:r>
            <w:r>
              <w:rPr>
                <w:rFonts w:ascii="Arial"/>
                <w:spacing w:val="-1"/>
                <w:sz w:val="18"/>
              </w:rPr>
            </w:r>
          </w:p>
        </w:tc>
      </w:tr>
      <w:tr>
        <w:trPr>
          <w:trHeight w:val="455"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81"/>
              <w:jc w:val="right"/>
              <w:rPr>
                <w:rFonts w:ascii="宋体" w:hAnsi="宋体" w:cs="宋体" w:eastAsia="宋体" w:hint="default"/>
                <w:sz w:val="18"/>
                <w:szCs w:val="18"/>
              </w:rPr>
            </w:pPr>
            <w:r>
              <w:rPr>
                <w:rFonts w:ascii="Arial" w:hAnsi="Arial" w:cs="Arial" w:eastAsia="Arial" w:hint="default"/>
                <w:sz w:val="18"/>
                <w:szCs w:val="18"/>
              </w:rPr>
              <w:t>3</w:t>
            </w:r>
            <w:r>
              <w:rPr>
                <w:rFonts w:ascii="Arial" w:hAnsi="Arial" w:cs="Arial" w:eastAsia="Arial" w:hint="default"/>
                <w:spacing w:val="-7"/>
                <w:sz w:val="18"/>
                <w:szCs w:val="18"/>
              </w:rPr>
              <w:t> </w:t>
            </w:r>
            <w:r>
              <w:rPr>
                <w:rFonts w:ascii="宋体" w:hAnsi="宋体" w:cs="宋体" w:eastAsia="宋体" w:hint="default"/>
                <w:sz w:val="18"/>
                <w:szCs w:val="18"/>
              </w:rPr>
              <w:t>个月以上银行存款小计</w:t>
            </w:r>
          </w:p>
        </w:tc>
        <w:tc>
          <w:tcPr>
            <w:tcW w:w="3547" w:type="dxa"/>
            <w:tcBorders>
              <w:top w:val="nil" w:sz="6" w:space="0" w:color="auto"/>
              <w:left w:val="nil" w:sz="6" w:space="0" w:color="auto"/>
              <w:bottom w:val="nil" w:sz="6" w:space="0" w:color="auto"/>
              <w:right w:val="nil" w:sz="6" w:space="0" w:color="auto"/>
            </w:tcBorders>
          </w:tcPr>
          <w:p>
            <w:pPr>
              <w:pStyle w:val="TableParagraph"/>
              <w:tabs>
                <w:tab w:pos="313" w:val="left" w:leader="none"/>
                <w:tab w:pos="1391" w:val="left" w:leader="none"/>
              </w:tabs>
              <w:spacing w:line="240" w:lineRule="auto" w:before="125"/>
              <w:ind w:right="101"/>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970,232,206</w:t>
              <w:tab/>
            </w:r>
            <w:r>
              <w:rPr>
                <w:rFonts w:ascii="Arial"/>
                <w:spacing w:val="-1"/>
                <w:sz w:val="18"/>
              </w:rPr>
            </w:r>
          </w:p>
        </w:tc>
        <w:tc>
          <w:tcPr>
            <w:tcW w:w="3429" w:type="dxa"/>
            <w:tcBorders>
              <w:top w:val="nil" w:sz="6" w:space="0" w:color="auto"/>
              <w:left w:val="nil" w:sz="6" w:space="0" w:color="auto"/>
              <w:bottom w:val="nil" w:sz="6" w:space="0" w:color="auto"/>
              <w:right w:val="nil" w:sz="6" w:space="0" w:color="auto"/>
            </w:tcBorders>
          </w:tcPr>
          <w:p>
            <w:pPr>
              <w:pStyle w:val="TableParagraph"/>
              <w:tabs>
                <w:tab w:pos="361" w:val="left" w:leader="none"/>
              </w:tabs>
              <w:spacing w:line="240" w:lineRule="auto" w:before="125"/>
              <w:ind w:right="4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306,382,677</w:t>
            </w:r>
            <w:r>
              <w:rPr>
                <w:rFonts w:ascii="Arial"/>
                <w:spacing w:val="-1"/>
                <w:sz w:val="18"/>
              </w:rPr>
            </w:r>
          </w:p>
        </w:tc>
      </w:tr>
      <w:tr>
        <w:trPr>
          <w:trHeight w:val="482"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40" w:lineRule="auto" w:before="71"/>
              <w:ind w:left="496" w:right="0"/>
              <w:jc w:val="left"/>
              <w:rPr>
                <w:rFonts w:ascii="宋体" w:hAnsi="宋体" w:cs="宋体" w:eastAsia="宋体" w:hint="default"/>
                <w:sz w:val="18"/>
                <w:szCs w:val="18"/>
              </w:rPr>
            </w:pPr>
            <w:r>
              <w:rPr>
                <w:rFonts w:ascii="宋体" w:hAnsi="宋体" w:cs="宋体" w:eastAsia="宋体" w:hint="default"/>
                <w:sz w:val="18"/>
                <w:szCs w:val="18"/>
              </w:rPr>
              <w:t>受到限制的银行存款</w:t>
            </w:r>
          </w:p>
        </w:tc>
        <w:tc>
          <w:tcPr>
            <w:tcW w:w="3547" w:type="dxa"/>
            <w:tcBorders>
              <w:top w:val="nil" w:sz="6" w:space="0" w:color="auto"/>
              <w:left w:val="nil" w:sz="6" w:space="0" w:color="auto"/>
              <w:bottom w:val="nil" w:sz="6" w:space="0" w:color="auto"/>
              <w:right w:val="nil" w:sz="6" w:space="0" w:color="auto"/>
            </w:tcBorders>
          </w:tcPr>
          <w:p>
            <w:pPr>
              <w:pStyle w:val="TableParagraph"/>
              <w:tabs>
                <w:tab w:pos="405" w:val="left" w:leader="none"/>
                <w:tab w:pos="1448" w:val="left" w:leader="none"/>
              </w:tabs>
              <w:spacing w:line="240" w:lineRule="auto" w:before="126"/>
              <w:ind w:right="46"/>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25,821,316</w:t>
              <w:tab/>
            </w:r>
            <w:r>
              <w:rPr>
                <w:rFonts w:ascii="Arial"/>
                <w:spacing w:val="-1"/>
                <w:sz w:val="18"/>
              </w:rPr>
            </w:r>
          </w:p>
        </w:tc>
        <w:tc>
          <w:tcPr>
            <w:tcW w:w="3429" w:type="dxa"/>
            <w:tcBorders>
              <w:top w:val="nil" w:sz="6" w:space="0" w:color="auto"/>
              <w:left w:val="nil" w:sz="6" w:space="0" w:color="auto"/>
              <w:bottom w:val="nil" w:sz="6" w:space="0" w:color="auto"/>
              <w:right w:val="nil" w:sz="6" w:space="0" w:color="auto"/>
            </w:tcBorders>
          </w:tcPr>
          <w:p>
            <w:pPr>
              <w:pStyle w:val="TableParagraph"/>
              <w:tabs>
                <w:tab w:pos="452" w:val="left" w:leader="none"/>
                <w:tab w:pos="1401" w:val="left" w:leader="none"/>
              </w:tabs>
              <w:spacing w:line="240" w:lineRule="auto" w:before="126"/>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30,279,579</w:t>
              <w:tab/>
            </w:r>
            <w:r>
              <w:rPr>
                <w:rFonts w:ascii="Arial"/>
                <w:spacing w:val="-1"/>
                <w:sz w:val="18"/>
              </w:rPr>
            </w:r>
          </w:p>
        </w:tc>
      </w:tr>
      <w:tr>
        <w:trPr>
          <w:trHeight w:val="386" w:hRule="exact"/>
        </w:trPr>
        <w:tc>
          <w:tcPr>
            <w:tcW w:w="2533" w:type="dxa"/>
            <w:tcBorders>
              <w:top w:val="nil" w:sz="6" w:space="0" w:color="auto"/>
              <w:left w:val="nil" w:sz="6" w:space="0" w:color="auto"/>
              <w:bottom w:val="nil" w:sz="6" w:space="0" w:color="auto"/>
              <w:right w:val="nil" w:sz="6" w:space="0" w:color="auto"/>
            </w:tcBorders>
          </w:tcPr>
          <w:p>
            <w:pPr>
              <w:pStyle w:val="TableParagraph"/>
              <w:spacing w:line="240" w:lineRule="auto" w:before="98"/>
              <w:ind w:left="496" w:right="0"/>
              <w:jc w:val="left"/>
              <w:rPr>
                <w:rFonts w:ascii="宋体" w:hAnsi="宋体" w:cs="宋体" w:eastAsia="宋体" w:hint="default"/>
                <w:sz w:val="18"/>
                <w:szCs w:val="18"/>
              </w:rPr>
            </w:pPr>
            <w:r>
              <w:rPr>
                <w:rFonts w:ascii="宋体" w:hAnsi="宋体" w:cs="宋体" w:eastAsia="宋体" w:hint="default"/>
                <w:sz w:val="18"/>
                <w:szCs w:val="18"/>
              </w:rPr>
              <w:t>货币资金合计</w:t>
            </w:r>
          </w:p>
        </w:tc>
        <w:tc>
          <w:tcPr>
            <w:tcW w:w="3547"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188"/>
              <w:jc w:val="right"/>
              <w:rPr>
                <w:rFonts w:ascii="Arial" w:hAnsi="Arial" w:cs="Arial" w:eastAsia="Arial" w:hint="default"/>
                <w:sz w:val="18"/>
                <w:szCs w:val="18"/>
              </w:rPr>
            </w:pPr>
            <w:r>
              <w:rPr>
                <w:rFonts w:ascii="Arial"/>
                <w:spacing w:val="-1"/>
                <w:sz w:val="18"/>
              </w:rPr>
              <w:t>8,828,101,716</w:t>
            </w:r>
          </w:p>
        </w:tc>
        <w:tc>
          <w:tcPr>
            <w:tcW w:w="3429" w:type="dxa"/>
            <w:tcBorders>
              <w:top w:val="nil" w:sz="6" w:space="0" w:color="auto"/>
              <w:left w:val="nil" w:sz="6" w:space="0" w:color="auto"/>
              <w:bottom w:val="single" w:sz="17" w:space="0" w:color="000000"/>
              <w:right w:val="nil" w:sz="6" w:space="0" w:color="auto"/>
            </w:tcBorders>
          </w:tcPr>
          <w:p>
            <w:pPr>
              <w:pStyle w:val="TableParagraph"/>
              <w:spacing w:line="240" w:lineRule="auto" w:before="153"/>
              <w:ind w:right="53"/>
              <w:jc w:val="right"/>
              <w:rPr>
                <w:rFonts w:ascii="Arial" w:hAnsi="Arial" w:cs="Arial" w:eastAsia="Arial" w:hint="default"/>
                <w:sz w:val="18"/>
                <w:szCs w:val="18"/>
              </w:rPr>
            </w:pPr>
            <w:r>
              <w:rPr>
                <w:rFonts w:ascii="Arial"/>
                <w:spacing w:val="-1"/>
                <w:sz w:val="18"/>
              </w:rPr>
              <w:t>10,583,915,604</w:t>
            </w:r>
          </w:p>
        </w:tc>
      </w:tr>
    </w:tbl>
    <w:p>
      <w:pPr>
        <w:spacing w:line="240" w:lineRule="auto" w:before="7"/>
        <w:rPr>
          <w:rFonts w:ascii="宋体" w:hAnsi="宋体" w:cs="宋体" w:eastAsia="宋体" w:hint="default"/>
          <w:b/>
          <w:bCs/>
          <w:sz w:val="12"/>
          <w:szCs w:val="12"/>
        </w:rPr>
      </w:pPr>
    </w:p>
    <w:p>
      <w:pPr>
        <w:pStyle w:val="BodyText"/>
        <w:spacing w:line="294" w:lineRule="exact" w:before="31"/>
        <w:ind w:left="593" w:right="0"/>
        <w:jc w:val="left"/>
      </w:pPr>
      <w:r>
        <w:rPr/>
        <w:t>于</w:t>
      </w:r>
      <w:r>
        <w:rPr>
          <w:spacing w:val="-56"/>
        </w:rPr>
        <w:t> </w:t>
      </w:r>
      <w:r>
        <w:rPr>
          <w:rFonts w:ascii="Arial" w:hAnsi="Arial" w:cs="Arial" w:eastAsia="Arial" w:hint="default"/>
        </w:rPr>
        <w:t>2009</w:t>
      </w:r>
      <w:r>
        <w:rPr>
          <w:rFonts w:ascii="Arial" w:hAnsi="Arial" w:cs="Arial" w:eastAsia="Arial" w:hint="default"/>
          <w:spacing w:val="-6"/>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6"/>
        </w:rPr>
        <w:t> </w:t>
      </w:r>
      <w:r>
        <w:rPr/>
        <w:t>日，本集团受限制的银行存款人民币</w:t>
      </w:r>
      <w:r>
        <w:rPr>
          <w:spacing w:val="-56"/>
        </w:rPr>
        <w:t> </w:t>
      </w:r>
      <w:r>
        <w:rPr>
          <w:rFonts w:ascii="Arial" w:hAnsi="Arial" w:cs="Arial" w:eastAsia="Arial" w:hint="default"/>
        </w:rPr>
        <w:t>2,582</w:t>
      </w:r>
      <w:r>
        <w:rPr>
          <w:rFonts w:ascii="Arial" w:hAnsi="Arial" w:cs="Arial" w:eastAsia="Arial" w:hint="default"/>
          <w:spacing w:val="-7"/>
        </w:rPr>
        <w:t> </w:t>
      </w:r>
      <w:r>
        <w:rPr/>
        <w:t>万元是用作物业保证金及工程</w:t>
      </w:r>
    </w:p>
    <w:p>
      <w:pPr>
        <w:pStyle w:val="BodyText"/>
        <w:spacing w:line="294" w:lineRule="exact"/>
        <w:ind w:left="593" w:right="125"/>
        <w:jc w:val="left"/>
      </w:pPr>
      <w:r>
        <w:rPr/>
        <w:t>保证金而受限使用的银行存款（</w:t>
      </w:r>
      <w:r>
        <w:rPr>
          <w:rFonts w:ascii="Arial" w:hAnsi="Arial" w:cs="Arial" w:eastAsia="Arial" w:hint="default"/>
        </w:rPr>
        <w:t>2008</w:t>
      </w:r>
      <w:r>
        <w:rPr>
          <w:rFonts w:ascii="Arial" w:hAnsi="Arial" w:cs="Arial" w:eastAsia="Arial" w:hint="default"/>
          <w:spacing w:val="-8"/>
        </w:rPr>
        <w:t> </w:t>
      </w:r>
      <w:r>
        <w:rPr/>
        <w:t>年</w:t>
      </w:r>
      <w:r>
        <w:rPr>
          <w:spacing w:val="-57"/>
        </w:rPr>
        <w:t> </w:t>
      </w: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t>日：约人民币</w:t>
      </w:r>
      <w:r>
        <w:rPr>
          <w:spacing w:val="-57"/>
        </w:rPr>
        <w:t> </w:t>
      </w:r>
      <w:r>
        <w:rPr>
          <w:rFonts w:ascii="Arial" w:hAnsi="Arial" w:cs="Arial" w:eastAsia="Arial" w:hint="default"/>
        </w:rPr>
        <w:t>3,028</w:t>
      </w:r>
      <w:r>
        <w:rPr>
          <w:rFonts w:ascii="Arial" w:hAnsi="Arial" w:cs="Arial" w:eastAsia="Arial" w:hint="default"/>
          <w:spacing w:val="-8"/>
        </w:rPr>
        <w:t> </w:t>
      </w:r>
      <w:r>
        <w:rPr/>
        <w:t>万元）。</w:t>
      </w:r>
    </w:p>
    <w:p>
      <w:pPr>
        <w:spacing w:line="240" w:lineRule="auto" w:before="13"/>
        <w:rPr>
          <w:rFonts w:ascii="宋体" w:hAnsi="宋体" w:cs="宋体" w:eastAsia="宋体" w:hint="default"/>
          <w:sz w:val="17"/>
          <w:szCs w:val="17"/>
        </w:rPr>
      </w:pPr>
    </w:p>
    <w:p>
      <w:pPr>
        <w:pStyle w:val="BodyText"/>
        <w:spacing w:line="240" w:lineRule="auto"/>
        <w:ind w:left="202" w:right="125"/>
        <w:jc w:val="left"/>
        <w:rPr>
          <w:rFonts w:ascii="黑体" w:hAnsi="黑体" w:cs="黑体" w:eastAsia="黑体" w:hint="default"/>
        </w:rPr>
      </w:pPr>
      <w:r>
        <w:rPr>
          <w:rFonts w:ascii="Arial" w:hAnsi="Arial" w:cs="Arial" w:eastAsia="Arial" w:hint="default"/>
        </w:rPr>
        <w:t>2</w:t>
      </w:r>
      <w:r>
        <w:rPr>
          <w:rFonts w:ascii="黑体" w:hAnsi="黑体" w:cs="黑体" w:eastAsia="黑体" w:hint="default"/>
        </w:rPr>
        <w:t>、</w:t>
      </w:r>
      <w:r>
        <w:rPr>
          <w:rFonts w:ascii="黑体" w:hAnsi="黑体" w:cs="黑体" w:eastAsia="黑体" w:hint="default"/>
          <w:spacing w:val="-50"/>
        </w:rPr>
        <w:t> </w:t>
      </w:r>
      <w:r>
        <w:rPr>
          <w:rFonts w:ascii="黑体" w:hAnsi="黑体" w:cs="黑体" w:eastAsia="黑体" w:hint="default"/>
        </w:rPr>
        <w:t>应收票据</w:t>
      </w:r>
    </w:p>
    <w:p>
      <w:pPr>
        <w:spacing w:line="240" w:lineRule="auto" w:before="13"/>
        <w:rPr>
          <w:rFonts w:ascii="黑体" w:hAnsi="黑体" w:cs="黑体" w:eastAsia="黑体" w:hint="default"/>
          <w:sz w:val="17"/>
          <w:szCs w:val="17"/>
        </w:rPr>
      </w:pPr>
    </w:p>
    <w:p>
      <w:pPr>
        <w:pStyle w:val="BodyText"/>
        <w:tabs>
          <w:tab w:pos="2410" w:val="left" w:leader="none"/>
        </w:tabs>
        <w:spacing w:line="302" w:lineRule="exact"/>
        <w:ind w:left="0" w:right="166"/>
        <w:jc w:val="right"/>
      </w:pP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tab/>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p>
      <w:pPr>
        <w:pStyle w:val="BodyText"/>
        <w:spacing w:line="283" w:lineRule="exact"/>
        <w:ind w:left="0" w:right="163"/>
        <w:jc w:val="right"/>
      </w:pPr>
      <w:r>
        <w:rPr/>
        <w:pict>
          <v:group style="position:absolute;margin-left:300.540009pt;margin-top:1.317864pt;width:118.6pt;height:.1pt;mso-position-horizontal-relative:page;mso-position-vertical-relative:paragraph;z-index:1672" coordorigin="6011,26" coordsize="2372,2">
            <v:shape style="position:absolute;left:6011;top:26;width:2372;height:2" coordorigin="6011,26" coordsize="2372,0" path="m6011,26l8382,26e" filled="false" stroked="true" strokeweight=".72pt" strokecolor="#000000">
              <v:path arrowok="t"/>
            </v:shape>
            <w10:wrap type="none"/>
          </v:group>
        </w:pict>
      </w:r>
      <w:r>
        <w:rPr/>
        <w:pict>
          <v:group style="position:absolute;margin-left:424.200012pt;margin-top:1.317864pt;width:117.2pt;height:.1pt;mso-position-horizontal-relative:page;mso-position-vertical-relative:paragraph;z-index:-917800" coordorigin="8484,26" coordsize="2344,2">
            <v:shape style="position:absolute;left:8484;top:26;width:2344;height:2" coordorigin="8484,26" coordsize="2344,0" path="m8484,26l10828,26e" filled="false" stroked="true" strokeweight=".72pt" strokecolor="#000000">
              <v:path arrowok="t"/>
            </v:shape>
            <w10:wrap type="none"/>
          </v:group>
        </w:pict>
      </w:r>
      <w:r>
        <w:rPr>
          <w:w w:val="95"/>
        </w:rPr>
        <w:t>（经重列）</w:t>
      </w:r>
      <w:r>
        <w:rPr/>
      </w:r>
    </w:p>
    <w:p>
      <w:pPr>
        <w:pStyle w:val="BodyText"/>
        <w:tabs>
          <w:tab w:pos="6922" w:val="left" w:leader="none"/>
          <w:tab w:pos="8367" w:val="left" w:leader="none"/>
        </w:tabs>
        <w:spacing w:line="301" w:lineRule="exact"/>
        <w:ind w:left="658" w:right="125"/>
        <w:jc w:val="left"/>
        <w:rPr>
          <w:rFonts w:ascii="Arial" w:hAnsi="Arial" w:cs="Arial" w:eastAsia="Arial" w:hint="default"/>
        </w:rPr>
      </w:pPr>
      <w:r>
        <w:rPr>
          <w:w w:val="95"/>
          <w:position w:val="2"/>
        </w:rPr>
        <w:t>商业承兑汇票</w:t>
        <w:tab/>
      </w:r>
      <w:r>
        <w:rPr>
          <w:rFonts w:ascii="Arial" w:hAnsi="Arial" w:cs="Arial" w:eastAsia="Arial" w:hint="default"/>
          <w:w w:val="95"/>
        </w:rPr>
        <w:t>-</w:t>
        <w:tab/>
      </w:r>
      <w:r>
        <w:rPr>
          <w:rFonts w:ascii="Arial" w:hAnsi="Arial" w:cs="Arial" w:eastAsia="Arial" w:hint="default"/>
        </w:rPr>
        <w:t>13,058,866</w:t>
      </w:r>
    </w:p>
    <w:p>
      <w:pPr>
        <w:pStyle w:val="BodyText"/>
        <w:tabs>
          <w:tab w:pos="4770" w:val="left" w:leader="none"/>
          <w:tab w:pos="5893" w:val="left" w:leader="none"/>
          <w:tab w:pos="8366" w:val="left" w:leader="none"/>
          <w:tab w:pos="9587" w:val="left" w:leader="none"/>
        </w:tabs>
        <w:spacing w:line="304" w:lineRule="exact"/>
        <w:ind w:left="658" w:right="125"/>
        <w:jc w:val="left"/>
        <w:rPr>
          <w:rFonts w:ascii="Arial" w:hAnsi="Arial" w:cs="Arial" w:eastAsia="Arial" w:hint="default"/>
        </w:rPr>
      </w:pPr>
      <w:r>
        <w:rPr>
          <w:w w:val="95"/>
          <w:position w:val="2"/>
        </w:rPr>
        <w:t>银行承兑汇票</w:t>
        <w:tab/>
      </w:r>
      <w:r>
        <w:rPr>
          <w:rFonts w:ascii="Arial" w:hAnsi="Arial" w:cs="Arial" w:eastAsia="Arial" w:hint="default"/>
          <w:w w:val="95"/>
        </w:rPr>
      </w:r>
      <w:r>
        <w:rPr>
          <w:rFonts w:ascii="Arial" w:hAnsi="Arial" w:cs="Arial" w:eastAsia="Arial" w:hint="default"/>
          <w:w w:val="95"/>
          <w:u w:val="single" w:color="000000"/>
        </w:rPr>
        <w:t> </w:t>
        <w:tab/>
        <w:t>24,522,070</w:t>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51,625,390</w:t>
        <w:tab/>
      </w:r>
      <w:r>
        <w:rPr>
          <w:rFonts w:ascii="Arial" w:hAnsi="Arial" w:cs="Arial" w:eastAsia="Arial" w:hint="default"/>
        </w:rPr>
      </w:r>
    </w:p>
    <w:p>
      <w:pPr>
        <w:spacing w:line="240" w:lineRule="auto" w:before="5"/>
        <w:rPr>
          <w:rFonts w:ascii="Arial" w:hAnsi="Arial" w:cs="Arial" w:eastAsia="Arial" w:hint="default"/>
          <w:sz w:val="20"/>
          <w:szCs w:val="20"/>
        </w:rPr>
      </w:pPr>
    </w:p>
    <w:p>
      <w:pPr>
        <w:pStyle w:val="BodyText"/>
        <w:tabs>
          <w:tab w:pos="5893" w:val="left" w:leader="none"/>
          <w:tab w:pos="8366" w:val="left" w:leader="none"/>
        </w:tabs>
        <w:spacing w:line="240" w:lineRule="auto" w:before="27"/>
        <w:ind w:left="658" w:right="125"/>
        <w:jc w:val="left"/>
        <w:rPr>
          <w:rFonts w:ascii="Arial" w:hAnsi="Arial" w:cs="Arial" w:eastAsia="Arial" w:hint="default"/>
        </w:rPr>
      </w:pPr>
      <w:r>
        <w:rPr>
          <w:w w:val="95"/>
          <w:position w:val="2"/>
        </w:rPr>
        <w:t>合计</w:t>
        <w:tab/>
      </w:r>
      <w:r>
        <w:rPr>
          <w:rFonts w:ascii="Arial" w:hAnsi="Arial" w:cs="Arial" w:eastAsia="Arial" w:hint="default"/>
          <w:w w:val="95"/>
        </w:rPr>
        <w:t>24,522,070</w:t>
        <w:tab/>
      </w:r>
      <w:r>
        <w:rPr>
          <w:rFonts w:ascii="Arial" w:hAnsi="Arial" w:cs="Arial" w:eastAsia="Arial" w:hint="default"/>
        </w:rPr>
        <w:t>64,684,256</w:t>
      </w:r>
    </w:p>
    <w:p>
      <w:pPr>
        <w:spacing w:line="43" w:lineRule="exact"/>
        <w:ind w:left="4756" w:right="0" w:firstLine="0"/>
        <w:rPr>
          <w:rFonts w:ascii="Arial" w:hAnsi="Arial" w:cs="Arial" w:eastAsia="Arial" w:hint="default"/>
          <w:sz w:val="4"/>
          <w:szCs w:val="4"/>
        </w:rPr>
      </w:pPr>
      <w:r>
        <w:rPr>
          <w:rFonts w:ascii="Arial"/>
          <w:position w:val="0"/>
          <w:sz w:val="4"/>
        </w:rPr>
        <w:pict>
          <v:group style="width:120pt;height:2.2pt;mso-position-horizontal-relative:char;mso-position-vertical-relative:line" coordorigin="0,0" coordsize="2400,44">
            <v:group style="position:absolute;left:7;top:36;width:2386;height:2" coordorigin="7,36" coordsize="2386,2">
              <v:shape style="position:absolute;left:7;top:36;width:2386;height:2" coordorigin="7,36" coordsize="2386,0" path="m7,36l2393,36e" filled="false" stroked="true" strokeweight=".72pt" strokecolor="#000000">
                <v:path arrowok="t"/>
              </v:shape>
            </v:group>
            <v:group style="position:absolute;left:7;top:7;width:2386;height:2" coordorigin="7,7" coordsize="2386,2">
              <v:shape style="position:absolute;left:7;top:7;width:2386;height:2" coordorigin="7,7" coordsize="2386,0" path="m7,7l2393,7e" filled="false" stroked="true" strokeweight=".72pt" strokecolor="#000000">
                <v:path arrowok="t"/>
              </v:shape>
            </v:group>
          </v:group>
        </w:pict>
      </w:r>
      <w:r>
        <w:rPr>
          <w:rFonts w:ascii="Arial"/>
          <w:position w:val="0"/>
          <w:sz w:val="4"/>
        </w:rPr>
      </w:r>
      <w:r>
        <w:rPr>
          <w:rFonts w:ascii="Times New Roman"/>
          <w:spacing w:val="58"/>
          <w:position w:val="0"/>
          <w:sz w:val="4"/>
        </w:rPr>
        <w:t> </w:t>
      </w:r>
      <w:r>
        <w:rPr>
          <w:rFonts w:ascii="Arial"/>
          <w:spacing w:val="58"/>
          <w:position w:val="0"/>
          <w:sz w:val="4"/>
        </w:rPr>
        <w:pict>
          <v:group style="width:118.65pt;height:2.2pt;mso-position-horizontal-relative:char;mso-position-vertical-relative:line" coordorigin="0,0" coordsize="2373,44">
            <v:group style="position:absolute;left:7;top:36;width:2358;height:2" coordorigin="7,36" coordsize="2358,2">
              <v:shape style="position:absolute;left:7;top:36;width:2358;height:2" coordorigin="7,36" coordsize="2358,0" path="m7,36l2365,36e" filled="false" stroked="true" strokeweight=".72pt" strokecolor="#000000">
                <v:path arrowok="t"/>
              </v:shape>
            </v:group>
            <v:group style="position:absolute;left:7;top:7;width:2358;height:2" coordorigin="7,7" coordsize="2358,2">
              <v:shape style="position:absolute;left:7;top:7;width:2358;height:2" coordorigin="7,7" coordsize="2358,0" path="m7,7l2365,7e" filled="false" stroked="true" strokeweight=".72pt" strokecolor="#000000">
                <v:path arrowok="t"/>
              </v:shape>
            </v:group>
          </v:group>
        </w:pict>
      </w:r>
      <w:r>
        <w:rPr>
          <w:rFonts w:ascii="Arial"/>
          <w:spacing w:val="58"/>
          <w:position w:val="0"/>
          <w:sz w:val="4"/>
        </w:rPr>
      </w:r>
    </w:p>
    <w:p>
      <w:pPr>
        <w:spacing w:line="240" w:lineRule="auto" w:before="5"/>
        <w:rPr>
          <w:rFonts w:ascii="Arial" w:hAnsi="Arial" w:cs="Arial" w:eastAsia="Arial" w:hint="default"/>
          <w:sz w:val="16"/>
          <w:szCs w:val="16"/>
        </w:rPr>
      </w:pPr>
    </w:p>
    <w:p>
      <w:pPr>
        <w:pStyle w:val="BodyText"/>
        <w:spacing w:line="240" w:lineRule="auto" w:before="31"/>
        <w:ind w:left="593" w:right="125"/>
        <w:jc w:val="left"/>
      </w:pP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日，本集团无用于质押或贴现的应收票据。</w:t>
      </w:r>
    </w:p>
    <w:p>
      <w:pPr>
        <w:spacing w:after="0" w:line="240" w:lineRule="auto"/>
        <w:jc w:val="left"/>
        <w:sectPr>
          <w:headerReference w:type="default" r:id="rId74"/>
          <w:footerReference w:type="default" r:id="rId75"/>
          <w:pgSz w:w="11910" w:h="16840"/>
          <w:pgMar w:header="1189" w:footer="752" w:top="3080" w:bottom="940" w:left="1240" w:right="940"/>
          <w:pgNumType w:start="97"/>
        </w:sectPr>
      </w:pPr>
    </w:p>
    <w:p>
      <w:pPr>
        <w:spacing w:line="240" w:lineRule="auto" w:before="12"/>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463"/>
        <w:gridCol w:w="4234"/>
        <w:gridCol w:w="2429"/>
        <w:gridCol w:w="2366"/>
      </w:tblGrid>
      <w:tr>
        <w:trPr>
          <w:trHeight w:val="898" w:hRule="exact"/>
        </w:trPr>
        <w:tc>
          <w:tcPr>
            <w:tcW w:w="463" w:type="dxa"/>
            <w:tcBorders>
              <w:top w:val="nil" w:sz="6" w:space="0" w:color="auto"/>
              <w:left w:val="nil" w:sz="6" w:space="0" w:color="auto"/>
              <w:bottom w:val="nil" w:sz="6" w:space="0" w:color="auto"/>
              <w:right w:val="nil" w:sz="6" w:space="0" w:color="auto"/>
            </w:tcBorders>
          </w:tcPr>
          <w:p>
            <w:pPr>
              <w:pStyle w:val="TableParagraph"/>
              <w:spacing w:line="240" w:lineRule="auto" w:before="31"/>
              <w:ind w:left="62" w:right="0"/>
              <w:jc w:val="left"/>
              <w:rPr>
                <w:rFonts w:ascii="黑体" w:hAnsi="黑体" w:cs="黑体" w:eastAsia="黑体" w:hint="default"/>
                <w:sz w:val="22"/>
                <w:szCs w:val="22"/>
              </w:rPr>
            </w:pPr>
            <w:r>
              <w:rPr>
                <w:rFonts w:ascii="Arial" w:hAnsi="Arial" w:cs="Arial" w:eastAsia="Arial" w:hint="default"/>
                <w:sz w:val="22"/>
                <w:szCs w:val="22"/>
              </w:rPr>
              <w:t>3</w:t>
            </w:r>
            <w:r>
              <w:rPr>
                <w:rFonts w:ascii="黑体" w:hAnsi="黑体" w:cs="黑体" w:eastAsia="黑体" w:hint="default"/>
                <w:sz w:val="22"/>
                <w:szCs w:val="22"/>
              </w:rPr>
              <w:t>、</w:t>
            </w:r>
          </w:p>
        </w:tc>
        <w:tc>
          <w:tcPr>
            <w:tcW w:w="4234" w:type="dxa"/>
            <w:tcBorders>
              <w:top w:val="nil" w:sz="6" w:space="0" w:color="auto"/>
              <w:left w:val="nil" w:sz="6" w:space="0" w:color="auto"/>
              <w:bottom w:val="nil" w:sz="6" w:space="0" w:color="auto"/>
              <w:right w:val="nil" w:sz="6" w:space="0" w:color="auto"/>
            </w:tcBorders>
          </w:tcPr>
          <w:p>
            <w:pPr>
              <w:pStyle w:val="TableParagraph"/>
              <w:spacing w:line="240" w:lineRule="auto" w:before="31"/>
              <w:ind w:left="61" w:right="0"/>
              <w:jc w:val="left"/>
              <w:rPr>
                <w:rFonts w:ascii="黑体" w:hAnsi="黑体" w:cs="黑体" w:eastAsia="黑体" w:hint="default"/>
                <w:sz w:val="22"/>
                <w:szCs w:val="22"/>
              </w:rPr>
            </w:pPr>
            <w:r>
              <w:rPr>
                <w:rFonts w:ascii="黑体" w:hAnsi="黑体" w:cs="黑体" w:eastAsia="黑体" w:hint="default"/>
                <w:sz w:val="22"/>
                <w:szCs w:val="22"/>
              </w:rPr>
              <w:t>应收账款</w:t>
            </w:r>
          </w:p>
        </w:tc>
        <w:tc>
          <w:tcPr>
            <w:tcW w:w="2429"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81"/>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366"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38"/>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293" w:hRule="exact"/>
        </w:trPr>
        <w:tc>
          <w:tcPr>
            <w:tcW w:w="463" w:type="dxa"/>
            <w:tcBorders>
              <w:top w:val="nil" w:sz="6" w:space="0" w:color="auto"/>
              <w:left w:val="nil" w:sz="6" w:space="0" w:color="auto"/>
              <w:bottom w:val="nil" w:sz="6" w:space="0" w:color="auto"/>
              <w:right w:val="nil" w:sz="6" w:space="0" w:color="auto"/>
            </w:tcBorders>
          </w:tcPr>
          <w:p>
            <w:pPr/>
          </w:p>
        </w:tc>
        <w:tc>
          <w:tcPr>
            <w:tcW w:w="4234" w:type="dxa"/>
            <w:tcBorders>
              <w:top w:val="nil" w:sz="6" w:space="0" w:color="auto"/>
              <w:left w:val="nil" w:sz="6" w:space="0" w:color="auto"/>
              <w:bottom w:val="nil" w:sz="6" w:space="0" w:color="auto"/>
              <w:right w:val="nil" w:sz="6" w:space="0" w:color="auto"/>
            </w:tcBorders>
          </w:tcPr>
          <w:p>
            <w:pPr/>
          </w:p>
        </w:tc>
        <w:tc>
          <w:tcPr>
            <w:tcW w:w="2429" w:type="dxa"/>
            <w:tcBorders>
              <w:top w:val="single" w:sz="6" w:space="0" w:color="000000"/>
              <w:left w:val="nil" w:sz="6" w:space="0" w:color="auto"/>
              <w:bottom w:val="nil" w:sz="6" w:space="0" w:color="auto"/>
              <w:right w:val="nil" w:sz="6" w:space="0" w:color="auto"/>
            </w:tcBorders>
          </w:tcPr>
          <w:p>
            <w:pPr/>
          </w:p>
        </w:tc>
        <w:tc>
          <w:tcPr>
            <w:tcW w:w="2366" w:type="dxa"/>
            <w:tcBorders>
              <w:top w:val="single" w:sz="6" w:space="0" w:color="000000"/>
              <w:left w:val="nil" w:sz="6" w:space="0" w:color="auto"/>
              <w:bottom w:val="nil" w:sz="6" w:space="0" w:color="auto"/>
              <w:right w:val="nil" w:sz="6" w:space="0" w:color="auto"/>
            </w:tcBorders>
          </w:tcPr>
          <w:p>
            <w:pPr>
              <w:pStyle w:val="TableParagraph"/>
              <w:spacing w:line="253" w:lineRule="exact"/>
              <w:ind w:right="3"/>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463" w:type="dxa"/>
            <w:tcBorders>
              <w:top w:val="nil" w:sz="6" w:space="0" w:color="auto"/>
              <w:left w:val="nil" w:sz="6" w:space="0" w:color="auto"/>
              <w:bottom w:val="nil" w:sz="6" w:space="0" w:color="auto"/>
              <w:right w:val="nil" w:sz="6" w:space="0" w:color="auto"/>
            </w:tcBorders>
          </w:tcPr>
          <w:p>
            <w:pPr/>
          </w:p>
        </w:tc>
        <w:tc>
          <w:tcPr>
            <w:tcW w:w="4234" w:type="dxa"/>
            <w:tcBorders>
              <w:top w:val="nil" w:sz="6" w:space="0" w:color="auto"/>
              <w:left w:val="nil" w:sz="6" w:space="0" w:color="auto"/>
              <w:bottom w:val="nil" w:sz="6" w:space="0" w:color="auto"/>
              <w:right w:val="nil" w:sz="6" w:space="0" w:color="auto"/>
            </w:tcBorders>
          </w:tcPr>
          <w:p>
            <w:pPr>
              <w:pStyle w:val="TableParagraph"/>
              <w:spacing w:line="253" w:lineRule="exact"/>
              <w:ind w:left="58" w:right="0"/>
              <w:jc w:val="left"/>
              <w:rPr>
                <w:rFonts w:ascii="宋体" w:hAnsi="宋体" w:cs="宋体" w:eastAsia="宋体" w:hint="default"/>
                <w:sz w:val="22"/>
                <w:szCs w:val="22"/>
              </w:rPr>
            </w:pPr>
            <w:r>
              <w:rPr>
                <w:rFonts w:ascii="宋体" w:hAnsi="宋体" w:cs="宋体" w:eastAsia="宋体" w:hint="default"/>
                <w:sz w:val="22"/>
                <w:szCs w:val="22"/>
              </w:rPr>
              <w:t>应收账款</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75"/>
              <w:jc w:val="right"/>
              <w:rPr>
                <w:rFonts w:ascii="Arial" w:hAnsi="Arial" w:cs="Arial" w:eastAsia="Arial" w:hint="default"/>
                <w:sz w:val="22"/>
                <w:szCs w:val="22"/>
              </w:rPr>
            </w:pPr>
            <w:r>
              <w:rPr>
                <w:rFonts w:ascii="Arial"/>
                <w:spacing w:val="-1"/>
                <w:sz w:val="22"/>
              </w:rPr>
              <w:t>14,007,959,009</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15"/>
              <w:jc w:val="right"/>
              <w:rPr>
                <w:rFonts w:ascii="Arial" w:hAnsi="Arial" w:cs="Arial" w:eastAsia="Arial" w:hint="default"/>
                <w:sz w:val="22"/>
                <w:szCs w:val="22"/>
              </w:rPr>
            </w:pPr>
            <w:r>
              <w:rPr>
                <w:rFonts w:ascii="Arial"/>
                <w:spacing w:val="-1"/>
                <w:sz w:val="22"/>
              </w:rPr>
              <w:t>13,392,638,516</w:t>
            </w:r>
          </w:p>
        </w:tc>
      </w:tr>
      <w:tr>
        <w:trPr>
          <w:trHeight w:val="280" w:hRule="exact"/>
        </w:trPr>
        <w:tc>
          <w:tcPr>
            <w:tcW w:w="463" w:type="dxa"/>
            <w:tcBorders>
              <w:top w:val="nil" w:sz="6" w:space="0" w:color="auto"/>
              <w:left w:val="nil" w:sz="6" w:space="0" w:color="auto"/>
              <w:bottom w:val="nil" w:sz="6" w:space="0" w:color="auto"/>
              <w:right w:val="nil" w:sz="6" w:space="0" w:color="auto"/>
            </w:tcBorders>
          </w:tcPr>
          <w:p>
            <w:pPr/>
          </w:p>
        </w:tc>
        <w:tc>
          <w:tcPr>
            <w:tcW w:w="4234" w:type="dxa"/>
            <w:tcBorders>
              <w:top w:val="nil" w:sz="6" w:space="0" w:color="auto"/>
              <w:left w:val="nil" w:sz="6" w:space="0" w:color="auto"/>
              <w:bottom w:val="nil" w:sz="6" w:space="0" w:color="auto"/>
              <w:right w:val="nil" w:sz="6" w:space="0" w:color="auto"/>
            </w:tcBorders>
          </w:tcPr>
          <w:p>
            <w:pPr>
              <w:pStyle w:val="TableParagraph"/>
              <w:spacing w:line="239" w:lineRule="exact"/>
              <w:ind w:left="58" w:right="0"/>
              <w:jc w:val="left"/>
              <w:rPr>
                <w:rFonts w:ascii="宋体" w:hAnsi="宋体" w:cs="宋体" w:eastAsia="宋体" w:hint="default"/>
                <w:sz w:val="22"/>
                <w:szCs w:val="22"/>
              </w:rPr>
            </w:pPr>
            <w:r>
              <w:rPr>
                <w:rFonts w:ascii="宋体" w:hAnsi="宋体" w:cs="宋体" w:eastAsia="宋体" w:hint="default"/>
                <w:sz w:val="22"/>
                <w:szCs w:val="22"/>
              </w:rPr>
              <w:t>减：坏账准备</w:t>
            </w:r>
          </w:p>
        </w:tc>
        <w:tc>
          <w:tcPr>
            <w:tcW w:w="2429" w:type="dxa"/>
            <w:tcBorders>
              <w:top w:val="nil" w:sz="6" w:space="0" w:color="auto"/>
              <w:left w:val="nil" w:sz="6" w:space="0" w:color="auto"/>
              <w:bottom w:val="single" w:sz="6" w:space="0" w:color="000000"/>
              <w:right w:val="nil" w:sz="6" w:space="0" w:color="auto"/>
            </w:tcBorders>
          </w:tcPr>
          <w:p>
            <w:pPr>
              <w:pStyle w:val="TableParagraph"/>
              <w:spacing w:line="240" w:lineRule="auto"/>
              <w:ind w:right="101"/>
              <w:jc w:val="right"/>
              <w:rPr>
                <w:rFonts w:ascii="Arial" w:hAnsi="Arial" w:cs="Arial" w:eastAsia="Arial" w:hint="default"/>
                <w:sz w:val="22"/>
                <w:szCs w:val="22"/>
              </w:rPr>
            </w:pPr>
            <w:r>
              <w:rPr>
                <w:rFonts w:ascii="Arial"/>
                <w:w w:val="95"/>
                <w:sz w:val="22"/>
              </w:rPr>
              <w:t>(4,137,305,208)</w:t>
            </w:r>
            <w:r>
              <w:rPr>
                <w:rFonts w:ascii="Arial"/>
                <w:sz w:val="22"/>
              </w:rPr>
            </w:r>
          </w:p>
        </w:tc>
        <w:tc>
          <w:tcPr>
            <w:tcW w:w="2366" w:type="dxa"/>
            <w:tcBorders>
              <w:top w:val="nil" w:sz="6" w:space="0" w:color="auto"/>
              <w:left w:val="nil" w:sz="6" w:space="0" w:color="auto"/>
              <w:bottom w:val="single" w:sz="6" w:space="0" w:color="000000"/>
              <w:right w:val="nil" w:sz="6" w:space="0" w:color="auto"/>
            </w:tcBorders>
          </w:tcPr>
          <w:p>
            <w:pPr>
              <w:pStyle w:val="TableParagraph"/>
              <w:spacing w:line="240" w:lineRule="auto" w:before="17"/>
              <w:ind w:right="42"/>
              <w:jc w:val="right"/>
              <w:rPr>
                <w:rFonts w:ascii="Arial" w:hAnsi="Arial" w:cs="Arial" w:eastAsia="Arial" w:hint="default"/>
                <w:sz w:val="22"/>
                <w:szCs w:val="22"/>
              </w:rPr>
            </w:pPr>
            <w:r>
              <w:rPr>
                <w:rFonts w:ascii="Arial"/>
                <w:w w:val="95"/>
                <w:sz w:val="22"/>
              </w:rPr>
              <w:t>(3,508,722,648)</w:t>
            </w:r>
            <w:r>
              <w:rPr>
                <w:rFonts w:ascii="Arial"/>
                <w:sz w:val="22"/>
              </w:rPr>
            </w:r>
          </w:p>
        </w:tc>
      </w:tr>
      <w:tr>
        <w:trPr>
          <w:trHeight w:val="602" w:hRule="exact"/>
        </w:trPr>
        <w:tc>
          <w:tcPr>
            <w:tcW w:w="463" w:type="dxa"/>
            <w:tcBorders>
              <w:top w:val="nil" w:sz="6" w:space="0" w:color="auto"/>
              <w:left w:val="nil" w:sz="6" w:space="0" w:color="auto"/>
              <w:bottom w:val="nil" w:sz="6" w:space="0" w:color="auto"/>
              <w:right w:val="nil" w:sz="6" w:space="0" w:color="auto"/>
            </w:tcBorders>
          </w:tcPr>
          <w:p>
            <w:pPr/>
          </w:p>
        </w:tc>
        <w:tc>
          <w:tcPr>
            <w:tcW w:w="423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58" w:right="0"/>
              <w:jc w:val="left"/>
              <w:rPr>
                <w:rFonts w:ascii="宋体" w:hAnsi="宋体" w:cs="宋体" w:eastAsia="宋体" w:hint="default"/>
                <w:sz w:val="22"/>
                <w:szCs w:val="22"/>
              </w:rPr>
            </w:pPr>
            <w:r>
              <w:rPr>
                <w:rFonts w:ascii="宋体" w:hAnsi="宋体" w:cs="宋体" w:eastAsia="宋体" w:hint="default"/>
                <w:sz w:val="22"/>
                <w:szCs w:val="22"/>
              </w:rPr>
              <w:t>应收账款净额合计</w:t>
            </w:r>
          </w:p>
        </w:tc>
        <w:tc>
          <w:tcPr>
            <w:tcW w:w="2429" w:type="dxa"/>
            <w:tcBorders>
              <w:top w:val="single" w:sz="6" w:space="0" w:color="000000"/>
              <w:left w:val="nil" w:sz="6" w:space="0" w:color="auto"/>
              <w:bottom w:val="single" w:sz="17" w:space="0" w:color="000000"/>
              <w:right w:val="nil" w:sz="6" w:space="0" w:color="auto"/>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175"/>
              <w:jc w:val="right"/>
              <w:rPr>
                <w:rFonts w:ascii="Arial" w:hAnsi="Arial" w:cs="Arial" w:eastAsia="Arial" w:hint="default"/>
                <w:sz w:val="22"/>
                <w:szCs w:val="22"/>
              </w:rPr>
            </w:pPr>
            <w:r>
              <w:rPr>
                <w:rFonts w:ascii="Arial"/>
                <w:spacing w:val="-1"/>
                <w:sz w:val="22"/>
              </w:rPr>
              <w:t>9,870,653,801</w:t>
            </w:r>
          </w:p>
        </w:tc>
        <w:tc>
          <w:tcPr>
            <w:tcW w:w="2366" w:type="dxa"/>
            <w:tcBorders>
              <w:top w:val="single" w:sz="6" w:space="0" w:color="000000"/>
              <w:left w:val="nil" w:sz="6" w:space="0" w:color="auto"/>
              <w:bottom w:val="single" w:sz="17" w:space="0" w:color="000000"/>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115"/>
              <w:jc w:val="right"/>
              <w:rPr>
                <w:rFonts w:ascii="Arial" w:hAnsi="Arial" w:cs="Arial" w:eastAsia="Arial" w:hint="default"/>
                <w:sz w:val="22"/>
                <w:szCs w:val="22"/>
              </w:rPr>
            </w:pPr>
            <w:r>
              <w:rPr>
                <w:rFonts w:ascii="Arial"/>
                <w:spacing w:val="-1"/>
                <w:sz w:val="22"/>
              </w:rPr>
              <w:t>9,883,915,868</w:t>
            </w:r>
          </w:p>
        </w:tc>
      </w:tr>
      <w:tr>
        <w:trPr>
          <w:trHeight w:val="690" w:hRule="exact"/>
        </w:trPr>
        <w:tc>
          <w:tcPr>
            <w:tcW w:w="46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35" w:right="0"/>
              <w:jc w:val="left"/>
              <w:rPr>
                <w:rFonts w:ascii="Arial" w:hAnsi="Arial" w:cs="Arial" w:eastAsia="Arial" w:hint="default"/>
                <w:sz w:val="22"/>
                <w:szCs w:val="22"/>
              </w:rPr>
            </w:pPr>
            <w:r>
              <w:rPr>
                <w:rFonts w:ascii="Arial"/>
                <w:sz w:val="22"/>
              </w:rPr>
              <w:t>(a)</w:t>
            </w:r>
          </w:p>
        </w:tc>
        <w:tc>
          <w:tcPr>
            <w:tcW w:w="423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61" w:right="0"/>
              <w:jc w:val="left"/>
              <w:rPr>
                <w:rFonts w:ascii="宋体" w:hAnsi="宋体" w:cs="宋体" w:eastAsia="宋体" w:hint="default"/>
                <w:sz w:val="22"/>
                <w:szCs w:val="22"/>
              </w:rPr>
            </w:pPr>
            <w:r>
              <w:rPr>
                <w:rFonts w:ascii="宋体" w:hAnsi="宋体" w:cs="宋体" w:eastAsia="宋体" w:hint="default"/>
                <w:sz w:val="22"/>
                <w:szCs w:val="22"/>
              </w:rPr>
              <w:t>本集团应收账款账龄分析如下：</w:t>
            </w:r>
          </w:p>
        </w:tc>
        <w:tc>
          <w:tcPr>
            <w:tcW w:w="2429" w:type="dxa"/>
            <w:tcBorders>
              <w:top w:val="single" w:sz="17" w:space="0" w:color="000000"/>
              <w:left w:val="nil" w:sz="6" w:space="0" w:color="auto"/>
              <w:bottom w:val="nil" w:sz="6" w:space="0" w:color="auto"/>
              <w:right w:val="nil" w:sz="6" w:space="0" w:color="auto"/>
            </w:tcBorders>
          </w:tcPr>
          <w:p>
            <w:pPr/>
          </w:p>
        </w:tc>
        <w:tc>
          <w:tcPr>
            <w:tcW w:w="2366" w:type="dxa"/>
            <w:tcBorders>
              <w:top w:val="single" w:sz="17" w:space="0" w:color="000000"/>
              <w:left w:val="nil" w:sz="6" w:space="0" w:color="auto"/>
              <w:bottom w:val="nil" w:sz="6" w:space="0" w:color="auto"/>
              <w:right w:val="nil" w:sz="6" w:space="0" w:color="auto"/>
            </w:tcBorders>
          </w:tcPr>
          <w:p>
            <w:pPr/>
          </w:p>
        </w:tc>
      </w:tr>
      <w:tr>
        <w:trPr>
          <w:trHeight w:val="415" w:hRule="exact"/>
        </w:trPr>
        <w:tc>
          <w:tcPr>
            <w:tcW w:w="463" w:type="dxa"/>
            <w:tcBorders>
              <w:top w:val="nil" w:sz="6" w:space="0" w:color="auto"/>
              <w:left w:val="nil" w:sz="6" w:space="0" w:color="auto"/>
              <w:bottom w:val="nil" w:sz="6" w:space="0" w:color="auto"/>
              <w:right w:val="nil" w:sz="6" w:space="0" w:color="auto"/>
            </w:tcBorders>
          </w:tcPr>
          <w:p>
            <w:pPr/>
          </w:p>
        </w:tc>
        <w:tc>
          <w:tcPr>
            <w:tcW w:w="4234" w:type="dxa"/>
            <w:tcBorders>
              <w:top w:val="nil" w:sz="6" w:space="0" w:color="auto"/>
              <w:left w:val="nil" w:sz="6" w:space="0" w:color="auto"/>
              <w:bottom w:val="nil" w:sz="6" w:space="0" w:color="auto"/>
              <w:right w:val="nil" w:sz="6" w:space="0" w:color="auto"/>
            </w:tcBorders>
          </w:tcPr>
          <w:p>
            <w:pPr/>
          </w:p>
        </w:tc>
        <w:tc>
          <w:tcPr>
            <w:tcW w:w="2429" w:type="dxa"/>
            <w:tcBorders>
              <w:top w:val="nil" w:sz="6" w:space="0" w:color="auto"/>
              <w:left w:val="nil" w:sz="6" w:space="0" w:color="auto"/>
              <w:bottom w:val="single" w:sz="6" w:space="0" w:color="000000"/>
              <w:right w:val="nil" w:sz="6" w:space="0" w:color="auto"/>
            </w:tcBorders>
          </w:tcPr>
          <w:p>
            <w:pPr>
              <w:pStyle w:val="TableParagraph"/>
              <w:spacing w:line="240" w:lineRule="auto" w:before="86"/>
              <w:ind w:right="81"/>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366" w:type="dxa"/>
            <w:tcBorders>
              <w:top w:val="nil" w:sz="6" w:space="0" w:color="auto"/>
              <w:left w:val="nil" w:sz="6" w:space="0" w:color="auto"/>
              <w:bottom w:val="single" w:sz="6" w:space="0" w:color="000000"/>
              <w:right w:val="nil" w:sz="6" w:space="0" w:color="auto"/>
            </w:tcBorders>
          </w:tcPr>
          <w:p>
            <w:pPr>
              <w:pStyle w:val="TableParagraph"/>
              <w:spacing w:line="240" w:lineRule="auto" w:before="86"/>
              <w:ind w:right="37"/>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292" w:hRule="exact"/>
        </w:trPr>
        <w:tc>
          <w:tcPr>
            <w:tcW w:w="463" w:type="dxa"/>
            <w:tcBorders>
              <w:top w:val="nil" w:sz="6" w:space="0" w:color="auto"/>
              <w:left w:val="nil" w:sz="6" w:space="0" w:color="auto"/>
              <w:bottom w:val="nil" w:sz="6" w:space="0" w:color="auto"/>
              <w:right w:val="nil" w:sz="6" w:space="0" w:color="auto"/>
            </w:tcBorders>
          </w:tcPr>
          <w:p>
            <w:pPr/>
          </w:p>
        </w:tc>
        <w:tc>
          <w:tcPr>
            <w:tcW w:w="4234" w:type="dxa"/>
            <w:tcBorders>
              <w:top w:val="nil" w:sz="6" w:space="0" w:color="auto"/>
              <w:left w:val="nil" w:sz="6" w:space="0" w:color="auto"/>
              <w:bottom w:val="nil" w:sz="6" w:space="0" w:color="auto"/>
              <w:right w:val="nil" w:sz="6" w:space="0" w:color="auto"/>
            </w:tcBorders>
          </w:tcPr>
          <w:p>
            <w:pPr/>
          </w:p>
        </w:tc>
        <w:tc>
          <w:tcPr>
            <w:tcW w:w="2429" w:type="dxa"/>
            <w:tcBorders>
              <w:top w:val="single" w:sz="6" w:space="0" w:color="000000"/>
              <w:left w:val="nil" w:sz="6" w:space="0" w:color="auto"/>
              <w:bottom w:val="nil" w:sz="6" w:space="0" w:color="auto"/>
              <w:right w:val="nil" w:sz="6" w:space="0" w:color="auto"/>
            </w:tcBorders>
          </w:tcPr>
          <w:p>
            <w:pPr/>
          </w:p>
        </w:tc>
        <w:tc>
          <w:tcPr>
            <w:tcW w:w="2366" w:type="dxa"/>
            <w:tcBorders>
              <w:top w:val="single" w:sz="6" w:space="0" w:color="000000"/>
              <w:left w:val="nil" w:sz="6" w:space="0" w:color="auto"/>
              <w:bottom w:val="nil" w:sz="6" w:space="0" w:color="auto"/>
              <w:right w:val="nil" w:sz="6" w:space="0" w:color="auto"/>
            </w:tcBorders>
          </w:tcPr>
          <w:p>
            <w:pPr>
              <w:pStyle w:val="TableParagraph"/>
              <w:spacing w:line="253" w:lineRule="exact"/>
              <w:ind w:right="3"/>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463" w:type="dxa"/>
            <w:tcBorders>
              <w:top w:val="nil" w:sz="6" w:space="0" w:color="auto"/>
              <w:left w:val="nil" w:sz="6" w:space="0" w:color="auto"/>
              <w:bottom w:val="nil" w:sz="6" w:space="0" w:color="auto"/>
              <w:right w:val="nil" w:sz="6" w:space="0" w:color="auto"/>
            </w:tcBorders>
          </w:tcPr>
          <w:p>
            <w:pPr/>
          </w:p>
        </w:tc>
        <w:tc>
          <w:tcPr>
            <w:tcW w:w="4234" w:type="dxa"/>
            <w:tcBorders>
              <w:top w:val="nil" w:sz="6" w:space="0" w:color="auto"/>
              <w:left w:val="nil" w:sz="6" w:space="0" w:color="auto"/>
              <w:bottom w:val="nil" w:sz="6" w:space="0" w:color="auto"/>
              <w:right w:val="nil" w:sz="6" w:space="0" w:color="auto"/>
            </w:tcBorders>
          </w:tcPr>
          <w:p>
            <w:pPr>
              <w:pStyle w:val="TableParagraph"/>
              <w:spacing w:line="268" w:lineRule="exact"/>
              <w:ind w:left="58" w:right="0"/>
              <w:jc w:val="left"/>
              <w:rPr>
                <w:rFonts w:ascii="宋体" w:hAnsi="宋体" w:cs="宋体" w:eastAsia="宋体" w:hint="default"/>
                <w:sz w:val="22"/>
                <w:szCs w:val="22"/>
              </w:rPr>
            </w:pPr>
            <w:r>
              <w:rPr>
                <w:rFonts w:ascii="宋体" w:hAnsi="宋体" w:cs="宋体" w:eastAsia="宋体" w:hint="default"/>
                <w:sz w:val="22"/>
                <w:szCs w:val="22"/>
              </w:rPr>
              <w:t>小于</w:t>
            </w:r>
            <w:r>
              <w:rPr>
                <w:rFonts w:ascii="宋体" w:hAnsi="宋体" w:cs="宋体" w:eastAsia="宋体" w:hint="default"/>
                <w:spacing w:val="-56"/>
                <w:sz w:val="22"/>
                <w:szCs w:val="22"/>
              </w:rPr>
              <w:t> </w:t>
            </w:r>
            <w:r>
              <w:rPr>
                <w:rFonts w:ascii="Arial" w:hAnsi="Arial" w:cs="Arial" w:eastAsia="Arial" w:hint="default"/>
                <w:sz w:val="22"/>
                <w:szCs w:val="22"/>
              </w:rPr>
              <w:t>1</w:t>
            </w:r>
            <w:r>
              <w:rPr>
                <w:rFonts w:ascii="Arial" w:hAnsi="Arial" w:cs="Arial" w:eastAsia="Arial" w:hint="default"/>
                <w:spacing w:val="-7"/>
                <w:sz w:val="22"/>
                <w:szCs w:val="22"/>
              </w:rPr>
              <w:t> </w:t>
            </w:r>
            <w:r>
              <w:rPr>
                <w:rFonts w:ascii="宋体" w:hAnsi="宋体" w:cs="宋体" w:eastAsia="宋体" w:hint="default"/>
                <w:sz w:val="22"/>
                <w:szCs w:val="22"/>
              </w:rPr>
              <w:t>个月</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223"/>
              <w:jc w:val="right"/>
              <w:rPr>
                <w:rFonts w:ascii="Arial" w:hAnsi="Arial" w:cs="Arial" w:eastAsia="Arial" w:hint="default"/>
                <w:sz w:val="22"/>
                <w:szCs w:val="22"/>
              </w:rPr>
            </w:pPr>
            <w:r>
              <w:rPr>
                <w:rFonts w:ascii="Arial"/>
                <w:spacing w:val="-1"/>
                <w:sz w:val="22"/>
              </w:rPr>
              <w:t>6,914,987,983</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15"/>
              <w:jc w:val="right"/>
              <w:rPr>
                <w:rFonts w:ascii="Arial" w:hAnsi="Arial" w:cs="Arial" w:eastAsia="Arial" w:hint="default"/>
                <w:sz w:val="22"/>
                <w:szCs w:val="22"/>
              </w:rPr>
            </w:pPr>
            <w:r>
              <w:rPr>
                <w:rFonts w:ascii="Arial"/>
                <w:spacing w:val="-1"/>
                <w:sz w:val="22"/>
              </w:rPr>
              <w:t>6,949,657,609</w:t>
            </w:r>
          </w:p>
        </w:tc>
      </w:tr>
      <w:tr>
        <w:trPr>
          <w:trHeight w:val="285" w:hRule="exact"/>
        </w:trPr>
        <w:tc>
          <w:tcPr>
            <w:tcW w:w="463" w:type="dxa"/>
            <w:tcBorders>
              <w:top w:val="nil" w:sz="6" w:space="0" w:color="auto"/>
              <w:left w:val="nil" w:sz="6" w:space="0" w:color="auto"/>
              <w:bottom w:val="nil" w:sz="6" w:space="0" w:color="auto"/>
              <w:right w:val="nil" w:sz="6" w:space="0" w:color="auto"/>
            </w:tcBorders>
          </w:tcPr>
          <w:p>
            <w:pPr/>
          </w:p>
        </w:tc>
        <w:tc>
          <w:tcPr>
            <w:tcW w:w="4234" w:type="dxa"/>
            <w:tcBorders>
              <w:top w:val="nil" w:sz="6" w:space="0" w:color="auto"/>
              <w:left w:val="nil" w:sz="6" w:space="0" w:color="auto"/>
              <w:bottom w:val="nil" w:sz="6" w:space="0" w:color="auto"/>
              <w:right w:val="nil" w:sz="6" w:space="0" w:color="auto"/>
            </w:tcBorders>
          </w:tcPr>
          <w:p>
            <w:pPr>
              <w:pStyle w:val="TableParagraph"/>
              <w:spacing w:line="255" w:lineRule="exact"/>
              <w:ind w:left="58" w:right="0"/>
              <w:jc w:val="left"/>
              <w:rPr>
                <w:rFonts w:ascii="宋体" w:hAnsi="宋体" w:cs="宋体" w:eastAsia="宋体" w:hint="default"/>
                <w:sz w:val="22"/>
                <w:szCs w:val="22"/>
              </w:rPr>
            </w:pPr>
            <w:r>
              <w:rPr>
                <w:rFonts w:ascii="Arial" w:hAnsi="Arial" w:cs="Arial" w:eastAsia="Arial" w:hint="default"/>
                <w:sz w:val="22"/>
                <w:szCs w:val="22"/>
              </w:rPr>
              <w:t>1-3</w:t>
            </w:r>
            <w:r>
              <w:rPr>
                <w:rFonts w:ascii="Arial" w:hAnsi="Arial" w:cs="Arial" w:eastAsia="Arial" w:hint="default"/>
                <w:spacing w:val="-8"/>
                <w:sz w:val="22"/>
                <w:szCs w:val="22"/>
              </w:rPr>
              <w:t> </w:t>
            </w:r>
            <w:r>
              <w:rPr>
                <w:rFonts w:ascii="宋体" w:hAnsi="宋体" w:cs="宋体" w:eastAsia="宋体" w:hint="default"/>
                <w:sz w:val="22"/>
                <w:szCs w:val="22"/>
              </w:rPr>
              <w:t>个月</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23"/>
              <w:jc w:val="right"/>
              <w:rPr>
                <w:rFonts w:ascii="Arial" w:hAnsi="Arial" w:cs="Arial" w:eastAsia="Arial" w:hint="default"/>
                <w:sz w:val="22"/>
                <w:szCs w:val="22"/>
              </w:rPr>
            </w:pPr>
            <w:r>
              <w:rPr>
                <w:rFonts w:ascii="Arial"/>
                <w:spacing w:val="-1"/>
                <w:sz w:val="22"/>
              </w:rPr>
              <w:t>1,354,058,511</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5"/>
              <w:jc w:val="right"/>
              <w:rPr>
                <w:rFonts w:ascii="Arial" w:hAnsi="Arial" w:cs="Arial" w:eastAsia="Arial" w:hint="default"/>
                <w:sz w:val="22"/>
                <w:szCs w:val="22"/>
              </w:rPr>
            </w:pPr>
            <w:r>
              <w:rPr>
                <w:rFonts w:ascii="Arial"/>
                <w:spacing w:val="-1"/>
                <w:sz w:val="22"/>
              </w:rPr>
              <w:t>1,744,598,630</w:t>
            </w:r>
          </w:p>
        </w:tc>
      </w:tr>
      <w:tr>
        <w:trPr>
          <w:trHeight w:val="285" w:hRule="exact"/>
        </w:trPr>
        <w:tc>
          <w:tcPr>
            <w:tcW w:w="463" w:type="dxa"/>
            <w:tcBorders>
              <w:top w:val="nil" w:sz="6" w:space="0" w:color="auto"/>
              <w:left w:val="nil" w:sz="6" w:space="0" w:color="auto"/>
              <w:bottom w:val="nil" w:sz="6" w:space="0" w:color="auto"/>
              <w:right w:val="nil" w:sz="6" w:space="0" w:color="auto"/>
            </w:tcBorders>
          </w:tcPr>
          <w:p>
            <w:pPr/>
          </w:p>
        </w:tc>
        <w:tc>
          <w:tcPr>
            <w:tcW w:w="4234" w:type="dxa"/>
            <w:tcBorders>
              <w:top w:val="nil" w:sz="6" w:space="0" w:color="auto"/>
              <w:left w:val="nil" w:sz="6" w:space="0" w:color="auto"/>
              <w:bottom w:val="nil" w:sz="6" w:space="0" w:color="auto"/>
              <w:right w:val="nil" w:sz="6" w:space="0" w:color="auto"/>
            </w:tcBorders>
          </w:tcPr>
          <w:p>
            <w:pPr>
              <w:pStyle w:val="TableParagraph"/>
              <w:spacing w:line="255" w:lineRule="exact"/>
              <w:ind w:left="58" w:right="0"/>
              <w:jc w:val="left"/>
              <w:rPr>
                <w:rFonts w:ascii="宋体" w:hAnsi="宋体" w:cs="宋体" w:eastAsia="宋体" w:hint="default"/>
                <w:sz w:val="22"/>
                <w:szCs w:val="22"/>
              </w:rPr>
            </w:pPr>
            <w:r>
              <w:rPr>
                <w:rFonts w:ascii="Arial" w:hAnsi="Arial" w:cs="Arial" w:eastAsia="Arial" w:hint="default"/>
                <w:sz w:val="22"/>
                <w:szCs w:val="22"/>
              </w:rPr>
              <w:t>3-12</w:t>
            </w:r>
            <w:r>
              <w:rPr>
                <w:rFonts w:ascii="Arial" w:hAnsi="Arial" w:cs="Arial" w:eastAsia="Arial" w:hint="default"/>
                <w:spacing w:val="-8"/>
                <w:sz w:val="22"/>
                <w:szCs w:val="22"/>
              </w:rPr>
              <w:t> </w:t>
            </w:r>
            <w:r>
              <w:rPr>
                <w:rFonts w:ascii="宋体" w:hAnsi="宋体" w:cs="宋体" w:eastAsia="宋体" w:hint="default"/>
                <w:sz w:val="22"/>
                <w:szCs w:val="22"/>
              </w:rPr>
              <w:t>个月</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23"/>
              <w:jc w:val="right"/>
              <w:rPr>
                <w:rFonts w:ascii="Arial" w:hAnsi="Arial" w:cs="Arial" w:eastAsia="Arial" w:hint="default"/>
                <w:sz w:val="22"/>
                <w:szCs w:val="22"/>
              </w:rPr>
            </w:pPr>
            <w:r>
              <w:rPr>
                <w:rFonts w:ascii="Arial"/>
                <w:spacing w:val="-1"/>
                <w:sz w:val="22"/>
              </w:rPr>
              <w:t>3,196,373,752</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5"/>
              <w:jc w:val="right"/>
              <w:rPr>
                <w:rFonts w:ascii="Arial" w:hAnsi="Arial" w:cs="Arial" w:eastAsia="Arial" w:hint="default"/>
                <w:sz w:val="22"/>
                <w:szCs w:val="22"/>
              </w:rPr>
            </w:pPr>
            <w:r>
              <w:rPr>
                <w:rFonts w:ascii="Arial"/>
                <w:spacing w:val="-1"/>
                <w:sz w:val="22"/>
              </w:rPr>
              <w:t>3,054,600,780</w:t>
            </w:r>
          </w:p>
        </w:tc>
      </w:tr>
      <w:tr>
        <w:trPr>
          <w:trHeight w:val="285" w:hRule="exact"/>
        </w:trPr>
        <w:tc>
          <w:tcPr>
            <w:tcW w:w="463" w:type="dxa"/>
            <w:tcBorders>
              <w:top w:val="nil" w:sz="6" w:space="0" w:color="auto"/>
              <w:left w:val="nil" w:sz="6" w:space="0" w:color="auto"/>
              <w:bottom w:val="nil" w:sz="6" w:space="0" w:color="auto"/>
              <w:right w:val="nil" w:sz="6" w:space="0" w:color="auto"/>
            </w:tcBorders>
          </w:tcPr>
          <w:p>
            <w:pPr/>
          </w:p>
        </w:tc>
        <w:tc>
          <w:tcPr>
            <w:tcW w:w="4234" w:type="dxa"/>
            <w:tcBorders>
              <w:top w:val="nil" w:sz="6" w:space="0" w:color="auto"/>
              <w:left w:val="nil" w:sz="6" w:space="0" w:color="auto"/>
              <w:bottom w:val="nil" w:sz="6" w:space="0" w:color="auto"/>
              <w:right w:val="nil" w:sz="6" w:space="0" w:color="auto"/>
            </w:tcBorders>
          </w:tcPr>
          <w:p>
            <w:pPr>
              <w:pStyle w:val="TableParagraph"/>
              <w:spacing w:line="255" w:lineRule="exact"/>
              <w:ind w:left="58" w:right="0"/>
              <w:jc w:val="left"/>
              <w:rPr>
                <w:rFonts w:ascii="宋体" w:hAnsi="宋体" w:cs="宋体" w:eastAsia="宋体" w:hint="default"/>
                <w:sz w:val="22"/>
                <w:szCs w:val="22"/>
              </w:rPr>
            </w:pPr>
            <w:r>
              <w:rPr>
                <w:rFonts w:ascii="Arial" w:hAnsi="Arial" w:cs="Arial" w:eastAsia="Arial" w:hint="default"/>
                <w:sz w:val="22"/>
                <w:szCs w:val="22"/>
              </w:rPr>
              <w:t>1-2</w:t>
            </w:r>
            <w:r>
              <w:rPr>
                <w:rFonts w:ascii="Arial" w:hAnsi="Arial" w:cs="Arial" w:eastAsia="Arial" w:hint="default"/>
                <w:spacing w:val="-8"/>
                <w:sz w:val="22"/>
                <w:szCs w:val="22"/>
              </w:rPr>
              <w:t> </w:t>
            </w:r>
            <w:r>
              <w:rPr>
                <w:rFonts w:ascii="宋体" w:hAnsi="宋体" w:cs="宋体" w:eastAsia="宋体" w:hint="default"/>
                <w:sz w:val="22"/>
                <w:szCs w:val="22"/>
              </w:rPr>
              <w:t>年</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23"/>
              <w:jc w:val="right"/>
              <w:rPr>
                <w:rFonts w:ascii="Arial" w:hAnsi="Arial" w:cs="Arial" w:eastAsia="Arial" w:hint="default"/>
                <w:sz w:val="22"/>
                <w:szCs w:val="22"/>
              </w:rPr>
            </w:pPr>
            <w:r>
              <w:rPr>
                <w:rFonts w:ascii="Arial"/>
                <w:spacing w:val="-1"/>
                <w:sz w:val="22"/>
              </w:rPr>
              <w:t>1,481,493,135</w:t>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5"/>
              <w:jc w:val="right"/>
              <w:rPr>
                <w:rFonts w:ascii="Arial" w:hAnsi="Arial" w:cs="Arial" w:eastAsia="Arial" w:hint="default"/>
                <w:sz w:val="22"/>
                <w:szCs w:val="22"/>
              </w:rPr>
            </w:pPr>
            <w:r>
              <w:rPr>
                <w:rFonts w:ascii="Arial"/>
                <w:spacing w:val="-1"/>
                <w:sz w:val="22"/>
              </w:rPr>
              <w:t>1,030,627,842</w:t>
            </w:r>
          </w:p>
        </w:tc>
      </w:tr>
      <w:tr>
        <w:trPr>
          <w:trHeight w:val="286" w:hRule="exact"/>
        </w:trPr>
        <w:tc>
          <w:tcPr>
            <w:tcW w:w="463" w:type="dxa"/>
            <w:tcBorders>
              <w:top w:val="nil" w:sz="6" w:space="0" w:color="auto"/>
              <w:left w:val="nil" w:sz="6" w:space="0" w:color="auto"/>
              <w:bottom w:val="nil" w:sz="6" w:space="0" w:color="auto"/>
              <w:right w:val="nil" w:sz="6" w:space="0" w:color="auto"/>
            </w:tcBorders>
          </w:tcPr>
          <w:p>
            <w:pPr/>
          </w:p>
        </w:tc>
        <w:tc>
          <w:tcPr>
            <w:tcW w:w="4234" w:type="dxa"/>
            <w:tcBorders>
              <w:top w:val="nil" w:sz="6" w:space="0" w:color="auto"/>
              <w:left w:val="nil" w:sz="6" w:space="0" w:color="auto"/>
              <w:bottom w:val="nil" w:sz="6" w:space="0" w:color="auto"/>
              <w:right w:val="nil" w:sz="6" w:space="0" w:color="auto"/>
            </w:tcBorders>
          </w:tcPr>
          <w:p>
            <w:pPr>
              <w:pStyle w:val="TableParagraph"/>
              <w:spacing w:line="255" w:lineRule="exact"/>
              <w:ind w:left="58" w:right="0"/>
              <w:jc w:val="left"/>
              <w:rPr>
                <w:rFonts w:ascii="宋体" w:hAnsi="宋体" w:cs="宋体" w:eastAsia="宋体" w:hint="default"/>
                <w:sz w:val="22"/>
                <w:szCs w:val="22"/>
              </w:rPr>
            </w:pPr>
            <w:r>
              <w:rPr>
                <w:rFonts w:ascii="Arial" w:hAnsi="Arial" w:cs="Arial" w:eastAsia="Arial" w:hint="default"/>
                <w:sz w:val="22"/>
                <w:szCs w:val="22"/>
              </w:rPr>
              <w:t>2-3</w:t>
            </w:r>
            <w:r>
              <w:rPr>
                <w:rFonts w:ascii="Arial" w:hAnsi="Arial" w:cs="Arial" w:eastAsia="Arial" w:hint="default"/>
                <w:spacing w:val="-8"/>
                <w:sz w:val="22"/>
                <w:szCs w:val="22"/>
              </w:rPr>
              <w:t> </w:t>
            </w:r>
            <w:r>
              <w:rPr>
                <w:rFonts w:ascii="宋体" w:hAnsi="宋体" w:cs="宋体" w:eastAsia="宋体" w:hint="default"/>
                <w:sz w:val="22"/>
                <w:szCs w:val="22"/>
              </w:rPr>
              <w:t>年</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222"/>
              <w:jc w:val="right"/>
              <w:rPr>
                <w:rFonts w:ascii="Arial" w:hAnsi="Arial" w:cs="Arial" w:eastAsia="Arial" w:hint="default"/>
                <w:sz w:val="22"/>
                <w:szCs w:val="22"/>
              </w:rPr>
            </w:pPr>
            <w:r>
              <w:rPr>
                <w:rFonts w:ascii="Arial"/>
                <w:w w:val="95"/>
                <w:sz w:val="22"/>
              </w:rPr>
              <w:t>637,950,471</w:t>
            </w:r>
            <w:r>
              <w:rPr>
                <w:rFonts w:ascii="Arial"/>
                <w:sz w:val="22"/>
              </w:rPr>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14"/>
              <w:jc w:val="right"/>
              <w:rPr>
                <w:rFonts w:ascii="Arial" w:hAnsi="Arial" w:cs="Arial" w:eastAsia="Arial" w:hint="default"/>
                <w:sz w:val="22"/>
                <w:szCs w:val="22"/>
              </w:rPr>
            </w:pPr>
            <w:r>
              <w:rPr>
                <w:rFonts w:ascii="Arial"/>
                <w:w w:val="95"/>
                <w:sz w:val="22"/>
              </w:rPr>
              <w:t>346,316,629</w:t>
            </w:r>
            <w:r>
              <w:rPr>
                <w:rFonts w:ascii="Arial"/>
                <w:sz w:val="22"/>
              </w:rPr>
            </w:r>
          </w:p>
        </w:tc>
      </w:tr>
      <w:tr>
        <w:trPr>
          <w:trHeight w:val="285" w:hRule="exact"/>
        </w:trPr>
        <w:tc>
          <w:tcPr>
            <w:tcW w:w="463" w:type="dxa"/>
            <w:tcBorders>
              <w:top w:val="nil" w:sz="6" w:space="0" w:color="auto"/>
              <w:left w:val="nil" w:sz="6" w:space="0" w:color="auto"/>
              <w:bottom w:val="nil" w:sz="6" w:space="0" w:color="auto"/>
              <w:right w:val="nil" w:sz="6" w:space="0" w:color="auto"/>
            </w:tcBorders>
          </w:tcPr>
          <w:p>
            <w:pPr/>
          </w:p>
        </w:tc>
        <w:tc>
          <w:tcPr>
            <w:tcW w:w="4234" w:type="dxa"/>
            <w:tcBorders>
              <w:top w:val="nil" w:sz="6" w:space="0" w:color="auto"/>
              <w:left w:val="nil" w:sz="6" w:space="0" w:color="auto"/>
              <w:bottom w:val="nil" w:sz="6" w:space="0" w:color="auto"/>
              <w:right w:val="nil" w:sz="6" w:space="0" w:color="auto"/>
            </w:tcBorders>
          </w:tcPr>
          <w:p>
            <w:pPr>
              <w:pStyle w:val="TableParagraph"/>
              <w:spacing w:line="255" w:lineRule="exact"/>
              <w:ind w:left="58" w:right="0"/>
              <w:jc w:val="left"/>
              <w:rPr>
                <w:rFonts w:ascii="宋体" w:hAnsi="宋体" w:cs="宋体" w:eastAsia="宋体" w:hint="default"/>
                <w:sz w:val="22"/>
                <w:szCs w:val="22"/>
              </w:rPr>
            </w:pPr>
            <w:r>
              <w:rPr>
                <w:rFonts w:ascii="Arial" w:hAnsi="Arial" w:cs="Arial" w:eastAsia="Arial" w:hint="default"/>
                <w:sz w:val="22"/>
                <w:szCs w:val="22"/>
              </w:rPr>
              <w:t>3-4</w:t>
            </w:r>
            <w:r>
              <w:rPr>
                <w:rFonts w:ascii="Arial" w:hAnsi="Arial" w:cs="Arial" w:eastAsia="Arial" w:hint="default"/>
                <w:spacing w:val="-8"/>
                <w:sz w:val="22"/>
                <w:szCs w:val="22"/>
              </w:rPr>
              <w:t> </w:t>
            </w:r>
            <w:r>
              <w:rPr>
                <w:rFonts w:ascii="宋体" w:hAnsi="宋体" w:cs="宋体" w:eastAsia="宋体" w:hint="default"/>
                <w:sz w:val="22"/>
                <w:szCs w:val="22"/>
              </w:rPr>
              <w:t>年</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22"/>
              <w:jc w:val="right"/>
              <w:rPr>
                <w:rFonts w:ascii="Arial" w:hAnsi="Arial" w:cs="Arial" w:eastAsia="Arial" w:hint="default"/>
                <w:sz w:val="22"/>
                <w:szCs w:val="22"/>
              </w:rPr>
            </w:pPr>
            <w:r>
              <w:rPr>
                <w:rFonts w:ascii="Arial"/>
                <w:w w:val="95"/>
                <w:sz w:val="22"/>
              </w:rPr>
              <w:t>190,870,929</w:t>
            </w:r>
            <w:r>
              <w:rPr>
                <w:rFonts w:ascii="Arial"/>
                <w:sz w:val="22"/>
              </w:rPr>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6"/>
              <w:jc w:val="right"/>
              <w:rPr>
                <w:rFonts w:ascii="Arial" w:hAnsi="Arial" w:cs="Arial" w:eastAsia="Arial" w:hint="default"/>
                <w:sz w:val="22"/>
                <w:szCs w:val="22"/>
              </w:rPr>
            </w:pPr>
            <w:r>
              <w:rPr>
                <w:rFonts w:ascii="Arial"/>
                <w:w w:val="95"/>
                <w:sz w:val="22"/>
              </w:rPr>
              <w:t>81,249,785</w:t>
            </w:r>
            <w:r>
              <w:rPr>
                <w:rFonts w:ascii="Arial"/>
                <w:sz w:val="22"/>
              </w:rPr>
            </w:r>
          </w:p>
        </w:tc>
      </w:tr>
      <w:tr>
        <w:trPr>
          <w:trHeight w:val="285" w:hRule="exact"/>
        </w:trPr>
        <w:tc>
          <w:tcPr>
            <w:tcW w:w="463" w:type="dxa"/>
            <w:tcBorders>
              <w:top w:val="nil" w:sz="6" w:space="0" w:color="auto"/>
              <w:left w:val="nil" w:sz="6" w:space="0" w:color="auto"/>
              <w:bottom w:val="nil" w:sz="6" w:space="0" w:color="auto"/>
              <w:right w:val="nil" w:sz="6" w:space="0" w:color="auto"/>
            </w:tcBorders>
          </w:tcPr>
          <w:p>
            <w:pPr/>
          </w:p>
        </w:tc>
        <w:tc>
          <w:tcPr>
            <w:tcW w:w="4234" w:type="dxa"/>
            <w:tcBorders>
              <w:top w:val="nil" w:sz="6" w:space="0" w:color="auto"/>
              <w:left w:val="nil" w:sz="6" w:space="0" w:color="auto"/>
              <w:bottom w:val="nil" w:sz="6" w:space="0" w:color="auto"/>
              <w:right w:val="nil" w:sz="6" w:space="0" w:color="auto"/>
            </w:tcBorders>
          </w:tcPr>
          <w:p>
            <w:pPr>
              <w:pStyle w:val="TableParagraph"/>
              <w:spacing w:line="255" w:lineRule="exact"/>
              <w:ind w:left="58" w:right="0"/>
              <w:jc w:val="left"/>
              <w:rPr>
                <w:rFonts w:ascii="宋体" w:hAnsi="宋体" w:cs="宋体" w:eastAsia="宋体" w:hint="default"/>
                <w:sz w:val="22"/>
                <w:szCs w:val="22"/>
              </w:rPr>
            </w:pPr>
            <w:r>
              <w:rPr>
                <w:rFonts w:ascii="Arial" w:hAnsi="Arial" w:cs="Arial" w:eastAsia="Arial" w:hint="default"/>
                <w:sz w:val="22"/>
                <w:szCs w:val="22"/>
              </w:rPr>
              <w:t>4-5</w:t>
            </w:r>
            <w:r>
              <w:rPr>
                <w:rFonts w:ascii="Arial" w:hAnsi="Arial" w:cs="Arial" w:eastAsia="Arial" w:hint="default"/>
                <w:spacing w:val="-8"/>
                <w:sz w:val="22"/>
                <w:szCs w:val="22"/>
              </w:rPr>
              <w:t> </w:t>
            </w:r>
            <w:r>
              <w:rPr>
                <w:rFonts w:ascii="宋体" w:hAnsi="宋体" w:cs="宋体" w:eastAsia="宋体" w:hint="default"/>
                <w:sz w:val="22"/>
                <w:szCs w:val="22"/>
              </w:rPr>
              <w:t>年</w:t>
            </w:r>
          </w:p>
        </w:tc>
        <w:tc>
          <w:tcPr>
            <w:tcW w:w="242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23"/>
              <w:jc w:val="right"/>
              <w:rPr>
                <w:rFonts w:ascii="Arial" w:hAnsi="Arial" w:cs="Arial" w:eastAsia="Arial" w:hint="default"/>
                <w:sz w:val="22"/>
                <w:szCs w:val="22"/>
              </w:rPr>
            </w:pPr>
            <w:r>
              <w:rPr>
                <w:rFonts w:ascii="Arial"/>
                <w:w w:val="95"/>
                <w:sz w:val="22"/>
              </w:rPr>
              <w:t>51,969,879</w:t>
            </w:r>
            <w:r>
              <w:rPr>
                <w:rFonts w:ascii="Arial"/>
                <w:sz w:val="22"/>
              </w:rPr>
            </w:r>
          </w:p>
        </w:tc>
        <w:tc>
          <w:tcPr>
            <w:tcW w:w="236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6"/>
              <w:jc w:val="right"/>
              <w:rPr>
                <w:rFonts w:ascii="Arial" w:hAnsi="Arial" w:cs="Arial" w:eastAsia="Arial" w:hint="default"/>
                <w:sz w:val="22"/>
                <w:szCs w:val="22"/>
              </w:rPr>
            </w:pPr>
            <w:r>
              <w:rPr>
                <w:rFonts w:ascii="Arial"/>
                <w:w w:val="95"/>
                <w:sz w:val="22"/>
              </w:rPr>
              <w:t>76,142,893</w:t>
            </w:r>
            <w:r>
              <w:rPr>
                <w:rFonts w:ascii="Arial"/>
                <w:sz w:val="22"/>
              </w:rPr>
            </w:r>
          </w:p>
        </w:tc>
      </w:tr>
      <w:tr>
        <w:trPr>
          <w:trHeight w:val="419" w:hRule="exact"/>
        </w:trPr>
        <w:tc>
          <w:tcPr>
            <w:tcW w:w="463" w:type="dxa"/>
            <w:tcBorders>
              <w:top w:val="nil" w:sz="6" w:space="0" w:color="auto"/>
              <w:left w:val="nil" w:sz="6" w:space="0" w:color="auto"/>
              <w:bottom w:val="nil" w:sz="6" w:space="0" w:color="auto"/>
              <w:right w:val="nil" w:sz="6" w:space="0" w:color="auto"/>
            </w:tcBorders>
          </w:tcPr>
          <w:p>
            <w:pPr/>
          </w:p>
        </w:tc>
        <w:tc>
          <w:tcPr>
            <w:tcW w:w="4234" w:type="dxa"/>
            <w:tcBorders>
              <w:top w:val="nil" w:sz="6" w:space="0" w:color="auto"/>
              <w:left w:val="nil" w:sz="6" w:space="0" w:color="auto"/>
              <w:bottom w:val="nil" w:sz="6" w:space="0" w:color="auto"/>
              <w:right w:val="nil" w:sz="6" w:space="0" w:color="auto"/>
            </w:tcBorders>
          </w:tcPr>
          <w:p>
            <w:pPr>
              <w:pStyle w:val="TableParagraph"/>
              <w:spacing w:line="255" w:lineRule="exact"/>
              <w:ind w:left="58" w:right="0"/>
              <w:jc w:val="left"/>
              <w:rPr>
                <w:rFonts w:ascii="宋体" w:hAnsi="宋体" w:cs="宋体" w:eastAsia="宋体" w:hint="default"/>
                <w:sz w:val="22"/>
                <w:szCs w:val="22"/>
              </w:rPr>
            </w:pPr>
            <w:r>
              <w:rPr>
                <w:rFonts w:ascii="Arial" w:hAnsi="Arial" w:cs="Arial" w:eastAsia="Arial" w:hint="default"/>
                <w:sz w:val="22"/>
                <w:szCs w:val="22"/>
              </w:rPr>
              <w:t>5</w:t>
            </w:r>
            <w:r>
              <w:rPr>
                <w:rFonts w:ascii="Arial" w:hAnsi="Arial" w:cs="Arial" w:eastAsia="Arial" w:hint="default"/>
                <w:spacing w:val="-8"/>
                <w:sz w:val="22"/>
                <w:szCs w:val="22"/>
              </w:rPr>
              <w:t> </w:t>
            </w:r>
            <w:r>
              <w:rPr>
                <w:rFonts w:ascii="宋体" w:hAnsi="宋体" w:cs="宋体" w:eastAsia="宋体" w:hint="default"/>
                <w:sz w:val="22"/>
                <w:szCs w:val="22"/>
              </w:rPr>
              <w:t>年以上</w:t>
            </w:r>
          </w:p>
        </w:tc>
        <w:tc>
          <w:tcPr>
            <w:tcW w:w="2429" w:type="dxa"/>
            <w:tcBorders>
              <w:top w:val="nil" w:sz="6" w:space="0" w:color="auto"/>
              <w:left w:val="nil" w:sz="6" w:space="0" w:color="auto"/>
              <w:bottom w:val="nil" w:sz="6" w:space="0" w:color="auto"/>
              <w:right w:val="nil" w:sz="6" w:space="0" w:color="auto"/>
            </w:tcBorders>
          </w:tcPr>
          <w:p>
            <w:pPr>
              <w:pStyle w:val="TableParagraph"/>
              <w:tabs>
                <w:tab w:pos="974" w:val="left" w:leader="none"/>
                <w:tab w:pos="2371" w:val="left" w:leader="none"/>
              </w:tabs>
              <w:spacing w:line="240" w:lineRule="auto" w:before="17"/>
              <w:ind w:right="49"/>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180,254,349</w:t>
            </w:r>
            <w:r>
              <w:rPr>
                <w:rFonts w:ascii="Arial"/>
                <w:sz w:val="22"/>
                <w:u w:val="single" w:color="000000"/>
              </w:rPr>
              <w:tab/>
            </w:r>
            <w:r>
              <w:rPr>
                <w:rFonts w:ascii="Arial"/>
                <w:sz w:val="22"/>
              </w:rPr>
            </w:r>
          </w:p>
        </w:tc>
        <w:tc>
          <w:tcPr>
            <w:tcW w:w="2366" w:type="dxa"/>
            <w:tcBorders>
              <w:top w:val="nil" w:sz="6" w:space="0" w:color="auto"/>
              <w:left w:val="nil" w:sz="6" w:space="0" w:color="auto"/>
              <w:bottom w:val="nil" w:sz="6" w:space="0" w:color="auto"/>
              <w:right w:val="nil" w:sz="6" w:space="0" w:color="auto"/>
            </w:tcBorders>
          </w:tcPr>
          <w:p>
            <w:pPr>
              <w:pStyle w:val="TableParagraph"/>
              <w:tabs>
                <w:tab w:pos="974" w:val="left" w:leader="none"/>
                <w:tab w:pos="2307"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109,444,348</w:t>
            </w:r>
            <w:r>
              <w:rPr>
                <w:rFonts w:ascii="Arial"/>
                <w:sz w:val="22"/>
                <w:u w:val="single" w:color="000000"/>
              </w:rPr>
              <w:tab/>
            </w:r>
            <w:r>
              <w:rPr>
                <w:rFonts w:ascii="Arial"/>
                <w:sz w:val="22"/>
              </w:rPr>
            </w:r>
          </w:p>
        </w:tc>
      </w:tr>
      <w:tr>
        <w:trPr>
          <w:trHeight w:val="431" w:hRule="exact"/>
        </w:trPr>
        <w:tc>
          <w:tcPr>
            <w:tcW w:w="463" w:type="dxa"/>
            <w:tcBorders>
              <w:top w:val="nil" w:sz="6" w:space="0" w:color="auto"/>
              <w:left w:val="nil" w:sz="6" w:space="0" w:color="auto"/>
              <w:bottom w:val="nil" w:sz="6" w:space="0" w:color="auto"/>
              <w:right w:val="nil" w:sz="6" w:space="0" w:color="auto"/>
            </w:tcBorders>
          </w:tcPr>
          <w:p>
            <w:pPr/>
          </w:p>
        </w:tc>
        <w:tc>
          <w:tcPr>
            <w:tcW w:w="4234" w:type="dxa"/>
            <w:tcBorders>
              <w:top w:val="nil" w:sz="6" w:space="0" w:color="auto"/>
              <w:left w:val="nil" w:sz="6" w:space="0" w:color="auto"/>
              <w:bottom w:val="nil" w:sz="6" w:space="0" w:color="auto"/>
              <w:right w:val="nil" w:sz="6" w:space="0" w:color="auto"/>
            </w:tcBorders>
          </w:tcPr>
          <w:p>
            <w:pPr>
              <w:pStyle w:val="TableParagraph"/>
              <w:spacing w:line="240" w:lineRule="auto" w:before="85"/>
              <w:ind w:left="58"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429"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223"/>
              <w:jc w:val="right"/>
              <w:rPr>
                <w:rFonts w:ascii="Arial" w:hAnsi="Arial" w:cs="Arial" w:eastAsia="Arial" w:hint="default"/>
                <w:sz w:val="22"/>
                <w:szCs w:val="22"/>
              </w:rPr>
            </w:pPr>
            <w:r>
              <w:rPr>
                <w:rFonts w:ascii="Arial"/>
                <w:spacing w:val="-1"/>
                <w:sz w:val="22"/>
              </w:rPr>
              <w:t>14,007,959,009</w:t>
            </w:r>
          </w:p>
        </w:tc>
        <w:tc>
          <w:tcPr>
            <w:tcW w:w="2366"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116"/>
              <w:jc w:val="right"/>
              <w:rPr>
                <w:rFonts w:ascii="Arial" w:hAnsi="Arial" w:cs="Arial" w:eastAsia="Arial" w:hint="default"/>
                <w:sz w:val="22"/>
                <w:szCs w:val="22"/>
              </w:rPr>
            </w:pPr>
            <w:r>
              <w:rPr>
                <w:rFonts w:ascii="Arial"/>
                <w:spacing w:val="-1"/>
                <w:sz w:val="22"/>
              </w:rPr>
              <w:t>13,392,638,516</w:t>
            </w:r>
          </w:p>
        </w:tc>
      </w:tr>
      <w:tr>
        <w:trPr>
          <w:trHeight w:val="637" w:hRule="exact"/>
        </w:trPr>
        <w:tc>
          <w:tcPr>
            <w:tcW w:w="46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35" w:right="0"/>
              <w:jc w:val="left"/>
              <w:rPr>
                <w:rFonts w:ascii="Arial" w:hAnsi="Arial" w:cs="Arial" w:eastAsia="Arial" w:hint="default"/>
                <w:sz w:val="22"/>
                <w:szCs w:val="22"/>
              </w:rPr>
            </w:pPr>
            <w:r>
              <w:rPr>
                <w:rFonts w:ascii="Arial"/>
                <w:sz w:val="22"/>
              </w:rPr>
              <w:t>(b)</w:t>
            </w:r>
          </w:p>
        </w:tc>
        <w:tc>
          <w:tcPr>
            <w:tcW w:w="423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61" w:right="0"/>
              <w:jc w:val="left"/>
              <w:rPr>
                <w:rFonts w:ascii="宋体" w:hAnsi="宋体" w:cs="宋体" w:eastAsia="宋体" w:hint="default"/>
                <w:sz w:val="22"/>
                <w:szCs w:val="22"/>
              </w:rPr>
            </w:pPr>
            <w:r>
              <w:rPr>
                <w:rFonts w:ascii="宋体" w:hAnsi="宋体" w:cs="宋体" w:eastAsia="宋体" w:hint="default"/>
                <w:sz w:val="22"/>
                <w:szCs w:val="22"/>
              </w:rPr>
              <w:t>本集团应收账款按类别分析如下：</w:t>
            </w:r>
          </w:p>
        </w:tc>
        <w:tc>
          <w:tcPr>
            <w:tcW w:w="2429" w:type="dxa"/>
            <w:tcBorders>
              <w:top w:val="single" w:sz="17" w:space="0" w:color="000000"/>
              <w:left w:val="nil" w:sz="6" w:space="0" w:color="auto"/>
              <w:bottom w:val="nil" w:sz="6" w:space="0" w:color="auto"/>
              <w:right w:val="nil" w:sz="6" w:space="0" w:color="auto"/>
            </w:tcBorders>
          </w:tcPr>
          <w:p>
            <w:pPr/>
          </w:p>
        </w:tc>
        <w:tc>
          <w:tcPr>
            <w:tcW w:w="2366" w:type="dxa"/>
            <w:tcBorders>
              <w:top w:val="single" w:sz="17" w:space="0" w:color="000000"/>
              <w:left w:val="nil" w:sz="6" w:space="0" w:color="auto"/>
              <w:bottom w:val="nil" w:sz="6" w:space="0" w:color="auto"/>
              <w:right w:val="nil" w:sz="6" w:space="0" w:color="auto"/>
            </w:tcBorders>
          </w:tcPr>
          <w:p>
            <w:pPr/>
          </w:p>
        </w:tc>
      </w:tr>
    </w:tbl>
    <w:p>
      <w:pPr>
        <w:spacing w:line="240" w:lineRule="auto" w:before="6"/>
        <w:rPr>
          <w:rFonts w:ascii="宋体" w:hAnsi="宋体" w:cs="宋体" w:eastAsia="宋体" w:hint="default"/>
          <w:sz w:val="7"/>
          <w:szCs w:val="7"/>
        </w:rPr>
      </w:pPr>
    </w:p>
    <w:p>
      <w:pPr>
        <w:tabs>
          <w:tab w:pos="4820" w:val="left" w:leader="none"/>
          <w:tab w:pos="6729" w:val="left" w:leader="none"/>
          <w:tab w:pos="6894" w:val="left" w:leader="none"/>
          <w:tab w:pos="8580" w:val="left" w:leader="none"/>
        </w:tabs>
        <w:spacing w:line="242" w:lineRule="auto" w:before="50"/>
        <w:ind w:left="2871" w:right="723" w:firstLine="589"/>
        <w:jc w:val="left"/>
        <w:rPr>
          <w:rFonts w:ascii="宋体" w:hAnsi="宋体" w:cs="宋体" w:eastAsia="宋体" w:hint="default"/>
          <w:sz w:val="16"/>
          <w:szCs w:val="16"/>
        </w:rPr>
      </w:pPr>
      <w:r>
        <w:rPr/>
        <w:pict>
          <v:group style="position:absolute;margin-left:171.960007pt;margin-top:14.602565pt;width:191.05pt;height:.1pt;mso-position-horizontal-relative:page;mso-position-vertical-relative:paragraph;z-index:-917656" coordorigin="3439,292" coordsize="3821,2">
            <v:shape style="position:absolute;left:3439;top:292;width:3821;height:2" coordorigin="3439,292" coordsize="3821,0" path="m3439,292l7260,292e" filled="false" stroked="true" strokeweight=".72pt" strokecolor="#000000">
              <v:path arrowok="t"/>
            </v:shape>
            <w10:wrap type="none"/>
          </v:group>
        </w:pict>
      </w:r>
      <w:r>
        <w:rPr/>
        <w:pict>
          <v:group style="position:absolute;margin-left:367.200012pt;margin-top:14.602565pt;width:183.9pt;height:.1pt;mso-position-horizontal-relative:page;mso-position-vertical-relative:paragraph;z-index:-917632" coordorigin="7344,292" coordsize="3678,2">
            <v:shape style="position:absolute;left:7344;top:292;width:3678;height:2" coordorigin="7344,292" coordsize="3678,0" path="m7344,292l11022,292e" filled="false" stroked="true" strokeweight=".72pt" strokecolor="#000000">
              <v:path arrowok="t"/>
            </v:shape>
            <w10:wrap type="none"/>
          </v:group>
        </w:pict>
      </w:r>
      <w:r>
        <w:rPr/>
        <w:pict>
          <v:group style="position:absolute;margin-left:171.600006pt;margin-top:25.342566pt;width:191.8pt;height:.75pt;mso-position-horizontal-relative:page;mso-position-vertical-relative:paragraph;z-index:-917608" coordorigin="3432,507" coordsize="3836,15">
            <v:group style="position:absolute;left:3439;top:514;width:1840;height:2" coordorigin="3439,514" coordsize="1840,2">
              <v:shape style="position:absolute;left:3439;top:514;width:1840;height:2" coordorigin="3439,514" coordsize="1840,0" path="m3439,514l5279,514e" filled="false" stroked="true" strokeweight=".72pt" strokecolor="#000000">
                <v:path arrowok="t"/>
              </v:shape>
            </v:group>
            <v:group style="position:absolute;left:5356;top:514;width:1905;height:2" coordorigin="5356,514" coordsize="1905,2">
              <v:shape style="position:absolute;left:5356;top:514;width:1905;height:2" coordorigin="5356,514" coordsize="1905,0" path="m5356,514l7260,514e" filled="false" stroked="true" strokeweight=".72pt" strokecolor="#000000">
                <v:path arrowok="t"/>
              </v:shape>
            </v:group>
            <w10:wrap type="none"/>
          </v:group>
        </w:pict>
      </w:r>
      <w:r>
        <w:rPr/>
        <w:pict>
          <v:group style="position:absolute;margin-left:366.839996pt;margin-top:25.342566pt;width:184.65pt;height:.75pt;mso-position-horizontal-relative:page;mso-position-vertical-relative:paragraph;z-index:-917584" coordorigin="7337,507" coordsize="3693,15">
            <v:group style="position:absolute;left:7344;top:514;width:1745;height:2" coordorigin="7344,514" coordsize="1745,2">
              <v:shape style="position:absolute;left:7344;top:514;width:1745;height:2" coordorigin="7344,514" coordsize="1745,0" path="m7344,514l9089,514e" filled="false" stroked="true" strokeweight=".72pt" strokecolor="#000000">
                <v:path arrowok="t"/>
              </v:shape>
            </v:group>
            <v:group style="position:absolute;left:9164;top:514;width:1858;height:2" coordorigin="9164,514" coordsize="1858,2">
              <v:shape style="position:absolute;left:9164;top:514;width:1858;height:2" coordorigin="9164,514" coordsize="1858,0" path="m9164,514l11022,514e" filled="false" stroked="true" strokeweight=".72pt" strokecolor="#000000">
                <v:path arrowok="t"/>
              </v:shape>
            </v:group>
            <w10:wrap type="none"/>
          </v:group>
        </w:pict>
      </w:r>
      <w:r>
        <w:rPr>
          <w:rFonts w:ascii="Arial" w:hAnsi="Arial" w:cs="Arial" w:eastAsia="Arial" w:hint="default"/>
          <w:sz w:val="16"/>
          <w:szCs w:val="16"/>
        </w:rPr>
        <w:t>2009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12</w:t>
      </w:r>
      <w:r>
        <w:rPr>
          <w:rFonts w:ascii="Arial" w:hAnsi="Arial" w:cs="Arial" w:eastAsia="Arial" w:hint="default"/>
          <w:spacing w:val="-5"/>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tab/>
        <w:tab/>
      </w:r>
      <w:r>
        <w:rPr>
          <w:rFonts w:ascii="Arial" w:hAnsi="Arial" w:cs="Arial" w:eastAsia="Arial" w:hint="default"/>
          <w:sz w:val="16"/>
          <w:szCs w:val="16"/>
        </w:rPr>
        <w:t>2008</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12</w:t>
      </w:r>
      <w:r>
        <w:rPr>
          <w:rFonts w:ascii="Arial" w:hAnsi="Arial" w:cs="Arial" w:eastAsia="Arial" w:hint="default"/>
          <w:spacing w:val="-5"/>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日（经重列）</w:t>
      </w:r>
      <w:r>
        <w:rPr>
          <w:rFonts w:ascii="宋体" w:hAnsi="宋体" w:cs="宋体" w:eastAsia="宋体" w:hint="default"/>
          <w:w w:val="99"/>
          <w:sz w:val="16"/>
          <w:szCs w:val="16"/>
        </w:rPr>
        <w:t> </w:t>
      </w:r>
      <w:r>
        <w:rPr>
          <w:rFonts w:ascii="宋体" w:hAnsi="宋体" w:cs="宋体" w:eastAsia="宋体" w:hint="default"/>
          <w:w w:val="95"/>
          <w:sz w:val="16"/>
          <w:szCs w:val="16"/>
        </w:rPr>
        <w:t>账面余额</w:t>
        <w:tab/>
        <w:t>坏账准备</w:t>
        <w:tab/>
        <w:t>账面余额</w:t>
        <w:tab/>
      </w:r>
      <w:r>
        <w:rPr>
          <w:rFonts w:ascii="宋体" w:hAnsi="宋体" w:cs="宋体" w:eastAsia="宋体" w:hint="default"/>
          <w:sz w:val="16"/>
          <w:szCs w:val="16"/>
        </w:rPr>
        <w:t>坏账准备</w:t>
      </w:r>
    </w:p>
    <w:p>
      <w:pPr>
        <w:spacing w:after="0" w:line="242" w:lineRule="auto"/>
        <w:jc w:val="left"/>
        <w:rPr>
          <w:rFonts w:ascii="宋体" w:hAnsi="宋体" w:cs="宋体" w:eastAsia="宋体" w:hint="default"/>
          <w:sz w:val="16"/>
          <w:szCs w:val="16"/>
        </w:rPr>
        <w:sectPr>
          <w:headerReference w:type="default" r:id="rId76"/>
          <w:pgSz w:w="11910" w:h="16840"/>
          <w:pgMar w:header="1189" w:footer="752" w:top="3060" w:bottom="940" w:left="1200" w:right="760"/>
        </w:sectPr>
      </w:pPr>
    </w:p>
    <w:p>
      <w:pPr>
        <w:spacing w:line="198" w:lineRule="exact" w:before="34"/>
        <w:ind w:left="0" w:right="984" w:firstLine="0"/>
        <w:jc w:val="right"/>
        <w:rPr>
          <w:rFonts w:ascii="宋体" w:hAnsi="宋体" w:cs="宋体" w:eastAsia="宋体" w:hint="default"/>
          <w:sz w:val="16"/>
          <w:szCs w:val="16"/>
        </w:rPr>
      </w:pPr>
      <w:r>
        <w:rPr>
          <w:rFonts w:ascii="宋体" w:hAnsi="宋体" w:cs="宋体" w:eastAsia="宋体" w:hint="default"/>
          <w:w w:val="95"/>
          <w:sz w:val="16"/>
          <w:szCs w:val="16"/>
        </w:rPr>
        <w:t>比例</w:t>
      </w:r>
      <w:r>
        <w:rPr>
          <w:rFonts w:ascii="宋体" w:hAnsi="宋体" w:cs="宋体" w:eastAsia="宋体" w:hint="default"/>
          <w:sz w:val="16"/>
          <w:szCs w:val="16"/>
        </w:rPr>
      </w:r>
    </w:p>
    <w:p>
      <w:pPr>
        <w:tabs>
          <w:tab w:pos="3675" w:val="left" w:leader="none"/>
          <w:tab w:pos="4625" w:val="left" w:leader="none"/>
        </w:tabs>
        <w:spacing w:line="219" w:lineRule="exact" w:before="0"/>
        <w:ind w:left="2680" w:right="0" w:firstLine="0"/>
        <w:jc w:val="center"/>
        <w:rPr>
          <w:rFonts w:ascii="宋体" w:hAnsi="宋体" w:cs="宋体" w:eastAsia="宋体" w:hint="default"/>
          <w:sz w:val="16"/>
          <w:szCs w:val="16"/>
        </w:rPr>
      </w:pPr>
      <w:r>
        <w:rPr>
          <w:rFonts w:ascii="宋体" w:hAnsi="宋体" w:cs="宋体" w:eastAsia="宋体" w:hint="default"/>
          <w:w w:val="95"/>
          <w:position w:val="1"/>
          <w:sz w:val="16"/>
          <w:szCs w:val="16"/>
        </w:rPr>
        <w:t>金额</w:t>
        <w:tab/>
      </w:r>
      <w:r>
        <w:rPr>
          <w:rFonts w:ascii="Arial" w:hAnsi="Arial" w:cs="Arial" w:eastAsia="Arial" w:hint="default"/>
          <w:spacing w:val="-1"/>
          <w:sz w:val="16"/>
          <w:szCs w:val="16"/>
        </w:rPr>
        <w:t>(%)</w:t>
        <w:tab/>
      </w:r>
      <w:r>
        <w:rPr>
          <w:rFonts w:ascii="宋体" w:hAnsi="宋体" w:cs="宋体" w:eastAsia="宋体" w:hint="default"/>
          <w:w w:val="95"/>
          <w:position w:val="1"/>
          <w:sz w:val="16"/>
          <w:szCs w:val="16"/>
        </w:rPr>
        <w:t>金额</w:t>
      </w:r>
      <w:r>
        <w:rPr>
          <w:rFonts w:ascii="宋体" w:hAnsi="宋体" w:cs="宋体" w:eastAsia="宋体" w:hint="default"/>
          <w:sz w:val="16"/>
          <w:szCs w:val="16"/>
        </w:rPr>
      </w:r>
    </w:p>
    <w:p>
      <w:pPr>
        <w:spacing w:line="209" w:lineRule="exact" w:before="11"/>
        <w:ind w:left="613" w:right="898" w:firstLine="0"/>
        <w:jc w:val="center"/>
        <w:rPr>
          <w:rFonts w:ascii="宋体" w:hAnsi="宋体" w:cs="宋体" w:eastAsia="宋体" w:hint="default"/>
          <w:sz w:val="16"/>
          <w:szCs w:val="16"/>
        </w:rPr>
      </w:pPr>
      <w:r>
        <w:rPr/>
        <w:br w:type="column"/>
      </w:r>
      <w:r>
        <w:rPr>
          <w:rFonts w:ascii="宋体" w:hAnsi="宋体" w:cs="宋体" w:eastAsia="宋体" w:hint="default"/>
          <w:sz w:val="16"/>
          <w:szCs w:val="16"/>
        </w:rPr>
        <w:t>计提</w:t>
      </w:r>
    </w:p>
    <w:p>
      <w:pPr>
        <w:tabs>
          <w:tab w:pos="1553" w:val="left" w:leader="none"/>
        </w:tabs>
        <w:spacing w:line="220" w:lineRule="exact" w:before="0"/>
        <w:ind w:left="509" w:right="-5" w:firstLine="0"/>
        <w:jc w:val="left"/>
        <w:rPr>
          <w:rFonts w:ascii="宋体" w:hAnsi="宋体" w:cs="宋体" w:eastAsia="宋体" w:hint="default"/>
          <w:sz w:val="16"/>
          <w:szCs w:val="16"/>
        </w:rPr>
      </w:pPr>
      <w:r>
        <w:rPr>
          <w:rFonts w:ascii="宋体" w:hAnsi="宋体" w:cs="宋体" w:eastAsia="宋体" w:hint="default"/>
          <w:spacing w:val="-1"/>
          <w:sz w:val="16"/>
          <w:szCs w:val="16"/>
        </w:rPr>
        <w:t>比例</w:t>
      </w:r>
      <w:r>
        <w:rPr>
          <w:rFonts w:ascii="Arial" w:hAnsi="Arial" w:cs="Arial" w:eastAsia="Arial" w:hint="default"/>
          <w:spacing w:val="-1"/>
          <w:sz w:val="16"/>
          <w:szCs w:val="16"/>
        </w:rPr>
        <w:t>(%)</w:t>
        <w:tab/>
      </w:r>
      <w:r>
        <w:rPr>
          <w:rFonts w:ascii="宋体" w:hAnsi="宋体" w:cs="宋体" w:eastAsia="宋体" w:hint="default"/>
          <w:w w:val="95"/>
          <w:sz w:val="16"/>
          <w:szCs w:val="16"/>
        </w:rPr>
        <w:t>金额</w:t>
      </w:r>
      <w:r>
        <w:rPr>
          <w:rFonts w:ascii="宋体" w:hAnsi="宋体" w:cs="宋体" w:eastAsia="宋体" w:hint="default"/>
          <w:sz w:val="16"/>
          <w:szCs w:val="16"/>
        </w:rPr>
      </w:r>
    </w:p>
    <w:p>
      <w:pPr>
        <w:spacing w:line="198" w:lineRule="exact" w:before="34"/>
        <w:ind w:left="571" w:right="-5" w:firstLine="0"/>
        <w:jc w:val="left"/>
        <w:rPr>
          <w:rFonts w:ascii="宋体" w:hAnsi="宋体" w:cs="宋体" w:eastAsia="宋体" w:hint="default"/>
          <w:sz w:val="16"/>
          <w:szCs w:val="16"/>
        </w:rPr>
      </w:pPr>
      <w:r>
        <w:rPr/>
        <w:br w:type="column"/>
      </w:r>
      <w:r>
        <w:rPr>
          <w:rFonts w:ascii="宋体" w:hAnsi="宋体" w:cs="宋体" w:eastAsia="宋体" w:hint="default"/>
          <w:sz w:val="16"/>
          <w:szCs w:val="16"/>
        </w:rPr>
        <w:t>比例</w:t>
      </w:r>
    </w:p>
    <w:p>
      <w:pPr>
        <w:tabs>
          <w:tab w:pos="1497" w:val="left" w:leader="none"/>
        </w:tabs>
        <w:spacing w:line="219" w:lineRule="exact" w:before="0"/>
        <w:ind w:left="607" w:right="-5" w:firstLine="0"/>
        <w:jc w:val="left"/>
        <w:rPr>
          <w:rFonts w:ascii="宋体" w:hAnsi="宋体" w:cs="宋体" w:eastAsia="宋体" w:hint="default"/>
          <w:sz w:val="16"/>
          <w:szCs w:val="16"/>
        </w:rPr>
      </w:pPr>
      <w:r>
        <w:rPr>
          <w:rFonts w:ascii="Arial" w:hAnsi="Arial" w:cs="Arial" w:eastAsia="Arial" w:hint="default"/>
          <w:spacing w:val="-1"/>
          <w:sz w:val="16"/>
          <w:szCs w:val="16"/>
        </w:rPr>
        <w:t>(%)</w:t>
        <w:tab/>
      </w:r>
      <w:r>
        <w:rPr>
          <w:rFonts w:ascii="宋体" w:hAnsi="宋体" w:cs="宋体" w:eastAsia="宋体" w:hint="default"/>
          <w:w w:val="95"/>
          <w:position w:val="1"/>
          <w:sz w:val="16"/>
          <w:szCs w:val="16"/>
        </w:rPr>
        <w:t>金额</w:t>
      </w:r>
      <w:r>
        <w:rPr>
          <w:rFonts w:ascii="宋体" w:hAnsi="宋体" w:cs="宋体" w:eastAsia="宋体" w:hint="default"/>
          <w:sz w:val="16"/>
          <w:szCs w:val="16"/>
        </w:rPr>
      </w:r>
    </w:p>
    <w:p>
      <w:pPr>
        <w:spacing w:before="11"/>
        <w:ind w:left="505" w:right="96" w:firstLine="123"/>
        <w:jc w:val="left"/>
        <w:rPr>
          <w:rFonts w:ascii="Arial" w:hAnsi="Arial" w:cs="Arial" w:eastAsia="Arial" w:hint="default"/>
          <w:sz w:val="16"/>
          <w:szCs w:val="16"/>
        </w:rPr>
      </w:pPr>
      <w:r>
        <w:rPr/>
        <w:br w:type="column"/>
      </w:r>
      <w:r>
        <w:rPr>
          <w:rFonts w:ascii="宋体" w:hAnsi="宋体" w:cs="宋体" w:eastAsia="宋体" w:hint="default"/>
          <w:sz w:val="16"/>
          <w:szCs w:val="16"/>
        </w:rPr>
        <w:t>计提</w:t>
      </w:r>
      <w:r>
        <w:rPr>
          <w:rFonts w:ascii="宋体" w:hAnsi="宋体" w:cs="宋体" w:eastAsia="宋体" w:hint="default"/>
          <w:w w:val="99"/>
          <w:sz w:val="16"/>
          <w:szCs w:val="16"/>
        </w:rPr>
        <w:t> </w:t>
      </w:r>
      <w:r>
        <w:rPr>
          <w:rFonts w:ascii="宋体" w:hAnsi="宋体" w:cs="宋体" w:eastAsia="宋体" w:hint="default"/>
          <w:sz w:val="16"/>
          <w:szCs w:val="16"/>
        </w:rPr>
        <w:t>比例</w:t>
      </w:r>
      <w:r>
        <w:rPr>
          <w:rFonts w:ascii="Arial" w:hAnsi="Arial" w:cs="Arial" w:eastAsia="Arial" w:hint="default"/>
          <w:sz w:val="16"/>
          <w:szCs w:val="16"/>
        </w:rPr>
        <w:t>(%)</w:t>
      </w:r>
    </w:p>
    <w:p>
      <w:pPr>
        <w:spacing w:after="0"/>
        <w:jc w:val="left"/>
        <w:rPr>
          <w:rFonts w:ascii="Arial" w:hAnsi="Arial" w:cs="Arial" w:eastAsia="Arial" w:hint="default"/>
          <w:sz w:val="16"/>
          <w:szCs w:val="16"/>
        </w:rPr>
        <w:sectPr>
          <w:type w:val="continuous"/>
          <w:pgSz w:w="11910" w:h="16840"/>
          <w:pgMar w:top="1600" w:bottom="280" w:left="1200" w:right="760"/>
          <w:cols w:num="4" w:equalWidth="0">
            <w:col w:w="4946" w:space="40"/>
            <w:col w:w="1873" w:space="40"/>
            <w:col w:w="1817" w:space="40"/>
            <w:col w:w="1194"/>
          </w:cols>
        </w:sectPr>
      </w:pPr>
    </w:p>
    <w:p>
      <w:pPr>
        <w:spacing w:line="20" w:lineRule="exact"/>
        <w:ind w:left="2232" w:right="0" w:firstLine="0"/>
        <w:rPr>
          <w:rFonts w:ascii="Arial" w:hAnsi="Arial" w:cs="Arial" w:eastAsia="Arial" w:hint="default"/>
          <w:sz w:val="2"/>
          <w:szCs w:val="2"/>
        </w:rPr>
      </w:pPr>
      <w:r>
        <w:rPr>
          <w:rFonts w:ascii="Arial"/>
          <w:sz w:val="2"/>
        </w:rPr>
        <w:pict>
          <v:group style="width:191.8pt;height:.75pt;mso-position-horizontal-relative:char;mso-position-vertical-relative:line" coordorigin="0,0" coordsize="3836,15">
            <v:group style="position:absolute;left:7;top:7;width:1191;height:2" coordorigin="7,7" coordsize="1191,2">
              <v:shape style="position:absolute;left:7;top:7;width:1191;height:2" coordorigin="7,7" coordsize="1191,0" path="m7,7l1198,7e" filled="false" stroked="true" strokeweight=".72pt" strokecolor="#000000">
                <v:path arrowok="t"/>
              </v:shape>
            </v:group>
            <v:group style="position:absolute;left:1273;top:7;width:574;height:2" coordorigin="1273,7" coordsize="574,2">
              <v:shape style="position:absolute;left:1273;top:7;width:574;height:2" coordorigin="1273,7" coordsize="574,0" path="m1273,7l1847,7e" filled="false" stroked="true" strokeweight=".72pt" strokecolor="#000000">
                <v:path arrowok="t"/>
              </v:shape>
            </v:group>
            <v:group style="position:absolute;left:1924;top:7;width:1198;height:2" coordorigin="1924,7" coordsize="1198,2">
              <v:shape style="position:absolute;left:1924;top:7;width:1198;height:2" coordorigin="1924,7" coordsize="1198,0" path="m1924,7l3121,7e" filled="false" stroked="true" strokeweight=".72pt" strokecolor="#000000">
                <v:path arrowok="t"/>
              </v:shape>
            </v:group>
            <v:group style="position:absolute;left:3197;top:7;width:632;height:2" coordorigin="3197,7" coordsize="632,2">
              <v:shape style="position:absolute;left:3197;top:7;width:632;height:2" coordorigin="3197,7" coordsize="632,0" path="m3197,7l3828,7e" filled="false" stroked="true" strokeweight=".72pt" strokecolor="#000000">
                <v:path arrowok="t"/>
              </v:shape>
            </v:group>
          </v:group>
        </w:pict>
      </w:r>
      <w:r>
        <w:rPr>
          <w:rFonts w:ascii="Arial"/>
          <w:sz w:val="2"/>
        </w:rPr>
      </w:r>
      <w:r>
        <w:rPr>
          <w:rFonts w:ascii="Times New Roman"/>
          <w:spacing w:val="61"/>
          <w:sz w:val="2"/>
        </w:rPr>
        <w:t> </w:t>
      </w:r>
      <w:r>
        <w:rPr>
          <w:rFonts w:ascii="Arial"/>
          <w:spacing w:val="61"/>
          <w:sz w:val="2"/>
        </w:rPr>
        <w:pict>
          <v:group style="width:57.15pt;height:.75pt;mso-position-horizontal-relative:char;mso-position-vertical-relative:line" coordorigin="0,0" coordsize="1143,15">
            <v:group style="position:absolute;left:7;top:7;width:1128;height:2" coordorigin="7,7" coordsize="1128,2">
              <v:shape style="position:absolute;left:7;top:7;width:1128;height:2" coordorigin="7,7" coordsize="1128,0" path="m7,7l1135,7e" filled="false" stroked="true" strokeweight=".72pt" strokecolor="#000000">
                <v:path arrowok="t"/>
              </v:shape>
            </v:group>
          </v:group>
        </w:pict>
      </w:r>
      <w:r>
        <w:rPr>
          <w:rFonts w:ascii="Arial"/>
          <w:spacing w:val="61"/>
          <w:sz w:val="2"/>
        </w:rPr>
      </w:r>
      <w:r>
        <w:rPr>
          <w:rFonts w:ascii="Times New Roman"/>
          <w:spacing w:val="61"/>
          <w:sz w:val="2"/>
        </w:rPr>
        <w:t> </w:t>
      </w:r>
      <w:r>
        <w:rPr>
          <w:rFonts w:ascii="Arial"/>
          <w:spacing w:val="61"/>
          <w:sz w:val="2"/>
        </w:rPr>
        <w:pict>
          <v:group style="width:90.4pt;height:.75pt;mso-position-horizontal-relative:char;mso-position-vertical-relative:line" coordorigin="0,0" coordsize="1808,15">
            <v:group style="position:absolute;left:7;top:7;width:533;height:2" coordorigin="7,7" coordsize="533,2">
              <v:shape style="position:absolute;left:7;top:7;width:533;height:2" coordorigin="7,7" coordsize="533,0" path="m7,7l540,7e" filled="false" stroked="true" strokeweight=".72pt" strokecolor="#000000">
                <v:path arrowok="t"/>
              </v:shape>
            </v:group>
            <v:group style="position:absolute;left:616;top:7;width:1185;height:2" coordorigin="616,7" coordsize="1185,2">
              <v:shape style="position:absolute;left:616;top:7;width:1185;height:2" coordorigin="616,7" coordsize="1185,0" path="m616,7l1800,7e" filled="false" stroked="true" strokeweight=".72pt" strokecolor="#000000">
                <v:path arrowok="t"/>
              </v:shape>
            </v:group>
          </v:group>
        </w:pict>
      </w:r>
      <w:r>
        <w:rPr>
          <w:rFonts w:ascii="Arial"/>
          <w:spacing w:val="61"/>
          <w:sz w:val="2"/>
        </w:rPr>
      </w:r>
      <w:r>
        <w:rPr>
          <w:rFonts w:ascii="Times New Roman"/>
          <w:spacing w:val="61"/>
          <w:sz w:val="2"/>
        </w:rPr>
        <w:t> </w:t>
      </w:r>
      <w:r>
        <w:rPr>
          <w:rFonts w:ascii="Arial"/>
          <w:spacing w:val="61"/>
          <w:sz w:val="2"/>
        </w:rPr>
        <w:pict>
          <v:group style="width:30.2pt;height:.75pt;mso-position-horizontal-relative:char;mso-position-vertical-relative:line" coordorigin="0,0" coordsize="604,15">
            <v:group style="position:absolute;left:7;top:7;width:590;height:2" coordorigin="7,7" coordsize="590,2">
              <v:shape style="position:absolute;left:7;top:7;width:590;height:2" coordorigin="7,7" coordsize="590,0" path="m7,7l596,7e" filled="false" stroked="true" strokeweight=".72pt" strokecolor="#000000">
                <v:path arrowok="t"/>
              </v:shape>
            </v:group>
          </v:group>
        </w:pict>
      </w:r>
      <w:r>
        <w:rPr>
          <w:rFonts w:ascii="Arial"/>
          <w:spacing w:val="61"/>
          <w:sz w:val="2"/>
        </w:rPr>
      </w:r>
    </w:p>
    <w:p>
      <w:pPr>
        <w:spacing w:line="240" w:lineRule="auto" w:before="1"/>
        <w:rPr>
          <w:rFonts w:ascii="Arial" w:hAnsi="Arial" w:cs="Arial" w:eastAsia="Arial" w:hint="default"/>
          <w:sz w:val="9"/>
          <w:szCs w:val="9"/>
        </w:rPr>
      </w:pPr>
    </w:p>
    <w:p>
      <w:pPr>
        <w:tabs>
          <w:tab w:pos="3355" w:val="left" w:leader="none"/>
          <w:tab w:pos="4005" w:val="left" w:leader="none"/>
          <w:tab w:pos="5279" w:val="left" w:leader="none"/>
          <w:tab w:pos="5987" w:val="left" w:leader="none"/>
          <w:tab w:pos="7198" w:val="left" w:leader="none"/>
          <w:tab w:pos="7815" w:val="left" w:leader="none"/>
          <w:tab w:pos="9018" w:val="left" w:leader="none"/>
          <w:tab w:pos="9742" w:val="left" w:leader="none"/>
        </w:tabs>
        <w:spacing w:line="218" w:lineRule="exact" w:before="52"/>
        <w:ind w:left="602" w:right="0" w:firstLine="0"/>
        <w:jc w:val="left"/>
        <w:rPr>
          <w:rFonts w:ascii="Arial" w:hAnsi="Arial" w:cs="Arial" w:eastAsia="Arial" w:hint="default"/>
          <w:sz w:val="16"/>
          <w:szCs w:val="16"/>
        </w:rPr>
      </w:pPr>
      <w:r>
        <w:rPr>
          <w:rFonts w:ascii="宋体" w:hAnsi="宋体" w:cs="宋体" w:eastAsia="宋体" w:hint="default"/>
          <w:w w:val="95"/>
          <w:position w:val="1"/>
          <w:sz w:val="16"/>
          <w:szCs w:val="16"/>
        </w:rPr>
        <w:t>单项金额重大</w:t>
        <w:tab/>
      </w:r>
      <w:r>
        <w:rPr>
          <w:rFonts w:ascii="Arial" w:hAnsi="Arial" w:cs="Arial" w:eastAsia="Arial" w:hint="default"/>
          <w:w w:val="95"/>
          <w:sz w:val="16"/>
          <w:szCs w:val="16"/>
        </w:rPr>
        <w:t>-</w:t>
        <w:tab/>
        <w:t>-</w:t>
        <w:tab/>
        <w:t>-</w:t>
        <w:tab/>
        <w:t>-</w:t>
        <w:tab/>
        <w:t>-</w:t>
        <w:tab/>
        <w:t>-</w:t>
        <w:tab/>
        <w:t>-</w:t>
        <w:tab/>
      </w:r>
      <w:r>
        <w:rPr>
          <w:rFonts w:ascii="Arial" w:hAnsi="Arial" w:cs="Arial" w:eastAsia="Arial" w:hint="default"/>
          <w:sz w:val="16"/>
          <w:szCs w:val="16"/>
        </w:rPr>
        <w:t>-</w:t>
      </w:r>
    </w:p>
    <w:p>
      <w:pPr>
        <w:spacing w:line="206" w:lineRule="exact" w:before="9"/>
        <w:ind w:left="780" w:right="6877" w:hanging="178"/>
        <w:jc w:val="left"/>
        <w:rPr>
          <w:rFonts w:ascii="宋体" w:hAnsi="宋体" w:cs="宋体" w:eastAsia="宋体" w:hint="default"/>
          <w:sz w:val="16"/>
          <w:szCs w:val="16"/>
        </w:rPr>
      </w:pPr>
      <w:r>
        <w:rPr>
          <w:rFonts w:ascii="宋体" w:hAnsi="宋体" w:cs="宋体" w:eastAsia="宋体" w:hint="default"/>
          <w:sz w:val="16"/>
          <w:szCs w:val="16"/>
        </w:rPr>
        <w:t>单项金额不重大但按信</w:t>
      </w:r>
      <w:r>
        <w:rPr>
          <w:rFonts w:ascii="宋体" w:hAnsi="宋体" w:cs="宋体" w:eastAsia="宋体" w:hint="default"/>
          <w:spacing w:val="-69"/>
          <w:sz w:val="16"/>
          <w:szCs w:val="16"/>
        </w:rPr>
        <w:t> </w:t>
      </w:r>
      <w:r>
        <w:rPr>
          <w:rFonts w:ascii="宋体" w:hAnsi="宋体" w:cs="宋体" w:eastAsia="宋体" w:hint="default"/>
          <w:spacing w:val="-69"/>
          <w:sz w:val="16"/>
          <w:szCs w:val="16"/>
        </w:rPr>
      </w:r>
      <w:r>
        <w:rPr>
          <w:rFonts w:ascii="宋体" w:hAnsi="宋体" w:cs="宋体" w:eastAsia="宋体" w:hint="default"/>
          <w:spacing w:val="17"/>
          <w:sz w:val="16"/>
          <w:szCs w:val="16"/>
        </w:rPr>
        <w:t>用风险特征</w:t>
      </w:r>
      <w:r>
        <w:rPr>
          <w:rFonts w:ascii="宋体" w:hAnsi="宋体" w:cs="宋体" w:eastAsia="宋体" w:hint="default"/>
          <w:spacing w:val="-58"/>
          <w:sz w:val="16"/>
          <w:szCs w:val="16"/>
        </w:rPr>
        <w:t> </w:t>
      </w:r>
      <w:r>
        <w:rPr>
          <w:rFonts w:ascii="宋体" w:hAnsi="宋体" w:cs="宋体" w:eastAsia="宋体" w:hint="default"/>
          <w:sz w:val="16"/>
          <w:szCs w:val="16"/>
        </w:rPr>
        <w:t>组</w:t>
      </w:r>
      <w:r>
        <w:rPr>
          <w:rFonts w:ascii="宋体" w:hAnsi="宋体" w:cs="宋体" w:eastAsia="宋体" w:hint="default"/>
          <w:spacing w:val="-58"/>
          <w:sz w:val="16"/>
          <w:szCs w:val="16"/>
        </w:rPr>
        <w:t> </w:t>
      </w:r>
      <w:r>
        <w:rPr>
          <w:rFonts w:ascii="宋体" w:hAnsi="宋体" w:cs="宋体" w:eastAsia="宋体" w:hint="default"/>
          <w:spacing w:val="11"/>
          <w:sz w:val="16"/>
          <w:szCs w:val="16"/>
        </w:rPr>
        <w:t>合后</w:t>
      </w:r>
      <w:r>
        <w:rPr>
          <w:rFonts w:ascii="宋体" w:hAnsi="宋体" w:cs="宋体" w:eastAsia="宋体" w:hint="default"/>
          <w:spacing w:val="-58"/>
          <w:sz w:val="16"/>
          <w:szCs w:val="16"/>
        </w:rPr>
        <w:t> </w:t>
      </w:r>
      <w:r>
        <w:rPr>
          <w:rFonts w:ascii="宋体" w:hAnsi="宋体" w:cs="宋体" w:eastAsia="宋体" w:hint="default"/>
          <w:sz w:val="16"/>
          <w:szCs w:val="16"/>
        </w:rPr>
      </w:r>
    </w:p>
    <w:p>
      <w:pPr>
        <w:tabs>
          <w:tab w:pos="2112" w:val="left" w:leader="none"/>
          <w:tab w:pos="4066" w:val="left" w:leader="none"/>
          <w:tab w:pos="5441" w:val="left" w:leader="none"/>
          <w:tab w:pos="9196" w:val="left" w:leader="none"/>
        </w:tabs>
        <w:spacing w:line="201" w:lineRule="exact" w:before="0"/>
        <w:ind w:left="630" w:right="0" w:firstLine="0"/>
        <w:jc w:val="center"/>
        <w:rPr>
          <w:rFonts w:ascii="Arial" w:hAnsi="Arial" w:cs="Arial" w:eastAsia="Arial" w:hint="default"/>
          <w:sz w:val="16"/>
          <w:szCs w:val="16"/>
        </w:rPr>
      </w:pPr>
      <w:r>
        <w:rPr>
          <w:rFonts w:ascii="宋体" w:hAnsi="宋体" w:cs="宋体" w:eastAsia="宋体" w:hint="default"/>
          <w:w w:val="95"/>
          <w:position w:val="1"/>
          <w:sz w:val="16"/>
          <w:szCs w:val="16"/>
        </w:rPr>
        <w:t>该组合风险较大</w:t>
        <w:tab/>
      </w:r>
      <w:r>
        <w:rPr>
          <w:rFonts w:ascii="Arial" w:hAnsi="Arial" w:cs="Arial" w:eastAsia="Arial" w:hint="default"/>
          <w:sz w:val="16"/>
          <w:szCs w:val="16"/>
        </w:rPr>
        <w:t>14,007,959,009 </w:t>
      </w:r>
      <w:r>
        <w:rPr>
          <w:rFonts w:ascii="Arial" w:hAnsi="Arial" w:cs="Arial" w:eastAsia="Arial" w:hint="default"/>
          <w:spacing w:val="39"/>
          <w:sz w:val="16"/>
          <w:szCs w:val="16"/>
        </w:rPr>
        <w:t> </w:t>
      </w:r>
      <w:r>
        <w:rPr>
          <w:rFonts w:ascii="Arial" w:hAnsi="Arial" w:cs="Arial" w:eastAsia="Arial" w:hint="default"/>
          <w:sz w:val="16"/>
          <w:szCs w:val="16"/>
        </w:rPr>
        <w:t>100.00</w:t>
        <w:tab/>
      </w:r>
      <w:r>
        <w:rPr>
          <w:rFonts w:ascii="Arial" w:hAnsi="Arial" w:cs="Arial" w:eastAsia="Arial" w:hint="default"/>
          <w:w w:val="95"/>
          <w:sz w:val="16"/>
          <w:szCs w:val="16"/>
        </w:rPr>
        <w:t>(4,137,305,208)</w:t>
        <w:tab/>
      </w:r>
      <w:r>
        <w:rPr>
          <w:rFonts w:ascii="Arial" w:hAnsi="Arial" w:cs="Arial" w:eastAsia="Arial" w:hint="default"/>
          <w:sz w:val="16"/>
          <w:szCs w:val="16"/>
        </w:rPr>
        <w:t>0~100  13,392,638,516  100.00  </w:t>
      </w:r>
      <w:r>
        <w:rPr>
          <w:rFonts w:ascii="Arial" w:hAnsi="Arial" w:cs="Arial" w:eastAsia="Arial" w:hint="default"/>
          <w:spacing w:val="36"/>
          <w:sz w:val="16"/>
          <w:szCs w:val="16"/>
        </w:rPr>
        <w:t> </w:t>
      </w:r>
      <w:r>
        <w:rPr>
          <w:rFonts w:ascii="Arial" w:hAnsi="Arial" w:cs="Arial" w:eastAsia="Arial" w:hint="default"/>
          <w:sz w:val="16"/>
          <w:szCs w:val="16"/>
        </w:rPr>
        <w:t>(3,508,722,648)</w:t>
        <w:tab/>
        <w:t>0~100</w:t>
      </w:r>
    </w:p>
    <w:p>
      <w:pPr>
        <w:tabs>
          <w:tab w:pos="2239" w:val="left" w:leader="none"/>
          <w:tab w:pos="3321" w:val="left" w:leader="none"/>
          <w:tab w:pos="4005" w:val="left" w:leader="none"/>
          <w:tab w:pos="5238" w:val="left" w:leader="none"/>
          <w:tab w:pos="5987" w:val="left" w:leader="none"/>
          <w:tab w:pos="7198" w:val="left" w:leader="none"/>
          <w:tab w:pos="7815" w:val="left" w:leader="none"/>
          <w:tab w:pos="9017" w:val="left" w:leader="none"/>
          <w:tab w:pos="9742" w:val="left" w:leader="none"/>
        </w:tabs>
        <w:spacing w:line="219" w:lineRule="exact" w:before="0"/>
        <w:ind w:left="602" w:right="0" w:firstLine="0"/>
        <w:jc w:val="left"/>
        <w:rPr>
          <w:rFonts w:ascii="Arial" w:hAnsi="Arial" w:cs="Arial" w:eastAsia="Arial" w:hint="default"/>
          <w:sz w:val="16"/>
          <w:szCs w:val="16"/>
        </w:rPr>
      </w:pPr>
      <w:r>
        <w:rPr>
          <w:rFonts w:ascii="宋体" w:hAnsi="宋体" w:cs="宋体" w:eastAsia="宋体" w:hint="default"/>
          <w:w w:val="95"/>
          <w:position w:val="1"/>
          <w:sz w:val="16"/>
          <w:szCs w:val="16"/>
        </w:rPr>
        <w:t>其他不重大</w:t>
        <w:tab/>
      </w:r>
      <w:r>
        <w:rPr>
          <w:rFonts w:ascii="Arial" w:hAnsi="Arial" w:cs="Arial" w:eastAsia="Arial" w:hint="default"/>
          <w:w w:val="95"/>
          <w:sz w:val="16"/>
          <w:szCs w:val="16"/>
        </w:rPr>
      </w:r>
      <w:r>
        <w:rPr>
          <w:rFonts w:ascii="Arial" w:hAnsi="Arial" w:cs="Arial" w:eastAsia="Arial" w:hint="default"/>
          <w:w w:val="95"/>
          <w:sz w:val="16"/>
          <w:szCs w:val="16"/>
          <w:u w:val="single" w:color="000000"/>
        </w:rPr>
        <w:t> </w:t>
        <w:tab/>
        <w:t>-</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t>-</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t>-</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t>-</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t>-</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t>-</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t>-</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r>
      <w:r>
        <w:rPr>
          <w:rFonts w:ascii="Arial" w:hAnsi="Arial" w:cs="Arial" w:eastAsia="Arial" w:hint="default"/>
          <w:sz w:val="16"/>
          <w:szCs w:val="16"/>
          <w:u w:val="single" w:color="000000"/>
        </w:rPr>
        <w:t>-</w:t>
      </w:r>
      <w:r>
        <w:rPr>
          <w:rFonts w:ascii="Arial" w:hAnsi="Arial" w:cs="Arial" w:eastAsia="Arial" w:hint="default"/>
          <w:sz w:val="16"/>
          <w:szCs w:val="16"/>
        </w:rPr>
      </w:r>
    </w:p>
    <w:p>
      <w:pPr>
        <w:spacing w:line="240" w:lineRule="auto" w:before="9"/>
        <w:rPr>
          <w:rFonts w:ascii="Arial" w:hAnsi="Arial" w:cs="Arial" w:eastAsia="Arial" w:hint="default"/>
          <w:sz w:val="10"/>
          <w:szCs w:val="10"/>
        </w:rPr>
      </w:pPr>
    </w:p>
    <w:p>
      <w:pPr>
        <w:tabs>
          <w:tab w:pos="2262" w:val="left" w:leader="none"/>
          <w:tab w:pos="4216" w:val="left" w:leader="none"/>
          <w:tab w:pos="5591" w:val="left" w:leader="none"/>
          <w:tab w:pos="9346" w:val="left" w:leader="none"/>
        </w:tabs>
        <w:spacing w:before="52"/>
        <w:ind w:left="602" w:right="0" w:firstLine="0"/>
        <w:jc w:val="left"/>
        <w:rPr>
          <w:rFonts w:ascii="Arial" w:hAnsi="Arial" w:cs="Arial" w:eastAsia="Arial" w:hint="default"/>
          <w:sz w:val="16"/>
          <w:szCs w:val="16"/>
        </w:rPr>
      </w:pPr>
      <w:r>
        <w:rPr>
          <w:rFonts w:ascii="宋体" w:hAnsi="宋体" w:cs="宋体" w:eastAsia="宋体" w:hint="default"/>
          <w:w w:val="95"/>
          <w:position w:val="1"/>
          <w:sz w:val="16"/>
          <w:szCs w:val="16"/>
        </w:rPr>
        <w:t>合计</w:t>
        <w:tab/>
      </w:r>
      <w:r>
        <w:rPr>
          <w:rFonts w:ascii="Arial" w:hAnsi="Arial" w:cs="Arial" w:eastAsia="Arial" w:hint="default"/>
          <w:sz w:val="16"/>
          <w:szCs w:val="16"/>
        </w:rPr>
        <w:t>14,007,959,009 </w:t>
      </w:r>
      <w:r>
        <w:rPr>
          <w:rFonts w:ascii="Arial" w:hAnsi="Arial" w:cs="Arial" w:eastAsia="Arial" w:hint="default"/>
          <w:spacing w:val="39"/>
          <w:sz w:val="16"/>
          <w:szCs w:val="16"/>
        </w:rPr>
        <w:t> </w:t>
      </w:r>
      <w:r>
        <w:rPr>
          <w:rFonts w:ascii="Arial" w:hAnsi="Arial" w:cs="Arial" w:eastAsia="Arial" w:hint="default"/>
          <w:sz w:val="16"/>
          <w:szCs w:val="16"/>
        </w:rPr>
        <w:t>100.00</w:t>
        <w:tab/>
      </w:r>
      <w:r>
        <w:rPr>
          <w:rFonts w:ascii="Arial" w:hAnsi="Arial" w:cs="Arial" w:eastAsia="Arial" w:hint="default"/>
          <w:w w:val="95"/>
          <w:sz w:val="16"/>
          <w:szCs w:val="16"/>
        </w:rPr>
        <w:t>(4,137,305,208)</w:t>
        <w:tab/>
      </w:r>
      <w:r>
        <w:rPr>
          <w:rFonts w:ascii="Arial" w:hAnsi="Arial" w:cs="Arial" w:eastAsia="Arial" w:hint="default"/>
          <w:sz w:val="16"/>
          <w:szCs w:val="16"/>
        </w:rPr>
        <w:t>0~100  13,392,638,516  100.00  </w:t>
      </w:r>
      <w:r>
        <w:rPr>
          <w:rFonts w:ascii="Arial" w:hAnsi="Arial" w:cs="Arial" w:eastAsia="Arial" w:hint="default"/>
          <w:spacing w:val="36"/>
          <w:sz w:val="16"/>
          <w:szCs w:val="16"/>
        </w:rPr>
        <w:t> </w:t>
      </w:r>
      <w:r>
        <w:rPr>
          <w:rFonts w:ascii="Arial" w:hAnsi="Arial" w:cs="Arial" w:eastAsia="Arial" w:hint="default"/>
          <w:sz w:val="16"/>
          <w:szCs w:val="16"/>
        </w:rPr>
        <w:t>(3,508,722,648)</w:t>
        <w:tab/>
        <w:t>0~100</w:t>
      </w:r>
    </w:p>
    <w:p>
      <w:pPr>
        <w:spacing w:line="43" w:lineRule="exact"/>
        <w:ind w:left="2224" w:right="0" w:firstLine="0"/>
        <w:rPr>
          <w:rFonts w:ascii="Arial" w:hAnsi="Arial" w:cs="Arial" w:eastAsia="Arial" w:hint="default"/>
          <w:sz w:val="4"/>
          <w:szCs w:val="4"/>
        </w:rPr>
      </w:pPr>
      <w:r>
        <w:rPr>
          <w:rFonts w:ascii="Arial" w:hAnsi="Arial" w:cs="Arial" w:eastAsia="Arial" w:hint="default"/>
          <w:position w:val="0"/>
          <w:sz w:val="4"/>
          <w:szCs w:val="4"/>
        </w:rPr>
        <w:pict>
          <v:group style="width:380.6pt;height:2.2pt;mso-position-horizontal-relative:char;mso-position-vertical-relative:line" coordorigin="0,0" coordsize="7612,44">
            <v:group style="position:absolute;left:7;top:36;width:1205;height:2" coordorigin="7,36" coordsize="1205,2">
              <v:shape style="position:absolute;left:7;top:36;width:1205;height:2" coordorigin="7,36" coordsize="1205,0" path="m7,36l1212,36e" filled="false" stroked="true" strokeweight=".72pt" strokecolor="#000000">
                <v:path arrowok="t"/>
              </v:shape>
            </v:group>
            <v:group style="position:absolute;left:7;top:7;width:1205;height:2" coordorigin="7,7" coordsize="1205,2">
              <v:shape style="position:absolute;left:7;top:7;width:1205;height:2" coordorigin="7,7" coordsize="1205,0" path="m7,7l1212,7e" filled="false" stroked="true" strokeweight=".72pt" strokecolor="#000000">
                <v:path arrowok="t"/>
              </v:shape>
            </v:group>
            <v:group style="position:absolute;left:1273;top:36;width:588;height:2" coordorigin="1273,36" coordsize="588,2">
              <v:shape style="position:absolute;left:1273;top:36;width:588;height:2" coordorigin="1273,36" coordsize="588,0" path="m1273,36l1861,36e" filled="false" stroked="true" strokeweight=".72pt" strokecolor="#000000">
                <v:path arrowok="t"/>
              </v:shape>
            </v:group>
            <v:group style="position:absolute;left:1273;top:7;width:588;height:2" coordorigin="1273,7" coordsize="588,2">
              <v:shape style="position:absolute;left:1273;top:7;width:588;height:2" coordorigin="1273,7" coordsize="588,0" path="m1273,7l1861,7e" filled="false" stroked="true" strokeweight=".72pt" strokecolor="#000000">
                <v:path arrowok="t"/>
              </v:shape>
            </v:group>
            <v:group style="position:absolute;left:1924;top:36;width:1212;height:2" coordorigin="1924,36" coordsize="1212,2">
              <v:shape style="position:absolute;left:1924;top:36;width:1212;height:2" coordorigin="1924,36" coordsize="1212,0" path="m1924,36l3136,36e" filled="false" stroked="true" strokeweight=".72pt" strokecolor="#000000">
                <v:path arrowok="t"/>
              </v:shape>
            </v:group>
            <v:group style="position:absolute;left:1924;top:7;width:1212;height:2" coordorigin="1924,7" coordsize="1212,2">
              <v:shape style="position:absolute;left:1924;top:7;width:1212;height:2" coordorigin="1924,7" coordsize="1212,0" path="m1924,7l3136,7e" filled="false" stroked="true" strokeweight=".72pt" strokecolor="#000000">
                <v:path arrowok="t"/>
              </v:shape>
            </v:group>
            <v:group style="position:absolute;left:3197;top:36;width:646;height:2" coordorigin="3197,36" coordsize="646,2">
              <v:shape style="position:absolute;left:3197;top:36;width:646;height:2" coordorigin="3197,36" coordsize="646,0" path="m3197,36l3842,36e" filled="false" stroked="true" strokeweight=".72pt" strokecolor="#000000">
                <v:path arrowok="t"/>
              </v:shape>
            </v:group>
            <v:group style="position:absolute;left:3197;top:7;width:646;height:2" coordorigin="3197,7" coordsize="646,2">
              <v:shape style="position:absolute;left:3197;top:7;width:646;height:2" coordorigin="3197,7" coordsize="646,0" path="m3197,7l3842,7e" filled="false" stroked="true" strokeweight=".72pt" strokecolor="#000000">
                <v:path arrowok="t"/>
              </v:shape>
            </v:group>
            <v:group style="position:absolute;left:3912;top:36;width:1143;height:2" coordorigin="3912,36" coordsize="1143,2">
              <v:shape style="position:absolute;left:3912;top:36;width:1143;height:2" coordorigin="3912,36" coordsize="1143,0" path="m3912,36l5054,36e" filled="false" stroked="true" strokeweight=".72pt" strokecolor="#000000">
                <v:path arrowok="t"/>
              </v:shape>
            </v:group>
            <v:group style="position:absolute;left:3912;top:7;width:1143;height:2" coordorigin="3912,7" coordsize="1143,2">
              <v:shape style="position:absolute;left:3912;top:7;width:1143;height:2" coordorigin="3912,7" coordsize="1143,0" path="m3912,7l5054,7e" filled="false" stroked="true" strokeweight=".72pt" strokecolor="#000000">
                <v:path arrowok="t"/>
              </v:shape>
            </v:group>
            <v:group style="position:absolute;left:5124;top:36;width:548;height:2" coordorigin="5124,36" coordsize="548,2">
              <v:shape style="position:absolute;left:5124;top:36;width:548;height:2" coordorigin="5124,36" coordsize="548,0" path="m5124,36l5671,36e" filled="false" stroked="true" strokeweight=".72pt" strokecolor="#000000">
                <v:path arrowok="t"/>
              </v:shape>
            </v:group>
            <v:group style="position:absolute;left:5124;top:7;width:548;height:2" coordorigin="5124,7" coordsize="548,2">
              <v:shape style="position:absolute;left:5124;top:7;width:548;height:2" coordorigin="5124,7" coordsize="548,0" path="m5124,7l5671,7e" filled="false" stroked="true" strokeweight=".72pt" strokecolor="#000000">
                <v:path arrowok="t"/>
              </v:shape>
            </v:group>
            <v:group style="position:absolute;left:5732;top:36;width:1199;height:2" coordorigin="5732,36" coordsize="1199,2">
              <v:shape style="position:absolute;left:5732;top:36;width:1199;height:2" coordorigin="5732,36" coordsize="1199,0" path="m5732,36l6931,36e" filled="false" stroked="true" strokeweight=".72pt" strokecolor="#000000">
                <v:path arrowok="t"/>
              </v:shape>
            </v:group>
            <v:group style="position:absolute;left:5732;top:7;width:1199;height:2" coordorigin="5732,7" coordsize="1199,2">
              <v:shape style="position:absolute;left:5732;top:7;width:1199;height:2" coordorigin="5732,7" coordsize="1199,0" path="m5732,7l6931,7e" filled="false" stroked="true" strokeweight=".72pt" strokecolor="#000000">
                <v:path arrowok="t"/>
              </v:shape>
            </v:group>
            <v:group style="position:absolute;left:7001;top:36;width:604;height:2" coordorigin="7001,36" coordsize="604,2">
              <v:shape style="position:absolute;left:7001;top:36;width:604;height:2" coordorigin="7001,36" coordsize="604,0" path="m7001,36l7604,36e" filled="false" stroked="true" strokeweight=".72pt" strokecolor="#000000">
                <v:path arrowok="t"/>
              </v:shape>
            </v:group>
            <v:group style="position:absolute;left:7001;top:7;width:604;height:2" coordorigin="7001,7" coordsize="604,2">
              <v:shape style="position:absolute;left:7001;top:7;width:604;height:2" coordorigin="7001,7" coordsize="604,0" path="m7001,7l7604,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5"/>
        <w:rPr>
          <w:rFonts w:ascii="Arial" w:hAnsi="Arial" w:cs="Arial" w:eastAsia="Arial" w:hint="default"/>
          <w:sz w:val="16"/>
          <w:szCs w:val="16"/>
        </w:rPr>
      </w:pPr>
    </w:p>
    <w:p>
      <w:pPr>
        <w:pStyle w:val="BodyText"/>
        <w:spacing w:line="240" w:lineRule="auto" w:before="31"/>
        <w:ind w:left="154" w:right="723"/>
        <w:jc w:val="left"/>
      </w:pPr>
      <w:r>
        <w:rPr>
          <w:rFonts w:ascii="Arial" w:hAnsi="Arial" w:cs="Arial" w:eastAsia="Arial" w:hint="default"/>
        </w:rPr>
        <w:t>(c) </w:t>
      </w:r>
      <w:r>
        <w:rPr>
          <w:rFonts w:ascii="Arial" w:hAnsi="Arial" w:cs="Arial" w:eastAsia="Arial" w:hint="default"/>
          <w:spacing w:val="24"/>
        </w:rPr>
        <w:t> </w:t>
      </w: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日，无单项金额重大、或虽不重大但单独进行减值测试的应收账款。</w:t>
      </w:r>
    </w:p>
    <w:p>
      <w:pPr>
        <w:spacing w:after="0" w:line="240" w:lineRule="auto"/>
        <w:jc w:val="left"/>
        <w:sectPr>
          <w:type w:val="continuous"/>
          <w:pgSz w:w="11910" w:h="16840"/>
          <w:pgMar w:top="1600" w:bottom="280" w:left="1200" w:right="760"/>
        </w:sectPr>
      </w:pPr>
    </w:p>
    <w:p>
      <w:pPr>
        <w:spacing w:line="240" w:lineRule="auto" w:before="12"/>
        <w:rPr>
          <w:rFonts w:ascii="宋体" w:hAnsi="宋体" w:cs="宋体" w:eastAsia="宋体" w:hint="default"/>
          <w:sz w:val="15"/>
          <w:szCs w:val="15"/>
        </w:rPr>
      </w:pPr>
    </w:p>
    <w:p>
      <w:pPr>
        <w:pStyle w:val="BodyText"/>
        <w:tabs>
          <w:tab w:pos="604" w:val="left" w:leader="none"/>
        </w:tabs>
        <w:spacing w:line="240" w:lineRule="auto" w:before="31"/>
        <w:ind w:left="114" w:right="125"/>
        <w:jc w:val="left"/>
      </w:pPr>
      <w:r>
        <w:rPr>
          <w:rFonts w:ascii="Arial" w:hAnsi="Arial" w:cs="Arial" w:eastAsia="Arial" w:hint="default"/>
          <w:w w:val="95"/>
        </w:rPr>
        <w:t>(d)</w:t>
        <w:tab/>
      </w:r>
      <w:r>
        <w:rPr/>
        <w:t>单项金额不重大但按信用风险特征组合后该组合风险较大的应收账款分析如下：</w:t>
      </w:r>
    </w:p>
    <w:p>
      <w:pPr>
        <w:spacing w:line="240" w:lineRule="auto" w:before="9"/>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headerReference w:type="default" r:id="rId77"/>
          <w:footerReference w:type="default" r:id="rId78"/>
          <w:pgSz w:w="11910" w:h="16840"/>
          <w:pgMar w:header="1189" w:footer="752" w:top="3580" w:bottom="940" w:left="1240" w:right="900"/>
        </w:sectPr>
      </w:pPr>
    </w:p>
    <w:p>
      <w:pPr>
        <w:tabs>
          <w:tab w:pos="4154" w:val="left" w:leader="none"/>
          <w:tab w:pos="6222" w:val="left" w:leader="none"/>
          <w:tab w:pos="6512" w:val="left" w:leader="none"/>
          <w:tab w:pos="8304" w:val="left" w:leader="none"/>
        </w:tabs>
        <w:spacing w:line="242" w:lineRule="auto" w:before="50"/>
        <w:ind w:left="2083" w:right="0" w:firstLine="681"/>
        <w:jc w:val="left"/>
        <w:rPr>
          <w:rFonts w:ascii="宋体" w:hAnsi="宋体" w:cs="宋体" w:eastAsia="宋体" w:hint="default"/>
          <w:sz w:val="16"/>
          <w:szCs w:val="16"/>
        </w:rPr>
      </w:pPr>
      <w:r>
        <w:rPr/>
        <w:pict>
          <v:group style="position:absolute;margin-left:132.779999pt;margin-top:14.242539pt;width:411.85pt;height:.75pt;mso-position-horizontal-relative:page;mso-position-vertical-relative:paragraph;z-index:-917488" coordorigin="2656,285" coordsize="8237,15">
            <v:group style="position:absolute;left:2663;top:292;width:4061;height:2" coordorigin="2663,292" coordsize="4061,2">
              <v:shape style="position:absolute;left:2663;top:292;width:4061;height:2" coordorigin="2663,292" coordsize="4061,0" path="m2663,292l6724,292e" filled="false" stroked="true" strokeweight=".72pt" strokecolor="#000000">
                <v:path arrowok="t"/>
              </v:shape>
            </v:group>
            <v:group style="position:absolute;left:6799;top:292;width:4086;height:2" coordorigin="6799,292" coordsize="4086,2">
              <v:shape style="position:absolute;left:6799;top:292;width:4086;height:2" coordorigin="6799,292" coordsize="4086,0" path="m6799,292l10885,292e" filled="false" stroked="true" strokeweight=".72pt" strokecolor="#000000">
                <v:path arrowok="t"/>
              </v:shape>
            </v:group>
            <w10:wrap type="none"/>
          </v:group>
        </w:pict>
      </w:r>
      <w:r>
        <w:rPr>
          <w:rFonts w:ascii="Arial" w:hAnsi="Arial" w:cs="Arial" w:eastAsia="Arial" w:hint="default"/>
          <w:sz w:val="16"/>
          <w:szCs w:val="16"/>
        </w:rPr>
        <w:t>2009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12</w:t>
      </w:r>
      <w:r>
        <w:rPr>
          <w:rFonts w:ascii="Arial" w:hAnsi="Arial" w:cs="Arial" w:eastAsia="Arial" w:hint="default"/>
          <w:spacing w:val="-5"/>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tab/>
        <w:tab/>
      </w:r>
      <w:r>
        <w:rPr>
          <w:rFonts w:ascii="Arial" w:hAnsi="Arial" w:cs="Arial" w:eastAsia="Arial" w:hint="default"/>
          <w:sz w:val="16"/>
          <w:szCs w:val="16"/>
        </w:rPr>
        <w:t>2008</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12</w:t>
      </w:r>
      <w:r>
        <w:rPr>
          <w:rFonts w:ascii="Arial" w:hAnsi="Arial" w:cs="Arial" w:eastAsia="Arial" w:hint="default"/>
          <w:spacing w:val="-5"/>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日（经重列）</w:t>
      </w:r>
      <w:r>
        <w:rPr>
          <w:rFonts w:ascii="宋体" w:hAnsi="宋体" w:cs="宋体" w:eastAsia="宋体" w:hint="default"/>
          <w:w w:val="99"/>
          <w:sz w:val="16"/>
          <w:szCs w:val="16"/>
        </w:rPr>
        <w:t> </w:t>
      </w:r>
      <w:r>
        <w:rPr>
          <w:rFonts w:ascii="宋体" w:hAnsi="宋体" w:cs="宋体" w:eastAsia="宋体" w:hint="default"/>
          <w:w w:val="95"/>
          <w:sz w:val="16"/>
          <w:szCs w:val="16"/>
        </w:rPr>
        <w:t>账面余额</w:t>
        <w:tab/>
        <w:t>坏账准备</w:t>
        <w:tab/>
        <w:t>账面余额</w:t>
        <w:tab/>
        <w:t>坏账准备</w:t>
      </w:r>
      <w:r>
        <w:rPr>
          <w:rFonts w:ascii="宋体" w:hAnsi="宋体" w:cs="宋体" w:eastAsia="宋体" w:hint="default"/>
          <w:sz w:val="16"/>
          <w:szCs w:val="16"/>
        </w:rPr>
      </w:r>
    </w:p>
    <w:p>
      <w:pPr>
        <w:spacing w:before="12"/>
        <w:ind w:left="4766" w:right="3496" w:firstLine="0"/>
        <w:jc w:val="center"/>
        <w:rPr>
          <w:rFonts w:ascii="宋体" w:hAnsi="宋体" w:cs="宋体" w:eastAsia="宋体" w:hint="default"/>
          <w:sz w:val="16"/>
          <w:szCs w:val="16"/>
        </w:rPr>
      </w:pPr>
      <w:r>
        <w:rPr/>
        <w:pict>
          <v:group style="position:absolute;margin-left:133.139999pt;margin-top:1.543691pt;width:97.35pt;height:.1pt;mso-position-horizontal-relative:page;mso-position-vertical-relative:paragraph;z-index:2032" coordorigin="2663,31" coordsize="1947,2">
            <v:shape style="position:absolute;left:2663;top:31;width:1947;height:2" coordorigin="2663,31" coordsize="1947,0" path="m2663,31l4609,31e" filled="false" stroked="true" strokeweight=".72pt" strokecolor="#000000">
              <v:path arrowok="t"/>
            </v:shape>
            <w10:wrap type="none"/>
          </v:group>
        </w:pict>
      </w:r>
      <w:r>
        <w:rPr/>
        <w:pict>
          <v:group style="position:absolute;margin-left:234.300003pt;margin-top:1.183691pt;width:310.350pt;height:.75pt;mso-position-horizontal-relative:page;mso-position-vertical-relative:paragraph;z-index:-917440" coordorigin="4686,24" coordsize="6207,15">
            <v:group style="position:absolute;left:4693;top:31;width:2031;height:2" coordorigin="4693,31" coordsize="2031,2">
              <v:shape style="position:absolute;left:4693;top:31;width:2031;height:2" coordorigin="4693,31" coordsize="2031,0" path="m4693,31l6724,31e" filled="false" stroked="true" strokeweight=".72pt" strokecolor="#000000">
                <v:path arrowok="t"/>
              </v:shape>
            </v:group>
            <v:group style="position:absolute;left:6799;top:31;width:1954;height:2" coordorigin="6799,31" coordsize="1954,2">
              <v:shape style="position:absolute;left:6799;top:31;width:1954;height:2" coordorigin="6799,31" coordsize="1954,0" path="m6799,31l8753,31e" filled="false" stroked="true" strokeweight=".72pt" strokecolor="#000000">
                <v:path arrowok="t"/>
              </v:shape>
            </v:group>
            <v:group style="position:absolute;left:8828;top:31;width:2057;height:2" coordorigin="8828,31" coordsize="2057,2">
              <v:shape style="position:absolute;left:8828;top:31;width:2057;height:2" coordorigin="8828,31" coordsize="2057,0" path="m8828,31l10885,31e" filled="false" stroked="true" strokeweight=".72pt" strokecolor="#000000">
                <v:path arrowok="t"/>
              </v:shape>
            </v:group>
            <w10:wrap type="none"/>
          </v:group>
        </w:pict>
      </w:r>
      <w:r>
        <w:rPr>
          <w:rFonts w:ascii="宋体" w:hAnsi="宋体" w:cs="宋体" w:eastAsia="宋体" w:hint="default"/>
          <w:sz w:val="16"/>
          <w:szCs w:val="16"/>
        </w:rPr>
        <w:t>计提比例</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2"/>
        <w:rPr>
          <w:rFonts w:ascii="宋体" w:hAnsi="宋体" w:cs="宋体" w:eastAsia="宋体" w:hint="default"/>
          <w:sz w:val="21"/>
          <w:szCs w:val="21"/>
        </w:rPr>
      </w:pPr>
    </w:p>
    <w:p>
      <w:pPr>
        <w:spacing w:before="0"/>
        <w:ind w:left="-36" w:right="0" w:firstLine="0"/>
        <w:jc w:val="left"/>
        <w:rPr>
          <w:rFonts w:ascii="宋体" w:hAnsi="宋体" w:cs="宋体" w:eastAsia="宋体" w:hint="default"/>
          <w:sz w:val="16"/>
          <w:szCs w:val="16"/>
        </w:rPr>
      </w:pPr>
      <w:r>
        <w:rPr>
          <w:rFonts w:ascii="宋体" w:hAnsi="宋体" w:cs="宋体" w:eastAsia="宋体" w:hint="default"/>
          <w:sz w:val="16"/>
          <w:szCs w:val="16"/>
        </w:rPr>
        <w:t>计提比例</w:t>
      </w:r>
    </w:p>
    <w:p>
      <w:pPr>
        <w:spacing w:after="0"/>
        <w:jc w:val="left"/>
        <w:rPr>
          <w:rFonts w:ascii="宋体" w:hAnsi="宋体" w:cs="宋体" w:eastAsia="宋体" w:hint="default"/>
          <w:sz w:val="16"/>
          <w:szCs w:val="16"/>
        </w:rPr>
        <w:sectPr>
          <w:type w:val="continuous"/>
          <w:pgSz w:w="11910" w:h="16840"/>
          <w:pgMar w:top="1600" w:bottom="280" w:left="1240" w:right="900"/>
          <w:cols w:num="2" w:equalWidth="0">
            <w:col w:w="8944" w:space="40"/>
            <w:col w:w="786"/>
          </w:cols>
        </w:sectPr>
      </w:pPr>
    </w:p>
    <w:p>
      <w:pPr>
        <w:tabs>
          <w:tab w:pos="2781" w:val="left" w:leader="none"/>
          <w:tab w:pos="3894" w:val="left" w:leader="none"/>
        </w:tabs>
        <w:spacing w:line="195" w:lineRule="exact" w:before="0"/>
        <w:ind w:left="1858" w:right="-5" w:firstLine="0"/>
        <w:jc w:val="left"/>
        <w:rPr>
          <w:rFonts w:ascii="宋体" w:hAnsi="宋体" w:cs="宋体" w:eastAsia="宋体" w:hint="default"/>
          <w:sz w:val="16"/>
          <w:szCs w:val="16"/>
        </w:rPr>
      </w:pPr>
      <w:r>
        <w:rPr>
          <w:rFonts w:ascii="宋体" w:hAnsi="宋体" w:cs="宋体" w:eastAsia="宋体" w:hint="default"/>
          <w:w w:val="95"/>
          <w:sz w:val="16"/>
          <w:szCs w:val="16"/>
        </w:rPr>
        <w:t>金额</w:t>
        <w:tab/>
      </w:r>
      <w:r>
        <w:rPr>
          <w:rFonts w:ascii="宋体" w:hAnsi="宋体" w:cs="宋体" w:eastAsia="宋体" w:hint="default"/>
          <w:spacing w:val="-1"/>
          <w:sz w:val="16"/>
          <w:szCs w:val="16"/>
        </w:rPr>
        <w:t>比例</w:t>
      </w:r>
      <w:r>
        <w:rPr>
          <w:rFonts w:ascii="Arial" w:hAnsi="Arial" w:cs="Arial" w:eastAsia="Arial" w:hint="default"/>
          <w:spacing w:val="-1"/>
          <w:sz w:val="16"/>
          <w:szCs w:val="16"/>
        </w:rPr>
        <w:t>(%)</w:t>
        <w:tab/>
      </w:r>
      <w:r>
        <w:rPr>
          <w:rFonts w:ascii="宋体" w:hAnsi="宋体" w:cs="宋体" w:eastAsia="宋体" w:hint="default"/>
          <w:w w:val="95"/>
          <w:sz w:val="16"/>
          <w:szCs w:val="16"/>
        </w:rPr>
        <w:t>金额</w:t>
      </w:r>
      <w:r>
        <w:rPr>
          <w:rFonts w:ascii="宋体" w:hAnsi="宋体" w:cs="宋体" w:eastAsia="宋体" w:hint="default"/>
          <w:sz w:val="16"/>
          <w:szCs w:val="16"/>
        </w:rPr>
      </w:r>
    </w:p>
    <w:p>
      <w:pPr>
        <w:tabs>
          <w:tab w:pos="1735" w:val="left" w:leader="none"/>
          <w:tab w:pos="2670" w:val="left" w:leader="none"/>
          <w:tab w:pos="3786" w:val="left" w:leader="none"/>
        </w:tabs>
        <w:spacing w:line="206" w:lineRule="exact" w:before="0"/>
        <w:ind w:left="730" w:right="-5" w:firstLine="0"/>
        <w:jc w:val="left"/>
        <w:rPr>
          <w:rFonts w:ascii="宋体" w:hAnsi="宋体" w:cs="宋体" w:eastAsia="宋体" w:hint="default"/>
          <w:sz w:val="16"/>
          <w:szCs w:val="16"/>
        </w:rPr>
      </w:pPr>
      <w:r>
        <w:rPr>
          <w:spacing w:val="-1"/>
        </w:rPr>
        <w:br w:type="column"/>
      </w:r>
      <w:r>
        <w:rPr>
          <w:rFonts w:ascii="Arial" w:hAnsi="Arial" w:cs="Arial" w:eastAsia="Arial" w:hint="default"/>
          <w:spacing w:val="-1"/>
          <w:sz w:val="16"/>
          <w:szCs w:val="16"/>
        </w:rPr>
        <w:t>(%)</w:t>
        <w:tab/>
      </w:r>
      <w:r>
        <w:rPr>
          <w:rFonts w:ascii="宋体" w:hAnsi="宋体" w:cs="宋体" w:eastAsia="宋体" w:hint="default"/>
          <w:w w:val="95"/>
          <w:position w:val="1"/>
          <w:sz w:val="16"/>
          <w:szCs w:val="16"/>
        </w:rPr>
        <w:t>金额</w:t>
        <w:tab/>
      </w:r>
      <w:r>
        <w:rPr>
          <w:rFonts w:ascii="宋体" w:hAnsi="宋体" w:cs="宋体" w:eastAsia="宋体" w:hint="default"/>
          <w:spacing w:val="-1"/>
          <w:position w:val="1"/>
          <w:sz w:val="16"/>
          <w:szCs w:val="16"/>
        </w:rPr>
        <w:t>比例</w:t>
      </w:r>
      <w:r>
        <w:rPr>
          <w:rFonts w:ascii="Arial" w:hAnsi="Arial" w:cs="Arial" w:eastAsia="Arial" w:hint="default"/>
          <w:spacing w:val="-1"/>
          <w:position w:val="1"/>
          <w:sz w:val="16"/>
          <w:szCs w:val="16"/>
        </w:rPr>
        <w:t>(%)</w:t>
        <w:tab/>
      </w:r>
      <w:r>
        <w:rPr>
          <w:rFonts w:ascii="宋体" w:hAnsi="宋体" w:cs="宋体" w:eastAsia="宋体" w:hint="default"/>
          <w:w w:val="95"/>
          <w:position w:val="1"/>
          <w:sz w:val="16"/>
          <w:szCs w:val="16"/>
        </w:rPr>
        <w:t>金额</w:t>
      </w:r>
      <w:r>
        <w:rPr>
          <w:rFonts w:ascii="宋体" w:hAnsi="宋体" w:cs="宋体" w:eastAsia="宋体" w:hint="default"/>
          <w:sz w:val="16"/>
          <w:szCs w:val="16"/>
        </w:rPr>
      </w:r>
    </w:p>
    <w:p>
      <w:pPr>
        <w:spacing w:before="22"/>
        <w:ind w:left="744" w:right="0" w:firstLine="0"/>
        <w:jc w:val="left"/>
        <w:rPr>
          <w:rFonts w:ascii="Arial" w:hAnsi="Arial" w:cs="Arial" w:eastAsia="Arial" w:hint="default"/>
          <w:sz w:val="16"/>
          <w:szCs w:val="16"/>
        </w:rPr>
      </w:pPr>
      <w:r>
        <w:rPr/>
        <w:br w:type="column"/>
      </w:r>
      <w:r>
        <w:rPr>
          <w:rFonts w:ascii="Arial"/>
          <w:sz w:val="16"/>
        </w:rPr>
        <w:t>(%)</w:t>
      </w:r>
    </w:p>
    <w:p>
      <w:pPr>
        <w:spacing w:after="0"/>
        <w:jc w:val="left"/>
        <w:rPr>
          <w:rFonts w:ascii="Arial" w:hAnsi="Arial" w:cs="Arial" w:eastAsia="Arial" w:hint="default"/>
          <w:sz w:val="16"/>
          <w:szCs w:val="16"/>
        </w:rPr>
        <w:sectPr>
          <w:type w:val="continuous"/>
          <w:pgSz w:w="11910" w:h="16840"/>
          <w:pgMar w:top="1600" w:bottom="280" w:left="1240" w:right="900"/>
          <w:cols w:num="3" w:equalWidth="0">
            <w:col w:w="4214" w:space="40"/>
            <w:col w:w="4106" w:space="40"/>
            <w:col w:w="1370"/>
          </w:cols>
        </w:sectPr>
      </w:pPr>
    </w:p>
    <w:p>
      <w:pPr>
        <w:spacing w:line="20" w:lineRule="exact"/>
        <w:ind w:left="1415" w:right="0" w:firstLine="0"/>
        <w:rPr>
          <w:rFonts w:ascii="Arial" w:hAnsi="Arial" w:cs="Arial" w:eastAsia="Arial" w:hint="default"/>
          <w:sz w:val="2"/>
          <w:szCs w:val="2"/>
        </w:rPr>
      </w:pPr>
      <w:r>
        <w:rPr>
          <w:rFonts w:ascii="Arial"/>
          <w:sz w:val="2"/>
        </w:rPr>
        <w:pict>
          <v:group style="width:98.05pt;height:.75pt;mso-position-horizontal-relative:char;mso-position-vertical-relative:line" coordorigin="0,0" coordsize="1961,15">
            <v:group style="position:absolute;left:7;top:7;width:1176;height:2" coordorigin="7,7" coordsize="1176,2">
              <v:shape style="position:absolute;left:7;top:7;width:1176;height:2" coordorigin="7,7" coordsize="1176,0" path="m7,7l1183,7e" filled="false" stroked="true" strokeweight=".72pt" strokecolor="#000000">
                <v:path arrowok="t"/>
              </v:shape>
            </v:group>
            <v:group style="position:absolute;left:1260;top:7;width:694;height:2" coordorigin="1260,7" coordsize="694,2">
              <v:shape style="position:absolute;left:1260;top:7;width:694;height:2" coordorigin="1260,7" coordsize="694,0" path="m1260,7l1954,7e" filled="false" stroked="true" strokeweight=".72pt" strokecolor="#000000">
                <v:path arrowok="t"/>
              </v:shape>
            </v:group>
          </v:group>
        </w:pict>
      </w:r>
      <w:r>
        <w:rPr>
          <w:rFonts w:ascii="Arial"/>
          <w:sz w:val="2"/>
        </w:rPr>
      </w:r>
      <w:r>
        <w:rPr>
          <w:rFonts w:ascii="Times New Roman"/>
          <w:spacing w:val="61"/>
          <w:sz w:val="2"/>
        </w:rPr>
        <w:t> </w:t>
      </w:r>
      <w:r>
        <w:rPr>
          <w:rFonts w:ascii="Arial"/>
          <w:spacing w:val="61"/>
          <w:sz w:val="2"/>
        </w:rPr>
        <w:pict>
          <v:group style="width:310.350pt;height:.75pt;mso-position-horizontal-relative:char;mso-position-vertical-relative:line" coordorigin="0,0" coordsize="6207,15">
            <v:group style="position:absolute;left:7;top:7;width:1191;height:2" coordorigin="7,7" coordsize="1191,2">
              <v:shape style="position:absolute;left:7;top:7;width:1191;height:2" coordorigin="7,7" coordsize="1191,0" path="m7,7l1198,7e" filled="false" stroked="true" strokeweight=".72pt" strokecolor="#000000">
                <v:path arrowok="t"/>
              </v:shape>
            </v:group>
            <v:group style="position:absolute;left:1273;top:7;width:765;height:2" coordorigin="1273,7" coordsize="765,2">
              <v:shape style="position:absolute;left:1273;top:7;width:765;height:2" coordorigin="1273,7" coordsize="765,0" path="m1273,7l2038,7e" filled="false" stroked="true" strokeweight=".72pt" strokecolor="#000000">
                <v:path arrowok="t"/>
              </v:shape>
            </v:group>
            <v:group style="position:absolute;left:2113;top:7;width:1169;height:2" coordorigin="2113,7" coordsize="1169,2">
              <v:shape style="position:absolute;left:2113;top:7;width:1169;height:2" coordorigin="2113,7" coordsize="1169,0" path="m2113,7l3282,7e" filled="false" stroked="true" strokeweight=".72pt" strokecolor="#000000">
                <v:path arrowok="t"/>
              </v:shape>
            </v:group>
            <v:group style="position:absolute;left:3359;top:7;width:708;height:2" coordorigin="3359,7" coordsize="708,2">
              <v:shape style="position:absolute;left:3359;top:7;width:708;height:2" coordorigin="3359,7" coordsize="708,0" path="m3359,7l4067,7e" filled="false" stroked="true" strokeweight=".72pt" strokecolor="#000000">
                <v:path arrowok="t"/>
              </v:shape>
            </v:group>
            <v:group style="position:absolute;left:4142;top:7;width:1212;height:2" coordorigin="4142,7" coordsize="1212,2">
              <v:shape style="position:absolute;left:4142;top:7;width:1212;height:2" coordorigin="4142,7" coordsize="1212,0" path="m4142,7l5354,7e" filled="false" stroked="true" strokeweight=".72pt" strokecolor="#000000">
                <v:path arrowok="t"/>
              </v:shape>
            </v:group>
            <v:group style="position:absolute;left:5430;top:7;width:770;height:2" coordorigin="5430,7" coordsize="770,2">
              <v:shape style="position:absolute;left:5430;top:7;width:770;height:2" coordorigin="5430,7" coordsize="770,0" path="m5430,7l6199,7e" filled="false" stroked="true" strokeweight=".72pt" strokecolor="#000000">
                <v:path arrowok="t"/>
              </v:shape>
            </v:group>
          </v:group>
        </w:pict>
      </w:r>
      <w:r>
        <w:rPr>
          <w:rFonts w:ascii="Arial"/>
          <w:spacing w:val="61"/>
          <w:sz w:val="2"/>
        </w:rPr>
      </w:r>
    </w:p>
    <w:p>
      <w:pPr>
        <w:spacing w:line="240" w:lineRule="auto" w:before="0"/>
        <w:rPr>
          <w:rFonts w:ascii="Arial" w:hAnsi="Arial" w:cs="Arial" w:eastAsia="Arial" w:hint="default"/>
          <w:sz w:val="9"/>
          <w:szCs w:val="9"/>
        </w:rPr>
      </w:pPr>
    </w:p>
    <w:tbl>
      <w:tblPr>
        <w:tblW w:w="0" w:type="auto"/>
        <w:jc w:val="left"/>
        <w:tblInd w:w="569" w:type="dxa"/>
        <w:tblLayout w:type="fixed"/>
        <w:tblCellMar>
          <w:top w:w="0" w:type="dxa"/>
          <w:left w:w="0" w:type="dxa"/>
          <w:bottom w:w="0" w:type="dxa"/>
          <w:right w:w="0" w:type="dxa"/>
        </w:tblCellMar>
        <w:tblLook w:val="01E0"/>
      </w:tblPr>
      <w:tblGrid>
        <w:gridCol w:w="909"/>
        <w:gridCol w:w="1285"/>
        <w:gridCol w:w="657"/>
        <w:gridCol w:w="1353"/>
        <w:gridCol w:w="799"/>
        <w:gridCol w:w="1326"/>
        <w:gridCol w:w="671"/>
        <w:gridCol w:w="1363"/>
        <w:gridCol w:w="727"/>
      </w:tblGrid>
      <w:tr>
        <w:trPr>
          <w:trHeight w:val="294" w:hRule="exact"/>
        </w:trPr>
        <w:tc>
          <w:tcPr>
            <w:tcW w:w="90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0"/>
              <w:jc w:val="left"/>
              <w:rPr>
                <w:rFonts w:ascii="宋体" w:hAnsi="宋体" w:cs="宋体" w:eastAsia="宋体" w:hint="default"/>
                <w:sz w:val="16"/>
                <w:szCs w:val="16"/>
              </w:rPr>
            </w:pPr>
            <w:r>
              <w:rPr>
                <w:rFonts w:ascii="宋体" w:hAnsi="宋体" w:cs="宋体" w:eastAsia="宋体" w:hint="default"/>
                <w:sz w:val="16"/>
                <w:szCs w:val="16"/>
              </w:rPr>
              <w:t>小于</w:t>
            </w:r>
            <w:r>
              <w:rPr>
                <w:rFonts w:ascii="宋体" w:hAnsi="宋体" w:cs="宋体" w:eastAsia="宋体" w:hint="default"/>
                <w:spacing w:val="-47"/>
                <w:sz w:val="16"/>
                <w:szCs w:val="16"/>
              </w:rPr>
              <w:t> </w:t>
            </w:r>
            <w:r>
              <w:rPr>
                <w:rFonts w:ascii="Arial" w:hAnsi="Arial" w:cs="Arial" w:eastAsia="Arial" w:hint="default"/>
                <w:sz w:val="16"/>
                <w:szCs w:val="16"/>
              </w:rPr>
              <w:t>1</w:t>
            </w:r>
            <w:r>
              <w:rPr>
                <w:rFonts w:ascii="Arial" w:hAnsi="Arial" w:cs="Arial" w:eastAsia="Arial" w:hint="default"/>
                <w:spacing w:val="-11"/>
                <w:sz w:val="16"/>
                <w:szCs w:val="16"/>
              </w:rPr>
              <w:t> </w:t>
            </w:r>
            <w:r>
              <w:rPr>
                <w:rFonts w:ascii="宋体" w:hAnsi="宋体" w:cs="宋体" w:eastAsia="宋体" w:hint="default"/>
                <w:sz w:val="16"/>
                <w:szCs w:val="16"/>
              </w:rPr>
              <w:t>个月</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83"/>
              <w:jc w:val="right"/>
              <w:rPr>
                <w:rFonts w:ascii="Arial" w:hAnsi="Arial" w:cs="Arial" w:eastAsia="Arial" w:hint="default"/>
                <w:sz w:val="16"/>
                <w:szCs w:val="16"/>
              </w:rPr>
            </w:pPr>
            <w:r>
              <w:rPr>
                <w:rFonts w:ascii="Arial"/>
                <w:w w:val="95"/>
                <w:sz w:val="16"/>
              </w:rPr>
              <w:t>6,914,987,983</w:t>
            </w:r>
            <w:r>
              <w:rPr>
                <w:rFonts w:ascii="Arial"/>
                <w:sz w:val="16"/>
              </w:rPr>
            </w:r>
          </w:p>
        </w:tc>
        <w:tc>
          <w:tcPr>
            <w:tcW w:w="657"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70"/>
              <w:jc w:val="right"/>
              <w:rPr>
                <w:rFonts w:ascii="Arial" w:hAnsi="Arial" w:cs="Arial" w:eastAsia="Arial" w:hint="default"/>
                <w:sz w:val="16"/>
                <w:szCs w:val="16"/>
              </w:rPr>
            </w:pPr>
            <w:r>
              <w:rPr>
                <w:rFonts w:ascii="Arial"/>
                <w:w w:val="95"/>
                <w:sz w:val="16"/>
              </w:rPr>
              <w:t>49.36</w:t>
            </w:r>
            <w:r>
              <w:rPr>
                <w:rFonts w:ascii="Arial"/>
                <w:sz w:val="16"/>
              </w:rPr>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49"/>
              <w:jc w:val="right"/>
              <w:rPr>
                <w:rFonts w:ascii="Arial" w:hAnsi="Arial" w:cs="Arial" w:eastAsia="Arial" w:hint="default"/>
                <w:sz w:val="16"/>
                <w:szCs w:val="16"/>
              </w:rPr>
            </w:pPr>
            <w:r>
              <w:rPr>
                <w:rFonts w:ascii="Arial"/>
                <w:w w:val="99"/>
                <w:sz w:val="16"/>
              </w:rPr>
              <w:t>-</w:t>
            </w:r>
            <w:r>
              <w:rPr>
                <w:rFonts w:ascii="Arial"/>
                <w:sz w:val="16"/>
              </w:rPr>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09"/>
              <w:jc w:val="right"/>
              <w:rPr>
                <w:rFonts w:ascii="Arial" w:hAnsi="Arial" w:cs="Arial" w:eastAsia="Arial" w:hint="default"/>
                <w:sz w:val="16"/>
                <w:szCs w:val="16"/>
              </w:rPr>
            </w:pPr>
            <w:r>
              <w:rPr>
                <w:rFonts w:ascii="Arial"/>
                <w:w w:val="99"/>
                <w:sz w:val="16"/>
              </w:rPr>
              <w:t>-</w:t>
            </w:r>
            <w:r>
              <w:rPr>
                <w:rFonts w:ascii="Arial"/>
                <w:sz w:val="16"/>
              </w:rPr>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91"/>
              <w:jc w:val="right"/>
              <w:rPr>
                <w:rFonts w:ascii="Arial" w:hAnsi="Arial" w:cs="Arial" w:eastAsia="Arial" w:hint="default"/>
                <w:sz w:val="16"/>
                <w:szCs w:val="16"/>
              </w:rPr>
            </w:pPr>
            <w:r>
              <w:rPr>
                <w:rFonts w:ascii="Arial"/>
                <w:w w:val="95"/>
                <w:sz w:val="16"/>
              </w:rPr>
              <w:t>6,949,657,609</w:t>
            </w:r>
            <w:r>
              <w:rPr>
                <w:rFonts w:ascii="Arial"/>
                <w:sz w:val="16"/>
              </w:rPr>
            </w:r>
          </w:p>
        </w:tc>
        <w:tc>
          <w:tcPr>
            <w:tcW w:w="67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76"/>
              <w:jc w:val="right"/>
              <w:rPr>
                <w:rFonts w:ascii="Arial" w:hAnsi="Arial" w:cs="Arial" w:eastAsia="Arial" w:hint="default"/>
                <w:sz w:val="16"/>
                <w:szCs w:val="16"/>
              </w:rPr>
            </w:pPr>
            <w:r>
              <w:rPr>
                <w:rFonts w:ascii="Arial"/>
                <w:w w:val="95"/>
                <w:sz w:val="16"/>
              </w:rPr>
              <w:t>51.89</w:t>
            </w:r>
            <w:r>
              <w:rPr>
                <w:rFonts w:ascii="Arial"/>
                <w:sz w:val="16"/>
              </w:rPr>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152"/>
              <w:jc w:val="right"/>
              <w:rPr>
                <w:rFonts w:ascii="Arial" w:hAnsi="Arial" w:cs="Arial" w:eastAsia="Arial" w:hint="default"/>
                <w:sz w:val="16"/>
                <w:szCs w:val="16"/>
              </w:rPr>
            </w:pPr>
            <w:r>
              <w:rPr>
                <w:rFonts w:ascii="Arial"/>
                <w:w w:val="99"/>
                <w:sz w:val="16"/>
              </w:rPr>
              <w:t>-</w:t>
            </w:r>
            <w:r>
              <w:rPr>
                <w:rFonts w:ascii="Arial"/>
                <w:sz w:val="16"/>
              </w:rPr>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33"/>
              <w:jc w:val="right"/>
              <w:rPr>
                <w:rFonts w:ascii="Arial" w:hAnsi="Arial" w:cs="Arial" w:eastAsia="Arial" w:hint="default"/>
                <w:sz w:val="16"/>
                <w:szCs w:val="16"/>
              </w:rPr>
            </w:pPr>
            <w:r>
              <w:rPr>
                <w:rFonts w:ascii="Arial"/>
                <w:w w:val="99"/>
                <w:sz w:val="16"/>
              </w:rPr>
              <w:t>-</w:t>
            </w:r>
            <w:r>
              <w:rPr>
                <w:rFonts w:ascii="Arial"/>
                <w:sz w:val="16"/>
              </w:rPr>
            </w:r>
          </w:p>
        </w:tc>
      </w:tr>
      <w:tr>
        <w:trPr>
          <w:trHeight w:val="208" w:hRule="exact"/>
        </w:trPr>
        <w:tc>
          <w:tcPr>
            <w:tcW w:w="909" w:type="dxa"/>
            <w:tcBorders>
              <w:top w:val="nil" w:sz="6" w:space="0" w:color="auto"/>
              <w:left w:val="nil" w:sz="6" w:space="0" w:color="auto"/>
              <w:bottom w:val="nil" w:sz="6" w:space="0" w:color="auto"/>
              <w:right w:val="nil" w:sz="6" w:space="0" w:color="auto"/>
            </w:tcBorders>
          </w:tcPr>
          <w:p>
            <w:pPr>
              <w:pStyle w:val="TableParagraph"/>
              <w:spacing w:line="185" w:lineRule="exact"/>
              <w:ind w:left="35" w:right="0"/>
              <w:jc w:val="left"/>
              <w:rPr>
                <w:rFonts w:ascii="宋体" w:hAnsi="宋体" w:cs="宋体" w:eastAsia="宋体" w:hint="default"/>
                <w:sz w:val="16"/>
                <w:szCs w:val="16"/>
              </w:rPr>
            </w:pPr>
            <w:r>
              <w:rPr>
                <w:rFonts w:ascii="Arial" w:hAnsi="Arial" w:cs="Arial" w:eastAsia="Arial" w:hint="default"/>
                <w:sz w:val="16"/>
                <w:szCs w:val="16"/>
              </w:rPr>
              <w:t>1-3</w:t>
            </w:r>
            <w:r>
              <w:rPr>
                <w:rFonts w:ascii="Arial" w:hAnsi="Arial" w:cs="Arial" w:eastAsia="Arial" w:hint="default"/>
                <w:spacing w:val="-7"/>
                <w:sz w:val="16"/>
                <w:szCs w:val="16"/>
              </w:rPr>
              <w:t> </w:t>
            </w:r>
            <w:r>
              <w:rPr>
                <w:rFonts w:ascii="宋体" w:hAnsi="宋体" w:cs="宋体" w:eastAsia="宋体" w:hint="default"/>
                <w:sz w:val="16"/>
                <w:szCs w:val="16"/>
              </w:rPr>
              <w:t>个月</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3"/>
              <w:jc w:val="right"/>
              <w:rPr>
                <w:rFonts w:ascii="Arial" w:hAnsi="Arial" w:cs="Arial" w:eastAsia="Arial" w:hint="default"/>
                <w:sz w:val="16"/>
                <w:szCs w:val="16"/>
              </w:rPr>
            </w:pPr>
            <w:r>
              <w:rPr>
                <w:rFonts w:ascii="Arial"/>
                <w:w w:val="95"/>
                <w:sz w:val="16"/>
              </w:rPr>
              <w:t>1,354,058,511</w:t>
            </w:r>
            <w:r>
              <w:rPr>
                <w:rFonts w:ascii="Arial"/>
                <w:sz w:val="16"/>
              </w:rPr>
            </w:r>
          </w:p>
        </w:tc>
        <w:tc>
          <w:tcPr>
            <w:tcW w:w="6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0"/>
              <w:jc w:val="right"/>
              <w:rPr>
                <w:rFonts w:ascii="Arial" w:hAnsi="Arial" w:cs="Arial" w:eastAsia="Arial" w:hint="default"/>
                <w:sz w:val="16"/>
                <w:szCs w:val="16"/>
              </w:rPr>
            </w:pPr>
            <w:r>
              <w:rPr>
                <w:rFonts w:ascii="Arial"/>
                <w:w w:val="95"/>
                <w:sz w:val="16"/>
              </w:rPr>
              <w:t>9.67</w:t>
            </w:r>
            <w:r>
              <w:rPr>
                <w:rFonts w:ascii="Arial"/>
                <w:sz w:val="16"/>
              </w:rPr>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9"/>
              <w:jc w:val="right"/>
              <w:rPr>
                <w:rFonts w:ascii="Arial" w:hAnsi="Arial" w:cs="Arial" w:eastAsia="Arial" w:hint="default"/>
                <w:sz w:val="16"/>
                <w:szCs w:val="16"/>
              </w:rPr>
            </w:pPr>
            <w:r>
              <w:rPr>
                <w:rFonts w:ascii="Arial"/>
                <w:w w:val="99"/>
                <w:sz w:val="16"/>
              </w:rPr>
              <w:t>-</w:t>
            </w:r>
            <w:r>
              <w:rPr>
                <w:rFonts w:ascii="Arial"/>
                <w:sz w:val="16"/>
              </w:rPr>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Arial" w:hAnsi="Arial" w:cs="Arial" w:eastAsia="Arial" w:hint="default"/>
                <w:sz w:val="16"/>
                <w:szCs w:val="16"/>
              </w:rPr>
            </w:pPr>
            <w:r>
              <w:rPr>
                <w:rFonts w:ascii="Arial"/>
                <w:w w:val="99"/>
                <w:sz w:val="16"/>
              </w:rPr>
              <w:t>-</w:t>
            </w:r>
            <w:r>
              <w:rPr>
                <w:rFonts w:ascii="Arial"/>
                <w:sz w:val="16"/>
              </w:rPr>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1"/>
              <w:jc w:val="right"/>
              <w:rPr>
                <w:rFonts w:ascii="Arial" w:hAnsi="Arial" w:cs="Arial" w:eastAsia="Arial" w:hint="default"/>
                <w:sz w:val="16"/>
                <w:szCs w:val="16"/>
              </w:rPr>
            </w:pPr>
            <w:r>
              <w:rPr>
                <w:rFonts w:ascii="Arial"/>
                <w:w w:val="95"/>
                <w:sz w:val="16"/>
              </w:rPr>
              <w:t>1,744,598,630</w:t>
            </w:r>
            <w:r>
              <w:rPr>
                <w:rFonts w:ascii="Arial"/>
                <w:sz w:val="16"/>
              </w:rPr>
            </w:r>
          </w:p>
        </w:tc>
        <w:tc>
          <w:tcPr>
            <w:tcW w:w="6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6"/>
              <w:jc w:val="right"/>
              <w:rPr>
                <w:rFonts w:ascii="Arial" w:hAnsi="Arial" w:cs="Arial" w:eastAsia="Arial" w:hint="default"/>
                <w:sz w:val="16"/>
                <w:szCs w:val="16"/>
              </w:rPr>
            </w:pPr>
            <w:r>
              <w:rPr>
                <w:rFonts w:ascii="Arial"/>
                <w:w w:val="95"/>
                <w:sz w:val="16"/>
              </w:rPr>
              <w:t>13.03</w:t>
            </w:r>
            <w:r>
              <w:rPr>
                <w:rFonts w:ascii="Arial"/>
                <w:sz w:val="16"/>
              </w:rPr>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Arial" w:hAnsi="Arial" w:cs="Arial" w:eastAsia="Arial" w:hint="default"/>
                <w:sz w:val="16"/>
                <w:szCs w:val="16"/>
              </w:rPr>
            </w:pPr>
            <w:r>
              <w:rPr>
                <w:rFonts w:ascii="Arial"/>
                <w:w w:val="99"/>
                <w:sz w:val="16"/>
              </w:rPr>
              <w:t>-</w:t>
            </w:r>
            <w:r>
              <w:rPr>
                <w:rFonts w:ascii="Arial"/>
                <w:sz w:val="16"/>
              </w:rPr>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w w:val="99"/>
                <w:sz w:val="16"/>
              </w:rPr>
              <w:t>-</w:t>
            </w:r>
            <w:r>
              <w:rPr>
                <w:rFonts w:ascii="Arial"/>
                <w:sz w:val="16"/>
              </w:rPr>
            </w:r>
          </w:p>
        </w:tc>
      </w:tr>
      <w:tr>
        <w:trPr>
          <w:trHeight w:val="208" w:hRule="exact"/>
        </w:trPr>
        <w:tc>
          <w:tcPr>
            <w:tcW w:w="909" w:type="dxa"/>
            <w:tcBorders>
              <w:top w:val="nil" w:sz="6" w:space="0" w:color="auto"/>
              <w:left w:val="nil" w:sz="6" w:space="0" w:color="auto"/>
              <w:bottom w:val="nil" w:sz="6" w:space="0" w:color="auto"/>
              <w:right w:val="nil" w:sz="6" w:space="0" w:color="auto"/>
            </w:tcBorders>
          </w:tcPr>
          <w:p>
            <w:pPr>
              <w:pStyle w:val="TableParagraph"/>
              <w:spacing w:line="185" w:lineRule="exact"/>
              <w:ind w:left="35" w:right="0"/>
              <w:jc w:val="left"/>
              <w:rPr>
                <w:rFonts w:ascii="宋体" w:hAnsi="宋体" w:cs="宋体" w:eastAsia="宋体" w:hint="default"/>
                <w:sz w:val="16"/>
                <w:szCs w:val="16"/>
              </w:rPr>
            </w:pPr>
            <w:r>
              <w:rPr>
                <w:rFonts w:ascii="Arial" w:hAnsi="Arial" w:cs="Arial" w:eastAsia="Arial" w:hint="default"/>
                <w:sz w:val="16"/>
                <w:szCs w:val="16"/>
              </w:rPr>
              <w:t>3-12</w:t>
            </w:r>
            <w:r>
              <w:rPr>
                <w:rFonts w:ascii="Arial" w:hAnsi="Arial" w:cs="Arial" w:eastAsia="Arial" w:hint="default"/>
                <w:spacing w:val="-9"/>
                <w:sz w:val="16"/>
                <w:szCs w:val="16"/>
              </w:rPr>
              <w:t> </w:t>
            </w:r>
            <w:r>
              <w:rPr>
                <w:rFonts w:ascii="宋体" w:hAnsi="宋体" w:cs="宋体" w:eastAsia="宋体" w:hint="default"/>
                <w:sz w:val="16"/>
                <w:szCs w:val="16"/>
              </w:rPr>
              <w:t>个月</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3"/>
              <w:jc w:val="right"/>
              <w:rPr>
                <w:rFonts w:ascii="Arial" w:hAnsi="Arial" w:cs="Arial" w:eastAsia="Arial" w:hint="default"/>
                <w:sz w:val="16"/>
                <w:szCs w:val="16"/>
              </w:rPr>
            </w:pPr>
            <w:r>
              <w:rPr>
                <w:rFonts w:ascii="Arial"/>
                <w:w w:val="95"/>
                <w:sz w:val="16"/>
              </w:rPr>
              <w:t>3,196,373,752</w:t>
            </w:r>
            <w:r>
              <w:rPr>
                <w:rFonts w:ascii="Arial"/>
                <w:sz w:val="16"/>
              </w:rPr>
            </w:r>
          </w:p>
        </w:tc>
        <w:tc>
          <w:tcPr>
            <w:tcW w:w="6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0"/>
              <w:jc w:val="right"/>
              <w:rPr>
                <w:rFonts w:ascii="Arial" w:hAnsi="Arial" w:cs="Arial" w:eastAsia="Arial" w:hint="default"/>
                <w:sz w:val="16"/>
                <w:szCs w:val="16"/>
              </w:rPr>
            </w:pPr>
            <w:r>
              <w:rPr>
                <w:rFonts w:ascii="Arial"/>
                <w:w w:val="95"/>
                <w:sz w:val="16"/>
              </w:rPr>
              <w:t>22.82</w:t>
            </w:r>
            <w:r>
              <w:rPr>
                <w:rFonts w:ascii="Arial"/>
                <w:sz w:val="16"/>
              </w:rPr>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0"/>
              <w:jc w:val="right"/>
              <w:rPr>
                <w:rFonts w:ascii="Arial" w:hAnsi="Arial" w:cs="Arial" w:eastAsia="Arial" w:hint="default"/>
                <w:sz w:val="16"/>
                <w:szCs w:val="16"/>
              </w:rPr>
            </w:pPr>
            <w:r>
              <w:rPr>
                <w:rFonts w:ascii="Arial"/>
                <w:w w:val="95"/>
                <w:sz w:val="16"/>
              </w:rPr>
              <w:t>(2,088,385,825)</w:t>
            </w:r>
            <w:r>
              <w:rPr>
                <w:rFonts w:ascii="Arial"/>
                <w:sz w:val="16"/>
              </w:rPr>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Arial" w:hAnsi="Arial" w:cs="Arial" w:eastAsia="Arial" w:hint="default"/>
                <w:sz w:val="16"/>
                <w:szCs w:val="16"/>
              </w:rPr>
            </w:pPr>
            <w:r>
              <w:rPr>
                <w:rFonts w:ascii="Arial"/>
                <w:w w:val="95"/>
                <w:sz w:val="16"/>
              </w:rPr>
              <w:t>0~100</w:t>
            </w:r>
            <w:r>
              <w:rPr>
                <w:rFonts w:ascii="Arial"/>
                <w:sz w:val="16"/>
              </w:rPr>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1"/>
              <w:jc w:val="right"/>
              <w:rPr>
                <w:rFonts w:ascii="Arial" w:hAnsi="Arial" w:cs="Arial" w:eastAsia="Arial" w:hint="default"/>
                <w:sz w:val="16"/>
                <w:szCs w:val="16"/>
              </w:rPr>
            </w:pPr>
            <w:r>
              <w:rPr>
                <w:rFonts w:ascii="Arial"/>
                <w:w w:val="95"/>
                <w:sz w:val="16"/>
              </w:rPr>
              <w:t>3,054,600,780</w:t>
            </w:r>
            <w:r>
              <w:rPr>
                <w:rFonts w:ascii="Arial"/>
                <w:sz w:val="16"/>
              </w:rPr>
            </w:r>
          </w:p>
        </w:tc>
        <w:tc>
          <w:tcPr>
            <w:tcW w:w="6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7"/>
              <w:jc w:val="right"/>
              <w:rPr>
                <w:rFonts w:ascii="Arial" w:hAnsi="Arial" w:cs="Arial" w:eastAsia="Arial" w:hint="default"/>
                <w:sz w:val="16"/>
                <w:szCs w:val="16"/>
              </w:rPr>
            </w:pPr>
            <w:r>
              <w:rPr>
                <w:rFonts w:ascii="Arial"/>
                <w:w w:val="95"/>
                <w:sz w:val="16"/>
              </w:rPr>
              <w:t>22.81</w:t>
            </w:r>
            <w:r>
              <w:rPr>
                <w:rFonts w:ascii="Arial"/>
                <w:sz w:val="16"/>
              </w:rPr>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3"/>
              <w:jc w:val="right"/>
              <w:rPr>
                <w:rFonts w:ascii="Arial" w:hAnsi="Arial" w:cs="Arial" w:eastAsia="Arial" w:hint="default"/>
                <w:sz w:val="16"/>
                <w:szCs w:val="16"/>
              </w:rPr>
            </w:pPr>
            <w:r>
              <w:rPr>
                <w:rFonts w:ascii="Arial"/>
                <w:w w:val="95"/>
                <w:sz w:val="16"/>
              </w:rPr>
              <w:t>(2,208,969,488)</w:t>
            </w:r>
            <w:r>
              <w:rPr>
                <w:rFonts w:ascii="Arial"/>
                <w:sz w:val="16"/>
              </w:rPr>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Arial" w:hAnsi="Arial" w:cs="Arial" w:eastAsia="Arial" w:hint="default"/>
                <w:sz w:val="16"/>
                <w:szCs w:val="16"/>
              </w:rPr>
            </w:pPr>
            <w:r>
              <w:rPr>
                <w:rFonts w:ascii="Arial"/>
                <w:w w:val="95"/>
                <w:sz w:val="16"/>
              </w:rPr>
              <w:t>0~100</w:t>
            </w:r>
            <w:r>
              <w:rPr>
                <w:rFonts w:ascii="Arial"/>
                <w:sz w:val="16"/>
              </w:rPr>
            </w:r>
          </w:p>
        </w:tc>
      </w:tr>
      <w:tr>
        <w:trPr>
          <w:trHeight w:val="208" w:hRule="exact"/>
        </w:trPr>
        <w:tc>
          <w:tcPr>
            <w:tcW w:w="909" w:type="dxa"/>
            <w:tcBorders>
              <w:top w:val="nil" w:sz="6" w:space="0" w:color="auto"/>
              <w:left w:val="nil" w:sz="6" w:space="0" w:color="auto"/>
              <w:bottom w:val="nil" w:sz="6" w:space="0" w:color="auto"/>
              <w:right w:val="nil" w:sz="6" w:space="0" w:color="auto"/>
            </w:tcBorders>
          </w:tcPr>
          <w:p>
            <w:pPr>
              <w:pStyle w:val="TableParagraph"/>
              <w:spacing w:line="185" w:lineRule="exact"/>
              <w:ind w:left="35" w:right="0"/>
              <w:jc w:val="left"/>
              <w:rPr>
                <w:rFonts w:ascii="宋体" w:hAnsi="宋体" w:cs="宋体" w:eastAsia="宋体" w:hint="default"/>
                <w:sz w:val="16"/>
                <w:szCs w:val="16"/>
              </w:rPr>
            </w:pPr>
            <w:r>
              <w:rPr>
                <w:rFonts w:ascii="Arial" w:hAnsi="Arial" w:cs="Arial" w:eastAsia="Arial" w:hint="default"/>
                <w:sz w:val="16"/>
                <w:szCs w:val="16"/>
              </w:rPr>
              <w:t>1-2</w:t>
            </w:r>
            <w:r>
              <w:rPr>
                <w:rFonts w:ascii="Arial" w:hAnsi="Arial" w:cs="Arial" w:eastAsia="Arial" w:hint="default"/>
                <w:spacing w:val="-8"/>
                <w:sz w:val="16"/>
                <w:szCs w:val="16"/>
              </w:rPr>
              <w:t> </w:t>
            </w:r>
            <w:r>
              <w:rPr>
                <w:rFonts w:ascii="宋体" w:hAnsi="宋体" w:cs="宋体" w:eastAsia="宋体" w:hint="default"/>
                <w:sz w:val="16"/>
                <w:szCs w:val="16"/>
              </w:rPr>
              <w:t>年</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3"/>
              <w:jc w:val="right"/>
              <w:rPr>
                <w:rFonts w:ascii="Arial" w:hAnsi="Arial" w:cs="Arial" w:eastAsia="Arial" w:hint="default"/>
                <w:sz w:val="16"/>
                <w:szCs w:val="16"/>
              </w:rPr>
            </w:pPr>
            <w:r>
              <w:rPr>
                <w:rFonts w:ascii="Arial"/>
                <w:w w:val="95"/>
                <w:sz w:val="16"/>
              </w:rPr>
              <w:t>1,481,493,135</w:t>
            </w:r>
            <w:r>
              <w:rPr>
                <w:rFonts w:ascii="Arial"/>
                <w:sz w:val="16"/>
              </w:rPr>
            </w:r>
          </w:p>
        </w:tc>
        <w:tc>
          <w:tcPr>
            <w:tcW w:w="6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0"/>
              <w:jc w:val="right"/>
              <w:rPr>
                <w:rFonts w:ascii="Arial" w:hAnsi="Arial" w:cs="Arial" w:eastAsia="Arial" w:hint="default"/>
                <w:sz w:val="16"/>
                <w:szCs w:val="16"/>
              </w:rPr>
            </w:pPr>
            <w:r>
              <w:rPr>
                <w:rFonts w:ascii="Arial"/>
                <w:w w:val="95"/>
                <w:sz w:val="16"/>
              </w:rPr>
              <w:t>10.58</w:t>
            </w:r>
            <w:r>
              <w:rPr>
                <w:rFonts w:ascii="Arial"/>
                <w:sz w:val="16"/>
              </w:rPr>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0"/>
              <w:jc w:val="right"/>
              <w:rPr>
                <w:rFonts w:ascii="Arial" w:hAnsi="Arial" w:cs="Arial" w:eastAsia="Arial" w:hint="default"/>
                <w:sz w:val="16"/>
                <w:szCs w:val="16"/>
              </w:rPr>
            </w:pPr>
            <w:r>
              <w:rPr>
                <w:rFonts w:ascii="Arial"/>
                <w:w w:val="95"/>
                <w:sz w:val="16"/>
              </w:rPr>
              <w:t>(1,088,878,238)</w:t>
            </w:r>
            <w:r>
              <w:rPr>
                <w:rFonts w:ascii="Arial"/>
                <w:sz w:val="16"/>
              </w:rPr>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Arial" w:hAnsi="Arial" w:cs="Arial" w:eastAsia="Arial" w:hint="default"/>
                <w:sz w:val="16"/>
                <w:szCs w:val="16"/>
              </w:rPr>
            </w:pPr>
            <w:r>
              <w:rPr>
                <w:rFonts w:ascii="Arial"/>
                <w:w w:val="95"/>
                <w:sz w:val="16"/>
              </w:rPr>
              <w:t>20~100</w:t>
            </w:r>
            <w:r>
              <w:rPr>
                <w:rFonts w:ascii="Arial"/>
                <w:sz w:val="16"/>
              </w:rPr>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1"/>
              <w:jc w:val="right"/>
              <w:rPr>
                <w:rFonts w:ascii="Arial" w:hAnsi="Arial" w:cs="Arial" w:eastAsia="Arial" w:hint="default"/>
                <w:sz w:val="16"/>
                <w:szCs w:val="16"/>
              </w:rPr>
            </w:pPr>
            <w:r>
              <w:rPr>
                <w:rFonts w:ascii="Arial"/>
                <w:w w:val="95"/>
                <w:sz w:val="16"/>
              </w:rPr>
              <w:t>1,030,627,842</w:t>
            </w:r>
            <w:r>
              <w:rPr>
                <w:rFonts w:ascii="Arial"/>
                <w:sz w:val="16"/>
              </w:rPr>
            </w:r>
          </w:p>
        </w:tc>
        <w:tc>
          <w:tcPr>
            <w:tcW w:w="6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6"/>
              <w:jc w:val="right"/>
              <w:rPr>
                <w:rFonts w:ascii="Arial" w:hAnsi="Arial" w:cs="Arial" w:eastAsia="Arial" w:hint="default"/>
                <w:sz w:val="16"/>
                <w:szCs w:val="16"/>
              </w:rPr>
            </w:pPr>
            <w:r>
              <w:rPr>
                <w:rFonts w:ascii="Arial"/>
                <w:w w:val="95"/>
                <w:sz w:val="16"/>
              </w:rPr>
              <w:t>7.69</w:t>
            </w:r>
            <w:r>
              <w:rPr>
                <w:rFonts w:ascii="Arial"/>
                <w:sz w:val="16"/>
              </w:rPr>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Arial" w:hAnsi="Arial" w:cs="Arial" w:eastAsia="Arial" w:hint="default"/>
                <w:sz w:val="16"/>
                <w:szCs w:val="16"/>
              </w:rPr>
            </w:pPr>
            <w:r>
              <w:rPr>
                <w:rFonts w:ascii="Arial"/>
                <w:w w:val="95"/>
                <w:sz w:val="16"/>
              </w:rPr>
              <w:t>(748,038,670)</w:t>
            </w:r>
            <w:r>
              <w:rPr>
                <w:rFonts w:ascii="Arial"/>
                <w:sz w:val="16"/>
              </w:rPr>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Arial" w:hAnsi="Arial" w:cs="Arial" w:eastAsia="Arial" w:hint="default"/>
                <w:sz w:val="16"/>
                <w:szCs w:val="16"/>
              </w:rPr>
            </w:pPr>
            <w:r>
              <w:rPr>
                <w:rFonts w:ascii="Arial"/>
                <w:w w:val="95"/>
                <w:sz w:val="16"/>
              </w:rPr>
              <w:t>20~100</w:t>
            </w:r>
            <w:r>
              <w:rPr>
                <w:rFonts w:ascii="Arial"/>
                <w:sz w:val="16"/>
              </w:rPr>
            </w:r>
          </w:p>
        </w:tc>
      </w:tr>
      <w:tr>
        <w:trPr>
          <w:trHeight w:val="208" w:hRule="exact"/>
        </w:trPr>
        <w:tc>
          <w:tcPr>
            <w:tcW w:w="909" w:type="dxa"/>
            <w:tcBorders>
              <w:top w:val="nil" w:sz="6" w:space="0" w:color="auto"/>
              <w:left w:val="nil" w:sz="6" w:space="0" w:color="auto"/>
              <w:bottom w:val="nil" w:sz="6" w:space="0" w:color="auto"/>
              <w:right w:val="nil" w:sz="6" w:space="0" w:color="auto"/>
            </w:tcBorders>
          </w:tcPr>
          <w:p>
            <w:pPr>
              <w:pStyle w:val="TableParagraph"/>
              <w:spacing w:line="185" w:lineRule="exact"/>
              <w:ind w:left="35" w:right="0"/>
              <w:jc w:val="left"/>
              <w:rPr>
                <w:rFonts w:ascii="宋体" w:hAnsi="宋体" w:cs="宋体" w:eastAsia="宋体" w:hint="default"/>
                <w:sz w:val="16"/>
                <w:szCs w:val="16"/>
              </w:rPr>
            </w:pPr>
            <w:r>
              <w:rPr>
                <w:rFonts w:ascii="Arial" w:hAnsi="Arial" w:cs="Arial" w:eastAsia="Arial" w:hint="default"/>
                <w:sz w:val="16"/>
                <w:szCs w:val="16"/>
              </w:rPr>
              <w:t>2-3</w:t>
            </w:r>
            <w:r>
              <w:rPr>
                <w:rFonts w:ascii="Arial" w:hAnsi="Arial" w:cs="Arial" w:eastAsia="Arial" w:hint="default"/>
                <w:spacing w:val="-9"/>
                <w:sz w:val="16"/>
                <w:szCs w:val="16"/>
              </w:rPr>
              <w:t> </w:t>
            </w:r>
            <w:r>
              <w:rPr>
                <w:rFonts w:ascii="宋体" w:hAnsi="宋体" w:cs="宋体" w:eastAsia="宋体" w:hint="default"/>
                <w:sz w:val="16"/>
                <w:szCs w:val="16"/>
              </w:rPr>
              <w:t>年</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3"/>
              <w:jc w:val="right"/>
              <w:rPr>
                <w:rFonts w:ascii="Arial" w:hAnsi="Arial" w:cs="Arial" w:eastAsia="Arial" w:hint="default"/>
                <w:sz w:val="16"/>
                <w:szCs w:val="16"/>
              </w:rPr>
            </w:pPr>
            <w:r>
              <w:rPr>
                <w:rFonts w:ascii="Arial"/>
                <w:w w:val="95"/>
                <w:sz w:val="16"/>
              </w:rPr>
              <w:t>637,950,471</w:t>
            </w:r>
            <w:r>
              <w:rPr>
                <w:rFonts w:ascii="Arial"/>
                <w:sz w:val="16"/>
              </w:rPr>
            </w:r>
          </w:p>
        </w:tc>
        <w:tc>
          <w:tcPr>
            <w:tcW w:w="6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0"/>
              <w:jc w:val="right"/>
              <w:rPr>
                <w:rFonts w:ascii="Arial" w:hAnsi="Arial" w:cs="Arial" w:eastAsia="Arial" w:hint="default"/>
                <w:sz w:val="16"/>
                <w:szCs w:val="16"/>
              </w:rPr>
            </w:pPr>
            <w:r>
              <w:rPr>
                <w:rFonts w:ascii="Arial"/>
                <w:w w:val="95"/>
                <w:sz w:val="16"/>
              </w:rPr>
              <w:t>4.55</w:t>
            </w:r>
            <w:r>
              <w:rPr>
                <w:rFonts w:ascii="Arial"/>
                <w:sz w:val="16"/>
              </w:rPr>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9"/>
              <w:jc w:val="right"/>
              <w:rPr>
                <w:rFonts w:ascii="Arial" w:hAnsi="Arial" w:cs="Arial" w:eastAsia="Arial" w:hint="default"/>
                <w:sz w:val="16"/>
                <w:szCs w:val="16"/>
              </w:rPr>
            </w:pPr>
            <w:r>
              <w:rPr>
                <w:rFonts w:ascii="Arial"/>
                <w:w w:val="95"/>
                <w:sz w:val="16"/>
              </w:rPr>
              <w:t>(536,945,988)</w:t>
            </w:r>
            <w:r>
              <w:rPr>
                <w:rFonts w:ascii="Arial"/>
                <w:sz w:val="16"/>
              </w:rPr>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Arial" w:hAnsi="Arial" w:cs="Arial" w:eastAsia="Arial" w:hint="default"/>
                <w:sz w:val="16"/>
                <w:szCs w:val="16"/>
              </w:rPr>
            </w:pPr>
            <w:r>
              <w:rPr>
                <w:rFonts w:ascii="Arial"/>
                <w:w w:val="95"/>
                <w:sz w:val="16"/>
              </w:rPr>
              <w:t>50~100</w:t>
            </w:r>
            <w:r>
              <w:rPr>
                <w:rFonts w:ascii="Arial"/>
                <w:sz w:val="16"/>
              </w:rPr>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1"/>
              <w:jc w:val="right"/>
              <w:rPr>
                <w:rFonts w:ascii="Arial" w:hAnsi="Arial" w:cs="Arial" w:eastAsia="Arial" w:hint="default"/>
                <w:sz w:val="16"/>
                <w:szCs w:val="16"/>
              </w:rPr>
            </w:pPr>
            <w:r>
              <w:rPr>
                <w:rFonts w:ascii="Arial"/>
                <w:w w:val="95"/>
                <w:sz w:val="16"/>
              </w:rPr>
              <w:t>346,316,629</w:t>
            </w:r>
            <w:r>
              <w:rPr>
                <w:rFonts w:ascii="Arial"/>
                <w:sz w:val="16"/>
              </w:rPr>
            </w:r>
          </w:p>
        </w:tc>
        <w:tc>
          <w:tcPr>
            <w:tcW w:w="6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6"/>
              <w:jc w:val="right"/>
              <w:rPr>
                <w:rFonts w:ascii="Arial" w:hAnsi="Arial" w:cs="Arial" w:eastAsia="Arial" w:hint="default"/>
                <w:sz w:val="16"/>
                <w:szCs w:val="16"/>
              </w:rPr>
            </w:pPr>
            <w:r>
              <w:rPr>
                <w:rFonts w:ascii="Arial"/>
                <w:w w:val="95"/>
                <w:sz w:val="16"/>
              </w:rPr>
              <w:t>2.58</w:t>
            </w:r>
            <w:r>
              <w:rPr>
                <w:rFonts w:ascii="Arial"/>
                <w:sz w:val="16"/>
              </w:rPr>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2"/>
              <w:jc w:val="right"/>
              <w:rPr>
                <w:rFonts w:ascii="Arial" w:hAnsi="Arial" w:cs="Arial" w:eastAsia="Arial" w:hint="default"/>
                <w:sz w:val="16"/>
                <w:szCs w:val="16"/>
              </w:rPr>
            </w:pPr>
            <w:r>
              <w:rPr>
                <w:rFonts w:ascii="Arial"/>
                <w:w w:val="95"/>
                <w:sz w:val="16"/>
              </w:rPr>
              <w:t>(284,877,464)</w:t>
            </w:r>
            <w:r>
              <w:rPr>
                <w:rFonts w:ascii="Arial"/>
                <w:sz w:val="16"/>
              </w:rPr>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Arial" w:hAnsi="Arial" w:cs="Arial" w:eastAsia="Arial" w:hint="default"/>
                <w:sz w:val="16"/>
                <w:szCs w:val="16"/>
              </w:rPr>
            </w:pPr>
            <w:r>
              <w:rPr>
                <w:rFonts w:ascii="Arial"/>
                <w:w w:val="95"/>
                <w:sz w:val="16"/>
              </w:rPr>
              <w:t>50~100</w:t>
            </w:r>
            <w:r>
              <w:rPr>
                <w:rFonts w:ascii="Arial"/>
                <w:sz w:val="16"/>
              </w:rPr>
            </w:r>
          </w:p>
        </w:tc>
      </w:tr>
      <w:tr>
        <w:trPr>
          <w:trHeight w:val="208" w:hRule="exact"/>
        </w:trPr>
        <w:tc>
          <w:tcPr>
            <w:tcW w:w="909" w:type="dxa"/>
            <w:tcBorders>
              <w:top w:val="nil" w:sz="6" w:space="0" w:color="auto"/>
              <w:left w:val="nil" w:sz="6" w:space="0" w:color="auto"/>
              <w:bottom w:val="nil" w:sz="6" w:space="0" w:color="auto"/>
              <w:right w:val="nil" w:sz="6" w:space="0" w:color="auto"/>
            </w:tcBorders>
          </w:tcPr>
          <w:p>
            <w:pPr>
              <w:pStyle w:val="TableParagraph"/>
              <w:spacing w:line="185" w:lineRule="exact"/>
              <w:ind w:left="35" w:right="0"/>
              <w:jc w:val="left"/>
              <w:rPr>
                <w:rFonts w:ascii="宋体" w:hAnsi="宋体" w:cs="宋体" w:eastAsia="宋体" w:hint="default"/>
                <w:sz w:val="16"/>
                <w:szCs w:val="16"/>
              </w:rPr>
            </w:pPr>
            <w:r>
              <w:rPr>
                <w:rFonts w:ascii="Arial" w:hAnsi="Arial" w:cs="Arial" w:eastAsia="Arial" w:hint="default"/>
                <w:sz w:val="16"/>
                <w:szCs w:val="16"/>
              </w:rPr>
              <w:t>3-4</w:t>
            </w:r>
            <w:r>
              <w:rPr>
                <w:rFonts w:ascii="Arial" w:hAnsi="Arial" w:cs="Arial" w:eastAsia="Arial" w:hint="default"/>
                <w:spacing w:val="-9"/>
                <w:sz w:val="16"/>
                <w:szCs w:val="16"/>
              </w:rPr>
              <w:t> </w:t>
            </w:r>
            <w:r>
              <w:rPr>
                <w:rFonts w:ascii="宋体" w:hAnsi="宋体" w:cs="宋体" w:eastAsia="宋体" w:hint="default"/>
                <w:sz w:val="16"/>
                <w:szCs w:val="16"/>
              </w:rPr>
              <w:t>年</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3"/>
              <w:jc w:val="right"/>
              <w:rPr>
                <w:rFonts w:ascii="Arial" w:hAnsi="Arial" w:cs="Arial" w:eastAsia="Arial" w:hint="default"/>
                <w:sz w:val="16"/>
                <w:szCs w:val="16"/>
              </w:rPr>
            </w:pPr>
            <w:r>
              <w:rPr>
                <w:rFonts w:ascii="Arial"/>
                <w:w w:val="95"/>
                <w:sz w:val="16"/>
              </w:rPr>
              <w:t>190,870,929</w:t>
            </w:r>
            <w:r>
              <w:rPr>
                <w:rFonts w:ascii="Arial"/>
                <w:sz w:val="16"/>
              </w:rPr>
            </w:r>
          </w:p>
        </w:tc>
        <w:tc>
          <w:tcPr>
            <w:tcW w:w="6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9"/>
              <w:jc w:val="right"/>
              <w:rPr>
                <w:rFonts w:ascii="Arial" w:hAnsi="Arial" w:cs="Arial" w:eastAsia="Arial" w:hint="default"/>
                <w:sz w:val="16"/>
                <w:szCs w:val="16"/>
              </w:rPr>
            </w:pPr>
            <w:r>
              <w:rPr>
                <w:rFonts w:ascii="Arial"/>
                <w:w w:val="95"/>
                <w:sz w:val="16"/>
              </w:rPr>
              <w:t>1.36</w:t>
            </w:r>
            <w:r>
              <w:rPr>
                <w:rFonts w:ascii="Arial"/>
                <w:sz w:val="16"/>
              </w:rPr>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8"/>
              <w:jc w:val="right"/>
              <w:rPr>
                <w:rFonts w:ascii="Arial" w:hAnsi="Arial" w:cs="Arial" w:eastAsia="Arial" w:hint="default"/>
                <w:sz w:val="16"/>
                <w:szCs w:val="16"/>
              </w:rPr>
            </w:pPr>
            <w:r>
              <w:rPr>
                <w:rFonts w:ascii="Arial"/>
                <w:w w:val="95"/>
                <w:sz w:val="16"/>
              </w:rPr>
              <w:t>(190,870,929)</w:t>
            </w:r>
            <w:r>
              <w:rPr>
                <w:rFonts w:ascii="Arial"/>
                <w:sz w:val="16"/>
              </w:rPr>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Arial" w:hAnsi="Arial" w:cs="Arial" w:eastAsia="Arial" w:hint="default"/>
                <w:sz w:val="16"/>
                <w:szCs w:val="16"/>
              </w:rPr>
            </w:pPr>
            <w:r>
              <w:rPr>
                <w:rFonts w:ascii="Arial"/>
                <w:w w:val="95"/>
                <w:sz w:val="16"/>
              </w:rPr>
              <w:t>100</w:t>
            </w:r>
            <w:r>
              <w:rPr>
                <w:rFonts w:ascii="Arial"/>
                <w:sz w:val="16"/>
              </w:rPr>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0"/>
              <w:jc w:val="right"/>
              <w:rPr>
                <w:rFonts w:ascii="Arial" w:hAnsi="Arial" w:cs="Arial" w:eastAsia="Arial" w:hint="default"/>
                <w:sz w:val="16"/>
                <w:szCs w:val="16"/>
              </w:rPr>
            </w:pPr>
            <w:r>
              <w:rPr>
                <w:rFonts w:ascii="Arial"/>
                <w:w w:val="95"/>
                <w:sz w:val="16"/>
              </w:rPr>
              <w:t>81,249,785</w:t>
            </w:r>
            <w:r>
              <w:rPr>
                <w:rFonts w:ascii="Arial"/>
                <w:sz w:val="16"/>
              </w:rPr>
            </w:r>
          </w:p>
        </w:tc>
        <w:tc>
          <w:tcPr>
            <w:tcW w:w="6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6"/>
              <w:jc w:val="right"/>
              <w:rPr>
                <w:rFonts w:ascii="Arial" w:hAnsi="Arial" w:cs="Arial" w:eastAsia="Arial" w:hint="default"/>
                <w:sz w:val="16"/>
                <w:szCs w:val="16"/>
              </w:rPr>
            </w:pPr>
            <w:r>
              <w:rPr>
                <w:rFonts w:ascii="Arial"/>
                <w:w w:val="95"/>
                <w:sz w:val="16"/>
              </w:rPr>
              <w:t>0.61</w:t>
            </w:r>
            <w:r>
              <w:rPr>
                <w:rFonts w:ascii="Arial"/>
                <w:sz w:val="16"/>
              </w:rPr>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1"/>
              <w:jc w:val="right"/>
              <w:rPr>
                <w:rFonts w:ascii="Arial" w:hAnsi="Arial" w:cs="Arial" w:eastAsia="Arial" w:hint="default"/>
                <w:sz w:val="16"/>
                <w:szCs w:val="16"/>
              </w:rPr>
            </w:pPr>
            <w:r>
              <w:rPr>
                <w:rFonts w:ascii="Arial"/>
                <w:w w:val="95"/>
                <w:sz w:val="16"/>
              </w:rPr>
              <w:t>(81,249,785)</w:t>
            </w:r>
            <w:r>
              <w:rPr>
                <w:rFonts w:ascii="Arial"/>
                <w:sz w:val="16"/>
              </w:rPr>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w w:val="95"/>
                <w:sz w:val="16"/>
              </w:rPr>
              <w:t>100</w:t>
            </w:r>
            <w:r>
              <w:rPr>
                <w:rFonts w:ascii="Arial"/>
                <w:sz w:val="16"/>
              </w:rPr>
            </w:r>
          </w:p>
        </w:tc>
      </w:tr>
      <w:tr>
        <w:trPr>
          <w:trHeight w:val="194" w:hRule="exact"/>
        </w:trPr>
        <w:tc>
          <w:tcPr>
            <w:tcW w:w="909" w:type="dxa"/>
            <w:tcBorders>
              <w:top w:val="nil" w:sz="6" w:space="0" w:color="auto"/>
              <w:left w:val="nil" w:sz="6" w:space="0" w:color="auto"/>
              <w:bottom w:val="nil" w:sz="6" w:space="0" w:color="auto"/>
              <w:right w:val="nil" w:sz="6" w:space="0" w:color="auto"/>
            </w:tcBorders>
          </w:tcPr>
          <w:p>
            <w:pPr>
              <w:pStyle w:val="TableParagraph"/>
              <w:spacing w:line="185" w:lineRule="exact"/>
              <w:ind w:left="35" w:right="0"/>
              <w:jc w:val="left"/>
              <w:rPr>
                <w:rFonts w:ascii="宋体" w:hAnsi="宋体" w:cs="宋体" w:eastAsia="宋体" w:hint="default"/>
                <w:sz w:val="16"/>
                <w:szCs w:val="16"/>
              </w:rPr>
            </w:pPr>
            <w:r>
              <w:rPr>
                <w:rFonts w:ascii="Arial" w:hAnsi="Arial" w:cs="Arial" w:eastAsia="Arial" w:hint="default"/>
                <w:sz w:val="16"/>
                <w:szCs w:val="16"/>
              </w:rPr>
              <w:t>4-5</w:t>
            </w:r>
            <w:r>
              <w:rPr>
                <w:rFonts w:ascii="Arial" w:hAnsi="Arial" w:cs="Arial" w:eastAsia="Arial" w:hint="default"/>
                <w:spacing w:val="-9"/>
                <w:sz w:val="16"/>
                <w:szCs w:val="16"/>
              </w:rPr>
              <w:t> </w:t>
            </w:r>
            <w:r>
              <w:rPr>
                <w:rFonts w:ascii="宋体" w:hAnsi="宋体" w:cs="宋体" w:eastAsia="宋体" w:hint="default"/>
                <w:sz w:val="16"/>
                <w:szCs w:val="16"/>
              </w:rPr>
              <w:t>年</w:t>
            </w:r>
          </w:p>
        </w:tc>
        <w:tc>
          <w:tcPr>
            <w:tcW w:w="12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3"/>
              <w:jc w:val="right"/>
              <w:rPr>
                <w:rFonts w:ascii="Arial" w:hAnsi="Arial" w:cs="Arial" w:eastAsia="Arial" w:hint="default"/>
                <w:sz w:val="16"/>
                <w:szCs w:val="16"/>
              </w:rPr>
            </w:pPr>
            <w:r>
              <w:rPr>
                <w:rFonts w:ascii="Arial"/>
                <w:w w:val="95"/>
                <w:sz w:val="16"/>
              </w:rPr>
              <w:t>51,969,879</w:t>
            </w:r>
            <w:r>
              <w:rPr>
                <w:rFonts w:ascii="Arial"/>
                <w:sz w:val="16"/>
              </w:rPr>
            </w:r>
          </w:p>
        </w:tc>
        <w:tc>
          <w:tcPr>
            <w:tcW w:w="65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9"/>
              <w:jc w:val="right"/>
              <w:rPr>
                <w:rFonts w:ascii="Arial" w:hAnsi="Arial" w:cs="Arial" w:eastAsia="Arial" w:hint="default"/>
                <w:sz w:val="16"/>
                <w:szCs w:val="16"/>
              </w:rPr>
            </w:pPr>
            <w:r>
              <w:rPr>
                <w:rFonts w:ascii="Arial"/>
                <w:w w:val="95"/>
                <w:sz w:val="16"/>
              </w:rPr>
              <w:t>0.37</w:t>
            </w:r>
            <w:r>
              <w:rPr>
                <w:rFonts w:ascii="Arial"/>
                <w:sz w:val="16"/>
              </w:rPr>
            </w:r>
          </w:p>
        </w:tc>
        <w:tc>
          <w:tcPr>
            <w:tcW w:w="13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8"/>
              <w:jc w:val="right"/>
              <w:rPr>
                <w:rFonts w:ascii="Arial" w:hAnsi="Arial" w:cs="Arial" w:eastAsia="Arial" w:hint="default"/>
                <w:sz w:val="16"/>
                <w:szCs w:val="16"/>
              </w:rPr>
            </w:pPr>
            <w:r>
              <w:rPr>
                <w:rFonts w:ascii="Arial"/>
                <w:w w:val="95"/>
                <w:sz w:val="16"/>
              </w:rPr>
              <w:t>(51,969,879)</w:t>
            </w:r>
            <w:r>
              <w:rPr>
                <w:rFonts w:ascii="Arial"/>
                <w:sz w:val="16"/>
              </w:rPr>
            </w:r>
          </w:p>
        </w:tc>
        <w:tc>
          <w:tcPr>
            <w:tcW w:w="7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Arial" w:hAnsi="Arial" w:cs="Arial" w:eastAsia="Arial" w:hint="default"/>
                <w:sz w:val="16"/>
                <w:szCs w:val="16"/>
              </w:rPr>
            </w:pPr>
            <w:r>
              <w:rPr>
                <w:rFonts w:ascii="Arial"/>
                <w:w w:val="95"/>
                <w:sz w:val="16"/>
              </w:rPr>
              <w:t>100</w:t>
            </w:r>
            <w:r>
              <w:rPr>
                <w:rFonts w:ascii="Arial"/>
                <w:sz w:val="16"/>
              </w:rPr>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0"/>
              <w:jc w:val="right"/>
              <w:rPr>
                <w:rFonts w:ascii="Arial" w:hAnsi="Arial" w:cs="Arial" w:eastAsia="Arial" w:hint="default"/>
                <w:sz w:val="16"/>
                <w:szCs w:val="16"/>
              </w:rPr>
            </w:pPr>
            <w:r>
              <w:rPr>
                <w:rFonts w:ascii="Arial"/>
                <w:w w:val="95"/>
                <w:sz w:val="16"/>
              </w:rPr>
              <w:t>76,142,893</w:t>
            </w:r>
            <w:r>
              <w:rPr>
                <w:rFonts w:ascii="Arial"/>
                <w:sz w:val="16"/>
              </w:rPr>
            </w:r>
          </w:p>
        </w:tc>
        <w:tc>
          <w:tcPr>
            <w:tcW w:w="6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6"/>
              <w:jc w:val="right"/>
              <w:rPr>
                <w:rFonts w:ascii="Arial" w:hAnsi="Arial" w:cs="Arial" w:eastAsia="Arial" w:hint="default"/>
                <w:sz w:val="16"/>
                <w:szCs w:val="16"/>
              </w:rPr>
            </w:pPr>
            <w:r>
              <w:rPr>
                <w:rFonts w:ascii="Arial"/>
                <w:w w:val="95"/>
                <w:sz w:val="16"/>
              </w:rPr>
              <w:t>0.57</w:t>
            </w:r>
            <w:r>
              <w:rPr>
                <w:rFonts w:ascii="Arial"/>
                <w:sz w:val="16"/>
              </w:rPr>
            </w:r>
          </w:p>
        </w:tc>
        <w:tc>
          <w:tcPr>
            <w:tcW w:w="136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51"/>
              <w:jc w:val="right"/>
              <w:rPr>
                <w:rFonts w:ascii="Arial" w:hAnsi="Arial" w:cs="Arial" w:eastAsia="Arial" w:hint="default"/>
                <w:sz w:val="16"/>
                <w:szCs w:val="16"/>
              </w:rPr>
            </w:pPr>
            <w:r>
              <w:rPr>
                <w:rFonts w:ascii="Arial"/>
                <w:w w:val="95"/>
                <w:sz w:val="16"/>
              </w:rPr>
              <w:t>(76,142,893)</w:t>
            </w:r>
            <w:r>
              <w:rPr>
                <w:rFonts w:ascii="Arial"/>
                <w:sz w:val="16"/>
              </w:rPr>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w w:val="95"/>
                <w:sz w:val="16"/>
              </w:rPr>
              <w:t>100</w:t>
            </w:r>
            <w:r>
              <w:rPr>
                <w:rFonts w:ascii="Arial"/>
                <w:sz w:val="16"/>
              </w:rPr>
            </w:r>
          </w:p>
        </w:tc>
      </w:tr>
    </w:tbl>
    <w:p>
      <w:pPr>
        <w:tabs>
          <w:tab w:pos="1422" w:val="left" w:leader="none"/>
          <w:tab w:pos="1691" w:val="left" w:leader="none"/>
          <w:tab w:pos="3038" w:val="left" w:leader="none"/>
          <w:tab w:pos="5196" w:val="left" w:leader="none"/>
          <w:tab w:pos="5818" w:val="left" w:leader="none"/>
          <w:tab w:pos="7181" w:val="left" w:leader="none"/>
          <w:tab w:pos="9358" w:val="left" w:leader="none"/>
        </w:tabs>
        <w:spacing w:line="210" w:lineRule="exact" w:before="0"/>
        <w:ind w:left="605" w:right="0" w:firstLine="0"/>
        <w:jc w:val="left"/>
        <w:rPr>
          <w:rFonts w:ascii="Arial" w:hAnsi="Arial" w:cs="Arial" w:eastAsia="Arial" w:hint="default"/>
          <w:sz w:val="16"/>
          <w:szCs w:val="16"/>
        </w:rPr>
      </w:pPr>
      <w:r>
        <w:rPr>
          <w:rFonts w:ascii="Arial" w:hAnsi="Arial" w:cs="Arial" w:eastAsia="Arial" w:hint="default"/>
          <w:position w:val="1"/>
          <w:sz w:val="16"/>
          <w:szCs w:val="16"/>
        </w:rPr>
        <w:t>5</w:t>
      </w:r>
      <w:r>
        <w:rPr>
          <w:rFonts w:ascii="Arial" w:hAnsi="Arial" w:cs="Arial" w:eastAsia="Arial" w:hint="default"/>
          <w:spacing w:val="-7"/>
          <w:position w:val="1"/>
          <w:sz w:val="16"/>
          <w:szCs w:val="16"/>
        </w:rPr>
        <w:t> </w:t>
      </w:r>
      <w:r>
        <w:rPr>
          <w:rFonts w:ascii="宋体" w:hAnsi="宋体" w:cs="宋体" w:eastAsia="宋体" w:hint="default"/>
          <w:position w:val="1"/>
          <w:sz w:val="16"/>
          <w:szCs w:val="16"/>
        </w:rPr>
        <w:t>年以上</w:t>
        <w:tab/>
      </w:r>
      <w:r>
        <w:rPr>
          <w:rFonts w:ascii="Arial" w:hAnsi="Arial" w:cs="Arial" w:eastAsia="Arial" w:hint="default"/>
          <w:sz w:val="16"/>
          <w:szCs w:val="16"/>
        </w:rPr>
      </w:r>
      <w:r>
        <w:rPr>
          <w:rFonts w:ascii="Arial" w:hAnsi="Arial" w:cs="Arial" w:eastAsia="Arial" w:hint="default"/>
          <w:sz w:val="16"/>
          <w:szCs w:val="16"/>
          <w:u w:val="single" w:color="000000"/>
        </w:rPr>
        <w:t> </w:t>
        <w:tab/>
      </w:r>
      <w:r>
        <w:rPr>
          <w:rFonts w:ascii="Arial" w:hAnsi="Arial" w:cs="Arial" w:eastAsia="Arial" w:hint="default"/>
          <w:w w:val="95"/>
          <w:sz w:val="16"/>
          <w:szCs w:val="16"/>
          <w:u w:val="single" w:color="000000"/>
        </w:rPr>
        <w:t>180,254,349</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r>
      <w:r>
        <w:rPr>
          <w:rFonts w:ascii="Arial" w:hAnsi="Arial" w:cs="Arial" w:eastAsia="Arial" w:hint="default"/>
          <w:sz w:val="16"/>
          <w:szCs w:val="16"/>
          <w:u w:val="single" w:color="000000"/>
        </w:rPr>
        <w:t>1.29     </w:t>
      </w:r>
      <w:r>
        <w:rPr>
          <w:rFonts w:ascii="Arial" w:hAnsi="Arial" w:cs="Arial" w:eastAsia="Arial" w:hint="default"/>
          <w:spacing w:val="8"/>
          <w:sz w:val="16"/>
          <w:szCs w:val="16"/>
          <w:u w:val="single" w:color="000000"/>
        </w:rPr>
        <w:t> </w:t>
      </w:r>
      <w:r>
        <w:rPr>
          <w:rFonts w:ascii="Arial" w:hAnsi="Arial" w:cs="Arial" w:eastAsia="Arial" w:hint="default"/>
          <w:spacing w:val="8"/>
          <w:sz w:val="16"/>
          <w:szCs w:val="16"/>
        </w:rPr>
      </w:r>
      <w:r>
        <w:rPr>
          <w:rFonts w:ascii="Arial" w:hAnsi="Arial" w:cs="Arial" w:eastAsia="Arial" w:hint="default"/>
          <w:spacing w:val="8"/>
          <w:sz w:val="16"/>
          <w:szCs w:val="16"/>
          <w:u w:val="single" w:color="000000"/>
        </w:rPr>
        <w:t> </w:t>
      </w:r>
      <w:r>
        <w:rPr>
          <w:rFonts w:ascii="Arial" w:hAnsi="Arial" w:cs="Arial" w:eastAsia="Arial" w:hint="default"/>
          <w:sz w:val="16"/>
          <w:szCs w:val="16"/>
          <w:u w:val="single" w:color="000000"/>
        </w:rPr>
        <w:t>(180,254,349)</w:t>
      </w:r>
      <w:r>
        <w:rPr>
          <w:rFonts w:ascii="Arial" w:hAnsi="Arial" w:cs="Arial" w:eastAsia="Arial" w:hint="default"/>
          <w:sz w:val="16"/>
          <w:szCs w:val="16"/>
        </w:rPr>
      </w:r>
      <w:r>
        <w:rPr>
          <w:rFonts w:ascii="Arial" w:hAnsi="Arial" w:cs="Arial" w:eastAsia="Arial" w:hint="default"/>
          <w:sz w:val="16"/>
          <w:szCs w:val="16"/>
          <w:u w:val="single" w:color="000000"/>
        </w:rPr>
        <w:t> </w:t>
        <w:tab/>
      </w:r>
      <w:r>
        <w:rPr>
          <w:rFonts w:ascii="Arial" w:hAnsi="Arial" w:cs="Arial" w:eastAsia="Arial" w:hint="default"/>
          <w:w w:val="95"/>
          <w:sz w:val="16"/>
          <w:szCs w:val="16"/>
          <w:u w:val="single" w:color="000000"/>
        </w:rPr>
        <w:t>100</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t>109,444,348</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r>
      <w:r>
        <w:rPr>
          <w:rFonts w:ascii="Arial" w:hAnsi="Arial" w:cs="Arial" w:eastAsia="Arial" w:hint="default"/>
          <w:sz w:val="16"/>
          <w:szCs w:val="16"/>
          <w:u w:val="single" w:color="000000"/>
        </w:rPr>
        <w:t>0.82     </w:t>
      </w:r>
      <w:r>
        <w:rPr>
          <w:rFonts w:ascii="Arial" w:hAnsi="Arial" w:cs="Arial" w:eastAsia="Arial" w:hint="default"/>
          <w:spacing w:val="21"/>
          <w:sz w:val="16"/>
          <w:szCs w:val="16"/>
          <w:u w:val="single" w:color="000000"/>
        </w:rPr>
        <w:t> </w:t>
      </w:r>
      <w:r>
        <w:rPr>
          <w:rFonts w:ascii="Arial" w:hAnsi="Arial" w:cs="Arial" w:eastAsia="Arial" w:hint="default"/>
          <w:spacing w:val="21"/>
          <w:sz w:val="16"/>
          <w:szCs w:val="16"/>
        </w:rPr>
      </w:r>
      <w:r>
        <w:rPr>
          <w:rFonts w:ascii="Arial" w:hAnsi="Arial" w:cs="Arial" w:eastAsia="Arial" w:hint="default"/>
          <w:spacing w:val="21"/>
          <w:sz w:val="16"/>
          <w:szCs w:val="16"/>
          <w:u w:val="single" w:color="000000"/>
        </w:rPr>
        <w:t> </w:t>
      </w:r>
      <w:r>
        <w:rPr>
          <w:rFonts w:ascii="Arial" w:hAnsi="Arial" w:cs="Arial" w:eastAsia="Arial" w:hint="default"/>
          <w:sz w:val="16"/>
          <w:szCs w:val="16"/>
          <w:u w:val="single" w:color="000000"/>
        </w:rPr>
        <w:t>(109,444,348)</w:t>
      </w:r>
      <w:r>
        <w:rPr>
          <w:rFonts w:ascii="Arial" w:hAnsi="Arial" w:cs="Arial" w:eastAsia="Arial" w:hint="default"/>
          <w:sz w:val="16"/>
          <w:szCs w:val="16"/>
        </w:rPr>
      </w:r>
      <w:r>
        <w:rPr>
          <w:rFonts w:ascii="Arial" w:hAnsi="Arial" w:cs="Arial" w:eastAsia="Arial" w:hint="default"/>
          <w:sz w:val="16"/>
          <w:szCs w:val="16"/>
          <w:u w:val="single" w:color="000000"/>
        </w:rPr>
        <w:t> </w:t>
        <w:tab/>
        <w:t>100</w:t>
      </w:r>
      <w:r>
        <w:rPr>
          <w:rFonts w:ascii="Arial" w:hAnsi="Arial" w:cs="Arial" w:eastAsia="Arial" w:hint="default"/>
          <w:sz w:val="16"/>
          <w:szCs w:val="16"/>
        </w:rPr>
      </w:r>
    </w:p>
    <w:p>
      <w:pPr>
        <w:spacing w:line="240" w:lineRule="auto" w:before="9"/>
        <w:rPr>
          <w:rFonts w:ascii="Arial" w:hAnsi="Arial" w:cs="Arial" w:eastAsia="Arial" w:hint="default"/>
          <w:sz w:val="10"/>
          <w:szCs w:val="10"/>
        </w:rPr>
      </w:pPr>
    </w:p>
    <w:p>
      <w:pPr>
        <w:tabs>
          <w:tab w:pos="1466" w:val="left" w:leader="none"/>
          <w:tab w:pos="2860" w:val="left" w:leader="none"/>
          <w:tab w:pos="5013" w:val="left" w:leader="none"/>
          <w:tab w:pos="7003" w:val="left" w:leader="none"/>
          <w:tab w:pos="9175" w:val="left" w:leader="none"/>
        </w:tabs>
        <w:spacing w:before="52"/>
        <w:ind w:left="604" w:right="0" w:firstLine="0"/>
        <w:jc w:val="left"/>
        <w:rPr>
          <w:rFonts w:ascii="Arial" w:hAnsi="Arial" w:cs="Arial" w:eastAsia="Arial" w:hint="default"/>
          <w:sz w:val="16"/>
          <w:szCs w:val="16"/>
        </w:rPr>
      </w:pPr>
      <w:r>
        <w:rPr>
          <w:rFonts w:ascii="宋体" w:hAnsi="宋体" w:cs="宋体" w:eastAsia="宋体" w:hint="default"/>
          <w:w w:val="95"/>
          <w:position w:val="1"/>
          <w:sz w:val="16"/>
          <w:szCs w:val="16"/>
        </w:rPr>
        <w:t>合计</w:t>
        <w:tab/>
      </w:r>
      <w:r>
        <w:rPr>
          <w:rFonts w:ascii="Arial" w:hAnsi="Arial" w:cs="Arial" w:eastAsia="Arial" w:hint="default"/>
          <w:w w:val="95"/>
          <w:sz w:val="16"/>
          <w:szCs w:val="16"/>
        </w:rPr>
        <w:t>14,007,959,009</w:t>
        <w:tab/>
      </w:r>
      <w:r>
        <w:rPr>
          <w:rFonts w:ascii="Arial" w:hAnsi="Arial" w:cs="Arial" w:eastAsia="Arial" w:hint="default"/>
          <w:sz w:val="16"/>
          <w:szCs w:val="16"/>
        </w:rPr>
        <w:t>100.00  </w:t>
      </w:r>
      <w:r>
        <w:rPr>
          <w:rFonts w:ascii="Arial" w:hAnsi="Arial" w:cs="Arial" w:eastAsia="Arial" w:hint="default"/>
          <w:spacing w:val="6"/>
          <w:sz w:val="16"/>
          <w:szCs w:val="16"/>
        </w:rPr>
        <w:t> </w:t>
      </w:r>
      <w:r>
        <w:rPr>
          <w:rFonts w:ascii="Arial" w:hAnsi="Arial" w:cs="Arial" w:eastAsia="Arial" w:hint="default"/>
          <w:sz w:val="16"/>
          <w:szCs w:val="16"/>
        </w:rPr>
        <w:t>(4,137,305,208)</w:t>
        <w:tab/>
        <w:t>0~100 </w:t>
      </w:r>
      <w:r>
        <w:rPr>
          <w:rFonts w:ascii="Arial" w:hAnsi="Arial" w:cs="Arial" w:eastAsia="Arial" w:hint="default"/>
          <w:spacing w:val="39"/>
          <w:sz w:val="16"/>
          <w:szCs w:val="16"/>
        </w:rPr>
        <w:t> </w:t>
      </w:r>
      <w:r>
        <w:rPr>
          <w:rFonts w:ascii="Arial" w:hAnsi="Arial" w:cs="Arial" w:eastAsia="Arial" w:hint="default"/>
          <w:sz w:val="16"/>
          <w:szCs w:val="16"/>
        </w:rPr>
        <w:t>13,392,638,516</w:t>
        <w:tab/>
        <w:t>100.00  </w:t>
      </w:r>
      <w:r>
        <w:rPr>
          <w:rFonts w:ascii="Arial" w:hAnsi="Arial" w:cs="Arial" w:eastAsia="Arial" w:hint="default"/>
          <w:spacing w:val="20"/>
          <w:sz w:val="16"/>
          <w:szCs w:val="16"/>
        </w:rPr>
        <w:t> </w:t>
      </w:r>
      <w:r>
        <w:rPr>
          <w:rFonts w:ascii="Arial" w:hAnsi="Arial" w:cs="Arial" w:eastAsia="Arial" w:hint="default"/>
          <w:sz w:val="16"/>
          <w:szCs w:val="16"/>
        </w:rPr>
        <w:t>(3,508,722,648)</w:t>
        <w:tab/>
        <w:t>0~100</w:t>
      </w:r>
    </w:p>
    <w:p>
      <w:pPr>
        <w:spacing w:line="43" w:lineRule="exact"/>
        <w:ind w:left="1408" w:right="0" w:firstLine="0"/>
        <w:rPr>
          <w:rFonts w:ascii="Arial" w:hAnsi="Arial" w:cs="Arial" w:eastAsia="Arial" w:hint="default"/>
          <w:sz w:val="4"/>
          <w:szCs w:val="4"/>
        </w:rPr>
      </w:pPr>
      <w:r>
        <w:rPr>
          <w:rFonts w:ascii="Arial" w:hAnsi="Arial" w:cs="Arial" w:eastAsia="Arial" w:hint="default"/>
          <w:position w:val="0"/>
          <w:sz w:val="4"/>
          <w:szCs w:val="4"/>
        </w:rPr>
        <w:pict>
          <v:group style="width:412.6pt;height:2.2pt;mso-position-horizontal-relative:char;mso-position-vertical-relative:line" coordorigin="0,0" coordsize="8252,44">
            <v:group style="position:absolute;left:7;top:36;width:1191;height:2" coordorigin="7,36" coordsize="1191,2">
              <v:shape style="position:absolute;left:7;top:36;width:1191;height:2" coordorigin="7,36" coordsize="1191,0" path="m7,36l1198,36e" filled="false" stroked="true" strokeweight=".72pt" strokecolor="#000000">
                <v:path arrowok="t"/>
              </v:shape>
            </v:group>
            <v:group style="position:absolute;left:7;top:7;width:1191;height:2" coordorigin="7,7" coordsize="1191,2">
              <v:shape style="position:absolute;left:7;top:7;width:1191;height:2" coordorigin="7,7" coordsize="1191,0" path="m7,7l1198,7e" filled="false" stroked="true" strokeweight=".72pt" strokecolor="#000000">
                <v:path arrowok="t"/>
              </v:shape>
            </v:group>
            <v:group style="position:absolute;left:1260;top:36;width:708;height:2" coordorigin="1260,36" coordsize="708,2">
              <v:shape style="position:absolute;left:1260;top:36;width:708;height:2" coordorigin="1260,36" coordsize="708,0" path="m1260,36l1968,36e" filled="false" stroked="true" strokeweight=".72pt" strokecolor="#000000">
                <v:path arrowok="t"/>
              </v:shape>
            </v:group>
            <v:group style="position:absolute;left:1260;top:7;width:708;height:2" coordorigin="1260,7" coordsize="708,2">
              <v:shape style="position:absolute;left:1260;top:7;width:708;height:2" coordorigin="1260,7" coordsize="708,0" path="m1260,7l1968,7e" filled="false" stroked="true" strokeweight=".72pt" strokecolor="#000000">
                <v:path arrowok="t"/>
              </v:shape>
            </v:group>
            <v:group style="position:absolute;left:2038;top:36;width:1205;height:2" coordorigin="2038,36" coordsize="1205,2">
              <v:shape style="position:absolute;left:2038;top:36;width:1205;height:2" coordorigin="2038,36" coordsize="1205,0" path="m2038,36l3242,36e" filled="false" stroked="true" strokeweight=".72pt" strokecolor="#000000">
                <v:path arrowok="t"/>
              </v:shape>
            </v:group>
            <v:group style="position:absolute;left:2038;top:7;width:1205;height:2" coordorigin="2038,7" coordsize="1205,2">
              <v:shape style="position:absolute;left:2038;top:7;width:1205;height:2" coordorigin="2038,7" coordsize="1205,0" path="m2038,7l3242,7e" filled="false" stroked="true" strokeweight=".72pt" strokecolor="#000000">
                <v:path arrowok="t"/>
              </v:shape>
            </v:group>
            <v:group style="position:absolute;left:3304;top:36;width:779;height:2" coordorigin="3304,36" coordsize="779,2">
              <v:shape style="position:absolute;left:3304;top:36;width:779;height:2" coordorigin="3304,36" coordsize="779,0" path="m3304,36l4082,36e" filled="false" stroked="true" strokeweight=".72pt" strokecolor="#000000">
                <v:path arrowok="t"/>
              </v:shape>
            </v:group>
            <v:group style="position:absolute;left:3304;top:7;width:779;height:2" coordorigin="3304,7" coordsize="779,2">
              <v:shape style="position:absolute;left:3304;top:7;width:779;height:2" coordorigin="3304,7" coordsize="779,0" path="m3304,7l4082,7e" filled="false" stroked="true" strokeweight=".72pt" strokecolor="#000000">
                <v:path arrowok="t"/>
              </v:shape>
            </v:group>
            <v:group style="position:absolute;left:4144;top:36;width:1184;height:2" coordorigin="4144,36" coordsize="1184,2">
              <v:shape style="position:absolute;left:4144;top:36;width:1184;height:2" coordorigin="4144,36" coordsize="1184,0" path="m4144,36l5327,36e" filled="false" stroked="true" strokeweight=".72pt" strokecolor="#000000">
                <v:path arrowok="t"/>
              </v:shape>
            </v:group>
            <v:group style="position:absolute;left:4144;top:7;width:1184;height:2" coordorigin="4144,7" coordsize="1184,2">
              <v:shape style="position:absolute;left:4144;top:7;width:1184;height:2" coordorigin="4144,7" coordsize="1184,0" path="m4144,7l5327,7e" filled="false" stroked="true" strokeweight=".72pt" strokecolor="#000000">
                <v:path arrowok="t"/>
              </v:shape>
            </v:group>
            <v:group style="position:absolute;left:5389;top:36;width:723;height:2" coordorigin="5389,36" coordsize="723,2">
              <v:shape style="position:absolute;left:5389;top:36;width:723;height:2" coordorigin="5389,36" coordsize="723,0" path="m5389,36l6112,36e" filled="false" stroked="true" strokeweight=".72pt" strokecolor="#000000">
                <v:path arrowok="t"/>
              </v:shape>
            </v:group>
            <v:group style="position:absolute;left:5389;top:7;width:723;height:2" coordorigin="5389,7" coordsize="723,2">
              <v:shape style="position:absolute;left:5389;top:7;width:723;height:2" coordorigin="5389,7" coordsize="723,0" path="m5389,7l6112,7e" filled="false" stroked="true" strokeweight=".72pt" strokecolor="#000000">
                <v:path arrowok="t"/>
              </v:shape>
            </v:group>
            <v:group style="position:absolute;left:6173;top:36;width:1227;height:2" coordorigin="6173,36" coordsize="1227,2">
              <v:shape style="position:absolute;left:6173;top:36;width:1227;height:2" coordorigin="6173,36" coordsize="1227,0" path="m6173,36l7399,36e" filled="false" stroked="true" strokeweight=".72pt" strokecolor="#000000">
                <v:path arrowok="t"/>
              </v:shape>
            </v:group>
            <v:group style="position:absolute;left:6173;top:7;width:1227;height:2" coordorigin="6173,7" coordsize="1227,2">
              <v:shape style="position:absolute;left:6173;top:7;width:1227;height:2" coordorigin="6173,7" coordsize="1227,0" path="m6173,7l7399,7e" filled="false" stroked="true" strokeweight=".72pt" strokecolor="#000000">
                <v:path arrowok="t"/>
              </v:shape>
            </v:group>
            <v:group style="position:absolute;left:7460;top:36;width:784;height:2" coordorigin="7460,36" coordsize="784,2">
              <v:shape style="position:absolute;left:7460;top:36;width:784;height:2" coordorigin="7460,36" coordsize="784,0" path="m7460,36l8244,36e" filled="false" stroked="true" strokeweight=".72pt" strokecolor="#000000">
                <v:path arrowok="t"/>
              </v:shape>
            </v:group>
            <v:group style="position:absolute;left:7460;top:7;width:784;height:2" coordorigin="7460,7" coordsize="784,2">
              <v:shape style="position:absolute;left:7460;top:7;width:784;height:2" coordorigin="7460,7" coordsize="784,0" path="m7460,7l8244,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5"/>
        <w:rPr>
          <w:rFonts w:ascii="Arial" w:hAnsi="Arial" w:cs="Arial" w:eastAsia="Arial" w:hint="default"/>
          <w:sz w:val="16"/>
          <w:szCs w:val="16"/>
        </w:rPr>
      </w:pPr>
    </w:p>
    <w:p>
      <w:pPr>
        <w:pStyle w:val="BodyText"/>
        <w:tabs>
          <w:tab w:pos="604" w:val="left" w:leader="none"/>
        </w:tabs>
        <w:spacing w:line="295" w:lineRule="exact" w:before="31"/>
        <w:ind w:left="114" w:right="125"/>
        <w:jc w:val="left"/>
      </w:pPr>
      <w:r>
        <w:rPr>
          <w:rFonts w:ascii="Arial" w:hAnsi="Arial" w:cs="Arial" w:eastAsia="Arial" w:hint="default"/>
          <w:w w:val="95"/>
        </w:rPr>
        <w:t>(e)</w:t>
        <w:tab/>
      </w:r>
      <w:r>
        <w:rPr>
          <w:rFonts w:ascii="Arial" w:hAnsi="Arial" w:cs="Arial" w:eastAsia="Arial" w:hint="default"/>
        </w:rPr>
        <w:t>2009 </w:t>
      </w:r>
      <w:r>
        <w:rPr/>
        <w:t>年度，本集团对有确凿证据表明无法收回的约人民币 </w:t>
      </w:r>
      <w:r>
        <w:rPr>
          <w:rFonts w:ascii="Arial" w:hAnsi="Arial" w:cs="Arial" w:eastAsia="Arial" w:hint="default"/>
        </w:rPr>
        <w:t>17.26</w:t>
      </w:r>
      <w:r>
        <w:rPr>
          <w:rFonts w:ascii="Arial" w:hAnsi="Arial" w:cs="Arial" w:eastAsia="Arial" w:hint="default"/>
          <w:spacing w:val="-4"/>
        </w:rPr>
        <w:t> </w:t>
      </w:r>
      <w:r>
        <w:rPr/>
        <w:t>亿元的应收账款进行了核销</w:t>
      </w:r>
    </w:p>
    <w:p>
      <w:pPr>
        <w:pStyle w:val="BodyText"/>
        <w:spacing w:line="286" w:lineRule="exact" w:before="19"/>
        <w:ind w:left="604" w:right="184"/>
        <w:jc w:val="both"/>
      </w:pPr>
      <w:r>
        <w:rPr/>
        <w:t>（</w:t>
      </w:r>
      <w:r>
        <w:rPr>
          <w:rFonts w:ascii="Arial" w:hAnsi="Arial" w:cs="Arial" w:eastAsia="Arial" w:hint="default"/>
        </w:rPr>
        <w:t>2008 </w:t>
      </w:r>
      <w:r>
        <w:rPr/>
        <w:t>年度：约人民币 </w:t>
      </w:r>
      <w:r>
        <w:rPr>
          <w:rFonts w:ascii="Arial" w:hAnsi="Arial" w:cs="Arial" w:eastAsia="Arial" w:hint="default"/>
        </w:rPr>
        <w:t>26.23</w:t>
      </w:r>
      <w:r>
        <w:rPr>
          <w:rFonts w:ascii="Arial" w:hAnsi="Arial" w:cs="Arial" w:eastAsia="Arial" w:hint="default"/>
          <w:spacing w:val="-3"/>
        </w:rPr>
        <w:t> </w:t>
      </w:r>
      <w:r>
        <w:rPr/>
        <w:t>亿元），同时冲销已计提的坏账准备。本集团核销的坏账准备</w:t>
      </w:r>
      <w:r>
        <w:rPr>
          <w:w w:val="99"/>
        </w:rPr>
        <w:t> </w:t>
      </w:r>
      <w:r>
        <w:rPr>
          <w:spacing w:val="-1"/>
          <w:w w:val="95"/>
        </w:rPr>
        <w:t>主要为对一般商务及公众用户计提的坏账准备，其个别欠款金额对本集团并不重大。此外，本</w:t>
      </w:r>
      <w:r>
        <w:rPr>
          <w:spacing w:val="24"/>
          <w:w w:val="95"/>
        </w:rPr>
        <w:t> </w:t>
      </w:r>
      <w:r>
        <w:rPr>
          <w:spacing w:val="24"/>
          <w:w w:val="95"/>
        </w:rPr>
      </w:r>
      <w:r>
        <w:rPr/>
        <w:t>集团本年核销的应收账款中无应收关联公司款项。</w:t>
      </w:r>
    </w:p>
    <w:p>
      <w:pPr>
        <w:spacing w:line="240" w:lineRule="auto" w:before="1"/>
        <w:rPr>
          <w:rFonts w:ascii="宋体" w:hAnsi="宋体" w:cs="宋体" w:eastAsia="宋体" w:hint="default"/>
          <w:sz w:val="17"/>
          <w:szCs w:val="17"/>
        </w:rPr>
      </w:pPr>
    </w:p>
    <w:p>
      <w:pPr>
        <w:pStyle w:val="BodyText"/>
        <w:tabs>
          <w:tab w:pos="604" w:val="left" w:leader="none"/>
        </w:tabs>
        <w:spacing w:line="240" w:lineRule="auto"/>
        <w:ind w:left="114" w:right="125"/>
        <w:jc w:val="left"/>
      </w:pPr>
      <w:r>
        <w:rPr>
          <w:rFonts w:ascii="Arial" w:hAnsi="Arial" w:cs="Arial" w:eastAsia="Arial" w:hint="default"/>
          <w:w w:val="95"/>
        </w:rPr>
        <w:t>(f)</w:t>
        <w:tab/>
      </w:r>
      <w:r>
        <w:rPr/>
        <w:t>应收持有本公司</w:t>
      </w:r>
      <w:r>
        <w:rPr>
          <w:spacing w:val="-57"/>
        </w:rPr>
        <w:t> </w:t>
      </w:r>
      <w:r>
        <w:rPr>
          <w:rFonts w:ascii="Arial" w:hAnsi="Arial" w:cs="Arial" w:eastAsia="Arial" w:hint="default"/>
        </w:rPr>
        <w:t>5%</w:t>
      </w:r>
      <w:r>
        <w:rPr/>
        <w:t>（含</w:t>
      </w:r>
      <w:r>
        <w:rPr>
          <w:spacing w:val="-57"/>
        </w:rPr>
        <w:t> </w:t>
      </w:r>
      <w:r>
        <w:rPr>
          <w:rFonts w:ascii="Arial" w:hAnsi="Arial" w:cs="Arial" w:eastAsia="Arial" w:hint="default"/>
        </w:rPr>
        <w:t>5%</w:t>
      </w:r>
      <w:r>
        <w:rPr/>
        <w:t>）以上表决权股份的股东单位的应收账款分析如下：</w:t>
      </w:r>
    </w:p>
    <w:p>
      <w:pPr>
        <w:spacing w:line="240" w:lineRule="auto" w:before="13"/>
        <w:rPr>
          <w:rFonts w:ascii="宋体" w:hAnsi="宋体" w:cs="宋体" w:eastAsia="宋体" w:hint="default"/>
          <w:sz w:val="17"/>
          <w:szCs w:val="17"/>
        </w:rPr>
      </w:pPr>
    </w:p>
    <w:p>
      <w:pPr>
        <w:pStyle w:val="BodyText"/>
        <w:tabs>
          <w:tab w:pos="6365" w:val="left" w:leader="none"/>
        </w:tabs>
        <w:spacing w:line="240" w:lineRule="auto"/>
        <w:ind w:left="3372" w:right="125"/>
        <w:jc w:val="left"/>
      </w:pP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tab/>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日（经重列）</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pStyle w:val="BodyText"/>
        <w:spacing w:line="240" w:lineRule="auto" w:before="82"/>
        <w:ind w:left="114" w:right="3260"/>
        <w:jc w:val="left"/>
        <w:rPr>
          <w:rFonts w:ascii="Arial" w:hAnsi="Arial" w:cs="Arial" w:eastAsia="Arial" w:hint="default"/>
        </w:rPr>
      </w:pPr>
      <w:r>
        <w:rPr/>
        <w:pict>
          <v:shape style="position:absolute;margin-left:90.349998pt;margin-top:-53.861362pt;width:446.75pt;height:75.4pt;mso-position-horizontal-relative:page;mso-position-vertical-relative:paragraph;z-index:20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28"/>
                    <w:gridCol w:w="1572"/>
                    <w:gridCol w:w="278"/>
                    <w:gridCol w:w="1406"/>
                    <w:gridCol w:w="275"/>
                    <w:gridCol w:w="1579"/>
                    <w:gridCol w:w="234"/>
                    <w:gridCol w:w="1462"/>
                  </w:tblGrid>
                  <w:tr>
                    <w:trPr>
                      <w:trHeight w:val="301" w:hRule="exact"/>
                    </w:trPr>
                    <w:tc>
                      <w:tcPr>
                        <w:tcW w:w="2128" w:type="dxa"/>
                        <w:tcBorders>
                          <w:top w:val="nil" w:sz="6" w:space="0" w:color="auto"/>
                          <w:left w:val="nil" w:sz="6" w:space="0" w:color="auto"/>
                          <w:bottom w:val="nil" w:sz="6" w:space="0" w:color="auto"/>
                          <w:right w:val="nil" w:sz="6" w:space="0" w:color="auto"/>
                        </w:tcBorders>
                      </w:tcPr>
                      <w:p>
                        <w:pPr/>
                      </w:p>
                    </w:tc>
                    <w:tc>
                      <w:tcPr>
                        <w:tcW w:w="1572" w:type="dxa"/>
                        <w:tcBorders>
                          <w:top w:val="single" w:sz="6" w:space="0" w:color="000000"/>
                          <w:left w:val="nil" w:sz="6" w:space="0" w:color="auto"/>
                          <w:bottom w:val="single" w:sz="6" w:space="0" w:color="000000"/>
                          <w:right w:val="nil" w:sz="6" w:space="0" w:color="auto"/>
                        </w:tcBorders>
                      </w:tcPr>
                      <w:p>
                        <w:pPr>
                          <w:pStyle w:val="TableParagraph"/>
                          <w:spacing w:line="252" w:lineRule="exact"/>
                          <w:ind w:right="99"/>
                          <w:jc w:val="right"/>
                          <w:rPr>
                            <w:rFonts w:ascii="宋体" w:hAnsi="宋体" w:cs="宋体" w:eastAsia="宋体" w:hint="default"/>
                            <w:sz w:val="22"/>
                            <w:szCs w:val="22"/>
                          </w:rPr>
                        </w:pPr>
                        <w:r>
                          <w:rPr>
                            <w:rFonts w:ascii="宋体" w:hAnsi="宋体" w:cs="宋体" w:eastAsia="宋体" w:hint="default"/>
                            <w:w w:val="95"/>
                            <w:sz w:val="22"/>
                            <w:szCs w:val="22"/>
                          </w:rPr>
                          <w:t>金额</w:t>
                        </w:r>
                        <w:r>
                          <w:rPr>
                            <w:rFonts w:ascii="宋体" w:hAnsi="宋体" w:cs="宋体" w:eastAsia="宋体" w:hint="default"/>
                            <w:sz w:val="22"/>
                            <w:szCs w:val="22"/>
                          </w:rPr>
                        </w:r>
                      </w:p>
                    </w:tc>
                    <w:tc>
                      <w:tcPr>
                        <w:tcW w:w="278" w:type="dxa"/>
                        <w:tcBorders>
                          <w:top w:val="single" w:sz="6" w:space="0" w:color="000000"/>
                          <w:left w:val="nil" w:sz="6" w:space="0" w:color="auto"/>
                          <w:bottom w:val="nil" w:sz="6" w:space="0" w:color="auto"/>
                          <w:right w:val="nil" w:sz="6" w:space="0" w:color="auto"/>
                        </w:tcBorders>
                      </w:tcPr>
                      <w:p>
                        <w:pPr/>
                      </w:p>
                    </w:tc>
                    <w:tc>
                      <w:tcPr>
                        <w:tcW w:w="1406" w:type="dxa"/>
                        <w:tcBorders>
                          <w:top w:val="single" w:sz="6" w:space="0" w:color="000000"/>
                          <w:left w:val="nil" w:sz="6" w:space="0" w:color="auto"/>
                          <w:bottom w:val="single" w:sz="6" w:space="0" w:color="000000"/>
                          <w:right w:val="nil" w:sz="6" w:space="0" w:color="auto"/>
                        </w:tcBorders>
                      </w:tcPr>
                      <w:p>
                        <w:pPr>
                          <w:pStyle w:val="TableParagraph"/>
                          <w:spacing w:line="252" w:lineRule="exact"/>
                          <w:ind w:right="99"/>
                          <w:jc w:val="right"/>
                          <w:rPr>
                            <w:rFonts w:ascii="宋体" w:hAnsi="宋体" w:cs="宋体" w:eastAsia="宋体" w:hint="default"/>
                            <w:sz w:val="22"/>
                            <w:szCs w:val="22"/>
                          </w:rPr>
                        </w:pPr>
                        <w:r>
                          <w:rPr>
                            <w:rFonts w:ascii="宋体" w:hAnsi="宋体" w:cs="宋体" w:eastAsia="宋体" w:hint="default"/>
                            <w:w w:val="95"/>
                            <w:sz w:val="22"/>
                            <w:szCs w:val="22"/>
                          </w:rPr>
                          <w:t>坏账准备</w:t>
                        </w:r>
                        <w:r>
                          <w:rPr>
                            <w:rFonts w:ascii="宋体" w:hAnsi="宋体" w:cs="宋体" w:eastAsia="宋体" w:hint="default"/>
                            <w:sz w:val="22"/>
                            <w:szCs w:val="22"/>
                          </w:rPr>
                        </w:r>
                      </w:p>
                    </w:tc>
                    <w:tc>
                      <w:tcPr>
                        <w:tcW w:w="275" w:type="dxa"/>
                        <w:tcBorders>
                          <w:top w:val="nil" w:sz="6" w:space="0" w:color="auto"/>
                          <w:left w:val="nil" w:sz="6" w:space="0" w:color="auto"/>
                          <w:bottom w:val="nil" w:sz="6" w:space="0" w:color="auto"/>
                          <w:right w:val="nil" w:sz="6" w:space="0" w:color="auto"/>
                        </w:tcBorders>
                      </w:tcPr>
                      <w:p>
                        <w:pPr/>
                      </w:p>
                    </w:tc>
                    <w:tc>
                      <w:tcPr>
                        <w:tcW w:w="1579" w:type="dxa"/>
                        <w:tcBorders>
                          <w:top w:val="single" w:sz="6" w:space="0" w:color="000000"/>
                          <w:left w:val="nil" w:sz="6" w:space="0" w:color="auto"/>
                          <w:bottom w:val="single" w:sz="6" w:space="0" w:color="000000"/>
                          <w:right w:val="nil" w:sz="6" w:space="0" w:color="auto"/>
                        </w:tcBorders>
                      </w:tcPr>
                      <w:p>
                        <w:pPr>
                          <w:pStyle w:val="TableParagraph"/>
                          <w:spacing w:line="252" w:lineRule="exact"/>
                          <w:ind w:right="100"/>
                          <w:jc w:val="right"/>
                          <w:rPr>
                            <w:rFonts w:ascii="宋体" w:hAnsi="宋体" w:cs="宋体" w:eastAsia="宋体" w:hint="default"/>
                            <w:sz w:val="22"/>
                            <w:szCs w:val="22"/>
                          </w:rPr>
                        </w:pPr>
                        <w:r>
                          <w:rPr>
                            <w:rFonts w:ascii="宋体" w:hAnsi="宋体" w:cs="宋体" w:eastAsia="宋体" w:hint="default"/>
                            <w:w w:val="95"/>
                            <w:sz w:val="22"/>
                            <w:szCs w:val="22"/>
                          </w:rPr>
                          <w:t>金额</w:t>
                        </w:r>
                        <w:r>
                          <w:rPr>
                            <w:rFonts w:ascii="宋体" w:hAnsi="宋体" w:cs="宋体" w:eastAsia="宋体" w:hint="default"/>
                            <w:sz w:val="22"/>
                            <w:szCs w:val="22"/>
                          </w:rPr>
                        </w:r>
                      </w:p>
                    </w:tc>
                    <w:tc>
                      <w:tcPr>
                        <w:tcW w:w="234" w:type="dxa"/>
                        <w:tcBorders>
                          <w:top w:val="single" w:sz="6" w:space="0" w:color="000000"/>
                          <w:left w:val="nil" w:sz="6" w:space="0" w:color="auto"/>
                          <w:bottom w:val="nil" w:sz="6" w:space="0" w:color="auto"/>
                          <w:right w:val="nil" w:sz="6" w:space="0" w:color="auto"/>
                        </w:tcBorders>
                      </w:tcPr>
                      <w:p>
                        <w:pPr/>
                      </w:p>
                    </w:tc>
                    <w:tc>
                      <w:tcPr>
                        <w:tcW w:w="1462" w:type="dxa"/>
                        <w:tcBorders>
                          <w:top w:val="single" w:sz="6" w:space="0" w:color="000000"/>
                          <w:left w:val="nil" w:sz="6" w:space="0" w:color="auto"/>
                          <w:bottom w:val="single" w:sz="6" w:space="0" w:color="000000"/>
                          <w:right w:val="nil" w:sz="6" w:space="0" w:color="auto"/>
                        </w:tcBorders>
                      </w:tcPr>
                      <w:p>
                        <w:pPr>
                          <w:pStyle w:val="TableParagraph"/>
                          <w:spacing w:line="252" w:lineRule="exact"/>
                          <w:ind w:right="99"/>
                          <w:jc w:val="right"/>
                          <w:rPr>
                            <w:rFonts w:ascii="宋体" w:hAnsi="宋体" w:cs="宋体" w:eastAsia="宋体" w:hint="default"/>
                            <w:sz w:val="22"/>
                            <w:szCs w:val="22"/>
                          </w:rPr>
                        </w:pPr>
                        <w:r>
                          <w:rPr>
                            <w:rFonts w:ascii="宋体" w:hAnsi="宋体" w:cs="宋体" w:eastAsia="宋体" w:hint="default"/>
                            <w:w w:val="95"/>
                            <w:sz w:val="22"/>
                            <w:szCs w:val="22"/>
                          </w:rPr>
                          <w:t>坏账准备</w:t>
                        </w:r>
                        <w:r>
                          <w:rPr>
                            <w:rFonts w:ascii="宋体" w:hAnsi="宋体" w:cs="宋体" w:eastAsia="宋体" w:hint="default"/>
                            <w:sz w:val="22"/>
                            <w:szCs w:val="22"/>
                          </w:rPr>
                        </w:r>
                      </w:p>
                    </w:tc>
                  </w:tr>
                  <w:tr>
                    <w:trPr>
                      <w:trHeight w:val="569" w:hRule="exact"/>
                    </w:trPr>
                    <w:tc>
                      <w:tcPr>
                        <w:tcW w:w="212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Arial" w:hAnsi="Arial" w:cs="Arial" w:eastAsia="Arial" w:hint="default"/>
                            <w:sz w:val="19"/>
                            <w:szCs w:val="19"/>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联通集团</w:t>
                        </w:r>
                      </w:p>
                    </w:tc>
                    <w:tc>
                      <w:tcPr>
                        <w:tcW w:w="1572" w:type="dxa"/>
                        <w:tcBorders>
                          <w:top w:val="single" w:sz="6" w:space="0" w:color="000000"/>
                          <w:left w:val="nil" w:sz="6" w:space="0" w:color="auto"/>
                          <w:bottom w:val="single" w:sz="17" w:space="0" w:color="000000"/>
                          <w:right w:val="nil" w:sz="6" w:space="0" w:color="auto"/>
                        </w:tcBorders>
                      </w:tcPr>
                      <w:p>
                        <w:pPr>
                          <w:pStyle w:val="TableParagraph"/>
                          <w:spacing w:line="240" w:lineRule="auto" w:before="7"/>
                          <w:ind w:right="0"/>
                          <w:jc w:val="left"/>
                          <w:rPr>
                            <w:rFonts w:ascii="Arial" w:hAnsi="Arial" w:cs="Arial" w:eastAsia="Arial" w:hint="default"/>
                            <w:sz w:val="24"/>
                            <w:szCs w:val="24"/>
                          </w:rPr>
                        </w:pPr>
                      </w:p>
                      <w:p>
                        <w:pPr>
                          <w:pStyle w:val="TableParagraph"/>
                          <w:spacing w:line="240" w:lineRule="auto"/>
                          <w:ind w:right="99"/>
                          <w:jc w:val="right"/>
                          <w:rPr>
                            <w:rFonts w:ascii="Arial" w:hAnsi="Arial" w:cs="Arial" w:eastAsia="Arial" w:hint="default"/>
                            <w:sz w:val="22"/>
                            <w:szCs w:val="22"/>
                          </w:rPr>
                        </w:pPr>
                        <w:r>
                          <w:rPr>
                            <w:rFonts w:ascii="Arial"/>
                            <w:w w:val="95"/>
                            <w:sz w:val="22"/>
                          </w:rPr>
                          <w:t>20,333,127</w:t>
                        </w:r>
                        <w:r>
                          <w:rPr>
                            <w:rFonts w:ascii="Arial"/>
                            <w:sz w:val="22"/>
                          </w:rPr>
                        </w:r>
                      </w:p>
                    </w:tc>
                    <w:tc>
                      <w:tcPr>
                        <w:tcW w:w="278" w:type="dxa"/>
                        <w:tcBorders>
                          <w:top w:val="nil" w:sz="6" w:space="0" w:color="auto"/>
                          <w:left w:val="nil" w:sz="6" w:space="0" w:color="auto"/>
                          <w:bottom w:val="nil" w:sz="6" w:space="0" w:color="auto"/>
                          <w:right w:val="nil" w:sz="6" w:space="0" w:color="auto"/>
                        </w:tcBorders>
                      </w:tcPr>
                      <w:p>
                        <w:pPr/>
                      </w:p>
                    </w:tc>
                    <w:tc>
                      <w:tcPr>
                        <w:tcW w:w="1406" w:type="dxa"/>
                        <w:tcBorders>
                          <w:top w:val="single" w:sz="6" w:space="0" w:color="000000"/>
                          <w:left w:val="nil" w:sz="6" w:space="0" w:color="auto"/>
                          <w:bottom w:val="single" w:sz="17" w:space="0" w:color="000000"/>
                          <w:right w:val="nil" w:sz="6" w:space="0" w:color="auto"/>
                        </w:tcBorders>
                      </w:tcPr>
                      <w:p>
                        <w:pPr>
                          <w:pStyle w:val="TableParagraph"/>
                          <w:spacing w:line="240" w:lineRule="auto" w:before="7"/>
                          <w:ind w:right="0"/>
                          <w:jc w:val="left"/>
                          <w:rPr>
                            <w:rFonts w:ascii="Arial" w:hAnsi="Arial" w:cs="Arial" w:eastAsia="Arial" w:hint="default"/>
                            <w:sz w:val="24"/>
                            <w:szCs w:val="24"/>
                          </w:rPr>
                        </w:pPr>
                      </w:p>
                      <w:p>
                        <w:pPr>
                          <w:pStyle w:val="TableParagraph"/>
                          <w:spacing w:line="240" w:lineRule="auto"/>
                          <w:ind w:right="99"/>
                          <w:jc w:val="right"/>
                          <w:rPr>
                            <w:rFonts w:ascii="Arial" w:hAnsi="Arial" w:cs="Arial" w:eastAsia="Arial" w:hint="default"/>
                            <w:sz w:val="22"/>
                            <w:szCs w:val="22"/>
                          </w:rPr>
                        </w:pPr>
                        <w:r>
                          <w:rPr>
                            <w:rFonts w:ascii="Arial"/>
                            <w:w w:val="99"/>
                            <w:sz w:val="22"/>
                          </w:rPr>
                          <w:t>-</w:t>
                        </w:r>
                        <w:r>
                          <w:rPr>
                            <w:rFonts w:ascii="Arial"/>
                            <w:sz w:val="22"/>
                          </w:rPr>
                        </w:r>
                      </w:p>
                    </w:tc>
                    <w:tc>
                      <w:tcPr>
                        <w:tcW w:w="275" w:type="dxa"/>
                        <w:tcBorders>
                          <w:top w:val="nil" w:sz="6" w:space="0" w:color="auto"/>
                          <w:left w:val="nil" w:sz="6" w:space="0" w:color="auto"/>
                          <w:bottom w:val="nil" w:sz="6" w:space="0" w:color="auto"/>
                          <w:right w:val="nil" w:sz="6" w:space="0" w:color="auto"/>
                        </w:tcBorders>
                      </w:tcPr>
                      <w:p>
                        <w:pPr/>
                      </w:p>
                    </w:tc>
                    <w:tc>
                      <w:tcPr>
                        <w:tcW w:w="1579" w:type="dxa"/>
                        <w:tcBorders>
                          <w:top w:val="single" w:sz="6" w:space="0" w:color="000000"/>
                          <w:left w:val="nil" w:sz="6" w:space="0" w:color="auto"/>
                          <w:bottom w:val="single" w:sz="17" w:space="0" w:color="000000"/>
                          <w:right w:val="nil" w:sz="6" w:space="0" w:color="auto"/>
                        </w:tcBorders>
                      </w:tcPr>
                      <w:p>
                        <w:pPr>
                          <w:pStyle w:val="TableParagraph"/>
                          <w:spacing w:line="240" w:lineRule="auto" w:before="7"/>
                          <w:ind w:right="0"/>
                          <w:jc w:val="left"/>
                          <w:rPr>
                            <w:rFonts w:ascii="Arial" w:hAnsi="Arial" w:cs="Arial" w:eastAsia="Arial" w:hint="default"/>
                            <w:sz w:val="24"/>
                            <w:szCs w:val="24"/>
                          </w:rPr>
                        </w:pPr>
                      </w:p>
                      <w:p>
                        <w:pPr>
                          <w:pStyle w:val="TableParagraph"/>
                          <w:spacing w:line="240" w:lineRule="auto"/>
                          <w:ind w:right="100"/>
                          <w:jc w:val="right"/>
                          <w:rPr>
                            <w:rFonts w:ascii="Arial" w:hAnsi="Arial" w:cs="Arial" w:eastAsia="Arial" w:hint="default"/>
                            <w:sz w:val="22"/>
                            <w:szCs w:val="22"/>
                          </w:rPr>
                        </w:pPr>
                        <w:r>
                          <w:rPr>
                            <w:rFonts w:ascii="Arial"/>
                            <w:w w:val="95"/>
                            <w:sz w:val="22"/>
                          </w:rPr>
                          <w:t>33,180,979</w:t>
                        </w:r>
                        <w:r>
                          <w:rPr>
                            <w:rFonts w:ascii="Arial"/>
                            <w:sz w:val="22"/>
                          </w:rPr>
                        </w:r>
                      </w:p>
                    </w:tc>
                    <w:tc>
                      <w:tcPr>
                        <w:tcW w:w="234" w:type="dxa"/>
                        <w:tcBorders>
                          <w:top w:val="nil" w:sz="6" w:space="0" w:color="auto"/>
                          <w:left w:val="nil" w:sz="6" w:space="0" w:color="auto"/>
                          <w:bottom w:val="nil" w:sz="6" w:space="0" w:color="auto"/>
                          <w:right w:val="nil" w:sz="6" w:space="0" w:color="auto"/>
                        </w:tcBorders>
                      </w:tcPr>
                      <w:p>
                        <w:pPr/>
                      </w:p>
                    </w:tc>
                    <w:tc>
                      <w:tcPr>
                        <w:tcW w:w="1462" w:type="dxa"/>
                        <w:tcBorders>
                          <w:top w:val="single" w:sz="6" w:space="0" w:color="000000"/>
                          <w:left w:val="nil" w:sz="6" w:space="0" w:color="auto"/>
                          <w:bottom w:val="single" w:sz="17" w:space="0" w:color="000000"/>
                          <w:right w:val="nil" w:sz="6" w:space="0" w:color="auto"/>
                        </w:tcBorders>
                      </w:tcPr>
                      <w:p>
                        <w:pPr>
                          <w:pStyle w:val="TableParagraph"/>
                          <w:spacing w:line="240" w:lineRule="auto" w:before="7"/>
                          <w:ind w:right="0"/>
                          <w:jc w:val="left"/>
                          <w:rPr>
                            <w:rFonts w:ascii="Arial" w:hAnsi="Arial" w:cs="Arial" w:eastAsia="Arial" w:hint="default"/>
                            <w:sz w:val="24"/>
                            <w:szCs w:val="24"/>
                          </w:rPr>
                        </w:pPr>
                      </w:p>
                      <w:p>
                        <w:pPr>
                          <w:pStyle w:val="TableParagraph"/>
                          <w:spacing w:line="240" w:lineRule="auto"/>
                          <w:ind w:right="99"/>
                          <w:jc w:val="right"/>
                          <w:rPr>
                            <w:rFonts w:ascii="Arial" w:hAnsi="Arial" w:cs="Arial" w:eastAsia="Arial" w:hint="default"/>
                            <w:sz w:val="22"/>
                            <w:szCs w:val="22"/>
                          </w:rPr>
                        </w:pPr>
                        <w:r>
                          <w:rPr>
                            <w:rFonts w:ascii="Arial"/>
                            <w:w w:val="99"/>
                            <w:sz w:val="22"/>
                          </w:rPr>
                          <w:t>-</w:t>
                        </w:r>
                        <w:r>
                          <w:rPr>
                            <w:rFonts w:ascii="Arial"/>
                            <w:sz w:val="22"/>
                          </w:rPr>
                        </w:r>
                      </w:p>
                    </w:tc>
                  </w:tr>
                  <w:tr>
                    <w:trPr>
                      <w:trHeight w:val="637" w:hRule="exact"/>
                    </w:trPr>
                    <w:tc>
                      <w:tcPr>
                        <w:tcW w:w="8934" w:type="dxa"/>
                        <w:gridSpan w:val="8"/>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Arial" w:hAnsi="Arial" w:cs="Arial" w:eastAsia="Arial" w:hint="default"/>
                            <w:sz w:val="20"/>
                            <w:szCs w:val="20"/>
                          </w:rPr>
                        </w:pPr>
                      </w:p>
                      <w:p>
                        <w:pPr>
                          <w:pStyle w:val="TableParagraph"/>
                          <w:spacing w:line="240" w:lineRule="auto"/>
                          <w:ind w:left="37" w:right="0"/>
                          <w:jc w:val="left"/>
                          <w:rPr>
                            <w:rFonts w:ascii="宋体" w:hAnsi="宋体" w:cs="宋体" w:eastAsia="宋体" w:hint="default"/>
                            <w:sz w:val="22"/>
                            <w:szCs w:val="22"/>
                          </w:rPr>
                        </w:pPr>
                        <w:r>
                          <w:rPr>
                            <w:rFonts w:ascii="宋体" w:hAnsi="宋体" w:cs="宋体" w:eastAsia="宋体" w:hint="default"/>
                            <w:sz w:val="22"/>
                            <w:szCs w:val="22"/>
                          </w:rPr>
                          <w:t>于</w:t>
                        </w:r>
                        <w:r>
                          <w:rPr>
                            <w:rFonts w:ascii="宋体" w:hAnsi="宋体" w:cs="宋体" w:eastAsia="宋体" w:hint="default"/>
                            <w:spacing w:val="-56"/>
                            <w:sz w:val="22"/>
                            <w:szCs w:val="22"/>
                          </w:rPr>
                          <w:t> </w:t>
                        </w: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日，余额前五名的应收账款分析如下：</w:t>
                        </w:r>
                      </w:p>
                    </w:tc>
                  </w:tr>
                </w:tbl>
                <w:p>
                  <w:pPr/>
                </w:p>
              </w:txbxContent>
            </v:textbox>
            <w10:wrap type="none"/>
          </v:shape>
        </w:pict>
      </w:r>
      <w:r>
        <w:rPr>
          <w:rFonts w:ascii="Arial"/>
        </w:rPr>
        <w:t>(g)</w:t>
      </w:r>
    </w:p>
    <w:p>
      <w:pPr>
        <w:spacing w:line="240" w:lineRule="auto" w:before="8"/>
        <w:rPr>
          <w:rFonts w:ascii="Arial" w:hAnsi="Arial" w:cs="Arial" w:eastAsia="Arial" w:hint="default"/>
          <w:sz w:val="17"/>
          <w:szCs w:val="17"/>
        </w:rPr>
      </w:pPr>
    </w:p>
    <w:tbl>
      <w:tblPr>
        <w:tblW w:w="0" w:type="auto"/>
        <w:jc w:val="left"/>
        <w:tblInd w:w="566" w:type="dxa"/>
        <w:tblLayout w:type="fixed"/>
        <w:tblCellMar>
          <w:top w:w="0" w:type="dxa"/>
          <w:left w:w="0" w:type="dxa"/>
          <w:bottom w:w="0" w:type="dxa"/>
          <w:right w:w="0" w:type="dxa"/>
        </w:tblCellMar>
        <w:tblLook w:val="01E0"/>
      </w:tblPr>
      <w:tblGrid>
        <w:gridCol w:w="1473"/>
        <w:gridCol w:w="2029"/>
        <w:gridCol w:w="235"/>
        <w:gridCol w:w="1798"/>
        <w:gridCol w:w="233"/>
        <w:gridCol w:w="1234"/>
        <w:gridCol w:w="235"/>
        <w:gridCol w:w="1705"/>
      </w:tblGrid>
      <w:tr>
        <w:trPr>
          <w:trHeight w:val="645" w:hRule="exact"/>
        </w:trPr>
        <w:tc>
          <w:tcPr>
            <w:tcW w:w="1473" w:type="dxa"/>
            <w:tcBorders>
              <w:top w:val="nil" w:sz="6" w:space="0" w:color="auto"/>
              <w:left w:val="nil" w:sz="6" w:space="0" w:color="auto"/>
              <w:bottom w:val="nil" w:sz="6" w:space="0" w:color="auto"/>
              <w:right w:val="nil" w:sz="6" w:space="0" w:color="auto"/>
            </w:tcBorders>
          </w:tcPr>
          <w:p>
            <w:pPr/>
          </w:p>
        </w:tc>
        <w:tc>
          <w:tcPr>
            <w:tcW w:w="2029" w:type="dxa"/>
            <w:tcBorders>
              <w:top w:val="nil" w:sz="6" w:space="0" w:color="auto"/>
              <w:left w:val="nil" w:sz="6" w:space="0" w:color="auto"/>
              <w:bottom w:val="single" w:sz="6" w:space="0" w:color="000000"/>
              <w:right w:val="nil" w:sz="6" w:space="0" w:color="auto"/>
            </w:tcBorders>
          </w:tcPr>
          <w:p>
            <w:pPr>
              <w:pStyle w:val="TableParagraph"/>
              <w:spacing w:line="240" w:lineRule="auto" w:before="7"/>
              <w:ind w:right="0"/>
              <w:jc w:val="left"/>
              <w:rPr>
                <w:rFonts w:ascii="Arial" w:hAnsi="Arial" w:cs="Arial" w:eastAsia="Arial" w:hint="default"/>
                <w:sz w:val="27"/>
                <w:szCs w:val="27"/>
              </w:rPr>
            </w:pPr>
          </w:p>
          <w:p>
            <w:pPr>
              <w:pStyle w:val="TableParagraph"/>
              <w:spacing w:line="240" w:lineRule="auto"/>
              <w:ind w:left="511" w:right="0"/>
              <w:jc w:val="center"/>
              <w:rPr>
                <w:rFonts w:ascii="宋体" w:hAnsi="宋体" w:cs="宋体" w:eastAsia="宋体" w:hint="default"/>
                <w:sz w:val="22"/>
                <w:szCs w:val="22"/>
              </w:rPr>
            </w:pPr>
            <w:r>
              <w:rPr>
                <w:rFonts w:ascii="宋体" w:hAnsi="宋体" w:cs="宋体" w:eastAsia="宋体" w:hint="default"/>
                <w:sz w:val="22"/>
                <w:szCs w:val="22"/>
              </w:rPr>
              <w:t>与本集团关系</w:t>
            </w:r>
          </w:p>
        </w:tc>
        <w:tc>
          <w:tcPr>
            <w:tcW w:w="235" w:type="dxa"/>
            <w:tcBorders>
              <w:top w:val="nil" w:sz="6" w:space="0" w:color="auto"/>
              <w:left w:val="nil" w:sz="6" w:space="0" w:color="auto"/>
              <w:bottom w:val="nil" w:sz="6" w:space="0" w:color="auto"/>
              <w:right w:val="nil" w:sz="6" w:space="0" w:color="auto"/>
            </w:tcBorders>
          </w:tcPr>
          <w:p>
            <w:pPr/>
          </w:p>
        </w:tc>
        <w:tc>
          <w:tcPr>
            <w:tcW w:w="1798" w:type="dxa"/>
            <w:tcBorders>
              <w:top w:val="nil" w:sz="6" w:space="0" w:color="auto"/>
              <w:left w:val="nil" w:sz="6" w:space="0" w:color="auto"/>
              <w:bottom w:val="single" w:sz="6" w:space="0" w:color="000000"/>
              <w:right w:val="nil" w:sz="6" w:space="0" w:color="auto"/>
            </w:tcBorders>
          </w:tcPr>
          <w:p>
            <w:pPr>
              <w:pStyle w:val="TableParagraph"/>
              <w:spacing w:line="240" w:lineRule="auto" w:before="7"/>
              <w:ind w:right="0"/>
              <w:jc w:val="left"/>
              <w:rPr>
                <w:rFonts w:ascii="Arial" w:hAnsi="Arial" w:cs="Arial" w:eastAsia="Arial" w:hint="default"/>
                <w:sz w:val="27"/>
                <w:szCs w:val="27"/>
              </w:rPr>
            </w:pPr>
          </w:p>
          <w:p>
            <w:pPr>
              <w:pStyle w:val="TableParagraph"/>
              <w:spacing w:line="240" w:lineRule="auto"/>
              <w:ind w:right="101"/>
              <w:jc w:val="right"/>
              <w:rPr>
                <w:rFonts w:ascii="宋体" w:hAnsi="宋体" w:cs="宋体" w:eastAsia="宋体" w:hint="default"/>
                <w:sz w:val="22"/>
                <w:szCs w:val="22"/>
              </w:rPr>
            </w:pPr>
            <w:r>
              <w:rPr>
                <w:rFonts w:ascii="宋体" w:hAnsi="宋体" w:cs="宋体" w:eastAsia="宋体" w:hint="default"/>
                <w:w w:val="95"/>
                <w:sz w:val="22"/>
                <w:szCs w:val="22"/>
              </w:rPr>
              <w:t>金额</w:t>
            </w:r>
            <w:r>
              <w:rPr>
                <w:rFonts w:ascii="宋体" w:hAnsi="宋体" w:cs="宋体" w:eastAsia="宋体" w:hint="default"/>
                <w:sz w:val="22"/>
                <w:szCs w:val="22"/>
              </w:rPr>
            </w:r>
          </w:p>
        </w:tc>
        <w:tc>
          <w:tcPr>
            <w:tcW w:w="233"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single" w:sz="6" w:space="0" w:color="000000"/>
              <w:right w:val="nil" w:sz="6" w:space="0" w:color="auto"/>
            </w:tcBorders>
          </w:tcPr>
          <w:p>
            <w:pPr>
              <w:pStyle w:val="TableParagraph"/>
              <w:spacing w:line="240" w:lineRule="auto" w:before="7"/>
              <w:ind w:right="0"/>
              <w:jc w:val="left"/>
              <w:rPr>
                <w:rFonts w:ascii="Arial" w:hAnsi="Arial" w:cs="Arial" w:eastAsia="Arial" w:hint="default"/>
                <w:sz w:val="27"/>
                <w:szCs w:val="27"/>
              </w:rPr>
            </w:pPr>
          </w:p>
          <w:p>
            <w:pPr>
              <w:pStyle w:val="TableParagraph"/>
              <w:spacing w:line="240" w:lineRule="auto"/>
              <w:ind w:right="97"/>
              <w:jc w:val="right"/>
              <w:rPr>
                <w:rFonts w:ascii="宋体" w:hAnsi="宋体" w:cs="宋体" w:eastAsia="宋体" w:hint="default"/>
                <w:sz w:val="22"/>
                <w:szCs w:val="22"/>
              </w:rPr>
            </w:pPr>
            <w:r>
              <w:rPr>
                <w:rFonts w:ascii="宋体" w:hAnsi="宋体" w:cs="宋体" w:eastAsia="宋体" w:hint="default"/>
                <w:w w:val="95"/>
                <w:sz w:val="22"/>
                <w:szCs w:val="22"/>
              </w:rPr>
              <w:t>年限</w:t>
            </w:r>
            <w:r>
              <w:rPr>
                <w:rFonts w:ascii="宋体" w:hAnsi="宋体" w:cs="宋体" w:eastAsia="宋体" w:hint="default"/>
                <w:sz w:val="22"/>
                <w:szCs w:val="22"/>
              </w:rPr>
            </w:r>
          </w:p>
        </w:tc>
        <w:tc>
          <w:tcPr>
            <w:tcW w:w="235" w:type="dxa"/>
            <w:tcBorders>
              <w:top w:val="nil" w:sz="6" w:space="0" w:color="auto"/>
              <w:left w:val="nil" w:sz="6" w:space="0" w:color="auto"/>
              <w:bottom w:val="nil" w:sz="6" w:space="0" w:color="auto"/>
              <w:right w:val="nil" w:sz="6" w:space="0" w:color="auto"/>
            </w:tcBorders>
          </w:tcPr>
          <w:p>
            <w:pPr/>
          </w:p>
        </w:tc>
        <w:tc>
          <w:tcPr>
            <w:tcW w:w="1705" w:type="dxa"/>
            <w:tcBorders>
              <w:top w:val="nil" w:sz="6" w:space="0" w:color="auto"/>
              <w:left w:val="nil" w:sz="6" w:space="0" w:color="auto"/>
              <w:bottom w:val="single" w:sz="6" w:space="0" w:color="000000"/>
              <w:right w:val="nil" w:sz="6" w:space="0" w:color="auto"/>
            </w:tcBorders>
          </w:tcPr>
          <w:p>
            <w:pPr>
              <w:pStyle w:val="TableParagraph"/>
              <w:spacing w:line="284" w:lineRule="exact" w:before="61"/>
              <w:ind w:left="718" w:right="106" w:hanging="222"/>
              <w:jc w:val="left"/>
              <w:rPr>
                <w:rFonts w:ascii="宋体" w:hAnsi="宋体" w:cs="宋体" w:eastAsia="宋体" w:hint="default"/>
                <w:sz w:val="22"/>
                <w:szCs w:val="22"/>
              </w:rPr>
            </w:pPr>
            <w:r>
              <w:rPr>
                <w:rFonts w:ascii="宋体" w:hAnsi="宋体" w:cs="宋体" w:eastAsia="宋体" w:hint="default"/>
                <w:sz w:val="22"/>
                <w:szCs w:val="22"/>
              </w:rPr>
              <w:t>占应收账款</w:t>
            </w:r>
            <w:r>
              <w:rPr>
                <w:rFonts w:ascii="宋体" w:hAnsi="宋体" w:cs="宋体" w:eastAsia="宋体" w:hint="default"/>
                <w:w w:val="99"/>
                <w:sz w:val="22"/>
                <w:szCs w:val="22"/>
              </w:rPr>
              <w:t> </w:t>
            </w:r>
            <w:r>
              <w:rPr>
                <w:rFonts w:ascii="宋体" w:hAnsi="宋体" w:cs="宋体" w:eastAsia="宋体" w:hint="default"/>
                <w:sz w:val="22"/>
                <w:szCs w:val="22"/>
              </w:rPr>
              <w:t>总额比例</w:t>
            </w:r>
          </w:p>
        </w:tc>
      </w:tr>
      <w:tr>
        <w:trPr>
          <w:trHeight w:val="558"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Arial" w:hAnsi="Arial" w:cs="Arial" w:eastAsia="Arial" w:hint="default"/>
                <w:sz w:val="19"/>
                <w:szCs w:val="19"/>
              </w:rPr>
            </w:pPr>
          </w:p>
          <w:p>
            <w:pPr>
              <w:pStyle w:val="TableParagraph"/>
              <w:spacing w:line="240" w:lineRule="auto"/>
              <w:ind w:left="37" w:right="0"/>
              <w:jc w:val="left"/>
              <w:rPr>
                <w:rFonts w:ascii="宋体" w:hAnsi="宋体" w:cs="宋体" w:eastAsia="宋体" w:hint="default"/>
                <w:sz w:val="22"/>
                <w:szCs w:val="22"/>
              </w:rPr>
            </w:pPr>
            <w:r>
              <w:rPr>
                <w:rFonts w:ascii="宋体" w:hAnsi="宋体" w:cs="宋体" w:eastAsia="宋体" w:hint="default"/>
                <w:sz w:val="22"/>
                <w:szCs w:val="22"/>
              </w:rPr>
              <w:t>第一名公司</w:t>
            </w:r>
          </w:p>
        </w:tc>
        <w:tc>
          <w:tcPr>
            <w:tcW w:w="2029"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Arial" w:hAnsi="Arial" w:cs="Arial" w:eastAsia="Arial" w:hint="default"/>
                <w:sz w:val="18"/>
                <w:szCs w:val="18"/>
              </w:rPr>
            </w:pPr>
          </w:p>
          <w:p>
            <w:pPr>
              <w:pStyle w:val="TableParagraph"/>
              <w:spacing w:line="240" w:lineRule="auto"/>
              <w:ind w:left="372" w:right="0"/>
              <w:jc w:val="center"/>
              <w:rPr>
                <w:rFonts w:ascii="宋体" w:hAnsi="宋体" w:cs="宋体" w:eastAsia="宋体" w:hint="default"/>
                <w:sz w:val="22"/>
                <w:szCs w:val="22"/>
              </w:rPr>
            </w:pPr>
            <w:r>
              <w:rPr>
                <w:rFonts w:ascii="宋体" w:hAnsi="宋体" w:cs="宋体" w:eastAsia="宋体" w:hint="default"/>
                <w:sz w:val="22"/>
                <w:szCs w:val="22"/>
              </w:rPr>
              <w:t>第三方</w:t>
            </w:r>
          </w:p>
        </w:tc>
        <w:tc>
          <w:tcPr>
            <w:tcW w:w="235" w:type="dxa"/>
            <w:tcBorders>
              <w:top w:val="nil" w:sz="6" w:space="0" w:color="auto"/>
              <w:left w:val="nil" w:sz="6" w:space="0" w:color="auto"/>
              <w:bottom w:val="nil" w:sz="6" w:space="0" w:color="auto"/>
              <w:right w:val="nil" w:sz="6" w:space="0" w:color="auto"/>
            </w:tcBorders>
          </w:tcPr>
          <w:p>
            <w:pPr/>
          </w:p>
        </w:tc>
        <w:tc>
          <w:tcPr>
            <w:tcW w:w="1798" w:type="dxa"/>
            <w:tcBorders>
              <w:top w:val="single" w:sz="6" w:space="0" w:color="000000"/>
              <w:left w:val="nil" w:sz="6" w:space="0" w:color="auto"/>
              <w:bottom w:val="nil" w:sz="6" w:space="0" w:color="auto"/>
              <w:right w:val="nil" w:sz="6" w:space="0" w:color="auto"/>
            </w:tcBorders>
          </w:tcPr>
          <w:p>
            <w:pPr>
              <w:pStyle w:val="TableParagraph"/>
              <w:spacing w:line="240" w:lineRule="auto" w:before="7"/>
              <w:ind w:right="0"/>
              <w:jc w:val="left"/>
              <w:rPr>
                <w:rFonts w:ascii="Arial" w:hAnsi="Arial" w:cs="Arial" w:eastAsia="Arial" w:hint="default"/>
                <w:sz w:val="24"/>
                <w:szCs w:val="24"/>
              </w:rPr>
            </w:pPr>
          </w:p>
          <w:p>
            <w:pPr>
              <w:pStyle w:val="TableParagraph"/>
              <w:spacing w:line="240" w:lineRule="auto"/>
              <w:ind w:left="471" w:right="0"/>
              <w:jc w:val="left"/>
              <w:rPr>
                <w:rFonts w:ascii="Arial" w:hAnsi="Arial" w:cs="Arial" w:eastAsia="Arial" w:hint="default"/>
                <w:sz w:val="22"/>
                <w:szCs w:val="22"/>
              </w:rPr>
            </w:pPr>
            <w:r>
              <w:rPr>
                <w:rFonts w:ascii="Arial"/>
                <w:sz w:val="22"/>
              </w:rPr>
              <w:t>689,153,801</w:t>
            </w:r>
          </w:p>
        </w:tc>
        <w:tc>
          <w:tcPr>
            <w:tcW w:w="233" w:type="dxa"/>
            <w:tcBorders>
              <w:top w:val="nil" w:sz="6" w:space="0" w:color="auto"/>
              <w:left w:val="nil" w:sz="6" w:space="0" w:color="auto"/>
              <w:bottom w:val="nil" w:sz="6" w:space="0" w:color="auto"/>
              <w:right w:val="nil" w:sz="6" w:space="0" w:color="auto"/>
            </w:tcBorders>
          </w:tcPr>
          <w:p>
            <w:pPr/>
          </w:p>
        </w:tc>
        <w:tc>
          <w:tcPr>
            <w:tcW w:w="1234"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Arial" w:hAnsi="Arial" w:cs="Arial" w:eastAsia="Arial" w:hint="default"/>
                <w:sz w:val="18"/>
                <w:szCs w:val="18"/>
              </w:rPr>
            </w:pPr>
          </w:p>
          <w:p>
            <w:pPr>
              <w:pStyle w:val="TableParagraph"/>
              <w:spacing w:line="240" w:lineRule="auto"/>
              <w:ind w:right="97"/>
              <w:jc w:val="right"/>
              <w:rPr>
                <w:rFonts w:ascii="宋体" w:hAnsi="宋体" w:cs="宋体" w:eastAsia="宋体" w:hint="default"/>
                <w:sz w:val="22"/>
                <w:szCs w:val="22"/>
              </w:rPr>
            </w:pPr>
            <w:r>
              <w:rPr>
                <w:rFonts w:ascii="宋体" w:hAnsi="宋体" w:cs="宋体" w:eastAsia="宋体" w:hint="default"/>
                <w:w w:val="95"/>
                <w:sz w:val="22"/>
                <w:szCs w:val="22"/>
              </w:rPr>
              <w:t>一年以内</w:t>
            </w:r>
            <w:r>
              <w:rPr>
                <w:rFonts w:ascii="宋体" w:hAnsi="宋体" w:cs="宋体" w:eastAsia="宋体" w:hint="default"/>
                <w:sz w:val="22"/>
                <w:szCs w:val="22"/>
              </w:rPr>
            </w:r>
          </w:p>
        </w:tc>
        <w:tc>
          <w:tcPr>
            <w:tcW w:w="235" w:type="dxa"/>
            <w:tcBorders>
              <w:top w:val="nil" w:sz="6" w:space="0" w:color="auto"/>
              <w:left w:val="nil" w:sz="6" w:space="0" w:color="auto"/>
              <w:bottom w:val="nil" w:sz="6" w:space="0" w:color="auto"/>
              <w:right w:val="nil" w:sz="6" w:space="0" w:color="auto"/>
            </w:tcBorders>
          </w:tcPr>
          <w:p>
            <w:pPr/>
          </w:p>
        </w:tc>
        <w:tc>
          <w:tcPr>
            <w:tcW w:w="1705"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Arial" w:hAnsi="Arial" w:cs="Arial" w:eastAsia="Arial" w:hint="default"/>
                <w:sz w:val="23"/>
                <w:szCs w:val="23"/>
              </w:rPr>
            </w:pPr>
          </w:p>
          <w:p>
            <w:pPr>
              <w:pStyle w:val="TableParagraph"/>
              <w:spacing w:line="240" w:lineRule="auto"/>
              <w:ind w:right="106"/>
              <w:jc w:val="right"/>
              <w:rPr>
                <w:rFonts w:ascii="Arial" w:hAnsi="Arial" w:cs="Arial" w:eastAsia="Arial" w:hint="default"/>
                <w:sz w:val="22"/>
                <w:szCs w:val="22"/>
              </w:rPr>
            </w:pPr>
            <w:r>
              <w:rPr>
                <w:rFonts w:ascii="Arial"/>
                <w:w w:val="95"/>
                <w:sz w:val="22"/>
              </w:rPr>
              <w:t>4.92%</w:t>
            </w:r>
            <w:r>
              <w:rPr>
                <w:rFonts w:ascii="Arial"/>
                <w:sz w:val="22"/>
              </w:rPr>
            </w:r>
          </w:p>
        </w:tc>
      </w:tr>
      <w:tr>
        <w:trPr>
          <w:trHeight w:val="285"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第二名公司</w:t>
            </w:r>
          </w:p>
        </w:tc>
        <w:tc>
          <w:tcPr>
            <w:tcW w:w="2029" w:type="dxa"/>
            <w:tcBorders>
              <w:top w:val="nil" w:sz="6" w:space="0" w:color="auto"/>
              <w:left w:val="nil" w:sz="6" w:space="0" w:color="auto"/>
              <w:bottom w:val="nil" w:sz="6" w:space="0" w:color="auto"/>
              <w:right w:val="nil" w:sz="6" w:space="0" w:color="auto"/>
            </w:tcBorders>
          </w:tcPr>
          <w:p>
            <w:pPr>
              <w:pStyle w:val="TableParagraph"/>
              <w:spacing w:line="239" w:lineRule="exact"/>
              <w:ind w:left="372" w:right="0"/>
              <w:jc w:val="center"/>
              <w:rPr>
                <w:rFonts w:ascii="宋体" w:hAnsi="宋体" w:cs="宋体" w:eastAsia="宋体" w:hint="default"/>
                <w:sz w:val="22"/>
                <w:szCs w:val="22"/>
              </w:rPr>
            </w:pPr>
            <w:r>
              <w:rPr>
                <w:rFonts w:ascii="宋体" w:hAnsi="宋体" w:cs="宋体" w:eastAsia="宋体" w:hint="default"/>
                <w:sz w:val="22"/>
                <w:szCs w:val="22"/>
              </w:rPr>
              <w:t>第三方</w:t>
            </w:r>
          </w:p>
        </w:tc>
        <w:tc>
          <w:tcPr>
            <w:tcW w:w="235" w:type="dxa"/>
            <w:tcBorders>
              <w:top w:val="nil" w:sz="6" w:space="0" w:color="auto"/>
              <w:left w:val="nil" w:sz="6" w:space="0" w:color="auto"/>
              <w:bottom w:val="nil" w:sz="6" w:space="0" w:color="auto"/>
              <w:right w:val="nil" w:sz="6" w:space="0" w:color="auto"/>
            </w:tcBorders>
          </w:tcPr>
          <w:p>
            <w:pP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17"/>
              <w:ind w:left="471" w:right="0"/>
              <w:jc w:val="left"/>
              <w:rPr>
                <w:rFonts w:ascii="Arial" w:hAnsi="Arial" w:cs="Arial" w:eastAsia="Arial" w:hint="default"/>
                <w:sz w:val="22"/>
                <w:szCs w:val="22"/>
              </w:rPr>
            </w:pPr>
            <w:r>
              <w:rPr>
                <w:rFonts w:ascii="Arial"/>
                <w:sz w:val="22"/>
              </w:rPr>
              <w:t>323,367,388</w:t>
            </w:r>
          </w:p>
        </w:tc>
        <w:tc>
          <w:tcPr>
            <w:tcW w:w="233"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39" w:lineRule="exact"/>
              <w:ind w:right="97"/>
              <w:jc w:val="right"/>
              <w:rPr>
                <w:rFonts w:ascii="宋体" w:hAnsi="宋体" w:cs="宋体" w:eastAsia="宋体" w:hint="default"/>
                <w:sz w:val="22"/>
                <w:szCs w:val="22"/>
              </w:rPr>
            </w:pPr>
            <w:r>
              <w:rPr>
                <w:rFonts w:ascii="宋体" w:hAnsi="宋体" w:cs="宋体" w:eastAsia="宋体" w:hint="default"/>
                <w:w w:val="95"/>
                <w:sz w:val="22"/>
                <w:szCs w:val="22"/>
              </w:rPr>
              <w:t>一年以内</w:t>
            </w:r>
            <w:r>
              <w:rPr>
                <w:rFonts w:ascii="宋体" w:hAnsi="宋体" w:cs="宋体" w:eastAsia="宋体" w:hint="default"/>
                <w:sz w:val="22"/>
                <w:szCs w:val="22"/>
              </w:rPr>
            </w:r>
          </w:p>
        </w:tc>
        <w:tc>
          <w:tcPr>
            <w:tcW w:w="235" w:type="dxa"/>
            <w:tcBorders>
              <w:top w:val="nil" w:sz="6" w:space="0" w:color="auto"/>
              <w:left w:val="nil" w:sz="6" w:space="0" w:color="auto"/>
              <w:bottom w:val="nil" w:sz="6" w:space="0" w:color="auto"/>
              <w:right w:val="nil" w:sz="6" w:space="0" w:color="auto"/>
            </w:tcBorders>
          </w:tcPr>
          <w:p>
            <w:pP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6"/>
              <w:jc w:val="right"/>
              <w:rPr>
                <w:rFonts w:ascii="Arial" w:hAnsi="Arial" w:cs="Arial" w:eastAsia="Arial" w:hint="default"/>
                <w:sz w:val="22"/>
                <w:szCs w:val="22"/>
              </w:rPr>
            </w:pPr>
            <w:r>
              <w:rPr>
                <w:rFonts w:ascii="Arial"/>
                <w:w w:val="95"/>
                <w:sz w:val="22"/>
              </w:rPr>
              <w:t>2.31%</w:t>
            </w:r>
            <w:r>
              <w:rPr>
                <w:rFonts w:ascii="Arial"/>
                <w:sz w:val="22"/>
              </w:rPr>
            </w:r>
          </w:p>
        </w:tc>
      </w:tr>
      <w:tr>
        <w:trPr>
          <w:trHeight w:val="285"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第三名公司</w:t>
            </w:r>
          </w:p>
        </w:tc>
        <w:tc>
          <w:tcPr>
            <w:tcW w:w="2029" w:type="dxa"/>
            <w:tcBorders>
              <w:top w:val="nil" w:sz="6" w:space="0" w:color="auto"/>
              <w:left w:val="nil" w:sz="6" w:space="0" w:color="auto"/>
              <w:bottom w:val="nil" w:sz="6" w:space="0" w:color="auto"/>
              <w:right w:val="nil" w:sz="6" w:space="0" w:color="auto"/>
            </w:tcBorders>
          </w:tcPr>
          <w:p>
            <w:pPr>
              <w:pStyle w:val="TableParagraph"/>
              <w:spacing w:line="239" w:lineRule="exact"/>
              <w:ind w:left="372" w:right="0"/>
              <w:jc w:val="center"/>
              <w:rPr>
                <w:rFonts w:ascii="宋体" w:hAnsi="宋体" w:cs="宋体" w:eastAsia="宋体" w:hint="default"/>
                <w:sz w:val="22"/>
                <w:szCs w:val="22"/>
              </w:rPr>
            </w:pPr>
            <w:r>
              <w:rPr>
                <w:rFonts w:ascii="宋体" w:hAnsi="宋体" w:cs="宋体" w:eastAsia="宋体" w:hint="default"/>
                <w:sz w:val="22"/>
                <w:szCs w:val="22"/>
              </w:rPr>
              <w:t>第三方</w:t>
            </w:r>
          </w:p>
        </w:tc>
        <w:tc>
          <w:tcPr>
            <w:tcW w:w="235" w:type="dxa"/>
            <w:tcBorders>
              <w:top w:val="nil" w:sz="6" w:space="0" w:color="auto"/>
              <w:left w:val="nil" w:sz="6" w:space="0" w:color="auto"/>
              <w:bottom w:val="nil" w:sz="6" w:space="0" w:color="auto"/>
              <w:right w:val="nil" w:sz="6" w:space="0" w:color="auto"/>
            </w:tcBorders>
          </w:tcPr>
          <w:p>
            <w:pP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17"/>
              <w:ind w:left="592" w:right="0"/>
              <w:jc w:val="left"/>
              <w:rPr>
                <w:rFonts w:ascii="Arial" w:hAnsi="Arial" w:cs="Arial" w:eastAsia="Arial" w:hint="default"/>
                <w:sz w:val="22"/>
                <w:szCs w:val="22"/>
              </w:rPr>
            </w:pPr>
            <w:r>
              <w:rPr>
                <w:rFonts w:ascii="Arial"/>
                <w:sz w:val="22"/>
              </w:rPr>
              <w:t>70,370,071</w:t>
            </w:r>
          </w:p>
        </w:tc>
        <w:tc>
          <w:tcPr>
            <w:tcW w:w="233"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39" w:lineRule="exact"/>
              <w:ind w:right="97"/>
              <w:jc w:val="right"/>
              <w:rPr>
                <w:rFonts w:ascii="宋体" w:hAnsi="宋体" w:cs="宋体" w:eastAsia="宋体" w:hint="default"/>
                <w:sz w:val="22"/>
                <w:szCs w:val="22"/>
              </w:rPr>
            </w:pPr>
            <w:r>
              <w:rPr>
                <w:rFonts w:ascii="宋体" w:hAnsi="宋体" w:cs="宋体" w:eastAsia="宋体" w:hint="default"/>
                <w:w w:val="95"/>
                <w:sz w:val="22"/>
                <w:szCs w:val="22"/>
              </w:rPr>
              <w:t>一年以内</w:t>
            </w:r>
            <w:r>
              <w:rPr>
                <w:rFonts w:ascii="宋体" w:hAnsi="宋体" w:cs="宋体" w:eastAsia="宋体" w:hint="default"/>
                <w:sz w:val="22"/>
                <w:szCs w:val="22"/>
              </w:rPr>
            </w:r>
          </w:p>
        </w:tc>
        <w:tc>
          <w:tcPr>
            <w:tcW w:w="235" w:type="dxa"/>
            <w:tcBorders>
              <w:top w:val="nil" w:sz="6" w:space="0" w:color="auto"/>
              <w:left w:val="nil" w:sz="6" w:space="0" w:color="auto"/>
              <w:bottom w:val="nil" w:sz="6" w:space="0" w:color="auto"/>
              <w:right w:val="nil" w:sz="6" w:space="0" w:color="auto"/>
            </w:tcBorders>
          </w:tcPr>
          <w:p>
            <w:pP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Arial" w:hAnsi="Arial" w:cs="Arial" w:eastAsia="Arial" w:hint="default"/>
                <w:sz w:val="22"/>
                <w:szCs w:val="22"/>
              </w:rPr>
            </w:pPr>
            <w:r>
              <w:rPr>
                <w:rFonts w:ascii="Arial"/>
                <w:w w:val="95"/>
                <w:sz w:val="22"/>
              </w:rPr>
              <w:t>0.50%</w:t>
            </w:r>
            <w:r>
              <w:rPr>
                <w:rFonts w:ascii="Arial"/>
                <w:sz w:val="22"/>
              </w:rPr>
            </w:r>
          </w:p>
        </w:tc>
      </w:tr>
      <w:tr>
        <w:trPr>
          <w:trHeight w:val="285"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239" w:lineRule="exact"/>
              <w:ind w:left="37" w:right="0"/>
              <w:jc w:val="left"/>
              <w:rPr>
                <w:rFonts w:ascii="宋体" w:hAnsi="宋体" w:cs="宋体" w:eastAsia="宋体" w:hint="default"/>
                <w:sz w:val="22"/>
                <w:szCs w:val="22"/>
              </w:rPr>
            </w:pPr>
            <w:r>
              <w:rPr>
                <w:rFonts w:ascii="宋体" w:hAnsi="宋体" w:cs="宋体" w:eastAsia="宋体" w:hint="default"/>
                <w:sz w:val="22"/>
                <w:szCs w:val="22"/>
              </w:rPr>
              <w:t>第四名公司</w:t>
            </w:r>
          </w:p>
        </w:tc>
        <w:tc>
          <w:tcPr>
            <w:tcW w:w="2029" w:type="dxa"/>
            <w:tcBorders>
              <w:top w:val="nil" w:sz="6" w:space="0" w:color="auto"/>
              <w:left w:val="nil" w:sz="6" w:space="0" w:color="auto"/>
              <w:bottom w:val="nil" w:sz="6" w:space="0" w:color="auto"/>
              <w:right w:val="nil" w:sz="6" w:space="0" w:color="auto"/>
            </w:tcBorders>
          </w:tcPr>
          <w:p>
            <w:pPr>
              <w:pStyle w:val="TableParagraph"/>
              <w:spacing w:line="239" w:lineRule="exact"/>
              <w:ind w:left="372" w:right="0"/>
              <w:jc w:val="center"/>
              <w:rPr>
                <w:rFonts w:ascii="宋体" w:hAnsi="宋体" w:cs="宋体" w:eastAsia="宋体" w:hint="default"/>
                <w:sz w:val="22"/>
                <w:szCs w:val="22"/>
              </w:rPr>
            </w:pPr>
            <w:r>
              <w:rPr>
                <w:rFonts w:ascii="宋体" w:hAnsi="宋体" w:cs="宋体" w:eastAsia="宋体" w:hint="default"/>
                <w:sz w:val="22"/>
                <w:szCs w:val="22"/>
              </w:rPr>
              <w:t>第三方</w:t>
            </w:r>
          </w:p>
        </w:tc>
        <w:tc>
          <w:tcPr>
            <w:tcW w:w="235" w:type="dxa"/>
            <w:tcBorders>
              <w:top w:val="nil" w:sz="6" w:space="0" w:color="auto"/>
              <w:left w:val="nil" w:sz="6" w:space="0" w:color="auto"/>
              <w:bottom w:val="nil" w:sz="6" w:space="0" w:color="auto"/>
              <w:right w:val="nil" w:sz="6" w:space="0" w:color="auto"/>
            </w:tcBorders>
          </w:tcPr>
          <w:p>
            <w:pP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17"/>
              <w:ind w:left="592" w:right="0"/>
              <w:jc w:val="left"/>
              <w:rPr>
                <w:rFonts w:ascii="Arial" w:hAnsi="Arial" w:cs="Arial" w:eastAsia="Arial" w:hint="default"/>
                <w:sz w:val="22"/>
                <w:szCs w:val="22"/>
              </w:rPr>
            </w:pPr>
            <w:r>
              <w:rPr>
                <w:rFonts w:ascii="Arial"/>
                <w:sz w:val="22"/>
              </w:rPr>
              <w:t>67,485,738</w:t>
            </w:r>
          </w:p>
        </w:tc>
        <w:tc>
          <w:tcPr>
            <w:tcW w:w="233"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39" w:lineRule="exact"/>
              <w:ind w:right="97"/>
              <w:jc w:val="right"/>
              <w:rPr>
                <w:rFonts w:ascii="宋体" w:hAnsi="宋体" w:cs="宋体" w:eastAsia="宋体" w:hint="default"/>
                <w:sz w:val="22"/>
                <w:szCs w:val="22"/>
              </w:rPr>
            </w:pPr>
            <w:r>
              <w:rPr>
                <w:rFonts w:ascii="宋体" w:hAnsi="宋体" w:cs="宋体" w:eastAsia="宋体" w:hint="default"/>
                <w:w w:val="95"/>
                <w:sz w:val="22"/>
                <w:szCs w:val="22"/>
              </w:rPr>
              <w:t>一年以内</w:t>
            </w:r>
            <w:r>
              <w:rPr>
                <w:rFonts w:ascii="宋体" w:hAnsi="宋体" w:cs="宋体" w:eastAsia="宋体" w:hint="default"/>
                <w:sz w:val="22"/>
                <w:szCs w:val="22"/>
              </w:rPr>
            </w:r>
          </w:p>
        </w:tc>
        <w:tc>
          <w:tcPr>
            <w:tcW w:w="235" w:type="dxa"/>
            <w:tcBorders>
              <w:top w:val="nil" w:sz="6" w:space="0" w:color="auto"/>
              <w:left w:val="nil" w:sz="6" w:space="0" w:color="auto"/>
              <w:bottom w:val="nil" w:sz="6" w:space="0" w:color="auto"/>
              <w:right w:val="nil" w:sz="6" w:space="0" w:color="auto"/>
            </w:tcBorders>
          </w:tcPr>
          <w:p>
            <w:pPr/>
          </w:p>
        </w:tc>
        <w:tc>
          <w:tcPr>
            <w:tcW w:w="170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Arial" w:hAnsi="Arial" w:cs="Arial" w:eastAsia="Arial" w:hint="default"/>
                <w:sz w:val="22"/>
                <w:szCs w:val="22"/>
              </w:rPr>
            </w:pPr>
            <w:r>
              <w:rPr>
                <w:rFonts w:ascii="Arial"/>
                <w:w w:val="95"/>
                <w:sz w:val="22"/>
              </w:rPr>
              <w:t>0.48%</w:t>
            </w:r>
            <w:r>
              <w:rPr>
                <w:rFonts w:ascii="Arial"/>
                <w:sz w:val="22"/>
              </w:rPr>
            </w:r>
          </w:p>
        </w:tc>
      </w:tr>
      <w:tr>
        <w:trPr>
          <w:trHeight w:val="420"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第五名公司</w:t>
            </w:r>
          </w:p>
        </w:tc>
        <w:tc>
          <w:tcPr>
            <w:tcW w:w="2029" w:type="dxa"/>
            <w:tcBorders>
              <w:top w:val="nil" w:sz="6" w:space="0" w:color="auto"/>
              <w:left w:val="nil" w:sz="6" w:space="0" w:color="auto"/>
              <w:bottom w:val="nil" w:sz="6" w:space="0" w:color="auto"/>
              <w:right w:val="nil" w:sz="6" w:space="0" w:color="auto"/>
            </w:tcBorders>
          </w:tcPr>
          <w:p>
            <w:pPr>
              <w:pStyle w:val="TableParagraph"/>
              <w:spacing w:line="239" w:lineRule="exact"/>
              <w:ind w:left="372" w:right="0"/>
              <w:jc w:val="center"/>
              <w:rPr>
                <w:rFonts w:ascii="宋体" w:hAnsi="宋体" w:cs="宋体" w:eastAsia="宋体" w:hint="default"/>
                <w:sz w:val="22"/>
                <w:szCs w:val="22"/>
              </w:rPr>
            </w:pPr>
            <w:r>
              <w:rPr>
                <w:rFonts w:ascii="宋体" w:hAnsi="宋体" w:cs="宋体" w:eastAsia="宋体" w:hint="default"/>
                <w:sz w:val="22"/>
                <w:szCs w:val="22"/>
              </w:rPr>
              <w:t>第三方</w:t>
            </w:r>
          </w:p>
        </w:tc>
        <w:tc>
          <w:tcPr>
            <w:tcW w:w="235" w:type="dxa"/>
            <w:tcBorders>
              <w:top w:val="nil" w:sz="6" w:space="0" w:color="auto"/>
              <w:left w:val="nil" w:sz="6" w:space="0" w:color="auto"/>
              <w:bottom w:val="nil" w:sz="6" w:space="0" w:color="auto"/>
              <w:right w:val="nil" w:sz="6" w:space="0" w:color="auto"/>
            </w:tcBorders>
          </w:tcPr>
          <w:p>
            <w:pPr/>
          </w:p>
        </w:tc>
        <w:tc>
          <w:tcPr>
            <w:tcW w:w="1798" w:type="dxa"/>
            <w:tcBorders>
              <w:top w:val="nil" w:sz="6" w:space="0" w:color="auto"/>
              <w:left w:val="nil" w:sz="6" w:space="0" w:color="auto"/>
              <w:bottom w:val="nil" w:sz="6" w:space="0" w:color="auto"/>
              <w:right w:val="nil" w:sz="6" w:space="0" w:color="auto"/>
            </w:tcBorders>
          </w:tcPr>
          <w:p>
            <w:pPr>
              <w:pStyle w:val="TableParagraph"/>
              <w:tabs>
                <w:tab w:pos="592" w:val="left" w:leader="none"/>
                <w:tab w:pos="1793" w:val="left" w:leader="none"/>
              </w:tabs>
              <w:spacing w:line="240" w:lineRule="auto" w:before="18"/>
              <w:ind w:left="3"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33,551,427</w:t>
              <w:tab/>
            </w:r>
            <w:r>
              <w:rPr>
                <w:rFonts w:ascii="Arial"/>
                <w:sz w:val="22"/>
              </w:rPr>
            </w:r>
          </w:p>
        </w:tc>
        <w:tc>
          <w:tcPr>
            <w:tcW w:w="233"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Style w:val="TableParagraph"/>
              <w:spacing w:line="239" w:lineRule="exact"/>
              <w:ind w:right="97"/>
              <w:jc w:val="right"/>
              <w:rPr>
                <w:rFonts w:ascii="宋体" w:hAnsi="宋体" w:cs="宋体" w:eastAsia="宋体" w:hint="default"/>
                <w:sz w:val="22"/>
                <w:szCs w:val="22"/>
              </w:rPr>
            </w:pPr>
            <w:r>
              <w:rPr>
                <w:rFonts w:ascii="宋体" w:hAnsi="宋体" w:cs="宋体" w:eastAsia="宋体" w:hint="default"/>
                <w:w w:val="95"/>
                <w:sz w:val="22"/>
                <w:szCs w:val="22"/>
              </w:rPr>
              <w:t>一年以内</w:t>
            </w:r>
            <w:r>
              <w:rPr>
                <w:rFonts w:ascii="宋体" w:hAnsi="宋体" w:cs="宋体" w:eastAsia="宋体" w:hint="default"/>
                <w:sz w:val="22"/>
                <w:szCs w:val="22"/>
              </w:rPr>
            </w:r>
          </w:p>
        </w:tc>
        <w:tc>
          <w:tcPr>
            <w:tcW w:w="235" w:type="dxa"/>
            <w:tcBorders>
              <w:top w:val="nil" w:sz="6" w:space="0" w:color="auto"/>
              <w:left w:val="nil" w:sz="6" w:space="0" w:color="auto"/>
              <w:bottom w:val="nil" w:sz="6" w:space="0" w:color="auto"/>
              <w:right w:val="nil" w:sz="6" w:space="0" w:color="auto"/>
            </w:tcBorders>
          </w:tcPr>
          <w:p>
            <w:pPr/>
          </w:p>
        </w:tc>
        <w:tc>
          <w:tcPr>
            <w:tcW w:w="1705" w:type="dxa"/>
            <w:tcBorders>
              <w:top w:val="nil" w:sz="6" w:space="0" w:color="auto"/>
              <w:left w:val="nil" w:sz="6" w:space="0" w:color="auto"/>
              <w:bottom w:val="nil" w:sz="6" w:space="0" w:color="auto"/>
              <w:right w:val="nil" w:sz="6" w:space="0" w:color="auto"/>
            </w:tcBorders>
          </w:tcPr>
          <w:p>
            <w:pPr>
              <w:pStyle w:val="TableParagraph"/>
              <w:tabs>
                <w:tab w:pos="969" w:val="left" w:leader="none"/>
                <w:tab w:pos="1694" w:val="left" w:leader="none"/>
              </w:tabs>
              <w:spacing w:line="240" w:lineRule="auto" w:before="18"/>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0.24%</w:t>
            </w:r>
            <w:r>
              <w:rPr>
                <w:rFonts w:ascii="Arial"/>
                <w:sz w:val="22"/>
                <w:u w:val="single" w:color="000000"/>
              </w:rPr>
              <w:tab/>
            </w:r>
            <w:r>
              <w:rPr>
                <w:rFonts w:ascii="Arial"/>
                <w:sz w:val="22"/>
              </w:rPr>
            </w:r>
          </w:p>
        </w:tc>
      </w:tr>
      <w:tr>
        <w:trPr>
          <w:trHeight w:val="430" w:hRule="exact"/>
        </w:trPr>
        <w:tc>
          <w:tcPr>
            <w:tcW w:w="1473"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029"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798"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left="287" w:right="0"/>
              <w:jc w:val="left"/>
              <w:rPr>
                <w:rFonts w:ascii="Arial" w:hAnsi="Arial" w:cs="Arial" w:eastAsia="Arial" w:hint="default"/>
                <w:sz w:val="22"/>
                <w:szCs w:val="22"/>
              </w:rPr>
            </w:pPr>
            <w:r>
              <w:rPr>
                <w:rFonts w:ascii="Arial"/>
                <w:sz w:val="22"/>
              </w:rPr>
              <w:t>1,183,928,425</w:t>
            </w:r>
          </w:p>
        </w:tc>
        <w:tc>
          <w:tcPr>
            <w:tcW w:w="233" w:type="dxa"/>
            <w:tcBorders>
              <w:top w:val="nil" w:sz="6" w:space="0" w:color="auto"/>
              <w:left w:val="nil" w:sz="6" w:space="0" w:color="auto"/>
              <w:bottom w:val="nil" w:sz="6" w:space="0" w:color="auto"/>
              <w:right w:val="nil" w:sz="6" w:space="0" w:color="auto"/>
            </w:tcBorders>
          </w:tcPr>
          <w:p>
            <w:pPr/>
          </w:p>
        </w:tc>
        <w:tc>
          <w:tcPr>
            <w:tcW w:w="1234" w:type="dxa"/>
            <w:tcBorders>
              <w:top w:val="nil" w:sz="6" w:space="0" w:color="auto"/>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1705"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106"/>
              <w:jc w:val="right"/>
              <w:rPr>
                <w:rFonts w:ascii="Arial" w:hAnsi="Arial" w:cs="Arial" w:eastAsia="Arial" w:hint="default"/>
                <w:sz w:val="22"/>
                <w:szCs w:val="22"/>
              </w:rPr>
            </w:pPr>
            <w:r>
              <w:rPr>
                <w:rFonts w:ascii="Arial"/>
                <w:w w:val="95"/>
                <w:sz w:val="22"/>
              </w:rPr>
              <w:t>8.45%</w:t>
            </w:r>
            <w:r>
              <w:rPr>
                <w:rFonts w:ascii="Arial"/>
                <w:sz w:val="22"/>
              </w:rPr>
            </w:r>
          </w:p>
        </w:tc>
      </w:tr>
    </w:tbl>
    <w:p>
      <w:pPr>
        <w:spacing w:after="0" w:line="240" w:lineRule="auto"/>
        <w:jc w:val="right"/>
        <w:rPr>
          <w:rFonts w:ascii="Arial" w:hAnsi="Arial" w:cs="Arial" w:eastAsia="Arial" w:hint="default"/>
          <w:sz w:val="22"/>
          <w:szCs w:val="22"/>
        </w:rPr>
        <w:sectPr>
          <w:type w:val="continuous"/>
          <w:pgSz w:w="11910" w:h="16840"/>
          <w:pgMar w:top="1600" w:bottom="280" w:left="1240" w:right="900"/>
        </w:sectPr>
      </w:pPr>
    </w:p>
    <w:p>
      <w:pPr>
        <w:spacing w:line="240" w:lineRule="auto" w:before="5"/>
        <w:rPr>
          <w:rFonts w:ascii="Arial" w:hAnsi="Arial" w:cs="Arial" w:eastAsia="Arial" w:hint="default"/>
          <w:sz w:val="13"/>
          <w:szCs w:val="13"/>
        </w:rPr>
      </w:pPr>
    </w:p>
    <w:p>
      <w:pPr>
        <w:pStyle w:val="BodyText"/>
        <w:tabs>
          <w:tab w:pos="604" w:val="left" w:leader="none"/>
        </w:tabs>
        <w:spacing w:line="240" w:lineRule="auto" w:before="31"/>
        <w:ind w:left="114" w:right="90"/>
        <w:jc w:val="left"/>
      </w:pPr>
      <w:r>
        <w:rPr>
          <w:rFonts w:ascii="Arial" w:hAnsi="Arial" w:cs="Arial" w:eastAsia="Arial" w:hint="default"/>
          <w:w w:val="95"/>
        </w:rPr>
        <w:t>(h)</w:t>
        <w:tab/>
      </w:r>
      <w:r>
        <w:rPr/>
        <w:t>应收关联方的应收账款分析如下：</w:t>
      </w:r>
    </w:p>
    <w:p>
      <w:pPr>
        <w:spacing w:line="240" w:lineRule="auto" w:before="0"/>
        <w:rPr>
          <w:rFonts w:ascii="宋体" w:hAnsi="宋体" w:cs="宋体" w:eastAsia="宋体" w:hint="default"/>
          <w:sz w:val="11"/>
          <w:szCs w:val="11"/>
        </w:rPr>
      </w:pPr>
    </w:p>
    <w:p>
      <w:pPr>
        <w:tabs>
          <w:tab w:pos="6816" w:val="left" w:leader="none"/>
        </w:tabs>
        <w:spacing w:before="44"/>
        <w:ind w:left="4094" w:right="90" w:firstLine="0"/>
        <w:jc w:val="left"/>
        <w:rPr>
          <w:rFonts w:ascii="宋体" w:hAnsi="宋体" w:cs="宋体" w:eastAsia="宋体" w:hint="default"/>
          <w:sz w:val="18"/>
          <w:szCs w:val="18"/>
        </w:rPr>
      </w:pPr>
      <w:r>
        <w:rPr/>
        <w:pict>
          <v:group style="position:absolute;margin-left:229.740005pt;margin-top:15.709114pt;width:151.2pt;height:.1pt;mso-position-horizontal-relative:page;mso-position-vertical-relative:paragraph;z-index:-917152" coordorigin="4595,314" coordsize="3024,2">
            <v:shape style="position:absolute;left:4595;top:314;width:3024;height:2" coordorigin="4595,314" coordsize="3024,0" path="m4595,314l7619,314e" filled="false" stroked="true" strokeweight=".72pt" strokecolor="#000000">
              <v:path arrowok="t"/>
            </v:shape>
            <w10:wrap type="none"/>
          </v:group>
        </w:pict>
      </w:r>
      <w:r>
        <w:rPr/>
        <w:pict>
          <v:group style="position:absolute;margin-left:388.619995pt;margin-top:15.709114pt;width:151.050pt;height:.1pt;mso-position-horizontal-relative:page;mso-position-vertical-relative:paragraph;z-index:-917128" coordorigin="7772,314" coordsize="3021,2">
            <v:shape style="position:absolute;left:7772;top:314;width:3021;height:2" coordorigin="7772,314" coordsize="3021,0" path="m7772,314l10793,314e" filled="false" stroked="true" strokeweight=".72pt" strokecolor="#000000">
              <v:path arrowok="t"/>
            </v:shape>
            <w10:wrap type="none"/>
          </v:group>
        </w:pict>
      </w: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tab/>
      </w: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日（经重列）</w:t>
      </w:r>
    </w:p>
    <w:p>
      <w:pPr>
        <w:spacing w:after="0"/>
        <w:jc w:val="left"/>
        <w:rPr>
          <w:rFonts w:ascii="宋体" w:hAnsi="宋体" w:cs="宋体" w:eastAsia="宋体" w:hint="default"/>
          <w:sz w:val="18"/>
          <w:szCs w:val="18"/>
        </w:rPr>
        <w:sectPr>
          <w:headerReference w:type="default" r:id="rId79"/>
          <w:footerReference w:type="default" r:id="rId80"/>
          <w:pgSz w:w="11910" w:h="16840"/>
          <w:pgMar w:header="1189" w:footer="752" w:top="3580" w:bottom="940" w:left="1240" w:right="860"/>
        </w:sectPr>
      </w:pPr>
    </w:p>
    <w:p>
      <w:pPr>
        <w:spacing w:line="240" w:lineRule="auto" w:before="10"/>
        <w:rPr>
          <w:rFonts w:ascii="宋体" w:hAnsi="宋体" w:cs="宋体" w:eastAsia="宋体" w:hint="default"/>
          <w:sz w:val="17"/>
          <w:szCs w:val="17"/>
        </w:rPr>
      </w:pPr>
    </w:p>
    <w:p>
      <w:pPr>
        <w:tabs>
          <w:tab w:pos="3721" w:val="left" w:leader="none"/>
        </w:tabs>
        <w:spacing w:before="0"/>
        <w:ind w:left="1751" w:right="-20" w:firstLine="0"/>
        <w:jc w:val="left"/>
        <w:rPr>
          <w:rFonts w:ascii="宋体" w:hAnsi="宋体" w:cs="宋体" w:eastAsia="宋体" w:hint="default"/>
          <w:sz w:val="18"/>
          <w:szCs w:val="18"/>
        </w:rPr>
      </w:pPr>
      <w:r>
        <w:rPr>
          <w:rFonts w:ascii="宋体" w:hAnsi="宋体" w:cs="宋体" w:eastAsia="宋体" w:hint="default"/>
          <w:sz w:val="18"/>
          <w:szCs w:val="18"/>
        </w:rPr>
        <w:t>与本集团关系</w:t>
        <w:tab/>
        <w:t>金额</w:t>
      </w:r>
    </w:p>
    <w:p>
      <w:pPr>
        <w:spacing w:line="235" w:lineRule="exact" w:before="0"/>
        <w:ind w:left="435"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占应收账</w:t>
      </w:r>
    </w:p>
    <w:p>
      <w:pPr>
        <w:tabs>
          <w:tab w:pos="1452" w:val="left" w:leader="none"/>
          <w:tab w:pos="2775" w:val="left" w:leader="none"/>
        </w:tabs>
        <w:spacing w:line="235" w:lineRule="exact" w:before="0"/>
        <w:ind w:left="615" w:right="-20" w:firstLine="0"/>
        <w:jc w:val="left"/>
        <w:rPr>
          <w:rFonts w:ascii="宋体" w:hAnsi="宋体" w:cs="宋体" w:eastAsia="宋体" w:hint="default"/>
          <w:sz w:val="18"/>
          <w:szCs w:val="18"/>
        </w:rPr>
      </w:pPr>
      <w:r>
        <w:rPr>
          <w:rFonts w:ascii="宋体" w:hAnsi="宋体" w:cs="宋体" w:eastAsia="宋体" w:hint="default"/>
          <w:sz w:val="18"/>
          <w:szCs w:val="18"/>
        </w:rPr>
        <w:t>款比例</w:t>
        <w:tab/>
        <w:t>坏账准备</w:t>
        <w:tab/>
        <w:t>金额</w:t>
      </w:r>
    </w:p>
    <w:p>
      <w:pPr>
        <w:spacing w:line="235" w:lineRule="exact" w:before="0"/>
        <w:ind w:left="432"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占应收账</w:t>
      </w:r>
    </w:p>
    <w:p>
      <w:pPr>
        <w:tabs>
          <w:tab w:pos="1460" w:val="left" w:leader="none"/>
        </w:tabs>
        <w:spacing w:line="235" w:lineRule="exact" w:before="0"/>
        <w:ind w:left="612" w:right="0" w:firstLine="0"/>
        <w:jc w:val="left"/>
        <w:rPr>
          <w:rFonts w:ascii="宋体" w:hAnsi="宋体" w:cs="宋体" w:eastAsia="宋体" w:hint="default"/>
          <w:sz w:val="18"/>
          <w:szCs w:val="18"/>
        </w:rPr>
      </w:pPr>
      <w:r>
        <w:rPr>
          <w:rFonts w:ascii="宋体" w:hAnsi="宋体" w:cs="宋体" w:eastAsia="宋体" w:hint="default"/>
          <w:sz w:val="18"/>
          <w:szCs w:val="18"/>
        </w:rPr>
        <w:t>款比例</w:t>
        <w:tab/>
        <w:t>坏账准备</w:t>
      </w:r>
    </w:p>
    <w:p>
      <w:pPr>
        <w:spacing w:after="0" w:line="235" w:lineRule="exact"/>
        <w:jc w:val="left"/>
        <w:rPr>
          <w:rFonts w:ascii="宋体" w:hAnsi="宋体" w:cs="宋体" w:eastAsia="宋体" w:hint="default"/>
          <w:sz w:val="18"/>
          <w:szCs w:val="18"/>
        </w:rPr>
        <w:sectPr>
          <w:type w:val="continuous"/>
          <w:pgSz w:w="11910" w:h="16840"/>
          <w:pgMar w:top="1600" w:bottom="280" w:left="1240" w:right="860"/>
          <w:cols w:num="3" w:equalWidth="0">
            <w:col w:w="4082" w:space="40"/>
            <w:col w:w="3136" w:space="40"/>
            <w:col w:w="2512"/>
          </w:cols>
        </w:sectPr>
      </w:pPr>
    </w:p>
    <w:p>
      <w:pPr>
        <w:spacing w:line="240" w:lineRule="auto" w:before="1"/>
        <w:rPr>
          <w:rFonts w:ascii="宋体" w:hAnsi="宋体" w:cs="宋体" w:eastAsia="宋体" w:hint="default"/>
          <w:sz w:val="2"/>
          <w:szCs w:val="2"/>
        </w:rPr>
      </w:pPr>
    </w:p>
    <w:p>
      <w:pPr>
        <w:spacing w:line="20" w:lineRule="exact"/>
        <w:ind w:left="3347" w:right="0" w:firstLine="0"/>
        <w:rPr>
          <w:rFonts w:ascii="宋体" w:hAnsi="宋体" w:cs="宋体" w:eastAsia="宋体" w:hint="default"/>
          <w:sz w:val="2"/>
          <w:szCs w:val="2"/>
        </w:rPr>
      </w:pPr>
      <w:r>
        <w:rPr>
          <w:rFonts w:ascii="宋体"/>
          <w:sz w:val="2"/>
        </w:rPr>
        <w:pict>
          <v:group style="width:54.7pt;height:.75pt;mso-position-horizontal-relative:char;mso-position-vertical-relative:line" coordorigin="0,0" coordsize="1094,15">
            <v:group style="position:absolute;left:7;top:7;width:1079;height:2" coordorigin="7,7" coordsize="1079,2">
              <v:shape style="position:absolute;left:7;top:7;width:1079;height:2" coordorigin="7,7" coordsize="1079,0" path="m7,7l1086,7e" filled="false" stroked="true" strokeweight=".72pt" strokecolor="#000000">
                <v:path arrowok="t"/>
              </v:shape>
            </v:group>
          </v:group>
        </w:pict>
      </w:r>
      <w:r>
        <w:rPr>
          <w:rFonts w:ascii="宋体"/>
          <w:sz w:val="2"/>
        </w:rPr>
      </w:r>
      <w:r>
        <w:rPr>
          <w:rFonts w:ascii="Times New Roman"/>
          <w:spacing w:val="110"/>
          <w:sz w:val="2"/>
        </w:rPr>
        <w:t> </w:t>
      </w:r>
      <w:r>
        <w:rPr>
          <w:rFonts w:ascii="宋体"/>
          <w:spacing w:val="110"/>
          <w:sz w:val="2"/>
        </w:rPr>
        <w:pict>
          <v:group style="width:39.550pt;height:.75pt;mso-position-horizontal-relative:char;mso-position-vertical-relative:line" coordorigin="0,0" coordsize="791,15">
            <v:group style="position:absolute;left:7;top:7;width:777;height:2" coordorigin="7,7" coordsize="777,2">
              <v:shape style="position:absolute;left:7;top:7;width:777;height:2" coordorigin="7,7" coordsize="777,0" path="m7,7l784,7e" filled="false" stroked="true" strokeweight=".72pt" strokecolor="#000000">
                <v:path arrowok="t"/>
              </v:shape>
            </v:group>
          </v:group>
        </w:pict>
      </w:r>
      <w:r>
        <w:rPr>
          <w:rFonts w:ascii="宋体"/>
          <w:spacing w:val="110"/>
          <w:sz w:val="2"/>
        </w:rPr>
      </w:r>
      <w:r>
        <w:rPr>
          <w:rFonts w:ascii="Times New Roman"/>
          <w:spacing w:val="112"/>
          <w:sz w:val="2"/>
        </w:rPr>
        <w:t> </w:t>
      </w:r>
      <w:r>
        <w:rPr>
          <w:rFonts w:ascii="宋体"/>
          <w:spacing w:val="112"/>
          <w:sz w:val="2"/>
        </w:rPr>
        <w:pict>
          <v:group style="width:45.8pt;height:.75pt;mso-position-horizontal-relative:char;mso-position-vertical-relative:line" coordorigin="0,0" coordsize="916,15">
            <v:group style="position:absolute;left:7;top:7;width:902;height:2" coordorigin="7,7" coordsize="902,2">
              <v:shape style="position:absolute;left:7;top:7;width:902;height:2" coordorigin="7,7" coordsize="902,0" path="m7,7l908,7e" filled="false" stroked="true" strokeweight=".72pt" strokecolor="#000000">
                <v:path arrowok="t"/>
              </v:shape>
            </v:group>
          </v:group>
        </w:pict>
      </w:r>
      <w:r>
        <w:rPr>
          <w:rFonts w:ascii="宋体"/>
          <w:spacing w:val="112"/>
          <w:sz w:val="2"/>
        </w:rPr>
      </w:r>
      <w:r>
        <w:rPr>
          <w:rFonts w:ascii="Times New Roman"/>
          <w:spacing w:val="131"/>
          <w:sz w:val="2"/>
        </w:rPr>
        <w:t> </w:t>
      </w:r>
      <w:r>
        <w:rPr>
          <w:rFonts w:ascii="宋体"/>
          <w:spacing w:val="131"/>
          <w:sz w:val="2"/>
        </w:rPr>
        <w:pict>
          <v:group style="width:54.6pt;height:.75pt;mso-position-horizontal-relative:char;mso-position-vertical-relative:line" coordorigin="0,0" coordsize="1092,15">
            <v:group style="position:absolute;left:7;top:7;width:1078;height:2" coordorigin="7,7" coordsize="1078,2">
              <v:shape style="position:absolute;left:7;top:7;width:1078;height:2" coordorigin="7,7" coordsize="1078,0" path="m7,7l1085,7e" filled="false" stroked="true" strokeweight=".72pt" strokecolor="#000000">
                <v:path arrowok="t"/>
              </v:shape>
            </v:group>
          </v:group>
        </w:pict>
      </w:r>
      <w:r>
        <w:rPr>
          <w:rFonts w:ascii="宋体"/>
          <w:spacing w:val="131"/>
          <w:sz w:val="2"/>
        </w:rPr>
      </w:r>
      <w:r>
        <w:rPr>
          <w:rFonts w:ascii="Times New Roman"/>
          <w:spacing w:val="112"/>
          <w:sz w:val="2"/>
        </w:rPr>
        <w:t> </w:t>
      </w:r>
      <w:r>
        <w:rPr>
          <w:rFonts w:ascii="宋体"/>
          <w:spacing w:val="112"/>
          <w:sz w:val="2"/>
        </w:rPr>
        <w:pict>
          <v:group style="width:40.2pt;height:.75pt;mso-position-horizontal-relative:char;mso-position-vertical-relative:line" coordorigin="0,0" coordsize="804,15">
            <v:group style="position:absolute;left:7;top:7;width:790;height:2" coordorigin="7,7" coordsize="790,2">
              <v:shape style="position:absolute;left:7;top:7;width:790;height:2" coordorigin="7,7" coordsize="790,0" path="m7,7l797,7e" filled="false" stroked="true" strokeweight=".72pt" strokecolor="#000000">
                <v:path arrowok="t"/>
              </v:shape>
            </v:group>
          </v:group>
        </w:pict>
      </w:r>
      <w:r>
        <w:rPr>
          <w:rFonts w:ascii="宋体"/>
          <w:spacing w:val="112"/>
          <w:sz w:val="2"/>
        </w:rPr>
      </w:r>
      <w:r>
        <w:rPr>
          <w:rFonts w:ascii="Times New Roman"/>
          <w:spacing w:val="112"/>
          <w:sz w:val="2"/>
        </w:rPr>
        <w:t> </w:t>
      </w:r>
      <w:r>
        <w:rPr>
          <w:rFonts w:ascii="宋体"/>
          <w:spacing w:val="112"/>
          <w:sz w:val="2"/>
        </w:rPr>
        <w:pict>
          <v:group style="width:44.95pt;height:.75pt;mso-position-horizontal-relative:char;mso-position-vertical-relative:line" coordorigin="0,0" coordsize="899,15">
            <v:group style="position:absolute;left:7;top:7;width:885;height:2" coordorigin="7,7" coordsize="885,2">
              <v:shape style="position:absolute;left:7;top:7;width:885;height:2" coordorigin="7,7" coordsize="885,0" path="m7,7l892,7e" filled="false" stroked="true" strokeweight=".72pt" strokecolor="#000000">
                <v:path arrowok="t"/>
              </v:shape>
            </v:group>
          </v:group>
        </w:pict>
      </w:r>
      <w:r>
        <w:rPr>
          <w:rFonts w:ascii="宋体"/>
          <w:spacing w:val="112"/>
          <w:sz w:val="2"/>
        </w:rPr>
      </w:r>
    </w:p>
    <w:p>
      <w:pPr>
        <w:spacing w:line="240" w:lineRule="auto" w:before="10"/>
        <w:rPr>
          <w:rFonts w:ascii="宋体" w:hAnsi="宋体" w:cs="宋体" w:eastAsia="宋体" w:hint="default"/>
          <w:sz w:val="9"/>
          <w:szCs w:val="9"/>
        </w:rPr>
      </w:pPr>
    </w:p>
    <w:p>
      <w:pPr>
        <w:spacing w:line="237" w:lineRule="auto" w:before="46"/>
        <w:ind w:left="586" w:right="8094" w:firstLine="4"/>
        <w:jc w:val="left"/>
        <w:rPr>
          <w:rFonts w:ascii="宋体" w:hAnsi="宋体" w:cs="宋体" w:eastAsia="宋体" w:hint="default"/>
          <w:sz w:val="18"/>
          <w:szCs w:val="18"/>
        </w:rPr>
      </w:pPr>
      <w:r>
        <w:rPr/>
        <w:pict>
          <v:shape style="position:absolute;margin-left:147.832993pt;margin-top:-.027795pt;width:392.2pt;height:99.9pt;mso-position-horizontal-relative:page;mso-position-vertical-relative:paragraph;z-index:23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31"/>
                    <w:gridCol w:w="1093"/>
                    <w:gridCol w:w="119"/>
                    <w:gridCol w:w="791"/>
                    <w:gridCol w:w="120"/>
                    <w:gridCol w:w="916"/>
                    <w:gridCol w:w="139"/>
                    <w:gridCol w:w="1092"/>
                    <w:gridCol w:w="120"/>
                    <w:gridCol w:w="804"/>
                    <w:gridCol w:w="120"/>
                    <w:gridCol w:w="899"/>
                  </w:tblGrid>
                  <w:tr>
                    <w:trPr>
                      <w:trHeight w:val="317" w:hRule="exact"/>
                    </w:trPr>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本公司之母公司</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54"/>
                          <w:jc w:val="right"/>
                          <w:rPr>
                            <w:rFonts w:ascii="Arial" w:hAnsi="Arial" w:cs="Arial" w:eastAsia="Arial" w:hint="default"/>
                            <w:sz w:val="18"/>
                            <w:szCs w:val="18"/>
                          </w:rPr>
                        </w:pPr>
                        <w:r>
                          <w:rPr>
                            <w:rFonts w:ascii="Arial"/>
                            <w:spacing w:val="-1"/>
                            <w:sz w:val="18"/>
                          </w:rPr>
                          <w:t>20,333,127</w:t>
                        </w:r>
                      </w:p>
                    </w:tc>
                    <w:tc>
                      <w:tcPr>
                        <w:tcW w:w="119" w:type="dxa"/>
                        <w:tcBorders>
                          <w:top w:val="nil" w:sz="6" w:space="0" w:color="auto"/>
                          <w:left w:val="nil" w:sz="6" w:space="0" w:color="auto"/>
                          <w:bottom w:val="nil" w:sz="6" w:space="0" w:color="auto"/>
                          <w:right w:val="nil" w:sz="6" w:space="0" w:color="auto"/>
                        </w:tcBorders>
                      </w:tcPr>
                      <w:p>
                        <w:pP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55"/>
                          <w:jc w:val="right"/>
                          <w:rPr>
                            <w:rFonts w:ascii="Arial" w:hAnsi="Arial" w:cs="Arial" w:eastAsia="Arial" w:hint="default"/>
                            <w:sz w:val="18"/>
                            <w:szCs w:val="18"/>
                          </w:rPr>
                        </w:pPr>
                        <w:r>
                          <w:rPr>
                            <w:rFonts w:ascii="Arial"/>
                            <w:spacing w:val="-1"/>
                            <w:w w:val="95"/>
                            <w:sz w:val="18"/>
                          </w:rPr>
                          <w:t>0.14%</w:t>
                        </w:r>
                        <w:r>
                          <w:rPr>
                            <w:rFonts w:ascii="Arial"/>
                            <w:sz w:val="18"/>
                          </w:rPr>
                        </w:r>
                      </w:p>
                    </w:tc>
                    <w:tc>
                      <w:tcPr>
                        <w:tcW w:w="120"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84"/>
                          <w:jc w:val="right"/>
                          <w:rPr>
                            <w:rFonts w:ascii="Arial" w:hAnsi="Arial" w:cs="Arial" w:eastAsia="Arial" w:hint="default"/>
                            <w:sz w:val="18"/>
                            <w:szCs w:val="18"/>
                          </w:rPr>
                        </w:pPr>
                        <w:r>
                          <w:rPr>
                            <w:rFonts w:ascii="Arial"/>
                            <w:w w:val="99"/>
                            <w:sz w:val="18"/>
                          </w:rPr>
                          <w:t>-</w:t>
                        </w:r>
                        <w:r>
                          <w:rPr>
                            <w:rFonts w:ascii="Arial"/>
                            <w:sz w:val="18"/>
                          </w:rPr>
                        </w:r>
                      </w:p>
                    </w:tc>
                    <w:tc>
                      <w:tcPr>
                        <w:tcW w:w="139"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99"/>
                          <w:ind w:left="133" w:right="0"/>
                          <w:jc w:val="left"/>
                          <w:rPr>
                            <w:rFonts w:ascii="Arial" w:hAnsi="Arial" w:cs="Arial" w:eastAsia="Arial" w:hint="default"/>
                            <w:sz w:val="18"/>
                            <w:szCs w:val="18"/>
                          </w:rPr>
                        </w:pPr>
                        <w:r>
                          <w:rPr>
                            <w:rFonts w:ascii="Arial"/>
                            <w:sz w:val="18"/>
                          </w:rPr>
                          <w:t>33,180,979</w:t>
                        </w:r>
                      </w:p>
                    </w:tc>
                    <w:tc>
                      <w:tcPr>
                        <w:tcW w:w="120" w:type="dxa"/>
                        <w:tcBorders>
                          <w:top w:val="nil" w:sz="6" w:space="0" w:color="auto"/>
                          <w:left w:val="nil" w:sz="6" w:space="0" w:color="auto"/>
                          <w:bottom w:val="nil" w:sz="6" w:space="0" w:color="auto"/>
                          <w:right w:val="nil" w:sz="6" w:space="0" w:color="auto"/>
                        </w:tcBorders>
                      </w:tcPr>
                      <w:p>
                        <w:pPr/>
                      </w:p>
                    </w:tc>
                    <w:tc>
                      <w:tcPr>
                        <w:tcW w:w="804"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55"/>
                          <w:jc w:val="right"/>
                          <w:rPr>
                            <w:rFonts w:ascii="Arial" w:hAnsi="Arial" w:cs="Arial" w:eastAsia="Arial" w:hint="default"/>
                            <w:sz w:val="18"/>
                            <w:szCs w:val="18"/>
                          </w:rPr>
                        </w:pPr>
                        <w:r>
                          <w:rPr>
                            <w:rFonts w:ascii="Arial"/>
                            <w:spacing w:val="-1"/>
                            <w:w w:val="95"/>
                            <w:sz w:val="18"/>
                          </w:rPr>
                          <w:t>0.24%</w:t>
                        </w:r>
                        <w:r>
                          <w:rPr>
                            <w:rFonts w:ascii="Arial"/>
                            <w:sz w:val="18"/>
                          </w:rPr>
                        </w:r>
                      </w:p>
                    </w:tc>
                    <w:tc>
                      <w:tcPr>
                        <w:tcW w:w="120"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65"/>
                          <w:jc w:val="right"/>
                          <w:rPr>
                            <w:rFonts w:ascii="Arial" w:hAnsi="Arial" w:cs="Arial" w:eastAsia="Arial" w:hint="default"/>
                            <w:sz w:val="18"/>
                            <w:szCs w:val="18"/>
                          </w:rPr>
                        </w:pPr>
                        <w:r>
                          <w:rPr>
                            <w:rFonts w:ascii="Arial"/>
                            <w:w w:val="99"/>
                            <w:sz w:val="18"/>
                          </w:rPr>
                          <w:t>-</w:t>
                        </w:r>
                        <w:r>
                          <w:rPr>
                            <w:rFonts w:ascii="Arial"/>
                            <w:sz w:val="18"/>
                          </w:rPr>
                        </w:r>
                      </w:p>
                    </w:tc>
                  </w:tr>
                  <w:tr>
                    <w:trPr>
                      <w:trHeight w:val="233" w:hRule="exact"/>
                    </w:trPr>
                    <w:tc>
                      <w:tcPr>
                        <w:tcW w:w="1631"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宋体" w:hAnsi="宋体" w:cs="宋体" w:eastAsia="宋体" w:hint="default"/>
                            <w:sz w:val="18"/>
                            <w:szCs w:val="18"/>
                          </w:rPr>
                        </w:pPr>
                        <w:r>
                          <w:rPr>
                            <w:rFonts w:ascii="宋体" w:hAnsi="宋体" w:cs="宋体" w:eastAsia="宋体" w:hint="default"/>
                            <w:sz w:val="18"/>
                            <w:szCs w:val="18"/>
                          </w:rPr>
                          <w:t>同受联通集团控制</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4"/>
                          <w:jc w:val="right"/>
                          <w:rPr>
                            <w:rFonts w:ascii="Arial" w:hAnsi="Arial" w:cs="Arial" w:eastAsia="Arial" w:hint="default"/>
                            <w:sz w:val="18"/>
                            <w:szCs w:val="18"/>
                          </w:rPr>
                        </w:pPr>
                        <w:r>
                          <w:rPr>
                            <w:rFonts w:ascii="Arial"/>
                            <w:spacing w:val="-1"/>
                            <w:sz w:val="18"/>
                          </w:rPr>
                          <w:t>30,203,480</w:t>
                        </w:r>
                      </w:p>
                    </w:tc>
                    <w:tc>
                      <w:tcPr>
                        <w:tcW w:w="119" w:type="dxa"/>
                        <w:tcBorders>
                          <w:top w:val="nil" w:sz="6" w:space="0" w:color="auto"/>
                          <w:left w:val="nil" w:sz="6" w:space="0" w:color="auto"/>
                          <w:bottom w:val="nil" w:sz="6" w:space="0" w:color="auto"/>
                          <w:right w:val="nil" w:sz="6" w:space="0" w:color="auto"/>
                        </w:tcBorders>
                      </w:tcPr>
                      <w:p>
                        <w:pP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4"/>
                          <w:jc w:val="right"/>
                          <w:rPr>
                            <w:rFonts w:ascii="Arial" w:hAnsi="Arial" w:cs="Arial" w:eastAsia="Arial" w:hint="default"/>
                            <w:sz w:val="18"/>
                            <w:szCs w:val="18"/>
                          </w:rPr>
                        </w:pPr>
                        <w:r>
                          <w:rPr>
                            <w:rFonts w:ascii="Arial"/>
                            <w:spacing w:val="-1"/>
                            <w:w w:val="95"/>
                            <w:sz w:val="18"/>
                          </w:rPr>
                          <w:t>0.22%</w:t>
                        </w:r>
                        <w:r>
                          <w:rPr>
                            <w:rFonts w:ascii="Arial"/>
                            <w:sz w:val="18"/>
                          </w:rPr>
                        </w:r>
                      </w:p>
                    </w:tc>
                    <w:tc>
                      <w:tcPr>
                        <w:tcW w:w="120"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3"/>
                          <w:jc w:val="right"/>
                          <w:rPr>
                            <w:rFonts w:ascii="Arial" w:hAnsi="Arial" w:cs="Arial" w:eastAsia="Arial" w:hint="default"/>
                            <w:sz w:val="18"/>
                            <w:szCs w:val="18"/>
                          </w:rPr>
                        </w:pPr>
                        <w:r>
                          <w:rPr>
                            <w:rFonts w:ascii="Arial"/>
                            <w:w w:val="99"/>
                            <w:sz w:val="18"/>
                          </w:rPr>
                          <w:t>-</w:t>
                        </w:r>
                        <w:r>
                          <w:rPr>
                            <w:rFonts w:ascii="Arial"/>
                            <w:sz w:val="18"/>
                          </w:rPr>
                        </w:r>
                      </w:p>
                    </w:tc>
                    <w:tc>
                      <w:tcPr>
                        <w:tcW w:w="139"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6"/>
                          <w:jc w:val="right"/>
                          <w:rPr>
                            <w:rFonts w:ascii="Arial" w:hAnsi="Arial" w:cs="Arial" w:eastAsia="Arial" w:hint="default"/>
                            <w:sz w:val="18"/>
                            <w:szCs w:val="18"/>
                          </w:rPr>
                        </w:pPr>
                        <w:r>
                          <w:rPr>
                            <w:rFonts w:ascii="Arial"/>
                            <w:spacing w:val="-1"/>
                            <w:sz w:val="18"/>
                          </w:rPr>
                          <w:t>775,009</w:t>
                        </w:r>
                        <w:r>
                          <w:rPr>
                            <w:rFonts w:ascii="Arial"/>
                            <w:sz w:val="18"/>
                          </w:rPr>
                        </w:r>
                      </w:p>
                    </w:tc>
                    <w:tc>
                      <w:tcPr>
                        <w:tcW w:w="120" w:type="dxa"/>
                        <w:tcBorders>
                          <w:top w:val="nil" w:sz="6" w:space="0" w:color="auto"/>
                          <w:left w:val="nil" w:sz="6" w:space="0" w:color="auto"/>
                          <w:bottom w:val="nil" w:sz="6" w:space="0" w:color="auto"/>
                          <w:right w:val="nil" w:sz="6" w:space="0" w:color="auto"/>
                        </w:tcBorders>
                      </w:tcPr>
                      <w:p>
                        <w:pPr/>
                      </w:p>
                    </w:tc>
                    <w:tc>
                      <w:tcPr>
                        <w:tcW w:w="80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6"/>
                          <w:jc w:val="right"/>
                          <w:rPr>
                            <w:rFonts w:ascii="Arial" w:hAnsi="Arial" w:cs="Arial" w:eastAsia="Arial" w:hint="default"/>
                            <w:sz w:val="18"/>
                            <w:szCs w:val="18"/>
                          </w:rPr>
                        </w:pPr>
                        <w:r>
                          <w:rPr>
                            <w:rFonts w:ascii="Arial"/>
                            <w:spacing w:val="-1"/>
                            <w:w w:val="95"/>
                            <w:sz w:val="18"/>
                          </w:rPr>
                          <w:t>0.01%</w:t>
                        </w:r>
                        <w:r>
                          <w:rPr>
                            <w:rFonts w:ascii="Arial"/>
                            <w:sz w:val="18"/>
                          </w:rPr>
                        </w:r>
                      </w:p>
                    </w:tc>
                    <w:tc>
                      <w:tcPr>
                        <w:tcW w:w="120"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5"/>
                          <w:jc w:val="right"/>
                          <w:rPr>
                            <w:rFonts w:ascii="Arial" w:hAnsi="Arial" w:cs="Arial" w:eastAsia="Arial" w:hint="default"/>
                            <w:sz w:val="18"/>
                            <w:szCs w:val="18"/>
                          </w:rPr>
                        </w:pPr>
                        <w:r>
                          <w:rPr>
                            <w:rFonts w:ascii="Arial"/>
                            <w:w w:val="99"/>
                            <w:sz w:val="18"/>
                          </w:rPr>
                          <w:t>-</w:t>
                        </w:r>
                        <w:r>
                          <w:rPr>
                            <w:rFonts w:ascii="Arial"/>
                            <w:sz w:val="18"/>
                          </w:rPr>
                        </w:r>
                      </w:p>
                    </w:tc>
                  </w:tr>
                  <w:tr>
                    <w:trPr>
                      <w:trHeight w:val="234" w:hRule="exact"/>
                    </w:trPr>
                    <w:tc>
                      <w:tcPr>
                        <w:tcW w:w="1631"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同受联通集团控制</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3"/>
                          <w:jc w:val="right"/>
                          <w:rPr>
                            <w:rFonts w:ascii="Arial" w:hAnsi="Arial" w:cs="Arial" w:eastAsia="Arial" w:hint="default"/>
                            <w:sz w:val="18"/>
                            <w:szCs w:val="18"/>
                          </w:rPr>
                        </w:pPr>
                        <w:r>
                          <w:rPr>
                            <w:rFonts w:ascii="Arial"/>
                            <w:spacing w:val="-1"/>
                            <w:sz w:val="18"/>
                          </w:rPr>
                          <w:t>829,290</w:t>
                        </w:r>
                      </w:p>
                    </w:tc>
                    <w:tc>
                      <w:tcPr>
                        <w:tcW w:w="119" w:type="dxa"/>
                        <w:tcBorders>
                          <w:top w:val="nil" w:sz="6" w:space="0" w:color="auto"/>
                          <w:left w:val="nil" w:sz="6" w:space="0" w:color="auto"/>
                          <w:bottom w:val="nil" w:sz="6" w:space="0" w:color="auto"/>
                          <w:right w:val="nil" w:sz="6" w:space="0" w:color="auto"/>
                        </w:tcBorders>
                      </w:tcPr>
                      <w:p>
                        <w:pP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4"/>
                          <w:jc w:val="right"/>
                          <w:rPr>
                            <w:rFonts w:ascii="Arial" w:hAnsi="Arial" w:cs="Arial" w:eastAsia="Arial" w:hint="default"/>
                            <w:sz w:val="18"/>
                            <w:szCs w:val="18"/>
                          </w:rPr>
                        </w:pPr>
                        <w:r>
                          <w:rPr>
                            <w:rFonts w:ascii="Arial"/>
                            <w:spacing w:val="-1"/>
                            <w:w w:val="95"/>
                            <w:sz w:val="18"/>
                          </w:rPr>
                          <w:t>0.01%</w:t>
                        </w:r>
                        <w:r>
                          <w:rPr>
                            <w:rFonts w:ascii="Arial"/>
                            <w:sz w:val="18"/>
                          </w:rPr>
                        </w:r>
                      </w:p>
                    </w:tc>
                    <w:tc>
                      <w:tcPr>
                        <w:tcW w:w="120"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3"/>
                          <w:jc w:val="right"/>
                          <w:rPr>
                            <w:rFonts w:ascii="Arial" w:hAnsi="Arial" w:cs="Arial" w:eastAsia="Arial" w:hint="default"/>
                            <w:sz w:val="18"/>
                            <w:szCs w:val="18"/>
                          </w:rPr>
                        </w:pPr>
                        <w:r>
                          <w:rPr>
                            <w:rFonts w:ascii="Arial"/>
                            <w:w w:val="99"/>
                            <w:sz w:val="18"/>
                          </w:rPr>
                          <w:t>-</w:t>
                        </w:r>
                        <w:r>
                          <w:rPr>
                            <w:rFonts w:ascii="Arial"/>
                            <w:sz w:val="18"/>
                          </w:rPr>
                        </w:r>
                      </w:p>
                    </w:tc>
                    <w:tc>
                      <w:tcPr>
                        <w:tcW w:w="139"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34" w:right="0"/>
                          <w:jc w:val="left"/>
                          <w:rPr>
                            <w:rFonts w:ascii="Arial" w:hAnsi="Arial" w:cs="Arial" w:eastAsia="Arial" w:hint="default"/>
                            <w:sz w:val="18"/>
                            <w:szCs w:val="18"/>
                          </w:rPr>
                        </w:pPr>
                        <w:r>
                          <w:rPr>
                            <w:rFonts w:ascii="Arial"/>
                            <w:sz w:val="18"/>
                          </w:rPr>
                          <w:t>5,162,000</w:t>
                        </w:r>
                      </w:p>
                    </w:tc>
                    <w:tc>
                      <w:tcPr>
                        <w:tcW w:w="120" w:type="dxa"/>
                        <w:tcBorders>
                          <w:top w:val="nil" w:sz="6" w:space="0" w:color="auto"/>
                          <w:left w:val="nil" w:sz="6" w:space="0" w:color="auto"/>
                          <w:bottom w:val="nil" w:sz="6" w:space="0" w:color="auto"/>
                          <w:right w:val="nil" w:sz="6" w:space="0" w:color="auto"/>
                        </w:tcBorders>
                      </w:tcPr>
                      <w:p>
                        <w:pPr/>
                      </w:p>
                    </w:tc>
                    <w:tc>
                      <w:tcPr>
                        <w:tcW w:w="80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6"/>
                          <w:jc w:val="right"/>
                          <w:rPr>
                            <w:rFonts w:ascii="Arial" w:hAnsi="Arial" w:cs="Arial" w:eastAsia="Arial" w:hint="default"/>
                            <w:sz w:val="18"/>
                            <w:szCs w:val="18"/>
                          </w:rPr>
                        </w:pPr>
                        <w:r>
                          <w:rPr>
                            <w:rFonts w:ascii="Arial"/>
                            <w:spacing w:val="-1"/>
                            <w:w w:val="95"/>
                            <w:sz w:val="18"/>
                          </w:rPr>
                          <w:t>0.04%</w:t>
                        </w:r>
                        <w:r>
                          <w:rPr>
                            <w:rFonts w:ascii="Arial"/>
                            <w:sz w:val="18"/>
                          </w:rPr>
                        </w:r>
                      </w:p>
                    </w:tc>
                    <w:tc>
                      <w:tcPr>
                        <w:tcW w:w="120"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5"/>
                          <w:jc w:val="right"/>
                          <w:rPr>
                            <w:rFonts w:ascii="Arial" w:hAnsi="Arial" w:cs="Arial" w:eastAsia="Arial" w:hint="default"/>
                            <w:sz w:val="18"/>
                            <w:szCs w:val="18"/>
                          </w:rPr>
                        </w:pPr>
                        <w:r>
                          <w:rPr>
                            <w:rFonts w:ascii="Arial"/>
                            <w:w w:val="99"/>
                            <w:sz w:val="18"/>
                          </w:rPr>
                          <w:t>-</w:t>
                        </w:r>
                        <w:r>
                          <w:rPr>
                            <w:rFonts w:ascii="Arial"/>
                            <w:sz w:val="18"/>
                          </w:rPr>
                        </w:r>
                      </w:p>
                    </w:tc>
                  </w:tr>
                  <w:tr>
                    <w:trPr>
                      <w:trHeight w:val="350" w:hRule="exact"/>
                    </w:trPr>
                    <w:tc>
                      <w:tcPr>
                        <w:tcW w:w="1631"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同受联通集团控制</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3"/>
                          <w:jc w:val="right"/>
                          <w:rPr>
                            <w:rFonts w:ascii="Arial" w:hAnsi="Arial" w:cs="Arial" w:eastAsia="Arial" w:hint="default"/>
                            <w:sz w:val="18"/>
                            <w:szCs w:val="18"/>
                          </w:rPr>
                        </w:pPr>
                        <w:r>
                          <w:rPr>
                            <w:rFonts w:ascii="Arial"/>
                            <w:w w:val="99"/>
                            <w:sz w:val="18"/>
                          </w:rPr>
                          <w:t>-</w:t>
                        </w:r>
                        <w:r>
                          <w:rPr>
                            <w:rFonts w:ascii="Arial"/>
                            <w:sz w:val="18"/>
                          </w:rPr>
                        </w:r>
                      </w:p>
                    </w:tc>
                    <w:tc>
                      <w:tcPr>
                        <w:tcW w:w="119" w:type="dxa"/>
                        <w:tcBorders>
                          <w:top w:val="nil" w:sz="6" w:space="0" w:color="auto"/>
                          <w:left w:val="nil" w:sz="6" w:space="0" w:color="auto"/>
                          <w:bottom w:val="nil" w:sz="6" w:space="0" w:color="auto"/>
                          <w:right w:val="nil" w:sz="6" w:space="0" w:color="auto"/>
                        </w:tcBorders>
                      </w:tcPr>
                      <w:p>
                        <w:pPr/>
                      </w:p>
                    </w:tc>
                    <w:tc>
                      <w:tcPr>
                        <w:tcW w:w="7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4"/>
                          <w:jc w:val="right"/>
                          <w:rPr>
                            <w:rFonts w:ascii="Arial" w:hAnsi="Arial" w:cs="Arial" w:eastAsia="Arial" w:hint="default"/>
                            <w:sz w:val="18"/>
                            <w:szCs w:val="18"/>
                          </w:rPr>
                        </w:pPr>
                        <w:r>
                          <w:rPr>
                            <w:rFonts w:ascii="Arial"/>
                            <w:spacing w:val="-1"/>
                            <w:w w:val="95"/>
                            <w:sz w:val="18"/>
                          </w:rPr>
                          <w:t>0.00%</w:t>
                        </w:r>
                        <w:r>
                          <w:rPr>
                            <w:rFonts w:ascii="Arial"/>
                            <w:sz w:val="18"/>
                          </w:rPr>
                        </w:r>
                      </w:p>
                    </w:tc>
                    <w:tc>
                      <w:tcPr>
                        <w:tcW w:w="120"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3"/>
                          <w:jc w:val="right"/>
                          <w:rPr>
                            <w:rFonts w:ascii="Arial" w:hAnsi="Arial" w:cs="Arial" w:eastAsia="Arial" w:hint="default"/>
                            <w:sz w:val="18"/>
                            <w:szCs w:val="18"/>
                          </w:rPr>
                        </w:pPr>
                        <w:r>
                          <w:rPr>
                            <w:rFonts w:ascii="Arial"/>
                            <w:w w:val="99"/>
                            <w:sz w:val="18"/>
                          </w:rPr>
                          <w:t>-</w:t>
                        </w:r>
                        <w:r>
                          <w:rPr>
                            <w:rFonts w:ascii="Arial"/>
                            <w:sz w:val="18"/>
                          </w:rPr>
                        </w:r>
                      </w:p>
                    </w:tc>
                    <w:tc>
                      <w:tcPr>
                        <w:tcW w:w="139"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Arial" w:hAnsi="Arial" w:cs="Arial" w:eastAsia="Arial" w:hint="default"/>
                            <w:sz w:val="18"/>
                            <w:szCs w:val="18"/>
                          </w:rPr>
                        </w:pPr>
                        <w:r>
                          <w:rPr>
                            <w:rFonts w:ascii="Arial"/>
                            <w:spacing w:val="-1"/>
                            <w:w w:val="95"/>
                            <w:sz w:val="18"/>
                          </w:rPr>
                          <w:t>2,380</w:t>
                        </w:r>
                        <w:r>
                          <w:rPr>
                            <w:rFonts w:ascii="Arial"/>
                            <w:sz w:val="18"/>
                          </w:rPr>
                        </w:r>
                      </w:p>
                    </w:tc>
                    <w:tc>
                      <w:tcPr>
                        <w:tcW w:w="120" w:type="dxa"/>
                        <w:tcBorders>
                          <w:top w:val="nil" w:sz="6" w:space="0" w:color="auto"/>
                          <w:left w:val="nil" w:sz="6" w:space="0" w:color="auto"/>
                          <w:bottom w:val="nil" w:sz="6" w:space="0" w:color="auto"/>
                          <w:right w:val="nil" w:sz="6" w:space="0" w:color="auto"/>
                        </w:tcBorders>
                      </w:tcPr>
                      <w:p>
                        <w:pPr/>
                      </w:p>
                    </w:tc>
                    <w:tc>
                      <w:tcPr>
                        <w:tcW w:w="80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Arial" w:hAnsi="Arial" w:cs="Arial" w:eastAsia="Arial" w:hint="default"/>
                            <w:sz w:val="18"/>
                            <w:szCs w:val="18"/>
                          </w:rPr>
                        </w:pPr>
                        <w:r>
                          <w:rPr>
                            <w:rFonts w:ascii="Arial"/>
                            <w:spacing w:val="-1"/>
                            <w:w w:val="95"/>
                            <w:sz w:val="18"/>
                          </w:rPr>
                          <w:t>0.00%</w:t>
                        </w:r>
                        <w:r>
                          <w:rPr>
                            <w:rFonts w:ascii="Arial"/>
                            <w:sz w:val="18"/>
                          </w:rPr>
                        </w:r>
                      </w:p>
                    </w:tc>
                    <w:tc>
                      <w:tcPr>
                        <w:tcW w:w="120"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5"/>
                          <w:jc w:val="right"/>
                          <w:rPr>
                            <w:rFonts w:ascii="Arial" w:hAnsi="Arial" w:cs="Arial" w:eastAsia="Arial" w:hint="default"/>
                            <w:sz w:val="18"/>
                            <w:szCs w:val="18"/>
                          </w:rPr>
                        </w:pPr>
                        <w:r>
                          <w:rPr>
                            <w:rFonts w:ascii="Arial"/>
                            <w:w w:val="99"/>
                            <w:sz w:val="18"/>
                          </w:rPr>
                          <w:t>-</w:t>
                        </w:r>
                        <w:r>
                          <w:rPr>
                            <w:rFonts w:ascii="Arial"/>
                            <w:sz w:val="18"/>
                          </w:rPr>
                        </w:r>
                      </w:p>
                    </w:tc>
                  </w:tr>
                  <w:tr>
                    <w:trPr>
                      <w:trHeight w:val="472" w:hRule="exact"/>
                    </w:trPr>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18"/>
                            <w:szCs w:val="18"/>
                          </w:rPr>
                        </w:pPr>
                        <w:r>
                          <w:rPr>
                            <w:rFonts w:ascii="宋体" w:hAnsi="宋体" w:cs="宋体" w:eastAsia="宋体" w:hint="default"/>
                            <w:sz w:val="18"/>
                            <w:szCs w:val="18"/>
                          </w:rPr>
                          <w:t>同受联通集团控制</w:t>
                        </w:r>
                      </w:p>
                    </w:tc>
                    <w:tc>
                      <w:tcPr>
                        <w:tcW w:w="1093" w:type="dxa"/>
                        <w:tcBorders>
                          <w:top w:val="nil" w:sz="6" w:space="0" w:color="auto"/>
                          <w:left w:val="nil" w:sz="6" w:space="0" w:color="auto"/>
                          <w:bottom w:val="nil" w:sz="6" w:space="0" w:color="auto"/>
                          <w:right w:val="nil" w:sz="6" w:space="0" w:color="auto"/>
                        </w:tcBorders>
                      </w:tcPr>
                      <w:p>
                        <w:pPr>
                          <w:pStyle w:val="TableParagraph"/>
                          <w:tabs>
                            <w:tab w:pos="1078" w:val="left" w:leader="none"/>
                          </w:tabs>
                          <w:spacing w:line="240" w:lineRule="auto" w:before="131"/>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0"/>
                            <w:sz w:val="18"/>
                            <w:u w:val="single" w:color="000000"/>
                          </w:rPr>
                          <w:t> </w:t>
                        </w:r>
                        <w:r>
                          <w:rPr>
                            <w:rFonts w:ascii="Arial"/>
                            <w:spacing w:val="-1"/>
                            <w:sz w:val="18"/>
                            <w:u w:val="single" w:color="000000"/>
                          </w:rPr>
                          <w:t>22,792,259</w:t>
                          <w:tab/>
                        </w:r>
                        <w:r>
                          <w:rPr>
                            <w:rFonts w:ascii="Arial"/>
                            <w:spacing w:val="-1"/>
                            <w:sz w:val="18"/>
                          </w:rPr>
                        </w:r>
                      </w:p>
                    </w:tc>
                    <w:tc>
                      <w:tcPr>
                        <w:tcW w:w="119" w:type="dxa"/>
                        <w:tcBorders>
                          <w:top w:val="nil" w:sz="6" w:space="0" w:color="auto"/>
                          <w:left w:val="nil" w:sz="6" w:space="0" w:color="auto"/>
                          <w:bottom w:val="nil" w:sz="6" w:space="0" w:color="auto"/>
                          <w:right w:val="nil" w:sz="6" w:space="0" w:color="auto"/>
                        </w:tcBorders>
                      </w:tcPr>
                      <w:p>
                        <w:pPr/>
                      </w:p>
                    </w:tc>
                    <w:tc>
                      <w:tcPr>
                        <w:tcW w:w="791" w:type="dxa"/>
                        <w:tcBorders>
                          <w:top w:val="nil" w:sz="6" w:space="0" w:color="auto"/>
                          <w:left w:val="nil" w:sz="6" w:space="0" w:color="auto"/>
                          <w:bottom w:val="nil" w:sz="6" w:space="0" w:color="auto"/>
                          <w:right w:val="nil" w:sz="6" w:space="0" w:color="auto"/>
                        </w:tcBorders>
                      </w:tcPr>
                      <w:p>
                        <w:pPr>
                          <w:pStyle w:val="TableParagraph"/>
                          <w:tabs>
                            <w:tab w:pos="776" w:val="left" w:leader="none"/>
                          </w:tabs>
                          <w:spacing w:line="240" w:lineRule="auto" w:before="131"/>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18"/>
                            <w:sz w:val="18"/>
                            <w:u w:val="single" w:color="000000"/>
                          </w:rPr>
                          <w:t> </w:t>
                        </w:r>
                        <w:r>
                          <w:rPr>
                            <w:rFonts w:ascii="Arial"/>
                            <w:spacing w:val="-1"/>
                            <w:sz w:val="18"/>
                            <w:u w:val="single" w:color="000000"/>
                          </w:rPr>
                          <w:t>0.16%</w:t>
                          <w:tab/>
                        </w:r>
                        <w:r>
                          <w:rPr>
                            <w:rFonts w:ascii="Arial"/>
                            <w:spacing w:val="-1"/>
                            <w:sz w:val="18"/>
                          </w:rPr>
                        </w:r>
                      </w:p>
                    </w:tc>
                    <w:tc>
                      <w:tcPr>
                        <w:tcW w:w="120"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nil" w:sz="6" w:space="0" w:color="auto"/>
                          <w:right w:val="nil" w:sz="6" w:space="0" w:color="auto"/>
                        </w:tcBorders>
                      </w:tcPr>
                      <w:p>
                        <w:pPr>
                          <w:pStyle w:val="TableParagraph"/>
                          <w:tabs>
                            <w:tab w:pos="762" w:val="left" w:leader="none"/>
                            <w:tab w:pos="901" w:val="left" w:leader="none"/>
                          </w:tabs>
                          <w:spacing w:line="240" w:lineRule="auto" w:before="131"/>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tab/>
                        </w:r>
                        <w:r>
                          <w:rPr>
                            <w:rFonts w:ascii="Arial"/>
                            <w:sz w:val="18"/>
                          </w:rPr>
                        </w:r>
                      </w:p>
                    </w:tc>
                    <w:tc>
                      <w:tcPr>
                        <w:tcW w:w="139"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Style w:val="TableParagraph"/>
                          <w:tabs>
                            <w:tab w:pos="1077" w:val="left" w:leader="none"/>
                          </w:tabs>
                          <w:spacing w:line="240" w:lineRule="auto" w:before="131"/>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4"/>
                            <w:sz w:val="18"/>
                            <w:u w:val="single" w:color="000000"/>
                          </w:rPr>
                          <w:t> </w:t>
                        </w:r>
                        <w:r>
                          <w:rPr>
                            <w:rFonts w:ascii="Arial"/>
                            <w:spacing w:val="-1"/>
                            <w:sz w:val="18"/>
                            <w:u w:val="single" w:color="000000"/>
                          </w:rPr>
                          <w:t>21,156,106</w:t>
                          <w:tab/>
                        </w:r>
                        <w:r>
                          <w:rPr>
                            <w:rFonts w:ascii="Arial"/>
                            <w:spacing w:val="-1"/>
                            <w:sz w:val="18"/>
                          </w:rPr>
                        </w:r>
                      </w:p>
                    </w:tc>
                    <w:tc>
                      <w:tcPr>
                        <w:tcW w:w="120" w:type="dxa"/>
                        <w:tcBorders>
                          <w:top w:val="nil" w:sz="6" w:space="0" w:color="auto"/>
                          <w:left w:val="nil" w:sz="6" w:space="0" w:color="auto"/>
                          <w:bottom w:val="nil" w:sz="6" w:space="0" w:color="auto"/>
                          <w:right w:val="nil" w:sz="6" w:space="0" w:color="auto"/>
                        </w:tcBorders>
                      </w:tcPr>
                      <w:p>
                        <w:pPr/>
                      </w:p>
                    </w:tc>
                    <w:tc>
                      <w:tcPr>
                        <w:tcW w:w="804" w:type="dxa"/>
                        <w:tcBorders>
                          <w:top w:val="nil" w:sz="6" w:space="0" w:color="auto"/>
                          <w:left w:val="nil" w:sz="6" w:space="0" w:color="auto"/>
                          <w:bottom w:val="nil" w:sz="6" w:space="0" w:color="auto"/>
                          <w:right w:val="nil" w:sz="6" w:space="0" w:color="auto"/>
                        </w:tcBorders>
                      </w:tcPr>
                      <w:p>
                        <w:pPr>
                          <w:pStyle w:val="TableParagraph"/>
                          <w:tabs>
                            <w:tab w:pos="789" w:val="left" w:leader="none"/>
                          </w:tabs>
                          <w:spacing w:line="240" w:lineRule="auto" w:before="131"/>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0"/>
                            <w:sz w:val="18"/>
                            <w:u w:val="single" w:color="000000"/>
                          </w:rPr>
                          <w:t> </w:t>
                        </w:r>
                        <w:r>
                          <w:rPr>
                            <w:rFonts w:ascii="Arial"/>
                            <w:spacing w:val="-1"/>
                            <w:sz w:val="18"/>
                            <w:u w:val="single" w:color="000000"/>
                          </w:rPr>
                          <w:t>0.16%</w:t>
                          <w:tab/>
                        </w:r>
                        <w:r>
                          <w:rPr>
                            <w:rFonts w:ascii="Arial"/>
                            <w:spacing w:val="-1"/>
                            <w:sz w:val="18"/>
                          </w:rPr>
                        </w:r>
                      </w:p>
                    </w:tc>
                    <w:tc>
                      <w:tcPr>
                        <w:tcW w:w="120"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Style w:val="TableParagraph"/>
                          <w:tabs>
                            <w:tab w:pos="764" w:val="left" w:leader="none"/>
                            <w:tab w:pos="884" w:val="left" w:leader="none"/>
                          </w:tabs>
                          <w:spacing w:line="240" w:lineRule="auto" w:before="131"/>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tab/>
                        </w:r>
                        <w:r>
                          <w:rPr>
                            <w:rFonts w:ascii="Arial"/>
                            <w:sz w:val="18"/>
                          </w:rPr>
                        </w:r>
                      </w:p>
                    </w:tc>
                  </w:tr>
                  <w:tr>
                    <w:trPr>
                      <w:trHeight w:val="347" w:hRule="exact"/>
                    </w:trPr>
                    <w:tc>
                      <w:tcPr>
                        <w:tcW w:w="1631" w:type="dxa"/>
                        <w:tcBorders>
                          <w:top w:val="nil" w:sz="6" w:space="0" w:color="auto"/>
                          <w:left w:val="nil" w:sz="6" w:space="0" w:color="auto"/>
                          <w:bottom w:val="nil" w:sz="6" w:space="0" w:color="auto"/>
                          <w:right w:val="nil" w:sz="6" w:space="0" w:color="auto"/>
                        </w:tcBorders>
                      </w:tcPr>
                      <w:p>
                        <w:pPr/>
                      </w:p>
                    </w:tc>
                    <w:tc>
                      <w:tcPr>
                        <w:tcW w:w="1093" w:type="dxa"/>
                        <w:tcBorders>
                          <w:top w:val="nil" w:sz="6" w:space="0" w:color="auto"/>
                          <w:left w:val="nil" w:sz="6" w:space="0" w:color="auto"/>
                          <w:bottom w:val="single" w:sz="17" w:space="0" w:color="000000"/>
                          <w:right w:val="nil" w:sz="6" w:space="0" w:color="auto"/>
                        </w:tcBorders>
                      </w:tcPr>
                      <w:p>
                        <w:pPr>
                          <w:pStyle w:val="TableParagraph"/>
                          <w:spacing w:line="240" w:lineRule="auto" w:before="114"/>
                          <w:ind w:right="54"/>
                          <w:jc w:val="right"/>
                          <w:rPr>
                            <w:rFonts w:ascii="Arial" w:hAnsi="Arial" w:cs="Arial" w:eastAsia="Arial" w:hint="default"/>
                            <w:sz w:val="18"/>
                            <w:szCs w:val="18"/>
                          </w:rPr>
                        </w:pPr>
                        <w:r>
                          <w:rPr>
                            <w:rFonts w:ascii="Arial"/>
                            <w:spacing w:val="-1"/>
                            <w:sz w:val="18"/>
                          </w:rPr>
                          <w:t>74,158,156</w:t>
                        </w:r>
                      </w:p>
                    </w:tc>
                    <w:tc>
                      <w:tcPr>
                        <w:tcW w:w="119" w:type="dxa"/>
                        <w:tcBorders>
                          <w:top w:val="nil" w:sz="6" w:space="0" w:color="auto"/>
                          <w:left w:val="nil" w:sz="6" w:space="0" w:color="auto"/>
                          <w:bottom w:val="nil" w:sz="6" w:space="0" w:color="auto"/>
                          <w:right w:val="nil" w:sz="6" w:space="0" w:color="auto"/>
                        </w:tcBorders>
                      </w:tcPr>
                      <w:p>
                        <w:pPr/>
                      </w:p>
                    </w:tc>
                    <w:tc>
                      <w:tcPr>
                        <w:tcW w:w="791" w:type="dxa"/>
                        <w:tcBorders>
                          <w:top w:val="nil" w:sz="6" w:space="0" w:color="auto"/>
                          <w:left w:val="nil" w:sz="6" w:space="0" w:color="auto"/>
                          <w:bottom w:val="single" w:sz="17" w:space="0" w:color="000000"/>
                          <w:right w:val="nil" w:sz="6" w:space="0" w:color="auto"/>
                        </w:tcBorders>
                      </w:tcPr>
                      <w:p>
                        <w:pPr>
                          <w:pStyle w:val="TableParagraph"/>
                          <w:spacing w:line="240" w:lineRule="auto" w:before="114"/>
                          <w:ind w:right="55"/>
                          <w:jc w:val="right"/>
                          <w:rPr>
                            <w:rFonts w:ascii="Arial" w:hAnsi="Arial" w:cs="Arial" w:eastAsia="Arial" w:hint="default"/>
                            <w:sz w:val="18"/>
                            <w:szCs w:val="18"/>
                          </w:rPr>
                        </w:pPr>
                        <w:r>
                          <w:rPr>
                            <w:rFonts w:ascii="Arial"/>
                            <w:spacing w:val="-1"/>
                            <w:w w:val="95"/>
                            <w:sz w:val="18"/>
                          </w:rPr>
                          <w:t>0.53%</w:t>
                        </w:r>
                        <w:r>
                          <w:rPr>
                            <w:rFonts w:ascii="Arial"/>
                            <w:sz w:val="18"/>
                          </w:rPr>
                        </w:r>
                      </w:p>
                    </w:tc>
                    <w:tc>
                      <w:tcPr>
                        <w:tcW w:w="120" w:type="dxa"/>
                        <w:tcBorders>
                          <w:top w:val="nil" w:sz="6" w:space="0" w:color="auto"/>
                          <w:left w:val="nil" w:sz="6" w:space="0" w:color="auto"/>
                          <w:bottom w:val="nil" w:sz="6" w:space="0" w:color="auto"/>
                          <w:right w:val="nil" w:sz="6" w:space="0" w:color="auto"/>
                        </w:tcBorders>
                      </w:tcPr>
                      <w:p>
                        <w:pPr/>
                      </w:p>
                    </w:tc>
                    <w:tc>
                      <w:tcPr>
                        <w:tcW w:w="916" w:type="dxa"/>
                        <w:tcBorders>
                          <w:top w:val="nil" w:sz="6" w:space="0" w:color="auto"/>
                          <w:left w:val="nil" w:sz="6" w:space="0" w:color="auto"/>
                          <w:bottom w:val="single" w:sz="17" w:space="0" w:color="000000"/>
                          <w:right w:val="nil" w:sz="6" w:space="0" w:color="auto"/>
                        </w:tcBorders>
                      </w:tcPr>
                      <w:p>
                        <w:pPr>
                          <w:pStyle w:val="TableParagraph"/>
                          <w:spacing w:line="240" w:lineRule="auto" w:before="114"/>
                          <w:ind w:right="84"/>
                          <w:jc w:val="right"/>
                          <w:rPr>
                            <w:rFonts w:ascii="Arial" w:hAnsi="Arial" w:cs="Arial" w:eastAsia="Arial" w:hint="default"/>
                            <w:sz w:val="18"/>
                            <w:szCs w:val="18"/>
                          </w:rPr>
                        </w:pPr>
                        <w:r>
                          <w:rPr>
                            <w:rFonts w:ascii="Arial"/>
                            <w:w w:val="99"/>
                            <w:sz w:val="18"/>
                          </w:rPr>
                          <w:t>-</w:t>
                        </w:r>
                        <w:r>
                          <w:rPr>
                            <w:rFonts w:ascii="Arial"/>
                            <w:sz w:val="18"/>
                          </w:rPr>
                        </w:r>
                      </w:p>
                    </w:tc>
                    <w:tc>
                      <w:tcPr>
                        <w:tcW w:w="139"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single" w:sz="17" w:space="0" w:color="000000"/>
                          <w:right w:val="nil" w:sz="6" w:space="0" w:color="auto"/>
                        </w:tcBorders>
                      </w:tcPr>
                      <w:p>
                        <w:pPr>
                          <w:pStyle w:val="TableParagraph"/>
                          <w:spacing w:line="240" w:lineRule="auto" w:before="114"/>
                          <w:ind w:left="134" w:right="0"/>
                          <w:jc w:val="left"/>
                          <w:rPr>
                            <w:rFonts w:ascii="Arial" w:hAnsi="Arial" w:cs="Arial" w:eastAsia="Arial" w:hint="default"/>
                            <w:sz w:val="18"/>
                            <w:szCs w:val="18"/>
                          </w:rPr>
                        </w:pPr>
                        <w:r>
                          <w:rPr>
                            <w:rFonts w:ascii="Arial"/>
                            <w:sz w:val="18"/>
                          </w:rPr>
                          <w:t>60,276,474</w:t>
                        </w:r>
                      </w:p>
                    </w:tc>
                    <w:tc>
                      <w:tcPr>
                        <w:tcW w:w="120" w:type="dxa"/>
                        <w:tcBorders>
                          <w:top w:val="nil" w:sz="6" w:space="0" w:color="auto"/>
                          <w:left w:val="nil" w:sz="6" w:space="0" w:color="auto"/>
                          <w:bottom w:val="nil" w:sz="6" w:space="0" w:color="auto"/>
                          <w:right w:val="nil" w:sz="6" w:space="0" w:color="auto"/>
                        </w:tcBorders>
                      </w:tcPr>
                      <w:p>
                        <w:pPr/>
                      </w:p>
                    </w:tc>
                    <w:tc>
                      <w:tcPr>
                        <w:tcW w:w="804" w:type="dxa"/>
                        <w:tcBorders>
                          <w:top w:val="nil" w:sz="6" w:space="0" w:color="auto"/>
                          <w:left w:val="nil" w:sz="6" w:space="0" w:color="auto"/>
                          <w:bottom w:val="single" w:sz="17" w:space="0" w:color="000000"/>
                          <w:right w:val="nil" w:sz="6" w:space="0" w:color="auto"/>
                        </w:tcBorders>
                      </w:tcPr>
                      <w:p>
                        <w:pPr>
                          <w:pStyle w:val="TableParagraph"/>
                          <w:spacing w:line="240" w:lineRule="auto" w:before="114"/>
                          <w:ind w:right="56"/>
                          <w:jc w:val="right"/>
                          <w:rPr>
                            <w:rFonts w:ascii="Arial" w:hAnsi="Arial" w:cs="Arial" w:eastAsia="Arial" w:hint="default"/>
                            <w:sz w:val="18"/>
                            <w:szCs w:val="18"/>
                          </w:rPr>
                        </w:pPr>
                        <w:r>
                          <w:rPr>
                            <w:rFonts w:ascii="Arial"/>
                            <w:spacing w:val="-1"/>
                            <w:w w:val="95"/>
                            <w:sz w:val="18"/>
                          </w:rPr>
                          <w:t>0.45%</w:t>
                        </w:r>
                        <w:r>
                          <w:rPr>
                            <w:rFonts w:ascii="Arial"/>
                            <w:sz w:val="18"/>
                          </w:rPr>
                        </w:r>
                      </w:p>
                    </w:tc>
                    <w:tc>
                      <w:tcPr>
                        <w:tcW w:w="120"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single" w:sz="17" w:space="0" w:color="000000"/>
                          <w:right w:val="nil" w:sz="6" w:space="0" w:color="auto"/>
                        </w:tcBorders>
                      </w:tcPr>
                      <w:p>
                        <w:pPr>
                          <w:pStyle w:val="TableParagraph"/>
                          <w:spacing w:line="240" w:lineRule="auto" w:before="114"/>
                          <w:ind w:right="65"/>
                          <w:jc w:val="right"/>
                          <w:rPr>
                            <w:rFonts w:ascii="Arial" w:hAnsi="Arial" w:cs="Arial" w:eastAsia="Arial" w:hint="default"/>
                            <w:sz w:val="18"/>
                            <w:szCs w:val="18"/>
                          </w:rPr>
                        </w:pPr>
                        <w:r>
                          <w:rPr>
                            <w:rFonts w:ascii="Arial"/>
                            <w:w w:val="99"/>
                            <w:sz w:val="18"/>
                          </w:rPr>
                          <w:t>-</w:t>
                        </w:r>
                        <w:r>
                          <w:rPr>
                            <w:rFonts w:ascii="Arial"/>
                            <w:sz w:val="18"/>
                          </w:rPr>
                        </w:r>
                      </w:p>
                    </w:tc>
                  </w:tr>
                </w:tbl>
                <w:p>
                  <w:pPr/>
                </w:p>
              </w:txbxContent>
            </v:textbox>
            <w10:wrap type="none"/>
          </v:shape>
        </w:pict>
      </w:r>
      <w:r>
        <w:rPr>
          <w:rFonts w:ascii="宋体" w:hAnsi="宋体" w:cs="宋体" w:eastAsia="宋体" w:hint="default"/>
          <w:sz w:val="18"/>
          <w:szCs w:val="18"/>
        </w:rPr>
        <w:t>联通集团 联通新时空 联通新时讯 联通时科 </w:t>
      </w:r>
      <w:r>
        <w:rPr>
          <w:rFonts w:ascii="宋体" w:hAnsi="宋体" w:cs="宋体" w:eastAsia="宋体" w:hint="default"/>
          <w:spacing w:val="4"/>
          <w:sz w:val="18"/>
          <w:szCs w:val="18"/>
        </w:rPr>
        <w:t>联通集团其他</w:t>
      </w:r>
      <w:r>
        <w:rPr>
          <w:rFonts w:ascii="宋体" w:hAnsi="宋体" w:cs="宋体" w:eastAsia="宋体" w:hint="default"/>
          <w:sz w:val="18"/>
          <w:szCs w:val="18"/>
        </w:rPr>
      </w:r>
    </w:p>
    <w:p>
      <w:pPr>
        <w:spacing w:line="234" w:lineRule="exact" w:before="0"/>
        <w:ind w:left="774" w:right="90" w:firstLine="0"/>
        <w:jc w:val="left"/>
        <w:rPr>
          <w:rFonts w:ascii="宋体" w:hAnsi="宋体" w:cs="宋体" w:eastAsia="宋体" w:hint="default"/>
          <w:sz w:val="18"/>
          <w:szCs w:val="18"/>
        </w:rPr>
      </w:pPr>
      <w:r>
        <w:rPr>
          <w:rFonts w:ascii="宋体" w:hAnsi="宋体" w:cs="宋体" w:eastAsia="宋体" w:hint="default"/>
          <w:sz w:val="18"/>
          <w:szCs w:val="18"/>
        </w:rPr>
        <w:t>附属公司</w:t>
      </w:r>
    </w:p>
    <w:p>
      <w:pPr>
        <w:spacing w:line="240" w:lineRule="auto" w:before="5"/>
        <w:rPr>
          <w:rFonts w:ascii="宋体" w:hAnsi="宋体" w:cs="宋体" w:eastAsia="宋体" w:hint="default"/>
          <w:sz w:val="13"/>
          <w:szCs w:val="13"/>
        </w:rPr>
      </w:pPr>
    </w:p>
    <w:p>
      <w:pPr>
        <w:spacing w:before="44"/>
        <w:ind w:left="591" w:right="90" w:firstLine="0"/>
        <w:jc w:val="left"/>
        <w:rPr>
          <w:rFonts w:ascii="宋体" w:hAnsi="宋体" w:cs="宋体" w:eastAsia="宋体" w:hint="default"/>
          <w:sz w:val="18"/>
          <w:szCs w:val="18"/>
        </w:rPr>
      </w:pPr>
      <w:r>
        <w:rPr>
          <w:rFonts w:ascii="宋体" w:hAnsi="宋体" w:cs="宋体" w:eastAsia="宋体" w:hint="default"/>
          <w:sz w:val="18"/>
          <w:szCs w:val="18"/>
        </w:rPr>
        <w:t>合计</w:t>
      </w:r>
    </w:p>
    <w:p>
      <w:pPr>
        <w:spacing w:line="240" w:lineRule="auto" w:before="9"/>
        <w:rPr>
          <w:rFonts w:ascii="宋体" w:hAnsi="宋体" w:cs="宋体" w:eastAsia="宋体" w:hint="default"/>
          <w:sz w:val="15"/>
          <w:szCs w:val="15"/>
        </w:rPr>
      </w:pPr>
    </w:p>
    <w:p>
      <w:pPr>
        <w:pStyle w:val="BodyText"/>
        <w:tabs>
          <w:tab w:pos="534" w:val="left" w:leader="none"/>
        </w:tabs>
        <w:spacing w:line="240" w:lineRule="auto" w:before="31"/>
        <w:ind w:left="114" w:right="90"/>
        <w:jc w:val="left"/>
      </w:pPr>
      <w:r>
        <w:rPr>
          <w:rFonts w:ascii="Arial" w:hAnsi="Arial" w:cs="Arial" w:eastAsia="Arial" w:hint="default"/>
          <w:w w:val="95"/>
        </w:rPr>
        <w:t>(i)</w:t>
        <w:tab/>
      </w: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日及</w:t>
      </w:r>
      <w:r>
        <w:rPr>
          <w:spacing w:val="-56"/>
        </w:rPr>
        <w:t> </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spacing w:val="-3"/>
        </w:rPr>
        <w:t>日，本集团应收账款中以外币计价的余额并不重大。</w:t>
      </w:r>
    </w:p>
    <w:p>
      <w:pPr>
        <w:pStyle w:val="BodyText"/>
        <w:spacing w:line="240" w:lineRule="auto" w:before="181"/>
        <w:ind w:left="142" w:right="90"/>
        <w:jc w:val="left"/>
        <w:rPr>
          <w:rFonts w:ascii="黑体" w:hAnsi="黑体" w:cs="黑体" w:eastAsia="黑体" w:hint="default"/>
        </w:rPr>
      </w:pPr>
      <w:r>
        <w:rPr>
          <w:rFonts w:ascii="Arial" w:hAnsi="Arial" w:cs="Arial" w:eastAsia="Arial" w:hint="default"/>
        </w:rPr>
        <w:t>4</w:t>
      </w:r>
      <w:r>
        <w:rPr>
          <w:rFonts w:ascii="黑体" w:hAnsi="黑体" w:cs="黑体" w:eastAsia="黑体" w:hint="default"/>
        </w:rPr>
        <w:t>、</w:t>
      </w:r>
      <w:r>
        <w:rPr>
          <w:rFonts w:ascii="黑体" w:hAnsi="黑体" w:cs="黑体" w:eastAsia="黑体" w:hint="default"/>
          <w:spacing w:val="-35"/>
        </w:rPr>
        <w:t> </w:t>
      </w:r>
      <w:r>
        <w:rPr>
          <w:rFonts w:ascii="黑体" w:hAnsi="黑体" w:cs="黑体" w:eastAsia="黑体" w:hint="default"/>
        </w:rPr>
        <w:t>其他应收款</w:t>
      </w:r>
    </w:p>
    <w:p>
      <w:pPr>
        <w:spacing w:line="240" w:lineRule="auto" w:before="7"/>
        <w:rPr>
          <w:rFonts w:ascii="黑体" w:hAnsi="黑体" w:cs="黑体" w:eastAsia="黑体" w:hint="default"/>
          <w:sz w:val="11"/>
          <w:szCs w:val="11"/>
        </w:rPr>
      </w:pPr>
    </w:p>
    <w:tbl>
      <w:tblPr>
        <w:tblW w:w="0" w:type="auto"/>
        <w:jc w:val="left"/>
        <w:tblInd w:w="543" w:type="dxa"/>
        <w:tblLayout w:type="fixed"/>
        <w:tblCellMar>
          <w:top w:w="0" w:type="dxa"/>
          <w:left w:w="0" w:type="dxa"/>
          <w:bottom w:w="0" w:type="dxa"/>
          <w:right w:w="0" w:type="dxa"/>
        </w:tblCellMar>
        <w:tblLook w:val="01E0"/>
      </w:tblPr>
      <w:tblGrid>
        <w:gridCol w:w="3707"/>
        <w:gridCol w:w="2531"/>
        <w:gridCol w:w="277"/>
        <w:gridCol w:w="2607"/>
      </w:tblGrid>
      <w:tr>
        <w:trPr>
          <w:trHeight w:val="360" w:hRule="exact"/>
        </w:trPr>
        <w:tc>
          <w:tcPr>
            <w:tcW w:w="3707" w:type="dxa"/>
            <w:vMerge w:val="restart"/>
            <w:tcBorders>
              <w:top w:val="nil" w:sz="6" w:space="0" w:color="auto"/>
              <w:left w:val="nil" w:sz="6" w:space="0" w:color="auto"/>
              <w:right w:val="nil" w:sz="6" w:space="0" w:color="auto"/>
            </w:tcBorders>
          </w:tcPr>
          <w:p>
            <w:pPr/>
          </w:p>
        </w:tc>
        <w:tc>
          <w:tcPr>
            <w:tcW w:w="2531"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74"/>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77" w:type="dxa"/>
            <w:tcBorders>
              <w:top w:val="nil" w:sz="6" w:space="0" w:color="auto"/>
              <w:left w:val="nil" w:sz="6" w:space="0" w:color="auto"/>
              <w:bottom w:val="nil" w:sz="6" w:space="0" w:color="auto"/>
              <w:right w:val="nil" w:sz="6" w:space="0" w:color="auto"/>
            </w:tcBorders>
          </w:tcPr>
          <w:p>
            <w:pPr/>
          </w:p>
        </w:tc>
        <w:tc>
          <w:tcPr>
            <w:tcW w:w="2607"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left="580" w:right="0"/>
              <w:jc w:val="lef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293" w:hRule="exact"/>
        </w:trPr>
        <w:tc>
          <w:tcPr>
            <w:tcW w:w="3707" w:type="dxa"/>
            <w:vMerge/>
            <w:tcBorders>
              <w:left w:val="nil" w:sz="6" w:space="0" w:color="auto"/>
              <w:bottom w:val="nil" w:sz="6" w:space="0" w:color="auto"/>
              <w:right w:val="nil" w:sz="6" w:space="0" w:color="auto"/>
            </w:tcBorders>
          </w:tcPr>
          <w:p>
            <w:pPr/>
          </w:p>
        </w:tc>
        <w:tc>
          <w:tcPr>
            <w:tcW w:w="2531" w:type="dxa"/>
            <w:tcBorders>
              <w:top w:val="single" w:sz="6" w:space="0" w:color="000000"/>
              <w:left w:val="nil" w:sz="6" w:space="0" w:color="auto"/>
              <w:bottom w:val="nil" w:sz="6" w:space="0" w:color="auto"/>
              <w:right w:val="nil" w:sz="6" w:space="0" w:color="auto"/>
            </w:tcBorders>
          </w:tcPr>
          <w:p>
            <w:pPr/>
          </w:p>
        </w:tc>
        <w:tc>
          <w:tcPr>
            <w:tcW w:w="277" w:type="dxa"/>
            <w:tcBorders>
              <w:top w:val="nil" w:sz="6" w:space="0" w:color="auto"/>
              <w:left w:val="nil" w:sz="6" w:space="0" w:color="auto"/>
              <w:bottom w:val="nil" w:sz="6" w:space="0" w:color="auto"/>
              <w:right w:val="nil" w:sz="6" w:space="0" w:color="auto"/>
            </w:tcBorders>
          </w:tcPr>
          <w:p>
            <w:pPr/>
          </w:p>
        </w:tc>
        <w:tc>
          <w:tcPr>
            <w:tcW w:w="2607" w:type="dxa"/>
            <w:tcBorders>
              <w:top w:val="single" w:sz="6" w:space="0" w:color="000000"/>
              <w:left w:val="nil" w:sz="6" w:space="0" w:color="auto"/>
              <w:bottom w:val="nil" w:sz="6" w:space="0" w:color="auto"/>
              <w:right w:val="nil" w:sz="6" w:space="0" w:color="auto"/>
            </w:tcBorders>
          </w:tcPr>
          <w:p>
            <w:pPr>
              <w:pStyle w:val="TableParagraph"/>
              <w:spacing w:line="253" w:lineRule="exact"/>
              <w:ind w:left="1391" w:right="0"/>
              <w:jc w:val="left"/>
              <w:rPr>
                <w:rFonts w:ascii="宋体" w:hAnsi="宋体" w:cs="宋体" w:eastAsia="宋体" w:hint="default"/>
                <w:sz w:val="22"/>
                <w:szCs w:val="22"/>
              </w:rPr>
            </w:pPr>
            <w:r>
              <w:rPr>
                <w:rFonts w:ascii="宋体" w:hAnsi="宋体" w:cs="宋体" w:eastAsia="宋体" w:hint="default"/>
                <w:sz w:val="22"/>
                <w:szCs w:val="22"/>
              </w:rPr>
              <w:t>（经重列）</w:t>
            </w:r>
          </w:p>
        </w:tc>
      </w:tr>
      <w:tr>
        <w:trPr>
          <w:trHeight w:val="298" w:hRule="exact"/>
        </w:trPr>
        <w:tc>
          <w:tcPr>
            <w:tcW w:w="3707" w:type="dxa"/>
            <w:tcBorders>
              <w:top w:val="nil" w:sz="6" w:space="0" w:color="auto"/>
              <w:left w:val="nil" w:sz="6" w:space="0" w:color="auto"/>
              <w:bottom w:val="nil" w:sz="6" w:space="0" w:color="auto"/>
              <w:right w:val="nil" w:sz="6" w:space="0" w:color="auto"/>
            </w:tcBorders>
          </w:tcPr>
          <w:p>
            <w:pPr>
              <w:pStyle w:val="TableParagraph"/>
              <w:spacing w:line="253" w:lineRule="exact"/>
              <w:ind w:left="35" w:right="0"/>
              <w:jc w:val="left"/>
              <w:rPr>
                <w:rFonts w:ascii="宋体" w:hAnsi="宋体" w:cs="宋体" w:eastAsia="宋体" w:hint="default"/>
                <w:sz w:val="22"/>
                <w:szCs w:val="22"/>
              </w:rPr>
            </w:pPr>
            <w:r>
              <w:rPr>
                <w:rFonts w:ascii="宋体" w:hAnsi="宋体" w:cs="宋体" w:eastAsia="宋体" w:hint="default"/>
                <w:sz w:val="22"/>
                <w:szCs w:val="22"/>
              </w:rPr>
              <w:t>备用金及垫付款</w:t>
            </w:r>
          </w:p>
        </w:tc>
        <w:tc>
          <w:tcPr>
            <w:tcW w:w="2531"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76"/>
              <w:jc w:val="right"/>
              <w:rPr>
                <w:rFonts w:ascii="Arial" w:hAnsi="Arial" w:cs="Arial" w:eastAsia="Arial" w:hint="default"/>
                <w:sz w:val="22"/>
                <w:szCs w:val="22"/>
              </w:rPr>
            </w:pPr>
            <w:r>
              <w:rPr>
                <w:rFonts w:ascii="Arial"/>
                <w:w w:val="95"/>
                <w:sz w:val="22"/>
              </w:rPr>
              <w:t>657,415,579</w:t>
            </w:r>
            <w:r>
              <w:rPr>
                <w:rFonts w:ascii="Arial"/>
                <w:sz w:val="22"/>
              </w:rPr>
            </w:r>
          </w:p>
        </w:tc>
        <w:tc>
          <w:tcPr>
            <w:tcW w:w="277" w:type="dxa"/>
            <w:tcBorders>
              <w:top w:val="nil" w:sz="6" w:space="0" w:color="auto"/>
              <w:left w:val="nil" w:sz="6" w:space="0" w:color="auto"/>
              <w:bottom w:val="nil" w:sz="6" w:space="0" w:color="auto"/>
              <w:right w:val="nil" w:sz="6" w:space="0" w:color="auto"/>
            </w:tcBorders>
          </w:tcPr>
          <w:p>
            <w:pPr/>
          </w:p>
        </w:tc>
        <w:tc>
          <w:tcPr>
            <w:tcW w:w="2607"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43" w:right="0"/>
              <w:jc w:val="left"/>
              <w:rPr>
                <w:rFonts w:ascii="Arial" w:hAnsi="Arial" w:cs="Arial" w:eastAsia="Arial" w:hint="default"/>
                <w:sz w:val="22"/>
                <w:szCs w:val="22"/>
              </w:rPr>
            </w:pPr>
            <w:r>
              <w:rPr>
                <w:rFonts w:ascii="Arial"/>
                <w:sz w:val="22"/>
              </w:rPr>
              <w:t>1,246,335,428</w:t>
            </w:r>
          </w:p>
        </w:tc>
      </w:tr>
      <w:tr>
        <w:trPr>
          <w:trHeight w:val="285" w:hRule="exact"/>
        </w:trPr>
        <w:tc>
          <w:tcPr>
            <w:tcW w:w="3707"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暂付押金、保证金等</w:t>
            </w:r>
          </w:p>
        </w:tc>
        <w:tc>
          <w:tcPr>
            <w:tcW w:w="253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76"/>
              <w:jc w:val="right"/>
              <w:rPr>
                <w:rFonts w:ascii="Arial" w:hAnsi="Arial" w:cs="Arial" w:eastAsia="Arial" w:hint="default"/>
                <w:sz w:val="22"/>
                <w:szCs w:val="22"/>
              </w:rPr>
            </w:pPr>
            <w:r>
              <w:rPr>
                <w:rFonts w:ascii="Arial"/>
                <w:w w:val="95"/>
                <w:sz w:val="22"/>
              </w:rPr>
              <w:t>628,941,194</w:t>
            </w:r>
            <w:r>
              <w:rPr>
                <w:rFonts w:ascii="Arial"/>
                <w:sz w:val="22"/>
              </w:rPr>
            </w:r>
          </w:p>
        </w:tc>
        <w:tc>
          <w:tcPr>
            <w:tcW w:w="277" w:type="dxa"/>
            <w:tcBorders>
              <w:top w:val="nil" w:sz="6" w:space="0" w:color="auto"/>
              <w:left w:val="nil" w:sz="6" w:space="0" w:color="auto"/>
              <w:bottom w:val="nil" w:sz="6" w:space="0" w:color="auto"/>
              <w:right w:val="nil" w:sz="6" w:space="0" w:color="auto"/>
            </w:tcBorders>
          </w:tcPr>
          <w:p>
            <w:pPr/>
          </w:p>
        </w:tc>
        <w:tc>
          <w:tcPr>
            <w:tcW w:w="2607"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227" w:right="0"/>
              <w:jc w:val="left"/>
              <w:rPr>
                <w:rFonts w:ascii="Arial" w:hAnsi="Arial" w:cs="Arial" w:eastAsia="Arial" w:hint="default"/>
                <w:sz w:val="22"/>
                <w:szCs w:val="22"/>
              </w:rPr>
            </w:pPr>
            <w:r>
              <w:rPr>
                <w:rFonts w:ascii="Arial"/>
                <w:sz w:val="22"/>
              </w:rPr>
              <w:t>551,705,351</w:t>
            </w:r>
          </w:p>
        </w:tc>
      </w:tr>
      <w:tr>
        <w:trPr>
          <w:trHeight w:val="285" w:hRule="exact"/>
        </w:trPr>
        <w:tc>
          <w:tcPr>
            <w:tcW w:w="3707"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员工借款</w:t>
            </w:r>
          </w:p>
        </w:tc>
        <w:tc>
          <w:tcPr>
            <w:tcW w:w="253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76"/>
              <w:jc w:val="right"/>
              <w:rPr>
                <w:rFonts w:ascii="Arial" w:hAnsi="Arial" w:cs="Arial" w:eastAsia="Arial" w:hint="default"/>
                <w:sz w:val="22"/>
                <w:szCs w:val="22"/>
              </w:rPr>
            </w:pPr>
            <w:r>
              <w:rPr>
                <w:rFonts w:ascii="Arial"/>
                <w:w w:val="95"/>
                <w:sz w:val="22"/>
              </w:rPr>
              <w:t>296,802,351</w:t>
            </w:r>
            <w:r>
              <w:rPr>
                <w:rFonts w:ascii="Arial"/>
                <w:sz w:val="22"/>
              </w:rPr>
            </w:r>
          </w:p>
        </w:tc>
        <w:tc>
          <w:tcPr>
            <w:tcW w:w="277" w:type="dxa"/>
            <w:tcBorders>
              <w:top w:val="nil" w:sz="6" w:space="0" w:color="auto"/>
              <w:left w:val="nil" w:sz="6" w:space="0" w:color="auto"/>
              <w:bottom w:val="nil" w:sz="6" w:space="0" w:color="auto"/>
              <w:right w:val="nil" w:sz="6" w:space="0" w:color="auto"/>
            </w:tcBorders>
          </w:tcPr>
          <w:p>
            <w:pPr/>
          </w:p>
        </w:tc>
        <w:tc>
          <w:tcPr>
            <w:tcW w:w="2607"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227" w:right="0"/>
              <w:jc w:val="left"/>
              <w:rPr>
                <w:rFonts w:ascii="Arial" w:hAnsi="Arial" w:cs="Arial" w:eastAsia="Arial" w:hint="default"/>
                <w:sz w:val="22"/>
                <w:szCs w:val="22"/>
              </w:rPr>
            </w:pPr>
            <w:r>
              <w:rPr>
                <w:rFonts w:ascii="Arial"/>
                <w:sz w:val="22"/>
              </w:rPr>
              <w:t>264,012,629</w:t>
            </w:r>
          </w:p>
        </w:tc>
      </w:tr>
      <w:tr>
        <w:trPr>
          <w:trHeight w:val="285" w:hRule="exact"/>
        </w:trPr>
        <w:tc>
          <w:tcPr>
            <w:tcW w:w="3707"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sz w:val="22"/>
                <w:szCs w:val="22"/>
              </w:rPr>
              <w:t>应收中国电信出售</w:t>
            </w:r>
            <w:r>
              <w:rPr>
                <w:rFonts w:ascii="宋体" w:hAnsi="宋体" w:cs="宋体" w:eastAsia="宋体" w:hint="default"/>
                <w:spacing w:val="-58"/>
                <w:sz w:val="22"/>
                <w:szCs w:val="22"/>
              </w:rPr>
              <w:t> </w:t>
            </w:r>
            <w:r>
              <w:rPr>
                <w:rFonts w:ascii="Arial" w:hAnsi="Arial" w:cs="Arial" w:eastAsia="Arial" w:hint="default"/>
                <w:sz w:val="22"/>
                <w:szCs w:val="22"/>
              </w:rPr>
              <w:t>CDMA</w:t>
            </w:r>
            <w:r>
              <w:rPr>
                <w:rFonts w:ascii="Arial" w:hAnsi="Arial" w:cs="Arial" w:eastAsia="Arial" w:hint="default"/>
                <w:spacing w:val="-9"/>
                <w:sz w:val="22"/>
                <w:szCs w:val="22"/>
              </w:rPr>
              <w:t> </w:t>
            </w:r>
            <w:r>
              <w:rPr>
                <w:rFonts w:ascii="宋体" w:hAnsi="宋体" w:cs="宋体" w:eastAsia="宋体" w:hint="default"/>
                <w:sz w:val="22"/>
                <w:szCs w:val="22"/>
              </w:rPr>
              <w:t>业务款</w:t>
            </w:r>
          </w:p>
        </w:tc>
        <w:tc>
          <w:tcPr>
            <w:tcW w:w="253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77"/>
              <w:jc w:val="right"/>
              <w:rPr>
                <w:rFonts w:ascii="Arial" w:hAnsi="Arial" w:cs="Arial" w:eastAsia="Arial" w:hint="default"/>
                <w:sz w:val="22"/>
                <w:szCs w:val="22"/>
              </w:rPr>
            </w:pPr>
            <w:r>
              <w:rPr>
                <w:rFonts w:ascii="Arial"/>
                <w:spacing w:val="-1"/>
                <w:sz w:val="22"/>
              </w:rPr>
              <w:t>5,121,123,007</w:t>
            </w:r>
          </w:p>
        </w:tc>
        <w:tc>
          <w:tcPr>
            <w:tcW w:w="277" w:type="dxa"/>
            <w:tcBorders>
              <w:top w:val="nil" w:sz="6" w:space="0" w:color="auto"/>
              <w:left w:val="nil" w:sz="6" w:space="0" w:color="auto"/>
              <w:bottom w:val="nil" w:sz="6" w:space="0" w:color="auto"/>
              <w:right w:val="nil" w:sz="6" w:space="0" w:color="auto"/>
            </w:tcBorders>
          </w:tcPr>
          <w:p>
            <w:pPr/>
          </w:p>
        </w:tc>
        <w:tc>
          <w:tcPr>
            <w:tcW w:w="2607" w:type="dxa"/>
            <w:tcBorders>
              <w:top w:val="nil" w:sz="6" w:space="0" w:color="auto"/>
              <w:left w:val="nil" w:sz="6" w:space="0" w:color="auto"/>
              <w:bottom w:val="nil" w:sz="6" w:space="0" w:color="auto"/>
              <w:right w:val="nil" w:sz="6" w:space="0" w:color="auto"/>
            </w:tcBorders>
          </w:tcPr>
          <w:p>
            <w:pPr>
              <w:pStyle w:val="TableParagraph"/>
              <w:spacing w:line="240" w:lineRule="auto" w:before="17"/>
              <w:ind w:left="921" w:right="0"/>
              <w:jc w:val="left"/>
              <w:rPr>
                <w:rFonts w:ascii="Arial" w:hAnsi="Arial" w:cs="Arial" w:eastAsia="Arial" w:hint="default"/>
                <w:sz w:val="22"/>
                <w:szCs w:val="22"/>
              </w:rPr>
            </w:pPr>
            <w:r>
              <w:rPr>
                <w:rFonts w:ascii="Arial"/>
                <w:sz w:val="22"/>
              </w:rPr>
              <w:t>13,140,000,000</w:t>
            </w:r>
          </w:p>
        </w:tc>
      </w:tr>
      <w:tr>
        <w:trPr>
          <w:trHeight w:val="293" w:hRule="exact"/>
        </w:trPr>
        <w:tc>
          <w:tcPr>
            <w:tcW w:w="3707"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531" w:type="dxa"/>
            <w:tcBorders>
              <w:top w:val="nil" w:sz="6" w:space="0" w:color="auto"/>
              <w:left w:val="nil" w:sz="6" w:space="0" w:color="auto"/>
              <w:bottom w:val="nil" w:sz="6" w:space="0" w:color="auto"/>
              <w:right w:val="nil" w:sz="6" w:space="0" w:color="auto"/>
            </w:tcBorders>
          </w:tcPr>
          <w:p>
            <w:pPr>
              <w:pStyle w:val="TableParagraph"/>
              <w:tabs>
                <w:tab w:pos="1228" w:val="left" w:leader="none"/>
                <w:tab w:pos="2530" w:val="left" w:leader="none"/>
              </w:tabs>
              <w:spacing w:line="240" w:lineRule="auto" w:before="17"/>
              <w:ind w:right="0"/>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470,544,087</w:t>
            </w:r>
            <w:r>
              <w:rPr>
                <w:rFonts w:ascii="Arial"/>
                <w:sz w:val="22"/>
                <w:u w:val="single" w:color="000000"/>
              </w:rPr>
              <w:tab/>
            </w:r>
            <w:r>
              <w:rPr>
                <w:rFonts w:ascii="Arial"/>
                <w:sz w:val="22"/>
              </w:rPr>
            </w:r>
          </w:p>
        </w:tc>
        <w:tc>
          <w:tcPr>
            <w:tcW w:w="277" w:type="dxa"/>
            <w:tcBorders>
              <w:top w:val="nil" w:sz="6" w:space="0" w:color="auto"/>
              <w:left w:val="nil" w:sz="6" w:space="0" w:color="auto"/>
              <w:bottom w:val="nil" w:sz="6" w:space="0" w:color="auto"/>
              <w:right w:val="nil" w:sz="6" w:space="0" w:color="auto"/>
            </w:tcBorders>
          </w:tcPr>
          <w:p>
            <w:pPr/>
          </w:p>
        </w:tc>
        <w:tc>
          <w:tcPr>
            <w:tcW w:w="2607" w:type="dxa"/>
            <w:tcBorders>
              <w:top w:val="nil" w:sz="6" w:space="0" w:color="auto"/>
              <w:left w:val="nil" w:sz="6" w:space="0" w:color="auto"/>
              <w:bottom w:val="nil" w:sz="6" w:space="0" w:color="auto"/>
              <w:right w:val="nil" w:sz="6" w:space="0" w:color="auto"/>
            </w:tcBorders>
          </w:tcPr>
          <w:p>
            <w:pPr>
              <w:pStyle w:val="TableParagraph"/>
              <w:tabs>
                <w:tab w:pos="1227" w:val="left" w:leader="none"/>
                <w:tab w:pos="2571" w:val="left" w:leader="none"/>
              </w:tabs>
              <w:spacing w:line="240" w:lineRule="auto" w:before="17"/>
              <w:ind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921,540,702</w:t>
              <w:tab/>
            </w:r>
            <w:r>
              <w:rPr>
                <w:rFonts w:ascii="Arial"/>
                <w:sz w:val="22"/>
              </w:rPr>
            </w:r>
          </w:p>
        </w:tc>
      </w:tr>
      <w:tr>
        <w:trPr>
          <w:trHeight w:val="373" w:hRule="exact"/>
        </w:trPr>
        <w:tc>
          <w:tcPr>
            <w:tcW w:w="3707" w:type="dxa"/>
            <w:tcBorders>
              <w:top w:val="nil" w:sz="6" w:space="0" w:color="auto"/>
              <w:left w:val="nil" w:sz="6" w:space="0" w:color="auto"/>
              <w:bottom w:val="nil" w:sz="6" w:space="0" w:color="auto"/>
              <w:right w:val="nil" w:sz="6" w:space="0" w:color="auto"/>
            </w:tcBorders>
          </w:tcPr>
          <w:p>
            <w:pPr>
              <w:pStyle w:val="TableParagraph"/>
              <w:spacing w:line="247" w:lineRule="exact"/>
              <w:ind w:left="35"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253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77"/>
              <w:jc w:val="right"/>
              <w:rPr>
                <w:rFonts w:ascii="Arial" w:hAnsi="Arial" w:cs="Arial" w:eastAsia="Arial" w:hint="default"/>
                <w:sz w:val="22"/>
                <w:szCs w:val="22"/>
              </w:rPr>
            </w:pPr>
            <w:r>
              <w:rPr>
                <w:rFonts w:ascii="Arial"/>
                <w:spacing w:val="-1"/>
                <w:sz w:val="22"/>
              </w:rPr>
              <w:t>7,174,826,218</w:t>
            </w:r>
          </w:p>
        </w:tc>
        <w:tc>
          <w:tcPr>
            <w:tcW w:w="277" w:type="dxa"/>
            <w:tcBorders>
              <w:top w:val="nil" w:sz="6" w:space="0" w:color="auto"/>
              <w:left w:val="nil" w:sz="6" w:space="0" w:color="auto"/>
              <w:bottom w:val="nil" w:sz="6" w:space="0" w:color="auto"/>
              <w:right w:val="nil" w:sz="6" w:space="0" w:color="auto"/>
            </w:tcBorders>
          </w:tcPr>
          <w:p>
            <w:pPr/>
          </w:p>
        </w:tc>
        <w:tc>
          <w:tcPr>
            <w:tcW w:w="2607" w:type="dxa"/>
            <w:tcBorders>
              <w:top w:val="nil" w:sz="6" w:space="0" w:color="auto"/>
              <w:left w:val="nil" w:sz="6" w:space="0" w:color="auto"/>
              <w:bottom w:val="nil" w:sz="6" w:space="0" w:color="auto"/>
              <w:right w:val="nil" w:sz="6" w:space="0" w:color="auto"/>
            </w:tcBorders>
          </w:tcPr>
          <w:p>
            <w:pPr>
              <w:pStyle w:val="TableParagraph"/>
              <w:spacing w:line="240" w:lineRule="auto" w:before="24"/>
              <w:ind w:left="921" w:right="0"/>
              <w:jc w:val="left"/>
              <w:rPr>
                <w:rFonts w:ascii="Arial" w:hAnsi="Arial" w:cs="Arial" w:eastAsia="Arial" w:hint="default"/>
                <w:sz w:val="22"/>
                <w:szCs w:val="22"/>
              </w:rPr>
            </w:pPr>
            <w:r>
              <w:rPr>
                <w:rFonts w:ascii="Arial"/>
                <w:sz w:val="22"/>
              </w:rPr>
              <w:t>16,123,594,110</w:t>
            </w:r>
          </w:p>
        </w:tc>
      </w:tr>
    </w:tbl>
    <w:p>
      <w:pPr>
        <w:spacing w:line="240" w:lineRule="auto" w:before="1"/>
        <w:rPr>
          <w:rFonts w:ascii="黑体" w:hAnsi="黑体" w:cs="黑体" w:eastAsia="黑体" w:hint="default"/>
          <w:sz w:val="7"/>
          <w:szCs w:val="7"/>
        </w:rPr>
      </w:pPr>
    </w:p>
    <w:p>
      <w:pPr>
        <w:pStyle w:val="BodyText"/>
        <w:tabs>
          <w:tab w:pos="4251" w:val="left" w:leader="none"/>
          <w:tab w:pos="5405" w:val="left" w:leader="none"/>
          <w:tab w:pos="7059" w:val="left" w:leader="none"/>
          <w:tab w:pos="8226" w:val="left" w:leader="none"/>
        </w:tabs>
        <w:spacing w:line="240" w:lineRule="auto" w:before="27"/>
        <w:ind w:left="579" w:right="90"/>
        <w:jc w:val="left"/>
        <w:rPr>
          <w:rFonts w:ascii="Arial" w:hAnsi="Arial" w:cs="Arial" w:eastAsia="Arial" w:hint="default"/>
        </w:rPr>
      </w:pPr>
      <w:r>
        <w:rPr>
          <w:w w:val="95"/>
          <w:position w:val="2"/>
        </w:rPr>
        <w:t>减：坏账准备</w:t>
        <w:tab/>
      </w:r>
      <w:r>
        <w:rPr>
          <w:rFonts w:ascii="Arial" w:hAnsi="Arial" w:cs="Arial" w:eastAsia="Arial" w:hint="default"/>
          <w:w w:val="95"/>
        </w:rPr>
      </w:r>
      <w:r>
        <w:rPr>
          <w:rFonts w:ascii="Arial" w:hAnsi="Arial" w:cs="Arial" w:eastAsia="Arial" w:hint="default"/>
          <w:w w:val="95"/>
          <w:u w:val="single" w:color="000000"/>
        </w:rPr>
        <w:t> </w:t>
        <w:tab/>
        <w:t>(507,409,927)</w:t>
      </w:r>
      <w:r>
        <w:rPr>
          <w:rFonts w:ascii="Arial" w:hAnsi="Arial" w:cs="Arial" w:eastAsia="Arial" w:hint="default"/>
          <w:w w:val="95"/>
        </w:rPr>
        <w:tab/>
      </w:r>
      <w:r>
        <w:rPr>
          <w:rFonts w:ascii="Arial" w:hAnsi="Arial" w:cs="Arial" w:eastAsia="Arial" w:hint="default"/>
          <w:w w:val="95"/>
          <w:u w:val="single" w:color="000000"/>
        </w:rPr>
        <w:t> </w:t>
        <w:tab/>
      </w:r>
      <w:r>
        <w:rPr>
          <w:rFonts w:ascii="Arial" w:hAnsi="Arial" w:cs="Arial" w:eastAsia="Arial" w:hint="default"/>
          <w:u w:val="single" w:color="000000"/>
        </w:rPr>
        <w:t>(487,575,263)</w:t>
      </w:r>
      <w:r>
        <w:rPr>
          <w:rFonts w:ascii="Arial" w:hAnsi="Arial" w:cs="Arial" w:eastAsia="Arial" w:hint="default"/>
        </w:rPr>
      </w:r>
    </w:p>
    <w:p>
      <w:pPr>
        <w:spacing w:line="240" w:lineRule="auto" w:before="7"/>
        <w:rPr>
          <w:rFonts w:ascii="Arial" w:hAnsi="Arial" w:cs="Arial" w:eastAsia="Arial" w:hint="default"/>
          <w:sz w:val="17"/>
          <w:szCs w:val="17"/>
        </w:rPr>
      </w:pPr>
    </w:p>
    <w:p>
      <w:pPr>
        <w:pStyle w:val="BodyText"/>
        <w:tabs>
          <w:tab w:pos="5296" w:val="left" w:leader="none"/>
          <w:tab w:pos="7980" w:val="left" w:leader="none"/>
        </w:tabs>
        <w:spacing w:line="240" w:lineRule="auto" w:before="27"/>
        <w:ind w:left="579" w:right="90"/>
        <w:jc w:val="left"/>
        <w:rPr>
          <w:rFonts w:ascii="Arial" w:hAnsi="Arial" w:cs="Arial" w:eastAsia="Arial" w:hint="default"/>
        </w:rPr>
      </w:pPr>
      <w:r>
        <w:rPr>
          <w:w w:val="95"/>
          <w:position w:val="2"/>
        </w:rPr>
        <w:t>其他应收款净额合计</w:t>
        <w:tab/>
      </w:r>
      <w:r>
        <w:rPr>
          <w:rFonts w:ascii="Arial" w:hAnsi="Arial" w:cs="Arial" w:eastAsia="Arial" w:hint="default"/>
          <w:spacing w:val="-1"/>
        </w:rPr>
        <w:t>6,667,416,291</w:t>
        <w:tab/>
        <w:t>15,636,018,847</w:t>
      </w:r>
    </w:p>
    <w:p>
      <w:pPr>
        <w:tabs>
          <w:tab w:pos="7044" w:val="left" w:leader="none"/>
        </w:tabs>
        <w:spacing w:line="43" w:lineRule="exact"/>
        <w:ind w:left="4236" w:right="0" w:firstLine="0"/>
        <w:rPr>
          <w:rFonts w:ascii="Arial" w:hAnsi="Arial" w:cs="Arial" w:eastAsia="Arial" w:hint="default"/>
          <w:sz w:val="4"/>
          <w:szCs w:val="4"/>
        </w:rPr>
      </w:pPr>
      <w:r>
        <w:rPr>
          <w:rFonts w:ascii="Arial"/>
          <w:position w:val="0"/>
          <w:sz w:val="4"/>
        </w:rPr>
        <w:pict>
          <v:group style="width:128pt;height:2.2pt;mso-position-horizontal-relative:char;mso-position-vertical-relative:line" coordorigin="0,0" coordsize="2560,44">
            <v:group style="position:absolute;left:7;top:36;width:2546;height:2" coordorigin="7,36" coordsize="2546,2">
              <v:shape style="position:absolute;left:7;top:36;width:2546;height:2" coordorigin="7,36" coordsize="2546,0" path="m7,36l2552,36e" filled="false" stroked="true" strokeweight=".72pt" strokecolor="#000000">
                <v:path arrowok="t"/>
              </v:shape>
            </v:group>
            <v:group style="position:absolute;left:7;top:7;width:2546;height:2" coordorigin="7,7" coordsize="2546,2">
              <v:shape style="position:absolute;left:7;top:7;width:2546;height:2" coordorigin="7,7" coordsize="2546,0" path="m7,7l2552,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130.0500pt;height:2.2pt;mso-position-horizontal-relative:char;mso-position-vertical-relative:line" coordorigin="0,0" coordsize="2601,44">
            <v:group style="position:absolute;left:7;top:36;width:2586;height:2" coordorigin="7,36" coordsize="2586,2">
              <v:shape style="position:absolute;left:7;top:36;width:2586;height:2" coordorigin="7,36" coordsize="2586,0" path="m7,36l2593,36e" filled="false" stroked="true" strokeweight=".72pt" strokecolor="#000000">
                <v:path arrowok="t"/>
              </v:shape>
            </v:group>
            <v:group style="position:absolute;left:7;top:7;width:2586;height:2" coordorigin="7,7" coordsize="2586,2">
              <v:shape style="position:absolute;left:7;top:7;width:2586;height:2" coordorigin="7,7" coordsize="2586,0" path="m7,7l2593,7e" filled="false" stroked="true" strokeweight=".72pt" strokecolor="#000000">
                <v:path arrowok="t"/>
              </v:shape>
            </v:group>
          </v:group>
        </w:pict>
      </w:r>
      <w:r>
        <w:rPr>
          <w:rFonts w:ascii="Arial"/>
          <w:position w:val="0"/>
          <w:sz w:val="4"/>
        </w:rPr>
      </w:r>
    </w:p>
    <w:p>
      <w:pPr>
        <w:spacing w:line="240" w:lineRule="auto" w:before="10"/>
        <w:rPr>
          <w:rFonts w:ascii="Arial" w:hAnsi="Arial" w:cs="Arial" w:eastAsia="Arial" w:hint="default"/>
          <w:sz w:val="11"/>
          <w:szCs w:val="11"/>
        </w:rPr>
      </w:pPr>
    </w:p>
    <w:p>
      <w:pPr>
        <w:pStyle w:val="BodyText"/>
        <w:spacing w:line="240" w:lineRule="auto" w:before="31"/>
        <w:ind w:left="114" w:right="90"/>
        <w:jc w:val="left"/>
      </w:pPr>
      <w:r>
        <w:rPr>
          <w:rFonts w:ascii="Arial" w:hAnsi="Arial" w:cs="Arial" w:eastAsia="Arial" w:hint="default"/>
        </w:rPr>
        <w:t>(a) </w:t>
      </w:r>
      <w:r>
        <w:rPr>
          <w:rFonts w:ascii="Arial" w:hAnsi="Arial" w:cs="Arial" w:eastAsia="Arial" w:hint="default"/>
          <w:spacing w:val="54"/>
        </w:rPr>
        <w:t> </w:t>
      </w:r>
      <w:r>
        <w:rPr/>
        <w:t>其他应收款账龄分析如下：</w:t>
      </w:r>
    </w:p>
    <w:p>
      <w:pPr>
        <w:spacing w:line="240" w:lineRule="auto" w:before="5"/>
        <w:rPr>
          <w:rFonts w:ascii="宋体" w:hAnsi="宋体" w:cs="宋体" w:eastAsia="宋体" w:hint="default"/>
          <w:sz w:val="11"/>
          <w:szCs w:val="11"/>
        </w:rPr>
      </w:pPr>
    </w:p>
    <w:tbl>
      <w:tblPr>
        <w:tblW w:w="0" w:type="auto"/>
        <w:jc w:val="left"/>
        <w:tblInd w:w="594" w:type="dxa"/>
        <w:tblLayout w:type="fixed"/>
        <w:tblCellMar>
          <w:top w:w="0" w:type="dxa"/>
          <w:left w:w="0" w:type="dxa"/>
          <w:bottom w:w="0" w:type="dxa"/>
          <w:right w:w="0" w:type="dxa"/>
        </w:tblCellMar>
        <w:tblLook w:val="01E0"/>
      </w:tblPr>
      <w:tblGrid>
        <w:gridCol w:w="3657"/>
        <w:gridCol w:w="2533"/>
        <w:gridCol w:w="280"/>
        <w:gridCol w:w="2597"/>
      </w:tblGrid>
      <w:tr>
        <w:trPr>
          <w:trHeight w:val="361" w:hRule="exact"/>
        </w:trPr>
        <w:tc>
          <w:tcPr>
            <w:tcW w:w="3657" w:type="dxa"/>
            <w:vMerge w:val="restart"/>
            <w:tcBorders>
              <w:top w:val="nil" w:sz="6" w:space="0" w:color="auto"/>
              <w:left w:val="nil" w:sz="6" w:space="0" w:color="auto"/>
              <w:right w:val="nil" w:sz="6" w:space="0" w:color="auto"/>
            </w:tcBorders>
          </w:tcPr>
          <w:p>
            <w:pPr/>
          </w:p>
        </w:tc>
        <w:tc>
          <w:tcPr>
            <w:tcW w:w="2533"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98"/>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80" w:type="dxa"/>
            <w:tcBorders>
              <w:top w:val="nil" w:sz="6" w:space="0" w:color="auto"/>
              <w:left w:val="nil" w:sz="6" w:space="0" w:color="auto"/>
              <w:bottom w:val="nil" w:sz="6" w:space="0" w:color="auto"/>
              <w:right w:val="nil" w:sz="6" w:space="0" w:color="auto"/>
            </w:tcBorders>
          </w:tcPr>
          <w:p>
            <w:pPr/>
          </w:p>
        </w:tc>
        <w:tc>
          <w:tcPr>
            <w:tcW w:w="2597"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left="547" w:right="0"/>
              <w:jc w:val="lef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292" w:hRule="exact"/>
        </w:trPr>
        <w:tc>
          <w:tcPr>
            <w:tcW w:w="3657" w:type="dxa"/>
            <w:vMerge/>
            <w:tcBorders>
              <w:left w:val="nil" w:sz="6" w:space="0" w:color="auto"/>
              <w:bottom w:val="nil" w:sz="6" w:space="0" w:color="auto"/>
              <w:right w:val="nil" w:sz="6" w:space="0" w:color="auto"/>
            </w:tcBorders>
          </w:tcPr>
          <w:p>
            <w:pPr/>
          </w:p>
        </w:tc>
        <w:tc>
          <w:tcPr>
            <w:tcW w:w="2533" w:type="dxa"/>
            <w:tcBorders>
              <w:top w:val="single" w:sz="6" w:space="0" w:color="000000"/>
              <w:left w:val="nil" w:sz="6" w:space="0" w:color="auto"/>
              <w:bottom w:val="nil" w:sz="6" w:space="0" w:color="auto"/>
              <w:right w:val="nil" w:sz="6" w:space="0" w:color="auto"/>
            </w:tcBorders>
          </w:tcPr>
          <w:p>
            <w:pPr/>
          </w:p>
        </w:tc>
        <w:tc>
          <w:tcPr>
            <w:tcW w:w="280" w:type="dxa"/>
            <w:tcBorders>
              <w:top w:val="nil" w:sz="6" w:space="0" w:color="auto"/>
              <w:left w:val="nil" w:sz="6" w:space="0" w:color="auto"/>
              <w:bottom w:val="nil" w:sz="6" w:space="0" w:color="auto"/>
              <w:right w:val="nil" w:sz="6" w:space="0" w:color="auto"/>
            </w:tcBorders>
          </w:tcPr>
          <w:p>
            <w:pPr/>
          </w:p>
        </w:tc>
        <w:tc>
          <w:tcPr>
            <w:tcW w:w="2597" w:type="dxa"/>
            <w:tcBorders>
              <w:top w:val="single" w:sz="6" w:space="0" w:color="000000"/>
              <w:left w:val="nil" w:sz="6" w:space="0" w:color="auto"/>
              <w:bottom w:val="nil" w:sz="6" w:space="0" w:color="auto"/>
              <w:right w:val="nil" w:sz="6" w:space="0" w:color="auto"/>
            </w:tcBorders>
          </w:tcPr>
          <w:p>
            <w:pPr>
              <w:pStyle w:val="TableParagraph"/>
              <w:spacing w:line="253" w:lineRule="exact"/>
              <w:ind w:left="1360" w:right="0"/>
              <w:jc w:val="left"/>
              <w:rPr>
                <w:rFonts w:ascii="宋体" w:hAnsi="宋体" w:cs="宋体" w:eastAsia="宋体" w:hint="default"/>
                <w:sz w:val="22"/>
                <w:szCs w:val="22"/>
              </w:rPr>
            </w:pPr>
            <w:r>
              <w:rPr>
                <w:rFonts w:ascii="宋体" w:hAnsi="宋体" w:cs="宋体" w:eastAsia="宋体" w:hint="default"/>
                <w:sz w:val="22"/>
                <w:szCs w:val="22"/>
              </w:rPr>
              <w:t>（经重列）</w:t>
            </w:r>
          </w:p>
        </w:tc>
      </w:tr>
      <w:tr>
        <w:trPr>
          <w:trHeight w:val="298" w:hRule="exact"/>
        </w:trPr>
        <w:tc>
          <w:tcPr>
            <w:tcW w:w="3657" w:type="dxa"/>
            <w:tcBorders>
              <w:top w:val="nil" w:sz="6" w:space="0" w:color="auto"/>
              <w:left w:val="nil" w:sz="6" w:space="0" w:color="auto"/>
              <w:bottom w:val="nil" w:sz="6" w:space="0" w:color="auto"/>
              <w:right w:val="nil" w:sz="6" w:space="0" w:color="auto"/>
            </w:tcBorders>
          </w:tcPr>
          <w:p>
            <w:pPr>
              <w:pStyle w:val="TableParagraph"/>
              <w:spacing w:line="268" w:lineRule="exact"/>
              <w:ind w:left="35" w:right="0"/>
              <w:jc w:val="left"/>
              <w:rPr>
                <w:rFonts w:ascii="宋体" w:hAnsi="宋体" w:cs="宋体" w:eastAsia="宋体" w:hint="default"/>
                <w:sz w:val="22"/>
                <w:szCs w:val="22"/>
              </w:rPr>
            </w:pPr>
            <w:r>
              <w:rPr>
                <w:rFonts w:ascii="Arial" w:hAnsi="Arial" w:cs="Arial" w:eastAsia="Arial" w:hint="default"/>
                <w:sz w:val="22"/>
                <w:szCs w:val="22"/>
              </w:rPr>
              <w:t>1</w:t>
            </w:r>
            <w:r>
              <w:rPr>
                <w:rFonts w:ascii="Arial" w:hAnsi="Arial" w:cs="Arial" w:eastAsia="Arial" w:hint="default"/>
                <w:spacing w:val="-8"/>
                <w:sz w:val="22"/>
                <w:szCs w:val="22"/>
              </w:rPr>
              <w:t> </w:t>
            </w:r>
            <w:r>
              <w:rPr>
                <w:rFonts w:ascii="宋体" w:hAnsi="宋体" w:cs="宋体" w:eastAsia="宋体" w:hint="default"/>
                <w:sz w:val="22"/>
                <w:szCs w:val="22"/>
              </w:rPr>
              <w:t>年以内</w:t>
            </w:r>
          </w:p>
        </w:tc>
        <w:tc>
          <w:tcPr>
            <w:tcW w:w="2533"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99"/>
              <w:jc w:val="right"/>
              <w:rPr>
                <w:rFonts w:ascii="Arial" w:hAnsi="Arial" w:cs="Arial" w:eastAsia="Arial" w:hint="default"/>
                <w:sz w:val="22"/>
                <w:szCs w:val="22"/>
              </w:rPr>
            </w:pPr>
            <w:r>
              <w:rPr>
                <w:rFonts w:ascii="Arial"/>
                <w:spacing w:val="-1"/>
                <w:sz w:val="22"/>
              </w:rPr>
              <w:t>1,514,660,806</w:t>
            </w:r>
          </w:p>
        </w:tc>
        <w:tc>
          <w:tcPr>
            <w:tcW w:w="280" w:type="dxa"/>
            <w:tcBorders>
              <w:top w:val="nil" w:sz="6" w:space="0" w:color="auto"/>
              <w:left w:val="nil" w:sz="6" w:space="0" w:color="auto"/>
              <w:bottom w:val="nil" w:sz="6" w:space="0" w:color="auto"/>
              <w:right w:val="nil" w:sz="6" w:space="0" w:color="auto"/>
            </w:tcBorders>
          </w:tcPr>
          <w:p>
            <w:pPr/>
          </w:p>
        </w:tc>
        <w:tc>
          <w:tcPr>
            <w:tcW w:w="2597" w:type="dxa"/>
            <w:tcBorders>
              <w:top w:val="nil" w:sz="6" w:space="0" w:color="auto"/>
              <w:left w:val="nil" w:sz="6" w:space="0" w:color="auto"/>
              <w:bottom w:val="nil" w:sz="6" w:space="0" w:color="auto"/>
              <w:right w:val="nil" w:sz="6" w:space="0" w:color="auto"/>
            </w:tcBorders>
          </w:tcPr>
          <w:p>
            <w:pPr>
              <w:pStyle w:val="TableParagraph"/>
              <w:spacing w:line="240" w:lineRule="auto" w:before="30"/>
              <w:ind w:left="899" w:right="0"/>
              <w:jc w:val="left"/>
              <w:rPr>
                <w:rFonts w:ascii="Arial" w:hAnsi="Arial" w:cs="Arial" w:eastAsia="Arial" w:hint="default"/>
                <w:sz w:val="22"/>
                <w:szCs w:val="22"/>
              </w:rPr>
            </w:pPr>
            <w:r>
              <w:rPr>
                <w:rFonts w:ascii="Arial"/>
                <w:sz w:val="22"/>
              </w:rPr>
              <w:t>14,933,998,415</w:t>
            </w:r>
          </w:p>
        </w:tc>
      </w:tr>
      <w:tr>
        <w:trPr>
          <w:trHeight w:val="285" w:hRule="exact"/>
        </w:trPr>
        <w:tc>
          <w:tcPr>
            <w:tcW w:w="3657"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Arial" w:hAnsi="Arial" w:cs="Arial" w:eastAsia="Arial" w:hint="default"/>
                <w:sz w:val="22"/>
                <w:szCs w:val="22"/>
              </w:rPr>
              <w:t>1-2</w:t>
            </w:r>
            <w:r>
              <w:rPr>
                <w:rFonts w:ascii="Arial" w:hAnsi="Arial" w:cs="Arial" w:eastAsia="Arial" w:hint="default"/>
                <w:spacing w:val="-8"/>
                <w:sz w:val="22"/>
                <w:szCs w:val="22"/>
              </w:rPr>
              <w:t> </w:t>
            </w:r>
            <w:r>
              <w:rPr>
                <w:rFonts w:ascii="宋体" w:hAnsi="宋体" w:cs="宋体" w:eastAsia="宋体" w:hint="default"/>
                <w:sz w:val="22"/>
                <w:szCs w:val="22"/>
              </w:rPr>
              <w:t>年</w:t>
            </w:r>
          </w:p>
        </w:tc>
        <w:tc>
          <w:tcPr>
            <w:tcW w:w="253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9"/>
              <w:jc w:val="right"/>
              <w:rPr>
                <w:rFonts w:ascii="Arial" w:hAnsi="Arial" w:cs="Arial" w:eastAsia="Arial" w:hint="default"/>
                <w:sz w:val="22"/>
                <w:szCs w:val="22"/>
              </w:rPr>
            </w:pPr>
            <w:r>
              <w:rPr>
                <w:rFonts w:ascii="Arial"/>
                <w:spacing w:val="-1"/>
                <w:sz w:val="22"/>
              </w:rPr>
              <w:t>5,251,996,814</w:t>
            </w:r>
          </w:p>
        </w:tc>
        <w:tc>
          <w:tcPr>
            <w:tcW w:w="280" w:type="dxa"/>
            <w:tcBorders>
              <w:top w:val="nil" w:sz="6" w:space="0" w:color="auto"/>
              <w:left w:val="nil" w:sz="6" w:space="0" w:color="auto"/>
              <w:bottom w:val="nil" w:sz="6" w:space="0" w:color="auto"/>
              <w:right w:val="nil" w:sz="6" w:space="0" w:color="auto"/>
            </w:tcBorders>
          </w:tcPr>
          <w:p>
            <w:pPr/>
          </w:p>
        </w:tc>
        <w:tc>
          <w:tcPr>
            <w:tcW w:w="2597"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205" w:right="0"/>
              <w:jc w:val="left"/>
              <w:rPr>
                <w:rFonts w:ascii="Arial" w:hAnsi="Arial" w:cs="Arial" w:eastAsia="Arial" w:hint="default"/>
                <w:sz w:val="22"/>
                <w:szCs w:val="22"/>
              </w:rPr>
            </w:pPr>
            <w:r>
              <w:rPr>
                <w:rFonts w:ascii="Arial"/>
                <w:sz w:val="22"/>
              </w:rPr>
              <w:t>305,535,454</w:t>
            </w:r>
          </w:p>
        </w:tc>
      </w:tr>
      <w:tr>
        <w:trPr>
          <w:trHeight w:val="285" w:hRule="exact"/>
        </w:trPr>
        <w:tc>
          <w:tcPr>
            <w:tcW w:w="3657"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Arial" w:hAnsi="Arial" w:cs="Arial" w:eastAsia="Arial" w:hint="default"/>
                <w:sz w:val="22"/>
                <w:szCs w:val="22"/>
              </w:rPr>
              <w:t>2-3</w:t>
            </w:r>
            <w:r>
              <w:rPr>
                <w:rFonts w:ascii="Arial" w:hAnsi="Arial" w:cs="Arial" w:eastAsia="Arial" w:hint="default"/>
                <w:spacing w:val="-8"/>
                <w:sz w:val="22"/>
                <w:szCs w:val="22"/>
              </w:rPr>
              <w:t> </w:t>
            </w:r>
            <w:r>
              <w:rPr>
                <w:rFonts w:ascii="宋体" w:hAnsi="宋体" w:cs="宋体" w:eastAsia="宋体" w:hint="default"/>
                <w:sz w:val="22"/>
                <w:szCs w:val="22"/>
              </w:rPr>
              <w:t>年</w:t>
            </w:r>
          </w:p>
        </w:tc>
        <w:tc>
          <w:tcPr>
            <w:tcW w:w="253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7"/>
              <w:jc w:val="right"/>
              <w:rPr>
                <w:rFonts w:ascii="Arial" w:hAnsi="Arial" w:cs="Arial" w:eastAsia="Arial" w:hint="default"/>
                <w:sz w:val="22"/>
                <w:szCs w:val="22"/>
              </w:rPr>
            </w:pPr>
            <w:r>
              <w:rPr>
                <w:rFonts w:ascii="Arial"/>
                <w:w w:val="95"/>
                <w:sz w:val="22"/>
              </w:rPr>
              <w:t>106,623,992</w:t>
            </w:r>
            <w:r>
              <w:rPr>
                <w:rFonts w:ascii="Arial"/>
                <w:sz w:val="22"/>
              </w:rPr>
            </w:r>
          </w:p>
        </w:tc>
        <w:tc>
          <w:tcPr>
            <w:tcW w:w="280" w:type="dxa"/>
            <w:tcBorders>
              <w:top w:val="nil" w:sz="6" w:space="0" w:color="auto"/>
              <w:left w:val="nil" w:sz="6" w:space="0" w:color="auto"/>
              <w:bottom w:val="nil" w:sz="6" w:space="0" w:color="auto"/>
              <w:right w:val="nil" w:sz="6" w:space="0" w:color="auto"/>
            </w:tcBorders>
          </w:tcPr>
          <w:p>
            <w:pPr/>
          </w:p>
        </w:tc>
        <w:tc>
          <w:tcPr>
            <w:tcW w:w="2597"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326" w:right="0"/>
              <w:jc w:val="left"/>
              <w:rPr>
                <w:rFonts w:ascii="Arial" w:hAnsi="Arial" w:cs="Arial" w:eastAsia="Arial" w:hint="default"/>
                <w:sz w:val="22"/>
                <w:szCs w:val="22"/>
              </w:rPr>
            </w:pPr>
            <w:r>
              <w:rPr>
                <w:rFonts w:ascii="Arial"/>
                <w:sz w:val="22"/>
              </w:rPr>
              <w:t>72,784,270</w:t>
            </w:r>
          </w:p>
        </w:tc>
      </w:tr>
      <w:tr>
        <w:trPr>
          <w:trHeight w:val="285" w:hRule="exact"/>
        </w:trPr>
        <w:tc>
          <w:tcPr>
            <w:tcW w:w="3657"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Arial" w:hAnsi="Arial" w:cs="Arial" w:eastAsia="Arial" w:hint="default"/>
                <w:sz w:val="22"/>
                <w:szCs w:val="22"/>
              </w:rPr>
              <w:t>3-4</w:t>
            </w:r>
            <w:r>
              <w:rPr>
                <w:rFonts w:ascii="Arial" w:hAnsi="Arial" w:cs="Arial" w:eastAsia="Arial" w:hint="default"/>
                <w:spacing w:val="-8"/>
                <w:sz w:val="22"/>
                <w:szCs w:val="22"/>
              </w:rPr>
              <w:t> </w:t>
            </w:r>
            <w:r>
              <w:rPr>
                <w:rFonts w:ascii="宋体" w:hAnsi="宋体" w:cs="宋体" w:eastAsia="宋体" w:hint="default"/>
                <w:sz w:val="22"/>
                <w:szCs w:val="22"/>
              </w:rPr>
              <w:t>年</w:t>
            </w:r>
          </w:p>
        </w:tc>
        <w:tc>
          <w:tcPr>
            <w:tcW w:w="253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9"/>
              <w:jc w:val="right"/>
              <w:rPr>
                <w:rFonts w:ascii="Arial" w:hAnsi="Arial" w:cs="Arial" w:eastAsia="Arial" w:hint="default"/>
                <w:sz w:val="22"/>
                <w:szCs w:val="22"/>
              </w:rPr>
            </w:pPr>
            <w:r>
              <w:rPr>
                <w:rFonts w:ascii="Arial"/>
                <w:w w:val="95"/>
                <w:sz w:val="22"/>
              </w:rPr>
              <w:t>24,307,687</w:t>
            </w:r>
            <w:r>
              <w:rPr>
                <w:rFonts w:ascii="Arial"/>
                <w:sz w:val="22"/>
              </w:rPr>
            </w:r>
          </w:p>
        </w:tc>
        <w:tc>
          <w:tcPr>
            <w:tcW w:w="280" w:type="dxa"/>
            <w:tcBorders>
              <w:top w:val="nil" w:sz="6" w:space="0" w:color="auto"/>
              <w:left w:val="nil" w:sz="6" w:space="0" w:color="auto"/>
              <w:bottom w:val="nil" w:sz="6" w:space="0" w:color="auto"/>
              <w:right w:val="nil" w:sz="6" w:space="0" w:color="auto"/>
            </w:tcBorders>
          </w:tcPr>
          <w:p>
            <w:pPr/>
          </w:p>
        </w:tc>
        <w:tc>
          <w:tcPr>
            <w:tcW w:w="2597"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205" w:right="0"/>
              <w:jc w:val="left"/>
              <w:rPr>
                <w:rFonts w:ascii="Arial" w:hAnsi="Arial" w:cs="Arial" w:eastAsia="Arial" w:hint="default"/>
                <w:sz w:val="22"/>
                <w:szCs w:val="22"/>
              </w:rPr>
            </w:pPr>
            <w:r>
              <w:rPr>
                <w:rFonts w:ascii="Arial"/>
                <w:sz w:val="22"/>
              </w:rPr>
              <w:t>645,354,811</w:t>
            </w:r>
          </w:p>
        </w:tc>
      </w:tr>
      <w:tr>
        <w:trPr>
          <w:trHeight w:val="286" w:hRule="exact"/>
        </w:trPr>
        <w:tc>
          <w:tcPr>
            <w:tcW w:w="3657"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Arial" w:hAnsi="Arial" w:cs="Arial" w:eastAsia="Arial" w:hint="default"/>
                <w:sz w:val="22"/>
                <w:szCs w:val="22"/>
              </w:rPr>
              <w:t>4-5</w:t>
            </w:r>
            <w:r>
              <w:rPr>
                <w:rFonts w:ascii="Arial" w:hAnsi="Arial" w:cs="Arial" w:eastAsia="Arial" w:hint="default"/>
                <w:spacing w:val="-8"/>
                <w:sz w:val="22"/>
                <w:szCs w:val="22"/>
              </w:rPr>
              <w:t> </w:t>
            </w:r>
            <w:r>
              <w:rPr>
                <w:rFonts w:ascii="宋体" w:hAnsi="宋体" w:cs="宋体" w:eastAsia="宋体" w:hint="default"/>
                <w:sz w:val="22"/>
                <w:szCs w:val="22"/>
              </w:rPr>
              <w:t>年</w:t>
            </w:r>
          </w:p>
        </w:tc>
        <w:tc>
          <w:tcPr>
            <w:tcW w:w="253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97"/>
              <w:jc w:val="right"/>
              <w:rPr>
                <w:rFonts w:ascii="Arial" w:hAnsi="Arial" w:cs="Arial" w:eastAsia="Arial" w:hint="default"/>
                <w:sz w:val="22"/>
                <w:szCs w:val="22"/>
              </w:rPr>
            </w:pPr>
            <w:r>
              <w:rPr>
                <w:rFonts w:ascii="Arial"/>
                <w:w w:val="95"/>
                <w:sz w:val="22"/>
              </w:rPr>
              <w:t>113,506,864</w:t>
            </w:r>
            <w:r>
              <w:rPr>
                <w:rFonts w:ascii="Arial"/>
                <w:sz w:val="22"/>
              </w:rPr>
            </w:r>
          </w:p>
        </w:tc>
        <w:tc>
          <w:tcPr>
            <w:tcW w:w="280" w:type="dxa"/>
            <w:tcBorders>
              <w:top w:val="nil" w:sz="6" w:space="0" w:color="auto"/>
              <w:left w:val="nil" w:sz="6" w:space="0" w:color="auto"/>
              <w:bottom w:val="nil" w:sz="6" w:space="0" w:color="auto"/>
              <w:right w:val="nil" w:sz="6" w:space="0" w:color="auto"/>
            </w:tcBorders>
          </w:tcPr>
          <w:p>
            <w:pPr/>
          </w:p>
        </w:tc>
        <w:tc>
          <w:tcPr>
            <w:tcW w:w="2597"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326" w:right="0"/>
              <w:jc w:val="left"/>
              <w:rPr>
                <w:rFonts w:ascii="Arial" w:hAnsi="Arial" w:cs="Arial" w:eastAsia="Arial" w:hint="default"/>
                <w:sz w:val="22"/>
                <w:szCs w:val="22"/>
              </w:rPr>
            </w:pPr>
            <w:r>
              <w:rPr>
                <w:rFonts w:ascii="Arial"/>
                <w:sz w:val="22"/>
              </w:rPr>
              <w:t>26,101,672</w:t>
            </w:r>
          </w:p>
        </w:tc>
      </w:tr>
      <w:tr>
        <w:trPr>
          <w:trHeight w:val="366" w:hRule="exact"/>
        </w:trPr>
        <w:tc>
          <w:tcPr>
            <w:tcW w:w="3657"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Arial" w:hAnsi="Arial" w:cs="Arial" w:eastAsia="Arial" w:hint="default"/>
                <w:sz w:val="22"/>
                <w:szCs w:val="22"/>
              </w:rPr>
              <w:t>5</w:t>
            </w:r>
            <w:r>
              <w:rPr>
                <w:rFonts w:ascii="Arial" w:hAnsi="Arial" w:cs="Arial" w:eastAsia="Arial" w:hint="default"/>
                <w:spacing w:val="-8"/>
                <w:sz w:val="22"/>
                <w:szCs w:val="22"/>
              </w:rPr>
              <w:t> </w:t>
            </w:r>
            <w:r>
              <w:rPr>
                <w:rFonts w:ascii="宋体" w:hAnsi="宋体" w:cs="宋体" w:eastAsia="宋体" w:hint="default"/>
                <w:sz w:val="22"/>
                <w:szCs w:val="22"/>
              </w:rPr>
              <w:t>年以上</w:t>
            </w:r>
          </w:p>
        </w:tc>
        <w:tc>
          <w:tcPr>
            <w:tcW w:w="2533" w:type="dxa"/>
            <w:tcBorders>
              <w:top w:val="nil" w:sz="6" w:space="0" w:color="auto"/>
              <w:left w:val="nil" w:sz="6" w:space="0" w:color="auto"/>
              <w:bottom w:val="nil" w:sz="6" w:space="0" w:color="auto"/>
              <w:right w:val="nil" w:sz="6" w:space="0" w:color="auto"/>
            </w:tcBorders>
          </w:tcPr>
          <w:p>
            <w:pPr>
              <w:pStyle w:val="TableParagraph"/>
              <w:tabs>
                <w:tab w:pos="1209" w:val="left" w:leader="none"/>
                <w:tab w:pos="2533" w:val="left" w:leader="none"/>
              </w:tabs>
              <w:spacing w:line="240" w:lineRule="auto" w:before="17"/>
              <w:ind w:right="0"/>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163,730,055</w:t>
            </w:r>
            <w:r>
              <w:rPr>
                <w:rFonts w:ascii="Arial"/>
                <w:sz w:val="22"/>
                <w:u w:val="single" w:color="000000"/>
              </w:rPr>
              <w:tab/>
            </w:r>
            <w:r>
              <w:rPr>
                <w:rFonts w:ascii="Arial"/>
                <w:sz w:val="22"/>
              </w:rPr>
            </w:r>
          </w:p>
        </w:tc>
        <w:tc>
          <w:tcPr>
            <w:tcW w:w="280" w:type="dxa"/>
            <w:tcBorders>
              <w:top w:val="nil" w:sz="6" w:space="0" w:color="auto"/>
              <w:left w:val="nil" w:sz="6" w:space="0" w:color="auto"/>
              <w:bottom w:val="nil" w:sz="6" w:space="0" w:color="auto"/>
              <w:right w:val="nil" w:sz="6" w:space="0" w:color="auto"/>
            </w:tcBorders>
          </w:tcPr>
          <w:p>
            <w:pPr/>
          </w:p>
        </w:tc>
        <w:tc>
          <w:tcPr>
            <w:tcW w:w="2597" w:type="dxa"/>
            <w:tcBorders>
              <w:top w:val="nil" w:sz="6" w:space="0" w:color="auto"/>
              <w:left w:val="nil" w:sz="6" w:space="0" w:color="auto"/>
              <w:bottom w:val="nil" w:sz="6" w:space="0" w:color="auto"/>
              <w:right w:val="nil" w:sz="6" w:space="0" w:color="auto"/>
            </w:tcBorders>
          </w:tcPr>
          <w:p>
            <w:pPr>
              <w:pStyle w:val="TableParagraph"/>
              <w:tabs>
                <w:tab w:pos="1205" w:val="left" w:leader="none"/>
                <w:tab w:pos="2561" w:val="left" w:leader="none"/>
              </w:tabs>
              <w:spacing w:line="240" w:lineRule="auto" w:before="17"/>
              <w:ind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139,819,488</w:t>
              <w:tab/>
            </w:r>
            <w:r>
              <w:rPr>
                <w:rFonts w:ascii="Arial"/>
                <w:sz w:val="22"/>
              </w:rPr>
            </w:r>
          </w:p>
        </w:tc>
      </w:tr>
    </w:tbl>
    <w:p>
      <w:pPr>
        <w:spacing w:line="240" w:lineRule="auto" w:before="3"/>
        <w:rPr>
          <w:rFonts w:ascii="宋体" w:hAnsi="宋体" w:cs="宋体" w:eastAsia="宋体" w:hint="default"/>
          <w:sz w:val="8"/>
          <w:szCs w:val="8"/>
        </w:rPr>
      </w:pPr>
    </w:p>
    <w:p>
      <w:pPr>
        <w:pStyle w:val="BodyText"/>
        <w:tabs>
          <w:tab w:pos="5277" w:val="left" w:leader="none"/>
          <w:tab w:pos="7963" w:val="left" w:leader="none"/>
        </w:tabs>
        <w:spacing w:line="240" w:lineRule="auto" w:before="27"/>
        <w:ind w:left="601" w:right="90"/>
        <w:jc w:val="left"/>
        <w:rPr>
          <w:rFonts w:ascii="Arial" w:hAnsi="Arial" w:cs="Arial" w:eastAsia="Arial" w:hint="default"/>
        </w:rPr>
      </w:pPr>
      <w:r>
        <w:rPr>
          <w:w w:val="95"/>
          <w:position w:val="2"/>
        </w:rPr>
        <w:t>合计</w:t>
        <w:tab/>
      </w:r>
      <w:r>
        <w:rPr>
          <w:rFonts w:ascii="Arial" w:hAnsi="Arial" w:cs="Arial" w:eastAsia="Arial" w:hint="default"/>
          <w:spacing w:val="-1"/>
        </w:rPr>
        <w:t>7,174,826,218</w:t>
        <w:tab/>
        <w:t>16,123,594,110</w:t>
      </w:r>
    </w:p>
    <w:p>
      <w:pPr>
        <w:tabs>
          <w:tab w:pos="7049" w:val="left" w:leader="none"/>
        </w:tabs>
        <w:spacing w:line="43" w:lineRule="exact"/>
        <w:ind w:left="4236" w:right="0" w:firstLine="0"/>
        <w:rPr>
          <w:rFonts w:ascii="Arial" w:hAnsi="Arial" w:cs="Arial" w:eastAsia="Arial" w:hint="default"/>
          <w:sz w:val="4"/>
          <w:szCs w:val="4"/>
        </w:rPr>
      </w:pPr>
      <w:r>
        <w:rPr>
          <w:rFonts w:ascii="Arial"/>
          <w:position w:val="0"/>
          <w:sz w:val="4"/>
        </w:rPr>
        <w:pict>
          <v:group style="width:128.1pt;height:2.2pt;mso-position-horizontal-relative:char;mso-position-vertical-relative:line" coordorigin="0,0" coordsize="2562,44">
            <v:group style="position:absolute;left:7;top:36;width:2548;height:2" coordorigin="7,36" coordsize="2548,2">
              <v:shape style="position:absolute;left:7;top:36;width:2548;height:2" coordorigin="7,36" coordsize="2548,0" path="m7,36l2555,36e" filled="false" stroked="true" strokeweight=".72pt" strokecolor="#000000">
                <v:path arrowok="t"/>
              </v:shape>
            </v:group>
            <v:group style="position:absolute;left:7;top:7;width:2548;height:2" coordorigin="7,7" coordsize="2548,2">
              <v:shape style="position:absolute;left:7;top:7;width:2548;height:2" coordorigin="7,7" coordsize="2548,0" path="m7,7l2555,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129.5500pt;height:2.2pt;mso-position-horizontal-relative:char;mso-position-vertical-relative:line" coordorigin="0,0" coordsize="2591,44">
            <v:group style="position:absolute;left:7;top:36;width:2577;height:2" coordorigin="7,36" coordsize="2577,2">
              <v:shape style="position:absolute;left:7;top:36;width:2577;height:2" coordorigin="7,36" coordsize="2577,0" path="m7,36l2584,36e" filled="false" stroked="true" strokeweight=".72pt" strokecolor="#000000">
                <v:path arrowok="t"/>
              </v:shape>
            </v:group>
            <v:group style="position:absolute;left:7;top:7;width:2577;height:2" coordorigin="7,7" coordsize="2577,2">
              <v:shape style="position:absolute;left:7;top:7;width:2577;height:2" coordorigin="7,7" coordsize="2577,0" path="m7,7l2584,7e" filled="false" stroked="true" strokeweight=".72pt" strokecolor="#000000">
                <v:path arrowok="t"/>
              </v:shape>
            </v:group>
          </v:group>
        </w:pict>
      </w:r>
      <w:r>
        <w:rPr>
          <w:rFonts w:ascii="Arial"/>
          <w:position w:val="0"/>
          <w:sz w:val="4"/>
        </w:rPr>
      </w:r>
    </w:p>
    <w:p>
      <w:pPr>
        <w:spacing w:after="0" w:line="43" w:lineRule="exact"/>
        <w:rPr>
          <w:rFonts w:ascii="Arial" w:hAnsi="Arial" w:cs="Arial" w:eastAsia="Arial" w:hint="default"/>
          <w:sz w:val="4"/>
          <w:szCs w:val="4"/>
        </w:rPr>
        <w:sectPr>
          <w:type w:val="continuous"/>
          <w:pgSz w:w="11910" w:h="16840"/>
          <w:pgMar w:top="1600" w:bottom="280" w:left="1240" w:right="860"/>
        </w:sectPr>
      </w:pPr>
    </w:p>
    <w:p>
      <w:pPr>
        <w:spacing w:line="240" w:lineRule="auto" w:before="2"/>
        <w:rPr>
          <w:rFonts w:ascii="Arial" w:hAnsi="Arial" w:cs="Arial" w:eastAsia="Arial" w:hint="default"/>
          <w:sz w:val="18"/>
          <w:szCs w:val="18"/>
        </w:rPr>
      </w:pPr>
    </w:p>
    <w:p>
      <w:pPr>
        <w:pStyle w:val="BodyText"/>
        <w:spacing w:line="240" w:lineRule="auto" w:before="31"/>
        <w:ind w:left="114" w:right="0"/>
        <w:jc w:val="left"/>
      </w:pPr>
      <w:r>
        <w:rPr>
          <w:rFonts w:ascii="Arial" w:hAnsi="Arial" w:cs="Arial" w:eastAsia="Arial" w:hint="default"/>
        </w:rPr>
        <w:t>(b) </w:t>
      </w:r>
      <w:r>
        <w:rPr>
          <w:rFonts w:ascii="Arial" w:hAnsi="Arial" w:cs="Arial" w:eastAsia="Arial" w:hint="default"/>
          <w:spacing w:val="54"/>
        </w:rPr>
        <w:t> </w:t>
      </w:r>
      <w:r>
        <w:rPr/>
        <w:t>其他应收款按类别分析如下：</w:t>
      </w:r>
    </w:p>
    <w:p>
      <w:pPr>
        <w:spacing w:line="240" w:lineRule="auto" w:before="7"/>
        <w:rPr>
          <w:rFonts w:ascii="宋体" w:hAnsi="宋体" w:cs="宋体" w:eastAsia="宋体" w:hint="default"/>
          <w:sz w:val="18"/>
          <w:szCs w:val="18"/>
        </w:rPr>
      </w:pPr>
    </w:p>
    <w:p>
      <w:pPr>
        <w:tabs>
          <w:tab w:pos="4703" w:val="left" w:leader="none"/>
          <w:tab w:pos="6608" w:val="left" w:leader="none"/>
          <w:tab w:pos="8465" w:val="left" w:leader="none"/>
        </w:tabs>
        <w:spacing w:line="242" w:lineRule="auto" w:before="0"/>
        <w:ind w:left="2827" w:right="818" w:firstLine="565"/>
        <w:jc w:val="left"/>
        <w:rPr>
          <w:rFonts w:ascii="宋体" w:hAnsi="宋体" w:cs="宋体" w:eastAsia="宋体" w:hint="default"/>
          <w:sz w:val="16"/>
          <w:szCs w:val="16"/>
        </w:rPr>
      </w:pPr>
      <w:r>
        <w:rPr/>
        <w:pict>
          <v:group style="position:absolute;margin-left:173.279999pt;margin-top:11.742539pt;width:373.75pt;height:.75pt;mso-position-horizontal-relative:page;mso-position-vertical-relative:paragraph;z-index:-917008" coordorigin="3466,235" coordsize="7475,15">
            <v:group style="position:absolute;left:3473;top:242;width:3698;height:2" coordorigin="3473,242" coordsize="3698,2">
              <v:shape style="position:absolute;left:3473;top:242;width:3698;height:2" coordorigin="3473,242" coordsize="3698,0" path="m3473,242l7170,242e" filled="false" stroked="true" strokeweight=".72pt" strokecolor="#000000">
                <v:path arrowok="t"/>
              </v:shape>
            </v:group>
            <v:group style="position:absolute;left:7230;top:242;width:1814;height:2" coordorigin="7230,242" coordsize="1814,2">
              <v:shape style="position:absolute;left:7230;top:242;width:1814;height:2" coordorigin="7230,242" coordsize="1814,0" path="m7230,242l9043,242e" filled="false" stroked="true" strokeweight=".72pt" strokecolor="#000000">
                <v:path arrowok="t"/>
              </v:shape>
            </v:group>
            <v:group style="position:absolute;left:9043;top:242;width:1890;height:2" coordorigin="9043,242" coordsize="1890,2">
              <v:shape style="position:absolute;left:9043;top:242;width:1890;height:2" coordorigin="9043,242" coordsize="1890,0" path="m9043,242l10933,242e" filled="false" stroked="true" strokeweight=".72pt" strokecolor="#000000">
                <v:path arrowok="t"/>
              </v:shape>
            </v:group>
            <w10:wrap type="none"/>
          </v:group>
        </w:pict>
      </w:r>
      <w:r>
        <w:rPr/>
        <w:pict>
          <v:group style="position:absolute;margin-left:173.279999pt;margin-top:22.902538pt;width:373.75pt;height:.75pt;mso-position-horizontal-relative:page;mso-position-vertical-relative:paragraph;z-index:-916984" coordorigin="3466,458" coordsize="7475,15">
            <v:group style="position:absolute;left:3473;top:465;width:1766;height:2" coordorigin="3473,465" coordsize="1766,2">
              <v:shape style="position:absolute;left:3473;top:465;width:1766;height:2" coordorigin="3473,465" coordsize="1766,0" path="m3473,465l5238,465e" filled="false" stroked="true" strokeweight=".72pt" strokecolor="#000000">
                <v:path arrowok="t"/>
              </v:shape>
            </v:group>
            <v:group style="position:absolute;left:5292;top:465;width:1878;height:2" coordorigin="5292,465" coordsize="1878,2">
              <v:shape style="position:absolute;left:5292;top:465;width:1878;height:2" coordorigin="5292,465" coordsize="1878,0" path="m5292,465l7170,465e" filled="false" stroked="true" strokeweight=".72pt" strokecolor="#000000">
                <v:path arrowok="t"/>
              </v:shape>
            </v:group>
            <v:group style="position:absolute;left:7230;top:465;width:1814;height:2" coordorigin="7230,465" coordsize="1814,2">
              <v:shape style="position:absolute;left:7230;top:465;width:1814;height:2" coordorigin="7230,465" coordsize="1814,0" path="m7230,465l9043,465e" filled="false" stroked="true" strokeweight=".72pt" strokecolor="#000000">
                <v:path arrowok="t"/>
              </v:shape>
            </v:group>
            <v:group style="position:absolute;left:9102;top:465;width:1832;height:2" coordorigin="9102,465" coordsize="1832,2">
              <v:shape style="position:absolute;left:9102;top:465;width:1832;height:2" coordorigin="9102,465" coordsize="1832,0" path="m9102,465l10933,465e" filled="false" stroked="true" strokeweight=".72pt" strokecolor="#000000">
                <v:path arrowok="t"/>
              </v:shape>
            </v:group>
            <w10:wrap type="none"/>
          </v:group>
        </w:pict>
      </w:r>
      <w:r>
        <w:rPr>
          <w:rFonts w:ascii="Arial" w:hAnsi="Arial" w:cs="Arial" w:eastAsia="Arial" w:hint="default"/>
          <w:sz w:val="16"/>
          <w:szCs w:val="16"/>
        </w:rPr>
        <w:t>2009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12</w:t>
      </w:r>
      <w:r>
        <w:rPr>
          <w:rFonts w:ascii="Arial" w:hAnsi="Arial" w:cs="Arial" w:eastAsia="Arial" w:hint="default"/>
          <w:spacing w:val="-5"/>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tab/>
      </w:r>
      <w:r>
        <w:rPr>
          <w:rFonts w:ascii="Arial" w:hAnsi="Arial" w:cs="Arial" w:eastAsia="Arial" w:hint="default"/>
          <w:sz w:val="16"/>
          <w:szCs w:val="16"/>
        </w:rPr>
        <w:t>2008</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12</w:t>
      </w:r>
      <w:r>
        <w:rPr>
          <w:rFonts w:ascii="Arial" w:hAnsi="Arial" w:cs="Arial" w:eastAsia="Arial" w:hint="default"/>
          <w:spacing w:val="-5"/>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日（经重列）</w:t>
      </w:r>
      <w:r>
        <w:rPr>
          <w:rFonts w:ascii="宋体" w:hAnsi="宋体" w:cs="宋体" w:eastAsia="宋体" w:hint="default"/>
          <w:w w:val="99"/>
          <w:sz w:val="16"/>
          <w:szCs w:val="16"/>
        </w:rPr>
        <w:t> </w:t>
      </w:r>
      <w:r>
        <w:rPr>
          <w:rFonts w:ascii="宋体" w:hAnsi="宋体" w:cs="宋体" w:eastAsia="宋体" w:hint="default"/>
          <w:w w:val="95"/>
          <w:sz w:val="16"/>
          <w:szCs w:val="16"/>
        </w:rPr>
        <w:t>账面余额</w:t>
        <w:tab/>
        <w:t>坏账准备</w:t>
        <w:tab/>
        <w:t>账面余额</w:t>
        <w:tab/>
      </w:r>
      <w:r>
        <w:rPr>
          <w:rFonts w:ascii="宋体" w:hAnsi="宋体" w:cs="宋体" w:eastAsia="宋体" w:hint="default"/>
          <w:sz w:val="16"/>
          <w:szCs w:val="16"/>
        </w:rPr>
        <w:t>坏账准备</w:t>
      </w:r>
    </w:p>
    <w:p>
      <w:pPr>
        <w:spacing w:after="0" w:line="242" w:lineRule="auto"/>
        <w:jc w:val="left"/>
        <w:rPr>
          <w:rFonts w:ascii="宋体" w:hAnsi="宋体" w:cs="宋体" w:eastAsia="宋体" w:hint="default"/>
          <w:sz w:val="16"/>
          <w:szCs w:val="16"/>
        </w:rPr>
        <w:sectPr>
          <w:headerReference w:type="default" r:id="rId81"/>
          <w:footerReference w:type="default" r:id="rId82"/>
          <w:pgSz w:w="11910" w:h="16840"/>
          <w:pgMar w:header="1189" w:footer="752" w:top="3580" w:bottom="940" w:left="1240" w:right="740"/>
          <w:pgNumType w:start="101"/>
        </w:sectPr>
      </w:pPr>
    </w:p>
    <w:p>
      <w:pPr>
        <w:spacing w:line="197" w:lineRule="exact" w:before="12"/>
        <w:ind w:left="0" w:right="797" w:firstLine="0"/>
        <w:jc w:val="right"/>
        <w:rPr>
          <w:rFonts w:ascii="宋体" w:hAnsi="宋体" w:cs="宋体" w:eastAsia="宋体" w:hint="default"/>
          <w:sz w:val="16"/>
          <w:szCs w:val="16"/>
        </w:rPr>
      </w:pPr>
      <w:r>
        <w:rPr>
          <w:rFonts w:ascii="宋体" w:hAnsi="宋体" w:cs="宋体" w:eastAsia="宋体" w:hint="default"/>
          <w:w w:val="95"/>
          <w:sz w:val="16"/>
          <w:szCs w:val="16"/>
        </w:rPr>
        <w:t>比例</w:t>
      </w:r>
      <w:r>
        <w:rPr>
          <w:rFonts w:ascii="宋体" w:hAnsi="宋体" w:cs="宋体" w:eastAsia="宋体" w:hint="default"/>
          <w:sz w:val="16"/>
          <w:szCs w:val="16"/>
        </w:rPr>
      </w:r>
    </w:p>
    <w:p>
      <w:pPr>
        <w:tabs>
          <w:tab w:pos="3617" w:val="left" w:leader="none"/>
          <w:tab w:pos="4467" w:val="left" w:leader="none"/>
        </w:tabs>
        <w:spacing w:line="218" w:lineRule="exact" w:before="0"/>
        <w:ind w:left="2648" w:right="-5" w:firstLine="0"/>
        <w:jc w:val="left"/>
        <w:rPr>
          <w:rFonts w:ascii="宋体" w:hAnsi="宋体" w:cs="宋体" w:eastAsia="宋体" w:hint="default"/>
          <w:sz w:val="16"/>
          <w:szCs w:val="16"/>
        </w:rPr>
      </w:pPr>
      <w:r>
        <w:rPr>
          <w:rFonts w:ascii="宋体" w:hAnsi="宋体" w:cs="宋体" w:eastAsia="宋体" w:hint="default"/>
          <w:w w:val="95"/>
          <w:position w:val="1"/>
          <w:sz w:val="16"/>
          <w:szCs w:val="16"/>
        </w:rPr>
        <w:t>金额</w:t>
        <w:tab/>
      </w:r>
      <w:r>
        <w:rPr>
          <w:rFonts w:ascii="Arial" w:hAnsi="Arial" w:cs="Arial" w:eastAsia="Arial" w:hint="default"/>
          <w:spacing w:val="-1"/>
          <w:sz w:val="16"/>
          <w:szCs w:val="16"/>
        </w:rPr>
        <w:t>(%)</w:t>
        <w:tab/>
      </w:r>
      <w:r>
        <w:rPr>
          <w:rFonts w:ascii="宋体" w:hAnsi="宋体" w:cs="宋体" w:eastAsia="宋体" w:hint="default"/>
          <w:w w:val="95"/>
          <w:position w:val="1"/>
          <w:sz w:val="16"/>
          <w:szCs w:val="16"/>
        </w:rPr>
        <w:t>金额</w:t>
      </w:r>
      <w:r>
        <w:rPr>
          <w:rFonts w:ascii="宋体" w:hAnsi="宋体" w:cs="宋体" w:eastAsia="宋体" w:hint="default"/>
          <w:sz w:val="16"/>
          <w:szCs w:val="16"/>
        </w:rPr>
      </w:r>
    </w:p>
    <w:p>
      <w:pPr>
        <w:spacing w:line="197" w:lineRule="exact" w:before="12"/>
        <w:ind w:left="445" w:right="-5" w:firstLine="0"/>
        <w:jc w:val="left"/>
        <w:rPr>
          <w:rFonts w:ascii="宋体" w:hAnsi="宋体" w:cs="宋体" w:eastAsia="宋体" w:hint="default"/>
          <w:sz w:val="16"/>
          <w:szCs w:val="16"/>
        </w:rPr>
      </w:pPr>
      <w:r>
        <w:rPr/>
        <w:br w:type="column"/>
      </w:r>
      <w:r>
        <w:rPr>
          <w:rFonts w:ascii="宋体" w:hAnsi="宋体" w:cs="宋体" w:eastAsia="宋体" w:hint="default"/>
          <w:sz w:val="16"/>
          <w:szCs w:val="16"/>
        </w:rPr>
        <w:t>计提比例</w:t>
      </w:r>
    </w:p>
    <w:p>
      <w:pPr>
        <w:tabs>
          <w:tab w:pos="1596" w:val="left" w:leader="none"/>
        </w:tabs>
        <w:spacing w:line="218" w:lineRule="exact" w:before="0"/>
        <w:ind w:left="642" w:right="-5" w:firstLine="0"/>
        <w:jc w:val="left"/>
        <w:rPr>
          <w:rFonts w:ascii="宋体" w:hAnsi="宋体" w:cs="宋体" w:eastAsia="宋体" w:hint="default"/>
          <w:sz w:val="16"/>
          <w:szCs w:val="16"/>
        </w:rPr>
      </w:pPr>
      <w:r>
        <w:rPr>
          <w:rFonts w:ascii="Arial" w:hAnsi="Arial" w:cs="Arial" w:eastAsia="Arial" w:hint="default"/>
          <w:spacing w:val="-1"/>
          <w:sz w:val="16"/>
          <w:szCs w:val="16"/>
        </w:rPr>
        <w:t>(%)</w:t>
        <w:tab/>
      </w:r>
      <w:r>
        <w:rPr>
          <w:rFonts w:ascii="宋体" w:hAnsi="宋体" w:cs="宋体" w:eastAsia="宋体" w:hint="default"/>
          <w:w w:val="95"/>
          <w:position w:val="1"/>
          <w:sz w:val="16"/>
          <w:szCs w:val="16"/>
        </w:rPr>
        <w:t>金额</w:t>
      </w:r>
      <w:r>
        <w:rPr>
          <w:rFonts w:ascii="宋体" w:hAnsi="宋体" w:cs="宋体" w:eastAsia="宋体" w:hint="default"/>
          <w:sz w:val="16"/>
          <w:szCs w:val="16"/>
        </w:rPr>
      </w:r>
    </w:p>
    <w:p>
      <w:pPr>
        <w:spacing w:line="197" w:lineRule="exact" w:before="12"/>
        <w:ind w:left="672" w:right="761" w:firstLine="0"/>
        <w:jc w:val="center"/>
        <w:rPr>
          <w:rFonts w:ascii="宋体" w:hAnsi="宋体" w:cs="宋体" w:eastAsia="宋体" w:hint="default"/>
          <w:sz w:val="16"/>
          <w:szCs w:val="16"/>
        </w:rPr>
      </w:pPr>
      <w:r>
        <w:rPr/>
        <w:br w:type="column"/>
      </w:r>
      <w:r>
        <w:rPr>
          <w:rFonts w:ascii="宋体" w:hAnsi="宋体" w:cs="宋体" w:eastAsia="宋体" w:hint="default"/>
          <w:sz w:val="16"/>
          <w:szCs w:val="16"/>
        </w:rPr>
        <w:t>比例</w:t>
      </w:r>
    </w:p>
    <w:p>
      <w:pPr>
        <w:tabs>
          <w:tab w:pos="1475" w:val="left" w:leader="none"/>
        </w:tabs>
        <w:spacing w:line="218" w:lineRule="exact" w:before="0"/>
        <w:ind w:left="652" w:right="-5" w:firstLine="0"/>
        <w:jc w:val="left"/>
        <w:rPr>
          <w:rFonts w:ascii="宋体" w:hAnsi="宋体" w:cs="宋体" w:eastAsia="宋体" w:hint="default"/>
          <w:sz w:val="16"/>
          <w:szCs w:val="16"/>
        </w:rPr>
      </w:pPr>
      <w:r>
        <w:rPr>
          <w:rFonts w:ascii="Arial" w:hAnsi="Arial" w:cs="Arial" w:eastAsia="Arial" w:hint="default"/>
          <w:spacing w:val="-1"/>
          <w:sz w:val="16"/>
          <w:szCs w:val="16"/>
        </w:rPr>
        <w:t>(%)</w:t>
        <w:tab/>
      </w:r>
      <w:r>
        <w:rPr>
          <w:rFonts w:ascii="宋体" w:hAnsi="宋体" w:cs="宋体" w:eastAsia="宋体" w:hint="default"/>
          <w:w w:val="95"/>
          <w:position w:val="1"/>
          <w:sz w:val="16"/>
          <w:szCs w:val="16"/>
        </w:rPr>
        <w:t>金额</w:t>
      </w:r>
      <w:r>
        <w:rPr>
          <w:rFonts w:ascii="宋体" w:hAnsi="宋体" w:cs="宋体" w:eastAsia="宋体" w:hint="default"/>
          <w:sz w:val="16"/>
          <w:szCs w:val="16"/>
        </w:rPr>
      </w:r>
    </w:p>
    <w:p>
      <w:pPr>
        <w:spacing w:before="12"/>
        <w:ind w:left="404" w:right="222" w:firstLine="0"/>
        <w:jc w:val="center"/>
        <w:rPr>
          <w:rFonts w:ascii="宋体" w:hAnsi="宋体" w:cs="宋体" w:eastAsia="宋体" w:hint="default"/>
          <w:sz w:val="16"/>
          <w:szCs w:val="16"/>
        </w:rPr>
      </w:pPr>
      <w:r>
        <w:rPr/>
        <w:br w:type="column"/>
      </w:r>
      <w:r>
        <w:rPr>
          <w:rFonts w:ascii="宋体" w:hAnsi="宋体" w:cs="宋体" w:eastAsia="宋体" w:hint="default"/>
          <w:sz w:val="16"/>
          <w:szCs w:val="16"/>
        </w:rPr>
        <w:t>计提比例</w:t>
      </w:r>
    </w:p>
    <w:p>
      <w:pPr>
        <w:spacing w:before="22"/>
        <w:ind w:left="404" w:right="220" w:firstLine="0"/>
        <w:jc w:val="center"/>
        <w:rPr>
          <w:rFonts w:ascii="Arial" w:hAnsi="Arial" w:cs="Arial" w:eastAsia="Arial" w:hint="default"/>
          <w:sz w:val="16"/>
          <w:szCs w:val="16"/>
        </w:rPr>
      </w:pPr>
      <w:r>
        <w:rPr>
          <w:rFonts w:ascii="Arial"/>
          <w:sz w:val="16"/>
        </w:rPr>
        <w:t>(%)</w:t>
      </w:r>
    </w:p>
    <w:p>
      <w:pPr>
        <w:spacing w:after="0"/>
        <w:jc w:val="center"/>
        <w:rPr>
          <w:rFonts w:ascii="Arial" w:hAnsi="Arial" w:cs="Arial" w:eastAsia="Arial" w:hint="default"/>
          <w:sz w:val="16"/>
          <w:szCs w:val="16"/>
        </w:rPr>
        <w:sectPr>
          <w:type w:val="continuous"/>
          <w:pgSz w:w="11910" w:h="16840"/>
          <w:pgMar w:top="1600" w:bottom="280" w:left="1240" w:right="740"/>
          <w:cols w:num="4" w:equalWidth="0">
            <w:col w:w="4787" w:space="40"/>
            <w:col w:w="1916" w:space="40"/>
            <w:col w:w="1795" w:space="40"/>
            <w:col w:w="1312"/>
          </w:cols>
        </w:sectPr>
      </w:pPr>
    </w:p>
    <w:p>
      <w:pPr>
        <w:spacing w:line="20" w:lineRule="exact"/>
        <w:ind w:left="2225" w:right="0" w:firstLine="0"/>
        <w:rPr>
          <w:rFonts w:ascii="Arial" w:hAnsi="Arial" w:cs="Arial" w:eastAsia="Arial" w:hint="default"/>
          <w:sz w:val="2"/>
          <w:szCs w:val="2"/>
        </w:rPr>
      </w:pPr>
      <w:r>
        <w:rPr>
          <w:rFonts w:ascii="Arial" w:hAnsi="Arial" w:cs="Arial" w:eastAsia="Arial" w:hint="default"/>
          <w:sz w:val="2"/>
          <w:szCs w:val="2"/>
        </w:rPr>
        <w:pict>
          <v:group style="width:373.75pt;height:.75pt;mso-position-horizontal-relative:char;mso-position-vertical-relative:line" coordorigin="0,0" coordsize="7475,15">
            <v:group style="position:absolute;left:7;top:7;width:1136;height:2" coordorigin="7,7" coordsize="1136,2">
              <v:shape style="position:absolute;left:7;top:7;width:1136;height:2" coordorigin="7,7" coordsize="1136,0" path="m7,7l1142,7e" filled="false" stroked="true" strokeweight=".72pt" strokecolor="#000000">
                <v:path arrowok="t"/>
              </v:shape>
            </v:group>
            <v:group style="position:absolute;left:1196;top:7;width:576;height:2" coordorigin="1196,7" coordsize="576,2">
              <v:shape style="position:absolute;left:1196;top:7;width:576;height:2" coordorigin="1196,7" coordsize="576,0" path="m1196,7l1772,7e" filled="false" stroked="true" strokeweight=".72pt" strokecolor="#000000">
                <v:path arrowok="t"/>
              </v:shape>
            </v:group>
            <v:group style="position:absolute;left:1826;top:7;width:1086;height:2" coordorigin="1826,7" coordsize="1086,2">
              <v:shape style="position:absolute;left:1826;top:7;width:1086;height:2" coordorigin="1826,7" coordsize="1086,0" path="m1826,7l2912,7e" filled="false" stroked="true" strokeweight=".72pt" strokecolor="#000000">
                <v:path arrowok="t"/>
              </v:shape>
            </v:group>
            <v:group style="position:absolute;left:2966;top:7;width:738;height:2" coordorigin="2966,7" coordsize="738,2">
              <v:shape style="position:absolute;left:2966;top:7;width:738;height:2" coordorigin="2966,7" coordsize="738,0" path="m2966,7l3704,7e" filled="false" stroked="true" strokeweight=".72pt" strokecolor="#000000">
                <v:path arrowok="t"/>
              </v:shape>
            </v:group>
            <v:group style="position:absolute;left:3764;top:7;width:1205;height:2" coordorigin="3764,7" coordsize="1205,2">
              <v:shape style="position:absolute;left:3764;top:7;width:1205;height:2" coordorigin="3764,7" coordsize="1205,0" path="m3764,7l4969,7e" filled="false" stroked="true" strokeweight=".72pt" strokecolor="#000000">
                <v:path arrowok="t"/>
              </v:shape>
            </v:group>
            <v:group style="position:absolute;left:5023;top:7;width:555;height:2" coordorigin="5023,7" coordsize="555,2">
              <v:shape style="position:absolute;left:5023;top:7;width:555;height:2" coordorigin="5023,7" coordsize="555,0" path="m5023,7l5578,7e" filled="false" stroked="true" strokeweight=".72pt" strokecolor="#000000">
                <v:path arrowok="t"/>
              </v:shape>
            </v:group>
            <v:group style="position:absolute;left:5636;top:7;width:1048;height:2" coordorigin="5636,7" coordsize="1048,2">
              <v:shape style="position:absolute;left:5636;top:7;width:1048;height:2" coordorigin="5636,7" coordsize="1048,0" path="m5636,7l6684,7e" filled="false" stroked="true" strokeweight=".72pt" strokecolor="#000000">
                <v:path arrowok="t"/>
              </v:shape>
            </v:group>
            <v:group style="position:absolute;left:6743;top:7;width:725;height:2" coordorigin="6743,7" coordsize="725,2">
              <v:shape style="position:absolute;left:6743;top:7;width:725;height:2" coordorigin="6743,7" coordsize="725,0" path="m6743,7l7468,7e" filled="false" stroked="true" strokeweight=".72pt" strokecolor="#000000">
                <v:path arrowok="t"/>
              </v:shape>
            </v:group>
          </v:group>
        </w:pict>
      </w:r>
      <w:r>
        <w:rPr>
          <w:rFonts w:ascii="Arial" w:hAnsi="Arial" w:cs="Arial" w:eastAsia="Arial" w:hint="default"/>
          <w:sz w:val="2"/>
          <w:szCs w:val="2"/>
        </w:rPr>
      </w:r>
    </w:p>
    <w:p>
      <w:pPr>
        <w:spacing w:line="240" w:lineRule="auto" w:before="0"/>
        <w:rPr>
          <w:rFonts w:ascii="Arial" w:hAnsi="Arial" w:cs="Arial" w:eastAsia="Arial" w:hint="default"/>
          <w:sz w:val="9"/>
          <w:szCs w:val="9"/>
        </w:rPr>
      </w:pPr>
    </w:p>
    <w:tbl>
      <w:tblPr>
        <w:tblW w:w="0" w:type="auto"/>
        <w:jc w:val="left"/>
        <w:tblInd w:w="567" w:type="dxa"/>
        <w:tblLayout w:type="fixed"/>
        <w:tblCellMar>
          <w:top w:w="0" w:type="dxa"/>
          <w:left w:w="0" w:type="dxa"/>
          <w:bottom w:w="0" w:type="dxa"/>
          <w:right w:w="0" w:type="dxa"/>
        </w:tblCellMar>
        <w:tblLook w:val="01E0"/>
      </w:tblPr>
      <w:tblGrid>
        <w:gridCol w:w="1683"/>
        <w:gridCol w:w="1184"/>
        <w:gridCol w:w="617"/>
        <w:gridCol w:w="3208"/>
        <w:gridCol w:w="589"/>
        <w:gridCol w:w="1855"/>
      </w:tblGrid>
      <w:tr>
        <w:trPr>
          <w:trHeight w:val="491" w:hRule="exact"/>
        </w:trPr>
        <w:tc>
          <w:tcPr>
            <w:tcW w:w="1683" w:type="dxa"/>
            <w:tcBorders>
              <w:top w:val="nil" w:sz="6" w:space="0" w:color="auto"/>
              <w:left w:val="nil" w:sz="6" w:space="0" w:color="auto"/>
              <w:bottom w:val="nil" w:sz="6" w:space="0" w:color="auto"/>
              <w:right w:val="nil" w:sz="6" w:space="0" w:color="auto"/>
            </w:tcBorders>
          </w:tcPr>
          <w:p>
            <w:pPr>
              <w:pStyle w:val="TableParagraph"/>
              <w:spacing w:line="240" w:lineRule="auto" w:before="50"/>
              <w:ind w:left="35" w:right="23"/>
              <w:jc w:val="left"/>
              <w:rPr>
                <w:rFonts w:ascii="宋体" w:hAnsi="宋体" w:cs="宋体" w:eastAsia="宋体" w:hint="default"/>
                <w:sz w:val="16"/>
                <w:szCs w:val="16"/>
              </w:rPr>
            </w:pPr>
            <w:r>
              <w:rPr>
                <w:rFonts w:ascii="宋体" w:hAnsi="宋体" w:cs="宋体" w:eastAsia="宋体" w:hint="default"/>
                <w:sz w:val="16"/>
                <w:szCs w:val="16"/>
              </w:rPr>
              <w:t>单项金额重大</w:t>
            </w:r>
            <w:r>
              <w:rPr>
                <w:rFonts w:ascii="宋体" w:hAnsi="宋体" w:cs="宋体" w:eastAsia="宋体" w:hint="default"/>
                <w:w w:val="99"/>
                <w:sz w:val="16"/>
                <w:szCs w:val="16"/>
              </w:rPr>
              <w:t> </w:t>
            </w:r>
            <w:r>
              <w:rPr>
                <w:rFonts w:ascii="宋体" w:hAnsi="宋体" w:cs="宋体" w:eastAsia="宋体" w:hint="default"/>
                <w:spacing w:val="2"/>
                <w:sz w:val="16"/>
                <w:szCs w:val="16"/>
              </w:rPr>
              <w:t>单项金额不重大但按信</w:t>
            </w:r>
            <w:r>
              <w:rPr>
                <w:rFonts w:ascii="宋体" w:hAnsi="宋体" w:cs="宋体" w:eastAsia="宋体" w:hint="default"/>
                <w:sz w:val="16"/>
                <w:szCs w:val="16"/>
              </w:rPr>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99"/>
              <w:ind w:left="7" w:right="0"/>
              <w:jc w:val="left"/>
              <w:rPr>
                <w:rFonts w:ascii="Arial" w:hAnsi="Arial" w:cs="Arial" w:eastAsia="Arial" w:hint="default"/>
                <w:sz w:val="16"/>
                <w:szCs w:val="16"/>
              </w:rPr>
            </w:pPr>
            <w:r>
              <w:rPr>
                <w:rFonts w:ascii="Arial"/>
                <w:sz w:val="16"/>
              </w:rPr>
              <w:t>5,123,623,007</w:t>
            </w:r>
          </w:p>
        </w:tc>
        <w:tc>
          <w:tcPr>
            <w:tcW w:w="617"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61"/>
              <w:jc w:val="right"/>
              <w:rPr>
                <w:rFonts w:ascii="Arial" w:hAnsi="Arial" w:cs="Arial" w:eastAsia="Arial" w:hint="default"/>
                <w:sz w:val="16"/>
                <w:szCs w:val="16"/>
              </w:rPr>
            </w:pPr>
            <w:r>
              <w:rPr>
                <w:rFonts w:ascii="Arial"/>
                <w:w w:val="95"/>
                <w:sz w:val="16"/>
              </w:rPr>
              <w:t>71.41</w:t>
            </w:r>
            <w:r>
              <w:rPr>
                <w:rFonts w:ascii="Arial"/>
                <w:sz w:val="16"/>
              </w:rPr>
            </w:r>
          </w:p>
        </w:tc>
        <w:tc>
          <w:tcPr>
            <w:tcW w:w="3208" w:type="dxa"/>
            <w:tcBorders>
              <w:top w:val="nil" w:sz="6" w:space="0" w:color="auto"/>
              <w:left w:val="nil" w:sz="6" w:space="0" w:color="auto"/>
              <w:bottom w:val="nil" w:sz="6" w:space="0" w:color="auto"/>
              <w:right w:val="nil" w:sz="6" w:space="0" w:color="auto"/>
            </w:tcBorders>
          </w:tcPr>
          <w:p>
            <w:pPr>
              <w:pStyle w:val="TableParagraph"/>
              <w:tabs>
                <w:tab w:pos="767" w:val="left" w:leader="none"/>
              </w:tabs>
              <w:spacing w:line="240" w:lineRule="auto" w:before="99"/>
              <w:ind w:right="132"/>
              <w:jc w:val="right"/>
              <w:rPr>
                <w:rFonts w:ascii="Arial" w:hAnsi="Arial" w:cs="Arial" w:eastAsia="Arial" w:hint="default"/>
                <w:sz w:val="16"/>
                <w:szCs w:val="16"/>
              </w:rPr>
            </w:pPr>
            <w:r>
              <w:rPr>
                <w:rFonts w:ascii="Arial"/>
                <w:w w:val="95"/>
                <w:sz w:val="16"/>
              </w:rPr>
              <w:t>-</w:t>
              <w:tab/>
            </w:r>
            <w:r>
              <w:rPr>
                <w:rFonts w:ascii="Arial"/>
                <w:sz w:val="16"/>
              </w:rPr>
              <w:t>-   </w:t>
            </w:r>
            <w:r>
              <w:rPr>
                <w:rFonts w:ascii="Arial"/>
                <w:spacing w:val="8"/>
                <w:sz w:val="16"/>
              </w:rPr>
              <w:t> </w:t>
            </w:r>
            <w:r>
              <w:rPr>
                <w:rFonts w:ascii="Arial"/>
                <w:sz w:val="16"/>
              </w:rPr>
              <w:t>14,148,826,360</w:t>
            </w:r>
          </w:p>
        </w:tc>
        <w:tc>
          <w:tcPr>
            <w:tcW w:w="589"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53"/>
              <w:jc w:val="right"/>
              <w:rPr>
                <w:rFonts w:ascii="Arial" w:hAnsi="Arial" w:cs="Arial" w:eastAsia="Arial" w:hint="default"/>
                <w:sz w:val="16"/>
                <w:szCs w:val="16"/>
              </w:rPr>
            </w:pPr>
            <w:r>
              <w:rPr>
                <w:rFonts w:ascii="Arial"/>
                <w:w w:val="95"/>
                <w:sz w:val="16"/>
              </w:rPr>
              <w:t>87.75</w:t>
            </w:r>
            <w:r>
              <w:rPr>
                <w:rFonts w:ascii="Arial"/>
                <w:sz w:val="16"/>
              </w:rPr>
            </w:r>
          </w:p>
        </w:tc>
        <w:tc>
          <w:tcPr>
            <w:tcW w:w="1855" w:type="dxa"/>
            <w:tcBorders>
              <w:top w:val="nil" w:sz="6" w:space="0" w:color="auto"/>
              <w:left w:val="nil" w:sz="6" w:space="0" w:color="auto"/>
              <w:bottom w:val="nil" w:sz="6" w:space="0" w:color="auto"/>
              <w:right w:val="nil" w:sz="6" w:space="0" w:color="auto"/>
            </w:tcBorders>
          </w:tcPr>
          <w:p>
            <w:pPr>
              <w:pStyle w:val="TableParagraph"/>
              <w:tabs>
                <w:tab w:pos="635" w:val="left" w:leader="none"/>
              </w:tabs>
              <w:spacing w:line="240" w:lineRule="auto" w:before="99"/>
              <w:ind w:right="177"/>
              <w:jc w:val="right"/>
              <w:rPr>
                <w:rFonts w:ascii="Arial" w:hAnsi="Arial" w:cs="Arial" w:eastAsia="Arial" w:hint="default"/>
                <w:sz w:val="16"/>
                <w:szCs w:val="16"/>
              </w:rPr>
            </w:pPr>
            <w:r>
              <w:rPr>
                <w:rFonts w:ascii="Arial"/>
                <w:w w:val="95"/>
                <w:sz w:val="16"/>
              </w:rPr>
              <w:t>-</w:t>
              <w:tab/>
              <w:t>-</w:t>
            </w:r>
            <w:r>
              <w:rPr>
                <w:rFonts w:ascii="Arial"/>
                <w:sz w:val="16"/>
              </w:rPr>
            </w:r>
          </w:p>
        </w:tc>
      </w:tr>
      <w:tr>
        <w:trPr>
          <w:trHeight w:val="410" w:hRule="exact"/>
        </w:trPr>
        <w:tc>
          <w:tcPr>
            <w:tcW w:w="1683" w:type="dxa"/>
            <w:tcBorders>
              <w:top w:val="nil" w:sz="6" w:space="0" w:color="auto"/>
              <w:left w:val="nil" w:sz="6" w:space="0" w:color="auto"/>
              <w:bottom w:val="nil" w:sz="6" w:space="0" w:color="auto"/>
              <w:right w:val="nil" w:sz="6" w:space="0" w:color="auto"/>
            </w:tcBorders>
          </w:tcPr>
          <w:p>
            <w:pPr>
              <w:pStyle w:val="TableParagraph"/>
              <w:spacing w:line="183" w:lineRule="exact"/>
              <w:ind w:left="233" w:right="0"/>
              <w:jc w:val="left"/>
              <w:rPr>
                <w:rFonts w:ascii="宋体" w:hAnsi="宋体" w:cs="宋体" w:eastAsia="宋体" w:hint="default"/>
                <w:sz w:val="16"/>
                <w:szCs w:val="16"/>
              </w:rPr>
            </w:pPr>
            <w:r>
              <w:rPr>
                <w:rFonts w:ascii="宋体" w:hAnsi="宋体" w:cs="宋体" w:eastAsia="宋体" w:hint="default"/>
                <w:spacing w:val="15"/>
                <w:sz w:val="16"/>
                <w:szCs w:val="16"/>
              </w:rPr>
              <w:t>用风险特</w:t>
            </w:r>
            <w:r>
              <w:rPr>
                <w:rFonts w:ascii="宋体" w:hAnsi="宋体" w:cs="宋体" w:eastAsia="宋体" w:hint="default"/>
                <w:spacing w:val="-61"/>
                <w:sz w:val="16"/>
                <w:szCs w:val="16"/>
              </w:rPr>
              <w:t> </w:t>
            </w:r>
            <w:r>
              <w:rPr>
                <w:rFonts w:ascii="宋体" w:hAnsi="宋体" w:cs="宋体" w:eastAsia="宋体" w:hint="default"/>
                <w:spacing w:val="10"/>
                <w:sz w:val="16"/>
                <w:szCs w:val="16"/>
              </w:rPr>
              <w:t>征组</w:t>
            </w:r>
            <w:r>
              <w:rPr>
                <w:rFonts w:ascii="宋体" w:hAnsi="宋体" w:cs="宋体" w:eastAsia="宋体" w:hint="default"/>
                <w:spacing w:val="-61"/>
                <w:sz w:val="16"/>
                <w:szCs w:val="16"/>
              </w:rPr>
              <w:t> </w:t>
            </w:r>
            <w:r>
              <w:rPr>
                <w:rFonts w:ascii="宋体" w:hAnsi="宋体" w:cs="宋体" w:eastAsia="宋体" w:hint="default"/>
                <w:spacing w:val="10"/>
                <w:sz w:val="16"/>
                <w:szCs w:val="16"/>
              </w:rPr>
              <w:t>合后</w:t>
            </w:r>
            <w:r>
              <w:rPr>
                <w:rFonts w:ascii="宋体" w:hAnsi="宋体" w:cs="宋体" w:eastAsia="宋体" w:hint="default"/>
                <w:spacing w:val="-60"/>
                <w:sz w:val="16"/>
                <w:szCs w:val="16"/>
              </w:rPr>
              <w:t> </w:t>
            </w:r>
            <w:r>
              <w:rPr>
                <w:rFonts w:ascii="宋体" w:hAnsi="宋体" w:cs="宋体" w:eastAsia="宋体" w:hint="default"/>
                <w:sz w:val="16"/>
                <w:szCs w:val="16"/>
              </w:rPr>
            </w:r>
          </w:p>
          <w:p>
            <w:pPr>
              <w:pStyle w:val="TableParagraph"/>
              <w:spacing w:line="209" w:lineRule="exact"/>
              <w:ind w:left="233" w:right="0"/>
              <w:jc w:val="left"/>
              <w:rPr>
                <w:rFonts w:ascii="宋体" w:hAnsi="宋体" w:cs="宋体" w:eastAsia="宋体" w:hint="default"/>
                <w:sz w:val="16"/>
                <w:szCs w:val="16"/>
              </w:rPr>
            </w:pPr>
            <w:r>
              <w:rPr>
                <w:rFonts w:ascii="宋体" w:hAnsi="宋体" w:cs="宋体" w:eastAsia="宋体" w:hint="default"/>
                <w:sz w:val="16"/>
                <w:szCs w:val="16"/>
              </w:rPr>
              <w:t>该组合风险较大</w:t>
            </w:r>
          </w:p>
        </w:tc>
        <w:tc>
          <w:tcPr>
            <w:tcW w:w="118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Arial" w:hAnsi="Arial" w:cs="Arial" w:eastAsia="Arial" w:hint="default"/>
                <w:sz w:val="19"/>
                <w:szCs w:val="19"/>
              </w:rPr>
            </w:pPr>
          </w:p>
          <w:p>
            <w:pPr>
              <w:pStyle w:val="TableParagraph"/>
              <w:spacing w:line="240" w:lineRule="auto"/>
              <w:ind w:left="7" w:right="0"/>
              <w:jc w:val="left"/>
              <w:rPr>
                <w:rFonts w:ascii="Arial" w:hAnsi="Arial" w:cs="Arial" w:eastAsia="Arial" w:hint="default"/>
                <w:sz w:val="16"/>
                <w:szCs w:val="16"/>
              </w:rPr>
            </w:pPr>
            <w:r>
              <w:rPr>
                <w:rFonts w:ascii="Arial"/>
                <w:sz w:val="16"/>
              </w:rPr>
              <w:t>2,051,203,211</w:t>
            </w:r>
          </w:p>
        </w:tc>
        <w:tc>
          <w:tcPr>
            <w:tcW w:w="6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Arial" w:hAnsi="Arial" w:cs="Arial" w:eastAsia="Arial" w:hint="default"/>
                <w:sz w:val="19"/>
                <w:szCs w:val="19"/>
              </w:rPr>
            </w:pPr>
          </w:p>
          <w:p>
            <w:pPr>
              <w:pStyle w:val="TableParagraph"/>
              <w:spacing w:line="240" w:lineRule="auto"/>
              <w:ind w:right="60"/>
              <w:jc w:val="right"/>
              <w:rPr>
                <w:rFonts w:ascii="Arial" w:hAnsi="Arial" w:cs="Arial" w:eastAsia="Arial" w:hint="default"/>
                <w:sz w:val="16"/>
                <w:szCs w:val="16"/>
              </w:rPr>
            </w:pPr>
            <w:r>
              <w:rPr>
                <w:rFonts w:ascii="Arial"/>
                <w:w w:val="95"/>
                <w:sz w:val="16"/>
              </w:rPr>
              <w:t>28.59</w:t>
            </w:r>
            <w:r>
              <w:rPr>
                <w:rFonts w:ascii="Arial"/>
                <w:sz w:val="16"/>
              </w:rPr>
            </w:r>
          </w:p>
        </w:tc>
        <w:tc>
          <w:tcPr>
            <w:tcW w:w="320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Arial" w:hAnsi="Arial" w:cs="Arial" w:eastAsia="Arial" w:hint="default"/>
                <w:sz w:val="19"/>
                <w:szCs w:val="19"/>
              </w:rPr>
            </w:pPr>
          </w:p>
          <w:p>
            <w:pPr>
              <w:pStyle w:val="TableParagraph"/>
              <w:tabs>
                <w:tab w:pos="1357" w:val="left" w:leader="none"/>
              </w:tabs>
              <w:spacing w:line="240" w:lineRule="auto"/>
              <w:ind w:right="144"/>
              <w:jc w:val="right"/>
              <w:rPr>
                <w:rFonts w:ascii="Arial" w:hAnsi="Arial" w:cs="Arial" w:eastAsia="Arial" w:hint="default"/>
                <w:sz w:val="16"/>
                <w:szCs w:val="16"/>
              </w:rPr>
            </w:pPr>
            <w:r>
              <w:rPr>
                <w:rFonts w:ascii="Arial"/>
                <w:w w:val="95"/>
                <w:sz w:val="16"/>
              </w:rPr>
              <w:t>(507,409,927)</w:t>
              <w:tab/>
            </w:r>
            <w:r>
              <w:rPr>
                <w:rFonts w:ascii="Arial"/>
                <w:sz w:val="16"/>
              </w:rPr>
              <w:t>0~100  </w:t>
            </w:r>
            <w:r>
              <w:rPr>
                <w:rFonts w:ascii="Arial"/>
                <w:spacing w:val="33"/>
                <w:sz w:val="16"/>
              </w:rPr>
              <w:t> </w:t>
            </w:r>
            <w:r>
              <w:rPr>
                <w:rFonts w:ascii="Arial"/>
                <w:sz w:val="16"/>
              </w:rPr>
              <w:t>1,974,767,750</w:t>
            </w:r>
          </w:p>
        </w:tc>
        <w:tc>
          <w:tcPr>
            <w:tcW w:w="58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Arial" w:hAnsi="Arial" w:cs="Arial" w:eastAsia="Arial" w:hint="default"/>
                <w:sz w:val="19"/>
                <w:szCs w:val="19"/>
              </w:rPr>
            </w:pPr>
          </w:p>
          <w:p>
            <w:pPr>
              <w:pStyle w:val="TableParagraph"/>
              <w:spacing w:line="240" w:lineRule="auto"/>
              <w:ind w:right="53"/>
              <w:jc w:val="right"/>
              <w:rPr>
                <w:rFonts w:ascii="Arial" w:hAnsi="Arial" w:cs="Arial" w:eastAsia="Arial" w:hint="default"/>
                <w:sz w:val="16"/>
                <w:szCs w:val="16"/>
              </w:rPr>
            </w:pPr>
            <w:r>
              <w:rPr>
                <w:rFonts w:ascii="Arial"/>
                <w:w w:val="95"/>
                <w:sz w:val="16"/>
              </w:rPr>
              <w:t>12.25</w:t>
            </w:r>
            <w:r>
              <w:rPr>
                <w:rFonts w:ascii="Arial"/>
                <w:sz w:val="16"/>
              </w:rPr>
            </w:r>
          </w:p>
        </w:tc>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Arial" w:hAnsi="Arial" w:cs="Arial" w:eastAsia="Arial" w:hint="default"/>
                <w:sz w:val="19"/>
                <w:szCs w:val="19"/>
              </w:rPr>
            </w:pPr>
          </w:p>
          <w:p>
            <w:pPr>
              <w:pStyle w:val="TableParagraph"/>
              <w:tabs>
                <w:tab w:pos="1316" w:val="left" w:leader="none"/>
              </w:tabs>
              <w:spacing w:line="240" w:lineRule="auto"/>
              <w:ind w:right="33"/>
              <w:jc w:val="right"/>
              <w:rPr>
                <w:rFonts w:ascii="Arial" w:hAnsi="Arial" w:cs="Arial" w:eastAsia="Arial" w:hint="default"/>
                <w:sz w:val="16"/>
                <w:szCs w:val="16"/>
              </w:rPr>
            </w:pPr>
            <w:r>
              <w:rPr>
                <w:rFonts w:ascii="Arial"/>
                <w:w w:val="95"/>
                <w:sz w:val="16"/>
              </w:rPr>
              <w:t>(487,575,263)</w:t>
              <w:tab/>
              <w:t>0~100</w:t>
            </w:r>
            <w:r>
              <w:rPr>
                <w:rFonts w:ascii="Arial"/>
                <w:sz w:val="16"/>
              </w:rPr>
            </w:r>
          </w:p>
        </w:tc>
      </w:tr>
    </w:tbl>
    <w:p>
      <w:pPr>
        <w:tabs>
          <w:tab w:pos="2232" w:val="left" w:leader="none"/>
          <w:tab w:pos="3226" w:val="left" w:leader="none"/>
          <w:tab w:pos="3997" w:val="left" w:leader="none"/>
          <w:tab w:pos="5003" w:val="left" w:leader="none"/>
          <w:tab w:pos="5771" w:val="left" w:leader="none"/>
          <w:tab w:pos="7060" w:val="left" w:leader="none"/>
          <w:tab w:pos="7803" w:val="left" w:leader="none"/>
          <w:tab w:pos="8835" w:val="left" w:leader="none"/>
          <w:tab w:pos="9471" w:val="left" w:leader="none"/>
          <w:tab w:pos="9693" w:val="left" w:leader="none"/>
        </w:tabs>
        <w:spacing w:line="212" w:lineRule="exact" w:before="0"/>
        <w:ind w:left="602" w:right="0" w:firstLine="0"/>
        <w:jc w:val="left"/>
        <w:rPr>
          <w:rFonts w:ascii="Arial" w:hAnsi="Arial" w:cs="Arial" w:eastAsia="Arial" w:hint="default"/>
          <w:sz w:val="16"/>
          <w:szCs w:val="16"/>
        </w:rPr>
      </w:pPr>
      <w:r>
        <w:rPr>
          <w:rFonts w:ascii="宋体" w:hAnsi="宋体" w:cs="宋体" w:eastAsia="宋体" w:hint="default"/>
          <w:w w:val="95"/>
          <w:position w:val="1"/>
          <w:sz w:val="16"/>
          <w:szCs w:val="16"/>
        </w:rPr>
        <w:t>其他不重大</w:t>
        <w:tab/>
      </w:r>
      <w:r>
        <w:rPr>
          <w:rFonts w:ascii="Arial" w:hAnsi="Arial" w:cs="Arial" w:eastAsia="Arial" w:hint="default"/>
          <w:w w:val="95"/>
          <w:sz w:val="16"/>
          <w:szCs w:val="16"/>
        </w:rPr>
      </w:r>
      <w:r>
        <w:rPr>
          <w:rFonts w:ascii="Arial" w:hAnsi="Arial" w:cs="Arial" w:eastAsia="Arial" w:hint="default"/>
          <w:w w:val="95"/>
          <w:sz w:val="16"/>
          <w:szCs w:val="16"/>
          <w:u w:val="single" w:color="000000"/>
        </w:rPr>
        <w:t> </w:t>
        <w:tab/>
      </w:r>
      <w:r>
        <w:rPr>
          <w:rFonts w:ascii="Arial" w:hAnsi="Arial" w:cs="Arial" w:eastAsia="Arial" w:hint="default"/>
          <w:sz w:val="16"/>
          <w:szCs w:val="16"/>
          <w:u w:val="single" w:color="000000"/>
        </w:rPr>
        <w:t>-       </w:t>
      </w:r>
      <w:r>
        <w:rPr>
          <w:rFonts w:ascii="Arial" w:hAnsi="Arial" w:cs="Arial" w:eastAsia="Arial" w:hint="default"/>
          <w:spacing w:val="8"/>
          <w:sz w:val="16"/>
          <w:szCs w:val="16"/>
          <w:u w:val="single" w:color="000000"/>
        </w:rPr>
        <w:t> </w:t>
      </w:r>
      <w:r>
        <w:rPr>
          <w:rFonts w:ascii="Arial" w:hAnsi="Arial" w:cs="Arial" w:eastAsia="Arial" w:hint="default"/>
          <w:spacing w:val="8"/>
          <w:sz w:val="16"/>
          <w:szCs w:val="16"/>
        </w:rPr>
      </w:r>
      <w:r>
        <w:rPr>
          <w:rFonts w:ascii="Arial" w:hAnsi="Arial" w:cs="Arial" w:eastAsia="Arial" w:hint="default"/>
          <w:spacing w:val="8"/>
          <w:sz w:val="16"/>
          <w:szCs w:val="16"/>
          <w:u w:val="single" w:color="000000"/>
        </w:rPr>
        <w:t> </w:t>
      </w:r>
      <w:r>
        <w:rPr>
          <w:rFonts w:ascii="Arial" w:hAnsi="Arial" w:cs="Arial" w:eastAsia="Arial" w:hint="default"/>
          <w:sz w:val="16"/>
          <w:szCs w:val="16"/>
          <w:u w:val="single" w:color="000000"/>
        </w:rPr>
        <w:t>-</w:t>
        <w:tab/>
      </w:r>
      <w:r>
        <w:rPr>
          <w:rFonts w:ascii="Arial" w:hAnsi="Arial" w:cs="Arial" w:eastAsia="Arial" w:hint="default"/>
          <w:sz w:val="16"/>
          <w:szCs w:val="16"/>
        </w:rPr>
      </w:r>
      <w:r>
        <w:rPr>
          <w:rFonts w:ascii="Arial" w:hAnsi="Arial" w:cs="Arial" w:eastAsia="Arial" w:hint="default"/>
          <w:sz w:val="16"/>
          <w:szCs w:val="16"/>
          <w:u w:val="single" w:color="000000"/>
        </w:rPr>
        <w:t> </w:t>
        <w:tab/>
      </w:r>
      <w:r>
        <w:rPr>
          <w:rFonts w:ascii="Arial" w:hAnsi="Arial" w:cs="Arial" w:eastAsia="Arial" w:hint="default"/>
          <w:w w:val="95"/>
          <w:sz w:val="16"/>
          <w:szCs w:val="16"/>
          <w:u w:val="single" w:color="000000"/>
        </w:rPr>
        <w:t>-</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t>-</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r>
      <w:r>
        <w:rPr>
          <w:rFonts w:ascii="Arial" w:hAnsi="Arial" w:cs="Arial" w:eastAsia="Arial" w:hint="default"/>
          <w:sz w:val="16"/>
          <w:szCs w:val="16"/>
          <w:u w:val="single" w:color="000000"/>
        </w:rPr>
        <w:t>-      </w:t>
      </w:r>
      <w:r>
        <w:rPr>
          <w:rFonts w:ascii="Arial" w:hAnsi="Arial" w:cs="Arial" w:eastAsia="Arial" w:hint="default"/>
          <w:spacing w:val="32"/>
          <w:sz w:val="16"/>
          <w:szCs w:val="16"/>
          <w:u w:val="single" w:color="000000"/>
        </w:rPr>
        <w:t> </w:t>
      </w:r>
      <w:r>
        <w:rPr>
          <w:rFonts w:ascii="Arial" w:hAnsi="Arial" w:cs="Arial" w:eastAsia="Arial" w:hint="default"/>
          <w:spacing w:val="32"/>
          <w:sz w:val="16"/>
          <w:szCs w:val="16"/>
        </w:rPr>
      </w:r>
      <w:r>
        <w:rPr>
          <w:rFonts w:ascii="Arial" w:hAnsi="Arial" w:cs="Arial" w:eastAsia="Arial" w:hint="default"/>
          <w:spacing w:val="32"/>
          <w:sz w:val="16"/>
          <w:szCs w:val="16"/>
          <w:u w:val="single" w:color="000000"/>
        </w:rPr>
        <w:t> </w:t>
      </w:r>
      <w:r>
        <w:rPr>
          <w:rFonts w:ascii="Arial" w:hAnsi="Arial" w:cs="Arial" w:eastAsia="Arial" w:hint="default"/>
          <w:sz w:val="16"/>
          <w:szCs w:val="16"/>
          <w:u w:val="single" w:color="000000"/>
        </w:rPr>
        <w:t>-</w:t>
        <w:tab/>
      </w:r>
      <w:r>
        <w:rPr>
          <w:rFonts w:ascii="Arial" w:hAnsi="Arial" w:cs="Arial" w:eastAsia="Arial" w:hint="default"/>
          <w:sz w:val="16"/>
          <w:szCs w:val="16"/>
        </w:rPr>
      </w:r>
      <w:r>
        <w:rPr>
          <w:rFonts w:ascii="Arial" w:hAnsi="Arial" w:cs="Arial" w:eastAsia="Arial" w:hint="default"/>
          <w:sz w:val="16"/>
          <w:szCs w:val="16"/>
          <w:u w:val="single" w:color="000000"/>
        </w:rPr>
        <w:t> </w:t>
        <w:tab/>
      </w:r>
      <w:r>
        <w:rPr>
          <w:rFonts w:ascii="Arial" w:hAnsi="Arial" w:cs="Arial" w:eastAsia="Arial" w:hint="default"/>
          <w:w w:val="95"/>
          <w:sz w:val="16"/>
          <w:szCs w:val="16"/>
          <w:u w:val="single" w:color="000000"/>
        </w:rPr>
        <w:t>-</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r>
      <w:r>
        <w:rPr>
          <w:rFonts w:ascii="Arial" w:hAnsi="Arial" w:cs="Arial" w:eastAsia="Arial" w:hint="default"/>
          <w:sz w:val="16"/>
          <w:szCs w:val="16"/>
          <w:u w:val="single" w:color="000000"/>
        </w:rPr>
        <w:t>-</w:t>
        <w:tab/>
      </w:r>
      <w:r>
        <w:rPr>
          <w:rFonts w:ascii="Arial" w:hAnsi="Arial" w:cs="Arial" w:eastAsia="Arial" w:hint="default"/>
          <w:sz w:val="16"/>
          <w:szCs w:val="16"/>
        </w:rPr>
      </w:r>
    </w:p>
    <w:p>
      <w:pPr>
        <w:spacing w:line="240" w:lineRule="auto" w:before="7"/>
        <w:rPr>
          <w:rFonts w:ascii="Arial" w:hAnsi="Arial" w:cs="Arial" w:eastAsia="Arial" w:hint="default"/>
          <w:sz w:val="10"/>
          <w:szCs w:val="10"/>
        </w:rPr>
      </w:pPr>
    </w:p>
    <w:p>
      <w:pPr>
        <w:tabs>
          <w:tab w:pos="2256" w:val="left" w:leader="none"/>
          <w:tab w:pos="3499" w:val="left" w:leader="none"/>
          <w:tab w:pos="5471" w:val="left" w:leader="none"/>
          <w:tab w:pos="9219" w:val="left" w:leader="none"/>
        </w:tabs>
        <w:spacing w:before="52"/>
        <w:ind w:left="601" w:right="0" w:firstLine="0"/>
        <w:jc w:val="left"/>
        <w:rPr>
          <w:rFonts w:ascii="Arial" w:hAnsi="Arial" w:cs="Arial" w:eastAsia="Arial" w:hint="default"/>
          <w:sz w:val="16"/>
          <w:szCs w:val="16"/>
        </w:rPr>
      </w:pPr>
      <w:r>
        <w:rPr>
          <w:rFonts w:ascii="宋体" w:hAnsi="宋体" w:cs="宋体" w:eastAsia="宋体" w:hint="default"/>
          <w:w w:val="95"/>
          <w:position w:val="1"/>
          <w:sz w:val="16"/>
          <w:szCs w:val="16"/>
        </w:rPr>
        <w:t>合计</w:t>
        <w:tab/>
      </w:r>
      <w:r>
        <w:rPr>
          <w:rFonts w:ascii="Arial" w:hAnsi="Arial" w:cs="Arial" w:eastAsia="Arial" w:hint="default"/>
          <w:w w:val="95"/>
          <w:sz w:val="16"/>
          <w:szCs w:val="16"/>
        </w:rPr>
        <w:t>7,174,826,218</w:t>
        <w:tab/>
      </w:r>
      <w:r>
        <w:rPr>
          <w:rFonts w:ascii="Arial" w:hAnsi="Arial" w:cs="Arial" w:eastAsia="Arial" w:hint="default"/>
          <w:sz w:val="16"/>
          <w:szCs w:val="16"/>
        </w:rPr>
        <w:t>100.00 </w:t>
      </w:r>
      <w:r>
        <w:rPr>
          <w:rFonts w:ascii="Arial" w:hAnsi="Arial" w:cs="Arial" w:eastAsia="Arial" w:hint="default"/>
          <w:spacing w:val="33"/>
          <w:sz w:val="16"/>
          <w:szCs w:val="16"/>
        </w:rPr>
        <w:t> </w:t>
      </w:r>
      <w:r>
        <w:rPr>
          <w:rFonts w:ascii="Arial" w:hAnsi="Arial" w:cs="Arial" w:eastAsia="Arial" w:hint="default"/>
          <w:sz w:val="16"/>
          <w:szCs w:val="16"/>
        </w:rPr>
        <w:t>(507,409,927)</w:t>
        <w:tab/>
        <w:t>0~100  16,123,594,110    100.00 </w:t>
      </w:r>
      <w:r>
        <w:rPr>
          <w:rFonts w:ascii="Arial" w:hAnsi="Arial" w:cs="Arial" w:eastAsia="Arial" w:hint="default"/>
          <w:spacing w:val="20"/>
          <w:sz w:val="16"/>
          <w:szCs w:val="16"/>
        </w:rPr>
        <w:t> </w:t>
      </w:r>
      <w:r>
        <w:rPr>
          <w:rFonts w:ascii="Arial" w:hAnsi="Arial" w:cs="Arial" w:eastAsia="Arial" w:hint="default"/>
          <w:sz w:val="16"/>
          <w:szCs w:val="16"/>
        </w:rPr>
        <w:t>(487,575,263)</w:t>
        <w:tab/>
        <w:t>0~100</w:t>
      </w:r>
    </w:p>
    <w:p>
      <w:pPr>
        <w:spacing w:line="43" w:lineRule="exact"/>
        <w:ind w:left="2218" w:right="0" w:firstLine="0"/>
        <w:rPr>
          <w:rFonts w:ascii="Arial" w:hAnsi="Arial" w:cs="Arial" w:eastAsia="Arial" w:hint="default"/>
          <w:sz w:val="4"/>
          <w:szCs w:val="4"/>
        </w:rPr>
      </w:pPr>
      <w:r>
        <w:rPr>
          <w:rFonts w:ascii="Arial" w:hAnsi="Arial" w:cs="Arial" w:eastAsia="Arial" w:hint="default"/>
          <w:position w:val="0"/>
          <w:sz w:val="4"/>
          <w:szCs w:val="4"/>
        </w:rPr>
        <w:pict>
          <v:group style="width:374.5pt;height:2.2pt;mso-position-horizontal-relative:char;mso-position-vertical-relative:line" coordorigin="0,0" coordsize="7490,44">
            <v:group style="position:absolute;left:7;top:36;width:1150;height:2" coordorigin="7,36" coordsize="1150,2">
              <v:shape style="position:absolute;left:7;top:36;width:1150;height:2" coordorigin="7,36" coordsize="1150,0" path="m7,36l1157,36e" filled="false" stroked="true" strokeweight=".72pt" strokecolor="#000000">
                <v:path arrowok="t"/>
              </v:shape>
            </v:group>
            <v:group style="position:absolute;left:7;top:7;width:1150;height:2" coordorigin="7,7" coordsize="1150,2">
              <v:shape style="position:absolute;left:7;top:7;width:1150;height:2" coordorigin="7,7" coordsize="1150,0" path="m7,7l1157,7e" filled="false" stroked="true" strokeweight=".72pt" strokecolor="#000000">
                <v:path arrowok="t"/>
              </v:shape>
            </v:group>
            <v:group style="position:absolute;left:1196;top:36;width:591;height:2" coordorigin="1196,36" coordsize="591,2">
              <v:shape style="position:absolute;left:1196;top:36;width:591;height:2" coordorigin="1196,36" coordsize="591,0" path="m1196,36l1787,36e" filled="false" stroked="true" strokeweight=".72pt" strokecolor="#000000">
                <v:path arrowok="t"/>
              </v:shape>
            </v:group>
            <v:group style="position:absolute;left:1196;top:7;width:591;height:2" coordorigin="1196,7" coordsize="591,2">
              <v:shape style="position:absolute;left:1196;top:7;width:591;height:2" coordorigin="1196,7" coordsize="591,0" path="m1196,7l1787,7e" filled="false" stroked="true" strokeweight=".72pt" strokecolor="#000000">
                <v:path arrowok="t"/>
              </v:shape>
            </v:group>
            <v:group style="position:absolute;left:1826;top:36;width:1101;height:2" coordorigin="1826,36" coordsize="1101,2">
              <v:shape style="position:absolute;left:1826;top:36;width:1101;height:2" coordorigin="1826,36" coordsize="1101,0" path="m1826,36l2927,36e" filled="false" stroked="true" strokeweight=".72pt" strokecolor="#000000">
                <v:path arrowok="t"/>
              </v:shape>
            </v:group>
            <v:group style="position:absolute;left:1826;top:7;width:1101;height:2" coordorigin="1826,7" coordsize="1101,2">
              <v:shape style="position:absolute;left:1826;top:7;width:1101;height:2" coordorigin="1826,7" coordsize="1101,0" path="m1826,7l2927,7e" filled="false" stroked="true" strokeweight=".72pt" strokecolor="#000000">
                <v:path arrowok="t"/>
              </v:shape>
            </v:group>
            <v:group style="position:absolute;left:2966;top:36;width:753;height:2" coordorigin="2966,36" coordsize="753,2">
              <v:shape style="position:absolute;left:2966;top:36;width:753;height:2" coordorigin="2966,36" coordsize="753,0" path="m2966,36l3719,36e" filled="false" stroked="true" strokeweight=".72pt" strokecolor="#000000">
                <v:path arrowok="t"/>
              </v:shape>
            </v:group>
            <v:group style="position:absolute;left:2966;top:7;width:753;height:2" coordorigin="2966,7" coordsize="753,2">
              <v:shape style="position:absolute;left:2966;top:7;width:753;height:2" coordorigin="2966,7" coordsize="753,0" path="m2966,7l3719,7e" filled="false" stroked="true" strokeweight=".72pt" strokecolor="#000000">
                <v:path arrowok="t"/>
              </v:shape>
            </v:group>
            <v:group style="position:absolute;left:3764;top:36;width:1220;height:2" coordorigin="3764,36" coordsize="1220,2">
              <v:shape style="position:absolute;left:3764;top:36;width:1220;height:2" coordorigin="3764,36" coordsize="1220,0" path="m3764,36l4984,36e" filled="false" stroked="true" strokeweight=".72pt" strokecolor="#000000">
                <v:path arrowok="t"/>
              </v:shape>
            </v:group>
            <v:group style="position:absolute;left:3764;top:7;width:1220;height:2" coordorigin="3764,7" coordsize="1220,2">
              <v:shape style="position:absolute;left:3764;top:7;width:1220;height:2" coordorigin="3764,7" coordsize="1220,0" path="m3764,7l4984,7e" filled="false" stroked="true" strokeweight=".72pt" strokecolor="#000000">
                <v:path arrowok="t"/>
              </v:shape>
            </v:group>
            <v:group style="position:absolute;left:5023;top:36;width:569;height:2" coordorigin="5023,36" coordsize="569,2">
              <v:shape style="position:absolute;left:5023;top:36;width:569;height:2" coordorigin="5023,36" coordsize="569,0" path="m5023,36l5592,36e" filled="false" stroked="true" strokeweight=".72pt" strokecolor="#000000">
                <v:path arrowok="t"/>
              </v:shape>
            </v:group>
            <v:group style="position:absolute;left:5023;top:7;width:569;height:2" coordorigin="5023,7" coordsize="569,2">
              <v:shape style="position:absolute;left:5023;top:7;width:569;height:2" coordorigin="5023,7" coordsize="569,0" path="m5023,7l5592,7e" filled="false" stroked="true" strokeweight=".72pt" strokecolor="#000000">
                <v:path arrowok="t"/>
              </v:shape>
            </v:group>
            <v:group style="position:absolute;left:5636;top:36;width:1062;height:2" coordorigin="5636,36" coordsize="1062,2">
              <v:shape style="position:absolute;left:5636;top:36;width:1062;height:2" coordorigin="5636,36" coordsize="1062,0" path="m5636,36l6698,36e" filled="false" stroked="true" strokeweight=".72pt" strokecolor="#000000">
                <v:path arrowok="t"/>
              </v:shape>
            </v:group>
            <v:group style="position:absolute;left:5636;top:7;width:1062;height:2" coordorigin="5636,7" coordsize="1062,2">
              <v:shape style="position:absolute;left:5636;top:7;width:1062;height:2" coordorigin="5636,7" coordsize="1062,0" path="m5636,7l6698,7e" filled="false" stroked="true" strokeweight=".72pt" strokecolor="#000000">
                <v:path arrowok="t"/>
              </v:shape>
            </v:group>
            <v:group style="position:absolute;left:6743;top:36;width:740;height:2" coordorigin="6743,36" coordsize="740,2">
              <v:shape style="position:absolute;left:6743;top:36;width:740;height:2" coordorigin="6743,36" coordsize="740,0" path="m6743,36l7482,36e" filled="false" stroked="true" strokeweight=".72pt" strokecolor="#000000">
                <v:path arrowok="t"/>
              </v:shape>
            </v:group>
            <v:group style="position:absolute;left:6743;top:7;width:740;height:2" coordorigin="6743,7" coordsize="740,2">
              <v:shape style="position:absolute;left:6743;top:7;width:740;height:2" coordorigin="6743,7" coordsize="740,0" path="m6743,7l7482,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6"/>
        <w:rPr>
          <w:rFonts w:ascii="Arial" w:hAnsi="Arial" w:cs="Arial" w:eastAsia="Arial" w:hint="default"/>
          <w:sz w:val="16"/>
          <w:szCs w:val="16"/>
        </w:rPr>
      </w:pPr>
    </w:p>
    <w:p>
      <w:pPr>
        <w:pStyle w:val="BodyText"/>
        <w:tabs>
          <w:tab w:pos="589" w:val="left" w:leader="none"/>
        </w:tabs>
        <w:spacing w:line="284" w:lineRule="exact" w:before="61"/>
        <w:ind w:left="589" w:right="109" w:hanging="462"/>
        <w:jc w:val="left"/>
      </w:pPr>
      <w:r>
        <w:rPr>
          <w:rFonts w:ascii="Arial" w:hAnsi="Arial" w:cs="Arial" w:eastAsia="Arial" w:hint="default"/>
          <w:w w:val="95"/>
        </w:rPr>
        <w:t>(c)</w:t>
        <w:tab/>
      </w:r>
      <w:r>
        <w:rPr/>
        <w:t>于</w:t>
      </w:r>
      <w:r>
        <w:rPr>
          <w:spacing w:val="-57"/>
        </w:rPr>
        <w:t> </w:t>
      </w:r>
      <w:r>
        <w:rPr>
          <w:rFonts w:ascii="Arial" w:hAnsi="Arial" w:cs="Arial" w:eastAsia="Arial" w:hint="default"/>
        </w:rPr>
        <w:t>2009</w:t>
      </w:r>
      <w:r>
        <w:rPr>
          <w:rFonts w:ascii="Arial" w:hAnsi="Arial" w:cs="Arial" w:eastAsia="Arial" w:hint="default"/>
          <w:spacing w:val="-8"/>
        </w:rPr>
        <w:t> </w:t>
      </w:r>
      <w:r>
        <w:rPr/>
        <w:t>年</w:t>
      </w:r>
      <w:r>
        <w:rPr>
          <w:spacing w:val="-57"/>
        </w:rPr>
        <w:t> </w:t>
      </w: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t>日，单项金额重大并单独进行测试的其他应收款无需计提坏账准备。此外，</w:t>
      </w:r>
      <w:r>
        <w:rPr>
          <w:w w:val="99"/>
        </w:rPr>
        <w:t> </w:t>
      </w:r>
      <w:r>
        <w:rPr/>
        <w:t>无虽不重大但单独进行减值测试的其他应收款。</w:t>
      </w:r>
    </w:p>
    <w:p>
      <w:pPr>
        <w:spacing w:line="240" w:lineRule="auto" w:before="2"/>
        <w:rPr>
          <w:rFonts w:ascii="宋体" w:hAnsi="宋体" w:cs="宋体" w:eastAsia="宋体" w:hint="default"/>
          <w:sz w:val="17"/>
          <w:szCs w:val="17"/>
        </w:rPr>
      </w:pPr>
    </w:p>
    <w:p>
      <w:pPr>
        <w:pStyle w:val="BodyText"/>
        <w:spacing w:line="240" w:lineRule="auto"/>
        <w:ind w:left="142" w:right="0"/>
        <w:jc w:val="left"/>
      </w:pPr>
      <w:r>
        <w:rPr>
          <w:rFonts w:ascii="Arial" w:hAnsi="Arial" w:cs="Arial" w:eastAsia="Arial" w:hint="default"/>
        </w:rPr>
        <w:t>(d) </w:t>
      </w:r>
      <w:r>
        <w:rPr>
          <w:rFonts w:ascii="Arial" w:hAnsi="Arial" w:cs="Arial" w:eastAsia="Arial" w:hint="default"/>
          <w:spacing w:val="27"/>
        </w:rPr>
        <w:t> </w:t>
      </w:r>
      <w:r>
        <w:rPr/>
        <w:t>单项金额不重大但按信用风险特征组合后该组合风险较大的其他应收款分析如下：</w:t>
      </w:r>
    </w:p>
    <w:p>
      <w:pPr>
        <w:spacing w:line="240" w:lineRule="auto" w:before="9"/>
        <w:rPr>
          <w:rFonts w:ascii="宋体" w:hAnsi="宋体" w:cs="宋体" w:eastAsia="宋体" w:hint="default"/>
          <w:sz w:val="18"/>
          <w:szCs w:val="18"/>
        </w:rPr>
      </w:pPr>
    </w:p>
    <w:p>
      <w:pPr>
        <w:tabs>
          <w:tab w:pos="4364" w:val="left" w:leader="none"/>
          <w:tab w:pos="6338" w:val="left" w:leader="none"/>
          <w:tab w:pos="6540" w:val="left" w:leader="none"/>
          <w:tab w:pos="8328" w:val="left" w:leader="none"/>
        </w:tabs>
        <w:spacing w:line="242" w:lineRule="auto" w:before="0"/>
        <w:ind w:left="2377" w:right="955" w:firstLine="587"/>
        <w:jc w:val="left"/>
        <w:rPr>
          <w:rFonts w:ascii="宋体" w:hAnsi="宋体" w:cs="宋体" w:eastAsia="宋体" w:hint="default"/>
          <w:sz w:val="16"/>
          <w:szCs w:val="16"/>
        </w:rPr>
      </w:pPr>
      <w:r>
        <w:rPr/>
        <w:pict>
          <v:group style="position:absolute;margin-left:146.820007pt;margin-top:11.742539pt;width:394.65pt;height:.75pt;mso-position-horizontal-relative:page;mso-position-vertical-relative:paragraph;z-index:-916960" coordorigin="2936,235" coordsize="7893,15">
            <v:group style="position:absolute;left:2944;top:242;width:3900;height:2" coordorigin="2944,242" coordsize="3900,2">
              <v:shape style="position:absolute;left:2944;top:242;width:3900;height:2" coordorigin="2944,242" coordsize="3900,0" path="m2944,242l6844,242e" filled="false" stroked="true" strokeweight=".72pt" strokecolor="#000000">
                <v:path arrowok="t"/>
              </v:shape>
            </v:group>
            <v:group style="position:absolute;left:6919;top:242;width:3903;height:2" coordorigin="6919,242" coordsize="3903,2">
              <v:shape style="position:absolute;left:6919;top:242;width:3903;height:2" coordorigin="6919,242" coordsize="3903,0" path="m6919,242l10822,242e" filled="false" stroked="true" strokeweight=".72pt" strokecolor="#000000">
                <v:path arrowok="t"/>
              </v:shape>
            </v:group>
            <w10:wrap type="none"/>
          </v:group>
        </w:pict>
      </w:r>
      <w:r>
        <w:rPr>
          <w:rFonts w:ascii="Arial" w:hAnsi="Arial" w:cs="Arial" w:eastAsia="Arial" w:hint="default"/>
          <w:sz w:val="16"/>
          <w:szCs w:val="16"/>
        </w:rPr>
        <w:t>2009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12</w:t>
      </w:r>
      <w:r>
        <w:rPr>
          <w:rFonts w:ascii="Arial" w:hAnsi="Arial" w:cs="Arial" w:eastAsia="Arial" w:hint="default"/>
          <w:spacing w:val="-5"/>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tab/>
        <w:tab/>
        <w:tab/>
      </w:r>
      <w:r>
        <w:rPr>
          <w:rFonts w:ascii="Arial" w:hAnsi="Arial" w:cs="Arial" w:eastAsia="Arial" w:hint="default"/>
          <w:sz w:val="16"/>
          <w:szCs w:val="16"/>
        </w:rPr>
        <w:t>2008</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12</w:t>
      </w:r>
      <w:r>
        <w:rPr>
          <w:rFonts w:ascii="Arial" w:hAnsi="Arial" w:cs="Arial" w:eastAsia="Arial" w:hint="default"/>
          <w:spacing w:val="-5"/>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日（经重列）</w:t>
      </w:r>
      <w:r>
        <w:rPr>
          <w:rFonts w:ascii="宋体" w:hAnsi="宋体" w:cs="宋体" w:eastAsia="宋体" w:hint="default"/>
          <w:w w:val="99"/>
          <w:sz w:val="16"/>
          <w:szCs w:val="16"/>
        </w:rPr>
        <w:t> </w:t>
      </w:r>
      <w:r>
        <w:rPr>
          <w:rFonts w:ascii="宋体" w:hAnsi="宋体" w:cs="宋体" w:eastAsia="宋体" w:hint="default"/>
          <w:w w:val="95"/>
          <w:sz w:val="16"/>
          <w:szCs w:val="16"/>
        </w:rPr>
        <w:t>账面余额</w:t>
        <w:tab/>
        <w:t>坏账准备</w:t>
        <w:tab/>
        <w:t>账面余额</w:t>
        <w:tab/>
      </w:r>
      <w:r>
        <w:rPr>
          <w:rFonts w:ascii="宋体" w:hAnsi="宋体" w:cs="宋体" w:eastAsia="宋体" w:hint="default"/>
          <w:sz w:val="16"/>
          <w:szCs w:val="16"/>
        </w:rPr>
        <w:t>坏账准备</w:t>
      </w:r>
    </w:p>
    <w:p>
      <w:pPr>
        <w:spacing w:line="240" w:lineRule="auto" w:before="4"/>
        <w:rPr>
          <w:rFonts w:ascii="宋体" w:hAnsi="宋体" w:cs="宋体" w:eastAsia="宋体" w:hint="default"/>
          <w:sz w:val="2"/>
          <w:szCs w:val="2"/>
        </w:rPr>
      </w:pPr>
    </w:p>
    <w:tbl>
      <w:tblPr>
        <w:tblW w:w="0" w:type="auto"/>
        <w:jc w:val="left"/>
        <w:tblInd w:w="594" w:type="dxa"/>
        <w:tblLayout w:type="fixed"/>
        <w:tblCellMar>
          <w:top w:w="0" w:type="dxa"/>
          <w:left w:w="0" w:type="dxa"/>
          <w:bottom w:w="0" w:type="dxa"/>
          <w:right w:w="0" w:type="dxa"/>
        </w:tblCellMar>
        <w:tblLook w:val="01E0"/>
      </w:tblPr>
      <w:tblGrid>
        <w:gridCol w:w="1109"/>
        <w:gridCol w:w="1407"/>
        <w:gridCol w:w="682"/>
        <w:gridCol w:w="1152"/>
        <w:gridCol w:w="773"/>
        <w:gridCol w:w="1329"/>
        <w:gridCol w:w="690"/>
        <w:gridCol w:w="1148"/>
        <w:gridCol w:w="697"/>
      </w:tblGrid>
      <w:tr>
        <w:trPr>
          <w:trHeight w:val="430" w:hRule="exact"/>
        </w:trPr>
        <w:tc>
          <w:tcPr>
            <w:tcW w:w="1109" w:type="dxa"/>
            <w:tcBorders>
              <w:top w:val="nil" w:sz="6" w:space="0" w:color="auto"/>
              <w:left w:val="nil" w:sz="6" w:space="0" w:color="auto"/>
              <w:bottom w:val="nil" w:sz="6" w:space="0" w:color="auto"/>
              <w:right w:val="nil" w:sz="6" w:space="0" w:color="auto"/>
            </w:tcBorders>
          </w:tcPr>
          <w:p>
            <w:pPr/>
          </w:p>
        </w:tc>
        <w:tc>
          <w:tcPr>
            <w:tcW w:w="1407" w:type="dxa"/>
            <w:tcBorders>
              <w:top w:val="single" w:sz="6" w:space="0" w:color="000000"/>
              <w:left w:val="nil" w:sz="6" w:space="0" w:color="auto"/>
              <w:bottom w:val="single" w:sz="6" w:space="0" w:color="000000"/>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44"/>
              <w:jc w:val="righ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c>
        <w:tc>
          <w:tcPr>
            <w:tcW w:w="682" w:type="dxa"/>
            <w:tcBorders>
              <w:top w:val="single" w:sz="6" w:space="0" w:color="000000"/>
              <w:left w:val="nil" w:sz="6" w:space="0" w:color="auto"/>
              <w:bottom w:val="single" w:sz="6" w:space="0" w:color="000000"/>
              <w:right w:val="nil" w:sz="6" w:space="0" w:color="auto"/>
            </w:tcBorders>
          </w:tcPr>
          <w:p>
            <w:pPr>
              <w:pStyle w:val="TableParagraph"/>
              <w:spacing w:line="206" w:lineRule="exact"/>
              <w:ind w:left="225" w:right="0"/>
              <w:jc w:val="left"/>
              <w:rPr>
                <w:rFonts w:ascii="宋体" w:hAnsi="宋体" w:cs="宋体" w:eastAsia="宋体" w:hint="default"/>
                <w:sz w:val="16"/>
                <w:szCs w:val="16"/>
              </w:rPr>
            </w:pPr>
            <w:r>
              <w:rPr>
                <w:rFonts w:ascii="宋体" w:hAnsi="宋体" w:cs="宋体" w:eastAsia="宋体" w:hint="default"/>
                <w:sz w:val="16"/>
                <w:szCs w:val="16"/>
              </w:rPr>
              <w:t>比例</w:t>
            </w:r>
          </w:p>
          <w:p>
            <w:pPr>
              <w:pStyle w:val="TableParagraph"/>
              <w:spacing w:line="240" w:lineRule="auto" w:before="23"/>
              <w:ind w:left="299" w:right="0"/>
              <w:jc w:val="left"/>
              <w:rPr>
                <w:rFonts w:ascii="Arial" w:hAnsi="Arial" w:cs="Arial" w:eastAsia="Arial" w:hint="default"/>
                <w:sz w:val="16"/>
                <w:szCs w:val="16"/>
              </w:rPr>
            </w:pPr>
            <w:r>
              <w:rPr>
                <w:rFonts w:ascii="Arial"/>
                <w:sz w:val="16"/>
              </w:rPr>
              <w:t>(%)</w:t>
            </w:r>
          </w:p>
        </w:tc>
        <w:tc>
          <w:tcPr>
            <w:tcW w:w="1152" w:type="dxa"/>
            <w:tcBorders>
              <w:top w:val="single" w:sz="6" w:space="0" w:color="000000"/>
              <w:left w:val="nil" w:sz="6" w:space="0" w:color="auto"/>
              <w:bottom w:val="single" w:sz="6" w:space="0" w:color="000000"/>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8"/>
              <w:jc w:val="righ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c>
        <w:tc>
          <w:tcPr>
            <w:tcW w:w="773" w:type="dxa"/>
            <w:tcBorders>
              <w:top w:val="single" w:sz="6" w:space="0" w:color="000000"/>
              <w:left w:val="nil" w:sz="6" w:space="0" w:color="auto"/>
              <w:bottom w:val="single" w:sz="6" w:space="0" w:color="000000"/>
              <w:right w:val="nil" w:sz="6" w:space="0" w:color="auto"/>
            </w:tcBorders>
          </w:tcPr>
          <w:p>
            <w:pPr>
              <w:pStyle w:val="TableParagraph"/>
              <w:spacing w:line="182" w:lineRule="exact"/>
              <w:ind w:left="229" w:right="0" w:hanging="72"/>
              <w:jc w:val="left"/>
              <w:rPr>
                <w:rFonts w:ascii="宋体" w:hAnsi="宋体" w:cs="宋体" w:eastAsia="宋体" w:hint="default"/>
                <w:sz w:val="16"/>
                <w:szCs w:val="16"/>
              </w:rPr>
            </w:pPr>
            <w:r>
              <w:rPr>
                <w:rFonts w:ascii="宋体" w:hAnsi="宋体" w:cs="宋体" w:eastAsia="宋体" w:hint="default"/>
                <w:sz w:val="16"/>
                <w:szCs w:val="16"/>
              </w:rPr>
              <w:t>计提比</w:t>
            </w:r>
          </w:p>
          <w:p>
            <w:pPr>
              <w:pStyle w:val="TableParagraph"/>
              <w:spacing w:line="220" w:lineRule="exact"/>
              <w:ind w:left="229" w:right="0"/>
              <w:jc w:val="left"/>
              <w:rPr>
                <w:rFonts w:ascii="Arial" w:hAnsi="Arial" w:cs="Arial" w:eastAsia="Arial" w:hint="default"/>
                <w:sz w:val="16"/>
                <w:szCs w:val="16"/>
              </w:rPr>
            </w:pPr>
            <w:r>
              <w:rPr>
                <w:rFonts w:ascii="宋体" w:hAnsi="宋体" w:cs="宋体" w:eastAsia="宋体" w:hint="default"/>
                <w:sz w:val="16"/>
                <w:szCs w:val="16"/>
              </w:rPr>
              <w:t>例</w:t>
            </w:r>
            <w:r>
              <w:rPr>
                <w:rFonts w:ascii="Arial" w:hAnsi="Arial" w:cs="Arial" w:eastAsia="Arial" w:hint="default"/>
                <w:sz w:val="16"/>
                <w:szCs w:val="16"/>
              </w:rPr>
              <w:t>(%)</w:t>
            </w:r>
          </w:p>
        </w:tc>
        <w:tc>
          <w:tcPr>
            <w:tcW w:w="1329" w:type="dxa"/>
            <w:tcBorders>
              <w:top w:val="single" w:sz="6" w:space="0" w:color="000000"/>
              <w:left w:val="nil" w:sz="6" w:space="0" w:color="auto"/>
              <w:bottom w:val="single" w:sz="6" w:space="0" w:color="000000"/>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55"/>
              <w:jc w:val="righ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c>
        <w:tc>
          <w:tcPr>
            <w:tcW w:w="690" w:type="dxa"/>
            <w:tcBorders>
              <w:top w:val="single" w:sz="6" w:space="0" w:color="000000"/>
              <w:left w:val="nil" w:sz="6" w:space="0" w:color="auto"/>
              <w:bottom w:val="single" w:sz="6" w:space="0" w:color="000000"/>
              <w:right w:val="nil" w:sz="6" w:space="0" w:color="auto"/>
            </w:tcBorders>
          </w:tcPr>
          <w:p>
            <w:pPr>
              <w:pStyle w:val="TableParagraph"/>
              <w:spacing w:line="206" w:lineRule="exact"/>
              <w:ind w:left="238" w:right="0"/>
              <w:jc w:val="left"/>
              <w:rPr>
                <w:rFonts w:ascii="宋体" w:hAnsi="宋体" w:cs="宋体" w:eastAsia="宋体" w:hint="default"/>
                <w:sz w:val="16"/>
                <w:szCs w:val="16"/>
              </w:rPr>
            </w:pPr>
            <w:r>
              <w:rPr>
                <w:rFonts w:ascii="宋体" w:hAnsi="宋体" w:cs="宋体" w:eastAsia="宋体" w:hint="default"/>
                <w:sz w:val="16"/>
                <w:szCs w:val="16"/>
              </w:rPr>
              <w:t>比例</w:t>
            </w:r>
          </w:p>
          <w:p>
            <w:pPr>
              <w:pStyle w:val="TableParagraph"/>
              <w:spacing w:line="240" w:lineRule="auto" w:before="23"/>
              <w:ind w:left="310" w:right="0"/>
              <w:jc w:val="left"/>
              <w:rPr>
                <w:rFonts w:ascii="Arial" w:hAnsi="Arial" w:cs="Arial" w:eastAsia="Arial" w:hint="default"/>
                <w:sz w:val="16"/>
                <w:szCs w:val="16"/>
              </w:rPr>
            </w:pPr>
            <w:r>
              <w:rPr>
                <w:rFonts w:ascii="Arial"/>
                <w:sz w:val="16"/>
              </w:rPr>
              <w:t>(%)</w:t>
            </w:r>
          </w:p>
        </w:tc>
        <w:tc>
          <w:tcPr>
            <w:tcW w:w="1148" w:type="dxa"/>
            <w:tcBorders>
              <w:top w:val="single" w:sz="6" w:space="0" w:color="000000"/>
              <w:left w:val="nil" w:sz="6" w:space="0" w:color="auto"/>
              <w:bottom w:val="single" w:sz="6" w:space="0" w:color="000000"/>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right="18"/>
              <w:jc w:val="right"/>
              <w:rPr>
                <w:rFonts w:ascii="宋体" w:hAnsi="宋体" w:cs="宋体" w:eastAsia="宋体" w:hint="default"/>
                <w:sz w:val="16"/>
                <w:szCs w:val="16"/>
              </w:rPr>
            </w:pPr>
            <w:r>
              <w:rPr>
                <w:rFonts w:ascii="宋体" w:hAnsi="宋体" w:cs="宋体" w:eastAsia="宋体" w:hint="default"/>
                <w:w w:val="95"/>
                <w:sz w:val="16"/>
                <w:szCs w:val="16"/>
              </w:rPr>
              <w:t>金额</w:t>
            </w:r>
            <w:r>
              <w:rPr>
                <w:rFonts w:ascii="宋体" w:hAnsi="宋体" w:cs="宋体" w:eastAsia="宋体" w:hint="default"/>
                <w:sz w:val="16"/>
                <w:szCs w:val="16"/>
              </w:rPr>
            </w:r>
          </w:p>
        </w:tc>
        <w:tc>
          <w:tcPr>
            <w:tcW w:w="697" w:type="dxa"/>
            <w:tcBorders>
              <w:top w:val="single" w:sz="6" w:space="0" w:color="000000"/>
              <w:left w:val="nil" w:sz="6" w:space="0" w:color="auto"/>
              <w:bottom w:val="single" w:sz="6" w:space="0" w:color="000000"/>
              <w:right w:val="nil" w:sz="6" w:space="0" w:color="auto"/>
            </w:tcBorders>
          </w:tcPr>
          <w:p>
            <w:pPr>
              <w:pStyle w:val="TableParagraph"/>
              <w:spacing w:line="183" w:lineRule="exact"/>
              <w:ind w:left="267" w:right="0" w:hanging="72"/>
              <w:jc w:val="left"/>
              <w:rPr>
                <w:rFonts w:ascii="宋体" w:hAnsi="宋体" w:cs="宋体" w:eastAsia="宋体" w:hint="default"/>
                <w:sz w:val="16"/>
                <w:szCs w:val="16"/>
              </w:rPr>
            </w:pPr>
            <w:r>
              <w:rPr>
                <w:rFonts w:ascii="宋体" w:hAnsi="宋体" w:cs="宋体" w:eastAsia="宋体" w:hint="default"/>
                <w:sz w:val="16"/>
                <w:szCs w:val="16"/>
              </w:rPr>
              <w:t>计提比</w:t>
            </w:r>
          </w:p>
          <w:p>
            <w:pPr>
              <w:pStyle w:val="TableParagraph"/>
              <w:spacing w:line="220" w:lineRule="exact"/>
              <w:ind w:left="267" w:right="0"/>
              <w:jc w:val="left"/>
              <w:rPr>
                <w:rFonts w:ascii="Arial" w:hAnsi="Arial" w:cs="Arial" w:eastAsia="Arial" w:hint="default"/>
                <w:sz w:val="16"/>
                <w:szCs w:val="16"/>
              </w:rPr>
            </w:pPr>
            <w:r>
              <w:rPr>
                <w:rFonts w:ascii="宋体" w:hAnsi="宋体" w:cs="宋体" w:eastAsia="宋体" w:hint="default"/>
                <w:sz w:val="16"/>
                <w:szCs w:val="16"/>
              </w:rPr>
              <w:t>例</w:t>
            </w:r>
            <w:r>
              <w:rPr>
                <w:rFonts w:ascii="Arial" w:hAnsi="Arial" w:cs="Arial" w:eastAsia="Arial" w:hint="default"/>
                <w:sz w:val="16"/>
                <w:szCs w:val="16"/>
              </w:rPr>
              <w:t>(%)</w:t>
            </w:r>
          </w:p>
        </w:tc>
      </w:tr>
      <w:tr>
        <w:trPr>
          <w:trHeight w:val="408" w:hRule="exact"/>
        </w:trPr>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35" w:right="0"/>
              <w:jc w:val="left"/>
              <w:rPr>
                <w:rFonts w:ascii="宋体" w:hAnsi="宋体" w:cs="宋体" w:eastAsia="宋体" w:hint="default"/>
                <w:sz w:val="16"/>
                <w:szCs w:val="16"/>
              </w:rPr>
            </w:pPr>
            <w:r>
              <w:rPr>
                <w:rFonts w:ascii="Arial" w:hAnsi="Arial" w:cs="Arial" w:eastAsia="Arial" w:hint="default"/>
                <w:sz w:val="16"/>
                <w:szCs w:val="16"/>
              </w:rPr>
              <w:t>1</w:t>
            </w:r>
            <w:r>
              <w:rPr>
                <w:rFonts w:ascii="Arial" w:hAnsi="Arial" w:cs="Arial" w:eastAsia="Arial" w:hint="default"/>
                <w:spacing w:val="-7"/>
                <w:sz w:val="16"/>
                <w:szCs w:val="16"/>
              </w:rPr>
              <w:t> </w:t>
            </w:r>
            <w:r>
              <w:rPr>
                <w:rFonts w:ascii="宋体" w:hAnsi="宋体" w:cs="宋体" w:eastAsia="宋体" w:hint="default"/>
                <w:sz w:val="16"/>
                <w:szCs w:val="16"/>
              </w:rPr>
              <w:t>年以内</w:t>
            </w:r>
          </w:p>
        </w:tc>
        <w:tc>
          <w:tcPr>
            <w:tcW w:w="1407"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67"/>
              <w:jc w:val="right"/>
              <w:rPr>
                <w:rFonts w:ascii="Arial" w:hAnsi="Arial" w:cs="Arial" w:eastAsia="Arial" w:hint="default"/>
                <w:sz w:val="16"/>
                <w:szCs w:val="16"/>
              </w:rPr>
            </w:pPr>
            <w:r>
              <w:rPr>
                <w:rFonts w:ascii="Arial"/>
                <w:w w:val="95"/>
                <w:sz w:val="16"/>
              </w:rPr>
              <w:t>1,512,160,806</w:t>
            </w:r>
            <w:r>
              <w:rPr>
                <w:rFonts w:ascii="Arial"/>
                <w:sz w:val="16"/>
              </w:rPr>
            </w:r>
          </w:p>
        </w:tc>
        <w:tc>
          <w:tcPr>
            <w:tcW w:w="682"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9" w:right="0"/>
              <w:jc w:val="center"/>
              <w:rPr>
                <w:rFonts w:ascii="Arial" w:hAnsi="Arial" w:cs="Arial" w:eastAsia="Arial" w:hint="default"/>
                <w:sz w:val="16"/>
                <w:szCs w:val="16"/>
              </w:rPr>
            </w:pPr>
            <w:r>
              <w:rPr>
                <w:rFonts w:ascii="Arial"/>
                <w:sz w:val="16"/>
              </w:rPr>
              <w:t>73.72</w:t>
            </w:r>
          </w:p>
        </w:tc>
        <w:tc>
          <w:tcPr>
            <w:tcW w:w="1152"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8"/>
              <w:jc w:val="right"/>
              <w:rPr>
                <w:rFonts w:ascii="Arial" w:hAnsi="Arial" w:cs="Arial" w:eastAsia="Arial" w:hint="default"/>
                <w:sz w:val="16"/>
                <w:szCs w:val="16"/>
              </w:rPr>
            </w:pPr>
            <w:r>
              <w:rPr>
                <w:rFonts w:ascii="Arial"/>
                <w:w w:val="95"/>
                <w:sz w:val="16"/>
              </w:rPr>
              <w:t>(126,960,183)</w:t>
            </w:r>
            <w:r>
              <w:rPr>
                <w:rFonts w:ascii="Arial"/>
                <w:sz w:val="16"/>
              </w:rPr>
            </w:r>
          </w:p>
        </w:tc>
        <w:tc>
          <w:tcPr>
            <w:tcW w:w="773"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34"/>
              <w:jc w:val="right"/>
              <w:rPr>
                <w:rFonts w:ascii="Arial" w:hAnsi="Arial" w:cs="Arial" w:eastAsia="Arial" w:hint="default"/>
                <w:sz w:val="16"/>
                <w:szCs w:val="16"/>
              </w:rPr>
            </w:pPr>
            <w:r>
              <w:rPr>
                <w:rFonts w:ascii="Arial"/>
                <w:w w:val="95"/>
                <w:sz w:val="16"/>
              </w:rPr>
              <w:t>0~10</w:t>
            </w:r>
            <w:r>
              <w:rPr>
                <w:rFonts w:ascii="Arial"/>
                <w:sz w:val="16"/>
              </w:rPr>
            </w:r>
          </w:p>
        </w:tc>
        <w:tc>
          <w:tcPr>
            <w:tcW w:w="1329"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69"/>
              <w:jc w:val="right"/>
              <w:rPr>
                <w:rFonts w:ascii="Arial" w:hAnsi="Arial" w:cs="Arial" w:eastAsia="Arial" w:hint="default"/>
                <w:sz w:val="16"/>
                <w:szCs w:val="16"/>
              </w:rPr>
            </w:pPr>
            <w:r>
              <w:rPr>
                <w:rFonts w:ascii="Arial"/>
                <w:w w:val="95"/>
                <w:sz w:val="16"/>
              </w:rPr>
              <w:t>1,410,152,815</w:t>
            </w:r>
            <w:r>
              <w:rPr>
                <w:rFonts w:ascii="Arial"/>
                <w:sz w:val="16"/>
              </w:rPr>
            </w:r>
          </w:p>
        </w:tc>
        <w:tc>
          <w:tcPr>
            <w:tcW w:w="690"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31"/>
              <w:jc w:val="right"/>
              <w:rPr>
                <w:rFonts w:ascii="Arial" w:hAnsi="Arial" w:cs="Arial" w:eastAsia="Arial" w:hint="default"/>
                <w:sz w:val="16"/>
                <w:szCs w:val="16"/>
              </w:rPr>
            </w:pPr>
            <w:r>
              <w:rPr>
                <w:rFonts w:ascii="Arial"/>
                <w:w w:val="95"/>
                <w:sz w:val="16"/>
              </w:rPr>
              <w:t>71.41</w:t>
            </w:r>
            <w:r>
              <w:rPr>
                <w:rFonts w:ascii="Arial"/>
                <w:sz w:val="16"/>
              </w:rPr>
            </w:r>
          </w:p>
        </w:tc>
        <w:tc>
          <w:tcPr>
            <w:tcW w:w="1148"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8"/>
              <w:jc w:val="right"/>
              <w:rPr>
                <w:rFonts w:ascii="Arial" w:hAnsi="Arial" w:cs="Arial" w:eastAsia="Arial" w:hint="default"/>
                <w:sz w:val="16"/>
                <w:szCs w:val="16"/>
              </w:rPr>
            </w:pPr>
            <w:r>
              <w:rPr>
                <w:rFonts w:ascii="Arial"/>
                <w:w w:val="95"/>
                <w:sz w:val="16"/>
              </w:rPr>
              <w:t>(87,390,763)</w:t>
            </w:r>
            <w:r>
              <w:rPr>
                <w:rFonts w:ascii="Arial"/>
                <w:sz w:val="16"/>
              </w:rPr>
            </w:r>
          </w:p>
        </w:tc>
        <w:tc>
          <w:tcPr>
            <w:tcW w:w="697"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0"/>
              <w:jc w:val="right"/>
              <w:rPr>
                <w:rFonts w:ascii="Arial" w:hAnsi="Arial" w:cs="Arial" w:eastAsia="Arial" w:hint="default"/>
                <w:sz w:val="16"/>
                <w:szCs w:val="16"/>
              </w:rPr>
            </w:pPr>
            <w:r>
              <w:rPr>
                <w:rFonts w:ascii="Arial"/>
                <w:w w:val="95"/>
                <w:sz w:val="16"/>
              </w:rPr>
              <w:t>0~10</w:t>
            </w:r>
            <w:r>
              <w:rPr>
                <w:rFonts w:ascii="Arial"/>
                <w:sz w:val="16"/>
              </w:rPr>
            </w:r>
          </w:p>
        </w:tc>
      </w:tr>
      <w:tr>
        <w:trPr>
          <w:trHeight w:val="208" w:hRule="exact"/>
        </w:trPr>
        <w:tc>
          <w:tcPr>
            <w:tcW w:w="1109" w:type="dxa"/>
            <w:tcBorders>
              <w:top w:val="nil" w:sz="6" w:space="0" w:color="auto"/>
              <w:left w:val="nil" w:sz="6" w:space="0" w:color="auto"/>
              <w:bottom w:val="nil" w:sz="6" w:space="0" w:color="auto"/>
              <w:right w:val="nil" w:sz="6" w:space="0" w:color="auto"/>
            </w:tcBorders>
          </w:tcPr>
          <w:p>
            <w:pPr>
              <w:pStyle w:val="TableParagraph"/>
              <w:spacing w:line="185" w:lineRule="exact"/>
              <w:ind w:left="35" w:right="0"/>
              <w:jc w:val="left"/>
              <w:rPr>
                <w:rFonts w:ascii="宋体" w:hAnsi="宋体" w:cs="宋体" w:eastAsia="宋体" w:hint="default"/>
                <w:sz w:val="16"/>
                <w:szCs w:val="16"/>
              </w:rPr>
            </w:pPr>
            <w:r>
              <w:rPr>
                <w:rFonts w:ascii="Arial" w:hAnsi="Arial" w:cs="Arial" w:eastAsia="Arial" w:hint="default"/>
                <w:sz w:val="16"/>
                <w:szCs w:val="16"/>
              </w:rPr>
              <w:t>1-2</w:t>
            </w:r>
            <w:r>
              <w:rPr>
                <w:rFonts w:ascii="Arial" w:hAnsi="Arial" w:cs="Arial" w:eastAsia="Arial" w:hint="default"/>
                <w:spacing w:val="-8"/>
                <w:sz w:val="16"/>
                <w:szCs w:val="16"/>
              </w:rPr>
              <w:t> </w:t>
            </w:r>
            <w:r>
              <w:rPr>
                <w:rFonts w:ascii="宋体" w:hAnsi="宋体" w:cs="宋体" w:eastAsia="宋体" w:hint="default"/>
                <w:sz w:val="16"/>
                <w:szCs w:val="16"/>
              </w:rPr>
              <w:t>年</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7"/>
              <w:jc w:val="right"/>
              <w:rPr>
                <w:rFonts w:ascii="Arial" w:hAnsi="Arial" w:cs="Arial" w:eastAsia="Arial" w:hint="default"/>
                <w:sz w:val="16"/>
                <w:szCs w:val="16"/>
              </w:rPr>
            </w:pPr>
            <w:r>
              <w:rPr>
                <w:rFonts w:ascii="Arial"/>
                <w:w w:val="95"/>
                <w:sz w:val="16"/>
              </w:rPr>
              <w:t>130,873,807</w:t>
            </w:r>
            <w:r>
              <w:rPr>
                <w:rFonts w:ascii="Arial"/>
                <w:sz w:val="16"/>
              </w:rPr>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98" w:right="0"/>
              <w:jc w:val="center"/>
              <w:rPr>
                <w:rFonts w:ascii="Arial" w:hAnsi="Arial" w:cs="Arial" w:eastAsia="Arial" w:hint="default"/>
                <w:sz w:val="16"/>
                <w:szCs w:val="16"/>
              </w:rPr>
            </w:pPr>
            <w:r>
              <w:rPr>
                <w:rFonts w:ascii="Arial"/>
                <w:sz w:val="16"/>
              </w:rPr>
              <w:t>6.38</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
              <w:jc w:val="right"/>
              <w:rPr>
                <w:rFonts w:ascii="Arial" w:hAnsi="Arial" w:cs="Arial" w:eastAsia="Arial" w:hint="default"/>
                <w:sz w:val="16"/>
                <w:szCs w:val="16"/>
              </w:rPr>
            </w:pPr>
            <w:r>
              <w:rPr>
                <w:rFonts w:ascii="Arial"/>
                <w:w w:val="95"/>
                <w:sz w:val="16"/>
              </w:rPr>
              <w:t>(25,913,014)</w:t>
            </w:r>
            <w:r>
              <w:rPr>
                <w:rFonts w:ascii="Arial"/>
                <w:sz w:val="16"/>
              </w:rPr>
            </w:r>
          </w:p>
        </w:tc>
        <w:tc>
          <w:tcPr>
            <w:tcW w:w="7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3"/>
              <w:jc w:val="right"/>
              <w:rPr>
                <w:rFonts w:ascii="Arial" w:hAnsi="Arial" w:cs="Arial" w:eastAsia="Arial" w:hint="default"/>
                <w:sz w:val="16"/>
                <w:szCs w:val="16"/>
              </w:rPr>
            </w:pPr>
            <w:r>
              <w:rPr>
                <w:rFonts w:ascii="Arial"/>
                <w:w w:val="95"/>
                <w:sz w:val="16"/>
              </w:rPr>
              <w:t>20</w:t>
            </w:r>
            <w:r>
              <w:rPr>
                <w:rFonts w:ascii="Arial"/>
                <w:sz w:val="16"/>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9"/>
              <w:jc w:val="right"/>
              <w:rPr>
                <w:rFonts w:ascii="Arial" w:hAnsi="Arial" w:cs="Arial" w:eastAsia="Arial" w:hint="default"/>
                <w:sz w:val="16"/>
                <w:szCs w:val="16"/>
              </w:rPr>
            </w:pPr>
            <w:r>
              <w:rPr>
                <w:rFonts w:ascii="Arial"/>
                <w:w w:val="95"/>
                <w:sz w:val="16"/>
              </w:rPr>
              <w:t>175,498,613</w:t>
            </w:r>
            <w:r>
              <w:rPr>
                <w:rFonts w:ascii="Arial"/>
                <w:sz w:val="16"/>
              </w:rPr>
            </w:r>
          </w:p>
        </w:tc>
        <w:tc>
          <w:tcPr>
            <w:tcW w:w="6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1"/>
              <w:jc w:val="right"/>
              <w:rPr>
                <w:rFonts w:ascii="Arial" w:hAnsi="Arial" w:cs="Arial" w:eastAsia="Arial" w:hint="default"/>
                <w:sz w:val="16"/>
                <w:szCs w:val="16"/>
              </w:rPr>
            </w:pPr>
            <w:r>
              <w:rPr>
                <w:rFonts w:ascii="Arial"/>
                <w:w w:val="95"/>
                <w:sz w:val="16"/>
              </w:rPr>
              <w:t>8.89</w:t>
            </w:r>
            <w:r>
              <w:rPr>
                <w:rFonts w:ascii="Arial"/>
                <w:sz w:val="16"/>
              </w:rPr>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
              <w:jc w:val="right"/>
              <w:rPr>
                <w:rFonts w:ascii="Arial" w:hAnsi="Arial" w:cs="Arial" w:eastAsia="Arial" w:hint="default"/>
                <w:sz w:val="16"/>
                <w:szCs w:val="16"/>
              </w:rPr>
            </w:pPr>
            <w:r>
              <w:rPr>
                <w:rFonts w:ascii="Arial"/>
                <w:w w:val="95"/>
                <w:sz w:val="16"/>
              </w:rPr>
              <w:t>(34,108,369)</w:t>
            </w:r>
            <w:r>
              <w:rPr>
                <w:rFonts w:ascii="Arial"/>
                <w:sz w:val="16"/>
              </w:rPr>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
              <w:jc w:val="right"/>
              <w:rPr>
                <w:rFonts w:ascii="Arial" w:hAnsi="Arial" w:cs="Arial" w:eastAsia="Arial" w:hint="default"/>
                <w:sz w:val="16"/>
                <w:szCs w:val="16"/>
              </w:rPr>
            </w:pPr>
            <w:r>
              <w:rPr>
                <w:rFonts w:ascii="Arial"/>
                <w:w w:val="95"/>
                <w:sz w:val="16"/>
              </w:rPr>
              <w:t>20</w:t>
            </w:r>
            <w:r>
              <w:rPr>
                <w:rFonts w:ascii="Arial"/>
                <w:sz w:val="16"/>
              </w:rPr>
            </w:r>
          </w:p>
        </w:tc>
      </w:tr>
      <w:tr>
        <w:trPr>
          <w:trHeight w:val="208" w:hRule="exact"/>
        </w:trPr>
        <w:tc>
          <w:tcPr>
            <w:tcW w:w="1109" w:type="dxa"/>
            <w:tcBorders>
              <w:top w:val="nil" w:sz="6" w:space="0" w:color="auto"/>
              <w:left w:val="nil" w:sz="6" w:space="0" w:color="auto"/>
              <w:bottom w:val="nil" w:sz="6" w:space="0" w:color="auto"/>
              <w:right w:val="nil" w:sz="6" w:space="0" w:color="auto"/>
            </w:tcBorders>
          </w:tcPr>
          <w:p>
            <w:pPr>
              <w:pStyle w:val="TableParagraph"/>
              <w:spacing w:line="185" w:lineRule="exact"/>
              <w:ind w:left="35" w:right="0"/>
              <w:jc w:val="left"/>
              <w:rPr>
                <w:rFonts w:ascii="宋体" w:hAnsi="宋体" w:cs="宋体" w:eastAsia="宋体" w:hint="default"/>
                <w:sz w:val="16"/>
                <w:szCs w:val="16"/>
              </w:rPr>
            </w:pPr>
            <w:r>
              <w:rPr>
                <w:rFonts w:ascii="Arial" w:hAnsi="Arial" w:cs="Arial" w:eastAsia="Arial" w:hint="default"/>
                <w:sz w:val="16"/>
                <w:szCs w:val="16"/>
              </w:rPr>
              <w:t>2-3</w:t>
            </w:r>
            <w:r>
              <w:rPr>
                <w:rFonts w:ascii="Arial" w:hAnsi="Arial" w:cs="Arial" w:eastAsia="Arial" w:hint="default"/>
                <w:spacing w:val="-9"/>
                <w:sz w:val="16"/>
                <w:szCs w:val="16"/>
              </w:rPr>
              <w:t> </w:t>
            </w:r>
            <w:r>
              <w:rPr>
                <w:rFonts w:ascii="宋体" w:hAnsi="宋体" w:cs="宋体" w:eastAsia="宋体" w:hint="default"/>
                <w:sz w:val="16"/>
                <w:szCs w:val="16"/>
              </w:rPr>
              <w:t>年</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7"/>
              <w:jc w:val="right"/>
              <w:rPr>
                <w:rFonts w:ascii="Arial" w:hAnsi="Arial" w:cs="Arial" w:eastAsia="Arial" w:hint="default"/>
                <w:sz w:val="16"/>
                <w:szCs w:val="16"/>
              </w:rPr>
            </w:pPr>
            <w:r>
              <w:rPr>
                <w:rFonts w:ascii="Arial"/>
                <w:w w:val="95"/>
                <w:sz w:val="16"/>
              </w:rPr>
              <w:t>106,623,992</w:t>
            </w:r>
            <w:r>
              <w:rPr>
                <w:rFonts w:ascii="Arial"/>
                <w:sz w:val="16"/>
              </w:rPr>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98" w:right="0"/>
              <w:jc w:val="center"/>
              <w:rPr>
                <w:rFonts w:ascii="Arial" w:hAnsi="Arial" w:cs="Arial" w:eastAsia="Arial" w:hint="default"/>
                <w:sz w:val="16"/>
                <w:szCs w:val="16"/>
              </w:rPr>
            </w:pPr>
            <w:r>
              <w:rPr>
                <w:rFonts w:ascii="Arial"/>
                <w:sz w:val="16"/>
              </w:rPr>
              <w:t>5.20</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
              <w:jc w:val="right"/>
              <w:rPr>
                <w:rFonts w:ascii="Arial" w:hAnsi="Arial" w:cs="Arial" w:eastAsia="Arial" w:hint="default"/>
                <w:sz w:val="16"/>
                <w:szCs w:val="16"/>
              </w:rPr>
            </w:pPr>
            <w:r>
              <w:rPr>
                <w:rFonts w:ascii="Arial"/>
                <w:w w:val="95"/>
                <w:sz w:val="16"/>
              </w:rPr>
              <w:t>(52,992,124)</w:t>
            </w:r>
            <w:r>
              <w:rPr>
                <w:rFonts w:ascii="Arial"/>
                <w:sz w:val="16"/>
              </w:rPr>
            </w:r>
          </w:p>
        </w:tc>
        <w:tc>
          <w:tcPr>
            <w:tcW w:w="7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3"/>
              <w:jc w:val="right"/>
              <w:rPr>
                <w:rFonts w:ascii="Arial" w:hAnsi="Arial" w:cs="Arial" w:eastAsia="Arial" w:hint="default"/>
                <w:sz w:val="16"/>
                <w:szCs w:val="16"/>
              </w:rPr>
            </w:pPr>
            <w:r>
              <w:rPr>
                <w:rFonts w:ascii="Arial"/>
                <w:w w:val="95"/>
                <w:sz w:val="16"/>
              </w:rPr>
              <w:t>50</w:t>
            </w:r>
            <w:r>
              <w:rPr>
                <w:rFonts w:ascii="Arial"/>
                <w:sz w:val="16"/>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9"/>
              <w:jc w:val="right"/>
              <w:rPr>
                <w:rFonts w:ascii="Arial" w:hAnsi="Arial" w:cs="Arial" w:eastAsia="Arial" w:hint="default"/>
                <w:sz w:val="16"/>
                <w:szCs w:val="16"/>
              </w:rPr>
            </w:pPr>
            <w:r>
              <w:rPr>
                <w:rFonts w:ascii="Arial"/>
                <w:w w:val="95"/>
                <w:sz w:val="16"/>
              </w:rPr>
              <w:t>45,425,481</w:t>
            </w:r>
            <w:r>
              <w:rPr>
                <w:rFonts w:ascii="Arial"/>
                <w:sz w:val="16"/>
              </w:rPr>
            </w:r>
          </w:p>
        </w:tc>
        <w:tc>
          <w:tcPr>
            <w:tcW w:w="6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0"/>
              <w:jc w:val="right"/>
              <w:rPr>
                <w:rFonts w:ascii="Arial" w:hAnsi="Arial" w:cs="Arial" w:eastAsia="Arial" w:hint="default"/>
                <w:sz w:val="16"/>
                <w:szCs w:val="16"/>
              </w:rPr>
            </w:pPr>
            <w:r>
              <w:rPr>
                <w:rFonts w:ascii="Arial"/>
                <w:w w:val="95"/>
                <w:sz w:val="16"/>
              </w:rPr>
              <w:t>2.30</w:t>
            </w:r>
            <w:r>
              <w:rPr>
                <w:rFonts w:ascii="Arial"/>
                <w:sz w:val="16"/>
              </w:rPr>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
              <w:jc w:val="right"/>
              <w:rPr>
                <w:rFonts w:ascii="Arial" w:hAnsi="Arial" w:cs="Arial" w:eastAsia="Arial" w:hint="default"/>
                <w:sz w:val="16"/>
                <w:szCs w:val="16"/>
              </w:rPr>
            </w:pPr>
            <w:r>
              <w:rPr>
                <w:rFonts w:ascii="Arial"/>
                <w:w w:val="95"/>
                <w:sz w:val="16"/>
              </w:rPr>
              <w:t>(22,385,290)</w:t>
            </w:r>
            <w:r>
              <w:rPr>
                <w:rFonts w:ascii="Arial"/>
                <w:sz w:val="16"/>
              </w:rPr>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
              <w:jc w:val="right"/>
              <w:rPr>
                <w:rFonts w:ascii="Arial" w:hAnsi="Arial" w:cs="Arial" w:eastAsia="Arial" w:hint="default"/>
                <w:sz w:val="16"/>
                <w:szCs w:val="16"/>
              </w:rPr>
            </w:pPr>
            <w:r>
              <w:rPr>
                <w:rFonts w:ascii="Arial"/>
                <w:w w:val="95"/>
                <w:sz w:val="16"/>
              </w:rPr>
              <w:t>50</w:t>
            </w:r>
            <w:r>
              <w:rPr>
                <w:rFonts w:ascii="Arial"/>
                <w:sz w:val="16"/>
              </w:rPr>
            </w:r>
          </w:p>
        </w:tc>
      </w:tr>
      <w:tr>
        <w:trPr>
          <w:trHeight w:val="208" w:hRule="exact"/>
        </w:trPr>
        <w:tc>
          <w:tcPr>
            <w:tcW w:w="1109" w:type="dxa"/>
            <w:tcBorders>
              <w:top w:val="nil" w:sz="6" w:space="0" w:color="auto"/>
              <w:left w:val="nil" w:sz="6" w:space="0" w:color="auto"/>
              <w:bottom w:val="nil" w:sz="6" w:space="0" w:color="auto"/>
              <w:right w:val="nil" w:sz="6" w:space="0" w:color="auto"/>
            </w:tcBorders>
          </w:tcPr>
          <w:p>
            <w:pPr>
              <w:pStyle w:val="TableParagraph"/>
              <w:spacing w:line="185" w:lineRule="exact"/>
              <w:ind w:left="35" w:right="0"/>
              <w:jc w:val="left"/>
              <w:rPr>
                <w:rFonts w:ascii="宋体" w:hAnsi="宋体" w:cs="宋体" w:eastAsia="宋体" w:hint="default"/>
                <w:sz w:val="16"/>
                <w:szCs w:val="16"/>
              </w:rPr>
            </w:pPr>
            <w:r>
              <w:rPr>
                <w:rFonts w:ascii="Arial" w:hAnsi="Arial" w:cs="Arial" w:eastAsia="Arial" w:hint="default"/>
                <w:sz w:val="16"/>
                <w:szCs w:val="16"/>
              </w:rPr>
              <w:t>3-4</w:t>
            </w:r>
            <w:r>
              <w:rPr>
                <w:rFonts w:ascii="Arial" w:hAnsi="Arial" w:cs="Arial" w:eastAsia="Arial" w:hint="default"/>
                <w:spacing w:val="-9"/>
                <w:sz w:val="16"/>
                <w:szCs w:val="16"/>
              </w:rPr>
              <w:t> </w:t>
            </w:r>
            <w:r>
              <w:rPr>
                <w:rFonts w:ascii="宋体" w:hAnsi="宋体" w:cs="宋体" w:eastAsia="宋体" w:hint="default"/>
                <w:sz w:val="16"/>
                <w:szCs w:val="16"/>
              </w:rPr>
              <w:t>年</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7"/>
              <w:jc w:val="right"/>
              <w:rPr>
                <w:rFonts w:ascii="Arial" w:hAnsi="Arial" w:cs="Arial" w:eastAsia="Arial" w:hint="default"/>
                <w:sz w:val="16"/>
                <w:szCs w:val="16"/>
              </w:rPr>
            </w:pPr>
            <w:r>
              <w:rPr>
                <w:rFonts w:ascii="Arial"/>
                <w:w w:val="95"/>
                <w:sz w:val="16"/>
              </w:rPr>
              <w:t>24,307,687</w:t>
            </w:r>
            <w:r>
              <w:rPr>
                <w:rFonts w:ascii="Arial"/>
                <w:sz w:val="16"/>
              </w:rPr>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98" w:right="0"/>
              <w:jc w:val="center"/>
              <w:rPr>
                <w:rFonts w:ascii="Arial" w:hAnsi="Arial" w:cs="Arial" w:eastAsia="Arial" w:hint="default"/>
                <w:sz w:val="16"/>
                <w:szCs w:val="16"/>
              </w:rPr>
            </w:pPr>
            <w:r>
              <w:rPr>
                <w:rFonts w:ascii="Arial"/>
                <w:sz w:val="16"/>
              </w:rPr>
              <w:t>1.19</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
              <w:jc w:val="right"/>
              <w:rPr>
                <w:rFonts w:ascii="Arial" w:hAnsi="Arial" w:cs="Arial" w:eastAsia="Arial" w:hint="default"/>
                <w:sz w:val="16"/>
                <w:szCs w:val="16"/>
              </w:rPr>
            </w:pPr>
            <w:r>
              <w:rPr>
                <w:rFonts w:ascii="Arial"/>
                <w:w w:val="95"/>
                <w:sz w:val="16"/>
              </w:rPr>
              <w:t>(24,307,687)</w:t>
            </w:r>
            <w:r>
              <w:rPr>
                <w:rFonts w:ascii="Arial"/>
                <w:sz w:val="16"/>
              </w:rPr>
            </w:r>
          </w:p>
        </w:tc>
        <w:tc>
          <w:tcPr>
            <w:tcW w:w="7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3"/>
              <w:jc w:val="right"/>
              <w:rPr>
                <w:rFonts w:ascii="Arial" w:hAnsi="Arial" w:cs="Arial" w:eastAsia="Arial" w:hint="default"/>
                <w:sz w:val="16"/>
                <w:szCs w:val="16"/>
              </w:rPr>
            </w:pPr>
            <w:r>
              <w:rPr>
                <w:rFonts w:ascii="Arial"/>
                <w:w w:val="95"/>
                <w:sz w:val="16"/>
              </w:rPr>
              <w:t>100</w:t>
            </w:r>
            <w:r>
              <w:rPr>
                <w:rFonts w:ascii="Arial"/>
                <w:sz w:val="16"/>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9"/>
              <w:jc w:val="right"/>
              <w:rPr>
                <w:rFonts w:ascii="Arial" w:hAnsi="Arial" w:cs="Arial" w:eastAsia="Arial" w:hint="default"/>
                <w:sz w:val="16"/>
                <w:szCs w:val="16"/>
              </w:rPr>
            </w:pPr>
            <w:r>
              <w:rPr>
                <w:rFonts w:ascii="Arial"/>
                <w:w w:val="95"/>
                <w:sz w:val="16"/>
              </w:rPr>
              <w:t>177,769,681</w:t>
            </w:r>
            <w:r>
              <w:rPr>
                <w:rFonts w:ascii="Arial"/>
                <w:sz w:val="16"/>
              </w:rPr>
            </w:r>
          </w:p>
        </w:tc>
        <w:tc>
          <w:tcPr>
            <w:tcW w:w="6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1"/>
              <w:jc w:val="right"/>
              <w:rPr>
                <w:rFonts w:ascii="Arial" w:hAnsi="Arial" w:cs="Arial" w:eastAsia="Arial" w:hint="default"/>
                <w:sz w:val="16"/>
                <w:szCs w:val="16"/>
              </w:rPr>
            </w:pPr>
            <w:r>
              <w:rPr>
                <w:rFonts w:ascii="Arial"/>
                <w:w w:val="95"/>
                <w:sz w:val="16"/>
              </w:rPr>
              <w:t>9.00</w:t>
            </w:r>
            <w:r>
              <w:rPr>
                <w:rFonts w:ascii="Arial"/>
                <w:sz w:val="16"/>
              </w:rPr>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
              <w:jc w:val="right"/>
              <w:rPr>
                <w:rFonts w:ascii="Arial" w:hAnsi="Arial" w:cs="Arial" w:eastAsia="Arial" w:hint="default"/>
                <w:sz w:val="16"/>
                <w:szCs w:val="16"/>
              </w:rPr>
            </w:pPr>
            <w:r>
              <w:rPr>
                <w:rFonts w:ascii="Arial"/>
                <w:w w:val="95"/>
                <w:sz w:val="16"/>
              </w:rPr>
              <w:t>(177,769,681)</w:t>
            </w:r>
            <w:r>
              <w:rPr>
                <w:rFonts w:ascii="Arial"/>
                <w:sz w:val="16"/>
              </w:rPr>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
              <w:jc w:val="right"/>
              <w:rPr>
                <w:rFonts w:ascii="Arial" w:hAnsi="Arial" w:cs="Arial" w:eastAsia="Arial" w:hint="default"/>
                <w:sz w:val="16"/>
                <w:szCs w:val="16"/>
              </w:rPr>
            </w:pPr>
            <w:r>
              <w:rPr>
                <w:rFonts w:ascii="Arial"/>
                <w:w w:val="95"/>
                <w:sz w:val="16"/>
              </w:rPr>
              <w:t>100</w:t>
            </w:r>
            <w:r>
              <w:rPr>
                <w:rFonts w:ascii="Arial"/>
                <w:sz w:val="16"/>
              </w:rPr>
            </w:r>
          </w:p>
        </w:tc>
      </w:tr>
      <w:tr>
        <w:trPr>
          <w:trHeight w:val="194" w:hRule="exact"/>
        </w:trPr>
        <w:tc>
          <w:tcPr>
            <w:tcW w:w="1109" w:type="dxa"/>
            <w:tcBorders>
              <w:top w:val="nil" w:sz="6" w:space="0" w:color="auto"/>
              <w:left w:val="nil" w:sz="6" w:space="0" w:color="auto"/>
              <w:bottom w:val="nil" w:sz="6" w:space="0" w:color="auto"/>
              <w:right w:val="nil" w:sz="6" w:space="0" w:color="auto"/>
            </w:tcBorders>
          </w:tcPr>
          <w:p>
            <w:pPr>
              <w:pStyle w:val="TableParagraph"/>
              <w:spacing w:line="185" w:lineRule="exact"/>
              <w:ind w:left="35" w:right="0"/>
              <w:jc w:val="left"/>
              <w:rPr>
                <w:rFonts w:ascii="宋体" w:hAnsi="宋体" w:cs="宋体" w:eastAsia="宋体" w:hint="default"/>
                <w:sz w:val="16"/>
                <w:szCs w:val="16"/>
              </w:rPr>
            </w:pPr>
            <w:r>
              <w:rPr>
                <w:rFonts w:ascii="Arial" w:hAnsi="Arial" w:cs="Arial" w:eastAsia="Arial" w:hint="default"/>
                <w:sz w:val="16"/>
                <w:szCs w:val="16"/>
              </w:rPr>
              <w:t>4-5</w:t>
            </w:r>
            <w:r>
              <w:rPr>
                <w:rFonts w:ascii="Arial" w:hAnsi="Arial" w:cs="Arial" w:eastAsia="Arial" w:hint="default"/>
                <w:spacing w:val="-9"/>
                <w:sz w:val="16"/>
                <w:szCs w:val="16"/>
              </w:rPr>
              <w:t> </w:t>
            </w:r>
            <w:r>
              <w:rPr>
                <w:rFonts w:ascii="宋体" w:hAnsi="宋体" w:cs="宋体" w:eastAsia="宋体" w:hint="default"/>
                <w:sz w:val="16"/>
                <w:szCs w:val="16"/>
              </w:rPr>
              <w:t>年</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7"/>
              <w:jc w:val="right"/>
              <w:rPr>
                <w:rFonts w:ascii="Arial" w:hAnsi="Arial" w:cs="Arial" w:eastAsia="Arial" w:hint="default"/>
                <w:sz w:val="16"/>
                <w:szCs w:val="16"/>
              </w:rPr>
            </w:pPr>
            <w:r>
              <w:rPr>
                <w:rFonts w:ascii="Arial"/>
                <w:w w:val="95"/>
                <w:sz w:val="16"/>
              </w:rPr>
              <w:t>113,506,864</w:t>
            </w:r>
            <w:r>
              <w:rPr>
                <w:rFonts w:ascii="Arial"/>
                <w:sz w:val="16"/>
              </w:rPr>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13"/>
              <w:ind w:left="98" w:right="0"/>
              <w:jc w:val="center"/>
              <w:rPr>
                <w:rFonts w:ascii="Arial" w:hAnsi="Arial" w:cs="Arial" w:eastAsia="Arial" w:hint="default"/>
                <w:sz w:val="16"/>
                <w:szCs w:val="16"/>
              </w:rPr>
            </w:pPr>
            <w:r>
              <w:rPr>
                <w:rFonts w:ascii="Arial"/>
                <w:sz w:val="16"/>
              </w:rPr>
              <w:t>5.53</w:t>
            </w:r>
          </w:p>
        </w:tc>
        <w:tc>
          <w:tcPr>
            <w:tcW w:w="115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
              <w:jc w:val="right"/>
              <w:rPr>
                <w:rFonts w:ascii="Arial" w:hAnsi="Arial" w:cs="Arial" w:eastAsia="Arial" w:hint="default"/>
                <w:sz w:val="16"/>
                <w:szCs w:val="16"/>
              </w:rPr>
            </w:pPr>
            <w:r>
              <w:rPr>
                <w:rFonts w:ascii="Arial"/>
                <w:w w:val="95"/>
                <w:sz w:val="16"/>
              </w:rPr>
              <w:t>(113,506,864)</w:t>
            </w:r>
            <w:r>
              <w:rPr>
                <w:rFonts w:ascii="Arial"/>
                <w:sz w:val="16"/>
              </w:rPr>
            </w:r>
          </w:p>
        </w:tc>
        <w:tc>
          <w:tcPr>
            <w:tcW w:w="77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3"/>
              <w:jc w:val="right"/>
              <w:rPr>
                <w:rFonts w:ascii="Arial" w:hAnsi="Arial" w:cs="Arial" w:eastAsia="Arial" w:hint="default"/>
                <w:sz w:val="16"/>
                <w:szCs w:val="16"/>
              </w:rPr>
            </w:pPr>
            <w:r>
              <w:rPr>
                <w:rFonts w:ascii="Arial"/>
                <w:w w:val="95"/>
                <w:sz w:val="16"/>
              </w:rPr>
              <w:t>100</w:t>
            </w:r>
            <w:r>
              <w:rPr>
                <w:rFonts w:ascii="Arial"/>
                <w:sz w:val="16"/>
              </w:rPr>
            </w:r>
          </w:p>
        </w:tc>
        <w:tc>
          <w:tcPr>
            <w:tcW w:w="132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69"/>
              <w:jc w:val="right"/>
              <w:rPr>
                <w:rFonts w:ascii="Arial" w:hAnsi="Arial" w:cs="Arial" w:eastAsia="Arial" w:hint="default"/>
                <w:sz w:val="16"/>
                <w:szCs w:val="16"/>
              </w:rPr>
            </w:pPr>
            <w:r>
              <w:rPr>
                <w:rFonts w:ascii="Arial"/>
                <w:w w:val="95"/>
                <w:sz w:val="16"/>
              </w:rPr>
              <w:t>26,101,672</w:t>
            </w:r>
            <w:r>
              <w:rPr>
                <w:rFonts w:ascii="Arial"/>
                <w:sz w:val="16"/>
              </w:rPr>
            </w:r>
          </w:p>
        </w:tc>
        <w:tc>
          <w:tcPr>
            <w:tcW w:w="69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30"/>
              <w:jc w:val="right"/>
              <w:rPr>
                <w:rFonts w:ascii="Arial" w:hAnsi="Arial" w:cs="Arial" w:eastAsia="Arial" w:hint="default"/>
                <w:sz w:val="16"/>
                <w:szCs w:val="16"/>
              </w:rPr>
            </w:pPr>
            <w:r>
              <w:rPr>
                <w:rFonts w:ascii="Arial"/>
                <w:w w:val="95"/>
                <w:sz w:val="16"/>
              </w:rPr>
              <w:t>1.31</w:t>
            </w:r>
            <w:r>
              <w:rPr>
                <w:rFonts w:ascii="Arial"/>
                <w:sz w:val="16"/>
              </w:rPr>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
              <w:jc w:val="right"/>
              <w:rPr>
                <w:rFonts w:ascii="Arial" w:hAnsi="Arial" w:cs="Arial" w:eastAsia="Arial" w:hint="default"/>
                <w:sz w:val="16"/>
                <w:szCs w:val="16"/>
              </w:rPr>
            </w:pPr>
            <w:r>
              <w:rPr>
                <w:rFonts w:ascii="Arial"/>
                <w:w w:val="95"/>
                <w:sz w:val="16"/>
              </w:rPr>
              <w:t>(26,101,672)</w:t>
            </w:r>
            <w:r>
              <w:rPr>
                <w:rFonts w:ascii="Arial"/>
                <w:sz w:val="16"/>
              </w:rPr>
            </w:r>
          </w:p>
        </w:tc>
        <w:tc>
          <w:tcPr>
            <w:tcW w:w="69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0"/>
              <w:jc w:val="right"/>
              <w:rPr>
                <w:rFonts w:ascii="Arial" w:hAnsi="Arial" w:cs="Arial" w:eastAsia="Arial" w:hint="default"/>
                <w:sz w:val="16"/>
                <w:szCs w:val="16"/>
              </w:rPr>
            </w:pPr>
            <w:r>
              <w:rPr>
                <w:rFonts w:ascii="Arial"/>
                <w:w w:val="95"/>
                <w:sz w:val="16"/>
              </w:rPr>
              <w:t>100</w:t>
            </w:r>
            <w:r>
              <w:rPr>
                <w:rFonts w:ascii="Arial"/>
                <w:sz w:val="16"/>
              </w:rPr>
            </w:r>
          </w:p>
        </w:tc>
      </w:tr>
    </w:tbl>
    <w:p>
      <w:pPr>
        <w:tabs>
          <w:tab w:pos="1703" w:val="left" w:leader="none"/>
          <w:tab w:pos="2053" w:val="left" w:leader="none"/>
          <w:tab w:pos="3345" w:val="left" w:leader="none"/>
          <w:tab w:pos="5315" w:val="left" w:leader="none"/>
          <w:tab w:pos="5987" w:val="left" w:leader="none"/>
          <w:tab w:pos="7292" w:val="left" w:leader="none"/>
          <w:tab w:pos="9282" w:val="left" w:leader="none"/>
        </w:tabs>
        <w:spacing w:line="211" w:lineRule="exact" w:before="0"/>
        <w:ind w:left="629" w:right="0" w:firstLine="0"/>
        <w:jc w:val="left"/>
        <w:rPr>
          <w:rFonts w:ascii="Arial" w:hAnsi="Arial" w:cs="Arial" w:eastAsia="Arial" w:hint="default"/>
          <w:sz w:val="16"/>
          <w:szCs w:val="16"/>
        </w:rPr>
      </w:pPr>
      <w:r>
        <w:rPr>
          <w:rFonts w:ascii="Arial" w:hAnsi="Arial" w:cs="Arial" w:eastAsia="Arial" w:hint="default"/>
          <w:position w:val="1"/>
          <w:sz w:val="16"/>
          <w:szCs w:val="16"/>
        </w:rPr>
        <w:t>5</w:t>
      </w:r>
      <w:r>
        <w:rPr>
          <w:rFonts w:ascii="Arial" w:hAnsi="Arial" w:cs="Arial" w:eastAsia="Arial" w:hint="default"/>
          <w:spacing w:val="-7"/>
          <w:position w:val="1"/>
          <w:sz w:val="16"/>
          <w:szCs w:val="16"/>
        </w:rPr>
        <w:t> </w:t>
      </w:r>
      <w:r>
        <w:rPr>
          <w:rFonts w:ascii="宋体" w:hAnsi="宋体" w:cs="宋体" w:eastAsia="宋体" w:hint="default"/>
          <w:position w:val="1"/>
          <w:sz w:val="16"/>
          <w:szCs w:val="16"/>
        </w:rPr>
        <w:t>年以上</w:t>
        <w:tab/>
      </w:r>
      <w:r>
        <w:rPr>
          <w:rFonts w:ascii="Arial" w:hAnsi="Arial" w:cs="Arial" w:eastAsia="Arial" w:hint="default"/>
          <w:sz w:val="16"/>
          <w:szCs w:val="16"/>
        </w:rPr>
      </w:r>
      <w:r>
        <w:rPr>
          <w:rFonts w:ascii="Arial" w:hAnsi="Arial" w:cs="Arial" w:eastAsia="Arial" w:hint="default"/>
          <w:sz w:val="16"/>
          <w:szCs w:val="16"/>
          <w:u w:val="single" w:color="000000"/>
        </w:rPr>
        <w:t> </w:t>
        <w:tab/>
      </w:r>
      <w:r>
        <w:rPr>
          <w:rFonts w:ascii="Arial" w:hAnsi="Arial" w:cs="Arial" w:eastAsia="Arial" w:hint="default"/>
          <w:w w:val="95"/>
          <w:sz w:val="16"/>
          <w:szCs w:val="16"/>
          <w:u w:val="single" w:color="000000"/>
        </w:rPr>
        <w:t>163,730,055</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r>
      <w:r>
        <w:rPr>
          <w:rFonts w:ascii="Arial" w:hAnsi="Arial" w:cs="Arial" w:eastAsia="Arial" w:hint="default"/>
          <w:sz w:val="16"/>
          <w:szCs w:val="16"/>
          <w:u w:val="single" w:color="000000"/>
        </w:rPr>
        <w:t>7.98     </w:t>
      </w:r>
      <w:r>
        <w:rPr>
          <w:rFonts w:ascii="Arial" w:hAnsi="Arial" w:cs="Arial" w:eastAsia="Arial" w:hint="default"/>
          <w:spacing w:val="2"/>
          <w:sz w:val="16"/>
          <w:szCs w:val="16"/>
          <w:u w:val="single" w:color="000000"/>
        </w:rPr>
        <w:t> </w:t>
      </w:r>
      <w:r>
        <w:rPr>
          <w:rFonts w:ascii="Arial" w:hAnsi="Arial" w:cs="Arial" w:eastAsia="Arial" w:hint="default"/>
          <w:spacing w:val="2"/>
          <w:sz w:val="16"/>
          <w:szCs w:val="16"/>
        </w:rPr>
      </w:r>
      <w:r>
        <w:rPr>
          <w:rFonts w:ascii="Arial" w:hAnsi="Arial" w:cs="Arial" w:eastAsia="Arial" w:hint="default"/>
          <w:spacing w:val="2"/>
          <w:sz w:val="16"/>
          <w:szCs w:val="16"/>
          <w:u w:val="single" w:color="000000"/>
        </w:rPr>
        <w:t> </w:t>
      </w:r>
      <w:r>
        <w:rPr>
          <w:rFonts w:ascii="Arial" w:hAnsi="Arial" w:cs="Arial" w:eastAsia="Arial" w:hint="default"/>
          <w:sz w:val="16"/>
          <w:szCs w:val="16"/>
          <w:u w:val="single" w:color="000000"/>
        </w:rPr>
        <w:t>(163,730,055)</w:t>
      </w:r>
      <w:r>
        <w:rPr>
          <w:rFonts w:ascii="Arial" w:hAnsi="Arial" w:cs="Arial" w:eastAsia="Arial" w:hint="default"/>
          <w:sz w:val="16"/>
          <w:szCs w:val="16"/>
        </w:rPr>
      </w:r>
      <w:r>
        <w:rPr>
          <w:rFonts w:ascii="Arial" w:hAnsi="Arial" w:cs="Arial" w:eastAsia="Arial" w:hint="default"/>
          <w:sz w:val="16"/>
          <w:szCs w:val="16"/>
          <w:u w:val="single" w:color="000000"/>
        </w:rPr>
        <w:t> </w:t>
        <w:tab/>
      </w:r>
      <w:r>
        <w:rPr>
          <w:rFonts w:ascii="Arial" w:hAnsi="Arial" w:cs="Arial" w:eastAsia="Arial" w:hint="default"/>
          <w:w w:val="95"/>
          <w:sz w:val="16"/>
          <w:szCs w:val="16"/>
          <w:u w:val="single" w:color="000000"/>
        </w:rPr>
        <w:t>100</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t>139,819,488</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r>
      <w:r>
        <w:rPr>
          <w:rFonts w:ascii="Arial" w:hAnsi="Arial" w:cs="Arial" w:eastAsia="Arial" w:hint="default"/>
          <w:sz w:val="16"/>
          <w:szCs w:val="16"/>
          <w:u w:val="single" w:color="000000"/>
        </w:rPr>
        <w:t>7.09    </w:t>
      </w:r>
      <w:r>
        <w:rPr>
          <w:rFonts w:ascii="Arial" w:hAnsi="Arial" w:cs="Arial" w:eastAsia="Arial" w:hint="default"/>
          <w:spacing w:val="38"/>
          <w:sz w:val="16"/>
          <w:szCs w:val="16"/>
          <w:u w:val="single" w:color="000000"/>
        </w:rPr>
        <w:t> </w:t>
      </w:r>
      <w:r>
        <w:rPr>
          <w:rFonts w:ascii="Arial" w:hAnsi="Arial" w:cs="Arial" w:eastAsia="Arial" w:hint="default"/>
          <w:spacing w:val="38"/>
          <w:sz w:val="16"/>
          <w:szCs w:val="16"/>
        </w:rPr>
      </w:r>
      <w:r>
        <w:rPr>
          <w:rFonts w:ascii="Arial" w:hAnsi="Arial" w:cs="Arial" w:eastAsia="Arial" w:hint="default"/>
          <w:spacing w:val="38"/>
          <w:sz w:val="16"/>
          <w:szCs w:val="16"/>
          <w:u w:val="single" w:color="000000"/>
        </w:rPr>
        <w:t> </w:t>
      </w:r>
      <w:r>
        <w:rPr>
          <w:rFonts w:ascii="Arial" w:hAnsi="Arial" w:cs="Arial" w:eastAsia="Arial" w:hint="default"/>
          <w:sz w:val="16"/>
          <w:szCs w:val="16"/>
          <w:u w:val="single" w:color="000000"/>
        </w:rPr>
        <w:t>(139,819,488)</w:t>
      </w:r>
      <w:r>
        <w:rPr>
          <w:rFonts w:ascii="Arial" w:hAnsi="Arial" w:cs="Arial" w:eastAsia="Arial" w:hint="default"/>
          <w:sz w:val="16"/>
          <w:szCs w:val="16"/>
        </w:rPr>
      </w:r>
      <w:r>
        <w:rPr>
          <w:rFonts w:ascii="Arial" w:hAnsi="Arial" w:cs="Arial" w:eastAsia="Arial" w:hint="default"/>
          <w:sz w:val="16"/>
          <w:szCs w:val="16"/>
          <w:u w:val="single" w:color="000000"/>
        </w:rPr>
        <w:t> </w:t>
        <w:tab/>
        <w:t>100</w:t>
      </w:r>
      <w:r>
        <w:rPr>
          <w:rFonts w:ascii="Arial" w:hAnsi="Arial" w:cs="Arial" w:eastAsia="Arial" w:hint="default"/>
          <w:sz w:val="16"/>
          <w:szCs w:val="16"/>
        </w:rPr>
      </w:r>
    </w:p>
    <w:p>
      <w:pPr>
        <w:spacing w:line="240" w:lineRule="auto" w:before="7"/>
        <w:rPr>
          <w:rFonts w:ascii="Arial" w:hAnsi="Arial" w:cs="Arial" w:eastAsia="Arial" w:hint="default"/>
          <w:sz w:val="10"/>
          <w:szCs w:val="10"/>
        </w:rPr>
      </w:pPr>
    </w:p>
    <w:p>
      <w:pPr>
        <w:tabs>
          <w:tab w:pos="1919" w:val="left" w:leader="none"/>
          <w:tab w:pos="3168" w:val="left" w:leader="none"/>
          <w:tab w:pos="3929" w:val="left" w:leader="none"/>
          <w:tab w:pos="5133" w:val="left" w:leader="none"/>
          <w:tab w:pos="5852" w:val="left" w:leader="none"/>
          <w:tab w:pos="7114" w:val="left" w:leader="none"/>
          <w:tab w:pos="7868" w:val="left" w:leader="none"/>
          <w:tab w:pos="9110" w:val="left" w:leader="none"/>
        </w:tabs>
        <w:spacing w:before="52"/>
        <w:ind w:left="601" w:right="0" w:firstLine="0"/>
        <w:jc w:val="left"/>
        <w:rPr>
          <w:rFonts w:ascii="Arial" w:hAnsi="Arial" w:cs="Arial" w:eastAsia="Arial" w:hint="default"/>
          <w:sz w:val="16"/>
          <w:szCs w:val="16"/>
        </w:rPr>
      </w:pPr>
      <w:r>
        <w:rPr>
          <w:rFonts w:ascii="宋体" w:hAnsi="宋体" w:cs="宋体" w:eastAsia="宋体" w:hint="default"/>
          <w:w w:val="95"/>
          <w:position w:val="1"/>
          <w:sz w:val="16"/>
          <w:szCs w:val="16"/>
        </w:rPr>
        <w:t>合计</w:t>
        <w:tab/>
      </w:r>
      <w:r>
        <w:rPr>
          <w:rFonts w:ascii="Arial" w:hAnsi="Arial" w:cs="Arial" w:eastAsia="Arial" w:hint="default"/>
          <w:w w:val="95"/>
          <w:sz w:val="16"/>
          <w:szCs w:val="16"/>
        </w:rPr>
        <w:t>2,051,203,211</w:t>
        <w:tab/>
        <w:t>100.00</w:t>
        <w:tab/>
        <w:t>(507,409,927)</w:t>
        <w:tab/>
        <w:t>0~100</w:t>
        <w:tab/>
        <w:t>1,974,767,750</w:t>
        <w:tab/>
        <w:t>100.00</w:t>
        <w:tab/>
        <w:t>(487,575,263)</w:t>
        <w:tab/>
      </w:r>
      <w:r>
        <w:rPr>
          <w:rFonts w:ascii="Arial" w:hAnsi="Arial" w:cs="Arial" w:eastAsia="Arial" w:hint="default"/>
          <w:sz w:val="16"/>
          <w:szCs w:val="16"/>
        </w:rPr>
        <w:t>0~100</w:t>
      </w:r>
    </w:p>
    <w:p>
      <w:pPr>
        <w:spacing w:line="43" w:lineRule="exact"/>
        <w:ind w:left="1689" w:right="0" w:firstLine="0"/>
        <w:rPr>
          <w:rFonts w:ascii="Arial" w:hAnsi="Arial" w:cs="Arial" w:eastAsia="Arial" w:hint="default"/>
          <w:sz w:val="4"/>
          <w:szCs w:val="4"/>
        </w:rPr>
      </w:pPr>
      <w:r>
        <w:rPr>
          <w:rFonts w:ascii="Arial" w:hAnsi="Arial" w:cs="Arial" w:eastAsia="Arial" w:hint="default"/>
          <w:position w:val="0"/>
          <w:sz w:val="4"/>
          <w:szCs w:val="4"/>
        </w:rPr>
        <w:pict>
          <v:group style="width:395.35pt;height:2.2pt;mso-position-horizontal-relative:char;mso-position-vertical-relative:line" coordorigin="0,0" coordsize="7907,44">
            <v:group style="position:absolute;left:7;top:36;width:1296;height:2" coordorigin="7,36" coordsize="1296,2">
              <v:shape style="position:absolute;left:7;top:36;width:1296;height:2" coordorigin="7,36" coordsize="1296,0" path="m7,36l1303,36e" filled="false" stroked="true" strokeweight=".72pt" strokecolor="#000000">
                <v:path arrowok="t"/>
              </v:shape>
            </v:group>
            <v:group style="position:absolute;left:7;top:7;width:1296;height:2" coordorigin="7,7" coordsize="1296,2">
              <v:shape style="position:absolute;left:7;top:7;width:1296;height:2" coordorigin="7,7" coordsize="1296,0" path="m7,7l1303,7e" filled="false" stroked="true" strokeweight=".72pt" strokecolor="#000000">
                <v:path arrowok="t"/>
              </v:shape>
            </v:group>
            <v:group style="position:absolute;left:1364;top:36;width:632;height:2" coordorigin="1364,36" coordsize="632,2">
              <v:shape style="position:absolute;left:1364;top:36;width:632;height:2" coordorigin="1364,36" coordsize="632,0" path="m1364,36l1996,36e" filled="false" stroked="true" strokeweight=".72pt" strokecolor="#000000">
                <v:path arrowok="t"/>
              </v:shape>
            </v:group>
            <v:group style="position:absolute;left:1364;top:7;width:632;height:2" coordorigin="1364,7" coordsize="632,2">
              <v:shape style="position:absolute;left:1364;top:7;width:632;height:2" coordorigin="1364,7" coordsize="632,0" path="m1364,7l1996,7e" filled="false" stroked="true" strokeweight=".72pt" strokecolor="#000000">
                <v:path arrowok="t"/>
              </v:shape>
            </v:group>
            <v:group style="position:absolute;left:2057;top:36;width:1206;height:2" coordorigin="2057,36" coordsize="1206,2">
              <v:shape style="position:absolute;left:2057;top:36;width:1206;height:2" coordorigin="2057,36" coordsize="1206,0" path="m2057,36l3263,36e" filled="false" stroked="true" strokeweight=".72pt" strokecolor="#000000">
                <v:path arrowok="t"/>
              </v:shape>
            </v:group>
            <v:group style="position:absolute;left:2057;top:7;width:1206;height:2" coordorigin="2057,7" coordsize="1206,2">
              <v:shape style="position:absolute;left:2057;top:7;width:1206;height:2" coordorigin="2057,7" coordsize="1206,0" path="m2057,7l3263,7e" filled="false" stroked="true" strokeweight=".72pt" strokecolor="#000000">
                <v:path arrowok="t"/>
              </v:shape>
            </v:group>
            <v:group style="position:absolute;left:3325;top:36;width:597;height:2" coordorigin="3325,36" coordsize="597,2">
              <v:shape style="position:absolute;left:3325;top:36;width:597;height:2" coordorigin="3325,36" coordsize="597,0" path="m3325,36l3922,36e" filled="false" stroked="true" strokeweight=".72pt" strokecolor="#000000">
                <v:path arrowok="t"/>
              </v:shape>
            </v:group>
            <v:group style="position:absolute;left:3325;top:7;width:597;height:2" coordorigin="3325,7" coordsize="597,2">
              <v:shape style="position:absolute;left:3325;top:7;width:597;height:2" coordorigin="3325,7" coordsize="597,0" path="m3325,7l3922,7e" filled="false" stroked="true" strokeweight=".72pt" strokecolor="#000000">
                <v:path arrowok="t"/>
              </v:shape>
            </v:group>
            <v:group style="position:absolute;left:3983;top:36;width:1246;height:2" coordorigin="3983,36" coordsize="1246,2">
              <v:shape style="position:absolute;left:3983;top:36;width:1246;height:2" coordorigin="3983,36" coordsize="1246,0" path="m3983,36l5228,36e" filled="false" stroked="true" strokeweight=".72pt" strokecolor="#000000">
                <v:path arrowok="t"/>
              </v:shape>
            </v:group>
            <v:group style="position:absolute;left:3983;top:7;width:1246;height:2" coordorigin="3983,7" coordsize="1246,2">
              <v:shape style="position:absolute;left:3983;top:7;width:1246;height:2" coordorigin="3983,7" coordsize="1246,0" path="m3983,7l5228,7e" filled="false" stroked="true" strokeweight=".72pt" strokecolor="#000000">
                <v:path arrowok="t"/>
              </v:shape>
            </v:group>
            <v:group style="position:absolute;left:5290;top:36;width:653;height:2" coordorigin="5290,36" coordsize="653,2">
              <v:shape style="position:absolute;left:5290;top:36;width:653;height:2" coordorigin="5290,36" coordsize="653,0" path="m5290,36l5942,36e" filled="false" stroked="true" strokeweight=".72pt" strokecolor="#000000">
                <v:path arrowok="t"/>
              </v:shape>
            </v:group>
            <v:group style="position:absolute;left:5290;top:7;width:653;height:2" coordorigin="5290,7" coordsize="653,2">
              <v:shape style="position:absolute;left:5290;top:7;width:653;height:2" coordorigin="5290,7" coordsize="653,0" path="m5290,7l5942,7e" filled="false" stroked="true" strokeweight=".72pt" strokecolor="#000000">
                <v:path arrowok="t"/>
              </v:shape>
            </v:group>
            <v:group style="position:absolute;left:6004;top:36;width:1199;height:2" coordorigin="6004,36" coordsize="1199,2">
              <v:shape style="position:absolute;left:6004;top:36;width:1199;height:2" coordorigin="6004,36" coordsize="1199,0" path="m6004,36l7202,36e" filled="false" stroked="true" strokeweight=".72pt" strokecolor="#000000">
                <v:path arrowok="t"/>
              </v:shape>
            </v:group>
            <v:group style="position:absolute;left:6004;top:7;width:1199;height:2" coordorigin="6004,7" coordsize="1199,2">
              <v:shape style="position:absolute;left:6004;top:7;width:1199;height:2" coordorigin="6004,7" coordsize="1199,0" path="m6004,7l7202,7e" filled="false" stroked="true" strokeweight=".72pt" strokecolor="#000000">
                <v:path arrowok="t"/>
              </v:shape>
            </v:group>
            <v:group style="position:absolute;left:7272;top:36;width:628;height:2" coordorigin="7272,36" coordsize="628,2">
              <v:shape style="position:absolute;left:7272;top:36;width:628;height:2" coordorigin="7272,36" coordsize="628,0" path="m7272,36l7900,36e" filled="false" stroked="true" strokeweight=".72pt" strokecolor="#000000">
                <v:path arrowok="t"/>
              </v:shape>
            </v:group>
            <v:group style="position:absolute;left:7272;top:7;width:628;height:2" coordorigin="7272,7" coordsize="628,2">
              <v:shape style="position:absolute;left:7272;top:7;width:628;height:2" coordorigin="7272,7" coordsize="628,0" path="m7272,7l7900,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6"/>
        <w:rPr>
          <w:rFonts w:ascii="Arial" w:hAnsi="Arial" w:cs="Arial" w:eastAsia="Arial" w:hint="default"/>
          <w:sz w:val="16"/>
          <w:szCs w:val="16"/>
        </w:rPr>
      </w:pPr>
    </w:p>
    <w:p>
      <w:pPr>
        <w:pStyle w:val="BodyText"/>
        <w:spacing w:line="294" w:lineRule="exact" w:before="31"/>
        <w:ind w:left="127" w:right="0"/>
        <w:jc w:val="left"/>
      </w:pPr>
      <w:r>
        <w:rPr>
          <w:rFonts w:ascii="Arial" w:hAnsi="Arial" w:cs="Arial" w:eastAsia="Arial" w:hint="default"/>
        </w:rPr>
        <w:t>(e)  2009 </w:t>
      </w:r>
      <w:r>
        <w:rPr/>
        <w:t>年度，本集团对有确凿证据表明无法收回的约人民币 </w:t>
      </w:r>
      <w:r>
        <w:rPr>
          <w:rFonts w:ascii="Arial" w:hAnsi="Arial" w:cs="Arial" w:eastAsia="Arial" w:hint="default"/>
        </w:rPr>
        <w:t>115</w:t>
      </w:r>
      <w:r>
        <w:rPr>
          <w:rFonts w:ascii="Arial" w:hAnsi="Arial" w:cs="Arial" w:eastAsia="Arial" w:hint="default"/>
          <w:spacing w:val="-40"/>
        </w:rPr>
        <w:t> </w:t>
      </w:r>
      <w:r>
        <w:rPr/>
        <w:t>万元的其他应收款进行了核销</w:t>
      </w:r>
    </w:p>
    <w:p>
      <w:pPr>
        <w:pStyle w:val="BodyText"/>
        <w:spacing w:line="286" w:lineRule="exact" w:before="18"/>
        <w:ind w:left="576" w:right="416"/>
        <w:jc w:val="left"/>
      </w:pPr>
      <w:r>
        <w:rPr/>
        <w:t>（</w:t>
      </w:r>
      <w:r>
        <w:rPr>
          <w:rFonts w:ascii="Arial" w:hAnsi="Arial" w:cs="Arial" w:eastAsia="Arial" w:hint="default"/>
        </w:rPr>
        <w:t>2008</w:t>
      </w:r>
      <w:r>
        <w:rPr>
          <w:rFonts w:ascii="Arial" w:hAnsi="Arial" w:cs="Arial" w:eastAsia="Arial" w:hint="default"/>
          <w:spacing w:val="-4"/>
        </w:rPr>
        <w:t> </w:t>
      </w:r>
      <w:r>
        <w:rPr/>
        <w:t>年度：约人民币</w:t>
      </w:r>
      <w:r>
        <w:rPr>
          <w:spacing w:val="-52"/>
        </w:rPr>
        <w:t> </w:t>
      </w:r>
      <w:r>
        <w:rPr>
          <w:rFonts w:ascii="Arial" w:hAnsi="Arial" w:cs="Arial" w:eastAsia="Arial" w:hint="default"/>
        </w:rPr>
        <w:t>1,700</w:t>
      </w:r>
      <w:r>
        <w:rPr>
          <w:rFonts w:ascii="Arial" w:hAnsi="Arial" w:cs="Arial" w:eastAsia="Arial" w:hint="default"/>
          <w:spacing w:val="-4"/>
        </w:rPr>
        <w:t> </w:t>
      </w:r>
      <w:r>
        <w:rPr/>
        <w:t>万元），同时冲销已计提的坏账准备。此外，本集团本年核销</w:t>
      </w:r>
      <w:r>
        <w:rPr>
          <w:w w:val="99"/>
        </w:rPr>
        <w:t> </w:t>
      </w:r>
      <w:r>
        <w:rPr/>
        <w:t>的其他应收款中无应收关联公司款项。</w:t>
      </w:r>
    </w:p>
    <w:p>
      <w:pPr>
        <w:spacing w:line="240" w:lineRule="auto" w:before="2"/>
        <w:rPr>
          <w:rFonts w:ascii="宋体" w:hAnsi="宋体" w:cs="宋体" w:eastAsia="宋体" w:hint="default"/>
          <w:sz w:val="17"/>
          <w:szCs w:val="17"/>
        </w:rPr>
      </w:pPr>
    </w:p>
    <w:p>
      <w:pPr>
        <w:pStyle w:val="BodyText"/>
        <w:spacing w:line="240" w:lineRule="auto"/>
        <w:ind w:left="142" w:right="0"/>
        <w:jc w:val="left"/>
      </w:pPr>
      <w:r>
        <w:rPr>
          <w:rFonts w:ascii="Arial" w:hAnsi="Arial" w:cs="Arial" w:eastAsia="Arial" w:hint="default"/>
        </w:rPr>
        <w:t>(f)  </w:t>
      </w:r>
      <w:r>
        <w:rPr/>
        <w:t>应收持有本公司 </w:t>
      </w:r>
      <w:r>
        <w:rPr>
          <w:rFonts w:ascii="Arial" w:hAnsi="Arial" w:cs="Arial" w:eastAsia="Arial" w:hint="default"/>
        </w:rPr>
        <w:t>5%</w:t>
      </w:r>
      <w:r>
        <w:rPr/>
        <w:t>（含</w:t>
      </w:r>
      <w:r>
        <w:rPr>
          <w:spacing w:val="-51"/>
        </w:rPr>
        <w:t> </w:t>
      </w:r>
      <w:r>
        <w:rPr>
          <w:rFonts w:ascii="Arial" w:hAnsi="Arial" w:cs="Arial" w:eastAsia="Arial" w:hint="default"/>
        </w:rPr>
        <w:t>5%</w:t>
      </w:r>
      <w:r>
        <w:rPr/>
        <w:t>）以上表决权股份的股东单位的其他应收款分析如下：</w:t>
      </w:r>
    </w:p>
    <w:p>
      <w:pPr>
        <w:spacing w:line="240" w:lineRule="auto" w:before="8"/>
        <w:rPr>
          <w:rFonts w:ascii="宋体" w:hAnsi="宋体" w:cs="宋体" w:eastAsia="宋体" w:hint="default"/>
          <w:sz w:val="20"/>
          <w:szCs w:val="20"/>
        </w:rPr>
      </w:pPr>
    </w:p>
    <w:p>
      <w:pPr>
        <w:tabs>
          <w:tab w:pos="6478" w:val="left" w:leader="none"/>
        </w:tabs>
        <w:spacing w:before="0"/>
        <w:ind w:left="3428" w:right="0" w:firstLine="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宋体" w:hAnsi="宋体" w:cs="宋体" w:eastAsia="宋体" w:hint="default"/>
          <w:sz w:val="20"/>
          <w:szCs w:val="20"/>
        </w:rPr>
        <w:t>日</w:t>
        <w:tab/>
      </w: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7"/>
          <w:sz w:val="20"/>
          <w:szCs w:val="20"/>
        </w:rPr>
        <w:t> </w:t>
      </w:r>
      <w:r>
        <w:rPr>
          <w:rFonts w:ascii="宋体" w:hAnsi="宋体" w:cs="宋体" w:eastAsia="宋体" w:hint="default"/>
          <w:sz w:val="20"/>
          <w:szCs w:val="20"/>
        </w:rPr>
        <w:t>日（经重列）</w:t>
      </w:r>
    </w:p>
    <w:tbl>
      <w:tblPr>
        <w:tblW w:w="0" w:type="auto"/>
        <w:jc w:val="left"/>
        <w:tblInd w:w="544" w:type="dxa"/>
        <w:tblLayout w:type="fixed"/>
        <w:tblCellMar>
          <w:top w:w="0" w:type="dxa"/>
          <w:left w:w="0" w:type="dxa"/>
          <w:bottom w:w="0" w:type="dxa"/>
          <w:right w:w="0" w:type="dxa"/>
        </w:tblCellMar>
        <w:tblLook w:val="01E0"/>
      </w:tblPr>
      <w:tblGrid>
        <w:gridCol w:w="2134"/>
        <w:gridCol w:w="1532"/>
        <w:gridCol w:w="295"/>
        <w:gridCol w:w="1400"/>
        <w:gridCol w:w="295"/>
        <w:gridCol w:w="1537"/>
        <w:gridCol w:w="296"/>
        <w:gridCol w:w="1445"/>
      </w:tblGrid>
      <w:tr>
        <w:trPr>
          <w:trHeight w:val="274" w:hRule="exact"/>
        </w:trPr>
        <w:tc>
          <w:tcPr>
            <w:tcW w:w="2134" w:type="dxa"/>
            <w:tcBorders>
              <w:top w:val="nil" w:sz="6" w:space="0" w:color="auto"/>
              <w:left w:val="nil" w:sz="6" w:space="0" w:color="auto"/>
              <w:bottom w:val="nil" w:sz="6" w:space="0" w:color="auto"/>
              <w:right w:val="nil" w:sz="6" w:space="0" w:color="auto"/>
            </w:tcBorders>
          </w:tcPr>
          <w:p>
            <w:pPr/>
          </w:p>
        </w:tc>
        <w:tc>
          <w:tcPr>
            <w:tcW w:w="1532" w:type="dxa"/>
            <w:tcBorders>
              <w:top w:val="single" w:sz="6" w:space="0" w:color="000000"/>
              <w:left w:val="nil" w:sz="6" w:space="0" w:color="auto"/>
              <w:bottom w:val="single" w:sz="6" w:space="0" w:color="000000"/>
              <w:right w:val="nil" w:sz="6" w:space="0" w:color="auto"/>
            </w:tcBorders>
          </w:tcPr>
          <w:p>
            <w:pPr>
              <w:pStyle w:val="TableParagraph"/>
              <w:spacing w:line="231" w:lineRule="exact"/>
              <w:ind w:right="99"/>
              <w:jc w:val="right"/>
              <w:rPr>
                <w:rFonts w:ascii="宋体" w:hAnsi="宋体" w:cs="宋体" w:eastAsia="宋体" w:hint="default"/>
                <w:sz w:val="20"/>
                <w:szCs w:val="20"/>
              </w:rPr>
            </w:pPr>
            <w:r>
              <w:rPr>
                <w:rFonts w:ascii="宋体" w:hAnsi="宋体" w:cs="宋体" w:eastAsia="宋体" w:hint="default"/>
                <w:sz w:val="20"/>
                <w:szCs w:val="20"/>
              </w:rPr>
              <w:t>金额</w:t>
            </w:r>
          </w:p>
        </w:tc>
        <w:tc>
          <w:tcPr>
            <w:tcW w:w="295" w:type="dxa"/>
            <w:tcBorders>
              <w:top w:val="single" w:sz="6" w:space="0" w:color="000000"/>
              <w:left w:val="nil" w:sz="6" w:space="0" w:color="auto"/>
              <w:bottom w:val="nil" w:sz="6" w:space="0" w:color="auto"/>
              <w:right w:val="nil" w:sz="6" w:space="0" w:color="auto"/>
            </w:tcBorders>
          </w:tcPr>
          <w:p>
            <w:pPr/>
          </w:p>
        </w:tc>
        <w:tc>
          <w:tcPr>
            <w:tcW w:w="1400" w:type="dxa"/>
            <w:tcBorders>
              <w:top w:val="single" w:sz="6" w:space="0" w:color="000000"/>
              <w:left w:val="nil" w:sz="6" w:space="0" w:color="auto"/>
              <w:bottom w:val="single" w:sz="6" w:space="0" w:color="000000"/>
              <w:right w:val="nil" w:sz="6" w:space="0" w:color="auto"/>
            </w:tcBorders>
          </w:tcPr>
          <w:p>
            <w:pPr>
              <w:pStyle w:val="TableParagraph"/>
              <w:spacing w:line="231" w:lineRule="exact"/>
              <w:ind w:right="97"/>
              <w:jc w:val="right"/>
              <w:rPr>
                <w:rFonts w:ascii="宋体" w:hAnsi="宋体" w:cs="宋体" w:eastAsia="宋体" w:hint="default"/>
                <w:sz w:val="20"/>
                <w:szCs w:val="20"/>
              </w:rPr>
            </w:pPr>
            <w:r>
              <w:rPr>
                <w:rFonts w:ascii="宋体" w:hAnsi="宋体" w:cs="宋体" w:eastAsia="宋体" w:hint="default"/>
                <w:sz w:val="20"/>
                <w:szCs w:val="20"/>
              </w:rPr>
              <w:t>坏账准备</w:t>
            </w:r>
          </w:p>
        </w:tc>
        <w:tc>
          <w:tcPr>
            <w:tcW w:w="295" w:type="dxa"/>
            <w:tcBorders>
              <w:top w:val="nil" w:sz="6" w:space="0" w:color="auto"/>
              <w:left w:val="nil" w:sz="6" w:space="0" w:color="auto"/>
              <w:bottom w:val="nil" w:sz="6" w:space="0" w:color="auto"/>
              <w:right w:val="nil" w:sz="6" w:space="0" w:color="auto"/>
            </w:tcBorders>
          </w:tcPr>
          <w:p>
            <w:pPr/>
          </w:p>
        </w:tc>
        <w:tc>
          <w:tcPr>
            <w:tcW w:w="1537" w:type="dxa"/>
            <w:tcBorders>
              <w:top w:val="single" w:sz="6" w:space="0" w:color="000000"/>
              <w:left w:val="nil" w:sz="6" w:space="0" w:color="auto"/>
              <w:bottom w:val="single" w:sz="6" w:space="0" w:color="000000"/>
              <w:right w:val="nil" w:sz="6" w:space="0" w:color="auto"/>
            </w:tcBorders>
          </w:tcPr>
          <w:p>
            <w:pPr>
              <w:pStyle w:val="TableParagraph"/>
              <w:spacing w:line="231" w:lineRule="exact"/>
              <w:ind w:right="99"/>
              <w:jc w:val="right"/>
              <w:rPr>
                <w:rFonts w:ascii="宋体" w:hAnsi="宋体" w:cs="宋体" w:eastAsia="宋体" w:hint="default"/>
                <w:sz w:val="20"/>
                <w:szCs w:val="20"/>
              </w:rPr>
            </w:pPr>
            <w:r>
              <w:rPr>
                <w:rFonts w:ascii="宋体" w:hAnsi="宋体" w:cs="宋体" w:eastAsia="宋体" w:hint="default"/>
                <w:sz w:val="20"/>
                <w:szCs w:val="20"/>
              </w:rPr>
              <w:t>金额</w:t>
            </w:r>
          </w:p>
        </w:tc>
        <w:tc>
          <w:tcPr>
            <w:tcW w:w="296" w:type="dxa"/>
            <w:tcBorders>
              <w:top w:val="single" w:sz="6" w:space="0" w:color="000000"/>
              <w:left w:val="nil" w:sz="6" w:space="0" w:color="auto"/>
              <w:bottom w:val="nil" w:sz="6" w:space="0" w:color="auto"/>
              <w:right w:val="nil" w:sz="6" w:space="0" w:color="auto"/>
            </w:tcBorders>
          </w:tcPr>
          <w:p>
            <w:pPr/>
          </w:p>
        </w:tc>
        <w:tc>
          <w:tcPr>
            <w:tcW w:w="1445" w:type="dxa"/>
            <w:tcBorders>
              <w:top w:val="single" w:sz="6" w:space="0" w:color="000000"/>
              <w:left w:val="nil" w:sz="6" w:space="0" w:color="auto"/>
              <w:bottom w:val="single" w:sz="6" w:space="0" w:color="000000"/>
              <w:right w:val="nil" w:sz="6" w:space="0" w:color="auto"/>
            </w:tcBorders>
          </w:tcPr>
          <w:p>
            <w:pPr>
              <w:pStyle w:val="TableParagraph"/>
              <w:spacing w:line="231" w:lineRule="exact"/>
              <w:ind w:right="99"/>
              <w:jc w:val="right"/>
              <w:rPr>
                <w:rFonts w:ascii="宋体" w:hAnsi="宋体" w:cs="宋体" w:eastAsia="宋体" w:hint="default"/>
                <w:sz w:val="20"/>
                <w:szCs w:val="20"/>
              </w:rPr>
            </w:pPr>
            <w:r>
              <w:rPr>
                <w:rFonts w:ascii="宋体" w:hAnsi="宋体" w:cs="宋体" w:eastAsia="宋体" w:hint="default"/>
                <w:sz w:val="20"/>
                <w:szCs w:val="20"/>
              </w:rPr>
              <w:t>坏账准备</w:t>
            </w:r>
          </w:p>
        </w:tc>
      </w:tr>
      <w:tr>
        <w:trPr>
          <w:trHeight w:val="521" w:hRule="exact"/>
        </w:trPr>
        <w:tc>
          <w:tcPr>
            <w:tcW w:w="213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联通集团（附注七</w:t>
            </w:r>
            <w:r>
              <w:rPr>
                <w:rFonts w:ascii="Arial" w:hAnsi="Arial" w:cs="Arial" w:eastAsia="Arial" w:hint="default"/>
                <w:sz w:val="20"/>
                <w:szCs w:val="20"/>
              </w:rPr>
              <w:t>(5)</w:t>
            </w:r>
            <w:r>
              <w:rPr>
                <w:rFonts w:ascii="宋体" w:hAnsi="宋体" w:cs="宋体" w:eastAsia="宋体" w:hint="default"/>
                <w:sz w:val="20"/>
                <w:szCs w:val="20"/>
              </w:rPr>
              <w:t>）</w:t>
            </w:r>
          </w:p>
        </w:tc>
        <w:tc>
          <w:tcPr>
            <w:tcW w:w="1532" w:type="dxa"/>
            <w:tcBorders>
              <w:top w:val="single" w:sz="6" w:space="0" w:color="000000"/>
              <w:left w:val="nil" w:sz="6" w:space="0" w:color="auto"/>
              <w:bottom w:val="single" w:sz="17"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9"/>
              <w:jc w:val="right"/>
              <w:rPr>
                <w:rFonts w:ascii="Arial" w:hAnsi="Arial" w:cs="Arial" w:eastAsia="Arial" w:hint="default"/>
                <w:sz w:val="20"/>
                <w:szCs w:val="20"/>
              </w:rPr>
            </w:pPr>
            <w:r>
              <w:rPr>
                <w:rFonts w:ascii="Arial"/>
                <w:w w:val="100"/>
                <w:sz w:val="20"/>
              </w:rPr>
              <w:t>-</w:t>
            </w:r>
          </w:p>
        </w:tc>
        <w:tc>
          <w:tcPr>
            <w:tcW w:w="295" w:type="dxa"/>
            <w:tcBorders>
              <w:top w:val="nil" w:sz="6" w:space="0" w:color="auto"/>
              <w:left w:val="nil" w:sz="6" w:space="0" w:color="auto"/>
              <w:bottom w:val="nil" w:sz="6" w:space="0" w:color="auto"/>
              <w:right w:val="nil" w:sz="6" w:space="0" w:color="auto"/>
            </w:tcBorders>
          </w:tcPr>
          <w:p>
            <w:pPr/>
          </w:p>
        </w:tc>
        <w:tc>
          <w:tcPr>
            <w:tcW w:w="1400" w:type="dxa"/>
            <w:tcBorders>
              <w:top w:val="single" w:sz="6" w:space="0" w:color="000000"/>
              <w:left w:val="nil" w:sz="6" w:space="0" w:color="auto"/>
              <w:bottom w:val="single" w:sz="17"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7"/>
              <w:jc w:val="right"/>
              <w:rPr>
                <w:rFonts w:ascii="Arial" w:hAnsi="Arial" w:cs="Arial" w:eastAsia="Arial" w:hint="default"/>
                <w:sz w:val="20"/>
                <w:szCs w:val="20"/>
              </w:rPr>
            </w:pPr>
            <w:r>
              <w:rPr>
                <w:rFonts w:ascii="Arial"/>
                <w:w w:val="100"/>
                <w:sz w:val="20"/>
              </w:rPr>
              <w:t>-</w:t>
            </w:r>
          </w:p>
        </w:tc>
        <w:tc>
          <w:tcPr>
            <w:tcW w:w="295" w:type="dxa"/>
            <w:tcBorders>
              <w:top w:val="nil" w:sz="6" w:space="0" w:color="auto"/>
              <w:left w:val="nil" w:sz="6" w:space="0" w:color="auto"/>
              <w:bottom w:val="nil" w:sz="6" w:space="0" w:color="auto"/>
              <w:right w:val="nil" w:sz="6" w:space="0" w:color="auto"/>
            </w:tcBorders>
          </w:tcPr>
          <w:p>
            <w:pPr/>
          </w:p>
        </w:tc>
        <w:tc>
          <w:tcPr>
            <w:tcW w:w="1537" w:type="dxa"/>
            <w:tcBorders>
              <w:top w:val="single" w:sz="6" w:space="0" w:color="000000"/>
              <w:left w:val="nil" w:sz="6" w:space="0" w:color="auto"/>
              <w:bottom w:val="single" w:sz="17"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20"/>
                <w:szCs w:val="20"/>
              </w:rPr>
            </w:pPr>
            <w:r>
              <w:rPr>
                <w:rFonts w:ascii="Arial"/>
                <w:spacing w:val="-1"/>
                <w:sz w:val="20"/>
              </w:rPr>
              <w:t>1,008,826,360</w:t>
            </w:r>
          </w:p>
        </w:tc>
        <w:tc>
          <w:tcPr>
            <w:tcW w:w="296" w:type="dxa"/>
            <w:tcBorders>
              <w:top w:val="nil" w:sz="6" w:space="0" w:color="auto"/>
              <w:left w:val="nil" w:sz="6" w:space="0" w:color="auto"/>
              <w:bottom w:val="nil" w:sz="6" w:space="0" w:color="auto"/>
              <w:right w:val="nil" w:sz="6" w:space="0" w:color="auto"/>
            </w:tcBorders>
          </w:tcPr>
          <w:p>
            <w:pPr/>
          </w:p>
        </w:tc>
        <w:tc>
          <w:tcPr>
            <w:tcW w:w="1445" w:type="dxa"/>
            <w:tcBorders>
              <w:top w:val="single" w:sz="6" w:space="0" w:color="000000"/>
              <w:left w:val="nil" w:sz="6" w:space="0" w:color="auto"/>
              <w:bottom w:val="single" w:sz="17"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8"/>
              <w:jc w:val="right"/>
              <w:rPr>
                <w:rFonts w:ascii="Arial" w:hAnsi="Arial" w:cs="Arial" w:eastAsia="Arial" w:hint="default"/>
                <w:sz w:val="20"/>
                <w:szCs w:val="20"/>
              </w:rPr>
            </w:pPr>
            <w:r>
              <w:rPr>
                <w:rFonts w:ascii="Arial"/>
                <w:w w:val="100"/>
                <w:sz w:val="20"/>
              </w:rPr>
              <w:t>-</w:t>
            </w:r>
          </w:p>
        </w:tc>
      </w:tr>
    </w:tbl>
    <w:p>
      <w:pPr>
        <w:spacing w:after="0" w:line="240" w:lineRule="auto"/>
        <w:jc w:val="right"/>
        <w:rPr>
          <w:rFonts w:ascii="Arial" w:hAnsi="Arial" w:cs="Arial" w:eastAsia="Arial" w:hint="default"/>
          <w:sz w:val="20"/>
          <w:szCs w:val="20"/>
        </w:rPr>
        <w:sectPr>
          <w:type w:val="continuous"/>
          <w:pgSz w:w="11910" w:h="16840"/>
          <w:pgMar w:top="1600" w:bottom="280" w:left="1240" w:right="740"/>
        </w:sectPr>
      </w:pPr>
    </w:p>
    <w:p>
      <w:pPr>
        <w:spacing w:line="240" w:lineRule="auto" w:before="12"/>
        <w:rPr>
          <w:rFonts w:ascii="宋体" w:hAnsi="宋体" w:cs="宋体" w:eastAsia="宋体" w:hint="default"/>
          <w:sz w:val="15"/>
          <w:szCs w:val="15"/>
        </w:rPr>
      </w:pPr>
    </w:p>
    <w:p>
      <w:pPr>
        <w:pStyle w:val="BodyText"/>
        <w:spacing w:line="240" w:lineRule="auto" w:before="31"/>
        <w:ind w:left="102" w:right="109"/>
        <w:jc w:val="left"/>
      </w:pPr>
      <w:r>
        <w:rPr>
          <w:rFonts w:ascii="Arial" w:hAnsi="Arial" w:cs="Arial" w:eastAsia="Arial" w:hint="default"/>
        </w:rPr>
        <w:t>(g) </w:t>
      </w:r>
      <w:r>
        <w:rPr>
          <w:rFonts w:ascii="Arial" w:hAnsi="Arial" w:cs="Arial" w:eastAsia="Arial" w:hint="default"/>
          <w:spacing w:val="27"/>
        </w:rPr>
        <w:t> </w:t>
      </w: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日，余额前五名的其他应收款分析如下：</w:t>
      </w:r>
    </w:p>
    <w:p>
      <w:pPr>
        <w:spacing w:line="240" w:lineRule="auto" w:before="3"/>
        <w:rPr>
          <w:rFonts w:ascii="宋体" w:hAnsi="宋体" w:cs="宋体" w:eastAsia="宋体" w:hint="default"/>
          <w:sz w:val="15"/>
          <w:szCs w:val="15"/>
        </w:rPr>
      </w:pPr>
    </w:p>
    <w:tbl>
      <w:tblPr>
        <w:tblW w:w="0" w:type="auto"/>
        <w:jc w:val="left"/>
        <w:tblInd w:w="527" w:type="dxa"/>
        <w:tblLayout w:type="fixed"/>
        <w:tblCellMar>
          <w:top w:w="0" w:type="dxa"/>
          <w:left w:w="0" w:type="dxa"/>
          <w:bottom w:w="0" w:type="dxa"/>
          <w:right w:w="0" w:type="dxa"/>
        </w:tblCellMar>
        <w:tblLook w:val="01E0"/>
      </w:tblPr>
      <w:tblGrid>
        <w:gridCol w:w="1696"/>
        <w:gridCol w:w="1751"/>
        <w:gridCol w:w="122"/>
        <w:gridCol w:w="1756"/>
        <w:gridCol w:w="104"/>
        <w:gridCol w:w="1747"/>
        <w:gridCol w:w="231"/>
        <w:gridCol w:w="1498"/>
      </w:tblGrid>
      <w:tr>
        <w:trPr>
          <w:trHeight w:val="596" w:hRule="exact"/>
        </w:trPr>
        <w:tc>
          <w:tcPr>
            <w:tcW w:w="1696" w:type="dxa"/>
            <w:tcBorders>
              <w:top w:val="nil" w:sz="6" w:space="0" w:color="auto"/>
              <w:left w:val="nil" w:sz="6" w:space="0" w:color="auto"/>
              <w:bottom w:val="nil" w:sz="6" w:space="0" w:color="auto"/>
              <w:right w:val="nil" w:sz="6" w:space="0" w:color="auto"/>
            </w:tcBorders>
          </w:tcPr>
          <w:p>
            <w:pPr/>
          </w:p>
        </w:tc>
        <w:tc>
          <w:tcPr>
            <w:tcW w:w="1751" w:type="dxa"/>
            <w:tcBorders>
              <w:top w:val="nil" w:sz="6" w:space="0" w:color="auto"/>
              <w:left w:val="nil" w:sz="6" w:space="0" w:color="auto"/>
              <w:bottom w:val="single" w:sz="6" w:space="0" w:color="000000"/>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4" w:right="0"/>
              <w:jc w:val="center"/>
              <w:rPr>
                <w:rFonts w:ascii="宋体" w:hAnsi="宋体" w:cs="宋体" w:eastAsia="宋体" w:hint="default"/>
                <w:sz w:val="20"/>
                <w:szCs w:val="20"/>
              </w:rPr>
            </w:pPr>
            <w:r>
              <w:rPr>
                <w:rFonts w:ascii="宋体" w:hAnsi="宋体" w:cs="宋体" w:eastAsia="宋体" w:hint="default"/>
                <w:sz w:val="20"/>
                <w:szCs w:val="20"/>
              </w:rPr>
              <w:t>与本集团关系</w:t>
            </w:r>
          </w:p>
        </w:tc>
        <w:tc>
          <w:tcPr>
            <w:tcW w:w="122" w:type="dxa"/>
            <w:tcBorders>
              <w:top w:val="nil" w:sz="6" w:space="0" w:color="auto"/>
              <w:left w:val="nil" w:sz="6" w:space="0" w:color="auto"/>
              <w:bottom w:val="nil" w:sz="6" w:space="0" w:color="auto"/>
              <w:right w:val="nil" w:sz="6" w:space="0" w:color="auto"/>
            </w:tcBorders>
          </w:tcPr>
          <w:p>
            <w:pPr/>
          </w:p>
        </w:tc>
        <w:tc>
          <w:tcPr>
            <w:tcW w:w="1756" w:type="dxa"/>
            <w:tcBorders>
              <w:top w:val="nil" w:sz="6" w:space="0" w:color="auto"/>
              <w:left w:val="nil" w:sz="6" w:space="0" w:color="auto"/>
              <w:bottom w:val="single" w:sz="6" w:space="0" w:color="000000"/>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90"/>
              <w:jc w:val="right"/>
              <w:rPr>
                <w:rFonts w:ascii="宋体" w:hAnsi="宋体" w:cs="宋体" w:eastAsia="宋体" w:hint="default"/>
                <w:sz w:val="20"/>
                <w:szCs w:val="20"/>
              </w:rPr>
            </w:pPr>
            <w:r>
              <w:rPr>
                <w:rFonts w:ascii="宋体" w:hAnsi="宋体" w:cs="宋体" w:eastAsia="宋体" w:hint="default"/>
                <w:sz w:val="20"/>
                <w:szCs w:val="20"/>
              </w:rPr>
              <w:t>金额</w:t>
            </w:r>
          </w:p>
        </w:tc>
        <w:tc>
          <w:tcPr>
            <w:tcW w:w="104" w:type="dxa"/>
            <w:tcBorders>
              <w:top w:val="nil" w:sz="6" w:space="0" w:color="auto"/>
              <w:left w:val="nil" w:sz="6" w:space="0" w:color="auto"/>
              <w:bottom w:val="nil" w:sz="6" w:space="0" w:color="auto"/>
              <w:right w:val="nil" w:sz="6" w:space="0" w:color="auto"/>
            </w:tcBorders>
          </w:tcPr>
          <w:p>
            <w:pPr/>
          </w:p>
        </w:tc>
        <w:tc>
          <w:tcPr>
            <w:tcW w:w="1747" w:type="dxa"/>
            <w:tcBorders>
              <w:top w:val="nil" w:sz="6" w:space="0" w:color="auto"/>
              <w:left w:val="nil" w:sz="6" w:space="0" w:color="auto"/>
              <w:bottom w:val="single" w:sz="6" w:space="0" w:color="000000"/>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0"/>
              <w:jc w:val="right"/>
              <w:rPr>
                <w:rFonts w:ascii="宋体" w:hAnsi="宋体" w:cs="宋体" w:eastAsia="宋体" w:hint="default"/>
                <w:sz w:val="20"/>
                <w:szCs w:val="20"/>
              </w:rPr>
            </w:pPr>
            <w:r>
              <w:rPr>
                <w:rFonts w:ascii="宋体" w:hAnsi="宋体" w:cs="宋体" w:eastAsia="宋体" w:hint="default"/>
                <w:sz w:val="20"/>
                <w:szCs w:val="20"/>
              </w:rPr>
              <w:t>年限</w:t>
            </w:r>
          </w:p>
        </w:tc>
        <w:tc>
          <w:tcPr>
            <w:tcW w:w="231"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single" w:sz="6" w:space="0" w:color="000000"/>
              <w:right w:val="nil" w:sz="6" w:space="0" w:color="auto"/>
            </w:tcBorders>
          </w:tcPr>
          <w:p>
            <w:pPr>
              <w:pStyle w:val="TableParagraph"/>
              <w:spacing w:line="260" w:lineRule="exact" w:before="38"/>
              <w:ind w:left="77" w:right="0"/>
              <w:jc w:val="left"/>
              <w:rPr>
                <w:rFonts w:ascii="宋体" w:hAnsi="宋体" w:cs="宋体" w:eastAsia="宋体" w:hint="default"/>
                <w:sz w:val="20"/>
                <w:szCs w:val="20"/>
              </w:rPr>
            </w:pPr>
            <w:r>
              <w:rPr>
                <w:rFonts w:ascii="宋体" w:hAnsi="宋体" w:cs="宋体" w:eastAsia="宋体" w:hint="default"/>
                <w:sz w:val="20"/>
                <w:szCs w:val="20"/>
              </w:rPr>
              <w:t>占其他应收款总</w:t>
            </w:r>
          </w:p>
          <w:p>
            <w:pPr>
              <w:pStyle w:val="TableParagraph"/>
              <w:spacing w:line="260" w:lineRule="exact"/>
              <w:ind w:left="876" w:right="0"/>
              <w:jc w:val="left"/>
              <w:rPr>
                <w:rFonts w:ascii="宋体" w:hAnsi="宋体" w:cs="宋体" w:eastAsia="宋体" w:hint="default"/>
                <w:sz w:val="20"/>
                <w:szCs w:val="20"/>
              </w:rPr>
            </w:pPr>
            <w:r>
              <w:rPr>
                <w:rFonts w:ascii="宋体" w:hAnsi="宋体" w:cs="宋体" w:eastAsia="宋体" w:hint="default"/>
                <w:sz w:val="20"/>
                <w:szCs w:val="20"/>
              </w:rPr>
              <w:t>额比例</w:t>
            </w:r>
          </w:p>
        </w:tc>
      </w:tr>
      <w:tr>
        <w:trPr>
          <w:trHeight w:val="509" w:hRule="exact"/>
        </w:trPr>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第一名公司（注）</w:t>
            </w:r>
          </w:p>
        </w:tc>
        <w:tc>
          <w:tcPr>
            <w:tcW w:w="1751" w:type="dxa"/>
            <w:tcBorders>
              <w:top w:val="single" w:sz="6"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2" w:right="0"/>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22" w:type="dxa"/>
            <w:tcBorders>
              <w:top w:val="nil" w:sz="6" w:space="0" w:color="auto"/>
              <w:left w:val="nil" w:sz="6" w:space="0" w:color="auto"/>
              <w:bottom w:val="nil" w:sz="6" w:space="0" w:color="auto"/>
              <w:right w:val="nil" w:sz="6" w:space="0" w:color="auto"/>
            </w:tcBorders>
          </w:tcPr>
          <w:p>
            <w:pPr/>
          </w:p>
        </w:tc>
        <w:tc>
          <w:tcPr>
            <w:tcW w:w="1756" w:type="dxa"/>
            <w:tcBorders>
              <w:top w:val="single" w:sz="6"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77"/>
              <w:jc w:val="right"/>
              <w:rPr>
                <w:rFonts w:ascii="Arial" w:hAnsi="Arial" w:cs="Arial" w:eastAsia="Arial" w:hint="default"/>
                <w:sz w:val="20"/>
                <w:szCs w:val="20"/>
              </w:rPr>
            </w:pPr>
            <w:r>
              <w:rPr>
                <w:rFonts w:ascii="Arial"/>
                <w:spacing w:val="-2"/>
                <w:sz w:val="20"/>
              </w:rPr>
              <w:t>5,196,796,768</w:t>
            </w:r>
          </w:p>
        </w:tc>
        <w:tc>
          <w:tcPr>
            <w:tcW w:w="104" w:type="dxa"/>
            <w:tcBorders>
              <w:top w:val="nil" w:sz="6" w:space="0" w:color="auto"/>
              <w:left w:val="nil" w:sz="6" w:space="0" w:color="auto"/>
              <w:bottom w:val="nil" w:sz="6" w:space="0" w:color="auto"/>
              <w:right w:val="nil" w:sz="6" w:space="0" w:color="auto"/>
            </w:tcBorders>
          </w:tcPr>
          <w:p>
            <w:pPr/>
          </w:p>
        </w:tc>
        <w:tc>
          <w:tcPr>
            <w:tcW w:w="1747" w:type="dxa"/>
            <w:tcBorders>
              <w:top w:val="single" w:sz="6" w:space="0" w:color="000000"/>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0"/>
              <w:jc w:val="right"/>
              <w:rPr>
                <w:rFonts w:ascii="宋体" w:hAnsi="宋体" w:cs="宋体" w:eastAsia="宋体" w:hint="default"/>
                <w:sz w:val="20"/>
                <w:szCs w:val="20"/>
              </w:rPr>
            </w:pPr>
            <w:r>
              <w:rPr>
                <w:rFonts w:ascii="Arial" w:hAnsi="Arial" w:cs="Arial" w:eastAsia="Arial" w:hint="default"/>
                <w:sz w:val="20"/>
                <w:szCs w:val="20"/>
              </w:rPr>
              <w:t>1</w:t>
            </w:r>
            <w:r>
              <w:rPr>
                <w:rFonts w:ascii="宋体" w:hAnsi="宋体" w:cs="宋体" w:eastAsia="宋体" w:hint="default"/>
                <w:sz w:val="20"/>
                <w:szCs w:val="20"/>
              </w:rPr>
              <w:t>－</w:t>
            </w:r>
            <w:r>
              <w:rPr>
                <w:rFonts w:ascii="Arial" w:hAnsi="Arial" w:cs="Arial" w:eastAsia="Arial" w:hint="default"/>
                <w:sz w:val="20"/>
                <w:szCs w:val="20"/>
              </w:rPr>
              <w:t>3</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231" w:type="dxa"/>
            <w:tcBorders>
              <w:top w:val="nil" w:sz="6" w:space="0" w:color="auto"/>
              <w:left w:val="nil" w:sz="6" w:space="0" w:color="auto"/>
              <w:bottom w:val="nil" w:sz="6" w:space="0" w:color="auto"/>
              <w:right w:val="nil" w:sz="6" w:space="0" w:color="auto"/>
            </w:tcBorders>
          </w:tcPr>
          <w:p>
            <w:pPr/>
          </w:p>
        </w:tc>
        <w:tc>
          <w:tcPr>
            <w:tcW w:w="1498"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3"/>
              <w:jc w:val="right"/>
              <w:rPr>
                <w:rFonts w:ascii="Arial" w:hAnsi="Arial" w:cs="Arial" w:eastAsia="Arial" w:hint="default"/>
                <w:sz w:val="20"/>
                <w:szCs w:val="20"/>
              </w:rPr>
            </w:pPr>
            <w:r>
              <w:rPr>
                <w:rFonts w:ascii="Arial"/>
                <w:sz w:val="20"/>
              </w:rPr>
              <w:t>72.43%</w:t>
            </w:r>
          </w:p>
        </w:tc>
      </w:tr>
      <w:tr>
        <w:trPr>
          <w:trHeight w:val="259" w:hRule="exact"/>
        </w:trPr>
        <w:tc>
          <w:tcPr>
            <w:tcW w:w="1696" w:type="dxa"/>
            <w:tcBorders>
              <w:top w:val="nil" w:sz="6" w:space="0" w:color="auto"/>
              <w:left w:val="nil" w:sz="6" w:space="0" w:color="auto"/>
              <w:bottom w:val="nil" w:sz="6" w:space="0" w:color="auto"/>
              <w:right w:val="nil" w:sz="6" w:space="0" w:color="auto"/>
            </w:tcBorders>
          </w:tcPr>
          <w:p>
            <w:pPr>
              <w:pStyle w:val="TableParagraph"/>
              <w:spacing w:line="219" w:lineRule="exact"/>
              <w:ind w:left="35" w:right="0"/>
              <w:jc w:val="left"/>
              <w:rPr>
                <w:rFonts w:ascii="宋体" w:hAnsi="宋体" w:cs="宋体" w:eastAsia="宋体" w:hint="default"/>
                <w:sz w:val="20"/>
                <w:szCs w:val="20"/>
              </w:rPr>
            </w:pPr>
            <w:r>
              <w:rPr>
                <w:rFonts w:ascii="宋体" w:hAnsi="宋体" w:cs="宋体" w:eastAsia="宋体" w:hint="default"/>
                <w:sz w:val="20"/>
                <w:szCs w:val="20"/>
              </w:rPr>
              <w:t>第二名公司</w:t>
            </w:r>
          </w:p>
        </w:tc>
        <w:tc>
          <w:tcPr>
            <w:tcW w:w="1751" w:type="dxa"/>
            <w:tcBorders>
              <w:top w:val="nil" w:sz="6" w:space="0" w:color="auto"/>
              <w:left w:val="nil" w:sz="6" w:space="0" w:color="auto"/>
              <w:bottom w:val="nil" w:sz="6" w:space="0" w:color="auto"/>
              <w:right w:val="nil" w:sz="6" w:space="0" w:color="auto"/>
            </w:tcBorders>
          </w:tcPr>
          <w:p>
            <w:pPr>
              <w:pStyle w:val="TableParagraph"/>
              <w:spacing w:line="219" w:lineRule="exact"/>
              <w:ind w:left="12" w:right="0"/>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22" w:type="dxa"/>
            <w:tcBorders>
              <w:top w:val="nil" w:sz="6" w:space="0" w:color="auto"/>
              <w:left w:val="nil" w:sz="6" w:space="0" w:color="auto"/>
              <w:bottom w:val="nil" w:sz="6" w:space="0" w:color="auto"/>
              <w:right w:val="nil" w:sz="6" w:space="0" w:color="auto"/>
            </w:tcBorders>
          </w:tcPr>
          <w:p>
            <w:pP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77"/>
              <w:jc w:val="right"/>
              <w:rPr>
                <w:rFonts w:ascii="Arial" w:hAnsi="Arial" w:cs="Arial" w:eastAsia="Arial" w:hint="default"/>
                <w:sz w:val="20"/>
                <w:szCs w:val="20"/>
              </w:rPr>
            </w:pPr>
            <w:r>
              <w:rPr>
                <w:rFonts w:ascii="Arial"/>
                <w:spacing w:val="-1"/>
                <w:sz w:val="20"/>
              </w:rPr>
              <w:t>62,242,920</w:t>
            </w:r>
          </w:p>
        </w:tc>
        <w:tc>
          <w:tcPr>
            <w:tcW w:w="104" w:type="dxa"/>
            <w:tcBorders>
              <w:top w:val="nil" w:sz="6" w:space="0" w:color="auto"/>
              <w:left w:val="nil" w:sz="6" w:space="0" w:color="auto"/>
              <w:bottom w:val="nil" w:sz="6" w:space="0" w:color="auto"/>
              <w:right w:val="nil" w:sz="6" w:space="0" w:color="auto"/>
            </w:tcBorders>
          </w:tcPr>
          <w:p>
            <w:pPr/>
          </w:p>
        </w:tc>
        <w:tc>
          <w:tcPr>
            <w:tcW w:w="1747" w:type="dxa"/>
            <w:tcBorders>
              <w:top w:val="nil" w:sz="6" w:space="0" w:color="auto"/>
              <w:left w:val="nil" w:sz="6" w:space="0" w:color="auto"/>
              <w:bottom w:val="nil" w:sz="6" w:space="0" w:color="auto"/>
              <w:right w:val="nil" w:sz="6" w:space="0" w:color="auto"/>
            </w:tcBorders>
          </w:tcPr>
          <w:p>
            <w:pPr>
              <w:pStyle w:val="TableParagraph"/>
              <w:spacing w:line="233" w:lineRule="exact"/>
              <w:ind w:right="0"/>
              <w:jc w:val="righ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231"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ind w:right="23"/>
              <w:jc w:val="right"/>
              <w:rPr>
                <w:rFonts w:ascii="Arial" w:hAnsi="Arial" w:cs="Arial" w:eastAsia="Arial" w:hint="default"/>
                <w:sz w:val="20"/>
                <w:szCs w:val="20"/>
              </w:rPr>
            </w:pPr>
            <w:r>
              <w:rPr>
                <w:rFonts w:ascii="Arial"/>
                <w:sz w:val="20"/>
              </w:rPr>
              <w:t>0.87%</w:t>
            </w:r>
          </w:p>
        </w:tc>
      </w:tr>
      <w:tr>
        <w:trPr>
          <w:trHeight w:val="259" w:hRule="exact"/>
        </w:trPr>
        <w:tc>
          <w:tcPr>
            <w:tcW w:w="1696" w:type="dxa"/>
            <w:tcBorders>
              <w:top w:val="nil" w:sz="6" w:space="0" w:color="auto"/>
              <w:left w:val="nil" w:sz="6" w:space="0" w:color="auto"/>
              <w:bottom w:val="nil" w:sz="6" w:space="0" w:color="auto"/>
              <w:right w:val="nil" w:sz="6" w:space="0" w:color="auto"/>
            </w:tcBorders>
          </w:tcPr>
          <w:p>
            <w:pPr>
              <w:pStyle w:val="TableParagraph"/>
              <w:spacing w:line="219" w:lineRule="exact"/>
              <w:ind w:left="35" w:right="0"/>
              <w:jc w:val="left"/>
              <w:rPr>
                <w:rFonts w:ascii="宋体" w:hAnsi="宋体" w:cs="宋体" w:eastAsia="宋体" w:hint="default"/>
                <w:sz w:val="20"/>
                <w:szCs w:val="20"/>
              </w:rPr>
            </w:pPr>
            <w:r>
              <w:rPr>
                <w:rFonts w:ascii="宋体" w:hAnsi="宋体" w:cs="宋体" w:eastAsia="宋体" w:hint="default"/>
                <w:sz w:val="20"/>
                <w:szCs w:val="20"/>
              </w:rPr>
              <w:t>第三名公司</w:t>
            </w:r>
          </w:p>
        </w:tc>
        <w:tc>
          <w:tcPr>
            <w:tcW w:w="1751" w:type="dxa"/>
            <w:tcBorders>
              <w:top w:val="nil" w:sz="6" w:space="0" w:color="auto"/>
              <w:left w:val="nil" w:sz="6" w:space="0" w:color="auto"/>
              <w:bottom w:val="nil" w:sz="6" w:space="0" w:color="auto"/>
              <w:right w:val="nil" w:sz="6" w:space="0" w:color="auto"/>
            </w:tcBorders>
          </w:tcPr>
          <w:p>
            <w:pPr>
              <w:pStyle w:val="TableParagraph"/>
              <w:spacing w:line="219" w:lineRule="exact"/>
              <w:ind w:left="12" w:right="0"/>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22" w:type="dxa"/>
            <w:tcBorders>
              <w:top w:val="nil" w:sz="6" w:space="0" w:color="auto"/>
              <w:left w:val="nil" w:sz="6" w:space="0" w:color="auto"/>
              <w:bottom w:val="nil" w:sz="6" w:space="0" w:color="auto"/>
              <w:right w:val="nil" w:sz="6" w:space="0" w:color="auto"/>
            </w:tcBorders>
          </w:tcPr>
          <w:p>
            <w:pP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77"/>
              <w:jc w:val="right"/>
              <w:rPr>
                <w:rFonts w:ascii="Arial" w:hAnsi="Arial" w:cs="Arial" w:eastAsia="Arial" w:hint="default"/>
                <w:sz w:val="20"/>
                <w:szCs w:val="20"/>
              </w:rPr>
            </w:pPr>
            <w:r>
              <w:rPr>
                <w:rFonts w:ascii="Arial"/>
                <w:spacing w:val="-1"/>
                <w:sz w:val="20"/>
              </w:rPr>
              <w:t>43,900,646</w:t>
            </w:r>
          </w:p>
        </w:tc>
        <w:tc>
          <w:tcPr>
            <w:tcW w:w="104" w:type="dxa"/>
            <w:tcBorders>
              <w:top w:val="nil" w:sz="6" w:space="0" w:color="auto"/>
              <w:left w:val="nil" w:sz="6" w:space="0" w:color="auto"/>
              <w:bottom w:val="nil" w:sz="6" w:space="0" w:color="auto"/>
              <w:right w:val="nil" w:sz="6" w:space="0" w:color="auto"/>
            </w:tcBorders>
          </w:tcPr>
          <w:p>
            <w:pPr/>
          </w:p>
        </w:tc>
        <w:tc>
          <w:tcPr>
            <w:tcW w:w="1747" w:type="dxa"/>
            <w:tcBorders>
              <w:top w:val="nil" w:sz="6" w:space="0" w:color="auto"/>
              <w:left w:val="nil" w:sz="6" w:space="0" w:color="auto"/>
              <w:bottom w:val="nil" w:sz="6" w:space="0" w:color="auto"/>
              <w:right w:val="nil" w:sz="6" w:space="0" w:color="auto"/>
            </w:tcBorders>
          </w:tcPr>
          <w:p>
            <w:pPr>
              <w:pStyle w:val="TableParagraph"/>
              <w:spacing w:line="233" w:lineRule="exact"/>
              <w:ind w:right="0"/>
              <w:jc w:val="right"/>
              <w:rPr>
                <w:rFonts w:ascii="宋体" w:hAnsi="宋体" w:cs="宋体" w:eastAsia="宋体" w:hint="default"/>
                <w:sz w:val="20"/>
                <w:szCs w:val="20"/>
              </w:rPr>
            </w:pPr>
            <w:r>
              <w:rPr>
                <w:rFonts w:ascii="Arial" w:hAnsi="Arial" w:cs="Arial" w:eastAsia="Arial" w:hint="default"/>
                <w:sz w:val="20"/>
                <w:szCs w:val="20"/>
              </w:rPr>
              <w:t>5</w:t>
            </w:r>
            <w:r>
              <w:rPr>
                <w:rFonts w:ascii="Arial" w:hAnsi="Arial" w:cs="Arial" w:eastAsia="Arial" w:hint="default"/>
                <w:spacing w:val="-7"/>
                <w:sz w:val="20"/>
                <w:szCs w:val="20"/>
              </w:rPr>
              <w:t> </w:t>
            </w:r>
            <w:r>
              <w:rPr>
                <w:rFonts w:ascii="宋体" w:hAnsi="宋体" w:cs="宋体" w:eastAsia="宋体" w:hint="default"/>
                <w:sz w:val="20"/>
                <w:szCs w:val="20"/>
              </w:rPr>
              <w:t>年以上</w:t>
            </w:r>
          </w:p>
        </w:tc>
        <w:tc>
          <w:tcPr>
            <w:tcW w:w="231"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ind w:right="23"/>
              <w:jc w:val="right"/>
              <w:rPr>
                <w:rFonts w:ascii="Arial" w:hAnsi="Arial" w:cs="Arial" w:eastAsia="Arial" w:hint="default"/>
                <w:sz w:val="20"/>
                <w:szCs w:val="20"/>
              </w:rPr>
            </w:pPr>
            <w:r>
              <w:rPr>
                <w:rFonts w:ascii="Arial"/>
                <w:sz w:val="20"/>
              </w:rPr>
              <w:t>0.61%</w:t>
            </w:r>
          </w:p>
        </w:tc>
      </w:tr>
      <w:tr>
        <w:trPr>
          <w:trHeight w:val="259" w:hRule="exact"/>
        </w:trPr>
        <w:tc>
          <w:tcPr>
            <w:tcW w:w="1696" w:type="dxa"/>
            <w:tcBorders>
              <w:top w:val="nil" w:sz="6" w:space="0" w:color="auto"/>
              <w:left w:val="nil" w:sz="6" w:space="0" w:color="auto"/>
              <w:bottom w:val="nil" w:sz="6" w:space="0" w:color="auto"/>
              <w:right w:val="nil" w:sz="6" w:space="0" w:color="auto"/>
            </w:tcBorders>
          </w:tcPr>
          <w:p>
            <w:pPr>
              <w:pStyle w:val="TableParagraph"/>
              <w:spacing w:line="219" w:lineRule="exact"/>
              <w:ind w:left="35" w:right="0"/>
              <w:jc w:val="left"/>
              <w:rPr>
                <w:rFonts w:ascii="宋体" w:hAnsi="宋体" w:cs="宋体" w:eastAsia="宋体" w:hint="default"/>
                <w:sz w:val="20"/>
                <w:szCs w:val="20"/>
              </w:rPr>
            </w:pPr>
            <w:r>
              <w:rPr>
                <w:rFonts w:ascii="宋体" w:hAnsi="宋体" w:cs="宋体" w:eastAsia="宋体" w:hint="default"/>
                <w:sz w:val="20"/>
                <w:szCs w:val="20"/>
              </w:rPr>
              <w:t>第四名公司</w:t>
            </w:r>
          </w:p>
        </w:tc>
        <w:tc>
          <w:tcPr>
            <w:tcW w:w="1751" w:type="dxa"/>
            <w:tcBorders>
              <w:top w:val="nil" w:sz="6" w:space="0" w:color="auto"/>
              <w:left w:val="nil" w:sz="6" w:space="0" w:color="auto"/>
              <w:bottom w:val="nil" w:sz="6" w:space="0" w:color="auto"/>
              <w:right w:val="nil" w:sz="6" w:space="0" w:color="auto"/>
            </w:tcBorders>
          </w:tcPr>
          <w:p>
            <w:pPr>
              <w:pStyle w:val="TableParagraph"/>
              <w:spacing w:line="219" w:lineRule="exact"/>
              <w:ind w:left="12" w:right="0"/>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22" w:type="dxa"/>
            <w:tcBorders>
              <w:top w:val="nil" w:sz="6" w:space="0" w:color="auto"/>
              <w:left w:val="nil" w:sz="6" w:space="0" w:color="auto"/>
              <w:bottom w:val="nil" w:sz="6" w:space="0" w:color="auto"/>
              <w:right w:val="nil" w:sz="6" w:space="0" w:color="auto"/>
            </w:tcBorders>
          </w:tcPr>
          <w:p>
            <w:pPr/>
          </w:p>
        </w:tc>
        <w:tc>
          <w:tcPr>
            <w:tcW w:w="175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77"/>
              <w:jc w:val="right"/>
              <w:rPr>
                <w:rFonts w:ascii="Arial" w:hAnsi="Arial" w:cs="Arial" w:eastAsia="Arial" w:hint="default"/>
                <w:sz w:val="20"/>
                <w:szCs w:val="20"/>
              </w:rPr>
            </w:pPr>
            <w:r>
              <w:rPr>
                <w:rFonts w:ascii="Arial"/>
                <w:spacing w:val="-1"/>
                <w:sz w:val="20"/>
              </w:rPr>
              <w:t>35,738,310</w:t>
            </w:r>
          </w:p>
        </w:tc>
        <w:tc>
          <w:tcPr>
            <w:tcW w:w="104" w:type="dxa"/>
            <w:tcBorders>
              <w:top w:val="nil" w:sz="6" w:space="0" w:color="auto"/>
              <w:left w:val="nil" w:sz="6" w:space="0" w:color="auto"/>
              <w:bottom w:val="nil" w:sz="6" w:space="0" w:color="auto"/>
              <w:right w:val="nil" w:sz="6" w:space="0" w:color="auto"/>
            </w:tcBorders>
          </w:tcPr>
          <w:p>
            <w:pPr/>
          </w:p>
        </w:tc>
        <w:tc>
          <w:tcPr>
            <w:tcW w:w="1747" w:type="dxa"/>
            <w:tcBorders>
              <w:top w:val="nil" w:sz="6" w:space="0" w:color="auto"/>
              <w:left w:val="nil" w:sz="6" w:space="0" w:color="auto"/>
              <w:bottom w:val="nil" w:sz="6" w:space="0" w:color="auto"/>
              <w:right w:val="nil" w:sz="6" w:space="0" w:color="auto"/>
            </w:tcBorders>
          </w:tcPr>
          <w:p>
            <w:pPr>
              <w:pStyle w:val="TableParagraph"/>
              <w:spacing w:line="233" w:lineRule="exact"/>
              <w:ind w:right="0"/>
              <w:jc w:val="righ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231"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ind w:right="23"/>
              <w:jc w:val="right"/>
              <w:rPr>
                <w:rFonts w:ascii="Arial" w:hAnsi="Arial" w:cs="Arial" w:eastAsia="Arial" w:hint="default"/>
                <w:sz w:val="20"/>
                <w:szCs w:val="20"/>
              </w:rPr>
            </w:pPr>
            <w:r>
              <w:rPr>
                <w:rFonts w:ascii="Arial"/>
                <w:sz w:val="20"/>
              </w:rPr>
              <w:t>0.50%</w:t>
            </w:r>
          </w:p>
        </w:tc>
      </w:tr>
      <w:tr>
        <w:trPr>
          <w:trHeight w:val="256" w:hRule="exact"/>
        </w:trPr>
        <w:tc>
          <w:tcPr>
            <w:tcW w:w="1696" w:type="dxa"/>
            <w:tcBorders>
              <w:top w:val="nil" w:sz="6" w:space="0" w:color="auto"/>
              <w:left w:val="nil" w:sz="6" w:space="0" w:color="auto"/>
              <w:bottom w:val="nil" w:sz="6" w:space="0" w:color="auto"/>
              <w:right w:val="nil" w:sz="6" w:space="0" w:color="auto"/>
            </w:tcBorders>
          </w:tcPr>
          <w:p>
            <w:pPr>
              <w:pStyle w:val="TableParagraph"/>
              <w:spacing w:line="219" w:lineRule="exact"/>
              <w:ind w:left="35" w:right="0"/>
              <w:jc w:val="left"/>
              <w:rPr>
                <w:rFonts w:ascii="宋体" w:hAnsi="宋体" w:cs="宋体" w:eastAsia="宋体" w:hint="default"/>
                <w:sz w:val="20"/>
                <w:szCs w:val="20"/>
              </w:rPr>
            </w:pPr>
            <w:r>
              <w:rPr>
                <w:rFonts w:ascii="宋体" w:hAnsi="宋体" w:cs="宋体" w:eastAsia="宋体" w:hint="default"/>
                <w:sz w:val="20"/>
                <w:szCs w:val="20"/>
              </w:rPr>
              <w:t>第五名公司</w:t>
            </w:r>
          </w:p>
        </w:tc>
        <w:tc>
          <w:tcPr>
            <w:tcW w:w="1751" w:type="dxa"/>
            <w:tcBorders>
              <w:top w:val="nil" w:sz="6" w:space="0" w:color="auto"/>
              <w:left w:val="nil" w:sz="6" w:space="0" w:color="auto"/>
              <w:bottom w:val="nil" w:sz="6" w:space="0" w:color="auto"/>
              <w:right w:val="nil" w:sz="6" w:space="0" w:color="auto"/>
            </w:tcBorders>
          </w:tcPr>
          <w:p>
            <w:pPr>
              <w:pStyle w:val="TableParagraph"/>
              <w:spacing w:line="219" w:lineRule="exact"/>
              <w:ind w:left="12" w:right="0"/>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22" w:type="dxa"/>
            <w:tcBorders>
              <w:top w:val="nil" w:sz="6" w:space="0" w:color="auto"/>
              <w:left w:val="nil" w:sz="6" w:space="0" w:color="auto"/>
              <w:bottom w:val="nil" w:sz="6" w:space="0" w:color="auto"/>
              <w:right w:val="nil" w:sz="6" w:space="0" w:color="auto"/>
            </w:tcBorders>
          </w:tcPr>
          <w:p>
            <w:pPr/>
          </w:p>
        </w:tc>
        <w:tc>
          <w:tcPr>
            <w:tcW w:w="1756" w:type="dxa"/>
            <w:tcBorders>
              <w:top w:val="nil" w:sz="6" w:space="0" w:color="auto"/>
              <w:left w:val="nil" w:sz="6" w:space="0" w:color="auto"/>
              <w:bottom w:val="nil" w:sz="6" w:space="0" w:color="auto"/>
              <w:right w:val="nil" w:sz="6" w:space="0" w:color="auto"/>
            </w:tcBorders>
          </w:tcPr>
          <w:p>
            <w:pPr>
              <w:pStyle w:val="TableParagraph"/>
              <w:tabs>
                <w:tab w:pos="670" w:val="left" w:leader="none"/>
                <w:tab w:pos="1748" w:val="left" w:leader="none"/>
              </w:tabs>
              <w:spacing w:line="240" w:lineRule="auto" w:before="15"/>
              <w:ind w:right="1"/>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34,357,850</w:t>
              <w:tab/>
            </w:r>
            <w:r>
              <w:rPr>
                <w:rFonts w:ascii="Arial"/>
                <w:spacing w:val="-1"/>
                <w:sz w:val="20"/>
              </w:rPr>
            </w:r>
          </w:p>
        </w:tc>
        <w:tc>
          <w:tcPr>
            <w:tcW w:w="104" w:type="dxa"/>
            <w:tcBorders>
              <w:top w:val="nil" w:sz="6" w:space="0" w:color="auto"/>
              <w:left w:val="nil" w:sz="6" w:space="0" w:color="auto"/>
              <w:bottom w:val="nil" w:sz="6" w:space="0" w:color="auto"/>
              <w:right w:val="nil" w:sz="6" w:space="0" w:color="auto"/>
            </w:tcBorders>
          </w:tcPr>
          <w:p>
            <w:pPr/>
          </w:p>
        </w:tc>
        <w:tc>
          <w:tcPr>
            <w:tcW w:w="1747" w:type="dxa"/>
            <w:tcBorders>
              <w:top w:val="nil" w:sz="6" w:space="0" w:color="auto"/>
              <w:left w:val="nil" w:sz="6" w:space="0" w:color="auto"/>
              <w:bottom w:val="nil" w:sz="6" w:space="0" w:color="auto"/>
              <w:right w:val="nil" w:sz="6" w:space="0" w:color="auto"/>
            </w:tcBorders>
          </w:tcPr>
          <w:p>
            <w:pPr>
              <w:pStyle w:val="TableParagraph"/>
              <w:spacing w:line="233" w:lineRule="exact"/>
              <w:ind w:right="0"/>
              <w:jc w:val="right"/>
              <w:rPr>
                <w:rFonts w:ascii="宋体" w:hAnsi="宋体" w:cs="宋体" w:eastAsia="宋体" w:hint="default"/>
                <w:sz w:val="20"/>
                <w:szCs w:val="20"/>
              </w:rPr>
            </w:pPr>
            <w:r>
              <w:rPr>
                <w:rFonts w:ascii="Arial" w:hAnsi="Arial" w:cs="Arial" w:eastAsia="Arial" w:hint="default"/>
                <w:sz w:val="20"/>
                <w:szCs w:val="20"/>
              </w:rPr>
              <w:t>2</w:t>
            </w:r>
            <w:r>
              <w:rPr>
                <w:rFonts w:ascii="Arial" w:hAnsi="Arial" w:cs="Arial" w:eastAsia="Arial" w:hint="default"/>
                <w:spacing w:val="-7"/>
                <w:sz w:val="20"/>
                <w:szCs w:val="20"/>
              </w:rPr>
              <w:t> </w:t>
            </w:r>
            <w:r>
              <w:rPr>
                <w:rFonts w:ascii="宋体" w:hAnsi="宋体" w:cs="宋体" w:eastAsia="宋体" w:hint="default"/>
                <w:sz w:val="20"/>
                <w:szCs w:val="20"/>
              </w:rPr>
              <w:t>年以内</w:t>
            </w:r>
          </w:p>
        </w:tc>
        <w:tc>
          <w:tcPr>
            <w:tcW w:w="231"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single" w:sz="6" w:space="0" w:color="000000"/>
              <w:right w:val="nil" w:sz="6" w:space="0" w:color="auto"/>
            </w:tcBorders>
          </w:tcPr>
          <w:p>
            <w:pPr>
              <w:pStyle w:val="TableParagraph"/>
              <w:spacing w:line="240" w:lineRule="auto"/>
              <w:ind w:right="23"/>
              <w:jc w:val="right"/>
              <w:rPr>
                <w:rFonts w:ascii="Arial" w:hAnsi="Arial" w:cs="Arial" w:eastAsia="Arial" w:hint="default"/>
                <w:sz w:val="20"/>
                <w:szCs w:val="20"/>
              </w:rPr>
            </w:pPr>
            <w:r>
              <w:rPr>
                <w:rFonts w:ascii="Arial"/>
                <w:sz w:val="20"/>
              </w:rPr>
              <w:t>0.48%</w:t>
            </w:r>
          </w:p>
        </w:tc>
      </w:tr>
      <w:tr>
        <w:trPr>
          <w:trHeight w:val="521" w:hRule="exact"/>
        </w:trPr>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751" w:type="dxa"/>
            <w:tcBorders>
              <w:top w:val="nil" w:sz="6" w:space="0" w:color="auto"/>
              <w:left w:val="nil" w:sz="6" w:space="0" w:color="auto"/>
              <w:bottom w:val="nil" w:sz="6" w:space="0" w:color="auto"/>
              <w:right w:val="nil" w:sz="6" w:space="0" w:color="auto"/>
            </w:tcBorders>
          </w:tcPr>
          <w:p>
            <w:pPr/>
          </w:p>
        </w:tc>
        <w:tc>
          <w:tcPr>
            <w:tcW w:w="122" w:type="dxa"/>
            <w:tcBorders>
              <w:top w:val="nil" w:sz="6" w:space="0" w:color="auto"/>
              <w:left w:val="nil" w:sz="6" w:space="0" w:color="auto"/>
              <w:bottom w:val="nil" w:sz="6" w:space="0" w:color="auto"/>
              <w:right w:val="nil" w:sz="6" w:space="0" w:color="auto"/>
            </w:tcBorders>
          </w:tcPr>
          <w:p>
            <w:pPr/>
          </w:p>
        </w:tc>
        <w:tc>
          <w:tcPr>
            <w:tcW w:w="1756" w:type="dxa"/>
            <w:tcBorders>
              <w:top w:val="nil" w:sz="6" w:space="0" w:color="auto"/>
              <w:left w:val="nil" w:sz="6" w:space="0" w:color="auto"/>
              <w:bottom w:val="single" w:sz="17" w:space="0" w:color="000000"/>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78"/>
              <w:jc w:val="right"/>
              <w:rPr>
                <w:rFonts w:ascii="Arial" w:hAnsi="Arial" w:cs="Arial" w:eastAsia="Arial" w:hint="default"/>
                <w:sz w:val="20"/>
                <w:szCs w:val="20"/>
              </w:rPr>
            </w:pPr>
            <w:r>
              <w:rPr>
                <w:rFonts w:ascii="Arial"/>
                <w:spacing w:val="-1"/>
                <w:sz w:val="20"/>
              </w:rPr>
              <w:t>5,373,036,494</w:t>
            </w:r>
          </w:p>
        </w:tc>
        <w:tc>
          <w:tcPr>
            <w:tcW w:w="104" w:type="dxa"/>
            <w:tcBorders>
              <w:top w:val="nil" w:sz="6" w:space="0" w:color="auto"/>
              <w:left w:val="nil" w:sz="6" w:space="0" w:color="auto"/>
              <w:bottom w:val="nil" w:sz="6" w:space="0" w:color="auto"/>
              <w:right w:val="nil" w:sz="6" w:space="0" w:color="auto"/>
            </w:tcBorders>
          </w:tcPr>
          <w:p>
            <w:pPr/>
          </w:p>
        </w:tc>
        <w:tc>
          <w:tcPr>
            <w:tcW w:w="1747" w:type="dxa"/>
            <w:tcBorders>
              <w:top w:val="nil" w:sz="6" w:space="0" w:color="auto"/>
              <w:left w:val="nil" w:sz="6" w:space="0" w:color="auto"/>
              <w:bottom w:val="nil" w:sz="6" w:space="0" w:color="auto"/>
              <w:right w:val="nil" w:sz="6" w:space="0" w:color="auto"/>
            </w:tcBorders>
          </w:tcPr>
          <w:p>
            <w:pPr/>
          </w:p>
        </w:tc>
        <w:tc>
          <w:tcPr>
            <w:tcW w:w="231" w:type="dxa"/>
            <w:tcBorders>
              <w:top w:val="nil" w:sz="6" w:space="0" w:color="auto"/>
              <w:left w:val="nil" w:sz="6" w:space="0" w:color="auto"/>
              <w:bottom w:val="nil" w:sz="6" w:space="0" w:color="auto"/>
              <w:right w:val="nil" w:sz="6" w:space="0" w:color="auto"/>
            </w:tcBorders>
          </w:tcPr>
          <w:p>
            <w:pPr/>
          </w:p>
        </w:tc>
        <w:tc>
          <w:tcPr>
            <w:tcW w:w="1498" w:type="dxa"/>
            <w:tcBorders>
              <w:top w:val="single" w:sz="6" w:space="0" w:color="000000"/>
              <w:left w:val="nil" w:sz="6" w:space="0" w:color="auto"/>
              <w:bottom w:val="single" w:sz="17"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23"/>
              <w:jc w:val="right"/>
              <w:rPr>
                <w:rFonts w:ascii="Arial" w:hAnsi="Arial" w:cs="Arial" w:eastAsia="Arial" w:hint="default"/>
                <w:sz w:val="20"/>
                <w:szCs w:val="20"/>
              </w:rPr>
            </w:pPr>
            <w:r>
              <w:rPr>
                <w:rFonts w:ascii="Arial"/>
                <w:sz w:val="20"/>
              </w:rPr>
              <w:t>74.89%</w:t>
            </w:r>
          </w:p>
        </w:tc>
      </w:tr>
    </w:tbl>
    <w:p>
      <w:pPr>
        <w:spacing w:line="240" w:lineRule="auto" w:before="7"/>
        <w:rPr>
          <w:rFonts w:ascii="宋体" w:hAnsi="宋体" w:cs="宋体" w:eastAsia="宋体" w:hint="default"/>
          <w:sz w:val="12"/>
          <w:szCs w:val="12"/>
        </w:rPr>
      </w:pPr>
    </w:p>
    <w:p>
      <w:pPr>
        <w:pStyle w:val="BodyText"/>
        <w:spacing w:line="240" w:lineRule="auto" w:before="31"/>
        <w:ind w:left="102" w:right="109"/>
        <w:jc w:val="left"/>
      </w:pPr>
      <w:r>
        <w:rPr>
          <w:rFonts w:ascii="Arial" w:hAnsi="Arial" w:cs="Arial" w:eastAsia="Arial" w:hint="default"/>
        </w:rPr>
        <w:t>(h) </w:t>
      </w:r>
      <w:r>
        <w:rPr>
          <w:rFonts w:ascii="Arial" w:hAnsi="Arial" w:cs="Arial" w:eastAsia="Arial" w:hint="default"/>
          <w:spacing w:val="28"/>
        </w:rPr>
        <w:t> </w:t>
      </w:r>
      <w:r>
        <w:rPr/>
        <w:t>应收关联方的其他应收款分析如下：</w:t>
      </w:r>
    </w:p>
    <w:p>
      <w:pPr>
        <w:spacing w:line="240" w:lineRule="auto" w:before="1"/>
        <w:rPr>
          <w:rFonts w:ascii="宋体" w:hAnsi="宋体" w:cs="宋体" w:eastAsia="宋体" w:hint="default"/>
          <w:sz w:val="15"/>
          <w:szCs w:val="15"/>
        </w:rPr>
      </w:pPr>
    </w:p>
    <w:p>
      <w:pPr>
        <w:tabs>
          <w:tab w:pos="6880" w:val="left" w:leader="none"/>
        </w:tabs>
        <w:spacing w:before="44"/>
        <w:ind w:left="4405" w:right="109" w:firstLine="0"/>
        <w:jc w:val="left"/>
        <w:rPr>
          <w:rFonts w:ascii="宋体" w:hAnsi="宋体" w:cs="宋体" w:eastAsia="宋体" w:hint="default"/>
          <w:sz w:val="18"/>
          <w:szCs w:val="18"/>
        </w:rPr>
      </w:pPr>
      <w:r>
        <w:rPr/>
        <w:pict>
          <v:group style="position:absolute;margin-left:253.559998pt;margin-top:15.709018pt;width:138.85pt;height:.1pt;mso-position-horizontal-relative:page;mso-position-vertical-relative:paragraph;z-index:-916480" coordorigin="5071,314" coordsize="2777,2">
            <v:shape style="position:absolute;left:5071;top:314;width:2777;height:2" coordorigin="5071,314" coordsize="2777,0" path="m5071,314l7848,314e" filled="false" stroked="true" strokeweight=".72pt" strokecolor="#000000">
              <v:path arrowok="t"/>
            </v:shape>
            <w10:wrap type="none"/>
          </v:group>
        </w:pict>
      </w:r>
      <w:r>
        <w:rPr/>
        <w:pict>
          <v:group style="position:absolute;margin-left:399.119995pt;margin-top:15.709018pt;width:140.550pt;height:.1pt;mso-position-horizontal-relative:page;mso-position-vertical-relative:paragraph;z-index:-916456" coordorigin="7982,314" coordsize="2811,2">
            <v:shape style="position:absolute;left:7982;top:314;width:2811;height:2" coordorigin="7982,314" coordsize="2811,0" path="m7982,314l10793,314e" filled="false" stroked="true" strokeweight=".72pt" strokecolor="#000000">
              <v:path arrowok="t"/>
            </v:shape>
            <w10:wrap type="none"/>
          </v:group>
        </w:pict>
      </w: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tab/>
      </w: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日（经重列）</w:t>
      </w:r>
    </w:p>
    <w:p>
      <w:pPr>
        <w:spacing w:after="0"/>
        <w:jc w:val="left"/>
        <w:rPr>
          <w:rFonts w:ascii="宋体" w:hAnsi="宋体" w:cs="宋体" w:eastAsia="宋体" w:hint="default"/>
          <w:sz w:val="18"/>
          <w:szCs w:val="18"/>
        </w:rPr>
        <w:sectPr>
          <w:headerReference w:type="default" r:id="rId83"/>
          <w:pgSz w:w="11910" w:h="16840"/>
          <w:pgMar w:header="1189" w:footer="752" w:top="3580" w:bottom="940" w:left="1280" w:right="920"/>
        </w:sectPr>
      </w:pPr>
    </w:p>
    <w:p>
      <w:pPr>
        <w:spacing w:line="240" w:lineRule="auto" w:before="12"/>
        <w:rPr>
          <w:rFonts w:ascii="宋体" w:hAnsi="宋体" w:cs="宋体" w:eastAsia="宋体" w:hint="default"/>
          <w:sz w:val="17"/>
          <w:szCs w:val="17"/>
        </w:rPr>
      </w:pPr>
    </w:p>
    <w:p>
      <w:pPr>
        <w:tabs>
          <w:tab w:pos="4240" w:val="left" w:leader="none"/>
        </w:tabs>
        <w:spacing w:before="0"/>
        <w:ind w:left="2161" w:right="-19" w:firstLine="0"/>
        <w:jc w:val="left"/>
        <w:rPr>
          <w:rFonts w:ascii="宋体" w:hAnsi="宋体" w:cs="宋体" w:eastAsia="宋体" w:hint="default"/>
          <w:sz w:val="18"/>
          <w:szCs w:val="18"/>
        </w:rPr>
      </w:pPr>
      <w:r>
        <w:rPr>
          <w:rFonts w:ascii="宋体" w:hAnsi="宋体" w:cs="宋体" w:eastAsia="宋体" w:hint="default"/>
          <w:sz w:val="18"/>
          <w:szCs w:val="18"/>
        </w:rPr>
        <w:t>与本集团关系</w:t>
        <w:tab/>
        <w:t>金额</w:t>
      </w:r>
    </w:p>
    <w:p>
      <w:pPr>
        <w:spacing w:before="0"/>
        <w:ind w:left="528"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占其他应 收款比例</w:t>
      </w:r>
    </w:p>
    <w:p>
      <w:pPr>
        <w:spacing w:line="235" w:lineRule="exact" w:before="0"/>
        <w:ind w:left="195"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坏账</w:t>
      </w:r>
    </w:p>
    <w:p>
      <w:pPr>
        <w:tabs>
          <w:tab w:pos="1239" w:val="left" w:leader="none"/>
        </w:tabs>
        <w:spacing w:line="235" w:lineRule="exact" w:before="0"/>
        <w:ind w:left="195" w:right="-20" w:firstLine="0"/>
        <w:jc w:val="left"/>
        <w:rPr>
          <w:rFonts w:ascii="宋体" w:hAnsi="宋体" w:cs="宋体" w:eastAsia="宋体" w:hint="default"/>
          <w:sz w:val="18"/>
          <w:szCs w:val="18"/>
        </w:rPr>
      </w:pPr>
      <w:r>
        <w:rPr>
          <w:rFonts w:ascii="宋体" w:hAnsi="宋体" w:cs="宋体" w:eastAsia="宋体" w:hint="default"/>
          <w:sz w:val="18"/>
          <w:szCs w:val="18"/>
        </w:rPr>
        <w:t>准备</w:t>
        <w:tab/>
        <w:t>金额</w:t>
      </w:r>
    </w:p>
    <w:p>
      <w:pPr>
        <w:tabs>
          <w:tab w:pos="1505" w:val="left" w:leader="none"/>
        </w:tabs>
        <w:spacing w:before="0"/>
        <w:ind w:left="533" w:right="267" w:hanging="1"/>
        <w:jc w:val="left"/>
        <w:rPr>
          <w:rFonts w:ascii="宋体" w:hAnsi="宋体" w:cs="宋体" w:eastAsia="宋体" w:hint="default"/>
          <w:sz w:val="18"/>
          <w:szCs w:val="18"/>
        </w:rPr>
      </w:pPr>
      <w:r>
        <w:rPr/>
        <w:br w:type="column"/>
      </w:r>
      <w:r>
        <w:rPr>
          <w:rFonts w:ascii="宋体" w:hAnsi="宋体" w:cs="宋体" w:eastAsia="宋体" w:hint="default"/>
          <w:sz w:val="18"/>
          <w:szCs w:val="18"/>
        </w:rPr>
        <w:t>占其他应</w:t>
        <w:tab/>
        <w:t>坏账 收款比例</w:t>
        <w:tab/>
        <w:t>准备</w:t>
      </w:r>
    </w:p>
    <w:p>
      <w:pPr>
        <w:spacing w:after="0"/>
        <w:jc w:val="left"/>
        <w:rPr>
          <w:rFonts w:ascii="宋体" w:hAnsi="宋体" w:cs="宋体" w:eastAsia="宋体" w:hint="default"/>
          <w:sz w:val="18"/>
          <w:szCs w:val="18"/>
        </w:rPr>
        <w:sectPr>
          <w:type w:val="continuous"/>
          <w:pgSz w:w="11910" w:h="16840"/>
          <w:pgMar w:top="1600" w:bottom="280" w:left="1280" w:right="920"/>
          <w:cols w:num="4" w:equalWidth="0">
            <w:col w:w="4602" w:space="40"/>
            <w:col w:w="1249" w:space="40"/>
            <w:col w:w="1600" w:space="40"/>
            <w:col w:w="2139"/>
          </w:cols>
        </w:sectPr>
      </w:pPr>
    </w:p>
    <w:p>
      <w:pPr>
        <w:spacing w:line="240" w:lineRule="auto" w:before="1"/>
        <w:rPr>
          <w:rFonts w:ascii="宋体" w:hAnsi="宋体" w:cs="宋体" w:eastAsia="宋体" w:hint="default"/>
          <w:sz w:val="2"/>
          <w:szCs w:val="2"/>
        </w:rPr>
      </w:pPr>
    </w:p>
    <w:p>
      <w:pPr>
        <w:spacing w:line="20" w:lineRule="exact"/>
        <w:ind w:left="2089" w:right="0" w:firstLine="0"/>
        <w:rPr>
          <w:rFonts w:ascii="宋体" w:hAnsi="宋体" w:cs="宋体" w:eastAsia="宋体" w:hint="default"/>
          <w:sz w:val="2"/>
          <w:szCs w:val="2"/>
        </w:rPr>
      </w:pPr>
      <w:r>
        <w:rPr>
          <w:rFonts w:ascii="宋体"/>
          <w:sz w:val="2"/>
        </w:rPr>
        <w:pict>
          <v:group style="width:78.45pt;height:.75pt;mso-position-horizontal-relative:char;mso-position-vertical-relative:line" coordorigin="0,0" coordsize="1569,15">
            <v:group style="position:absolute;left:7;top:7;width:1554;height:2" coordorigin="7,7" coordsize="1554,2">
              <v:shape style="position:absolute;left:7;top:7;width:1554;height:2" coordorigin="7,7" coordsize="1554,0" path="m7,7l1561,7e" filled="false" stroked="true" strokeweight=".72pt" strokecolor="#000000">
                <v:path arrowok="t"/>
              </v:shape>
            </v:group>
          </v:group>
        </w:pict>
      </w:r>
      <w:r>
        <w:rPr>
          <w:rFonts w:ascii="宋体"/>
          <w:sz w:val="2"/>
        </w:rPr>
      </w:r>
      <w:r>
        <w:rPr>
          <w:rFonts w:ascii="Times New Roman"/>
          <w:spacing w:val="117"/>
          <w:sz w:val="2"/>
        </w:rPr>
        <w:t> </w:t>
      </w:r>
      <w:r>
        <w:rPr>
          <w:rFonts w:ascii="宋体"/>
          <w:spacing w:val="117"/>
          <w:sz w:val="2"/>
        </w:rPr>
        <w:pict>
          <v:group style="width:63pt;height:.75pt;mso-position-horizontal-relative:char;mso-position-vertical-relative:line" coordorigin="0,0" coordsize="1260,15">
            <v:group style="position:absolute;left:7;top:7;width:1246;height:2" coordorigin="7,7" coordsize="1246,2">
              <v:shape style="position:absolute;left:7;top:7;width:1246;height:2" coordorigin="7,7" coordsize="1246,0" path="m7,7l1253,7e" filled="false" stroked="true" strokeweight=".72pt" strokecolor="#000000">
                <v:path arrowok="t"/>
              </v:shape>
            </v:group>
          </v:group>
        </w:pict>
      </w:r>
      <w:r>
        <w:rPr>
          <w:rFonts w:ascii="宋体"/>
          <w:spacing w:val="117"/>
          <w:sz w:val="2"/>
        </w:rPr>
      </w:r>
      <w:r>
        <w:rPr>
          <w:rFonts w:ascii="Times New Roman"/>
          <w:spacing w:val="118"/>
          <w:sz w:val="2"/>
        </w:rPr>
        <w:t> </w:t>
      </w:r>
      <w:r>
        <w:rPr>
          <w:rFonts w:ascii="宋体"/>
          <w:spacing w:val="118"/>
          <w:sz w:val="2"/>
        </w:rPr>
        <w:pict>
          <v:group style="width:36.4pt;height:.75pt;mso-position-horizontal-relative:char;mso-position-vertical-relative:line" coordorigin="0,0" coordsize="728,15">
            <v:group style="position:absolute;left:7;top:7;width:713;height:2" coordorigin="7,7" coordsize="713,2">
              <v:shape style="position:absolute;left:7;top:7;width:713;height:2" coordorigin="7,7" coordsize="713,0" path="m7,7l720,7e" filled="false" stroked="true" strokeweight=".72pt" strokecolor="#000000">
                <v:path arrowok="t"/>
              </v:shape>
            </v:group>
          </v:group>
        </w:pict>
      </w:r>
      <w:r>
        <w:rPr>
          <w:rFonts w:ascii="宋体"/>
          <w:spacing w:val="118"/>
          <w:sz w:val="2"/>
        </w:rPr>
      </w:r>
      <w:r>
        <w:rPr>
          <w:rFonts w:ascii="Times New Roman"/>
          <w:spacing w:val="117"/>
          <w:sz w:val="2"/>
        </w:rPr>
        <w:t> </w:t>
      </w:r>
      <w:r>
        <w:rPr>
          <w:rFonts w:ascii="宋体"/>
          <w:spacing w:val="117"/>
          <w:sz w:val="2"/>
        </w:rPr>
        <w:pict>
          <v:group style="width:27.6pt;height:.75pt;mso-position-horizontal-relative:char;mso-position-vertical-relative:line" coordorigin="0,0" coordsize="552,15">
            <v:group style="position:absolute;left:7;top:7;width:538;height:2" coordorigin="7,7" coordsize="538,2">
              <v:shape style="position:absolute;left:7;top:7;width:538;height:2" coordorigin="7,7" coordsize="538,0" path="m7,7l545,7e" filled="false" stroked="true" strokeweight=".72pt" strokecolor="#000000">
                <v:path arrowok="t"/>
              </v:shape>
            </v:group>
          </v:group>
        </w:pict>
      </w:r>
      <w:r>
        <w:rPr>
          <w:rFonts w:ascii="宋体"/>
          <w:spacing w:val="117"/>
          <w:sz w:val="2"/>
        </w:rPr>
      </w:r>
      <w:r>
        <w:rPr>
          <w:rFonts w:ascii="Times New Roman"/>
          <w:spacing w:val="112"/>
          <w:sz w:val="2"/>
        </w:rPr>
        <w:t> </w:t>
      </w:r>
      <w:r>
        <w:rPr>
          <w:rFonts w:ascii="宋体"/>
          <w:spacing w:val="112"/>
          <w:sz w:val="2"/>
        </w:rPr>
        <w:pict>
          <v:group style="width:64.75pt;height:.75pt;mso-position-horizontal-relative:char;mso-position-vertical-relative:line" coordorigin="0,0" coordsize="1295,15">
            <v:group style="position:absolute;left:7;top:7;width:1281;height:2" coordorigin="7,7" coordsize="1281,2">
              <v:shape style="position:absolute;left:7;top:7;width:1281;height:2" coordorigin="7,7" coordsize="1281,0" path="m7,7l1288,7e" filled="false" stroked="true" strokeweight=".72pt" strokecolor="#000000">
                <v:path arrowok="t"/>
              </v:shape>
            </v:group>
          </v:group>
        </w:pict>
      </w:r>
      <w:r>
        <w:rPr>
          <w:rFonts w:ascii="宋体"/>
          <w:spacing w:val="112"/>
          <w:sz w:val="2"/>
        </w:rPr>
      </w:r>
      <w:r>
        <w:rPr>
          <w:rFonts w:ascii="Times New Roman"/>
          <w:spacing w:val="111"/>
          <w:sz w:val="2"/>
        </w:rPr>
        <w:t> </w:t>
      </w:r>
      <w:r>
        <w:rPr>
          <w:rFonts w:ascii="宋体"/>
          <w:spacing w:val="111"/>
          <w:sz w:val="2"/>
        </w:rPr>
        <w:pict>
          <v:group style="width:37.15pt;height:.75pt;mso-position-horizontal-relative:char;mso-position-vertical-relative:line" coordorigin="0,0" coordsize="743,15">
            <v:group style="position:absolute;left:7;top:7;width:729;height:2" coordorigin="7,7" coordsize="729,2">
              <v:shape style="position:absolute;left:7;top:7;width:729;height:2" coordorigin="7,7" coordsize="729,0" path="m7,7l736,7e" filled="false" stroked="true" strokeweight=".72pt" strokecolor="#000000">
                <v:path arrowok="t"/>
              </v:shape>
            </v:group>
          </v:group>
        </w:pict>
      </w:r>
      <w:r>
        <w:rPr>
          <w:rFonts w:ascii="宋体"/>
          <w:spacing w:val="111"/>
          <w:sz w:val="2"/>
        </w:rPr>
      </w:r>
      <w:r>
        <w:rPr>
          <w:rFonts w:ascii="Times New Roman"/>
          <w:spacing w:val="118"/>
          <w:sz w:val="2"/>
        </w:rPr>
        <w:t> </w:t>
      </w:r>
      <w:r>
        <w:rPr>
          <w:rFonts w:ascii="宋体"/>
          <w:spacing w:val="118"/>
          <w:sz w:val="2"/>
        </w:rPr>
        <w:pict>
          <v:group style="width:27.15pt;height:.75pt;mso-position-horizontal-relative:char;mso-position-vertical-relative:line" coordorigin="0,0" coordsize="543,15">
            <v:group style="position:absolute;left:7;top:7;width:528;height:2" coordorigin="7,7" coordsize="528,2">
              <v:shape style="position:absolute;left:7;top:7;width:528;height:2" coordorigin="7,7" coordsize="528,0" path="m7,7l535,7e" filled="false" stroked="true" strokeweight=".72pt" strokecolor="#000000">
                <v:path arrowok="t"/>
              </v:shape>
            </v:group>
          </v:group>
        </w:pict>
      </w:r>
      <w:r>
        <w:rPr>
          <w:rFonts w:ascii="宋体"/>
          <w:spacing w:val="118"/>
          <w:sz w:val="2"/>
        </w:rPr>
      </w:r>
    </w:p>
    <w:p>
      <w:pPr>
        <w:spacing w:line="240" w:lineRule="auto" w:before="10"/>
        <w:rPr>
          <w:rFonts w:ascii="宋体" w:hAnsi="宋体" w:cs="宋体" w:eastAsia="宋体" w:hint="default"/>
          <w:sz w:val="9"/>
          <w:szCs w:val="9"/>
        </w:rPr>
      </w:pPr>
    </w:p>
    <w:p>
      <w:pPr>
        <w:tabs>
          <w:tab w:pos="2161" w:val="left" w:leader="none"/>
          <w:tab w:pos="4873" w:val="left" w:leader="none"/>
          <w:tab w:pos="5767" w:val="left" w:leader="none"/>
          <w:tab w:pos="6410" w:val="left" w:leader="none"/>
          <w:tab w:pos="6776" w:val="left" w:leader="none"/>
          <w:tab w:pos="8285" w:val="left" w:leader="none"/>
          <w:tab w:pos="9350" w:val="left" w:leader="none"/>
        </w:tabs>
        <w:spacing w:line="246" w:lineRule="exact" w:before="47"/>
        <w:ind w:left="561" w:right="109" w:firstLine="0"/>
        <w:jc w:val="left"/>
        <w:rPr>
          <w:rFonts w:ascii="Arial" w:hAnsi="Arial" w:cs="Arial" w:eastAsia="Arial" w:hint="default"/>
          <w:sz w:val="18"/>
          <w:szCs w:val="18"/>
        </w:rPr>
      </w:pPr>
      <w:r>
        <w:rPr>
          <w:rFonts w:ascii="宋体" w:hAnsi="宋体" w:cs="宋体" w:eastAsia="宋体" w:hint="default"/>
          <w:position w:val="1"/>
          <w:sz w:val="18"/>
          <w:szCs w:val="18"/>
        </w:rPr>
        <w:t>联通集团</w:t>
        <w:tab/>
        <w:t>本公司之母公司</w:t>
        <w:tab/>
      </w:r>
      <w:r>
        <w:rPr>
          <w:rFonts w:ascii="Arial" w:hAnsi="Arial" w:cs="Arial" w:eastAsia="Arial" w:hint="default"/>
          <w:sz w:val="18"/>
          <w:szCs w:val="18"/>
        </w:rPr>
        <w:t>-</w:t>
        <w:tab/>
        <w:t>-</w:t>
        <w:tab/>
        <w:t>-</w:t>
        <w:tab/>
      </w:r>
      <w:r>
        <w:rPr>
          <w:rFonts w:ascii="Arial" w:hAnsi="Arial" w:cs="Arial" w:eastAsia="Arial" w:hint="default"/>
          <w:spacing w:val="-1"/>
          <w:sz w:val="18"/>
          <w:szCs w:val="18"/>
        </w:rPr>
        <w:t>1,008,826,360</w:t>
        <w:tab/>
        <w:t>6.26%</w:t>
        <w:tab/>
      </w:r>
      <w:r>
        <w:rPr>
          <w:rFonts w:ascii="Arial" w:hAnsi="Arial" w:cs="Arial" w:eastAsia="Arial" w:hint="default"/>
          <w:sz w:val="18"/>
          <w:szCs w:val="18"/>
        </w:rPr>
        <w:t>-</w:t>
      </w:r>
    </w:p>
    <w:p>
      <w:pPr>
        <w:tabs>
          <w:tab w:pos="2161" w:val="left" w:leader="none"/>
          <w:tab w:pos="4134" w:val="left" w:leader="none"/>
          <w:tab w:pos="6410" w:val="left" w:leader="none"/>
          <w:tab w:pos="7128" w:val="left" w:leader="none"/>
          <w:tab w:pos="9350" w:val="left" w:leader="none"/>
          <w:tab w:pos="9512" w:val="left" w:leader="none"/>
        </w:tabs>
        <w:spacing w:line="246" w:lineRule="exact" w:before="0"/>
        <w:ind w:left="562" w:right="109" w:firstLine="0"/>
        <w:jc w:val="left"/>
        <w:rPr>
          <w:rFonts w:ascii="Arial" w:hAnsi="Arial" w:cs="Arial" w:eastAsia="Arial" w:hint="default"/>
          <w:sz w:val="18"/>
          <w:szCs w:val="18"/>
        </w:rPr>
      </w:pPr>
      <w:r>
        <w:rPr>
          <w:rFonts w:ascii="宋体" w:hAnsi="宋体" w:cs="宋体" w:eastAsia="宋体" w:hint="default"/>
          <w:position w:val="1"/>
          <w:sz w:val="18"/>
          <w:szCs w:val="18"/>
        </w:rPr>
        <w:t>联通新时空</w:t>
        <w:tab/>
        <w:t>同受联通集团控制</w:t>
      </w:r>
      <w:r>
        <w:rPr>
          <w:rFonts w:ascii="Arial" w:hAnsi="Arial" w:cs="Arial" w:eastAsia="Arial" w:hint="default"/>
          <w:sz w:val="18"/>
          <w:szCs w:val="18"/>
        </w:rPr>
      </w:r>
      <w:r>
        <w:rPr>
          <w:rFonts w:ascii="Arial" w:hAnsi="Arial" w:cs="Arial" w:eastAsia="Arial" w:hint="default"/>
          <w:sz w:val="18"/>
          <w:szCs w:val="18"/>
          <w:u w:val="single" w:color="000000"/>
        </w:rPr>
        <w:t> </w:t>
        <w:tab/>
        <w:t>2,500,000      </w:t>
      </w:r>
      <w:r>
        <w:rPr>
          <w:rFonts w:ascii="Arial" w:hAnsi="Arial" w:cs="Arial" w:eastAsia="Arial" w:hint="default"/>
          <w:spacing w:val="34"/>
          <w:sz w:val="18"/>
          <w:szCs w:val="18"/>
          <w:u w:val="single" w:color="000000"/>
        </w:rPr>
        <w:t> </w:t>
      </w:r>
      <w:r>
        <w:rPr>
          <w:rFonts w:ascii="Arial" w:hAnsi="Arial" w:cs="Arial" w:eastAsia="Arial" w:hint="default"/>
          <w:spacing w:val="34"/>
          <w:sz w:val="18"/>
          <w:szCs w:val="18"/>
        </w:rPr>
      </w:r>
      <w:r>
        <w:rPr>
          <w:rFonts w:ascii="Arial" w:hAnsi="Arial" w:cs="Arial" w:eastAsia="Arial" w:hint="default"/>
          <w:spacing w:val="34"/>
          <w:sz w:val="18"/>
          <w:szCs w:val="18"/>
          <w:u w:val="single" w:color="000000"/>
        </w:rPr>
        <w:t> </w:t>
      </w:r>
      <w:r>
        <w:rPr>
          <w:rFonts w:ascii="Arial" w:hAnsi="Arial" w:cs="Arial" w:eastAsia="Arial" w:hint="default"/>
          <w:sz w:val="18"/>
          <w:szCs w:val="18"/>
          <w:u w:val="single" w:color="000000"/>
        </w:rPr>
        <w:t>0.03%</w:t>
      </w:r>
      <w:r>
        <w:rPr>
          <w:rFonts w:ascii="Arial" w:hAnsi="Arial" w:cs="Arial" w:eastAsia="Arial" w:hint="default"/>
          <w:sz w:val="18"/>
          <w:szCs w:val="18"/>
        </w:rPr>
      </w:r>
      <w:r>
        <w:rPr>
          <w:rFonts w:ascii="Arial" w:hAnsi="Arial" w:cs="Arial" w:eastAsia="Arial" w:hint="default"/>
          <w:sz w:val="18"/>
          <w:szCs w:val="18"/>
          <w:u w:val="single" w:color="000000"/>
        </w:rPr>
        <w:t> </w:t>
        <w:tab/>
        <w:t>-</w:t>
      </w:r>
      <w:r>
        <w:rPr>
          <w:rFonts w:ascii="Arial" w:hAnsi="Arial" w:cs="Arial" w:eastAsia="Arial" w:hint="default"/>
          <w:sz w:val="18"/>
          <w:szCs w:val="18"/>
        </w:rPr>
      </w:r>
      <w:r>
        <w:rPr>
          <w:rFonts w:ascii="Arial" w:hAnsi="Arial" w:cs="Arial" w:eastAsia="Arial" w:hint="default"/>
          <w:sz w:val="18"/>
          <w:szCs w:val="18"/>
          <w:u w:val="single" w:color="000000"/>
        </w:rPr>
        <w:t> </w:t>
        <w:tab/>
        <w:t>2,500,000     </w:t>
      </w:r>
      <w:r>
        <w:rPr>
          <w:rFonts w:ascii="Arial" w:hAnsi="Arial" w:cs="Arial" w:eastAsia="Arial" w:hint="default"/>
          <w:spacing w:val="46"/>
          <w:sz w:val="18"/>
          <w:szCs w:val="18"/>
          <w:u w:val="single" w:color="000000"/>
        </w:rPr>
        <w:t> </w:t>
      </w:r>
      <w:r>
        <w:rPr>
          <w:rFonts w:ascii="Arial" w:hAnsi="Arial" w:cs="Arial" w:eastAsia="Arial" w:hint="default"/>
          <w:spacing w:val="46"/>
          <w:sz w:val="18"/>
          <w:szCs w:val="18"/>
        </w:rPr>
      </w:r>
      <w:r>
        <w:rPr>
          <w:rFonts w:ascii="Arial" w:hAnsi="Arial" w:cs="Arial" w:eastAsia="Arial" w:hint="default"/>
          <w:spacing w:val="46"/>
          <w:sz w:val="18"/>
          <w:szCs w:val="18"/>
          <w:u w:val="single" w:color="000000"/>
        </w:rPr>
        <w:t> </w:t>
      </w:r>
      <w:r>
        <w:rPr>
          <w:rFonts w:ascii="Arial" w:hAnsi="Arial" w:cs="Arial" w:eastAsia="Arial" w:hint="default"/>
          <w:sz w:val="18"/>
          <w:szCs w:val="18"/>
          <w:u w:val="single" w:color="000000"/>
        </w:rPr>
        <w:t>0.01%</w:t>
      </w:r>
      <w:r>
        <w:rPr>
          <w:rFonts w:ascii="Arial" w:hAnsi="Arial" w:cs="Arial" w:eastAsia="Arial" w:hint="default"/>
          <w:sz w:val="18"/>
          <w:szCs w:val="18"/>
        </w:rPr>
      </w:r>
      <w:r>
        <w:rPr>
          <w:rFonts w:ascii="Arial" w:hAnsi="Arial" w:cs="Arial" w:eastAsia="Arial" w:hint="default"/>
          <w:sz w:val="18"/>
          <w:szCs w:val="18"/>
          <w:u w:val="single" w:color="000000"/>
        </w:rPr>
        <w:t> </w:t>
        <w:tab/>
        <w:t>-</w:t>
        <w:tab/>
      </w:r>
      <w:r>
        <w:rPr>
          <w:rFonts w:ascii="Arial" w:hAnsi="Arial" w:cs="Arial" w:eastAsia="Arial" w:hint="default"/>
          <w:sz w:val="18"/>
          <w:szCs w:val="18"/>
        </w:rPr>
      </w:r>
    </w:p>
    <w:p>
      <w:pPr>
        <w:spacing w:line="240" w:lineRule="auto" w:before="0"/>
        <w:rPr>
          <w:rFonts w:ascii="Arial" w:hAnsi="Arial" w:cs="Arial" w:eastAsia="Arial" w:hint="default"/>
          <w:sz w:val="13"/>
          <w:szCs w:val="13"/>
        </w:rPr>
      </w:pPr>
    </w:p>
    <w:p>
      <w:pPr>
        <w:tabs>
          <w:tab w:pos="4134" w:val="left" w:leader="none"/>
          <w:tab w:pos="5331" w:val="left" w:leader="none"/>
          <w:tab w:pos="6410" w:val="left" w:leader="none"/>
          <w:tab w:pos="6776" w:val="left" w:leader="none"/>
          <w:tab w:pos="8285" w:val="left" w:leader="none"/>
          <w:tab w:pos="9350" w:val="left" w:leader="none"/>
        </w:tabs>
        <w:spacing w:before="47"/>
        <w:ind w:left="561" w:right="109" w:firstLine="0"/>
        <w:jc w:val="left"/>
        <w:rPr>
          <w:rFonts w:ascii="Arial" w:hAnsi="Arial" w:cs="Arial" w:eastAsia="Arial" w:hint="default"/>
          <w:sz w:val="18"/>
          <w:szCs w:val="18"/>
        </w:rPr>
      </w:pPr>
      <w:r>
        <w:rPr>
          <w:rFonts w:ascii="宋体" w:hAnsi="宋体" w:cs="宋体" w:eastAsia="宋体" w:hint="default"/>
          <w:position w:val="1"/>
          <w:sz w:val="18"/>
          <w:szCs w:val="18"/>
        </w:rPr>
        <w:t>合计</w:t>
        <w:tab/>
      </w:r>
      <w:r>
        <w:rPr>
          <w:rFonts w:ascii="Arial" w:hAnsi="Arial" w:cs="Arial" w:eastAsia="Arial" w:hint="default"/>
          <w:spacing w:val="-1"/>
          <w:sz w:val="18"/>
          <w:szCs w:val="18"/>
        </w:rPr>
        <w:t>2,500,000</w:t>
        <w:tab/>
        <w:t>0.03%</w:t>
        <w:tab/>
      </w:r>
      <w:r>
        <w:rPr>
          <w:rFonts w:ascii="Arial" w:hAnsi="Arial" w:cs="Arial" w:eastAsia="Arial" w:hint="default"/>
          <w:sz w:val="18"/>
          <w:szCs w:val="18"/>
        </w:rPr>
        <w:t>-</w:t>
        <w:tab/>
      </w:r>
      <w:r>
        <w:rPr>
          <w:rFonts w:ascii="Arial" w:hAnsi="Arial" w:cs="Arial" w:eastAsia="Arial" w:hint="default"/>
          <w:spacing w:val="-1"/>
          <w:sz w:val="18"/>
          <w:szCs w:val="18"/>
        </w:rPr>
        <w:t>1,011,326,360</w:t>
        <w:tab/>
        <w:t>6.27%</w:t>
        <w:tab/>
      </w:r>
      <w:r>
        <w:rPr>
          <w:rFonts w:ascii="Arial" w:hAnsi="Arial" w:cs="Arial" w:eastAsia="Arial" w:hint="default"/>
          <w:sz w:val="18"/>
          <w:szCs w:val="18"/>
        </w:rPr>
        <w:t>-</w:t>
      </w:r>
    </w:p>
    <w:p>
      <w:pPr>
        <w:spacing w:line="43" w:lineRule="exact"/>
        <w:ind w:left="3776" w:right="0" w:firstLine="0"/>
        <w:rPr>
          <w:rFonts w:ascii="Arial" w:hAnsi="Arial" w:cs="Arial" w:eastAsia="Arial" w:hint="default"/>
          <w:sz w:val="4"/>
          <w:szCs w:val="4"/>
        </w:rPr>
      </w:pPr>
      <w:r>
        <w:rPr>
          <w:rFonts w:ascii="Arial"/>
          <w:position w:val="0"/>
          <w:sz w:val="4"/>
        </w:rPr>
        <w:pict>
          <v:group style="width:63.75pt;height:2.2pt;mso-position-horizontal-relative:char;mso-position-vertical-relative:line" coordorigin="0,0" coordsize="1275,44">
            <v:group style="position:absolute;left:7;top:36;width:1260;height:2" coordorigin="7,36" coordsize="1260,2">
              <v:shape style="position:absolute;left:7;top:36;width:1260;height:2" coordorigin="7,36" coordsize="1260,0" path="m7,36l1267,36e" filled="false" stroked="true" strokeweight=".72pt" strokecolor="#000000">
                <v:path arrowok="t"/>
              </v:shape>
            </v:group>
            <v:group style="position:absolute;left:7;top:7;width:1260;height:2" coordorigin="7,7" coordsize="1260,2">
              <v:shape style="position:absolute;left:7;top:7;width:1260;height:2" coordorigin="7,7" coordsize="1260,0" path="m7,7l1267,7e" filled="false" stroked="true" strokeweight=".72pt" strokecolor="#000000">
                <v:path arrowok="t"/>
              </v:shape>
            </v:group>
          </v:group>
        </w:pict>
      </w:r>
      <w:r>
        <w:rPr>
          <w:rFonts w:ascii="Arial"/>
          <w:position w:val="0"/>
          <w:sz w:val="4"/>
        </w:rPr>
      </w:r>
      <w:r>
        <w:rPr>
          <w:rFonts w:ascii="Times New Roman"/>
          <w:spacing w:val="96"/>
          <w:position w:val="0"/>
          <w:sz w:val="4"/>
        </w:rPr>
        <w:t> </w:t>
      </w:r>
      <w:r>
        <w:rPr>
          <w:rFonts w:ascii="Arial"/>
          <w:spacing w:val="96"/>
          <w:position w:val="0"/>
          <w:sz w:val="4"/>
        </w:rPr>
        <w:pict>
          <v:group style="width:37.1pt;height:2.2pt;mso-position-horizontal-relative:char;mso-position-vertical-relative:line" coordorigin="0,0" coordsize="742,44">
            <v:group style="position:absolute;left:7;top:36;width:728;height:2" coordorigin="7,36" coordsize="728,2">
              <v:shape style="position:absolute;left:7;top:36;width:728;height:2" coordorigin="7,36" coordsize="728,0" path="m7,36l734,36e" filled="false" stroked="true" strokeweight=".72pt" strokecolor="#000000">
                <v:path arrowok="t"/>
              </v:shape>
            </v:group>
            <v:group style="position:absolute;left:7;top:7;width:728;height:2" coordorigin="7,7" coordsize="728,2">
              <v:shape style="position:absolute;left:7;top:7;width:728;height:2" coordorigin="7,7" coordsize="728,0" path="m7,7l734,7e" filled="false" stroked="true" strokeweight=".72pt" strokecolor="#000000">
                <v:path arrowok="t"/>
              </v:shape>
            </v:group>
          </v:group>
        </w:pict>
      </w:r>
      <w:r>
        <w:rPr>
          <w:rFonts w:ascii="Arial"/>
          <w:spacing w:val="96"/>
          <w:position w:val="0"/>
          <w:sz w:val="4"/>
        </w:rPr>
      </w:r>
      <w:r>
        <w:rPr>
          <w:rFonts w:ascii="Times New Roman"/>
          <w:spacing w:val="96"/>
          <w:position w:val="0"/>
          <w:sz w:val="4"/>
        </w:rPr>
        <w:t> </w:t>
      </w:r>
      <w:r>
        <w:rPr>
          <w:rFonts w:ascii="Arial"/>
          <w:spacing w:val="96"/>
          <w:position w:val="0"/>
          <w:sz w:val="4"/>
        </w:rPr>
        <w:pict>
          <v:group style="width:28.35pt;height:2.2pt;mso-position-horizontal-relative:char;mso-position-vertical-relative:line" coordorigin="0,0" coordsize="567,44">
            <v:group style="position:absolute;left:7;top:36;width:552;height:2" coordorigin="7,36" coordsize="552,2">
              <v:shape style="position:absolute;left:7;top:36;width:552;height:2" coordorigin="7,36" coordsize="552,0" path="m7,36l559,36e" filled="false" stroked="true" strokeweight=".72pt" strokecolor="#000000">
                <v:path arrowok="t"/>
              </v:shape>
            </v:group>
            <v:group style="position:absolute;left:7;top:7;width:552;height:2" coordorigin="7,7" coordsize="552,2">
              <v:shape style="position:absolute;left:7;top:7;width:552;height:2" coordorigin="7,7" coordsize="552,0" path="m7,7l559,7e" filled="false" stroked="true" strokeweight=".72pt" strokecolor="#000000">
                <v:path arrowok="t"/>
              </v:shape>
            </v:group>
          </v:group>
        </w:pict>
      </w:r>
      <w:r>
        <w:rPr>
          <w:rFonts w:ascii="Arial"/>
          <w:spacing w:val="96"/>
          <w:position w:val="0"/>
          <w:sz w:val="4"/>
        </w:rPr>
      </w:r>
      <w:r>
        <w:rPr>
          <w:rFonts w:ascii="Times New Roman"/>
          <w:spacing w:val="90"/>
          <w:position w:val="0"/>
          <w:sz w:val="4"/>
        </w:rPr>
        <w:t> </w:t>
      </w:r>
      <w:r>
        <w:rPr>
          <w:rFonts w:ascii="Arial"/>
          <w:spacing w:val="90"/>
          <w:position w:val="0"/>
          <w:sz w:val="4"/>
        </w:rPr>
        <w:pict>
          <v:group style="width:65.5pt;height:2.2pt;mso-position-horizontal-relative:char;mso-position-vertical-relative:line" coordorigin="0,0" coordsize="1310,44">
            <v:group style="position:absolute;left:7;top:36;width:1295;height:2" coordorigin="7,36" coordsize="1295,2">
              <v:shape style="position:absolute;left:7;top:36;width:1295;height:2" coordorigin="7,36" coordsize="1295,0" path="m7,36l1302,36e" filled="false" stroked="true" strokeweight=".72pt" strokecolor="#000000">
                <v:path arrowok="t"/>
              </v:shape>
            </v:group>
            <v:group style="position:absolute;left:7;top:7;width:1295;height:2" coordorigin="7,7" coordsize="1295,2">
              <v:shape style="position:absolute;left:7;top:7;width:1295;height:2" coordorigin="7,7" coordsize="1295,0" path="m7,7l1302,7e" filled="false" stroked="true" strokeweight=".72pt" strokecolor="#000000">
                <v:path arrowok="t"/>
              </v:shape>
            </v:group>
          </v:group>
        </w:pict>
      </w:r>
      <w:r>
        <w:rPr>
          <w:rFonts w:ascii="Arial"/>
          <w:spacing w:val="90"/>
          <w:position w:val="0"/>
          <w:sz w:val="4"/>
        </w:rPr>
      </w:r>
      <w:r>
        <w:rPr>
          <w:rFonts w:ascii="Times New Roman"/>
          <w:spacing w:val="88"/>
          <w:position w:val="0"/>
          <w:sz w:val="4"/>
        </w:rPr>
        <w:t> </w:t>
      </w:r>
      <w:r>
        <w:rPr>
          <w:rFonts w:ascii="Arial"/>
          <w:spacing w:val="88"/>
          <w:position w:val="0"/>
          <w:sz w:val="4"/>
        </w:rPr>
        <w:pict>
          <v:group style="width:37.9pt;height:2.2pt;mso-position-horizontal-relative:char;mso-position-vertical-relative:line" coordorigin="0,0" coordsize="758,44">
            <v:group style="position:absolute;left:7;top:36;width:743;height:2" coordorigin="7,36" coordsize="743,2">
              <v:shape style="position:absolute;left:7;top:36;width:743;height:2" coordorigin="7,36" coordsize="743,0" path="m7,36l750,36e" filled="false" stroked="true" strokeweight=".72pt" strokecolor="#000000">
                <v:path arrowok="t"/>
              </v:shape>
            </v:group>
            <v:group style="position:absolute;left:7;top:7;width:743;height:2" coordorigin="7,7" coordsize="743,2">
              <v:shape style="position:absolute;left:7;top:7;width:743;height:2" coordorigin="7,7" coordsize="743,0" path="m7,7l750,7e" filled="false" stroked="true" strokeweight=".72pt" strokecolor="#000000">
                <v:path arrowok="t"/>
              </v:shape>
            </v:group>
          </v:group>
        </w:pict>
      </w:r>
      <w:r>
        <w:rPr>
          <w:rFonts w:ascii="Arial"/>
          <w:spacing w:val="88"/>
          <w:position w:val="0"/>
          <w:sz w:val="4"/>
        </w:rPr>
      </w:r>
      <w:r>
        <w:rPr>
          <w:rFonts w:ascii="Times New Roman"/>
          <w:spacing w:val="95"/>
          <w:position w:val="0"/>
          <w:sz w:val="4"/>
        </w:rPr>
        <w:t> </w:t>
      </w:r>
      <w:r>
        <w:rPr>
          <w:rFonts w:ascii="Arial"/>
          <w:spacing w:val="95"/>
          <w:position w:val="0"/>
          <w:sz w:val="4"/>
        </w:rPr>
        <w:pict>
          <v:group style="width:27.85pt;height:2.2pt;mso-position-horizontal-relative:char;mso-position-vertical-relative:line" coordorigin="0,0" coordsize="557,44">
            <v:group style="position:absolute;left:7;top:36;width:543;height:2" coordorigin="7,36" coordsize="543,2">
              <v:shape style="position:absolute;left:7;top:36;width:543;height:2" coordorigin="7,36" coordsize="543,0" path="m7,36l550,36e" filled="false" stroked="true" strokeweight=".72pt" strokecolor="#000000">
                <v:path arrowok="t"/>
              </v:shape>
            </v:group>
            <v:group style="position:absolute;left:7;top:7;width:543;height:2" coordorigin="7,7" coordsize="543,2">
              <v:shape style="position:absolute;left:7;top:7;width:543;height:2" coordorigin="7,7" coordsize="543,0" path="m7,7l550,7e" filled="false" stroked="true" strokeweight=".72pt" strokecolor="#000000">
                <v:path arrowok="t"/>
              </v:shape>
            </v:group>
          </v:group>
        </w:pict>
      </w:r>
      <w:r>
        <w:rPr>
          <w:rFonts w:ascii="Arial"/>
          <w:spacing w:val="95"/>
          <w:position w:val="0"/>
          <w:sz w:val="4"/>
        </w:rPr>
      </w:r>
    </w:p>
    <w:p>
      <w:pPr>
        <w:spacing w:line="240" w:lineRule="auto" w:before="5"/>
        <w:rPr>
          <w:rFonts w:ascii="Arial" w:hAnsi="Arial" w:cs="Arial" w:eastAsia="Arial" w:hint="default"/>
          <w:sz w:val="16"/>
          <w:szCs w:val="16"/>
        </w:rPr>
      </w:pPr>
    </w:p>
    <w:p>
      <w:pPr>
        <w:pStyle w:val="BodyText"/>
        <w:tabs>
          <w:tab w:pos="522" w:val="left" w:leader="none"/>
        </w:tabs>
        <w:spacing w:line="284" w:lineRule="exact" w:before="61"/>
        <w:ind w:left="522" w:right="109" w:hanging="421"/>
        <w:jc w:val="left"/>
      </w:pPr>
      <w:r>
        <w:rPr>
          <w:rFonts w:ascii="Arial" w:hAnsi="Arial" w:cs="Arial" w:eastAsia="Arial" w:hint="default"/>
          <w:w w:val="95"/>
        </w:rPr>
        <w:t>(i)</w:t>
        <w:tab/>
      </w:r>
      <w:r>
        <w:rPr/>
        <w:t>于</w:t>
      </w:r>
      <w:r>
        <w:rPr>
          <w:spacing w:val="-50"/>
        </w:rPr>
        <w:t> </w:t>
      </w:r>
      <w:r>
        <w:rPr>
          <w:rFonts w:ascii="Arial" w:hAnsi="Arial" w:cs="Arial" w:eastAsia="Arial" w:hint="default"/>
        </w:rPr>
        <w:t>2009</w:t>
      </w:r>
      <w:r>
        <w:rPr>
          <w:rFonts w:ascii="Arial" w:hAnsi="Arial" w:cs="Arial" w:eastAsia="Arial" w:hint="default"/>
          <w:spacing w:val="-1"/>
        </w:rPr>
        <w:t> </w:t>
      </w:r>
      <w:r>
        <w:rPr/>
        <w:t>年</w:t>
      </w:r>
      <w:r>
        <w:rPr>
          <w:spacing w:val="-50"/>
        </w:rPr>
        <w:t> </w:t>
      </w:r>
      <w:r>
        <w:rPr>
          <w:rFonts w:ascii="Arial" w:hAnsi="Arial" w:cs="Arial" w:eastAsia="Arial" w:hint="default"/>
        </w:rPr>
        <w:t>12</w:t>
      </w:r>
      <w:r>
        <w:rPr>
          <w:rFonts w:ascii="Arial" w:hAnsi="Arial" w:cs="Arial" w:eastAsia="Arial" w:hint="default"/>
          <w:spacing w:val="-1"/>
        </w:rPr>
        <w:t> </w:t>
      </w:r>
      <w:r>
        <w:rPr/>
        <w:t>月</w:t>
      </w:r>
      <w:r>
        <w:rPr>
          <w:spacing w:val="-50"/>
        </w:rPr>
        <w:t> </w:t>
      </w:r>
      <w:r>
        <w:rPr>
          <w:rFonts w:ascii="Arial" w:hAnsi="Arial" w:cs="Arial" w:eastAsia="Arial" w:hint="default"/>
        </w:rPr>
        <w:t>31</w:t>
      </w:r>
      <w:r>
        <w:rPr>
          <w:rFonts w:ascii="Arial" w:hAnsi="Arial" w:cs="Arial" w:eastAsia="Arial" w:hint="default"/>
          <w:spacing w:val="-1"/>
        </w:rPr>
        <w:t> </w:t>
      </w:r>
      <w:r>
        <w:rPr/>
        <w:t>日及</w:t>
      </w:r>
      <w:r>
        <w:rPr>
          <w:spacing w:val="-50"/>
        </w:rPr>
        <w:t> </w:t>
      </w:r>
      <w:r>
        <w:rPr>
          <w:rFonts w:ascii="Arial" w:hAnsi="Arial" w:cs="Arial" w:eastAsia="Arial" w:hint="default"/>
        </w:rPr>
        <w:t>2008</w:t>
      </w:r>
      <w:r>
        <w:rPr>
          <w:rFonts w:ascii="Arial" w:hAnsi="Arial" w:cs="Arial" w:eastAsia="Arial" w:hint="default"/>
          <w:spacing w:val="-1"/>
        </w:rPr>
        <w:t> </w:t>
      </w:r>
      <w:r>
        <w:rPr/>
        <w:t>年</w:t>
      </w:r>
      <w:r>
        <w:rPr>
          <w:spacing w:val="-50"/>
        </w:rPr>
        <w:t> </w:t>
      </w:r>
      <w:r>
        <w:rPr>
          <w:rFonts w:ascii="Arial" w:hAnsi="Arial" w:cs="Arial" w:eastAsia="Arial" w:hint="default"/>
        </w:rPr>
        <w:t>12</w:t>
      </w:r>
      <w:r>
        <w:rPr>
          <w:rFonts w:ascii="Arial" w:hAnsi="Arial" w:cs="Arial" w:eastAsia="Arial" w:hint="default"/>
          <w:spacing w:val="-1"/>
        </w:rPr>
        <w:t> </w:t>
      </w:r>
      <w:r>
        <w:rPr/>
        <w:t>月</w:t>
      </w:r>
      <w:r>
        <w:rPr>
          <w:spacing w:val="-50"/>
        </w:rPr>
        <w:t> </w:t>
      </w:r>
      <w:r>
        <w:rPr>
          <w:rFonts w:ascii="Arial" w:hAnsi="Arial" w:cs="Arial" w:eastAsia="Arial" w:hint="default"/>
        </w:rPr>
        <w:t>31</w:t>
      </w:r>
      <w:r>
        <w:rPr>
          <w:rFonts w:ascii="Arial" w:hAnsi="Arial" w:cs="Arial" w:eastAsia="Arial" w:hint="default"/>
          <w:spacing w:val="-1"/>
        </w:rPr>
        <w:t> </w:t>
      </w:r>
      <w:r>
        <w:rPr/>
        <w:t>日，本集团其他应收款中以外币计价的余额并不重</w:t>
      </w:r>
      <w:r>
        <w:rPr>
          <w:w w:val="99"/>
        </w:rPr>
        <w:t> </w:t>
      </w:r>
      <w:r>
        <w:rPr/>
        <w:t>大。</w:t>
      </w:r>
    </w:p>
    <w:p>
      <w:pPr>
        <w:spacing w:line="240" w:lineRule="auto" w:before="2"/>
        <w:rPr>
          <w:rFonts w:ascii="宋体" w:hAnsi="宋体" w:cs="宋体" w:eastAsia="宋体" w:hint="default"/>
          <w:sz w:val="17"/>
          <w:szCs w:val="17"/>
        </w:rPr>
      </w:pPr>
    </w:p>
    <w:p>
      <w:pPr>
        <w:pStyle w:val="BodyText"/>
        <w:spacing w:line="240" w:lineRule="auto"/>
        <w:ind w:left="116" w:right="109"/>
        <w:jc w:val="left"/>
        <w:rPr>
          <w:rFonts w:ascii="黑体" w:hAnsi="黑体" w:cs="黑体" w:eastAsia="黑体" w:hint="default"/>
        </w:rPr>
      </w:pPr>
      <w:r>
        <w:rPr>
          <w:rFonts w:ascii="Arial" w:hAnsi="Arial" w:cs="Arial" w:eastAsia="Arial" w:hint="default"/>
        </w:rPr>
        <w:t>5</w:t>
      </w:r>
      <w:r>
        <w:rPr>
          <w:rFonts w:ascii="黑体" w:hAnsi="黑体" w:cs="黑体" w:eastAsia="黑体" w:hint="default"/>
        </w:rPr>
        <w:t>、</w:t>
      </w:r>
      <w:r>
        <w:rPr>
          <w:rFonts w:ascii="黑体" w:hAnsi="黑体" w:cs="黑体" w:eastAsia="黑体" w:hint="default"/>
          <w:spacing w:val="-50"/>
        </w:rPr>
        <w:t> </w:t>
      </w:r>
      <w:r>
        <w:rPr>
          <w:rFonts w:ascii="黑体" w:hAnsi="黑体" w:cs="黑体" w:eastAsia="黑体" w:hint="default"/>
        </w:rPr>
        <w:t>预付款项</w:t>
      </w:r>
    </w:p>
    <w:p>
      <w:pPr>
        <w:spacing w:line="240" w:lineRule="auto" w:before="12"/>
        <w:rPr>
          <w:rFonts w:ascii="黑体" w:hAnsi="黑体" w:cs="黑体" w:eastAsia="黑体" w:hint="default"/>
          <w:sz w:val="17"/>
          <w:szCs w:val="17"/>
        </w:rPr>
      </w:pPr>
    </w:p>
    <w:p>
      <w:pPr>
        <w:pStyle w:val="BodyText"/>
        <w:spacing w:line="240" w:lineRule="auto"/>
        <w:ind w:left="116" w:right="109"/>
        <w:jc w:val="left"/>
      </w:pPr>
      <w:r>
        <w:rPr>
          <w:rFonts w:ascii="Arial" w:hAnsi="Arial" w:cs="Arial" w:eastAsia="Arial" w:hint="default"/>
        </w:rPr>
        <w:t>(a) </w:t>
      </w:r>
      <w:r>
        <w:rPr>
          <w:rFonts w:ascii="Arial" w:hAnsi="Arial" w:cs="Arial" w:eastAsia="Arial" w:hint="default"/>
          <w:spacing w:val="11"/>
        </w:rPr>
        <w:t> </w:t>
      </w:r>
      <w:r>
        <w:rPr/>
        <w:t>本集团预付款项账龄分析如下：</w:t>
      </w:r>
    </w:p>
    <w:p>
      <w:pPr>
        <w:spacing w:line="240" w:lineRule="auto" w:before="7"/>
        <w:rPr>
          <w:rFonts w:ascii="宋体" w:hAnsi="宋体" w:cs="宋体" w:eastAsia="宋体" w:hint="default"/>
          <w:sz w:val="15"/>
          <w:szCs w:val="15"/>
        </w:rPr>
      </w:pPr>
    </w:p>
    <w:tbl>
      <w:tblPr>
        <w:tblW w:w="0" w:type="auto"/>
        <w:jc w:val="left"/>
        <w:tblInd w:w="525" w:type="dxa"/>
        <w:tblLayout w:type="fixed"/>
        <w:tblCellMar>
          <w:top w:w="0" w:type="dxa"/>
          <w:left w:w="0" w:type="dxa"/>
          <w:bottom w:w="0" w:type="dxa"/>
          <w:right w:w="0" w:type="dxa"/>
        </w:tblCellMar>
        <w:tblLook w:val="01E0"/>
      </w:tblPr>
      <w:tblGrid>
        <w:gridCol w:w="2315"/>
        <w:gridCol w:w="140"/>
        <w:gridCol w:w="1698"/>
        <w:gridCol w:w="1465"/>
        <w:gridCol w:w="181"/>
        <w:gridCol w:w="1606"/>
        <w:gridCol w:w="1603"/>
      </w:tblGrid>
      <w:tr>
        <w:trPr>
          <w:trHeight w:val="361" w:hRule="exact"/>
        </w:trPr>
        <w:tc>
          <w:tcPr>
            <w:tcW w:w="2455" w:type="dxa"/>
            <w:gridSpan w:val="2"/>
            <w:tcBorders>
              <w:top w:val="nil" w:sz="6" w:space="0" w:color="auto"/>
              <w:left w:val="nil" w:sz="6" w:space="0" w:color="auto"/>
              <w:bottom w:val="nil" w:sz="6" w:space="0" w:color="auto"/>
              <w:right w:val="nil" w:sz="6" w:space="0" w:color="auto"/>
            </w:tcBorders>
          </w:tcPr>
          <w:p>
            <w:pPr/>
          </w:p>
        </w:tc>
        <w:tc>
          <w:tcPr>
            <w:tcW w:w="3163" w:type="dxa"/>
            <w:gridSpan w:val="2"/>
            <w:tcBorders>
              <w:top w:val="nil" w:sz="6" w:space="0" w:color="auto"/>
              <w:left w:val="nil" w:sz="6" w:space="0" w:color="auto"/>
              <w:bottom w:val="single" w:sz="6" w:space="0" w:color="000000"/>
              <w:right w:val="nil" w:sz="6" w:space="0" w:color="auto"/>
            </w:tcBorders>
          </w:tcPr>
          <w:p>
            <w:pPr>
              <w:pStyle w:val="TableParagraph"/>
              <w:spacing w:line="240" w:lineRule="auto" w:before="31"/>
              <w:ind w:left="559" w:right="0"/>
              <w:jc w:val="lef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181" w:type="dxa"/>
            <w:tcBorders>
              <w:top w:val="nil" w:sz="6" w:space="0" w:color="auto"/>
              <w:left w:val="nil" w:sz="6" w:space="0" w:color="auto"/>
              <w:bottom w:val="nil" w:sz="6" w:space="0" w:color="auto"/>
              <w:right w:val="nil" w:sz="6" w:space="0" w:color="auto"/>
            </w:tcBorders>
          </w:tcPr>
          <w:p>
            <w:pPr/>
          </w:p>
        </w:tc>
        <w:tc>
          <w:tcPr>
            <w:tcW w:w="3209" w:type="dxa"/>
            <w:gridSpan w:val="2"/>
            <w:tcBorders>
              <w:top w:val="nil" w:sz="6" w:space="0" w:color="auto"/>
              <w:left w:val="nil" w:sz="6" w:space="0" w:color="auto"/>
              <w:bottom w:val="single" w:sz="6" w:space="0" w:color="000000"/>
              <w:right w:val="nil" w:sz="6" w:space="0" w:color="auto"/>
            </w:tcBorders>
          </w:tcPr>
          <w:p>
            <w:pPr>
              <w:pStyle w:val="TableParagraph"/>
              <w:spacing w:line="240" w:lineRule="auto" w:before="31"/>
              <w:ind w:left="101" w:right="0"/>
              <w:jc w:val="lef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日（经重列）</w:t>
            </w:r>
          </w:p>
        </w:tc>
      </w:tr>
      <w:tr>
        <w:trPr>
          <w:trHeight w:val="300" w:hRule="exact"/>
        </w:trPr>
        <w:tc>
          <w:tcPr>
            <w:tcW w:w="2315" w:type="dxa"/>
            <w:tcBorders>
              <w:top w:val="nil" w:sz="6" w:space="0" w:color="auto"/>
              <w:left w:val="nil" w:sz="6" w:space="0" w:color="auto"/>
              <w:bottom w:val="single" w:sz="6" w:space="0" w:color="000000"/>
              <w:right w:val="nil" w:sz="6" w:space="0" w:color="auto"/>
            </w:tcBorders>
          </w:tcPr>
          <w:p>
            <w:pPr>
              <w:pStyle w:val="TableParagraph"/>
              <w:spacing w:line="260" w:lineRule="exact"/>
              <w:ind w:left="35" w:right="0"/>
              <w:jc w:val="left"/>
              <w:rPr>
                <w:rFonts w:ascii="宋体" w:hAnsi="宋体" w:cs="宋体" w:eastAsia="宋体" w:hint="default"/>
                <w:sz w:val="22"/>
                <w:szCs w:val="22"/>
              </w:rPr>
            </w:pPr>
            <w:r>
              <w:rPr>
                <w:rFonts w:ascii="宋体" w:hAnsi="宋体" w:cs="宋体" w:eastAsia="宋体" w:hint="default"/>
                <w:sz w:val="22"/>
                <w:szCs w:val="22"/>
              </w:rPr>
              <w:t>账龄</w:t>
            </w:r>
          </w:p>
        </w:tc>
        <w:tc>
          <w:tcPr>
            <w:tcW w:w="140" w:type="dxa"/>
            <w:tcBorders>
              <w:top w:val="nil" w:sz="6" w:space="0" w:color="auto"/>
              <w:left w:val="nil" w:sz="6" w:space="0" w:color="auto"/>
              <w:bottom w:val="nil" w:sz="6" w:space="0" w:color="auto"/>
              <w:right w:val="nil" w:sz="6" w:space="0" w:color="auto"/>
            </w:tcBorders>
          </w:tcPr>
          <w:p>
            <w:pPr/>
          </w:p>
        </w:tc>
        <w:tc>
          <w:tcPr>
            <w:tcW w:w="3163" w:type="dxa"/>
            <w:gridSpan w:val="2"/>
            <w:tcBorders>
              <w:top w:val="single" w:sz="6" w:space="0" w:color="000000"/>
              <w:left w:val="nil" w:sz="6" w:space="0" w:color="auto"/>
              <w:bottom w:val="nil" w:sz="6" w:space="0" w:color="auto"/>
              <w:right w:val="nil" w:sz="6" w:space="0" w:color="auto"/>
            </w:tcBorders>
          </w:tcPr>
          <w:p>
            <w:pPr>
              <w:pStyle w:val="TableParagraph"/>
              <w:tabs>
                <w:tab w:pos="2043" w:val="left" w:leader="none"/>
              </w:tabs>
              <w:spacing w:line="268" w:lineRule="exact"/>
              <w:ind w:left="599" w:right="0"/>
              <w:jc w:val="left"/>
              <w:rPr>
                <w:rFonts w:ascii="宋体" w:hAnsi="宋体" w:cs="宋体" w:eastAsia="宋体" w:hint="default"/>
                <w:sz w:val="22"/>
                <w:szCs w:val="22"/>
              </w:rPr>
            </w:pPr>
            <w:r>
              <w:rPr>
                <w:rFonts w:ascii="宋体" w:hAnsi="宋体" w:cs="宋体" w:eastAsia="宋体" w:hint="default"/>
                <w:w w:val="95"/>
                <w:sz w:val="22"/>
                <w:szCs w:val="22"/>
              </w:rPr>
              <w:t>金额</w:t>
              <w:tab/>
            </w:r>
            <w:r>
              <w:rPr>
                <w:rFonts w:ascii="宋体" w:hAnsi="宋体" w:cs="宋体" w:eastAsia="宋体" w:hint="default"/>
                <w:sz w:val="22"/>
                <w:szCs w:val="22"/>
              </w:rPr>
              <w:t>比例(</w:t>
            </w:r>
            <w:r>
              <w:rPr>
                <w:rFonts w:ascii="Arial" w:hAnsi="Arial" w:cs="Arial" w:eastAsia="Arial" w:hint="default"/>
                <w:sz w:val="22"/>
                <w:szCs w:val="22"/>
              </w:rPr>
              <w:t>%</w:t>
            </w:r>
            <w:r>
              <w:rPr>
                <w:rFonts w:ascii="宋体" w:hAnsi="宋体" w:cs="宋体" w:eastAsia="宋体" w:hint="default"/>
                <w:sz w:val="22"/>
                <w:szCs w:val="22"/>
              </w:rPr>
              <w:t>)</w:t>
            </w:r>
          </w:p>
        </w:tc>
        <w:tc>
          <w:tcPr>
            <w:tcW w:w="181" w:type="dxa"/>
            <w:tcBorders>
              <w:top w:val="nil" w:sz="6" w:space="0" w:color="auto"/>
              <w:left w:val="nil" w:sz="6" w:space="0" w:color="auto"/>
              <w:bottom w:val="nil" w:sz="6" w:space="0" w:color="auto"/>
              <w:right w:val="nil" w:sz="6" w:space="0" w:color="auto"/>
            </w:tcBorders>
          </w:tcPr>
          <w:p>
            <w:pPr/>
          </w:p>
        </w:tc>
        <w:tc>
          <w:tcPr>
            <w:tcW w:w="3209" w:type="dxa"/>
            <w:gridSpan w:val="2"/>
            <w:tcBorders>
              <w:top w:val="single" w:sz="6" w:space="0" w:color="000000"/>
              <w:left w:val="nil" w:sz="6" w:space="0" w:color="auto"/>
              <w:bottom w:val="nil" w:sz="6" w:space="0" w:color="auto"/>
              <w:right w:val="nil" w:sz="6" w:space="0" w:color="auto"/>
            </w:tcBorders>
          </w:tcPr>
          <w:p>
            <w:pPr>
              <w:pStyle w:val="TableParagraph"/>
              <w:tabs>
                <w:tab w:pos="2034" w:val="left" w:leader="none"/>
              </w:tabs>
              <w:spacing w:line="268" w:lineRule="exact"/>
              <w:ind w:left="540" w:right="0"/>
              <w:jc w:val="left"/>
              <w:rPr>
                <w:rFonts w:ascii="宋体" w:hAnsi="宋体" w:cs="宋体" w:eastAsia="宋体" w:hint="default"/>
                <w:sz w:val="22"/>
                <w:szCs w:val="22"/>
              </w:rPr>
            </w:pPr>
            <w:r>
              <w:rPr>
                <w:rFonts w:ascii="宋体" w:hAnsi="宋体" w:cs="宋体" w:eastAsia="宋体" w:hint="default"/>
                <w:w w:val="95"/>
                <w:sz w:val="22"/>
                <w:szCs w:val="22"/>
              </w:rPr>
              <w:t>金额</w:t>
              <w:tab/>
            </w:r>
            <w:r>
              <w:rPr>
                <w:rFonts w:ascii="宋体" w:hAnsi="宋体" w:cs="宋体" w:eastAsia="宋体" w:hint="default"/>
                <w:sz w:val="22"/>
                <w:szCs w:val="22"/>
              </w:rPr>
              <w:t>比例(</w:t>
            </w:r>
            <w:r>
              <w:rPr>
                <w:rFonts w:ascii="Arial" w:hAnsi="Arial" w:cs="Arial" w:eastAsia="Arial" w:hint="default"/>
                <w:sz w:val="22"/>
                <w:szCs w:val="22"/>
              </w:rPr>
              <w:t>%</w:t>
            </w:r>
            <w:r>
              <w:rPr>
                <w:rFonts w:ascii="宋体" w:hAnsi="宋体" w:cs="宋体" w:eastAsia="宋体" w:hint="default"/>
                <w:sz w:val="22"/>
                <w:szCs w:val="22"/>
              </w:rPr>
              <w:t>)</w:t>
            </w:r>
          </w:p>
        </w:tc>
      </w:tr>
      <w:tr>
        <w:trPr>
          <w:trHeight w:val="591" w:hRule="exact"/>
        </w:trPr>
        <w:tc>
          <w:tcPr>
            <w:tcW w:w="231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2"/>
                <w:szCs w:val="22"/>
              </w:rPr>
            </w:pPr>
            <w:r>
              <w:rPr>
                <w:rFonts w:ascii="Arial" w:hAnsi="Arial" w:cs="Arial" w:eastAsia="Arial" w:hint="default"/>
                <w:sz w:val="22"/>
                <w:szCs w:val="22"/>
              </w:rPr>
              <w:t>1</w:t>
            </w:r>
            <w:r>
              <w:rPr>
                <w:rFonts w:ascii="Arial" w:hAnsi="Arial" w:cs="Arial" w:eastAsia="Arial" w:hint="default"/>
                <w:spacing w:val="-8"/>
                <w:sz w:val="22"/>
                <w:szCs w:val="22"/>
              </w:rPr>
              <w:t> </w:t>
            </w:r>
            <w:r>
              <w:rPr>
                <w:rFonts w:ascii="宋体" w:hAnsi="宋体" w:cs="宋体" w:eastAsia="宋体" w:hint="default"/>
                <w:sz w:val="22"/>
                <w:szCs w:val="22"/>
              </w:rPr>
              <w:t>年以内</w:t>
            </w:r>
          </w:p>
        </w:tc>
        <w:tc>
          <w:tcPr>
            <w:tcW w:w="1838" w:type="dxa"/>
            <w:gridSpan w:val="2"/>
            <w:tcBorders>
              <w:top w:val="nil" w:sz="6" w:space="0" w:color="auto"/>
              <w:left w:val="nil" w:sz="6" w:space="0" w:color="auto"/>
              <w:bottom w:val="nil" w:sz="6" w:space="0" w:color="auto"/>
              <w:right w:val="nil" w:sz="6" w:space="0" w:color="auto"/>
            </w:tcBorders>
          </w:tcPr>
          <w:p>
            <w:pPr>
              <w:pStyle w:val="TableParagraph"/>
              <w:spacing w:line="20" w:lineRule="exact"/>
              <w:ind w:left="133" w:right="0"/>
              <w:jc w:val="left"/>
              <w:rPr>
                <w:rFonts w:ascii="宋体" w:hAnsi="宋体" w:cs="宋体" w:eastAsia="宋体" w:hint="default"/>
                <w:sz w:val="2"/>
                <w:szCs w:val="2"/>
              </w:rPr>
            </w:pPr>
            <w:r>
              <w:rPr>
                <w:rFonts w:ascii="宋体" w:hAnsi="宋体" w:cs="宋体" w:eastAsia="宋体" w:hint="default"/>
                <w:sz w:val="2"/>
                <w:szCs w:val="2"/>
              </w:rPr>
              <w:pict>
                <v:group style="width:82.1pt;height:.75pt;mso-position-horizontal-relative:char;mso-position-vertical-relative:line" coordorigin="0,0" coordsize="1642,15">
                  <v:group style="position:absolute;left:7;top:7;width:1628;height:2" coordorigin="7,7" coordsize="1628,2">
                    <v:shape style="position:absolute;left:7;top:7;width:1628;height:2" coordorigin="7,7" coordsize="1628,0" path="m7,7l1634,7e" filled="false" stroked="true" strokeweight=".72pt" strokecolor="#000000">
                      <v:path arrowok="t"/>
                    </v:shape>
                  </v:group>
                </v:group>
              </w:pict>
            </w:r>
            <w:r>
              <w:rPr>
                <w:rFonts w:ascii="宋体" w:hAnsi="宋体" w:cs="宋体" w:eastAsia="宋体" w:hint="default"/>
                <w:sz w:val="2"/>
                <w:szCs w:val="2"/>
              </w:rPr>
            </w:r>
          </w:p>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left="240" w:right="0"/>
              <w:jc w:val="left"/>
              <w:rPr>
                <w:rFonts w:ascii="Arial" w:hAnsi="Arial" w:cs="Arial" w:eastAsia="Arial" w:hint="default"/>
                <w:sz w:val="22"/>
                <w:szCs w:val="22"/>
              </w:rPr>
            </w:pPr>
            <w:r>
              <w:rPr>
                <w:rFonts w:ascii="Arial"/>
                <w:sz w:val="22"/>
              </w:rPr>
              <w:t>1,758,662,080</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78"/>
              <w:jc w:val="right"/>
              <w:rPr>
                <w:rFonts w:ascii="Arial" w:hAnsi="Arial" w:cs="Arial" w:eastAsia="Arial" w:hint="default"/>
                <w:sz w:val="22"/>
                <w:szCs w:val="22"/>
              </w:rPr>
            </w:pPr>
            <w:r>
              <w:rPr>
                <w:rFonts w:ascii="Arial"/>
                <w:w w:val="95"/>
                <w:sz w:val="22"/>
              </w:rPr>
              <w:t>94.89%</w:t>
            </w:r>
            <w:r>
              <w:rPr>
                <w:rFonts w:ascii="Arial"/>
                <w:sz w:val="22"/>
              </w:rPr>
            </w:r>
          </w:p>
        </w:tc>
        <w:tc>
          <w:tcPr>
            <w:tcW w:w="1787" w:type="dxa"/>
            <w:gridSpan w:val="2"/>
            <w:tcBorders>
              <w:top w:val="nil" w:sz="6" w:space="0" w:color="auto"/>
              <w:left w:val="nil" w:sz="6" w:space="0" w:color="auto"/>
              <w:bottom w:val="nil" w:sz="6" w:space="0" w:color="auto"/>
              <w:right w:val="nil" w:sz="6" w:space="0" w:color="auto"/>
            </w:tcBorders>
          </w:tcPr>
          <w:p>
            <w:pPr>
              <w:pStyle w:val="TableParagraph"/>
              <w:spacing w:line="20" w:lineRule="exact"/>
              <w:ind w:left="174" w:right="-1"/>
              <w:jc w:val="left"/>
              <w:rPr>
                <w:rFonts w:ascii="宋体" w:hAnsi="宋体" w:cs="宋体" w:eastAsia="宋体" w:hint="default"/>
                <w:sz w:val="2"/>
                <w:szCs w:val="2"/>
              </w:rPr>
            </w:pPr>
            <w:r>
              <w:rPr>
                <w:rFonts w:ascii="宋体" w:hAnsi="宋体" w:cs="宋体" w:eastAsia="宋体" w:hint="default"/>
                <w:sz w:val="2"/>
                <w:szCs w:val="2"/>
              </w:rPr>
              <w:pict>
                <v:group style="width:78.45pt;height:.75pt;mso-position-horizontal-relative:char;mso-position-vertical-relative:line" coordorigin="0,0" coordsize="1569,15">
                  <v:group style="position:absolute;left:7;top:7;width:1554;height:2" coordorigin="7,7" coordsize="1554,2">
                    <v:shape style="position:absolute;left:7;top:7;width:1554;height:2" coordorigin="7,7" coordsize="1554,0" path="m7,7l1561,7e" filled="false" stroked="true" strokeweight=".72pt" strokecolor="#000000">
                      <v:path arrowok="t"/>
                    </v:shape>
                  </v:group>
                </v:group>
              </w:pict>
            </w:r>
            <w:r>
              <w:rPr>
                <w:rFonts w:ascii="宋体" w:hAnsi="宋体" w:cs="宋体" w:eastAsia="宋体" w:hint="default"/>
                <w:sz w:val="2"/>
                <w:szCs w:val="2"/>
              </w:rPr>
            </w:r>
          </w:p>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left="279" w:right="0"/>
              <w:jc w:val="left"/>
              <w:rPr>
                <w:rFonts w:ascii="Arial" w:hAnsi="Arial" w:cs="Arial" w:eastAsia="Arial" w:hint="default"/>
                <w:sz w:val="22"/>
                <w:szCs w:val="22"/>
              </w:rPr>
            </w:pPr>
            <w:r>
              <w:rPr>
                <w:rFonts w:ascii="Arial"/>
                <w:sz w:val="22"/>
              </w:rPr>
              <w:t>1,711,817,069</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33"/>
              <w:jc w:val="right"/>
              <w:rPr>
                <w:rFonts w:ascii="Arial" w:hAnsi="Arial" w:cs="Arial" w:eastAsia="Arial" w:hint="default"/>
                <w:sz w:val="22"/>
                <w:szCs w:val="22"/>
              </w:rPr>
            </w:pPr>
            <w:r>
              <w:rPr>
                <w:rFonts w:ascii="Arial"/>
                <w:w w:val="95"/>
                <w:sz w:val="22"/>
              </w:rPr>
              <w:t>96.94%</w:t>
            </w:r>
            <w:r>
              <w:rPr>
                <w:rFonts w:ascii="Arial"/>
                <w:sz w:val="22"/>
              </w:rPr>
            </w:r>
          </w:p>
        </w:tc>
      </w:tr>
      <w:tr>
        <w:trPr>
          <w:trHeight w:val="285" w:hRule="exact"/>
        </w:trPr>
        <w:tc>
          <w:tcPr>
            <w:tcW w:w="2315" w:type="dxa"/>
            <w:tcBorders>
              <w:top w:val="nil" w:sz="6" w:space="0" w:color="auto"/>
              <w:left w:val="nil" w:sz="6" w:space="0" w:color="auto"/>
              <w:bottom w:val="nil" w:sz="6" w:space="0" w:color="auto"/>
              <w:right w:val="nil" w:sz="6" w:space="0" w:color="auto"/>
            </w:tcBorders>
          </w:tcPr>
          <w:p>
            <w:pPr>
              <w:pStyle w:val="TableParagraph"/>
              <w:spacing w:line="255" w:lineRule="exact"/>
              <w:ind w:left="36" w:right="0"/>
              <w:jc w:val="left"/>
              <w:rPr>
                <w:rFonts w:ascii="宋体" w:hAnsi="宋体" w:cs="宋体" w:eastAsia="宋体" w:hint="default"/>
                <w:sz w:val="22"/>
                <w:szCs w:val="22"/>
              </w:rPr>
            </w:pPr>
            <w:r>
              <w:rPr>
                <w:rFonts w:ascii="Arial" w:hAnsi="Arial" w:cs="Arial" w:eastAsia="Arial" w:hint="default"/>
                <w:sz w:val="22"/>
                <w:szCs w:val="22"/>
              </w:rPr>
              <w:t>1-2</w:t>
            </w:r>
            <w:r>
              <w:rPr>
                <w:rFonts w:ascii="Arial" w:hAnsi="Arial" w:cs="Arial" w:eastAsia="Arial" w:hint="default"/>
                <w:spacing w:val="-8"/>
                <w:sz w:val="22"/>
                <w:szCs w:val="22"/>
              </w:rPr>
              <w:t> </w:t>
            </w:r>
            <w:r>
              <w:rPr>
                <w:rFonts w:ascii="宋体" w:hAnsi="宋体" w:cs="宋体" w:eastAsia="宋体" w:hint="default"/>
                <w:sz w:val="22"/>
                <w:szCs w:val="22"/>
              </w:rPr>
              <w:t>年</w:t>
            </w:r>
          </w:p>
        </w:tc>
        <w:tc>
          <w:tcPr>
            <w:tcW w:w="18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7"/>
              <w:ind w:left="545" w:right="0"/>
              <w:jc w:val="left"/>
              <w:rPr>
                <w:rFonts w:ascii="Arial" w:hAnsi="Arial" w:cs="Arial" w:eastAsia="Arial" w:hint="default"/>
                <w:sz w:val="22"/>
                <w:szCs w:val="22"/>
              </w:rPr>
            </w:pPr>
            <w:r>
              <w:rPr>
                <w:rFonts w:ascii="Arial"/>
                <w:sz w:val="22"/>
              </w:rPr>
              <w:t>79,629,214</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78"/>
              <w:jc w:val="right"/>
              <w:rPr>
                <w:rFonts w:ascii="Arial" w:hAnsi="Arial" w:cs="Arial" w:eastAsia="Arial" w:hint="default"/>
                <w:sz w:val="22"/>
                <w:szCs w:val="22"/>
              </w:rPr>
            </w:pPr>
            <w:r>
              <w:rPr>
                <w:rFonts w:ascii="Arial"/>
                <w:w w:val="95"/>
                <w:sz w:val="22"/>
              </w:rPr>
              <w:t>4.30%</w:t>
            </w:r>
            <w:r>
              <w:rPr>
                <w:rFonts w:ascii="Arial"/>
                <w:sz w:val="22"/>
              </w:rPr>
            </w:r>
          </w:p>
        </w:tc>
        <w:tc>
          <w:tcPr>
            <w:tcW w:w="178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7"/>
              <w:ind w:left="584" w:right="0"/>
              <w:jc w:val="left"/>
              <w:rPr>
                <w:rFonts w:ascii="Arial" w:hAnsi="Arial" w:cs="Arial" w:eastAsia="Arial" w:hint="default"/>
                <w:sz w:val="22"/>
                <w:szCs w:val="22"/>
              </w:rPr>
            </w:pPr>
            <w:r>
              <w:rPr>
                <w:rFonts w:ascii="Arial"/>
                <w:sz w:val="22"/>
              </w:rPr>
              <w:t>42,019,916</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3"/>
              <w:jc w:val="right"/>
              <w:rPr>
                <w:rFonts w:ascii="Arial" w:hAnsi="Arial" w:cs="Arial" w:eastAsia="Arial" w:hint="default"/>
                <w:sz w:val="22"/>
                <w:szCs w:val="22"/>
              </w:rPr>
            </w:pPr>
            <w:r>
              <w:rPr>
                <w:rFonts w:ascii="Arial"/>
                <w:w w:val="95"/>
                <w:sz w:val="22"/>
              </w:rPr>
              <w:t>2.38%</w:t>
            </w:r>
            <w:r>
              <w:rPr>
                <w:rFonts w:ascii="Arial"/>
                <w:sz w:val="22"/>
              </w:rPr>
            </w:r>
          </w:p>
        </w:tc>
      </w:tr>
      <w:tr>
        <w:trPr>
          <w:trHeight w:val="285" w:hRule="exact"/>
        </w:trPr>
        <w:tc>
          <w:tcPr>
            <w:tcW w:w="2315" w:type="dxa"/>
            <w:tcBorders>
              <w:top w:val="nil" w:sz="6" w:space="0" w:color="auto"/>
              <w:left w:val="nil" w:sz="6" w:space="0" w:color="auto"/>
              <w:bottom w:val="nil" w:sz="6" w:space="0" w:color="auto"/>
              <w:right w:val="nil" w:sz="6" w:space="0" w:color="auto"/>
            </w:tcBorders>
          </w:tcPr>
          <w:p>
            <w:pPr>
              <w:pStyle w:val="TableParagraph"/>
              <w:spacing w:line="255" w:lineRule="exact"/>
              <w:ind w:left="36" w:right="0"/>
              <w:jc w:val="left"/>
              <w:rPr>
                <w:rFonts w:ascii="宋体" w:hAnsi="宋体" w:cs="宋体" w:eastAsia="宋体" w:hint="default"/>
                <w:sz w:val="22"/>
                <w:szCs w:val="22"/>
              </w:rPr>
            </w:pPr>
            <w:r>
              <w:rPr>
                <w:rFonts w:ascii="Arial" w:hAnsi="Arial" w:cs="Arial" w:eastAsia="Arial" w:hint="default"/>
                <w:sz w:val="22"/>
                <w:szCs w:val="22"/>
              </w:rPr>
              <w:t>2-3</w:t>
            </w:r>
            <w:r>
              <w:rPr>
                <w:rFonts w:ascii="Arial" w:hAnsi="Arial" w:cs="Arial" w:eastAsia="Arial" w:hint="default"/>
                <w:spacing w:val="-8"/>
                <w:sz w:val="22"/>
                <w:szCs w:val="22"/>
              </w:rPr>
              <w:t> </w:t>
            </w:r>
            <w:r>
              <w:rPr>
                <w:rFonts w:ascii="宋体" w:hAnsi="宋体" w:cs="宋体" w:eastAsia="宋体" w:hint="default"/>
                <w:sz w:val="22"/>
                <w:szCs w:val="22"/>
              </w:rPr>
              <w:t>年</w:t>
            </w:r>
          </w:p>
        </w:tc>
        <w:tc>
          <w:tcPr>
            <w:tcW w:w="183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7"/>
              <w:ind w:left="667" w:right="0"/>
              <w:jc w:val="left"/>
              <w:rPr>
                <w:rFonts w:ascii="Arial" w:hAnsi="Arial" w:cs="Arial" w:eastAsia="Arial" w:hint="default"/>
                <w:sz w:val="22"/>
                <w:szCs w:val="22"/>
              </w:rPr>
            </w:pPr>
            <w:r>
              <w:rPr>
                <w:rFonts w:ascii="Arial"/>
                <w:sz w:val="22"/>
              </w:rPr>
              <w:t>8,431,165</w:t>
            </w:r>
          </w:p>
        </w:tc>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78"/>
              <w:jc w:val="right"/>
              <w:rPr>
                <w:rFonts w:ascii="Arial" w:hAnsi="Arial" w:cs="Arial" w:eastAsia="Arial" w:hint="default"/>
                <w:sz w:val="22"/>
                <w:szCs w:val="22"/>
              </w:rPr>
            </w:pPr>
            <w:r>
              <w:rPr>
                <w:rFonts w:ascii="Arial"/>
                <w:w w:val="95"/>
                <w:sz w:val="22"/>
              </w:rPr>
              <w:t>0.45%</w:t>
            </w:r>
            <w:r>
              <w:rPr>
                <w:rFonts w:ascii="Arial"/>
                <w:sz w:val="22"/>
              </w:rPr>
            </w:r>
          </w:p>
        </w:tc>
        <w:tc>
          <w:tcPr>
            <w:tcW w:w="178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7"/>
              <w:ind w:left="707" w:right="0"/>
              <w:jc w:val="left"/>
              <w:rPr>
                <w:rFonts w:ascii="Arial" w:hAnsi="Arial" w:cs="Arial" w:eastAsia="Arial" w:hint="default"/>
                <w:sz w:val="22"/>
                <w:szCs w:val="22"/>
              </w:rPr>
            </w:pPr>
            <w:r>
              <w:rPr>
                <w:rFonts w:ascii="Arial"/>
                <w:sz w:val="22"/>
              </w:rPr>
              <w:t>6,317,984</w:t>
            </w:r>
          </w:p>
        </w:tc>
        <w:tc>
          <w:tcPr>
            <w:tcW w:w="160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3"/>
              <w:jc w:val="right"/>
              <w:rPr>
                <w:rFonts w:ascii="Arial" w:hAnsi="Arial" w:cs="Arial" w:eastAsia="Arial" w:hint="default"/>
                <w:sz w:val="22"/>
                <w:szCs w:val="22"/>
              </w:rPr>
            </w:pPr>
            <w:r>
              <w:rPr>
                <w:rFonts w:ascii="Arial"/>
                <w:w w:val="95"/>
                <w:sz w:val="22"/>
              </w:rPr>
              <w:t>0.36%</w:t>
            </w:r>
            <w:r>
              <w:rPr>
                <w:rFonts w:ascii="Arial"/>
                <w:sz w:val="22"/>
              </w:rPr>
            </w:r>
          </w:p>
        </w:tc>
      </w:tr>
      <w:tr>
        <w:trPr>
          <w:trHeight w:val="366" w:hRule="exact"/>
        </w:trPr>
        <w:tc>
          <w:tcPr>
            <w:tcW w:w="2315" w:type="dxa"/>
            <w:tcBorders>
              <w:top w:val="nil" w:sz="6" w:space="0" w:color="auto"/>
              <w:left w:val="nil" w:sz="6" w:space="0" w:color="auto"/>
              <w:bottom w:val="nil" w:sz="6" w:space="0" w:color="auto"/>
              <w:right w:val="nil" w:sz="6" w:space="0" w:color="auto"/>
            </w:tcBorders>
          </w:tcPr>
          <w:p>
            <w:pPr>
              <w:pStyle w:val="TableParagraph"/>
              <w:spacing w:line="255" w:lineRule="exact"/>
              <w:ind w:left="36" w:right="0"/>
              <w:jc w:val="left"/>
              <w:rPr>
                <w:rFonts w:ascii="宋体" w:hAnsi="宋体" w:cs="宋体" w:eastAsia="宋体" w:hint="default"/>
                <w:sz w:val="20"/>
                <w:szCs w:val="20"/>
              </w:rPr>
            </w:pPr>
            <w:r>
              <w:rPr>
                <w:rFonts w:ascii="Arial" w:hAnsi="Arial" w:cs="Arial" w:eastAsia="Arial" w:hint="default"/>
                <w:sz w:val="22"/>
                <w:szCs w:val="22"/>
              </w:rPr>
              <w:t>3</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z w:val="20"/>
                <w:szCs w:val="20"/>
              </w:rPr>
              <w:t>以上</w:t>
            </w:r>
          </w:p>
        </w:tc>
        <w:tc>
          <w:tcPr>
            <w:tcW w:w="1838" w:type="dxa"/>
            <w:gridSpan w:val="2"/>
            <w:tcBorders>
              <w:top w:val="nil" w:sz="6" w:space="0" w:color="auto"/>
              <w:left w:val="nil" w:sz="6" w:space="0" w:color="auto"/>
              <w:bottom w:val="nil" w:sz="6" w:space="0" w:color="auto"/>
              <w:right w:val="nil" w:sz="6" w:space="0" w:color="auto"/>
            </w:tcBorders>
          </w:tcPr>
          <w:p>
            <w:pPr>
              <w:pStyle w:val="TableParagraph"/>
              <w:tabs>
                <w:tab w:pos="667" w:val="left" w:leader="none"/>
                <w:tab w:pos="1767" w:val="left" w:leader="none"/>
              </w:tabs>
              <w:spacing w:line="240" w:lineRule="auto" w:before="18"/>
              <w:ind w:left="140"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6,607,169</w:t>
              <w:tab/>
            </w:r>
            <w:r>
              <w:rPr>
                <w:rFonts w:ascii="Arial"/>
                <w:sz w:val="22"/>
              </w:rPr>
            </w:r>
          </w:p>
        </w:tc>
        <w:tc>
          <w:tcPr>
            <w:tcW w:w="1465" w:type="dxa"/>
            <w:tcBorders>
              <w:top w:val="nil" w:sz="6" w:space="0" w:color="auto"/>
              <w:left w:val="nil" w:sz="6" w:space="0" w:color="auto"/>
              <w:bottom w:val="nil" w:sz="6" w:space="0" w:color="auto"/>
              <w:right w:val="nil" w:sz="6" w:space="0" w:color="auto"/>
            </w:tcBorders>
          </w:tcPr>
          <w:p>
            <w:pPr>
              <w:pStyle w:val="TableParagraph"/>
              <w:tabs>
                <w:tab w:pos="689" w:val="left" w:leader="none"/>
                <w:tab w:pos="1394" w:val="left" w:leader="none"/>
              </w:tabs>
              <w:spacing w:line="240" w:lineRule="auto" w:before="18"/>
              <w:ind w:right="0"/>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0.36%</w:t>
            </w:r>
            <w:r>
              <w:rPr>
                <w:rFonts w:ascii="Arial"/>
                <w:sz w:val="22"/>
                <w:u w:val="single" w:color="000000"/>
              </w:rPr>
              <w:tab/>
            </w:r>
            <w:r>
              <w:rPr>
                <w:rFonts w:ascii="Arial"/>
                <w:sz w:val="22"/>
              </w:rPr>
            </w:r>
          </w:p>
        </w:tc>
        <w:tc>
          <w:tcPr>
            <w:tcW w:w="1787" w:type="dxa"/>
            <w:gridSpan w:val="2"/>
            <w:tcBorders>
              <w:top w:val="nil" w:sz="6" w:space="0" w:color="auto"/>
              <w:left w:val="nil" w:sz="6" w:space="0" w:color="auto"/>
              <w:bottom w:val="nil" w:sz="6" w:space="0" w:color="auto"/>
              <w:right w:val="nil" w:sz="6" w:space="0" w:color="auto"/>
            </w:tcBorders>
          </w:tcPr>
          <w:p>
            <w:pPr>
              <w:pStyle w:val="TableParagraph"/>
              <w:tabs>
                <w:tab w:pos="706" w:val="left" w:leader="none"/>
              </w:tabs>
              <w:spacing w:line="240" w:lineRule="auto" w:before="18"/>
              <w:ind w:left="181"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5,721,362</w:t>
            </w:r>
            <w:r>
              <w:rPr>
                <w:rFonts w:ascii="Arial"/>
                <w:sz w:val="22"/>
              </w:rPr>
            </w:r>
          </w:p>
        </w:tc>
        <w:tc>
          <w:tcPr>
            <w:tcW w:w="1603" w:type="dxa"/>
            <w:tcBorders>
              <w:top w:val="nil" w:sz="6" w:space="0" w:color="auto"/>
              <w:left w:val="nil" w:sz="6" w:space="0" w:color="auto"/>
              <w:bottom w:val="nil" w:sz="6" w:space="0" w:color="auto"/>
              <w:right w:val="nil" w:sz="6" w:space="0" w:color="auto"/>
            </w:tcBorders>
          </w:tcPr>
          <w:p>
            <w:pPr>
              <w:pStyle w:val="TableParagraph"/>
              <w:tabs>
                <w:tab w:pos="841" w:val="left" w:leader="none"/>
              </w:tabs>
              <w:spacing w:line="240" w:lineRule="auto" w:before="18"/>
              <w:ind w:right="33"/>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0.32%</w:t>
            </w:r>
            <w:r>
              <w:rPr>
                <w:rFonts w:ascii="Arial"/>
                <w:w w:val="95"/>
                <w:sz w:val="22"/>
              </w:rPr>
            </w:r>
            <w:r>
              <w:rPr>
                <w:rFonts w:ascii="Arial"/>
                <w:sz w:val="22"/>
              </w:rPr>
            </w:r>
          </w:p>
        </w:tc>
      </w:tr>
    </w:tbl>
    <w:p>
      <w:pPr>
        <w:spacing w:line="240" w:lineRule="auto" w:before="9"/>
        <w:rPr>
          <w:rFonts w:ascii="宋体" w:hAnsi="宋体" w:cs="宋体" w:eastAsia="宋体" w:hint="default"/>
          <w:sz w:val="10"/>
          <w:szCs w:val="10"/>
        </w:rPr>
      </w:pPr>
    </w:p>
    <w:p>
      <w:pPr>
        <w:pStyle w:val="BodyText"/>
        <w:tabs>
          <w:tab w:pos="3080" w:val="left" w:leader="none"/>
          <w:tab w:pos="5194" w:val="left" w:leader="none"/>
          <w:tab w:pos="6423" w:val="left" w:leader="none"/>
          <w:tab w:pos="8630" w:val="left" w:leader="none"/>
        </w:tabs>
        <w:spacing w:line="240" w:lineRule="auto" w:before="27"/>
        <w:ind w:left="561" w:right="109"/>
        <w:jc w:val="left"/>
        <w:rPr>
          <w:rFonts w:ascii="Arial" w:hAnsi="Arial" w:cs="Arial" w:eastAsia="Arial" w:hint="default"/>
        </w:rPr>
      </w:pPr>
      <w:r>
        <w:rPr>
          <w:w w:val="95"/>
          <w:position w:val="2"/>
        </w:rPr>
        <w:t>合计</w:t>
        <w:tab/>
      </w:r>
      <w:r>
        <w:rPr>
          <w:rFonts w:ascii="Arial" w:hAnsi="Arial" w:cs="Arial" w:eastAsia="Arial" w:hint="default"/>
          <w:spacing w:val="-1"/>
        </w:rPr>
        <w:t>1,853,329,628</w:t>
        <w:tab/>
      </w:r>
      <w:r>
        <w:rPr>
          <w:rFonts w:ascii="Arial" w:hAnsi="Arial" w:cs="Arial" w:eastAsia="Arial" w:hint="default"/>
          <w:w w:val="95"/>
        </w:rPr>
        <w:t>100.00%</w:t>
        <w:tab/>
      </w:r>
      <w:r>
        <w:rPr>
          <w:rFonts w:ascii="Arial" w:hAnsi="Arial" w:cs="Arial" w:eastAsia="Arial" w:hint="default"/>
          <w:spacing w:val="-1"/>
        </w:rPr>
        <w:t>1,765,876,331</w:t>
        <w:tab/>
      </w:r>
      <w:r>
        <w:rPr>
          <w:rFonts w:ascii="Arial" w:hAnsi="Arial" w:cs="Arial" w:eastAsia="Arial" w:hint="default"/>
        </w:rPr>
        <w:t>100.00%</w:t>
      </w:r>
    </w:p>
    <w:p>
      <w:pPr>
        <w:spacing w:line="43" w:lineRule="exact"/>
        <w:ind w:left="2966" w:right="0" w:firstLine="0"/>
        <w:rPr>
          <w:rFonts w:ascii="Arial" w:hAnsi="Arial" w:cs="Arial" w:eastAsia="Arial" w:hint="default"/>
          <w:sz w:val="4"/>
          <w:szCs w:val="4"/>
        </w:rPr>
      </w:pPr>
      <w:r>
        <w:rPr>
          <w:rFonts w:ascii="Arial"/>
          <w:position w:val="0"/>
          <w:sz w:val="4"/>
        </w:rPr>
        <w:pict>
          <v:group style="width:82.8pt;height:2.2pt;mso-position-horizontal-relative:char;mso-position-vertical-relative:line" coordorigin="0,0" coordsize="1656,44">
            <v:group style="position:absolute;left:7;top:36;width:1642;height:2" coordorigin="7,36" coordsize="1642,2">
              <v:shape style="position:absolute;left:7;top:36;width:1642;height:2" coordorigin="7,36" coordsize="1642,0" path="m7,36l1649,36e" filled="false" stroked="true" strokeweight=".72pt" strokecolor="#000000">
                <v:path arrowok="t"/>
              </v:shape>
            </v:group>
            <v:group style="position:absolute;left:7;top:7;width:1642;height:2" coordorigin="7,7" coordsize="1642,2">
              <v:shape style="position:absolute;left:7;top:7;width:1642;height:2" coordorigin="7,7" coordsize="1642,0" path="m7,7l1649,7e" filled="false" stroked="true" strokeweight=".72pt" strokecolor="#000000">
                <v:path arrowok="t"/>
              </v:shape>
            </v:group>
          </v:group>
        </w:pict>
      </w:r>
      <w:r>
        <w:rPr>
          <w:rFonts w:ascii="Arial"/>
          <w:position w:val="0"/>
          <w:sz w:val="4"/>
        </w:rPr>
      </w:r>
      <w:r>
        <w:rPr>
          <w:rFonts w:ascii="Times New Roman"/>
          <w:spacing w:val="97"/>
          <w:position w:val="0"/>
          <w:sz w:val="4"/>
        </w:rPr>
        <w:t> </w:t>
      </w:r>
      <w:r>
        <w:rPr>
          <w:rFonts w:ascii="Arial"/>
          <w:spacing w:val="97"/>
          <w:position w:val="0"/>
          <w:sz w:val="4"/>
        </w:rPr>
        <w:pict>
          <v:group style="width:71.2pt;height:2.2pt;mso-position-horizontal-relative:char;mso-position-vertical-relative:line" coordorigin="0,0" coordsize="1424,44">
            <v:group style="position:absolute;left:7;top:36;width:1409;height:2" coordorigin="7,36" coordsize="1409,2">
              <v:shape style="position:absolute;left:7;top:36;width:1409;height:2" coordorigin="7,36" coordsize="1409,0" path="m7,36l1416,36e" filled="false" stroked="true" strokeweight=".72pt" strokecolor="#000000">
                <v:path arrowok="t"/>
              </v:shape>
            </v:group>
            <v:group style="position:absolute;left:7;top:7;width:1409;height:2" coordorigin="7,7" coordsize="1409,2">
              <v:shape style="position:absolute;left:7;top:7;width:1409;height:2" coordorigin="7,7" coordsize="1409,0" path="m7,7l1416,7e" filled="false" stroked="true" strokeweight=".72pt" strokecolor="#000000">
                <v:path arrowok="t"/>
              </v:shape>
            </v:group>
          </v:group>
        </w:pict>
      </w:r>
      <w:r>
        <w:rPr>
          <w:rFonts w:ascii="Arial"/>
          <w:spacing w:val="97"/>
          <w:position w:val="0"/>
          <w:sz w:val="4"/>
        </w:rPr>
      </w:r>
      <w:r>
        <w:rPr>
          <w:rFonts w:ascii="Times New Roman"/>
          <w:spacing w:val="136"/>
          <w:position w:val="0"/>
          <w:sz w:val="4"/>
        </w:rPr>
        <w:t> </w:t>
      </w:r>
      <w:r>
        <w:rPr>
          <w:rFonts w:ascii="Arial"/>
          <w:spacing w:val="136"/>
          <w:position w:val="0"/>
          <w:sz w:val="4"/>
        </w:rPr>
        <w:pict>
          <v:group style="width:79.150pt;height:2.2pt;mso-position-horizontal-relative:char;mso-position-vertical-relative:line" coordorigin="0,0" coordsize="1583,44">
            <v:group style="position:absolute;left:7;top:36;width:1569;height:2" coordorigin="7,36" coordsize="1569,2">
              <v:shape style="position:absolute;left:7;top:36;width:1569;height:2" coordorigin="7,36" coordsize="1569,0" path="m7,36l1576,36e" filled="false" stroked="true" strokeweight=".72pt" strokecolor="#000000">
                <v:path arrowok="t"/>
              </v:shape>
            </v:group>
            <v:group style="position:absolute;left:7;top:7;width:1569;height:2" coordorigin="7,7" coordsize="1569,2">
              <v:shape style="position:absolute;left:7;top:7;width:1569;height:2" coordorigin="7,7" coordsize="1569,0" path="m7,7l1576,7e" filled="false" stroked="true" strokeweight=".72pt" strokecolor="#000000">
                <v:path arrowok="t"/>
              </v:shape>
            </v:group>
          </v:group>
        </w:pict>
      </w:r>
      <w:r>
        <w:rPr>
          <w:rFonts w:ascii="Arial"/>
          <w:spacing w:val="136"/>
          <w:position w:val="0"/>
          <w:sz w:val="4"/>
        </w:rPr>
      </w:r>
      <w:r>
        <w:rPr>
          <w:rFonts w:ascii="Times New Roman"/>
          <w:spacing w:val="109"/>
          <w:position w:val="0"/>
          <w:sz w:val="4"/>
        </w:rPr>
        <w:t> </w:t>
      </w:r>
      <w:r>
        <w:rPr>
          <w:rFonts w:ascii="Arial"/>
          <w:spacing w:val="109"/>
          <w:position w:val="0"/>
          <w:sz w:val="4"/>
        </w:rPr>
        <w:pict>
          <v:group style="width:76.350pt;height:2.2pt;mso-position-horizontal-relative:char;mso-position-vertical-relative:line" coordorigin="0,0" coordsize="1527,44">
            <v:group style="position:absolute;left:7;top:36;width:1512;height:2" coordorigin="7,36" coordsize="1512,2">
              <v:shape style="position:absolute;left:7;top:36;width:1512;height:2" coordorigin="7,36" coordsize="1512,0" path="m7,36l1519,36e" filled="false" stroked="true" strokeweight=".72pt" strokecolor="#000000">
                <v:path arrowok="t"/>
              </v:shape>
            </v:group>
            <v:group style="position:absolute;left:7;top:7;width:1512;height:2" coordorigin="7,7" coordsize="1512,2">
              <v:shape style="position:absolute;left:7;top:7;width:1512;height:2" coordorigin="7,7" coordsize="1512,0" path="m7,7l1519,7e" filled="false" stroked="true" strokeweight=".72pt" strokecolor="#000000">
                <v:path arrowok="t"/>
              </v:shape>
            </v:group>
          </v:group>
        </w:pict>
      </w:r>
      <w:r>
        <w:rPr>
          <w:rFonts w:ascii="Arial"/>
          <w:spacing w:val="109"/>
          <w:position w:val="0"/>
          <w:sz w:val="4"/>
        </w:rPr>
      </w:r>
    </w:p>
    <w:p>
      <w:pPr>
        <w:spacing w:after="0" w:line="43" w:lineRule="exact"/>
        <w:rPr>
          <w:rFonts w:ascii="Arial" w:hAnsi="Arial" w:cs="Arial" w:eastAsia="Arial" w:hint="default"/>
          <w:sz w:val="4"/>
          <w:szCs w:val="4"/>
        </w:rPr>
        <w:sectPr>
          <w:type w:val="continuous"/>
          <w:pgSz w:w="11910" w:h="16840"/>
          <w:pgMar w:top="1600" w:bottom="280" w:left="1280" w:right="920"/>
        </w:sectPr>
      </w:pPr>
    </w:p>
    <w:p>
      <w:pPr>
        <w:spacing w:line="240" w:lineRule="auto" w:before="11"/>
        <w:rPr>
          <w:rFonts w:ascii="Arial" w:hAnsi="Arial" w:cs="Arial" w:eastAsia="Arial" w:hint="default"/>
          <w:sz w:val="16"/>
          <w:szCs w:val="16"/>
        </w:rPr>
      </w:pPr>
    </w:p>
    <w:p>
      <w:pPr>
        <w:pStyle w:val="BodyText"/>
        <w:spacing w:line="240" w:lineRule="auto" w:before="31"/>
        <w:ind w:left="116" w:right="337"/>
        <w:jc w:val="left"/>
        <w:rPr>
          <w:rFonts w:ascii="黑体" w:hAnsi="黑体" w:cs="黑体" w:eastAsia="黑体" w:hint="default"/>
        </w:rPr>
      </w:pPr>
      <w:r>
        <w:rPr>
          <w:rFonts w:ascii="Arial" w:hAnsi="Arial" w:cs="Arial" w:eastAsia="Arial" w:hint="default"/>
        </w:rPr>
        <w:t>5</w:t>
      </w:r>
      <w:r>
        <w:rPr>
          <w:rFonts w:ascii="黑体" w:hAnsi="黑体" w:cs="黑体" w:eastAsia="黑体" w:hint="default"/>
        </w:rPr>
        <w:t>、</w:t>
      </w:r>
      <w:r>
        <w:rPr>
          <w:rFonts w:ascii="黑体" w:hAnsi="黑体" w:cs="黑体" w:eastAsia="黑体" w:hint="default"/>
          <w:spacing w:val="-49"/>
        </w:rPr>
        <w:t> </w:t>
      </w:r>
      <w:r>
        <w:rPr>
          <w:rFonts w:ascii="黑体" w:hAnsi="黑体" w:cs="黑体" w:eastAsia="黑体" w:hint="default"/>
        </w:rPr>
        <w:t>预付款项（续）</w:t>
      </w:r>
    </w:p>
    <w:p>
      <w:pPr>
        <w:spacing w:line="240" w:lineRule="auto" w:before="13"/>
        <w:rPr>
          <w:rFonts w:ascii="黑体" w:hAnsi="黑体" w:cs="黑体" w:eastAsia="黑体" w:hint="default"/>
          <w:sz w:val="17"/>
          <w:szCs w:val="17"/>
        </w:rPr>
      </w:pPr>
    </w:p>
    <w:p>
      <w:pPr>
        <w:pStyle w:val="BodyText"/>
        <w:spacing w:line="240" w:lineRule="auto"/>
        <w:ind w:left="116" w:right="337"/>
        <w:jc w:val="left"/>
      </w:pPr>
      <w:r>
        <w:rPr>
          <w:rFonts w:ascii="Arial" w:hAnsi="Arial" w:cs="Arial" w:eastAsia="Arial" w:hint="default"/>
        </w:rPr>
        <w:t>(a) </w:t>
      </w:r>
      <w:r>
        <w:rPr>
          <w:rFonts w:ascii="Arial" w:hAnsi="Arial" w:cs="Arial" w:eastAsia="Arial" w:hint="default"/>
          <w:spacing w:val="12"/>
        </w:rPr>
        <w:t> </w:t>
      </w:r>
      <w:r>
        <w:rPr/>
        <w:t>本集团预付款项账龄分析如下（续）：</w:t>
      </w:r>
    </w:p>
    <w:p>
      <w:pPr>
        <w:spacing w:line="240" w:lineRule="auto" w:before="12"/>
        <w:rPr>
          <w:rFonts w:ascii="宋体" w:hAnsi="宋体" w:cs="宋体" w:eastAsia="宋体" w:hint="default"/>
          <w:sz w:val="17"/>
          <w:szCs w:val="17"/>
        </w:rPr>
      </w:pPr>
    </w:p>
    <w:p>
      <w:pPr>
        <w:pStyle w:val="BodyText"/>
        <w:spacing w:line="295" w:lineRule="exact"/>
        <w:ind w:left="550" w:right="100"/>
        <w:jc w:val="left"/>
        <w:rPr>
          <w:rFonts w:ascii="Arial" w:hAnsi="Arial" w:cs="Arial" w:eastAsia="Arial" w:hint="default"/>
        </w:rPr>
      </w:pPr>
      <w:r>
        <w:rPr/>
        <w:t>于</w:t>
      </w:r>
      <w:r>
        <w:rPr>
          <w:spacing w:val="-48"/>
        </w:rPr>
        <w:t> </w:t>
      </w:r>
      <w:r>
        <w:rPr>
          <w:rFonts w:ascii="Arial" w:hAnsi="Arial" w:cs="Arial" w:eastAsia="Arial" w:hint="default"/>
        </w:rPr>
        <w:t>2009</w:t>
      </w:r>
      <w:r>
        <w:rPr>
          <w:rFonts w:ascii="Arial" w:hAnsi="Arial" w:cs="Arial" w:eastAsia="Arial" w:hint="default"/>
          <w:spacing w:val="3"/>
        </w:rPr>
        <w:t> </w:t>
      </w:r>
      <w:r>
        <w:rPr/>
        <w:t>年</w:t>
      </w:r>
      <w:r>
        <w:rPr>
          <w:spacing w:val="-47"/>
        </w:rPr>
        <w:t> </w:t>
      </w:r>
      <w:r>
        <w:rPr>
          <w:rFonts w:ascii="Arial" w:hAnsi="Arial" w:cs="Arial" w:eastAsia="Arial" w:hint="default"/>
        </w:rPr>
        <w:t>12</w:t>
      </w:r>
      <w:r>
        <w:rPr>
          <w:rFonts w:ascii="Arial" w:hAnsi="Arial" w:cs="Arial" w:eastAsia="Arial" w:hint="default"/>
          <w:spacing w:val="1"/>
        </w:rPr>
        <w:t> </w:t>
      </w:r>
      <w:r>
        <w:rPr/>
        <w:t>月</w:t>
      </w:r>
      <w:r>
        <w:rPr>
          <w:spacing w:val="-48"/>
        </w:rPr>
        <w:t> </w:t>
      </w:r>
      <w:r>
        <w:rPr>
          <w:rFonts w:ascii="Arial" w:hAnsi="Arial" w:cs="Arial" w:eastAsia="Arial" w:hint="default"/>
        </w:rPr>
        <w:t>31</w:t>
      </w:r>
      <w:r>
        <w:rPr>
          <w:rFonts w:ascii="Arial" w:hAnsi="Arial" w:cs="Arial" w:eastAsia="Arial" w:hint="default"/>
          <w:spacing w:val="1"/>
        </w:rPr>
        <w:t> </w:t>
      </w:r>
      <w:r>
        <w:rPr/>
        <w:t>日，账龄超过</w:t>
      </w:r>
      <w:r>
        <w:rPr>
          <w:spacing w:val="-46"/>
        </w:rPr>
        <w:t> </w:t>
      </w:r>
      <w:r>
        <w:rPr>
          <w:rFonts w:ascii="Arial" w:hAnsi="Arial" w:cs="Arial" w:eastAsia="Arial" w:hint="default"/>
        </w:rPr>
        <w:t>1</w:t>
      </w:r>
      <w:r>
        <w:rPr>
          <w:rFonts w:ascii="Arial" w:hAnsi="Arial" w:cs="Arial" w:eastAsia="Arial" w:hint="default"/>
          <w:spacing w:val="1"/>
        </w:rPr>
        <w:t> </w:t>
      </w:r>
      <w:r>
        <w:rPr/>
        <w:t>年的预付款项约为人民币</w:t>
      </w:r>
      <w:r>
        <w:rPr>
          <w:spacing w:val="-47"/>
        </w:rPr>
        <w:t> </w:t>
      </w:r>
      <w:r>
        <w:rPr>
          <w:rFonts w:ascii="Arial" w:hAnsi="Arial" w:cs="Arial" w:eastAsia="Arial" w:hint="default"/>
        </w:rPr>
        <w:t>9,467</w:t>
      </w:r>
      <w:r>
        <w:rPr>
          <w:rFonts w:ascii="Arial" w:hAnsi="Arial" w:cs="Arial" w:eastAsia="Arial" w:hint="default"/>
          <w:spacing w:val="3"/>
        </w:rPr>
        <w:t> </w:t>
      </w:r>
      <w:r>
        <w:rPr/>
        <w:t>万元（</w:t>
      </w:r>
      <w:r>
        <w:rPr>
          <w:rFonts w:ascii="Arial" w:hAnsi="Arial" w:cs="Arial" w:eastAsia="Arial" w:hint="default"/>
        </w:rPr>
        <w:t>2008</w:t>
      </w:r>
      <w:r>
        <w:rPr>
          <w:rFonts w:ascii="Arial" w:hAnsi="Arial" w:cs="Arial" w:eastAsia="Arial" w:hint="default"/>
          <w:spacing w:val="3"/>
        </w:rPr>
        <w:t> </w:t>
      </w:r>
      <w:r>
        <w:rPr/>
        <w:t>年</w:t>
      </w:r>
      <w:r>
        <w:rPr>
          <w:spacing w:val="-48"/>
        </w:rPr>
        <w:t> </w:t>
      </w:r>
      <w:r>
        <w:rPr>
          <w:rFonts w:ascii="Arial" w:hAnsi="Arial" w:cs="Arial" w:eastAsia="Arial" w:hint="default"/>
        </w:rPr>
        <w:t>12</w:t>
      </w:r>
      <w:r>
        <w:rPr>
          <w:rFonts w:ascii="Arial" w:hAnsi="Arial" w:cs="Arial" w:eastAsia="Arial" w:hint="default"/>
          <w:spacing w:val="3"/>
        </w:rPr>
        <w:t> </w:t>
      </w:r>
      <w:r>
        <w:rPr/>
        <w:t>月</w:t>
      </w:r>
      <w:r>
        <w:rPr>
          <w:spacing w:val="-48"/>
        </w:rPr>
        <w:t> </w:t>
      </w:r>
      <w:r>
        <w:rPr>
          <w:rFonts w:ascii="Arial" w:hAnsi="Arial" w:cs="Arial" w:eastAsia="Arial" w:hint="default"/>
        </w:rPr>
        <w:t>31</w:t>
      </w:r>
    </w:p>
    <w:p>
      <w:pPr>
        <w:pStyle w:val="BodyText"/>
        <w:spacing w:line="286" w:lineRule="exact" w:before="19"/>
        <w:ind w:left="550" w:right="252"/>
        <w:jc w:val="left"/>
      </w:pPr>
      <w:r>
        <w:rPr/>
        <w:t>日：约人民币</w:t>
      </w:r>
      <w:r>
        <w:rPr>
          <w:spacing w:val="-58"/>
        </w:rPr>
        <w:t> </w:t>
      </w:r>
      <w:r>
        <w:rPr>
          <w:rFonts w:ascii="Arial" w:hAnsi="Arial" w:cs="Arial" w:eastAsia="Arial" w:hint="default"/>
        </w:rPr>
        <w:t>5,406</w:t>
      </w:r>
      <w:r>
        <w:rPr>
          <w:rFonts w:ascii="Arial" w:hAnsi="Arial" w:cs="Arial" w:eastAsia="Arial" w:hint="default"/>
          <w:spacing w:val="-9"/>
        </w:rPr>
        <w:t> </w:t>
      </w:r>
      <w:r>
        <w:rPr/>
        <w:t>万元），主要为一些执行期限超过</w:t>
      </w:r>
      <w:r>
        <w:rPr>
          <w:spacing w:val="-58"/>
        </w:rPr>
        <w:t> </w:t>
      </w:r>
      <w:r>
        <w:rPr>
          <w:rFonts w:ascii="Arial" w:hAnsi="Arial" w:cs="Arial" w:eastAsia="Arial" w:hint="default"/>
        </w:rPr>
        <w:t>1</w:t>
      </w:r>
      <w:r>
        <w:rPr>
          <w:rFonts w:ascii="Arial" w:hAnsi="Arial" w:cs="Arial" w:eastAsia="Arial" w:hint="default"/>
          <w:spacing w:val="-8"/>
        </w:rPr>
        <w:t> </w:t>
      </w:r>
      <w:r>
        <w:rPr/>
        <w:t>年的预付购货款等，因为合同执行期</w:t>
      </w:r>
      <w:r>
        <w:rPr>
          <w:w w:val="99"/>
        </w:rPr>
        <w:t> </w:t>
      </w:r>
      <w:r>
        <w:rPr/>
        <w:t>限超过一年，该款项尚未结清。</w:t>
      </w:r>
    </w:p>
    <w:p>
      <w:pPr>
        <w:spacing w:line="240" w:lineRule="auto" w:before="1"/>
        <w:rPr>
          <w:rFonts w:ascii="宋体" w:hAnsi="宋体" w:cs="宋体" w:eastAsia="宋体" w:hint="default"/>
          <w:sz w:val="17"/>
          <w:szCs w:val="17"/>
        </w:rPr>
      </w:pPr>
    </w:p>
    <w:p>
      <w:pPr>
        <w:pStyle w:val="BodyText"/>
        <w:spacing w:line="240" w:lineRule="auto"/>
        <w:ind w:left="102" w:right="337"/>
        <w:jc w:val="left"/>
      </w:pPr>
      <w:r>
        <w:rPr>
          <w:rFonts w:ascii="Arial" w:hAnsi="Arial" w:cs="Arial" w:eastAsia="Arial" w:hint="default"/>
        </w:rPr>
        <w:t>(b) </w:t>
      </w:r>
      <w:r>
        <w:rPr>
          <w:rFonts w:ascii="Arial" w:hAnsi="Arial" w:cs="Arial" w:eastAsia="Arial" w:hint="default"/>
          <w:spacing w:val="27"/>
        </w:rPr>
        <w:t> </w:t>
      </w: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日，余额前五名的预付款项分析如下：</w:t>
      </w:r>
    </w:p>
    <w:p>
      <w:pPr>
        <w:spacing w:line="240" w:lineRule="auto" w:before="5"/>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headerReference w:type="default" r:id="rId84"/>
          <w:pgSz w:w="11910" w:h="16840"/>
          <w:pgMar w:header="1189" w:footer="752" w:top="3060" w:bottom="940" w:left="1280" w:right="780"/>
        </w:sectPr>
      </w:pPr>
    </w:p>
    <w:p>
      <w:pPr>
        <w:spacing w:line="240" w:lineRule="auto" w:before="10"/>
        <w:rPr>
          <w:rFonts w:ascii="宋体" w:hAnsi="宋体" w:cs="宋体" w:eastAsia="宋体" w:hint="default"/>
          <w:sz w:val="22"/>
          <w:szCs w:val="22"/>
        </w:rPr>
      </w:pPr>
    </w:p>
    <w:p>
      <w:pPr>
        <w:tabs>
          <w:tab w:pos="4797" w:val="left" w:leader="none"/>
        </w:tabs>
        <w:spacing w:before="0"/>
        <w:ind w:left="2664" w:right="-19" w:firstLine="0"/>
        <w:jc w:val="left"/>
        <w:rPr>
          <w:rFonts w:ascii="宋体" w:hAnsi="宋体" w:cs="宋体" w:eastAsia="宋体" w:hint="default"/>
          <w:sz w:val="20"/>
          <w:szCs w:val="20"/>
        </w:rPr>
      </w:pPr>
      <w:r>
        <w:rPr>
          <w:rFonts w:ascii="宋体" w:hAnsi="宋体" w:cs="宋体" w:eastAsia="宋体" w:hint="default"/>
          <w:spacing w:val="-1"/>
          <w:sz w:val="20"/>
          <w:szCs w:val="20"/>
        </w:rPr>
        <w:t>与本集团关系</w:t>
        <w:tab/>
      </w:r>
      <w:r>
        <w:rPr>
          <w:rFonts w:ascii="宋体" w:hAnsi="宋体" w:cs="宋体" w:eastAsia="宋体" w:hint="default"/>
          <w:sz w:val="20"/>
          <w:szCs w:val="20"/>
        </w:rPr>
        <w:t>金额</w:t>
      </w:r>
    </w:p>
    <w:p>
      <w:pPr>
        <w:spacing w:line="260" w:lineRule="exact" w:before="38"/>
        <w:ind w:left="191" w:right="0" w:firstLine="0"/>
        <w:jc w:val="left"/>
        <w:rPr>
          <w:rFonts w:ascii="宋体" w:hAnsi="宋体" w:cs="宋体" w:eastAsia="宋体" w:hint="default"/>
          <w:sz w:val="20"/>
          <w:szCs w:val="20"/>
        </w:rPr>
      </w:pPr>
      <w:r>
        <w:rPr/>
        <w:br w:type="column"/>
      </w:r>
      <w:r>
        <w:rPr>
          <w:rFonts w:ascii="宋体" w:hAnsi="宋体" w:cs="宋体" w:eastAsia="宋体" w:hint="default"/>
          <w:sz w:val="20"/>
          <w:szCs w:val="20"/>
        </w:rPr>
        <w:t>占预付账款</w:t>
      </w:r>
    </w:p>
    <w:p>
      <w:pPr>
        <w:tabs>
          <w:tab w:pos="1817" w:val="left" w:leader="none"/>
          <w:tab w:pos="3063" w:val="left" w:leader="none"/>
        </w:tabs>
        <w:spacing w:line="260" w:lineRule="exact" w:before="0"/>
        <w:ind w:left="389" w:right="0" w:firstLine="0"/>
        <w:jc w:val="left"/>
        <w:rPr>
          <w:rFonts w:ascii="宋体" w:hAnsi="宋体" w:cs="宋体" w:eastAsia="宋体" w:hint="default"/>
          <w:sz w:val="20"/>
          <w:szCs w:val="20"/>
        </w:rPr>
      </w:pPr>
      <w:r>
        <w:rPr>
          <w:rFonts w:ascii="宋体" w:hAnsi="宋体" w:cs="宋体" w:eastAsia="宋体" w:hint="default"/>
          <w:sz w:val="20"/>
          <w:szCs w:val="20"/>
        </w:rPr>
        <w:t>总额比例</w:t>
        <w:tab/>
        <w:t>预付时间</w:t>
        <w:tab/>
        <w:t>未结算原因</w:t>
      </w:r>
    </w:p>
    <w:p>
      <w:pPr>
        <w:spacing w:after="0" w:line="260" w:lineRule="exact"/>
        <w:jc w:val="left"/>
        <w:rPr>
          <w:rFonts w:ascii="宋体" w:hAnsi="宋体" w:cs="宋体" w:eastAsia="宋体" w:hint="default"/>
          <w:sz w:val="20"/>
          <w:szCs w:val="20"/>
        </w:rPr>
        <w:sectPr>
          <w:type w:val="continuous"/>
          <w:pgSz w:w="11910" w:h="16840"/>
          <w:pgMar w:top="1600" w:bottom="280" w:left="1280" w:right="780"/>
          <w:cols w:num="2" w:equalWidth="0">
            <w:col w:w="5199" w:space="40"/>
            <w:col w:w="4611"/>
          </w:cols>
        </w:sectPr>
      </w:pPr>
    </w:p>
    <w:p>
      <w:pPr>
        <w:spacing w:line="240" w:lineRule="auto" w:before="3"/>
        <w:rPr>
          <w:rFonts w:ascii="宋体" w:hAnsi="宋体" w:cs="宋体" w:eastAsia="宋体" w:hint="default"/>
          <w:sz w:val="2"/>
          <w:szCs w:val="2"/>
        </w:rPr>
      </w:pPr>
    </w:p>
    <w:p>
      <w:pPr>
        <w:spacing w:line="20" w:lineRule="exact"/>
        <w:ind w:left="2215" w:right="0" w:firstLine="0"/>
        <w:rPr>
          <w:rFonts w:ascii="宋体" w:hAnsi="宋体" w:cs="宋体" w:eastAsia="宋体" w:hint="default"/>
          <w:sz w:val="2"/>
          <w:szCs w:val="2"/>
        </w:rPr>
      </w:pPr>
      <w:r>
        <w:rPr>
          <w:rFonts w:ascii="宋体"/>
          <w:sz w:val="2"/>
        </w:rPr>
        <w:pict>
          <v:group style="width:82.65pt;height:.75pt;mso-position-horizontal-relative:char;mso-position-vertical-relative:line" coordorigin="0,0" coordsize="1653,15">
            <v:group style="position:absolute;left:7;top:7;width:1638;height:2" coordorigin="7,7" coordsize="1638,2">
              <v:shape style="position:absolute;left:7;top:7;width:1638;height:2" coordorigin="7,7" coordsize="1638,0" path="m7,7l1645,7e" filled="false" stroked="true" strokeweight=".72pt" strokecolor="#000000">
                <v:path arrowok="t"/>
              </v:shape>
            </v:group>
          </v:group>
        </w:pict>
      </w:r>
      <w:r>
        <w:rPr>
          <w:rFonts w:ascii="宋体"/>
          <w:sz w:val="2"/>
        </w:rPr>
      </w:r>
      <w:r>
        <w:rPr>
          <w:rFonts w:ascii="Times New Roman"/>
          <w:spacing w:val="61"/>
          <w:sz w:val="2"/>
        </w:rPr>
        <w:t> </w:t>
      </w:r>
      <w:r>
        <w:rPr>
          <w:rFonts w:ascii="宋体"/>
          <w:spacing w:val="61"/>
          <w:sz w:val="2"/>
        </w:rPr>
        <w:pict>
          <v:group style="width:67.95pt;height:.75pt;mso-position-horizontal-relative:char;mso-position-vertical-relative:line" coordorigin="0,0" coordsize="1359,15">
            <v:group style="position:absolute;left:7;top:7;width:1344;height:2" coordorigin="7,7" coordsize="1344,2">
              <v:shape style="position:absolute;left:7;top:7;width:1344;height:2" coordorigin="7,7" coordsize="1344,0" path="m7,7l1351,7e" filled="false" stroked="true" strokeweight=".72pt" strokecolor="#000000">
                <v:path arrowok="t"/>
              </v:shape>
            </v:group>
          </v:group>
        </w:pict>
      </w:r>
      <w:r>
        <w:rPr>
          <w:rFonts w:ascii="宋体"/>
          <w:spacing w:val="61"/>
          <w:sz w:val="2"/>
        </w:rPr>
      </w:r>
      <w:r>
        <w:rPr>
          <w:rFonts w:ascii="Times New Roman"/>
          <w:spacing w:val="61"/>
          <w:sz w:val="2"/>
        </w:rPr>
        <w:t> </w:t>
      </w:r>
      <w:r>
        <w:rPr>
          <w:rFonts w:ascii="宋体"/>
          <w:spacing w:val="61"/>
          <w:sz w:val="2"/>
        </w:rPr>
        <w:pict>
          <v:group style="width:58.1pt;height:.75pt;mso-position-horizontal-relative:char;mso-position-vertical-relative:line" coordorigin="0,0" coordsize="1162,15">
            <v:group style="position:absolute;left:7;top:7;width:1148;height:2" coordorigin="7,7" coordsize="1148,2">
              <v:shape style="position:absolute;left:7;top:7;width:1148;height:2" coordorigin="7,7" coordsize="1148,0" path="m7,7l1154,7e" filled="false" stroked="true" strokeweight=".72pt" strokecolor="#000000">
                <v:path arrowok="t"/>
              </v:shape>
            </v:group>
          </v:group>
        </w:pict>
      </w:r>
      <w:r>
        <w:rPr>
          <w:rFonts w:ascii="宋体"/>
          <w:spacing w:val="61"/>
          <w:sz w:val="2"/>
        </w:rPr>
      </w:r>
      <w:r>
        <w:rPr>
          <w:rFonts w:ascii="Times New Roman"/>
          <w:spacing w:val="61"/>
          <w:sz w:val="2"/>
        </w:rPr>
        <w:t> </w:t>
      </w:r>
      <w:r>
        <w:rPr>
          <w:rFonts w:ascii="宋体"/>
          <w:spacing w:val="61"/>
          <w:sz w:val="2"/>
        </w:rPr>
        <w:pict>
          <v:group style="width:68.650pt;height:.75pt;mso-position-horizontal-relative:char;mso-position-vertical-relative:line" coordorigin="0,0" coordsize="1373,15">
            <v:group style="position:absolute;left:7;top:7;width:1359;height:2" coordorigin="7,7" coordsize="1359,2">
              <v:shape style="position:absolute;left:7;top:7;width:1359;height:2" coordorigin="7,7" coordsize="1359,0" path="m7,7l1366,7e" filled="false" stroked="true" strokeweight=".72pt" strokecolor="#000000">
                <v:path arrowok="t"/>
              </v:shape>
            </v:group>
          </v:group>
        </w:pict>
      </w:r>
      <w:r>
        <w:rPr>
          <w:rFonts w:ascii="宋体"/>
          <w:spacing w:val="61"/>
          <w:sz w:val="2"/>
        </w:rPr>
      </w:r>
      <w:r>
        <w:rPr>
          <w:rFonts w:ascii="Times New Roman"/>
          <w:spacing w:val="61"/>
          <w:sz w:val="2"/>
        </w:rPr>
        <w:t> </w:t>
      </w:r>
      <w:r>
        <w:rPr>
          <w:rFonts w:ascii="宋体"/>
          <w:spacing w:val="61"/>
          <w:sz w:val="2"/>
        </w:rPr>
        <w:pict>
          <v:group style="width:75.5pt;height:.75pt;mso-position-horizontal-relative:char;mso-position-vertical-relative:line" coordorigin="0,0" coordsize="1510,15">
            <v:group style="position:absolute;left:7;top:7;width:1496;height:2" coordorigin="7,7" coordsize="1496,2">
              <v:shape style="position:absolute;left:7;top:7;width:1496;height:2" coordorigin="7,7" coordsize="1496,0" path="m7,7l1502,7e" filled="false" stroked="true" strokeweight=".72pt" strokecolor="#000000">
                <v:path arrowok="t"/>
              </v:shape>
            </v:group>
          </v:group>
        </w:pict>
      </w:r>
      <w:r>
        <w:rPr>
          <w:rFonts w:ascii="宋体"/>
          <w:spacing w:val="61"/>
          <w:sz w:val="2"/>
        </w:rPr>
      </w:r>
    </w:p>
    <w:p>
      <w:pPr>
        <w:spacing w:line="240" w:lineRule="auto" w:before="10"/>
        <w:rPr>
          <w:rFonts w:ascii="宋体" w:hAnsi="宋体" w:cs="宋体" w:eastAsia="宋体" w:hint="default"/>
          <w:sz w:val="11"/>
          <w:szCs w:val="11"/>
        </w:rPr>
      </w:pPr>
    </w:p>
    <w:tbl>
      <w:tblPr>
        <w:tblW w:w="0" w:type="auto"/>
        <w:jc w:val="left"/>
        <w:tblInd w:w="526" w:type="dxa"/>
        <w:tblLayout w:type="fixed"/>
        <w:tblCellMar>
          <w:top w:w="0" w:type="dxa"/>
          <w:left w:w="0" w:type="dxa"/>
          <w:bottom w:w="0" w:type="dxa"/>
          <w:right w:w="0" w:type="dxa"/>
        </w:tblCellMar>
        <w:tblLook w:val="01E0"/>
      </w:tblPr>
      <w:tblGrid>
        <w:gridCol w:w="1390"/>
        <w:gridCol w:w="2021"/>
        <w:gridCol w:w="1393"/>
        <w:gridCol w:w="1196"/>
        <w:gridCol w:w="1424"/>
        <w:gridCol w:w="1547"/>
      </w:tblGrid>
      <w:tr>
        <w:trPr>
          <w:trHeight w:val="601" w:hRule="exact"/>
        </w:trPr>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52" w:right="0"/>
              <w:jc w:val="left"/>
              <w:rPr>
                <w:rFonts w:ascii="宋体" w:hAnsi="宋体" w:cs="宋体" w:eastAsia="宋体" w:hint="default"/>
                <w:sz w:val="20"/>
                <w:szCs w:val="20"/>
              </w:rPr>
            </w:pPr>
            <w:r>
              <w:rPr>
                <w:rFonts w:ascii="宋体" w:hAnsi="宋体" w:cs="宋体" w:eastAsia="宋体" w:hint="default"/>
                <w:sz w:val="20"/>
                <w:szCs w:val="20"/>
              </w:rPr>
              <w:t>联通进出口</w:t>
            </w:r>
          </w:p>
        </w:tc>
        <w:tc>
          <w:tcPr>
            <w:tcW w:w="202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254" w:right="0"/>
              <w:jc w:val="center"/>
              <w:rPr>
                <w:rFonts w:ascii="宋体" w:hAnsi="宋体" w:cs="宋体" w:eastAsia="宋体" w:hint="default"/>
                <w:sz w:val="20"/>
                <w:szCs w:val="20"/>
              </w:rPr>
            </w:pPr>
            <w:r>
              <w:rPr>
                <w:rFonts w:ascii="宋体" w:hAnsi="宋体" w:cs="宋体" w:eastAsia="宋体" w:hint="default"/>
                <w:sz w:val="20"/>
                <w:szCs w:val="20"/>
              </w:rPr>
              <w:t>同受联通集团控制</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7"/>
                <w:szCs w:val="27"/>
              </w:rPr>
            </w:pPr>
          </w:p>
          <w:p>
            <w:pPr>
              <w:pStyle w:val="TableParagraph"/>
              <w:spacing w:line="240" w:lineRule="auto"/>
              <w:ind w:left="127" w:right="0"/>
              <w:jc w:val="center"/>
              <w:rPr>
                <w:rFonts w:ascii="Arial" w:hAnsi="Arial" w:cs="Arial" w:eastAsia="Arial" w:hint="default"/>
                <w:sz w:val="20"/>
                <w:szCs w:val="20"/>
              </w:rPr>
            </w:pPr>
            <w:r>
              <w:rPr>
                <w:rFonts w:ascii="Arial"/>
                <w:sz w:val="20"/>
              </w:rPr>
              <w:t>70,143,058</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7"/>
                <w:szCs w:val="27"/>
              </w:rPr>
            </w:pPr>
          </w:p>
          <w:p>
            <w:pPr>
              <w:pStyle w:val="TableParagraph"/>
              <w:spacing w:line="240" w:lineRule="auto"/>
              <w:ind w:right="72"/>
              <w:jc w:val="right"/>
              <w:rPr>
                <w:rFonts w:ascii="Arial" w:hAnsi="Arial" w:cs="Arial" w:eastAsia="Arial" w:hint="default"/>
                <w:sz w:val="20"/>
                <w:szCs w:val="20"/>
              </w:rPr>
            </w:pPr>
            <w:r>
              <w:rPr>
                <w:rFonts w:ascii="Arial"/>
                <w:spacing w:val="-1"/>
                <w:sz w:val="20"/>
              </w:rPr>
              <w:t>3.79%</w:t>
            </w:r>
            <w:r>
              <w:rPr>
                <w:rFonts w:ascii="Arial"/>
                <w:sz w:val="20"/>
              </w:rPr>
            </w:r>
          </w:p>
        </w:tc>
        <w:tc>
          <w:tcPr>
            <w:tcW w:w="1424" w:type="dxa"/>
            <w:tcBorders>
              <w:top w:val="nil" w:sz="6" w:space="0" w:color="auto"/>
              <w:left w:val="nil" w:sz="6" w:space="0" w:color="auto"/>
              <w:bottom w:val="nil" w:sz="6" w:space="0" w:color="auto"/>
              <w:right w:val="nil" w:sz="6" w:space="0" w:color="auto"/>
            </w:tcBorders>
          </w:tcPr>
          <w:p>
            <w:pPr>
              <w:pStyle w:val="TableParagraph"/>
              <w:spacing w:line="268" w:lineRule="exact" w:before="38"/>
              <w:ind w:left="94" w:right="0"/>
              <w:jc w:val="left"/>
              <w:rPr>
                <w:rFonts w:ascii="Arial" w:hAnsi="Arial" w:cs="Arial" w:eastAsia="Arial"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w:t>
            </w:r>
            <w:r>
              <w:rPr>
                <w:rFonts w:ascii="Arial" w:hAnsi="Arial" w:cs="Arial" w:eastAsia="Arial" w:hint="default"/>
                <w:spacing w:val="-7"/>
                <w:sz w:val="20"/>
                <w:szCs w:val="20"/>
              </w:rPr>
              <w:t> </w:t>
            </w:r>
            <w:r>
              <w:rPr>
                <w:rFonts w:ascii="宋体" w:hAnsi="宋体" w:cs="宋体" w:eastAsia="宋体" w:hint="default"/>
                <w:sz w:val="20"/>
                <w:szCs w:val="20"/>
              </w:rPr>
              <w:t>月</w:t>
            </w:r>
            <w:r>
              <w:rPr>
                <w:rFonts w:ascii="Arial" w:hAnsi="Arial" w:cs="Arial" w:eastAsia="Arial" w:hint="default"/>
                <w:sz w:val="20"/>
                <w:szCs w:val="20"/>
              </w:rPr>
              <w:t>-</w:t>
            </w:r>
          </w:p>
          <w:p>
            <w:pPr>
              <w:pStyle w:val="TableParagraph"/>
              <w:spacing w:line="268" w:lineRule="exact"/>
              <w:ind w:left="94"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12</w:t>
            </w:r>
            <w:r>
              <w:rPr>
                <w:rFonts w:ascii="Arial" w:hAnsi="Arial" w:cs="Arial" w:eastAsia="Arial" w:hint="default"/>
                <w:spacing w:val="-7"/>
                <w:sz w:val="20"/>
                <w:szCs w:val="20"/>
              </w:rPr>
              <w:t> </w:t>
            </w:r>
            <w:r>
              <w:rPr>
                <w:rFonts w:ascii="宋体" w:hAnsi="宋体" w:cs="宋体" w:eastAsia="宋体" w:hint="default"/>
                <w:sz w:val="20"/>
                <w:szCs w:val="20"/>
              </w:rPr>
              <w:t>月</w:t>
            </w:r>
          </w:p>
        </w:tc>
        <w:tc>
          <w:tcPr>
            <w:tcW w:w="154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33"/>
              <w:jc w:val="right"/>
              <w:rPr>
                <w:rFonts w:ascii="宋体" w:hAnsi="宋体" w:cs="宋体" w:eastAsia="宋体" w:hint="default"/>
                <w:sz w:val="20"/>
                <w:szCs w:val="20"/>
              </w:rPr>
            </w:pPr>
            <w:r>
              <w:rPr>
                <w:rFonts w:ascii="宋体" w:hAnsi="宋体" w:cs="宋体" w:eastAsia="宋体" w:hint="default"/>
                <w:spacing w:val="-1"/>
                <w:sz w:val="20"/>
                <w:szCs w:val="20"/>
              </w:rPr>
              <w:t>约定业务未完成</w:t>
            </w:r>
          </w:p>
        </w:tc>
      </w:tr>
      <w:tr>
        <w:trPr>
          <w:trHeight w:val="259" w:hRule="exact"/>
        </w:trPr>
        <w:tc>
          <w:tcPr>
            <w:tcW w:w="1390" w:type="dxa"/>
            <w:tcBorders>
              <w:top w:val="nil" w:sz="6" w:space="0" w:color="auto"/>
              <w:left w:val="nil" w:sz="6" w:space="0" w:color="auto"/>
              <w:bottom w:val="nil" w:sz="6" w:space="0" w:color="auto"/>
              <w:right w:val="nil" w:sz="6" w:space="0" w:color="auto"/>
            </w:tcBorders>
          </w:tcPr>
          <w:p>
            <w:pPr>
              <w:pStyle w:val="TableParagraph"/>
              <w:spacing w:line="219" w:lineRule="exact"/>
              <w:ind w:left="35" w:right="0"/>
              <w:jc w:val="left"/>
              <w:rPr>
                <w:rFonts w:ascii="宋体" w:hAnsi="宋体" w:cs="宋体" w:eastAsia="宋体" w:hint="default"/>
                <w:sz w:val="20"/>
                <w:szCs w:val="20"/>
              </w:rPr>
            </w:pPr>
            <w:r>
              <w:rPr>
                <w:rFonts w:ascii="宋体" w:hAnsi="宋体" w:cs="宋体" w:eastAsia="宋体" w:hint="default"/>
                <w:sz w:val="20"/>
                <w:szCs w:val="20"/>
              </w:rPr>
              <w:t>第二名公司</w:t>
            </w:r>
          </w:p>
        </w:tc>
        <w:tc>
          <w:tcPr>
            <w:tcW w:w="2021" w:type="dxa"/>
            <w:tcBorders>
              <w:top w:val="nil" w:sz="6" w:space="0" w:color="auto"/>
              <w:left w:val="nil" w:sz="6" w:space="0" w:color="auto"/>
              <w:bottom w:val="nil" w:sz="6" w:space="0" w:color="auto"/>
              <w:right w:val="nil" w:sz="6" w:space="0" w:color="auto"/>
            </w:tcBorders>
          </w:tcPr>
          <w:p>
            <w:pPr>
              <w:pStyle w:val="TableParagraph"/>
              <w:spacing w:line="219" w:lineRule="exact"/>
              <w:ind w:left="250" w:right="0"/>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6" w:right="0"/>
              <w:jc w:val="center"/>
              <w:rPr>
                <w:rFonts w:ascii="Arial" w:hAnsi="Arial" w:cs="Arial" w:eastAsia="Arial" w:hint="default"/>
                <w:sz w:val="20"/>
                <w:szCs w:val="20"/>
              </w:rPr>
            </w:pPr>
            <w:r>
              <w:rPr>
                <w:rFonts w:ascii="Arial"/>
                <w:sz w:val="20"/>
              </w:rPr>
              <w:t>24,851,351</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73"/>
              <w:jc w:val="right"/>
              <w:rPr>
                <w:rFonts w:ascii="Arial" w:hAnsi="Arial" w:cs="Arial" w:eastAsia="Arial" w:hint="default"/>
                <w:sz w:val="20"/>
                <w:szCs w:val="20"/>
              </w:rPr>
            </w:pPr>
            <w:r>
              <w:rPr>
                <w:rFonts w:ascii="Arial"/>
                <w:spacing w:val="-1"/>
                <w:sz w:val="20"/>
              </w:rPr>
              <w:t>1.34%</w:t>
            </w:r>
            <w:r>
              <w:rPr>
                <w:rFonts w:ascii="Arial"/>
                <w:sz w:val="20"/>
              </w:rPr>
            </w:r>
          </w:p>
        </w:tc>
        <w:tc>
          <w:tcPr>
            <w:tcW w:w="1424" w:type="dxa"/>
            <w:tcBorders>
              <w:top w:val="nil" w:sz="6" w:space="0" w:color="auto"/>
              <w:left w:val="nil" w:sz="6" w:space="0" w:color="auto"/>
              <w:bottom w:val="nil" w:sz="6" w:space="0" w:color="auto"/>
              <w:right w:val="nil" w:sz="6" w:space="0" w:color="auto"/>
            </w:tcBorders>
          </w:tcPr>
          <w:p>
            <w:pPr>
              <w:pStyle w:val="TableParagraph"/>
              <w:spacing w:line="233" w:lineRule="exact"/>
              <w:ind w:right="14"/>
              <w:jc w:val="center"/>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12</w:t>
            </w:r>
            <w:r>
              <w:rPr>
                <w:rFonts w:ascii="Arial" w:hAnsi="Arial" w:cs="Arial" w:eastAsia="Arial" w:hint="default"/>
                <w:spacing w:val="-7"/>
                <w:sz w:val="20"/>
                <w:szCs w:val="20"/>
              </w:rPr>
              <w:t> </w:t>
            </w:r>
            <w:r>
              <w:rPr>
                <w:rFonts w:ascii="宋体" w:hAnsi="宋体" w:cs="宋体" w:eastAsia="宋体" w:hint="default"/>
                <w:sz w:val="20"/>
                <w:szCs w:val="20"/>
              </w:rPr>
              <w:t>月</w:t>
            </w:r>
          </w:p>
        </w:tc>
        <w:tc>
          <w:tcPr>
            <w:tcW w:w="1547" w:type="dxa"/>
            <w:tcBorders>
              <w:top w:val="nil" w:sz="6" w:space="0" w:color="auto"/>
              <w:left w:val="nil" w:sz="6" w:space="0" w:color="auto"/>
              <w:bottom w:val="nil" w:sz="6" w:space="0" w:color="auto"/>
              <w:right w:val="nil" w:sz="6" w:space="0" w:color="auto"/>
            </w:tcBorders>
          </w:tcPr>
          <w:p>
            <w:pPr>
              <w:pStyle w:val="TableParagraph"/>
              <w:spacing w:line="219" w:lineRule="exact"/>
              <w:ind w:right="33"/>
              <w:jc w:val="right"/>
              <w:rPr>
                <w:rFonts w:ascii="宋体" w:hAnsi="宋体" w:cs="宋体" w:eastAsia="宋体" w:hint="default"/>
                <w:sz w:val="20"/>
                <w:szCs w:val="20"/>
              </w:rPr>
            </w:pPr>
            <w:r>
              <w:rPr>
                <w:rFonts w:ascii="宋体" w:hAnsi="宋体" w:cs="宋体" w:eastAsia="宋体" w:hint="default"/>
                <w:spacing w:val="-1"/>
                <w:sz w:val="20"/>
                <w:szCs w:val="20"/>
              </w:rPr>
              <w:t>约定业务未完成</w:t>
            </w:r>
          </w:p>
        </w:tc>
      </w:tr>
      <w:tr>
        <w:trPr>
          <w:trHeight w:val="259" w:hRule="exact"/>
        </w:trPr>
        <w:tc>
          <w:tcPr>
            <w:tcW w:w="1390" w:type="dxa"/>
            <w:tcBorders>
              <w:top w:val="nil" w:sz="6" w:space="0" w:color="auto"/>
              <w:left w:val="nil" w:sz="6" w:space="0" w:color="auto"/>
              <w:bottom w:val="nil" w:sz="6" w:space="0" w:color="auto"/>
              <w:right w:val="nil" w:sz="6" w:space="0" w:color="auto"/>
            </w:tcBorders>
          </w:tcPr>
          <w:p>
            <w:pPr>
              <w:pStyle w:val="TableParagraph"/>
              <w:spacing w:line="219" w:lineRule="exact"/>
              <w:ind w:left="35" w:right="0"/>
              <w:jc w:val="left"/>
              <w:rPr>
                <w:rFonts w:ascii="宋体" w:hAnsi="宋体" w:cs="宋体" w:eastAsia="宋体" w:hint="default"/>
                <w:sz w:val="20"/>
                <w:szCs w:val="20"/>
              </w:rPr>
            </w:pPr>
            <w:r>
              <w:rPr>
                <w:rFonts w:ascii="宋体" w:hAnsi="宋体" w:cs="宋体" w:eastAsia="宋体" w:hint="default"/>
                <w:sz w:val="20"/>
                <w:szCs w:val="20"/>
              </w:rPr>
              <w:t>第三名公司</w:t>
            </w:r>
          </w:p>
        </w:tc>
        <w:tc>
          <w:tcPr>
            <w:tcW w:w="2021" w:type="dxa"/>
            <w:tcBorders>
              <w:top w:val="nil" w:sz="6" w:space="0" w:color="auto"/>
              <w:left w:val="nil" w:sz="6" w:space="0" w:color="auto"/>
              <w:bottom w:val="nil" w:sz="6" w:space="0" w:color="auto"/>
              <w:right w:val="nil" w:sz="6" w:space="0" w:color="auto"/>
            </w:tcBorders>
          </w:tcPr>
          <w:p>
            <w:pPr>
              <w:pStyle w:val="TableParagraph"/>
              <w:spacing w:line="219" w:lineRule="exact"/>
              <w:ind w:left="250" w:right="0"/>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6" w:right="0"/>
              <w:jc w:val="center"/>
              <w:rPr>
                <w:rFonts w:ascii="Arial" w:hAnsi="Arial" w:cs="Arial" w:eastAsia="Arial" w:hint="default"/>
                <w:sz w:val="20"/>
                <w:szCs w:val="20"/>
              </w:rPr>
            </w:pPr>
            <w:r>
              <w:rPr>
                <w:rFonts w:ascii="Arial"/>
                <w:sz w:val="20"/>
              </w:rPr>
              <w:t>15,976,600</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73"/>
              <w:jc w:val="right"/>
              <w:rPr>
                <w:rFonts w:ascii="Arial" w:hAnsi="Arial" w:cs="Arial" w:eastAsia="Arial" w:hint="default"/>
                <w:sz w:val="20"/>
                <w:szCs w:val="20"/>
              </w:rPr>
            </w:pPr>
            <w:r>
              <w:rPr>
                <w:rFonts w:ascii="Arial"/>
                <w:spacing w:val="-1"/>
                <w:sz w:val="20"/>
              </w:rPr>
              <w:t>0.86%</w:t>
            </w:r>
            <w:r>
              <w:rPr>
                <w:rFonts w:ascii="Arial"/>
                <w:sz w:val="20"/>
              </w:rPr>
            </w:r>
          </w:p>
        </w:tc>
        <w:tc>
          <w:tcPr>
            <w:tcW w:w="1424" w:type="dxa"/>
            <w:tcBorders>
              <w:top w:val="nil" w:sz="6" w:space="0" w:color="auto"/>
              <w:left w:val="nil" w:sz="6" w:space="0" w:color="auto"/>
              <w:bottom w:val="nil" w:sz="6" w:space="0" w:color="auto"/>
              <w:right w:val="nil" w:sz="6" w:space="0" w:color="auto"/>
            </w:tcBorders>
          </w:tcPr>
          <w:p>
            <w:pPr>
              <w:pStyle w:val="TableParagraph"/>
              <w:spacing w:line="233" w:lineRule="exact"/>
              <w:ind w:right="125"/>
              <w:jc w:val="center"/>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月</w:t>
            </w:r>
          </w:p>
        </w:tc>
        <w:tc>
          <w:tcPr>
            <w:tcW w:w="1547" w:type="dxa"/>
            <w:tcBorders>
              <w:top w:val="nil" w:sz="6" w:space="0" w:color="auto"/>
              <w:left w:val="nil" w:sz="6" w:space="0" w:color="auto"/>
              <w:bottom w:val="nil" w:sz="6" w:space="0" w:color="auto"/>
              <w:right w:val="nil" w:sz="6" w:space="0" w:color="auto"/>
            </w:tcBorders>
          </w:tcPr>
          <w:p>
            <w:pPr>
              <w:pStyle w:val="TableParagraph"/>
              <w:spacing w:line="219" w:lineRule="exact"/>
              <w:ind w:right="33"/>
              <w:jc w:val="right"/>
              <w:rPr>
                <w:rFonts w:ascii="宋体" w:hAnsi="宋体" w:cs="宋体" w:eastAsia="宋体" w:hint="default"/>
                <w:sz w:val="20"/>
                <w:szCs w:val="20"/>
              </w:rPr>
            </w:pPr>
            <w:r>
              <w:rPr>
                <w:rFonts w:ascii="宋体" w:hAnsi="宋体" w:cs="宋体" w:eastAsia="宋体" w:hint="default"/>
                <w:spacing w:val="-1"/>
                <w:sz w:val="20"/>
                <w:szCs w:val="20"/>
              </w:rPr>
              <w:t>约定业务未完成</w:t>
            </w:r>
          </w:p>
        </w:tc>
      </w:tr>
      <w:tr>
        <w:trPr>
          <w:trHeight w:val="512" w:hRule="exact"/>
        </w:trPr>
        <w:tc>
          <w:tcPr>
            <w:tcW w:w="1390" w:type="dxa"/>
            <w:tcBorders>
              <w:top w:val="nil" w:sz="6" w:space="0" w:color="auto"/>
              <w:left w:val="nil" w:sz="6" w:space="0" w:color="auto"/>
              <w:bottom w:val="nil" w:sz="6" w:space="0" w:color="auto"/>
              <w:right w:val="nil" w:sz="6" w:space="0" w:color="auto"/>
            </w:tcBorders>
          </w:tcPr>
          <w:p>
            <w:pPr>
              <w:pStyle w:val="TableParagraph"/>
              <w:spacing w:line="219" w:lineRule="exact"/>
              <w:ind w:left="35" w:right="0"/>
              <w:jc w:val="left"/>
              <w:rPr>
                <w:rFonts w:ascii="宋体" w:hAnsi="宋体" w:cs="宋体" w:eastAsia="宋体" w:hint="default"/>
                <w:sz w:val="20"/>
                <w:szCs w:val="20"/>
              </w:rPr>
            </w:pPr>
            <w:r>
              <w:rPr>
                <w:rFonts w:ascii="宋体" w:hAnsi="宋体" w:cs="宋体" w:eastAsia="宋体" w:hint="default"/>
                <w:sz w:val="20"/>
                <w:szCs w:val="20"/>
              </w:rPr>
              <w:t>第四名公司</w:t>
            </w:r>
          </w:p>
        </w:tc>
        <w:tc>
          <w:tcPr>
            <w:tcW w:w="2021" w:type="dxa"/>
            <w:tcBorders>
              <w:top w:val="nil" w:sz="6" w:space="0" w:color="auto"/>
              <w:left w:val="nil" w:sz="6" w:space="0" w:color="auto"/>
              <w:bottom w:val="nil" w:sz="6" w:space="0" w:color="auto"/>
              <w:right w:val="nil" w:sz="6" w:space="0" w:color="auto"/>
            </w:tcBorders>
          </w:tcPr>
          <w:p>
            <w:pPr>
              <w:pStyle w:val="TableParagraph"/>
              <w:spacing w:line="219" w:lineRule="exact"/>
              <w:ind w:left="250" w:right="0"/>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39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6" w:right="0"/>
              <w:jc w:val="center"/>
              <w:rPr>
                <w:rFonts w:ascii="Arial" w:hAnsi="Arial" w:cs="Arial" w:eastAsia="Arial" w:hint="default"/>
                <w:sz w:val="20"/>
                <w:szCs w:val="20"/>
              </w:rPr>
            </w:pPr>
            <w:r>
              <w:rPr>
                <w:rFonts w:ascii="Arial"/>
                <w:sz w:val="20"/>
              </w:rPr>
              <w:t>10,645,935</w:t>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73"/>
              <w:jc w:val="right"/>
              <w:rPr>
                <w:rFonts w:ascii="Arial" w:hAnsi="Arial" w:cs="Arial" w:eastAsia="Arial" w:hint="default"/>
                <w:sz w:val="20"/>
                <w:szCs w:val="20"/>
              </w:rPr>
            </w:pPr>
            <w:r>
              <w:rPr>
                <w:rFonts w:ascii="Arial"/>
                <w:spacing w:val="-1"/>
                <w:sz w:val="20"/>
              </w:rPr>
              <w:t>0.57%</w:t>
            </w:r>
            <w:r>
              <w:rPr>
                <w:rFonts w:ascii="Arial"/>
                <w:sz w:val="20"/>
              </w:rPr>
            </w:r>
          </w:p>
        </w:tc>
        <w:tc>
          <w:tcPr>
            <w:tcW w:w="1424" w:type="dxa"/>
            <w:tcBorders>
              <w:top w:val="nil" w:sz="6" w:space="0" w:color="auto"/>
              <w:left w:val="nil" w:sz="6" w:space="0" w:color="auto"/>
              <w:bottom w:val="nil" w:sz="6" w:space="0" w:color="auto"/>
              <w:right w:val="nil" w:sz="6" w:space="0" w:color="auto"/>
            </w:tcBorders>
          </w:tcPr>
          <w:p>
            <w:pPr>
              <w:pStyle w:val="TableParagraph"/>
              <w:spacing w:line="225" w:lineRule="exact"/>
              <w:ind w:left="94" w:right="0"/>
              <w:jc w:val="lef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12</w:t>
            </w:r>
            <w:r>
              <w:rPr>
                <w:rFonts w:ascii="Arial" w:hAnsi="Arial" w:cs="Arial" w:eastAsia="Arial" w:hint="default"/>
                <w:spacing w:val="-7"/>
                <w:sz w:val="20"/>
                <w:szCs w:val="20"/>
              </w:rPr>
              <w:t> </w:t>
            </w:r>
            <w:r>
              <w:rPr>
                <w:rFonts w:ascii="宋体" w:hAnsi="宋体" w:cs="宋体" w:eastAsia="宋体" w:hint="default"/>
                <w:sz w:val="20"/>
                <w:szCs w:val="20"/>
              </w:rPr>
              <w:t>月</w:t>
            </w:r>
          </w:p>
          <w:p>
            <w:pPr>
              <w:pStyle w:val="TableParagraph"/>
              <w:spacing w:line="268" w:lineRule="exact"/>
              <w:ind w:left="94" w:right="0"/>
              <w:jc w:val="left"/>
              <w:rPr>
                <w:rFonts w:ascii="Arial" w:hAnsi="Arial" w:cs="Arial" w:eastAsia="Arial"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月</w:t>
            </w:r>
            <w:r>
              <w:rPr>
                <w:rFonts w:ascii="Arial" w:hAnsi="Arial" w:cs="Arial" w:eastAsia="Arial" w:hint="default"/>
                <w:sz w:val="20"/>
                <w:szCs w:val="20"/>
              </w:rPr>
              <w:t>-</w:t>
            </w:r>
          </w:p>
        </w:tc>
        <w:tc>
          <w:tcPr>
            <w:tcW w:w="1547" w:type="dxa"/>
            <w:tcBorders>
              <w:top w:val="nil" w:sz="6" w:space="0" w:color="auto"/>
              <w:left w:val="nil" w:sz="6" w:space="0" w:color="auto"/>
              <w:bottom w:val="nil" w:sz="6" w:space="0" w:color="auto"/>
              <w:right w:val="nil" w:sz="6" w:space="0" w:color="auto"/>
            </w:tcBorders>
          </w:tcPr>
          <w:p>
            <w:pPr>
              <w:pStyle w:val="TableParagraph"/>
              <w:spacing w:line="219" w:lineRule="exact"/>
              <w:ind w:right="33"/>
              <w:jc w:val="right"/>
              <w:rPr>
                <w:rFonts w:ascii="宋体" w:hAnsi="宋体" w:cs="宋体" w:eastAsia="宋体" w:hint="default"/>
                <w:sz w:val="20"/>
                <w:szCs w:val="20"/>
              </w:rPr>
            </w:pPr>
            <w:r>
              <w:rPr>
                <w:rFonts w:ascii="宋体" w:hAnsi="宋体" w:cs="宋体" w:eastAsia="宋体" w:hint="default"/>
                <w:spacing w:val="-1"/>
                <w:sz w:val="20"/>
                <w:szCs w:val="20"/>
              </w:rPr>
              <w:t>约定业务未完成</w:t>
            </w:r>
          </w:p>
        </w:tc>
      </w:tr>
      <w:tr>
        <w:trPr>
          <w:trHeight w:val="386" w:hRule="exact"/>
        </w:trPr>
        <w:tc>
          <w:tcPr>
            <w:tcW w:w="1390" w:type="dxa"/>
            <w:tcBorders>
              <w:top w:val="nil" w:sz="6" w:space="0" w:color="auto"/>
              <w:left w:val="nil" w:sz="6" w:space="0" w:color="auto"/>
              <w:bottom w:val="nil" w:sz="6" w:space="0" w:color="auto"/>
              <w:right w:val="nil" w:sz="6" w:space="0" w:color="auto"/>
            </w:tcBorders>
          </w:tcPr>
          <w:p>
            <w:pPr>
              <w:pStyle w:val="TableParagraph"/>
              <w:spacing w:line="225" w:lineRule="exact"/>
              <w:ind w:left="35" w:right="0"/>
              <w:jc w:val="left"/>
              <w:rPr>
                <w:rFonts w:ascii="宋体" w:hAnsi="宋体" w:cs="宋体" w:eastAsia="宋体" w:hint="default"/>
                <w:sz w:val="20"/>
                <w:szCs w:val="20"/>
              </w:rPr>
            </w:pPr>
            <w:r>
              <w:rPr>
                <w:rFonts w:ascii="宋体" w:hAnsi="宋体" w:cs="宋体" w:eastAsia="宋体" w:hint="default"/>
                <w:sz w:val="20"/>
                <w:szCs w:val="20"/>
              </w:rPr>
              <w:t>第五名公司</w:t>
            </w:r>
          </w:p>
        </w:tc>
        <w:tc>
          <w:tcPr>
            <w:tcW w:w="2021" w:type="dxa"/>
            <w:tcBorders>
              <w:top w:val="nil" w:sz="6" w:space="0" w:color="auto"/>
              <w:left w:val="nil" w:sz="6" w:space="0" w:color="auto"/>
              <w:bottom w:val="nil" w:sz="6" w:space="0" w:color="auto"/>
              <w:right w:val="nil" w:sz="6" w:space="0" w:color="auto"/>
            </w:tcBorders>
          </w:tcPr>
          <w:p>
            <w:pPr>
              <w:pStyle w:val="TableParagraph"/>
              <w:spacing w:line="225" w:lineRule="exact"/>
              <w:ind w:left="250" w:right="0"/>
              <w:jc w:val="center"/>
              <w:rPr>
                <w:rFonts w:ascii="宋体" w:hAnsi="宋体" w:cs="宋体" w:eastAsia="宋体" w:hint="default"/>
                <w:sz w:val="20"/>
                <w:szCs w:val="20"/>
              </w:rPr>
            </w:pPr>
            <w:r>
              <w:rPr>
                <w:rFonts w:ascii="宋体" w:hAnsi="宋体" w:cs="宋体" w:eastAsia="宋体" w:hint="default"/>
                <w:sz w:val="20"/>
                <w:szCs w:val="20"/>
              </w:rPr>
              <w:t>第三方</w:t>
            </w:r>
          </w:p>
        </w:tc>
        <w:tc>
          <w:tcPr>
            <w:tcW w:w="1393" w:type="dxa"/>
            <w:tcBorders>
              <w:top w:val="nil" w:sz="6" w:space="0" w:color="auto"/>
              <w:left w:val="nil" w:sz="6" w:space="0" w:color="auto"/>
              <w:bottom w:val="nil" w:sz="6" w:space="0" w:color="auto"/>
              <w:right w:val="nil" w:sz="6" w:space="0" w:color="auto"/>
            </w:tcBorders>
          </w:tcPr>
          <w:p>
            <w:pPr>
              <w:pStyle w:val="TableParagraph"/>
              <w:tabs>
                <w:tab w:pos="1343" w:val="left" w:leader="none"/>
              </w:tabs>
              <w:spacing w:line="240" w:lineRule="auto" w:before="22"/>
              <w:ind w:right="32"/>
              <w:jc w:val="center"/>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27"/>
                <w:sz w:val="20"/>
                <w:u w:val="single" w:color="000000"/>
              </w:rPr>
              <w:t> </w:t>
            </w:r>
            <w:r>
              <w:rPr>
                <w:rFonts w:ascii="Arial"/>
                <w:sz w:val="20"/>
                <w:u w:val="single" w:color="000000"/>
              </w:rPr>
              <w:t>10,500,000</w:t>
              <w:tab/>
            </w:r>
            <w:r>
              <w:rPr>
                <w:rFonts w:ascii="Arial"/>
                <w:sz w:val="20"/>
              </w:rPr>
            </w:r>
          </w:p>
        </w:tc>
        <w:tc>
          <w:tcPr>
            <w:tcW w:w="1196" w:type="dxa"/>
            <w:tcBorders>
              <w:top w:val="nil" w:sz="6" w:space="0" w:color="auto"/>
              <w:left w:val="nil" w:sz="6" w:space="0" w:color="auto"/>
              <w:bottom w:val="nil" w:sz="6" w:space="0" w:color="auto"/>
              <w:right w:val="nil" w:sz="6" w:space="0" w:color="auto"/>
            </w:tcBorders>
          </w:tcPr>
          <w:p>
            <w:pPr>
              <w:pStyle w:val="TableParagraph"/>
              <w:tabs>
                <w:tab w:pos="510" w:val="left" w:leader="none"/>
                <w:tab w:pos="1147" w:val="left" w:leader="none"/>
              </w:tabs>
              <w:spacing w:line="240" w:lineRule="auto" w:before="22"/>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0.57%</w:t>
              <w:tab/>
            </w:r>
            <w:r>
              <w:rPr>
                <w:rFonts w:ascii="Arial"/>
                <w:spacing w:val="-1"/>
                <w:sz w:val="20"/>
              </w:rPr>
            </w:r>
          </w:p>
        </w:tc>
        <w:tc>
          <w:tcPr>
            <w:tcW w:w="1424" w:type="dxa"/>
            <w:tcBorders>
              <w:top w:val="nil" w:sz="6" w:space="0" w:color="auto"/>
              <w:left w:val="nil" w:sz="6" w:space="0" w:color="auto"/>
              <w:bottom w:val="nil" w:sz="6" w:space="0" w:color="auto"/>
              <w:right w:val="nil" w:sz="6" w:space="0" w:color="auto"/>
            </w:tcBorders>
          </w:tcPr>
          <w:p>
            <w:pPr>
              <w:pStyle w:val="TableParagraph"/>
              <w:spacing w:line="239" w:lineRule="exact"/>
              <w:ind w:right="15"/>
              <w:jc w:val="center"/>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12</w:t>
            </w:r>
            <w:r>
              <w:rPr>
                <w:rFonts w:ascii="Arial" w:hAnsi="Arial" w:cs="Arial" w:eastAsia="Arial" w:hint="default"/>
                <w:spacing w:val="-7"/>
                <w:sz w:val="20"/>
                <w:szCs w:val="20"/>
              </w:rPr>
              <w:t> </w:t>
            </w:r>
            <w:r>
              <w:rPr>
                <w:rFonts w:ascii="宋体" w:hAnsi="宋体" w:cs="宋体" w:eastAsia="宋体" w:hint="default"/>
                <w:sz w:val="20"/>
                <w:szCs w:val="20"/>
              </w:rPr>
              <w:t>月</w:t>
            </w:r>
          </w:p>
        </w:tc>
        <w:tc>
          <w:tcPr>
            <w:tcW w:w="1547" w:type="dxa"/>
            <w:tcBorders>
              <w:top w:val="nil" w:sz="6" w:space="0" w:color="auto"/>
              <w:left w:val="nil" w:sz="6" w:space="0" w:color="auto"/>
              <w:bottom w:val="nil" w:sz="6" w:space="0" w:color="auto"/>
              <w:right w:val="nil" w:sz="6" w:space="0" w:color="auto"/>
            </w:tcBorders>
          </w:tcPr>
          <w:p>
            <w:pPr>
              <w:pStyle w:val="TableParagraph"/>
              <w:spacing w:line="225" w:lineRule="exact"/>
              <w:ind w:right="33"/>
              <w:jc w:val="right"/>
              <w:rPr>
                <w:rFonts w:ascii="宋体" w:hAnsi="宋体" w:cs="宋体" w:eastAsia="宋体" w:hint="default"/>
                <w:sz w:val="20"/>
                <w:szCs w:val="20"/>
              </w:rPr>
            </w:pPr>
            <w:r>
              <w:rPr>
                <w:rFonts w:ascii="宋体" w:hAnsi="宋体" w:cs="宋体" w:eastAsia="宋体" w:hint="default"/>
                <w:spacing w:val="-1"/>
                <w:sz w:val="20"/>
                <w:szCs w:val="20"/>
              </w:rPr>
              <w:t>约定业务未完成</w:t>
            </w:r>
          </w:p>
        </w:tc>
      </w:tr>
      <w:tr>
        <w:trPr>
          <w:trHeight w:val="392" w:hRule="exact"/>
        </w:trPr>
        <w:tc>
          <w:tcPr>
            <w:tcW w:w="34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6"/>
              <w:ind w:left="35"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393" w:type="dxa"/>
            <w:tcBorders>
              <w:top w:val="nil" w:sz="6" w:space="0" w:color="auto"/>
              <w:left w:val="nil" w:sz="6" w:space="0" w:color="auto"/>
              <w:bottom w:val="single" w:sz="17" w:space="0" w:color="000000"/>
              <w:right w:val="nil" w:sz="6" w:space="0" w:color="auto"/>
            </w:tcBorders>
          </w:tcPr>
          <w:p>
            <w:pPr>
              <w:pStyle w:val="TableParagraph"/>
              <w:spacing w:line="240" w:lineRule="auto" w:before="134"/>
              <w:ind w:left="17" w:right="0"/>
              <w:jc w:val="center"/>
              <w:rPr>
                <w:rFonts w:ascii="Arial" w:hAnsi="Arial" w:cs="Arial" w:eastAsia="Arial" w:hint="default"/>
                <w:sz w:val="20"/>
                <w:szCs w:val="20"/>
              </w:rPr>
            </w:pPr>
            <w:r>
              <w:rPr>
                <w:rFonts w:ascii="Arial"/>
                <w:sz w:val="20"/>
              </w:rPr>
              <w:t>128,122,244</w:t>
            </w:r>
          </w:p>
        </w:tc>
        <w:tc>
          <w:tcPr>
            <w:tcW w:w="1196" w:type="dxa"/>
            <w:tcBorders>
              <w:top w:val="nil" w:sz="6" w:space="0" w:color="auto"/>
              <w:left w:val="nil" w:sz="6" w:space="0" w:color="auto"/>
              <w:bottom w:val="single" w:sz="17" w:space="0" w:color="000000"/>
              <w:right w:val="nil" w:sz="6" w:space="0" w:color="auto"/>
            </w:tcBorders>
          </w:tcPr>
          <w:p>
            <w:pPr>
              <w:pStyle w:val="TableParagraph"/>
              <w:spacing w:line="240" w:lineRule="auto" w:before="134"/>
              <w:ind w:right="72"/>
              <w:jc w:val="right"/>
              <w:rPr>
                <w:rFonts w:ascii="Arial" w:hAnsi="Arial" w:cs="Arial" w:eastAsia="Arial" w:hint="default"/>
                <w:sz w:val="20"/>
                <w:szCs w:val="20"/>
              </w:rPr>
            </w:pPr>
            <w:r>
              <w:rPr>
                <w:rFonts w:ascii="Arial"/>
                <w:sz w:val="20"/>
              </w:rPr>
              <w:t>7.13%</w:t>
            </w:r>
          </w:p>
        </w:tc>
        <w:tc>
          <w:tcPr>
            <w:tcW w:w="2971" w:type="dxa"/>
            <w:gridSpan w:val="2"/>
            <w:tcBorders>
              <w:top w:val="nil" w:sz="6" w:space="0" w:color="auto"/>
              <w:left w:val="nil" w:sz="6" w:space="0" w:color="auto"/>
              <w:bottom w:val="nil" w:sz="6" w:space="0" w:color="auto"/>
              <w:right w:val="nil" w:sz="6" w:space="0" w:color="auto"/>
            </w:tcBorders>
          </w:tcPr>
          <w:p>
            <w:pPr/>
          </w:p>
        </w:tc>
      </w:tr>
    </w:tbl>
    <w:p>
      <w:pPr>
        <w:spacing w:line="240" w:lineRule="auto" w:before="7"/>
        <w:rPr>
          <w:rFonts w:ascii="宋体" w:hAnsi="宋体" w:cs="宋体" w:eastAsia="宋体" w:hint="default"/>
          <w:sz w:val="12"/>
          <w:szCs w:val="12"/>
        </w:rPr>
      </w:pPr>
    </w:p>
    <w:p>
      <w:pPr>
        <w:pStyle w:val="BodyText"/>
        <w:spacing w:line="286" w:lineRule="exact" w:before="60"/>
        <w:ind w:left="563" w:right="100" w:hanging="434"/>
        <w:jc w:val="left"/>
      </w:pPr>
      <w:r>
        <w:rPr>
          <w:rFonts w:ascii="Arial" w:hAnsi="Arial" w:cs="Arial" w:eastAsia="Arial" w:hint="default"/>
        </w:rPr>
        <w:t>(c)</w:t>
      </w:r>
      <w:r>
        <w:rPr>
          <w:rFonts w:ascii="Arial" w:hAnsi="Arial" w:cs="Arial" w:eastAsia="Arial" w:hint="default"/>
          <w:spacing w:val="40"/>
        </w:rPr>
        <w:t> </w:t>
      </w:r>
      <w:r>
        <w:rPr/>
        <w:t>于</w:t>
      </w:r>
      <w:r>
        <w:rPr>
          <w:spacing w:val="-60"/>
        </w:rPr>
        <w:t> </w:t>
      </w:r>
      <w:r>
        <w:rPr>
          <w:rFonts w:ascii="Arial" w:hAnsi="Arial" w:cs="Arial" w:eastAsia="Arial" w:hint="default"/>
        </w:rPr>
        <w:t>2009</w:t>
      </w:r>
      <w:r>
        <w:rPr>
          <w:rFonts w:ascii="Arial" w:hAnsi="Arial" w:cs="Arial" w:eastAsia="Arial" w:hint="default"/>
          <w:spacing w:val="-11"/>
        </w:rPr>
        <w:t> </w:t>
      </w:r>
      <w:r>
        <w:rPr/>
        <w:t>年</w:t>
      </w:r>
      <w:r>
        <w:rPr>
          <w:spacing w:val="-60"/>
        </w:rPr>
        <w:t> </w:t>
      </w:r>
      <w:r>
        <w:rPr>
          <w:rFonts w:ascii="Arial" w:hAnsi="Arial" w:cs="Arial" w:eastAsia="Arial" w:hint="default"/>
        </w:rPr>
        <w:t>12</w:t>
      </w:r>
      <w:r>
        <w:rPr>
          <w:rFonts w:ascii="Arial" w:hAnsi="Arial" w:cs="Arial" w:eastAsia="Arial" w:hint="default"/>
          <w:spacing w:val="-11"/>
        </w:rPr>
        <w:t> </w:t>
      </w:r>
      <w:r>
        <w:rPr/>
        <w:t>月</w:t>
      </w:r>
      <w:r>
        <w:rPr>
          <w:spacing w:val="-60"/>
        </w:rPr>
        <w:t> </w:t>
      </w:r>
      <w:r>
        <w:rPr>
          <w:rFonts w:ascii="Arial" w:hAnsi="Arial" w:cs="Arial" w:eastAsia="Arial" w:hint="default"/>
        </w:rPr>
        <w:t>31</w:t>
      </w:r>
      <w:r>
        <w:rPr>
          <w:rFonts w:ascii="Arial" w:hAnsi="Arial" w:cs="Arial" w:eastAsia="Arial" w:hint="default"/>
          <w:spacing w:val="-11"/>
        </w:rPr>
        <w:t> </w:t>
      </w:r>
      <w:r>
        <w:rPr/>
        <w:t>日，预付款项中无预付持有本公司</w:t>
      </w:r>
      <w:r>
        <w:rPr>
          <w:spacing w:val="-60"/>
        </w:rPr>
        <w:t> </w:t>
      </w:r>
      <w:r>
        <w:rPr>
          <w:rFonts w:ascii="Arial" w:hAnsi="Arial" w:cs="Arial" w:eastAsia="Arial" w:hint="default"/>
          <w:spacing w:val="-6"/>
        </w:rPr>
        <w:t>5%</w:t>
      </w:r>
      <w:r>
        <w:rPr>
          <w:spacing w:val="-6"/>
        </w:rPr>
        <w:t>（含</w:t>
      </w:r>
      <w:r>
        <w:rPr>
          <w:spacing w:val="-60"/>
        </w:rPr>
        <w:t> </w:t>
      </w:r>
      <w:r>
        <w:rPr>
          <w:rFonts w:ascii="Arial" w:hAnsi="Arial" w:cs="Arial" w:eastAsia="Arial" w:hint="default"/>
        </w:rPr>
        <w:t>5%</w:t>
      </w:r>
      <w:r>
        <w:rPr/>
        <w:t>）以上表决权股份股东的款</w:t>
      </w:r>
      <w:r>
        <w:rPr>
          <w:w w:val="99"/>
        </w:rPr>
        <w:t> </w:t>
      </w:r>
      <w:r>
        <w:rPr/>
        <w:t>项。</w:t>
      </w:r>
    </w:p>
    <w:p>
      <w:pPr>
        <w:spacing w:line="240" w:lineRule="auto" w:before="1"/>
        <w:rPr>
          <w:rFonts w:ascii="宋体" w:hAnsi="宋体" w:cs="宋体" w:eastAsia="宋体" w:hint="default"/>
          <w:sz w:val="17"/>
          <w:szCs w:val="17"/>
        </w:rPr>
      </w:pPr>
    </w:p>
    <w:p>
      <w:pPr>
        <w:pStyle w:val="BodyText"/>
        <w:spacing w:line="240" w:lineRule="auto"/>
        <w:ind w:left="101" w:right="337"/>
        <w:jc w:val="left"/>
      </w:pPr>
      <w:r>
        <w:rPr>
          <w:rFonts w:ascii="Arial" w:hAnsi="Arial" w:cs="Arial" w:eastAsia="Arial" w:hint="default"/>
        </w:rPr>
        <w:t>(d) </w:t>
      </w:r>
      <w:r>
        <w:rPr>
          <w:rFonts w:ascii="Arial" w:hAnsi="Arial" w:cs="Arial" w:eastAsia="Arial" w:hint="default"/>
          <w:spacing w:val="27"/>
        </w:rPr>
        <w:t> </w:t>
      </w:r>
      <w:r>
        <w:rPr/>
        <w:t>预付关联方的预付款项分析如下：</w:t>
      </w:r>
    </w:p>
    <w:p>
      <w:pPr>
        <w:spacing w:line="240" w:lineRule="auto" w:before="3"/>
        <w:rPr>
          <w:rFonts w:ascii="宋体" w:hAnsi="宋体" w:cs="宋体" w:eastAsia="宋体" w:hint="default"/>
          <w:sz w:val="20"/>
          <w:szCs w:val="20"/>
        </w:rPr>
      </w:pPr>
    </w:p>
    <w:p>
      <w:pPr>
        <w:tabs>
          <w:tab w:pos="7076" w:val="left" w:leader="none"/>
        </w:tabs>
        <w:spacing w:before="0"/>
        <w:ind w:left="4681" w:right="100" w:firstLine="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tab/>
      </w: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日（经重列）</w:t>
      </w:r>
    </w:p>
    <w:tbl>
      <w:tblPr>
        <w:tblW w:w="0" w:type="auto"/>
        <w:jc w:val="left"/>
        <w:tblInd w:w="558" w:type="dxa"/>
        <w:tblLayout w:type="fixed"/>
        <w:tblCellMar>
          <w:top w:w="0" w:type="dxa"/>
          <w:left w:w="0" w:type="dxa"/>
          <w:bottom w:w="0" w:type="dxa"/>
          <w:right w:w="0" w:type="dxa"/>
        </w:tblCellMar>
        <w:tblLook w:val="01E0"/>
      </w:tblPr>
      <w:tblGrid>
        <w:gridCol w:w="1889"/>
        <w:gridCol w:w="1624"/>
        <w:gridCol w:w="1096"/>
        <w:gridCol w:w="1090"/>
        <w:gridCol w:w="682"/>
        <w:gridCol w:w="1119"/>
        <w:gridCol w:w="872"/>
        <w:gridCol w:w="138"/>
        <w:gridCol w:w="665"/>
      </w:tblGrid>
      <w:tr>
        <w:trPr>
          <w:trHeight w:val="482" w:hRule="exact"/>
        </w:trPr>
        <w:tc>
          <w:tcPr>
            <w:tcW w:w="1889" w:type="dxa"/>
            <w:tcBorders>
              <w:top w:val="nil" w:sz="6" w:space="0" w:color="auto"/>
              <w:left w:val="nil" w:sz="6" w:space="0" w:color="auto"/>
              <w:bottom w:val="nil" w:sz="6" w:space="0" w:color="auto"/>
              <w:right w:val="nil" w:sz="6" w:space="0" w:color="auto"/>
            </w:tcBorders>
          </w:tcPr>
          <w:p>
            <w:pPr/>
          </w:p>
        </w:tc>
        <w:tc>
          <w:tcPr>
            <w:tcW w:w="1624" w:type="dxa"/>
            <w:tcBorders>
              <w:top w:val="nil" w:sz="6" w:space="0" w:color="auto"/>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与本集团关系</w:t>
            </w:r>
          </w:p>
        </w:tc>
        <w:tc>
          <w:tcPr>
            <w:tcW w:w="1096" w:type="dxa"/>
            <w:tcBorders>
              <w:top w:val="single" w:sz="6" w:space="0" w:color="000000"/>
              <w:left w:val="nil" w:sz="6" w:space="0" w:color="auto"/>
              <w:bottom w:val="single" w:sz="6" w:space="0" w:color="000000"/>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338"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090" w:type="dxa"/>
            <w:tcBorders>
              <w:top w:val="single" w:sz="6" w:space="0" w:color="000000"/>
              <w:left w:val="nil" w:sz="6" w:space="0" w:color="auto"/>
              <w:bottom w:val="single" w:sz="6" w:space="0" w:color="000000"/>
              <w:right w:val="nil" w:sz="6" w:space="0" w:color="auto"/>
            </w:tcBorders>
          </w:tcPr>
          <w:p>
            <w:pPr>
              <w:pStyle w:val="TableParagraph"/>
              <w:spacing w:line="206" w:lineRule="exact"/>
              <w:ind w:left="137" w:right="0" w:firstLine="180"/>
              <w:jc w:val="left"/>
              <w:rPr>
                <w:rFonts w:ascii="宋体" w:hAnsi="宋体" w:cs="宋体" w:eastAsia="宋体" w:hint="default"/>
                <w:sz w:val="18"/>
                <w:szCs w:val="18"/>
              </w:rPr>
            </w:pPr>
            <w:r>
              <w:rPr>
                <w:rFonts w:ascii="宋体" w:hAnsi="宋体" w:cs="宋体" w:eastAsia="宋体" w:hint="default"/>
                <w:sz w:val="18"/>
                <w:szCs w:val="18"/>
              </w:rPr>
              <w:t>占预付</w:t>
            </w:r>
          </w:p>
          <w:p>
            <w:pPr>
              <w:pStyle w:val="TableParagraph"/>
              <w:spacing w:line="235" w:lineRule="exact"/>
              <w:ind w:left="137" w:right="0"/>
              <w:jc w:val="left"/>
              <w:rPr>
                <w:rFonts w:ascii="宋体" w:hAnsi="宋体" w:cs="宋体" w:eastAsia="宋体" w:hint="default"/>
                <w:sz w:val="18"/>
                <w:szCs w:val="18"/>
              </w:rPr>
            </w:pPr>
            <w:r>
              <w:rPr>
                <w:rFonts w:ascii="宋体" w:hAnsi="宋体" w:cs="宋体" w:eastAsia="宋体" w:hint="default"/>
                <w:sz w:val="18"/>
                <w:szCs w:val="18"/>
              </w:rPr>
              <w:t>账款比例</w:t>
            </w:r>
          </w:p>
        </w:tc>
        <w:tc>
          <w:tcPr>
            <w:tcW w:w="682" w:type="dxa"/>
            <w:tcBorders>
              <w:top w:val="single" w:sz="6" w:space="0" w:color="000000"/>
              <w:left w:val="nil" w:sz="6" w:space="0" w:color="auto"/>
              <w:bottom w:val="single" w:sz="6" w:space="0" w:color="000000"/>
              <w:right w:val="nil" w:sz="6" w:space="0" w:color="auto"/>
            </w:tcBorders>
          </w:tcPr>
          <w:p>
            <w:pPr>
              <w:pStyle w:val="TableParagraph"/>
              <w:spacing w:line="206" w:lineRule="exact"/>
              <w:ind w:left="232" w:right="0"/>
              <w:jc w:val="left"/>
              <w:rPr>
                <w:rFonts w:ascii="宋体" w:hAnsi="宋体" w:cs="宋体" w:eastAsia="宋体" w:hint="default"/>
                <w:sz w:val="18"/>
                <w:szCs w:val="18"/>
              </w:rPr>
            </w:pPr>
            <w:r>
              <w:rPr>
                <w:rFonts w:ascii="宋体" w:hAnsi="宋体" w:cs="宋体" w:eastAsia="宋体" w:hint="default"/>
                <w:sz w:val="18"/>
                <w:szCs w:val="18"/>
              </w:rPr>
              <w:t>坏账</w:t>
            </w:r>
          </w:p>
          <w:p>
            <w:pPr>
              <w:pStyle w:val="TableParagraph"/>
              <w:spacing w:line="235" w:lineRule="exact"/>
              <w:ind w:left="232" w:right="0"/>
              <w:jc w:val="left"/>
              <w:rPr>
                <w:rFonts w:ascii="宋体" w:hAnsi="宋体" w:cs="宋体" w:eastAsia="宋体" w:hint="default"/>
                <w:sz w:val="18"/>
                <w:szCs w:val="18"/>
              </w:rPr>
            </w:pPr>
            <w:r>
              <w:rPr>
                <w:rFonts w:ascii="宋体" w:hAnsi="宋体" w:cs="宋体" w:eastAsia="宋体" w:hint="default"/>
                <w:sz w:val="18"/>
                <w:szCs w:val="18"/>
              </w:rPr>
              <w:t>准备</w:t>
            </w:r>
          </w:p>
        </w:tc>
        <w:tc>
          <w:tcPr>
            <w:tcW w:w="1119" w:type="dxa"/>
            <w:tcBorders>
              <w:top w:val="single" w:sz="6" w:space="0" w:color="000000"/>
              <w:left w:val="nil" w:sz="6" w:space="0" w:color="auto"/>
              <w:bottom w:val="single" w:sz="6" w:space="0" w:color="000000"/>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872" w:type="dxa"/>
            <w:tcBorders>
              <w:top w:val="single" w:sz="6" w:space="0" w:color="000000"/>
              <w:left w:val="nil" w:sz="6" w:space="0" w:color="auto"/>
              <w:bottom w:val="single" w:sz="6" w:space="0" w:color="000000"/>
              <w:right w:val="nil" w:sz="6" w:space="0" w:color="auto"/>
            </w:tcBorders>
          </w:tcPr>
          <w:p>
            <w:pPr>
              <w:pStyle w:val="TableParagraph"/>
              <w:spacing w:line="206" w:lineRule="exact"/>
              <w:ind w:left="130" w:right="0" w:firstLine="180"/>
              <w:jc w:val="left"/>
              <w:rPr>
                <w:rFonts w:ascii="宋体" w:hAnsi="宋体" w:cs="宋体" w:eastAsia="宋体" w:hint="default"/>
                <w:sz w:val="18"/>
                <w:szCs w:val="18"/>
              </w:rPr>
            </w:pPr>
            <w:r>
              <w:rPr>
                <w:rFonts w:ascii="宋体" w:hAnsi="宋体" w:cs="宋体" w:eastAsia="宋体" w:hint="default"/>
                <w:sz w:val="18"/>
                <w:szCs w:val="18"/>
              </w:rPr>
              <w:t>占预付</w:t>
            </w:r>
          </w:p>
          <w:p>
            <w:pPr>
              <w:pStyle w:val="TableParagraph"/>
              <w:spacing w:line="235" w:lineRule="exact"/>
              <w:ind w:left="130" w:right="0"/>
              <w:jc w:val="left"/>
              <w:rPr>
                <w:rFonts w:ascii="宋体" w:hAnsi="宋体" w:cs="宋体" w:eastAsia="宋体" w:hint="default"/>
                <w:sz w:val="18"/>
                <w:szCs w:val="18"/>
              </w:rPr>
            </w:pPr>
            <w:r>
              <w:rPr>
                <w:rFonts w:ascii="宋体" w:hAnsi="宋体" w:cs="宋体" w:eastAsia="宋体" w:hint="default"/>
                <w:sz w:val="18"/>
                <w:szCs w:val="18"/>
              </w:rPr>
              <w:t>账款比例</w:t>
            </w:r>
          </w:p>
        </w:tc>
        <w:tc>
          <w:tcPr>
            <w:tcW w:w="138" w:type="dxa"/>
            <w:tcBorders>
              <w:top w:val="single" w:sz="6" w:space="0" w:color="000000"/>
              <w:left w:val="nil" w:sz="6" w:space="0" w:color="auto"/>
              <w:bottom w:val="nil" w:sz="6" w:space="0" w:color="auto"/>
              <w:right w:val="nil" w:sz="6" w:space="0" w:color="auto"/>
            </w:tcBorders>
          </w:tcPr>
          <w:p>
            <w:pPr/>
          </w:p>
        </w:tc>
        <w:tc>
          <w:tcPr>
            <w:tcW w:w="665" w:type="dxa"/>
            <w:tcBorders>
              <w:top w:val="single" w:sz="6" w:space="0" w:color="000000"/>
              <w:left w:val="nil" w:sz="6" w:space="0" w:color="auto"/>
              <w:bottom w:val="single" w:sz="6" w:space="0" w:color="000000"/>
              <w:right w:val="nil" w:sz="6" w:space="0" w:color="auto"/>
            </w:tcBorders>
          </w:tcPr>
          <w:p>
            <w:pPr>
              <w:pStyle w:val="TableParagraph"/>
              <w:spacing w:line="206" w:lineRule="exact"/>
              <w:ind w:left="269" w:right="0"/>
              <w:jc w:val="left"/>
              <w:rPr>
                <w:rFonts w:ascii="宋体" w:hAnsi="宋体" w:cs="宋体" w:eastAsia="宋体" w:hint="default"/>
                <w:sz w:val="18"/>
                <w:szCs w:val="18"/>
              </w:rPr>
            </w:pPr>
            <w:r>
              <w:rPr>
                <w:rFonts w:ascii="宋体" w:hAnsi="宋体" w:cs="宋体" w:eastAsia="宋体" w:hint="default"/>
                <w:sz w:val="18"/>
                <w:szCs w:val="18"/>
              </w:rPr>
              <w:t>坏账</w:t>
            </w:r>
          </w:p>
          <w:p>
            <w:pPr>
              <w:pStyle w:val="TableParagraph"/>
              <w:spacing w:line="235" w:lineRule="exact"/>
              <w:ind w:left="269" w:right="0"/>
              <w:jc w:val="left"/>
              <w:rPr>
                <w:rFonts w:ascii="宋体" w:hAnsi="宋体" w:cs="宋体" w:eastAsia="宋体" w:hint="default"/>
                <w:sz w:val="18"/>
                <w:szCs w:val="18"/>
              </w:rPr>
            </w:pPr>
            <w:r>
              <w:rPr>
                <w:rFonts w:ascii="宋体" w:hAnsi="宋体" w:cs="宋体" w:eastAsia="宋体" w:hint="default"/>
                <w:sz w:val="18"/>
                <w:szCs w:val="18"/>
              </w:rPr>
              <w:t>准备</w:t>
            </w:r>
          </w:p>
        </w:tc>
      </w:tr>
      <w:tr>
        <w:trPr>
          <w:trHeight w:val="664" w:hRule="exact"/>
        </w:trPr>
        <w:tc>
          <w:tcPr>
            <w:tcW w:w="188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left="35" w:right="0"/>
              <w:jc w:val="left"/>
              <w:rPr>
                <w:rFonts w:ascii="宋体" w:hAnsi="宋体" w:cs="宋体" w:eastAsia="宋体" w:hint="default"/>
                <w:sz w:val="18"/>
                <w:szCs w:val="18"/>
              </w:rPr>
            </w:pPr>
            <w:r>
              <w:rPr>
                <w:rFonts w:ascii="宋体" w:hAnsi="宋体" w:cs="宋体" w:eastAsia="宋体" w:hint="default"/>
                <w:sz w:val="18"/>
                <w:szCs w:val="18"/>
              </w:rPr>
              <w:t>联通进出口</w:t>
            </w:r>
          </w:p>
        </w:tc>
        <w:tc>
          <w:tcPr>
            <w:tcW w:w="1624"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8"/>
              <w:ind w:left="35" w:right="0"/>
              <w:jc w:val="left"/>
              <w:rPr>
                <w:rFonts w:ascii="宋体" w:hAnsi="宋体" w:cs="宋体" w:eastAsia="宋体" w:hint="default"/>
                <w:sz w:val="18"/>
                <w:szCs w:val="18"/>
              </w:rPr>
            </w:pPr>
            <w:r>
              <w:rPr>
                <w:rFonts w:ascii="宋体" w:hAnsi="宋体" w:cs="宋体" w:eastAsia="宋体" w:hint="default"/>
                <w:sz w:val="18"/>
                <w:szCs w:val="18"/>
              </w:rPr>
              <w:t>同受联通集团控制</w:t>
            </w:r>
          </w:p>
        </w:tc>
        <w:tc>
          <w:tcPr>
            <w:tcW w:w="1096"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35"/>
              <w:jc w:val="right"/>
              <w:rPr>
                <w:rFonts w:ascii="Arial" w:hAnsi="Arial" w:cs="Arial" w:eastAsia="Arial" w:hint="default"/>
                <w:sz w:val="18"/>
                <w:szCs w:val="18"/>
              </w:rPr>
            </w:pPr>
            <w:r>
              <w:rPr>
                <w:rFonts w:ascii="Arial"/>
                <w:spacing w:val="-1"/>
                <w:sz w:val="18"/>
              </w:rPr>
              <w:t>70,143,058</w:t>
            </w:r>
          </w:p>
        </w:tc>
        <w:tc>
          <w:tcPr>
            <w:tcW w:w="1090"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55"/>
              <w:jc w:val="right"/>
              <w:rPr>
                <w:rFonts w:ascii="Arial" w:hAnsi="Arial" w:cs="Arial" w:eastAsia="Arial" w:hint="default"/>
                <w:sz w:val="18"/>
                <w:szCs w:val="18"/>
              </w:rPr>
            </w:pPr>
            <w:r>
              <w:rPr>
                <w:rFonts w:ascii="Arial"/>
                <w:spacing w:val="-1"/>
                <w:w w:val="95"/>
                <w:sz w:val="18"/>
              </w:rPr>
              <w:t>3.79%</w:t>
            </w:r>
            <w:r>
              <w:rPr>
                <w:rFonts w:ascii="Arial"/>
                <w:sz w:val="18"/>
              </w:rPr>
            </w:r>
          </w:p>
        </w:tc>
        <w:tc>
          <w:tcPr>
            <w:tcW w:w="682"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86"/>
              <w:jc w:val="right"/>
              <w:rPr>
                <w:rFonts w:ascii="Arial" w:hAnsi="Arial" w:cs="Arial" w:eastAsia="Arial" w:hint="default"/>
                <w:sz w:val="18"/>
                <w:szCs w:val="18"/>
              </w:rPr>
            </w:pPr>
            <w:r>
              <w:rPr>
                <w:rFonts w:ascii="Arial"/>
                <w:w w:val="99"/>
                <w:sz w:val="18"/>
              </w:rPr>
              <w:t>-</w:t>
            </w:r>
            <w:r>
              <w:rPr>
                <w:rFonts w:ascii="Arial"/>
                <w:sz w:val="18"/>
              </w:rPr>
            </w:r>
          </w:p>
        </w:tc>
        <w:tc>
          <w:tcPr>
            <w:tcW w:w="1119"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28"/>
              <w:jc w:val="right"/>
              <w:rPr>
                <w:rFonts w:ascii="Arial" w:hAnsi="Arial" w:cs="Arial" w:eastAsia="Arial" w:hint="default"/>
                <w:sz w:val="18"/>
                <w:szCs w:val="18"/>
              </w:rPr>
            </w:pPr>
            <w:r>
              <w:rPr>
                <w:rFonts w:ascii="Arial"/>
                <w:spacing w:val="-1"/>
                <w:sz w:val="18"/>
              </w:rPr>
              <w:t>98,894,020</w:t>
            </w:r>
          </w:p>
        </w:tc>
        <w:tc>
          <w:tcPr>
            <w:tcW w:w="872"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0"/>
              <w:jc w:val="right"/>
              <w:rPr>
                <w:rFonts w:ascii="Arial" w:hAnsi="Arial" w:cs="Arial" w:eastAsia="Arial" w:hint="default"/>
                <w:sz w:val="18"/>
                <w:szCs w:val="18"/>
              </w:rPr>
            </w:pPr>
            <w:r>
              <w:rPr>
                <w:rFonts w:ascii="Arial"/>
                <w:spacing w:val="-1"/>
                <w:w w:val="95"/>
                <w:sz w:val="18"/>
              </w:rPr>
              <w:t>5.60%</w:t>
            </w:r>
            <w:r>
              <w:rPr>
                <w:rFonts w:ascii="Arial"/>
                <w:sz w:val="18"/>
              </w:rPr>
            </w:r>
          </w:p>
        </w:tc>
        <w:tc>
          <w:tcPr>
            <w:tcW w:w="138" w:type="dxa"/>
            <w:tcBorders>
              <w:top w:val="nil" w:sz="6" w:space="0" w:color="auto"/>
              <w:left w:val="nil" w:sz="6" w:space="0" w:color="auto"/>
              <w:bottom w:val="nil" w:sz="6" w:space="0" w:color="auto"/>
              <w:right w:val="nil" w:sz="6" w:space="0" w:color="auto"/>
            </w:tcBorders>
          </w:tcPr>
          <w:p>
            <w:pPr/>
          </w:p>
        </w:tc>
        <w:tc>
          <w:tcPr>
            <w:tcW w:w="665"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7"/>
              <w:jc w:val="right"/>
              <w:rPr>
                <w:rFonts w:ascii="Arial" w:hAnsi="Arial" w:cs="Arial" w:eastAsia="Arial" w:hint="default"/>
                <w:sz w:val="18"/>
                <w:szCs w:val="18"/>
              </w:rPr>
            </w:pPr>
            <w:r>
              <w:rPr>
                <w:rFonts w:ascii="Arial"/>
                <w:w w:val="99"/>
                <w:sz w:val="18"/>
              </w:rPr>
              <w:t>-</w:t>
            </w:r>
            <w:r>
              <w:rPr>
                <w:rFonts w:ascii="Arial"/>
                <w:sz w:val="18"/>
              </w:rPr>
            </w:r>
          </w:p>
        </w:tc>
      </w:tr>
      <w:tr>
        <w:trPr>
          <w:trHeight w:val="218" w:hRule="exact"/>
        </w:trPr>
        <w:tc>
          <w:tcPr>
            <w:tcW w:w="1889"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联通新时讯</w:t>
            </w:r>
          </w:p>
        </w:tc>
        <w:tc>
          <w:tcPr>
            <w:tcW w:w="1624" w:type="dxa"/>
            <w:tcBorders>
              <w:top w:val="nil" w:sz="6" w:space="0" w:color="auto"/>
              <w:left w:val="nil" w:sz="6" w:space="0" w:color="auto"/>
              <w:bottom w:val="nil" w:sz="6" w:space="0" w:color="auto"/>
              <w:right w:val="nil" w:sz="6" w:space="0" w:color="auto"/>
            </w:tcBorders>
          </w:tcPr>
          <w:p>
            <w:pPr>
              <w:pStyle w:val="TableParagraph"/>
              <w:spacing w:line="196" w:lineRule="exact"/>
              <w:ind w:left="36" w:right="0"/>
              <w:jc w:val="left"/>
              <w:rPr>
                <w:rFonts w:ascii="宋体" w:hAnsi="宋体" w:cs="宋体" w:eastAsia="宋体" w:hint="default"/>
                <w:sz w:val="18"/>
                <w:szCs w:val="18"/>
              </w:rPr>
            </w:pPr>
            <w:r>
              <w:rPr>
                <w:rFonts w:ascii="宋体" w:hAnsi="宋体" w:cs="宋体" w:eastAsia="宋体" w:hint="default"/>
                <w:sz w:val="18"/>
                <w:szCs w:val="18"/>
              </w:rPr>
              <w:t>同受联通集团控制</w:t>
            </w:r>
          </w:p>
        </w:tc>
        <w:tc>
          <w:tcPr>
            <w:tcW w:w="10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35"/>
              <w:jc w:val="right"/>
              <w:rPr>
                <w:rFonts w:ascii="Arial" w:hAnsi="Arial" w:cs="Arial" w:eastAsia="Arial" w:hint="default"/>
                <w:sz w:val="18"/>
                <w:szCs w:val="18"/>
              </w:rPr>
            </w:pPr>
            <w:r>
              <w:rPr>
                <w:rFonts w:ascii="Arial"/>
                <w:w w:val="99"/>
                <w:sz w:val="18"/>
              </w:rPr>
              <w:t>-</w:t>
            </w:r>
            <w:r>
              <w:rPr>
                <w:rFonts w:ascii="Arial"/>
                <w:sz w:val="18"/>
              </w:rPr>
            </w:r>
          </w:p>
        </w:tc>
        <w:tc>
          <w:tcPr>
            <w:tcW w:w="109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54"/>
              <w:jc w:val="right"/>
              <w:rPr>
                <w:rFonts w:ascii="Arial" w:hAnsi="Arial" w:cs="Arial" w:eastAsia="Arial" w:hint="default"/>
                <w:sz w:val="18"/>
                <w:szCs w:val="18"/>
              </w:rPr>
            </w:pPr>
            <w:r>
              <w:rPr>
                <w:rFonts w:ascii="Arial"/>
                <w:spacing w:val="-1"/>
                <w:w w:val="95"/>
                <w:sz w:val="18"/>
              </w:rPr>
              <w:t>0.00%</w:t>
            </w:r>
            <w:r>
              <w:rPr>
                <w:rFonts w:ascii="Arial"/>
                <w:sz w:val="18"/>
              </w:rPr>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5"/>
              <w:jc w:val="right"/>
              <w:rPr>
                <w:rFonts w:ascii="Arial" w:hAnsi="Arial" w:cs="Arial" w:eastAsia="Arial" w:hint="default"/>
                <w:sz w:val="18"/>
                <w:szCs w:val="18"/>
              </w:rPr>
            </w:pPr>
            <w:r>
              <w:rPr>
                <w:rFonts w:ascii="Arial"/>
                <w:w w:val="99"/>
                <w:sz w:val="18"/>
              </w:rPr>
              <w:t>-</w:t>
            </w:r>
            <w:r>
              <w:rPr>
                <w:rFonts w:ascii="Arial"/>
                <w:sz w:val="18"/>
              </w:rPr>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8"/>
              <w:jc w:val="right"/>
              <w:rPr>
                <w:rFonts w:ascii="Arial" w:hAnsi="Arial" w:cs="Arial" w:eastAsia="Arial" w:hint="default"/>
                <w:sz w:val="18"/>
                <w:szCs w:val="18"/>
              </w:rPr>
            </w:pPr>
            <w:r>
              <w:rPr>
                <w:rFonts w:ascii="Arial"/>
                <w:spacing w:val="-1"/>
                <w:sz w:val="18"/>
              </w:rPr>
              <w:t>1,852,469</w:t>
            </w:r>
            <w:r>
              <w:rPr>
                <w:rFonts w:ascii="Arial"/>
                <w:sz w:val="18"/>
              </w:rPr>
            </w:r>
          </w:p>
        </w:tc>
        <w:tc>
          <w:tcPr>
            <w:tcW w:w="87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
              <w:jc w:val="right"/>
              <w:rPr>
                <w:rFonts w:ascii="Arial" w:hAnsi="Arial" w:cs="Arial" w:eastAsia="Arial" w:hint="default"/>
                <w:sz w:val="18"/>
                <w:szCs w:val="18"/>
              </w:rPr>
            </w:pPr>
            <w:r>
              <w:rPr>
                <w:rFonts w:ascii="Arial"/>
                <w:spacing w:val="-1"/>
                <w:w w:val="95"/>
                <w:sz w:val="18"/>
              </w:rPr>
              <w:t>0.10%</w:t>
            </w:r>
            <w:r>
              <w:rPr>
                <w:rFonts w:ascii="Arial"/>
                <w:sz w:val="18"/>
              </w:rPr>
            </w:r>
          </w:p>
        </w:tc>
        <w:tc>
          <w:tcPr>
            <w:tcW w:w="138" w:type="dxa"/>
            <w:tcBorders>
              <w:top w:val="nil" w:sz="6" w:space="0" w:color="auto"/>
              <w:left w:val="nil" w:sz="6" w:space="0" w:color="auto"/>
              <w:bottom w:val="nil" w:sz="6" w:space="0" w:color="auto"/>
              <w:right w:val="nil" w:sz="6" w:space="0" w:color="auto"/>
            </w:tcBorders>
          </w:tcPr>
          <w:p>
            <w:pPr/>
          </w:p>
        </w:tc>
        <w:tc>
          <w:tcPr>
            <w:tcW w:w="6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Arial" w:hAnsi="Arial" w:cs="Arial" w:eastAsia="Arial" w:hint="default"/>
                <w:sz w:val="18"/>
                <w:szCs w:val="18"/>
              </w:rPr>
            </w:pPr>
            <w:r>
              <w:rPr>
                <w:rFonts w:ascii="Arial"/>
                <w:w w:val="99"/>
                <w:sz w:val="18"/>
              </w:rPr>
              <w:t>-</w:t>
            </w:r>
            <w:r>
              <w:rPr>
                <w:rFonts w:ascii="Arial"/>
                <w:sz w:val="18"/>
              </w:rPr>
            </w:r>
          </w:p>
        </w:tc>
      </w:tr>
    </w:tbl>
    <w:p>
      <w:pPr>
        <w:tabs>
          <w:tab w:pos="5490" w:val="left" w:leader="none"/>
          <w:tab w:pos="6690" w:val="left" w:leader="none"/>
          <w:tab w:pos="8399" w:val="left" w:leader="none"/>
          <w:tab w:pos="9562" w:val="left" w:leader="none"/>
          <w:tab w:pos="9689" w:val="left" w:leader="none"/>
        </w:tabs>
        <w:spacing w:before="0"/>
        <w:ind w:left="593" w:right="100" w:firstLine="0"/>
        <w:jc w:val="left"/>
        <w:rPr>
          <w:rFonts w:ascii="Arial" w:hAnsi="Arial" w:cs="Arial" w:eastAsia="Arial" w:hint="default"/>
          <w:sz w:val="18"/>
          <w:szCs w:val="18"/>
        </w:rPr>
      </w:pPr>
      <w:r>
        <w:rPr>
          <w:rFonts w:ascii="宋体" w:hAnsi="宋体" w:cs="宋体" w:eastAsia="宋体" w:hint="default"/>
          <w:position w:val="1"/>
          <w:sz w:val="18"/>
          <w:szCs w:val="18"/>
        </w:rPr>
        <w:t>联通集团其他附属公司 同受联通集团控制  </w:t>
      </w:r>
      <w:r>
        <w:rPr>
          <w:rFonts w:ascii="宋体" w:hAnsi="宋体" w:cs="宋体" w:eastAsia="宋体" w:hint="default"/>
          <w:spacing w:val="37"/>
          <w:position w:val="1"/>
          <w:sz w:val="18"/>
          <w:szCs w:val="18"/>
        </w:rPr>
        <w:t> </w:t>
      </w:r>
      <w:r>
        <w:rPr>
          <w:rFonts w:ascii="Arial" w:hAnsi="Arial" w:cs="Arial" w:eastAsia="Arial" w:hint="default"/>
          <w:spacing w:val="37"/>
          <w:sz w:val="18"/>
          <w:szCs w:val="18"/>
        </w:rPr>
      </w:r>
      <w:r>
        <w:rPr>
          <w:rFonts w:ascii="Arial" w:hAnsi="Arial" w:cs="Arial" w:eastAsia="Arial" w:hint="default"/>
          <w:spacing w:val="37"/>
          <w:sz w:val="18"/>
          <w:szCs w:val="18"/>
          <w:u w:val="single" w:color="000000"/>
        </w:rPr>
        <w:t> </w:t>
      </w:r>
      <w:r>
        <w:rPr>
          <w:rFonts w:ascii="Arial" w:hAnsi="Arial" w:cs="Arial" w:eastAsia="Arial" w:hint="default"/>
          <w:spacing w:val="-1"/>
          <w:sz w:val="18"/>
          <w:szCs w:val="18"/>
          <w:u w:val="single" w:color="000000"/>
        </w:rPr>
        <w:t>2,496,093</w:t>
      </w:r>
      <w:r>
        <w:rPr>
          <w:rFonts w:ascii="Arial" w:hAnsi="Arial" w:cs="Arial" w:eastAsia="Arial" w:hint="default"/>
          <w:spacing w:val="-1"/>
          <w:sz w:val="18"/>
          <w:szCs w:val="18"/>
        </w:rPr>
      </w:r>
      <w:r>
        <w:rPr>
          <w:rFonts w:ascii="Arial" w:hAnsi="Arial" w:cs="Arial" w:eastAsia="Arial" w:hint="default"/>
          <w:spacing w:val="-1"/>
          <w:sz w:val="18"/>
          <w:szCs w:val="18"/>
          <w:u w:val="single" w:color="000000"/>
        </w:rPr>
        <w:t> </w:t>
        <w:tab/>
        <w:t>0.13%</w:t>
      </w:r>
      <w:r>
        <w:rPr>
          <w:rFonts w:ascii="Arial" w:hAnsi="Arial" w:cs="Arial" w:eastAsia="Arial" w:hint="default"/>
          <w:spacing w:val="-1"/>
          <w:sz w:val="18"/>
          <w:szCs w:val="18"/>
        </w:rPr>
      </w:r>
      <w:r>
        <w:rPr>
          <w:rFonts w:ascii="Arial" w:hAnsi="Arial" w:cs="Arial" w:eastAsia="Arial" w:hint="default"/>
          <w:spacing w:val="-1"/>
          <w:sz w:val="18"/>
          <w:szCs w:val="18"/>
          <w:u w:val="single" w:color="000000"/>
        </w:rPr>
        <w:t> </w:t>
        <w:tab/>
      </w:r>
      <w:r>
        <w:rPr>
          <w:rFonts w:ascii="Arial" w:hAnsi="Arial" w:cs="Arial" w:eastAsia="Arial" w:hint="default"/>
          <w:sz w:val="18"/>
          <w:szCs w:val="18"/>
          <w:u w:val="single" w:color="000000"/>
        </w:rPr>
        <w:t>-    </w:t>
      </w:r>
      <w:r>
        <w:rPr>
          <w:rFonts w:ascii="Arial" w:hAnsi="Arial" w:cs="Arial" w:eastAsia="Arial" w:hint="default"/>
          <w:spacing w:val="29"/>
          <w:sz w:val="18"/>
          <w:szCs w:val="18"/>
          <w:u w:val="single" w:color="000000"/>
        </w:rPr>
        <w:t> </w:t>
      </w:r>
      <w:r>
        <w:rPr>
          <w:rFonts w:ascii="Arial" w:hAnsi="Arial" w:cs="Arial" w:eastAsia="Arial" w:hint="default"/>
          <w:spacing w:val="29"/>
          <w:sz w:val="18"/>
          <w:szCs w:val="18"/>
        </w:rPr>
      </w:r>
      <w:r>
        <w:rPr>
          <w:rFonts w:ascii="Arial" w:hAnsi="Arial" w:cs="Arial" w:eastAsia="Arial" w:hint="default"/>
          <w:spacing w:val="29"/>
          <w:sz w:val="18"/>
          <w:szCs w:val="18"/>
          <w:u w:val="single" w:color="000000"/>
        </w:rPr>
        <w:t> </w:t>
      </w:r>
      <w:r>
        <w:rPr>
          <w:rFonts w:ascii="Arial" w:hAnsi="Arial" w:cs="Arial" w:eastAsia="Arial" w:hint="default"/>
          <w:spacing w:val="-1"/>
          <w:sz w:val="18"/>
          <w:szCs w:val="18"/>
          <w:u w:val="single" w:color="000000"/>
        </w:rPr>
        <w:t>22,773,225</w:t>
      </w:r>
      <w:r>
        <w:rPr>
          <w:rFonts w:ascii="Arial" w:hAnsi="Arial" w:cs="Arial" w:eastAsia="Arial" w:hint="default"/>
          <w:spacing w:val="-1"/>
          <w:sz w:val="18"/>
          <w:szCs w:val="18"/>
        </w:rPr>
      </w:r>
      <w:r>
        <w:rPr>
          <w:rFonts w:ascii="Arial" w:hAnsi="Arial" w:cs="Arial" w:eastAsia="Arial" w:hint="default"/>
          <w:spacing w:val="-1"/>
          <w:sz w:val="18"/>
          <w:szCs w:val="18"/>
          <w:u w:val="single" w:color="000000"/>
        </w:rPr>
        <w:t> </w:t>
        <w:tab/>
        <w:t>1.29%</w:t>
      </w:r>
      <w:r>
        <w:rPr>
          <w:rFonts w:ascii="Arial" w:hAnsi="Arial" w:cs="Arial" w:eastAsia="Arial" w:hint="default"/>
          <w:spacing w:val="-1"/>
          <w:sz w:val="18"/>
          <w:szCs w:val="18"/>
        </w:rPr>
      </w:r>
      <w:r>
        <w:rPr>
          <w:rFonts w:ascii="Arial" w:hAnsi="Arial" w:cs="Arial" w:eastAsia="Arial" w:hint="default"/>
          <w:spacing w:val="-1"/>
          <w:sz w:val="18"/>
          <w:szCs w:val="18"/>
          <w:u w:val="single" w:color="000000"/>
        </w:rPr>
        <w:t> </w:t>
        <w:tab/>
      </w:r>
      <w:r>
        <w:rPr>
          <w:rFonts w:ascii="Arial" w:hAnsi="Arial" w:cs="Arial" w:eastAsia="Arial" w:hint="default"/>
          <w:sz w:val="18"/>
          <w:szCs w:val="18"/>
          <w:u w:val="single" w:color="000000"/>
        </w:rPr>
        <w:t>-</w:t>
        <w:tab/>
      </w:r>
      <w:r>
        <w:rPr>
          <w:rFonts w:ascii="Arial" w:hAnsi="Arial" w:cs="Arial" w:eastAsia="Arial" w:hint="default"/>
          <w:sz w:val="18"/>
          <w:szCs w:val="18"/>
        </w:rPr>
      </w:r>
    </w:p>
    <w:p>
      <w:pPr>
        <w:spacing w:line="240" w:lineRule="auto" w:before="1"/>
        <w:rPr>
          <w:rFonts w:ascii="Arial" w:hAnsi="Arial" w:cs="Arial" w:eastAsia="Arial" w:hint="default"/>
          <w:sz w:val="13"/>
          <w:szCs w:val="13"/>
        </w:rPr>
      </w:pPr>
    </w:p>
    <w:p>
      <w:pPr>
        <w:tabs>
          <w:tab w:pos="4129" w:val="left" w:leader="none"/>
          <w:tab w:pos="5490" w:val="left" w:leader="none"/>
          <w:tab w:pos="6690" w:val="left" w:leader="none"/>
          <w:tab w:pos="8399" w:val="left" w:leader="none"/>
          <w:tab w:pos="9562" w:val="left" w:leader="none"/>
        </w:tabs>
        <w:spacing w:before="47"/>
        <w:ind w:left="593" w:right="100" w:firstLine="0"/>
        <w:jc w:val="left"/>
        <w:rPr>
          <w:rFonts w:ascii="Arial" w:hAnsi="Arial" w:cs="Arial" w:eastAsia="Arial" w:hint="default"/>
          <w:sz w:val="18"/>
          <w:szCs w:val="18"/>
        </w:rPr>
      </w:pPr>
      <w:r>
        <w:rPr>
          <w:rFonts w:ascii="宋体" w:hAnsi="宋体" w:cs="宋体" w:eastAsia="宋体" w:hint="default"/>
          <w:position w:val="1"/>
          <w:sz w:val="18"/>
          <w:szCs w:val="18"/>
        </w:rPr>
        <w:t>合计</w:t>
        <w:tab/>
      </w:r>
      <w:r>
        <w:rPr>
          <w:rFonts w:ascii="Arial" w:hAnsi="Arial" w:cs="Arial" w:eastAsia="Arial" w:hint="default"/>
          <w:spacing w:val="-1"/>
          <w:sz w:val="18"/>
          <w:szCs w:val="18"/>
        </w:rPr>
        <w:t>72,639,151</w:t>
        <w:tab/>
        <w:t>3.92%</w:t>
        <w:tab/>
      </w:r>
      <w:r>
        <w:rPr>
          <w:rFonts w:ascii="Arial" w:hAnsi="Arial" w:cs="Arial" w:eastAsia="Arial" w:hint="default"/>
          <w:sz w:val="18"/>
          <w:szCs w:val="18"/>
        </w:rPr>
        <w:t>-  </w:t>
      </w:r>
      <w:r>
        <w:rPr>
          <w:rFonts w:ascii="Arial" w:hAnsi="Arial" w:cs="Arial" w:eastAsia="Arial" w:hint="default"/>
          <w:spacing w:val="29"/>
          <w:sz w:val="18"/>
          <w:szCs w:val="18"/>
        </w:rPr>
        <w:t> </w:t>
      </w:r>
      <w:r>
        <w:rPr>
          <w:rFonts w:ascii="Arial" w:hAnsi="Arial" w:cs="Arial" w:eastAsia="Arial" w:hint="default"/>
          <w:spacing w:val="-1"/>
          <w:sz w:val="18"/>
          <w:szCs w:val="18"/>
        </w:rPr>
        <w:t>123,519,714</w:t>
        <w:tab/>
        <w:t>6.99%</w:t>
        <w:tab/>
      </w:r>
      <w:r>
        <w:rPr>
          <w:rFonts w:ascii="Arial" w:hAnsi="Arial" w:cs="Arial" w:eastAsia="Arial" w:hint="default"/>
          <w:sz w:val="18"/>
          <w:szCs w:val="18"/>
        </w:rPr>
        <w:t>-</w:t>
      </w:r>
    </w:p>
    <w:p>
      <w:pPr>
        <w:spacing w:line="43" w:lineRule="exact"/>
        <w:ind w:left="4056" w:right="0" w:firstLine="0"/>
        <w:rPr>
          <w:rFonts w:ascii="Arial" w:hAnsi="Arial" w:cs="Arial" w:eastAsia="Arial" w:hint="default"/>
          <w:sz w:val="4"/>
          <w:szCs w:val="4"/>
        </w:rPr>
      </w:pPr>
      <w:r>
        <w:rPr>
          <w:rFonts w:ascii="Arial"/>
          <w:position w:val="0"/>
          <w:sz w:val="4"/>
        </w:rPr>
        <w:pict>
          <v:group style="width:244.4pt;height:2.2pt;mso-position-horizontal-relative:char;mso-position-vertical-relative:line" coordorigin="0,0" coordsize="4888,44">
            <v:group style="position:absolute;left:7;top:36;width:1037;height:2" coordorigin="7,36" coordsize="1037,2">
              <v:shape style="position:absolute;left:7;top:36;width:1037;height:2" coordorigin="7,36" coordsize="1037,0" path="m7,36l1044,36e" filled="false" stroked="true" strokeweight=".72pt" strokecolor="#000000">
                <v:path arrowok="t"/>
              </v:shape>
            </v:group>
            <v:group style="position:absolute;left:7;top:7;width:1037;height:2" coordorigin="7,7" coordsize="1037,2">
              <v:shape style="position:absolute;left:7;top:7;width:1037;height:2" coordorigin="7,7" coordsize="1037,0" path="m7,7l1044,7e" filled="false" stroked="true" strokeweight=".72pt" strokecolor="#000000">
                <v:path arrowok="t"/>
              </v:shape>
            </v:group>
            <v:group style="position:absolute;left:1086;top:36;width:923;height:2" coordorigin="1086,36" coordsize="923,2">
              <v:shape style="position:absolute;left:1086;top:36;width:923;height:2" coordorigin="1086,36" coordsize="923,0" path="m1086,36l2009,36e" filled="false" stroked="true" strokeweight=".72pt" strokecolor="#000000">
                <v:path arrowok="t"/>
              </v:shape>
            </v:group>
            <v:group style="position:absolute;left:1086;top:7;width:923;height:2" coordorigin="1086,7" coordsize="923,2">
              <v:shape style="position:absolute;left:1086;top:7;width:923;height:2" coordorigin="1086,7" coordsize="923,0" path="m1086,7l2009,7e" filled="false" stroked="true" strokeweight=".72pt" strokecolor="#000000">
                <v:path arrowok="t"/>
              </v:shape>
            </v:group>
            <v:group style="position:absolute;left:2065;top:36;width:729;height:2" coordorigin="2065,36" coordsize="729,2">
              <v:shape style="position:absolute;left:2065;top:36;width:729;height:2" coordorigin="2065,36" coordsize="729,0" path="m2065,36l2794,36e" filled="false" stroked="true" strokeweight=".72pt" strokecolor="#000000">
                <v:path arrowok="t"/>
              </v:shape>
            </v:group>
            <v:group style="position:absolute;left:2065;top:7;width:729;height:2" coordorigin="2065,7" coordsize="729,2">
              <v:shape style="position:absolute;left:2065;top:7;width:729;height:2" coordorigin="2065,7" coordsize="729,0" path="m2065,7l2794,7e" filled="false" stroked="true" strokeweight=".72pt" strokecolor="#000000">
                <v:path arrowok="t"/>
              </v:shape>
            </v:group>
            <v:group style="position:absolute;left:2852;top:36;width:1089;height:2" coordorigin="2852,36" coordsize="1089,2">
              <v:shape style="position:absolute;left:2852;top:36;width:1089;height:2" coordorigin="2852,36" coordsize="1089,0" path="m2852,36l3941,36e" filled="false" stroked="true" strokeweight=".72pt" strokecolor="#000000">
                <v:path arrowok="t"/>
              </v:shape>
            </v:group>
            <v:group style="position:absolute;left:2852;top:7;width:1089;height:2" coordorigin="2852,7" coordsize="1089,2">
              <v:shape style="position:absolute;left:2852;top:7;width:1089;height:2" coordorigin="2852,7" coordsize="1089,0" path="m2852,7l3941,7e" filled="false" stroked="true" strokeweight=".72pt" strokecolor="#000000">
                <v:path arrowok="t"/>
              </v:shape>
            </v:group>
            <v:group style="position:absolute;left:3978;top:36;width:903;height:2" coordorigin="3978,36" coordsize="903,2">
              <v:shape style="position:absolute;left:3978;top:36;width:903;height:2" coordorigin="3978,36" coordsize="903,0" path="m3978,36l4880,36e" filled="false" stroked="true" strokeweight=".72pt" strokecolor="#000000">
                <v:path arrowok="t"/>
              </v:shape>
            </v:group>
            <v:group style="position:absolute;left:3978;top:7;width:903;height:2" coordorigin="3978,7" coordsize="903,2">
              <v:shape style="position:absolute;left:3978;top:7;width:903;height:2" coordorigin="3978,7" coordsize="903,0" path="m3978,7l4880,7e" filled="false" stroked="true" strokeweight=".72pt" strokecolor="#000000">
                <v:path arrowok="t"/>
              </v:shape>
            </v:group>
          </v:group>
        </w:pict>
      </w:r>
      <w:r>
        <w:rPr>
          <w:rFonts w:ascii="Arial"/>
          <w:position w:val="0"/>
          <w:sz w:val="4"/>
        </w:rPr>
      </w:r>
      <w:r>
        <w:rPr>
          <w:rFonts w:ascii="Times New Roman"/>
          <w:spacing w:val="93"/>
          <w:position w:val="0"/>
          <w:sz w:val="4"/>
        </w:rPr>
        <w:t> </w:t>
      </w:r>
      <w:r>
        <w:rPr>
          <w:rFonts w:ascii="Arial"/>
          <w:spacing w:val="93"/>
          <w:position w:val="0"/>
          <w:sz w:val="4"/>
        </w:rPr>
        <w:pict>
          <v:group style="width:32.5500pt;height:2.2pt;mso-position-horizontal-relative:char;mso-position-vertical-relative:line" coordorigin="0,0" coordsize="651,44">
            <v:group style="position:absolute;left:7;top:36;width:636;height:2" coordorigin="7,36" coordsize="636,2">
              <v:shape style="position:absolute;left:7;top:36;width:636;height:2" coordorigin="7,36" coordsize="636,0" path="m7,36l643,36e" filled="false" stroked="true" strokeweight=".72pt" strokecolor="#000000">
                <v:path arrowok="t"/>
              </v:shape>
            </v:group>
            <v:group style="position:absolute;left:7;top:7;width:636;height:2" coordorigin="7,7" coordsize="636,2">
              <v:shape style="position:absolute;left:7;top:7;width:636;height:2" coordorigin="7,7" coordsize="636,0" path="m7,7l643,7e" filled="false" stroked="true" strokeweight=".72pt" strokecolor="#000000">
                <v:path arrowok="t"/>
              </v:shape>
            </v:group>
          </v:group>
        </w:pict>
      </w:r>
      <w:r>
        <w:rPr>
          <w:rFonts w:ascii="Arial"/>
          <w:spacing w:val="93"/>
          <w:position w:val="0"/>
          <w:sz w:val="4"/>
        </w:rPr>
      </w:r>
    </w:p>
    <w:p>
      <w:pPr>
        <w:spacing w:line="240" w:lineRule="auto" w:before="5"/>
        <w:rPr>
          <w:rFonts w:ascii="Arial" w:hAnsi="Arial" w:cs="Arial" w:eastAsia="Arial" w:hint="default"/>
          <w:sz w:val="16"/>
          <w:szCs w:val="16"/>
        </w:rPr>
      </w:pPr>
    </w:p>
    <w:p>
      <w:pPr>
        <w:pStyle w:val="BodyText"/>
        <w:spacing w:line="240" w:lineRule="auto" w:before="31"/>
        <w:ind w:left="102" w:right="100"/>
        <w:jc w:val="left"/>
      </w:pPr>
      <w:r>
        <w:rPr>
          <w:rFonts w:ascii="Arial" w:hAnsi="Arial" w:cs="Arial" w:eastAsia="Arial" w:hint="default"/>
        </w:rPr>
        <w:t>(e) </w:t>
      </w:r>
      <w:r>
        <w:rPr>
          <w:rFonts w:ascii="Arial" w:hAnsi="Arial" w:cs="Arial" w:eastAsia="Arial" w:hint="default"/>
          <w:spacing w:val="17"/>
        </w:rPr>
        <w:t> </w:t>
      </w:r>
      <w:r>
        <w:rPr/>
        <w:t>于</w:t>
      </w:r>
      <w:r>
        <w:rPr>
          <w:spacing w:val="-58"/>
        </w:rPr>
        <w:t> </w:t>
      </w:r>
      <w:r>
        <w:rPr>
          <w:rFonts w:ascii="Arial" w:hAnsi="Arial" w:cs="Arial" w:eastAsia="Arial" w:hint="default"/>
        </w:rPr>
        <w:t>2009</w:t>
      </w:r>
      <w:r>
        <w:rPr>
          <w:rFonts w:ascii="Arial" w:hAnsi="Arial" w:cs="Arial" w:eastAsia="Arial" w:hint="default"/>
          <w:spacing w:val="-9"/>
        </w:rPr>
        <w:t> </w:t>
      </w:r>
      <w:r>
        <w:rPr/>
        <w:t>年</w:t>
      </w:r>
      <w:r>
        <w:rPr>
          <w:spacing w:val="-58"/>
        </w:rPr>
        <w:t> </w:t>
      </w:r>
      <w:r>
        <w:rPr>
          <w:rFonts w:ascii="Arial" w:hAnsi="Arial" w:cs="Arial" w:eastAsia="Arial" w:hint="default"/>
        </w:rPr>
        <w:t>12</w:t>
      </w:r>
      <w:r>
        <w:rPr>
          <w:rFonts w:ascii="Arial" w:hAnsi="Arial" w:cs="Arial" w:eastAsia="Arial" w:hint="default"/>
          <w:spacing w:val="-9"/>
        </w:rPr>
        <w:t> </w:t>
      </w:r>
      <w:r>
        <w:rPr/>
        <w:t>月</w:t>
      </w:r>
      <w:r>
        <w:rPr>
          <w:spacing w:val="-58"/>
        </w:rPr>
        <w:t> </w:t>
      </w:r>
      <w:r>
        <w:rPr>
          <w:rFonts w:ascii="Arial" w:hAnsi="Arial" w:cs="Arial" w:eastAsia="Arial" w:hint="default"/>
        </w:rPr>
        <w:t>31</w:t>
      </w:r>
      <w:r>
        <w:rPr>
          <w:rFonts w:ascii="Arial" w:hAnsi="Arial" w:cs="Arial" w:eastAsia="Arial" w:hint="default"/>
          <w:spacing w:val="-9"/>
        </w:rPr>
        <w:t> </w:t>
      </w:r>
      <w:r>
        <w:rPr/>
        <w:t>日及</w:t>
      </w:r>
      <w:r>
        <w:rPr>
          <w:spacing w:val="-58"/>
        </w:rPr>
        <w:t> </w:t>
      </w:r>
      <w:r>
        <w:rPr>
          <w:rFonts w:ascii="Arial" w:hAnsi="Arial" w:cs="Arial" w:eastAsia="Arial" w:hint="default"/>
        </w:rPr>
        <w:t>2008</w:t>
      </w:r>
      <w:r>
        <w:rPr>
          <w:rFonts w:ascii="Arial" w:hAnsi="Arial" w:cs="Arial" w:eastAsia="Arial" w:hint="default"/>
          <w:spacing w:val="-9"/>
        </w:rPr>
        <w:t> </w:t>
      </w:r>
      <w:r>
        <w:rPr/>
        <w:t>年</w:t>
      </w:r>
      <w:r>
        <w:rPr>
          <w:spacing w:val="-58"/>
        </w:rPr>
        <w:t> </w:t>
      </w:r>
      <w:r>
        <w:rPr>
          <w:rFonts w:ascii="Arial" w:hAnsi="Arial" w:cs="Arial" w:eastAsia="Arial" w:hint="default"/>
        </w:rPr>
        <w:t>12</w:t>
      </w:r>
      <w:r>
        <w:rPr>
          <w:rFonts w:ascii="Arial" w:hAnsi="Arial" w:cs="Arial" w:eastAsia="Arial" w:hint="default"/>
          <w:spacing w:val="-9"/>
        </w:rPr>
        <w:t> </w:t>
      </w:r>
      <w:r>
        <w:rPr/>
        <w:t>月</w:t>
      </w:r>
      <w:r>
        <w:rPr>
          <w:spacing w:val="-58"/>
        </w:rPr>
        <w:t> </w:t>
      </w:r>
      <w:r>
        <w:rPr>
          <w:rFonts w:ascii="Arial" w:hAnsi="Arial" w:cs="Arial" w:eastAsia="Arial" w:hint="default"/>
        </w:rPr>
        <w:t>31</w:t>
      </w:r>
      <w:r>
        <w:rPr>
          <w:rFonts w:ascii="Arial" w:hAnsi="Arial" w:cs="Arial" w:eastAsia="Arial" w:hint="default"/>
          <w:spacing w:val="-9"/>
        </w:rPr>
        <w:t> </w:t>
      </w:r>
      <w:r>
        <w:rPr/>
        <w:t>日，本集团预付款项中以外币计价的余额并不重大。</w:t>
      </w:r>
    </w:p>
    <w:p>
      <w:pPr>
        <w:spacing w:after="0" w:line="240" w:lineRule="auto"/>
        <w:jc w:val="left"/>
        <w:sectPr>
          <w:type w:val="continuous"/>
          <w:pgSz w:w="11910" w:h="16840"/>
          <w:pgMar w:top="1600" w:bottom="280" w:left="1280" w:right="780"/>
        </w:sectPr>
      </w:pPr>
    </w:p>
    <w:p>
      <w:pPr>
        <w:spacing w:line="240" w:lineRule="auto" w:before="12"/>
        <w:rPr>
          <w:rFonts w:ascii="宋体" w:hAnsi="宋体" w:cs="宋体" w:eastAsia="宋体" w:hint="default"/>
          <w:sz w:val="14"/>
          <w:szCs w:val="14"/>
        </w:rPr>
      </w:pPr>
    </w:p>
    <w:p>
      <w:pPr>
        <w:pStyle w:val="BodyText"/>
        <w:spacing w:line="240" w:lineRule="auto" w:before="31"/>
        <w:ind w:left="116" w:right="3260"/>
        <w:jc w:val="left"/>
        <w:rPr>
          <w:rFonts w:ascii="黑体" w:hAnsi="黑体" w:cs="黑体" w:eastAsia="黑体" w:hint="default"/>
        </w:rPr>
      </w:pPr>
      <w:r>
        <w:rPr>
          <w:rFonts w:ascii="Arial" w:hAnsi="Arial" w:cs="Arial" w:eastAsia="Arial" w:hint="default"/>
        </w:rPr>
        <w:t>6</w:t>
      </w:r>
      <w:r>
        <w:rPr>
          <w:rFonts w:ascii="黑体" w:hAnsi="黑体" w:cs="黑体" w:eastAsia="黑体" w:hint="default"/>
        </w:rPr>
        <w:t>、</w:t>
      </w:r>
      <w:r>
        <w:rPr>
          <w:rFonts w:ascii="黑体" w:hAnsi="黑体" w:cs="黑体" w:eastAsia="黑体" w:hint="default"/>
          <w:spacing w:val="-49"/>
        </w:rPr>
        <w:t> </w:t>
      </w:r>
      <w:r>
        <w:rPr>
          <w:rFonts w:ascii="黑体" w:hAnsi="黑体" w:cs="黑体" w:eastAsia="黑体" w:hint="default"/>
        </w:rPr>
        <w:t>存货</w:t>
      </w:r>
    </w:p>
    <w:p>
      <w:pPr>
        <w:spacing w:line="240" w:lineRule="auto" w:before="13"/>
        <w:rPr>
          <w:rFonts w:ascii="黑体" w:hAnsi="黑体" w:cs="黑体" w:eastAsia="黑体" w:hint="default"/>
          <w:sz w:val="17"/>
          <w:szCs w:val="17"/>
        </w:rPr>
      </w:pPr>
    </w:p>
    <w:p>
      <w:pPr>
        <w:pStyle w:val="BodyText"/>
        <w:spacing w:line="240" w:lineRule="auto"/>
        <w:ind w:left="102" w:right="3260"/>
        <w:jc w:val="left"/>
      </w:pPr>
      <w:r>
        <w:rPr>
          <w:rFonts w:ascii="Arial" w:hAnsi="Arial" w:cs="Arial" w:eastAsia="Arial" w:hint="default"/>
        </w:rPr>
        <w:t>(a) </w:t>
      </w:r>
      <w:r>
        <w:rPr>
          <w:rFonts w:ascii="Arial" w:hAnsi="Arial" w:cs="Arial" w:eastAsia="Arial" w:hint="default"/>
          <w:spacing w:val="27"/>
        </w:rPr>
        <w:t> </w:t>
      </w:r>
      <w:r>
        <w:rPr/>
        <w:t>存货分类如下：</w:t>
      </w:r>
    </w:p>
    <w:p>
      <w:pPr>
        <w:spacing w:line="240" w:lineRule="auto" w:before="12"/>
        <w:rPr>
          <w:rFonts w:ascii="宋体" w:hAnsi="宋体" w:cs="宋体" w:eastAsia="宋体" w:hint="default"/>
          <w:sz w:val="14"/>
          <w:szCs w:val="14"/>
        </w:rPr>
      </w:pPr>
    </w:p>
    <w:p>
      <w:pPr>
        <w:tabs>
          <w:tab w:pos="3385" w:val="left" w:leader="none"/>
          <w:tab w:pos="5041" w:val="left" w:leader="none"/>
          <w:tab w:pos="6387" w:val="left" w:leader="none"/>
          <w:tab w:pos="6500" w:val="left" w:leader="none"/>
          <w:tab w:pos="8893" w:val="left" w:leader="none"/>
        </w:tabs>
        <w:spacing w:before="44"/>
        <w:ind w:left="2221" w:right="149" w:firstLine="822"/>
        <w:jc w:val="left"/>
        <w:rPr>
          <w:rFonts w:ascii="宋体" w:hAnsi="宋体" w:cs="宋体" w:eastAsia="宋体" w:hint="default"/>
          <w:sz w:val="18"/>
          <w:szCs w:val="18"/>
        </w:rPr>
      </w:pPr>
      <w:r>
        <w:rPr/>
        <w:pict>
          <v:group style="position:absolute;margin-left:157.320007pt;margin-top:15.409023pt;width:387.6pt;height:.75pt;mso-position-horizontal-relative:page;mso-position-vertical-relative:paragraph;z-index:-916072" coordorigin="3146,308" coordsize="7752,15">
            <v:group style="position:absolute;left:3154;top:315;width:3885;height:2" coordorigin="3154,315" coordsize="3885,2">
              <v:shape style="position:absolute;left:3154;top:315;width:3885;height:2" coordorigin="3154,315" coordsize="3885,0" path="m3154,315l7038,315e" filled="false" stroked="true" strokeweight=".72pt" strokecolor="#000000">
                <v:path arrowok="t"/>
              </v:shape>
            </v:group>
            <v:group style="position:absolute;left:7115;top:315;width:3777;height:2" coordorigin="7115,315" coordsize="3777,2">
              <v:shape style="position:absolute;left:7115;top:315;width:3777;height:2" coordorigin="7115,315" coordsize="3777,0" path="m7115,315l10891,315e" filled="false" stroked="true" strokeweight=".72pt" strokecolor="#000000">
                <v:path arrowok="t"/>
              </v:shape>
            </v:group>
            <w10:wrap type="none"/>
          </v:group>
        </w:pict>
      </w: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tab/>
        <w:tab/>
        <w:tab/>
      </w: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日（经重列） 账面余额</w:t>
        <w:tab/>
        <w:t>存货跌价准备</w:t>
        <w:tab/>
        <w:t>账面价值</w:t>
        <w:tab/>
        <w:t>账面余额</w:t>
      </w:r>
      <w:r>
        <w:rPr>
          <w:rFonts w:ascii="宋体" w:hAnsi="宋体" w:cs="宋体" w:eastAsia="宋体" w:hint="default"/>
          <w:spacing w:val="22"/>
          <w:sz w:val="18"/>
          <w:szCs w:val="18"/>
        </w:rPr>
        <w:t> </w:t>
      </w:r>
      <w:r>
        <w:rPr>
          <w:rFonts w:ascii="宋体" w:hAnsi="宋体" w:cs="宋体" w:eastAsia="宋体" w:hint="default"/>
          <w:sz w:val="18"/>
          <w:szCs w:val="18"/>
        </w:rPr>
        <w:t>存货跌价准备</w:t>
        <w:tab/>
        <w:t>账面价值</w:t>
      </w:r>
    </w:p>
    <w:p>
      <w:pPr>
        <w:spacing w:line="240" w:lineRule="auto" w:before="1"/>
        <w:rPr>
          <w:rFonts w:ascii="宋体" w:hAnsi="宋体" w:cs="宋体" w:eastAsia="宋体" w:hint="default"/>
          <w:sz w:val="2"/>
          <w:szCs w:val="2"/>
        </w:rPr>
      </w:pPr>
    </w:p>
    <w:p>
      <w:pPr>
        <w:spacing w:line="20" w:lineRule="exact"/>
        <w:ind w:left="1866" w:right="0" w:firstLine="0"/>
        <w:rPr>
          <w:rFonts w:ascii="宋体" w:hAnsi="宋体" w:cs="宋体" w:eastAsia="宋体" w:hint="default"/>
          <w:sz w:val="2"/>
          <w:szCs w:val="2"/>
        </w:rPr>
      </w:pPr>
      <w:r>
        <w:rPr>
          <w:rFonts w:ascii="宋体" w:hAnsi="宋体" w:cs="宋体" w:eastAsia="宋体" w:hint="default"/>
          <w:sz w:val="2"/>
          <w:szCs w:val="2"/>
        </w:rPr>
        <w:pict>
          <v:group style="width:387.6pt;height:.75pt;mso-position-horizontal-relative:char;mso-position-vertical-relative:line" coordorigin="0,0" coordsize="7752,15">
            <v:group style="position:absolute;left:7;top:7;width:1246;height:2" coordorigin="7,7" coordsize="1246,2">
              <v:shape style="position:absolute;left:7;top:7;width:1246;height:2" coordorigin="7,7" coordsize="1246,0" path="m7,7l1253,7e" filled="false" stroked="true" strokeweight=".72pt" strokecolor="#000000">
                <v:path arrowok="t"/>
              </v:shape>
            </v:group>
            <v:group style="position:absolute;left:1328;top:7;width:1269;height:2" coordorigin="1328,7" coordsize="1269,2">
              <v:shape style="position:absolute;left:1328;top:7;width:1269;height:2" coordorigin="1328,7" coordsize="1269,0" path="m1328,7l2597,7e" filled="false" stroked="true" strokeweight=".72pt" strokecolor="#000000">
                <v:path arrowok="t"/>
              </v:shape>
            </v:group>
            <v:group style="position:absolute;left:2672;top:7;width:1220;height:2" coordorigin="2672,7" coordsize="1220,2">
              <v:shape style="position:absolute;left:2672;top:7;width:1220;height:2" coordorigin="2672,7" coordsize="1220,0" path="m2672,7l3892,7e" filled="false" stroked="true" strokeweight=".72pt" strokecolor="#000000">
                <v:path arrowok="t"/>
              </v:shape>
            </v:group>
            <v:group style="position:absolute;left:3968;top:7;width:1270;height:2" coordorigin="3968,7" coordsize="1270,2">
              <v:shape style="position:absolute;left:3968;top:7;width:1270;height:2" coordorigin="3968,7" coordsize="1270,0" path="m3968,7l5238,7e" filled="false" stroked="true" strokeweight=".72pt" strokecolor="#000000">
                <v:path arrowok="t"/>
              </v:shape>
            </v:group>
            <v:group style="position:absolute;left:5314;top:7;width:1119;height:2" coordorigin="5314,7" coordsize="1119,2">
              <v:shape style="position:absolute;left:5314;top:7;width:1119;height:2" coordorigin="5314,7" coordsize="1119,0" path="m5314,7l6432,7e" filled="false" stroked="true" strokeweight=".72pt" strokecolor="#000000">
                <v:path arrowok="t"/>
              </v:shape>
            </v:group>
            <v:group style="position:absolute;left:6508;top:7;width:1238;height:2" coordorigin="6508,7" coordsize="1238,2">
              <v:shape style="position:absolute;left:6508;top:7;width:1238;height:2" coordorigin="6508,7" coordsize="1238,0" path="m6508,7l7745,7e" filled="false" stroked="true" strokeweight=".72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9"/>
          <w:szCs w:val="9"/>
        </w:rPr>
      </w:pPr>
    </w:p>
    <w:p>
      <w:pPr>
        <w:tabs>
          <w:tab w:pos="3410" w:val="left" w:leader="none"/>
          <w:tab w:pos="6019" w:val="left" w:leader="none"/>
          <w:tab w:pos="7275" w:val="left" w:leader="none"/>
          <w:tab w:pos="8591" w:val="left" w:leader="none"/>
        </w:tabs>
        <w:spacing w:before="47"/>
        <w:ind w:left="561" w:right="125" w:firstLine="0"/>
        <w:jc w:val="left"/>
        <w:rPr>
          <w:rFonts w:ascii="Arial" w:hAnsi="Arial" w:cs="Arial" w:eastAsia="Arial" w:hint="default"/>
          <w:sz w:val="18"/>
          <w:szCs w:val="18"/>
        </w:rPr>
      </w:pPr>
      <w:r>
        <w:rPr>
          <w:rFonts w:ascii="宋体" w:hAnsi="宋体" w:cs="宋体" w:eastAsia="宋体" w:hint="default"/>
          <w:position w:val="1"/>
          <w:sz w:val="18"/>
          <w:szCs w:val="18"/>
        </w:rPr>
        <w:t>手机及通信终端</w:t>
      </w:r>
      <w:r>
        <w:rPr>
          <w:rFonts w:ascii="宋体" w:hAnsi="宋体" w:cs="宋体" w:eastAsia="宋体" w:hint="default"/>
          <w:spacing w:val="38"/>
          <w:position w:val="1"/>
          <w:sz w:val="18"/>
          <w:szCs w:val="18"/>
        </w:rPr>
        <w:t> </w:t>
      </w:r>
      <w:r>
        <w:rPr>
          <w:rFonts w:ascii="Arial" w:hAnsi="Arial" w:cs="Arial" w:eastAsia="Arial" w:hint="default"/>
          <w:spacing w:val="-1"/>
          <w:sz w:val="18"/>
          <w:szCs w:val="18"/>
        </w:rPr>
        <w:t>1,692,602,709</w:t>
        <w:tab/>
        <w:t>(55,792,136)</w:t>
      </w:r>
      <w:r>
        <w:rPr>
          <w:rFonts w:ascii="Arial" w:hAnsi="Arial" w:cs="Arial" w:eastAsia="Arial" w:hint="default"/>
          <w:sz w:val="18"/>
          <w:szCs w:val="18"/>
        </w:rPr>
        <w:t>  </w:t>
      </w:r>
      <w:r>
        <w:rPr>
          <w:rFonts w:ascii="Arial" w:hAnsi="Arial" w:cs="Arial" w:eastAsia="Arial" w:hint="default"/>
          <w:spacing w:val="1"/>
          <w:sz w:val="18"/>
          <w:szCs w:val="18"/>
        </w:rPr>
        <w:t> </w:t>
      </w:r>
      <w:r>
        <w:rPr>
          <w:rFonts w:ascii="Arial" w:hAnsi="Arial" w:cs="Arial" w:eastAsia="Arial" w:hint="default"/>
          <w:spacing w:val="-1"/>
          <w:sz w:val="18"/>
          <w:szCs w:val="18"/>
        </w:rPr>
        <w:t>1,636,810,573</w:t>
        <w:tab/>
        <w:t>360,537,528</w:t>
        <w:tab/>
        <w:t>(58,927,849)</w:t>
        <w:tab/>
        <w:t>301,609,679</w:t>
      </w:r>
    </w:p>
    <w:p>
      <w:pPr>
        <w:spacing w:line="240" w:lineRule="auto" w:before="4"/>
        <w:rPr>
          <w:rFonts w:ascii="Arial" w:hAnsi="Arial" w:cs="Arial" w:eastAsia="Arial" w:hint="default"/>
          <w:sz w:val="2"/>
          <w:szCs w:val="2"/>
        </w:rPr>
      </w:pPr>
    </w:p>
    <w:tbl>
      <w:tblPr>
        <w:tblW w:w="0" w:type="auto"/>
        <w:jc w:val="left"/>
        <w:tblInd w:w="526" w:type="dxa"/>
        <w:tblLayout w:type="fixed"/>
        <w:tblCellMar>
          <w:top w:w="0" w:type="dxa"/>
          <w:left w:w="0" w:type="dxa"/>
          <w:bottom w:w="0" w:type="dxa"/>
          <w:right w:w="0" w:type="dxa"/>
        </w:tblCellMar>
        <w:tblLook w:val="01E0"/>
      </w:tblPr>
      <w:tblGrid>
        <w:gridCol w:w="1392"/>
        <w:gridCol w:w="1336"/>
        <w:gridCol w:w="1249"/>
        <w:gridCol w:w="1369"/>
        <w:gridCol w:w="1275"/>
        <w:gridCol w:w="1296"/>
        <w:gridCol w:w="1183"/>
      </w:tblGrid>
      <w:tr>
        <w:trPr>
          <w:trHeight w:val="685" w:hRule="exact"/>
        </w:trPr>
        <w:tc>
          <w:tcPr>
            <w:tcW w:w="1392" w:type="dxa"/>
            <w:tcBorders>
              <w:top w:val="nil" w:sz="6" w:space="0" w:color="auto"/>
              <w:left w:val="nil" w:sz="6" w:space="0" w:color="auto"/>
              <w:bottom w:val="nil" w:sz="6" w:space="0" w:color="auto"/>
              <w:right w:val="nil" w:sz="6" w:space="0" w:color="auto"/>
            </w:tcBorders>
          </w:tcPr>
          <w:p>
            <w:pPr>
              <w:pStyle w:val="TableParagraph"/>
              <w:spacing w:line="186" w:lineRule="exact"/>
              <w:ind w:left="35" w:right="0"/>
              <w:jc w:val="left"/>
              <w:rPr>
                <w:rFonts w:ascii="Arial" w:hAnsi="Arial" w:cs="Arial" w:eastAsia="Arial" w:hint="default"/>
                <w:sz w:val="18"/>
                <w:szCs w:val="18"/>
              </w:rPr>
            </w:pPr>
            <w:r>
              <w:rPr>
                <w:rFonts w:ascii="Arial" w:hAnsi="Arial" w:cs="Arial" w:eastAsia="Arial" w:hint="default"/>
                <w:sz w:val="18"/>
                <w:szCs w:val="18"/>
              </w:rPr>
              <w:t>SIM  </w:t>
            </w:r>
            <w:r>
              <w:rPr>
                <w:rFonts w:ascii="宋体" w:hAnsi="宋体" w:cs="宋体" w:eastAsia="宋体" w:hint="default"/>
                <w:spacing w:val="11"/>
                <w:sz w:val="18"/>
                <w:szCs w:val="18"/>
              </w:rPr>
              <w:t>卡、</w:t>
            </w:r>
            <w:r>
              <w:rPr>
                <w:rFonts w:ascii="宋体" w:hAnsi="宋体" w:cs="宋体" w:eastAsia="宋体" w:hint="default"/>
                <w:spacing w:val="-60"/>
                <w:sz w:val="18"/>
                <w:szCs w:val="18"/>
              </w:rPr>
              <w:t> </w:t>
            </w:r>
            <w:r>
              <w:rPr>
                <w:rFonts w:ascii="Arial" w:hAnsi="Arial" w:cs="Arial" w:eastAsia="Arial" w:hint="default"/>
                <w:sz w:val="18"/>
                <w:szCs w:val="18"/>
              </w:rPr>
              <w:t>USIM</w:t>
            </w:r>
          </w:p>
          <w:p>
            <w:pPr>
              <w:pStyle w:val="TableParagraph"/>
              <w:spacing w:line="232" w:lineRule="exact" w:before="17"/>
              <w:ind w:left="258" w:right="27"/>
              <w:jc w:val="left"/>
              <w:rPr>
                <w:rFonts w:ascii="宋体" w:hAnsi="宋体" w:cs="宋体" w:eastAsia="宋体" w:hint="default"/>
                <w:sz w:val="18"/>
                <w:szCs w:val="18"/>
              </w:rPr>
            </w:pPr>
            <w:r>
              <w:rPr>
                <w:rFonts w:ascii="宋体" w:hAnsi="宋体" w:cs="宋体" w:eastAsia="宋体" w:hint="default"/>
                <w:spacing w:val="32"/>
                <w:sz w:val="18"/>
                <w:szCs w:val="18"/>
              </w:rPr>
              <w:t>卡及预付电</w:t>
            </w:r>
            <w:r>
              <w:rPr>
                <w:rFonts w:ascii="宋体" w:hAnsi="宋体" w:cs="宋体" w:eastAsia="宋体" w:hint="default"/>
                <w:spacing w:val="-50"/>
                <w:sz w:val="18"/>
                <w:szCs w:val="18"/>
              </w:rPr>
              <w:t> </w:t>
            </w:r>
            <w:r>
              <w:rPr>
                <w:rFonts w:ascii="宋体" w:hAnsi="宋体" w:cs="宋体" w:eastAsia="宋体" w:hint="default"/>
                <w:sz w:val="18"/>
                <w:szCs w:val="18"/>
              </w:rPr>
              <w:t>话卡</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6"/>
              <w:ind w:right="0"/>
              <w:jc w:val="left"/>
              <w:rPr>
                <w:rFonts w:ascii="Arial" w:hAnsi="Arial" w:cs="Arial" w:eastAsia="Arial" w:hint="default"/>
                <w:sz w:val="22"/>
                <w:szCs w:val="22"/>
              </w:rPr>
            </w:pPr>
          </w:p>
          <w:p>
            <w:pPr>
              <w:pStyle w:val="TableParagraph"/>
              <w:spacing w:line="240" w:lineRule="auto"/>
              <w:ind w:left="24" w:right="0"/>
              <w:jc w:val="center"/>
              <w:rPr>
                <w:rFonts w:ascii="Arial" w:hAnsi="Arial" w:cs="Arial" w:eastAsia="Arial" w:hint="default"/>
                <w:sz w:val="18"/>
                <w:szCs w:val="18"/>
              </w:rPr>
            </w:pPr>
            <w:r>
              <w:rPr>
                <w:rFonts w:ascii="Arial"/>
                <w:sz w:val="18"/>
              </w:rPr>
              <w:t>267,157,751</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6"/>
              <w:ind w:right="0"/>
              <w:jc w:val="left"/>
              <w:rPr>
                <w:rFonts w:ascii="Arial" w:hAnsi="Arial" w:cs="Arial" w:eastAsia="Arial" w:hint="default"/>
                <w:sz w:val="22"/>
                <w:szCs w:val="22"/>
              </w:rPr>
            </w:pPr>
          </w:p>
          <w:p>
            <w:pPr>
              <w:pStyle w:val="TableParagraph"/>
              <w:spacing w:line="240" w:lineRule="auto"/>
              <w:ind w:right="97"/>
              <w:jc w:val="right"/>
              <w:rPr>
                <w:rFonts w:ascii="Arial" w:hAnsi="Arial" w:cs="Arial" w:eastAsia="Arial" w:hint="default"/>
                <w:sz w:val="18"/>
                <w:szCs w:val="18"/>
              </w:rPr>
            </w:pPr>
            <w:r>
              <w:rPr>
                <w:rFonts w:ascii="Arial"/>
                <w:spacing w:val="-1"/>
                <w:sz w:val="18"/>
              </w:rPr>
              <w:t>(2,783,518)</w:t>
            </w:r>
            <w:r>
              <w:rPr>
                <w:rFonts w:ascii="Arial"/>
                <w:sz w:val="18"/>
              </w:rPr>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6"/>
              <w:ind w:right="0"/>
              <w:jc w:val="left"/>
              <w:rPr>
                <w:rFonts w:ascii="Arial" w:hAnsi="Arial" w:cs="Arial" w:eastAsia="Arial" w:hint="default"/>
                <w:sz w:val="22"/>
                <w:szCs w:val="22"/>
              </w:rPr>
            </w:pPr>
          </w:p>
          <w:p>
            <w:pPr>
              <w:pStyle w:val="TableParagraph"/>
              <w:spacing w:line="240" w:lineRule="auto"/>
              <w:ind w:right="151"/>
              <w:jc w:val="right"/>
              <w:rPr>
                <w:rFonts w:ascii="Arial" w:hAnsi="Arial" w:cs="Arial" w:eastAsia="Arial" w:hint="default"/>
                <w:sz w:val="18"/>
                <w:szCs w:val="18"/>
              </w:rPr>
            </w:pPr>
            <w:r>
              <w:rPr>
                <w:rFonts w:ascii="Arial"/>
                <w:spacing w:val="-1"/>
                <w:sz w:val="18"/>
              </w:rPr>
              <w:t>264,374,233</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6"/>
              <w:ind w:right="0"/>
              <w:jc w:val="left"/>
              <w:rPr>
                <w:rFonts w:ascii="Arial" w:hAnsi="Arial" w:cs="Arial" w:eastAsia="Arial" w:hint="default"/>
                <w:sz w:val="22"/>
                <w:szCs w:val="22"/>
              </w:rPr>
            </w:pPr>
          </w:p>
          <w:p>
            <w:pPr>
              <w:pStyle w:val="TableParagraph"/>
              <w:spacing w:line="240" w:lineRule="auto"/>
              <w:ind w:right="127"/>
              <w:jc w:val="right"/>
              <w:rPr>
                <w:rFonts w:ascii="Arial" w:hAnsi="Arial" w:cs="Arial" w:eastAsia="Arial" w:hint="default"/>
                <w:sz w:val="18"/>
                <w:szCs w:val="18"/>
              </w:rPr>
            </w:pPr>
            <w:r>
              <w:rPr>
                <w:rFonts w:ascii="Arial"/>
                <w:spacing w:val="-1"/>
                <w:sz w:val="18"/>
              </w:rPr>
              <w:t>321,269,156</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6"/>
              <w:ind w:right="0"/>
              <w:jc w:val="left"/>
              <w:rPr>
                <w:rFonts w:ascii="Arial" w:hAnsi="Arial" w:cs="Arial" w:eastAsia="Arial" w:hint="default"/>
                <w:sz w:val="22"/>
                <w:szCs w:val="22"/>
              </w:rPr>
            </w:pPr>
          </w:p>
          <w:p>
            <w:pPr>
              <w:pStyle w:val="TableParagraph"/>
              <w:spacing w:line="240" w:lineRule="auto"/>
              <w:ind w:right="145"/>
              <w:jc w:val="right"/>
              <w:rPr>
                <w:rFonts w:ascii="Arial" w:hAnsi="Arial" w:cs="Arial" w:eastAsia="Arial" w:hint="default"/>
                <w:sz w:val="18"/>
                <w:szCs w:val="18"/>
              </w:rPr>
            </w:pPr>
            <w:r>
              <w:rPr>
                <w:rFonts w:ascii="Arial"/>
                <w:spacing w:val="-1"/>
                <w:sz w:val="18"/>
              </w:rPr>
              <w:t>(3,270,047)</w:t>
            </w:r>
            <w:r>
              <w:rPr>
                <w:rFonts w:ascii="Arial"/>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6"/>
              <w:ind w:right="0"/>
              <w:jc w:val="left"/>
              <w:rPr>
                <w:rFonts w:ascii="Arial" w:hAnsi="Arial" w:cs="Arial" w:eastAsia="Arial" w:hint="default"/>
                <w:sz w:val="22"/>
                <w:szCs w:val="22"/>
              </w:rPr>
            </w:pPr>
          </w:p>
          <w:p>
            <w:pPr>
              <w:pStyle w:val="TableParagraph"/>
              <w:spacing w:line="240" w:lineRule="auto"/>
              <w:ind w:right="33"/>
              <w:jc w:val="right"/>
              <w:rPr>
                <w:rFonts w:ascii="Arial" w:hAnsi="Arial" w:cs="Arial" w:eastAsia="Arial" w:hint="default"/>
                <w:sz w:val="18"/>
                <w:szCs w:val="18"/>
              </w:rPr>
            </w:pPr>
            <w:r>
              <w:rPr>
                <w:rFonts w:ascii="Arial"/>
                <w:spacing w:val="-1"/>
                <w:sz w:val="18"/>
              </w:rPr>
              <w:t>317,999,109</w:t>
            </w:r>
          </w:p>
        </w:tc>
      </w:tr>
      <w:tr>
        <w:trPr>
          <w:trHeight w:val="233" w:hRule="exact"/>
        </w:trPr>
        <w:tc>
          <w:tcPr>
            <w:tcW w:w="1392"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备品备件</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4" w:right="0"/>
              <w:jc w:val="center"/>
              <w:rPr>
                <w:rFonts w:ascii="Arial" w:hAnsi="Arial" w:cs="Arial" w:eastAsia="Arial" w:hint="default"/>
                <w:sz w:val="18"/>
                <w:szCs w:val="18"/>
              </w:rPr>
            </w:pPr>
            <w:r>
              <w:rPr>
                <w:rFonts w:ascii="Arial"/>
                <w:sz w:val="18"/>
              </w:rPr>
              <w:t>255,987,993</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7"/>
              <w:jc w:val="right"/>
              <w:rPr>
                <w:rFonts w:ascii="Arial" w:hAnsi="Arial" w:cs="Arial" w:eastAsia="Arial" w:hint="default"/>
                <w:sz w:val="18"/>
                <w:szCs w:val="18"/>
              </w:rPr>
            </w:pPr>
            <w:r>
              <w:rPr>
                <w:rFonts w:ascii="Arial"/>
                <w:spacing w:val="-1"/>
                <w:sz w:val="18"/>
              </w:rPr>
              <w:t>(7,335,025)</w:t>
            </w:r>
            <w:r>
              <w:rPr>
                <w:rFonts w:ascii="Arial"/>
                <w:sz w:val="18"/>
              </w:rPr>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51"/>
              <w:jc w:val="right"/>
              <w:rPr>
                <w:rFonts w:ascii="Arial" w:hAnsi="Arial" w:cs="Arial" w:eastAsia="Arial" w:hint="default"/>
                <w:sz w:val="18"/>
                <w:szCs w:val="18"/>
              </w:rPr>
            </w:pPr>
            <w:r>
              <w:rPr>
                <w:rFonts w:ascii="Arial"/>
                <w:spacing w:val="-1"/>
                <w:sz w:val="18"/>
              </w:rPr>
              <w:t>248,652,968</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6"/>
              <w:jc w:val="right"/>
              <w:rPr>
                <w:rFonts w:ascii="Arial" w:hAnsi="Arial" w:cs="Arial" w:eastAsia="Arial" w:hint="default"/>
                <w:sz w:val="18"/>
                <w:szCs w:val="18"/>
              </w:rPr>
            </w:pPr>
            <w:r>
              <w:rPr>
                <w:rFonts w:ascii="Arial"/>
                <w:spacing w:val="-1"/>
                <w:sz w:val="18"/>
              </w:rPr>
              <w:t>329,508,467</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45"/>
              <w:jc w:val="right"/>
              <w:rPr>
                <w:rFonts w:ascii="Arial" w:hAnsi="Arial" w:cs="Arial" w:eastAsia="Arial" w:hint="default"/>
                <w:sz w:val="18"/>
                <w:szCs w:val="18"/>
              </w:rPr>
            </w:pPr>
            <w:r>
              <w:rPr>
                <w:rFonts w:ascii="Arial"/>
                <w:spacing w:val="-1"/>
                <w:sz w:val="18"/>
              </w:rPr>
              <w:t>(7,322,165)</w:t>
            </w:r>
            <w:r>
              <w:rPr>
                <w:rFonts w:ascii="Arial"/>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spacing w:val="-1"/>
                <w:sz w:val="18"/>
              </w:rPr>
              <w:t>322,186,302</w:t>
            </w:r>
          </w:p>
        </w:tc>
      </w:tr>
      <w:tr>
        <w:trPr>
          <w:trHeight w:val="217" w:hRule="exact"/>
        </w:trPr>
        <w:tc>
          <w:tcPr>
            <w:tcW w:w="1392"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133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4" w:right="0"/>
              <w:jc w:val="center"/>
              <w:rPr>
                <w:rFonts w:ascii="Arial" w:hAnsi="Arial" w:cs="Arial" w:eastAsia="Arial" w:hint="default"/>
                <w:sz w:val="18"/>
                <w:szCs w:val="18"/>
              </w:rPr>
            </w:pPr>
            <w:r>
              <w:rPr>
                <w:rFonts w:ascii="Arial"/>
                <w:sz w:val="18"/>
              </w:rPr>
              <w:t>200,636,984</w:t>
            </w:r>
          </w:p>
        </w:tc>
        <w:tc>
          <w:tcPr>
            <w:tcW w:w="124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57"/>
              <w:jc w:val="right"/>
              <w:rPr>
                <w:rFonts w:ascii="Arial" w:hAnsi="Arial" w:cs="Arial" w:eastAsia="Arial" w:hint="default"/>
                <w:sz w:val="18"/>
                <w:szCs w:val="18"/>
              </w:rPr>
            </w:pPr>
            <w:r>
              <w:rPr>
                <w:rFonts w:ascii="Arial"/>
                <w:w w:val="99"/>
                <w:sz w:val="18"/>
              </w:rPr>
              <w:t>-</w:t>
            </w:r>
            <w:r>
              <w:rPr>
                <w:rFonts w:ascii="Arial"/>
                <w:sz w:val="18"/>
              </w:rPr>
            </w:r>
          </w:p>
        </w:tc>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52"/>
              <w:jc w:val="right"/>
              <w:rPr>
                <w:rFonts w:ascii="Arial" w:hAnsi="Arial" w:cs="Arial" w:eastAsia="Arial" w:hint="default"/>
                <w:sz w:val="18"/>
                <w:szCs w:val="18"/>
              </w:rPr>
            </w:pPr>
            <w:r>
              <w:rPr>
                <w:rFonts w:ascii="Arial"/>
                <w:spacing w:val="-1"/>
                <w:sz w:val="18"/>
              </w:rPr>
              <w:t>200,636,984</w:t>
            </w:r>
          </w:p>
        </w:tc>
        <w:tc>
          <w:tcPr>
            <w:tcW w:w="127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26"/>
              <w:jc w:val="right"/>
              <w:rPr>
                <w:rFonts w:ascii="Arial" w:hAnsi="Arial" w:cs="Arial" w:eastAsia="Arial" w:hint="default"/>
                <w:sz w:val="18"/>
                <w:szCs w:val="18"/>
              </w:rPr>
            </w:pPr>
            <w:r>
              <w:rPr>
                <w:rFonts w:ascii="Arial"/>
                <w:spacing w:val="-1"/>
                <w:sz w:val="18"/>
              </w:rPr>
              <w:t>106,669,902</w:t>
            </w:r>
          </w:p>
        </w:tc>
        <w:tc>
          <w:tcPr>
            <w:tcW w:w="129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5"/>
              <w:jc w:val="right"/>
              <w:rPr>
                <w:rFonts w:ascii="Arial" w:hAnsi="Arial" w:cs="Arial" w:eastAsia="Arial" w:hint="default"/>
                <w:sz w:val="18"/>
                <w:szCs w:val="18"/>
              </w:rPr>
            </w:pPr>
            <w:r>
              <w:rPr>
                <w:rFonts w:ascii="Arial"/>
                <w:w w:val="99"/>
                <w:sz w:val="18"/>
              </w:rPr>
              <w:t>-</w:t>
            </w:r>
            <w:r>
              <w:rPr>
                <w:rFonts w:ascii="Arial"/>
                <w:sz w:val="18"/>
              </w:rPr>
            </w:r>
          </w:p>
        </w:tc>
        <w:tc>
          <w:tcPr>
            <w:tcW w:w="118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Arial" w:hAnsi="Arial" w:cs="Arial" w:eastAsia="Arial" w:hint="default"/>
                <w:sz w:val="18"/>
                <w:szCs w:val="18"/>
              </w:rPr>
            </w:pPr>
            <w:r>
              <w:rPr>
                <w:rFonts w:ascii="Arial"/>
                <w:spacing w:val="-1"/>
                <w:sz w:val="18"/>
              </w:rPr>
              <w:t>106,669,902</w:t>
            </w:r>
          </w:p>
        </w:tc>
      </w:tr>
    </w:tbl>
    <w:p>
      <w:pPr>
        <w:tabs>
          <w:tab w:pos="1873" w:val="left" w:leader="none"/>
          <w:tab w:pos="2198" w:val="left" w:leader="none"/>
          <w:tab w:pos="4283" w:val="left" w:leader="none"/>
          <w:tab w:pos="4817" w:val="left" w:leader="none"/>
          <w:tab w:pos="6118" w:val="left" w:leader="none"/>
          <w:tab w:pos="8175" w:val="left" w:leader="none"/>
          <w:tab w:pos="8689" w:val="left" w:leader="none"/>
        </w:tabs>
        <w:spacing w:line="238" w:lineRule="exact" w:before="0"/>
        <w:ind w:left="561" w:right="125" w:firstLine="0"/>
        <w:jc w:val="left"/>
        <w:rPr>
          <w:rFonts w:ascii="Arial" w:hAnsi="Arial" w:cs="Arial" w:eastAsia="Arial" w:hint="default"/>
          <w:sz w:val="18"/>
          <w:szCs w:val="18"/>
        </w:rPr>
      </w:pPr>
      <w:r>
        <w:rPr>
          <w:rFonts w:ascii="宋体" w:hAnsi="宋体" w:cs="宋体" w:eastAsia="宋体" w:hint="default"/>
          <w:position w:val="1"/>
          <w:sz w:val="18"/>
          <w:szCs w:val="18"/>
        </w:rPr>
        <w:t>其他</w:t>
        <w:tab/>
      </w:r>
      <w:r>
        <w:rPr>
          <w:rFonts w:ascii="Arial" w:hAnsi="Arial" w:cs="Arial" w:eastAsia="Arial" w:hint="default"/>
          <w:sz w:val="18"/>
          <w:szCs w:val="18"/>
        </w:rPr>
      </w:r>
      <w:r>
        <w:rPr>
          <w:rFonts w:ascii="Arial" w:hAnsi="Arial" w:cs="Arial" w:eastAsia="Arial" w:hint="default"/>
          <w:sz w:val="18"/>
          <w:szCs w:val="18"/>
          <w:u w:val="single" w:color="000000"/>
        </w:rPr>
        <w:t> </w:t>
        <w:tab/>
      </w:r>
      <w:r>
        <w:rPr>
          <w:rFonts w:ascii="Arial" w:hAnsi="Arial" w:cs="Arial" w:eastAsia="Arial" w:hint="default"/>
          <w:spacing w:val="-1"/>
          <w:sz w:val="18"/>
          <w:szCs w:val="18"/>
          <w:u w:val="single" w:color="000000"/>
        </w:rPr>
        <w:t>61,933,624</w:t>
      </w:r>
      <w:r>
        <w:rPr>
          <w:rFonts w:ascii="Arial" w:hAnsi="Arial" w:cs="Arial" w:eastAsia="Arial" w:hint="default"/>
          <w:spacing w:val="-1"/>
          <w:sz w:val="18"/>
          <w:szCs w:val="18"/>
        </w:rPr>
      </w:r>
      <w:r>
        <w:rPr>
          <w:rFonts w:ascii="Arial" w:hAnsi="Arial" w:cs="Arial" w:eastAsia="Arial" w:hint="default"/>
          <w:spacing w:val="-1"/>
          <w:sz w:val="18"/>
          <w:szCs w:val="18"/>
          <w:u w:val="single" w:color="000000"/>
        </w:rPr>
        <w:t> </w:t>
        <w:tab/>
      </w:r>
      <w:r>
        <w:rPr>
          <w:rFonts w:ascii="Arial" w:hAnsi="Arial" w:cs="Arial" w:eastAsia="Arial" w:hint="default"/>
          <w:sz w:val="18"/>
          <w:szCs w:val="18"/>
          <w:u w:val="single" w:color="000000"/>
        </w:rPr>
        <w:t>-</w:t>
      </w:r>
      <w:r>
        <w:rPr>
          <w:rFonts w:ascii="Arial" w:hAnsi="Arial" w:cs="Arial" w:eastAsia="Arial" w:hint="default"/>
          <w:sz w:val="18"/>
          <w:szCs w:val="18"/>
        </w:rPr>
      </w:r>
      <w:r>
        <w:rPr>
          <w:rFonts w:ascii="Arial" w:hAnsi="Arial" w:cs="Arial" w:eastAsia="Arial" w:hint="default"/>
          <w:sz w:val="18"/>
          <w:szCs w:val="18"/>
          <w:u w:val="single" w:color="000000"/>
        </w:rPr>
        <w:t> </w:t>
        <w:tab/>
      </w:r>
      <w:r>
        <w:rPr>
          <w:rFonts w:ascii="Arial" w:hAnsi="Arial" w:cs="Arial" w:eastAsia="Arial" w:hint="default"/>
          <w:spacing w:val="-1"/>
          <w:sz w:val="18"/>
          <w:szCs w:val="18"/>
          <w:u w:val="single" w:color="000000"/>
        </w:rPr>
        <w:t>61,933,624</w:t>
      </w:r>
      <w:r>
        <w:rPr>
          <w:rFonts w:ascii="Arial" w:hAnsi="Arial" w:cs="Arial" w:eastAsia="Arial" w:hint="default"/>
          <w:spacing w:val="-1"/>
          <w:sz w:val="18"/>
          <w:szCs w:val="18"/>
        </w:rPr>
      </w:r>
      <w:r>
        <w:rPr>
          <w:rFonts w:ascii="Arial" w:hAnsi="Arial" w:cs="Arial" w:eastAsia="Arial" w:hint="default"/>
          <w:spacing w:val="-1"/>
          <w:sz w:val="18"/>
          <w:szCs w:val="18"/>
          <w:u w:val="single" w:color="000000"/>
        </w:rPr>
        <w:t> </w:t>
        <w:tab/>
        <w:t>43,745,685</w:t>
      </w:r>
      <w:r>
        <w:rPr>
          <w:rFonts w:ascii="Arial" w:hAnsi="Arial" w:cs="Arial" w:eastAsia="Arial" w:hint="default"/>
          <w:spacing w:val="-1"/>
          <w:sz w:val="18"/>
          <w:szCs w:val="18"/>
        </w:rPr>
      </w:r>
      <w:r>
        <w:rPr>
          <w:rFonts w:ascii="Arial" w:hAnsi="Arial" w:cs="Arial" w:eastAsia="Arial" w:hint="default"/>
          <w:spacing w:val="-1"/>
          <w:sz w:val="18"/>
          <w:szCs w:val="18"/>
          <w:u w:val="single" w:color="000000"/>
        </w:rPr>
        <w:t> </w:t>
        <w:tab/>
      </w:r>
      <w:r>
        <w:rPr>
          <w:rFonts w:ascii="Arial" w:hAnsi="Arial" w:cs="Arial" w:eastAsia="Arial" w:hint="default"/>
          <w:sz w:val="18"/>
          <w:szCs w:val="18"/>
          <w:u w:val="single" w:color="000000"/>
        </w:rPr>
        <w:t>-</w:t>
      </w:r>
      <w:r>
        <w:rPr>
          <w:rFonts w:ascii="Arial" w:hAnsi="Arial" w:cs="Arial" w:eastAsia="Arial" w:hint="default"/>
          <w:sz w:val="18"/>
          <w:szCs w:val="18"/>
        </w:rPr>
      </w:r>
      <w:r>
        <w:rPr>
          <w:rFonts w:ascii="Arial" w:hAnsi="Arial" w:cs="Arial" w:eastAsia="Arial" w:hint="default"/>
          <w:sz w:val="18"/>
          <w:szCs w:val="18"/>
          <w:u w:val="single" w:color="000000"/>
        </w:rPr>
        <w:t> </w:t>
        <w:tab/>
      </w:r>
      <w:r>
        <w:rPr>
          <w:rFonts w:ascii="Arial" w:hAnsi="Arial" w:cs="Arial" w:eastAsia="Arial" w:hint="default"/>
          <w:spacing w:val="-1"/>
          <w:sz w:val="18"/>
          <w:szCs w:val="18"/>
          <w:u w:val="single" w:color="000000"/>
        </w:rPr>
        <w:t>43,745,685</w:t>
      </w:r>
      <w:r>
        <w:rPr>
          <w:rFonts w:ascii="Arial" w:hAnsi="Arial" w:cs="Arial" w:eastAsia="Arial" w:hint="default"/>
          <w:spacing w:val="-1"/>
          <w:sz w:val="18"/>
          <w:szCs w:val="18"/>
        </w:rPr>
      </w:r>
    </w:p>
    <w:p>
      <w:pPr>
        <w:spacing w:line="240" w:lineRule="auto" w:before="11"/>
        <w:rPr>
          <w:rFonts w:ascii="Arial" w:hAnsi="Arial" w:cs="Arial" w:eastAsia="Arial" w:hint="default"/>
          <w:sz w:val="12"/>
          <w:szCs w:val="12"/>
        </w:rPr>
      </w:pPr>
    </w:p>
    <w:p>
      <w:pPr>
        <w:tabs>
          <w:tab w:pos="1947" w:val="left" w:leader="none"/>
          <w:tab w:pos="3410" w:val="left" w:leader="none"/>
          <w:tab w:pos="7258" w:val="left" w:leader="none"/>
        </w:tabs>
        <w:spacing w:before="47"/>
        <w:ind w:left="561" w:right="125" w:firstLine="0"/>
        <w:jc w:val="left"/>
        <w:rPr>
          <w:rFonts w:ascii="Arial" w:hAnsi="Arial" w:cs="Arial" w:eastAsia="Arial" w:hint="default"/>
          <w:sz w:val="18"/>
          <w:szCs w:val="18"/>
        </w:rPr>
      </w:pPr>
      <w:r>
        <w:rPr>
          <w:rFonts w:ascii="宋体" w:hAnsi="宋体" w:cs="宋体" w:eastAsia="宋体" w:hint="default"/>
          <w:position w:val="1"/>
          <w:sz w:val="18"/>
          <w:szCs w:val="18"/>
        </w:rPr>
        <w:t>合计</w:t>
        <w:tab/>
      </w:r>
      <w:r>
        <w:rPr>
          <w:rFonts w:ascii="Arial" w:hAnsi="Arial" w:cs="Arial" w:eastAsia="Arial" w:hint="default"/>
          <w:spacing w:val="-1"/>
          <w:sz w:val="18"/>
          <w:szCs w:val="18"/>
        </w:rPr>
        <w:t>2,478,319,061</w:t>
        <w:tab/>
        <w:t>(65,910,679)</w:t>
      </w:r>
      <w:r>
        <w:rPr>
          <w:rFonts w:ascii="Arial" w:hAnsi="Arial" w:cs="Arial" w:eastAsia="Arial" w:hint="default"/>
          <w:sz w:val="18"/>
          <w:szCs w:val="18"/>
        </w:rPr>
        <w:t>   </w:t>
      </w:r>
      <w:r>
        <w:rPr>
          <w:rFonts w:ascii="Arial" w:hAnsi="Arial" w:cs="Arial" w:eastAsia="Arial" w:hint="default"/>
          <w:spacing w:val="-1"/>
          <w:sz w:val="18"/>
          <w:szCs w:val="18"/>
        </w:rPr>
        <w:t>2,412,408,382</w:t>
      </w:r>
      <w:r>
        <w:rPr>
          <w:rFonts w:ascii="Arial" w:hAnsi="Arial" w:cs="Arial" w:eastAsia="Arial" w:hint="default"/>
          <w:sz w:val="18"/>
          <w:szCs w:val="18"/>
        </w:rPr>
        <w:t>   </w:t>
      </w:r>
      <w:r>
        <w:rPr>
          <w:rFonts w:ascii="Arial" w:hAnsi="Arial" w:cs="Arial" w:eastAsia="Arial" w:hint="default"/>
          <w:spacing w:val="-1"/>
          <w:sz w:val="18"/>
          <w:szCs w:val="18"/>
        </w:rPr>
        <w:t>1,161,730,738</w:t>
        <w:tab/>
        <w:t>(69,520,061)</w:t>
      </w:r>
      <w:r>
        <w:rPr>
          <w:rFonts w:ascii="Arial" w:hAnsi="Arial" w:cs="Arial" w:eastAsia="Arial" w:hint="default"/>
          <w:sz w:val="18"/>
          <w:szCs w:val="18"/>
        </w:rPr>
        <w:t>  </w:t>
      </w:r>
      <w:r>
        <w:rPr>
          <w:rFonts w:ascii="Arial" w:hAnsi="Arial" w:cs="Arial" w:eastAsia="Arial" w:hint="default"/>
          <w:spacing w:val="16"/>
          <w:sz w:val="18"/>
          <w:szCs w:val="18"/>
        </w:rPr>
        <w:t> </w:t>
      </w:r>
      <w:r>
        <w:rPr>
          <w:rFonts w:ascii="Arial" w:hAnsi="Arial" w:cs="Arial" w:eastAsia="Arial" w:hint="default"/>
          <w:spacing w:val="-1"/>
          <w:sz w:val="18"/>
          <w:szCs w:val="18"/>
        </w:rPr>
        <w:t>1,092,210,677</w:t>
      </w:r>
    </w:p>
    <w:p>
      <w:pPr>
        <w:spacing w:line="43" w:lineRule="exact"/>
        <w:ind w:left="1859" w:right="0" w:firstLine="0"/>
        <w:rPr>
          <w:rFonts w:ascii="Arial" w:hAnsi="Arial" w:cs="Arial" w:eastAsia="Arial" w:hint="default"/>
          <w:sz w:val="4"/>
          <w:szCs w:val="4"/>
        </w:rPr>
      </w:pPr>
      <w:r>
        <w:rPr>
          <w:rFonts w:ascii="Arial" w:hAnsi="Arial" w:cs="Arial" w:eastAsia="Arial" w:hint="default"/>
          <w:position w:val="0"/>
          <w:sz w:val="4"/>
          <w:szCs w:val="4"/>
        </w:rPr>
        <w:pict>
          <v:group style="width:388.35pt;height:2.2pt;mso-position-horizontal-relative:char;mso-position-vertical-relative:line" coordorigin="0,0" coordsize="7767,44">
            <v:group style="position:absolute;left:7;top:36;width:1260;height:2" coordorigin="7,36" coordsize="1260,2">
              <v:shape style="position:absolute;left:7;top:36;width:1260;height:2" coordorigin="7,36" coordsize="1260,0" path="m7,36l1267,36e" filled="false" stroked="true" strokeweight=".72pt" strokecolor="#000000">
                <v:path arrowok="t"/>
              </v:shape>
            </v:group>
            <v:group style="position:absolute;left:7;top:7;width:1260;height:2" coordorigin="7,7" coordsize="1260,2">
              <v:shape style="position:absolute;left:7;top:7;width:1260;height:2" coordorigin="7,7" coordsize="1260,0" path="m7,7l1267,7e" filled="false" stroked="true" strokeweight=".72pt" strokecolor="#000000">
                <v:path arrowok="t"/>
              </v:shape>
            </v:group>
            <v:group style="position:absolute;left:1328;top:36;width:1283;height:2" coordorigin="1328,36" coordsize="1283,2">
              <v:shape style="position:absolute;left:1328;top:36;width:1283;height:2" coordorigin="1328,36" coordsize="1283,0" path="m1328,36l2611,36e" filled="false" stroked="true" strokeweight=".72pt" strokecolor="#000000">
                <v:path arrowok="t"/>
              </v:shape>
            </v:group>
            <v:group style="position:absolute;left:1328;top:7;width:1283;height:2" coordorigin="1328,7" coordsize="1283,2">
              <v:shape style="position:absolute;left:1328;top:7;width:1283;height:2" coordorigin="1328,7" coordsize="1283,0" path="m1328,7l2611,7e" filled="false" stroked="true" strokeweight=".72pt" strokecolor="#000000">
                <v:path arrowok="t"/>
              </v:shape>
            </v:group>
            <v:group style="position:absolute;left:2672;top:36;width:1234;height:2" coordorigin="2672,36" coordsize="1234,2">
              <v:shape style="position:absolute;left:2672;top:36;width:1234;height:2" coordorigin="2672,36" coordsize="1234,0" path="m2672,36l3906,36e" filled="false" stroked="true" strokeweight=".72pt" strokecolor="#000000">
                <v:path arrowok="t"/>
              </v:shape>
            </v:group>
            <v:group style="position:absolute;left:2672;top:7;width:1234;height:2" coordorigin="2672,7" coordsize="1234,2">
              <v:shape style="position:absolute;left:2672;top:7;width:1234;height:2" coordorigin="2672,7" coordsize="1234,0" path="m2672,7l3906,7e" filled="false" stroked="true" strokeweight=".72pt" strokecolor="#000000">
                <v:path arrowok="t"/>
              </v:shape>
            </v:group>
            <v:group style="position:absolute;left:3968;top:36;width:1284;height:2" coordorigin="3968,36" coordsize="1284,2">
              <v:shape style="position:absolute;left:3968;top:36;width:1284;height:2" coordorigin="3968,36" coordsize="1284,0" path="m3968,36l5252,36e" filled="false" stroked="true" strokeweight=".72pt" strokecolor="#000000">
                <v:path arrowok="t"/>
              </v:shape>
            </v:group>
            <v:group style="position:absolute;left:3968;top:7;width:1284;height:2" coordorigin="3968,7" coordsize="1284,2">
              <v:shape style="position:absolute;left:3968;top:7;width:1284;height:2" coordorigin="3968,7" coordsize="1284,0" path="m3968,7l5252,7e" filled="false" stroked="true" strokeweight=".72pt" strokecolor="#000000">
                <v:path arrowok="t"/>
              </v:shape>
            </v:group>
            <v:group style="position:absolute;left:5314;top:36;width:1133;height:2" coordorigin="5314,36" coordsize="1133,2">
              <v:shape style="position:absolute;left:5314;top:36;width:1133;height:2" coordorigin="5314,36" coordsize="1133,0" path="m5314,36l6446,36e" filled="false" stroked="true" strokeweight=".72pt" strokecolor="#000000">
                <v:path arrowok="t"/>
              </v:shape>
            </v:group>
            <v:group style="position:absolute;left:5314;top:7;width:1133;height:2" coordorigin="5314,7" coordsize="1133,2">
              <v:shape style="position:absolute;left:5314;top:7;width:1133;height:2" coordorigin="5314,7" coordsize="1133,0" path="m5314,7l6446,7e" filled="false" stroked="true" strokeweight=".72pt" strokecolor="#000000">
                <v:path arrowok="t"/>
              </v:shape>
            </v:group>
            <v:group style="position:absolute;left:6508;top:36;width:1252;height:2" coordorigin="6508,36" coordsize="1252,2">
              <v:shape style="position:absolute;left:6508;top:36;width:1252;height:2" coordorigin="6508,36" coordsize="1252,0" path="m6508,36l7759,36e" filled="false" stroked="true" strokeweight=".72pt" strokecolor="#000000">
                <v:path arrowok="t"/>
              </v:shape>
            </v:group>
            <v:group style="position:absolute;left:6508;top:7;width:1252;height:2" coordorigin="6508,7" coordsize="1252,2">
              <v:shape style="position:absolute;left:6508;top:7;width:1252;height:2" coordorigin="6508,7" coordsize="1252,0" path="m6508,7l7759,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5"/>
        <w:rPr>
          <w:rFonts w:ascii="Arial" w:hAnsi="Arial" w:cs="Arial" w:eastAsia="Arial" w:hint="default"/>
          <w:sz w:val="16"/>
          <w:szCs w:val="16"/>
        </w:rPr>
      </w:pPr>
    </w:p>
    <w:p>
      <w:pPr>
        <w:pStyle w:val="BodyText"/>
        <w:spacing w:line="240" w:lineRule="auto" w:before="31"/>
        <w:ind w:left="102" w:right="3260"/>
        <w:jc w:val="left"/>
      </w:pPr>
      <w:r>
        <w:rPr>
          <w:rFonts w:ascii="Arial" w:hAnsi="Arial" w:cs="Arial" w:eastAsia="Arial" w:hint="default"/>
        </w:rPr>
        <w:t>(b) </w:t>
      </w:r>
      <w:r>
        <w:rPr>
          <w:rFonts w:ascii="Arial" w:hAnsi="Arial" w:cs="Arial" w:eastAsia="Arial" w:hint="default"/>
          <w:spacing w:val="28"/>
        </w:rPr>
        <w:t> </w:t>
      </w:r>
      <w:r>
        <w:rPr/>
        <w:t>存货跌价准备分析如下：</w:t>
      </w:r>
    </w:p>
    <w:p>
      <w:pPr>
        <w:spacing w:line="240" w:lineRule="auto" w:before="1"/>
        <w:rPr>
          <w:rFonts w:ascii="宋体" w:hAnsi="宋体" w:cs="宋体" w:eastAsia="宋体" w:hint="default"/>
          <w:sz w:val="15"/>
          <w:szCs w:val="15"/>
        </w:rPr>
      </w:pPr>
    </w:p>
    <w:tbl>
      <w:tblPr>
        <w:tblW w:w="0" w:type="auto"/>
        <w:jc w:val="left"/>
        <w:tblInd w:w="527" w:type="dxa"/>
        <w:tblLayout w:type="fixed"/>
        <w:tblCellMar>
          <w:top w:w="0" w:type="dxa"/>
          <w:left w:w="0" w:type="dxa"/>
          <w:bottom w:w="0" w:type="dxa"/>
          <w:right w:w="0" w:type="dxa"/>
        </w:tblCellMar>
        <w:tblLook w:val="01E0"/>
      </w:tblPr>
      <w:tblGrid>
        <w:gridCol w:w="1925"/>
        <w:gridCol w:w="1690"/>
        <w:gridCol w:w="294"/>
        <w:gridCol w:w="1366"/>
        <w:gridCol w:w="299"/>
        <w:gridCol w:w="1444"/>
        <w:gridCol w:w="352"/>
        <w:gridCol w:w="1768"/>
      </w:tblGrid>
      <w:tr>
        <w:trPr>
          <w:trHeight w:val="549" w:hRule="exact"/>
        </w:trPr>
        <w:tc>
          <w:tcPr>
            <w:tcW w:w="1925" w:type="dxa"/>
            <w:vMerge w:val="restart"/>
            <w:tcBorders>
              <w:top w:val="nil" w:sz="6" w:space="0" w:color="auto"/>
              <w:left w:val="nil" w:sz="6" w:space="0" w:color="auto"/>
              <w:right w:val="nil" w:sz="6" w:space="0" w:color="auto"/>
            </w:tcBorders>
          </w:tcPr>
          <w:p>
            <w:pPr/>
          </w:p>
        </w:tc>
        <w:tc>
          <w:tcPr>
            <w:tcW w:w="1690" w:type="dxa"/>
            <w:tcBorders>
              <w:top w:val="nil" w:sz="6" w:space="0" w:color="auto"/>
              <w:left w:val="nil" w:sz="6" w:space="0" w:color="auto"/>
              <w:bottom w:val="single" w:sz="6" w:space="0" w:color="000000"/>
              <w:right w:val="nil" w:sz="6" w:space="0" w:color="auto"/>
            </w:tcBorders>
          </w:tcPr>
          <w:p>
            <w:pPr>
              <w:pStyle w:val="TableParagraph"/>
              <w:spacing w:line="241" w:lineRule="exact" w:before="44"/>
              <w:ind w:left="941" w:right="0"/>
              <w:jc w:val="lef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9"/>
                <w:sz w:val="18"/>
                <w:szCs w:val="18"/>
              </w:rPr>
              <w:t> </w:t>
            </w:r>
            <w:r>
              <w:rPr>
                <w:rFonts w:ascii="宋体" w:hAnsi="宋体" w:cs="宋体" w:eastAsia="宋体" w:hint="default"/>
                <w:sz w:val="18"/>
                <w:szCs w:val="18"/>
              </w:rPr>
              <w:t>年</w:t>
            </w:r>
          </w:p>
          <w:p>
            <w:pPr>
              <w:pStyle w:val="TableParagraph"/>
              <w:spacing w:line="241" w:lineRule="exact"/>
              <w:ind w:left="671" w:right="0"/>
              <w:jc w:val="left"/>
              <w:rPr>
                <w:rFonts w:ascii="宋体" w:hAnsi="宋体" w:cs="宋体" w:eastAsia="宋体" w:hint="default"/>
                <w:sz w:val="18"/>
                <w:szCs w:val="18"/>
              </w:rPr>
            </w:pP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9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single" w:sz="6"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544" w:right="0"/>
              <w:jc w:val="left"/>
              <w:rPr>
                <w:rFonts w:ascii="宋体" w:hAnsi="宋体" w:cs="宋体" w:eastAsia="宋体" w:hint="default"/>
                <w:sz w:val="18"/>
                <w:szCs w:val="18"/>
              </w:rPr>
            </w:pPr>
            <w:r>
              <w:rPr>
                <w:rFonts w:ascii="宋体" w:hAnsi="宋体" w:cs="宋体" w:eastAsia="宋体" w:hint="default"/>
                <w:sz w:val="18"/>
                <w:szCs w:val="18"/>
              </w:rPr>
              <w:t>本年计提</w:t>
            </w:r>
          </w:p>
        </w:tc>
        <w:tc>
          <w:tcPr>
            <w:tcW w:w="299"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single" w:sz="6"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98"/>
              <w:jc w:val="right"/>
              <w:rPr>
                <w:rFonts w:ascii="宋体" w:hAnsi="宋体" w:cs="宋体" w:eastAsia="宋体" w:hint="default"/>
                <w:sz w:val="18"/>
                <w:szCs w:val="18"/>
              </w:rPr>
            </w:pPr>
            <w:r>
              <w:rPr>
                <w:rFonts w:ascii="宋体" w:hAnsi="宋体" w:cs="宋体" w:eastAsia="宋体" w:hint="default"/>
                <w:sz w:val="18"/>
                <w:szCs w:val="18"/>
              </w:rPr>
              <w:t>本年转销</w:t>
            </w:r>
          </w:p>
        </w:tc>
        <w:tc>
          <w:tcPr>
            <w:tcW w:w="352"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single" w:sz="6" w:space="0" w:color="000000"/>
              <w:right w:val="nil" w:sz="6" w:space="0" w:color="auto"/>
            </w:tcBorders>
          </w:tcPr>
          <w:p>
            <w:pPr>
              <w:pStyle w:val="TableParagraph"/>
              <w:spacing w:line="241" w:lineRule="exact" w:before="44"/>
              <w:ind w:left="985"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9"/>
                <w:sz w:val="18"/>
                <w:szCs w:val="18"/>
              </w:rPr>
              <w:t> </w:t>
            </w:r>
            <w:r>
              <w:rPr>
                <w:rFonts w:ascii="宋体" w:hAnsi="宋体" w:cs="宋体" w:eastAsia="宋体" w:hint="default"/>
                <w:sz w:val="18"/>
                <w:szCs w:val="18"/>
              </w:rPr>
              <w:t>年</w:t>
            </w:r>
          </w:p>
          <w:p>
            <w:pPr>
              <w:pStyle w:val="TableParagraph"/>
              <w:spacing w:line="241" w:lineRule="exact"/>
              <w:ind w:left="715" w:right="0"/>
              <w:jc w:val="left"/>
              <w:rPr>
                <w:rFonts w:ascii="宋体" w:hAnsi="宋体" w:cs="宋体" w:eastAsia="宋体" w:hint="default"/>
                <w:sz w:val="18"/>
                <w:szCs w:val="18"/>
              </w:rPr>
            </w:pP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tc>
      </w:tr>
      <w:tr>
        <w:trPr>
          <w:trHeight w:val="240" w:hRule="exact"/>
        </w:trPr>
        <w:tc>
          <w:tcPr>
            <w:tcW w:w="1925" w:type="dxa"/>
            <w:vMerge/>
            <w:tcBorders>
              <w:left w:val="nil" w:sz="6" w:space="0" w:color="auto"/>
              <w:bottom w:val="nil" w:sz="6" w:space="0" w:color="auto"/>
              <w:right w:val="nil" w:sz="6" w:space="0" w:color="auto"/>
            </w:tcBorders>
          </w:tcPr>
          <w:p>
            <w:pPr/>
          </w:p>
        </w:tc>
        <w:tc>
          <w:tcPr>
            <w:tcW w:w="1690" w:type="dxa"/>
            <w:tcBorders>
              <w:top w:val="single" w:sz="6" w:space="0" w:color="000000"/>
              <w:left w:val="nil" w:sz="6" w:space="0" w:color="auto"/>
              <w:bottom w:val="nil" w:sz="6" w:space="0" w:color="auto"/>
              <w:right w:val="nil" w:sz="6" w:space="0" w:color="auto"/>
            </w:tcBorders>
          </w:tcPr>
          <w:p>
            <w:pPr>
              <w:pStyle w:val="TableParagraph"/>
              <w:spacing w:line="207" w:lineRule="exact"/>
              <w:ind w:left="666" w:right="0"/>
              <w:jc w:val="left"/>
              <w:rPr>
                <w:rFonts w:ascii="宋体" w:hAnsi="宋体" w:cs="宋体" w:eastAsia="宋体" w:hint="default"/>
                <w:sz w:val="18"/>
                <w:szCs w:val="18"/>
              </w:rPr>
            </w:pPr>
            <w:r>
              <w:rPr>
                <w:rFonts w:ascii="宋体" w:hAnsi="宋体" w:cs="宋体" w:eastAsia="宋体" w:hint="default"/>
                <w:sz w:val="18"/>
                <w:szCs w:val="18"/>
              </w:rPr>
              <w:t>（经重列）</w:t>
            </w:r>
          </w:p>
        </w:tc>
        <w:tc>
          <w:tcPr>
            <w:tcW w:w="294" w:type="dxa"/>
            <w:tcBorders>
              <w:top w:val="nil" w:sz="6" w:space="0" w:color="auto"/>
              <w:left w:val="nil" w:sz="6" w:space="0" w:color="auto"/>
              <w:bottom w:val="nil" w:sz="6" w:space="0" w:color="auto"/>
              <w:right w:val="nil" w:sz="6" w:space="0" w:color="auto"/>
            </w:tcBorders>
          </w:tcPr>
          <w:p>
            <w:pPr/>
          </w:p>
        </w:tc>
        <w:tc>
          <w:tcPr>
            <w:tcW w:w="1366" w:type="dxa"/>
            <w:tcBorders>
              <w:top w:val="single" w:sz="6" w:space="0" w:color="000000"/>
              <w:left w:val="nil" w:sz="6" w:space="0" w:color="auto"/>
              <w:bottom w:val="nil" w:sz="6" w:space="0" w:color="auto"/>
              <w:right w:val="nil" w:sz="6" w:space="0" w:color="auto"/>
            </w:tcBorders>
          </w:tcPr>
          <w:p>
            <w:pPr/>
          </w:p>
        </w:tc>
        <w:tc>
          <w:tcPr>
            <w:tcW w:w="299" w:type="dxa"/>
            <w:tcBorders>
              <w:top w:val="nil" w:sz="6" w:space="0" w:color="auto"/>
              <w:left w:val="nil" w:sz="6" w:space="0" w:color="auto"/>
              <w:bottom w:val="nil" w:sz="6" w:space="0" w:color="auto"/>
              <w:right w:val="nil" w:sz="6" w:space="0" w:color="auto"/>
            </w:tcBorders>
          </w:tcPr>
          <w:p>
            <w:pPr/>
          </w:p>
        </w:tc>
        <w:tc>
          <w:tcPr>
            <w:tcW w:w="1444" w:type="dxa"/>
            <w:tcBorders>
              <w:top w:val="single" w:sz="6" w:space="0" w:color="000000"/>
              <w:left w:val="nil" w:sz="6" w:space="0" w:color="auto"/>
              <w:bottom w:val="nil" w:sz="6" w:space="0" w:color="auto"/>
              <w:right w:val="nil" w:sz="6" w:space="0" w:color="auto"/>
            </w:tcBorders>
          </w:tcPr>
          <w:p>
            <w:pPr/>
          </w:p>
        </w:tc>
        <w:tc>
          <w:tcPr>
            <w:tcW w:w="352" w:type="dxa"/>
            <w:tcBorders>
              <w:top w:val="nil" w:sz="6" w:space="0" w:color="auto"/>
              <w:left w:val="nil" w:sz="6" w:space="0" w:color="auto"/>
              <w:bottom w:val="nil" w:sz="6" w:space="0" w:color="auto"/>
              <w:right w:val="nil" w:sz="6" w:space="0" w:color="auto"/>
            </w:tcBorders>
          </w:tcPr>
          <w:p>
            <w:pPr/>
          </w:p>
        </w:tc>
        <w:tc>
          <w:tcPr>
            <w:tcW w:w="1768" w:type="dxa"/>
            <w:tcBorders>
              <w:top w:val="single" w:sz="6" w:space="0" w:color="000000"/>
              <w:left w:val="nil" w:sz="6" w:space="0" w:color="auto"/>
              <w:bottom w:val="nil" w:sz="6" w:space="0" w:color="auto"/>
              <w:right w:val="nil" w:sz="6" w:space="0" w:color="auto"/>
            </w:tcBorders>
          </w:tcPr>
          <w:p>
            <w:pPr/>
          </w:p>
        </w:tc>
      </w:tr>
      <w:tr>
        <w:trPr>
          <w:trHeight w:val="471" w:hRule="exact"/>
        </w:trPr>
        <w:tc>
          <w:tcPr>
            <w:tcW w:w="1925" w:type="dxa"/>
            <w:tcBorders>
              <w:top w:val="nil" w:sz="6" w:space="0" w:color="auto"/>
              <w:left w:val="nil" w:sz="6" w:space="0" w:color="auto"/>
              <w:bottom w:val="nil" w:sz="6" w:space="0" w:color="auto"/>
              <w:right w:val="nil" w:sz="6" w:space="0" w:color="auto"/>
            </w:tcBorders>
          </w:tcPr>
          <w:p>
            <w:pPr>
              <w:pStyle w:val="TableParagraph"/>
              <w:spacing w:line="205" w:lineRule="exact"/>
              <w:ind w:left="35" w:right="0"/>
              <w:jc w:val="left"/>
              <w:rPr>
                <w:rFonts w:ascii="宋体" w:hAnsi="宋体" w:cs="宋体" w:eastAsia="宋体" w:hint="default"/>
                <w:sz w:val="18"/>
                <w:szCs w:val="18"/>
              </w:rPr>
            </w:pPr>
            <w:r>
              <w:rPr>
                <w:rFonts w:ascii="宋体" w:hAnsi="宋体" w:cs="宋体" w:eastAsia="宋体" w:hint="default"/>
                <w:sz w:val="18"/>
                <w:szCs w:val="18"/>
              </w:rPr>
              <w:t>手机及通信终端</w:t>
            </w:r>
          </w:p>
          <w:p>
            <w:pPr>
              <w:pStyle w:val="TableParagraph"/>
              <w:spacing w:line="247" w:lineRule="exact"/>
              <w:ind w:left="35" w:right="0"/>
              <w:jc w:val="left"/>
              <w:rPr>
                <w:rFonts w:ascii="宋体" w:hAnsi="宋体" w:cs="宋体" w:eastAsia="宋体" w:hint="default"/>
                <w:sz w:val="18"/>
                <w:szCs w:val="18"/>
              </w:rPr>
            </w:pPr>
            <w:r>
              <w:rPr>
                <w:rFonts w:ascii="Arial" w:hAnsi="Arial" w:cs="Arial" w:eastAsia="Arial" w:hint="default"/>
                <w:sz w:val="18"/>
                <w:szCs w:val="18"/>
              </w:rPr>
              <w:t>SIM </w:t>
            </w:r>
            <w:r>
              <w:rPr>
                <w:rFonts w:ascii="宋体" w:hAnsi="宋体" w:cs="宋体" w:eastAsia="宋体" w:hint="default"/>
                <w:sz w:val="18"/>
                <w:szCs w:val="18"/>
              </w:rPr>
              <w:t>卡、</w:t>
            </w:r>
            <w:r>
              <w:rPr>
                <w:rFonts w:ascii="Arial" w:hAnsi="Arial" w:cs="Arial" w:eastAsia="Arial" w:hint="default"/>
                <w:sz w:val="18"/>
                <w:szCs w:val="18"/>
              </w:rPr>
              <w:t>UIM</w:t>
            </w:r>
            <w:r>
              <w:rPr>
                <w:rFonts w:ascii="Arial" w:hAnsi="Arial" w:cs="Arial" w:eastAsia="Arial" w:hint="default"/>
                <w:spacing w:val="8"/>
                <w:sz w:val="18"/>
                <w:szCs w:val="18"/>
              </w:rPr>
              <w:t> </w:t>
            </w:r>
            <w:r>
              <w:rPr>
                <w:rFonts w:ascii="宋体" w:hAnsi="宋体" w:cs="宋体" w:eastAsia="宋体" w:hint="default"/>
                <w:sz w:val="18"/>
                <w:szCs w:val="18"/>
              </w:rPr>
              <w:t>卡及预付</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25"/>
              <w:ind w:left="583" w:right="0"/>
              <w:jc w:val="left"/>
              <w:rPr>
                <w:rFonts w:ascii="Arial" w:hAnsi="Arial" w:cs="Arial" w:eastAsia="Arial" w:hint="default"/>
                <w:sz w:val="18"/>
                <w:szCs w:val="18"/>
              </w:rPr>
            </w:pPr>
            <w:r>
              <w:rPr>
                <w:rFonts w:ascii="Arial"/>
                <w:sz w:val="18"/>
              </w:rPr>
              <w:t>(58,927,849)</w:t>
            </w:r>
          </w:p>
        </w:tc>
        <w:tc>
          <w:tcPr>
            <w:tcW w:w="29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91" w:right="0"/>
              <w:jc w:val="left"/>
              <w:rPr>
                <w:rFonts w:ascii="Arial" w:hAnsi="Arial" w:cs="Arial" w:eastAsia="Arial" w:hint="default"/>
                <w:sz w:val="18"/>
                <w:szCs w:val="18"/>
              </w:rPr>
            </w:pPr>
            <w:r>
              <w:rPr>
                <w:rFonts w:ascii="Arial"/>
                <w:sz w:val="18"/>
              </w:rPr>
              <w:t>(15,977,109)</w:t>
            </w:r>
          </w:p>
        </w:tc>
        <w:tc>
          <w:tcPr>
            <w:tcW w:w="299"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2"/>
              <w:jc w:val="right"/>
              <w:rPr>
                <w:rFonts w:ascii="Arial" w:hAnsi="Arial" w:cs="Arial" w:eastAsia="Arial" w:hint="default"/>
                <w:sz w:val="18"/>
                <w:szCs w:val="18"/>
              </w:rPr>
            </w:pPr>
            <w:r>
              <w:rPr>
                <w:rFonts w:ascii="Arial"/>
                <w:spacing w:val="-1"/>
                <w:sz w:val="18"/>
              </w:rPr>
              <w:t>19,112,822</w:t>
            </w:r>
          </w:p>
        </w:tc>
        <w:tc>
          <w:tcPr>
            <w:tcW w:w="352"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4"/>
              <w:jc w:val="right"/>
              <w:rPr>
                <w:rFonts w:ascii="Arial" w:hAnsi="Arial" w:cs="Arial" w:eastAsia="Arial" w:hint="default"/>
                <w:sz w:val="18"/>
                <w:szCs w:val="18"/>
              </w:rPr>
            </w:pPr>
            <w:r>
              <w:rPr>
                <w:rFonts w:ascii="Arial"/>
                <w:spacing w:val="-1"/>
                <w:sz w:val="18"/>
              </w:rPr>
              <w:t>(55,792,136)</w:t>
            </w:r>
            <w:r>
              <w:rPr>
                <w:rFonts w:ascii="Arial"/>
                <w:sz w:val="18"/>
              </w:rPr>
            </w:r>
          </w:p>
        </w:tc>
      </w:tr>
      <w:tr>
        <w:trPr>
          <w:trHeight w:val="241" w:hRule="exact"/>
        </w:trPr>
        <w:tc>
          <w:tcPr>
            <w:tcW w:w="1925" w:type="dxa"/>
            <w:tcBorders>
              <w:top w:val="nil" w:sz="6" w:space="0" w:color="auto"/>
              <w:left w:val="nil" w:sz="6" w:space="0" w:color="auto"/>
              <w:bottom w:val="nil" w:sz="6" w:space="0" w:color="auto"/>
              <w:right w:val="nil" w:sz="6" w:space="0" w:color="auto"/>
            </w:tcBorders>
          </w:tcPr>
          <w:p>
            <w:pPr>
              <w:pStyle w:val="TableParagraph"/>
              <w:spacing w:line="203" w:lineRule="exact"/>
              <w:ind w:right="1124"/>
              <w:jc w:val="right"/>
              <w:rPr>
                <w:rFonts w:ascii="宋体" w:hAnsi="宋体" w:cs="宋体" w:eastAsia="宋体" w:hint="default"/>
                <w:sz w:val="18"/>
                <w:szCs w:val="18"/>
              </w:rPr>
            </w:pPr>
            <w:r>
              <w:rPr>
                <w:rFonts w:ascii="宋体" w:hAnsi="宋体" w:cs="宋体" w:eastAsia="宋体" w:hint="default"/>
                <w:sz w:val="18"/>
                <w:szCs w:val="18"/>
              </w:rPr>
              <w:t>电话卡</w:t>
            </w:r>
          </w:p>
        </w:tc>
        <w:tc>
          <w:tcPr>
            <w:tcW w:w="1690" w:type="dxa"/>
            <w:tcBorders>
              <w:top w:val="nil" w:sz="6" w:space="0" w:color="auto"/>
              <w:left w:val="nil" w:sz="6" w:space="0" w:color="auto"/>
              <w:bottom w:val="nil" w:sz="6" w:space="0" w:color="auto"/>
              <w:right w:val="nil" w:sz="6" w:space="0" w:color="auto"/>
            </w:tcBorders>
          </w:tcPr>
          <w:p>
            <w:pPr>
              <w:pStyle w:val="TableParagraph"/>
              <w:spacing w:line="240" w:lineRule="auto" w:before="21"/>
              <w:ind w:left="684" w:right="0"/>
              <w:jc w:val="left"/>
              <w:rPr>
                <w:rFonts w:ascii="Arial" w:hAnsi="Arial" w:cs="Arial" w:eastAsia="Arial" w:hint="default"/>
                <w:sz w:val="18"/>
                <w:szCs w:val="18"/>
              </w:rPr>
            </w:pPr>
            <w:r>
              <w:rPr>
                <w:rFonts w:ascii="Arial"/>
                <w:sz w:val="18"/>
              </w:rPr>
              <w:t>(3,270,047)</w:t>
            </w:r>
          </w:p>
        </w:tc>
        <w:tc>
          <w:tcPr>
            <w:tcW w:w="29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93" w:right="0"/>
              <w:jc w:val="left"/>
              <w:rPr>
                <w:rFonts w:ascii="Arial" w:hAnsi="Arial" w:cs="Arial" w:eastAsia="Arial" w:hint="default"/>
                <w:sz w:val="18"/>
                <w:szCs w:val="18"/>
              </w:rPr>
            </w:pPr>
            <w:r>
              <w:rPr>
                <w:rFonts w:ascii="Arial"/>
                <w:sz w:val="18"/>
              </w:rPr>
              <w:t>(4,120,478)</w:t>
            </w:r>
          </w:p>
        </w:tc>
        <w:tc>
          <w:tcPr>
            <w:tcW w:w="299"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2"/>
              <w:jc w:val="right"/>
              <w:rPr>
                <w:rFonts w:ascii="Arial" w:hAnsi="Arial" w:cs="Arial" w:eastAsia="Arial" w:hint="default"/>
                <w:sz w:val="18"/>
                <w:szCs w:val="18"/>
              </w:rPr>
            </w:pPr>
            <w:r>
              <w:rPr>
                <w:rFonts w:ascii="Arial"/>
                <w:spacing w:val="-1"/>
                <w:sz w:val="18"/>
              </w:rPr>
              <w:t>4,607,007</w:t>
            </w:r>
            <w:r>
              <w:rPr>
                <w:rFonts w:ascii="Arial"/>
                <w:sz w:val="18"/>
              </w:rPr>
            </w:r>
          </w:p>
        </w:tc>
        <w:tc>
          <w:tcPr>
            <w:tcW w:w="352"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4"/>
              <w:jc w:val="right"/>
              <w:rPr>
                <w:rFonts w:ascii="Arial" w:hAnsi="Arial" w:cs="Arial" w:eastAsia="Arial" w:hint="default"/>
                <w:sz w:val="18"/>
                <w:szCs w:val="18"/>
              </w:rPr>
            </w:pPr>
            <w:r>
              <w:rPr>
                <w:rFonts w:ascii="Arial"/>
                <w:spacing w:val="-1"/>
                <w:sz w:val="18"/>
              </w:rPr>
              <w:t>(2,783,518)</w:t>
            </w:r>
            <w:r>
              <w:rPr>
                <w:rFonts w:ascii="Arial"/>
                <w:sz w:val="18"/>
              </w:rPr>
            </w:r>
          </w:p>
        </w:tc>
      </w:tr>
      <w:tr>
        <w:trPr>
          <w:trHeight w:val="318" w:hRule="exact"/>
        </w:trPr>
        <w:tc>
          <w:tcPr>
            <w:tcW w:w="1925" w:type="dxa"/>
            <w:tcBorders>
              <w:top w:val="nil" w:sz="6" w:space="0" w:color="auto"/>
              <w:left w:val="nil" w:sz="6" w:space="0" w:color="auto"/>
              <w:bottom w:val="nil" w:sz="6" w:space="0" w:color="auto"/>
              <w:right w:val="nil" w:sz="6" w:space="0" w:color="auto"/>
            </w:tcBorders>
          </w:tcPr>
          <w:p>
            <w:pPr>
              <w:pStyle w:val="TableParagraph"/>
              <w:spacing w:line="196" w:lineRule="exact"/>
              <w:ind w:right="1167"/>
              <w:jc w:val="right"/>
              <w:rPr>
                <w:rFonts w:ascii="宋体" w:hAnsi="宋体" w:cs="宋体" w:eastAsia="宋体" w:hint="default"/>
                <w:sz w:val="18"/>
                <w:szCs w:val="18"/>
              </w:rPr>
            </w:pPr>
            <w:r>
              <w:rPr>
                <w:rFonts w:ascii="宋体" w:hAnsi="宋体" w:cs="宋体" w:eastAsia="宋体" w:hint="default"/>
                <w:sz w:val="18"/>
                <w:szCs w:val="18"/>
              </w:rPr>
              <w:t>备品备件</w:t>
            </w:r>
          </w:p>
        </w:tc>
        <w:tc>
          <w:tcPr>
            <w:tcW w:w="1690" w:type="dxa"/>
            <w:tcBorders>
              <w:top w:val="nil" w:sz="6" w:space="0" w:color="auto"/>
              <w:left w:val="nil" w:sz="6" w:space="0" w:color="auto"/>
              <w:bottom w:val="nil" w:sz="6" w:space="0" w:color="auto"/>
              <w:right w:val="nil" w:sz="6" w:space="0" w:color="auto"/>
            </w:tcBorders>
          </w:tcPr>
          <w:p>
            <w:pPr>
              <w:pStyle w:val="TableParagraph"/>
              <w:tabs>
                <w:tab w:pos="683" w:val="left" w:leader="none"/>
                <w:tab w:pos="1689" w:val="left" w:leader="none"/>
              </w:tabs>
              <w:spacing w:line="240" w:lineRule="auto" w:before="15"/>
              <w:ind w:left="51"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(7,322,165)</w:t>
              <w:tab/>
            </w:r>
            <w:r>
              <w:rPr>
                <w:rFonts w:ascii="Arial"/>
                <w:sz w:val="18"/>
              </w:rPr>
            </w:r>
          </w:p>
        </w:tc>
        <w:tc>
          <w:tcPr>
            <w:tcW w:w="294" w:type="dxa"/>
            <w:tcBorders>
              <w:top w:val="nil" w:sz="6" w:space="0" w:color="auto"/>
              <w:left w:val="nil" w:sz="6" w:space="0" w:color="auto"/>
              <w:bottom w:val="nil" w:sz="6" w:space="0" w:color="auto"/>
              <w:right w:val="nil" w:sz="6" w:space="0" w:color="auto"/>
            </w:tcBorders>
          </w:tcPr>
          <w:p>
            <w:pPr/>
          </w:p>
        </w:tc>
        <w:tc>
          <w:tcPr>
            <w:tcW w:w="1366" w:type="dxa"/>
            <w:tcBorders>
              <w:top w:val="nil" w:sz="6" w:space="0" w:color="auto"/>
              <w:left w:val="nil" w:sz="6" w:space="0" w:color="auto"/>
              <w:bottom w:val="nil" w:sz="6" w:space="0" w:color="auto"/>
              <w:right w:val="nil" w:sz="6" w:space="0" w:color="auto"/>
            </w:tcBorders>
          </w:tcPr>
          <w:p>
            <w:pPr>
              <w:pStyle w:val="TableParagraph"/>
              <w:tabs>
                <w:tab w:pos="542" w:val="left" w:leader="none"/>
                <w:tab w:pos="1365" w:val="left" w:leader="none"/>
              </w:tabs>
              <w:spacing w:line="240" w:lineRule="auto" w:before="15"/>
              <w:ind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(434,792)</w:t>
              <w:tab/>
            </w:r>
            <w:r>
              <w:rPr>
                <w:rFonts w:ascii="Arial"/>
                <w:sz w:val="18"/>
              </w:rPr>
            </w:r>
          </w:p>
        </w:tc>
        <w:tc>
          <w:tcPr>
            <w:tcW w:w="299"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Style w:val="TableParagraph"/>
              <w:tabs>
                <w:tab w:pos="659" w:val="left" w:leader="none"/>
                <w:tab w:pos="1443" w:val="left" w:leader="none"/>
              </w:tabs>
              <w:spacing w:line="240" w:lineRule="auto" w:before="15"/>
              <w:ind w:right="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421,932</w:t>
              <w:tab/>
            </w:r>
            <w:r>
              <w:rPr>
                <w:rFonts w:ascii="Arial"/>
                <w:spacing w:val="-1"/>
                <w:sz w:val="18"/>
              </w:rPr>
            </w:r>
          </w:p>
        </w:tc>
        <w:tc>
          <w:tcPr>
            <w:tcW w:w="352"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tabs>
                <w:tab w:pos="712" w:val="left" w:leader="none"/>
                <w:tab w:pos="1732" w:val="left" w:leader="none"/>
              </w:tabs>
              <w:spacing w:line="240" w:lineRule="auto" w:before="15"/>
              <w:ind w:right="33"/>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(7,335,025)</w:t>
              <w:tab/>
            </w:r>
            <w:r>
              <w:rPr>
                <w:rFonts w:ascii="Arial"/>
                <w:spacing w:val="-1"/>
                <w:sz w:val="18"/>
              </w:rPr>
            </w:r>
          </w:p>
        </w:tc>
      </w:tr>
    </w:tbl>
    <w:p>
      <w:pPr>
        <w:tabs>
          <w:tab w:pos="3035" w:val="left" w:leader="none"/>
          <w:tab w:pos="4727" w:val="left" w:leader="none"/>
          <w:tab w:pos="6509" w:val="left" w:leader="none"/>
          <w:tab w:pos="8506" w:val="left" w:leader="none"/>
        </w:tabs>
        <w:spacing w:before="100"/>
        <w:ind w:left="561" w:right="125" w:firstLine="0"/>
        <w:jc w:val="left"/>
        <w:rPr>
          <w:rFonts w:ascii="Arial" w:hAnsi="Arial" w:cs="Arial" w:eastAsia="Arial" w:hint="default"/>
          <w:sz w:val="18"/>
          <w:szCs w:val="18"/>
        </w:rPr>
      </w:pPr>
      <w:r>
        <w:rPr>
          <w:rFonts w:ascii="宋体" w:hAnsi="宋体" w:cs="宋体" w:eastAsia="宋体" w:hint="default"/>
          <w:position w:val="1"/>
          <w:sz w:val="18"/>
          <w:szCs w:val="18"/>
        </w:rPr>
        <w:t>合计</w:t>
        <w:tab/>
      </w:r>
      <w:r>
        <w:rPr>
          <w:rFonts w:ascii="Arial" w:hAnsi="Arial" w:cs="Arial" w:eastAsia="Arial" w:hint="default"/>
          <w:spacing w:val="-1"/>
          <w:sz w:val="18"/>
          <w:szCs w:val="18"/>
        </w:rPr>
        <w:t>(69,520,061)</w:t>
        <w:tab/>
        <w:t>(20,532,379)</w:t>
        <w:tab/>
        <w:t>24,141,761</w:t>
        <w:tab/>
        <w:t>(65,910,679)</w:t>
      </w:r>
      <w:r>
        <w:rPr>
          <w:rFonts w:ascii="Arial" w:hAnsi="Arial" w:cs="Arial" w:eastAsia="Arial" w:hint="default"/>
          <w:sz w:val="18"/>
          <w:szCs w:val="18"/>
        </w:rPr>
      </w:r>
    </w:p>
    <w:p>
      <w:pPr>
        <w:tabs>
          <w:tab w:pos="4421" w:val="left" w:leader="none"/>
          <w:tab w:pos="6085" w:val="left" w:leader="none"/>
          <w:tab w:pos="7880" w:val="left" w:leader="none"/>
        </w:tabs>
        <w:spacing w:line="43" w:lineRule="exact"/>
        <w:ind w:left="2489" w:right="0" w:firstLine="0"/>
        <w:rPr>
          <w:rFonts w:ascii="Arial" w:hAnsi="Arial" w:cs="Arial" w:eastAsia="Arial" w:hint="default"/>
          <w:sz w:val="4"/>
          <w:szCs w:val="4"/>
        </w:rPr>
      </w:pPr>
      <w:r>
        <w:rPr>
          <w:rFonts w:ascii="Arial"/>
          <w:position w:val="0"/>
          <w:sz w:val="4"/>
        </w:rPr>
        <w:pict>
          <v:group style="width:83.35pt;height:2.2pt;mso-position-horizontal-relative:char;mso-position-vertical-relative:line" coordorigin="0,0" coordsize="1667,44">
            <v:group style="position:absolute;left:7;top:36;width:1653;height:2" coordorigin="7,36" coordsize="1653,2">
              <v:shape style="position:absolute;left:7;top:36;width:1653;height:2" coordorigin="7,36" coordsize="1653,0" path="m7,36l1660,36e" filled="false" stroked="true" strokeweight=".72pt" strokecolor="#000000">
                <v:path arrowok="t"/>
              </v:shape>
            </v:group>
            <v:group style="position:absolute;left:7;top:7;width:1653;height:2" coordorigin="7,7" coordsize="1653,2">
              <v:shape style="position:absolute;left:7;top:7;width:1653;height:2" coordorigin="7,7" coordsize="1653,0" path="m7,7l1660,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69.75pt;height:2.2pt;mso-position-horizontal-relative:char;mso-position-vertical-relative:line" coordorigin="0,0" coordsize="1395,44">
            <v:group style="position:absolute;left:7;top:36;width:1380;height:2" coordorigin="7,36" coordsize="1380,2">
              <v:shape style="position:absolute;left:7;top:36;width:1380;height:2" coordorigin="7,36" coordsize="1380,0" path="m7,36l1387,36e" filled="false" stroked="true" strokeweight=".72pt" strokecolor="#000000">
                <v:path arrowok="t"/>
              </v:shape>
            </v:group>
            <v:group style="position:absolute;left:7;top:7;width:1380;height:2" coordorigin="7,7" coordsize="1380,2">
              <v:shape style="position:absolute;left:7;top:7;width:1380;height:2" coordorigin="7,7" coordsize="1380,0" path="m7,7l1387,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73.650pt;height:2.2pt;mso-position-horizontal-relative:char;mso-position-vertical-relative:line" coordorigin="0,0" coordsize="1473,44">
            <v:group style="position:absolute;left:7;top:36;width:1458;height:2" coordorigin="7,36" coordsize="1458,2">
              <v:shape style="position:absolute;left:7;top:36;width:1458;height:2" coordorigin="7,36" coordsize="1458,0" path="m7,36l1465,36e" filled="false" stroked="true" strokeweight=".72pt" strokecolor="#000000">
                <v:path arrowok="t"/>
              </v:shape>
            </v:group>
            <v:group style="position:absolute;left:7;top:7;width:1458;height:2" coordorigin="7,7" coordsize="1458,2">
              <v:shape style="position:absolute;left:7;top:7;width:1458;height:2" coordorigin="7,7" coordsize="1458,0" path="m7,7l1465,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88.1pt;height:2.2pt;mso-position-horizontal-relative:char;mso-position-vertical-relative:line" coordorigin="0,0" coordsize="1762,44">
            <v:group style="position:absolute;left:7;top:36;width:1748;height:2" coordorigin="7,36" coordsize="1748,2">
              <v:shape style="position:absolute;left:7;top:36;width:1748;height:2" coordorigin="7,36" coordsize="1748,0" path="m7,36l1754,36e" filled="false" stroked="true" strokeweight=".72pt" strokecolor="#000000">
                <v:path arrowok="t"/>
              </v:shape>
            </v:group>
            <v:group style="position:absolute;left:7;top:7;width:1748;height:2" coordorigin="7,7" coordsize="1748,2">
              <v:shape style="position:absolute;left:7;top:7;width:1748;height:2" coordorigin="7,7" coordsize="1748,0" path="m7,7l1754,7e" filled="false" stroked="true" strokeweight=".72pt" strokecolor="#000000">
                <v:path arrowok="t"/>
              </v:shape>
            </v:group>
          </v:group>
        </w:pict>
      </w:r>
      <w:r>
        <w:rPr>
          <w:rFonts w:ascii="Arial"/>
          <w:position w:val="0"/>
          <w:sz w:val="4"/>
        </w:rPr>
      </w:r>
    </w:p>
    <w:p>
      <w:pPr>
        <w:spacing w:line="240" w:lineRule="auto" w:before="5"/>
        <w:rPr>
          <w:rFonts w:ascii="Arial" w:hAnsi="Arial" w:cs="Arial" w:eastAsia="Arial" w:hint="default"/>
          <w:sz w:val="16"/>
          <w:szCs w:val="16"/>
        </w:rPr>
      </w:pPr>
    </w:p>
    <w:p>
      <w:pPr>
        <w:pStyle w:val="BodyText"/>
        <w:spacing w:line="230" w:lineRule="auto" w:before="42"/>
        <w:ind w:left="536" w:right="164" w:hanging="435"/>
        <w:jc w:val="both"/>
      </w:pPr>
      <w:r>
        <w:rPr>
          <w:rFonts w:ascii="Arial" w:hAnsi="Arial" w:cs="Arial" w:eastAsia="Arial" w:hint="default"/>
        </w:rPr>
        <w:t>(c)</w:t>
      </w:r>
      <w:r>
        <w:rPr>
          <w:rFonts w:ascii="Arial" w:hAnsi="Arial" w:cs="Arial" w:eastAsia="Arial" w:hint="default"/>
          <w:spacing w:val="14"/>
        </w:rPr>
        <w:t> </w:t>
      </w:r>
      <w:r>
        <w:rPr/>
        <w:t>存货跌价准备的计提主要是因为存货陈旧过时或销售价格下降。本年原计提的存货跌价准备的</w:t>
      </w:r>
      <w:r>
        <w:rPr>
          <w:spacing w:val="-107"/>
        </w:rPr>
        <w:t> </w:t>
      </w:r>
      <w:r>
        <w:rPr>
          <w:spacing w:val="6"/>
        </w:rPr>
        <w:t>转销是由于部分在以前年度已计提跌价准备的存货于本年因出售而转出相应已计提的跌价准</w:t>
      </w:r>
      <w:r>
        <w:rPr>
          <w:spacing w:val="7"/>
          <w:w w:val="99"/>
        </w:rPr>
        <w:t> </w:t>
      </w:r>
      <w:r>
        <w:rPr/>
        <w:t>备。</w:t>
      </w:r>
    </w:p>
    <w:p>
      <w:pPr>
        <w:spacing w:line="240" w:lineRule="auto" w:before="3"/>
        <w:rPr>
          <w:rFonts w:ascii="宋体" w:hAnsi="宋体" w:cs="宋体" w:eastAsia="宋体" w:hint="default"/>
          <w:sz w:val="19"/>
          <w:szCs w:val="19"/>
        </w:rPr>
      </w:pPr>
    </w:p>
    <w:p>
      <w:pPr>
        <w:pStyle w:val="BodyText"/>
        <w:spacing w:line="240" w:lineRule="auto"/>
        <w:ind w:left="116" w:right="3260"/>
        <w:jc w:val="left"/>
        <w:rPr>
          <w:rFonts w:ascii="黑体" w:hAnsi="黑体" w:cs="黑体" w:eastAsia="黑体" w:hint="default"/>
        </w:rPr>
      </w:pPr>
      <w:r>
        <w:rPr>
          <w:rFonts w:ascii="Arial" w:hAnsi="Arial" w:cs="Arial" w:eastAsia="Arial" w:hint="default"/>
        </w:rPr>
        <w:t>7</w:t>
      </w:r>
      <w:r>
        <w:rPr>
          <w:rFonts w:ascii="黑体" w:hAnsi="黑体" w:cs="黑体" w:eastAsia="黑体" w:hint="default"/>
        </w:rPr>
        <w:t>、可供出售金融资产</w:t>
      </w:r>
    </w:p>
    <w:p>
      <w:pPr>
        <w:spacing w:line="240" w:lineRule="auto" w:before="7"/>
        <w:rPr>
          <w:rFonts w:ascii="黑体" w:hAnsi="黑体" w:cs="黑体" w:eastAsia="黑体" w:hint="default"/>
          <w:sz w:val="15"/>
          <w:szCs w:val="15"/>
        </w:rPr>
      </w:pPr>
    </w:p>
    <w:tbl>
      <w:tblPr>
        <w:tblW w:w="0" w:type="auto"/>
        <w:jc w:val="left"/>
        <w:tblInd w:w="526" w:type="dxa"/>
        <w:tblLayout w:type="fixed"/>
        <w:tblCellMar>
          <w:top w:w="0" w:type="dxa"/>
          <w:left w:w="0" w:type="dxa"/>
          <w:bottom w:w="0" w:type="dxa"/>
          <w:right w:w="0" w:type="dxa"/>
        </w:tblCellMar>
        <w:tblLook w:val="01E0"/>
      </w:tblPr>
      <w:tblGrid>
        <w:gridCol w:w="4287"/>
        <w:gridCol w:w="2168"/>
        <w:gridCol w:w="239"/>
        <w:gridCol w:w="2275"/>
      </w:tblGrid>
      <w:tr>
        <w:trPr>
          <w:trHeight w:val="360" w:hRule="exact"/>
        </w:trPr>
        <w:tc>
          <w:tcPr>
            <w:tcW w:w="4287" w:type="dxa"/>
            <w:vMerge w:val="restart"/>
            <w:tcBorders>
              <w:top w:val="nil" w:sz="6" w:space="0" w:color="auto"/>
              <w:left w:val="nil" w:sz="6" w:space="0" w:color="auto"/>
              <w:right w:val="nil" w:sz="6" w:space="0" w:color="auto"/>
            </w:tcBorders>
          </w:tcPr>
          <w:p>
            <w:pPr/>
          </w:p>
        </w:tc>
        <w:tc>
          <w:tcPr>
            <w:tcW w:w="2168"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left="153" w:right="0"/>
              <w:jc w:val="lef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39" w:type="dxa"/>
            <w:tcBorders>
              <w:top w:val="nil" w:sz="6" w:space="0" w:color="auto"/>
              <w:left w:val="nil" w:sz="6" w:space="0" w:color="auto"/>
              <w:bottom w:val="nil" w:sz="6" w:space="0" w:color="auto"/>
              <w:right w:val="nil" w:sz="6" w:space="0" w:color="auto"/>
            </w:tcBorders>
          </w:tcPr>
          <w:p>
            <w:pPr/>
          </w:p>
        </w:tc>
        <w:tc>
          <w:tcPr>
            <w:tcW w:w="2275"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left="226" w:right="0"/>
              <w:jc w:val="lef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293" w:hRule="exact"/>
        </w:trPr>
        <w:tc>
          <w:tcPr>
            <w:tcW w:w="4287" w:type="dxa"/>
            <w:vMerge/>
            <w:tcBorders>
              <w:left w:val="nil" w:sz="6" w:space="0" w:color="auto"/>
              <w:bottom w:val="nil" w:sz="6" w:space="0" w:color="auto"/>
              <w:right w:val="nil" w:sz="6" w:space="0" w:color="auto"/>
            </w:tcBorders>
          </w:tcPr>
          <w:p>
            <w:pPr/>
          </w:p>
        </w:tc>
        <w:tc>
          <w:tcPr>
            <w:tcW w:w="2168" w:type="dxa"/>
            <w:tcBorders>
              <w:top w:val="single" w:sz="6" w:space="0" w:color="000000"/>
              <w:left w:val="nil" w:sz="6" w:space="0" w:color="auto"/>
              <w:bottom w:val="nil" w:sz="6" w:space="0" w:color="auto"/>
              <w:right w:val="nil" w:sz="6" w:space="0" w:color="auto"/>
            </w:tcBorders>
          </w:tcPr>
          <w:p>
            <w:pPr/>
          </w:p>
        </w:tc>
        <w:tc>
          <w:tcPr>
            <w:tcW w:w="239" w:type="dxa"/>
            <w:tcBorders>
              <w:top w:val="nil" w:sz="6" w:space="0" w:color="auto"/>
              <w:left w:val="nil" w:sz="6" w:space="0" w:color="auto"/>
              <w:bottom w:val="nil" w:sz="6" w:space="0" w:color="auto"/>
              <w:right w:val="nil" w:sz="6" w:space="0" w:color="auto"/>
            </w:tcBorders>
          </w:tcPr>
          <w:p>
            <w:pPr/>
          </w:p>
        </w:tc>
        <w:tc>
          <w:tcPr>
            <w:tcW w:w="2275" w:type="dxa"/>
            <w:tcBorders>
              <w:top w:val="single" w:sz="6" w:space="0" w:color="000000"/>
              <w:left w:val="nil" w:sz="6" w:space="0" w:color="auto"/>
              <w:bottom w:val="nil" w:sz="6" w:space="0" w:color="auto"/>
              <w:right w:val="nil" w:sz="6" w:space="0" w:color="auto"/>
            </w:tcBorders>
          </w:tcPr>
          <w:p>
            <w:pPr>
              <w:pStyle w:val="TableParagraph"/>
              <w:spacing w:line="253" w:lineRule="exact"/>
              <w:ind w:right="134"/>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68" w:lineRule="exact"/>
              <w:ind w:left="35" w:right="0"/>
              <w:jc w:val="left"/>
              <w:rPr>
                <w:rFonts w:ascii="宋体" w:hAnsi="宋体" w:cs="宋体" w:eastAsia="宋体" w:hint="default"/>
                <w:sz w:val="22"/>
                <w:szCs w:val="22"/>
              </w:rPr>
            </w:pPr>
            <w:r>
              <w:rPr>
                <w:rFonts w:ascii="宋体" w:hAnsi="宋体" w:cs="宋体" w:eastAsia="宋体" w:hint="default"/>
                <w:sz w:val="22"/>
                <w:szCs w:val="22"/>
              </w:rPr>
              <w:t>对交通银行的股票投资（注</w:t>
            </w:r>
            <w:r>
              <w:rPr>
                <w:rFonts w:ascii="宋体" w:hAnsi="宋体" w:cs="宋体" w:eastAsia="宋体" w:hint="default"/>
                <w:spacing w:val="-57"/>
                <w:sz w:val="22"/>
                <w:szCs w:val="22"/>
              </w:rPr>
              <w:t> </w:t>
            </w:r>
            <w:r>
              <w:rPr>
                <w:rFonts w:ascii="Arial" w:hAnsi="Arial" w:cs="Arial" w:eastAsia="Arial" w:hint="default"/>
                <w:sz w:val="22"/>
                <w:szCs w:val="22"/>
              </w:rPr>
              <w:t>1</w:t>
            </w:r>
            <w:r>
              <w:rPr>
                <w:rFonts w:ascii="宋体" w:hAnsi="宋体" w:cs="宋体" w:eastAsia="宋体" w:hint="default"/>
                <w:sz w:val="22"/>
                <w:szCs w:val="22"/>
              </w:rPr>
              <w:t>）</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98"/>
              <w:jc w:val="right"/>
              <w:rPr>
                <w:rFonts w:ascii="Arial" w:hAnsi="Arial" w:cs="Arial" w:eastAsia="Arial" w:hint="default"/>
                <w:sz w:val="22"/>
                <w:szCs w:val="22"/>
              </w:rPr>
            </w:pPr>
            <w:r>
              <w:rPr>
                <w:rFonts w:ascii="Arial"/>
                <w:w w:val="95"/>
                <w:sz w:val="22"/>
              </w:rPr>
              <w:t>187,623,318</w:t>
            </w:r>
            <w:r>
              <w:rPr>
                <w:rFonts w:ascii="Arial"/>
                <w:sz w:val="22"/>
              </w:rPr>
            </w:r>
          </w:p>
        </w:tc>
        <w:tc>
          <w:tcPr>
            <w:tcW w:w="239" w:type="dxa"/>
            <w:tcBorders>
              <w:top w:val="nil" w:sz="6" w:space="0" w:color="auto"/>
              <w:left w:val="nil" w:sz="6" w:space="0" w:color="auto"/>
              <w:bottom w:val="nil" w:sz="6" w:space="0" w:color="auto"/>
              <w:right w:val="nil" w:sz="6" w:space="0" w:color="auto"/>
            </w:tcBorders>
          </w:tcPr>
          <w:p>
            <w:pP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33"/>
              <w:jc w:val="right"/>
              <w:rPr>
                <w:rFonts w:ascii="Arial" w:hAnsi="Arial" w:cs="Arial" w:eastAsia="Arial" w:hint="default"/>
                <w:sz w:val="22"/>
                <w:szCs w:val="22"/>
              </w:rPr>
            </w:pPr>
            <w:r>
              <w:rPr>
                <w:rFonts w:ascii="Arial"/>
                <w:w w:val="95"/>
                <w:sz w:val="22"/>
              </w:rPr>
              <w:t>95,115,992</w:t>
            </w:r>
            <w:r>
              <w:rPr>
                <w:rFonts w:ascii="Arial"/>
                <w:sz w:val="22"/>
              </w:rPr>
            </w:r>
          </w:p>
        </w:tc>
      </w:tr>
      <w:tr>
        <w:trPr>
          <w:trHeight w:val="293"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sz w:val="22"/>
                <w:szCs w:val="22"/>
              </w:rPr>
              <w:t>对西班牙电信的股票投资（注</w:t>
            </w:r>
            <w:r>
              <w:rPr>
                <w:rFonts w:ascii="宋体" w:hAnsi="宋体" w:cs="宋体" w:eastAsia="宋体" w:hint="default"/>
                <w:spacing w:val="-57"/>
                <w:sz w:val="22"/>
                <w:szCs w:val="22"/>
              </w:rPr>
              <w:t> </w:t>
            </w:r>
            <w:r>
              <w:rPr>
                <w:rFonts w:ascii="Arial" w:hAnsi="Arial" w:cs="Arial" w:eastAsia="Arial" w:hint="default"/>
                <w:sz w:val="22"/>
                <w:szCs w:val="22"/>
              </w:rPr>
              <w:t>2</w:t>
            </w:r>
            <w:r>
              <w:rPr>
                <w:rFonts w:ascii="宋体" w:hAnsi="宋体" w:cs="宋体" w:eastAsia="宋体" w:hint="default"/>
                <w:sz w:val="22"/>
                <w:szCs w:val="22"/>
              </w:rPr>
              <w:t>）</w:t>
            </w:r>
          </w:p>
        </w:tc>
        <w:tc>
          <w:tcPr>
            <w:tcW w:w="2168" w:type="dxa"/>
            <w:tcBorders>
              <w:top w:val="nil" w:sz="6" w:space="0" w:color="auto"/>
              <w:left w:val="nil" w:sz="6" w:space="0" w:color="auto"/>
              <w:bottom w:val="nil" w:sz="6" w:space="0" w:color="auto"/>
              <w:right w:val="nil" w:sz="6" w:space="0" w:color="auto"/>
            </w:tcBorders>
          </w:tcPr>
          <w:p>
            <w:pPr>
              <w:pStyle w:val="TableParagraph"/>
              <w:tabs>
                <w:tab w:pos="660" w:val="left" w:leader="none"/>
                <w:tab w:pos="2168" w:val="left" w:leader="none"/>
              </w:tabs>
              <w:spacing w:line="240" w:lineRule="auto" w:before="17"/>
              <w:ind w:right="0"/>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spacing w:val="-1"/>
                <w:sz w:val="22"/>
                <w:u w:val="single" w:color="000000"/>
              </w:rPr>
              <w:t>7,789,288,678</w:t>
              <w:tab/>
            </w:r>
            <w:r>
              <w:rPr>
                <w:rFonts w:ascii="Arial"/>
                <w:spacing w:val="-1"/>
                <w:sz w:val="22"/>
              </w:rPr>
            </w:r>
          </w:p>
        </w:tc>
        <w:tc>
          <w:tcPr>
            <w:tcW w:w="239" w:type="dxa"/>
            <w:tcBorders>
              <w:top w:val="nil" w:sz="6" w:space="0" w:color="auto"/>
              <w:left w:val="nil" w:sz="6" w:space="0" w:color="auto"/>
              <w:bottom w:val="nil" w:sz="6" w:space="0" w:color="auto"/>
              <w:right w:val="nil" w:sz="6" w:space="0" w:color="auto"/>
            </w:tcBorders>
          </w:tcPr>
          <w:p>
            <w:pPr/>
          </w:p>
        </w:tc>
        <w:tc>
          <w:tcPr>
            <w:tcW w:w="2275" w:type="dxa"/>
            <w:tcBorders>
              <w:top w:val="nil" w:sz="6" w:space="0" w:color="auto"/>
              <w:left w:val="nil" w:sz="6" w:space="0" w:color="auto"/>
              <w:bottom w:val="nil" w:sz="6" w:space="0" w:color="auto"/>
              <w:right w:val="nil" w:sz="6" w:space="0" w:color="auto"/>
            </w:tcBorders>
          </w:tcPr>
          <w:p>
            <w:pPr>
              <w:pStyle w:val="TableParagraph"/>
              <w:tabs>
                <w:tab w:pos="2066" w:val="left" w:leader="none"/>
                <w:tab w:pos="2240" w:val="left" w:leader="none"/>
              </w:tabs>
              <w:spacing w:line="240" w:lineRule="auto" w:before="17"/>
              <w:ind w:right="33"/>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w:t>
            </w:r>
            <w:r>
              <w:rPr>
                <w:rFonts w:ascii="Arial"/>
                <w:sz w:val="22"/>
                <w:u w:val="single" w:color="000000"/>
              </w:rPr>
              <w:tab/>
            </w:r>
            <w:r>
              <w:rPr>
                <w:rFonts w:ascii="Arial"/>
                <w:sz w:val="22"/>
              </w:rPr>
            </w:r>
          </w:p>
        </w:tc>
      </w:tr>
      <w:tr>
        <w:trPr>
          <w:trHeight w:val="373" w:hRule="exact"/>
        </w:trPr>
        <w:tc>
          <w:tcPr>
            <w:tcW w:w="4287" w:type="dxa"/>
            <w:tcBorders>
              <w:top w:val="nil" w:sz="6" w:space="0" w:color="auto"/>
              <w:left w:val="nil" w:sz="6" w:space="0" w:color="auto"/>
              <w:bottom w:val="nil" w:sz="6" w:space="0" w:color="auto"/>
              <w:right w:val="nil" w:sz="6" w:space="0" w:color="auto"/>
            </w:tcBorders>
          </w:tcPr>
          <w:p>
            <w:pPr>
              <w:pStyle w:val="TableParagraph"/>
              <w:spacing w:line="247" w:lineRule="exact"/>
              <w:ind w:left="35" w:right="0"/>
              <w:jc w:val="left"/>
              <w:rPr>
                <w:rFonts w:ascii="宋体" w:hAnsi="宋体" w:cs="宋体" w:eastAsia="宋体" w:hint="default"/>
                <w:sz w:val="22"/>
                <w:szCs w:val="22"/>
              </w:rPr>
            </w:pPr>
            <w:r>
              <w:rPr>
                <w:rFonts w:ascii="宋体" w:hAnsi="宋体" w:cs="宋体" w:eastAsia="宋体" w:hint="default"/>
                <w:sz w:val="22"/>
                <w:szCs w:val="22"/>
              </w:rPr>
              <w:t>可供出售权益工具小计</w:t>
            </w:r>
          </w:p>
        </w:tc>
        <w:tc>
          <w:tcPr>
            <w:tcW w:w="216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9"/>
              <w:jc w:val="right"/>
              <w:rPr>
                <w:rFonts w:ascii="Arial" w:hAnsi="Arial" w:cs="Arial" w:eastAsia="Arial" w:hint="default"/>
                <w:sz w:val="22"/>
                <w:szCs w:val="22"/>
              </w:rPr>
            </w:pPr>
            <w:r>
              <w:rPr>
                <w:rFonts w:ascii="Arial"/>
                <w:spacing w:val="-1"/>
                <w:sz w:val="22"/>
              </w:rPr>
              <w:t>7,976,911,996</w:t>
            </w:r>
          </w:p>
        </w:tc>
        <w:tc>
          <w:tcPr>
            <w:tcW w:w="239" w:type="dxa"/>
            <w:tcBorders>
              <w:top w:val="nil" w:sz="6" w:space="0" w:color="auto"/>
              <w:left w:val="nil" w:sz="6" w:space="0" w:color="auto"/>
              <w:bottom w:val="nil" w:sz="6" w:space="0" w:color="auto"/>
              <w:right w:val="nil" w:sz="6" w:space="0" w:color="auto"/>
            </w:tcBorders>
          </w:tcPr>
          <w:p>
            <w:pPr/>
          </w:p>
        </w:tc>
        <w:tc>
          <w:tcPr>
            <w:tcW w:w="227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3"/>
              <w:jc w:val="right"/>
              <w:rPr>
                <w:rFonts w:ascii="Arial" w:hAnsi="Arial" w:cs="Arial" w:eastAsia="Arial" w:hint="default"/>
                <w:sz w:val="22"/>
                <w:szCs w:val="22"/>
              </w:rPr>
            </w:pPr>
            <w:r>
              <w:rPr>
                <w:rFonts w:ascii="Arial"/>
                <w:w w:val="95"/>
                <w:sz w:val="22"/>
              </w:rPr>
              <w:t>95,115,992</w:t>
            </w:r>
            <w:r>
              <w:rPr>
                <w:rFonts w:ascii="Arial"/>
                <w:sz w:val="22"/>
              </w:rPr>
            </w:r>
          </w:p>
        </w:tc>
      </w:tr>
    </w:tbl>
    <w:p>
      <w:pPr>
        <w:spacing w:line="240" w:lineRule="auto" w:before="1"/>
        <w:rPr>
          <w:rFonts w:ascii="黑体" w:hAnsi="黑体" w:cs="黑体" w:eastAsia="黑体" w:hint="default"/>
          <w:sz w:val="7"/>
          <w:szCs w:val="7"/>
        </w:rPr>
      </w:pPr>
    </w:p>
    <w:p>
      <w:pPr>
        <w:pStyle w:val="BodyText"/>
        <w:tabs>
          <w:tab w:pos="4813" w:val="left" w:leader="none"/>
          <w:tab w:pos="6808" w:val="left" w:leader="none"/>
          <w:tab w:pos="7220" w:val="left" w:leader="none"/>
          <w:tab w:pos="9288" w:val="left" w:leader="none"/>
          <w:tab w:pos="9461" w:val="left" w:leader="none"/>
        </w:tabs>
        <w:spacing w:line="240" w:lineRule="auto" w:before="27"/>
        <w:ind w:left="561" w:right="125"/>
        <w:jc w:val="left"/>
        <w:rPr>
          <w:rFonts w:ascii="Arial" w:hAnsi="Arial" w:cs="Arial" w:eastAsia="Arial" w:hint="default"/>
        </w:rPr>
      </w:pPr>
      <w:r>
        <w:rPr>
          <w:w w:val="95"/>
          <w:position w:val="2"/>
        </w:rPr>
        <w:t>减：减值准备</w:t>
        <w:tab/>
      </w:r>
      <w:r>
        <w:rPr>
          <w:rFonts w:ascii="Arial" w:hAnsi="Arial" w:cs="Arial" w:eastAsia="Arial" w:hint="default"/>
          <w:w w:val="95"/>
        </w:rPr>
      </w:r>
      <w:r>
        <w:rPr>
          <w:rFonts w:ascii="Arial" w:hAnsi="Arial" w:cs="Arial" w:eastAsia="Arial" w:hint="default"/>
          <w:w w:val="95"/>
          <w:u w:val="single" w:color="000000"/>
        </w:rPr>
        <w:t> </w:t>
        <w:tab/>
        <w:t>-</w:t>
      </w:r>
      <w:r>
        <w:rPr>
          <w:rFonts w:ascii="Arial" w:hAnsi="Arial" w:cs="Arial" w:eastAsia="Arial" w:hint="default"/>
          <w:w w:val="95"/>
        </w:rPr>
        <w:tab/>
      </w:r>
      <w:r>
        <w:rPr>
          <w:rFonts w:ascii="Arial" w:hAnsi="Arial" w:cs="Arial" w:eastAsia="Arial" w:hint="default"/>
          <w:w w:val="95"/>
          <w:u w:val="single" w:color="000000"/>
        </w:rPr>
        <w:t> </w:t>
        <w:tab/>
      </w:r>
      <w:r>
        <w:rPr>
          <w:rFonts w:ascii="Arial" w:hAnsi="Arial" w:cs="Arial" w:eastAsia="Arial" w:hint="default"/>
          <w:u w:val="single" w:color="000000"/>
        </w:rPr>
        <w:t>-</w:t>
        <w:tab/>
      </w:r>
      <w:r>
        <w:rPr>
          <w:rFonts w:ascii="Arial" w:hAnsi="Arial" w:cs="Arial" w:eastAsia="Arial" w:hint="default"/>
        </w:rPr>
      </w:r>
    </w:p>
    <w:p>
      <w:pPr>
        <w:spacing w:line="240" w:lineRule="auto" w:before="7"/>
        <w:rPr>
          <w:rFonts w:ascii="Arial" w:hAnsi="Arial" w:cs="Arial" w:eastAsia="Arial" w:hint="default"/>
          <w:sz w:val="17"/>
          <w:szCs w:val="17"/>
        </w:rPr>
      </w:pPr>
    </w:p>
    <w:p>
      <w:pPr>
        <w:pStyle w:val="BodyText"/>
        <w:tabs>
          <w:tab w:pos="5474" w:val="left" w:leader="none"/>
          <w:tab w:pos="8259" w:val="left" w:leader="none"/>
        </w:tabs>
        <w:spacing w:line="240" w:lineRule="auto" w:before="27"/>
        <w:ind w:left="561" w:right="125"/>
        <w:jc w:val="left"/>
        <w:rPr>
          <w:rFonts w:ascii="Arial" w:hAnsi="Arial" w:cs="Arial" w:eastAsia="Arial" w:hint="default"/>
        </w:rPr>
      </w:pPr>
      <w:r>
        <w:rPr>
          <w:w w:val="95"/>
          <w:position w:val="2"/>
        </w:rPr>
        <w:t>合计</w:t>
        <w:tab/>
      </w:r>
      <w:r>
        <w:rPr>
          <w:rFonts w:ascii="Arial" w:hAnsi="Arial" w:cs="Arial" w:eastAsia="Arial" w:hint="default"/>
          <w:spacing w:val="-1"/>
        </w:rPr>
        <w:t>7,976,911,996</w:t>
        <w:tab/>
      </w:r>
      <w:r>
        <w:rPr>
          <w:rFonts w:ascii="Arial" w:hAnsi="Arial" w:cs="Arial" w:eastAsia="Arial" w:hint="default"/>
        </w:rPr>
        <w:t>95,115,992</w:t>
      </w:r>
    </w:p>
    <w:p>
      <w:pPr>
        <w:tabs>
          <w:tab w:pos="7206" w:val="left" w:leader="none"/>
        </w:tabs>
        <w:spacing w:line="43" w:lineRule="exact"/>
        <w:ind w:left="4799" w:right="0" w:firstLine="0"/>
        <w:rPr>
          <w:rFonts w:ascii="Arial" w:hAnsi="Arial" w:cs="Arial" w:eastAsia="Arial" w:hint="default"/>
          <w:sz w:val="4"/>
          <w:szCs w:val="4"/>
        </w:rPr>
      </w:pPr>
      <w:r>
        <w:rPr>
          <w:rFonts w:ascii="Arial"/>
          <w:position w:val="0"/>
          <w:sz w:val="4"/>
        </w:rPr>
        <w:pict>
          <v:group style="width:109.9pt;height:2.2pt;mso-position-horizontal-relative:char;mso-position-vertical-relative:line" coordorigin="0,0" coordsize="2198,44">
            <v:group style="position:absolute;left:7;top:36;width:2183;height:2" coordorigin="7,36" coordsize="2183,2">
              <v:shape style="position:absolute;left:7;top:36;width:2183;height:2" coordorigin="7,36" coordsize="2183,0" path="m7,36l2190,36e" filled="false" stroked="true" strokeweight=".72pt" strokecolor="#000000">
                <v:path arrowok="t"/>
              </v:shape>
            </v:group>
            <v:group style="position:absolute;left:7;top:7;width:2183;height:2" coordorigin="7,7" coordsize="2183,2">
              <v:shape style="position:absolute;left:7;top:7;width:2183;height:2" coordorigin="7,7" coordsize="2183,0" path="m7,7l2190,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113.5pt;height:2.2pt;mso-position-horizontal-relative:char;mso-position-vertical-relative:line" coordorigin="0,0" coordsize="2270,44">
            <v:group style="position:absolute;left:7;top:36;width:2255;height:2" coordorigin="7,36" coordsize="2255,2">
              <v:shape style="position:absolute;left:7;top:36;width:2255;height:2" coordorigin="7,36" coordsize="2255,0" path="m7,36l2262,36e" filled="false" stroked="true" strokeweight=".72pt" strokecolor="#000000">
                <v:path arrowok="t"/>
              </v:shape>
            </v:group>
            <v:group style="position:absolute;left:7;top:7;width:2255;height:2" coordorigin="7,7" coordsize="2255,2">
              <v:shape style="position:absolute;left:7;top:7;width:2255;height:2" coordorigin="7,7" coordsize="2255,0" path="m7,7l2262,7e" filled="false" stroked="true" strokeweight=".72pt" strokecolor="#000000">
                <v:path arrowok="t"/>
              </v:shape>
            </v:group>
          </v:group>
        </w:pict>
      </w:r>
      <w:r>
        <w:rPr>
          <w:rFonts w:ascii="Arial"/>
          <w:position w:val="0"/>
          <w:sz w:val="4"/>
        </w:rPr>
      </w:r>
    </w:p>
    <w:p>
      <w:pPr>
        <w:spacing w:after="0" w:line="43" w:lineRule="exact"/>
        <w:rPr>
          <w:rFonts w:ascii="Arial" w:hAnsi="Arial" w:cs="Arial" w:eastAsia="Arial" w:hint="default"/>
          <w:sz w:val="4"/>
          <w:szCs w:val="4"/>
        </w:rPr>
        <w:sectPr>
          <w:headerReference w:type="default" r:id="rId85"/>
          <w:pgSz w:w="11910" w:h="16840"/>
          <w:pgMar w:header="1189" w:footer="752" w:top="3060" w:bottom="940" w:left="1280" w:right="860"/>
        </w:sectPr>
      </w:pPr>
    </w:p>
    <w:p>
      <w:pPr>
        <w:spacing w:line="240" w:lineRule="auto" w:before="11"/>
        <w:rPr>
          <w:rFonts w:ascii="Arial" w:hAnsi="Arial" w:cs="Arial" w:eastAsia="Arial" w:hint="default"/>
          <w:sz w:val="16"/>
          <w:szCs w:val="16"/>
        </w:rPr>
      </w:pPr>
    </w:p>
    <w:p>
      <w:pPr>
        <w:pStyle w:val="BodyText"/>
        <w:spacing w:line="240" w:lineRule="auto" w:before="31"/>
        <w:ind w:left="116" w:right="138"/>
        <w:jc w:val="left"/>
        <w:rPr>
          <w:rFonts w:ascii="黑体" w:hAnsi="黑体" w:cs="黑体" w:eastAsia="黑体" w:hint="default"/>
        </w:rPr>
      </w:pPr>
      <w:r>
        <w:rPr>
          <w:rFonts w:ascii="Arial" w:hAnsi="Arial" w:cs="Arial" w:eastAsia="Arial" w:hint="default"/>
        </w:rPr>
        <w:t>7</w:t>
      </w:r>
      <w:r>
        <w:rPr>
          <w:rFonts w:ascii="黑体" w:hAnsi="黑体" w:cs="黑体" w:eastAsia="黑体" w:hint="default"/>
        </w:rPr>
        <w:t>、</w:t>
      </w:r>
      <w:r>
        <w:rPr>
          <w:rFonts w:ascii="黑体" w:hAnsi="黑体" w:cs="黑体" w:eastAsia="黑体" w:hint="default"/>
          <w:spacing w:val="-49"/>
        </w:rPr>
        <w:t> </w:t>
      </w:r>
      <w:r>
        <w:rPr>
          <w:rFonts w:ascii="黑体" w:hAnsi="黑体" w:cs="黑体" w:eastAsia="黑体" w:hint="default"/>
        </w:rPr>
        <w:t>可供出售金融资产（续）</w:t>
      </w:r>
    </w:p>
    <w:p>
      <w:pPr>
        <w:spacing w:line="240" w:lineRule="auto" w:before="7"/>
        <w:rPr>
          <w:rFonts w:ascii="黑体" w:hAnsi="黑体" w:cs="黑体" w:eastAsia="黑体" w:hint="default"/>
          <w:sz w:val="18"/>
          <w:szCs w:val="18"/>
        </w:rPr>
      </w:pPr>
    </w:p>
    <w:p>
      <w:pPr>
        <w:pStyle w:val="BodyText"/>
        <w:spacing w:line="232" w:lineRule="auto"/>
        <w:ind w:left="1166" w:right="199" w:hanging="630"/>
        <w:jc w:val="both"/>
      </w:pPr>
      <w:r>
        <w:rPr/>
        <w:t>注</w:t>
      </w:r>
      <w:r>
        <w:rPr>
          <w:spacing w:val="-84"/>
        </w:rPr>
        <w:t> </w:t>
      </w:r>
      <w:r>
        <w:rPr>
          <w:rFonts w:ascii="Arial" w:hAnsi="Arial" w:cs="Arial" w:eastAsia="Arial" w:hint="default"/>
        </w:rPr>
        <w:t>1</w:t>
      </w:r>
      <w:r>
        <w:rPr/>
        <w:t>：本公司所属子公司中讯设计院持有的交通银行股份有限公司（“交通银行”）普通股股</w:t>
      </w:r>
      <w:r>
        <w:rPr>
          <w:w w:val="99"/>
        </w:rPr>
        <w:t> </w:t>
      </w:r>
      <w:r>
        <w:rPr/>
        <w:t>票</w:t>
      </w:r>
      <w:r>
        <w:rPr>
          <w:spacing w:val="-65"/>
        </w:rPr>
        <w:t> </w:t>
      </w:r>
      <w:r>
        <w:rPr>
          <w:rFonts w:ascii="Arial" w:hAnsi="Arial" w:cs="Arial" w:eastAsia="Arial" w:hint="default"/>
        </w:rPr>
        <w:t>20,066,665</w:t>
      </w:r>
      <w:r>
        <w:rPr>
          <w:rFonts w:ascii="Arial" w:hAnsi="Arial" w:cs="Arial" w:eastAsia="Arial" w:hint="default"/>
          <w:spacing w:val="-16"/>
        </w:rPr>
        <w:t> </w:t>
      </w:r>
      <w:r>
        <w:rPr/>
        <w:t>股，初始投资成本为每股</w:t>
      </w:r>
      <w:r>
        <w:rPr>
          <w:spacing w:val="-65"/>
        </w:rPr>
        <w:t> </w:t>
      </w:r>
      <w:r>
        <w:rPr>
          <w:rFonts w:ascii="Arial" w:hAnsi="Arial" w:cs="Arial" w:eastAsia="Arial" w:hint="default"/>
        </w:rPr>
        <w:t>1.83</w:t>
      </w:r>
      <w:r>
        <w:rPr>
          <w:rFonts w:ascii="Arial" w:hAnsi="Arial" w:cs="Arial" w:eastAsia="Arial" w:hint="default"/>
          <w:spacing w:val="-16"/>
        </w:rPr>
        <w:t> </w:t>
      </w:r>
      <w:r>
        <w:rPr/>
        <w:t>元。因交通银行的股票在上海证券交易所</w:t>
      </w:r>
      <w:r>
        <w:rPr>
          <w:w w:val="99"/>
        </w:rPr>
        <w:t> </w:t>
      </w:r>
      <w:r>
        <w:rPr>
          <w:spacing w:val="-1"/>
          <w:w w:val="95"/>
        </w:rPr>
        <w:t>上市交易，故其股票有活跃市场之报价，其股票的公允价值也能够可靠计量。另外，本</w:t>
      </w:r>
      <w:r>
        <w:rPr>
          <w:w w:val="99"/>
        </w:rPr>
        <w:t> </w:t>
      </w:r>
      <w:r>
        <w:rPr>
          <w:spacing w:val="-1"/>
          <w:w w:val="95"/>
        </w:rPr>
        <w:t>集团并非为短期交易目的而持有该股票，因此，本集团将持有的对交通银行股票的投资</w:t>
      </w:r>
      <w:r>
        <w:rPr>
          <w:w w:val="99"/>
        </w:rPr>
        <w:t> </w:t>
      </w:r>
      <w:r>
        <w:rPr>
          <w:spacing w:val="-3"/>
        </w:rPr>
        <w:t>划分为可供出售金融资产。于</w:t>
      </w:r>
      <w:r>
        <w:rPr>
          <w:spacing w:val="-68"/>
        </w:rPr>
        <w:t> </w:t>
      </w:r>
      <w:r>
        <w:rPr>
          <w:rFonts w:ascii="Arial" w:hAnsi="Arial" w:cs="Arial" w:eastAsia="Arial" w:hint="default"/>
        </w:rPr>
        <w:t>2009</w:t>
      </w:r>
      <w:r>
        <w:rPr>
          <w:rFonts w:ascii="Arial" w:hAnsi="Arial" w:cs="Arial" w:eastAsia="Arial" w:hint="default"/>
          <w:spacing w:val="-19"/>
        </w:rPr>
        <w:t> </w:t>
      </w:r>
      <w:r>
        <w:rPr/>
        <w:t>年度，交通银行股票市价从年初每股人民币</w:t>
      </w:r>
      <w:r>
        <w:rPr>
          <w:spacing w:val="-68"/>
        </w:rPr>
        <w:t> </w:t>
      </w:r>
      <w:r>
        <w:rPr>
          <w:rFonts w:ascii="Arial" w:hAnsi="Arial" w:cs="Arial" w:eastAsia="Arial" w:hint="default"/>
        </w:rPr>
        <w:t>4.74</w:t>
      </w:r>
      <w:r>
        <w:rPr>
          <w:rFonts w:ascii="Arial" w:hAnsi="Arial" w:cs="Arial" w:eastAsia="Arial" w:hint="default"/>
          <w:spacing w:val="-19"/>
        </w:rPr>
        <w:t> </w:t>
      </w:r>
      <w:r>
        <w:rPr/>
        <w:t>元</w:t>
      </w:r>
    </w:p>
    <w:p>
      <w:pPr>
        <w:pStyle w:val="BodyText"/>
        <w:spacing w:line="277" w:lineRule="exact"/>
        <w:ind w:left="1166" w:right="0"/>
        <w:jc w:val="both"/>
      </w:pPr>
      <w:r>
        <w:rPr/>
        <w:t>增加至年末的每股人民币 </w:t>
      </w:r>
      <w:r>
        <w:rPr>
          <w:rFonts w:ascii="Arial" w:hAnsi="Arial" w:cs="Arial" w:eastAsia="Arial" w:hint="default"/>
        </w:rPr>
        <w:t>9.35</w:t>
      </w:r>
      <w:r>
        <w:rPr>
          <w:rFonts w:ascii="Arial" w:hAnsi="Arial" w:cs="Arial" w:eastAsia="Arial" w:hint="default"/>
          <w:spacing w:val="11"/>
        </w:rPr>
        <w:t> </w:t>
      </w:r>
      <w:r>
        <w:rPr/>
        <w:t>元，因此可供出售权益工具账面余额本期增加约人民币</w:t>
      </w:r>
    </w:p>
    <w:p>
      <w:pPr>
        <w:pStyle w:val="BodyText"/>
        <w:spacing w:line="286" w:lineRule="exact" w:before="19"/>
        <w:ind w:left="1166" w:right="201" w:hanging="1"/>
        <w:jc w:val="both"/>
      </w:pPr>
      <w:r>
        <w:rPr>
          <w:rFonts w:ascii="Arial" w:hAnsi="Arial" w:cs="Arial" w:eastAsia="Arial" w:hint="default"/>
        </w:rPr>
        <w:t>9,251</w:t>
      </w:r>
      <w:r>
        <w:rPr>
          <w:rFonts w:ascii="Arial" w:hAnsi="Arial" w:cs="Arial" w:eastAsia="Arial" w:hint="default"/>
          <w:spacing w:val="-5"/>
        </w:rPr>
        <w:t> </w:t>
      </w:r>
      <w:r>
        <w:rPr/>
        <w:t>万元，扣除所得税影响后的净收益按持股比例计算约人民币</w:t>
      </w:r>
      <w:r>
        <w:rPr>
          <w:spacing w:val="-54"/>
        </w:rPr>
        <w:t> </w:t>
      </w:r>
      <w:r>
        <w:rPr>
          <w:rFonts w:ascii="Arial" w:hAnsi="Arial" w:cs="Arial" w:eastAsia="Arial" w:hint="default"/>
        </w:rPr>
        <w:t>2,843</w:t>
      </w:r>
      <w:r>
        <w:rPr>
          <w:rFonts w:ascii="Arial" w:hAnsi="Arial" w:cs="Arial" w:eastAsia="Arial" w:hint="default"/>
          <w:spacing w:val="-6"/>
        </w:rPr>
        <w:t> </w:t>
      </w:r>
      <w:r>
        <w:rPr/>
        <w:t>万元被计入本</w:t>
      </w:r>
      <w:r>
        <w:rPr>
          <w:w w:val="99"/>
        </w:rPr>
        <w:t> </w:t>
      </w:r>
      <w:r>
        <w:rPr/>
        <w:t>集团的资本公积（见附注五</w:t>
      </w:r>
      <w:r>
        <w:rPr>
          <w:rFonts w:ascii="Arial" w:hAnsi="Arial" w:cs="Arial" w:eastAsia="Arial" w:hint="default"/>
        </w:rPr>
        <w:t>(31)</w:t>
      </w:r>
      <w:r>
        <w:rPr/>
        <w:t>）。</w:t>
      </w:r>
    </w:p>
    <w:p>
      <w:pPr>
        <w:spacing w:line="240" w:lineRule="auto" w:before="7"/>
        <w:rPr>
          <w:rFonts w:ascii="宋体" w:hAnsi="宋体" w:cs="宋体" w:eastAsia="宋体" w:hint="default"/>
          <w:sz w:val="17"/>
          <w:szCs w:val="17"/>
        </w:rPr>
      </w:pPr>
    </w:p>
    <w:p>
      <w:pPr>
        <w:pStyle w:val="BodyText"/>
        <w:spacing w:line="235" w:lineRule="auto"/>
        <w:ind w:left="1166" w:right="157" w:hanging="630"/>
        <w:jc w:val="both"/>
      </w:pPr>
      <w:r>
        <w:rPr/>
        <w:t>注</w:t>
      </w:r>
      <w:r>
        <w:rPr>
          <w:spacing w:val="-55"/>
        </w:rPr>
        <w:t> </w:t>
      </w:r>
      <w:r>
        <w:rPr>
          <w:rFonts w:ascii="Arial" w:hAnsi="Arial" w:cs="Arial" w:eastAsia="Arial" w:hint="default"/>
        </w:rPr>
        <w:t>2</w:t>
      </w:r>
      <w:r>
        <w:rPr/>
        <w:t>：如附注一（</w:t>
      </w:r>
      <w:r>
        <w:rPr>
          <w:rFonts w:ascii="Arial" w:hAnsi="Arial" w:cs="Arial" w:eastAsia="Arial" w:hint="default"/>
        </w:rPr>
        <w:t>7</w:t>
      </w:r>
      <w:r>
        <w:rPr/>
        <w:t>）所述，联通红筹公司与西班牙电信互相投资，双方于</w:t>
      </w:r>
      <w:r>
        <w:rPr>
          <w:spacing w:val="-39"/>
        </w:rPr>
        <w:t> </w:t>
      </w:r>
      <w:r>
        <w:rPr>
          <w:rFonts w:ascii="Arial" w:hAnsi="Arial" w:cs="Arial" w:eastAsia="Arial" w:hint="default"/>
        </w:rPr>
        <w:t>2009</w:t>
      </w:r>
      <w:r>
        <w:rPr>
          <w:rFonts w:ascii="Arial" w:hAnsi="Arial" w:cs="Arial" w:eastAsia="Arial" w:hint="default"/>
          <w:spacing w:val="10"/>
        </w:rPr>
        <w:t> </w:t>
      </w:r>
      <w:r>
        <w:rPr/>
        <w:t>年</w:t>
      </w:r>
      <w:r>
        <w:rPr>
          <w:spacing w:val="-40"/>
        </w:rPr>
        <w:t> </w:t>
      </w:r>
      <w:r>
        <w:rPr>
          <w:rFonts w:ascii="Arial" w:hAnsi="Arial" w:cs="Arial" w:eastAsia="Arial" w:hint="default"/>
        </w:rPr>
        <w:t>9</w:t>
      </w:r>
      <w:r>
        <w:rPr>
          <w:rFonts w:ascii="Arial" w:hAnsi="Arial" w:cs="Arial" w:eastAsia="Arial" w:hint="default"/>
          <w:spacing w:val="9"/>
        </w:rPr>
        <w:t> </w:t>
      </w:r>
      <w:r>
        <w:rPr/>
        <w:t>月</w:t>
      </w:r>
      <w:r>
        <w:rPr>
          <w:spacing w:val="-39"/>
        </w:rPr>
        <w:t> </w:t>
      </w:r>
      <w:r>
        <w:rPr>
          <w:rFonts w:ascii="Arial" w:hAnsi="Arial" w:cs="Arial" w:eastAsia="Arial" w:hint="default"/>
        </w:rPr>
        <w:t>6</w:t>
      </w:r>
      <w:r>
        <w:rPr>
          <w:rFonts w:ascii="Arial" w:hAnsi="Arial" w:cs="Arial" w:eastAsia="Arial" w:hint="default"/>
          <w:spacing w:val="9"/>
        </w:rPr>
        <w:t> </w:t>
      </w:r>
      <w:r>
        <w:rPr/>
        <w:t>日</w:t>
      </w:r>
      <w:r>
        <w:rPr>
          <w:w w:val="99"/>
        </w:rPr>
        <w:t> </w:t>
      </w:r>
      <w:r>
        <w:rPr>
          <w:spacing w:val="4"/>
        </w:rPr>
        <w:t>签订的认购协议约定联通红筹公司与西班牙电信均将以预先确定的固定价格及以某种</w:t>
      </w:r>
      <w:r>
        <w:rPr>
          <w:spacing w:val="4"/>
          <w:w w:val="99"/>
        </w:rPr>
        <w:t> </w:t>
      </w:r>
      <w:r>
        <w:rPr/>
        <w:t>外币计价相互购买另一方股份，故该认购协议被视为远期合约从而被认定为衍生工具。</w:t>
      </w:r>
      <w:r>
        <w:rPr>
          <w:w w:val="99"/>
        </w:rPr>
        <w:t> </w:t>
      </w:r>
      <w:r>
        <w:rPr>
          <w:w w:val="95"/>
        </w:rPr>
        <w:t>衍生工具于每个资产负债表日按其公允价值进行评估并计量，且联通红筹公司与西班牙</w:t>
      </w:r>
      <w:r>
        <w:rPr>
          <w:w w:val="99"/>
        </w:rPr>
        <w:t> </w:t>
      </w:r>
      <w:r>
        <w:rPr>
          <w:w w:val="95"/>
        </w:rPr>
        <w:t>电信相互投资完成前发生的所有衍生工具公允价值变动被记录于当期利润表（见附注五</w:t>
      </w:r>
      <w:r>
        <w:rPr>
          <w:w w:val="99"/>
        </w:rPr>
        <w:t> </w:t>
      </w:r>
      <w:r>
        <w:rPr>
          <w:rFonts w:ascii="Arial" w:hAnsi="Arial" w:cs="Arial" w:eastAsia="Arial" w:hint="default"/>
        </w:rPr>
        <w:t>(40)</w:t>
      </w:r>
      <w:r>
        <w:rPr/>
        <w:t>）。截至交易完成日即</w:t>
      </w:r>
      <w:r>
        <w:rPr>
          <w:spacing w:val="-54"/>
        </w:rPr>
        <w:t> </w:t>
      </w:r>
      <w:r>
        <w:rPr>
          <w:rFonts w:ascii="Arial" w:hAnsi="Arial" w:cs="Arial" w:eastAsia="Arial" w:hint="default"/>
        </w:rPr>
        <w:t>2009</w:t>
      </w:r>
      <w:r>
        <w:rPr>
          <w:rFonts w:ascii="Arial" w:hAnsi="Arial" w:cs="Arial" w:eastAsia="Arial" w:hint="default"/>
          <w:spacing w:val="-5"/>
        </w:rPr>
        <w:t> </w:t>
      </w:r>
      <w:r>
        <w:rPr/>
        <w:t>年</w:t>
      </w:r>
      <w:r>
        <w:rPr>
          <w:spacing w:val="-54"/>
        </w:rPr>
        <w:t> </w:t>
      </w:r>
      <w:r>
        <w:rPr>
          <w:rFonts w:ascii="Arial" w:hAnsi="Arial" w:cs="Arial" w:eastAsia="Arial" w:hint="default"/>
        </w:rPr>
        <w:t>10</w:t>
      </w:r>
      <w:r>
        <w:rPr>
          <w:rFonts w:ascii="Arial" w:hAnsi="Arial" w:cs="Arial" w:eastAsia="Arial" w:hint="default"/>
          <w:spacing w:val="-5"/>
        </w:rPr>
        <w:t> </w:t>
      </w:r>
      <w:r>
        <w:rPr/>
        <w:t>月</w:t>
      </w:r>
      <w:r>
        <w:rPr>
          <w:spacing w:val="-54"/>
        </w:rPr>
        <w:t> </w:t>
      </w:r>
      <w:r>
        <w:rPr>
          <w:rFonts w:ascii="Arial" w:hAnsi="Arial" w:cs="Arial" w:eastAsia="Arial" w:hint="default"/>
        </w:rPr>
        <w:t>21</w:t>
      </w:r>
      <w:r>
        <w:rPr>
          <w:rFonts w:ascii="Arial" w:hAnsi="Arial" w:cs="Arial" w:eastAsia="Arial" w:hint="default"/>
          <w:spacing w:val="-5"/>
        </w:rPr>
        <w:t> </w:t>
      </w:r>
      <w:r>
        <w:rPr/>
        <w:t>日止，该衍生工具公允价值变动累计确认</w:t>
      </w:r>
    </w:p>
    <w:p>
      <w:pPr>
        <w:pStyle w:val="BodyText"/>
        <w:spacing w:line="225" w:lineRule="auto"/>
        <w:ind w:left="1166" w:right="157"/>
        <w:jc w:val="both"/>
      </w:pPr>
      <w:r>
        <w:rPr/>
        <w:t>收益约人民币</w:t>
      </w:r>
      <w:r>
        <w:rPr>
          <w:spacing w:val="-52"/>
        </w:rPr>
        <w:t> </w:t>
      </w:r>
      <w:r>
        <w:rPr>
          <w:rFonts w:ascii="Arial" w:hAnsi="Arial" w:cs="Arial" w:eastAsia="Arial" w:hint="default"/>
        </w:rPr>
        <w:t>12.4</w:t>
      </w:r>
      <w:r>
        <w:rPr>
          <w:rFonts w:ascii="Arial" w:hAnsi="Arial" w:cs="Arial" w:eastAsia="Arial" w:hint="default"/>
          <w:spacing w:val="-3"/>
        </w:rPr>
        <w:t> </w:t>
      </w:r>
      <w:r>
        <w:rPr>
          <w:spacing w:val="-4"/>
        </w:rPr>
        <w:t>亿元，已记录于</w:t>
      </w:r>
      <w:r>
        <w:rPr>
          <w:spacing w:val="-51"/>
        </w:rPr>
        <w:t> </w:t>
      </w:r>
      <w:r>
        <w:rPr>
          <w:rFonts w:ascii="Arial" w:hAnsi="Arial" w:cs="Arial" w:eastAsia="Arial" w:hint="default"/>
        </w:rPr>
        <w:t>2009</w:t>
      </w:r>
      <w:r>
        <w:rPr>
          <w:rFonts w:ascii="Arial" w:hAnsi="Arial" w:cs="Arial" w:eastAsia="Arial" w:hint="default"/>
          <w:spacing w:val="-3"/>
        </w:rPr>
        <w:t> </w:t>
      </w:r>
      <w:r>
        <w:rPr>
          <w:spacing w:val="-4"/>
        </w:rPr>
        <w:t>年度合并利润表“公允价值变动收益”中。衍</w:t>
      </w:r>
      <w:r>
        <w:rPr>
          <w:spacing w:val="-107"/>
        </w:rPr>
        <w:t> </w:t>
      </w:r>
      <w:r>
        <w:rPr>
          <w:spacing w:val="-107"/>
        </w:rPr>
      </w:r>
      <w:r>
        <w:rPr/>
        <w:t>生工具于交易完成日即联通红筹公司与西班牙电信相互投资完成交割时（</w:t>
      </w:r>
      <w:r>
        <w:rPr>
          <w:rFonts w:ascii="Arial" w:hAnsi="Arial" w:cs="Arial" w:eastAsia="Arial" w:hint="default"/>
        </w:rPr>
        <w:t>2009</w:t>
      </w:r>
      <w:r>
        <w:rPr>
          <w:rFonts w:ascii="Arial" w:hAnsi="Arial" w:cs="Arial" w:eastAsia="Arial" w:hint="default"/>
          <w:spacing w:val="-23"/>
        </w:rPr>
        <w:t> </w:t>
      </w:r>
      <w:r>
        <w:rPr/>
        <w:t>年</w:t>
      </w:r>
      <w:r>
        <w:rPr>
          <w:spacing w:val="-72"/>
        </w:rPr>
        <w:t> </w:t>
      </w:r>
      <w:r>
        <w:rPr>
          <w:rFonts w:ascii="Arial" w:hAnsi="Arial" w:cs="Arial" w:eastAsia="Arial" w:hint="default"/>
        </w:rPr>
        <w:t>10</w:t>
      </w:r>
      <w:r>
        <w:rPr>
          <w:rFonts w:ascii="Arial" w:hAnsi="Arial" w:cs="Arial" w:eastAsia="Arial" w:hint="default"/>
          <w:spacing w:val="-24"/>
        </w:rPr>
        <w:t> </w:t>
      </w:r>
      <w:r>
        <w:rPr/>
        <w:t>月</w:t>
      </w:r>
      <w:r>
        <w:rPr>
          <w:w w:val="99"/>
        </w:rPr>
        <w:t> </w:t>
      </w:r>
      <w:r>
        <w:rPr>
          <w:rFonts w:ascii="Arial" w:hAnsi="Arial" w:cs="Arial" w:eastAsia="Arial" w:hint="default"/>
        </w:rPr>
        <w:t>21 </w:t>
      </w:r>
      <w:r>
        <w:rPr/>
        <w:t>日）被终止确认，并按当时的西班牙电信股份公允价值约人民币 </w:t>
      </w:r>
      <w:r>
        <w:rPr>
          <w:rFonts w:ascii="Arial" w:hAnsi="Arial" w:cs="Arial" w:eastAsia="Arial" w:hint="default"/>
        </w:rPr>
        <w:t>79.52</w:t>
      </w:r>
      <w:r>
        <w:rPr>
          <w:rFonts w:ascii="Arial" w:hAnsi="Arial" w:cs="Arial" w:eastAsia="Arial" w:hint="default"/>
          <w:spacing w:val="23"/>
        </w:rPr>
        <w:t> </w:t>
      </w:r>
      <w:r>
        <w:rPr/>
        <w:t>亿元确认为</w:t>
      </w:r>
      <w:r>
        <w:rPr>
          <w:w w:val="99"/>
        </w:rPr>
        <w:t> </w:t>
      </w:r>
      <w:r>
        <w:rPr/>
        <w:t>非货币性外币可供出售金融资产，即对西班牙电信的投资。</w:t>
      </w:r>
    </w:p>
    <w:p>
      <w:pPr>
        <w:spacing w:line="240" w:lineRule="auto" w:before="7"/>
        <w:rPr>
          <w:rFonts w:ascii="宋体" w:hAnsi="宋体" w:cs="宋体" w:eastAsia="宋体" w:hint="default"/>
          <w:sz w:val="19"/>
          <w:szCs w:val="19"/>
        </w:rPr>
      </w:pPr>
    </w:p>
    <w:p>
      <w:pPr>
        <w:pStyle w:val="BodyText"/>
        <w:spacing w:line="237" w:lineRule="auto"/>
        <w:ind w:left="1166" w:right="157"/>
        <w:jc w:val="both"/>
      </w:pPr>
      <w:r>
        <w:rPr/>
        <w:t>对于该非货币性外币可供出售金融资产的后续计量，除减值损失将被记录于利润表外，</w:t>
      </w:r>
      <w:r>
        <w:rPr>
          <w:w w:val="99"/>
        </w:rPr>
        <w:t> </w:t>
      </w:r>
      <w:r>
        <w:rPr>
          <w:w w:val="95"/>
        </w:rPr>
        <w:t>可供出售金融资产公允价值的变动及汇兑损益变动直接确认于股东权益，并在该金融资</w:t>
      </w:r>
      <w:r>
        <w:rPr>
          <w:spacing w:val="55"/>
          <w:w w:val="95"/>
        </w:rPr>
        <w:t> </w:t>
      </w:r>
      <w:r>
        <w:rPr>
          <w:spacing w:val="55"/>
          <w:w w:val="95"/>
        </w:rPr>
      </w:r>
      <w:r>
        <w:rPr/>
        <w:t>产终止确认时转出，计入当期损益。于</w:t>
      </w:r>
      <w:r>
        <w:rPr>
          <w:spacing w:val="-62"/>
        </w:rPr>
        <w:t> </w:t>
      </w:r>
      <w:r>
        <w:rPr>
          <w:rFonts w:ascii="Arial" w:hAnsi="Arial" w:cs="Arial" w:eastAsia="Arial" w:hint="default"/>
        </w:rPr>
        <w:t>2009</w:t>
      </w:r>
      <w:r>
        <w:rPr>
          <w:rFonts w:ascii="Arial" w:hAnsi="Arial" w:cs="Arial" w:eastAsia="Arial" w:hint="default"/>
          <w:spacing w:val="-13"/>
        </w:rPr>
        <w:t> </w:t>
      </w:r>
      <w:r>
        <w:rPr/>
        <w:t>年</w:t>
      </w:r>
      <w:r>
        <w:rPr>
          <w:spacing w:val="-62"/>
        </w:rPr>
        <w:t> </w:t>
      </w:r>
      <w:r>
        <w:rPr>
          <w:rFonts w:ascii="Arial" w:hAnsi="Arial" w:cs="Arial" w:eastAsia="Arial" w:hint="default"/>
        </w:rPr>
        <w:t>12</w:t>
      </w:r>
      <w:r>
        <w:rPr>
          <w:rFonts w:ascii="Arial" w:hAnsi="Arial" w:cs="Arial" w:eastAsia="Arial" w:hint="default"/>
          <w:spacing w:val="-13"/>
        </w:rPr>
        <w:t> </w:t>
      </w:r>
      <w:r>
        <w:rPr/>
        <w:t>月</w:t>
      </w:r>
      <w:r>
        <w:rPr>
          <w:spacing w:val="-62"/>
        </w:rPr>
        <w:t> </w:t>
      </w:r>
      <w:r>
        <w:rPr>
          <w:rFonts w:ascii="Arial" w:hAnsi="Arial" w:cs="Arial" w:eastAsia="Arial" w:hint="default"/>
        </w:rPr>
        <w:t>31</w:t>
      </w:r>
      <w:r>
        <w:rPr>
          <w:rFonts w:ascii="Arial" w:hAnsi="Arial" w:cs="Arial" w:eastAsia="Arial" w:hint="default"/>
          <w:spacing w:val="-13"/>
        </w:rPr>
        <w:t> </w:t>
      </w:r>
      <w:r>
        <w:rPr/>
        <w:t>日，该可供出售权益工具账面</w:t>
      </w:r>
    </w:p>
    <w:p>
      <w:pPr>
        <w:pStyle w:val="BodyText"/>
        <w:spacing w:line="277" w:lineRule="exact"/>
        <w:ind w:left="1165" w:right="0"/>
        <w:jc w:val="both"/>
      </w:pPr>
      <w:r>
        <w:rPr/>
        <w:t>价值主要受汇率影响下降为约人民币</w:t>
      </w:r>
      <w:r>
        <w:rPr>
          <w:spacing w:val="-37"/>
        </w:rPr>
        <w:t> </w:t>
      </w:r>
      <w:r>
        <w:rPr>
          <w:rFonts w:ascii="Arial" w:hAnsi="Arial" w:cs="Arial" w:eastAsia="Arial" w:hint="default"/>
        </w:rPr>
        <w:t>77.89</w:t>
      </w:r>
      <w:r>
        <w:rPr>
          <w:rFonts w:ascii="Arial" w:hAnsi="Arial" w:cs="Arial" w:eastAsia="Arial" w:hint="default"/>
          <w:spacing w:val="11"/>
        </w:rPr>
        <w:t> </w:t>
      </w:r>
      <w:r>
        <w:rPr/>
        <w:t>亿元，由此产生损失约人民币</w:t>
      </w:r>
      <w:r>
        <w:rPr>
          <w:spacing w:val="-38"/>
        </w:rPr>
        <w:t> </w:t>
      </w:r>
      <w:r>
        <w:rPr>
          <w:rFonts w:ascii="Arial" w:hAnsi="Arial" w:cs="Arial" w:eastAsia="Arial" w:hint="default"/>
        </w:rPr>
        <w:t>1.63</w:t>
      </w:r>
      <w:r>
        <w:rPr>
          <w:rFonts w:ascii="Arial" w:hAnsi="Arial" w:cs="Arial" w:eastAsia="Arial" w:hint="default"/>
          <w:spacing w:val="11"/>
        </w:rPr>
        <w:t> </w:t>
      </w:r>
      <w:r>
        <w:rPr/>
        <w:t>亿元，</w:t>
      </w:r>
    </w:p>
    <w:p>
      <w:pPr>
        <w:pStyle w:val="BodyText"/>
        <w:spacing w:line="286" w:lineRule="exact" w:before="19"/>
        <w:ind w:left="1166" w:right="202"/>
        <w:jc w:val="both"/>
      </w:pPr>
      <w:r>
        <w:rPr/>
        <w:t>扣除所得税影响后的净损失按持股比例计算约人民币</w:t>
      </w:r>
      <w:r>
        <w:rPr>
          <w:spacing w:val="-80"/>
        </w:rPr>
        <w:t> </w:t>
      </w:r>
      <w:r>
        <w:rPr>
          <w:rFonts w:ascii="Arial" w:hAnsi="Arial" w:cs="Arial" w:eastAsia="Arial" w:hint="default"/>
        </w:rPr>
        <w:t>4,125</w:t>
      </w:r>
      <w:r>
        <w:rPr>
          <w:rFonts w:ascii="Arial" w:hAnsi="Arial" w:cs="Arial" w:eastAsia="Arial" w:hint="default"/>
          <w:spacing w:val="-32"/>
        </w:rPr>
        <w:t> </w:t>
      </w:r>
      <w:r>
        <w:rPr/>
        <w:t>万元被计入本集团资本公积</w:t>
      </w:r>
      <w:r>
        <w:rPr>
          <w:w w:val="99"/>
        </w:rPr>
        <w:t> </w:t>
      </w:r>
      <w:r>
        <w:rPr/>
        <w:t>项下（见附注五</w:t>
      </w:r>
      <w:r>
        <w:rPr>
          <w:rFonts w:ascii="Arial" w:hAnsi="Arial" w:cs="Arial" w:eastAsia="Arial" w:hint="default"/>
        </w:rPr>
        <w:t>(31)</w:t>
      </w:r>
      <w:r>
        <w:rPr/>
        <w:t>）。</w:t>
      </w:r>
    </w:p>
    <w:p>
      <w:pPr>
        <w:spacing w:line="240" w:lineRule="auto" w:before="1"/>
        <w:rPr>
          <w:rFonts w:ascii="宋体" w:hAnsi="宋体" w:cs="宋体" w:eastAsia="宋体" w:hint="default"/>
          <w:sz w:val="17"/>
          <w:szCs w:val="17"/>
        </w:rPr>
      </w:pPr>
    </w:p>
    <w:p>
      <w:pPr>
        <w:pStyle w:val="BodyText"/>
        <w:spacing w:line="240" w:lineRule="auto"/>
        <w:ind w:left="129" w:right="138"/>
        <w:jc w:val="left"/>
        <w:rPr>
          <w:rFonts w:ascii="黑体" w:hAnsi="黑体" w:cs="黑体" w:eastAsia="黑体" w:hint="default"/>
        </w:rPr>
      </w:pPr>
      <w:r>
        <w:rPr>
          <w:rFonts w:ascii="Arial" w:hAnsi="Arial" w:cs="Arial" w:eastAsia="Arial" w:hint="default"/>
        </w:rPr>
        <w:t>8</w:t>
      </w:r>
      <w:r>
        <w:rPr/>
        <w:t>、</w:t>
      </w:r>
      <w:r>
        <w:rPr>
          <w:rFonts w:ascii="黑体" w:hAnsi="黑体" w:cs="黑体" w:eastAsia="黑体" w:hint="default"/>
        </w:rPr>
        <w:t>长期股权投资</w:t>
      </w:r>
    </w:p>
    <w:p>
      <w:pPr>
        <w:spacing w:line="240" w:lineRule="auto" w:before="9"/>
        <w:rPr>
          <w:rFonts w:ascii="黑体" w:hAnsi="黑体" w:cs="黑体" w:eastAsia="黑体" w:hint="default"/>
          <w:sz w:val="15"/>
          <w:szCs w:val="15"/>
        </w:rPr>
      </w:pPr>
    </w:p>
    <w:tbl>
      <w:tblPr>
        <w:tblW w:w="0" w:type="auto"/>
        <w:jc w:val="left"/>
        <w:tblInd w:w="527" w:type="dxa"/>
        <w:tblLayout w:type="fixed"/>
        <w:tblCellMar>
          <w:top w:w="0" w:type="dxa"/>
          <w:left w:w="0" w:type="dxa"/>
          <w:bottom w:w="0" w:type="dxa"/>
          <w:right w:w="0" w:type="dxa"/>
        </w:tblCellMar>
        <w:tblLook w:val="01E0"/>
      </w:tblPr>
      <w:tblGrid>
        <w:gridCol w:w="3474"/>
        <w:gridCol w:w="2716"/>
        <w:gridCol w:w="391"/>
        <w:gridCol w:w="2463"/>
      </w:tblGrid>
      <w:tr>
        <w:trPr>
          <w:trHeight w:val="361" w:hRule="exact"/>
        </w:trPr>
        <w:tc>
          <w:tcPr>
            <w:tcW w:w="3474" w:type="dxa"/>
            <w:tcBorders>
              <w:top w:val="nil" w:sz="6" w:space="0" w:color="auto"/>
              <w:left w:val="nil" w:sz="6" w:space="0" w:color="auto"/>
              <w:bottom w:val="nil" w:sz="6" w:space="0" w:color="auto"/>
              <w:right w:val="nil" w:sz="6" w:space="0" w:color="auto"/>
            </w:tcBorders>
          </w:tcPr>
          <w:p>
            <w:pPr/>
          </w:p>
        </w:tc>
        <w:tc>
          <w:tcPr>
            <w:tcW w:w="2716"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100"/>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391" w:type="dxa"/>
            <w:tcBorders>
              <w:top w:val="nil" w:sz="6" w:space="0" w:color="auto"/>
              <w:left w:val="nil" w:sz="6" w:space="0" w:color="auto"/>
              <w:bottom w:val="nil" w:sz="6" w:space="0" w:color="auto"/>
              <w:right w:val="nil" w:sz="6" w:space="0" w:color="auto"/>
            </w:tcBorders>
          </w:tcPr>
          <w:p>
            <w:pPr/>
          </w:p>
        </w:tc>
        <w:tc>
          <w:tcPr>
            <w:tcW w:w="2463"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left="406" w:right="0"/>
              <w:jc w:val="lef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671" w:hRule="exact"/>
        </w:trPr>
        <w:tc>
          <w:tcPr>
            <w:tcW w:w="3474"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19"/>
                <w:szCs w:val="19"/>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其他长期股权投资</w:t>
            </w:r>
          </w:p>
        </w:tc>
        <w:tc>
          <w:tcPr>
            <w:tcW w:w="2716"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24"/>
                <w:szCs w:val="24"/>
              </w:rPr>
            </w:pPr>
          </w:p>
          <w:p>
            <w:pPr>
              <w:pStyle w:val="TableParagraph"/>
              <w:spacing w:line="240" w:lineRule="auto"/>
              <w:ind w:right="145"/>
              <w:jc w:val="right"/>
              <w:rPr>
                <w:rFonts w:ascii="Arial" w:hAnsi="Arial" w:cs="Arial" w:eastAsia="Arial" w:hint="default"/>
                <w:sz w:val="22"/>
                <w:szCs w:val="22"/>
              </w:rPr>
            </w:pPr>
            <w:r>
              <w:rPr>
                <w:rFonts w:ascii="Arial"/>
                <w:w w:val="95"/>
                <w:sz w:val="22"/>
              </w:rPr>
              <w:t>15,000,000</w:t>
            </w:r>
            <w:r>
              <w:rPr>
                <w:rFonts w:ascii="Arial"/>
                <w:sz w:val="22"/>
              </w:rPr>
            </w:r>
          </w:p>
        </w:tc>
        <w:tc>
          <w:tcPr>
            <w:tcW w:w="391" w:type="dxa"/>
            <w:tcBorders>
              <w:top w:val="nil" w:sz="6" w:space="0" w:color="auto"/>
              <w:left w:val="nil" w:sz="6" w:space="0" w:color="auto"/>
              <w:bottom w:val="nil" w:sz="6" w:space="0" w:color="auto"/>
              <w:right w:val="nil" w:sz="6" w:space="0" w:color="auto"/>
            </w:tcBorders>
          </w:tcPr>
          <w:p>
            <w:pPr/>
          </w:p>
        </w:tc>
        <w:tc>
          <w:tcPr>
            <w:tcW w:w="2463" w:type="dxa"/>
            <w:tcBorders>
              <w:top w:val="single" w:sz="6" w:space="0" w:color="000000"/>
              <w:left w:val="nil" w:sz="6" w:space="0" w:color="auto"/>
              <w:bottom w:val="nil" w:sz="6" w:space="0" w:color="auto"/>
              <w:right w:val="nil" w:sz="6" w:space="0" w:color="auto"/>
            </w:tcBorders>
          </w:tcPr>
          <w:p>
            <w:pPr>
              <w:pStyle w:val="TableParagraph"/>
              <w:spacing w:line="253" w:lineRule="exact"/>
              <w:ind w:left="1327" w:right="0" w:hanging="28"/>
              <w:jc w:val="left"/>
              <w:rPr>
                <w:rFonts w:ascii="宋体" w:hAnsi="宋体" w:cs="宋体" w:eastAsia="宋体" w:hint="default"/>
                <w:sz w:val="22"/>
                <w:szCs w:val="22"/>
              </w:rPr>
            </w:pPr>
            <w:r>
              <w:rPr>
                <w:rFonts w:ascii="宋体" w:hAnsi="宋体" w:cs="宋体" w:eastAsia="宋体" w:hint="default"/>
                <w:sz w:val="22"/>
                <w:szCs w:val="22"/>
              </w:rPr>
              <w:t>（经重列）</w:t>
            </w:r>
          </w:p>
          <w:p>
            <w:pPr>
              <w:pStyle w:val="TableParagraph"/>
              <w:spacing w:line="240" w:lineRule="auto" w:before="63"/>
              <w:ind w:left="1327" w:right="0"/>
              <w:jc w:val="left"/>
              <w:rPr>
                <w:rFonts w:ascii="Arial" w:hAnsi="Arial" w:cs="Arial" w:eastAsia="Arial" w:hint="default"/>
                <w:sz w:val="22"/>
                <w:szCs w:val="22"/>
              </w:rPr>
            </w:pPr>
            <w:r>
              <w:rPr>
                <w:rFonts w:ascii="Arial"/>
                <w:sz w:val="22"/>
              </w:rPr>
              <w:t>20,542,073</w:t>
            </w:r>
          </w:p>
        </w:tc>
      </w:tr>
    </w:tbl>
    <w:p>
      <w:pPr>
        <w:spacing w:line="240" w:lineRule="auto" w:before="0"/>
        <w:rPr>
          <w:rFonts w:ascii="黑体" w:hAnsi="黑体" w:cs="黑体" w:eastAsia="黑体" w:hint="default"/>
          <w:sz w:val="7"/>
          <w:szCs w:val="7"/>
        </w:rPr>
      </w:pPr>
    </w:p>
    <w:p>
      <w:pPr>
        <w:pStyle w:val="BodyText"/>
        <w:tabs>
          <w:tab w:pos="4001" w:val="left" w:leader="none"/>
          <w:tab w:pos="6495" w:val="left" w:leader="none"/>
          <w:tab w:pos="7107" w:val="left" w:leader="none"/>
          <w:tab w:pos="9463" w:val="left" w:leader="none"/>
        </w:tabs>
        <w:spacing w:line="240" w:lineRule="auto" w:before="27"/>
        <w:ind w:left="561" w:right="92"/>
        <w:jc w:val="left"/>
        <w:rPr>
          <w:rFonts w:ascii="Arial" w:hAnsi="Arial" w:cs="Arial" w:eastAsia="Arial" w:hint="default"/>
        </w:rPr>
      </w:pPr>
      <w:r>
        <w:rPr>
          <w:w w:val="95"/>
          <w:position w:val="2"/>
        </w:rPr>
        <w:t>减：长期股权投资减值准备</w:t>
        <w:tab/>
      </w:r>
      <w:r>
        <w:rPr>
          <w:rFonts w:ascii="Arial" w:hAnsi="Arial" w:cs="Arial" w:eastAsia="Arial" w:hint="default"/>
          <w:w w:val="95"/>
        </w:rPr>
      </w:r>
      <w:r>
        <w:rPr>
          <w:rFonts w:ascii="Arial" w:hAnsi="Arial" w:cs="Arial" w:eastAsia="Arial" w:hint="default"/>
          <w:w w:val="95"/>
          <w:u w:val="single" w:color="000000"/>
        </w:rPr>
        <w:t> </w:t>
        <w:tab/>
        <w:t>-</w:t>
      </w:r>
      <w:r>
        <w:rPr>
          <w:rFonts w:ascii="Arial" w:hAnsi="Arial" w:cs="Arial" w:eastAsia="Arial" w:hint="default"/>
          <w:w w:val="95"/>
        </w:rPr>
        <w:tab/>
      </w:r>
      <w:r>
        <w:rPr>
          <w:rFonts w:ascii="Arial" w:hAnsi="Arial" w:cs="Arial" w:eastAsia="Arial" w:hint="default"/>
          <w:w w:val="95"/>
          <w:u w:val="single" w:color="000000"/>
        </w:rPr>
        <w:t> </w:t>
        <w:tab/>
      </w:r>
      <w:r>
        <w:rPr>
          <w:rFonts w:ascii="Arial" w:hAnsi="Arial" w:cs="Arial" w:eastAsia="Arial" w:hint="default"/>
          <w:u w:val="single" w:color="000000"/>
        </w:rPr>
        <w:t>-</w:t>
      </w:r>
      <w:r>
        <w:rPr>
          <w:rFonts w:ascii="Arial" w:hAnsi="Arial" w:cs="Arial" w:eastAsia="Arial" w:hint="default"/>
        </w:rPr>
      </w:r>
    </w:p>
    <w:p>
      <w:pPr>
        <w:spacing w:line="240" w:lineRule="auto" w:before="8"/>
        <w:rPr>
          <w:rFonts w:ascii="Arial" w:hAnsi="Arial" w:cs="Arial" w:eastAsia="Arial" w:hint="default"/>
          <w:sz w:val="17"/>
          <w:szCs w:val="17"/>
        </w:rPr>
      </w:pPr>
    </w:p>
    <w:p>
      <w:pPr>
        <w:pStyle w:val="BodyText"/>
        <w:tabs>
          <w:tab w:pos="5467" w:val="left" w:leader="none"/>
          <w:tab w:pos="8434" w:val="left" w:leader="none"/>
        </w:tabs>
        <w:spacing w:line="240" w:lineRule="auto" w:before="27"/>
        <w:ind w:left="561" w:right="92"/>
        <w:jc w:val="left"/>
        <w:rPr>
          <w:rFonts w:ascii="Arial" w:hAnsi="Arial" w:cs="Arial" w:eastAsia="Arial" w:hint="default"/>
        </w:rPr>
      </w:pPr>
      <w:r>
        <w:rPr>
          <w:w w:val="95"/>
          <w:position w:val="2"/>
        </w:rPr>
        <w:t>合计</w:t>
        <w:tab/>
      </w:r>
      <w:r>
        <w:rPr>
          <w:rFonts w:ascii="Arial" w:hAnsi="Arial" w:cs="Arial" w:eastAsia="Arial" w:hint="default"/>
          <w:w w:val="95"/>
        </w:rPr>
        <w:t>15,000,000</w:t>
        <w:tab/>
      </w:r>
      <w:r>
        <w:rPr>
          <w:rFonts w:ascii="Arial" w:hAnsi="Arial" w:cs="Arial" w:eastAsia="Arial" w:hint="default"/>
        </w:rPr>
        <w:t>20,542,073</w:t>
      </w:r>
    </w:p>
    <w:p>
      <w:pPr>
        <w:tabs>
          <w:tab w:pos="7093" w:val="left" w:leader="none"/>
        </w:tabs>
        <w:spacing w:line="43" w:lineRule="exact"/>
        <w:ind w:left="3986" w:right="0" w:firstLine="0"/>
        <w:rPr>
          <w:rFonts w:ascii="Arial" w:hAnsi="Arial" w:cs="Arial" w:eastAsia="Arial" w:hint="default"/>
          <w:sz w:val="4"/>
          <w:szCs w:val="4"/>
        </w:rPr>
      </w:pPr>
      <w:r>
        <w:rPr>
          <w:rFonts w:ascii="Arial"/>
          <w:position w:val="0"/>
          <w:sz w:val="4"/>
        </w:rPr>
        <w:pict>
          <v:group style="width:137.25pt;height:2.2pt;mso-position-horizontal-relative:char;mso-position-vertical-relative:line" coordorigin="0,0" coordsize="2745,44">
            <v:group style="position:absolute;left:7;top:36;width:2730;height:2" coordorigin="7,36" coordsize="2730,2">
              <v:shape style="position:absolute;left:7;top:36;width:2730;height:2" coordorigin="7,36" coordsize="2730,0" path="m7,36l2737,36e" filled="false" stroked="true" strokeweight=".72pt" strokecolor="#000000">
                <v:path arrowok="t"/>
              </v:shape>
            </v:group>
            <v:group style="position:absolute;left:7;top:7;width:2730;height:2" coordorigin="7,7" coordsize="2730,2">
              <v:shape style="position:absolute;left:7;top:7;width:2730;height:2" coordorigin="7,7" coordsize="2730,0" path="m7,7l2737,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122.6pt;height:2.2pt;mso-position-horizontal-relative:char;mso-position-vertical-relative:line" coordorigin="0,0" coordsize="2452,44">
            <v:group style="position:absolute;left:7;top:36;width:2438;height:2" coordorigin="7,36" coordsize="2438,2">
              <v:shape style="position:absolute;left:7;top:36;width:2438;height:2" coordorigin="7,36" coordsize="2438,0" path="m7,36l2444,36e" filled="false" stroked="true" strokeweight=".72pt" strokecolor="#000000">
                <v:path arrowok="t"/>
              </v:shape>
            </v:group>
            <v:group style="position:absolute;left:7;top:7;width:2438;height:2" coordorigin="7,7" coordsize="2438,2">
              <v:shape style="position:absolute;left:7;top:7;width:2438;height:2" coordorigin="7,7" coordsize="2438,0" path="m7,7l2444,7e" filled="false" stroked="true" strokeweight=".72pt" strokecolor="#000000">
                <v:path arrowok="t"/>
              </v:shape>
            </v:group>
          </v:group>
        </w:pict>
      </w:r>
      <w:r>
        <w:rPr>
          <w:rFonts w:ascii="Arial"/>
          <w:position w:val="0"/>
          <w:sz w:val="4"/>
        </w:rPr>
      </w:r>
    </w:p>
    <w:p>
      <w:pPr>
        <w:spacing w:line="240" w:lineRule="auto" w:before="5"/>
        <w:rPr>
          <w:rFonts w:ascii="Arial" w:hAnsi="Arial" w:cs="Arial" w:eastAsia="Arial" w:hint="default"/>
          <w:sz w:val="16"/>
          <w:szCs w:val="16"/>
        </w:rPr>
      </w:pPr>
    </w:p>
    <w:p>
      <w:pPr>
        <w:pStyle w:val="BodyText"/>
        <w:spacing w:line="240" w:lineRule="auto" w:before="31"/>
        <w:ind w:left="438" w:right="138"/>
        <w:jc w:val="left"/>
      </w:pPr>
      <w:r>
        <w:rPr/>
        <w:t>本集团不存在长期股权投资变现的重大限制。</w:t>
      </w:r>
    </w:p>
    <w:p>
      <w:pPr>
        <w:spacing w:after="0" w:line="240" w:lineRule="auto"/>
        <w:jc w:val="left"/>
        <w:sectPr>
          <w:headerReference w:type="default" r:id="rId86"/>
          <w:pgSz w:w="11910" w:h="16840"/>
          <w:pgMar w:header="1189" w:footer="752" w:top="3060" w:bottom="940" w:left="1280" w:right="940"/>
        </w:sectPr>
      </w:pPr>
    </w:p>
    <w:p>
      <w:pPr>
        <w:pStyle w:val="BodyText"/>
        <w:spacing w:line="240" w:lineRule="auto" w:before="16"/>
        <w:ind w:left="106" w:right="141"/>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8"/>
        <w:rPr>
          <w:rFonts w:ascii="黑体" w:hAnsi="黑体" w:cs="黑体" w:eastAsia="黑体" w:hint="default"/>
          <w:sz w:val="21"/>
          <w:szCs w:val="21"/>
        </w:rPr>
      </w:pPr>
    </w:p>
    <w:p>
      <w:pPr>
        <w:pStyle w:val="BodyText"/>
        <w:spacing w:line="286" w:lineRule="exact"/>
        <w:ind w:left="106" w:right="141"/>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left="106" w:right="141"/>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tabs>
          <w:tab w:pos="568" w:val="left" w:leader="none"/>
        </w:tabs>
        <w:spacing w:line="429" w:lineRule="auto"/>
        <w:ind w:left="106" w:right="11292"/>
        <w:jc w:val="left"/>
        <w:rPr>
          <w:rFonts w:ascii="黑体" w:hAnsi="黑体" w:cs="黑体" w:eastAsia="黑体" w:hint="default"/>
        </w:rPr>
      </w:pPr>
      <w:r>
        <w:rPr>
          <w:rFonts w:ascii="黑体" w:hAnsi="黑体" w:cs="黑体" w:eastAsia="黑体" w:hint="default"/>
        </w:rPr>
        <w:t>（除特别注明外，金额单位为人民币元）</w:t>
      </w:r>
      <w:r>
        <w:rPr>
          <w:rFonts w:ascii="黑体" w:hAnsi="黑体" w:cs="黑体" w:eastAsia="黑体" w:hint="default"/>
          <w:w w:val="99"/>
        </w:rPr>
        <w:t> </w:t>
      </w:r>
      <w:r>
        <w:rPr>
          <w:rFonts w:ascii="黑体" w:hAnsi="黑体" w:cs="黑体" w:eastAsia="黑体" w:hint="default"/>
          <w:w w:val="95"/>
        </w:rPr>
        <w:t>五</w:t>
        <w:tab/>
      </w:r>
      <w:r>
        <w:rPr>
          <w:rFonts w:ascii="黑体" w:hAnsi="黑体" w:cs="黑体" w:eastAsia="黑体" w:hint="default"/>
        </w:rPr>
        <w:t>合并财务报表项目附注（续）</w:t>
      </w:r>
    </w:p>
    <w:p>
      <w:pPr>
        <w:pStyle w:val="BodyText"/>
        <w:spacing w:line="410" w:lineRule="auto" w:before="53"/>
        <w:ind w:left="133" w:right="12885" w:hanging="1"/>
        <w:jc w:val="left"/>
      </w:pPr>
      <w:r>
        <w:rPr>
          <w:rFonts w:ascii="Arial" w:hAnsi="Arial" w:cs="Arial" w:eastAsia="Arial" w:hint="default"/>
        </w:rPr>
        <w:t>8</w:t>
      </w:r>
      <w:r>
        <w:rPr/>
        <w:t>、</w:t>
      </w:r>
      <w:r>
        <w:rPr>
          <w:rFonts w:ascii="黑体" w:hAnsi="黑体" w:cs="黑体" w:eastAsia="黑体" w:hint="default"/>
        </w:rPr>
        <w:t>长期股权投资（续）</w:t>
      </w:r>
      <w:r>
        <w:rPr>
          <w:rFonts w:ascii="黑体" w:hAnsi="黑体" w:cs="黑体" w:eastAsia="黑体" w:hint="default"/>
          <w:w w:val="99"/>
        </w:rPr>
        <w:t> </w:t>
      </w:r>
      <w:r>
        <w:rPr>
          <w:rFonts w:ascii="Arial" w:hAnsi="Arial" w:cs="Arial" w:eastAsia="Arial" w:hint="default"/>
        </w:rPr>
        <w:t>(a)</w:t>
      </w:r>
      <w:r>
        <w:rPr>
          <w:rFonts w:ascii="Arial" w:hAnsi="Arial" w:cs="Arial" w:eastAsia="Arial" w:hint="default"/>
          <w:spacing w:val="60"/>
        </w:rPr>
        <w:t> </w:t>
      </w:r>
      <w:r>
        <w:rPr/>
        <w:t>其他长期股权投资</w:t>
      </w:r>
    </w:p>
    <w:p>
      <w:pPr>
        <w:spacing w:after="0" w:line="410" w:lineRule="auto"/>
        <w:jc w:val="left"/>
        <w:sectPr>
          <w:headerReference w:type="default" r:id="rId87"/>
          <w:footerReference w:type="default" r:id="rId88"/>
          <w:pgSz w:w="16840" w:h="11910" w:orient="landscape"/>
          <w:pgMar w:header="0" w:footer="0" w:top="1100" w:bottom="280" w:left="460" w:right="1020"/>
        </w:sectPr>
      </w:pPr>
    </w:p>
    <w:p>
      <w:pPr>
        <w:spacing w:line="241" w:lineRule="exact" w:before="21"/>
        <w:ind w:left="0" w:right="0" w:firstLine="0"/>
        <w:jc w:val="righ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9"/>
          <w:sz w:val="18"/>
          <w:szCs w:val="18"/>
        </w:rPr>
        <w:t> </w:t>
      </w:r>
      <w:r>
        <w:rPr>
          <w:rFonts w:ascii="宋体" w:hAnsi="宋体" w:cs="宋体" w:eastAsia="宋体" w:hint="default"/>
          <w:sz w:val="18"/>
          <w:szCs w:val="18"/>
        </w:rPr>
        <w:t>年</w:t>
      </w:r>
    </w:p>
    <w:p>
      <w:pPr>
        <w:spacing w:line="241" w:lineRule="exact" w:before="0"/>
        <w:ind w:left="0" w:right="0" w:firstLine="0"/>
        <w:jc w:val="right"/>
        <w:rPr>
          <w:rFonts w:ascii="宋体" w:hAnsi="宋体" w:cs="宋体" w:eastAsia="宋体" w:hint="default"/>
          <w:sz w:val="18"/>
          <w:szCs w:val="18"/>
        </w:rPr>
      </w:pP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p>
      <w:pPr>
        <w:spacing w:line="240" w:lineRule="auto" w:before="6"/>
        <w:rPr>
          <w:rFonts w:ascii="宋体" w:hAnsi="宋体" w:cs="宋体" w:eastAsia="宋体" w:hint="default"/>
          <w:sz w:val="19"/>
          <w:szCs w:val="19"/>
        </w:rPr>
      </w:pPr>
      <w:r>
        <w:rPr/>
        <w:br w:type="column"/>
      </w:r>
      <w:r>
        <w:rPr>
          <w:rFonts w:ascii="宋体"/>
          <w:sz w:val="19"/>
        </w:rPr>
      </w:r>
    </w:p>
    <w:p>
      <w:pPr>
        <w:spacing w:before="0"/>
        <w:ind w:left="0" w:right="0" w:firstLine="0"/>
        <w:jc w:val="righ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9"/>
          <w:sz w:val="18"/>
          <w:szCs w:val="18"/>
        </w:rPr>
        <w:t> </w:t>
      </w:r>
      <w:r>
        <w:rPr>
          <w:rFonts w:ascii="宋体" w:hAnsi="宋体" w:cs="宋体" w:eastAsia="宋体" w:hint="default"/>
          <w:sz w:val="18"/>
          <w:szCs w:val="18"/>
        </w:rPr>
        <w:t>年</w:t>
      </w:r>
    </w:p>
    <w:p>
      <w:pPr>
        <w:spacing w:line="232" w:lineRule="exact" w:before="45"/>
        <w:ind w:left="161" w:right="-19" w:hanging="81"/>
        <w:jc w:val="left"/>
        <w:rPr>
          <w:rFonts w:ascii="Arial" w:hAnsi="Arial" w:cs="Arial" w:eastAsia="Arial" w:hint="default"/>
          <w:sz w:val="18"/>
          <w:szCs w:val="18"/>
        </w:rPr>
      </w:pPr>
      <w:r>
        <w:rPr/>
        <w:br w:type="column"/>
      </w:r>
      <w:r>
        <w:rPr>
          <w:rFonts w:ascii="宋体" w:hAnsi="宋体" w:cs="宋体" w:eastAsia="宋体" w:hint="default"/>
          <w:sz w:val="18"/>
          <w:szCs w:val="18"/>
        </w:rPr>
        <w:t>持股比 </w:t>
      </w:r>
      <w:r>
        <w:rPr>
          <w:rFonts w:ascii="宋体" w:hAnsi="宋体" w:cs="宋体" w:eastAsia="宋体" w:hint="default"/>
          <w:spacing w:val="-1"/>
          <w:sz w:val="18"/>
          <w:szCs w:val="18"/>
        </w:rPr>
        <w:t>例</w:t>
      </w:r>
      <w:r>
        <w:rPr>
          <w:rFonts w:ascii="Arial" w:hAnsi="Arial" w:cs="Arial" w:eastAsia="Arial" w:hint="default"/>
          <w:spacing w:val="-1"/>
          <w:sz w:val="18"/>
          <w:szCs w:val="18"/>
        </w:rPr>
        <w:t>(%)</w:t>
      </w:r>
      <w:r>
        <w:rPr>
          <w:rFonts w:ascii="Arial" w:hAnsi="Arial" w:cs="Arial" w:eastAsia="Arial" w:hint="default"/>
          <w:sz w:val="18"/>
          <w:szCs w:val="18"/>
        </w:rPr>
      </w:r>
    </w:p>
    <w:p>
      <w:pPr>
        <w:spacing w:line="232" w:lineRule="exact" w:before="72"/>
        <w:ind w:left="373" w:right="-19" w:hanging="180"/>
        <w:jc w:val="left"/>
        <w:rPr>
          <w:rFonts w:ascii="宋体" w:hAnsi="宋体" w:cs="宋体" w:eastAsia="宋体" w:hint="default"/>
          <w:sz w:val="18"/>
          <w:szCs w:val="18"/>
        </w:rPr>
      </w:pPr>
      <w:r>
        <w:rPr/>
        <w:br w:type="column"/>
      </w:r>
      <w:r>
        <w:rPr>
          <w:rFonts w:ascii="宋体" w:hAnsi="宋体" w:cs="宋体" w:eastAsia="宋体" w:hint="default"/>
          <w:sz w:val="18"/>
          <w:szCs w:val="18"/>
        </w:rPr>
        <w:t>表决权 比例</w:t>
      </w:r>
    </w:p>
    <w:p>
      <w:pPr>
        <w:spacing w:line="240" w:lineRule="auto" w:before="6"/>
        <w:rPr>
          <w:rFonts w:ascii="宋体" w:hAnsi="宋体" w:cs="宋体" w:eastAsia="宋体" w:hint="default"/>
          <w:sz w:val="19"/>
          <w:szCs w:val="19"/>
        </w:rPr>
      </w:pPr>
      <w:r>
        <w:rPr/>
        <w:br w:type="column"/>
      </w:r>
      <w:r>
        <w:rPr>
          <w:rFonts w:ascii="宋体"/>
          <w:sz w:val="19"/>
        </w:rPr>
      </w:r>
    </w:p>
    <w:p>
      <w:pPr>
        <w:spacing w:before="0"/>
        <w:ind w:left="103" w:right="-19" w:firstLine="0"/>
        <w:jc w:val="left"/>
        <w:rPr>
          <w:rFonts w:ascii="宋体" w:hAnsi="宋体" w:cs="宋体" w:eastAsia="宋体" w:hint="default"/>
          <w:sz w:val="18"/>
          <w:szCs w:val="18"/>
        </w:rPr>
      </w:pPr>
      <w:r>
        <w:rPr>
          <w:rFonts w:ascii="宋体" w:hAnsi="宋体" w:cs="宋体" w:eastAsia="宋体" w:hint="default"/>
          <w:sz w:val="18"/>
          <w:szCs w:val="18"/>
        </w:rPr>
        <w:t>持股比例与表决权</w:t>
      </w:r>
    </w:p>
    <w:p>
      <w:pPr>
        <w:spacing w:line="240" w:lineRule="auto" w:before="6"/>
        <w:rPr>
          <w:rFonts w:ascii="宋体" w:hAnsi="宋体" w:cs="宋体" w:eastAsia="宋体" w:hint="default"/>
          <w:sz w:val="19"/>
          <w:szCs w:val="19"/>
        </w:rPr>
      </w:pPr>
      <w:r>
        <w:rPr/>
        <w:br w:type="column"/>
      </w:r>
      <w:r>
        <w:rPr>
          <w:rFonts w:ascii="宋体"/>
          <w:sz w:val="19"/>
        </w:rPr>
      </w:r>
    </w:p>
    <w:p>
      <w:pPr>
        <w:spacing w:before="0"/>
        <w:ind w:left="1180" w:right="-20" w:firstLine="0"/>
        <w:jc w:val="left"/>
        <w:rPr>
          <w:rFonts w:ascii="宋体" w:hAnsi="宋体" w:cs="宋体" w:eastAsia="宋体" w:hint="default"/>
          <w:sz w:val="18"/>
          <w:szCs w:val="18"/>
        </w:rPr>
      </w:pPr>
      <w:r>
        <w:rPr>
          <w:rFonts w:ascii="宋体" w:hAnsi="宋体" w:cs="宋体" w:eastAsia="宋体" w:hint="default"/>
          <w:sz w:val="18"/>
          <w:szCs w:val="18"/>
        </w:rPr>
        <w:t>本年计提</w:t>
      </w:r>
    </w:p>
    <w:p>
      <w:pPr>
        <w:spacing w:line="240" w:lineRule="auto" w:before="6"/>
        <w:rPr>
          <w:rFonts w:ascii="宋体" w:hAnsi="宋体" w:cs="宋体" w:eastAsia="宋体" w:hint="default"/>
          <w:sz w:val="19"/>
          <w:szCs w:val="19"/>
        </w:rPr>
      </w:pPr>
      <w:r>
        <w:rPr/>
        <w:br w:type="column"/>
      </w:r>
      <w:r>
        <w:rPr>
          <w:rFonts w:ascii="宋体"/>
          <w:sz w:val="19"/>
        </w:rPr>
      </w:r>
    </w:p>
    <w:p>
      <w:pPr>
        <w:spacing w:before="0"/>
        <w:ind w:left="111" w:right="0" w:firstLine="0"/>
        <w:jc w:val="left"/>
        <w:rPr>
          <w:rFonts w:ascii="宋体" w:hAnsi="宋体" w:cs="宋体" w:eastAsia="宋体" w:hint="default"/>
          <w:sz w:val="18"/>
          <w:szCs w:val="18"/>
        </w:rPr>
      </w:pPr>
      <w:r>
        <w:rPr>
          <w:rFonts w:ascii="宋体" w:hAnsi="宋体" w:cs="宋体" w:eastAsia="宋体" w:hint="default"/>
          <w:sz w:val="18"/>
          <w:szCs w:val="18"/>
        </w:rPr>
        <w:t>本年宣告分派</w:t>
      </w:r>
    </w:p>
    <w:p>
      <w:pPr>
        <w:spacing w:after="0"/>
        <w:jc w:val="left"/>
        <w:rPr>
          <w:rFonts w:ascii="宋体" w:hAnsi="宋体" w:cs="宋体" w:eastAsia="宋体" w:hint="default"/>
          <w:sz w:val="18"/>
          <w:szCs w:val="18"/>
        </w:rPr>
        <w:sectPr>
          <w:type w:val="continuous"/>
          <w:pgSz w:w="16840" w:h="11910" w:orient="landscape"/>
          <w:pgMar w:top="1600" w:bottom="280" w:left="460" w:right="1020"/>
          <w:cols w:num="7" w:equalWidth="0">
            <w:col w:w="6359" w:space="40"/>
            <w:col w:w="2622" w:space="40"/>
            <w:col w:w="622" w:space="40"/>
            <w:col w:w="735" w:space="40"/>
            <w:col w:w="1545" w:space="40"/>
            <w:col w:w="1901" w:space="40"/>
            <w:col w:w="1336"/>
          </w:cols>
        </w:sectPr>
      </w:pPr>
    </w:p>
    <w:p>
      <w:pPr>
        <w:spacing w:line="187" w:lineRule="exact" w:before="0"/>
        <w:ind w:left="3018" w:right="-19" w:firstLine="0"/>
        <w:jc w:val="left"/>
        <w:rPr>
          <w:rFonts w:ascii="宋体" w:hAnsi="宋体" w:cs="宋体" w:eastAsia="宋体" w:hint="default"/>
          <w:sz w:val="18"/>
          <w:szCs w:val="18"/>
        </w:rPr>
      </w:pPr>
      <w:r>
        <w:rPr>
          <w:rFonts w:ascii="宋体" w:hAnsi="宋体" w:cs="宋体" w:eastAsia="宋体" w:hint="default"/>
          <w:sz w:val="18"/>
          <w:szCs w:val="18"/>
        </w:rPr>
        <w:t>核算方法</w:t>
      </w:r>
      <w:r>
        <w:rPr>
          <w:rFonts w:ascii="宋体" w:hAnsi="宋体" w:cs="宋体" w:eastAsia="宋体" w:hint="default"/>
          <w:spacing w:val="77"/>
          <w:sz w:val="18"/>
          <w:szCs w:val="18"/>
        </w:rPr>
        <w:t> </w:t>
      </w:r>
      <w:r>
        <w:rPr>
          <w:rFonts w:ascii="宋体" w:hAnsi="宋体" w:cs="宋体" w:eastAsia="宋体" w:hint="default"/>
          <w:sz w:val="18"/>
          <w:szCs w:val="18"/>
        </w:rPr>
        <w:t>初始投资成本</w:t>
      </w:r>
    </w:p>
    <w:p>
      <w:pPr>
        <w:tabs>
          <w:tab w:pos="1671" w:val="left" w:leader="none"/>
        </w:tabs>
        <w:spacing w:line="187" w:lineRule="exact" w:before="0"/>
        <w:ind w:left="431"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（经重列）</w:t>
        <w:tab/>
        <w:t>本年减少</w:t>
      </w:r>
    </w:p>
    <w:p>
      <w:pPr>
        <w:spacing w:line="199" w:lineRule="exact" w:before="0"/>
        <w:ind w:left="667" w:right="-13" w:firstLine="0"/>
        <w:jc w:val="left"/>
        <w:rPr>
          <w:rFonts w:ascii="宋体" w:hAnsi="宋体" w:cs="宋体" w:eastAsia="宋体" w:hint="default"/>
          <w:sz w:val="18"/>
          <w:szCs w:val="18"/>
        </w:rPr>
      </w:pPr>
      <w:r>
        <w:rPr/>
        <w:br w:type="column"/>
      </w: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r>
        <w:rPr>
          <w:rFonts w:ascii="宋体" w:hAnsi="宋体" w:cs="宋体" w:eastAsia="宋体" w:hint="default"/>
          <w:spacing w:val="-35"/>
          <w:sz w:val="18"/>
          <w:szCs w:val="18"/>
        </w:rPr>
        <w:t> </w:t>
      </w:r>
      <w:r>
        <w:rPr>
          <w:rFonts w:ascii="宋体" w:hAnsi="宋体" w:cs="宋体" w:eastAsia="宋体" w:hint="default"/>
          <w:sz w:val="18"/>
          <w:szCs w:val="18"/>
        </w:rPr>
        <w:t>（注</w:t>
      </w:r>
      <w:r>
        <w:rPr>
          <w:rFonts w:ascii="宋体" w:hAnsi="宋体" w:cs="宋体" w:eastAsia="宋体" w:hint="default"/>
          <w:spacing w:val="-47"/>
          <w:sz w:val="18"/>
          <w:szCs w:val="18"/>
        </w:rPr>
        <w:t> </w:t>
      </w:r>
      <w:r>
        <w:rPr>
          <w:rFonts w:ascii="Arial" w:hAnsi="Arial" w:cs="Arial" w:eastAsia="Arial" w:hint="default"/>
          <w:sz w:val="18"/>
          <w:szCs w:val="18"/>
        </w:rPr>
        <w:t>1</w:t>
      </w:r>
      <w:r>
        <w:rPr>
          <w:rFonts w:ascii="宋体" w:hAnsi="宋体" w:cs="宋体" w:eastAsia="宋体" w:hint="default"/>
          <w:sz w:val="18"/>
          <w:szCs w:val="18"/>
        </w:rPr>
        <w:t>）</w:t>
      </w:r>
    </w:p>
    <w:p>
      <w:pPr>
        <w:spacing w:before="5"/>
        <w:ind w:left="375" w:right="-18" w:firstLine="0"/>
        <w:jc w:val="left"/>
        <w:rPr>
          <w:rFonts w:ascii="Arial" w:hAnsi="Arial" w:cs="Arial" w:eastAsia="Arial" w:hint="default"/>
          <w:sz w:val="18"/>
          <w:szCs w:val="18"/>
        </w:rPr>
      </w:pPr>
      <w:r>
        <w:rPr>
          <w:spacing w:val="-1"/>
        </w:rPr>
        <w:br w:type="column"/>
      </w:r>
      <w:r>
        <w:rPr>
          <w:rFonts w:ascii="Arial"/>
          <w:spacing w:val="-1"/>
          <w:sz w:val="18"/>
        </w:rPr>
        <w:t>(%)</w:t>
      </w:r>
      <w:r>
        <w:rPr>
          <w:rFonts w:ascii="Arial"/>
          <w:sz w:val="18"/>
        </w:rPr>
      </w:r>
    </w:p>
    <w:p>
      <w:pPr>
        <w:spacing w:line="186" w:lineRule="exact" w:before="0"/>
        <w:ind w:left="104"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比例不一致的说明 </w:t>
      </w:r>
      <w:r>
        <w:rPr>
          <w:rFonts w:ascii="宋体" w:hAnsi="宋体" w:cs="宋体" w:eastAsia="宋体" w:hint="default"/>
          <w:spacing w:val="18"/>
          <w:sz w:val="18"/>
          <w:szCs w:val="18"/>
        </w:rPr>
        <w:t> </w:t>
      </w:r>
      <w:r>
        <w:rPr>
          <w:rFonts w:ascii="宋体" w:hAnsi="宋体" w:cs="宋体" w:eastAsia="宋体" w:hint="default"/>
          <w:sz w:val="18"/>
          <w:szCs w:val="18"/>
        </w:rPr>
        <w:t>减值准备</w:t>
      </w:r>
    </w:p>
    <w:p>
      <w:pPr>
        <w:spacing w:line="186" w:lineRule="exact" w:before="0"/>
        <w:ind w:left="262"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减值准备</w:t>
      </w:r>
    </w:p>
    <w:p>
      <w:pPr>
        <w:spacing w:line="186" w:lineRule="exact" w:before="0"/>
        <w:ind w:left="291"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的现金股利</w:t>
      </w:r>
    </w:p>
    <w:p>
      <w:pPr>
        <w:spacing w:after="0" w:line="186" w:lineRule="exact"/>
        <w:jc w:val="left"/>
        <w:rPr>
          <w:rFonts w:ascii="宋体" w:hAnsi="宋体" w:cs="宋体" w:eastAsia="宋体" w:hint="default"/>
          <w:sz w:val="18"/>
          <w:szCs w:val="18"/>
        </w:rPr>
        <w:sectPr>
          <w:type w:val="continuous"/>
          <w:pgSz w:w="16840" w:h="11910" w:orient="landscape"/>
          <w:pgMar w:top="1600" w:bottom="280" w:left="460" w:right="1020"/>
          <w:cols w:num="7" w:equalWidth="0">
            <w:col w:w="4987" w:space="40"/>
            <w:col w:w="2392" w:space="40"/>
            <w:col w:w="2303" w:space="40"/>
            <w:col w:w="655" w:space="40"/>
            <w:col w:w="2463" w:space="40"/>
            <w:col w:w="983" w:space="40"/>
            <w:col w:w="1337"/>
          </w:cols>
        </w:sectPr>
      </w:pPr>
    </w:p>
    <w:p>
      <w:pPr>
        <w:spacing w:line="20" w:lineRule="exact"/>
        <w:ind w:left="2975" w:right="0" w:firstLine="0"/>
        <w:rPr>
          <w:rFonts w:ascii="宋体" w:hAnsi="宋体" w:cs="宋体" w:eastAsia="宋体" w:hint="default"/>
          <w:sz w:val="2"/>
          <w:szCs w:val="2"/>
        </w:rPr>
      </w:pPr>
      <w:r>
        <w:rPr>
          <w:rFonts w:ascii="宋体"/>
          <w:sz w:val="2"/>
        </w:rPr>
        <w:pict>
          <v:group style="width:40.65pt;height:.75pt;mso-position-horizontal-relative:char;mso-position-vertical-relative:line" coordorigin="0,0" coordsize="813,15">
            <v:group style="position:absolute;left:7;top:7;width:798;height:2" coordorigin="7,7" coordsize="798,2">
              <v:shape style="position:absolute;left:7;top:7;width:798;height:2" coordorigin="7,7" coordsize="798,0" path="m7,7l805,7e" filled="false" stroked="true" strokeweight=".72pt" strokecolor="#000000">
                <v:path arrowok="t"/>
              </v:shape>
            </v:group>
          </v:group>
        </w:pict>
      </w:r>
      <w:r>
        <w:rPr>
          <w:rFonts w:ascii="宋体"/>
          <w:sz w:val="2"/>
        </w:rPr>
      </w:r>
      <w:r>
        <w:rPr>
          <w:rFonts w:ascii="Times New Roman"/>
          <w:spacing w:val="61"/>
          <w:sz w:val="2"/>
        </w:rPr>
        <w:t> </w:t>
      </w:r>
      <w:r>
        <w:rPr>
          <w:rFonts w:ascii="宋体"/>
          <w:spacing w:val="61"/>
          <w:sz w:val="2"/>
        </w:rPr>
        <w:pict>
          <v:group style="width:195.3pt;height:.75pt;mso-position-horizontal-relative:char;mso-position-vertical-relative:line" coordorigin="0,0" coordsize="3906,15">
            <v:group style="position:absolute;left:7;top:7;width:1143;height:2" coordorigin="7,7" coordsize="1143,2">
              <v:shape style="position:absolute;left:7;top:7;width:1143;height:2" coordorigin="7,7" coordsize="1143,0" path="m7,7l1150,7e" filled="false" stroked="true" strokeweight=".72pt" strokecolor="#000000">
                <v:path arrowok="t"/>
              </v:shape>
            </v:group>
            <v:group style="position:absolute;left:1225;top:7;width:1296;height:2" coordorigin="1225,7" coordsize="1296,2">
              <v:shape style="position:absolute;left:1225;top:7;width:1296;height:2" coordorigin="1225,7" coordsize="1296,0" path="m1225,7l2521,7e" filled="false" stroked="true" strokeweight=".72pt" strokecolor="#000000">
                <v:path arrowok="t"/>
              </v:shape>
            </v:group>
            <v:group style="position:absolute;left:2597;top:7;width:1302;height:2" coordorigin="2597,7" coordsize="1302,2">
              <v:shape style="position:absolute;left:2597;top:7;width:1302;height:2" coordorigin="2597,7" coordsize="1302,0" path="m2597,7l3899,7e" filled="false" stroked="true" strokeweight=".72pt" strokecolor="#000000">
                <v:path arrowok="t"/>
              </v:shape>
            </v:group>
          </v:group>
        </w:pict>
      </w:r>
      <w:r>
        <w:rPr>
          <w:rFonts w:ascii="宋体"/>
          <w:spacing w:val="61"/>
          <w:sz w:val="2"/>
        </w:rPr>
      </w:r>
      <w:r>
        <w:rPr>
          <w:rFonts w:ascii="Times New Roman"/>
          <w:spacing w:val="62"/>
          <w:sz w:val="2"/>
        </w:rPr>
        <w:t> </w:t>
      </w:r>
      <w:r>
        <w:rPr>
          <w:rFonts w:ascii="宋体"/>
          <w:spacing w:val="62"/>
          <w:sz w:val="2"/>
        </w:rPr>
        <w:pict>
          <v:group style="width:257.6pt;height:.75pt;mso-position-horizontal-relative:char;mso-position-vertical-relative:line" coordorigin="0,0" coordsize="5152,15">
            <v:group style="position:absolute;left:7;top:7;width:5138;height:2" coordorigin="7,7" coordsize="5138,2">
              <v:shape style="position:absolute;left:7;top:7;width:5138;height:2" coordorigin="7,7" coordsize="5138,0" path="m7,7l5144,7e" filled="false" stroked="true" strokeweight=".72pt" strokecolor="#000000">
                <v:path arrowok="t"/>
              </v:shape>
            </v:group>
          </v:group>
        </w:pict>
      </w:r>
      <w:r>
        <w:rPr>
          <w:rFonts w:ascii="宋体"/>
          <w:spacing w:val="62"/>
          <w:sz w:val="2"/>
        </w:rPr>
      </w:r>
      <w:r>
        <w:rPr>
          <w:rFonts w:ascii="Times New Roman"/>
          <w:spacing w:val="56"/>
          <w:sz w:val="2"/>
        </w:rPr>
        <w:t> </w:t>
      </w:r>
      <w:r>
        <w:rPr>
          <w:rFonts w:ascii="宋体"/>
          <w:spacing w:val="56"/>
          <w:sz w:val="2"/>
        </w:rPr>
        <w:pict>
          <v:group style="width:47.85pt;height:.75pt;mso-position-horizontal-relative:char;mso-position-vertical-relative:line" coordorigin="0,0" coordsize="957,15">
            <v:group style="position:absolute;left:7;top:7;width:942;height:2" coordorigin="7,7" coordsize="942,2">
              <v:shape style="position:absolute;left:7;top:7;width:942;height:2" coordorigin="7,7" coordsize="942,0" path="m7,7l949,7e" filled="false" stroked="true" strokeweight=".72pt" strokecolor="#000000">
                <v:path arrowok="t"/>
              </v:shape>
            </v:group>
          </v:group>
        </w:pict>
      </w:r>
      <w:r>
        <w:rPr>
          <w:rFonts w:ascii="宋体"/>
          <w:spacing w:val="56"/>
          <w:sz w:val="2"/>
        </w:rPr>
      </w:r>
      <w:r>
        <w:rPr>
          <w:rFonts w:ascii="Times New Roman"/>
          <w:spacing w:val="56"/>
          <w:sz w:val="2"/>
        </w:rPr>
        <w:t> </w:t>
      </w:r>
      <w:r>
        <w:rPr>
          <w:rFonts w:ascii="宋体"/>
          <w:spacing w:val="56"/>
          <w:sz w:val="2"/>
        </w:rPr>
        <w:pict>
          <v:group style="width:58.4pt;height:.75pt;mso-position-horizontal-relative:char;mso-position-vertical-relative:line" coordorigin="0,0" coordsize="1168,15">
            <v:group style="position:absolute;left:7;top:7;width:1154;height:2" coordorigin="7,7" coordsize="1154,2">
              <v:shape style="position:absolute;left:7;top:7;width:1154;height:2" coordorigin="7,7" coordsize="1154,0" path="m7,7l1160,7e" filled="false" stroked="true" strokeweight=".72pt" strokecolor="#000000">
                <v:path arrowok="t"/>
              </v:shape>
            </v:group>
          </v:group>
        </w:pict>
      </w:r>
      <w:r>
        <w:rPr>
          <w:rFonts w:ascii="宋体"/>
          <w:spacing w:val="56"/>
          <w:sz w:val="2"/>
        </w:rPr>
      </w:r>
    </w:p>
    <w:p>
      <w:pPr>
        <w:spacing w:line="240" w:lineRule="auto" w:before="10"/>
        <w:rPr>
          <w:rFonts w:ascii="宋体" w:hAnsi="宋体" w:cs="宋体" w:eastAsia="宋体" w:hint="default"/>
          <w:sz w:val="9"/>
          <w:szCs w:val="9"/>
        </w:rPr>
      </w:pPr>
    </w:p>
    <w:p>
      <w:pPr>
        <w:spacing w:before="44"/>
        <w:ind w:left="610" w:right="141" w:firstLine="0"/>
        <w:jc w:val="left"/>
        <w:rPr>
          <w:rFonts w:ascii="宋体" w:hAnsi="宋体" w:cs="宋体" w:eastAsia="宋体" w:hint="default"/>
          <w:sz w:val="18"/>
          <w:szCs w:val="18"/>
        </w:rPr>
      </w:pPr>
      <w:r>
        <w:rPr>
          <w:rFonts w:ascii="宋体" w:hAnsi="宋体" w:cs="宋体" w:eastAsia="宋体" w:hint="default"/>
          <w:sz w:val="18"/>
          <w:szCs w:val="18"/>
        </w:rPr>
        <w:t>北京中邮伟业建设咨询有限公</w:t>
      </w:r>
    </w:p>
    <w:p>
      <w:pPr>
        <w:tabs>
          <w:tab w:pos="4286" w:val="left" w:leader="none"/>
          <w:tab w:pos="5617" w:val="left" w:leader="none"/>
          <w:tab w:pos="6928" w:val="left" w:leader="none"/>
          <w:tab w:pos="8892" w:val="left" w:leader="none"/>
          <w:tab w:pos="9411" w:val="left" w:leader="none"/>
          <w:tab w:pos="10168" w:val="left" w:leader="none"/>
          <w:tab w:pos="11477" w:val="left" w:leader="none"/>
          <w:tab w:pos="12840" w:val="left" w:leader="none"/>
          <w:tab w:pos="13849" w:val="left" w:leader="none"/>
          <w:tab w:pos="15051" w:val="left" w:leader="none"/>
        </w:tabs>
        <w:spacing w:line="244" w:lineRule="exact" w:before="1"/>
        <w:ind w:left="778" w:right="141" w:firstLine="0"/>
        <w:jc w:val="left"/>
        <w:rPr>
          <w:rFonts w:ascii="Arial" w:hAnsi="Arial" w:cs="Arial" w:eastAsia="Arial" w:hint="default"/>
          <w:sz w:val="18"/>
          <w:szCs w:val="18"/>
        </w:rPr>
      </w:pPr>
      <w:r>
        <w:rPr>
          <w:rFonts w:ascii="宋体" w:hAnsi="宋体" w:cs="宋体" w:eastAsia="宋体" w:hint="default"/>
          <w:spacing w:val="-3"/>
          <w:position w:val="1"/>
          <w:sz w:val="18"/>
          <w:szCs w:val="18"/>
        </w:rPr>
        <w:t>司（“中邮伟业”）（注</w:t>
      </w:r>
      <w:r>
        <w:rPr>
          <w:rFonts w:ascii="宋体" w:hAnsi="宋体" w:cs="宋体" w:eastAsia="宋体" w:hint="default"/>
          <w:spacing w:val="-44"/>
          <w:position w:val="1"/>
          <w:sz w:val="18"/>
          <w:szCs w:val="18"/>
        </w:rPr>
        <w:t> </w:t>
      </w:r>
      <w:r>
        <w:rPr>
          <w:rFonts w:ascii="Arial" w:hAnsi="Arial" w:cs="Arial" w:eastAsia="Arial" w:hint="default"/>
          <w:spacing w:val="-1"/>
          <w:position w:val="1"/>
          <w:sz w:val="18"/>
          <w:szCs w:val="18"/>
        </w:rPr>
        <w:t>2</w:t>
      </w:r>
      <w:r>
        <w:rPr>
          <w:rFonts w:ascii="宋体" w:hAnsi="宋体" w:cs="宋体" w:eastAsia="宋体" w:hint="default"/>
          <w:spacing w:val="-1"/>
          <w:position w:val="1"/>
          <w:sz w:val="18"/>
          <w:szCs w:val="18"/>
        </w:rPr>
        <w:t>）</w:t>
      </w:r>
      <w:r>
        <w:rPr>
          <w:rFonts w:ascii="宋体" w:hAnsi="宋体" w:cs="宋体" w:eastAsia="宋体" w:hint="default"/>
          <w:spacing w:val="-70"/>
          <w:position w:val="1"/>
          <w:sz w:val="18"/>
          <w:szCs w:val="18"/>
        </w:rPr>
        <w:t> </w:t>
      </w:r>
      <w:r>
        <w:rPr>
          <w:rFonts w:ascii="宋体" w:hAnsi="宋体" w:cs="宋体" w:eastAsia="宋体" w:hint="default"/>
          <w:position w:val="1"/>
          <w:sz w:val="18"/>
          <w:szCs w:val="18"/>
        </w:rPr>
        <w:t>成本法</w:t>
        <w:tab/>
      </w:r>
      <w:r>
        <w:rPr>
          <w:rFonts w:ascii="Arial" w:hAnsi="Arial" w:cs="Arial" w:eastAsia="Arial" w:hint="default"/>
          <w:spacing w:val="-1"/>
          <w:sz w:val="18"/>
          <w:szCs w:val="18"/>
        </w:rPr>
        <w:t>600,000</w:t>
        <w:tab/>
        <w:t>600,000</w:t>
        <w:tab/>
        <w:t>(600,000)</w:t>
        <w:tab/>
      </w:r>
      <w:r>
        <w:rPr>
          <w:rFonts w:ascii="Arial" w:hAnsi="Arial" w:cs="Arial" w:eastAsia="Arial" w:hint="default"/>
          <w:sz w:val="18"/>
          <w:szCs w:val="18"/>
        </w:rPr>
        <w:t>-</w:t>
        <w:tab/>
        <w:t>-</w:t>
        <w:tab/>
        <w:t>-</w:t>
        <w:tab/>
      </w:r>
      <w:r>
        <w:rPr>
          <w:rFonts w:ascii="宋体" w:hAnsi="宋体" w:cs="宋体" w:eastAsia="宋体" w:hint="default"/>
          <w:position w:val="1"/>
          <w:sz w:val="18"/>
          <w:szCs w:val="18"/>
        </w:rPr>
        <w:t>不适用</w:t>
        <w:tab/>
      </w:r>
      <w:r>
        <w:rPr>
          <w:rFonts w:ascii="Arial" w:hAnsi="Arial" w:cs="Arial" w:eastAsia="Arial" w:hint="default"/>
          <w:sz w:val="18"/>
          <w:szCs w:val="18"/>
        </w:rPr>
        <w:t>-</w:t>
        <w:tab/>
        <w:t>-</w:t>
        <w:tab/>
        <w:t>-</w:t>
      </w:r>
    </w:p>
    <w:p>
      <w:pPr>
        <w:spacing w:line="221" w:lineRule="exact" w:before="0"/>
        <w:ind w:left="609" w:right="141" w:firstLine="0"/>
        <w:jc w:val="left"/>
        <w:rPr>
          <w:rFonts w:ascii="宋体" w:hAnsi="宋体" w:cs="宋体" w:eastAsia="宋体" w:hint="default"/>
          <w:sz w:val="18"/>
          <w:szCs w:val="18"/>
        </w:rPr>
      </w:pPr>
      <w:r>
        <w:rPr>
          <w:rFonts w:ascii="宋体" w:hAnsi="宋体" w:cs="宋体" w:eastAsia="宋体" w:hint="default"/>
          <w:sz w:val="18"/>
          <w:szCs w:val="18"/>
        </w:rPr>
        <w:t>深圳捷凯邮电技术开发（“深</w:t>
      </w:r>
    </w:p>
    <w:p>
      <w:pPr>
        <w:spacing w:line="240" w:lineRule="auto" w:before="1"/>
        <w:rPr>
          <w:rFonts w:ascii="宋体" w:hAnsi="宋体" w:cs="宋体" w:eastAsia="宋体" w:hint="default"/>
          <w:sz w:val="3"/>
          <w:szCs w:val="3"/>
        </w:rPr>
      </w:pPr>
    </w:p>
    <w:tbl>
      <w:tblPr>
        <w:tblW w:w="0" w:type="auto"/>
        <w:jc w:val="left"/>
        <w:tblInd w:w="574" w:type="dxa"/>
        <w:tblLayout w:type="fixed"/>
        <w:tblCellMar>
          <w:top w:w="0" w:type="dxa"/>
          <w:left w:w="0" w:type="dxa"/>
          <w:bottom w:w="0" w:type="dxa"/>
          <w:right w:w="0" w:type="dxa"/>
        </w:tblCellMar>
        <w:tblLook w:val="01E0"/>
      </w:tblPr>
      <w:tblGrid>
        <w:gridCol w:w="2452"/>
        <w:gridCol w:w="798"/>
        <w:gridCol w:w="1327"/>
        <w:gridCol w:w="1371"/>
        <w:gridCol w:w="1352"/>
        <w:gridCol w:w="1253"/>
        <w:gridCol w:w="736"/>
        <w:gridCol w:w="1087"/>
        <w:gridCol w:w="1478"/>
        <w:gridCol w:w="2718"/>
      </w:tblGrid>
      <w:tr>
        <w:trPr>
          <w:trHeight w:val="231"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07" w:lineRule="exact"/>
              <w:ind w:left="203" w:right="0"/>
              <w:jc w:val="left"/>
              <w:rPr>
                <w:rFonts w:ascii="宋体" w:hAnsi="宋体" w:cs="宋体" w:eastAsia="宋体" w:hint="default"/>
                <w:sz w:val="18"/>
                <w:szCs w:val="18"/>
              </w:rPr>
            </w:pPr>
            <w:r>
              <w:rPr>
                <w:rFonts w:ascii="宋体" w:hAnsi="宋体" w:cs="宋体" w:eastAsia="宋体" w:hint="default"/>
                <w:sz w:val="18"/>
                <w:szCs w:val="18"/>
              </w:rPr>
              <w:t>圳捷凯”）（注</w:t>
            </w:r>
            <w:r>
              <w:rPr>
                <w:rFonts w:ascii="宋体" w:hAnsi="宋体" w:cs="宋体" w:eastAsia="宋体" w:hint="default"/>
                <w:spacing w:val="-48"/>
                <w:sz w:val="18"/>
                <w:szCs w:val="18"/>
              </w:rPr>
              <w:t> </w:t>
            </w:r>
            <w:r>
              <w:rPr>
                <w:rFonts w:ascii="Arial" w:hAnsi="Arial" w:cs="Arial" w:eastAsia="Arial" w:hint="default"/>
                <w:sz w:val="18"/>
                <w:szCs w:val="18"/>
              </w:rPr>
              <w:t>2</w:t>
            </w:r>
            <w:r>
              <w:rPr>
                <w:rFonts w:ascii="宋体" w:hAnsi="宋体" w:cs="宋体" w:eastAsia="宋体" w:hint="default"/>
                <w:sz w:val="18"/>
                <w:szCs w:val="18"/>
              </w:rPr>
              <w:t>）</w:t>
            </w:r>
          </w:p>
        </w:tc>
        <w:tc>
          <w:tcPr>
            <w:tcW w:w="798" w:type="dxa"/>
            <w:tcBorders>
              <w:top w:val="nil" w:sz="6" w:space="0" w:color="auto"/>
              <w:left w:val="nil" w:sz="6" w:space="0" w:color="auto"/>
              <w:bottom w:val="nil" w:sz="6" w:space="0" w:color="auto"/>
              <w:right w:val="nil" w:sz="6" w:space="0" w:color="auto"/>
            </w:tcBorders>
          </w:tcPr>
          <w:p>
            <w:pPr>
              <w:pStyle w:val="TableParagraph"/>
              <w:spacing w:line="194" w:lineRule="exact"/>
              <w:ind w:left="46"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2"/>
              <w:jc w:val="right"/>
              <w:rPr>
                <w:rFonts w:ascii="Arial" w:hAnsi="Arial" w:cs="Arial" w:eastAsia="Arial" w:hint="default"/>
                <w:sz w:val="18"/>
                <w:szCs w:val="18"/>
              </w:rPr>
            </w:pPr>
            <w:r>
              <w:rPr>
                <w:rFonts w:ascii="Arial"/>
                <w:spacing w:val="-1"/>
                <w:sz w:val="18"/>
              </w:rPr>
              <w:t>4,942,073</w:t>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3"/>
              <w:jc w:val="right"/>
              <w:rPr>
                <w:rFonts w:ascii="Arial" w:hAnsi="Arial" w:cs="Arial" w:eastAsia="Arial" w:hint="default"/>
                <w:sz w:val="18"/>
                <w:szCs w:val="18"/>
              </w:rPr>
            </w:pPr>
            <w:r>
              <w:rPr>
                <w:rFonts w:ascii="Arial"/>
                <w:spacing w:val="-1"/>
                <w:sz w:val="18"/>
              </w:rPr>
              <w:t>4,942,073</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5"/>
              <w:jc w:val="right"/>
              <w:rPr>
                <w:rFonts w:ascii="Arial" w:hAnsi="Arial" w:cs="Arial" w:eastAsia="Arial" w:hint="default"/>
                <w:sz w:val="18"/>
                <w:szCs w:val="18"/>
              </w:rPr>
            </w:pPr>
            <w:r>
              <w:rPr>
                <w:rFonts w:ascii="Arial"/>
                <w:spacing w:val="-1"/>
                <w:sz w:val="18"/>
              </w:rPr>
              <w:t>(4,942,073)</w:t>
            </w:r>
            <w:r>
              <w:rPr>
                <w:rFonts w:ascii="Arial"/>
                <w:sz w:val="18"/>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3"/>
              <w:jc w:val="right"/>
              <w:rPr>
                <w:rFonts w:ascii="Arial" w:hAnsi="Arial" w:cs="Arial" w:eastAsia="Arial" w:hint="default"/>
                <w:sz w:val="18"/>
                <w:szCs w:val="18"/>
              </w:rPr>
            </w:pPr>
            <w:r>
              <w:rPr>
                <w:rFonts w:ascii="Arial"/>
                <w:w w:val="99"/>
                <w:sz w:val="18"/>
              </w:rPr>
              <w:t>-</w:t>
            </w:r>
            <w:r>
              <w:rPr>
                <w:rFonts w:ascii="Arial"/>
                <w:sz w:val="18"/>
              </w:rPr>
            </w:r>
          </w:p>
        </w:tc>
        <w:tc>
          <w:tcPr>
            <w:tcW w:w="73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center"/>
              <w:rPr>
                <w:rFonts w:ascii="Arial" w:hAnsi="Arial" w:cs="Arial" w:eastAsia="Arial" w:hint="default"/>
                <w:sz w:val="18"/>
                <w:szCs w:val="18"/>
              </w:rPr>
            </w:pPr>
            <w:r>
              <w:rPr>
                <w:rFonts w:ascii="Arial"/>
                <w:w w:val="99"/>
                <w:sz w:val="18"/>
              </w:rPr>
              <w:t>-</w:t>
            </w:r>
            <w:r>
              <w:rPr>
                <w:rFonts w:ascii="Arial"/>
                <w:sz w:val="18"/>
              </w:rPr>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04" w:right="0"/>
              <w:jc w:val="left"/>
              <w:rPr>
                <w:rFonts w:ascii="Arial" w:hAnsi="Arial" w:cs="Arial" w:eastAsia="Arial" w:hint="default"/>
                <w:sz w:val="18"/>
                <w:szCs w:val="18"/>
              </w:rPr>
            </w:pPr>
            <w:r>
              <w:rPr>
                <w:rFonts w:ascii="Arial"/>
                <w:w w:val="99"/>
                <w:sz w:val="18"/>
              </w:rPr>
              <w:t>-</w:t>
            </w:r>
            <w:r>
              <w:rPr>
                <w:rFonts w:ascii="Arial"/>
                <w:sz w:val="18"/>
              </w:rPr>
            </w:r>
          </w:p>
        </w:tc>
        <w:tc>
          <w:tcPr>
            <w:tcW w:w="1478" w:type="dxa"/>
            <w:tcBorders>
              <w:top w:val="nil" w:sz="6" w:space="0" w:color="auto"/>
              <w:left w:val="nil" w:sz="6" w:space="0" w:color="auto"/>
              <w:bottom w:val="nil" w:sz="6" w:space="0" w:color="auto"/>
              <w:right w:val="nil" w:sz="6" w:space="0" w:color="auto"/>
            </w:tcBorders>
          </w:tcPr>
          <w:p>
            <w:pPr>
              <w:pStyle w:val="TableParagraph"/>
              <w:spacing w:line="194" w:lineRule="exact"/>
              <w:ind w:right="409"/>
              <w:jc w:val="right"/>
              <w:rPr>
                <w:rFonts w:ascii="宋体" w:hAnsi="宋体" w:cs="宋体" w:eastAsia="宋体" w:hint="default"/>
                <w:sz w:val="18"/>
                <w:szCs w:val="18"/>
              </w:rPr>
            </w:pPr>
            <w:r>
              <w:rPr>
                <w:rFonts w:ascii="宋体" w:hAnsi="宋体" w:cs="宋体" w:eastAsia="宋体" w:hint="default"/>
                <w:sz w:val="18"/>
                <w:szCs w:val="18"/>
              </w:rPr>
              <w:t>不适用</w:t>
            </w:r>
          </w:p>
        </w:tc>
        <w:tc>
          <w:tcPr>
            <w:tcW w:w="2718" w:type="dxa"/>
            <w:tcBorders>
              <w:top w:val="nil" w:sz="6" w:space="0" w:color="auto"/>
              <w:left w:val="nil" w:sz="6" w:space="0" w:color="auto"/>
              <w:bottom w:val="nil" w:sz="6" w:space="0" w:color="auto"/>
              <w:right w:val="nil" w:sz="6" w:space="0" w:color="auto"/>
            </w:tcBorders>
          </w:tcPr>
          <w:p>
            <w:pPr>
              <w:pStyle w:val="TableParagraph"/>
              <w:tabs>
                <w:tab w:pos="1009" w:val="left" w:leader="none"/>
                <w:tab w:pos="2211" w:val="left" w:leader="none"/>
              </w:tabs>
              <w:spacing w:line="240" w:lineRule="auto" w:before="13"/>
              <w:ind w:right="33"/>
              <w:jc w:val="right"/>
              <w:rPr>
                <w:rFonts w:ascii="Arial" w:hAnsi="Arial" w:cs="Arial" w:eastAsia="Arial" w:hint="default"/>
                <w:sz w:val="18"/>
                <w:szCs w:val="18"/>
              </w:rPr>
            </w:pPr>
            <w:r>
              <w:rPr>
                <w:rFonts w:ascii="Arial"/>
                <w:sz w:val="18"/>
              </w:rPr>
              <w:t>-</w:t>
              <w:tab/>
              <w:t>-</w:t>
              <w:tab/>
            </w:r>
            <w:r>
              <w:rPr>
                <w:rFonts w:ascii="Arial"/>
                <w:w w:val="95"/>
                <w:sz w:val="18"/>
              </w:rPr>
              <w:t>-</w:t>
            </w:r>
            <w:r>
              <w:rPr>
                <w:rFonts w:ascii="Arial"/>
                <w:sz w:val="18"/>
              </w:rPr>
            </w:r>
          </w:p>
        </w:tc>
      </w:tr>
      <w:tr>
        <w:trPr>
          <w:trHeight w:val="456"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01" w:lineRule="exact"/>
              <w:ind w:left="35" w:right="0"/>
              <w:jc w:val="left"/>
              <w:rPr>
                <w:rFonts w:ascii="宋体" w:hAnsi="宋体" w:cs="宋体" w:eastAsia="宋体" w:hint="default"/>
                <w:sz w:val="18"/>
                <w:szCs w:val="18"/>
              </w:rPr>
            </w:pPr>
            <w:r>
              <w:rPr>
                <w:rFonts w:ascii="宋体" w:hAnsi="宋体" w:cs="宋体" w:eastAsia="宋体" w:hint="default"/>
                <w:sz w:val="18"/>
                <w:szCs w:val="18"/>
              </w:rPr>
              <w:t>广东发展银行（注</w:t>
            </w:r>
            <w:r>
              <w:rPr>
                <w:rFonts w:ascii="宋体" w:hAnsi="宋体" w:cs="宋体" w:eastAsia="宋体" w:hint="default"/>
                <w:spacing w:val="-48"/>
                <w:sz w:val="18"/>
                <w:szCs w:val="18"/>
              </w:rPr>
              <w:t> </w:t>
            </w:r>
            <w:r>
              <w:rPr>
                <w:rFonts w:ascii="Arial" w:hAnsi="Arial" w:cs="Arial" w:eastAsia="Arial" w:hint="default"/>
                <w:sz w:val="18"/>
                <w:szCs w:val="18"/>
              </w:rPr>
              <w:t>2</w:t>
            </w:r>
            <w:r>
              <w:rPr>
                <w:rFonts w:ascii="宋体" w:hAnsi="宋体" w:cs="宋体" w:eastAsia="宋体" w:hint="default"/>
                <w:sz w:val="18"/>
                <w:szCs w:val="18"/>
              </w:rPr>
              <w:t>）</w:t>
            </w:r>
          </w:p>
          <w:p>
            <w:pPr>
              <w:pStyle w:val="TableParagraph"/>
              <w:spacing w:line="228" w:lineRule="exact"/>
              <w:ind w:left="35" w:right="0"/>
              <w:jc w:val="left"/>
              <w:rPr>
                <w:rFonts w:ascii="宋体" w:hAnsi="宋体" w:cs="宋体" w:eastAsia="宋体" w:hint="default"/>
                <w:sz w:val="18"/>
                <w:szCs w:val="18"/>
              </w:rPr>
            </w:pPr>
            <w:r>
              <w:rPr>
                <w:rFonts w:ascii="宋体" w:hAnsi="宋体" w:cs="宋体" w:eastAsia="宋体" w:hint="default"/>
                <w:spacing w:val="15"/>
                <w:sz w:val="18"/>
                <w:szCs w:val="18"/>
              </w:rPr>
              <w:t>重庆重邮信科股份有限公司</w:t>
            </w:r>
            <w:r>
              <w:rPr>
                <w:rFonts w:ascii="宋体" w:hAnsi="宋体" w:cs="宋体" w:eastAsia="宋体" w:hint="default"/>
                <w:spacing w:val="-72"/>
                <w:sz w:val="18"/>
                <w:szCs w:val="18"/>
              </w:rPr>
              <w:t> </w:t>
            </w:r>
            <w:r>
              <w:rPr>
                <w:rFonts w:ascii="宋体" w:hAnsi="宋体" w:cs="宋体" w:eastAsia="宋体" w:hint="default"/>
                <w:sz w:val="18"/>
                <w:szCs w:val="18"/>
              </w:rPr>
            </w:r>
          </w:p>
        </w:tc>
        <w:tc>
          <w:tcPr>
            <w:tcW w:w="798" w:type="dxa"/>
            <w:tcBorders>
              <w:top w:val="nil" w:sz="6" w:space="0" w:color="auto"/>
              <w:left w:val="nil" w:sz="6" w:space="0" w:color="auto"/>
              <w:bottom w:val="nil" w:sz="6" w:space="0" w:color="auto"/>
              <w:right w:val="nil" w:sz="6" w:space="0" w:color="auto"/>
            </w:tcBorders>
          </w:tcPr>
          <w:p>
            <w:pPr>
              <w:pStyle w:val="TableParagraph"/>
              <w:spacing w:line="195" w:lineRule="exact"/>
              <w:ind w:left="45"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32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13"/>
              <w:jc w:val="right"/>
              <w:rPr>
                <w:rFonts w:ascii="Arial" w:hAnsi="Arial" w:cs="Arial" w:eastAsia="Arial" w:hint="default"/>
                <w:sz w:val="18"/>
                <w:szCs w:val="18"/>
              </w:rPr>
            </w:pPr>
            <w:r>
              <w:rPr>
                <w:rFonts w:ascii="Arial"/>
                <w:spacing w:val="-1"/>
                <w:sz w:val="18"/>
              </w:rPr>
              <w:t>12,000,000</w:t>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53"/>
              <w:jc w:val="right"/>
              <w:rPr>
                <w:rFonts w:ascii="Arial" w:hAnsi="Arial" w:cs="Arial" w:eastAsia="Arial" w:hint="default"/>
                <w:sz w:val="18"/>
                <w:szCs w:val="18"/>
              </w:rPr>
            </w:pPr>
            <w:r>
              <w:rPr>
                <w:rFonts w:ascii="Arial"/>
                <w:spacing w:val="-1"/>
                <w:sz w:val="18"/>
              </w:rPr>
              <w:t>12,000,000</w:t>
            </w:r>
          </w:p>
        </w:tc>
        <w:tc>
          <w:tcPr>
            <w:tcW w:w="135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36"/>
              <w:jc w:val="right"/>
              <w:rPr>
                <w:rFonts w:ascii="Arial" w:hAnsi="Arial" w:cs="Arial" w:eastAsia="Arial" w:hint="default"/>
                <w:sz w:val="18"/>
                <w:szCs w:val="18"/>
              </w:rPr>
            </w:pPr>
            <w:r>
              <w:rPr>
                <w:rFonts w:ascii="Arial"/>
                <w:w w:val="99"/>
                <w:sz w:val="18"/>
              </w:rPr>
              <w:t>-</w:t>
            </w:r>
            <w:r>
              <w:rPr>
                <w:rFonts w:ascii="Arial"/>
                <w:sz w:val="18"/>
              </w:rPr>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74"/>
              <w:jc w:val="right"/>
              <w:rPr>
                <w:rFonts w:ascii="Arial" w:hAnsi="Arial" w:cs="Arial" w:eastAsia="Arial" w:hint="default"/>
                <w:sz w:val="18"/>
                <w:szCs w:val="18"/>
              </w:rPr>
            </w:pPr>
            <w:r>
              <w:rPr>
                <w:rFonts w:ascii="Arial"/>
                <w:spacing w:val="-1"/>
                <w:sz w:val="18"/>
              </w:rPr>
              <w:t>12,000,000</w:t>
            </w:r>
          </w:p>
        </w:tc>
        <w:tc>
          <w:tcPr>
            <w:tcW w:w="73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4"/>
              <w:jc w:val="center"/>
              <w:rPr>
                <w:rFonts w:ascii="Arial" w:hAnsi="Arial" w:cs="Arial" w:eastAsia="Arial" w:hint="default"/>
                <w:sz w:val="18"/>
                <w:szCs w:val="18"/>
              </w:rPr>
            </w:pPr>
            <w:r>
              <w:rPr>
                <w:rFonts w:ascii="Arial"/>
                <w:sz w:val="18"/>
              </w:rPr>
              <w:t>0.01</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11" w:right="0"/>
              <w:jc w:val="left"/>
              <w:rPr>
                <w:rFonts w:ascii="Arial" w:hAnsi="Arial" w:cs="Arial" w:eastAsia="Arial" w:hint="default"/>
                <w:sz w:val="18"/>
                <w:szCs w:val="18"/>
              </w:rPr>
            </w:pPr>
            <w:r>
              <w:rPr>
                <w:rFonts w:ascii="Arial"/>
                <w:sz w:val="18"/>
              </w:rPr>
              <w:t>0.01</w:t>
            </w:r>
          </w:p>
        </w:tc>
        <w:tc>
          <w:tcPr>
            <w:tcW w:w="1478" w:type="dxa"/>
            <w:tcBorders>
              <w:top w:val="nil" w:sz="6" w:space="0" w:color="auto"/>
              <w:left w:val="nil" w:sz="6" w:space="0" w:color="auto"/>
              <w:bottom w:val="nil" w:sz="6" w:space="0" w:color="auto"/>
              <w:right w:val="nil" w:sz="6" w:space="0" w:color="auto"/>
            </w:tcBorders>
          </w:tcPr>
          <w:p>
            <w:pPr>
              <w:pStyle w:val="TableParagraph"/>
              <w:spacing w:line="195" w:lineRule="exact"/>
              <w:ind w:right="409"/>
              <w:jc w:val="right"/>
              <w:rPr>
                <w:rFonts w:ascii="宋体" w:hAnsi="宋体" w:cs="宋体" w:eastAsia="宋体" w:hint="default"/>
                <w:sz w:val="18"/>
                <w:szCs w:val="18"/>
              </w:rPr>
            </w:pPr>
            <w:r>
              <w:rPr>
                <w:rFonts w:ascii="宋体" w:hAnsi="宋体" w:cs="宋体" w:eastAsia="宋体" w:hint="default"/>
                <w:sz w:val="18"/>
                <w:szCs w:val="18"/>
              </w:rPr>
              <w:t>不适用</w:t>
            </w:r>
          </w:p>
        </w:tc>
        <w:tc>
          <w:tcPr>
            <w:tcW w:w="2718" w:type="dxa"/>
            <w:tcBorders>
              <w:top w:val="nil" w:sz="6" w:space="0" w:color="auto"/>
              <w:left w:val="nil" w:sz="6" w:space="0" w:color="auto"/>
              <w:bottom w:val="nil" w:sz="6" w:space="0" w:color="auto"/>
              <w:right w:val="nil" w:sz="6" w:space="0" w:color="auto"/>
            </w:tcBorders>
          </w:tcPr>
          <w:p>
            <w:pPr>
              <w:pStyle w:val="TableParagraph"/>
              <w:tabs>
                <w:tab w:pos="1009" w:val="left" w:leader="none"/>
                <w:tab w:pos="1622" w:val="left" w:leader="none"/>
              </w:tabs>
              <w:spacing w:line="240" w:lineRule="auto" w:before="14"/>
              <w:ind w:right="33"/>
              <w:jc w:val="right"/>
              <w:rPr>
                <w:rFonts w:ascii="Arial" w:hAnsi="Arial" w:cs="Arial" w:eastAsia="Arial" w:hint="default"/>
                <w:sz w:val="18"/>
                <w:szCs w:val="18"/>
              </w:rPr>
            </w:pPr>
            <w:r>
              <w:rPr>
                <w:rFonts w:ascii="Arial"/>
                <w:sz w:val="18"/>
              </w:rPr>
              <w:t>-</w:t>
              <w:tab/>
              <w:t>-</w:t>
              <w:tab/>
            </w:r>
            <w:r>
              <w:rPr>
                <w:rFonts w:ascii="Arial"/>
                <w:spacing w:val="-1"/>
                <w:sz w:val="18"/>
              </w:rPr>
              <w:t>129,949</w:t>
            </w:r>
            <w:r>
              <w:rPr>
                <w:rFonts w:ascii="Arial"/>
                <w:sz w:val="18"/>
              </w:rPr>
            </w:r>
          </w:p>
        </w:tc>
      </w:tr>
      <w:tr>
        <w:trPr>
          <w:trHeight w:val="220" w:hRule="exact"/>
        </w:trPr>
        <w:tc>
          <w:tcPr>
            <w:tcW w:w="2452" w:type="dxa"/>
            <w:tcBorders>
              <w:top w:val="nil" w:sz="6" w:space="0" w:color="auto"/>
              <w:left w:val="nil" w:sz="6" w:space="0" w:color="auto"/>
              <w:bottom w:val="nil" w:sz="6" w:space="0" w:color="auto"/>
              <w:right w:val="nil" w:sz="6" w:space="0" w:color="auto"/>
            </w:tcBorders>
          </w:tcPr>
          <w:p>
            <w:pPr>
              <w:pStyle w:val="TableParagraph"/>
              <w:spacing w:line="206" w:lineRule="exact"/>
              <w:ind w:left="202" w:right="0"/>
              <w:jc w:val="left"/>
              <w:rPr>
                <w:rFonts w:ascii="宋体" w:hAnsi="宋体" w:cs="宋体" w:eastAsia="宋体" w:hint="default"/>
                <w:sz w:val="18"/>
                <w:szCs w:val="18"/>
              </w:rPr>
            </w:pPr>
            <w:r>
              <w:rPr>
                <w:rFonts w:ascii="宋体" w:hAnsi="宋体" w:cs="宋体" w:eastAsia="宋体" w:hint="default"/>
                <w:sz w:val="18"/>
                <w:szCs w:val="18"/>
              </w:rPr>
              <w:t>（“重庆重邮信科”）（注</w:t>
            </w:r>
          </w:p>
        </w:tc>
        <w:tc>
          <w:tcPr>
            <w:tcW w:w="798"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nil" w:sz="6" w:space="0" w:color="auto"/>
            </w:tcBorders>
          </w:tcPr>
          <w:p>
            <w:pPr/>
          </w:p>
        </w:tc>
        <w:tc>
          <w:tcPr>
            <w:tcW w:w="1371" w:type="dxa"/>
            <w:tcBorders>
              <w:top w:val="nil" w:sz="6" w:space="0" w:color="auto"/>
              <w:left w:val="nil" w:sz="6" w:space="0" w:color="auto"/>
              <w:bottom w:val="nil" w:sz="6" w:space="0" w:color="auto"/>
              <w:right w:val="nil" w:sz="6" w:space="0" w:color="auto"/>
            </w:tcBorders>
          </w:tcPr>
          <w:p>
            <w:pPr/>
          </w:p>
        </w:tc>
        <w:tc>
          <w:tcPr>
            <w:tcW w:w="135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c>
          <w:tcPr>
            <w:tcW w:w="736" w:type="dxa"/>
            <w:tcBorders>
              <w:top w:val="nil" w:sz="6" w:space="0" w:color="auto"/>
              <w:left w:val="nil" w:sz="6" w:space="0" w:color="auto"/>
              <w:bottom w:val="nil" w:sz="6" w:space="0" w:color="auto"/>
              <w:right w:val="nil" w:sz="6" w:space="0" w:color="auto"/>
            </w:tcBorders>
          </w:tcPr>
          <w:p>
            <w:pPr/>
          </w:p>
        </w:tc>
        <w:tc>
          <w:tcPr>
            <w:tcW w:w="1087"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tcPr>
          <w:p>
            <w:pPr/>
          </w:p>
        </w:tc>
        <w:tc>
          <w:tcPr>
            <w:tcW w:w="2718" w:type="dxa"/>
            <w:tcBorders>
              <w:top w:val="nil" w:sz="6" w:space="0" w:color="auto"/>
              <w:left w:val="nil" w:sz="6" w:space="0" w:color="auto"/>
              <w:bottom w:val="nil" w:sz="6" w:space="0" w:color="auto"/>
              <w:right w:val="nil" w:sz="6" w:space="0" w:color="auto"/>
            </w:tcBorders>
          </w:tcPr>
          <w:p>
            <w:pPr/>
          </w:p>
        </w:tc>
      </w:tr>
    </w:tbl>
    <w:p>
      <w:pPr>
        <w:tabs>
          <w:tab w:pos="3071" w:val="left" w:leader="none"/>
          <w:tab w:pos="4136" w:val="left" w:leader="none"/>
          <w:tab w:pos="5466" w:val="left" w:leader="none"/>
          <w:tab w:pos="7575" w:val="left" w:leader="none"/>
          <w:tab w:pos="8152" w:val="left" w:leader="none"/>
          <w:tab w:pos="9302" w:val="left" w:leader="none"/>
          <w:tab w:pos="10075" w:val="left" w:leader="none"/>
          <w:tab w:pos="11476" w:val="left" w:leader="none"/>
          <w:tab w:pos="12839" w:val="left" w:leader="none"/>
          <w:tab w:pos="13848" w:val="left" w:leader="none"/>
          <w:tab w:pos="15051" w:val="left" w:leader="none"/>
          <w:tab w:pos="15230" w:val="left" w:leader="none"/>
        </w:tabs>
        <w:spacing w:line="246" w:lineRule="exact" w:before="0"/>
        <w:ind w:left="777" w:right="141" w:firstLine="0"/>
        <w:jc w:val="left"/>
        <w:rPr>
          <w:rFonts w:ascii="Arial" w:hAnsi="Arial" w:cs="Arial" w:eastAsia="Arial" w:hint="default"/>
          <w:sz w:val="18"/>
          <w:szCs w:val="18"/>
        </w:rPr>
      </w:pPr>
      <w:r>
        <w:rPr>
          <w:rFonts w:ascii="Arial" w:hAnsi="Arial" w:cs="Arial" w:eastAsia="Arial" w:hint="default"/>
          <w:spacing w:val="-1"/>
          <w:position w:val="1"/>
          <w:sz w:val="18"/>
          <w:szCs w:val="18"/>
        </w:rPr>
        <w:t>2</w:t>
      </w:r>
      <w:r>
        <w:rPr>
          <w:rFonts w:ascii="宋体" w:hAnsi="宋体" w:cs="宋体" w:eastAsia="宋体" w:hint="default"/>
          <w:spacing w:val="-1"/>
          <w:position w:val="1"/>
          <w:sz w:val="18"/>
          <w:szCs w:val="18"/>
        </w:rPr>
        <w:t>）</w:t>
        <w:tab/>
      </w:r>
      <w:r>
        <w:rPr>
          <w:rFonts w:ascii="宋体" w:hAnsi="宋体" w:cs="宋体" w:eastAsia="宋体" w:hint="default"/>
          <w:position w:val="1"/>
          <w:sz w:val="18"/>
          <w:szCs w:val="18"/>
        </w:rPr>
        <w:t>成本法</w:t>
        <w:tab/>
      </w:r>
      <w:r>
        <w:rPr>
          <w:rFonts w:ascii="Arial" w:hAnsi="Arial" w:cs="Arial" w:eastAsia="Arial" w:hint="default"/>
          <w:spacing w:val="-1"/>
          <w:sz w:val="18"/>
          <w:szCs w:val="18"/>
        </w:rPr>
        <w:t>3,000,000</w:t>
      </w:r>
      <w:r>
        <w:rPr>
          <w:rFonts w:ascii="Arial" w:hAnsi="Arial" w:cs="Arial" w:eastAsia="Arial" w:hint="default"/>
          <w:spacing w:val="-1"/>
          <w:sz w:val="18"/>
          <w:szCs w:val="18"/>
          <w:u w:val="single" w:color="000000"/>
        </w:rPr>
        <w:t> </w:t>
        <w:tab/>
        <w:t>3,000,000</w:t>
      </w:r>
      <w:r>
        <w:rPr>
          <w:rFonts w:ascii="Arial" w:hAnsi="Arial" w:cs="Arial" w:eastAsia="Arial" w:hint="default"/>
          <w:spacing w:val="-1"/>
          <w:sz w:val="18"/>
          <w:szCs w:val="18"/>
        </w:rPr>
      </w:r>
      <w:r>
        <w:rPr>
          <w:rFonts w:ascii="Arial" w:hAnsi="Arial" w:cs="Arial" w:eastAsia="Arial" w:hint="default"/>
          <w:spacing w:val="-1"/>
          <w:sz w:val="18"/>
          <w:szCs w:val="18"/>
          <w:u w:val="single" w:color="000000"/>
        </w:rPr>
        <w:t> </w:t>
        <w:tab/>
      </w:r>
      <w:r>
        <w:rPr>
          <w:rFonts w:ascii="Arial" w:hAnsi="Arial" w:cs="Arial" w:eastAsia="Arial" w:hint="default"/>
          <w:sz w:val="18"/>
          <w:szCs w:val="18"/>
          <w:u w:val="single" w:color="000000"/>
        </w:rPr>
        <w:t>-</w:t>
      </w:r>
      <w:r>
        <w:rPr>
          <w:rFonts w:ascii="Arial" w:hAnsi="Arial" w:cs="Arial" w:eastAsia="Arial" w:hint="default"/>
          <w:sz w:val="18"/>
          <w:szCs w:val="18"/>
        </w:rPr>
      </w:r>
      <w:r>
        <w:rPr>
          <w:rFonts w:ascii="Arial" w:hAnsi="Arial" w:cs="Arial" w:eastAsia="Arial" w:hint="default"/>
          <w:sz w:val="18"/>
          <w:szCs w:val="18"/>
          <w:u w:val="single" w:color="000000"/>
        </w:rPr>
        <w:t> </w:t>
        <w:tab/>
      </w:r>
      <w:r>
        <w:rPr>
          <w:rFonts w:ascii="Arial" w:hAnsi="Arial" w:cs="Arial" w:eastAsia="Arial" w:hint="default"/>
          <w:spacing w:val="-1"/>
          <w:sz w:val="18"/>
          <w:szCs w:val="18"/>
          <w:u w:val="single" w:color="000000"/>
        </w:rPr>
        <w:t>3,000,000</w:t>
      </w:r>
      <w:r>
        <w:rPr>
          <w:rFonts w:ascii="Arial" w:hAnsi="Arial" w:cs="Arial" w:eastAsia="Arial" w:hint="default"/>
          <w:spacing w:val="-1"/>
          <w:sz w:val="18"/>
          <w:szCs w:val="18"/>
        </w:rPr>
        <w:tab/>
        <w:t>0.34</w:t>
        <w:tab/>
        <w:t>0.34</w:t>
        <w:tab/>
      </w:r>
      <w:r>
        <w:rPr>
          <w:rFonts w:ascii="宋体" w:hAnsi="宋体" w:cs="宋体" w:eastAsia="宋体" w:hint="default"/>
          <w:position w:val="1"/>
          <w:sz w:val="18"/>
          <w:szCs w:val="18"/>
        </w:rPr>
        <w:t>不适用</w:t>
      </w:r>
      <w:r>
        <w:rPr>
          <w:rFonts w:ascii="Arial" w:hAnsi="Arial" w:cs="Arial" w:eastAsia="Arial" w:hint="default"/>
          <w:sz w:val="18"/>
          <w:szCs w:val="18"/>
        </w:rPr>
      </w:r>
      <w:r>
        <w:rPr>
          <w:rFonts w:ascii="Arial" w:hAnsi="Arial" w:cs="Arial" w:eastAsia="Arial" w:hint="default"/>
          <w:sz w:val="18"/>
          <w:szCs w:val="18"/>
          <w:u w:val="single" w:color="000000"/>
        </w:rPr>
        <w:t> </w:t>
        <w:tab/>
        <w:t>-</w:t>
      </w:r>
      <w:r>
        <w:rPr>
          <w:rFonts w:ascii="Arial" w:hAnsi="Arial" w:cs="Arial" w:eastAsia="Arial" w:hint="default"/>
          <w:sz w:val="18"/>
          <w:szCs w:val="18"/>
        </w:rPr>
      </w:r>
      <w:r>
        <w:rPr>
          <w:rFonts w:ascii="Arial" w:hAnsi="Arial" w:cs="Arial" w:eastAsia="Arial" w:hint="default"/>
          <w:sz w:val="18"/>
          <w:szCs w:val="18"/>
          <w:u w:val="single" w:color="000000"/>
        </w:rPr>
        <w:t> </w:t>
        <w:tab/>
        <w:t>-</w:t>
      </w:r>
      <w:r>
        <w:rPr>
          <w:rFonts w:ascii="Arial" w:hAnsi="Arial" w:cs="Arial" w:eastAsia="Arial" w:hint="default"/>
          <w:sz w:val="18"/>
          <w:szCs w:val="18"/>
        </w:rPr>
      </w:r>
      <w:r>
        <w:rPr>
          <w:rFonts w:ascii="Arial" w:hAnsi="Arial" w:cs="Arial" w:eastAsia="Arial" w:hint="default"/>
          <w:sz w:val="18"/>
          <w:szCs w:val="18"/>
          <w:u w:val="single" w:color="000000"/>
        </w:rPr>
        <w:t> </w:t>
        <w:tab/>
        <w:t>-</w:t>
        <w:tab/>
      </w:r>
      <w:r>
        <w:rPr>
          <w:rFonts w:ascii="Arial" w:hAnsi="Arial" w:cs="Arial" w:eastAsia="Arial" w:hint="default"/>
          <w:sz w:val="18"/>
          <w:szCs w:val="18"/>
        </w:rPr>
      </w:r>
    </w:p>
    <w:p>
      <w:pPr>
        <w:spacing w:line="240" w:lineRule="auto" w:before="11"/>
        <w:rPr>
          <w:rFonts w:ascii="Arial" w:hAnsi="Arial" w:cs="Arial" w:eastAsia="Arial" w:hint="default"/>
          <w:sz w:val="12"/>
          <w:szCs w:val="12"/>
        </w:rPr>
      </w:pPr>
    </w:p>
    <w:p>
      <w:pPr>
        <w:tabs>
          <w:tab w:pos="5367" w:val="left" w:leader="none"/>
          <w:tab w:pos="6777" w:val="left" w:leader="none"/>
          <w:tab w:pos="8052" w:val="left" w:leader="none"/>
          <w:tab w:pos="12839" w:val="left" w:leader="none"/>
          <w:tab w:pos="13849" w:val="left" w:leader="none"/>
          <w:tab w:pos="14462" w:val="left" w:leader="none"/>
        </w:tabs>
        <w:spacing w:before="47"/>
        <w:ind w:left="599" w:right="141" w:firstLine="0"/>
        <w:jc w:val="left"/>
        <w:rPr>
          <w:rFonts w:ascii="Arial" w:hAnsi="Arial" w:cs="Arial" w:eastAsia="Arial" w:hint="default"/>
          <w:sz w:val="18"/>
          <w:szCs w:val="18"/>
        </w:rPr>
      </w:pPr>
      <w:r>
        <w:rPr>
          <w:rFonts w:ascii="宋体" w:hAnsi="宋体" w:cs="宋体" w:eastAsia="宋体" w:hint="default"/>
          <w:position w:val="1"/>
          <w:sz w:val="18"/>
          <w:szCs w:val="18"/>
        </w:rPr>
        <w:t>合计</w:t>
        <w:tab/>
      </w:r>
      <w:r>
        <w:rPr>
          <w:rFonts w:ascii="Arial" w:hAnsi="Arial" w:cs="Arial" w:eastAsia="Arial" w:hint="default"/>
          <w:spacing w:val="-1"/>
          <w:sz w:val="18"/>
          <w:szCs w:val="18"/>
        </w:rPr>
        <w:t>20,542,073</w:t>
        <w:tab/>
        <w:t>(5,542,073)</w:t>
        <w:tab/>
        <w:t>15,000,000</w:t>
        <w:tab/>
      </w:r>
      <w:r>
        <w:rPr>
          <w:rFonts w:ascii="Arial" w:hAnsi="Arial" w:cs="Arial" w:eastAsia="Arial" w:hint="default"/>
          <w:sz w:val="18"/>
          <w:szCs w:val="18"/>
        </w:rPr>
        <w:t>-</w:t>
        <w:tab/>
        <w:t>-</w:t>
        <w:tab/>
      </w:r>
      <w:r>
        <w:rPr>
          <w:rFonts w:ascii="Arial" w:hAnsi="Arial" w:cs="Arial" w:eastAsia="Arial" w:hint="default"/>
          <w:spacing w:val="-1"/>
          <w:sz w:val="18"/>
          <w:szCs w:val="18"/>
        </w:rPr>
        <w:t>129,949</w:t>
      </w:r>
      <w:r>
        <w:rPr>
          <w:rFonts w:ascii="Arial" w:hAnsi="Arial" w:cs="Arial" w:eastAsia="Arial" w:hint="default"/>
          <w:sz w:val="18"/>
          <w:szCs w:val="18"/>
        </w:rPr>
      </w:r>
    </w:p>
    <w:p>
      <w:pPr>
        <w:tabs>
          <w:tab w:pos="12048" w:val="left" w:leader="none"/>
        </w:tabs>
        <w:spacing w:line="28" w:lineRule="exact"/>
        <w:ind w:left="5070" w:right="0" w:firstLine="0"/>
        <w:rPr>
          <w:rFonts w:ascii="Arial" w:hAnsi="Arial" w:cs="Arial" w:eastAsia="Arial" w:hint="default"/>
          <w:sz w:val="2"/>
          <w:szCs w:val="2"/>
        </w:rPr>
      </w:pPr>
      <w:r>
        <w:rPr>
          <w:rFonts w:ascii="Arial"/>
          <w:position w:val="0"/>
          <w:sz w:val="2"/>
        </w:rPr>
        <w:pict>
          <v:group style="width:199.15pt;height:1.45pt;mso-position-horizontal-relative:char;mso-position-vertical-relative:line" coordorigin="0,0" coordsize="3983,29">
            <v:group style="position:absolute;left:5;top:24;width:1311;height:2" coordorigin="5,24" coordsize="1311,2">
              <v:shape style="position:absolute;left:5;top:24;width:1311;height:2" coordorigin="5,24" coordsize="1311,0" path="m5,24l1315,24e" filled="false" stroked="true" strokeweight=".48pt" strokecolor="#000000">
                <v:path arrowok="t"/>
              </v:shape>
            </v:group>
            <v:group style="position:absolute;left:5;top:5;width:1311;height:2" coordorigin="5,5" coordsize="1311,2">
              <v:shape style="position:absolute;left:5;top:5;width:1311;height:2" coordorigin="5,5" coordsize="1311,0" path="m5,5l1315,5e" filled="false" stroked="true" strokeweight=".48pt" strokecolor="#000000">
                <v:path arrowok="t"/>
              </v:shape>
            </v:group>
            <v:group style="position:absolute;left:1376;top:24;width:1317;height:2" coordorigin="1376,24" coordsize="1317,2">
              <v:shape style="position:absolute;left:1376;top:24;width:1317;height:2" coordorigin="1376,24" coordsize="1317,0" path="m1376,24l2693,24e" filled="false" stroked="true" strokeweight=".48pt" strokecolor="#000000">
                <v:path arrowok="t"/>
              </v:shape>
            </v:group>
            <v:group style="position:absolute;left:1376;top:5;width:1317;height:2" coordorigin="1376,5" coordsize="1317,2">
              <v:shape style="position:absolute;left:1376;top:5;width:1317;height:2" coordorigin="1376,5" coordsize="1317,0" path="m1376,5l2693,5e" filled="false" stroked="true" strokeweight=".48pt" strokecolor="#000000">
                <v:path arrowok="t"/>
              </v:shape>
            </v:group>
            <v:group style="position:absolute;left:2762;top:24;width:1216;height:2" coordorigin="2762,24" coordsize="1216,2">
              <v:shape style="position:absolute;left:2762;top:24;width:1216;height:2" coordorigin="2762,24" coordsize="1216,0" path="m2762,24l3978,24e" filled="false" stroked="true" strokeweight=".48pt" strokecolor="#000000">
                <v:path arrowok="t"/>
              </v:shape>
            </v:group>
            <v:group style="position:absolute;left:2762;top:5;width:1216;height:2" coordorigin="2762,5" coordsize="1216,2">
              <v:shape style="position:absolute;left:2762;top:5;width:1216;height:2" coordorigin="2762,5" coordsize="1216,0" path="m2762,5l3978,5e" filled="false" stroked="true" strokeweight=".48pt" strokecolor="#000000">
                <v:path arrowok="t"/>
              </v:shape>
            </v:group>
          </v:group>
        </w:pict>
      </w:r>
      <w:r>
        <w:rPr>
          <w:rFonts w:ascii="Arial"/>
          <w:position w:val="0"/>
          <w:sz w:val="2"/>
        </w:rPr>
      </w:r>
      <w:r>
        <w:rPr>
          <w:rFonts w:ascii="Arial"/>
          <w:position w:val="0"/>
          <w:sz w:val="2"/>
        </w:rPr>
        <w:tab/>
      </w:r>
      <w:r>
        <w:rPr>
          <w:rFonts w:ascii="Arial"/>
          <w:position w:val="0"/>
          <w:sz w:val="2"/>
        </w:rPr>
        <w:pict>
          <v:group style="width:159.75pt;height:1.45pt;mso-position-horizontal-relative:char;mso-position-vertical-relative:line" coordorigin="0,0" coordsize="3195,29">
            <v:group style="position:absolute;left:5;top:24;width:932;height:2" coordorigin="5,24" coordsize="932,2">
              <v:shape style="position:absolute;left:5;top:24;width:932;height:2" coordorigin="5,24" coordsize="932,0" path="m5,24l936,24e" filled="false" stroked="true" strokeweight=".48pt" strokecolor="#000000">
                <v:path arrowok="t"/>
              </v:shape>
            </v:group>
            <v:group style="position:absolute;left:5;top:5;width:932;height:2" coordorigin="5,5" coordsize="932,2">
              <v:shape style="position:absolute;left:5;top:5;width:932;height:2" coordorigin="5,5" coordsize="932,0" path="m5,5l936,5e" filled="false" stroked="true" strokeweight=".48pt" strokecolor="#000000">
                <v:path arrowok="t"/>
              </v:shape>
            </v:group>
            <v:group style="position:absolute;left:1001;top:24;width:957;height:2" coordorigin="1001,24" coordsize="957,2">
              <v:shape style="position:absolute;left:1001;top:24;width:957;height:2" coordorigin="1001,24" coordsize="957,0" path="m1001,24l1957,24e" filled="false" stroked="true" strokeweight=".48pt" strokecolor="#000000">
                <v:path arrowok="t"/>
              </v:shape>
            </v:group>
            <v:group style="position:absolute;left:1001;top:5;width:957;height:2" coordorigin="1001,5" coordsize="957,2">
              <v:shape style="position:absolute;left:1001;top:5;width:957;height:2" coordorigin="1001,5" coordsize="957,0" path="m1001,5l1957,5e" filled="false" stroked="true" strokeweight=".48pt" strokecolor="#000000">
                <v:path arrowok="t"/>
              </v:shape>
            </v:group>
            <v:group style="position:absolute;left:2022;top:24;width:1168;height:2" coordorigin="2022,24" coordsize="1168,2">
              <v:shape style="position:absolute;left:2022;top:24;width:1168;height:2" coordorigin="2022,24" coordsize="1168,0" path="m2022,24l3190,24e" filled="false" stroked="true" strokeweight=".48pt" strokecolor="#000000">
                <v:path arrowok="t"/>
              </v:shape>
            </v:group>
            <v:group style="position:absolute;left:2022;top:5;width:1168;height:2" coordorigin="2022,5" coordsize="1168,2">
              <v:shape style="position:absolute;left:2022;top:5;width:1168;height:2" coordorigin="2022,5" coordsize="1168,0" path="m2022,5l3190,5e" filled="false" stroked="true" strokeweight=".48pt" strokecolor="#000000">
                <v:path arrowok="t"/>
              </v:shape>
            </v:group>
          </v:group>
        </w:pict>
      </w:r>
      <w:r>
        <w:rPr>
          <w:rFonts w:ascii="Arial"/>
          <w:position w:val="0"/>
          <w:sz w:val="2"/>
        </w:rPr>
      </w:r>
    </w:p>
    <w:p>
      <w:pPr>
        <w:spacing w:line="240" w:lineRule="auto" w:before="9"/>
        <w:rPr>
          <w:rFonts w:ascii="Arial" w:hAnsi="Arial" w:cs="Arial" w:eastAsia="Arial" w:hint="default"/>
          <w:sz w:val="14"/>
          <w:szCs w:val="14"/>
        </w:rPr>
      </w:pPr>
    </w:p>
    <w:p>
      <w:pPr>
        <w:pStyle w:val="BodyText"/>
        <w:spacing w:line="240" w:lineRule="auto" w:before="31"/>
        <w:ind w:left="568" w:right="141"/>
        <w:jc w:val="left"/>
      </w:pPr>
      <w:r>
        <w:rPr/>
        <w:t>注</w:t>
      </w:r>
      <w:r>
        <w:rPr>
          <w:spacing w:val="-58"/>
        </w:rPr>
        <w:t> </w:t>
      </w:r>
      <w:r>
        <w:rPr>
          <w:rFonts w:ascii="Arial" w:hAnsi="Arial" w:cs="Arial" w:eastAsia="Arial" w:hint="default"/>
        </w:rPr>
        <w:t>1</w:t>
      </w:r>
      <w:r>
        <w:rPr/>
        <w:t>：上述持股比例及表决权比例指本公司所属子公司中讯设计院直接持有广东发展银行以及重庆重邮信科股份的比例。</w:t>
      </w:r>
    </w:p>
    <w:p>
      <w:pPr>
        <w:spacing w:line="240" w:lineRule="auto" w:before="10"/>
        <w:rPr>
          <w:rFonts w:ascii="宋体" w:hAnsi="宋体" w:cs="宋体" w:eastAsia="宋体" w:hint="default"/>
          <w:sz w:val="18"/>
          <w:szCs w:val="18"/>
        </w:rPr>
      </w:pPr>
    </w:p>
    <w:p>
      <w:pPr>
        <w:pStyle w:val="BodyText"/>
        <w:spacing w:line="284" w:lineRule="exact"/>
        <w:ind w:left="1197" w:right="141" w:hanging="630"/>
        <w:jc w:val="left"/>
      </w:pPr>
      <w:r>
        <w:rPr/>
        <w:t>注</w:t>
      </w:r>
      <w:r>
        <w:rPr>
          <w:spacing w:val="-39"/>
        </w:rPr>
        <w:t> </w:t>
      </w:r>
      <w:r>
        <w:rPr>
          <w:rFonts w:ascii="Arial" w:hAnsi="Arial" w:cs="Arial" w:eastAsia="Arial" w:hint="default"/>
        </w:rPr>
        <w:t>2</w:t>
      </w:r>
      <w:r>
        <w:rPr/>
        <w:t>：如附注一（</w:t>
      </w:r>
      <w:r>
        <w:rPr>
          <w:rFonts w:ascii="Arial" w:hAnsi="Arial" w:cs="Arial" w:eastAsia="Arial" w:hint="default"/>
        </w:rPr>
        <w:t>6</w:t>
      </w:r>
      <w:r>
        <w:rPr/>
        <w:t>）所述，于</w:t>
      </w:r>
      <w:r>
        <w:rPr>
          <w:spacing w:val="-39"/>
        </w:rPr>
        <w:t> </w:t>
      </w:r>
      <w:r>
        <w:rPr>
          <w:rFonts w:ascii="Arial" w:hAnsi="Arial" w:cs="Arial" w:eastAsia="Arial" w:hint="default"/>
        </w:rPr>
        <w:t>2009</w:t>
      </w:r>
      <w:r>
        <w:rPr>
          <w:rFonts w:ascii="Arial" w:hAnsi="Arial" w:cs="Arial" w:eastAsia="Arial" w:hint="default"/>
          <w:spacing w:val="10"/>
        </w:rPr>
        <w:t> </w:t>
      </w:r>
      <w:r>
        <w:rPr/>
        <w:t>年</w:t>
      </w:r>
      <w:r>
        <w:rPr>
          <w:spacing w:val="-39"/>
        </w:rPr>
        <w:t> </w:t>
      </w:r>
      <w:r>
        <w:rPr>
          <w:rFonts w:ascii="Arial" w:hAnsi="Arial" w:cs="Arial" w:eastAsia="Arial" w:hint="default"/>
        </w:rPr>
        <w:t>1</w:t>
      </w:r>
      <w:r>
        <w:rPr>
          <w:rFonts w:ascii="Arial" w:hAnsi="Arial" w:cs="Arial" w:eastAsia="Arial" w:hint="default"/>
          <w:spacing w:val="10"/>
        </w:rPr>
        <w:t> </w:t>
      </w:r>
      <w:r>
        <w:rPr/>
        <w:t>月，联通运营公司完成对中讯设计院的收购。中讯设计院持有的对中邮伟业、深圳捷凯、广东发展银行和重庆</w:t>
      </w:r>
      <w:r>
        <w:rPr>
          <w:w w:val="99"/>
        </w:rPr>
        <w:t> </w:t>
      </w:r>
      <w:r>
        <w:rPr/>
        <w:t>重邮信科的长期股权投资亦被并入本集团的合并财务报表当中。</w:t>
      </w:r>
    </w:p>
    <w:p>
      <w:pPr>
        <w:pStyle w:val="BodyText"/>
        <w:spacing w:line="294" w:lineRule="exact" w:before="132"/>
        <w:ind w:left="1198" w:right="0"/>
        <w:jc w:val="left"/>
        <w:rPr>
          <w:rFonts w:ascii="Arial" w:hAnsi="Arial" w:cs="Arial" w:eastAsia="Arial" w:hint="default"/>
        </w:rPr>
      </w:pPr>
      <w:r>
        <w:rPr/>
        <w:t>于</w:t>
      </w:r>
      <w:r>
        <w:rPr>
          <w:spacing w:val="-37"/>
        </w:rPr>
        <w:t> </w:t>
      </w:r>
      <w:r>
        <w:rPr>
          <w:rFonts w:ascii="Arial" w:hAnsi="Arial" w:cs="Arial" w:eastAsia="Arial" w:hint="default"/>
        </w:rPr>
        <w:t>2009</w:t>
      </w:r>
      <w:r>
        <w:rPr>
          <w:rFonts w:ascii="Arial" w:hAnsi="Arial" w:cs="Arial" w:eastAsia="Arial" w:hint="default"/>
          <w:spacing w:val="13"/>
        </w:rPr>
        <w:t> </w:t>
      </w:r>
      <w:r>
        <w:rPr/>
        <w:t>年</w:t>
      </w:r>
      <w:r>
        <w:rPr>
          <w:spacing w:val="-36"/>
        </w:rPr>
        <w:t> </w:t>
      </w:r>
      <w:r>
        <w:rPr>
          <w:rFonts w:ascii="Arial" w:hAnsi="Arial" w:cs="Arial" w:eastAsia="Arial" w:hint="default"/>
        </w:rPr>
        <w:t>12</w:t>
      </w:r>
      <w:r>
        <w:rPr>
          <w:rFonts w:ascii="Arial" w:hAnsi="Arial" w:cs="Arial" w:eastAsia="Arial" w:hint="default"/>
          <w:spacing w:val="12"/>
        </w:rPr>
        <w:t> </w:t>
      </w:r>
      <w:r>
        <w:rPr/>
        <w:t>月</w:t>
      </w:r>
      <w:r>
        <w:rPr>
          <w:spacing w:val="-37"/>
        </w:rPr>
        <w:t> </w:t>
      </w:r>
      <w:r>
        <w:rPr>
          <w:rFonts w:ascii="Arial" w:hAnsi="Arial" w:cs="Arial" w:eastAsia="Arial" w:hint="default"/>
        </w:rPr>
        <w:t>31</w:t>
      </w:r>
      <w:r>
        <w:rPr>
          <w:rFonts w:ascii="Arial" w:hAnsi="Arial" w:cs="Arial" w:eastAsia="Arial" w:hint="default"/>
          <w:spacing w:val="12"/>
        </w:rPr>
        <w:t> </w:t>
      </w:r>
      <w:r>
        <w:rPr/>
        <w:t>日，中讯设计院对中邮伟业、广东发展银行和重庆重邮信科</w:t>
      </w:r>
      <w:r>
        <w:rPr>
          <w:spacing w:val="-35"/>
        </w:rPr>
        <w:t> </w:t>
      </w:r>
      <w:r>
        <w:rPr>
          <w:rFonts w:ascii="Arial" w:hAnsi="Arial" w:cs="Arial" w:eastAsia="Arial" w:hint="default"/>
        </w:rPr>
        <w:t>3</w:t>
      </w:r>
      <w:r>
        <w:rPr>
          <w:rFonts w:ascii="Arial" w:hAnsi="Arial" w:cs="Arial" w:eastAsia="Arial" w:hint="default"/>
          <w:spacing w:val="12"/>
        </w:rPr>
        <w:t> </w:t>
      </w:r>
      <w:r>
        <w:rPr/>
        <w:t>家被投资单位均不具有控制、共同控制或重大影响，且对这</w:t>
      </w:r>
      <w:r>
        <w:rPr>
          <w:spacing w:val="-37"/>
        </w:rPr>
        <w:t> </w:t>
      </w:r>
      <w:r>
        <w:rPr>
          <w:rFonts w:ascii="Arial" w:hAnsi="Arial" w:cs="Arial" w:eastAsia="Arial" w:hint="default"/>
        </w:rPr>
        <w:t>3</w:t>
      </w:r>
    </w:p>
    <w:p>
      <w:pPr>
        <w:pStyle w:val="BodyText"/>
        <w:spacing w:line="285" w:lineRule="exact"/>
        <w:ind w:left="1198" w:right="0"/>
        <w:jc w:val="left"/>
      </w:pPr>
      <w:r>
        <w:rPr>
          <w:spacing w:val="-1"/>
        </w:rPr>
        <w:t>家被投资单位的长期股权投资不存在活跃市场报价、其公允价值也不能可靠计量，故本集团采用成本法核算对</w:t>
      </w:r>
      <w:r>
        <w:rPr>
          <w:spacing w:val="-66"/>
        </w:rPr>
        <w:t> </w:t>
      </w:r>
      <w:r>
        <w:rPr>
          <w:rFonts w:ascii="Arial" w:hAnsi="Arial" w:cs="Arial" w:eastAsia="Arial" w:hint="default"/>
        </w:rPr>
        <w:t>3</w:t>
      </w:r>
      <w:r>
        <w:rPr>
          <w:rFonts w:ascii="Arial" w:hAnsi="Arial" w:cs="Arial" w:eastAsia="Arial" w:hint="default"/>
          <w:spacing w:val="-18"/>
        </w:rPr>
        <w:t> </w:t>
      </w:r>
      <w:r>
        <w:rPr>
          <w:spacing w:val="-2"/>
        </w:rPr>
        <w:t>家被投资单位的长期股权投资，另</w:t>
      </w:r>
    </w:p>
    <w:p>
      <w:pPr>
        <w:pStyle w:val="BodyText"/>
        <w:spacing w:line="286" w:lineRule="exact"/>
        <w:ind w:left="1198" w:right="0"/>
        <w:jc w:val="left"/>
      </w:pPr>
      <w:r>
        <w:rPr/>
        <w:t>外，中邮伟业于</w:t>
      </w:r>
      <w:r>
        <w:rPr>
          <w:spacing w:val="-59"/>
        </w:rPr>
        <w:t> </w:t>
      </w:r>
      <w:r>
        <w:rPr>
          <w:rFonts w:ascii="Arial" w:hAnsi="Arial" w:cs="Arial" w:eastAsia="Arial" w:hint="default"/>
        </w:rPr>
        <w:t>2009</w:t>
      </w:r>
      <w:r>
        <w:rPr>
          <w:rFonts w:ascii="Arial" w:hAnsi="Arial" w:cs="Arial" w:eastAsia="Arial" w:hint="default"/>
          <w:spacing w:val="-10"/>
        </w:rPr>
        <w:t> </w:t>
      </w:r>
      <w:r>
        <w:rPr/>
        <w:t>年</w:t>
      </w:r>
      <w:r>
        <w:rPr>
          <w:spacing w:val="-59"/>
        </w:rPr>
        <w:t> </w:t>
      </w:r>
      <w:r>
        <w:rPr>
          <w:rFonts w:ascii="Arial" w:hAnsi="Arial" w:cs="Arial" w:eastAsia="Arial" w:hint="default"/>
        </w:rPr>
        <w:t>6</w:t>
      </w:r>
      <w:r>
        <w:rPr>
          <w:rFonts w:ascii="Arial" w:hAnsi="Arial" w:cs="Arial" w:eastAsia="Arial" w:hint="default"/>
          <w:spacing w:val="-10"/>
        </w:rPr>
        <w:t> </w:t>
      </w:r>
      <w:r>
        <w:rPr/>
        <w:t>月完成了清算程序，故中讯设计院于本年度处置了该投资。于</w:t>
      </w:r>
      <w:r>
        <w:rPr>
          <w:spacing w:val="-58"/>
        </w:rPr>
        <w:t> </w:t>
      </w:r>
      <w:r>
        <w:rPr>
          <w:rFonts w:ascii="Arial" w:hAnsi="Arial" w:cs="Arial" w:eastAsia="Arial" w:hint="default"/>
        </w:rPr>
        <w:t>2008</w:t>
      </w:r>
      <w:r>
        <w:rPr>
          <w:rFonts w:ascii="Arial" w:hAnsi="Arial" w:cs="Arial" w:eastAsia="Arial" w:hint="default"/>
          <w:spacing w:val="-10"/>
        </w:rPr>
        <w:t> </w:t>
      </w:r>
      <w:r>
        <w:rPr/>
        <w:t>年</w:t>
      </w:r>
      <w:r>
        <w:rPr>
          <w:spacing w:val="-59"/>
        </w:rPr>
        <w:t> </w:t>
      </w:r>
      <w:r>
        <w:rPr>
          <w:rFonts w:ascii="Arial" w:hAnsi="Arial" w:cs="Arial" w:eastAsia="Arial" w:hint="default"/>
        </w:rPr>
        <w:t>12</w:t>
      </w:r>
      <w:r>
        <w:rPr>
          <w:rFonts w:ascii="Arial" w:hAnsi="Arial" w:cs="Arial" w:eastAsia="Arial" w:hint="default"/>
          <w:spacing w:val="-10"/>
        </w:rPr>
        <w:t> </w:t>
      </w:r>
      <w:r>
        <w:rPr/>
        <w:t>月</w:t>
      </w:r>
      <w:r>
        <w:rPr>
          <w:spacing w:val="-59"/>
        </w:rPr>
        <w:t> </w:t>
      </w:r>
      <w:r>
        <w:rPr>
          <w:rFonts w:ascii="Arial" w:hAnsi="Arial" w:cs="Arial" w:eastAsia="Arial" w:hint="default"/>
        </w:rPr>
        <w:t>31</w:t>
      </w:r>
      <w:r>
        <w:rPr>
          <w:rFonts w:ascii="Arial" w:hAnsi="Arial" w:cs="Arial" w:eastAsia="Arial" w:hint="default"/>
          <w:spacing w:val="-10"/>
        </w:rPr>
        <w:t> </w:t>
      </w:r>
      <w:r>
        <w:rPr/>
        <w:t>日，虽然中讯设计院对深圳捷凯的投资</w:t>
      </w:r>
    </w:p>
    <w:p>
      <w:pPr>
        <w:pStyle w:val="BodyText"/>
        <w:spacing w:line="285" w:lineRule="exact"/>
        <w:ind w:left="1198" w:right="0"/>
        <w:jc w:val="left"/>
      </w:pPr>
      <w:r>
        <w:rPr/>
        <w:t>控股比例为</w:t>
      </w:r>
      <w:r>
        <w:rPr>
          <w:spacing w:val="-56"/>
        </w:rPr>
        <w:t> </w:t>
      </w:r>
      <w:r>
        <w:rPr>
          <w:rFonts w:ascii="Arial" w:hAnsi="Arial" w:cs="Arial" w:eastAsia="Arial" w:hint="default"/>
        </w:rPr>
        <w:t>100%</w:t>
      </w:r>
      <w:r>
        <w:rPr/>
        <w:t>，但由于深圳捷凯于</w:t>
      </w:r>
      <w:r>
        <w:rPr>
          <w:spacing w:val="-57"/>
        </w:rPr>
        <w:t> </w:t>
      </w:r>
      <w:r>
        <w:rPr>
          <w:rFonts w:ascii="Arial" w:hAnsi="Arial" w:cs="Arial" w:eastAsia="Arial" w:hint="default"/>
        </w:rPr>
        <w:t>2006</w:t>
      </w:r>
      <w:r>
        <w:rPr>
          <w:rFonts w:ascii="Arial" w:hAnsi="Arial" w:cs="Arial" w:eastAsia="Arial" w:hint="default"/>
          <w:spacing w:val="-8"/>
        </w:rPr>
        <w:t> </w:t>
      </w:r>
      <w:r>
        <w:rPr/>
        <w:t>年</w:t>
      </w:r>
      <w:r>
        <w:rPr>
          <w:spacing w:val="-57"/>
        </w:rPr>
        <w:t> </w:t>
      </w: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26</w:t>
      </w:r>
      <w:r>
        <w:rPr>
          <w:rFonts w:ascii="Arial" w:hAnsi="Arial" w:cs="Arial" w:eastAsia="Arial" w:hint="default"/>
          <w:spacing w:val="-8"/>
        </w:rPr>
        <w:t> </w:t>
      </w:r>
      <w:r>
        <w:rPr/>
        <w:t>日进入清算程序，中讯设计院不能再对其实施控制，故深圳捷凯不纳入本集团合并范围。</w:t>
      </w:r>
    </w:p>
    <w:p>
      <w:pPr>
        <w:pStyle w:val="BodyText"/>
        <w:spacing w:line="295" w:lineRule="exact"/>
        <w:ind w:left="1198" w:right="141"/>
        <w:jc w:val="left"/>
      </w:pPr>
      <w:r>
        <w:rPr/>
        <w:t>深圳捷凯已于</w:t>
      </w:r>
      <w:r>
        <w:rPr>
          <w:spacing w:val="-57"/>
        </w:rPr>
        <w:t> </w:t>
      </w:r>
      <w:r>
        <w:rPr>
          <w:rFonts w:ascii="Arial" w:hAnsi="Arial" w:cs="Arial" w:eastAsia="Arial" w:hint="default"/>
        </w:rPr>
        <w:t>2009</w:t>
      </w:r>
      <w:r>
        <w:rPr>
          <w:rFonts w:ascii="Arial" w:hAnsi="Arial" w:cs="Arial" w:eastAsia="Arial" w:hint="default"/>
          <w:spacing w:val="-8"/>
        </w:rPr>
        <w:t> </w:t>
      </w:r>
      <w:r>
        <w:rPr/>
        <w:t>年下半年完成清算程序。</w:t>
      </w:r>
    </w:p>
    <w:p>
      <w:pPr>
        <w:spacing w:line="240" w:lineRule="auto" w:before="1"/>
        <w:rPr>
          <w:rFonts w:ascii="宋体" w:hAnsi="宋体" w:cs="宋体" w:eastAsia="宋体" w:hint="default"/>
          <w:sz w:val="27"/>
          <w:szCs w:val="27"/>
        </w:rPr>
      </w:pPr>
    </w:p>
    <w:p>
      <w:pPr>
        <w:pStyle w:val="BodyText"/>
        <w:spacing w:line="240" w:lineRule="auto" w:before="71"/>
        <w:ind w:left="7461" w:right="7491"/>
        <w:jc w:val="center"/>
        <w:rPr>
          <w:rFonts w:ascii="Arial" w:hAnsi="Arial" w:cs="Arial" w:eastAsia="Arial" w:hint="default"/>
        </w:rPr>
      </w:pPr>
      <w:r>
        <w:rPr>
          <w:rFonts w:ascii="Arial"/>
        </w:rPr>
        <w:t>106</w:t>
      </w:r>
    </w:p>
    <w:p>
      <w:pPr>
        <w:spacing w:after="0" w:line="240" w:lineRule="auto"/>
        <w:jc w:val="center"/>
        <w:rPr>
          <w:rFonts w:ascii="Arial" w:hAnsi="Arial" w:cs="Arial" w:eastAsia="Arial" w:hint="default"/>
        </w:rPr>
        <w:sectPr>
          <w:type w:val="continuous"/>
          <w:pgSz w:w="16840" w:h="11910" w:orient="landscape"/>
          <w:pgMar w:top="1600" w:bottom="280" w:left="460" w:right="1020"/>
        </w:sectPr>
      </w:pPr>
    </w:p>
    <w:p>
      <w:pPr>
        <w:spacing w:line="240" w:lineRule="auto" w:before="11"/>
        <w:rPr>
          <w:rFonts w:ascii="Arial" w:hAnsi="Arial" w:cs="Arial" w:eastAsia="Arial" w:hint="default"/>
          <w:sz w:val="16"/>
          <w:szCs w:val="16"/>
        </w:rPr>
      </w:pPr>
    </w:p>
    <w:tbl>
      <w:tblPr>
        <w:tblW w:w="0" w:type="auto"/>
        <w:jc w:val="left"/>
        <w:tblInd w:w="107" w:type="dxa"/>
        <w:tblLayout w:type="fixed"/>
        <w:tblCellMar>
          <w:top w:w="0" w:type="dxa"/>
          <w:left w:w="0" w:type="dxa"/>
          <w:bottom w:w="0" w:type="dxa"/>
          <w:right w:w="0" w:type="dxa"/>
        </w:tblCellMar>
        <w:tblLook w:val="01E0"/>
      </w:tblPr>
      <w:tblGrid>
        <w:gridCol w:w="2331"/>
        <w:gridCol w:w="1638"/>
        <w:gridCol w:w="232"/>
        <w:gridCol w:w="1541"/>
        <w:gridCol w:w="236"/>
        <w:gridCol w:w="1512"/>
        <w:gridCol w:w="229"/>
        <w:gridCol w:w="1615"/>
      </w:tblGrid>
      <w:tr>
        <w:trPr>
          <w:trHeight w:val="843"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黑体" w:hAnsi="黑体" w:cs="黑体" w:eastAsia="黑体" w:hint="default"/>
                <w:sz w:val="22"/>
                <w:szCs w:val="22"/>
              </w:rPr>
            </w:pPr>
            <w:r>
              <w:rPr>
                <w:rFonts w:ascii="Arial" w:hAnsi="Arial" w:cs="Arial" w:eastAsia="Arial" w:hint="default"/>
                <w:sz w:val="22"/>
                <w:szCs w:val="22"/>
              </w:rPr>
              <w:t>9</w:t>
            </w:r>
            <w:r>
              <w:rPr>
                <w:rFonts w:ascii="黑体" w:hAnsi="黑体" w:cs="黑体" w:eastAsia="黑体" w:hint="default"/>
                <w:sz w:val="22"/>
                <w:szCs w:val="22"/>
              </w:rPr>
              <w:t>、固定资产</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2"/>
              <w:ind w:right="0"/>
              <w:jc w:val="left"/>
              <w:rPr>
                <w:rFonts w:ascii="Arial" w:hAnsi="Arial" w:cs="Arial" w:eastAsia="Arial" w:hint="default"/>
                <w:sz w:val="14"/>
                <w:szCs w:val="14"/>
              </w:rPr>
            </w:pPr>
          </w:p>
          <w:p>
            <w:pPr>
              <w:pStyle w:val="TableParagraph"/>
              <w:spacing w:line="240" w:lineRule="auto"/>
              <w:ind w:right="107"/>
              <w:jc w:val="righ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9"/>
                <w:sz w:val="18"/>
                <w:szCs w:val="18"/>
              </w:rPr>
              <w:t> </w:t>
            </w:r>
            <w:r>
              <w:rPr>
                <w:rFonts w:ascii="宋体" w:hAnsi="宋体" w:cs="宋体" w:eastAsia="宋体" w:hint="default"/>
                <w:sz w:val="18"/>
                <w:szCs w:val="18"/>
              </w:rPr>
              <w:t>年</w:t>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ind w:right="0"/>
              <w:jc w:val="left"/>
              <w:rPr>
                <w:rFonts w:ascii="Arial" w:hAnsi="Arial" w:cs="Arial" w:eastAsia="Arial" w:hint="default"/>
                <w:sz w:val="18"/>
                <w:szCs w:val="18"/>
              </w:rPr>
            </w:pPr>
          </w:p>
          <w:p>
            <w:pPr>
              <w:pStyle w:val="TableParagraph"/>
              <w:spacing w:line="240" w:lineRule="auto" w:before="2"/>
              <w:ind w:right="0"/>
              <w:jc w:val="left"/>
              <w:rPr>
                <w:rFonts w:ascii="Arial" w:hAnsi="Arial" w:cs="Arial" w:eastAsia="Arial" w:hint="default"/>
                <w:sz w:val="14"/>
                <w:szCs w:val="14"/>
              </w:rPr>
            </w:pPr>
          </w:p>
          <w:p>
            <w:pPr>
              <w:pStyle w:val="TableParagraph"/>
              <w:spacing w:line="240" w:lineRule="auto"/>
              <w:ind w:right="105"/>
              <w:jc w:val="righ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9"/>
                <w:sz w:val="18"/>
                <w:szCs w:val="18"/>
              </w:rPr>
              <w:t> </w:t>
            </w:r>
            <w:r>
              <w:rPr>
                <w:rFonts w:ascii="宋体" w:hAnsi="宋体" w:cs="宋体" w:eastAsia="宋体" w:hint="default"/>
                <w:sz w:val="18"/>
                <w:szCs w:val="18"/>
              </w:rPr>
              <w:t>年</w:t>
            </w:r>
          </w:p>
        </w:tc>
      </w:tr>
      <w:tr>
        <w:trPr>
          <w:trHeight w:val="238" w:hRule="exact"/>
        </w:trPr>
        <w:tc>
          <w:tcPr>
            <w:tcW w:w="2331"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single" w:sz="6" w:space="0" w:color="000000"/>
              <w:right w:val="nil" w:sz="6" w:space="0" w:color="auto"/>
            </w:tcBorders>
          </w:tcPr>
          <w:p>
            <w:pPr>
              <w:pStyle w:val="TableParagraph"/>
              <w:spacing w:line="215" w:lineRule="exact"/>
              <w:ind w:right="107"/>
              <w:jc w:val="right"/>
              <w:rPr>
                <w:rFonts w:ascii="宋体" w:hAnsi="宋体" w:cs="宋体" w:eastAsia="宋体" w:hint="default"/>
                <w:sz w:val="18"/>
                <w:szCs w:val="18"/>
              </w:rPr>
            </w:pP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single" w:sz="6" w:space="0" w:color="000000"/>
              <w:right w:val="nil" w:sz="6" w:space="0" w:color="auto"/>
            </w:tcBorders>
          </w:tcPr>
          <w:p>
            <w:pPr>
              <w:pStyle w:val="TableParagraph"/>
              <w:spacing w:line="203" w:lineRule="exact"/>
              <w:ind w:right="98"/>
              <w:jc w:val="right"/>
              <w:rPr>
                <w:rFonts w:ascii="宋体" w:hAnsi="宋体" w:cs="宋体" w:eastAsia="宋体" w:hint="default"/>
                <w:sz w:val="18"/>
                <w:szCs w:val="18"/>
              </w:rPr>
            </w:pPr>
            <w:r>
              <w:rPr>
                <w:rFonts w:ascii="宋体" w:hAnsi="宋体" w:cs="宋体" w:eastAsia="宋体" w:hint="default"/>
                <w:sz w:val="18"/>
                <w:szCs w:val="18"/>
              </w:rPr>
              <w:t>本年增加</w:t>
            </w: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single" w:sz="6" w:space="0" w:color="000000"/>
              <w:right w:val="nil" w:sz="6" w:space="0" w:color="auto"/>
            </w:tcBorders>
          </w:tcPr>
          <w:p>
            <w:pPr>
              <w:pStyle w:val="TableParagraph"/>
              <w:spacing w:line="203" w:lineRule="exact"/>
              <w:ind w:right="98"/>
              <w:jc w:val="right"/>
              <w:rPr>
                <w:rFonts w:ascii="宋体" w:hAnsi="宋体" w:cs="宋体" w:eastAsia="宋体" w:hint="default"/>
                <w:sz w:val="18"/>
                <w:szCs w:val="18"/>
              </w:rPr>
            </w:pPr>
            <w:r>
              <w:rPr>
                <w:rFonts w:ascii="宋体" w:hAnsi="宋体" w:cs="宋体" w:eastAsia="宋体" w:hint="default"/>
                <w:sz w:val="18"/>
                <w:szCs w:val="18"/>
              </w:rPr>
              <w:t>本年减少</w:t>
            </w: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single" w:sz="6" w:space="0" w:color="000000"/>
              <w:right w:val="nil" w:sz="6" w:space="0" w:color="auto"/>
            </w:tcBorders>
          </w:tcPr>
          <w:p>
            <w:pPr>
              <w:pStyle w:val="TableParagraph"/>
              <w:spacing w:line="215" w:lineRule="exact"/>
              <w:ind w:right="105"/>
              <w:jc w:val="right"/>
              <w:rPr>
                <w:rFonts w:ascii="宋体" w:hAnsi="宋体" w:cs="宋体" w:eastAsia="宋体" w:hint="default"/>
                <w:sz w:val="18"/>
                <w:szCs w:val="18"/>
              </w:rPr>
            </w:pP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tc>
      </w:tr>
      <w:tr>
        <w:trPr>
          <w:trHeight w:val="240" w:hRule="exact"/>
        </w:trPr>
        <w:tc>
          <w:tcPr>
            <w:tcW w:w="2331" w:type="dxa"/>
            <w:tcBorders>
              <w:top w:val="nil" w:sz="6" w:space="0" w:color="auto"/>
              <w:left w:val="nil" w:sz="6" w:space="0" w:color="auto"/>
              <w:bottom w:val="nil" w:sz="6" w:space="0" w:color="auto"/>
              <w:right w:val="nil" w:sz="6" w:space="0" w:color="auto"/>
            </w:tcBorders>
          </w:tcPr>
          <w:p>
            <w:pPr/>
          </w:p>
        </w:tc>
        <w:tc>
          <w:tcPr>
            <w:tcW w:w="1638" w:type="dxa"/>
            <w:tcBorders>
              <w:top w:val="single" w:sz="6" w:space="0" w:color="000000"/>
              <w:left w:val="nil" w:sz="6" w:space="0" w:color="auto"/>
              <w:bottom w:val="nil" w:sz="6" w:space="0" w:color="auto"/>
              <w:right w:val="nil" w:sz="6" w:space="0" w:color="auto"/>
            </w:tcBorders>
          </w:tcPr>
          <w:p>
            <w:pPr>
              <w:pStyle w:val="TableParagraph"/>
              <w:spacing w:line="207" w:lineRule="exact"/>
              <w:ind w:right="107"/>
              <w:jc w:val="right"/>
              <w:rPr>
                <w:rFonts w:ascii="宋体" w:hAnsi="宋体" w:cs="宋体" w:eastAsia="宋体" w:hint="default"/>
                <w:sz w:val="18"/>
                <w:szCs w:val="18"/>
              </w:rPr>
            </w:pPr>
            <w:r>
              <w:rPr>
                <w:rFonts w:ascii="宋体" w:hAnsi="宋体" w:cs="宋体" w:eastAsia="宋体" w:hint="default"/>
                <w:sz w:val="18"/>
                <w:szCs w:val="18"/>
              </w:rPr>
              <w:t>（经重列）</w:t>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single" w:sz="6" w:space="0" w:color="000000"/>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single" w:sz="6" w:space="0" w:color="000000"/>
              <w:left w:val="nil" w:sz="6" w:space="0" w:color="auto"/>
              <w:bottom w:val="nil" w:sz="6" w:space="0" w:color="auto"/>
              <w:right w:val="nil" w:sz="6" w:space="0" w:color="auto"/>
            </w:tcBorders>
          </w:tcPr>
          <w:p>
            <w:pP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single" w:sz="6" w:space="0" w:color="000000"/>
              <w:left w:val="nil" w:sz="6" w:space="0" w:color="auto"/>
              <w:bottom w:val="nil" w:sz="6" w:space="0" w:color="auto"/>
              <w:right w:val="nil" w:sz="6" w:space="0" w:color="auto"/>
            </w:tcBorders>
          </w:tcPr>
          <w:p>
            <w:pPr/>
          </w:p>
        </w:tc>
      </w:tr>
      <w:tr>
        <w:trPr>
          <w:trHeight w:val="233"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06" w:lineRule="exact"/>
              <w:ind w:left="494" w:right="0"/>
              <w:jc w:val="left"/>
              <w:rPr>
                <w:rFonts w:ascii="宋体" w:hAnsi="宋体" w:cs="宋体" w:eastAsia="宋体" w:hint="default"/>
                <w:sz w:val="18"/>
                <w:szCs w:val="18"/>
              </w:rPr>
            </w:pPr>
            <w:r>
              <w:rPr>
                <w:rFonts w:ascii="宋体" w:hAnsi="宋体" w:cs="宋体" w:eastAsia="宋体" w:hint="default"/>
                <w:sz w:val="18"/>
                <w:szCs w:val="18"/>
              </w:rPr>
              <w:t>原价</w:t>
            </w:r>
          </w:p>
        </w:tc>
        <w:tc>
          <w:tcPr>
            <w:tcW w:w="1638" w:type="dxa"/>
            <w:tcBorders>
              <w:top w:val="nil" w:sz="6" w:space="0" w:color="auto"/>
              <w:left w:val="nil" w:sz="6" w:space="0" w:color="auto"/>
              <w:bottom w:val="nil" w:sz="6" w:space="0" w:color="auto"/>
              <w:right w:val="nil" w:sz="6" w:space="0" w:color="auto"/>
            </w:tcBorders>
          </w:tcPr>
          <w:p>
            <w:pP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
        </w:tc>
      </w:tr>
      <w:tr>
        <w:trPr>
          <w:trHeight w:val="244"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06" w:lineRule="exact"/>
              <w:ind w:left="69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61" w:right="0"/>
              <w:jc w:val="left"/>
              <w:rPr>
                <w:rFonts w:ascii="Arial" w:hAnsi="Arial" w:cs="Arial" w:eastAsia="Arial" w:hint="default"/>
                <w:sz w:val="18"/>
                <w:szCs w:val="18"/>
              </w:rPr>
            </w:pPr>
            <w:r>
              <w:rPr>
                <w:rFonts w:ascii="Arial"/>
                <w:sz w:val="18"/>
              </w:rPr>
              <w:t>46,155,669,182</w:t>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83" w:right="0"/>
              <w:jc w:val="left"/>
              <w:rPr>
                <w:rFonts w:ascii="Arial" w:hAnsi="Arial" w:cs="Arial" w:eastAsia="Arial" w:hint="default"/>
                <w:sz w:val="18"/>
                <w:szCs w:val="18"/>
              </w:rPr>
            </w:pPr>
            <w:r>
              <w:rPr>
                <w:rFonts w:ascii="Arial"/>
                <w:sz w:val="18"/>
              </w:rPr>
              <w:t>3,976,801,428</w:t>
            </w: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57"/>
              <w:jc w:val="right"/>
              <w:rPr>
                <w:rFonts w:ascii="Arial" w:hAnsi="Arial" w:cs="Arial" w:eastAsia="Arial" w:hint="default"/>
                <w:sz w:val="18"/>
                <w:szCs w:val="18"/>
              </w:rPr>
            </w:pPr>
            <w:r>
              <w:rPr>
                <w:rFonts w:ascii="Arial"/>
                <w:spacing w:val="-1"/>
                <w:sz w:val="18"/>
              </w:rPr>
              <w:t>(297,244,185)</w:t>
            </w:r>
            <w:r>
              <w:rPr>
                <w:rFonts w:ascii="Arial"/>
                <w:sz w:val="18"/>
              </w:rPr>
            </w: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49" w:right="0"/>
              <w:jc w:val="left"/>
              <w:rPr>
                <w:rFonts w:ascii="Arial" w:hAnsi="Arial" w:cs="Arial" w:eastAsia="Arial" w:hint="default"/>
                <w:sz w:val="18"/>
                <w:szCs w:val="18"/>
              </w:rPr>
            </w:pPr>
            <w:r>
              <w:rPr>
                <w:rFonts w:ascii="Arial"/>
                <w:sz w:val="18"/>
              </w:rPr>
              <w:t>49,835,226,425</w:t>
            </w:r>
          </w:p>
        </w:tc>
      </w:tr>
      <w:tr>
        <w:trPr>
          <w:trHeight w:val="233"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196" w:lineRule="exact"/>
              <w:ind w:left="692" w:right="0"/>
              <w:jc w:val="left"/>
              <w:rPr>
                <w:rFonts w:ascii="宋体" w:hAnsi="宋体" w:cs="宋体" w:eastAsia="宋体" w:hint="default"/>
                <w:sz w:val="18"/>
                <w:szCs w:val="18"/>
              </w:rPr>
            </w:pPr>
            <w:r>
              <w:rPr>
                <w:rFonts w:ascii="宋体" w:hAnsi="宋体" w:cs="宋体" w:eastAsia="宋体" w:hint="default"/>
                <w:sz w:val="18"/>
                <w:szCs w:val="18"/>
              </w:rPr>
              <w:t>通信设备</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62" w:right="0"/>
              <w:jc w:val="left"/>
              <w:rPr>
                <w:rFonts w:ascii="Arial" w:hAnsi="Arial" w:cs="Arial" w:eastAsia="Arial" w:hint="default"/>
                <w:sz w:val="18"/>
                <w:szCs w:val="18"/>
              </w:rPr>
            </w:pPr>
            <w:r>
              <w:rPr>
                <w:rFonts w:ascii="Arial"/>
                <w:sz w:val="18"/>
              </w:rPr>
              <w:t>507,463,740,413</w:t>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83" w:right="0"/>
              <w:jc w:val="left"/>
              <w:rPr>
                <w:rFonts w:ascii="Arial" w:hAnsi="Arial" w:cs="Arial" w:eastAsia="Arial" w:hint="default"/>
                <w:sz w:val="18"/>
                <w:szCs w:val="18"/>
              </w:rPr>
            </w:pPr>
            <w:r>
              <w:rPr>
                <w:rFonts w:ascii="Arial"/>
                <w:sz w:val="18"/>
              </w:rPr>
              <w:t>80,544,247,944</w:t>
            </w: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6"/>
              <w:jc w:val="right"/>
              <w:rPr>
                <w:rFonts w:ascii="Arial" w:hAnsi="Arial" w:cs="Arial" w:eastAsia="Arial" w:hint="default"/>
                <w:sz w:val="18"/>
                <w:szCs w:val="18"/>
              </w:rPr>
            </w:pPr>
            <w:r>
              <w:rPr>
                <w:rFonts w:ascii="Arial"/>
                <w:spacing w:val="-1"/>
                <w:sz w:val="18"/>
              </w:rPr>
              <w:t>(13,090,997,926)</w:t>
            </w:r>
            <w:r>
              <w:rPr>
                <w:rFonts w:ascii="Arial"/>
                <w:sz w:val="18"/>
              </w:rPr>
            </w: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50" w:right="0"/>
              <w:jc w:val="left"/>
              <w:rPr>
                <w:rFonts w:ascii="Arial" w:hAnsi="Arial" w:cs="Arial" w:eastAsia="Arial" w:hint="default"/>
                <w:sz w:val="18"/>
                <w:szCs w:val="18"/>
              </w:rPr>
            </w:pPr>
            <w:r>
              <w:rPr>
                <w:rFonts w:ascii="Arial"/>
                <w:sz w:val="18"/>
              </w:rPr>
              <w:t>574,916,990,431</w:t>
            </w:r>
          </w:p>
        </w:tc>
      </w:tr>
      <w:tr>
        <w:trPr>
          <w:trHeight w:val="241"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195" w:lineRule="exact"/>
              <w:ind w:right="377"/>
              <w:jc w:val="right"/>
              <w:rPr>
                <w:rFonts w:ascii="宋体" w:hAnsi="宋体" w:cs="宋体" w:eastAsia="宋体" w:hint="default"/>
                <w:sz w:val="18"/>
                <w:szCs w:val="18"/>
              </w:rPr>
            </w:pPr>
            <w:r>
              <w:rPr>
                <w:rFonts w:ascii="宋体" w:hAnsi="宋体" w:cs="宋体" w:eastAsia="宋体" w:hint="default"/>
                <w:sz w:val="18"/>
                <w:szCs w:val="18"/>
              </w:rPr>
              <w:t>办公设备及其他</w:t>
            </w:r>
          </w:p>
        </w:tc>
        <w:tc>
          <w:tcPr>
            <w:tcW w:w="1638" w:type="dxa"/>
            <w:tcBorders>
              <w:top w:val="nil" w:sz="6" w:space="0" w:color="auto"/>
              <w:left w:val="nil" w:sz="6" w:space="0" w:color="auto"/>
              <w:bottom w:val="nil" w:sz="6" w:space="0" w:color="auto"/>
              <w:right w:val="nil" w:sz="6" w:space="0" w:color="auto"/>
            </w:tcBorders>
          </w:tcPr>
          <w:p>
            <w:pPr>
              <w:pStyle w:val="TableParagraph"/>
              <w:tabs>
                <w:tab w:pos="254" w:val="left" w:leader="none"/>
                <w:tab w:pos="1623" w:val="left" w:leader="none"/>
              </w:tabs>
              <w:spacing w:line="240" w:lineRule="auto" w:before="14"/>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38,216,159,915</w:t>
              <w:tab/>
            </w:r>
            <w:r>
              <w:rPr>
                <w:rFonts w:ascii="Arial"/>
                <w:spacing w:val="-1"/>
                <w:sz w:val="18"/>
              </w:rPr>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tabs>
                <w:tab w:pos="282" w:val="left" w:leader="none"/>
                <w:tab w:pos="1540" w:val="left" w:leader="none"/>
              </w:tabs>
              <w:spacing w:line="240" w:lineRule="auto" w:before="14"/>
              <w:ind w:right="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4,177,423,237</w:t>
              <w:tab/>
            </w:r>
            <w:r>
              <w:rPr>
                <w:rFonts w:ascii="Arial"/>
                <w:spacing w:val="-1"/>
                <w:sz w:val="18"/>
              </w:rPr>
            </w: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tabs>
                <w:tab w:pos="333" w:val="left" w:leader="none"/>
                <w:tab w:pos="1511" w:val="left" w:leader="none"/>
              </w:tabs>
              <w:spacing w:line="240" w:lineRule="auto" w:before="14"/>
              <w:ind w:right="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(957,230,361)</w:t>
              <w:tab/>
            </w:r>
            <w:r>
              <w:rPr>
                <w:rFonts w:ascii="Arial"/>
                <w:spacing w:val="-1"/>
                <w:sz w:val="18"/>
              </w:rPr>
            </w: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tabs>
                <w:tab w:pos="1600" w:val="left" w:leader="none"/>
              </w:tabs>
              <w:spacing w:line="240" w:lineRule="auto" w:before="14"/>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8"/>
                <w:sz w:val="18"/>
                <w:u w:val="single" w:color="000000"/>
              </w:rPr>
              <w:t> </w:t>
            </w:r>
            <w:r>
              <w:rPr>
                <w:rFonts w:ascii="Arial"/>
                <w:spacing w:val="-1"/>
                <w:sz w:val="18"/>
                <w:u w:val="single" w:color="000000"/>
              </w:rPr>
              <w:t>41,436,352,791</w:t>
              <w:tab/>
            </w:r>
            <w:r>
              <w:rPr>
                <w:rFonts w:ascii="Arial"/>
                <w:spacing w:val="-1"/>
                <w:sz w:val="18"/>
              </w:rPr>
            </w:r>
          </w:p>
        </w:tc>
      </w:tr>
      <w:tr>
        <w:trPr>
          <w:trHeight w:val="352"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04" w:lineRule="exact"/>
              <w:ind w:left="69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638" w:type="dxa"/>
            <w:tcBorders>
              <w:top w:val="nil" w:sz="6" w:space="0" w:color="auto"/>
              <w:left w:val="nil" w:sz="6" w:space="0" w:color="auto"/>
              <w:bottom w:val="nil" w:sz="6" w:space="0" w:color="auto"/>
              <w:right w:val="nil" w:sz="6" w:space="0" w:color="auto"/>
            </w:tcBorders>
          </w:tcPr>
          <w:p>
            <w:pPr>
              <w:pStyle w:val="TableParagraph"/>
              <w:tabs>
                <w:tab w:pos="1623" w:val="left" w:leader="none"/>
              </w:tabs>
              <w:spacing w:line="240" w:lineRule="auto" w:before="22"/>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4"/>
                <w:sz w:val="18"/>
                <w:u w:val="single" w:color="000000"/>
              </w:rPr>
              <w:t> </w:t>
            </w:r>
            <w:r>
              <w:rPr>
                <w:rFonts w:ascii="Arial"/>
                <w:spacing w:val="-1"/>
                <w:sz w:val="18"/>
                <w:u w:val="single" w:color="000000"/>
              </w:rPr>
              <w:t>591,835,569,510</w:t>
              <w:tab/>
            </w:r>
            <w:r>
              <w:rPr>
                <w:rFonts w:ascii="Arial"/>
                <w:spacing w:val="-1"/>
                <w:sz w:val="18"/>
              </w:rPr>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tabs>
                <w:tab w:pos="1540" w:val="left" w:leader="none"/>
              </w:tabs>
              <w:spacing w:line="240" w:lineRule="auto" w:before="22"/>
              <w:ind w:right="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16"/>
                <w:sz w:val="18"/>
                <w:u w:val="single" w:color="000000"/>
              </w:rPr>
              <w:t> </w:t>
            </w:r>
            <w:r>
              <w:rPr>
                <w:rFonts w:ascii="Arial"/>
                <w:spacing w:val="-1"/>
                <w:sz w:val="18"/>
                <w:u w:val="single" w:color="000000"/>
              </w:rPr>
              <w:t>88,698,472,609</w:t>
              <w:tab/>
            </w:r>
            <w:r>
              <w:rPr>
                <w:rFonts w:ascii="Arial"/>
                <w:spacing w:val="-1"/>
                <w:sz w:val="18"/>
              </w:rPr>
            </w: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tabs>
                <w:tab w:pos="1511" w:val="left" w:leader="none"/>
              </w:tabs>
              <w:spacing w:line="240" w:lineRule="auto" w:before="22"/>
              <w:ind w:right="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8"/>
                <w:sz w:val="18"/>
                <w:u w:val="single" w:color="000000"/>
              </w:rPr>
              <w:t> </w:t>
            </w:r>
            <w:r>
              <w:rPr>
                <w:rFonts w:ascii="Arial"/>
                <w:spacing w:val="-1"/>
                <w:sz w:val="18"/>
                <w:u w:val="single" w:color="000000"/>
              </w:rPr>
              <w:t>(14,345,472,472)</w:t>
              <w:tab/>
            </w:r>
            <w:r>
              <w:rPr>
                <w:rFonts w:ascii="Arial"/>
                <w:spacing w:val="-1"/>
                <w:sz w:val="18"/>
              </w:rPr>
            </w: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tabs>
                <w:tab w:pos="1600" w:val="left" w:leader="none"/>
              </w:tabs>
              <w:spacing w:line="240" w:lineRule="auto" w:before="22"/>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8"/>
                <w:sz w:val="18"/>
                <w:u w:val="single" w:color="000000"/>
              </w:rPr>
              <w:t> </w:t>
            </w:r>
            <w:r>
              <w:rPr>
                <w:rFonts w:ascii="Arial"/>
                <w:spacing w:val="-1"/>
                <w:sz w:val="18"/>
                <w:u w:val="single" w:color="000000"/>
              </w:rPr>
              <w:t>666,188,569,647</w:t>
              <w:tab/>
            </w:r>
            <w:r>
              <w:rPr>
                <w:rFonts w:ascii="Arial"/>
                <w:spacing w:val="-1"/>
                <w:sz w:val="18"/>
              </w:rPr>
            </w:r>
          </w:p>
        </w:tc>
      </w:tr>
      <w:tr>
        <w:trPr>
          <w:trHeight w:val="333"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494"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638" w:type="dxa"/>
            <w:tcBorders>
              <w:top w:val="nil" w:sz="6" w:space="0" w:color="auto"/>
              <w:left w:val="nil" w:sz="6" w:space="0" w:color="auto"/>
              <w:bottom w:val="nil" w:sz="6" w:space="0" w:color="auto"/>
              <w:right w:val="nil" w:sz="6" w:space="0" w:color="auto"/>
            </w:tcBorders>
          </w:tcPr>
          <w:p>
            <w:pP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
        </w:tc>
      </w:tr>
      <w:tr>
        <w:trPr>
          <w:trHeight w:val="244"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06" w:lineRule="exact"/>
              <w:ind w:left="69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64"/>
              <w:jc w:val="right"/>
              <w:rPr>
                <w:rFonts w:ascii="Arial" w:hAnsi="Arial" w:cs="Arial" w:eastAsia="Arial" w:hint="default"/>
                <w:sz w:val="18"/>
                <w:szCs w:val="18"/>
              </w:rPr>
            </w:pPr>
            <w:r>
              <w:rPr>
                <w:rFonts w:ascii="Arial"/>
                <w:spacing w:val="-1"/>
                <w:sz w:val="18"/>
              </w:rPr>
              <w:t>(12,557,699,454)</w:t>
            </w:r>
            <w:r>
              <w:rPr>
                <w:rFonts w:ascii="Arial"/>
                <w:sz w:val="18"/>
              </w:rPr>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44"/>
              <w:jc w:val="right"/>
              <w:rPr>
                <w:rFonts w:ascii="Arial" w:hAnsi="Arial" w:cs="Arial" w:eastAsia="Arial" w:hint="default"/>
                <w:sz w:val="18"/>
                <w:szCs w:val="18"/>
              </w:rPr>
            </w:pPr>
            <w:r>
              <w:rPr>
                <w:rFonts w:ascii="Arial"/>
                <w:spacing w:val="-1"/>
                <w:sz w:val="18"/>
              </w:rPr>
              <w:t>(1,876,389,090)</w:t>
            </w: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92" w:right="0"/>
              <w:jc w:val="left"/>
              <w:rPr>
                <w:rFonts w:ascii="Arial" w:hAnsi="Arial" w:cs="Arial" w:eastAsia="Arial" w:hint="default"/>
                <w:sz w:val="18"/>
                <w:szCs w:val="18"/>
              </w:rPr>
            </w:pPr>
            <w:r>
              <w:rPr>
                <w:rFonts w:ascii="Arial"/>
                <w:sz w:val="18"/>
              </w:rPr>
              <w:t>285,919,077</w:t>
            </w: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89" w:right="0"/>
              <w:jc w:val="left"/>
              <w:rPr>
                <w:rFonts w:ascii="Arial" w:hAnsi="Arial" w:cs="Arial" w:eastAsia="Arial" w:hint="default"/>
                <w:sz w:val="18"/>
                <w:szCs w:val="18"/>
              </w:rPr>
            </w:pPr>
            <w:r>
              <w:rPr>
                <w:rFonts w:ascii="Arial"/>
                <w:sz w:val="18"/>
              </w:rPr>
              <w:t>(14,148,169,467)</w:t>
            </w:r>
          </w:p>
        </w:tc>
      </w:tr>
      <w:tr>
        <w:trPr>
          <w:trHeight w:val="233"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196" w:lineRule="exact"/>
              <w:ind w:left="692" w:right="0"/>
              <w:jc w:val="left"/>
              <w:rPr>
                <w:rFonts w:ascii="宋体" w:hAnsi="宋体" w:cs="宋体" w:eastAsia="宋体" w:hint="default"/>
                <w:sz w:val="18"/>
                <w:szCs w:val="18"/>
              </w:rPr>
            </w:pPr>
            <w:r>
              <w:rPr>
                <w:rFonts w:ascii="宋体" w:hAnsi="宋体" w:cs="宋体" w:eastAsia="宋体" w:hint="default"/>
                <w:sz w:val="18"/>
                <w:szCs w:val="18"/>
              </w:rPr>
              <w:t>通信设备</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4"/>
              <w:jc w:val="right"/>
              <w:rPr>
                <w:rFonts w:ascii="Arial" w:hAnsi="Arial" w:cs="Arial" w:eastAsia="Arial" w:hint="default"/>
                <w:sz w:val="18"/>
                <w:szCs w:val="18"/>
              </w:rPr>
            </w:pPr>
            <w:r>
              <w:rPr>
                <w:rFonts w:ascii="Arial"/>
                <w:spacing w:val="-1"/>
                <w:sz w:val="18"/>
              </w:rPr>
              <w:t>(302,051,608,470)</w:t>
            </w:r>
            <w:r>
              <w:rPr>
                <w:rFonts w:ascii="Arial"/>
                <w:sz w:val="18"/>
              </w:rPr>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4"/>
              <w:jc w:val="right"/>
              <w:rPr>
                <w:rFonts w:ascii="Arial" w:hAnsi="Arial" w:cs="Arial" w:eastAsia="Arial" w:hint="default"/>
                <w:sz w:val="18"/>
                <w:szCs w:val="18"/>
              </w:rPr>
            </w:pPr>
            <w:r>
              <w:rPr>
                <w:rFonts w:ascii="Arial"/>
                <w:spacing w:val="-1"/>
                <w:sz w:val="18"/>
              </w:rPr>
              <w:t>(39,979,968,376)</w:t>
            </w:r>
            <w:r>
              <w:rPr>
                <w:rFonts w:ascii="Arial"/>
                <w:sz w:val="18"/>
              </w:rPr>
            </w: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42" w:right="0"/>
              <w:jc w:val="left"/>
              <w:rPr>
                <w:rFonts w:ascii="Arial" w:hAnsi="Arial" w:cs="Arial" w:eastAsia="Arial" w:hint="default"/>
                <w:sz w:val="18"/>
                <w:szCs w:val="18"/>
              </w:rPr>
            </w:pPr>
            <w:r>
              <w:rPr>
                <w:rFonts w:ascii="Arial"/>
                <w:sz w:val="18"/>
              </w:rPr>
              <w:t>12,424,272,413</w:t>
            </w: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0" w:right="0"/>
              <w:jc w:val="left"/>
              <w:rPr>
                <w:rFonts w:ascii="Arial" w:hAnsi="Arial" w:cs="Arial" w:eastAsia="Arial" w:hint="default"/>
                <w:sz w:val="18"/>
                <w:szCs w:val="18"/>
              </w:rPr>
            </w:pPr>
            <w:r>
              <w:rPr>
                <w:rFonts w:ascii="Arial"/>
                <w:sz w:val="18"/>
              </w:rPr>
              <w:t>(329,607,304,433)</w:t>
            </w:r>
          </w:p>
        </w:tc>
      </w:tr>
      <w:tr>
        <w:trPr>
          <w:trHeight w:val="241"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195" w:lineRule="exact"/>
              <w:ind w:right="377"/>
              <w:jc w:val="right"/>
              <w:rPr>
                <w:rFonts w:ascii="宋体" w:hAnsi="宋体" w:cs="宋体" w:eastAsia="宋体" w:hint="default"/>
                <w:sz w:val="18"/>
                <w:szCs w:val="18"/>
              </w:rPr>
            </w:pPr>
            <w:r>
              <w:rPr>
                <w:rFonts w:ascii="宋体" w:hAnsi="宋体" w:cs="宋体" w:eastAsia="宋体" w:hint="default"/>
                <w:sz w:val="18"/>
                <w:szCs w:val="18"/>
              </w:rPr>
              <w:t>办公设备及其他</w:t>
            </w:r>
          </w:p>
        </w:tc>
        <w:tc>
          <w:tcPr>
            <w:tcW w:w="1638" w:type="dxa"/>
            <w:tcBorders>
              <w:top w:val="nil" w:sz="6" w:space="0" w:color="auto"/>
              <w:left w:val="nil" w:sz="6" w:space="0" w:color="auto"/>
              <w:bottom w:val="nil" w:sz="6" w:space="0" w:color="auto"/>
              <w:right w:val="nil" w:sz="6" w:space="0" w:color="auto"/>
            </w:tcBorders>
          </w:tcPr>
          <w:p>
            <w:pPr>
              <w:pStyle w:val="TableParagraph"/>
              <w:tabs>
                <w:tab w:pos="1623" w:val="left" w:leader="none"/>
              </w:tabs>
              <w:spacing w:line="240" w:lineRule="auto" w:before="14"/>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6"/>
                <w:sz w:val="18"/>
                <w:u w:val="single" w:color="000000"/>
              </w:rPr>
              <w:t> </w:t>
            </w:r>
            <w:r>
              <w:rPr>
                <w:rFonts w:ascii="Arial"/>
                <w:spacing w:val="-1"/>
                <w:sz w:val="18"/>
                <w:u w:val="single" w:color="000000"/>
              </w:rPr>
              <w:t>(22,162,716,685)</w:t>
              <w:tab/>
            </w:r>
            <w:r>
              <w:rPr>
                <w:rFonts w:ascii="Arial"/>
                <w:spacing w:val="-1"/>
                <w:sz w:val="18"/>
              </w:rPr>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23"/>
                <w:sz w:val="18"/>
                <w:u w:val="single" w:color="000000"/>
              </w:rPr>
              <w:t> </w:t>
            </w:r>
            <w:r>
              <w:rPr>
                <w:rFonts w:ascii="Arial"/>
                <w:spacing w:val="-1"/>
                <w:sz w:val="18"/>
                <w:u w:val="single" w:color="000000"/>
              </w:rPr>
              <w:t>(4,018,933,660)</w:t>
            </w:r>
            <w:r>
              <w:rPr>
                <w:rFonts w:ascii="Arial"/>
                <w:spacing w:val="-1"/>
                <w:sz w:val="18"/>
              </w:rPr>
            </w: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tabs>
                <w:tab w:pos="392" w:val="left" w:leader="none"/>
                <w:tab w:pos="1511" w:val="left" w:leader="none"/>
              </w:tabs>
              <w:spacing w:line="240" w:lineRule="auto" w:before="14"/>
              <w:ind w:right="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928,787,027</w:t>
              <w:tab/>
            </w:r>
            <w:r>
              <w:rPr>
                <w:rFonts w:ascii="Arial"/>
                <w:spacing w:val="-1"/>
                <w:sz w:val="18"/>
              </w:rPr>
            </w: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tabs>
                <w:tab w:pos="1600" w:val="left" w:leader="none"/>
              </w:tabs>
              <w:spacing w:line="240" w:lineRule="auto" w:before="14"/>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18"/>
                <w:sz w:val="18"/>
                <w:u w:val="single" w:color="000000"/>
              </w:rPr>
              <w:t> </w:t>
            </w:r>
            <w:r>
              <w:rPr>
                <w:rFonts w:ascii="Arial"/>
                <w:spacing w:val="-1"/>
                <w:sz w:val="18"/>
                <w:u w:val="single" w:color="000000"/>
              </w:rPr>
              <w:t>(25,252,863,318)</w:t>
              <w:tab/>
            </w:r>
            <w:r>
              <w:rPr>
                <w:rFonts w:ascii="Arial"/>
                <w:spacing w:val="-1"/>
                <w:sz w:val="18"/>
              </w:rPr>
            </w:r>
          </w:p>
        </w:tc>
      </w:tr>
      <w:tr>
        <w:trPr>
          <w:trHeight w:val="352"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04" w:lineRule="exact"/>
              <w:ind w:left="69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638" w:type="dxa"/>
            <w:tcBorders>
              <w:top w:val="nil" w:sz="6" w:space="0" w:color="auto"/>
              <w:left w:val="nil" w:sz="6" w:space="0" w:color="auto"/>
              <w:bottom w:val="nil" w:sz="6" w:space="0" w:color="auto"/>
              <w:right w:val="nil" w:sz="6" w:space="0" w:color="auto"/>
            </w:tcBorders>
          </w:tcPr>
          <w:p>
            <w:pPr>
              <w:pStyle w:val="TableParagraph"/>
              <w:tabs>
                <w:tab w:pos="1623" w:val="left" w:leader="none"/>
              </w:tabs>
              <w:spacing w:line="240" w:lineRule="auto" w:before="22"/>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6"/>
                <w:sz w:val="18"/>
                <w:u w:val="single" w:color="000000"/>
              </w:rPr>
              <w:t> </w:t>
            </w:r>
            <w:r>
              <w:rPr>
                <w:rFonts w:ascii="Arial"/>
                <w:spacing w:val="-1"/>
                <w:sz w:val="18"/>
                <w:u w:val="single" w:color="000000"/>
              </w:rPr>
              <w:t>(336,772,024,609)</w:t>
              <w:tab/>
            </w:r>
            <w:r>
              <w:rPr>
                <w:rFonts w:ascii="Arial"/>
                <w:spacing w:val="-1"/>
                <w:sz w:val="18"/>
              </w:rPr>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4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24"/>
                <w:sz w:val="18"/>
                <w:u w:val="single" w:color="000000"/>
              </w:rPr>
              <w:t> </w:t>
            </w:r>
            <w:r>
              <w:rPr>
                <w:rFonts w:ascii="Arial"/>
                <w:spacing w:val="-1"/>
                <w:sz w:val="18"/>
                <w:u w:val="single" w:color="000000"/>
              </w:rPr>
              <w:t>(45,875,291,126)</w:t>
            </w:r>
            <w:r>
              <w:rPr>
                <w:rFonts w:ascii="Arial"/>
                <w:spacing w:val="-1"/>
                <w:sz w:val="18"/>
              </w:rPr>
            </w:r>
            <w:r>
              <w:rPr>
                <w:rFonts w:ascii="Arial"/>
                <w:sz w:val="18"/>
              </w:rPr>
            </w: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tabs>
                <w:tab w:pos="1511" w:val="left" w:leader="none"/>
              </w:tabs>
              <w:spacing w:line="240" w:lineRule="auto" w:before="22"/>
              <w:ind w:right="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8"/>
                <w:sz w:val="18"/>
                <w:u w:val="single" w:color="000000"/>
              </w:rPr>
              <w:t> </w:t>
            </w:r>
            <w:r>
              <w:rPr>
                <w:rFonts w:ascii="Arial"/>
                <w:spacing w:val="-1"/>
                <w:sz w:val="18"/>
                <w:u w:val="single" w:color="000000"/>
              </w:rPr>
              <w:t>13,638,978,517</w:t>
              <w:tab/>
            </w:r>
            <w:r>
              <w:rPr>
                <w:rFonts w:ascii="Arial"/>
                <w:spacing w:val="-1"/>
                <w:sz w:val="18"/>
              </w:rPr>
            </w: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tabs>
                <w:tab w:pos="1600" w:val="left" w:leader="none"/>
              </w:tabs>
              <w:spacing w:line="240" w:lineRule="auto" w:before="22"/>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8"/>
                <w:sz w:val="18"/>
                <w:u w:val="single" w:color="000000"/>
              </w:rPr>
              <w:t> </w:t>
            </w:r>
            <w:r>
              <w:rPr>
                <w:rFonts w:ascii="Arial"/>
                <w:spacing w:val="-1"/>
                <w:sz w:val="18"/>
                <w:u w:val="single" w:color="000000"/>
              </w:rPr>
              <w:t>(369,008,337,218)</w:t>
              <w:tab/>
            </w:r>
            <w:r>
              <w:rPr>
                <w:rFonts w:ascii="Arial"/>
                <w:spacing w:val="-1"/>
                <w:sz w:val="18"/>
              </w:rPr>
            </w:r>
          </w:p>
        </w:tc>
      </w:tr>
      <w:tr>
        <w:trPr>
          <w:trHeight w:val="334"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494" w:right="0"/>
              <w:jc w:val="left"/>
              <w:rPr>
                <w:rFonts w:ascii="宋体" w:hAnsi="宋体" w:cs="宋体" w:eastAsia="宋体" w:hint="default"/>
                <w:sz w:val="18"/>
                <w:szCs w:val="18"/>
              </w:rPr>
            </w:pPr>
            <w:r>
              <w:rPr>
                <w:rFonts w:ascii="宋体" w:hAnsi="宋体" w:cs="宋体" w:eastAsia="宋体" w:hint="default"/>
                <w:sz w:val="18"/>
                <w:szCs w:val="18"/>
              </w:rPr>
              <w:t>账面净值</w:t>
            </w:r>
          </w:p>
        </w:tc>
        <w:tc>
          <w:tcPr>
            <w:tcW w:w="1638" w:type="dxa"/>
            <w:tcBorders>
              <w:top w:val="nil" w:sz="6" w:space="0" w:color="auto"/>
              <w:left w:val="nil" w:sz="6" w:space="0" w:color="auto"/>
              <w:bottom w:val="nil" w:sz="6" w:space="0" w:color="auto"/>
              <w:right w:val="nil" w:sz="6" w:space="0" w:color="auto"/>
            </w:tcBorders>
          </w:tcPr>
          <w:p>
            <w:pP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
        </w:tc>
      </w:tr>
      <w:tr>
        <w:trPr>
          <w:trHeight w:val="238"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07" w:lineRule="exact"/>
              <w:ind w:left="69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61" w:right="0"/>
              <w:jc w:val="left"/>
              <w:rPr>
                <w:rFonts w:ascii="Arial" w:hAnsi="Arial" w:cs="Arial" w:eastAsia="Arial" w:hint="default"/>
                <w:sz w:val="18"/>
                <w:szCs w:val="18"/>
              </w:rPr>
            </w:pPr>
            <w:r>
              <w:rPr>
                <w:rFonts w:ascii="Arial"/>
                <w:sz w:val="18"/>
              </w:rPr>
              <w:t>33,597,969,728</w:t>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49" w:right="0"/>
              <w:jc w:val="left"/>
              <w:rPr>
                <w:rFonts w:ascii="Arial" w:hAnsi="Arial" w:cs="Arial" w:eastAsia="Arial" w:hint="default"/>
                <w:sz w:val="18"/>
                <w:szCs w:val="18"/>
              </w:rPr>
            </w:pPr>
            <w:r>
              <w:rPr>
                <w:rFonts w:ascii="Arial"/>
                <w:sz w:val="18"/>
              </w:rPr>
              <w:t>35,687,056,958</w:t>
            </w:r>
          </w:p>
        </w:tc>
      </w:tr>
      <w:tr>
        <w:trPr>
          <w:trHeight w:val="233"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02" w:lineRule="exact"/>
              <w:ind w:left="692" w:right="0"/>
              <w:jc w:val="left"/>
              <w:rPr>
                <w:rFonts w:ascii="宋体" w:hAnsi="宋体" w:cs="宋体" w:eastAsia="宋体" w:hint="default"/>
                <w:sz w:val="18"/>
                <w:szCs w:val="18"/>
              </w:rPr>
            </w:pPr>
            <w:r>
              <w:rPr>
                <w:rFonts w:ascii="宋体" w:hAnsi="宋体" w:cs="宋体" w:eastAsia="宋体" w:hint="default"/>
                <w:sz w:val="18"/>
                <w:szCs w:val="18"/>
              </w:rPr>
              <w:t>通信设备</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8"/>
              <w:ind w:left="162" w:right="0"/>
              <w:jc w:val="left"/>
              <w:rPr>
                <w:rFonts w:ascii="Arial" w:hAnsi="Arial" w:cs="Arial" w:eastAsia="Arial" w:hint="default"/>
                <w:sz w:val="18"/>
                <w:szCs w:val="18"/>
              </w:rPr>
            </w:pPr>
            <w:r>
              <w:rPr>
                <w:rFonts w:ascii="Arial"/>
                <w:sz w:val="18"/>
              </w:rPr>
              <w:t>205,412,131,943</w:t>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8"/>
              <w:ind w:left="150" w:right="0"/>
              <w:jc w:val="left"/>
              <w:rPr>
                <w:rFonts w:ascii="Arial" w:hAnsi="Arial" w:cs="Arial" w:eastAsia="Arial" w:hint="default"/>
                <w:sz w:val="18"/>
                <w:szCs w:val="18"/>
              </w:rPr>
            </w:pPr>
            <w:r>
              <w:rPr>
                <w:rFonts w:ascii="Arial"/>
                <w:sz w:val="18"/>
              </w:rPr>
              <w:t>245,309,685,998</w:t>
            </w:r>
          </w:p>
        </w:tc>
      </w:tr>
      <w:tr>
        <w:trPr>
          <w:trHeight w:val="237"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03" w:lineRule="exact"/>
              <w:ind w:right="377"/>
              <w:jc w:val="right"/>
              <w:rPr>
                <w:rFonts w:ascii="宋体" w:hAnsi="宋体" w:cs="宋体" w:eastAsia="宋体" w:hint="default"/>
                <w:sz w:val="18"/>
                <w:szCs w:val="18"/>
              </w:rPr>
            </w:pPr>
            <w:r>
              <w:rPr>
                <w:rFonts w:ascii="宋体" w:hAnsi="宋体" w:cs="宋体" w:eastAsia="宋体" w:hint="default"/>
                <w:sz w:val="18"/>
                <w:szCs w:val="18"/>
              </w:rPr>
              <w:t>办公设备及其他</w:t>
            </w:r>
          </w:p>
        </w:tc>
        <w:tc>
          <w:tcPr>
            <w:tcW w:w="1638" w:type="dxa"/>
            <w:tcBorders>
              <w:top w:val="nil" w:sz="6" w:space="0" w:color="auto"/>
              <w:left w:val="nil" w:sz="6" w:space="0" w:color="auto"/>
              <w:bottom w:val="single" w:sz="6" w:space="0" w:color="000000"/>
              <w:right w:val="nil" w:sz="6" w:space="0" w:color="auto"/>
            </w:tcBorders>
          </w:tcPr>
          <w:p>
            <w:pPr>
              <w:pStyle w:val="TableParagraph"/>
              <w:spacing w:line="240" w:lineRule="auto" w:before="8"/>
              <w:ind w:left="261" w:right="0"/>
              <w:jc w:val="left"/>
              <w:rPr>
                <w:rFonts w:ascii="Arial" w:hAnsi="Arial" w:cs="Arial" w:eastAsia="Arial" w:hint="default"/>
                <w:sz w:val="18"/>
                <w:szCs w:val="18"/>
              </w:rPr>
            </w:pPr>
            <w:r>
              <w:rPr>
                <w:rFonts w:ascii="Arial"/>
                <w:sz w:val="18"/>
              </w:rPr>
              <w:t>16,053,443,230</w:t>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single" w:sz="6" w:space="0" w:color="000000"/>
              <w:right w:val="nil" w:sz="6" w:space="0" w:color="auto"/>
            </w:tcBorders>
          </w:tcPr>
          <w:p>
            <w:pPr>
              <w:pStyle w:val="TableParagraph"/>
              <w:spacing w:line="240" w:lineRule="auto" w:before="8"/>
              <w:ind w:left="249" w:right="0"/>
              <w:jc w:val="left"/>
              <w:rPr>
                <w:rFonts w:ascii="Arial" w:hAnsi="Arial" w:cs="Arial" w:eastAsia="Arial" w:hint="default"/>
                <w:sz w:val="18"/>
                <w:szCs w:val="18"/>
              </w:rPr>
            </w:pPr>
            <w:r>
              <w:rPr>
                <w:rFonts w:ascii="Arial"/>
                <w:sz w:val="18"/>
              </w:rPr>
              <w:t>16,183,489,473</w:t>
            </w:r>
          </w:p>
        </w:tc>
      </w:tr>
      <w:tr>
        <w:trPr>
          <w:trHeight w:val="248"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14" w:lineRule="exact"/>
              <w:ind w:left="69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638" w:type="dxa"/>
            <w:tcBorders>
              <w:top w:val="single" w:sz="6" w:space="0" w:color="000000"/>
              <w:left w:val="nil" w:sz="6" w:space="0" w:color="auto"/>
              <w:bottom w:val="single" w:sz="6" w:space="0" w:color="000000"/>
              <w:right w:val="nil" w:sz="6" w:space="0" w:color="auto"/>
            </w:tcBorders>
          </w:tcPr>
          <w:p>
            <w:pPr>
              <w:pStyle w:val="TableParagraph"/>
              <w:spacing w:line="240" w:lineRule="auto" w:before="25"/>
              <w:ind w:left="161" w:right="0"/>
              <w:jc w:val="left"/>
              <w:rPr>
                <w:rFonts w:ascii="Arial" w:hAnsi="Arial" w:cs="Arial" w:eastAsia="Arial" w:hint="default"/>
                <w:sz w:val="18"/>
                <w:szCs w:val="18"/>
              </w:rPr>
            </w:pPr>
            <w:r>
              <w:rPr>
                <w:rFonts w:ascii="Arial"/>
                <w:sz w:val="18"/>
              </w:rPr>
              <w:t>255,063,544,901</w:t>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single" w:sz="6" w:space="0" w:color="000000"/>
              <w:left w:val="nil" w:sz="6" w:space="0" w:color="auto"/>
              <w:bottom w:val="single" w:sz="6" w:space="0" w:color="000000"/>
              <w:right w:val="nil" w:sz="6" w:space="0" w:color="auto"/>
            </w:tcBorders>
          </w:tcPr>
          <w:p>
            <w:pPr>
              <w:pStyle w:val="TableParagraph"/>
              <w:spacing w:line="240" w:lineRule="auto" w:before="25"/>
              <w:ind w:left="150" w:right="0"/>
              <w:jc w:val="left"/>
              <w:rPr>
                <w:rFonts w:ascii="Arial" w:hAnsi="Arial" w:cs="Arial" w:eastAsia="Arial" w:hint="default"/>
                <w:sz w:val="18"/>
                <w:szCs w:val="18"/>
              </w:rPr>
            </w:pPr>
            <w:r>
              <w:rPr>
                <w:rFonts w:ascii="Arial"/>
                <w:sz w:val="18"/>
              </w:rPr>
              <w:t>297,180,232,429</w:t>
            </w:r>
          </w:p>
        </w:tc>
      </w:tr>
      <w:tr>
        <w:trPr>
          <w:trHeight w:val="447"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Arial" w:hAnsi="Arial" w:cs="Arial" w:eastAsia="Arial" w:hint="default"/>
                <w:sz w:val="16"/>
                <w:szCs w:val="16"/>
              </w:rPr>
            </w:pPr>
          </w:p>
          <w:p>
            <w:pPr>
              <w:pStyle w:val="TableParagraph"/>
              <w:spacing w:line="240" w:lineRule="auto"/>
              <w:ind w:left="494"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638" w:type="dxa"/>
            <w:tcBorders>
              <w:top w:val="single" w:sz="6" w:space="0" w:color="000000"/>
              <w:left w:val="nil" w:sz="6" w:space="0" w:color="auto"/>
              <w:bottom w:val="nil" w:sz="6" w:space="0" w:color="auto"/>
              <w:right w:val="nil" w:sz="6" w:space="0" w:color="auto"/>
            </w:tcBorders>
          </w:tcPr>
          <w:p>
            <w:pP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single" w:sz="6" w:space="0" w:color="000000"/>
              <w:left w:val="nil" w:sz="6" w:space="0" w:color="auto"/>
              <w:bottom w:val="nil" w:sz="6" w:space="0" w:color="auto"/>
              <w:right w:val="nil" w:sz="6" w:space="0" w:color="auto"/>
            </w:tcBorders>
          </w:tcPr>
          <w:p>
            <w:pPr/>
          </w:p>
        </w:tc>
      </w:tr>
      <w:tr>
        <w:trPr>
          <w:trHeight w:val="244"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07" w:lineRule="exact"/>
              <w:ind w:left="69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64"/>
              <w:jc w:val="right"/>
              <w:rPr>
                <w:rFonts w:ascii="Arial" w:hAnsi="Arial" w:cs="Arial" w:eastAsia="Arial" w:hint="default"/>
                <w:sz w:val="18"/>
                <w:szCs w:val="18"/>
              </w:rPr>
            </w:pPr>
            <w:r>
              <w:rPr>
                <w:rFonts w:ascii="Arial"/>
                <w:spacing w:val="-1"/>
                <w:sz w:val="18"/>
              </w:rPr>
              <w:t>(157,632)</w:t>
            </w:r>
            <w:r>
              <w:rPr>
                <w:rFonts w:ascii="Arial"/>
                <w:sz w:val="18"/>
              </w:rPr>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47"/>
              <w:jc w:val="right"/>
              <w:rPr>
                <w:rFonts w:ascii="Arial" w:hAnsi="Arial" w:cs="Arial" w:eastAsia="Arial" w:hint="default"/>
                <w:sz w:val="18"/>
                <w:szCs w:val="18"/>
              </w:rPr>
            </w:pPr>
            <w:r>
              <w:rPr>
                <w:rFonts w:ascii="Arial"/>
                <w:w w:val="99"/>
                <w:sz w:val="18"/>
              </w:rPr>
              <w:t>-</w:t>
            </w:r>
            <w:r>
              <w:rPr>
                <w:rFonts w:ascii="Arial"/>
                <w:sz w:val="18"/>
              </w:rPr>
            </w: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16"/>
              <w:jc w:val="right"/>
              <w:rPr>
                <w:rFonts w:ascii="Arial" w:hAnsi="Arial" w:cs="Arial" w:eastAsia="Arial" w:hint="default"/>
                <w:sz w:val="18"/>
                <w:szCs w:val="18"/>
              </w:rPr>
            </w:pPr>
            <w:r>
              <w:rPr>
                <w:rFonts w:ascii="Arial"/>
                <w:spacing w:val="-1"/>
                <w:sz w:val="18"/>
              </w:rPr>
              <w:t>76,712</w:t>
            </w: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54"/>
              <w:jc w:val="right"/>
              <w:rPr>
                <w:rFonts w:ascii="Arial" w:hAnsi="Arial" w:cs="Arial" w:eastAsia="Arial" w:hint="default"/>
                <w:sz w:val="18"/>
                <w:szCs w:val="18"/>
              </w:rPr>
            </w:pPr>
            <w:r>
              <w:rPr>
                <w:rFonts w:ascii="Arial"/>
                <w:spacing w:val="-1"/>
                <w:sz w:val="18"/>
              </w:rPr>
              <w:t>(80,920)</w:t>
            </w:r>
            <w:r>
              <w:rPr>
                <w:rFonts w:ascii="Arial"/>
                <w:sz w:val="18"/>
              </w:rPr>
            </w:r>
          </w:p>
        </w:tc>
      </w:tr>
      <w:tr>
        <w:trPr>
          <w:trHeight w:val="233"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195" w:lineRule="exact"/>
              <w:ind w:left="692" w:right="0"/>
              <w:jc w:val="left"/>
              <w:rPr>
                <w:rFonts w:ascii="宋体" w:hAnsi="宋体" w:cs="宋体" w:eastAsia="宋体" w:hint="default"/>
                <w:sz w:val="18"/>
                <w:szCs w:val="18"/>
              </w:rPr>
            </w:pPr>
            <w:r>
              <w:rPr>
                <w:rFonts w:ascii="宋体" w:hAnsi="宋体" w:cs="宋体" w:eastAsia="宋体" w:hint="default"/>
                <w:sz w:val="18"/>
                <w:szCs w:val="18"/>
              </w:rPr>
              <w:t>通信设备</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5"/>
              <w:jc w:val="right"/>
              <w:rPr>
                <w:rFonts w:ascii="Arial" w:hAnsi="Arial" w:cs="Arial" w:eastAsia="Arial" w:hint="default"/>
                <w:sz w:val="18"/>
                <w:szCs w:val="18"/>
              </w:rPr>
            </w:pPr>
            <w:r>
              <w:rPr>
                <w:rFonts w:ascii="Arial"/>
                <w:spacing w:val="-1"/>
                <w:sz w:val="18"/>
              </w:rPr>
              <w:t>(12,287,452,902)</w:t>
            </w:r>
            <w:r>
              <w:rPr>
                <w:rFonts w:ascii="Arial"/>
                <w:sz w:val="18"/>
              </w:rPr>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48"/>
              <w:jc w:val="right"/>
              <w:rPr>
                <w:rFonts w:ascii="Arial" w:hAnsi="Arial" w:cs="Arial" w:eastAsia="Arial" w:hint="default"/>
                <w:sz w:val="18"/>
                <w:szCs w:val="18"/>
              </w:rPr>
            </w:pPr>
            <w:r>
              <w:rPr>
                <w:rFonts w:ascii="Arial"/>
                <w:w w:val="99"/>
                <w:sz w:val="18"/>
              </w:rPr>
              <w:t>-</w:t>
            </w:r>
            <w:r>
              <w:rPr>
                <w:rFonts w:ascii="Arial"/>
                <w:sz w:val="18"/>
              </w:rPr>
            </w: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92" w:right="0"/>
              <w:jc w:val="left"/>
              <w:rPr>
                <w:rFonts w:ascii="Arial" w:hAnsi="Arial" w:cs="Arial" w:eastAsia="Arial" w:hint="default"/>
                <w:sz w:val="18"/>
                <w:szCs w:val="18"/>
              </w:rPr>
            </w:pPr>
            <w:r>
              <w:rPr>
                <w:rFonts w:ascii="Arial"/>
                <w:sz w:val="18"/>
              </w:rPr>
              <w:t>150,000,000</w:t>
            </w: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90" w:right="0"/>
              <w:jc w:val="left"/>
              <w:rPr>
                <w:rFonts w:ascii="Arial" w:hAnsi="Arial" w:cs="Arial" w:eastAsia="Arial" w:hint="default"/>
                <w:sz w:val="18"/>
                <w:szCs w:val="18"/>
              </w:rPr>
            </w:pPr>
            <w:r>
              <w:rPr>
                <w:rFonts w:ascii="Arial"/>
                <w:sz w:val="18"/>
              </w:rPr>
              <w:t>(12,137,452,902)</w:t>
            </w:r>
          </w:p>
        </w:tc>
      </w:tr>
      <w:tr>
        <w:trPr>
          <w:trHeight w:val="241"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196" w:lineRule="exact"/>
              <w:ind w:right="377"/>
              <w:jc w:val="right"/>
              <w:rPr>
                <w:rFonts w:ascii="宋体" w:hAnsi="宋体" w:cs="宋体" w:eastAsia="宋体" w:hint="default"/>
                <w:sz w:val="18"/>
                <w:szCs w:val="18"/>
              </w:rPr>
            </w:pPr>
            <w:r>
              <w:rPr>
                <w:rFonts w:ascii="宋体" w:hAnsi="宋体" w:cs="宋体" w:eastAsia="宋体" w:hint="default"/>
                <w:sz w:val="18"/>
                <w:szCs w:val="18"/>
              </w:rPr>
              <w:t>办公设备及其他</w:t>
            </w:r>
          </w:p>
        </w:tc>
        <w:tc>
          <w:tcPr>
            <w:tcW w:w="1638" w:type="dxa"/>
            <w:tcBorders>
              <w:top w:val="nil" w:sz="6" w:space="0" w:color="auto"/>
              <w:left w:val="nil" w:sz="6" w:space="0" w:color="auto"/>
              <w:bottom w:val="nil" w:sz="6" w:space="0" w:color="auto"/>
              <w:right w:val="nil" w:sz="6" w:space="0" w:color="auto"/>
            </w:tcBorders>
          </w:tcPr>
          <w:p>
            <w:pPr>
              <w:pStyle w:val="TableParagraph"/>
              <w:tabs>
                <w:tab w:pos="645" w:val="left" w:leader="none"/>
                <w:tab w:pos="1623" w:val="left" w:leader="none"/>
              </w:tabs>
              <w:spacing w:line="240" w:lineRule="auto" w:before="15"/>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(8,546,539)</w:t>
              <w:tab/>
            </w:r>
            <w:r>
              <w:rPr>
                <w:rFonts w:ascii="Arial"/>
                <w:spacing w:val="-1"/>
                <w:sz w:val="18"/>
              </w:rPr>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tabs>
                <w:tab w:pos="1331" w:val="left" w:leader="none"/>
                <w:tab w:pos="1540" w:val="left" w:leader="none"/>
              </w:tabs>
              <w:spacing w:line="240" w:lineRule="auto" w:before="15"/>
              <w:ind w:right="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tab/>
            </w:r>
            <w:r>
              <w:rPr>
                <w:rFonts w:ascii="Arial"/>
                <w:sz w:val="18"/>
              </w:rPr>
            </w: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tabs>
                <w:tab w:pos="593" w:val="left" w:leader="none"/>
                <w:tab w:pos="1511" w:val="left" w:leader="none"/>
              </w:tabs>
              <w:spacing w:line="240" w:lineRule="auto" w:before="15"/>
              <w:ind w:right="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1,270,272</w:t>
              <w:tab/>
            </w:r>
            <w:r>
              <w:rPr>
                <w:rFonts w:ascii="Arial"/>
                <w:spacing w:val="-1"/>
                <w:sz w:val="18"/>
              </w:rPr>
            </w: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tabs>
                <w:tab w:pos="634" w:val="left" w:leader="none"/>
                <w:tab w:pos="1600" w:val="left" w:leader="none"/>
              </w:tabs>
              <w:spacing w:line="240" w:lineRule="auto" w:before="15"/>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(7,276,267)</w:t>
              <w:tab/>
            </w:r>
            <w:r>
              <w:rPr>
                <w:rFonts w:ascii="Arial"/>
                <w:spacing w:val="-1"/>
                <w:sz w:val="18"/>
              </w:rPr>
            </w:r>
          </w:p>
        </w:tc>
      </w:tr>
      <w:tr>
        <w:trPr>
          <w:trHeight w:val="352"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03" w:lineRule="exact"/>
              <w:ind w:left="69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638" w:type="dxa"/>
            <w:tcBorders>
              <w:top w:val="nil" w:sz="6" w:space="0" w:color="auto"/>
              <w:left w:val="nil" w:sz="6" w:space="0" w:color="auto"/>
              <w:bottom w:val="nil" w:sz="6" w:space="0" w:color="auto"/>
              <w:right w:val="nil" w:sz="6" w:space="0" w:color="auto"/>
            </w:tcBorders>
          </w:tcPr>
          <w:p>
            <w:pPr>
              <w:pStyle w:val="TableParagraph"/>
              <w:tabs>
                <w:tab w:pos="1623" w:val="left" w:leader="none"/>
              </w:tabs>
              <w:spacing w:line="240" w:lineRule="auto" w:before="22"/>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6"/>
                <w:sz w:val="18"/>
                <w:u w:val="single" w:color="000000"/>
              </w:rPr>
              <w:t> </w:t>
            </w:r>
            <w:r>
              <w:rPr>
                <w:rFonts w:ascii="Arial"/>
                <w:spacing w:val="-1"/>
                <w:sz w:val="18"/>
                <w:u w:val="single" w:color="000000"/>
              </w:rPr>
              <w:t>(12,296,157,073)</w:t>
              <w:tab/>
            </w:r>
            <w:r>
              <w:rPr>
                <w:rFonts w:ascii="Arial"/>
                <w:spacing w:val="-1"/>
                <w:sz w:val="18"/>
              </w:rPr>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tabs>
                <w:tab w:pos="1332" w:val="left" w:leader="none"/>
                <w:tab w:pos="1540" w:val="left" w:leader="none"/>
              </w:tabs>
              <w:spacing w:line="240" w:lineRule="auto" w:before="22"/>
              <w:ind w:right="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tab/>
            </w:r>
            <w:r>
              <w:rPr>
                <w:rFonts w:ascii="Arial"/>
                <w:sz w:val="18"/>
              </w:rPr>
            </w: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Style w:val="TableParagraph"/>
              <w:tabs>
                <w:tab w:pos="393" w:val="left" w:leader="none"/>
                <w:tab w:pos="1511" w:val="left" w:leader="none"/>
              </w:tabs>
              <w:spacing w:line="240" w:lineRule="auto" w:before="22"/>
              <w:ind w:right="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151,346,984</w:t>
              <w:tab/>
            </w:r>
            <w:r>
              <w:rPr>
                <w:rFonts w:ascii="Arial"/>
                <w:spacing w:val="-1"/>
                <w:sz w:val="18"/>
              </w:rPr>
            </w: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tabs>
                <w:tab w:pos="1600" w:val="left" w:leader="none"/>
              </w:tabs>
              <w:spacing w:line="240" w:lineRule="auto" w:before="22"/>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18"/>
                <w:sz w:val="18"/>
                <w:u w:val="single" w:color="000000"/>
              </w:rPr>
              <w:t> </w:t>
            </w:r>
            <w:r>
              <w:rPr>
                <w:rFonts w:ascii="Arial"/>
                <w:spacing w:val="-1"/>
                <w:sz w:val="18"/>
                <w:u w:val="single" w:color="000000"/>
              </w:rPr>
              <w:t>(12,144,810,089)</w:t>
              <w:tab/>
            </w:r>
            <w:r>
              <w:rPr>
                <w:rFonts w:ascii="Arial"/>
                <w:spacing w:val="-1"/>
                <w:sz w:val="18"/>
              </w:rPr>
            </w:r>
          </w:p>
        </w:tc>
      </w:tr>
      <w:tr>
        <w:trPr>
          <w:trHeight w:val="333"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40" w:lineRule="auto" w:before="71"/>
              <w:ind w:left="494"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638" w:type="dxa"/>
            <w:tcBorders>
              <w:top w:val="nil" w:sz="6" w:space="0" w:color="auto"/>
              <w:left w:val="nil" w:sz="6" w:space="0" w:color="auto"/>
              <w:bottom w:val="nil" w:sz="6" w:space="0" w:color="auto"/>
              <w:right w:val="nil" w:sz="6" w:space="0" w:color="auto"/>
            </w:tcBorders>
          </w:tcPr>
          <w:p>
            <w:pP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
        </w:tc>
      </w:tr>
      <w:tr>
        <w:trPr>
          <w:trHeight w:val="238"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07" w:lineRule="exact"/>
              <w:ind w:left="69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61" w:right="0"/>
              <w:jc w:val="left"/>
              <w:rPr>
                <w:rFonts w:ascii="Arial" w:hAnsi="Arial" w:cs="Arial" w:eastAsia="Arial" w:hint="default"/>
                <w:sz w:val="18"/>
                <w:szCs w:val="18"/>
              </w:rPr>
            </w:pPr>
            <w:r>
              <w:rPr>
                <w:rFonts w:ascii="Arial"/>
                <w:sz w:val="18"/>
              </w:rPr>
              <w:t>33,597,812,096</w:t>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13"/>
              <w:ind w:left="249" w:right="0"/>
              <w:jc w:val="left"/>
              <w:rPr>
                <w:rFonts w:ascii="Arial" w:hAnsi="Arial" w:cs="Arial" w:eastAsia="Arial" w:hint="default"/>
                <w:sz w:val="18"/>
                <w:szCs w:val="18"/>
              </w:rPr>
            </w:pPr>
            <w:r>
              <w:rPr>
                <w:rFonts w:ascii="Arial"/>
                <w:sz w:val="18"/>
              </w:rPr>
              <w:t>35,686,976,038</w:t>
            </w:r>
          </w:p>
        </w:tc>
      </w:tr>
      <w:tr>
        <w:trPr>
          <w:trHeight w:val="233"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02" w:lineRule="exact"/>
              <w:ind w:left="692" w:right="0"/>
              <w:jc w:val="left"/>
              <w:rPr>
                <w:rFonts w:ascii="宋体" w:hAnsi="宋体" w:cs="宋体" w:eastAsia="宋体" w:hint="default"/>
                <w:sz w:val="18"/>
                <w:szCs w:val="18"/>
              </w:rPr>
            </w:pPr>
            <w:r>
              <w:rPr>
                <w:rFonts w:ascii="宋体" w:hAnsi="宋体" w:cs="宋体" w:eastAsia="宋体" w:hint="default"/>
                <w:sz w:val="18"/>
                <w:szCs w:val="18"/>
              </w:rPr>
              <w:t>通信设备</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8"/>
              <w:ind w:left="162" w:right="0"/>
              <w:jc w:val="left"/>
              <w:rPr>
                <w:rFonts w:ascii="Arial" w:hAnsi="Arial" w:cs="Arial" w:eastAsia="Arial" w:hint="default"/>
                <w:sz w:val="18"/>
                <w:szCs w:val="18"/>
              </w:rPr>
            </w:pPr>
            <w:r>
              <w:rPr>
                <w:rFonts w:ascii="Arial"/>
                <w:sz w:val="18"/>
              </w:rPr>
              <w:t>193,124,679,041</w:t>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8"/>
              <w:ind w:left="150" w:right="0"/>
              <w:jc w:val="left"/>
              <w:rPr>
                <w:rFonts w:ascii="Arial" w:hAnsi="Arial" w:cs="Arial" w:eastAsia="Arial" w:hint="default"/>
                <w:sz w:val="18"/>
                <w:szCs w:val="18"/>
              </w:rPr>
            </w:pPr>
            <w:r>
              <w:rPr>
                <w:rFonts w:ascii="Arial"/>
                <w:sz w:val="18"/>
              </w:rPr>
              <w:t>233,172,233,096</w:t>
            </w:r>
          </w:p>
        </w:tc>
      </w:tr>
      <w:tr>
        <w:trPr>
          <w:trHeight w:val="237"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03" w:lineRule="exact"/>
              <w:ind w:right="377"/>
              <w:jc w:val="right"/>
              <w:rPr>
                <w:rFonts w:ascii="宋体" w:hAnsi="宋体" w:cs="宋体" w:eastAsia="宋体" w:hint="default"/>
                <w:sz w:val="18"/>
                <w:szCs w:val="18"/>
              </w:rPr>
            </w:pPr>
            <w:r>
              <w:rPr>
                <w:rFonts w:ascii="宋体" w:hAnsi="宋体" w:cs="宋体" w:eastAsia="宋体" w:hint="default"/>
                <w:sz w:val="18"/>
                <w:szCs w:val="18"/>
              </w:rPr>
              <w:t>办公设备及其他</w:t>
            </w:r>
          </w:p>
        </w:tc>
        <w:tc>
          <w:tcPr>
            <w:tcW w:w="1638" w:type="dxa"/>
            <w:tcBorders>
              <w:top w:val="nil" w:sz="6" w:space="0" w:color="auto"/>
              <w:left w:val="nil" w:sz="6" w:space="0" w:color="auto"/>
              <w:bottom w:val="single" w:sz="6" w:space="0" w:color="000000"/>
              <w:right w:val="nil" w:sz="6" w:space="0" w:color="auto"/>
            </w:tcBorders>
          </w:tcPr>
          <w:p>
            <w:pPr>
              <w:pStyle w:val="TableParagraph"/>
              <w:spacing w:line="240" w:lineRule="auto" w:before="8"/>
              <w:ind w:left="261" w:right="0"/>
              <w:jc w:val="left"/>
              <w:rPr>
                <w:rFonts w:ascii="Arial" w:hAnsi="Arial" w:cs="Arial" w:eastAsia="Arial" w:hint="default"/>
                <w:sz w:val="18"/>
                <w:szCs w:val="18"/>
              </w:rPr>
            </w:pPr>
            <w:r>
              <w:rPr>
                <w:rFonts w:ascii="Arial"/>
                <w:sz w:val="18"/>
              </w:rPr>
              <w:t>16,044,896,691</w:t>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single" w:sz="6" w:space="0" w:color="000000"/>
              <w:right w:val="nil" w:sz="6" w:space="0" w:color="auto"/>
            </w:tcBorders>
          </w:tcPr>
          <w:p>
            <w:pPr>
              <w:pStyle w:val="TableParagraph"/>
              <w:spacing w:line="240" w:lineRule="auto" w:before="8"/>
              <w:ind w:left="249" w:right="0"/>
              <w:jc w:val="left"/>
              <w:rPr>
                <w:rFonts w:ascii="Arial" w:hAnsi="Arial" w:cs="Arial" w:eastAsia="Arial" w:hint="default"/>
                <w:sz w:val="18"/>
                <w:szCs w:val="18"/>
              </w:rPr>
            </w:pPr>
            <w:r>
              <w:rPr>
                <w:rFonts w:ascii="Arial"/>
                <w:sz w:val="18"/>
              </w:rPr>
              <w:t>16,176,213,206</w:t>
            </w:r>
          </w:p>
        </w:tc>
      </w:tr>
      <w:tr>
        <w:trPr>
          <w:trHeight w:val="265" w:hRule="exact"/>
        </w:trPr>
        <w:tc>
          <w:tcPr>
            <w:tcW w:w="2331" w:type="dxa"/>
            <w:tcBorders>
              <w:top w:val="nil" w:sz="6" w:space="0" w:color="auto"/>
              <w:left w:val="nil" w:sz="6" w:space="0" w:color="auto"/>
              <w:bottom w:val="nil" w:sz="6" w:space="0" w:color="auto"/>
              <w:right w:val="nil" w:sz="6" w:space="0" w:color="auto"/>
            </w:tcBorders>
          </w:tcPr>
          <w:p>
            <w:pPr>
              <w:pStyle w:val="TableParagraph"/>
              <w:spacing w:line="214" w:lineRule="exact"/>
              <w:ind w:left="679"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38" w:type="dxa"/>
            <w:tcBorders>
              <w:top w:val="single" w:sz="6" w:space="0" w:color="000000"/>
              <w:left w:val="nil" w:sz="6" w:space="0" w:color="auto"/>
              <w:bottom w:val="single" w:sz="17" w:space="0" w:color="000000"/>
              <w:right w:val="nil" w:sz="6" w:space="0" w:color="auto"/>
            </w:tcBorders>
          </w:tcPr>
          <w:p>
            <w:pPr>
              <w:pStyle w:val="TableParagraph"/>
              <w:spacing w:line="240" w:lineRule="auto" w:before="25"/>
              <w:ind w:left="161" w:right="0"/>
              <w:jc w:val="left"/>
              <w:rPr>
                <w:rFonts w:ascii="Arial" w:hAnsi="Arial" w:cs="Arial" w:eastAsia="Arial" w:hint="default"/>
                <w:sz w:val="18"/>
                <w:szCs w:val="18"/>
              </w:rPr>
            </w:pPr>
            <w:r>
              <w:rPr>
                <w:rFonts w:ascii="Arial"/>
                <w:sz w:val="18"/>
              </w:rPr>
              <w:t>242,767,387,828</w:t>
            </w:r>
          </w:p>
        </w:tc>
        <w:tc>
          <w:tcPr>
            <w:tcW w:w="232"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
        </w:tc>
        <w:tc>
          <w:tcPr>
            <w:tcW w:w="236" w:type="dxa"/>
            <w:tcBorders>
              <w:top w:val="nil" w:sz="6" w:space="0" w:color="auto"/>
              <w:left w:val="nil" w:sz="6" w:space="0" w:color="auto"/>
              <w:bottom w:val="nil" w:sz="6" w:space="0" w:color="auto"/>
              <w:right w:val="nil" w:sz="6" w:space="0" w:color="auto"/>
            </w:tcBorders>
          </w:tcPr>
          <w:p>
            <w:pPr/>
          </w:p>
        </w:tc>
        <w:tc>
          <w:tcPr>
            <w:tcW w:w="1512" w:type="dxa"/>
            <w:tcBorders>
              <w:top w:val="nil" w:sz="6" w:space="0" w:color="auto"/>
              <w:left w:val="nil" w:sz="6" w:space="0" w:color="auto"/>
              <w:bottom w:val="nil" w:sz="6" w:space="0" w:color="auto"/>
              <w:right w:val="nil" w:sz="6" w:space="0" w:color="auto"/>
            </w:tcBorders>
          </w:tcPr>
          <w:p>
            <w:pPr/>
          </w:p>
        </w:tc>
        <w:tc>
          <w:tcPr>
            <w:tcW w:w="229" w:type="dxa"/>
            <w:tcBorders>
              <w:top w:val="nil" w:sz="6" w:space="0" w:color="auto"/>
              <w:left w:val="nil" w:sz="6" w:space="0" w:color="auto"/>
              <w:bottom w:val="nil" w:sz="6" w:space="0" w:color="auto"/>
              <w:right w:val="nil" w:sz="6" w:space="0" w:color="auto"/>
            </w:tcBorders>
          </w:tcPr>
          <w:p>
            <w:pPr/>
          </w:p>
        </w:tc>
        <w:tc>
          <w:tcPr>
            <w:tcW w:w="1615" w:type="dxa"/>
            <w:tcBorders>
              <w:top w:val="single" w:sz="6" w:space="0" w:color="000000"/>
              <w:left w:val="nil" w:sz="6" w:space="0" w:color="auto"/>
              <w:bottom w:val="single" w:sz="17" w:space="0" w:color="000000"/>
              <w:right w:val="nil" w:sz="6" w:space="0" w:color="auto"/>
            </w:tcBorders>
          </w:tcPr>
          <w:p>
            <w:pPr>
              <w:pStyle w:val="TableParagraph"/>
              <w:spacing w:line="240" w:lineRule="auto" w:before="25"/>
              <w:ind w:left="150" w:right="0"/>
              <w:jc w:val="left"/>
              <w:rPr>
                <w:rFonts w:ascii="Arial" w:hAnsi="Arial" w:cs="Arial" w:eastAsia="Arial" w:hint="default"/>
                <w:sz w:val="18"/>
                <w:szCs w:val="18"/>
              </w:rPr>
            </w:pPr>
            <w:r>
              <w:rPr>
                <w:rFonts w:ascii="Arial"/>
                <w:sz w:val="18"/>
              </w:rPr>
              <w:t>285,035,422,340</w:t>
            </w:r>
          </w:p>
        </w:tc>
      </w:tr>
    </w:tbl>
    <w:p>
      <w:pPr>
        <w:spacing w:line="240" w:lineRule="auto" w:before="3"/>
        <w:rPr>
          <w:rFonts w:ascii="Arial" w:hAnsi="Arial" w:cs="Arial" w:eastAsia="Arial" w:hint="default"/>
          <w:sz w:val="14"/>
          <w:szCs w:val="14"/>
        </w:rPr>
      </w:pPr>
    </w:p>
    <w:p>
      <w:pPr>
        <w:pStyle w:val="BodyText"/>
        <w:spacing w:line="237" w:lineRule="auto" w:before="34"/>
        <w:ind w:left="502" w:right="138"/>
        <w:jc w:val="both"/>
      </w:pPr>
      <w:r>
        <w:rPr/>
        <w:t>联通运营公司（含网通运营公司）、原网通新天地、原联通新世纪和原联通新世界分别在以前</w:t>
      </w:r>
      <w:r>
        <w:rPr>
          <w:w w:val="99"/>
        </w:rPr>
        <w:t> </w:t>
      </w:r>
      <w:r>
        <w:rPr/>
        <w:t>年度改制重组设立过程中，对其拥有的包括固定资产和在建工程等在内的资产进行了评估，本</w:t>
      </w:r>
      <w:r>
        <w:rPr>
          <w:w w:val="99"/>
        </w:rPr>
        <w:t> </w:t>
      </w:r>
      <w:r>
        <w:rPr/>
        <w:t>集团已按评估值作为入账价值。</w:t>
      </w:r>
    </w:p>
    <w:p>
      <w:pPr>
        <w:spacing w:line="240" w:lineRule="auto" w:before="2"/>
        <w:rPr>
          <w:rFonts w:ascii="宋体" w:hAnsi="宋体" w:cs="宋体" w:eastAsia="宋体" w:hint="default"/>
          <w:sz w:val="19"/>
          <w:szCs w:val="19"/>
        </w:rPr>
      </w:pPr>
    </w:p>
    <w:p>
      <w:pPr>
        <w:pStyle w:val="BodyText"/>
        <w:spacing w:line="295" w:lineRule="exact"/>
        <w:ind w:left="502" w:right="0"/>
        <w:jc w:val="both"/>
      </w:pPr>
      <w:r>
        <w:rPr>
          <w:rFonts w:ascii="Arial" w:hAnsi="Arial" w:cs="Arial" w:eastAsia="Arial" w:hint="default"/>
        </w:rPr>
        <w:t>2009</w:t>
      </w:r>
      <w:r>
        <w:rPr>
          <w:rFonts w:ascii="Arial" w:hAnsi="Arial" w:cs="Arial" w:eastAsia="Arial" w:hint="default"/>
          <w:spacing w:val="-7"/>
        </w:rPr>
        <w:t> </w:t>
      </w:r>
      <w:r>
        <w:rPr/>
        <w:t>年度固定资产计提的折旧金额约为人民币</w:t>
      </w:r>
      <w:r>
        <w:rPr>
          <w:spacing w:val="-55"/>
        </w:rPr>
        <w:t> </w:t>
      </w:r>
      <w:r>
        <w:rPr>
          <w:rFonts w:ascii="Arial" w:hAnsi="Arial" w:cs="Arial" w:eastAsia="Arial" w:hint="default"/>
        </w:rPr>
        <w:t>458.75</w:t>
      </w:r>
      <w:r>
        <w:rPr>
          <w:rFonts w:ascii="Arial" w:hAnsi="Arial" w:cs="Arial" w:eastAsia="Arial" w:hint="default"/>
          <w:spacing w:val="-7"/>
        </w:rPr>
        <w:t> </w:t>
      </w:r>
      <w:r>
        <w:rPr>
          <w:spacing w:val="-6"/>
        </w:rPr>
        <w:t>亿元（</w:t>
      </w:r>
      <w:r>
        <w:rPr>
          <w:rFonts w:ascii="Arial" w:hAnsi="Arial" w:cs="Arial" w:eastAsia="Arial" w:hint="default"/>
          <w:spacing w:val="-6"/>
        </w:rPr>
        <w:t>2008</w:t>
      </w:r>
      <w:r>
        <w:rPr>
          <w:rFonts w:ascii="Arial" w:hAnsi="Arial" w:cs="Arial" w:eastAsia="Arial" w:hint="default"/>
          <w:spacing w:val="-7"/>
        </w:rPr>
        <w:t> </w:t>
      </w:r>
      <w:r>
        <w:rPr>
          <w:spacing w:val="-3"/>
        </w:rPr>
        <w:t>年度持续经营业务：约人民</w:t>
      </w:r>
    </w:p>
    <w:p>
      <w:pPr>
        <w:pStyle w:val="BodyText"/>
        <w:spacing w:line="285" w:lineRule="exact"/>
        <w:ind w:left="502" w:right="0"/>
        <w:jc w:val="both"/>
      </w:pPr>
      <w:r>
        <w:rPr/>
        <w:t>币</w:t>
      </w:r>
      <w:r>
        <w:rPr>
          <w:spacing w:val="-65"/>
        </w:rPr>
        <w:t> </w:t>
      </w:r>
      <w:r>
        <w:rPr>
          <w:rFonts w:ascii="Arial" w:hAnsi="Arial" w:cs="Arial" w:eastAsia="Arial" w:hint="default"/>
        </w:rPr>
        <w:t>467.52</w:t>
      </w:r>
      <w:r>
        <w:rPr>
          <w:rFonts w:ascii="Arial" w:hAnsi="Arial" w:cs="Arial" w:eastAsia="Arial" w:hint="default"/>
          <w:spacing w:val="-16"/>
        </w:rPr>
        <w:t> </w:t>
      </w:r>
      <w:r>
        <w:rPr/>
        <w:t>亿元），由在建工程转入固定资产的原价约人民币</w:t>
      </w:r>
      <w:r>
        <w:rPr>
          <w:spacing w:val="-65"/>
        </w:rPr>
        <w:t> </w:t>
      </w:r>
      <w:r>
        <w:rPr>
          <w:rFonts w:ascii="Arial" w:hAnsi="Arial" w:cs="Arial" w:eastAsia="Arial" w:hint="default"/>
        </w:rPr>
        <w:t>856.74</w:t>
      </w:r>
      <w:r>
        <w:rPr>
          <w:rFonts w:ascii="Arial" w:hAnsi="Arial" w:cs="Arial" w:eastAsia="Arial" w:hint="default"/>
          <w:spacing w:val="-16"/>
        </w:rPr>
        <w:t> </w:t>
      </w:r>
      <w:r>
        <w:rPr>
          <w:spacing w:val="-4"/>
        </w:rPr>
        <w:t>亿元（</w:t>
      </w:r>
      <w:r>
        <w:rPr>
          <w:rFonts w:ascii="Arial" w:hAnsi="Arial" w:cs="Arial" w:eastAsia="Arial" w:hint="default"/>
          <w:spacing w:val="-4"/>
        </w:rPr>
        <w:t>2008</w:t>
      </w:r>
      <w:r>
        <w:rPr>
          <w:rFonts w:ascii="Arial" w:hAnsi="Arial" w:cs="Arial" w:eastAsia="Arial" w:hint="default"/>
          <w:spacing w:val="-16"/>
        </w:rPr>
        <w:t> </w:t>
      </w:r>
      <w:r>
        <w:rPr>
          <w:spacing w:val="-4"/>
        </w:rPr>
        <w:t>年度：约人民</w:t>
      </w:r>
    </w:p>
    <w:p>
      <w:pPr>
        <w:pStyle w:val="BodyText"/>
        <w:spacing w:line="294" w:lineRule="exact"/>
        <w:ind w:left="502" w:right="0"/>
        <w:jc w:val="both"/>
      </w:pPr>
      <w:r>
        <w:rPr/>
        <w:t>币</w:t>
      </w:r>
      <w:r>
        <w:rPr>
          <w:spacing w:val="-57"/>
        </w:rPr>
        <w:t> </w:t>
      </w:r>
      <w:r>
        <w:rPr>
          <w:rFonts w:ascii="Arial" w:hAnsi="Arial" w:cs="Arial" w:eastAsia="Arial" w:hint="default"/>
        </w:rPr>
        <w:t>462.52</w:t>
      </w:r>
      <w:r>
        <w:rPr>
          <w:rFonts w:ascii="Arial" w:hAnsi="Arial" w:cs="Arial" w:eastAsia="Arial" w:hint="default"/>
          <w:spacing w:val="-8"/>
        </w:rPr>
        <w:t> </w:t>
      </w:r>
      <w:r>
        <w:rPr/>
        <w:t>亿元）。</w:t>
      </w:r>
    </w:p>
    <w:p>
      <w:pPr>
        <w:spacing w:line="240" w:lineRule="auto" w:before="13"/>
        <w:rPr>
          <w:rFonts w:ascii="宋体" w:hAnsi="宋体" w:cs="宋体" w:eastAsia="宋体" w:hint="default"/>
          <w:sz w:val="17"/>
          <w:szCs w:val="17"/>
        </w:rPr>
      </w:pPr>
    </w:p>
    <w:p>
      <w:pPr>
        <w:pStyle w:val="BodyText"/>
        <w:spacing w:line="240" w:lineRule="auto"/>
        <w:ind w:left="502" w:right="0"/>
        <w:jc w:val="both"/>
      </w:pP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日，本集团无固定资产被抵押给银行作为抵押借款之用。</w:t>
      </w:r>
    </w:p>
    <w:p>
      <w:pPr>
        <w:spacing w:line="240" w:lineRule="auto" w:before="13"/>
        <w:rPr>
          <w:rFonts w:ascii="宋体" w:hAnsi="宋体" w:cs="宋体" w:eastAsia="宋体" w:hint="default"/>
          <w:sz w:val="17"/>
          <w:szCs w:val="17"/>
        </w:rPr>
      </w:pPr>
    </w:p>
    <w:p>
      <w:pPr>
        <w:pStyle w:val="BodyText"/>
        <w:spacing w:line="294" w:lineRule="exact"/>
        <w:ind w:left="502" w:right="0"/>
        <w:jc w:val="both"/>
        <w:rPr>
          <w:rFonts w:ascii="Arial" w:hAnsi="Arial" w:cs="Arial" w:eastAsia="Arial" w:hint="default"/>
        </w:rPr>
      </w:pPr>
      <w:r>
        <w:rPr>
          <w:rFonts w:ascii="Arial" w:hAnsi="Arial" w:cs="Arial" w:eastAsia="Arial" w:hint="default"/>
        </w:rPr>
        <w:t>2009</w:t>
      </w:r>
      <w:r>
        <w:rPr>
          <w:rFonts w:ascii="Arial" w:hAnsi="Arial" w:cs="Arial" w:eastAsia="Arial" w:hint="default"/>
          <w:spacing w:val="-11"/>
        </w:rPr>
        <w:t> </w:t>
      </w:r>
      <w:r>
        <w:rPr/>
        <w:t>年度计入营业成本及管理费用的折旧费用分别为：约人民币</w:t>
      </w:r>
      <w:r>
        <w:rPr>
          <w:spacing w:val="-59"/>
        </w:rPr>
        <w:t> </w:t>
      </w:r>
      <w:r>
        <w:rPr>
          <w:rFonts w:ascii="Arial" w:hAnsi="Arial" w:cs="Arial" w:eastAsia="Arial" w:hint="default"/>
        </w:rPr>
        <w:t>448.92</w:t>
      </w:r>
      <w:r>
        <w:rPr>
          <w:rFonts w:ascii="Arial" w:hAnsi="Arial" w:cs="Arial" w:eastAsia="Arial" w:hint="default"/>
          <w:spacing w:val="-11"/>
        </w:rPr>
        <w:t> </w:t>
      </w:r>
      <w:r>
        <w:rPr/>
        <w:t>亿元及约人民币</w:t>
      </w:r>
      <w:r>
        <w:rPr>
          <w:spacing w:val="-60"/>
        </w:rPr>
        <w:t> </w:t>
      </w:r>
      <w:r>
        <w:rPr>
          <w:rFonts w:ascii="Arial" w:hAnsi="Arial" w:cs="Arial" w:eastAsia="Arial" w:hint="default"/>
        </w:rPr>
        <w:t>9.83</w:t>
      </w:r>
    </w:p>
    <w:p>
      <w:pPr>
        <w:pStyle w:val="BodyText"/>
        <w:spacing w:line="294" w:lineRule="exact"/>
        <w:ind w:left="502" w:right="0"/>
        <w:jc w:val="both"/>
      </w:pPr>
      <w:r>
        <w:rPr/>
        <w:t>亿元（</w:t>
      </w:r>
      <w:r>
        <w:rPr>
          <w:rFonts w:ascii="Arial" w:hAnsi="Arial" w:cs="Arial" w:eastAsia="Arial" w:hint="default"/>
        </w:rPr>
        <w:t>2008</w:t>
      </w:r>
      <w:r>
        <w:rPr>
          <w:rFonts w:ascii="Arial" w:hAnsi="Arial" w:cs="Arial" w:eastAsia="Arial" w:hint="default"/>
          <w:spacing w:val="-7"/>
        </w:rPr>
        <w:t> </w:t>
      </w:r>
      <w:r>
        <w:rPr/>
        <w:t>年度持续经营业务：约人民币</w:t>
      </w:r>
      <w:r>
        <w:rPr>
          <w:spacing w:val="-57"/>
        </w:rPr>
        <w:t> </w:t>
      </w:r>
      <w:r>
        <w:rPr>
          <w:rFonts w:ascii="Arial" w:hAnsi="Arial" w:cs="Arial" w:eastAsia="Arial" w:hint="default"/>
        </w:rPr>
        <w:t>458.60</w:t>
      </w:r>
      <w:r>
        <w:rPr>
          <w:rFonts w:ascii="Arial" w:hAnsi="Arial" w:cs="Arial" w:eastAsia="Arial" w:hint="default"/>
          <w:spacing w:val="-8"/>
        </w:rPr>
        <w:t> </w:t>
      </w:r>
      <w:r>
        <w:rPr/>
        <w:t>亿元及约人民币</w:t>
      </w:r>
      <w:r>
        <w:rPr>
          <w:spacing w:val="-57"/>
        </w:rPr>
        <w:t> </w:t>
      </w:r>
      <w:r>
        <w:rPr>
          <w:rFonts w:ascii="Arial" w:hAnsi="Arial" w:cs="Arial" w:eastAsia="Arial" w:hint="default"/>
        </w:rPr>
        <w:t>8.92</w:t>
      </w:r>
      <w:r>
        <w:rPr>
          <w:rFonts w:ascii="Arial" w:hAnsi="Arial" w:cs="Arial" w:eastAsia="Arial" w:hint="default"/>
          <w:spacing w:val="-8"/>
        </w:rPr>
        <w:t> </w:t>
      </w:r>
      <w:r>
        <w:rPr/>
        <w:t>亿元）。</w:t>
      </w:r>
    </w:p>
    <w:p>
      <w:pPr>
        <w:spacing w:line="240" w:lineRule="auto" w:before="13"/>
        <w:rPr>
          <w:rFonts w:ascii="宋体" w:hAnsi="宋体" w:cs="宋体" w:eastAsia="宋体" w:hint="default"/>
          <w:sz w:val="17"/>
          <w:szCs w:val="17"/>
        </w:rPr>
      </w:pPr>
    </w:p>
    <w:p>
      <w:pPr>
        <w:pStyle w:val="BodyText"/>
        <w:spacing w:line="295" w:lineRule="exact"/>
        <w:ind w:left="501" w:right="0"/>
        <w:jc w:val="both"/>
      </w:pPr>
      <w:r>
        <w:rPr/>
        <w:t>于</w:t>
      </w:r>
      <w:r>
        <w:rPr>
          <w:spacing w:val="-63"/>
        </w:rPr>
        <w:t> </w:t>
      </w:r>
      <w:r>
        <w:rPr>
          <w:rFonts w:ascii="Arial" w:hAnsi="Arial" w:cs="Arial" w:eastAsia="Arial" w:hint="default"/>
        </w:rPr>
        <w:t>2009</w:t>
      </w:r>
      <w:r>
        <w:rPr>
          <w:rFonts w:ascii="Arial" w:hAnsi="Arial" w:cs="Arial" w:eastAsia="Arial" w:hint="default"/>
          <w:spacing w:val="-14"/>
        </w:rPr>
        <w:t> </w:t>
      </w:r>
      <w:r>
        <w:rPr/>
        <w:t>年度，本集团因固定资产报废清理而产生的净收益约人民币</w:t>
      </w:r>
      <w:r>
        <w:rPr>
          <w:spacing w:val="-61"/>
        </w:rPr>
        <w:t> </w:t>
      </w:r>
      <w:r>
        <w:rPr>
          <w:rFonts w:ascii="Arial" w:hAnsi="Arial" w:cs="Arial" w:eastAsia="Arial" w:hint="default"/>
        </w:rPr>
        <w:t>0.81</w:t>
      </w:r>
      <w:r>
        <w:rPr>
          <w:rFonts w:ascii="Arial" w:hAnsi="Arial" w:cs="Arial" w:eastAsia="Arial" w:hint="default"/>
          <w:spacing w:val="-14"/>
        </w:rPr>
        <w:t> </w:t>
      </w:r>
      <w:r>
        <w:rPr>
          <w:spacing w:val="-5"/>
        </w:rPr>
        <w:t>亿元（</w:t>
      </w:r>
      <w:r>
        <w:rPr>
          <w:rFonts w:ascii="Arial" w:hAnsi="Arial" w:cs="Arial" w:eastAsia="Arial" w:hint="default"/>
          <w:spacing w:val="-5"/>
        </w:rPr>
        <w:t>2008</w:t>
      </w:r>
      <w:r>
        <w:rPr>
          <w:rFonts w:ascii="Arial" w:hAnsi="Arial" w:cs="Arial" w:eastAsia="Arial" w:hint="default"/>
          <w:spacing w:val="-14"/>
        </w:rPr>
        <w:t> </w:t>
      </w:r>
      <w:r>
        <w:rPr>
          <w:spacing w:val="-9"/>
        </w:rPr>
        <w:t>年度：对</w:t>
      </w:r>
    </w:p>
    <w:p>
      <w:pPr>
        <w:pStyle w:val="BodyText"/>
        <w:spacing w:line="295" w:lineRule="exact"/>
        <w:ind w:left="501" w:right="0"/>
        <w:jc w:val="both"/>
      </w:pPr>
      <w:r>
        <w:rPr/>
        <w:t>持续经营业务净损失约人民币</w:t>
      </w:r>
      <w:r>
        <w:rPr>
          <w:spacing w:val="-57"/>
        </w:rPr>
        <w:t> </w:t>
      </w:r>
      <w:r>
        <w:rPr>
          <w:rFonts w:ascii="Arial" w:hAnsi="Arial" w:cs="Arial" w:eastAsia="Arial" w:hint="default"/>
        </w:rPr>
        <w:t>0.45</w:t>
      </w:r>
      <w:r>
        <w:rPr>
          <w:rFonts w:ascii="Arial" w:hAnsi="Arial" w:cs="Arial" w:eastAsia="Arial" w:hint="default"/>
          <w:spacing w:val="-8"/>
        </w:rPr>
        <w:t> </w:t>
      </w:r>
      <w:r>
        <w:rPr/>
        <w:t>亿元）。</w:t>
      </w:r>
    </w:p>
    <w:p>
      <w:pPr>
        <w:spacing w:after="0" w:line="295" w:lineRule="exact"/>
        <w:jc w:val="both"/>
        <w:sectPr>
          <w:footerReference w:type="default" r:id="rId89"/>
          <w:pgSz w:w="11910" w:h="16840"/>
          <w:pgMar w:footer="752" w:header="0" w:top="3060" w:bottom="940" w:left="1240" w:right="1000"/>
          <w:pgNumType w:start="107"/>
        </w:sectPr>
      </w:pPr>
    </w:p>
    <w:p>
      <w:pPr>
        <w:spacing w:line="240" w:lineRule="auto" w:before="12"/>
        <w:rPr>
          <w:rFonts w:ascii="宋体" w:hAnsi="宋体" w:cs="宋体" w:eastAsia="宋体" w:hint="default"/>
          <w:sz w:val="14"/>
          <w:szCs w:val="14"/>
        </w:rPr>
      </w:pPr>
    </w:p>
    <w:p>
      <w:pPr>
        <w:pStyle w:val="BodyText"/>
        <w:spacing w:line="240" w:lineRule="auto" w:before="31"/>
        <w:ind w:left="102" w:right="109"/>
        <w:jc w:val="left"/>
        <w:rPr>
          <w:rFonts w:ascii="黑体" w:hAnsi="黑体" w:cs="黑体" w:eastAsia="黑体" w:hint="default"/>
        </w:rPr>
      </w:pPr>
      <w:r>
        <w:rPr>
          <w:rFonts w:ascii="Arial" w:hAnsi="Arial" w:cs="Arial" w:eastAsia="Arial" w:hint="default"/>
        </w:rPr>
        <w:t>9</w:t>
      </w:r>
      <w:r>
        <w:rPr>
          <w:rFonts w:ascii="黑体" w:hAnsi="黑体" w:cs="黑体" w:eastAsia="黑体" w:hint="default"/>
        </w:rPr>
        <w:t>、固定资产（续）</w:t>
      </w:r>
    </w:p>
    <w:p>
      <w:pPr>
        <w:spacing w:line="240" w:lineRule="auto" w:before="3"/>
        <w:rPr>
          <w:rFonts w:ascii="黑体" w:hAnsi="黑体" w:cs="黑体" w:eastAsia="黑体" w:hint="default"/>
          <w:sz w:val="20"/>
          <w:szCs w:val="20"/>
        </w:rPr>
      </w:pPr>
    </w:p>
    <w:p>
      <w:pPr>
        <w:pStyle w:val="BodyText"/>
        <w:spacing w:line="284" w:lineRule="exact"/>
        <w:ind w:left="462" w:right="97" w:firstLine="45"/>
        <w:jc w:val="left"/>
      </w:pPr>
      <w:r>
        <w:rPr/>
        <w:t>本集团的固定资产减值准备主要为</w:t>
      </w:r>
      <w:r>
        <w:rPr>
          <w:spacing w:val="-64"/>
        </w:rPr>
        <w:t> </w:t>
      </w:r>
      <w:r>
        <w:rPr>
          <w:rFonts w:ascii="Arial" w:hAnsi="Arial" w:cs="Arial" w:eastAsia="Arial" w:hint="default"/>
        </w:rPr>
        <w:t>2008</w:t>
      </w:r>
      <w:r>
        <w:rPr>
          <w:rFonts w:ascii="Arial" w:hAnsi="Arial" w:cs="Arial" w:eastAsia="Arial" w:hint="default"/>
          <w:spacing w:val="-16"/>
        </w:rPr>
        <w:t> </w:t>
      </w:r>
      <w:r>
        <w:rPr/>
        <w:t>年度计提的无线市话相关资产减值准备，另外</w:t>
      </w:r>
      <w:r>
        <w:rPr>
          <w:spacing w:val="-65"/>
        </w:rPr>
        <w:t> </w:t>
      </w:r>
      <w:r>
        <w:rPr>
          <w:rFonts w:ascii="Arial" w:hAnsi="Arial" w:cs="Arial" w:eastAsia="Arial" w:hint="default"/>
        </w:rPr>
        <w:t>2009</w:t>
      </w:r>
      <w:r>
        <w:rPr>
          <w:rFonts w:ascii="Arial" w:hAnsi="Arial" w:cs="Arial" w:eastAsia="Arial" w:hint="default"/>
          <w:spacing w:val="-16"/>
        </w:rPr>
        <w:t> </w:t>
      </w:r>
      <w:r>
        <w:rPr/>
        <w:t>年</w:t>
      </w:r>
      <w:r>
        <w:rPr>
          <w:w w:val="99"/>
        </w:rPr>
        <w:t> </w:t>
      </w:r>
      <w:r>
        <w:rPr/>
        <w:t>度，本集团的部分资产减值准备随资产处置报废而转出。</w:t>
      </w:r>
    </w:p>
    <w:p>
      <w:pPr>
        <w:spacing w:line="240" w:lineRule="auto" w:before="2"/>
        <w:rPr>
          <w:rFonts w:ascii="宋体" w:hAnsi="宋体" w:cs="宋体" w:eastAsia="宋体" w:hint="default"/>
          <w:sz w:val="22"/>
          <w:szCs w:val="22"/>
        </w:rPr>
      </w:pPr>
    </w:p>
    <w:p>
      <w:pPr>
        <w:pStyle w:val="BodyText"/>
        <w:spacing w:line="300" w:lineRule="exact"/>
        <w:ind w:left="462" w:right="103"/>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日，本集团对无线市话相关资产进行了更新减值分析，认为没有需要对无线市</w:t>
      </w:r>
      <w:r>
        <w:rPr>
          <w:w w:val="99"/>
        </w:rPr>
        <w:t> </w:t>
      </w:r>
      <w:r>
        <w:rPr/>
        <w:t>话相关资产额外计提减值准备。</w:t>
      </w:r>
    </w:p>
    <w:p>
      <w:pPr>
        <w:spacing w:line="240" w:lineRule="auto" w:before="11"/>
        <w:rPr>
          <w:rFonts w:ascii="宋体" w:hAnsi="宋体" w:cs="宋体" w:eastAsia="宋体" w:hint="default"/>
          <w:sz w:val="16"/>
          <w:szCs w:val="16"/>
        </w:rPr>
      </w:pPr>
    </w:p>
    <w:p>
      <w:pPr>
        <w:pStyle w:val="BodyText"/>
        <w:spacing w:line="240" w:lineRule="auto"/>
        <w:ind w:left="102" w:right="109"/>
        <w:jc w:val="left"/>
      </w:pPr>
      <w:r>
        <w:rPr>
          <w:rFonts w:ascii="Arial" w:hAnsi="Arial" w:cs="Arial" w:eastAsia="Arial" w:hint="default"/>
        </w:rPr>
        <w:t>(a) </w:t>
      </w:r>
      <w:r>
        <w:rPr>
          <w:rFonts w:ascii="Arial" w:hAnsi="Arial" w:cs="Arial" w:eastAsia="Arial" w:hint="default"/>
          <w:spacing w:val="26"/>
        </w:rPr>
        <w:t> </w:t>
      </w:r>
      <w:r>
        <w:rPr/>
        <w:t>融资租入的固定资产</w:t>
      </w:r>
    </w:p>
    <w:p>
      <w:pPr>
        <w:spacing w:line="240" w:lineRule="auto" w:before="12"/>
        <w:rPr>
          <w:rFonts w:ascii="宋体" w:hAnsi="宋体" w:cs="宋体" w:eastAsia="宋体" w:hint="default"/>
          <w:sz w:val="17"/>
          <w:szCs w:val="17"/>
        </w:rPr>
      </w:pPr>
    </w:p>
    <w:p>
      <w:pPr>
        <w:pStyle w:val="BodyText"/>
        <w:spacing w:line="295" w:lineRule="exact"/>
        <w:ind w:left="522" w:right="109"/>
        <w:jc w:val="left"/>
      </w:pP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日，账面价值约为人民币</w:t>
      </w:r>
      <w:r>
        <w:rPr>
          <w:spacing w:val="-56"/>
        </w:rPr>
        <w:t> </w:t>
      </w:r>
      <w:r>
        <w:rPr>
          <w:rFonts w:ascii="Arial" w:hAnsi="Arial" w:cs="Arial" w:eastAsia="Arial" w:hint="default"/>
        </w:rPr>
        <w:t>1.28</w:t>
      </w:r>
      <w:r>
        <w:rPr>
          <w:rFonts w:ascii="Arial" w:hAnsi="Arial" w:cs="Arial" w:eastAsia="Arial" w:hint="default"/>
          <w:spacing w:val="-7"/>
        </w:rPr>
        <w:t> </w:t>
      </w:r>
      <w:r>
        <w:rPr/>
        <w:t>亿元（原值约为人民币</w:t>
      </w:r>
      <w:r>
        <w:rPr>
          <w:spacing w:val="-56"/>
        </w:rPr>
        <w:t> </w:t>
      </w:r>
      <w:r>
        <w:rPr>
          <w:rFonts w:ascii="Arial" w:hAnsi="Arial" w:cs="Arial" w:eastAsia="Arial" w:hint="default"/>
        </w:rPr>
        <w:t>1.29</w:t>
      </w:r>
      <w:r>
        <w:rPr>
          <w:rFonts w:ascii="Arial" w:hAnsi="Arial" w:cs="Arial" w:eastAsia="Arial" w:hint="default"/>
          <w:spacing w:val="-7"/>
        </w:rPr>
        <w:t> </w:t>
      </w:r>
      <w:r>
        <w:rPr/>
        <w:t>亿元）的固定</w:t>
      </w:r>
    </w:p>
    <w:p>
      <w:pPr>
        <w:pStyle w:val="BodyText"/>
        <w:spacing w:line="285" w:lineRule="exact"/>
        <w:ind w:left="522" w:right="0"/>
        <w:jc w:val="left"/>
        <w:rPr>
          <w:rFonts w:ascii="Arial" w:hAnsi="Arial" w:cs="Arial" w:eastAsia="Arial" w:hint="default"/>
        </w:rPr>
      </w:pPr>
      <w:r>
        <w:rPr/>
        <w:t>资产系融资租入（</w:t>
      </w:r>
      <w:r>
        <w:rPr>
          <w:rFonts w:ascii="Arial" w:hAnsi="Arial" w:cs="Arial" w:eastAsia="Arial" w:hint="default"/>
        </w:rPr>
        <w:t>2008</w:t>
      </w:r>
      <w:r>
        <w:rPr>
          <w:rFonts w:ascii="Arial" w:hAnsi="Arial" w:cs="Arial" w:eastAsia="Arial" w:hint="default"/>
          <w:spacing w:val="-11"/>
        </w:rPr>
        <w:t> </w:t>
      </w:r>
      <w:r>
        <w:rPr/>
        <w:t>年</w:t>
      </w:r>
      <w:r>
        <w:rPr>
          <w:spacing w:val="-60"/>
        </w:rPr>
        <w:t> </w:t>
      </w:r>
      <w:r>
        <w:rPr>
          <w:rFonts w:ascii="Arial" w:hAnsi="Arial" w:cs="Arial" w:eastAsia="Arial" w:hint="default"/>
        </w:rPr>
        <w:t>12</w:t>
      </w:r>
      <w:r>
        <w:rPr>
          <w:rFonts w:ascii="Arial" w:hAnsi="Arial" w:cs="Arial" w:eastAsia="Arial" w:hint="default"/>
          <w:spacing w:val="-11"/>
        </w:rPr>
        <w:t> </w:t>
      </w:r>
      <w:r>
        <w:rPr/>
        <w:t>月</w:t>
      </w:r>
      <w:r>
        <w:rPr>
          <w:spacing w:val="-60"/>
        </w:rPr>
        <w:t> </w:t>
      </w:r>
      <w:r>
        <w:rPr>
          <w:rFonts w:ascii="Arial" w:hAnsi="Arial" w:cs="Arial" w:eastAsia="Arial" w:hint="default"/>
        </w:rPr>
        <w:t>31</w:t>
      </w:r>
      <w:r>
        <w:rPr>
          <w:rFonts w:ascii="Arial" w:hAnsi="Arial" w:cs="Arial" w:eastAsia="Arial" w:hint="default"/>
          <w:spacing w:val="-11"/>
        </w:rPr>
        <w:t> </w:t>
      </w:r>
      <w:r>
        <w:rPr/>
        <w:t>日：账面价值约为人民币</w:t>
      </w:r>
      <w:r>
        <w:rPr>
          <w:spacing w:val="-60"/>
        </w:rPr>
        <w:t> </w:t>
      </w:r>
      <w:r>
        <w:rPr>
          <w:rFonts w:ascii="Arial" w:hAnsi="Arial" w:cs="Arial" w:eastAsia="Arial" w:hint="default"/>
        </w:rPr>
        <w:t>0.52</w:t>
      </w:r>
      <w:r>
        <w:rPr>
          <w:rFonts w:ascii="Arial" w:hAnsi="Arial" w:cs="Arial" w:eastAsia="Arial" w:hint="default"/>
          <w:spacing w:val="-11"/>
        </w:rPr>
        <w:t> </w:t>
      </w:r>
      <w:r>
        <w:rPr/>
        <w:t>亿元，原值约为人民币</w:t>
      </w:r>
      <w:r>
        <w:rPr>
          <w:spacing w:val="-60"/>
        </w:rPr>
        <w:t> </w:t>
      </w:r>
      <w:r>
        <w:rPr>
          <w:rFonts w:ascii="Arial" w:hAnsi="Arial" w:cs="Arial" w:eastAsia="Arial" w:hint="default"/>
        </w:rPr>
        <w:t>3.40</w:t>
      </w:r>
    </w:p>
    <w:p>
      <w:pPr>
        <w:pStyle w:val="BodyText"/>
        <w:spacing w:line="279" w:lineRule="exact"/>
        <w:ind w:left="522" w:right="109"/>
        <w:jc w:val="left"/>
      </w:pPr>
      <w:r>
        <w:rPr/>
        <w:t>亿元）（见附注十三）。具体分析如下（单位：人民币百万元）：</w:t>
      </w:r>
    </w:p>
    <w:p>
      <w:pPr>
        <w:spacing w:line="240" w:lineRule="auto" w:before="1"/>
        <w:rPr>
          <w:rFonts w:ascii="宋体" w:hAnsi="宋体" w:cs="宋体" w:eastAsia="宋体" w:hint="default"/>
          <w:sz w:val="19"/>
          <w:szCs w:val="19"/>
        </w:rPr>
      </w:pPr>
    </w:p>
    <w:p>
      <w:pPr>
        <w:pStyle w:val="BodyText"/>
        <w:tabs>
          <w:tab w:pos="4003" w:val="left" w:leader="none"/>
          <w:tab w:pos="5253" w:val="left" w:leader="none"/>
          <w:tab w:pos="6875" w:val="left" w:leader="none"/>
          <w:tab w:pos="8481" w:val="left" w:leader="none"/>
        </w:tabs>
        <w:spacing w:line="240" w:lineRule="auto"/>
        <w:ind w:left="561" w:right="109"/>
        <w:jc w:val="left"/>
      </w:pP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tab/>
      </w:r>
      <w:r>
        <w:rPr>
          <w:w w:val="95"/>
        </w:rPr>
        <w:t>原值</w:t>
        <w:tab/>
        <w:t>累计折旧</w:t>
        <w:tab/>
        <w:t>减值准备</w:t>
        <w:tab/>
      </w:r>
      <w:r>
        <w:rPr/>
        <w:t>账面价值</w:t>
      </w:r>
    </w:p>
    <w:p>
      <w:pPr>
        <w:tabs>
          <w:tab w:pos="3043" w:val="left" w:leader="none"/>
          <w:tab w:pos="4775" w:val="left" w:leader="none"/>
          <w:tab w:pos="6463" w:val="left" w:leader="none"/>
          <w:tab w:pos="8084" w:val="left" w:leader="none"/>
        </w:tabs>
        <w:spacing w:line="20" w:lineRule="exact"/>
        <w:ind w:left="446" w:right="0" w:firstLine="0"/>
        <w:rPr>
          <w:rFonts w:ascii="宋体" w:hAnsi="宋体" w:cs="宋体" w:eastAsia="宋体" w:hint="default"/>
          <w:sz w:val="2"/>
          <w:szCs w:val="2"/>
        </w:rPr>
      </w:pPr>
      <w:r>
        <w:rPr>
          <w:rFonts w:ascii="宋体"/>
          <w:sz w:val="2"/>
        </w:rPr>
        <w:pict>
          <v:group style="width:118.7pt;height:.75pt;mso-position-horizontal-relative:char;mso-position-vertical-relative:line" coordorigin="0,0" coordsize="2374,15">
            <v:group style="position:absolute;left:7;top:7;width:2360;height:2" coordorigin="7,7" coordsize="2360,2">
              <v:shape style="position:absolute;left:7;top:7;width:2360;height:2" coordorigin="7,7" coordsize="2360,0" path="m7,7l2366,7e" filled="false" stroked="true" strokeweight=".72pt" strokecolor="#000000">
                <v:path arrowok="t"/>
              </v:shape>
            </v:group>
          </v:group>
        </w:pict>
      </w:r>
      <w:r>
        <w:rPr>
          <w:rFonts w:ascii="宋体"/>
          <w:sz w:val="2"/>
        </w:rPr>
      </w:r>
      <w:r>
        <w:rPr>
          <w:rFonts w:ascii="宋体"/>
          <w:sz w:val="2"/>
        </w:rPr>
        <w:tab/>
      </w:r>
      <w:r>
        <w:rPr>
          <w:rFonts w:ascii="宋体"/>
          <w:sz w:val="2"/>
        </w:rPr>
        <w:pict>
          <v:group style="width:75.45pt;height:.75pt;mso-position-horizontal-relative:char;mso-position-vertical-relative:line" coordorigin="0,0" coordsize="1509,15">
            <v:group style="position:absolute;left:7;top:7;width:1494;height:2" coordorigin="7,7" coordsize="1494,2">
              <v:shape style="position:absolute;left:7;top:7;width:1494;height:2" coordorigin="7,7" coordsize="1494,0" path="m7,7l1501,7e" filled="false" stroked="true" strokeweight=".72pt" strokecolor="#000000">
                <v:path arrowok="t"/>
              </v:shape>
            </v:group>
          </v:group>
        </w:pict>
      </w:r>
      <w:r>
        <w:rPr>
          <w:rFonts w:ascii="宋体"/>
          <w:sz w:val="2"/>
        </w:rPr>
      </w:r>
      <w:r>
        <w:rPr>
          <w:rFonts w:ascii="宋体"/>
          <w:sz w:val="2"/>
        </w:rPr>
        <w:tab/>
      </w:r>
      <w:r>
        <w:rPr>
          <w:rFonts w:ascii="宋体"/>
          <w:sz w:val="2"/>
        </w:rPr>
        <w:pict>
          <v:group style="width:73.3pt;height:.75pt;mso-position-horizontal-relative:char;mso-position-vertical-relative:line" coordorigin="0,0" coordsize="1466,15">
            <v:group style="position:absolute;left:7;top:7;width:1451;height:2" coordorigin="7,7" coordsize="1451,2">
              <v:shape style="position:absolute;left:7;top:7;width:1451;height:2" coordorigin="7,7" coordsize="1451,0" path="m7,7l1458,7e" filled="false" stroked="true" strokeweight=".72pt" strokecolor="#000000">
                <v:path arrowok="t"/>
              </v:shape>
            </v:group>
          </v:group>
        </w:pict>
      </w:r>
      <w:r>
        <w:rPr>
          <w:rFonts w:ascii="宋体"/>
          <w:sz w:val="2"/>
        </w:rPr>
      </w:r>
      <w:r>
        <w:rPr>
          <w:rFonts w:ascii="宋体"/>
          <w:sz w:val="2"/>
        </w:rPr>
        <w:tab/>
      </w:r>
      <w:r>
        <w:rPr>
          <w:rFonts w:ascii="宋体"/>
          <w:sz w:val="2"/>
        </w:rPr>
        <w:pict>
          <v:group style="width:69.9pt;height:.75pt;mso-position-horizontal-relative:char;mso-position-vertical-relative:line" coordorigin="0,0" coordsize="1398,15">
            <v:group style="position:absolute;left:7;top:7;width:1384;height:2" coordorigin="7,7" coordsize="1384,2">
              <v:shape style="position:absolute;left:7;top:7;width:1384;height:2" coordorigin="7,7" coordsize="1384,0" path="m7,7l1391,7e" filled="false" stroked="true" strokeweight=".72pt" strokecolor="#000000">
                <v:path arrowok="t"/>
              </v:shape>
            </v:group>
          </v:group>
        </w:pict>
      </w:r>
      <w:r>
        <w:rPr>
          <w:rFonts w:ascii="宋体"/>
          <w:sz w:val="2"/>
        </w:rPr>
      </w:r>
      <w:r>
        <w:rPr>
          <w:rFonts w:ascii="宋体"/>
          <w:sz w:val="2"/>
        </w:rPr>
        <w:tab/>
      </w:r>
      <w:r>
        <w:rPr>
          <w:rFonts w:ascii="宋体"/>
          <w:sz w:val="2"/>
        </w:rPr>
        <w:pict>
          <v:group style="width:69.2pt;height:.75pt;mso-position-horizontal-relative:char;mso-position-vertical-relative:line" coordorigin="0,0" coordsize="1384,15">
            <v:group style="position:absolute;left:7;top:7;width:1370;height:2" coordorigin="7,7" coordsize="1370,2">
              <v:shape style="position:absolute;left:7;top:7;width:1370;height:2" coordorigin="7,7" coordsize="1370,0" path="m7,7l1376,7e" filled="false" stroked="true" strokeweight=".72pt" strokecolor="#000000">
                <v:path arrowok="t"/>
              </v:shape>
            </v:group>
          </v:group>
        </w:pict>
      </w:r>
      <w:r>
        <w:rPr>
          <w:rFonts w:ascii="宋体"/>
          <w:sz w:val="2"/>
        </w:rPr>
      </w:r>
    </w:p>
    <w:p>
      <w:pPr>
        <w:spacing w:line="240" w:lineRule="auto" w:before="2"/>
        <w:rPr>
          <w:rFonts w:ascii="宋体" w:hAnsi="宋体" w:cs="宋体" w:eastAsia="宋体" w:hint="default"/>
          <w:sz w:val="15"/>
          <w:szCs w:val="15"/>
        </w:rPr>
      </w:pPr>
    </w:p>
    <w:p>
      <w:pPr>
        <w:pStyle w:val="BodyText"/>
        <w:tabs>
          <w:tab w:pos="4008" w:val="left" w:leader="none"/>
          <w:tab w:pos="5863" w:val="left" w:leader="none"/>
          <w:tab w:pos="7722" w:val="left" w:leader="none"/>
          <w:tab w:pos="9416" w:val="right" w:leader="none"/>
        </w:tabs>
        <w:spacing w:line="240" w:lineRule="auto" w:before="27"/>
        <w:ind w:left="561" w:right="0"/>
        <w:jc w:val="left"/>
        <w:rPr>
          <w:rFonts w:ascii="Arial" w:hAnsi="Arial" w:cs="Arial" w:eastAsia="Arial" w:hint="default"/>
        </w:rPr>
      </w:pPr>
      <w:r>
        <w:rPr/>
        <w:pict>
          <v:group style="position:absolute;margin-left:216.179993pt;margin-top:17.658363pt;width:75.45pt;height:2.2pt;mso-position-horizontal-relative:page;mso-position-vertical-relative:paragraph;z-index:3808" coordorigin="4324,353" coordsize="1509,44">
            <v:group style="position:absolute;left:4331;top:360;width:1494;height:2" coordorigin="4331,360" coordsize="1494,2">
              <v:shape style="position:absolute;left:4331;top:360;width:1494;height:2" coordorigin="4331,360" coordsize="1494,0" path="m4331,360l5825,360e" filled="false" stroked="true" strokeweight=".72pt" strokecolor="#000000">
                <v:path arrowok="t"/>
              </v:shape>
            </v:group>
            <v:group style="position:absolute;left:4331;top:389;width:1494;height:2" coordorigin="4331,389" coordsize="1494,2">
              <v:shape style="position:absolute;left:4331;top:389;width:1494;height:2" coordorigin="4331,389" coordsize="1494,0" path="m4331,389l5825,389e" filled="false" stroked="true" strokeweight=".72pt" strokecolor="#000000">
                <v:path arrowok="t"/>
              </v:shape>
            </v:group>
            <w10:wrap type="none"/>
          </v:group>
        </w:pict>
      </w:r>
      <w:r>
        <w:rPr/>
        <w:pict>
          <v:group style="position:absolute;margin-left:302.760010pt;margin-top:17.658363pt;width:73.3pt;height:2.2pt;mso-position-horizontal-relative:page;mso-position-vertical-relative:paragraph;z-index:3832" coordorigin="6055,353" coordsize="1466,44">
            <v:group style="position:absolute;left:6062;top:360;width:1451;height:2" coordorigin="6062,360" coordsize="1451,2">
              <v:shape style="position:absolute;left:6062;top:360;width:1451;height:2" coordorigin="6062,360" coordsize="1451,0" path="m6062,360l7513,360e" filled="false" stroked="true" strokeweight=".72pt" strokecolor="#000000">
                <v:path arrowok="t"/>
              </v:shape>
            </v:group>
            <v:group style="position:absolute;left:6062;top:389;width:1451;height:2" coordorigin="6062,389" coordsize="1451,2">
              <v:shape style="position:absolute;left:6062;top:389;width:1451;height:2" coordorigin="6062,389" coordsize="1451,0" path="m6062,389l7513,389e" filled="false" stroked="true" strokeweight=".72pt" strokecolor="#000000">
                <v:path arrowok="t"/>
              </v:shape>
            </v:group>
            <w10:wrap type="none"/>
          </v:group>
        </w:pict>
      </w:r>
      <w:r>
        <w:rPr/>
        <w:pict>
          <v:group style="position:absolute;margin-left:387.179993pt;margin-top:17.658363pt;width:69.9pt;height:2.2pt;mso-position-horizontal-relative:page;mso-position-vertical-relative:paragraph;z-index:3856" coordorigin="7744,353" coordsize="1398,44">
            <v:group style="position:absolute;left:7751;top:360;width:1384;height:2" coordorigin="7751,360" coordsize="1384,2">
              <v:shape style="position:absolute;left:7751;top:360;width:1384;height:2" coordorigin="7751,360" coordsize="1384,0" path="m7751,360l9134,360e" filled="false" stroked="true" strokeweight=".72pt" strokecolor="#000000">
                <v:path arrowok="t"/>
              </v:shape>
            </v:group>
            <v:group style="position:absolute;left:7751;top:389;width:1384;height:2" coordorigin="7751,389" coordsize="1384,2">
              <v:shape style="position:absolute;left:7751;top:389;width:1384;height:2" coordorigin="7751,389" coordsize="1384,0" path="m7751,389l9134,389e" filled="false" stroked="true" strokeweight=".72pt" strokecolor="#000000">
                <v:path arrowok="t"/>
              </v:shape>
            </v:group>
            <w10:wrap type="none"/>
          </v:group>
        </w:pict>
      </w:r>
      <w:r>
        <w:rPr/>
        <w:pict>
          <v:group style="position:absolute;margin-left:468.23999pt;margin-top:17.658363pt;width:69.2pt;height:2.2pt;mso-position-horizontal-relative:page;mso-position-vertical-relative:paragraph;z-index:3880" coordorigin="9365,353" coordsize="1384,44">
            <v:group style="position:absolute;left:9372;top:360;width:1370;height:2" coordorigin="9372,360" coordsize="1370,2">
              <v:shape style="position:absolute;left:9372;top:360;width:1370;height:2" coordorigin="9372,360" coordsize="1370,0" path="m9372,360l10741,360e" filled="false" stroked="true" strokeweight=".72pt" strokecolor="#000000">
                <v:path arrowok="t"/>
              </v:shape>
            </v:group>
            <v:group style="position:absolute;left:9372;top:389;width:1370;height:2" coordorigin="9372,389" coordsize="1370,2">
              <v:shape style="position:absolute;left:9372;top:389;width:1370;height:2" coordorigin="9372,389" coordsize="1370,0" path="m9372,389l10741,389e" filled="false" stroked="true" strokeweight=".72pt" strokecolor="#000000">
                <v:path arrowok="t"/>
              </v:shape>
            </v:group>
            <w10:wrap type="none"/>
          </v:group>
        </w:pict>
      </w:r>
      <w:r>
        <w:rPr>
          <w:w w:val="95"/>
          <w:position w:val="2"/>
        </w:rPr>
        <w:t>通信设备</w:t>
        <w:tab/>
      </w:r>
      <w:r>
        <w:rPr>
          <w:rFonts w:ascii="Arial" w:hAnsi="Arial" w:cs="Arial" w:eastAsia="Arial" w:hint="default"/>
          <w:w w:val="95"/>
        </w:rPr>
        <w:t>129</w:t>
        <w:tab/>
        <w:t>(1)</w:t>
        <w:tab/>
      </w:r>
      <w:r>
        <w:rPr>
          <w:rFonts w:ascii="Arial" w:hAnsi="Arial" w:cs="Arial" w:eastAsia="Arial" w:hint="default"/>
        </w:rPr>
        <w:t>-</w:t>
        <w:tab/>
        <w:t>128</w:t>
      </w:r>
    </w:p>
    <w:p>
      <w:pPr>
        <w:pStyle w:val="BodyText"/>
        <w:spacing w:line="240" w:lineRule="auto" w:before="265"/>
        <w:ind w:left="561" w:right="109"/>
        <w:jc w:val="left"/>
      </w:pPr>
      <w:r>
        <w:rPr/>
        <w:pict>
          <v:group style="position:absolute;margin-left:86.699997pt;margin-top:29.637964pt;width:118pt;height:.1pt;mso-position-horizontal-relative:page;mso-position-vertical-relative:paragraph;z-index:3904" coordorigin="1734,593" coordsize="2360,2">
            <v:shape style="position:absolute;left:1734;top:593;width:2360;height:2" coordorigin="1734,593" coordsize="2360,0" path="m1734,593l4093,593e" filled="false" stroked="true" strokeweight=".72pt" strokecolor="#000000">
              <v:path arrowok="t"/>
            </v:shape>
            <w10:wrap type="none"/>
          </v:group>
        </w:pic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p>
      <w:pPr>
        <w:pStyle w:val="BodyText"/>
        <w:tabs>
          <w:tab w:pos="4008" w:val="left" w:leader="none"/>
          <w:tab w:pos="5618" w:val="left" w:leader="none"/>
          <w:tab w:pos="7721" w:val="left" w:leader="none"/>
          <w:tab w:pos="9416" w:val="right" w:leader="none"/>
        </w:tabs>
        <w:spacing w:line="240" w:lineRule="auto" w:before="245"/>
        <w:ind w:left="561" w:right="0"/>
        <w:jc w:val="left"/>
        <w:rPr>
          <w:rFonts w:ascii="Arial" w:hAnsi="Arial" w:cs="Arial" w:eastAsia="Arial" w:hint="default"/>
        </w:rPr>
      </w:pPr>
      <w:r>
        <w:rPr/>
        <w:pict>
          <v:group style="position:absolute;margin-left:215.820007pt;margin-top:28.618389pt;width:76.150pt;height:2.2pt;mso-position-horizontal-relative:page;mso-position-vertical-relative:paragraph;z-index:3928" coordorigin="4316,572" coordsize="1523,44">
            <v:group style="position:absolute;left:4324;top:608;width:1509;height:2" coordorigin="4324,608" coordsize="1509,2">
              <v:shape style="position:absolute;left:4324;top:608;width:1509;height:2" coordorigin="4324,608" coordsize="1509,0" path="m4324,608l5832,608e" filled="false" stroked="true" strokeweight=".72pt" strokecolor="#000000">
                <v:path arrowok="t"/>
              </v:shape>
            </v:group>
            <v:group style="position:absolute;left:4324;top:580;width:1509;height:2" coordorigin="4324,580" coordsize="1509,2">
              <v:shape style="position:absolute;left:4324;top:580;width:1509;height:2" coordorigin="4324,580" coordsize="1509,0" path="m4324,580l5832,580e" filled="false" stroked="true" strokeweight=".72pt" strokecolor="#000000">
                <v:path arrowok="t"/>
              </v:shape>
            </v:group>
            <w10:wrap type="none"/>
          </v:group>
        </w:pict>
      </w:r>
      <w:r>
        <w:rPr/>
        <w:pict>
          <v:group style="position:absolute;margin-left:302.399994pt;margin-top:28.618389pt;width:74pt;height:2.2pt;mso-position-horizontal-relative:page;mso-position-vertical-relative:paragraph;z-index:3952" coordorigin="6048,572" coordsize="1480,44">
            <v:group style="position:absolute;left:6055;top:608;width:1466;height:2" coordorigin="6055,608" coordsize="1466,2">
              <v:shape style="position:absolute;left:6055;top:608;width:1466;height:2" coordorigin="6055,608" coordsize="1466,0" path="m6055,608l7520,608e" filled="false" stroked="true" strokeweight=".72pt" strokecolor="#000000">
                <v:path arrowok="t"/>
              </v:shape>
            </v:group>
            <v:group style="position:absolute;left:6055;top:580;width:1466;height:2" coordorigin="6055,580" coordsize="1466,2">
              <v:shape style="position:absolute;left:6055;top:580;width:1466;height:2" coordorigin="6055,580" coordsize="1466,0" path="m6055,580l7520,580e" filled="false" stroked="true" strokeweight=".72pt" strokecolor="#000000">
                <v:path arrowok="t"/>
              </v:shape>
            </v:group>
            <w10:wrap type="none"/>
          </v:group>
        </w:pict>
      </w:r>
      <w:r>
        <w:rPr/>
        <w:pict>
          <v:group style="position:absolute;margin-left:386.820007pt;margin-top:28.618389pt;width:70.650pt;height:2.2pt;mso-position-horizontal-relative:page;mso-position-vertical-relative:paragraph;z-index:3976" coordorigin="7736,572" coordsize="1413,44">
            <v:group style="position:absolute;left:7744;top:608;width:1398;height:2" coordorigin="7744,608" coordsize="1398,2">
              <v:shape style="position:absolute;left:7744;top:608;width:1398;height:2" coordorigin="7744,608" coordsize="1398,0" path="m7744,608l9142,608e" filled="false" stroked="true" strokeweight=".72pt" strokecolor="#000000">
                <v:path arrowok="t"/>
              </v:shape>
            </v:group>
            <v:group style="position:absolute;left:7744;top:580;width:1398;height:2" coordorigin="7744,580" coordsize="1398,2">
              <v:shape style="position:absolute;left:7744;top:580;width:1398;height:2" coordorigin="7744,580" coordsize="1398,0" path="m7744,580l9142,580e" filled="false" stroked="true" strokeweight=".72pt" strokecolor="#000000">
                <v:path arrowok="t"/>
              </v:shape>
            </v:group>
            <w10:wrap type="none"/>
          </v:group>
        </w:pict>
      </w:r>
      <w:r>
        <w:rPr/>
        <w:pict>
          <v:group style="position:absolute;margin-left:467.880005pt;margin-top:28.618389pt;width:69.9pt;height:2.2pt;mso-position-horizontal-relative:page;mso-position-vertical-relative:paragraph;z-index:4000" coordorigin="9358,572" coordsize="1398,44">
            <v:group style="position:absolute;left:9365;top:608;width:1384;height:2" coordorigin="9365,608" coordsize="1384,2">
              <v:shape style="position:absolute;left:9365;top:608;width:1384;height:2" coordorigin="9365,608" coordsize="1384,0" path="m9365,608l10748,608e" filled="false" stroked="true" strokeweight=".72pt" strokecolor="#000000">
                <v:path arrowok="t"/>
              </v:shape>
            </v:group>
            <v:group style="position:absolute;left:9365;top:580;width:1384;height:2" coordorigin="9365,580" coordsize="1384,2">
              <v:shape style="position:absolute;left:9365;top:580;width:1384;height:2" coordorigin="9365,580" coordsize="1384,0" path="m9365,580l10748,580e" filled="false" stroked="true" strokeweight=".72pt" strokecolor="#000000">
                <v:path arrowok="t"/>
              </v:shape>
            </v:group>
            <w10:wrap type="none"/>
          </v:group>
        </w:pict>
      </w:r>
      <w:r>
        <w:rPr>
          <w:w w:val="95"/>
          <w:position w:val="2"/>
        </w:rPr>
        <w:t>通信设备</w:t>
        <w:tab/>
      </w:r>
      <w:r>
        <w:rPr>
          <w:rFonts w:ascii="Arial" w:hAnsi="Arial" w:cs="Arial" w:eastAsia="Arial" w:hint="default"/>
          <w:w w:val="95"/>
        </w:rPr>
        <w:t>340</w:t>
        <w:tab/>
        <w:t>(288)</w:t>
        <w:tab/>
      </w:r>
      <w:r>
        <w:rPr>
          <w:rFonts w:ascii="Arial" w:hAnsi="Arial" w:cs="Arial" w:eastAsia="Arial" w:hint="default"/>
        </w:rPr>
        <w:t>-</w:t>
        <w:tab/>
        <w:t>52</w:t>
      </w:r>
    </w:p>
    <w:p>
      <w:pPr>
        <w:pStyle w:val="BodyText"/>
        <w:spacing w:line="240" w:lineRule="auto" w:before="264"/>
        <w:ind w:left="102" w:right="109"/>
        <w:jc w:val="left"/>
        <w:rPr>
          <w:rFonts w:ascii="黑体" w:hAnsi="黑体" w:cs="黑体" w:eastAsia="黑体" w:hint="default"/>
        </w:rPr>
      </w:pPr>
      <w:r>
        <w:rPr>
          <w:rFonts w:ascii="Arial" w:hAnsi="Arial" w:cs="Arial" w:eastAsia="Arial" w:hint="default"/>
        </w:rPr>
        <w:t>10</w:t>
      </w:r>
      <w:r>
        <w:rPr>
          <w:rFonts w:ascii="黑体" w:hAnsi="黑体" w:cs="黑体" w:eastAsia="黑体" w:hint="default"/>
        </w:rPr>
        <w:t>、在建工程</w:t>
      </w:r>
    </w:p>
    <w:p>
      <w:pPr>
        <w:tabs>
          <w:tab w:pos="3523" w:val="left" w:leader="none"/>
          <w:tab w:pos="4911" w:val="left" w:leader="none"/>
          <w:tab w:pos="6280" w:val="left" w:leader="none"/>
          <w:tab w:pos="6556" w:val="left" w:leader="none"/>
          <w:tab w:pos="7427" w:val="left" w:leader="none"/>
          <w:tab w:pos="8728" w:val="left" w:leader="none"/>
        </w:tabs>
        <w:spacing w:line="242" w:lineRule="auto" w:before="220"/>
        <w:ind w:left="2306" w:right="335" w:firstLine="693"/>
        <w:jc w:val="left"/>
        <w:rPr>
          <w:rFonts w:ascii="宋体" w:hAnsi="宋体" w:cs="宋体" w:eastAsia="宋体" w:hint="default"/>
          <w:sz w:val="16"/>
          <w:szCs w:val="16"/>
        </w:rPr>
      </w:pPr>
      <w:r>
        <w:rPr/>
        <w:pict>
          <v:group style="position:absolute;margin-left:148.679993pt;margin-top:22.742561pt;width:392.8pt;height:.75pt;mso-position-horizontal-relative:page;mso-position-vertical-relative:paragraph;z-index:-915472" coordorigin="2974,455" coordsize="7856,15">
            <v:group style="position:absolute;left:2981;top:462;width:3971;height:2" coordorigin="2981,462" coordsize="3971,2">
              <v:shape style="position:absolute;left:2981;top:462;width:3971;height:2" coordorigin="2981,462" coordsize="3971,0" path="m2981,462l6952,462e" filled="false" stroked="true" strokeweight=".72pt" strokecolor="#000000">
                <v:path arrowok="t"/>
              </v:shape>
            </v:group>
            <v:group style="position:absolute;left:7027;top:462;width:3795;height:2" coordorigin="7027,462" coordsize="3795,2">
              <v:shape style="position:absolute;left:7027;top:462;width:3795;height:2" coordorigin="7027,462" coordsize="3795,0" path="m7027,462l10822,462e" filled="false" stroked="true" strokeweight=".72pt" strokecolor="#000000">
                <v:path arrowok="t"/>
              </v:shape>
            </v:group>
            <w10:wrap type="none"/>
          </v:group>
        </w:pict>
      </w:r>
      <w:r>
        <w:rPr/>
        <w:pict>
          <v:group style="position:absolute;margin-left:149.039993pt;margin-top:34.20256pt;width:69.55pt;height:.1pt;mso-position-horizontal-relative:page;mso-position-vertical-relative:paragraph;z-index:4048" coordorigin="2981,684" coordsize="1391,2">
            <v:shape style="position:absolute;left:2981;top:684;width:1391;height:2" coordorigin="2981,684" coordsize="1391,0" path="m2981,684l4372,684e" filled="false" stroked="true" strokeweight=".72pt" strokecolor="#000000">
              <v:path arrowok="t"/>
            </v:shape>
            <w10:wrap type="none"/>
          </v:group>
        </w:pict>
      </w:r>
      <w:r>
        <w:rPr/>
        <w:pict>
          <v:group style="position:absolute;margin-left:222.779999pt;margin-top:34.20256pt;width:55.3pt;height:.1pt;mso-position-horizontal-relative:page;mso-position-vertical-relative:paragraph;z-index:4072" coordorigin="4456,684" coordsize="1106,2">
            <v:shape style="position:absolute;left:4456;top:684;width:1106;height:2" coordorigin="4456,684" coordsize="1106,0" path="m4456,684l5561,684e" filled="false" stroked="true" strokeweight=".72pt" strokecolor="#000000">
              <v:path arrowok="t"/>
            </v:shape>
            <w10:wrap type="none"/>
          </v:group>
        </w:pict>
      </w:r>
      <w:r>
        <w:rPr/>
        <w:pict>
          <v:group style="position:absolute;margin-left:281.579987pt;margin-top:33.842564pt;width:133.8pt;height:.75pt;mso-position-horizontal-relative:page;mso-position-vertical-relative:paragraph;z-index:4096" coordorigin="5632,677" coordsize="2676,15">
            <v:group style="position:absolute;left:5639;top:684;width:1313;height:2" coordorigin="5639,684" coordsize="1313,2">
              <v:shape style="position:absolute;left:5639;top:684;width:1313;height:2" coordorigin="5639,684" coordsize="1313,0" path="m5639,684l6952,684e" filled="false" stroked="true" strokeweight=".72pt" strokecolor="#000000">
                <v:path arrowok="t"/>
              </v:shape>
            </v:group>
            <v:group style="position:absolute;left:7027;top:684;width:1274;height:2" coordorigin="7027,684" coordsize="1274,2">
              <v:shape style="position:absolute;left:7027;top:684;width:1274;height:2" coordorigin="7027,684" coordsize="1274,0" path="m7027,684l8300,684e" filled="false" stroked="true" strokeweight=".72pt" strokecolor="#000000">
                <v:path arrowok="t"/>
              </v:shape>
            </v:group>
            <w10:wrap type="none"/>
          </v:group>
        </w:pict>
      </w:r>
      <w:r>
        <w:rPr/>
        <w:pict>
          <v:group style="position:absolute;margin-left:418.859985pt;margin-top:33.842564pt;width:122.6pt;height:.75pt;mso-position-horizontal-relative:page;mso-position-vertical-relative:paragraph;z-index:4120" coordorigin="8377,677" coordsize="2452,15">
            <v:group style="position:absolute;left:8384;top:684;width:1016;height:2" coordorigin="8384,684" coordsize="1016,2">
              <v:shape style="position:absolute;left:8384;top:684;width:1016;height:2" coordorigin="8384,684" coordsize="1016,0" path="m8384,684l9400,684e" filled="false" stroked="true" strokeweight=".72pt" strokecolor="#000000">
                <v:path arrowok="t"/>
              </v:shape>
            </v:group>
            <v:group style="position:absolute;left:9475;top:684;width:1347;height:2" coordorigin="9475,684" coordsize="1347,2">
              <v:shape style="position:absolute;left:9475;top:684;width:1347;height:2" coordorigin="9475,684" coordsize="1347,0" path="m9475,684l10822,684e" filled="false" stroked="true" strokeweight=".72pt" strokecolor="#000000">
                <v:path arrowok="t"/>
              </v:shape>
            </v:group>
            <w10:wrap type="none"/>
          </v:group>
        </w:pict>
      </w:r>
      <w:r>
        <w:rPr>
          <w:rFonts w:ascii="Arial" w:hAnsi="Arial" w:cs="Arial" w:eastAsia="Arial" w:hint="default"/>
          <w:sz w:val="16"/>
          <w:szCs w:val="16"/>
        </w:rPr>
        <w:t>2009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12</w:t>
      </w:r>
      <w:r>
        <w:rPr>
          <w:rFonts w:ascii="Arial" w:hAnsi="Arial" w:cs="Arial" w:eastAsia="Arial" w:hint="default"/>
          <w:spacing w:val="-5"/>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tab/>
        <w:tab/>
        <w:tab/>
      </w:r>
      <w:r>
        <w:rPr>
          <w:rFonts w:ascii="Arial" w:hAnsi="Arial" w:cs="Arial" w:eastAsia="Arial" w:hint="default"/>
          <w:sz w:val="16"/>
          <w:szCs w:val="16"/>
        </w:rPr>
        <w:t>2008</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12</w:t>
      </w:r>
      <w:r>
        <w:rPr>
          <w:rFonts w:ascii="Arial" w:hAnsi="Arial" w:cs="Arial" w:eastAsia="Arial" w:hint="default"/>
          <w:spacing w:val="-5"/>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日（经重列）</w:t>
      </w:r>
      <w:r>
        <w:rPr>
          <w:rFonts w:ascii="宋体" w:hAnsi="宋体" w:cs="宋体" w:eastAsia="宋体" w:hint="default"/>
          <w:w w:val="99"/>
          <w:sz w:val="16"/>
          <w:szCs w:val="16"/>
        </w:rPr>
        <w:t> </w:t>
      </w:r>
      <w:r>
        <w:rPr>
          <w:rFonts w:ascii="宋体" w:hAnsi="宋体" w:cs="宋体" w:eastAsia="宋体" w:hint="default"/>
          <w:w w:val="95"/>
          <w:sz w:val="16"/>
          <w:szCs w:val="16"/>
        </w:rPr>
        <w:t>账面余额</w:t>
        <w:tab/>
        <w:t>减值准备</w:t>
        <w:tab/>
        <w:t>账面价值</w:t>
        <w:tab/>
        <w:t>账面余额</w:t>
        <w:tab/>
        <w:t>减值准备</w:t>
        <w:tab/>
      </w:r>
      <w:r>
        <w:rPr>
          <w:rFonts w:ascii="宋体" w:hAnsi="宋体" w:cs="宋体" w:eastAsia="宋体" w:hint="default"/>
          <w:sz w:val="16"/>
          <w:szCs w:val="16"/>
        </w:rPr>
        <w:t>账面价值</w:t>
      </w:r>
    </w:p>
    <w:p>
      <w:pPr>
        <w:tabs>
          <w:tab w:pos="1832" w:val="left" w:leader="none"/>
          <w:tab w:pos="3397" w:val="left" w:leader="none"/>
          <w:tab w:pos="4437" w:val="left" w:leader="none"/>
          <w:tab w:pos="5806" w:val="left" w:leader="none"/>
          <w:tab w:pos="7277" w:val="left" w:leader="none"/>
          <w:tab w:pos="8312" w:val="left" w:leader="none"/>
        </w:tabs>
        <w:spacing w:line="219" w:lineRule="exact" w:before="196"/>
        <w:ind w:left="599" w:right="109" w:firstLine="0"/>
        <w:jc w:val="left"/>
        <w:rPr>
          <w:rFonts w:ascii="Arial" w:hAnsi="Arial" w:cs="Arial" w:eastAsia="Arial" w:hint="default"/>
          <w:sz w:val="16"/>
          <w:szCs w:val="16"/>
        </w:rPr>
      </w:pPr>
      <w:r>
        <w:rPr>
          <w:rFonts w:ascii="宋体" w:hAnsi="宋体" w:cs="宋体" w:eastAsia="宋体" w:hint="default"/>
          <w:w w:val="95"/>
          <w:position w:val="1"/>
          <w:sz w:val="16"/>
          <w:szCs w:val="16"/>
        </w:rPr>
        <w:t>移动网络工程</w:t>
        <w:tab/>
      </w:r>
      <w:r>
        <w:rPr>
          <w:rFonts w:ascii="Arial" w:hAnsi="Arial" w:cs="Arial" w:eastAsia="Arial" w:hint="default"/>
          <w:w w:val="95"/>
          <w:sz w:val="16"/>
          <w:szCs w:val="16"/>
        </w:rPr>
        <w:t>37,732,241,293</w:t>
        <w:tab/>
        <w:t>(2,909,506)</w:t>
        <w:tab/>
        <w:t>37,729,331,787</w:t>
        <w:tab/>
        <w:t>27,979,784,168</w:t>
        <w:tab/>
        <w:t>(2,909,506)</w:t>
        <w:tab/>
      </w:r>
      <w:r>
        <w:rPr>
          <w:rFonts w:ascii="Arial" w:hAnsi="Arial" w:cs="Arial" w:eastAsia="Arial" w:hint="default"/>
          <w:sz w:val="16"/>
          <w:szCs w:val="16"/>
        </w:rPr>
        <w:t>27,976,874,662</w:t>
      </w:r>
    </w:p>
    <w:p>
      <w:pPr>
        <w:tabs>
          <w:tab w:pos="9541" w:val="left" w:leader="none"/>
        </w:tabs>
        <w:spacing w:line="219" w:lineRule="exact" w:before="0"/>
        <w:ind w:left="599" w:right="-11" w:firstLine="0"/>
        <w:jc w:val="left"/>
        <w:rPr>
          <w:rFonts w:ascii="Arial" w:hAnsi="Arial" w:cs="Arial" w:eastAsia="Arial" w:hint="default"/>
          <w:sz w:val="16"/>
          <w:szCs w:val="16"/>
        </w:rPr>
      </w:pPr>
      <w:r>
        <w:rPr>
          <w:rFonts w:ascii="宋体" w:hAnsi="宋体" w:cs="宋体" w:eastAsia="宋体" w:hint="default"/>
          <w:position w:val="1"/>
          <w:sz w:val="16"/>
          <w:szCs w:val="16"/>
        </w:rPr>
        <w:t>固定网络工程   </w:t>
      </w:r>
      <w:r>
        <w:rPr>
          <w:rFonts w:ascii="Arial" w:hAnsi="Arial" w:cs="Arial" w:eastAsia="Arial" w:hint="default"/>
          <w:sz w:val="16"/>
          <w:szCs w:val="16"/>
        </w:rPr>
      </w:r>
      <w:r>
        <w:rPr>
          <w:rFonts w:ascii="Arial" w:hAnsi="Arial" w:cs="Arial" w:eastAsia="Arial" w:hint="default"/>
          <w:sz w:val="16"/>
          <w:szCs w:val="16"/>
          <w:u w:val="single" w:color="000000"/>
        </w:rPr>
        <w:t> 20,129,688,855        </w:t>
      </w:r>
      <w:r>
        <w:rPr>
          <w:rFonts w:ascii="Arial" w:hAnsi="Arial" w:cs="Arial" w:eastAsia="Arial" w:hint="default"/>
          <w:sz w:val="16"/>
          <w:szCs w:val="16"/>
        </w:rPr>
      </w:r>
      <w:r>
        <w:rPr>
          <w:rFonts w:ascii="Arial" w:hAnsi="Arial" w:cs="Arial" w:eastAsia="Arial" w:hint="default"/>
          <w:sz w:val="16"/>
          <w:szCs w:val="16"/>
          <w:u w:val="single" w:color="000000"/>
        </w:rPr>
        <w:t> (15,121,410)     </w:t>
      </w:r>
      <w:r>
        <w:rPr>
          <w:rFonts w:ascii="Arial" w:hAnsi="Arial" w:cs="Arial" w:eastAsia="Arial" w:hint="default"/>
          <w:sz w:val="16"/>
          <w:szCs w:val="16"/>
        </w:rPr>
      </w:r>
      <w:r>
        <w:rPr>
          <w:rFonts w:ascii="Arial" w:hAnsi="Arial" w:cs="Arial" w:eastAsia="Arial" w:hint="default"/>
          <w:sz w:val="16"/>
          <w:szCs w:val="16"/>
          <w:u w:val="single" w:color="000000"/>
        </w:rPr>
        <w:t> 20,114,567,445        </w:t>
      </w:r>
      <w:r>
        <w:rPr>
          <w:rFonts w:ascii="Arial" w:hAnsi="Arial" w:cs="Arial" w:eastAsia="Arial" w:hint="default"/>
          <w:sz w:val="16"/>
          <w:szCs w:val="16"/>
        </w:rPr>
      </w:r>
      <w:r>
        <w:rPr>
          <w:rFonts w:ascii="Arial" w:hAnsi="Arial" w:cs="Arial" w:eastAsia="Arial" w:hint="default"/>
          <w:sz w:val="16"/>
          <w:szCs w:val="16"/>
          <w:u w:val="single" w:color="000000"/>
        </w:rPr>
        <w:t> 7,851,599,519      </w:t>
      </w:r>
      <w:r>
        <w:rPr>
          <w:rFonts w:ascii="Arial" w:hAnsi="Arial" w:cs="Arial" w:eastAsia="Arial" w:hint="default"/>
          <w:sz w:val="16"/>
          <w:szCs w:val="16"/>
        </w:rPr>
      </w:r>
      <w:r>
        <w:rPr>
          <w:rFonts w:ascii="Arial" w:hAnsi="Arial" w:cs="Arial" w:eastAsia="Arial" w:hint="default"/>
          <w:sz w:val="16"/>
          <w:szCs w:val="16"/>
          <w:u w:val="single" w:color="000000"/>
        </w:rPr>
        <w:t> (22,400,399)      </w:t>
      </w:r>
      <w:r>
        <w:rPr>
          <w:rFonts w:ascii="Arial" w:hAnsi="Arial" w:cs="Arial" w:eastAsia="Arial" w:hint="default"/>
          <w:spacing w:val="16"/>
          <w:sz w:val="16"/>
          <w:szCs w:val="16"/>
          <w:u w:val="single" w:color="000000"/>
        </w:rPr>
        <w:t> </w:t>
      </w:r>
      <w:r>
        <w:rPr>
          <w:rFonts w:ascii="Arial" w:hAnsi="Arial" w:cs="Arial" w:eastAsia="Arial" w:hint="default"/>
          <w:spacing w:val="16"/>
          <w:sz w:val="16"/>
          <w:szCs w:val="16"/>
        </w:rPr>
      </w:r>
      <w:r>
        <w:rPr>
          <w:rFonts w:ascii="Arial" w:hAnsi="Arial" w:cs="Arial" w:eastAsia="Arial" w:hint="default"/>
          <w:spacing w:val="16"/>
          <w:sz w:val="16"/>
          <w:szCs w:val="16"/>
          <w:u w:val="single" w:color="000000"/>
        </w:rPr>
        <w:t> </w:t>
      </w:r>
      <w:r>
        <w:rPr>
          <w:rFonts w:ascii="Arial" w:hAnsi="Arial" w:cs="Arial" w:eastAsia="Arial" w:hint="default"/>
          <w:sz w:val="16"/>
          <w:szCs w:val="16"/>
          <w:u w:val="single" w:color="000000"/>
        </w:rPr>
        <w:t>7,829,199,120</w:t>
        <w:tab/>
      </w:r>
      <w:r>
        <w:rPr>
          <w:rFonts w:ascii="Arial" w:hAnsi="Arial" w:cs="Arial" w:eastAsia="Arial" w:hint="default"/>
          <w:sz w:val="16"/>
          <w:szCs w:val="16"/>
        </w:rPr>
      </w:r>
    </w:p>
    <w:p>
      <w:pPr>
        <w:tabs>
          <w:tab w:pos="1832" w:val="left" w:leader="none"/>
          <w:tab w:pos="3308" w:val="left" w:leader="none"/>
          <w:tab w:pos="4437" w:val="left" w:leader="none"/>
          <w:tab w:pos="5806" w:val="left" w:leader="none"/>
          <w:tab w:pos="7191" w:val="left" w:leader="none"/>
          <w:tab w:pos="8312" w:val="left" w:leader="none"/>
        </w:tabs>
        <w:spacing w:before="176"/>
        <w:ind w:left="561" w:right="109" w:firstLine="0"/>
        <w:jc w:val="left"/>
        <w:rPr>
          <w:rFonts w:ascii="Arial" w:hAnsi="Arial" w:cs="Arial" w:eastAsia="Arial" w:hint="default"/>
          <w:sz w:val="16"/>
          <w:szCs w:val="16"/>
        </w:rPr>
      </w:pPr>
      <w:r>
        <w:rPr>
          <w:rFonts w:ascii="宋体" w:hAnsi="宋体" w:cs="宋体" w:eastAsia="宋体" w:hint="default"/>
          <w:w w:val="95"/>
          <w:position w:val="1"/>
          <w:sz w:val="16"/>
          <w:szCs w:val="16"/>
        </w:rPr>
        <w:t>合计</w:t>
        <w:tab/>
      </w:r>
      <w:r>
        <w:rPr>
          <w:rFonts w:ascii="Arial" w:hAnsi="Arial" w:cs="Arial" w:eastAsia="Arial" w:hint="default"/>
          <w:w w:val="95"/>
          <w:sz w:val="16"/>
          <w:szCs w:val="16"/>
        </w:rPr>
        <w:t>57,861,930,148</w:t>
        <w:tab/>
        <w:t>(18,030,916)</w:t>
        <w:tab/>
        <w:t>57,843,899,232</w:t>
        <w:tab/>
        <w:t>35,831,383,687</w:t>
        <w:tab/>
        <w:t>(25,309,905)</w:t>
        <w:tab/>
      </w:r>
      <w:r>
        <w:rPr>
          <w:rFonts w:ascii="Arial" w:hAnsi="Arial" w:cs="Arial" w:eastAsia="Arial" w:hint="default"/>
          <w:sz w:val="16"/>
          <w:szCs w:val="16"/>
        </w:rPr>
        <w:t>35,806,073,782</w:t>
      </w:r>
    </w:p>
    <w:p>
      <w:pPr>
        <w:spacing w:line="43" w:lineRule="exact"/>
        <w:ind w:left="1686" w:right="0" w:firstLine="0"/>
        <w:rPr>
          <w:rFonts w:ascii="Arial" w:hAnsi="Arial" w:cs="Arial" w:eastAsia="Arial" w:hint="default"/>
          <w:sz w:val="4"/>
          <w:szCs w:val="4"/>
        </w:rPr>
      </w:pPr>
      <w:r>
        <w:rPr>
          <w:rFonts w:ascii="Arial" w:hAnsi="Arial" w:cs="Arial" w:eastAsia="Arial" w:hint="default"/>
          <w:position w:val="0"/>
          <w:sz w:val="4"/>
          <w:szCs w:val="4"/>
        </w:rPr>
        <w:pict>
          <v:group style="width:393.5pt;height:2.2pt;mso-position-horizontal-relative:char;mso-position-vertical-relative:line" coordorigin="0,0" coordsize="7870,44">
            <v:group style="position:absolute;left:7;top:36;width:1406;height:2" coordorigin="7,36" coordsize="1406,2">
              <v:shape style="position:absolute;left:7;top:36;width:1406;height:2" coordorigin="7,36" coordsize="1406,0" path="m7,36l1412,36e" filled="false" stroked="true" strokeweight=".72pt" strokecolor="#000000">
                <v:path arrowok="t"/>
              </v:shape>
            </v:group>
            <v:group style="position:absolute;left:7;top:7;width:1406;height:2" coordorigin="7,7" coordsize="1406,2">
              <v:shape style="position:absolute;left:7;top:7;width:1406;height:2" coordorigin="7,7" coordsize="1406,0" path="m7,7l1412,7e" filled="false" stroked="true" strokeweight=".72pt" strokecolor="#000000">
                <v:path arrowok="t"/>
              </v:shape>
            </v:group>
            <v:group style="position:absolute;left:1482;top:36;width:1120;height:2" coordorigin="1482,36" coordsize="1120,2">
              <v:shape style="position:absolute;left:1482;top:36;width:1120;height:2" coordorigin="1482,36" coordsize="1120,0" path="m1482,36l2602,36e" filled="false" stroked="true" strokeweight=".72pt" strokecolor="#000000">
                <v:path arrowok="t"/>
              </v:shape>
            </v:group>
            <v:group style="position:absolute;left:1482;top:7;width:1120;height:2" coordorigin="1482,7" coordsize="1120,2">
              <v:shape style="position:absolute;left:1482;top:7;width:1120;height:2" coordorigin="1482,7" coordsize="1120,0" path="m1482,7l2602,7e" filled="false" stroked="true" strokeweight=".72pt" strokecolor="#000000">
                <v:path arrowok="t"/>
              </v:shape>
            </v:group>
            <v:group style="position:absolute;left:2665;top:36;width:1328;height:2" coordorigin="2665,36" coordsize="1328,2">
              <v:shape style="position:absolute;left:2665;top:36;width:1328;height:2" coordorigin="2665,36" coordsize="1328,0" path="m2665,36l3992,36e" filled="false" stroked="true" strokeweight=".72pt" strokecolor="#000000">
                <v:path arrowok="t"/>
              </v:shape>
            </v:group>
            <v:group style="position:absolute;left:2665;top:7;width:1328;height:2" coordorigin="2665,7" coordsize="1328,2">
              <v:shape style="position:absolute;left:2665;top:7;width:1328;height:2" coordorigin="2665,7" coordsize="1328,0" path="m2665,7l3992,7e" filled="false" stroked="true" strokeweight=".72pt" strokecolor="#000000">
                <v:path arrowok="t"/>
              </v:shape>
            </v:group>
            <v:group style="position:absolute;left:4054;top:36;width:1288;height:2" coordorigin="4054,36" coordsize="1288,2">
              <v:shape style="position:absolute;left:4054;top:36;width:1288;height:2" coordorigin="4054,36" coordsize="1288,0" path="m4054,36l5341,36e" filled="false" stroked="true" strokeweight=".72pt" strokecolor="#000000">
                <v:path arrowok="t"/>
              </v:shape>
            </v:group>
            <v:group style="position:absolute;left:4054;top:7;width:1288;height:2" coordorigin="4054,7" coordsize="1288,2">
              <v:shape style="position:absolute;left:4054;top:7;width:1288;height:2" coordorigin="4054,7" coordsize="1288,0" path="m4054,7l5341,7e" filled="false" stroked="true" strokeweight=".72pt" strokecolor="#000000">
                <v:path arrowok="t"/>
              </v:shape>
            </v:group>
            <v:group style="position:absolute;left:5411;top:36;width:1030;height:2" coordorigin="5411,36" coordsize="1030,2">
              <v:shape style="position:absolute;left:5411;top:36;width:1030;height:2" coordorigin="5411,36" coordsize="1030,0" path="m5411,36l6440,36e" filled="false" stroked="true" strokeweight=".72pt" strokecolor="#000000">
                <v:path arrowok="t"/>
              </v:shape>
            </v:group>
            <v:group style="position:absolute;left:5411;top:7;width:1030;height:2" coordorigin="5411,7" coordsize="1030,2">
              <v:shape style="position:absolute;left:5411;top:7;width:1030;height:2" coordorigin="5411,7" coordsize="1030,0" path="m5411,7l6440,7e" filled="false" stroked="true" strokeweight=".72pt" strokecolor="#000000">
                <v:path arrowok="t"/>
              </v:shape>
            </v:group>
            <v:group style="position:absolute;left:6502;top:36;width:1361;height:2" coordorigin="6502,36" coordsize="1361,2">
              <v:shape style="position:absolute;left:6502;top:36;width:1361;height:2" coordorigin="6502,36" coordsize="1361,0" path="m6502,36l7862,36e" filled="false" stroked="true" strokeweight=".72pt" strokecolor="#000000">
                <v:path arrowok="t"/>
              </v:shape>
            </v:group>
            <v:group style="position:absolute;left:6502;top:7;width:1361;height:2" coordorigin="6502,7" coordsize="1361,2">
              <v:shape style="position:absolute;left:6502;top:7;width:1361;height:2" coordorigin="6502,7" coordsize="1361,0" path="m6502,7l7862,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2"/>
        <w:rPr>
          <w:rFonts w:ascii="Arial" w:hAnsi="Arial" w:cs="Arial" w:eastAsia="Arial" w:hint="default"/>
          <w:sz w:val="19"/>
          <w:szCs w:val="19"/>
        </w:rPr>
      </w:pPr>
    </w:p>
    <w:p>
      <w:pPr>
        <w:pStyle w:val="BodyText"/>
        <w:spacing w:line="295" w:lineRule="exact"/>
        <w:ind w:left="550" w:right="0"/>
        <w:jc w:val="both"/>
        <w:rPr>
          <w:rFonts w:ascii="Arial" w:hAnsi="Arial" w:cs="Arial" w:eastAsia="Arial" w:hint="default"/>
        </w:rPr>
      </w:pPr>
      <w:r>
        <w:rPr>
          <w:w w:val="99"/>
        </w:rPr>
        <w:t>于</w:t>
      </w:r>
      <w:r>
        <w:rPr>
          <w:spacing w:val="-77"/>
        </w:rPr>
        <w:t> </w:t>
      </w:r>
      <w:r>
        <w:rPr>
          <w:rFonts w:ascii="Arial" w:hAnsi="Arial" w:cs="Arial" w:eastAsia="Arial" w:hint="default"/>
          <w:w w:val="99"/>
        </w:rPr>
        <w:t>2009</w:t>
      </w:r>
      <w:r>
        <w:rPr>
          <w:rFonts w:ascii="Arial" w:hAnsi="Arial" w:cs="Arial" w:eastAsia="Arial" w:hint="default"/>
          <w:spacing w:val="-27"/>
        </w:rPr>
        <w:t> </w:t>
      </w:r>
      <w:r>
        <w:rPr>
          <w:w w:val="99"/>
        </w:rPr>
        <w:t>年</w:t>
      </w:r>
      <w:r>
        <w:rPr>
          <w:spacing w:val="-77"/>
        </w:rPr>
        <w:t> </w:t>
      </w:r>
      <w:r>
        <w:rPr>
          <w:rFonts w:ascii="Arial" w:hAnsi="Arial" w:cs="Arial" w:eastAsia="Arial" w:hint="default"/>
          <w:spacing w:val="1"/>
          <w:w w:val="99"/>
        </w:rPr>
        <w:t>1</w:t>
      </w:r>
      <w:r>
        <w:rPr>
          <w:rFonts w:ascii="Arial" w:hAnsi="Arial" w:cs="Arial" w:eastAsia="Arial" w:hint="default"/>
          <w:w w:val="99"/>
        </w:rPr>
        <w:t>2</w:t>
      </w:r>
      <w:r>
        <w:rPr>
          <w:rFonts w:ascii="Arial" w:hAnsi="Arial" w:cs="Arial" w:eastAsia="Arial" w:hint="default"/>
          <w:spacing w:val="-28"/>
        </w:rPr>
        <w:t> </w:t>
      </w:r>
      <w:r>
        <w:rPr>
          <w:w w:val="99"/>
        </w:rPr>
        <w:t>月</w:t>
      </w:r>
      <w:r>
        <w:rPr>
          <w:spacing w:val="-77"/>
        </w:rPr>
        <w:t> </w:t>
      </w:r>
      <w:r>
        <w:rPr>
          <w:rFonts w:ascii="Arial" w:hAnsi="Arial" w:cs="Arial" w:eastAsia="Arial" w:hint="default"/>
          <w:w w:val="99"/>
        </w:rPr>
        <w:t>31</w:t>
      </w:r>
      <w:r>
        <w:rPr>
          <w:rFonts w:ascii="Arial" w:hAnsi="Arial" w:cs="Arial" w:eastAsia="Arial" w:hint="default"/>
          <w:spacing w:val="-28"/>
        </w:rPr>
        <w:t> </w:t>
      </w:r>
      <w:r>
        <w:rPr>
          <w:spacing w:val="1"/>
          <w:w w:val="99"/>
        </w:rPr>
        <w:t>日</w:t>
      </w:r>
      <w:r>
        <w:rPr>
          <w:spacing w:val="-110"/>
          <w:w w:val="99"/>
        </w:rPr>
        <w:t>，</w:t>
      </w:r>
      <w:r>
        <w:rPr>
          <w:w w:val="99"/>
        </w:rPr>
        <w:t>本集团</w:t>
      </w:r>
      <w:r>
        <w:rPr>
          <w:spacing w:val="1"/>
          <w:w w:val="99"/>
        </w:rPr>
        <w:t>在建</w:t>
      </w:r>
      <w:r>
        <w:rPr>
          <w:w w:val="99"/>
        </w:rPr>
        <w:t>工程原</w:t>
      </w:r>
      <w:r>
        <w:rPr>
          <w:spacing w:val="1"/>
          <w:w w:val="99"/>
        </w:rPr>
        <w:t>值中</w:t>
      </w:r>
      <w:r>
        <w:rPr>
          <w:w w:val="99"/>
        </w:rPr>
        <w:t>包括资</w:t>
      </w:r>
      <w:r>
        <w:rPr>
          <w:spacing w:val="1"/>
          <w:w w:val="99"/>
        </w:rPr>
        <w:t>本化</w:t>
      </w:r>
      <w:r>
        <w:rPr>
          <w:w w:val="99"/>
        </w:rPr>
        <w:t>的借款</w:t>
      </w:r>
      <w:r>
        <w:rPr>
          <w:spacing w:val="1"/>
          <w:w w:val="99"/>
        </w:rPr>
        <w:t>费用</w:t>
      </w:r>
      <w:r>
        <w:rPr>
          <w:w w:val="99"/>
        </w:rPr>
        <w:t>约人民币</w:t>
      </w:r>
      <w:r>
        <w:rPr>
          <w:spacing w:val="-76"/>
        </w:rPr>
        <w:t> </w:t>
      </w:r>
      <w:r>
        <w:rPr>
          <w:rFonts w:ascii="Arial" w:hAnsi="Arial" w:cs="Arial" w:eastAsia="Arial" w:hint="default"/>
          <w:w w:val="99"/>
        </w:rPr>
        <w:t>7.</w:t>
      </w:r>
      <w:r>
        <w:rPr>
          <w:rFonts w:ascii="Arial" w:hAnsi="Arial" w:cs="Arial" w:eastAsia="Arial" w:hint="default"/>
          <w:spacing w:val="1"/>
          <w:w w:val="99"/>
        </w:rPr>
        <w:t>0</w:t>
      </w:r>
      <w:r>
        <w:rPr>
          <w:rFonts w:ascii="Arial" w:hAnsi="Arial" w:cs="Arial" w:eastAsia="Arial" w:hint="default"/>
          <w:w w:val="99"/>
        </w:rPr>
        <w:t>8</w:t>
      </w:r>
      <w:r>
        <w:rPr>
          <w:rFonts w:ascii="Arial" w:hAnsi="Arial" w:cs="Arial" w:eastAsia="Arial" w:hint="default"/>
          <w:spacing w:val="-28"/>
        </w:rPr>
        <w:t> </w:t>
      </w:r>
      <w:r>
        <w:rPr>
          <w:w w:val="99"/>
        </w:rPr>
        <w:t>亿</w:t>
      </w:r>
      <w:r>
        <w:rPr>
          <w:spacing w:val="-111"/>
          <w:w w:val="99"/>
        </w:rPr>
        <w:t>元</w:t>
      </w:r>
      <w:r>
        <w:rPr>
          <w:w w:val="99"/>
        </w:rPr>
        <w:t>（</w:t>
      </w:r>
      <w:r>
        <w:rPr>
          <w:rFonts w:ascii="Arial" w:hAnsi="Arial" w:cs="Arial" w:eastAsia="Arial" w:hint="default"/>
          <w:w w:val="99"/>
        </w:rPr>
        <w:t>2008</w:t>
      </w:r>
      <w:r>
        <w:rPr>
          <w:rFonts w:ascii="Arial" w:hAnsi="Arial" w:cs="Arial" w:eastAsia="Arial" w:hint="default"/>
        </w:rPr>
      </w:r>
    </w:p>
    <w:p>
      <w:pPr>
        <w:pStyle w:val="BodyText"/>
        <w:spacing w:line="285" w:lineRule="exact"/>
        <w:ind w:left="549" w:right="0"/>
        <w:jc w:val="both"/>
        <w:rPr>
          <w:rFonts w:ascii="Arial" w:hAnsi="Arial" w:cs="Arial" w:eastAsia="Arial" w:hint="default"/>
        </w:rPr>
      </w:pPr>
      <w:r>
        <w:rPr/>
        <w:t>年</w:t>
      </w:r>
      <w:r>
        <w:rPr>
          <w:spacing w:val="-57"/>
        </w:rPr>
        <w:t> </w:t>
      </w: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spacing w:val="-10"/>
        </w:rPr>
        <w:t>日：约人民币</w:t>
      </w:r>
      <w:r>
        <w:rPr>
          <w:spacing w:val="-57"/>
        </w:rPr>
        <w:t> </w:t>
      </w:r>
      <w:r>
        <w:rPr>
          <w:rFonts w:ascii="Arial" w:hAnsi="Arial" w:cs="Arial" w:eastAsia="Arial" w:hint="default"/>
        </w:rPr>
        <w:t>2.24</w:t>
      </w:r>
      <w:r>
        <w:rPr>
          <w:rFonts w:ascii="Arial" w:hAnsi="Arial" w:cs="Arial" w:eastAsia="Arial" w:hint="default"/>
          <w:spacing w:val="-8"/>
        </w:rPr>
        <w:t> </w:t>
      </w:r>
      <w:r>
        <w:rPr>
          <w:spacing w:val="-15"/>
        </w:rPr>
        <w:t>亿元），本集团于</w:t>
      </w:r>
      <w:r>
        <w:rPr>
          <w:spacing w:val="-57"/>
        </w:rPr>
        <w:t> </w:t>
      </w:r>
      <w:r>
        <w:rPr>
          <w:rFonts w:ascii="Arial" w:hAnsi="Arial" w:cs="Arial" w:eastAsia="Arial" w:hint="default"/>
        </w:rPr>
        <w:t>2009</w:t>
      </w:r>
      <w:r>
        <w:rPr>
          <w:rFonts w:ascii="Arial" w:hAnsi="Arial" w:cs="Arial" w:eastAsia="Arial" w:hint="default"/>
          <w:spacing w:val="-8"/>
        </w:rPr>
        <w:t> </w:t>
      </w:r>
      <w:r>
        <w:rPr/>
        <w:t>年度的利息资本化率约为</w:t>
      </w:r>
      <w:r>
        <w:rPr>
          <w:spacing w:val="-56"/>
        </w:rPr>
        <w:t> </w:t>
      </w:r>
      <w:r>
        <w:rPr>
          <w:rFonts w:ascii="Arial" w:hAnsi="Arial" w:cs="Arial" w:eastAsia="Arial" w:hint="default"/>
        </w:rPr>
        <w:t>4.27%-4.80%</w:t>
      </w:r>
    </w:p>
    <w:p>
      <w:pPr>
        <w:pStyle w:val="BodyText"/>
        <w:spacing w:line="225" w:lineRule="auto" w:before="6"/>
        <w:ind w:left="549" w:right="164" w:hanging="1"/>
        <w:jc w:val="both"/>
      </w:pPr>
      <w:r>
        <w:rPr/>
        <w:t>（</w:t>
      </w:r>
      <w:r>
        <w:rPr>
          <w:rFonts w:ascii="Arial" w:hAnsi="Arial" w:cs="Arial" w:eastAsia="Arial" w:hint="default"/>
        </w:rPr>
        <w:t>2008 </w:t>
      </w:r>
      <w:r>
        <w:rPr/>
        <w:t>年度：</w:t>
      </w:r>
      <w:r>
        <w:rPr>
          <w:rFonts w:ascii="Arial" w:hAnsi="Arial" w:cs="Arial" w:eastAsia="Arial" w:hint="default"/>
        </w:rPr>
        <w:t>3.51%-6.80%</w:t>
      </w:r>
      <w:r>
        <w:rPr/>
        <w:t>）。于 </w:t>
      </w:r>
      <w:r>
        <w:rPr>
          <w:rFonts w:ascii="Arial" w:hAnsi="Arial" w:cs="Arial" w:eastAsia="Arial" w:hint="default"/>
        </w:rPr>
        <w:t>2009</w:t>
      </w:r>
      <w:r>
        <w:rPr>
          <w:rFonts w:ascii="Arial" w:hAnsi="Arial" w:cs="Arial" w:eastAsia="Arial" w:hint="default"/>
          <w:spacing w:val="6"/>
        </w:rPr>
        <w:t> </w:t>
      </w:r>
      <w:r>
        <w:rPr/>
        <w:t>年度，除转入固定资产的在建工程外，有约人民币</w:t>
      </w:r>
      <w:r>
        <w:rPr>
          <w:w w:val="99"/>
        </w:rPr>
        <w:t> </w:t>
      </w:r>
      <w:r>
        <w:rPr>
          <w:rFonts w:ascii="Arial" w:hAnsi="Arial" w:cs="Arial" w:eastAsia="Arial" w:hint="default"/>
        </w:rPr>
        <w:t>17.99</w:t>
      </w:r>
      <w:r>
        <w:rPr>
          <w:rFonts w:ascii="Arial" w:hAnsi="Arial" w:cs="Arial" w:eastAsia="Arial" w:hint="default"/>
          <w:spacing w:val="-1"/>
        </w:rPr>
        <w:t> </w:t>
      </w:r>
      <w:r>
        <w:rPr/>
        <w:t>亿元的土地使用权和计算机软件转入无形资产，有约人民币</w:t>
      </w:r>
      <w:r>
        <w:rPr>
          <w:spacing w:val="-49"/>
        </w:rPr>
        <w:t> </w:t>
      </w:r>
      <w:r>
        <w:rPr>
          <w:rFonts w:ascii="Arial" w:hAnsi="Arial" w:cs="Arial" w:eastAsia="Arial" w:hint="default"/>
        </w:rPr>
        <w:t>14.35</w:t>
      </w:r>
      <w:r>
        <w:rPr>
          <w:rFonts w:ascii="Arial" w:hAnsi="Arial" w:cs="Arial" w:eastAsia="Arial" w:hint="default"/>
          <w:spacing w:val="-1"/>
        </w:rPr>
        <w:t> </w:t>
      </w:r>
      <w:r>
        <w:rPr/>
        <w:t>亿元的经营租入固定</w:t>
      </w:r>
      <w:r>
        <w:rPr>
          <w:w w:val="99"/>
        </w:rPr>
        <w:t> </w:t>
      </w:r>
      <w:r>
        <w:rPr/>
        <w:t>资产改良、长期预付租金及外市电引入等转入长期待摊费用。</w:t>
      </w:r>
    </w:p>
    <w:p>
      <w:pPr>
        <w:spacing w:after="0" w:line="225" w:lineRule="auto"/>
        <w:jc w:val="both"/>
        <w:sectPr>
          <w:headerReference w:type="default" r:id="rId90"/>
          <w:pgSz w:w="11910" w:h="16840"/>
          <w:pgMar w:header="1189" w:footer="752" w:top="3060" w:bottom="940" w:left="1280" w:right="920"/>
        </w:sectPr>
      </w:pPr>
    </w:p>
    <w:p>
      <w:pPr>
        <w:pStyle w:val="BodyText"/>
        <w:spacing w:line="240" w:lineRule="auto" w:before="16"/>
        <w:ind w:left="149" w:right="11869"/>
        <w:jc w:val="left"/>
        <w:rPr>
          <w:rFonts w:ascii="黑体" w:hAnsi="黑体" w:cs="黑体" w:eastAsia="黑体" w:hint="default"/>
        </w:rPr>
      </w:pPr>
      <w:r>
        <w:rPr>
          <w:rFonts w:ascii="黑体" w:hAnsi="黑体" w:cs="黑体" w:eastAsia="黑体" w:hint="default"/>
        </w:rPr>
        <w:t>中国联合网络通信股份有限公司</w:t>
      </w:r>
    </w:p>
    <w:p>
      <w:pPr>
        <w:spacing w:line="240" w:lineRule="auto" w:before="8"/>
        <w:rPr>
          <w:rFonts w:ascii="黑体" w:hAnsi="黑体" w:cs="黑体" w:eastAsia="黑体" w:hint="default"/>
          <w:sz w:val="21"/>
          <w:szCs w:val="21"/>
        </w:rPr>
      </w:pPr>
    </w:p>
    <w:p>
      <w:pPr>
        <w:pStyle w:val="BodyText"/>
        <w:spacing w:line="286" w:lineRule="exact"/>
        <w:ind w:left="149" w:right="11869"/>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left="149" w:right="11869"/>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tabs>
          <w:tab w:pos="610" w:val="left" w:leader="none"/>
        </w:tabs>
        <w:spacing w:line="429" w:lineRule="auto"/>
        <w:ind w:left="149" w:right="11869"/>
        <w:jc w:val="left"/>
        <w:rPr>
          <w:rFonts w:ascii="黑体" w:hAnsi="黑体" w:cs="黑体" w:eastAsia="黑体" w:hint="default"/>
        </w:rPr>
      </w:pPr>
      <w:r>
        <w:rPr>
          <w:rFonts w:ascii="黑体" w:hAnsi="黑体" w:cs="黑体" w:eastAsia="黑体" w:hint="default"/>
        </w:rPr>
        <w:t>（除特别注明外，金额单位为人民币元）</w:t>
      </w:r>
      <w:r>
        <w:rPr>
          <w:rFonts w:ascii="黑体" w:hAnsi="黑体" w:cs="黑体" w:eastAsia="黑体" w:hint="default"/>
          <w:w w:val="99"/>
        </w:rPr>
        <w:t> </w:t>
      </w:r>
      <w:r>
        <w:rPr>
          <w:rFonts w:ascii="黑体" w:hAnsi="黑体" w:cs="黑体" w:eastAsia="黑体" w:hint="default"/>
          <w:w w:val="95"/>
        </w:rPr>
        <w:t>五</w:t>
        <w:tab/>
      </w:r>
      <w:r>
        <w:rPr>
          <w:rFonts w:ascii="黑体" w:hAnsi="黑体" w:cs="黑体" w:eastAsia="黑体" w:hint="default"/>
        </w:rPr>
        <w:t>合并财务报表项目附注（续）</w:t>
      </w:r>
    </w:p>
    <w:p>
      <w:pPr>
        <w:pStyle w:val="BodyText"/>
        <w:spacing w:line="240" w:lineRule="auto" w:before="53"/>
        <w:ind w:left="149" w:right="11869"/>
        <w:jc w:val="left"/>
        <w:rPr>
          <w:rFonts w:ascii="黑体" w:hAnsi="黑体" w:cs="黑体" w:eastAsia="黑体" w:hint="default"/>
        </w:rPr>
      </w:pPr>
      <w:r>
        <w:rPr>
          <w:rFonts w:ascii="Arial" w:hAnsi="Arial" w:cs="Arial" w:eastAsia="Arial" w:hint="default"/>
        </w:rPr>
        <w:t>10</w:t>
      </w:r>
      <w:r>
        <w:rPr>
          <w:rFonts w:ascii="黑体" w:hAnsi="黑体" w:cs="黑体" w:eastAsia="黑体" w:hint="default"/>
        </w:rPr>
        <w:t>、在建工程（续）</w:t>
      </w:r>
    </w:p>
    <w:p>
      <w:pPr>
        <w:spacing w:line="240" w:lineRule="auto" w:before="13"/>
        <w:rPr>
          <w:rFonts w:ascii="黑体" w:hAnsi="黑体" w:cs="黑体" w:eastAsia="黑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466"/>
        <w:gridCol w:w="3174"/>
        <w:gridCol w:w="826"/>
        <w:gridCol w:w="953"/>
        <w:gridCol w:w="1196"/>
        <w:gridCol w:w="1333"/>
        <w:gridCol w:w="1131"/>
        <w:gridCol w:w="1131"/>
        <w:gridCol w:w="899"/>
        <w:gridCol w:w="996"/>
        <w:gridCol w:w="1076"/>
        <w:gridCol w:w="1083"/>
        <w:gridCol w:w="942"/>
        <w:gridCol w:w="544"/>
      </w:tblGrid>
      <w:tr>
        <w:trPr>
          <w:trHeight w:val="711" w:hRule="exact"/>
        </w:trPr>
        <w:tc>
          <w:tcPr>
            <w:tcW w:w="466"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5" w:right="0"/>
              <w:jc w:val="left"/>
              <w:rPr>
                <w:rFonts w:ascii="Arial" w:hAnsi="Arial" w:cs="Arial" w:eastAsia="Arial" w:hint="default"/>
                <w:sz w:val="22"/>
                <w:szCs w:val="22"/>
              </w:rPr>
            </w:pPr>
            <w:r>
              <w:rPr>
                <w:rFonts w:ascii="Arial"/>
                <w:sz w:val="22"/>
              </w:rPr>
              <w:t>(a)</w:t>
            </w:r>
          </w:p>
        </w:tc>
        <w:tc>
          <w:tcPr>
            <w:tcW w:w="3174" w:type="dxa"/>
            <w:tcBorders>
              <w:top w:val="nil" w:sz="6" w:space="0" w:color="auto"/>
              <w:left w:val="nil" w:sz="6" w:space="0" w:color="auto"/>
              <w:bottom w:val="nil" w:sz="6" w:space="0" w:color="auto"/>
              <w:right w:val="nil" w:sz="6" w:space="0" w:color="auto"/>
            </w:tcBorders>
          </w:tcPr>
          <w:p>
            <w:pPr>
              <w:pStyle w:val="TableParagraph"/>
              <w:spacing w:line="240" w:lineRule="auto" w:before="31"/>
              <w:ind w:left="45" w:right="0"/>
              <w:jc w:val="left"/>
              <w:rPr>
                <w:rFonts w:ascii="宋体" w:hAnsi="宋体" w:cs="宋体" w:eastAsia="宋体" w:hint="default"/>
                <w:sz w:val="22"/>
                <w:szCs w:val="22"/>
              </w:rPr>
            </w:pPr>
            <w:r>
              <w:rPr>
                <w:rFonts w:ascii="宋体" w:hAnsi="宋体" w:cs="宋体" w:eastAsia="宋体" w:hint="default"/>
                <w:sz w:val="22"/>
                <w:szCs w:val="22"/>
              </w:rPr>
              <w:t>重大在建工程项目变动</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6"/>
                <w:szCs w:val="16"/>
              </w:rPr>
            </w:pPr>
          </w:p>
          <w:p>
            <w:pPr>
              <w:pStyle w:val="TableParagraph"/>
              <w:spacing w:line="240" w:lineRule="auto" w:before="6"/>
              <w:ind w:right="0"/>
              <w:jc w:val="left"/>
              <w:rPr>
                <w:rFonts w:ascii="黑体" w:hAnsi="黑体" w:cs="黑体" w:eastAsia="黑体" w:hint="default"/>
                <w:sz w:val="20"/>
                <w:szCs w:val="20"/>
              </w:rPr>
            </w:pPr>
          </w:p>
          <w:p>
            <w:pPr>
              <w:pStyle w:val="TableParagraph"/>
              <w:spacing w:line="240" w:lineRule="auto"/>
              <w:ind w:left="230" w:right="0"/>
              <w:jc w:val="left"/>
              <w:rPr>
                <w:rFonts w:ascii="宋体" w:hAnsi="宋体" w:cs="宋体" w:eastAsia="宋体" w:hint="default"/>
                <w:sz w:val="16"/>
                <w:szCs w:val="16"/>
              </w:rPr>
            </w:pPr>
            <w:r>
              <w:rPr>
                <w:rFonts w:ascii="宋体" w:hAnsi="宋体" w:cs="宋体" w:eastAsia="宋体" w:hint="default"/>
                <w:sz w:val="16"/>
                <w:szCs w:val="16"/>
              </w:rPr>
              <w:t>预算数</w:t>
            </w:r>
          </w:p>
        </w:tc>
        <w:tc>
          <w:tcPr>
            <w:tcW w:w="953" w:type="dxa"/>
            <w:tcBorders>
              <w:top w:val="nil" w:sz="6" w:space="0" w:color="auto"/>
              <w:left w:val="nil" w:sz="6" w:space="0" w:color="auto"/>
              <w:bottom w:val="nil" w:sz="6" w:space="0" w:color="auto"/>
              <w:right w:val="nil" w:sz="6" w:space="0" w:color="auto"/>
            </w:tcBorders>
          </w:tcPr>
          <w:p>
            <w:pPr/>
          </w:p>
        </w:tc>
        <w:tc>
          <w:tcPr>
            <w:tcW w:w="1196" w:type="dxa"/>
            <w:tcBorders>
              <w:top w:val="nil" w:sz="6" w:space="0" w:color="auto"/>
              <w:left w:val="nil" w:sz="6" w:space="0" w:color="auto"/>
              <w:bottom w:val="nil" w:sz="6" w:space="0" w:color="auto"/>
              <w:right w:val="nil" w:sz="6" w:space="0" w:color="auto"/>
            </w:tcBorders>
          </w:tcPr>
          <w:p>
            <w:pPr/>
          </w:p>
        </w:tc>
        <w:tc>
          <w:tcPr>
            <w:tcW w:w="1333" w:type="dxa"/>
            <w:tcBorders>
              <w:top w:val="nil" w:sz="6" w:space="0" w:color="auto"/>
              <w:left w:val="nil" w:sz="6" w:space="0" w:color="auto"/>
              <w:bottom w:val="nil" w:sz="6" w:space="0" w:color="auto"/>
              <w:right w:val="nil" w:sz="6" w:space="0" w:color="auto"/>
            </w:tcBorders>
          </w:tcPr>
          <w:p>
            <w:pPr/>
          </w:p>
        </w:tc>
        <w:tc>
          <w:tcPr>
            <w:tcW w:w="1131" w:type="dxa"/>
            <w:tcBorders>
              <w:top w:val="nil" w:sz="6" w:space="0" w:color="auto"/>
              <w:left w:val="nil" w:sz="6" w:space="0" w:color="auto"/>
              <w:bottom w:val="nil" w:sz="6" w:space="0" w:color="auto"/>
              <w:right w:val="nil" w:sz="6" w:space="0" w:color="auto"/>
            </w:tcBorders>
          </w:tcPr>
          <w:p>
            <w:pPr/>
          </w:p>
        </w:tc>
        <w:tc>
          <w:tcPr>
            <w:tcW w:w="1131" w:type="dxa"/>
            <w:tcBorders>
              <w:top w:val="nil" w:sz="6" w:space="0" w:color="auto"/>
              <w:left w:val="nil" w:sz="6" w:space="0" w:color="auto"/>
              <w:bottom w:val="nil" w:sz="6" w:space="0" w:color="auto"/>
              <w:right w:val="nil" w:sz="6" w:space="0" w:color="auto"/>
            </w:tcBorders>
          </w:tcPr>
          <w:p>
            <w:pPr/>
          </w:p>
        </w:tc>
        <w:tc>
          <w:tcPr>
            <w:tcW w:w="899" w:type="dxa"/>
            <w:tcBorders>
              <w:top w:val="nil" w:sz="6" w:space="0" w:color="auto"/>
              <w:left w:val="nil" w:sz="6" w:space="0" w:color="auto"/>
              <w:bottom w:val="nil" w:sz="6" w:space="0" w:color="auto"/>
              <w:right w:val="nil" w:sz="6" w:space="0" w:color="auto"/>
            </w:tcBorders>
          </w:tcPr>
          <w:p>
            <w:pP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6"/>
                <w:szCs w:val="16"/>
              </w:rPr>
            </w:pPr>
          </w:p>
          <w:p>
            <w:pPr>
              <w:pStyle w:val="TableParagraph"/>
              <w:spacing w:line="240" w:lineRule="auto" w:before="6"/>
              <w:ind w:right="0"/>
              <w:jc w:val="left"/>
              <w:rPr>
                <w:rFonts w:ascii="黑体" w:hAnsi="黑体" w:cs="黑体" w:eastAsia="黑体" w:hint="default"/>
                <w:sz w:val="20"/>
                <w:szCs w:val="20"/>
              </w:rPr>
            </w:pPr>
          </w:p>
          <w:p>
            <w:pPr>
              <w:pStyle w:val="TableParagraph"/>
              <w:spacing w:line="240" w:lineRule="auto"/>
              <w:ind w:right="65"/>
              <w:jc w:val="right"/>
              <w:rPr>
                <w:rFonts w:ascii="宋体" w:hAnsi="宋体" w:cs="宋体" w:eastAsia="宋体" w:hint="default"/>
                <w:sz w:val="16"/>
                <w:szCs w:val="16"/>
              </w:rPr>
            </w:pPr>
            <w:r>
              <w:rPr>
                <w:rFonts w:ascii="宋体" w:hAnsi="宋体" w:cs="宋体" w:eastAsia="宋体" w:hint="default"/>
                <w:w w:val="95"/>
                <w:sz w:val="16"/>
                <w:szCs w:val="16"/>
              </w:rPr>
              <w:t>借款费用</w:t>
            </w:r>
            <w:r>
              <w:rPr>
                <w:rFonts w:ascii="宋体" w:hAnsi="宋体" w:cs="宋体" w:eastAsia="宋体" w:hint="default"/>
                <w:sz w:val="16"/>
                <w:szCs w:val="16"/>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6"/>
                <w:szCs w:val="16"/>
              </w:rPr>
            </w:pPr>
          </w:p>
          <w:p>
            <w:pPr>
              <w:pStyle w:val="TableParagraph"/>
              <w:spacing w:line="240" w:lineRule="auto" w:before="6"/>
              <w:ind w:right="0"/>
              <w:jc w:val="left"/>
              <w:rPr>
                <w:rFonts w:ascii="黑体" w:hAnsi="黑体" w:cs="黑体" w:eastAsia="黑体" w:hint="default"/>
                <w:sz w:val="20"/>
                <w:szCs w:val="20"/>
              </w:rPr>
            </w:pPr>
          </w:p>
          <w:p>
            <w:pPr>
              <w:pStyle w:val="TableParagraph"/>
              <w:spacing w:line="240" w:lineRule="auto"/>
              <w:ind w:right="99"/>
              <w:jc w:val="right"/>
              <w:rPr>
                <w:rFonts w:ascii="宋体" w:hAnsi="宋体" w:cs="宋体" w:eastAsia="宋体" w:hint="default"/>
                <w:sz w:val="16"/>
                <w:szCs w:val="16"/>
              </w:rPr>
            </w:pPr>
            <w:r>
              <w:rPr>
                <w:rFonts w:ascii="宋体" w:hAnsi="宋体" w:cs="宋体" w:eastAsia="宋体" w:hint="default"/>
                <w:spacing w:val="-9"/>
                <w:sz w:val="16"/>
                <w:szCs w:val="16"/>
              </w:rPr>
              <w:t>其中：本年借</w:t>
            </w:r>
          </w:p>
        </w:tc>
        <w:tc>
          <w:tcPr>
            <w:tcW w:w="1083" w:type="dxa"/>
            <w:tcBorders>
              <w:top w:val="nil" w:sz="6" w:space="0" w:color="auto"/>
              <w:left w:val="nil" w:sz="6" w:space="0" w:color="auto"/>
              <w:bottom w:val="nil" w:sz="6" w:space="0" w:color="auto"/>
              <w:right w:val="nil" w:sz="6" w:space="0" w:color="auto"/>
            </w:tcBorders>
          </w:tcPr>
          <w:p>
            <w:pPr/>
          </w:p>
        </w:tc>
        <w:tc>
          <w:tcPr>
            <w:tcW w:w="942" w:type="dxa"/>
            <w:tcBorders>
              <w:top w:val="nil" w:sz="6" w:space="0" w:color="auto"/>
              <w:left w:val="nil" w:sz="6" w:space="0" w:color="auto"/>
              <w:bottom w:val="nil" w:sz="6" w:space="0" w:color="auto"/>
              <w:right w:val="nil" w:sz="6" w:space="0" w:color="auto"/>
            </w:tcBorders>
          </w:tcPr>
          <w:p>
            <w:pPr/>
          </w:p>
        </w:tc>
        <w:tc>
          <w:tcPr>
            <w:tcW w:w="54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黑体" w:hAnsi="黑体" w:cs="黑体" w:eastAsia="黑体" w:hint="default"/>
                <w:sz w:val="16"/>
                <w:szCs w:val="16"/>
              </w:rPr>
            </w:pPr>
          </w:p>
          <w:p>
            <w:pPr>
              <w:pStyle w:val="TableParagraph"/>
              <w:spacing w:line="240" w:lineRule="auto" w:before="7"/>
              <w:ind w:right="0"/>
              <w:jc w:val="left"/>
              <w:rPr>
                <w:rFonts w:ascii="黑体" w:hAnsi="黑体" w:cs="黑体" w:eastAsia="黑体" w:hint="default"/>
                <w:sz w:val="20"/>
                <w:szCs w:val="20"/>
              </w:rPr>
            </w:pPr>
          </w:p>
          <w:p>
            <w:pPr>
              <w:pStyle w:val="TableParagraph"/>
              <w:spacing w:line="240" w:lineRule="auto"/>
              <w:ind w:left="92" w:right="0"/>
              <w:jc w:val="left"/>
              <w:rPr>
                <w:rFonts w:ascii="宋体" w:hAnsi="宋体" w:cs="宋体" w:eastAsia="宋体" w:hint="default"/>
                <w:sz w:val="16"/>
                <w:szCs w:val="16"/>
              </w:rPr>
            </w:pPr>
            <w:r>
              <w:rPr>
                <w:rFonts w:ascii="宋体" w:hAnsi="宋体" w:cs="宋体" w:eastAsia="宋体" w:hint="default"/>
                <w:sz w:val="16"/>
                <w:szCs w:val="16"/>
              </w:rPr>
              <w:t>工程</w:t>
            </w:r>
          </w:p>
        </w:tc>
      </w:tr>
      <w:tr>
        <w:trPr>
          <w:trHeight w:val="211" w:hRule="exact"/>
        </w:trPr>
        <w:tc>
          <w:tcPr>
            <w:tcW w:w="466" w:type="dxa"/>
            <w:tcBorders>
              <w:top w:val="nil" w:sz="6" w:space="0" w:color="auto"/>
              <w:left w:val="nil" w:sz="6" w:space="0" w:color="auto"/>
              <w:bottom w:val="nil" w:sz="6" w:space="0" w:color="auto"/>
              <w:right w:val="nil" w:sz="6" w:space="0" w:color="auto"/>
            </w:tcBorders>
          </w:tcPr>
          <w:p>
            <w:pPr/>
          </w:p>
        </w:tc>
        <w:tc>
          <w:tcPr>
            <w:tcW w:w="3174" w:type="dxa"/>
            <w:tcBorders>
              <w:top w:val="nil" w:sz="6" w:space="0" w:color="auto"/>
              <w:left w:val="nil" w:sz="6" w:space="0" w:color="auto"/>
              <w:bottom w:val="nil" w:sz="6" w:space="0" w:color="auto"/>
              <w:right w:val="nil" w:sz="6" w:space="0" w:color="auto"/>
            </w:tcBorders>
          </w:tcPr>
          <w:p>
            <w:pPr/>
          </w:p>
        </w:tc>
        <w:tc>
          <w:tcPr>
            <w:tcW w:w="826" w:type="dxa"/>
            <w:tcBorders>
              <w:top w:val="nil" w:sz="6" w:space="0" w:color="auto"/>
              <w:left w:val="nil" w:sz="6" w:space="0" w:color="auto"/>
              <w:bottom w:val="nil" w:sz="6" w:space="0" w:color="auto"/>
              <w:right w:val="nil" w:sz="6" w:space="0" w:color="auto"/>
            </w:tcBorders>
          </w:tcPr>
          <w:p>
            <w:pPr>
              <w:pStyle w:val="TableParagraph"/>
              <w:spacing w:line="184" w:lineRule="exact"/>
              <w:ind w:right="34"/>
              <w:jc w:val="right"/>
              <w:rPr>
                <w:rFonts w:ascii="宋体" w:hAnsi="宋体" w:cs="宋体" w:eastAsia="宋体" w:hint="default"/>
                <w:sz w:val="16"/>
                <w:szCs w:val="16"/>
              </w:rPr>
            </w:pPr>
            <w:r>
              <w:rPr>
                <w:rFonts w:ascii="宋体" w:hAnsi="宋体" w:cs="宋体" w:eastAsia="宋体" w:hint="default"/>
                <w:w w:val="95"/>
                <w:sz w:val="16"/>
                <w:szCs w:val="16"/>
              </w:rPr>
              <w:t>（人民币</w:t>
            </w:r>
            <w:r>
              <w:rPr>
                <w:rFonts w:ascii="宋体" w:hAnsi="宋体" w:cs="宋体" w:eastAsia="宋体" w:hint="default"/>
                <w:sz w:val="16"/>
                <w:szCs w:val="16"/>
              </w:rPr>
            </w:r>
          </w:p>
        </w:tc>
        <w:tc>
          <w:tcPr>
            <w:tcW w:w="953" w:type="dxa"/>
            <w:tcBorders>
              <w:top w:val="nil" w:sz="6" w:space="0" w:color="auto"/>
              <w:left w:val="nil" w:sz="6" w:space="0" w:color="auto"/>
              <w:bottom w:val="nil" w:sz="6" w:space="0" w:color="auto"/>
              <w:right w:val="nil" w:sz="6" w:space="0" w:color="auto"/>
            </w:tcBorders>
          </w:tcPr>
          <w:p>
            <w:pPr>
              <w:pStyle w:val="TableParagraph"/>
              <w:spacing w:line="195" w:lineRule="exact"/>
              <w:ind w:right="18"/>
              <w:jc w:val="right"/>
              <w:rPr>
                <w:rFonts w:ascii="宋体" w:hAnsi="宋体" w:cs="宋体" w:eastAsia="宋体" w:hint="default"/>
                <w:sz w:val="16"/>
                <w:szCs w:val="16"/>
              </w:rPr>
            </w:pPr>
            <w:r>
              <w:rPr>
                <w:rFonts w:ascii="Arial" w:hAnsi="Arial" w:cs="Arial" w:eastAsia="Arial" w:hint="default"/>
                <w:sz w:val="16"/>
                <w:szCs w:val="16"/>
              </w:rPr>
              <w:t>2008</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1196" w:type="dxa"/>
            <w:tcBorders>
              <w:top w:val="nil" w:sz="6" w:space="0" w:color="auto"/>
              <w:left w:val="nil" w:sz="6" w:space="0" w:color="auto"/>
              <w:bottom w:val="nil" w:sz="6" w:space="0" w:color="auto"/>
              <w:right w:val="nil" w:sz="6" w:space="0" w:color="auto"/>
            </w:tcBorders>
          </w:tcPr>
          <w:p>
            <w:pPr/>
          </w:p>
        </w:tc>
        <w:tc>
          <w:tcPr>
            <w:tcW w:w="1333" w:type="dxa"/>
            <w:tcBorders>
              <w:top w:val="nil" w:sz="6" w:space="0" w:color="auto"/>
              <w:left w:val="nil" w:sz="6" w:space="0" w:color="auto"/>
              <w:bottom w:val="nil" w:sz="6" w:space="0" w:color="auto"/>
              <w:right w:val="nil" w:sz="6" w:space="0" w:color="auto"/>
            </w:tcBorders>
          </w:tcPr>
          <w:p>
            <w:pPr>
              <w:pStyle w:val="TableParagraph"/>
              <w:spacing w:line="184" w:lineRule="exact"/>
              <w:ind w:right="125"/>
              <w:jc w:val="right"/>
              <w:rPr>
                <w:rFonts w:ascii="宋体" w:hAnsi="宋体" w:cs="宋体" w:eastAsia="宋体" w:hint="default"/>
                <w:sz w:val="16"/>
                <w:szCs w:val="16"/>
              </w:rPr>
            </w:pPr>
            <w:r>
              <w:rPr>
                <w:rFonts w:ascii="宋体" w:hAnsi="宋体" w:cs="宋体" w:eastAsia="宋体" w:hint="default"/>
                <w:w w:val="95"/>
                <w:sz w:val="16"/>
                <w:szCs w:val="16"/>
              </w:rPr>
              <w:t>本年转入</w:t>
            </w:r>
            <w:r>
              <w:rPr>
                <w:rFonts w:ascii="宋体" w:hAnsi="宋体" w:cs="宋体" w:eastAsia="宋体" w:hint="default"/>
                <w:sz w:val="16"/>
                <w:szCs w:val="16"/>
              </w:rPr>
            </w:r>
          </w:p>
        </w:tc>
        <w:tc>
          <w:tcPr>
            <w:tcW w:w="1131" w:type="dxa"/>
            <w:tcBorders>
              <w:top w:val="nil" w:sz="6" w:space="0" w:color="auto"/>
              <w:left w:val="nil" w:sz="6" w:space="0" w:color="auto"/>
              <w:bottom w:val="nil" w:sz="6" w:space="0" w:color="auto"/>
              <w:right w:val="nil" w:sz="6" w:space="0" w:color="auto"/>
            </w:tcBorders>
          </w:tcPr>
          <w:p>
            <w:pPr/>
          </w:p>
        </w:tc>
        <w:tc>
          <w:tcPr>
            <w:tcW w:w="1131" w:type="dxa"/>
            <w:tcBorders>
              <w:top w:val="nil" w:sz="6" w:space="0" w:color="auto"/>
              <w:left w:val="nil" w:sz="6" w:space="0" w:color="auto"/>
              <w:bottom w:val="nil" w:sz="6" w:space="0" w:color="auto"/>
              <w:right w:val="nil" w:sz="6" w:space="0" w:color="auto"/>
            </w:tcBorders>
          </w:tcPr>
          <w:p>
            <w:pPr>
              <w:pStyle w:val="TableParagraph"/>
              <w:spacing w:line="195" w:lineRule="exact"/>
              <w:ind w:right="72"/>
              <w:jc w:val="right"/>
              <w:rPr>
                <w:rFonts w:ascii="宋体" w:hAnsi="宋体" w:cs="宋体" w:eastAsia="宋体" w:hint="default"/>
                <w:sz w:val="16"/>
                <w:szCs w:val="16"/>
              </w:rPr>
            </w:pPr>
            <w:r>
              <w:rPr>
                <w:rFonts w:ascii="Arial" w:hAnsi="Arial" w:cs="Arial" w:eastAsia="Arial" w:hint="default"/>
                <w:sz w:val="16"/>
                <w:szCs w:val="16"/>
              </w:rPr>
              <w:t>2009</w:t>
            </w:r>
            <w:r>
              <w:rPr>
                <w:rFonts w:ascii="Arial" w:hAnsi="Arial" w:cs="Arial" w:eastAsia="Arial" w:hint="default"/>
                <w:spacing w:val="-7"/>
                <w:sz w:val="16"/>
                <w:szCs w:val="16"/>
              </w:rPr>
              <w:t> </w:t>
            </w:r>
            <w:r>
              <w:rPr>
                <w:rFonts w:ascii="宋体" w:hAnsi="宋体" w:cs="宋体" w:eastAsia="宋体" w:hint="default"/>
                <w:sz w:val="16"/>
                <w:szCs w:val="16"/>
              </w:rPr>
              <w:t>年</w:t>
            </w:r>
          </w:p>
        </w:tc>
        <w:tc>
          <w:tcPr>
            <w:tcW w:w="899" w:type="dxa"/>
            <w:tcBorders>
              <w:top w:val="nil" w:sz="6" w:space="0" w:color="auto"/>
              <w:left w:val="nil" w:sz="6" w:space="0" w:color="auto"/>
              <w:bottom w:val="nil" w:sz="6" w:space="0" w:color="auto"/>
              <w:right w:val="nil" w:sz="6" w:space="0" w:color="auto"/>
            </w:tcBorders>
          </w:tcPr>
          <w:p>
            <w:pPr>
              <w:pStyle w:val="TableParagraph"/>
              <w:spacing w:line="184" w:lineRule="exact"/>
              <w:ind w:right="23"/>
              <w:jc w:val="right"/>
              <w:rPr>
                <w:rFonts w:ascii="宋体" w:hAnsi="宋体" w:cs="宋体" w:eastAsia="宋体" w:hint="default"/>
                <w:sz w:val="16"/>
                <w:szCs w:val="16"/>
              </w:rPr>
            </w:pPr>
            <w:r>
              <w:rPr>
                <w:rFonts w:ascii="宋体" w:hAnsi="宋体" w:cs="宋体" w:eastAsia="宋体" w:hint="default"/>
                <w:w w:val="95"/>
                <w:sz w:val="16"/>
                <w:szCs w:val="16"/>
              </w:rPr>
              <w:t>工程投入占</w:t>
            </w:r>
            <w:r>
              <w:rPr>
                <w:rFonts w:ascii="宋体" w:hAnsi="宋体" w:cs="宋体" w:eastAsia="宋体" w:hint="default"/>
                <w:sz w:val="16"/>
                <w:szCs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184" w:lineRule="exact"/>
              <w:ind w:right="65"/>
              <w:jc w:val="right"/>
              <w:rPr>
                <w:rFonts w:ascii="宋体" w:hAnsi="宋体" w:cs="宋体" w:eastAsia="宋体" w:hint="default"/>
                <w:sz w:val="16"/>
                <w:szCs w:val="16"/>
              </w:rPr>
            </w:pPr>
            <w:r>
              <w:rPr>
                <w:rFonts w:ascii="宋体" w:hAnsi="宋体" w:cs="宋体" w:eastAsia="宋体" w:hint="default"/>
                <w:w w:val="95"/>
                <w:sz w:val="16"/>
                <w:szCs w:val="16"/>
              </w:rPr>
              <w:t>资本化</w:t>
            </w:r>
            <w:r>
              <w:rPr>
                <w:rFonts w:ascii="宋体" w:hAnsi="宋体" w:cs="宋体" w:eastAsia="宋体" w:hint="default"/>
                <w:sz w:val="16"/>
                <w:szCs w:val="16"/>
              </w:rPr>
            </w:r>
          </w:p>
        </w:tc>
        <w:tc>
          <w:tcPr>
            <w:tcW w:w="1076" w:type="dxa"/>
            <w:tcBorders>
              <w:top w:val="nil" w:sz="6" w:space="0" w:color="auto"/>
              <w:left w:val="nil" w:sz="6" w:space="0" w:color="auto"/>
              <w:bottom w:val="nil" w:sz="6" w:space="0" w:color="auto"/>
              <w:right w:val="nil" w:sz="6" w:space="0" w:color="auto"/>
            </w:tcBorders>
          </w:tcPr>
          <w:p>
            <w:pPr>
              <w:pStyle w:val="TableParagraph"/>
              <w:spacing w:line="184" w:lineRule="exact"/>
              <w:ind w:right="99"/>
              <w:jc w:val="right"/>
              <w:rPr>
                <w:rFonts w:ascii="宋体" w:hAnsi="宋体" w:cs="宋体" w:eastAsia="宋体" w:hint="default"/>
                <w:sz w:val="16"/>
                <w:szCs w:val="16"/>
              </w:rPr>
            </w:pPr>
            <w:r>
              <w:rPr>
                <w:rFonts w:ascii="宋体" w:hAnsi="宋体" w:cs="宋体" w:eastAsia="宋体" w:hint="default"/>
                <w:w w:val="95"/>
                <w:sz w:val="16"/>
                <w:szCs w:val="16"/>
              </w:rPr>
              <w:t>款费用资本</w:t>
            </w:r>
            <w:r>
              <w:rPr>
                <w:rFonts w:ascii="宋体" w:hAnsi="宋体" w:cs="宋体" w:eastAsia="宋体" w:hint="default"/>
                <w:sz w:val="16"/>
                <w:szCs w:val="16"/>
              </w:rPr>
            </w:r>
          </w:p>
        </w:tc>
        <w:tc>
          <w:tcPr>
            <w:tcW w:w="1083" w:type="dxa"/>
            <w:tcBorders>
              <w:top w:val="nil" w:sz="6" w:space="0" w:color="auto"/>
              <w:left w:val="nil" w:sz="6" w:space="0" w:color="auto"/>
              <w:bottom w:val="nil" w:sz="6" w:space="0" w:color="auto"/>
              <w:right w:val="nil" w:sz="6" w:space="0" w:color="auto"/>
            </w:tcBorders>
          </w:tcPr>
          <w:p>
            <w:pPr>
              <w:pStyle w:val="TableParagraph"/>
              <w:spacing w:line="184" w:lineRule="exact"/>
              <w:ind w:right="19"/>
              <w:jc w:val="right"/>
              <w:rPr>
                <w:rFonts w:ascii="宋体" w:hAnsi="宋体" w:cs="宋体" w:eastAsia="宋体" w:hint="default"/>
                <w:sz w:val="16"/>
                <w:szCs w:val="16"/>
              </w:rPr>
            </w:pPr>
            <w:r>
              <w:rPr>
                <w:rFonts w:ascii="宋体" w:hAnsi="宋体" w:cs="宋体" w:eastAsia="宋体" w:hint="default"/>
                <w:w w:val="95"/>
                <w:sz w:val="16"/>
                <w:szCs w:val="16"/>
              </w:rPr>
              <w:t>本年借款费用</w:t>
            </w:r>
            <w:r>
              <w:rPr>
                <w:rFonts w:ascii="宋体" w:hAnsi="宋体" w:cs="宋体" w:eastAsia="宋体" w:hint="default"/>
                <w:sz w:val="16"/>
                <w:szCs w:val="16"/>
              </w:rPr>
            </w:r>
          </w:p>
        </w:tc>
        <w:tc>
          <w:tcPr>
            <w:tcW w:w="942" w:type="dxa"/>
            <w:tcBorders>
              <w:top w:val="nil" w:sz="6" w:space="0" w:color="auto"/>
              <w:left w:val="nil" w:sz="6" w:space="0" w:color="auto"/>
              <w:bottom w:val="nil" w:sz="6" w:space="0" w:color="auto"/>
              <w:right w:val="nil" w:sz="6" w:space="0" w:color="auto"/>
            </w:tcBorders>
          </w:tcPr>
          <w:p>
            <w:pPr/>
          </w:p>
        </w:tc>
        <w:tc>
          <w:tcPr>
            <w:tcW w:w="544" w:type="dxa"/>
            <w:tcBorders>
              <w:top w:val="nil" w:sz="6" w:space="0" w:color="auto"/>
              <w:left w:val="nil" w:sz="6" w:space="0" w:color="auto"/>
              <w:bottom w:val="nil" w:sz="6" w:space="0" w:color="auto"/>
              <w:right w:val="nil" w:sz="6" w:space="0" w:color="auto"/>
            </w:tcBorders>
          </w:tcPr>
          <w:p>
            <w:pPr>
              <w:pStyle w:val="TableParagraph"/>
              <w:spacing w:line="184" w:lineRule="exact"/>
              <w:ind w:left="95" w:right="0"/>
              <w:jc w:val="left"/>
              <w:rPr>
                <w:rFonts w:ascii="宋体" w:hAnsi="宋体" w:cs="宋体" w:eastAsia="宋体" w:hint="default"/>
                <w:sz w:val="16"/>
                <w:szCs w:val="16"/>
              </w:rPr>
            </w:pPr>
            <w:r>
              <w:rPr>
                <w:rFonts w:ascii="宋体" w:hAnsi="宋体" w:cs="宋体" w:eastAsia="宋体" w:hint="default"/>
                <w:sz w:val="16"/>
                <w:szCs w:val="16"/>
              </w:rPr>
              <w:t>进度</w:t>
            </w:r>
          </w:p>
        </w:tc>
      </w:tr>
      <w:tr>
        <w:trPr>
          <w:trHeight w:val="211" w:hRule="exact"/>
        </w:trPr>
        <w:tc>
          <w:tcPr>
            <w:tcW w:w="466" w:type="dxa"/>
            <w:tcBorders>
              <w:top w:val="nil" w:sz="6" w:space="0" w:color="auto"/>
              <w:left w:val="nil" w:sz="6" w:space="0" w:color="auto"/>
              <w:bottom w:val="nil" w:sz="6" w:space="0" w:color="auto"/>
              <w:right w:val="nil" w:sz="6" w:space="0" w:color="auto"/>
            </w:tcBorders>
          </w:tcPr>
          <w:p>
            <w:pPr/>
          </w:p>
        </w:tc>
        <w:tc>
          <w:tcPr>
            <w:tcW w:w="3174" w:type="dxa"/>
            <w:tcBorders>
              <w:top w:val="nil" w:sz="6" w:space="0" w:color="auto"/>
              <w:left w:val="nil" w:sz="6" w:space="0" w:color="auto"/>
              <w:bottom w:val="single" w:sz="6" w:space="0" w:color="000000"/>
              <w:right w:val="nil" w:sz="6" w:space="0" w:color="auto"/>
            </w:tcBorders>
          </w:tcPr>
          <w:p>
            <w:pPr>
              <w:pStyle w:val="TableParagraph"/>
              <w:spacing w:line="180" w:lineRule="exact"/>
              <w:ind w:left="28" w:right="0"/>
              <w:jc w:val="left"/>
              <w:rPr>
                <w:rFonts w:ascii="宋体" w:hAnsi="宋体" w:cs="宋体" w:eastAsia="宋体" w:hint="default"/>
                <w:sz w:val="16"/>
                <w:szCs w:val="16"/>
              </w:rPr>
            </w:pPr>
            <w:r>
              <w:rPr>
                <w:rFonts w:ascii="宋体" w:hAnsi="宋体" w:cs="宋体" w:eastAsia="宋体" w:hint="default"/>
                <w:sz w:val="16"/>
                <w:szCs w:val="16"/>
              </w:rPr>
              <w:t>工程名称</w:t>
            </w:r>
          </w:p>
        </w:tc>
        <w:tc>
          <w:tcPr>
            <w:tcW w:w="826" w:type="dxa"/>
            <w:tcBorders>
              <w:top w:val="nil" w:sz="6" w:space="0" w:color="auto"/>
              <w:left w:val="nil" w:sz="6" w:space="0" w:color="auto"/>
              <w:bottom w:val="single" w:sz="6" w:space="0" w:color="000000"/>
              <w:right w:val="nil" w:sz="6" w:space="0" w:color="auto"/>
            </w:tcBorders>
          </w:tcPr>
          <w:p>
            <w:pPr>
              <w:pStyle w:val="TableParagraph"/>
              <w:spacing w:line="180" w:lineRule="exact"/>
              <w:ind w:right="34"/>
              <w:jc w:val="right"/>
              <w:rPr>
                <w:rFonts w:ascii="宋体" w:hAnsi="宋体" w:cs="宋体" w:eastAsia="宋体" w:hint="default"/>
                <w:sz w:val="16"/>
                <w:szCs w:val="16"/>
              </w:rPr>
            </w:pPr>
            <w:r>
              <w:rPr>
                <w:rFonts w:ascii="宋体" w:hAnsi="宋体" w:cs="宋体" w:eastAsia="宋体" w:hint="default"/>
                <w:w w:val="95"/>
                <w:sz w:val="16"/>
                <w:szCs w:val="16"/>
              </w:rPr>
              <w:t>百万元）</w:t>
            </w:r>
            <w:r>
              <w:rPr>
                <w:rFonts w:ascii="宋体" w:hAnsi="宋体" w:cs="宋体" w:eastAsia="宋体" w:hint="default"/>
                <w:sz w:val="16"/>
                <w:szCs w:val="16"/>
              </w:rPr>
            </w:r>
          </w:p>
        </w:tc>
        <w:tc>
          <w:tcPr>
            <w:tcW w:w="953" w:type="dxa"/>
            <w:tcBorders>
              <w:top w:val="nil" w:sz="6" w:space="0" w:color="auto"/>
              <w:left w:val="nil" w:sz="6" w:space="0" w:color="auto"/>
              <w:bottom w:val="single" w:sz="6" w:space="0" w:color="000000"/>
              <w:right w:val="nil" w:sz="6" w:space="0" w:color="auto"/>
            </w:tcBorders>
          </w:tcPr>
          <w:p>
            <w:pPr>
              <w:pStyle w:val="TableParagraph"/>
              <w:spacing w:line="191" w:lineRule="exact"/>
              <w:ind w:right="18"/>
              <w:jc w:val="right"/>
              <w:rPr>
                <w:rFonts w:ascii="宋体" w:hAnsi="宋体" w:cs="宋体" w:eastAsia="宋体" w:hint="default"/>
                <w:sz w:val="16"/>
                <w:szCs w:val="16"/>
              </w:rPr>
            </w:pPr>
            <w:r>
              <w:rPr>
                <w:rFonts w:ascii="Arial" w:hAnsi="Arial" w:cs="Arial" w:eastAsia="Arial" w:hint="default"/>
                <w:sz w:val="16"/>
                <w:szCs w:val="16"/>
              </w:rPr>
              <w:t>12</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r>
          </w:p>
        </w:tc>
        <w:tc>
          <w:tcPr>
            <w:tcW w:w="1196" w:type="dxa"/>
            <w:tcBorders>
              <w:top w:val="nil" w:sz="6" w:space="0" w:color="auto"/>
              <w:left w:val="nil" w:sz="6" w:space="0" w:color="auto"/>
              <w:bottom w:val="single" w:sz="6" w:space="0" w:color="000000"/>
              <w:right w:val="nil" w:sz="6" w:space="0" w:color="auto"/>
            </w:tcBorders>
          </w:tcPr>
          <w:p>
            <w:pPr>
              <w:pStyle w:val="TableParagraph"/>
              <w:spacing w:line="180" w:lineRule="exact"/>
              <w:ind w:right="41"/>
              <w:jc w:val="right"/>
              <w:rPr>
                <w:rFonts w:ascii="宋体" w:hAnsi="宋体" w:cs="宋体" w:eastAsia="宋体" w:hint="default"/>
                <w:sz w:val="16"/>
                <w:szCs w:val="16"/>
              </w:rPr>
            </w:pPr>
            <w:r>
              <w:rPr>
                <w:rFonts w:ascii="宋体" w:hAnsi="宋体" w:cs="宋体" w:eastAsia="宋体" w:hint="default"/>
                <w:w w:val="95"/>
                <w:sz w:val="16"/>
                <w:szCs w:val="16"/>
              </w:rPr>
              <w:t>本年增加</w:t>
            </w:r>
            <w:r>
              <w:rPr>
                <w:rFonts w:ascii="宋体" w:hAnsi="宋体" w:cs="宋体" w:eastAsia="宋体" w:hint="default"/>
                <w:sz w:val="16"/>
                <w:szCs w:val="16"/>
              </w:rPr>
            </w:r>
          </w:p>
        </w:tc>
        <w:tc>
          <w:tcPr>
            <w:tcW w:w="1333" w:type="dxa"/>
            <w:tcBorders>
              <w:top w:val="nil" w:sz="6" w:space="0" w:color="auto"/>
              <w:left w:val="nil" w:sz="6" w:space="0" w:color="auto"/>
              <w:bottom w:val="single" w:sz="6" w:space="0" w:color="000000"/>
              <w:right w:val="nil" w:sz="6" w:space="0" w:color="auto"/>
            </w:tcBorders>
          </w:tcPr>
          <w:p>
            <w:pPr>
              <w:pStyle w:val="TableParagraph"/>
              <w:spacing w:line="180" w:lineRule="exact"/>
              <w:ind w:right="125"/>
              <w:jc w:val="right"/>
              <w:rPr>
                <w:rFonts w:ascii="宋体" w:hAnsi="宋体" w:cs="宋体" w:eastAsia="宋体" w:hint="default"/>
                <w:sz w:val="16"/>
                <w:szCs w:val="16"/>
              </w:rPr>
            </w:pPr>
            <w:r>
              <w:rPr>
                <w:rFonts w:ascii="宋体" w:hAnsi="宋体" w:cs="宋体" w:eastAsia="宋体" w:hint="default"/>
                <w:w w:val="95"/>
                <w:sz w:val="16"/>
                <w:szCs w:val="16"/>
              </w:rPr>
              <w:t>固定资产</w:t>
            </w:r>
            <w:r>
              <w:rPr>
                <w:rFonts w:ascii="宋体" w:hAnsi="宋体" w:cs="宋体" w:eastAsia="宋体" w:hint="default"/>
                <w:sz w:val="16"/>
                <w:szCs w:val="16"/>
              </w:rPr>
            </w:r>
          </w:p>
        </w:tc>
        <w:tc>
          <w:tcPr>
            <w:tcW w:w="1131" w:type="dxa"/>
            <w:tcBorders>
              <w:top w:val="nil" w:sz="6" w:space="0" w:color="auto"/>
              <w:left w:val="nil" w:sz="6" w:space="0" w:color="auto"/>
              <w:bottom w:val="single" w:sz="6" w:space="0" w:color="000000"/>
              <w:right w:val="nil" w:sz="6" w:space="0" w:color="auto"/>
            </w:tcBorders>
          </w:tcPr>
          <w:p>
            <w:pPr>
              <w:pStyle w:val="TableParagraph"/>
              <w:spacing w:line="180" w:lineRule="exact"/>
              <w:ind w:right="159"/>
              <w:jc w:val="right"/>
              <w:rPr>
                <w:rFonts w:ascii="宋体" w:hAnsi="宋体" w:cs="宋体" w:eastAsia="宋体" w:hint="default"/>
                <w:sz w:val="16"/>
                <w:szCs w:val="16"/>
              </w:rPr>
            </w:pPr>
            <w:r>
              <w:rPr>
                <w:rFonts w:ascii="宋体" w:hAnsi="宋体" w:cs="宋体" w:eastAsia="宋体" w:hint="default"/>
                <w:w w:val="95"/>
                <w:sz w:val="16"/>
                <w:szCs w:val="16"/>
              </w:rPr>
              <w:t>其他减少</w:t>
            </w:r>
            <w:r>
              <w:rPr>
                <w:rFonts w:ascii="宋体" w:hAnsi="宋体" w:cs="宋体" w:eastAsia="宋体" w:hint="default"/>
                <w:sz w:val="16"/>
                <w:szCs w:val="16"/>
              </w:rPr>
            </w:r>
          </w:p>
        </w:tc>
        <w:tc>
          <w:tcPr>
            <w:tcW w:w="1131" w:type="dxa"/>
            <w:tcBorders>
              <w:top w:val="nil" w:sz="6" w:space="0" w:color="auto"/>
              <w:left w:val="nil" w:sz="6" w:space="0" w:color="auto"/>
              <w:bottom w:val="single" w:sz="6" w:space="0" w:color="000000"/>
              <w:right w:val="nil" w:sz="6" w:space="0" w:color="auto"/>
            </w:tcBorders>
          </w:tcPr>
          <w:p>
            <w:pPr>
              <w:pStyle w:val="TableParagraph"/>
              <w:spacing w:line="191" w:lineRule="exact"/>
              <w:ind w:right="98"/>
              <w:jc w:val="right"/>
              <w:rPr>
                <w:rFonts w:ascii="宋体" w:hAnsi="宋体" w:cs="宋体" w:eastAsia="宋体" w:hint="default"/>
                <w:sz w:val="16"/>
                <w:szCs w:val="16"/>
              </w:rPr>
            </w:pPr>
            <w:r>
              <w:rPr>
                <w:rFonts w:ascii="Arial" w:hAnsi="Arial" w:cs="Arial" w:eastAsia="Arial" w:hint="default"/>
                <w:sz w:val="16"/>
                <w:szCs w:val="16"/>
              </w:rPr>
              <w:t>12</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r>
          </w:p>
        </w:tc>
        <w:tc>
          <w:tcPr>
            <w:tcW w:w="899" w:type="dxa"/>
            <w:tcBorders>
              <w:top w:val="nil" w:sz="6" w:space="0" w:color="auto"/>
              <w:left w:val="nil" w:sz="6" w:space="0" w:color="auto"/>
              <w:bottom w:val="single" w:sz="6" w:space="0" w:color="000000"/>
              <w:right w:val="nil" w:sz="6" w:space="0" w:color="auto"/>
            </w:tcBorders>
          </w:tcPr>
          <w:p>
            <w:pPr>
              <w:pStyle w:val="TableParagraph"/>
              <w:spacing w:line="180" w:lineRule="exact"/>
              <w:ind w:right="23"/>
              <w:jc w:val="right"/>
              <w:rPr>
                <w:rFonts w:ascii="宋体" w:hAnsi="宋体" w:cs="宋体" w:eastAsia="宋体" w:hint="default"/>
                <w:sz w:val="16"/>
                <w:szCs w:val="16"/>
              </w:rPr>
            </w:pPr>
            <w:r>
              <w:rPr>
                <w:rFonts w:ascii="宋体" w:hAnsi="宋体" w:cs="宋体" w:eastAsia="宋体" w:hint="default"/>
                <w:w w:val="95"/>
                <w:sz w:val="16"/>
                <w:szCs w:val="16"/>
              </w:rPr>
              <w:t>预算的比例</w:t>
            </w:r>
            <w:r>
              <w:rPr>
                <w:rFonts w:ascii="宋体" w:hAnsi="宋体" w:cs="宋体" w:eastAsia="宋体" w:hint="default"/>
                <w:sz w:val="16"/>
                <w:szCs w:val="16"/>
              </w:rPr>
            </w:r>
          </w:p>
        </w:tc>
        <w:tc>
          <w:tcPr>
            <w:tcW w:w="996" w:type="dxa"/>
            <w:tcBorders>
              <w:top w:val="nil" w:sz="6" w:space="0" w:color="auto"/>
              <w:left w:val="nil" w:sz="6" w:space="0" w:color="auto"/>
              <w:bottom w:val="single" w:sz="6" w:space="0" w:color="000000"/>
              <w:right w:val="nil" w:sz="6" w:space="0" w:color="auto"/>
            </w:tcBorders>
          </w:tcPr>
          <w:p>
            <w:pPr>
              <w:pStyle w:val="TableParagraph"/>
              <w:spacing w:line="180" w:lineRule="exact"/>
              <w:ind w:right="65"/>
              <w:jc w:val="right"/>
              <w:rPr>
                <w:rFonts w:ascii="宋体" w:hAnsi="宋体" w:cs="宋体" w:eastAsia="宋体" w:hint="default"/>
                <w:sz w:val="16"/>
                <w:szCs w:val="16"/>
              </w:rPr>
            </w:pPr>
            <w:r>
              <w:rPr>
                <w:rFonts w:ascii="宋体" w:hAnsi="宋体" w:cs="宋体" w:eastAsia="宋体" w:hint="default"/>
                <w:w w:val="95"/>
                <w:sz w:val="16"/>
                <w:szCs w:val="16"/>
              </w:rPr>
              <w:t>累计金额</w:t>
            </w:r>
            <w:r>
              <w:rPr>
                <w:rFonts w:ascii="宋体" w:hAnsi="宋体" w:cs="宋体" w:eastAsia="宋体" w:hint="default"/>
                <w:sz w:val="16"/>
                <w:szCs w:val="16"/>
              </w:rPr>
            </w:r>
          </w:p>
        </w:tc>
        <w:tc>
          <w:tcPr>
            <w:tcW w:w="1076" w:type="dxa"/>
            <w:tcBorders>
              <w:top w:val="nil" w:sz="6" w:space="0" w:color="auto"/>
              <w:left w:val="nil" w:sz="6" w:space="0" w:color="auto"/>
              <w:bottom w:val="single" w:sz="6" w:space="0" w:color="000000"/>
              <w:right w:val="nil" w:sz="6" w:space="0" w:color="auto"/>
            </w:tcBorders>
          </w:tcPr>
          <w:p>
            <w:pPr>
              <w:pStyle w:val="TableParagraph"/>
              <w:spacing w:line="180" w:lineRule="exact"/>
              <w:ind w:right="98"/>
              <w:jc w:val="right"/>
              <w:rPr>
                <w:rFonts w:ascii="宋体" w:hAnsi="宋体" w:cs="宋体" w:eastAsia="宋体" w:hint="default"/>
                <w:sz w:val="16"/>
                <w:szCs w:val="16"/>
              </w:rPr>
            </w:pPr>
            <w:r>
              <w:rPr>
                <w:rFonts w:ascii="宋体" w:hAnsi="宋体" w:cs="宋体" w:eastAsia="宋体" w:hint="default"/>
                <w:w w:val="95"/>
                <w:sz w:val="16"/>
                <w:szCs w:val="16"/>
              </w:rPr>
              <w:t>化金额</w:t>
            </w:r>
            <w:r>
              <w:rPr>
                <w:rFonts w:ascii="宋体" w:hAnsi="宋体" w:cs="宋体" w:eastAsia="宋体" w:hint="default"/>
                <w:sz w:val="16"/>
                <w:szCs w:val="16"/>
              </w:rPr>
            </w:r>
          </w:p>
        </w:tc>
        <w:tc>
          <w:tcPr>
            <w:tcW w:w="1083" w:type="dxa"/>
            <w:tcBorders>
              <w:top w:val="nil" w:sz="6" w:space="0" w:color="auto"/>
              <w:left w:val="nil" w:sz="6" w:space="0" w:color="auto"/>
              <w:bottom w:val="single" w:sz="6" w:space="0" w:color="000000"/>
              <w:right w:val="nil" w:sz="6" w:space="0" w:color="auto"/>
            </w:tcBorders>
          </w:tcPr>
          <w:p>
            <w:pPr>
              <w:pStyle w:val="TableParagraph"/>
              <w:spacing w:line="180" w:lineRule="exact"/>
              <w:ind w:right="18"/>
              <w:jc w:val="right"/>
              <w:rPr>
                <w:rFonts w:ascii="宋体" w:hAnsi="宋体" w:cs="宋体" w:eastAsia="宋体" w:hint="default"/>
                <w:sz w:val="16"/>
                <w:szCs w:val="16"/>
              </w:rPr>
            </w:pPr>
            <w:r>
              <w:rPr>
                <w:rFonts w:ascii="宋体" w:hAnsi="宋体" w:cs="宋体" w:eastAsia="宋体" w:hint="default"/>
                <w:w w:val="95"/>
                <w:sz w:val="16"/>
                <w:szCs w:val="16"/>
              </w:rPr>
              <w:t>资本化率</w:t>
            </w:r>
            <w:r>
              <w:rPr>
                <w:rFonts w:ascii="宋体" w:hAnsi="宋体" w:cs="宋体" w:eastAsia="宋体" w:hint="default"/>
                <w:sz w:val="16"/>
                <w:szCs w:val="16"/>
              </w:rPr>
            </w:r>
          </w:p>
        </w:tc>
        <w:tc>
          <w:tcPr>
            <w:tcW w:w="942" w:type="dxa"/>
            <w:tcBorders>
              <w:top w:val="nil" w:sz="6" w:space="0" w:color="auto"/>
              <w:left w:val="nil" w:sz="6" w:space="0" w:color="auto"/>
              <w:bottom w:val="single" w:sz="6" w:space="0" w:color="000000"/>
              <w:right w:val="nil" w:sz="6" w:space="0" w:color="auto"/>
            </w:tcBorders>
          </w:tcPr>
          <w:p>
            <w:pPr>
              <w:pStyle w:val="TableParagraph"/>
              <w:spacing w:line="180" w:lineRule="exact"/>
              <w:ind w:right="28"/>
              <w:jc w:val="right"/>
              <w:rPr>
                <w:rFonts w:ascii="宋体" w:hAnsi="宋体" w:cs="宋体" w:eastAsia="宋体" w:hint="default"/>
                <w:sz w:val="16"/>
                <w:szCs w:val="16"/>
              </w:rPr>
            </w:pPr>
            <w:r>
              <w:rPr>
                <w:rFonts w:ascii="宋体" w:hAnsi="宋体" w:cs="宋体" w:eastAsia="宋体" w:hint="default"/>
                <w:w w:val="95"/>
                <w:sz w:val="16"/>
                <w:szCs w:val="16"/>
              </w:rPr>
              <w:t>资金来源</w:t>
            </w:r>
            <w:r>
              <w:rPr>
                <w:rFonts w:ascii="宋体" w:hAnsi="宋体" w:cs="宋体" w:eastAsia="宋体" w:hint="default"/>
                <w:sz w:val="16"/>
                <w:szCs w:val="16"/>
              </w:rPr>
            </w:r>
          </w:p>
        </w:tc>
        <w:tc>
          <w:tcPr>
            <w:tcW w:w="544" w:type="dxa"/>
            <w:tcBorders>
              <w:top w:val="nil" w:sz="6" w:space="0" w:color="auto"/>
              <w:left w:val="nil" w:sz="6" w:space="0" w:color="auto"/>
              <w:bottom w:val="single" w:sz="6" w:space="0" w:color="000000"/>
              <w:right w:val="nil" w:sz="6" w:space="0" w:color="auto"/>
            </w:tcBorders>
          </w:tcPr>
          <w:p>
            <w:pPr>
              <w:pStyle w:val="TableParagraph"/>
              <w:spacing w:line="180" w:lineRule="exact"/>
              <w:ind w:left="30" w:right="0"/>
              <w:jc w:val="left"/>
              <w:rPr>
                <w:rFonts w:ascii="宋体" w:hAnsi="宋体" w:cs="宋体" w:eastAsia="宋体" w:hint="default"/>
                <w:sz w:val="16"/>
                <w:szCs w:val="16"/>
              </w:rPr>
            </w:pPr>
            <w:r>
              <w:rPr>
                <w:rFonts w:ascii="宋体" w:hAnsi="宋体" w:cs="宋体" w:eastAsia="宋体" w:hint="default"/>
                <w:sz w:val="16"/>
                <w:szCs w:val="16"/>
              </w:rPr>
              <w:t>（注）</w:t>
            </w:r>
          </w:p>
        </w:tc>
      </w:tr>
      <w:tr>
        <w:trPr>
          <w:trHeight w:val="408" w:hRule="exact"/>
        </w:trPr>
        <w:tc>
          <w:tcPr>
            <w:tcW w:w="466" w:type="dxa"/>
            <w:tcBorders>
              <w:top w:val="nil" w:sz="6" w:space="0" w:color="auto"/>
              <w:left w:val="nil" w:sz="6" w:space="0" w:color="auto"/>
              <w:bottom w:val="nil" w:sz="6" w:space="0" w:color="auto"/>
              <w:right w:val="nil" w:sz="6" w:space="0" w:color="auto"/>
            </w:tcBorders>
          </w:tcPr>
          <w:p>
            <w:pPr/>
          </w:p>
        </w:tc>
        <w:tc>
          <w:tcPr>
            <w:tcW w:w="3174" w:type="dxa"/>
            <w:tcBorders>
              <w:top w:val="single" w:sz="6" w:space="0" w:color="000000"/>
              <w:left w:val="nil" w:sz="6" w:space="0" w:color="auto"/>
              <w:bottom w:val="nil" w:sz="6" w:space="0" w:color="auto"/>
              <w:right w:val="nil" w:sz="6" w:space="0" w:color="auto"/>
            </w:tcBorders>
          </w:tcPr>
          <w:p>
            <w:pPr>
              <w:pStyle w:val="TableParagraph"/>
              <w:spacing w:line="240" w:lineRule="auto" w:before="0"/>
              <w:ind w:right="0"/>
              <w:jc w:val="left"/>
              <w:rPr>
                <w:rFonts w:ascii="黑体" w:hAnsi="黑体" w:cs="黑体" w:eastAsia="黑体" w:hint="default"/>
                <w:sz w:val="12"/>
                <w:szCs w:val="12"/>
              </w:rPr>
            </w:pPr>
          </w:p>
          <w:p>
            <w:pPr>
              <w:pStyle w:val="TableParagraph"/>
              <w:spacing w:line="240" w:lineRule="auto"/>
              <w:ind w:left="28" w:right="0"/>
              <w:jc w:val="left"/>
              <w:rPr>
                <w:rFonts w:ascii="宋体" w:hAnsi="宋体" w:cs="宋体" w:eastAsia="宋体" w:hint="default"/>
                <w:sz w:val="16"/>
                <w:szCs w:val="16"/>
              </w:rPr>
            </w:pPr>
            <w:r>
              <w:rPr>
                <w:rFonts w:ascii="宋体" w:hAnsi="宋体" w:cs="宋体" w:eastAsia="宋体" w:hint="default"/>
                <w:sz w:val="16"/>
                <w:szCs w:val="16"/>
              </w:rPr>
              <w:t>广东</w:t>
            </w:r>
            <w:r>
              <w:rPr>
                <w:rFonts w:ascii="宋体" w:hAnsi="宋体" w:cs="宋体" w:eastAsia="宋体" w:hint="default"/>
                <w:spacing w:val="-42"/>
                <w:sz w:val="16"/>
                <w:szCs w:val="16"/>
              </w:rPr>
              <w:t> </w:t>
            </w:r>
            <w:r>
              <w:rPr>
                <w:rFonts w:ascii="Arial" w:hAnsi="Arial" w:cs="Arial" w:eastAsia="Arial" w:hint="default"/>
                <w:sz w:val="16"/>
                <w:szCs w:val="16"/>
              </w:rPr>
              <w:t>2009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WCDMA</w:t>
            </w:r>
            <w:r>
              <w:rPr>
                <w:rFonts w:ascii="Arial" w:hAnsi="Arial" w:cs="Arial" w:eastAsia="Arial" w:hint="default"/>
                <w:spacing w:val="-6"/>
                <w:sz w:val="16"/>
                <w:szCs w:val="16"/>
              </w:rPr>
              <w:t> </w:t>
            </w:r>
            <w:r>
              <w:rPr>
                <w:rFonts w:ascii="宋体" w:hAnsi="宋体" w:cs="宋体" w:eastAsia="宋体" w:hint="default"/>
                <w:sz w:val="16"/>
                <w:szCs w:val="16"/>
              </w:rPr>
              <w:t>配套传输网工程</w:t>
            </w:r>
          </w:p>
        </w:tc>
        <w:tc>
          <w:tcPr>
            <w:tcW w:w="826"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right="27"/>
              <w:jc w:val="right"/>
              <w:rPr>
                <w:rFonts w:ascii="Arial" w:hAnsi="Arial" w:cs="Arial" w:eastAsia="Arial" w:hint="default"/>
                <w:sz w:val="16"/>
                <w:szCs w:val="16"/>
              </w:rPr>
            </w:pPr>
            <w:r>
              <w:rPr>
                <w:rFonts w:ascii="Arial"/>
                <w:w w:val="95"/>
                <w:sz w:val="16"/>
              </w:rPr>
              <w:t>601</w:t>
            </w:r>
            <w:r>
              <w:rPr>
                <w:rFonts w:ascii="Arial"/>
                <w:sz w:val="16"/>
              </w:rPr>
            </w:r>
          </w:p>
        </w:tc>
        <w:tc>
          <w:tcPr>
            <w:tcW w:w="953"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right="32"/>
              <w:jc w:val="right"/>
              <w:rPr>
                <w:rFonts w:ascii="Arial" w:hAnsi="Arial" w:cs="Arial" w:eastAsia="Arial" w:hint="default"/>
                <w:sz w:val="16"/>
                <w:szCs w:val="16"/>
              </w:rPr>
            </w:pPr>
            <w:r>
              <w:rPr>
                <w:rFonts w:ascii="Arial"/>
                <w:w w:val="99"/>
                <w:sz w:val="16"/>
              </w:rPr>
              <w:t>-</w:t>
            </w:r>
            <w:r>
              <w:rPr>
                <w:rFonts w:ascii="Arial"/>
                <w:sz w:val="16"/>
              </w:rPr>
            </w:r>
          </w:p>
        </w:tc>
        <w:tc>
          <w:tcPr>
            <w:tcW w:w="1196"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right="54"/>
              <w:jc w:val="right"/>
              <w:rPr>
                <w:rFonts w:ascii="Arial" w:hAnsi="Arial" w:cs="Arial" w:eastAsia="Arial" w:hint="default"/>
                <w:sz w:val="16"/>
                <w:szCs w:val="16"/>
              </w:rPr>
            </w:pPr>
            <w:r>
              <w:rPr>
                <w:rFonts w:ascii="Arial"/>
                <w:w w:val="95"/>
                <w:sz w:val="16"/>
              </w:rPr>
              <w:t>559,444,914</w:t>
            </w:r>
            <w:r>
              <w:rPr>
                <w:rFonts w:ascii="Arial"/>
                <w:sz w:val="16"/>
              </w:rPr>
            </w:r>
          </w:p>
        </w:tc>
        <w:tc>
          <w:tcPr>
            <w:tcW w:w="1333"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right="101"/>
              <w:jc w:val="right"/>
              <w:rPr>
                <w:rFonts w:ascii="Arial" w:hAnsi="Arial" w:cs="Arial" w:eastAsia="Arial" w:hint="default"/>
                <w:sz w:val="16"/>
                <w:szCs w:val="16"/>
              </w:rPr>
            </w:pPr>
            <w:r>
              <w:rPr>
                <w:rFonts w:ascii="Arial"/>
                <w:w w:val="99"/>
                <w:sz w:val="16"/>
              </w:rPr>
              <w:t>-</w:t>
            </w:r>
            <w:r>
              <w:rPr>
                <w:rFonts w:ascii="Arial"/>
                <w:sz w:val="16"/>
              </w:rPr>
            </w:r>
          </w:p>
        </w:tc>
        <w:tc>
          <w:tcPr>
            <w:tcW w:w="1131"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right="179"/>
              <w:jc w:val="right"/>
              <w:rPr>
                <w:rFonts w:ascii="Arial" w:hAnsi="Arial" w:cs="Arial" w:eastAsia="Arial" w:hint="default"/>
                <w:sz w:val="16"/>
                <w:szCs w:val="16"/>
              </w:rPr>
            </w:pPr>
            <w:r>
              <w:rPr>
                <w:rFonts w:ascii="Arial"/>
                <w:w w:val="99"/>
                <w:sz w:val="16"/>
              </w:rPr>
              <w:t>-</w:t>
            </w:r>
            <w:r>
              <w:rPr>
                <w:rFonts w:ascii="Arial"/>
                <w:sz w:val="16"/>
              </w:rPr>
            </w:r>
          </w:p>
        </w:tc>
        <w:tc>
          <w:tcPr>
            <w:tcW w:w="1131"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right="94"/>
              <w:jc w:val="right"/>
              <w:rPr>
                <w:rFonts w:ascii="Arial" w:hAnsi="Arial" w:cs="Arial" w:eastAsia="Arial" w:hint="default"/>
                <w:sz w:val="16"/>
                <w:szCs w:val="16"/>
              </w:rPr>
            </w:pPr>
            <w:r>
              <w:rPr>
                <w:rFonts w:ascii="Arial"/>
                <w:w w:val="95"/>
                <w:sz w:val="16"/>
              </w:rPr>
              <w:t>559,444,914</w:t>
            </w:r>
            <w:r>
              <w:rPr>
                <w:rFonts w:ascii="Arial"/>
                <w:sz w:val="16"/>
              </w:rPr>
            </w:r>
          </w:p>
        </w:tc>
        <w:tc>
          <w:tcPr>
            <w:tcW w:w="899"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right="54"/>
              <w:jc w:val="right"/>
              <w:rPr>
                <w:rFonts w:ascii="Arial" w:hAnsi="Arial" w:cs="Arial" w:eastAsia="Arial" w:hint="default"/>
                <w:sz w:val="16"/>
                <w:szCs w:val="16"/>
              </w:rPr>
            </w:pPr>
            <w:r>
              <w:rPr>
                <w:rFonts w:ascii="Arial"/>
                <w:w w:val="95"/>
                <w:sz w:val="16"/>
              </w:rPr>
              <w:t>93%</w:t>
            </w:r>
            <w:r>
              <w:rPr>
                <w:rFonts w:ascii="Arial"/>
                <w:sz w:val="16"/>
              </w:rPr>
            </w:r>
          </w:p>
        </w:tc>
        <w:tc>
          <w:tcPr>
            <w:tcW w:w="996"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right="86"/>
              <w:jc w:val="right"/>
              <w:rPr>
                <w:rFonts w:ascii="Arial" w:hAnsi="Arial" w:cs="Arial" w:eastAsia="Arial" w:hint="default"/>
                <w:sz w:val="16"/>
                <w:szCs w:val="16"/>
              </w:rPr>
            </w:pPr>
            <w:r>
              <w:rPr>
                <w:rFonts w:ascii="Arial"/>
                <w:w w:val="95"/>
                <w:sz w:val="16"/>
              </w:rPr>
              <w:t>1,482,818</w:t>
            </w:r>
            <w:r>
              <w:rPr>
                <w:rFonts w:ascii="Arial"/>
                <w:sz w:val="16"/>
              </w:rPr>
            </w:r>
          </w:p>
        </w:tc>
        <w:tc>
          <w:tcPr>
            <w:tcW w:w="1076"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right="106"/>
              <w:jc w:val="right"/>
              <w:rPr>
                <w:rFonts w:ascii="Arial" w:hAnsi="Arial" w:cs="Arial" w:eastAsia="Arial" w:hint="default"/>
                <w:sz w:val="16"/>
                <w:szCs w:val="16"/>
              </w:rPr>
            </w:pPr>
            <w:r>
              <w:rPr>
                <w:rFonts w:ascii="Arial"/>
                <w:w w:val="95"/>
                <w:sz w:val="16"/>
              </w:rPr>
              <w:t>1,482,818</w:t>
            </w:r>
            <w:r>
              <w:rPr>
                <w:rFonts w:ascii="Arial"/>
                <w:sz w:val="16"/>
              </w:rPr>
            </w:r>
          </w:p>
        </w:tc>
        <w:tc>
          <w:tcPr>
            <w:tcW w:w="1083"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right="19"/>
              <w:jc w:val="right"/>
              <w:rPr>
                <w:rFonts w:ascii="Arial" w:hAnsi="Arial" w:cs="Arial" w:eastAsia="Arial" w:hint="default"/>
                <w:sz w:val="16"/>
                <w:szCs w:val="16"/>
              </w:rPr>
            </w:pPr>
            <w:r>
              <w:rPr>
                <w:rFonts w:ascii="Arial"/>
                <w:w w:val="95"/>
                <w:sz w:val="16"/>
              </w:rPr>
              <w:t>4.27%-4.80%</w:t>
            </w:r>
            <w:r>
              <w:rPr>
                <w:rFonts w:ascii="Arial"/>
                <w:sz w:val="16"/>
              </w:rPr>
            </w:r>
          </w:p>
        </w:tc>
        <w:tc>
          <w:tcPr>
            <w:tcW w:w="942" w:type="dxa"/>
            <w:tcBorders>
              <w:top w:val="single" w:sz="6" w:space="0" w:color="000000"/>
              <w:left w:val="nil" w:sz="6" w:space="0" w:color="auto"/>
              <w:bottom w:val="nil" w:sz="6" w:space="0" w:color="auto"/>
              <w:right w:val="nil" w:sz="6" w:space="0" w:color="auto"/>
            </w:tcBorders>
          </w:tcPr>
          <w:p>
            <w:pPr>
              <w:pStyle w:val="TableParagraph"/>
              <w:spacing w:line="240" w:lineRule="auto" w:before="0"/>
              <w:ind w:right="0"/>
              <w:jc w:val="left"/>
              <w:rPr>
                <w:rFonts w:ascii="黑体" w:hAnsi="黑体" w:cs="黑体" w:eastAsia="黑体" w:hint="default"/>
                <w:sz w:val="12"/>
                <w:szCs w:val="12"/>
              </w:rPr>
            </w:pPr>
          </w:p>
          <w:p>
            <w:pPr>
              <w:pStyle w:val="TableParagraph"/>
              <w:spacing w:line="240" w:lineRule="auto"/>
              <w:ind w:right="36"/>
              <w:jc w:val="right"/>
              <w:rPr>
                <w:rFonts w:ascii="宋体" w:hAnsi="宋体" w:cs="宋体" w:eastAsia="宋体" w:hint="default"/>
                <w:sz w:val="16"/>
                <w:szCs w:val="16"/>
              </w:rPr>
            </w:pPr>
            <w:r>
              <w:rPr>
                <w:rFonts w:ascii="宋体" w:hAnsi="宋体" w:cs="宋体" w:eastAsia="宋体" w:hint="default"/>
                <w:w w:val="95"/>
                <w:sz w:val="16"/>
                <w:szCs w:val="16"/>
              </w:rPr>
              <w:t>自筹及借款</w:t>
            </w:r>
            <w:r>
              <w:rPr>
                <w:rFonts w:ascii="宋体" w:hAnsi="宋体" w:cs="宋体" w:eastAsia="宋体" w:hint="default"/>
                <w:sz w:val="16"/>
                <w:szCs w:val="16"/>
              </w:rPr>
            </w:r>
          </w:p>
        </w:tc>
        <w:tc>
          <w:tcPr>
            <w:tcW w:w="544"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黑体" w:hAnsi="黑体" w:cs="黑体" w:eastAsia="黑体" w:hint="default"/>
                <w:sz w:val="15"/>
                <w:szCs w:val="15"/>
              </w:rPr>
            </w:pPr>
          </w:p>
          <w:p>
            <w:pPr>
              <w:pStyle w:val="TableParagraph"/>
              <w:spacing w:line="240" w:lineRule="auto"/>
              <w:ind w:right="68"/>
              <w:jc w:val="right"/>
              <w:rPr>
                <w:rFonts w:ascii="Arial" w:hAnsi="Arial" w:cs="Arial" w:eastAsia="Arial" w:hint="default"/>
                <w:sz w:val="16"/>
                <w:szCs w:val="16"/>
              </w:rPr>
            </w:pPr>
            <w:r>
              <w:rPr>
                <w:rFonts w:ascii="Arial"/>
                <w:spacing w:val="-1"/>
                <w:w w:val="95"/>
                <w:sz w:val="16"/>
              </w:rPr>
              <w:t>90%</w:t>
            </w:r>
            <w:r>
              <w:rPr>
                <w:rFonts w:ascii="Arial"/>
                <w:sz w:val="16"/>
              </w:rPr>
            </w:r>
          </w:p>
        </w:tc>
      </w:tr>
      <w:tr>
        <w:trPr>
          <w:trHeight w:val="208" w:hRule="exact"/>
        </w:trPr>
        <w:tc>
          <w:tcPr>
            <w:tcW w:w="466" w:type="dxa"/>
            <w:tcBorders>
              <w:top w:val="nil" w:sz="6" w:space="0" w:color="auto"/>
              <w:left w:val="nil" w:sz="6" w:space="0" w:color="auto"/>
              <w:bottom w:val="nil" w:sz="6" w:space="0" w:color="auto"/>
              <w:right w:val="nil" w:sz="6" w:space="0" w:color="auto"/>
            </w:tcBorders>
          </w:tcPr>
          <w:p>
            <w:pPr/>
          </w:p>
        </w:tc>
        <w:tc>
          <w:tcPr>
            <w:tcW w:w="3174" w:type="dxa"/>
            <w:tcBorders>
              <w:top w:val="nil" w:sz="6" w:space="0" w:color="auto"/>
              <w:left w:val="nil" w:sz="6" w:space="0" w:color="auto"/>
              <w:bottom w:val="nil" w:sz="6" w:space="0" w:color="auto"/>
              <w:right w:val="nil" w:sz="6" w:space="0" w:color="auto"/>
            </w:tcBorders>
          </w:tcPr>
          <w:p>
            <w:pPr>
              <w:pStyle w:val="TableParagraph"/>
              <w:spacing w:line="185" w:lineRule="exact"/>
              <w:ind w:left="28" w:right="0"/>
              <w:jc w:val="left"/>
              <w:rPr>
                <w:rFonts w:ascii="宋体" w:hAnsi="宋体" w:cs="宋体" w:eastAsia="宋体" w:hint="default"/>
                <w:sz w:val="16"/>
                <w:szCs w:val="16"/>
              </w:rPr>
            </w:pPr>
            <w:r>
              <w:rPr>
                <w:rFonts w:ascii="宋体" w:hAnsi="宋体" w:cs="宋体" w:eastAsia="宋体" w:hint="default"/>
                <w:sz w:val="16"/>
                <w:szCs w:val="16"/>
              </w:rPr>
              <w:t>广东</w:t>
            </w:r>
            <w:r>
              <w:rPr>
                <w:rFonts w:ascii="宋体" w:hAnsi="宋体" w:cs="宋体" w:eastAsia="宋体" w:hint="default"/>
                <w:spacing w:val="-42"/>
                <w:sz w:val="16"/>
                <w:szCs w:val="16"/>
              </w:rPr>
              <w:t> </w:t>
            </w:r>
            <w:r>
              <w:rPr>
                <w:rFonts w:ascii="Arial" w:hAnsi="Arial" w:cs="Arial" w:eastAsia="Arial" w:hint="default"/>
                <w:sz w:val="16"/>
                <w:szCs w:val="16"/>
              </w:rPr>
              <w:t>2009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WCDMA</w:t>
            </w:r>
            <w:r>
              <w:rPr>
                <w:rFonts w:ascii="Arial" w:hAnsi="Arial" w:cs="Arial" w:eastAsia="Arial" w:hint="default"/>
                <w:spacing w:val="-6"/>
                <w:sz w:val="16"/>
                <w:szCs w:val="16"/>
              </w:rPr>
              <w:t> </w:t>
            </w:r>
            <w:r>
              <w:rPr>
                <w:rFonts w:ascii="宋体" w:hAnsi="宋体" w:cs="宋体" w:eastAsia="宋体" w:hint="default"/>
                <w:sz w:val="16"/>
                <w:szCs w:val="16"/>
              </w:rPr>
              <w:t>网室内覆盖工程</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
              <w:jc w:val="right"/>
              <w:rPr>
                <w:rFonts w:ascii="Arial" w:hAnsi="Arial" w:cs="Arial" w:eastAsia="Arial" w:hint="default"/>
                <w:sz w:val="16"/>
                <w:szCs w:val="16"/>
              </w:rPr>
            </w:pPr>
            <w:r>
              <w:rPr>
                <w:rFonts w:ascii="Arial"/>
                <w:w w:val="95"/>
                <w:sz w:val="16"/>
              </w:rPr>
              <w:t>490</w:t>
            </w:r>
            <w:r>
              <w:rPr>
                <w:rFonts w:ascii="Arial"/>
                <w:sz w:val="16"/>
              </w:rPr>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2"/>
              <w:jc w:val="right"/>
              <w:rPr>
                <w:rFonts w:ascii="Arial" w:hAnsi="Arial" w:cs="Arial" w:eastAsia="Arial" w:hint="default"/>
                <w:sz w:val="16"/>
                <w:szCs w:val="16"/>
              </w:rPr>
            </w:pPr>
            <w:r>
              <w:rPr>
                <w:rFonts w:ascii="Arial"/>
                <w:w w:val="99"/>
                <w:sz w:val="16"/>
              </w:rPr>
              <w:t>-</w:t>
            </w:r>
            <w:r>
              <w:rPr>
                <w:rFonts w:ascii="Arial"/>
                <w:sz w:val="16"/>
              </w:rPr>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5"/>
              <w:jc w:val="right"/>
              <w:rPr>
                <w:rFonts w:ascii="Arial" w:hAnsi="Arial" w:cs="Arial" w:eastAsia="Arial" w:hint="default"/>
                <w:sz w:val="16"/>
                <w:szCs w:val="16"/>
              </w:rPr>
            </w:pPr>
            <w:r>
              <w:rPr>
                <w:rFonts w:ascii="Arial"/>
                <w:w w:val="95"/>
                <w:sz w:val="16"/>
              </w:rPr>
              <w:t>454,294,190</w:t>
            </w:r>
            <w:r>
              <w:rPr>
                <w:rFonts w:ascii="Arial"/>
                <w:sz w:val="16"/>
              </w:rPr>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0"/>
              <w:jc w:val="right"/>
              <w:rPr>
                <w:rFonts w:ascii="Arial" w:hAnsi="Arial" w:cs="Arial" w:eastAsia="Arial" w:hint="default"/>
                <w:sz w:val="16"/>
                <w:szCs w:val="16"/>
              </w:rPr>
            </w:pPr>
            <w:r>
              <w:rPr>
                <w:rFonts w:ascii="Arial"/>
                <w:w w:val="99"/>
                <w:sz w:val="16"/>
              </w:rPr>
              <w:t>-</w:t>
            </w:r>
            <w:r>
              <w:rPr>
                <w:rFonts w:ascii="Arial"/>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0"/>
              <w:jc w:val="right"/>
              <w:rPr>
                <w:rFonts w:ascii="Arial" w:hAnsi="Arial" w:cs="Arial" w:eastAsia="Arial" w:hint="default"/>
                <w:sz w:val="16"/>
                <w:szCs w:val="16"/>
              </w:rPr>
            </w:pPr>
            <w:r>
              <w:rPr>
                <w:rFonts w:ascii="Arial"/>
                <w:w w:val="99"/>
                <w:sz w:val="16"/>
              </w:rPr>
              <w:t>-</w:t>
            </w:r>
            <w:r>
              <w:rPr>
                <w:rFonts w:ascii="Arial"/>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5"/>
              <w:jc w:val="right"/>
              <w:rPr>
                <w:rFonts w:ascii="Arial" w:hAnsi="Arial" w:cs="Arial" w:eastAsia="Arial" w:hint="default"/>
                <w:sz w:val="16"/>
                <w:szCs w:val="16"/>
              </w:rPr>
            </w:pPr>
            <w:r>
              <w:rPr>
                <w:rFonts w:ascii="Arial"/>
                <w:w w:val="95"/>
                <w:sz w:val="16"/>
              </w:rPr>
              <w:t>454,294,190</w:t>
            </w:r>
            <w:r>
              <w:rPr>
                <w:rFonts w:ascii="Arial"/>
                <w:sz w:val="16"/>
              </w:rPr>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5"/>
              <w:jc w:val="right"/>
              <w:rPr>
                <w:rFonts w:ascii="Arial" w:hAnsi="Arial" w:cs="Arial" w:eastAsia="Arial" w:hint="default"/>
                <w:sz w:val="16"/>
                <w:szCs w:val="16"/>
              </w:rPr>
            </w:pPr>
            <w:r>
              <w:rPr>
                <w:rFonts w:ascii="Arial"/>
                <w:w w:val="95"/>
                <w:sz w:val="16"/>
              </w:rPr>
              <w:t>93%</w:t>
            </w:r>
            <w:r>
              <w:rPr>
                <w:rFonts w:ascii="Arial"/>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6"/>
              <w:jc w:val="right"/>
              <w:rPr>
                <w:rFonts w:ascii="Arial" w:hAnsi="Arial" w:cs="Arial" w:eastAsia="Arial" w:hint="default"/>
                <w:sz w:val="16"/>
                <w:szCs w:val="16"/>
              </w:rPr>
            </w:pPr>
            <w:r>
              <w:rPr>
                <w:rFonts w:ascii="Arial"/>
                <w:w w:val="95"/>
                <w:sz w:val="16"/>
              </w:rPr>
              <w:t>2,699,014</w:t>
            </w:r>
            <w:r>
              <w:rPr>
                <w:rFonts w:ascii="Arial"/>
                <w:sz w:val="16"/>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6"/>
                <w:szCs w:val="16"/>
              </w:rPr>
            </w:pPr>
            <w:r>
              <w:rPr>
                <w:rFonts w:ascii="Arial"/>
                <w:w w:val="95"/>
                <w:sz w:val="16"/>
              </w:rPr>
              <w:t>2,699,014</w:t>
            </w:r>
            <w:r>
              <w:rPr>
                <w:rFonts w:ascii="Arial"/>
                <w:sz w:val="16"/>
              </w:rPr>
            </w: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
              <w:jc w:val="right"/>
              <w:rPr>
                <w:rFonts w:ascii="Arial" w:hAnsi="Arial" w:cs="Arial" w:eastAsia="Arial" w:hint="default"/>
                <w:sz w:val="16"/>
                <w:szCs w:val="16"/>
              </w:rPr>
            </w:pPr>
            <w:r>
              <w:rPr>
                <w:rFonts w:ascii="Arial"/>
                <w:w w:val="95"/>
                <w:sz w:val="16"/>
              </w:rPr>
              <w:t>4.27%-4.80%</w:t>
            </w:r>
            <w:r>
              <w:rPr>
                <w:rFonts w:ascii="Arial"/>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174" w:lineRule="exact"/>
              <w:ind w:right="37"/>
              <w:jc w:val="right"/>
              <w:rPr>
                <w:rFonts w:ascii="宋体" w:hAnsi="宋体" w:cs="宋体" w:eastAsia="宋体" w:hint="default"/>
                <w:sz w:val="16"/>
                <w:szCs w:val="16"/>
              </w:rPr>
            </w:pPr>
            <w:r>
              <w:rPr>
                <w:rFonts w:ascii="宋体" w:hAnsi="宋体" w:cs="宋体" w:eastAsia="宋体" w:hint="default"/>
                <w:w w:val="95"/>
                <w:sz w:val="16"/>
                <w:szCs w:val="16"/>
              </w:rPr>
              <w:t>自筹及借款</w:t>
            </w:r>
            <w:r>
              <w:rPr>
                <w:rFonts w:ascii="宋体" w:hAnsi="宋体" w:cs="宋体" w:eastAsia="宋体" w:hint="default"/>
                <w:sz w:val="16"/>
                <w:szCs w:val="16"/>
              </w:rPr>
            </w:r>
          </w:p>
        </w:tc>
        <w:tc>
          <w:tcPr>
            <w:tcW w:w="5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8"/>
              <w:jc w:val="right"/>
              <w:rPr>
                <w:rFonts w:ascii="Arial" w:hAnsi="Arial" w:cs="Arial" w:eastAsia="Arial" w:hint="default"/>
                <w:sz w:val="16"/>
                <w:szCs w:val="16"/>
              </w:rPr>
            </w:pPr>
            <w:r>
              <w:rPr>
                <w:rFonts w:ascii="Arial"/>
                <w:spacing w:val="-1"/>
                <w:w w:val="95"/>
                <w:sz w:val="16"/>
              </w:rPr>
              <w:t>89%</w:t>
            </w:r>
            <w:r>
              <w:rPr>
                <w:rFonts w:ascii="Arial"/>
                <w:sz w:val="16"/>
              </w:rPr>
            </w:r>
          </w:p>
        </w:tc>
      </w:tr>
      <w:tr>
        <w:trPr>
          <w:trHeight w:val="208" w:hRule="exact"/>
        </w:trPr>
        <w:tc>
          <w:tcPr>
            <w:tcW w:w="466" w:type="dxa"/>
            <w:tcBorders>
              <w:top w:val="nil" w:sz="6" w:space="0" w:color="auto"/>
              <w:left w:val="nil" w:sz="6" w:space="0" w:color="auto"/>
              <w:bottom w:val="nil" w:sz="6" w:space="0" w:color="auto"/>
              <w:right w:val="nil" w:sz="6" w:space="0" w:color="auto"/>
            </w:tcBorders>
          </w:tcPr>
          <w:p>
            <w:pPr/>
          </w:p>
        </w:tc>
        <w:tc>
          <w:tcPr>
            <w:tcW w:w="3174" w:type="dxa"/>
            <w:tcBorders>
              <w:top w:val="nil" w:sz="6" w:space="0" w:color="auto"/>
              <w:left w:val="nil" w:sz="6" w:space="0" w:color="auto"/>
              <w:bottom w:val="nil" w:sz="6" w:space="0" w:color="auto"/>
              <w:right w:val="nil" w:sz="6" w:space="0" w:color="auto"/>
            </w:tcBorders>
          </w:tcPr>
          <w:p>
            <w:pPr>
              <w:pStyle w:val="TableParagraph"/>
              <w:spacing w:line="185" w:lineRule="exact"/>
              <w:ind w:left="28" w:right="0"/>
              <w:jc w:val="left"/>
              <w:rPr>
                <w:rFonts w:ascii="宋体" w:hAnsi="宋体" w:cs="宋体" w:eastAsia="宋体" w:hint="default"/>
                <w:sz w:val="16"/>
                <w:szCs w:val="16"/>
              </w:rPr>
            </w:pPr>
            <w:r>
              <w:rPr>
                <w:rFonts w:ascii="宋体" w:hAnsi="宋体" w:cs="宋体" w:eastAsia="宋体" w:hint="default"/>
                <w:sz w:val="16"/>
                <w:szCs w:val="16"/>
              </w:rPr>
              <w:t>江苏</w:t>
            </w:r>
            <w:r>
              <w:rPr>
                <w:rFonts w:ascii="宋体" w:hAnsi="宋体" w:cs="宋体" w:eastAsia="宋体" w:hint="default"/>
                <w:spacing w:val="-43"/>
                <w:sz w:val="16"/>
                <w:szCs w:val="16"/>
              </w:rPr>
              <w:t> </w:t>
            </w:r>
            <w:r>
              <w:rPr>
                <w:rFonts w:ascii="Arial" w:hAnsi="Arial" w:cs="Arial" w:eastAsia="Arial" w:hint="default"/>
                <w:sz w:val="16"/>
                <w:szCs w:val="16"/>
              </w:rPr>
              <w:t>2009</w:t>
            </w:r>
            <w:r>
              <w:rPr>
                <w:rFonts w:ascii="Arial" w:hAnsi="Arial" w:cs="Arial" w:eastAsia="Arial" w:hint="default"/>
                <w:spacing w:val="-6"/>
                <w:sz w:val="16"/>
                <w:szCs w:val="16"/>
              </w:rPr>
              <w:t> </w:t>
            </w:r>
            <w:r>
              <w:rPr>
                <w:rFonts w:ascii="宋体" w:hAnsi="宋体" w:cs="宋体" w:eastAsia="宋体" w:hint="default"/>
                <w:sz w:val="16"/>
                <w:szCs w:val="16"/>
              </w:rPr>
              <w:t>年</w:t>
            </w:r>
            <w:r>
              <w:rPr>
                <w:rFonts w:ascii="宋体" w:hAnsi="宋体" w:cs="宋体" w:eastAsia="宋体" w:hint="default"/>
                <w:spacing w:val="-43"/>
                <w:sz w:val="16"/>
                <w:szCs w:val="16"/>
              </w:rPr>
              <w:t> </w:t>
            </w:r>
            <w:r>
              <w:rPr>
                <w:rFonts w:ascii="Arial" w:hAnsi="Arial" w:cs="Arial" w:eastAsia="Arial" w:hint="default"/>
                <w:sz w:val="16"/>
                <w:szCs w:val="16"/>
              </w:rPr>
              <w:t>WCDMA</w:t>
            </w:r>
            <w:r>
              <w:rPr>
                <w:rFonts w:ascii="Arial" w:hAnsi="Arial" w:cs="Arial" w:eastAsia="Arial" w:hint="default"/>
                <w:spacing w:val="-7"/>
                <w:sz w:val="16"/>
                <w:szCs w:val="16"/>
              </w:rPr>
              <w:t> </w:t>
            </w:r>
            <w:r>
              <w:rPr>
                <w:rFonts w:ascii="宋体" w:hAnsi="宋体" w:cs="宋体" w:eastAsia="宋体" w:hint="default"/>
                <w:sz w:val="16"/>
                <w:szCs w:val="16"/>
              </w:rPr>
              <w:t>配套本地传输网工程</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7"/>
              <w:jc w:val="right"/>
              <w:rPr>
                <w:rFonts w:ascii="Arial" w:hAnsi="Arial" w:cs="Arial" w:eastAsia="Arial" w:hint="default"/>
                <w:sz w:val="16"/>
                <w:szCs w:val="16"/>
              </w:rPr>
            </w:pPr>
            <w:r>
              <w:rPr>
                <w:rFonts w:ascii="Arial"/>
                <w:w w:val="95"/>
                <w:sz w:val="16"/>
              </w:rPr>
              <w:t>566</w:t>
            </w:r>
            <w:r>
              <w:rPr>
                <w:rFonts w:ascii="Arial"/>
                <w:sz w:val="16"/>
              </w:rPr>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w w:val="99"/>
                <w:sz w:val="16"/>
              </w:rPr>
              <w:t>-</w:t>
            </w:r>
            <w:r>
              <w:rPr>
                <w:rFonts w:ascii="Arial"/>
                <w:sz w:val="16"/>
              </w:rPr>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5"/>
              <w:jc w:val="right"/>
              <w:rPr>
                <w:rFonts w:ascii="Arial" w:hAnsi="Arial" w:cs="Arial" w:eastAsia="Arial" w:hint="default"/>
                <w:sz w:val="16"/>
                <w:szCs w:val="16"/>
              </w:rPr>
            </w:pPr>
            <w:r>
              <w:rPr>
                <w:rFonts w:ascii="Arial"/>
                <w:w w:val="95"/>
                <w:sz w:val="16"/>
              </w:rPr>
              <w:t>553,891,501</w:t>
            </w:r>
            <w:r>
              <w:rPr>
                <w:rFonts w:ascii="Arial"/>
                <w:sz w:val="16"/>
              </w:rPr>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7"/>
              <w:jc w:val="right"/>
              <w:rPr>
                <w:rFonts w:ascii="Arial" w:hAnsi="Arial" w:cs="Arial" w:eastAsia="Arial" w:hint="default"/>
                <w:sz w:val="16"/>
                <w:szCs w:val="16"/>
              </w:rPr>
            </w:pPr>
            <w:r>
              <w:rPr>
                <w:rFonts w:ascii="Arial"/>
                <w:w w:val="95"/>
                <w:sz w:val="16"/>
              </w:rPr>
              <w:t>(146,318,336)</w:t>
            </w:r>
            <w:r>
              <w:rPr>
                <w:rFonts w:ascii="Arial"/>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0"/>
              <w:jc w:val="right"/>
              <w:rPr>
                <w:rFonts w:ascii="Arial" w:hAnsi="Arial" w:cs="Arial" w:eastAsia="Arial" w:hint="default"/>
                <w:sz w:val="16"/>
                <w:szCs w:val="16"/>
              </w:rPr>
            </w:pPr>
            <w:r>
              <w:rPr>
                <w:rFonts w:ascii="Arial"/>
                <w:w w:val="99"/>
                <w:sz w:val="16"/>
              </w:rPr>
              <w:t>-</w:t>
            </w:r>
            <w:r>
              <w:rPr>
                <w:rFonts w:ascii="Arial"/>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5"/>
              <w:jc w:val="right"/>
              <w:rPr>
                <w:rFonts w:ascii="Arial" w:hAnsi="Arial" w:cs="Arial" w:eastAsia="Arial" w:hint="default"/>
                <w:sz w:val="16"/>
                <w:szCs w:val="16"/>
              </w:rPr>
            </w:pPr>
            <w:r>
              <w:rPr>
                <w:rFonts w:ascii="Arial"/>
                <w:w w:val="95"/>
                <w:sz w:val="16"/>
              </w:rPr>
              <w:t>407,573,165</w:t>
            </w:r>
            <w:r>
              <w:rPr>
                <w:rFonts w:ascii="Arial"/>
                <w:sz w:val="16"/>
              </w:rPr>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5"/>
              <w:jc w:val="right"/>
              <w:rPr>
                <w:rFonts w:ascii="Arial" w:hAnsi="Arial" w:cs="Arial" w:eastAsia="Arial" w:hint="default"/>
                <w:sz w:val="16"/>
                <w:szCs w:val="16"/>
              </w:rPr>
            </w:pPr>
            <w:r>
              <w:rPr>
                <w:rFonts w:ascii="Arial"/>
                <w:w w:val="95"/>
                <w:sz w:val="16"/>
              </w:rPr>
              <w:t>98%</w:t>
            </w:r>
            <w:r>
              <w:rPr>
                <w:rFonts w:ascii="Arial"/>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6"/>
              <w:jc w:val="right"/>
              <w:rPr>
                <w:rFonts w:ascii="Arial" w:hAnsi="Arial" w:cs="Arial" w:eastAsia="Arial" w:hint="default"/>
                <w:sz w:val="16"/>
                <w:szCs w:val="16"/>
              </w:rPr>
            </w:pPr>
            <w:r>
              <w:rPr>
                <w:rFonts w:ascii="Arial"/>
                <w:w w:val="95"/>
                <w:sz w:val="16"/>
              </w:rPr>
              <w:t>6,731,549</w:t>
            </w:r>
            <w:r>
              <w:rPr>
                <w:rFonts w:ascii="Arial"/>
                <w:sz w:val="16"/>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6"/>
                <w:szCs w:val="16"/>
              </w:rPr>
            </w:pPr>
            <w:r>
              <w:rPr>
                <w:rFonts w:ascii="Arial"/>
                <w:w w:val="95"/>
                <w:sz w:val="16"/>
              </w:rPr>
              <w:t>6,731,549</w:t>
            </w:r>
            <w:r>
              <w:rPr>
                <w:rFonts w:ascii="Arial"/>
                <w:sz w:val="16"/>
              </w:rPr>
            </w: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
              <w:jc w:val="right"/>
              <w:rPr>
                <w:rFonts w:ascii="Arial" w:hAnsi="Arial" w:cs="Arial" w:eastAsia="Arial" w:hint="default"/>
                <w:sz w:val="16"/>
                <w:szCs w:val="16"/>
              </w:rPr>
            </w:pPr>
            <w:r>
              <w:rPr>
                <w:rFonts w:ascii="Arial"/>
                <w:w w:val="95"/>
                <w:sz w:val="16"/>
              </w:rPr>
              <w:t>4.27%-4.80%</w:t>
            </w:r>
            <w:r>
              <w:rPr>
                <w:rFonts w:ascii="Arial"/>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174" w:lineRule="exact"/>
              <w:ind w:right="37"/>
              <w:jc w:val="right"/>
              <w:rPr>
                <w:rFonts w:ascii="宋体" w:hAnsi="宋体" w:cs="宋体" w:eastAsia="宋体" w:hint="default"/>
                <w:sz w:val="16"/>
                <w:szCs w:val="16"/>
              </w:rPr>
            </w:pPr>
            <w:r>
              <w:rPr>
                <w:rFonts w:ascii="宋体" w:hAnsi="宋体" w:cs="宋体" w:eastAsia="宋体" w:hint="default"/>
                <w:w w:val="95"/>
                <w:sz w:val="16"/>
                <w:szCs w:val="16"/>
              </w:rPr>
              <w:t>自筹及借款</w:t>
            </w:r>
            <w:r>
              <w:rPr>
                <w:rFonts w:ascii="宋体" w:hAnsi="宋体" w:cs="宋体" w:eastAsia="宋体" w:hint="default"/>
                <w:sz w:val="16"/>
                <w:szCs w:val="16"/>
              </w:rPr>
            </w:r>
          </w:p>
        </w:tc>
        <w:tc>
          <w:tcPr>
            <w:tcW w:w="5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8"/>
              <w:jc w:val="right"/>
              <w:rPr>
                <w:rFonts w:ascii="Arial" w:hAnsi="Arial" w:cs="Arial" w:eastAsia="Arial" w:hint="default"/>
                <w:sz w:val="16"/>
                <w:szCs w:val="16"/>
              </w:rPr>
            </w:pPr>
            <w:r>
              <w:rPr>
                <w:rFonts w:ascii="Arial"/>
                <w:spacing w:val="-1"/>
                <w:w w:val="95"/>
                <w:sz w:val="16"/>
              </w:rPr>
              <w:t>97%</w:t>
            </w:r>
            <w:r>
              <w:rPr>
                <w:rFonts w:ascii="Arial"/>
                <w:sz w:val="16"/>
              </w:rPr>
            </w:r>
          </w:p>
        </w:tc>
      </w:tr>
      <w:tr>
        <w:trPr>
          <w:trHeight w:val="208" w:hRule="exact"/>
        </w:trPr>
        <w:tc>
          <w:tcPr>
            <w:tcW w:w="466" w:type="dxa"/>
            <w:tcBorders>
              <w:top w:val="nil" w:sz="6" w:space="0" w:color="auto"/>
              <w:left w:val="nil" w:sz="6" w:space="0" w:color="auto"/>
              <w:bottom w:val="nil" w:sz="6" w:space="0" w:color="auto"/>
              <w:right w:val="nil" w:sz="6" w:space="0" w:color="auto"/>
            </w:tcBorders>
          </w:tcPr>
          <w:p>
            <w:pPr/>
          </w:p>
        </w:tc>
        <w:tc>
          <w:tcPr>
            <w:tcW w:w="3174" w:type="dxa"/>
            <w:tcBorders>
              <w:top w:val="nil" w:sz="6" w:space="0" w:color="auto"/>
              <w:left w:val="nil" w:sz="6" w:space="0" w:color="auto"/>
              <w:bottom w:val="nil" w:sz="6" w:space="0" w:color="auto"/>
              <w:right w:val="nil" w:sz="6" w:space="0" w:color="auto"/>
            </w:tcBorders>
          </w:tcPr>
          <w:p>
            <w:pPr>
              <w:pStyle w:val="TableParagraph"/>
              <w:spacing w:line="185" w:lineRule="exact"/>
              <w:ind w:left="27" w:right="0"/>
              <w:jc w:val="left"/>
              <w:rPr>
                <w:rFonts w:ascii="宋体" w:hAnsi="宋体" w:cs="宋体" w:eastAsia="宋体" w:hint="default"/>
                <w:sz w:val="16"/>
                <w:szCs w:val="16"/>
              </w:rPr>
            </w:pPr>
            <w:r>
              <w:rPr>
                <w:rFonts w:ascii="宋体" w:hAnsi="宋体" w:cs="宋体" w:eastAsia="宋体" w:hint="default"/>
                <w:sz w:val="16"/>
                <w:szCs w:val="16"/>
              </w:rPr>
              <w:t>北京</w:t>
            </w:r>
            <w:r>
              <w:rPr>
                <w:rFonts w:ascii="宋体" w:hAnsi="宋体" w:cs="宋体" w:eastAsia="宋体" w:hint="default"/>
                <w:spacing w:val="-42"/>
                <w:sz w:val="16"/>
                <w:szCs w:val="16"/>
              </w:rPr>
              <w:t> </w:t>
            </w:r>
            <w:r>
              <w:rPr>
                <w:rFonts w:ascii="Arial" w:hAnsi="Arial" w:cs="Arial" w:eastAsia="Arial" w:hint="default"/>
                <w:sz w:val="16"/>
                <w:szCs w:val="16"/>
              </w:rPr>
              <w:t>2009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WCDMA</w:t>
            </w:r>
            <w:r>
              <w:rPr>
                <w:rFonts w:ascii="Arial" w:hAnsi="Arial" w:cs="Arial" w:eastAsia="Arial" w:hint="default"/>
                <w:spacing w:val="-6"/>
                <w:sz w:val="16"/>
                <w:szCs w:val="16"/>
              </w:rPr>
              <w:t> </w:t>
            </w:r>
            <w:r>
              <w:rPr>
                <w:rFonts w:ascii="宋体" w:hAnsi="宋体" w:cs="宋体" w:eastAsia="宋体" w:hint="default"/>
                <w:sz w:val="16"/>
                <w:szCs w:val="16"/>
              </w:rPr>
              <w:t>网室内覆盖工程</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9"/>
              <w:jc w:val="right"/>
              <w:rPr>
                <w:rFonts w:ascii="Arial" w:hAnsi="Arial" w:cs="Arial" w:eastAsia="Arial" w:hint="default"/>
                <w:sz w:val="16"/>
                <w:szCs w:val="16"/>
              </w:rPr>
            </w:pPr>
            <w:r>
              <w:rPr>
                <w:rFonts w:ascii="Arial"/>
                <w:w w:val="95"/>
                <w:sz w:val="16"/>
              </w:rPr>
              <w:t>1,134</w:t>
            </w:r>
            <w:r>
              <w:rPr>
                <w:rFonts w:ascii="Arial"/>
                <w:sz w:val="16"/>
              </w:rPr>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w w:val="99"/>
                <w:sz w:val="16"/>
              </w:rPr>
              <w:t>-</w:t>
            </w:r>
            <w:r>
              <w:rPr>
                <w:rFonts w:ascii="Arial"/>
                <w:sz w:val="16"/>
              </w:rPr>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4"/>
              <w:jc w:val="right"/>
              <w:rPr>
                <w:rFonts w:ascii="Arial" w:hAnsi="Arial" w:cs="Arial" w:eastAsia="Arial" w:hint="default"/>
                <w:sz w:val="16"/>
                <w:szCs w:val="16"/>
              </w:rPr>
            </w:pPr>
            <w:r>
              <w:rPr>
                <w:rFonts w:ascii="Arial"/>
                <w:w w:val="95"/>
                <w:sz w:val="16"/>
              </w:rPr>
              <w:t>1,005,586,441</w:t>
            </w:r>
            <w:r>
              <w:rPr>
                <w:rFonts w:ascii="Arial"/>
                <w:sz w:val="16"/>
              </w:rPr>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8"/>
              <w:jc w:val="right"/>
              <w:rPr>
                <w:rFonts w:ascii="Arial" w:hAnsi="Arial" w:cs="Arial" w:eastAsia="Arial" w:hint="default"/>
                <w:sz w:val="16"/>
                <w:szCs w:val="16"/>
              </w:rPr>
            </w:pPr>
            <w:r>
              <w:rPr>
                <w:rFonts w:ascii="Arial"/>
                <w:w w:val="95"/>
                <w:sz w:val="16"/>
              </w:rPr>
              <w:t>(674,421,443)</w:t>
            </w:r>
            <w:r>
              <w:rPr>
                <w:rFonts w:ascii="Arial"/>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0"/>
              <w:jc w:val="right"/>
              <w:rPr>
                <w:rFonts w:ascii="Arial" w:hAnsi="Arial" w:cs="Arial" w:eastAsia="Arial" w:hint="default"/>
                <w:sz w:val="16"/>
                <w:szCs w:val="16"/>
              </w:rPr>
            </w:pPr>
            <w:r>
              <w:rPr>
                <w:rFonts w:ascii="Arial"/>
                <w:w w:val="99"/>
                <w:sz w:val="16"/>
              </w:rPr>
              <w:t>-</w:t>
            </w:r>
            <w:r>
              <w:rPr>
                <w:rFonts w:ascii="Arial"/>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5"/>
              <w:jc w:val="right"/>
              <w:rPr>
                <w:rFonts w:ascii="Arial" w:hAnsi="Arial" w:cs="Arial" w:eastAsia="Arial" w:hint="default"/>
                <w:sz w:val="16"/>
                <w:szCs w:val="16"/>
              </w:rPr>
            </w:pPr>
            <w:r>
              <w:rPr>
                <w:rFonts w:ascii="Arial"/>
                <w:w w:val="95"/>
                <w:sz w:val="16"/>
              </w:rPr>
              <w:t>331,164,998</w:t>
            </w:r>
            <w:r>
              <w:rPr>
                <w:rFonts w:ascii="Arial"/>
                <w:sz w:val="16"/>
              </w:rPr>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5"/>
              <w:jc w:val="right"/>
              <w:rPr>
                <w:rFonts w:ascii="Arial" w:hAnsi="Arial" w:cs="Arial" w:eastAsia="Arial" w:hint="default"/>
                <w:sz w:val="16"/>
                <w:szCs w:val="16"/>
              </w:rPr>
            </w:pPr>
            <w:r>
              <w:rPr>
                <w:rFonts w:ascii="Arial"/>
                <w:w w:val="95"/>
                <w:sz w:val="16"/>
              </w:rPr>
              <w:t>89%</w:t>
            </w:r>
            <w:r>
              <w:rPr>
                <w:rFonts w:ascii="Arial"/>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7"/>
              <w:jc w:val="right"/>
              <w:rPr>
                <w:rFonts w:ascii="Arial" w:hAnsi="Arial" w:cs="Arial" w:eastAsia="Arial" w:hint="default"/>
                <w:sz w:val="16"/>
                <w:szCs w:val="16"/>
              </w:rPr>
            </w:pPr>
            <w:r>
              <w:rPr>
                <w:rFonts w:ascii="Arial"/>
                <w:w w:val="95"/>
                <w:sz w:val="16"/>
              </w:rPr>
              <w:t>4,238,759</w:t>
            </w:r>
            <w:r>
              <w:rPr>
                <w:rFonts w:ascii="Arial"/>
                <w:sz w:val="16"/>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6"/>
                <w:szCs w:val="16"/>
              </w:rPr>
            </w:pPr>
            <w:r>
              <w:rPr>
                <w:rFonts w:ascii="Arial"/>
                <w:w w:val="95"/>
                <w:sz w:val="16"/>
              </w:rPr>
              <w:t>4,238,759</w:t>
            </w:r>
            <w:r>
              <w:rPr>
                <w:rFonts w:ascii="Arial"/>
                <w:sz w:val="16"/>
              </w:rPr>
            </w: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0"/>
              <w:jc w:val="right"/>
              <w:rPr>
                <w:rFonts w:ascii="Arial" w:hAnsi="Arial" w:cs="Arial" w:eastAsia="Arial" w:hint="default"/>
                <w:sz w:val="16"/>
                <w:szCs w:val="16"/>
              </w:rPr>
            </w:pPr>
            <w:r>
              <w:rPr>
                <w:rFonts w:ascii="Arial"/>
                <w:w w:val="95"/>
                <w:sz w:val="16"/>
              </w:rPr>
              <w:t>4.27%-4.80%</w:t>
            </w:r>
            <w:r>
              <w:rPr>
                <w:rFonts w:ascii="Arial"/>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174" w:lineRule="exact"/>
              <w:ind w:right="37"/>
              <w:jc w:val="right"/>
              <w:rPr>
                <w:rFonts w:ascii="宋体" w:hAnsi="宋体" w:cs="宋体" w:eastAsia="宋体" w:hint="default"/>
                <w:sz w:val="16"/>
                <w:szCs w:val="16"/>
              </w:rPr>
            </w:pPr>
            <w:r>
              <w:rPr>
                <w:rFonts w:ascii="宋体" w:hAnsi="宋体" w:cs="宋体" w:eastAsia="宋体" w:hint="default"/>
                <w:w w:val="95"/>
                <w:sz w:val="16"/>
                <w:szCs w:val="16"/>
              </w:rPr>
              <w:t>自筹及借款</w:t>
            </w:r>
            <w:r>
              <w:rPr>
                <w:rFonts w:ascii="宋体" w:hAnsi="宋体" w:cs="宋体" w:eastAsia="宋体" w:hint="default"/>
                <w:sz w:val="16"/>
                <w:szCs w:val="16"/>
              </w:rPr>
            </w:r>
          </w:p>
        </w:tc>
        <w:tc>
          <w:tcPr>
            <w:tcW w:w="5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9"/>
              <w:jc w:val="right"/>
              <w:rPr>
                <w:rFonts w:ascii="Arial" w:hAnsi="Arial" w:cs="Arial" w:eastAsia="Arial" w:hint="default"/>
                <w:sz w:val="16"/>
                <w:szCs w:val="16"/>
              </w:rPr>
            </w:pPr>
            <w:r>
              <w:rPr>
                <w:rFonts w:ascii="Arial"/>
                <w:spacing w:val="-1"/>
                <w:w w:val="95"/>
                <w:sz w:val="16"/>
              </w:rPr>
              <w:t>92%</w:t>
            </w:r>
            <w:r>
              <w:rPr>
                <w:rFonts w:ascii="Arial"/>
                <w:sz w:val="16"/>
              </w:rPr>
            </w:r>
          </w:p>
        </w:tc>
      </w:tr>
      <w:tr>
        <w:trPr>
          <w:trHeight w:val="208" w:hRule="exact"/>
        </w:trPr>
        <w:tc>
          <w:tcPr>
            <w:tcW w:w="466" w:type="dxa"/>
            <w:tcBorders>
              <w:top w:val="nil" w:sz="6" w:space="0" w:color="auto"/>
              <w:left w:val="nil" w:sz="6" w:space="0" w:color="auto"/>
              <w:bottom w:val="nil" w:sz="6" w:space="0" w:color="auto"/>
              <w:right w:val="nil" w:sz="6" w:space="0" w:color="auto"/>
            </w:tcBorders>
          </w:tcPr>
          <w:p>
            <w:pPr/>
          </w:p>
        </w:tc>
        <w:tc>
          <w:tcPr>
            <w:tcW w:w="3174" w:type="dxa"/>
            <w:tcBorders>
              <w:top w:val="nil" w:sz="6" w:space="0" w:color="auto"/>
              <w:left w:val="nil" w:sz="6" w:space="0" w:color="auto"/>
              <w:bottom w:val="nil" w:sz="6" w:space="0" w:color="auto"/>
              <w:right w:val="nil" w:sz="6" w:space="0" w:color="auto"/>
            </w:tcBorders>
          </w:tcPr>
          <w:p>
            <w:pPr>
              <w:pStyle w:val="TableParagraph"/>
              <w:spacing w:line="185" w:lineRule="exact"/>
              <w:ind w:left="27" w:right="0"/>
              <w:jc w:val="left"/>
              <w:rPr>
                <w:rFonts w:ascii="宋体" w:hAnsi="宋体" w:cs="宋体" w:eastAsia="宋体" w:hint="default"/>
                <w:sz w:val="16"/>
                <w:szCs w:val="16"/>
              </w:rPr>
            </w:pPr>
            <w:r>
              <w:rPr>
                <w:rFonts w:ascii="宋体" w:hAnsi="宋体" w:cs="宋体" w:eastAsia="宋体" w:hint="default"/>
                <w:sz w:val="16"/>
                <w:szCs w:val="16"/>
              </w:rPr>
              <w:t>北京</w:t>
            </w:r>
            <w:r>
              <w:rPr>
                <w:rFonts w:ascii="宋体" w:hAnsi="宋体" w:cs="宋体" w:eastAsia="宋体" w:hint="default"/>
                <w:spacing w:val="-42"/>
                <w:sz w:val="16"/>
                <w:szCs w:val="16"/>
              </w:rPr>
              <w:t> </w:t>
            </w:r>
            <w:r>
              <w:rPr>
                <w:rFonts w:ascii="Arial" w:hAnsi="Arial" w:cs="Arial" w:eastAsia="Arial" w:hint="default"/>
                <w:sz w:val="16"/>
                <w:szCs w:val="16"/>
              </w:rPr>
              <w:t>2008</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GSM</w:t>
            </w:r>
            <w:r>
              <w:rPr>
                <w:rFonts w:ascii="Arial" w:hAnsi="Arial" w:cs="Arial" w:eastAsia="Arial" w:hint="default"/>
                <w:spacing w:val="-6"/>
                <w:sz w:val="16"/>
                <w:szCs w:val="16"/>
              </w:rPr>
              <w:t> </w:t>
            </w:r>
            <w:r>
              <w:rPr>
                <w:rFonts w:ascii="宋体" w:hAnsi="宋体" w:cs="宋体" w:eastAsia="宋体" w:hint="default"/>
                <w:sz w:val="16"/>
                <w:szCs w:val="16"/>
              </w:rPr>
              <w:t>工程</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
              <w:jc w:val="right"/>
              <w:rPr>
                <w:rFonts w:ascii="Arial" w:hAnsi="Arial" w:cs="Arial" w:eastAsia="Arial" w:hint="default"/>
                <w:sz w:val="16"/>
                <w:szCs w:val="16"/>
              </w:rPr>
            </w:pPr>
            <w:r>
              <w:rPr>
                <w:rFonts w:ascii="Arial"/>
                <w:w w:val="95"/>
                <w:sz w:val="16"/>
              </w:rPr>
              <w:t>1,587</w:t>
            </w:r>
            <w:r>
              <w:rPr>
                <w:rFonts w:ascii="Arial"/>
                <w:sz w:val="16"/>
              </w:rPr>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w w:val="95"/>
                <w:sz w:val="16"/>
              </w:rPr>
              <w:t>12,782,990</w:t>
            </w:r>
            <w:r>
              <w:rPr>
                <w:rFonts w:ascii="Arial"/>
                <w:sz w:val="16"/>
              </w:rPr>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6"/>
              <w:jc w:val="right"/>
              <w:rPr>
                <w:rFonts w:ascii="Arial" w:hAnsi="Arial" w:cs="Arial" w:eastAsia="Arial" w:hint="default"/>
                <w:sz w:val="16"/>
                <w:szCs w:val="16"/>
              </w:rPr>
            </w:pPr>
            <w:r>
              <w:rPr>
                <w:rFonts w:ascii="Arial"/>
                <w:w w:val="95"/>
                <w:sz w:val="16"/>
              </w:rPr>
              <w:t>1,120,953,423</w:t>
            </w:r>
            <w:r>
              <w:rPr>
                <w:rFonts w:ascii="Arial"/>
                <w:sz w:val="16"/>
              </w:rPr>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8"/>
              <w:jc w:val="right"/>
              <w:rPr>
                <w:rFonts w:ascii="Arial" w:hAnsi="Arial" w:cs="Arial" w:eastAsia="Arial" w:hint="default"/>
                <w:sz w:val="16"/>
                <w:szCs w:val="16"/>
              </w:rPr>
            </w:pPr>
            <w:r>
              <w:rPr>
                <w:rFonts w:ascii="Arial"/>
                <w:w w:val="95"/>
                <w:sz w:val="16"/>
              </w:rPr>
              <w:t>(767,102,587)</w:t>
            </w:r>
            <w:r>
              <w:rPr>
                <w:rFonts w:ascii="Arial"/>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42"/>
              <w:jc w:val="right"/>
              <w:rPr>
                <w:rFonts w:ascii="Arial" w:hAnsi="Arial" w:cs="Arial" w:eastAsia="Arial" w:hint="default"/>
                <w:sz w:val="16"/>
                <w:szCs w:val="16"/>
              </w:rPr>
            </w:pPr>
            <w:r>
              <w:rPr>
                <w:rFonts w:ascii="Arial"/>
                <w:w w:val="95"/>
                <w:sz w:val="16"/>
              </w:rPr>
              <w:t>(39,642,901)</w:t>
            </w:r>
            <w:r>
              <w:rPr>
                <w:rFonts w:ascii="Arial"/>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7"/>
              <w:jc w:val="right"/>
              <w:rPr>
                <w:rFonts w:ascii="Arial" w:hAnsi="Arial" w:cs="Arial" w:eastAsia="Arial" w:hint="default"/>
                <w:sz w:val="16"/>
                <w:szCs w:val="16"/>
              </w:rPr>
            </w:pPr>
            <w:r>
              <w:rPr>
                <w:rFonts w:ascii="Arial"/>
                <w:w w:val="95"/>
                <w:sz w:val="16"/>
              </w:rPr>
              <w:t>326,990,925</w:t>
            </w:r>
            <w:r>
              <w:rPr>
                <w:rFonts w:ascii="Arial"/>
                <w:sz w:val="16"/>
              </w:rPr>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6"/>
              <w:jc w:val="right"/>
              <w:rPr>
                <w:rFonts w:ascii="Arial" w:hAnsi="Arial" w:cs="Arial" w:eastAsia="Arial" w:hint="default"/>
                <w:sz w:val="16"/>
                <w:szCs w:val="16"/>
              </w:rPr>
            </w:pPr>
            <w:r>
              <w:rPr>
                <w:rFonts w:ascii="Arial"/>
                <w:w w:val="95"/>
                <w:sz w:val="16"/>
              </w:rPr>
              <w:t>71%</w:t>
            </w:r>
            <w:r>
              <w:rPr>
                <w:rFonts w:ascii="Arial"/>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7"/>
              <w:jc w:val="right"/>
              <w:rPr>
                <w:rFonts w:ascii="Arial" w:hAnsi="Arial" w:cs="Arial" w:eastAsia="Arial" w:hint="default"/>
                <w:sz w:val="16"/>
                <w:szCs w:val="16"/>
              </w:rPr>
            </w:pPr>
            <w:r>
              <w:rPr>
                <w:rFonts w:ascii="Arial"/>
                <w:w w:val="95"/>
                <w:sz w:val="16"/>
              </w:rPr>
              <w:t>9,045,180</w:t>
            </w:r>
            <w:r>
              <w:rPr>
                <w:rFonts w:ascii="Arial"/>
                <w:sz w:val="16"/>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Arial" w:hAnsi="Arial" w:cs="Arial" w:eastAsia="Arial" w:hint="default"/>
                <w:sz w:val="16"/>
                <w:szCs w:val="16"/>
              </w:rPr>
            </w:pPr>
            <w:r>
              <w:rPr>
                <w:rFonts w:ascii="Arial"/>
                <w:w w:val="95"/>
                <w:sz w:val="16"/>
              </w:rPr>
              <w:t>9,036,239</w:t>
            </w:r>
            <w:r>
              <w:rPr>
                <w:rFonts w:ascii="Arial"/>
                <w:sz w:val="16"/>
              </w:rPr>
            </w: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0"/>
              <w:jc w:val="right"/>
              <w:rPr>
                <w:rFonts w:ascii="Arial" w:hAnsi="Arial" w:cs="Arial" w:eastAsia="Arial" w:hint="default"/>
                <w:sz w:val="16"/>
                <w:szCs w:val="16"/>
              </w:rPr>
            </w:pPr>
            <w:r>
              <w:rPr>
                <w:rFonts w:ascii="Arial"/>
                <w:w w:val="95"/>
                <w:sz w:val="16"/>
              </w:rPr>
              <w:t>4.27%-4.80%</w:t>
            </w:r>
            <w:r>
              <w:rPr>
                <w:rFonts w:ascii="Arial"/>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174" w:lineRule="exact"/>
              <w:ind w:right="37"/>
              <w:jc w:val="right"/>
              <w:rPr>
                <w:rFonts w:ascii="宋体" w:hAnsi="宋体" w:cs="宋体" w:eastAsia="宋体" w:hint="default"/>
                <w:sz w:val="16"/>
                <w:szCs w:val="16"/>
              </w:rPr>
            </w:pPr>
            <w:r>
              <w:rPr>
                <w:rFonts w:ascii="宋体" w:hAnsi="宋体" w:cs="宋体" w:eastAsia="宋体" w:hint="default"/>
                <w:w w:val="95"/>
                <w:sz w:val="16"/>
                <w:szCs w:val="16"/>
              </w:rPr>
              <w:t>自筹及借款</w:t>
            </w:r>
            <w:r>
              <w:rPr>
                <w:rFonts w:ascii="宋体" w:hAnsi="宋体" w:cs="宋体" w:eastAsia="宋体" w:hint="default"/>
                <w:sz w:val="16"/>
                <w:szCs w:val="16"/>
              </w:rPr>
            </w:r>
          </w:p>
        </w:tc>
        <w:tc>
          <w:tcPr>
            <w:tcW w:w="5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9"/>
              <w:jc w:val="right"/>
              <w:rPr>
                <w:rFonts w:ascii="Arial" w:hAnsi="Arial" w:cs="Arial" w:eastAsia="Arial" w:hint="default"/>
                <w:sz w:val="16"/>
                <w:szCs w:val="16"/>
              </w:rPr>
            </w:pPr>
            <w:r>
              <w:rPr>
                <w:rFonts w:ascii="Arial"/>
                <w:spacing w:val="-1"/>
                <w:w w:val="95"/>
                <w:sz w:val="16"/>
              </w:rPr>
              <w:t>76%</w:t>
            </w:r>
            <w:r>
              <w:rPr>
                <w:rFonts w:ascii="Arial"/>
                <w:sz w:val="16"/>
              </w:rPr>
            </w:r>
          </w:p>
        </w:tc>
      </w:tr>
      <w:tr>
        <w:trPr>
          <w:trHeight w:val="208" w:hRule="exact"/>
        </w:trPr>
        <w:tc>
          <w:tcPr>
            <w:tcW w:w="466" w:type="dxa"/>
            <w:tcBorders>
              <w:top w:val="nil" w:sz="6" w:space="0" w:color="auto"/>
              <w:left w:val="nil" w:sz="6" w:space="0" w:color="auto"/>
              <w:bottom w:val="nil" w:sz="6" w:space="0" w:color="auto"/>
              <w:right w:val="nil" w:sz="6" w:space="0" w:color="auto"/>
            </w:tcBorders>
          </w:tcPr>
          <w:p>
            <w:pPr/>
          </w:p>
        </w:tc>
        <w:tc>
          <w:tcPr>
            <w:tcW w:w="3174" w:type="dxa"/>
            <w:tcBorders>
              <w:top w:val="nil" w:sz="6" w:space="0" w:color="auto"/>
              <w:left w:val="nil" w:sz="6" w:space="0" w:color="auto"/>
              <w:bottom w:val="nil" w:sz="6" w:space="0" w:color="auto"/>
              <w:right w:val="nil" w:sz="6" w:space="0" w:color="auto"/>
            </w:tcBorders>
          </w:tcPr>
          <w:p>
            <w:pPr>
              <w:pStyle w:val="TableParagraph"/>
              <w:spacing w:line="185" w:lineRule="exact"/>
              <w:ind w:left="27" w:right="0"/>
              <w:jc w:val="left"/>
              <w:rPr>
                <w:rFonts w:ascii="宋体" w:hAnsi="宋体" w:cs="宋体" w:eastAsia="宋体" w:hint="default"/>
                <w:sz w:val="16"/>
                <w:szCs w:val="16"/>
              </w:rPr>
            </w:pPr>
            <w:r>
              <w:rPr>
                <w:rFonts w:ascii="宋体" w:hAnsi="宋体" w:cs="宋体" w:eastAsia="宋体" w:hint="default"/>
                <w:sz w:val="16"/>
                <w:szCs w:val="16"/>
              </w:rPr>
              <w:t>山东</w:t>
            </w:r>
            <w:r>
              <w:rPr>
                <w:rFonts w:ascii="宋体" w:hAnsi="宋体" w:cs="宋体" w:eastAsia="宋体" w:hint="default"/>
                <w:spacing w:val="-42"/>
                <w:sz w:val="16"/>
                <w:szCs w:val="16"/>
              </w:rPr>
              <w:t> </w:t>
            </w:r>
            <w:r>
              <w:rPr>
                <w:rFonts w:ascii="Arial" w:hAnsi="Arial" w:cs="Arial" w:eastAsia="Arial" w:hint="default"/>
                <w:sz w:val="16"/>
                <w:szCs w:val="16"/>
              </w:rPr>
              <w:t>2009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WCDMA</w:t>
            </w:r>
            <w:r>
              <w:rPr>
                <w:rFonts w:ascii="Arial" w:hAnsi="Arial" w:cs="Arial" w:eastAsia="Arial" w:hint="default"/>
                <w:spacing w:val="-6"/>
                <w:sz w:val="16"/>
                <w:szCs w:val="16"/>
              </w:rPr>
              <w:t> </w:t>
            </w:r>
            <w:r>
              <w:rPr>
                <w:rFonts w:ascii="宋体" w:hAnsi="宋体" w:cs="宋体" w:eastAsia="宋体" w:hint="default"/>
                <w:sz w:val="16"/>
                <w:szCs w:val="16"/>
              </w:rPr>
              <w:t>网工程</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
              <w:jc w:val="right"/>
              <w:rPr>
                <w:rFonts w:ascii="Arial" w:hAnsi="Arial" w:cs="Arial" w:eastAsia="Arial" w:hint="default"/>
                <w:sz w:val="16"/>
                <w:szCs w:val="16"/>
              </w:rPr>
            </w:pPr>
            <w:r>
              <w:rPr>
                <w:rFonts w:ascii="Arial"/>
                <w:w w:val="95"/>
                <w:sz w:val="16"/>
              </w:rPr>
              <w:t>443</w:t>
            </w:r>
            <w:r>
              <w:rPr>
                <w:rFonts w:ascii="Arial"/>
                <w:sz w:val="16"/>
              </w:rPr>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w w:val="99"/>
                <w:sz w:val="16"/>
              </w:rPr>
              <w:t>-</w:t>
            </w:r>
            <w:r>
              <w:rPr>
                <w:rFonts w:ascii="Arial"/>
                <w:sz w:val="16"/>
              </w:rPr>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6"/>
              <w:jc w:val="right"/>
              <w:rPr>
                <w:rFonts w:ascii="Arial" w:hAnsi="Arial" w:cs="Arial" w:eastAsia="Arial" w:hint="default"/>
                <w:sz w:val="16"/>
                <w:szCs w:val="16"/>
              </w:rPr>
            </w:pPr>
            <w:r>
              <w:rPr>
                <w:rFonts w:ascii="Arial"/>
                <w:w w:val="95"/>
                <w:sz w:val="16"/>
              </w:rPr>
              <w:t>313,358,843</w:t>
            </w:r>
            <w:r>
              <w:rPr>
                <w:rFonts w:ascii="Arial"/>
                <w:sz w:val="16"/>
              </w:rPr>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1"/>
              <w:jc w:val="right"/>
              <w:rPr>
                <w:rFonts w:ascii="Arial" w:hAnsi="Arial" w:cs="Arial" w:eastAsia="Arial" w:hint="default"/>
                <w:sz w:val="16"/>
                <w:szCs w:val="16"/>
              </w:rPr>
            </w:pPr>
            <w:r>
              <w:rPr>
                <w:rFonts w:ascii="Arial"/>
                <w:w w:val="99"/>
                <w:sz w:val="16"/>
              </w:rPr>
              <w:t>-</w:t>
            </w:r>
            <w:r>
              <w:rPr>
                <w:rFonts w:ascii="Arial"/>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2"/>
              <w:jc w:val="right"/>
              <w:rPr>
                <w:rFonts w:ascii="Arial" w:hAnsi="Arial" w:cs="Arial" w:eastAsia="Arial" w:hint="default"/>
                <w:sz w:val="16"/>
                <w:szCs w:val="16"/>
              </w:rPr>
            </w:pPr>
            <w:r>
              <w:rPr>
                <w:rFonts w:ascii="Arial"/>
                <w:w w:val="99"/>
                <w:sz w:val="16"/>
              </w:rPr>
              <w:t>-</w:t>
            </w:r>
            <w:r>
              <w:rPr>
                <w:rFonts w:ascii="Arial"/>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5"/>
              <w:jc w:val="right"/>
              <w:rPr>
                <w:rFonts w:ascii="Arial" w:hAnsi="Arial" w:cs="Arial" w:eastAsia="Arial" w:hint="default"/>
                <w:sz w:val="16"/>
                <w:szCs w:val="16"/>
              </w:rPr>
            </w:pPr>
            <w:r>
              <w:rPr>
                <w:rFonts w:ascii="Arial"/>
                <w:w w:val="95"/>
                <w:sz w:val="16"/>
              </w:rPr>
              <w:t>313,358,843</w:t>
            </w:r>
            <w:r>
              <w:rPr>
                <w:rFonts w:ascii="Arial"/>
                <w:sz w:val="16"/>
              </w:rPr>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6"/>
              <w:jc w:val="right"/>
              <w:rPr>
                <w:rFonts w:ascii="Arial" w:hAnsi="Arial" w:cs="Arial" w:eastAsia="Arial" w:hint="default"/>
                <w:sz w:val="16"/>
                <w:szCs w:val="16"/>
              </w:rPr>
            </w:pPr>
            <w:r>
              <w:rPr>
                <w:rFonts w:ascii="Arial"/>
                <w:w w:val="95"/>
                <w:sz w:val="16"/>
              </w:rPr>
              <w:t>71%</w:t>
            </w:r>
            <w:r>
              <w:rPr>
                <w:rFonts w:ascii="Arial"/>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7"/>
              <w:jc w:val="right"/>
              <w:rPr>
                <w:rFonts w:ascii="Arial" w:hAnsi="Arial" w:cs="Arial" w:eastAsia="Arial" w:hint="default"/>
                <w:sz w:val="16"/>
                <w:szCs w:val="16"/>
              </w:rPr>
            </w:pPr>
            <w:r>
              <w:rPr>
                <w:rFonts w:ascii="Arial"/>
                <w:w w:val="95"/>
                <w:sz w:val="16"/>
              </w:rPr>
              <w:t>20,402</w:t>
            </w:r>
            <w:r>
              <w:rPr>
                <w:rFonts w:ascii="Arial"/>
                <w:sz w:val="16"/>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6"/>
                <w:szCs w:val="16"/>
              </w:rPr>
            </w:pPr>
            <w:r>
              <w:rPr>
                <w:rFonts w:ascii="Arial"/>
                <w:w w:val="95"/>
                <w:sz w:val="16"/>
              </w:rPr>
              <w:t>20,402</w:t>
            </w:r>
            <w:r>
              <w:rPr>
                <w:rFonts w:ascii="Arial"/>
                <w:sz w:val="16"/>
              </w:rPr>
            </w: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0"/>
              <w:jc w:val="right"/>
              <w:rPr>
                <w:rFonts w:ascii="Arial" w:hAnsi="Arial" w:cs="Arial" w:eastAsia="Arial" w:hint="default"/>
                <w:sz w:val="16"/>
                <w:szCs w:val="16"/>
              </w:rPr>
            </w:pPr>
            <w:r>
              <w:rPr>
                <w:rFonts w:ascii="Arial"/>
                <w:w w:val="95"/>
                <w:sz w:val="16"/>
              </w:rPr>
              <w:t>4.27%-4.80%</w:t>
            </w:r>
            <w:r>
              <w:rPr>
                <w:rFonts w:ascii="Arial"/>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174" w:lineRule="exact"/>
              <w:ind w:right="37"/>
              <w:jc w:val="right"/>
              <w:rPr>
                <w:rFonts w:ascii="宋体" w:hAnsi="宋体" w:cs="宋体" w:eastAsia="宋体" w:hint="default"/>
                <w:sz w:val="16"/>
                <w:szCs w:val="16"/>
              </w:rPr>
            </w:pPr>
            <w:r>
              <w:rPr>
                <w:rFonts w:ascii="宋体" w:hAnsi="宋体" w:cs="宋体" w:eastAsia="宋体" w:hint="default"/>
                <w:w w:val="95"/>
                <w:sz w:val="16"/>
                <w:szCs w:val="16"/>
              </w:rPr>
              <w:t>自筹及借款</w:t>
            </w:r>
            <w:r>
              <w:rPr>
                <w:rFonts w:ascii="宋体" w:hAnsi="宋体" w:cs="宋体" w:eastAsia="宋体" w:hint="default"/>
                <w:sz w:val="16"/>
                <w:szCs w:val="16"/>
              </w:rPr>
            </w:r>
          </w:p>
        </w:tc>
        <w:tc>
          <w:tcPr>
            <w:tcW w:w="5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9"/>
              <w:jc w:val="right"/>
              <w:rPr>
                <w:rFonts w:ascii="Arial" w:hAnsi="Arial" w:cs="Arial" w:eastAsia="Arial" w:hint="default"/>
                <w:sz w:val="16"/>
                <w:szCs w:val="16"/>
              </w:rPr>
            </w:pPr>
            <w:r>
              <w:rPr>
                <w:rFonts w:ascii="Arial"/>
                <w:spacing w:val="-1"/>
                <w:w w:val="95"/>
                <w:sz w:val="16"/>
              </w:rPr>
              <w:t>74%</w:t>
            </w:r>
            <w:r>
              <w:rPr>
                <w:rFonts w:ascii="Arial"/>
                <w:sz w:val="16"/>
              </w:rPr>
            </w:r>
          </w:p>
        </w:tc>
      </w:tr>
      <w:tr>
        <w:trPr>
          <w:trHeight w:val="207" w:hRule="exact"/>
        </w:trPr>
        <w:tc>
          <w:tcPr>
            <w:tcW w:w="466" w:type="dxa"/>
            <w:tcBorders>
              <w:top w:val="nil" w:sz="6" w:space="0" w:color="auto"/>
              <w:left w:val="nil" w:sz="6" w:space="0" w:color="auto"/>
              <w:bottom w:val="nil" w:sz="6" w:space="0" w:color="auto"/>
              <w:right w:val="nil" w:sz="6" w:space="0" w:color="auto"/>
            </w:tcBorders>
          </w:tcPr>
          <w:p>
            <w:pPr/>
          </w:p>
        </w:tc>
        <w:tc>
          <w:tcPr>
            <w:tcW w:w="3174" w:type="dxa"/>
            <w:tcBorders>
              <w:top w:val="nil" w:sz="6" w:space="0" w:color="auto"/>
              <w:left w:val="nil" w:sz="6" w:space="0" w:color="auto"/>
              <w:bottom w:val="nil" w:sz="6" w:space="0" w:color="auto"/>
              <w:right w:val="nil" w:sz="6" w:space="0" w:color="auto"/>
            </w:tcBorders>
          </w:tcPr>
          <w:p>
            <w:pPr>
              <w:pStyle w:val="TableParagraph"/>
              <w:spacing w:line="185" w:lineRule="exact"/>
              <w:ind w:left="27" w:right="0"/>
              <w:jc w:val="left"/>
              <w:rPr>
                <w:rFonts w:ascii="宋体" w:hAnsi="宋体" w:cs="宋体" w:eastAsia="宋体" w:hint="default"/>
                <w:sz w:val="16"/>
                <w:szCs w:val="16"/>
              </w:rPr>
            </w:pPr>
            <w:r>
              <w:rPr>
                <w:rFonts w:ascii="宋体" w:hAnsi="宋体" w:cs="宋体" w:eastAsia="宋体" w:hint="default"/>
                <w:sz w:val="16"/>
                <w:szCs w:val="16"/>
              </w:rPr>
              <w:t>广东</w:t>
            </w:r>
            <w:r>
              <w:rPr>
                <w:rFonts w:ascii="宋体" w:hAnsi="宋体" w:cs="宋体" w:eastAsia="宋体" w:hint="default"/>
                <w:spacing w:val="-42"/>
                <w:sz w:val="16"/>
                <w:szCs w:val="16"/>
              </w:rPr>
              <w:t> </w:t>
            </w:r>
            <w:r>
              <w:rPr>
                <w:rFonts w:ascii="Arial" w:hAnsi="Arial" w:cs="Arial" w:eastAsia="Arial" w:hint="default"/>
                <w:sz w:val="16"/>
                <w:szCs w:val="16"/>
              </w:rPr>
              <w:t>2009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GSM</w:t>
            </w:r>
            <w:r>
              <w:rPr>
                <w:rFonts w:ascii="Arial" w:hAnsi="Arial" w:cs="Arial" w:eastAsia="Arial" w:hint="default"/>
                <w:spacing w:val="-6"/>
                <w:sz w:val="16"/>
                <w:szCs w:val="16"/>
              </w:rPr>
              <w:t> </w:t>
            </w:r>
            <w:r>
              <w:rPr>
                <w:rFonts w:ascii="宋体" w:hAnsi="宋体" w:cs="宋体" w:eastAsia="宋体" w:hint="default"/>
                <w:sz w:val="16"/>
                <w:szCs w:val="16"/>
              </w:rPr>
              <w:t>室内覆盖二期</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8"/>
              <w:jc w:val="right"/>
              <w:rPr>
                <w:rFonts w:ascii="Arial" w:hAnsi="Arial" w:cs="Arial" w:eastAsia="Arial" w:hint="default"/>
                <w:sz w:val="16"/>
                <w:szCs w:val="16"/>
              </w:rPr>
            </w:pPr>
            <w:r>
              <w:rPr>
                <w:rFonts w:ascii="Arial"/>
                <w:w w:val="95"/>
                <w:sz w:val="16"/>
              </w:rPr>
              <w:t>311</w:t>
            </w:r>
            <w:r>
              <w:rPr>
                <w:rFonts w:ascii="Arial"/>
                <w:sz w:val="16"/>
              </w:rPr>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Arial" w:hAnsi="Arial" w:cs="Arial" w:eastAsia="Arial" w:hint="default"/>
                <w:sz w:val="16"/>
                <w:szCs w:val="16"/>
              </w:rPr>
            </w:pPr>
            <w:r>
              <w:rPr>
                <w:rFonts w:ascii="Arial"/>
                <w:w w:val="99"/>
                <w:sz w:val="16"/>
              </w:rPr>
              <w:t>-</w:t>
            </w:r>
            <w:r>
              <w:rPr>
                <w:rFonts w:ascii="Arial"/>
                <w:sz w:val="16"/>
              </w:rPr>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6"/>
              <w:jc w:val="right"/>
              <w:rPr>
                <w:rFonts w:ascii="Arial" w:hAnsi="Arial" w:cs="Arial" w:eastAsia="Arial" w:hint="default"/>
                <w:sz w:val="16"/>
                <w:szCs w:val="16"/>
              </w:rPr>
            </w:pPr>
            <w:r>
              <w:rPr>
                <w:rFonts w:ascii="Arial"/>
                <w:w w:val="95"/>
                <w:sz w:val="16"/>
              </w:rPr>
              <w:t>306,378,701</w:t>
            </w:r>
            <w:r>
              <w:rPr>
                <w:rFonts w:ascii="Arial"/>
                <w:sz w:val="16"/>
              </w:rPr>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1"/>
              <w:jc w:val="right"/>
              <w:rPr>
                <w:rFonts w:ascii="Arial" w:hAnsi="Arial" w:cs="Arial" w:eastAsia="Arial" w:hint="default"/>
                <w:sz w:val="16"/>
                <w:szCs w:val="16"/>
              </w:rPr>
            </w:pPr>
            <w:r>
              <w:rPr>
                <w:rFonts w:ascii="Arial"/>
                <w:w w:val="99"/>
                <w:sz w:val="16"/>
              </w:rPr>
              <w:t>-</w:t>
            </w:r>
            <w:r>
              <w:rPr>
                <w:rFonts w:ascii="Arial"/>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1"/>
              <w:jc w:val="right"/>
              <w:rPr>
                <w:rFonts w:ascii="Arial" w:hAnsi="Arial" w:cs="Arial" w:eastAsia="Arial" w:hint="default"/>
                <w:sz w:val="16"/>
                <w:szCs w:val="16"/>
              </w:rPr>
            </w:pPr>
            <w:r>
              <w:rPr>
                <w:rFonts w:ascii="Arial"/>
                <w:w w:val="99"/>
                <w:sz w:val="16"/>
              </w:rPr>
              <w:t>-</w:t>
            </w:r>
            <w:r>
              <w:rPr>
                <w:rFonts w:ascii="Arial"/>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6"/>
              <w:jc w:val="right"/>
              <w:rPr>
                <w:rFonts w:ascii="Arial" w:hAnsi="Arial" w:cs="Arial" w:eastAsia="Arial" w:hint="default"/>
                <w:sz w:val="16"/>
                <w:szCs w:val="16"/>
              </w:rPr>
            </w:pPr>
            <w:r>
              <w:rPr>
                <w:rFonts w:ascii="Arial"/>
                <w:w w:val="95"/>
                <w:sz w:val="16"/>
              </w:rPr>
              <w:t>306,378,701</w:t>
            </w:r>
            <w:r>
              <w:rPr>
                <w:rFonts w:ascii="Arial"/>
                <w:sz w:val="16"/>
              </w:rPr>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6"/>
              <w:jc w:val="right"/>
              <w:rPr>
                <w:rFonts w:ascii="Arial" w:hAnsi="Arial" w:cs="Arial" w:eastAsia="Arial" w:hint="default"/>
                <w:sz w:val="16"/>
                <w:szCs w:val="16"/>
              </w:rPr>
            </w:pPr>
            <w:r>
              <w:rPr>
                <w:rFonts w:ascii="Arial"/>
                <w:w w:val="95"/>
                <w:sz w:val="16"/>
              </w:rPr>
              <w:t>98%</w:t>
            </w:r>
            <w:r>
              <w:rPr>
                <w:rFonts w:ascii="Arial"/>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7"/>
              <w:jc w:val="right"/>
              <w:rPr>
                <w:rFonts w:ascii="Arial" w:hAnsi="Arial" w:cs="Arial" w:eastAsia="Arial" w:hint="default"/>
                <w:sz w:val="16"/>
                <w:szCs w:val="16"/>
              </w:rPr>
            </w:pPr>
            <w:r>
              <w:rPr>
                <w:rFonts w:ascii="Arial"/>
                <w:w w:val="95"/>
                <w:sz w:val="16"/>
              </w:rPr>
              <w:t>951,359</w:t>
            </w:r>
            <w:r>
              <w:rPr>
                <w:rFonts w:ascii="Arial"/>
                <w:sz w:val="16"/>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Arial" w:hAnsi="Arial" w:cs="Arial" w:eastAsia="Arial" w:hint="default"/>
                <w:sz w:val="16"/>
                <w:szCs w:val="16"/>
              </w:rPr>
            </w:pPr>
            <w:r>
              <w:rPr>
                <w:rFonts w:ascii="Arial"/>
                <w:w w:val="95"/>
                <w:sz w:val="16"/>
              </w:rPr>
              <w:t>951,359</w:t>
            </w:r>
            <w:r>
              <w:rPr>
                <w:rFonts w:ascii="Arial"/>
                <w:sz w:val="16"/>
              </w:rPr>
            </w: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0"/>
              <w:jc w:val="right"/>
              <w:rPr>
                <w:rFonts w:ascii="Arial" w:hAnsi="Arial" w:cs="Arial" w:eastAsia="Arial" w:hint="default"/>
                <w:sz w:val="16"/>
                <w:szCs w:val="16"/>
              </w:rPr>
            </w:pPr>
            <w:r>
              <w:rPr>
                <w:rFonts w:ascii="Arial"/>
                <w:w w:val="95"/>
                <w:sz w:val="16"/>
              </w:rPr>
              <w:t>4.27%-4.80%</w:t>
            </w:r>
            <w:r>
              <w:rPr>
                <w:rFonts w:ascii="Arial"/>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174" w:lineRule="exact"/>
              <w:ind w:right="38"/>
              <w:jc w:val="right"/>
              <w:rPr>
                <w:rFonts w:ascii="宋体" w:hAnsi="宋体" w:cs="宋体" w:eastAsia="宋体" w:hint="default"/>
                <w:sz w:val="16"/>
                <w:szCs w:val="16"/>
              </w:rPr>
            </w:pPr>
            <w:r>
              <w:rPr>
                <w:rFonts w:ascii="宋体" w:hAnsi="宋体" w:cs="宋体" w:eastAsia="宋体" w:hint="default"/>
                <w:w w:val="95"/>
                <w:sz w:val="16"/>
                <w:szCs w:val="16"/>
              </w:rPr>
              <w:t>自筹及借款</w:t>
            </w:r>
            <w:r>
              <w:rPr>
                <w:rFonts w:ascii="宋体" w:hAnsi="宋体" w:cs="宋体" w:eastAsia="宋体" w:hint="default"/>
                <w:sz w:val="16"/>
                <w:szCs w:val="16"/>
              </w:rPr>
            </w:r>
          </w:p>
        </w:tc>
        <w:tc>
          <w:tcPr>
            <w:tcW w:w="5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69"/>
              <w:jc w:val="right"/>
              <w:rPr>
                <w:rFonts w:ascii="Arial" w:hAnsi="Arial" w:cs="Arial" w:eastAsia="Arial" w:hint="default"/>
                <w:sz w:val="16"/>
                <w:szCs w:val="16"/>
              </w:rPr>
            </w:pPr>
            <w:r>
              <w:rPr>
                <w:rFonts w:ascii="Arial"/>
                <w:spacing w:val="-1"/>
                <w:w w:val="95"/>
                <w:sz w:val="16"/>
              </w:rPr>
              <w:t>95%</w:t>
            </w:r>
            <w:r>
              <w:rPr>
                <w:rFonts w:ascii="Arial"/>
                <w:sz w:val="16"/>
              </w:rPr>
            </w:r>
          </w:p>
        </w:tc>
      </w:tr>
      <w:tr>
        <w:trPr>
          <w:trHeight w:val="207" w:hRule="exact"/>
        </w:trPr>
        <w:tc>
          <w:tcPr>
            <w:tcW w:w="466" w:type="dxa"/>
            <w:tcBorders>
              <w:top w:val="nil" w:sz="6" w:space="0" w:color="auto"/>
              <w:left w:val="nil" w:sz="6" w:space="0" w:color="auto"/>
              <w:bottom w:val="nil" w:sz="6" w:space="0" w:color="auto"/>
              <w:right w:val="nil" w:sz="6" w:space="0" w:color="auto"/>
            </w:tcBorders>
          </w:tcPr>
          <w:p>
            <w:pPr/>
          </w:p>
        </w:tc>
        <w:tc>
          <w:tcPr>
            <w:tcW w:w="3174" w:type="dxa"/>
            <w:tcBorders>
              <w:top w:val="nil" w:sz="6" w:space="0" w:color="auto"/>
              <w:left w:val="nil" w:sz="6" w:space="0" w:color="auto"/>
              <w:bottom w:val="nil" w:sz="6" w:space="0" w:color="auto"/>
              <w:right w:val="nil" w:sz="6" w:space="0" w:color="auto"/>
            </w:tcBorders>
          </w:tcPr>
          <w:p>
            <w:pPr>
              <w:pStyle w:val="TableParagraph"/>
              <w:spacing w:line="185" w:lineRule="exact"/>
              <w:ind w:left="27" w:right="0"/>
              <w:jc w:val="left"/>
              <w:rPr>
                <w:rFonts w:ascii="宋体" w:hAnsi="宋体" w:cs="宋体" w:eastAsia="宋体" w:hint="default"/>
                <w:sz w:val="16"/>
                <w:szCs w:val="16"/>
              </w:rPr>
            </w:pPr>
            <w:r>
              <w:rPr>
                <w:rFonts w:ascii="宋体" w:hAnsi="宋体" w:cs="宋体" w:eastAsia="宋体" w:hint="default"/>
                <w:sz w:val="16"/>
                <w:szCs w:val="16"/>
              </w:rPr>
              <w:t>江苏</w:t>
            </w:r>
            <w:r>
              <w:rPr>
                <w:rFonts w:ascii="宋体" w:hAnsi="宋体" w:cs="宋体" w:eastAsia="宋体" w:hint="default"/>
                <w:spacing w:val="-42"/>
                <w:sz w:val="16"/>
                <w:szCs w:val="16"/>
              </w:rPr>
              <w:t> </w:t>
            </w:r>
            <w:r>
              <w:rPr>
                <w:rFonts w:ascii="Arial" w:hAnsi="Arial" w:cs="Arial" w:eastAsia="Arial" w:hint="default"/>
                <w:sz w:val="16"/>
                <w:szCs w:val="16"/>
              </w:rPr>
              <w:t>2009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WCDMA</w:t>
            </w:r>
            <w:r>
              <w:rPr>
                <w:rFonts w:ascii="Arial" w:hAnsi="Arial" w:cs="Arial" w:eastAsia="Arial" w:hint="default"/>
                <w:spacing w:val="-6"/>
                <w:sz w:val="16"/>
                <w:szCs w:val="16"/>
              </w:rPr>
              <w:t> </w:t>
            </w:r>
            <w:r>
              <w:rPr>
                <w:rFonts w:ascii="宋体" w:hAnsi="宋体" w:cs="宋体" w:eastAsia="宋体" w:hint="default"/>
                <w:sz w:val="16"/>
                <w:szCs w:val="16"/>
              </w:rPr>
              <w:t>室内覆盖工程</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8"/>
              <w:jc w:val="right"/>
              <w:rPr>
                <w:rFonts w:ascii="Arial" w:hAnsi="Arial" w:cs="Arial" w:eastAsia="Arial" w:hint="default"/>
                <w:sz w:val="16"/>
                <w:szCs w:val="16"/>
              </w:rPr>
            </w:pPr>
            <w:r>
              <w:rPr>
                <w:rFonts w:ascii="Arial"/>
                <w:w w:val="95"/>
                <w:sz w:val="16"/>
              </w:rPr>
              <w:t>400</w:t>
            </w:r>
            <w:r>
              <w:rPr>
                <w:rFonts w:ascii="Arial"/>
                <w:sz w:val="16"/>
              </w:rPr>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4"/>
              <w:jc w:val="right"/>
              <w:rPr>
                <w:rFonts w:ascii="Arial" w:hAnsi="Arial" w:cs="Arial" w:eastAsia="Arial" w:hint="default"/>
                <w:sz w:val="16"/>
                <w:szCs w:val="16"/>
              </w:rPr>
            </w:pPr>
            <w:r>
              <w:rPr>
                <w:rFonts w:ascii="Arial"/>
                <w:w w:val="99"/>
                <w:sz w:val="16"/>
              </w:rPr>
              <w:t>-</w:t>
            </w:r>
            <w:r>
              <w:rPr>
                <w:rFonts w:ascii="Arial"/>
                <w:sz w:val="16"/>
              </w:rPr>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6"/>
              <w:jc w:val="right"/>
              <w:rPr>
                <w:rFonts w:ascii="Arial" w:hAnsi="Arial" w:cs="Arial" w:eastAsia="Arial" w:hint="default"/>
                <w:sz w:val="16"/>
                <w:szCs w:val="16"/>
              </w:rPr>
            </w:pPr>
            <w:r>
              <w:rPr>
                <w:rFonts w:ascii="Arial"/>
                <w:w w:val="95"/>
                <w:sz w:val="16"/>
              </w:rPr>
              <w:t>337,735,262</w:t>
            </w:r>
            <w:r>
              <w:rPr>
                <w:rFonts w:ascii="Arial"/>
                <w:sz w:val="16"/>
              </w:rPr>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8"/>
              <w:jc w:val="right"/>
              <w:rPr>
                <w:rFonts w:ascii="Arial" w:hAnsi="Arial" w:cs="Arial" w:eastAsia="Arial" w:hint="default"/>
                <w:sz w:val="16"/>
                <w:szCs w:val="16"/>
              </w:rPr>
            </w:pPr>
            <w:r>
              <w:rPr>
                <w:rFonts w:ascii="Arial"/>
                <w:w w:val="95"/>
                <w:sz w:val="16"/>
              </w:rPr>
              <w:t>(86,813,688)</w:t>
            </w:r>
            <w:r>
              <w:rPr>
                <w:rFonts w:ascii="Arial"/>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81"/>
              <w:jc w:val="right"/>
              <w:rPr>
                <w:rFonts w:ascii="Arial" w:hAnsi="Arial" w:cs="Arial" w:eastAsia="Arial" w:hint="default"/>
                <w:sz w:val="16"/>
                <w:szCs w:val="16"/>
              </w:rPr>
            </w:pPr>
            <w:r>
              <w:rPr>
                <w:rFonts w:ascii="Arial"/>
                <w:w w:val="99"/>
                <w:sz w:val="16"/>
              </w:rPr>
              <w:t>-</w:t>
            </w:r>
            <w:r>
              <w:rPr>
                <w:rFonts w:ascii="Arial"/>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96"/>
              <w:jc w:val="right"/>
              <w:rPr>
                <w:rFonts w:ascii="Arial" w:hAnsi="Arial" w:cs="Arial" w:eastAsia="Arial" w:hint="default"/>
                <w:sz w:val="16"/>
                <w:szCs w:val="16"/>
              </w:rPr>
            </w:pPr>
            <w:r>
              <w:rPr>
                <w:rFonts w:ascii="Arial"/>
                <w:w w:val="95"/>
                <w:sz w:val="16"/>
              </w:rPr>
              <w:t>250,921,574</w:t>
            </w:r>
            <w:r>
              <w:rPr>
                <w:rFonts w:ascii="Arial"/>
                <w:sz w:val="16"/>
              </w:rPr>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56"/>
              <w:jc w:val="right"/>
              <w:rPr>
                <w:rFonts w:ascii="Arial" w:hAnsi="Arial" w:cs="Arial" w:eastAsia="Arial" w:hint="default"/>
                <w:sz w:val="16"/>
                <w:szCs w:val="16"/>
              </w:rPr>
            </w:pPr>
            <w:r>
              <w:rPr>
                <w:rFonts w:ascii="Arial"/>
                <w:w w:val="95"/>
                <w:sz w:val="16"/>
              </w:rPr>
              <w:t>85%</w:t>
            </w:r>
            <w:r>
              <w:rPr>
                <w:rFonts w:ascii="Arial"/>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87"/>
              <w:jc w:val="right"/>
              <w:rPr>
                <w:rFonts w:ascii="Arial" w:hAnsi="Arial" w:cs="Arial" w:eastAsia="Arial" w:hint="default"/>
                <w:sz w:val="16"/>
                <w:szCs w:val="16"/>
              </w:rPr>
            </w:pPr>
            <w:r>
              <w:rPr>
                <w:rFonts w:ascii="Arial"/>
                <w:w w:val="95"/>
                <w:sz w:val="16"/>
              </w:rPr>
              <w:t>3,727,768</w:t>
            </w:r>
            <w:r>
              <w:rPr>
                <w:rFonts w:ascii="Arial"/>
                <w:sz w:val="16"/>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8"/>
              <w:jc w:val="right"/>
              <w:rPr>
                <w:rFonts w:ascii="Arial" w:hAnsi="Arial" w:cs="Arial" w:eastAsia="Arial" w:hint="default"/>
                <w:sz w:val="16"/>
                <w:szCs w:val="16"/>
              </w:rPr>
            </w:pPr>
            <w:r>
              <w:rPr>
                <w:rFonts w:ascii="Arial"/>
                <w:w w:val="95"/>
                <w:sz w:val="16"/>
              </w:rPr>
              <w:t>3,727,768</w:t>
            </w:r>
            <w:r>
              <w:rPr>
                <w:rFonts w:ascii="Arial"/>
                <w:sz w:val="16"/>
              </w:rPr>
            </w: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0"/>
              <w:jc w:val="right"/>
              <w:rPr>
                <w:rFonts w:ascii="Arial" w:hAnsi="Arial" w:cs="Arial" w:eastAsia="Arial" w:hint="default"/>
                <w:sz w:val="16"/>
                <w:szCs w:val="16"/>
              </w:rPr>
            </w:pPr>
            <w:r>
              <w:rPr>
                <w:rFonts w:ascii="Arial"/>
                <w:w w:val="95"/>
                <w:sz w:val="16"/>
              </w:rPr>
              <w:t>4.27%-4.80%</w:t>
            </w:r>
            <w:r>
              <w:rPr>
                <w:rFonts w:ascii="Arial"/>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173" w:lineRule="exact"/>
              <w:ind w:right="38"/>
              <w:jc w:val="right"/>
              <w:rPr>
                <w:rFonts w:ascii="宋体" w:hAnsi="宋体" w:cs="宋体" w:eastAsia="宋体" w:hint="default"/>
                <w:sz w:val="16"/>
                <w:szCs w:val="16"/>
              </w:rPr>
            </w:pPr>
            <w:r>
              <w:rPr>
                <w:rFonts w:ascii="宋体" w:hAnsi="宋体" w:cs="宋体" w:eastAsia="宋体" w:hint="default"/>
                <w:w w:val="95"/>
                <w:sz w:val="16"/>
                <w:szCs w:val="16"/>
              </w:rPr>
              <w:t>自筹及借款</w:t>
            </w:r>
            <w:r>
              <w:rPr>
                <w:rFonts w:ascii="宋体" w:hAnsi="宋体" w:cs="宋体" w:eastAsia="宋体" w:hint="default"/>
                <w:sz w:val="16"/>
                <w:szCs w:val="16"/>
              </w:rPr>
            </w:r>
          </w:p>
        </w:tc>
        <w:tc>
          <w:tcPr>
            <w:tcW w:w="54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70"/>
              <w:jc w:val="right"/>
              <w:rPr>
                <w:rFonts w:ascii="Arial" w:hAnsi="Arial" w:cs="Arial" w:eastAsia="Arial" w:hint="default"/>
                <w:sz w:val="16"/>
                <w:szCs w:val="16"/>
              </w:rPr>
            </w:pPr>
            <w:r>
              <w:rPr>
                <w:rFonts w:ascii="Arial"/>
                <w:spacing w:val="-1"/>
                <w:w w:val="95"/>
                <w:sz w:val="16"/>
              </w:rPr>
              <w:t>83%</w:t>
            </w:r>
            <w:r>
              <w:rPr>
                <w:rFonts w:ascii="Arial"/>
                <w:sz w:val="16"/>
              </w:rPr>
            </w:r>
          </w:p>
        </w:tc>
      </w:tr>
      <w:tr>
        <w:trPr>
          <w:trHeight w:val="194" w:hRule="exact"/>
        </w:trPr>
        <w:tc>
          <w:tcPr>
            <w:tcW w:w="466" w:type="dxa"/>
            <w:tcBorders>
              <w:top w:val="nil" w:sz="6" w:space="0" w:color="auto"/>
              <w:left w:val="nil" w:sz="6" w:space="0" w:color="auto"/>
              <w:bottom w:val="nil" w:sz="6" w:space="0" w:color="auto"/>
              <w:right w:val="nil" w:sz="6" w:space="0" w:color="auto"/>
            </w:tcBorders>
          </w:tcPr>
          <w:p>
            <w:pPr/>
          </w:p>
        </w:tc>
        <w:tc>
          <w:tcPr>
            <w:tcW w:w="3174" w:type="dxa"/>
            <w:tcBorders>
              <w:top w:val="nil" w:sz="6" w:space="0" w:color="auto"/>
              <w:left w:val="nil" w:sz="6" w:space="0" w:color="auto"/>
              <w:bottom w:val="nil" w:sz="6" w:space="0" w:color="auto"/>
              <w:right w:val="nil" w:sz="6" w:space="0" w:color="auto"/>
            </w:tcBorders>
          </w:tcPr>
          <w:p>
            <w:pPr>
              <w:pStyle w:val="TableParagraph"/>
              <w:spacing w:line="185" w:lineRule="exact"/>
              <w:ind w:left="26" w:right="0"/>
              <w:jc w:val="left"/>
              <w:rPr>
                <w:rFonts w:ascii="宋体" w:hAnsi="宋体" w:cs="宋体" w:eastAsia="宋体" w:hint="default"/>
                <w:sz w:val="16"/>
                <w:szCs w:val="16"/>
              </w:rPr>
            </w:pPr>
            <w:r>
              <w:rPr>
                <w:rFonts w:ascii="宋体" w:hAnsi="宋体" w:cs="宋体" w:eastAsia="宋体" w:hint="default"/>
                <w:sz w:val="16"/>
                <w:szCs w:val="16"/>
              </w:rPr>
              <w:t>广西</w:t>
            </w:r>
            <w:r>
              <w:rPr>
                <w:rFonts w:ascii="宋体" w:hAnsi="宋体" w:cs="宋体" w:eastAsia="宋体" w:hint="default"/>
                <w:spacing w:val="-42"/>
                <w:sz w:val="16"/>
                <w:szCs w:val="16"/>
              </w:rPr>
              <w:t> </w:t>
            </w:r>
            <w:r>
              <w:rPr>
                <w:rFonts w:ascii="Arial" w:hAnsi="Arial" w:cs="Arial" w:eastAsia="Arial" w:hint="default"/>
                <w:sz w:val="16"/>
                <w:szCs w:val="16"/>
              </w:rPr>
              <w:t>2009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WCDMA</w:t>
            </w:r>
            <w:r>
              <w:rPr>
                <w:rFonts w:ascii="Arial" w:hAnsi="Arial" w:cs="Arial" w:eastAsia="Arial" w:hint="default"/>
                <w:spacing w:val="-6"/>
                <w:sz w:val="16"/>
                <w:szCs w:val="16"/>
              </w:rPr>
              <w:t> </w:t>
            </w:r>
            <w:r>
              <w:rPr>
                <w:rFonts w:ascii="宋体" w:hAnsi="宋体" w:cs="宋体" w:eastAsia="宋体" w:hint="default"/>
                <w:sz w:val="16"/>
                <w:szCs w:val="16"/>
              </w:rPr>
              <w:t>网络二期工程</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9"/>
              <w:jc w:val="right"/>
              <w:rPr>
                <w:rFonts w:ascii="Arial" w:hAnsi="Arial" w:cs="Arial" w:eastAsia="Arial" w:hint="default"/>
                <w:sz w:val="16"/>
                <w:szCs w:val="16"/>
              </w:rPr>
            </w:pPr>
            <w:r>
              <w:rPr>
                <w:rFonts w:ascii="Arial"/>
                <w:w w:val="95"/>
                <w:sz w:val="16"/>
              </w:rPr>
              <w:t>362</w:t>
            </w:r>
            <w:r>
              <w:rPr>
                <w:rFonts w:ascii="Arial"/>
                <w:sz w:val="16"/>
              </w:rPr>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Arial" w:hAnsi="Arial" w:cs="Arial" w:eastAsia="Arial" w:hint="default"/>
                <w:sz w:val="16"/>
                <w:szCs w:val="16"/>
              </w:rPr>
            </w:pPr>
            <w:r>
              <w:rPr>
                <w:rFonts w:ascii="Arial"/>
                <w:w w:val="99"/>
                <w:sz w:val="16"/>
              </w:rPr>
              <w:t>-</w:t>
            </w:r>
            <w:r>
              <w:rPr>
                <w:rFonts w:ascii="Arial"/>
                <w:sz w:val="16"/>
              </w:rPr>
            </w:r>
          </w:p>
        </w:tc>
        <w:tc>
          <w:tcPr>
            <w:tcW w:w="11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6"/>
              <w:jc w:val="right"/>
              <w:rPr>
                <w:rFonts w:ascii="Arial" w:hAnsi="Arial" w:cs="Arial" w:eastAsia="Arial" w:hint="default"/>
                <w:sz w:val="16"/>
                <w:szCs w:val="16"/>
              </w:rPr>
            </w:pPr>
            <w:r>
              <w:rPr>
                <w:rFonts w:ascii="Arial"/>
                <w:w w:val="95"/>
                <w:sz w:val="16"/>
              </w:rPr>
              <w:t>300,336,733</w:t>
            </w:r>
            <w:r>
              <w:rPr>
                <w:rFonts w:ascii="Arial"/>
                <w:sz w:val="16"/>
              </w:rPr>
            </w:r>
          </w:p>
        </w:tc>
        <w:tc>
          <w:tcPr>
            <w:tcW w:w="133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2"/>
              <w:jc w:val="right"/>
              <w:rPr>
                <w:rFonts w:ascii="Arial" w:hAnsi="Arial" w:cs="Arial" w:eastAsia="Arial" w:hint="default"/>
                <w:sz w:val="16"/>
                <w:szCs w:val="16"/>
              </w:rPr>
            </w:pPr>
            <w:r>
              <w:rPr>
                <w:rFonts w:ascii="Arial"/>
                <w:w w:val="99"/>
                <w:sz w:val="16"/>
              </w:rPr>
              <w:t>-</w:t>
            </w:r>
            <w:r>
              <w:rPr>
                <w:rFonts w:ascii="Arial"/>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81"/>
              <w:jc w:val="right"/>
              <w:rPr>
                <w:rFonts w:ascii="Arial" w:hAnsi="Arial" w:cs="Arial" w:eastAsia="Arial" w:hint="default"/>
                <w:sz w:val="16"/>
                <w:szCs w:val="16"/>
              </w:rPr>
            </w:pPr>
            <w:r>
              <w:rPr>
                <w:rFonts w:ascii="Arial"/>
                <w:w w:val="99"/>
                <w:sz w:val="16"/>
              </w:rPr>
              <w:t>-</w:t>
            </w:r>
            <w:r>
              <w:rPr>
                <w:rFonts w:ascii="Arial"/>
                <w:sz w:val="16"/>
              </w:rPr>
            </w:r>
          </w:p>
        </w:tc>
        <w:tc>
          <w:tcPr>
            <w:tcW w:w="1131"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96"/>
              <w:jc w:val="right"/>
              <w:rPr>
                <w:rFonts w:ascii="Arial" w:hAnsi="Arial" w:cs="Arial" w:eastAsia="Arial" w:hint="default"/>
                <w:sz w:val="16"/>
                <w:szCs w:val="16"/>
              </w:rPr>
            </w:pPr>
            <w:r>
              <w:rPr>
                <w:rFonts w:ascii="Arial"/>
                <w:w w:val="95"/>
                <w:sz w:val="16"/>
              </w:rPr>
              <w:t>300,336,733</w:t>
            </w:r>
            <w:r>
              <w:rPr>
                <w:rFonts w:ascii="Arial"/>
                <w:sz w:val="16"/>
              </w:rPr>
            </w:r>
          </w:p>
        </w:tc>
        <w:tc>
          <w:tcPr>
            <w:tcW w:w="89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56"/>
              <w:jc w:val="right"/>
              <w:rPr>
                <w:rFonts w:ascii="Arial" w:hAnsi="Arial" w:cs="Arial" w:eastAsia="Arial" w:hint="default"/>
                <w:sz w:val="16"/>
                <w:szCs w:val="16"/>
              </w:rPr>
            </w:pPr>
            <w:r>
              <w:rPr>
                <w:rFonts w:ascii="Arial"/>
                <w:w w:val="95"/>
                <w:sz w:val="16"/>
              </w:rPr>
              <w:t>83%</w:t>
            </w:r>
            <w:r>
              <w:rPr>
                <w:rFonts w:ascii="Arial"/>
                <w:sz w:val="16"/>
              </w:rPr>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8"/>
              <w:jc w:val="right"/>
              <w:rPr>
                <w:rFonts w:ascii="Arial" w:hAnsi="Arial" w:cs="Arial" w:eastAsia="Arial" w:hint="default"/>
                <w:sz w:val="16"/>
                <w:szCs w:val="16"/>
              </w:rPr>
            </w:pPr>
            <w:r>
              <w:rPr>
                <w:rFonts w:ascii="Arial"/>
                <w:w w:val="95"/>
                <w:sz w:val="16"/>
              </w:rPr>
              <w:t>207,281</w:t>
            </w:r>
            <w:r>
              <w:rPr>
                <w:rFonts w:ascii="Arial"/>
                <w:sz w:val="16"/>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Arial" w:hAnsi="Arial" w:cs="Arial" w:eastAsia="Arial" w:hint="default"/>
                <w:sz w:val="16"/>
                <w:szCs w:val="16"/>
              </w:rPr>
            </w:pPr>
            <w:r>
              <w:rPr>
                <w:rFonts w:ascii="Arial"/>
                <w:w w:val="95"/>
                <w:sz w:val="16"/>
              </w:rPr>
              <w:t>207,281</w:t>
            </w:r>
            <w:r>
              <w:rPr>
                <w:rFonts w:ascii="Arial"/>
                <w:sz w:val="16"/>
              </w:rPr>
            </w:r>
          </w:p>
        </w:tc>
        <w:tc>
          <w:tcPr>
            <w:tcW w:w="10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
              <w:jc w:val="right"/>
              <w:rPr>
                <w:rFonts w:ascii="Arial" w:hAnsi="Arial" w:cs="Arial" w:eastAsia="Arial" w:hint="default"/>
                <w:sz w:val="16"/>
                <w:szCs w:val="16"/>
              </w:rPr>
            </w:pPr>
            <w:r>
              <w:rPr>
                <w:rFonts w:ascii="Arial"/>
                <w:w w:val="95"/>
                <w:sz w:val="16"/>
              </w:rPr>
              <w:t>4.27%-4.80%</w:t>
            </w:r>
            <w:r>
              <w:rPr>
                <w:rFonts w:ascii="Arial"/>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174" w:lineRule="exact"/>
              <w:ind w:right="38"/>
              <w:jc w:val="right"/>
              <w:rPr>
                <w:rFonts w:ascii="宋体" w:hAnsi="宋体" w:cs="宋体" w:eastAsia="宋体" w:hint="default"/>
                <w:sz w:val="16"/>
                <w:szCs w:val="16"/>
              </w:rPr>
            </w:pPr>
            <w:r>
              <w:rPr>
                <w:rFonts w:ascii="宋体" w:hAnsi="宋体" w:cs="宋体" w:eastAsia="宋体" w:hint="default"/>
                <w:w w:val="95"/>
                <w:sz w:val="16"/>
                <w:szCs w:val="16"/>
              </w:rPr>
              <w:t>自筹及借款</w:t>
            </w:r>
            <w:r>
              <w:rPr>
                <w:rFonts w:ascii="宋体" w:hAnsi="宋体" w:cs="宋体" w:eastAsia="宋体" w:hint="default"/>
                <w:sz w:val="16"/>
                <w:szCs w:val="16"/>
              </w:rPr>
            </w:r>
          </w:p>
        </w:tc>
        <w:tc>
          <w:tcPr>
            <w:tcW w:w="54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0"/>
              <w:jc w:val="right"/>
              <w:rPr>
                <w:rFonts w:ascii="Arial" w:hAnsi="Arial" w:cs="Arial" w:eastAsia="Arial" w:hint="default"/>
                <w:sz w:val="16"/>
                <w:szCs w:val="16"/>
              </w:rPr>
            </w:pPr>
            <w:r>
              <w:rPr>
                <w:rFonts w:ascii="Arial"/>
                <w:spacing w:val="-1"/>
                <w:w w:val="95"/>
                <w:sz w:val="16"/>
              </w:rPr>
              <w:t>86%</w:t>
            </w:r>
            <w:r>
              <w:rPr>
                <w:rFonts w:ascii="Arial"/>
                <w:sz w:val="16"/>
              </w:rPr>
            </w:r>
          </w:p>
        </w:tc>
      </w:tr>
    </w:tbl>
    <w:p>
      <w:pPr>
        <w:tabs>
          <w:tab w:pos="4281" w:val="left" w:leader="none"/>
          <w:tab w:pos="4917" w:val="left" w:leader="none"/>
          <w:tab w:pos="7903" w:val="left" w:leader="none"/>
          <w:tab w:pos="8955" w:val="left" w:leader="none"/>
          <w:tab w:pos="10843" w:val="left" w:leader="none"/>
          <w:tab w:pos="13394" w:val="left" w:leader="none"/>
        </w:tabs>
        <w:spacing w:line="211" w:lineRule="exact" w:before="0"/>
        <w:ind w:left="606" w:right="0" w:firstLine="0"/>
        <w:jc w:val="left"/>
        <w:rPr>
          <w:rFonts w:ascii="Arial" w:hAnsi="Arial" w:cs="Arial" w:eastAsia="Arial" w:hint="default"/>
          <w:sz w:val="16"/>
          <w:szCs w:val="16"/>
        </w:rPr>
      </w:pPr>
      <w:r>
        <w:rPr>
          <w:rFonts w:ascii="宋体" w:hAnsi="宋体" w:cs="宋体" w:eastAsia="宋体" w:hint="default"/>
          <w:position w:val="1"/>
          <w:sz w:val="16"/>
          <w:szCs w:val="16"/>
        </w:rPr>
        <w:t>安徽</w:t>
      </w:r>
      <w:r>
        <w:rPr>
          <w:rFonts w:ascii="宋体" w:hAnsi="宋体" w:cs="宋体" w:eastAsia="宋体" w:hint="default"/>
          <w:spacing w:val="-42"/>
          <w:position w:val="1"/>
          <w:sz w:val="16"/>
          <w:szCs w:val="16"/>
        </w:rPr>
        <w:t> </w:t>
      </w:r>
      <w:r>
        <w:rPr>
          <w:rFonts w:ascii="Arial" w:hAnsi="Arial" w:cs="Arial" w:eastAsia="Arial" w:hint="default"/>
          <w:position w:val="1"/>
          <w:sz w:val="16"/>
          <w:szCs w:val="16"/>
        </w:rPr>
        <w:t>2009</w:t>
      </w:r>
      <w:r>
        <w:rPr>
          <w:rFonts w:ascii="Arial" w:hAnsi="Arial" w:cs="Arial" w:eastAsia="Arial" w:hint="default"/>
          <w:spacing w:val="-5"/>
          <w:position w:val="1"/>
          <w:sz w:val="16"/>
          <w:szCs w:val="16"/>
        </w:rPr>
        <w:t> </w:t>
      </w:r>
      <w:r>
        <w:rPr>
          <w:rFonts w:ascii="宋体" w:hAnsi="宋体" w:cs="宋体" w:eastAsia="宋体" w:hint="default"/>
          <w:position w:val="1"/>
          <w:sz w:val="16"/>
          <w:szCs w:val="16"/>
        </w:rPr>
        <w:t>年</w:t>
      </w:r>
      <w:r>
        <w:rPr>
          <w:rFonts w:ascii="宋体" w:hAnsi="宋体" w:cs="宋体" w:eastAsia="宋体" w:hint="default"/>
          <w:spacing w:val="-42"/>
          <w:position w:val="1"/>
          <w:sz w:val="16"/>
          <w:szCs w:val="16"/>
        </w:rPr>
        <w:t> </w:t>
      </w:r>
      <w:r>
        <w:rPr>
          <w:rFonts w:ascii="Arial" w:hAnsi="Arial" w:cs="Arial" w:eastAsia="Arial" w:hint="default"/>
          <w:position w:val="1"/>
          <w:sz w:val="16"/>
          <w:szCs w:val="16"/>
        </w:rPr>
        <w:t>GSM</w:t>
      </w:r>
      <w:r>
        <w:rPr>
          <w:rFonts w:ascii="Arial" w:hAnsi="Arial" w:cs="Arial" w:eastAsia="Arial" w:hint="default"/>
          <w:spacing w:val="-6"/>
          <w:position w:val="1"/>
          <w:sz w:val="16"/>
          <w:szCs w:val="16"/>
        </w:rPr>
        <w:t> </w:t>
      </w:r>
      <w:r>
        <w:rPr>
          <w:rFonts w:ascii="宋体" w:hAnsi="宋体" w:cs="宋体" w:eastAsia="宋体" w:hint="default"/>
          <w:position w:val="1"/>
          <w:sz w:val="16"/>
          <w:szCs w:val="16"/>
        </w:rPr>
        <w:t>网配套工程</w:t>
        <w:tab/>
      </w:r>
      <w:r>
        <w:rPr>
          <w:rFonts w:ascii="Arial" w:hAnsi="Arial" w:cs="Arial" w:eastAsia="Arial" w:hint="default"/>
          <w:w w:val="95"/>
          <w:sz w:val="16"/>
          <w:szCs w:val="16"/>
        </w:rPr>
        <w:t>246</w:t>
      </w:r>
      <w:r>
        <w:rPr>
          <w:rFonts w:ascii="Arial" w:hAnsi="Arial" w:cs="Arial" w:eastAsia="Arial" w:hint="default"/>
          <w:w w:val="95"/>
          <w:sz w:val="16"/>
          <w:szCs w:val="16"/>
          <w:u w:val="single" w:color="000000"/>
        </w:rPr>
        <w:t> </w:t>
        <w:tab/>
      </w:r>
      <w:r>
        <w:rPr>
          <w:rFonts w:ascii="Arial" w:hAnsi="Arial" w:cs="Arial" w:eastAsia="Arial" w:hint="default"/>
          <w:sz w:val="16"/>
          <w:szCs w:val="16"/>
          <w:u w:val="single" w:color="000000"/>
        </w:rPr>
        <w:t>165,980     </w:t>
      </w:r>
      <w:r>
        <w:rPr>
          <w:rFonts w:ascii="Arial" w:hAnsi="Arial" w:cs="Arial" w:eastAsia="Arial" w:hint="default"/>
          <w:spacing w:val="15"/>
          <w:sz w:val="16"/>
          <w:szCs w:val="16"/>
          <w:u w:val="single" w:color="000000"/>
        </w:rPr>
        <w:t> </w:t>
      </w:r>
      <w:r>
        <w:rPr>
          <w:rFonts w:ascii="Arial" w:hAnsi="Arial" w:cs="Arial" w:eastAsia="Arial" w:hint="default"/>
          <w:spacing w:val="15"/>
          <w:sz w:val="16"/>
          <w:szCs w:val="16"/>
        </w:rPr>
      </w:r>
      <w:r>
        <w:rPr>
          <w:rFonts w:ascii="Arial" w:hAnsi="Arial" w:cs="Arial" w:eastAsia="Arial" w:hint="default"/>
          <w:spacing w:val="15"/>
          <w:sz w:val="16"/>
          <w:szCs w:val="16"/>
          <w:u w:val="single" w:color="000000"/>
        </w:rPr>
        <w:t> </w:t>
      </w:r>
      <w:r>
        <w:rPr>
          <w:rFonts w:ascii="Arial" w:hAnsi="Arial" w:cs="Arial" w:eastAsia="Arial" w:hint="default"/>
          <w:sz w:val="16"/>
          <w:szCs w:val="16"/>
          <w:u w:val="single" w:color="000000"/>
        </w:rPr>
        <w:t>239,597,640</w:t>
      </w:r>
      <w:r>
        <w:rPr>
          <w:rFonts w:ascii="Arial" w:hAnsi="Arial" w:cs="Arial" w:eastAsia="Arial" w:hint="default"/>
          <w:sz w:val="16"/>
          <w:szCs w:val="16"/>
        </w:rPr>
      </w:r>
      <w:r>
        <w:rPr>
          <w:rFonts w:ascii="Arial" w:hAnsi="Arial" w:cs="Arial" w:eastAsia="Arial" w:hint="default"/>
          <w:sz w:val="16"/>
          <w:szCs w:val="16"/>
          <w:u w:val="single" w:color="000000"/>
        </w:rPr>
        <w:t> </w:t>
        <w:tab/>
      </w:r>
      <w:r>
        <w:rPr>
          <w:rFonts w:ascii="Arial" w:hAnsi="Arial" w:cs="Arial" w:eastAsia="Arial" w:hint="default"/>
          <w:w w:val="95"/>
          <w:sz w:val="16"/>
          <w:szCs w:val="16"/>
          <w:u w:val="single" w:color="000000"/>
        </w:rPr>
        <w:t>-</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r>
      <w:r>
        <w:rPr>
          <w:rFonts w:ascii="Arial" w:hAnsi="Arial" w:cs="Arial" w:eastAsia="Arial" w:hint="default"/>
          <w:sz w:val="16"/>
          <w:szCs w:val="16"/>
          <w:u w:val="single" w:color="000000"/>
        </w:rPr>
        <w:t>-      </w:t>
      </w:r>
      <w:r>
        <w:rPr>
          <w:rFonts w:ascii="Arial" w:hAnsi="Arial" w:cs="Arial" w:eastAsia="Arial" w:hint="default"/>
          <w:spacing w:val="12"/>
          <w:sz w:val="16"/>
          <w:szCs w:val="16"/>
          <w:u w:val="single" w:color="000000"/>
        </w:rPr>
        <w:t> </w:t>
      </w:r>
      <w:r>
        <w:rPr>
          <w:rFonts w:ascii="Arial" w:hAnsi="Arial" w:cs="Arial" w:eastAsia="Arial" w:hint="default"/>
          <w:spacing w:val="12"/>
          <w:sz w:val="16"/>
          <w:szCs w:val="16"/>
        </w:rPr>
      </w:r>
      <w:r>
        <w:rPr>
          <w:rFonts w:ascii="Arial" w:hAnsi="Arial" w:cs="Arial" w:eastAsia="Arial" w:hint="default"/>
          <w:spacing w:val="12"/>
          <w:sz w:val="16"/>
          <w:szCs w:val="16"/>
          <w:u w:val="single" w:color="000000"/>
        </w:rPr>
        <w:t> </w:t>
      </w:r>
      <w:r>
        <w:rPr>
          <w:rFonts w:ascii="Arial" w:hAnsi="Arial" w:cs="Arial" w:eastAsia="Arial" w:hint="default"/>
          <w:sz w:val="16"/>
          <w:szCs w:val="16"/>
          <w:u w:val="single" w:color="000000"/>
        </w:rPr>
        <w:t>239,763,620</w:t>
      </w:r>
      <w:r>
        <w:rPr>
          <w:rFonts w:ascii="Arial" w:hAnsi="Arial" w:cs="Arial" w:eastAsia="Arial" w:hint="default"/>
          <w:sz w:val="16"/>
          <w:szCs w:val="16"/>
        </w:rPr>
        <w:tab/>
        <w:t>98%      </w:t>
      </w:r>
      <w:r>
        <w:rPr>
          <w:rFonts w:ascii="Arial" w:hAnsi="Arial" w:cs="Arial" w:eastAsia="Arial" w:hint="default"/>
          <w:sz w:val="16"/>
          <w:szCs w:val="16"/>
          <w:u w:val="single" w:color="000000"/>
        </w:rPr>
        <w:t> 1,383,374      </w:t>
      </w:r>
      <w:r>
        <w:rPr>
          <w:rFonts w:ascii="Arial" w:hAnsi="Arial" w:cs="Arial" w:eastAsia="Arial" w:hint="default"/>
          <w:spacing w:val="13"/>
          <w:sz w:val="16"/>
          <w:szCs w:val="16"/>
          <w:u w:val="single" w:color="000000"/>
        </w:rPr>
        <w:t> </w:t>
      </w:r>
      <w:r>
        <w:rPr>
          <w:rFonts w:ascii="Arial" w:hAnsi="Arial" w:cs="Arial" w:eastAsia="Arial" w:hint="default"/>
          <w:spacing w:val="13"/>
          <w:sz w:val="16"/>
          <w:szCs w:val="16"/>
        </w:rPr>
      </w:r>
      <w:r>
        <w:rPr>
          <w:rFonts w:ascii="Arial" w:hAnsi="Arial" w:cs="Arial" w:eastAsia="Arial" w:hint="default"/>
          <w:spacing w:val="13"/>
          <w:sz w:val="16"/>
          <w:szCs w:val="16"/>
          <w:u w:val="single" w:color="000000"/>
        </w:rPr>
        <w:t> </w:t>
      </w:r>
      <w:r>
        <w:rPr>
          <w:rFonts w:ascii="Arial" w:hAnsi="Arial" w:cs="Arial" w:eastAsia="Arial" w:hint="default"/>
          <w:sz w:val="16"/>
          <w:szCs w:val="16"/>
          <w:u w:val="single" w:color="000000"/>
        </w:rPr>
        <w:t>1,383,374</w:t>
      </w:r>
      <w:r>
        <w:rPr>
          <w:rFonts w:ascii="Arial" w:hAnsi="Arial" w:cs="Arial" w:eastAsia="Arial" w:hint="default"/>
          <w:sz w:val="16"/>
          <w:szCs w:val="16"/>
        </w:rPr>
        <w:tab/>
        <w:t>4.27%-4.80%   </w:t>
      </w:r>
      <w:r>
        <w:rPr>
          <w:rFonts w:ascii="宋体" w:hAnsi="宋体" w:cs="宋体" w:eastAsia="宋体" w:hint="default"/>
          <w:position w:val="1"/>
          <w:sz w:val="16"/>
          <w:szCs w:val="16"/>
        </w:rPr>
        <w:t>自筹及借款 </w:t>
      </w:r>
      <w:r>
        <w:rPr>
          <w:rFonts w:ascii="宋体" w:hAnsi="宋体" w:cs="宋体" w:eastAsia="宋体" w:hint="default"/>
          <w:spacing w:val="17"/>
          <w:position w:val="1"/>
          <w:sz w:val="16"/>
          <w:szCs w:val="16"/>
        </w:rPr>
        <w:t> </w:t>
      </w:r>
      <w:r>
        <w:rPr>
          <w:rFonts w:ascii="Arial" w:hAnsi="Arial" w:cs="Arial" w:eastAsia="Arial" w:hint="default"/>
          <w:sz w:val="16"/>
          <w:szCs w:val="16"/>
        </w:rPr>
        <w:t>95%</w:t>
      </w:r>
    </w:p>
    <w:p>
      <w:pPr>
        <w:spacing w:line="240" w:lineRule="auto" w:before="8"/>
        <w:rPr>
          <w:rFonts w:ascii="Arial" w:hAnsi="Arial" w:cs="Arial" w:eastAsia="Arial" w:hint="default"/>
          <w:sz w:val="10"/>
          <w:szCs w:val="10"/>
        </w:rPr>
      </w:pPr>
    </w:p>
    <w:p>
      <w:pPr>
        <w:tabs>
          <w:tab w:pos="4699" w:val="left" w:leader="none"/>
          <w:tab w:pos="11333" w:val="left" w:leader="none"/>
          <w:tab w:pos="12387" w:val="left" w:leader="none"/>
        </w:tabs>
        <w:spacing w:before="52"/>
        <w:ind w:left="608" w:right="0" w:firstLine="0"/>
        <w:jc w:val="left"/>
        <w:rPr>
          <w:rFonts w:ascii="Arial" w:hAnsi="Arial" w:cs="Arial" w:eastAsia="Arial" w:hint="default"/>
          <w:sz w:val="16"/>
          <w:szCs w:val="16"/>
        </w:rPr>
      </w:pPr>
      <w:r>
        <w:rPr>
          <w:rFonts w:ascii="宋体" w:hAnsi="宋体" w:cs="宋体" w:eastAsia="宋体" w:hint="default"/>
          <w:w w:val="95"/>
          <w:position w:val="1"/>
          <w:sz w:val="16"/>
          <w:szCs w:val="16"/>
        </w:rPr>
        <w:t>小计</w:t>
        <w:tab/>
      </w:r>
      <w:r>
        <w:rPr>
          <w:rFonts w:ascii="Arial" w:hAnsi="Arial" w:cs="Arial" w:eastAsia="Arial" w:hint="default"/>
          <w:sz w:val="16"/>
          <w:szCs w:val="16"/>
        </w:rPr>
        <w:t>12,948,970   5,191,577,648    (1,674,656,054)    (39,642,901)  </w:t>
      </w:r>
      <w:r>
        <w:rPr>
          <w:rFonts w:ascii="Arial" w:hAnsi="Arial" w:cs="Arial" w:eastAsia="Arial" w:hint="default"/>
          <w:spacing w:val="15"/>
          <w:sz w:val="16"/>
          <w:szCs w:val="16"/>
        </w:rPr>
        <w:t> </w:t>
      </w:r>
      <w:r>
        <w:rPr>
          <w:rFonts w:ascii="Arial" w:hAnsi="Arial" w:cs="Arial" w:eastAsia="Arial" w:hint="default"/>
          <w:sz w:val="16"/>
          <w:szCs w:val="16"/>
        </w:rPr>
        <w:t>3,490,227,663</w:t>
        <w:tab/>
      </w:r>
      <w:r>
        <w:rPr>
          <w:rFonts w:ascii="Arial" w:hAnsi="Arial" w:cs="Arial" w:eastAsia="Arial" w:hint="default"/>
          <w:w w:val="95"/>
          <w:sz w:val="16"/>
          <w:szCs w:val="16"/>
        </w:rPr>
        <w:t>30,487,504</w:t>
        <w:tab/>
      </w:r>
      <w:r>
        <w:rPr>
          <w:rFonts w:ascii="Arial" w:hAnsi="Arial" w:cs="Arial" w:eastAsia="Arial" w:hint="default"/>
          <w:sz w:val="16"/>
          <w:szCs w:val="16"/>
        </w:rPr>
        <w:t>30,478,563</w:t>
      </w:r>
    </w:p>
    <w:p>
      <w:pPr>
        <w:tabs>
          <w:tab w:pos="11285" w:val="left" w:leader="none"/>
        </w:tabs>
        <w:spacing w:line="43" w:lineRule="exact"/>
        <w:ind w:left="4649" w:right="0" w:firstLine="0"/>
        <w:rPr>
          <w:rFonts w:ascii="Arial" w:hAnsi="Arial" w:cs="Arial" w:eastAsia="Arial" w:hint="default"/>
          <w:sz w:val="4"/>
          <w:szCs w:val="4"/>
        </w:rPr>
      </w:pPr>
      <w:r>
        <w:rPr>
          <w:rFonts w:ascii="Arial"/>
          <w:position w:val="0"/>
          <w:sz w:val="4"/>
        </w:rPr>
        <w:pict>
          <v:group style="width:281.850pt;height:2.2pt;mso-position-horizontal-relative:char;mso-position-vertical-relative:line" coordorigin="0,0" coordsize="5637,44">
            <v:group style="position:absolute;left:7;top:36;width:884;height:2" coordorigin="7,36" coordsize="884,2">
              <v:shape style="position:absolute;left:7;top:36;width:884;height:2" coordorigin="7,36" coordsize="884,0" path="m7,36l890,36e" filled="false" stroked="true" strokeweight=".72pt" strokecolor="#000000">
                <v:path arrowok="t"/>
              </v:shape>
            </v:group>
            <v:group style="position:absolute;left:7;top:7;width:884;height:2" coordorigin="7,7" coordsize="884,2">
              <v:shape style="position:absolute;left:7;top:7;width:884;height:2" coordorigin="7,7" coordsize="884,0" path="m7,7l890,7e" filled="false" stroked="true" strokeweight=".72pt" strokecolor="#000000">
                <v:path arrowok="t"/>
              </v:shape>
            </v:group>
            <v:group style="position:absolute;left:960;top:36;width:1127;height:2" coordorigin="960,36" coordsize="1127,2">
              <v:shape style="position:absolute;left:960;top:36;width:1127;height:2" coordorigin="960,36" coordsize="1127,0" path="m960,36l2087,36e" filled="false" stroked="true" strokeweight=".72pt" strokecolor="#000000">
                <v:path arrowok="t"/>
              </v:shape>
            </v:group>
            <v:group style="position:absolute;left:960;top:7;width:1127;height:2" coordorigin="960,7" coordsize="1127,2">
              <v:shape style="position:absolute;left:960;top:7;width:1127;height:2" coordorigin="960,7" coordsize="1127,0" path="m960,7l2087,7e" filled="false" stroked="true" strokeweight=".72pt" strokecolor="#000000">
                <v:path arrowok="t"/>
              </v:shape>
            </v:group>
            <v:group style="position:absolute;left:2149;top:36;width:1212;height:2" coordorigin="2149,36" coordsize="1212,2">
              <v:shape style="position:absolute;left:2149;top:36;width:1212;height:2" coordorigin="2149,36" coordsize="1212,0" path="m2149,36l3361,36e" filled="false" stroked="true" strokeweight=".72pt" strokecolor="#000000">
                <v:path arrowok="t"/>
              </v:shape>
            </v:group>
            <v:group style="position:absolute;left:2149;top:7;width:1212;height:2" coordorigin="2149,7" coordsize="1212,2">
              <v:shape style="position:absolute;left:2149;top:7;width:1212;height:2" coordorigin="2149,7" coordsize="1212,0" path="m2149,7l3361,7e" filled="false" stroked="true" strokeweight=".72pt" strokecolor="#000000">
                <v:path arrowok="t"/>
              </v:shape>
            </v:group>
            <v:group style="position:absolute;left:3422;top:36;width:1004;height:2" coordorigin="3422,36" coordsize="1004,2">
              <v:shape style="position:absolute;left:3422;top:36;width:1004;height:2" coordorigin="3422,36" coordsize="1004,0" path="m3422,36l4426,36e" filled="false" stroked="true" strokeweight=".72pt" strokecolor="#000000">
                <v:path arrowok="t"/>
              </v:shape>
            </v:group>
            <v:group style="position:absolute;left:3422;top:7;width:1004;height:2" coordorigin="3422,7" coordsize="1004,2">
              <v:shape style="position:absolute;left:3422;top:7;width:1004;height:2" coordorigin="3422,7" coordsize="1004,0" path="m3422,7l4426,7e" filled="false" stroked="true" strokeweight=".72pt" strokecolor="#000000">
                <v:path arrowok="t"/>
              </v:shape>
            </v:group>
            <v:group style="position:absolute;left:4487;top:36;width:1143;height:2" coordorigin="4487,36" coordsize="1143,2">
              <v:shape style="position:absolute;left:4487;top:36;width:1143;height:2" coordorigin="4487,36" coordsize="1143,0" path="m4487,36l5629,36e" filled="false" stroked="true" strokeweight=".72pt" strokecolor="#000000">
                <v:path arrowok="t"/>
              </v:shape>
            </v:group>
            <v:group style="position:absolute;left:4487;top:7;width:1143;height:2" coordorigin="4487,7" coordsize="1143,2">
              <v:shape style="position:absolute;left:4487;top:7;width:1143;height:2" coordorigin="4487,7" coordsize="1143,0" path="m4487,7l5629,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97.3pt;height:2.2pt;mso-position-horizontal-relative:char;mso-position-vertical-relative:line" coordorigin="0,0" coordsize="1946,44">
            <v:group style="position:absolute;left:7;top:36;width:890;height:2" coordorigin="7,36" coordsize="890,2">
              <v:shape style="position:absolute;left:7;top:36;width:890;height:2" coordorigin="7,36" coordsize="890,0" path="m7,36l896,36e" filled="false" stroked="true" strokeweight=".72pt" strokecolor="#000000">
                <v:path arrowok="t"/>
              </v:shape>
            </v:group>
            <v:group style="position:absolute;left:7;top:7;width:890;height:2" coordorigin="7,7" coordsize="890,2">
              <v:shape style="position:absolute;left:7;top:7;width:890;height:2" coordorigin="7,7" coordsize="890,0" path="m7,7l896,7e" filled="false" stroked="true" strokeweight=".72pt" strokecolor="#000000">
                <v:path arrowok="t"/>
              </v:shape>
            </v:group>
            <v:group style="position:absolute;left:958;top:36;width:981;height:2" coordorigin="958,36" coordsize="981,2">
              <v:shape style="position:absolute;left:958;top:36;width:981;height:2" coordorigin="958,36" coordsize="981,0" path="m958,36l1938,36e" filled="false" stroked="true" strokeweight=".72pt" strokecolor="#000000">
                <v:path arrowok="t"/>
              </v:shape>
            </v:group>
            <v:group style="position:absolute;left:958;top:7;width:981;height:2" coordorigin="958,7" coordsize="981,2">
              <v:shape style="position:absolute;left:958;top:7;width:981;height:2" coordorigin="958,7" coordsize="981,0" path="m958,7l1938,7e" filled="false" stroked="true" strokeweight=".72pt" strokecolor="#000000">
                <v:path arrowok="t"/>
              </v:shape>
            </v:group>
          </v:group>
        </w:pict>
      </w:r>
      <w:r>
        <w:rPr>
          <w:rFonts w:ascii="Arial"/>
          <w:position w:val="0"/>
          <w:sz w:val="4"/>
        </w:rPr>
      </w:r>
    </w:p>
    <w:p>
      <w:pPr>
        <w:spacing w:line="240" w:lineRule="auto" w:before="7"/>
        <w:rPr>
          <w:rFonts w:ascii="Arial" w:hAnsi="Arial" w:cs="Arial" w:eastAsia="Arial" w:hint="default"/>
          <w:sz w:val="6"/>
          <w:szCs w:val="6"/>
        </w:rPr>
      </w:pPr>
    </w:p>
    <w:p>
      <w:pPr>
        <w:pStyle w:val="BodyText"/>
        <w:spacing w:line="240" w:lineRule="auto" w:before="31"/>
        <w:ind w:left="569" w:right="0"/>
        <w:jc w:val="left"/>
      </w:pPr>
      <w:r>
        <w:rPr/>
        <w:t>注：上述在建工程工程进度以合同约定、完工指标为基础进行估计。</w:t>
      </w:r>
    </w:p>
    <w:p>
      <w:pPr>
        <w:pStyle w:val="BodyText"/>
        <w:tabs>
          <w:tab w:pos="625" w:val="left" w:leader="none"/>
        </w:tabs>
        <w:spacing w:line="240" w:lineRule="auto" w:before="138"/>
        <w:ind w:left="149" w:right="11869"/>
        <w:jc w:val="left"/>
      </w:pPr>
      <w:r>
        <w:rPr>
          <w:rFonts w:ascii="Arial" w:hAnsi="Arial" w:cs="Arial" w:eastAsia="Arial" w:hint="default"/>
          <w:w w:val="95"/>
        </w:rPr>
        <w:t>(b)</w:t>
        <w:tab/>
      </w:r>
      <w:r>
        <w:rPr/>
        <w:t>在建工程减值准备</w:t>
      </w:r>
    </w:p>
    <w:p>
      <w:pPr>
        <w:tabs>
          <w:tab w:pos="5014" w:val="left" w:leader="none"/>
          <w:tab w:pos="8007" w:val="left" w:leader="none"/>
          <w:tab w:pos="10373" w:val="left" w:leader="none"/>
          <w:tab w:pos="12027" w:val="left" w:leader="none"/>
          <w:tab w:pos="14470" w:val="left" w:leader="none"/>
        </w:tabs>
        <w:spacing w:before="130"/>
        <w:ind w:left="608" w:right="0" w:firstLine="0"/>
        <w:jc w:val="left"/>
        <w:rPr>
          <w:rFonts w:ascii="宋体" w:hAnsi="宋体" w:cs="宋体" w:eastAsia="宋体" w:hint="default"/>
          <w:sz w:val="16"/>
          <w:szCs w:val="16"/>
        </w:rPr>
      </w:pPr>
      <w:r>
        <w:rPr>
          <w:rFonts w:ascii="宋体" w:hAnsi="宋体" w:cs="宋体" w:eastAsia="宋体" w:hint="default"/>
          <w:w w:val="95"/>
          <w:sz w:val="16"/>
          <w:szCs w:val="16"/>
        </w:rPr>
        <w:t>工程名称</w:t>
        <w:tab/>
      </w:r>
      <w:r>
        <w:rPr>
          <w:rFonts w:ascii="Arial" w:hAnsi="Arial" w:cs="Arial" w:eastAsia="Arial" w:hint="default"/>
          <w:sz w:val="16"/>
          <w:szCs w:val="16"/>
        </w:rPr>
        <w:t>2008</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12</w:t>
      </w:r>
      <w:r>
        <w:rPr>
          <w:rFonts w:ascii="Arial" w:hAnsi="Arial" w:cs="Arial" w:eastAsia="Arial" w:hint="default"/>
          <w:spacing w:val="-5"/>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tab/>
      </w:r>
      <w:r>
        <w:rPr>
          <w:rFonts w:ascii="宋体" w:hAnsi="宋体" w:cs="宋体" w:eastAsia="宋体" w:hint="default"/>
          <w:w w:val="95"/>
          <w:sz w:val="16"/>
          <w:szCs w:val="16"/>
        </w:rPr>
        <w:t>本年增加</w:t>
        <w:tab/>
        <w:t>本年减少</w:t>
        <w:tab/>
      </w:r>
      <w:r>
        <w:rPr>
          <w:rFonts w:ascii="Arial" w:hAnsi="Arial" w:cs="Arial" w:eastAsia="Arial" w:hint="default"/>
          <w:sz w:val="16"/>
          <w:szCs w:val="16"/>
        </w:rPr>
        <w:t>2009</w:t>
      </w:r>
      <w:r>
        <w:rPr>
          <w:rFonts w:ascii="Arial" w:hAnsi="Arial" w:cs="Arial" w:eastAsia="Arial" w:hint="default"/>
          <w:spacing w:val="-5"/>
          <w:sz w:val="16"/>
          <w:szCs w:val="16"/>
        </w:rPr>
        <w:t> </w:t>
      </w:r>
      <w:r>
        <w:rPr>
          <w:rFonts w:ascii="宋体" w:hAnsi="宋体" w:cs="宋体" w:eastAsia="宋体" w:hint="default"/>
          <w:sz w:val="16"/>
          <w:szCs w:val="16"/>
        </w:rPr>
        <w:t>年</w:t>
      </w:r>
      <w:r>
        <w:rPr>
          <w:rFonts w:ascii="宋体" w:hAnsi="宋体" w:cs="宋体" w:eastAsia="宋体" w:hint="default"/>
          <w:spacing w:val="-42"/>
          <w:sz w:val="16"/>
          <w:szCs w:val="16"/>
        </w:rPr>
        <w:t> </w:t>
      </w:r>
      <w:r>
        <w:rPr>
          <w:rFonts w:ascii="Arial" w:hAnsi="Arial" w:cs="Arial" w:eastAsia="Arial" w:hint="default"/>
          <w:sz w:val="16"/>
          <w:szCs w:val="16"/>
        </w:rPr>
        <w:t>12</w:t>
      </w:r>
      <w:r>
        <w:rPr>
          <w:rFonts w:ascii="Arial" w:hAnsi="Arial" w:cs="Arial" w:eastAsia="Arial" w:hint="default"/>
          <w:spacing w:val="-5"/>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tab/>
        <w:t>计提原因</w:t>
      </w:r>
    </w:p>
    <w:p>
      <w:pPr>
        <w:tabs>
          <w:tab w:pos="6741" w:val="left" w:leader="none"/>
          <w:tab w:pos="8995" w:val="left" w:leader="none"/>
          <w:tab w:pos="11361" w:val="left" w:leader="none"/>
          <w:tab w:pos="13769" w:val="left" w:leader="none"/>
        </w:tabs>
        <w:spacing w:line="20" w:lineRule="exact"/>
        <w:ind w:left="572" w:right="0" w:firstLine="0"/>
        <w:rPr>
          <w:rFonts w:ascii="宋体" w:hAnsi="宋体" w:cs="宋体" w:eastAsia="宋体" w:hint="default"/>
          <w:sz w:val="2"/>
          <w:szCs w:val="2"/>
        </w:rPr>
      </w:pPr>
      <w:r>
        <w:rPr>
          <w:rFonts w:ascii="宋体"/>
          <w:sz w:val="2"/>
        </w:rPr>
        <w:pict>
          <v:group style="width:176.95pt;height:.75pt;mso-position-horizontal-relative:char;mso-position-vertical-relative:line" coordorigin="0,0" coordsize="3539,15">
            <v:group style="position:absolute;left:7;top:7;width:3525;height:2" coordorigin="7,7" coordsize="3525,2">
              <v:shape style="position:absolute;left:7;top:7;width:3525;height:2" coordorigin="7,7" coordsize="3525,0" path="m7,7l3532,7e" filled="false" stroked="true" strokeweight=".72pt" strokecolor="#000000">
                <v:path arrowok="t"/>
              </v:shape>
            </v:group>
          </v:group>
        </w:pict>
      </w:r>
      <w:r>
        <w:rPr>
          <w:rFonts w:ascii="宋体"/>
          <w:sz w:val="2"/>
        </w:rPr>
      </w:r>
      <w:r>
        <w:rPr>
          <w:rFonts w:ascii="Times New Roman"/>
          <w:spacing w:val="75"/>
          <w:sz w:val="2"/>
        </w:rPr>
        <w:t> </w:t>
      </w:r>
      <w:r>
        <w:rPr>
          <w:rFonts w:ascii="宋体"/>
          <w:spacing w:val="75"/>
          <w:sz w:val="2"/>
        </w:rPr>
        <w:pict>
          <v:group style="width:112.05pt;height:.75pt;mso-position-horizontal-relative:char;mso-position-vertical-relative:line" coordorigin="0,0" coordsize="2241,15">
            <v:group style="position:absolute;left:7;top:7;width:2226;height:2" coordorigin="7,7" coordsize="2226,2">
              <v:shape style="position:absolute;left:7;top:7;width:2226;height:2" coordorigin="7,7" coordsize="2226,0" path="m7,7l2233,7e" filled="false" stroked="true" strokeweight=".72pt" strokecolor="#000000">
                <v:path arrowok="t"/>
              </v:shape>
            </v:group>
          </v:group>
        </w:pict>
      </w:r>
      <w:r>
        <w:rPr>
          <w:rFonts w:ascii="宋体"/>
          <w:spacing w:val="75"/>
          <w:sz w:val="2"/>
        </w:rPr>
      </w:r>
      <w:r>
        <w:rPr>
          <w:rFonts w:ascii="宋体"/>
          <w:spacing w:val="75"/>
          <w:sz w:val="2"/>
        </w:rPr>
        <w:tab/>
      </w:r>
      <w:r>
        <w:rPr>
          <w:rFonts w:ascii="宋体"/>
          <w:spacing w:val="75"/>
          <w:sz w:val="2"/>
        </w:rPr>
        <w:pict>
          <v:group style="width:96.6pt;height:.75pt;mso-position-horizontal-relative:char;mso-position-vertical-relative:line" coordorigin="0,0" coordsize="1932,15">
            <v:group style="position:absolute;left:7;top:7;width:1918;height:2" coordorigin="7,7" coordsize="1918,2">
              <v:shape style="position:absolute;left:7;top:7;width:1918;height:2" coordorigin="7,7" coordsize="1918,0" path="m7,7l1925,7e" filled="false" stroked="true" strokeweight=".72pt" strokecolor="#000000">
                <v:path arrowok="t"/>
              </v:shape>
            </v:group>
          </v:group>
        </w:pict>
      </w:r>
      <w:r>
        <w:rPr>
          <w:rFonts w:ascii="宋体"/>
          <w:spacing w:val="75"/>
          <w:sz w:val="2"/>
        </w:rPr>
      </w:r>
      <w:r>
        <w:rPr>
          <w:rFonts w:ascii="宋体"/>
          <w:spacing w:val="75"/>
          <w:sz w:val="2"/>
        </w:rPr>
        <w:tab/>
      </w:r>
      <w:r>
        <w:rPr>
          <w:rFonts w:ascii="宋体"/>
          <w:spacing w:val="75"/>
          <w:sz w:val="2"/>
        </w:rPr>
        <w:pict>
          <v:group style="width:102.25pt;height:.75pt;mso-position-horizontal-relative:char;mso-position-vertical-relative:line" coordorigin="0,0" coordsize="2045,15">
            <v:group style="position:absolute;left:7;top:7;width:2031;height:2" coordorigin="7,7" coordsize="2031,2">
              <v:shape style="position:absolute;left:7;top:7;width:2031;height:2" coordorigin="7,7" coordsize="2031,0" path="m7,7l2038,7e" filled="false" stroked="true" strokeweight=".72pt" strokecolor="#000000">
                <v:path arrowok="t"/>
              </v:shape>
            </v:group>
          </v:group>
        </w:pict>
      </w:r>
      <w:r>
        <w:rPr>
          <w:rFonts w:ascii="宋体"/>
          <w:spacing w:val="75"/>
          <w:sz w:val="2"/>
        </w:rPr>
      </w:r>
      <w:r>
        <w:rPr>
          <w:rFonts w:ascii="宋体"/>
          <w:spacing w:val="75"/>
          <w:sz w:val="2"/>
        </w:rPr>
        <w:tab/>
      </w:r>
      <w:r>
        <w:rPr>
          <w:rFonts w:ascii="宋体"/>
          <w:spacing w:val="75"/>
          <w:sz w:val="2"/>
        </w:rPr>
        <w:pict>
          <v:group style="width:104.3pt;height:.75pt;mso-position-horizontal-relative:char;mso-position-vertical-relative:line" coordorigin="0,0" coordsize="2086,15">
            <v:group style="position:absolute;left:7;top:7;width:2072;height:2" coordorigin="7,7" coordsize="2072,2">
              <v:shape style="position:absolute;left:7;top:7;width:2072;height:2" coordorigin="7,7" coordsize="2072,0" path="m7,7l2078,7e" filled="false" stroked="true" strokeweight=".72pt" strokecolor="#000000">
                <v:path arrowok="t"/>
              </v:shape>
            </v:group>
          </v:group>
        </w:pict>
      </w:r>
      <w:r>
        <w:rPr>
          <w:rFonts w:ascii="宋体"/>
          <w:spacing w:val="75"/>
          <w:sz w:val="2"/>
        </w:rPr>
      </w:r>
      <w:r>
        <w:rPr>
          <w:rFonts w:ascii="宋体"/>
          <w:spacing w:val="75"/>
          <w:sz w:val="2"/>
        </w:rPr>
        <w:tab/>
      </w:r>
      <w:r>
        <w:rPr>
          <w:rFonts w:ascii="宋体"/>
          <w:spacing w:val="75"/>
          <w:sz w:val="2"/>
        </w:rPr>
        <w:pict>
          <v:group style="width:101.55pt;height:.75pt;mso-position-horizontal-relative:char;mso-position-vertical-relative:line" coordorigin="0,0" coordsize="2031,15">
            <v:group style="position:absolute;left:7;top:7;width:2016;height:2" coordorigin="7,7" coordsize="2016,2">
              <v:shape style="position:absolute;left:7;top:7;width:2016;height:2" coordorigin="7,7" coordsize="2016,0" path="m7,7l2023,7e" filled="false" stroked="true" strokeweight=".72pt" strokecolor="#000000">
                <v:path arrowok="t"/>
              </v:shape>
            </v:group>
          </v:group>
        </w:pict>
      </w:r>
      <w:r>
        <w:rPr>
          <w:rFonts w:ascii="宋体"/>
          <w:spacing w:val="75"/>
          <w:sz w:val="2"/>
        </w:rPr>
      </w:r>
    </w:p>
    <w:p>
      <w:pPr>
        <w:spacing w:line="240" w:lineRule="auto" w:before="11"/>
        <w:rPr>
          <w:rFonts w:ascii="宋体" w:hAnsi="宋体" w:cs="宋体" w:eastAsia="宋体" w:hint="default"/>
          <w:sz w:val="8"/>
          <w:szCs w:val="8"/>
        </w:rPr>
      </w:pPr>
    </w:p>
    <w:p>
      <w:pPr>
        <w:tabs>
          <w:tab w:pos="5551" w:val="left" w:leader="none"/>
          <w:tab w:pos="8550" w:val="left" w:leader="none"/>
          <w:tab w:pos="10149" w:val="left" w:leader="none"/>
          <w:tab w:pos="12628" w:val="left" w:leader="none"/>
          <w:tab w:pos="14551" w:val="left" w:leader="none"/>
        </w:tabs>
        <w:spacing w:line="219" w:lineRule="exact" w:before="52"/>
        <w:ind w:left="608" w:right="0" w:firstLine="0"/>
        <w:jc w:val="left"/>
        <w:rPr>
          <w:rFonts w:ascii="宋体" w:hAnsi="宋体" w:cs="宋体" w:eastAsia="宋体" w:hint="default"/>
          <w:sz w:val="16"/>
          <w:szCs w:val="16"/>
        </w:rPr>
      </w:pPr>
      <w:r>
        <w:rPr>
          <w:rFonts w:ascii="宋体" w:hAnsi="宋体" w:cs="宋体" w:eastAsia="宋体" w:hint="default"/>
          <w:w w:val="95"/>
          <w:position w:val="1"/>
          <w:sz w:val="16"/>
          <w:szCs w:val="16"/>
        </w:rPr>
        <w:t>无线市话工程</w:t>
        <w:tab/>
      </w:r>
      <w:r>
        <w:rPr>
          <w:rFonts w:ascii="Arial" w:hAnsi="Arial" w:cs="Arial" w:eastAsia="Arial" w:hint="default"/>
          <w:w w:val="95"/>
          <w:sz w:val="16"/>
          <w:szCs w:val="16"/>
        </w:rPr>
        <w:t>11,660,879</w:t>
        <w:tab/>
        <w:t>-</w:t>
        <w:tab/>
        <w:t>(7,278,989)</w:t>
        <w:tab/>
        <w:t>4,364,010</w:t>
        <w:tab/>
      </w:r>
      <w:r>
        <w:rPr>
          <w:rFonts w:ascii="宋体" w:hAnsi="宋体" w:cs="宋体" w:eastAsia="宋体" w:hint="default"/>
          <w:position w:val="1"/>
          <w:sz w:val="16"/>
          <w:szCs w:val="16"/>
        </w:rPr>
        <w:t>（注）</w:t>
      </w:r>
      <w:r>
        <w:rPr>
          <w:rFonts w:ascii="宋体" w:hAnsi="宋体" w:cs="宋体" w:eastAsia="宋体" w:hint="default"/>
          <w:sz w:val="16"/>
          <w:szCs w:val="16"/>
        </w:rPr>
      </w:r>
    </w:p>
    <w:p>
      <w:pPr>
        <w:tabs>
          <w:tab w:pos="4201" w:val="left" w:leader="none"/>
          <w:tab w:pos="5551" w:val="left" w:leader="none"/>
          <w:tab w:pos="6748" w:val="left" w:leader="none"/>
          <w:tab w:pos="8550" w:val="left" w:leader="none"/>
          <w:tab w:pos="9002" w:val="left" w:leader="none"/>
          <w:tab w:pos="10860" w:val="left" w:leader="none"/>
          <w:tab w:pos="11368" w:val="left" w:leader="none"/>
          <w:tab w:pos="12539" w:val="left" w:leader="none"/>
          <w:tab w:pos="14551" w:val="left" w:leader="none"/>
        </w:tabs>
        <w:spacing w:line="219" w:lineRule="exact" w:before="0"/>
        <w:ind w:left="608" w:right="0" w:firstLine="0"/>
        <w:jc w:val="left"/>
        <w:rPr>
          <w:rFonts w:ascii="宋体" w:hAnsi="宋体" w:cs="宋体" w:eastAsia="宋体" w:hint="default"/>
          <w:sz w:val="16"/>
          <w:szCs w:val="16"/>
        </w:rPr>
      </w:pPr>
      <w:r>
        <w:rPr>
          <w:rFonts w:ascii="宋体" w:hAnsi="宋体" w:cs="宋体" w:eastAsia="宋体" w:hint="default"/>
          <w:w w:val="95"/>
          <w:position w:val="1"/>
          <w:sz w:val="16"/>
          <w:szCs w:val="16"/>
        </w:rPr>
        <w:t>其他工程</w:t>
        <w:tab/>
      </w:r>
      <w:r>
        <w:rPr>
          <w:rFonts w:ascii="Arial" w:hAnsi="Arial" w:cs="Arial" w:eastAsia="Arial" w:hint="default"/>
          <w:w w:val="95"/>
          <w:sz w:val="16"/>
          <w:szCs w:val="16"/>
        </w:rPr>
      </w:r>
      <w:r>
        <w:rPr>
          <w:rFonts w:ascii="Arial" w:hAnsi="Arial" w:cs="Arial" w:eastAsia="Arial" w:hint="default"/>
          <w:w w:val="95"/>
          <w:sz w:val="16"/>
          <w:szCs w:val="16"/>
          <w:u w:val="single" w:color="000000"/>
        </w:rPr>
        <w:t> </w:t>
        <w:tab/>
        <w:t>13,649,026</w:t>
      </w:r>
      <w:r>
        <w:rPr>
          <w:rFonts w:ascii="Arial" w:hAnsi="Arial" w:cs="Arial" w:eastAsia="Arial" w:hint="default"/>
          <w:w w:val="95"/>
          <w:sz w:val="16"/>
          <w:szCs w:val="16"/>
        </w:rPr>
        <w:tab/>
      </w:r>
      <w:r>
        <w:rPr>
          <w:rFonts w:ascii="Arial" w:hAnsi="Arial" w:cs="Arial" w:eastAsia="Arial" w:hint="default"/>
          <w:w w:val="95"/>
          <w:sz w:val="16"/>
          <w:szCs w:val="16"/>
          <w:u w:val="single" w:color="000000"/>
        </w:rPr>
        <w:t> </w:t>
        <w:tab/>
        <w:t>-</w:t>
      </w:r>
      <w:r>
        <w:rPr>
          <w:rFonts w:ascii="Arial" w:hAnsi="Arial" w:cs="Arial" w:eastAsia="Arial" w:hint="default"/>
          <w:w w:val="95"/>
          <w:sz w:val="16"/>
          <w:szCs w:val="16"/>
        </w:rPr>
        <w:tab/>
      </w:r>
      <w:r>
        <w:rPr>
          <w:rFonts w:ascii="Arial" w:hAnsi="Arial" w:cs="Arial" w:eastAsia="Arial" w:hint="default"/>
          <w:w w:val="95"/>
          <w:sz w:val="16"/>
          <w:szCs w:val="16"/>
          <w:u w:val="single" w:color="000000"/>
        </w:rPr>
        <w:t> </w:t>
        <w:tab/>
        <w:t>-</w:t>
      </w:r>
      <w:r>
        <w:rPr>
          <w:rFonts w:ascii="Arial" w:hAnsi="Arial" w:cs="Arial" w:eastAsia="Arial" w:hint="default"/>
          <w:w w:val="95"/>
          <w:sz w:val="16"/>
          <w:szCs w:val="16"/>
        </w:rPr>
        <w:tab/>
      </w:r>
      <w:r>
        <w:rPr>
          <w:rFonts w:ascii="Arial" w:hAnsi="Arial" w:cs="Arial" w:eastAsia="Arial" w:hint="default"/>
          <w:w w:val="95"/>
          <w:sz w:val="16"/>
          <w:szCs w:val="16"/>
          <w:u w:val="single" w:color="000000"/>
        </w:rPr>
        <w:t> </w:t>
        <w:tab/>
        <w:t>13,666,906</w:t>
      </w:r>
      <w:r>
        <w:rPr>
          <w:rFonts w:ascii="Arial" w:hAnsi="Arial" w:cs="Arial" w:eastAsia="Arial" w:hint="default"/>
          <w:w w:val="95"/>
          <w:sz w:val="16"/>
          <w:szCs w:val="16"/>
        </w:rPr>
        <w:tab/>
      </w:r>
      <w:r>
        <w:rPr>
          <w:rFonts w:ascii="宋体" w:hAnsi="宋体" w:cs="宋体" w:eastAsia="宋体" w:hint="default"/>
          <w:position w:val="1"/>
          <w:sz w:val="16"/>
          <w:szCs w:val="16"/>
        </w:rPr>
        <w:t>（注）</w:t>
      </w:r>
      <w:r>
        <w:rPr>
          <w:rFonts w:ascii="宋体" w:hAnsi="宋体" w:cs="宋体" w:eastAsia="宋体" w:hint="default"/>
          <w:sz w:val="16"/>
          <w:szCs w:val="16"/>
        </w:rPr>
      </w:r>
    </w:p>
    <w:p>
      <w:pPr>
        <w:spacing w:line="240" w:lineRule="auto" w:before="5"/>
        <w:rPr>
          <w:rFonts w:ascii="宋体" w:hAnsi="宋体" w:cs="宋体" w:eastAsia="宋体" w:hint="default"/>
          <w:sz w:val="9"/>
          <w:szCs w:val="9"/>
        </w:rPr>
      </w:pPr>
    </w:p>
    <w:p>
      <w:pPr>
        <w:tabs>
          <w:tab w:pos="5551" w:val="left" w:leader="none"/>
          <w:tab w:pos="8551" w:val="left" w:leader="none"/>
          <w:tab w:pos="10149" w:val="left" w:leader="none"/>
          <w:tab w:pos="12539" w:val="left" w:leader="none"/>
        </w:tabs>
        <w:spacing w:before="52"/>
        <w:ind w:left="608" w:right="0" w:firstLine="0"/>
        <w:jc w:val="left"/>
        <w:rPr>
          <w:rFonts w:ascii="Arial" w:hAnsi="Arial" w:cs="Arial" w:eastAsia="Arial" w:hint="default"/>
          <w:sz w:val="16"/>
          <w:szCs w:val="16"/>
        </w:rPr>
      </w:pPr>
      <w:r>
        <w:rPr>
          <w:rFonts w:ascii="宋体" w:hAnsi="宋体" w:cs="宋体" w:eastAsia="宋体" w:hint="default"/>
          <w:w w:val="95"/>
          <w:position w:val="1"/>
          <w:sz w:val="16"/>
          <w:szCs w:val="16"/>
        </w:rPr>
        <w:t>合计</w:t>
        <w:tab/>
      </w:r>
      <w:r>
        <w:rPr>
          <w:rFonts w:ascii="Arial" w:hAnsi="Arial" w:cs="Arial" w:eastAsia="Arial" w:hint="default"/>
          <w:w w:val="95"/>
          <w:sz w:val="16"/>
          <w:szCs w:val="16"/>
        </w:rPr>
        <w:t>25,309,905</w:t>
        <w:tab/>
        <w:t>-</w:t>
        <w:tab/>
        <w:t>(7,278,989)</w:t>
        <w:tab/>
      </w:r>
      <w:r>
        <w:rPr>
          <w:rFonts w:ascii="Arial" w:hAnsi="Arial" w:cs="Arial" w:eastAsia="Arial" w:hint="default"/>
          <w:sz w:val="16"/>
          <w:szCs w:val="16"/>
        </w:rPr>
        <w:t>18,030,916</w:t>
      </w:r>
    </w:p>
    <w:p>
      <w:pPr>
        <w:tabs>
          <w:tab w:pos="6734" w:val="left" w:leader="none"/>
          <w:tab w:pos="8988" w:val="left" w:leader="none"/>
          <w:tab w:pos="11354" w:val="left" w:leader="none"/>
        </w:tabs>
        <w:spacing w:line="43" w:lineRule="exact"/>
        <w:ind w:left="4187" w:right="0" w:firstLine="0"/>
        <w:rPr>
          <w:rFonts w:ascii="Arial" w:hAnsi="Arial" w:cs="Arial" w:eastAsia="Arial" w:hint="default"/>
          <w:sz w:val="4"/>
          <w:szCs w:val="4"/>
        </w:rPr>
      </w:pPr>
      <w:r>
        <w:rPr>
          <w:rFonts w:ascii="Arial"/>
          <w:position w:val="0"/>
          <w:sz w:val="4"/>
        </w:rPr>
        <w:pict>
          <v:group style="width:112.75pt;height:2.2pt;mso-position-horizontal-relative:char;mso-position-vertical-relative:line" coordorigin="0,0" coordsize="2255,44">
            <v:group style="position:absolute;left:7;top:36;width:2241;height:2" coordorigin="7,36" coordsize="2241,2">
              <v:shape style="position:absolute;left:7;top:36;width:2241;height:2" coordorigin="7,36" coordsize="2241,0" path="m7,36l2248,36e" filled="false" stroked="true" strokeweight=".72pt" strokecolor="#000000">
                <v:path arrowok="t"/>
              </v:shape>
            </v:group>
            <v:group style="position:absolute;left:7;top:7;width:2241;height:2" coordorigin="7,7" coordsize="2241,2">
              <v:shape style="position:absolute;left:7;top:7;width:2241;height:2" coordorigin="7,7" coordsize="2241,0" path="m7,7l2248,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97.35pt;height:2.2pt;mso-position-horizontal-relative:char;mso-position-vertical-relative:line" coordorigin="0,0" coordsize="1947,44">
            <v:group style="position:absolute;left:7;top:36;width:1932;height:2" coordorigin="7,36" coordsize="1932,2">
              <v:shape style="position:absolute;left:7;top:36;width:1932;height:2" coordorigin="7,36" coordsize="1932,0" path="m7,36l1939,36e" filled="false" stroked="true" strokeweight=".72pt" strokecolor="#000000">
                <v:path arrowok="t"/>
              </v:shape>
            </v:group>
            <v:group style="position:absolute;left:7;top:7;width:1932;height:2" coordorigin="7,7" coordsize="1932,2">
              <v:shape style="position:absolute;left:7;top:7;width:1932;height:2" coordorigin="7,7" coordsize="1932,0" path="m7,7l1939,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103pt;height:2.2pt;mso-position-horizontal-relative:char;mso-position-vertical-relative:line" coordorigin="0,0" coordsize="2060,44">
            <v:group style="position:absolute;left:7;top:36;width:2045;height:2" coordorigin="7,36" coordsize="2045,2">
              <v:shape style="position:absolute;left:7;top:36;width:2045;height:2" coordorigin="7,36" coordsize="2045,0" path="m7,36l2052,36e" filled="false" stroked="true" strokeweight=".72pt" strokecolor="#000000">
                <v:path arrowok="t"/>
              </v:shape>
            </v:group>
            <v:group style="position:absolute;left:7;top:7;width:2045;height:2" coordorigin="7,7" coordsize="2045,2">
              <v:shape style="position:absolute;left:7;top:7;width:2045;height:2" coordorigin="7,7" coordsize="2045,0" path="m7,7l2052,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105pt;height:2.2pt;mso-position-horizontal-relative:char;mso-position-vertical-relative:line" coordorigin="0,0" coordsize="2100,44">
            <v:group style="position:absolute;left:7;top:36;width:2086;height:2" coordorigin="7,36" coordsize="2086,2">
              <v:shape style="position:absolute;left:7;top:36;width:2086;height:2" coordorigin="7,36" coordsize="2086,0" path="m7,36l2093,36e" filled="false" stroked="true" strokeweight=".72pt" strokecolor="#000000">
                <v:path arrowok="t"/>
              </v:shape>
            </v:group>
            <v:group style="position:absolute;left:7;top:7;width:2086;height:2" coordorigin="7,7" coordsize="2086,2">
              <v:shape style="position:absolute;left:7;top:7;width:2086;height:2" coordorigin="7,7" coordsize="2086,0" path="m7,7l2093,7e" filled="false" stroked="true" strokeweight=".72pt" strokecolor="#000000">
                <v:path arrowok="t"/>
              </v:shape>
            </v:group>
          </v:group>
        </w:pict>
      </w:r>
      <w:r>
        <w:rPr>
          <w:rFonts w:ascii="Arial"/>
          <w:position w:val="0"/>
          <w:sz w:val="4"/>
        </w:rPr>
      </w:r>
    </w:p>
    <w:p>
      <w:pPr>
        <w:pStyle w:val="BodyText"/>
        <w:spacing w:line="295" w:lineRule="exact" w:before="107"/>
        <w:ind w:left="611" w:right="0"/>
        <w:jc w:val="left"/>
      </w:pPr>
      <w:r>
        <w:rPr/>
        <w:t>注：本集团对技术、性能上明显落后或已终止建设、预计将不能为本集团带来未来经济收益的在建工程计提了资产减值准备。于</w:t>
      </w:r>
      <w:r>
        <w:rPr>
          <w:spacing w:val="-54"/>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日，本集团</w:t>
      </w:r>
    </w:p>
    <w:p>
      <w:pPr>
        <w:pStyle w:val="BodyText"/>
        <w:spacing w:line="286" w:lineRule="exact" w:before="19"/>
        <w:ind w:left="1030" w:right="251"/>
        <w:jc w:val="left"/>
      </w:pPr>
      <w:r>
        <w:rPr/>
        <w:t>在建工程减值准备余额约为人民币</w:t>
      </w:r>
      <w:r>
        <w:rPr>
          <w:spacing w:val="-55"/>
        </w:rPr>
        <w:t> </w:t>
      </w:r>
      <w:r>
        <w:rPr>
          <w:rFonts w:ascii="Arial" w:hAnsi="Arial" w:cs="Arial" w:eastAsia="Arial" w:hint="default"/>
        </w:rPr>
        <w:t>0.18</w:t>
      </w:r>
      <w:r>
        <w:rPr>
          <w:rFonts w:ascii="Arial" w:hAnsi="Arial" w:cs="Arial" w:eastAsia="Arial" w:hint="default"/>
          <w:spacing w:val="-7"/>
        </w:rPr>
        <w:t> </w:t>
      </w:r>
      <w:r>
        <w:rPr/>
        <w:t>亿元（</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日：约为人民币</w:t>
      </w:r>
      <w:r>
        <w:rPr>
          <w:spacing w:val="-55"/>
        </w:rPr>
        <w:t> </w:t>
      </w:r>
      <w:r>
        <w:rPr>
          <w:rFonts w:ascii="Arial" w:hAnsi="Arial" w:cs="Arial" w:eastAsia="Arial" w:hint="default"/>
        </w:rPr>
        <w:t>0.25</w:t>
      </w:r>
      <w:r>
        <w:rPr>
          <w:rFonts w:ascii="Arial" w:hAnsi="Arial" w:cs="Arial" w:eastAsia="Arial" w:hint="default"/>
          <w:spacing w:val="-7"/>
        </w:rPr>
        <w:t> </w:t>
      </w:r>
      <w:r>
        <w:rPr/>
        <w:t>亿元）。本年度有约人民币</w:t>
      </w:r>
      <w:r>
        <w:rPr>
          <w:spacing w:val="-56"/>
        </w:rPr>
        <w:t> </w:t>
      </w:r>
      <w:r>
        <w:rPr>
          <w:rFonts w:ascii="Arial" w:hAnsi="Arial" w:cs="Arial" w:eastAsia="Arial" w:hint="default"/>
        </w:rPr>
        <w:t>728</w:t>
      </w:r>
      <w:r>
        <w:rPr>
          <w:rFonts w:ascii="Arial" w:hAnsi="Arial" w:cs="Arial" w:eastAsia="Arial" w:hint="default"/>
          <w:spacing w:val="-7"/>
        </w:rPr>
        <w:t> </w:t>
      </w:r>
      <w:r>
        <w:rPr/>
        <w:t>万元的在建工程减值准备随工程转</w:t>
      </w:r>
      <w:r>
        <w:rPr>
          <w:w w:val="99"/>
        </w:rPr>
        <w:t> </w:t>
      </w:r>
      <w:r>
        <w:rPr/>
        <w:t>固而转出。</w:t>
      </w:r>
    </w:p>
    <w:p>
      <w:pPr>
        <w:pStyle w:val="BodyText"/>
        <w:spacing w:line="240" w:lineRule="auto" w:before="76"/>
        <w:ind w:left="7643" w:right="7929"/>
        <w:jc w:val="center"/>
        <w:rPr>
          <w:rFonts w:ascii="Arial" w:hAnsi="Arial" w:cs="Arial" w:eastAsia="Arial" w:hint="default"/>
        </w:rPr>
      </w:pPr>
      <w:r>
        <w:rPr>
          <w:rFonts w:ascii="Arial"/>
        </w:rPr>
        <w:t>109</w:t>
      </w:r>
    </w:p>
    <w:p>
      <w:pPr>
        <w:spacing w:after="0" w:line="240" w:lineRule="auto"/>
        <w:jc w:val="center"/>
        <w:rPr>
          <w:rFonts w:ascii="Arial" w:hAnsi="Arial" w:cs="Arial" w:eastAsia="Arial" w:hint="default"/>
        </w:rPr>
        <w:sectPr>
          <w:headerReference w:type="default" r:id="rId91"/>
          <w:footerReference w:type="default" r:id="rId92"/>
          <w:pgSz w:w="16840" w:h="11910" w:orient="landscape"/>
          <w:pgMar w:header="0" w:footer="0" w:top="1100" w:bottom="280" w:left="140" w:right="720"/>
        </w:sectPr>
      </w:pPr>
    </w:p>
    <w:p>
      <w:pPr>
        <w:spacing w:line="240" w:lineRule="auto" w:before="11"/>
        <w:rPr>
          <w:rFonts w:ascii="Arial" w:hAnsi="Arial" w:cs="Arial" w:eastAsia="Arial" w:hint="default"/>
          <w:sz w:val="16"/>
          <w:szCs w:val="16"/>
        </w:rPr>
      </w:pPr>
    </w:p>
    <w:tbl>
      <w:tblPr>
        <w:tblW w:w="0" w:type="auto"/>
        <w:jc w:val="left"/>
        <w:tblInd w:w="107" w:type="dxa"/>
        <w:tblLayout w:type="fixed"/>
        <w:tblCellMar>
          <w:top w:w="0" w:type="dxa"/>
          <w:left w:w="0" w:type="dxa"/>
          <w:bottom w:w="0" w:type="dxa"/>
          <w:right w:w="0" w:type="dxa"/>
        </w:tblCellMar>
        <w:tblLook w:val="01E0"/>
      </w:tblPr>
      <w:tblGrid>
        <w:gridCol w:w="2617"/>
        <w:gridCol w:w="1829"/>
        <w:gridCol w:w="1551"/>
        <w:gridCol w:w="133"/>
        <w:gridCol w:w="1589"/>
        <w:gridCol w:w="119"/>
        <w:gridCol w:w="1645"/>
      </w:tblGrid>
      <w:tr>
        <w:trPr>
          <w:trHeight w:val="770" w:hRule="exact"/>
        </w:trPr>
        <w:tc>
          <w:tcPr>
            <w:tcW w:w="261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236"/>
              <w:jc w:val="right"/>
              <w:rPr>
                <w:rFonts w:ascii="黑体" w:hAnsi="黑体" w:cs="黑体" w:eastAsia="黑体" w:hint="default"/>
                <w:sz w:val="22"/>
                <w:szCs w:val="22"/>
              </w:rPr>
            </w:pPr>
            <w:r>
              <w:rPr>
                <w:rFonts w:ascii="Arial" w:hAnsi="Arial" w:cs="Arial" w:eastAsia="Arial" w:hint="default"/>
                <w:w w:val="95"/>
                <w:sz w:val="22"/>
                <w:szCs w:val="22"/>
              </w:rPr>
              <w:t>11</w:t>
            </w:r>
            <w:r>
              <w:rPr>
                <w:rFonts w:ascii="宋体" w:hAnsi="宋体" w:cs="宋体" w:eastAsia="宋体" w:hint="default"/>
                <w:w w:val="95"/>
                <w:sz w:val="22"/>
                <w:szCs w:val="22"/>
              </w:rPr>
              <w:t>、</w:t>
            </w:r>
            <w:r>
              <w:rPr>
                <w:rFonts w:ascii="黑体" w:hAnsi="黑体" w:cs="黑体" w:eastAsia="黑体" w:hint="default"/>
                <w:w w:val="95"/>
                <w:sz w:val="22"/>
                <w:szCs w:val="22"/>
              </w:rPr>
              <w:t>工程物资</w:t>
            </w:r>
            <w:r>
              <w:rPr>
                <w:rFonts w:ascii="黑体" w:hAnsi="黑体" w:cs="黑体" w:eastAsia="黑体" w:hint="default"/>
                <w:sz w:val="22"/>
                <w:szCs w:val="22"/>
              </w:rPr>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9"/>
              <w:ind w:right="0"/>
              <w:jc w:val="left"/>
              <w:rPr>
                <w:rFonts w:ascii="Arial" w:hAnsi="Arial" w:cs="Arial" w:eastAsia="Arial" w:hint="default"/>
                <w:sz w:val="25"/>
                <w:szCs w:val="25"/>
              </w:rPr>
            </w:pPr>
          </w:p>
          <w:p>
            <w:pPr>
              <w:pStyle w:val="TableParagraph"/>
              <w:spacing w:line="240" w:lineRule="auto"/>
              <w:ind w:right="160"/>
              <w:jc w:val="righ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9"/>
                <w:sz w:val="18"/>
                <w:szCs w:val="18"/>
              </w:rPr>
              <w:t> </w:t>
            </w:r>
            <w:r>
              <w:rPr>
                <w:rFonts w:ascii="宋体" w:hAnsi="宋体" w:cs="宋体" w:eastAsia="宋体" w:hint="default"/>
                <w:sz w:val="18"/>
                <w:szCs w:val="18"/>
              </w:rPr>
              <w:t>年</w:t>
            </w:r>
          </w:p>
        </w:tc>
        <w:tc>
          <w:tcPr>
            <w:tcW w:w="1551" w:type="dxa"/>
            <w:tcBorders>
              <w:top w:val="nil" w:sz="6" w:space="0" w:color="auto"/>
              <w:left w:val="nil" w:sz="6" w:space="0" w:color="auto"/>
              <w:bottom w:val="nil" w:sz="6" w:space="0" w:color="auto"/>
              <w:right w:val="nil" w:sz="6" w:space="0" w:color="auto"/>
            </w:tcBorders>
          </w:tcPr>
          <w:p>
            <w:pPr/>
          </w:p>
        </w:tc>
        <w:tc>
          <w:tcPr>
            <w:tcW w:w="133" w:type="dxa"/>
            <w:tcBorders>
              <w:top w:val="nil" w:sz="6" w:space="0" w:color="auto"/>
              <w:left w:val="nil" w:sz="6" w:space="0" w:color="auto"/>
              <w:bottom w:val="nil" w:sz="6" w:space="0" w:color="auto"/>
              <w:right w:val="nil" w:sz="6" w:space="0" w:color="auto"/>
            </w:tcBorders>
          </w:tcPr>
          <w:p>
            <w:pPr/>
          </w:p>
        </w:tc>
        <w:tc>
          <w:tcPr>
            <w:tcW w:w="1589" w:type="dxa"/>
            <w:tcBorders>
              <w:top w:val="nil" w:sz="6" w:space="0" w:color="auto"/>
              <w:left w:val="nil" w:sz="6" w:space="0" w:color="auto"/>
              <w:bottom w:val="nil" w:sz="6" w:space="0" w:color="auto"/>
              <w:right w:val="nil" w:sz="6" w:space="0" w:color="auto"/>
            </w:tcBorders>
          </w:tcPr>
          <w:p>
            <w:pPr/>
          </w:p>
        </w:tc>
        <w:tc>
          <w:tcPr>
            <w:tcW w:w="119"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8"/>
                <w:szCs w:val="18"/>
              </w:rPr>
            </w:pPr>
          </w:p>
          <w:p>
            <w:pPr>
              <w:pStyle w:val="TableParagraph"/>
              <w:spacing w:line="240" w:lineRule="auto" w:before="9"/>
              <w:ind w:right="0"/>
              <w:jc w:val="left"/>
              <w:rPr>
                <w:rFonts w:ascii="Arial" w:hAnsi="Arial" w:cs="Arial" w:eastAsia="Arial" w:hint="default"/>
                <w:sz w:val="25"/>
                <w:szCs w:val="25"/>
              </w:rPr>
            </w:pPr>
          </w:p>
          <w:p>
            <w:pPr>
              <w:pStyle w:val="TableParagraph"/>
              <w:spacing w:line="240" w:lineRule="auto"/>
              <w:ind w:right="67"/>
              <w:jc w:val="righ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9"/>
                <w:sz w:val="18"/>
                <w:szCs w:val="18"/>
              </w:rPr>
              <w:t> </w:t>
            </w:r>
            <w:r>
              <w:rPr>
                <w:rFonts w:ascii="宋体" w:hAnsi="宋体" w:cs="宋体" w:eastAsia="宋体" w:hint="default"/>
                <w:sz w:val="18"/>
                <w:szCs w:val="18"/>
              </w:rPr>
              <w:t>年</w:t>
            </w:r>
          </w:p>
        </w:tc>
      </w:tr>
      <w:tr>
        <w:trPr>
          <w:trHeight w:val="238" w:hRule="exact"/>
        </w:trPr>
        <w:tc>
          <w:tcPr>
            <w:tcW w:w="2617" w:type="dxa"/>
            <w:tcBorders>
              <w:top w:val="nil" w:sz="6" w:space="0" w:color="auto"/>
              <w:left w:val="nil" w:sz="6" w:space="0" w:color="auto"/>
              <w:bottom w:val="nil" w:sz="6" w:space="0" w:color="auto"/>
              <w:right w:val="nil" w:sz="6" w:space="0" w:color="auto"/>
            </w:tcBorders>
          </w:tcPr>
          <w:p>
            <w:pPr/>
          </w:p>
        </w:tc>
        <w:tc>
          <w:tcPr>
            <w:tcW w:w="1829" w:type="dxa"/>
            <w:tcBorders>
              <w:top w:val="nil" w:sz="6" w:space="0" w:color="auto"/>
              <w:left w:val="nil" w:sz="6" w:space="0" w:color="auto"/>
              <w:bottom w:val="single" w:sz="6" w:space="0" w:color="000000"/>
              <w:right w:val="nil" w:sz="6" w:space="0" w:color="auto"/>
            </w:tcBorders>
          </w:tcPr>
          <w:p>
            <w:pPr>
              <w:pStyle w:val="TableParagraph"/>
              <w:spacing w:line="215" w:lineRule="exact"/>
              <w:ind w:right="160"/>
              <w:jc w:val="right"/>
              <w:rPr>
                <w:rFonts w:ascii="宋体" w:hAnsi="宋体" w:cs="宋体" w:eastAsia="宋体" w:hint="default"/>
                <w:sz w:val="18"/>
                <w:szCs w:val="18"/>
              </w:rPr>
            </w:pP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1551" w:type="dxa"/>
            <w:tcBorders>
              <w:top w:val="nil" w:sz="6" w:space="0" w:color="auto"/>
              <w:left w:val="nil" w:sz="6" w:space="0" w:color="auto"/>
              <w:bottom w:val="single" w:sz="6" w:space="0" w:color="000000"/>
              <w:right w:val="nil" w:sz="6" w:space="0" w:color="auto"/>
            </w:tcBorders>
          </w:tcPr>
          <w:p>
            <w:pPr>
              <w:pStyle w:val="TableParagraph"/>
              <w:spacing w:line="203" w:lineRule="exact"/>
              <w:ind w:left="831"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33" w:type="dxa"/>
            <w:tcBorders>
              <w:top w:val="nil" w:sz="6" w:space="0" w:color="auto"/>
              <w:left w:val="nil" w:sz="6" w:space="0" w:color="auto"/>
              <w:bottom w:val="nil" w:sz="6" w:space="0" w:color="auto"/>
              <w:right w:val="nil" w:sz="6" w:space="0" w:color="auto"/>
            </w:tcBorders>
          </w:tcPr>
          <w:p>
            <w:pPr/>
          </w:p>
        </w:tc>
        <w:tc>
          <w:tcPr>
            <w:tcW w:w="1589" w:type="dxa"/>
            <w:tcBorders>
              <w:top w:val="nil" w:sz="6" w:space="0" w:color="auto"/>
              <w:left w:val="nil" w:sz="6" w:space="0" w:color="auto"/>
              <w:bottom w:val="single" w:sz="6" w:space="0" w:color="000000"/>
              <w:right w:val="nil" w:sz="6" w:space="0" w:color="auto"/>
            </w:tcBorders>
          </w:tcPr>
          <w:p>
            <w:pPr>
              <w:pStyle w:val="TableParagraph"/>
              <w:spacing w:line="203" w:lineRule="exact"/>
              <w:ind w:right="0"/>
              <w:jc w:val="right"/>
              <w:rPr>
                <w:rFonts w:ascii="宋体" w:hAnsi="宋体" w:cs="宋体" w:eastAsia="宋体" w:hint="default"/>
                <w:sz w:val="18"/>
                <w:szCs w:val="18"/>
              </w:rPr>
            </w:pPr>
            <w:r>
              <w:rPr>
                <w:rFonts w:ascii="宋体" w:hAnsi="宋体" w:cs="宋体" w:eastAsia="宋体" w:hint="default"/>
                <w:sz w:val="18"/>
                <w:szCs w:val="18"/>
              </w:rPr>
              <w:t>本年减少</w:t>
            </w:r>
          </w:p>
        </w:tc>
        <w:tc>
          <w:tcPr>
            <w:tcW w:w="119"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single" w:sz="6" w:space="0" w:color="000000"/>
              <w:right w:val="nil" w:sz="6" w:space="0" w:color="auto"/>
            </w:tcBorders>
          </w:tcPr>
          <w:p>
            <w:pPr>
              <w:pStyle w:val="TableParagraph"/>
              <w:spacing w:line="215" w:lineRule="exact"/>
              <w:ind w:right="67"/>
              <w:jc w:val="right"/>
              <w:rPr>
                <w:rFonts w:ascii="宋体" w:hAnsi="宋体" w:cs="宋体" w:eastAsia="宋体" w:hint="default"/>
                <w:sz w:val="18"/>
                <w:szCs w:val="18"/>
              </w:rPr>
            </w:pP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tc>
      </w:tr>
      <w:tr>
        <w:trPr>
          <w:trHeight w:val="240" w:hRule="exact"/>
        </w:trPr>
        <w:tc>
          <w:tcPr>
            <w:tcW w:w="2617" w:type="dxa"/>
            <w:tcBorders>
              <w:top w:val="nil" w:sz="6" w:space="0" w:color="auto"/>
              <w:left w:val="nil" w:sz="6" w:space="0" w:color="auto"/>
              <w:bottom w:val="nil" w:sz="6" w:space="0" w:color="auto"/>
              <w:right w:val="nil" w:sz="6" w:space="0" w:color="auto"/>
            </w:tcBorders>
          </w:tcPr>
          <w:p>
            <w:pPr/>
          </w:p>
        </w:tc>
        <w:tc>
          <w:tcPr>
            <w:tcW w:w="1829" w:type="dxa"/>
            <w:tcBorders>
              <w:top w:val="single" w:sz="6" w:space="0" w:color="000000"/>
              <w:left w:val="nil" w:sz="6" w:space="0" w:color="auto"/>
              <w:bottom w:val="nil" w:sz="6" w:space="0" w:color="auto"/>
              <w:right w:val="nil" w:sz="6" w:space="0" w:color="auto"/>
            </w:tcBorders>
          </w:tcPr>
          <w:p>
            <w:pPr>
              <w:pStyle w:val="TableParagraph"/>
              <w:spacing w:line="207" w:lineRule="exact"/>
              <w:ind w:right="158"/>
              <w:jc w:val="right"/>
              <w:rPr>
                <w:rFonts w:ascii="宋体" w:hAnsi="宋体" w:cs="宋体" w:eastAsia="宋体" w:hint="default"/>
                <w:sz w:val="18"/>
                <w:szCs w:val="18"/>
              </w:rPr>
            </w:pPr>
            <w:r>
              <w:rPr>
                <w:rFonts w:ascii="宋体" w:hAnsi="宋体" w:cs="宋体" w:eastAsia="宋体" w:hint="default"/>
                <w:sz w:val="18"/>
                <w:szCs w:val="18"/>
              </w:rPr>
              <w:t>（经重列）</w:t>
            </w:r>
          </w:p>
        </w:tc>
        <w:tc>
          <w:tcPr>
            <w:tcW w:w="1551" w:type="dxa"/>
            <w:tcBorders>
              <w:top w:val="single" w:sz="6" w:space="0" w:color="000000"/>
              <w:left w:val="nil" w:sz="6" w:space="0" w:color="auto"/>
              <w:bottom w:val="nil" w:sz="6" w:space="0" w:color="auto"/>
              <w:right w:val="nil" w:sz="6" w:space="0" w:color="auto"/>
            </w:tcBorders>
          </w:tcPr>
          <w:p>
            <w:pPr/>
          </w:p>
        </w:tc>
        <w:tc>
          <w:tcPr>
            <w:tcW w:w="133" w:type="dxa"/>
            <w:tcBorders>
              <w:top w:val="nil" w:sz="6" w:space="0" w:color="auto"/>
              <w:left w:val="nil" w:sz="6" w:space="0" w:color="auto"/>
              <w:bottom w:val="nil" w:sz="6" w:space="0" w:color="auto"/>
              <w:right w:val="nil" w:sz="6" w:space="0" w:color="auto"/>
            </w:tcBorders>
          </w:tcPr>
          <w:p>
            <w:pPr/>
          </w:p>
        </w:tc>
        <w:tc>
          <w:tcPr>
            <w:tcW w:w="1589" w:type="dxa"/>
            <w:tcBorders>
              <w:top w:val="single" w:sz="6" w:space="0" w:color="000000"/>
              <w:left w:val="nil" w:sz="6" w:space="0" w:color="auto"/>
              <w:bottom w:val="nil" w:sz="6" w:space="0" w:color="auto"/>
              <w:right w:val="nil" w:sz="6" w:space="0" w:color="auto"/>
            </w:tcBorders>
          </w:tcPr>
          <w:p>
            <w:pPr/>
          </w:p>
        </w:tc>
        <w:tc>
          <w:tcPr>
            <w:tcW w:w="119" w:type="dxa"/>
            <w:tcBorders>
              <w:top w:val="nil" w:sz="6" w:space="0" w:color="auto"/>
              <w:left w:val="nil" w:sz="6" w:space="0" w:color="auto"/>
              <w:bottom w:val="nil" w:sz="6" w:space="0" w:color="auto"/>
              <w:right w:val="nil" w:sz="6" w:space="0" w:color="auto"/>
            </w:tcBorders>
          </w:tcPr>
          <w:p>
            <w:pPr/>
          </w:p>
        </w:tc>
        <w:tc>
          <w:tcPr>
            <w:tcW w:w="1645" w:type="dxa"/>
            <w:tcBorders>
              <w:top w:val="single" w:sz="6" w:space="0" w:color="000000"/>
              <w:left w:val="nil" w:sz="6" w:space="0" w:color="auto"/>
              <w:bottom w:val="nil" w:sz="6" w:space="0" w:color="auto"/>
              <w:right w:val="nil" w:sz="6" w:space="0" w:color="auto"/>
            </w:tcBorders>
          </w:tcPr>
          <w:p>
            <w:pPr/>
          </w:p>
        </w:tc>
      </w:tr>
      <w:tr>
        <w:trPr>
          <w:trHeight w:val="244" w:hRule="exact"/>
        </w:trPr>
        <w:tc>
          <w:tcPr>
            <w:tcW w:w="2617" w:type="dxa"/>
            <w:tcBorders>
              <w:top w:val="nil" w:sz="6" w:space="0" w:color="auto"/>
              <w:left w:val="nil" w:sz="6" w:space="0" w:color="auto"/>
              <w:bottom w:val="nil" w:sz="6" w:space="0" w:color="auto"/>
              <w:right w:val="nil" w:sz="6" w:space="0" w:color="auto"/>
            </w:tcBorders>
          </w:tcPr>
          <w:p>
            <w:pPr>
              <w:pStyle w:val="TableParagraph"/>
              <w:spacing w:line="206" w:lineRule="exact"/>
              <w:ind w:left="511" w:right="0"/>
              <w:jc w:val="left"/>
              <w:rPr>
                <w:rFonts w:ascii="宋体" w:hAnsi="宋体" w:cs="宋体" w:eastAsia="宋体" w:hint="default"/>
                <w:sz w:val="18"/>
                <w:szCs w:val="18"/>
              </w:rPr>
            </w:pPr>
            <w:r>
              <w:rPr>
                <w:rFonts w:ascii="宋体" w:hAnsi="宋体" w:cs="宋体" w:eastAsia="宋体" w:hint="default"/>
                <w:sz w:val="18"/>
                <w:szCs w:val="18"/>
              </w:rPr>
              <w:t>工程设备</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38" w:right="0"/>
              <w:jc w:val="left"/>
              <w:rPr>
                <w:rFonts w:ascii="Arial" w:hAnsi="Arial" w:cs="Arial" w:eastAsia="Arial" w:hint="default"/>
                <w:sz w:val="18"/>
                <w:szCs w:val="18"/>
              </w:rPr>
            </w:pPr>
            <w:r>
              <w:rPr>
                <w:rFonts w:ascii="Arial"/>
                <w:sz w:val="18"/>
              </w:rPr>
              <w:t>4,325,149,866</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60" w:right="0"/>
              <w:jc w:val="left"/>
              <w:rPr>
                <w:rFonts w:ascii="Arial" w:hAnsi="Arial" w:cs="Arial" w:eastAsia="Arial" w:hint="default"/>
                <w:sz w:val="18"/>
                <w:szCs w:val="18"/>
              </w:rPr>
            </w:pPr>
            <w:r>
              <w:rPr>
                <w:rFonts w:ascii="Arial"/>
                <w:sz w:val="18"/>
              </w:rPr>
              <w:t>44,727,143,631</w:t>
            </w:r>
          </w:p>
        </w:tc>
        <w:tc>
          <w:tcPr>
            <w:tcW w:w="133" w:type="dxa"/>
            <w:tcBorders>
              <w:top w:val="nil" w:sz="6" w:space="0" w:color="auto"/>
              <w:left w:val="nil" w:sz="6" w:space="0" w:color="auto"/>
              <w:bottom w:val="nil" w:sz="6" w:space="0" w:color="auto"/>
              <w:right w:val="nil" w:sz="6" w:space="0" w:color="auto"/>
            </w:tcBorders>
          </w:tcPr>
          <w:p>
            <w:pP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5"/>
              <w:jc w:val="right"/>
              <w:rPr>
                <w:rFonts w:ascii="Arial" w:hAnsi="Arial" w:cs="Arial" w:eastAsia="Arial" w:hint="default"/>
                <w:sz w:val="18"/>
                <w:szCs w:val="18"/>
              </w:rPr>
            </w:pPr>
            <w:r>
              <w:rPr>
                <w:rFonts w:ascii="Arial"/>
                <w:spacing w:val="-1"/>
                <w:sz w:val="18"/>
              </w:rPr>
              <w:t>(44,701,377,175)</w:t>
            </w:r>
            <w:r>
              <w:rPr>
                <w:rFonts w:ascii="Arial"/>
                <w:sz w:val="18"/>
              </w:rPr>
            </w:r>
          </w:p>
        </w:tc>
        <w:tc>
          <w:tcPr>
            <w:tcW w:w="119"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68" w:right="0"/>
              <w:jc w:val="left"/>
              <w:rPr>
                <w:rFonts w:ascii="Arial" w:hAnsi="Arial" w:cs="Arial" w:eastAsia="Arial" w:hint="default"/>
                <w:sz w:val="18"/>
                <w:szCs w:val="18"/>
              </w:rPr>
            </w:pPr>
            <w:r>
              <w:rPr>
                <w:rFonts w:ascii="Arial"/>
                <w:sz w:val="18"/>
              </w:rPr>
              <w:t>4,350,916,322</w:t>
            </w:r>
          </w:p>
        </w:tc>
      </w:tr>
      <w:tr>
        <w:trPr>
          <w:trHeight w:val="233" w:hRule="exact"/>
        </w:trPr>
        <w:tc>
          <w:tcPr>
            <w:tcW w:w="2617" w:type="dxa"/>
            <w:tcBorders>
              <w:top w:val="nil" w:sz="6" w:space="0" w:color="auto"/>
              <w:left w:val="nil" w:sz="6" w:space="0" w:color="auto"/>
              <w:bottom w:val="nil" w:sz="6" w:space="0" w:color="auto"/>
              <w:right w:val="nil" w:sz="6" w:space="0" w:color="auto"/>
            </w:tcBorders>
          </w:tcPr>
          <w:p>
            <w:pPr>
              <w:pStyle w:val="TableParagraph"/>
              <w:spacing w:line="195" w:lineRule="exact"/>
              <w:ind w:left="511" w:right="0"/>
              <w:jc w:val="left"/>
              <w:rPr>
                <w:rFonts w:ascii="宋体" w:hAnsi="宋体" w:cs="宋体" w:eastAsia="宋体" w:hint="default"/>
                <w:sz w:val="18"/>
                <w:szCs w:val="18"/>
              </w:rPr>
            </w:pPr>
            <w:r>
              <w:rPr>
                <w:rFonts w:ascii="宋体" w:hAnsi="宋体" w:cs="宋体" w:eastAsia="宋体" w:hint="default"/>
                <w:sz w:val="18"/>
                <w:szCs w:val="18"/>
              </w:rPr>
              <w:t>工程材料</w:t>
            </w:r>
          </w:p>
        </w:tc>
        <w:tc>
          <w:tcPr>
            <w:tcW w:w="182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38"/>
              <w:jc w:val="right"/>
              <w:rPr>
                <w:rFonts w:ascii="Arial" w:hAnsi="Arial" w:cs="Arial" w:eastAsia="Arial" w:hint="default"/>
                <w:sz w:val="18"/>
                <w:szCs w:val="18"/>
              </w:rPr>
            </w:pPr>
            <w:r>
              <w:rPr>
                <w:rFonts w:ascii="Arial"/>
                <w:spacing w:val="-1"/>
                <w:sz w:val="18"/>
              </w:rPr>
              <w:t>712,939,151</w:t>
            </w:r>
          </w:p>
        </w:tc>
        <w:tc>
          <w:tcPr>
            <w:tcW w:w="155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61" w:right="0"/>
              <w:jc w:val="left"/>
              <w:rPr>
                <w:rFonts w:ascii="Arial" w:hAnsi="Arial" w:cs="Arial" w:eastAsia="Arial" w:hint="default"/>
                <w:sz w:val="18"/>
                <w:szCs w:val="18"/>
              </w:rPr>
            </w:pPr>
            <w:r>
              <w:rPr>
                <w:rFonts w:ascii="Arial"/>
                <w:sz w:val="18"/>
              </w:rPr>
              <w:t>13,789,182,639</w:t>
            </w:r>
          </w:p>
        </w:tc>
        <w:tc>
          <w:tcPr>
            <w:tcW w:w="133" w:type="dxa"/>
            <w:tcBorders>
              <w:top w:val="nil" w:sz="6" w:space="0" w:color="auto"/>
              <w:left w:val="nil" w:sz="6" w:space="0" w:color="auto"/>
              <w:bottom w:val="nil" w:sz="6" w:space="0" w:color="auto"/>
              <w:right w:val="nil" w:sz="6" w:space="0" w:color="auto"/>
            </w:tcBorders>
          </w:tcPr>
          <w:p>
            <w:pPr/>
          </w:p>
        </w:tc>
        <w:tc>
          <w:tcPr>
            <w:tcW w:w="1589"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6"/>
              <w:jc w:val="right"/>
              <w:rPr>
                <w:rFonts w:ascii="Arial" w:hAnsi="Arial" w:cs="Arial" w:eastAsia="Arial" w:hint="default"/>
                <w:sz w:val="18"/>
                <w:szCs w:val="18"/>
              </w:rPr>
            </w:pPr>
            <w:r>
              <w:rPr>
                <w:rFonts w:ascii="Arial"/>
                <w:spacing w:val="-1"/>
                <w:sz w:val="18"/>
              </w:rPr>
              <w:t>(12,544,047,906)</w:t>
            </w:r>
            <w:r>
              <w:rPr>
                <w:rFonts w:ascii="Arial"/>
                <w:sz w:val="18"/>
              </w:rPr>
            </w:r>
          </w:p>
        </w:tc>
        <w:tc>
          <w:tcPr>
            <w:tcW w:w="119"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68" w:right="0"/>
              <w:jc w:val="left"/>
              <w:rPr>
                <w:rFonts w:ascii="Arial" w:hAnsi="Arial" w:cs="Arial" w:eastAsia="Arial" w:hint="default"/>
                <w:sz w:val="18"/>
                <w:szCs w:val="18"/>
              </w:rPr>
            </w:pPr>
            <w:r>
              <w:rPr>
                <w:rFonts w:ascii="Arial"/>
                <w:sz w:val="18"/>
              </w:rPr>
              <w:t>1,958,073,884</w:t>
            </w:r>
          </w:p>
        </w:tc>
      </w:tr>
      <w:tr>
        <w:trPr>
          <w:trHeight w:val="241" w:hRule="exact"/>
        </w:trPr>
        <w:tc>
          <w:tcPr>
            <w:tcW w:w="2617" w:type="dxa"/>
            <w:tcBorders>
              <w:top w:val="nil" w:sz="6" w:space="0" w:color="auto"/>
              <w:left w:val="nil" w:sz="6" w:space="0" w:color="auto"/>
              <w:bottom w:val="nil" w:sz="6" w:space="0" w:color="auto"/>
              <w:right w:val="nil" w:sz="6" w:space="0" w:color="auto"/>
            </w:tcBorders>
          </w:tcPr>
          <w:p>
            <w:pPr>
              <w:pStyle w:val="TableParagraph"/>
              <w:spacing w:line="180" w:lineRule="exact"/>
              <w:ind w:right="1203"/>
              <w:jc w:val="right"/>
              <w:rPr>
                <w:rFonts w:ascii="宋体" w:hAnsi="宋体" w:cs="宋体" w:eastAsia="宋体" w:hint="default"/>
                <w:sz w:val="18"/>
                <w:szCs w:val="18"/>
              </w:rPr>
            </w:pPr>
            <w:r>
              <w:rPr>
                <w:rFonts w:ascii="宋体" w:hAnsi="宋体" w:cs="宋体" w:eastAsia="宋体" w:hint="default"/>
                <w:sz w:val="18"/>
                <w:szCs w:val="18"/>
              </w:rPr>
              <w:t>工具及器具</w:t>
            </w:r>
          </w:p>
        </w:tc>
        <w:tc>
          <w:tcPr>
            <w:tcW w:w="3380" w:type="dxa"/>
            <w:gridSpan w:val="2"/>
            <w:tcBorders>
              <w:top w:val="nil" w:sz="6" w:space="0" w:color="auto"/>
              <w:left w:val="nil" w:sz="6" w:space="0" w:color="auto"/>
              <w:bottom w:val="nil" w:sz="6" w:space="0" w:color="auto"/>
              <w:right w:val="nil" w:sz="6" w:space="0" w:color="auto"/>
            </w:tcBorders>
          </w:tcPr>
          <w:p>
            <w:pPr>
              <w:pStyle w:val="TableParagraph"/>
              <w:tabs>
                <w:tab w:pos="789" w:val="left" w:leader="none"/>
                <w:tab w:pos="2241" w:val="left" w:leader="none"/>
                <w:tab w:pos="3373" w:val="left" w:leader="none"/>
              </w:tabs>
              <w:spacing w:line="206" w:lineRule="exact"/>
              <w:ind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3,714,301</w:t>
            </w:r>
            <w:r>
              <w:rPr>
                <w:rFonts w:ascii="Arial"/>
                <w:spacing w:val="-1"/>
                <w:sz w:val="18"/>
              </w:rPr>
            </w:r>
            <w:r>
              <w:rPr>
                <w:rFonts w:ascii="Arial"/>
                <w:spacing w:val="-1"/>
                <w:sz w:val="18"/>
                <w:u w:val="single" w:color="000000"/>
              </w:rPr>
              <w:t> </w:t>
              <w:tab/>
              <w:t>154,565,015</w:t>
              <w:tab/>
            </w:r>
            <w:r>
              <w:rPr>
                <w:rFonts w:ascii="Arial"/>
                <w:spacing w:val="-1"/>
                <w:sz w:val="18"/>
              </w:rPr>
            </w:r>
          </w:p>
        </w:tc>
        <w:tc>
          <w:tcPr>
            <w:tcW w:w="1722" w:type="dxa"/>
            <w:gridSpan w:val="2"/>
            <w:tcBorders>
              <w:top w:val="nil" w:sz="6" w:space="0" w:color="auto"/>
              <w:left w:val="nil" w:sz="6" w:space="0" w:color="auto"/>
              <w:bottom w:val="nil" w:sz="6" w:space="0" w:color="auto"/>
              <w:right w:val="nil" w:sz="6" w:space="0" w:color="auto"/>
            </w:tcBorders>
          </w:tcPr>
          <w:p>
            <w:pPr>
              <w:pStyle w:val="TableParagraph"/>
              <w:tabs>
                <w:tab w:pos="564" w:val="left" w:leader="none"/>
              </w:tabs>
              <w:spacing w:line="206" w:lineRule="exact"/>
              <w:ind w:left="133"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(156,805,344)</w:t>
            </w:r>
            <w:r>
              <w:rPr>
                <w:rFonts w:ascii="Arial"/>
                <w:sz w:val="18"/>
              </w:rPr>
            </w:r>
          </w:p>
        </w:tc>
        <w:tc>
          <w:tcPr>
            <w:tcW w:w="1764" w:type="dxa"/>
            <w:gridSpan w:val="2"/>
            <w:tcBorders>
              <w:top w:val="nil" w:sz="6" w:space="0" w:color="auto"/>
              <w:left w:val="nil" w:sz="6" w:space="0" w:color="auto"/>
              <w:bottom w:val="nil" w:sz="6" w:space="0" w:color="auto"/>
              <w:right w:val="nil" w:sz="6" w:space="0" w:color="auto"/>
            </w:tcBorders>
          </w:tcPr>
          <w:p>
            <w:pPr>
              <w:pStyle w:val="TableParagraph"/>
              <w:tabs>
                <w:tab w:pos="839" w:val="left" w:leader="none"/>
                <w:tab w:pos="1728" w:val="left" w:leader="none"/>
              </w:tabs>
              <w:spacing w:line="206" w:lineRule="exact"/>
              <w:ind w:left="118"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1,473,972</w:t>
              <w:tab/>
            </w:r>
            <w:r>
              <w:rPr>
                <w:rFonts w:ascii="Arial"/>
                <w:sz w:val="18"/>
              </w:rPr>
            </w:r>
          </w:p>
        </w:tc>
      </w:tr>
      <w:tr>
        <w:trPr>
          <w:trHeight w:val="325" w:hRule="exact"/>
        </w:trPr>
        <w:tc>
          <w:tcPr>
            <w:tcW w:w="2617" w:type="dxa"/>
            <w:tcBorders>
              <w:top w:val="nil" w:sz="6" w:space="0" w:color="auto"/>
              <w:left w:val="nil" w:sz="6" w:space="0" w:color="auto"/>
              <w:bottom w:val="nil" w:sz="6" w:space="0" w:color="auto"/>
              <w:right w:val="nil" w:sz="6" w:space="0" w:color="auto"/>
            </w:tcBorders>
          </w:tcPr>
          <w:p>
            <w:pPr>
              <w:pStyle w:val="TableParagraph"/>
              <w:spacing w:line="203" w:lineRule="exact"/>
              <w:ind w:left="511"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3380" w:type="dxa"/>
            <w:gridSpan w:val="2"/>
            <w:tcBorders>
              <w:top w:val="nil" w:sz="6" w:space="0" w:color="auto"/>
              <w:left w:val="nil" w:sz="6" w:space="0" w:color="auto"/>
              <w:bottom w:val="nil" w:sz="6" w:space="0" w:color="auto"/>
              <w:right w:val="nil" w:sz="6" w:space="0" w:color="auto"/>
            </w:tcBorders>
          </w:tcPr>
          <w:p>
            <w:pPr>
              <w:pStyle w:val="TableParagraph"/>
              <w:tabs>
                <w:tab w:pos="1990" w:val="left" w:leader="none"/>
              </w:tabs>
              <w:spacing w:line="240" w:lineRule="auto" w:before="22"/>
              <w:ind w:left="438" w:right="0"/>
              <w:jc w:val="left"/>
              <w:rPr>
                <w:rFonts w:ascii="Arial" w:hAnsi="Arial" w:cs="Arial" w:eastAsia="Arial" w:hint="default"/>
                <w:sz w:val="18"/>
                <w:szCs w:val="18"/>
              </w:rPr>
            </w:pPr>
            <w:r>
              <w:rPr>
                <w:rFonts w:ascii="Arial"/>
                <w:spacing w:val="-1"/>
                <w:sz w:val="18"/>
              </w:rPr>
              <w:t>5,041,803,318</w:t>
              <w:tab/>
              <w:t>58,670,891,285</w:t>
            </w:r>
          </w:p>
        </w:tc>
        <w:tc>
          <w:tcPr>
            <w:tcW w:w="1722"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2"/>
              <w:ind w:left="314" w:right="0"/>
              <w:jc w:val="left"/>
              <w:rPr>
                <w:rFonts w:ascii="Arial" w:hAnsi="Arial" w:cs="Arial" w:eastAsia="Arial" w:hint="default"/>
                <w:sz w:val="18"/>
                <w:szCs w:val="18"/>
              </w:rPr>
            </w:pPr>
            <w:r>
              <w:rPr>
                <w:rFonts w:ascii="Arial"/>
                <w:sz w:val="18"/>
              </w:rPr>
              <w:t>(57,402,230,425)</w:t>
            </w:r>
          </w:p>
        </w:tc>
        <w:tc>
          <w:tcPr>
            <w:tcW w:w="176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2"/>
              <w:ind w:left="487" w:right="0"/>
              <w:jc w:val="left"/>
              <w:rPr>
                <w:rFonts w:ascii="Arial" w:hAnsi="Arial" w:cs="Arial" w:eastAsia="Arial" w:hint="default"/>
                <w:sz w:val="18"/>
                <w:szCs w:val="18"/>
              </w:rPr>
            </w:pPr>
            <w:r>
              <w:rPr>
                <w:rFonts w:ascii="Arial"/>
                <w:sz w:val="18"/>
              </w:rPr>
              <w:t>6,310,464,178</w:t>
            </w:r>
          </w:p>
        </w:tc>
      </w:tr>
    </w:tbl>
    <w:p>
      <w:pPr>
        <w:tabs>
          <w:tab w:pos="2724" w:val="left" w:leader="none"/>
          <w:tab w:pos="3353" w:val="left" w:leader="none"/>
          <w:tab w:pos="5904" w:val="left" w:leader="none"/>
          <w:tab w:pos="7079" w:val="left" w:leader="none"/>
          <w:tab w:pos="8505" w:val="left" w:leader="none"/>
        </w:tabs>
        <w:spacing w:before="86"/>
        <w:ind w:left="618" w:right="125" w:firstLine="0"/>
        <w:jc w:val="left"/>
        <w:rPr>
          <w:rFonts w:ascii="Arial" w:hAnsi="Arial" w:cs="Arial" w:eastAsia="Arial" w:hint="default"/>
          <w:sz w:val="18"/>
          <w:szCs w:val="18"/>
        </w:rPr>
      </w:pPr>
      <w:r>
        <w:rPr>
          <w:rFonts w:ascii="宋体" w:hAnsi="宋体" w:cs="宋体" w:eastAsia="宋体" w:hint="default"/>
          <w:position w:val="1"/>
          <w:sz w:val="18"/>
          <w:szCs w:val="18"/>
        </w:rPr>
        <w:t>工程物资减值准备</w:t>
        <w:tab/>
      </w:r>
      <w:r>
        <w:rPr>
          <w:rFonts w:ascii="Arial" w:hAnsi="Arial" w:cs="Arial" w:eastAsia="Arial" w:hint="default"/>
          <w:sz w:val="18"/>
          <w:szCs w:val="18"/>
        </w:rPr>
      </w:r>
      <w:r>
        <w:rPr>
          <w:rFonts w:ascii="Arial" w:hAnsi="Arial" w:cs="Arial" w:eastAsia="Arial" w:hint="default"/>
          <w:sz w:val="18"/>
          <w:szCs w:val="18"/>
          <w:u w:val="single" w:color="000000"/>
        </w:rPr>
        <w:t> </w:t>
        <w:tab/>
      </w:r>
      <w:r>
        <w:rPr>
          <w:rFonts w:ascii="Arial" w:hAnsi="Arial" w:cs="Arial" w:eastAsia="Arial" w:hint="default"/>
          <w:spacing w:val="-1"/>
          <w:sz w:val="18"/>
          <w:szCs w:val="18"/>
          <w:u w:val="single" w:color="000000"/>
        </w:rPr>
        <w:t>(19,284,123)</w:t>
      </w:r>
      <w:r>
        <w:rPr>
          <w:rFonts w:ascii="Arial" w:hAnsi="Arial" w:cs="Arial" w:eastAsia="Arial" w:hint="default"/>
          <w:spacing w:val="-1"/>
          <w:sz w:val="18"/>
          <w:szCs w:val="18"/>
        </w:rPr>
      </w:r>
      <w:r>
        <w:rPr>
          <w:rFonts w:ascii="Arial" w:hAnsi="Arial" w:cs="Arial" w:eastAsia="Arial" w:hint="default"/>
          <w:spacing w:val="-1"/>
          <w:sz w:val="18"/>
          <w:szCs w:val="18"/>
          <w:u w:val="single" w:color="000000"/>
        </w:rPr>
        <w:t> </w:t>
        <w:tab/>
      </w:r>
      <w:r>
        <w:rPr>
          <w:rFonts w:ascii="Arial" w:hAnsi="Arial" w:cs="Arial" w:eastAsia="Arial" w:hint="default"/>
          <w:sz w:val="18"/>
          <w:szCs w:val="18"/>
          <w:u w:val="single" w:color="000000"/>
        </w:rPr>
        <w:t>-</w:t>
      </w:r>
      <w:r>
        <w:rPr>
          <w:rFonts w:ascii="Arial" w:hAnsi="Arial" w:cs="Arial" w:eastAsia="Arial" w:hint="default"/>
          <w:sz w:val="18"/>
          <w:szCs w:val="18"/>
        </w:rPr>
      </w:r>
      <w:r>
        <w:rPr>
          <w:rFonts w:ascii="Arial" w:hAnsi="Arial" w:cs="Arial" w:eastAsia="Arial" w:hint="default"/>
          <w:sz w:val="18"/>
          <w:szCs w:val="18"/>
          <w:u w:val="single" w:color="000000"/>
        </w:rPr>
        <w:t> </w:t>
        <w:tab/>
      </w:r>
      <w:r>
        <w:rPr>
          <w:rFonts w:ascii="Arial" w:hAnsi="Arial" w:cs="Arial" w:eastAsia="Arial" w:hint="default"/>
          <w:spacing w:val="-1"/>
          <w:sz w:val="18"/>
          <w:szCs w:val="18"/>
          <w:u w:val="single" w:color="000000"/>
        </w:rPr>
        <w:t>604,759</w:t>
      </w:r>
      <w:r>
        <w:rPr>
          <w:rFonts w:ascii="Arial" w:hAnsi="Arial" w:cs="Arial" w:eastAsia="Arial" w:hint="default"/>
          <w:spacing w:val="-1"/>
          <w:sz w:val="18"/>
          <w:szCs w:val="18"/>
        </w:rPr>
      </w:r>
      <w:r>
        <w:rPr>
          <w:rFonts w:ascii="Arial" w:hAnsi="Arial" w:cs="Arial" w:eastAsia="Arial" w:hint="default"/>
          <w:spacing w:val="-1"/>
          <w:sz w:val="18"/>
          <w:szCs w:val="18"/>
          <w:u w:val="single" w:color="000000"/>
        </w:rPr>
        <w:t> </w:t>
        <w:tab/>
        <w:t>(18,679,364)</w:t>
      </w:r>
      <w:r>
        <w:rPr>
          <w:rFonts w:ascii="Arial" w:hAnsi="Arial" w:cs="Arial" w:eastAsia="Arial" w:hint="default"/>
          <w:spacing w:val="-1"/>
          <w:sz w:val="18"/>
          <w:szCs w:val="18"/>
        </w:rPr>
      </w:r>
      <w:r>
        <w:rPr>
          <w:rFonts w:ascii="Arial" w:hAnsi="Arial" w:cs="Arial" w:eastAsia="Arial" w:hint="default"/>
          <w:sz w:val="18"/>
          <w:szCs w:val="18"/>
        </w:rPr>
      </w:r>
    </w:p>
    <w:p>
      <w:pPr>
        <w:spacing w:line="240" w:lineRule="auto" w:before="1"/>
        <w:rPr>
          <w:rFonts w:ascii="Arial" w:hAnsi="Arial" w:cs="Arial" w:eastAsia="Arial" w:hint="default"/>
          <w:sz w:val="13"/>
          <w:szCs w:val="13"/>
        </w:rPr>
      </w:pPr>
    </w:p>
    <w:p>
      <w:pPr>
        <w:tabs>
          <w:tab w:pos="3162" w:val="left" w:leader="none"/>
          <w:tab w:pos="8314" w:val="left" w:leader="none"/>
        </w:tabs>
        <w:spacing w:before="47"/>
        <w:ind w:left="618" w:right="125" w:firstLine="0"/>
        <w:jc w:val="left"/>
        <w:rPr>
          <w:rFonts w:ascii="Arial" w:hAnsi="Arial" w:cs="Arial" w:eastAsia="Arial" w:hint="default"/>
          <w:sz w:val="18"/>
          <w:szCs w:val="18"/>
        </w:rPr>
      </w:pPr>
      <w:r>
        <w:rPr>
          <w:rFonts w:ascii="宋体" w:hAnsi="宋体" w:cs="宋体" w:eastAsia="宋体" w:hint="default"/>
          <w:position w:val="1"/>
          <w:sz w:val="18"/>
          <w:szCs w:val="18"/>
        </w:rPr>
        <w:t>工程物资合计</w:t>
        <w:tab/>
      </w:r>
      <w:r>
        <w:rPr>
          <w:rFonts w:ascii="Arial" w:hAnsi="Arial" w:cs="Arial" w:eastAsia="Arial" w:hint="default"/>
          <w:spacing w:val="-1"/>
          <w:sz w:val="18"/>
          <w:szCs w:val="18"/>
        </w:rPr>
        <w:t>5,022,519,195</w:t>
        <w:tab/>
        <w:t>6,291,784,814</w:t>
      </w:r>
    </w:p>
    <w:p>
      <w:pPr>
        <w:tabs>
          <w:tab w:pos="7931" w:val="left" w:leader="none"/>
        </w:tabs>
        <w:spacing w:line="43" w:lineRule="exact"/>
        <w:ind w:left="2710" w:right="0" w:firstLine="0"/>
        <w:rPr>
          <w:rFonts w:ascii="Arial" w:hAnsi="Arial" w:cs="Arial" w:eastAsia="Arial" w:hint="default"/>
          <w:sz w:val="4"/>
          <w:szCs w:val="4"/>
        </w:rPr>
      </w:pPr>
      <w:r>
        <w:rPr>
          <w:rFonts w:ascii="Arial"/>
          <w:position w:val="0"/>
          <w:sz w:val="4"/>
        </w:rPr>
        <w:pict>
          <v:group style="width:86.9pt;height:2.2pt;mso-position-horizontal-relative:char;mso-position-vertical-relative:line" coordorigin="0,0" coordsize="1738,44">
            <v:group style="position:absolute;left:7;top:36;width:1724;height:2" coordorigin="7,36" coordsize="1724,2">
              <v:shape style="position:absolute;left:7;top:36;width:1724;height:2" coordorigin="7,36" coordsize="1724,0" path="m7,36l1730,36e" filled="false" stroked="true" strokeweight=".72pt" strokecolor="#000000">
                <v:path arrowok="t"/>
              </v:shape>
            </v:group>
            <v:group style="position:absolute;left:7;top:7;width:1724;height:2" coordorigin="7,7" coordsize="1724,2">
              <v:shape style="position:absolute;left:7;top:7;width:1724;height:2" coordorigin="7,7" coordsize="1724,0" path="m7,7l1730,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82pt;height:2.2pt;mso-position-horizontal-relative:char;mso-position-vertical-relative:line" coordorigin="0,0" coordsize="1640,44">
            <v:group style="position:absolute;left:7;top:36;width:1625;height:2" coordorigin="7,36" coordsize="1625,2">
              <v:shape style="position:absolute;left:7;top:36;width:1625;height:2" coordorigin="7,36" coordsize="1625,0" path="m7,36l1632,36e" filled="false" stroked="true" strokeweight=".72pt" strokecolor="#000000">
                <v:path arrowok="t"/>
              </v:shape>
            </v:group>
            <v:group style="position:absolute;left:7;top:7;width:1625;height:2" coordorigin="7,7" coordsize="1625,2">
              <v:shape style="position:absolute;left:7;top:7;width:1625;height:2" coordorigin="7,7" coordsize="1625,0" path="m7,7l1632,7e" filled="false" stroked="true" strokeweight=".72pt" strokecolor="#000000">
                <v:path arrowok="t"/>
              </v:shape>
            </v:group>
          </v:group>
        </w:pict>
      </w:r>
      <w:r>
        <w:rPr>
          <w:rFonts w:ascii="Arial"/>
          <w:position w:val="0"/>
          <w:sz w:val="4"/>
        </w:rPr>
      </w:r>
    </w:p>
    <w:p>
      <w:pPr>
        <w:spacing w:line="240" w:lineRule="auto" w:before="1"/>
        <w:rPr>
          <w:rFonts w:ascii="Arial" w:hAnsi="Arial" w:cs="Arial" w:eastAsia="Arial" w:hint="default"/>
          <w:sz w:val="10"/>
          <w:szCs w:val="10"/>
        </w:rPr>
      </w:pPr>
    </w:p>
    <w:p>
      <w:pPr>
        <w:pStyle w:val="BodyText"/>
        <w:spacing w:line="284" w:lineRule="exact" w:before="61"/>
        <w:ind w:left="590" w:right="0"/>
        <w:jc w:val="left"/>
      </w:pPr>
      <w:r>
        <w:rPr/>
        <w:t>工程物资减值准备的本年减少是由于部分工程物资因处置而转出相应在以前年度已计提的减值</w:t>
      </w:r>
      <w:r>
        <w:rPr>
          <w:spacing w:val="-71"/>
        </w:rPr>
        <w:t> </w:t>
      </w:r>
      <w:r>
        <w:rPr>
          <w:spacing w:val="-71"/>
        </w:rPr>
      </w:r>
      <w:r>
        <w:rPr/>
        <w:t>准备。</w:t>
      </w:r>
    </w:p>
    <w:p>
      <w:pPr>
        <w:spacing w:line="240" w:lineRule="auto" w:before="2"/>
        <w:rPr>
          <w:rFonts w:ascii="宋体" w:hAnsi="宋体" w:cs="宋体" w:eastAsia="宋体" w:hint="default"/>
          <w:sz w:val="9"/>
          <w:szCs w:val="9"/>
        </w:rPr>
      </w:pPr>
    </w:p>
    <w:tbl>
      <w:tblPr>
        <w:tblW w:w="0" w:type="auto"/>
        <w:jc w:val="left"/>
        <w:tblInd w:w="107" w:type="dxa"/>
        <w:tblLayout w:type="fixed"/>
        <w:tblCellMar>
          <w:top w:w="0" w:type="dxa"/>
          <w:left w:w="0" w:type="dxa"/>
          <w:bottom w:w="0" w:type="dxa"/>
          <w:right w:w="0" w:type="dxa"/>
        </w:tblCellMar>
        <w:tblLook w:val="01E0"/>
      </w:tblPr>
      <w:tblGrid>
        <w:gridCol w:w="2597"/>
        <w:gridCol w:w="1775"/>
        <w:gridCol w:w="1686"/>
        <w:gridCol w:w="1788"/>
        <w:gridCol w:w="1698"/>
      </w:tblGrid>
      <w:tr>
        <w:trPr>
          <w:trHeight w:val="770"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黑体" w:hAnsi="黑体" w:cs="黑体" w:eastAsia="黑体" w:hint="default"/>
                <w:sz w:val="22"/>
                <w:szCs w:val="22"/>
              </w:rPr>
            </w:pPr>
            <w:r>
              <w:rPr>
                <w:rFonts w:ascii="Arial" w:hAnsi="Arial" w:cs="Arial" w:eastAsia="Arial" w:hint="default"/>
                <w:sz w:val="22"/>
                <w:szCs w:val="22"/>
              </w:rPr>
              <w:t>12</w:t>
            </w:r>
            <w:r>
              <w:rPr>
                <w:rFonts w:ascii="黑体" w:hAnsi="黑体" w:cs="黑体" w:eastAsia="黑体" w:hint="default"/>
                <w:sz w:val="22"/>
                <w:szCs w:val="22"/>
              </w:rPr>
              <w:t>、无形资产</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21"/>
              <w:jc w:val="righ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9"/>
                <w:sz w:val="18"/>
                <w:szCs w:val="18"/>
              </w:rPr>
              <w:t> </w:t>
            </w:r>
            <w:r>
              <w:rPr>
                <w:rFonts w:ascii="宋体" w:hAnsi="宋体" w:cs="宋体" w:eastAsia="宋体" w:hint="default"/>
                <w:sz w:val="18"/>
                <w:szCs w:val="18"/>
              </w:rPr>
              <w:t>年</w:t>
            </w:r>
          </w:p>
        </w:tc>
        <w:tc>
          <w:tcPr>
            <w:tcW w:w="1686"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33"/>
              <w:jc w:val="righ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9"/>
                <w:sz w:val="18"/>
                <w:szCs w:val="18"/>
              </w:rPr>
              <w:t> </w:t>
            </w:r>
            <w:r>
              <w:rPr>
                <w:rFonts w:ascii="宋体" w:hAnsi="宋体" w:cs="宋体" w:eastAsia="宋体" w:hint="default"/>
                <w:sz w:val="18"/>
                <w:szCs w:val="18"/>
              </w:rPr>
              <w:t>年</w:t>
            </w:r>
          </w:p>
        </w:tc>
      </w:tr>
      <w:tr>
        <w:trPr>
          <w:trHeight w:val="238" w:hRule="exact"/>
        </w:trPr>
        <w:tc>
          <w:tcPr>
            <w:tcW w:w="2597" w:type="dxa"/>
            <w:tcBorders>
              <w:top w:val="nil" w:sz="6" w:space="0" w:color="auto"/>
              <w:left w:val="nil" w:sz="6" w:space="0" w:color="auto"/>
              <w:bottom w:val="nil" w:sz="6" w:space="0" w:color="auto"/>
              <w:right w:val="nil" w:sz="6" w:space="0" w:color="auto"/>
            </w:tcBorders>
          </w:tcPr>
          <w:p>
            <w:pPr/>
          </w:p>
        </w:tc>
        <w:tc>
          <w:tcPr>
            <w:tcW w:w="1775" w:type="dxa"/>
            <w:tcBorders>
              <w:top w:val="nil" w:sz="6" w:space="0" w:color="auto"/>
              <w:left w:val="nil" w:sz="6" w:space="0" w:color="auto"/>
              <w:bottom w:val="single" w:sz="6" w:space="0" w:color="000000"/>
              <w:right w:val="nil" w:sz="6" w:space="0" w:color="auto"/>
            </w:tcBorders>
          </w:tcPr>
          <w:p>
            <w:pPr>
              <w:pStyle w:val="TableParagraph"/>
              <w:spacing w:line="215" w:lineRule="exact"/>
              <w:ind w:right="21"/>
              <w:jc w:val="right"/>
              <w:rPr>
                <w:rFonts w:ascii="宋体" w:hAnsi="宋体" w:cs="宋体" w:eastAsia="宋体" w:hint="default"/>
                <w:sz w:val="18"/>
                <w:szCs w:val="18"/>
              </w:rPr>
            </w:pP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1686" w:type="dxa"/>
            <w:tcBorders>
              <w:top w:val="nil" w:sz="6" w:space="0" w:color="auto"/>
              <w:left w:val="nil" w:sz="6" w:space="0" w:color="auto"/>
              <w:bottom w:val="single" w:sz="6" w:space="0" w:color="000000"/>
              <w:right w:val="nil" w:sz="6" w:space="0" w:color="auto"/>
            </w:tcBorders>
          </w:tcPr>
          <w:p>
            <w:pPr>
              <w:pStyle w:val="TableParagraph"/>
              <w:spacing w:line="203" w:lineRule="exact"/>
              <w:ind w:right="71"/>
              <w:jc w:val="right"/>
              <w:rPr>
                <w:rFonts w:ascii="宋体" w:hAnsi="宋体" w:cs="宋体" w:eastAsia="宋体" w:hint="default"/>
                <w:sz w:val="18"/>
                <w:szCs w:val="18"/>
              </w:rPr>
            </w:pPr>
            <w:r>
              <w:rPr>
                <w:rFonts w:ascii="宋体" w:hAnsi="宋体" w:cs="宋体" w:eastAsia="宋体" w:hint="default"/>
                <w:sz w:val="18"/>
                <w:szCs w:val="18"/>
              </w:rPr>
              <w:t>本年增加</w:t>
            </w:r>
          </w:p>
        </w:tc>
        <w:tc>
          <w:tcPr>
            <w:tcW w:w="1788" w:type="dxa"/>
            <w:tcBorders>
              <w:top w:val="nil" w:sz="6" w:space="0" w:color="auto"/>
              <w:left w:val="nil" w:sz="6" w:space="0" w:color="auto"/>
              <w:bottom w:val="single" w:sz="6" w:space="0" w:color="000000"/>
              <w:right w:val="nil" w:sz="6" w:space="0" w:color="auto"/>
            </w:tcBorders>
          </w:tcPr>
          <w:p>
            <w:pPr>
              <w:pStyle w:val="TableParagraph"/>
              <w:spacing w:line="203" w:lineRule="exact"/>
              <w:ind w:right="67"/>
              <w:jc w:val="right"/>
              <w:rPr>
                <w:rFonts w:ascii="宋体" w:hAnsi="宋体" w:cs="宋体" w:eastAsia="宋体" w:hint="default"/>
                <w:sz w:val="18"/>
                <w:szCs w:val="18"/>
              </w:rPr>
            </w:pPr>
            <w:r>
              <w:rPr>
                <w:rFonts w:ascii="宋体" w:hAnsi="宋体" w:cs="宋体" w:eastAsia="宋体" w:hint="default"/>
                <w:sz w:val="18"/>
                <w:szCs w:val="18"/>
              </w:rPr>
              <w:t>本年减少</w:t>
            </w:r>
          </w:p>
        </w:tc>
        <w:tc>
          <w:tcPr>
            <w:tcW w:w="1698" w:type="dxa"/>
            <w:tcBorders>
              <w:top w:val="nil" w:sz="6" w:space="0" w:color="auto"/>
              <w:left w:val="nil" w:sz="6" w:space="0" w:color="auto"/>
              <w:bottom w:val="single" w:sz="6" w:space="0" w:color="000000"/>
              <w:right w:val="nil" w:sz="6" w:space="0" w:color="auto"/>
            </w:tcBorders>
          </w:tcPr>
          <w:p>
            <w:pPr>
              <w:pStyle w:val="TableParagraph"/>
              <w:spacing w:line="215" w:lineRule="exact"/>
              <w:ind w:right="33"/>
              <w:jc w:val="right"/>
              <w:rPr>
                <w:rFonts w:ascii="宋体" w:hAnsi="宋体" w:cs="宋体" w:eastAsia="宋体" w:hint="default"/>
                <w:sz w:val="18"/>
                <w:szCs w:val="18"/>
              </w:rPr>
            </w:pP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tc>
      </w:tr>
      <w:tr>
        <w:trPr>
          <w:trHeight w:val="240" w:hRule="exact"/>
        </w:trPr>
        <w:tc>
          <w:tcPr>
            <w:tcW w:w="2597" w:type="dxa"/>
            <w:tcBorders>
              <w:top w:val="nil" w:sz="6" w:space="0" w:color="auto"/>
              <w:left w:val="nil" w:sz="6" w:space="0" w:color="auto"/>
              <w:bottom w:val="nil" w:sz="6" w:space="0" w:color="auto"/>
              <w:right w:val="nil" w:sz="6" w:space="0" w:color="auto"/>
            </w:tcBorders>
          </w:tcPr>
          <w:p>
            <w:pPr/>
          </w:p>
        </w:tc>
        <w:tc>
          <w:tcPr>
            <w:tcW w:w="1775" w:type="dxa"/>
            <w:tcBorders>
              <w:top w:val="single" w:sz="6" w:space="0" w:color="000000"/>
              <w:left w:val="nil" w:sz="6" w:space="0" w:color="auto"/>
              <w:bottom w:val="nil" w:sz="6" w:space="0" w:color="auto"/>
              <w:right w:val="nil" w:sz="6" w:space="0" w:color="auto"/>
            </w:tcBorders>
          </w:tcPr>
          <w:p>
            <w:pPr>
              <w:pStyle w:val="TableParagraph"/>
              <w:spacing w:line="207" w:lineRule="exact"/>
              <w:ind w:right="21"/>
              <w:jc w:val="right"/>
              <w:rPr>
                <w:rFonts w:ascii="宋体" w:hAnsi="宋体" w:cs="宋体" w:eastAsia="宋体" w:hint="default"/>
                <w:sz w:val="18"/>
                <w:szCs w:val="18"/>
              </w:rPr>
            </w:pPr>
            <w:r>
              <w:rPr>
                <w:rFonts w:ascii="宋体" w:hAnsi="宋体" w:cs="宋体" w:eastAsia="宋体" w:hint="default"/>
                <w:sz w:val="18"/>
                <w:szCs w:val="18"/>
              </w:rPr>
              <w:t>（经重列）</w:t>
            </w:r>
          </w:p>
        </w:tc>
        <w:tc>
          <w:tcPr>
            <w:tcW w:w="1686" w:type="dxa"/>
            <w:tcBorders>
              <w:top w:val="single" w:sz="6" w:space="0" w:color="000000"/>
              <w:left w:val="nil" w:sz="6" w:space="0" w:color="auto"/>
              <w:bottom w:val="nil" w:sz="6" w:space="0" w:color="auto"/>
              <w:right w:val="nil" w:sz="6" w:space="0" w:color="auto"/>
            </w:tcBorders>
          </w:tcPr>
          <w:p>
            <w:pPr/>
          </w:p>
        </w:tc>
        <w:tc>
          <w:tcPr>
            <w:tcW w:w="1788" w:type="dxa"/>
            <w:tcBorders>
              <w:top w:val="single" w:sz="6" w:space="0" w:color="000000"/>
              <w:left w:val="nil" w:sz="6" w:space="0" w:color="auto"/>
              <w:bottom w:val="nil" w:sz="6" w:space="0" w:color="auto"/>
              <w:right w:val="nil" w:sz="6" w:space="0" w:color="auto"/>
            </w:tcBorders>
          </w:tcPr>
          <w:p>
            <w:pPr/>
          </w:p>
        </w:tc>
        <w:tc>
          <w:tcPr>
            <w:tcW w:w="1698" w:type="dxa"/>
            <w:tcBorders>
              <w:top w:val="single" w:sz="6" w:space="0" w:color="000000"/>
              <w:left w:val="nil" w:sz="6" w:space="0" w:color="auto"/>
              <w:bottom w:val="nil" w:sz="6" w:space="0" w:color="auto"/>
              <w:right w:val="nil" w:sz="6" w:space="0" w:color="auto"/>
            </w:tcBorders>
          </w:tcPr>
          <w:p>
            <w:pPr/>
          </w:p>
        </w:tc>
      </w:tr>
      <w:tr>
        <w:trPr>
          <w:trHeight w:val="233"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06" w:lineRule="exact"/>
              <w:ind w:left="494" w:right="0"/>
              <w:jc w:val="left"/>
              <w:rPr>
                <w:rFonts w:ascii="宋体" w:hAnsi="宋体" w:cs="宋体" w:eastAsia="宋体" w:hint="default"/>
                <w:sz w:val="18"/>
                <w:szCs w:val="18"/>
              </w:rPr>
            </w:pPr>
            <w:r>
              <w:rPr>
                <w:rFonts w:ascii="宋体" w:hAnsi="宋体" w:cs="宋体" w:eastAsia="宋体" w:hint="default"/>
                <w:sz w:val="18"/>
                <w:szCs w:val="18"/>
              </w:rPr>
              <w:t>原价</w:t>
            </w:r>
          </w:p>
        </w:tc>
        <w:tc>
          <w:tcPr>
            <w:tcW w:w="1775"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
        </w:tc>
      </w:tr>
      <w:tr>
        <w:trPr>
          <w:trHeight w:val="244"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06" w:lineRule="exact"/>
              <w:ind w:left="676"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59" w:right="0"/>
              <w:jc w:val="left"/>
              <w:rPr>
                <w:rFonts w:ascii="Arial" w:hAnsi="Arial" w:cs="Arial" w:eastAsia="Arial" w:hint="default"/>
                <w:sz w:val="18"/>
                <w:szCs w:val="18"/>
              </w:rPr>
            </w:pPr>
            <w:r>
              <w:rPr>
                <w:rFonts w:ascii="Arial"/>
                <w:sz w:val="18"/>
              </w:rPr>
              <w:t>17,191,382,440</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86" w:right="0"/>
              <w:jc w:val="left"/>
              <w:rPr>
                <w:rFonts w:ascii="Arial" w:hAnsi="Arial" w:cs="Arial" w:eastAsia="Arial" w:hint="default"/>
                <w:sz w:val="18"/>
                <w:szCs w:val="18"/>
              </w:rPr>
            </w:pPr>
            <w:r>
              <w:rPr>
                <w:rFonts w:ascii="Arial"/>
                <w:sz w:val="18"/>
              </w:rPr>
              <w:t>107,239,598</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602" w:right="0"/>
              <w:jc w:val="left"/>
              <w:rPr>
                <w:rFonts w:ascii="Arial" w:hAnsi="Arial" w:cs="Arial" w:eastAsia="Arial" w:hint="default"/>
                <w:sz w:val="18"/>
                <w:szCs w:val="18"/>
              </w:rPr>
            </w:pPr>
            <w:r>
              <w:rPr>
                <w:rFonts w:ascii="Arial"/>
                <w:sz w:val="18"/>
              </w:rPr>
              <w:t>(99,602,984)</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89" w:right="0"/>
              <w:jc w:val="left"/>
              <w:rPr>
                <w:rFonts w:ascii="Arial" w:hAnsi="Arial" w:cs="Arial" w:eastAsia="Arial" w:hint="default"/>
                <w:sz w:val="18"/>
                <w:szCs w:val="18"/>
              </w:rPr>
            </w:pPr>
            <w:r>
              <w:rPr>
                <w:rFonts w:ascii="Arial"/>
                <w:sz w:val="18"/>
              </w:rPr>
              <w:t>17,199,019,054</w:t>
            </w:r>
          </w:p>
        </w:tc>
      </w:tr>
      <w:tr>
        <w:trPr>
          <w:trHeight w:val="234"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196" w:lineRule="exact"/>
              <w:ind w:left="677" w:right="0"/>
              <w:jc w:val="left"/>
              <w:rPr>
                <w:rFonts w:ascii="宋体" w:hAnsi="宋体" w:cs="宋体" w:eastAsia="宋体" w:hint="default"/>
                <w:sz w:val="18"/>
                <w:szCs w:val="18"/>
              </w:rPr>
            </w:pPr>
            <w:r>
              <w:rPr>
                <w:rFonts w:ascii="宋体" w:hAnsi="宋体" w:cs="宋体" w:eastAsia="宋体" w:hint="default"/>
                <w:sz w:val="18"/>
                <w:szCs w:val="18"/>
              </w:rPr>
              <w:t>计算机软件</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59" w:right="0"/>
              <w:jc w:val="left"/>
              <w:rPr>
                <w:rFonts w:ascii="Arial" w:hAnsi="Arial" w:cs="Arial" w:eastAsia="Arial" w:hint="default"/>
                <w:sz w:val="18"/>
                <w:szCs w:val="18"/>
              </w:rPr>
            </w:pPr>
            <w:r>
              <w:rPr>
                <w:rFonts w:ascii="Arial"/>
                <w:sz w:val="18"/>
              </w:rPr>
              <w:t>4,979,954,438</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36" w:right="0"/>
              <w:jc w:val="left"/>
              <w:rPr>
                <w:rFonts w:ascii="Arial" w:hAnsi="Arial" w:cs="Arial" w:eastAsia="Arial" w:hint="default"/>
                <w:sz w:val="18"/>
                <w:szCs w:val="18"/>
              </w:rPr>
            </w:pPr>
            <w:r>
              <w:rPr>
                <w:rFonts w:ascii="Arial"/>
                <w:sz w:val="18"/>
              </w:rPr>
              <w:t>1,937,666,120</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505" w:right="0"/>
              <w:jc w:val="left"/>
              <w:rPr>
                <w:rFonts w:ascii="Arial" w:hAnsi="Arial" w:cs="Arial" w:eastAsia="Arial" w:hint="default"/>
                <w:sz w:val="18"/>
                <w:szCs w:val="18"/>
              </w:rPr>
            </w:pPr>
            <w:r>
              <w:rPr>
                <w:rFonts w:ascii="Arial"/>
                <w:sz w:val="18"/>
              </w:rPr>
              <w:t>(382,565,081)</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90" w:right="0"/>
              <w:jc w:val="left"/>
              <w:rPr>
                <w:rFonts w:ascii="Arial" w:hAnsi="Arial" w:cs="Arial" w:eastAsia="Arial" w:hint="default"/>
                <w:sz w:val="18"/>
                <w:szCs w:val="18"/>
              </w:rPr>
            </w:pPr>
            <w:r>
              <w:rPr>
                <w:rFonts w:ascii="Arial"/>
                <w:sz w:val="18"/>
              </w:rPr>
              <w:t>6,535,055,477</w:t>
            </w:r>
          </w:p>
        </w:tc>
      </w:tr>
      <w:tr>
        <w:trPr>
          <w:trHeight w:val="244"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196" w:lineRule="exact"/>
              <w:ind w:right="477"/>
              <w:jc w:val="right"/>
              <w:rPr>
                <w:rFonts w:ascii="宋体" w:hAnsi="宋体" w:cs="宋体" w:eastAsia="宋体" w:hint="default"/>
                <w:sz w:val="18"/>
                <w:szCs w:val="18"/>
              </w:rPr>
            </w:pPr>
            <w:r>
              <w:rPr>
                <w:rFonts w:ascii="宋体" w:hAnsi="宋体" w:cs="宋体" w:eastAsia="宋体" w:hint="default"/>
                <w:sz w:val="18"/>
                <w:szCs w:val="18"/>
              </w:rPr>
              <w:t>电路及设备使用权</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10" w:right="0"/>
              <w:jc w:val="left"/>
              <w:rPr>
                <w:rFonts w:ascii="Arial" w:hAnsi="Arial" w:cs="Arial" w:eastAsia="Arial" w:hint="default"/>
                <w:sz w:val="18"/>
                <w:szCs w:val="18"/>
              </w:rPr>
            </w:pPr>
            <w:r>
              <w:rPr>
                <w:rFonts w:ascii="Arial"/>
                <w:sz w:val="18"/>
              </w:rPr>
              <w:t>508,320,654</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86" w:right="0"/>
              <w:jc w:val="left"/>
              <w:rPr>
                <w:rFonts w:ascii="Arial" w:hAnsi="Arial" w:cs="Arial" w:eastAsia="Arial" w:hint="default"/>
                <w:sz w:val="18"/>
                <w:szCs w:val="18"/>
              </w:rPr>
            </w:pPr>
            <w:r>
              <w:rPr>
                <w:rFonts w:ascii="Arial"/>
                <w:sz w:val="18"/>
              </w:rPr>
              <w:t>167,384,734</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04" w:right="0"/>
              <w:jc w:val="left"/>
              <w:rPr>
                <w:rFonts w:ascii="Arial" w:hAnsi="Arial" w:cs="Arial" w:eastAsia="Arial" w:hint="default"/>
                <w:sz w:val="18"/>
                <w:szCs w:val="18"/>
              </w:rPr>
            </w:pPr>
            <w:r>
              <w:rPr>
                <w:rFonts w:ascii="Arial"/>
                <w:sz w:val="18"/>
              </w:rPr>
              <w:t>(7,842,797)</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541" w:right="0"/>
              <w:jc w:val="left"/>
              <w:rPr>
                <w:rFonts w:ascii="Arial" w:hAnsi="Arial" w:cs="Arial" w:eastAsia="Arial" w:hint="default"/>
                <w:sz w:val="18"/>
                <w:szCs w:val="18"/>
              </w:rPr>
            </w:pPr>
            <w:r>
              <w:rPr>
                <w:rFonts w:ascii="Arial"/>
                <w:sz w:val="18"/>
              </w:rPr>
              <w:t>667,862,591</w:t>
            </w:r>
          </w:p>
        </w:tc>
      </w:tr>
      <w:tr>
        <w:trPr>
          <w:trHeight w:val="230"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184" w:lineRule="exact"/>
              <w:ind w:left="67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75" w:type="dxa"/>
            <w:tcBorders>
              <w:top w:val="nil" w:sz="6" w:space="0" w:color="auto"/>
              <w:left w:val="nil" w:sz="6" w:space="0" w:color="auto"/>
              <w:bottom w:val="nil" w:sz="6" w:space="0" w:color="auto"/>
              <w:right w:val="nil" w:sz="6" w:space="0" w:color="auto"/>
            </w:tcBorders>
          </w:tcPr>
          <w:p>
            <w:pPr>
              <w:pStyle w:val="TableParagraph"/>
              <w:tabs>
                <w:tab w:pos="603" w:val="left" w:leader="none"/>
                <w:tab w:pos="1735" w:val="left" w:leader="none"/>
              </w:tabs>
              <w:spacing w:line="240" w:lineRule="auto" w:before="3"/>
              <w:ind w:right="3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139,787,562</w:t>
              <w:tab/>
            </w:r>
            <w:r>
              <w:rPr>
                <w:rFonts w:ascii="Arial"/>
                <w:spacing w:val="-1"/>
                <w:sz w:val="18"/>
              </w:rPr>
            </w:r>
          </w:p>
        </w:tc>
        <w:tc>
          <w:tcPr>
            <w:tcW w:w="1686" w:type="dxa"/>
            <w:tcBorders>
              <w:top w:val="nil" w:sz="6" w:space="0" w:color="auto"/>
              <w:left w:val="nil" w:sz="6" w:space="0" w:color="auto"/>
              <w:bottom w:val="nil" w:sz="6" w:space="0" w:color="auto"/>
              <w:right w:val="nil" w:sz="6" w:space="0" w:color="auto"/>
            </w:tcBorders>
          </w:tcPr>
          <w:p>
            <w:pPr>
              <w:pStyle w:val="TableParagraph"/>
              <w:tabs>
                <w:tab w:pos="562" w:val="left" w:leader="none"/>
                <w:tab w:pos="1581" w:val="left" w:leader="none"/>
              </w:tabs>
              <w:spacing w:line="240" w:lineRule="auto" w:before="3"/>
              <w:ind w:right="78"/>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77,629,682</w:t>
              <w:tab/>
            </w:r>
            <w:r>
              <w:rPr>
                <w:rFonts w:ascii="Arial"/>
                <w:spacing w:val="-1"/>
                <w:sz w:val="18"/>
              </w:rPr>
            </w:r>
          </w:p>
        </w:tc>
        <w:tc>
          <w:tcPr>
            <w:tcW w:w="1788" w:type="dxa"/>
            <w:tcBorders>
              <w:top w:val="nil" w:sz="6" w:space="0" w:color="auto"/>
              <w:left w:val="nil" w:sz="6" w:space="0" w:color="auto"/>
              <w:bottom w:val="nil" w:sz="6" w:space="0" w:color="auto"/>
              <w:right w:val="nil" w:sz="6" w:space="0" w:color="auto"/>
            </w:tcBorders>
          </w:tcPr>
          <w:p>
            <w:pPr>
              <w:pStyle w:val="TableParagraph"/>
              <w:tabs>
                <w:tab w:pos="630" w:val="left" w:leader="none"/>
                <w:tab w:pos="1637" w:val="left" w:leader="none"/>
              </w:tabs>
              <w:spacing w:line="240" w:lineRule="auto" w:before="3"/>
              <w:ind w:right="7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(5,899,791)</w:t>
              <w:tab/>
            </w:r>
            <w:r>
              <w:rPr>
                <w:rFonts w:ascii="Arial"/>
                <w:spacing w:val="-1"/>
                <w:sz w:val="18"/>
              </w:rPr>
            </w:r>
          </w:p>
        </w:tc>
        <w:tc>
          <w:tcPr>
            <w:tcW w:w="1698" w:type="dxa"/>
            <w:tcBorders>
              <w:top w:val="nil" w:sz="6" w:space="0" w:color="auto"/>
              <w:left w:val="nil" w:sz="6" w:space="0" w:color="auto"/>
              <w:bottom w:val="nil" w:sz="6" w:space="0" w:color="auto"/>
              <w:right w:val="nil" w:sz="6" w:space="0" w:color="auto"/>
            </w:tcBorders>
          </w:tcPr>
          <w:p>
            <w:pPr>
              <w:pStyle w:val="TableParagraph"/>
              <w:tabs>
                <w:tab w:pos="534" w:val="left" w:leader="none"/>
                <w:tab w:pos="1648" w:val="left" w:leader="none"/>
              </w:tabs>
              <w:spacing w:line="240" w:lineRule="auto" w:before="3"/>
              <w:ind w:right="4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211,517,453</w:t>
              <w:tab/>
            </w:r>
            <w:r>
              <w:rPr>
                <w:rFonts w:ascii="Arial"/>
                <w:spacing w:val="-1"/>
                <w:sz w:val="18"/>
              </w:rPr>
            </w:r>
          </w:p>
        </w:tc>
      </w:tr>
      <w:tr>
        <w:trPr>
          <w:trHeight w:val="298"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04" w:lineRule="exact"/>
              <w:ind w:left="677"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775" w:type="dxa"/>
            <w:tcBorders>
              <w:top w:val="nil" w:sz="6" w:space="0" w:color="auto"/>
              <w:left w:val="nil" w:sz="6" w:space="0" w:color="auto"/>
              <w:bottom w:val="nil" w:sz="6" w:space="0" w:color="auto"/>
              <w:right w:val="nil" w:sz="6" w:space="0" w:color="auto"/>
            </w:tcBorders>
          </w:tcPr>
          <w:p>
            <w:pPr>
              <w:pStyle w:val="TableParagraph"/>
              <w:tabs>
                <w:tab w:pos="352" w:val="left" w:leader="none"/>
                <w:tab w:pos="1735" w:val="left" w:leader="none"/>
              </w:tabs>
              <w:spacing w:line="240" w:lineRule="auto" w:before="22"/>
              <w:ind w:right="3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22,819,445,094</w:t>
              <w:tab/>
            </w:r>
            <w:r>
              <w:rPr>
                <w:rFonts w:ascii="Arial"/>
                <w:spacing w:val="-1"/>
                <w:sz w:val="18"/>
              </w:rPr>
            </w:r>
          </w:p>
        </w:tc>
        <w:tc>
          <w:tcPr>
            <w:tcW w:w="1686" w:type="dxa"/>
            <w:tcBorders>
              <w:top w:val="nil" w:sz="6" w:space="0" w:color="auto"/>
              <w:left w:val="nil" w:sz="6" w:space="0" w:color="auto"/>
              <w:bottom w:val="nil" w:sz="6" w:space="0" w:color="auto"/>
              <w:right w:val="nil" w:sz="6" w:space="0" w:color="auto"/>
            </w:tcBorders>
          </w:tcPr>
          <w:p>
            <w:pPr>
              <w:pStyle w:val="TableParagraph"/>
              <w:tabs>
                <w:tab w:pos="310" w:val="left" w:leader="none"/>
                <w:tab w:pos="1581" w:val="left" w:leader="none"/>
              </w:tabs>
              <w:spacing w:line="240" w:lineRule="auto" w:before="22"/>
              <w:ind w:right="78"/>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2,289,920,134</w:t>
              <w:tab/>
            </w:r>
            <w:r>
              <w:rPr>
                <w:rFonts w:ascii="Arial"/>
                <w:spacing w:val="-1"/>
                <w:sz w:val="18"/>
              </w:rPr>
            </w:r>
          </w:p>
        </w:tc>
        <w:tc>
          <w:tcPr>
            <w:tcW w:w="1788" w:type="dxa"/>
            <w:tcBorders>
              <w:top w:val="nil" w:sz="6" w:space="0" w:color="auto"/>
              <w:left w:val="nil" w:sz="6" w:space="0" w:color="auto"/>
              <w:bottom w:val="nil" w:sz="6" w:space="0" w:color="auto"/>
              <w:right w:val="nil" w:sz="6" w:space="0" w:color="auto"/>
            </w:tcBorders>
          </w:tcPr>
          <w:p>
            <w:pPr>
              <w:pStyle w:val="TableParagraph"/>
              <w:tabs>
                <w:tab w:pos="431" w:val="left" w:leader="none"/>
                <w:tab w:pos="1637" w:val="left" w:leader="none"/>
              </w:tabs>
              <w:spacing w:line="240" w:lineRule="auto" w:before="22"/>
              <w:ind w:right="7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(495,910,653)</w:t>
              <w:tab/>
            </w:r>
            <w:r>
              <w:rPr>
                <w:rFonts w:ascii="Arial"/>
                <w:spacing w:val="-1"/>
                <w:sz w:val="18"/>
              </w:rPr>
            </w:r>
          </w:p>
        </w:tc>
        <w:tc>
          <w:tcPr>
            <w:tcW w:w="1698" w:type="dxa"/>
            <w:tcBorders>
              <w:top w:val="nil" w:sz="6" w:space="0" w:color="auto"/>
              <w:left w:val="nil" w:sz="6" w:space="0" w:color="auto"/>
              <w:bottom w:val="nil" w:sz="6" w:space="0" w:color="auto"/>
              <w:right w:val="nil" w:sz="6" w:space="0" w:color="auto"/>
            </w:tcBorders>
          </w:tcPr>
          <w:p>
            <w:pPr>
              <w:pStyle w:val="TableParagraph"/>
              <w:tabs>
                <w:tab w:pos="283" w:val="left" w:leader="none"/>
                <w:tab w:pos="1648" w:val="left" w:leader="none"/>
              </w:tabs>
              <w:spacing w:line="240" w:lineRule="auto" w:before="22"/>
              <w:ind w:right="4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24,613,454,575</w:t>
              <w:tab/>
            </w:r>
            <w:r>
              <w:rPr>
                <w:rFonts w:ascii="Arial"/>
                <w:spacing w:val="-1"/>
                <w:sz w:val="18"/>
              </w:rPr>
            </w:r>
          </w:p>
        </w:tc>
      </w:tr>
      <w:tr>
        <w:trPr>
          <w:trHeight w:val="278"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494" w:right="0"/>
              <w:jc w:val="left"/>
              <w:rPr>
                <w:rFonts w:ascii="宋体" w:hAnsi="宋体" w:cs="宋体" w:eastAsia="宋体" w:hint="default"/>
                <w:sz w:val="18"/>
                <w:szCs w:val="18"/>
              </w:rPr>
            </w:pPr>
            <w:r>
              <w:rPr>
                <w:rFonts w:ascii="宋体" w:hAnsi="宋体" w:cs="宋体" w:eastAsia="宋体" w:hint="default"/>
                <w:sz w:val="18"/>
                <w:szCs w:val="18"/>
              </w:rPr>
              <w:t>累计摊销</w:t>
            </w:r>
          </w:p>
        </w:tc>
        <w:tc>
          <w:tcPr>
            <w:tcW w:w="1775"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
        </w:tc>
      </w:tr>
      <w:tr>
        <w:trPr>
          <w:trHeight w:val="244"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06" w:lineRule="exact"/>
              <w:ind w:left="676"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3"/>
              <w:jc w:val="right"/>
              <w:rPr>
                <w:rFonts w:ascii="Arial" w:hAnsi="Arial" w:cs="Arial" w:eastAsia="Arial" w:hint="default"/>
                <w:sz w:val="18"/>
                <w:szCs w:val="18"/>
              </w:rPr>
            </w:pPr>
            <w:r>
              <w:rPr>
                <w:rFonts w:ascii="Arial"/>
                <w:spacing w:val="-1"/>
                <w:sz w:val="18"/>
              </w:rPr>
              <w:t>(1,940,885,226)</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426" w:right="0"/>
              <w:jc w:val="left"/>
              <w:rPr>
                <w:rFonts w:ascii="Arial" w:hAnsi="Arial" w:cs="Arial" w:eastAsia="Arial" w:hint="default"/>
                <w:sz w:val="18"/>
                <w:szCs w:val="18"/>
              </w:rPr>
            </w:pPr>
            <w:r>
              <w:rPr>
                <w:rFonts w:ascii="Arial"/>
                <w:sz w:val="18"/>
              </w:rPr>
              <w:t>(414,071,082)</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664" w:right="0"/>
              <w:jc w:val="left"/>
              <w:rPr>
                <w:rFonts w:ascii="Arial" w:hAnsi="Arial" w:cs="Arial" w:eastAsia="Arial" w:hint="default"/>
                <w:sz w:val="18"/>
                <w:szCs w:val="18"/>
              </w:rPr>
            </w:pPr>
            <w:r>
              <w:rPr>
                <w:rFonts w:ascii="Arial"/>
                <w:sz w:val="18"/>
              </w:rPr>
              <w:t>99,602,984</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29" w:right="0"/>
              <w:jc w:val="left"/>
              <w:rPr>
                <w:rFonts w:ascii="Arial" w:hAnsi="Arial" w:cs="Arial" w:eastAsia="Arial" w:hint="default"/>
                <w:sz w:val="18"/>
                <w:szCs w:val="18"/>
              </w:rPr>
            </w:pPr>
            <w:r>
              <w:rPr>
                <w:rFonts w:ascii="Arial"/>
                <w:sz w:val="18"/>
              </w:rPr>
              <w:t>(2,255,353,324)</w:t>
            </w:r>
          </w:p>
        </w:tc>
      </w:tr>
      <w:tr>
        <w:trPr>
          <w:trHeight w:val="233"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196" w:lineRule="exact"/>
              <w:ind w:left="676" w:right="0"/>
              <w:jc w:val="left"/>
              <w:rPr>
                <w:rFonts w:ascii="宋体" w:hAnsi="宋体" w:cs="宋体" w:eastAsia="宋体" w:hint="default"/>
                <w:sz w:val="18"/>
                <w:szCs w:val="18"/>
              </w:rPr>
            </w:pPr>
            <w:r>
              <w:rPr>
                <w:rFonts w:ascii="宋体" w:hAnsi="宋体" w:cs="宋体" w:eastAsia="宋体" w:hint="default"/>
                <w:sz w:val="18"/>
                <w:szCs w:val="18"/>
              </w:rPr>
              <w:t>计算机软件</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3"/>
              <w:jc w:val="right"/>
              <w:rPr>
                <w:rFonts w:ascii="Arial" w:hAnsi="Arial" w:cs="Arial" w:eastAsia="Arial" w:hint="default"/>
                <w:sz w:val="18"/>
                <w:szCs w:val="18"/>
              </w:rPr>
            </w:pPr>
            <w:r>
              <w:rPr>
                <w:rFonts w:ascii="Arial"/>
                <w:spacing w:val="-1"/>
                <w:sz w:val="18"/>
              </w:rPr>
              <w:t>(2,095,714,413)</w:t>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26" w:right="0"/>
              <w:jc w:val="left"/>
              <w:rPr>
                <w:rFonts w:ascii="Arial" w:hAnsi="Arial" w:cs="Arial" w:eastAsia="Arial" w:hint="default"/>
                <w:sz w:val="18"/>
                <w:szCs w:val="18"/>
              </w:rPr>
            </w:pPr>
            <w:r>
              <w:rPr>
                <w:rFonts w:ascii="Arial"/>
                <w:sz w:val="18"/>
              </w:rPr>
              <w:t>(857,301,693)</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565" w:right="0"/>
              <w:jc w:val="left"/>
              <w:rPr>
                <w:rFonts w:ascii="Arial" w:hAnsi="Arial" w:cs="Arial" w:eastAsia="Arial" w:hint="default"/>
                <w:sz w:val="18"/>
                <w:szCs w:val="18"/>
              </w:rPr>
            </w:pPr>
            <w:r>
              <w:rPr>
                <w:rFonts w:ascii="Arial"/>
                <w:sz w:val="18"/>
              </w:rPr>
              <w:t>381,795,963</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30" w:right="0"/>
              <w:jc w:val="left"/>
              <w:rPr>
                <w:rFonts w:ascii="Arial" w:hAnsi="Arial" w:cs="Arial" w:eastAsia="Arial" w:hint="default"/>
                <w:sz w:val="18"/>
                <w:szCs w:val="18"/>
              </w:rPr>
            </w:pPr>
            <w:r>
              <w:rPr>
                <w:rFonts w:ascii="Arial"/>
                <w:sz w:val="18"/>
              </w:rPr>
              <w:t>(2,571,220,143)</w:t>
            </w:r>
          </w:p>
        </w:tc>
      </w:tr>
      <w:tr>
        <w:trPr>
          <w:trHeight w:val="233"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195" w:lineRule="exact"/>
              <w:ind w:right="477"/>
              <w:jc w:val="right"/>
              <w:rPr>
                <w:rFonts w:ascii="宋体" w:hAnsi="宋体" w:cs="宋体" w:eastAsia="宋体" w:hint="default"/>
                <w:sz w:val="18"/>
                <w:szCs w:val="18"/>
              </w:rPr>
            </w:pPr>
            <w:r>
              <w:rPr>
                <w:rFonts w:ascii="宋体" w:hAnsi="宋体" w:cs="宋体" w:eastAsia="宋体" w:hint="default"/>
                <w:sz w:val="18"/>
                <w:szCs w:val="18"/>
              </w:rPr>
              <w:t>电路及设备使用权</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3"/>
              <w:jc w:val="right"/>
              <w:rPr>
                <w:rFonts w:ascii="Arial" w:hAnsi="Arial" w:cs="Arial" w:eastAsia="Arial" w:hint="default"/>
                <w:sz w:val="18"/>
                <w:szCs w:val="18"/>
              </w:rPr>
            </w:pPr>
            <w:r>
              <w:rPr>
                <w:rFonts w:ascii="Arial"/>
                <w:spacing w:val="-1"/>
                <w:sz w:val="18"/>
              </w:rPr>
              <w:t>(56,899,627)</w:t>
            </w:r>
            <w:r>
              <w:rPr>
                <w:rFonts w:ascii="Arial"/>
                <w:sz w:val="18"/>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526" w:right="0"/>
              <w:jc w:val="left"/>
              <w:rPr>
                <w:rFonts w:ascii="Arial" w:hAnsi="Arial" w:cs="Arial" w:eastAsia="Arial" w:hint="default"/>
                <w:sz w:val="18"/>
                <w:szCs w:val="18"/>
              </w:rPr>
            </w:pPr>
            <w:r>
              <w:rPr>
                <w:rFonts w:ascii="Arial"/>
                <w:sz w:val="18"/>
              </w:rPr>
              <w:t>(38,922,249)</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765" w:right="0"/>
              <w:jc w:val="left"/>
              <w:rPr>
                <w:rFonts w:ascii="Arial" w:hAnsi="Arial" w:cs="Arial" w:eastAsia="Arial" w:hint="default"/>
                <w:sz w:val="18"/>
                <w:szCs w:val="18"/>
              </w:rPr>
            </w:pPr>
            <w:r>
              <w:rPr>
                <w:rFonts w:ascii="Arial"/>
                <w:sz w:val="18"/>
              </w:rPr>
              <w:t>7,842,797</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580" w:right="0"/>
              <w:jc w:val="left"/>
              <w:rPr>
                <w:rFonts w:ascii="Arial" w:hAnsi="Arial" w:cs="Arial" w:eastAsia="Arial" w:hint="default"/>
                <w:sz w:val="18"/>
                <w:szCs w:val="18"/>
              </w:rPr>
            </w:pPr>
            <w:r>
              <w:rPr>
                <w:rFonts w:ascii="Arial"/>
                <w:sz w:val="18"/>
              </w:rPr>
              <w:t>(87,979,079)</w:t>
            </w:r>
          </w:p>
        </w:tc>
      </w:tr>
      <w:tr>
        <w:trPr>
          <w:trHeight w:val="241"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196" w:lineRule="exact"/>
              <w:ind w:left="67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75" w:type="dxa"/>
            <w:tcBorders>
              <w:top w:val="nil" w:sz="6" w:space="0" w:color="auto"/>
              <w:left w:val="nil" w:sz="6" w:space="0" w:color="auto"/>
              <w:bottom w:val="nil" w:sz="6" w:space="0" w:color="auto"/>
              <w:right w:val="nil" w:sz="6" w:space="0" w:color="auto"/>
            </w:tcBorders>
          </w:tcPr>
          <w:p>
            <w:pPr>
              <w:pStyle w:val="TableParagraph"/>
              <w:tabs>
                <w:tab w:pos="643" w:val="left" w:leader="none"/>
                <w:tab w:pos="1735" w:val="left" w:leader="none"/>
              </w:tabs>
              <w:spacing w:line="240" w:lineRule="auto" w:before="15"/>
              <w:ind w:right="3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(35,276,738)</w:t>
              <w:tab/>
            </w:r>
            <w:r>
              <w:rPr>
                <w:rFonts w:ascii="Arial"/>
                <w:spacing w:val="-1"/>
                <w:sz w:val="18"/>
              </w:rPr>
            </w:r>
          </w:p>
        </w:tc>
        <w:tc>
          <w:tcPr>
            <w:tcW w:w="1686" w:type="dxa"/>
            <w:tcBorders>
              <w:top w:val="nil" w:sz="6" w:space="0" w:color="auto"/>
              <w:left w:val="nil" w:sz="6" w:space="0" w:color="auto"/>
              <w:bottom w:val="nil" w:sz="6" w:space="0" w:color="auto"/>
              <w:right w:val="nil" w:sz="6" w:space="0" w:color="auto"/>
            </w:tcBorders>
          </w:tcPr>
          <w:p>
            <w:pPr>
              <w:pStyle w:val="TableParagraph"/>
              <w:tabs>
                <w:tab w:pos="501" w:val="left" w:leader="none"/>
                <w:tab w:pos="1581" w:val="left" w:leader="none"/>
              </w:tabs>
              <w:spacing w:line="240" w:lineRule="auto" w:before="15"/>
              <w:ind w:right="78"/>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(14,470,681)</w:t>
              <w:tab/>
            </w:r>
            <w:r>
              <w:rPr>
                <w:rFonts w:ascii="Arial"/>
                <w:spacing w:val="-1"/>
                <w:sz w:val="18"/>
              </w:rPr>
            </w:r>
          </w:p>
        </w:tc>
        <w:tc>
          <w:tcPr>
            <w:tcW w:w="1788" w:type="dxa"/>
            <w:tcBorders>
              <w:top w:val="nil" w:sz="6" w:space="0" w:color="auto"/>
              <w:left w:val="nil" w:sz="6" w:space="0" w:color="auto"/>
              <w:bottom w:val="nil" w:sz="6" w:space="0" w:color="auto"/>
              <w:right w:val="nil" w:sz="6" w:space="0" w:color="auto"/>
            </w:tcBorders>
          </w:tcPr>
          <w:p>
            <w:pPr>
              <w:pStyle w:val="TableParagraph"/>
              <w:tabs>
                <w:tab w:pos="692" w:val="left" w:leader="none"/>
                <w:tab w:pos="1637" w:val="left" w:leader="none"/>
              </w:tabs>
              <w:spacing w:line="240" w:lineRule="auto" w:before="15"/>
              <w:ind w:right="7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5,815,712</w:t>
              <w:tab/>
            </w:r>
            <w:r>
              <w:rPr>
                <w:rFonts w:ascii="Arial"/>
                <w:spacing w:val="-1"/>
                <w:sz w:val="18"/>
              </w:rPr>
            </w:r>
          </w:p>
        </w:tc>
        <w:tc>
          <w:tcPr>
            <w:tcW w:w="1698" w:type="dxa"/>
            <w:tcBorders>
              <w:top w:val="nil" w:sz="6" w:space="0" w:color="auto"/>
              <w:left w:val="nil" w:sz="6" w:space="0" w:color="auto"/>
              <w:bottom w:val="nil" w:sz="6" w:space="0" w:color="auto"/>
              <w:right w:val="nil" w:sz="6" w:space="0" w:color="auto"/>
            </w:tcBorders>
          </w:tcPr>
          <w:p>
            <w:pPr>
              <w:pStyle w:val="TableParagraph"/>
              <w:tabs>
                <w:tab w:pos="573" w:val="left" w:leader="none"/>
                <w:tab w:pos="1648" w:val="left" w:leader="none"/>
              </w:tabs>
              <w:spacing w:line="240" w:lineRule="auto" w:before="15"/>
              <w:ind w:right="4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(43,931,707)</w:t>
              <w:tab/>
            </w:r>
            <w:r>
              <w:rPr>
                <w:rFonts w:ascii="Arial"/>
                <w:spacing w:val="-1"/>
                <w:sz w:val="18"/>
              </w:rPr>
            </w:r>
          </w:p>
        </w:tc>
      </w:tr>
      <w:tr>
        <w:trPr>
          <w:trHeight w:val="298"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03" w:lineRule="exact"/>
              <w:ind w:left="49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775" w:type="dxa"/>
            <w:tcBorders>
              <w:top w:val="nil" w:sz="6" w:space="0" w:color="auto"/>
              <w:left w:val="nil" w:sz="6" w:space="0" w:color="auto"/>
              <w:bottom w:val="nil" w:sz="6" w:space="0" w:color="auto"/>
              <w:right w:val="nil" w:sz="6" w:space="0" w:color="auto"/>
            </w:tcBorders>
          </w:tcPr>
          <w:p>
            <w:pPr>
              <w:pStyle w:val="TableParagraph"/>
              <w:tabs>
                <w:tab w:pos="392" w:val="left" w:leader="none"/>
                <w:tab w:pos="1735" w:val="left" w:leader="none"/>
              </w:tabs>
              <w:spacing w:line="240" w:lineRule="auto" w:before="22"/>
              <w:ind w:right="3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(4,128,776,004)</w:t>
              <w:tab/>
            </w:r>
            <w:r>
              <w:rPr>
                <w:rFonts w:ascii="Arial"/>
                <w:spacing w:val="-1"/>
                <w:sz w:val="18"/>
              </w:rPr>
            </w:r>
          </w:p>
        </w:tc>
        <w:tc>
          <w:tcPr>
            <w:tcW w:w="1686" w:type="dxa"/>
            <w:tcBorders>
              <w:top w:val="nil" w:sz="6" w:space="0" w:color="auto"/>
              <w:left w:val="nil" w:sz="6" w:space="0" w:color="auto"/>
              <w:bottom w:val="nil" w:sz="6" w:space="0" w:color="auto"/>
              <w:right w:val="nil" w:sz="6" w:space="0" w:color="auto"/>
            </w:tcBorders>
          </w:tcPr>
          <w:p>
            <w:pPr>
              <w:pStyle w:val="TableParagraph"/>
              <w:tabs>
                <w:tab w:pos="252" w:val="left" w:leader="none"/>
                <w:tab w:pos="1581" w:val="left" w:leader="none"/>
              </w:tabs>
              <w:spacing w:line="240" w:lineRule="auto" w:before="22"/>
              <w:ind w:right="78"/>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(1,324,765,705)</w:t>
              <w:tab/>
            </w:r>
            <w:r>
              <w:rPr>
                <w:rFonts w:ascii="Arial"/>
                <w:spacing w:val="-1"/>
                <w:sz w:val="18"/>
              </w:rPr>
            </w:r>
          </w:p>
        </w:tc>
        <w:tc>
          <w:tcPr>
            <w:tcW w:w="1788" w:type="dxa"/>
            <w:tcBorders>
              <w:top w:val="nil" w:sz="6" w:space="0" w:color="auto"/>
              <w:left w:val="nil" w:sz="6" w:space="0" w:color="auto"/>
              <w:bottom w:val="nil" w:sz="6" w:space="0" w:color="auto"/>
              <w:right w:val="nil" w:sz="6" w:space="0" w:color="auto"/>
            </w:tcBorders>
          </w:tcPr>
          <w:p>
            <w:pPr>
              <w:pStyle w:val="TableParagraph"/>
              <w:tabs>
                <w:tab w:pos="492" w:val="left" w:leader="none"/>
                <w:tab w:pos="1637" w:val="left" w:leader="none"/>
              </w:tabs>
              <w:spacing w:line="240" w:lineRule="auto" w:before="22"/>
              <w:ind w:right="7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495,057,456</w:t>
              <w:tab/>
            </w:r>
            <w:r>
              <w:rPr>
                <w:rFonts w:ascii="Arial"/>
                <w:spacing w:val="-1"/>
                <w:sz w:val="18"/>
              </w:rPr>
            </w:r>
          </w:p>
        </w:tc>
        <w:tc>
          <w:tcPr>
            <w:tcW w:w="1698" w:type="dxa"/>
            <w:tcBorders>
              <w:top w:val="nil" w:sz="6" w:space="0" w:color="auto"/>
              <w:left w:val="nil" w:sz="6" w:space="0" w:color="auto"/>
              <w:bottom w:val="nil" w:sz="6" w:space="0" w:color="auto"/>
              <w:right w:val="nil" w:sz="6" w:space="0" w:color="auto"/>
            </w:tcBorders>
          </w:tcPr>
          <w:p>
            <w:pPr>
              <w:pStyle w:val="TableParagraph"/>
              <w:tabs>
                <w:tab w:pos="323" w:val="left" w:leader="none"/>
                <w:tab w:pos="1648" w:val="left" w:leader="none"/>
              </w:tabs>
              <w:spacing w:line="240" w:lineRule="auto" w:before="22"/>
              <w:ind w:right="4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(4,958,484,253)</w:t>
              <w:tab/>
            </w:r>
            <w:r>
              <w:rPr>
                <w:rFonts w:ascii="Arial"/>
                <w:spacing w:val="-1"/>
                <w:sz w:val="18"/>
              </w:rPr>
            </w:r>
          </w:p>
        </w:tc>
      </w:tr>
      <w:tr>
        <w:trPr>
          <w:trHeight w:val="279"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40" w:lineRule="auto" w:before="17"/>
              <w:ind w:left="494" w:right="0"/>
              <w:jc w:val="left"/>
              <w:rPr>
                <w:rFonts w:ascii="宋体" w:hAnsi="宋体" w:cs="宋体" w:eastAsia="宋体" w:hint="default"/>
                <w:sz w:val="18"/>
                <w:szCs w:val="18"/>
              </w:rPr>
            </w:pPr>
            <w:r>
              <w:rPr>
                <w:rFonts w:ascii="宋体" w:hAnsi="宋体" w:cs="宋体" w:eastAsia="宋体" w:hint="default"/>
                <w:sz w:val="18"/>
                <w:szCs w:val="18"/>
              </w:rPr>
              <w:t>账面净值</w:t>
            </w:r>
          </w:p>
        </w:tc>
        <w:tc>
          <w:tcPr>
            <w:tcW w:w="1775"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
        </w:tc>
      </w:tr>
      <w:tr>
        <w:trPr>
          <w:trHeight w:val="244"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06" w:lineRule="exact"/>
              <w:ind w:left="676"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25"/>
              <w:ind w:left="360" w:right="0"/>
              <w:jc w:val="left"/>
              <w:rPr>
                <w:rFonts w:ascii="Arial" w:hAnsi="Arial" w:cs="Arial" w:eastAsia="Arial" w:hint="default"/>
                <w:sz w:val="18"/>
                <w:szCs w:val="18"/>
              </w:rPr>
            </w:pPr>
            <w:r>
              <w:rPr>
                <w:rFonts w:ascii="Arial"/>
                <w:sz w:val="18"/>
              </w:rPr>
              <w:t>15,250,497,214</w:t>
            </w:r>
          </w:p>
        </w:tc>
        <w:tc>
          <w:tcPr>
            <w:tcW w:w="1686"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90" w:right="0"/>
              <w:jc w:val="left"/>
              <w:rPr>
                <w:rFonts w:ascii="Arial" w:hAnsi="Arial" w:cs="Arial" w:eastAsia="Arial" w:hint="default"/>
                <w:sz w:val="18"/>
                <w:szCs w:val="18"/>
              </w:rPr>
            </w:pPr>
            <w:r>
              <w:rPr>
                <w:rFonts w:ascii="Arial"/>
                <w:sz w:val="18"/>
              </w:rPr>
              <w:t>14,943,665,730</w:t>
            </w:r>
          </w:p>
        </w:tc>
      </w:tr>
      <w:tr>
        <w:trPr>
          <w:trHeight w:val="233"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196" w:lineRule="exact"/>
              <w:ind w:left="677" w:right="0"/>
              <w:jc w:val="left"/>
              <w:rPr>
                <w:rFonts w:ascii="宋体" w:hAnsi="宋体" w:cs="宋体" w:eastAsia="宋体" w:hint="default"/>
                <w:sz w:val="18"/>
                <w:szCs w:val="18"/>
              </w:rPr>
            </w:pPr>
            <w:r>
              <w:rPr>
                <w:rFonts w:ascii="宋体" w:hAnsi="宋体" w:cs="宋体" w:eastAsia="宋体" w:hint="default"/>
                <w:sz w:val="18"/>
                <w:szCs w:val="18"/>
              </w:rPr>
              <w:t>计算机软件</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459" w:right="0"/>
              <w:jc w:val="left"/>
              <w:rPr>
                <w:rFonts w:ascii="Arial" w:hAnsi="Arial" w:cs="Arial" w:eastAsia="Arial" w:hint="default"/>
                <w:sz w:val="18"/>
                <w:szCs w:val="18"/>
              </w:rPr>
            </w:pPr>
            <w:r>
              <w:rPr>
                <w:rFonts w:ascii="Arial"/>
                <w:sz w:val="18"/>
              </w:rPr>
              <w:t>2,884,240,025</w:t>
            </w:r>
          </w:p>
        </w:tc>
        <w:tc>
          <w:tcPr>
            <w:tcW w:w="1686"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90" w:right="0"/>
              <w:jc w:val="left"/>
              <w:rPr>
                <w:rFonts w:ascii="Arial" w:hAnsi="Arial" w:cs="Arial" w:eastAsia="Arial" w:hint="default"/>
                <w:sz w:val="18"/>
                <w:szCs w:val="18"/>
              </w:rPr>
            </w:pPr>
            <w:r>
              <w:rPr>
                <w:rFonts w:ascii="Arial"/>
                <w:sz w:val="18"/>
              </w:rPr>
              <w:t>3,963,835,334</w:t>
            </w:r>
          </w:p>
        </w:tc>
      </w:tr>
      <w:tr>
        <w:trPr>
          <w:trHeight w:val="233"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195" w:lineRule="exact"/>
              <w:ind w:right="477"/>
              <w:jc w:val="right"/>
              <w:rPr>
                <w:rFonts w:ascii="宋体" w:hAnsi="宋体" w:cs="宋体" w:eastAsia="宋体" w:hint="default"/>
                <w:sz w:val="18"/>
                <w:szCs w:val="18"/>
              </w:rPr>
            </w:pPr>
            <w:r>
              <w:rPr>
                <w:rFonts w:ascii="宋体" w:hAnsi="宋体" w:cs="宋体" w:eastAsia="宋体" w:hint="default"/>
                <w:sz w:val="18"/>
                <w:szCs w:val="18"/>
              </w:rPr>
              <w:t>电路及设备使用权</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610" w:right="0"/>
              <w:jc w:val="left"/>
              <w:rPr>
                <w:rFonts w:ascii="Arial" w:hAnsi="Arial" w:cs="Arial" w:eastAsia="Arial" w:hint="default"/>
                <w:sz w:val="18"/>
                <w:szCs w:val="18"/>
              </w:rPr>
            </w:pPr>
            <w:r>
              <w:rPr>
                <w:rFonts w:ascii="Arial"/>
                <w:sz w:val="18"/>
              </w:rPr>
              <w:t>451,421,027</w:t>
            </w:r>
          </w:p>
        </w:tc>
        <w:tc>
          <w:tcPr>
            <w:tcW w:w="1686"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541" w:right="0"/>
              <w:jc w:val="left"/>
              <w:rPr>
                <w:rFonts w:ascii="Arial" w:hAnsi="Arial" w:cs="Arial" w:eastAsia="Arial" w:hint="default"/>
                <w:sz w:val="18"/>
                <w:szCs w:val="18"/>
              </w:rPr>
            </w:pPr>
            <w:r>
              <w:rPr>
                <w:rFonts w:ascii="Arial"/>
                <w:sz w:val="18"/>
              </w:rPr>
              <w:t>579,883,512</w:t>
            </w:r>
          </w:p>
        </w:tc>
      </w:tr>
      <w:tr>
        <w:trPr>
          <w:trHeight w:val="241"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196" w:lineRule="exact"/>
              <w:ind w:left="67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75" w:type="dxa"/>
            <w:tcBorders>
              <w:top w:val="nil" w:sz="6" w:space="0" w:color="auto"/>
              <w:left w:val="nil" w:sz="6" w:space="0" w:color="auto"/>
              <w:bottom w:val="nil" w:sz="6" w:space="0" w:color="auto"/>
              <w:right w:val="nil" w:sz="6" w:space="0" w:color="auto"/>
            </w:tcBorders>
          </w:tcPr>
          <w:p>
            <w:pPr>
              <w:pStyle w:val="TableParagraph"/>
              <w:tabs>
                <w:tab w:pos="603" w:val="left" w:leader="none"/>
                <w:tab w:pos="1735" w:val="left" w:leader="none"/>
              </w:tabs>
              <w:spacing w:line="240" w:lineRule="auto" w:before="15"/>
              <w:ind w:right="3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104,510,824</w:t>
              <w:tab/>
            </w:r>
            <w:r>
              <w:rPr>
                <w:rFonts w:ascii="Arial"/>
                <w:spacing w:val="-1"/>
                <w:sz w:val="18"/>
              </w:rPr>
            </w:r>
          </w:p>
        </w:tc>
        <w:tc>
          <w:tcPr>
            <w:tcW w:w="1686"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Style w:val="TableParagraph"/>
              <w:tabs>
                <w:tab w:pos="533" w:val="left" w:leader="none"/>
                <w:tab w:pos="1648" w:val="left" w:leader="none"/>
              </w:tabs>
              <w:spacing w:line="240" w:lineRule="auto" w:before="15"/>
              <w:ind w:right="4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167,585,746</w:t>
              <w:tab/>
            </w:r>
            <w:r>
              <w:rPr>
                <w:rFonts w:ascii="Arial"/>
                <w:spacing w:val="-1"/>
                <w:sz w:val="18"/>
              </w:rPr>
            </w:r>
          </w:p>
        </w:tc>
      </w:tr>
      <w:tr>
        <w:trPr>
          <w:trHeight w:val="297"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03" w:lineRule="exact"/>
              <w:ind w:left="49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775" w:type="dxa"/>
            <w:tcBorders>
              <w:top w:val="nil" w:sz="6" w:space="0" w:color="auto"/>
              <w:left w:val="nil" w:sz="6" w:space="0" w:color="auto"/>
              <w:bottom w:val="nil" w:sz="6" w:space="0" w:color="auto"/>
              <w:right w:val="nil" w:sz="6" w:space="0" w:color="auto"/>
            </w:tcBorders>
          </w:tcPr>
          <w:p>
            <w:pPr>
              <w:pStyle w:val="TableParagraph"/>
              <w:tabs>
                <w:tab w:pos="352" w:val="left" w:leader="none"/>
                <w:tab w:pos="1735" w:val="left" w:leader="none"/>
              </w:tabs>
              <w:spacing w:line="240" w:lineRule="auto" w:before="22"/>
              <w:ind w:right="3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18,690,669,090</w:t>
              <w:tab/>
            </w:r>
            <w:r>
              <w:rPr>
                <w:rFonts w:ascii="Arial"/>
                <w:spacing w:val="-1"/>
                <w:sz w:val="18"/>
              </w:rPr>
            </w:r>
          </w:p>
        </w:tc>
        <w:tc>
          <w:tcPr>
            <w:tcW w:w="1686"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Style w:val="TableParagraph"/>
              <w:tabs>
                <w:tab w:pos="283" w:val="left" w:leader="none"/>
                <w:tab w:pos="1648" w:val="left" w:leader="none"/>
              </w:tabs>
              <w:spacing w:line="240" w:lineRule="auto" w:before="22"/>
              <w:ind w:right="4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19,654,970,322</w:t>
              <w:tab/>
            </w:r>
            <w:r>
              <w:rPr>
                <w:rFonts w:ascii="Arial"/>
                <w:spacing w:val="-1"/>
                <w:sz w:val="18"/>
              </w:rPr>
            </w:r>
          </w:p>
        </w:tc>
      </w:tr>
      <w:tr>
        <w:trPr>
          <w:trHeight w:val="279"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494"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775"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
        </w:tc>
      </w:tr>
      <w:tr>
        <w:trPr>
          <w:trHeight w:val="256"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07" w:lineRule="exact"/>
              <w:ind w:left="676" w:right="0"/>
              <w:jc w:val="left"/>
              <w:rPr>
                <w:rFonts w:ascii="宋体" w:hAnsi="宋体" w:cs="宋体" w:eastAsia="宋体" w:hint="default"/>
                <w:sz w:val="18"/>
                <w:szCs w:val="18"/>
              </w:rPr>
            </w:pPr>
            <w:r>
              <w:rPr>
                <w:rFonts w:ascii="宋体" w:hAnsi="宋体" w:cs="宋体" w:eastAsia="宋体" w:hint="default"/>
                <w:sz w:val="18"/>
                <w:szCs w:val="18"/>
              </w:rPr>
              <w:t>计算机软件</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03"/>
              <w:jc w:val="right"/>
              <w:rPr>
                <w:rFonts w:ascii="Arial" w:hAnsi="Arial" w:cs="Arial" w:eastAsia="Arial" w:hint="default"/>
                <w:sz w:val="18"/>
                <w:szCs w:val="18"/>
              </w:rPr>
            </w:pPr>
            <w:r>
              <w:rPr>
                <w:rFonts w:ascii="Arial"/>
                <w:spacing w:val="-1"/>
                <w:sz w:val="18"/>
              </w:rPr>
              <w:t>(9,694,786)</w:t>
            </w:r>
            <w:r>
              <w:rPr>
                <w:rFonts w:ascii="Arial"/>
                <w:sz w:val="18"/>
              </w:rPr>
            </w:r>
          </w:p>
        </w:tc>
        <w:tc>
          <w:tcPr>
            <w:tcW w:w="168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97"/>
              <w:jc w:val="right"/>
              <w:rPr>
                <w:rFonts w:ascii="Arial" w:hAnsi="Arial" w:cs="Arial" w:eastAsia="Arial" w:hint="default"/>
                <w:sz w:val="18"/>
                <w:szCs w:val="18"/>
              </w:rPr>
            </w:pPr>
            <w:r>
              <w:rPr>
                <w:rFonts w:ascii="Arial"/>
                <w:w w:val="99"/>
                <w:sz w:val="18"/>
              </w:rPr>
              <w:t>-</w:t>
            </w:r>
            <w:r>
              <w:rPr>
                <w:rFonts w:ascii="Arial"/>
                <w:sz w:val="18"/>
              </w:rPr>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914" w:right="0"/>
              <w:jc w:val="left"/>
              <w:rPr>
                <w:rFonts w:ascii="Arial" w:hAnsi="Arial" w:cs="Arial" w:eastAsia="Arial" w:hint="default"/>
                <w:sz w:val="18"/>
                <w:szCs w:val="18"/>
              </w:rPr>
            </w:pPr>
            <w:r>
              <w:rPr>
                <w:rFonts w:ascii="Arial"/>
                <w:sz w:val="18"/>
              </w:rPr>
              <w:t>232,400</w:t>
            </w: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681" w:right="0"/>
              <w:jc w:val="left"/>
              <w:rPr>
                <w:rFonts w:ascii="Arial" w:hAnsi="Arial" w:cs="Arial" w:eastAsia="Arial" w:hint="default"/>
                <w:sz w:val="18"/>
                <w:szCs w:val="18"/>
              </w:rPr>
            </w:pPr>
            <w:r>
              <w:rPr>
                <w:rFonts w:ascii="Arial"/>
                <w:sz w:val="18"/>
              </w:rPr>
              <w:t>(9,462,386)</w:t>
            </w:r>
          </w:p>
        </w:tc>
      </w:tr>
      <w:tr>
        <w:trPr>
          <w:trHeight w:val="230"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185" w:lineRule="exact"/>
              <w:ind w:left="67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75" w:type="dxa"/>
            <w:tcBorders>
              <w:top w:val="nil" w:sz="6" w:space="0" w:color="auto"/>
              <w:left w:val="nil" w:sz="6" w:space="0" w:color="auto"/>
              <w:bottom w:val="nil" w:sz="6" w:space="0" w:color="auto"/>
              <w:right w:val="nil" w:sz="6" w:space="0" w:color="auto"/>
            </w:tcBorders>
          </w:tcPr>
          <w:p>
            <w:pPr>
              <w:pStyle w:val="TableParagraph"/>
              <w:tabs>
                <w:tab w:pos="893" w:val="left" w:leader="none"/>
                <w:tab w:pos="1735" w:val="left" w:leader="none"/>
              </w:tabs>
              <w:spacing w:line="240" w:lineRule="auto" w:before="4"/>
              <w:ind w:right="3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(316,770)</w:t>
              <w:tab/>
            </w:r>
            <w:r>
              <w:rPr>
                <w:rFonts w:ascii="Arial"/>
                <w:spacing w:val="-1"/>
                <w:sz w:val="18"/>
              </w:rPr>
            </w:r>
          </w:p>
        </w:tc>
        <w:tc>
          <w:tcPr>
            <w:tcW w:w="1686" w:type="dxa"/>
            <w:tcBorders>
              <w:top w:val="nil" w:sz="6" w:space="0" w:color="auto"/>
              <w:left w:val="nil" w:sz="6" w:space="0" w:color="auto"/>
              <w:bottom w:val="nil" w:sz="6" w:space="0" w:color="auto"/>
              <w:right w:val="nil" w:sz="6" w:space="0" w:color="auto"/>
            </w:tcBorders>
          </w:tcPr>
          <w:p>
            <w:pPr>
              <w:pStyle w:val="TableParagraph"/>
              <w:tabs>
                <w:tab w:pos="1402" w:val="left" w:leader="none"/>
              </w:tabs>
              <w:spacing w:line="240" w:lineRule="auto" w:before="4"/>
              <w:ind w:right="78"/>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tab/>
            </w:r>
            <w:r>
              <w:rPr>
                <w:rFonts w:ascii="Arial"/>
                <w:sz w:val="18"/>
              </w:rPr>
            </w:r>
          </w:p>
        </w:tc>
        <w:tc>
          <w:tcPr>
            <w:tcW w:w="1788" w:type="dxa"/>
            <w:tcBorders>
              <w:top w:val="nil" w:sz="6" w:space="0" w:color="auto"/>
              <w:left w:val="nil" w:sz="6" w:space="0" w:color="auto"/>
              <w:bottom w:val="nil" w:sz="6" w:space="0" w:color="auto"/>
              <w:right w:val="nil" w:sz="6" w:space="0" w:color="auto"/>
            </w:tcBorders>
          </w:tcPr>
          <w:p>
            <w:pPr>
              <w:pStyle w:val="TableParagraph"/>
              <w:tabs>
                <w:tab w:pos="941" w:val="left" w:leader="none"/>
                <w:tab w:pos="1637" w:val="left" w:leader="none"/>
              </w:tabs>
              <w:spacing w:line="240" w:lineRule="auto" w:before="4"/>
              <w:ind w:right="7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84,080</w:t>
              <w:tab/>
            </w:r>
            <w:r>
              <w:rPr>
                <w:rFonts w:ascii="Arial"/>
                <w:spacing w:val="-1"/>
                <w:sz w:val="18"/>
              </w:rPr>
            </w:r>
          </w:p>
        </w:tc>
        <w:tc>
          <w:tcPr>
            <w:tcW w:w="1698" w:type="dxa"/>
            <w:tcBorders>
              <w:top w:val="nil" w:sz="6" w:space="0" w:color="auto"/>
              <w:left w:val="nil" w:sz="6" w:space="0" w:color="auto"/>
              <w:bottom w:val="nil" w:sz="6" w:space="0" w:color="auto"/>
              <w:right w:val="nil" w:sz="6" w:space="0" w:color="auto"/>
            </w:tcBorders>
          </w:tcPr>
          <w:p>
            <w:pPr>
              <w:pStyle w:val="TableParagraph"/>
              <w:tabs>
                <w:tab w:pos="823" w:val="left" w:leader="none"/>
                <w:tab w:pos="1648" w:val="left" w:leader="none"/>
              </w:tabs>
              <w:spacing w:line="240" w:lineRule="auto" w:before="4"/>
              <w:ind w:right="4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(232,690)</w:t>
              <w:tab/>
            </w:r>
            <w:r>
              <w:rPr>
                <w:rFonts w:ascii="Arial"/>
                <w:spacing w:val="-1"/>
                <w:sz w:val="18"/>
              </w:rPr>
            </w:r>
          </w:p>
        </w:tc>
      </w:tr>
      <w:tr>
        <w:trPr>
          <w:trHeight w:val="297"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03" w:lineRule="exact"/>
              <w:ind w:left="49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775" w:type="dxa"/>
            <w:tcBorders>
              <w:top w:val="nil" w:sz="6" w:space="0" w:color="auto"/>
              <w:left w:val="nil" w:sz="6" w:space="0" w:color="auto"/>
              <w:bottom w:val="nil" w:sz="6" w:space="0" w:color="auto"/>
              <w:right w:val="nil" w:sz="6" w:space="0" w:color="auto"/>
            </w:tcBorders>
          </w:tcPr>
          <w:p>
            <w:pPr>
              <w:pStyle w:val="TableParagraph"/>
              <w:tabs>
                <w:tab w:pos="642" w:val="left" w:leader="none"/>
                <w:tab w:pos="1735" w:val="left" w:leader="none"/>
              </w:tabs>
              <w:spacing w:line="240" w:lineRule="auto" w:before="22"/>
              <w:ind w:right="3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(10,011,556)</w:t>
              <w:tab/>
            </w:r>
            <w:r>
              <w:rPr>
                <w:rFonts w:ascii="Arial"/>
                <w:spacing w:val="-1"/>
                <w:sz w:val="18"/>
              </w:rPr>
            </w:r>
          </w:p>
        </w:tc>
        <w:tc>
          <w:tcPr>
            <w:tcW w:w="1686" w:type="dxa"/>
            <w:tcBorders>
              <w:top w:val="nil" w:sz="6" w:space="0" w:color="auto"/>
              <w:left w:val="nil" w:sz="6" w:space="0" w:color="auto"/>
              <w:bottom w:val="nil" w:sz="6" w:space="0" w:color="auto"/>
              <w:right w:val="nil" w:sz="6" w:space="0" w:color="auto"/>
            </w:tcBorders>
          </w:tcPr>
          <w:p>
            <w:pPr>
              <w:pStyle w:val="TableParagraph"/>
              <w:tabs>
                <w:tab w:pos="1401" w:val="left" w:leader="none"/>
              </w:tabs>
              <w:spacing w:line="240" w:lineRule="auto" w:before="22"/>
              <w:ind w:right="78"/>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w:t>
              <w:tab/>
            </w:r>
            <w:r>
              <w:rPr>
                <w:rFonts w:ascii="Arial"/>
                <w:sz w:val="18"/>
              </w:rPr>
            </w:r>
          </w:p>
        </w:tc>
        <w:tc>
          <w:tcPr>
            <w:tcW w:w="1788" w:type="dxa"/>
            <w:tcBorders>
              <w:top w:val="nil" w:sz="6" w:space="0" w:color="auto"/>
              <w:left w:val="nil" w:sz="6" w:space="0" w:color="auto"/>
              <w:bottom w:val="nil" w:sz="6" w:space="0" w:color="auto"/>
              <w:right w:val="nil" w:sz="6" w:space="0" w:color="auto"/>
            </w:tcBorders>
          </w:tcPr>
          <w:p>
            <w:pPr>
              <w:pStyle w:val="TableParagraph"/>
              <w:tabs>
                <w:tab w:pos="841" w:val="left" w:leader="none"/>
                <w:tab w:pos="1637" w:val="left" w:leader="none"/>
              </w:tabs>
              <w:spacing w:line="240" w:lineRule="auto" w:before="22"/>
              <w:ind w:right="74"/>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316,480</w:t>
              <w:tab/>
            </w:r>
            <w:r>
              <w:rPr>
                <w:rFonts w:ascii="Arial"/>
                <w:spacing w:val="-1"/>
                <w:sz w:val="18"/>
              </w:rPr>
            </w:r>
          </w:p>
        </w:tc>
        <w:tc>
          <w:tcPr>
            <w:tcW w:w="1698" w:type="dxa"/>
            <w:tcBorders>
              <w:top w:val="nil" w:sz="6" w:space="0" w:color="auto"/>
              <w:left w:val="nil" w:sz="6" w:space="0" w:color="auto"/>
              <w:bottom w:val="nil" w:sz="6" w:space="0" w:color="auto"/>
              <w:right w:val="nil" w:sz="6" w:space="0" w:color="auto"/>
            </w:tcBorders>
          </w:tcPr>
          <w:p>
            <w:pPr>
              <w:pStyle w:val="TableParagraph"/>
              <w:tabs>
                <w:tab w:pos="674" w:val="left" w:leader="none"/>
                <w:tab w:pos="1648" w:val="left" w:leader="none"/>
              </w:tabs>
              <w:spacing w:line="240" w:lineRule="auto" w:before="22"/>
              <w:ind w:right="4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(9,695,076)</w:t>
              <w:tab/>
            </w:r>
            <w:r>
              <w:rPr>
                <w:rFonts w:ascii="Arial"/>
                <w:spacing w:val="-1"/>
                <w:sz w:val="18"/>
              </w:rPr>
            </w:r>
          </w:p>
        </w:tc>
      </w:tr>
      <w:tr>
        <w:trPr>
          <w:trHeight w:val="279"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494"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775" w:type="dxa"/>
            <w:tcBorders>
              <w:top w:val="nil" w:sz="6" w:space="0" w:color="auto"/>
              <w:left w:val="nil" w:sz="6" w:space="0" w:color="auto"/>
              <w:bottom w:val="nil" w:sz="6" w:space="0" w:color="auto"/>
              <w:right w:val="nil" w:sz="6" w:space="0" w:color="auto"/>
            </w:tcBorders>
          </w:tcPr>
          <w:p>
            <w:pPr/>
          </w:p>
        </w:tc>
        <w:tc>
          <w:tcPr>
            <w:tcW w:w="1686"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
        </w:tc>
      </w:tr>
      <w:tr>
        <w:trPr>
          <w:trHeight w:val="244"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07" w:lineRule="exact"/>
              <w:ind w:left="676"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60" w:right="0"/>
              <w:jc w:val="left"/>
              <w:rPr>
                <w:rFonts w:ascii="Arial" w:hAnsi="Arial" w:cs="Arial" w:eastAsia="Arial" w:hint="default"/>
                <w:sz w:val="18"/>
                <w:szCs w:val="18"/>
              </w:rPr>
            </w:pPr>
            <w:r>
              <w:rPr>
                <w:rFonts w:ascii="Arial"/>
                <w:sz w:val="18"/>
              </w:rPr>
              <w:t>15,250,497,214</w:t>
            </w:r>
          </w:p>
        </w:tc>
        <w:tc>
          <w:tcPr>
            <w:tcW w:w="1686"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90" w:right="0"/>
              <w:jc w:val="left"/>
              <w:rPr>
                <w:rFonts w:ascii="Arial" w:hAnsi="Arial" w:cs="Arial" w:eastAsia="Arial" w:hint="default"/>
                <w:sz w:val="18"/>
                <w:szCs w:val="18"/>
              </w:rPr>
            </w:pPr>
            <w:r>
              <w:rPr>
                <w:rFonts w:ascii="Arial"/>
                <w:sz w:val="18"/>
              </w:rPr>
              <w:t>14,943,665,730</w:t>
            </w:r>
          </w:p>
        </w:tc>
      </w:tr>
      <w:tr>
        <w:trPr>
          <w:trHeight w:val="233"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195" w:lineRule="exact"/>
              <w:ind w:left="677" w:right="0"/>
              <w:jc w:val="left"/>
              <w:rPr>
                <w:rFonts w:ascii="宋体" w:hAnsi="宋体" w:cs="宋体" w:eastAsia="宋体" w:hint="default"/>
                <w:sz w:val="18"/>
                <w:szCs w:val="18"/>
              </w:rPr>
            </w:pPr>
            <w:r>
              <w:rPr>
                <w:rFonts w:ascii="宋体" w:hAnsi="宋体" w:cs="宋体" w:eastAsia="宋体" w:hint="default"/>
                <w:sz w:val="18"/>
                <w:szCs w:val="18"/>
              </w:rPr>
              <w:t>计算机软件</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59" w:right="0"/>
              <w:jc w:val="left"/>
              <w:rPr>
                <w:rFonts w:ascii="Arial" w:hAnsi="Arial" w:cs="Arial" w:eastAsia="Arial" w:hint="default"/>
                <w:sz w:val="18"/>
                <w:szCs w:val="18"/>
              </w:rPr>
            </w:pPr>
            <w:r>
              <w:rPr>
                <w:rFonts w:ascii="Arial"/>
                <w:sz w:val="18"/>
              </w:rPr>
              <w:t>2,874,545,239</w:t>
            </w:r>
          </w:p>
        </w:tc>
        <w:tc>
          <w:tcPr>
            <w:tcW w:w="1686"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90" w:right="0"/>
              <w:jc w:val="left"/>
              <w:rPr>
                <w:rFonts w:ascii="Arial" w:hAnsi="Arial" w:cs="Arial" w:eastAsia="Arial" w:hint="default"/>
                <w:sz w:val="18"/>
                <w:szCs w:val="18"/>
              </w:rPr>
            </w:pPr>
            <w:r>
              <w:rPr>
                <w:rFonts w:ascii="Arial"/>
                <w:sz w:val="18"/>
              </w:rPr>
              <w:t>3,954,372,948</w:t>
            </w:r>
          </w:p>
        </w:tc>
      </w:tr>
      <w:tr>
        <w:trPr>
          <w:trHeight w:val="233"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196" w:lineRule="exact"/>
              <w:ind w:right="477"/>
              <w:jc w:val="right"/>
              <w:rPr>
                <w:rFonts w:ascii="宋体" w:hAnsi="宋体" w:cs="宋体" w:eastAsia="宋体" w:hint="default"/>
                <w:sz w:val="18"/>
                <w:szCs w:val="18"/>
              </w:rPr>
            </w:pPr>
            <w:r>
              <w:rPr>
                <w:rFonts w:ascii="宋体" w:hAnsi="宋体" w:cs="宋体" w:eastAsia="宋体" w:hint="default"/>
                <w:sz w:val="18"/>
                <w:szCs w:val="18"/>
              </w:rPr>
              <w:t>电路及设备使用权</w:t>
            </w:r>
          </w:p>
        </w:tc>
        <w:tc>
          <w:tcPr>
            <w:tcW w:w="177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10" w:right="0"/>
              <w:jc w:val="left"/>
              <w:rPr>
                <w:rFonts w:ascii="Arial" w:hAnsi="Arial" w:cs="Arial" w:eastAsia="Arial" w:hint="default"/>
                <w:sz w:val="18"/>
                <w:szCs w:val="18"/>
              </w:rPr>
            </w:pPr>
            <w:r>
              <w:rPr>
                <w:rFonts w:ascii="Arial"/>
                <w:sz w:val="18"/>
              </w:rPr>
              <w:t>451,421,027</w:t>
            </w:r>
          </w:p>
        </w:tc>
        <w:tc>
          <w:tcPr>
            <w:tcW w:w="1686"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541" w:right="0"/>
              <w:jc w:val="left"/>
              <w:rPr>
                <w:rFonts w:ascii="Arial" w:hAnsi="Arial" w:cs="Arial" w:eastAsia="Arial" w:hint="default"/>
                <w:sz w:val="18"/>
                <w:szCs w:val="18"/>
              </w:rPr>
            </w:pPr>
            <w:r>
              <w:rPr>
                <w:rFonts w:ascii="Arial"/>
                <w:sz w:val="18"/>
              </w:rPr>
              <w:t>579,883,512</w:t>
            </w:r>
          </w:p>
        </w:tc>
      </w:tr>
      <w:tr>
        <w:trPr>
          <w:trHeight w:val="241"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195" w:lineRule="exact"/>
              <w:ind w:left="67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75" w:type="dxa"/>
            <w:tcBorders>
              <w:top w:val="nil" w:sz="6" w:space="0" w:color="auto"/>
              <w:left w:val="nil" w:sz="6" w:space="0" w:color="auto"/>
              <w:bottom w:val="nil" w:sz="6" w:space="0" w:color="auto"/>
              <w:right w:val="nil" w:sz="6" w:space="0" w:color="auto"/>
            </w:tcBorders>
          </w:tcPr>
          <w:p>
            <w:pPr>
              <w:pStyle w:val="TableParagraph"/>
              <w:tabs>
                <w:tab w:pos="603" w:val="left" w:leader="none"/>
                <w:tab w:pos="1735" w:val="left" w:leader="none"/>
              </w:tabs>
              <w:spacing w:line="240" w:lineRule="auto" w:before="14"/>
              <w:ind w:right="3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104,194,054</w:t>
              <w:tab/>
            </w:r>
            <w:r>
              <w:rPr>
                <w:rFonts w:ascii="Arial"/>
                <w:spacing w:val="-1"/>
                <w:sz w:val="18"/>
              </w:rPr>
            </w:r>
          </w:p>
        </w:tc>
        <w:tc>
          <w:tcPr>
            <w:tcW w:w="1686"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nil" w:sz="6" w:space="0" w:color="auto"/>
              <w:right w:val="nil" w:sz="6" w:space="0" w:color="auto"/>
            </w:tcBorders>
          </w:tcPr>
          <w:p>
            <w:pPr>
              <w:pStyle w:val="TableParagraph"/>
              <w:tabs>
                <w:tab w:pos="533" w:val="left" w:leader="none"/>
                <w:tab w:pos="1648" w:val="left" w:leader="none"/>
              </w:tabs>
              <w:spacing w:line="240" w:lineRule="auto" w:before="14"/>
              <w:ind w:right="40"/>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r>
            <w:r>
              <w:rPr>
                <w:rFonts w:ascii="Arial"/>
                <w:spacing w:val="-1"/>
                <w:sz w:val="18"/>
                <w:u w:val="single" w:color="000000"/>
              </w:rPr>
              <w:t>167,353,056</w:t>
              <w:tab/>
            </w:r>
            <w:r>
              <w:rPr>
                <w:rFonts w:ascii="Arial"/>
                <w:spacing w:val="-1"/>
                <w:sz w:val="18"/>
              </w:rPr>
            </w:r>
          </w:p>
        </w:tc>
      </w:tr>
      <w:tr>
        <w:trPr>
          <w:trHeight w:val="254"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04" w:lineRule="exact"/>
              <w:ind w:left="677"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775" w:type="dxa"/>
            <w:tcBorders>
              <w:top w:val="nil" w:sz="6" w:space="0" w:color="auto"/>
              <w:left w:val="nil" w:sz="6" w:space="0" w:color="auto"/>
              <w:bottom w:val="single" w:sz="17" w:space="0" w:color="000000"/>
              <w:right w:val="nil" w:sz="6" w:space="0" w:color="auto"/>
            </w:tcBorders>
          </w:tcPr>
          <w:p>
            <w:pPr>
              <w:pStyle w:val="TableParagraph"/>
              <w:spacing w:line="240" w:lineRule="auto" w:before="22"/>
              <w:ind w:left="360" w:right="0"/>
              <w:jc w:val="left"/>
              <w:rPr>
                <w:rFonts w:ascii="Arial" w:hAnsi="Arial" w:cs="Arial" w:eastAsia="Arial" w:hint="default"/>
                <w:sz w:val="18"/>
                <w:szCs w:val="18"/>
              </w:rPr>
            </w:pPr>
            <w:r>
              <w:rPr>
                <w:rFonts w:ascii="Arial"/>
                <w:sz w:val="18"/>
              </w:rPr>
              <w:t>18,680,657,534</w:t>
            </w:r>
          </w:p>
        </w:tc>
        <w:tc>
          <w:tcPr>
            <w:tcW w:w="1686" w:type="dxa"/>
            <w:tcBorders>
              <w:top w:val="nil" w:sz="6" w:space="0" w:color="auto"/>
              <w:left w:val="nil" w:sz="6" w:space="0" w:color="auto"/>
              <w:bottom w:val="nil" w:sz="6" w:space="0" w:color="auto"/>
              <w:right w:val="nil" w:sz="6" w:space="0" w:color="auto"/>
            </w:tcBorders>
          </w:tcPr>
          <w:p>
            <w:pPr/>
          </w:p>
        </w:tc>
        <w:tc>
          <w:tcPr>
            <w:tcW w:w="1788" w:type="dxa"/>
            <w:tcBorders>
              <w:top w:val="nil" w:sz="6" w:space="0" w:color="auto"/>
              <w:left w:val="nil" w:sz="6" w:space="0" w:color="auto"/>
              <w:bottom w:val="nil" w:sz="6" w:space="0" w:color="auto"/>
              <w:right w:val="nil" w:sz="6" w:space="0" w:color="auto"/>
            </w:tcBorders>
          </w:tcPr>
          <w:p>
            <w:pPr/>
          </w:p>
        </w:tc>
        <w:tc>
          <w:tcPr>
            <w:tcW w:w="1698" w:type="dxa"/>
            <w:tcBorders>
              <w:top w:val="nil" w:sz="6" w:space="0" w:color="auto"/>
              <w:left w:val="nil" w:sz="6" w:space="0" w:color="auto"/>
              <w:bottom w:val="single" w:sz="17" w:space="0" w:color="000000"/>
              <w:right w:val="nil" w:sz="6" w:space="0" w:color="auto"/>
            </w:tcBorders>
          </w:tcPr>
          <w:p>
            <w:pPr>
              <w:pStyle w:val="TableParagraph"/>
              <w:spacing w:line="240" w:lineRule="auto" w:before="22"/>
              <w:ind w:left="290" w:right="0"/>
              <w:jc w:val="left"/>
              <w:rPr>
                <w:rFonts w:ascii="Arial" w:hAnsi="Arial" w:cs="Arial" w:eastAsia="Arial" w:hint="default"/>
                <w:sz w:val="18"/>
                <w:szCs w:val="18"/>
              </w:rPr>
            </w:pPr>
            <w:r>
              <w:rPr>
                <w:rFonts w:ascii="Arial"/>
                <w:sz w:val="18"/>
              </w:rPr>
              <w:t>19,645,275,246</w:t>
            </w:r>
          </w:p>
        </w:tc>
      </w:tr>
    </w:tbl>
    <w:p>
      <w:pPr>
        <w:spacing w:after="0" w:line="240" w:lineRule="auto"/>
        <w:jc w:val="left"/>
        <w:rPr>
          <w:rFonts w:ascii="Arial" w:hAnsi="Arial" w:cs="Arial" w:eastAsia="Arial" w:hint="default"/>
          <w:sz w:val="18"/>
          <w:szCs w:val="18"/>
        </w:rPr>
        <w:sectPr>
          <w:footerReference w:type="default" r:id="rId93"/>
          <w:pgSz w:w="11910" w:h="16840"/>
          <w:pgMar w:footer="752" w:header="0" w:top="3060" w:bottom="940" w:left="1240" w:right="900"/>
          <w:pgNumType w:start="110"/>
        </w:sectPr>
      </w:pPr>
    </w:p>
    <w:p>
      <w:pPr>
        <w:spacing w:line="240" w:lineRule="auto" w:before="12"/>
        <w:rPr>
          <w:rFonts w:ascii="宋体" w:hAnsi="宋体" w:cs="宋体" w:eastAsia="宋体" w:hint="default"/>
          <w:sz w:val="14"/>
          <w:szCs w:val="14"/>
        </w:rPr>
      </w:pPr>
      <w:r>
        <w:rPr/>
        <w:pict>
          <v:group style="position:absolute;margin-left:201.059998pt;margin-top:486.059998pt;width:72.8pt;height:.1pt;mso-position-horizontal-relative:page;mso-position-vertical-relative:page;z-index:-914944" coordorigin="4021,9721" coordsize="1456,2">
            <v:shape style="position:absolute;left:4021;top:9721;width:1456;height:2" coordorigin="4021,9721" coordsize="1456,0" path="m4021,9721l5477,9721e" filled="false" stroked="true" strokeweight=".72pt" strokecolor="#000000">
              <v:path arrowok="t"/>
            </v:shape>
            <w10:wrap type="none"/>
          </v:group>
        </w:pict>
      </w:r>
    </w:p>
    <w:p>
      <w:pPr>
        <w:pStyle w:val="BodyText"/>
        <w:spacing w:line="240" w:lineRule="auto" w:before="31"/>
        <w:ind w:left="142" w:right="337"/>
        <w:jc w:val="left"/>
        <w:rPr>
          <w:rFonts w:ascii="黑体" w:hAnsi="黑体" w:cs="黑体" w:eastAsia="黑体" w:hint="default"/>
        </w:rPr>
      </w:pPr>
      <w:r>
        <w:rPr>
          <w:rFonts w:ascii="Arial" w:hAnsi="Arial" w:cs="Arial" w:eastAsia="Arial" w:hint="default"/>
        </w:rPr>
        <w:t>12</w:t>
      </w:r>
      <w:r>
        <w:rPr>
          <w:rFonts w:ascii="黑体" w:hAnsi="黑体" w:cs="黑体" w:eastAsia="黑体" w:hint="default"/>
        </w:rPr>
        <w:t>、无形资产（续）</w:t>
      </w:r>
    </w:p>
    <w:p>
      <w:pPr>
        <w:spacing w:line="240" w:lineRule="auto" w:before="5"/>
        <w:rPr>
          <w:rFonts w:ascii="黑体" w:hAnsi="黑体" w:cs="黑体" w:eastAsia="黑体" w:hint="default"/>
          <w:sz w:val="15"/>
          <w:szCs w:val="15"/>
        </w:rPr>
      </w:pPr>
    </w:p>
    <w:p>
      <w:pPr>
        <w:pStyle w:val="BodyText"/>
        <w:spacing w:line="240" w:lineRule="auto"/>
        <w:ind w:left="632" w:right="0"/>
        <w:jc w:val="left"/>
      </w:pPr>
      <w:r>
        <w:rPr/>
        <w:pict>
          <v:group style="position:absolute;margin-left:222.059998pt;margin-top:78.679077pt;width:86.25pt;height:.1pt;mso-position-horizontal-relative:page;mso-position-vertical-relative:paragraph;z-index:-914992" coordorigin="4441,1574" coordsize="1725,2">
            <v:shape style="position:absolute;left:4441;top:1574;width:1725;height:2" coordorigin="4441,1574" coordsize="1725,0" path="m4441,1574l6166,1574e" filled="false" stroked="true" strokeweight=".72pt" strokecolor="#000000">
              <v:path arrowok="t"/>
            </v:shape>
            <w10:wrap type="none"/>
          </v:group>
        </w:pict>
      </w:r>
      <w:r>
        <w:rPr/>
        <w:pict>
          <v:group style="position:absolute;margin-left:314.040009pt;margin-top:78.679077pt;width:69.45pt;height:.1pt;mso-position-horizontal-relative:page;mso-position-vertical-relative:paragraph;z-index:-914968" coordorigin="6281,1574" coordsize="1389,2">
            <v:shape style="position:absolute;left:6281;top:1574;width:1389;height:2" coordorigin="6281,1574" coordsize="1389,0" path="m6281,1574l7669,1574e" filled="false" stroked="true" strokeweight=".72pt" strokecolor="#000000">
              <v:path arrowok="t"/>
            </v:shape>
            <w10:wrap type="none"/>
          </v:group>
        </w:pict>
      </w:r>
      <w:r>
        <w:rPr>
          <w:rFonts w:ascii="Arial" w:hAnsi="Arial" w:cs="Arial" w:eastAsia="Arial" w:hint="default"/>
          <w:w w:val="99"/>
        </w:rPr>
        <w:t>2009</w:t>
      </w:r>
      <w:r>
        <w:rPr>
          <w:rFonts w:ascii="Arial" w:hAnsi="Arial" w:cs="Arial" w:eastAsia="Arial" w:hint="default"/>
          <w:spacing w:val="-7"/>
        </w:rPr>
        <w:t> </w:t>
      </w:r>
      <w:r>
        <w:rPr>
          <w:w w:val="99"/>
        </w:rPr>
        <w:t>年度无形资产</w:t>
      </w:r>
      <w:r>
        <w:rPr>
          <w:spacing w:val="1"/>
          <w:w w:val="99"/>
        </w:rPr>
        <w:t>的摊</w:t>
      </w:r>
      <w:r>
        <w:rPr>
          <w:w w:val="99"/>
        </w:rPr>
        <w:t>销金额为</w:t>
      </w:r>
      <w:r>
        <w:rPr>
          <w:spacing w:val="-56"/>
        </w:rPr>
        <w:t> </w:t>
      </w:r>
      <w:r>
        <w:rPr>
          <w:rFonts w:ascii="Arial" w:hAnsi="Arial" w:cs="Arial" w:eastAsia="Arial" w:hint="default"/>
          <w:w w:val="99"/>
        </w:rPr>
        <w:t>1</w:t>
      </w:r>
      <w:r>
        <w:rPr>
          <w:rFonts w:ascii="Arial" w:hAnsi="Arial" w:cs="Arial" w:eastAsia="Arial" w:hint="default"/>
          <w:spacing w:val="1"/>
          <w:w w:val="99"/>
        </w:rPr>
        <w:t>3</w:t>
      </w:r>
      <w:r>
        <w:rPr>
          <w:rFonts w:ascii="Arial" w:hAnsi="Arial" w:cs="Arial" w:eastAsia="Arial" w:hint="default"/>
          <w:w w:val="99"/>
        </w:rPr>
        <w:t>.25</w:t>
      </w:r>
      <w:r>
        <w:rPr>
          <w:rFonts w:ascii="Arial" w:hAnsi="Arial" w:cs="Arial" w:eastAsia="Arial" w:hint="default"/>
          <w:spacing w:val="-7"/>
        </w:rPr>
        <w:t> </w:t>
      </w:r>
      <w:r>
        <w:rPr>
          <w:w w:val="99"/>
        </w:rPr>
        <w:t>亿</w:t>
      </w:r>
      <w:r>
        <w:rPr>
          <w:spacing w:val="-111"/>
          <w:w w:val="99"/>
        </w:rPr>
        <w:t>元</w:t>
      </w:r>
      <w:r>
        <w:rPr>
          <w:w w:val="99"/>
        </w:rPr>
        <w:t>（</w:t>
      </w:r>
      <w:r>
        <w:rPr>
          <w:rFonts w:ascii="Arial" w:hAnsi="Arial" w:cs="Arial" w:eastAsia="Arial" w:hint="default"/>
          <w:w w:val="99"/>
        </w:rPr>
        <w:t>2</w:t>
      </w:r>
      <w:r>
        <w:rPr>
          <w:rFonts w:ascii="Arial" w:hAnsi="Arial" w:cs="Arial" w:eastAsia="Arial" w:hint="default"/>
          <w:spacing w:val="1"/>
          <w:w w:val="99"/>
        </w:rPr>
        <w:t>0</w:t>
      </w:r>
      <w:r>
        <w:rPr>
          <w:rFonts w:ascii="Arial" w:hAnsi="Arial" w:cs="Arial" w:eastAsia="Arial" w:hint="default"/>
          <w:w w:val="99"/>
        </w:rPr>
        <w:t>08</w:t>
      </w:r>
      <w:r>
        <w:rPr>
          <w:rFonts w:ascii="Arial" w:hAnsi="Arial" w:cs="Arial" w:eastAsia="Arial" w:hint="default"/>
          <w:spacing w:val="-7"/>
        </w:rPr>
        <w:t> </w:t>
      </w:r>
      <w:r>
        <w:rPr>
          <w:w w:val="99"/>
        </w:rPr>
        <w:t>年度持</w:t>
      </w:r>
      <w:r>
        <w:rPr>
          <w:spacing w:val="1"/>
          <w:w w:val="99"/>
        </w:rPr>
        <w:t>续</w:t>
      </w:r>
      <w:r>
        <w:rPr>
          <w:w w:val="99"/>
        </w:rPr>
        <w:t>经营业</w:t>
      </w:r>
      <w:r>
        <w:rPr>
          <w:spacing w:val="1"/>
          <w:w w:val="99"/>
        </w:rPr>
        <w:t>务</w:t>
      </w:r>
      <w:r>
        <w:rPr>
          <w:spacing w:val="-111"/>
          <w:w w:val="99"/>
        </w:rPr>
        <w:t>：</w:t>
      </w:r>
      <w:r>
        <w:rPr>
          <w:spacing w:val="1"/>
          <w:w w:val="99"/>
        </w:rPr>
        <w:t>约</w:t>
      </w:r>
      <w:r>
        <w:rPr>
          <w:w w:val="99"/>
        </w:rPr>
        <w:t>人民币</w:t>
      </w:r>
      <w:r>
        <w:rPr>
          <w:spacing w:val="-56"/>
        </w:rPr>
        <w:t> </w:t>
      </w:r>
      <w:r>
        <w:rPr>
          <w:rFonts w:ascii="Arial" w:hAnsi="Arial" w:cs="Arial" w:eastAsia="Arial" w:hint="default"/>
          <w:w w:val="99"/>
        </w:rPr>
        <w:t>13.41</w:t>
      </w:r>
      <w:r>
        <w:rPr>
          <w:rFonts w:ascii="Arial" w:hAnsi="Arial" w:cs="Arial" w:eastAsia="Arial" w:hint="default"/>
          <w:spacing w:val="-7"/>
        </w:rPr>
        <w:t> </w:t>
      </w:r>
      <w:r>
        <w:rPr>
          <w:w w:val="99"/>
        </w:rPr>
        <w:t>亿元</w:t>
      </w:r>
      <w:r>
        <w:rPr>
          <w:spacing w:val="-110"/>
          <w:w w:val="99"/>
        </w:rPr>
        <w:t>）</w:t>
      </w:r>
      <w:r>
        <w:rPr>
          <w:w w:val="99"/>
        </w:rPr>
        <w:t>。</w:t>
      </w:r>
      <w:r>
        <w:rPr/>
      </w:r>
    </w:p>
    <w:p>
      <w:pPr>
        <w:spacing w:line="240" w:lineRule="auto" w:before="13"/>
        <w:rPr>
          <w:rFonts w:ascii="宋体" w:hAnsi="宋体" w:cs="宋体" w:eastAsia="宋体" w:hint="default"/>
          <w:sz w:val="12"/>
          <w:szCs w:val="12"/>
        </w:rPr>
      </w:pPr>
    </w:p>
    <w:tbl>
      <w:tblPr>
        <w:tblW w:w="0" w:type="auto"/>
        <w:jc w:val="left"/>
        <w:tblInd w:w="107" w:type="dxa"/>
        <w:tblLayout w:type="fixed"/>
        <w:tblCellMar>
          <w:top w:w="0" w:type="dxa"/>
          <w:left w:w="0" w:type="dxa"/>
          <w:bottom w:w="0" w:type="dxa"/>
          <w:right w:w="0" w:type="dxa"/>
        </w:tblCellMar>
        <w:tblLook w:val="01E0"/>
      </w:tblPr>
      <w:tblGrid>
        <w:gridCol w:w="7988"/>
        <w:gridCol w:w="61"/>
        <w:gridCol w:w="1548"/>
      </w:tblGrid>
      <w:tr>
        <w:trPr>
          <w:trHeight w:val="838" w:hRule="exact"/>
        </w:trPr>
        <w:tc>
          <w:tcPr>
            <w:tcW w:w="7988"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黑体" w:hAnsi="黑体" w:cs="黑体" w:eastAsia="黑体" w:hint="default"/>
                <w:sz w:val="22"/>
                <w:szCs w:val="22"/>
              </w:rPr>
            </w:pPr>
            <w:r>
              <w:rPr>
                <w:rFonts w:ascii="Arial" w:hAnsi="Arial" w:cs="Arial" w:eastAsia="Arial" w:hint="default"/>
                <w:sz w:val="22"/>
                <w:szCs w:val="22"/>
              </w:rPr>
              <w:t>13</w:t>
            </w:r>
            <w:r>
              <w:rPr>
                <w:rFonts w:ascii="黑体" w:hAnsi="黑体" w:cs="黑体" w:eastAsia="黑体" w:hint="default"/>
                <w:sz w:val="22"/>
                <w:szCs w:val="22"/>
              </w:rPr>
              <w:t>、长期待摊费用</w:t>
            </w: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880" w:right="0"/>
              <w:jc w:val="center"/>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53"/>
              <w:jc w:val="righ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p>
        </w:tc>
      </w:tr>
      <w:tr>
        <w:trPr>
          <w:trHeight w:val="263" w:hRule="exact"/>
        </w:trPr>
        <w:tc>
          <w:tcPr>
            <w:tcW w:w="7988" w:type="dxa"/>
            <w:tcBorders>
              <w:top w:val="nil" w:sz="6" w:space="0" w:color="auto"/>
              <w:left w:val="nil" w:sz="6" w:space="0" w:color="auto"/>
              <w:bottom w:val="single" w:sz="6" w:space="0" w:color="000000"/>
              <w:right w:val="nil" w:sz="6" w:space="0" w:color="auto"/>
            </w:tcBorders>
          </w:tcPr>
          <w:p>
            <w:pPr>
              <w:pStyle w:val="TableParagraph"/>
              <w:tabs>
                <w:tab w:pos="1697" w:val="left" w:leader="none"/>
                <w:tab w:pos="3319" w:val="left" w:leader="none"/>
              </w:tabs>
              <w:spacing w:line="239" w:lineRule="exact"/>
              <w:ind w:right="78"/>
              <w:jc w:val="righ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pacing w:val="-1"/>
                <w:sz w:val="20"/>
                <w:szCs w:val="20"/>
              </w:rPr>
              <w:t>31</w:t>
            </w:r>
            <w:r>
              <w:rPr>
                <w:rFonts w:ascii="Arial" w:hAnsi="Arial" w:cs="Arial" w:eastAsia="Arial" w:hint="default"/>
                <w:spacing w:val="-5"/>
                <w:sz w:val="20"/>
                <w:szCs w:val="20"/>
              </w:rPr>
              <w:t> </w:t>
            </w:r>
            <w:r>
              <w:rPr>
                <w:rFonts w:ascii="宋体" w:hAnsi="宋体" w:cs="宋体" w:eastAsia="宋体" w:hint="default"/>
                <w:sz w:val="20"/>
                <w:szCs w:val="20"/>
              </w:rPr>
              <w:t>日</w:t>
              <w:tab/>
              <w:t>本年增加</w:t>
              <w:tab/>
              <w:t>本年摊销</w:t>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single" w:sz="6" w:space="0" w:color="000000"/>
              <w:right w:val="nil" w:sz="6" w:space="0" w:color="auto"/>
            </w:tcBorders>
          </w:tcPr>
          <w:p>
            <w:pPr>
              <w:pStyle w:val="TableParagraph"/>
              <w:spacing w:line="239" w:lineRule="exact"/>
              <w:ind w:right="53"/>
              <w:jc w:val="righ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7"/>
                <w:sz w:val="20"/>
                <w:szCs w:val="20"/>
              </w:rPr>
              <w:t> </w:t>
            </w:r>
            <w:r>
              <w:rPr>
                <w:rFonts w:ascii="宋体" w:hAnsi="宋体" w:cs="宋体" w:eastAsia="宋体" w:hint="default"/>
                <w:sz w:val="20"/>
                <w:szCs w:val="20"/>
              </w:rPr>
              <w:t>日</w:t>
            </w:r>
          </w:p>
        </w:tc>
      </w:tr>
      <w:tr>
        <w:trPr>
          <w:trHeight w:val="267" w:hRule="exact"/>
        </w:trPr>
        <w:tc>
          <w:tcPr>
            <w:tcW w:w="7988" w:type="dxa"/>
            <w:tcBorders>
              <w:top w:val="single" w:sz="6" w:space="0" w:color="000000"/>
              <w:left w:val="nil" w:sz="6" w:space="0" w:color="auto"/>
              <w:bottom w:val="nil" w:sz="6" w:space="0" w:color="auto"/>
              <w:right w:val="nil" w:sz="6" w:space="0" w:color="auto"/>
            </w:tcBorders>
          </w:tcPr>
          <w:p>
            <w:pPr>
              <w:pStyle w:val="TableParagraph"/>
              <w:spacing w:line="231" w:lineRule="exact"/>
              <w:ind w:left="575" w:right="0"/>
              <w:jc w:val="center"/>
              <w:rPr>
                <w:rFonts w:ascii="宋体" w:hAnsi="宋体" w:cs="宋体" w:eastAsia="宋体" w:hint="default"/>
                <w:sz w:val="20"/>
                <w:szCs w:val="20"/>
              </w:rPr>
            </w:pPr>
            <w:r>
              <w:rPr>
                <w:rFonts w:ascii="宋体" w:hAnsi="宋体" w:cs="宋体" w:eastAsia="宋体" w:hint="default"/>
                <w:sz w:val="20"/>
                <w:szCs w:val="20"/>
              </w:rPr>
              <w:t>（经重列）</w:t>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single" w:sz="6" w:space="0" w:color="000000"/>
              <w:left w:val="nil" w:sz="6" w:space="0" w:color="auto"/>
              <w:bottom w:val="nil" w:sz="6" w:space="0" w:color="auto"/>
              <w:right w:val="nil" w:sz="6" w:space="0" w:color="auto"/>
            </w:tcBorders>
          </w:tcPr>
          <w:p>
            <w:pPr/>
          </w:p>
        </w:tc>
      </w:tr>
      <w:tr>
        <w:trPr>
          <w:trHeight w:val="270" w:hRule="exact"/>
        </w:trPr>
        <w:tc>
          <w:tcPr>
            <w:tcW w:w="7988" w:type="dxa"/>
            <w:tcBorders>
              <w:top w:val="nil" w:sz="6" w:space="0" w:color="auto"/>
              <w:left w:val="nil" w:sz="6" w:space="0" w:color="auto"/>
              <w:bottom w:val="nil" w:sz="6" w:space="0" w:color="auto"/>
              <w:right w:val="nil" w:sz="6" w:space="0" w:color="auto"/>
            </w:tcBorders>
          </w:tcPr>
          <w:p>
            <w:pPr>
              <w:pStyle w:val="TableParagraph"/>
              <w:tabs>
                <w:tab w:pos="3011" w:val="left" w:leader="none"/>
                <w:tab w:pos="4703" w:val="left" w:leader="none"/>
                <w:tab w:pos="6193" w:val="left" w:leader="none"/>
              </w:tabs>
              <w:spacing w:line="255" w:lineRule="exact"/>
              <w:ind w:right="79"/>
              <w:jc w:val="right"/>
              <w:rPr>
                <w:rFonts w:ascii="Arial" w:hAnsi="Arial" w:cs="Arial" w:eastAsia="Arial" w:hint="default"/>
                <w:sz w:val="20"/>
                <w:szCs w:val="20"/>
              </w:rPr>
            </w:pPr>
            <w:r>
              <w:rPr>
                <w:rFonts w:ascii="宋体" w:hAnsi="宋体" w:cs="宋体" w:eastAsia="宋体" w:hint="default"/>
                <w:spacing w:val="-1"/>
                <w:position w:val="1"/>
                <w:sz w:val="20"/>
                <w:szCs w:val="20"/>
              </w:rPr>
              <w:t>装移机成本</w:t>
              <w:tab/>
            </w:r>
            <w:r>
              <w:rPr>
                <w:rFonts w:ascii="Arial" w:hAnsi="Arial" w:cs="Arial" w:eastAsia="Arial" w:hint="default"/>
                <w:spacing w:val="-1"/>
                <w:sz w:val="20"/>
                <w:szCs w:val="20"/>
              </w:rPr>
              <w:t>2,250,817,280</w:t>
              <w:tab/>
              <w:t>159,297,152</w:t>
              <w:tab/>
              <w:t>(677,785,842)</w:t>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88"/>
              <w:jc w:val="right"/>
              <w:rPr>
                <w:rFonts w:ascii="Arial" w:hAnsi="Arial" w:cs="Arial" w:eastAsia="Arial" w:hint="default"/>
                <w:sz w:val="20"/>
                <w:szCs w:val="20"/>
              </w:rPr>
            </w:pPr>
            <w:r>
              <w:rPr>
                <w:rFonts w:ascii="Arial"/>
                <w:spacing w:val="-2"/>
                <w:sz w:val="20"/>
              </w:rPr>
              <w:t>1,732,328,590</w:t>
            </w:r>
          </w:p>
        </w:tc>
      </w:tr>
      <w:tr>
        <w:trPr>
          <w:trHeight w:val="260" w:hRule="exact"/>
        </w:trPr>
        <w:tc>
          <w:tcPr>
            <w:tcW w:w="7988" w:type="dxa"/>
            <w:tcBorders>
              <w:top w:val="nil" w:sz="6" w:space="0" w:color="auto"/>
              <w:left w:val="nil" w:sz="6" w:space="0" w:color="auto"/>
              <w:bottom w:val="nil" w:sz="6" w:space="0" w:color="auto"/>
              <w:right w:val="nil" w:sz="6" w:space="0" w:color="auto"/>
            </w:tcBorders>
          </w:tcPr>
          <w:p>
            <w:pPr>
              <w:pStyle w:val="TableParagraph"/>
              <w:tabs>
                <w:tab w:pos="3011" w:val="left" w:leader="none"/>
                <w:tab w:pos="4535" w:val="left" w:leader="none"/>
                <w:tab w:pos="6193" w:val="left" w:leader="none"/>
              </w:tabs>
              <w:spacing w:line="245" w:lineRule="exact"/>
              <w:ind w:right="79"/>
              <w:jc w:val="right"/>
              <w:rPr>
                <w:rFonts w:ascii="Arial" w:hAnsi="Arial" w:cs="Arial" w:eastAsia="Arial" w:hint="default"/>
                <w:sz w:val="20"/>
                <w:szCs w:val="20"/>
              </w:rPr>
            </w:pPr>
            <w:r>
              <w:rPr>
                <w:rFonts w:ascii="宋体" w:hAnsi="宋体" w:cs="宋体" w:eastAsia="宋体" w:hint="default"/>
                <w:spacing w:val="-1"/>
                <w:position w:val="1"/>
                <w:sz w:val="20"/>
                <w:szCs w:val="20"/>
              </w:rPr>
              <w:t>长期预付租金</w:t>
              <w:tab/>
            </w:r>
            <w:r>
              <w:rPr>
                <w:rFonts w:ascii="Arial" w:hAnsi="Arial" w:cs="Arial" w:eastAsia="Arial" w:hint="default"/>
                <w:spacing w:val="-2"/>
                <w:sz w:val="20"/>
                <w:szCs w:val="20"/>
              </w:rPr>
              <w:t>1,343,678,408</w:t>
              <w:tab/>
            </w:r>
            <w:r>
              <w:rPr>
                <w:rFonts w:ascii="Arial" w:hAnsi="Arial" w:cs="Arial" w:eastAsia="Arial" w:hint="default"/>
                <w:spacing w:val="-1"/>
                <w:sz w:val="20"/>
                <w:szCs w:val="20"/>
              </w:rPr>
              <w:t>1,591,761,542</w:t>
              <w:tab/>
            </w:r>
            <w:r>
              <w:rPr>
                <w:rFonts w:ascii="Arial" w:hAnsi="Arial" w:cs="Arial" w:eastAsia="Arial" w:hint="default"/>
                <w:spacing w:val="-2"/>
                <w:sz w:val="20"/>
                <w:szCs w:val="20"/>
              </w:rPr>
              <w:t>(421,699,944)</w:t>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8"/>
              <w:jc w:val="right"/>
              <w:rPr>
                <w:rFonts w:ascii="Arial" w:hAnsi="Arial" w:cs="Arial" w:eastAsia="Arial" w:hint="default"/>
                <w:sz w:val="20"/>
                <w:szCs w:val="20"/>
              </w:rPr>
            </w:pPr>
            <w:r>
              <w:rPr>
                <w:rFonts w:ascii="Arial"/>
                <w:spacing w:val="-2"/>
                <w:sz w:val="20"/>
              </w:rPr>
              <w:t>2,513,740,006</w:t>
            </w:r>
          </w:p>
        </w:tc>
      </w:tr>
      <w:tr>
        <w:trPr>
          <w:trHeight w:val="260" w:hRule="exact"/>
        </w:trPr>
        <w:tc>
          <w:tcPr>
            <w:tcW w:w="7988" w:type="dxa"/>
            <w:tcBorders>
              <w:top w:val="nil" w:sz="6" w:space="0" w:color="auto"/>
              <w:left w:val="nil" w:sz="6" w:space="0" w:color="auto"/>
              <w:bottom w:val="nil" w:sz="6" w:space="0" w:color="auto"/>
              <w:right w:val="nil" w:sz="6" w:space="0" w:color="auto"/>
            </w:tcBorders>
          </w:tcPr>
          <w:p>
            <w:pPr>
              <w:pStyle w:val="TableParagraph"/>
              <w:tabs>
                <w:tab w:pos="3178" w:val="left" w:leader="none"/>
                <w:tab w:pos="4702" w:val="left" w:leader="none"/>
                <w:tab w:pos="6192" w:val="left" w:leader="none"/>
              </w:tabs>
              <w:spacing w:line="246" w:lineRule="exact"/>
              <w:ind w:right="79"/>
              <w:jc w:val="right"/>
              <w:rPr>
                <w:rFonts w:ascii="Arial" w:hAnsi="Arial" w:cs="Arial" w:eastAsia="Arial" w:hint="default"/>
                <w:sz w:val="20"/>
                <w:szCs w:val="20"/>
              </w:rPr>
            </w:pPr>
            <w:r>
              <w:rPr>
                <w:rFonts w:ascii="宋体" w:hAnsi="宋体" w:cs="宋体" w:eastAsia="宋体" w:hint="default"/>
                <w:spacing w:val="-1"/>
                <w:position w:val="1"/>
                <w:sz w:val="20"/>
                <w:szCs w:val="20"/>
              </w:rPr>
              <w:t>经营租入固定资产改良</w:t>
              <w:tab/>
            </w:r>
            <w:r>
              <w:rPr>
                <w:rFonts w:ascii="Arial" w:hAnsi="Arial" w:cs="Arial" w:eastAsia="Arial" w:hint="default"/>
                <w:spacing w:val="-1"/>
                <w:sz w:val="20"/>
                <w:szCs w:val="20"/>
              </w:rPr>
              <w:t>837,378,977</w:t>
              <w:tab/>
              <w:t>476,682,310</w:t>
              <w:tab/>
              <w:t>(326,554,606)</w:t>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7"/>
              <w:jc w:val="right"/>
              <w:rPr>
                <w:rFonts w:ascii="Arial" w:hAnsi="Arial" w:cs="Arial" w:eastAsia="Arial" w:hint="default"/>
                <w:sz w:val="20"/>
                <w:szCs w:val="20"/>
              </w:rPr>
            </w:pPr>
            <w:r>
              <w:rPr>
                <w:rFonts w:ascii="Arial"/>
                <w:spacing w:val="-1"/>
                <w:sz w:val="20"/>
              </w:rPr>
              <w:t>987,506,681</w:t>
            </w:r>
          </w:p>
        </w:tc>
      </w:tr>
      <w:tr>
        <w:trPr>
          <w:trHeight w:val="248" w:hRule="exact"/>
        </w:trPr>
        <w:tc>
          <w:tcPr>
            <w:tcW w:w="7988" w:type="dxa"/>
            <w:tcBorders>
              <w:top w:val="nil" w:sz="6" w:space="0" w:color="auto"/>
              <w:left w:val="nil" w:sz="6" w:space="0" w:color="auto"/>
              <w:bottom w:val="nil" w:sz="6" w:space="0" w:color="auto"/>
              <w:right w:val="nil" w:sz="6" w:space="0" w:color="auto"/>
            </w:tcBorders>
          </w:tcPr>
          <w:p>
            <w:pPr>
              <w:pStyle w:val="TableParagraph"/>
              <w:spacing w:line="219" w:lineRule="exact"/>
              <w:ind w:left="469" w:right="0"/>
              <w:jc w:val="left"/>
              <w:rPr>
                <w:rFonts w:ascii="宋体" w:hAnsi="宋体" w:cs="宋体" w:eastAsia="宋体" w:hint="default"/>
                <w:sz w:val="20"/>
                <w:szCs w:val="20"/>
              </w:rPr>
            </w:pPr>
            <w:r>
              <w:rPr>
                <w:rFonts w:ascii="宋体" w:hAnsi="宋体" w:cs="宋体" w:eastAsia="宋体" w:hint="default"/>
                <w:sz w:val="20"/>
                <w:szCs w:val="20"/>
              </w:rPr>
              <w:t>一次性不退还收入的直接相</w:t>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
        </w:tc>
      </w:tr>
      <w:tr>
        <w:trPr>
          <w:trHeight w:val="271" w:hRule="exact"/>
        </w:trPr>
        <w:tc>
          <w:tcPr>
            <w:tcW w:w="7988" w:type="dxa"/>
            <w:tcBorders>
              <w:top w:val="nil" w:sz="6" w:space="0" w:color="auto"/>
              <w:left w:val="nil" w:sz="6" w:space="0" w:color="auto"/>
              <w:bottom w:val="nil" w:sz="6" w:space="0" w:color="auto"/>
              <w:right w:val="nil" w:sz="6" w:space="0" w:color="auto"/>
            </w:tcBorders>
          </w:tcPr>
          <w:p>
            <w:pPr>
              <w:pStyle w:val="TableParagraph"/>
              <w:tabs>
                <w:tab w:pos="2977" w:val="left" w:leader="none"/>
                <w:tab w:pos="4500" w:val="left" w:leader="none"/>
                <w:tab w:pos="5991" w:val="left" w:leader="none"/>
              </w:tabs>
              <w:spacing w:line="257" w:lineRule="exact"/>
              <w:ind w:right="79"/>
              <w:jc w:val="right"/>
              <w:rPr>
                <w:rFonts w:ascii="Arial" w:hAnsi="Arial" w:cs="Arial" w:eastAsia="Arial" w:hint="default"/>
                <w:sz w:val="20"/>
                <w:szCs w:val="20"/>
              </w:rPr>
            </w:pPr>
            <w:r>
              <w:rPr>
                <w:rFonts w:ascii="宋体" w:hAnsi="宋体" w:cs="宋体" w:eastAsia="宋体" w:hint="default"/>
                <w:position w:val="1"/>
                <w:sz w:val="20"/>
                <w:szCs w:val="20"/>
              </w:rPr>
              <w:t>关成本</w:t>
              <w:tab/>
            </w:r>
            <w:r>
              <w:rPr>
                <w:rFonts w:ascii="Arial" w:hAnsi="Arial" w:cs="Arial" w:eastAsia="Arial" w:hint="default"/>
                <w:spacing w:val="-1"/>
                <w:sz w:val="20"/>
                <w:szCs w:val="20"/>
              </w:rPr>
              <w:t>435,069,873</w:t>
              <w:tab/>
              <w:t>268,664,629</w:t>
              <w:tab/>
              <w:t>(270,512,308)</w:t>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87"/>
              <w:jc w:val="right"/>
              <w:rPr>
                <w:rFonts w:ascii="Arial" w:hAnsi="Arial" w:cs="Arial" w:eastAsia="Arial" w:hint="default"/>
                <w:sz w:val="20"/>
                <w:szCs w:val="20"/>
              </w:rPr>
            </w:pPr>
            <w:r>
              <w:rPr>
                <w:rFonts w:ascii="Arial"/>
                <w:spacing w:val="-1"/>
                <w:sz w:val="20"/>
              </w:rPr>
              <w:t>433,222,194</w:t>
            </w:r>
          </w:p>
        </w:tc>
      </w:tr>
      <w:tr>
        <w:trPr>
          <w:trHeight w:val="259" w:hRule="exact"/>
        </w:trPr>
        <w:tc>
          <w:tcPr>
            <w:tcW w:w="7988" w:type="dxa"/>
            <w:tcBorders>
              <w:top w:val="nil" w:sz="6" w:space="0" w:color="auto"/>
              <w:left w:val="nil" w:sz="6" w:space="0" w:color="auto"/>
              <w:bottom w:val="nil" w:sz="6" w:space="0" w:color="auto"/>
              <w:right w:val="nil" w:sz="6" w:space="0" w:color="auto"/>
            </w:tcBorders>
          </w:tcPr>
          <w:p>
            <w:pPr>
              <w:pStyle w:val="TableParagraph"/>
              <w:tabs>
                <w:tab w:pos="3182" w:val="left" w:leader="none"/>
                <w:tab w:pos="4706" w:val="left" w:leader="none"/>
                <w:tab w:pos="6196" w:val="left" w:leader="none"/>
              </w:tabs>
              <w:spacing w:line="244" w:lineRule="exact"/>
              <w:ind w:right="79"/>
              <w:jc w:val="right"/>
              <w:rPr>
                <w:rFonts w:ascii="Arial" w:hAnsi="Arial" w:cs="Arial" w:eastAsia="Arial" w:hint="default"/>
                <w:sz w:val="20"/>
                <w:szCs w:val="20"/>
              </w:rPr>
            </w:pPr>
            <w:r>
              <w:rPr>
                <w:rFonts w:ascii="宋体" w:hAnsi="宋体" w:cs="宋体" w:eastAsia="宋体" w:hint="default"/>
                <w:spacing w:val="-1"/>
                <w:position w:val="1"/>
                <w:sz w:val="20"/>
                <w:szCs w:val="20"/>
              </w:rPr>
              <w:t>外市电引入</w:t>
              <w:tab/>
            </w:r>
            <w:r>
              <w:rPr>
                <w:rFonts w:ascii="Arial" w:hAnsi="Arial" w:cs="Arial" w:eastAsia="Arial" w:hint="default"/>
                <w:spacing w:val="-1"/>
                <w:sz w:val="20"/>
                <w:szCs w:val="20"/>
              </w:rPr>
              <w:t>545,634,069</w:t>
              <w:tab/>
              <w:t>887,202,360</w:t>
              <w:tab/>
              <w:t>(219,914,089)</w:t>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8"/>
              <w:jc w:val="right"/>
              <w:rPr>
                <w:rFonts w:ascii="Arial" w:hAnsi="Arial" w:cs="Arial" w:eastAsia="Arial" w:hint="default"/>
                <w:sz w:val="20"/>
                <w:szCs w:val="20"/>
              </w:rPr>
            </w:pPr>
            <w:r>
              <w:rPr>
                <w:rFonts w:ascii="Arial"/>
                <w:spacing w:val="-2"/>
                <w:sz w:val="20"/>
              </w:rPr>
              <w:t>1,212,922,340</w:t>
            </w:r>
          </w:p>
        </w:tc>
      </w:tr>
      <w:tr>
        <w:trPr>
          <w:trHeight w:val="259" w:hRule="exact"/>
        </w:trPr>
        <w:tc>
          <w:tcPr>
            <w:tcW w:w="7988" w:type="dxa"/>
            <w:tcBorders>
              <w:top w:val="nil" w:sz="6" w:space="0" w:color="auto"/>
              <w:left w:val="nil" w:sz="6" w:space="0" w:color="auto"/>
              <w:bottom w:val="nil" w:sz="6" w:space="0" w:color="auto"/>
              <w:right w:val="nil" w:sz="6" w:space="0" w:color="auto"/>
            </w:tcBorders>
          </w:tcPr>
          <w:p>
            <w:pPr>
              <w:pStyle w:val="TableParagraph"/>
              <w:tabs>
                <w:tab w:pos="3178" w:val="left" w:leader="none"/>
                <w:tab w:pos="4812" w:val="left" w:leader="none"/>
                <w:tab w:pos="6304" w:val="left" w:leader="none"/>
              </w:tabs>
              <w:spacing w:line="245" w:lineRule="exact"/>
              <w:ind w:right="78"/>
              <w:jc w:val="right"/>
              <w:rPr>
                <w:rFonts w:ascii="Arial" w:hAnsi="Arial" w:cs="Arial" w:eastAsia="Arial" w:hint="default"/>
                <w:sz w:val="20"/>
                <w:szCs w:val="20"/>
              </w:rPr>
            </w:pPr>
            <w:r>
              <w:rPr>
                <w:rFonts w:ascii="宋体" w:hAnsi="宋体" w:cs="宋体" w:eastAsia="宋体" w:hint="default"/>
                <w:spacing w:val="-1"/>
                <w:position w:val="1"/>
                <w:sz w:val="20"/>
                <w:szCs w:val="20"/>
              </w:rPr>
              <w:t>长期预付线路租赁</w:t>
              <w:tab/>
            </w:r>
            <w:r>
              <w:rPr>
                <w:rFonts w:ascii="Arial" w:hAnsi="Arial" w:cs="Arial" w:eastAsia="Arial" w:hint="default"/>
                <w:spacing w:val="-1"/>
                <w:sz w:val="20"/>
                <w:szCs w:val="20"/>
              </w:rPr>
              <w:t>354,559,007</w:t>
              <w:tab/>
              <w:t>80,731,439</w:t>
              <w:tab/>
              <w:t>(75,092,693)</w:t>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7"/>
              <w:jc w:val="right"/>
              <w:rPr>
                <w:rFonts w:ascii="Arial" w:hAnsi="Arial" w:cs="Arial" w:eastAsia="Arial" w:hint="default"/>
                <w:sz w:val="20"/>
                <w:szCs w:val="20"/>
              </w:rPr>
            </w:pPr>
            <w:r>
              <w:rPr>
                <w:rFonts w:ascii="Arial"/>
                <w:spacing w:val="-2"/>
                <w:sz w:val="20"/>
              </w:rPr>
              <w:t>360,197,753</w:t>
            </w:r>
            <w:r>
              <w:rPr>
                <w:rFonts w:ascii="Arial"/>
                <w:sz w:val="20"/>
              </w:rPr>
            </w:r>
          </w:p>
        </w:tc>
      </w:tr>
      <w:tr>
        <w:trPr>
          <w:trHeight w:val="259" w:hRule="exact"/>
        </w:trPr>
        <w:tc>
          <w:tcPr>
            <w:tcW w:w="7988" w:type="dxa"/>
            <w:tcBorders>
              <w:top w:val="nil" w:sz="6" w:space="0" w:color="auto"/>
              <w:left w:val="nil" w:sz="6" w:space="0" w:color="auto"/>
              <w:bottom w:val="nil" w:sz="6" w:space="0" w:color="auto"/>
              <w:right w:val="nil" w:sz="6" w:space="0" w:color="auto"/>
            </w:tcBorders>
          </w:tcPr>
          <w:p>
            <w:pPr>
              <w:pStyle w:val="TableParagraph"/>
              <w:tabs>
                <w:tab w:pos="3289" w:val="left" w:leader="none"/>
                <w:tab w:pos="5747" w:val="left" w:leader="none"/>
                <w:tab w:pos="6414" w:val="left" w:leader="none"/>
              </w:tabs>
              <w:spacing w:line="245" w:lineRule="exact"/>
              <w:ind w:right="79"/>
              <w:jc w:val="right"/>
              <w:rPr>
                <w:rFonts w:ascii="Arial" w:hAnsi="Arial" w:cs="Arial" w:eastAsia="Arial" w:hint="default"/>
                <w:sz w:val="20"/>
                <w:szCs w:val="20"/>
              </w:rPr>
            </w:pPr>
            <w:r>
              <w:rPr>
                <w:rFonts w:ascii="宋体" w:hAnsi="宋体" w:cs="宋体" w:eastAsia="宋体" w:hint="default"/>
                <w:position w:val="1"/>
                <w:sz w:val="20"/>
                <w:szCs w:val="20"/>
              </w:rPr>
              <w:t>互联设施</w:t>
              <w:tab/>
            </w:r>
            <w:r>
              <w:rPr>
                <w:rFonts w:ascii="Arial" w:hAnsi="Arial" w:cs="Arial" w:eastAsia="Arial" w:hint="default"/>
                <w:spacing w:val="-1"/>
                <w:sz w:val="20"/>
                <w:szCs w:val="20"/>
              </w:rPr>
              <w:t>13,933,143</w:t>
              <w:tab/>
            </w:r>
            <w:r>
              <w:rPr>
                <w:rFonts w:ascii="Arial" w:hAnsi="Arial" w:cs="Arial" w:eastAsia="Arial" w:hint="default"/>
                <w:sz w:val="20"/>
                <w:szCs w:val="20"/>
              </w:rPr>
              <w:t>-</w:t>
              <w:tab/>
            </w:r>
            <w:r>
              <w:rPr>
                <w:rFonts w:ascii="Arial" w:hAnsi="Arial" w:cs="Arial" w:eastAsia="Arial" w:hint="default"/>
                <w:spacing w:val="-1"/>
                <w:sz w:val="20"/>
                <w:szCs w:val="20"/>
              </w:rPr>
              <w:t>(4,207,050)</w:t>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8"/>
              <w:jc w:val="right"/>
              <w:rPr>
                <w:rFonts w:ascii="Arial" w:hAnsi="Arial" w:cs="Arial" w:eastAsia="Arial" w:hint="default"/>
                <w:sz w:val="20"/>
                <w:szCs w:val="20"/>
              </w:rPr>
            </w:pPr>
            <w:r>
              <w:rPr>
                <w:rFonts w:ascii="Arial"/>
                <w:spacing w:val="-1"/>
                <w:sz w:val="20"/>
              </w:rPr>
              <w:t>9,726,093</w:t>
            </w:r>
          </w:p>
        </w:tc>
      </w:tr>
      <w:tr>
        <w:trPr>
          <w:trHeight w:val="382" w:hRule="exact"/>
        </w:trPr>
        <w:tc>
          <w:tcPr>
            <w:tcW w:w="7988" w:type="dxa"/>
            <w:tcBorders>
              <w:top w:val="nil" w:sz="6" w:space="0" w:color="auto"/>
              <w:left w:val="nil" w:sz="6" w:space="0" w:color="auto"/>
              <w:bottom w:val="nil" w:sz="6" w:space="0" w:color="auto"/>
              <w:right w:val="nil" w:sz="6" w:space="0" w:color="auto"/>
            </w:tcBorders>
          </w:tcPr>
          <w:p>
            <w:pPr>
              <w:pStyle w:val="TableParagraph"/>
              <w:tabs>
                <w:tab w:pos="2625" w:val="left" w:leader="none"/>
                <w:tab w:pos="3178" w:val="left" w:leader="none"/>
              </w:tabs>
              <w:spacing w:line="245" w:lineRule="exact"/>
              <w:ind w:right="79"/>
              <w:jc w:val="right"/>
              <w:rPr>
                <w:rFonts w:ascii="Arial" w:hAnsi="Arial" w:cs="Arial" w:eastAsia="Arial" w:hint="default"/>
                <w:sz w:val="20"/>
                <w:szCs w:val="20"/>
              </w:rPr>
            </w:pPr>
            <w:r>
              <w:rPr>
                <w:rFonts w:ascii="宋体" w:hAnsi="宋体" w:cs="宋体" w:eastAsia="宋体" w:hint="default"/>
                <w:position w:val="1"/>
                <w:sz w:val="20"/>
                <w:szCs w:val="20"/>
              </w:rPr>
              <w:t>其他</w:t>
              <w:tab/>
            </w:r>
            <w:r>
              <w:rPr>
                <w:rFonts w:ascii="Arial" w:hAnsi="Arial" w:cs="Arial" w:eastAsia="Arial" w:hint="default"/>
                <w:sz w:val="20"/>
                <w:szCs w:val="20"/>
              </w:rPr>
            </w:r>
            <w:r>
              <w:rPr>
                <w:rFonts w:ascii="Arial" w:hAnsi="Arial" w:cs="Arial" w:eastAsia="Arial" w:hint="default"/>
                <w:sz w:val="20"/>
                <w:szCs w:val="20"/>
                <w:u w:val="single" w:color="000000"/>
              </w:rPr>
              <w:t> </w:t>
              <w:tab/>
              <w:t>330,617,061       </w:t>
            </w:r>
            <w:r>
              <w:rPr>
                <w:rFonts w:ascii="Arial" w:hAnsi="Arial" w:cs="Arial" w:eastAsia="Arial" w:hint="default"/>
                <w:sz w:val="20"/>
                <w:szCs w:val="20"/>
              </w:rPr>
            </w:r>
            <w:r>
              <w:rPr>
                <w:rFonts w:ascii="Arial" w:hAnsi="Arial" w:cs="Arial" w:eastAsia="Arial" w:hint="default"/>
                <w:sz w:val="20"/>
                <w:szCs w:val="20"/>
                <w:u w:val="single" w:color="000000"/>
              </w:rPr>
              <w:t> 187,026,571      </w:t>
            </w:r>
            <w:r>
              <w:rPr>
                <w:rFonts w:ascii="Arial" w:hAnsi="Arial" w:cs="Arial" w:eastAsia="Arial" w:hint="default"/>
                <w:spacing w:val="9"/>
                <w:sz w:val="20"/>
                <w:szCs w:val="20"/>
                <w:u w:val="single" w:color="000000"/>
              </w:rPr>
              <w:t> </w:t>
            </w:r>
            <w:r>
              <w:rPr>
                <w:rFonts w:ascii="Arial" w:hAnsi="Arial" w:cs="Arial" w:eastAsia="Arial" w:hint="default"/>
                <w:spacing w:val="9"/>
                <w:sz w:val="20"/>
                <w:szCs w:val="20"/>
              </w:rPr>
            </w:r>
            <w:r>
              <w:rPr>
                <w:rFonts w:ascii="Arial" w:hAnsi="Arial" w:cs="Arial" w:eastAsia="Arial" w:hint="default"/>
                <w:spacing w:val="9"/>
                <w:sz w:val="20"/>
                <w:szCs w:val="20"/>
                <w:u w:val="single" w:color="000000"/>
              </w:rPr>
              <w:t> </w:t>
            </w:r>
            <w:r>
              <w:rPr>
                <w:rFonts w:ascii="Arial" w:hAnsi="Arial" w:cs="Arial" w:eastAsia="Arial" w:hint="default"/>
                <w:sz w:val="20"/>
                <w:szCs w:val="20"/>
                <w:u w:val="single" w:color="000000"/>
              </w:rPr>
              <w:t>(146,790,891)</w:t>
            </w:r>
            <w:r>
              <w:rPr>
                <w:rFonts w:ascii="Arial" w:hAnsi="Arial" w:cs="Arial" w:eastAsia="Arial" w:hint="default"/>
                <w:sz w:val="20"/>
                <w:szCs w:val="20"/>
              </w:rPr>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tabs>
                <w:tab w:pos="339" w:val="left" w:leader="none"/>
                <w:tab w:pos="1522" w:val="left" w:leader="none"/>
              </w:tabs>
              <w:spacing w:line="240" w:lineRule="auto" w:before="15"/>
              <w:ind w:right="1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370,852,741</w:t>
              <w:tab/>
            </w:r>
            <w:r>
              <w:rPr>
                <w:rFonts w:ascii="Arial"/>
                <w:spacing w:val="-1"/>
                <w:sz w:val="20"/>
              </w:rPr>
            </w:r>
          </w:p>
        </w:tc>
      </w:tr>
      <w:tr>
        <w:trPr>
          <w:trHeight w:val="394" w:hRule="exact"/>
        </w:trPr>
        <w:tc>
          <w:tcPr>
            <w:tcW w:w="7988" w:type="dxa"/>
            <w:tcBorders>
              <w:top w:val="nil" w:sz="6" w:space="0" w:color="auto"/>
              <w:left w:val="nil" w:sz="6" w:space="0" w:color="auto"/>
              <w:bottom w:val="single" w:sz="17" w:space="0" w:color="000000"/>
              <w:right w:val="nil" w:sz="6" w:space="0" w:color="auto"/>
            </w:tcBorders>
          </w:tcPr>
          <w:p>
            <w:pPr>
              <w:pStyle w:val="TableParagraph"/>
              <w:tabs>
                <w:tab w:pos="3011" w:val="left" w:leader="none"/>
                <w:tab w:pos="4536" w:val="left" w:leader="none"/>
                <w:tab w:pos="6025" w:val="left" w:leader="none"/>
              </w:tabs>
              <w:spacing w:line="240" w:lineRule="auto" w:before="82"/>
              <w:ind w:right="79"/>
              <w:jc w:val="right"/>
              <w:rPr>
                <w:rFonts w:ascii="Arial" w:hAnsi="Arial" w:cs="Arial" w:eastAsia="Arial" w:hint="default"/>
                <w:sz w:val="20"/>
                <w:szCs w:val="20"/>
              </w:rPr>
            </w:pPr>
            <w:r>
              <w:rPr>
                <w:rFonts w:ascii="宋体" w:hAnsi="宋体" w:cs="宋体" w:eastAsia="宋体" w:hint="default"/>
                <w:spacing w:val="-1"/>
                <w:position w:val="1"/>
                <w:sz w:val="20"/>
                <w:szCs w:val="20"/>
              </w:rPr>
              <w:t>长期待摊费用合计</w:t>
              <w:tab/>
            </w:r>
            <w:r>
              <w:rPr>
                <w:rFonts w:ascii="Arial" w:hAnsi="Arial" w:cs="Arial" w:eastAsia="Arial" w:hint="default"/>
                <w:spacing w:val="-1"/>
                <w:sz w:val="20"/>
                <w:szCs w:val="20"/>
              </w:rPr>
              <w:t>6,111,687,818</w:t>
              <w:tab/>
              <w:t>3,651,366,003</w:t>
              <w:tab/>
              <w:t>(2,142,557,423)</w:t>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single" w:sz="17" w:space="0" w:color="000000"/>
              <w:right w:val="nil" w:sz="6" w:space="0" w:color="auto"/>
            </w:tcBorders>
          </w:tcPr>
          <w:p>
            <w:pPr>
              <w:pStyle w:val="TableParagraph"/>
              <w:spacing w:line="240" w:lineRule="auto" w:before="138"/>
              <w:ind w:right="87"/>
              <w:jc w:val="right"/>
              <w:rPr>
                <w:rFonts w:ascii="Arial" w:hAnsi="Arial" w:cs="Arial" w:eastAsia="Arial" w:hint="default"/>
                <w:sz w:val="20"/>
                <w:szCs w:val="20"/>
              </w:rPr>
            </w:pPr>
            <w:r>
              <w:rPr>
                <w:rFonts w:ascii="Arial"/>
                <w:spacing w:val="-1"/>
                <w:sz w:val="20"/>
              </w:rPr>
              <w:t>7,620,496,398</w:t>
            </w:r>
          </w:p>
        </w:tc>
      </w:tr>
      <w:tr>
        <w:trPr>
          <w:trHeight w:val="639" w:hRule="exact"/>
        </w:trPr>
        <w:tc>
          <w:tcPr>
            <w:tcW w:w="7988" w:type="dxa"/>
            <w:tcBorders>
              <w:top w:val="single" w:sz="17" w:space="0" w:color="000000"/>
              <w:left w:val="nil" w:sz="6" w:space="0" w:color="auto"/>
              <w:bottom w:val="nil" w:sz="6" w:space="0" w:color="auto"/>
              <w:right w:val="nil" w:sz="6" w:space="0" w:color="auto"/>
            </w:tcBorders>
          </w:tcPr>
          <w:p>
            <w:pPr>
              <w:pStyle w:val="TableParagraph"/>
              <w:spacing w:line="240" w:lineRule="auto" w:before="184"/>
              <w:ind w:left="35" w:right="0"/>
              <w:jc w:val="left"/>
              <w:rPr>
                <w:rFonts w:ascii="黑体" w:hAnsi="黑体" w:cs="黑体" w:eastAsia="黑体" w:hint="default"/>
                <w:sz w:val="22"/>
                <w:szCs w:val="22"/>
              </w:rPr>
            </w:pPr>
            <w:r>
              <w:rPr>
                <w:rFonts w:ascii="Arial" w:hAnsi="Arial" w:cs="Arial" w:eastAsia="Arial" w:hint="default"/>
                <w:sz w:val="22"/>
                <w:szCs w:val="22"/>
              </w:rPr>
              <w:t>14</w:t>
            </w:r>
            <w:r>
              <w:rPr>
                <w:rFonts w:ascii="黑体" w:hAnsi="黑体" w:cs="黑体" w:eastAsia="黑体" w:hint="default"/>
                <w:sz w:val="22"/>
                <w:szCs w:val="22"/>
              </w:rPr>
              <w:t>、资产减值准备</w:t>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single" w:sz="17" w:space="0" w:color="000000"/>
              <w:left w:val="nil" w:sz="6" w:space="0" w:color="auto"/>
              <w:bottom w:val="nil" w:sz="6" w:space="0" w:color="auto"/>
              <w:right w:val="nil" w:sz="6" w:space="0" w:color="auto"/>
            </w:tcBorders>
          </w:tcPr>
          <w:p>
            <w:pPr/>
          </w:p>
        </w:tc>
      </w:tr>
      <w:tr>
        <w:trPr>
          <w:trHeight w:val="345" w:hRule="exact"/>
        </w:trPr>
        <w:tc>
          <w:tcPr>
            <w:tcW w:w="7988"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91"/>
              <w:jc w:val="center"/>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9"/>
                <w:sz w:val="18"/>
                <w:szCs w:val="18"/>
              </w:rPr>
              <w:t> </w:t>
            </w:r>
            <w:r>
              <w:rPr>
                <w:rFonts w:ascii="宋体" w:hAnsi="宋体" w:cs="宋体" w:eastAsia="宋体" w:hint="default"/>
                <w:sz w:val="18"/>
                <w:szCs w:val="18"/>
              </w:rPr>
              <w:t>年</w:t>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26"/>
              <w:jc w:val="righ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9"/>
                <w:sz w:val="18"/>
                <w:szCs w:val="18"/>
              </w:rPr>
              <w:t> </w:t>
            </w:r>
            <w:r>
              <w:rPr>
                <w:rFonts w:ascii="宋体" w:hAnsi="宋体" w:cs="宋体" w:eastAsia="宋体" w:hint="default"/>
                <w:sz w:val="18"/>
                <w:szCs w:val="18"/>
              </w:rPr>
              <w:t>年</w:t>
            </w:r>
          </w:p>
        </w:tc>
      </w:tr>
      <w:tr>
        <w:trPr>
          <w:trHeight w:val="238" w:hRule="exact"/>
        </w:trPr>
        <w:tc>
          <w:tcPr>
            <w:tcW w:w="7988" w:type="dxa"/>
            <w:tcBorders>
              <w:top w:val="nil" w:sz="6" w:space="0" w:color="auto"/>
              <w:left w:val="nil" w:sz="6" w:space="0" w:color="auto"/>
              <w:bottom w:val="single" w:sz="6" w:space="0" w:color="000000"/>
              <w:right w:val="nil" w:sz="6" w:space="0" w:color="auto"/>
            </w:tcBorders>
          </w:tcPr>
          <w:p>
            <w:pPr>
              <w:pStyle w:val="TableParagraph"/>
              <w:tabs>
                <w:tab w:pos="4537" w:val="left" w:leader="none"/>
                <w:tab w:pos="6495" w:val="left" w:leader="none"/>
              </w:tabs>
              <w:spacing w:line="216" w:lineRule="exact"/>
              <w:ind w:left="3214" w:right="0"/>
              <w:jc w:val="left"/>
              <w:rPr>
                <w:rFonts w:ascii="宋体" w:hAnsi="宋体" w:cs="宋体" w:eastAsia="宋体" w:hint="default"/>
                <w:sz w:val="18"/>
                <w:szCs w:val="18"/>
              </w:rPr>
            </w:pP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tab/>
              <w:t>本年增加</w:t>
              <w:tab/>
              <w:t>本年减少</w:t>
            </w:r>
          </w:p>
        </w:tc>
        <w:tc>
          <w:tcPr>
            <w:tcW w:w="61" w:type="dxa"/>
            <w:tcBorders>
              <w:top w:val="nil" w:sz="6" w:space="0" w:color="auto"/>
              <w:left w:val="nil" w:sz="6" w:space="0" w:color="auto"/>
              <w:bottom w:val="single" w:sz="6" w:space="0" w:color="000000"/>
              <w:right w:val="nil" w:sz="6" w:space="0" w:color="auto"/>
            </w:tcBorders>
          </w:tcPr>
          <w:p>
            <w:pPr/>
          </w:p>
        </w:tc>
        <w:tc>
          <w:tcPr>
            <w:tcW w:w="1548" w:type="dxa"/>
            <w:tcBorders>
              <w:top w:val="nil" w:sz="6" w:space="0" w:color="auto"/>
              <w:left w:val="nil" w:sz="6" w:space="0" w:color="auto"/>
              <w:bottom w:val="single" w:sz="6" w:space="0" w:color="000000"/>
              <w:right w:val="nil" w:sz="6" w:space="0" w:color="auto"/>
            </w:tcBorders>
          </w:tcPr>
          <w:p>
            <w:pPr>
              <w:pStyle w:val="TableParagraph"/>
              <w:spacing w:line="215" w:lineRule="exact"/>
              <w:ind w:right="26"/>
              <w:jc w:val="right"/>
              <w:rPr>
                <w:rFonts w:ascii="宋体" w:hAnsi="宋体" w:cs="宋体" w:eastAsia="宋体" w:hint="default"/>
                <w:sz w:val="18"/>
                <w:szCs w:val="18"/>
              </w:rPr>
            </w:pP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tc>
      </w:tr>
      <w:tr>
        <w:trPr>
          <w:trHeight w:val="248" w:hRule="exact"/>
        </w:trPr>
        <w:tc>
          <w:tcPr>
            <w:tcW w:w="7988" w:type="dxa"/>
            <w:tcBorders>
              <w:top w:val="single" w:sz="6" w:space="0" w:color="000000"/>
              <w:left w:val="nil" w:sz="6" w:space="0" w:color="auto"/>
              <w:bottom w:val="single" w:sz="6" w:space="0" w:color="000000"/>
              <w:right w:val="nil" w:sz="6" w:space="0" w:color="auto"/>
            </w:tcBorders>
          </w:tcPr>
          <w:p>
            <w:pPr>
              <w:pStyle w:val="TableParagraph"/>
              <w:tabs>
                <w:tab w:pos="5683" w:val="left" w:leader="none"/>
                <w:tab w:pos="7229" w:val="left" w:leader="none"/>
              </w:tabs>
              <w:spacing w:line="219" w:lineRule="exact"/>
              <w:ind w:left="3208" w:right="0"/>
              <w:jc w:val="left"/>
              <w:rPr>
                <w:rFonts w:ascii="宋体" w:hAnsi="宋体" w:cs="宋体" w:eastAsia="宋体" w:hint="default"/>
                <w:sz w:val="18"/>
                <w:szCs w:val="18"/>
              </w:rPr>
            </w:pPr>
            <w:r>
              <w:rPr>
                <w:rFonts w:ascii="宋体" w:hAnsi="宋体" w:cs="宋体" w:eastAsia="宋体" w:hint="default"/>
                <w:sz w:val="18"/>
                <w:szCs w:val="18"/>
              </w:rPr>
              <w:t>（经重列）</w:t>
              <w:tab/>
              <w:t>转回（注</w:t>
            </w:r>
            <w:r>
              <w:rPr>
                <w:rFonts w:ascii="宋体" w:hAnsi="宋体" w:cs="宋体" w:eastAsia="宋体" w:hint="default"/>
                <w:spacing w:val="-48"/>
                <w:sz w:val="18"/>
                <w:szCs w:val="18"/>
              </w:rPr>
              <w:t> </w:t>
            </w:r>
            <w:r>
              <w:rPr>
                <w:rFonts w:ascii="Arial" w:hAnsi="Arial" w:cs="Arial" w:eastAsia="Arial" w:hint="default"/>
                <w:sz w:val="18"/>
                <w:szCs w:val="18"/>
              </w:rPr>
              <w:t>1</w:t>
            </w:r>
            <w:r>
              <w:rPr>
                <w:rFonts w:ascii="宋体" w:hAnsi="宋体" w:cs="宋体" w:eastAsia="宋体" w:hint="default"/>
                <w:sz w:val="18"/>
                <w:szCs w:val="18"/>
              </w:rPr>
              <w:t>）</w:t>
              <w:tab/>
              <w:t>转销</w:t>
            </w:r>
          </w:p>
        </w:tc>
        <w:tc>
          <w:tcPr>
            <w:tcW w:w="61" w:type="dxa"/>
            <w:tcBorders>
              <w:top w:val="single" w:sz="6" w:space="0" w:color="000000"/>
              <w:left w:val="nil" w:sz="6" w:space="0" w:color="auto"/>
              <w:bottom w:val="single" w:sz="6" w:space="0" w:color="000000"/>
              <w:right w:val="nil" w:sz="6" w:space="0" w:color="auto"/>
            </w:tcBorders>
          </w:tcPr>
          <w:p>
            <w:pPr/>
          </w:p>
        </w:tc>
        <w:tc>
          <w:tcPr>
            <w:tcW w:w="1548" w:type="dxa"/>
            <w:tcBorders>
              <w:top w:val="single" w:sz="6" w:space="0" w:color="000000"/>
              <w:left w:val="nil" w:sz="6" w:space="0" w:color="auto"/>
              <w:bottom w:val="nil" w:sz="6" w:space="0" w:color="auto"/>
              <w:right w:val="nil" w:sz="6" w:space="0" w:color="auto"/>
            </w:tcBorders>
          </w:tcPr>
          <w:p>
            <w:pPr/>
          </w:p>
        </w:tc>
      </w:tr>
      <w:tr>
        <w:trPr>
          <w:trHeight w:val="455" w:hRule="exact"/>
        </w:trPr>
        <w:tc>
          <w:tcPr>
            <w:tcW w:w="7988" w:type="dxa"/>
            <w:tcBorders>
              <w:top w:val="single" w:sz="6" w:space="0" w:color="000000"/>
              <w:left w:val="nil" w:sz="6" w:space="0" w:color="auto"/>
              <w:bottom w:val="single" w:sz="6" w:space="0" w:color="000000"/>
              <w:right w:val="nil" w:sz="6" w:space="0" w:color="auto"/>
            </w:tcBorders>
          </w:tcPr>
          <w:p>
            <w:pPr>
              <w:pStyle w:val="TableParagraph"/>
              <w:spacing w:line="240" w:lineRule="auto" w:before="10"/>
              <w:ind w:right="0"/>
              <w:jc w:val="left"/>
              <w:rPr>
                <w:rFonts w:ascii="宋体" w:hAnsi="宋体" w:cs="宋体" w:eastAsia="宋体" w:hint="default"/>
                <w:sz w:val="13"/>
                <w:szCs w:val="13"/>
              </w:rPr>
            </w:pPr>
          </w:p>
          <w:p>
            <w:pPr>
              <w:pStyle w:val="TableParagraph"/>
              <w:tabs>
                <w:tab w:pos="2319" w:val="left" w:leader="none"/>
                <w:tab w:pos="5219" w:val="left" w:leader="none"/>
                <w:tab w:pos="6341" w:val="left" w:leader="none"/>
              </w:tabs>
              <w:spacing w:line="240" w:lineRule="auto"/>
              <w:ind w:right="1"/>
              <w:jc w:val="right"/>
              <w:rPr>
                <w:rFonts w:ascii="Arial" w:hAnsi="Arial" w:cs="Arial" w:eastAsia="Arial" w:hint="default"/>
                <w:sz w:val="18"/>
                <w:szCs w:val="18"/>
              </w:rPr>
            </w:pPr>
            <w:r>
              <w:rPr>
                <w:rFonts w:ascii="宋体" w:hAnsi="宋体" w:cs="宋体" w:eastAsia="宋体" w:hint="default"/>
                <w:position w:val="1"/>
                <w:sz w:val="18"/>
                <w:szCs w:val="18"/>
              </w:rPr>
              <w:t>坏账准备</w:t>
              <w:tab/>
            </w:r>
            <w:r>
              <w:rPr>
                <w:rFonts w:ascii="Arial" w:hAnsi="Arial" w:cs="Arial" w:eastAsia="Arial" w:hint="default"/>
                <w:spacing w:val="-1"/>
                <w:sz w:val="18"/>
                <w:szCs w:val="18"/>
              </w:rPr>
              <w:t>(3,996,297,911)</w:t>
            </w:r>
            <w:r>
              <w:rPr>
                <w:rFonts w:ascii="Arial" w:hAnsi="Arial" w:cs="Arial" w:eastAsia="Arial" w:hint="default"/>
                <w:sz w:val="18"/>
                <w:szCs w:val="18"/>
              </w:rPr>
              <w:t>  </w:t>
            </w:r>
            <w:r>
              <w:rPr>
                <w:rFonts w:ascii="Arial" w:hAnsi="Arial" w:cs="Arial" w:eastAsia="Arial" w:hint="default"/>
                <w:spacing w:val="16"/>
                <w:sz w:val="18"/>
                <w:szCs w:val="18"/>
              </w:rPr>
              <w:t> </w:t>
            </w:r>
            <w:r>
              <w:rPr>
                <w:rFonts w:ascii="Arial" w:hAnsi="Arial" w:cs="Arial" w:eastAsia="Arial" w:hint="default"/>
                <w:spacing w:val="-1"/>
                <w:sz w:val="18"/>
                <w:szCs w:val="18"/>
              </w:rPr>
              <w:t>(2,395,311,851)</w:t>
              <w:tab/>
              <w:t>20,103,647</w:t>
              <w:tab/>
              <w:t>1,726,790,980</w:t>
            </w:r>
          </w:p>
        </w:tc>
        <w:tc>
          <w:tcPr>
            <w:tcW w:w="61" w:type="dxa"/>
            <w:tcBorders>
              <w:top w:val="single" w:sz="6" w:space="0" w:color="000000"/>
              <w:left w:val="nil" w:sz="6" w:space="0" w:color="auto"/>
              <w:bottom w:val="single" w:sz="6" w:space="0" w:color="000000"/>
              <w:right w:val="nil" w:sz="6" w:space="0" w:color="auto"/>
            </w:tcBorders>
          </w:tcPr>
          <w:p>
            <w:pPr/>
          </w:p>
        </w:tc>
        <w:tc>
          <w:tcPr>
            <w:tcW w:w="1548" w:type="dxa"/>
            <w:tcBorders>
              <w:top w:val="nil" w:sz="6" w:space="0" w:color="auto"/>
              <w:left w:val="nil" w:sz="6" w:space="0" w:color="auto"/>
              <w:bottom w:val="single" w:sz="6" w:space="0" w:color="000000"/>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29"/>
              <w:jc w:val="right"/>
              <w:rPr>
                <w:rFonts w:ascii="Arial" w:hAnsi="Arial" w:cs="Arial" w:eastAsia="Arial" w:hint="default"/>
                <w:sz w:val="18"/>
                <w:szCs w:val="18"/>
              </w:rPr>
            </w:pPr>
            <w:r>
              <w:rPr>
                <w:rFonts w:ascii="Arial"/>
                <w:spacing w:val="-1"/>
                <w:sz w:val="18"/>
              </w:rPr>
              <w:t>(4,644,715,135)</w:t>
            </w:r>
          </w:p>
        </w:tc>
      </w:tr>
      <w:tr>
        <w:trPr>
          <w:trHeight w:val="251" w:hRule="exact"/>
        </w:trPr>
        <w:tc>
          <w:tcPr>
            <w:tcW w:w="7988" w:type="dxa"/>
            <w:tcBorders>
              <w:top w:val="single" w:sz="6" w:space="0" w:color="000000"/>
              <w:left w:val="nil" w:sz="6" w:space="0" w:color="auto"/>
              <w:bottom w:val="nil" w:sz="6" w:space="0" w:color="auto"/>
              <w:right w:val="nil" w:sz="6" w:space="0" w:color="auto"/>
            </w:tcBorders>
          </w:tcPr>
          <w:p>
            <w:pPr>
              <w:pStyle w:val="TableParagraph"/>
              <w:tabs>
                <w:tab w:pos="2319" w:val="left" w:leader="none"/>
                <w:tab w:pos="5219" w:val="left" w:leader="none"/>
                <w:tab w:pos="6341" w:val="left" w:leader="none"/>
              </w:tabs>
              <w:spacing w:line="232" w:lineRule="exact"/>
              <w:ind w:right="1"/>
              <w:jc w:val="right"/>
              <w:rPr>
                <w:rFonts w:ascii="Arial" w:hAnsi="Arial" w:cs="Arial" w:eastAsia="Arial" w:hint="default"/>
                <w:sz w:val="18"/>
                <w:szCs w:val="18"/>
              </w:rPr>
            </w:pPr>
            <w:r>
              <w:rPr>
                <w:rFonts w:ascii="宋体" w:hAnsi="宋体" w:cs="宋体" w:eastAsia="宋体" w:hint="default"/>
                <w:position w:val="1"/>
                <w:sz w:val="18"/>
                <w:szCs w:val="18"/>
              </w:rPr>
              <w:t>其中：应收账款坏账准备</w:t>
              <w:tab/>
            </w:r>
            <w:r>
              <w:rPr>
                <w:rFonts w:ascii="Arial" w:hAnsi="Arial" w:cs="Arial" w:eastAsia="Arial" w:hint="default"/>
                <w:spacing w:val="-1"/>
                <w:sz w:val="18"/>
                <w:szCs w:val="18"/>
              </w:rPr>
              <w:t>(3,508,722,648)</w:t>
            </w:r>
            <w:r>
              <w:rPr>
                <w:rFonts w:ascii="Arial" w:hAnsi="Arial" w:cs="Arial" w:eastAsia="Arial" w:hint="default"/>
                <w:sz w:val="18"/>
                <w:szCs w:val="18"/>
              </w:rPr>
              <w:t>  </w:t>
            </w:r>
            <w:r>
              <w:rPr>
                <w:rFonts w:ascii="Arial" w:hAnsi="Arial" w:cs="Arial" w:eastAsia="Arial" w:hint="default"/>
                <w:spacing w:val="16"/>
                <w:sz w:val="18"/>
                <w:szCs w:val="18"/>
              </w:rPr>
              <w:t> </w:t>
            </w:r>
            <w:r>
              <w:rPr>
                <w:rFonts w:ascii="Arial" w:hAnsi="Arial" w:cs="Arial" w:eastAsia="Arial" w:hint="default"/>
                <w:spacing w:val="-1"/>
                <w:sz w:val="18"/>
                <w:szCs w:val="18"/>
              </w:rPr>
              <w:t>(2,374,224,273)</w:t>
              <w:tab/>
              <w:t>20,001,103</w:t>
              <w:tab/>
              <w:t>1,725,640,610</w:t>
            </w:r>
          </w:p>
        </w:tc>
        <w:tc>
          <w:tcPr>
            <w:tcW w:w="61" w:type="dxa"/>
            <w:tcBorders>
              <w:top w:val="single" w:sz="6" w:space="0" w:color="000000"/>
              <w:left w:val="nil" w:sz="6" w:space="0" w:color="auto"/>
              <w:bottom w:val="nil" w:sz="6" w:space="0" w:color="auto"/>
              <w:right w:val="nil" w:sz="6" w:space="0" w:color="auto"/>
            </w:tcBorders>
          </w:tcPr>
          <w:p>
            <w:pPr/>
          </w:p>
        </w:tc>
        <w:tc>
          <w:tcPr>
            <w:tcW w:w="1548" w:type="dxa"/>
            <w:tcBorders>
              <w:top w:val="single" w:sz="6" w:space="0" w:color="000000"/>
              <w:left w:val="nil" w:sz="6" w:space="0" w:color="auto"/>
              <w:bottom w:val="nil" w:sz="6" w:space="0" w:color="auto"/>
              <w:right w:val="single" w:sz="6" w:space="0" w:color="000000"/>
            </w:tcBorders>
          </w:tcPr>
          <w:p>
            <w:pPr>
              <w:pStyle w:val="TableParagraph"/>
              <w:spacing w:line="240" w:lineRule="auto" w:before="25"/>
              <w:ind w:right="22"/>
              <w:jc w:val="right"/>
              <w:rPr>
                <w:rFonts w:ascii="Arial" w:hAnsi="Arial" w:cs="Arial" w:eastAsia="Arial" w:hint="default"/>
                <w:sz w:val="18"/>
                <w:szCs w:val="18"/>
              </w:rPr>
            </w:pPr>
            <w:r>
              <w:rPr>
                <w:rFonts w:ascii="Arial"/>
                <w:spacing w:val="-1"/>
                <w:sz w:val="18"/>
              </w:rPr>
              <w:t>(4,137,305,208)</w:t>
            </w:r>
          </w:p>
        </w:tc>
      </w:tr>
      <w:tr>
        <w:trPr>
          <w:trHeight w:val="231" w:hRule="exact"/>
        </w:trPr>
        <w:tc>
          <w:tcPr>
            <w:tcW w:w="7988" w:type="dxa"/>
            <w:tcBorders>
              <w:top w:val="nil" w:sz="6" w:space="0" w:color="auto"/>
              <w:left w:val="nil" w:sz="6" w:space="0" w:color="auto"/>
              <w:bottom w:val="single" w:sz="6" w:space="0" w:color="000000"/>
              <w:right w:val="nil" w:sz="6" w:space="0" w:color="auto"/>
            </w:tcBorders>
          </w:tcPr>
          <w:p>
            <w:pPr>
              <w:pStyle w:val="TableParagraph"/>
              <w:tabs>
                <w:tab w:pos="1935" w:val="left" w:leader="none"/>
                <w:tab w:pos="3463" w:val="left" w:leader="none"/>
                <w:tab w:pos="4935" w:val="left" w:leader="none"/>
                <w:tab w:pos="6157" w:val="left" w:leader="none"/>
              </w:tabs>
              <w:spacing w:line="221" w:lineRule="exact"/>
              <w:ind w:right="0"/>
              <w:jc w:val="right"/>
              <w:rPr>
                <w:rFonts w:ascii="Arial" w:hAnsi="Arial" w:cs="Arial" w:eastAsia="Arial" w:hint="default"/>
                <w:sz w:val="18"/>
                <w:szCs w:val="18"/>
              </w:rPr>
            </w:pPr>
            <w:r>
              <w:rPr>
                <w:rFonts w:ascii="宋体" w:hAnsi="宋体" w:cs="宋体" w:eastAsia="宋体" w:hint="default"/>
                <w:position w:val="1"/>
                <w:sz w:val="18"/>
                <w:szCs w:val="18"/>
              </w:rPr>
              <w:t>其他应收款坏账准备</w:t>
              <w:tab/>
            </w:r>
            <w:r>
              <w:rPr>
                <w:rFonts w:ascii="Arial" w:hAnsi="Arial" w:cs="Arial" w:eastAsia="Arial" w:hint="default"/>
                <w:spacing w:val="-1"/>
                <w:sz w:val="18"/>
                <w:szCs w:val="18"/>
              </w:rPr>
              <w:t>(487,575,263)</w:t>
              <w:tab/>
              <w:t>(21,087,578)</w:t>
              <w:tab/>
              <w:t>102,544</w:t>
              <w:tab/>
              <w:t>1,150,370</w:t>
            </w:r>
            <w:r>
              <w:rPr>
                <w:rFonts w:ascii="Arial" w:hAnsi="Arial" w:cs="Arial" w:eastAsia="Arial" w:hint="default"/>
                <w:sz w:val="18"/>
                <w:szCs w:val="18"/>
              </w:rPr>
            </w:r>
          </w:p>
        </w:tc>
        <w:tc>
          <w:tcPr>
            <w:tcW w:w="61" w:type="dxa"/>
            <w:tcBorders>
              <w:top w:val="nil" w:sz="6" w:space="0" w:color="auto"/>
              <w:left w:val="nil" w:sz="6" w:space="0" w:color="auto"/>
              <w:bottom w:val="single" w:sz="6" w:space="0" w:color="000000"/>
              <w:right w:val="nil" w:sz="6" w:space="0" w:color="auto"/>
            </w:tcBorders>
          </w:tcPr>
          <w:p>
            <w:pPr/>
          </w:p>
        </w:tc>
        <w:tc>
          <w:tcPr>
            <w:tcW w:w="1548" w:type="dxa"/>
            <w:tcBorders>
              <w:top w:val="nil" w:sz="6" w:space="0" w:color="auto"/>
              <w:left w:val="nil" w:sz="6" w:space="0" w:color="auto"/>
              <w:bottom w:val="single" w:sz="6" w:space="0" w:color="000000"/>
              <w:right w:val="single" w:sz="6" w:space="0" w:color="000000"/>
            </w:tcBorders>
          </w:tcPr>
          <w:p>
            <w:pPr>
              <w:pStyle w:val="TableParagraph"/>
              <w:spacing w:line="240" w:lineRule="auto" w:before="14"/>
              <w:ind w:right="24"/>
              <w:jc w:val="right"/>
              <w:rPr>
                <w:rFonts w:ascii="Arial" w:hAnsi="Arial" w:cs="Arial" w:eastAsia="Arial" w:hint="default"/>
                <w:sz w:val="18"/>
                <w:szCs w:val="18"/>
              </w:rPr>
            </w:pPr>
            <w:r>
              <w:rPr>
                <w:rFonts w:ascii="Arial"/>
                <w:spacing w:val="-1"/>
                <w:sz w:val="18"/>
              </w:rPr>
              <w:t>(507,409,927)</w:t>
            </w:r>
            <w:r>
              <w:rPr>
                <w:rFonts w:ascii="Arial"/>
                <w:sz w:val="18"/>
              </w:rPr>
            </w:r>
          </w:p>
        </w:tc>
      </w:tr>
      <w:tr>
        <w:trPr>
          <w:trHeight w:val="251" w:hRule="exact"/>
        </w:trPr>
        <w:tc>
          <w:tcPr>
            <w:tcW w:w="7988" w:type="dxa"/>
            <w:tcBorders>
              <w:top w:val="single" w:sz="6" w:space="0" w:color="000000"/>
              <w:left w:val="nil" w:sz="6" w:space="0" w:color="auto"/>
              <w:bottom w:val="nil" w:sz="6" w:space="0" w:color="auto"/>
              <w:right w:val="nil" w:sz="6" w:space="0" w:color="auto"/>
            </w:tcBorders>
          </w:tcPr>
          <w:p>
            <w:pPr>
              <w:pStyle w:val="TableParagraph"/>
              <w:tabs>
                <w:tab w:pos="2570" w:val="left" w:leader="none"/>
                <w:tab w:pos="3998" w:val="left" w:leader="none"/>
                <w:tab w:pos="6592" w:val="left" w:leader="none"/>
              </w:tabs>
              <w:spacing w:line="232" w:lineRule="exact"/>
              <w:ind w:right="0"/>
              <w:jc w:val="right"/>
              <w:rPr>
                <w:rFonts w:ascii="Arial" w:hAnsi="Arial" w:cs="Arial" w:eastAsia="Arial" w:hint="default"/>
                <w:sz w:val="18"/>
                <w:szCs w:val="18"/>
              </w:rPr>
            </w:pPr>
            <w:r>
              <w:rPr>
                <w:rFonts w:ascii="宋体" w:hAnsi="宋体" w:cs="宋体" w:eastAsia="宋体" w:hint="default"/>
                <w:position w:val="1"/>
                <w:sz w:val="18"/>
                <w:szCs w:val="18"/>
              </w:rPr>
              <w:t>存货跌价准备</w:t>
              <w:tab/>
            </w:r>
            <w:r>
              <w:rPr>
                <w:rFonts w:ascii="Arial" w:hAnsi="Arial" w:cs="Arial" w:eastAsia="Arial" w:hint="default"/>
                <w:spacing w:val="-1"/>
                <w:sz w:val="18"/>
                <w:szCs w:val="18"/>
              </w:rPr>
              <w:t>(69,520,061)</w:t>
              <w:tab/>
              <w:t>(20,532,379)</w:t>
              <w:tab/>
              <w:t>24,141,761</w:t>
            </w:r>
          </w:p>
        </w:tc>
        <w:tc>
          <w:tcPr>
            <w:tcW w:w="61" w:type="dxa"/>
            <w:tcBorders>
              <w:top w:val="single" w:sz="6" w:space="0" w:color="000000"/>
              <w:left w:val="nil" w:sz="6" w:space="0" w:color="auto"/>
              <w:bottom w:val="nil" w:sz="6" w:space="0" w:color="auto"/>
              <w:right w:val="nil" w:sz="6" w:space="0" w:color="auto"/>
            </w:tcBorders>
          </w:tcPr>
          <w:p>
            <w:pPr/>
          </w:p>
        </w:tc>
        <w:tc>
          <w:tcPr>
            <w:tcW w:w="1548" w:type="dxa"/>
            <w:tcBorders>
              <w:top w:val="single" w:sz="6" w:space="0" w:color="000000"/>
              <w:left w:val="nil" w:sz="6" w:space="0" w:color="auto"/>
              <w:bottom w:val="nil" w:sz="6" w:space="0" w:color="auto"/>
              <w:right w:val="nil" w:sz="6" w:space="0" w:color="auto"/>
            </w:tcBorders>
          </w:tcPr>
          <w:p>
            <w:pPr>
              <w:pStyle w:val="TableParagraph"/>
              <w:spacing w:line="240" w:lineRule="auto" w:before="25"/>
              <w:ind w:right="30"/>
              <w:jc w:val="right"/>
              <w:rPr>
                <w:rFonts w:ascii="Arial" w:hAnsi="Arial" w:cs="Arial" w:eastAsia="Arial" w:hint="default"/>
                <w:sz w:val="18"/>
                <w:szCs w:val="18"/>
              </w:rPr>
            </w:pPr>
            <w:r>
              <w:rPr>
                <w:rFonts w:ascii="Arial"/>
                <w:spacing w:val="-1"/>
                <w:sz w:val="18"/>
              </w:rPr>
              <w:t>(65,910,679)</w:t>
            </w:r>
            <w:r>
              <w:rPr>
                <w:rFonts w:ascii="Arial"/>
                <w:sz w:val="18"/>
              </w:rPr>
            </w:r>
          </w:p>
        </w:tc>
      </w:tr>
      <w:tr>
        <w:trPr>
          <w:trHeight w:val="233" w:hRule="exact"/>
        </w:trPr>
        <w:tc>
          <w:tcPr>
            <w:tcW w:w="7988" w:type="dxa"/>
            <w:tcBorders>
              <w:top w:val="nil" w:sz="6" w:space="0" w:color="auto"/>
              <w:left w:val="nil" w:sz="6" w:space="0" w:color="auto"/>
              <w:bottom w:val="nil" w:sz="6" w:space="0" w:color="auto"/>
              <w:right w:val="nil" w:sz="6" w:space="0" w:color="auto"/>
            </w:tcBorders>
          </w:tcPr>
          <w:p>
            <w:pPr>
              <w:pStyle w:val="TableParagraph"/>
              <w:tabs>
                <w:tab w:pos="2219" w:val="left" w:leader="none"/>
                <w:tab w:pos="4898" w:val="left" w:leader="none"/>
                <w:tab w:pos="6058" w:val="left" w:leader="none"/>
                <w:tab w:pos="6491" w:val="left" w:leader="none"/>
              </w:tabs>
              <w:spacing w:line="221" w:lineRule="exact"/>
              <w:ind w:right="0"/>
              <w:jc w:val="right"/>
              <w:rPr>
                <w:rFonts w:ascii="Arial" w:hAnsi="Arial" w:cs="Arial" w:eastAsia="Arial" w:hint="default"/>
                <w:sz w:val="18"/>
                <w:szCs w:val="18"/>
              </w:rPr>
            </w:pPr>
            <w:r>
              <w:rPr>
                <w:rFonts w:ascii="宋体" w:hAnsi="宋体" w:cs="宋体" w:eastAsia="宋体" w:hint="default"/>
                <w:position w:val="1"/>
                <w:sz w:val="18"/>
                <w:szCs w:val="18"/>
              </w:rPr>
              <w:t>固定资产减值准备</w:t>
              <w:tab/>
            </w:r>
            <w:r>
              <w:rPr>
                <w:rFonts w:ascii="Arial" w:hAnsi="Arial" w:cs="Arial" w:eastAsia="Arial" w:hint="default"/>
                <w:spacing w:val="-1"/>
                <w:sz w:val="18"/>
                <w:szCs w:val="18"/>
              </w:rPr>
              <w:t>(12,296,157,073)</w:t>
              <w:tab/>
            </w:r>
            <w:r>
              <w:rPr>
                <w:rFonts w:ascii="Arial" w:hAnsi="Arial" w:cs="Arial" w:eastAsia="Arial" w:hint="default"/>
                <w:sz w:val="18"/>
                <w:szCs w:val="18"/>
              </w:rPr>
              <w:t>-</w:t>
              <w:tab/>
              <w:t>-</w:t>
              <w:tab/>
            </w:r>
            <w:r>
              <w:rPr>
                <w:rFonts w:ascii="Arial" w:hAnsi="Arial" w:cs="Arial" w:eastAsia="Arial" w:hint="default"/>
                <w:spacing w:val="-1"/>
                <w:sz w:val="18"/>
                <w:szCs w:val="18"/>
              </w:rPr>
              <w:t>151,346,984</w:t>
            </w:r>
            <w:r>
              <w:rPr>
                <w:rFonts w:ascii="Arial" w:hAnsi="Arial" w:cs="Arial" w:eastAsia="Arial" w:hint="default"/>
                <w:sz w:val="18"/>
                <w:szCs w:val="18"/>
              </w:rPr>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0"/>
              <w:jc w:val="right"/>
              <w:rPr>
                <w:rFonts w:ascii="Arial" w:hAnsi="Arial" w:cs="Arial" w:eastAsia="Arial" w:hint="default"/>
                <w:sz w:val="18"/>
                <w:szCs w:val="18"/>
              </w:rPr>
            </w:pPr>
            <w:r>
              <w:rPr>
                <w:rFonts w:ascii="Arial"/>
                <w:spacing w:val="-1"/>
                <w:sz w:val="18"/>
              </w:rPr>
              <w:t>(12,144,810,089)</w:t>
            </w:r>
            <w:r>
              <w:rPr>
                <w:rFonts w:ascii="Arial"/>
                <w:sz w:val="18"/>
              </w:rPr>
            </w:r>
          </w:p>
        </w:tc>
      </w:tr>
      <w:tr>
        <w:trPr>
          <w:trHeight w:val="233" w:hRule="exact"/>
        </w:trPr>
        <w:tc>
          <w:tcPr>
            <w:tcW w:w="7988" w:type="dxa"/>
            <w:tcBorders>
              <w:top w:val="nil" w:sz="6" w:space="0" w:color="auto"/>
              <w:left w:val="nil" w:sz="6" w:space="0" w:color="auto"/>
              <w:bottom w:val="nil" w:sz="6" w:space="0" w:color="auto"/>
              <w:right w:val="nil" w:sz="6" w:space="0" w:color="auto"/>
            </w:tcBorders>
          </w:tcPr>
          <w:p>
            <w:pPr>
              <w:pStyle w:val="TableParagraph"/>
              <w:tabs>
                <w:tab w:pos="2570" w:val="left" w:leader="none"/>
                <w:tab w:pos="4898" w:val="left" w:leader="none"/>
                <w:tab w:pos="6059" w:val="left" w:leader="none"/>
                <w:tab w:pos="6692" w:val="left" w:leader="none"/>
              </w:tabs>
              <w:spacing w:line="222" w:lineRule="exact"/>
              <w:ind w:right="0"/>
              <w:jc w:val="right"/>
              <w:rPr>
                <w:rFonts w:ascii="Arial" w:hAnsi="Arial" w:cs="Arial" w:eastAsia="Arial" w:hint="default"/>
                <w:sz w:val="18"/>
                <w:szCs w:val="18"/>
              </w:rPr>
            </w:pPr>
            <w:r>
              <w:rPr>
                <w:rFonts w:ascii="宋体" w:hAnsi="宋体" w:cs="宋体" w:eastAsia="宋体" w:hint="default"/>
                <w:position w:val="1"/>
                <w:sz w:val="18"/>
                <w:szCs w:val="18"/>
              </w:rPr>
              <w:t>在建工程减值准备</w:t>
              <w:tab/>
            </w:r>
            <w:r>
              <w:rPr>
                <w:rFonts w:ascii="Arial" w:hAnsi="Arial" w:cs="Arial" w:eastAsia="Arial" w:hint="default"/>
                <w:spacing w:val="-1"/>
                <w:sz w:val="18"/>
                <w:szCs w:val="18"/>
              </w:rPr>
              <w:t>(25,309,905)</w:t>
              <w:tab/>
            </w:r>
            <w:r>
              <w:rPr>
                <w:rFonts w:ascii="Arial" w:hAnsi="Arial" w:cs="Arial" w:eastAsia="Arial" w:hint="default"/>
                <w:sz w:val="18"/>
                <w:szCs w:val="18"/>
              </w:rPr>
              <w:t>-</w:t>
              <w:tab/>
              <w:t>-</w:t>
              <w:tab/>
            </w:r>
            <w:r>
              <w:rPr>
                <w:rFonts w:ascii="Arial" w:hAnsi="Arial" w:cs="Arial" w:eastAsia="Arial" w:hint="default"/>
                <w:spacing w:val="-1"/>
                <w:sz w:val="18"/>
                <w:szCs w:val="18"/>
              </w:rPr>
              <w:t>7,278,989</w:t>
            </w:r>
            <w:r>
              <w:rPr>
                <w:rFonts w:ascii="Arial" w:hAnsi="Arial" w:cs="Arial" w:eastAsia="Arial" w:hint="default"/>
                <w:sz w:val="18"/>
                <w:szCs w:val="18"/>
              </w:rPr>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
              <w:jc w:val="right"/>
              <w:rPr>
                <w:rFonts w:ascii="Arial" w:hAnsi="Arial" w:cs="Arial" w:eastAsia="Arial" w:hint="default"/>
                <w:sz w:val="18"/>
                <w:szCs w:val="18"/>
              </w:rPr>
            </w:pPr>
            <w:r>
              <w:rPr>
                <w:rFonts w:ascii="Arial"/>
                <w:spacing w:val="-1"/>
                <w:sz w:val="18"/>
              </w:rPr>
              <w:t>(18,030,916)</w:t>
            </w:r>
            <w:r>
              <w:rPr>
                <w:rFonts w:ascii="Arial"/>
                <w:sz w:val="18"/>
              </w:rPr>
            </w:r>
          </w:p>
        </w:tc>
      </w:tr>
      <w:tr>
        <w:trPr>
          <w:trHeight w:val="217" w:hRule="exact"/>
        </w:trPr>
        <w:tc>
          <w:tcPr>
            <w:tcW w:w="7988" w:type="dxa"/>
            <w:tcBorders>
              <w:top w:val="nil" w:sz="6" w:space="0" w:color="auto"/>
              <w:left w:val="nil" w:sz="6" w:space="0" w:color="auto"/>
              <w:bottom w:val="nil" w:sz="6" w:space="0" w:color="auto"/>
              <w:right w:val="nil" w:sz="6" w:space="0" w:color="auto"/>
            </w:tcBorders>
          </w:tcPr>
          <w:p>
            <w:pPr>
              <w:pStyle w:val="TableParagraph"/>
              <w:tabs>
                <w:tab w:pos="2570" w:val="left" w:leader="none"/>
                <w:tab w:pos="4898" w:val="left" w:leader="none"/>
                <w:tab w:pos="6058" w:val="left" w:leader="none"/>
                <w:tab w:pos="6842" w:val="left" w:leader="none"/>
              </w:tabs>
              <w:spacing w:line="221" w:lineRule="exact"/>
              <w:ind w:right="0"/>
              <w:jc w:val="right"/>
              <w:rPr>
                <w:rFonts w:ascii="Arial" w:hAnsi="Arial" w:cs="Arial" w:eastAsia="Arial" w:hint="default"/>
                <w:sz w:val="18"/>
                <w:szCs w:val="18"/>
              </w:rPr>
            </w:pPr>
            <w:r>
              <w:rPr>
                <w:rFonts w:ascii="宋体" w:hAnsi="宋体" w:cs="宋体" w:eastAsia="宋体" w:hint="default"/>
                <w:position w:val="1"/>
                <w:sz w:val="18"/>
                <w:szCs w:val="18"/>
              </w:rPr>
              <w:t>无形资产减值准备</w:t>
              <w:tab/>
            </w:r>
            <w:r>
              <w:rPr>
                <w:rFonts w:ascii="Arial" w:hAnsi="Arial" w:cs="Arial" w:eastAsia="Arial" w:hint="default"/>
                <w:spacing w:val="-1"/>
                <w:sz w:val="18"/>
                <w:szCs w:val="18"/>
              </w:rPr>
              <w:t>(10,011,556)</w:t>
              <w:tab/>
            </w:r>
            <w:r>
              <w:rPr>
                <w:rFonts w:ascii="Arial" w:hAnsi="Arial" w:cs="Arial" w:eastAsia="Arial" w:hint="default"/>
                <w:sz w:val="18"/>
                <w:szCs w:val="18"/>
              </w:rPr>
              <w:t>-</w:t>
              <w:tab/>
              <w:t>-</w:t>
              <w:tab/>
            </w:r>
            <w:r>
              <w:rPr>
                <w:rFonts w:ascii="Arial" w:hAnsi="Arial" w:cs="Arial" w:eastAsia="Arial" w:hint="default"/>
                <w:spacing w:val="-1"/>
                <w:sz w:val="18"/>
                <w:szCs w:val="18"/>
              </w:rPr>
              <w:t>316,480</w:t>
            </w:r>
            <w:r>
              <w:rPr>
                <w:rFonts w:ascii="Arial" w:hAnsi="Arial" w:cs="Arial" w:eastAsia="Arial" w:hint="default"/>
                <w:sz w:val="18"/>
                <w:szCs w:val="18"/>
              </w:rPr>
            </w:r>
          </w:p>
        </w:tc>
        <w:tc>
          <w:tcPr>
            <w:tcW w:w="61" w:type="dxa"/>
            <w:tcBorders>
              <w:top w:val="nil" w:sz="6" w:space="0" w:color="auto"/>
              <w:left w:val="nil" w:sz="6" w:space="0" w:color="auto"/>
              <w:bottom w:val="nil" w:sz="6" w:space="0" w:color="auto"/>
              <w:right w:val="nil" w:sz="6" w:space="0" w:color="auto"/>
            </w:tcBorders>
          </w:tcPr>
          <w:p>
            <w:pPr/>
          </w:p>
        </w:tc>
        <w:tc>
          <w:tcPr>
            <w:tcW w:w="154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0"/>
              <w:jc w:val="right"/>
              <w:rPr>
                <w:rFonts w:ascii="Arial" w:hAnsi="Arial" w:cs="Arial" w:eastAsia="Arial" w:hint="default"/>
                <w:sz w:val="18"/>
                <w:szCs w:val="18"/>
              </w:rPr>
            </w:pPr>
            <w:r>
              <w:rPr>
                <w:rFonts w:ascii="Arial"/>
                <w:spacing w:val="-1"/>
                <w:sz w:val="18"/>
              </w:rPr>
              <w:t>(9,695,076)</w:t>
            </w:r>
            <w:r>
              <w:rPr>
                <w:rFonts w:ascii="Arial"/>
                <w:sz w:val="18"/>
              </w:rPr>
            </w:r>
          </w:p>
        </w:tc>
      </w:tr>
    </w:tbl>
    <w:p>
      <w:pPr>
        <w:tabs>
          <w:tab w:pos="2781" w:val="left" w:leader="none"/>
          <w:tab w:pos="3172" w:val="left" w:leader="none"/>
          <w:tab w:pos="5500" w:val="left" w:leader="none"/>
          <w:tab w:pos="6660" w:val="left" w:leader="none"/>
          <w:tab w:pos="7444" w:val="left" w:leader="none"/>
          <w:tab w:pos="8652" w:val="left" w:leader="none"/>
        </w:tabs>
        <w:spacing w:line="238" w:lineRule="exact" w:before="0"/>
        <w:ind w:left="602" w:right="100" w:firstLine="0"/>
        <w:jc w:val="left"/>
        <w:rPr>
          <w:rFonts w:ascii="Arial" w:hAnsi="Arial" w:cs="Arial" w:eastAsia="Arial" w:hint="default"/>
          <w:sz w:val="18"/>
          <w:szCs w:val="18"/>
        </w:rPr>
      </w:pPr>
      <w:r>
        <w:rPr/>
        <w:pict>
          <v:group style="position:absolute;margin-left:90.660004pt;margin-top:-71.240868pt;width:.1pt;height:24.85pt;mso-position-horizontal-relative:page;mso-position-vertical-relative:paragraph;z-index:-914920" coordorigin="1813,-1425" coordsize="2,497">
            <v:shape style="position:absolute;left:1813;top:-1425;width:2;height:497" coordorigin="1813,-1425" coordsize="0,497" path="m1813,-1425l1813,-928e" filled="false" stroked="true" strokeweight=".72pt" strokecolor="#000000">
              <v:path arrowok="t"/>
            </v:shape>
            <w10:wrap type="none"/>
          </v:group>
        </w:pict>
      </w:r>
      <w:r>
        <w:rPr>
          <w:rFonts w:ascii="宋体" w:hAnsi="宋体" w:cs="宋体" w:eastAsia="宋体" w:hint="default"/>
          <w:position w:val="1"/>
          <w:sz w:val="18"/>
          <w:szCs w:val="18"/>
        </w:rPr>
        <w:t>工程物资减值准备</w:t>
        <w:tab/>
      </w:r>
      <w:r>
        <w:rPr>
          <w:rFonts w:ascii="Arial" w:hAnsi="Arial" w:cs="Arial" w:eastAsia="Arial" w:hint="default"/>
          <w:sz w:val="18"/>
          <w:szCs w:val="18"/>
        </w:rPr>
      </w:r>
      <w:r>
        <w:rPr>
          <w:rFonts w:ascii="Arial" w:hAnsi="Arial" w:cs="Arial" w:eastAsia="Arial" w:hint="default"/>
          <w:sz w:val="18"/>
          <w:szCs w:val="18"/>
          <w:u w:val="single" w:color="000000"/>
        </w:rPr>
        <w:t> </w:t>
        <w:tab/>
      </w:r>
      <w:r>
        <w:rPr>
          <w:rFonts w:ascii="Arial" w:hAnsi="Arial" w:cs="Arial" w:eastAsia="Arial" w:hint="default"/>
          <w:spacing w:val="-1"/>
          <w:sz w:val="18"/>
          <w:szCs w:val="18"/>
          <w:u w:val="single" w:color="000000"/>
        </w:rPr>
        <w:t>(19,284,123)</w:t>
      </w:r>
      <w:r>
        <w:rPr>
          <w:rFonts w:ascii="Arial" w:hAnsi="Arial" w:cs="Arial" w:eastAsia="Arial" w:hint="default"/>
          <w:spacing w:val="-1"/>
          <w:sz w:val="18"/>
          <w:szCs w:val="18"/>
        </w:rPr>
      </w:r>
      <w:r>
        <w:rPr>
          <w:rFonts w:ascii="Arial" w:hAnsi="Arial" w:cs="Arial" w:eastAsia="Arial" w:hint="default"/>
          <w:spacing w:val="-1"/>
          <w:sz w:val="18"/>
          <w:szCs w:val="18"/>
          <w:u w:val="single" w:color="000000"/>
        </w:rPr>
        <w:t> </w:t>
        <w:tab/>
      </w:r>
      <w:r>
        <w:rPr>
          <w:rFonts w:ascii="Arial" w:hAnsi="Arial" w:cs="Arial" w:eastAsia="Arial" w:hint="default"/>
          <w:sz w:val="18"/>
          <w:szCs w:val="18"/>
          <w:u w:val="single" w:color="000000"/>
        </w:rPr>
        <w:t>-</w:t>
      </w:r>
      <w:r>
        <w:rPr>
          <w:rFonts w:ascii="Arial" w:hAnsi="Arial" w:cs="Arial" w:eastAsia="Arial" w:hint="default"/>
          <w:sz w:val="18"/>
          <w:szCs w:val="18"/>
        </w:rPr>
      </w:r>
      <w:r>
        <w:rPr>
          <w:rFonts w:ascii="Arial" w:hAnsi="Arial" w:cs="Arial" w:eastAsia="Arial" w:hint="default"/>
          <w:sz w:val="18"/>
          <w:szCs w:val="18"/>
          <w:u w:val="single" w:color="000000"/>
        </w:rPr>
        <w:t> </w:t>
        <w:tab/>
        <w:t>-</w:t>
      </w:r>
      <w:r>
        <w:rPr>
          <w:rFonts w:ascii="Arial" w:hAnsi="Arial" w:cs="Arial" w:eastAsia="Arial" w:hint="default"/>
          <w:sz w:val="18"/>
          <w:szCs w:val="18"/>
        </w:rPr>
      </w:r>
      <w:r>
        <w:rPr>
          <w:rFonts w:ascii="Arial" w:hAnsi="Arial" w:cs="Arial" w:eastAsia="Arial" w:hint="default"/>
          <w:sz w:val="18"/>
          <w:szCs w:val="18"/>
          <w:u w:val="single" w:color="000000"/>
        </w:rPr>
        <w:t> </w:t>
        <w:tab/>
      </w:r>
      <w:r>
        <w:rPr>
          <w:rFonts w:ascii="Arial" w:hAnsi="Arial" w:cs="Arial" w:eastAsia="Arial" w:hint="default"/>
          <w:spacing w:val="-1"/>
          <w:sz w:val="18"/>
          <w:szCs w:val="18"/>
          <w:u w:val="single" w:color="000000"/>
        </w:rPr>
        <w:t>604,759</w:t>
      </w:r>
      <w:r>
        <w:rPr>
          <w:rFonts w:ascii="Arial" w:hAnsi="Arial" w:cs="Arial" w:eastAsia="Arial" w:hint="default"/>
          <w:spacing w:val="-1"/>
          <w:sz w:val="18"/>
          <w:szCs w:val="18"/>
        </w:rPr>
      </w:r>
      <w:r>
        <w:rPr>
          <w:rFonts w:ascii="Arial" w:hAnsi="Arial" w:cs="Arial" w:eastAsia="Arial" w:hint="default"/>
          <w:spacing w:val="-1"/>
          <w:sz w:val="18"/>
          <w:szCs w:val="18"/>
          <w:u w:val="single" w:color="000000"/>
        </w:rPr>
        <w:t> </w:t>
        <w:tab/>
        <w:t>(18,679,364)</w:t>
      </w:r>
      <w:r>
        <w:rPr>
          <w:rFonts w:ascii="Arial" w:hAnsi="Arial" w:cs="Arial" w:eastAsia="Arial" w:hint="default"/>
          <w:spacing w:val="-1"/>
          <w:sz w:val="18"/>
          <w:szCs w:val="18"/>
        </w:rPr>
      </w:r>
      <w:r>
        <w:rPr>
          <w:rFonts w:ascii="Arial" w:hAnsi="Arial" w:cs="Arial" w:eastAsia="Arial" w:hint="default"/>
          <w:sz w:val="18"/>
          <w:szCs w:val="18"/>
        </w:rPr>
      </w:r>
    </w:p>
    <w:p>
      <w:pPr>
        <w:spacing w:line="240" w:lineRule="auto" w:before="11"/>
        <w:rPr>
          <w:rFonts w:ascii="Arial" w:hAnsi="Arial" w:cs="Arial" w:eastAsia="Arial" w:hint="default"/>
          <w:sz w:val="12"/>
          <w:szCs w:val="12"/>
        </w:rPr>
      </w:pPr>
    </w:p>
    <w:p>
      <w:pPr>
        <w:tabs>
          <w:tab w:pos="2821" w:val="left" w:leader="none"/>
          <w:tab w:pos="6942" w:val="left" w:leader="none"/>
          <w:tab w:pos="8302" w:val="left" w:leader="none"/>
        </w:tabs>
        <w:spacing w:before="47"/>
        <w:ind w:left="601" w:right="100" w:firstLine="0"/>
        <w:jc w:val="left"/>
        <w:rPr>
          <w:rFonts w:ascii="Arial" w:hAnsi="Arial" w:cs="Arial" w:eastAsia="Arial" w:hint="default"/>
          <w:sz w:val="18"/>
          <w:szCs w:val="18"/>
        </w:rPr>
      </w:pPr>
      <w:r>
        <w:rPr>
          <w:rFonts w:ascii="宋体" w:hAnsi="宋体" w:cs="宋体" w:eastAsia="宋体" w:hint="default"/>
          <w:position w:val="1"/>
          <w:sz w:val="18"/>
          <w:szCs w:val="18"/>
        </w:rPr>
        <w:t>合计</w:t>
        <w:tab/>
      </w:r>
      <w:r>
        <w:rPr>
          <w:rFonts w:ascii="Arial" w:hAnsi="Arial" w:cs="Arial" w:eastAsia="Arial" w:hint="default"/>
          <w:spacing w:val="-1"/>
          <w:sz w:val="18"/>
          <w:szCs w:val="18"/>
        </w:rPr>
        <w:t>(16,416,580,629)</w:t>
      </w:r>
      <w:r>
        <w:rPr>
          <w:rFonts w:ascii="Arial" w:hAnsi="Arial" w:cs="Arial" w:eastAsia="Arial" w:hint="default"/>
          <w:sz w:val="18"/>
          <w:szCs w:val="18"/>
        </w:rPr>
        <w:t>   </w:t>
      </w:r>
      <w:r>
        <w:rPr>
          <w:rFonts w:ascii="Arial" w:hAnsi="Arial" w:cs="Arial" w:eastAsia="Arial" w:hint="default"/>
          <w:spacing w:val="-1"/>
          <w:sz w:val="18"/>
          <w:szCs w:val="18"/>
        </w:rPr>
        <w:t>(2,415,844,230)</w:t>
      </w:r>
      <w:r>
        <w:rPr>
          <w:rFonts w:ascii="Arial" w:hAnsi="Arial" w:cs="Arial" w:eastAsia="Arial" w:hint="default"/>
          <w:sz w:val="18"/>
          <w:szCs w:val="18"/>
        </w:rPr>
        <w:t>  </w:t>
      </w:r>
      <w:r>
        <w:rPr>
          <w:rFonts w:ascii="Arial" w:hAnsi="Arial" w:cs="Arial" w:eastAsia="Arial" w:hint="default"/>
          <w:spacing w:val="38"/>
          <w:sz w:val="18"/>
          <w:szCs w:val="18"/>
        </w:rPr>
        <w:t> </w:t>
      </w:r>
      <w:r>
        <w:rPr>
          <w:rFonts w:ascii="Arial" w:hAnsi="Arial" w:cs="Arial" w:eastAsia="Arial" w:hint="default"/>
          <w:spacing w:val="-1"/>
          <w:sz w:val="18"/>
          <w:szCs w:val="18"/>
        </w:rPr>
        <w:t>20,103,647</w:t>
        <w:tab/>
        <w:t>1,910,479,953</w:t>
        <w:tab/>
        <w:t>(16,901,841,259)</w:t>
      </w:r>
      <w:r>
        <w:rPr>
          <w:rFonts w:ascii="Arial" w:hAnsi="Arial" w:cs="Arial" w:eastAsia="Arial" w:hint="default"/>
          <w:sz w:val="18"/>
          <w:szCs w:val="18"/>
        </w:rPr>
      </w:r>
    </w:p>
    <w:p>
      <w:pPr>
        <w:spacing w:line="43" w:lineRule="exact"/>
        <w:ind w:left="2766" w:right="0" w:firstLine="0"/>
        <w:rPr>
          <w:rFonts w:ascii="Arial" w:hAnsi="Arial" w:cs="Arial" w:eastAsia="Arial" w:hint="default"/>
          <w:sz w:val="4"/>
          <w:szCs w:val="4"/>
        </w:rPr>
      </w:pPr>
      <w:r>
        <w:rPr>
          <w:rFonts w:ascii="Arial" w:hAnsi="Arial" w:cs="Arial" w:eastAsia="Arial" w:hint="default"/>
          <w:position w:val="0"/>
          <w:sz w:val="4"/>
          <w:szCs w:val="4"/>
        </w:rPr>
        <w:pict>
          <v:group style="width:347.25pt;height:2.2pt;mso-position-horizontal-relative:char;mso-position-vertical-relative:line" coordorigin="0,0" coordsize="6945,44">
            <v:group style="position:absolute;left:7;top:36;width:1470;height:2" coordorigin="7,36" coordsize="1470,2">
              <v:shape style="position:absolute;left:7;top:36;width:1470;height:2" coordorigin="7,36" coordsize="1470,0" path="m7,36l1477,36e" filled="false" stroked="true" strokeweight=".72pt" strokecolor="#000000">
                <v:path arrowok="t"/>
              </v:shape>
            </v:group>
            <v:group style="position:absolute;left:7;top:7;width:1470;height:2" coordorigin="7,7" coordsize="1470,2">
              <v:shape style="position:absolute;left:7;top:7;width:1470;height:2" coordorigin="7,7" coordsize="1470,0" path="m7,7l1477,7e" filled="false" stroked="true" strokeweight=".72pt" strokecolor="#000000">
                <v:path arrowok="t"/>
              </v:shape>
            </v:group>
            <v:group style="position:absolute;left:1541;top:36;width:1379;height:2" coordorigin="1541,36" coordsize="1379,2">
              <v:shape style="position:absolute;left:1541;top:36;width:1379;height:2" coordorigin="1541,36" coordsize="1379,0" path="m1541,36l2920,36e" filled="false" stroked="true" strokeweight=".72pt" strokecolor="#000000">
                <v:path arrowok="t"/>
              </v:shape>
            </v:group>
            <v:group style="position:absolute;left:1541;top:7;width:1379;height:2" coordorigin="1541,7" coordsize="1379,2">
              <v:shape style="position:absolute;left:1541;top:7;width:1379;height:2" coordorigin="1541,7" coordsize="1379,0" path="m1541,7l2920,7e" filled="false" stroked="true" strokeweight=".72pt" strokecolor="#000000">
                <v:path arrowok="t"/>
              </v:shape>
            </v:group>
            <v:group style="position:absolute;left:2981;top:36;width:1043;height:2" coordorigin="2981,36" coordsize="1043,2">
              <v:shape style="position:absolute;left:2981;top:36;width:1043;height:2" coordorigin="2981,36" coordsize="1043,0" path="m2981,36l4024,36e" filled="false" stroked="true" strokeweight=".72pt" strokecolor="#000000">
                <v:path arrowok="t"/>
              </v:shape>
            </v:group>
            <v:group style="position:absolute;left:2981;top:7;width:1043;height:2" coordorigin="2981,7" coordsize="1043,2">
              <v:shape style="position:absolute;left:2981;top:7;width:1043;height:2" coordorigin="2981,7" coordsize="1043,0" path="m2981,7l4024,7e" filled="false" stroked="true" strokeweight=".72pt" strokecolor="#000000">
                <v:path arrowok="t"/>
              </v:shape>
            </v:group>
            <v:group style="position:absolute;left:4085;top:36;width:1312;height:2" coordorigin="4085,36" coordsize="1312,2">
              <v:shape style="position:absolute;left:4085;top:36;width:1312;height:2" coordorigin="4085,36" coordsize="1312,0" path="m4085,36l5396,36e" filled="false" stroked="true" strokeweight=".72pt" strokecolor="#000000">
                <v:path arrowok="t"/>
              </v:shape>
            </v:group>
            <v:group style="position:absolute;left:4085;top:7;width:1312;height:2" coordorigin="4085,7" coordsize="1312,2">
              <v:shape style="position:absolute;left:4085;top:7;width:1312;height:2" coordorigin="4085,7" coordsize="1312,0" path="m4085,7l5396,7e" filled="false" stroked="true" strokeweight=".72pt" strokecolor="#000000">
                <v:path arrowok="t"/>
              </v:shape>
            </v:group>
            <v:group style="position:absolute;left:5459;top:36;width:1479;height:2" coordorigin="5459,36" coordsize="1479,2">
              <v:shape style="position:absolute;left:5459;top:36;width:1479;height:2" coordorigin="5459,36" coordsize="1479,0" path="m5459,36l6937,36e" filled="false" stroked="true" strokeweight=".72pt" strokecolor="#000000">
                <v:path arrowok="t"/>
              </v:shape>
            </v:group>
            <v:group style="position:absolute;left:5459;top:7;width:1479;height:2" coordorigin="5459,7" coordsize="1479,2">
              <v:shape style="position:absolute;left:5459;top:7;width:1479;height:2" coordorigin="5459,7" coordsize="1479,0" path="m5459,7l6937,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6"/>
        <w:rPr>
          <w:rFonts w:ascii="Arial" w:hAnsi="Arial" w:cs="Arial" w:eastAsia="Arial" w:hint="default"/>
          <w:sz w:val="13"/>
          <w:szCs w:val="13"/>
        </w:rPr>
      </w:pPr>
    </w:p>
    <w:p>
      <w:pPr>
        <w:pStyle w:val="BodyText"/>
        <w:spacing w:line="240" w:lineRule="auto" w:before="31"/>
        <w:ind w:left="632" w:right="100"/>
        <w:jc w:val="left"/>
      </w:pPr>
      <w:r>
        <w:rPr/>
        <w:t>注</w:t>
      </w:r>
      <w:r>
        <w:rPr>
          <w:spacing w:val="-57"/>
        </w:rPr>
        <w:t> </w:t>
      </w:r>
      <w:r>
        <w:rPr>
          <w:rFonts w:ascii="Arial" w:hAnsi="Arial" w:cs="Arial" w:eastAsia="Arial" w:hint="default"/>
        </w:rPr>
        <w:t>1</w:t>
      </w:r>
      <w:r>
        <w:rPr/>
        <w:t>：于</w:t>
      </w:r>
      <w:r>
        <w:rPr>
          <w:spacing w:val="-57"/>
        </w:rPr>
        <w:t> </w:t>
      </w:r>
      <w:r>
        <w:rPr>
          <w:rFonts w:ascii="Arial" w:hAnsi="Arial" w:cs="Arial" w:eastAsia="Arial" w:hint="default"/>
        </w:rPr>
        <w:t>2009</w:t>
      </w:r>
      <w:r>
        <w:rPr>
          <w:rFonts w:ascii="Arial" w:hAnsi="Arial" w:cs="Arial" w:eastAsia="Arial" w:hint="default"/>
          <w:spacing w:val="-8"/>
        </w:rPr>
        <w:t> </w:t>
      </w:r>
      <w:r>
        <w:rPr/>
        <w:t>年度，本公司收回已核销的应收账款而转回相关坏账准备约人民币</w:t>
      </w:r>
      <w:r>
        <w:rPr>
          <w:spacing w:val="-55"/>
        </w:rPr>
        <w:t> </w:t>
      </w:r>
      <w:r>
        <w:rPr>
          <w:rFonts w:ascii="Arial" w:hAnsi="Arial" w:cs="Arial" w:eastAsia="Arial" w:hint="default"/>
        </w:rPr>
        <w:t>0.2</w:t>
      </w:r>
      <w:r>
        <w:rPr>
          <w:rFonts w:ascii="Arial" w:hAnsi="Arial" w:cs="Arial" w:eastAsia="Arial" w:hint="default"/>
          <w:spacing w:val="-8"/>
        </w:rPr>
        <w:t> </w:t>
      </w:r>
      <w:r>
        <w:rPr/>
        <w:t>亿元。</w:t>
      </w:r>
    </w:p>
    <w:p>
      <w:pPr>
        <w:spacing w:line="240" w:lineRule="auto" w:before="1"/>
        <w:rPr>
          <w:rFonts w:ascii="宋体" w:hAnsi="宋体" w:cs="宋体" w:eastAsia="宋体" w:hint="default"/>
          <w:sz w:val="13"/>
          <w:szCs w:val="13"/>
        </w:rPr>
      </w:pPr>
    </w:p>
    <w:tbl>
      <w:tblPr>
        <w:tblW w:w="0" w:type="auto"/>
        <w:jc w:val="left"/>
        <w:tblInd w:w="107" w:type="dxa"/>
        <w:tblLayout w:type="fixed"/>
        <w:tblCellMar>
          <w:top w:w="0" w:type="dxa"/>
          <w:left w:w="0" w:type="dxa"/>
          <w:bottom w:w="0" w:type="dxa"/>
          <w:right w:w="0" w:type="dxa"/>
        </w:tblCellMar>
        <w:tblLook w:val="01E0"/>
      </w:tblPr>
      <w:tblGrid>
        <w:gridCol w:w="2116"/>
        <w:gridCol w:w="1012"/>
        <w:gridCol w:w="242"/>
        <w:gridCol w:w="2852"/>
        <w:gridCol w:w="227"/>
        <w:gridCol w:w="2952"/>
      </w:tblGrid>
      <w:tr>
        <w:trPr>
          <w:trHeight w:val="865"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724"/>
              <w:jc w:val="right"/>
              <w:rPr>
                <w:rFonts w:ascii="黑体" w:hAnsi="黑体" w:cs="黑体" w:eastAsia="黑体" w:hint="default"/>
                <w:sz w:val="22"/>
                <w:szCs w:val="22"/>
              </w:rPr>
            </w:pPr>
            <w:r>
              <w:rPr>
                <w:rFonts w:ascii="Arial" w:hAnsi="Arial" w:cs="Arial" w:eastAsia="Arial" w:hint="default"/>
                <w:sz w:val="22"/>
                <w:szCs w:val="22"/>
              </w:rPr>
              <w:t>15</w:t>
            </w:r>
            <w:r>
              <w:rPr>
                <w:rFonts w:ascii="黑体" w:hAnsi="黑体" w:cs="黑体" w:eastAsia="黑体" w:hint="default"/>
                <w:sz w:val="22"/>
                <w:szCs w:val="22"/>
              </w:rPr>
              <w:t>、短期借款</w:t>
            </w:r>
          </w:p>
        </w:tc>
        <w:tc>
          <w:tcPr>
            <w:tcW w:w="1012"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15" w:right="0"/>
              <w:jc w:val="left"/>
              <w:rPr>
                <w:rFonts w:ascii="宋体" w:hAnsi="宋体" w:cs="宋体" w:eastAsia="宋体" w:hint="default"/>
                <w:sz w:val="22"/>
                <w:szCs w:val="22"/>
              </w:rPr>
            </w:pPr>
            <w:r>
              <w:rPr>
                <w:rFonts w:ascii="宋体" w:hAnsi="宋体" w:cs="宋体" w:eastAsia="宋体" w:hint="default"/>
                <w:sz w:val="22"/>
                <w:szCs w:val="22"/>
              </w:rPr>
              <w:t>币种</w:t>
            </w:r>
          </w:p>
        </w:tc>
        <w:tc>
          <w:tcPr>
            <w:tcW w:w="242" w:type="dxa"/>
            <w:tcBorders>
              <w:top w:val="nil" w:sz="6" w:space="0" w:color="auto"/>
              <w:left w:val="nil" w:sz="6" w:space="0" w:color="auto"/>
              <w:bottom w:val="nil" w:sz="6" w:space="0" w:color="auto"/>
              <w:right w:val="nil" w:sz="6" w:space="0" w:color="auto"/>
            </w:tcBorders>
          </w:tcPr>
          <w:p>
            <w:pPr/>
          </w:p>
        </w:tc>
        <w:tc>
          <w:tcPr>
            <w:tcW w:w="2852"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30" w:right="0"/>
              <w:jc w:val="lef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27" w:type="dxa"/>
            <w:tcBorders>
              <w:top w:val="nil" w:sz="6" w:space="0" w:color="auto"/>
              <w:left w:val="nil" w:sz="6" w:space="0" w:color="auto"/>
              <w:bottom w:val="nil" w:sz="6" w:space="0" w:color="auto"/>
              <w:right w:val="nil" w:sz="6" w:space="0" w:color="auto"/>
            </w:tcBorders>
          </w:tcPr>
          <w:p>
            <w:pPr/>
          </w:p>
        </w:tc>
        <w:tc>
          <w:tcPr>
            <w:tcW w:w="2952"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896" w:right="0"/>
              <w:jc w:val="lef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559"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740"/>
              <w:jc w:val="right"/>
              <w:rPr>
                <w:rFonts w:ascii="宋体" w:hAnsi="宋体" w:cs="宋体" w:eastAsia="宋体" w:hint="default"/>
                <w:sz w:val="22"/>
                <w:szCs w:val="22"/>
              </w:rPr>
            </w:pPr>
            <w:r>
              <w:rPr>
                <w:rFonts w:ascii="宋体" w:hAnsi="宋体" w:cs="宋体" w:eastAsia="宋体" w:hint="default"/>
                <w:w w:val="95"/>
                <w:sz w:val="22"/>
                <w:szCs w:val="22"/>
              </w:rPr>
              <w:t>信用借款</w:t>
            </w:r>
            <w:r>
              <w:rPr>
                <w:rFonts w:ascii="宋体" w:hAnsi="宋体" w:cs="宋体" w:eastAsia="宋体" w:hint="default"/>
                <w:sz w:val="22"/>
                <w:szCs w:val="22"/>
              </w:rPr>
            </w:r>
          </w:p>
        </w:tc>
        <w:tc>
          <w:tcPr>
            <w:tcW w:w="1012" w:type="dxa"/>
            <w:tcBorders>
              <w:top w:val="single" w:sz="6"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115" w:right="0"/>
              <w:jc w:val="left"/>
              <w:rPr>
                <w:rFonts w:ascii="宋体" w:hAnsi="宋体" w:cs="宋体" w:eastAsia="宋体" w:hint="default"/>
                <w:sz w:val="22"/>
                <w:szCs w:val="22"/>
              </w:rPr>
            </w:pPr>
            <w:r>
              <w:rPr>
                <w:rFonts w:ascii="宋体" w:hAnsi="宋体" w:cs="宋体" w:eastAsia="宋体" w:hint="default"/>
                <w:sz w:val="22"/>
                <w:szCs w:val="22"/>
              </w:rPr>
              <w:t>人民币</w:t>
            </w:r>
          </w:p>
        </w:tc>
        <w:tc>
          <w:tcPr>
            <w:tcW w:w="242" w:type="dxa"/>
            <w:tcBorders>
              <w:top w:val="nil" w:sz="6" w:space="0" w:color="auto"/>
              <w:left w:val="nil" w:sz="6" w:space="0" w:color="auto"/>
              <w:bottom w:val="nil" w:sz="6" w:space="0" w:color="auto"/>
              <w:right w:val="nil" w:sz="6" w:space="0" w:color="auto"/>
            </w:tcBorders>
          </w:tcPr>
          <w:p>
            <w:pPr/>
          </w:p>
        </w:tc>
        <w:tc>
          <w:tcPr>
            <w:tcW w:w="2852"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159" w:right="0"/>
              <w:jc w:val="left"/>
              <w:rPr>
                <w:rFonts w:ascii="Arial" w:hAnsi="Arial" w:cs="Arial" w:eastAsia="Arial" w:hint="default"/>
                <w:sz w:val="22"/>
                <w:szCs w:val="22"/>
              </w:rPr>
            </w:pPr>
            <w:r>
              <w:rPr>
                <w:rFonts w:ascii="Arial"/>
                <w:sz w:val="22"/>
              </w:rPr>
              <w:t>55,103,500,000</w:t>
            </w:r>
          </w:p>
        </w:tc>
        <w:tc>
          <w:tcPr>
            <w:tcW w:w="227" w:type="dxa"/>
            <w:tcBorders>
              <w:top w:val="nil" w:sz="6" w:space="0" w:color="auto"/>
              <w:left w:val="nil" w:sz="6" w:space="0" w:color="auto"/>
              <w:bottom w:val="nil" w:sz="6" w:space="0" w:color="auto"/>
              <w:right w:val="nil" w:sz="6" w:space="0" w:color="auto"/>
            </w:tcBorders>
          </w:tcPr>
          <w:p>
            <w:pPr/>
          </w:p>
        </w:tc>
        <w:tc>
          <w:tcPr>
            <w:tcW w:w="2952"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258" w:right="0"/>
              <w:jc w:val="left"/>
              <w:rPr>
                <w:rFonts w:ascii="Arial" w:hAnsi="Arial" w:cs="Arial" w:eastAsia="Arial" w:hint="default"/>
                <w:sz w:val="22"/>
                <w:szCs w:val="22"/>
              </w:rPr>
            </w:pPr>
            <w:r>
              <w:rPr>
                <w:rFonts w:ascii="Arial"/>
                <w:sz w:val="22"/>
              </w:rPr>
              <w:t>10,780,000,000</w:t>
            </w:r>
          </w:p>
        </w:tc>
      </w:tr>
      <w:tr>
        <w:trPr>
          <w:trHeight w:val="419" w:hRule="exact"/>
        </w:trPr>
        <w:tc>
          <w:tcPr>
            <w:tcW w:w="2116" w:type="dxa"/>
            <w:tcBorders>
              <w:top w:val="nil" w:sz="6" w:space="0" w:color="auto"/>
              <w:left w:val="nil" w:sz="6" w:space="0" w:color="auto"/>
              <w:bottom w:val="nil" w:sz="6" w:space="0" w:color="auto"/>
              <w:right w:val="nil" w:sz="6" w:space="0" w:color="auto"/>
            </w:tcBorders>
          </w:tcPr>
          <w:p>
            <w:pPr/>
          </w:p>
        </w:tc>
        <w:tc>
          <w:tcPr>
            <w:tcW w:w="1012" w:type="dxa"/>
            <w:tcBorders>
              <w:top w:val="nil" w:sz="6" w:space="0" w:color="auto"/>
              <w:left w:val="nil" w:sz="6" w:space="0" w:color="auto"/>
              <w:bottom w:val="nil" w:sz="6" w:space="0" w:color="auto"/>
              <w:right w:val="nil" w:sz="6" w:space="0" w:color="auto"/>
            </w:tcBorders>
          </w:tcPr>
          <w:p>
            <w:pPr>
              <w:pStyle w:val="TableParagraph"/>
              <w:spacing w:line="239" w:lineRule="exact"/>
              <w:ind w:left="115" w:right="0"/>
              <w:jc w:val="left"/>
              <w:rPr>
                <w:rFonts w:ascii="宋体" w:hAnsi="宋体" w:cs="宋体" w:eastAsia="宋体" w:hint="default"/>
                <w:sz w:val="22"/>
                <w:szCs w:val="22"/>
              </w:rPr>
            </w:pPr>
            <w:r>
              <w:rPr>
                <w:rFonts w:ascii="宋体" w:hAnsi="宋体" w:cs="宋体" w:eastAsia="宋体" w:hint="default"/>
                <w:sz w:val="22"/>
                <w:szCs w:val="22"/>
              </w:rPr>
              <w:t>港币</w:t>
            </w:r>
          </w:p>
        </w:tc>
        <w:tc>
          <w:tcPr>
            <w:tcW w:w="242" w:type="dxa"/>
            <w:tcBorders>
              <w:top w:val="nil" w:sz="6" w:space="0" w:color="auto"/>
              <w:left w:val="nil" w:sz="6" w:space="0" w:color="auto"/>
              <w:bottom w:val="nil" w:sz="6" w:space="0" w:color="auto"/>
              <w:right w:val="nil" w:sz="6" w:space="0" w:color="auto"/>
            </w:tcBorders>
          </w:tcPr>
          <w:p>
            <w:pPr/>
          </w:p>
        </w:tc>
        <w:tc>
          <w:tcPr>
            <w:tcW w:w="2852" w:type="dxa"/>
            <w:tcBorders>
              <w:top w:val="nil" w:sz="6" w:space="0" w:color="auto"/>
              <w:left w:val="nil" w:sz="6" w:space="0" w:color="auto"/>
              <w:bottom w:val="nil" w:sz="6" w:space="0" w:color="auto"/>
              <w:right w:val="nil" w:sz="6" w:space="0" w:color="auto"/>
            </w:tcBorders>
          </w:tcPr>
          <w:p>
            <w:pPr>
              <w:pStyle w:val="TableParagraph"/>
              <w:tabs>
                <w:tab w:pos="1281" w:val="left" w:leader="none"/>
                <w:tab w:pos="2845" w:val="left" w:leader="none"/>
              </w:tabs>
              <w:spacing w:line="240" w:lineRule="auto" w:before="17"/>
              <w:ind w:left="3"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8,805,000,000</w:t>
              <w:tab/>
            </w:r>
            <w:r>
              <w:rPr>
                <w:rFonts w:ascii="Arial"/>
                <w:sz w:val="22"/>
              </w:rPr>
            </w:r>
          </w:p>
        </w:tc>
        <w:tc>
          <w:tcPr>
            <w:tcW w:w="227" w:type="dxa"/>
            <w:tcBorders>
              <w:top w:val="nil" w:sz="6" w:space="0" w:color="auto"/>
              <w:left w:val="nil" w:sz="6" w:space="0" w:color="auto"/>
              <w:bottom w:val="nil" w:sz="6" w:space="0" w:color="auto"/>
              <w:right w:val="nil" w:sz="6" w:space="0" w:color="auto"/>
            </w:tcBorders>
          </w:tcPr>
          <w:p>
            <w:pPr/>
          </w:p>
        </w:tc>
        <w:tc>
          <w:tcPr>
            <w:tcW w:w="2952" w:type="dxa"/>
            <w:tcBorders>
              <w:top w:val="nil" w:sz="6" w:space="0" w:color="auto"/>
              <w:left w:val="nil" w:sz="6" w:space="0" w:color="auto"/>
              <w:bottom w:val="nil" w:sz="6" w:space="0" w:color="auto"/>
              <w:right w:val="nil" w:sz="6" w:space="0" w:color="auto"/>
            </w:tcBorders>
          </w:tcPr>
          <w:p>
            <w:pPr>
              <w:pStyle w:val="TableParagraph"/>
              <w:tabs>
                <w:tab w:pos="2714" w:val="left" w:leader="none"/>
                <w:tab w:pos="2944" w:val="left" w:leader="none"/>
              </w:tabs>
              <w:spacing w:line="240" w:lineRule="auto" w:before="17"/>
              <w:ind w:left="3"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w:t>
              <w:tab/>
            </w:r>
            <w:r>
              <w:rPr>
                <w:rFonts w:ascii="Arial"/>
                <w:sz w:val="22"/>
              </w:rPr>
            </w:r>
          </w:p>
        </w:tc>
      </w:tr>
      <w:tr>
        <w:trPr>
          <w:trHeight w:val="431" w:hRule="exact"/>
        </w:trPr>
        <w:tc>
          <w:tcPr>
            <w:tcW w:w="2116" w:type="dxa"/>
            <w:tcBorders>
              <w:top w:val="nil" w:sz="6" w:space="0" w:color="auto"/>
              <w:left w:val="nil" w:sz="6" w:space="0" w:color="auto"/>
              <w:bottom w:val="nil" w:sz="6" w:space="0" w:color="auto"/>
              <w:right w:val="nil" w:sz="6" w:space="0" w:color="auto"/>
            </w:tcBorders>
          </w:tcPr>
          <w:p>
            <w:pPr>
              <w:pStyle w:val="TableParagraph"/>
              <w:spacing w:line="240" w:lineRule="auto" w:before="86"/>
              <w:ind w:left="494"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012" w:type="dxa"/>
            <w:tcBorders>
              <w:top w:val="nil" w:sz="6" w:space="0" w:color="auto"/>
              <w:left w:val="nil" w:sz="6" w:space="0" w:color="auto"/>
              <w:bottom w:val="nil" w:sz="6" w:space="0" w:color="auto"/>
              <w:right w:val="nil" w:sz="6" w:space="0" w:color="auto"/>
            </w:tcBorders>
          </w:tcPr>
          <w:p>
            <w:pPr/>
          </w:p>
        </w:tc>
        <w:tc>
          <w:tcPr>
            <w:tcW w:w="242" w:type="dxa"/>
            <w:tcBorders>
              <w:top w:val="nil" w:sz="6" w:space="0" w:color="auto"/>
              <w:left w:val="nil" w:sz="6" w:space="0" w:color="auto"/>
              <w:bottom w:val="nil" w:sz="6" w:space="0" w:color="auto"/>
              <w:right w:val="nil" w:sz="6" w:space="0" w:color="auto"/>
            </w:tcBorders>
          </w:tcPr>
          <w:p>
            <w:pPr/>
          </w:p>
        </w:tc>
        <w:tc>
          <w:tcPr>
            <w:tcW w:w="2852" w:type="dxa"/>
            <w:tcBorders>
              <w:top w:val="nil" w:sz="6" w:space="0" w:color="auto"/>
              <w:left w:val="nil" w:sz="6" w:space="0" w:color="auto"/>
              <w:bottom w:val="single" w:sz="17" w:space="0" w:color="000000"/>
              <w:right w:val="nil" w:sz="6" w:space="0" w:color="auto"/>
            </w:tcBorders>
          </w:tcPr>
          <w:p>
            <w:pPr>
              <w:pStyle w:val="TableParagraph"/>
              <w:spacing w:line="240" w:lineRule="auto" w:before="152"/>
              <w:ind w:left="1159" w:right="0"/>
              <w:jc w:val="left"/>
              <w:rPr>
                <w:rFonts w:ascii="Arial" w:hAnsi="Arial" w:cs="Arial" w:eastAsia="Arial" w:hint="default"/>
                <w:sz w:val="22"/>
                <w:szCs w:val="22"/>
              </w:rPr>
            </w:pPr>
            <w:r>
              <w:rPr>
                <w:rFonts w:ascii="Arial"/>
                <w:sz w:val="22"/>
              </w:rPr>
              <w:t>63,908,500,000</w:t>
            </w:r>
          </w:p>
        </w:tc>
        <w:tc>
          <w:tcPr>
            <w:tcW w:w="227" w:type="dxa"/>
            <w:tcBorders>
              <w:top w:val="nil" w:sz="6" w:space="0" w:color="auto"/>
              <w:left w:val="nil" w:sz="6" w:space="0" w:color="auto"/>
              <w:bottom w:val="nil" w:sz="6" w:space="0" w:color="auto"/>
              <w:right w:val="nil" w:sz="6" w:space="0" w:color="auto"/>
            </w:tcBorders>
          </w:tcPr>
          <w:p>
            <w:pPr/>
          </w:p>
        </w:tc>
        <w:tc>
          <w:tcPr>
            <w:tcW w:w="2952" w:type="dxa"/>
            <w:tcBorders>
              <w:top w:val="nil" w:sz="6" w:space="0" w:color="auto"/>
              <w:left w:val="nil" w:sz="6" w:space="0" w:color="auto"/>
              <w:bottom w:val="single" w:sz="17" w:space="0" w:color="000000"/>
              <w:right w:val="nil" w:sz="6" w:space="0" w:color="auto"/>
            </w:tcBorders>
          </w:tcPr>
          <w:p>
            <w:pPr>
              <w:pStyle w:val="TableParagraph"/>
              <w:spacing w:line="240" w:lineRule="auto" w:before="152"/>
              <w:ind w:left="1258" w:right="0"/>
              <w:jc w:val="left"/>
              <w:rPr>
                <w:rFonts w:ascii="Arial" w:hAnsi="Arial" w:cs="Arial" w:eastAsia="Arial" w:hint="default"/>
                <w:sz w:val="22"/>
                <w:szCs w:val="22"/>
              </w:rPr>
            </w:pPr>
            <w:r>
              <w:rPr>
                <w:rFonts w:ascii="Arial"/>
                <w:sz w:val="22"/>
              </w:rPr>
              <w:t>10,780,000,000</w:t>
            </w:r>
          </w:p>
        </w:tc>
      </w:tr>
    </w:tbl>
    <w:p>
      <w:pPr>
        <w:spacing w:after="0" w:line="240" w:lineRule="auto"/>
        <w:jc w:val="left"/>
        <w:rPr>
          <w:rFonts w:ascii="Arial" w:hAnsi="Arial" w:cs="Arial" w:eastAsia="Arial" w:hint="default"/>
          <w:sz w:val="22"/>
          <w:szCs w:val="22"/>
        </w:rPr>
        <w:sectPr>
          <w:headerReference w:type="default" r:id="rId94"/>
          <w:pgSz w:w="11910" w:h="16840"/>
          <w:pgMar w:header="1189" w:footer="752" w:top="3060" w:bottom="940" w:left="1240" w:right="820"/>
        </w:sectPr>
      </w:pPr>
    </w:p>
    <w:p>
      <w:pPr>
        <w:spacing w:line="240" w:lineRule="auto" w:before="12"/>
        <w:rPr>
          <w:rFonts w:ascii="宋体" w:hAnsi="宋体" w:cs="宋体" w:eastAsia="宋体" w:hint="default"/>
          <w:sz w:val="14"/>
          <w:szCs w:val="14"/>
        </w:rPr>
      </w:pPr>
    </w:p>
    <w:p>
      <w:pPr>
        <w:pStyle w:val="BodyText"/>
        <w:spacing w:line="240" w:lineRule="auto" w:before="31"/>
        <w:ind w:left="102" w:right="97"/>
        <w:jc w:val="left"/>
        <w:rPr>
          <w:rFonts w:ascii="黑体" w:hAnsi="黑体" w:cs="黑体" w:eastAsia="黑体" w:hint="default"/>
        </w:rPr>
      </w:pPr>
      <w:r>
        <w:rPr>
          <w:rFonts w:ascii="Arial" w:hAnsi="Arial" w:cs="Arial" w:eastAsia="Arial" w:hint="default"/>
        </w:rPr>
        <w:t>15</w:t>
      </w:r>
      <w:r>
        <w:rPr>
          <w:rFonts w:ascii="黑体" w:hAnsi="黑体" w:cs="黑体" w:eastAsia="黑体" w:hint="default"/>
        </w:rPr>
        <w:t>、短期借款（续）</w:t>
      </w:r>
    </w:p>
    <w:p>
      <w:pPr>
        <w:spacing w:line="240" w:lineRule="auto" w:before="13"/>
        <w:rPr>
          <w:rFonts w:ascii="黑体" w:hAnsi="黑体" w:cs="黑体" w:eastAsia="黑体" w:hint="default"/>
          <w:sz w:val="17"/>
          <w:szCs w:val="17"/>
        </w:rPr>
      </w:pPr>
    </w:p>
    <w:p>
      <w:pPr>
        <w:pStyle w:val="BodyText"/>
        <w:spacing w:line="240" w:lineRule="auto"/>
        <w:ind w:left="550" w:right="0"/>
        <w:jc w:val="left"/>
      </w:pPr>
      <w:r>
        <w:rPr>
          <w:w w:val="99"/>
        </w:rPr>
        <w:t>于</w:t>
      </w:r>
      <w:r>
        <w:rPr>
          <w:spacing w:val="-79"/>
        </w:rPr>
        <w:t> </w:t>
      </w:r>
      <w:r>
        <w:rPr>
          <w:rFonts w:ascii="Arial" w:hAnsi="Arial" w:cs="Arial" w:eastAsia="Arial" w:hint="default"/>
          <w:w w:val="99"/>
        </w:rPr>
        <w:t>2009</w:t>
      </w:r>
      <w:r>
        <w:rPr>
          <w:rFonts w:ascii="Arial" w:hAnsi="Arial" w:cs="Arial" w:eastAsia="Arial" w:hint="default"/>
          <w:spacing w:val="-30"/>
        </w:rPr>
        <w:t> </w:t>
      </w:r>
      <w:r>
        <w:rPr>
          <w:w w:val="99"/>
        </w:rPr>
        <w:t>年</w:t>
      </w:r>
      <w:r>
        <w:rPr>
          <w:spacing w:val="-79"/>
        </w:rPr>
        <w:t> </w:t>
      </w:r>
      <w:r>
        <w:rPr>
          <w:rFonts w:ascii="Arial" w:hAnsi="Arial" w:cs="Arial" w:eastAsia="Arial" w:hint="default"/>
          <w:w w:val="99"/>
        </w:rPr>
        <w:t>12</w:t>
      </w:r>
      <w:r>
        <w:rPr>
          <w:rFonts w:ascii="Arial" w:hAnsi="Arial" w:cs="Arial" w:eastAsia="Arial" w:hint="default"/>
          <w:spacing w:val="-30"/>
        </w:rPr>
        <w:t> </w:t>
      </w:r>
      <w:r>
        <w:rPr>
          <w:w w:val="99"/>
        </w:rPr>
        <w:t>月</w:t>
      </w:r>
      <w:r>
        <w:rPr>
          <w:spacing w:val="-79"/>
        </w:rPr>
        <w:t> </w:t>
      </w:r>
      <w:r>
        <w:rPr>
          <w:rFonts w:ascii="Arial" w:hAnsi="Arial" w:cs="Arial" w:eastAsia="Arial" w:hint="default"/>
          <w:w w:val="99"/>
        </w:rPr>
        <w:t>31</w:t>
      </w:r>
      <w:r>
        <w:rPr>
          <w:rFonts w:ascii="Arial" w:hAnsi="Arial" w:cs="Arial" w:eastAsia="Arial" w:hint="default"/>
          <w:spacing w:val="-30"/>
        </w:rPr>
        <w:t> </w:t>
      </w:r>
      <w:r>
        <w:rPr>
          <w:w w:val="99"/>
        </w:rPr>
        <w:t>日</w:t>
      </w:r>
      <w:r>
        <w:rPr>
          <w:spacing w:val="-110"/>
          <w:w w:val="99"/>
        </w:rPr>
        <w:t>，</w:t>
      </w:r>
      <w:r>
        <w:rPr>
          <w:w w:val="99"/>
        </w:rPr>
        <w:t>短期借</w:t>
      </w:r>
      <w:r>
        <w:rPr>
          <w:spacing w:val="1"/>
          <w:w w:val="99"/>
        </w:rPr>
        <w:t>款的</w:t>
      </w:r>
      <w:r>
        <w:rPr>
          <w:w w:val="99"/>
        </w:rPr>
        <w:t>年利率为</w:t>
      </w:r>
      <w:r>
        <w:rPr>
          <w:spacing w:val="-79"/>
        </w:rPr>
        <w:t> </w:t>
      </w:r>
      <w:r>
        <w:rPr>
          <w:rFonts w:ascii="Arial" w:hAnsi="Arial" w:cs="Arial" w:eastAsia="Arial" w:hint="default"/>
          <w:w w:val="99"/>
        </w:rPr>
        <w:t>0.</w:t>
      </w:r>
      <w:r>
        <w:rPr>
          <w:rFonts w:ascii="Arial" w:hAnsi="Arial" w:cs="Arial" w:eastAsia="Arial" w:hint="default"/>
          <w:spacing w:val="1"/>
          <w:w w:val="99"/>
        </w:rPr>
        <w:t>4</w:t>
      </w:r>
      <w:r>
        <w:rPr>
          <w:rFonts w:ascii="Arial" w:hAnsi="Arial" w:cs="Arial" w:eastAsia="Arial" w:hint="default"/>
          <w:w w:val="99"/>
        </w:rPr>
        <w:t>7%-4.37</w:t>
      </w:r>
      <w:r>
        <w:rPr>
          <w:rFonts w:ascii="Arial" w:hAnsi="Arial" w:cs="Arial" w:eastAsia="Arial" w:hint="default"/>
          <w:spacing w:val="-110"/>
          <w:w w:val="99"/>
        </w:rPr>
        <w:t>%</w:t>
      </w:r>
      <w:r>
        <w:rPr>
          <w:w w:val="99"/>
        </w:rPr>
        <w:t>（</w:t>
      </w:r>
      <w:r>
        <w:rPr>
          <w:rFonts w:ascii="Arial" w:hAnsi="Arial" w:cs="Arial" w:eastAsia="Arial" w:hint="default"/>
          <w:w w:val="99"/>
        </w:rPr>
        <w:t>2008</w:t>
      </w:r>
      <w:r>
        <w:rPr>
          <w:rFonts w:ascii="Arial" w:hAnsi="Arial" w:cs="Arial" w:eastAsia="Arial" w:hint="default"/>
          <w:spacing w:val="-30"/>
        </w:rPr>
        <w:t> </w:t>
      </w:r>
      <w:r>
        <w:rPr>
          <w:w w:val="99"/>
        </w:rPr>
        <w:t>年</w:t>
      </w:r>
      <w:r>
        <w:rPr>
          <w:spacing w:val="-79"/>
        </w:rPr>
        <w:t> </w:t>
      </w:r>
      <w:r>
        <w:rPr>
          <w:rFonts w:ascii="Arial" w:hAnsi="Arial" w:cs="Arial" w:eastAsia="Arial" w:hint="default"/>
          <w:w w:val="99"/>
        </w:rPr>
        <w:t>12</w:t>
      </w:r>
      <w:r>
        <w:rPr>
          <w:rFonts w:ascii="Arial" w:hAnsi="Arial" w:cs="Arial" w:eastAsia="Arial" w:hint="default"/>
          <w:spacing w:val="-30"/>
        </w:rPr>
        <w:t> </w:t>
      </w:r>
      <w:r>
        <w:rPr>
          <w:w w:val="99"/>
        </w:rPr>
        <w:t>月</w:t>
      </w:r>
      <w:r>
        <w:rPr>
          <w:spacing w:val="-79"/>
        </w:rPr>
        <w:t> </w:t>
      </w:r>
      <w:r>
        <w:rPr>
          <w:rFonts w:ascii="Arial" w:hAnsi="Arial" w:cs="Arial" w:eastAsia="Arial" w:hint="default"/>
          <w:w w:val="99"/>
        </w:rPr>
        <w:t>31</w:t>
      </w:r>
      <w:r>
        <w:rPr>
          <w:rFonts w:ascii="Arial" w:hAnsi="Arial" w:cs="Arial" w:eastAsia="Arial" w:hint="default"/>
          <w:spacing w:val="-30"/>
        </w:rPr>
        <w:t> </w:t>
      </w:r>
      <w:r>
        <w:rPr>
          <w:w w:val="99"/>
        </w:rPr>
        <w:t>日</w:t>
      </w:r>
      <w:r>
        <w:rPr>
          <w:spacing w:val="-111"/>
          <w:w w:val="99"/>
        </w:rPr>
        <w:t>：</w:t>
      </w:r>
      <w:r>
        <w:rPr>
          <w:rFonts w:ascii="Arial" w:hAnsi="Arial" w:cs="Arial" w:eastAsia="Arial" w:hint="default"/>
          <w:w w:val="99"/>
        </w:rPr>
        <w:t>4.</w:t>
      </w:r>
      <w:r>
        <w:rPr>
          <w:rFonts w:ascii="Arial" w:hAnsi="Arial" w:cs="Arial" w:eastAsia="Arial" w:hint="default"/>
          <w:spacing w:val="1"/>
          <w:w w:val="99"/>
        </w:rPr>
        <w:t>5</w:t>
      </w:r>
      <w:r>
        <w:rPr>
          <w:rFonts w:ascii="Arial" w:hAnsi="Arial" w:cs="Arial" w:eastAsia="Arial" w:hint="default"/>
          <w:w w:val="99"/>
        </w:rPr>
        <w:t>4%-6.80%</w:t>
      </w:r>
      <w:r>
        <w:rPr>
          <w:spacing w:val="-110"/>
          <w:w w:val="99"/>
        </w:rPr>
        <w:t>）</w:t>
      </w:r>
      <w:r>
        <w:rPr>
          <w:w w:val="99"/>
        </w:rPr>
        <w:t>。</w:t>
      </w:r>
      <w:r>
        <w:rPr/>
      </w:r>
    </w:p>
    <w:p>
      <w:pPr>
        <w:spacing w:line="240" w:lineRule="auto" w:before="5"/>
        <w:rPr>
          <w:rFonts w:ascii="宋体" w:hAnsi="宋体" w:cs="宋体" w:eastAsia="宋体" w:hint="default"/>
          <w:sz w:val="15"/>
          <w:szCs w:val="15"/>
        </w:rPr>
      </w:pPr>
    </w:p>
    <w:p>
      <w:pPr>
        <w:pStyle w:val="BodyText"/>
        <w:spacing w:line="240" w:lineRule="auto"/>
        <w:ind w:left="550" w:right="0"/>
        <w:jc w:val="left"/>
      </w:pPr>
      <w:r>
        <w:rPr/>
        <w:t>于</w:t>
      </w:r>
      <w:r>
        <w:rPr>
          <w:spacing w:val="-57"/>
        </w:rPr>
        <w:t> </w:t>
      </w:r>
      <w:r>
        <w:rPr>
          <w:rFonts w:ascii="Arial" w:hAnsi="Arial" w:cs="Arial" w:eastAsia="Arial" w:hint="default"/>
        </w:rPr>
        <w:t>2009</w:t>
      </w:r>
      <w:r>
        <w:rPr>
          <w:rFonts w:ascii="Arial" w:hAnsi="Arial" w:cs="Arial" w:eastAsia="Arial" w:hint="default"/>
          <w:spacing w:val="-8"/>
        </w:rPr>
        <w:t> </w:t>
      </w:r>
      <w:r>
        <w:rPr/>
        <w:t>年</w:t>
      </w:r>
      <w:r>
        <w:rPr>
          <w:spacing w:val="-57"/>
        </w:rPr>
        <w:t> </w:t>
      </w: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t>日，本集团无已到期但尚未偿还的短期借款（</w:t>
      </w:r>
      <w:r>
        <w:rPr>
          <w:rFonts w:ascii="Arial" w:hAnsi="Arial" w:cs="Arial" w:eastAsia="Arial" w:hint="default"/>
        </w:rPr>
        <w:t>2008</w:t>
      </w:r>
      <w:r>
        <w:rPr>
          <w:rFonts w:ascii="Arial" w:hAnsi="Arial" w:cs="Arial" w:eastAsia="Arial" w:hint="default"/>
          <w:spacing w:val="-7"/>
        </w:rPr>
        <w:t> </w:t>
      </w:r>
      <w:r>
        <w:rPr/>
        <w:t>年</w:t>
      </w:r>
      <w:r>
        <w:rPr>
          <w:spacing w:val="-57"/>
        </w:rPr>
        <w:t> </w:t>
      </w: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t>日：无）。</w:t>
      </w:r>
    </w:p>
    <w:p>
      <w:pPr>
        <w:spacing w:line="240" w:lineRule="auto" w:before="12"/>
        <w:rPr>
          <w:rFonts w:ascii="宋体" w:hAnsi="宋体" w:cs="宋体" w:eastAsia="宋体" w:hint="default"/>
          <w:sz w:val="17"/>
          <w:szCs w:val="17"/>
        </w:rPr>
      </w:pPr>
    </w:p>
    <w:p>
      <w:pPr>
        <w:pStyle w:val="BodyText"/>
        <w:spacing w:line="240" w:lineRule="auto"/>
        <w:ind w:left="102" w:right="97"/>
        <w:jc w:val="left"/>
        <w:rPr>
          <w:rFonts w:ascii="黑体" w:hAnsi="黑体" w:cs="黑体" w:eastAsia="黑体" w:hint="default"/>
        </w:rPr>
      </w:pPr>
      <w:r>
        <w:rPr>
          <w:rFonts w:ascii="Arial" w:hAnsi="Arial" w:cs="Arial" w:eastAsia="Arial" w:hint="default"/>
        </w:rPr>
        <w:t>16</w:t>
      </w:r>
      <w:r>
        <w:rPr>
          <w:rFonts w:ascii="黑体" w:hAnsi="黑体" w:cs="黑体" w:eastAsia="黑体" w:hint="default"/>
        </w:rPr>
        <w:t>、应付短期债券</w:t>
      </w:r>
    </w:p>
    <w:p>
      <w:pPr>
        <w:spacing w:line="240" w:lineRule="auto" w:before="0"/>
        <w:rPr>
          <w:rFonts w:ascii="黑体" w:hAnsi="黑体" w:cs="黑体" w:eastAsia="黑体" w:hint="default"/>
          <w:sz w:val="15"/>
          <w:szCs w:val="15"/>
        </w:rPr>
      </w:pPr>
    </w:p>
    <w:p>
      <w:pPr>
        <w:spacing w:after="0" w:line="240" w:lineRule="auto"/>
        <w:rPr>
          <w:rFonts w:ascii="黑体" w:hAnsi="黑体" w:cs="黑体" w:eastAsia="黑体" w:hint="default"/>
          <w:sz w:val="15"/>
          <w:szCs w:val="15"/>
        </w:rPr>
        <w:sectPr>
          <w:headerReference w:type="default" r:id="rId95"/>
          <w:footerReference w:type="default" r:id="rId96"/>
          <w:pgSz w:w="11910" w:h="16840"/>
          <w:pgMar w:header="1189" w:footer="752" w:top="3060" w:bottom="940" w:left="1280" w:right="800"/>
          <w:pgNumType w:start="112"/>
        </w:sectPr>
      </w:pPr>
    </w:p>
    <w:p>
      <w:pPr>
        <w:spacing w:line="240" w:lineRule="auto" w:before="4"/>
        <w:rPr>
          <w:rFonts w:ascii="黑体" w:hAnsi="黑体" w:cs="黑体" w:eastAsia="黑体" w:hint="default"/>
          <w:sz w:val="21"/>
          <w:szCs w:val="21"/>
        </w:rPr>
      </w:pPr>
    </w:p>
    <w:p>
      <w:pPr>
        <w:tabs>
          <w:tab w:pos="1914" w:val="left" w:leader="none"/>
          <w:tab w:pos="3166" w:val="left" w:leader="none"/>
          <w:tab w:pos="4451" w:val="left" w:leader="none"/>
          <w:tab w:pos="5612" w:val="left" w:leader="none"/>
        </w:tabs>
        <w:spacing w:before="0"/>
        <w:ind w:left="951" w:right="-20" w:firstLine="0"/>
        <w:jc w:val="left"/>
        <w:rPr>
          <w:rFonts w:ascii="宋体" w:hAnsi="宋体" w:cs="宋体" w:eastAsia="宋体" w:hint="default"/>
          <w:sz w:val="18"/>
          <w:szCs w:val="18"/>
        </w:rPr>
      </w:pPr>
      <w:r>
        <w:rPr>
          <w:rFonts w:ascii="宋体" w:hAnsi="宋体" w:cs="宋体" w:eastAsia="宋体" w:hint="default"/>
          <w:sz w:val="18"/>
          <w:szCs w:val="18"/>
        </w:rPr>
        <w:t>项目</w:t>
        <w:tab/>
        <w:t>债券期限</w:t>
        <w:tab/>
        <w:t>发行日期</w:t>
        <w:tab/>
        <w:t>票面利率</w:t>
        <w:tab/>
        <w:t>面值总额</w:t>
      </w:r>
    </w:p>
    <w:p>
      <w:pPr>
        <w:spacing w:line="241" w:lineRule="exact" w:before="44"/>
        <w:ind w:left="1093" w:right="-17" w:firstLine="0"/>
        <w:jc w:val="left"/>
        <w:rPr>
          <w:rFonts w:ascii="宋体" w:hAnsi="宋体" w:cs="宋体" w:eastAsia="宋体" w:hint="default"/>
          <w:sz w:val="18"/>
          <w:szCs w:val="18"/>
        </w:rPr>
      </w:pPr>
      <w:r>
        <w:rPr/>
        <w:br w:type="column"/>
      </w:r>
      <w:r>
        <w:rPr>
          <w:rFonts w:ascii="Arial" w:hAnsi="Arial" w:cs="Arial" w:eastAsia="Arial" w:hint="default"/>
          <w:sz w:val="18"/>
          <w:szCs w:val="18"/>
        </w:rPr>
        <w:t>2009</w:t>
      </w:r>
      <w:r>
        <w:rPr>
          <w:rFonts w:ascii="Arial" w:hAnsi="Arial" w:cs="Arial" w:eastAsia="Arial" w:hint="default"/>
          <w:spacing w:val="-9"/>
          <w:sz w:val="18"/>
          <w:szCs w:val="18"/>
        </w:rPr>
        <w:t> </w:t>
      </w:r>
      <w:r>
        <w:rPr>
          <w:rFonts w:ascii="宋体" w:hAnsi="宋体" w:cs="宋体" w:eastAsia="宋体" w:hint="default"/>
          <w:sz w:val="18"/>
          <w:szCs w:val="18"/>
        </w:rPr>
        <w:t>年</w:t>
      </w:r>
    </w:p>
    <w:p>
      <w:pPr>
        <w:spacing w:line="241" w:lineRule="exact" w:before="0"/>
        <w:ind w:left="823" w:right="-15" w:firstLine="0"/>
        <w:jc w:val="left"/>
        <w:rPr>
          <w:rFonts w:ascii="宋体" w:hAnsi="宋体" w:cs="宋体" w:eastAsia="宋体" w:hint="default"/>
          <w:sz w:val="18"/>
          <w:szCs w:val="18"/>
        </w:rPr>
      </w:pP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p>
      <w:pPr>
        <w:spacing w:line="241" w:lineRule="exact" w:before="44"/>
        <w:ind w:left="904" w:right="0" w:firstLine="0"/>
        <w:jc w:val="left"/>
        <w:rPr>
          <w:rFonts w:ascii="宋体" w:hAnsi="宋体" w:cs="宋体" w:eastAsia="宋体" w:hint="default"/>
          <w:sz w:val="18"/>
          <w:szCs w:val="18"/>
        </w:rPr>
      </w:pPr>
      <w:r>
        <w:rPr/>
        <w:br w:type="column"/>
      </w:r>
      <w:r>
        <w:rPr>
          <w:rFonts w:ascii="Arial" w:hAnsi="Arial" w:cs="Arial" w:eastAsia="Arial" w:hint="default"/>
          <w:sz w:val="18"/>
          <w:szCs w:val="18"/>
        </w:rPr>
        <w:t>2008</w:t>
      </w:r>
      <w:r>
        <w:rPr>
          <w:rFonts w:ascii="Arial" w:hAnsi="Arial" w:cs="Arial" w:eastAsia="Arial" w:hint="default"/>
          <w:spacing w:val="-9"/>
          <w:sz w:val="18"/>
          <w:szCs w:val="18"/>
        </w:rPr>
        <w:t> </w:t>
      </w:r>
      <w:r>
        <w:rPr>
          <w:rFonts w:ascii="宋体" w:hAnsi="宋体" w:cs="宋体" w:eastAsia="宋体" w:hint="default"/>
          <w:sz w:val="18"/>
          <w:szCs w:val="18"/>
        </w:rPr>
        <w:t>年</w:t>
      </w:r>
    </w:p>
    <w:p>
      <w:pPr>
        <w:spacing w:line="241" w:lineRule="exact" w:before="0"/>
        <w:ind w:left="634" w:right="0" w:firstLine="0"/>
        <w:jc w:val="left"/>
        <w:rPr>
          <w:rFonts w:ascii="宋体" w:hAnsi="宋体" w:cs="宋体" w:eastAsia="宋体" w:hint="default"/>
          <w:sz w:val="18"/>
          <w:szCs w:val="18"/>
        </w:rPr>
      </w:pP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p>
      <w:pPr>
        <w:spacing w:after="0" w:line="241" w:lineRule="exact"/>
        <w:jc w:val="left"/>
        <w:rPr>
          <w:rFonts w:ascii="宋体" w:hAnsi="宋体" w:cs="宋体" w:eastAsia="宋体" w:hint="default"/>
          <w:sz w:val="18"/>
          <w:szCs w:val="18"/>
        </w:rPr>
        <w:sectPr>
          <w:type w:val="continuous"/>
          <w:pgSz w:w="11910" w:h="16840"/>
          <w:pgMar w:top="1600" w:bottom="280" w:left="1280" w:right="800"/>
          <w:cols w:num="3" w:equalWidth="0">
            <w:col w:w="6333" w:space="40"/>
            <w:col w:w="1718" w:space="40"/>
            <w:col w:w="1699"/>
          </w:cols>
        </w:sectPr>
      </w:pPr>
    </w:p>
    <w:p>
      <w:pPr>
        <w:spacing w:line="20" w:lineRule="exact"/>
        <w:ind w:left="557" w:right="0" w:firstLine="0"/>
        <w:rPr>
          <w:rFonts w:ascii="宋体" w:hAnsi="宋体" w:cs="宋体" w:eastAsia="宋体" w:hint="default"/>
          <w:sz w:val="2"/>
          <w:szCs w:val="2"/>
        </w:rPr>
      </w:pPr>
      <w:r>
        <w:rPr>
          <w:rFonts w:ascii="宋体"/>
          <w:sz w:val="2"/>
        </w:rPr>
        <w:pict>
          <v:group style="width:59.9pt;height:.75pt;mso-position-horizontal-relative:char;mso-position-vertical-relative:line" coordorigin="0,0" coordsize="1198,15">
            <v:group style="position:absolute;left:7;top:7;width:1184;height:2" coordorigin="7,7" coordsize="1184,2">
              <v:shape style="position:absolute;left:7;top:7;width:1184;height:2" coordorigin="7,7" coordsize="1184,0" path="m7,7l1190,7e" filled="false" stroked="true" strokeweight=".72pt" strokecolor="#000000">
                <v:path arrowok="t"/>
              </v:shape>
            </v:group>
          </v:group>
        </w:pict>
      </w:r>
      <w:r>
        <w:rPr>
          <w:rFonts w:ascii="宋体"/>
          <w:sz w:val="2"/>
        </w:rPr>
      </w:r>
      <w:r>
        <w:rPr>
          <w:rFonts w:ascii="Times New Roman"/>
          <w:spacing w:val="89"/>
          <w:sz w:val="2"/>
        </w:rPr>
        <w:t> </w:t>
      </w:r>
      <w:r>
        <w:rPr>
          <w:rFonts w:ascii="宋体"/>
          <w:spacing w:val="89"/>
          <w:sz w:val="2"/>
        </w:rPr>
        <w:pict>
          <v:group style="width:39.25pt;height:.75pt;mso-position-horizontal-relative:char;mso-position-vertical-relative:line" coordorigin="0,0" coordsize="785,15">
            <v:group style="position:absolute;left:7;top:7;width:771;height:2" coordorigin="7,7" coordsize="771,2">
              <v:shape style="position:absolute;left:7;top:7;width:771;height:2" coordorigin="7,7" coordsize="771,0" path="m7,7l778,7e" filled="false" stroked="true" strokeweight=".72pt" strokecolor="#000000">
                <v:path arrowok="t"/>
              </v:shape>
            </v:group>
          </v:group>
        </w:pict>
      </w:r>
      <w:r>
        <w:rPr>
          <w:rFonts w:ascii="宋体"/>
          <w:spacing w:val="89"/>
          <w:sz w:val="2"/>
        </w:rPr>
      </w:r>
      <w:r>
        <w:rPr>
          <w:rFonts w:ascii="Times New Roman"/>
          <w:spacing w:val="103"/>
          <w:sz w:val="2"/>
        </w:rPr>
        <w:t> </w:t>
      </w:r>
      <w:r>
        <w:rPr>
          <w:rFonts w:ascii="宋体"/>
          <w:spacing w:val="103"/>
          <w:sz w:val="2"/>
        </w:rPr>
        <w:pict>
          <v:group style="width:77pt;height:.75pt;mso-position-horizontal-relative:char;mso-position-vertical-relative:line" coordorigin="0,0" coordsize="1540,15">
            <v:group style="position:absolute;left:7;top:7;width:1526;height:2" coordorigin="7,7" coordsize="1526,2">
              <v:shape style="position:absolute;left:7;top:7;width:1526;height:2" coordorigin="7,7" coordsize="1526,0" path="m7,7l1532,7e" filled="false" stroked="true" strokeweight=".72pt" strokecolor="#000000">
                <v:path arrowok="t"/>
              </v:shape>
            </v:group>
          </v:group>
        </w:pict>
      </w:r>
      <w:r>
        <w:rPr>
          <w:rFonts w:ascii="宋体"/>
          <w:spacing w:val="103"/>
          <w:sz w:val="2"/>
        </w:rPr>
      </w:r>
      <w:r>
        <w:rPr>
          <w:rFonts w:ascii="Times New Roman"/>
          <w:spacing w:val="84"/>
          <w:sz w:val="2"/>
        </w:rPr>
        <w:t> </w:t>
      </w:r>
      <w:r>
        <w:rPr>
          <w:rFonts w:ascii="宋体"/>
          <w:spacing w:val="84"/>
          <w:sz w:val="2"/>
        </w:rPr>
        <w:pict>
          <v:group style="width:40.2pt;height:.75pt;mso-position-horizontal-relative:char;mso-position-vertical-relative:line" coordorigin="0,0" coordsize="804,15">
            <v:group style="position:absolute;left:7;top:7;width:790;height:2" coordorigin="7,7" coordsize="790,2">
              <v:shape style="position:absolute;left:7;top:7;width:790;height:2" coordorigin="7,7" coordsize="790,0" path="m7,7l797,7e" filled="false" stroked="true" strokeweight=".72pt" strokecolor="#000000">
                <v:path arrowok="t"/>
              </v:shape>
            </v:group>
          </v:group>
        </w:pict>
      </w:r>
      <w:r>
        <w:rPr>
          <w:rFonts w:ascii="宋体"/>
          <w:spacing w:val="84"/>
          <w:sz w:val="2"/>
        </w:rPr>
      </w:r>
      <w:r>
        <w:rPr>
          <w:rFonts w:ascii="Times New Roman"/>
          <w:spacing w:val="89"/>
          <w:sz w:val="2"/>
        </w:rPr>
        <w:t> </w:t>
      </w:r>
      <w:r>
        <w:rPr>
          <w:rFonts w:ascii="宋体"/>
          <w:spacing w:val="89"/>
          <w:sz w:val="2"/>
        </w:rPr>
        <w:pict>
          <v:group style="width:68.6pt;height:.75pt;mso-position-horizontal-relative:char;mso-position-vertical-relative:line" coordorigin="0,0" coordsize="1372,15">
            <v:group style="position:absolute;left:7;top:7;width:1358;height:2" coordorigin="7,7" coordsize="1358,2">
              <v:shape style="position:absolute;left:7;top:7;width:1358;height:2" coordorigin="7,7" coordsize="1358,0" path="m7,7l1364,7e" filled="false" stroked="true" strokeweight=".72pt" strokecolor="#000000">
                <v:path arrowok="t"/>
              </v:shape>
            </v:group>
          </v:group>
        </w:pict>
      </w:r>
      <w:r>
        <w:rPr>
          <w:rFonts w:ascii="宋体"/>
          <w:spacing w:val="89"/>
          <w:sz w:val="2"/>
        </w:rPr>
      </w:r>
      <w:r>
        <w:rPr>
          <w:rFonts w:ascii="Times New Roman"/>
          <w:spacing w:val="84"/>
          <w:sz w:val="2"/>
        </w:rPr>
        <w:t> </w:t>
      </w:r>
      <w:r>
        <w:rPr>
          <w:rFonts w:ascii="宋体"/>
          <w:spacing w:val="84"/>
          <w:sz w:val="2"/>
        </w:rPr>
        <w:pict>
          <v:group style="width:69.6pt;height:.75pt;mso-position-horizontal-relative:char;mso-position-vertical-relative:line" coordorigin="0,0" coordsize="1392,15">
            <v:group style="position:absolute;left:7;top:7;width:1378;height:2" coordorigin="7,7" coordsize="1378,2">
              <v:shape style="position:absolute;left:7;top:7;width:1378;height:2" coordorigin="7,7" coordsize="1378,0" path="m7,7l1385,7e" filled="false" stroked="true" strokeweight=".72pt" strokecolor="#000000">
                <v:path arrowok="t"/>
              </v:shape>
            </v:group>
          </v:group>
        </w:pict>
      </w:r>
      <w:r>
        <w:rPr>
          <w:rFonts w:ascii="宋体"/>
          <w:spacing w:val="84"/>
          <w:sz w:val="2"/>
        </w:rPr>
      </w:r>
      <w:r>
        <w:rPr>
          <w:rFonts w:ascii="Times New Roman"/>
          <w:spacing w:val="89"/>
          <w:sz w:val="2"/>
        </w:rPr>
        <w:t> </w:t>
      </w:r>
      <w:r>
        <w:rPr>
          <w:rFonts w:ascii="宋体"/>
          <w:spacing w:val="89"/>
          <w:sz w:val="2"/>
        </w:rPr>
        <w:pict>
          <v:group style="width:73.6pt;height:.75pt;mso-position-horizontal-relative:char;mso-position-vertical-relative:line" coordorigin="0,0" coordsize="1472,15">
            <v:group style="position:absolute;left:7;top:7;width:1457;height:2" coordorigin="7,7" coordsize="1457,2">
              <v:shape style="position:absolute;left:7;top:7;width:1457;height:2" coordorigin="7,7" coordsize="1457,0" path="m7,7l1464,7e" filled="false" stroked="true" strokeweight=".72pt" strokecolor="#000000">
                <v:path arrowok="t"/>
              </v:shape>
            </v:group>
          </v:group>
        </w:pict>
      </w:r>
      <w:r>
        <w:rPr>
          <w:rFonts w:ascii="宋体"/>
          <w:spacing w:val="89"/>
          <w:sz w:val="2"/>
        </w:rPr>
      </w:r>
    </w:p>
    <w:p>
      <w:pPr>
        <w:spacing w:line="240" w:lineRule="auto" w:before="9"/>
        <w:rPr>
          <w:rFonts w:ascii="宋体" w:hAnsi="宋体" w:cs="宋体" w:eastAsia="宋体" w:hint="default"/>
          <w:sz w:val="15"/>
          <w:szCs w:val="15"/>
        </w:rPr>
      </w:pPr>
    </w:p>
    <w:p>
      <w:pPr>
        <w:tabs>
          <w:tab w:pos="2067" w:val="left" w:leader="none"/>
          <w:tab w:pos="2825" w:val="left" w:leader="none"/>
          <w:tab w:pos="4629" w:val="left" w:leader="none"/>
          <w:tab w:pos="5356" w:val="left" w:leader="none"/>
          <w:tab w:pos="8029" w:val="left" w:leader="none"/>
          <w:tab w:pos="8408" w:val="left" w:leader="none"/>
        </w:tabs>
        <w:spacing w:before="47"/>
        <w:ind w:left="591" w:right="97" w:firstLine="0"/>
        <w:jc w:val="left"/>
        <w:rPr>
          <w:rFonts w:ascii="Arial" w:hAnsi="Arial" w:cs="Arial" w:eastAsia="Arial" w:hint="default"/>
          <w:sz w:val="18"/>
          <w:szCs w:val="18"/>
        </w:rPr>
      </w:pPr>
      <w:r>
        <w:rPr>
          <w:rFonts w:ascii="Arial" w:hAnsi="Arial" w:cs="Arial" w:eastAsia="Arial" w:hint="default"/>
          <w:spacing w:val="-1"/>
          <w:position w:val="1"/>
          <w:sz w:val="18"/>
          <w:szCs w:val="18"/>
        </w:rPr>
        <w:t>2008</w:t>
      </w:r>
      <w:r>
        <w:rPr>
          <w:rFonts w:ascii="Arial" w:hAnsi="Arial" w:cs="Arial" w:eastAsia="Arial" w:hint="default"/>
          <w:spacing w:val="-8"/>
          <w:position w:val="1"/>
          <w:sz w:val="18"/>
          <w:szCs w:val="18"/>
        </w:rPr>
        <w:t> </w:t>
      </w:r>
      <w:r>
        <w:rPr>
          <w:rFonts w:ascii="宋体" w:hAnsi="宋体" w:cs="宋体" w:eastAsia="宋体" w:hint="default"/>
          <w:position w:val="1"/>
          <w:sz w:val="18"/>
          <w:szCs w:val="18"/>
        </w:rPr>
        <w:t>年第一期</w:t>
        <w:tab/>
      </w:r>
      <w:r>
        <w:rPr>
          <w:rFonts w:ascii="Arial" w:hAnsi="Arial" w:cs="Arial" w:eastAsia="Arial" w:hint="default"/>
          <w:spacing w:val="-1"/>
          <w:position w:val="1"/>
          <w:sz w:val="18"/>
          <w:szCs w:val="18"/>
        </w:rPr>
        <w:t>365</w:t>
      </w:r>
      <w:r>
        <w:rPr>
          <w:rFonts w:ascii="Arial" w:hAnsi="Arial" w:cs="Arial" w:eastAsia="Arial" w:hint="default"/>
          <w:spacing w:val="-6"/>
          <w:position w:val="1"/>
          <w:sz w:val="18"/>
          <w:szCs w:val="18"/>
        </w:rPr>
        <w:t> </w:t>
      </w:r>
      <w:r>
        <w:rPr>
          <w:rFonts w:ascii="宋体" w:hAnsi="宋体" w:cs="宋体" w:eastAsia="宋体" w:hint="default"/>
          <w:position w:val="1"/>
          <w:sz w:val="18"/>
          <w:szCs w:val="18"/>
        </w:rPr>
        <w:t>天</w:t>
        <w:tab/>
      </w:r>
      <w:r>
        <w:rPr>
          <w:rFonts w:ascii="Arial" w:hAnsi="Arial" w:cs="Arial" w:eastAsia="Arial" w:hint="default"/>
          <w:spacing w:val="-1"/>
          <w:position w:val="1"/>
          <w:sz w:val="18"/>
          <w:szCs w:val="18"/>
        </w:rPr>
        <w:t>2008</w:t>
      </w:r>
      <w:r>
        <w:rPr>
          <w:rFonts w:ascii="Arial" w:hAnsi="Arial" w:cs="Arial" w:eastAsia="Arial" w:hint="default"/>
          <w:spacing w:val="-5"/>
          <w:position w:val="1"/>
          <w:sz w:val="18"/>
          <w:szCs w:val="18"/>
        </w:rPr>
        <w:t> </w:t>
      </w:r>
      <w:r>
        <w:rPr>
          <w:rFonts w:ascii="宋体" w:hAnsi="宋体" w:cs="宋体" w:eastAsia="宋体" w:hint="default"/>
          <w:position w:val="1"/>
          <w:sz w:val="18"/>
          <w:szCs w:val="18"/>
        </w:rPr>
        <w:t>年</w:t>
      </w:r>
      <w:r>
        <w:rPr>
          <w:rFonts w:ascii="宋体" w:hAnsi="宋体" w:cs="宋体" w:eastAsia="宋体" w:hint="default"/>
          <w:spacing w:val="-46"/>
          <w:position w:val="1"/>
          <w:sz w:val="18"/>
          <w:szCs w:val="18"/>
        </w:rPr>
        <w:t> </w:t>
      </w:r>
      <w:r>
        <w:rPr>
          <w:rFonts w:ascii="Arial" w:hAnsi="Arial" w:cs="Arial" w:eastAsia="Arial" w:hint="default"/>
          <w:position w:val="1"/>
          <w:sz w:val="18"/>
          <w:szCs w:val="18"/>
        </w:rPr>
        <w:t>10</w:t>
      </w:r>
      <w:r>
        <w:rPr>
          <w:rFonts w:ascii="Arial" w:hAnsi="Arial" w:cs="Arial" w:eastAsia="Arial" w:hint="default"/>
          <w:spacing w:val="-7"/>
          <w:position w:val="1"/>
          <w:sz w:val="18"/>
          <w:szCs w:val="18"/>
        </w:rPr>
        <w:t> </w:t>
      </w:r>
      <w:r>
        <w:rPr>
          <w:rFonts w:ascii="宋体" w:hAnsi="宋体" w:cs="宋体" w:eastAsia="宋体" w:hint="default"/>
          <w:position w:val="1"/>
          <w:sz w:val="18"/>
          <w:szCs w:val="18"/>
        </w:rPr>
        <w:t>月</w:t>
      </w:r>
      <w:r>
        <w:rPr>
          <w:rFonts w:ascii="宋体" w:hAnsi="宋体" w:cs="宋体" w:eastAsia="宋体" w:hint="default"/>
          <w:spacing w:val="-45"/>
          <w:position w:val="1"/>
          <w:sz w:val="18"/>
          <w:szCs w:val="18"/>
        </w:rPr>
        <w:t> </w:t>
      </w:r>
      <w:r>
        <w:rPr>
          <w:rFonts w:ascii="Arial" w:hAnsi="Arial" w:cs="Arial" w:eastAsia="Arial" w:hint="default"/>
          <w:position w:val="1"/>
          <w:sz w:val="18"/>
          <w:szCs w:val="18"/>
        </w:rPr>
        <w:t>6</w:t>
      </w:r>
      <w:r>
        <w:rPr>
          <w:rFonts w:ascii="Arial" w:hAnsi="Arial" w:cs="Arial" w:eastAsia="Arial" w:hint="default"/>
          <w:spacing w:val="-7"/>
          <w:position w:val="1"/>
          <w:sz w:val="18"/>
          <w:szCs w:val="18"/>
        </w:rPr>
        <w:t> </w:t>
      </w:r>
      <w:r>
        <w:rPr>
          <w:rFonts w:ascii="宋体" w:hAnsi="宋体" w:cs="宋体" w:eastAsia="宋体" w:hint="default"/>
          <w:position w:val="1"/>
          <w:sz w:val="18"/>
          <w:szCs w:val="18"/>
        </w:rPr>
        <w:t>日</w:t>
        <w:tab/>
      </w:r>
      <w:r>
        <w:rPr>
          <w:rFonts w:ascii="Arial" w:hAnsi="Arial" w:cs="Arial" w:eastAsia="Arial" w:hint="default"/>
          <w:spacing w:val="-1"/>
          <w:sz w:val="18"/>
          <w:szCs w:val="18"/>
        </w:rPr>
        <w:t>4.47%</w:t>
        <w:tab/>
        <w:t>10,000,000,000</w:t>
        <w:tab/>
      </w:r>
      <w:r>
        <w:rPr>
          <w:rFonts w:ascii="Arial" w:hAnsi="Arial" w:cs="Arial" w:eastAsia="Arial" w:hint="default"/>
          <w:sz w:val="18"/>
          <w:szCs w:val="18"/>
        </w:rPr>
        <w:t>-</w:t>
        <w:tab/>
      </w:r>
      <w:r>
        <w:rPr>
          <w:rFonts w:ascii="Arial" w:hAnsi="Arial" w:cs="Arial" w:eastAsia="Arial" w:hint="default"/>
          <w:spacing w:val="-1"/>
          <w:sz w:val="18"/>
          <w:szCs w:val="18"/>
        </w:rPr>
        <w:t>10,000,000,000</w:t>
      </w:r>
    </w:p>
    <w:p>
      <w:pPr>
        <w:spacing w:line="43" w:lineRule="exact"/>
        <w:ind w:left="6738" w:right="0" w:firstLine="0"/>
        <w:rPr>
          <w:rFonts w:ascii="Arial" w:hAnsi="Arial" w:cs="Arial" w:eastAsia="Arial" w:hint="default"/>
          <w:sz w:val="4"/>
          <w:szCs w:val="4"/>
        </w:rPr>
      </w:pPr>
      <w:r>
        <w:rPr>
          <w:rFonts w:ascii="Arial"/>
          <w:position w:val="0"/>
          <w:sz w:val="4"/>
        </w:rPr>
        <w:pict>
          <v:group style="width:70.350pt;height:2.2pt;mso-position-horizontal-relative:char;mso-position-vertical-relative:line" coordorigin="0,0" coordsize="1407,44">
            <v:group style="position:absolute;left:7;top:36;width:1392;height:2" coordorigin="7,36" coordsize="1392,2">
              <v:shape style="position:absolute;left:7;top:36;width:1392;height:2" coordorigin="7,36" coordsize="1392,0" path="m7,36l1399,36e" filled="false" stroked="true" strokeweight=".72pt" strokecolor="#000000">
                <v:path arrowok="t"/>
              </v:shape>
            </v:group>
            <v:group style="position:absolute;left:7;top:7;width:1392;height:2" coordorigin="7,7" coordsize="1392,2">
              <v:shape style="position:absolute;left:7;top:7;width:1392;height:2" coordorigin="7,7" coordsize="1392,0" path="m7,7l1399,7e" filled="false" stroked="true" strokeweight=".72pt" strokecolor="#000000">
                <v:path arrowok="t"/>
              </v:shape>
            </v:group>
          </v:group>
        </w:pict>
      </w:r>
      <w:r>
        <w:rPr>
          <w:rFonts w:ascii="Arial"/>
          <w:position w:val="0"/>
          <w:sz w:val="4"/>
        </w:rPr>
      </w:r>
      <w:r>
        <w:rPr>
          <w:rFonts w:ascii="Times New Roman"/>
          <w:spacing w:val="67"/>
          <w:position w:val="0"/>
          <w:sz w:val="4"/>
        </w:rPr>
        <w:t> </w:t>
      </w:r>
      <w:r>
        <w:rPr>
          <w:rFonts w:ascii="Arial"/>
          <w:spacing w:val="67"/>
          <w:position w:val="0"/>
          <w:sz w:val="4"/>
        </w:rPr>
        <w:pict>
          <v:group style="width:74.3pt;height:2.2pt;mso-position-horizontal-relative:char;mso-position-vertical-relative:line" coordorigin="0,0" coordsize="1486,44">
            <v:group style="position:absolute;left:7;top:36;width:1472;height:2" coordorigin="7,36" coordsize="1472,2">
              <v:shape style="position:absolute;left:7;top:36;width:1472;height:2" coordorigin="7,36" coordsize="1472,0" path="m7,36l1478,36e" filled="false" stroked="true" strokeweight=".72pt" strokecolor="#000000">
                <v:path arrowok="t"/>
              </v:shape>
            </v:group>
            <v:group style="position:absolute;left:7;top:7;width:1472;height:2" coordorigin="7,7" coordsize="1472,2">
              <v:shape style="position:absolute;left:7;top:7;width:1472;height:2" coordorigin="7,7" coordsize="1472,0" path="m7,7l1478,7e" filled="false" stroked="true" strokeweight=".72pt" strokecolor="#000000">
                <v:path arrowok="t"/>
              </v:shape>
            </v:group>
          </v:group>
        </w:pict>
      </w:r>
      <w:r>
        <w:rPr>
          <w:rFonts w:ascii="Arial"/>
          <w:spacing w:val="67"/>
          <w:position w:val="0"/>
          <w:sz w:val="4"/>
        </w:rPr>
      </w:r>
    </w:p>
    <w:p>
      <w:pPr>
        <w:spacing w:line="240" w:lineRule="auto" w:before="5"/>
        <w:rPr>
          <w:rFonts w:ascii="Arial" w:hAnsi="Arial" w:cs="Arial" w:eastAsia="Arial" w:hint="default"/>
          <w:sz w:val="16"/>
          <w:szCs w:val="16"/>
        </w:rPr>
      </w:pPr>
    </w:p>
    <w:p>
      <w:pPr>
        <w:pStyle w:val="BodyText"/>
        <w:spacing w:line="240" w:lineRule="auto" w:before="31"/>
        <w:ind w:left="550" w:right="97"/>
        <w:jc w:val="left"/>
      </w:pPr>
      <w:r>
        <w:rPr/>
        <w:t>上述应付短期债券已于</w:t>
      </w:r>
      <w:r>
        <w:rPr>
          <w:spacing w:val="-56"/>
        </w:rPr>
        <w:t> </w:t>
      </w:r>
      <w:r>
        <w:rPr>
          <w:rFonts w:ascii="Arial" w:hAnsi="Arial" w:cs="Arial" w:eastAsia="Arial" w:hint="default"/>
        </w:rPr>
        <w:t>2009</w:t>
      </w:r>
      <w:r>
        <w:rPr>
          <w:rFonts w:ascii="Arial" w:hAnsi="Arial" w:cs="Arial" w:eastAsia="Arial" w:hint="default"/>
          <w:spacing w:val="-8"/>
        </w:rPr>
        <w:t> </w:t>
      </w:r>
      <w:r>
        <w:rPr/>
        <w:t>年</w:t>
      </w:r>
      <w:r>
        <w:rPr>
          <w:spacing w:val="-57"/>
        </w:rPr>
        <w:t> </w:t>
      </w:r>
      <w:r>
        <w:rPr>
          <w:rFonts w:ascii="Arial" w:hAnsi="Arial" w:cs="Arial" w:eastAsia="Arial" w:hint="default"/>
        </w:rPr>
        <w:t>10</w:t>
      </w:r>
      <w:r>
        <w:rPr>
          <w:rFonts w:ascii="Arial" w:hAnsi="Arial" w:cs="Arial" w:eastAsia="Arial" w:hint="default"/>
          <w:spacing w:val="-8"/>
        </w:rPr>
        <w:t> </w:t>
      </w:r>
      <w:r>
        <w:rPr/>
        <w:t>月清偿完毕。</w:t>
      </w:r>
    </w:p>
    <w:p>
      <w:pPr>
        <w:spacing w:line="240" w:lineRule="auto" w:before="12"/>
        <w:rPr>
          <w:rFonts w:ascii="宋体" w:hAnsi="宋体" w:cs="宋体" w:eastAsia="宋体" w:hint="default"/>
          <w:sz w:val="17"/>
          <w:szCs w:val="17"/>
        </w:rPr>
      </w:pPr>
    </w:p>
    <w:p>
      <w:pPr>
        <w:pStyle w:val="BodyText"/>
        <w:spacing w:line="240" w:lineRule="auto"/>
        <w:ind w:left="102" w:right="97"/>
        <w:jc w:val="left"/>
        <w:rPr>
          <w:rFonts w:ascii="黑体" w:hAnsi="黑体" w:cs="黑体" w:eastAsia="黑体" w:hint="default"/>
        </w:rPr>
      </w:pPr>
      <w:r>
        <w:rPr>
          <w:rFonts w:ascii="Arial" w:hAnsi="Arial" w:cs="Arial" w:eastAsia="Arial" w:hint="default"/>
          <w:spacing w:val="2"/>
        </w:rPr>
        <w:t>17</w:t>
      </w:r>
      <w:r>
        <w:rPr>
          <w:spacing w:val="2"/>
        </w:rPr>
        <w:t>、</w:t>
      </w:r>
      <w:r>
        <w:rPr>
          <w:rFonts w:ascii="黑体" w:hAnsi="黑体" w:cs="黑体" w:eastAsia="黑体" w:hint="default"/>
          <w:spacing w:val="2"/>
        </w:rPr>
        <w:t>应付票据</w:t>
      </w:r>
    </w:p>
    <w:p>
      <w:pPr>
        <w:spacing w:line="240" w:lineRule="auto" w:before="10"/>
        <w:rPr>
          <w:rFonts w:ascii="黑体" w:hAnsi="黑体" w:cs="黑体" w:eastAsia="黑体" w:hint="default"/>
          <w:sz w:val="26"/>
          <w:szCs w:val="26"/>
        </w:rPr>
      </w:pPr>
    </w:p>
    <w:tbl>
      <w:tblPr>
        <w:tblW w:w="0" w:type="auto"/>
        <w:jc w:val="left"/>
        <w:tblInd w:w="515" w:type="dxa"/>
        <w:tblLayout w:type="fixed"/>
        <w:tblCellMar>
          <w:top w:w="0" w:type="dxa"/>
          <w:left w:w="0" w:type="dxa"/>
          <w:bottom w:w="0" w:type="dxa"/>
          <w:right w:w="0" w:type="dxa"/>
        </w:tblCellMar>
        <w:tblLook w:val="01E0"/>
      </w:tblPr>
      <w:tblGrid>
        <w:gridCol w:w="4330"/>
        <w:gridCol w:w="2355"/>
        <w:gridCol w:w="2366"/>
      </w:tblGrid>
      <w:tr>
        <w:trPr>
          <w:trHeight w:val="361" w:hRule="exact"/>
        </w:trPr>
        <w:tc>
          <w:tcPr>
            <w:tcW w:w="4330" w:type="dxa"/>
            <w:tcBorders>
              <w:top w:val="nil" w:sz="6" w:space="0" w:color="auto"/>
              <w:left w:val="nil" w:sz="6" w:space="0" w:color="auto"/>
              <w:bottom w:val="nil" w:sz="6" w:space="0" w:color="auto"/>
              <w:right w:val="nil" w:sz="6" w:space="0" w:color="auto"/>
            </w:tcBorders>
          </w:tcPr>
          <w:p>
            <w:pPr/>
          </w:p>
        </w:tc>
        <w:tc>
          <w:tcPr>
            <w:tcW w:w="2355"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51"/>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366"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2"/>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591" w:hRule="exact"/>
        </w:trPr>
        <w:tc>
          <w:tcPr>
            <w:tcW w:w="433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19"/>
                <w:szCs w:val="19"/>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商业承兑汇票</w:t>
            </w:r>
          </w:p>
        </w:tc>
        <w:tc>
          <w:tcPr>
            <w:tcW w:w="2355"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24"/>
                <w:szCs w:val="24"/>
              </w:rPr>
            </w:pPr>
          </w:p>
          <w:p>
            <w:pPr>
              <w:pStyle w:val="TableParagraph"/>
              <w:spacing w:line="240" w:lineRule="auto"/>
              <w:ind w:right="102"/>
              <w:jc w:val="right"/>
              <w:rPr>
                <w:rFonts w:ascii="Arial" w:hAnsi="Arial" w:cs="Arial" w:eastAsia="Arial" w:hint="default"/>
                <w:sz w:val="22"/>
                <w:szCs w:val="22"/>
              </w:rPr>
            </w:pPr>
            <w:r>
              <w:rPr>
                <w:rFonts w:ascii="Arial"/>
                <w:w w:val="95"/>
                <w:sz w:val="22"/>
              </w:rPr>
              <w:t>819,720,099</w:t>
            </w:r>
            <w:r>
              <w:rPr>
                <w:rFonts w:ascii="Arial"/>
                <w:sz w:val="22"/>
              </w:rPr>
            </w:r>
          </w:p>
        </w:tc>
        <w:tc>
          <w:tcPr>
            <w:tcW w:w="2366"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黑体" w:hAnsi="黑体" w:cs="黑体" w:eastAsia="黑体" w:hint="default"/>
                <w:sz w:val="24"/>
                <w:szCs w:val="24"/>
              </w:rPr>
            </w:pPr>
          </w:p>
          <w:p>
            <w:pPr>
              <w:pStyle w:val="TableParagraph"/>
              <w:spacing w:line="240" w:lineRule="auto"/>
              <w:ind w:right="66"/>
              <w:jc w:val="right"/>
              <w:rPr>
                <w:rFonts w:ascii="Arial" w:hAnsi="Arial" w:cs="Arial" w:eastAsia="Arial" w:hint="default"/>
                <w:sz w:val="22"/>
                <w:szCs w:val="22"/>
              </w:rPr>
            </w:pPr>
            <w:r>
              <w:rPr>
                <w:rFonts w:ascii="Arial"/>
                <w:w w:val="95"/>
                <w:sz w:val="22"/>
              </w:rPr>
              <w:t>888,476,099</w:t>
            </w:r>
            <w:r>
              <w:rPr>
                <w:rFonts w:ascii="Arial"/>
                <w:sz w:val="22"/>
              </w:rPr>
            </w:r>
          </w:p>
        </w:tc>
      </w:tr>
      <w:tr>
        <w:trPr>
          <w:trHeight w:val="436" w:hRule="exact"/>
        </w:trPr>
        <w:tc>
          <w:tcPr>
            <w:tcW w:w="4330"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银行承兑汇票</w:t>
            </w:r>
          </w:p>
        </w:tc>
        <w:tc>
          <w:tcPr>
            <w:tcW w:w="2355" w:type="dxa"/>
            <w:tcBorders>
              <w:top w:val="nil" w:sz="6" w:space="0" w:color="auto"/>
              <w:left w:val="nil" w:sz="6" w:space="0" w:color="auto"/>
              <w:bottom w:val="nil" w:sz="6" w:space="0" w:color="auto"/>
              <w:right w:val="nil" w:sz="6" w:space="0" w:color="auto"/>
            </w:tcBorders>
          </w:tcPr>
          <w:p>
            <w:pPr>
              <w:pStyle w:val="TableParagraph"/>
              <w:tabs>
                <w:tab w:pos="1019" w:val="left" w:leader="none"/>
              </w:tabs>
              <w:spacing w:line="240" w:lineRule="auto" w:before="17"/>
              <w:ind w:right="102"/>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561,140,946</w:t>
            </w:r>
            <w:r>
              <w:rPr>
                <w:rFonts w:ascii="Arial"/>
                <w:w w:val="95"/>
                <w:sz w:val="22"/>
              </w:rPr>
            </w:r>
            <w:r>
              <w:rPr>
                <w:rFonts w:ascii="Arial"/>
                <w:sz w:val="22"/>
              </w:rPr>
            </w:r>
          </w:p>
        </w:tc>
        <w:tc>
          <w:tcPr>
            <w:tcW w:w="2366" w:type="dxa"/>
            <w:tcBorders>
              <w:top w:val="nil" w:sz="6" w:space="0" w:color="auto"/>
              <w:left w:val="nil" w:sz="6" w:space="0" w:color="auto"/>
              <w:bottom w:val="nil" w:sz="6" w:space="0" w:color="auto"/>
              <w:right w:val="nil" w:sz="6" w:space="0" w:color="auto"/>
            </w:tcBorders>
          </w:tcPr>
          <w:p>
            <w:pPr>
              <w:pStyle w:val="TableParagraph"/>
              <w:tabs>
                <w:tab w:pos="1019" w:val="left" w:leader="none"/>
                <w:tab w:pos="2305"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151,412,606</w:t>
            </w:r>
            <w:r>
              <w:rPr>
                <w:rFonts w:ascii="Arial"/>
                <w:sz w:val="22"/>
                <w:u w:val="single" w:color="000000"/>
              </w:rPr>
              <w:tab/>
            </w:r>
            <w:r>
              <w:rPr>
                <w:rFonts w:ascii="Arial"/>
                <w:sz w:val="22"/>
              </w:rPr>
            </w:r>
          </w:p>
        </w:tc>
      </w:tr>
      <w:tr>
        <w:trPr>
          <w:trHeight w:val="446" w:hRule="exact"/>
        </w:trPr>
        <w:tc>
          <w:tcPr>
            <w:tcW w:w="4330" w:type="dxa"/>
            <w:tcBorders>
              <w:top w:val="nil" w:sz="6" w:space="0" w:color="auto"/>
              <w:left w:val="nil" w:sz="6" w:space="0" w:color="auto"/>
              <w:bottom w:val="nil" w:sz="6" w:space="0" w:color="auto"/>
              <w:right w:val="nil" w:sz="6" w:space="0" w:color="auto"/>
            </w:tcBorders>
          </w:tcPr>
          <w:p>
            <w:pPr>
              <w:pStyle w:val="TableParagraph"/>
              <w:spacing w:line="240" w:lineRule="auto" w:before="101"/>
              <w:ind w:left="35" w:right="0"/>
              <w:jc w:val="left"/>
              <w:rPr>
                <w:rFonts w:ascii="宋体" w:hAnsi="宋体" w:cs="宋体" w:eastAsia="宋体" w:hint="default"/>
                <w:sz w:val="22"/>
                <w:szCs w:val="22"/>
              </w:rPr>
            </w:pPr>
            <w:r>
              <w:rPr>
                <w:rFonts w:ascii="宋体" w:hAnsi="宋体" w:cs="宋体" w:eastAsia="宋体" w:hint="default"/>
                <w:sz w:val="22"/>
                <w:szCs w:val="22"/>
              </w:rPr>
              <w:t>应付票据合计</w:t>
            </w:r>
          </w:p>
        </w:tc>
        <w:tc>
          <w:tcPr>
            <w:tcW w:w="2355" w:type="dxa"/>
            <w:tcBorders>
              <w:top w:val="nil" w:sz="6" w:space="0" w:color="auto"/>
              <w:left w:val="nil" w:sz="6" w:space="0" w:color="auto"/>
              <w:bottom w:val="single" w:sz="17" w:space="0" w:color="000000"/>
              <w:right w:val="nil" w:sz="6" w:space="0" w:color="auto"/>
            </w:tcBorders>
          </w:tcPr>
          <w:p>
            <w:pPr>
              <w:pStyle w:val="TableParagraph"/>
              <w:spacing w:line="240" w:lineRule="auto" w:before="168"/>
              <w:ind w:right="103"/>
              <w:jc w:val="right"/>
              <w:rPr>
                <w:rFonts w:ascii="Arial" w:hAnsi="Arial" w:cs="Arial" w:eastAsia="Arial" w:hint="default"/>
                <w:sz w:val="22"/>
                <w:szCs w:val="22"/>
              </w:rPr>
            </w:pPr>
            <w:r>
              <w:rPr>
                <w:rFonts w:ascii="Arial"/>
                <w:spacing w:val="-1"/>
                <w:sz w:val="22"/>
              </w:rPr>
              <w:t>1,380,861,045</w:t>
            </w:r>
          </w:p>
        </w:tc>
        <w:tc>
          <w:tcPr>
            <w:tcW w:w="2366" w:type="dxa"/>
            <w:tcBorders>
              <w:top w:val="nil" w:sz="6" w:space="0" w:color="auto"/>
              <w:left w:val="nil" w:sz="6" w:space="0" w:color="auto"/>
              <w:bottom w:val="single" w:sz="17" w:space="0" w:color="000000"/>
              <w:right w:val="nil" w:sz="6" w:space="0" w:color="auto"/>
            </w:tcBorders>
          </w:tcPr>
          <w:p>
            <w:pPr>
              <w:pStyle w:val="TableParagraph"/>
              <w:spacing w:line="240" w:lineRule="auto" w:before="168"/>
              <w:ind w:right="67"/>
              <w:jc w:val="right"/>
              <w:rPr>
                <w:rFonts w:ascii="Arial" w:hAnsi="Arial" w:cs="Arial" w:eastAsia="Arial" w:hint="default"/>
                <w:sz w:val="22"/>
                <w:szCs w:val="22"/>
              </w:rPr>
            </w:pPr>
            <w:r>
              <w:rPr>
                <w:rFonts w:ascii="Arial"/>
                <w:spacing w:val="-1"/>
                <w:sz w:val="22"/>
              </w:rPr>
              <w:t>1,039,888,705</w:t>
            </w:r>
          </w:p>
        </w:tc>
      </w:tr>
    </w:tbl>
    <w:p>
      <w:pPr>
        <w:spacing w:line="240" w:lineRule="auto" w:before="7"/>
        <w:rPr>
          <w:rFonts w:ascii="黑体" w:hAnsi="黑体" w:cs="黑体" w:eastAsia="黑体" w:hint="default"/>
          <w:sz w:val="12"/>
          <w:szCs w:val="12"/>
        </w:rPr>
      </w:pPr>
    </w:p>
    <w:p>
      <w:pPr>
        <w:pStyle w:val="BodyText"/>
        <w:spacing w:line="240" w:lineRule="auto" w:before="31"/>
        <w:ind w:left="578" w:right="97"/>
        <w:jc w:val="left"/>
      </w:pP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日，本集团应付票据均在一年内到期。</w:t>
      </w:r>
    </w:p>
    <w:p>
      <w:pPr>
        <w:spacing w:line="240" w:lineRule="auto" w:before="13"/>
        <w:rPr>
          <w:rFonts w:ascii="宋体" w:hAnsi="宋体" w:cs="宋体" w:eastAsia="宋体" w:hint="default"/>
          <w:sz w:val="17"/>
          <w:szCs w:val="17"/>
        </w:rPr>
      </w:pPr>
    </w:p>
    <w:p>
      <w:pPr>
        <w:pStyle w:val="BodyText"/>
        <w:spacing w:line="240" w:lineRule="auto"/>
        <w:ind w:left="102" w:right="97"/>
        <w:jc w:val="left"/>
        <w:rPr>
          <w:rFonts w:ascii="黑体" w:hAnsi="黑体" w:cs="黑体" w:eastAsia="黑体" w:hint="default"/>
        </w:rPr>
      </w:pPr>
      <w:r>
        <w:rPr>
          <w:rFonts w:ascii="Arial" w:hAnsi="Arial" w:cs="Arial" w:eastAsia="Arial" w:hint="default"/>
        </w:rPr>
        <w:t>18</w:t>
      </w:r>
      <w:r>
        <w:rPr>
          <w:rFonts w:ascii="黑体" w:hAnsi="黑体" w:cs="黑体" w:eastAsia="黑体" w:hint="default"/>
        </w:rPr>
        <w:t>、应付账款</w:t>
      </w:r>
    </w:p>
    <w:p>
      <w:pPr>
        <w:spacing w:line="240" w:lineRule="auto" w:before="6"/>
        <w:rPr>
          <w:rFonts w:ascii="黑体" w:hAnsi="黑体" w:cs="黑体" w:eastAsia="黑体" w:hint="default"/>
          <w:sz w:val="15"/>
          <w:szCs w:val="15"/>
        </w:rPr>
      </w:pPr>
    </w:p>
    <w:tbl>
      <w:tblPr>
        <w:tblW w:w="0" w:type="auto"/>
        <w:jc w:val="left"/>
        <w:tblInd w:w="527" w:type="dxa"/>
        <w:tblLayout w:type="fixed"/>
        <w:tblCellMar>
          <w:top w:w="0" w:type="dxa"/>
          <w:left w:w="0" w:type="dxa"/>
          <w:bottom w:w="0" w:type="dxa"/>
          <w:right w:w="0" w:type="dxa"/>
        </w:tblCellMar>
        <w:tblLook w:val="01E0"/>
      </w:tblPr>
      <w:tblGrid>
        <w:gridCol w:w="4327"/>
        <w:gridCol w:w="2310"/>
        <w:gridCol w:w="2412"/>
      </w:tblGrid>
      <w:tr>
        <w:trPr>
          <w:trHeight w:val="361" w:hRule="exact"/>
        </w:trPr>
        <w:tc>
          <w:tcPr>
            <w:tcW w:w="4327" w:type="dxa"/>
            <w:vMerge w:val="restart"/>
            <w:tcBorders>
              <w:top w:val="nil" w:sz="6" w:space="0" w:color="auto"/>
              <w:left w:val="nil" w:sz="6" w:space="0" w:color="auto"/>
              <w:right w:val="nil" w:sz="6" w:space="0" w:color="auto"/>
            </w:tcBorders>
          </w:tcPr>
          <w:p>
            <w:pPr/>
          </w:p>
        </w:tc>
        <w:tc>
          <w:tcPr>
            <w:tcW w:w="2310"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32"/>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412"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40"/>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293" w:hRule="exact"/>
        </w:trPr>
        <w:tc>
          <w:tcPr>
            <w:tcW w:w="4327" w:type="dxa"/>
            <w:vMerge/>
            <w:tcBorders>
              <w:left w:val="nil" w:sz="6" w:space="0" w:color="auto"/>
              <w:bottom w:val="nil" w:sz="6" w:space="0" w:color="auto"/>
              <w:right w:val="nil" w:sz="6" w:space="0" w:color="auto"/>
            </w:tcBorders>
          </w:tcPr>
          <w:p>
            <w:pPr/>
          </w:p>
        </w:tc>
        <w:tc>
          <w:tcPr>
            <w:tcW w:w="2310" w:type="dxa"/>
            <w:tcBorders>
              <w:top w:val="single" w:sz="6" w:space="0" w:color="000000"/>
              <w:left w:val="nil" w:sz="6" w:space="0" w:color="auto"/>
              <w:bottom w:val="nil" w:sz="6" w:space="0" w:color="auto"/>
              <w:right w:val="nil" w:sz="6" w:space="0" w:color="auto"/>
            </w:tcBorders>
          </w:tcPr>
          <w:p>
            <w:pPr/>
          </w:p>
        </w:tc>
        <w:tc>
          <w:tcPr>
            <w:tcW w:w="2412" w:type="dxa"/>
            <w:tcBorders>
              <w:top w:val="single" w:sz="6" w:space="0" w:color="000000"/>
              <w:left w:val="nil" w:sz="6" w:space="0" w:color="auto"/>
              <w:bottom w:val="nil" w:sz="6" w:space="0" w:color="auto"/>
              <w:right w:val="nil" w:sz="6" w:space="0" w:color="auto"/>
            </w:tcBorders>
          </w:tcPr>
          <w:p>
            <w:pPr>
              <w:pStyle w:val="TableParagraph"/>
              <w:spacing w:line="253" w:lineRule="exact"/>
              <w:ind w:right="41"/>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4327" w:type="dxa"/>
            <w:tcBorders>
              <w:top w:val="nil" w:sz="6" w:space="0" w:color="auto"/>
              <w:left w:val="nil" w:sz="6" w:space="0" w:color="auto"/>
              <w:bottom w:val="nil" w:sz="6" w:space="0" w:color="auto"/>
              <w:right w:val="nil" w:sz="6" w:space="0" w:color="auto"/>
            </w:tcBorders>
          </w:tcPr>
          <w:p>
            <w:pPr>
              <w:pStyle w:val="TableParagraph"/>
              <w:spacing w:line="252" w:lineRule="exact"/>
              <w:ind w:left="35" w:right="0"/>
              <w:jc w:val="left"/>
              <w:rPr>
                <w:rFonts w:ascii="宋体" w:hAnsi="宋体" w:cs="宋体" w:eastAsia="宋体" w:hint="default"/>
                <w:sz w:val="22"/>
                <w:szCs w:val="22"/>
              </w:rPr>
            </w:pPr>
            <w:r>
              <w:rPr>
                <w:rFonts w:ascii="宋体" w:hAnsi="宋体" w:cs="宋体" w:eastAsia="宋体" w:hint="default"/>
                <w:sz w:val="22"/>
                <w:szCs w:val="22"/>
              </w:rPr>
              <w:t>应付工程及设备款</w:t>
            </w:r>
          </w:p>
        </w:tc>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53"/>
              <w:jc w:val="right"/>
              <w:rPr>
                <w:rFonts w:ascii="Arial" w:hAnsi="Arial" w:cs="Arial" w:eastAsia="Arial" w:hint="default"/>
                <w:sz w:val="22"/>
                <w:szCs w:val="22"/>
              </w:rPr>
            </w:pPr>
            <w:r>
              <w:rPr>
                <w:rFonts w:ascii="Arial"/>
                <w:spacing w:val="-1"/>
                <w:sz w:val="22"/>
              </w:rPr>
              <w:t>86,729,875,853</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64"/>
              <w:jc w:val="right"/>
              <w:rPr>
                <w:rFonts w:ascii="Arial" w:hAnsi="Arial" w:cs="Arial" w:eastAsia="Arial" w:hint="default"/>
                <w:sz w:val="22"/>
                <w:szCs w:val="22"/>
              </w:rPr>
            </w:pPr>
            <w:r>
              <w:rPr>
                <w:rFonts w:ascii="Arial"/>
                <w:spacing w:val="-1"/>
                <w:sz w:val="22"/>
              </w:rPr>
              <w:t>53,334,198,035</w:t>
            </w:r>
          </w:p>
        </w:tc>
      </w:tr>
      <w:tr>
        <w:trPr>
          <w:trHeight w:val="285" w:hRule="exact"/>
        </w:trPr>
        <w:tc>
          <w:tcPr>
            <w:tcW w:w="4327"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应付网间结算及租赁费</w:t>
            </w:r>
          </w:p>
        </w:tc>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53"/>
              <w:jc w:val="right"/>
              <w:rPr>
                <w:rFonts w:ascii="Arial" w:hAnsi="Arial" w:cs="Arial" w:eastAsia="Arial" w:hint="default"/>
                <w:sz w:val="22"/>
                <w:szCs w:val="22"/>
              </w:rPr>
            </w:pPr>
            <w:r>
              <w:rPr>
                <w:rFonts w:ascii="Arial"/>
                <w:spacing w:val="-1"/>
                <w:sz w:val="22"/>
              </w:rPr>
              <w:t>4,472,780,023</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64"/>
              <w:jc w:val="right"/>
              <w:rPr>
                <w:rFonts w:ascii="Arial" w:hAnsi="Arial" w:cs="Arial" w:eastAsia="Arial" w:hint="default"/>
                <w:sz w:val="22"/>
                <w:szCs w:val="22"/>
              </w:rPr>
            </w:pPr>
            <w:r>
              <w:rPr>
                <w:rFonts w:ascii="Arial"/>
                <w:spacing w:val="-1"/>
                <w:sz w:val="22"/>
              </w:rPr>
              <w:t>3,225,689,335</w:t>
            </w:r>
          </w:p>
        </w:tc>
      </w:tr>
      <w:tr>
        <w:trPr>
          <w:trHeight w:val="285" w:hRule="exact"/>
        </w:trPr>
        <w:tc>
          <w:tcPr>
            <w:tcW w:w="4327"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应付采购通信终端款等</w:t>
            </w:r>
          </w:p>
        </w:tc>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53"/>
              <w:jc w:val="right"/>
              <w:rPr>
                <w:rFonts w:ascii="Arial" w:hAnsi="Arial" w:cs="Arial" w:eastAsia="Arial" w:hint="default"/>
                <w:sz w:val="22"/>
                <w:szCs w:val="22"/>
              </w:rPr>
            </w:pPr>
            <w:r>
              <w:rPr>
                <w:rFonts w:ascii="Arial"/>
                <w:spacing w:val="-1"/>
                <w:sz w:val="22"/>
              </w:rPr>
              <w:t>2,603,935,086</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64"/>
              <w:jc w:val="right"/>
              <w:rPr>
                <w:rFonts w:ascii="Arial" w:hAnsi="Arial" w:cs="Arial" w:eastAsia="Arial" w:hint="default"/>
                <w:sz w:val="22"/>
                <w:szCs w:val="22"/>
              </w:rPr>
            </w:pPr>
            <w:r>
              <w:rPr>
                <w:rFonts w:ascii="Arial"/>
                <w:spacing w:val="-1"/>
                <w:sz w:val="22"/>
              </w:rPr>
              <w:t>1,552,023,494</w:t>
            </w:r>
          </w:p>
        </w:tc>
      </w:tr>
      <w:tr>
        <w:trPr>
          <w:trHeight w:val="285" w:hRule="exact"/>
        </w:trPr>
        <w:tc>
          <w:tcPr>
            <w:tcW w:w="4327"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应付代理费及广告费</w:t>
            </w:r>
          </w:p>
        </w:tc>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53"/>
              <w:jc w:val="right"/>
              <w:rPr>
                <w:rFonts w:ascii="Arial" w:hAnsi="Arial" w:cs="Arial" w:eastAsia="Arial" w:hint="default"/>
                <w:sz w:val="22"/>
                <w:szCs w:val="22"/>
              </w:rPr>
            </w:pPr>
            <w:r>
              <w:rPr>
                <w:rFonts w:ascii="Arial"/>
                <w:spacing w:val="-1"/>
                <w:sz w:val="22"/>
              </w:rPr>
              <w:t>2,291,946,857</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64"/>
              <w:jc w:val="right"/>
              <w:rPr>
                <w:rFonts w:ascii="Arial" w:hAnsi="Arial" w:cs="Arial" w:eastAsia="Arial" w:hint="default"/>
                <w:sz w:val="22"/>
                <w:szCs w:val="22"/>
              </w:rPr>
            </w:pPr>
            <w:r>
              <w:rPr>
                <w:rFonts w:ascii="Arial"/>
                <w:spacing w:val="-1"/>
                <w:sz w:val="22"/>
              </w:rPr>
              <w:t>1,721,709,005</w:t>
            </w:r>
          </w:p>
        </w:tc>
      </w:tr>
      <w:tr>
        <w:trPr>
          <w:trHeight w:val="285" w:hRule="exact"/>
        </w:trPr>
        <w:tc>
          <w:tcPr>
            <w:tcW w:w="4327"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应付维修及维护费</w:t>
            </w:r>
          </w:p>
        </w:tc>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53"/>
              <w:jc w:val="right"/>
              <w:rPr>
                <w:rFonts w:ascii="Arial" w:hAnsi="Arial" w:cs="Arial" w:eastAsia="Arial" w:hint="default"/>
                <w:sz w:val="22"/>
                <w:szCs w:val="22"/>
              </w:rPr>
            </w:pPr>
            <w:r>
              <w:rPr>
                <w:rFonts w:ascii="Arial"/>
                <w:spacing w:val="-1"/>
                <w:sz w:val="22"/>
              </w:rPr>
              <w:t>1,944,556,811</w:t>
            </w:r>
          </w:p>
        </w:tc>
        <w:tc>
          <w:tcPr>
            <w:tcW w:w="241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64"/>
              <w:jc w:val="right"/>
              <w:rPr>
                <w:rFonts w:ascii="Arial" w:hAnsi="Arial" w:cs="Arial" w:eastAsia="Arial" w:hint="default"/>
                <w:sz w:val="22"/>
                <w:szCs w:val="22"/>
              </w:rPr>
            </w:pPr>
            <w:r>
              <w:rPr>
                <w:rFonts w:ascii="Arial"/>
                <w:spacing w:val="-1"/>
                <w:sz w:val="22"/>
              </w:rPr>
              <w:t>1,660,387,927</w:t>
            </w:r>
          </w:p>
        </w:tc>
      </w:tr>
      <w:tr>
        <w:trPr>
          <w:trHeight w:val="436" w:hRule="exact"/>
        </w:trPr>
        <w:tc>
          <w:tcPr>
            <w:tcW w:w="4327"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310" w:type="dxa"/>
            <w:tcBorders>
              <w:top w:val="nil" w:sz="6" w:space="0" w:color="auto"/>
              <w:left w:val="nil" w:sz="6" w:space="0" w:color="auto"/>
              <w:bottom w:val="nil" w:sz="6" w:space="0" w:color="auto"/>
              <w:right w:val="nil" w:sz="6" w:space="0" w:color="auto"/>
            </w:tcBorders>
          </w:tcPr>
          <w:p>
            <w:pPr>
              <w:pStyle w:val="TableParagraph"/>
              <w:tabs>
                <w:tab w:pos="841" w:val="left" w:leader="none"/>
              </w:tabs>
              <w:spacing w:line="240" w:lineRule="auto" w:before="17"/>
              <w:ind w:right="53"/>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spacing w:val="-1"/>
                <w:sz w:val="22"/>
                <w:u w:val="single" w:color="000000"/>
              </w:rPr>
              <w:t>2,524,400,234</w:t>
            </w:r>
            <w:r>
              <w:rPr>
                <w:rFonts w:ascii="Arial"/>
                <w:spacing w:val="-1"/>
                <w:sz w:val="22"/>
              </w:rPr>
            </w:r>
          </w:p>
        </w:tc>
        <w:tc>
          <w:tcPr>
            <w:tcW w:w="2412" w:type="dxa"/>
            <w:tcBorders>
              <w:top w:val="nil" w:sz="6" w:space="0" w:color="auto"/>
              <w:left w:val="nil" w:sz="6" w:space="0" w:color="auto"/>
              <w:bottom w:val="nil" w:sz="6" w:space="0" w:color="auto"/>
              <w:right w:val="nil" w:sz="6" w:space="0" w:color="auto"/>
            </w:tcBorders>
          </w:tcPr>
          <w:p>
            <w:pPr>
              <w:pStyle w:val="TableParagraph"/>
              <w:tabs>
                <w:tab w:pos="841" w:val="left" w:leader="none"/>
                <w:tab w:pos="2306"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spacing w:val="-1"/>
                <w:sz w:val="22"/>
                <w:u w:val="single" w:color="000000"/>
              </w:rPr>
              <w:t>1,795,398,348</w:t>
              <w:tab/>
            </w:r>
            <w:r>
              <w:rPr>
                <w:rFonts w:ascii="Arial"/>
                <w:spacing w:val="-1"/>
                <w:sz w:val="22"/>
              </w:rPr>
            </w:r>
          </w:p>
        </w:tc>
      </w:tr>
      <w:tr>
        <w:trPr>
          <w:trHeight w:val="446" w:hRule="exact"/>
        </w:trPr>
        <w:tc>
          <w:tcPr>
            <w:tcW w:w="4327" w:type="dxa"/>
            <w:tcBorders>
              <w:top w:val="nil" w:sz="6" w:space="0" w:color="auto"/>
              <w:left w:val="nil" w:sz="6" w:space="0" w:color="auto"/>
              <w:bottom w:val="nil" w:sz="6" w:space="0" w:color="auto"/>
              <w:right w:val="nil" w:sz="6" w:space="0" w:color="auto"/>
            </w:tcBorders>
          </w:tcPr>
          <w:p>
            <w:pPr>
              <w:pStyle w:val="TableParagraph"/>
              <w:spacing w:line="240" w:lineRule="auto" w:before="102"/>
              <w:ind w:left="3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310" w:type="dxa"/>
            <w:tcBorders>
              <w:top w:val="nil" w:sz="6" w:space="0" w:color="auto"/>
              <w:left w:val="nil" w:sz="6" w:space="0" w:color="auto"/>
              <w:bottom w:val="single" w:sz="17" w:space="0" w:color="000000"/>
              <w:right w:val="nil" w:sz="6" w:space="0" w:color="auto"/>
            </w:tcBorders>
          </w:tcPr>
          <w:p>
            <w:pPr>
              <w:pStyle w:val="TableParagraph"/>
              <w:spacing w:line="240" w:lineRule="auto" w:before="168"/>
              <w:ind w:right="53"/>
              <w:jc w:val="right"/>
              <w:rPr>
                <w:rFonts w:ascii="Arial" w:hAnsi="Arial" w:cs="Arial" w:eastAsia="Arial" w:hint="default"/>
                <w:sz w:val="22"/>
                <w:szCs w:val="22"/>
              </w:rPr>
            </w:pPr>
            <w:r>
              <w:rPr>
                <w:rFonts w:ascii="Arial"/>
                <w:spacing w:val="-1"/>
                <w:sz w:val="22"/>
              </w:rPr>
              <w:t>100,567,494,864</w:t>
            </w:r>
          </w:p>
        </w:tc>
        <w:tc>
          <w:tcPr>
            <w:tcW w:w="2412" w:type="dxa"/>
            <w:tcBorders>
              <w:top w:val="nil" w:sz="6" w:space="0" w:color="auto"/>
              <w:left w:val="nil" w:sz="6" w:space="0" w:color="auto"/>
              <w:bottom w:val="single" w:sz="17" w:space="0" w:color="000000"/>
              <w:right w:val="nil" w:sz="6" w:space="0" w:color="auto"/>
            </w:tcBorders>
          </w:tcPr>
          <w:p>
            <w:pPr>
              <w:pStyle w:val="TableParagraph"/>
              <w:spacing w:line="240" w:lineRule="auto" w:before="168"/>
              <w:ind w:right="64"/>
              <w:jc w:val="right"/>
              <w:rPr>
                <w:rFonts w:ascii="Arial" w:hAnsi="Arial" w:cs="Arial" w:eastAsia="Arial" w:hint="default"/>
                <w:sz w:val="22"/>
                <w:szCs w:val="22"/>
              </w:rPr>
            </w:pPr>
            <w:r>
              <w:rPr>
                <w:rFonts w:ascii="Arial"/>
                <w:spacing w:val="-1"/>
                <w:sz w:val="22"/>
              </w:rPr>
              <w:t>63,289,406,144</w:t>
            </w:r>
          </w:p>
        </w:tc>
      </w:tr>
    </w:tbl>
    <w:p>
      <w:pPr>
        <w:spacing w:line="240" w:lineRule="auto" w:before="7"/>
        <w:rPr>
          <w:rFonts w:ascii="黑体" w:hAnsi="黑体" w:cs="黑体" w:eastAsia="黑体" w:hint="default"/>
          <w:sz w:val="12"/>
          <w:szCs w:val="12"/>
        </w:rPr>
      </w:pPr>
    </w:p>
    <w:p>
      <w:pPr>
        <w:pStyle w:val="BodyText"/>
        <w:spacing w:line="240" w:lineRule="auto" w:before="31"/>
        <w:ind w:left="102" w:right="97"/>
        <w:jc w:val="left"/>
      </w:pPr>
      <w:r>
        <w:rPr>
          <w:rFonts w:ascii="Arial" w:hAnsi="Arial" w:cs="Arial" w:eastAsia="Arial" w:hint="default"/>
        </w:rPr>
        <w:t>(a)  </w:t>
      </w:r>
      <w:r>
        <w:rPr>
          <w:rFonts w:ascii="Arial" w:hAnsi="Arial" w:cs="Arial" w:eastAsia="Arial" w:hint="default"/>
          <w:spacing w:val="8"/>
        </w:rPr>
        <w:t> </w:t>
      </w:r>
      <w:r>
        <w:rPr/>
        <w:t>应付持有本公司</w:t>
      </w:r>
      <w:r>
        <w:rPr>
          <w:spacing w:val="-56"/>
        </w:rPr>
        <w:t> </w:t>
      </w:r>
      <w:r>
        <w:rPr>
          <w:rFonts w:ascii="Arial" w:hAnsi="Arial" w:cs="Arial" w:eastAsia="Arial" w:hint="default"/>
        </w:rPr>
        <w:t>5%</w:t>
      </w:r>
      <w:r>
        <w:rPr/>
        <w:t>（含</w:t>
      </w:r>
      <w:r>
        <w:rPr>
          <w:spacing w:val="-56"/>
        </w:rPr>
        <w:t> </w:t>
      </w:r>
      <w:r>
        <w:rPr>
          <w:rFonts w:ascii="Arial" w:hAnsi="Arial" w:cs="Arial" w:eastAsia="Arial" w:hint="default"/>
        </w:rPr>
        <w:t>5%</w:t>
      </w:r>
      <w:r>
        <w:rPr/>
        <w:t>）以上表决权股份的股东单位的应付账款：</w:t>
      </w:r>
    </w:p>
    <w:p>
      <w:pPr>
        <w:spacing w:line="240" w:lineRule="auto" w:before="7"/>
        <w:rPr>
          <w:rFonts w:ascii="宋体" w:hAnsi="宋体" w:cs="宋体" w:eastAsia="宋体" w:hint="default"/>
          <w:sz w:val="15"/>
          <w:szCs w:val="15"/>
        </w:rPr>
      </w:pPr>
    </w:p>
    <w:tbl>
      <w:tblPr>
        <w:tblW w:w="0" w:type="auto"/>
        <w:jc w:val="left"/>
        <w:tblInd w:w="527" w:type="dxa"/>
        <w:tblLayout w:type="fixed"/>
        <w:tblCellMar>
          <w:top w:w="0" w:type="dxa"/>
          <w:left w:w="0" w:type="dxa"/>
          <w:bottom w:w="0" w:type="dxa"/>
          <w:right w:w="0" w:type="dxa"/>
        </w:tblCellMar>
        <w:tblLook w:val="01E0"/>
      </w:tblPr>
      <w:tblGrid>
        <w:gridCol w:w="4329"/>
        <w:gridCol w:w="2407"/>
        <w:gridCol w:w="2373"/>
      </w:tblGrid>
      <w:tr>
        <w:trPr>
          <w:trHeight w:val="361" w:hRule="exact"/>
        </w:trPr>
        <w:tc>
          <w:tcPr>
            <w:tcW w:w="4329" w:type="dxa"/>
            <w:tcBorders>
              <w:top w:val="nil" w:sz="6" w:space="0" w:color="auto"/>
              <w:left w:val="nil" w:sz="6" w:space="0" w:color="auto"/>
              <w:bottom w:val="nil" w:sz="6" w:space="0" w:color="auto"/>
              <w:right w:val="nil" w:sz="6" w:space="0" w:color="auto"/>
            </w:tcBorders>
          </w:tcPr>
          <w:p>
            <w:pPr/>
          </w:p>
        </w:tc>
        <w:tc>
          <w:tcPr>
            <w:tcW w:w="2407"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64"/>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373"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left="424" w:right="0"/>
              <w:jc w:val="lef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601" w:hRule="exact"/>
        </w:trPr>
        <w:tc>
          <w:tcPr>
            <w:tcW w:w="43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联通集团</w:t>
            </w:r>
          </w:p>
        </w:tc>
        <w:tc>
          <w:tcPr>
            <w:tcW w:w="2407" w:type="dxa"/>
            <w:tcBorders>
              <w:top w:val="single" w:sz="6" w:space="0" w:color="000000"/>
              <w:left w:val="nil" w:sz="6" w:space="0" w:color="auto"/>
              <w:bottom w:val="single" w:sz="17" w:space="0" w:color="000000"/>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157"/>
              <w:jc w:val="right"/>
              <w:rPr>
                <w:rFonts w:ascii="Arial" w:hAnsi="Arial" w:cs="Arial" w:eastAsia="Arial" w:hint="default"/>
                <w:sz w:val="22"/>
                <w:szCs w:val="22"/>
              </w:rPr>
            </w:pPr>
            <w:r>
              <w:rPr>
                <w:rFonts w:ascii="Arial"/>
                <w:w w:val="95"/>
                <w:sz w:val="22"/>
              </w:rPr>
              <w:t>53,724,494</w:t>
            </w:r>
            <w:r>
              <w:rPr>
                <w:rFonts w:ascii="Arial"/>
                <w:sz w:val="22"/>
              </w:rPr>
            </w:r>
          </w:p>
        </w:tc>
        <w:tc>
          <w:tcPr>
            <w:tcW w:w="2373" w:type="dxa"/>
            <w:tcBorders>
              <w:top w:val="single" w:sz="6" w:space="0" w:color="000000"/>
              <w:left w:val="nil" w:sz="6" w:space="0" w:color="auto"/>
              <w:bottom w:val="single" w:sz="17" w:space="0" w:color="000000"/>
              <w:right w:val="nil" w:sz="6" w:space="0" w:color="auto"/>
            </w:tcBorders>
          </w:tcPr>
          <w:p>
            <w:pPr>
              <w:pStyle w:val="TableParagraph"/>
              <w:spacing w:line="253" w:lineRule="exact"/>
              <w:ind w:left="1268" w:right="0" w:hanging="30"/>
              <w:jc w:val="left"/>
              <w:rPr>
                <w:rFonts w:ascii="宋体" w:hAnsi="宋体" w:cs="宋体" w:eastAsia="宋体" w:hint="default"/>
                <w:sz w:val="22"/>
                <w:szCs w:val="22"/>
              </w:rPr>
            </w:pPr>
            <w:r>
              <w:rPr>
                <w:rFonts w:ascii="宋体" w:hAnsi="宋体" w:cs="宋体" w:eastAsia="宋体" w:hint="default"/>
                <w:sz w:val="22"/>
                <w:szCs w:val="22"/>
              </w:rPr>
              <w:t>（经重列）</w:t>
            </w:r>
          </w:p>
          <w:p>
            <w:pPr>
              <w:pStyle w:val="TableParagraph"/>
              <w:spacing w:line="240" w:lineRule="auto" w:before="63"/>
              <w:ind w:left="1268" w:right="0"/>
              <w:jc w:val="left"/>
              <w:rPr>
                <w:rFonts w:ascii="Arial" w:hAnsi="Arial" w:cs="Arial" w:eastAsia="Arial" w:hint="default"/>
                <w:sz w:val="22"/>
                <w:szCs w:val="22"/>
              </w:rPr>
            </w:pPr>
            <w:r>
              <w:rPr>
                <w:rFonts w:ascii="Arial"/>
                <w:sz w:val="22"/>
              </w:rPr>
              <w:t>4,767,715</w:t>
            </w:r>
          </w:p>
        </w:tc>
      </w:tr>
    </w:tbl>
    <w:p>
      <w:pPr>
        <w:spacing w:after="0" w:line="240" w:lineRule="auto"/>
        <w:jc w:val="left"/>
        <w:rPr>
          <w:rFonts w:ascii="Arial" w:hAnsi="Arial" w:cs="Arial" w:eastAsia="Arial" w:hint="default"/>
          <w:sz w:val="22"/>
          <w:szCs w:val="22"/>
        </w:rPr>
        <w:sectPr>
          <w:type w:val="continuous"/>
          <w:pgSz w:w="11910" w:h="16840"/>
          <w:pgMar w:top="1600" w:bottom="280" w:left="1280" w:right="800"/>
        </w:sectPr>
      </w:pPr>
    </w:p>
    <w:p>
      <w:pPr>
        <w:spacing w:line="240" w:lineRule="auto" w:before="12"/>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4626"/>
        <w:gridCol w:w="2244"/>
        <w:gridCol w:w="226"/>
        <w:gridCol w:w="2305"/>
      </w:tblGrid>
      <w:tr>
        <w:trPr>
          <w:trHeight w:val="1437" w:hRule="exact"/>
        </w:trPr>
        <w:tc>
          <w:tcPr>
            <w:tcW w:w="462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黑体" w:hAnsi="黑体" w:cs="黑体" w:eastAsia="黑体" w:hint="default"/>
                <w:sz w:val="22"/>
                <w:szCs w:val="22"/>
              </w:rPr>
            </w:pPr>
            <w:r>
              <w:rPr>
                <w:rFonts w:ascii="Arial" w:hAnsi="Arial" w:cs="Arial" w:eastAsia="Arial" w:hint="default"/>
                <w:sz w:val="22"/>
                <w:szCs w:val="22"/>
              </w:rPr>
              <w:t>18</w:t>
            </w:r>
            <w:r>
              <w:rPr>
                <w:rFonts w:ascii="黑体" w:hAnsi="黑体" w:cs="黑体" w:eastAsia="黑体" w:hint="default"/>
                <w:sz w:val="22"/>
                <w:szCs w:val="22"/>
              </w:rPr>
              <w:t>、应付账款（续）</w:t>
            </w:r>
          </w:p>
          <w:p>
            <w:pPr>
              <w:pStyle w:val="TableParagraph"/>
              <w:spacing w:line="240" w:lineRule="auto" w:before="13"/>
              <w:ind w:right="0"/>
              <w:jc w:val="left"/>
              <w:rPr>
                <w:rFonts w:ascii="宋体" w:hAnsi="宋体" w:cs="宋体" w:eastAsia="宋体" w:hint="default"/>
                <w:sz w:val="17"/>
                <w:szCs w:val="17"/>
              </w:rPr>
            </w:pPr>
          </w:p>
          <w:p>
            <w:pPr>
              <w:pStyle w:val="TableParagraph"/>
              <w:tabs>
                <w:tab w:pos="511" w:val="left" w:leader="none"/>
              </w:tabs>
              <w:spacing w:line="240" w:lineRule="auto"/>
              <w:ind w:left="35" w:right="0"/>
              <w:jc w:val="left"/>
              <w:rPr>
                <w:rFonts w:ascii="宋体" w:hAnsi="宋体" w:cs="宋体" w:eastAsia="宋体" w:hint="default"/>
                <w:sz w:val="22"/>
                <w:szCs w:val="22"/>
              </w:rPr>
            </w:pPr>
            <w:r>
              <w:rPr>
                <w:rFonts w:ascii="Arial" w:hAnsi="Arial" w:cs="Arial" w:eastAsia="Arial" w:hint="default"/>
                <w:w w:val="95"/>
                <w:sz w:val="22"/>
                <w:szCs w:val="22"/>
              </w:rPr>
              <w:t>(b)</w:t>
              <w:tab/>
            </w:r>
            <w:r>
              <w:rPr>
                <w:rFonts w:ascii="宋体" w:hAnsi="宋体" w:cs="宋体" w:eastAsia="宋体" w:hint="default"/>
                <w:sz w:val="22"/>
                <w:szCs w:val="22"/>
              </w:rPr>
              <w:t>应付关联方的应付账款：</w:t>
            </w:r>
          </w:p>
        </w:tc>
        <w:tc>
          <w:tcPr>
            <w:tcW w:w="2244"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46" w:right="0"/>
              <w:jc w:val="lef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26" w:type="dxa"/>
            <w:tcBorders>
              <w:top w:val="nil" w:sz="6" w:space="0" w:color="auto"/>
              <w:left w:val="nil" w:sz="6" w:space="0" w:color="auto"/>
              <w:bottom w:val="nil" w:sz="6" w:space="0" w:color="auto"/>
              <w:right w:val="nil" w:sz="6" w:space="0" w:color="auto"/>
            </w:tcBorders>
          </w:tcPr>
          <w:p>
            <w:pPr/>
          </w:p>
        </w:tc>
        <w:tc>
          <w:tcPr>
            <w:tcW w:w="2305"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308" w:right="0"/>
              <w:jc w:val="lef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292" w:hRule="exact"/>
        </w:trPr>
        <w:tc>
          <w:tcPr>
            <w:tcW w:w="4626" w:type="dxa"/>
            <w:tcBorders>
              <w:top w:val="nil" w:sz="6" w:space="0" w:color="auto"/>
              <w:left w:val="nil" w:sz="6" w:space="0" w:color="auto"/>
              <w:bottom w:val="nil" w:sz="6" w:space="0" w:color="auto"/>
              <w:right w:val="nil" w:sz="6" w:space="0" w:color="auto"/>
            </w:tcBorders>
          </w:tcPr>
          <w:p>
            <w:pPr/>
          </w:p>
        </w:tc>
        <w:tc>
          <w:tcPr>
            <w:tcW w:w="2244" w:type="dxa"/>
            <w:tcBorders>
              <w:top w:val="single" w:sz="6" w:space="0" w:color="000000"/>
              <w:left w:val="nil" w:sz="6" w:space="0" w:color="auto"/>
              <w:bottom w:val="nil" w:sz="6" w:space="0" w:color="auto"/>
              <w:right w:val="nil" w:sz="6" w:space="0" w:color="auto"/>
            </w:tcBorders>
          </w:tcPr>
          <w:p>
            <w:pPr/>
          </w:p>
        </w:tc>
        <w:tc>
          <w:tcPr>
            <w:tcW w:w="226" w:type="dxa"/>
            <w:tcBorders>
              <w:top w:val="nil" w:sz="6" w:space="0" w:color="auto"/>
              <w:left w:val="nil" w:sz="6" w:space="0" w:color="auto"/>
              <w:bottom w:val="nil" w:sz="6" w:space="0" w:color="auto"/>
              <w:right w:val="nil" w:sz="6" w:space="0" w:color="auto"/>
            </w:tcBorders>
          </w:tcPr>
          <w:p>
            <w:pPr/>
          </w:p>
        </w:tc>
        <w:tc>
          <w:tcPr>
            <w:tcW w:w="2305" w:type="dxa"/>
            <w:tcBorders>
              <w:top w:val="single" w:sz="6" w:space="0" w:color="000000"/>
              <w:left w:val="nil" w:sz="6" w:space="0" w:color="auto"/>
              <w:bottom w:val="nil" w:sz="6" w:space="0" w:color="auto"/>
              <w:right w:val="nil" w:sz="6" w:space="0" w:color="auto"/>
            </w:tcBorders>
          </w:tcPr>
          <w:p>
            <w:pPr>
              <w:pStyle w:val="TableParagraph"/>
              <w:spacing w:line="253" w:lineRule="exact"/>
              <w:ind w:right="82"/>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4626" w:type="dxa"/>
            <w:tcBorders>
              <w:top w:val="nil" w:sz="6" w:space="0" w:color="auto"/>
              <w:left w:val="nil" w:sz="6" w:space="0" w:color="auto"/>
              <w:bottom w:val="nil" w:sz="6" w:space="0" w:color="auto"/>
              <w:right w:val="nil" w:sz="6" w:space="0" w:color="auto"/>
            </w:tcBorders>
          </w:tcPr>
          <w:p>
            <w:pPr>
              <w:pStyle w:val="TableParagraph"/>
              <w:spacing w:line="252" w:lineRule="exact"/>
              <w:ind w:left="494" w:right="0"/>
              <w:jc w:val="left"/>
              <w:rPr>
                <w:rFonts w:ascii="宋体" w:hAnsi="宋体" w:cs="宋体" w:eastAsia="宋体" w:hint="default"/>
                <w:sz w:val="22"/>
                <w:szCs w:val="22"/>
              </w:rPr>
            </w:pPr>
            <w:r>
              <w:rPr>
                <w:rFonts w:ascii="宋体" w:hAnsi="宋体" w:cs="宋体" w:eastAsia="宋体" w:hint="default"/>
                <w:sz w:val="22"/>
                <w:szCs w:val="22"/>
              </w:rPr>
              <w:t>联通集团</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033" w:right="0"/>
              <w:jc w:val="left"/>
              <w:rPr>
                <w:rFonts w:ascii="Arial" w:hAnsi="Arial" w:cs="Arial" w:eastAsia="Arial" w:hint="default"/>
                <w:sz w:val="22"/>
                <w:szCs w:val="22"/>
              </w:rPr>
            </w:pPr>
            <w:r>
              <w:rPr>
                <w:rFonts w:ascii="Arial"/>
                <w:sz w:val="22"/>
              </w:rPr>
              <w:t>53,724,494</w:t>
            </w:r>
          </w:p>
        </w:tc>
        <w:tc>
          <w:tcPr>
            <w:tcW w:w="226" w:type="dxa"/>
            <w:tcBorders>
              <w:top w:val="nil" w:sz="6" w:space="0" w:color="auto"/>
              <w:left w:val="nil" w:sz="6" w:space="0" w:color="auto"/>
              <w:bottom w:val="nil" w:sz="6" w:space="0" w:color="auto"/>
              <w:right w:val="nil" w:sz="6" w:space="0" w:color="auto"/>
            </w:tcBorders>
          </w:tcPr>
          <w:p>
            <w:pPr/>
          </w:p>
        </w:tc>
        <w:tc>
          <w:tcPr>
            <w:tcW w:w="2305"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23"/>
              <w:jc w:val="right"/>
              <w:rPr>
                <w:rFonts w:ascii="Arial" w:hAnsi="Arial" w:cs="Arial" w:eastAsia="Arial" w:hint="default"/>
                <w:sz w:val="22"/>
                <w:szCs w:val="22"/>
              </w:rPr>
            </w:pPr>
            <w:r>
              <w:rPr>
                <w:rFonts w:ascii="Arial"/>
                <w:w w:val="95"/>
                <w:sz w:val="22"/>
              </w:rPr>
              <w:t>4,767,715</w:t>
            </w:r>
            <w:r>
              <w:rPr>
                <w:rFonts w:ascii="Arial"/>
                <w:sz w:val="22"/>
              </w:rPr>
            </w:r>
          </w:p>
        </w:tc>
      </w:tr>
      <w:tr>
        <w:trPr>
          <w:trHeight w:val="285" w:hRule="exact"/>
        </w:trPr>
        <w:tc>
          <w:tcPr>
            <w:tcW w:w="4626" w:type="dxa"/>
            <w:tcBorders>
              <w:top w:val="nil" w:sz="6" w:space="0" w:color="auto"/>
              <w:left w:val="nil" w:sz="6" w:space="0" w:color="auto"/>
              <w:bottom w:val="nil" w:sz="6" w:space="0" w:color="auto"/>
              <w:right w:val="nil" w:sz="6" w:space="0" w:color="auto"/>
            </w:tcBorders>
          </w:tcPr>
          <w:p>
            <w:pPr>
              <w:pStyle w:val="TableParagraph"/>
              <w:spacing w:line="239" w:lineRule="exact"/>
              <w:ind w:left="494" w:right="0"/>
              <w:jc w:val="left"/>
              <w:rPr>
                <w:rFonts w:ascii="宋体" w:hAnsi="宋体" w:cs="宋体" w:eastAsia="宋体" w:hint="default"/>
                <w:sz w:val="22"/>
                <w:szCs w:val="22"/>
              </w:rPr>
            </w:pPr>
            <w:r>
              <w:rPr>
                <w:rFonts w:ascii="宋体" w:hAnsi="宋体" w:cs="宋体" w:eastAsia="宋体" w:hint="default"/>
                <w:sz w:val="22"/>
                <w:szCs w:val="22"/>
              </w:rPr>
              <w:t>联通新时空</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17"/>
              <w:ind w:left="728" w:right="0"/>
              <w:jc w:val="left"/>
              <w:rPr>
                <w:rFonts w:ascii="Arial" w:hAnsi="Arial" w:cs="Arial" w:eastAsia="Arial" w:hint="default"/>
                <w:sz w:val="22"/>
                <w:szCs w:val="22"/>
              </w:rPr>
            </w:pPr>
            <w:r>
              <w:rPr>
                <w:rFonts w:ascii="Arial"/>
                <w:sz w:val="22"/>
              </w:rPr>
              <w:t>1,010,770,731</w:t>
            </w:r>
          </w:p>
        </w:tc>
        <w:tc>
          <w:tcPr>
            <w:tcW w:w="226" w:type="dxa"/>
            <w:tcBorders>
              <w:top w:val="nil" w:sz="6" w:space="0" w:color="auto"/>
              <w:left w:val="nil" w:sz="6" w:space="0" w:color="auto"/>
              <w:bottom w:val="nil" w:sz="6" w:space="0" w:color="auto"/>
              <w:right w:val="nil" w:sz="6" w:space="0" w:color="auto"/>
            </w:tcBorders>
          </w:tcPr>
          <w:p>
            <w:pPr/>
          </w:p>
        </w:tc>
        <w:tc>
          <w:tcPr>
            <w:tcW w:w="230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23"/>
              <w:jc w:val="right"/>
              <w:rPr>
                <w:rFonts w:ascii="Arial" w:hAnsi="Arial" w:cs="Arial" w:eastAsia="Arial" w:hint="default"/>
                <w:sz w:val="22"/>
                <w:szCs w:val="22"/>
              </w:rPr>
            </w:pPr>
            <w:r>
              <w:rPr>
                <w:rFonts w:ascii="Arial"/>
                <w:w w:val="95"/>
                <w:sz w:val="22"/>
              </w:rPr>
              <w:t>2,278,400</w:t>
            </w:r>
            <w:r>
              <w:rPr>
                <w:rFonts w:ascii="Arial"/>
                <w:sz w:val="22"/>
              </w:rPr>
            </w:r>
          </w:p>
        </w:tc>
      </w:tr>
      <w:tr>
        <w:trPr>
          <w:trHeight w:val="285" w:hRule="exact"/>
        </w:trPr>
        <w:tc>
          <w:tcPr>
            <w:tcW w:w="4626" w:type="dxa"/>
            <w:tcBorders>
              <w:top w:val="nil" w:sz="6" w:space="0" w:color="auto"/>
              <w:left w:val="nil" w:sz="6" w:space="0" w:color="auto"/>
              <w:bottom w:val="nil" w:sz="6" w:space="0" w:color="auto"/>
              <w:right w:val="nil" w:sz="6" w:space="0" w:color="auto"/>
            </w:tcBorders>
          </w:tcPr>
          <w:p>
            <w:pPr>
              <w:pStyle w:val="TableParagraph"/>
              <w:spacing w:line="239" w:lineRule="exact"/>
              <w:ind w:left="494" w:right="0"/>
              <w:jc w:val="left"/>
              <w:rPr>
                <w:rFonts w:ascii="宋体" w:hAnsi="宋体" w:cs="宋体" w:eastAsia="宋体" w:hint="default"/>
                <w:sz w:val="22"/>
                <w:szCs w:val="22"/>
              </w:rPr>
            </w:pPr>
            <w:r>
              <w:rPr>
                <w:rFonts w:ascii="宋体" w:hAnsi="宋体" w:cs="宋体" w:eastAsia="宋体" w:hint="default"/>
                <w:sz w:val="22"/>
                <w:szCs w:val="22"/>
              </w:rPr>
              <w:t>联通进出口</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33" w:right="0"/>
              <w:jc w:val="left"/>
              <w:rPr>
                <w:rFonts w:ascii="Arial" w:hAnsi="Arial" w:cs="Arial" w:eastAsia="Arial" w:hint="default"/>
                <w:sz w:val="22"/>
                <w:szCs w:val="22"/>
              </w:rPr>
            </w:pPr>
            <w:r>
              <w:rPr>
                <w:rFonts w:ascii="Arial"/>
                <w:sz w:val="22"/>
              </w:rPr>
              <w:t>15,146,574</w:t>
            </w:r>
          </w:p>
        </w:tc>
        <w:tc>
          <w:tcPr>
            <w:tcW w:w="226" w:type="dxa"/>
            <w:tcBorders>
              <w:top w:val="nil" w:sz="6" w:space="0" w:color="auto"/>
              <w:left w:val="nil" w:sz="6" w:space="0" w:color="auto"/>
              <w:bottom w:val="nil" w:sz="6" w:space="0" w:color="auto"/>
              <w:right w:val="nil" w:sz="6" w:space="0" w:color="auto"/>
            </w:tcBorders>
          </w:tcPr>
          <w:p>
            <w:pPr/>
          </w:p>
        </w:tc>
        <w:tc>
          <w:tcPr>
            <w:tcW w:w="230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23"/>
              <w:jc w:val="right"/>
              <w:rPr>
                <w:rFonts w:ascii="Arial" w:hAnsi="Arial" w:cs="Arial" w:eastAsia="Arial" w:hint="default"/>
                <w:sz w:val="22"/>
                <w:szCs w:val="22"/>
              </w:rPr>
            </w:pPr>
            <w:r>
              <w:rPr>
                <w:rFonts w:ascii="Arial"/>
                <w:w w:val="95"/>
                <w:sz w:val="22"/>
              </w:rPr>
              <w:t>13,947,896</w:t>
            </w:r>
            <w:r>
              <w:rPr>
                <w:rFonts w:ascii="Arial"/>
                <w:sz w:val="22"/>
              </w:rPr>
            </w:r>
          </w:p>
        </w:tc>
      </w:tr>
      <w:tr>
        <w:trPr>
          <w:trHeight w:val="285" w:hRule="exact"/>
        </w:trPr>
        <w:tc>
          <w:tcPr>
            <w:tcW w:w="4626" w:type="dxa"/>
            <w:tcBorders>
              <w:top w:val="nil" w:sz="6" w:space="0" w:color="auto"/>
              <w:left w:val="nil" w:sz="6" w:space="0" w:color="auto"/>
              <w:bottom w:val="nil" w:sz="6" w:space="0" w:color="auto"/>
              <w:right w:val="nil" w:sz="6" w:space="0" w:color="auto"/>
            </w:tcBorders>
          </w:tcPr>
          <w:p>
            <w:pPr>
              <w:pStyle w:val="TableParagraph"/>
              <w:spacing w:line="239" w:lineRule="exact"/>
              <w:ind w:left="494" w:right="0"/>
              <w:jc w:val="left"/>
              <w:rPr>
                <w:rFonts w:ascii="宋体" w:hAnsi="宋体" w:cs="宋体" w:eastAsia="宋体" w:hint="default"/>
                <w:sz w:val="22"/>
                <w:szCs w:val="22"/>
              </w:rPr>
            </w:pPr>
            <w:r>
              <w:rPr>
                <w:rFonts w:ascii="宋体" w:hAnsi="宋体" w:cs="宋体" w:eastAsia="宋体" w:hint="default"/>
                <w:sz w:val="22"/>
                <w:szCs w:val="22"/>
              </w:rPr>
              <w:t>联通新时讯</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33" w:right="0"/>
              <w:jc w:val="left"/>
              <w:rPr>
                <w:rFonts w:ascii="Arial" w:hAnsi="Arial" w:cs="Arial" w:eastAsia="Arial" w:hint="default"/>
                <w:sz w:val="22"/>
                <w:szCs w:val="22"/>
              </w:rPr>
            </w:pPr>
            <w:r>
              <w:rPr>
                <w:rFonts w:ascii="Arial"/>
                <w:sz w:val="22"/>
              </w:rPr>
              <w:t>23,464,920</w:t>
            </w:r>
          </w:p>
        </w:tc>
        <w:tc>
          <w:tcPr>
            <w:tcW w:w="226" w:type="dxa"/>
            <w:tcBorders>
              <w:top w:val="nil" w:sz="6" w:space="0" w:color="auto"/>
              <w:left w:val="nil" w:sz="6" w:space="0" w:color="auto"/>
              <w:bottom w:val="nil" w:sz="6" w:space="0" w:color="auto"/>
              <w:right w:val="nil" w:sz="6" w:space="0" w:color="auto"/>
            </w:tcBorders>
          </w:tcPr>
          <w:p>
            <w:pPr/>
          </w:p>
        </w:tc>
        <w:tc>
          <w:tcPr>
            <w:tcW w:w="230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23"/>
              <w:jc w:val="right"/>
              <w:rPr>
                <w:rFonts w:ascii="Arial" w:hAnsi="Arial" w:cs="Arial" w:eastAsia="Arial" w:hint="default"/>
                <w:sz w:val="22"/>
                <w:szCs w:val="22"/>
              </w:rPr>
            </w:pPr>
            <w:r>
              <w:rPr>
                <w:rFonts w:ascii="Arial"/>
                <w:w w:val="95"/>
                <w:sz w:val="22"/>
              </w:rPr>
              <w:t>21,625,081</w:t>
            </w:r>
            <w:r>
              <w:rPr>
                <w:rFonts w:ascii="Arial"/>
                <w:sz w:val="22"/>
              </w:rPr>
            </w:r>
          </w:p>
        </w:tc>
      </w:tr>
      <w:tr>
        <w:trPr>
          <w:trHeight w:val="286" w:hRule="exact"/>
        </w:trPr>
        <w:tc>
          <w:tcPr>
            <w:tcW w:w="4626" w:type="dxa"/>
            <w:tcBorders>
              <w:top w:val="nil" w:sz="6" w:space="0" w:color="auto"/>
              <w:left w:val="nil" w:sz="6" w:space="0" w:color="auto"/>
              <w:bottom w:val="nil" w:sz="6" w:space="0" w:color="auto"/>
              <w:right w:val="nil" w:sz="6" w:space="0" w:color="auto"/>
            </w:tcBorders>
          </w:tcPr>
          <w:p>
            <w:pPr>
              <w:pStyle w:val="TableParagraph"/>
              <w:spacing w:line="240" w:lineRule="exact"/>
              <w:ind w:left="494" w:right="0"/>
              <w:jc w:val="left"/>
              <w:rPr>
                <w:rFonts w:ascii="宋体" w:hAnsi="宋体" w:cs="宋体" w:eastAsia="宋体" w:hint="default"/>
                <w:sz w:val="22"/>
                <w:szCs w:val="22"/>
              </w:rPr>
            </w:pPr>
            <w:r>
              <w:rPr>
                <w:rFonts w:ascii="宋体" w:hAnsi="宋体" w:cs="宋体" w:eastAsia="宋体" w:hint="default"/>
                <w:sz w:val="22"/>
                <w:szCs w:val="22"/>
              </w:rPr>
              <w:t>联通时科</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1033" w:right="0"/>
              <w:jc w:val="left"/>
              <w:rPr>
                <w:rFonts w:ascii="Arial" w:hAnsi="Arial" w:cs="Arial" w:eastAsia="Arial" w:hint="default"/>
                <w:sz w:val="22"/>
                <w:szCs w:val="22"/>
              </w:rPr>
            </w:pPr>
            <w:r>
              <w:rPr>
                <w:rFonts w:ascii="Arial"/>
                <w:sz w:val="22"/>
              </w:rPr>
              <w:t>12,020,671</w:t>
            </w:r>
          </w:p>
        </w:tc>
        <w:tc>
          <w:tcPr>
            <w:tcW w:w="226" w:type="dxa"/>
            <w:tcBorders>
              <w:top w:val="nil" w:sz="6" w:space="0" w:color="auto"/>
              <w:left w:val="nil" w:sz="6" w:space="0" w:color="auto"/>
              <w:bottom w:val="nil" w:sz="6" w:space="0" w:color="auto"/>
              <w:right w:val="nil" w:sz="6" w:space="0" w:color="auto"/>
            </w:tcBorders>
          </w:tcPr>
          <w:p>
            <w:pPr/>
          </w:p>
        </w:tc>
        <w:tc>
          <w:tcPr>
            <w:tcW w:w="2305"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23"/>
              <w:jc w:val="right"/>
              <w:rPr>
                <w:rFonts w:ascii="Arial" w:hAnsi="Arial" w:cs="Arial" w:eastAsia="Arial" w:hint="default"/>
                <w:sz w:val="22"/>
                <w:szCs w:val="22"/>
              </w:rPr>
            </w:pPr>
            <w:r>
              <w:rPr>
                <w:rFonts w:ascii="Arial"/>
                <w:w w:val="95"/>
                <w:sz w:val="22"/>
              </w:rPr>
              <w:t>13,920,458</w:t>
            </w:r>
            <w:r>
              <w:rPr>
                <w:rFonts w:ascii="Arial"/>
                <w:sz w:val="22"/>
              </w:rPr>
            </w:r>
          </w:p>
        </w:tc>
      </w:tr>
      <w:tr>
        <w:trPr>
          <w:trHeight w:val="419" w:hRule="exact"/>
        </w:trPr>
        <w:tc>
          <w:tcPr>
            <w:tcW w:w="4626" w:type="dxa"/>
            <w:tcBorders>
              <w:top w:val="nil" w:sz="6" w:space="0" w:color="auto"/>
              <w:left w:val="nil" w:sz="6" w:space="0" w:color="auto"/>
              <w:bottom w:val="nil" w:sz="6" w:space="0" w:color="auto"/>
              <w:right w:val="nil" w:sz="6" w:space="0" w:color="auto"/>
            </w:tcBorders>
          </w:tcPr>
          <w:p>
            <w:pPr>
              <w:pStyle w:val="TableParagraph"/>
              <w:spacing w:line="239" w:lineRule="exact"/>
              <w:ind w:left="494" w:right="0"/>
              <w:jc w:val="left"/>
              <w:rPr>
                <w:rFonts w:ascii="宋体" w:hAnsi="宋体" w:cs="宋体" w:eastAsia="宋体" w:hint="default"/>
                <w:sz w:val="22"/>
                <w:szCs w:val="22"/>
              </w:rPr>
            </w:pPr>
            <w:r>
              <w:rPr>
                <w:rFonts w:ascii="宋体" w:hAnsi="宋体" w:cs="宋体" w:eastAsia="宋体" w:hint="default"/>
                <w:sz w:val="22"/>
                <w:szCs w:val="22"/>
              </w:rPr>
              <w:t>联通集团其他附属公司</w:t>
            </w:r>
          </w:p>
        </w:tc>
        <w:tc>
          <w:tcPr>
            <w:tcW w:w="2244" w:type="dxa"/>
            <w:tcBorders>
              <w:top w:val="nil" w:sz="6" w:space="0" w:color="auto"/>
              <w:left w:val="nil" w:sz="6" w:space="0" w:color="auto"/>
              <w:bottom w:val="nil" w:sz="6" w:space="0" w:color="auto"/>
              <w:right w:val="nil" w:sz="6" w:space="0" w:color="auto"/>
            </w:tcBorders>
          </w:tcPr>
          <w:p>
            <w:pPr>
              <w:pStyle w:val="TableParagraph"/>
              <w:tabs>
                <w:tab w:pos="728" w:val="left" w:leader="none"/>
                <w:tab w:pos="2236" w:val="left" w:leader="none"/>
              </w:tabs>
              <w:spacing w:line="240" w:lineRule="auto" w:before="17"/>
              <w:ind w:left="7"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2,246,581,558</w:t>
              <w:tab/>
            </w:r>
            <w:r>
              <w:rPr>
                <w:rFonts w:ascii="Arial"/>
                <w:sz w:val="22"/>
              </w:rPr>
            </w:r>
          </w:p>
        </w:tc>
        <w:tc>
          <w:tcPr>
            <w:tcW w:w="226" w:type="dxa"/>
            <w:tcBorders>
              <w:top w:val="nil" w:sz="6" w:space="0" w:color="auto"/>
              <w:left w:val="nil" w:sz="6" w:space="0" w:color="auto"/>
              <w:bottom w:val="nil" w:sz="6" w:space="0" w:color="auto"/>
              <w:right w:val="nil" w:sz="6" w:space="0" w:color="auto"/>
            </w:tcBorders>
          </w:tcPr>
          <w:p>
            <w:pPr/>
          </w:p>
        </w:tc>
        <w:tc>
          <w:tcPr>
            <w:tcW w:w="2305" w:type="dxa"/>
            <w:tcBorders>
              <w:top w:val="nil" w:sz="6" w:space="0" w:color="auto"/>
              <w:left w:val="nil" w:sz="6" w:space="0" w:color="auto"/>
              <w:bottom w:val="nil" w:sz="6" w:space="0" w:color="auto"/>
              <w:right w:val="nil" w:sz="6" w:space="0" w:color="auto"/>
            </w:tcBorders>
          </w:tcPr>
          <w:p>
            <w:pPr>
              <w:pStyle w:val="TableParagraph"/>
              <w:tabs>
                <w:tab w:pos="770" w:val="left" w:leader="none"/>
                <w:tab w:pos="2294"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spacing w:val="-1"/>
                <w:sz w:val="22"/>
                <w:u w:val="single" w:color="000000"/>
              </w:rPr>
              <w:t>1,453,002,526</w:t>
              <w:tab/>
            </w:r>
            <w:r>
              <w:rPr>
                <w:rFonts w:ascii="Arial"/>
                <w:spacing w:val="-1"/>
                <w:sz w:val="22"/>
              </w:rPr>
            </w:r>
          </w:p>
        </w:tc>
      </w:tr>
      <w:tr>
        <w:trPr>
          <w:trHeight w:val="430" w:hRule="exact"/>
        </w:trPr>
        <w:tc>
          <w:tcPr>
            <w:tcW w:w="4626" w:type="dxa"/>
            <w:tcBorders>
              <w:top w:val="nil" w:sz="6" w:space="0" w:color="auto"/>
              <w:left w:val="nil" w:sz="6" w:space="0" w:color="auto"/>
              <w:bottom w:val="nil" w:sz="6" w:space="0" w:color="auto"/>
              <w:right w:val="nil" w:sz="6" w:space="0" w:color="auto"/>
            </w:tcBorders>
          </w:tcPr>
          <w:p>
            <w:pPr>
              <w:pStyle w:val="TableParagraph"/>
              <w:spacing w:line="240" w:lineRule="auto" w:before="85"/>
              <w:ind w:left="494"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44"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left="728" w:right="0"/>
              <w:jc w:val="left"/>
              <w:rPr>
                <w:rFonts w:ascii="Arial" w:hAnsi="Arial" w:cs="Arial" w:eastAsia="Arial" w:hint="default"/>
                <w:sz w:val="22"/>
                <w:szCs w:val="22"/>
              </w:rPr>
            </w:pPr>
            <w:r>
              <w:rPr>
                <w:rFonts w:ascii="Arial"/>
                <w:sz w:val="22"/>
              </w:rPr>
              <w:t>3,361,708,948</w:t>
            </w:r>
          </w:p>
        </w:tc>
        <w:tc>
          <w:tcPr>
            <w:tcW w:w="226" w:type="dxa"/>
            <w:tcBorders>
              <w:top w:val="nil" w:sz="6" w:space="0" w:color="auto"/>
              <w:left w:val="nil" w:sz="6" w:space="0" w:color="auto"/>
              <w:bottom w:val="nil" w:sz="6" w:space="0" w:color="auto"/>
              <w:right w:val="nil" w:sz="6" w:space="0" w:color="auto"/>
            </w:tcBorders>
          </w:tcPr>
          <w:p>
            <w:pPr/>
          </w:p>
        </w:tc>
        <w:tc>
          <w:tcPr>
            <w:tcW w:w="2305"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123"/>
              <w:jc w:val="right"/>
              <w:rPr>
                <w:rFonts w:ascii="Arial" w:hAnsi="Arial" w:cs="Arial" w:eastAsia="Arial" w:hint="default"/>
                <w:sz w:val="22"/>
                <w:szCs w:val="22"/>
              </w:rPr>
            </w:pPr>
            <w:r>
              <w:rPr>
                <w:rFonts w:ascii="Arial"/>
                <w:spacing w:val="-1"/>
                <w:sz w:val="22"/>
              </w:rPr>
              <w:t>1,509,542,076</w:t>
            </w:r>
          </w:p>
        </w:tc>
      </w:tr>
    </w:tbl>
    <w:p>
      <w:pPr>
        <w:spacing w:line="240" w:lineRule="auto" w:before="7"/>
        <w:rPr>
          <w:rFonts w:ascii="宋体" w:hAnsi="宋体" w:cs="宋体" w:eastAsia="宋体" w:hint="default"/>
          <w:sz w:val="12"/>
          <w:szCs w:val="12"/>
        </w:rPr>
      </w:pPr>
    </w:p>
    <w:p>
      <w:pPr>
        <w:pStyle w:val="BodyText"/>
        <w:tabs>
          <w:tab w:pos="618" w:val="left" w:leader="none"/>
        </w:tabs>
        <w:spacing w:line="295" w:lineRule="exact" w:before="31"/>
        <w:ind w:left="142" w:right="90"/>
        <w:jc w:val="left"/>
        <w:rPr>
          <w:rFonts w:ascii="Arial" w:hAnsi="Arial" w:cs="Arial" w:eastAsia="Arial" w:hint="default"/>
        </w:rPr>
      </w:pPr>
      <w:r>
        <w:rPr>
          <w:rFonts w:ascii="Arial" w:hAnsi="Arial" w:cs="Arial" w:eastAsia="Arial" w:hint="default"/>
          <w:w w:val="95"/>
        </w:rPr>
        <w:t>(c)</w:t>
        <w:tab/>
      </w:r>
      <w:r>
        <w:rPr/>
        <w:t>于</w:t>
      </w:r>
      <w:r>
        <w:rPr>
          <w:spacing w:val="-52"/>
        </w:rPr>
        <w:t> </w:t>
      </w:r>
      <w:r>
        <w:rPr>
          <w:rFonts w:ascii="Arial" w:hAnsi="Arial" w:cs="Arial" w:eastAsia="Arial" w:hint="default"/>
        </w:rPr>
        <w:t>2009</w:t>
      </w:r>
      <w:r>
        <w:rPr>
          <w:rFonts w:ascii="Arial" w:hAnsi="Arial" w:cs="Arial" w:eastAsia="Arial" w:hint="default"/>
          <w:spacing w:val="-2"/>
        </w:rPr>
        <w:t> </w:t>
      </w:r>
      <w:r>
        <w:rPr/>
        <w:t>年</w:t>
      </w:r>
      <w:r>
        <w:rPr>
          <w:spacing w:val="-50"/>
        </w:rPr>
        <w:t> </w:t>
      </w:r>
      <w:r>
        <w:rPr>
          <w:rFonts w:ascii="Arial" w:hAnsi="Arial" w:cs="Arial" w:eastAsia="Arial" w:hint="default"/>
        </w:rPr>
        <w:t>12</w:t>
      </w:r>
      <w:r>
        <w:rPr>
          <w:rFonts w:ascii="Arial" w:hAnsi="Arial" w:cs="Arial" w:eastAsia="Arial" w:hint="default"/>
          <w:spacing w:val="-2"/>
        </w:rPr>
        <w:t> </w:t>
      </w:r>
      <w:r>
        <w:rPr/>
        <w:t>月</w:t>
      </w:r>
      <w:r>
        <w:rPr>
          <w:spacing w:val="-52"/>
        </w:rPr>
        <w:t> </w:t>
      </w:r>
      <w:r>
        <w:rPr>
          <w:rFonts w:ascii="Arial" w:hAnsi="Arial" w:cs="Arial" w:eastAsia="Arial" w:hint="default"/>
        </w:rPr>
        <w:t>31</w:t>
      </w:r>
      <w:r>
        <w:rPr>
          <w:rFonts w:ascii="Arial" w:hAnsi="Arial" w:cs="Arial" w:eastAsia="Arial" w:hint="default"/>
          <w:spacing w:val="-2"/>
        </w:rPr>
        <w:t> </w:t>
      </w:r>
      <w:r>
        <w:rPr/>
        <w:t>日，账龄超过</w:t>
      </w:r>
      <w:r>
        <w:rPr>
          <w:spacing w:val="-50"/>
        </w:rPr>
        <w:t> </w:t>
      </w:r>
      <w:r>
        <w:rPr>
          <w:rFonts w:ascii="Arial" w:hAnsi="Arial" w:cs="Arial" w:eastAsia="Arial" w:hint="default"/>
        </w:rPr>
        <w:t>1</w:t>
      </w:r>
      <w:r>
        <w:rPr>
          <w:rFonts w:ascii="Arial" w:hAnsi="Arial" w:cs="Arial" w:eastAsia="Arial" w:hint="default"/>
          <w:spacing w:val="-2"/>
        </w:rPr>
        <w:t> </w:t>
      </w:r>
      <w:r>
        <w:rPr/>
        <w:t>年的应付账款约为人民币</w:t>
      </w:r>
      <w:r>
        <w:rPr>
          <w:spacing w:val="-51"/>
        </w:rPr>
        <w:t> </w:t>
      </w:r>
      <w:r>
        <w:rPr>
          <w:rFonts w:ascii="Arial" w:hAnsi="Arial" w:cs="Arial" w:eastAsia="Arial" w:hint="default"/>
        </w:rPr>
        <w:t>79.30</w:t>
      </w:r>
      <w:r>
        <w:rPr>
          <w:rFonts w:ascii="Arial" w:hAnsi="Arial" w:cs="Arial" w:eastAsia="Arial" w:hint="default"/>
          <w:spacing w:val="-1"/>
        </w:rPr>
        <w:t> </w:t>
      </w:r>
      <w:r>
        <w:rPr/>
        <w:t>亿元（</w:t>
      </w:r>
      <w:r>
        <w:rPr>
          <w:rFonts w:ascii="Arial" w:hAnsi="Arial" w:cs="Arial" w:eastAsia="Arial" w:hint="default"/>
        </w:rPr>
        <w:t>2008</w:t>
      </w:r>
      <w:r>
        <w:rPr>
          <w:rFonts w:ascii="Arial" w:hAnsi="Arial" w:cs="Arial" w:eastAsia="Arial" w:hint="default"/>
          <w:spacing w:val="-1"/>
        </w:rPr>
        <w:t> </w:t>
      </w:r>
      <w:r>
        <w:rPr/>
        <w:t>年</w:t>
      </w:r>
      <w:r>
        <w:rPr>
          <w:spacing w:val="-52"/>
        </w:rPr>
        <w:t> </w:t>
      </w:r>
      <w:r>
        <w:rPr>
          <w:rFonts w:ascii="Arial" w:hAnsi="Arial" w:cs="Arial" w:eastAsia="Arial" w:hint="default"/>
        </w:rPr>
        <w:t>12</w:t>
      </w:r>
      <w:r>
        <w:rPr>
          <w:rFonts w:ascii="Arial" w:hAnsi="Arial" w:cs="Arial" w:eastAsia="Arial" w:hint="default"/>
          <w:spacing w:val="-2"/>
        </w:rPr>
        <w:t> </w:t>
      </w:r>
      <w:r>
        <w:rPr/>
        <w:t>月</w:t>
      </w:r>
      <w:r>
        <w:rPr>
          <w:spacing w:val="-52"/>
        </w:rPr>
        <w:t> </w:t>
      </w:r>
      <w:r>
        <w:rPr>
          <w:rFonts w:ascii="Arial" w:hAnsi="Arial" w:cs="Arial" w:eastAsia="Arial" w:hint="default"/>
        </w:rPr>
        <w:t>31</w:t>
      </w:r>
    </w:p>
    <w:p>
      <w:pPr>
        <w:pStyle w:val="BodyText"/>
        <w:spacing w:line="286" w:lineRule="exact" w:before="19"/>
        <w:ind w:left="619" w:right="193" w:hanging="1"/>
        <w:jc w:val="left"/>
      </w:pPr>
      <w:r>
        <w:rPr/>
        <w:t>日：约人民币</w:t>
      </w:r>
      <w:r>
        <w:rPr>
          <w:spacing w:val="-79"/>
        </w:rPr>
        <w:t> </w:t>
      </w:r>
      <w:r>
        <w:rPr>
          <w:rFonts w:ascii="Arial" w:hAnsi="Arial" w:cs="Arial" w:eastAsia="Arial" w:hint="default"/>
        </w:rPr>
        <w:t>63.62</w:t>
      </w:r>
      <w:r>
        <w:rPr>
          <w:rFonts w:ascii="Arial" w:hAnsi="Arial" w:cs="Arial" w:eastAsia="Arial" w:hint="default"/>
          <w:spacing w:val="-30"/>
        </w:rPr>
        <w:t> </w:t>
      </w:r>
      <w:r>
        <w:rPr/>
        <w:t>亿元），主要为应付工程及设备款，包括账龄超过一年尚未支付的工程或</w:t>
      </w:r>
      <w:r>
        <w:rPr>
          <w:w w:val="99"/>
        </w:rPr>
        <w:t> </w:t>
      </w:r>
      <w:r>
        <w:rPr/>
        <w:t>设备质保金等，鉴于债权债务双方仍继续发生业务往来，该项账款尚未结清。</w:t>
      </w:r>
    </w:p>
    <w:p>
      <w:pPr>
        <w:spacing w:line="240" w:lineRule="auto" w:before="1"/>
        <w:rPr>
          <w:rFonts w:ascii="宋体" w:hAnsi="宋体" w:cs="宋体" w:eastAsia="宋体" w:hint="default"/>
          <w:sz w:val="17"/>
          <w:szCs w:val="17"/>
        </w:rPr>
      </w:pPr>
    </w:p>
    <w:p>
      <w:pPr>
        <w:pStyle w:val="BodyText"/>
        <w:tabs>
          <w:tab w:pos="619" w:val="left" w:leader="none"/>
        </w:tabs>
        <w:spacing w:line="240" w:lineRule="auto"/>
        <w:ind w:left="142" w:right="0"/>
        <w:jc w:val="left"/>
      </w:pPr>
      <w:r>
        <w:rPr>
          <w:rFonts w:ascii="Arial" w:hAnsi="Arial" w:cs="Arial" w:eastAsia="Arial" w:hint="default"/>
          <w:w w:val="99"/>
        </w:rPr>
        <w:t>(d)</w:t>
      </w:r>
      <w:r>
        <w:rPr>
          <w:rFonts w:ascii="Arial" w:hAnsi="Arial" w:cs="Arial" w:eastAsia="Arial" w:hint="default"/>
        </w:rPr>
        <w:tab/>
      </w:r>
      <w:r>
        <w:rPr>
          <w:w w:val="99"/>
        </w:rPr>
        <w:t>于</w:t>
      </w:r>
      <w:r>
        <w:rPr>
          <w:spacing w:val="-58"/>
        </w:rPr>
        <w:t> </w:t>
      </w:r>
      <w:r>
        <w:rPr>
          <w:rFonts w:ascii="Arial" w:hAnsi="Arial" w:cs="Arial" w:eastAsia="Arial" w:hint="default"/>
          <w:w w:val="99"/>
        </w:rPr>
        <w:t>2009</w:t>
      </w:r>
      <w:r>
        <w:rPr>
          <w:rFonts w:ascii="Arial" w:hAnsi="Arial" w:cs="Arial" w:eastAsia="Arial" w:hint="default"/>
          <w:spacing w:val="-8"/>
        </w:rPr>
        <w:t> </w:t>
      </w:r>
      <w:r>
        <w:rPr>
          <w:w w:val="99"/>
        </w:rPr>
        <w:t>年</w:t>
      </w:r>
      <w:r>
        <w:rPr>
          <w:spacing w:val="-58"/>
        </w:rPr>
        <w:t> </w:t>
      </w:r>
      <w:r>
        <w:rPr>
          <w:rFonts w:ascii="Arial" w:hAnsi="Arial" w:cs="Arial" w:eastAsia="Arial" w:hint="default"/>
          <w:spacing w:val="1"/>
          <w:w w:val="99"/>
        </w:rPr>
        <w:t>1</w:t>
      </w:r>
      <w:r>
        <w:rPr>
          <w:rFonts w:ascii="Arial" w:hAnsi="Arial" w:cs="Arial" w:eastAsia="Arial" w:hint="default"/>
          <w:w w:val="99"/>
        </w:rPr>
        <w:t>2</w:t>
      </w:r>
      <w:r>
        <w:rPr>
          <w:rFonts w:ascii="Arial" w:hAnsi="Arial" w:cs="Arial" w:eastAsia="Arial" w:hint="default"/>
          <w:spacing w:val="-8"/>
        </w:rPr>
        <w:t> </w:t>
      </w:r>
      <w:r>
        <w:rPr>
          <w:w w:val="99"/>
        </w:rPr>
        <w:t>月</w:t>
      </w:r>
      <w:r>
        <w:rPr>
          <w:spacing w:val="-58"/>
        </w:rPr>
        <w:t> </w:t>
      </w:r>
      <w:r>
        <w:rPr>
          <w:rFonts w:ascii="Arial" w:hAnsi="Arial" w:cs="Arial" w:eastAsia="Arial" w:hint="default"/>
          <w:w w:val="99"/>
        </w:rPr>
        <w:t>31</w:t>
      </w:r>
      <w:r>
        <w:rPr>
          <w:rFonts w:ascii="Arial" w:hAnsi="Arial" w:cs="Arial" w:eastAsia="Arial" w:hint="default"/>
          <w:spacing w:val="-9"/>
        </w:rPr>
        <w:t> </w:t>
      </w:r>
      <w:r>
        <w:rPr>
          <w:spacing w:val="1"/>
          <w:w w:val="99"/>
        </w:rPr>
        <w:t>日</w:t>
      </w:r>
      <w:r>
        <w:rPr>
          <w:w w:val="99"/>
        </w:rPr>
        <w:t>及</w:t>
      </w:r>
      <w:r>
        <w:rPr>
          <w:spacing w:val="-58"/>
        </w:rPr>
        <w:t> </w:t>
      </w:r>
      <w:r>
        <w:rPr>
          <w:rFonts w:ascii="Arial" w:hAnsi="Arial" w:cs="Arial" w:eastAsia="Arial" w:hint="default"/>
          <w:w w:val="99"/>
        </w:rPr>
        <w:t>2008</w:t>
      </w:r>
      <w:r>
        <w:rPr>
          <w:rFonts w:ascii="Arial" w:hAnsi="Arial" w:cs="Arial" w:eastAsia="Arial" w:hint="default"/>
          <w:spacing w:val="-8"/>
        </w:rPr>
        <w:t> </w:t>
      </w:r>
      <w:r>
        <w:rPr>
          <w:w w:val="99"/>
        </w:rPr>
        <w:t>年</w:t>
      </w:r>
      <w:r>
        <w:rPr>
          <w:spacing w:val="-58"/>
        </w:rPr>
        <w:t> </w:t>
      </w:r>
      <w:r>
        <w:rPr>
          <w:rFonts w:ascii="Arial" w:hAnsi="Arial" w:cs="Arial" w:eastAsia="Arial" w:hint="default"/>
          <w:spacing w:val="1"/>
          <w:w w:val="99"/>
        </w:rPr>
        <w:t>1</w:t>
      </w:r>
      <w:r>
        <w:rPr>
          <w:rFonts w:ascii="Arial" w:hAnsi="Arial" w:cs="Arial" w:eastAsia="Arial" w:hint="default"/>
          <w:w w:val="99"/>
        </w:rPr>
        <w:t>2</w:t>
      </w:r>
      <w:r>
        <w:rPr>
          <w:rFonts w:ascii="Arial" w:hAnsi="Arial" w:cs="Arial" w:eastAsia="Arial" w:hint="default"/>
          <w:spacing w:val="-8"/>
        </w:rPr>
        <w:t> </w:t>
      </w:r>
      <w:r>
        <w:rPr>
          <w:w w:val="99"/>
        </w:rPr>
        <w:t>月</w:t>
      </w:r>
      <w:r>
        <w:rPr>
          <w:spacing w:val="-58"/>
        </w:rPr>
        <w:t> </w:t>
      </w:r>
      <w:r>
        <w:rPr>
          <w:rFonts w:ascii="Arial" w:hAnsi="Arial" w:cs="Arial" w:eastAsia="Arial" w:hint="default"/>
          <w:w w:val="99"/>
        </w:rPr>
        <w:t>31</w:t>
      </w:r>
      <w:r>
        <w:rPr>
          <w:rFonts w:ascii="Arial" w:hAnsi="Arial" w:cs="Arial" w:eastAsia="Arial" w:hint="default"/>
          <w:spacing w:val="-9"/>
        </w:rPr>
        <w:t> </w:t>
      </w:r>
      <w:r>
        <w:rPr>
          <w:spacing w:val="1"/>
          <w:w w:val="99"/>
        </w:rPr>
        <w:t>日</w:t>
      </w:r>
      <w:r>
        <w:rPr>
          <w:spacing w:val="-110"/>
          <w:w w:val="99"/>
        </w:rPr>
        <w:t>，</w:t>
      </w:r>
      <w:r>
        <w:rPr>
          <w:w w:val="99"/>
        </w:rPr>
        <w:t>本集团</w:t>
      </w:r>
      <w:r>
        <w:rPr>
          <w:spacing w:val="1"/>
          <w:w w:val="99"/>
        </w:rPr>
        <w:t>应付</w:t>
      </w:r>
      <w:r>
        <w:rPr>
          <w:w w:val="99"/>
        </w:rPr>
        <w:t>账款中</w:t>
      </w:r>
      <w:r>
        <w:rPr>
          <w:spacing w:val="1"/>
          <w:w w:val="99"/>
        </w:rPr>
        <w:t>以外</w:t>
      </w:r>
      <w:r>
        <w:rPr>
          <w:w w:val="99"/>
        </w:rPr>
        <w:t>币计价</w:t>
      </w:r>
      <w:r>
        <w:rPr>
          <w:spacing w:val="1"/>
          <w:w w:val="99"/>
        </w:rPr>
        <w:t>的余</w:t>
      </w:r>
      <w:r>
        <w:rPr>
          <w:w w:val="99"/>
        </w:rPr>
        <w:t>额并不</w:t>
      </w:r>
      <w:r>
        <w:rPr>
          <w:spacing w:val="1"/>
          <w:w w:val="99"/>
        </w:rPr>
        <w:t>重</w:t>
      </w:r>
      <w:r>
        <w:rPr>
          <w:spacing w:val="-2"/>
          <w:w w:val="99"/>
        </w:rPr>
        <w:t>大</w:t>
      </w:r>
      <w:r>
        <w:rPr>
          <w:w w:val="99"/>
        </w:rPr>
        <w:t>。</w:t>
      </w:r>
      <w:r>
        <w:rPr/>
      </w:r>
    </w:p>
    <w:p>
      <w:pPr>
        <w:spacing w:line="240" w:lineRule="auto" w:before="13"/>
        <w:rPr>
          <w:rFonts w:ascii="宋体" w:hAnsi="宋体" w:cs="宋体" w:eastAsia="宋体" w:hint="default"/>
          <w:sz w:val="17"/>
          <w:szCs w:val="17"/>
        </w:rPr>
      </w:pPr>
    </w:p>
    <w:p>
      <w:pPr>
        <w:pStyle w:val="BodyText"/>
        <w:spacing w:line="240" w:lineRule="auto"/>
        <w:ind w:left="142" w:right="90"/>
        <w:jc w:val="left"/>
        <w:rPr>
          <w:rFonts w:ascii="黑体" w:hAnsi="黑体" w:cs="黑体" w:eastAsia="黑体" w:hint="default"/>
        </w:rPr>
      </w:pPr>
      <w:r>
        <w:rPr>
          <w:rFonts w:ascii="Arial" w:hAnsi="Arial" w:cs="Arial" w:eastAsia="Arial" w:hint="default"/>
        </w:rPr>
        <w:t>19</w:t>
      </w:r>
      <w:r>
        <w:rPr>
          <w:rFonts w:ascii="黑体" w:hAnsi="黑体" w:cs="黑体" w:eastAsia="黑体" w:hint="default"/>
        </w:rPr>
        <w:t>、预收款项</w:t>
      </w:r>
    </w:p>
    <w:p>
      <w:pPr>
        <w:spacing w:line="240" w:lineRule="auto" w:before="6"/>
        <w:rPr>
          <w:rFonts w:ascii="黑体" w:hAnsi="黑体" w:cs="黑体" w:eastAsia="黑体" w:hint="default"/>
          <w:sz w:val="15"/>
          <w:szCs w:val="15"/>
        </w:rPr>
      </w:pPr>
    </w:p>
    <w:tbl>
      <w:tblPr>
        <w:tblW w:w="0" w:type="auto"/>
        <w:jc w:val="left"/>
        <w:tblInd w:w="567" w:type="dxa"/>
        <w:tblLayout w:type="fixed"/>
        <w:tblCellMar>
          <w:top w:w="0" w:type="dxa"/>
          <w:left w:w="0" w:type="dxa"/>
          <w:bottom w:w="0" w:type="dxa"/>
          <w:right w:w="0" w:type="dxa"/>
        </w:tblCellMar>
        <w:tblLook w:val="01E0"/>
      </w:tblPr>
      <w:tblGrid>
        <w:gridCol w:w="4161"/>
        <w:gridCol w:w="2252"/>
        <w:gridCol w:w="221"/>
        <w:gridCol w:w="2365"/>
      </w:tblGrid>
      <w:tr>
        <w:trPr>
          <w:trHeight w:val="361" w:hRule="exact"/>
        </w:trPr>
        <w:tc>
          <w:tcPr>
            <w:tcW w:w="4161" w:type="dxa"/>
            <w:vMerge w:val="restart"/>
            <w:tcBorders>
              <w:top w:val="nil" w:sz="6" w:space="0" w:color="auto"/>
              <w:left w:val="nil" w:sz="6" w:space="0" w:color="auto"/>
              <w:right w:val="nil" w:sz="6" w:space="0" w:color="auto"/>
            </w:tcBorders>
          </w:tcPr>
          <w:p>
            <w:pPr/>
          </w:p>
        </w:tc>
        <w:tc>
          <w:tcPr>
            <w:tcW w:w="2252"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17"/>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21" w:type="dxa"/>
            <w:tcBorders>
              <w:top w:val="nil" w:sz="6" w:space="0" w:color="auto"/>
              <w:left w:val="nil" w:sz="6" w:space="0" w:color="auto"/>
              <w:bottom w:val="nil" w:sz="6" w:space="0" w:color="auto"/>
              <w:right w:val="nil" w:sz="6" w:space="0" w:color="auto"/>
            </w:tcBorders>
          </w:tcPr>
          <w:p>
            <w:pPr/>
          </w:p>
        </w:tc>
        <w:tc>
          <w:tcPr>
            <w:tcW w:w="2365"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56"/>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292" w:hRule="exact"/>
        </w:trPr>
        <w:tc>
          <w:tcPr>
            <w:tcW w:w="4161" w:type="dxa"/>
            <w:vMerge/>
            <w:tcBorders>
              <w:left w:val="nil" w:sz="6" w:space="0" w:color="auto"/>
              <w:bottom w:val="nil" w:sz="6" w:space="0" w:color="auto"/>
              <w:right w:val="nil" w:sz="6" w:space="0" w:color="auto"/>
            </w:tcBorders>
          </w:tcPr>
          <w:p>
            <w:pPr/>
          </w:p>
        </w:tc>
        <w:tc>
          <w:tcPr>
            <w:tcW w:w="2252" w:type="dxa"/>
            <w:tcBorders>
              <w:top w:val="single" w:sz="6" w:space="0" w:color="000000"/>
              <w:left w:val="nil" w:sz="6" w:space="0" w:color="auto"/>
              <w:bottom w:val="nil" w:sz="6" w:space="0" w:color="auto"/>
              <w:right w:val="nil" w:sz="6" w:space="0" w:color="auto"/>
            </w:tcBorders>
          </w:tcPr>
          <w:p>
            <w:pPr/>
          </w:p>
        </w:tc>
        <w:tc>
          <w:tcPr>
            <w:tcW w:w="221" w:type="dxa"/>
            <w:tcBorders>
              <w:top w:val="nil" w:sz="6" w:space="0" w:color="auto"/>
              <w:left w:val="nil" w:sz="6" w:space="0" w:color="auto"/>
              <w:bottom w:val="nil" w:sz="6" w:space="0" w:color="auto"/>
              <w:right w:val="nil" w:sz="6" w:space="0" w:color="auto"/>
            </w:tcBorders>
          </w:tcPr>
          <w:p>
            <w:pPr/>
          </w:p>
        </w:tc>
        <w:tc>
          <w:tcPr>
            <w:tcW w:w="2365" w:type="dxa"/>
            <w:tcBorders>
              <w:top w:val="single" w:sz="6" w:space="0" w:color="000000"/>
              <w:left w:val="nil" w:sz="6" w:space="0" w:color="auto"/>
              <w:bottom w:val="nil" w:sz="6" w:space="0" w:color="auto"/>
              <w:right w:val="nil" w:sz="6" w:space="0" w:color="auto"/>
            </w:tcBorders>
          </w:tcPr>
          <w:p>
            <w:pPr>
              <w:pStyle w:val="TableParagraph"/>
              <w:spacing w:line="252" w:lineRule="exact"/>
              <w:ind w:right="33"/>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4161" w:type="dxa"/>
            <w:tcBorders>
              <w:top w:val="nil" w:sz="6" w:space="0" w:color="auto"/>
              <w:left w:val="nil" w:sz="6" w:space="0" w:color="auto"/>
              <w:bottom w:val="nil" w:sz="6" w:space="0" w:color="auto"/>
              <w:right w:val="nil" w:sz="6" w:space="0" w:color="auto"/>
            </w:tcBorders>
          </w:tcPr>
          <w:p>
            <w:pPr>
              <w:pStyle w:val="TableParagraph"/>
              <w:spacing w:line="252" w:lineRule="exact"/>
              <w:ind w:left="35" w:right="0"/>
              <w:jc w:val="left"/>
              <w:rPr>
                <w:rFonts w:ascii="宋体" w:hAnsi="宋体" w:cs="宋体" w:eastAsia="宋体" w:hint="default"/>
                <w:sz w:val="22"/>
                <w:szCs w:val="22"/>
              </w:rPr>
            </w:pPr>
            <w:r>
              <w:rPr>
                <w:rFonts w:ascii="宋体" w:hAnsi="宋体" w:cs="宋体" w:eastAsia="宋体" w:hint="default"/>
                <w:sz w:val="22"/>
                <w:szCs w:val="22"/>
              </w:rPr>
              <w:t>预收用户预存通信服务费</w:t>
            </w:r>
          </w:p>
        </w:tc>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73"/>
              <w:jc w:val="right"/>
              <w:rPr>
                <w:rFonts w:ascii="Arial" w:hAnsi="Arial" w:cs="Arial" w:eastAsia="Arial" w:hint="default"/>
                <w:sz w:val="22"/>
                <w:szCs w:val="22"/>
              </w:rPr>
            </w:pPr>
            <w:r>
              <w:rPr>
                <w:rFonts w:ascii="Arial"/>
                <w:spacing w:val="-1"/>
                <w:sz w:val="22"/>
              </w:rPr>
              <w:t>19,119,063,541</w:t>
            </w:r>
          </w:p>
        </w:tc>
        <w:tc>
          <w:tcPr>
            <w:tcW w:w="221" w:type="dxa"/>
            <w:tcBorders>
              <w:top w:val="nil" w:sz="6" w:space="0" w:color="auto"/>
              <w:left w:val="nil" w:sz="6" w:space="0" w:color="auto"/>
              <w:bottom w:val="nil" w:sz="6" w:space="0" w:color="auto"/>
              <w:right w:val="nil" w:sz="6" w:space="0" w:color="auto"/>
            </w:tcBorders>
          </w:tcPr>
          <w:p>
            <w:pPr/>
          </w:p>
        </w:tc>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68"/>
              <w:jc w:val="right"/>
              <w:rPr>
                <w:rFonts w:ascii="Arial" w:hAnsi="Arial" w:cs="Arial" w:eastAsia="Arial" w:hint="default"/>
                <w:sz w:val="22"/>
                <w:szCs w:val="22"/>
              </w:rPr>
            </w:pPr>
            <w:r>
              <w:rPr>
                <w:rFonts w:ascii="Arial"/>
                <w:spacing w:val="-1"/>
                <w:sz w:val="22"/>
              </w:rPr>
              <w:t>14,406,658,686</w:t>
            </w:r>
          </w:p>
        </w:tc>
      </w:tr>
      <w:tr>
        <w:trPr>
          <w:trHeight w:val="285" w:hRule="exact"/>
        </w:trPr>
        <w:tc>
          <w:tcPr>
            <w:tcW w:w="4161"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预收工程款</w:t>
            </w:r>
          </w:p>
        </w:tc>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72"/>
              <w:jc w:val="right"/>
              <w:rPr>
                <w:rFonts w:ascii="Arial" w:hAnsi="Arial" w:cs="Arial" w:eastAsia="Arial" w:hint="default"/>
                <w:sz w:val="22"/>
                <w:szCs w:val="22"/>
              </w:rPr>
            </w:pPr>
            <w:r>
              <w:rPr>
                <w:rFonts w:ascii="Arial"/>
                <w:w w:val="95"/>
                <w:sz w:val="22"/>
              </w:rPr>
              <w:t>142,831,914</w:t>
            </w:r>
            <w:r>
              <w:rPr>
                <w:rFonts w:ascii="Arial"/>
                <w:sz w:val="22"/>
              </w:rPr>
            </w:r>
          </w:p>
        </w:tc>
        <w:tc>
          <w:tcPr>
            <w:tcW w:w="221" w:type="dxa"/>
            <w:tcBorders>
              <w:top w:val="nil" w:sz="6" w:space="0" w:color="auto"/>
              <w:left w:val="nil" w:sz="6" w:space="0" w:color="auto"/>
              <w:bottom w:val="nil" w:sz="6" w:space="0" w:color="auto"/>
              <w:right w:val="nil" w:sz="6" w:space="0" w:color="auto"/>
            </w:tcBorders>
          </w:tcPr>
          <w:p>
            <w:pPr/>
          </w:p>
        </w:tc>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67"/>
              <w:jc w:val="right"/>
              <w:rPr>
                <w:rFonts w:ascii="Arial" w:hAnsi="Arial" w:cs="Arial" w:eastAsia="Arial" w:hint="default"/>
                <w:sz w:val="22"/>
                <w:szCs w:val="22"/>
              </w:rPr>
            </w:pPr>
            <w:r>
              <w:rPr>
                <w:rFonts w:ascii="Arial"/>
                <w:w w:val="95"/>
                <w:sz w:val="22"/>
              </w:rPr>
              <w:t>116,714,765</w:t>
            </w:r>
            <w:r>
              <w:rPr>
                <w:rFonts w:ascii="Arial"/>
                <w:sz w:val="22"/>
              </w:rPr>
            </w:r>
          </w:p>
        </w:tc>
      </w:tr>
      <w:tr>
        <w:trPr>
          <w:trHeight w:val="285" w:hRule="exact"/>
        </w:trPr>
        <w:tc>
          <w:tcPr>
            <w:tcW w:w="4161"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sz w:val="22"/>
                <w:szCs w:val="22"/>
              </w:rPr>
              <w:t>递延收益流动部分（附注五</w:t>
            </w:r>
            <w:r>
              <w:rPr>
                <w:rFonts w:ascii="Arial" w:hAnsi="Arial" w:cs="Arial" w:eastAsia="Arial" w:hint="default"/>
                <w:sz w:val="22"/>
                <w:szCs w:val="22"/>
              </w:rPr>
              <w:t>(29)</w:t>
            </w:r>
            <w:r>
              <w:rPr>
                <w:rFonts w:ascii="宋体" w:hAnsi="宋体" w:cs="宋体" w:eastAsia="宋体" w:hint="default"/>
                <w:sz w:val="22"/>
                <w:szCs w:val="22"/>
              </w:rPr>
              <w:t>）</w:t>
            </w:r>
          </w:p>
        </w:tc>
        <w:tc>
          <w:tcPr>
            <w:tcW w:w="225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73"/>
              <w:jc w:val="right"/>
              <w:rPr>
                <w:rFonts w:ascii="Arial" w:hAnsi="Arial" w:cs="Arial" w:eastAsia="Arial" w:hint="default"/>
                <w:sz w:val="22"/>
                <w:szCs w:val="22"/>
              </w:rPr>
            </w:pPr>
            <w:r>
              <w:rPr>
                <w:rFonts w:ascii="Arial"/>
                <w:spacing w:val="-1"/>
                <w:sz w:val="22"/>
              </w:rPr>
              <w:t>1,396,635,317</w:t>
            </w:r>
          </w:p>
        </w:tc>
        <w:tc>
          <w:tcPr>
            <w:tcW w:w="221" w:type="dxa"/>
            <w:tcBorders>
              <w:top w:val="nil" w:sz="6" w:space="0" w:color="auto"/>
              <w:left w:val="nil" w:sz="6" w:space="0" w:color="auto"/>
              <w:bottom w:val="nil" w:sz="6" w:space="0" w:color="auto"/>
              <w:right w:val="nil" w:sz="6" w:space="0" w:color="auto"/>
            </w:tcBorders>
          </w:tcPr>
          <w:p>
            <w:pPr/>
          </w:p>
        </w:tc>
        <w:tc>
          <w:tcPr>
            <w:tcW w:w="236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68"/>
              <w:jc w:val="right"/>
              <w:rPr>
                <w:rFonts w:ascii="Arial" w:hAnsi="Arial" w:cs="Arial" w:eastAsia="Arial" w:hint="default"/>
                <w:sz w:val="22"/>
                <w:szCs w:val="22"/>
              </w:rPr>
            </w:pPr>
            <w:r>
              <w:rPr>
                <w:rFonts w:ascii="Arial"/>
                <w:spacing w:val="-1"/>
                <w:sz w:val="22"/>
              </w:rPr>
              <w:t>2,135,837,620</w:t>
            </w:r>
          </w:p>
        </w:tc>
      </w:tr>
      <w:tr>
        <w:trPr>
          <w:trHeight w:val="366" w:hRule="exact"/>
        </w:trPr>
        <w:tc>
          <w:tcPr>
            <w:tcW w:w="4161"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52" w:type="dxa"/>
            <w:tcBorders>
              <w:top w:val="nil" w:sz="6" w:space="0" w:color="auto"/>
              <w:left w:val="nil" w:sz="6" w:space="0" w:color="auto"/>
              <w:bottom w:val="nil" w:sz="6" w:space="0" w:color="auto"/>
              <w:right w:val="nil" w:sz="6" w:space="0" w:color="auto"/>
            </w:tcBorders>
          </w:tcPr>
          <w:p>
            <w:pPr>
              <w:pStyle w:val="TableParagraph"/>
              <w:tabs>
                <w:tab w:pos="953" w:val="left" w:leader="none"/>
                <w:tab w:pos="2252" w:val="left" w:leader="none"/>
              </w:tabs>
              <w:spacing w:line="240" w:lineRule="auto" w:before="17"/>
              <w:ind w:right="0"/>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477,297,398</w:t>
            </w:r>
            <w:r>
              <w:rPr>
                <w:rFonts w:ascii="Arial"/>
                <w:sz w:val="22"/>
                <w:u w:val="single" w:color="000000"/>
              </w:rPr>
              <w:tab/>
            </w:r>
            <w:r>
              <w:rPr>
                <w:rFonts w:ascii="Arial"/>
                <w:sz w:val="22"/>
              </w:rPr>
            </w:r>
          </w:p>
        </w:tc>
        <w:tc>
          <w:tcPr>
            <w:tcW w:w="221" w:type="dxa"/>
            <w:tcBorders>
              <w:top w:val="nil" w:sz="6" w:space="0" w:color="auto"/>
              <w:left w:val="nil" w:sz="6" w:space="0" w:color="auto"/>
              <w:bottom w:val="nil" w:sz="6" w:space="0" w:color="auto"/>
              <w:right w:val="nil" w:sz="6" w:space="0" w:color="auto"/>
            </w:tcBorders>
          </w:tcPr>
          <w:p>
            <w:pPr/>
          </w:p>
        </w:tc>
        <w:tc>
          <w:tcPr>
            <w:tcW w:w="2365" w:type="dxa"/>
            <w:tcBorders>
              <w:top w:val="nil" w:sz="6" w:space="0" w:color="auto"/>
              <w:left w:val="nil" w:sz="6" w:space="0" w:color="auto"/>
              <w:bottom w:val="nil" w:sz="6" w:space="0" w:color="auto"/>
              <w:right w:val="nil" w:sz="6" w:space="0" w:color="auto"/>
            </w:tcBorders>
          </w:tcPr>
          <w:p>
            <w:pPr>
              <w:pStyle w:val="TableParagraph"/>
              <w:tabs>
                <w:tab w:pos="971" w:val="left" w:leader="none"/>
                <w:tab w:pos="2299" w:val="left" w:leader="none"/>
              </w:tabs>
              <w:spacing w:line="240" w:lineRule="auto" w:before="17"/>
              <w:ind w:right="63"/>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440,676,975</w:t>
            </w:r>
            <w:r>
              <w:rPr>
                <w:rFonts w:ascii="Arial"/>
                <w:sz w:val="22"/>
                <w:u w:val="single" w:color="000000"/>
              </w:rPr>
              <w:tab/>
            </w:r>
            <w:r>
              <w:rPr>
                <w:rFonts w:ascii="Arial"/>
                <w:sz w:val="22"/>
              </w:rPr>
            </w:r>
          </w:p>
        </w:tc>
      </w:tr>
    </w:tbl>
    <w:p>
      <w:pPr>
        <w:spacing w:line="240" w:lineRule="auto" w:before="3"/>
        <w:rPr>
          <w:rFonts w:ascii="黑体" w:hAnsi="黑体" w:cs="黑体" w:eastAsia="黑体" w:hint="default"/>
          <w:sz w:val="8"/>
          <w:szCs w:val="8"/>
        </w:rPr>
      </w:pPr>
    </w:p>
    <w:p>
      <w:pPr>
        <w:pStyle w:val="BodyText"/>
        <w:tabs>
          <w:tab w:pos="5375" w:val="left" w:leader="none"/>
          <w:tab w:pos="7866" w:val="left" w:leader="none"/>
        </w:tabs>
        <w:spacing w:line="240" w:lineRule="auto" w:before="27"/>
        <w:ind w:left="601" w:right="90"/>
        <w:jc w:val="left"/>
        <w:rPr>
          <w:rFonts w:ascii="Arial" w:hAnsi="Arial" w:cs="Arial" w:eastAsia="Arial" w:hint="default"/>
        </w:rPr>
      </w:pPr>
      <w:r>
        <w:rPr>
          <w:w w:val="95"/>
          <w:position w:val="2"/>
        </w:rPr>
        <w:t>合计</w:t>
        <w:tab/>
      </w:r>
      <w:r>
        <w:rPr>
          <w:rFonts w:ascii="Arial" w:hAnsi="Arial" w:cs="Arial" w:eastAsia="Arial" w:hint="default"/>
          <w:spacing w:val="-1"/>
        </w:rPr>
        <w:t>21,135,828,170</w:t>
        <w:tab/>
        <w:t>17,099,888,046</w:t>
      </w:r>
    </w:p>
    <w:p>
      <w:pPr>
        <w:spacing w:line="43" w:lineRule="exact"/>
        <w:ind w:left="4713" w:right="0" w:firstLine="0"/>
        <w:rPr>
          <w:rFonts w:ascii="Arial" w:hAnsi="Arial" w:cs="Arial" w:eastAsia="Arial" w:hint="default"/>
          <w:sz w:val="4"/>
          <w:szCs w:val="4"/>
        </w:rPr>
      </w:pPr>
      <w:r>
        <w:rPr>
          <w:rFonts w:ascii="Arial"/>
          <w:position w:val="0"/>
          <w:sz w:val="4"/>
        </w:rPr>
        <w:pict>
          <v:group style="width:114.1pt;height:2.2pt;mso-position-horizontal-relative:char;mso-position-vertical-relative:line" coordorigin="0,0" coordsize="2282,44">
            <v:group style="position:absolute;left:7;top:36;width:2267;height:2" coordorigin="7,36" coordsize="2267,2">
              <v:shape style="position:absolute;left:7;top:36;width:2267;height:2" coordorigin="7,36" coordsize="2267,0" path="m7,36l2274,36e" filled="false" stroked="true" strokeweight=".72pt" strokecolor="#000000">
                <v:path arrowok="t"/>
              </v:shape>
            </v:group>
            <v:group style="position:absolute;left:7;top:7;width:2267;height:2" coordorigin="7,7" coordsize="2267,2">
              <v:shape style="position:absolute;left:7;top:7;width:2267;height:2" coordorigin="7,7" coordsize="2267,0" path="m7,7l2274,7e" filled="false" stroked="true" strokeweight=".72pt" strokecolor="#000000">
                <v:path arrowok="t"/>
              </v:shape>
            </v:group>
          </v:group>
        </w:pict>
      </w:r>
      <w:r>
        <w:rPr>
          <w:rFonts w:ascii="Arial"/>
          <w:position w:val="0"/>
          <w:sz w:val="4"/>
        </w:rPr>
      </w:r>
      <w:r>
        <w:rPr>
          <w:rFonts w:ascii="Times New Roman"/>
          <w:spacing w:val="176"/>
          <w:position w:val="0"/>
          <w:sz w:val="4"/>
        </w:rPr>
        <w:t> </w:t>
      </w:r>
      <w:r>
        <w:rPr>
          <w:rFonts w:ascii="Arial"/>
          <w:spacing w:val="176"/>
          <w:position w:val="0"/>
          <w:sz w:val="4"/>
        </w:rPr>
        <w:pict>
          <v:group style="width:116.4pt;height:2.2pt;mso-position-horizontal-relative:char;mso-position-vertical-relative:line" coordorigin="0,0" coordsize="2328,44">
            <v:group style="position:absolute;left:7;top:36;width:2314;height:2" coordorigin="7,36" coordsize="2314,2">
              <v:shape style="position:absolute;left:7;top:36;width:2314;height:2" coordorigin="7,36" coordsize="2314,0" path="m7,36l2321,36e" filled="false" stroked="true" strokeweight=".72pt" strokecolor="#000000">
                <v:path arrowok="t"/>
              </v:shape>
            </v:group>
            <v:group style="position:absolute;left:7;top:7;width:2314;height:2" coordorigin="7,7" coordsize="2314,2">
              <v:shape style="position:absolute;left:7;top:7;width:2314;height:2" coordorigin="7,7" coordsize="2314,0" path="m7,7l2321,7e" filled="false" stroked="true" strokeweight=".72pt" strokecolor="#000000">
                <v:path arrowok="t"/>
              </v:shape>
            </v:group>
          </v:group>
        </w:pict>
      </w:r>
      <w:r>
        <w:rPr>
          <w:rFonts w:ascii="Arial"/>
          <w:spacing w:val="176"/>
          <w:position w:val="0"/>
          <w:sz w:val="4"/>
        </w:rPr>
      </w:r>
    </w:p>
    <w:p>
      <w:pPr>
        <w:spacing w:line="240" w:lineRule="auto" w:before="5"/>
        <w:rPr>
          <w:rFonts w:ascii="Arial" w:hAnsi="Arial" w:cs="Arial" w:eastAsia="Arial" w:hint="default"/>
          <w:sz w:val="16"/>
          <w:szCs w:val="16"/>
        </w:rPr>
      </w:pPr>
    </w:p>
    <w:p>
      <w:pPr>
        <w:pStyle w:val="BodyText"/>
        <w:spacing w:line="286" w:lineRule="exact" w:before="60"/>
        <w:ind w:left="562" w:right="90" w:hanging="420"/>
        <w:jc w:val="left"/>
      </w:pPr>
      <w:r>
        <w:rPr>
          <w:rFonts w:ascii="Arial" w:hAnsi="Arial" w:cs="Arial" w:eastAsia="Arial" w:hint="default"/>
        </w:rPr>
        <w:t>(a)</w:t>
      </w:r>
      <w:r>
        <w:rPr>
          <w:rFonts w:ascii="Arial" w:hAnsi="Arial" w:cs="Arial" w:eastAsia="Arial" w:hint="default"/>
          <w:spacing w:val="13"/>
        </w:rPr>
        <w:t> </w:t>
      </w:r>
      <w:r>
        <w:rPr/>
        <w:t>于</w:t>
      </w:r>
      <w:r>
        <w:rPr>
          <w:spacing w:val="-61"/>
        </w:rPr>
        <w:t> </w:t>
      </w:r>
      <w:r>
        <w:rPr>
          <w:rFonts w:ascii="Arial" w:hAnsi="Arial" w:cs="Arial" w:eastAsia="Arial" w:hint="default"/>
        </w:rPr>
        <w:t>2009</w:t>
      </w:r>
      <w:r>
        <w:rPr>
          <w:rFonts w:ascii="Arial" w:hAnsi="Arial" w:cs="Arial" w:eastAsia="Arial" w:hint="default"/>
          <w:spacing w:val="-12"/>
        </w:rPr>
        <w:t> </w:t>
      </w:r>
      <w:r>
        <w:rPr/>
        <w:t>年</w:t>
      </w:r>
      <w:r>
        <w:rPr>
          <w:spacing w:val="-61"/>
        </w:rPr>
        <w:t> </w:t>
      </w:r>
      <w:r>
        <w:rPr>
          <w:rFonts w:ascii="Arial" w:hAnsi="Arial" w:cs="Arial" w:eastAsia="Arial" w:hint="default"/>
        </w:rPr>
        <w:t>12</w:t>
      </w:r>
      <w:r>
        <w:rPr>
          <w:rFonts w:ascii="Arial" w:hAnsi="Arial" w:cs="Arial" w:eastAsia="Arial" w:hint="default"/>
          <w:spacing w:val="-12"/>
        </w:rPr>
        <w:t> </w:t>
      </w:r>
      <w:r>
        <w:rPr/>
        <w:t>月</w:t>
      </w:r>
      <w:r>
        <w:rPr>
          <w:spacing w:val="-61"/>
        </w:rPr>
        <w:t> </w:t>
      </w:r>
      <w:r>
        <w:rPr>
          <w:rFonts w:ascii="Arial" w:hAnsi="Arial" w:cs="Arial" w:eastAsia="Arial" w:hint="default"/>
        </w:rPr>
        <w:t>31</w:t>
      </w:r>
      <w:r>
        <w:rPr>
          <w:rFonts w:ascii="Arial" w:hAnsi="Arial" w:cs="Arial" w:eastAsia="Arial" w:hint="default"/>
          <w:spacing w:val="-12"/>
        </w:rPr>
        <w:t> </w:t>
      </w:r>
      <w:r>
        <w:rPr/>
        <w:t>日，预收款项中无预收持有本公司</w:t>
      </w:r>
      <w:r>
        <w:rPr>
          <w:spacing w:val="-61"/>
        </w:rPr>
        <w:t> </w:t>
      </w:r>
      <w:r>
        <w:rPr>
          <w:rFonts w:ascii="Arial" w:hAnsi="Arial" w:cs="Arial" w:eastAsia="Arial" w:hint="default"/>
          <w:spacing w:val="-7"/>
        </w:rPr>
        <w:t>5%</w:t>
      </w:r>
      <w:r>
        <w:rPr>
          <w:spacing w:val="-7"/>
        </w:rPr>
        <w:t>（含</w:t>
      </w:r>
      <w:r>
        <w:rPr>
          <w:spacing w:val="-61"/>
        </w:rPr>
        <w:t> </w:t>
      </w:r>
      <w:r>
        <w:rPr>
          <w:rFonts w:ascii="Arial" w:hAnsi="Arial" w:cs="Arial" w:eastAsia="Arial" w:hint="default"/>
        </w:rPr>
        <w:t>5%</w:t>
      </w:r>
      <w:r>
        <w:rPr/>
        <w:t>）以上表决权股份股东的款</w:t>
      </w:r>
      <w:r>
        <w:rPr>
          <w:w w:val="99"/>
        </w:rPr>
        <w:t> </w:t>
      </w:r>
      <w:r>
        <w:rPr/>
        <w:t>项。</w:t>
      </w:r>
    </w:p>
    <w:p>
      <w:pPr>
        <w:spacing w:line="240" w:lineRule="auto" w:before="1"/>
        <w:rPr>
          <w:rFonts w:ascii="宋体" w:hAnsi="宋体" w:cs="宋体" w:eastAsia="宋体" w:hint="default"/>
          <w:sz w:val="17"/>
          <w:szCs w:val="17"/>
        </w:rPr>
      </w:pPr>
    </w:p>
    <w:p>
      <w:pPr>
        <w:pStyle w:val="BodyText"/>
        <w:spacing w:line="240" w:lineRule="auto"/>
        <w:ind w:left="142" w:right="90"/>
        <w:jc w:val="left"/>
      </w:pPr>
      <w:r>
        <w:rPr>
          <w:rFonts w:ascii="Arial" w:hAnsi="Arial" w:cs="Arial" w:eastAsia="Arial" w:hint="default"/>
        </w:rPr>
        <w:t>(b) </w:t>
      </w:r>
      <w:r>
        <w:rPr>
          <w:rFonts w:ascii="Arial" w:hAnsi="Arial" w:cs="Arial" w:eastAsia="Arial" w:hint="default"/>
          <w:spacing w:val="27"/>
        </w:rPr>
        <w:t> </w:t>
      </w: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日，预收款项中无预收关联方的款项。</w:t>
      </w:r>
    </w:p>
    <w:p>
      <w:pPr>
        <w:spacing w:line="240" w:lineRule="auto" w:before="13"/>
        <w:rPr>
          <w:rFonts w:ascii="宋体" w:hAnsi="宋体" w:cs="宋体" w:eastAsia="宋体" w:hint="default"/>
          <w:sz w:val="17"/>
          <w:szCs w:val="17"/>
        </w:rPr>
      </w:pPr>
    </w:p>
    <w:p>
      <w:pPr>
        <w:pStyle w:val="BodyText"/>
        <w:spacing w:line="295" w:lineRule="exact"/>
        <w:ind w:left="142" w:right="90"/>
        <w:jc w:val="left"/>
      </w:pPr>
      <w:r>
        <w:rPr>
          <w:rFonts w:ascii="Arial" w:hAnsi="Arial" w:cs="Arial" w:eastAsia="Arial" w:hint="default"/>
        </w:rPr>
        <w:t>(c) </w:t>
      </w:r>
      <w:r>
        <w:rPr>
          <w:rFonts w:ascii="Arial" w:hAnsi="Arial" w:cs="Arial" w:eastAsia="Arial" w:hint="default"/>
          <w:spacing w:val="38"/>
        </w:rPr>
        <w:t> </w:t>
      </w: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日，账龄超过</w:t>
      </w:r>
      <w:r>
        <w:rPr>
          <w:spacing w:val="-56"/>
        </w:rPr>
        <w:t> </w:t>
      </w:r>
      <w:r>
        <w:rPr>
          <w:rFonts w:ascii="Arial" w:hAnsi="Arial" w:cs="Arial" w:eastAsia="Arial" w:hint="default"/>
        </w:rPr>
        <w:t>1</w:t>
      </w:r>
      <w:r>
        <w:rPr>
          <w:rFonts w:ascii="Arial" w:hAnsi="Arial" w:cs="Arial" w:eastAsia="Arial" w:hint="default"/>
          <w:spacing w:val="-6"/>
        </w:rPr>
        <w:t> </w:t>
      </w:r>
      <w:r>
        <w:rPr/>
        <w:t>年的预收款项约人民币</w:t>
      </w:r>
      <w:r>
        <w:rPr>
          <w:spacing w:val="-55"/>
        </w:rPr>
        <w:t> </w:t>
      </w:r>
      <w:r>
        <w:rPr>
          <w:rFonts w:ascii="Arial" w:hAnsi="Arial" w:cs="Arial" w:eastAsia="Arial" w:hint="default"/>
        </w:rPr>
        <w:t>3.27</w:t>
      </w:r>
      <w:r>
        <w:rPr>
          <w:rFonts w:ascii="Arial" w:hAnsi="Arial" w:cs="Arial" w:eastAsia="Arial" w:hint="default"/>
          <w:spacing w:val="-7"/>
        </w:rPr>
        <w:t> </w:t>
      </w:r>
      <w:r>
        <w:rPr/>
        <w:t>亿元（</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p>
      <w:pPr>
        <w:pStyle w:val="BodyText"/>
        <w:spacing w:line="285" w:lineRule="exact"/>
        <w:ind w:left="561" w:right="90"/>
        <w:jc w:val="left"/>
      </w:pPr>
      <w:r>
        <w:rPr/>
        <w:t>约人民币 </w:t>
      </w:r>
      <w:r>
        <w:rPr>
          <w:rFonts w:ascii="Arial" w:hAnsi="Arial" w:cs="Arial" w:eastAsia="Arial" w:hint="default"/>
        </w:rPr>
        <w:t>3.05 </w:t>
      </w:r>
      <w:r>
        <w:rPr/>
        <w:t>亿元），这些预收款主要为部分用户交纳的在 </w:t>
      </w:r>
      <w:r>
        <w:rPr>
          <w:rFonts w:ascii="Arial" w:hAnsi="Arial" w:cs="Arial" w:eastAsia="Arial" w:hint="default"/>
        </w:rPr>
        <w:t>1</w:t>
      </w:r>
      <w:r>
        <w:rPr>
          <w:rFonts w:ascii="Arial" w:hAnsi="Arial" w:cs="Arial" w:eastAsia="Arial" w:hint="default"/>
          <w:spacing w:val="-22"/>
        </w:rPr>
        <w:t> </w:t>
      </w:r>
      <w:r>
        <w:rPr/>
        <w:t>年内未消费完毕的预存通信服</w:t>
      </w:r>
    </w:p>
    <w:p>
      <w:pPr>
        <w:pStyle w:val="BodyText"/>
        <w:spacing w:line="294" w:lineRule="exact"/>
        <w:ind w:left="561" w:right="0"/>
        <w:jc w:val="left"/>
      </w:pPr>
      <w:r>
        <w:rPr/>
        <w:t>务费，属于正常情况结余的预收款项。于</w:t>
      </w:r>
      <w:r>
        <w:rPr>
          <w:spacing w:val="-84"/>
        </w:rPr>
        <w:t> </w:t>
      </w:r>
      <w:r>
        <w:rPr>
          <w:rFonts w:ascii="Arial" w:hAnsi="Arial" w:cs="Arial" w:eastAsia="Arial" w:hint="default"/>
        </w:rPr>
        <w:t>2010</w:t>
      </w:r>
      <w:r>
        <w:rPr>
          <w:rFonts w:ascii="Arial" w:hAnsi="Arial" w:cs="Arial" w:eastAsia="Arial" w:hint="default"/>
          <w:spacing w:val="-35"/>
        </w:rPr>
        <w:t> </w:t>
      </w:r>
      <w:r>
        <w:rPr/>
        <w:t>年，此部分预收款项将随着服务的提供而结转。</w:t>
      </w:r>
    </w:p>
    <w:p>
      <w:pPr>
        <w:spacing w:line="240" w:lineRule="auto" w:before="13"/>
        <w:rPr>
          <w:rFonts w:ascii="宋体" w:hAnsi="宋体" w:cs="宋体" w:eastAsia="宋体" w:hint="default"/>
          <w:sz w:val="17"/>
          <w:szCs w:val="17"/>
        </w:rPr>
      </w:pPr>
    </w:p>
    <w:p>
      <w:pPr>
        <w:pStyle w:val="BodyText"/>
        <w:spacing w:line="240" w:lineRule="auto"/>
        <w:ind w:left="141" w:right="90"/>
        <w:jc w:val="left"/>
      </w:pPr>
      <w:r>
        <w:rPr>
          <w:rFonts w:ascii="Arial" w:hAnsi="Arial" w:cs="Arial" w:eastAsia="Arial" w:hint="default"/>
        </w:rPr>
        <w:t>(d) </w:t>
      </w:r>
      <w:r>
        <w:rPr>
          <w:rFonts w:ascii="Arial" w:hAnsi="Arial" w:cs="Arial" w:eastAsia="Arial" w:hint="default"/>
          <w:spacing w:val="14"/>
        </w:rPr>
        <w:t> </w:t>
      </w:r>
      <w:r>
        <w:rPr/>
        <w:t>于</w:t>
      </w:r>
      <w:r>
        <w:rPr>
          <w:spacing w:val="-55"/>
        </w:rPr>
        <w:t> </w:t>
      </w:r>
      <w:r>
        <w:rPr>
          <w:rFonts w:ascii="Arial" w:hAnsi="Arial" w:cs="Arial" w:eastAsia="Arial" w:hint="default"/>
        </w:rPr>
        <w:t>2009</w:t>
      </w:r>
      <w:r>
        <w:rPr>
          <w:rFonts w:ascii="Arial" w:hAnsi="Arial" w:cs="Arial" w:eastAsia="Arial" w:hint="default"/>
          <w:spacing w:val="-6"/>
        </w:rPr>
        <w:t> </w:t>
      </w:r>
      <w:r>
        <w:rPr/>
        <w:t>年</w:t>
      </w:r>
      <w:r>
        <w:rPr>
          <w:spacing w:val="-55"/>
        </w:rPr>
        <w:t> </w:t>
      </w:r>
      <w:r>
        <w:rPr>
          <w:rFonts w:ascii="Arial" w:hAnsi="Arial" w:cs="Arial" w:eastAsia="Arial" w:hint="default"/>
        </w:rPr>
        <w:t>12</w:t>
      </w:r>
      <w:r>
        <w:rPr>
          <w:rFonts w:ascii="Arial" w:hAnsi="Arial" w:cs="Arial" w:eastAsia="Arial" w:hint="default"/>
          <w:spacing w:val="-6"/>
        </w:rPr>
        <w:t> </w:t>
      </w:r>
      <w:r>
        <w:rPr/>
        <w:t>月</w:t>
      </w:r>
      <w:r>
        <w:rPr>
          <w:spacing w:val="-55"/>
        </w:rPr>
        <w:t> </w:t>
      </w:r>
      <w:r>
        <w:rPr>
          <w:rFonts w:ascii="Arial" w:hAnsi="Arial" w:cs="Arial" w:eastAsia="Arial" w:hint="default"/>
        </w:rPr>
        <w:t>31</w:t>
      </w:r>
      <w:r>
        <w:rPr>
          <w:rFonts w:ascii="Arial" w:hAnsi="Arial" w:cs="Arial" w:eastAsia="Arial" w:hint="default"/>
          <w:spacing w:val="-6"/>
        </w:rPr>
        <w:t> </w:t>
      </w:r>
      <w:r>
        <w:rPr/>
        <w:t>日及</w:t>
      </w:r>
      <w:r>
        <w:rPr>
          <w:spacing w:val="-55"/>
        </w:rPr>
        <w:t> </w:t>
      </w:r>
      <w:r>
        <w:rPr>
          <w:rFonts w:ascii="Arial" w:hAnsi="Arial" w:cs="Arial" w:eastAsia="Arial" w:hint="default"/>
        </w:rPr>
        <w:t>2008</w:t>
      </w:r>
      <w:r>
        <w:rPr>
          <w:rFonts w:ascii="Arial" w:hAnsi="Arial" w:cs="Arial" w:eastAsia="Arial" w:hint="default"/>
          <w:spacing w:val="-6"/>
        </w:rPr>
        <w:t> </w:t>
      </w:r>
      <w:r>
        <w:rPr/>
        <w:t>年</w:t>
      </w:r>
      <w:r>
        <w:rPr>
          <w:spacing w:val="-55"/>
        </w:rPr>
        <w:t> </w:t>
      </w:r>
      <w:r>
        <w:rPr>
          <w:rFonts w:ascii="Arial" w:hAnsi="Arial" w:cs="Arial" w:eastAsia="Arial" w:hint="default"/>
        </w:rPr>
        <w:t>12</w:t>
      </w:r>
      <w:r>
        <w:rPr>
          <w:rFonts w:ascii="Arial" w:hAnsi="Arial" w:cs="Arial" w:eastAsia="Arial" w:hint="default"/>
          <w:spacing w:val="-6"/>
        </w:rPr>
        <w:t> </w:t>
      </w:r>
      <w:r>
        <w:rPr/>
        <w:t>月</w:t>
      </w:r>
      <w:r>
        <w:rPr>
          <w:spacing w:val="-55"/>
        </w:rPr>
        <w:t> </w:t>
      </w:r>
      <w:r>
        <w:rPr>
          <w:rFonts w:ascii="Arial" w:hAnsi="Arial" w:cs="Arial" w:eastAsia="Arial" w:hint="default"/>
        </w:rPr>
        <w:t>31</w:t>
      </w:r>
      <w:r>
        <w:rPr>
          <w:rFonts w:ascii="Arial" w:hAnsi="Arial" w:cs="Arial" w:eastAsia="Arial" w:hint="default"/>
          <w:spacing w:val="-6"/>
        </w:rPr>
        <w:t> </w:t>
      </w:r>
      <w:r>
        <w:rPr>
          <w:spacing w:val="-4"/>
        </w:rPr>
        <w:t>日，本集团预收账款中以外币计价的余额并不重大。</w:t>
      </w:r>
    </w:p>
    <w:p>
      <w:pPr>
        <w:spacing w:after="0" w:line="240" w:lineRule="auto"/>
        <w:jc w:val="left"/>
        <w:sectPr>
          <w:headerReference w:type="default" r:id="rId97"/>
          <w:pgSz w:w="11910" w:h="16840"/>
          <w:pgMar w:header="1189" w:footer="752" w:top="3060" w:bottom="940" w:left="1240" w:right="860"/>
        </w:sectPr>
      </w:pPr>
    </w:p>
    <w:p>
      <w:pPr>
        <w:spacing w:line="240" w:lineRule="auto" w:before="12"/>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3100"/>
        <w:gridCol w:w="1573"/>
        <w:gridCol w:w="1600"/>
        <w:gridCol w:w="1635"/>
        <w:gridCol w:w="1598"/>
      </w:tblGrid>
      <w:tr>
        <w:trPr>
          <w:trHeight w:val="871"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黑体" w:hAnsi="黑体" w:cs="黑体" w:eastAsia="黑体" w:hint="default"/>
                <w:sz w:val="22"/>
                <w:szCs w:val="22"/>
              </w:rPr>
            </w:pPr>
            <w:r>
              <w:rPr>
                <w:rFonts w:ascii="Arial" w:hAnsi="Arial" w:cs="Arial" w:eastAsia="Arial" w:hint="default"/>
                <w:sz w:val="22"/>
                <w:szCs w:val="22"/>
              </w:rPr>
              <w:t>20</w:t>
            </w:r>
            <w:r>
              <w:rPr>
                <w:rFonts w:ascii="宋体" w:hAnsi="宋体" w:cs="宋体" w:eastAsia="宋体" w:hint="default"/>
                <w:sz w:val="22"/>
                <w:szCs w:val="22"/>
              </w:rPr>
              <w:t>、</w:t>
            </w:r>
            <w:r>
              <w:rPr>
                <w:rFonts w:ascii="黑体" w:hAnsi="黑体" w:cs="黑体" w:eastAsia="黑体" w:hint="default"/>
                <w:sz w:val="22"/>
                <w:szCs w:val="22"/>
              </w:rPr>
              <w:t>应付职工薪酬</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46"/>
              <w:jc w:val="right"/>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1600" w:type="dxa"/>
            <w:tcBorders>
              <w:top w:val="nil" w:sz="6" w:space="0" w:color="auto"/>
              <w:left w:val="nil" w:sz="6" w:space="0" w:color="auto"/>
              <w:bottom w:val="nil" w:sz="6" w:space="0" w:color="auto"/>
              <w:right w:val="nil" w:sz="6" w:space="0" w:color="auto"/>
            </w:tcBorders>
          </w:tcPr>
          <w:p>
            <w:pPr/>
          </w:p>
        </w:tc>
        <w:tc>
          <w:tcPr>
            <w:tcW w:w="1635" w:type="dxa"/>
            <w:tcBorders>
              <w:top w:val="nil" w:sz="6" w:space="0" w:color="auto"/>
              <w:left w:val="nil" w:sz="6" w:space="0" w:color="auto"/>
              <w:bottom w:val="nil" w:sz="6" w:space="0" w:color="auto"/>
              <w:right w:val="nil" w:sz="6" w:space="0" w:color="auto"/>
            </w:tcBorders>
          </w:tcPr>
          <w:p>
            <w:pP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32"/>
              <w:jc w:val="righ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p>
        </w:tc>
      </w:tr>
      <w:tr>
        <w:trPr>
          <w:trHeight w:val="261" w:hRule="exact"/>
        </w:trPr>
        <w:tc>
          <w:tcPr>
            <w:tcW w:w="3100" w:type="dxa"/>
            <w:tcBorders>
              <w:top w:val="nil" w:sz="6" w:space="0" w:color="auto"/>
              <w:left w:val="nil" w:sz="6" w:space="0" w:color="auto"/>
              <w:bottom w:val="nil" w:sz="6" w:space="0" w:color="auto"/>
              <w:right w:val="nil" w:sz="6" w:space="0" w:color="auto"/>
            </w:tcBorders>
          </w:tcPr>
          <w:p>
            <w:pPr/>
          </w:p>
        </w:tc>
        <w:tc>
          <w:tcPr>
            <w:tcW w:w="1573" w:type="dxa"/>
            <w:tcBorders>
              <w:top w:val="nil" w:sz="6" w:space="0" w:color="auto"/>
              <w:left w:val="nil" w:sz="6" w:space="0" w:color="auto"/>
              <w:bottom w:val="single" w:sz="6" w:space="0" w:color="000000"/>
              <w:right w:val="nil" w:sz="6" w:space="0" w:color="auto"/>
            </w:tcBorders>
          </w:tcPr>
          <w:p>
            <w:pPr>
              <w:pStyle w:val="TableParagraph"/>
              <w:spacing w:line="239" w:lineRule="exact"/>
              <w:ind w:right="46"/>
              <w:jc w:val="righ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宋体" w:hAnsi="宋体" w:cs="宋体" w:eastAsia="宋体" w:hint="default"/>
                <w:sz w:val="20"/>
                <w:szCs w:val="20"/>
              </w:rPr>
              <w:t>日</w:t>
            </w:r>
          </w:p>
        </w:tc>
        <w:tc>
          <w:tcPr>
            <w:tcW w:w="1600" w:type="dxa"/>
            <w:tcBorders>
              <w:top w:val="nil" w:sz="6" w:space="0" w:color="auto"/>
              <w:left w:val="nil" w:sz="6" w:space="0" w:color="auto"/>
              <w:bottom w:val="single" w:sz="6" w:space="0" w:color="000000"/>
              <w:right w:val="nil" w:sz="6" w:space="0" w:color="auto"/>
            </w:tcBorders>
          </w:tcPr>
          <w:p>
            <w:pPr>
              <w:pStyle w:val="TableParagraph"/>
              <w:spacing w:line="225" w:lineRule="exact"/>
              <w:ind w:right="56"/>
              <w:jc w:val="right"/>
              <w:rPr>
                <w:rFonts w:ascii="宋体" w:hAnsi="宋体" w:cs="宋体" w:eastAsia="宋体" w:hint="default"/>
                <w:sz w:val="20"/>
                <w:szCs w:val="20"/>
              </w:rPr>
            </w:pPr>
            <w:r>
              <w:rPr>
                <w:rFonts w:ascii="宋体" w:hAnsi="宋体" w:cs="宋体" w:eastAsia="宋体" w:hint="default"/>
                <w:sz w:val="20"/>
                <w:szCs w:val="20"/>
              </w:rPr>
              <w:t>本年增加</w:t>
            </w:r>
          </w:p>
        </w:tc>
        <w:tc>
          <w:tcPr>
            <w:tcW w:w="1635" w:type="dxa"/>
            <w:tcBorders>
              <w:top w:val="nil" w:sz="6" w:space="0" w:color="auto"/>
              <w:left w:val="nil" w:sz="6" w:space="0" w:color="auto"/>
              <w:bottom w:val="single" w:sz="6" w:space="0" w:color="000000"/>
              <w:right w:val="nil" w:sz="6" w:space="0" w:color="auto"/>
            </w:tcBorders>
          </w:tcPr>
          <w:p>
            <w:pPr>
              <w:pStyle w:val="TableParagraph"/>
              <w:spacing w:line="225" w:lineRule="exact"/>
              <w:ind w:right="50"/>
              <w:jc w:val="right"/>
              <w:rPr>
                <w:rFonts w:ascii="宋体" w:hAnsi="宋体" w:cs="宋体" w:eastAsia="宋体" w:hint="default"/>
                <w:sz w:val="20"/>
                <w:szCs w:val="20"/>
              </w:rPr>
            </w:pPr>
            <w:r>
              <w:rPr>
                <w:rFonts w:ascii="宋体" w:hAnsi="宋体" w:cs="宋体" w:eastAsia="宋体" w:hint="default"/>
                <w:sz w:val="20"/>
                <w:szCs w:val="20"/>
              </w:rPr>
              <w:t>本年减少</w:t>
            </w:r>
          </w:p>
        </w:tc>
        <w:tc>
          <w:tcPr>
            <w:tcW w:w="1598" w:type="dxa"/>
            <w:tcBorders>
              <w:top w:val="nil" w:sz="6" w:space="0" w:color="auto"/>
              <w:left w:val="nil" w:sz="6" w:space="0" w:color="auto"/>
              <w:bottom w:val="single" w:sz="6" w:space="0" w:color="000000"/>
              <w:right w:val="nil" w:sz="6" w:space="0" w:color="auto"/>
            </w:tcBorders>
          </w:tcPr>
          <w:p>
            <w:pPr>
              <w:pStyle w:val="TableParagraph"/>
              <w:spacing w:line="239" w:lineRule="exact"/>
              <w:ind w:right="32"/>
              <w:jc w:val="righ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宋体" w:hAnsi="宋体" w:cs="宋体" w:eastAsia="宋体" w:hint="default"/>
                <w:sz w:val="20"/>
                <w:szCs w:val="20"/>
              </w:rPr>
              <w:t>日</w:t>
            </w:r>
          </w:p>
        </w:tc>
      </w:tr>
      <w:tr>
        <w:trPr>
          <w:trHeight w:val="268" w:hRule="exact"/>
        </w:trPr>
        <w:tc>
          <w:tcPr>
            <w:tcW w:w="3100" w:type="dxa"/>
            <w:tcBorders>
              <w:top w:val="nil" w:sz="6" w:space="0" w:color="auto"/>
              <w:left w:val="nil" w:sz="6" w:space="0" w:color="auto"/>
              <w:bottom w:val="nil" w:sz="6" w:space="0" w:color="auto"/>
              <w:right w:val="nil" w:sz="6" w:space="0" w:color="auto"/>
            </w:tcBorders>
          </w:tcPr>
          <w:p>
            <w:pPr/>
          </w:p>
        </w:tc>
        <w:tc>
          <w:tcPr>
            <w:tcW w:w="1573" w:type="dxa"/>
            <w:tcBorders>
              <w:top w:val="single" w:sz="6" w:space="0" w:color="000000"/>
              <w:left w:val="nil" w:sz="6" w:space="0" w:color="auto"/>
              <w:bottom w:val="nil" w:sz="6" w:space="0" w:color="auto"/>
              <w:right w:val="nil" w:sz="6" w:space="0" w:color="auto"/>
            </w:tcBorders>
          </w:tcPr>
          <w:p>
            <w:pPr>
              <w:pStyle w:val="TableParagraph"/>
              <w:spacing w:line="231" w:lineRule="exact"/>
              <w:ind w:right="46"/>
              <w:jc w:val="right"/>
              <w:rPr>
                <w:rFonts w:ascii="宋体" w:hAnsi="宋体" w:cs="宋体" w:eastAsia="宋体" w:hint="default"/>
                <w:sz w:val="20"/>
                <w:szCs w:val="20"/>
              </w:rPr>
            </w:pPr>
            <w:r>
              <w:rPr>
                <w:rFonts w:ascii="宋体" w:hAnsi="宋体" w:cs="宋体" w:eastAsia="宋体" w:hint="default"/>
                <w:spacing w:val="-1"/>
                <w:sz w:val="20"/>
                <w:szCs w:val="20"/>
              </w:rPr>
              <w:t>（经重列）</w:t>
            </w:r>
          </w:p>
        </w:tc>
        <w:tc>
          <w:tcPr>
            <w:tcW w:w="1600" w:type="dxa"/>
            <w:tcBorders>
              <w:top w:val="single" w:sz="6" w:space="0" w:color="000000"/>
              <w:left w:val="nil" w:sz="6" w:space="0" w:color="auto"/>
              <w:bottom w:val="nil" w:sz="6" w:space="0" w:color="auto"/>
              <w:right w:val="nil" w:sz="6" w:space="0" w:color="auto"/>
            </w:tcBorders>
          </w:tcPr>
          <w:p>
            <w:pPr/>
          </w:p>
        </w:tc>
        <w:tc>
          <w:tcPr>
            <w:tcW w:w="1635" w:type="dxa"/>
            <w:tcBorders>
              <w:top w:val="single" w:sz="6" w:space="0" w:color="000000"/>
              <w:left w:val="nil" w:sz="6" w:space="0" w:color="auto"/>
              <w:bottom w:val="nil" w:sz="6" w:space="0" w:color="auto"/>
              <w:right w:val="nil" w:sz="6" w:space="0" w:color="auto"/>
            </w:tcBorders>
          </w:tcPr>
          <w:p>
            <w:pPr/>
          </w:p>
        </w:tc>
        <w:tc>
          <w:tcPr>
            <w:tcW w:w="1598" w:type="dxa"/>
            <w:tcBorders>
              <w:top w:val="single" w:sz="6" w:space="0" w:color="000000"/>
              <w:left w:val="nil" w:sz="6" w:space="0" w:color="auto"/>
              <w:bottom w:val="nil" w:sz="6" w:space="0" w:color="auto"/>
              <w:right w:val="nil" w:sz="6" w:space="0" w:color="auto"/>
            </w:tcBorders>
          </w:tcPr>
          <w:p>
            <w:pPr/>
          </w:p>
        </w:tc>
      </w:tr>
      <w:tr>
        <w:trPr>
          <w:trHeight w:val="270"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30" w:lineRule="exact"/>
              <w:ind w:right="329"/>
              <w:jc w:val="right"/>
              <w:rPr>
                <w:rFonts w:ascii="宋体" w:hAnsi="宋体" w:cs="宋体" w:eastAsia="宋体" w:hint="default"/>
                <w:sz w:val="20"/>
                <w:szCs w:val="20"/>
              </w:rPr>
            </w:pPr>
            <w:r>
              <w:rPr>
                <w:rFonts w:ascii="宋体" w:hAnsi="宋体" w:cs="宋体" w:eastAsia="宋体" w:hint="default"/>
                <w:spacing w:val="-1"/>
                <w:sz w:val="20"/>
                <w:szCs w:val="20"/>
              </w:rPr>
              <w:t>工资、奖金、津贴和补贴</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5"/>
              <w:jc w:val="right"/>
              <w:rPr>
                <w:rFonts w:ascii="Arial" w:hAnsi="Arial" w:cs="Arial" w:eastAsia="Arial" w:hint="default"/>
                <w:sz w:val="20"/>
                <w:szCs w:val="20"/>
              </w:rPr>
            </w:pPr>
            <w:r>
              <w:rPr>
                <w:rFonts w:ascii="Arial"/>
                <w:spacing w:val="-1"/>
                <w:sz w:val="20"/>
              </w:rPr>
              <w:t>436,567,082</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6"/>
              <w:jc w:val="right"/>
              <w:rPr>
                <w:rFonts w:ascii="Arial" w:hAnsi="Arial" w:cs="Arial" w:eastAsia="Arial" w:hint="default"/>
                <w:sz w:val="20"/>
                <w:szCs w:val="20"/>
              </w:rPr>
            </w:pPr>
            <w:r>
              <w:rPr>
                <w:rFonts w:ascii="Arial"/>
                <w:spacing w:val="-1"/>
                <w:sz w:val="20"/>
              </w:rPr>
              <w:t>15,096,044,510</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7"/>
              <w:jc w:val="right"/>
              <w:rPr>
                <w:rFonts w:ascii="Arial" w:hAnsi="Arial" w:cs="Arial" w:eastAsia="Arial" w:hint="default"/>
                <w:sz w:val="20"/>
                <w:szCs w:val="20"/>
              </w:rPr>
            </w:pPr>
            <w:r>
              <w:rPr>
                <w:rFonts w:ascii="Arial"/>
                <w:spacing w:val="-1"/>
                <w:sz w:val="20"/>
              </w:rPr>
              <w:t>(15,035,724,407)</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6"/>
              <w:jc w:val="right"/>
              <w:rPr>
                <w:rFonts w:ascii="Arial" w:hAnsi="Arial" w:cs="Arial" w:eastAsia="Arial" w:hint="default"/>
                <w:sz w:val="20"/>
                <w:szCs w:val="20"/>
              </w:rPr>
            </w:pPr>
            <w:r>
              <w:rPr>
                <w:rFonts w:ascii="Arial"/>
                <w:spacing w:val="-1"/>
                <w:sz w:val="20"/>
              </w:rPr>
              <w:t>496,887,185</w:t>
            </w:r>
          </w:p>
        </w:tc>
      </w:tr>
      <w:tr>
        <w:trPr>
          <w:trHeight w:val="259"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19" w:lineRule="exact"/>
              <w:ind w:left="567" w:right="0"/>
              <w:jc w:val="left"/>
              <w:rPr>
                <w:rFonts w:ascii="宋体" w:hAnsi="宋体" w:cs="宋体" w:eastAsia="宋体" w:hint="default"/>
                <w:sz w:val="20"/>
                <w:szCs w:val="20"/>
              </w:rPr>
            </w:pPr>
            <w:r>
              <w:rPr>
                <w:rFonts w:ascii="宋体" w:hAnsi="宋体" w:cs="宋体" w:eastAsia="宋体" w:hint="default"/>
                <w:sz w:val="20"/>
                <w:szCs w:val="20"/>
              </w:rPr>
              <w:t>职工福利费</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right"/>
              <w:rPr>
                <w:rFonts w:ascii="Arial" w:hAnsi="Arial" w:cs="Arial" w:eastAsia="Arial" w:hint="default"/>
                <w:sz w:val="20"/>
                <w:szCs w:val="20"/>
              </w:rPr>
            </w:pPr>
            <w:r>
              <w:rPr>
                <w:rFonts w:ascii="Arial"/>
                <w:w w:val="100"/>
                <w:sz w:val="20"/>
              </w:rPr>
              <w:t>-</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right"/>
              <w:rPr>
                <w:rFonts w:ascii="Arial" w:hAnsi="Arial" w:cs="Arial" w:eastAsia="Arial" w:hint="default"/>
                <w:sz w:val="20"/>
                <w:szCs w:val="20"/>
              </w:rPr>
            </w:pPr>
            <w:r>
              <w:rPr>
                <w:rFonts w:ascii="Arial"/>
                <w:spacing w:val="-1"/>
                <w:sz w:val="20"/>
              </w:rPr>
              <w:t>1,035,428,677</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7"/>
              <w:jc w:val="right"/>
              <w:rPr>
                <w:rFonts w:ascii="Arial" w:hAnsi="Arial" w:cs="Arial" w:eastAsia="Arial" w:hint="default"/>
                <w:sz w:val="20"/>
                <w:szCs w:val="20"/>
              </w:rPr>
            </w:pPr>
            <w:r>
              <w:rPr>
                <w:rFonts w:ascii="Arial"/>
                <w:spacing w:val="-1"/>
                <w:sz w:val="20"/>
              </w:rPr>
              <w:t>(1,035,428,677)</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
              <w:jc w:val="right"/>
              <w:rPr>
                <w:rFonts w:ascii="Arial" w:hAnsi="Arial" w:cs="Arial" w:eastAsia="Arial" w:hint="default"/>
                <w:sz w:val="20"/>
                <w:szCs w:val="20"/>
              </w:rPr>
            </w:pPr>
            <w:r>
              <w:rPr>
                <w:rFonts w:ascii="Arial"/>
                <w:w w:val="100"/>
                <w:sz w:val="20"/>
              </w:rPr>
              <w:t>-</w:t>
            </w:r>
          </w:p>
        </w:tc>
      </w:tr>
      <w:tr>
        <w:trPr>
          <w:trHeight w:val="259"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19" w:lineRule="exact"/>
              <w:ind w:left="567" w:right="0"/>
              <w:jc w:val="left"/>
              <w:rPr>
                <w:rFonts w:ascii="宋体" w:hAnsi="宋体" w:cs="宋体" w:eastAsia="宋体" w:hint="default"/>
                <w:sz w:val="20"/>
                <w:szCs w:val="20"/>
              </w:rPr>
            </w:pPr>
            <w:r>
              <w:rPr>
                <w:rFonts w:ascii="宋体" w:hAnsi="宋体" w:cs="宋体" w:eastAsia="宋体" w:hint="default"/>
                <w:sz w:val="20"/>
                <w:szCs w:val="20"/>
              </w:rPr>
              <w:t>社会保险费</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5"/>
              <w:jc w:val="right"/>
              <w:rPr>
                <w:rFonts w:ascii="Arial" w:hAnsi="Arial" w:cs="Arial" w:eastAsia="Arial" w:hint="default"/>
                <w:sz w:val="20"/>
                <w:szCs w:val="20"/>
              </w:rPr>
            </w:pPr>
            <w:r>
              <w:rPr>
                <w:rFonts w:ascii="Arial"/>
                <w:spacing w:val="-1"/>
                <w:sz w:val="20"/>
              </w:rPr>
              <w:t>334,462,804</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right"/>
              <w:rPr>
                <w:rFonts w:ascii="Arial" w:hAnsi="Arial" w:cs="Arial" w:eastAsia="Arial" w:hint="default"/>
                <w:sz w:val="20"/>
                <w:szCs w:val="20"/>
              </w:rPr>
            </w:pPr>
            <w:r>
              <w:rPr>
                <w:rFonts w:ascii="Arial"/>
                <w:spacing w:val="-1"/>
                <w:sz w:val="20"/>
              </w:rPr>
              <w:t>3,706,306,440</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7"/>
              <w:jc w:val="right"/>
              <w:rPr>
                <w:rFonts w:ascii="Arial" w:hAnsi="Arial" w:cs="Arial" w:eastAsia="Arial" w:hint="default"/>
                <w:sz w:val="20"/>
                <w:szCs w:val="20"/>
              </w:rPr>
            </w:pPr>
            <w:r>
              <w:rPr>
                <w:rFonts w:ascii="Arial"/>
                <w:spacing w:val="-1"/>
                <w:sz w:val="20"/>
              </w:rPr>
              <w:t>(3,679,896,323)</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6"/>
              <w:jc w:val="right"/>
              <w:rPr>
                <w:rFonts w:ascii="Arial" w:hAnsi="Arial" w:cs="Arial" w:eastAsia="Arial" w:hint="default"/>
                <w:sz w:val="20"/>
                <w:szCs w:val="20"/>
              </w:rPr>
            </w:pPr>
            <w:r>
              <w:rPr>
                <w:rFonts w:ascii="Arial"/>
                <w:spacing w:val="-1"/>
                <w:sz w:val="20"/>
              </w:rPr>
              <w:t>360,872,921</w:t>
            </w:r>
          </w:p>
        </w:tc>
      </w:tr>
      <w:tr>
        <w:trPr>
          <w:trHeight w:val="259"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19" w:lineRule="exact"/>
              <w:ind w:left="567" w:right="0"/>
              <w:jc w:val="left"/>
              <w:rPr>
                <w:rFonts w:ascii="宋体" w:hAnsi="宋体" w:cs="宋体" w:eastAsia="宋体" w:hint="default"/>
                <w:sz w:val="20"/>
                <w:szCs w:val="20"/>
              </w:rPr>
            </w:pPr>
            <w:r>
              <w:rPr>
                <w:rFonts w:ascii="宋体" w:hAnsi="宋体" w:cs="宋体" w:eastAsia="宋体" w:hint="default"/>
                <w:sz w:val="20"/>
                <w:szCs w:val="20"/>
              </w:rPr>
              <w:t>其中：医疗保险费</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right"/>
              <w:rPr>
                <w:rFonts w:ascii="Arial" w:hAnsi="Arial" w:cs="Arial" w:eastAsia="Arial" w:hint="default"/>
                <w:sz w:val="20"/>
                <w:szCs w:val="20"/>
              </w:rPr>
            </w:pPr>
            <w:r>
              <w:rPr>
                <w:rFonts w:ascii="Arial"/>
                <w:spacing w:val="-1"/>
                <w:sz w:val="20"/>
              </w:rPr>
              <w:t>25,874,321</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5"/>
              <w:jc w:val="right"/>
              <w:rPr>
                <w:rFonts w:ascii="Arial" w:hAnsi="Arial" w:cs="Arial" w:eastAsia="Arial" w:hint="default"/>
                <w:sz w:val="20"/>
                <w:szCs w:val="20"/>
              </w:rPr>
            </w:pPr>
            <w:r>
              <w:rPr>
                <w:rFonts w:ascii="Arial"/>
                <w:spacing w:val="-1"/>
                <w:sz w:val="20"/>
              </w:rPr>
              <w:t>841,376,063</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8"/>
              <w:jc w:val="right"/>
              <w:rPr>
                <w:rFonts w:ascii="Arial" w:hAnsi="Arial" w:cs="Arial" w:eastAsia="Arial" w:hint="default"/>
                <w:sz w:val="20"/>
                <w:szCs w:val="20"/>
              </w:rPr>
            </w:pPr>
            <w:r>
              <w:rPr>
                <w:rFonts w:ascii="Arial"/>
                <w:spacing w:val="-1"/>
                <w:sz w:val="20"/>
              </w:rPr>
              <w:t>(834,669,701)</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
              <w:jc w:val="right"/>
              <w:rPr>
                <w:rFonts w:ascii="Arial" w:hAnsi="Arial" w:cs="Arial" w:eastAsia="Arial" w:hint="default"/>
                <w:sz w:val="20"/>
                <w:szCs w:val="20"/>
              </w:rPr>
            </w:pPr>
            <w:r>
              <w:rPr>
                <w:rFonts w:ascii="Arial"/>
                <w:spacing w:val="-1"/>
                <w:sz w:val="20"/>
              </w:rPr>
              <w:t>32,580,683</w:t>
            </w:r>
          </w:p>
        </w:tc>
      </w:tr>
      <w:tr>
        <w:trPr>
          <w:trHeight w:val="259"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19" w:lineRule="exact"/>
              <w:ind w:left="1170" w:right="0"/>
              <w:jc w:val="left"/>
              <w:rPr>
                <w:rFonts w:ascii="宋体" w:hAnsi="宋体" w:cs="宋体" w:eastAsia="宋体" w:hint="default"/>
                <w:sz w:val="20"/>
                <w:szCs w:val="20"/>
              </w:rPr>
            </w:pPr>
            <w:r>
              <w:rPr>
                <w:rFonts w:ascii="宋体" w:hAnsi="宋体" w:cs="宋体" w:eastAsia="宋体" w:hint="default"/>
                <w:sz w:val="20"/>
                <w:szCs w:val="20"/>
              </w:rPr>
              <w:t>养老保险费</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5"/>
              <w:jc w:val="right"/>
              <w:rPr>
                <w:rFonts w:ascii="Arial" w:hAnsi="Arial" w:cs="Arial" w:eastAsia="Arial" w:hint="default"/>
                <w:sz w:val="20"/>
                <w:szCs w:val="20"/>
              </w:rPr>
            </w:pPr>
            <w:r>
              <w:rPr>
                <w:rFonts w:ascii="Arial"/>
                <w:spacing w:val="-1"/>
                <w:sz w:val="20"/>
              </w:rPr>
              <w:t>237,491,041</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right"/>
              <w:rPr>
                <w:rFonts w:ascii="Arial" w:hAnsi="Arial" w:cs="Arial" w:eastAsia="Arial" w:hint="default"/>
                <w:sz w:val="20"/>
                <w:szCs w:val="20"/>
              </w:rPr>
            </w:pPr>
            <w:r>
              <w:rPr>
                <w:rFonts w:ascii="Arial"/>
                <w:spacing w:val="-1"/>
                <w:sz w:val="20"/>
              </w:rPr>
              <w:t>2,569,382,247</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7"/>
              <w:jc w:val="right"/>
              <w:rPr>
                <w:rFonts w:ascii="Arial" w:hAnsi="Arial" w:cs="Arial" w:eastAsia="Arial" w:hint="default"/>
                <w:sz w:val="20"/>
                <w:szCs w:val="20"/>
              </w:rPr>
            </w:pPr>
            <w:r>
              <w:rPr>
                <w:rFonts w:ascii="Arial"/>
                <w:spacing w:val="-1"/>
                <w:sz w:val="20"/>
              </w:rPr>
              <w:t>(2,543,296,600)</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6"/>
              <w:jc w:val="right"/>
              <w:rPr>
                <w:rFonts w:ascii="Arial" w:hAnsi="Arial" w:cs="Arial" w:eastAsia="Arial" w:hint="default"/>
                <w:sz w:val="20"/>
                <w:szCs w:val="20"/>
              </w:rPr>
            </w:pPr>
            <w:r>
              <w:rPr>
                <w:rFonts w:ascii="Arial"/>
                <w:spacing w:val="-1"/>
                <w:sz w:val="20"/>
              </w:rPr>
              <w:t>263,576,688</w:t>
            </w:r>
          </w:p>
        </w:tc>
      </w:tr>
      <w:tr>
        <w:trPr>
          <w:trHeight w:val="259"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19" w:lineRule="exact"/>
              <w:ind w:left="1170" w:right="0"/>
              <w:jc w:val="left"/>
              <w:rPr>
                <w:rFonts w:ascii="宋体" w:hAnsi="宋体" w:cs="宋体" w:eastAsia="宋体" w:hint="default"/>
                <w:sz w:val="20"/>
                <w:szCs w:val="20"/>
              </w:rPr>
            </w:pPr>
            <w:r>
              <w:rPr>
                <w:rFonts w:ascii="宋体" w:hAnsi="宋体" w:cs="宋体" w:eastAsia="宋体" w:hint="default"/>
                <w:sz w:val="20"/>
                <w:szCs w:val="20"/>
              </w:rPr>
              <w:t>失业保险费</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right"/>
              <w:rPr>
                <w:rFonts w:ascii="Arial" w:hAnsi="Arial" w:cs="Arial" w:eastAsia="Arial" w:hint="default"/>
                <w:sz w:val="20"/>
                <w:szCs w:val="20"/>
              </w:rPr>
            </w:pPr>
            <w:r>
              <w:rPr>
                <w:rFonts w:ascii="Arial"/>
                <w:spacing w:val="-1"/>
                <w:sz w:val="20"/>
              </w:rPr>
              <w:t>29,013,723</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5"/>
              <w:jc w:val="right"/>
              <w:rPr>
                <w:rFonts w:ascii="Arial" w:hAnsi="Arial" w:cs="Arial" w:eastAsia="Arial" w:hint="default"/>
                <w:sz w:val="20"/>
                <w:szCs w:val="20"/>
              </w:rPr>
            </w:pPr>
            <w:r>
              <w:rPr>
                <w:rFonts w:ascii="Arial"/>
                <w:spacing w:val="-1"/>
                <w:sz w:val="20"/>
              </w:rPr>
              <w:t>169,559,964</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8"/>
              <w:jc w:val="right"/>
              <w:rPr>
                <w:rFonts w:ascii="Arial" w:hAnsi="Arial" w:cs="Arial" w:eastAsia="Arial" w:hint="default"/>
                <w:sz w:val="20"/>
                <w:szCs w:val="20"/>
              </w:rPr>
            </w:pPr>
            <w:r>
              <w:rPr>
                <w:rFonts w:ascii="Arial"/>
                <w:spacing w:val="-1"/>
                <w:sz w:val="20"/>
              </w:rPr>
              <w:t>(169,407,409)</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
              <w:jc w:val="right"/>
              <w:rPr>
                <w:rFonts w:ascii="Arial" w:hAnsi="Arial" w:cs="Arial" w:eastAsia="Arial" w:hint="default"/>
                <w:sz w:val="20"/>
                <w:szCs w:val="20"/>
              </w:rPr>
            </w:pPr>
            <w:r>
              <w:rPr>
                <w:rFonts w:ascii="Arial"/>
                <w:spacing w:val="-1"/>
                <w:sz w:val="20"/>
              </w:rPr>
              <w:t>29,166,278</w:t>
            </w:r>
          </w:p>
        </w:tc>
      </w:tr>
      <w:tr>
        <w:trPr>
          <w:trHeight w:val="260"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19" w:lineRule="exact"/>
              <w:ind w:left="1170" w:right="0"/>
              <w:jc w:val="left"/>
              <w:rPr>
                <w:rFonts w:ascii="宋体" w:hAnsi="宋体" w:cs="宋体" w:eastAsia="宋体" w:hint="default"/>
                <w:sz w:val="20"/>
                <w:szCs w:val="20"/>
              </w:rPr>
            </w:pPr>
            <w:r>
              <w:rPr>
                <w:rFonts w:ascii="宋体" w:hAnsi="宋体" w:cs="宋体" w:eastAsia="宋体" w:hint="default"/>
                <w:sz w:val="20"/>
                <w:szCs w:val="20"/>
              </w:rPr>
              <w:t>工伤保险费</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right"/>
              <w:rPr>
                <w:rFonts w:ascii="Arial" w:hAnsi="Arial" w:cs="Arial" w:eastAsia="Arial" w:hint="default"/>
                <w:sz w:val="20"/>
                <w:szCs w:val="20"/>
              </w:rPr>
            </w:pPr>
            <w:r>
              <w:rPr>
                <w:rFonts w:ascii="Arial"/>
                <w:spacing w:val="-1"/>
                <w:sz w:val="20"/>
              </w:rPr>
              <w:t>2,211,188</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7"/>
              <w:jc w:val="right"/>
              <w:rPr>
                <w:rFonts w:ascii="Arial" w:hAnsi="Arial" w:cs="Arial" w:eastAsia="Arial" w:hint="default"/>
                <w:sz w:val="20"/>
                <w:szCs w:val="20"/>
              </w:rPr>
            </w:pPr>
            <w:r>
              <w:rPr>
                <w:rFonts w:ascii="Arial"/>
                <w:spacing w:val="-1"/>
                <w:sz w:val="20"/>
              </w:rPr>
              <w:t>58,851,549</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7"/>
              <w:jc w:val="right"/>
              <w:rPr>
                <w:rFonts w:ascii="Arial" w:hAnsi="Arial" w:cs="Arial" w:eastAsia="Arial" w:hint="default"/>
                <w:sz w:val="20"/>
                <w:szCs w:val="20"/>
              </w:rPr>
            </w:pPr>
            <w:r>
              <w:rPr>
                <w:rFonts w:ascii="Arial"/>
                <w:spacing w:val="-1"/>
                <w:sz w:val="20"/>
              </w:rPr>
              <w:t>(58,505,195)</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8"/>
              <w:jc w:val="right"/>
              <w:rPr>
                <w:rFonts w:ascii="Arial" w:hAnsi="Arial" w:cs="Arial" w:eastAsia="Arial" w:hint="default"/>
                <w:sz w:val="20"/>
                <w:szCs w:val="20"/>
              </w:rPr>
            </w:pPr>
            <w:r>
              <w:rPr>
                <w:rFonts w:ascii="Arial"/>
                <w:spacing w:val="-1"/>
                <w:sz w:val="20"/>
              </w:rPr>
              <w:t>2,557,542</w:t>
            </w:r>
          </w:p>
        </w:tc>
      </w:tr>
      <w:tr>
        <w:trPr>
          <w:trHeight w:val="260"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19" w:lineRule="exact"/>
              <w:ind w:left="1170" w:right="0"/>
              <w:jc w:val="left"/>
              <w:rPr>
                <w:rFonts w:ascii="宋体" w:hAnsi="宋体" w:cs="宋体" w:eastAsia="宋体" w:hint="default"/>
                <w:sz w:val="20"/>
                <w:szCs w:val="20"/>
              </w:rPr>
            </w:pPr>
            <w:r>
              <w:rPr>
                <w:rFonts w:ascii="宋体" w:hAnsi="宋体" w:cs="宋体" w:eastAsia="宋体" w:hint="default"/>
                <w:sz w:val="20"/>
                <w:szCs w:val="20"/>
              </w:rPr>
              <w:t>生育保险费</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right"/>
              <w:rPr>
                <w:rFonts w:ascii="Arial" w:hAnsi="Arial" w:cs="Arial" w:eastAsia="Arial" w:hint="default"/>
                <w:sz w:val="20"/>
                <w:szCs w:val="20"/>
              </w:rPr>
            </w:pPr>
            <w:r>
              <w:rPr>
                <w:rFonts w:ascii="Arial"/>
                <w:spacing w:val="-1"/>
                <w:sz w:val="20"/>
              </w:rPr>
              <w:t>3,037,177</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7"/>
              <w:jc w:val="right"/>
              <w:rPr>
                <w:rFonts w:ascii="Arial" w:hAnsi="Arial" w:cs="Arial" w:eastAsia="Arial" w:hint="default"/>
                <w:sz w:val="20"/>
                <w:szCs w:val="20"/>
              </w:rPr>
            </w:pPr>
            <w:r>
              <w:rPr>
                <w:rFonts w:ascii="Arial"/>
                <w:spacing w:val="-1"/>
                <w:sz w:val="20"/>
              </w:rPr>
              <w:t>67,136,617</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7"/>
              <w:jc w:val="right"/>
              <w:rPr>
                <w:rFonts w:ascii="Arial" w:hAnsi="Arial" w:cs="Arial" w:eastAsia="Arial" w:hint="default"/>
                <w:sz w:val="20"/>
                <w:szCs w:val="20"/>
              </w:rPr>
            </w:pPr>
            <w:r>
              <w:rPr>
                <w:rFonts w:ascii="Arial"/>
                <w:spacing w:val="-1"/>
                <w:sz w:val="20"/>
              </w:rPr>
              <w:t>(64,294,041)</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8"/>
              <w:jc w:val="right"/>
              <w:rPr>
                <w:rFonts w:ascii="Arial" w:hAnsi="Arial" w:cs="Arial" w:eastAsia="Arial" w:hint="default"/>
                <w:sz w:val="20"/>
                <w:szCs w:val="20"/>
              </w:rPr>
            </w:pPr>
            <w:r>
              <w:rPr>
                <w:rFonts w:ascii="Arial"/>
                <w:spacing w:val="-1"/>
                <w:sz w:val="20"/>
              </w:rPr>
              <w:t>5,879,753</w:t>
            </w:r>
          </w:p>
        </w:tc>
      </w:tr>
      <w:tr>
        <w:trPr>
          <w:trHeight w:val="259"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19" w:lineRule="exact"/>
              <w:ind w:left="567" w:right="0"/>
              <w:jc w:val="left"/>
              <w:rPr>
                <w:rFonts w:ascii="宋体" w:hAnsi="宋体" w:cs="宋体" w:eastAsia="宋体" w:hint="default"/>
                <w:sz w:val="20"/>
                <w:szCs w:val="20"/>
              </w:rPr>
            </w:pPr>
            <w:r>
              <w:rPr>
                <w:rFonts w:ascii="宋体" w:hAnsi="宋体" w:cs="宋体" w:eastAsia="宋体" w:hint="default"/>
                <w:sz w:val="20"/>
                <w:szCs w:val="20"/>
              </w:rPr>
              <w:t>住房公积金</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right"/>
              <w:rPr>
                <w:rFonts w:ascii="Arial" w:hAnsi="Arial" w:cs="Arial" w:eastAsia="Arial" w:hint="default"/>
                <w:sz w:val="20"/>
                <w:szCs w:val="20"/>
              </w:rPr>
            </w:pPr>
            <w:r>
              <w:rPr>
                <w:rFonts w:ascii="Arial"/>
                <w:spacing w:val="-1"/>
                <w:sz w:val="20"/>
              </w:rPr>
              <w:t>44,965,564</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right"/>
              <w:rPr>
                <w:rFonts w:ascii="Arial" w:hAnsi="Arial" w:cs="Arial" w:eastAsia="Arial" w:hint="default"/>
                <w:sz w:val="20"/>
                <w:szCs w:val="20"/>
              </w:rPr>
            </w:pPr>
            <w:r>
              <w:rPr>
                <w:rFonts w:ascii="Arial"/>
                <w:spacing w:val="-1"/>
                <w:sz w:val="20"/>
              </w:rPr>
              <w:t>1,302,872,915</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7"/>
              <w:jc w:val="right"/>
              <w:rPr>
                <w:rFonts w:ascii="Arial" w:hAnsi="Arial" w:cs="Arial" w:eastAsia="Arial" w:hint="default"/>
                <w:sz w:val="20"/>
                <w:szCs w:val="20"/>
              </w:rPr>
            </w:pPr>
            <w:r>
              <w:rPr>
                <w:rFonts w:ascii="Arial"/>
                <w:spacing w:val="-1"/>
                <w:sz w:val="20"/>
              </w:rPr>
              <w:t>(1,268,587,333)</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
              <w:jc w:val="right"/>
              <w:rPr>
                <w:rFonts w:ascii="Arial" w:hAnsi="Arial" w:cs="Arial" w:eastAsia="Arial" w:hint="default"/>
                <w:sz w:val="20"/>
                <w:szCs w:val="20"/>
              </w:rPr>
            </w:pPr>
            <w:r>
              <w:rPr>
                <w:rFonts w:ascii="Arial"/>
                <w:spacing w:val="-1"/>
                <w:sz w:val="20"/>
              </w:rPr>
              <w:t>79,251,146</w:t>
            </w:r>
          </w:p>
        </w:tc>
      </w:tr>
      <w:tr>
        <w:trPr>
          <w:trHeight w:val="259"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19" w:lineRule="exact"/>
              <w:ind w:right="329"/>
              <w:jc w:val="right"/>
              <w:rPr>
                <w:rFonts w:ascii="宋体" w:hAnsi="宋体" w:cs="宋体" w:eastAsia="宋体" w:hint="default"/>
                <w:sz w:val="20"/>
                <w:szCs w:val="20"/>
              </w:rPr>
            </w:pPr>
            <w:r>
              <w:rPr>
                <w:rFonts w:ascii="宋体" w:hAnsi="宋体" w:cs="宋体" w:eastAsia="宋体" w:hint="default"/>
                <w:spacing w:val="-1"/>
                <w:sz w:val="20"/>
                <w:szCs w:val="20"/>
              </w:rPr>
              <w:t>工会经费和职工教育经费</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5"/>
              <w:jc w:val="right"/>
              <w:rPr>
                <w:rFonts w:ascii="Arial" w:hAnsi="Arial" w:cs="Arial" w:eastAsia="Arial" w:hint="default"/>
                <w:sz w:val="20"/>
                <w:szCs w:val="20"/>
              </w:rPr>
            </w:pPr>
            <w:r>
              <w:rPr>
                <w:rFonts w:ascii="Arial"/>
                <w:spacing w:val="-1"/>
                <w:sz w:val="20"/>
              </w:rPr>
              <w:t>119,385,029</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5"/>
              <w:jc w:val="right"/>
              <w:rPr>
                <w:rFonts w:ascii="Arial" w:hAnsi="Arial" w:cs="Arial" w:eastAsia="Arial" w:hint="default"/>
                <w:sz w:val="20"/>
                <w:szCs w:val="20"/>
              </w:rPr>
            </w:pPr>
            <w:r>
              <w:rPr>
                <w:rFonts w:ascii="Arial"/>
                <w:spacing w:val="-1"/>
                <w:sz w:val="20"/>
              </w:rPr>
              <w:t>436,257,922</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7"/>
              <w:jc w:val="right"/>
              <w:rPr>
                <w:rFonts w:ascii="Arial" w:hAnsi="Arial" w:cs="Arial" w:eastAsia="Arial" w:hint="default"/>
                <w:sz w:val="20"/>
                <w:szCs w:val="20"/>
              </w:rPr>
            </w:pPr>
            <w:r>
              <w:rPr>
                <w:rFonts w:ascii="Arial"/>
                <w:spacing w:val="-1"/>
                <w:sz w:val="20"/>
              </w:rPr>
              <w:t>(458,281,708)</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
              <w:jc w:val="right"/>
              <w:rPr>
                <w:rFonts w:ascii="Arial" w:hAnsi="Arial" w:cs="Arial" w:eastAsia="Arial" w:hint="default"/>
                <w:sz w:val="20"/>
                <w:szCs w:val="20"/>
              </w:rPr>
            </w:pPr>
            <w:r>
              <w:rPr>
                <w:rFonts w:ascii="Arial"/>
                <w:spacing w:val="-1"/>
                <w:sz w:val="20"/>
              </w:rPr>
              <w:t>97,361,243</w:t>
            </w:r>
          </w:p>
        </w:tc>
      </w:tr>
      <w:tr>
        <w:trPr>
          <w:trHeight w:val="507"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25" w:lineRule="exact"/>
              <w:ind w:left="567" w:right="-30"/>
              <w:jc w:val="left"/>
              <w:rPr>
                <w:rFonts w:ascii="宋体" w:hAnsi="宋体" w:cs="宋体" w:eastAsia="宋体" w:hint="default"/>
                <w:sz w:val="20"/>
                <w:szCs w:val="20"/>
              </w:rPr>
            </w:pPr>
            <w:r>
              <w:rPr>
                <w:rFonts w:ascii="宋体" w:hAnsi="宋体" w:cs="宋体" w:eastAsia="宋体" w:hint="default"/>
                <w:sz w:val="20"/>
                <w:szCs w:val="20"/>
              </w:rPr>
              <w:t>一次性货币住房补贴（注</w:t>
            </w:r>
            <w:r>
              <w:rPr>
                <w:rFonts w:ascii="宋体" w:hAnsi="宋体" w:cs="宋体" w:eastAsia="宋体" w:hint="default"/>
                <w:spacing w:val="-52"/>
                <w:sz w:val="20"/>
                <w:szCs w:val="20"/>
              </w:rPr>
              <w:t> </w:t>
            </w:r>
            <w:r>
              <w:rPr>
                <w:rFonts w:ascii="Arial" w:hAnsi="Arial" w:cs="Arial" w:eastAsia="Arial" w:hint="default"/>
                <w:sz w:val="20"/>
                <w:szCs w:val="20"/>
              </w:rPr>
              <w:t>1</w:t>
            </w:r>
            <w:r>
              <w:rPr>
                <w:rFonts w:ascii="宋体" w:hAnsi="宋体" w:cs="宋体" w:eastAsia="宋体" w:hint="default"/>
                <w:sz w:val="20"/>
                <w:szCs w:val="20"/>
              </w:rPr>
              <w:t>）</w:t>
            </w:r>
          </w:p>
          <w:p>
            <w:pPr>
              <w:pStyle w:val="TableParagraph"/>
              <w:spacing w:line="253" w:lineRule="exact"/>
              <w:ind w:left="567" w:right="0"/>
              <w:jc w:val="left"/>
              <w:rPr>
                <w:rFonts w:ascii="宋体" w:hAnsi="宋体" w:cs="宋体" w:eastAsia="宋体" w:hint="default"/>
                <w:sz w:val="20"/>
                <w:szCs w:val="20"/>
              </w:rPr>
            </w:pPr>
            <w:r>
              <w:rPr>
                <w:rFonts w:ascii="宋体" w:hAnsi="宋体" w:cs="宋体" w:eastAsia="宋体" w:hint="default"/>
                <w:sz w:val="20"/>
                <w:szCs w:val="20"/>
              </w:rPr>
              <w:t>内退员工补偿费（含流动部</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right"/>
              <w:rPr>
                <w:rFonts w:ascii="Arial" w:hAnsi="Arial" w:cs="Arial" w:eastAsia="Arial" w:hint="default"/>
                <w:sz w:val="20"/>
                <w:szCs w:val="20"/>
              </w:rPr>
            </w:pPr>
            <w:r>
              <w:rPr>
                <w:rFonts w:ascii="Arial"/>
                <w:spacing w:val="-1"/>
                <w:sz w:val="20"/>
              </w:rPr>
              <w:t>2,507,675,638</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6"/>
              <w:jc w:val="right"/>
              <w:rPr>
                <w:rFonts w:ascii="Arial" w:hAnsi="Arial" w:cs="Arial" w:eastAsia="Arial" w:hint="default"/>
                <w:sz w:val="20"/>
                <w:szCs w:val="20"/>
              </w:rPr>
            </w:pPr>
            <w:r>
              <w:rPr>
                <w:rFonts w:ascii="Arial"/>
                <w:w w:val="100"/>
                <w:sz w:val="20"/>
              </w:rPr>
              <w:t>-</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47"/>
              <w:jc w:val="right"/>
              <w:rPr>
                <w:rFonts w:ascii="Arial" w:hAnsi="Arial" w:cs="Arial" w:eastAsia="Arial" w:hint="default"/>
                <w:sz w:val="20"/>
                <w:szCs w:val="20"/>
              </w:rPr>
            </w:pPr>
            <w:r>
              <w:rPr>
                <w:rFonts w:ascii="Arial"/>
                <w:w w:val="100"/>
                <w:sz w:val="20"/>
              </w:rPr>
              <w:t>-</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7"/>
              <w:jc w:val="right"/>
              <w:rPr>
                <w:rFonts w:ascii="Arial" w:hAnsi="Arial" w:cs="Arial" w:eastAsia="Arial" w:hint="default"/>
                <w:sz w:val="20"/>
                <w:szCs w:val="20"/>
              </w:rPr>
            </w:pPr>
            <w:r>
              <w:rPr>
                <w:rFonts w:ascii="Arial"/>
                <w:spacing w:val="-1"/>
                <w:sz w:val="20"/>
              </w:rPr>
              <w:t>2,507,675,638</w:t>
            </w:r>
          </w:p>
        </w:tc>
      </w:tr>
      <w:tr>
        <w:trPr>
          <w:trHeight w:val="271"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44" w:lineRule="exact"/>
              <w:ind w:left="791" w:right="0"/>
              <w:jc w:val="left"/>
              <w:rPr>
                <w:rFonts w:ascii="宋体" w:hAnsi="宋体" w:cs="宋体" w:eastAsia="宋体" w:hint="default"/>
                <w:sz w:val="20"/>
                <w:szCs w:val="20"/>
              </w:rPr>
            </w:pPr>
            <w:r>
              <w:rPr>
                <w:rFonts w:ascii="宋体" w:hAnsi="宋体" w:cs="宋体" w:eastAsia="宋体" w:hint="default"/>
                <w:sz w:val="20"/>
                <w:szCs w:val="20"/>
              </w:rPr>
              <w:t>分）（注</w:t>
            </w:r>
            <w:r>
              <w:rPr>
                <w:rFonts w:ascii="宋体" w:hAnsi="宋体" w:cs="宋体" w:eastAsia="宋体" w:hint="default"/>
                <w:spacing w:val="-50"/>
                <w:sz w:val="20"/>
                <w:szCs w:val="20"/>
              </w:rPr>
              <w:t> </w:t>
            </w:r>
            <w:r>
              <w:rPr>
                <w:rFonts w:ascii="Arial" w:hAnsi="Arial" w:cs="Arial" w:eastAsia="Arial" w:hint="default"/>
                <w:sz w:val="20"/>
                <w:szCs w:val="20"/>
              </w:rPr>
              <w:t>2</w:t>
            </w:r>
            <w:r>
              <w:rPr>
                <w:rFonts w:ascii="宋体" w:hAnsi="宋体" w:cs="宋体" w:eastAsia="宋体" w:hint="default"/>
                <w:sz w:val="20"/>
                <w:szCs w:val="20"/>
              </w:rPr>
              <w:t>）</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45"/>
              <w:jc w:val="right"/>
              <w:rPr>
                <w:rFonts w:ascii="Arial" w:hAnsi="Arial" w:cs="Arial" w:eastAsia="Arial" w:hint="default"/>
                <w:sz w:val="20"/>
                <w:szCs w:val="20"/>
              </w:rPr>
            </w:pPr>
            <w:r>
              <w:rPr>
                <w:rFonts w:ascii="Arial"/>
                <w:spacing w:val="-1"/>
                <w:sz w:val="20"/>
              </w:rPr>
              <w:t>534,829,240</w:t>
            </w:r>
          </w:p>
        </w:tc>
        <w:tc>
          <w:tcPr>
            <w:tcW w:w="1600"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46"/>
              <w:jc w:val="right"/>
              <w:rPr>
                <w:rFonts w:ascii="Arial" w:hAnsi="Arial" w:cs="Arial" w:eastAsia="Arial" w:hint="default"/>
                <w:sz w:val="20"/>
                <w:szCs w:val="20"/>
              </w:rPr>
            </w:pPr>
            <w:r>
              <w:rPr>
                <w:rFonts w:ascii="Arial"/>
                <w:spacing w:val="-1"/>
                <w:sz w:val="20"/>
              </w:rPr>
              <w:t>2,126,112,754</w:t>
            </w:r>
          </w:p>
        </w:tc>
        <w:tc>
          <w:tcPr>
            <w:tcW w:w="1635"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48"/>
              <w:jc w:val="right"/>
              <w:rPr>
                <w:rFonts w:ascii="Arial" w:hAnsi="Arial" w:cs="Arial" w:eastAsia="Arial" w:hint="default"/>
                <w:sz w:val="20"/>
                <w:szCs w:val="20"/>
              </w:rPr>
            </w:pPr>
            <w:r>
              <w:rPr>
                <w:rFonts w:ascii="Arial"/>
                <w:spacing w:val="-1"/>
                <w:sz w:val="20"/>
              </w:rPr>
              <w:t>(2,639,084,362)</w:t>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8"/>
              <w:jc w:val="right"/>
              <w:rPr>
                <w:rFonts w:ascii="Arial" w:hAnsi="Arial" w:cs="Arial" w:eastAsia="Arial" w:hint="default"/>
                <w:sz w:val="20"/>
                <w:szCs w:val="20"/>
              </w:rPr>
            </w:pPr>
            <w:r>
              <w:rPr>
                <w:rFonts w:ascii="Arial"/>
                <w:spacing w:val="-1"/>
                <w:sz w:val="20"/>
              </w:rPr>
              <w:t>21,857,632</w:t>
            </w:r>
          </w:p>
        </w:tc>
      </w:tr>
      <w:tr>
        <w:trPr>
          <w:trHeight w:val="382"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33" w:lineRule="exact"/>
              <w:ind w:left="567" w:right="0"/>
              <w:jc w:val="left"/>
              <w:rPr>
                <w:rFonts w:ascii="宋体" w:hAnsi="宋体" w:cs="宋体" w:eastAsia="宋体" w:hint="default"/>
                <w:sz w:val="20"/>
                <w:szCs w:val="20"/>
              </w:rPr>
            </w:pPr>
            <w:r>
              <w:rPr>
                <w:rFonts w:ascii="宋体" w:hAnsi="宋体" w:cs="宋体" w:eastAsia="宋体" w:hint="default"/>
                <w:sz w:val="20"/>
                <w:szCs w:val="20"/>
              </w:rPr>
              <w:t>其他（注</w:t>
            </w:r>
            <w:r>
              <w:rPr>
                <w:rFonts w:ascii="宋体" w:hAnsi="宋体" w:cs="宋体" w:eastAsia="宋体" w:hint="default"/>
                <w:spacing w:val="-50"/>
                <w:sz w:val="20"/>
                <w:szCs w:val="20"/>
              </w:rPr>
              <w:t> </w:t>
            </w:r>
            <w:r>
              <w:rPr>
                <w:rFonts w:ascii="Arial" w:hAnsi="Arial" w:cs="Arial" w:eastAsia="Arial" w:hint="default"/>
                <w:sz w:val="20"/>
                <w:szCs w:val="20"/>
              </w:rPr>
              <w:t>3</w:t>
            </w:r>
            <w:r>
              <w:rPr>
                <w:rFonts w:ascii="宋体" w:hAnsi="宋体" w:cs="宋体" w:eastAsia="宋体" w:hint="default"/>
                <w:sz w:val="20"/>
                <w:szCs w:val="20"/>
              </w:rPr>
              <w:t>）</w:t>
            </w:r>
          </w:p>
        </w:tc>
        <w:tc>
          <w:tcPr>
            <w:tcW w:w="1573" w:type="dxa"/>
            <w:tcBorders>
              <w:top w:val="nil" w:sz="6" w:space="0" w:color="auto"/>
              <w:left w:val="nil" w:sz="6" w:space="0" w:color="auto"/>
              <w:bottom w:val="nil" w:sz="6" w:space="0" w:color="auto"/>
              <w:right w:val="nil" w:sz="6" w:space="0" w:color="auto"/>
            </w:tcBorders>
          </w:tcPr>
          <w:p>
            <w:pPr>
              <w:pStyle w:val="TableParagraph"/>
              <w:tabs>
                <w:tab w:pos="521" w:val="left" w:leader="none"/>
              </w:tabs>
              <w:spacing w:line="240" w:lineRule="auto" w:before="14"/>
              <w:ind w:right="4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55,125,813</w:t>
            </w:r>
            <w:r>
              <w:rPr>
                <w:rFonts w:ascii="Arial"/>
                <w:spacing w:val="-1"/>
                <w:sz w:val="20"/>
              </w:rPr>
            </w:r>
          </w:p>
        </w:tc>
        <w:tc>
          <w:tcPr>
            <w:tcW w:w="1600" w:type="dxa"/>
            <w:tcBorders>
              <w:top w:val="nil" w:sz="6" w:space="0" w:color="auto"/>
              <w:left w:val="nil" w:sz="6" w:space="0" w:color="auto"/>
              <w:bottom w:val="nil" w:sz="6" w:space="0" w:color="auto"/>
              <w:right w:val="nil" w:sz="6" w:space="0" w:color="auto"/>
            </w:tcBorders>
          </w:tcPr>
          <w:p>
            <w:pPr>
              <w:pStyle w:val="TableParagraph"/>
              <w:tabs>
                <w:tab w:pos="390" w:val="left" w:leader="none"/>
              </w:tabs>
              <w:spacing w:line="240" w:lineRule="auto" w:before="14"/>
              <w:ind w:right="4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147,634,593</w:t>
            </w:r>
            <w:r>
              <w:rPr>
                <w:rFonts w:ascii="Arial"/>
                <w:spacing w:val="-1"/>
                <w:sz w:val="20"/>
              </w:rPr>
            </w:r>
          </w:p>
        </w:tc>
        <w:tc>
          <w:tcPr>
            <w:tcW w:w="1635" w:type="dxa"/>
            <w:tcBorders>
              <w:top w:val="nil" w:sz="6" w:space="0" w:color="auto"/>
              <w:left w:val="nil" w:sz="6" w:space="0" w:color="auto"/>
              <w:bottom w:val="nil" w:sz="6" w:space="0" w:color="auto"/>
              <w:right w:val="nil" w:sz="6" w:space="0" w:color="auto"/>
            </w:tcBorders>
          </w:tcPr>
          <w:p>
            <w:pPr>
              <w:pStyle w:val="TableParagraph"/>
              <w:tabs>
                <w:tab w:pos="292" w:val="left" w:leader="none"/>
              </w:tabs>
              <w:spacing w:line="240" w:lineRule="auto" w:before="14"/>
              <w:ind w:right="4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(168,446,032)</w:t>
            </w:r>
            <w:r>
              <w:rPr>
                <w:rFonts w:ascii="Arial"/>
                <w:spacing w:val="-1"/>
                <w:sz w:val="20"/>
              </w:rPr>
            </w:r>
          </w:p>
        </w:tc>
        <w:tc>
          <w:tcPr>
            <w:tcW w:w="1598" w:type="dxa"/>
            <w:tcBorders>
              <w:top w:val="nil" w:sz="6" w:space="0" w:color="auto"/>
              <w:left w:val="nil" w:sz="6" w:space="0" w:color="auto"/>
              <w:bottom w:val="nil" w:sz="6" w:space="0" w:color="auto"/>
              <w:right w:val="nil" w:sz="6" w:space="0" w:color="auto"/>
            </w:tcBorders>
          </w:tcPr>
          <w:p>
            <w:pPr>
              <w:pStyle w:val="TableParagraph"/>
              <w:tabs>
                <w:tab w:pos="506" w:val="left" w:leader="none"/>
              </w:tabs>
              <w:spacing w:line="240" w:lineRule="auto" w:before="14"/>
              <w:ind w:right="3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34,314,374</w:t>
            </w:r>
            <w:r>
              <w:rPr>
                <w:rFonts w:ascii="Arial"/>
                <w:spacing w:val="-1"/>
                <w:sz w:val="20"/>
              </w:rPr>
            </w:r>
          </w:p>
        </w:tc>
      </w:tr>
      <w:tr>
        <w:trPr>
          <w:trHeight w:val="394" w:hRule="exact"/>
        </w:trPr>
        <w:tc>
          <w:tcPr>
            <w:tcW w:w="3100" w:type="dxa"/>
            <w:tcBorders>
              <w:top w:val="nil" w:sz="6" w:space="0" w:color="auto"/>
              <w:left w:val="nil" w:sz="6" w:space="0" w:color="auto"/>
              <w:bottom w:val="nil" w:sz="6" w:space="0" w:color="auto"/>
              <w:right w:val="nil" w:sz="6" w:space="0" w:color="auto"/>
            </w:tcBorders>
          </w:tcPr>
          <w:p>
            <w:pPr>
              <w:pStyle w:val="TableParagraph"/>
              <w:spacing w:line="240" w:lineRule="auto" w:before="80"/>
              <w:ind w:left="567"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573" w:type="dxa"/>
            <w:tcBorders>
              <w:top w:val="nil" w:sz="6" w:space="0" w:color="auto"/>
              <w:left w:val="nil" w:sz="6" w:space="0" w:color="auto"/>
              <w:bottom w:val="single" w:sz="17" w:space="0" w:color="000000"/>
              <w:right w:val="nil" w:sz="6" w:space="0" w:color="auto"/>
            </w:tcBorders>
          </w:tcPr>
          <w:p>
            <w:pPr>
              <w:pStyle w:val="TableParagraph"/>
              <w:spacing w:line="240" w:lineRule="auto" w:before="138"/>
              <w:ind w:right="46"/>
              <w:jc w:val="right"/>
              <w:rPr>
                <w:rFonts w:ascii="Arial" w:hAnsi="Arial" w:cs="Arial" w:eastAsia="Arial" w:hint="default"/>
                <w:sz w:val="20"/>
                <w:szCs w:val="20"/>
              </w:rPr>
            </w:pPr>
            <w:r>
              <w:rPr>
                <w:rFonts w:ascii="Arial"/>
                <w:spacing w:val="-2"/>
                <w:sz w:val="20"/>
              </w:rPr>
              <w:t>4,033,011,170</w:t>
            </w:r>
          </w:p>
        </w:tc>
        <w:tc>
          <w:tcPr>
            <w:tcW w:w="1600" w:type="dxa"/>
            <w:tcBorders>
              <w:top w:val="nil" w:sz="6" w:space="0" w:color="auto"/>
              <w:left w:val="nil" w:sz="6" w:space="0" w:color="auto"/>
              <w:bottom w:val="single" w:sz="17" w:space="0" w:color="000000"/>
              <w:right w:val="nil" w:sz="6" w:space="0" w:color="auto"/>
            </w:tcBorders>
          </w:tcPr>
          <w:p>
            <w:pPr>
              <w:pStyle w:val="TableParagraph"/>
              <w:spacing w:line="240" w:lineRule="auto" w:before="138"/>
              <w:ind w:right="46"/>
              <w:jc w:val="right"/>
              <w:rPr>
                <w:rFonts w:ascii="Arial" w:hAnsi="Arial" w:cs="Arial" w:eastAsia="Arial" w:hint="default"/>
                <w:sz w:val="20"/>
                <w:szCs w:val="20"/>
              </w:rPr>
            </w:pPr>
            <w:r>
              <w:rPr>
                <w:rFonts w:ascii="Arial"/>
                <w:spacing w:val="-1"/>
                <w:sz w:val="20"/>
              </w:rPr>
              <w:t>23,850,657,811</w:t>
            </w:r>
          </w:p>
        </w:tc>
        <w:tc>
          <w:tcPr>
            <w:tcW w:w="1635" w:type="dxa"/>
            <w:tcBorders>
              <w:top w:val="nil" w:sz="6" w:space="0" w:color="auto"/>
              <w:left w:val="nil" w:sz="6" w:space="0" w:color="auto"/>
              <w:bottom w:val="single" w:sz="17" w:space="0" w:color="000000"/>
              <w:right w:val="nil" w:sz="6" w:space="0" w:color="auto"/>
            </w:tcBorders>
          </w:tcPr>
          <w:p>
            <w:pPr>
              <w:pStyle w:val="TableParagraph"/>
              <w:spacing w:line="240" w:lineRule="auto" w:before="138"/>
              <w:ind w:right="48"/>
              <w:jc w:val="right"/>
              <w:rPr>
                <w:rFonts w:ascii="Arial" w:hAnsi="Arial" w:cs="Arial" w:eastAsia="Arial" w:hint="default"/>
                <w:sz w:val="20"/>
                <w:szCs w:val="20"/>
              </w:rPr>
            </w:pPr>
            <w:r>
              <w:rPr>
                <w:rFonts w:ascii="Arial"/>
                <w:spacing w:val="-1"/>
                <w:sz w:val="20"/>
              </w:rPr>
              <w:t>(24,285,448,842)</w:t>
            </w:r>
          </w:p>
        </w:tc>
        <w:tc>
          <w:tcPr>
            <w:tcW w:w="1598" w:type="dxa"/>
            <w:tcBorders>
              <w:top w:val="nil" w:sz="6" w:space="0" w:color="auto"/>
              <w:left w:val="nil" w:sz="6" w:space="0" w:color="auto"/>
              <w:bottom w:val="single" w:sz="17" w:space="0" w:color="000000"/>
              <w:right w:val="nil" w:sz="6" w:space="0" w:color="auto"/>
            </w:tcBorders>
          </w:tcPr>
          <w:p>
            <w:pPr>
              <w:pStyle w:val="TableParagraph"/>
              <w:spacing w:line="240" w:lineRule="auto" w:before="138"/>
              <w:ind w:right="38"/>
              <w:jc w:val="right"/>
              <w:rPr>
                <w:rFonts w:ascii="Arial" w:hAnsi="Arial" w:cs="Arial" w:eastAsia="Arial" w:hint="default"/>
                <w:sz w:val="20"/>
                <w:szCs w:val="20"/>
              </w:rPr>
            </w:pPr>
            <w:r>
              <w:rPr>
                <w:rFonts w:ascii="Arial"/>
                <w:spacing w:val="-1"/>
                <w:sz w:val="20"/>
              </w:rPr>
              <w:t>3,598,220,139</w:t>
            </w:r>
          </w:p>
        </w:tc>
      </w:tr>
    </w:tbl>
    <w:p>
      <w:pPr>
        <w:spacing w:line="240" w:lineRule="auto" w:before="7"/>
        <w:rPr>
          <w:rFonts w:ascii="宋体" w:hAnsi="宋体" w:cs="宋体" w:eastAsia="宋体" w:hint="default"/>
          <w:sz w:val="12"/>
          <w:szCs w:val="12"/>
        </w:rPr>
      </w:pPr>
    </w:p>
    <w:p>
      <w:pPr>
        <w:pStyle w:val="BodyText"/>
        <w:spacing w:line="286" w:lineRule="exact" w:before="60"/>
        <w:ind w:left="590" w:right="116"/>
        <w:jc w:val="left"/>
      </w:pP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spacing w:val="-4"/>
        </w:rPr>
        <w:t>日，应付职工薪酬中没有属于拖欠性质的应付款，本集团于</w:t>
      </w:r>
      <w:r>
        <w:rPr>
          <w:spacing w:val="-55"/>
        </w:rPr>
        <w:t> </w:t>
      </w:r>
      <w:r>
        <w:rPr>
          <w:rFonts w:ascii="Arial" w:hAnsi="Arial" w:cs="Arial" w:eastAsia="Arial" w:hint="default"/>
        </w:rPr>
        <w:t>2009</w:t>
      </w:r>
      <w:r>
        <w:rPr>
          <w:rFonts w:ascii="Arial" w:hAnsi="Arial" w:cs="Arial" w:eastAsia="Arial" w:hint="default"/>
          <w:spacing w:val="-7"/>
        </w:rPr>
        <w:t> </w:t>
      </w:r>
      <w:r>
        <w:rPr/>
        <w:t>年并无重</w:t>
      </w:r>
      <w:r>
        <w:rPr>
          <w:w w:val="99"/>
        </w:rPr>
        <w:t> </w:t>
      </w:r>
      <w:r>
        <w:rPr/>
        <w:t>大非货币性职工福利支出。</w:t>
      </w:r>
    </w:p>
    <w:p>
      <w:pPr>
        <w:spacing w:line="240" w:lineRule="auto" w:before="10"/>
        <w:rPr>
          <w:rFonts w:ascii="宋体" w:hAnsi="宋体" w:cs="宋体" w:eastAsia="宋体" w:hint="default"/>
          <w:sz w:val="17"/>
          <w:szCs w:val="17"/>
        </w:rPr>
      </w:pPr>
    </w:p>
    <w:p>
      <w:pPr>
        <w:pStyle w:val="BodyText"/>
        <w:spacing w:line="232" w:lineRule="auto"/>
        <w:ind w:left="1164" w:right="108" w:hanging="588"/>
        <w:jc w:val="both"/>
      </w:pPr>
      <w:r>
        <w:rPr/>
        <w:t>注</w:t>
      </w:r>
      <w:r>
        <w:rPr>
          <w:spacing w:val="-64"/>
        </w:rPr>
        <w:t> </w:t>
      </w:r>
      <w:r>
        <w:rPr>
          <w:rFonts w:ascii="Arial" w:hAnsi="Arial" w:cs="Arial" w:eastAsia="Arial" w:hint="default"/>
          <w:spacing w:val="-3"/>
        </w:rPr>
        <w:t>1</w:t>
      </w:r>
      <w:r>
        <w:rPr>
          <w:spacing w:val="-3"/>
        </w:rPr>
        <w:t>：国务院</w:t>
      </w:r>
      <w:r>
        <w:rPr>
          <w:spacing w:val="-64"/>
        </w:rPr>
        <w:t> </w:t>
      </w:r>
      <w:r>
        <w:rPr>
          <w:rFonts w:ascii="Arial" w:hAnsi="Arial" w:cs="Arial" w:eastAsia="Arial" w:hint="default"/>
        </w:rPr>
        <w:t>1998</w:t>
      </w:r>
      <w:r>
        <w:rPr>
          <w:rFonts w:ascii="Arial" w:hAnsi="Arial" w:cs="Arial" w:eastAsia="Arial" w:hint="default"/>
          <w:spacing w:val="-15"/>
        </w:rPr>
        <w:t> </w:t>
      </w:r>
      <w:r>
        <w:rPr/>
        <w:t>年公布的住房改革政策，企业应停止向员工进行实物分房，而应采用现金补</w:t>
      </w:r>
      <w:r>
        <w:rPr>
          <w:w w:val="99"/>
        </w:rPr>
        <w:t> </w:t>
      </w:r>
      <w:r>
        <w:rPr>
          <w:spacing w:val="-2"/>
        </w:rPr>
        <w:t>贴形式实行货币分房。在住房改革政策实施中，企业可按照自身实际情况及财务能力考虑</w:t>
      </w:r>
      <w:r>
        <w:rPr>
          <w:w w:val="99"/>
        </w:rPr>
        <w:t> </w:t>
      </w:r>
      <w:r>
        <w:rPr>
          <w:spacing w:val="-2"/>
        </w:rPr>
        <w:t>了制定适合本企业的房改方案。另外，还需按属地化原则在各省市内执行当地政府的房改</w:t>
      </w:r>
      <w:r>
        <w:rPr>
          <w:w w:val="99"/>
        </w:rPr>
        <w:t> </w:t>
      </w:r>
      <w:r>
        <w:rPr/>
        <w:t>条例。</w:t>
      </w:r>
    </w:p>
    <w:p>
      <w:pPr>
        <w:spacing w:line="240" w:lineRule="auto" w:before="2"/>
        <w:rPr>
          <w:rFonts w:ascii="宋体" w:hAnsi="宋体" w:cs="宋体" w:eastAsia="宋体" w:hint="default"/>
          <w:sz w:val="19"/>
          <w:szCs w:val="19"/>
        </w:rPr>
      </w:pPr>
    </w:p>
    <w:p>
      <w:pPr>
        <w:pStyle w:val="BodyText"/>
        <w:spacing w:line="295" w:lineRule="exact"/>
        <w:ind w:left="1164" w:right="0"/>
        <w:jc w:val="both"/>
      </w:pPr>
      <w:r>
        <w:rPr>
          <w:rFonts w:ascii="Arial" w:hAnsi="Arial" w:cs="Arial" w:eastAsia="Arial" w:hint="default"/>
        </w:rPr>
        <w:t>1998</w:t>
      </w:r>
      <w:r>
        <w:rPr>
          <w:rFonts w:ascii="Arial" w:hAnsi="Arial" w:cs="Arial" w:eastAsia="Arial" w:hint="default"/>
          <w:spacing w:val="35"/>
        </w:rPr>
        <w:t> </w:t>
      </w:r>
      <w:r>
        <w:rPr/>
        <w:t>年以前，网通运营公司以优惠价向其符合规定的员工出售员工住房（“优惠出售计</w:t>
      </w:r>
    </w:p>
    <w:p>
      <w:pPr>
        <w:pStyle w:val="BodyText"/>
        <w:spacing w:line="286" w:lineRule="exact"/>
        <w:ind w:left="1164" w:right="0"/>
        <w:jc w:val="both"/>
      </w:pPr>
      <w:r>
        <w:rPr/>
        <w:t>划”），根据国务院</w:t>
      </w:r>
      <w:r>
        <w:rPr>
          <w:spacing w:val="-58"/>
        </w:rPr>
        <w:t> </w:t>
      </w:r>
      <w:r>
        <w:rPr>
          <w:rFonts w:ascii="Arial" w:hAnsi="Arial" w:cs="Arial" w:eastAsia="Arial" w:hint="default"/>
        </w:rPr>
        <w:t>1998</w:t>
      </w:r>
      <w:r>
        <w:rPr>
          <w:rFonts w:ascii="Arial" w:hAnsi="Arial" w:cs="Arial" w:eastAsia="Arial" w:hint="default"/>
          <w:spacing w:val="-9"/>
        </w:rPr>
        <w:t> </w:t>
      </w:r>
      <w:r>
        <w:rPr/>
        <w:t>年公布的住房改革政策，网通运营公司取消了优惠出售计划。</w:t>
      </w:r>
    </w:p>
    <w:p>
      <w:pPr>
        <w:pStyle w:val="BodyText"/>
        <w:spacing w:line="235" w:lineRule="auto"/>
        <w:ind w:left="1164" w:right="107"/>
        <w:jc w:val="both"/>
      </w:pPr>
      <w:r>
        <w:rPr/>
        <w:t>于</w:t>
      </w:r>
      <w:r>
        <w:rPr>
          <w:spacing w:val="-62"/>
        </w:rPr>
        <w:t> </w:t>
      </w:r>
      <w:r>
        <w:rPr>
          <w:rFonts w:ascii="Arial" w:hAnsi="Arial" w:cs="Arial" w:eastAsia="Arial" w:hint="default"/>
        </w:rPr>
        <w:t>2000</w:t>
      </w:r>
      <w:r>
        <w:rPr>
          <w:rFonts w:ascii="Arial" w:hAnsi="Arial" w:cs="Arial" w:eastAsia="Arial" w:hint="default"/>
          <w:spacing w:val="-13"/>
        </w:rPr>
        <w:t> </w:t>
      </w:r>
      <w:r>
        <w:rPr/>
        <w:t>年，国务院进一步发布通告，说明取消员工住房分配后，须给予符合条件的员工</w:t>
      </w:r>
      <w:r>
        <w:rPr>
          <w:w w:val="99"/>
        </w:rPr>
        <w:t> </w:t>
      </w:r>
      <w:r>
        <w:rPr>
          <w:spacing w:val="-2"/>
        </w:rPr>
        <w:t>现金补贴，故网通运营公司所属各省分公司按照当地政府颁布的相关详细条例采纳了现金</w:t>
      </w:r>
      <w:r>
        <w:rPr>
          <w:spacing w:val="-106"/>
        </w:rPr>
        <w:t> </w:t>
      </w:r>
      <w:r>
        <w:rPr>
          <w:spacing w:val="-106"/>
        </w:rPr>
      </w:r>
      <w:r>
        <w:rPr>
          <w:spacing w:val="-2"/>
        </w:rPr>
        <w:t>住房补贴计划。根据现金住房补贴计划，对于在优惠出售计划终止前未获分配住房或分配</w:t>
      </w:r>
      <w:r>
        <w:rPr>
          <w:spacing w:val="-106"/>
        </w:rPr>
        <w:t> </w:t>
      </w:r>
      <w:r>
        <w:rPr>
          <w:spacing w:val="-106"/>
        </w:rPr>
      </w:r>
      <w:r>
        <w:rPr>
          <w:spacing w:val="-2"/>
        </w:rPr>
        <w:t>住房不达标的符合资格员工，网通运营公司须支付一笔按其服务年份、职位和其他标准计</w:t>
      </w:r>
      <w:r>
        <w:rPr>
          <w:spacing w:val="-106"/>
        </w:rPr>
        <w:t> </w:t>
      </w:r>
      <w:r>
        <w:rPr>
          <w:spacing w:val="-106"/>
        </w:rPr>
      </w:r>
      <w:r>
        <w:rPr>
          <w:spacing w:val="-3"/>
        </w:rPr>
        <w:t>算的一次性货币住房补贴。网通运营公司据此全额计提了约人民币</w:t>
      </w:r>
      <w:r>
        <w:rPr>
          <w:spacing w:val="-50"/>
        </w:rPr>
        <w:t> </w:t>
      </w:r>
      <w:r>
        <w:rPr>
          <w:rFonts w:ascii="Arial" w:hAnsi="Arial" w:cs="Arial" w:eastAsia="Arial" w:hint="default"/>
        </w:rPr>
        <w:t>41.42</w:t>
      </w:r>
      <w:r>
        <w:rPr>
          <w:rFonts w:ascii="Arial" w:hAnsi="Arial" w:cs="Arial" w:eastAsia="Arial" w:hint="default"/>
          <w:spacing w:val="-1"/>
        </w:rPr>
        <w:t> </w:t>
      </w:r>
      <w:r>
        <w:rPr/>
        <w:t>亿元的现金住房</w:t>
      </w:r>
    </w:p>
    <w:p>
      <w:pPr>
        <w:pStyle w:val="BodyText"/>
        <w:spacing w:line="232" w:lineRule="auto"/>
        <w:ind w:left="1164" w:right="108"/>
        <w:jc w:val="both"/>
      </w:pPr>
      <w:r>
        <w:rPr>
          <w:spacing w:val="-8"/>
        </w:rPr>
        <w:t>补贴。于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spacing w:val="-4"/>
        </w:rPr>
        <w:t>日，尚有约人民币</w:t>
      </w:r>
      <w:r>
        <w:rPr>
          <w:spacing w:val="-56"/>
        </w:rPr>
        <w:t> </w:t>
      </w:r>
      <w:r>
        <w:rPr>
          <w:rFonts w:ascii="Arial" w:hAnsi="Arial" w:cs="Arial" w:eastAsia="Arial" w:hint="default"/>
        </w:rPr>
        <w:t>25.08</w:t>
      </w:r>
      <w:r>
        <w:rPr>
          <w:rFonts w:ascii="Arial" w:hAnsi="Arial" w:cs="Arial" w:eastAsia="Arial" w:hint="default"/>
          <w:spacing w:val="-7"/>
        </w:rPr>
        <w:t> </w:t>
      </w:r>
      <w:r>
        <w:rPr/>
        <w:t>亿元的一次性货币住房补贴尚未支付</w:t>
      </w:r>
      <w:r>
        <w:rPr>
          <w:w w:val="99"/>
        </w:rPr>
        <w:t> </w:t>
      </w:r>
      <w:r>
        <w:rPr>
          <w:spacing w:val="-2"/>
        </w:rPr>
        <w:t>完毕，对于实际支付金额多于已计提金额，网通集团将补发其差额，如果实际支付金额少</w:t>
      </w:r>
      <w:r>
        <w:rPr>
          <w:spacing w:val="-106"/>
        </w:rPr>
        <w:t> </w:t>
      </w:r>
      <w:r>
        <w:rPr>
          <w:spacing w:val="-106"/>
        </w:rPr>
      </w:r>
      <w:r>
        <w:rPr/>
        <w:t>于已计提金额，网通运营公司将支付给网通集团。于</w:t>
      </w:r>
      <w:r>
        <w:rPr>
          <w:spacing w:val="-61"/>
        </w:rPr>
        <w:t> </w:t>
      </w:r>
      <w:r>
        <w:rPr>
          <w:rFonts w:ascii="Arial" w:hAnsi="Arial" w:cs="Arial" w:eastAsia="Arial" w:hint="default"/>
        </w:rPr>
        <w:t>2009</w:t>
      </w:r>
      <w:r>
        <w:rPr>
          <w:rFonts w:ascii="Arial" w:hAnsi="Arial" w:cs="Arial" w:eastAsia="Arial" w:hint="default"/>
          <w:spacing w:val="-13"/>
        </w:rPr>
        <w:t> </w:t>
      </w:r>
      <w:r>
        <w:rPr/>
        <w:t>年</w:t>
      </w:r>
      <w:r>
        <w:rPr>
          <w:spacing w:val="-62"/>
        </w:rPr>
        <w:t> </w:t>
      </w:r>
      <w:r>
        <w:rPr>
          <w:rFonts w:ascii="Arial" w:hAnsi="Arial" w:cs="Arial" w:eastAsia="Arial" w:hint="default"/>
        </w:rPr>
        <w:t>1</w:t>
      </w:r>
      <w:r>
        <w:rPr>
          <w:rFonts w:ascii="Arial" w:hAnsi="Arial" w:cs="Arial" w:eastAsia="Arial" w:hint="default"/>
          <w:spacing w:val="-13"/>
        </w:rPr>
        <w:t> </w:t>
      </w:r>
      <w:r>
        <w:rPr/>
        <w:t>月，由于网通运营公司已</w:t>
      </w:r>
      <w:r>
        <w:rPr>
          <w:w w:val="99"/>
        </w:rPr>
        <w:t> </w:t>
      </w:r>
      <w:r>
        <w:rPr>
          <w:spacing w:val="-2"/>
        </w:rPr>
        <w:t>被联通运营公司吸收合并，网通集团也被联通集团吸收合并，因此网通运营公司和网通集</w:t>
      </w:r>
      <w:r>
        <w:rPr>
          <w:spacing w:val="-106"/>
        </w:rPr>
        <w:t> </w:t>
      </w:r>
      <w:r>
        <w:rPr>
          <w:spacing w:val="-106"/>
        </w:rPr>
      </w:r>
      <w:r>
        <w:rPr/>
        <w:t>团在上述一次性货币住房补贴中的权利和义务分别由联通运营公司和联通集团承继。</w:t>
      </w:r>
    </w:p>
    <w:p>
      <w:pPr>
        <w:spacing w:after="0" w:line="232" w:lineRule="auto"/>
        <w:jc w:val="both"/>
        <w:sectPr>
          <w:headerReference w:type="default" r:id="rId98"/>
          <w:pgSz w:w="11910" w:h="16840"/>
          <w:pgMar w:header="1189" w:footer="752" w:top="3060" w:bottom="940" w:left="1240" w:right="880"/>
        </w:sectPr>
      </w:pPr>
    </w:p>
    <w:p>
      <w:pPr>
        <w:spacing w:line="240" w:lineRule="auto" w:before="12"/>
        <w:rPr>
          <w:rFonts w:ascii="宋体" w:hAnsi="宋体" w:cs="宋体" w:eastAsia="宋体" w:hint="default"/>
          <w:sz w:val="14"/>
          <w:szCs w:val="14"/>
        </w:rPr>
      </w:pPr>
    </w:p>
    <w:p>
      <w:pPr>
        <w:pStyle w:val="BodyText"/>
        <w:spacing w:line="240" w:lineRule="auto" w:before="31"/>
        <w:ind w:left="102" w:right="90"/>
        <w:jc w:val="left"/>
        <w:rPr>
          <w:rFonts w:ascii="黑体" w:hAnsi="黑体" w:cs="黑体" w:eastAsia="黑体" w:hint="default"/>
        </w:rPr>
      </w:pPr>
      <w:r>
        <w:rPr>
          <w:rFonts w:ascii="Arial" w:hAnsi="Arial" w:cs="Arial" w:eastAsia="Arial" w:hint="default"/>
        </w:rPr>
        <w:t>20</w:t>
      </w:r>
      <w:r>
        <w:rPr/>
        <w:t>、</w:t>
      </w:r>
      <w:r>
        <w:rPr>
          <w:rFonts w:ascii="黑体" w:hAnsi="黑体" w:cs="黑体" w:eastAsia="黑体" w:hint="default"/>
        </w:rPr>
        <w:t>应付职工薪酬（续）</w:t>
      </w:r>
    </w:p>
    <w:p>
      <w:pPr>
        <w:spacing w:line="240" w:lineRule="auto" w:before="5"/>
        <w:rPr>
          <w:rFonts w:ascii="黑体" w:hAnsi="黑体" w:cs="黑体" w:eastAsia="黑体" w:hint="default"/>
          <w:sz w:val="18"/>
          <w:szCs w:val="18"/>
        </w:rPr>
      </w:pPr>
    </w:p>
    <w:p>
      <w:pPr>
        <w:pStyle w:val="BodyText"/>
        <w:spacing w:line="235" w:lineRule="auto"/>
        <w:ind w:left="1194" w:right="222" w:hanging="603"/>
        <w:jc w:val="both"/>
        <w:rPr>
          <w:rFonts w:ascii="Arial" w:hAnsi="Arial" w:cs="Arial" w:eastAsia="Arial" w:hint="default"/>
        </w:rPr>
      </w:pPr>
      <w:r>
        <w:rPr/>
        <w:t>注</w:t>
      </w:r>
      <w:r>
        <w:rPr>
          <w:spacing w:val="-48"/>
        </w:rPr>
        <w:t> </w:t>
      </w:r>
      <w:r>
        <w:rPr>
          <w:rFonts w:ascii="Arial" w:hAnsi="Arial" w:cs="Arial" w:eastAsia="Arial" w:hint="default"/>
        </w:rPr>
        <w:t>2</w:t>
      </w:r>
      <w:r>
        <w:rPr/>
        <w:t>：于网通集团重组前，根据网通集团与内退员工签署的内退协议，网通集团将在内退员工</w:t>
      </w:r>
      <w:r>
        <w:rPr>
          <w:w w:val="99"/>
        </w:rPr>
        <w:t> </w:t>
      </w:r>
      <w:r>
        <w:rPr/>
        <w:t>达到国家法定退休年龄前分期支付一定的经济补偿，该等经济补偿已于内退协议签署期</w:t>
      </w:r>
      <w:r>
        <w:rPr>
          <w:w w:val="99"/>
        </w:rPr>
        <w:t> </w:t>
      </w:r>
      <w:r>
        <w:rPr/>
        <w:t>间折现后由网通集团全额一次性计入当期费用，同时确认了相应的负债。之后，根据网</w:t>
      </w:r>
      <w:r>
        <w:rPr>
          <w:w w:val="99"/>
        </w:rPr>
        <w:t> </w:t>
      </w:r>
      <w:r>
        <w:rPr/>
        <w:t>通集团的重组安排，当网通集团的某些所属省分公司被注入网通运营公司时，该等省分</w:t>
      </w:r>
      <w:r>
        <w:rPr>
          <w:w w:val="99"/>
        </w:rPr>
        <w:t> </w:t>
      </w:r>
      <w:r>
        <w:rPr/>
        <w:t>公司就上述内退协议计提的负债余额亦由原网通运营公司承继。对于上述网通运营公司</w:t>
      </w:r>
      <w:r>
        <w:rPr>
          <w:w w:val="99"/>
        </w:rPr>
        <w:t> </w:t>
      </w:r>
      <w:r>
        <w:rPr/>
        <w:t>所承继的内退福利负债，如果今后的实际支付金额多于已计提金额，网通集团将补发其</w:t>
      </w:r>
      <w:r>
        <w:rPr>
          <w:w w:val="99"/>
        </w:rPr>
        <w:t> </w:t>
      </w:r>
      <w:r>
        <w:rPr>
          <w:spacing w:val="2"/>
        </w:rPr>
        <w:t>差额，如果实际支付金额少于已计提金额，网通运营公司将支付给网通集团。于</w:t>
      </w:r>
      <w:r>
        <w:rPr>
          <w:spacing w:val="-1"/>
        </w:rPr>
        <w:t> </w:t>
      </w:r>
      <w:r>
        <w:rPr>
          <w:rFonts w:ascii="Arial" w:hAnsi="Arial" w:cs="Arial" w:eastAsia="Arial" w:hint="default"/>
        </w:rPr>
        <w:t>2009</w:t>
      </w:r>
    </w:p>
    <w:p>
      <w:pPr>
        <w:pStyle w:val="BodyText"/>
        <w:spacing w:line="230" w:lineRule="auto"/>
        <w:ind w:left="1194" w:right="113"/>
        <w:jc w:val="both"/>
      </w:pPr>
      <w:r>
        <w:rPr/>
        <w:t>年</w:t>
      </w:r>
      <w:r>
        <w:rPr>
          <w:spacing w:val="-50"/>
        </w:rPr>
        <w:t> </w:t>
      </w:r>
      <w:r>
        <w:rPr>
          <w:rFonts w:ascii="Arial" w:hAnsi="Arial" w:cs="Arial" w:eastAsia="Arial" w:hint="default"/>
        </w:rPr>
        <w:t>1</w:t>
      </w:r>
      <w:r>
        <w:rPr>
          <w:rFonts w:ascii="Arial" w:hAnsi="Arial" w:cs="Arial" w:eastAsia="Arial" w:hint="default"/>
          <w:spacing w:val="-1"/>
        </w:rPr>
        <w:t> </w:t>
      </w:r>
      <w:r>
        <w:rPr/>
        <w:t>月，网通运营公司已被联通运营公司吸收合并，网通集团也被联通集团吸收合并，</w:t>
      </w:r>
      <w:r>
        <w:rPr>
          <w:w w:val="99"/>
        </w:rPr>
        <w:t> </w:t>
      </w:r>
      <w:r>
        <w:rPr/>
        <w:t>因此网通运营公司和网通集团在上述内退福利安排中的权利和义务分别由联通运营公司</w:t>
      </w:r>
      <w:r>
        <w:rPr>
          <w:spacing w:val="-99"/>
        </w:rPr>
        <w:t> </w:t>
      </w:r>
      <w:r>
        <w:rPr>
          <w:spacing w:val="-99"/>
        </w:rPr>
      </w:r>
      <w:r>
        <w:rPr/>
        <w:t>和联通集团承继。于 </w:t>
      </w:r>
      <w:r>
        <w:rPr>
          <w:rFonts w:ascii="Arial" w:hAnsi="Arial" w:cs="Arial" w:eastAsia="Arial" w:hint="default"/>
        </w:rPr>
        <w:t>2009</w:t>
      </w:r>
      <w:r>
        <w:rPr>
          <w:rFonts w:ascii="Arial" w:hAnsi="Arial" w:cs="Arial" w:eastAsia="Arial" w:hint="default"/>
          <w:spacing w:val="21"/>
        </w:rPr>
        <w:t> </w:t>
      </w:r>
      <w:r>
        <w:rPr/>
        <w:t>年度，本集团一次性全额将该等尚未付清的内退员工补偿费</w:t>
      </w:r>
      <w:r>
        <w:rPr>
          <w:w w:val="99"/>
        </w:rPr>
        <w:t> </w:t>
      </w:r>
      <w:r>
        <w:rPr/>
        <w:t>支付予联通集团。</w:t>
      </w:r>
    </w:p>
    <w:p>
      <w:pPr>
        <w:spacing w:line="240" w:lineRule="auto" w:before="6"/>
        <w:rPr>
          <w:rFonts w:ascii="宋体" w:hAnsi="宋体" w:cs="宋体" w:eastAsia="宋体" w:hint="default"/>
          <w:sz w:val="19"/>
          <w:szCs w:val="19"/>
        </w:rPr>
      </w:pPr>
    </w:p>
    <w:p>
      <w:pPr>
        <w:pStyle w:val="BodyText"/>
        <w:spacing w:line="237" w:lineRule="auto"/>
        <w:ind w:left="1194" w:right="90"/>
        <w:jc w:val="left"/>
      </w:pPr>
      <w:r>
        <w:rPr>
          <w:spacing w:val="-2"/>
          <w:w w:val="95"/>
        </w:rPr>
        <w:t>另外，根据联通运营公司及其子公司中讯设计院于以前年度与内退员工签署的内退协议，</w:t>
      </w:r>
      <w:r>
        <w:rPr>
          <w:spacing w:val="1"/>
          <w:w w:val="95"/>
        </w:rPr>
        <w:t> </w:t>
      </w:r>
      <w:r>
        <w:rPr>
          <w:spacing w:val="1"/>
          <w:w w:val="95"/>
        </w:rPr>
      </w:r>
      <w:r>
        <w:rPr/>
        <w:t>其将在内退员工达到国家法定退休年龄前分期支付一定的经济补偿，该等经济补偿已于</w:t>
      </w:r>
      <w:r>
        <w:rPr>
          <w:spacing w:val="-99"/>
        </w:rPr>
        <w:t> </w:t>
      </w:r>
      <w:r>
        <w:rPr>
          <w:spacing w:val="-99"/>
        </w:rPr>
      </w:r>
      <w:r>
        <w:rPr/>
        <w:t>内退协议签署期间折现后分别由联通运营公司和中讯设计院全额一次性计入签约期间的</w:t>
      </w:r>
      <w:r>
        <w:rPr>
          <w:spacing w:val="-99"/>
        </w:rPr>
        <w:t> </w:t>
      </w:r>
      <w:r>
        <w:rPr>
          <w:spacing w:val="-99"/>
        </w:rPr>
      </w:r>
      <w:r>
        <w:rPr/>
        <w:t>费用当中。</w:t>
      </w:r>
    </w:p>
    <w:p>
      <w:pPr>
        <w:spacing w:line="240" w:lineRule="auto" w:before="10"/>
        <w:rPr>
          <w:rFonts w:ascii="宋体" w:hAnsi="宋体" w:cs="宋体" w:eastAsia="宋体" w:hint="default"/>
          <w:sz w:val="19"/>
          <w:szCs w:val="19"/>
        </w:rPr>
      </w:pPr>
    </w:p>
    <w:p>
      <w:pPr>
        <w:pStyle w:val="BodyText"/>
        <w:spacing w:line="232" w:lineRule="auto"/>
        <w:ind w:left="1194" w:right="90" w:hanging="603"/>
        <w:jc w:val="left"/>
      </w:pPr>
      <w:r>
        <w:rPr/>
        <w:t>注</w:t>
      </w:r>
      <w:r>
        <w:rPr>
          <w:spacing w:val="-47"/>
        </w:rPr>
        <w:t> </w:t>
      </w:r>
      <w:r>
        <w:rPr>
          <w:rFonts w:ascii="Arial" w:hAnsi="Arial" w:cs="Arial" w:eastAsia="Arial" w:hint="default"/>
        </w:rPr>
        <w:t>3</w:t>
      </w:r>
      <w:r>
        <w:rPr/>
        <w:t>：其他中包括本集团所属个别子公司向职工提供其他离退休后补充福利，主要包括补充退</w:t>
      </w:r>
      <w:r>
        <w:rPr>
          <w:w w:val="99"/>
        </w:rPr>
        <w:t> </w:t>
      </w:r>
      <w:r>
        <w:rPr>
          <w:spacing w:val="-2"/>
          <w:w w:val="95"/>
        </w:rPr>
        <w:t>休金津贴，医药费用报销及补充医疗保险，该等离退休后补充福利被视为设定收益计划。</w:t>
      </w:r>
      <w:r>
        <w:rPr>
          <w:w w:val="99"/>
        </w:rPr>
        <w:t> </w:t>
      </w:r>
      <w:r>
        <w:rPr/>
        <w:t>设定受益计划的现值以到期日与有关离退休后补充福利预计支付期相近的政府债券的利</w:t>
      </w:r>
      <w:r>
        <w:rPr>
          <w:w w:val="99"/>
        </w:rPr>
        <w:t> </w:t>
      </w:r>
      <w:r>
        <w:rPr/>
        <w:t>率，按估计未来现金流出折现确定。</w:t>
      </w:r>
    </w:p>
    <w:p>
      <w:pPr>
        <w:spacing w:line="240" w:lineRule="auto" w:before="3"/>
        <w:rPr>
          <w:rFonts w:ascii="宋体" w:hAnsi="宋体" w:cs="宋体" w:eastAsia="宋体" w:hint="default"/>
          <w:sz w:val="19"/>
          <w:szCs w:val="19"/>
        </w:rPr>
      </w:pPr>
    </w:p>
    <w:p>
      <w:pPr>
        <w:pStyle w:val="BodyText"/>
        <w:spacing w:line="240" w:lineRule="auto"/>
        <w:ind w:left="102" w:right="90"/>
        <w:jc w:val="left"/>
        <w:rPr>
          <w:rFonts w:ascii="黑体" w:hAnsi="黑体" w:cs="黑体" w:eastAsia="黑体" w:hint="default"/>
        </w:rPr>
      </w:pPr>
      <w:r>
        <w:rPr>
          <w:rFonts w:ascii="Arial" w:hAnsi="Arial" w:cs="Arial" w:eastAsia="Arial" w:hint="default"/>
          <w:spacing w:val="2"/>
        </w:rPr>
        <w:t>21</w:t>
      </w:r>
      <w:r>
        <w:rPr>
          <w:rFonts w:ascii="黑体" w:hAnsi="黑体" w:cs="黑体" w:eastAsia="黑体" w:hint="default"/>
          <w:spacing w:val="2"/>
        </w:rPr>
        <w:t>、应交税费</w:t>
      </w:r>
    </w:p>
    <w:p>
      <w:pPr>
        <w:spacing w:line="240" w:lineRule="auto" w:before="6"/>
        <w:rPr>
          <w:rFonts w:ascii="黑体" w:hAnsi="黑体" w:cs="黑体" w:eastAsia="黑体" w:hint="default"/>
          <w:sz w:val="15"/>
          <w:szCs w:val="15"/>
        </w:rPr>
      </w:pPr>
    </w:p>
    <w:tbl>
      <w:tblPr>
        <w:tblW w:w="0" w:type="auto"/>
        <w:jc w:val="left"/>
        <w:tblInd w:w="530" w:type="dxa"/>
        <w:tblLayout w:type="fixed"/>
        <w:tblCellMar>
          <w:top w:w="0" w:type="dxa"/>
          <w:left w:w="0" w:type="dxa"/>
          <w:bottom w:w="0" w:type="dxa"/>
          <w:right w:w="0" w:type="dxa"/>
        </w:tblCellMar>
        <w:tblLook w:val="01E0"/>
      </w:tblPr>
      <w:tblGrid>
        <w:gridCol w:w="4334"/>
        <w:gridCol w:w="2402"/>
        <w:gridCol w:w="2344"/>
      </w:tblGrid>
      <w:tr>
        <w:trPr>
          <w:trHeight w:val="362" w:hRule="exact"/>
        </w:trPr>
        <w:tc>
          <w:tcPr>
            <w:tcW w:w="4334" w:type="dxa"/>
            <w:vMerge w:val="restart"/>
            <w:tcBorders>
              <w:top w:val="nil" w:sz="6" w:space="0" w:color="auto"/>
              <w:left w:val="nil" w:sz="6" w:space="0" w:color="auto"/>
              <w:right w:val="nil" w:sz="6" w:space="0" w:color="auto"/>
            </w:tcBorders>
          </w:tcPr>
          <w:p>
            <w:pPr/>
          </w:p>
        </w:tc>
        <w:tc>
          <w:tcPr>
            <w:tcW w:w="2402"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129"/>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344"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56"/>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292" w:hRule="exact"/>
        </w:trPr>
        <w:tc>
          <w:tcPr>
            <w:tcW w:w="4334" w:type="dxa"/>
            <w:vMerge/>
            <w:tcBorders>
              <w:left w:val="nil" w:sz="6" w:space="0" w:color="auto"/>
              <w:bottom w:val="nil" w:sz="6" w:space="0" w:color="auto"/>
              <w:right w:val="nil" w:sz="6" w:space="0" w:color="auto"/>
            </w:tcBorders>
          </w:tcPr>
          <w:p>
            <w:pPr/>
          </w:p>
        </w:tc>
        <w:tc>
          <w:tcPr>
            <w:tcW w:w="2402" w:type="dxa"/>
            <w:tcBorders>
              <w:top w:val="single" w:sz="6" w:space="0" w:color="000000"/>
              <w:left w:val="nil" w:sz="6" w:space="0" w:color="auto"/>
              <w:bottom w:val="nil" w:sz="6" w:space="0" w:color="auto"/>
              <w:right w:val="nil" w:sz="6" w:space="0" w:color="auto"/>
            </w:tcBorders>
          </w:tcPr>
          <w:p>
            <w:pPr/>
          </w:p>
        </w:tc>
        <w:tc>
          <w:tcPr>
            <w:tcW w:w="2344" w:type="dxa"/>
            <w:tcBorders>
              <w:top w:val="single" w:sz="6" w:space="0" w:color="000000"/>
              <w:left w:val="nil" w:sz="6" w:space="0" w:color="auto"/>
              <w:bottom w:val="nil" w:sz="6" w:space="0" w:color="auto"/>
              <w:right w:val="nil" w:sz="6" w:space="0" w:color="auto"/>
            </w:tcBorders>
          </w:tcPr>
          <w:p>
            <w:pPr>
              <w:pStyle w:val="TableParagraph"/>
              <w:spacing w:line="252" w:lineRule="exact"/>
              <w:ind w:right="33"/>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9" w:hRule="exact"/>
        </w:trPr>
        <w:tc>
          <w:tcPr>
            <w:tcW w:w="4334" w:type="dxa"/>
            <w:tcBorders>
              <w:top w:val="nil" w:sz="6" w:space="0" w:color="auto"/>
              <w:left w:val="nil" w:sz="6" w:space="0" w:color="auto"/>
              <w:bottom w:val="nil" w:sz="6" w:space="0" w:color="auto"/>
              <w:right w:val="nil" w:sz="6" w:space="0" w:color="auto"/>
            </w:tcBorders>
          </w:tcPr>
          <w:p>
            <w:pPr>
              <w:pStyle w:val="TableParagraph"/>
              <w:spacing w:line="253" w:lineRule="exact"/>
              <w:ind w:left="35" w:right="0"/>
              <w:jc w:val="left"/>
              <w:rPr>
                <w:rFonts w:ascii="宋体" w:hAnsi="宋体" w:cs="宋体" w:eastAsia="宋体" w:hint="default"/>
                <w:sz w:val="22"/>
                <w:szCs w:val="22"/>
              </w:rPr>
            </w:pPr>
            <w:r>
              <w:rPr>
                <w:rFonts w:ascii="宋体" w:hAnsi="宋体" w:cs="宋体" w:eastAsia="宋体" w:hint="default"/>
                <w:sz w:val="22"/>
                <w:szCs w:val="22"/>
              </w:rPr>
              <w:t>应交营业税</w:t>
            </w:r>
          </w:p>
        </w:tc>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52"/>
              <w:jc w:val="right"/>
              <w:rPr>
                <w:rFonts w:ascii="Arial" w:hAnsi="Arial" w:cs="Arial" w:eastAsia="Arial" w:hint="default"/>
                <w:sz w:val="22"/>
                <w:szCs w:val="22"/>
              </w:rPr>
            </w:pPr>
            <w:r>
              <w:rPr>
                <w:rFonts w:ascii="Arial"/>
                <w:w w:val="95"/>
                <w:sz w:val="22"/>
              </w:rPr>
              <w:t>446,616,399</w:t>
            </w:r>
            <w:r>
              <w:rPr>
                <w:rFonts w:ascii="Arial"/>
                <w:sz w:val="22"/>
              </w:rPr>
            </w:r>
          </w:p>
        </w:tc>
        <w:tc>
          <w:tcPr>
            <w:tcW w:w="2344"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26"/>
              <w:jc w:val="right"/>
              <w:rPr>
                <w:rFonts w:ascii="Arial" w:hAnsi="Arial" w:cs="Arial" w:eastAsia="Arial" w:hint="default"/>
                <w:sz w:val="22"/>
                <w:szCs w:val="22"/>
              </w:rPr>
            </w:pPr>
            <w:r>
              <w:rPr>
                <w:rFonts w:ascii="Arial"/>
                <w:w w:val="95"/>
                <w:sz w:val="22"/>
              </w:rPr>
              <w:t>480,960,346</w:t>
            </w:r>
            <w:r>
              <w:rPr>
                <w:rFonts w:ascii="Arial"/>
                <w:sz w:val="22"/>
              </w:rPr>
            </w:r>
          </w:p>
        </w:tc>
      </w:tr>
      <w:tr>
        <w:trPr>
          <w:trHeight w:val="285" w:hRule="exact"/>
        </w:trPr>
        <w:tc>
          <w:tcPr>
            <w:tcW w:w="4334"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sz w:val="22"/>
                <w:szCs w:val="22"/>
              </w:rPr>
              <w:t>应交增值税（注</w:t>
            </w:r>
            <w:r>
              <w:rPr>
                <w:rFonts w:ascii="宋体" w:hAnsi="宋体" w:cs="宋体" w:eastAsia="宋体" w:hint="default"/>
                <w:spacing w:val="-57"/>
                <w:sz w:val="22"/>
                <w:szCs w:val="22"/>
              </w:rPr>
              <w:t> </w:t>
            </w:r>
            <w:r>
              <w:rPr>
                <w:rFonts w:ascii="Arial" w:hAnsi="Arial" w:cs="Arial" w:eastAsia="Arial" w:hint="default"/>
                <w:sz w:val="22"/>
                <w:szCs w:val="22"/>
              </w:rPr>
              <w:t>1</w:t>
            </w:r>
            <w:r>
              <w:rPr>
                <w:rFonts w:ascii="宋体" w:hAnsi="宋体" w:cs="宋体" w:eastAsia="宋体" w:hint="default"/>
                <w:sz w:val="22"/>
                <w:szCs w:val="22"/>
              </w:rPr>
              <w:t>）</w:t>
            </w:r>
          </w:p>
        </w:tc>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0"/>
              <w:jc w:val="right"/>
              <w:rPr>
                <w:rFonts w:ascii="Arial" w:hAnsi="Arial" w:cs="Arial" w:eastAsia="Arial" w:hint="default"/>
                <w:sz w:val="22"/>
                <w:szCs w:val="22"/>
              </w:rPr>
            </w:pPr>
            <w:r>
              <w:rPr>
                <w:rFonts w:ascii="Arial"/>
                <w:w w:val="95"/>
                <w:sz w:val="22"/>
              </w:rPr>
              <w:t>(60,825,953)</w:t>
            </w:r>
            <w:r>
              <w:rPr>
                <w:rFonts w:ascii="Arial"/>
                <w:sz w:val="22"/>
              </w:rPr>
            </w:r>
          </w:p>
        </w:tc>
        <w:tc>
          <w:tcPr>
            <w:tcW w:w="2344"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53"/>
              <w:jc w:val="right"/>
              <w:rPr>
                <w:rFonts w:ascii="Arial" w:hAnsi="Arial" w:cs="Arial" w:eastAsia="Arial" w:hint="default"/>
                <w:sz w:val="22"/>
                <w:szCs w:val="22"/>
              </w:rPr>
            </w:pPr>
            <w:r>
              <w:rPr>
                <w:rFonts w:ascii="Arial"/>
                <w:w w:val="95"/>
                <w:sz w:val="22"/>
              </w:rPr>
              <w:t>(3,215,229)</w:t>
            </w:r>
            <w:r>
              <w:rPr>
                <w:rFonts w:ascii="Arial"/>
                <w:sz w:val="22"/>
              </w:rPr>
            </w:r>
          </w:p>
        </w:tc>
      </w:tr>
      <w:tr>
        <w:trPr>
          <w:trHeight w:val="285" w:hRule="exact"/>
        </w:trPr>
        <w:tc>
          <w:tcPr>
            <w:tcW w:w="4334"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sz w:val="22"/>
                <w:szCs w:val="22"/>
              </w:rPr>
              <w:t>应交企业所得税（注</w:t>
            </w:r>
            <w:r>
              <w:rPr>
                <w:rFonts w:ascii="宋体" w:hAnsi="宋体" w:cs="宋体" w:eastAsia="宋体" w:hint="default"/>
                <w:spacing w:val="-57"/>
                <w:sz w:val="22"/>
                <w:szCs w:val="22"/>
              </w:rPr>
              <w:t> </w:t>
            </w:r>
            <w:r>
              <w:rPr>
                <w:rFonts w:ascii="Arial" w:hAnsi="Arial" w:cs="Arial" w:eastAsia="Arial" w:hint="default"/>
                <w:sz w:val="22"/>
                <w:szCs w:val="22"/>
              </w:rPr>
              <w:t>2</w:t>
            </w:r>
            <w:r>
              <w:rPr>
                <w:rFonts w:ascii="宋体" w:hAnsi="宋体" w:cs="宋体" w:eastAsia="宋体" w:hint="default"/>
                <w:sz w:val="22"/>
                <w:szCs w:val="22"/>
              </w:rPr>
              <w:t>）</w:t>
            </w:r>
          </w:p>
        </w:tc>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53"/>
              <w:jc w:val="right"/>
              <w:rPr>
                <w:rFonts w:ascii="Arial" w:hAnsi="Arial" w:cs="Arial" w:eastAsia="Arial" w:hint="default"/>
                <w:sz w:val="22"/>
                <w:szCs w:val="22"/>
              </w:rPr>
            </w:pPr>
            <w:r>
              <w:rPr>
                <w:rFonts w:ascii="Arial"/>
                <w:w w:val="99"/>
                <w:sz w:val="22"/>
              </w:rPr>
              <w:t>-</w:t>
            </w:r>
            <w:r>
              <w:rPr>
                <w:rFonts w:ascii="Arial"/>
                <w:sz w:val="22"/>
              </w:rPr>
            </w:r>
          </w:p>
        </w:tc>
        <w:tc>
          <w:tcPr>
            <w:tcW w:w="2344"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28"/>
              <w:jc w:val="right"/>
              <w:rPr>
                <w:rFonts w:ascii="Arial" w:hAnsi="Arial" w:cs="Arial" w:eastAsia="Arial" w:hint="default"/>
                <w:sz w:val="22"/>
                <w:szCs w:val="22"/>
              </w:rPr>
            </w:pPr>
            <w:r>
              <w:rPr>
                <w:rFonts w:ascii="Arial"/>
                <w:spacing w:val="-1"/>
                <w:sz w:val="22"/>
              </w:rPr>
              <w:t>10,521,966,314</w:t>
            </w:r>
          </w:p>
        </w:tc>
      </w:tr>
      <w:tr>
        <w:trPr>
          <w:trHeight w:val="285" w:hRule="exact"/>
        </w:trPr>
        <w:tc>
          <w:tcPr>
            <w:tcW w:w="4334"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应交个人所得税</w:t>
            </w:r>
          </w:p>
        </w:tc>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52"/>
              <w:jc w:val="right"/>
              <w:rPr>
                <w:rFonts w:ascii="Arial" w:hAnsi="Arial" w:cs="Arial" w:eastAsia="Arial" w:hint="default"/>
                <w:sz w:val="22"/>
                <w:szCs w:val="22"/>
              </w:rPr>
            </w:pPr>
            <w:r>
              <w:rPr>
                <w:rFonts w:ascii="Arial"/>
                <w:w w:val="95"/>
                <w:sz w:val="22"/>
              </w:rPr>
              <w:t>176,078,738</w:t>
            </w:r>
            <w:r>
              <w:rPr>
                <w:rFonts w:ascii="Arial"/>
                <w:sz w:val="22"/>
              </w:rPr>
            </w:r>
          </w:p>
        </w:tc>
        <w:tc>
          <w:tcPr>
            <w:tcW w:w="2344"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26"/>
              <w:jc w:val="right"/>
              <w:rPr>
                <w:rFonts w:ascii="Arial" w:hAnsi="Arial" w:cs="Arial" w:eastAsia="Arial" w:hint="default"/>
                <w:sz w:val="22"/>
                <w:szCs w:val="22"/>
              </w:rPr>
            </w:pPr>
            <w:r>
              <w:rPr>
                <w:rFonts w:ascii="Arial"/>
                <w:w w:val="95"/>
                <w:sz w:val="22"/>
              </w:rPr>
              <w:t>163,940,861</w:t>
            </w:r>
            <w:r>
              <w:rPr>
                <w:rFonts w:ascii="Arial"/>
                <w:sz w:val="22"/>
              </w:rPr>
            </w:r>
          </w:p>
        </w:tc>
      </w:tr>
      <w:tr>
        <w:trPr>
          <w:trHeight w:val="266" w:hRule="exact"/>
        </w:trPr>
        <w:tc>
          <w:tcPr>
            <w:tcW w:w="4334" w:type="dxa"/>
            <w:tcBorders>
              <w:top w:val="nil" w:sz="6" w:space="0" w:color="auto"/>
              <w:left w:val="nil" w:sz="6" w:space="0" w:color="auto"/>
              <w:bottom w:val="nil" w:sz="6" w:space="0" w:color="auto"/>
              <w:right w:val="nil" w:sz="6" w:space="0" w:color="auto"/>
            </w:tcBorders>
          </w:tcPr>
          <w:p>
            <w:pPr>
              <w:pStyle w:val="TableParagraph"/>
              <w:spacing w:line="240" w:lineRule="exact"/>
              <w:ind w:left="35" w:right="0"/>
              <w:jc w:val="left"/>
              <w:rPr>
                <w:rFonts w:ascii="宋体" w:hAnsi="宋体" w:cs="宋体" w:eastAsia="宋体" w:hint="default"/>
                <w:sz w:val="22"/>
                <w:szCs w:val="22"/>
              </w:rPr>
            </w:pPr>
            <w:r>
              <w:rPr>
                <w:rFonts w:ascii="宋体" w:hAnsi="宋体" w:cs="宋体" w:eastAsia="宋体" w:hint="default"/>
                <w:sz w:val="22"/>
                <w:szCs w:val="22"/>
              </w:rPr>
              <w:t>应交房产税</w:t>
            </w:r>
          </w:p>
        </w:tc>
        <w:tc>
          <w:tcPr>
            <w:tcW w:w="240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53"/>
              <w:jc w:val="right"/>
              <w:rPr>
                <w:rFonts w:ascii="Arial" w:hAnsi="Arial" w:cs="Arial" w:eastAsia="Arial" w:hint="default"/>
                <w:sz w:val="22"/>
                <w:szCs w:val="22"/>
              </w:rPr>
            </w:pPr>
            <w:r>
              <w:rPr>
                <w:rFonts w:ascii="Arial"/>
                <w:w w:val="95"/>
                <w:sz w:val="22"/>
              </w:rPr>
              <w:t>42,817,607</w:t>
            </w:r>
            <w:r>
              <w:rPr>
                <w:rFonts w:ascii="Arial"/>
                <w:sz w:val="22"/>
              </w:rPr>
            </w:r>
          </w:p>
        </w:tc>
        <w:tc>
          <w:tcPr>
            <w:tcW w:w="2344"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27"/>
              <w:jc w:val="right"/>
              <w:rPr>
                <w:rFonts w:ascii="Arial" w:hAnsi="Arial" w:cs="Arial" w:eastAsia="Arial" w:hint="default"/>
                <w:sz w:val="22"/>
                <w:szCs w:val="22"/>
              </w:rPr>
            </w:pPr>
            <w:r>
              <w:rPr>
                <w:rFonts w:ascii="Arial"/>
                <w:w w:val="95"/>
                <w:sz w:val="22"/>
              </w:rPr>
              <w:t>41,411,762</w:t>
            </w:r>
            <w:r>
              <w:rPr>
                <w:rFonts w:ascii="Arial"/>
                <w:sz w:val="22"/>
              </w:rPr>
            </w:r>
          </w:p>
        </w:tc>
      </w:tr>
    </w:tbl>
    <w:p>
      <w:pPr>
        <w:pStyle w:val="BodyText"/>
        <w:tabs>
          <w:tab w:pos="4863" w:val="left" w:leader="none"/>
          <w:tab w:pos="5888" w:val="left" w:leader="none"/>
          <w:tab w:pos="8258" w:val="left" w:leader="none"/>
          <w:tab w:pos="9572" w:val="left" w:leader="none"/>
        </w:tabs>
        <w:spacing w:line="290" w:lineRule="exact"/>
        <w:ind w:left="565" w:right="90"/>
        <w:jc w:val="left"/>
        <w:rPr>
          <w:rFonts w:ascii="Arial" w:hAnsi="Arial" w:cs="Arial" w:eastAsia="Arial" w:hint="default"/>
        </w:rPr>
      </w:pPr>
      <w:r>
        <w:rPr>
          <w:w w:val="95"/>
          <w:position w:val="2"/>
        </w:rPr>
        <w:t>其他</w:t>
        <w:tab/>
      </w:r>
      <w:r>
        <w:rPr>
          <w:rFonts w:ascii="Arial" w:hAnsi="Arial" w:cs="Arial" w:eastAsia="Arial" w:hint="default"/>
          <w:w w:val="95"/>
        </w:rPr>
      </w:r>
      <w:r>
        <w:rPr>
          <w:rFonts w:ascii="Arial" w:hAnsi="Arial" w:cs="Arial" w:eastAsia="Arial" w:hint="default"/>
          <w:w w:val="95"/>
          <w:u w:val="single" w:color="000000"/>
        </w:rPr>
        <w:t> </w:t>
        <w:tab/>
        <w:t>307,299,958</w:t>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101,834,418</w:t>
        <w:tab/>
      </w:r>
      <w:r>
        <w:rPr>
          <w:rFonts w:ascii="Arial" w:hAnsi="Arial" w:cs="Arial" w:eastAsia="Arial" w:hint="default"/>
        </w:rPr>
      </w:r>
    </w:p>
    <w:p>
      <w:pPr>
        <w:spacing w:line="240" w:lineRule="auto" w:before="7"/>
        <w:rPr>
          <w:rFonts w:ascii="Arial" w:hAnsi="Arial" w:cs="Arial" w:eastAsia="Arial" w:hint="default"/>
          <w:sz w:val="17"/>
          <w:szCs w:val="17"/>
        </w:rPr>
      </w:pPr>
    </w:p>
    <w:p>
      <w:pPr>
        <w:pStyle w:val="BodyText"/>
        <w:tabs>
          <w:tab w:pos="5888" w:val="left" w:leader="none"/>
          <w:tab w:pos="7952" w:val="left" w:leader="none"/>
        </w:tabs>
        <w:spacing w:line="240" w:lineRule="auto" w:before="27"/>
        <w:ind w:left="565" w:right="90"/>
        <w:jc w:val="left"/>
        <w:rPr>
          <w:rFonts w:ascii="Arial" w:hAnsi="Arial" w:cs="Arial" w:eastAsia="Arial" w:hint="default"/>
        </w:rPr>
      </w:pPr>
      <w:r>
        <w:rPr>
          <w:w w:val="95"/>
          <w:position w:val="2"/>
        </w:rPr>
        <w:t>合计</w:t>
        <w:tab/>
      </w:r>
      <w:r>
        <w:rPr>
          <w:rFonts w:ascii="Arial" w:hAnsi="Arial" w:cs="Arial" w:eastAsia="Arial" w:hint="default"/>
          <w:w w:val="95"/>
        </w:rPr>
        <w:t>911,986,749</w:t>
        <w:tab/>
      </w:r>
      <w:r>
        <w:rPr>
          <w:rFonts w:ascii="Arial" w:hAnsi="Arial" w:cs="Arial" w:eastAsia="Arial" w:hint="default"/>
        </w:rPr>
        <w:t>11,306,898,472</w:t>
      </w:r>
    </w:p>
    <w:p>
      <w:pPr>
        <w:spacing w:line="43" w:lineRule="exact"/>
        <w:ind w:left="4849" w:right="0" w:firstLine="0"/>
        <w:rPr>
          <w:rFonts w:ascii="Arial" w:hAnsi="Arial" w:cs="Arial" w:eastAsia="Arial" w:hint="default"/>
          <w:sz w:val="4"/>
          <w:szCs w:val="4"/>
        </w:rPr>
      </w:pPr>
      <w:r>
        <w:rPr>
          <w:rFonts w:ascii="Arial" w:hAnsi="Arial" w:cs="Arial" w:eastAsia="Arial" w:hint="default"/>
          <w:position w:val="0"/>
          <w:sz w:val="4"/>
          <w:szCs w:val="4"/>
        </w:rPr>
        <w:pict>
          <v:group style="width:236.9pt;height:2.2pt;mso-position-horizontal-relative:char;mso-position-vertical-relative:line" coordorigin="0,0" coordsize="4738,44">
            <v:group style="position:absolute;left:7;top:36;width:2334;height:2" coordorigin="7,36" coordsize="2334,2">
              <v:shape style="position:absolute;left:7;top:36;width:2334;height:2" coordorigin="7,36" coordsize="2334,0" path="m7,36l2341,36e" filled="false" stroked="true" strokeweight=".72pt" strokecolor="#000000">
                <v:path arrowok="t"/>
              </v:shape>
            </v:group>
            <v:group style="position:absolute;left:7;top:7;width:2334;height:2" coordorigin="7,7" coordsize="2334,2">
              <v:shape style="position:absolute;left:7;top:7;width:2334;height:2" coordorigin="7,7" coordsize="2334,0" path="m7,7l2341,7e" filled="false" stroked="true" strokeweight=".72pt" strokecolor="#000000">
                <v:path arrowok="t"/>
              </v:shape>
            </v:group>
            <v:group style="position:absolute;left:2410;top:36;width:2321;height:2" coordorigin="2410,36" coordsize="2321,2">
              <v:shape style="position:absolute;left:2410;top:36;width:2321;height:2" coordorigin="2410,36" coordsize="2321,0" path="m2410,36l4730,36e" filled="false" stroked="true" strokeweight=".72pt" strokecolor="#000000">
                <v:path arrowok="t"/>
              </v:shape>
            </v:group>
            <v:group style="position:absolute;left:2410;top:7;width:2321;height:2" coordorigin="2410,7" coordsize="2321,2">
              <v:shape style="position:absolute;left:2410;top:7;width:2321;height:2" coordorigin="2410,7" coordsize="2321,0" path="m2410,7l4730,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5"/>
        <w:rPr>
          <w:rFonts w:ascii="Arial" w:hAnsi="Arial" w:cs="Arial" w:eastAsia="Arial" w:hint="default"/>
          <w:sz w:val="16"/>
          <w:szCs w:val="16"/>
        </w:rPr>
      </w:pPr>
    </w:p>
    <w:p>
      <w:pPr>
        <w:pStyle w:val="BodyText"/>
        <w:spacing w:line="286" w:lineRule="exact" w:before="60"/>
        <w:ind w:left="1166" w:right="277" w:hanging="617"/>
        <w:jc w:val="left"/>
      </w:pPr>
      <w:r>
        <w:rPr/>
        <w:t>注</w:t>
      </w:r>
      <w:r>
        <w:rPr>
          <w:spacing w:val="-56"/>
        </w:rPr>
        <w:t> </w:t>
      </w:r>
      <w:r>
        <w:rPr>
          <w:rFonts w:ascii="Arial" w:hAnsi="Arial" w:cs="Arial" w:eastAsia="Arial" w:hint="default"/>
        </w:rPr>
        <w:t>1</w:t>
      </w: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日，联通运营公司所属子公司约有人民币</w:t>
      </w:r>
      <w:r>
        <w:rPr>
          <w:spacing w:val="-56"/>
        </w:rPr>
        <w:t> </w:t>
      </w:r>
      <w:r>
        <w:rPr>
          <w:rFonts w:ascii="Arial" w:hAnsi="Arial" w:cs="Arial" w:eastAsia="Arial" w:hint="default"/>
        </w:rPr>
        <w:t>6,146</w:t>
      </w:r>
      <w:r>
        <w:rPr>
          <w:rFonts w:ascii="Arial" w:hAnsi="Arial" w:cs="Arial" w:eastAsia="Arial" w:hint="default"/>
          <w:spacing w:val="-7"/>
        </w:rPr>
        <w:t> </w:t>
      </w:r>
      <w:r>
        <w:rPr/>
        <w:t>万元增值税进项税</w:t>
      </w:r>
      <w:r>
        <w:rPr>
          <w:w w:val="99"/>
        </w:rPr>
        <w:t> </w:t>
      </w:r>
      <w:r>
        <w:rPr/>
        <w:t>余额尚未进行抵扣。</w:t>
      </w:r>
    </w:p>
    <w:p>
      <w:pPr>
        <w:spacing w:line="240" w:lineRule="auto" w:before="1"/>
        <w:rPr>
          <w:rFonts w:ascii="宋体" w:hAnsi="宋体" w:cs="宋体" w:eastAsia="宋体" w:hint="default"/>
          <w:sz w:val="17"/>
          <w:szCs w:val="17"/>
        </w:rPr>
      </w:pPr>
    </w:p>
    <w:p>
      <w:pPr>
        <w:pStyle w:val="BodyText"/>
        <w:spacing w:line="295" w:lineRule="exact"/>
        <w:ind w:left="549" w:right="90"/>
        <w:jc w:val="left"/>
      </w:pPr>
      <w:r>
        <w:rPr>
          <w:w w:val="99"/>
        </w:rPr>
        <w:t>注</w:t>
      </w:r>
      <w:r>
        <w:rPr>
          <w:spacing w:val="-55"/>
        </w:rPr>
        <w:t> </w:t>
      </w:r>
      <w:r>
        <w:rPr>
          <w:rFonts w:ascii="Arial" w:hAnsi="Arial" w:cs="Arial" w:eastAsia="Arial" w:hint="default"/>
          <w:w w:val="99"/>
        </w:rPr>
        <w:t>2</w:t>
      </w:r>
      <w:r>
        <w:rPr>
          <w:spacing w:val="13"/>
          <w:w w:val="99"/>
        </w:rPr>
        <w:t>：</w:t>
      </w:r>
      <w:r>
        <w:rPr>
          <w:w w:val="99"/>
        </w:rPr>
        <w:t>于</w:t>
      </w:r>
      <w:r>
        <w:rPr>
          <w:spacing w:val="-55"/>
        </w:rPr>
        <w:t> </w:t>
      </w:r>
      <w:r>
        <w:rPr>
          <w:rFonts w:ascii="Arial" w:hAnsi="Arial" w:cs="Arial" w:eastAsia="Arial" w:hint="default"/>
          <w:w w:val="99"/>
        </w:rPr>
        <w:t>2009</w:t>
      </w:r>
      <w:r>
        <w:rPr>
          <w:rFonts w:ascii="Arial" w:hAnsi="Arial" w:cs="Arial" w:eastAsia="Arial" w:hint="default"/>
          <w:spacing w:val="-6"/>
        </w:rPr>
        <w:t> </w:t>
      </w:r>
      <w:r>
        <w:rPr>
          <w:w w:val="99"/>
        </w:rPr>
        <w:t>年</w:t>
      </w:r>
      <w:r>
        <w:rPr>
          <w:spacing w:val="-55"/>
        </w:rPr>
        <w:t> </w:t>
      </w:r>
      <w:r>
        <w:rPr>
          <w:rFonts w:ascii="Arial" w:hAnsi="Arial" w:cs="Arial" w:eastAsia="Arial" w:hint="default"/>
          <w:w w:val="99"/>
        </w:rPr>
        <w:t>12</w:t>
      </w:r>
      <w:r>
        <w:rPr>
          <w:rFonts w:ascii="Arial" w:hAnsi="Arial" w:cs="Arial" w:eastAsia="Arial" w:hint="default"/>
          <w:spacing w:val="-6"/>
        </w:rPr>
        <w:t> </w:t>
      </w:r>
      <w:r>
        <w:rPr>
          <w:w w:val="99"/>
        </w:rPr>
        <w:t>月</w:t>
      </w:r>
      <w:r>
        <w:rPr>
          <w:spacing w:val="-55"/>
        </w:rPr>
        <w:t> </w:t>
      </w:r>
      <w:r>
        <w:rPr>
          <w:rFonts w:ascii="Arial" w:hAnsi="Arial" w:cs="Arial" w:eastAsia="Arial" w:hint="default"/>
          <w:w w:val="99"/>
        </w:rPr>
        <w:t>31</w:t>
      </w:r>
      <w:r>
        <w:rPr>
          <w:rFonts w:ascii="Arial" w:hAnsi="Arial" w:cs="Arial" w:eastAsia="Arial" w:hint="default"/>
          <w:spacing w:val="-6"/>
        </w:rPr>
        <w:t> </w:t>
      </w:r>
      <w:r>
        <w:rPr>
          <w:w w:val="99"/>
        </w:rPr>
        <w:t>日</w:t>
      </w:r>
      <w:r>
        <w:rPr>
          <w:spacing w:val="-95"/>
          <w:w w:val="99"/>
        </w:rPr>
        <w:t>，</w:t>
      </w:r>
      <w:r>
        <w:rPr>
          <w:w w:val="99"/>
        </w:rPr>
        <w:t>本集团</w:t>
      </w:r>
      <w:r>
        <w:rPr>
          <w:spacing w:val="-55"/>
        </w:rPr>
        <w:t> </w:t>
      </w:r>
      <w:r>
        <w:rPr>
          <w:rFonts w:ascii="Arial" w:hAnsi="Arial" w:cs="Arial" w:eastAsia="Arial" w:hint="default"/>
          <w:w w:val="99"/>
        </w:rPr>
        <w:t>20</w:t>
      </w:r>
      <w:r>
        <w:rPr>
          <w:rFonts w:ascii="Arial" w:hAnsi="Arial" w:cs="Arial" w:eastAsia="Arial" w:hint="default"/>
          <w:spacing w:val="1"/>
          <w:w w:val="99"/>
        </w:rPr>
        <w:t>0</w:t>
      </w:r>
      <w:r>
        <w:rPr>
          <w:rFonts w:ascii="Arial" w:hAnsi="Arial" w:cs="Arial" w:eastAsia="Arial" w:hint="default"/>
          <w:w w:val="99"/>
        </w:rPr>
        <w:t>9</w:t>
      </w:r>
      <w:r>
        <w:rPr>
          <w:rFonts w:ascii="Arial" w:hAnsi="Arial" w:cs="Arial" w:eastAsia="Arial" w:hint="default"/>
          <w:spacing w:val="-6"/>
        </w:rPr>
        <w:t> </w:t>
      </w:r>
      <w:r>
        <w:rPr>
          <w:w w:val="99"/>
        </w:rPr>
        <w:t>年度实</w:t>
      </w:r>
      <w:r>
        <w:rPr>
          <w:spacing w:val="1"/>
          <w:w w:val="99"/>
        </w:rPr>
        <w:t>际</w:t>
      </w:r>
      <w:r>
        <w:rPr>
          <w:w w:val="99"/>
        </w:rPr>
        <w:t>预缴的</w:t>
      </w:r>
      <w:r>
        <w:rPr>
          <w:spacing w:val="1"/>
          <w:w w:val="99"/>
        </w:rPr>
        <w:t>企业</w:t>
      </w:r>
      <w:r>
        <w:rPr>
          <w:w w:val="99"/>
        </w:rPr>
        <w:t>所得税</w:t>
      </w:r>
      <w:r>
        <w:rPr>
          <w:spacing w:val="1"/>
          <w:w w:val="99"/>
        </w:rPr>
        <w:t>超过</w:t>
      </w:r>
      <w:r>
        <w:rPr>
          <w:w w:val="99"/>
        </w:rPr>
        <w:t>本集团</w:t>
      </w:r>
      <w:r>
        <w:rPr>
          <w:spacing w:val="1"/>
          <w:w w:val="99"/>
        </w:rPr>
        <w:t>预计</w:t>
      </w:r>
      <w:r>
        <w:rPr>
          <w:w w:val="99"/>
        </w:rPr>
        <w:t>应缴纳</w:t>
      </w:r>
      <w:r>
        <w:rPr/>
      </w:r>
    </w:p>
    <w:p>
      <w:pPr>
        <w:pStyle w:val="BodyText"/>
        <w:spacing w:line="295" w:lineRule="exact"/>
        <w:ind w:left="1165" w:right="0"/>
        <w:jc w:val="left"/>
      </w:pPr>
      <w:r>
        <w:rPr/>
        <w:t>的企业所得税约人民币</w:t>
      </w:r>
      <w:r>
        <w:rPr>
          <w:spacing w:val="-79"/>
        </w:rPr>
        <w:t> </w:t>
      </w:r>
      <w:r>
        <w:rPr>
          <w:rFonts w:ascii="Arial" w:hAnsi="Arial" w:cs="Arial" w:eastAsia="Arial" w:hint="default"/>
        </w:rPr>
        <w:t>10.59</w:t>
      </w:r>
      <w:r>
        <w:rPr>
          <w:rFonts w:ascii="Arial" w:hAnsi="Arial" w:cs="Arial" w:eastAsia="Arial" w:hint="default"/>
          <w:spacing w:val="-31"/>
        </w:rPr>
        <w:t> </w:t>
      </w:r>
      <w:r>
        <w:rPr/>
        <w:t>亿元被记录于其他流动资产，故应交企业所得税余额为零。</w:t>
      </w:r>
    </w:p>
    <w:p>
      <w:pPr>
        <w:spacing w:after="0" w:line="295" w:lineRule="exact"/>
        <w:jc w:val="left"/>
        <w:sectPr>
          <w:headerReference w:type="default" r:id="rId99"/>
          <w:pgSz w:w="11910" w:h="16840"/>
          <w:pgMar w:header="1189" w:footer="752" w:top="3060" w:bottom="940" w:left="1280" w:right="820"/>
        </w:sectPr>
      </w:pPr>
    </w:p>
    <w:p>
      <w:pPr>
        <w:spacing w:line="240" w:lineRule="auto" w:before="3"/>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4743"/>
        <w:gridCol w:w="2368"/>
        <w:gridCol w:w="2381"/>
      </w:tblGrid>
      <w:tr>
        <w:trPr>
          <w:trHeight w:val="365" w:hRule="exact"/>
        </w:trPr>
        <w:tc>
          <w:tcPr>
            <w:tcW w:w="4743" w:type="dxa"/>
            <w:tcBorders>
              <w:top w:val="nil" w:sz="6" w:space="0" w:color="auto"/>
              <w:left w:val="nil" w:sz="6" w:space="0" w:color="auto"/>
              <w:bottom w:val="nil" w:sz="6" w:space="0" w:color="auto"/>
              <w:right w:val="nil" w:sz="6" w:space="0" w:color="auto"/>
            </w:tcBorders>
          </w:tcPr>
          <w:p>
            <w:pPr>
              <w:pStyle w:val="TableParagraph"/>
              <w:spacing w:line="240" w:lineRule="auto" w:before="31"/>
              <w:ind w:left="456" w:right="0"/>
              <w:jc w:val="left"/>
              <w:rPr>
                <w:rFonts w:ascii="宋体" w:hAnsi="宋体" w:cs="宋体" w:eastAsia="宋体" w:hint="default"/>
                <w:sz w:val="22"/>
                <w:szCs w:val="22"/>
              </w:rPr>
            </w:pPr>
            <w:r>
              <w:rPr>
                <w:rFonts w:ascii="宋体" w:hAnsi="宋体" w:cs="宋体" w:eastAsia="宋体" w:hint="default"/>
                <w:sz w:val="22"/>
                <w:szCs w:val="22"/>
              </w:rPr>
              <w:t>应付短期借款利息</w:t>
            </w:r>
          </w:p>
        </w:tc>
        <w:tc>
          <w:tcPr>
            <w:tcW w:w="2368"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45"/>
              <w:jc w:val="right"/>
              <w:rPr>
                <w:rFonts w:ascii="Arial" w:hAnsi="Arial" w:cs="Arial" w:eastAsia="Arial" w:hint="default"/>
                <w:sz w:val="22"/>
                <w:szCs w:val="22"/>
              </w:rPr>
            </w:pPr>
            <w:r>
              <w:rPr>
                <w:rFonts w:ascii="Arial"/>
                <w:w w:val="95"/>
                <w:sz w:val="22"/>
              </w:rPr>
              <w:t>70,054,223</w:t>
            </w:r>
            <w:r>
              <w:rPr>
                <w:rFonts w:ascii="Arial"/>
                <w:sz w:val="22"/>
              </w:rPr>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76"/>
              <w:jc w:val="right"/>
              <w:rPr>
                <w:rFonts w:ascii="Arial" w:hAnsi="Arial" w:cs="Arial" w:eastAsia="Arial" w:hint="default"/>
                <w:sz w:val="22"/>
                <w:szCs w:val="22"/>
              </w:rPr>
            </w:pPr>
            <w:r>
              <w:rPr>
                <w:rFonts w:ascii="Arial"/>
                <w:w w:val="95"/>
                <w:sz w:val="22"/>
              </w:rPr>
              <w:t>13,659,706</w:t>
            </w:r>
            <w:r>
              <w:rPr>
                <w:rFonts w:ascii="Arial"/>
                <w:sz w:val="22"/>
              </w:rPr>
            </w:r>
          </w:p>
        </w:tc>
      </w:tr>
      <w:tr>
        <w:trPr>
          <w:trHeight w:val="285" w:hRule="exact"/>
        </w:trPr>
        <w:tc>
          <w:tcPr>
            <w:tcW w:w="4743" w:type="dxa"/>
            <w:tcBorders>
              <w:top w:val="nil" w:sz="6" w:space="0" w:color="auto"/>
              <w:left w:val="nil" w:sz="6" w:space="0" w:color="auto"/>
              <w:bottom w:val="nil" w:sz="6" w:space="0" w:color="auto"/>
              <w:right w:val="nil" w:sz="6" w:space="0" w:color="auto"/>
            </w:tcBorders>
          </w:tcPr>
          <w:p>
            <w:pPr>
              <w:pStyle w:val="TableParagraph"/>
              <w:spacing w:line="239" w:lineRule="exact"/>
              <w:ind w:left="476" w:right="0"/>
              <w:jc w:val="left"/>
              <w:rPr>
                <w:rFonts w:ascii="宋体" w:hAnsi="宋体" w:cs="宋体" w:eastAsia="宋体" w:hint="default"/>
                <w:sz w:val="22"/>
                <w:szCs w:val="22"/>
              </w:rPr>
            </w:pPr>
            <w:r>
              <w:rPr>
                <w:rFonts w:ascii="宋体" w:hAnsi="宋体" w:cs="宋体" w:eastAsia="宋体" w:hint="default"/>
                <w:sz w:val="22"/>
                <w:szCs w:val="22"/>
              </w:rPr>
              <w:t>应付长期借款利息</w:t>
            </w:r>
          </w:p>
        </w:tc>
        <w:tc>
          <w:tcPr>
            <w:tcW w:w="236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45"/>
              <w:jc w:val="right"/>
              <w:rPr>
                <w:rFonts w:ascii="Arial" w:hAnsi="Arial" w:cs="Arial" w:eastAsia="Arial" w:hint="default"/>
                <w:sz w:val="22"/>
                <w:szCs w:val="22"/>
              </w:rPr>
            </w:pPr>
            <w:r>
              <w:rPr>
                <w:rFonts w:ascii="Arial"/>
                <w:w w:val="95"/>
                <w:sz w:val="22"/>
              </w:rPr>
              <w:t>8,333,471</w:t>
            </w:r>
            <w:r>
              <w:rPr>
                <w:rFonts w:ascii="Arial"/>
                <w:sz w:val="22"/>
              </w:rPr>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76"/>
              <w:jc w:val="right"/>
              <w:rPr>
                <w:rFonts w:ascii="Arial" w:hAnsi="Arial" w:cs="Arial" w:eastAsia="Arial" w:hint="default"/>
                <w:sz w:val="22"/>
                <w:szCs w:val="22"/>
              </w:rPr>
            </w:pPr>
            <w:r>
              <w:rPr>
                <w:rFonts w:ascii="Arial"/>
                <w:w w:val="95"/>
                <w:sz w:val="22"/>
              </w:rPr>
              <w:t>11,152,230</w:t>
            </w:r>
            <w:r>
              <w:rPr>
                <w:rFonts w:ascii="Arial"/>
                <w:sz w:val="22"/>
              </w:rPr>
            </w:r>
          </w:p>
        </w:tc>
      </w:tr>
      <w:tr>
        <w:trPr>
          <w:trHeight w:val="419" w:hRule="exact"/>
        </w:trPr>
        <w:tc>
          <w:tcPr>
            <w:tcW w:w="4743" w:type="dxa"/>
            <w:tcBorders>
              <w:top w:val="nil" w:sz="6" w:space="0" w:color="auto"/>
              <w:left w:val="nil" w:sz="6" w:space="0" w:color="auto"/>
              <w:bottom w:val="nil" w:sz="6" w:space="0" w:color="auto"/>
              <w:right w:val="nil" w:sz="6" w:space="0" w:color="auto"/>
            </w:tcBorders>
          </w:tcPr>
          <w:p>
            <w:pPr>
              <w:pStyle w:val="TableParagraph"/>
              <w:spacing w:line="239" w:lineRule="exact"/>
              <w:ind w:left="476" w:right="0"/>
              <w:jc w:val="left"/>
              <w:rPr>
                <w:rFonts w:ascii="宋体" w:hAnsi="宋体" w:cs="宋体" w:eastAsia="宋体" w:hint="default"/>
                <w:sz w:val="22"/>
                <w:szCs w:val="22"/>
              </w:rPr>
            </w:pPr>
            <w:r>
              <w:rPr>
                <w:rFonts w:ascii="宋体" w:hAnsi="宋体" w:cs="宋体" w:eastAsia="宋体" w:hint="default"/>
                <w:sz w:val="22"/>
                <w:szCs w:val="22"/>
              </w:rPr>
              <w:t>应付债券利息</w:t>
            </w:r>
          </w:p>
        </w:tc>
        <w:tc>
          <w:tcPr>
            <w:tcW w:w="2368" w:type="dxa"/>
            <w:tcBorders>
              <w:top w:val="nil" w:sz="6" w:space="0" w:color="auto"/>
              <w:left w:val="nil" w:sz="6" w:space="0" w:color="auto"/>
              <w:bottom w:val="nil" w:sz="6" w:space="0" w:color="auto"/>
              <w:right w:val="nil" w:sz="6" w:space="0" w:color="auto"/>
            </w:tcBorders>
          </w:tcPr>
          <w:p>
            <w:pPr>
              <w:pStyle w:val="TableParagraph"/>
              <w:tabs>
                <w:tab w:pos="981" w:val="left" w:leader="none"/>
                <w:tab w:pos="2309" w:val="left" w:leader="none"/>
              </w:tabs>
              <w:spacing w:line="240" w:lineRule="auto" w:before="17"/>
              <w:ind w:right="39"/>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138,000,000</w:t>
            </w:r>
            <w:r>
              <w:rPr>
                <w:rFonts w:ascii="Arial"/>
                <w:sz w:val="22"/>
                <w:u w:val="single" w:color="000000"/>
              </w:rPr>
              <w:tab/>
            </w:r>
            <w:r>
              <w:rPr>
                <w:rFonts w:ascii="Arial"/>
                <w:sz w:val="22"/>
              </w:rPr>
            </w:r>
          </w:p>
        </w:tc>
        <w:tc>
          <w:tcPr>
            <w:tcW w:w="2381" w:type="dxa"/>
            <w:tcBorders>
              <w:top w:val="nil" w:sz="6" w:space="0" w:color="auto"/>
              <w:left w:val="nil" w:sz="6" w:space="0" w:color="auto"/>
              <w:bottom w:val="nil" w:sz="6" w:space="0" w:color="auto"/>
              <w:right w:val="nil" w:sz="6" w:space="0" w:color="auto"/>
            </w:tcBorders>
          </w:tcPr>
          <w:p>
            <w:pPr>
              <w:pStyle w:val="TableParagraph"/>
              <w:tabs>
                <w:tab w:pos="1037" w:val="left" w:leader="none"/>
                <w:tab w:pos="2331"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242,095,890</w:t>
            </w:r>
            <w:r>
              <w:rPr>
                <w:rFonts w:ascii="Arial"/>
                <w:sz w:val="22"/>
                <w:u w:val="single" w:color="000000"/>
              </w:rPr>
              <w:tab/>
            </w:r>
            <w:r>
              <w:rPr>
                <w:rFonts w:ascii="Arial"/>
                <w:sz w:val="22"/>
              </w:rPr>
            </w:r>
          </w:p>
        </w:tc>
      </w:tr>
      <w:tr>
        <w:trPr>
          <w:trHeight w:val="431" w:hRule="exact"/>
        </w:trPr>
        <w:tc>
          <w:tcPr>
            <w:tcW w:w="4743" w:type="dxa"/>
            <w:tcBorders>
              <w:top w:val="nil" w:sz="6" w:space="0" w:color="auto"/>
              <w:left w:val="nil" w:sz="6" w:space="0" w:color="auto"/>
              <w:bottom w:val="nil" w:sz="6" w:space="0" w:color="auto"/>
              <w:right w:val="nil" w:sz="6" w:space="0" w:color="auto"/>
            </w:tcBorders>
          </w:tcPr>
          <w:p>
            <w:pPr>
              <w:pStyle w:val="TableParagraph"/>
              <w:spacing w:line="240" w:lineRule="auto" w:before="85"/>
              <w:ind w:left="476"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368"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144"/>
              <w:jc w:val="right"/>
              <w:rPr>
                <w:rFonts w:ascii="Arial" w:hAnsi="Arial" w:cs="Arial" w:eastAsia="Arial" w:hint="default"/>
                <w:sz w:val="22"/>
                <w:szCs w:val="22"/>
              </w:rPr>
            </w:pPr>
            <w:r>
              <w:rPr>
                <w:rFonts w:ascii="Arial"/>
                <w:w w:val="95"/>
                <w:sz w:val="22"/>
              </w:rPr>
              <w:t>216,387,694</w:t>
            </w:r>
            <w:r>
              <w:rPr>
                <w:rFonts w:ascii="Arial"/>
                <w:sz w:val="22"/>
              </w:rPr>
            </w:r>
          </w:p>
        </w:tc>
        <w:tc>
          <w:tcPr>
            <w:tcW w:w="2381"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75"/>
              <w:jc w:val="right"/>
              <w:rPr>
                <w:rFonts w:ascii="Arial" w:hAnsi="Arial" w:cs="Arial" w:eastAsia="Arial" w:hint="default"/>
                <w:sz w:val="22"/>
                <w:szCs w:val="22"/>
              </w:rPr>
            </w:pPr>
            <w:r>
              <w:rPr>
                <w:rFonts w:ascii="Arial"/>
                <w:w w:val="95"/>
                <w:sz w:val="22"/>
              </w:rPr>
              <w:t>266,907,826</w:t>
            </w:r>
            <w:r>
              <w:rPr>
                <w:rFonts w:ascii="Arial"/>
                <w:sz w:val="22"/>
              </w:rPr>
            </w:r>
          </w:p>
        </w:tc>
      </w:tr>
      <w:tr>
        <w:trPr>
          <w:trHeight w:val="738" w:hRule="exact"/>
        </w:trPr>
        <w:tc>
          <w:tcPr>
            <w:tcW w:w="4743"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35" w:right="0"/>
              <w:jc w:val="left"/>
              <w:rPr>
                <w:rFonts w:ascii="黑体" w:hAnsi="黑体" w:cs="黑体" w:eastAsia="黑体" w:hint="default"/>
                <w:sz w:val="22"/>
                <w:szCs w:val="22"/>
              </w:rPr>
            </w:pPr>
            <w:r>
              <w:rPr>
                <w:rFonts w:ascii="Arial" w:hAnsi="Arial" w:cs="Arial" w:eastAsia="Arial" w:hint="default"/>
                <w:sz w:val="22"/>
                <w:szCs w:val="22"/>
              </w:rPr>
              <w:t>23</w:t>
            </w:r>
            <w:r>
              <w:rPr>
                <w:rFonts w:ascii="黑体" w:hAnsi="黑体" w:cs="黑体" w:eastAsia="黑体" w:hint="default"/>
                <w:sz w:val="22"/>
                <w:szCs w:val="22"/>
              </w:rPr>
              <w:t>、应付股利/利润</w:t>
            </w:r>
          </w:p>
        </w:tc>
        <w:tc>
          <w:tcPr>
            <w:tcW w:w="2368" w:type="dxa"/>
            <w:tcBorders>
              <w:top w:val="single" w:sz="17" w:space="0" w:color="000000"/>
              <w:left w:val="nil" w:sz="6" w:space="0" w:color="auto"/>
              <w:bottom w:val="nil" w:sz="6" w:space="0" w:color="auto"/>
              <w:right w:val="nil" w:sz="6" w:space="0" w:color="auto"/>
            </w:tcBorders>
          </w:tcPr>
          <w:p>
            <w:pPr/>
          </w:p>
        </w:tc>
        <w:tc>
          <w:tcPr>
            <w:tcW w:w="2381" w:type="dxa"/>
            <w:tcBorders>
              <w:top w:val="single" w:sz="17" w:space="0" w:color="000000"/>
              <w:left w:val="nil" w:sz="6" w:space="0" w:color="auto"/>
              <w:bottom w:val="nil" w:sz="6" w:space="0" w:color="auto"/>
              <w:right w:val="nil" w:sz="6" w:space="0" w:color="auto"/>
            </w:tcBorders>
          </w:tcPr>
          <w:p>
            <w:pPr/>
          </w:p>
        </w:tc>
      </w:tr>
      <w:tr>
        <w:trPr>
          <w:trHeight w:val="429" w:hRule="exact"/>
        </w:trPr>
        <w:tc>
          <w:tcPr>
            <w:tcW w:w="4743" w:type="dxa"/>
            <w:tcBorders>
              <w:top w:val="nil" w:sz="6" w:space="0" w:color="auto"/>
              <w:left w:val="nil" w:sz="6" w:space="0" w:color="auto"/>
              <w:bottom w:val="nil" w:sz="6" w:space="0" w:color="auto"/>
              <w:right w:val="nil" w:sz="6" w:space="0" w:color="auto"/>
            </w:tcBorders>
          </w:tcPr>
          <w:p>
            <w:pPr/>
          </w:p>
        </w:tc>
        <w:tc>
          <w:tcPr>
            <w:tcW w:w="2368" w:type="dxa"/>
            <w:tcBorders>
              <w:top w:val="nil" w:sz="6" w:space="0" w:color="auto"/>
              <w:left w:val="nil" w:sz="6" w:space="0" w:color="auto"/>
              <w:bottom w:val="single" w:sz="6" w:space="0" w:color="000000"/>
              <w:right w:val="nil" w:sz="6" w:space="0" w:color="auto"/>
            </w:tcBorders>
          </w:tcPr>
          <w:p>
            <w:pPr>
              <w:pStyle w:val="TableParagraph"/>
              <w:spacing w:line="240" w:lineRule="auto" w:before="101"/>
              <w:ind w:left="386" w:right="0"/>
              <w:jc w:val="lef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381" w:type="dxa"/>
            <w:tcBorders>
              <w:top w:val="nil" w:sz="6" w:space="0" w:color="auto"/>
              <w:left w:val="nil" w:sz="6" w:space="0" w:color="auto"/>
              <w:bottom w:val="single" w:sz="6" w:space="0" w:color="000000"/>
              <w:right w:val="nil" w:sz="6" w:space="0" w:color="auto"/>
            </w:tcBorders>
          </w:tcPr>
          <w:p>
            <w:pPr>
              <w:pStyle w:val="TableParagraph"/>
              <w:spacing w:line="240" w:lineRule="auto" w:before="101"/>
              <w:ind w:right="55"/>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559" w:hRule="exact"/>
        </w:trPr>
        <w:tc>
          <w:tcPr>
            <w:tcW w:w="474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476" w:right="0"/>
              <w:jc w:val="left"/>
              <w:rPr>
                <w:rFonts w:ascii="宋体" w:hAnsi="宋体" w:cs="宋体" w:eastAsia="宋体" w:hint="default"/>
                <w:sz w:val="22"/>
                <w:szCs w:val="22"/>
              </w:rPr>
            </w:pPr>
            <w:r>
              <w:rPr>
                <w:rFonts w:ascii="宋体" w:hAnsi="宋体" w:cs="宋体" w:eastAsia="宋体" w:hint="default"/>
                <w:sz w:val="22"/>
                <w:szCs w:val="22"/>
              </w:rPr>
              <w:t>应付本公司股东</w:t>
            </w:r>
          </w:p>
        </w:tc>
        <w:tc>
          <w:tcPr>
            <w:tcW w:w="2368"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17"/>
              <w:jc w:val="right"/>
              <w:rPr>
                <w:rFonts w:ascii="Arial" w:hAnsi="Arial" w:cs="Arial" w:eastAsia="Arial" w:hint="default"/>
                <w:sz w:val="22"/>
                <w:szCs w:val="22"/>
              </w:rPr>
            </w:pPr>
            <w:r>
              <w:rPr>
                <w:rFonts w:ascii="Arial"/>
                <w:w w:val="95"/>
                <w:sz w:val="22"/>
              </w:rPr>
              <w:t>76,541</w:t>
            </w:r>
            <w:r>
              <w:rPr>
                <w:rFonts w:ascii="Arial"/>
                <w:sz w:val="22"/>
              </w:rPr>
            </w:r>
          </w:p>
        </w:tc>
        <w:tc>
          <w:tcPr>
            <w:tcW w:w="2381"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04"/>
              <w:jc w:val="right"/>
              <w:rPr>
                <w:rFonts w:ascii="Arial" w:hAnsi="Arial" w:cs="Arial" w:eastAsia="Arial" w:hint="default"/>
                <w:sz w:val="22"/>
                <w:szCs w:val="22"/>
              </w:rPr>
            </w:pPr>
            <w:r>
              <w:rPr>
                <w:rFonts w:ascii="Arial"/>
                <w:w w:val="95"/>
                <w:sz w:val="22"/>
              </w:rPr>
              <w:t>1,779,147</w:t>
            </w:r>
            <w:r>
              <w:rPr>
                <w:rFonts w:ascii="Arial"/>
                <w:sz w:val="22"/>
              </w:rPr>
            </w:r>
          </w:p>
        </w:tc>
      </w:tr>
      <w:tr>
        <w:trPr>
          <w:trHeight w:val="285" w:hRule="exact"/>
        </w:trPr>
        <w:tc>
          <w:tcPr>
            <w:tcW w:w="4743" w:type="dxa"/>
            <w:tcBorders>
              <w:top w:val="nil" w:sz="6" w:space="0" w:color="auto"/>
              <w:left w:val="nil" w:sz="6" w:space="0" w:color="auto"/>
              <w:bottom w:val="nil" w:sz="6" w:space="0" w:color="auto"/>
              <w:right w:val="nil" w:sz="6" w:space="0" w:color="auto"/>
            </w:tcBorders>
          </w:tcPr>
          <w:p>
            <w:pPr>
              <w:pStyle w:val="TableParagraph"/>
              <w:spacing w:line="255" w:lineRule="exact"/>
              <w:ind w:left="476" w:right="0"/>
              <w:jc w:val="left"/>
              <w:rPr>
                <w:rFonts w:ascii="宋体" w:hAnsi="宋体" w:cs="宋体" w:eastAsia="宋体" w:hint="default"/>
                <w:sz w:val="22"/>
                <w:szCs w:val="22"/>
              </w:rPr>
            </w:pPr>
            <w:r>
              <w:rPr>
                <w:rFonts w:ascii="宋体" w:hAnsi="宋体" w:cs="宋体" w:eastAsia="宋体" w:hint="default"/>
                <w:sz w:val="22"/>
                <w:szCs w:val="22"/>
              </w:rPr>
              <w:t>应付网通集团</w:t>
            </w:r>
            <w:r>
              <w:rPr>
                <w:rFonts w:ascii="宋体" w:hAnsi="宋体" w:cs="宋体" w:eastAsia="宋体" w:hint="default"/>
                <w:spacing w:val="-57"/>
                <w:sz w:val="22"/>
                <w:szCs w:val="22"/>
              </w:rPr>
              <w:t> </w:t>
            </w:r>
            <w:r>
              <w:rPr>
                <w:rFonts w:ascii="Arial" w:hAnsi="Arial" w:cs="Arial" w:eastAsia="Arial" w:hint="default"/>
                <w:sz w:val="22"/>
                <w:szCs w:val="22"/>
              </w:rPr>
              <w:t>BVI</w:t>
            </w:r>
            <w:r>
              <w:rPr>
                <w:rFonts w:ascii="Arial" w:hAnsi="Arial" w:cs="Arial" w:eastAsia="Arial" w:hint="default"/>
                <w:spacing w:val="-8"/>
                <w:sz w:val="22"/>
                <w:szCs w:val="22"/>
              </w:rPr>
              <w:t> </w:t>
            </w:r>
            <w:r>
              <w:rPr>
                <w:rFonts w:ascii="宋体" w:hAnsi="宋体" w:cs="宋体" w:eastAsia="宋体" w:hint="default"/>
                <w:sz w:val="22"/>
                <w:szCs w:val="22"/>
              </w:rPr>
              <w:t>公司</w:t>
            </w:r>
          </w:p>
        </w:tc>
        <w:tc>
          <w:tcPr>
            <w:tcW w:w="236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7"/>
              <w:jc w:val="right"/>
              <w:rPr>
                <w:rFonts w:ascii="Arial" w:hAnsi="Arial" w:cs="Arial" w:eastAsia="Arial" w:hint="default"/>
                <w:sz w:val="22"/>
                <w:szCs w:val="22"/>
              </w:rPr>
            </w:pPr>
            <w:r>
              <w:rPr>
                <w:rFonts w:ascii="Arial"/>
                <w:w w:val="95"/>
                <w:sz w:val="22"/>
              </w:rPr>
              <w:t>24,057,068</w:t>
            </w:r>
            <w:r>
              <w:rPr>
                <w:rFonts w:ascii="Arial"/>
                <w:sz w:val="22"/>
              </w:rPr>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4"/>
              <w:jc w:val="right"/>
              <w:rPr>
                <w:rFonts w:ascii="Arial" w:hAnsi="Arial" w:cs="Arial" w:eastAsia="Arial" w:hint="default"/>
                <w:sz w:val="22"/>
                <w:szCs w:val="22"/>
              </w:rPr>
            </w:pPr>
            <w:r>
              <w:rPr>
                <w:rFonts w:ascii="Arial"/>
                <w:w w:val="99"/>
                <w:sz w:val="22"/>
              </w:rPr>
              <w:t>-</w:t>
            </w:r>
            <w:r>
              <w:rPr>
                <w:rFonts w:ascii="Arial"/>
                <w:sz w:val="22"/>
              </w:rPr>
            </w:r>
          </w:p>
        </w:tc>
      </w:tr>
      <w:tr>
        <w:trPr>
          <w:trHeight w:val="285" w:hRule="exact"/>
        </w:trPr>
        <w:tc>
          <w:tcPr>
            <w:tcW w:w="4743" w:type="dxa"/>
            <w:tcBorders>
              <w:top w:val="nil" w:sz="6" w:space="0" w:color="auto"/>
              <w:left w:val="nil" w:sz="6" w:space="0" w:color="auto"/>
              <w:bottom w:val="nil" w:sz="6" w:space="0" w:color="auto"/>
              <w:right w:val="nil" w:sz="6" w:space="0" w:color="auto"/>
            </w:tcBorders>
          </w:tcPr>
          <w:p>
            <w:pPr>
              <w:pStyle w:val="TableParagraph"/>
              <w:spacing w:line="255" w:lineRule="exact"/>
              <w:ind w:left="476" w:right="0"/>
              <w:jc w:val="left"/>
              <w:rPr>
                <w:rFonts w:ascii="宋体" w:hAnsi="宋体" w:cs="宋体" w:eastAsia="宋体" w:hint="default"/>
                <w:sz w:val="22"/>
                <w:szCs w:val="22"/>
              </w:rPr>
            </w:pPr>
            <w:r>
              <w:rPr>
                <w:rFonts w:ascii="宋体" w:hAnsi="宋体" w:cs="宋体" w:eastAsia="宋体" w:hint="default"/>
                <w:sz w:val="22"/>
                <w:szCs w:val="22"/>
              </w:rPr>
              <w:t>应付北京市通信公司（注</w:t>
            </w:r>
            <w:r>
              <w:rPr>
                <w:rFonts w:ascii="宋体" w:hAnsi="宋体" w:cs="宋体" w:eastAsia="宋体" w:hint="default"/>
                <w:spacing w:val="-57"/>
                <w:sz w:val="22"/>
                <w:szCs w:val="22"/>
              </w:rPr>
              <w:t> </w:t>
            </w:r>
            <w:r>
              <w:rPr>
                <w:rFonts w:ascii="Arial" w:hAnsi="Arial" w:cs="Arial" w:eastAsia="Arial" w:hint="default"/>
                <w:sz w:val="22"/>
                <w:szCs w:val="22"/>
              </w:rPr>
              <w:t>1</w:t>
            </w:r>
            <w:r>
              <w:rPr>
                <w:rFonts w:ascii="宋体" w:hAnsi="宋体" w:cs="宋体" w:eastAsia="宋体" w:hint="default"/>
                <w:sz w:val="22"/>
                <w:szCs w:val="22"/>
              </w:rPr>
              <w:t>）</w:t>
            </w:r>
          </w:p>
        </w:tc>
        <w:tc>
          <w:tcPr>
            <w:tcW w:w="236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7"/>
              <w:jc w:val="right"/>
              <w:rPr>
                <w:rFonts w:ascii="Arial" w:hAnsi="Arial" w:cs="Arial" w:eastAsia="Arial" w:hint="default"/>
                <w:sz w:val="22"/>
                <w:szCs w:val="22"/>
              </w:rPr>
            </w:pPr>
            <w:r>
              <w:rPr>
                <w:rFonts w:ascii="Arial"/>
                <w:w w:val="99"/>
                <w:sz w:val="22"/>
              </w:rPr>
              <w:t>-</w:t>
            </w:r>
            <w:r>
              <w:rPr>
                <w:rFonts w:ascii="Arial"/>
                <w:sz w:val="22"/>
              </w:rPr>
            </w:r>
          </w:p>
        </w:tc>
        <w:tc>
          <w:tcPr>
            <w:tcW w:w="238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4"/>
              <w:jc w:val="right"/>
              <w:rPr>
                <w:rFonts w:ascii="Arial" w:hAnsi="Arial" w:cs="Arial" w:eastAsia="Arial" w:hint="default"/>
                <w:sz w:val="22"/>
                <w:szCs w:val="22"/>
              </w:rPr>
            </w:pPr>
            <w:r>
              <w:rPr>
                <w:rFonts w:ascii="Arial"/>
                <w:w w:val="95"/>
                <w:sz w:val="22"/>
              </w:rPr>
              <w:t>51,830,959</w:t>
            </w:r>
            <w:r>
              <w:rPr>
                <w:rFonts w:ascii="Arial"/>
                <w:sz w:val="22"/>
              </w:rPr>
            </w:r>
          </w:p>
        </w:tc>
      </w:tr>
      <w:tr>
        <w:trPr>
          <w:trHeight w:val="419" w:hRule="exact"/>
        </w:trPr>
        <w:tc>
          <w:tcPr>
            <w:tcW w:w="4743" w:type="dxa"/>
            <w:tcBorders>
              <w:top w:val="nil" w:sz="6" w:space="0" w:color="auto"/>
              <w:left w:val="nil" w:sz="6" w:space="0" w:color="auto"/>
              <w:bottom w:val="nil" w:sz="6" w:space="0" w:color="auto"/>
              <w:right w:val="nil" w:sz="6" w:space="0" w:color="auto"/>
            </w:tcBorders>
          </w:tcPr>
          <w:p>
            <w:pPr>
              <w:pStyle w:val="TableParagraph"/>
              <w:spacing w:line="255" w:lineRule="exact"/>
              <w:ind w:left="476" w:right="0"/>
              <w:jc w:val="left"/>
              <w:rPr>
                <w:rFonts w:ascii="宋体" w:hAnsi="宋体" w:cs="宋体" w:eastAsia="宋体" w:hint="default"/>
                <w:sz w:val="22"/>
                <w:szCs w:val="22"/>
              </w:rPr>
            </w:pPr>
            <w:r>
              <w:rPr>
                <w:rFonts w:ascii="宋体" w:hAnsi="宋体" w:cs="宋体" w:eastAsia="宋体" w:hint="default"/>
                <w:sz w:val="22"/>
                <w:szCs w:val="22"/>
              </w:rPr>
              <w:t>应付网通集团（注</w:t>
            </w:r>
            <w:r>
              <w:rPr>
                <w:rFonts w:ascii="宋体" w:hAnsi="宋体" w:cs="宋体" w:eastAsia="宋体" w:hint="default"/>
                <w:spacing w:val="-57"/>
                <w:sz w:val="22"/>
                <w:szCs w:val="22"/>
              </w:rPr>
              <w:t> </w:t>
            </w:r>
            <w:r>
              <w:rPr>
                <w:rFonts w:ascii="Arial" w:hAnsi="Arial" w:cs="Arial" w:eastAsia="Arial" w:hint="default"/>
                <w:sz w:val="22"/>
                <w:szCs w:val="22"/>
              </w:rPr>
              <w:t>2</w:t>
            </w:r>
            <w:r>
              <w:rPr>
                <w:rFonts w:ascii="宋体" w:hAnsi="宋体" w:cs="宋体" w:eastAsia="宋体" w:hint="default"/>
                <w:sz w:val="22"/>
                <w:szCs w:val="22"/>
              </w:rPr>
              <w:t>）</w:t>
            </w:r>
          </w:p>
        </w:tc>
        <w:tc>
          <w:tcPr>
            <w:tcW w:w="2368" w:type="dxa"/>
            <w:tcBorders>
              <w:top w:val="nil" w:sz="6" w:space="0" w:color="auto"/>
              <w:left w:val="nil" w:sz="6" w:space="0" w:color="auto"/>
              <w:bottom w:val="nil" w:sz="6" w:space="0" w:color="auto"/>
              <w:right w:val="nil" w:sz="6" w:space="0" w:color="auto"/>
            </w:tcBorders>
          </w:tcPr>
          <w:p>
            <w:pPr>
              <w:pStyle w:val="TableParagraph"/>
              <w:tabs>
                <w:tab w:pos="2167" w:val="left" w:leader="none"/>
                <w:tab w:pos="2318" w:val="left" w:leader="none"/>
              </w:tabs>
              <w:spacing w:line="240" w:lineRule="auto" w:before="17"/>
              <w:ind w:right="40"/>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w:t>
            </w:r>
            <w:r>
              <w:rPr>
                <w:rFonts w:ascii="Arial"/>
                <w:sz w:val="22"/>
                <w:u w:val="single" w:color="000000"/>
              </w:rPr>
              <w:tab/>
            </w:r>
            <w:r>
              <w:rPr>
                <w:rFonts w:ascii="Arial"/>
                <w:sz w:val="22"/>
              </w:rPr>
            </w:r>
          </w:p>
        </w:tc>
        <w:tc>
          <w:tcPr>
            <w:tcW w:w="2381" w:type="dxa"/>
            <w:tcBorders>
              <w:top w:val="nil" w:sz="6" w:space="0" w:color="auto"/>
              <w:left w:val="nil" w:sz="6" w:space="0" w:color="auto"/>
              <w:bottom w:val="nil" w:sz="6" w:space="0" w:color="auto"/>
              <w:right w:val="nil" w:sz="6" w:space="0" w:color="auto"/>
            </w:tcBorders>
          </w:tcPr>
          <w:p>
            <w:pPr>
              <w:pStyle w:val="TableParagraph"/>
              <w:tabs>
                <w:tab w:pos="1010" w:val="left" w:leader="none"/>
                <w:tab w:pos="2305" w:val="left" w:leader="none"/>
              </w:tabs>
              <w:spacing w:line="240" w:lineRule="auto" w:before="17"/>
              <w:ind w:right="32"/>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214,000,000</w:t>
            </w:r>
            <w:r>
              <w:rPr>
                <w:rFonts w:ascii="Arial"/>
                <w:sz w:val="22"/>
                <w:u w:val="single" w:color="000000"/>
              </w:rPr>
              <w:tab/>
            </w:r>
            <w:r>
              <w:rPr>
                <w:rFonts w:ascii="Arial"/>
                <w:sz w:val="22"/>
              </w:rPr>
            </w:r>
          </w:p>
        </w:tc>
      </w:tr>
      <w:tr>
        <w:trPr>
          <w:trHeight w:val="430" w:hRule="exact"/>
        </w:trPr>
        <w:tc>
          <w:tcPr>
            <w:tcW w:w="4743" w:type="dxa"/>
            <w:tcBorders>
              <w:top w:val="nil" w:sz="6" w:space="0" w:color="auto"/>
              <w:left w:val="nil" w:sz="6" w:space="0" w:color="auto"/>
              <w:bottom w:val="nil" w:sz="6" w:space="0" w:color="auto"/>
              <w:right w:val="nil" w:sz="6" w:space="0" w:color="auto"/>
            </w:tcBorders>
          </w:tcPr>
          <w:p>
            <w:pPr>
              <w:pStyle w:val="TableParagraph"/>
              <w:spacing w:line="240" w:lineRule="auto" w:before="85"/>
              <w:ind w:left="476"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368"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117"/>
              <w:jc w:val="right"/>
              <w:rPr>
                <w:rFonts w:ascii="Arial" w:hAnsi="Arial" w:cs="Arial" w:eastAsia="Arial" w:hint="default"/>
                <w:sz w:val="22"/>
                <w:szCs w:val="22"/>
              </w:rPr>
            </w:pPr>
            <w:r>
              <w:rPr>
                <w:rFonts w:ascii="Arial"/>
                <w:w w:val="95"/>
                <w:sz w:val="22"/>
              </w:rPr>
              <w:t>24,133,609</w:t>
            </w:r>
            <w:r>
              <w:rPr>
                <w:rFonts w:ascii="Arial"/>
                <w:sz w:val="22"/>
              </w:rPr>
            </w:r>
          </w:p>
        </w:tc>
        <w:tc>
          <w:tcPr>
            <w:tcW w:w="2381"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103"/>
              <w:jc w:val="right"/>
              <w:rPr>
                <w:rFonts w:ascii="Arial" w:hAnsi="Arial" w:cs="Arial" w:eastAsia="Arial" w:hint="default"/>
                <w:sz w:val="22"/>
                <w:szCs w:val="22"/>
              </w:rPr>
            </w:pPr>
            <w:r>
              <w:rPr>
                <w:rFonts w:ascii="Arial"/>
                <w:w w:val="95"/>
                <w:sz w:val="22"/>
              </w:rPr>
              <w:t>267,610,106</w:t>
            </w:r>
            <w:r>
              <w:rPr>
                <w:rFonts w:ascii="Arial"/>
                <w:sz w:val="22"/>
              </w:rPr>
            </w:r>
          </w:p>
        </w:tc>
      </w:tr>
    </w:tbl>
    <w:p>
      <w:pPr>
        <w:spacing w:line="240" w:lineRule="auto" w:before="7"/>
        <w:rPr>
          <w:rFonts w:ascii="宋体" w:hAnsi="宋体" w:cs="宋体" w:eastAsia="宋体" w:hint="default"/>
          <w:sz w:val="12"/>
          <w:szCs w:val="12"/>
        </w:rPr>
      </w:pPr>
    </w:p>
    <w:p>
      <w:pPr>
        <w:pStyle w:val="BodyText"/>
        <w:spacing w:line="295" w:lineRule="exact" w:before="31"/>
        <w:ind w:left="576" w:right="0"/>
        <w:jc w:val="left"/>
      </w:pPr>
      <w:r>
        <w:rPr/>
        <w:t>注</w:t>
      </w:r>
      <w:r>
        <w:rPr>
          <w:spacing w:val="-46"/>
        </w:rPr>
        <w:t> </w:t>
      </w:r>
      <w:r>
        <w:rPr>
          <w:rFonts w:ascii="Arial" w:hAnsi="Arial" w:cs="Arial" w:eastAsia="Arial" w:hint="default"/>
        </w:rPr>
        <w:t>1</w:t>
      </w:r>
      <w:r>
        <w:rPr/>
        <w:t>：于</w:t>
      </w:r>
      <w:r>
        <w:rPr>
          <w:spacing w:val="-45"/>
        </w:rPr>
        <w:t> </w:t>
      </w:r>
      <w:r>
        <w:rPr>
          <w:rFonts w:ascii="Arial" w:hAnsi="Arial" w:cs="Arial" w:eastAsia="Arial" w:hint="default"/>
        </w:rPr>
        <w:t>2007</w:t>
      </w:r>
      <w:r>
        <w:rPr>
          <w:rFonts w:ascii="Arial" w:hAnsi="Arial" w:cs="Arial" w:eastAsia="Arial" w:hint="default"/>
          <w:spacing w:val="4"/>
        </w:rPr>
        <w:t> </w:t>
      </w:r>
      <w:r>
        <w:rPr/>
        <w:t>年</w:t>
      </w:r>
      <w:r>
        <w:rPr>
          <w:spacing w:val="-45"/>
        </w:rPr>
        <w:t> </w:t>
      </w:r>
      <w:r>
        <w:rPr>
          <w:rFonts w:ascii="Arial" w:hAnsi="Arial" w:cs="Arial" w:eastAsia="Arial" w:hint="default"/>
        </w:rPr>
        <w:t>12</w:t>
      </w:r>
      <w:r>
        <w:rPr>
          <w:rFonts w:ascii="Arial" w:hAnsi="Arial" w:cs="Arial" w:eastAsia="Arial" w:hint="default"/>
          <w:spacing w:val="4"/>
        </w:rPr>
        <w:t> </w:t>
      </w:r>
      <w:r>
        <w:rPr/>
        <w:t>月</w:t>
      </w:r>
      <w:r>
        <w:rPr>
          <w:spacing w:val="-46"/>
        </w:rPr>
        <w:t> </w:t>
      </w:r>
      <w:r>
        <w:rPr>
          <w:rFonts w:ascii="Arial" w:hAnsi="Arial" w:cs="Arial" w:eastAsia="Arial" w:hint="default"/>
        </w:rPr>
        <w:t>31</w:t>
      </w:r>
      <w:r>
        <w:rPr>
          <w:rFonts w:ascii="Arial" w:hAnsi="Arial" w:cs="Arial" w:eastAsia="Arial" w:hint="default"/>
          <w:spacing w:val="4"/>
        </w:rPr>
        <w:t> </w:t>
      </w:r>
      <w:r>
        <w:rPr/>
        <w:t>日，系统集成公司完成了向网通集团所属子公司北京市通信公司收</w:t>
      </w:r>
    </w:p>
    <w:p>
      <w:pPr>
        <w:pStyle w:val="BodyText"/>
        <w:spacing w:line="285" w:lineRule="exact"/>
        <w:ind w:left="1192" w:right="0"/>
        <w:jc w:val="left"/>
      </w:pPr>
      <w:r>
        <w:rPr>
          <w:spacing w:val="-3"/>
        </w:rPr>
        <w:t>购规划设计院的交易，根据收购协议，规划设计院自改制后成立日至</w:t>
      </w:r>
      <w:r>
        <w:rPr>
          <w:spacing w:val="-58"/>
        </w:rPr>
        <w:t> </w:t>
      </w:r>
      <w:r>
        <w:rPr>
          <w:rFonts w:ascii="Arial" w:hAnsi="Arial" w:cs="Arial" w:eastAsia="Arial" w:hint="default"/>
        </w:rPr>
        <w:t>2007</w:t>
      </w:r>
      <w:r>
        <w:rPr>
          <w:rFonts w:ascii="Arial" w:hAnsi="Arial" w:cs="Arial" w:eastAsia="Arial" w:hint="default"/>
          <w:spacing w:val="-11"/>
        </w:rPr>
        <w:t> </w:t>
      </w:r>
      <w:r>
        <w:rPr/>
        <w:t>年末的净利润</w:t>
      </w:r>
    </w:p>
    <w:p>
      <w:pPr>
        <w:pStyle w:val="BodyText"/>
        <w:spacing w:line="285" w:lineRule="exact"/>
        <w:ind w:left="1192" w:right="0"/>
        <w:jc w:val="left"/>
        <w:rPr>
          <w:rFonts w:ascii="Arial" w:hAnsi="Arial" w:cs="Arial" w:eastAsia="Arial" w:hint="default"/>
        </w:rPr>
      </w:pPr>
      <w:r>
        <w:rPr/>
        <w:t>归属于北京市通信公司，因此确认为应付北京市通信公司利润。截至 </w:t>
      </w:r>
      <w:r>
        <w:rPr>
          <w:rFonts w:ascii="Arial" w:hAnsi="Arial" w:cs="Arial" w:eastAsia="Arial" w:hint="default"/>
        </w:rPr>
        <w:t>2009 </w:t>
      </w:r>
      <w:r>
        <w:rPr/>
        <w:t>年 </w:t>
      </w:r>
      <w:r>
        <w:rPr>
          <w:rFonts w:ascii="Arial" w:hAnsi="Arial" w:cs="Arial" w:eastAsia="Arial" w:hint="default"/>
        </w:rPr>
        <w:t>12 </w:t>
      </w:r>
      <w:r>
        <w:rPr/>
        <w:t>月</w:t>
      </w:r>
      <w:r>
        <w:rPr>
          <w:spacing w:val="-49"/>
        </w:rPr>
        <w:t> </w:t>
      </w:r>
      <w:r>
        <w:rPr>
          <w:rFonts w:ascii="Arial" w:hAnsi="Arial" w:cs="Arial" w:eastAsia="Arial" w:hint="default"/>
        </w:rPr>
        <w:t>31</w:t>
      </w:r>
    </w:p>
    <w:p>
      <w:pPr>
        <w:pStyle w:val="BodyText"/>
        <w:spacing w:line="278" w:lineRule="exact"/>
        <w:ind w:left="1192" w:right="106"/>
        <w:jc w:val="left"/>
      </w:pPr>
      <w:r>
        <w:rPr/>
        <w:t>日止，该应付利润已支付完毕。</w:t>
      </w:r>
    </w:p>
    <w:p>
      <w:pPr>
        <w:spacing w:line="240" w:lineRule="auto" w:before="2"/>
        <w:rPr>
          <w:rFonts w:ascii="宋体" w:hAnsi="宋体" w:cs="宋体" w:eastAsia="宋体" w:hint="default"/>
          <w:sz w:val="19"/>
          <w:szCs w:val="19"/>
        </w:rPr>
      </w:pPr>
    </w:p>
    <w:p>
      <w:pPr>
        <w:pStyle w:val="BodyText"/>
        <w:spacing w:line="295" w:lineRule="exact"/>
        <w:ind w:left="576" w:right="0"/>
        <w:jc w:val="left"/>
      </w:pPr>
      <w:r>
        <w:rPr/>
        <w:t>注</w:t>
      </w:r>
      <w:r>
        <w:rPr>
          <w:spacing w:val="-46"/>
        </w:rPr>
        <w:t> </w:t>
      </w:r>
      <w:r>
        <w:rPr>
          <w:rFonts w:ascii="Arial" w:hAnsi="Arial" w:cs="Arial" w:eastAsia="Arial" w:hint="default"/>
        </w:rPr>
        <w:t>2</w:t>
      </w:r>
      <w:r>
        <w:rPr/>
        <w:t>：于</w:t>
      </w:r>
      <w:r>
        <w:rPr>
          <w:spacing w:val="-45"/>
        </w:rPr>
        <w:t> </w:t>
      </w:r>
      <w:r>
        <w:rPr>
          <w:rFonts w:ascii="Arial" w:hAnsi="Arial" w:cs="Arial" w:eastAsia="Arial" w:hint="default"/>
        </w:rPr>
        <w:t>2005</w:t>
      </w:r>
      <w:r>
        <w:rPr>
          <w:rFonts w:ascii="Arial" w:hAnsi="Arial" w:cs="Arial" w:eastAsia="Arial" w:hint="default"/>
          <w:spacing w:val="4"/>
        </w:rPr>
        <w:t> </w:t>
      </w:r>
      <w:r>
        <w:rPr/>
        <w:t>年</w:t>
      </w:r>
      <w:r>
        <w:rPr>
          <w:spacing w:val="-45"/>
        </w:rPr>
        <w:t> </w:t>
      </w:r>
      <w:r>
        <w:rPr>
          <w:rFonts w:ascii="Arial" w:hAnsi="Arial" w:cs="Arial" w:eastAsia="Arial" w:hint="default"/>
        </w:rPr>
        <w:t>10</w:t>
      </w:r>
      <w:r>
        <w:rPr>
          <w:rFonts w:ascii="Arial" w:hAnsi="Arial" w:cs="Arial" w:eastAsia="Arial" w:hint="default"/>
          <w:spacing w:val="4"/>
        </w:rPr>
        <w:t> </w:t>
      </w:r>
      <w:r>
        <w:rPr/>
        <w:t>月</w:t>
      </w:r>
      <w:r>
        <w:rPr>
          <w:spacing w:val="-46"/>
        </w:rPr>
        <w:t> </w:t>
      </w:r>
      <w:r>
        <w:rPr>
          <w:rFonts w:ascii="Arial" w:hAnsi="Arial" w:cs="Arial" w:eastAsia="Arial" w:hint="default"/>
        </w:rPr>
        <w:t>31</w:t>
      </w:r>
      <w:r>
        <w:rPr>
          <w:rFonts w:ascii="Arial" w:hAnsi="Arial" w:cs="Arial" w:eastAsia="Arial" w:hint="default"/>
          <w:spacing w:val="4"/>
        </w:rPr>
        <w:t> </w:t>
      </w:r>
      <w:r>
        <w:rPr/>
        <w:t>日，网通红筹公司完成了向网通集团收购网通新天地的交易，根据</w:t>
      </w:r>
    </w:p>
    <w:p>
      <w:pPr>
        <w:pStyle w:val="BodyText"/>
        <w:spacing w:line="285" w:lineRule="exact"/>
        <w:ind w:left="1192" w:right="0"/>
        <w:jc w:val="left"/>
      </w:pPr>
      <w:r>
        <w:rPr>
          <w:spacing w:val="-5"/>
        </w:rPr>
        <w:t>收购协议，网通新天地于</w:t>
      </w:r>
      <w:r>
        <w:rPr>
          <w:spacing w:val="-56"/>
        </w:rPr>
        <w:t> </w:t>
      </w:r>
      <w:r>
        <w:rPr>
          <w:rFonts w:ascii="Arial" w:hAnsi="Arial" w:cs="Arial" w:eastAsia="Arial" w:hint="default"/>
        </w:rPr>
        <w:t>2005</w:t>
      </w:r>
      <w:r>
        <w:rPr>
          <w:rFonts w:ascii="Arial" w:hAnsi="Arial" w:cs="Arial" w:eastAsia="Arial" w:hint="default"/>
          <w:spacing w:val="-7"/>
        </w:rPr>
        <w:t> </w:t>
      </w:r>
      <w:r>
        <w:rPr/>
        <w:t>年</w:t>
      </w:r>
      <w:r>
        <w:rPr>
          <w:spacing w:val="-56"/>
        </w:rPr>
        <w:t> </w:t>
      </w:r>
      <w:r>
        <w:rPr>
          <w:rFonts w:ascii="Arial" w:hAnsi="Arial" w:cs="Arial" w:eastAsia="Arial" w:hint="default"/>
        </w:rPr>
        <w:t>1</w:t>
      </w:r>
      <w:r>
        <w:rPr>
          <w:rFonts w:ascii="Arial" w:hAnsi="Arial" w:cs="Arial" w:eastAsia="Arial" w:hint="default"/>
          <w:spacing w:val="-7"/>
        </w:rPr>
        <w:t> </w:t>
      </w:r>
      <w:r>
        <w:rPr/>
        <w:t>月</w:t>
      </w:r>
      <w:r>
        <w:rPr>
          <w:spacing w:val="-56"/>
        </w:rPr>
        <w:t> </w:t>
      </w:r>
      <w:r>
        <w:rPr>
          <w:rFonts w:ascii="Arial" w:hAnsi="Arial" w:cs="Arial" w:eastAsia="Arial" w:hint="default"/>
        </w:rPr>
        <w:t>1</w:t>
      </w:r>
      <w:r>
        <w:rPr>
          <w:rFonts w:ascii="Arial" w:hAnsi="Arial" w:cs="Arial" w:eastAsia="Arial" w:hint="default"/>
          <w:spacing w:val="-7"/>
        </w:rPr>
        <w:t> </w:t>
      </w:r>
      <w:r>
        <w:rPr/>
        <w:t>日至</w:t>
      </w:r>
      <w:r>
        <w:rPr>
          <w:spacing w:val="-56"/>
        </w:rPr>
        <w:t> </w:t>
      </w:r>
      <w:r>
        <w:rPr>
          <w:rFonts w:ascii="Arial" w:hAnsi="Arial" w:cs="Arial" w:eastAsia="Arial" w:hint="default"/>
        </w:rPr>
        <w:t>6</w:t>
      </w:r>
      <w:r>
        <w:rPr>
          <w:rFonts w:ascii="Arial" w:hAnsi="Arial" w:cs="Arial" w:eastAsia="Arial" w:hint="default"/>
          <w:spacing w:val="-7"/>
        </w:rPr>
        <w:t> </w:t>
      </w:r>
      <w:r>
        <w:rPr/>
        <w:t>月</w:t>
      </w:r>
      <w:r>
        <w:rPr>
          <w:spacing w:val="-56"/>
        </w:rPr>
        <w:t> </w:t>
      </w:r>
      <w:r>
        <w:rPr>
          <w:rFonts w:ascii="Arial" w:hAnsi="Arial" w:cs="Arial" w:eastAsia="Arial" w:hint="default"/>
        </w:rPr>
        <w:t>30</w:t>
      </w:r>
      <w:r>
        <w:rPr>
          <w:rFonts w:ascii="Arial" w:hAnsi="Arial" w:cs="Arial" w:eastAsia="Arial" w:hint="default"/>
          <w:spacing w:val="-7"/>
        </w:rPr>
        <w:t> </w:t>
      </w:r>
      <w:r>
        <w:rPr/>
        <w:t>日止</w:t>
      </w:r>
      <w:r>
        <w:rPr>
          <w:spacing w:val="-56"/>
        </w:rPr>
        <w:t> </w:t>
      </w:r>
      <w:r>
        <w:rPr>
          <w:rFonts w:ascii="Arial" w:hAnsi="Arial" w:cs="Arial" w:eastAsia="Arial" w:hint="default"/>
        </w:rPr>
        <w:t>6</w:t>
      </w:r>
      <w:r>
        <w:rPr>
          <w:rFonts w:ascii="Arial" w:hAnsi="Arial" w:cs="Arial" w:eastAsia="Arial" w:hint="default"/>
          <w:spacing w:val="-7"/>
        </w:rPr>
        <w:t> </w:t>
      </w:r>
      <w:r>
        <w:rPr/>
        <w:t>个月期间的净利润归属于原</w:t>
      </w:r>
    </w:p>
    <w:p>
      <w:pPr>
        <w:pStyle w:val="BodyText"/>
        <w:spacing w:line="286" w:lineRule="exact" w:before="18"/>
        <w:ind w:left="1191" w:right="117"/>
        <w:jc w:val="left"/>
      </w:pPr>
      <w:r>
        <w:rPr/>
        <w:t>网通集团，因此确认为应付网通集团利润。截至</w:t>
      </w:r>
      <w:r>
        <w:rPr>
          <w:spacing w:val="-43"/>
        </w:rPr>
        <w:t> </w:t>
      </w:r>
      <w:r>
        <w:rPr>
          <w:rFonts w:ascii="Arial" w:hAnsi="Arial" w:cs="Arial" w:eastAsia="Arial" w:hint="default"/>
        </w:rPr>
        <w:t>2009</w:t>
      </w:r>
      <w:r>
        <w:rPr>
          <w:rFonts w:ascii="Arial" w:hAnsi="Arial" w:cs="Arial" w:eastAsia="Arial" w:hint="default"/>
          <w:spacing w:val="5"/>
        </w:rPr>
        <w:t> </w:t>
      </w:r>
      <w:r>
        <w:rPr/>
        <w:t>年</w:t>
      </w:r>
      <w:r>
        <w:rPr>
          <w:spacing w:val="-44"/>
        </w:rPr>
        <w:t> </w:t>
      </w:r>
      <w:r>
        <w:rPr>
          <w:rFonts w:ascii="Arial" w:hAnsi="Arial" w:cs="Arial" w:eastAsia="Arial" w:hint="default"/>
        </w:rPr>
        <w:t>12</w:t>
      </w:r>
      <w:r>
        <w:rPr>
          <w:rFonts w:ascii="Arial" w:hAnsi="Arial" w:cs="Arial" w:eastAsia="Arial" w:hint="default"/>
          <w:spacing w:val="5"/>
        </w:rPr>
        <w:t> </w:t>
      </w:r>
      <w:r>
        <w:rPr/>
        <w:t>月</w:t>
      </w:r>
      <w:r>
        <w:rPr>
          <w:spacing w:val="-44"/>
        </w:rPr>
        <w:t> </w:t>
      </w:r>
      <w:r>
        <w:rPr>
          <w:rFonts w:ascii="Arial" w:hAnsi="Arial" w:cs="Arial" w:eastAsia="Arial" w:hint="default"/>
        </w:rPr>
        <w:t>31</w:t>
      </w:r>
      <w:r>
        <w:rPr>
          <w:rFonts w:ascii="Arial" w:hAnsi="Arial" w:cs="Arial" w:eastAsia="Arial" w:hint="default"/>
          <w:spacing w:val="5"/>
        </w:rPr>
        <w:t> </w:t>
      </w:r>
      <w:r>
        <w:rPr/>
        <w:t>日止，该应付利润已</w:t>
      </w:r>
      <w:r>
        <w:rPr>
          <w:w w:val="99"/>
        </w:rPr>
        <w:t> </w:t>
      </w:r>
      <w:r>
        <w:rPr/>
        <w:t>支付完毕。</w:t>
      </w:r>
    </w:p>
    <w:p>
      <w:pPr>
        <w:spacing w:after="0" w:line="286" w:lineRule="exact"/>
        <w:jc w:val="left"/>
        <w:sectPr>
          <w:headerReference w:type="default" r:id="rId100"/>
          <w:pgSz w:w="11910" w:h="16840"/>
          <w:pgMar w:header="1189" w:footer="752" w:top="4180" w:bottom="940" w:left="1240" w:right="920"/>
        </w:sectPr>
      </w:pPr>
    </w:p>
    <w:tbl>
      <w:tblPr>
        <w:tblW w:w="0" w:type="auto"/>
        <w:jc w:val="left"/>
        <w:tblInd w:w="525" w:type="dxa"/>
        <w:tblLayout w:type="fixed"/>
        <w:tblCellMar>
          <w:top w:w="0" w:type="dxa"/>
          <w:left w:w="0" w:type="dxa"/>
          <w:bottom w:w="0" w:type="dxa"/>
          <w:right w:w="0" w:type="dxa"/>
        </w:tblCellMar>
        <w:tblLook w:val="01E0"/>
      </w:tblPr>
      <w:tblGrid>
        <w:gridCol w:w="4330"/>
        <w:gridCol w:w="2342"/>
        <w:gridCol w:w="2378"/>
      </w:tblGrid>
      <w:tr>
        <w:trPr>
          <w:trHeight w:val="551" w:hRule="exact"/>
        </w:trPr>
        <w:tc>
          <w:tcPr>
            <w:tcW w:w="433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押金及暂收款</w:t>
            </w:r>
          </w:p>
        </w:tc>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64"/>
              <w:jc w:val="right"/>
              <w:rPr>
                <w:rFonts w:ascii="Arial" w:hAnsi="Arial" w:cs="Arial" w:eastAsia="Arial" w:hint="default"/>
                <w:sz w:val="22"/>
                <w:szCs w:val="22"/>
              </w:rPr>
            </w:pPr>
            <w:r>
              <w:rPr>
                <w:rFonts w:ascii="Arial"/>
                <w:spacing w:val="-1"/>
                <w:sz w:val="22"/>
              </w:rPr>
              <w:t>4,259,847,149</w:t>
            </w:r>
          </w:p>
        </w:tc>
        <w:tc>
          <w:tcPr>
            <w:tcW w:w="2378" w:type="dxa"/>
            <w:tcBorders>
              <w:top w:val="nil" w:sz="6" w:space="0" w:color="auto"/>
              <w:left w:val="nil" w:sz="6" w:space="0" w:color="auto"/>
              <w:bottom w:val="nil" w:sz="6" w:space="0" w:color="auto"/>
              <w:right w:val="nil" w:sz="6" w:space="0" w:color="auto"/>
            </w:tcBorders>
          </w:tcPr>
          <w:p>
            <w:pPr>
              <w:pStyle w:val="TableParagraph"/>
              <w:spacing w:line="220" w:lineRule="exact"/>
              <w:ind w:left="915" w:right="0" w:firstLine="306"/>
              <w:jc w:val="left"/>
              <w:rPr>
                <w:rFonts w:ascii="宋体" w:hAnsi="宋体" w:cs="宋体" w:eastAsia="宋体" w:hint="default"/>
                <w:sz w:val="22"/>
                <w:szCs w:val="22"/>
              </w:rPr>
            </w:pPr>
            <w:r>
              <w:rPr>
                <w:rFonts w:ascii="宋体" w:hAnsi="宋体" w:cs="宋体" w:eastAsia="宋体" w:hint="default"/>
                <w:sz w:val="22"/>
                <w:szCs w:val="22"/>
              </w:rPr>
              <w:t>（经重列）</w:t>
            </w:r>
          </w:p>
          <w:p>
            <w:pPr>
              <w:pStyle w:val="TableParagraph"/>
              <w:spacing w:line="240" w:lineRule="auto" w:before="64"/>
              <w:ind w:left="915" w:right="0"/>
              <w:jc w:val="left"/>
              <w:rPr>
                <w:rFonts w:ascii="Arial" w:hAnsi="Arial" w:cs="Arial" w:eastAsia="Arial" w:hint="default"/>
                <w:sz w:val="22"/>
                <w:szCs w:val="22"/>
              </w:rPr>
            </w:pPr>
            <w:r>
              <w:rPr>
                <w:rFonts w:ascii="Arial"/>
                <w:sz w:val="22"/>
              </w:rPr>
              <w:t>7,694,167,617</w:t>
            </w:r>
          </w:p>
        </w:tc>
      </w:tr>
      <w:tr>
        <w:trPr>
          <w:trHeight w:val="272" w:hRule="exact"/>
        </w:trPr>
        <w:tc>
          <w:tcPr>
            <w:tcW w:w="4330"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应付联通集团及其非上市附属公司款项</w:t>
            </w:r>
          </w:p>
        </w:tc>
        <w:tc>
          <w:tcPr>
            <w:tcW w:w="2342" w:type="dxa"/>
            <w:tcBorders>
              <w:top w:val="nil" w:sz="6" w:space="0" w:color="auto"/>
              <w:left w:val="nil" w:sz="6" w:space="0" w:color="auto"/>
              <w:bottom w:val="nil" w:sz="6" w:space="0" w:color="auto"/>
              <w:right w:val="nil" w:sz="6" w:space="0" w:color="auto"/>
            </w:tcBorders>
          </w:tcPr>
          <w:p>
            <w:pPr/>
          </w:p>
        </w:tc>
        <w:tc>
          <w:tcPr>
            <w:tcW w:w="2378" w:type="dxa"/>
            <w:tcBorders>
              <w:top w:val="nil" w:sz="6" w:space="0" w:color="auto"/>
              <w:left w:val="nil" w:sz="6" w:space="0" w:color="auto"/>
              <w:bottom w:val="nil" w:sz="6" w:space="0" w:color="auto"/>
              <w:right w:val="nil" w:sz="6" w:space="0" w:color="auto"/>
            </w:tcBorders>
          </w:tcPr>
          <w:p>
            <w:pPr/>
          </w:p>
        </w:tc>
      </w:tr>
      <w:tr>
        <w:trPr>
          <w:trHeight w:val="299" w:hRule="exact"/>
        </w:trPr>
        <w:tc>
          <w:tcPr>
            <w:tcW w:w="4330" w:type="dxa"/>
            <w:tcBorders>
              <w:top w:val="nil" w:sz="6" w:space="0" w:color="auto"/>
              <w:left w:val="nil" w:sz="6" w:space="0" w:color="auto"/>
              <w:bottom w:val="nil" w:sz="6" w:space="0" w:color="auto"/>
              <w:right w:val="nil" w:sz="6" w:space="0" w:color="auto"/>
            </w:tcBorders>
          </w:tcPr>
          <w:p>
            <w:pPr>
              <w:pStyle w:val="TableParagraph"/>
              <w:spacing w:line="268" w:lineRule="exact"/>
              <w:ind w:left="255" w:right="0"/>
              <w:jc w:val="left"/>
              <w:rPr>
                <w:rFonts w:ascii="宋体" w:hAnsi="宋体" w:cs="宋体" w:eastAsia="宋体" w:hint="default"/>
                <w:sz w:val="22"/>
                <w:szCs w:val="22"/>
              </w:rPr>
            </w:pPr>
            <w:r>
              <w:rPr>
                <w:rFonts w:ascii="宋体" w:hAnsi="宋体" w:cs="宋体" w:eastAsia="宋体" w:hint="default"/>
                <w:sz w:val="22"/>
                <w:szCs w:val="22"/>
              </w:rPr>
              <w:t>（附注七</w:t>
            </w:r>
            <w:r>
              <w:rPr>
                <w:rFonts w:ascii="Arial" w:hAnsi="Arial" w:cs="Arial" w:eastAsia="Arial" w:hint="default"/>
                <w:sz w:val="22"/>
                <w:szCs w:val="22"/>
              </w:rPr>
              <w:t>(5)</w:t>
            </w:r>
            <w:r>
              <w:rPr>
                <w:rFonts w:ascii="宋体" w:hAnsi="宋体" w:cs="宋体" w:eastAsia="宋体" w:hint="default"/>
                <w:sz w:val="22"/>
                <w:szCs w:val="22"/>
              </w:rPr>
              <w:t>）</w:t>
            </w:r>
          </w:p>
        </w:tc>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63"/>
              <w:jc w:val="right"/>
              <w:rPr>
                <w:rFonts w:ascii="Arial" w:hAnsi="Arial" w:cs="Arial" w:eastAsia="Arial" w:hint="default"/>
                <w:sz w:val="22"/>
                <w:szCs w:val="22"/>
              </w:rPr>
            </w:pPr>
            <w:r>
              <w:rPr>
                <w:rFonts w:ascii="Arial"/>
                <w:w w:val="95"/>
                <w:sz w:val="22"/>
              </w:rPr>
              <w:t>357,197,382</w:t>
            </w:r>
            <w:r>
              <w:rPr>
                <w:rFonts w:ascii="Arial"/>
                <w:sz w:val="22"/>
              </w:rPr>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53"/>
              <w:jc w:val="right"/>
              <w:rPr>
                <w:rFonts w:ascii="Arial" w:hAnsi="Arial" w:cs="Arial" w:eastAsia="Arial" w:hint="default"/>
                <w:sz w:val="22"/>
                <w:szCs w:val="22"/>
              </w:rPr>
            </w:pPr>
            <w:r>
              <w:rPr>
                <w:rFonts w:ascii="Arial"/>
                <w:w w:val="95"/>
                <w:sz w:val="22"/>
              </w:rPr>
              <w:t>739,451,211</w:t>
            </w:r>
            <w:r>
              <w:rPr>
                <w:rFonts w:ascii="Arial"/>
                <w:sz w:val="22"/>
              </w:rPr>
            </w:r>
          </w:p>
        </w:tc>
      </w:tr>
      <w:tr>
        <w:trPr>
          <w:trHeight w:val="285" w:hRule="exact"/>
        </w:trPr>
        <w:tc>
          <w:tcPr>
            <w:tcW w:w="4330"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sz w:val="22"/>
                <w:szCs w:val="22"/>
              </w:rPr>
              <w:t>应付关联公司借款及利息（附注七</w:t>
            </w:r>
            <w:r>
              <w:rPr>
                <w:rFonts w:ascii="Arial" w:hAnsi="Arial" w:cs="Arial" w:eastAsia="Arial" w:hint="default"/>
                <w:sz w:val="22"/>
                <w:szCs w:val="22"/>
              </w:rPr>
              <w:t>(5)</w:t>
            </w:r>
            <w:r>
              <w:rPr>
                <w:rFonts w:ascii="宋体" w:hAnsi="宋体" w:cs="宋体" w:eastAsia="宋体" w:hint="default"/>
                <w:sz w:val="22"/>
                <w:szCs w:val="22"/>
              </w:rPr>
              <w:t>）</w:t>
            </w:r>
          </w:p>
        </w:tc>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64"/>
              <w:jc w:val="right"/>
              <w:rPr>
                <w:rFonts w:ascii="Arial" w:hAnsi="Arial" w:cs="Arial" w:eastAsia="Arial" w:hint="default"/>
                <w:sz w:val="22"/>
                <w:szCs w:val="22"/>
              </w:rPr>
            </w:pPr>
            <w:r>
              <w:rPr>
                <w:rFonts w:ascii="Arial"/>
                <w:spacing w:val="-1"/>
                <w:sz w:val="22"/>
              </w:rPr>
              <w:t>2,120,355,094</w:t>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55"/>
              <w:jc w:val="right"/>
              <w:rPr>
                <w:rFonts w:ascii="Arial" w:hAnsi="Arial" w:cs="Arial" w:eastAsia="Arial" w:hint="default"/>
                <w:sz w:val="22"/>
                <w:szCs w:val="22"/>
              </w:rPr>
            </w:pPr>
            <w:r>
              <w:rPr>
                <w:rFonts w:ascii="Arial"/>
                <w:w w:val="99"/>
                <w:sz w:val="22"/>
              </w:rPr>
              <w:t>-</w:t>
            </w:r>
            <w:r>
              <w:rPr>
                <w:rFonts w:ascii="Arial"/>
                <w:sz w:val="22"/>
              </w:rPr>
            </w:r>
          </w:p>
        </w:tc>
      </w:tr>
      <w:tr>
        <w:trPr>
          <w:trHeight w:val="285" w:hRule="exact"/>
        </w:trPr>
        <w:tc>
          <w:tcPr>
            <w:tcW w:w="4330"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代扣代缴员工社保支出</w:t>
            </w:r>
          </w:p>
        </w:tc>
        <w:tc>
          <w:tcPr>
            <w:tcW w:w="234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63"/>
              <w:jc w:val="right"/>
              <w:rPr>
                <w:rFonts w:ascii="Arial" w:hAnsi="Arial" w:cs="Arial" w:eastAsia="Arial" w:hint="default"/>
                <w:sz w:val="22"/>
                <w:szCs w:val="22"/>
              </w:rPr>
            </w:pPr>
            <w:r>
              <w:rPr>
                <w:rFonts w:ascii="Arial"/>
                <w:w w:val="95"/>
                <w:sz w:val="22"/>
              </w:rPr>
              <w:t>273,812,705</w:t>
            </w:r>
            <w:r>
              <w:rPr>
                <w:rFonts w:ascii="Arial"/>
                <w:sz w:val="22"/>
              </w:rPr>
            </w:r>
          </w:p>
        </w:tc>
        <w:tc>
          <w:tcPr>
            <w:tcW w:w="237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54"/>
              <w:jc w:val="right"/>
              <w:rPr>
                <w:rFonts w:ascii="Arial" w:hAnsi="Arial" w:cs="Arial" w:eastAsia="Arial" w:hint="default"/>
                <w:sz w:val="22"/>
                <w:szCs w:val="22"/>
              </w:rPr>
            </w:pPr>
            <w:r>
              <w:rPr>
                <w:rFonts w:ascii="Arial"/>
                <w:w w:val="95"/>
                <w:sz w:val="22"/>
              </w:rPr>
              <w:t>101,756,371</w:t>
            </w:r>
            <w:r>
              <w:rPr>
                <w:rFonts w:ascii="Arial"/>
                <w:sz w:val="22"/>
              </w:rPr>
            </w:r>
          </w:p>
        </w:tc>
      </w:tr>
      <w:tr>
        <w:trPr>
          <w:trHeight w:val="419" w:hRule="exact"/>
        </w:trPr>
        <w:tc>
          <w:tcPr>
            <w:tcW w:w="4330"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342" w:type="dxa"/>
            <w:tcBorders>
              <w:top w:val="nil" w:sz="6" w:space="0" w:color="auto"/>
              <w:left w:val="nil" w:sz="6" w:space="0" w:color="auto"/>
              <w:bottom w:val="nil" w:sz="6" w:space="0" w:color="auto"/>
              <w:right w:val="nil" w:sz="6" w:space="0" w:color="auto"/>
            </w:tcBorders>
          </w:tcPr>
          <w:p>
            <w:pPr>
              <w:pStyle w:val="TableParagraph"/>
              <w:tabs>
                <w:tab w:pos="1044" w:val="left" w:leader="none"/>
              </w:tabs>
              <w:spacing w:line="240" w:lineRule="auto" w:before="17"/>
              <w:ind w:right="63"/>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769,672,488</w:t>
            </w:r>
            <w:r>
              <w:rPr>
                <w:rFonts w:ascii="Arial"/>
                <w:w w:val="95"/>
                <w:sz w:val="22"/>
              </w:rPr>
            </w:r>
            <w:r>
              <w:rPr>
                <w:rFonts w:ascii="Arial"/>
                <w:sz w:val="22"/>
              </w:rPr>
            </w:r>
          </w:p>
        </w:tc>
        <w:tc>
          <w:tcPr>
            <w:tcW w:w="2378" w:type="dxa"/>
            <w:tcBorders>
              <w:top w:val="nil" w:sz="6" w:space="0" w:color="auto"/>
              <w:left w:val="nil" w:sz="6" w:space="0" w:color="auto"/>
              <w:bottom w:val="nil" w:sz="6" w:space="0" w:color="auto"/>
              <w:right w:val="nil" w:sz="6" w:space="0" w:color="auto"/>
            </w:tcBorders>
          </w:tcPr>
          <w:p>
            <w:pPr>
              <w:pStyle w:val="TableParagraph"/>
              <w:tabs>
                <w:tab w:pos="1032" w:val="left" w:leader="none"/>
              </w:tabs>
              <w:spacing w:line="240" w:lineRule="auto" w:before="17"/>
              <w:ind w:right="54"/>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783,906,559</w:t>
            </w:r>
            <w:r>
              <w:rPr>
                <w:rFonts w:ascii="Arial"/>
                <w:w w:val="95"/>
                <w:sz w:val="22"/>
              </w:rPr>
            </w:r>
            <w:r>
              <w:rPr>
                <w:rFonts w:ascii="Arial"/>
                <w:sz w:val="22"/>
              </w:rPr>
            </w:r>
          </w:p>
        </w:tc>
      </w:tr>
      <w:tr>
        <w:trPr>
          <w:trHeight w:val="431" w:hRule="exact"/>
        </w:trPr>
        <w:tc>
          <w:tcPr>
            <w:tcW w:w="4330"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5" w:right="0"/>
              <w:jc w:val="left"/>
              <w:rPr>
                <w:rFonts w:ascii="宋体" w:hAnsi="宋体" w:cs="宋体" w:eastAsia="宋体" w:hint="default"/>
                <w:sz w:val="22"/>
                <w:szCs w:val="22"/>
              </w:rPr>
            </w:pPr>
            <w:r>
              <w:rPr>
                <w:rFonts w:ascii="宋体" w:hAnsi="宋体" w:cs="宋体" w:eastAsia="宋体" w:hint="default"/>
                <w:sz w:val="22"/>
                <w:szCs w:val="22"/>
              </w:rPr>
              <w:t>其他应付款合计</w:t>
            </w:r>
          </w:p>
        </w:tc>
        <w:tc>
          <w:tcPr>
            <w:tcW w:w="2342" w:type="dxa"/>
            <w:tcBorders>
              <w:top w:val="nil" w:sz="6" w:space="0" w:color="auto"/>
              <w:left w:val="nil" w:sz="6" w:space="0" w:color="auto"/>
              <w:bottom w:val="single" w:sz="17" w:space="0" w:color="000000"/>
              <w:right w:val="nil" w:sz="6" w:space="0" w:color="auto"/>
            </w:tcBorders>
          </w:tcPr>
          <w:p>
            <w:pPr>
              <w:pStyle w:val="TableParagraph"/>
              <w:spacing w:line="240" w:lineRule="auto" w:before="152"/>
              <w:ind w:right="64"/>
              <w:jc w:val="right"/>
              <w:rPr>
                <w:rFonts w:ascii="Arial" w:hAnsi="Arial" w:cs="Arial" w:eastAsia="Arial" w:hint="default"/>
                <w:sz w:val="22"/>
                <w:szCs w:val="22"/>
              </w:rPr>
            </w:pPr>
            <w:r>
              <w:rPr>
                <w:rFonts w:ascii="Arial"/>
                <w:spacing w:val="-1"/>
                <w:sz w:val="22"/>
              </w:rPr>
              <w:t>7,780,884,818</w:t>
            </w:r>
          </w:p>
        </w:tc>
        <w:tc>
          <w:tcPr>
            <w:tcW w:w="2378" w:type="dxa"/>
            <w:tcBorders>
              <w:top w:val="nil" w:sz="6" w:space="0" w:color="auto"/>
              <w:left w:val="nil" w:sz="6" w:space="0" w:color="auto"/>
              <w:bottom w:val="single" w:sz="17" w:space="0" w:color="000000"/>
              <w:right w:val="nil" w:sz="6" w:space="0" w:color="auto"/>
            </w:tcBorders>
          </w:tcPr>
          <w:p>
            <w:pPr>
              <w:pStyle w:val="TableParagraph"/>
              <w:spacing w:line="240" w:lineRule="auto" w:before="152"/>
              <w:ind w:right="54"/>
              <w:jc w:val="right"/>
              <w:rPr>
                <w:rFonts w:ascii="Arial" w:hAnsi="Arial" w:cs="Arial" w:eastAsia="Arial" w:hint="default"/>
                <w:sz w:val="22"/>
                <w:szCs w:val="22"/>
              </w:rPr>
            </w:pPr>
            <w:r>
              <w:rPr>
                <w:rFonts w:ascii="Arial"/>
                <w:spacing w:val="-1"/>
                <w:sz w:val="22"/>
              </w:rPr>
              <w:t>9,319,281,758</w:t>
            </w:r>
          </w:p>
        </w:tc>
      </w:tr>
    </w:tbl>
    <w:p>
      <w:pPr>
        <w:spacing w:line="240" w:lineRule="auto" w:before="7"/>
        <w:rPr>
          <w:rFonts w:ascii="宋体" w:hAnsi="宋体" w:cs="宋体" w:eastAsia="宋体" w:hint="default"/>
          <w:sz w:val="12"/>
          <w:szCs w:val="12"/>
        </w:rPr>
      </w:pPr>
    </w:p>
    <w:p>
      <w:pPr>
        <w:pStyle w:val="BodyText"/>
        <w:tabs>
          <w:tab w:pos="578" w:val="left" w:leader="none"/>
        </w:tabs>
        <w:spacing w:line="240" w:lineRule="auto" w:before="31"/>
        <w:ind w:left="102" w:right="109"/>
        <w:jc w:val="left"/>
      </w:pPr>
      <w:r>
        <w:rPr>
          <w:rFonts w:ascii="Arial" w:hAnsi="Arial" w:cs="Arial" w:eastAsia="Arial" w:hint="default"/>
          <w:w w:val="95"/>
        </w:rPr>
        <w:t>(a)</w:t>
        <w:tab/>
      </w:r>
      <w:r>
        <w:rPr/>
        <w:t>应付持有本公司</w:t>
      </w:r>
      <w:r>
        <w:rPr>
          <w:spacing w:val="-57"/>
        </w:rPr>
        <w:t> </w:t>
      </w:r>
      <w:r>
        <w:rPr>
          <w:rFonts w:ascii="Arial" w:hAnsi="Arial" w:cs="Arial" w:eastAsia="Arial" w:hint="default"/>
        </w:rPr>
        <w:t>5%</w:t>
      </w:r>
      <w:r>
        <w:rPr/>
        <w:t>（含</w:t>
      </w:r>
      <w:r>
        <w:rPr>
          <w:spacing w:val="-57"/>
        </w:rPr>
        <w:t> </w:t>
      </w:r>
      <w:r>
        <w:rPr>
          <w:rFonts w:ascii="Arial" w:hAnsi="Arial" w:cs="Arial" w:eastAsia="Arial" w:hint="default"/>
        </w:rPr>
        <w:t>5%</w:t>
      </w:r>
      <w:r>
        <w:rPr/>
        <w:t>）以上表决权股份的股东单位的其他应付款：</w:t>
      </w:r>
    </w:p>
    <w:p>
      <w:pPr>
        <w:spacing w:line="240" w:lineRule="auto" w:before="12"/>
        <w:rPr>
          <w:rFonts w:ascii="宋体" w:hAnsi="宋体" w:cs="宋体" w:eastAsia="宋体" w:hint="default"/>
          <w:sz w:val="17"/>
          <w:szCs w:val="17"/>
        </w:rPr>
      </w:pPr>
    </w:p>
    <w:p>
      <w:pPr>
        <w:pStyle w:val="BodyText"/>
        <w:tabs>
          <w:tab w:pos="2325" w:val="left" w:leader="none"/>
        </w:tabs>
        <w:spacing w:line="302" w:lineRule="exact"/>
        <w:ind w:left="0" w:right="181"/>
        <w:jc w:val="right"/>
      </w:pP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tab/>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p>
      <w:pPr>
        <w:pStyle w:val="BodyText"/>
        <w:spacing w:line="283" w:lineRule="exact"/>
        <w:ind w:left="0" w:right="183"/>
        <w:jc w:val="right"/>
      </w:pPr>
      <w:r>
        <w:rPr/>
        <w:pict>
          <v:group style="position:absolute;margin-left:307.440002pt;margin-top:1.338352pt;width:114.8pt;height:.1pt;mso-position-horizontal-relative:page;mso-position-vertical-relative:paragraph;z-index:4936" coordorigin="6149,27" coordsize="2296,2">
            <v:shape style="position:absolute;left:6149;top:27;width:2296;height:2" coordorigin="6149,27" coordsize="2296,0" path="m6149,27l8444,27e" filled="false" stroked="true" strokeweight=".72pt" strokecolor="#000000">
              <v:path arrowok="t"/>
            </v:shape>
            <w10:wrap type="none"/>
          </v:group>
        </w:pict>
      </w:r>
      <w:r>
        <w:rPr/>
        <w:pict>
          <v:group style="position:absolute;margin-left:426.420013pt;margin-top:1.338352pt;width:116.05pt;height:.1pt;mso-position-horizontal-relative:page;mso-position-vertical-relative:paragraph;z-index:-914536" coordorigin="8528,27" coordsize="2321,2">
            <v:shape style="position:absolute;left:8528;top:27;width:2321;height:2" coordorigin="8528,27" coordsize="2321,0" path="m8528,27l10849,27e" filled="false" stroked="true" strokeweight=".72pt" strokecolor="#000000">
              <v:path arrowok="t"/>
            </v:shape>
            <w10:wrap type="none"/>
          </v:group>
        </w:pict>
      </w:r>
      <w:r>
        <w:rPr>
          <w:w w:val="95"/>
        </w:rPr>
        <w:t>（经重列）</w:t>
      </w:r>
      <w:r>
        <w:rPr/>
      </w:r>
    </w:p>
    <w:p>
      <w:pPr>
        <w:pStyle w:val="BodyText"/>
        <w:tabs>
          <w:tab w:pos="5330" w:val="left" w:leader="none"/>
          <w:tab w:pos="7735" w:val="left" w:leader="none"/>
        </w:tabs>
        <w:spacing w:line="320" w:lineRule="exact"/>
        <w:ind w:left="0" w:right="180"/>
        <w:jc w:val="right"/>
        <w:rPr>
          <w:rFonts w:ascii="Arial" w:hAnsi="Arial" w:cs="Arial" w:eastAsia="Arial" w:hint="default"/>
        </w:rPr>
      </w:pPr>
      <w:r>
        <w:rPr>
          <w:w w:val="95"/>
          <w:position w:val="2"/>
        </w:rPr>
        <w:t>联通集团</w:t>
        <w:tab/>
      </w:r>
      <w:r>
        <w:rPr>
          <w:rFonts w:ascii="Arial" w:hAnsi="Arial" w:cs="Arial" w:eastAsia="Arial" w:hint="default"/>
          <w:w w:val="95"/>
        </w:rPr>
        <w:t>274,934,125</w:t>
        <w:tab/>
        <w:t>653,828,903</w:t>
      </w:r>
      <w:r>
        <w:rPr>
          <w:rFonts w:ascii="Arial" w:hAnsi="Arial" w:cs="Arial" w:eastAsia="Arial" w:hint="default"/>
        </w:rPr>
      </w:r>
    </w:p>
    <w:p>
      <w:pPr>
        <w:spacing w:line="43" w:lineRule="exact"/>
        <w:ind w:left="4854" w:right="0" w:firstLine="0"/>
        <w:rPr>
          <w:rFonts w:ascii="Arial" w:hAnsi="Arial" w:cs="Arial" w:eastAsia="Arial" w:hint="default"/>
          <w:sz w:val="4"/>
          <w:szCs w:val="4"/>
        </w:rPr>
      </w:pPr>
      <w:r>
        <w:rPr>
          <w:rFonts w:ascii="Arial" w:hAnsi="Arial" w:cs="Arial" w:eastAsia="Arial" w:hint="default"/>
          <w:position w:val="0"/>
          <w:sz w:val="4"/>
          <w:szCs w:val="4"/>
        </w:rPr>
        <w:pict>
          <v:group style="width:236.5pt;height:2.2pt;mso-position-horizontal-relative:char;mso-position-vertical-relative:line" coordorigin="0,0" coordsize="4730,44">
            <v:group style="position:absolute;left:7;top:36;width:2310;height:2" coordorigin="7,36" coordsize="2310,2">
              <v:shape style="position:absolute;left:7;top:36;width:2310;height:2" coordorigin="7,36" coordsize="2310,0" path="m7,36l2317,36e" filled="false" stroked="true" strokeweight=".72pt" strokecolor="#000000">
                <v:path arrowok="t"/>
              </v:shape>
            </v:group>
            <v:group style="position:absolute;left:7;top:7;width:2310;height:2" coordorigin="7,7" coordsize="2310,2">
              <v:shape style="position:absolute;left:7;top:7;width:2310;height:2" coordorigin="7,7" coordsize="2310,0" path="m7,7l2317,7e" filled="false" stroked="true" strokeweight=".72pt" strokecolor="#000000">
                <v:path arrowok="t"/>
              </v:shape>
            </v:group>
            <v:group style="position:absolute;left:2387;top:36;width:2336;height:2" coordorigin="2387,36" coordsize="2336,2">
              <v:shape style="position:absolute;left:2387;top:36;width:2336;height:2" coordorigin="2387,36" coordsize="2336,0" path="m2387,36l4722,36e" filled="false" stroked="true" strokeweight=".72pt" strokecolor="#000000">
                <v:path arrowok="t"/>
              </v:shape>
            </v:group>
            <v:group style="position:absolute;left:2387;top:7;width:2336;height:2" coordorigin="2387,7" coordsize="2336,2">
              <v:shape style="position:absolute;left:2387;top:7;width:2336;height:2" coordorigin="2387,7" coordsize="2336,0" path="m2387,7l4722,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5"/>
        <w:rPr>
          <w:rFonts w:ascii="Arial" w:hAnsi="Arial" w:cs="Arial" w:eastAsia="Arial" w:hint="default"/>
          <w:sz w:val="16"/>
          <w:szCs w:val="16"/>
        </w:rPr>
      </w:pPr>
    </w:p>
    <w:p>
      <w:pPr>
        <w:pStyle w:val="BodyText"/>
        <w:tabs>
          <w:tab w:pos="578" w:val="left" w:leader="none"/>
        </w:tabs>
        <w:spacing w:line="240" w:lineRule="auto" w:before="31"/>
        <w:ind w:left="102" w:right="109"/>
        <w:jc w:val="left"/>
      </w:pPr>
      <w:r>
        <w:rPr>
          <w:rFonts w:ascii="Arial" w:hAnsi="Arial" w:cs="Arial" w:eastAsia="Arial" w:hint="default"/>
          <w:w w:val="95"/>
        </w:rPr>
        <w:t>(b)</w:t>
        <w:tab/>
      </w:r>
      <w:r>
        <w:rPr/>
        <w:t>应付关联方的其他应付款：</w:t>
      </w:r>
    </w:p>
    <w:p>
      <w:pPr>
        <w:spacing w:line="240" w:lineRule="auto" w:before="13"/>
        <w:rPr>
          <w:rFonts w:ascii="宋体" w:hAnsi="宋体" w:cs="宋体" w:eastAsia="宋体" w:hint="default"/>
          <w:sz w:val="17"/>
          <w:szCs w:val="17"/>
        </w:rPr>
      </w:pPr>
    </w:p>
    <w:p>
      <w:pPr>
        <w:pStyle w:val="BodyText"/>
        <w:tabs>
          <w:tab w:pos="2366" w:val="left" w:leader="none"/>
        </w:tabs>
        <w:spacing w:line="302" w:lineRule="exact"/>
        <w:ind w:left="0" w:right="126"/>
        <w:jc w:val="right"/>
      </w:pP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tab/>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p>
      <w:pPr>
        <w:pStyle w:val="BodyText"/>
        <w:spacing w:line="283" w:lineRule="exact"/>
        <w:ind w:left="0" w:right="181"/>
        <w:jc w:val="right"/>
      </w:pPr>
      <w:r>
        <w:rPr/>
        <w:pict>
          <v:group style="position:absolute;margin-left:307.079987pt;margin-top:.983444pt;width:235.75pt;height:.75pt;mso-position-horizontal-relative:page;mso-position-vertical-relative:paragraph;z-index:-914512" coordorigin="6142,20" coordsize="4715,15">
            <v:group style="position:absolute;left:6149;top:27;width:2310;height:2" coordorigin="6149,27" coordsize="2310,2">
              <v:shape style="position:absolute;left:6149;top:27;width:2310;height:2" coordorigin="6149,27" coordsize="2310,0" path="m6149,27l8459,27e" filled="false" stroked="true" strokeweight=".72pt" strokecolor="#000000">
                <v:path arrowok="t"/>
              </v:shape>
            </v:group>
            <v:group style="position:absolute;left:8528;top:27;width:2321;height:2" coordorigin="8528,27" coordsize="2321,2">
              <v:shape style="position:absolute;left:8528;top:27;width:2321;height:2" coordorigin="8528,27" coordsize="2321,0" path="m8528,27l10849,27e" filled="false" stroked="true" strokeweight=".72pt" strokecolor="#000000">
                <v:path arrowok="t"/>
              </v:shape>
            </v:group>
            <w10:wrap type="none"/>
          </v:group>
        </w:pict>
      </w:r>
      <w:r>
        <w:rPr>
          <w:w w:val="95"/>
        </w:rPr>
        <w:t>（经重列）</w:t>
      </w:r>
      <w:r>
        <w:rPr/>
      </w:r>
    </w:p>
    <w:p>
      <w:pPr>
        <w:pStyle w:val="BodyText"/>
        <w:tabs>
          <w:tab w:pos="5920" w:val="left" w:leader="none"/>
          <w:tab w:pos="8299" w:val="left" w:leader="none"/>
        </w:tabs>
        <w:spacing w:line="301" w:lineRule="exact"/>
        <w:ind w:left="561" w:right="109"/>
        <w:jc w:val="left"/>
        <w:rPr>
          <w:rFonts w:ascii="Arial" w:hAnsi="Arial" w:cs="Arial" w:eastAsia="Arial" w:hint="default"/>
        </w:rPr>
      </w:pPr>
      <w:r>
        <w:rPr>
          <w:w w:val="95"/>
          <w:position w:val="2"/>
        </w:rPr>
        <w:t>联通集团</w:t>
        <w:tab/>
      </w:r>
      <w:r>
        <w:rPr>
          <w:rFonts w:ascii="Arial" w:hAnsi="Arial" w:cs="Arial" w:eastAsia="Arial" w:hint="default"/>
          <w:w w:val="95"/>
        </w:rPr>
        <w:t>274,934,125</w:t>
        <w:tab/>
      </w:r>
      <w:r>
        <w:rPr>
          <w:rFonts w:ascii="Arial" w:hAnsi="Arial" w:cs="Arial" w:eastAsia="Arial" w:hint="default"/>
        </w:rPr>
        <w:t>653,828,903</w:t>
      </w:r>
    </w:p>
    <w:p>
      <w:pPr>
        <w:pStyle w:val="BodyText"/>
        <w:tabs>
          <w:tab w:pos="6041" w:val="left" w:leader="none"/>
          <w:tab w:pos="9449" w:val="left" w:leader="none"/>
        </w:tabs>
        <w:spacing w:line="285" w:lineRule="exact"/>
        <w:ind w:left="561" w:right="109"/>
        <w:jc w:val="left"/>
        <w:rPr>
          <w:rFonts w:ascii="Arial" w:hAnsi="Arial" w:cs="Arial" w:eastAsia="Arial" w:hint="default"/>
        </w:rPr>
      </w:pPr>
      <w:r>
        <w:rPr>
          <w:w w:val="95"/>
          <w:position w:val="2"/>
        </w:rPr>
        <w:t>联通新时空</w:t>
        <w:tab/>
      </w:r>
      <w:r>
        <w:rPr>
          <w:rFonts w:ascii="Arial" w:hAnsi="Arial" w:cs="Arial" w:eastAsia="Arial" w:hint="default"/>
          <w:w w:val="95"/>
        </w:rPr>
        <w:t>41,856,467</w:t>
        <w:tab/>
      </w:r>
      <w:r>
        <w:rPr>
          <w:rFonts w:ascii="Arial" w:hAnsi="Arial" w:cs="Arial" w:eastAsia="Arial" w:hint="default"/>
        </w:rPr>
        <w:t>-</w:t>
      </w:r>
    </w:p>
    <w:p>
      <w:pPr>
        <w:pStyle w:val="BodyText"/>
        <w:tabs>
          <w:tab w:pos="6163" w:val="left" w:leader="none"/>
          <w:tab w:pos="9449" w:val="left" w:leader="none"/>
        </w:tabs>
        <w:spacing w:line="285" w:lineRule="exact"/>
        <w:ind w:left="561" w:right="109"/>
        <w:jc w:val="left"/>
        <w:rPr>
          <w:rFonts w:ascii="Arial" w:hAnsi="Arial" w:cs="Arial" w:eastAsia="Arial" w:hint="default"/>
        </w:rPr>
      </w:pPr>
      <w:r>
        <w:rPr>
          <w:w w:val="95"/>
          <w:position w:val="2"/>
        </w:rPr>
        <w:t>联通进出口</w:t>
        <w:tab/>
      </w:r>
      <w:r>
        <w:rPr>
          <w:rFonts w:ascii="Arial" w:hAnsi="Arial" w:cs="Arial" w:eastAsia="Arial" w:hint="default"/>
          <w:w w:val="95"/>
        </w:rPr>
        <w:t>2,420,258</w:t>
        <w:tab/>
      </w:r>
      <w:r>
        <w:rPr>
          <w:rFonts w:ascii="Arial" w:hAnsi="Arial" w:cs="Arial" w:eastAsia="Arial" w:hint="default"/>
        </w:rPr>
        <w:t>-</w:t>
      </w:r>
    </w:p>
    <w:p>
      <w:pPr>
        <w:pStyle w:val="BodyText"/>
        <w:tabs>
          <w:tab w:pos="7069" w:val="left" w:leader="none"/>
          <w:tab w:pos="8727" w:val="left" w:leader="none"/>
        </w:tabs>
        <w:spacing w:line="285" w:lineRule="exact"/>
        <w:ind w:left="561" w:right="109"/>
        <w:jc w:val="left"/>
        <w:rPr>
          <w:rFonts w:ascii="Arial" w:hAnsi="Arial" w:cs="Arial" w:eastAsia="Arial" w:hint="default"/>
        </w:rPr>
      </w:pPr>
      <w:r>
        <w:rPr>
          <w:w w:val="95"/>
          <w:position w:val="2"/>
        </w:rPr>
        <w:t>联通时科</w:t>
        <w:tab/>
      </w:r>
      <w:r>
        <w:rPr>
          <w:rFonts w:ascii="Arial" w:hAnsi="Arial" w:cs="Arial" w:eastAsia="Arial" w:hint="default"/>
          <w:w w:val="95"/>
        </w:rPr>
        <w:t>-</w:t>
        <w:tab/>
      </w:r>
      <w:r>
        <w:rPr>
          <w:rFonts w:ascii="Arial" w:hAnsi="Arial" w:cs="Arial" w:eastAsia="Arial" w:hint="default"/>
        </w:rPr>
        <w:t>321,985</w:t>
      </w:r>
    </w:p>
    <w:p>
      <w:pPr>
        <w:pStyle w:val="BodyText"/>
        <w:tabs>
          <w:tab w:pos="5736" w:val="left" w:leader="none"/>
          <w:tab w:pos="9449" w:val="left" w:leader="none"/>
        </w:tabs>
        <w:spacing w:line="285" w:lineRule="exact"/>
        <w:ind w:left="561" w:right="109"/>
        <w:jc w:val="left"/>
        <w:rPr>
          <w:rFonts w:ascii="Arial" w:hAnsi="Arial" w:cs="Arial" w:eastAsia="Arial" w:hint="default"/>
        </w:rPr>
      </w:pPr>
      <w:r>
        <w:rPr>
          <w:position w:val="2"/>
        </w:rPr>
        <w:t>网通</w:t>
      </w:r>
      <w:r>
        <w:rPr>
          <w:spacing w:val="-57"/>
          <w:position w:val="2"/>
        </w:rPr>
        <w:t> </w:t>
      </w:r>
      <w:r>
        <w:rPr>
          <w:rFonts w:ascii="Arial" w:hAnsi="Arial" w:cs="Arial" w:eastAsia="Arial" w:hint="default"/>
          <w:position w:val="2"/>
        </w:rPr>
        <w:t>BVI</w:t>
        <w:tab/>
      </w:r>
      <w:r>
        <w:rPr>
          <w:rFonts w:ascii="Arial" w:hAnsi="Arial" w:cs="Arial" w:eastAsia="Arial" w:hint="default"/>
          <w:spacing w:val="-1"/>
        </w:rPr>
        <w:t>2,120,355,094</w:t>
        <w:tab/>
      </w:r>
      <w:r>
        <w:rPr>
          <w:rFonts w:ascii="Arial" w:hAnsi="Arial" w:cs="Arial" w:eastAsia="Arial" w:hint="default"/>
        </w:rPr>
        <w:t>-</w:t>
      </w:r>
    </w:p>
    <w:p>
      <w:pPr>
        <w:pStyle w:val="BodyText"/>
        <w:tabs>
          <w:tab w:pos="4868" w:val="left" w:leader="none"/>
          <w:tab w:pos="6041" w:val="left" w:leader="none"/>
          <w:tab w:pos="8420" w:val="left" w:leader="none"/>
        </w:tabs>
        <w:spacing w:line="305" w:lineRule="exact"/>
        <w:ind w:left="561" w:right="109"/>
        <w:jc w:val="left"/>
        <w:rPr>
          <w:rFonts w:ascii="Arial" w:hAnsi="Arial" w:cs="Arial" w:eastAsia="Arial" w:hint="default"/>
        </w:rPr>
      </w:pPr>
      <w:r>
        <w:rPr>
          <w:w w:val="95"/>
          <w:position w:val="2"/>
        </w:rPr>
        <w:t>联通集团其他附属公司</w:t>
        <w:tab/>
      </w:r>
      <w:r>
        <w:rPr>
          <w:rFonts w:ascii="Arial" w:hAnsi="Arial" w:cs="Arial" w:eastAsia="Arial" w:hint="default"/>
          <w:w w:val="95"/>
        </w:rPr>
      </w:r>
      <w:r>
        <w:rPr>
          <w:rFonts w:ascii="Arial" w:hAnsi="Arial" w:cs="Arial" w:eastAsia="Arial" w:hint="default"/>
          <w:w w:val="95"/>
          <w:u w:val="single" w:color="000000"/>
        </w:rPr>
        <w:t> </w:t>
        <w:tab/>
        <w:t>37,986,532</w:t>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85,300,323</w:t>
      </w:r>
      <w:r>
        <w:rPr>
          <w:rFonts w:ascii="Arial" w:hAnsi="Arial" w:cs="Arial" w:eastAsia="Arial" w:hint="default"/>
        </w:rPr>
      </w:r>
    </w:p>
    <w:p>
      <w:pPr>
        <w:spacing w:line="240" w:lineRule="auto" w:before="7"/>
        <w:rPr>
          <w:rFonts w:ascii="Arial" w:hAnsi="Arial" w:cs="Arial" w:eastAsia="Arial" w:hint="default"/>
          <w:sz w:val="17"/>
          <w:szCs w:val="17"/>
        </w:rPr>
      </w:pPr>
    </w:p>
    <w:p>
      <w:pPr>
        <w:pStyle w:val="BodyText"/>
        <w:tabs>
          <w:tab w:pos="5736" w:val="left" w:leader="none"/>
          <w:tab w:pos="8299" w:val="left" w:leader="none"/>
        </w:tabs>
        <w:spacing w:line="240" w:lineRule="auto" w:before="27"/>
        <w:ind w:left="561" w:right="109"/>
        <w:jc w:val="left"/>
        <w:rPr>
          <w:rFonts w:ascii="Arial" w:hAnsi="Arial" w:cs="Arial" w:eastAsia="Arial" w:hint="default"/>
        </w:rPr>
      </w:pPr>
      <w:r>
        <w:rPr>
          <w:w w:val="95"/>
          <w:position w:val="2"/>
        </w:rPr>
        <w:t>合计</w:t>
        <w:tab/>
      </w:r>
      <w:r>
        <w:rPr>
          <w:rFonts w:ascii="Arial" w:hAnsi="Arial" w:cs="Arial" w:eastAsia="Arial" w:hint="default"/>
          <w:spacing w:val="-1"/>
        </w:rPr>
        <w:t>2,477,552,476</w:t>
        <w:tab/>
      </w:r>
      <w:r>
        <w:rPr>
          <w:rFonts w:ascii="Arial" w:hAnsi="Arial" w:cs="Arial" w:eastAsia="Arial" w:hint="default"/>
        </w:rPr>
        <w:t>739,451,211</w:t>
      </w:r>
    </w:p>
    <w:p>
      <w:pPr>
        <w:spacing w:line="43" w:lineRule="exact"/>
        <w:ind w:left="4854" w:right="0" w:firstLine="0"/>
        <w:rPr>
          <w:rFonts w:ascii="Arial" w:hAnsi="Arial" w:cs="Arial" w:eastAsia="Arial" w:hint="default"/>
          <w:sz w:val="4"/>
          <w:szCs w:val="4"/>
        </w:rPr>
      </w:pPr>
      <w:r>
        <w:rPr>
          <w:rFonts w:ascii="Arial" w:hAnsi="Arial" w:cs="Arial" w:eastAsia="Arial" w:hint="default"/>
          <w:position w:val="0"/>
          <w:sz w:val="4"/>
          <w:szCs w:val="4"/>
        </w:rPr>
        <w:pict>
          <v:group style="width:236.5pt;height:2.2pt;mso-position-horizontal-relative:char;mso-position-vertical-relative:line" coordorigin="0,0" coordsize="4730,44">
            <v:group style="position:absolute;left:7;top:36;width:2325;height:2" coordorigin="7,36" coordsize="2325,2">
              <v:shape style="position:absolute;left:7;top:36;width:2325;height:2" coordorigin="7,36" coordsize="2325,0" path="m7,36l2332,36e" filled="false" stroked="true" strokeweight=".72pt" strokecolor="#000000">
                <v:path arrowok="t"/>
              </v:shape>
            </v:group>
            <v:group style="position:absolute;left:7;top:7;width:2325;height:2" coordorigin="7,7" coordsize="2325,2">
              <v:shape style="position:absolute;left:7;top:7;width:2325;height:2" coordorigin="7,7" coordsize="2325,0" path="m7,7l2332,7e" filled="false" stroked="true" strokeweight=".72pt" strokecolor="#000000">
                <v:path arrowok="t"/>
              </v:shape>
            </v:group>
            <v:group style="position:absolute;left:2387;top:36;width:2336;height:2" coordorigin="2387,36" coordsize="2336,2">
              <v:shape style="position:absolute;left:2387;top:36;width:2336;height:2" coordorigin="2387,36" coordsize="2336,0" path="m2387,36l4722,36e" filled="false" stroked="true" strokeweight=".72pt" strokecolor="#000000">
                <v:path arrowok="t"/>
              </v:shape>
            </v:group>
            <v:group style="position:absolute;left:2387;top:7;width:2336;height:2" coordorigin="2387,7" coordsize="2336,2">
              <v:shape style="position:absolute;left:2387;top:7;width:2336;height:2" coordorigin="2387,7" coordsize="2336,0" path="m2387,7l4722,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5"/>
        <w:rPr>
          <w:rFonts w:ascii="Arial" w:hAnsi="Arial" w:cs="Arial" w:eastAsia="Arial" w:hint="default"/>
          <w:sz w:val="16"/>
          <w:szCs w:val="16"/>
        </w:rPr>
      </w:pPr>
    </w:p>
    <w:p>
      <w:pPr>
        <w:pStyle w:val="BodyText"/>
        <w:spacing w:line="295" w:lineRule="exact" w:before="31"/>
        <w:ind w:left="102" w:right="109"/>
        <w:jc w:val="left"/>
        <w:rPr>
          <w:rFonts w:ascii="Arial" w:hAnsi="Arial" w:cs="Arial" w:eastAsia="Arial" w:hint="default"/>
        </w:rPr>
      </w:pPr>
      <w:r>
        <w:rPr>
          <w:rFonts w:ascii="Arial" w:hAnsi="Arial" w:cs="Arial" w:eastAsia="Arial" w:hint="default"/>
        </w:rPr>
        <w:t>(c)  </w:t>
      </w:r>
      <w:r>
        <w:rPr>
          <w:rFonts w:ascii="Arial" w:hAnsi="Arial" w:cs="Arial" w:eastAsia="Arial" w:hint="default"/>
          <w:spacing w:val="4"/>
        </w:rPr>
        <w:t> </w:t>
      </w: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日，账龄超过</w:t>
      </w:r>
      <w:r>
        <w:rPr>
          <w:spacing w:val="-56"/>
        </w:rPr>
        <w:t> </w:t>
      </w:r>
      <w:r>
        <w:rPr>
          <w:rFonts w:ascii="Arial" w:hAnsi="Arial" w:cs="Arial" w:eastAsia="Arial" w:hint="default"/>
        </w:rPr>
        <w:t>1</w:t>
      </w:r>
      <w:r>
        <w:rPr>
          <w:rFonts w:ascii="Arial" w:hAnsi="Arial" w:cs="Arial" w:eastAsia="Arial" w:hint="default"/>
          <w:spacing w:val="-6"/>
        </w:rPr>
        <w:t> </w:t>
      </w:r>
      <w:r>
        <w:rPr/>
        <w:t>年的其他应付款约人民币</w:t>
      </w:r>
      <w:r>
        <w:rPr>
          <w:spacing w:val="-56"/>
        </w:rPr>
        <w:t> </w:t>
      </w:r>
      <w:r>
        <w:rPr>
          <w:rFonts w:ascii="Arial" w:hAnsi="Arial" w:cs="Arial" w:eastAsia="Arial" w:hint="default"/>
        </w:rPr>
        <w:t>15.98</w:t>
      </w:r>
      <w:r>
        <w:rPr>
          <w:rFonts w:ascii="Arial" w:hAnsi="Arial" w:cs="Arial" w:eastAsia="Arial" w:hint="default"/>
          <w:spacing w:val="-7"/>
        </w:rPr>
        <w:t> </w:t>
      </w:r>
      <w:r>
        <w:rPr/>
        <w:t>亿元（</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p>
    <w:p>
      <w:pPr>
        <w:pStyle w:val="BodyText"/>
        <w:spacing w:line="284" w:lineRule="exact" w:before="20"/>
        <w:ind w:left="549" w:right="118"/>
        <w:jc w:val="left"/>
      </w:pPr>
      <w:r>
        <w:rPr/>
        <w:t>日：约人民币</w:t>
      </w:r>
      <w:r>
        <w:rPr>
          <w:spacing w:val="-57"/>
        </w:rPr>
        <w:t> </w:t>
      </w:r>
      <w:r>
        <w:rPr>
          <w:rFonts w:ascii="Arial" w:hAnsi="Arial" w:cs="Arial" w:eastAsia="Arial" w:hint="default"/>
        </w:rPr>
        <w:t>13.45</w:t>
      </w:r>
      <w:r>
        <w:rPr>
          <w:rFonts w:ascii="Arial" w:hAnsi="Arial" w:cs="Arial" w:eastAsia="Arial" w:hint="default"/>
          <w:spacing w:val="-8"/>
        </w:rPr>
        <w:t> </w:t>
      </w:r>
      <w:r>
        <w:rPr/>
        <w:t>亿元），主要为本集团收取的押金和保证金，因交易双方仍继续发生业务</w:t>
      </w:r>
      <w:r>
        <w:rPr>
          <w:w w:val="99"/>
        </w:rPr>
        <w:t> </w:t>
      </w:r>
      <w:r>
        <w:rPr/>
        <w:t>往来，故此项账款尚未完全结清。</w:t>
      </w:r>
    </w:p>
    <w:p>
      <w:pPr>
        <w:spacing w:line="240" w:lineRule="auto" w:before="2"/>
        <w:rPr>
          <w:rFonts w:ascii="宋体" w:hAnsi="宋体" w:cs="宋体" w:eastAsia="宋体" w:hint="default"/>
          <w:sz w:val="17"/>
          <w:szCs w:val="17"/>
        </w:rPr>
      </w:pPr>
    </w:p>
    <w:p>
      <w:pPr>
        <w:pStyle w:val="BodyText"/>
        <w:spacing w:line="295" w:lineRule="exact"/>
        <w:ind w:left="101" w:right="109"/>
        <w:jc w:val="left"/>
      </w:pPr>
      <w:r>
        <w:rPr>
          <w:rFonts w:ascii="Arial" w:hAnsi="Arial" w:cs="Arial" w:eastAsia="Arial" w:hint="default"/>
        </w:rPr>
        <w:t>(d) </w:t>
      </w:r>
      <w:r>
        <w:rPr>
          <w:rFonts w:ascii="Arial" w:hAnsi="Arial" w:cs="Arial" w:eastAsia="Arial" w:hint="default"/>
          <w:spacing w:val="25"/>
        </w:rPr>
        <w:t> </w:t>
      </w:r>
      <w:r>
        <w:rPr/>
        <w:t>于</w:t>
      </w:r>
      <w:r>
        <w:rPr>
          <w:spacing w:val="-57"/>
        </w:rPr>
        <w:t> </w:t>
      </w:r>
      <w:r>
        <w:rPr>
          <w:rFonts w:ascii="Arial" w:hAnsi="Arial" w:cs="Arial" w:eastAsia="Arial" w:hint="default"/>
        </w:rPr>
        <w:t>2009</w:t>
      </w:r>
      <w:r>
        <w:rPr>
          <w:rFonts w:ascii="Arial" w:hAnsi="Arial" w:cs="Arial" w:eastAsia="Arial" w:hint="default"/>
          <w:spacing w:val="-8"/>
        </w:rPr>
        <w:t> </w:t>
      </w:r>
      <w:r>
        <w:rPr/>
        <w:t>年</w:t>
      </w:r>
      <w:r>
        <w:rPr>
          <w:spacing w:val="-57"/>
        </w:rPr>
        <w:t> </w:t>
      </w: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t>日，除应付网通</w:t>
      </w:r>
      <w:r>
        <w:rPr>
          <w:spacing w:val="-56"/>
        </w:rPr>
        <w:t> </w:t>
      </w:r>
      <w:r>
        <w:rPr>
          <w:rFonts w:ascii="Arial" w:hAnsi="Arial" w:cs="Arial" w:eastAsia="Arial" w:hint="default"/>
        </w:rPr>
        <w:t>BVI</w:t>
      </w:r>
      <w:r>
        <w:rPr>
          <w:rFonts w:ascii="Arial" w:hAnsi="Arial" w:cs="Arial" w:eastAsia="Arial" w:hint="default"/>
          <w:spacing w:val="-8"/>
        </w:rPr>
        <w:t> </w:t>
      </w:r>
      <w:r>
        <w:rPr/>
        <w:t>的关联公司借款本金约人民币</w:t>
      </w:r>
      <w:r>
        <w:rPr>
          <w:spacing w:val="-56"/>
        </w:rPr>
        <w:t> </w:t>
      </w:r>
      <w:r>
        <w:rPr>
          <w:rFonts w:ascii="Arial" w:hAnsi="Arial" w:cs="Arial" w:eastAsia="Arial" w:hint="default"/>
        </w:rPr>
        <w:t>21.04</w:t>
      </w:r>
      <w:r>
        <w:rPr>
          <w:rFonts w:ascii="Arial" w:hAnsi="Arial" w:cs="Arial" w:eastAsia="Arial" w:hint="default"/>
          <w:spacing w:val="-8"/>
        </w:rPr>
        <w:t> </w:t>
      </w:r>
      <w:r>
        <w:rPr/>
        <w:t>亿元以港币计价</w:t>
      </w:r>
    </w:p>
    <w:p>
      <w:pPr>
        <w:pStyle w:val="BodyText"/>
        <w:spacing w:line="284" w:lineRule="exact" w:before="21"/>
        <w:ind w:left="521" w:right="103"/>
        <w:jc w:val="left"/>
      </w:pPr>
      <w:r>
        <w:rPr>
          <w:spacing w:val="-3"/>
        </w:rPr>
        <w:t>外，本集团其他应付款中以外币计价的余额并不重大（</w:t>
      </w:r>
      <w:r>
        <w:rPr>
          <w:rFonts w:ascii="Arial" w:hAnsi="Arial" w:cs="Arial" w:eastAsia="Arial" w:hint="default"/>
          <w:spacing w:val="-3"/>
        </w:rPr>
        <w:t>2008</w:t>
      </w:r>
      <w:r>
        <w:rPr>
          <w:rFonts w:ascii="Arial" w:hAnsi="Arial" w:cs="Arial" w:eastAsia="Arial" w:hint="default"/>
          <w:spacing w:val="-4"/>
        </w:rPr>
        <w:t> </w:t>
      </w:r>
      <w:r>
        <w:rPr/>
        <w:t>年</w:t>
      </w:r>
      <w:r>
        <w:rPr>
          <w:spacing w:val="-53"/>
        </w:rPr>
        <w:t> </w:t>
      </w:r>
      <w:r>
        <w:rPr>
          <w:rFonts w:ascii="Arial" w:hAnsi="Arial" w:cs="Arial" w:eastAsia="Arial" w:hint="default"/>
        </w:rPr>
        <w:t>12</w:t>
      </w:r>
      <w:r>
        <w:rPr>
          <w:rFonts w:ascii="Arial" w:hAnsi="Arial" w:cs="Arial" w:eastAsia="Arial" w:hint="default"/>
          <w:spacing w:val="-4"/>
        </w:rPr>
        <w:t> </w:t>
      </w:r>
      <w:r>
        <w:rPr/>
        <w:t>月</w:t>
      </w:r>
      <w:r>
        <w:rPr>
          <w:spacing w:val="-53"/>
        </w:rPr>
        <w:t> </w:t>
      </w:r>
      <w:r>
        <w:rPr>
          <w:rFonts w:ascii="Arial" w:hAnsi="Arial" w:cs="Arial" w:eastAsia="Arial" w:hint="default"/>
        </w:rPr>
        <w:t>31</w:t>
      </w:r>
      <w:r>
        <w:rPr>
          <w:rFonts w:ascii="Arial" w:hAnsi="Arial" w:cs="Arial" w:eastAsia="Arial" w:hint="default"/>
          <w:spacing w:val="-4"/>
        </w:rPr>
        <w:t> </w:t>
      </w:r>
      <w:r>
        <w:rPr>
          <w:spacing w:val="-4"/>
        </w:rPr>
        <w:t>日：无重大以外币计价</w:t>
      </w:r>
      <w:r>
        <w:rPr>
          <w:w w:val="99"/>
        </w:rPr>
        <w:t> </w:t>
      </w:r>
      <w:r>
        <w:rPr/>
        <w:t>的余额）。</w:t>
      </w:r>
    </w:p>
    <w:p>
      <w:pPr>
        <w:spacing w:after="0" w:line="284" w:lineRule="exact"/>
        <w:jc w:val="left"/>
        <w:sectPr>
          <w:headerReference w:type="default" r:id="rId101"/>
          <w:pgSz w:w="11910" w:h="16840"/>
          <w:pgMar w:header="1189" w:footer="752" w:top="4180" w:bottom="940" w:left="1280" w:right="920"/>
        </w:sectPr>
      </w:pPr>
    </w:p>
    <w:p>
      <w:pPr>
        <w:spacing w:line="240" w:lineRule="auto" w:before="3"/>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399"/>
        <w:gridCol w:w="4315"/>
        <w:gridCol w:w="2322"/>
        <w:gridCol w:w="122"/>
        <w:gridCol w:w="2295"/>
      </w:tblGrid>
      <w:tr>
        <w:trPr>
          <w:trHeight w:val="365" w:hRule="exact"/>
        </w:trPr>
        <w:tc>
          <w:tcPr>
            <w:tcW w:w="399" w:type="dxa"/>
            <w:vMerge w:val="restart"/>
            <w:tcBorders>
              <w:top w:val="nil" w:sz="6" w:space="0" w:color="auto"/>
              <w:left w:val="nil" w:sz="6" w:space="0" w:color="auto"/>
              <w:right w:val="nil" w:sz="6" w:space="0" w:color="auto"/>
            </w:tcBorders>
          </w:tcPr>
          <w:p>
            <w:pPr/>
          </w:p>
        </w:tc>
        <w:tc>
          <w:tcPr>
            <w:tcW w:w="431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95" w:right="0"/>
              <w:jc w:val="left"/>
              <w:rPr>
                <w:rFonts w:ascii="宋体" w:hAnsi="宋体" w:cs="宋体" w:eastAsia="宋体" w:hint="default"/>
                <w:sz w:val="22"/>
                <w:szCs w:val="22"/>
              </w:rPr>
            </w:pPr>
            <w:r>
              <w:rPr>
                <w:rFonts w:ascii="宋体" w:hAnsi="宋体" w:cs="宋体" w:eastAsia="宋体" w:hint="default"/>
                <w:sz w:val="22"/>
                <w:szCs w:val="22"/>
              </w:rPr>
              <w:t>一年内到期的长期借款（附注五</w:t>
            </w:r>
            <w:r>
              <w:rPr>
                <w:rFonts w:ascii="Arial" w:hAnsi="Arial" w:cs="Arial" w:eastAsia="Arial" w:hint="default"/>
                <w:sz w:val="22"/>
                <w:szCs w:val="22"/>
              </w:rPr>
              <w:t>(26)</w:t>
            </w:r>
            <w:r>
              <w:rPr>
                <w:rFonts w:ascii="宋体" w:hAnsi="宋体" w:cs="宋体" w:eastAsia="宋体" w:hint="default"/>
                <w:sz w:val="22"/>
                <w:szCs w:val="22"/>
              </w:rPr>
              <w:t>）</w:t>
            </w:r>
          </w:p>
        </w:tc>
        <w:tc>
          <w:tcPr>
            <w:tcW w:w="2322"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90"/>
              <w:jc w:val="right"/>
              <w:rPr>
                <w:rFonts w:ascii="Arial" w:hAnsi="Arial" w:cs="Arial" w:eastAsia="Arial" w:hint="default"/>
                <w:sz w:val="22"/>
                <w:szCs w:val="22"/>
              </w:rPr>
            </w:pPr>
            <w:r>
              <w:rPr>
                <w:rFonts w:ascii="Arial"/>
                <w:w w:val="95"/>
                <w:sz w:val="22"/>
              </w:rPr>
              <w:t>62,276,361</w:t>
            </w:r>
            <w:r>
              <w:rPr>
                <w:rFonts w:ascii="Arial"/>
                <w:sz w:val="22"/>
              </w:rPr>
            </w:r>
          </w:p>
        </w:tc>
        <w:tc>
          <w:tcPr>
            <w:tcW w:w="122" w:type="dxa"/>
            <w:tcBorders>
              <w:top w:val="nil" w:sz="6" w:space="0" w:color="auto"/>
              <w:left w:val="nil" w:sz="6" w:space="0" w:color="auto"/>
              <w:bottom w:val="nil" w:sz="6" w:space="0" w:color="auto"/>
              <w:right w:val="nil" w:sz="6" w:space="0" w:color="auto"/>
            </w:tcBorders>
          </w:tcPr>
          <w:p>
            <w:pPr/>
          </w:p>
        </w:tc>
        <w:tc>
          <w:tcPr>
            <w:tcW w:w="2295"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65"/>
              <w:jc w:val="right"/>
              <w:rPr>
                <w:rFonts w:ascii="Arial" w:hAnsi="Arial" w:cs="Arial" w:eastAsia="Arial" w:hint="default"/>
                <w:sz w:val="22"/>
                <w:szCs w:val="22"/>
              </w:rPr>
            </w:pPr>
            <w:r>
              <w:rPr>
                <w:rFonts w:ascii="Arial"/>
                <w:spacing w:val="-1"/>
                <w:sz w:val="22"/>
              </w:rPr>
              <w:t>1,216,249,534</w:t>
            </w:r>
          </w:p>
        </w:tc>
      </w:tr>
      <w:tr>
        <w:trPr>
          <w:trHeight w:val="440" w:hRule="exact"/>
        </w:trPr>
        <w:tc>
          <w:tcPr>
            <w:tcW w:w="399" w:type="dxa"/>
            <w:vMerge/>
            <w:tcBorders>
              <w:left w:val="nil" w:sz="6" w:space="0" w:color="auto"/>
              <w:right w:val="nil" w:sz="6" w:space="0" w:color="auto"/>
            </w:tcBorders>
          </w:tcPr>
          <w:p>
            <w:pPr/>
          </w:p>
        </w:tc>
        <w:tc>
          <w:tcPr>
            <w:tcW w:w="4315" w:type="dxa"/>
            <w:tcBorders>
              <w:top w:val="nil" w:sz="6" w:space="0" w:color="auto"/>
              <w:left w:val="nil" w:sz="6" w:space="0" w:color="auto"/>
              <w:bottom w:val="nil" w:sz="6" w:space="0" w:color="auto"/>
              <w:right w:val="nil" w:sz="6" w:space="0" w:color="auto"/>
            </w:tcBorders>
          </w:tcPr>
          <w:p>
            <w:pPr>
              <w:pStyle w:val="TableParagraph"/>
              <w:spacing w:line="255" w:lineRule="exact"/>
              <w:ind w:left="95" w:right="0"/>
              <w:jc w:val="left"/>
              <w:rPr>
                <w:rFonts w:ascii="宋体" w:hAnsi="宋体" w:cs="宋体" w:eastAsia="宋体" w:hint="default"/>
                <w:sz w:val="22"/>
                <w:szCs w:val="22"/>
              </w:rPr>
            </w:pPr>
            <w:r>
              <w:rPr>
                <w:rFonts w:ascii="宋体" w:hAnsi="宋体" w:cs="宋体" w:eastAsia="宋体" w:hint="default"/>
                <w:sz w:val="22"/>
                <w:szCs w:val="22"/>
              </w:rPr>
              <w:t>一年内到期的长期应付款（附注五</w:t>
            </w:r>
            <w:r>
              <w:rPr>
                <w:rFonts w:ascii="Arial" w:hAnsi="Arial" w:cs="Arial" w:eastAsia="Arial" w:hint="default"/>
                <w:sz w:val="22"/>
                <w:szCs w:val="22"/>
              </w:rPr>
              <w:t>(28)</w:t>
            </w:r>
            <w:r>
              <w:rPr>
                <w:rFonts w:ascii="宋体" w:hAnsi="宋体" w:cs="宋体" w:eastAsia="宋体" w:hint="default"/>
                <w:sz w:val="22"/>
                <w:szCs w:val="22"/>
              </w:rPr>
              <w:t>）</w:t>
            </w:r>
          </w:p>
        </w:tc>
        <w:tc>
          <w:tcPr>
            <w:tcW w:w="2322" w:type="dxa"/>
            <w:tcBorders>
              <w:top w:val="nil" w:sz="6" w:space="0" w:color="auto"/>
              <w:left w:val="nil" w:sz="6" w:space="0" w:color="auto"/>
              <w:bottom w:val="nil" w:sz="6" w:space="0" w:color="auto"/>
              <w:right w:val="nil" w:sz="6" w:space="0" w:color="auto"/>
            </w:tcBorders>
          </w:tcPr>
          <w:p>
            <w:pPr>
              <w:pStyle w:val="TableParagraph"/>
              <w:tabs>
                <w:tab w:pos="1120" w:val="left" w:leader="none"/>
                <w:tab w:pos="2307"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25,822,386</w:t>
            </w:r>
            <w:r>
              <w:rPr>
                <w:rFonts w:ascii="Arial"/>
                <w:sz w:val="22"/>
                <w:u w:val="single" w:color="000000"/>
              </w:rPr>
              <w:tab/>
            </w:r>
            <w:r>
              <w:rPr>
                <w:rFonts w:ascii="Arial"/>
                <w:sz w:val="22"/>
              </w:rPr>
            </w:r>
          </w:p>
        </w:tc>
        <w:tc>
          <w:tcPr>
            <w:tcW w:w="122" w:type="dxa"/>
            <w:tcBorders>
              <w:top w:val="nil" w:sz="6" w:space="0" w:color="auto"/>
              <w:left w:val="nil" w:sz="6" w:space="0" w:color="auto"/>
              <w:bottom w:val="nil" w:sz="6" w:space="0" w:color="auto"/>
              <w:right w:val="nil" w:sz="6" w:space="0" w:color="auto"/>
            </w:tcBorders>
          </w:tcPr>
          <w:p>
            <w:pPr/>
          </w:p>
        </w:tc>
        <w:tc>
          <w:tcPr>
            <w:tcW w:w="2295" w:type="dxa"/>
            <w:tcBorders>
              <w:top w:val="nil" w:sz="6" w:space="0" w:color="auto"/>
              <w:left w:val="nil" w:sz="6" w:space="0" w:color="auto"/>
              <w:bottom w:val="nil" w:sz="6" w:space="0" w:color="auto"/>
              <w:right w:val="nil" w:sz="6" w:space="0" w:color="auto"/>
            </w:tcBorders>
          </w:tcPr>
          <w:p>
            <w:pPr>
              <w:pStyle w:val="TableParagraph"/>
              <w:tabs>
                <w:tab w:pos="1426" w:val="left" w:leader="none"/>
                <w:tab w:pos="2282"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261,016</w:t>
            </w:r>
            <w:r>
              <w:rPr>
                <w:rFonts w:ascii="Arial"/>
                <w:sz w:val="22"/>
                <w:u w:val="single" w:color="000000"/>
              </w:rPr>
              <w:tab/>
            </w:r>
            <w:r>
              <w:rPr>
                <w:rFonts w:ascii="Arial"/>
                <w:sz w:val="22"/>
              </w:rPr>
            </w:r>
          </w:p>
        </w:tc>
      </w:tr>
      <w:tr>
        <w:trPr>
          <w:trHeight w:val="452" w:hRule="exact"/>
        </w:trPr>
        <w:tc>
          <w:tcPr>
            <w:tcW w:w="399" w:type="dxa"/>
            <w:vMerge/>
            <w:tcBorders>
              <w:left w:val="nil" w:sz="6" w:space="0" w:color="auto"/>
              <w:bottom w:val="nil" w:sz="6" w:space="0" w:color="auto"/>
              <w:right w:val="nil" w:sz="6" w:space="0" w:color="auto"/>
            </w:tcBorders>
          </w:tcPr>
          <w:p>
            <w:pPr/>
          </w:p>
        </w:tc>
        <w:tc>
          <w:tcPr>
            <w:tcW w:w="4315"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9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322" w:type="dxa"/>
            <w:tcBorders>
              <w:top w:val="nil" w:sz="6" w:space="0" w:color="auto"/>
              <w:left w:val="nil" w:sz="6" w:space="0" w:color="auto"/>
              <w:bottom w:val="single" w:sz="17" w:space="0" w:color="000000"/>
              <w:right w:val="nil" w:sz="6" w:space="0" w:color="auto"/>
            </w:tcBorders>
          </w:tcPr>
          <w:p>
            <w:pPr>
              <w:pStyle w:val="TableParagraph"/>
              <w:spacing w:line="240" w:lineRule="auto" w:before="173"/>
              <w:ind w:right="90"/>
              <w:jc w:val="right"/>
              <w:rPr>
                <w:rFonts w:ascii="Arial" w:hAnsi="Arial" w:cs="Arial" w:eastAsia="Arial" w:hint="default"/>
                <w:sz w:val="22"/>
                <w:szCs w:val="22"/>
              </w:rPr>
            </w:pPr>
            <w:r>
              <w:rPr>
                <w:rFonts w:ascii="Arial"/>
                <w:w w:val="95"/>
                <w:sz w:val="22"/>
              </w:rPr>
              <w:t>88,098,747</w:t>
            </w:r>
            <w:r>
              <w:rPr>
                <w:rFonts w:ascii="Arial"/>
                <w:sz w:val="22"/>
              </w:rPr>
            </w:r>
          </w:p>
        </w:tc>
        <w:tc>
          <w:tcPr>
            <w:tcW w:w="122" w:type="dxa"/>
            <w:tcBorders>
              <w:top w:val="nil" w:sz="6" w:space="0" w:color="auto"/>
              <w:left w:val="nil" w:sz="6" w:space="0" w:color="auto"/>
              <w:bottom w:val="nil" w:sz="6" w:space="0" w:color="auto"/>
              <w:right w:val="nil" w:sz="6" w:space="0" w:color="auto"/>
            </w:tcBorders>
          </w:tcPr>
          <w:p>
            <w:pPr/>
          </w:p>
        </w:tc>
        <w:tc>
          <w:tcPr>
            <w:tcW w:w="2295" w:type="dxa"/>
            <w:tcBorders>
              <w:top w:val="nil" w:sz="6" w:space="0" w:color="auto"/>
              <w:left w:val="nil" w:sz="6" w:space="0" w:color="auto"/>
              <w:bottom w:val="single" w:sz="17" w:space="0" w:color="000000"/>
              <w:right w:val="nil" w:sz="6" w:space="0" w:color="auto"/>
            </w:tcBorders>
          </w:tcPr>
          <w:p>
            <w:pPr>
              <w:pStyle w:val="TableParagraph"/>
              <w:spacing w:line="240" w:lineRule="auto" w:before="173"/>
              <w:ind w:right="65"/>
              <w:jc w:val="right"/>
              <w:rPr>
                <w:rFonts w:ascii="Arial" w:hAnsi="Arial" w:cs="Arial" w:eastAsia="Arial" w:hint="default"/>
                <w:sz w:val="22"/>
                <w:szCs w:val="22"/>
              </w:rPr>
            </w:pPr>
            <w:r>
              <w:rPr>
                <w:rFonts w:ascii="Arial"/>
                <w:spacing w:val="-1"/>
                <w:sz w:val="22"/>
              </w:rPr>
              <w:t>1,216,510,550</w:t>
            </w:r>
          </w:p>
        </w:tc>
      </w:tr>
      <w:tr>
        <w:trPr>
          <w:trHeight w:val="690" w:hRule="exact"/>
        </w:trPr>
        <w:tc>
          <w:tcPr>
            <w:tcW w:w="3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ind w:left="35" w:right="0"/>
              <w:jc w:val="left"/>
              <w:rPr>
                <w:rFonts w:ascii="Arial" w:hAnsi="Arial" w:cs="Arial" w:eastAsia="Arial" w:hint="default"/>
                <w:sz w:val="22"/>
                <w:szCs w:val="22"/>
              </w:rPr>
            </w:pPr>
            <w:r>
              <w:rPr>
                <w:rFonts w:ascii="Arial"/>
                <w:sz w:val="22"/>
              </w:rPr>
              <w:t>(a)</w:t>
            </w:r>
          </w:p>
        </w:tc>
        <w:tc>
          <w:tcPr>
            <w:tcW w:w="43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12" w:right="0"/>
              <w:jc w:val="left"/>
              <w:rPr>
                <w:rFonts w:ascii="宋体" w:hAnsi="宋体" w:cs="宋体" w:eastAsia="宋体" w:hint="default"/>
                <w:sz w:val="22"/>
                <w:szCs w:val="22"/>
              </w:rPr>
            </w:pPr>
            <w:r>
              <w:rPr>
                <w:rFonts w:ascii="宋体" w:hAnsi="宋体" w:cs="宋体" w:eastAsia="宋体" w:hint="default"/>
                <w:sz w:val="22"/>
                <w:szCs w:val="22"/>
              </w:rPr>
              <w:t>一年内到期的长期借款</w:t>
            </w:r>
          </w:p>
        </w:tc>
        <w:tc>
          <w:tcPr>
            <w:tcW w:w="2322" w:type="dxa"/>
            <w:tcBorders>
              <w:top w:val="single" w:sz="17" w:space="0" w:color="000000"/>
              <w:left w:val="nil" w:sz="6" w:space="0" w:color="auto"/>
              <w:bottom w:val="nil" w:sz="6" w:space="0" w:color="auto"/>
              <w:right w:val="nil" w:sz="6" w:space="0" w:color="auto"/>
            </w:tcBorders>
          </w:tcPr>
          <w:p>
            <w:pPr/>
          </w:p>
        </w:tc>
        <w:tc>
          <w:tcPr>
            <w:tcW w:w="122" w:type="dxa"/>
            <w:tcBorders>
              <w:top w:val="nil" w:sz="6" w:space="0" w:color="auto"/>
              <w:left w:val="nil" w:sz="6" w:space="0" w:color="auto"/>
              <w:bottom w:val="nil" w:sz="6" w:space="0" w:color="auto"/>
              <w:right w:val="nil" w:sz="6" w:space="0" w:color="auto"/>
            </w:tcBorders>
          </w:tcPr>
          <w:p>
            <w:pPr/>
          </w:p>
        </w:tc>
        <w:tc>
          <w:tcPr>
            <w:tcW w:w="2295" w:type="dxa"/>
            <w:tcBorders>
              <w:top w:val="single" w:sz="17" w:space="0" w:color="000000"/>
              <w:left w:val="nil" w:sz="6" w:space="0" w:color="auto"/>
              <w:bottom w:val="nil" w:sz="6" w:space="0" w:color="auto"/>
              <w:right w:val="nil" w:sz="6" w:space="0" w:color="auto"/>
            </w:tcBorders>
          </w:tcPr>
          <w:p>
            <w:pPr/>
          </w:p>
        </w:tc>
      </w:tr>
      <w:tr>
        <w:trPr>
          <w:trHeight w:val="415" w:hRule="exact"/>
        </w:trPr>
        <w:tc>
          <w:tcPr>
            <w:tcW w:w="399" w:type="dxa"/>
            <w:tcBorders>
              <w:top w:val="nil" w:sz="6" w:space="0" w:color="auto"/>
              <w:left w:val="nil" w:sz="6" w:space="0" w:color="auto"/>
              <w:bottom w:val="nil" w:sz="6" w:space="0" w:color="auto"/>
              <w:right w:val="nil" w:sz="6" w:space="0" w:color="auto"/>
            </w:tcBorders>
          </w:tcPr>
          <w:p>
            <w:pPr/>
          </w:p>
        </w:tc>
        <w:tc>
          <w:tcPr>
            <w:tcW w:w="4315" w:type="dxa"/>
            <w:tcBorders>
              <w:top w:val="nil" w:sz="6" w:space="0" w:color="auto"/>
              <w:left w:val="nil" w:sz="6" w:space="0" w:color="auto"/>
              <w:bottom w:val="nil" w:sz="6" w:space="0" w:color="auto"/>
              <w:right w:val="nil" w:sz="6" w:space="0" w:color="auto"/>
            </w:tcBorders>
          </w:tcPr>
          <w:p>
            <w:pPr/>
          </w:p>
        </w:tc>
        <w:tc>
          <w:tcPr>
            <w:tcW w:w="2322" w:type="dxa"/>
            <w:tcBorders>
              <w:top w:val="nil" w:sz="6" w:space="0" w:color="auto"/>
              <w:left w:val="nil" w:sz="6" w:space="0" w:color="auto"/>
              <w:bottom w:val="single" w:sz="6" w:space="0" w:color="000000"/>
              <w:right w:val="nil" w:sz="6" w:space="0" w:color="auto"/>
            </w:tcBorders>
          </w:tcPr>
          <w:p>
            <w:pPr>
              <w:pStyle w:val="TableParagraph"/>
              <w:spacing w:line="240" w:lineRule="auto" w:before="86"/>
              <w:ind w:right="55"/>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122" w:type="dxa"/>
            <w:tcBorders>
              <w:top w:val="nil" w:sz="6" w:space="0" w:color="auto"/>
              <w:left w:val="nil" w:sz="6" w:space="0" w:color="auto"/>
              <w:bottom w:val="nil" w:sz="6" w:space="0" w:color="auto"/>
              <w:right w:val="nil" w:sz="6" w:space="0" w:color="auto"/>
            </w:tcBorders>
          </w:tcPr>
          <w:p>
            <w:pPr/>
          </w:p>
        </w:tc>
        <w:tc>
          <w:tcPr>
            <w:tcW w:w="2295" w:type="dxa"/>
            <w:tcBorders>
              <w:top w:val="nil" w:sz="6" w:space="0" w:color="auto"/>
              <w:left w:val="nil" w:sz="6" w:space="0" w:color="auto"/>
              <w:bottom w:val="single" w:sz="6" w:space="0" w:color="000000"/>
              <w:right w:val="nil" w:sz="6" w:space="0" w:color="auto"/>
            </w:tcBorders>
          </w:tcPr>
          <w:p>
            <w:pPr>
              <w:pStyle w:val="TableParagraph"/>
              <w:spacing w:line="240" w:lineRule="auto" w:before="86"/>
              <w:ind w:right="55"/>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558" w:hRule="exact"/>
        </w:trPr>
        <w:tc>
          <w:tcPr>
            <w:tcW w:w="399" w:type="dxa"/>
            <w:tcBorders>
              <w:top w:val="nil" w:sz="6" w:space="0" w:color="auto"/>
              <w:left w:val="nil" w:sz="6" w:space="0" w:color="auto"/>
              <w:bottom w:val="nil" w:sz="6" w:space="0" w:color="auto"/>
              <w:right w:val="nil" w:sz="6" w:space="0" w:color="auto"/>
            </w:tcBorders>
          </w:tcPr>
          <w:p>
            <w:pPr/>
          </w:p>
        </w:tc>
        <w:tc>
          <w:tcPr>
            <w:tcW w:w="43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95" w:right="0"/>
              <w:jc w:val="left"/>
              <w:rPr>
                <w:rFonts w:ascii="宋体" w:hAnsi="宋体" w:cs="宋体" w:eastAsia="宋体" w:hint="default"/>
                <w:sz w:val="22"/>
                <w:szCs w:val="22"/>
              </w:rPr>
            </w:pPr>
            <w:r>
              <w:rPr>
                <w:rFonts w:ascii="宋体" w:hAnsi="宋体" w:cs="宋体" w:eastAsia="宋体" w:hint="default"/>
                <w:sz w:val="22"/>
                <w:szCs w:val="22"/>
              </w:rPr>
              <w:t>保证借款</w:t>
            </w:r>
          </w:p>
        </w:tc>
        <w:tc>
          <w:tcPr>
            <w:tcW w:w="2322"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033" w:right="0"/>
              <w:jc w:val="left"/>
              <w:rPr>
                <w:rFonts w:ascii="Arial" w:hAnsi="Arial" w:cs="Arial" w:eastAsia="Arial" w:hint="default"/>
                <w:sz w:val="22"/>
                <w:szCs w:val="22"/>
              </w:rPr>
            </w:pPr>
            <w:r>
              <w:rPr>
                <w:rFonts w:ascii="Arial"/>
                <w:sz w:val="22"/>
              </w:rPr>
              <w:t>13,480,822</w:t>
            </w:r>
          </w:p>
        </w:tc>
        <w:tc>
          <w:tcPr>
            <w:tcW w:w="122" w:type="dxa"/>
            <w:tcBorders>
              <w:top w:val="nil" w:sz="6" w:space="0" w:color="auto"/>
              <w:left w:val="nil" w:sz="6" w:space="0" w:color="auto"/>
              <w:bottom w:val="nil" w:sz="6" w:space="0" w:color="auto"/>
              <w:right w:val="nil" w:sz="6" w:space="0" w:color="auto"/>
            </w:tcBorders>
          </w:tcPr>
          <w:p>
            <w:pPr/>
          </w:p>
        </w:tc>
        <w:tc>
          <w:tcPr>
            <w:tcW w:w="2295"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67"/>
              <w:jc w:val="right"/>
              <w:rPr>
                <w:rFonts w:ascii="Arial" w:hAnsi="Arial" w:cs="Arial" w:eastAsia="Arial" w:hint="default"/>
                <w:sz w:val="22"/>
                <w:szCs w:val="22"/>
              </w:rPr>
            </w:pPr>
            <w:r>
              <w:rPr>
                <w:rFonts w:ascii="Arial"/>
                <w:w w:val="95"/>
                <w:sz w:val="22"/>
              </w:rPr>
              <w:t>13,237,109</w:t>
            </w:r>
            <w:r>
              <w:rPr>
                <w:rFonts w:ascii="Arial"/>
                <w:sz w:val="22"/>
              </w:rPr>
            </w:r>
          </w:p>
        </w:tc>
      </w:tr>
      <w:tr>
        <w:trPr>
          <w:trHeight w:val="419" w:hRule="exact"/>
        </w:trPr>
        <w:tc>
          <w:tcPr>
            <w:tcW w:w="399" w:type="dxa"/>
            <w:tcBorders>
              <w:top w:val="nil" w:sz="6" w:space="0" w:color="auto"/>
              <w:left w:val="nil" w:sz="6" w:space="0" w:color="auto"/>
              <w:bottom w:val="nil" w:sz="6" w:space="0" w:color="auto"/>
              <w:right w:val="nil" w:sz="6" w:space="0" w:color="auto"/>
            </w:tcBorders>
          </w:tcPr>
          <w:p>
            <w:pPr/>
          </w:p>
        </w:tc>
        <w:tc>
          <w:tcPr>
            <w:tcW w:w="4315" w:type="dxa"/>
            <w:tcBorders>
              <w:top w:val="nil" w:sz="6" w:space="0" w:color="auto"/>
              <w:left w:val="nil" w:sz="6" w:space="0" w:color="auto"/>
              <w:bottom w:val="nil" w:sz="6" w:space="0" w:color="auto"/>
              <w:right w:val="nil" w:sz="6" w:space="0" w:color="auto"/>
            </w:tcBorders>
          </w:tcPr>
          <w:p>
            <w:pPr>
              <w:pStyle w:val="TableParagraph"/>
              <w:spacing w:line="239" w:lineRule="exact"/>
              <w:ind w:left="95" w:right="0"/>
              <w:jc w:val="left"/>
              <w:rPr>
                <w:rFonts w:ascii="宋体" w:hAnsi="宋体" w:cs="宋体" w:eastAsia="宋体" w:hint="default"/>
                <w:sz w:val="22"/>
                <w:szCs w:val="22"/>
              </w:rPr>
            </w:pPr>
            <w:r>
              <w:rPr>
                <w:rFonts w:ascii="宋体" w:hAnsi="宋体" w:cs="宋体" w:eastAsia="宋体" w:hint="default"/>
                <w:sz w:val="22"/>
                <w:szCs w:val="22"/>
              </w:rPr>
              <w:t>信用借款</w:t>
            </w:r>
          </w:p>
        </w:tc>
        <w:tc>
          <w:tcPr>
            <w:tcW w:w="2322" w:type="dxa"/>
            <w:tcBorders>
              <w:top w:val="nil" w:sz="6" w:space="0" w:color="auto"/>
              <w:left w:val="nil" w:sz="6" w:space="0" w:color="auto"/>
              <w:bottom w:val="nil" w:sz="6" w:space="0" w:color="auto"/>
              <w:right w:val="nil" w:sz="6" w:space="0" w:color="auto"/>
            </w:tcBorders>
          </w:tcPr>
          <w:p>
            <w:pPr>
              <w:pStyle w:val="TableParagraph"/>
              <w:tabs>
                <w:tab w:pos="1029" w:val="left" w:leader="none"/>
                <w:tab w:pos="2309" w:val="left" w:leader="none"/>
              </w:tabs>
              <w:spacing w:line="240" w:lineRule="auto" w:before="17"/>
              <w:ind w:right="6"/>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48,795,539</w:t>
            </w:r>
            <w:r>
              <w:rPr>
                <w:rFonts w:ascii="Arial"/>
                <w:sz w:val="22"/>
                <w:u w:val="single" w:color="000000"/>
              </w:rPr>
              <w:tab/>
            </w:r>
            <w:r>
              <w:rPr>
                <w:rFonts w:ascii="Arial"/>
                <w:sz w:val="22"/>
              </w:rPr>
            </w:r>
          </w:p>
        </w:tc>
        <w:tc>
          <w:tcPr>
            <w:tcW w:w="122" w:type="dxa"/>
            <w:tcBorders>
              <w:top w:val="nil" w:sz="6" w:space="0" w:color="auto"/>
              <w:left w:val="nil" w:sz="6" w:space="0" w:color="auto"/>
              <w:bottom w:val="nil" w:sz="6" w:space="0" w:color="auto"/>
              <w:right w:val="nil" w:sz="6" w:space="0" w:color="auto"/>
            </w:tcBorders>
          </w:tcPr>
          <w:p>
            <w:pPr/>
          </w:p>
        </w:tc>
        <w:tc>
          <w:tcPr>
            <w:tcW w:w="2295" w:type="dxa"/>
            <w:tcBorders>
              <w:top w:val="nil" w:sz="6" w:space="0" w:color="auto"/>
              <w:left w:val="nil" w:sz="6" w:space="0" w:color="auto"/>
              <w:bottom w:val="nil" w:sz="6" w:space="0" w:color="auto"/>
              <w:right w:val="nil" w:sz="6" w:space="0" w:color="auto"/>
            </w:tcBorders>
          </w:tcPr>
          <w:p>
            <w:pPr>
              <w:pStyle w:val="TableParagraph"/>
              <w:tabs>
                <w:tab w:pos="816" w:val="left" w:leader="none"/>
                <w:tab w:pos="2284"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spacing w:val="-1"/>
                <w:sz w:val="22"/>
                <w:u w:val="single" w:color="000000"/>
              </w:rPr>
              <w:t>1,203,012,425</w:t>
              <w:tab/>
            </w:r>
            <w:r>
              <w:rPr>
                <w:rFonts w:ascii="Arial"/>
                <w:spacing w:val="-1"/>
                <w:sz w:val="22"/>
              </w:rPr>
            </w:r>
          </w:p>
        </w:tc>
      </w:tr>
      <w:tr>
        <w:trPr>
          <w:trHeight w:val="430" w:hRule="exact"/>
        </w:trPr>
        <w:tc>
          <w:tcPr>
            <w:tcW w:w="399" w:type="dxa"/>
            <w:tcBorders>
              <w:top w:val="nil" w:sz="6" w:space="0" w:color="auto"/>
              <w:left w:val="nil" w:sz="6" w:space="0" w:color="auto"/>
              <w:bottom w:val="nil" w:sz="6" w:space="0" w:color="auto"/>
              <w:right w:val="nil" w:sz="6" w:space="0" w:color="auto"/>
            </w:tcBorders>
          </w:tcPr>
          <w:p>
            <w:pPr/>
          </w:p>
        </w:tc>
        <w:tc>
          <w:tcPr>
            <w:tcW w:w="4315" w:type="dxa"/>
            <w:tcBorders>
              <w:top w:val="nil" w:sz="6" w:space="0" w:color="auto"/>
              <w:left w:val="nil" w:sz="6" w:space="0" w:color="auto"/>
              <w:bottom w:val="nil" w:sz="6" w:space="0" w:color="auto"/>
              <w:right w:val="nil" w:sz="6" w:space="0" w:color="auto"/>
            </w:tcBorders>
          </w:tcPr>
          <w:p>
            <w:pPr>
              <w:pStyle w:val="TableParagraph"/>
              <w:spacing w:line="240" w:lineRule="auto" w:before="85"/>
              <w:ind w:left="9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322"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left="1033" w:right="0"/>
              <w:jc w:val="left"/>
              <w:rPr>
                <w:rFonts w:ascii="Arial" w:hAnsi="Arial" w:cs="Arial" w:eastAsia="Arial" w:hint="default"/>
                <w:sz w:val="22"/>
                <w:szCs w:val="22"/>
              </w:rPr>
            </w:pPr>
            <w:r>
              <w:rPr>
                <w:rFonts w:ascii="Arial"/>
                <w:sz w:val="22"/>
              </w:rPr>
              <w:t>62,276,361</w:t>
            </w:r>
          </w:p>
        </w:tc>
        <w:tc>
          <w:tcPr>
            <w:tcW w:w="122" w:type="dxa"/>
            <w:tcBorders>
              <w:top w:val="nil" w:sz="6" w:space="0" w:color="auto"/>
              <w:left w:val="nil" w:sz="6" w:space="0" w:color="auto"/>
              <w:bottom w:val="nil" w:sz="6" w:space="0" w:color="auto"/>
              <w:right w:val="nil" w:sz="6" w:space="0" w:color="auto"/>
            </w:tcBorders>
          </w:tcPr>
          <w:p>
            <w:pPr/>
          </w:p>
        </w:tc>
        <w:tc>
          <w:tcPr>
            <w:tcW w:w="2295"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66"/>
              <w:jc w:val="right"/>
              <w:rPr>
                <w:rFonts w:ascii="Arial" w:hAnsi="Arial" w:cs="Arial" w:eastAsia="Arial" w:hint="default"/>
                <w:sz w:val="22"/>
                <w:szCs w:val="22"/>
              </w:rPr>
            </w:pPr>
            <w:r>
              <w:rPr>
                <w:rFonts w:ascii="Arial"/>
                <w:spacing w:val="-1"/>
                <w:sz w:val="22"/>
              </w:rPr>
              <w:t>1,216,249,534</w:t>
            </w:r>
          </w:p>
        </w:tc>
      </w:tr>
    </w:tbl>
    <w:p>
      <w:pPr>
        <w:spacing w:line="240" w:lineRule="auto" w:before="7"/>
        <w:rPr>
          <w:rFonts w:ascii="宋体" w:hAnsi="宋体" w:cs="宋体" w:eastAsia="宋体" w:hint="default"/>
          <w:sz w:val="12"/>
          <w:szCs w:val="12"/>
        </w:rPr>
      </w:pPr>
    </w:p>
    <w:p>
      <w:pPr>
        <w:pStyle w:val="BodyText"/>
        <w:spacing w:line="240" w:lineRule="auto" w:before="31"/>
        <w:ind w:left="548" w:right="0"/>
        <w:jc w:val="left"/>
      </w:pP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日，本集团无已到期但尚未偿还的长期借款（</w:t>
      </w:r>
      <w:r>
        <w:rPr>
          <w:rFonts w:ascii="Arial" w:hAnsi="Arial" w:cs="Arial" w:eastAsia="Arial" w:hint="default"/>
        </w:rPr>
        <w:t>2008</w:t>
      </w:r>
      <w:r>
        <w:rPr>
          <w:rFonts w:ascii="Arial" w:hAnsi="Arial" w:cs="Arial" w:eastAsia="Arial" w:hint="default"/>
          <w:spacing w:val="-6"/>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日：无）。</w:t>
      </w:r>
    </w:p>
    <w:p>
      <w:pPr>
        <w:spacing w:line="240" w:lineRule="auto" w:before="12"/>
        <w:rPr>
          <w:rFonts w:ascii="宋体" w:hAnsi="宋体" w:cs="宋体" w:eastAsia="宋体" w:hint="default"/>
          <w:sz w:val="17"/>
          <w:szCs w:val="17"/>
        </w:rPr>
      </w:pPr>
    </w:p>
    <w:p>
      <w:pPr>
        <w:pStyle w:val="BodyText"/>
        <w:spacing w:line="240" w:lineRule="auto"/>
        <w:ind w:left="547" w:right="97"/>
        <w:jc w:val="left"/>
      </w:pP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日，金额前五名的一年内到期的长期借款：</w:t>
      </w:r>
    </w:p>
    <w:p>
      <w:pPr>
        <w:spacing w:line="240" w:lineRule="auto" w:before="1"/>
        <w:rPr>
          <w:rFonts w:ascii="宋体" w:hAnsi="宋体" w:cs="宋体" w:eastAsia="宋体" w:hint="default"/>
          <w:sz w:val="15"/>
          <w:szCs w:val="15"/>
        </w:rPr>
      </w:pPr>
    </w:p>
    <w:p>
      <w:pPr>
        <w:spacing w:line="235" w:lineRule="exact" w:before="44"/>
        <w:ind w:left="3084" w:right="97" w:firstLine="0"/>
        <w:jc w:val="left"/>
        <w:rPr>
          <w:rFonts w:ascii="宋体" w:hAnsi="宋体" w:cs="宋体" w:eastAsia="宋体" w:hint="default"/>
          <w:sz w:val="18"/>
          <w:szCs w:val="18"/>
        </w:rPr>
      </w:pPr>
      <w:r>
        <w:rPr>
          <w:rFonts w:ascii="宋体" w:hAnsi="宋体" w:cs="宋体" w:eastAsia="宋体" w:hint="default"/>
          <w:sz w:val="18"/>
          <w:szCs w:val="18"/>
        </w:rPr>
        <w:t>借款终止日</w:t>
      </w:r>
    </w:p>
    <w:p>
      <w:pPr>
        <w:tabs>
          <w:tab w:pos="5615" w:val="left" w:leader="none"/>
          <w:tab w:pos="7824" w:val="left" w:leader="none"/>
        </w:tabs>
        <w:spacing w:line="248" w:lineRule="exact" w:before="0"/>
        <w:ind w:left="2073" w:right="97" w:firstLine="0"/>
        <w:jc w:val="left"/>
        <w:rPr>
          <w:rFonts w:ascii="宋体" w:hAnsi="宋体" w:cs="宋体" w:eastAsia="宋体" w:hint="default"/>
          <w:sz w:val="18"/>
          <w:szCs w:val="18"/>
        </w:rPr>
      </w:pPr>
      <w:r>
        <w:rPr>
          <w:rFonts w:ascii="宋体" w:hAnsi="宋体" w:cs="宋体" w:eastAsia="宋体" w:hint="default"/>
          <w:sz w:val="18"/>
          <w:szCs w:val="18"/>
        </w:rPr>
        <w:t>借款起始日 </w:t>
      </w:r>
      <w:r>
        <w:rPr>
          <w:rFonts w:ascii="Arial" w:hAnsi="Arial" w:cs="Arial" w:eastAsia="Arial" w:hint="default"/>
          <w:sz w:val="18"/>
          <w:szCs w:val="18"/>
        </w:rPr>
        <w:t>(1 </w:t>
      </w:r>
      <w:r>
        <w:rPr>
          <w:rFonts w:ascii="宋体" w:hAnsi="宋体" w:cs="宋体" w:eastAsia="宋体" w:hint="default"/>
          <w:sz w:val="18"/>
          <w:szCs w:val="18"/>
        </w:rPr>
        <w:t>年内部分</w:t>
      </w:r>
      <w:r>
        <w:rPr>
          <w:rFonts w:ascii="Arial" w:hAnsi="Arial" w:cs="Arial" w:eastAsia="Arial" w:hint="default"/>
          <w:sz w:val="18"/>
          <w:szCs w:val="18"/>
        </w:rPr>
        <w:t>)  </w:t>
      </w:r>
      <w:r>
        <w:rPr>
          <w:rFonts w:ascii="宋体" w:hAnsi="宋体" w:cs="宋体" w:eastAsia="宋体" w:hint="default"/>
          <w:sz w:val="18"/>
          <w:szCs w:val="18"/>
        </w:rPr>
        <w:t>币种</w:t>
      </w:r>
      <w:r>
        <w:rPr>
          <w:rFonts w:ascii="宋体" w:hAnsi="宋体" w:cs="宋体" w:eastAsia="宋体" w:hint="default"/>
          <w:spacing w:val="35"/>
          <w:sz w:val="18"/>
          <w:szCs w:val="18"/>
        </w:rPr>
        <w:t> </w:t>
      </w:r>
      <w:r>
        <w:rPr>
          <w:rFonts w:ascii="宋体" w:hAnsi="宋体" w:cs="宋体" w:eastAsia="宋体" w:hint="default"/>
          <w:sz w:val="18"/>
          <w:szCs w:val="18"/>
        </w:rPr>
        <w:t>利率</w:t>
      </w:r>
      <w:r>
        <w:rPr>
          <w:rFonts w:ascii="Arial" w:hAnsi="Arial" w:cs="Arial" w:eastAsia="Arial" w:hint="default"/>
          <w:sz w:val="18"/>
          <w:szCs w:val="18"/>
        </w:rPr>
        <w:t>(%)</w:t>
        <w:tab/>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tab/>
      </w: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tbl>
      <w:tblPr>
        <w:tblW w:w="0" w:type="auto"/>
        <w:jc w:val="left"/>
        <w:tblInd w:w="569" w:type="dxa"/>
        <w:tblLayout w:type="fixed"/>
        <w:tblCellMar>
          <w:top w:w="0" w:type="dxa"/>
          <w:left w:w="0" w:type="dxa"/>
          <w:bottom w:w="0" w:type="dxa"/>
          <w:right w:w="0" w:type="dxa"/>
        </w:tblCellMar>
        <w:tblLook w:val="01E0"/>
      </w:tblPr>
      <w:tblGrid>
        <w:gridCol w:w="1441"/>
        <w:gridCol w:w="2004"/>
        <w:gridCol w:w="587"/>
        <w:gridCol w:w="727"/>
        <w:gridCol w:w="924"/>
        <w:gridCol w:w="133"/>
        <w:gridCol w:w="1067"/>
        <w:gridCol w:w="109"/>
        <w:gridCol w:w="965"/>
        <w:gridCol w:w="1086"/>
      </w:tblGrid>
      <w:tr>
        <w:trPr>
          <w:trHeight w:val="248" w:hRule="exact"/>
        </w:trPr>
        <w:tc>
          <w:tcPr>
            <w:tcW w:w="4759" w:type="dxa"/>
            <w:gridSpan w:val="4"/>
            <w:tcBorders>
              <w:top w:val="nil" w:sz="6" w:space="0" w:color="auto"/>
              <w:left w:val="nil" w:sz="6" w:space="0" w:color="auto"/>
              <w:bottom w:val="nil" w:sz="6" w:space="0" w:color="auto"/>
              <w:right w:val="nil" w:sz="6" w:space="0" w:color="auto"/>
            </w:tcBorders>
          </w:tcPr>
          <w:p>
            <w:pPr/>
          </w:p>
        </w:tc>
        <w:tc>
          <w:tcPr>
            <w:tcW w:w="924" w:type="dxa"/>
            <w:tcBorders>
              <w:top w:val="single" w:sz="6" w:space="0" w:color="000000"/>
              <w:left w:val="nil" w:sz="6" w:space="0" w:color="auto"/>
              <w:bottom w:val="single" w:sz="6" w:space="0" w:color="000000"/>
              <w:right w:val="nil" w:sz="6" w:space="0" w:color="auto"/>
            </w:tcBorders>
          </w:tcPr>
          <w:p>
            <w:pPr>
              <w:pStyle w:val="TableParagraph"/>
              <w:spacing w:line="207" w:lineRule="exact"/>
              <w:ind w:left="117" w:right="0"/>
              <w:jc w:val="center"/>
              <w:rPr>
                <w:rFonts w:ascii="宋体" w:hAnsi="宋体" w:cs="宋体" w:eastAsia="宋体" w:hint="default"/>
                <w:sz w:val="18"/>
                <w:szCs w:val="18"/>
              </w:rPr>
            </w:pPr>
            <w:r>
              <w:rPr>
                <w:rFonts w:ascii="宋体" w:hAnsi="宋体" w:cs="宋体" w:eastAsia="宋体" w:hint="default"/>
                <w:sz w:val="18"/>
                <w:szCs w:val="18"/>
              </w:rPr>
              <w:t>外币金额</w:t>
            </w:r>
          </w:p>
        </w:tc>
        <w:tc>
          <w:tcPr>
            <w:tcW w:w="133" w:type="dxa"/>
            <w:tcBorders>
              <w:top w:val="single" w:sz="6" w:space="0" w:color="000000"/>
              <w:left w:val="nil" w:sz="6" w:space="0" w:color="auto"/>
              <w:bottom w:val="nil" w:sz="6" w:space="0" w:color="auto"/>
              <w:right w:val="nil" w:sz="6" w:space="0" w:color="auto"/>
            </w:tcBorders>
          </w:tcPr>
          <w:p>
            <w:pPr/>
          </w:p>
        </w:tc>
        <w:tc>
          <w:tcPr>
            <w:tcW w:w="1067" w:type="dxa"/>
            <w:tcBorders>
              <w:top w:val="single" w:sz="6" w:space="0" w:color="000000"/>
              <w:left w:val="nil" w:sz="6" w:space="0" w:color="auto"/>
              <w:bottom w:val="single" w:sz="6" w:space="0" w:color="000000"/>
              <w:right w:val="nil" w:sz="6" w:space="0" w:color="auto"/>
            </w:tcBorders>
          </w:tcPr>
          <w:p>
            <w:pPr>
              <w:pStyle w:val="TableParagraph"/>
              <w:spacing w:line="207" w:lineRule="exact"/>
              <w:ind w:left="166" w:right="0"/>
              <w:jc w:val="left"/>
              <w:rPr>
                <w:rFonts w:ascii="宋体" w:hAnsi="宋体" w:cs="宋体" w:eastAsia="宋体" w:hint="default"/>
                <w:sz w:val="18"/>
                <w:szCs w:val="18"/>
              </w:rPr>
            </w:pPr>
            <w:r>
              <w:rPr>
                <w:rFonts w:ascii="宋体" w:hAnsi="宋体" w:cs="宋体" w:eastAsia="宋体" w:hint="default"/>
                <w:sz w:val="18"/>
                <w:szCs w:val="18"/>
              </w:rPr>
              <w:t>人民币金额</w:t>
            </w:r>
          </w:p>
        </w:tc>
        <w:tc>
          <w:tcPr>
            <w:tcW w:w="109" w:type="dxa"/>
            <w:tcBorders>
              <w:top w:val="nil" w:sz="6" w:space="0" w:color="auto"/>
              <w:left w:val="nil" w:sz="6" w:space="0" w:color="auto"/>
              <w:bottom w:val="nil" w:sz="6" w:space="0" w:color="auto"/>
              <w:right w:val="nil" w:sz="6" w:space="0" w:color="auto"/>
            </w:tcBorders>
          </w:tcPr>
          <w:p>
            <w:pPr/>
          </w:p>
        </w:tc>
        <w:tc>
          <w:tcPr>
            <w:tcW w:w="965" w:type="dxa"/>
            <w:tcBorders>
              <w:top w:val="single" w:sz="6" w:space="0" w:color="000000"/>
              <w:left w:val="nil" w:sz="6" w:space="0" w:color="auto"/>
              <w:bottom w:val="single" w:sz="6" w:space="0" w:color="000000"/>
              <w:right w:val="nil" w:sz="6" w:space="0" w:color="auto"/>
            </w:tcBorders>
          </w:tcPr>
          <w:p>
            <w:pPr>
              <w:pStyle w:val="TableParagraph"/>
              <w:spacing w:line="207" w:lineRule="exact"/>
              <w:ind w:left="57" w:right="0"/>
              <w:jc w:val="center"/>
              <w:rPr>
                <w:rFonts w:ascii="宋体" w:hAnsi="宋体" w:cs="宋体" w:eastAsia="宋体" w:hint="default"/>
                <w:sz w:val="18"/>
                <w:szCs w:val="18"/>
              </w:rPr>
            </w:pPr>
            <w:r>
              <w:rPr>
                <w:rFonts w:ascii="宋体" w:hAnsi="宋体" w:cs="宋体" w:eastAsia="宋体" w:hint="default"/>
                <w:sz w:val="18"/>
                <w:szCs w:val="18"/>
              </w:rPr>
              <w:t>外币金额</w:t>
            </w:r>
          </w:p>
        </w:tc>
        <w:tc>
          <w:tcPr>
            <w:tcW w:w="1086" w:type="dxa"/>
            <w:tcBorders>
              <w:top w:val="single" w:sz="6" w:space="0" w:color="000000"/>
              <w:left w:val="nil" w:sz="6" w:space="0" w:color="auto"/>
              <w:bottom w:val="single" w:sz="6" w:space="0" w:color="000000"/>
              <w:right w:val="nil" w:sz="6" w:space="0" w:color="auto"/>
            </w:tcBorders>
          </w:tcPr>
          <w:p>
            <w:pPr>
              <w:pStyle w:val="TableParagraph"/>
              <w:spacing w:line="207" w:lineRule="exact"/>
              <w:ind w:right="90"/>
              <w:jc w:val="right"/>
              <w:rPr>
                <w:rFonts w:ascii="宋体" w:hAnsi="宋体" w:cs="宋体" w:eastAsia="宋体" w:hint="default"/>
                <w:sz w:val="18"/>
                <w:szCs w:val="18"/>
              </w:rPr>
            </w:pPr>
            <w:r>
              <w:rPr>
                <w:rFonts w:ascii="宋体" w:hAnsi="宋体" w:cs="宋体" w:eastAsia="宋体" w:hint="default"/>
                <w:sz w:val="18"/>
                <w:szCs w:val="18"/>
              </w:rPr>
              <w:t>人民币金额</w:t>
            </w:r>
          </w:p>
        </w:tc>
      </w:tr>
      <w:tr>
        <w:trPr>
          <w:trHeight w:val="447"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中国银行北京市</w:t>
            </w:r>
          </w:p>
        </w:tc>
        <w:tc>
          <w:tcPr>
            <w:tcW w:w="2004" w:type="dxa"/>
            <w:tcBorders>
              <w:top w:val="nil" w:sz="6" w:space="0" w:color="auto"/>
              <w:left w:val="nil" w:sz="6" w:space="0" w:color="auto"/>
              <w:bottom w:val="nil" w:sz="6" w:space="0" w:color="auto"/>
              <w:right w:val="nil" w:sz="6" w:space="0" w:color="auto"/>
            </w:tcBorders>
          </w:tcPr>
          <w:p>
            <w:pPr/>
          </w:p>
        </w:tc>
        <w:tc>
          <w:tcPr>
            <w:tcW w:w="587" w:type="dxa"/>
            <w:tcBorders>
              <w:top w:val="nil" w:sz="6" w:space="0" w:color="auto"/>
              <w:left w:val="nil" w:sz="6" w:space="0" w:color="auto"/>
              <w:bottom w:val="nil" w:sz="6" w:space="0" w:color="auto"/>
              <w:right w:val="nil" w:sz="6" w:space="0" w:color="auto"/>
            </w:tcBorders>
          </w:tcPr>
          <w:p>
            <w:pPr/>
          </w:p>
        </w:tc>
        <w:tc>
          <w:tcPr>
            <w:tcW w:w="727" w:type="dxa"/>
            <w:tcBorders>
              <w:top w:val="nil" w:sz="6" w:space="0" w:color="auto"/>
              <w:left w:val="nil" w:sz="6" w:space="0" w:color="auto"/>
              <w:bottom w:val="nil" w:sz="6" w:space="0" w:color="auto"/>
              <w:right w:val="nil" w:sz="6" w:space="0" w:color="auto"/>
            </w:tcBorders>
          </w:tcPr>
          <w:p>
            <w:pPr/>
          </w:p>
        </w:tc>
        <w:tc>
          <w:tcPr>
            <w:tcW w:w="924" w:type="dxa"/>
            <w:tcBorders>
              <w:top w:val="single" w:sz="6" w:space="0" w:color="000000"/>
              <w:left w:val="nil" w:sz="6" w:space="0" w:color="auto"/>
              <w:bottom w:val="nil" w:sz="6" w:space="0" w:color="auto"/>
              <w:right w:val="nil" w:sz="6" w:space="0" w:color="auto"/>
            </w:tcBorders>
          </w:tcPr>
          <w:p>
            <w:pPr/>
          </w:p>
        </w:tc>
        <w:tc>
          <w:tcPr>
            <w:tcW w:w="133" w:type="dxa"/>
            <w:tcBorders>
              <w:top w:val="nil" w:sz="6" w:space="0" w:color="auto"/>
              <w:left w:val="nil" w:sz="6" w:space="0" w:color="auto"/>
              <w:bottom w:val="nil" w:sz="6" w:space="0" w:color="auto"/>
              <w:right w:val="nil" w:sz="6" w:space="0" w:color="auto"/>
            </w:tcBorders>
          </w:tcPr>
          <w:p>
            <w:pPr/>
          </w:p>
        </w:tc>
        <w:tc>
          <w:tcPr>
            <w:tcW w:w="1067" w:type="dxa"/>
            <w:tcBorders>
              <w:top w:val="single" w:sz="6" w:space="0" w:color="000000"/>
              <w:left w:val="nil" w:sz="6" w:space="0" w:color="auto"/>
              <w:bottom w:val="nil" w:sz="6" w:space="0" w:color="auto"/>
              <w:right w:val="nil" w:sz="6" w:space="0" w:color="auto"/>
            </w:tcBorders>
          </w:tcPr>
          <w:p>
            <w:pPr/>
          </w:p>
        </w:tc>
        <w:tc>
          <w:tcPr>
            <w:tcW w:w="109" w:type="dxa"/>
            <w:tcBorders>
              <w:top w:val="nil" w:sz="6" w:space="0" w:color="auto"/>
              <w:left w:val="nil" w:sz="6" w:space="0" w:color="auto"/>
              <w:bottom w:val="nil" w:sz="6" w:space="0" w:color="auto"/>
              <w:right w:val="nil" w:sz="6" w:space="0" w:color="auto"/>
            </w:tcBorders>
          </w:tcPr>
          <w:p>
            <w:pPr/>
          </w:p>
        </w:tc>
        <w:tc>
          <w:tcPr>
            <w:tcW w:w="965" w:type="dxa"/>
            <w:tcBorders>
              <w:top w:val="single" w:sz="6" w:space="0" w:color="000000"/>
              <w:left w:val="nil" w:sz="6" w:space="0" w:color="auto"/>
              <w:bottom w:val="nil" w:sz="6" w:space="0" w:color="auto"/>
              <w:right w:val="nil" w:sz="6" w:space="0" w:color="auto"/>
            </w:tcBorders>
          </w:tcPr>
          <w:p>
            <w:pPr/>
          </w:p>
        </w:tc>
        <w:tc>
          <w:tcPr>
            <w:tcW w:w="1086" w:type="dxa"/>
            <w:tcBorders>
              <w:top w:val="single" w:sz="6" w:space="0" w:color="000000"/>
              <w:left w:val="nil" w:sz="6" w:space="0" w:color="auto"/>
              <w:bottom w:val="nil" w:sz="6" w:space="0" w:color="auto"/>
              <w:right w:val="nil" w:sz="6" w:space="0" w:color="auto"/>
            </w:tcBorders>
          </w:tcPr>
          <w:p>
            <w:pPr/>
          </w:p>
        </w:tc>
      </w:tr>
      <w:tr>
        <w:trPr>
          <w:trHeight w:val="244"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07" w:lineRule="exact"/>
              <w:ind w:left="217" w:right="0"/>
              <w:jc w:val="left"/>
              <w:rPr>
                <w:rFonts w:ascii="宋体" w:hAnsi="宋体" w:cs="宋体" w:eastAsia="宋体" w:hint="default"/>
                <w:sz w:val="18"/>
                <w:szCs w:val="18"/>
              </w:rPr>
            </w:pPr>
            <w:r>
              <w:rPr>
                <w:rFonts w:ascii="宋体" w:hAnsi="宋体" w:cs="宋体" w:eastAsia="宋体" w:hint="default"/>
                <w:sz w:val="18"/>
                <w:szCs w:val="18"/>
              </w:rPr>
              <w:t>分行</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1" w:right="0"/>
              <w:jc w:val="left"/>
              <w:rPr>
                <w:rFonts w:ascii="Arial" w:hAnsi="Arial" w:cs="Arial" w:eastAsia="Arial" w:hint="default"/>
                <w:sz w:val="18"/>
                <w:szCs w:val="18"/>
              </w:rPr>
            </w:pPr>
            <w:r>
              <w:rPr>
                <w:rFonts w:ascii="Arial"/>
                <w:sz w:val="18"/>
              </w:rPr>
              <w:t>1988-08-04</w:t>
            </w:r>
            <w:r>
              <w:rPr>
                <w:rFonts w:ascii="Arial"/>
                <w:spacing w:val="18"/>
                <w:sz w:val="18"/>
              </w:rPr>
              <w:t> </w:t>
            </w:r>
            <w:r>
              <w:rPr>
                <w:rFonts w:ascii="Arial"/>
                <w:sz w:val="18"/>
              </w:rPr>
              <w:t>2010-03-31</w:t>
            </w:r>
          </w:p>
        </w:tc>
        <w:tc>
          <w:tcPr>
            <w:tcW w:w="587" w:type="dxa"/>
            <w:tcBorders>
              <w:top w:val="nil" w:sz="6" w:space="0" w:color="auto"/>
              <w:left w:val="nil" w:sz="6" w:space="0" w:color="auto"/>
              <w:bottom w:val="nil" w:sz="6" w:space="0" w:color="auto"/>
              <w:right w:val="nil" w:sz="6" w:space="0" w:color="auto"/>
            </w:tcBorders>
          </w:tcPr>
          <w:p>
            <w:pPr>
              <w:pStyle w:val="TableParagraph"/>
              <w:spacing w:line="207" w:lineRule="exact"/>
              <w:ind w:left="71"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60"/>
              <w:jc w:val="right"/>
              <w:rPr>
                <w:rFonts w:ascii="Arial" w:hAnsi="Arial" w:cs="Arial" w:eastAsia="Arial" w:hint="default"/>
                <w:sz w:val="18"/>
                <w:szCs w:val="18"/>
              </w:rPr>
            </w:pPr>
            <w:r>
              <w:rPr>
                <w:rFonts w:ascii="Arial"/>
                <w:spacing w:val="-1"/>
                <w:w w:val="95"/>
                <w:sz w:val="18"/>
              </w:rPr>
              <w:t>2.50%</w:t>
            </w:r>
            <w:r>
              <w:rPr>
                <w:rFonts w:ascii="Arial"/>
                <w:sz w:val="18"/>
              </w:rPr>
            </w:r>
          </w:p>
        </w:tc>
        <w:tc>
          <w:tcPr>
            <w:tcW w:w="92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25" w:right="0"/>
              <w:jc w:val="center"/>
              <w:rPr>
                <w:rFonts w:ascii="Arial" w:hAnsi="Arial" w:cs="Arial" w:eastAsia="Arial" w:hint="default"/>
                <w:sz w:val="18"/>
                <w:szCs w:val="18"/>
              </w:rPr>
            </w:pPr>
            <w:r>
              <w:rPr>
                <w:rFonts w:ascii="Arial"/>
                <w:sz w:val="18"/>
              </w:rPr>
              <w:t>2,171,245</w:t>
            </w:r>
          </w:p>
        </w:tc>
        <w:tc>
          <w:tcPr>
            <w:tcW w:w="133"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26"/>
              <w:ind w:left="63" w:right="0"/>
              <w:jc w:val="left"/>
              <w:rPr>
                <w:rFonts w:ascii="Arial" w:hAnsi="Arial" w:cs="Arial" w:eastAsia="Arial" w:hint="default"/>
                <w:sz w:val="18"/>
                <w:szCs w:val="18"/>
              </w:rPr>
            </w:pPr>
            <w:r>
              <w:rPr>
                <w:rFonts w:ascii="Arial"/>
                <w:sz w:val="18"/>
              </w:rPr>
              <w:t>21,271,907</w:t>
            </w:r>
          </w:p>
        </w:tc>
        <w:tc>
          <w:tcPr>
            <w:tcW w:w="109" w:type="dxa"/>
            <w:tcBorders>
              <w:top w:val="nil" w:sz="6" w:space="0" w:color="auto"/>
              <w:left w:val="nil" w:sz="6" w:space="0" w:color="auto"/>
              <w:bottom w:val="nil" w:sz="6" w:space="0" w:color="auto"/>
              <w:right w:val="nil" w:sz="6" w:space="0" w:color="auto"/>
            </w:tcBorders>
          </w:tcPr>
          <w:p>
            <w:pP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56"/>
              <w:jc w:val="center"/>
              <w:rPr>
                <w:rFonts w:ascii="Arial" w:hAnsi="Arial" w:cs="Arial" w:eastAsia="Arial" w:hint="default"/>
                <w:sz w:val="18"/>
                <w:szCs w:val="18"/>
              </w:rPr>
            </w:pPr>
            <w:r>
              <w:rPr>
                <w:rFonts w:ascii="Arial"/>
                <w:sz w:val="18"/>
              </w:rPr>
              <w:t>1,828,075</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4"/>
              <w:jc w:val="right"/>
              <w:rPr>
                <w:rFonts w:ascii="Arial" w:hAnsi="Arial" w:cs="Arial" w:eastAsia="Arial" w:hint="default"/>
                <w:sz w:val="18"/>
                <w:szCs w:val="18"/>
              </w:rPr>
            </w:pPr>
            <w:r>
              <w:rPr>
                <w:rFonts w:ascii="Arial"/>
                <w:spacing w:val="-1"/>
                <w:sz w:val="18"/>
              </w:rPr>
              <w:t>17,657,377</w:t>
            </w:r>
          </w:p>
        </w:tc>
      </w:tr>
      <w:tr>
        <w:trPr>
          <w:trHeight w:val="233"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宋体" w:hAnsi="宋体" w:cs="宋体" w:eastAsia="宋体" w:hint="default"/>
                <w:sz w:val="18"/>
                <w:szCs w:val="18"/>
              </w:rPr>
            </w:pPr>
            <w:r>
              <w:rPr>
                <w:rFonts w:ascii="宋体" w:hAnsi="宋体" w:cs="宋体" w:eastAsia="宋体" w:hint="default"/>
                <w:sz w:val="18"/>
                <w:szCs w:val="18"/>
              </w:rPr>
              <w:t>中国建设银行</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 w:right="0"/>
              <w:jc w:val="left"/>
              <w:rPr>
                <w:rFonts w:ascii="Arial" w:hAnsi="Arial" w:cs="Arial" w:eastAsia="Arial" w:hint="default"/>
                <w:sz w:val="18"/>
                <w:szCs w:val="18"/>
              </w:rPr>
            </w:pPr>
            <w:r>
              <w:rPr>
                <w:rFonts w:ascii="Arial"/>
                <w:sz w:val="18"/>
              </w:rPr>
              <w:t>1991-12-31</w:t>
            </w:r>
            <w:r>
              <w:rPr>
                <w:rFonts w:ascii="Arial"/>
                <w:spacing w:val="18"/>
                <w:sz w:val="18"/>
              </w:rPr>
              <w:t> </w:t>
            </w:r>
            <w:r>
              <w:rPr>
                <w:rFonts w:ascii="Arial"/>
                <w:sz w:val="18"/>
              </w:rPr>
              <w:t>2010-03-31</w:t>
            </w:r>
          </w:p>
        </w:tc>
        <w:tc>
          <w:tcPr>
            <w:tcW w:w="587" w:type="dxa"/>
            <w:tcBorders>
              <w:top w:val="nil" w:sz="6" w:space="0" w:color="auto"/>
              <w:left w:val="nil" w:sz="6" w:space="0" w:color="auto"/>
              <w:bottom w:val="nil" w:sz="6" w:space="0" w:color="auto"/>
              <w:right w:val="nil" w:sz="6" w:space="0" w:color="auto"/>
            </w:tcBorders>
          </w:tcPr>
          <w:p>
            <w:pPr>
              <w:pStyle w:val="TableParagraph"/>
              <w:spacing w:line="195" w:lineRule="exact"/>
              <w:ind w:left="71"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0"/>
              <w:jc w:val="right"/>
              <w:rPr>
                <w:rFonts w:ascii="Arial" w:hAnsi="Arial" w:cs="Arial" w:eastAsia="Arial" w:hint="default"/>
                <w:sz w:val="18"/>
                <w:szCs w:val="18"/>
              </w:rPr>
            </w:pPr>
            <w:r>
              <w:rPr>
                <w:rFonts w:ascii="Arial"/>
                <w:spacing w:val="-1"/>
                <w:w w:val="95"/>
                <w:sz w:val="18"/>
              </w:rPr>
              <w:t>2.00%</w:t>
            </w:r>
            <w:r>
              <w:rPr>
                <w:rFonts w:ascii="Arial"/>
                <w:sz w:val="18"/>
              </w:rPr>
            </w:r>
          </w:p>
        </w:tc>
        <w:tc>
          <w:tcPr>
            <w:tcW w:w="92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5" w:right="0"/>
              <w:jc w:val="center"/>
              <w:rPr>
                <w:rFonts w:ascii="Arial" w:hAnsi="Arial" w:cs="Arial" w:eastAsia="Arial" w:hint="default"/>
                <w:sz w:val="18"/>
                <w:szCs w:val="18"/>
              </w:rPr>
            </w:pPr>
            <w:r>
              <w:rPr>
                <w:rFonts w:ascii="Arial"/>
                <w:sz w:val="18"/>
              </w:rPr>
              <w:t>1,030,552</w:t>
            </w:r>
          </w:p>
        </w:tc>
        <w:tc>
          <w:tcPr>
            <w:tcW w:w="133"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63" w:right="0"/>
              <w:jc w:val="left"/>
              <w:rPr>
                <w:rFonts w:ascii="Arial" w:hAnsi="Arial" w:cs="Arial" w:eastAsia="Arial" w:hint="default"/>
                <w:sz w:val="18"/>
                <w:szCs w:val="18"/>
              </w:rPr>
            </w:pPr>
            <w:r>
              <w:rPr>
                <w:rFonts w:ascii="Arial"/>
                <w:sz w:val="18"/>
              </w:rPr>
              <w:t>10,096,421</w:t>
            </w:r>
          </w:p>
        </w:tc>
        <w:tc>
          <w:tcPr>
            <w:tcW w:w="109" w:type="dxa"/>
            <w:tcBorders>
              <w:top w:val="nil" w:sz="6" w:space="0" w:color="auto"/>
              <w:left w:val="nil" w:sz="6" w:space="0" w:color="auto"/>
              <w:bottom w:val="nil" w:sz="6" w:space="0" w:color="auto"/>
              <w:right w:val="nil" w:sz="6" w:space="0" w:color="auto"/>
            </w:tcBorders>
          </w:tcPr>
          <w:p>
            <w:pP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5"/>
              <w:jc w:val="center"/>
              <w:rPr>
                <w:rFonts w:ascii="Arial" w:hAnsi="Arial" w:cs="Arial" w:eastAsia="Arial" w:hint="default"/>
                <w:sz w:val="18"/>
                <w:szCs w:val="18"/>
              </w:rPr>
            </w:pPr>
            <w:r>
              <w:rPr>
                <w:rFonts w:ascii="Arial"/>
                <w:sz w:val="18"/>
              </w:rPr>
              <w:t>1,030,445</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4"/>
              <w:jc w:val="right"/>
              <w:rPr>
                <w:rFonts w:ascii="Arial" w:hAnsi="Arial" w:cs="Arial" w:eastAsia="Arial" w:hint="default"/>
                <w:sz w:val="18"/>
                <w:szCs w:val="18"/>
              </w:rPr>
            </w:pPr>
            <w:r>
              <w:rPr>
                <w:rFonts w:ascii="Arial"/>
                <w:spacing w:val="-1"/>
                <w:sz w:val="18"/>
              </w:rPr>
              <w:t>9,954,102</w:t>
            </w:r>
          </w:p>
        </w:tc>
      </w:tr>
      <w:tr>
        <w:trPr>
          <w:trHeight w:val="233"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中国建设银行</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 w:right="0"/>
              <w:jc w:val="left"/>
              <w:rPr>
                <w:rFonts w:ascii="Arial" w:hAnsi="Arial" w:cs="Arial" w:eastAsia="Arial" w:hint="default"/>
                <w:sz w:val="18"/>
                <w:szCs w:val="18"/>
              </w:rPr>
            </w:pPr>
            <w:r>
              <w:rPr>
                <w:rFonts w:ascii="Arial"/>
                <w:sz w:val="18"/>
              </w:rPr>
              <w:t>1995-10-31</w:t>
            </w:r>
            <w:r>
              <w:rPr>
                <w:rFonts w:ascii="Arial"/>
                <w:spacing w:val="18"/>
                <w:sz w:val="18"/>
              </w:rPr>
              <w:t> </w:t>
            </w:r>
            <w:r>
              <w:rPr>
                <w:rFonts w:ascii="Arial"/>
                <w:sz w:val="18"/>
              </w:rPr>
              <w:t>2010-03-31</w:t>
            </w:r>
          </w:p>
        </w:tc>
        <w:tc>
          <w:tcPr>
            <w:tcW w:w="587" w:type="dxa"/>
            <w:tcBorders>
              <w:top w:val="nil" w:sz="6" w:space="0" w:color="auto"/>
              <w:left w:val="nil" w:sz="6" w:space="0" w:color="auto"/>
              <w:bottom w:val="nil" w:sz="6" w:space="0" w:color="auto"/>
              <w:right w:val="nil" w:sz="6" w:space="0" w:color="auto"/>
            </w:tcBorders>
          </w:tcPr>
          <w:p>
            <w:pPr>
              <w:pStyle w:val="TableParagraph"/>
              <w:spacing w:line="196" w:lineRule="exact"/>
              <w:ind w:left="71"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60"/>
              <w:jc w:val="right"/>
              <w:rPr>
                <w:rFonts w:ascii="Arial" w:hAnsi="Arial" w:cs="Arial" w:eastAsia="Arial" w:hint="default"/>
                <w:sz w:val="18"/>
                <w:szCs w:val="18"/>
              </w:rPr>
            </w:pPr>
            <w:r>
              <w:rPr>
                <w:rFonts w:ascii="Arial"/>
                <w:spacing w:val="-1"/>
                <w:w w:val="95"/>
                <w:sz w:val="18"/>
              </w:rPr>
              <w:t>5.00%</w:t>
            </w:r>
            <w:r>
              <w:rPr>
                <w:rFonts w:ascii="Arial"/>
                <w:sz w:val="18"/>
              </w:rPr>
            </w:r>
          </w:p>
        </w:tc>
        <w:tc>
          <w:tcPr>
            <w:tcW w:w="92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76" w:right="0"/>
              <w:jc w:val="center"/>
              <w:rPr>
                <w:rFonts w:ascii="Arial" w:hAnsi="Arial" w:cs="Arial" w:eastAsia="Arial" w:hint="default"/>
                <w:sz w:val="18"/>
                <w:szCs w:val="18"/>
              </w:rPr>
            </w:pPr>
            <w:r>
              <w:rPr>
                <w:rFonts w:ascii="Arial"/>
                <w:sz w:val="18"/>
              </w:rPr>
              <w:t>800,697</w:t>
            </w:r>
          </w:p>
        </w:tc>
        <w:tc>
          <w:tcPr>
            <w:tcW w:w="133"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65" w:right="0"/>
              <w:jc w:val="left"/>
              <w:rPr>
                <w:rFonts w:ascii="Arial" w:hAnsi="Arial" w:cs="Arial" w:eastAsia="Arial" w:hint="default"/>
                <w:sz w:val="18"/>
                <w:szCs w:val="18"/>
              </w:rPr>
            </w:pPr>
            <w:r>
              <w:rPr>
                <w:rFonts w:ascii="Arial"/>
                <w:sz w:val="18"/>
              </w:rPr>
              <w:t>5,467,317</w:t>
            </w:r>
          </w:p>
        </w:tc>
        <w:tc>
          <w:tcPr>
            <w:tcW w:w="109" w:type="dxa"/>
            <w:tcBorders>
              <w:top w:val="nil" w:sz="6" w:space="0" w:color="auto"/>
              <w:left w:val="nil" w:sz="6" w:space="0" w:color="auto"/>
              <w:bottom w:val="nil" w:sz="6" w:space="0" w:color="auto"/>
              <w:right w:val="nil" w:sz="6" w:space="0" w:color="auto"/>
            </w:tcBorders>
          </w:tcPr>
          <w:p>
            <w:pP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2" w:right="0"/>
              <w:jc w:val="center"/>
              <w:rPr>
                <w:rFonts w:ascii="Arial" w:hAnsi="Arial" w:cs="Arial" w:eastAsia="Arial" w:hint="default"/>
                <w:sz w:val="18"/>
                <w:szCs w:val="18"/>
              </w:rPr>
            </w:pPr>
            <w:r>
              <w:rPr>
                <w:rFonts w:ascii="Arial"/>
                <w:sz w:val="18"/>
              </w:rPr>
              <w:t>801,236</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spacing w:val="-1"/>
                <w:sz w:val="18"/>
              </w:rPr>
              <w:t>5,472,441</w:t>
            </w:r>
          </w:p>
        </w:tc>
      </w:tr>
      <w:tr>
        <w:trPr>
          <w:trHeight w:val="456"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01" w:lineRule="exact"/>
              <w:ind w:left="35" w:right="0"/>
              <w:jc w:val="left"/>
              <w:rPr>
                <w:rFonts w:ascii="Arial" w:hAnsi="Arial" w:cs="Arial" w:eastAsia="Arial" w:hint="default"/>
                <w:sz w:val="18"/>
                <w:szCs w:val="18"/>
              </w:rPr>
            </w:pPr>
            <w:r>
              <w:rPr>
                <w:rFonts w:ascii="宋体" w:hAnsi="宋体" w:cs="宋体" w:eastAsia="宋体" w:hint="default"/>
                <w:sz w:val="18"/>
                <w:szCs w:val="18"/>
              </w:rPr>
              <w:t>西班牙</w:t>
            </w:r>
            <w:r>
              <w:rPr>
                <w:rFonts w:ascii="Arial" w:hAnsi="Arial" w:cs="Arial" w:eastAsia="Arial" w:hint="default"/>
                <w:sz w:val="18"/>
                <w:szCs w:val="18"/>
              </w:rPr>
              <w:t>(</w:t>
            </w:r>
            <w:r>
              <w:rPr>
                <w:rFonts w:ascii="宋体" w:hAnsi="宋体" w:cs="宋体" w:eastAsia="宋体" w:hint="default"/>
                <w:sz w:val="18"/>
                <w:szCs w:val="18"/>
              </w:rPr>
              <w:t>政府</w:t>
            </w:r>
            <w:r>
              <w:rPr>
                <w:rFonts w:ascii="Arial" w:hAnsi="Arial" w:cs="Arial" w:eastAsia="Arial" w:hint="default"/>
                <w:sz w:val="18"/>
                <w:szCs w:val="18"/>
              </w:rPr>
              <w:t>)</w:t>
            </w:r>
          </w:p>
          <w:p>
            <w:pPr>
              <w:pStyle w:val="TableParagraph"/>
              <w:spacing w:line="228" w:lineRule="exact"/>
              <w:ind w:left="35" w:right="0"/>
              <w:jc w:val="left"/>
              <w:rPr>
                <w:rFonts w:ascii="宋体" w:hAnsi="宋体" w:cs="宋体" w:eastAsia="宋体" w:hint="default"/>
                <w:sz w:val="18"/>
                <w:szCs w:val="18"/>
              </w:rPr>
            </w:pPr>
            <w:r>
              <w:rPr>
                <w:rFonts w:ascii="宋体" w:hAnsi="宋体" w:cs="宋体" w:eastAsia="宋体" w:hint="default"/>
                <w:sz w:val="18"/>
                <w:szCs w:val="18"/>
              </w:rPr>
              <w:t>中国银行河北省</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 w:right="0"/>
              <w:jc w:val="left"/>
              <w:rPr>
                <w:rFonts w:ascii="Arial" w:hAnsi="Arial" w:cs="Arial" w:eastAsia="Arial" w:hint="default"/>
                <w:sz w:val="18"/>
                <w:szCs w:val="18"/>
              </w:rPr>
            </w:pPr>
            <w:r>
              <w:rPr>
                <w:rFonts w:ascii="Arial"/>
                <w:sz w:val="18"/>
              </w:rPr>
              <w:t>1993-06-25</w:t>
            </w:r>
            <w:r>
              <w:rPr>
                <w:rFonts w:ascii="Arial"/>
                <w:spacing w:val="18"/>
                <w:sz w:val="18"/>
              </w:rPr>
              <w:t> </w:t>
            </w:r>
            <w:r>
              <w:rPr>
                <w:rFonts w:ascii="Arial"/>
                <w:sz w:val="18"/>
              </w:rPr>
              <w:t>2010-03-31</w:t>
            </w:r>
          </w:p>
        </w:tc>
        <w:tc>
          <w:tcPr>
            <w:tcW w:w="587" w:type="dxa"/>
            <w:tcBorders>
              <w:top w:val="nil" w:sz="6" w:space="0" w:color="auto"/>
              <w:left w:val="nil" w:sz="6" w:space="0" w:color="auto"/>
              <w:bottom w:val="nil" w:sz="6" w:space="0" w:color="auto"/>
              <w:right w:val="nil" w:sz="6" w:space="0" w:color="auto"/>
            </w:tcBorders>
          </w:tcPr>
          <w:p>
            <w:pPr>
              <w:pStyle w:val="TableParagraph"/>
              <w:spacing w:line="195" w:lineRule="exact"/>
              <w:ind w:left="71"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60"/>
              <w:jc w:val="right"/>
              <w:rPr>
                <w:rFonts w:ascii="Arial" w:hAnsi="Arial" w:cs="Arial" w:eastAsia="Arial" w:hint="default"/>
                <w:sz w:val="18"/>
                <w:szCs w:val="18"/>
              </w:rPr>
            </w:pPr>
            <w:r>
              <w:rPr>
                <w:rFonts w:ascii="Arial"/>
                <w:spacing w:val="-1"/>
                <w:w w:val="95"/>
                <w:sz w:val="18"/>
              </w:rPr>
              <w:t>1.55%</w:t>
            </w:r>
            <w:r>
              <w:rPr>
                <w:rFonts w:ascii="Arial"/>
                <w:sz w:val="18"/>
              </w:rPr>
            </w:r>
          </w:p>
        </w:tc>
        <w:tc>
          <w:tcPr>
            <w:tcW w:w="92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76" w:right="0"/>
              <w:jc w:val="center"/>
              <w:rPr>
                <w:rFonts w:ascii="Arial" w:hAnsi="Arial" w:cs="Arial" w:eastAsia="Arial" w:hint="default"/>
                <w:sz w:val="18"/>
                <w:szCs w:val="18"/>
              </w:rPr>
            </w:pPr>
            <w:r>
              <w:rPr>
                <w:rFonts w:ascii="Arial"/>
                <w:sz w:val="18"/>
              </w:rPr>
              <w:t>595,759</w:t>
            </w:r>
          </w:p>
        </w:tc>
        <w:tc>
          <w:tcPr>
            <w:tcW w:w="133"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65" w:right="0"/>
              <w:jc w:val="left"/>
              <w:rPr>
                <w:rFonts w:ascii="Arial" w:hAnsi="Arial" w:cs="Arial" w:eastAsia="Arial" w:hint="default"/>
                <w:sz w:val="18"/>
                <w:szCs w:val="18"/>
              </w:rPr>
            </w:pPr>
            <w:r>
              <w:rPr>
                <w:rFonts w:ascii="Arial"/>
                <w:sz w:val="18"/>
              </w:rPr>
              <w:t>4,067,963</w:t>
            </w:r>
          </w:p>
        </w:tc>
        <w:tc>
          <w:tcPr>
            <w:tcW w:w="109" w:type="dxa"/>
            <w:tcBorders>
              <w:top w:val="nil" w:sz="6" w:space="0" w:color="auto"/>
              <w:left w:val="nil" w:sz="6" w:space="0" w:color="auto"/>
              <w:bottom w:val="nil" w:sz="6" w:space="0" w:color="auto"/>
              <w:right w:val="nil" w:sz="6" w:space="0" w:color="auto"/>
            </w:tcBorders>
          </w:tcPr>
          <w:p>
            <w:pP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92" w:right="0"/>
              <w:jc w:val="center"/>
              <w:rPr>
                <w:rFonts w:ascii="Arial" w:hAnsi="Arial" w:cs="Arial" w:eastAsia="Arial" w:hint="default"/>
                <w:sz w:val="18"/>
                <w:szCs w:val="18"/>
              </w:rPr>
            </w:pPr>
            <w:r>
              <w:rPr>
                <w:rFonts w:ascii="Arial"/>
                <w:sz w:val="18"/>
              </w:rPr>
              <w:t>595,759</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Arial" w:hAnsi="Arial" w:cs="Arial" w:eastAsia="Arial" w:hint="default"/>
                <w:sz w:val="18"/>
                <w:szCs w:val="18"/>
              </w:rPr>
            </w:pPr>
            <w:r>
              <w:rPr>
                <w:rFonts w:ascii="Arial"/>
                <w:spacing w:val="-1"/>
                <w:sz w:val="18"/>
              </w:rPr>
              <w:t>4,071,776</w:t>
            </w:r>
          </w:p>
        </w:tc>
      </w:tr>
      <w:tr>
        <w:trPr>
          <w:trHeight w:val="330" w:hRule="exact"/>
        </w:trPr>
        <w:tc>
          <w:tcPr>
            <w:tcW w:w="1441" w:type="dxa"/>
            <w:tcBorders>
              <w:top w:val="nil" w:sz="6" w:space="0" w:color="auto"/>
              <w:left w:val="nil" w:sz="6" w:space="0" w:color="auto"/>
              <w:bottom w:val="nil" w:sz="6" w:space="0" w:color="auto"/>
              <w:right w:val="nil" w:sz="6" w:space="0" w:color="auto"/>
            </w:tcBorders>
          </w:tcPr>
          <w:p>
            <w:pPr>
              <w:pStyle w:val="TableParagraph"/>
              <w:spacing w:line="206" w:lineRule="exact"/>
              <w:ind w:left="217" w:right="0"/>
              <w:jc w:val="left"/>
              <w:rPr>
                <w:rFonts w:ascii="宋体" w:hAnsi="宋体" w:cs="宋体" w:eastAsia="宋体" w:hint="default"/>
                <w:sz w:val="18"/>
                <w:szCs w:val="18"/>
              </w:rPr>
            </w:pPr>
            <w:r>
              <w:rPr>
                <w:rFonts w:ascii="宋体" w:hAnsi="宋体" w:cs="宋体" w:eastAsia="宋体" w:hint="default"/>
                <w:sz w:val="18"/>
                <w:szCs w:val="18"/>
              </w:rPr>
              <w:t>分行</w:t>
            </w:r>
          </w:p>
        </w:tc>
        <w:tc>
          <w:tcPr>
            <w:tcW w:w="200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1" w:right="0"/>
              <w:jc w:val="left"/>
              <w:rPr>
                <w:rFonts w:ascii="Arial" w:hAnsi="Arial" w:cs="Arial" w:eastAsia="Arial" w:hint="default"/>
                <w:sz w:val="18"/>
                <w:szCs w:val="18"/>
              </w:rPr>
            </w:pPr>
            <w:r>
              <w:rPr>
                <w:rFonts w:ascii="Arial"/>
                <w:sz w:val="18"/>
              </w:rPr>
              <w:t>1993-02-08</w:t>
            </w:r>
            <w:r>
              <w:rPr>
                <w:rFonts w:ascii="Arial"/>
                <w:spacing w:val="18"/>
                <w:sz w:val="18"/>
              </w:rPr>
              <w:t> </w:t>
            </w:r>
            <w:r>
              <w:rPr>
                <w:rFonts w:ascii="Arial"/>
                <w:sz w:val="18"/>
              </w:rPr>
              <w:t>2010-04-30</w:t>
            </w:r>
          </w:p>
        </w:tc>
        <w:tc>
          <w:tcPr>
            <w:tcW w:w="587" w:type="dxa"/>
            <w:tcBorders>
              <w:top w:val="nil" w:sz="6" w:space="0" w:color="auto"/>
              <w:left w:val="nil" w:sz="6" w:space="0" w:color="auto"/>
              <w:bottom w:val="nil" w:sz="6" w:space="0" w:color="auto"/>
              <w:right w:val="nil" w:sz="6" w:space="0" w:color="auto"/>
            </w:tcBorders>
          </w:tcPr>
          <w:p>
            <w:pPr>
              <w:pStyle w:val="TableParagraph"/>
              <w:spacing w:line="208" w:lineRule="exact"/>
              <w:ind w:left="71"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727"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60"/>
              <w:jc w:val="right"/>
              <w:rPr>
                <w:rFonts w:ascii="Arial" w:hAnsi="Arial" w:cs="Arial" w:eastAsia="Arial" w:hint="default"/>
                <w:sz w:val="18"/>
                <w:szCs w:val="18"/>
              </w:rPr>
            </w:pPr>
            <w:r>
              <w:rPr>
                <w:rFonts w:ascii="Arial"/>
                <w:spacing w:val="-1"/>
                <w:w w:val="95"/>
                <w:sz w:val="18"/>
              </w:rPr>
              <w:t>0.00%</w:t>
            </w:r>
            <w:r>
              <w:rPr>
                <w:rFonts w:ascii="Arial"/>
                <w:sz w:val="18"/>
              </w:rPr>
            </w:r>
          </w:p>
        </w:tc>
        <w:tc>
          <w:tcPr>
            <w:tcW w:w="924"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76" w:right="0"/>
              <w:jc w:val="center"/>
              <w:rPr>
                <w:rFonts w:ascii="Arial" w:hAnsi="Arial" w:cs="Arial" w:eastAsia="Arial" w:hint="default"/>
                <w:sz w:val="18"/>
                <w:szCs w:val="18"/>
              </w:rPr>
            </w:pPr>
            <w:r>
              <w:rPr>
                <w:rFonts w:ascii="Arial"/>
                <w:sz w:val="18"/>
              </w:rPr>
              <w:t>560,089</w:t>
            </w:r>
          </w:p>
        </w:tc>
        <w:tc>
          <w:tcPr>
            <w:tcW w:w="133" w:type="dxa"/>
            <w:tcBorders>
              <w:top w:val="nil" w:sz="6" w:space="0" w:color="auto"/>
              <w:left w:val="nil" w:sz="6" w:space="0" w:color="auto"/>
              <w:bottom w:val="nil" w:sz="6" w:space="0" w:color="auto"/>
              <w:right w:val="nil" w:sz="6" w:space="0" w:color="auto"/>
            </w:tcBorders>
          </w:tcPr>
          <w:p>
            <w:pP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26"/>
              <w:ind w:left="165" w:right="0"/>
              <w:jc w:val="left"/>
              <w:rPr>
                <w:rFonts w:ascii="Arial" w:hAnsi="Arial" w:cs="Arial" w:eastAsia="Arial" w:hint="default"/>
                <w:sz w:val="18"/>
                <w:szCs w:val="18"/>
              </w:rPr>
            </w:pPr>
            <w:r>
              <w:rPr>
                <w:rFonts w:ascii="Arial"/>
                <w:sz w:val="18"/>
              </w:rPr>
              <w:t>3,824,397</w:t>
            </w:r>
          </w:p>
        </w:tc>
        <w:tc>
          <w:tcPr>
            <w:tcW w:w="109" w:type="dxa"/>
            <w:tcBorders>
              <w:top w:val="nil" w:sz="6" w:space="0" w:color="auto"/>
              <w:left w:val="nil" w:sz="6" w:space="0" w:color="auto"/>
              <w:bottom w:val="nil" w:sz="6" w:space="0" w:color="auto"/>
              <w:right w:val="nil" w:sz="6" w:space="0" w:color="auto"/>
            </w:tcBorders>
          </w:tcPr>
          <w:p>
            <w:pPr/>
          </w:p>
        </w:tc>
        <w:tc>
          <w:tcPr>
            <w:tcW w:w="96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92" w:right="0"/>
              <w:jc w:val="center"/>
              <w:rPr>
                <w:rFonts w:ascii="Arial" w:hAnsi="Arial" w:cs="Arial" w:eastAsia="Arial" w:hint="default"/>
                <w:sz w:val="18"/>
                <w:szCs w:val="18"/>
              </w:rPr>
            </w:pPr>
            <w:r>
              <w:rPr>
                <w:rFonts w:ascii="Arial"/>
                <w:sz w:val="18"/>
              </w:rPr>
              <w:t>559,985</w:t>
            </w:r>
          </w:p>
        </w:tc>
        <w:tc>
          <w:tcPr>
            <w:tcW w:w="108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33"/>
              <w:jc w:val="right"/>
              <w:rPr>
                <w:rFonts w:ascii="Arial" w:hAnsi="Arial" w:cs="Arial" w:eastAsia="Arial" w:hint="default"/>
                <w:sz w:val="18"/>
                <w:szCs w:val="18"/>
              </w:rPr>
            </w:pPr>
            <w:r>
              <w:rPr>
                <w:rFonts w:ascii="Arial"/>
                <w:spacing w:val="-1"/>
                <w:sz w:val="18"/>
              </w:rPr>
              <w:t>3,827,271</w:t>
            </w:r>
          </w:p>
        </w:tc>
      </w:tr>
    </w:tbl>
    <w:p>
      <w:pPr>
        <w:spacing w:line="240" w:lineRule="auto" w:before="8"/>
        <w:rPr>
          <w:rFonts w:ascii="宋体" w:hAnsi="宋体" w:cs="宋体" w:eastAsia="宋体" w:hint="default"/>
          <w:sz w:val="8"/>
          <w:szCs w:val="8"/>
        </w:rPr>
      </w:pPr>
    </w:p>
    <w:p>
      <w:pPr>
        <w:pStyle w:val="BodyText"/>
        <w:tabs>
          <w:tab w:pos="618" w:val="left" w:leader="none"/>
        </w:tabs>
        <w:spacing w:line="424" w:lineRule="auto" w:before="31"/>
        <w:ind w:left="548" w:right="6464" w:hanging="406"/>
        <w:jc w:val="left"/>
      </w:pPr>
      <w:r>
        <w:rPr>
          <w:rFonts w:ascii="Arial" w:hAnsi="Arial" w:cs="Arial" w:eastAsia="Arial" w:hint="default"/>
          <w:w w:val="95"/>
        </w:rPr>
        <w:t>(b)</w:t>
        <w:tab/>
        <w:tab/>
      </w:r>
      <w:r>
        <w:rPr/>
        <w:t>一年内到期的长期应付款</w:t>
      </w:r>
      <w:r>
        <w:rPr>
          <w:w w:val="99"/>
        </w:rPr>
        <w:t> </w:t>
      </w:r>
      <w:r>
        <w:rPr/>
        <w:t>参见附注五</w:t>
      </w:r>
      <w:r>
        <w:rPr>
          <w:rFonts w:ascii="Arial" w:hAnsi="Arial" w:cs="Arial" w:eastAsia="Arial" w:hint="default"/>
        </w:rPr>
        <w:t>(28)</w:t>
      </w:r>
      <w:r>
        <w:rPr/>
        <w:t>及附注十三。</w:t>
      </w:r>
    </w:p>
    <w:p>
      <w:pPr>
        <w:spacing w:after="0" w:line="424" w:lineRule="auto"/>
        <w:jc w:val="left"/>
        <w:sectPr>
          <w:headerReference w:type="default" r:id="rId102"/>
          <w:pgSz w:w="11910" w:h="16840"/>
          <w:pgMar w:header="1189" w:footer="752" w:top="4160" w:bottom="940" w:left="1240" w:right="840"/>
        </w:sectPr>
      </w:pPr>
    </w:p>
    <w:p>
      <w:pPr>
        <w:tabs>
          <w:tab w:pos="7139" w:val="left" w:leader="none"/>
        </w:tabs>
        <w:spacing w:line="20" w:lineRule="exact"/>
        <w:ind w:left="4458" w:right="0" w:firstLine="0"/>
        <w:rPr>
          <w:rFonts w:ascii="宋体" w:hAnsi="宋体" w:cs="宋体" w:eastAsia="宋体" w:hint="default"/>
          <w:sz w:val="2"/>
          <w:szCs w:val="2"/>
        </w:rPr>
      </w:pPr>
      <w:r>
        <w:rPr>
          <w:rFonts w:ascii="宋体"/>
          <w:sz w:val="2"/>
        </w:rPr>
        <w:pict>
          <v:group style="width:120.1pt;height:.75pt;mso-position-horizontal-relative:char;mso-position-vertical-relative:line" coordorigin="0,0" coordsize="2402,15">
            <v:group style="position:absolute;left:7;top:7;width:2387;height:2" coordorigin="7,7" coordsize="2387,2">
              <v:shape style="position:absolute;left:7;top:7;width:2387;height:2" coordorigin="7,7" coordsize="2387,0" path="m7,7l2394,7e" filled="false" stroked="true" strokeweight=".72pt" strokecolor="#000000">
                <v:path arrowok="t"/>
              </v:shape>
            </v:group>
          </v:group>
        </w:pict>
      </w:r>
      <w:r>
        <w:rPr>
          <w:rFonts w:ascii="宋体"/>
          <w:sz w:val="2"/>
        </w:rPr>
      </w:r>
      <w:r>
        <w:rPr>
          <w:rFonts w:ascii="宋体"/>
          <w:sz w:val="2"/>
        </w:rPr>
        <w:tab/>
      </w:r>
      <w:r>
        <w:rPr>
          <w:rFonts w:ascii="宋体"/>
          <w:sz w:val="2"/>
        </w:rPr>
        <w:pict>
          <v:group style="width:119.05pt;height:.75pt;mso-position-horizontal-relative:char;mso-position-vertical-relative:line" coordorigin="0,0" coordsize="2381,15">
            <v:group style="position:absolute;left:7;top:7;width:2367;height:2" coordorigin="7,7" coordsize="2367,2">
              <v:shape style="position:absolute;left:7;top:7;width:2367;height:2" coordorigin="7,7" coordsize="2367,0" path="m7,7l2374,7e" filled="false" stroked="true" strokeweight=".72pt" strokecolor="#000000">
                <v:path arrowok="t"/>
              </v:shape>
            </v:group>
          </v:group>
        </w:pict>
      </w:r>
      <w:r>
        <w:rPr>
          <w:rFonts w:ascii="宋体"/>
          <w:sz w:val="2"/>
        </w:rPr>
      </w:r>
    </w:p>
    <w:p>
      <w:pPr>
        <w:spacing w:line="240" w:lineRule="auto" w:before="7"/>
        <w:rPr>
          <w:rFonts w:ascii="宋体" w:hAnsi="宋体" w:cs="宋体" w:eastAsia="宋体" w:hint="default"/>
          <w:sz w:val="15"/>
          <w:szCs w:val="15"/>
        </w:rPr>
      </w:pPr>
    </w:p>
    <w:tbl>
      <w:tblPr>
        <w:tblW w:w="0" w:type="auto"/>
        <w:jc w:val="left"/>
        <w:tblInd w:w="525" w:type="dxa"/>
        <w:tblLayout w:type="fixed"/>
        <w:tblCellMar>
          <w:top w:w="0" w:type="dxa"/>
          <w:left w:w="0" w:type="dxa"/>
          <w:bottom w:w="0" w:type="dxa"/>
          <w:right w:w="0" w:type="dxa"/>
        </w:tblCellMar>
        <w:tblLook w:val="01E0"/>
      </w:tblPr>
      <w:tblGrid>
        <w:gridCol w:w="2982"/>
        <w:gridCol w:w="955"/>
        <w:gridCol w:w="2400"/>
        <w:gridCol w:w="281"/>
        <w:gridCol w:w="2375"/>
      </w:tblGrid>
      <w:tr>
        <w:trPr>
          <w:trHeight w:val="365" w:hRule="exact"/>
        </w:trPr>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6" w:right="0"/>
              <w:jc w:val="left"/>
              <w:rPr>
                <w:rFonts w:ascii="宋体" w:hAnsi="宋体" w:cs="宋体" w:eastAsia="宋体" w:hint="default"/>
                <w:sz w:val="22"/>
                <w:szCs w:val="22"/>
              </w:rPr>
            </w:pPr>
            <w:r>
              <w:rPr>
                <w:rFonts w:ascii="宋体" w:hAnsi="宋体" w:cs="宋体" w:eastAsia="宋体" w:hint="default"/>
                <w:sz w:val="22"/>
                <w:szCs w:val="22"/>
              </w:rPr>
              <w:t>保证借款（注</w:t>
            </w:r>
            <w:r>
              <w:rPr>
                <w:rFonts w:ascii="宋体" w:hAnsi="宋体" w:cs="宋体" w:eastAsia="宋体" w:hint="default"/>
                <w:spacing w:val="-57"/>
                <w:sz w:val="22"/>
                <w:szCs w:val="22"/>
              </w:rPr>
              <w:t> </w:t>
            </w:r>
            <w:r>
              <w:rPr>
                <w:rFonts w:ascii="Arial" w:hAnsi="Arial" w:cs="Arial" w:eastAsia="Arial" w:hint="default"/>
                <w:sz w:val="22"/>
                <w:szCs w:val="22"/>
              </w:rPr>
              <w:t>1</w:t>
            </w:r>
            <w:r>
              <w:rPr>
                <w:rFonts w:ascii="宋体" w:hAnsi="宋体" w:cs="宋体" w:eastAsia="宋体" w:hint="default"/>
                <w:sz w:val="22"/>
                <w:szCs w:val="22"/>
              </w:rPr>
              <w:t>）</w:t>
            </w:r>
          </w:p>
        </w:tc>
        <w:tc>
          <w:tcPr>
            <w:tcW w:w="955" w:type="dxa"/>
            <w:tcBorders>
              <w:top w:val="nil" w:sz="6" w:space="0" w:color="auto"/>
              <w:left w:val="nil" w:sz="6" w:space="0" w:color="auto"/>
              <w:bottom w:val="nil" w:sz="6" w:space="0" w:color="auto"/>
              <w:right w:val="nil" w:sz="6" w:space="0" w:color="auto"/>
            </w:tcBorders>
          </w:tcPr>
          <w:p>
            <w:pPr/>
          </w:p>
        </w:tc>
        <w:tc>
          <w:tcPr>
            <w:tcW w:w="2400"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137"/>
              <w:jc w:val="right"/>
              <w:rPr>
                <w:rFonts w:ascii="Arial" w:hAnsi="Arial" w:cs="Arial" w:eastAsia="Arial" w:hint="default"/>
                <w:sz w:val="22"/>
                <w:szCs w:val="22"/>
              </w:rPr>
            </w:pPr>
            <w:r>
              <w:rPr>
                <w:rFonts w:ascii="Arial"/>
                <w:w w:val="95"/>
                <w:sz w:val="22"/>
              </w:rPr>
              <w:t>123,313,301</w:t>
            </w:r>
            <w:r>
              <w:rPr>
                <w:rFonts w:ascii="Arial"/>
                <w:sz w:val="22"/>
              </w:rPr>
            </w:r>
          </w:p>
        </w:tc>
        <w:tc>
          <w:tcPr>
            <w:tcW w:w="281" w:type="dxa"/>
            <w:tcBorders>
              <w:top w:val="nil" w:sz="6" w:space="0" w:color="auto"/>
              <w:left w:val="nil" w:sz="6" w:space="0" w:color="auto"/>
              <w:bottom w:val="nil" w:sz="6" w:space="0" w:color="auto"/>
              <w:right w:val="nil" w:sz="6" w:space="0" w:color="auto"/>
            </w:tcBorders>
          </w:tcPr>
          <w:p>
            <w:pP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98"/>
              <w:ind w:right="91"/>
              <w:jc w:val="right"/>
              <w:rPr>
                <w:rFonts w:ascii="Arial" w:hAnsi="Arial" w:cs="Arial" w:eastAsia="Arial" w:hint="default"/>
                <w:sz w:val="22"/>
                <w:szCs w:val="22"/>
              </w:rPr>
            </w:pPr>
            <w:r>
              <w:rPr>
                <w:rFonts w:ascii="Arial"/>
                <w:w w:val="95"/>
                <w:sz w:val="22"/>
              </w:rPr>
              <w:t>131,430,244</w:t>
            </w:r>
            <w:r>
              <w:rPr>
                <w:rFonts w:ascii="Arial"/>
                <w:sz w:val="22"/>
              </w:rPr>
            </w:r>
          </w:p>
        </w:tc>
      </w:tr>
      <w:tr>
        <w:trPr>
          <w:trHeight w:val="419" w:hRule="exact"/>
        </w:trPr>
        <w:tc>
          <w:tcPr>
            <w:tcW w:w="2982" w:type="dxa"/>
            <w:tcBorders>
              <w:top w:val="nil" w:sz="6" w:space="0" w:color="auto"/>
              <w:left w:val="nil" w:sz="6" w:space="0" w:color="auto"/>
              <w:bottom w:val="nil" w:sz="6" w:space="0" w:color="auto"/>
              <w:right w:val="nil" w:sz="6" w:space="0" w:color="auto"/>
            </w:tcBorders>
          </w:tcPr>
          <w:p>
            <w:pPr>
              <w:pStyle w:val="TableParagraph"/>
              <w:spacing w:line="239" w:lineRule="exact"/>
              <w:ind w:left="36" w:right="0"/>
              <w:jc w:val="left"/>
              <w:rPr>
                <w:rFonts w:ascii="宋体" w:hAnsi="宋体" w:cs="宋体" w:eastAsia="宋体" w:hint="default"/>
                <w:sz w:val="22"/>
                <w:szCs w:val="22"/>
              </w:rPr>
            </w:pPr>
            <w:r>
              <w:rPr>
                <w:rFonts w:ascii="宋体" w:hAnsi="宋体" w:cs="宋体" w:eastAsia="宋体" w:hint="default"/>
                <w:sz w:val="22"/>
                <w:szCs w:val="22"/>
              </w:rPr>
              <w:t>信用借款</w:t>
            </w:r>
          </w:p>
        </w:tc>
        <w:tc>
          <w:tcPr>
            <w:tcW w:w="955" w:type="dxa"/>
            <w:tcBorders>
              <w:top w:val="nil" w:sz="6" w:space="0" w:color="auto"/>
              <w:left w:val="nil" w:sz="6" w:space="0" w:color="auto"/>
              <w:bottom w:val="nil" w:sz="6" w:space="0" w:color="auto"/>
              <w:right w:val="nil" w:sz="6" w:space="0" w:color="auto"/>
            </w:tcBorders>
          </w:tcPr>
          <w:p>
            <w:pPr/>
          </w:p>
        </w:tc>
        <w:tc>
          <w:tcPr>
            <w:tcW w:w="2400" w:type="dxa"/>
            <w:tcBorders>
              <w:top w:val="nil" w:sz="6" w:space="0" w:color="auto"/>
              <w:left w:val="nil" w:sz="6" w:space="0" w:color="auto"/>
              <w:bottom w:val="nil" w:sz="6" w:space="0" w:color="auto"/>
              <w:right w:val="nil" w:sz="6" w:space="0" w:color="auto"/>
            </w:tcBorders>
          </w:tcPr>
          <w:p>
            <w:pPr>
              <w:pStyle w:val="TableParagraph"/>
              <w:tabs>
                <w:tab w:pos="1034" w:val="left" w:leader="none"/>
                <w:tab w:pos="2386" w:val="left" w:leader="none"/>
              </w:tabs>
              <w:spacing w:line="240" w:lineRule="auto" w:before="17"/>
              <w:ind w:right="8"/>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636,142,006</w:t>
            </w:r>
            <w:r>
              <w:rPr>
                <w:rFonts w:ascii="Arial"/>
                <w:sz w:val="22"/>
                <w:u w:val="single" w:color="000000"/>
              </w:rPr>
              <w:tab/>
            </w:r>
            <w:r>
              <w:rPr>
                <w:rFonts w:ascii="Arial"/>
                <w:sz w:val="22"/>
              </w:rPr>
            </w:r>
          </w:p>
        </w:tc>
        <w:tc>
          <w:tcPr>
            <w:tcW w:w="281" w:type="dxa"/>
            <w:tcBorders>
              <w:top w:val="nil" w:sz="6" w:space="0" w:color="auto"/>
              <w:left w:val="nil" w:sz="6" w:space="0" w:color="auto"/>
              <w:bottom w:val="nil" w:sz="6" w:space="0" w:color="auto"/>
              <w:right w:val="nil" w:sz="6" w:space="0" w:color="auto"/>
            </w:tcBorders>
          </w:tcPr>
          <w:p>
            <w:pPr/>
          </w:p>
        </w:tc>
        <w:tc>
          <w:tcPr>
            <w:tcW w:w="2375" w:type="dxa"/>
            <w:tcBorders>
              <w:top w:val="nil" w:sz="6" w:space="0" w:color="auto"/>
              <w:left w:val="nil" w:sz="6" w:space="0" w:color="auto"/>
              <w:bottom w:val="nil" w:sz="6" w:space="0" w:color="auto"/>
              <w:right w:val="nil" w:sz="6" w:space="0" w:color="auto"/>
            </w:tcBorders>
          </w:tcPr>
          <w:p>
            <w:pPr>
              <w:pStyle w:val="TableParagraph"/>
              <w:tabs>
                <w:tab w:pos="1055" w:val="left" w:leader="none"/>
                <w:tab w:pos="2366" w:val="left" w:leader="none"/>
              </w:tabs>
              <w:spacing w:line="240" w:lineRule="auto" w:before="17"/>
              <w:ind w:right="4"/>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865,882,234</w:t>
            </w:r>
            <w:r>
              <w:rPr>
                <w:rFonts w:ascii="Arial"/>
                <w:sz w:val="22"/>
                <w:u w:val="single" w:color="000000"/>
              </w:rPr>
              <w:tab/>
            </w:r>
            <w:r>
              <w:rPr>
                <w:rFonts w:ascii="Arial"/>
                <w:sz w:val="22"/>
              </w:rPr>
            </w:r>
          </w:p>
        </w:tc>
      </w:tr>
      <w:tr>
        <w:trPr>
          <w:trHeight w:val="431" w:hRule="exact"/>
        </w:trPr>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86"/>
              <w:ind w:left="36"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955" w:type="dxa"/>
            <w:tcBorders>
              <w:top w:val="nil" w:sz="6" w:space="0" w:color="auto"/>
              <w:left w:val="nil" w:sz="6" w:space="0" w:color="auto"/>
              <w:bottom w:val="nil" w:sz="6" w:space="0" w:color="auto"/>
              <w:right w:val="nil" w:sz="6" w:space="0" w:color="auto"/>
            </w:tcBorders>
          </w:tcPr>
          <w:p>
            <w:pPr/>
          </w:p>
        </w:tc>
        <w:tc>
          <w:tcPr>
            <w:tcW w:w="2400" w:type="dxa"/>
            <w:tcBorders>
              <w:top w:val="nil" w:sz="6" w:space="0" w:color="auto"/>
              <w:left w:val="nil" w:sz="6" w:space="0" w:color="auto"/>
              <w:bottom w:val="single" w:sz="17" w:space="0" w:color="000000"/>
              <w:right w:val="nil" w:sz="6" w:space="0" w:color="auto"/>
            </w:tcBorders>
          </w:tcPr>
          <w:p>
            <w:pPr>
              <w:pStyle w:val="TableParagraph"/>
              <w:spacing w:line="240" w:lineRule="auto" w:before="152"/>
              <w:ind w:right="115"/>
              <w:jc w:val="right"/>
              <w:rPr>
                <w:rFonts w:ascii="Arial" w:hAnsi="Arial" w:cs="Arial" w:eastAsia="Arial" w:hint="default"/>
                <w:sz w:val="22"/>
                <w:szCs w:val="22"/>
              </w:rPr>
            </w:pPr>
            <w:r>
              <w:rPr>
                <w:rFonts w:ascii="Arial"/>
                <w:w w:val="95"/>
                <w:sz w:val="22"/>
              </w:rPr>
              <w:t>759,455,307</w:t>
            </w:r>
            <w:r>
              <w:rPr>
                <w:rFonts w:ascii="Arial"/>
                <w:sz w:val="22"/>
              </w:rPr>
            </w:r>
          </w:p>
        </w:tc>
        <w:tc>
          <w:tcPr>
            <w:tcW w:w="281" w:type="dxa"/>
            <w:tcBorders>
              <w:top w:val="nil" w:sz="6" w:space="0" w:color="auto"/>
              <w:left w:val="nil" w:sz="6" w:space="0" w:color="auto"/>
              <w:bottom w:val="nil" w:sz="6" w:space="0" w:color="auto"/>
              <w:right w:val="nil" w:sz="6" w:space="0" w:color="auto"/>
            </w:tcBorders>
          </w:tcPr>
          <w:p>
            <w:pPr/>
          </w:p>
        </w:tc>
        <w:tc>
          <w:tcPr>
            <w:tcW w:w="2375" w:type="dxa"/>
            <w:tcBorders>
              <w:top w:val="nil" w:sz="6" w:space="0" w:color="auto"/>
              <w:left w:val="nil" w:sz="6" w:space="0" w:color="auto"/>
              <w:bottom w:val="single" w:sz="17" w:space="0" w:color="000000"/>
              <w:right w:val="nil" w:sz="6" w:space="0" w:color="auto"/>
            </w:tcBorders>
          </w:tcPr>
          <w:p>
            <w:pPr>
              <w:pStyle w:val="TableParagraph"/>
              <w:spacing w:line="240" w:lineRule="auto" w:before="152"/>
              <w:ind w:right="91"/>
              <w:jc w:val="right"/>
              <w:rPr>
                <w:rFonts w:ascii="Arial" w:hAnsi="Arial" w:cs="Arial" w:eastAsia="Arial" w:hint="default"/>
                <w:sz w:val="22"/>
                <w:szCs w:val="22"/>
              </w:rPr>
            </w:pPr>
            <w:r>
              <w:rPr>
                <w:rFonts w:ascii="Arial"/>
                <w:w w:val="95"/>
                <w:sz w:val="22"/>
              </w:rPr>
              <w:t>997,312,478</w:t>
            </w:r>
            <w:r>
              <w:rPr>
                <w:rFonts w:ascii="Arial"/>
                <w:sz w:val="22"/>
              </w:rPr>
            </w:r>
          </w:p>
        </w:tc>
      </w:tr>
      <w:tr>
        <w:trPr>
          <w:trHeight w:val="636" w:hRule="exact"/>
        </w:trPr>
        <w:tc>
          <w:tcPr>
            <w:tcW w:w="2982" w:type="dxa"/>
            <w:tcBorders>
              <w:top w:val="nil" w:sz="6" w:space="0" w:color="auto"/>
              <w:left w:val="nil" w:sz="6" w:space="0" w:color="auto"/>
              <w:bottom w:val="nil" w:sz="6" w:space="0" w:color="auto"/>
              <w:right w:val="nil" w:sz="6" w:space="0" w:color="auto"/>
            </w:tcBorders>
          </w:tcPr>
          <w:p>
            <w:pP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53"/>
              <w:jc w:val="center"/>
              <w:rPr>
                <w:rFonts w:ascii="宋体" w:hAnsi="宋体" w:cs="宋体" w:eastAsia="宋体" w:hint="default"/>
                <w:sz w:val="22"/>
                <w:szCs w:val="22"/>
              </w:rPr>
            </w:pPr>
            <w:r>
              <w:rPr>
                <w:rFonts w:ascii="宋体" w:hAnsi="宋体" w:cs="宋体" w:eastAsia="宋体" w:hint="default"/>
                <w:sz w:val="22"/>
                <w:szCs w:val="22"/>
              </w:rPr>
              <w:t>币种</w:t>
            </w:r>
          </w:p>
        </w:tc>
        <w:tc>
          <w:tcPr>
            <w:tcW w:w="2400" w:type="dxa"/>
            <w:tcBorders>
              <w:top w:val="single" w:sz="17"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56"/>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81" w:type="dxa"/>
            <w:tcBorders>
              <w:top w:val="nil" w:sz="6" w:space="0" w:color="auto"/>
              <w:left w:val="nil" w:sz="6" w:space="0" w:color="auto"/>
              <w:bottom w:val="nil" w:sz="6" w:space="0" w:color="auto"/>
              <w:right w:val="nil" w:sz="6" w:space="0" w:color="auto"/>
            </w:tcBorders>
          </w:tcPr>
          <w:p>
            <w:pPr/>
          </w:p>
        </w:tc>
        <w:tc>
          <w:tcPr>
            <w:tcW w:w="2375" w:type="dxa"/>
            <w:tcBorders>
              <w:top w:val="single" w:sz="17" w:space="0" w:color="000000"/>
              <w:left w:val="nil" w:sz="6" w:space="0" w:color="auto"/>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58"/>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687" w:hRule="exact"/>
        </w:trPr>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保证借款（注</w:t>
            </w:r>
            <w:r>
              <w:rPr>
                <w:rFonts w:ascii="宋体" w:hAnsi="宋体" w:cs="宋体" w:eastAsia="宋体" w:hint="default"/>
                <w:spacing w:val="-57"/>
                <w:sz w:val="22"/>
                <w:szCs w:val="22"/>
              </w:rPr>
              <w:t> </w:t>
            </w:r>
            <w:r>
              <w:rPr>
                <w:rFonts w:ascii="Arial" w:hAnsi="Arial" w:cs="Arial" w:eastAsia="Arial" w:hint="default"/>
                <w:sz w:val="22"/>
                <w:szCs w:val="22"/>
              </w:rPr>
              <w:t>1</w:t>
            </w:r>
            <w:r>
              <w:rPr>
                <w:rFonts w:ascii="宋体" w:hAnsi="宋体" w:cs="宋体" w:eastAsia="宋体" w:hint="default"/>
                <w:sz w:val="22"/>
                <w:szCs w:val="22"/>
              </w:rPr>
              <w:t>）</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53"/>
              <w:jc w:val="center"/>
              <w:rPr>
                <w:rFonts w:ascii="宋体" w:hAnsi="宋体" w:cs="宋体" w:eastAsia="宋体" w:hint="default"/>
                <w:sz w:val="22"/>
                <w:szCs w:val="22"/>
              </w:rPr>
            </w:pPr>
            <w:r>
              <w:rPr>
                <w:rFonts w:ascii="宋体" w:hAnsi="宋体" w:cs="宋体" w:eastAsia="宋体" w:hint="default"/>
                <w:sz w:val="22"/>
                <w:szCs w:val="22"/>
              </w:rPr>
              <w:t>美元</w:t>
            </w:r>
          </w:p>
        </w:tc>
        <w:tc>
          <w:tcPr>
            <w:tcW w:w="2400"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108"/>
              <w:jc w:val="right"/>
              <w:rPr>
                <w:rFonts w:ascii="Arial" w:hAnsi="Arial" w:cs="Arial" w:eastAsia="Arial" w:hint="default"/>
                <w:sz w:val="22"/>
                <w:szCs w:val="22"/>
              </w:rPr>
            </w:pPr>
            <w:r>
              <w:rPr>
                <w:rFonts w:ascii="Arial"/>
                <w:w w:val="95"/>
                <w:sz w:val="22"/>
              </w:rPr>
              <w:t>136,794,123</w:t>
            </w:r>
            <w:r>
              <w:rPr>
                <w:rFonts w:ascii="Arial"/>
                <w:sz w:val="22"/>
              </w:rPr>
            </w:r>
          </w:p>
        </w:tc>
        <w:tc>
          <w:tcPr>
            <w:tcW w:w="281" w:type="dxa"/>
            <w:tcBorders>
              <w:top w:val="nil" w:sz="6" w:space="0" w:color="auto"/>
              <w:left w:val="nil" w:sz="6" w:space="0" w:color="auto"/>
              <w:bottom w:val="nil" w:sz="6" w:space="0" w:color="auto"/>
              <w:right w:val="nil" w:sz="6" w:space="0" w:color="auto"/>
            </w:tcBorders>
          </w:tcPr>
          <w:p>
            <w:pPr/>
          </w:p>
        </w:tc>
        <w:tc>
          <w:tcPr>
            <w:tcW w:w="2375"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91"/>
              <w:jc w:val="right"/>
              <w:rPr>
                <w:rFonts w:ascii="Arial" w:hAnsi="Arial" w:cs="Arial" w:eastAsia="Arial" w:hint="default"/>
                <w:sz w:val="22"/>
                <w:szCs w:val="22"/>
              </w:rPr>
            </w:pPr>
            <w:r>
              <w:rPr>
                <w:rFonts w:ascii="Arial"/>
                <w:w w:val="95"/>
                <w:sz w:val="22"/>
              </w:rPr>
              <w:t>144,667,353</w:t>
            </w:r>
            <w:r>
              <w:rPr>
                <w:rFonts w:ascii="Arial"/>
                <w:sz w:val="22"/>
              </w:rPr>
            </w:r>
          </w:p>
        </w:tc>
      </w:tr>
      <w:tr>
        <w:trPr>
          <w:trHeight w:val="407" w:hRule="exact"/>
        </w:trPr>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22"/>
                <w:szCs w:val="22"/>
              </w:rPr>
            </w:pPr>
            <w:r>
              <w:rPr>
                <w:rFonts w:ascii="宋体" w:hAnsi="宋体" w:cs="宋体" w:eastAsia="宋体" w:hint="default"/>
                <w:sz w:val="22"/>
                <w:szCs w:val="22"/>
              </w:rPr>
              <w:t>信用借款</w:t>
            </w:r>
          </w:p>
        </w:tc>
        <w:tc>
          <w:tcPr>
            <w:tcW w:w="955" w:type="dxa"/>
            <w:tcBorders>
              <w:top w:val="nil" w:sz="6" w:space="0" w:color="auto"/>
              <w:left w:val="nil" w:sz="6" w:space="0" w:color="auto"/>
              <w:bottom w:val="nil" w:sz="6" w:space="0" w:color="auto"/>
              <w:right w:val="nil" w:sz="6" w:space="0" w:color="auto"/>
            </w:tcBorders>
          </w:tcPr>
          <w:p>
            <w:pPr/>
          </w:p>
        </w:tc>
        <w:tc>
          <w:tcPr>
            <w:tcW w:w="2400" w:type="dxa"/>
            <w:tcBorders>
              <w:top w:val="nil" w:sz="6" w:space="0" w:color="auto"/>
              <w:left w:val="nil" w:sz="6" w:space="0" w:color="auto"/>
              <w:bottom w:val="single" w:sz="6" w:space="0" w:color="000000"/>
              <w:right w:val="nil" w:sz="6" w:space="0" w:color="auto"/>
            </w:tcBorders>
          </w:tcPr>
          <w:p>
            <w:pPr>
              <w:pStyle w:val="TableParagraph"/>
              <w:spacing w:line="240" w:lineRule="auto" w:before="143"/>
              <w:ind w:right="108"/>
              <w:jc w:val="right"/>
              <w:rPr>
                <w:rFonts w:ascii="Arial" w:hAnsi="Arial" w:cs="Arial" w:eastAsia="Arial" w:hint="default"/>
                <w:sz w:val="22"/>
                <w:szCs w:val="22"/>
              </w:rPr>
            </w:pPr>
            <w:r>
              <w:rPr>
                <w:rFonts w:ascii="Arial"/>
                <w:w w:val="95"/>
                <w:sz w:val="22"/>
              </w:rPr>
              <w:t>684,937,545</w:t>
            </w:r>
            <w:r>
              <w:rPr>
                <w:rFonts w:ascii="Arial"/>
                <w:sz w:val="22"/>
              </w:rPr>
            </w:r>
          </w:p>
        </w:tc>
        <w:tc>
          <w:tcPr>
            <w:tcW w:w="281" w:type="dxa"/>
            <w:tcBorders>
              <w:top w:val="nil" w:sz="6" w:space="0" w:color="auto"/>
              <w:left w:val="nil" w:sz="6" w:space="0" w:color="auto"/>
              <w:bottom w:val="nil" w:sz="6" w:space="0" w:color="auto"/>
              <w:right w:val="nil" w:sz="6" w:space="0" w:color="auto"/>
            </w:tcBorders>
          </w:tcPr>
          <w:p>
            <w:pPr/>
          </w:p>
        </w:tc>
        <w:tc>
          <w:tcPr>
            <w:tcW w:w="2375" w:type="dxa"/>
            <w:tcBorders>
              <w:top w:val="nil" w:sz="6" w:space="0" w:color="auto"/>
              <w:left w:val="nil" w:sz="6" w:space="0" w:color="auto"/>
              <w:bottom w:val="single" w:sz="6" w:space="0" w:color="000000"/>
              <w:right w:val="nil" w:sz="6" w:space="0" w:color="auto"/>
            </w:tcBorders>
          </w:tcPr>
          <w:p>
            <w:pPr>
              <w:pStyle w:val="TableParagraph"/>
              <w:spacing w:line="240" w:lineRule="auto" w:before="143"/>
              <w:ind w:right="92"/>
              <w:jc w:val="right"/>
              <w:rPr>
                <w:rFonts w:ascii="Arial" w:hAnsi="Arial" w:cs="Arial" w:eastAsia="Arial" w:hint="default"/>
                <w:sz w:val="22"/>
                <w:szCs w:val="22"/>
              </w:rPr>
            </w:pPr>
            <w:r>
              <w:rPr>
                <w:rFonts w:ascii="Arial"/>
                <w:spacing w:val="-1"/>
                <w:sz w:val="22"/>
              </w:rPr>
              <w:t>2,068,894,659</w:t>
            </w:r>
          </w:p>
        </w:tc>
      </w:tr>
      <w:tr>
        <w:trPr>
          <w:trHeight w:val="305" w:hRule="exact"/>
        </w:trPr>
        <w:tc>
          <w:tcPr>
            <w:tcW w:w="2982" w:type="dxa"/>
            <w:tcBorders>
              <w:top w:val="nil" w:sz="6" w:space="0" w:color="auto"/>
              <w:left w:val="nil" w:sz="6" w:space="0" w:color="auto"/>
              <w:bottom w:val="nil" w:sz="6" w:space="0" w:color="auto"/>
              <w:right w:val="nil" w:sz="6" w:space="0" w:color="auto"/>
            </w:tcBorders>
          </w:tcPr>
          <w:p>
            <w:pPr>
              <w:pStyle w:val="TableParagraph"/>
              <w:spacing w:line="260" w:lineRule="exact"/>
              <w:ind w:left="35" w:right="0"/>
              <w:jc w:val="left"/>
              <w:rPr>
                <w:rFonts w:ascii="宋体" w:hAnsi="宋体" w:cs="宋体" w:eastAsia="宋体" w:hint="default"/>
                <w:sz w:val="22"/>
                <w:szCs w:val="22"/>
              </w:rPr>
            </w:pPr>
            <w:r>
              <w:rPr>
                <w:rFonts w:ascii="宋体" w:hAnsi="宋体" w:cs="宋体" w:eastAsia="宋体" w:hint="default"/>
                <w:sz w:val="22"/>
                <w:szCs w:val="22"/>
              </w:rPr>
              <w:t>其中：</w:t>
            </w:r>
          </w:p>
        </w:tc>
        <w:tc>
          <w:tcPr>
            <w:tcW w:w="955" w:type="dxa"/>
            <w:tcBorders>
              <w:top w:val="nil" w:sz="6" w:space="0" w:color="auto"/>
              <w:left w:val="nil" w:sz="6" w:space="0" w:color="auto"/>
              <w:bottom w:val="nil" w:sz="6" w:space="0" w:color="auto"/>
              <w:right w:val="single" w:sz="6" w:space="0" w:color="000000"/>
            </w:tcBorders>
          </w:tcPr>
          <w:p>
            <w:pPr>
              <w:pStyle w:val="TableParagraph"/>
              <w:spacing w:line="260" w:lineRule="exact"/>
              <w:ind w:right="47"/>
              <w:jc w:val="center"/>
              <w:rPr>
                <w:rFonts w:ascii="宋体" w:hAnsi="宋体" w:cs="宋体" w:eastAsia="宋体" w:hint="default"/>
                <w:sz w:val="22"/>
                <w:szCs w:val="22"/>
              </w:rPr>
            </w:pPr>
            <w:r>
              <w:rPr>
                <w:rFonts w:ascii="宋体" w:hAnsi="宋体" w:cs="宋体" w:eastAsia="宋体" w:hint="default"/>
                <w:sz w:val="22"/>
                <w:szCs w:val="22"/>
              </w:rPr>
              <w:t>人民币</w:t>
            </w:r>
          </w:p>
        </w:tc>
        <w:tc>
          <w:tcPr>
            <w:tcW w:w="240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30"/>
              <w:ind w:right="102"/>
              <w:jc w:val="right"/>
              <w:rPr>
                <w:rFonts w:ascii="Arial" w:hAnsi="Arial" w:cs="Arial" w:eastAsia="Arial" w:hint="default"/>
                <w:sz w:val="22"/>
                <w:szCs w:val="22"/>
              </w:rPr>
            </w:pPr>
            <w:r>
              <w:rPr>
                <w:rFonts w:ascii="Arial"/>
                <w:w w:val="99"/>
                <w:sz w:val="22"/>
              </w:rPr>
              <w:t>-</w:t>
            </w:r>
            <w:r>
              <w:rPr>
                <w:rFonts w:ascii="Arial"/>
                <w:sz w:val="22"/>
              </w:rPr>
            </w:r>
          </w:p>
        </w:tc>
        <w:tc>
          <w:tcPr>
            <w:tcW w:w="281" w:type="dxa"/>
            <w:tcBorders>
              <w:top w:val="nil" w:sz="6" w:space="0" w:color="auto"/>
              <w:left w:val="single" w:sz="6" w:space="0" w:color="000000"/>
              <w:bottom w:val="nil" w:sz="6" w:space="0" w:color="auto"/>
              <w:right w:val="single" w:sz="6" w:space="0" w:color="000000"/>
            </w:tcBorders>
          </w:tcPr>
          <w:p>
            <w:pPr/>
          </w:p>
        </w:tc>
        <w:tc>
          <w:tcPr>
            <w:tcW w:w="237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30"/>
              <w:ind w:right="84"/>
              <w:jc w:val="right"/>
              <w:rPr>
                <w:rFonts w:ascii="Arial" w:hAnsi="Arial" w:cs="Arial" w:eastAsia="Arial" w:hint="default"/>
                <w:sz w:val="22"/>
                <w:szCs w:val="22"/>
              </w:rPr>
            </w:pPr>
            <w:r>
              <w:rPr>
                <w:rFonts w:ascii="Arial"/>
                <w:spacing w:val="-1"/>
                <w:sz w:val="22"/>
              </w:rPr>
              <w:t>1,113,621,758</w:t>
            </w:r>
          </w:p>
        </w:tc>
      </w:tr>
      <w:tr>
        <w:trPr>
          <w:trHeight w:val="286" w:hRule="exact"/>
        </w:trPr>
        <w:tc>
          <w:tcPr>
            <w:tcW w:w="2982" w:type="dxa"/>
            <w:tcBorders>
              <w:top w:val="nil" w:sz="6" w:space="0" w:color="auto"/>
              <w:left w:val="nil" w:sz="6" w:space="0" w:color="auto"/>
              <w:bottom w:val="nil" w:sz="6" w:space="0" w:color="auto"/>
              <w:right w:val="nil" w:sz="6" w:space="0" w:color="auto"/>
            </w:tcBorders>
          </w:tcPr>
          <w:p>
            <w:pPr/>
          </w:p>
        </w:tc>
        <w:tc>
          <w:tcPr>
            <w:tcW w:w="955" w:type="dxa"/>
            <w:tcBorders>
              <w:top w:val="nil" w:sz="6" w:space="0" w:color="auto"/>
              <w:left w:val="nil" w:sz="6" w:space="0" w:color="auto"/>
              <w:bottom w:val="nil" w:sz="6" w:space="0" w:color="auto"/>
              <w:right w:val="single" w:sz="6" w:space="0" w:color="000000"/>
            </w:tcBorders>
          </w:tcPr>
          <w:p>
            <w:pPr>
              <w:pStyle w:val="TableParagraph"/>
              <w:spacing w:line="240" w:lineRule="exact"/>
              <w:ind w:right="45"/>
              <w:jc w:val="center"/>
              <w:rPr>
                <w:rFonts w:ascii="宋体" w:hAnsi="宋体" w:cs="宋体" w:eastAsia="宋体" w:hint="default"/>
                <w:sz w:val="22"/>
                <w:szCs w:val="22"/>
              </w:rPr>
            </w:pPr>
            <w:r>
              <w:rPr>
                <w:rFonts w:ascii="宋体" w:hAnsi="宋体" w:cs="宋体" w:eastAsia="宋体" w:hint="default"/>
                <w:sz w:val="22"/>
                <w:szCs w:val="22"/>
              </w:rPr>
              <w:t>日元</w:t>
            </w:r>
          </w:p>
        </w:tc>
        <w:tc>
          <w:tcPr>
            <w:tcW w:w="2400"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102"/>
              <w:jc w:val="right"/>
              <w:rPr>
                <w:rFonts w:ascii="Arial" w:hAnsi="Arial" w:cs="Arial" w:eastAsia="Arial" w:hint="default"/>
                <w:sz w:val="22"/>
                <w:szCs w:val="22"/>
              </w:rPr>
            </w:pPr>
            <w:r>
              <w:rPr>
                <w:rFonts w:ascii="Arial"/>
                <w:w w:val="99"/>
                <w:sz w:val="22"/>
              </w:rPr>
              <w:t>-</w:t>
            </w:r>
            <w:r>
              <w:rPr>
                <w:rFonts w:ascii="Arial"/>
                <w:sz w:val="22"/>
              </w:rPr>
            </w:r>
          </w:p>
        </w:tc>
        <w:tc>
          <w:tcPr>
            <w:tcW w:w="281" w:type="dxa"/>
            <w:tcBorders>
              <w:top w:val="nil" w:sz="6" w:space="0" w:color="auto"/>
              <w:left w:val="single" w:sz="6" w:space="0" w:color="000000"/>
              <w:bottom w:val="nil" w:sz="6" w:space="0" w:color="auto"/>
              <w:right w:val="single" w:sz="6" w:space="0" w:color="000000"/>
            </w:tcBorders>
          </w:tcPr>
          <w:p>
            <w:pPr/>
          </w:p>
        </w:tc>
        <w:tc>
          <w:tcPr>
            <w:tcW w:w="2375"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83"/>
              <w:jc w:val="right"/>
              <w:rPr>
                <w:rFonts w:ascii="Arial" w:hAnsi="Arial" w:cs="Arial" w:eastAsia="Arial" w:hint="default"/>
                <w:sz w:val="22"/>
                <w:szCs w:val="22"/>
              </w:rPr>
            </w:pPr>
            <w:r>
              <w:rPr>
                <w:rFonts w:ascii="Arial"/>
                <w:w w:val="95"/>
                <w:sz w:val="22"/>
              </w:rPr>
              <w:t>233,160,057</w:t>
            </w:r>
            <w:r>
              <w:rPr>
                <w:rFonts w:ascii="Arial"/>
                <w:sz w:val="22"/>
              </w:rPr>
            </w:r>
          </w:p>
        </w:tc>
      </w:tr>
      <w:tr>
        <w:trPr>
          <w:trHeight w:val="286" w:hRule="exact"/>
        </w:trPr>
        <w:tc>
          <w:tcPr>
            <w:tcW w:w="2982" w:type="dxa"/>
            <w:tcBorders>
              <w:top w:val="nil" w:sz="6" w:space="0" w:color="auto"/>
              <w:left w:val="nil" w:sz="6" w:space="0" w:color="auto"/>
              <w:bottom w:val="nil" w:sz="6" w:space="0" w:color="auto"/>
              <w:right w:val="nil" w:sz="6" w:space="0" w:color="auto"/>
            </w:tcBorders>
          </w:tcPr>
          <w:p>
            <w:pPr/>
          </w:p>
        </w:tc>
        <w:tc>
          <w:tcPr>
            <w:tcW w:w="955" w:type="dxa"/>
            <w:tcBorders>
              <w:top w:val="nil" w:sz="6" w:space="0" w:color="auto"/>
              <w:left w:val="nil" w:sz="6" w:space="0" w:color="auto"/>
              <w:bottom w:val="nil" w:sz="6" w:space="0" w:color="auto"/>
              <w:right w:val="single" w:sz="6" w:space="0" w:color="000000"/>
            </w:tcBorders>
          </w:tcPr>
          <w:p>
            <w:pPr>
              <w:pStyle w:val="TableParagraph"/>
              <w:spacing w:line="239" w:lineRule="exact"/>
              <w:ind w:right="45"/>
              <w:jc w:val="center"/>
              <w:rPr>
                <w:rFonts w:ascii="宋体" w:hAnsi="宋体" w:cs="宋体" w:eastAsia="宋体" w:hint="default"/>
                <w:sz w:val="22"/>
                <w:szCs w:val="22"/>
              </w:rPr>
            </w:pPr>
            <w:r>
              <w:rPr>
                <w:rFonts w:ascii="宋体" w:hAnsi="宋体" w:cs="宋体" w:eastAsia="宋体" w:hint="default"/>
                <w:sz w:val="22"/>
                <w:szCs w:val="22"/>
              </w:rPr>
              <w:t>欧元</w:t>
            </w:r>
          </w:p>
        </w:tc>
        <w:tc>
          <w:tcPr>
            <w:tcW w:w="2400"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101"/>
              <w:jc w:val="right"/>
              <w:rPr>
                <w:rFonts w:ascii="Arial" w:hAnsi="Arial" w:cs="Arial" w:eastAsia="Arial" w:hint="default"/>
                <w:sz w:val="22"/>
                <w:szCs w:val="22"/>
              </w:rPr>
            </w:pPr>
            <w:r>
              <w:rPr>
                <w:rFonts w:ascii="Arial"/>
                <w:w w:val="95"/>
                <w:sz w:val="22"/>
              </w:rPr>
              <w:t>327,303,929</w:t>
            </w:r>
            <w:r>
              <w:rPr>
                <w:rFonts w:ascii="Arial"/>
                <w:sz w:val="22"/>
              </w:rPr>
            </w:r>
          </w:p>
        </w:tc>
        <w:tc>
          <w:tcPr>
            <w:tcW w:w="281" w:type="dxa"/>
            <w:tcBorders>
              <w:top w:val="nil" w:sz="6" w:space="0" w:color="auto"/>
              <w:left w:val="single" w:sz="6" w:space="0" w:color="000000"/>
              <w:bottom w:val="nil" w:sz="6" w:space="0" w:color="auto"/>
              <w:right w:val="single" w:sz="6" w:space="0" w:color="000000"/>
            </w:tcBorders>
          </w:tcPr>
          <w:p>
            <w:pPr/>
          </w:p>
        </w:tc>
        <w:tc>
          <w:tcPr>
            <w:tcW w:w="2375" w:type="dxa"/>
            <w:tcBorders>
              <w:top w:val="nil" w:sz="6" w:space="0" w:color="auto"/>
              <w:left w:val="single" w:sz="6" w:space="0" w:color="000000"/>
              <w:bottom w:val="nil" w:sz="6" w:space="0" w:color="auto"/>
              <w:right w:val="single" w:sz="6" w:space="0" w:color="000000"/>
            </w:tcBorders>
          </w:tcPr>
          <w:p>
            <w:pPr>
              <w:pStyle w:val="TableParagraph"/>
              <w:spacing w:line="240" w:lineRule="auto" w:before="17"/>
              <w:ind w:right="83"/>
              <w:jc w:val="right"/>
              <w:rPr>
                <w:rFonts w:ascii="Arial" w:hAnsi="Arial" w:cs="Arial" w:eastAsia="Arial" w:hint="default"/>
                <w:sz w:val="22"/>
                <w:szCs w:val="22"/>
              </w:rPr>
            </w:pPr>
            <w:r>
              <w:rPr>
                <w:rFonts w:ascii="Arial"/>
                <w:w w:val="95"/>
                <w:sz w:val="22"/>
              </w:rPr>
              <w:t>343,577,038</w:t>
            </w:r>
            <w:r>
              <w:rPr>
                <w:rFonts w:ascii="Arial"/>
                <w:sz w:val="22"/>
              </w:rPr>
            </w:r>
          </w:p>
        </w:tc>
      </w:tr>
      <w:tr>
        <w:trPr>
          <w:trHeight w:val="281" w:hRule="exact"/>
        </w:trPr>
        <w:tc>
          <w:tcPr>
            <w:tcW w:w="2982" w:type="dxa"/>
            <w:tcBorders>
              <w:top w:val="nil" w:sz="6" w:space="0" w:color="auto"/>
              <w:left w:val="nil" w:sz="6" w:space="0" w:color="auto"/>
              <w:bottom w:val="nil" w:sz="6" w:space="0" w:color="auto"/>
              <w:right w:val="nil" w:sz="6" w:space="0" w:color="auto"/>
            </w:tcBorders>
          </w:tcPr>
          <w:p>
            <w:pPr/>
          </w:p>
        </w:tc>
        <w:tc>
          <w:tcPr>
            <w:tcW w:w="955" w:type="dxa"/>
            <w:tcBorders>
              <w:top w:val="nil" w:sz="6" w:space="0" w:color="auto"/>
              <w:left w:val="nil" w:sz="6" w:space="0" w:color="auto"/>
              <w:bottom w:val="nil" w:sz="6" w:space="0" w:color="auto"/>
              <w:right w:val="single" w:sz="6" w:space="0" w:color="000000"/>
            </w:tcBorders>
          </w:tcPr>
          <w:p>
            <w:pPr>
              <w:pStyle w:val="TableParagraph"/>
              <w:spacing w:line="239" w:lineRule="exact"/>
              <w:ind w:right="45"/>
              <w:jc w:val="center"/>
              <w:rPr>
                <w:rFonts w:ascii="宋体" w:hAnsi="宋体" w:cs="宋体" w:eastAsia="宋体" w:hint="default"/>
                <w:sz w:val="22"/>
                <w:szCs w:val="22"/>
              </w:rPr>
            </w:pPr>
            <w:r>
              <w:rPr>
                <w:rFonts w:ascii="宋体" w:hAnsi="宋体" w:cs="宋体" w:eastAsia="宋体" w:hint="default"/>
                <w:sz w:val="22"/>
                <w:szCs w:val="22"/>
              </w:rPr>
              <w:t>美元</w:t>
            </w:r>
          </w:p>
        </w:tc>
        <w:tc>
          <w:tcPr>
            <w:tcW w:w="24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7"/>
              <w:ind w:right="101"/>
              <w:jc w:val="right"/>
              <w:rPr>
                <w:rFonts w:ascii="Arial" w:hAnsi="Arial" w:cs="Arial" w:eastAsia="Arial" w:hint="default"/>
                <w:sz w:val="22"/>
                <w:szCs w:val="22"/>
              </w:rPr>
            </w:pPr>
            <w:r>
              <w:rPr>
                <w:rFonts w:ascii="Arial"/>
                <w:w w:val="95"/>
                <w:sz w:val="22"/>
              </w:rPr>
              <w:t>357,633,616</w:t>
            </w:r>
            <w:r>
              <w:rPr>
                <w:rFonts w:ascii="Arial"/>
                <w:sz w:val="22"/>
              </w:rPr>
            </w:r>
          </w:p>
        </w:tc>
        <w:tc>
          <w:tcPr>
            <w:tcW w:w="281" w:type="dxa"/>
            <w:tcBorders>
              <w:top w:val="nil" w:sz="6" w:space="0" w:color="auto"/>
              <w:left w:val="single" w:sz="6" w:space="0" w:color="000000"/>
              <w:bottom w:val="nil" w:sz="6" w:space="0" w:color="auto"/>
              <w:right w:val="single" w:sz="6" w:space="0" w:color="000000"/>
            </w:tcBorders>
          </w:tcPr>
          <w:p>
            <w:pPr/>
          </w:p>
        </w:tc>
        <w:tc>
          <w:tcPr>
            <w:tcW w:w="237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7"/>
              <w:ind w:right="83"/>
              <w:jc w:val="right"/>
              <w:rPr>
                <w:rFonts w:ascii="Arial" w:hAnsi="Arial" w:cs="Arial" w:eastAsia="Arial" w:hint="default"/>
                <w:sz w:val="22"/>
                <w:szCs w:val="22"/>
              </w:rPr>
            </w:pPr>
            <w:r>
              <w:rPr>
                <w:rFonts w:ascii="Arial"/>
                <w:w w:val="95"/>
                <w:sz w:val="22"/>
              </w:rPr>
              <w:t>378,535,806</w:t>
            </w:r>
            <w:r>
              <w:rPr>
                <w:rFonts w:ascii="Arial"/>
                <w:sz w:val="22"/>
              </w:rPr>
            </w:r>
          </w:p>
        </w:tc>
      </w:tr>
      <w:tr>
        <w:trPr>
          <w:trHeight w:val="582" w:hRule="exact"/>
        </w:trPr>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955" w:type="dxa"/>
            <w:tcBorders>
              <w:top w:val="nil" w:sz="6" w:space="0" w:color="auto"/>
              <w:left w:val="nil" w:sz="6" w:space="0" w:color="auto"/>
              <w:bottom w:val="nil" w:sz="6" w:space="0" w:color="auto"/>
              <w:right w:val="nil" w:sz="6" w:space="0" w:color="auto"/>
            </w:tcBorders>
          </w:tcPr>
          <w:p>
            <w:pPr/>
          </w:p>
        </w:tc>
        <w:tc>
          <w:tcPr>
            <w:tcW w:w="2400"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2"/>
                <w:szCs w:val="22"/>
              </w:rPr>
            </w:pPr>
          </w:p>
          <w:p>
            <w:pPr>
              <w:pStyle w:val="TableParagraph"/>
              <w:tabs>
                <w:tab w:pos="1065" w:val="left" w:leader="none"/>
                <w:tab w:pos="2392" w:val="left" w:leader="none"/>
              </w:tabs>
              <w:spacing w:line="240" w:lineRule="auto"/>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821,731,668</w:t>
            </w:r>
            <w:r>
              <w:rPr>
                <w:rFonts w:ascii="Arial"/>
                <w:sz w:val="22"/>
                <w:u w:val="single" w:color="000000"/>
              </w:rPr>
              <w:tab/>
            </w:r>
            <w:r>
              <w:rPr>
                <w:rFonts w:ascii="Arial"/>
                <w:sz w:val="22"/>
              </w:rPr>
            </w:r>
          </w:p>
        </w:tc>
        <w:tc>
          <w:tcPr>
            <w:tcW w:w="281" w:type="dxa"/>
            <w:tcBorders>
              <w:top w:val="nil" w:sz="6" w:space="0" w:color="auto"/>
              <w:left w:val="nil" w:sz="6" w:space="0" w:color="auto"/>
              <w:bottom w:val="nil" w:sz="6" w:space="0" w:color="auto"/>
              <w:right w:val="nil" w:sz="6" w:space="0" w:color="auto"/>
            </w:tcBorders>
          </w:tcPr>
          <w:p>
            <w:pPr/>
          </w:p>
        </w:tc>
        <w:tc>
          <w:tcPr>
            <w:tcW w:w="2375"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2"/>
                <w:szCs w:val="22"/>
              </w:rPr>
            </w:pPr>
          </w:p>
          <w:p>
            <w:pPr>
              <w:pStyle w:val="TableParagraph"/>
              <w:tabs>
                <w:tab w:pos="874" w:val="left" w:leader="none"/>
                <w:tab w:pos="2367" w:val="left" w:leader="none"/>
              </w:tabs>
              <w:spacing w:line="240" w:lineRule="auto"/>
              <w:ind w:left="-8"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spacing w:val="-1"/>
                <w:sz w:val="22"/>
                <w:u w:val="single" w:color="000000"/>
              </w:rPr>
              <w:t>2,213,562,012</w:t>
              <w:tab/>
            </w:r>
            <w:r>
              <w:rPr>
                <w:rFonts w:ascii="Arial"/>
                <w:spacing w:val="-1"/>
                <w:sz w:val="22"/>
              </w:rPr>
            </w:r>
          </w:p>
        </w:tc>
      </w:tr>
      <w:tr>
        <w:trPr>
          <w:trHeight w:val="258" w:hRule="exact"/>
        </w:trPr>
        <w:tc>
          <w:tcPr>
            <w:tcW w:w="2982" w:type="dxa"/>
            <w:tcBorders>
              <w:top w:val="nil" w:sz="6" w:space="0" w:color="auto"/>
              <w:left w:val="nil" w:sz="6" w:space="0" w:color="auto"/>
              <w:bottom w:val="nil" w:sz="6" w:space="0" w:color="auto"/>
              <w:right w:val="nil" w:sz="6" w:space="0" w:color="auto"/>
            </w:tcBorders>
          </w:tcPr>
          <w:p>
            <w:pPr>
              <w:pStyle w:val="TableParagraph"/>
              <w:spacing w:line="263" w:lineRule="exact"/>
              <w:ind w:left="35" w:right="0"/>
              <w:jc w:val="left"/>
              <w:rPr>
                <w:rFonts w:ascii="宋体" w:hAnsi="宋体" w:cs="宋体" w:eastAsia="宋体" w:hint="default"/>
                <w:sz w:val="22"/>
                <w:szCs w:val="22"/>
              </w:rPr>
            </w:pPr>
            <w:r>
              <w:rPr>
                <w:rFonts w:ascii="宋体" w:hAnsi="宋体" w:cs="宋体" w:eastAsia="宋体" w:hint="default"/>
                <w:sz w:val="22"/>
                <w:szCs w:val="22"/>
              </w:rPr>
              <w:t>减：</w:t>
            </w:r>
            <w:r>
              <w:rPr>
                <w:rFonts w:ascii="Arial" w:hAnsi="Arial" w:cs="Arial" w:eastAsia="Arial" w:hint="default"/>
                <w:sz w:val="22"/>
                <w:szCs w:val="22"/>
              </w:rPr>
              <w:t>1</w:t>
            </w:r>
            <w:r>
              <w:rPr>
                <w:rFonts w:ascii="Arial" w:hAnsi="Arial" w:cs="Arial" w:eastAsia="Arial" w:hint="default"/>
                <w:spacing w:val="-8"/>
                <w:sz w:val="22"/>
                <w:szCs w:val="22"/>
              </w:rPr>
              <w:t> </w:t>
            </w:r>
            <w:r>
              <w:rPr>
                <w:rFonts w:ascii="宋体" w:hAnsi="宋体" w:cs="宋体" w:eastAsia="宋体" w:hint="default"/>
                <w:sz w:val="22"/>
                <w:szCs w:val="22"/>
              </w:rPr>
              <w:t>年内（含</w:t>
            </w:r>
            <w:r>
              <w:rPr>
                <w:rFonts w:ascii="宋体" w:hAnsi="宋体" w:cs="宋体" w:eastAsia="宋体" w:hint="default"/>
                <w:spacing w:val="-57"/>
                <w:sz w:val="22"/>
                <w:szCs w:val="22"/>
              </w:rPr>
              <w:t> </w:t>
            </w:r>
            <w:r>
              <w:rPr>
                <w:rFonts w:ascii="Arial" w:hAnsi="Arial" w:cs="Arial" w:eastAsia="Arial" w:hint="default"/>
                <w:sz w:val="22"/>
                <w:szCs w:val="22"/>
              </w:rPr>
              <w:t>1</w:t>
            </w:r>
            <w:r>
              <w:rPr>
                <w:rFonts w:ascii="Arial" w:hAnsi="Arial" w:cs="Arial" w:eastAsia="Arial" w:hint="default"/>
                <w:spacing w:val="-8"/>
                <w:sz w:val="22"/>
                <w:szCs w:val="22"/>
              </w:rPr>
              <w:t> </w:t>
            </w:r>
            <w:r>
              <w:rPr>
                <w:rFonts w:ascii="宋体" w:hAnsi="宋体" w:cs="宋体" w:eastAsia="宋体" w:hint="default"/>
                <w:sz w:val="22"/>
                <w:szCs w:val="22"/>
              </w:rPr>
              <w:t>年）到期的</w:t>
            </w:r>
          </w:p>
        </w:tc>
        <w:tc>
          <w:tcPr>
            <w:tcW w:w="955" w:type="dxa"/>
            <w:tcBorders>
              <w:top w:val="nil" w:sz="6" w:space="0" w:color="auto"/>
              <w:left w:val="nil" w:sz="6" w:space="0" w:color="auto"/>
              <w:bottom w:val="nil" w:sz="6" w:space="0" w:color="auto"/>
              <w:right w:val="nil" w:sz="6" w:space="0" w:color="auto"/>
            </w:tcBorders>
          </w:tcPr>
          <w:p>
            <w:pPr/>
          </w:p>
        </w:tc>
        <w:tc>
          <w:tcPr>
            <w:tcW w:w="2400" w:type="dxa"/>
            <w:tcBorders>
              <w:top w:val="nil" w:sz="6" w:space="0" w:color="auto"/>
              <w:left w:val="nil" w:sz="6" w:space="0" w:color="auto"/>
              <w:bottom w:val="nil" w:sz="6" w:space="0" w:color="auto"/>
              <w:right w:val="nil" w:sz="6" w:space="0" w:color="auto"/>
            </w:tcBorders>
          </w:tcPr>
          <w:p>
            <w:pPr/>
          </w:p>
        </w:tc>
        <w:tc>
          <w:tcPr>
            <w:tcW w:w="281" w:type="dxa"/>
            <w:tcBorders>
              <w:top w:val="nil" w:sz="6" w:space="0" w:color="auto"/>
              <w:left w:val="nil" w:sz="6" w:space="0" w:color="auto"/>
              <w:bottom w:val="nil" w:sz="6" w:space="0" w:color="auto"/>
              <w:right w:val="nil" w:sz="6" w:space="0" w:color="auto"/>
            </w:tcBorders>
          </w:tcPr>
          <w:p>
            <w:pPr/>
          </w:p>
        </w:tc>
        <w:tc>
          <w:tcPr>
            <w:tcW w:w="2375" w:type="dxa"/>
            <w:tcBorders>
              <w:top w:val="nil" w:sz="6" w:space="0" w:color="auto"/>
              <w:left w:val="nil" w:sz="6" w:space="0" w:color="auto"/>
              <w:bottom w:val="nil" w:sz="6" w:space="0" w:color="auto"/>
              <w:right w:val="nil" w:sz="6" w:space="0" w:color="auto"/>
            </w:tcBorders>
          </w:tcPr>
          <w:p>
            <w:pPr/>
          </w:p>
        </w:tc>
      </w:tr>
      <w:tr>
        <w:trPr>
          <w:trHeight w:val="434" w:hRule="exact"/>
        </w:trPr>
        <w:tc>
          <w:tcPr>
            <w:tcW w:w="2982" w:type="dxa"/>
            <w:tcBorders>
              <w:top w:val="nil" w:sz="6" w:space="0" w:color="auto"/>
              <w:left w:val="nil" w:sz="6" w:space="0" w:color="auto"/>
              <w:bottom w:val="nil" w:sz="6" w:space="0" w:color="auto"/>
              <w:right w:val="nil" w:sz="6" w:space="0" w:color="auto"/>
            </w:tcBorders>
          </w:tcPr>
          <w:p>
            <w:pPr>
              <w:pStyle w:val="TableParagraph"/>
              <w:spacing w:line="275" w:lineRule="exact"/>
              <w:ind w:left="254" w:right="0"/>
              <w:jc w:val="left"/>
              <w:rPr>
                <w:rFonts w:ascii="宋体" w:hAnsi="宋体" w:cs="宋体" w:eastAsia="宋体" w:hint="default"/>
                <w:sz w:val="22"/>
                <w:szCs w:val="22"/>
              </w:rPr>
            </w:pPr>
            <w:r>
              <w:rPr>
                <w:rFonts w:ascii="宋体" w:hAnsi="宋体" w:cs="宋体" w:eastAsia="宋体" w:hint="default"/>
                <w:sz w:val="22"/>
                <w:szCs w:val="22"/>
              </w:rPr>
              <w:t>长期借款</w:t>
            </w:r>
          </w:p>
        </w:tc>
        <w:tc>
          <w:tcPr>
            <w:tcW w:w="955" w:type="dxa"/>
            <w:tcBorders>
              <w:top w:val="nil" w:sz="6" w:space="0" w:color="auto"/>
              <w:left w:val="nil" w:sz="6" w:space="0" w:color="auto"/>
              <w:bottom w:val="nil" w:sz="6" w:space="0" w:color="auto"/>
              <w:right w:val="nil" w:sz="6" w:space="0" w:color="auto"/>
            </w:tcBorders>
          </w:tcPr>
          <w:p>
            <w:pPr/>
          </w:p>
        </w:tc>
        <w:tc>
          <w:tcPr>
            <w:tcW w:w="2400" w:type="dxa"/>
            <w:tcBorders>
              <w:top w:val="nil" w:sz="6" w:space="0" w:color="auto"/>
              <w:left w:val="nil" w:sz="6" w:space="0" w:color="auto"/>
              <w:bottom w:val="nil" w:sz="6" w:space="0" w:color="auto"/>
              <w:right w:val="nil" w:sz="6" w:space="0" w:color="auto"/>
            </w:tcBorders>
          </w:tcPr>
          <w:p>
            <w:pPr/>
          </w:p>
        </w:tc>
        <w:tc>
          <w:tcPr>
            <w:tcW w:w="281" w:type="dxa"/>
            <w:tcBorders>
              <w:top w:val="nil" w:sz="6" w:space="0" w:color="auto"/>
              <w:left w:val="nil" w:sz="6" w:space="0" w:color="auto"/>
              <w:bottom w:val="nil" w:sz="6" w:space="0" w:color="auto"/>
              <w:right w:val="nil" w:sz="6" w:space="0" w:color="auto"/>
            </w:tcBorders>
          </w:tcPr>
          <w:p>
            <w:pPr/>
          </w:p>
        </w:tc>
        <w:tc>
          <w:tcPr>
            <w:tcW w:w="2375" w:type="dxa"/>
            <w:tcBorders>
              <w:top w:val="nil" w:sz="6" w:space="0" w:color="auto"/>
              <w:left w:val="nil" w:sz="6" w:space="0" w:color="auto"/>
              <w:bottom w:val="nil" w:sz="6" w:space="0" w:color="auto"/>
              <w:right w:val="nil" w:sz="6" w:space="0" w:color="auto"/>
            </w:tcBorders>
          </w:tcPr>
          <w:p>
            <w:pPr/>
          </w:p>
        </w:tc>
      </w:tr>
      <w:tr>
        <w:trPr>
          <w:trHeight w:val="550" w:hRule="exact"/>
        </w:trPr>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91"/>
              <w:ind w:left="35" w:right="0"/>
              <w:jc w:val="left"/>
              <w:rPr>
                <w:rFonts w:ascii="宋体" w:hAnsi="宋体" w:cs="宋体" w:eastAsia="宋体" w:hint="default"/>
                <w:sz w:val="22"/>
                <w:szCs w:val="22"/>
              </w:rPr>
            </w:pPr>
            <w:r>
              <w:rPr>
                <w:rFonts w:ascii="宋体" w:hAnsi="宋体" w:cs="宋体" w:eastAsia="宋体" w:hint="default"/>
                <w:sz w:val="22"/>
                <w:szCs w:val="22"/>
              </w:rPr>
              <w:t>保证借款</w:t>
            </w:r>
          </w:p>
        </w:tc>
        <w:tc>
          <w:tcPr>
            <w:tcW w:w="955" w:type="dxa"/>
            <w:tcBorders>
              <w:top w:val="nil" w:sz="6" w:space="0" w:color="auto"/>
              <w:left w:val="nil" w:sz="6" w:space="0" w:color="auto"/>
              <w:bottom w:val="nil" w:sz="6" w:space="0" w:color="auto"/>
              <w:right w:val="nil" w:sz="6" w:space="0" w:color="auto"/>
            </w:tcBorders>
          </w:tcPr>
          <w:p>
            <w:pPr>
              <w:pStyle w:val="TableParagraph"/>
              <w:spacing w:line="240" w:lineRule="auto" w:before="91"/>
              <w:ind w:right="53"/>
              <w:jc w:val="center"/>
              <w:rPr>
                <w:rFonts w:ascii="宋体" w:hAnsi="宋体" w:cs="宋体" w:eastAsia="宋体" w:hint="default"/>
                <w:sz w:val="22"/>
                <w:szCs w:val="22"/>
              </w:rPr>
            </w:pPr>
            <w:r>
              <w:rPr>
                <w:rFonts w:ascii="宋体" w:hAnsi="宋体" w:cs="宋体" w:eastAsia="宋体" w:hint="default"/>
                <w:sz w:val="22"/>
                <w:szCs w:val="22"/>
              </w:rPr>
              <w:t>美元</w:t>
            </w:r>
          </w:p>
        </w:tc>
        <w:tc>
          <w:tcPr>
            <w:tcW w:w="2400"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56"/>
              <w:jc w:val="right"/>
              <w:rPr>
                <w:rFonts w:ascii="Arial" w:hAnsi="Arial" w:cs="Arial" w:eastAsia="Arial" w:hint="default"/>
                <w:sz w:val="22"/>
                <w:szCs w:val="22"/>
              </w:rPr>
            </w:pPr>
            <w:r>
              <w:rPr>
                <w:rFonts w:ascii="Arial"/>
                <w:w w:val="95"/>
                <w:sz w:val="22"/>
              </w:rPr>
              <w:t>(13,480,822)</w:t>
            </w:r>
            <w:r>
              <w:rPr>
                <w:rFonts w:ascii="Arial"/>
                <w:sz w:val="22"/>
              </w:rPr>
            </w:r>
          </w:p>
        </w:tc>
        <w:tc>
          <w:tcPr>
            <w:tcW w:w="281" w:type="dxa"/>
            <w:tcBorders>
              <w:top w:val="nil" w:sz="6" w:space="0" w:color="auto"/>
              <w:left w:val="nil" w:sz="6" w:space="0" w:color="auto"/>
              <w:bottom w:val="nil" w:sz="6" w:space="0" w:color="auto"/>
              <w:right w:val="nil" w:sz="6" w:space="0" w:color="auto"/>
            </w:tcBorders>
          </w:tcPr>
          <w:p>
            <w:pP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58"/>
              <w:jc w:val="right"/>
              <w:rPr>
                <w:rFonts w:ascii="Arial" w:hAnsi="Arial" w:cs="Arial" w:eastAsia="Arial" w:hint="default"/>
                <w:sz w:val="22"/>
                <w:szCs w:val="22"/>
              </w:rPr>
            </w:pPr>
            <w:r>
              <w:rPr>
                <w:rFonts w:ascii="Arial"/>
                <w:w w:val="95"/>
                <w:sz w:val="22"/>
              </w:rPr>
              <w:t>(13,237,109)</w:t>
            </w:r>
            <w:r>
              <w:rPr>
                <w:rFonts w:ascii="Arial"/>
                <w:sz w:val="22"/>
              </w:rPr>
            </w:r>
          </w:p>
        </w:tc>
      </w:tr>
      <w:tr>
        <w:trPr>
          <w:trHeight w:val="405" w:hRule="exact"/>
        </w:trPr>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22"/>
                <w:szCs w:val="22"/>
              </w:rPr>
            </w:pPr>
            <w:r>
              <w:rPr>
                <w:rFonts w:ascii="宋体" w:hAnsi="宋体" w:cs="宋体" w:eastAsia="宋体" w:hint="default"/>
                <w:sz w:val="22"/>
                <w:szCs w:val="22"/>
              </w:rPr>
              <w:t>信用借款</w:t>
            </w:r>
          </w:p>
        </w:tc>
        <w:tc>
          <w:tcPr>
            <w:tcW w:w="955" w:type="dxa"/>
            <w:tcBorders>
              <w:top w:val="nil" w:sz="6" w:space="0" w:color="auto"/>
              <w:left w:val="nil" w:sz="6" w:space="0" w:color="auto"/>
              <w:bottom w:val="nil" w:sz="6" w:space="0" w:color="auto"/>
              <w:right w:val="nil" w:sz="6" w:space="0" w:color="auto"/>
            </w:tcBorders>
          </w:tcPr>
          <w:p>
            <w:pPr/>
          </w:p>
        </w:tc>
        <w:tc>
          <w:tcPr>
            <w:tcW w:w="2400" w:type="dxa"/>
            <w:tcBorders>
              <w:top w:val="nil" w:sz="6" w:space="0" w:color="auto"/>
              <w:left w:val="nil" w:sz="6" w:space="0" w:color="auto"/>
              <w:bottom w:val="single" w:sz="6" w:space="0" w:color="000000"/>
              <w:right w:val="nil" w:sz="6" w:space="0" w:color="auto"/>
            </w:tcBorders>
          </w:tcPr>
          <w:p>
            <w:pPr>
              <w:pStyle w:val="TableParagraph"/>
              <w:spacing w:line="240" w:lineRule="auto" w:before="142"/>
              <w:ind w:right="56"/>
              <w:jc w:val="right"/>
              <w:rPr>
                <w:rFonts w:ascii="Arial" w:hAnsi="Arial" w:cs="Arial" w:eastAsia="Arial" w:hint="default"/>
                <w:sz w:val="22"/>
                <w:szCs w:val="22"/>
              </w:rPr>
            </w:pPr>
            <w:r>
              <w:rPr>
                <w:rFonts w:ascii="Arial"/>
                <w:w w:val="95"/>
                <w:sz w:val="22"/>
              </w:rPr>
              <w:t>(48,795,539)</w:t>
            </w:r>
            <w:r>
              <w:rPr>
                <w:rFonts w:ascii="Arial"/>
                <w:sz w:val="22"/>
              </w:rPr>
            </w:r>
          </w:p>
        </w:tc>
        <w:tc>
          <w:tcPr>
            <w:tcW w:w="281" w:type="dxa"/>
            <w:tcBorders>
              <w:top w:val="nil" w:sz="6" w:space="0" w:color="auto"/>
              <w:left w:val="nil" w:sz="6" w:space="0" w:color="auto"/>
              <w:bottom w:val="nil" w:sz="6" w:space="0" w:color="auto"/>
              <w:right w:val="nil" w:sz="6" w:space="0" w:color="auto"/>
            </w:tcBorders>
          </w:tcPr>
          <w:p>
            <w:pPr/>
          </w:p>
        </w:tc>
        <w:tc>
          <w:tcPr>
            <w:tcW w:w="2375" w:type="dxa"/>
            <w:tcBorders>
              <w:top w:val="nil" w:sz="6" w:space="0" w:color="auto"/>
              <w:left w:val="nil" w:sz="6" w:space="0" w:color="auto"/>
              <w:bottom w:val="single" w:sz="6" w:space="0" w:color="000000"/>
              <w:right w:val="nil" w:sz="6" w:space="0" w:color="auto"/>
            </w:tcBorders>
          </w:tcPr>
          <w:p>
            <w:pPr>
              <w:pStyle w:val="TableParagraph"/>
              <w:spacing w:line="240" w:lineRule="auto" w:before="142"/>
              <w:ind w:right="58"/>
              <w:jc w:val="right"/>
              <w:rPr>
                <w:rFonts w:ascii="Arial" w:hAnsi="Arial" w:cs="Arial" w:eastAsia="Arial" w:hint="default"/>
                <w:sz w:val="22"/>
                <w:szCs w:val="22"/>
              </w:rPr>
            </w:pPr>
            <w:r>
              <w:rPr>
                <w:rFonts w:ascii="Arial"/>
                <w:w w:val="95"/>
                <w:sz w:val="22"/>
              </w:rPr>
              <w:t>(1,203,012,425)</w:t>
            </w:r>
            <w:r>
              <w:rPr>
                <w:rFonts w:ascii="Arial"/>
                <w:sz w:val="22"/>
              </w:rPr>
            </w:r>
          </w:p>
        </w:tc>
      </w:tr>
      <w:tr>
        <w:trPr>
          <w:trHeight w:val="289" w:hRule="exact"/>
        </w:trPr>
        <w:tc>
          <w:tcPr>
            <w:tcW w:w="2982" w:type="dxa"/>
            <w:tcBorders>
              <w:top w:val="nil" w:sz="6" w:space="0" w:color="auto"/>
              <w:left w:val="nil" w:sz="6" w:space="0" w:color="auto"/>
              <w:bottom w:val="nil" w:sz="6" w:space="0" w:color="auto"/>
              <w:right w:val="nil" w:sz="6" w:space="0" w:color="auto"/>
            </w:tcBorders>
          </w:tcPr>
          <w:p>
            <w:pPr>
              <w:pStyle w:val="TableParagraph"/>
              <w:spacing w:line="260" w:lineRule="exact"/>
              <w:ind w:left="35" w:right="0"/>
              <w:jc w:val="left"/>
              <w:rPr>
                <w:rFonts w:ascii="宋体" w:hAnsi="宋体" w:cs="宋体" w:eastAsia="宋体" w:hint="default"/>
                <w:sz w:val="22"/>
                <w:szCs w:val="22"/>
              </w:rPr>
            </w:pPr>
            <w:r>
              <w:rPr>
                <w:rFonts w:ascii="宋体" w:hAnsi="宋体" w:cs="宋体" w:eastAsia="宋体" w:hint="default"/>
                <w:sz w:val="22"/>
                <w:szCs w:val="22"/>
              </w:rPr>
              <w:t>其中：</w:t>
            </w:r>
          </w:p>
        </w:tc>
        <w:tc>
          <w:tcPr>
            <w:tcW w:w="955" w:type="dxa"/>
            <w:tcBorders>
              <w:top w:val="nil" w:sz="6" w:space="0" w:color="auto"/>
              <w:left w:val="nil" w:sz="6" w:space="0" w:color="auto"/>
              <w:bottom w:val="nil" w:sz="6" w:space="0" w:color="auto"/>
              <w:right w:val="single" w:sz="6" w:space="0" w:color="000000"/>
            </w:tcBorders>
          </w:tcPr>
          <w:p>
            <w:pPr>
              <w:pStyle w:val="TableParagraph"/>
              <w:spacing w:line="260" w:lineRule="exact"/>
              <w:ind w:right="47"/>
              <w:jc w:val="center"/>
              <w:rPr>
                <w:rFonts w:ascii="宋体" w:hAnsi="宋体" w:cs="宋体" w:eastAsia="宋体" w:hint="default"/>
                <w:sz w:val="22"/>
                <w:szCs w:val="22"/>
              </w:rPr>
            </w:pPr>
            <w:r>
              <w:rPr>
                <w:rFonts w:ascii="宋体" w:hAnsi="宋体" w:cs="宋体" w:eastAsia="宋体" w:hint="default"/>
                <w:sz w:val="22"/>
                <w:szCs w:val="22"/>
              </w:rPr>
              <w:t>人民币</w:t>
            </w:r>
          </w:p>
        </w:tc>
        <w:tc>
          <w:tcPr>
            <w:tcW w:w="2400"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4"/>
              <w:ind w:right="102"/>
              <w:jc w:val="right"/>
              <w:rPr>
                <w:rFonts w:ascii="Arial" w:hAnsi="Arial" w:cs="Arial" w:eastAsia="Arial" w:hint="default"/>
                <w:sz w:val="22"/>
                <w:szCs w:val="22"/>
              </w:rPr>
            </w:pPr>
            <w:r>
              <w:rPr>
                <w:rFonts w:ascii="Arial"/>
                <w:w w:val="99"/>
                <w:sz w:val="22"/>
              </w:rPr>
              <w:t>-</w:t>
            </w:r>
            <w:r>
              <w:rPr>
                <w:rFonts w:ascii="Arial"/>
                <w:sz w:val="22"/>
              </w:rPr>
            </w:r>
          </w:p>
        </w:tc>
        <w:tc>
          <w:tcPr>
            <w:tcW w:w="281" w:type="dxa"/>
            <w:tcBorders>
              <w:top w:val="nil" w:sz="6" w:space="0" w:color="auto"/>
              <w:left w:val="single" w:sz="6" w:space="0" w:color="000000"/>
              <w:bottom w:val="nil" w:sz="6" w:space="0" w:color="auto"/>
              <w:right w:val="single" w:sz="6" w:space="0" w:color="000000"/>
            </w:tcBorders>
          </w:tcPr>
          <w:p>
            <w:pPr/>
          </w:p>
        </w:tc>
        <w:tc>
          <w:tcPr>
            <w:tcW w:w="2375"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4"/>
              <w:ind w:right="50"/>
              <w:jc w:val="right"/>
              <w:rPr>
                <w:rFonts w:ascii="Arial" w:hAnsi="Arial" w:cs="Arial" w:eastAsia="Arial" w:hint="default"/>
                <w:sz w:val="22"/>
                <w:szCs w:val="22"/>
              </w:rPr>
            </w:pPr>
            <w:r>
              <w:rPr>
                <w:rFonts w:ascii="Arial"/>
                <w:w w:val="95"/>
                <w:sz w:val="22"/>
              </w:rPr>
              <w:t>(1,113,621,758)</w:t>
            </w:r>
            <w:r>
              <w:rPr>
                <w:rFonts w:ascii="Arial"/>
                <w:sz w:val="22"/>
              </w:rPr>
            </w:r>
          </w:p>
        </w:tc>
      </w:tr>
      <w:tr>
        <w:trPr>
          <w:trHeight w:val="284" w:hRule="exact"/>
        </w:trPr>
        <w:tc>
          <w:tcPr>
            <w:tcW w:w="2982" w:type="dxa"/>
            <w:tcBorders>
              <w:top w:val="nil" w:sz="6" w:space="0" w:color="auto"/>
              <w:left w:val="nil" w:sz="6" w:space="0" w:color="auto"/>
              <w:bottom w:val="nil" w:sz="6" w:space="0" w:color="auto"/>
              <w:right w:val="nil" w:sz="6" w:space="0" w:color="auto"/>
            </w:tcBorders>
          </w:tcPr>
          <w:p>
            <w:pPr/>
          </w:p>
        </w:tc>
        <w:tc>
          <w:tcPr>
            <w:tcW w:w="955" w:type="dxa"/>
            <w:tcBorders>
              <w:top w:val="nil" w:sz="6" w:space="0" w:color="auto"/>
              <w:left w:val="nil" w:sz="6" w:space="0" w:color="auto"/>
              <w:bottom w:val="nil" w:sz="6" w:space="0" w:color="auto"/>
              <w:right w:val="single" w:sz="6" w:space="0" w:color="000000"/>
            </w:tcBorders>
          </w:tcPr>
          <w:p>
            <w:pPr>
              <w:pStyle w:val="TableParagraph"/>
              <w:spacing w:line="239" w:lineRule="exact"/>
              <w:ind w:right="45"/>
              <w:jc w:val="center"/>
              <w:rPr>
                <w:rFonts w:ascii="宋体" w:hAnsi="宋体" w:cs="宋体" w:eastAsia="宋体" w:hint="default"/>
                <w:sz w:val="22"/>
                <w:szCs w:val="22"/>
              </w:rPr>
            </w:pPr>
            <w:r>
              <w:rPr>
                <w:rFonts w:ascii="宋体" w:hAnsi="宋体" w:cs="宋体" w:eastAsia="宋体" w:hint="default"/>
                <w:sz w:val="22"/>
                <w:szCs w:val="22"/>
              </w:rPr>
              <w:t>日元</w:t>
            </w:r>
          </w:p>
        </w:tc>
        <w:tc>
          <w:tcPr>
            <w:tcW w:w="2400"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102"/>
              <w:jc w:val="right"/>
              <w:rPr>
                <w:rFonts w:ascii="Arial" w:hAnsi="Arial" w:cs="Arial" w:eastAsia="Arial" w:hint="default"/>
                <w:sz w:val="22"/>
                <w:szCs w:val="22"/>
              </w:rPr>
            </w:pPr>
            <w:r>
              <w:rPr>
                <w:rFonts w:ascii="Arial"/>
                <w:w w:val="99"/>
                <w:sz w:val="22"/>
              </w:rPr>
              <w:t>-</w:t>
            </w:r>
            <w:r>
              <w:rPr>
                <w:rFonts w:ascii="Arial"/>
                <w:sz w:val="22"/>
              </w:rPr>
            </w:r>
          </w:p>
        </w:tc>
        <w:tc>
          <w:tcPr>
            <w:tcW w:w="281" w:type="dxa"/>
            <w:tcBorders>
              <w:top w:val="nil" w:sz="6" w:space="0" w:color="auto"/>
              <w:left w:val="single" w:sz="6" w:space="0" w:color="000000"/>
              <w:bottom w:val="nil" w:sz="6" w:space="0" w:color="auto"/>
              <w:right w:val="single" w:sz="6" w:space="0" w:color="000000"/>
            </w:tcBorders>
          </w:tcPr>
          <w:p>
            <w:pPr/>
          </w:p>
        </w:tc>
        <w:tc>
          <w:tcPr>
            <w:tcW w:w="2375"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50"/>
              <w:jc w:val="right"/>
              <w:rPr>
                <w:rFonts w:ascii="Arial" w:hAnsi="Arial" w:cs="Arial" w:eastAsia="Arial" w:hint="default"/>
                <w:sz w:val="22"/>
                <w:szCs w:val="22"/>
              </w:rPr>
            </w:pPr>
            <w:r>
              <w:rPr>
                <w:rFonts w:ascii="Arial"/>
                <w:w w:val="95"/>
                <w:sz w:val="22"/>
              </w:rPr>
              <w:t>(42,392,738)</w:t>
            </w:r>
            <w:r>
              <w:rPr>
                <w:rFonts w:ascii="Arial"/>
                <w:sz w:val="22"/>
              </w:rPr>
            </w:r>
          </w:p>
        </w:tc>
      </w:tr>
      <w:tr>
        <w:trPr>
          <w:trHeight w:val="284" w:hRule="exact"/>
        </w:trPr>
        <w:tc>
          <w:tcPr>
            <w:tcW w:w="2982" w:type="dxa"/>
            <w:tcBorders>
              <w:top w:val="nil" w:sz="6" w:space="0" w:color="auto"/>
              <w:left w:val="nil" w:sz="6" w:space="0" w:color="auto"/>
              <w:bottom w:val="nil" w:sz="6" w:space="0" w:color="auto"/>
              <w:right w:val="nil" w:sz="6" w:space="0" w:color="auto"/>
            </w:tcBorders>
          </w:tcPr>
          <w:p>
            <w:pPr/>
          </w:p>
        </w:tc>
        <w:tc>
          <w:tcPr>
            <w:tcW w:w="955" w:type="dxa"/>
            <w:tcBorders>
              <w:top w:val="nil" w:sz="6" w:space="0" w:color="auto"/>
              <w:left w:val="nil" w:sz="6" w:space="0" w:color="auto"/>
              <w:bottom w:val="nil" w:sz="6" w:space="0" w:color="auto"/>
              <w:right w:val="single" w:sz="6" w:space="0" w:color="000000"/>
            </w:tcBorders>
          </w:tcPr>
          <w:p>
            <w:pPr>
              <w:pStyle w:val="TableParagraph"/>
              <w:spacing w:line="239" w:lineRule="exact"/>
              <w:ind w:right="45"/>
              <w:jc w:val="center"/>
              <w:rPr>
                <w:rFonts w:ascii="宋体" w:hAnsi="宋体" w:cs="宋体" w:eastAsia="宋体" w:hint="default"/>
                <w:sz w:val="22"/>
                <w:szCs w:val="22"/>
              </w:rPr>
            </w:pPr>
            <w:r>
              <w:rPr>
                <w:rFonts w:ascii="宋体" w:hAnsi="宋体" w:cs="宋体" w:eastAsia="宋体" w:hint="default"/>
                <w:sz w:val="22"/>
                <w:szCs w:val="22"/>
              </w:rPr>
              <w:t>欧元</w:t>
            </w:r>
          </w:p>
        </w:tc>
        <w:tc>
          <w:tcPr>
            <w:tcW w:w="2400"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49"/>
              <w:jc w:val="right"/>
              <w:rPr>
                <w:rFonts w:ascii="Arial" w:hAnsi="Arial" w:cs="Arial" w:eastAsia="Arial" w:hint="default"/>
                <w:sz w:val="22"/>
                <w:szCs w:val="22"/>
              </w:rPr>
            </w:pPr>
            <w:r>
              <w:rPr>
                <w:rFonts w:ascii="Arial"/>
                <w:w w:val="95"/>
                <w:sz w:val="22"/>
              </w:rPr>
              <w:t>(31,368,328)</w:t>
            </w:r>
            <w:r>
              <w:rPr>
                <w:rFonts w:ascii="Arial"/>
                <w:sz w:val="22"/>
              </w:rPr>
            </w:r>
          </w:p>
        </w:tc>
        <w:tc>
          <w:tcPr>
            <w:tcW w:w="281" w:type="dxa"/>
            <w:tcBorders>
              <w:top w:val="nil" w:sz="6" w:space="0" w:color="auto"/>
              <w:left w:val="single" w:sz="6" w:space="0" w:color="000000"/>
              <w:bottom w:val="nil" w:sz="6" w:space="0" w:color="auto"/>
              <w:right w:val="single" w:sz="6" w:space="0" w:color="000000"/>
            </w:tcBorders>
          </w:tcPr>
          <w:p>
            <w:pPr/>
          </w:p>
        </w:tc>
        <w:tc>
          <w:tcPr>
            <w:tcW w:w="2375" w:type="dxa"/>
            <w:tcBorders>
              <w:top w:val="nil" w:sz="6" w:space="0" w:color="auto"/>
              <w:left w:val="single" w:sz="6" w:space="0" w:color="000000"/>
              <w:bottom w:val="nil" w:sz="6" w:space="0" w:color="auto"/>
              <w:right w:val="single" w:sz="6" w:space="0" w:color="000000"/>
            </w:tcBorders>
          </w:tcPr>
          <w:p>
            <w:pPr>
              <w:pStyle w:val="TableParagraph"/>
              <w:spacing w:line="240" w:lineRule="auto" w:before="16"/>
              <w:ind w:right="50"/>
              <w:jc w:val="right"/>
              <w:rPr>
                <w:rFonts w:ascii="Arial" w:hAnsi="Arial" w:cs="Arial" w:eastAsia="Arial" w:hint="default"/>
                <w:sz w:val="22"/>
                <w:szCs w:val="22"/>
              </w:rPr>
            </w:pPr>
            <w:r>
              <w:rPr>
                <w:rFonts w:ascii="Arial"/>
                <w:w w:val="95"/>
                <w:sz w:val="22"/>
              </w:rPr>
              <w:t>(27,611,479)</w:t>
            </w:r>
            <w:r>
              <w:rPr>
                <w:rFonts w:ascii="Arial"/>
                <w:sz w:val="22"/>
              </w:rPr>
            </w:r>
          </w:p>
        </w:tc>
      </w:tr>
      <w:tr>
        <w:trPr>
          <w:trHeight w:val="279" w:hRule="exact"/>
        </w:trPr>
        <w:tc>
          <w:tcPr>
            <w:tcW w:w="2982" w:type="dxa"/>
            <w:tcBorders>
              <w:top w:val="nil" w:sz="6" w:space="0" w:color="auto"/>
              <w:left w:val="nil" w:sz="6" w:space="0" w:color="auto"/>
              <w:bottom w:val="nil" w:sz="6" w:space="0" w:color="auto"/>
              <w:right w:val="nil" w:sz="6" w:space="0" w:color="auto"/>
            </w:tcBorders>
          </w:tcPr>
          <w:p>
            <w:pPr/>
          </w:p>
        </w:tc>
        <w:tc>
          <w:tcPr>
            <w:tcW w:w="955" w:type="dxa"/>
            <w:tcBorders>
              <w:top w:val="nil" w:sz="6" w:space="0" w:color="auto"/>
              <w:left w:val="nil" w:sz="6" w:space="0" w:color="auto"/>
              <w:bottom w:val="nil" w:sz="6" w:space="0" w:color="auto"/>
              <w:right w:val="single" w:sz="6" w:space="0" w:color="000000"/>
            </w:tcBorders>
          </w:tcPr>
          <w:p>
            <w:pPr>
              <w:pStyle w:val="TableParagraph"/>
              <w:spacing w:line="239" w:lineRule="exact"/>
              <w:ind w:right="45"/>
              <w:jc w:val="center"/>
              <w:rPr>
                <w:rFonts w:ascii="宋体" w:hAnsi="宋体" w:cs="宋体" w:eastAsia="宋体" w:hint="default"/>
                <w:sz w:val="22"/>
                <w:szCs w:val="22"/>
              </w:rPr>
            </w:pPr>
            <w:r>
              <w:rPr>
                <w:rFonts w:ascii="宋体" w:hAnsi="宋体" w:cs="宋体" w:eastAsia="宋体" w:hint="default"/>
                <w:sz w:val="22"/>
                <w:szCs w:val="22"/>
              </w:rPr>
              <w:t>美元</w:t>
            </w:r>
          </w:p>
        </w:tc>
        <w:tc>
          <w:tcPr>
            <w:tcW w:w="2400"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6"/>
              <w:ind w:right="49"/>
              <w:jc w:val="right"/>
              <w:rPr>
                <w:rFonts w:ascii="Arial" w:hAnsi="Arial" w:cs="Arial" w:eastAsia="Arial" w:hint="default"/>
                <w:sz w:val="22"/>
                <w:szCs w:val="22"/>
              </w:rPr>
            </w:pPr>
            <w:r>
              <w:rPr>
                <w:rFonts w:ascii="Arial"/>
                <w:w w:val="95"/>
                <w:sz w:val="22"/>
              </w:rPr>
              <w:t>(17,427,211)</w:t>
            </w:r>
            <w:r>
              <w:rPr>
                <w:rFonts w:ascii="Arial"/>
                <w:sz w:val="22"/>
              </w:rPr>
            </w:r>
          </w:p>
        </w:tc>
        <w:tc>
          <w:tcPr>
            <w:tcW w:w="281" w:type="dxa"/>
            <w:tcBorders>
              <w:top w:val="nil" w:sz="6" w:space="0" w:color="auto"/>
              <w:left w:val="single" w:sz="6" w:space="0" w:color="000000"/>
              <w:bottom w:val="nil" w:sz="6" w:space="0" w:color="auto"/>
              <w:right w:val="single" w:sz="6" w:space="0" w:color="000000"/>
            </w:tcBorders>
          </w:tcPr>
          <w:p>
            <w:pPr/>
          </w:p>
        </w:tc>
        <w:tc>
          <w:tcPr>
            <w:tcW w:w="2375"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6"/>
              <w:ind w:right="50"/>
              <w:jc w:val="right"/>
              <w:rPr>
                <w:rFonts w:ascii="Arial" w:hAnsi="Arial" w:cs="Arial" w:eastAsia="Arial" w:hint="default"/>
                <w:sz w:val="22"/>
                <w:szCs w:val="22"/>
              </w:rPr>
            </w:pPr>
            <w:r>
              <w:rPr>
                <w:rFonts w:ascii="Arial"/>
                <w:w w:val="95"/>
                <w:sz w:val="22"/>
              </w:rPr>
              <w:t>(19,386,450)</w:t>
            </w:r>
            <w:r>
              <w:rPr>
                <w:rFonts w:ascii="Arial"/>
                <w:sz w:val="22"/>
              </w:rPr>
            </w:r>
          </w:p>
        </w:tc>
      </w:tr>
      <w:tr>
        <w:trPr>
          <w:trHeight w:val="716" w:hRule="exact"/>
        </w:trPr>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955" w:type="dxa"/>
            <w:tcBorders>
              <w:top w:val="nil" w:sz="6" w:space="0" w:color="auto"/>
              <w:left w:val="nil" w:sz="6" w:space="0" w:color="auto"/>
              <w:bottom w:val="nil" w:sz="6" w:space="0" w:color="auto"/>
              <w:right w:val="nil" w:sz="6" w:space="0" w:color="auto"/>
            </w:tcBorders>
          </w:tcPr>
          <w:p>
            <w:pPr/>
          </w:p>
        </w:tc>
        <w:tc>
          <w:tcPr>
            <w:tcW w:w="2400"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2"/>
                <w:szCs w:val="22"/>
              </w:rPr>
            </w:pPr>
          </w:p>
          <w:p>
            <w:pPr>
              <w:pStyle w:val="TableParagraph"/>
              <w:tabs>
                <w:tab w:pos="1093" w:val="left" w:leader="none"/>
              </w:tabs>
              <w:spacing w:line="240" w:lineRule="auto"/>
              <w:ind w:right="56"/>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(62,276,361)</w:t>
            </w:r>
            <w:r>
              <w:rPr>
                <w:rFonts w:ascii="Arial"/>
                <w:w w:val="95"/>
                <w:sz w:val="22"/>
              </w:rPr>
            </w:r>
            <w:r>
              <w:rPr>
                <w:rFonts w:ascii="Arial"/>
                <w:sz w:val="22"/>
              </w:rPr>
            </w:r>
          </w:p>
        </w:tc>
        <w:tc>
          <w:tcPr>
            <w:tcW w:w="281" w:type="dxa"/>
            <w:tcBorders>
              <w:top w:val="nil" w:sz="6" w:space="0" w:color="auto"/>
              <w:left w:val="nil" w:sz="6" w:space="0" w:color="auto"/>
              <w:bottom w:val="nil" w:sz="6" w:space="0" w:color="auto"/>
              <w:right w:val="nil" w:sz="6" w:space="0" w:color="auto"/>
            </w:tcBorders>
          </w:tcPr>
          <w:p>
            <w:pPr/>
          </w:p>
        </w:tc>
        <w:tc>
          <w:tcPr>
            <w:tcW w:w="2375" w:type="dxa"/>
            <w:tcBorders>
              <w:top w:val="single" w:sz="6"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2"/>
                <w:szCs w:val="22"/>
              </w:rPr>
            </w:pPr>
          </w:p>
          <w:p>
            <w:pPr>
              <w:pStyle w:val="TableParagraph"/>
              <w:tabs>
                <w:tab w:pos="760" w:val="left" w:leader="none"/>
              </w:tabs>
              <w:spacing w:line="240" w:lineRule="auto"/>
              <w:ind w:left="-8" w:right="58"/>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(1,216,249,534)</w:t>
            </w:r>
            <w:r>
              <w:rPr>
                <w:rFonts w:ascii="Arial"/>
                <w:w w:val="95"/>
                <w:sz w:val="22"/>
              </w:rPr>
            </w:r>
            <w:r>
              <w:rPr>
                <w:rFonts w:ascii="Arial"/>
                <w:sz w:val="22"/>
              </w:rPr>
            </w:r>
          </w:p>
        </w:tc>
      </w:tr>
      <w:tr>
        <w:trPr>
          <w:trHeight w:val="438" w:hRule="exact"/>
        </w:trPr>
        <w:tc>
          <w:tcPr>
            <w:tcW w:w="2982" w:type="dxa"/>
            <w:tcBorders>
              <w:top w:val="nil" w:sz="6" w:space="0" w:color="auto"/>
              <w:left w:val="nil" w:sz="6" w:space="0" w:color="auto"/>
              <w:bottom w:val="nil" w:sz="6" w:space="0" w:color="auto"/>
              <w:right w:val="nil" w:sz="6" w:space="0" w:color="auto"/>
            </w:tcBorders>
          </w:tcPr>
          <w:p>
            <w:pPr>
              <w:pStyle w:val="TableParagraph"/>
              <w:spacing w:line="240" w:lineRule="auto" w:before="93"/>
              <w:ind w:left="35" w:right="0"/>
              <w:jc w:val="left"/>
              <w:rPr>
                <w:rFonts w:ascii="宋体" w:hAnsi="宋体" w:cs="宋体" w:eastAsia="宋体" w:hint="default"/>
                <w:sz w:val="22"/>
                <w:szCs w:val="22"/>
              </w:rPr>
            </w:pPr>
            <w:r>
              <w:rPr>
                <w:rFonts w:ascii="Arial" w:hAnsi="Arial" w:cs="Arial" w:eastAsia="Arial" w:hint="default"/>
                <w:sz w:val="22"/>
                <w:szCs w:val="22"/>
              </w:rPr>
              <w:t>1</w:t>
            </w:r>
            <w:r>
              <w:rPr>
                <w:rFonts w:ascii="Arial" w:hAnsi="Arial" w:cs="Arial" w:eastAsia="Arial" w:hint="default"/>
                <w:spacing w:val="-8"/>
                <w:sz w:val="22"/>
                <w:szCs w:val="22"/>
              </w:rPr>
              <w:t> </w:t>
            </w:r>
            <w:r>
              <w:rPr>
                <w:rFonts w:ascii="宋体" w:hAnsi="宋体" w:cs="宋体" w:eastAsia="宋体" w:hint="default"/>
                <w:sz w:val="22"/>
                <w:szCs w:val="22"/>
              </w:rPr>
              <w:t>年以上到期的长期借款</w:t>
            </w:r>
          </w:p>
        </w:tc>
        <w:tc>
          <w:tcPr>
            <w:tcW w:w="955" w:type="dxa"/>
            <w:tcBorders>
              <w:top w:val="nil" w:sz="6" w:space="0" w:color="auto"/>
              <w:left w:val="nil" w:sz="6" w:space="0" w:color="auto"/>
              <w:bottom w:val="nil" w:sz="6" w:space="0" w:color="auto"/>
              <w:right w:val="nil" w:sz="6" w:space="0" w:color="auto"/>
            </w:tcBorders>
          </w:tcPr>
          <w:p>
            <w:pPr/>
          </w:p>
        </w:tc>
        <w:tc>
          <w:tcPr>
            <w:tcW w:w="2400" w:type="dxa"/>
            <w:tcBorders>
              <w:top w:val="nil" w:sz="6" w:space="0" w:color="auto"/>
              <w:left w:val="nil" w:sz="6" w:space="0" w:color="auto"/>
              <w:bottom w:val="single" w:sz="17" w:space="0" w:color="000000"/>
              <w:right w:val="nil" w:sz="6" w:space="0" w:color="auto"/>
            </w:tcBorders>
          </w:tcPr>
          <w:p>
            <w:pPr>
              <w:pStyle w:val="TableParagraph"/>
              <w:spacing w:line="240" w:lineRule="auto" w:before="160"/>
              <w:ind w:right="108"/>
              <w:jc w:val="right"/>
              <w:rPr>
                <w:rFonts w:ascii="Arial" w:hAnsi="Arial" w:cs="Arial" w:eastAsia="Arial" w:hint="default"/>
                <w:sz w:val="22"/>
                <w:szCs w:val="22"/>
              </w:rPr>
            </w:pPr>
            <w:r>
              <w:rPr>
                <w:rFonts w:ascii="Arial"/>
                <w:w w:val="95"/>
                <w:sz w:val="22"/>
              </w:rPr>
              <w:t>759,455,307</w:t>
            </w:r>
            <w:r>
              <w:rPr>
                <w:rFonts w:ascii="Arial"/>
                <w:sz w:val="22"/>
              </w:rPr>
            </w:r>
          </w:p>
        </w:tc>
        <w:tc>
          <w:tcPr>
            <w:tcW w:w="281" w:type="dxa"/>
            <w:tcBorders>
              <w:top w:val="nil" w:sz="6" w:space="0" w:color="auto"/>
              <w:left w:val="nil" w:sz="6" w:space="0" w:color="auto"/>
              <w:bottom w:val="nil" w:sz="6" w:space="0" w:color="auto"/>
              <w:right w:val="nil" w:sz="6" w:space="0" w:color="auto"/>
            </w:tcBorders>
          </w:tcPr>
          <w:p>
            <w:pPr/>
          </w:p>
        </w:tc>
        <w:tc>
          <w:tcPr>
            <w:tcW w:w="2375" w:type="dxa"/>
            <w:tcBorders>
              <w:top w:val="nil" w:sz="6" w:space="0" w:color="auto"/>
              <w:left w:val="nil" w:sz="6" w:space="0" w:color="auto"/>
              <w:bottom w:val="single" w:sz="17" w:space="0" w:color="000000"/>
              <w:right w:val="nil" w:sz="6" w:space="0" w:color="auto"/>
            </w:tcBorders>
          </w:tcPr>
          <w:p>
            <w:pPr>
              <w:pStyle w:val="TableParagraph"/>
              <w:spacing w:line="240" w:lineRule="auto" w:before="160"/>
              <w:ind w:right="91"/>
              <w:jc w:val="right"/>
              <w:rPr>
                <w:rFonts w:ascii="Arial" w:hAnsi="Arial" w:cs="Arial" w:eastAsia="Arial" w:hint="default"/>
                <w:sz w:val="22"/>
                <w:szCs w:val="22"/>
              </w:rPr>
            </w:pPr>
            <w:r>
              <w:rPr>
                <w:rFonts w:ascii="Arial"/>
                <w:w w:val="95"/>
                <w:sz w:val="22"/>
              </w:rPr>
              <w:t>997,312,478</w:t>
            </w:r>
            <w:r>
              <w:rPr>
                <w:rFonts w:ascii="Arial"/>
                <w:sz w:val="22"/>
              </w:rPr>
            </w:r>
          </w:p>
        </w:tc>
      </w:tr>
    </w:tbl>
    <w:p>
      <w:pPr>
        <w:spacing w:line="240" w:lineRule="auto" w:before="7"/>
        <w:rPr>
          <w:rFonts w:ascii="宋体" w:hAnsi="宋体" w:cs="宋体" w:eastAsia="宋体" w:hint="default"/>
          <w:sz w:val="12"/>
          <w:szCs w:val="12"/>
        </w:rPr>
      </w:pPr>
    </w:p>
    <w:p>
      <w:pPr>
        <w:pStyle w:val="BodyText"/>
        <w:spacing w:line="295" w:lineRule="exact" w:before="31"/>
        <w:ind w:left="550" w:right="0"/>
        <w:jc w:val="left"/>
        <w:rPr>
          <w:rFonts w:ascii="Arial" w:hAnsi="Arial" w:cs="Arial" w:eastAsia="Arial" w:hint="default"/>
        </w:rPr>
      </w:pPr>
      <w:r>
        <w:rPr>
          <w:w w:val="99"/>
        </w:rPr>
        <w:t>注</w:t>
      </w:r>
      <w:r>
        <w:rPr>
          <w:spacing w:val="-55"/>
        </w:rPr>
        <w:t> </w:t>
      </w:r>
      <w:r>
        <w:rPr>
          <w:rFonts w:ascii="Arial" w:hAnsi="Arial" w:cs="Arial" w:eastAsia="Arial" w:hint="default"/>
          <w:w w:val="99"/>
        </w:rPr>
        <w:t>1</w:t>
      </w:r>
      <w:r>
        <w:rPr>
          <w:spacing w:val="-98"/>
          <w:w w:val="99"/>
        </w:rPr>
        <w:t>：</w:t>
      </w:r>
      <w:r>
        <w:rPr>
          <w:w w:val="99"/>
        </w:rPr>
        <w:t>于</w:t>
      </w:r>
      <w:r>
        <w:rPr>
          <w:spacing w:val="-55"/>
        </w:rPr>
        <w:t> </w:t>
      </w:r>
      <w:r>
        <w:rPr>
          <w:rFonts w:ascii="Arial" w:hAnsi="Arial" w:cs="Arial" w:eastAsia="Arial" w:hint="default"/>
          <w:w w:val="99"/>
        </w:rPr>
        <w:t>20</w:t>
      </w:r>
      <w:r>
        <w:rPr>
          <w:rFonts w:ascii="Arial" w:hAnsi="Arial" w:cs="Arial" w:eastAsia="Arial" w:hint="default"/>
          <w:spacing w:val="1"/>
          <w:w w:val="99"/>
        </w:rPr>
        <w:t>0</w:t>
      </w:r>
      <w:r>
        <w:rPr>
          <w:rFonts w:ascii="Arial" w:hAnsi="Arial" w:cs="Arial" w:eastAsia="Arial" w:hint="default"/>
          <w:w w:val="99"/>
        </w:rPr>
        <w:t>9</w:t>
      </w:r>
      <w:r>
        <w:rPr>
          <w:rFonts w:ascii="Arial" w:hAnsi="Arial" w:cs="Arial" w:eastAsia="Arial" w:hint="default"/>
          <w:spacing w:val="-6"/>
        </w:rPr>
        <w:t> </w:t>
      </w:r>
      <w:r>
        <w:rPr>
          <w:w w:val="99"/>
        </w:rPr>
        <w:t>年</w:t>
      </w:r>
      <w:r>
        <w:rPr>
          <w:spacing w:val="-55"/>
        </w:rPr>
        <w:t> </w:t>
      </w:r>
      <w:r>
        <w:rPr>
          <w:rFonts w:ascii="Arial" w:hAnsi="Arial" w:cs="Arial" w:eastAsia="Arial" w:hint="default"/>
          <w:w w:val="99"/>
        </w:rPr>
        <w:t>12</w:t>
      </w:r>
      <w:r>
        <w:rPr>
          <w:rFonts w:ascii="Arial" w:hAnsi="Arial" w:cs="Arial" w:eastAsia="Arial" w:hint="default"/>
          <w:spacing w:val="-6"/>
        </w:rPr>
        <w:t> </w:t>
      </w:r>
      <w:r>
        <w:rPr>
          <w:w w:val="99"/>
        </w:rPr>
        <w:t>月</w:t>
      </w:r>
      <w:r>
        <w:rPr>
          <w:spacing w:val="-55"/>
        </w:rPr>
        <w:t> </w:t>
      </w:r>
      <w:r>
        <w:rPr>
          <w:rFonts w:ascii="Arial" w:hAnsi="Arial" w:cs="Arial" w:eastAsia="Arial" w:hint="default"/>
          <w:w w:val="99"/>
        </w:rPr>
        <w:t>31</w:t>
      </w:r>
      <w:r>
        <w:rPr>
          <w:rFonts w:ascii="Arial" w:hAnsi="Arial" w:cs="Arial" w:eastAsia="Arial" w:hint="default"/>
          <w:spacing w:val="-6"/>
        </w:rPr>
        <w:t> </w:t>
      </w:r>
      <w:r>
        <w:rPr>
          <w:w w:val="99"/>
        </w:rPr>
        <w:t>日</w:t>
      </w:r>
      <w:r>
        <w:rPr>
          <w:spacing w:val="-98"/>
          <w:w w:val="99"/>
        </w:rPr>
        <w:t>，</w:t>
      </w:r>
      <w:r>
        <w:rPr>
          <w:w w:val="99"/>
        </w:rPr>
        <w:t>保</w:t>
      </w:r>
      <w:r>
        <w:rPr>
          <w:spacing w:val="1"/>
          <w:w w:val="99"/>
        </w:rPr>
        <w:t>证借</w:t>
      </w:r>
      <w:r>
        <w:rPr>
          <w:w w:val="99"/>
        </w:rPr>
        <w:t>款包括</w:t>
      </w:r>
      <w:r>
        <w:rPr>
          <w:spacing w:val="1"/>
          <w:w w:val="99"/>
        </w:rPr>
        <w:t>由第</w:t>
      </w:r>
      <w:r>
        <w:rPr>
          <w:w w:val="99"/>
        </w:rPr>
        <w:t>三方提</w:t>
      </w:r>
      <w:r>
        <w:rPr>
          <w:spacing w:val="1"/>
          <w:w w:val="99"/>
        </w:rPr>
        <w:t>供担</w:t>
      </w:r>
      <w:r>
        <w:rPr>
          <w:w w:val="99"/>
        </w:rPr>
        <w:t>保的借</w:t>
      </w:r>
      <w:r>
        <w:rPr>
          <w:spacing w:val="1"/>
          <w:w w:val="99"/>
        </w:rPr>
        <w:t>款约</w:t>
      </w:r>
      <w:r>
        <w:rPr>
          <w:w w:val="99"/>
        </w:rPr>
        <w:t>人民币</w:t>
      </w:r>
      <w:r>
        <w:rPr>
          <w:spacing w:val="-54"/>
        </w:rPr>
        <w:t> </w:t>
      </w:r>
      <w:r>
        <w:rPr>
          <w:rFonts w:ascii="Arial" w:hAnsi="Arial" w:cs="Arial" w:eastAsia="Arial" w:hint="default"/>
          <w:w w:val="99"/>
        </w:rPr>
        <w:t>1.37</w:t>
      </w:r>
      <w:r>
        <w:rPr>
          <w:rFonts w:ascii="Arial" w:hAnsi="Arial" w:cs="Arial" w:eastAsia="Arial" w:hint="default"/>
          <w:spacing w:val="-6"/>
        </w:rPr>
        <w:t> </w:t>
      </w:r>
      <w:r>
        <w:rPr>
          <w:w w:val="99"/>
        </w:rPr>
        <w:t>亿</w:t>
      </w:r>
      <w:r>
        <w:rPr>
          <w:spacing w:val="-98"/>
          <w:w w:val="99"/>
        </w:rPr>
        <w:t>元</w:t>
      </w:r>
      <w:r>
        <w:rPr>
          <w:w w:val="99"/>
        </w:rPr>
        <w:t>（</w:t>
      </w:r>
      <w:r>
        <w:rPr>
          <w:rFonts w:ascii="Arial" w:hAnsi="Arial" w:cs="Arial" w:eastAsia="Arial" w:hint="default"/>
          <w:w w:val="99"/>
        </w:rPr>
        <w:t>2008</w:t>
      </w:r>
      <w:r>
        <w:rPr>
          <w:rFonts w:ascii="Arial" w:hAnsi="Arial" w:cs="Arial" w:eastAsia="Arial" w:hint="default"/>
        </w:rPr>
      </w:r>
    </w:p>
    <w:p>
      <w:pPr>
        <w:pStyle w:val="BodyText"/>
        <w:spacing w:line="424" w:lineRule="auto"/>
        <w:ind w:left="548" w:right="4750" w:firstLine="504"/>
        <w:jc w:val="left"/>
      </w:pP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日：约人民币</w:t>
      </w:r>
      <w:r>
        <w:rPr>
          <w:spacing w:val="-56"/>
        </w:rPr>
        <w:t> </w:t>
      </w:r>
      <w:r>
        <w:rPr>
          <w:rFonts w:ascii="Arial" w:hAnsi="Arial" w:cs="Arial" w:eastAsia="Arial" w:hint="default"/>
        </w:rPr>
        <w:t>1.45</w:t>
      </w:r>
      <w:r>
        <w:rPr>
          <w:rFonts w:ascii="Arial" w:hAnsi="Arial" w:cs="Arial" w:eastAsia="Arial" w:hint="default"/>
          <w:spacing w:val="-7"/>
        </w:rPr>
        <w:t> </w:t>
      </w:r>
      <w:r>
        <w:rPr/>
        <w:t>亿元）。</w:t>
      </w:r>
      <w:r>
        <w:rPr>
          <w:w w:val="99"/>
        </w:rPr>
        <w:t> </w:t>
      </w:r>
      <w:r>
        <w:rPr/>
        <w:t>上述借款的利息按月或按季支付。</w:t>
      </w:r>
    </w:p>
    <w:p>
      <w:pPr>
        <w:spacing w:after="0" w:line="424" w:lineRule="auto"/>
        <w:jc w:val="left"/>
        <w:sectPr>
          <w:headerReference w:type="default" r:id="rId103"/>
          <w:pgSz w:w="11910" w:h="16840"/>
          <w:pgMar w:header="1189" w:footer="752" w:top="4120" w:bottom="940" w:left="1280" w:right="920"/>
        </w:sectPr>
      </w:pPr>
    </w:p>
    <w:p>
      <w:pPr>
        <w:spacing w:line="240" w:lineRule="auto" w:before="12"/>
        <w:rPr>
          <w:rFonts w:ascii="宋体" w:hAnsi="宋体" w:cs="宋体" w:eastAsia="宋体" w:hint="default"/>
          <w:sz w:val="14"/>
          <w:szCs w:val="14"/>
        </w:rPr>
      </w:pPr>
    </w:p>
    <w:p>
      <w:pPr>
        <w:pStyle w:val="BodyText"/>
        <w:spacing w:line="240" w:lineRule="auto" w:before="31"/>
        <w:ind w:left="142" w:right="97"/>
        <w:jc w:val="left"/>
        <w:rPr>
          <w:rFonts w:ascii="黑体" w:hAnsi="黑体" w:cs="黑体" w:eastAsia="黑体" w:hint="default"/>
        </w:rPr>
      </w:pPr>
      <w:r>
        <w:rPr>
          <w:rFonts w:ascii="Arial" w:hAnsi="Arial" w:cs="Arial" w:eastAsia="Arial" w:hint="default"/>
        </w:rPr>
        <w:t>26</w:t>
      </w:r>
      <w:r>
        <w:rPr>
          <w:rFonts w:ascii="黑体" w:hAnsi="黑体" w:cs="黑体" w:eastAsia="黑体" w:hint="default"/>
        </w:rPr>
        <w:t>、长期借款（续）</w:t>
      </w:r>
    </w:p>
    <w:p>
      <w:pPr>
        <w:spacing w:line="240" w:lineRule="auto" w:before="13"/>
        <w:rPr>
          <w:rFonts w:ascii="黑体" w:hAnsi="黑体" w:cs="黑体" w:eastAsia="黑体" w:hint="default"/>
          <w:sz w:val="17"/>
          <w:szCs w:val="17"/>
        </w:rPr>
      </w:pPr>
    </w:p>
    <w:p>
      <w:pPr>
        <w:pStyle w:val="BodyText"/>
        <w:spacing w:line="240" w:lineRule="auto"/>
        <w:ind w:left="142" w:right="97"/>
        <w:jc w:val="left"/>
      </w:pPr>
      <w:r>
        <w:rPr>
          <w:rFonts w:ascii="Arial" w:hAnsi="Arial" w:cs="Arial" w:eastAsia="Arial" w:hint="default"/>
        </w:rPr>
        <w:t>(a) </w:t>
      </w:r>
      <w:r>
        <w:rPr>
          <w:rFonts w:ascii="Arial" w:hAnsi="Arial" w:cs="Arial" w:eastAsia="Arial" w:hint="default"/>
          <w:spacing w:val="27"/>
        </w:rPr>
        <w:t> </w:t>
      </w:r>
      <w:r>
        <w:rPr/>
        <w:t>金额前五名的长期借款（含一年内到期部分）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spacing w:line="20" w:lineRule="exact"/>
        <w:ind w:left="7511" w:right="0" w:firstLine="0"/>
        <w:rPr>
          <w:rFonts w:ascii="宋体" w:hAnsi="宋体" w:cs="宋体" w:eastAsia="宋体" w:hint="default"/>
          <w:sz w:val="2"/>
          <w:szCs w:val="2"/>
        </w:rPr>
      </w:pPr>
      <w:r>
        <w:rPr>
          <w:rFonts w:ascii="宋体" w:hAnsi="宋体" w:cs="宋体" w:eastAsia="宋体" w:hint="default"/>
          <w:sz w:val="2"/>
          <w:szCs w:val="2"/>
        </w:rPr>
        <w:pict>
          <v:group style="width:49.4pt;height:.75pt;mso-position-horizontal-relative:char;mso-position-vertical-relative:line" coordorigin="0,0" coordsize="988,15">
            <v:group style="position:absolute;left:7;top:7;width:974;height:2" coordorigin="7,7" coordsize="974,2">
              <v:shape style="position:absolute;left:7;top:7;width:974;height:2" coordorigin="7,7" coordsize="974,0" path="m7,7l980,7e" filled="false" stroked="true" strokeweight=".72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9"/>
          <w:szCs w:val="9"/>
        </w:rPr>
      </w:pPr>
    </w:p>
    <w:p>
      <w:pPr>
        <w:spacing w:line="232" w:lineRule="exact" w:before="69"/>
        <w:ind w:left="782" w:right="8122" w:hanging="180"/>
        <w:jc w:val="left"/>
        <w:rPr>
          <w:rFonts w:ascii="宋体" w:hAnsi="宋体" w:cs="宋体" w:eastAsia="宋体" w:hint="default"/>
          <w:sz w:val="18"/>
          <w:szCs w:val="18"/>
        </w:rPr>
      </w:pPr>
      <w:r>
        <w:rPr/>
        <w:pict>
          <v:shape style="position:absolute;margin-left:154.139999pt;margin-top:-35.22435pt;width:391.3pt;height:120.35pt;mso-position-horizontal-relative:page;mso-position-vertical-relative:paragraph;z-index:52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98"/>
                    <w:gridCol w:w="1062"/>
                    <w:gridCol w:w="556"/>
                    <w:gridCol w:w="734"/>
                    <w:gridCol w:w="1022"/>
                    <w:gridCol w:w="1204"/>
                    <w:gridCol w:w="1004"/>
                    <w:gridCol w:w="1145"/>
                  </w:tblGrid>
                  <w:tr>
                    <w:trPr>
                      <w:trHeight w:val="316" w:hRule="exact"/>
                    </w:trPr>
                    <w:tc>
                      <w:tcPr>
                        <w:tcW w:w="1098" w:type="dxa"/>
                        <w:tcBorders>
                          <w:top w:val="nil" w:sz="6" w:space="0" w:color="auto"/>
                          <w:left w:val="nil" w:sz="6" w:space="0" w:color="auto"/>
                          <w:bottom w:val="single" w:sz="6" w:space="0" w:color="000000"/>
                          <w:right w:val="nil" w:sz="6" w:space="0" w:color="auto"/>
                        </w:tcBorders>
                      </w:tcPr>
                      <w:p>
                        <w:pPr>
                          <w:pStyle w:val="TableParagraph"/>
                          <w:spacing w:line="240" w:lineRule="auto" w:before="44"/>
                          <w:ind w:right="74"/>
                          <w:jc w:val="right"/>
                          <w:rPr>
                            <w:rFonts w:ascii="宋体" w:hAnsi="宋体" w:cs="宋体" w:eastAsia="宋体" w:hint="default"/>
                            <w:sz w:val="18"/>
                            <w:szCs w:val="18"/>
                          </w:rPr>
                        </w:pPr>
                        <w:r>
                          <w:rPr>
                            <w:rFonts w:ascii="宋体" w:hAnsi="宋体" w:cs="宋体" w:eastAsia="宋体" w:hint="default"/>
                            <w:sz w:val="18"/>
                            <w:szCs w:val="18"/>
                          </w:rPr>
                          <w:t>借款起始日</w:t>
                        </w:r>
                      </w:p>
                    </w:tc>
                    <w:tc>
                      <w:tcPr>
                        <w:tcW w:w="1062" w:type="dxa"/>
                        <w:tcBorders>
                          <w:top w:val="nil" w:sz="6" w:space="0" w:color="auto"/>
                          <w:left w:val="nil" w:sz="6" w:space="0" w:color="auto"/>
                          <w:bottom w:val="single" w:sz="6" w:space="0" w:color="000000"/>
                          <w:right w:val="nil" w:sz="6" w:space="0" w:color="auto"/>
                        </w:tcBorders>
                      </w:tcPr>
                      <w:p>
                        <w:pPr>
                          <w:pStyle w:val="TableParagraph"/>
                          <w:spacing w:line="240" w:lineRule="auto" w:before="44"/>
                          <w:ind w:left="30" w:right="0"/>
                          <w:jc w:val="center"/>
                          <w:rPr>
                            <w:rFonts w:ascii="宋体" w:hAnsi="宋体" w:cs="宋体" w:eastAsia="宋体" w:hint="default"/>
                            <w:sz w:val="18"/>
                            <w:szCs w:val="18"/>
                          </w:rPr>
                        </w:pPr>
                        <w:r>
                          <w:rPr>
                            <w:rFonts w:ascii="宋体" w:hAnsi="宋体" w:cs="宋体" w:eastAsia="宋体" w:hint="default"/>
                            <w:sz w:val="18"/>
                            <w:szCs w:val="18"/>
                          </w:rPr>
                          <w:t>借款终止日</w:t>
                        </w:r>
                      </w:p>
                    </w:tc>
                    <w:tc>
                      <w:tcPr>
                        <w:tcW w:w="1290" w:type="dxa"/>
                        <w:gridSpan w:val="2"/>
                        <w:tcBorders>
                          <w:top w:val="nil" w:sz="6" w:space="0" w:color="auto"/>
                          <w:left w:val="nil" w:sz="6" w:space="0" w:color="auto"/>
                          <w:bottom w:val="single" w:sz="6" w:space="0" w:color="000000"/>
                          <w:right w:val="nil" w:sz="6" w:space="0" w:color="auto"/>
                        </w:tcBorders>
                      </w:tcPr>
                      <w:p>
                        <w:pPr>
                          <w:pStyle w:val="TableParagraph"/>
                          <w:spacing w:line="240" w:lineRule="auto" w:before="44"/>
                          <w:ind w:left="145" w:right="0"/>
                          <w:jc w:val="left"/>
                          <w:rPr>
                            <w:rFonts w:ascii="Arial" w:hAnsi="Arial" w:cs="Arial" w:eastAsia="Arial" w:hint="default"/>
                            <w:sz w:val="18"/>
                            <w:szCs w:val="18"/>
                          </w:rPr>
                        </w:pPr>
                        <w:r>
                          <w:rPr>
                            <w:rFonts w:ascii="宋体" w:hAnsi="宋体" w:cs="宋体" w:eastAsia="宋体" w:hint="default"/>
                            <w:sz w:val="18"/>
                            <w:szCs w:val="18"/>
                          </w:rPr>
                          <w:t>币种</w:t>
                        </w:r>
                        <w:r>
                          <w:rPr>
                            <w:rFonts w:ascii="宋体" w:hAnsi="宋体" w:cs="宋体" w:eastAsia="宋体" w:hint="default"/>
                            <w:spacing w:val="-19"/>
                            <w:sz w:val="18"/>
                            <w:szCs w:val="18"/>
                          </w:rPr>
                          <w:t> </w:t>
                        </w:r>
                        <w:r>
                          <w:rPr>
                            <w:rFonts w:ascii="宋体" w:hAnsi="宋体" w:cs="宋体" w:eastAsia="宋体" w:hint="default"/>
                            <w:sz w:val="18"/>
                            <w:szCs w:val="18"/>
                          </w:rPr>
                          <w:t>利率</w:t>
                        </w:r>
                        <w:r>
                          <w:rPr>
                            <w:rFonts w:ascii="Arial" w:hAnsi="Arial" w:cs="Arial" w:eastAsia="Arial" w:hint="default"/>
                            <w:sz w:val="18"/>
                            <w:szCs w:val="18"/>
                          </w:rPr>
                          <w:t>(%)</w:t>
                        </w:r>
                      </w:p>
                    </w:tc>
                    <w:tc>
                      <w:tcPr>
                        <w:tcW w:w="2226" w:type="dxa"/>
                        <w:gridSpan w:val="2"/>
                        <w:tcBorders>
                          <w:top w:val="nil" w:sz="6" w:space="0" w:color="auto"/>
                          <w:left w:val="nil" w:sz="6" w:space="0" w:color="auto"/>
                          <w:bottom w:val="single" w:sz="6" w:space="0" w:color="000000"/>
                          <w:right w:val="nil" w:sz="6" w:space="0" w:color="auto"/>
                        </w:tcBorders>
                      </w:tcPr>
                      <w:p>
                        <w:pPr>
                          <w:pStyle w:val="TableParagraph"/>
                          <w:spacing w:line="240" w:lineRule="auto" w:before="44"/>
                          <w:ind w:left="307" w:right="0"/>
                          <w:jc w:val="left"/>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2149" w:type="dxa"/>
                        <w:gridSpan w:val="2"/>
                        <w:tcBorders>
                          <w:top w:val="nil" w:sz="6" w:space="0" w:color="auto"/>
                          <w:left w:val="nil" w:sz="6" w:space="0" w:color="auto"/>
                          <w:bottom w:val="single" w:sz="6" w:space="0" w:color="000000"/>
                          <w:right w:val="nil" w:sz="6" w:space="0" w:color="auto"/>
                        </w:tcBorders>
                      </w:tcPr>
                      <w:p>
                        <w:pPr>
                          <w:pStyle w:val="TableParagraph"/>
                          <w:spacing w:line="240" w:lineRule="auto" w:before="44"/>
                          <w:ind w:left="292" w:right="0"/>
                          <w:jc w:val="lef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r>
                      </w:p>
                    </w:tc>
                  </w:tr>
                  <w:tr>
                    <w:trPr>
                      <w:trHeight w:val="248" w:hRule="exact"/>
                    </w:trPr>
                    <w:tc>
                      <w:tcPr>
                        <w:tcW w:w="1098" w:type="dxa"/>
                        <w:tcBorders>
                          <w:top w:val="single" w:sz="6" w:space="0" w:color="000000"/>
                          <w:left w:val="nil" w:sz="6" w:space="0" w:color="auto"/>
                          <w:bottom w:val="nil" w:sz="6" w:space="0" w:color="auto"/>
                          <w:right w:val="nil" w:sz="6" w:space="0" w:color="auto"/>
                        </w:tcBorders>
                      </w:tcPr>
                      <w:p>
                        <w:pPr/>
                      </w:p>
                    </w:tc>
                    <w:tc>
                      <w:tcPr>
                        <w:tcW w:w="1062" w:type="dxa"/>
                        <w:tcBorders>
                          <w:top w:val="single" w:sz="6" w:space="0" w:color="000000"/>
                          <w:left w:val="nil" w:sz="6" w:space="0" w:color="auto"/>
                          <w:bottom w:val="nil" w:sz="6" w:space="0" w:color="auto"/>
                          <w:right w:val="nil" w:sz="6" w:space="0" w:color="auto"/>
                        </w:tcBorders>
                      </w:tcPr>
                      <w:p>
                        <w:pPr/>
                      </w:p>
                    </w:tc>
                    <w:tc>
                      <w:tcPr>
                        <w:tcW w:w="1290" w:type="dxa"/>
                        <w:gridSpan w:val="2"/>
                        <w:tcBorders>
                          <w:top w:val="single" w:sz="6" w:space="0" w:color="000000"/>
                          <w:left w:val="nil" w:sz="6" w:space="0" w:color="auto"/>
                          <w:bottom w:val="nil" w:sz="6" w:space="0" w:color="auto"/>
                          <w:right w:val="nil" w:sz="6" w:space="0" w:color="auto"/>
                        </w:tcBorders>
                      </w:tcPr>
                      <w:p>
                        <w:pPr/>
                      </w:p>
                    </w:tc>
                    <w:tc>
                      <w:tcPr>
                        <w:tcW w:w="2226" w:type="dxa"/>
                        <w:gridSpan w:val="2"/>
                        <w:tcBorders>
                          <w:top w:val="single" w:sz="6" w:space="0" w:color="000000"/>
                          <w:left w:val="nil" w:sz="6" w:space="0" w:color="auto"/>
                          <w:bottom w:val="single" w:sz="6" w:space="0" w:color="000000"/>
                          <w:right w:val="nil" w:sz="6" w:space="0" w:color="auto"/>
                        </w:tcBorders>
                      </w:tcPr>
                      <w:p>
                        <w:pPr>
                          <w:pStyle w:val="TableParagraph"/>
                          <w:tabs>
                            <w:tab w:pos="1246" w:val="left" w:leader="none"/>
                          </w:tabs>
                          <w:spacing w:line="207" w:lineRule="exact"/>
                          <w:ind w:left="272" w:right="0"/>
                          <w:jc w:val="left"/>
                          <w:rPr>
                            <w:rFonts w:ascii="宋体" w:hAnsi="宋体" w:cs="宋体" w:eastAsia="宋体" w:hint="default"/>
                            <w:sz w:val="18"/>
                            <w:szCs w:val="18"/>
                          </w:rPr>
                        </w:pPr>
                        <w:r>
                          <w:rPr>
                            <w:rFonts w:ascii="宋体" w:hAnsi="宋体" w:cs="宋体" w:eastAsia="宋体" w:hint="default"/>
                            <w:sz w:val="18"/>
                            <w:szCs w:val="18"/>
                          </w:rPr>
                          <w:t>外币金额</w:t>
                          <w:tab/>
                          <w:t>人民币金额</w:t>
                        </w:r>
                      </w:p>
                    </w:tc>
                    <w:tc>
                      <w:tcPr>
                        <w:tcW w:w="2149" w:type="dxa"/>
                        <w:gridSpan w:val="2"/>
                        <w:tcBorders>
                          <w:top w:val="single" w:sz="6" w:space="0" w:color="000000"/>
                          <w:left w:val="nil" w:sz="6" w:space="0" w:color="auto"/>
                          <w:bottom w:val="nil" w:sz="6" w:space="0" w:color="auto"/>
                          <w:right w:val="nil" w:sz="6" w:space="0" w:color="auto"/>
                        </w:tcBorders>
                      </w:tcPr>
                      <w:p>
                        <w:pPr>
                          <w:pStyle w:val="TableParagraph"/>
                          <w:tabs>
                            <w:tab w:pos="1214" w:val="left" w:leader="none"/>
                          </w:tabs>
                          <w:spacing w:line="207" w:lineRule="exact"/>
                          <w:ind w:left="257" w:right="0"/>
                          <w:jc w:val="left"/>
                          <w:rPr>
                            <w:rFonts w:ascii="宋体" w:hAnsi="宋体" w:cs="宋体" w:eastAsia="宋体" w:hint="default"/>
                            <w:sz w:val="18"/>
                            <w:szCs w:val="18"/>
                          </w:rPr>
                        </w:pPr>
                        <w:r>
                          <w:rPr>
                            <w:rFonts w:ascii="宋体" w:hAnsi="宋体" w:cs="宋体" w:eastAsia="宋体" w:hint="default"/>
                            <w:sz w:val="18"/>
                            <w:szCs w:val="18"/>
                          </w:rPr>
                          <w:t>外币金额</w:t>
                          <w:tab/>
                          <w:t>人民币金额</w:t>
                        </w:r>
                      </w:p>
                    </w:tc>
                  </w:tr>
                  <w:tr>
                    <w:trPr>
                      <w:trHeight w:val="691" w:hRule="exact"/>
                    </w:trPr>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00"/>
                          <w:jc w:val="right"/>
                          <w:rPr>
                            <w:rFonts w:ascii="Arial" w:hAnsi="Arial" w:cs="Arial" w:eastAsia="Arial" w:hint="default"/>
                            <w:sz w:val="18"/>
                            <w:szCs w:val="18"/>
                          </w:rPr>
                        </w:pPr>
                        <w:r>
                          <w:rPr>
                            <w:rFonts w:ascii="Arial"/>
                            <w:spacing w:val="-1"/>
                            <w:sz w:val="18"/>
                          </w:rPr>
                          <w:t>1988-08-04</w:t>
                        </w:r>
                        <w:r>
                          <w:rPr>
                            <w:rFonts w:ascii="Arial"/>
                            <w:sz w:val="18"/>
                          </w:rPr>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9" w:right="0"/>
                          <w:jc w:val="center"/>
                          <w:rPr>
                            <w:rFonts w:ascii="Arial" w:hAnsi="Arial" w:cs="Arial" w:eastAsia="Arial" w:hint="default"/>
                            <w:sz w:val="18"/>
                            <w:szCs w:val="18"/>
                          </w:rPr>
                        </w:pPr>
                        <w:r>
                          <w:rPr>
                            <w:rFonts w:ascii="Arial"/>
                            <w:sz w:val="18"/>
                          </w:rPr>
                          <w:t>2018-08-19</w:t>
                        </w:r>
                      </w:p>
                    </w:tc>
                    <w:tc>
                      <w:tcPr>
                        <w:tcW w:w="55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65"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92"/>
                          <w:jc w:val="right"/>
                          <w:rPr>
                            <w:rFonts w:ascii="Arial" w:hAnsi="Arial" w:cs="Arial" w:eastAsia="Arial" w:hint="default"/>
                            <w:sz w:val="18"/>
                            <w:szCs w:val="18"/>
                          </w:rPr>
                        </w:pPr>
                        <w:r>
                          <w:rPr>
                            <w:rFonts w:ascii="Arial"/>
                            <w:spacing w:val="-1"/>
                            <w:w w:val="95"/>
                            <w:sz w:val="18"/>
                          </w:rPr>
                          <w:t>2.50%</w:t>
                        </w:r>
                        <w:r>
                          <w:rPr>
                            <w:rFonts w:ascii="Arial"/>
                            <w:sz w:val="18"/>
                          </w:rPr>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75"/>
                          <w:jc w:val="right"/>
                          <w:rPr>
                            <w:rFonts w:ascii="Arial" w:hAnsi="Arial" w:cs="Arial" w:eastAsia="Arial" w:hint="default"/>
                            <w:sz w:val="18"/>
                            <w:szCs w:val="18"/>
                          </w:rPr>
                        </w:pPr>
                        <w:r>
                          <w:rPr>
                            <w:rFonts w:ascii="Arial"/>
                            <w:spacing w:val="-1"/>
                            <w:sz w:val="18"/>
                          </w:rPr>
                          <w:t>19,021,952</w:t>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49"/>
                          <w:jc w:val="center"/>
                          <w:rPr>
                            <w:rFonts w:ascii="Arial" w:hAnsi="Arial" w:cs="Arial" w:eastAsia="Arial" w:hint="default"/>
                            <w:sz w:val="18"/>
                            <w:szCs w:val="18"/>
                          </w:rPr>
                        </w:pPr>
                        <w:r>
                          <w:rPr>
                            <w:rFonts w:ascii="Arial"/>
                            <w:sz w:val="18"/>
                          </w:rPr>
                          <w:t>186,359,963</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32"/>
                          <w:jc w:val="center"/>
                          <w:rPr>
                            <w:rFonts w:ascii="Arial" w:hAnsi="Arial" w:cs="Arial" w:eastAsia="Arial" w:hint="default"/>
                            <w:sz w:val="18"/>
                            <w:szCs w:val="18"/>
                          </w:rPr>
                        </w:pPr>
                        <w:r>
                          <w:rPr>
                            <w:rFonts w:ascii="Arial"/>
                            <w:sz w:val="18"/>
                          </w:rPr>
                          <w:t>20,506,856</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6" w:right="0"/>
                          <w:jc w:val="center"/>
                          <w:rPr>
                            <w:rFonts w:ascii="Arial" w:hAnsi="Arial" w:cs="Arial" w:eastAsia="Arial" w:hint="default"/>
                            <w:sz w:val="18"/>
                            <w:szCs w:val="18"/>
                          </w:rPr>
                        </w:pPr>
                        <w:r>
                          <w:rPr>
                            <w:rFonts w:ascii="Arial"/>
                            <w:sz w:val="18"/>
                          </w:rPr>
                          <w:t>198,075,727</w:t>
                        </w:r>
                      </w:p>
                    </w:tc>
                  </w:tr>
                  <w:tr>
                    <w:trPr>
                      <w:trHeight w:val="350" w:hRule="exact"/>
                    </w:trPr>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0"/>
                          <w:jc w:val="right"/>
                          <w:rPr>
                            <w:rFonts w:ascii="Arial" w:hAnsi="Arial" w:cs="Arial" w:eastAsia="Arial" w:hint="default"/>
                            <w:sz w:val="18"/>
                            <w:szCs w:val="18"/>
                          </w:rPr>
                        </w:pPr>
                        <w:r>
                          <w:rPr>
                            <w:rFonts w:ascii="Arial"/>
                            <w:spacing w:val="-1"/>
                            <w:sz w:val="18"/>
                          </w:rPr>
                          <w:t>1991-12-31</w:t>
                        </w:r>
                        <w:r>
                          <w:rPr>
                            <w:rFonts w:ascii="Arial"/>
                            <w:sz w:val="18"/>
                          </w:rPr>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9" w:right="0"/>
                          <w:jc w:val="center"/>
                          <w:rPr>
                            <w:rFonts w:ascii="Arial" w:hAnsi="Arial" w:cs="Arial" w:eastAsia="Arial" w:hint="default"/>
                            <w:sz w:val="18"/>
                            <w:szCs w:val="18"/>
                          </w:rPr>
                        </w:pPr>
                        <w:r>
                          <w:rPr>
                            <w:rFonts w:ascii="Arial"/>
                            <w:sz w:val="18"/>
                          </w:rPr>
                          <w:t>2025-06-30</w:t>
                        </w:r>
                      </w:p>
                    </w:tc>
                    <w:tc>
                      <w:tcPr>
                        <w:tcW w:w="556" w:type="dxa"/>
                        <w:tcBorders>
                          <w:top w:val="nil" w:sz="6" w:space="0" w:color="auto"/>
                          <w:left w:val="nil" w:sz="6" w:space="0" w:color="auto"/>
                          <w:bottom w:val="nil" w:sz="6" w:space="0" w:color="auto"/>
                          <w:right w:val="nil" w:sz="6" w:space="0" w:color="auto"/>
                        </w:tcBorders>
                      </w:tcPr>
                      <w:p>
                        <w:pPr>
                          <w:pStyle w:val="TableParagraph"/>
                          <w:spacing w:line="195" w:lineRule="exact"/>
                          <w:ind w:left="65"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92"/>
                          <w:jc w:val="right"/>
                          <w:rPr>
                            <w:rFonts w:ascii="Arial" w:hAnsi="Arial" w:cs="Arial" w:eastAsia="Arial" w:hint="default"/>
                            <w:sz w:val="18"/>
                            <w:szCs w:val="18"/>
                          </w:rPr>
                        </w:pPr>
                        <w:r>
                          <w:rPr>
                            <w:rFonts w:ascii="Arial"/>
                            <w:spacing w:val="-1"/>
                            <w:w w:val="95"/>
                            <w:sz w:val="18"/>
                          </w:rPr>
                          <w:t>2.00%</w:t>
                        </w:r>
                        <w:r>
                          <w:rPr>
                            <w:rFonts w:ascii="Arial"/>
                            <w:sz w:val="18"/>
                          </w:rPr>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75"/>
                          <w:jc w:val="right"/>
                          <w:rPr>
                            <w:rFonts w:ascii="Arial" w:hAnsi="Arial" w:cs="Arial" w:eastAsia="Arial" w:hint="default"/>
                            <w:sz w:val="18"/>
                            <w:szCs w:val="18"/>
                          </w:rPr>
                        </w:pPr>
                        <w:r>
                          <w:rPr>
                            <w:rFonts w:ascii="Arial"/>
                            <w:spacing w:val="-1"/>
                            <w:sz w:val="18"/>
                          </w:rPr>
                          <w:t>11,532,449</w:t>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47"/>
                          <w:jc w:val="center"/>
                          <w:rPr>
                            <w:rFonts w:ascii="Arial" w:hAnsi="Arial" w:cs="Arial" w:eastAsia="Arial" w:hint="default"/>
                            <w:sz w:val="18"/>
                            <w:szCs w:val="18"/>
                          </w:rPr>
                        </w:pPr>
                        <w:r>
                          <w:rPr>
                            <w:rFonts w:ascii="Arial"/>
                            <w:sz w:val="18"/>
                          </w:rPr>
                          <w:t>112,984,555</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4"/>
                          <w:jc w:val="center"/>
                          <w:rPr>
                            <w:rFonts w:ascii="Arial" w:hAnsi="Arial" w:cs="Arial" w:eastAsia="Arial" w:hint="default"/>
                            <w:sz w:val="18"/>
                            <w:szCs w:val="18"/>
                          </w:rPr>
                        </w:pPr>
                        <w:r>
                          <w:rPr>
                            <w:rFonts w:ascii="Arial"/>
                            <w:sz w:val="18"/>
                          </w:rPr>
                          <w:t>12,208,697</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2"/>
                          <w:jc w:val="center"/>
                          <w:rPr>
                            <w:rFonts w:ascii="Arial" w:hAnsi="Arial" w:cs="Arial" w:eastAsia="Arial" w:hint="default"/>
                            <w:sz w:val="18"/>
                            <w:szCs w:val="18"/>
                          </w:rPr>
                        </w:pPr>
                        <w:r>
                          <w:rPr>
                            <w:rFonts w:ascii="Arial"/>
                            <w:sz w:val="18"/>
                          </w:rPr>
                          <w:t>117,936,016</w:t>
                        </w:r>
                      </w:p>
                    </w:tc>
                  </w:tr>
                  <w:tr>
                    <w:trPr>
                      <w:trHeight w:val="467" w:hRule="exact"/>
                    </w:trPr>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00"/>
                          <w:jc w:val="right"/>
                          <w:rPr>
                            <w:rFonts w:ascii="Arial" w:hAnsi="Arial" w:cs="Arial" w:eastAsia="Arial" w:hint="default"/>
                            <w:sz w:val="18"/>
                            <w:szCs w:val="18"/>
                          </w:rPr>
                        </w:pPr>
                        <w:r>
                          <w:rPr>
                            <w:rFonts w:ascii="Arial"/>
                            <w:spacing w:val="-1"/>
                            <w:sz w:val="18"/>
                          </w:rPr>
                          <w:t>1993-02-08</w:t>
                        </w:r>
                        <w:r>
                          <w:rPr>
                            <w:rFonts w:ascii="Arial"/>
                            <w:sz w:val="18"/>
                          </w:rPr>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9" w:right="0"/>
                          <w:jc w:val="center"/>
                          <w:rPr>
                            <w:rFonts w:ascii="Arial" w:hAnsi="Arial" w:cs="Arial" w:eastAsia="Arial" w:hint="default"/>
                            <w:sz w:val="18"/>
                            <w:szCs w:val="18"/>
                          </w:rPr>
                        </w:pPr>
                        <w:r>
                          <w:rPr>
                            <w:rFonts w:ascii="Arial"/>
                            <w:sz w:val="18"/>
                          </w:rPr>
                          <w:t>2032-04-30</w:t>
                        </w:r>
                      </w:p>
                    </w:tc>
                    <w:tc>
                      <w:tcPr>
                        <w:tcW w:w="556" w:type="dxa"/>
                        <w:tcBorders>
                          <w:top w:val="nil" w:sz="6" w:space="0" w:color="auto"/>
                          <w:left w:val="nil" w:sz="6" w:space="0" w:color="auto"/>
                          <w:bottom w:val="nil" w:sz="6" w:space="0" w:color="auto"/>
                          <w:right w:val="nil" w:sz="6" w:space="0" w:color="auto"/>
                        </w:tcBorders>
                      </w:tcPr>
                      <w:p>
                        <w:pPr>
                          <w:pStyle w:val="TableParagraph"/>
                          <w:spacing w:line="240" w:lineRule="auto" w:before="77"/>
                          <w:ind w:left="66"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92"/>
                          <w:jc w:val="right"/>
                          <w:rPr>
                            <w:rFonts w:ascii="Arial" w:hAnsi="Arial" w:cs="Arial" w:eastAsia="Arial" w:hint="default"/>
                            <w:sz w:val="18"/>
                            <w:szCs w:val="18"/>
                          </w:rPr>
                        </w:pPr>
                        <w:r>
                          <w:rPr>
                            <w:rFonts w:ascii="Arial"/>
                            <w:w w:val="99"/>
                            <w:sz w:val="18"/>
                          </w:rPr>
                          <w:t>-</w:t>
                        </w:r>
                        <w:r>
                          <w:rPr>
                            <w:rFonts w:ascii="Arial"/>
                            <w:sz w:val="18"/>
                          </w:rPr>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75"/>
                          <w:jc w:val="right"/>
                          <w:rPr>
                            <w:rFonts w:ascii="Arial" w:hAnsi="Arial" w:cs="Arial" w:eastAsia="Arial" w:hint="default"/>
                            <w:sz w:val="18"/>
                            <w:szCs w:val="18"/>
                          </w:rPr>
                        </w:pPr>
                        <w:r>
                          <w:rPr>
                            <w:rFonts w:ascii="Arial"/>
                            <w:spacing w:val="-1"/>
                            <w:sz w:val="18"/>
                          </w:rPr>
                          <w:t>12,599,840</w:t>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37" w:right="0"/>
                          <w:jc w:val="center"/>
                          <w:rPr>
                            <w:rFonts w:ascii="Arial" w:hAnsi="Arial" w:cs="Arial" w:eastAsia="Arial" w:hint="default"/>
                            <w:sz w:val="18"/>
                            <w:szCs w:val="18"/>
                          </w:rPr>
                        </w:pPr>
                        <w:r>
                          <w:rPr>
                            <w:rFonts w:ascii="Arial"/>
                            <w:sz w:val="18"/>
                          </w:rPr>
                          <w:t>86,034,225</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5"/>
                          <w:jc w:val="center"/>
                          <w:rPr>
                            <w:rFonts w:ascii="Arial" w:hAnsi="Arial" w:cs="Arial" w:eastAsia="Arial" w:hint="default"/>
                            <w:sz w:val="18"/>
                            <w:szCs w:val="18"/>
                          </w:rPr>
                        </w:pPr>
                        <w:r>
                          <w:rPr>
                            <w:rFonts w:ascii="Arial"/>
                            <w:sz w:val="18"/>
                          </w:rPr>
                          <w:t>13,159,640</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27" w:right="0"/>
                          <w:jc w:val="center"/>
                          <w:rPr>
                            <w:rFonts w:ascii="Arial" w:hAnsi="Arial" w:cs="Arial" w:eastAsia="Arial" w:hint="default"/>
                            <w:sz w:val="18"/>
                            <w:szCs w:val="18"/>
                          </w:rPr>
                        </w:pPr>
                        <w:r>
                          <w:rPr>
                            <w:rFonts w:ascii="Arial"/>
                            <w:sz w:val="18"/>
                          </w:rPr>
                          <w:t>89,940,874</w:t>
                        </w:r>
                      </w:p>
                    </w:tc>
                  </w:tr>
                  <w:tr>
                    <w:trPr>
                      <w:trHeight w:val="334" w:hRule="exact"/>
                    </w:trPr>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100"/>
                          <w:jc w:val="right"/>
                          <w:rPr>
                            <w:rFonts w:ascii="Arial" w:hAnsi="Arial" w:cs="Arial" w:eastAsia="Arial" w:hint="default"/>
                            <w:sz w:val="18"/>
                            <w:szCs w:val="18"/>
                          </w:rPr>
                        </w:pPr>
                        <w:r>
                          <w:rPr>
                            <w:rFonts w:ascii="Arial"/>
                            <w:spacing w:val="-1"/>
                            <w:sz w:val="18"/>
                          </w:rPr>
                          <w:t>1993-06-08</w:t>
                        </w:r>
                        <w:r>
                          <w:rPr>
                            <w:rFonts w:ascii="Arial"/>
                            <w:sz w:val="18"/>
                          </w:rPr>
                        </w:r>
                      </w:p>
                    </w:tc>
                    <w:tc>
                      <w:tcPr>
                        <w:tcW w:w="1062"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9" w:right="0"/>
                          <w:jc w:val="center"/>
                          <w:rPr>
                            <w:rFonts w:ascii="Arial" w:hAnsi="Arial" w:cs="Arial" w:eastAsia="Arial" w:hint="default"/>
                            <w:sz w:val="18"/>
                            <w:szCs w:val="18"/>
                          </w:rPr>
                        </w:pPr>
                        <w:r>
                          <w:rPr>
                            <w:rFonts w:ascii="Arial"/>
                            <w:sz w:val="18"/>
                          </w:rPr>
                          <w:t>2032-11-13</w:t>
                        </w:r>
                      </w:p>
                    </w:tc>
                    <w:tc>
                      <w:tcPr>
                        <w:tcW w:w="556" w:type="dxa"/>
                        <w:tcBorders>
                          <w:top w:val="nil" w:sz="6" w:space="0" w:color="auto"/>
                          <w:left w:val="nil" w:sz="6" w:space="0" w:color="auto"/>
                          <w:bottom w:val="nil" w:sz="6" w:space="0" w:color="auto"/>
                          <w:right w:val="nil" w:sz="6" w:space="0" w:color="auto"/>
                        </w:tcBorders>
                      </w:tcPr>
                      <w:p>
                        <w:pPr>
                          <w:pStyle w:val="TableParagraph"/>
                          <w:spacing w:line="240" w:lineRule="auto" w:before="77"/>
                          <w:ind w:left="66"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734"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92"/>
                          <w:jc w:val="right"/>
                          <w:rPr>
                            <w:rFonts w:ascii="Arial" w:hAnsi="Arial" w:cs="Arial" w:eastAsia="Arial" w:hint="default"/>
                            <w:sz w:val="18"/>
                            <w:szCs w:val="18"/>
                          </w:rPr>
                        </w:pPr>
                        <w:r>
                          <w:rPr>
                            <w:rFonts w:ascii="Arial"/>
                            <w:w w:val="99"/>
                            <w:sz w:val="18"/>
                          </w:rPr>
                          <w:t>-</w:t>
                        </w:r>
                        <w:r>
                          <w:rPr>
                            <w:rFonts w:ascii="Arial"/>
                            <w:sz w:val="18"/>
                          </w:rPr>
                        </w:r>
                      </w:p>
                    </w:tc>
                    <w:tc>
                      <w:tcPr>
                        <w:tcW w:w="1022" w:type="dxa"/>
                        <w:tcBorders>
                          <w:top w:val="nil" w:sz="6" w:space="0" w:color="auto"/>
                          <w:left w:val="nil" w:sz="6" w:space="0" w:color="auto"/>
                          <w:bottom w:val="nil" w:sz="6" w:space="0" w:color="auto"/>
                          <w:right w:val="nil" w:sz="6" w:space="0" w:color="auto"/>
                        </w:tcBorders>
                      </w:tcPr>
                      <w:p>
                        <w:pPr>
                          <w:pStyle w:val="TableParagraph"/>
                          <w:spacing w:line="240" w:lineRule="auto" w:before="131"/>
                          <w:ind w:right="75"/>
                          <w:jc w:val="right"/>
                          <w:rPr>
                            <w:rFonts w:ascii="Arial" w:hAnsi="Arial" w:cs="Arial" w:eastAsia="Arial" w:hint="default"/>
                            <w:sz w:val="18"/>
                            <w:szCs w:val="18"/>
                          </w:rPr>
                        </w:pPr>
                        <w:r>
                          <w:rPr>
                            <w:rFonts w:ascii="Arial"/>
                            <w:spacing w:val="-1"/>
                            <w:sz w:val="18"/>
                          </w:rPr>
                          <w:t>8,647,918</w:t>
                        </w:r>
                      </w:p>
                    </w:tc>
                    <w:tc>
                      <w:tcPr>
                        <w:tcW w:w="1204"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36" w:right="0"/>
                          <w:jc w:val="center"/>
                          <w:rPr>
                            <w:rFonts w:ascii="Arial" w:hAnsi="Arial" w:cs="Arial" w:eastAsia="Arial" w:hint="default"/>
                            <w:sz w:val="18"/>
                            <w:szCs w:val="18"/>
                          </w:rPr>
                        </w:pPr>
                        <w:r>
                          <w:rPr>
                            <w:rFonts w:ascii="Arial"/>
                            <w:sz w:val="18"/>
                          </w:rPr>
                          <w:t>59,049,713</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83" w:right="0"/>
                          <w:jc w:val="center"/>
                          <w:rPr>
                            <w:rFonts w:ascii="Arial" w:hAnsi="Arial" w:cs="Arial" w:eastAsia="Arial" w:hint="default"/>
                            <w:sz w:val="18"/>
                            <w:szCs w:val="18"/>
                          </w:rPr>
                        </w:pPr>
                        <w:r>
                          <w:rPr>
                            <w:rFonts w:ascii="Arial"/>
                            <w:sz w:val="18"/>
                          </w:rPr>
                          <w:t>9,023,915</w:t>
                        </w:r>
                      </w:p>
                    </w:tc>
                    <w:tc>
                      <w:tcPr>
                        <w:tcW w:w="1145"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127" w:right="0"/>
                          <w:jc w:val="center"/>
                          <w:rPr>
                            <w:rFonts w:ascii="Arial" w:hAnsi="Arial" w:cs="Arial" w:eastAsia="Arial" w:hint="default"/>
                            <w:sz w:val="18"/>
                            <w:szCs w:val="18"/>
                          </w:rPr>
                        </w:pPr>
                        <w:r>
                          <w:rPr>
                            <w:rFonts w:ascii="Arial"/>
                            <w:sz w:val="18"/>
                          </w:rPr>
                          <w:t>61,674,848</w:t>
                        </w:r>
                      </w:p>
                    </w:tc>
                  </w:tr>
                </w:tbl>
                <w:p>
                  <w:pPr/>
                </w:p>
              </w:txbxContent>
            </v:textbox>
            <w10:wrap type="none"/>
          </v:shape>
        </w:pict>
      </w:r>
      <w:r>
        <w:rPr>
          <w:rFonts w:ascii="宋体" w:hAnsi="宋体" w:cs="宋体" w:eastAsia="宋体" w:hint="default"/>
          <w:sz w:val="18"/>
          <w:szCs w:val="18"/>
        </w:rPr>
        <w:t>中国银行北京 市分行</w:t>
      </w:r>
    </w:p>
    <w:p>
      <w:pPr>
        <w:spacing w:line="232" w:lineRule="exact" w:before="2"/>
        <w:ind w:left="602" w:right="8122" w:hanging="1"/>
        <w:jc w:val="left"/>
        <w:rPr>
          <w:rFonts w:ascii="宋体" w:hAnsi="宋体" w:cs="宋体" w:eastAsia="宋体" w:hint="default"/>
          <w:sz w:val="18"/>
          <w:szCs w:val="18"/>
        </w:rPr>
      </w:pPr>
      <w:r>
        <w:rPr>
          <w:rFonts w:ascii="宋体" w:hAnsi="宋体" w:cs="宋体" w:eastAsia="宋体" w:hint="default"/>
          <w:sz w:val="18"/>
          <w:szCs w:val="18"/>
        </w:rPr>
        <w:t>中国建设银行 中国银行河北</w:t>
      </w:r>
    </w:p>
    <w:p>
      <w:pPr>
        <w:spacing w:line="232" w:lineRule="exact" w:before="2"/>
        <w:ind w:left="602" w:right="8122" w:firstLine="180"/>
        <w:jc w:val="left"/>
        <w:rPr>
          <w:rFonts w:ascii="宋体" w:hAnsi="宋体" w:cs="宋体" w:eastAsia="宋体" w:hint="default"/>
          <w:sz w:val="18"/>
          <w:szCs w:val="18"/>
        </w:rPr>
      </w:pPr>
      <w:r>
        <w:rPr>
          <w:rFonts w:ascii="宋体" w:hAnsi="宋体" w:cs="宋体" w:eastAsia="宋体" w:hint="default"/>
          <w:sz w:val="18"/>
          <w:szCs w:val="18"/>
        </w:rPr>
        <w:t>省分行 中国银行河南</w:t>
      </w:r>
    </w:p>
    <w:p>
      <w:pPr>
        <w:spacing w:line="213" w:lineRule="exact" w:before="0"/>
        <w:ind w:left="782" w:right="97" w:firstLine="0"/>
        <w:jc w:val="left"/>
        <w:rPr>
          <w:rFonts w:ascii="宋体" w:hAnsi="宋体" w:cs="宋体" w:eastAsia="宋体" w:hint="default"/>
          <w:sz w:val="18"/>
          <w:szCs w:val="18"/>
        </w:rPr>
      </w:pPr>
      <w:r>
        <w:rPr>
          <w:rFonts w:ascii="宋体" w:hAnsi="宋体" w:cs="宋体" w:eastAsia="宋体" w:hint="default"/>
          <w:sz w:val="18"/>
          <w:szCs w:val="18"/>
        </w:rPr>
        <w:t>省分行</w:t>
      </w:r>
    </w:p>
    <w:p>
      <w:pPr>
        <w:tabs>
          <w:tab w:pos="4689" w:val="left" w:leader="none"/>
          <w:tab w:pos="5437" w:val="left" w:leader="none"/>
          <w:tab w:pos="6484" w:val="left" w:leader="none"/>
          <w:tab w:pos="7663" w:val="left" w:leader="none"/>
          <w:tab w:pos="8709" w:val="left" w:leader="none"/>
        </w:tabs>
        <w:spacing w:before="0"/>
        <w:ind w:left="602" w:right="97" w:firstLine="0"/>
        <w:jc w:val="left"/>
        <w:rPr>
          <w:rFonts w:ascii="Arial" w:hAnsi="Arial" w:cs="Arial" w:eastAsia="Arial" w:hint="default"/>
          <w:sz w:val="18"/>
          <w:szCs w:val="18"/>
        </w:rPr>
      </w:pPr>
      <w:r>
        <w:rPr>
          <w:rFonts w:ascii="宋体" w:hAnsi="宋体" w:cs="宋体" w:eastAsia="宋体" w:hint="default"/>
          <w:position w:val="1"/>
          <w:sz w:val="18"/>
          <w:szCs w:val="18"/>
        </w:rPr>
        <w:t>西班牙（政府） </w:t>
      </w:r>
      <w:r>
        <w:rPr>
          <w:rFonts w:ascii="Arial" w:hAnsi="Arial" w:cs="Arial" w:eastAsia="Arial" w:hint="default"/>
          <w:spacing w:val="-1"/>
          <w:sz w:val="18"/>
          <w:szCs w:val="18"/>
        </w:rPr>
        <w:t>1993-06-25</w:t>
      </w:r>
      <w:r>
        <w:rPr>
          <w:rFonts w:ascii="Arial" w:hAnsi="Arial" w:cs="Arial" w:eastAsia="Arial" w:hint="default"/>
          <w:sz w:val="18"/>
          <w:szCs w:val="18"/>
        </w:rPr>
        <w:t>    </w:t>
      </w:r>
      <w:r>
        <w:rPr>
          <w:rFonts w:ascii="Arial" w:hAnsi="Arial" w:cs="Arial" w:eastAsia="Arial" w:hint="default"/>
          <w:spacing w:val="-1"/>
          <w:sz w:val="18"/>
          <w:szCs w:val="18"/>
        </w:rPr>
        <w:t>2023-03-16</w:t>
      </w:r>
      <w:r>
        <w:rPr>
          <w:rFonts w:ascii="Arial" w:hAnsi="Arial" w:cs="Arial" w:eastAsia="Arial" w:hint="default"/>
          <w:spacing w:val="34"/>
          <w:sz w:val="18"/>
          <w:szCs w:val="18"/>
        </w:rPr>
        <w:t> </w:t>
      </w:r>
      <w:r>
        <w:rPr>
          <w:rFonts w:ascii="宋体" w:hAnsi="宋体" w:cs="宋体" w:eastAsia="宋体" w:hint="default"/>
          <w:position w:val="1"/>
          <w:sz w:val="18"/>
          <w:szCs w:val="18"/>
        </w:rPr>
        <w:t>美元</w:t>
        <w:tab/>
      </w:r>
      <w:r>
        <w:rPr>
          <w:rFonts w:ascii="Arial" w:hAnsi="Arial" w:cs="Arial" w:eastAsia="Arial" w:hint="default"/>
          <w:spacing w:val="-1"/>
          <w:sz w:val="18"/>
          <w:szCs w:val="18"/>
        </w:rPr>
        <w:t>1.55%</w:t>
        <w:tab/>
        <w:t>8,042,749</w:t>
        <w:tab/>
        <w:t>54,917,500</w:t>
        <w:tab/>
        <w:t>8,639,267</w:t>
        <w:tab/>
        <w:t>59,045,933</w:t>
      </w:r>
    </w:p>
    <w:p>
      <w:pPr>
        <w:pStyle w:val="BodyText"/>
        <w:spacing w:line="240" w:lineRule="auto" w:before="167"/>
        <w:ind w:left="142" w:right="97"/>
        <w:jc w:val="left"/>
      </w:pPr>
      <w:r>
        <w:rPr>
          <w:rFonts w:ascii="Arial" w:hAnsi="Arial" w:cs="Arial" w:eastAsia="Arial" w:hint="default"/>
        </w:rPr>
        <w:t>(b) </w:t>
      </w:r>
      <w:r>
        <w:rPr>
          <w:rFonts w:ascii="Arial" w:hAnsi="Arial" w:cs="Arial" w:eastAsia="Arial" w:hint="default"/>
          <w:spacing w:val="27"/>
        </w:rPr>
        <w:t> </w:t>
      </w:r>
      <w:r>
        <w:rPr/>
        <w:t>长期借款到期日分析如下：</w:t>
      </w:r>
    </w:p>
    <w:p>
      <w:pPr>
        <w:pStyle w:val="BodyText"/>
        <w:tabs>
          <w:tab w:pos="7659" w:val="left" w:leader="none"/>
        </w:tabs>
        <w:spacing w:line="240" w:lineRule="auto" w:before="181"/>
        <w:ind w:left="5170" w:right="97"/>
        <w:jc w:val="left"/>
      </w:pP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tab/>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p>
      <w:pPr>
        <w:spacing w:line="20" w:lineRule="exact"/>
        <w:ind w:left="4733" w:right="0" w:firstLine="0"/>
        <w:rPr>
          <w:rFonts w:ascii="宋体" w:hAnsi="宋体" w:cs="宋体" w:eastAsia="宋体" w:hint="default"/>
          <w:sz w:val="2"/>
          <w:szCs w:val="2"/>
        </w:rPr>
      </w:pPr>
      <w:r>
        <w:rPr>
          <w:rFonts w:ascii="宋体"/>
          <w:sz w:val="2"/>
        </w:rPr>
        <w:pict>
          <v:group style="width:120.45pt;height:.75pt;mso-position-horizontal-relative:char;mso-position-vertical-relative:line" coordorigin="0,0" coordsize="2409,15">
            <v:group style="position:absolute;left:7;top:7;width:2394;height:2" coordorigin="7,7" coordsize="2394,2">
              <v:shape style="position:absolute;left:7;top:7;width:2394;height:2" coordorigin="7,7" coordsize="2394,0" path="m7,7l2401,7e" filled="false" stroked="true" strokeweight=".72pt" strokecolor="#000000">
                <v:path arrowok="t"/>
              </v:shape>
            </v:group>
          </v:group>
        </w:pict>
      </w:r>
      <w:r>
        <w:rPr>
          <w:rFonts w:ascii="宋体"/>
          <w:sz w:val="2"/>
        </w:rPr>
      </w:r>
      <w:r>
        <w:rPr>
          <w:rFonts w:ascii="Times New Roman"/>
          <w:spacing w:val="116"/>
          <w:sz w:val="2"/>
        </w:rPr>
        <w:t> </w:t>
      </w:r>
      <w:r>
        <w:rPr>
          <w:rFonts w:ascii="宋体"/>
          <w:spacing w:val="116"/>
          <w:sz w:val="2"/>
        </w:rPr>
        <w:pict>
          <v:group style="width:118.15pt;height:.75pt;mso-position-horizontal-relative:char;mso-position-vertical-relative:line" coordorigin="0,0" coordsize="2363,15">
            <v:group style="position:absolute;left:7;top:7;width:2349;height:2" coordorigin="7,7" coordsize="2349,2">
              <v:shape style="position:absolute;left:7;top:7;width:2349;height:2" coordorigin="7,7" coordsize="2349,0" path="m7,7l2356,7e" filled="false" stroked="true" strokeweight=".72pt" strokecolor="#000000">
                <v:path arrowok="t"/>
              </v:shape>
            </v:group>
          </v:group>
        </w:pict>
      </w:r>
      <w:r>
        <w:rPr>
          <w:rFonts w:ascii="宋体"/>
          <w:spacing w:val="116"/>
          <w:sz w:val="2"/>
        </w:rPr>
      </w:r>
    </w:p>
    <w:p>
      <w:pPr>
        <w:spacing w:line="240" w:lineRule="auto" w:before="2"/>
        <w:rPr>
          <w:rFonts w:ascii="宋体" w:hAnsi="宋体" w:cs="宋体" w:eastAsia="宋体" w:hint="default"/>
          <w:sz w:val="15"/>
          <w:szCs w:val="15"/>
        </w:rPr>
      </w:pPr>
    </w:p>
    <w:p>
      <w:pPr>
        <w:pStyle w:val="BodyText"/>
        <w:tabs>
          <w:tab w:pos="5861" w:val="left" w:leader="none"/>
          <w:tab w:pos="8394" w:val="left" w:leader="none"/>
        </w:tabs>
        <w:spacing w:line="305" w:lineRule="exact" w:before="27"/>
        <w:ind w:left="601" w:right="97"/>
        <w:jc w:val="left"/>
        <w:rPr>
          <w:rFonts w:ascii="Arial" w:hAnsi="Arial" w:cs="Arial" w:eastAsia="Arial" w:hint="default"/>
        </w:rPr>
      </w:pPr>
      <w:r>
        <w:rPr>
          <w:rFonts w:ascii="Arial" w:hAnsi="Arial" w:cs="Arial" w:eastAsia="Arial" w:hint="default"/>
          <w:position w:val="2"/>
        </w:rPr>
        <w:t>1</w:t>
      </w:r>
      <w:r>
        <w:rPr>
          <w:rFonts w:ascii="Arial" w:hAnsi="Arial" w:cs="Arial" w:eastAsia="Arial" w:hint="default"/>
          <w:spacing w:val="-7"/>
          <w:position w:val="2"/>
        </w:rPr>
        <w:t> </w:t>
      </w:r>
      <w:r>
        <w:rPr>
          <w:position w:val="2"/>
        </w:rPr>
        <w:t>到</w:t>
      </w:r>
      <w:r>
        <w:rPr>
          <w:spacing w:val="-56"/>
          <w:position w:val="2"/>
        </w:rPr>
        <w:t> </w:t>
      </w:r>
      <w:r>
        <w:rPr>
          <w:rFonts w:ascii="Arial" w:hAnsi="Arial" w:cs="Arial" w:eastAsia="Arial" w:hint="default"/>
          <w:position w:val="2"/>
        </w:rPr>
        <w:t>2</w:t>
      </w:r>
      <w:r>
        <w:rPr>
          <w:rFonts w:ascii="Arial" w:hAnsi="Arial" w:cs="Arial" w:eastAsia="Arial" w:hint="default"/>
          <w:spacing w:val="-7"/>
          <w:position w:val="2"/>
        </w:rPr>
        <w:t> </w:t>
      </w:r>
      <w:r>
        <w:rPr>
          <w:position w:val="2"/>
        </w:rPr>
        <w:t>年</w:t>
        <w:tab/>
      </w:r>
      <w:r>
        <w:rPr>
          <w:rFonts w:ascii="Arial" w:hAnsi="Arial" w:cs="Arial" w:eastAsia="Arial" w:hint="default"/>
          <w:w w:val="95"/>
        </w:rPr>
        <w:t>53,808,510</w:t>
        <w:tab/>
      </w:r>
      <w:r>
        <w:rPr>
          <w:rFonts w:ascii="Arial" w:hAnsi="Arial" w:cs="Arial" w:eastAsia="Arial" w:hint="default"/>
        </w:rPr>
        <w:t>95,806,964</w:t>
      </w:r>
    </w:p>
    <w:p>
      <w:pPr>
        <w:pStyle w:val="BodyText"/>
        <w:tabs>
          <w:tab w:pos="5740" w:val="left" w:leader="none"/>
          <w:tab w:pos="8273" w:val="left" w:leader="none"/>
        </w:tabs>
        <w:spacing w:line="285" w:lineRule="exact"/>
        <w:ind w:left="602" w:right="97"/>
        <w:jc w:val="left"/>
        <w:rPr>
          <w:rFonts w:ascii="Arial" w:hAnsi="Arial" w:cs="Arial" w:eastAsia="Arial" w:hint="default"/>
        </w:rPr>
      </w:pPr>
      <w:r>
        <w:rPr>
          <w:rFonts w:ascii="Arial" w:hAnsi="Arial" w:cs="Arial" w:eastAsia="Arial" w:hint="default"/>
          <w:position w:val="2"/>
        </w:rPr>
        <w:t>2</w:t>
      </w:r>
      <w:r>
        <w:rPr>
          <w:rFonts w:ascii="Arial" w:hAnsi="Arial" w:cs="Arial" w:eastAsia="Arial" w:hint="default"/>
          <w:spacing w:val="-7"/>
          <w:position w:val="2"/>
        </w:rPr>
        <w:t> </w:t>
      </w:r>
      <w:r>
        <w:rPr>
          <w:position w:val="2"/>
        </w:rPr>
        <w:t>到</w:t>
      </w:r>
      <w:r>
        <w:rPr>
          <w:spacing w:val="-56"/>
          <w:position w:val="2"/>
        </w:rPr>
        <w:t> </w:t>
      </w:r>
      <w:r>
        <w:rPr>
          <w:rFonts w:ascii="Arial" w:hAnsi="Arial" w:cs="Arial" w:eastAsia="Arial" w:hint="default"/>
          <w:position w:val="2"/>
        </w:rPr>
        <w:t>5</w:t>
      </w:r>
      <w:r>
        <w:rPr>
          <w:rFonts w:ascii="Arial" w:hAnsi="Arial" w:cs="Arial" w:eastAsia="Arial" w:hint="default"/>
          <w:spacing w:val="-7"/>
          <w:position w:val="2"/>
        </w:rPr>
        <w:t> </w:t>
      </w:r>
      <w:r>
        <w:rPr>
          <w:position w:val="2"/>
        </w:rPr>
        <w:t>年</w:t>
        <w:tab/>
      </w:r>
      <w:r>
        <w:rPr>
          <w:rFonts w:ascii="Arial" w:hAnsi="Arial" w:cs="Arial" w:eastAsia="Arial" w:hint="default"/>
          <w:w w:val="95"/>
        </w:rPr>
        <w:t>164,764,553</w:t>
        <w:tab/>
      </w:r>
      <w:r>
        <w:rPr>
          <w:rFonts w:ascii="Arial" w:hAnsi="Arial" w:cs="Arial" w:eastAsia="Arial" w:hint="default"/>
        </w:rPr>
        <w:t>287,420,380</w:t>
      </w:r>
    </w:p>
    <w:p>
      <w:pPr>
        <w:pStyle w:val="BodyText"/>
        <w:tabs>
          <w:tab w:pos="4740" w:val="left" w:leader="none"/>
          <w:tab w:pos="5740" w:val="left" w:leader="none"/>
          <w:tab w:pos="8273" w:val="left" w:leader="none"/>
          <w:tab w:pos="9622" w:val="left" w:leader="none"/>
        </w:tabs>
        <w:spacing w:line="305" w:lineRule="exact"/>
        <w:ind w:left="602" w:right="97"/>
        <w:jc w:val="left"/>
        <w:rPr>
          <w:rFonts w:ascii="Arial" w:hAnsi="Arial" w:cs="Arial" w:eastAsia="Arial" w:hint="default"/>
        </w:rPr>
      </w:pPr>
      <w:r>
        <w:rPr>
          <w:rFonts w:ascii="Arial" w:hAnsi="Arial" w:cs="Arial" w:eastAsia="Arial" w:hint="default"/>
          <w:position w:val="2"/>
        </w:rPr>
        <w:t>5</w:t>
      </w:r>
      <w:r>
        <w:rPr>
          <w:rFonts w:ascii="Arial" w:hAnsi="Arial" w:cs="Arial" w:eastAsia="Arial" w:hint="default"/>
          <w:spacing w:val="-8"/>
          <w:position w:val="2"/>
        </w:rPr>
        <w:t> </w:t>
      </w:r>
      <w:r>
        <w:rPr>
          <w:position w:val="2"/>
        </w:rPr>
        <w:t>年以上</w:t>
        <w:tab/>
      </w:r>
      <w:r>
        <w:rPr>
          <w:rFonts w:ascii="Arial" w:hAnsi="Arial" w:cs="Arial" w:eastAsia="Arial" w:hint="default"/>
        </w:rPr>
      </w:r>
      <w:r>
        <w:rPr>
          <w:rFonts w:ascii="Arial" w:hAnsi="Arial" w:cs="Arial" w:eastAsia="Arial" w:hint="default"/>
          <w:u w:val="single" w:color="000000"/>
        </w:rPr>
        <w:t> </w:t>
        <w:tab/>
      </w:r>
      <w:r>
        <w:rPr>
          <w:rFonts w:ascii="Arial" w:hAnsi="Arial" w:cs="Arial" w:eastAsia="Arial" w:hint="default"/>
          <w:w w:val="95"/>
          <w:u w:val="single" w:color="000000"/>
        </w:rPr>
        <w:t>540,882,244</w:t>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614,085,134</w:t>
        <w:tab/>
      </w:r>
      <w:r>
        <w:rPr>
          <w:rFonts w:ascii="Arial" w:hAnsi="Arial" w:cs="Arial" w:eastAsia="Arial" w:hint="default"/>
        </w:rPr>
      </w:r>
    </w:p>
    <w:p>
      <w:pPr>
        <w:spacing w:line="240" w:lineRule="auto" w:before="7"/>
        <w:rPr>
          <w:rFonts w:ascii="Arial" w:hAnsi="Arial" w:cs="Arial" w:eastAsia="Arial" w:hint="default"/>
          <w:sz w:val="17"/>
          <w:szCs w:val="17"/>
        </w:rPr>
      </w:pPr>
    </w:p>
    <w:p>
      <w:pPr>
        <w:pStyle w:val="BodyText"/>
        <w:tabs>
          <w:tab w:pos="5740" w:val="left" w:leader="none"/>
          <w:tab w:pos="8273" w:val="left" w:leader="none"/>
        </w:tabs>
        <w:spacing w:line="240" w:lineRule="auto" w:before="27"/>
        <w:ind w:left="601" w:right="97"/>
        <w:jc w:val="left"/>
        <w:rPr>
          <w:rFonts w:ascii="Arial" w:hAnsi="Arial" w:cs="Arial" w:eastAsia="Arial" w:hint="default"/>
        </w:rPr>
      </w:pPr>
      <w:r>
        <w:rPr>
          <w:w w:val="95"/>
          <w:position w:val="2"/>
        </w:rPr>
        <w:t>合计</w:t>
        <w:tab/>
      </w:r>
      <w:r>
        <w:rPr>
          <w:rFonts w:ascii="Arial" w:hAnsi="Arial" w:cs="Arial" w:eastAsia="Arial" w:hint="default"/>
          <w:w w:val="95"/>
        </w:rPr>
        <w:t>759,455,307</w:t>
        <w:tab/>
      </w:r>
      <w:r>
        <w:rPr>
          <w:rFonts w:ascii="Arial" w:hAnsi="Arial" w:cs="Arial" w:eastAsia="Arial" w:hint="default"/>
        </w:rPr>
        <w:t>997,312,478</w:t>
      </w:r>
    </w:p>
    <w:p>
      <w:pPr>
        <w:spacing w:line="43" w:lineRule="exact"/>
        <w:ind w:left="4726" w:right="0" w:firstLine="0"/>
        <w:rPr>
          <w:rFonts w:ascii="Arial" w:hAnsi="Arial" w:cs="Arial" w:eastAsia="Arial" w:hint="default"/>
          <w:sz w:val="4"/>
          <w:szCs w:val="4"/>
        </w:rPr>
      </w:pPr>
      <w:r>
        <w:rPr>
          <w:rFonts w:ascii="Arial"/>
          <w:position w:val="0"/>
          <w:sz w:val="4"/>
        </w:rPr>
        <w:pict>
          <v:group style="width:121.15pt;height:2.2pt;mso-position-horizontal-relative:char;mso-position-vertical-relative:line" coordorigin="0,0" coordsize="2423,44">
            <v:group style="position:absolute;left:7;top:36;width:2409;height:2" coordorigin="7,36" coordsize="2409,2">
              <v:shape style="position:absolute;left:7;top:36;width:2409;height:2" coordorigin="7,36" coordsize="2409,0" path="m7,36l2416,36e" filled="false" stroked="true" strokeweight=".72pt" strokecolor="#000000">
                <v:path arrowok="t"/>
              </v:shape>
            </v:group>
            <v:group style="position:absolute;left:7;top:7;width:2409;height:2" coordorigin="7,7" coordsize="2409,2">
              <v:shape style="position:absolute;left:7;top:7;width:2409;height:2" coordorigin="7,7" coordsize="2409,0" path="m7,7l2416,7e" filled="false" stroked="true" strokeweight=".72pt" strokecolor="#000000">
                <v:path arrowok="t"/>
              </v:shape>
            </v:group>
          </v:group>
        </w:pict>
      </w:r>
      <w:r>
        <w:rPr>
          <w:rFonts w:ascii="Arial"/>
          <w:position w:val="0"/>
          <w:sz w:val="4"/>
        </w:rPr>
      </w:r>
      <w:r>
        <w:rPr>
          <w:rFonts w:ascii="Times New Roman"/>
          <w:spacing w:val="95"/>
          <w:position w:val="0"/>
          <w:sz w:val="4"/>
        </w:rPr>
        <w:t> </w:t>
      </w:r>
      <w:r>
        <w:rPr>
          <w:rFonts w:ascii="Arial"/>
          <w:spacing w:val="95"/>
          <w:position w:val="0"/>
          <w:sz w:val="4"/>
        </w:rPr>
        <w:pict>
          <v:group style="width:118.9pt;height:2.2pt;mso-position-horizontal-relative:char;mso-position-vertical-relative:line" coordorigin="0,0" coordsize="2378,44">
            <v:group style="position:absolute;left:7;top:36;width:2363;height:2" coordorigin="7,36" coordsize="2363,2">
              <v:shape style="position:absolute;left:7;top:36;width:2363;height:2" coordorigin="7,36" coordsize="2363,0" path="m7,36l2370,36e" filled="false" stroked="true" strokeweight=".72pt" strokecolor="#000000">
                <v:path arrowok="t"/>
              </v:shape>
            </v:group>
            <v:group style="position:absolute;left:7;top:7;width:2363;height:2" coordorigin="7,7" coordsize="2363,2">
              <v:shape style="position:absolute;left:7;top:7;width:2363;height:2" coordorigin="7,7" coordsize="2363,0" path="m7,7l2370,7e" filled="false" stroked="true" strokeweight=".72pt" strokecolor="#000000">
                <v:path arrowok="t"/>
              </v:shape>
            </v:group>
          </v:group>
        </w:pict>
      </w:r>
      <w:r>
        <w:rPr>
          <w:rFonts w:ascii="Arial"/>
          <w:spacing w:val="95"/>
          <w:position w:val="0"/>
          <w:sz w:val="4"/>
        </w:rPr>
      </w:r>
    </w:p>
    <w:p>
      <w:pPr>
        <w:spacing w:line="240" w:lineRule="auto" w:before="10"/>
        <w:rPr>
          <w:rFonts w:ascii="Arial" w:hAnsi="Arial" w:cs="Arial" w:eastAsia="Arial" w:hint="default"/>
          <w:sz w:val="11"/>
          <w:szCs w:val="11"/>
        </w:rPr>
      </w:pPr>
    </w:p>
    <w:p>
      <w:pPr>
        <w:pStyle w:val="BodyText"/>
        <w:spacing w:line="284" w:lineRule="exact" w:before="61"/>
        <w:ind w:left="561" w:right="102"/>
        <w:jc w:val="left"/>
      </w:pP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日，长期借款的年利率范围为</w:t>
      </w:r>
      <w:r>
        <w:rPr>
          <w:spacing w:val="-56"/>
        </w:rPr>
        <w:t> </w:t>
      </w:r>
      <w:r>
        <w:rPr>
          <w:rFonts w:ascii="Arial" w:hAnsi="Arial" w:cs="Arial" w:eastAsia="Arial" w:hint="default"/>
        </w:rPr>
        <w:t>0~5.00%</w:t>
      </w:r>
      <w:r>
        <w:rPr/>
        <w:t>（</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r>
        <w:rPr>
          <w:rFonts w:ascii="Arial" w:hAnsi="Arial" w:cs="Arial" w:eastAsia="Arial" w:hint="default"/>
        </w:rPr>
        <w:t>0-6.80%</w:t>
      </w:r>
      <w:r>
        <w:rPr/>
        <w:t>。</w:t>
      </w:r>
      <w:r>
        <w:rPr>
          <w:w w:val="99"/>
        </w:rPr>
        <w:t> </w:t>
      </w:r>
      <w:r>
        <w:rPr/>
        <w:t>其中，零利率的借款来自经中国银行转贷的外国政府无息借款）。</w:t>
      </w:r>
    </w:p>
    <w:p>
      <w:pPr>
        <w:pStyle w:val="BodyText"/>
        <w:spacing w:line="240" w:lineRule="auto" w:before="172"/>
        <w:ind w:left="561" w:right="0"/>
        <w:jc w:val="left"/>
      </w:pP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日，本集团无已到期但尚未偿还的长期借款（</w:t>
      </w:r>
      <w:r>
        <w:rPr>
          <w:rFonts w:ascii="Arial" w:hAnsi="Arial" w:cs="Arial" w:eastAsia="Arial" w:hint="default"/>
        </w:rPr>
        <w:t>2008</w:t>
      </w:r>
      <w:r>
        <w:rPr>
          <w:rFonts w:ascii="Arial" w:hAnsi="Arial" w:cs="Arial" w:eastAsia="Arial" w:hint="default"/>
          <w:spacing w:val="-6"/>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日：无）。</w:t>
      </w:r>
    </w:p>
    <w:p>
      <w:pPr>
        <w:pStyle w:val="BodyText"/>
        <w:tabs>
          <w:tab w:pos="589" w:val="left" w:leader="none"/>
        </w:tabs>
        <w:spacing w:line="240" w:lineRule="auto" w:before="181"/>
        <w:ind w:left="127" w:right="97"/>
        <w:jc w:val="left"/>
      </w:pPr>
      <w:r>
        <w:rPr>
          <w:rFonts w:ascii="Arial" w:hAnsi="Arial" w:cs="Arial" w:eastAsia="Arial" w:hint="default"/>
          <w:w w:val="95"/>
        </w:rPr>
        <w:t>(c)</w:t>
        <w:tab/>
      </w:r>
      <w:r>
        <w:rPr/>
        <w:t>长期借款非流动部分的公允价值分析如下：</w:t>
      </w:r>
    </w:p>
    <w:p>
      <w:pPr>
        <w:pStyle w:val="BodyText"/>
        <w:tabs>
          <w:tab w:pos="5158" w:val="left" w:leader="none"/>
          <w:tab w:pos="7675" w:val="left" w:leader="none"/>
        </w:tabs>
        <w:spacing w:line="240" w:lineRule="auto" w:before="182"/>
        <w:ind w:left="617" w:right="97"/>
        <w:jc w:val="left"/>
      </w:pPr>
      <w:r>
        <w:rPr>
          <w:w w:val="95"/>
        </w:rPr>
        <w:t>（单位：人民币百万元）</w:t>
        <w:tab/>
      </w:r>
      <w:r>
        <w:rPr>
          <w:rFonts w:ascii="Arial" w:hAnsi="Arial" w:cs="Arial" w:eastAsia="Arial" w:hint="default"/>
        </w:rPr>
        <w:t>2009</w:t>
      </w:r>
      <w:r>
        <w:rPr>
          <w:rFonts w:ascii="Arial" w:hAnsi="Arial" w:cs="Arial" w:eastAsia="Arial" w:hint="default"/>
          <w:spacing w:val="-17"/>
        </w:rPr>
        <w:t> </w:t>
      </w:r>
      <w:r>
        <w:rPr/>
        <w:t>年</w:t>
      </w:r>
      <w:r>
        <w:rPr>
          <w:spacing w:val="-66"/>
        </w:rPr>
        <w:t> </w:t>
      </w:r>
      <w:r>
        <w:rPr>
          <w:rFonts w:ascii="Arial" w:hAnsi="Arial" w:cs="Arial" w:eastAsia="Arial" w:hint="default"/>
        </w:rPr>
        <w:t>12</w:t>
      </w:r>
      <w:r>
        <w:rPr>
          <w:rFonts w:ascii="Arial" w:hAnsi="Arial" w:cs="Arial" w:eastAsia="Arial" w:hint="default"/>
          <w:spacing w:val="-17"/>
        </w:rPr>
        <w:t> </w:t>
      </w:r>
      <w:r>
        <w:rPr/>
        <w:t>月</w:t>
      </w:r>
      <w:r>
        <w:rPr>
          <w:spacing w:val="-66"/>
        </w:rPr>
        <w:t> </w:t>
      </w:r>
      <w:r>
        <w:rPr>
          <w:rFonts w:ascii="Arial" w:hAnsi="Arial" w:cs="Arial" w:eastAsia="Arial" w:hint="default"/>
        </w:rPr>
        <w:t>31</w:t>
      </w:r>
      <w:r>
        <w:rPr>
          <w:rFonts w:ascii="Arial" w:hAnsi="Arial" w:cs="Arial" w:eastAsia="Arial" w:hint="default"/>
          <w:spacing w:val="-17"/>
        </w:rPr>
        <w:t> </w:t>
      </w:r>
      <w:r>
        <w:rPr/>
        <w:t>日</w:t>
        <w:tab/>
      </w:r>
      <w:r>
        <w:rPr>
          <w:rFonts w:ascii="Arial" w:hAnsi="Arial" w:cs="Arial" w:eastAsia="Arial" w:hint="default"/>
        </w:rPr>
        <w:t>2008</w:t>
      </w:r>
      <w:r>
        <w:rPr>
          <w:rFonts w:ascii="Arial" w:hAnsi="Arial" w:cs="Arial" w:eastAsia="Arial" w:hint="default"/>
          <w:spacing w:val="-23"/>
        </w:rPr>
        <w:t> </w:t>
      </w:r>
      <w:r>
        <w:rPr/>
        <w:t>年</w:t>
      </w:r>
      <w:r>
        <w:rPr>
          <w:spacing w:val="-72"/>
        </w:rPr>
        <w:t> </w:t>
      </w:r>
      <w:r>
        <w:rPr>
          <w:rFonts w:ascii="Arial" w:hAnsi="Arial" w:cs="Arial" w:eastAsia="Arial" w:hint="default"/>
        </w:rPr>
        <w:t>12</w:t>
      </w:r>
      <w:r>
        <w:rPr>
          <w:rFonts w:ascii="Arial" w:hAnsi="Arial" w:cs="Arial" w:eastAsia="Arial" w:hint="default"/>
          <w:spacing w:val="-23"/>
        </w:rPr>
        <w:t> </w:t>
      </w:r>
      <w:r>
        <w:rPr/>
        <w:t>月</w:t>
      </w:r>
      <w:r>
        <w:rPr>
          <w:spacing w:val="-72"/>
        </w:rPr>
        <w:t> </w:t>
      </w:r>
      <w:r>
        <w:rPr>
          <w:rFonts w:ascii="Arial" w:hAnsi="Arial" w:cs="Arial" w:eastAsia="Arial" w:hint="default"/>
        </w:rPr>
        <w:t>31</w:t>
      </w:r>
      <w:r>
        <w:rPr>
          <w:rFonts w:ascii="Arial" w:hAnsi="Arial" w:cs="Arial" w:eastAsia="Arial" w:hint="default"/>
          <w:spacing w:val="-23"/>
        </w:rPr>
        <w:t> </w:t>
      </w:r>
      <w:r>
        <w:rPr/>
        <w:t>日</w:t>
      </w:r>
    </w:p>
    <w:p>
      <w:pPr>
        <w:spacing w:line="20" w:lineRule="exact"/>
        <w:ind w:left="4649" w:right="0" w:firstLine="0"/>
        <w:rPr>
          <w:rFonts w:ascii="宋体" w:hAnsi="宋体" w:cs="宋体" w:eastAsia="宋体" w:hint="default"/>
          <w:sz w:val="2"/>
          <w:szCs w:val="2"/>
        </w:rPr>
      </w:pPr>
      <w:r>
        <w:rPr>
          <w:rFonts w:ascii="宋体"/>
          <w:sz w:val="2"/>
        </w:rPr>
        <w:pict>
          <v:group style="width:121.1pt;height:.75pt;mso-position-horizontal-relative:char;mso-position-vertical-relative:line" coordorigin="0,0" coordsize="2422,15">
            <v:group style="position:absolute;left:7;top:7;width:2408;height:2" coordorigin="7,7" coordsize="2408,2">
              <v:shape style="position:absolute;left:7;top:7;width:2408;height:2" coordorigin="7,7" coordsize="2408,0" path="m7,7l2414,7e" filled="false" stroked="true" strokeweight=".72pt" strokecolor="#000000">
                <v:path arrowok="t"/>
              </v:shape>
            </v:group>
          </v:group>
        </w:pict>
      </w:r>
      <w:r>
        <w:rPr>
          <w:rFonts w:ascii="宋体"/>
          <w:sz w:val="2"/>
        </w:rPr>
      </w:r>
      <w:r>
        <w:rPr>
          <w:rFonts w:ascii="Times New Roman"/>
          <w:spacing w:val="90"/>
          <w:sz w:val="2"/>
        </w:rPr>
        <w:t> </w:t>
      </w:r>
      <w:r>
        <w:rPr>
          <w:rFonts w:ascii="宋体"/>
          <w:spacing w:val="90"/>
          <w:sz w:val="2"/>
        </w:rPr>
        <w:pict>
          <v:group style="width:119.55pt;height:.75pt;mso-position-horizontal-relative:char;mso-position-vertical-relative:line" coordorigin="0,0" coordsize="2391,15">
            <v:group style="position:absolute;left:7;top:7;width:2376;height:2" coordorigin="7,7" coordsize="2376,2">
              <v:shape style="position:absolute;left:7;top:7;width:2376;height:2" coordorigin="7,7" coordsize="2376,0" path="m7,7l2383,7e" filled="false" stroked="true" strokeweight=".72pt" strokecolor="#000000">
                <v:path arrowok="t"/>
              </v:shape>
            </v:group>
          </v:group>
        </w:pict>
      </w:r>
      <w:r>
        <w:rPr>
          <w:rFonts w:ascii="宋体"/>
          <w:spacing w:val="90"/>
          <w:sz w:val="2"/>
        </w:rPr>
      </w:r>
    </w:p>
    <w:p>
      <w:pPr>
        <w:spacing w:line="240" w:lineRule="auto" w:before="8"/>
        <w:rPr>
          <w:rFonts w:ascii="宋体" w:hAnsi="宋体" w:cs="宋体" w:eastAsia="宋体" w:hint="default"/>
          <w:sz w:val="17"/>
          <w:szCs w:val="17"/>
        </w:rPr>
      </w:pPr>
    </w:p>
    <w:p>
      <w:pPr>
        <w:pStyle w:val="BodyText"/>
        <w:tabs>
          <w:tab w:pos="6591" w:val="left" w:leader="none"/>
          <w:tab w:pos="9528" w:val="right" w:leader="none"/>
        </w:tabs>
        <w:spacing w:line="240" w:lineRule="auto" w:before="27"/>
        <w:ind w:left="590" w:right="0"/>
        <w:jc w:val="left"/>
        <w:rPr>
          <w:rFonts w:ascii="Arial" w:hAnsi="Arial" w:cs="Arial" w:eastAsia="Arial" w:hint="default"/>
        </w:rPr>
      </w:pPr>
      <w:r>
        <w:rPr/>
        <w:pict>
          <v:group style="position:absolute;margin-left:294.119995pt;margin-top:17.71837pt;width:121.8pt;height:2.2pt;mso-position-horizontal-relative:page;mso-position-vertical-relative:paragraph;z-index:5224" coordorigin="5882,354" coordsize="2436,44">
            <v:group style="position:absolute;left:5890;top:390;width:2422;height:2" coordorigin="5890,390" coordsize="2422,2">
              <v:shape style="position:absolute;left:5890;top:390;width:2422;height:2" coordorigin="5890,390" coordsize="2422,0" path="m5890,390l8311,390e" filled="false" stroked="true" strokeweight=".72pt" strokecolor="#000000">
                <v:path arrowok="t"/>
              </v:shape>
            </v:group>
            <v:group style="position:absolute;left:5890;top:362;width:2422;height:2" coordorigin="5890,362" coordsize="2422,2">
              <v:shape style="position:absolute;left:5890;top:362;width:2422;height:2" coordorigin="5890,362" coordsize="2422,0" path="m5890,362l8311,362e" filled="false" stroked="true" strokeweight=".72pt" strokecolor="#000000">
                <v:path arrowok="t"/>
              </v:shape>
            </v:group>
            <w10:wrap type="none"/>
          </v:group>
        </w:pict>
      </w:r>
      <w:r>
        <w:rPr/>
        <w:pict>
          <v:group style="position:absolute;margin-left:420.119995pt;margin-top:17.71837pt;width:120.25pt;height:2.2pt;mso-position-horizontal-relative:page;mso-position-vertical-relative:paragraph;z-index:5248" coordorigin="8402,354" coordsize="2405,44">
            <v:group style="position:absolute;left:8410;top:390;width:2391;height:2" coordorigin="8410,390" coordsize="2391,2">
              <v:shape style="position:absolute;left:8410;top:390;width:2391;height:2" coordorigin="8410,390" coordsize="2391,0" path="m8410,390l10800,390e" filled="false" stroked="true" strokeweight=".72pt" strokecolor="#000000">
                <v:path arrowok="t"/>
              </v:shape>
            </v:group>
            <v:group style="position:absolute;left:8410;top:362;width:2391;height:2" coordorigin="8410,362" coordsize="2391,2">
              <v:shape style="position:absolute;left:8410;top:362;width:2391;height:2" coordorigin="8410,362" coordsize="2391,0" path="m8410,362l10800,362e" filled="false" stroked="true" strokeweight=".72pt" strokecolor="#000000">
                <v:path arrowok="t"/>
              </v:shape>
            </v:group>
            <w10:wrap type="none"/>
          </v:group>
        </w:pict>
      </w:r>
      <w:r>
        <w:rPr>
          <w:w w:val="95"/>
          <w:position w:val="2"/>
        </w:rPr>
        <w:t>长期借款非流动部分公允价值</w:t>
        <w:tab/>
      </w:r>
      <w:r>
        <w:rPr>
          <w:rFonts w:ascii="Arial" w:hAnsi="Arial" w:cs="Arial" w:eastAsia="Arial" w:hint="default"/>
        </w:rPr>
        <w:t>552</w:t>
        <w:tab/>
        <w:t>690</w:t>
      </w:r>
    </w:p>
    <w:p>
      <w:pPr>
        <w:pStyle w:val="BodyText"/>
        <w:spacing w:line="294" w:lineRule="exact" w:before="211"/>
        <w:ind w:left="590" w:right="97"/>
        <w:jc w:val="left"/>
      </w:pPr>
      <w:r>
        <w:rPr/>
        <w:t>于</w:t>
      </w:r>
      <w:r>
        <w:rPr>
          <w:spacing w:val="-60"/>
        </w:rPr>
        <w:t> </w:t>
      </w:r>
      <w:r>
        <w:rPr>
          <w:rFonts w:ascii="Arial" w:hAnsi="Arial" w:cs="Arial" w:eastAsia="Arial" w:hint="default"/>
        </w:rPr>
        <w:t>2009</w:t>
      </w:r>
      <w:r>
        <w:rPr>
          <w:rFonts w:ascii="Arial" w:hAnsi="Arial" w:cs="Arial" w:eastAsia="Arial" w:hint="default"/>
          <w:spacing w:val="-11"/>
        </w:rPr>
        <w:t> </w:t>
      </w:r>
      <w:r>
        <w:rPr/>
        <w:t>年</w:t>
      </w:r>
      <w:r>
        <w:rPr>
          <w:spacing w:val="-60"/>
        </w:rPr>
        <w:t> </w:t>
      </w:r>
      <w:r>
        <w:rPr>
          <w:rFonts w:ascii="Arial" w:hAnsi="Arial" w:cs="Arial" w:eastAsia="Arial" w:hint="default"/>
        </w:rPr>
        <w:t>12</w:t>
      </w:r>
      <w:r>
        <w:rPr>
          <w:rFonts w:ascii="Arial" w:hAnsi="Arial" w:cs="Arial" w:eastAsia="Arial" w:hint="default"/>
          <w:spacing w:val="-11"/>
        </w:rPr>
        <w:t> </w:t>
      </w:r>
      <w:r>
        <w:rPr/>
        <w:t>月</w:t>
      </w:r>
      <w:r>
        <w:rPr>
          <w:spacing w:val="-60"/>
        </w:rPr>
        <w:t> </w:t>
      </w:r>
      <w:r>
        <w:rPr>
          <w:rFonts w:ascii="Arial" w:hAnsi="Arial" w:cs="Arial" w:eastAsia="Arial" w:hint="default"/>
        </w:rPr>
        <w:t>31</w:t>
      </w:r>
      <w:r>
        <w:rPr>
          <w:rFonts w:ascii="Arial" w:hAnsi="Arial" w:cs="Arial" w:eastAsia="Arial" w:hint="default"/>
          <w:spacing w:val="-11"/>
        </w:rPr>
        <w:t> </w:t>
      </w:r>
      <w:r>
        <w:rPr/>
        <w:t>日，上述公允价值以现金流量按市场利率</w:t>
      </w:r>
      <w:r>
        <w:rPr>
          <w:spacing w:val="-60"/>
        </w:rPr>
        <w:t> </w:t>
      </w:r>
      <w:r>
        <w:rPr>
          <w:rFonts w:ascii="Arial" w:hAnsi="Arial" w:cs="Arial" w:eastAsia="Arial" w:hint="default"/>
        </w:rPr>
        <w:t>4.48%</w:t>
      </w:r>
      <w:r>
        <w:rPr/>
        <w:t>至</w:t>
      </w:r>
      <w:r>
        <w:rPr>
          <w:spacing w:val="-60"/>
        </w:rPr>
        <w:t> </w:t>
      </w:r>
      <w:r>
        <w:rPr>
          <w:rFonts w:ascii="Arial" w:hAnsi="Arial" w:cs="Arial" w:eastAsia="Arial" w:hint="default"/>
          <w:spacing w:val="-4"/>
        </w:rPr>
        <w:t>4.72%</w:t>
      </w:r>
      <w:r>
        <w:rPr>
          <w:spacing w:val="-4"/>
        </w:rPr>
        <w:t>来折算（</w:t>
      </w:r>
      <w:r>
        <w:rPr>
          <w:rFonts w:ascii="Arial" w:hAnsi="Arial" w:cs="Arial" w:eastAsia="Arial" w:hint="default"/>
          <w:spacing w:val="-4"/>
        </w:rPr>
        <w:t>2008</w:t>
      </w:r>
      <w:r>
        <w:rPr>
          <w:rFonts w:ascii="Arial" w:hAnsi="Arial" w:cs="Arial" w:eastAsia="Arial" w:hint="default"/>
          <w:spacing w:val="-11"/>
        </w:rPr>
        <w:t> </w:t>
      </w:r>
      <w:r>
        <w:rPr/>
        <w:t>年</w:t>
      </w:r>
    </w:p>
    <w:p>
      <w:pPr>
        <w:pStyle w:val="BodyText"/>
        <w:spacing w:line="294" w:lineRule="exact"/>
        <w:ind w:left="589" w:right="97"/>
        <w:jc w:val="left"/>
      </w:pP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t>日：</w:t>
      </w:r>
      <w:r>
        <w:rPr>
          <w:rFonts w:ascii="Arial" w:hAnsi="Arial" w:cs="Arial" w:eastAsia="Arial" w:hint="default"/>
        </w:rPr>
        <w:t>4.59%</w:t>
      </w:r>
      <w:r>
        <w:rPr/>
        <w:t>至</w:t>
      </w:r>
      <w:r>
        <w:rPr>
          <w:spacing w:val="-57"/>
        </w:rPr>
        <w:t> </w:t>
      </w:r>
      <w:r>
        <w:rPr>
          <w:rFonts w:ascii="Arial" w:hAnsi="Arial" w:cs="Arial" w:eastAsia="Arial" w:hint="default"/>
        </w:rPr>
        <w:t>6.56%</w:t>
      </w:r>
      <w:r>
        <w:rPr/>
        <w:t>）。</w:t>
      </w:r>
    </w:p>
    <w:p>
      <w:pPr>
        <w:spacing w:line="240" w:lineRule="auto" w:before="7"/>
        <w:rPr>
          <w:rFonts w:ascii="宋体" w:hAnsi="宋体" w:cs="宋体" w:eastAsia="宋体" w:hint="default"/>
          <w:sz w:val="15"/>
          <w:szCs w:val="15"/>
        </w:rPr>
      </w:pPr>
    </w:p>
    <w:tbl>
      <w:tblPr>
        <w:tblW w:w="0" w:type="auto"/>
        <w:jc w:val="left"/>
        <w:tblInd w:w="107" w:type="dxa"/>
        <w:tblLayout w:type="fixed"/>
        <w:tblCellMar>
          <w:top w:w="0" w:type="dxa"/>
          <w:left w:w="0" w:type="dxa"/>
          <w:bottom w:w="0" w:type="dxa"/>
          <w:right w:w="0" w:type="dxa"/>
        </w:tblCellMar>
        <w:tblLook w:val="01E0"/>
      </w:tblPr>
      <w:tblGrid>
        <w:gridCol w:w="2170"/>
        <w:gridCol w:w="1974"/>
        <w:gridCol w:w="112"/>
        <w:gridCol w:w="1693"/>
        <w:gridCol w:w="113"/>
        <w:gridCol w:w="1500"/>
        <w:gridCol w:w="109"/>
        <w:gridCol w:w="1787"/>
      </w:tblGrid>
      <w:tr>
        <w:trPr>
          <w:trHeight w:val="873"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黑体" w:hAnsi="黑体" w:cs="黑体" w:eastAsia="黑体" w:hint="default"/>
                <w:sz w:val="22"/>
                <w:szCs w:val="22"/>
              </w:rPr>
            </w:pPr>
            <w:r>
              <w:rPr>
                <w:rFonts w:ascii="Arial" w:hAnsi="Arial" w:cs="Arial" w:eastAsia="Arial" w:hint="default"/>
                <w:sz w:val="22"/>
                <w:szCs w:val="22"/>
              </w:rPr>
              <w:t>27</w:t>
            </w:r>
            <w:r>
              <w:rPr>
                <w:rFonts w:ascii="黑体" w:hAnsi="黑体" w:cs="黑体" w:eastAsia="黑体" w:hint="default"/>
                <w:sz w:val="22"/>
                <w:szCs w:val="22"/>
              </w:rPr>
              <w:t>、应付债券</w:t>
            </w:r>
          </w:p>
        </w:tc>
        <w:tc>
          <w:tcPr>
            <w:tcW w:w="1974"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7"/>
              <w:jc w:val="right"/>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宋体" w:hAnsi="宋体" w:cs="宋体" w:eastAsia="宋体" w:hint="default"/>
                <w:sz w:val="20"/>
                <w:szCs w:val="20"/>
              </w:rPr>
              <w:t>日</w:t>
            </w:r>
          </w:p>
        </w:tc>
        <w:tc>
          <w:tcPr>
            <w:tcW w:w="112" w:type="dxa"/>
            <w:tcBorders>
              <w:top w:val="nil" w:sz="6" w:space="0" w:color="auto"/>
              <w:left w:val="nil" w:sz="6" w:space="0" w:color="auto"/>
              <w:bottom w:val="nil" w:sz="6" w:space="0" w:color="auto"/>
              <w:right w:val="nil" w:sz="6" w:space="0" w:color="auto"/>
            </w:tcBorders>
          </w:tcPr>
          <w:p>
            <w:pPr/>
          </w:p>
        </w:tc>
        <w:tc>
          <w:tcPr>
            <w:tcW w:w="1693"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6"/>
              <w:jc w:val="right"/>
              <w:rPr>
                <w:rFonts w:ascii="宋体" w:hAnsi="宋体" w:cs="宋体" w:eastAsia="宋体" w:hint="default"/>
                <w:sz w:val="20"/>
                <w:szCs w:val="20"/>
              </w:rPr>
            </w:pPr>
            <w:r>
              <w:rPr>
                <w:rFonts w:ascii="宋体" w:hAnsi="宋体" w:cs="宋体" w:eastAsia="宋体" w:hint="default"/>
                <w:sz w:val="20"/>
                <w:szCs w:val="20"/>
              </w:rPr>
              <w:t>本年增加</w:t>
            </w:r>
          </w:p>
        </w:tc>
        <w:tc>
          <w:tcPr>
            <w:tcW w:w="113" w:type="dxa"/>
            <w:tcBorders>
              <w:top w:val="nil" w:sz="6" w:space="0" w:color="auto"/>
              <w:left w:val="nil" w:sz="6" w:space="0" w:color="auto"/>
              <w:bottom w:val="nil" w:sz="6" w:space="0" w:color="auto"/>
              <w:right w:val="nil" w:sz="6" w:space="0" w:color="auto"/>
            </w:tcBorders>
          </w:tcPr>
          <w:p>
            <w:pPr/>
          </w:p>
        </w:tc>
        <w:tc>
          <w:tcPr>
            <w:tcW w:w="1500"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7"/>
              <w:jc w:val="right"/>
              <w:rPr>
                <w:rFonts w:ascii="宋体" w:hAnsi="宋体" w:cs="宋体" w:eastAsia="宋体" w:hint="default"/>
                <w:sz w:val="20"/>
                <w:szCs w:val="20"/>
              </w:rPr>
            </w:pPr>
            <w:r>
              <w:rPr>
                <w:rFonts w:ascii="宋体" w:hAnsi="宋体" w:cs="宋体" w:eastAsia="宋体" w:hint="default"/>
                <w:sz w:val="20"/>
                <w:szCs w:val="20"/>
              </w:rPr>
              <w:t>本年减少</w:t>
            </w:r>
          </w:p>
        </w:tc>
        <w:tc>
          <w:tcPr>
            <w:tcW w:w="109"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right="6"/>
              <w:jc w:val="righ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9"/>
                <w:sz w:val="20"/>
                <w:szCs w:val="20"/>
              </w:rPr>
              <w:t> </w:t>
            </w:r>
            <w:r>
              <w:rPr>
                <w:rFonts w:ascii="宋体" w:hAnsi="宋体" w:cs="宋体" w:eastAsia="宋体" w:hint="default"/>
                <w:sz w:val="20"/>
                <w:szCs w:val="20"/>
              </w:rPr>
              <w:t>年</w:t>
            </w:r>
            <w:r>
              <w:rPr>
                <w:rFonts w:ascii="宋体" w:hAnsi="宋体" w:cs="宋体" w:eastAsia="宋体" w:hint="default"/>
                <w:spacing w:val="-55"/>
                <w:sz w:val="20"/>
                <w:szCs w:val="20"/>
              </w:rPr>
              <w:t> </w:t>
            </w:r>
            <w:r>
              <w:rPr>
                <w:rFonts w:ascii="Arial" w:hAnsi="Arial" w:cs="Arial" w:eastAsia="Arial" w:hint="default"/>
                <w:sz w:val="20"/>
                <w:szCs w:val="20"/>
              </w:rPr>
              <w:t>12</w:t>
            </w:r>
            <w:r>
              <w:rPr>
                <w:rFonts w:ascii="Arial" w:hAnsi="Arial" w:cs="Arial" w:eastAsia="Arial" w:hint="default"/>
                <w:spacing w:val="-10"/>
                <w:sz w:val="20"/>
                <w:szCs w:val="20"/>
              </w:rPr>
              <w:t> </w:t>
            </w:r>
            <w:r>
              <w:rPr>
                <w:rFonts w:ascii="宋体" w:hAnsi="宋体" w:cs="宋体" w:eastAsia="宋体" w:hint="default"/>
                <w:sz w:val="20"/>
                <w:szCs w:val="20"/>
              </w:rPr>
              <w:t>月</w:t>
            </w:r>
            <w:r>
              <w:rPr>
                <w:rFonts w:ascii="宋体" w:hAnsi="宋体" w:cs="宋体" w:eastAsia="宋体" w:hint="default"/>
                <w:spacing w:val="-54"/>
                <w:sz w:val="20"/>
                <w:szCs w:val="20"/>
              </w:rPr>
              <w:t> </w:t>
            </w:r>
            <w:r>
              <w:rPr>
                <w:rFonts w:ascii="Arial" w:hAnsi="Arial" w:cs="Arial" w:eastAsia="Arial" w:hint="default"/>
                <w:sz w:val="20"/>
                <w:szCs w:val="20"/>
              </w:rPr>
              <w:t>31</w:t>
            </w:r>
            <w:r>
              <w:rPr>
                <w:rFonts w:ascii="Arial" w:hAnsi="Arial" w:cs="Arial" w:eastAsia="Arial" w:hint="default"/>
                <w:spacing w:val="-9"/>
                <w:sz w:val="20"/>
                <w:szCs w:val="20"/>
              </w:rPr>
              <w:t> </w:t>
            </w:r>
            <w:r>
              <w:rPr>
                <w:rFonts w:ascii="宋体" w:hAnsi="宋体" w:cs="宋体" w:eastAsia="宋体" w:hint="default"/>
                <w:sz w:val="20"/>
                <w:szCs w:val="20"/>
              </w:rPr>
              <w:t>日</w:t>
            </w:r>
          </w:p>
        </w:tc>
      </w:tr>
      <w:tr>
        <w:trPr>
          <w:trHeight w:val="508"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36"/>
              <w:jc w:val="right"/>
              <w:rPr>
                <w:rFonts w:ascii="宋体" w:hAnsi="宋体" w:cs="宋体" w:eastAsia="宋体" w:hint="default"/>
                <w:sz w:val="20"/>
                <w:szCs w:val="20"/>
              </w:rPr>
            </w:pPr>
            <w:r>
              <w:rPr>
                <w:rFonts w:ascii="Arial" w:hAnsi="Arial" w:cs="Arial" w:eastAsia="Arial" w:hint="default"/>
                <w:sz w:val="20"/>
                <w:szCs w:val="20"/>
              </w:rPr>
              <w:t>2007</w:t>
            </w:r>
            <w:r>
              <w:rPr>
                <w:rFonts w:ascii="Arial" w:hAnsi="Arial" w:cs="Arial" w:eastAsia="Arial" w:hint="default"/>
                <w:spacing w:val="-9"/>
                <w:sz w:val="20"/>
                <w:szCs w:val="20"/>
              </w:rPr>
              <w:t> </w:t>
            </w:r>
            <w:r>
              <w:rPr>
                <w:rFonts w:ascii="宋体" w:hAnsi="宋体" w:cs="宋体" w:eastAsia="宋体" w:hint="default"/>
                <w:sz w:val="20"/>
                <w:szCs w:val="20"/>
              </w:rPr>
              <w:t>年公司债券</w:t>
            </w:r>
          </w:p>
        </w:tc>
        <w:tc>
          <w:tcPr>
            <w:tcW w:w="1974"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6"/>
              <w:jc w:val="right"/>
              <w:rPr>
                <w:rFonts w:ascii="Arial" w:hAnsi="Arial" w:cs="Arial" w:eastAsia="Arial" w:hint="default"/>
                <w:sz w:val="20"/>
                <w:szCs w:val="20"/>
              </w:rPr>
            </w:pPr>
            <w:r>
              <w:rPr>
                <w:rFonts w:ascii="Arial"/>
                <w:spacing w:val="-1"/>
                <w:sz w:val="20"/>
              </w:rPr>
              <w:t>2,000,000,000</w:t>
            </w:r>
          </w:p>
        </w:tc>
        <w:tc>
          <w:tcPr>
            <w:tcW w:w="112" w:type="dxa"/>
            <w:tcBorders>
              <w:top w:val="nil" w:sz="6" w:space="0" w:color="auto"/>
              <w:left w:val="nil" w:sz="6" w:space="0" w:color="auto"/>
              <w:bottom w:val="nil" w:sz="6" w:space="0" w:color="auto"/>
              <w:right w:val="nil" w:sz="6" w:space="0" w:color="auto"/>
            </w:tcBorders>
          </w:tcPr>
          <w:p>
            <w:pPr/>
          </w:p>
        </w:tc>
        <w:tc>
          <w:tcPr>
            <w:tcW w:w="1693"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6"/>
              <w:jc w:val="right"/>
              <w:rPr>
                <w:rFonts w:ascii="Arial" w:hAnsi="Arial" w:cs="Arial" w:eastAsia="Arial" w:hint="default"/>
                <w:sz w:val="20"/>
                <w:szCs w:val="20"/>
              </w:rPr>
            </w:pPr>
            <w:r>
              <w:rPr>
                <w:rFonts w:ascii="Arial"/>
                <w:w w:val="100"/>
                <w:sz w:val="20"/>
              </w:rPr>
              <w:t>-</w:t>
            </w:r>
          </w:p>
        </w:tc>
        <w:tc>
          <w:tcPr>
            <w:tcW w:w="113" w:type="dxa"/>
            <w:tcBorders>
              <w:top w:val="nil" w:sz="6" w:space="0" w:color="auto"/>
              <w:left w:val="nil" w:sz="6" w:space="0" w:color="auto"/>
              <w:bottom w:val="nil" w:sz="6" w:space="0" w:color="auto"/>
              <w:right w:val="nil" w:sz="6" w:space="0" w:color="auto"/>
            </w:tcBorders>
          </w:tcPr>
          <w:p>
            <w:pPr/>
          </w:p>
        </w:tc>
        <w:tc>
          <w:tcPr>
            <w:tcW w:w="1500"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7"/>
              <w:jc w:val="right"/>
              <w:rPr>
                <w:rFonts w:ascii="Arial" w:hAnsi="Arial" w:cs="Arial" w:eastAsia="Arial" w:hint="default"/>
                <w:sz w:val="20"/>
                <w:szCs w:val="20"/>
              </w:rPr>
            </w:pPr>
            <w:r>
              <w:rPr>
                <w:rFonts w:ascii="Arial"/>
                <w:w w:val="100"/>
                <w:sz w:val="20"/>
              </w:rPr>
              <w:t>-</w:t>
            </w:r>
          </w:p>
        </w:tc>
        <w:tc>
          <w:tcPr>
            <w:tcW w:w="109" w:type="dxa"/>
            <w:tcBorders>
              <w:top w:val="nil" w:sz="6" w:space="0" w:color="auto"/>
              <w:left w:val="nil" w:sz="6" w:space="0" w:color="auto"/>
              <w:bottom w:val="nil" w:sz="6" w:space="0" w:color="auto"/>
              <w:right w:val="nil" w:sz="6" w:space="0" w:color="auto"/>
            </w:tcBorders>
          </w:tcPr>
          <w:p>
            <w:pPr/>
          </w:p>
        </w:tc>
        <w:tc>
          <w:tcPr>
            <w:tcW w:w="1787"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5"/>
              <w:jc w:val="right"/>
              <w:rPr>
                <w:rFonts w:ascii="Arial" w:hAnsi="Arial" w:cs="Arial" w:eastAsia="Arial" w:hint="default"/>
                <w:sz w:val="20"/>
                <w:szCs w:val="20"/>
              </w:rPr>
            </w:pPr>
            <w:r>
              <w:rPr>
                <w:rFonts w:ascii="Arial"/>
                <w:spacing w:val="-1"/>
                <w:sz w:val="20"/>
              </w:rPr>
              <w:t>2,000,000,000</w:t>
            </w:r>
          </w:p>
        </w:tc>
      </w:tr>
      <w:tr>
        <w:trPr>
          <w:trHeight w:val="382"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33" w:lineRule="exact"/>
              <w:ind w:right="136"/>
              <w:jc w:val="right"/>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9"/>
                <w:sz w:val="20"/>
                <w:szCs w:val="20"/>
              </w:rPr>
              <w:t> </w:t>
            </w:r>
            <w:r>
              <w:rPr>
                <w:rFonts w:ascii="宋体" w:hAnsi="宋体" w:cs="宋体" w:eastAsia="宋体" w:hint="default"/>
                <w:sz w:val="20"/>
                <w:szCs w:val="20"/>
              </w:rPr>
              <w:t>年公司债券</w:t>
            </w:r>
          </w:p>
        </w:tc>
        <w:tc>
          <w:tcPr>
            <w:tcW w:w="1974" w:type="dxa"/>
            <w:tcBorders>
              <w:top w:val="nil" w:sz="6" w:space="0" w:color="auto"/>
              <w:left w:val="nil" w:sz="6" w:space="0" w:color="auto"/>
              <w:bottom w:val="nil" w:sz="6" w:space="0" w:color="auto"/>
              <w:right w:val="nil" w:sz="6" w:space="0" w:color="auto"/>
            </w:tcBorders>
          </w:tcPr>
          <w:p>
            <w:pPr>
              <w:pStyle w:val="TableParagraph"/>
              <w:tabs>
                <w:tab w:pos="649" w:val="left" w:leader="none"/>
              </w:tabs>
              <w:spacing w:line="240" w:lineRule="auto" w:before="15"/>
              <w:ind w:right="3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5,000,000,000</w:t>
            </w:r>
            <w:r>
              <w:rPr>
                <w:rFonts w:ascii="Arial"/>
                <w:spacing w:val="-1"/>
                <w:sz w:val="20"/>
              </w:rPr>
            </w:r>
          </w:p>
        </w:tc>
        <w:tc>
          <w:tcPr>
            <w:tcW w:w="112" w:type="dxa"/>
            <w:tcBorders>
              <w:top w:val="nil" w:sz="6" w:space="0" w:color="auto"/>
              <w:left w:val="nil" w:sz="6" w:space="0" w:color="auto"/>
              <w:bottom w:val="nil" w:sz="6" w:space="0" w:color="auto"/>
              <w:right w:val="nil" w:sz="6" w:space="0" w:color="auto"/>
            </w:tcBorders>
          </w:tcPr>
          <w:p>
            <w:pPr/>
          </w:p>
        </w:tc>
        <w:tc>
          <w:tcPr>
            <w:tcW w:w="1693" w:type="dxa"/>
            <w:tcBorders>
              <w:top w:val="nil" w:sz="6" w:space="0" w:color="auto"/>
              <w:left w:val="nil" w:sz="6" w:space="0" w:color="auto"/>
              <w:bottom w:val="nil" w:sz="6" w:space="0" w:color="auto"/>
              <w:right w:val="nil" w:sz="6" w:space="0" w:color="auto"/>
            </w:tcBorders>
          </w:tcPr>
          <w:p>
            <w:pPr>
              <w:pStyle w:val="TableParagraph"/>
              <w:tabs>
                <w:tab w:pos="1618" w:val="left" w:leader="none"/>
              </w:tabs>
              <w:spacing w:line="240" w:lineRule="auto" w:before="15"/>
              <w:ind w:right="6"/>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13" w:type="dxa"/>
            <w:tcBorders>
              <w:top w:val="nil" w:sz="6" w:space="0" w:color="auto"/>
              <w:left w:val="nil" w:sz="6" w:space="0" w:color="auto"/>
              <w:bottom w:val="nil" w:sz="6" w:space="0" w:color="auto"/>
              <w:right w:val="nil" w:sz="6" w:space="0" w:color="auto"/>
            </w:tcBorders>
          </w:tcPr>
          <w:p>
            <w:pPr/>
          </w:p>
        </w:tc>
        <w:tc>
          <w:tcPr>
            <w:tcW w:w="1500" w:type="dxa"/>
            <w:tcBorders>
              <w:top w:val="nil" w:sz="6" w:space="0" w:color="auto"/>
              <w:left w:val="nil" w:sz="6" w:space="0" w:color="auto"/>
              <w:bottom w:val="nil" w:sz="6" w:space="0" w:color="auto"/>
              <w:right w:val="nil" w:sz="6" w:space="0" w:color="auto"/>
            </w:tcBorders>
          </w:tcPr>
          <w:p>
            <w:pPr>
              <w:pStyle w:val="TableParagraph"/>
              <w:tabs>
                <w:tab w:pos="1423" w:val="left" w:leader="none"/>
              </w:tabs>
              <w:spacing w:line="240" w:lineRule="auto" w:before="15"/>
              <w:ind w:right="7"/>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p>
        </w:tc>
        <w:tc>
          <w:tcPr>
            <w:tcW w:w="109"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nil" w:sz="6" w:space="0" w:color="auto"/>
              <w:right w:val="nil" w:sz="6" w:space="0" w:color="auto"/>
            </w:tcBorders>
          </w:tcPr>
          <w:p>
            <w:pPr>
              <w:pStyle w:val="TableParagraph"/>
              <w:tabs>
                <w:tab w:pos="469" w:val="left" w:leader="none"/>
              </w:tabs>
              <w:spacing w:line="240" w:lineRule="auto" w:before="15"/>
              <w:ind w:right="3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5,000,000,000</w:t>
            </w:r>
            <w:r>
              <w:rPr>
                <w:rFonts w:ascii="Arial"/>
                <w:spacing w:val="-1"/>
                <w:sz w:val="20"/>
              </w:rPr>
            </w:r>
          </w:p>
        </w:tc>
      </w:tr>
      <w:tr>
        <w:trPr>
          <w:trHeight w:val="395" w:hRule="exact"/>
        </w:trPr>
        <w:tc>
          <w:tcPr>
            <w:tcW w:w="2170" w:type="dxa"/>
            <w:tcBorders>
              <w:top w:val="nil" w:sz="6" w:space="0" w:color="auto"/>
              <w:left w:val="nil" w:sz="6" w:space="0" w:color="auto"/>
              <w:bottom w:val="nil" w:sz="6" w:space="0" w:color="auto"/>
              <w:right w:val="nil" w:sz="6" w:space="0" w:color="auto"/>
            </w:tcBorders>
          </w:tcPr>
          <w:p>
            <w:pPr>
              <w:pStyle w:val="TableParagraph"/>
              <w:spacing w:line="240" w:lineRule="auto" w:before="79"/>
              <w:ind w:left="494"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974" w:type="dxa"/>
            <w:tcBorders>
              <w:top w:val="nil" w:sz="6" w:space="0" w:color="auto"/>
              <w:left w:val="nil" w:sz="6" w:space="0" w:color="auto"/>
              <w:bottom w:val="single" w:sz="17" w:space="0" w:color="000000"/>
              <w:right w:val="nil" w:sz="6" w:space="0" w:color="auto"/>
            </w:tcBorders>
          </w:tcPr>
          <w:p>
            <w:pPr>
              <w:pStyle w:val="TableParagraph"/>
              <w:spacing w:line="240" w:lineRule="auto" w:before="137"/>
              <w:ind w:right="35"/>
              <w:jc w:val="right"/>
              <w:rPr>
                <w:rFonts w:ascii="Arial" w:hAnsi="Arial" w:cs="Arial" w:eastAsia="Arial" w:hint="default"/>
                <w:sz w:val="20"/>
                <w:szCs w:val="20"/>
              </w:rPr>
            </w:pPr>
            <w:r>
              <w:rPr>
                <w:rFonts w:ascii="Arial"/>
                <w:spacing w:val="-1"/>
                <w:sz w:val="20"/>
              </w:rPr>
              <w:t>7,000,000,000</w:t>
            </w:r>
          </w:p>
        </w:tc>
        <w:tc>
          <w:tcPr>
            <w:tcW w:w="112" w:type="dxa"/>
            <w:tcBorders>
              <w:top w:val="nil" w:sz="6" w:space="0" w:color="auto"/>
              <w:left w:val="nil" w:sz="6" w:space="0" w:color="auto"/>
              <w:bottom w:val="nil" w:sz="6" w:space="0" w:color="auto"/>
              <w:right w:val="nil" w:sz="6" w:space="0" w:color="auto"/>
            </w:tcBorders>
          </w:tcPr>
          <w:p>
            <w:pPr/>
          </w:p>
        </w:tc>
        <w:tc>
          <w:tcPr>
            <w:tcW w:w="1693" w:type="dxa"/>
            <w:tcBorders>
              <w:top w:val="nil" w:sz="6" w:space="0" w:color="auto"/>
              <w:left w:val="nil" w:sz="6" w:space="0" w:color="auto"/>
              <w:bottom w:val="single" w:sz="17" w:space="0" w:color="000000"/>
              <w:right w:val="nil" w:sz="6" w:space="0" w:color="auto"/>
            </w:tcBorders>
          </w:tcPr>
          <w:p>
            <w:pPr>
              <w:pStyle w:val="TableParagraph"/>
              <w:spacing w:line="240" w:lineRule="auto" w:before="137"/>
              <w:ind w:right="6"/>
              <w:jc w:val="right"/>
              <w:rPr>
                <w:rFonts w:ascii="Arial" w:hAnsi="Arial" w:cs="Arial" w:eastAsia="Arial" w:hint="default"/>
                <w:sz w:val="20"/>
                <w:szCs w:val="20"/>
              </w:rPr>
            </w:pPr>
            <w:r>
              <w:rPr>
                <w:rFonts w:ascii="Arial"/>
                <w:w w:val="100"/>
                <w:sz w:val="20"/>
              </w:rPr>
              <w:t>-</w:t>
            </w:r>
          </w:p>
        </w:tc>
        <w:tc>
          <w:tcPr>
            <w:tcW w:w="113" w:type="dxa"/>
            <w:tcBorders>
              <w:top w:val="nil" w:sz="6" w:space="0" w:color="auto"/>
              <w:left w:val="nil" w:sz="6" w:space="0" w:color="auto"/>
              <w:bottom w:val="nil" w:sz="6" w:space="0" w:color="auto"/>
              <w:right w:val="nil" w:sz="6" w:space="0" w:color="auto"/>
            </w:tcBorders>
          </w:tcPr>
          <w:p>
            <w:pPr/>
          </w:p>
        </w:tc>
        <w:tc>
          <w:tcPr>
            <w:tcW w:w="1500" w:type="dxa"/>
            <w:tcBorders>
              <w:top w:val="nil" w:sz="6" w:space="0" w:color="auto"/>
              <w:left w:val="nil" w:sz="6" w:space="0" w:color="auto"/>
              <w:bottom w:val="single" w:sz="17" w:space="0" w:color="000000"/>
              <w:right w:val="nil" w:sz="6" w:space="0" w:color="auto"/>
            </w:tcBorders>
          </w:tcPr>
          <w:p>
            <w:pPr>
              <w:pStyle w:val="TableParagraph"/>
              <w:spacing w:line="240" w:lineRule="auto" w:before="137"/>
              <w:ind w:right="7"/>
              <w:jc w:val="right"/>
              <w:rPr>
                <w:rFonts w:ascii="Arial" w:hAnsi="Arial" w:cs="Arial" w:eastAsia="Arial" w:hint="default"/>
                <w:sz w:val="20"/>
                <w:szCs w:val="20"/>
              </w:rPr>
            </w:pPr>
            <w:r>
              <w:rPr>
                <w:rFonts w:ascii="Arial"/>
                <w:w w:val="100"/>
                <w:sz w:val="20"/>
              </w:rPr>
              <w:t>-</w:t>
            </w:r>
          </w:p>
        </w:tc>
        <w:tc>
          <w:tcPr>
            <w:tcW w:w="109"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single" w:sz="17" w:space="0" w:color="000000"/>
              <w:right w:val="nil" w:sz="6" w:space="0" w:color="auto"/>
            </w:tcBorders>
          </w:tcPr>
          <w:p>
            <w:pPr>
              <w:pStyle w:val="TableParagraph"/>
              <w:spacing w:line="240" w:lineRule="auto" w:before="137"/>
              <w:ind w:right="35"/>
              <w:jc w:val="right"/>
              <w:rPr>
                <w:rFonts w:ascii="Arial" w:hAnsi="Arial" w:cs="Arial" w:eastAsia="Arial" w:hint="default"/>
                <w:sz w:val="20"/>
                <w:szCs w:val="20"/>
              </w:rPr>
            </w:pPr>
            <w:r>
              <w:rPr>
                <w:rFonts w:ascii="Arial"/>
                <w:spacing w:val="-1"/>
                <w:sz w:val="20"/>
              </w:rPr>
              <w:t>7,000,000,000</w:t>
            </w:r>
          </w:p>
        </w:tc>
      </w:tr>
    </w:tbl>
    <w:p>
      <w:pPr>
        <w:spacing w:after="0" w:line="240" w:lineRule="auto"/>
        <w:jc w:val="right"/>
        <w:rPr>
          <w:rFonts w:ascii="Arial" w:hAnsi="Arial" w:cs="Arial" w:eastAsia="Arial" w:hint="default"/>
          <w:sz w:val="20"/>
          <w:szCs w:val="20"/>
        </w:rPr>
        <w:sectPr>
          <w:headerReference w:type="default" r:id="rId104"/>
          <w:pgSz w:w="11910" w:h="16840"/>
          <w:pgMar w:header="1189" w:footer="752" w:top="3060" w:bottom="940" w:left="1240" w:right="840"/>
        </w:sectPr>
      </w:pPr>
    </w:p>
    <w:p>
      <w:pPr>
        <w:spacing w:line="240" w:lineRule="auto" w:before="12"/>
        <w:rPr>
          <w:rFonts w:ascii="宋体" w:hAnsi="宋体" w:cs="宋体" w:eastAsia="宋体" w:hint="default"/>
          <w:sz w:val="14"/>
          <w:szCs w:val="14"/>
        </w:rPr>
      </w:pPr>
    </w:p>
    <w:p>
      <w:pPr>
        <w:pStyle w:val="BodyText"/>
        <w:spacing w:line="240" w:lineRule="auto" w:before="31"/>
        <w:ind w:left="102" w:right="109"/>
        <w:jc w:val="left"/>
        <w:rPr>
          <w:rFonts w:ascii="黑体" w:hAnsi="黑体" w:cs="黑体" w:eastAsia="黑体" w:hint="default"/>
        </w:rPr>
      </w:pPr>
      <w:r>
        <w:rPr>
          <w:rFonts w:ascii="Arial" w:hAnsi="Arial" w:cs="Arial" w:eastAsia="Arial" w:hint="default"/>
        </w:rPr>
        <w:t>27</w:t>
      </w:r>
      <w:r>
        <w:rPr>
          <w:rFonts w:ascii="黑体" w:hAnsi="黑体" w:cs="黑体" w:eastAsia="黑体" w:hint="default"/>
        </w:rPr>
        <w:t>、应付债券（续）</w:t>
      </w:r>
    </w:p>
    <w:p>
      <w:pPr>
        <w:spacing w:line="240" w:lineRule="auto" w:before="13"/>
        <w:rPr>
          <w:rFonts w:ascii="黑体" w:hAnsi="黑体" w:cs="黑体" w:eastAsia="黑体" w:hint="default"/>
          <w:sz w:val="17"/>
          <w:szCs w:val="17"/>
        </w:rPr>
      </w:pPr>
    </w:p>
    <w:p>
      <w:pPr>
        <w:pStyle w:val="BodyText"/>
        <w:spacing w:line="240" w:lineRule="auto"/>
        <w:ind w:left="550" w:right="109"/>
        <w:jc w:val="left"/>
      </w:pPr>
      <w:r>
        <w:rPr>
          <w:rFonts w:ascii="Arial" w:hAnsi="Arial" w:cs="Arial" w:eastAsia="Arial" w:hint="default"/>
        </w:rPr>
        <w:t>(1)</w:t>
      </w:r>
      <w:r>
        <w:rPr>
          <w:rFonts w:ascii="Arial" w:hAnsi="Arial" w:cs="Arial" w:eastAsia="Arial" w:hint="default"/>
          <w:spacing w:val="59"/>
        </w:rPr>
        <w:t> </w:t>
      </w:r>
      <w:r>
        <w:rPr/>
        <w:t>债券有关信息如下：</w:t>
      </w:r>
    </w:p>
    <w:p>
      <w:pPr>
        <w:spacing w:line="240" w:lineRule="auto" w:before="3"/>
        <w:rPr>
          <w:rFonts w:ascii="宋体" w:hAnsi="宋体" w:cs="宋体" w:eastAsia="宋体" w:hint="default"/>
          <w:sz w:val="18"/>
          <w:szCs w:val="18"/>
        </w:rPr>
      </w:pPr>
    </w:p>
    <w:p>
      <w:pPr>
        <w:tabs>
          <w:tab w:pos="4173" w:val="left" w:leader="none"/>
          <w:tab w:pos="5208" w:val="left" w:leader="none"/>
          <w:tab w:pos="8137" w:val="left" w:leader="none"/>
        </w:tabs>
        <w:spacing w:before="0"/>
        <w:ind w:left="2739" w:right="109" w:firstLine="0"/>
        <w:jc w:val="left"/>
        <w:rPr>
          <w:rFonts w:ascii="宋体" w:hAnsi="宋体" w:cs="宋体" w:eastAsia="宋体" w:hint="default"/>
          <w:sz w:val="20"/>
          <w:szCs w:val="20"/>
        </w:rPr>
      </w:pPr>
      <w:r>
        <w:rPr>
          <w:rFonts w:ascii="宋体" w:hAnsi="宋体" w:cs="宋体" w:eastAsia="宋体" w:hint="default"/>
          <w:sz w:val="20"/>
          <w:szCs w:val="20"/>
        </w:rPr>
        <w:t>面值</w:t>
        <w:tab/>
        <w:t>发行日期</w:t>
        <w:tab/>
        <w:t>债券期限</w:t>
      </w:r>
      <w:r>
        <w:rPr>
          <w:rFonts w:ascii="宋体" w:hAnsi="宋体" w:cs="宋体" w:eastAsia="宋体" w:hint="default"/>
          <w:spacing w:val="80"/>
          <w:sz w:val="20"/>
          <w:szCs w:val="20"/>
        </w:rPr>
        <w:t> </w:t>
      </w:r>
      <w:r>
        <w:rPr>
          <w:rFonts w:ascii="宋体" w:hAnsi="宋体" w:cs="宋体" w:eastAsia="宋体" w:hint="default"/>
          <w:sz w:val="20"/>
          <w:szCs w:val="20"/>
        </w:rPr>
        <w:t>发行金额</w:t>
        <w:tab/>
        <w:t>备注</w:t>
      </w:r>
    </w:p>
    <w:p>
      <w:pPr>
        <w:spacing w:line="240" w:lineRule="auto" w:before="3"/>
        <w:rPr>
          <w:rFonts w:ascii="宋体" w:hAnsi="宋体" w:cs="宋体" w:eastAsia="宋体" w:hint="default"/>
          <w:sz w:val="2"/>
          <w:szCs w:val="2"/>
        </w:rPr>
      </w:pPr>
    </w:p>
    <w:p>
      <w:pPr>
        <w:spacing w:line="20" w:lineRule="exact"/>
        <w:ind w:left="2215" w:right="0" w:firstLine="0"/>
        <w:rPr>
          <w:rFonts w:ascii="宋体" w:hAnsi="宋体" w:cs="宋体" w:eastAsia="宋体" w:hint="default"/>
          <w:sz w:val="2"/>
          <w:szCs w:val="2"/>
        </w:rPr>
      </w:pPr>
      <w:r>
        <w:rPr>
          <w:rFonts w:ascii="宋体"/>
          <w:sz w:val="2"/>
        </w:rPr>
        <w:pict>
          <v:group style="width:46.95pt;height:.75pt;mso-position-horizontal-relative:char;mso-position-vertical-relative:line" coordorigin="0,0" coordsize="939,15">
            <v:group style="position:absolute;left:7;top:7;width:924;height:2" coordorigin="7,7" coordsize="924,2">
              <v:shape style="position:absolute;left:7;top:7;width:924;height:2" coordorigin="7,7" coordsize="924,0" path="m7,7l931,7e" filled="false" stroked="true" strokeweight=".72pt" strokecolor="#000000">
                <v:path arrowok="t"/>
              </v:shape>
            </v:group>
          </v:group>
        </w:pict>
      </w:r>
      <w:r>
        <w:rPr>
          <w:rFonts w:ascii="宋体"/>
          <w:sz w:val="2"/>
        </w:rPr>
      </w:r>
      <w:r>
        <w:rPr>
          <w:rFonts w:ascii="Times New Roman"/>
          <w:spacing w:val="90"/>
          <w:sz w:val="2"/>
        </w:rPr>
        <w:t> </w:t>
      </w:r>
      <w:r>
        <w:rPr>
          <w:rFonts w:ascii="宋体"/>
          <w:spacing w:val="90"/>
          <w:sz w:val="2"/>
        </w:rPr>
        <w:pict>
          <v:group style="width:86.85pt;height:.75pt;mso-position-horizontal-relative:char;mso-position-vertical-relative:line" coordorigin="0,0" coordsize="1737,15">
            <v:group style="position:absolute;left:7;top:7;width:1722;height:2" coordorigin="7,7" coordsize="1722,2">
              <v:shape style="position:absolute;left:7;top:7;width:1722;height:2" coordorigin="7,7" coordsize="1722,0" path="m7,7l1729,7e" filled="false" stroked="true" strokeweight=".72pt" strokecolor="#000000">
                <v:path arrowok="t"/>
              </v:shape>
            </v:group>
          </v:group>
        </w:pict>
      </w:r>
      <w:r>
        <w:rPr>
          <w:rFonts w:ascii="宋体"/>
          <w:spacing w:val="90"/>
          <w:sz w:val="2"/>
        </w:rPr>
      </w:r>
      <w:r>
        <w:rPr>
          <w:rFonts w:ascii="Times New Roman"/>
          <w:spacing w:val="89"/>
          <w:sz w:val="2"/>
        </w:rPr>
        <w:t> </w:t>
      </w:r>
      <w:r>
        <w:rPr>
          <w:rFonts w:ascii="宋体"/>
          <w:spacing w:val="89"/>
          <w:sz w:val="2"/>
        </w:rPr>
        <w:pict>
          <v:group style="width:46.9pt;height:.75pt;mso-position-horizontal-relative:char;mso-position-vertical-relative:line" coordorigin="0,0" coordsize="938,15">
            <v:group style="position:absolute;left:7;top:7;width:923;height:2" coordorigin="7,7" coordsize="923,2">
              <v:shape style="position:absolute;left:7;top:7;width:923;height:2" coordorigin="7,7" coordsize="923,0" path="m7,7l930,7e" filled="false" stroked="true" strokeweight=".72pt" strokecolor="#000000">
                <v:path arrowok="t"/>
              </v:shape>
            </v:group>
          </v:group>
        </w:pict>
      </w:r>
      <w:r>
        <w:rPr>
          <w:rFonts w:ascii="宋体"/>
          <w:spacing w:val="89"/>
          <w:sz w:val="2"/>
        </w:rPr>
      </w:r>
      <w:r>
        <w:rPr>
          <w:rFonts w:ascii="Times New Roman"/>
          <w:spacing w:val="90"/>
          <w:sz w:val="2"/>
        </w:rPr>
        <w:t> </w:t>
      </w:r>
      <w:r>
        <w:rPr>
          <w:rFonts w:ascii="宋体"/>
          <w:spacing w:val="90"/>
          <w:sz w:val="2"/>
        </w:rPr>
        <w:pict>
          <v:group style="width:170.85pt;height:.75pt;mso-position-horizontal-relative:char;mso-position-vertical-relative:line" coordorigin="0,0" coordsize="3417,15">
            <v:group style="position:absolute;left:7;top:7;width:988;height:2" coordorigin="7,7" coordsize="988,2">
              <v:shape style="position:absolute;left:7;top:7;width:988;height:2" coordorigin="7,7" coordsize="988,0" path="m7,7l995,7e" filled="false" stroked="true" strokeweight=".72pt" strokecolor="#000000">
                <v:path arrowok="t"/>
              </v:shape>
            </v:group>
            <v:group style="position:absolute;left:995;top:7;width:2415;height:2" coordorigin="995,7" coordsize="2415,2">
              <v:shape style="position:absolute;left:995;top:7;width:2415;height:2" coordorigin="995,7" coordsize="2415,0" path="m995,7l3409,7e" filled="false" stroked="true" strokeweight=".72pt" strokecolor="#000000">
                <v:path arrowok="t"/>
              </v:shape>
            </v:group>
          </v:group>
        </w:pict>
      </w:r>
      <w:r>
        <w:rPr>
          <w:rFonts w:ascii="宋体"/>
          <w:spacing w:val="90"/>
          <w:sz w:val="2"/>
        </w:rPr>
      </w:r>
    </w:p>
    <w:p>
      <w:pPr>
        <w:spacing w:line="240" w:lineRule="auto" w:before="10"/>
        <w:rPr>
          <w:rFonts w:ascii="宋体" w:hAnsi="宋体" w:cs="宋体" w:eastAsia="宋体" w:hint="default"/>
          <w:sz w:val="11"/>
          <w:szCs w:val="11"/>
        </w:rPr>
      </w:pPr>
    </w:p>
    <w:p>
      <w:pPr>
        <w:spacing w:after="0" w:line="240" w:lineRule="auto"/>
        <w:rPr>
          <w:rFonts w:ascii="宋体" w:hAnsi="宋体" w:cs="宋体" w:eastAsia="宋体" w:hint="default"/>
          <w:sz w:val="11"/>
          <w:szCs w:val="11"/>
        </w:rPr>
        <w:sectPr>
          <w:headerReference w:type="default" r:id="rId105"/>
          <w:pgSz w:w="11910" w:h="16840"/>
          <w:pgMar w:header="1189" w:footer="752" w:top="3060" w:bottom="940" w:left="1280" w:right="920"/>
        </w:sectPr>
      </w:pPr>
    </w:p>
    <w:p>
      <w:pPr>
        <w:spacing w:line="240" w:lineRule="auto" w:before="10"/>
        <w:rPr>
          <w:rFonts w:ascii="宋体" w:hAnsi="宋体" w:cs="宋体" w:eastAsia="宋体" w:hint="default"/>
          <w:sz w:val="22"/>
          <w:szCs w:val="22"/>
        </w:rPr>
      </w:pPr>
    </w:p>
    <w:p>
      <w:pPr>
        <w:tabs>
          <w:tab w:pos="2419" w:val="left" w:leader="none"/>
          <w:tab w:pos="3425" w:val="left" w:leader="none"/>
          <w:tab w:pos="5503" w:val="left" w:leader="none"/>
          <w:tab w:pos="6286" w:val="left" w:leader="none"/>
        </w:tabs>
        <w:spacing w:before="0"/>
        <w:ind w:left="604" w:right="-18" w:firstLine="0"/>
        <w:jc w:val="left"/>
        <w:rPr>
          <w:rFonts w:ascii="宋体" w:hAnsi="宋体" w:cs="宋体" w:eastAsia="宋体" w:hint="default"/>
          <w:sz w:val="20"/>
          <w:szCs w:val="20"/>
        </w:rPr>
      </w:pPr>
      <w:r>
        <w:rPr>
          <w:rFonts w:ascii="Arial" w:hAnsi="Arial" w:cs="Arial" w:eastAsia="Arial" w:hint="default"/>
          <w:sz w:val="20"/>
          <w:szCs w:val="20"/>
        </w:rPr>
        <w:t>2007</w:t>
      </w:r>
      <w:r>
        <w:rPr>
          <w:rFonts w:ascii="Arial" w:hAnsi="Arial" w:cs="Arial" w:eastAsia="Arial" w:hint="default"/>
          <w:spacing w:val="-9"/>
          <w:sz w:val="20"/>
          <w:szCs w:val="20"/>
        </w:rPr>
        <w:t> </w:t>
      </w:r>
      <w:r>
        <w:rPr>
          <w:rFonts w:ascii="宋体" w:hAnsi="宋体" w:cs="宋体" w:eastAsia="宋体" w:hint="default"/>
          <w:sz w:val="20"/>
          <w:szCs w:val="20"/>
        </w:rPr>
        <w:t>年公司债券</w:t>
        <w:tab/>
      </w:r>
      <w:r>
        <w:rPr>
          <w:rFonts w:ascii="Arial" w:hAnsi="Arial" w:cs="Arial" w:eastAsia="Arial" w:hint="default"/>
          <w:sz w:val="20"/>
          <w:szCs w:val="20"/>
        </w:rPr>
        <w:t>20</w:t>
      </w:r>
      <w:r>
        <w:rPr>
          <w:rFonts w:ascii="Arial" w:hAnsi="Arial" w:cs="Arial" w:eastAsia="Arial" w:hint="default"/>
          <w:spacing w:val="-6"/>
          <w:sz w:val="20"/>
          <w:szCs w:val="20"/>
        </w:rPr>
        <w:t> </w:t>
      </w:r>
      <w:r>
        <w:rPr>
          <w:rFonts w:ascii="宋体" w:hAnsi="宋体" w:cs="宋体" w:eastAsia="宋体" w:hint="default"/>
          <w:sz w:val="20"/>
          <w:szCs w:val="20"/>
        </w:rPr>
        <w:t>亿元</w:t>
        <w:tab/>
      </w:r>
      <w:r>
        <w:rPr>
          <w:rFonts w:ascii="Arial" w:hAnsi="Arial" w:cs="Arial" w:eastAsia="Arial" w:hint="default"/>
          <w:sz w:val="20"/>
          <w:szCs w:val="20"/>
        </w:rPr>
        <w:t>2007</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6</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8</w:t>
      </w:r>
      <w:r>
        <w:rPr>
          <w:rFonts w:ascii="Arial" w:hAnsi="Arial" w:cs="Arial" w:eastAsia="Arial" w:hint="default"/>
          <w:spacing w:val="-6"/>
          <w:sz w:val="20"/>
          <w:szCs w:val="20"/>
        </w:rPr>
        <w:t> </w:t>
      </w:r>
      <w:r>
        <w:rPr>
          <w:rFonts w:ascii="宋体" w:hAnsi="宋体" w:cs="宋体" w:eastAsia="宋体" w:hint="default"/>
          <w:sz w:val="20"/>
          <w:szCs w:val="20"/>
        </w:rPr>
        <w:t>日</w:t>
        <w:tab/>
      </w:r>
      <w:r>
        <w:rPr>
          <w:rFonts w:ascii="Arial" w:hAnsi="Arial" w:cs="Arial" w:eastAsia="Arial" w:hint="default"/>
          <w:sz w:val="20"/>
          <w:szCs w:val="20"/>
        </w:rPr>
        <w:t>10</w:t>
      </w:r>
      <w:r>
        <w:rPr>
          <w:rFonts w:ascii="Arial" w:hAnsi="Arial" w:cs="Arial" w:eastAsia="Arial" w:hint="default"/>
          <w:spacing w:val="-5"/>
          <w:sz w:val="20"/>
          <w:szCs w:val="20"/>
        </w:rPr>
        <w:t> </w:t>
      </w:r>
      <w:r>
        <w:rPr>
          <w:rFonts w:ascii="宋体" w:hAnsi="宋体" w:cs="宋体" w:eastAsia="宋体" w:hint="default"/>
          <w:sz w:val="20"/>
          <w:szCs w:val="20"/>
        </w:rPr>
        <w:t>年</w:t>
        <w:tab/>
      </w:r>
      <w:r>
        <w:rPr>
          <w:rFonts w:ascii="Arial" w:hAnsi="Arial" w:cs="Arial" w:eastAsia="Arial" w:hint="default"/>
          <w:sz w:val="20"/>
          <w:szCs w:val="20"/>
        </w:rPr>
        <w:t>20</w:t>
      </w:r>
      <w:r>
        <w:rPr>
          <w:rFonts w:ascii="Arial" w:hAnsi="Arial" w:cs="Arial" w:eastAsia="Arial" w:hint="default"/>
          <w:spacing w:val="-8"/>
          <w:sz w:val="20"/>
          <w:szCs w:val="20"/>
        </w:rPr>
        <w:t> </w:t>
      </w:r>
      <w:r>
        <w:rPr>
          <w:rFonts w:ascii="宋体" w:hAnsi="宋体" w:cs="宋体" w:eastAsia="宋体" w:hint="default"/>
          <w:sz w:val="20"/>
          <w:szCs w:val="20"/>
        </w:rPr>
        <w:t>亿元</w:t>
      </w:r>
    </w:p>
    <w:p>
      <w:pPr>
        <w:spacing w:line="240" w:lineRule="auto" w:before="8"/>
        <w:rPr>
          <w:rFonts w:ascii="宋体" w:hAnsi="宋体" w:cs="宋体" w:eastAsia="宋体" w:hint="default"/>
          <w:sz w:val="18"/>
          <w:szCs w:val="18"/>
        </w:rPr>
      </w:pPr>
    </w:p>
    <w:p>
      <w:pPr>
        <w:tabs>
          <w:tab w:pos="2419" w:val="left" w:leader="none"/>
          <w:tab w:pos="3424" w:val="left" w:leader="none"/>
          <w:tab w:pos="5614" w:val="left" w:leader="none"/>
          <w:tab w:pos="6286" w:val="left" w:leader="none"/>
        </w:tabs>
        <w:spacing w:before="0"/>
        <w:ind w:left="603" w:right="-18" w:firstLine="0"/>
        <w:jc w:val="left"/>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9"/>
          <w:sz w:val="20"/>
          <w:szCs w:val="20"/>
        </w:rPr>
        <w:t> </w:t>
      </w:r>
      <w:r>
        <w:rPr>
          <w:rFonts w:ascii="宋体" w:hAnsi="宋体" w:cs="宋体" w:eastAsia="宋体" w:hint="default"/>
          <w:sz w:val="20"/>
          <w:szCs w:val="20"/>
        </w:rPr>
        <w:t>年公司债券</w:t>
        <w:tab/>
      </w:r>
      <w:r>
        <w:rPr>
          <w:rFonts w:ascii="Arial" w:hAnsi="Arial" w:cs="Arial" w:eastAsia="Arial" w:hint="default"/>
          <w:sz w:val="20"/>
          <w:szCs w:val="20"/>
        </w:rPr>
        <w:t>50</w:t>
      </w:r>
      <w:r>
        <w:rPr>
          <w:rFonts w:ascii="Arial" w:hAnsi="Arial" w:cs="Arial" w:eastAsia="Arial" w:hint="default"/>
          <w:spacing w:val="-6"/>
          <w:sz w:val="20"/>
          <w:szCs w:val="20"/>
        </w:rPr>
        <w:t> </w:t>
      </w:r>
      <w:r>
        <w:rPr>
          <w:rFonts w:ascii="宋体" w:hAnsi="宋体" w:cs="宋体" w:eastAsia="宋体" w:hint="default"/>
          <w:sz w:val="20"/>
          <w:szCs w:val="20"/>
        </w:rPr>
        <w:t>亿元</w:t>
        <w:tab/>
      </w:r>
      <w:r>
        <w:rPr>
          <w:rFonts w:ascii="Arial" w:hAnsi="Arial" w:cs="Arial" w:eastAsia="Arial" w:hint="default"/>
          <w:sz w:val="20"/>
          <w:szCs w:val="20"/>
        </w:rPr>
        <w:t>2008</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9</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w:t>
      </w:r>
      <w:r>
        <w:rPr>
          <w:rFonts w:ascii="Arial" w:hAnsi="Arial" w:cs="Arial" w:eastAsia="Arial" w:hint="default"/>
          <w:spacing w:val="-6"/>
          <w:sz w:val="20"/>
          <w:szCs w:val="20"/>
        </w:rPr>
        <w:t> </w:t>
      </w:r>
      <w:r>
        <w:rPr>
          <w:rFonts w:ascii="宋体" w:hAnsi="宋体" w:cs="宋体" w:eastAsia="宋体" w:hint="default"/>
          <w:sz w:val="20"/>
          <w:szCs w:val="20"/>
        </w:rPr>
        <w:t>日</w:t>
        <w:tab/>
      </w:r>
      <w:r>
        <w:rPr>
          <w:rFonts w:ascii="Arial" w:hAnsi="Arial" w:cs="Arial" w:eastAsia="Arial" w:hint="default"/>
          <w:sz w:val="20"/>
          <w:szCs w:val="20"/>
        </w:rPr>
        <w:t>5</w:t>
      </w:r>
      <w:r>
        <w:rPr>
          <w:rFonts w:ascii="Arial" w:hAnsi="Arial" w:cs="Arial" w:eastAsia="Arial" w:hint="default"/>
          <w:spacing w:val="-6"/>
          <w:sz w:val="20"/>
          <w:szCs w:val="20"/>
        </w:rPr>
        <w:t> </w:t>
      </w:r>
      <w:r>
        <w:rPr>
          <w:rFonts w:ascii="宋体" w:hAnsi="宋体" w:cs="宋体" w:eastAsia="宋体" w:hint="default"/>
          <w:sz w:val="20"/>
          <w:szCs w:val="20"/>
        </w:rPr>
        <w:t>年</w:t>
        <w:tab/>
      </w:r>
      <w:r>
        <w:rPr>
          <w:rFonts w:ascii="Arial" w:hAnsi="Arial" w:cs="Arial" w:eastAsia="Arial" w:hint="default"/>
          <w:sz w:val="20"/>
          <w:szCs w:val="20"/>
        </w:rPr>
        <w:t>50</w:t>
      </w:r>
      <w:r>
        <w:rPr>
          <w:rFonts w:ascii="Arial" w:hAnsi="Arial" w:cs="Arial" w:eastAsia="Arial" w:hint="default"/>
          <w:spacing w:val="-8"/>
          <w:sz w:val="20"/>
          <w:szCs w:val="20"/>
        </w:rPr>
        <w:t> </w:t>
      </w:r>
      <w:r>
        <w:rPr>
          <w:rFonts w:ascii="宋体" w:hAnsi="宋体" w:cs="宋体" w:eastAsia="宋体" w:hint="default"/>
          <w:sz w:val="20"/>
          <w:szCs w:val="20"/>
        </w:rPr>
        <w:t>亿元</w:t>
      </w:r>
    </w:p>
    <w:p>
      <w:pPr>
        <w:spacing w:before="38"/>
        <w:ind w:left="395" w:right="291" w:hanging="201"/>
        <w:jc w:val="left"/>
        <w:rPr>
          <w:rFonts w:ascii="宋体" w:hAnsi="宋体" w:cs="宋体" w:eastAsia="宋体" w:hint="default"/>
          <w:sz w:val="20"/>
          <w:szCs w:val="20"/>
        </w:rPr>
      </w:pPr>
      <w:r>
        <w:rPr/>
        <w:br w:type="column"/>
      </w:r>
      <w:r>
        <w:rPr>
          <w:rFonts w:ascii="宋体" w:hAnsi="宋体" w:cs="宋体" w:eastAsia="宋体" w:hint="default"/>
          <w:sz w:val="20"/>
          <w:szCs w:val="20"/>
        </w:rPr>
        <w:t>由中国银行股份有限公司</w:t>
      </w:r>
      <w:r>
        <w:rPr>
          <w:rFonts w:ascii="宋体" w:hAnsi="宋体" w:cs="宋体" w:eastAsia="宋体" w:hint="default"/>
          <w:w w:val="100"/>
          <w:sz w:val="20"/>
          <w:szCs w:val="20"/>
        </w:rPr>
        <w:t> </w:t>
      </w:r>
      <w:r>
        <w:rPr>
          <w:rFonts w:ascii="宋体" w:hAnsi="宋体" w:cs="宋体" w:eastAsia="宋体" w:hint="default"/>
          <w:sz w:val="20"/>
          <w:szCs w:val="20"/>
        </w:rPr>
        <w:t>提供全额担保</w:t>
      </w:r>
    </w:p>
    <w:p>
      <w:pPr>
        <w:spacing w:line="260" w:lineRule="exact" w:before="23"/>
        <w:ind w:left="395" w:right="291" w:hanging="201"/>
        <w:jc w:val="left"/>
        <w:rPr>
          <w:rFonts w:ascii="宋体" w:hAnsi="宋体" w:cs="宋体" w:eastAsia="宋体" w:hint="default"/>
          <w:sz w:val="20"/>
          <w:szCs w:val="20"/>
        </w:rPr>
      </w:pPr>
      <w:r>
        <w:rPr>
          <w:rFonts w:ascii="宋体" w:hAnsi="宋体" w:cs="宋体" w:eastAsia="宋体" w:hint="default"/>
          <w:sz w:val="20"/>
          <w:szCs w:val="20"/>
        </w:rPr>
        <w:t>由国家电网公司提供全额</w:t>
      </w:r>
      <w:r>
        <w:rPr>
          <w:rFonts w:ascii="宋体" w:hAnsi="宋体" w:cs="宋体" w:eastAsia="宋体" w:hint="default"/>
          <w:w w:val="100"/>
          <w:sz w:val="20"/>
          <w:szCs w:val="20"/>
        </w:rPr>
        <w:t> </w:t>
      </w:r>
      <w:r>
        <w:rPr>
          <w:rFonts w:ascii="宋体" w:hAnsi="宋体" w:cs="宋体" w:eastAsia="宋体" w:hint="default"/>
          <w:sz w:val="20"/>
          <w:szCs w:val="20"/>
        </w:rPr>
        <w:t>担保</w:t>
      </w:r>
    </w:p>
    <w:p>
      <w:pPr>
        <w:spacing w:after="0" w:line="260" w:lineRule="exact"/>
        <w:jc w:val="left"/>
        <w:rPr>
          <w:rFonts w:ascii="宋体" w:hAnsi="宋体" w:cs="宋体" w:eastAsia="宋体" w:hint="default"/>
          <w:sz w:val="20"/>
          <w:szCs w:val="20"/>
        </w:rPr>
        <w:sectPr>
          <w:type w:val="continuous"/>
          <w:pgSz w:w="11910" w:h="16840"/>
          <w:pgMar w:top="1600" w:bottom="280" w:left="1280" w:right="920"/>
          <w:cols w:num="2" w:equalWidth="0">
            <w:col w:w="6959" w:space="40"/>
            <w:col w:w="2711"/>
          </w:cols>
        </w:sectPr>
      </w:pPr>
    </w:p>
    <w:p>
      <w:pPr>
        <w:spacing w:line="240" w:lineRule="auto" w:before="8"/>
        <w:rPr>
          <w:rFonts w:ascii="宋体" w:hAnsi="宋体" w:cs="宋体" w:eastAsia="宋体" w:hint="default"/>
          <w:sz w:val="14"/>
          <w:szCs w:val="14"/>
        </w:rPr>
      </w:pPr>
    </w:p>
    <w:p>
      <w:pPr>
        <w:pStyle w:val="BodyText"/>
        <w:spacing w:line="240" w:lineRule="auto" w:before="31"/>
        <w:ind w:left="550" w:right="109"/>
        <w:jc w:val="left"/>
      </w:pPr>
      <w:r>
        <w:rPr>
          <w:rFonts w:ascii="Arial" w:hAnsi="Arial" w:cs="Arial" w:eastAsia="Arial" w:hint="default"/>
        </w:rPr>
        <w:t>(2)</w:t>
      </w:r>
      <w:r>
        <w:rPr>
          <w:rFonts w:ascii="Arial" w:hAnsi="Arial" w:cs="Arial" w:eastAsia="Arial" w:hint="default"/>
          <w:spacing w:val="60"/>
        </w:rPr>
        <w:t> </w:t>
      </w:r>
      <w:r>
        <w:rPr/>
        <w:t>债券之应计利息分析如下：</w:t>
      </w:r>
    </w:p>
    <w:p>
      <w:pPr>
        <w:spacing w:line="240" w:lineRule="auto" w:before="6"/>
        <w:rPr>
          <w:rFonts w:ascii="宋体" w:hAnsi="宋体" w:cs="宋体" w:eastAsia="宋体" w:hint="default"/>
          <w:sz w:val="15"/>
          <w:szCs w:val="15"/>
        </w:rPr>
      </w:pPr>
    </w:p>
    <w:p>
      <w:pPr>
        <w:pStyle w:val="BodyText"/>
        <w:spacing w:line="240" w:lineRule="auto" w:before="31"/>
        <w:ind w:left="5399" w:right="3384"/>
        <w:jc w:val="center"/>
      </w:pPr>
      <w:r>
        <w:rPr/>
        <w:t>应计利息</w:t>
      </w:r>
    </w:p>
    <w:p>
      <w:pPr>
        <w:spacing w:line="240" w:lineRule="auto" w:before="2"/>
        <w:rPr>
          <w:rFonts w:ascii="宋体" w:hAnsi="宋体" w:cs="宋体" w:eastAsia="宋体" w:hint="default"/>
          <w:sz w:val="3"/>
          <w:szCs w:val="3"/>
        </w:rPr>
      </w:pPr>
    </w:p>
    <w:tbl>
      <w:tblPr>
        <w:tblW w:w="0" w:type="auto"/>
        <w:jc w:val="left"/>
        <w:tblInd w:w="514" w:type="dxa"/>
        <w:tblLayout w:type="fixed"/>
        <w:tblCellMar>
          <w:top w:w="0" w:type="dxa"/>
          <w:left w:w="0" w:type="dxa"/>
          <w:bottom w:w="0" w:type="dxa"/>
          <w:right w:w="0" w:type="dxa"/>
        </w:tblCellMar>
        <w:tblLook w:val="01E0"/>
      </w:tblPr>
      <w:tblGrid>
        <w:gridCol w:w="3738"/>
        <w:gridCol w:w="112"/>
        <w:gridCol w:w="3079"/>
        <w:gridCol w:w="113"/>
        <w:gridCol w:w="1969"/>
      </w:tblGrid>
      <w:tr>
        <w:trPr>
          <w:trHeight w:val="300" w:hRule="exact"/>
        </w:trPr>
        <w:tc>
          <w:tcPr>
            <w:tcW w:w="3738" w:type="dxa"/>
            <w:tcBorders>
              <w:top w:val="single" w:sz="6" w:space="0" w:color="000000"/>
              <w:left w:val="nil" w:sz="6" w:space="0" w:color="auto"/>
              <w:bottom w:val="single" w:sz="6" w:space="0" w:color="000000"/>
              <w:right w:val="nil" w:sz="6" w:space="0" w:color="auto"/>
            </w:tcBorders>
          </w:tcPr>
          <w:p>
            <w:pPr>
              <w:pStyle w:val="TableParagraph"/>
              <w:spacing w:line="269" w:lineRule="exact"/>
              <w:ind w:left="1819" w:right="0"/>
              <w:jc w:val="lef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112" w:type="dxa"/>
            <w:tcBorders>
              <w:top w:val="single" w:sz="6" w:space="0" w:color="000000"/>
              <w:left w:val="nil" w:sz="6" w:space="0" w:color="auto"/>
              <w:bottom w:val="nil" w:sz="6" w:space="0" w:color="auto"/>
              <w:right w:val="nil" w:sz="6" w:space="0" w:color="auto"/>
            </w:tcBorders>
          </w:tcPr>
          <w:p>
            <w:pPr/>
          </w:p>
        </w:tc>
        <w:tc>
          <w:tcPr>
            <w:tcW w:w="3079" w:type="dxa"/>
            <w:tcBorders>
              <w:top w:val="single" w:sz="6" w:space="0" w:color="000000"/>
              <w:left w:val="nil" w:sz="6" w:space="0" w:color="auto"/>
              <w:bottom w:val="single" w:sz="6" w:space="0" w:color="000000"/>
              <w:right w:val="nil" w:sz="6" w:space="0" w:color="auto"/>
            </w:tcBorders>
          </w:tcPr>
          <w:p>
            <w:pPr>
              <w:pStyle w:val="TableParagraph"/>
              <w:tabs>
                <w:tab w:pos="1624" w:val="left" w:leader="none"/>
              </w:tabs>
              <w:spacing w:line="253" w:lineRule="exact"/>
              <w:ind w:right="4"/>
              <w:jc w:val="right"/>
              <w:rPr>
                <w:rFonts w:ascii="宋体" w:hAnsi="宋体" w:cs="宋体" w:eastAsia="宋体" w:hint="default"/>
                <w:sz w:val="22"/>
                <w:szCs w:val="22"/>
              </w:rPr>
            </w:pPr>
            <w:r>
              <w:rPr>
                <w:rFonts w:ascii="宋体" w:hAnsi="宋体" w:cs="宋体" w:eastAsia="宋体" w:hint="default"/>
                <w:w w:val="95"/>
                <w:sz w:val="22"/>
                <w:szCs w:val="22"/>
              </w:rPr>
              <w:t>本年应计利息</w:t>
              <w:tab/>
              <w:t>本年已付利息</w:t>
            </w:r>
            <w:r>
              <w:rPr>
                <w:rFonts w:ascii="宋体" w:hAnsi="宋体" w:cs="宋体" w:eastAsia="宋体" w:hint="default"/>
                <w:sz w:val="22"/>
                <w:szCs w:val="22"/>
              </w:rPr>
            </w:r>
          </w:p>
        </w:tc>
        <w:tc>
          <w:tcPr>
            <w:tcW w:w="113" w:type="dxa"/>
            <w:tcBorders>
              <w:top w:val="single" w:sz="6" w:space="0" w:color="000000"/>
              <w:left w:val="nil" w:sz="6" w:space="0" w:color="auto"/>
              <w:bottom w:val="nil" w:sz="6" w:space="0" w:color="auto"/>
              <w:right w:val="nil" w:sz="6" w:space="0" w:color="auto"/>
            </w:tcBorders>
          </w:tcPr>
          <w:p>
            <w:pPr/>
          </w:p>
        </w:tc>
        <w:tc>
          <w:tcPr>
            <w:tcW w:w="1969" w:type="dxa"/>
            <w:tcBorders>
              <w:top w:val="single" w:sz="6" w:space="0" w:color="000000"/>
              <w:left w:val="nil" w:sz="6" w:space="0" w:color="auto"/>
              <w:bottom w:val="single" w:sz="6" w:space="0" w:color="000000"/>
              <w:right w:val="nil" w:sz="6" w:space="0" w:color="auto"/>
            </w:tcBorders>
          </w:tcPr>
          <w:p>
            <w:pPr>
              <w:pStyle w:val="TableParagraph"/>
              <w:spacing w:line="269" w:lineRule="exact"/>
              <w:ind w:right="5"/>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8"/>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559" w:hRule="exact"/>
        </w:trPr>
        <w:tc>
          <w:tcPr>
            <w:tcW w:w="3738" w:type="dxa"/>
            <w:tcBorders>
              <w:top w:val="single" w:sz="6" w:space="0" w:color="000000"/>
              <w:left w:val="nil" w:sz="6" w:space="0" w:color="auto"/>
              <w:bottom w:val="nil" w:sz="6" w:space="0" w:color="auto"/>
              <w:right w:val="nil" w:sz="6" w:space="0" w:color="auto"/>
            </w:tcBorders>
          </w:tcPr>
          <w:p>
            <w:pPr>
              <w:pStyle w:val="TableParagraph"/>
              <w:tabs>
                <w:tab w:pos="2560" w:val="left" w:leader="none"/>
              </w:tabs>
              <w:spacing w:line="240" w:lineRule="auto" w:before="214"/>
              <w:ind w:left="89" w:right="0"/>
              <w:jc w:val="left"/>
              <w:rPr>
                <w:rFonts w:ascii="Arial" w:hAnsi="Arial" w:cs="Arial" w:eastAsia="Arial" w:hint="default"/>
                <w:sz w:val="22"/>
                <w:szCs w:val="22"/>
              </w:rPr>
            </w:pPr>
            <w:r>
              <w:rPr>
                <w:rFonts w:ascii="Arial" w:hAnsi="Arial" w:cs="Arial" w:eastAsia="Arial" w:hint="default"/>
                <w:position w:val="2"/>
                <w:sz w:val="22"/>
                <w:szCs w:val="22"/>
              </w:rPr>
              <w:t>2007</w:t>
            </w:r>
            <w:r>
              <w:rPr>
                <w:rFonts w:ascii="Arial" w:hAnsi="Arial" w:cs="Arial" w:eastAsia="Arial" w:hint="default"/>
                <w:spacing w:val="-17"/>
                <w:position w:val="2"/>
                <w:sz w:val="22"/>
                <w:szCs w:val="22"/>
              </w:rPr>
              <w:t> </w:t>
            </w:r>
            <w:r>
              <w:rPr>
                <w:rFonts w:ascii="宋体" w:hAnsi="宋体" w:cs="宋体" w:eastAsia="宋体" w:hint="default"/>
                <w:position w:val="2"/>
                <w:sz w:val="22"/>
                <w:szCs w:val="22"/>
              </w:rPr>
              <w:t>年公司债券</w:t>
              <w:tab/>
            </w:r>
            <w:r>
              <w:rPr>
                <w:rFonts w:ascii="Arial" w:hAnsi="Arial" w:cs="Arial" w:eastAsia="Arial" w:hint="default"/>
                <w:sz w:val="22"/>
                <w:szCs w:val="22"/>
              </w:rPr>
              <w:t>50,794,521</w:t>
            </w:r>
          </w:p>
        </w:tc>
        <w:tc>
          <w:tcPr>
            <w:tcW w:w="112" w:type="dxa"/>
            <w:tcBorders>
              <w:top w:val="nil" w:sz="6" w:space="0" w:color="auto"/>
              <w:left w:val="nil" w:sz="6" w:space="0" w:color="auto"/>
              <w:bottom w:val="nil" w:sz="6" w:space="0" w:color="auto"/>
              <w:right w:val="nil" w:sz="6" w:space="0" w:color="auto"/>
            </w:tcBorders>
          </w:tcPr>
          <w:p>
            <w:pPr/>
          </w:p>
        </w:tc>
        <w:tc>
          <w:tcPr>
            <w:tcW w:w="3079" w:type="dxa"/>
            <w:tcBorders>
              <w:top w:val="single" w:sz="6" w:space="0" w:color="000000"/>
              <w:left w:val="nil" w:sz="6" w:space="0" w:color="auto"/>
              <w:bottom w:val="nil" w:sz="6" w:space="0" w:color="auto"/>
              <w:right w:val="nil" w:sz="6" w:space="0" w:color="auto"/>
            </w:tcBorders>
          </w:tcPr>
          <w:p>
            <w:pPr>
              <w:pStyle w:val="TableParagraph"/>
              <w:spacing w:line="20" w:lineRule="exact"/>
              <w:ind w:left="-8" w:right="0"/>
              <w:jc w:val="left"/>
              <w:rPr>
                <w:rFonts w:ascii="宋体" w:hAnsi="宋体" w:cs="宋体" w:eastAsia="宋体" w:hint="default"/>
                <w:sz w:val="2"/>
                <w:szCs w:val="2"/>
              </w:rPr>
            </w:pPr>
            <w:r>
              <w:rPr>
                <w:rFonts w:ascii="宋体" w:hAnsi="宋体" w:cs="宋体" w:eastAsia="宋体" w:hint="default"/>
                <w:sz w:val="2"/>
                <w:szCs w:val="2"/>
              </w:rPr>
              <w:pict>
                <v:group style="width:73.5pt;height:.75pt;mso-position-horizontal-relative:char;mso-position-vertical-relative:line" coordorigin="0,0" coordsize="1470,15">
                  <v:group style="position:absolute;left:7;top:7;width:1456;height:2" coordorigin="7,7" coordsize="1456,2">
                    <v:shape style="position:absolute;left:7;top:7;width:1456;height:2" coordorigin="7,7" coordsize="1456,0" path="m7,7l1463,7e" filled="false" stroked="true" strokeweight=".72pt" strokecolor="#000000">
                      <v:path arrowok="t"/>
                    </v:shape>
                  </v:group>
                </v:group>
              </w:pict>
            </w:r>
            <w:r>
              <w:rPr>
                <w:rFonts w:ascii="宋体" w:hAnsi="宋体" w:cs="宋体" w:eastAsia="宋体" w:hint="default"/>
                <w:sz w:val="2"/>
                <w:szCs w:val="2"/>
              </w:rPr>
            </w:r>
          </w:p>
          <w:p>
            <w:pPr>
              <w:pStyle w:val="TableParagraph"/>
              <w:spacing w:line="240" w:lineRule="auto" w:before="4"/>
              <w:ind w:right="0"/>
              <w:jc w:val="left"/>
              <w:rPr>
                <w:rFonts w:ascii="宋体" w:hAnsi="宋体" w:cs="宋体" w:eastAsia="宋体" w:hint="default"/>
                <w:sz w:val="21"/>
                <w:szCs w:val="21"/>
              </w:rPr>
            </w:pPr>
          </w:p>
          <w:p>
            <w:pPr>
              <w:pStyle w:val="TableParagraph"/>
              <w:tabs>
                <w:tab w:pos="1517" w:val="left" w:leader="none"/>
              </w:tabs>
              <w:spacing w:line="240" w:lineRule="auto"/>
              <w:ind w:right="34"/>
              <w:jc w:val="right"/>
              <w:rPr>
                <w:rFonts w:ascii="Arial" w:hAnsi="Arial" w:cs="Arial" w:eastAsia="Arial" w:hint="default"/>
                <w:sz w:val="22"/>
                <w:szCs w:val="22"/>
              </w:rPr>
            </w:pPr>
            <w:r>
              <w:rPr>
                <w:rFonts w:ascii="Arial"/>
                <w:w w:val="95"/>
                <w:sz w:val="22"/>
              </w:rPr>
              <w:t>90,000,000</w:t>
              <w:tab/>
              <w:t>(90,000,000)</w:t>
            </w:r>
            <w:r>
              <w:rPr>
                <w:rFonts w:ascii="Arial"/>
                <w:sz w:val="22"/>
              </w:rPr>
            </w:r>
          </w:p>
        </w:tc>
        <w:tc>
          <w:tcPr>
            <w:tcW w:w="113" w:type="dxa"/>
            <w:tcBorders>
              <w:top w:val="nil" w:sz="6" w:space="0" w:color="auto"/>
              <w:left w:val="nil" w:sz="6" w:space="0" w:color="auto"/>
              <w:bottom w:val="nil" w:sz="6" w:space="0" w:color="auto"/>
              <w:right w:val="nil" w:sz="6" w:space="0" w:color="auto"/>
            </w:tcBorders>
          </w:tcPr>
          <w:p>
            <w:pPr/>
          </w:p>
        </w:tc>
        <w:tc>
          <w:tcPr>
            <w:tcW w:w="1969"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13"/>
              <w:jc w:val="right"/>
              <w:rPr>
                <w:rFonts w:ascii="Arial" w:hAnsi="Arial" w:cs="Arial" w:eastAsia="Arial" w:hint="default"/>
                <w:sz w:val="22"/>
                <w:szCs w:val="22"/>
              </w:rPr>
            </w:pPr>
            <w:r>
              <w:rPr>
                <w:rFonts w:ascii="Arial"/>
                <w:w w:val="95"/>
                <w:sz w:val="22"/>
              </w:rPr>
              <w:t>50,794,521</w:t>
            </w:r>
            <w:r>
              <w:rPr>
                <w:rFonts w:ascii="Arial"/>
                <w:sz w:val="22"/>
              </w:rPr>
            </w:r>
          </w:p>
        </w:tc>
      </w:tr>
      <w:tr>
        <w:trPr>
          <w:trHeight w:val="411" w:hRule="exact"/>
        </w:trPr>
        <w:tc>
          <w:tcPr>
            <w:tcW w:w="3738" w:type="dxa"/>
            <w:tcBorders>
              <w:top w:val="nil" w:sz="6" w:space="0" w:color="auto"/>
              <w:left w:val="nil" w:sz="6" w:space="0" w:color="auto"/>
              <w:bottom w:val="nil" w:sz="6" w:space="0" w:color="auto"/>
              <w:right w:val="nil" w:sz="6" w:space="0" w:color="auto"/>
            </w:tcBorders>
          </w:tcPr>
          <w:p>
            <w:pPr>
              <w:pStyle w:val="TableParagraph"/>
              <w:tabs>
                <w:tab w:pos="2560" w:val="left" w:leader="none"/>
              </w:tabs>
              <w:spacing w:line="271" w:lineRule="exact"/>
              <w:ind w:left="89" w:right="0"/>
              <w:jc w:val="left"/>
              <w:rPr>
                <w:rFonts w:ascii="Arial" w:hAnsi="Arial" w:cs="Arial" w:eastAsia="Arial" w:hint="default"/>
                <w:sz w:val="22"/>
                <w:szCs w:val="22"/>
              </w:rPr>
            </w:pPr>
            <w:r>
              <w:rPr>
                <w:rFonts w:ascii="Arial" w:hAnsi="Arial" w:cs="Arial" w:eastAsia="Arial" w:hint="default"/>
                <w:position w:val="2"/>
                <w:sz w:val="22"/>
                <w:szCs w:val="22"/>
              </w:rPr>
              <w:t>2008</w:t>
            </w:r>
            <w:r>
              <w:rPr>
                <w:rFonts w:ascii="Arial" w:hAnsi="Arial" w:cs="Arial" w:eastAsia="Arial" w:hint="default"/>
                <w:spacing w:val="-17"/>
                <w:position w:val="2"/>
                <w:sz w:val="22"/>
                <w:szCs w:val="22"/>
              </w:rPr>
              <w:t> </w:t>
            </w:r>
            <w:r>
              <w:rPr>
                <w:rFonts w:ascii="宋体" w:hAnsi="宋体" w:cs="宋体" w:eastAsia="宋体" w:hint="default"/>
                <w:position w:val="2"/>
                <w:sz w:val="22"/>
                <w:szCs w:val="22"/>
              </w:rPr>
              <w:t>年公司债券</w:t>
              <w:tab/>
            </w:r>
            <w:r>
              <w:rPr>
                <w:rFonts w:ascii="Arial" w:hAnsi="Arial" w:cs="Arial" w:eastAsia="Arial" w:hint="default"/>
                <w:sz w:val="22"/>
                <w:szCs w:val="22"/>
              </w:rPr>
              <w:t>87,205,479</w:t>
            </w:r>
          </w:p>
        </w:tc>
        <w:tc>
          <w:tcPr>
            <w:tcW w:w="112" w:type="dxa"/>
            <w:tcBorders>
              <w:top w:val="nil" w:sz="6" w:space="0" w:color="auto"/>
              <w:left w:val="nil" w:sz="6" w:space="0" w:color="auto"/>
              <w:bottom w:val="nil" w:sz="6" w:space="0" w:color="auto"/>
              <w:right w:val="nil" w:sz="6" w:space="0" w:color="auto"/>
            </w:tcBorders>
          </w:tcPr>
          <w:p>
            <w:pPr/>
          </w:p>
        </w:tc>
        <w:tc>
          <w:tcPr>
            <w:tcW w:w="3079" w:type="dxa"/>
            <w:tcBorders>
              <w:top w:val="nil" w:sz="6" w:space="0" w:color="auto"/>
              <w:left w:val="nil" w:sz="6" w:space="0" w:color="auto"/>
              <w:bottom w:val="nil" w:sz="6" w:space="0" w:color="auto"/>
              <w:right w:val="nil" w:sz="6" w:space="0" w:color="auto"/>
            </w:tcBorders>
          </w:tcPr>
          <w:p>
            <w:pPr>
              <w:pStyle w:val="TableParagraph"/>
              <w:tabs>
                <w:tab w:pos="1516" w:val="left" w:leader="none"/>
              </w:tabs>
              <w:spacing w:line="240" w:lineRule="auto" w:before="17"/>
              <w:ind w:right="34"/>
              <w:jc w:val="right"/>
              <w:rPr>
                <w:rFonts w:ascii="Arial" w:hAnsi="Arial" w:cs="Arial" w:eastAsia="Arial" w:hint="default"/>
                <w:sz w:val="22"/>
                <w:szCs w:val="22"/>
              </w:rPr>
            </w:pPr>
            <w:r>
              <w:rPr>
                <w:rFonts w:ascii="Arial"/>
                <w:w w:val="95"/>
                <w:sz w:val="22"/>
              </w:rPr>
              <w:t>264,500,000</w:t>
              <w:tab/>
              <w:t>(264,500,000)</w:t>
            </w:r>
            <w:r>
              <w:rPr>
                <w:rFonts w:ascii="Arial"/>
                <w:sz w:val="22"/>
              </w:rPr>
            </w:r>
          </w:p>
        </w:tc>
        <w:tc>
          <w:tcPr>
            <w:tcW w:w="113" w:type="dxa"/>
            <w:tcBorders>
              <w:top w:val="nil" w:sz="6" w:space="0" w:color="auto"/>
              <w:left w:val="nil" w:sz="6" w:space="0" w:color="auto"/>
              <w:bottom w:val="nil" w:sz="6" w:space="0" w:color="auto"/>
              <w:right w:val="nil" w:sz="6" w:space="0" w:color="auto"/>
            </w:tcBorders>
          </w:tcPr>
          <w:p>
            <w:pPr/>
          </w:p>
        </w:tc>
        <w:tc>
          <w:tcPr>
            <w:tcW w:w="196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4"/>
              <w:jc w:val="right"/>
              <w:rPr>
                <w:rFonts w:ascii="Arial" w:hAnsi="Arial" w:cs="Arial" w:eastAsia="Arial" w:hint="default"/>
                <w:sz w:val="22"/>
                <w:szCs w:val="22"/>
              </w:rPr>
            </w:pPr>
            <w:r>
              <w:rPr>
                <w:rFonts w:ascii="Arial"/>
                <w:w w:val="95"/>
                <w:sz w:val="22"/>
              </w:rPr>
              <w:t>87,205,479</w:t>
            </w:r>
            <w:r>
              <w:rPr>
                <w:rFonts w:ascii="Arial"/>
                <w:sz w:val="22"/>
              </w:rPr>
            </w:r>
          </w:p>
        </w:tc>
      </w:tr>
      <w:tr>
        <w:trPr>
          <w:trHeight w:val="530" w:hRule="exact"/>
        </w:trPr>
        <w:tc>
          <w:tcPr>
            <w:tcW w:w="3738" w:type="dxa"/>
            <w:tcBorders>
              <w:top w:val="nil" w:sz="6" w:space="0" w:color="auto"/>
              <w:left w:val="nil" w:sz="6" w:space="0" w:color="auto"/>
              <w:bottom w:val="nil" w:sz="6" w:space="0" w:color="auto"/>
              <w:right w:val="nil" w:sz="6" w:space="0" w:color="auto"/>
            </w:tcBorders>
          </w:tcPr>
          <w:p>
            <w:pPr>
              <w:pStyle w:val="TableParagraph"/>
              <w:spacing w:line="240" w:lineRule="auto" w:before="77"/>
              <w:ind w:left="35" w:right="0"/>
              <w:jc w:val="left"/>
              <w:rPr>
                <w:rFonts w:ascii="宋体" w:hAnsi="宋体" w:cs="宋体" w:eastAsia="宋体" w:hint="default"/>
                <w:sz w:val="22"/>
                <w:szCs w:val="22"/>
              </w:rPr>
            </w:pPr>
            <w:r>
              <w:rPr>
                <w:rFonts w:ascii="Arial" w:hAnsi="Arial" w:cs="Arial" w:eastAsia="Arial" w:hint="default"/>
                <w:sz w:val="22"/>
                <w:szCs w:val="22"/>
              </w:rPr>
              <w:t>(3)</w:t>
            </w:r>
            <w:r>
              <w:rPr>
                <w:rFonts w:ascii="Arial" w:hAnsi="Arial" w:cs="Arial" w:eastAsia="Arial" w:hint="default"/>
                <w:spacing w:val="59"/>
                <w:sz w:val="22"/>
                <w:szCs w:val="22"/>
              </w:rPr>
              <w:t> </w:t>
            </w:r>
            <w:r>
              <w:rPr>
                <w:rFonts w:ascii="宋体" w:hAnsi="宋体" w:cs="宋体" w:eastAsia="宋体" w:hint="default"/>
                <w:sz w:val="22"/>
                <w:szCs w:val="22"/>
              </w:rPr>
              <w:t>长期债券的公允价值分析如下：</w:t>
            </w:r>
          </w:p>
        </w:tc>
        <w:tc>
          <w:tcPr>
            <w:tcW w:w="112" w:type="dxa"/>
            <w:tcBorders>
              <w:top w:val="nil" w:sz="6" w:space="0" w:color="auto"/>
              <w:left w:val="nil" w:sz="6" w:space="0" w:color="auto"/>
              <w:bottom w:val="nil" w:sz="6" w:space="0" w:color="auto"/>
              <w:right w:val="nil" w:sz="6" w:space="0" w:color="auto"/>
            </w:tcBorders>
          </w:tcPr>
          <w:p>
            <w:pPr/>
          </w:p>
        </w:tc>
        <w:tc>
          <w:tcPr>
            <w:tcW w:w="3079" w:type="dxa"/>
            <w:tcBorders>
              <w:top w:val="nil" w:sz="6" w:space="0" w:color="auto"/>
              <w:left w:val="nil" w:sz="6" w:space="0" w:color="auto"/>
              <w:bottom w:val="nil" w:sz="6" w:space="0" w:color="auto"/>
              <w:right w:val="nil" w:sz="6" w:space="0" w:color="auto"/>
            </w:tcBorders>
          </w:tcPr>
          <w:p>
            <w:pPr/>
          </w:p>
        </w:tc>
        <w:tc>
          <w:tcPr>
            <w:tcW w:w="113" w:type="dxa"/>
            <w:tcBorders>
              <w:top w:val="nil" w:sz="6" w:space="0" w:color="auto"/>
              <w:left w:val="nil" w:sz="6" w:space="0" w:color="auto"/>
              <w:bottom w:val="nil" w:sz="6" w:space="0" w:color="auto"/>
              <w:right w:val="nil" w:sz="6" w:space="0" w:color="auto"/>
            </w:tcBorders>
          </w:tcPr>
          <w:p>
            <w:pPr/>
          </w:p>
        </w:tc>
        <w:tc>
          <w:tcPr>
            <w:tcW w:w="1969" w:type="dxa"/>
            <w:tcBorders>
              <w:top w:val="nil" w:sz="6" w:space="0" w:color="auto"/>
              <w:left w:val="nil" w:sz="6" w:space="0" w:color="auto"/>
              <w:bottom w:val="nil" w:sz="6" w:space="0" w:color="auto"/>
              <w:right w:val="nil" w:sz="6" w:space="0" w:color="auto"/>
            </w:tcBorders>
          </w:tcPr>
          <w:p>
            <w:pPr/>
          </w:p>
        </w:tc>
      </w:tr>
      <w:tr>
        <w:trPr>
          <w:trHeight w:val="414" w:hRule="exact"/>
        </w:trPr>
        <w:tc>
          <w:tcPr>
            <w:tcW w:w="3738" w:type="dxa"/>
            <w:tcBorders>
              <w:top w:val="nil" w:sz="6" w:space="0" w:color="auto"/>
              <w:left w:val="nil" w:sz="6" w:space="0" w:color="auto"/>
              <w:bottom w:val="nil" w:sz="6" w:space="0" w:color="auto"/>
              <w:right w:val="nil" w:sz="6" w:space="0" w:color="auto"/>
            </w:tcBorders>
          </w:tcPr>
          <w:p>
            <w:pPr>
              <w:pStyle w:val="TableParagraph"/>
              <w:spacing w:line="240" w:lineRule="auto" w:before="86"/>
              <w:ind w:left="62" w:right="0"/>
              <w:jc w:val="left"/>
              <w:rPr>
                <w:rFonts w:ascii="宋体" w:hAnsi="宋体" w:cs="宋体" w:eastAsia="宋体" w:hint="default"/>
                <w:sz w:val="22"/>
                <w:szCs w:val="22"/>
              </w:rPr>
            </w:pPr>
            <w:r>
              <w:rPr>
                <w:rFonts w:ascii="宋体" w:hAnsi="宋体" w:cs="宋体" w:eastAsia="宋体" w:hint="default"/>
                <w:sz w:val="22"/>
                <w:szCs w:val="22"/>
              </w:rPr>
              <w:t>（单位：人民币百万元）</w:t>
            </w:r>
          </w:p>
        </w:tc>
        <w:tc>
          <w:tcPr>
            <w:tcW w:w="112" w:type="dxa"/>
            <w:tcBorders>
              <w:top w:val="nil" w:sz="6" w:space="0" w:color="auto"/>
              <w:left w:val="nil" w:sz="6" w:space="0" w:color="auto"/>
              <w:bottom w:val="nil" w:sz="6" w:space="0" w:color="auto"/>
              <w:right w:val="nil" w:sz="6" w:space="0" w:color="auto"/>
            </w:tcBorders>
          </w:tcPr>
          <w:p>
            <w:pPr/>
          </w:p>
        </w:tc>
        <w:tc>
          <w:tcPr>
            <w:tcW w:w="3079" w:type="dxa"/>
            <w:tcBorders>
              <w:top w:val="nil" w:sz="6" w:space="0" w:color="auto"/>
              <w:left w:val="nil" w:sz="6" w:space="0" w:color="auto"/>
              <w:bottom w:val="single" w:sz="6" w:space="0" w:color="000000"/>
              <w:right w:val="nil" w:sz="6" w:space="0" w:color="auto"/>
            </w:tcBorders>
          </w:tcPr>
          <w:p>
            <w:pPr>
              <w:pStyle w:val="TableParagraph"/>
              <w:spacing w:line="240" w:lineRule="auto" w:before="86"/>
              <w:ind w:left="753" w:right="0"/>
              <w:jc w:val="lef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17"/>
                <w:sz w:val="22"/>
                <w:szCs w:val="22"/>
              </w:rPr>
              <w:t> </w:t>
            </w:r>
            <w:r>
              <w:rPr>
                <w:rFonts w:ascii="宋体" w:hAnsi="宋体" w:cs="宋体" w:eastAsia="宋体" w:hint="default"/>
                <w:sz w:val="22"/>
                <w:szCs w:val="22"/>
              </w:rPr>
              <w:t>年</w:t>
            </w:r>
            <w:r>
              <w:rPr>
                <w:rFonts w:ascii="宋体" w:hAnsi="宋体" w:cs="宋体" w:eastAsia="宋体" w:hint="default"/>
                <w:spacing w:val="-66"/>
                <w:sz w:val="22"/>
                <w:szCs w:val="22"/>
              </w:rPr>
              <w:t> </w:t>
            </w:r>
            <w:r>
              <w:rPr>
                <w:rFonts w:ascii="Arial" w:hAnsi="Arial" w:cs="Arial" w:eastAsia="Arial" w:hint="default"/>
                <w:sz w:val="22"/>
                <w:szCs w:val="22"/>
              </w:rPr>
              <w:t>12</w:t>
            </w:r>
            <w:r>
              <w:rPr>
                <w:rFonts w:ascii="Arial" w:hAnsi="Arial" w:cs="Arial" w:eastAsia="Arial" w:hint="default"/>
                <w:spacing w:val="-17"/>
                <w:sz w:val="22"/>
                <w:szCs w:val="22"/>
              </w:rPr>
              <w:t> </w:t>
            </w:r>
            <w:r>
              <w:rPr>
                <w:rFonts w:ascii="宋体" w:hAnsi="宋体" w:cs="宋体" w:eastAsia="宋体" w:hint="default"/>
                <w:sz w:val="22"/>
                <w:szCs w:val="22"/>
              </w:rPr>
              <w:t>月</w:t>
            </w:r>
            <w:r>
              <w:rPr>
                <w:rFonts w:ascii="宋体" w:hAnsi="宋体" w:cs="宋体" w:eastAsia="宋体" w:hint="default"/>
                <w:spacing w:val="-66"/>
                <w:sz w:val="22"/>
                <w:szCs w:val="22"/>
              </w:rPr>
              <w:t> </w:t>
            </w:r>
            <w:r>
              <w:rPr>
                <w:rFonts w:ascii="Arial" w:hAnsi="Arial" w:cs="Arial" w:eastAsia="Arial" w:hint="default"/>
                <w:sz w:val="22"/>
                <w:szCs w:val="22"/>
              </w:rPr>
              <w:t>31</w:t>
            </w:r>
            <w:r>
              <w:rPr>
                <w:rFonts w:ascii="Arial" w:hAnsi="Arial" w:cs="Arial" w:eastAsia="Arial" w:hint="default"/>
                <w:spacing w:val="-17"/>
                <w:sz w:val="22"/>
                <w:szCs w:val="22"/>
              </w:rPr>
              <w:t> </w:t>
            </w:r>
            <w:r>
              <w:rPr>
                <w:rFonts w:ascii="宋体" w:hAnsi="宋体" w:cs="宋体" w:eastAsia="宋体" w:hint="default"/>
                <w:sz w:val="22"/>
                <w:szCs w:val="22"/>
              </w:rPr>
              <w:t>日</w:t>
            </w:r>
          </w:p>
        </w:tc>
        <w:tc>
          <w:tcPr>
            <w:tcW w:w="113" w:type="dxa"/>
            <w:tcBorders>
              <w:top w:val="nil" w:sz="6" w:space="0" w:color="auto"/>
              <w:left w:val="nil" w:sz="6" w:space="0" w:color="auto"/>
              <w:bottom w:val="single" w:sz="6" w:space="0" w:color="000000"/>
              <w:right w:val="nil" w:sz="6" w:space="0" w:color="auto"/>
            </w:tcBorders>
          </w:tcPr>
          <w:p>
            <w:pPr/>
          </w:p>
        </w:tc>
        <w:tc>
          <w:tcPr>
            <w:tcW w:w="1969" w:type="dxa"/>
            <w:tcBorders>
              <w:top w:val="nil" w:sz="6" w:space="0" w:color="auto"/>
              <w:left w:val="nil" w:sz="6" w:space="0" w:color="auto"/>
              <w:bottom w:val="single" w:sz="6" w:space="0" w:color="000000"/>
              <w:right w:val="nil" w:sz="6" w:space="0" w:color="auto"/>
            </w:tcBorders>
          </w:tcPr>
          <w:p>
            <w:pPr>
              <w:pStyle w:val="TableParagraph"/>
              <w:spacing w:line="240" w:lineRule="auto" w:before="86"/>
              <w:ind w:right="52"/>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23"/>
                <w:sz w:val="22"/>
                <w:szCs w:val="22"/>
              </w:rPr>
              <w:t> </w:t>
            </w:r>
            <w:r>
              <w:rPr>
                <w:rFonts w:ascii="宋体" w:hAnsi="宋体" w:cs="宋体" w:eastAsia="宋体" w:hint="default"/>
                <w:sz w:val="22"/>
                <w:szCs w:val="22"/>
              </w:rPr>
              <w:t>年</w:t>
            </w:r>
            <w:r>
              <w:rPr>
                <w:rFonts w:ascii="宋体" w:hAnsi="宋体" w:cs="宋体" w:eastAsia="宋体" w:hint="default"/>
                <w:spacing w:val="-72"/>
                <w:sz w:val="22"/>
                <w:szCs w:val="22"/>
              </w:rPr>
              <w:t> </w:t>
            </w:r>
            <w:r>
              <w:rPr>
                <w:rFonts w:ascii="Arial" w:hAnsi="Arial" w:cs="Arial" w:eastAsia="Arial" w:hint="default"/>
                <w:sz w:val="22"/>
                <w:szCs w:val="22"/>
              </w:rPr>
              <w:t>12</w:t>
            </w:r>
            <w:r>
              <w:rPr>
                <w:rFonts w:ascii="Arial" w:hAnsi="Arial" w:cs="Arial" w:eastAsia="Arial" w:hint="default"/>
                <w:spacing w:val="-23"/>
                <w:sz w:val="22"/>
                <w:szCs w:val="22"/>
              </w:rPr>
              <w:t> </w:t>
            </w:r>
            <w:r>
              <w:rPr>
                <w:rFonts w:ascii="宋体" w:hAnsi="宋体" w:cs="宋体" w:eastAsia="宋体" w:hint="default"/>
                <w:sz w:val="22"/>
                <w:szCs w:val="22"/>
              </w:rPr>
              <w:t>月</w:t>
            </w:r>
            <w:r>
              <w:rPr>
                <w:rFonts w:ascii="宋体" w:hAnsi="宋体" w:cs="宋体" w:eastAsia="宋体" w:hint="default"/>
                <w:spacing w:val="-72"/>
                <w:sz w:val="22"/>
                <w:szCs w:val="22"/>
              </w:rPr>
              <w:t> </w:t>
            </w:r>
            <w:r>
              <w:rPr>
                <w:rFonts w:ascii="Arial" w:hAnsi="Arial" w:cs="Arial" w:eastAsia="Arial" w:hint="default"/>
                <w:sz w:val="22"/>
                <w:szCs w:val="22"/>
              </w:rPr>
              <w:t>31</w:t>
            </w:r>
            <w:r>
              <w:rPr>
                <w:rFonts w:ascii="Arial" w:hAnsi="Arial" w:cs="Arial" w:eastAsia="Arial" w:hint="default"/>
                <w:spacing w:val="-23"/>
                <w:sz w:val="22"/>
                <w:szCs w:val="22"/>
              </w:rPr>
              <w:t> </w:t>
            </w:r>
            <w:r>
              <w:rPr>
                <w:rFonts w:ascii="宋体" w:hAnsi="宋体" w:cs="宋体" w:eastAsia="宋体" w:hint="default"/>
                <w:sz w:val="22"/>
                <w:szCs w:val="22"/>
              </w:rPr>
              <w:t>日</w:t>
            </w:r>
          </w:p>
        </w:tc>
      </w:tr>
      <w:tr>
        <w:trPr>
          <w:trHeight w:val="602" w:hRule="exact"/>
        </w:trPr>
        <w:tc>
          <w:tcPr>
            <w:tcW w:w="3738"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长期债券的公允价值</w:t>
            </w:r>
          </w:p>
        </w:tc>
        <w:tc>
          <w:tcPr>
            <w:tcW w:w="112" w:type="dxa"/>
            <w:tcBorders>
              <w:top w:val="nil" w:sz="6" w:space="0" w:color="auto"/>
              <w:left w:val="nil" w:sz="6" w:space="0" w:color="auto"/>
              <w:bottom w:val="nil" w:sz="6" w:space="0" w:color="auto"/>
              <w:right w:val="nil" w:sz="6" w:space="0" w:color="auto"/>
            </w:tcBorders>
          </w:tcPr>
          <w:p>
            <w:pPr/>
          </w:p>
        </w:tc>
        <w:tc>
          <w:tcPr>
            <w:tcW w:w="3079" w:type="dxa"/>
            <w:tcBorders>
              <w:top w:val="single" w:sz="6" w:space="0" w:color="000000"/>
              <w:left w:val="nil" w:sz="6" w:space="0" w:color="auto"/>
              <w:bottom w:val="single" w:sz="17" w:space="0" w:color="000000"/>
              <w:right w:val="nil" w:sz="6" w:space="0" w:color="auto"/>
            </w:tcBorders>
          </w:tcPr>
          <w:p>
            <w:pPr>
              <w:pStyle w:val="TableParagraph"/>
              <w:spacing w:line="20" w:lineRule="exact"/>
              <w:ind w:left="244" w:right="0"/>
              <w:jc w:val="left"/>
              <w:rPr>
                <w:rFonts w:ascii="宋体" w:hAnsi="宋体" w:cs="宋体" w:eastAsia="宋体" w:hint="default"/>
                <w:sz w:val="2"/>
                <w:szCs w:val="2"/>
              </w:rPr>
            </w:pPr>
            <w:r>
              <w:rPr>
                <w:rFonts w:ascii="宋体" w:hAnsi="宋体" w:cs="宋体" w:eastAsia="宋体" w:hint="default"/>
                <w:sz w:val="2"/>
                <w:szCs w:val="2"/>
              </w:rPr>
              <w:pict>
                <v:group style="width:121.1pt;height:.75pt;mso-position-horizontal-relative:char;mso-position-vertical-relative:line" coordorigin="0,0" coordsize="2422,15">
                  <v:group style="position:absolute;left:7;top:7;width:2408;height:2" coordorigin="7,7" coordsize="2408,2">
                    <v:shape style="position:absolute;left:7;top:7;width:2408;height:2" coordorigin="7,7" coordsize="2408,0" path="m7,7l2414,7e" filled="false" stroked="true" strokeweight=".72pt" strokecolor="#000000">
                      <v:path arrowok="t"/>
                    </v:shape>
                  </v:group>
                </v:group>
              </w:pict>
            </w:r>
            <w:r>
              <w:rPr>
                <w:rFonts w:ascii="宋体" w:hAnsi="宋体" w:cs="宋体" w:eastAsia="宋体" w:hint="default"/>
                <w:sz w:val="2"/>
                <w:szCs w:val="2"/>
              </w:rPr>
            </w: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2002" w:right="0"/>
              <w:jc w:val="left"/>
              <w:rPr>
                <w:rFonts w:ascii="Arial" w:hAnsi="Arial" w:cs="Arial" w:eastAsia="Arial" w:hint="default"/>
                <w:sz w:val="22"/>
                <w:szCs w:val="22"/>
              </w:rPr>
            </w:pPr>
            <w:r>
              <w:rPr>
                <w:rFonts w:ascii="Arial"/>
                <w:sz w:val="22"/>
              </w:rPr>
              <w:t>7,494</w:t>
            </w:r>
          </w:p>
        </w:tc>
        <w:tc>
          <w:tcPr>
            <w:tcW w:w="113" w:type="dxa"/>
            <w:tcBorders>
              <w:top w:val="single" w:sz="6" w:space="0" w:color="000000"/>
              <w:left w:val="nil" w:sz="6" w:space="0" w:color="auto"/>
              <w:bottom w:val="single" w:sz="17" w:space="0" w:color="000000"/>
              <w:right w:val="nil" w:sz="6" w:space="0" w:color="auto"/>
            </w:tcBorders>
          </w:tcPr>
          <w:p>
            <w:pPr/>
          </w:p>
        </w:tc>
        <w:tc>
          <w:tcPr>
            <w:tcW w:w="1969" w:type="dxa"/>
            <w:tcBorders>
              <w:top w:val="single" w:sz="6" w:space="0" w:color="000000"/>
              <w:left w:val="nil" w:sz="6" w:space="0" w:color="auto"/>
              <w:bottom w:val="single" w:sz="17" w:space="0" w:color="000000"/>
              <w:right w:val="nil" w:sz="6" w:space="0" w:color="auto"/>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35"/>
              <w:jc w:val="right"/>
              <w:rPr>
                <w:rFonts w:ascii="Arial" w:hAnsi="Arial" w:cs="Arial" w:eastAsia="Arial" w:hint="default"/>
                <w:sz w:val="22"/>
                <w:szCs w:val="22"/>
              </w:rPr>
            </w:pPr>
            <w:r>
              <w:rPr>
                <w:rFonts w:ascii="Arial"/>
                <w:w w:val="95"/>
                <w:sz w:val="22"/>
              </w:rPr>
              <w:t>7,143</w:t>
            </w:r>
            <w:r>
              <w:rPr>
                <w:rFonts w:ascii="Arial"/>
                <w:sz w:val="22"/>
              </w:rPr>
            </w:r>
          </w:p>
        </w:tc>
      </w:tr>
    </w:tbl>
    <w:p>
      <w:pPr>
        <w:spacing w:line="240" w:lineRule="auto" w:before="7"/>
        <w:rPr>
          <w:rFonts w:ascii="宋体" w:hAnsi="宋体" w:cs="宋体" w:eastAsia="宋体" w:hint="default"/>
          <w:sz w:val="12"/>
          <w:szCs w:val="12"/>
        </w:rPr>
      </w:pPr>
    </w:p>
    <w:p>
      <w:pPr>
        <w:pStyle w:val="BodyText"/>
        <w:spacing w:line="295" w:lineRule="exact" w:before="31"/>
        <w:ind w:left="550" w:right="0"/>
        <w:jc w:val="left"/>
        <w:rPr>
          <w:rFonts w:ascii="Arial" w:hAnsi="Arial" w:cs="Arial" w:eastAsia="Arial" w:hint="default"/>
        </w:rPr>
      </w:pPr>
      <w:r>
        <w:rPr/>
        <w:t>于</w:t>
      </w:r>
      <w:r>
        <w:rPr>
          <w:spacing w:val="-36"/>
        </w:rPr>
        <w:t> </w:t>
      </w:r>
      <w:r>
        <w:rPr>
          <w:rFonts w:ascii="Arial" w:hAnsi="Arial" w:cs="Arial" w:eastAsia="Arial" w:hint="default"/>
        </w:rPr>
        <w:t>2009</w:t>
      </w:r>
      <w:r>
        <w:rPr>
          <w:rFonts w:ascii="Arial" w:hAnsi="Arial" w:cs="Arial" w:eastAsia="Arial" w:hint="default"/>
          <w:spacing w:val="13"/>
        </w:rPr>
        <w:t> </w:t>
      </w:r>
      <w:r>
        <w:rPr/>
        <w:t>年</w:t>
      </w:r>
      <w:r>
        <w:rPr>
          <w:spacing w:val="-35"/>
        </w:rPr>
        <w:t> </w:t>
      </w:r>
      <w:r>
        <w:rPr>
          <w:rFonts w:ascii="Arial" w:hAnsi="Arial" w:cs="Arial" w:eastAsia="Arial" w:hint="default"/>
        </w:rPr>
        <w:t>12</w:t>
      </w:r>
      <w:r>
        <w:rPr>
          <w:rFonts w:ascii="Arial" w:hAnsi="Arial" w:cs="Arial" w:eastAsia="Arial" w:hint="default"/>
          <w:spacing w:val="13"/>
        </w:rPr>
        <w:t> </w:t>
      </w:r>
      <w:r>
        <w:rPr/>
        <w:t>月</w:t>
      </w:r>
      <w:r>
        <w:rPr>
          <w:spacing w:val="-36"/>
        </w:rPr>
        <w:t> </w:t>
      </w:r>
      <w:r>
        <w:rPr>
          <w:rFonts w:ascii="Arial" w:hAnsi="Arial" w:cs="Arial" w:eastAsia="Arial" w:hint="default"/>
        </w:rPr>
        <w:t>31</w:t>
      </w:r>
      <w:r>
        <w:rPr>
          <w:rFonts w:ascii="Arial" w:hAnsi="Arial" w:cs="Arial" w:eastAsia="Arial" w:hint="default"/>
          <w:spacing w:val="13"/>
        </w:rPr>
        <w:t> </w:t>
      </w:r>
      <w:r>
        <w:rPr/>
        <w:t>日，上述公允价值以现金流量按市场利率</w:t>
      </w:r>
      <w:r>
        <w:rPr>
          <w:spacing w:val="-35"/>
        </w:rPr>
        <w:t> </w:t>
      </w:r>
      <w:r>
        <w:rPr>
          <w:rFonts w:ascii="Arial" w:hAnsi="Arial" w:cs="Arial" w:eastAsia="Arial" w:hint="default"/>
        </w:rPr>
        <w:t>4.18%</w:t>
      </w:r>
      <w:r>
        <w:rPr/>
        <w:t>至</w:t>
      </w:r>
      <w:r>
        <w:rPr>
          <w:spacing w:val="-36"/>
        </w:rPr>
        <w:t> </w:t>
      </w:r>
      <w:r>
        <w:rPr>
          <w:rFonts w:ascii="Arial" w:hAnsi="Arial" w:cs="Arial" w:eastAsia="Arial" w:hint="default"/>
        </w:rPr>
        <w:t>4.86%</w:t>
      </w:r>
      <w:r>
        <w:rPr/>
        <w:t>来折算（</w:t>
      </w:r>
      <w:r>
        <w:rPr>
          <w:rFonts w:ascii="Arial" w:hAnsi="Arial" w:cs="Arial" w:eastAsia="Arial" w:hint="default"/>
        </w:rPr>
        <w:t>2008</w:t>
      </w:r>
    </w:p>
    <w:p>
      <w:pPr>
        <w:pStyle w:val="BodyText"/>
        <w:spacing w:line="424" w:lineRule="auto"/>
        <w:ind w:left="102" w:right="5593" w:firstLine="447"/>
        <w:jc w:val="left"/>
        <w:rPr>
          <w:rFonts w:ascii="黑体" w:hAnsi="黑体" w:cs="黑体" w:eastAsia="黑体" w:hint="default"/>
        </w:rPr>
      </w:pPr>
      <w:r>
        <w:rPr/>
        <w:t>年</w:t>
      </w:r>
      <w:r>
        <w:rPr>
          <w:spacing w:val="-57"/>
        </w:rPr>
        <w:t> </w:t>
      </w: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t>日：</w:t>
      </w:r>
      <w:r>
        <w:rPr>
          <w:rFonts w:ascii="Arial" w:hAnsi="Arial" w:cs="Arial" w:eastAsia="Arial" w:hint="default"/>
        </w:rPr>
        <w:t>3.32%</w:t>
      </w:r>
      <w:r>
        <w:rPr/>
        <w:t>至</w:t>
      </w:r>
      <w:r>
        <w:rPr>
          <w:spacing w:val="-57"/>
        </w:rPr>
        <w:t> </w:t>
      </w:r>
      <w:r>
        <w:rPr>
          <w:rFonts w:ascii="Arial" w:hAnsi="Arial" w:cs="Arial" w:eastAsia="Arial" w:hint="default"/>
        </w:rPr>
        <w:t>3.98%</w:t>
      </w:r>
      <w:r>
        <w:rPr/>
        <w:t>）。</w:t>
      </w:r>
      <w:r>
        <w:rPr>
          <w:w w:val="99"/>
        </w:rPr>
        <w:t> </w:t>
      </w:r>
      <w:r>
        <w:rPr>
          <w:rFonts w:ascii="Arial" w:hAnsi="Arial" w:cs="Arial" w:eastAsia="Arial" w:hint="default"/>
        </w:rPr>
        <w:t>28</w:t>
      </w:r>
      <w:r>
        <w:rPr>
          <w:rFonts w:ascii="黑体" w:hAnsi="黑体" w:cs="黑体" w:eastAsia="黑体" w:hint="default"/>
        </w:rPr>
        <w:t>、长期应付款</w:t>
      </w:r>
    </w:p>
    <w:tbl>
      <w:tblPr>
        <w:tblW w:w="0" w:type="auto"/>
        <w:jc w:val="left"/>
        <w:tblInd w:w="515" w:type="dxa"/>
        <w:tblLayout w:type="fixed"/>
        <w:tblCellMar>
          <w:top w:w="0" w:type="dxa"/>
          <w:left w:w="0" w:type="dxa"/>
          <w:bottom w:w="0" w:type="dxa"/>
          <w:right w:w="0" w:type="dxa"/>
        </w:tblCellMar>
        <w:tblLook w:val="01E0"/>
      </w:tblPr>
      <w:tblGrid>
        <w:gridCol w:w="4299"/>
        <w:gridCol w:w="2359"/>
        <w:gridCol w:w="2411"/>
      </w:tblGrid>
      <w:tr>
        <w:trPr>
          <w:trHeight w:val="361" w:hRule="exact"/>
        </w:trPr>
        <w:tc>
          <w:tcPr>
            <w:tcW w:w="4299" w:type="dxa"/>
            <w:vMerge w:val="restart"/>
            <w:tcBorders>
              <w:top w:val="nil" w:sz="6" w:space="0" w:color="auto"/>
              <w:left w:val="nil" w:sz="6" w:space="0" w:color="auto"/>
              <w:right w:val="nil" w:sz="6" w:space="0" w:color="auto"/>
            </w:tcBorders>
          </w:tcPr>
          <w:p>
            <w:pPr/>
          </w:p>
        </w:tc>
        <w:tc>
          <w:tcPr>
            <w:tcW w:w="2359"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60"/>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411"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left="408" w:right="0"/>
              <w:jc w:val="lef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292" w:hRule="exact"/>
        </w:trPr>
        <w:tc>
          <w:tcPr>
            <w:tcW w:w="4299" w:type="dxa"/>
            <w:vMerge/>
            <w:tcBorders>
              <w:left w:val="nil" w:sz="6" w:space="0" w:color="auto"/>
              <w:bottom w:val="nil" w:sz="6" w:space="0" w:color="auto"/>
              <w:right w:val="nil" w:sz="6" w:space="0" w:color="auto"/>
            </w:tcBorders>
          </w:tcPr>
          <w:p>
            <w:pPr/>
          </w:p>
        </w:tc>
        <w:tc>
          <w:tcPr>
            <w:tcW w:w="2359" w:type="dxa"/>
            <w:tcBorders>
              <w:top w:val="single" w:sz="6" w:space="0" w:color="000000"/>
              <w:left w:val="nil" w:sz="6" w:space="0" w:color="auto"/>
              <w:bottom w:val="nil" w:sz="6" w:space="0" w:color="auto"/>
              <w:right w:val="nil" w:sz="6" w:space="0" w:color="auto"/>
            </w:tcBorders>
          </w:tcPr>
          <w:p>
            <w:pPr/>
          </w:p>
        </w:tc>
        <w:tc>
          <w:tcPr>
            <w:tcW w:w="2411" w:type="dxa"/>
            <w:tcBorders>
              <w:top w:val="single" w:sz="6" w:space="0" w:color="000000"/>
              <w:left w:val="nil" w:sz="6" w:space="0" w:color="auto"/>
              <w:bottom w:val="nil" w:sz="6" w:space="0" w:color="auto"/>
              <w:right w:val="nil" w:sz="6" w:space="0" w:color="auto"/>
            </w:tcBorders>
          </w:tcPr>
          <w:p>
            <w:pPr>
              <w:pStyle w:val="TableParagraph"/>
              <w:spacing w:line="252" w:lineRule="exact"/>
              <w:ind w:right="88"/>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4299" w:type="dxa"/>
            <w:tcBorders>
              <w:top w:val="nil" w:sz="6" w:space="0" w:color="auto"/>
              <w:left w:val="nil" w:sz="6" w:space="0" w:color="auto"/>
              <w:bottom w:val="nil" w:sz="6" w:space="0" w:color="auto"/>
              <w:right w:val="nil" w:sz="6" w:space="0" w:color="auto"/>
            </w:tcBorders>
          </w:tcPr>
          <w:p>
            <w:pPr>
              <w:pStyle w:val="TableParagraph"/>
              <w:spacing w:line="268" w:lineRule="exact"/>
              <w:ind w:left="35" w:right="0"/>
              <w:jc w:val="left"/>
              <w:rPr>
                <w:rFonts w:ascii="宋体" w:hAnsi="宋体" w:cs="宋体" w:eastAsia="宋体" w:hint="default"/>
                <w:sz w:val="22"/>
                <w:szCs w:val="22"/>
              </w:rPr>
            </w:pPr>
            <w:r>
              <w:rPr>
                <w:rFonts w:ascii="宋体" w:hAnsi="宋体" w:cs="宋体" w:eastAsia="宋体" w:hint="default"/>
                <w:sz w:val="22"/>
                <w:szCs w:val="22"/>
              </w:rPr>
              <w:t>应付内退员工补偿费（附注五</w:t>
            </w:r>
            <w:r>
              <w:rPr>
                <w:rFonts w:ascii="Arial" w:hAnsi="Arial" w:cs="Arial" w:eastAsia="Arial" w:hint="default"/>
                <w:sz w:val="22"/>
                <w:szCs w:val="22"/>
              </w:rPr>
              <w:t>(20)</w:t>
            </w:r>
            <w:r>
              <w:rPr>
                <w:rFonts w:ascii="宋体" w:hAnsi="宋体" w:cs="宋体" w:eastAsia="宋体" w:hint="default"/>
                <w:sz w:val="22"/>
                <w:szCs w:val="22"/>
              </w:rPr>
              <w:t>）</w:t>
            </w: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38"/>
              <w:jc w:val="right"/>
              <w:rPr>
                <w:rFonts w:ascii="Arial" w:hAnsi="Arial" w:cs="Arial" w:eastAsia="Arial" w:hint="default"/>
                <w:sz w:val="22"/>
                <w:szCs w:val="22"/>
              </w:rPr>
            </w:pPr>
            <w:r>
              <w:rPr>
                <w:rFonts w:ascii="Arial"/>
                <w:w w:val="95"/>
                <w:sz w:val="22"/>
              </w:rPr>
              <w:t>9,885,704</w:t>
            </w:r>
            <w:r>
              <w:rPr>
                <w:rFonts w:ascii="Arial"/>
                <w:sz w:val="22"/>
              </w:rPr>
            </w:r>
          </w:p>
        </w:tc>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6"/>
              <w:jc w:val="right"/>
              <w:rPr>
                <w:rFonts w:ascii="Arial" w:hAnsi="Arial" w:cs="Arial" w:eastAsia="Arial" w:hint="default"/>
                <w:sz w:val="22"/>
                <w:szCs w:val="22"/>
              </w:rPr>
            </w:pPr>
            <w:r>
              <w:rPr>
                <w:rFonts w:ascii="Arial"/>
                <w:spacing w:val="-1"/>
                <w:sz w:val="22"/>
              </w:rPr>
              <w:t>2,118,082,886</w:t>
            </w:r>
          </w:p>
        </w:tc>
      </w:tr>
      <w:tr>
        <w:trPr>
          <w:trHeight w:val="285" w:hRule="exact"/>
        </w:trPr>
        <w:tc>
          <w:tcPr>
            <w:tcW w:w="4299"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sz w:val="22"/>
                <w:szCs w:val="22"/>
              </w:rPr>
              <w:t>应付离退休后补充福利（附注五</w:t>
            </w:r>
            <w:r>
              <w:rPr>
                <w:rFonts w:ascii="Arial" w:hAnsi="Arial" w:cs="Arial" w:eastAsia="Arial" w:hint="default"/>
                <w:sz w:val="22"/>
                <w:szCs w:val="22"/>
              </w:rPr>
              <w:t>(20)</w:t>
            </w:r>
            <w:r>
              <w:rPr>
                <w:rFonts w:ascii="宋体" w:hAnsi="宋体" w:cs="宋体" w:eastAsia="宋体" w:hint="default"/>
                <w:sz w:val="22"/>
                <w:szCs w:val="22"/>
              </w:rPr>
              <w:t>）</w:t>
            </w: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8"/>
              <w:jc w:val="right"/>
              <w:rPr>
                <w:rFonts w:ascii="Arial" w:hAnsi="Arial" w:cs="Arial" w:eastAsia="Arial" w:hint="default"/>
                <w:sz w:val="22"/>
                <w:szCs w:val="22"/>
              </w:rPr>
            </w:pPr>
            <w:r>
              <w:rPr>
                <w:rFonts w:ascii="Arial"/>
                <w:w w:val="95"/>
                <w:sz w:val="22"/>
              </w:rPr>
              <w:t>79,626,650</w:t>
            </w:r>
            <w:r>
              <w:rPr>
                <w:rFonts w:ascii="Arial"/>
                <w:sz w:val="22"/>
              </w:rPr>
            </w:r>
          </w:p>
        </w:tc>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Arial" w:hAnsi="Arial" w:cs="Arial" w:eastAsia="Arial" w:hint="default"/>
                <w:sz w:val="22"/>
                <w:szCs w:val="22"/>
              </w:rPr>
            </w:pPr>
            <w:r>
              <w:rPr>
                <w:rFonts w:ascii="Arial"/>
                <w:w w:val="95"/>
                <w:sz w:val="22"/>
              </w:rPr>
              <w:t>78,063,390</w:t>
            </w:r>
            <w:r>
              <w:rPr>
                <w:rFonts w:ascii="Arial"/>
                <w:sz w:val="22"/>
              </w:rPr>
            </w:r>
          </w:p>
        </w:tc>
      </w:tr>
      <w:tr>
        <w:trPr>
          <w:trHeight w:val="265" w:hRule="exact"/>
        </w:trPr>
        <w:tc>
          <w:tcPr>
            <w:tcW w:w="4299"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应付融资租赁款</w:t>
            </w: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37"/>
              <w:jc w:val="right"/>
              <w:rPr>
                <w:rFonts w:ascii="Arial" w:hAnsi="Arial" w:cs="Arial" w:eastAsia="Arial" w:hint="default"/>
                <w:sz w:val="22"/>
                <w:szCs w:val="22"/>
              </w:rPr>
            </w:pPr>
            <w:r>
              <w:rPr>
                <w:rFonts w:ascii="Arial"/>
                <w:w w:val="95"/>
                <w:sz w:val="22"/>
              </w:rPr>
              <w:t>128,933,332</w:t>
            </w:r>
            <w:r>
              <w:rPr>
                <w:rFonts w:ascii="Arial"/>
                <w:sz w:val="22"/>
              </w:rPr>
            </w:r>
          </w:p>
        </w:tc>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Arial" w:hAnsi="Arial" w:cs="Arial" w:eastAsia="Arial" w:hint="default"/>
                <w:sz w:val="22"/>
                <w:szCs w:val="22"/>
              </w:rPr>
            </w:pPr>
            <w:r>
              <w:rPr>
                <w:rFonts w:ascii="Arial"/>
                <w:w w:val="99"/>
                <w:sz w:val="22"/>
              </w:rPr>
              <w:t>-</w:t>
            </w:r>
            <w:r>
              <w:rPr>
                <w:rFonts w:ascii="Arial"/>
                <w:sz w:val="22"/>
              </w:rPr>
            </w:r>
          </w:p>
        </w:tc>
      </w:tr>
      <w:tr>
        <w:trPr>
          <w:trHeight w:val="439" w:hRule="exact"/>
        </w:trPr>
        <w:tc>
          <w:tcPr>
            <w:tcW w:w="9069" w:type="dxa"/>
            <w:gridSpan w:val="3"/>
            <w:tcBorders>
              <w:top w:val="nil" w:sz="6" w:space="0" w:color="auto"/>
              <w:left w:val="nil" w:sz="6" w:space="0" w:color="auto"/>
              <w:bottom w:val="nil" w:sz="6" w:space="0" w:color="auto"/>
              <w:right w:val="nil" w:sz="6" w:space="0" w:color="auto"/>
            </w:tcBorders>
          </w:tcPr>
          <w:p>
            <w:pPr>
              <w:pStyle w:val="TableParagraph"/>
              <w:tabs>
                <w:tab w:pos="4298" w:val="left" w:leader="none"/>
                <w:tab w:pos="5538" w:val="left" w:leader="none"/>
                <w:tab w:pos="7981" w:val="left" w:leader="none"/>
                <w:tab w:pos="9043" w:val="left" w:leader="none"/>
              </w:tabs>
              <w:spacing w:line="290" w:lineRule="exact"/>
              <w:ind w:left="35" w:right="0"/>
              <w:jc w:val="left"/>
              <w:rPr>
                <w:rFonts w:ascii="Arial" w:hAnsi="Arial" w:cs="Arial" w:eastAsia="Arial" w:hint="default"/>
                <w:sz w:val="22"/>
                <w:szCs w:val="22"/>
              </w:rPr>
            </w:pPr>
            <w:r>
              <w:rPr>
                <w:rFonts w:ascii="宋体" w:hAnsi="宋体" w:cs="宋体" w:eastAsia="宋体" w:hint="default"/>
                <w:w w:val="95"/>
                <w:position w:val="2"/>
                <w:sz w:val="22"/>
                <w:szCs w:val="22"/>
              </w:rPr>
              <w:t>其他</w:t>
              <w:tab/>
            </w:r>
            <w:r>
              <w:rPr>
                <w:rFonts w:ascii="Arial" w:hAnsi="Arial" w:cs="Arial" w:eastAsia="Arial" w:hint="default"/>
                <w:w w:val="95"/>
                <w:sz w:val="22"/>
                <w:szCs w:val="22"/>
              </w:rPr>
            </w:r>
            <w:r>
              <w:rPr>
                <w:rFonts w:ascii="Arial" w:hAnsi="Arial" w:cs="Arial" w:eastAsia="Arial" w:hint="default"/>
                <w:w w:val="95"/>
                <w:sz w:val="22"/>
                <w:szCs w:val="22"/>
                <w:u w:val="single" w:color="000000"/>
              </w:rPr>
              <w:t> </w:t>
              <w:tab/>
              <w:t>4,127,968</w:t>
            </w:r>
            <w:r>
              <w:rPr>
                <w:rFonts w:ascii="Arial" w:hAnsi="Arial" w:cs="Arial" w:eastAsia="Arial" w:hint="default"/>
                <w:w w:val="95"/>
                <w:sz w:val="22"/>
                <w:szCs w:val="22"/>
              </w:rPr>
            </w:r>
            <w:r>
              <w:rPr>
                <w:rFonts w:ascii="Arial" w:hAnsi="Arial" w:cs="Arial" w:eastAsia="Arial" w:hint="default"/>
                <w:w w:val="95"/>
                <w:sz w:val="22"/>
                <w:szCs w:val="22"/>
                <w:u w:val="single" w:color="000000"/>
              </w:rPr>
              <w:t> </w:t>
              <w:tab/>
            </w:r>
            <w:r>
              <w:rPr>
                <w:rFonts w:ascii="Arial" w:hAnsi="Arial" w:cs="Arial" w:eastAsia="Arial" w:hint="default"/>
                <w:sz w:val="22"/>
                <w:szCs w:val="22"/>
                <w:u w:val="single" w:color="000000"/>
              </w:rPr>
              <w:t>8,193,869</w:t>
              <w:tab/>
            </w:r>
            <w:r>
              <w:rPr>
                <w:rFonts w:ascii="Arial" w:hAnsi="Arial" w:cs="Arial" w:eastAsia="Arial" w:hint="default"/>
                <w:sz w:val="22"/>
                <w:szCs w:val="22"/>
              </w:rPr>
            </w:r>
          </w:p>
        </w:tc>
      </w:tr>
      <w:tr>
        <w:trPr>
          <w:trHeight w:val="419" w:hRule="exact"/>
        </w:trPr>
        <w:tc>
          <w:tcPr>
            <w:tcW w:w="4299"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2"/>
                <w:szCs w:val="22"/>
              </w:rPr>
            </w:pPr>
            <w:r>
              <w:rPr>
                <w:rFonts w:ascii="宋体" w:hAnsi="宋体" w:cs="宋体" w:eastAsia="宋体" w:hint="default"/>
                <w:sz w:val="22"/>
                <w:szCs w:val="22"/>
              </w:rPr>
              <w:t>减：应付内退员工补偿费（流动部分）</w:t>
            </w: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65"/>
              <w:jc w:val="right"/>
              <w:rPr>
                <w:rFonts w:ascii="Arial" w:hAnsi="Arial" w:cs="Arial" w:eastAsia="Arial" w:hint="default"/>
                <w:sz w:val="22"/>
                <w:szCs w:val="22"/>
              </w:rPr>
            </w:pPr>
            <w:r>
              <w:rPr>
                <w:rFonts w:ascii="Arial"/>
                <w:w w:val="95"/>
                <w:sz w:val="22"/>
              </w:rPr>
              <w:t>(1,474,933)</w:t>
            </w:r>
            <w:r>
              <w:rPr>
                <w:rFonts w:ascii="Arial"/>
                <w:sz w:val="22"/>
              </w:rPr>
            </w:r>
          </w:p>
        </w:tc>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33"/>
              <w:jc w:val="right"/>
              <w:rPr>
                <w:rFonts w:ascii="Arial" w:hAnsi="Arial" w:cs="Arial" w:eastAsia="Arial" w:hint="default"/>
                <w:sz w:val="22"/>
                <w:szCs w:val="22"/>
              </w:rPr>
            </w:pPr>
            <w:r>
              <w:rPr>
                <w:rFonts w:ascii="Arial"/>
                <w:w w:val="95"/>
                <w:sz w:val="22"/>
              </w:rPr>
              <w:t>(511,548,257)</w:t>
            </w:r>
            <w:r>
              <w:rPr>
                <w:rFonts w:ascii="Arial"/>
                <w:sz w:val="22"/>
              </w:rPr>
            </w:r>
          </w:p>
        </w:tc>
      </w:tr>
      <w:tr>
        <w:trPr>
          <w:trHeight w:val="285" w:hRule="exact"/>
        </w:trPr>
        <w:tc>
          <w:tcPr>
            <w:tcW w:w="4299" w:type="dxa"/>
            <w:tcBorders>
              <w:top w:val="nil" w:sz="6" w:space="0" w:color="auto"/>
              <w:left w:val="nil" w:sz="6" w:space="0" w:color="auto"/>
              <w:bottom w:val="nil" w:sz="6" w:space="0" w:color="auto"/>
              <w:right w:val="nil" w:sz="6" w:space="0" w:color="auto"/>
            </w:tcBorders>
          </w:tcPr>
          <w:p>
            <w:pPr>
              <w:pStyle w:val="TableParagraph"/>
              <w:spacing w:line="239" w:lineRule="exact"/>
              <w:ind w:left="474" w:right="0"/>
              <w:jc w:val="left"/>
              <w:rPr>
                <w:rFonts w:ascii="宋体" w:hAnsi="宋体" w:cs="宋体" w:eastAsia="宋体" w:hint="default"/>
                <w:sz w:val="22"/>
                <w:szCs w:val="22"/>
              </w:rPr>
            </w:pPr>
            <w:r>
              <w:rPr>
                <w:rFonts w:ascii="宋体" w:hAnsi="宋体" w:cs="宋体" w:eastAsia="宋体" w:hint="default"/>
                <w:sz w:val="22"/>
                <w:szCs w:val="22"/>
              </w:rPr>
              <w:t>应付离退休后补充福利（流动部分）</w:t>
            </w: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65"/>
              <w:jc w:val="right"/>
              <w:rPr>
                <w:rFonts w:ascii="Arial" w:hAnsi="Arial" w:cs="Arial" w:eastAsia="Arial" w:hint="default"/>
                <w:sz w:val="22"/>
                <w:szCs w:val="22"/>
              </w:rPr>
            </w:pPr>
            <w:r>
              <w:rPr>
                <w:rFonts w:ascii="Arial"/>
                <w:w w:val="95"/>
                <w:sz w:val="22"/>
              </w:rPr>
              <w:t>(4,362,911)</w:t>
            </w:r>
            <w:r>
              <w:rPr>
                <w:rFonts w:ascii="Arial"/>
                <w:sz w:val="22"/>
              </w:rPr>
            </w:r>
          </w:p>
        </w:tc>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3"/>
              <w:jc w:val="right"/>
              <w:rPr>
                <w:rFonts w:ascii="Arial" w:hAnsi="Arial" w:cs="Arial" w:eastAsia="Arial" w:hint="default"/>
                <w:sz w:val="22"/>
                <w:szCs w:val="22"/>
              </w:rPr>
            </w:pPr>
            <w:r>
              <w:rPr>
                <w:rFonts w:ascii="Arial"/>
                <w:w w:val="95"/>
                <w:sz w:val="22"/>
              </w:rPr>
              <w:t>(3,882,513)</w:t>
            </w:r>
            <w:r>
              <w:rPr>
                <w:rFonts w:ascii="Arial"/>
                <w:sz w:val="22"/>
              </w:rPr>
            </w:r>
          </w:p>
        </w:tc>
      </w:tr>
      <w:tr>
        <w:trPr>
          <w:trHeight w:val="266" w:hRule="exact"/>
        </w:trPr>
        <w:tc>
          <w:tcPr>
            <w:tcW w:w="4299" w:type="dxa"/>
            <w:tcBorders>
              <w:top w:val="nil" w:sz="6" w:space="0" w:color="auto"/>
              <w:left w:val="nil" w:sz="6" w:space="0" w:color="auto"/>
              <w:bottom w:val="nil" w:sz="6" w:space="0" w:color="auto"/>
              <w:right w:val="nil" w:sz="6" w:space="0" w:color="auto"/>
            </w:tcBorders>
          </w:tcPr>
          <w:p>
            <w:pPr>
              <w:pStyle w:val="TableParagraph"/>
              <w:spacing w:line="239" w:lineRule="exact"/>
              <w:ind w:left="474" w:right="0"/>
              <w:jc w:val="left"/>
              <w:rPr>
                <w:rFonts w:ascii="宋体" w:hAnsi="宋体" w:cs="宋体" w:eastAsia="宋体" w:hint="default"/>
                <w:sz w:val="22"/>
                <w:szCs w:val="22"/>
              </w:rPr>
            </w:pPr>
            <w:r>
              <w:rPr>
                <w:rFonts w:ascii="宋体" w:hAnsi="宋体" w:cs="宋体" w:eastAsia="宋体" w:hint="default"/>
                <w:sz w:val="22"/>
                <w:szCs w:val="22"/>
              </w:rPr>
              <w:t>应付融资租赁款（流动部分）</w:t>
            </w:r>
          </w:p>
        </w:tc>
        <w:tc>
          <w:tcPr>
            <w:tcW w:w="235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65"/>
              <w:jc w:val="right"/>
              <w:rPr>
                <w:rFonts w:ascii="Arial" w:hAnsi="Arial" w:cs="Arial" w:eastAsia="Arial" w:hint="default"/>
                <w:sz w:val="22"/>
                <w:szCs w:val="22"/>
              </w:rPr>
            </w:pPr>
            <w:r>
              <w:rPr>
                <w:rFonts w:ascii="Arial"/>
                <w:w w:val="95"/>
                <w:sz w:val="22"/>
              </w:rPr>
              <w:t>(25,786,667)</w:t>
            </w:r>
            <w:r>
              <w:rPr>
                <w:rFonts w:ascii="Arial"/>
                <w:sz w:val="22"/>
              </w:rPr>
            </w:r>
          </w:p>
        </w:tc>
        <w:tc>
          <w:tcPr>
            <w:tcW w:w="241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Arial" w:hAnsi="Arial" w:cs="Arial" w:eastAsia="Arial" w:hint="default"/>
                <w:sz w:val="22"/>
                <w:szCs w:val="22"/>
              </w:rPr>
            </w:pPr>
            <w:r>
              <w:rPr>
                <w:rFonts w:ascii="Arial"/>
                <w:w w:val="99"/>
                <w:sz w:val="22"/>
              </w:rPr>
              <w:t>-</w:t>
            </w:r>
            <w:r>
              <w:rPr>
                <w:rFonts w:ascii="Arial"/>
                <w:sz w:val="22"/>
              </w:rPr>
            </w:r>
          </w:p>
        </w:tc>
      </w:tr>
      <w:tr>
        <w:trPr>
          <w:trHeight w:val="385" w:hRule="exact"/>
        </w:trPr>
        <w:tc>
          <w:tcPr>
            <w:tcW w:w="9069" w:type="dxa"/>
            <w:gridSpan w:val="3"/>
            <w:tcBorders>
              <w:top w:val="nil" w:sz="6" w:space="0" w:color="auto"/>
              <w:left w:val="nil" w:sz="6" w:space="0" w:color="auto"/>
              <w:bottom w:val="nil" w:sz="6" w:space="0" w:color="auto"/>
              <w:right w:val="nil" w:sz="6" w:space="0" w:color="auto"/>
            </w:tcBorders>
          </w:tcPr>
          <w:p>
            <w:pPr>
              <w:pStyle w:val="TableParagraph"/>
              <w:tabs>
                <w:tab w:pos="4298" w:val="left" w:leader="none"/>
                <w:tab w:pos="5771" w:val="left" w:leader="none"/>
                <w:tab w:pos="8091" w:val="left" w:leader="none"/>
              </w:tabs>
              <w:spacing w:line="290" w:lineRule="exact"/>
              <w:ind w:left="474" w:right="0"/>
              <w:jc w:val="left"/>
              <w:rPr>
                <w:rFonts w:ascii="Arial" w:hAnsi="Arial" w:cs="Arial" w:eastAsia="Arial" w:hint="default"/>
                <w:sz w:val="22"/>
                <w:szCs w:val="22"/>
              </w:rPr>
            </w:pPr>
            <w:r>
              <w:rPr>
                <w:rFonts w:ascii="宋体" w:hAnsi="宋体" w:cs="宋体" w:eastAsia="宋体" w:hint="default"/>
                <w:w w:val="95"/>
                <w:position w:val="2"/>
                <w:sz w:val="22"/>
                <w:szCs w:val="22"/>
              </w:rPr>
              <w:t>一年内到期的其他长期应付款</w:t>
              <w:tab/>
            </w:r>
            <w:r>
              <w:rPr>
                <w:rFonts w:ascii="Arial" w:hAnsi="Arial" w:cs="Arial" w:eastAsia="Arial" w:hint="default"/>
                <w:w w:val="95"/>
                <w:sz w:val="22"/>
                <w:szCs w:val="22"/>
              </w:rPr>
            </w:r>
            <w:r>
              <w:rPr>
                <w:rFonts w:ascii="Arial" w:hAnsi="Arial" w:cs="Arial" w:eastAsia="Arial" w:hint="default"/>
                <w:w w:val="95"/>
                <w:sz w:val="22"/>
                <w:szCs w:val="22"/>
                <w:u w:val="single" w:color="000000"/>
              </w:rPr>
              <w:t> </w:t>
              <w:tab/>
              <w:t>(35,719)</w:t>
            </w:r>
            <w:r>
              <w:rPr>
                <w:rFonts w:ascii="Arial" w:hAnsi="Arial" w:cs="Arial" w:eastAsia="Arial" w:hint="default"/>
                <w:w w:val="95"/>
                <w:sz w:val="22"/>
                <w:szCs w:val="22"/>
              </w:rPr>
            </w:r>
            <w:r>
              <w:rPr>
                <w:rFonts w:ascii="Arial" w:hAnsi="Arial" w:cs="Arial" w:eastAsia="Arial" w:hint="default"/>
                <w:w w:val="95"/>
                <w:sz w:val="22"/>
                <w:szCs w:val="22"/>
                <w:u w:val="single" w:color="000000"/>
              </w:rPr>
              <w:t> </w:t>
              <w:tab/>
            </w:r>
            <w:r>
              <w:rPr>
                <w:rFonts w:ascii="Arial" w:hAnsi="Arial" w:cs="Arial" w:eastAsia="Arial" w:hint="default"/>
                <w:sz w:val="22"/>
                <w:szCs w:val="22"/>
                <w:u w:val="single" w:color="000000"/>
              </w:rPr>
              <w:t>(261,016)</w:t>
            </w:r>
            <w:r>
              <w:rPr>
                <w:rFonts w:ascii="Arial" w:hAnsi="Arial" w:cs="Arial" w:eastAsia="Arial" w:hint="default"/>
                <w:sz w:val="22"/>
                <w:szCs w:val="22"/>
              </w:rPr>
            </w:r>
          </w:p>
        </w:tc>
      </w:tr>
    </w:tbl>
    <w:p>
      <w:pPr>
        <w:spacing w:line="240" w:lineRule="auto" w:before="3"/>
        <w:rPr>
          <w:rFonts w:ascii="黑体" w:hAnsi="黑体" w:cs="黑体" w:eastAsia="黑体" w:hint="default"/>
          <w:sz w:val="8"/>
          <w:szCs w:val="8"/>
        </w:rPr>
      </w:pPr>
    </w:p>
    <w:p>
      <w:pPr>
        <w:pStyle w:val="BodyText"/>
        <w:tabs>
          <w:tab w:pos="5809" w:val="left" w:leader="none"/>
          <w:tab w:pos="8068" w:val="left" w:leader="none"/>
        </w:tabs>
        <w:spacing w:line="240" w:lineRule="auto" w:before="27"/>
        <w:ind w:left="550" w:right="109"/>
        <w:jc w:val="left"/>
        <w:rPr>
          <w:rFonts w:ascii="Arial" w:hAnsi="Arial" w:cs="Arial" w:eastAsia="Arial" w:hint="default"/>
        </w:rPr>
      </w:pPr>
      <w:r>
        <w:rPr>
          <w:w w:val="95"/>
          <w:position w:val="2"/>
        </w:rPr>
        <w:t>合计</w:t>
        <w:tab/>
      </w:r>
      <w:r>
        <w:rPr>
          <w:rFonts w:ascii="Arial" w:hAnsi="Arial" w:cs="Arial" w:eastAsia="Arial" w:hint="default"/>
          <w:w w:val="95"/>
        </w:rPr>
        <w:t>190,913,424</w:t>
        <w:tab/>
      </w:r>
      <w:r>
        <w:rPr>
          <w:rFonts w:ascii="Arial" w:hAnsi="Arial" w:cs="Arial" w:eastAsia="Arial" w:hint="default"/>
        </w:rPr>
        <w:t>1,688,648,359</w:t>
      </w:r>
    </w:p>
    <w:p>
      <w:pPr>
        <w:spacing w:line="43" w:lineRule="exact"/>
        <w:ind w:left="4799" w:right="0" w:firstLine="0"/>
        <w:rPr>
          <w:rFonts w:ascii="Arial" w:hAnsi="Arial" w:cs="Arial" w:eastAsia="Arial" w:hint="default"/>
          <w:sz w:val="4"/>
          <w:szCs w:val="4"/>
        </w:rPr>
      </w:pPr>
      <w:r>
        <w:rPr>
          <w:rFonts w:ascii="Arial" w:hAnsi="Arial" w:cs="Arial" w:eastAsia="Arial" w:hint="default"/>
          <w:position w:val="0"/>
          <w:sz w:val="4"/>
          <w:szCs w:val="4"/>
        </w:rPr>
        <w:pict>
          <v:group style="width:238.7pt;height:2.2pt;mso-position-horizontal-relative:char;mso-position-vertical-relative:line" coordorigin="0,0" coordsize="4774,44">
            <v:group style="position:absolute;left:7;top:36;width:2374;height:2" coordorigin="7,36" coordsize="2374,2">
              <v:shape style="position:absolute;left:7;top:36;width:2374;height:2" coordorigin="7,36" coordsize="2374,0" path="m7,36l2381,36e" filled="false" stroked="true" strokeweight=".72pt" strokecolor="#000000">
                <v:path arrowok="t"/>
              </v:shape>
            </v:group>
            <v:group style="position:absolute;left:7;top:7;width:2374;height:2" coordorigin="7,7" coordsize="2374,2">
              <v:shape style="position:absolute;left:7;top:7;width:2374;height:2" coordorigin="7,7" coordsize="2374,0" path="m7,7l2381,7e" filled="false" stroked="true" strokeweight=".72pt" strokecolor="#000000">
                <v:path arrowok="t"/>
              </v:shape>
            </v:group>
            <v:group style="position:absolute;left:2450;top:36;width:2316;height:2" coordorigin="2450,36" coordsize="2316,2">
              <v:shape style="position:absolute;left:2450;top:36;width:2316;height:2" coordorigin="2450,36" coordsize="2316,0" path="m2450,36l4766,36e" filled="false" stroked="true" strokeweight=".72pt" strokecolor="#000000">
                <v:path arrowok="t"/>
              </v:shape>
            </v:group>
            <v:group style="position:absolute;left:2450;top:7;width:2316;height:2" coordorigin="2450,7" coordsize="2316,2">
              <v:shape style="position:absolute;left:2450;top:7;width:2316;height:2" coordorigin="2450,7" coordsize="2316,0" path="m2450,7l4766,7e" filled="false" stroked="true" strokeweight=".72pt" strokecolor="#000000">
                <v:path arrowok="t"/>
              </v:shape>
            </v:group>
          </v:group>
        </w:pict>
      </w:r>
      <w:r>
        <w:rPr>
          <w:rFonts w:ascii="Arial" w:hAnsi="Arial" w:cs="Arial" w:eastAsia="Arial" w:hint="default"/>
          <w:position w:val="0"/>
          <w:sz w:val="4"/>
          <w:szCs w:val="4"/>
        </w:rPr>
      </w:r>
    </w:p>
    <w:p>
      <w:pPr>
        <w:spacing w:after="0" w:line="43" w:lineRule="exact"/>
        <w:rPr>
          <w:rFonts w:ascii="Arial" w:hAnsi="Arial" w:cs="Arial" w:eastAsia="Arial" w:hint="default"/>
          <w:sz w:val="4"/>
          <w:szCs w:val="4"/>
        </w:rPr>
        <w:sectPr>
          <w:type w:val="continuous"/>
          <w:pgSz w:w="11910" w:h="16840"/>
          <w:pgMar w:top="1600" w:bottom="280" w:left="1280" w:right="920"/>
        </w:sectPr>
      </w:pPr>
    </w:p>
    <w:p>
      <w:pPr>
        <w:spacing w:line="240" w:lineRule="auto" w:before="11"/>
        <w:rPr>
          <w:rFonts w:ascii="Arial" w:hAnsi="Arial" w:cs="Arial" w:eastAsia="Arial" w:hint="default"/>
          <w:sz w:val="16"/>
          <w:szCs w:val="16"/>
        </w:rPr>
      </w:pPr>
    </w:p>
    <w:tbl>
      <w:tblPr>
        <w:tblW w:w="0" w:type="auto"/>
        <w:jc w:val="left"/>
        <w:tblInd w:w="107" w:type="dxa"/>
        <w:tblLayout w:type="fixed"/>
        <w:tblCellMar>
          <w:top w:w="0" w:type="dxa"/>
          <w:left w:w="0" w:type="dxa"/>
          <w:bottom w:w="0" w:type="dxa"/>
          <w:right w:w="0" w:type="dxa"/>
        </w:tblCellMar>
        <w:tblLook w:val="01E0"/>
      </w:tblPr>
      <w:tblGrid>
        <w:gridCol w:w="4725"/>
        <w:gridCol w:w="2432"/>
        <w:gridCol w:w="2389"/>
      </w:tblGrid>
      <w:tr>
        <w:trPr>
          <w:trHeight w:val="1010" w:hRule="exact"/>
        </w:trPr>
        <w:tc>
          <w:tcPr>
            <w:tcW w:w="472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黑体" w:hAnsi="黑体" w:cs="黑体" w:eastAsia="黑体" w:hint="default"/>
                <w:sz w:val="22"/>
                <w:szCs w:val="22"/>
              </w:rPr>
            </w:pPr>
            <w:r>
              <w:rPr>
                <w:rFonts w:ascii="Arial" w:hAnsi="Arial" w:cs="Arial" w:eastAsia="Arial" w:hint="default"/>
                <w:sz w:val="22"/>
                <w:szCs w:val="22"/>
              </w:rPr>
              <w:t>28</w:t>
            </w:r>
            <w:r>
              <w:rPr>
                <w:rFonts w:ascii="黑体" w:hAnsi="黑体" w:cs="黑体" w:eastAsia="黑体" w:hint="default"/>
                <w:sz w:val="22"/>
                <w:szCs w:val="22"/>
              </w:rPr>
              <w:t>、长期应付款（续）</w:t>
            </w:r>
          </w:p>
          <w:p>
            <w:pPr>
              <w:pStyle w:val="TableParagraph"/>
              <w:spacing w:line="240" w:lineRule="auto" w:before="3"/>
              <w:ind w:right="0"/>
              <w:jc w:val="left"/>
              <w:rPr>
                <w:rFonts w:ascii="Arial" w:hAnsi="Arial" w:cs="Arial" w:eastAsia="Arial" w:hint="default"/>
                <w:sz w:val="19"/>
                <w:szCs w:val="19"/>
              </w:rPr>
            </w:pPr>
          </w:p>
          <w:p>
            <w:pPr>
              <w:pStyle w:val="TableParagraph"/>
              <w:spacing w:line="240" w:lineRule="auto"/>
              <w:ind w:left="35" w:right="0"/>
              <w:jc w:val="left"/>
              <w:rPr>
                <w:rFonts w:ascii="宋体" w:hAnsi="宋体" w:cs="宋体" w:eastAsia="宋体" w:hint="default"/>
                <w:sz w:val="22"/>
                <w:szCs w:val="22"/>
              </w:rPr>
            </w:pPr>
            <w:r>
              <w:rPr>
                <w:rFonts w:ascii="Arial" w:hAnsi="Arial" w:cs="Arial" w:eastAsia="Arial" w:hint="default"/>
                <w:sz w:val="22"/>
                <w:szCs w:val="22"/>
              </w:rPr>
              <w:t>(a) </w:t>
            </w:r>
            <w:r>
              <w:rPr>
                <w:rFonts w:ascii="Arial" w:hAnsi="Arial" w:cs="Arial" w:eastAsia="Arial" w:hint="default"/>
                <w:spacing w:val="27"/>
                <w:sz w:val="22"/>
                <w:szCs w:val="22"/>
              </w:rPr>
              <w:t> </w:t>
            </w:r>
            <w:r>
              <w:rPr>
                <w:rFonts w:ascii="宋体" w:hAnsi="宋体" w:cs="宋体" w:eastAsia="宋体" w:hint="default"/>
                <w:sz w:val="22"/>
                <w:szCs w:val="22"/>
              </w:rPr>
              <w:t>长期应付款到期日分析如下：</w:t>
            </w:r>
          </w:p>
        </w:tc>
        <w:tc>
          <w:tcPr>
            <w:tcW w:w="4821" w:type="dxa"/>
            <w:gridSpan w:val="2"/>
            <w:tcBorders>
              <w:top w:val="nil" w:sz="6" w:space="0" w:color="auto"/>
              <w:left w:val="nil" w:sz="6" w:space="0" w:color="auto"/>
              <w:bottom w:val="nil" w:sz="6" w:space="0" w:color="auto"/>
              <w:right w:val="nil" w:sz="6" w:space="0" w:color="auto"/>
            </w:tcBorders>
          </w:tcPr>
          <w:p>
            <w:pPr/>
          </w:p>
        </w:tc>
      </w:tr>
      <w:tr>
        <w:trPr>
          <w:trHeight w:val="414" w:hRule="exact"/>
        </w:trPr>
        <w:tc>
          <w:tcPr>
            <w:tcW w:w="4725" w:type="dxa"/>
            <w:tcBorders>
              <w:top w:val="nil" w:sz="6" w:space="0" w:color="auto"/>
              <w:left w:val="nil" w:sz="6" w:space="0" w:color="auto"/>
              <w:bottom w:val="nil" w:sz="6" w:space="0" w:color="auto"/>
              <w:right w:val="nil" w:sz="6" w:space="0" w:color="auto"/>
            </w:tcBorders>
          </w:tcPr>
          <w:p>
            <w:pPr/>
          </w:p>
        </w:tc>
        <w:tc>
          <w:tcPr>
            <w:tcW w:w="2432" w:type="dxa"/>
            <w:tcBorders>
              <w:top w:val="nil" w:sz="6" w:space="0" w:color="auto"/>
              <w:left w:val="nil" w:sz="6" w:space="0" w:color="auto"/>
              <w:bottom w:val="single" w:sz="6" w:space="0" w:color="000000"/>
              <w:right w:val="nil" w:sz="6" w:space="0" w:color="auto"/>
            </w:tcBorders>
          </w:tcPr>
          <w:p>
            <w:pPr>
              <w:pStyle w:val="TableParagraph"/>
              <w:spacing w:line="240" w:lineRule="auto" w:before="85"/>
              <w:ind w:right="36"/>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389" w:type="dxa"/>
            <w:tcBorders>
              <w:top w:val="nil" w:sz="6" w:space="0" w:color="auto"/>
              <w:left w:val="nil" w:sz="6" w:space="0" w:color="auto"/>
              <w:bottom w:val="single" w:sz="6" w:space="0" w:color="000000"/>
              <w:right w:val="nil" w:sz="6" w:space="0" w:color="auto"/>
            </w:tcBorders>
          </w:tcPr>
          <w:p>
            <w:pPr>
              <w:pStyle w:val="TableParagraph"/>
              <w:spacing w:line="240" w:lineRule="auto" w:before="85"/>
              <w:ind w:right="33"/>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293" w:hRule="exact"/>
        </w:trPr>
        <w:tc>
          <w:tcPr>
            <w:tcW w:w="4725" w:type="dxa"/>
            <w:tcBorders>
              <w:top w:val="nil" w:sz="6" w:space="0" w:color="auto"/>
              <w:left w:val="nil" w:sz="6" w:space="0" w:color="auto"/>
              <w:bottom w:val="nil" w:sz="6" w:space="0" w:color="auto"/>
              <w:right w:val="nil" w:sz="6" w:space="0" w:color="auto"/>
            </w:tcBorders>
          </w:tcPr>
          <w:p>
            <w:pPr/>
          </w:p>
        </w:tc>
        <w:tc>
          <w:tcPr>
            <w:tcW w:w="2432" w:type="dxa"/>
            <w:tcBorders>
              <w:top w:val="single" w:sz="6" w:space="0" w:color="000000"/>
              <w:left w:val="nil" w:sz="6" w:space="0" w:color="auto"/>
              <w:bottom w:val="nil" w:sz="6" w:space="0" w:color="auto"/>
              <w:right w:val="nil" w:sz="6" w:space="0" w:color="auto"/>
            </w:tcBorders>
          </w:tcPr>
          <w:p>
            <w:pPr/>
          </w:p>
        </w:tc>
        <w:tc>
          <w:tcPr>
            <w:tcW w:w="2389" w:type="dxa"/>
            <w:tcBorders>
              <w:top w:val="single" w:sz="6" w:space="0" w:color="000000"/>
              <w:left w:val="nil" w:sz="6" w:space="0" w:color="auto"/>
              <w:bottom w:val="nil" w:sz="6" w:space="0" w:color="auto"/>
              <w:right w:val="nil" w:sz="6" w:space="0" w:color="auto"/>
            </w:tcBorders>
          </w:tcPr>
          <w:p>
            <w:pPr>
              <w:pStyle w:val="TableParagraph"/>
              <w:spacing w:line="253" w:lineRule="exact"/>
              <w:ind w:right="105"/>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4725" w:type="dxa"/>
            <w:tcBorders>
              <w:top w:val="nil" w:sz="6" w:space="0" w:color="auto"/>
              <w:left w:val="nil" w:sz="6" w:space="0" w:color="auto"/>
              <w:bottom w:val="nil" w:sz="6" w:space="0" w:color="auto"/>
              <w:right w:val="nil" w:sz="6" w:space="0" w:color="auto"/>
            </w:tcBorders>
          </w:tcPr>
          <w:p>
            <w:pPr>
              <w:pStyle w:val="TableParagraph"/>
              <w:spacing w:line="268" w:lineRule="exact"/>
              <w:ind w:left="494" w:right="0"/>
              <w:jc w:val="left"/>
              <w:rPr>
                <w:rFonts w:ascii="宋体" w:hAnsi="宋体" w:cs="宋体" w:eastAsia="宋体" w:hint="default"/>
                <w:sz w:val="22"/>
                <w:szCs w:val="22"/>
              </w:rPr>
            </w:pPr>
            <w:r>
              <w:rPr>
                <w:rFonts w:ascii="Arial" w:hAnsi="Arial" w:cs="Arial" w:eastAsia="Arial" w:hint="default"/>
                <w:sz w:val="22"/>
                <w:szCs w:val="22"/>
              </w:rPr>
              <w:t>1</w:t>
            </w:r>
            <w:r>
              <w:rPr>
                <w:rFonts w:ascii="Arial" w:hAnsi="Arial" w:cs="Arial" w:eastAsia="Arial" w:hint="default"/>
                <w:spacing w:val="-7"/>
                <w:sz w:val="22"/>
                <w:szCs w:val="22"/>
              </w:rPr>
              <w:t> </w:t>
            </w:r>
            <w:r>
              <w:rPr>
                <w:rFonts w:ascii="宋体" w:hAnsi="宋体" w:cs="宋体" w:eastAsia="宋体" w:hint="default"/>
                <w:sz w:val="22"/>
                <w:szCs w:val="22"/>
              </w:rPr>
              <w:t>到</w:t>
            </w:r>
            <w:r>
              <w:rPr>
                <w:rFonts w:ascii="宋体" w:hAnsi="宋体" w:cs="宋体" w:eastAsia="宋体" w:hint="default"/>
                <w:spacing w:val="-56"/>
                <w:sz w:val="22"/>
                <w:szCs w:val="22"/>
              </w:rPr>
              <w:t> </w:t>
            </w:r>
            <w:r>
              <w:rPr>
                <w:rFonts w:ascii="Arial" w:hAnsi="Arial" w:cs="Arial" w:eastAsia="Arial" w:hint="default"/>
                <w:sz w:val="22"/>
                <w:szCs w:val="22"/>
              </w:rPr>
              <w:t>2</w:t>
            </w:r>
            <w:r>
              <w:rPr>
                <w:rFonts w:ascii="Arial" w:hAnsi="Arial" w:cs="Arial" w:eastAsia="Arial" w:hint="default"/>
                <w:spacing w:val="-7"/>
                <w:sz w:val="22"/>
                <w:szCs w:val="22"/>
              </w:rPr>
              <w:t> </w:t>
            </w:r>
            <w:r>
              <w:rPr>
                <w:rFonts w:ascii="宋体" w:hAnsi="宋体" w:cs="宋体" w:eastAsia="宋体" w:hint="default"/>
                <w:sz w:val="22"/>
                <w:szCs w:val="22"/>
              </w:rPr>
              <w:t>年</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003" w:right="0"/>
              <w:jc w:val="left"/>
              <w:rPr>
                <w:rFonts w:ascii="Arial" w:hAnsi="Arial" w:cs="Arial" w:eastAsia="Arial" w:hint="default"/>
                <w:sz w:val="22"/>
                <w:szCs w:val="22"/>
              </w:rPr>
            </w:pPr>
            <w:r>
              <w:rPr>
                <w:rFonts w:ascii="Arial"/>
                <w:sz w:val="22"/>
              </w:rPr>
              <w:t>108,984,509</w:t>
            </w:r>
          </w:p>
        </w:tc>
        <w:tc>
          <w:tcPr>
            <w:tcW w:w="2389"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28"/>
              <w:jc w:val="right"/>
              <w:rPr>
                <w:rFonts w:ascii="Arial" w:hAnsi="Arial" w:cs="Arial" w:eastAsia="Arial" w:hint="default"/>
                <w:sz w:val="22"/>
                <w:szCs w:val="22"/>
              </w:rPr>
            </w:pPr>
            <w:r>
              <w:rPr>
                <w:rFonts w:ascii="Arial"/>
                <w:w w:val="95"/>
                <w:sz w:val="22"/>
              </w:rPr>
              <w:t>320,026,460</w:t>
            </w:r>
            <w:r>
              <w:rPr>
                <w:rFonts w:ascii="Arial"/>
                <w:sz w:val="22"/>
              </w:rPr>
            </w:r>
          </w:p>
        </w:tc>
      </w:tr>
      <w:tr>
        <w:trPr>
          <w:trHeight w:val="285" w:hRule="exact"/>
        </w:trPr>
        <w:tc>
          <w:tcPr>
            <w:tcW w:w="4725" w:type="dxa"/>
            <w:tcBorders>
              <w:top w:val="nil" w:sz="6" w:space="0" w:color="auto"/>
              <w:left w:val="nil" w:sz="6" w:space="0" w:color="auto"/>
              <w:bottom w:val="nil" w:sz="6" w:space="0" w:color="auto"/>
              <w:right w:val="nil" w:sz="6" w:space="0" w:color="auto"/>
            </w:tcBorders>
          </w:tcPr>
          <w:p>
            <w:pPr>
              <w:pStyle w:val="TableParagraph"/>
              <w:spacing w:line="255" w:lineRule="exact"/>
              <w:ind w:left="494" w:right="0"/>
              <w:jc w:val="left"/>
              <w:rPr>
                <w:rFonts w:ascii="宋体" w:hAnsi="宋体" w:cs="宋体" w:eastAsia="宋体" w:hint="default"/>
                <w:sz w:val="22"/>
                <w:szCs w:val="22"/>
              </w:rPr>
            </w:pPr>
            <w:r>
              <w:rPr>
                <w:rFonts w:ascii="Arial" w:hAnsi="Arial" w:cs="Arial" w:eastAsia="Arial" w:hint="default"/>
                <w:sz w:val="22"/>
                <w:szCs w:val="22"/>
              </w:rPr>
              <w:t>2</w:t>
            </w:r>
            <w:r>
              <w:rPr>
                <w:rFonts w:ascii="Arial" w:hAnsi="Arial" w:cs="Arial" w:eastAsia="Arial" w:hint="default"/>
                <w:spacing w:val="-7"/>
                <w:sz w:val="22"/>
                <w:szCs w:val="22"/>
              </w:rPr>
              <w:t> </w:t>
            </w:r>
            <w:r>
              <w:rPr>
                <w:rFonts w:ascii="宋体" w:hAnsi="宋体" w:cs="宋体" w:eastAsia="宋体" w:hint="default"/>
                <w:sz w:val="22"/>
                <w:szCs w:val="22"/>
              </w:rPr>
              <w:t>到</w:t>
            </w:r>
            <w:r>
              <w:rPr>
                <w:rFonts w:ascii="宋体" w:hAnsi="宋体" w:cs="宋体" w:eastAsia="宋体" w:hint="default"/>
                <w:spacing w:val="-56"/>
                <w:sz w:val="22"/>
                <w:szCs w:val="22"/>
              </w:rPr>
              <w:t> </w:t>
            </w:r>
            <w:r>
              <w:rPr>
                <w:rFonts w:ascii="Arial" w:hAnsi="Arial" w:cs="Arial" w:eastAsia="Arial" w:hint="default"/>
                <w:sz w:val="22"/>
                <w:szCs w:val="22"/>
              </w:rPr>
              <w:t>5</w:t>
            </w:r>
            <w:r>
              <w:rPr>
                <w:rFonts w:ascii="Arial" w:hAnsi="Arial" w:cs="Arial" w:eastAsia="Arial" w:hint="default"/>
                <w:spacing w:val="-7"/>
                <w:sz w:val="22"/>
                <w:szCs w:val="22"/>
              </w:rPr>
              <w:t> </w:t>
            </w:r>
            <w:r>
              <w:rPr>
                <w:rFonts w:ascii="宋体" w:hAnsi="宋体" w:cs="宋体" w:eastAsia="宋体" w:hint="default"/>
                <w:sz w:val="22"/>
                <w:szCs w:val="22"/>
              </w:rPr>
              <w:t>年</w:t>
            </w:r>
          </w:p>
        </w:tc>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124" w:right="0"/>
              <w:jc w:val="left"/>
              <w:rPr>
                <w:rFonts w:ascii="Arial" w:hAnsi="Arial" w:cs="Arial" w:eastAsia="Arial" w:hint="default"/>
                <w:sz w:val="22"/>
                <w:szCs w:val="22"/>
              </w:rPr>
            </w:pPr>
            <w:r>
              <w:rPr>
                <w:rFonts w:ascii="Arial"/>
                <w:sz w:val="22"/>
              </w:rPr>
              <w:t>17,513,532</w:t>
            </w:r>
          </w:p>
        </w:tc>
        <w:tc>
          <w:tcPr>
            <w:tcW w:w="238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28"/>
              <w:jc w:val="right"/>
              <w:rPr>
                <w:rFonts w:ascii="Arial" w:hAnsi="Arial" w:cs="Arial" w:eastAsia="Arial" w:hint="default"/>
                <w:sz w:val="22"/>
                <w:szCs w:val="22"/>
              </w:rPr>
            </w:pPr>
            <w:r>
              <w:rPr>
                <w:rFonts w:ascii="Arial"/>
                <w:w w:val="95"/>
                <w:sz w:val="22"/>
              </w:rPr>
              <w:t>785,395,294</w:t>
            </w:r>
            <w:r>
              <w:rPr>
                <w:rFonts w:ascii="Arial"/>
                <w:sz w:val="22"/>
              </w:rPr>
            </w:r>
          </w:p>
        </w:tc>
      </w:tr>
      <w:tr>
        <w:trPr>
          <w:trHeight w:val="419" w:hRule="exact"/>
        </w:trPr>
        <w:tc>
          <w:tcPr>
            <w:tcW w:w="4725" w:type="dxa"/>
            <w:tcBorders>
              <w:top w:val="nil" w:sz="6" w:space="0" w:color="auto"/>
              <w:left w:val="nil" w:sz="6" w:space="0" w:color="auto"/>
              <w:bottom w:val="nil" w:sz="6" w:space="0" w:color="auto"/>
              <w:right w:val="nil" w:sz="6" w:space="0" w:color="auto"/>
            </w:tcBorders>
          </w:tcPr>
          <w:p>
            <w:pPr>
              <w:pStyle w:val="TableParagraph"/>
              <w:spacing w:line="255" w:lineRule="exact"/>
              <w:ind w:left="494" w:right="0"/>
              <w:jc w:val="left"/>
              <w:rPr>
                <w:rFonts w:ascii="宋体" w:hAnsi="宋体" w:cs="宋体" w:eastAsia="宋体" w:hint="default"/>
                <w:sz w:val="22"/>
                <w:szCs w:val="22"/>
              </w:rPr>
            </w:pPr>
            <w:r>
              <w:rPr>
                <w:rFonts w:ascii="Arial" w:hAnsi="Arial" w:cs="Arial" w:eastAsia="Arial" w:hint="default"/>
                <w:sz w:val="22"/>
                <w:szCs w:val="22"/>
              </w:rPr>
              <w:t>5</w:t>
            </w:r>
            <w:r>
              <w:rPr>
                <w:rFonts w:ascii="Arial" w:hAnsi="Arial" w:cs="Arial" w:eastAsia="Arial" w:hint="default"/>
                <w:spacing w:val="-8"/>
                <w:sz w:val="22"/>
                <w:szCs w:val="22"/>
              </w:rPr>
              <w:t> </w:t>
            </w:r>
            <w:r>
              <w:rPr>
                <w:rFonts w:ascii="宋体" w:hAnsi="宋体" w:cs="宋体" w:eastAsia="宋体" w:hint="default"/>
                <w:sz w:val="22"/>
                <w:szCs w:val="22"/>
              </w:rPr>
              <w:t>年以上</w:t>
            </w:r>
          </w:p>
        </w:tc>
        <w:tc>
          <w:tcPr>
            <w:tcW w:w="2432" w:type="dxa"/>
            <w:tcBorders>
              <w:top w:val="nil" w:sz="6" w:space="0" w:color="auto"/>
              <w:left w:val="nil" w:sz="6" w:space="0" w:color="auto"/>
              <w:bottom w:val="nil" w:sz="6" w:space="0" w:color="auto"/>
              <w:right w:val="nil" w:sz="6" w:space="0" w:color="auto"/>
            </w:tcBorders>
          </w:tcPr>
          <w:p>
            <w:pPr>
              <w:pStyle w:val="TableParagraph"/>
              <w:tabs>
                <w:tab w:pos="1117" w:val="left" w:leader="none"/>
                <w:tab w:pos="2379" w:val="left" w:leader="none"/>
              </w:tabs>
              <w:spacing w:line="240" w:lineRule="auto" w:before="17"/>
              <w:ind w:right="43"/>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64,415,383</w:t>
            </w:r>
            <w:r>
              <w:rPr>
                <w:rFonts w:ascii="Arial"/>
                <w:sz w:val="22"/>
                <w:u w:val="single" w:color="000000"/>
              </w:rPr>
              <w:tab/>
            </w:r>
            <w:r>
              <w:rPr>
                <w:rFonts w:ascii="Arial"/>
                <w:sz w:val="22"/>
              </w:rPr>
            </w:r>
          </w:p>
        </w:tc>
        <w:tc>
          <w:tcPr>
            <w:tcW w:w="2389" w:type="dxa"/>
            <w:tcBorders>
              <w:top w:val="nil" w:sz="6" w:space="0" w:color="auto"/>
              <w:left w:val="nil" w:sz="6" w:space="0" w:color="auto"/>
              <w:bottom w:val="nil" w:sz="6" w:space="0" w:color="auto"/>
              <w:right w:val="nil" w:sz="6" w:space="0" w:color="auto"/>
            </w:tcBorders>
          </w:tcPr>
          <w:p>
            <w:pPr>
              <w:pStyle w:val="TableParagraph"/>
              <w:tabs>
                <w:tab w:pos="996" w:val="left" w:leader="none"/>
                <w:tab w:pos="2306" w:val="left" w:leader="none"/>
              </w:tabs>
              <w:spacing w:line="240" w:lineRule="auto" w:before="17"/>
              <w:ind w:right="41"/>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583,226,605</w:t>
            </w:r>
            <w:r>
              <w:rPr>
                <w:rFonts w:ascii="Arial"/>
                <w:sz w:val="22"/>
                <w:u w:val="single" w:color="000000"/>
              </w:rPr>
              <w:tab/>
            </w:r>
            <w:r>
              <w:rPr>
                <w:rFonts w:ascii="Arial"/>
                <w:sz w:val="22"/>
              </w:rPr>
            </w:r>
          </w:p>
        </w:tc>
      </w:tr>
      <w:tr>
        <w:trPr>
          <w:trHeight w:val="430" w:hRule="exact"/>
        </w:trPr>
        <w:tc>
          <w:tcPr>
            <w:tcW w:w="4725" w:type="dxa"/>
            <w:tcBorders>
              <w:top w:val="nil" w:sz="6" w:space="0" w:color="auto"/>
              <w:left w:val="nil" w:sz="6" w:space="0" w:color="auto"/>
              <w:bottom w:val="nil" w:sz="6" w:space="0" w:color="auto"/>
              <w:right w:val="nil" w:sz="6" w:space="0" w:color="auto"/>
            </w:tcBorders>
          </w:tcPr>
          <w:p>
            <w:pPr>
              <w:pStyle w:val="TableParagraph"/>
              <w:spacing w:line="240" w:lineRule="auto" w:before="85"/>
              <w:ind w:left="494"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432"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left="1003" w:right="0"/>
              <w:jc w:val="left"/>
              <w:rPr>
                <w:rFonts w:ascii="Arial" w:hAnsi="Arial" w:cs="Arial" w:eastAsia="Arial" w:hint="default"/>
                <w:sz w:val="22"/>
                <w:szCs w:val="22"/>
              </w:rPr>
            </w:pPr>
            <w:r>
              <w:rPr>
                <w:rFonts w:ascii="Arial"/>
                <w:sz w:val="22"/>
              </w:rPr>
              <w:t>190,913,424</w:t>
            </w:r>
          </w:p>
        </w:tc>
        <w:tc>
          <w:tcPr>
            <w:tcW w:w="2389"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129"/>
              <w:jc w:val="right"/>
              <w:rPr>
                <w:rFonts w:ascii="Arial" w:hAnsi="Arial" w:cs="Arial" w:eastAsia="Arial" w:hint="default"/>
                <w:sz w:val="22"/>
                <w:szCs w:val="22"/>
              </w:rPr>
            </w:pPr>
            <w:r>
              <w:rPr>
                <w:rFonts w:ascii="Arial"/>
                <w:spacing w:val="-1"/>
                <w:sz w:val="22"/>
              </w:rPr>
              <w:t>1,688,648,359</w:t>
            </w:r>
          </w:p>
        </w:tc>
      </w:tr>
    </w:tbl>
    <w:p>
      <w:pPr>
        <w:spacing w:line="240" w:lineRule="auto" w:before="1"/>
        <w:rPr>
          <w:rFonts w:ascii="Arial" w:hAnsi="Arial" w:cs="Arial" w:eastAsia="Arial" w:hint="default"/>
          <w:sz w:val="13"/>
          <w:szCs w:val="13"/>
        </w:rPr>
      </w:pPr>
    </w:p>
    <w:p>
      <w:pPr>
        <w:pStyle w:val="BodyText"/>
        <w:spacing w:line="240" w:lineRule="auto" w:before="31"/>
        <w:ind w:left="142" w:right="3260"/>
        <w:jc w:val="left"/>
      </w:pPr>
      <w:r>
        <w:rPr>
          <w:rFonts w:ascii="Arial" w:hAnsi="Arial" w:cs="Arial" w:eastAsia="Arial" w:hint="default"/>
        </w:rPr>
        <w:t>(b) </w:t>
      </w:r>
      <w:r>
        <w:rPr>
          <w:rFonts w:ascii="Arial" w:hAnsi="Arial" w:cs="Arial" w:eastAsia="Arial" w:hint="default"/>
          <w:spacing w:val="26"/>
        </w:rPr>
        <w:t> </w:t>
      </w:r>
      <w:r>
        <w:rPr/>
        <w:t>应付融资租赁款明细</w:t>
      </w:r>
    </w:p>
    <w:p>
      <w:pPr>
        <w:spacing w:line="240" w:lineRule="auto" w:before="4"/>
        <w:rPr>
          <w:rFonts w:ascii="宋体" w:hAnsi="宋体" w:cs="宋体" w:eastAsia="宋体" w:hint="default"/>
          <w:sz w:val="18"/>
          <w:szCs w:val="18"/>
        </w:rPr>
      </w:pPr>
    </w:p>
    <w:p>
      <w:pPr>
        <w:tabs>
          <w:tab w:pos="6938" w:val="left" w:leader="none"/>
        </w:tabs>
        <w:spacing w:line="275" w:lineRule="exact" w:before="0"/>
        <w:ind w:left="3108" w:right="125" w:firstLine="0"/>
        <w:jc w:val="left"/>
        <w:rPr>
          <w:rFonts w:ascii="宋体" w:hAnsi="宋体" w:cs="宋体" w:eastAsia="宋体" w:hint="default"/>
          <w:sz w:val="20"/>
          <w:szCs w:val="20"/>
        </w:rPr>
      </w:pPr>
      <w:r>
        <w:rPr>
          <w:rFonts w:ascii="Arial" w:hAnsi="Arial" w:cs="Arial" w:eastAsia="Arial" w:hint="default"/>
          <w:spacing w:val="-1"/>
          <w:sz w:val="20"/>
          <w:szCs w:val="20"/>
        </w:rPr>
        <w:t>2009</w:t>
      </w:r>
      <w:r>
        <w:rPr>
          <w:rFonts w:ascii="宋体" w:hAnsi="宋体" w:cs="宋体" w:eastAsia="宋体" w:hint="default"/>
          <w:spacing w:val="-1"/>
          <w:sz w:val="20"/>
          <w:szCs w:val="20"/>
        </w:rPr>
        <w:t>年</w:t>
      </w:r>
      <w:r>
        <w:rPr>
          <w:rFonts w:ascii="Arial" w:hAnsi="Arial" w:cs="Arial" w:eastAsia="Arial" w:hint="default"/>
          <w:spacing w:val="-1"/>
          <w:sz w:val="20"/>
          <w:szCs w:val="20"/>
        </w:rPr>
        <w:t>12</w:t>
      </w:r>
      <w:r>
        <w:rPr>
          <w:rFonts w:ascii="宋体" w:hAnsi="宋体" w:cs="宋体" w:eastAsia="宋体" w:hint="default"/>
          <w:spacing w:val="-1"/>
          <w:sz w:val="20"/>
          <w:szCs w:val="20"/>
        </w:rPr>
        <w:t>月</w:t>
      </w:r>
      <w:r>
        <w:rPr>
          <w:rFonts w:ascii="Arial" w:hAnsi="Arial" w:cs="Arial" w:eastAsia="Arial" w:hint="default"/>
          <w:spacing w:val="-1"/>
          <w:sz w:val="20"/>
          <w:szCs w:val="20"/>
        </w:rPr>
        <w:t>31</w:t>
      </w:r>
      <w:r>
        <w:rPr>
          <w:rFonts w:ascii="宋体" w:hAnsi="宋体" w:cs="宋体" w:eastAsia="宋体" w:hint="default"/>
          <w:spacing w:val="-1"/>
          <w:sz w:val="20"/>
          <w:szCs w:val="20"/>
        </w:rPr>
        <w:t>日</w:t>
        <w:tab/>
      </w:r>
      <w:r>
        <w:rPr>
          <w:rFonts w:ascii="Arial" w:hAnsi="Arial" w:cs="Arial" w:eastAsia="Arial" w:hint="default"/>
          <w:spacing w:val="-1"/>
          <w:sz w:val="20"/>
          <w:szCs w:val="20"/>
        </w:rPr>
        <w:t>2008</w:t>
      </w:r>
      <w:r>
        <w:rPr>
          <w:rFonts w:ascii="宋体" w:hAnsi="宋体" w:cs="宋体" w:eastAsia="宋体" w:hint="default"/>
          <w:spacing w:val="-1"/>
          <w:sz w:val="20"/>
          <w:szCs w:val="20"/>
        </w:rPr>
        <w:t>年</w:t>
      </w:r>
      <w:r>
        <w:rPr>
          <w:rFonts w:ascii="Arial" w:hAnsi="Arial" w:cs="Arial" w:eastAsia="Arial" w:hint="default"/>
          <w:spacing w:val="-1"/>
          <w:sz w:val="20"/>
          <w:szCs w:val="20"/>
        </w:rPr>
        <w:t>12</w:t>
      </w:r>
      <w:r>
        <w:rPr>
          <w:rFonts w:ascii="宋体" w:hAnsi="宋体" w:cs="宋体" w:eastAsia="宋体" w:hint="default"/>
          <w:spacing w:val="-1"/>
          <w:sz w:val="20"/>
          <w:szCs w:val="20"/>
        </w:rPr>
        <w:t>月</w:t>
      </w:r>
      <w:r>
        <w:rPr>
          <w:rFonts w:ascii="Arial" w:hAnsi="Arial" w:cs="Arial" w:eastAsia="Arial" w:hint="default"/>
          <w:spacing w:val="-1"/>
          <w:sz w:val="20"/>
          <w:szCs w:val="20"/>
        </w:rPr>
        <w:t>31</w:t>
      </w:r>
      <w:r>
        <w:rPr>
          <w:rFonts w:ascii="宋体" w:hAnsi="宋体" w:cs="宋体" w:eastAsia="宋体" w:hint="default"/>
          <w:spacing w:val="-1"/>
          <w:sz w:val="20"/>
          <w:szCs w:val="20"/>
        </w:rPr>
        <w:t>日</w:t>
      </w:r>
    </w:p>
    <w:p>
      <w:pPr>
        <w:tabs>
          <w:tab w:pos="4385" w:val="left" w:leader="none"/>
          <w:tab w:pos="6553" w:val="left" w:leader="none"/>
          <w:tab w:pos="8545" w:val="left" w:leader="none"/>
        </w:tabs>
        <w:spacing w:line="261" w:lineRule="exact" w:before="0"/>
        <w:ind w:left="2252" w:right="125" w:firstLine="0"/>
        <w:jc w:val="left"/>
        <w:rPr>
          <w:rFonts w:ascii="宋体" w:hAnsi="宋体" w:cs="宋体" w:eastAsia="宋体" w:hint="default"/>
          <w:sz w:val="20"/>
          <w:szCs w:val="20"/>
        </w:rPr>
      </w:pPr>
      <w:r>
        <w:rPr/>
        <w:pict>
          <v:group style="position:absolute;margin-left:174.240005pt;margin-top:1.15306pt;width:160.2pt;height:.1pt;mso-position-horizontal-relative:page;mso-position-vertical-relative:paragraph;z-index:-913816" coordorigin="3485,23" coordsize="3204,2">
            <v:shape style="position:absolute;left:3485;top:23;width:3204;height:2" coordorigin="3485,23" coordsize="3204,0" path="m3485,23l6689,23e" filled="false" stroked="true" strokeweight=".72pt" strokecolor="#000000">
              <v:path arrowok="t"/>
            </v:shape>
            <w10:wrap type="none"/>
          </v:group>
        </w:pict>
      </w:r>
      <w:r>
        <w:rPr/>
        <w:pict>
          <v:group style="position:absolute;margin-left:349.200012pt;margin-top:1.15306pt;width:193.3pt;height:.1pt;mso-position-horizontal-relative:page;mso-position-vertical-relative:paragraph;z-index:-913792" coordorigin="6984,23" coordsize="3866,2">
            <v:shape style="position:absolute;left:6984;top:23;width:3866;height:2" coordorigin="6984,23" coordsize="3866,0" path="m6984,23l10849,23e" filled="false" stroked="true" strokeweight=".72pt" strokecolor="#000000">
              <v:path arrowok="t"/>
            </v:shape>
            <w10:wrap type="none"/>
          </v:group>
        </w:pict>
      </w:r>
      <w:r>
        <w:rPr>
          <w:rFonts w:ascii="宋体" w:hAnsi="宋体" w:cs="宋体" w:eastAsia="宋体" w:hint="default"/>
          <w:spacing w:val="-5"/>
          <w:sz w:val="20"/>
          <w:szCs w:val="20"/>
        </w:rPr>
        <w:t>外币金额（美元）</w:t>
        <w:tab/>
      </w:r>
      <w:r>
        <w:rPr>
          <w:rFonts w:ascii="宋体" w:hAnsi="宋体" w:cs="宋体" w:eastAsia="宋体" w:hint="default"/>
          <w:spacing w:val="-1"/>
          <w:sz w:val="20"/>
          <w:szCs w:val="20"/>
        </w:rPr>
        <w:t>人民币金额</w:t>
        <w:tab/>
      </w:r>
      <w:r>
        <w:rPr>
          <w:rFonts w:ascii="宋体" w:hAnsi="宋体" w:cs="宋体" w:eastAsia="宋体" w:hint="default"/>
          <w:sz w:val="20"/>
          <w:szCs w:val="20"/>
        </w:rPr>
        <w:t>外币金额</w:t>
        <w:tab/>
      </w:r>
      <w:r>
        <w:rPr>
          <w:rFonts w:ascii="宋体" w:hAnsi="宋体" w:cs="宋体" w:eastAsia="宋体" w:hint="default"/>
          <w:spacing w:val="-1"/>
          <w:sz w:val="20"/>
          <w:szCs w:val="20"/>
        </w:rPr>
        <w:t>人民币金额</w:t>
      </w:r>
    </w:p>
    <w:p>
      <w:pPr>
        <w:spacing w:line="240" w:lineRule="auto" w:before="3"/>
        <w:rPr>
          <w:rFonts w:ascii="宋体" w:hAnsi="宋体" w:cs="宋体" w:eastAsia="宋体" w:hint="default"/>
          <w:sz w:val="2"/>
          <w:szCs w:val="2"/>
        </w:rPr>
      </w:pPr>
    </w:p>
    <w:p>
      <w:pPr>
        <w:tabs>
          <w:tab w:pos="4053" w:val="left" w:leader="none"/>
          <w:tab w:pos="5736" w:val="left" w:leader="none"/>
          <w:tab w:pos="7691" w:val="left" w:leader="none"/>
        </w:tabs>
        <w:spacing w:line="20" w:lineRule="exact"/>
        <w:ind w:left="2237" w:right="0" w:firstLine="0"/>
        <w:rPr>
          <w:rFonts w:ascii="宋体" w:hAnsi="宋体" w:cs="宋体" w:eastAsia="宋体" w:hint="default"/>
          <w:sz w:val="2"/>
          <w:szCs w:val="2"/>
        </w:rPr>
      </w:pPr>
      <w:r>
        <w:rPr>
          <w:rFonts w:ascii="宋体"/>
          <w:sz w:val="2"/>
        </w:rPr>
        <w:pict>
          <v:group style="width:77.5pt;height:.75pt;mso-position-horizontal-relative:char;mso-position-vertical-relative:line" coordorigin="0,0" coordsize="1550,15">
            <v:group style="position:absolute;left:7;top:7;width:1535;height:2" coordorigin="7,7" coordsize="1535,2">
              <v:shape style="position:absolute;left:7;top:7;width:1535;height:2" coordorigin="7,7" coordsize="1535,0" path="m7,7l1542,7e" filled="false" stroked="true" strokeweight=".72pt" strokecolor="#000000">
                <v:path arrowok="t"/>
              </v:shape>
            </v:group>
          </v:group>
        </w:pict>
      </w:r>
      <w:r>
        <w:rPr>
          <w:rFonts w:ascii="宋体"/>
          <w:sz w:val="2"/>
        </w:rPr>
      </w:r>
      <w:r>
        <w:rPr>
          <w:rFonts w:ascii="宋体"/>
          <w:sz w:val="2"/>
        </w:rPr>
        <w:tab/>
      </w:r>
      <w:r>
        <w:rPr>
          <w:rFonts w:ascii="宋体"/>
          <w:sz w:val="2"/>
        </w:rPr>
        <w:pict>
          <v:group style="width:70.150pt;height:.75pt;mso-position-horizontal-relative:char;mso-position-vertical-relative:line" coordorigin="0,0" coordsize="1403,15">
            <v:group style="position:absolute;left:7;top:7;width:1389;height:2" coordorigin="7,7" coordsize="1389,2">
              <v:shape style="position:absolute;left:7;top:7;width:1389;height:2" coordorigin="7,7" coordsize="1389,0" path="m7,7l1396,7e" filled="false" stroked="true" strokeweight=".72pt" strokecolor="#000000">
                <v:path arrowok="t"/>
              </v:shape>
            </v:group>
          </v:group>
        </w:pict>
      </w:r>
      <w:r>
        <w:rPr>
          <w:rFonts w:ascii="宋体"/>
          <w:sz w:val="2"/>
        </w:rPr>
      </w:r>
      <w:r>
        <w:rPr>
          <w:rFonts w:ascii="宋体"/>
          <w:sz w:val="2"/>
        </w:rPr>
        <w:tab/>
      </w:r>
      <w:r>
        <w:rPr>
          <w:rFonts w:ascii="宋体"/>
          <w:sz w:val="2"/>
        </w:rPr>
        <w:pict>
          <v:group style="width:84.4pt;height:.75pt;mso-position-horizontal-relative:char;mso-position-vertical-relative:line" coordorigin="0,0" coordsize="1688,15">
            <v:group style="position:absolute;left:7;top:7;width:1673;height:2" coordorigin="7,7" coordsize="1673,2">
              <v:shape style="position:absolute;left:7;top:7;width:1673;height:2" coordorigin="7,7" coordsize="1673,0" path="m7,7l1680,7e" filled="false" stroked="true" strokeweight=".72pt" strokecolor="#000000">
                <v:path arrowok="t"/>
              </v:shape>
            </v:group>
          </v:group>
        </w:pict>
      </w:r>
      <w:r>
        <w:rPr>
          <w:rFonts w:ascii="宋体"/>
          <w:sz w:val="2"/>
        </w:rPr>
      </w:r>
      <w:r>
        <w:rPr>
          <w:rFonts w:ascii="宋体"/>
          <w:sz w:val="2"/>
        </w:rPr>
        <w:tab/>
      </w:r>
      <w:r>
        <w:rPr>
          <w:rFonts w:ascii="宋体"/>
          <w:sz w:val="2"/>
        </w:rPr>
        <w:pict>
          <v:group style="width:96.25pt;height:.75pt;mso-position-horizontal-relative:char;mso-position-vertical-relative:line" coordorigin="0,0" coordsize="1925,15">
            <v:group style="position:absolute;left:7;top:7;width:1911;height:2" coordorigin="7,7" coordsize="1911,2">
              <v:shape style="position:absolute;left:7;top:7;width:1911;height:2" coordorigin="7,7" coordsize="1911,0" path="m7,7l1918,7e" filled="false" stroked="true" strokeweight=".72pt" strokecolor="#000000">
                <v:path arrowok="t"/>
              </v:shape>
            </v:group>
          </v:group>
        </w:pict>
      </w:r>
      <w:r>
        <w:rPr>
          <w:rFonts w:ascii="宋体"/>
          <w:sz w:val="2"/>
        </w:rPr>
      </w:r>
    </w:p>
    <w:p>
      <w:pPr>
        <w:spacing w:line="240" w:lineRule="auto" w:before="10"/>
        <w:rPr>
          <w:rFonts w:ascii="宋体" w:hAnsi="宋体" w:cs="宋体" w:eastAsia="宋体" w:hint="default"/>
          <w:sz w:val="11"/>
          <w:szCs w:val="11"/>
        </w:rPr>
      </w:pPr>
    </w:p>
    <w:p>
      <w:pPr>
        <w:tabs>
          <w:tab w:pos="2713" w:val="left" w:leader="none"/>
          <w:tab w:pos="4274" w:val="left" w:leader="none"/>
          <w:tab w:pos="7287" w:val="left" w:leader="none"/>
          <w:tab w:pos="9478" w:val="left" w:leader="none"/>
        </w:tabs>
        <w:spacing w:before="40"/>
        <w:ind w:left="601" w:right="125" w:firstLine="0"/>
        <w:jc w:val="left"/>
        <w:rPr>
          <w:rFonts w:ascii="Arial" w:hAnsi="Arial" w:cs="Arial" w:eastAsia="Arial" w:hint="default"/>
          <w:sz w:val="20"/>
          <w:szCs w:val="20"/>
        </w:rPr>
      </w:pPr>
      <w:r>
        <w:rPr>
          <w:rFonts w:ascii="宋体" w:hAnsi="宋体" w:cs="宋体" w:eastAsia="宋体" w:hint="default"/>
          <w:spacing w:val="-1"/>
          <w:position w:val="1"/>
          <w:sz w:val="20"/>
          <w:szCs w:val="20"/>
        </w:rPr>
        <w:t>应付融资租赁款</w:t>
        <w:tab/>
      </w:r>
      <w:r>
        <w:rPr>
          <w:rFonts w:ascii="Arial" w:hAnsi="Arial" w:cs="Arial" w:eastAsia="Arial" w:hint="default"/>
          <w:spacing w:val="-1"/>
          <w:sz w:val="20"/>
          <w:szCs w:val="20"/>
        </w:rPr>
        <w:t>18,923,003</w:t>
        <w:tab/>
        <w:t>128,933,332</w:t>
        <w:tab/>
      </w:r>
      <w:r>
        <w:rPr>
          <w:rFonts w:ascii="Arial" w:hAnsi="Arial" w:cs="Arial" w:eastAsia="Arial" w:hint="default"/>
          <w:sz w:val="20"/>
          <w:szCs w:val="20"/>
        </w:rPr>
        <w:t>-</w:t>
        <w:tab/>
        <w:t>-</w:t>
      </w:r>
    </w:p>
    <w:p>
      <w:pPr>
        <w:tabs>
          <w:tab w:pos="4046" w:val="left" w:leader="none"/>
          <w:tab w:pos="5729" w:val="left" w:leader="none"/>
          <w:tab w:pos="7684" w:val="left" w:leader="none"/>
        </w:tabs>
        <w:spacing w:line="43" w:lineRule="exact"/>
        <w:ind w:left="2230" w:right="0" w:firstLine="0"/>
        <w:rPr>
          <w:rFonts w:ascii="Arial" w:hAnsi="Arial" w:cs="Arial" w:eastAsia="Arial" w:hint="default"/>
          <w:sz w:val="4"/>
          <w:szCs w:val="4"/>
        </w:rPr>
      </w:pPr>
      <w:r>
        <w:rPr>
          <w:rFonts w:ascii="Arial"/>
          <w:position w:val="0"/>
          <w:sz w:val="4"/>
        </w:rPr>
        <w:pict>
          <v:group style="width:78.2pt;height:2.2pt;mso-position-horizontal-relative:char;mso-position-vertical-relative:line" coordorigin="0,0" coordsize="1564,44">
            <v:group style="position:absolute;left:7;top:36;width:1550;height:2" coordorigin="7,36" coordsize="1550,2">
              <v:shape style="position:absolute;left:7;top:36;width:1550;height:2" coordorigin="7,36" coordsize="1550,0" path="m7,36l1556,36e" filled="false" stroked="true" strokeweight=".72pt" strokecolor="#000000">
                <v:path arrowok="t"/>
              </v:shape>
            </v:group>
            <v:group style="position:absolute;left:7;top:7;width:1550;height:2" coordorigin="7,7" coordsize="1550,2">
              <v:shape style="position:absolute;left:7;top:7;width:1550;height:2" coordorigin="7,7" coordsize="1550,0" path="m7,7l1556,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70.9pt;height:2.2pt;mso-position-horizontal-relative:char;mso-position-vertical-relative:line" coordorigin="0,0" coordsize="1418,44">
            <v:group style="position:absolute;left:7;top:36;width:1403;height:2" coordorigin="7,36" coordsize="1403,2">
              <v:shape style="position:absolute;left:7;top:36;width:1403;height:2" coordorigin="7,36" coordsize="1403,0" path="m7,36l1410,36e" filled="false" stroked="true" strokeweight=".72pt" strokecolor="#000000">
                <v:path arrowok="t"/>
              </v:shape>
            </v:group>
            <v:group style="position:absolute;left:7;top:7;width:1403;height:2" coordorigin="7,7" coordsize="1403,2">
              <v:shape style="position:absolute;left:7;top:7;width:1403;height:2" coordorigin="7,7" coordsize="1403,0" path="m7,7l1410,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85.1pt;height:2.2pt;mso-position-horizontal-relative:char;mso-position-vertical-relative:line" coordorigin="0,0" coordsize="1702,44">
            <v:group style="position:absolute;left:7;top:36;width:1688;height:2" coordorigin="7,36" coordsize="1688,2">
              <v:shape style="position:absolute;left:7;top:36;width:1688;height:2" coordorigin="7,36" coordsize="1688,0" path="m7,36l1694,36e" filled="false" stroked="true" strokeweight=".72pt" strokecolor="#000000">
                <v:path arrowok="t"/>
              </v:shape>
            </v:group>
            <v:group style="position:absolute;left:7;top:7;width:1688;height:2" coordorigin="7,7" coordsize="1688,2">
              <v:shape style="position:absolute;left:7;top:7;width:1688;height:2" coordorigin="7,7" coordsize="1688,0" path="m7,7l1694,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97pt;height:2.2pt;mso-position-horizontal-relative:char;mso-position-vertical-relative:line" coordorigin="0,0" coordsize="1940,44">
            <v:group style="position:absolute;left:7;top:36;width:1925;height:2" coordorigin="7,36" coordsize="1925,2">
              <v:shape style="position:absolute;left:7;top:36;width:1925;height:2" coordorigin="7,36" coordsize="1925,0" path="m7,36l1932,36e" filled="false" stroked="true" strokeweight=".72pt" strokecolor="#000000">
                <v:path arrowok="t"/>
              </v:shape>
            </v:group>
            <v:group style="position:absolute;left:7;top:7;width:1925;height:2" coordorigin="7,7" coordsize="1925,2">
              <v:shape style="position:absolute;left:7;top:7;width:1925;height:2" coordorigin="7,7" coordsize="1925,0" path="m7,7l1932,7e" filled="false" stroked="true" strokeweight=".72pt" strokecolor="#000000">
                <v:path arrowok="t"/>
              </v:shape>
            </v:group>
          </v:group>
        </w:pict>
      </w:r>
      <w:r>
        <w:rPr>
          <w:rFonts w:ascii="Arial"/>
          <w:position w:val="0"/>
          <w:sz w:val="4"/>
        </w:rPr>
      </w:r>
    </w:p>
    <w:p>
      <w:pPr>
        <w:spacing w:line="240" w:lineRule="auto" w:before="4"/>
        <w:rPr>
          <w:rFonts w:ascii="Arial" w:hAnsi="Arial" w:cs="Arial" w:eastAsia="Arial" w:hint="default"/>
          <w:sz w:val="15"/>
          <w:szCs w:val="15"/>
        </w:rPr>
      </w:pPr>
    </w:p>
    <w:p>
      <w:pPr>
        <w:pStyle w:val="BodyText"/>
        <w:spacing w:line="287" w:lineRule="exact" w:before="31"/>
        <w:ind w:left="562" w:right="0"/>
        <w:jc w:val="left"/>
      </w:pPr>
      <w:r>
        <w:rPr>
          <w:spacing w:val="7"/>
        </w:rPr>
        <w:t>应付融资租赁款为本集团融资租入固定资产的最低租赁付款额扣除未确认融资费用后的余额</w:t>
      </w:r>
      <w:r>
        <w:rPr/>
      </w:r>
    </w:p>
    <w:p>
      <w:pPr>
        <w:pStyle w:val="BodyText"/>
        <w:spacing w:line="287" w:lineRule="exact"/>
        <w:ind w:left="562" w:right="3260"/>
        <w:jc w:val="left"/>
      </w:pPr>
      <w:r>
        <w:rPr/>
        <w:t>（附注十三）。</w:t>
      </w:r>
    </w:p>
    <w:p>
      <w:pPr>
        <w:spacing w:line="240" w:lineRule="auto" w:before="10"/>
        <w:rPr>
          <w:rFonts w:ascii="宋体" w:hAnsi="宋体" w:cs="宋体" w:eastAsia="宋体" w:hint="default"/>
          <w:sz w:val="15"/>
          <w:szCs w:val="15"/>
        </w:rPr>
      </w:pPr>
    </w:p>
    <w:tbl>
      <w:tblPr>
        <w:tblW w:w="0" w:type="auto"/>
        <w:jc w:val="left"/>
        <w:tblInd w:w="107" w:type="dxa"/>
        <w:tblLayout w:type="fixed"/>
        <w:tblCellMar>
          <w:top w:w="0" w:type="dxa"/>
          <w:left w:w="0" w:type="dxa"/>
          <w:bottom w:w="0" w:type="dxa"/>
          <w:right w:w="0" w:type="dxa"/>
        </w:tblCellMar>
        <w:tblLook w:val="01E0"/>
      </w:tblPr>
      <w:tblGrid>
        <w:gridCol w:w="4895"/>
        <w:gridCol w:w="2230"/>
        <w:gridCol w:w="2405"/>
      </w:tblGrid>
      <w:tr>
        <w:trPr>
          <w:trHeight w:val="899" w:hRule="exact"/>
        </w:trPr>
        <w:tc>
          <w:tcPr>
            <w:tcW w:w="489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黑体" w:hAnsi="黑体" w:cs="黑体" w:eastAsia="黑体" w:hint="default"/>
                <w:sz w:val="22"/>
                <w:szCs w:val="22"/>
              </w:rPr>
            </w:pPr>
            <w:r>
              <w:rPr>
                <w:rFonts w:ascii="Arial" w:hAnsi="Arial" w:cs="Arial" w:eastAsia="Arial" w:hint="default"/>
                <w:sz w:val="22"/>
                <w:szCs w:val="22"/>
              </w:rPr>
              <w:t>29</w:t>
            </w:r>
            <w:r>
              <w:rPr>
                <w:rFonts w:ascii="黑体" w:hAnsi="黑体" w:cs="黑体" w:eastAsia="黑体" w:hint="default"/>
                <w:sz w:val="22"/>
                <w:szCs w:val="22"/>
              </w:rPr>
              <w:t>、递延收益</w:t>
            </w:r>
          </w:p>
        </w:tc>
        <w:tc>
          <w:tcPr>
            <w:tcW w:w="2230"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91"/>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2405"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33"/>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293" w:hRule="exact"/>
        </w:trPr>
        <w:tc>
          <w:tcPr>
            <w:tcW w:w="4895" w:type="dxa"/>
            <w:tcBorders>
              <w:top w:val="nil" w:sz="6" w:space="0" w:color="auto"/>
              <w:left w:val="nil" w:sz="6" w:space="0" w:color="auto"/>
              <w:bottom w:val="nil" w:sz="6" w:space="0" w:color="auto"/>
              <w:right w:val="nil" w:sz="6" w:space="0" w:color="auto"/>
            </w:tcBorders>
          </w:tcPr>
          <w:p>
            <w:pPr/>
          </w:p>
        </w:tc>
        <w:tc>
          <w:tcPr>
            <w:tcW w:w="2230" w:type="dxa"/>
            <w:tcBorders>
              <w:top w:val="single" w:sz="6" w:space="0" w:color="000000"/>
              <w:left w:val="nil" w:sz="6" w:space="0" w:color="auto"/>
              <w:bottom w:val="nil" w:sz="6" w:space="0" w:color="auto"/>
              <w:right w:val="nil" w:sz="6" w:space="0" w:color="auto"/>
            </w:tcBorders>
          </w:tcPr>
          <w:p>
            <w:pPr/>
          </w:p>
        </w:tc>
        <w:tc>
          <w:tcPr>
            <w:tcW w:w="2405" w:type="dxa"/>
            <w:tcBorders>
              <w:top w:val="single" w:sz="6" w:space="0" w:color="000000"/>
              <w:left w:val="nil" w:sz="6" w:space="0" w:color="auto"/>
              <w:bottom w:val="nil" w:sz="6" w:space="0" w:color="auto"/>
              <w:right w:val="nil" w:sz="6" w:space="0" w:color="auto"/>
            </w:tcBorders>
          </w:tcPr>
          <w:p>
            <w:pPr>
              <w:pStyle w:val="TableParagraph"/>
              <w:spacing w:line="253" w:lineRule="exact"/>
              <w:ind w:right="34"/>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4895" w:type="dxa"/>
            <w:tcBorders>
              <w:top w:val="nil" w:sz="6" w:space="0" w:color="auto"/>
              <w:left w:val="nil" w:sz="6" w:space="0" w:color="auto"/>
              <w:bottom w:val="nil" w:sz="6" w:space="0" w:color="auto"/>
              <w:right w:val="nil" w:sz="6" w:space="0" w:color="auto"/>
            </w:tcBorders>
          </w:tcPr>
          <w:p>
            <w:pPr>
              <w:pStyle w:val="TableParagraph"/>
              <w:spacing w:line="253" w:lineRule="exact"/>
              <w:ind w:left="482" w:right="0"/>
              <w:jc w:val="left"/>
              <w:rPr>
                <w:rFonts w:ascii="宋体" w:hAnsi="宋体" w:cs="宋体" w:eastAsia="宋体" w:hint="default"/>
                <w:sz w:val="22"/>
                <w:szCs w:val="22"/>
              </w:rPr>
            </w:pPr>
            <w:r>
              <w:rPr>
                <w:rFonts w:ascii="宋体" w:hAnsi="宋体" w:cs="宋体" w:eastAsia="宋体" w:hint="default"/>
                <w:sz w:val="22"/>
                <w:szCs w:val="22"/>
              </w:rPr>
              <w:t>递延的装移机收入</w:t>
            </w:r>
          </w:p>
        </w:tc>
        <w:tc>
          <w:tcPr>
            <w:tcW w:w="223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57"/>
              <w:jc w:val="right"/>
              <w:rPr>
                <w:rFonts w:ascii="Arial" w:hAnsi="Arial" w:cs="Arial" w:eastAsia="Arial" w:hint="default"/>
                <w:sz w:val="22"/>
                <w:szCs w:val="22"/>
              </w:rPr>
            </w:pPr>
            <w:r>
              <w:rPr>
                <w:rFonts w:ascii="Arial"/>
                <w:spacing w:val="-1"/>
                <w:sz w:val="22"/>
              </w:rPr>
              <w:t>2,934,409,935</w:t>
            </w:r>
          </w:p>
        </w:tc>
        <w:tc>
          <w:tcPr>
            <w:tcW w:w="240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854" w:right="0"/>
              <w:jc w:val="left"/>
              <w:rPr>
                <w:rFonts w:ascii="Arial" w:hAnsi="Arial" w:cs="Arial" w:eastAsia="Arial" w:hint="default"/>
                <w:sz w:val="22"/>
                <w:szCs w:val="22"/>
              </w:rPr>
            </w:pPr>
            <w:r>
              <w:rPr>
                <w:rFonts w:ascii="Arial"/>
                <w:sz w:val="22"/>
              </w:rPr>
              <w:t>3,766,669,358</w:t>
            </w:r>
          </w:p>
        </w:tc>
      </w:tr>
      <w:tr>
        <w:trPr>
          <w:trHeight w:val="285" w:hRule="exact"/>
        </w:trPr>
        <w:tc>
          <w:tcPr>
            <w:tcW w:w="4895"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递延的市话初装费收入</w:t>
            </w:r>
          </w:p>
        </w:tc>
        <w:tc>
          <w:tcPr>
            <w:tcW w:w="223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56"/>
              <w:jc w:val="right"/>
              <w:rPr>
                <w:rFonts w:ascii="Arial" w:hAnsi="Arial" w:cs="Arial" w:eastAsia="Arial" w:hint="default"/>
                <w:sz w:val="22"/>
                <w:szCs w:val="22"/>
              </w:rPr>
            </w:pPr>
            <w:r>
              <w:rPr>
                <w:rFonts w:ascii="Arial"/>
                <w:w w:val="95"/>
                <w:sz w:val="22"/>
              </w:rPr>
              <w:t>207,755,918</w:t>
            </w:r>
            <w:r>
              <w:rPr>
                <w:rFonts w:ascii="Arial"/>
                <w:sz w:val="22"/>
              </w:rPr>
            </w:r>
          </w:p>
        </w:tc>
        <w:tc>
          <w:tcPr>
            <w:tcW w:w="2405"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37" w:right="0"/>
              <w:jc w:val="left"/>
              <w:rPr>
                <w:rFonts w:ascii="Arial" w:hAnsi="Arial" w:cs="Arial" w:eastAsia="Arial" w:hint="default"/>
                <w:sz w:val="22"/>
                <w:szCs w:val="22"/>
              </w:rPr>
            </w:pPr>
            <w:r>
              <w:rPr>
                <w:rFonts w:ascii="Arial"/>
                <w:sz w:val="22"/>
              </w:rPr>
              <w:t>697,356,355</w:t>
            </w:r>
          </w:p>
        </w:tc>
      </w:tr>
      <w:tr>
        <w:trPr>
          <w:trHeight w:val="285" w:hRule="exact"/>
        </w:trPr>
        <w:tc>
          <w:tcPr>
            <w:tcW w:w="4895"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递延的一次性不退还收入</w:t>
            </w:r>
          </w:p>
        </w:tc>
        <w:tc>
          <w:tcPr>
            <w:tcW w:w="223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56"/>
              <w:jc w:val="right"/>
              <w:rPr>
                <w:rFonts w:ascii="Arial" w:hAnsi="Arial" w:cs="Arial" w:eastAsia="Arial" w:hint="default"/>
                <w:sz w:val="22"/>
                <w:szCs w:val="22"/>
              </w:rPr>
            </w:pPr>
            <w:r>
              <w:rPr>
                <w:rFonts w:ascii="Arial"/>
                <w:w w:val="95"/>
                <w:sz w:val="22"/>
              </w:rPr>
              <w:t>433,222,194</w:t>
            </w:r>
            <w:r>
              <w:rPr>
                <w:rFonts w:ascii="Arial"/>
                <w:sz w:val="22"/>
              </w:rPr>
            </w:r>
          </w:p>
        </w:tc>
        <w:tc>
          <w:tcPr>
            <w:tcW w:w="2405"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37" w:right="0"/>
              <w:jc w:val="left"/>
              <w:rPr>
                <w:rFonts w:ascii="Arial" w:hAnsi="Arial" w:cs="Arial" w:eastAsia="Arial" w:hint="default"/>
                <w:sz w:val="22"/>
                <w:szCs w:val="22"/>
              </w:rPr>
            </w:pPr>
            <w:r>
              <w:rPr>
                <w:rFonts w:ascii="Arial"/>
                <w:sz w:val="22"/>
              </w:rPr>
              <w:t>435,069,873</w:t>
            </w:r>
          </w:p>
        </w:tc>
      </w:tr>
      <w:tr>
        <w:trPr>
          <w:trHeight w:val="285" w:hRule="exact"/>
        </w:trPr>
        <w:tc>
          <w:tcPr>
            <w:tcW w:w="4895" w:type="dxa"/>
            <w:tcBorders>
              <w:top w:val="nil" w:sz="6" w:space="0" w:color="auto"/>
              <w:left w:val="nil" w:sz="6" w:space="0" w:color="auto"/>
              <w:bottom w:val="nil" w:sz="6" w:space="0" w:color="auto"/>
              <w:right w:val="nil" w:sz="6" w:space="0" w:color="auto"/>
            </w:tcBorders>
          </w:tcPr>
          <w:p>
            <w:pPr>
              <w:pStyle w:val="TableParagraph"/>
              <w:spacing w:line="255" w:lineRule="exact"/>
              <w:ind w:left="482" w:right="0"/>
              <w:jc w:val="left"/>
              <w:rPr>
                <w:rFonts w:ascii="宋体" w:hAnsi="宋体" w:cs="宋体" w:eastAsia="宋体" w:hint="default"/>
                <w:sz w:val="22"/>
                <w:szCs w:val="22"/>
              </w:rPr>
            </w:pPr>
            <w:r>
              <w:rPr>
                <w:rFonts w:ascii="宋体" w:hAnsi="宋体" w:cs="宋体" w:eastAsia="宋体" w:hint="default"/>
                <w:sz w:val="22"/>
                <w:szCs w:val="22"/>
              </w:rPr>
              <w:t>递延的与</w:t>
            </w:r>
            <w:r>
              <w:rPr>
                <w:rFonts w:ascii="宋体" w:hAnsi="宋体" w:cs="宋体" w:eastAsia="宋体" w:hint="default"/>
                <w:spacing w:val="-56"/>
                <w:sz w:val="22"/>
                <w:szCs w:val="22"/>
              </w:rPr>
              <w:t> </w:t>
            </w:r>
            <w:r>
              <w:rPr>
                <w:rFonts w:ascii="Arial" w:hAnsi="Arial" w:cs="Arial" w:eastAsia="Arial" w:hint="default"/>
                <w:sz w:val="22"/>
                <w:szCs w:val="22"/>
              </w:rPr>
              <w:t>CDMA</w:t>
            </w:r>
            <w:r>
              <w:rPr>
                <w:rFonts w:ascii="Arial" w:hAnsi="Arial" w:cs="Arial" w:eastAsia="Arial" w:hint="default"/>
                <w:spacing w:val="-7"/>
                <w:sz w:val="22"/>
                <w:szCs w:val="22"/>
              </w:rPr>
              <w:t> </w:t>
            </w:r>
            <w:r>
              <w:rPr>
                <w:rFonts w:ascii="宋体" w:hAnsi="宋体" w:cs="宋体" w:eastAsia="宋体" w:hint="default"/>
                <w:sz w:val="22"/>
                <w:szCs w:val="22"/>
              </w:rPr>
              <w:t>出售相关的服务（注</w:t>
            </w:r>
            <w:r>
              <w:rPr>
                <w:rFonts w:ascii="宋体" w:hAnsi="宋体" w:cs="宋体" w:eastAsia="宋体" w:hint="default"/>
                <w:spacing w:val="-57"/>
                <w:sz w:val="22"/>
                <w:szCs w:val="22"/>
              </w:rPr>
              <w:t> </w:t>
            </w:r>
            <w:r>
              <w:rPr>
                <w:rFonts w:ascii="Arial" w:hAnsi="Arial" w:cs="Arial" w:eastAsia="Arial" w:hint="default"/>
                <w:sz w:val="22"/>
                <w:szCs w:val="22"/>
              </w:rPr>
              <w:t>1</w:t>
            </w:r>
            <w:r>
              <w:rPr>
                <w:rFonts w:ascii="宋体" w:hAnsi="宋体" w:cs="宋体" w:eastAsia="宋体" w:hint="default"/>
                <w:sz w:val="22"/>
                <w:szCs w:val="22"/>
              </w:rPr>
              <w:t>）</w:t>
            </w:r>
          </w:p>
        </w:tc>
        <w:tc>
          <w:tcPr>
            <w:tcW w:w="223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56"/>
              <w:jc w:val="right"/>
              <w:rPr>
                <w:rFonts w:ascii="Arial" w:hAnsi="Arial" w:cs="Arial" w:eastAsia="Arial" w:hint="default"/>
                <w:sz w:val="22"/>
                <w:szCs w:val="22"/>
              </w:rPr>
            </w:pPr>
            <w:r>
              <w:rPr>
                <w:rFonts w:ascii="Arial"/>
                <w:w w:val="95"/>
                <w:sz w:val="22"/>
              </w:rPr>
              <w:t>126,312,836</w:t>
            </w:r>
            <w:r>
              <w:rPr>
                <w:rFonts w:ascii="Arial"/>
                <w:sz w:val="22"/>
              </w:rPr>
            </w:r>
          </w:p>
        </w:tc>
        <w:tc>
          <w:tcPr>
            <w:tcW w:w="2405"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37" w:right="0"/>
              <w:jc w:val="left"/>
              <w:rPr>
                <w:rFonts w:ascii="Arial" w:hAnsi="Arial" w:cs="Arial" w:eastAsia="Arial" w:hint="default"/>
                <w:sz w:val="22"/>
                <w:szCs w:val="22"/>
              </w:rPr>
            </w:pPr>
            <w:r>
              <w:rPr>
                <w:rFonts w:ascii="Arial"/>
                <w:sz w:val="22"/>
              </w:rPr>
              <w:t>409,316,127</w:t>
            </w:r>
          </w:p>
        </w:tc>
      </w:tr>
      <w:tr>
        <w:trPr>
          <w:trHeight w:val="266" w:hRule="exact"/>
        </w:trPr>
        <w:tc>
          <w:tcPr>
            <w:tcW w:w="4895"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递延的用户积分奖励公允价值</w:t>
            </w:r>
          </w:p>
        </w:tc>
        <w:tc>
          <w:tcPr>
            <w:tcW w:w="223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56"/>
              <w:jc w:val="right"/>
              <w:rPr>
                <w:rFonts w:ascii="Arial" w:hAnsi="Arial" w:cs="Arial" w:eastAsia="Arial" w:hint="default"/>
                <w:sz w:val="22"/>
                <w:szCs w:val="22"/>
              </w:rPr>
            </w:pPr>
            <w:r>
              <w:rPr>
                <w:rFonts w:ascii="Arial"/>
                <w:w w:val="95"/>
                <w:sz w:val="22"/>
              </w:rPr>
              <w:t>193,296,544</w:t>
            </w:r>
            <w:r>
              <w:rPr>
                <w:rFonts w:ascii="Arial"/>
                <w:sz w:val="22"/>
              </w:rPr>
            </w:r>
          </w:p>
        </w:tc>
        <w:tc>
          <w:tcPr>
            <w:tcW w:w="2405" w:type="dxa"/>
            <w:tcBorders>
              <w:top w:val="nil" w:sz="6" w:space="0" w:color="auto"/>
              <w:left w:val="nil" w:sz="6" w:space="0" w:color="auto"/>
              <w:bottom w:val="nil" w:sz="6" w:space="0" w:color="auto"/>
              <w:right w:val="nil" w:sz="6" w:space="0" w:color="auto"/>
            </w:tcBorders>
          </w:tcPr>
          <w:p>
            <w:pPr>
              <w:pStyle w:val="TableParagraph"/>
              <w:spacing w:line="240" w:lineRule="auto" w:before="17"/>
              <w:ind w:left="1037" w:right="0"/>
              <w:jc w:val="left"/>
              <w:rPr>
                <w:rFonts w:ascii="Arial" w:hAnsi="Arial" w:cs="Arial" w:eastAsia="Arial" w:hint="default"/>
                <w:sz w:val="22"/>
                <w:szCs w:val="22"/>
              </w:rPr>
            </w:pPr>
            <w:r>
              <w:rPr>
                <w:rFonts w:ascii="Arial"/>
                <w:sz w:val="22"/>
              </w:rPr>
              <w:t>178,579,829</w:t>
            </w:r>
          </w:p>
        </w:tc>
      </w:tr>
    </w:tbl>
    <w:p>
      <w:pPr>
        <w:pStyle w:val="BodyText"/>
        <w:tabs>
          <w:tab w:pos="5002" w:val="left" w:leader="none"/>
          <w:tab w:pos="5970" w:val="left" w:leader="none"/>
          <w:tab w:pos="8390" w:val="left" w:leader="none"/>
          <w:tab w:pos="9598" w:val="left" w:leader="none"/>
        </w:tabs>
        <w:spacing w:line="283" w:lineRule="exact"/>
        <w:ind w:left="590" w:right="125"/>
        <w:jc w:val="left"/>
        <w:rPr>
          <w:rFonts w:ascii="Arial" w:hAnsi="Arial" w:cs="Arial" w:eastAsia="Arial" w:hint="default"/>
        </w:rPr>
      </w:pPr>
      <w:r>
        <w:rPr>
          <w:w w:val="95"/>
          <w:position w:val="2"/>
        </w:rPr>
        <w:t>其他</w:t>
        <w:tab/>
      </w:r>
      <w:r>
        <w:rPr>
          <w:rFonts w:ascii="Arial" w:hAnsi="Arial" w:cs="Arial" w:eastAsia="Arial" w:hint="default"/>
          <w:w w:val="95"/>
        </w:rPr>
      </w:r>
      <w:r>
        <w:rPr>
          <w:rFonts w:ascii="Arial" w:hAnsi="Arial" w:cs="Arial" w:eastAsia="Arial" w:hint="default"/>
          <w:w w:val="95"/>
          <w:u w:val="single" w:color="000000"/>
        </w:rPr>
        <w:t> </w:t>
        <w:tab/>
        <w:t>59,419,359</w:t>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37,353,279</w:t>
        <w:tab/>
      </w:r>
      <w:r>
        <w:rPr>
          <w:rFonts w:ascii="Arial" w:hAnsi="Arial" w:cs="Arial" w:eastAsia="Arial" w:hint="default"/>
        </w:rPr>
      </w:r>
    </w:p>
    <w:p>
      <w:pPr>
        <w:pStyle w:val="BodyText"/>
        <w:tabs>
          <w:tab w:pos="5665" w:val="left" w:leader="none"/>
          <w:tab w:pos="8086" w:val="left" w:leader="none"/>
        </w:tabs>
        <w:spacing w:line="307" w:lineRule="exact"/>
        <w:ind w:left="590" w:right="125"/>
        <w:jc w:val="left"/>
        <w:rPr>
          <w:rFonts w:ascii="Arial" w:hAnsi="Arial" w:cs="Arial" w:eastAsia="Arial" w:hint="default"/>
        </w:rPr>
      </w:pPr>
      <w:r>
        <w:rPr>
          <w:w w:val="95"/>
          <w:position w:val="1"/>
        </w:rPr>
        <w:t>小计</w:t>
        <w:tab/>
      </w:r>
      <w:r>
        <w:rPr>
          <w:rFonts w:ascii="Arial" w:hAnsi="Arial" w:cs="Arial" w:eastAsia="Arial" w:hint="default"/>
          <w:spacing w:val="-1"/>
        </w:rPr>
        <w:t>3,954,416,786</w:t>
        <w:tab/>
        <w:t>5,524,344,821</w:t>
      </w:r>
    </w:p>
    <w:p>
      <w:pPr>
        <w:spacing w:line="240" w:lineRule="auto" w:before="4"/>
        <w:rPr>
          <w:rFonts w:ascii="Arial" w:hAnsi="Arial" w:cs="Arial" w:eastAsia="Arial" w:hint="default"/>
          <w:sz w:val="16"/>
          <w:szCs w:val="16"/>
        </w:rPr>
      </w:pPr>
    </w:p>
    <w:p>
      <w:pPr>
        <w:pStyle w:val="BodyText"/>
        <w:tabs>
          <w:tab w:pos="5002" w:val="left" w:leader="none"/>
          <w:tab w:pos="5591" w:val="left" w:leader="none"/>
          <w:tab w:pos="8011" w:val="left" w:leader="none"/>
        </w:tabs>
        <w:spacing w:line="240" w:lineRule="auto" w:before="27"/>
        <w:ind w:left="590" w:right="125"/>
        <w:jc w:val="left"/>
        <w:rPr>
          <w:rFonts w:ascii="Arial" w:hAnsi="Arial" w:cs="Arial" w:eastAsia="Arial" w:hint="default"/>
        </w:rPr>
      </w:pPr>
      <w:r>
        <w:rPr>
          <w:position w:val="2"/>
        </w:rPr>
        <w:t>减：上述递延收益的流动部分（注</w:t>
      </w:r>
      <w:r>
        <w:rPr>
          <w:spacing w:val="-57"/>
          <w:position w:val="2"/>
        </w:rPr>
        <w:t> </w:t>
      </w:r>
      <w:r>
        <w:rPr>
          <w:rFonts w:ascii="Arial" w:hAnsi="Arial" w:cs="Arial" w:eastAsia="Arial" w:hint="default"/>
          <w:position w:val="2"/>
        </w:rPr>
        <w:t>2</w:t>
      </w:r>
      <w:r>
        <w:rPr>
          <w:position w:val="2"/>
        </w:rPr>
        <w:t>）</w:t>
        <w:tab/>
      </w:r>
      <w:r>
        <w:rPr>
          <w:rFonts w:ascii="Arial" w:hAnsi="Arial" w:cs="Arial" w:eastAsia="Arial" w:hint="default"/>
        </w:rPr>
      </w:r>
      <w:r>
        <w:rPr>
          <w:rFonts w:ascii="Arial" w:hAnsi="Arial" w:cs="Arial" w:eastAsia="Arial" w:hint="default"/>
          <w:u w:val="single" w:color="000000"/>
        </w:rPr>
        <w:t> </w:t>
        <w:tab/>
      </w:r>
      <w:r>
        <w:rPr>
          <w:rFonts w:ascii="Arial" w:hAnsi="Arial" w:cs="Arial" w:eastAsia="Arial" w:hint="default"/>
          <w:w w:val="95"/>
          <w:u w:val="single" w:color="000000"/>
        </w:rPr>
        <w:t>(1,396,635,317)</w:t>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(2,135,837,620)</w:t>
      </w:r>
      <w:r>
        <w:rPr>
          <w:rFonts w:ascii="Arial" w:hAnsi="Arial" w:cs="Arial" w:eastAsia="Arial" w:hint="default"/>
        </w:rPr>
      </w:r>
    </w:p>
    <w:p>
      <w:pPr>
        <w:spacing w:line="240" w:lineRule="auto" w:before="7"/>
        <w:rPr>
          <w:rFonts w:ascii="Arial" w:hAnsi="Arial" w:cs="Arial" w:eastAsia="Arial" w:hint="default"/>
          <w:sz w:val="17"/>
          <w:szCs w:val="17"/>
        </w:rPr>
      </w:pPr>
    </w:p>
    <w:p>
      <w:pPr>
        <w:pStyle w:val="BodyText"/>
        <w:tabs>
          <w:tab w:pos="5665" w:val="left" w:leader="none"/>
          <w:tab w:pos="8086" w:val="left" w:leader="none"/>
        </w:tabs>
        <w:spacing w:line="240" w:lineRule="auto" w:before="27"/>
        <w:ind w:left="590" w:right="125"/>
        <w:jc w:val="left"/>
        <w:rPr>
          <w:rFonts w:ascii="Arial" w:hAnsi="Arial" w:cs="Arial" w:eastAsia="Arial" w:hint="default"/>
        </w:rPr>
      </w:pPr>
      <w:r>
        <w:rPr>
          <w:w w:val="95"/>
          <w:position w:val="2"/>
        </w:rPr>
        <w:t>合计</w:t>
        <w:tab/>
      </w:r>
      <w:r>
        <w:rPr>
          <w:rFonts w:ascii="Arial" w:hAnsi="Arial" w:cs="Arial" w:eastAsia="Arial" w:hint="default"/>
          <w:spacing w:val="-1"/>
        </w:rPr>
        <w:t>2,557,781,469</w:t>
        <w:tab/>
        <w:t>3,388,507,201</w:t>
      </w:r>
    </w:p>
    <w:p>
      <w:pPr>
        <w:spacing w:line="43" w:lineRule="exact"/>
        <w:ind w:left="4988" w:right="0" w:firstLine="0"/>
        <w:rPr>
          <w:rFonts w:ascii="Arial" w:hAnsi="Arial" w:cs="Arial" w:eastAsia="Arial" w:hint="default"/>
          <w:sz w:val="4"/>
          <w:szCs w:val="4"/>
        </w:rPr>
      </w:pPr>
      <w:r>
        <w:rPr>
          <w:rFonts w:ascii="Arial" w:hAnsi="Arial" w:cs="Arial" w:eastAsia="Arial" w:hint="default"/>
          <w:position w:val="0"/>
          <w:sz w:val="4"/>
          <w:szCs w:val="4"/>
        </w:rPr>
        <w:pict>
          <v:group style="width:231.25pt;height:2.2pt;mso-position-horizontal-relative:char;mso-position-vertical-relative:line" coordorigin="0,0" coordsize="4625,44">
            <v:group style="position:absolute;left:7;top:36;width:2244;height:2" coordorigin="7,36" coordsize="2244,2">
              <v:shape style="position:absolute;left:7;top:36;width:2244;height:2" coordorigin="7,36" coordsize="2244,0" path="m7,36l2251,36e" filled="false" stroked="true" strokeweight=".72pt" strokecolor="#000000">
                <v:path arrowok="t"/>
              </v:shape>
            </v:group>
            <v:group style="position:absolute;left:7;top:7;width:2244;height:2" coordorigin="7,7" coordsize="2244,2">
              <v:shape style="position:absolute;left:7;top:7;width:2244;height:2" coordorigin="7,7" coordsize="2244,0" path="m7,7l2251,7e" filled="false" stroked="true" strokeweight=".72pt" strokecolor="#000000">
                <v:path arrowok="t"/>
              </v:shape>
            </v:group>
            <v:group style="position:absolute;left:2321;top:36;width:2297;height:2" coordorigin="2321,36" coordsize="2297,2">
              <v:shape style="position:absolute;left:2321;top:36;width:2297;height:2" coordorigin="2321,36" coordsize="2297,0" path="m2321,36l4618,36e" filled="false" stroked="true" strokeweight=".72pt" strokecolor="#000000">
                <v:path arrowok="t"/>
              </v:shape>
            </v:group>
            <v:group style="position:absolute;left:2321;top:7;width:2297;height:2" coordorigin="2321,7" coordsize="2297,2">
              <v:shape style="position:absolute;left:2321;top:7;width:2297;height:2" coordorigin="2321,7" coordsize="2297,0" path="m2321,7l4618,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5"/>
        <w:rPr>
          <w:rFonts w:ascii="Arial" w:hAnsi="Arial" w:cs="Arial" w:eastAsia="Arial" w:hint="default"/>
          <w:sz w:val="14"/>
          <w:szCs w:val="14"/>
        </w:rPr>
      </w:pPr>
    </w:p>
    <w:p>
      <w:pPr>
        <w:pStyle w:val="BodyText"/>
        <w:spacing w:line="230" w:lineRule="auto" w:before="42"/>
        <w:ind w:left="1164" w:right="157" w:hanging="575"/>
        <w:jc w:val="both"/>
      </w:pPr>
      <w:r>
        <w:rPr/>
        <w:t>注</w:t>
      </w:r>
      <w:r>
        <w:rPr>
          <w:spacing w:val="-65"/>
        </w:rPr>
        <w:t> </w:t>
      </w:r>
      <w:r>
        <w:rPr>
          <w:rFonts w:ascii="Arial" w:hAnsi="Arial" w:cs="Arial" w:eastAsia="Arial" w:hint="default"/>
          <w:spacing w:val="-8"/>
        </w:rPr>
        <w:t>1</w:t>
      </w:r>
      <w:r>
        <w:rPr>
          <w:spacing w:val="-8"/>
        </w:rPr>
        <w:t>：根据</w:t>
      </w:r>
      <w:r>
        <w:rPr>
          <w:spacing w:val="-65"/>
        </w:rPr>
        <w:t> </w:t>
      </w:r>
      <w:r>
        <w:rPr>
          <w:rFonts w:ascii="Arial" w:hAnsi="Arial" w:cs="Arial" w:eastAsia="Arial" w:hint="default"/>
        </w:rPr>
        <w:t>CDMA</w:t>
      </w:r>
      <w:r>
        <w:rPr>
          <w:rFonts w:ascii="Arial" w:hAnsi="Arial" w:cs="Arial" w:eastAsia="Arial" w:hint="default"/>
          <w:spacing w:val="-16"/>
        </w:rPr>
        <w:t> </w:t>
      </w:r>
      <w:r>
        <w:rPr/>
        <w:t>出售协议，于过渡期内本集团需向中国电信提供若干支持服务以保证过渡期</w:t>
      </w:r>
      <w:r>
        <w:rPr>
          <w:w w:val="99"/>
        </w:rPr>
        <w:t> </w:t>
      </w:r>
      <w:r>
        <w:rPr/>
        <w:t>内</w:t>
      </w:r>
      <w:r>
        <w:rPr>
          <w:spacing w:val="-71"/>
        </w:rPr>
        <w:t> </w:t>
      </w:r>
      <w:r>
        <w:rPr>
          <w:rFonts w:ascii="Arial" w:hAnsi="Arial" w:cs="Arial" w:eastAsia="Arial" w:hint="default"/>
        </w:rPr>
        <w:t>CDMA</w:t>
      </w:r>
      <w:r>
        <w:rPr>
          <w:rFonts w:ascii="Arial" w:hAnsi="Arial" w:cs="Arial" w:eastAsia="Arial" w:hint="default"/>
          <w:spacing w:val="-22"/>
        </w:rPr>
        <w:t> </w:t>
      </w:r>
      <w:r>
        <w:rPr/>
        <w:t>业务的正常运行，该服务包括使用若干区域的若干通讯设备、物业及信息技术</w:t>
      </w:r>
      <w:r>
        <w:rPr>
          <w:w w:val="99"/>
        </w:rPr>
        <w:t> </w:t>
      </w:r>
      <w:r>
        <w:rPr>
          <w:spacing w:val="2"/>
        </w:rPr>
        <w:t>服务。本集团基于相关设备或物业的成本加利润率估计该项服务的价值。该服务估计价</w:t>
      </w:r>
      <w:r>
        <w:rPr>
          <w:w w:val="99"/>
        </w:rPr>
        <w:t> </w:t>
      </w:r>
      <w:r>
        <w:rPr/>
        <w:t>值即一部分</w:t>
      </w:r>
      <w:r>
        <w:rPr>
          <w:spacing w:val="-57"/>
        </w:rPr>
        <w:t> </w:t>
      </w:r>
      <w:r>
        <w:rPr>
          <w:rFonts w:ascii="Arial" w:hAnsi="Arial" w:cs="Arial" w:eastAsia="Arial" w:hint="default"/>
        </w:rPr>
        <w:t>CDMA</w:t>
      </w:r>
      <w:r>
        <w:rPr>
          <w:rFonts w:ascii="Arial" w:hAnsi="Arial" w:cs="Arial" w:eastAsia="Arial" w:hint="default"/>
          <w:spacing w:val="-9"/>
        </w:rPr>
        <w:t> </w:t>
      </w:r>
      <w:r>
        <w:rPr/>
        <w:t>业务处置代价，已经予以递延并在预期服务期限内确认。</w:t>
      </w:r>
    </w:p>
    <w:p>
      <w:pPr>
        <w:spacing w:line="240" w:lineRule="auto" w:before="5"/>
        <w:rPr>
          <w:rFonts w:ascii="宋体" w:hAnsi="宋体" w:cs="宋体" w:eastAsia="宋体" w:hint="default"/>
          <w:sz w:val="16"/>
          <w:szCs w:val="16"/>
        </w:rPr>
      </w:pPr>
    </w:p>
    <w:p>
      <w:pPr>
        <w:pStyle w:val="BodyText"/>
        <w:spacing w:line="240" w:lineRule="auto"/>
        <w:ind w:left="590" w:right="3260"/>
        <w:jc w:val="left"/>
      </w:pPr>
      <w:r>
        <w:rPr/>
        <w:t>注</w:t>
      </w:r>
      <w:r>
        <w:rPr>
          <w:spacing w:val="-57"/>
        </w:rPr>
        <w:t> </w:t>
      </w:r>
      <w:r>
        <w:rPr>
          <w:rFonts w:ascii="Arial" w:hAnsi="Arial" w:cs="Arial" w:eastAsia="Arial" w:hint="default"/>
        </w:rPr>
        <w:t>2</w:t>
      </w:r>
      <w:r>
        <w:rPr/>
        <w:t>：上述递延收益的流动部分已转入预收款项。</w:t>
      </w:r>
    </w:p>
    <w:p>
      <w:pPr>
        <w:spacing w:after="0" w:line="240" w:lineRule="auto"/>
        <w:jc w:val="left"/>
        <w:sectPr>
          <w:headerReference w:type="default" r:id="rId106"/>
          <w:pgSz w:w="11910" w:h="16840"/>
          <w:pgMar w:header="1189" w:footer="752" w:top="3060" w:bottom="940" w:left="1240" w:right="900"/>
        </w:sectPr>
      </w:pPr>
    </w:p>
    <w:p>
      <w:pPr>
        <w:spacing w:line="240" w:lineRule="auto" w:before="12"/>
        <w:rPr>
          <w:rFonts w:ascii="宋体" w:hAnsi="宋体" w:cs="宋体" w:eastAsia="宋体" w:hint="default"/>
          <w:sz w:val="14"/>
          <w:szCs w:val="14"/>
        </w:rPr>
      </w:pPr>
    </w:p>
    <w:p>
      <w:pPr>
        <w:pStyle w:val="BodyText"/>
        <w:spacing w:line="240" w:lineRule="auto" w:before="31"/>
        <w:ind w:left="102" w:right="138"/>
        <w:jc w:val="left"/>
        <w:rPr>
          <w:rFonts w:ascii="黑体" w:hAnsi="黑体" w:cs="黑体" w:eastAsia="黑体" w:hint="default"/>
        </w:rPr>
      </w:pPr>
      <w:r>
        <w:rPr>
          <w:rFonts w:ascii="Arial" w:hAnsi="Arial" w:cs="Arial" w:eastAsia="Arial" w:hint="default"/>
        </w:rPr>
        <w:t>30</w:t>
      </w:r>
      <w:r>
        <w:rPr>
          <w:rFonts w:ascii="黑体" w:hAnsi="黑体" w:cs="黑体" w:eastAsia="黑体" w:hint="default"/>
        </w:rPr>
        <w:t>、股本</w:t>
      </w:r>
    </w:p>
    <w:p>
      <w:pPr>
        <w:spacing w:line="240" w:lineRule="auto" w:before="2"/>
        <w:rPr>
          <w:rFonts w:ascii="黑体" w:hAnsi="黑体" w:cs="黑体" w:eastAsia="黑体" w:hint="default"/>
          <w:sz w:val="16"/>
          <w:szCs w:val="16"/>
        </w:rPr>
      </w:pPr>
    </w:p>
    <w:p>
      <w:pPr>
        <w:pStyle w:val="BodyText"/>
        <w:spacing w:line="240" w:lineRule="auto"/>
        <w:ind w:left="550" w:right="138"/>
        <w:jc w:val="left"/>
      </w:pPr>
      <w:r>
        <w:rPr>
          <w:rFonts w:ascii="Arial" w:hAnsi="Arial" w:cs="Arial" w:eastAsia="Arial" w:hint="default"/>
        </w:rPr>
        <w:t>2009</w:t>
      </w:r>
      <w:r>
        <w:rPr>
          <w:rFonts w:ascii="Arial" w:hAnsi="Arial" w:cs="Arial" w:eastAsia="Arial" w:hint="default"/>
          <w:spacing w:val="-9"/>
        </w:rPr>
        <w:t> </w:t>
      </w:r>
      <w:r>
        <w:rPr/>
        <w:t>年度，本公司股本变化情况列示如下：</w:t>
      </w:r>
    </w:p>
    <w:p>
      <w:pPr>
        <w:spacing w:line="240" w:lineRule="auto" w:before="8"/>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headerReference w:type="default" r:id="rId107"/>
          <w:pgSz w:w="11910" w:h="16840"/>
          <w:pgMar w:header="1189" w:footer="752" w:top="3060" w:bottom="940" w:left="1280" w:right="940"/>
        </w:sectPr>
      </w:pPr>
    </w:p>
    <w:p>
      <w:pPr>
        <w:spacing w:line="268" w:lineRule="exact" w:before="38"/>
        <w:ind w:left="3984" w:right="3192" w:firstLine="0"/>
        <w:jc w:val="center"/>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w:t>
      </w:r>
    </w:p>
    <w:p>
      <w:pPr>
        <w:tabs>
          <w:tab w:pos="5413" w:val="left" w:leader="none"/>
          <w:tab w:pos="7109" w:val="left" w:leader="none"/>
        </w:tabs>
        <w:spacing w:line="268" w:lineRule="exact" w:before="0"/>
        <w:ind w:left="3703" w:right="-19" w:firstLine="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宋体" w:hAnsi="宋体" w:cs="宋体" w:eastAsia="宋体" w:hint="default"/>
          <w:sz w:val="20"/>
          <w:szCs w:val="20"/>
        </w:rPr>
        <w:t>日</w:t>
        <w:tab/>
        <w:t>本年增加</w:t>
        <w:tab/>
        <w:t>本年减少</w:t>
      </w:r>
    </w:p>
    <w:p>
      <w:pPr>
        <w:spacing w:line="268" w:lineRule="exact" w:before="38"/>
        <w:ind w:left="886" w:right="0" w:firstLine="0"/>
        <w:jc w:val="left"/>
        <w:rPr>
          <w:rFonts w:ascii="宋体" w:hAnsi="宋体" w:cs="宋体" w:eastAsia="宋体" w:hint="default"/>
          <w:sz w:val="20"/>
          <w:szCs w:val="20"/>
        </w:rPr>
      </w:pPr>
      <w:r>
        <w:rPr/>
        <w:br w:type="column"/>
      </w: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p>
    <w:p>
      <w:pPr>
        <w:spacing w:line="268" w:lineRule="exact" w:before="0"/>
        <w:ind w:left="586" w:right="0" w:firstLine="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宋体" w:hAnsi="宋体" w:cs="宋体" w:eastAsia="宋体" w:hint="default"/>
          <w:sz w:val="20"/>
          <w:szCs w:val="20"/>
        </w:rPr>
        <w:t>日</w:t>
      </w:r>
    </w:p>
    <w:p>
      <w:pPr>
        <w:spacing w:after="0" w:line="268" w:lineRule="exact"/>
        <w:jc w:val="left"/>
        <w:rPr>
          <w:rFonts w:ascii="宋体" w:hAnsi="宋体" w:cs="宋体" w:eastAsia="宋体" w:hint="default"/>
          <w:sz w:val="20"/>
          <w:szCs w:val="20"/>
        </w:rPr>
        <w:sectPr>
          <w:type w:val="continuous"/>
          <w:pgSz w:w="11910" w:h="16840"/>
          <w:pgMar w:top="1600" w:bottom="280" w:left="1280" w:right="940"/>
          <w:cols w:num="2" w:equalWidth="0">
            <w:col w:w="7911" w:space="40"/>
            <w:col w:w="1739"/>
          </w:cols>
        </w:sectPr>
      </w:pPr>
    </w:p>
    <w:p>
      <w:pPr>
        <w:spacing w:line="20" w:lineRule="exact"/>
        <w:ind w:left="3080" w:right="0" w:firstLine="0"/>
        <w:rPr>
          <w:rFonts w:ascii="宋体" w:hAnsi="宋体" w:cs="宋体" w:eastAsia="宋体" w:hint="default"/>
          <w:sz w:val="2"/>
          <w:szCs w:val="2"/>
        </w:rPr>
      </w:pPr>
      <w:r>
        <w:rPr>
          <w:rFonts w:ascii="宋体"/>
          <w:sz w:val="2"/>
        </w:rPr>
        <w:pict>
          <v:group style="width:82.6pt;height:.75pt;mso-position-horizontal-relative:char;mso-position-vertical-relative:line" coordorigin="0,0" coordsize="1652,15">
            <v:group style="position:absolute;left:7;top:7;width:1637;height:2" coordorigin="7,7" coordsize="1637,2">
              <v:shape style="position:absolute;left:7;top:7;width:1637;height:2" coordorigin="7,7" coordsize="1637,0" path="m7,7l1644,7e" filled="false" stroked="true" strokeweight=".72pt" strokecolor="#000000">
                <v:path arrowok="t"/>
              </v:shape>
            </v:group>
          </v:group>
        </w:pict>
      </w:r>
      <w:r>
        <w:rPr>
          <w:rFonts w:ascii="宋体"/>
          <w:sz w:val="2"/>
        </w:rPr>
      </w:r>
      <w:r>
        <w:rPr>
          <w:rFonts w:ascii="Times New Roman"/>
          <w:spacing w:val="55"/>
          <w:sz w:val="2"/>
        </w:rPr>
        <w:t> </w:t>
      </w:r>
      <w:r>
        <w:rPr>
          <w:rFonts w:ascii="宋体"/>
          <w:spacing w:val="55"/>
          <w:sz w:val="2"/>
        </w:rPr>
        <w:pict>
          <v:group style="width:72.45pt;height:.75pt;mso-position-horizontal-relative:char;mso-position-vertical-relative:line" coordorigin="0,0" coordsize="1449,15">
            <v:group style="position:absolute;left:7;top:7;width:1434;height:2" coordorigin="7,7" coordsize="1434,2">
              <v:shape style="position:absolute;left:7;top:7;width:1434;height:2" coordorigin="7,7" coordsize="1434,0" path="m7,7l1441,7e" filled="false" stroked="true" strokeweight=".72pt" strokecolor="#000000">
                <v:path arrowok="t"/>
              </v:shape>
            </v:group>
          </v:group>
        </w:pict>
      </w:r>
      <w:r>
        <w:rPr>
          <w:rFonts w:ascii="宋体"/>
          <w:spacing w:val="55"/>
          <w:sz w:val="2"/>
        </w:rPr>
      </w:r>
      <w:r>
        <w:rPr>
          <w:rFonts w:ascii="Times New Roman"/>
          <w:spacing w:val="55"/>
          <w:sz w:val="2"/>
        </w:rPr>
        <w:t> </w:t>
      </w:r>
      <w:r>
        <w:rPr>
          <w:rFonts w:ascii="宋体"/>
          <w:spacing w:val="55"/>
          <w:sz w:val="2"/>
        </w:rPr>
        <w:pict>
          <v:group style="width:81.75pt;height:.75pt;mso-position-horizontal-relative:char;mso-position-vertical-relative:line" coordorigin="0,0" coordsize="1635,15">
            <v:group style="position:absolute;left:7;top:7;width:1620;height:2" coordorigin="7,7" coordsize="1620,2">
              <v:shape style="position:absolute;left:7;top:7;width:1620;height:2" coordorigin="7,7" coordsize="1620,0" path="m7,7l1627,7e" filled="false" stroked="true" strokeweight=".72pt" strokecolor="#000000">
                <v:path arrowok="t"/>
              </v:shape>
            </v:group>
          </v:group>
        </w:pict>
      </w:r>
      <w:r>
        <w:rPr>
          <w:rFonts w:ascii="宋体"/>
          <w:spacing w:val="55"/>
          <w:sz w:val="2"/>
        </w:rPr>
      </w:r>
      <w:r>
        <w:rPr>
          <w:rFonts w:ascii="Times New Roman"/>
          <w:spacing w:val="56"/>
          <w:sz w:val="2"/>
        </w:rPr>
        <w:t> </w:t>
      </w:r>
      <w:r>
        <w:rPr>
          <w:rFonts w:ascii="宋体"/>
          <w:spacing w:val="56"/>
          <w:sz w:val="2"/>
        </w:rPr>
        <w:pict>
          <v:group style="width:77.95pt;height:.75pt;mso-position-horizontal-relative:char;mso-position-vertical-relative:line" coordorigin="0,0" coordsize="1559,15">
            <v:group style="position:absolute;left:7;top:7;width:1545;height:2" coordorigin="7,7" coordsize="1545,2">
              <v:shape style="position:absolute;left:7;top:7;width:1545;height:2" coordorigin="7,7" coordsize="1545,0" path="m7,7l1552,7e" filled="false" stroked="true" strokeweight=".72pt" strokecolor="#000000">
                <v:path arrowok="t"/>
              </v:shape>
            </v:group>
          </v:group>
        </w:pict>
      </w:r>
      <w:r>
        <w:rPr>
          <w:rFonts w:ascii="宋体"/>
          <w:spacing w:val="56"/>
          <w:sz w:val="2"/>
        </w:rPr>
      </w:r>
    </w:p>
    <w:p>
      <w:pPr>
        <w:spacing w:line="240" w:lineRule="auto" w:before="12"/>
        <w:rPr>
          <w:rFonts w:ascii="宋体" w:hAnsi="宋体" w:cs="宋体" w:eastAsia="宋体" w:hint="default"/>
          <w:sz w:val="12"/>
          <w:szCs w:val="12"/>
        </w:rPr>
      </w:pPr>
    </w:p>
    <w:p>
      <w:pPr>
        <w:tabs>
          <w:tab w:pos="3411" w:val="left" w:leader="none"/>
          <w:tab w:pos="6161" w:val="left" w:leader="none"/>
          <w:tab w:pos="7752" w:val="left" w:leader="none"/>
          <w:tab w:pos="8264" w:val="left" w:leader="none"/>
        </w:tabs>
        <w:spacing w:before="40"/>
        <w:ind w:left="580" w:right="92" w:firstLine="0"/>
        <w:jc w:val="left"/>
        <w:rPr>
          <w:rFonts w:ascii="Arial" w:hAnsi="Arial" w:cs="Arial" w:eastAsia="Arial" w:hint="default"/>
          <w:sz w:val="20"/>
          <w:szCs w:val="20"/>
        </w:rPr>
      </w:pPr>
      <w:r>
        <w:rPr>
          <w:rFonts w:ascii="宋体" w:hAnsi="宋体" w:cs="宋体" w:eastAsia="宋体" w:hint="default"/>
          <w:spacing w:val="-1"/>
          <w:position w:val="1"/>
          <w:sz w:val="20"/>
          <w:szCs w:val="20"/>
        </w:rPr>
        <w:t>一、已流通公众股份</w:t>
        <w:tab/>
      </w:r>
      <w:r>
        <w:rPr>
          <w:rFonts w:ascii="Arial" w:hAnsi="Arial" w:cs="Arial" w:eastAsia="Arial" w:hint="default"/>
          <w:spacing w:val="-1"/>
          <w:sz w:val="20"/>
          <w:szCs w:val="20"/>
        </w:rPr>
        <w:t>8,255,711,233</w:t>
        <w:tab/>
      </w:r>
      <w:r>
        <w:rPr>
          <w:rFonts w:ascii="Arial" w:hAnsi="Arial" w:cs="Arial" w:eastAsia="Arial" w:hint="default"/>
          <w:sz w:val="20"/>
          <w:szCs w:val="20"/>
        </w:rPr>
        <w:t>-</w:t>
        <w:tab/>
        <w:t>-</w:t>
        <w:tab/>
      </w:r>
      <w:r>
        <w:rPr>
          <w:rFonts w:ascii="Arial" w:hAnsi="Arial" w:cs="Arial" w:eastAsia="Arial" w:hint="default"/>
          <w:spacing w:val="-1"/>
          <w:sz w:val="20"/>
          <w:szCs w:val="20"/>
        </w:rPr>
        <w:t>8,255,711,233</w:t>
      </w:r>
    </w:p>
    <w:p>
      <w:pPr>
        <w:spacing w:line="240" w:lineRule="auto" w:before="6"/>
        <w:rPr>
          <w:rFonts w:ascii="Arial" w:hAnsi="Arial" w:cs="Arial" w:eastAsia="Arial" w:hint="default"/>
          <w:sz w:val="19"/>
          <w:szCs w:val="19"/>
        </w:rPr>
      </w:pPr>
    </w:p>
    <w:p>
      <w:pPr>
        <w:spacing w:line="261" w:lineRule="exact" w:before="0"/>
        <w:ind w:left="580" w:right="138" w:firstLine="0"/>
        <w:jc w:val="left"/>
        <w:rPr>
          <w:rFonts w:ascii="宋体" w:hAnsi="宋体" w:cs="宋体" w:eastAsia="宋体" w:hint="default"/>
          <w:sz w:val="20"/>
          <w:szCs w:val="20"/>
        </w:rPr>
      </w:pPr>
      <w:r>
        <w:rPr>
          <w:rFonts w:ascii="宋体" w:hAnsi="宋体" w:cs="宋体" w:eastAsia="宋体" w:hint="default"/>
          <w:sz w:val="20"/>
          <w:szCs w:val="20"/>
        </w:rPr>
        <w:t>二、无限售条件的可流通股</w:t>
      </w:r>
    </w:p>
    <w:p>
      <w:pPr>
        <w:tabs>
          <w:tab w:pos="3411" w:val="left" w:leader="none"/>
          <w:tab w:pos="7751" w:val="left" w:leader="none"/>
          <w:tab w:pos="8152" w:val="left" w:leader="none"/>
        </w:tabs>
        <w:spacing w:line="286" w:lineRule="exact" w:before="0"/>
        <w:ind w:left="985" w:right="92" w:firstLine="0"/>
        <w:jc w:val="left"/>
        <w:rPr>
          <w:rFonts w:ascii="Arial" w:hAnsi="Arial" w:cs="Arial" w:eastAsia="Arial" w:hint="default"/>
          <w:sz w:val="20"/>
          <w:szCs w:val="20"/>
        </w:rPr>
      </w:pPr>
      <w:r>
        <w:rPr>
          <w:rFonts w:ascii="宋体" w:hAnsi="宋体" w:cs="宋体" w:eastAsia="宋体" w:hint="default"/>
          <w:spacing w:val="-1"/>
          <w:position w:val="1"/>
          <w:sz w:val="20"/>
          <w:szCs w:val="20"/>
        </w:rPr>
        <w:t>份发起人之法人股</w:t>
        <w:tab/>
      </w:r>
      <w:r>
        <w:rPr>
          <w:rFonts w:ascii="Arial" w:hAnsi="Arial" w:cs="Arial" w:eastAsia="Arial" w:hint="default"/>
          <w:spacing w:val="-2"/>
          <w:sz w:val="20"/>
          <w:szCs w:val="20"/>
        </w:rPr>
        <w:t>2,186,226,427</w:t>
      </w:r>
      <w:r>
        <w:rPr>
          <w:rFonts w:ascii="Arial" w:hAnsi="Arial" w:cs="Arial" w:eastAsia="Arial" w:hint="default"/>
          <w:sz w:val="20"/>
          <w:szCs w:val="20"/>
        </w:rPr>
        <w:t> </w:t>
      </w:r>
      <w:r>
        <w:rPr>
          <w:rFonts w:ascii="Arial" w:hAnsi="Arial" w:cs="Arial" w:eastAsia="Arial" w:hint="default"/>
          <w:spacing w:val="51"/>
          <w:sz w:val="20"/>
          <w:szCs w:val="20"/>
        </w:rPr>
        <w:t> </w:t>
      </w:r>
      <w:r>
        <w:rPr>
          <w:rFonts w:ascii="Arial" w:hAnsi="Arial" w:cs="Arial" w:eastAsia="Arial" w:hint="default"/>
          <w:spacing w:val="-1"/>
          <w:sz w:val="20"/>
          <w:szCs w:val="20"/>
        </w:rPr>
        <w:t>10,754,658,735</w:t>
        <w:tab/>
      </w:r>
      <w:r>
        <w:rPr>
          <w:rFonts w:ascii="Arial" w:hAnsi="Arial" w:cs="Arial" w:eastAsia="Arial" w:hint="default"/>
          <w:sz w:val="20"/>
          <w:szCs w:val="20"/>
        </w:rPr>
        <w:t>-</w:t>
        <w:tab/>
      </w:r>
      <w:r>
        <w:rPr>
          <w:rFonts w:ascii="Arial" w:hAnsi="Arial" w:cs="Arial" w:eastAsia="Arial" w:hint="default"/>
          <w:spacing w:val="-1"/>
          <w:sz w:val="20"/>
          <w:szCs w:val="20"/>
        </w:rPr>
        <w:t>12,940,885,162</w:t>
      </w:r>
    </w:p>
    <w:p>
      <w:pPr>
        <w:spacing w:line="240" w:lineRule="auto" w:before="6"/>
        <w:rPr>
          <w:rFonts w:ascii="Arial" w:hAnsi="Arial" w:cs="Arial" w:eastAsia="Arial" w:hint="default"/>
          <w:sz w:val="19"/>
          <w:szCs w:val="19"/>
        </w:rPr>
      </w:pPr>
    </w:p>
    <w:p>
      <w:pPr>
        <w:spacing w:before="0"/>
        <w:ind w:left="580" w:right="138" w:firstLine="0"/>
        <w:jc w:val="left"/>
        <w:rPr>
          <w:rFonts w:ascii="宋体" w:hAnsi="宋体" w:cs="宋体" w:eastAsia="宋体" w:hint="default"/>
          <w:sz w:val="20"/>
          <w:szCs w:val="20"/>
        </w:rPr>
      </w:pPr>
      <w:r>
        <w:rPr>
          <w:rFonts w:ascii="宋体" w:hAnsi="宋体" w:cs="宋体" w:eastAsia="宋体" w:hint="default"/>
          <w:sz w:val="20"/>
          <w:szCs w:val="20"/>
        </w:rPr>
        <w:t>三、有限售条件的可流通股</w:t>
      </w:r>
    </w:p>
    <w:p>
      <w:pPr>
        <w:tabs>
          <w:tab w:pos="3087" w:val="left" w:leader="none"/>
          <w:tab w:pos="6161" w:val="left" w:leader="none"/>
          <w:tab w:pos="9476" w:val="left" w:leader="none"/>
        </w:tabs>
        <w:spacing w:before="0"/>
        <w:ind w:left="985" w:right="92" w:firstLine="0"/>
        <w:jc w:val="left"/>
        <w:rPr>
          <w:rFonts w:ascii="Arial" w:hAnsi="Arial" w:cs="Arial" w:eastAsia="Arial" w:hint="default"/>
          <w:sz w:val="20"/>
          <w:szCs w:val="20"/>
        </w:rPr>
      </w:pPr>
      <w:r>
        <w:rPr>
          <w:rFonts w:ascii="宋体" w:hAnsi="宋体" w:cs="宋体" w:eastAsia="宋体" w:hint="default"/>
          <w:spacing w:val="-1"/>
          <w:position w:val="1"/>
          <w:sz w:val="20"/>
          <w:szCs w:val="20"/>
        </w:rPr>
        <w:t>份发起人之法人股</w:t>
        <w:tab/>
      </w:r>
      <w:r>
        <w:rPr>
          <w:rFonts w:ascii="Arial" w:hAnsi="Arial" w:cs="Arial" w:eastAsia="Arial" w:hint="default"/>
          <w:spacing w:val="-1"/>
          <w:sz w:val="20"/>
          <w:szCs w:val="20"/>
        </w:rPr>
      </w:r>
      <w:r>
        <w:rPr>
          <w:rFonts w:ascii="Arial" w:hAnsi="Arial" w:cs="Arial" w:eastAsia="Arial" w:hint="default"/>
          <w:spacing w:val="-1"/>
          <w:sz w:val="20"/>
          <w:szCs w:val="20"/>
          <w:u w:val="single" w:color="000000"/>
        </w:rPr>
        <w:t> 10,754,658,735</w:t>
      </w:r>
      <w:r>
        <w:rPr>
          <w:rFonts w:ascii="Arial" w:hAnsi="Arial" w:cs="Arial" w:eastAsia="Arial" w:hint="default"/>
          <w:spacing w:val="-1"/>
          <w:sz w:val="20"/>
          <w:szCs w:val="20"/>
        </w:rPr>
      </w:r>
      <w:r>
        <w:rPr>
          <w:rFonts w:ascii="Arial" w:hAnsi="Arial" w:cs="Arial" w:eastAsia="Arial" w:hint="default"/>
          <w:spacing w:val="-1"/>
          <w:sz w:val="20"/>
          <w:szCs w:val="20"/>
          <w:u w:val="single" w:color="000000"/>
        </w:rPr>
        <w:t> </w:t>
        <w:tab/>
      </w:r>
      <w:r>
        <w:rPr>
          <w:rFonts w:ascii="Arial" w:hAnsi="Arial" w:cs="Arial" w:eastAsia="Arial" w:hint="default"/>
          <w:sz w:val="20"/>
          <w:szCs w:val="20"/>
          <w:u w:val="single" w:color="000000"/>
        </w:rPr>
        <w:t>- </w:t>
      </w:r>
      <w:r>
        <w:rPr>
          <w:rFonts w:ascii="Arial" w:hAnsi="Arial" w:cs="Arial" w:eastAsia="Arial" w:hint="default"/>
          <w:spacing w:val="37"/>
          <w:sz w:val="20"/>
          <w:szCs w:val="20"/>
          <w:u w:val="single" w:color="000000"/>
        </w:rPr>
        <w:t> </w:t>
      </w:r>
      <w:r>
        <w:rPr>
          <w:rFonts w:ascii="Arial" w:hAnsi="Arial" w:cs="Arial" w:eastAsia="Arial" w:hint="default"/>
          <w:spacing w:val="37"/>
          <w:sz w:val="20"/>
          <w:szCs w:val="20"/>
        </w:rPr>
      </w:r>
      <w:r>
        <w:rPr>
          <w:rFonts w:ascii="Arial" w:hAnsi="Arial" w:cs="Arial" w:eastAsia="Arial" w:hint="default"/>
          <w:spacing w:val="37"/>
          <w:sz w:val="20"/>
          <w:szCs w:val="20"/>
          <w:u w:val="single" w:color="000000"/>
        </w:rPr>
        <w:t> </w:t>
      </w:r>
      <w:r>
        <w:rPr>
          <w:rFonts w:ascii="Arial" w:hAnsi="Arial" w:cs="Arial" w:eastAsia="Arial" w:hint="default"/>
          <w:spacing w:val="-1"/>
          <w:sz w:val="20"/>
          <w:szCs w:val="20"/>
          <w:u w:val="single" w:color="000000"/>
        </w:rPr>
        <w:t>(10,754,658,735)</w:t>
      </w:r>
      <w:r>
        <w:rPr>
          <w:rFonts w:ascii="Arial" w:hAnsi="Arial" w:cs="Arial" w:eastAsia="Arial" w:hint="default"/>
          <w:spacing w:val="-1"/>
          <w:sz w:val="20"/>
          <w:szCs w:val="20"/>
        </w:rPr>
      </w:r>
      <w:r>
        <w:rPr>
          <w:rFonts w:ascii="Arial" w:hAnsi="Arial" w:cs="Arial" w:eastAsia="Arial" w:hint="default"/>
          <w:spacing w:val="-1"/>
          <w:sz w:val="20"/>
          <w:szCs w:val="20"/>
          <w:u w:val="single" w:color="000000"/>
        </w:rPr>
        <w:t> </w:t>
        <w:tab/>
      </w:r>
      <w:r>
        <w:rPr>
          <w:rFonts w:ascii="Arial" w:hAnsi="Arial" w:cs="Arial" w:eastAsia="Arial" w:hint="default"/>
          <w:sz w:val="20"/>
          <w:szCs w:val="20"/>
          <w:u w:val="single" w:color="000000"/>
        </w:rPr>
        <w:t>-</w:t>
      </w:r>
      <w:r>
        <w:rPr>
          <w:rFonts w:ascii="Arial" w:hAnsi="Arial" w:cs="Arial" w:eastAsia="Arial" w:hint="default"/>
          <w:sz w:val="20"/>
          <w:szCs w:val="20"/>
        </w:rPr>
      </w:r>
    </w:p>
    <w:p>
      <w:pPr>
        <w:spacing w:line="240" w:lineRule="auto" w:before="5"/>
        <w:rPr>
          <w:rFonts w:ascii="Arial" w:hAnsi="Arial" w:cs="Arial" w:eastAsia="Arial" w:hint="default"/>
          <w:sz w:val="15"/>
          <w:szCs w:val="15"/>
        </w:rPr>
      </w:pPr>
    </w:p>
    <w:p>
      <w:pPr>
        <w:tabs>
          <w:tab w:pos="3300" w:val="left" w:leader="none"/>
          <w:tab w:pos="8152" w:val="left" w:leader="none"/>
        </w:tabs>
        <w:spacing w:before="40"/>
        <w:ind w:left="580" w:right="92" w:firstLine="0"/>
        <w:jc w:val="left"/>
        <w:rPr>
          <w:rFonts w:ascii="Arial" w:hAnsi="Arial" w:cs="Arial" w:eastAsia="Arial" w:hint="default"/>
          <w:sz w:val="20"/>
          <w:szCs w:val="20"/>
        </w:rPr>
      </w:pPr>
      <w:r>
        <w:rPr>
          <w:rFonts w:ascii="宋体" w:hAnsi="宋体" w:cs="宋体" w:eastAsia="宋体" w:hint="default"/>
          <w:position w:val="1"/>
          <w:sz w:val="20"/>
          <w:szCs w:val="20"/>
        </w:rPr>
        <w:t>股本合计</w:t>
        <w:tab/>
      </w:r>
      <w:r>
        <w:rPr>
          <w:rFonts w:ascii="Arial" w:hAnsi="Arial" w:cs="Arial" w:eastAsia="Arial" w:hint="default"/>
          <w:sz w:val="20"/>
          <w:szCs w:val="20"/>
        </w:rPr>
        <w:t>21,196,596,395  10,754,658,735 </w:t>
      </w:r>
      <w:r>
        <w:rPr>
          <w:rFonts w:ascii="Arial" w:hAnsi="Arial" w:cs="Arial" w:eastAsia="Arial" w:hint="default"/>
          <w:spacing w:val="31"/>
          <w:sz w:val="20"/>
          <w:szCs w:val="20"/>
        </w:rPr>
        <w:t> </w:t>
      </w:r>
      <w:r>
        <w:rPr>
          <w:rFonts w:ascii="Arial" w:hAnsi="Arial" w:cs="Arial" w:eastAsia="Arial" w:hint="default"/>
          <w:sz w:val="20"/>
          <w:szCs w:val="20"/>
        </w:rPr>
        <w:t>(10,754,658,735)</w:t>
        <w:tab/>
        <w:t>21,196,596,395</w:t>
      </w:r>
    </w:p>
    <w:p>
      <w:pPr>
        <w:spacing w:line="43" w:lineRule="exact"/>
        <w:ind w:left="3073" w:right="0" w:firstLine="0"/>
        <w:rPr>
          <w:rFonts w:ascii="Arial" w:hAnsi="Arial" w:cs="Arial" w:eastAsia="Arial" w:hint="default"/>
          <w:sz w:val="4"/>
          <w:szCs w:val="4"/>
        </w:rPr>
      </w:pPr>
      <w:r>
        <w:rPr>
          <w:rFonts w:ascii="Arial" w:hAnsi="Arial" w:cs="Arial" w:eastAsia="Arial" w:hint="default"/>
          <w:position w:val="0"/>
          <w:sz w:val="4"/>
          <w:szCs w:val="4"/>
        </w:rPr>
        <w:pict>
          <v:group style="width:325pt;height:2.2pt;mso-position-horizontal-relative:char;mso-position-vertical-relative:line" coordorigin="0,0" coordsize="6500,44">
            <v:group style="position:absolute;left:7;top:36;width:1652;height:2" coordorigin="7,36" coordsize="1652,2">
              <v:shape style="position:absolute;left:7;top:36;width:1652;height:2" coordorigin="7,36" coordsize="1652,0" path="m7,36l1658,36e" filled="false" stroked="true" strokeweight=".72pt" strokecolor="#000000">
                <v:path arrowok="t"/>
              </v:shape>
            </v:group>
            <v:group style="position:absolute;left:7;top:7;width:1652;height:2" coordorigin="7,7" coordsize="1652,2">
              <v:shape style="position:absolute;left:7;top:7;width:1652;height:2" coordorigin="7,7" coordsize="1652,0" path="m7,7l1658,7e" filled="false" stroked="true" strokeweight=".72pt" strokecolor="#000000">
                <v:path arrowok="t"/>
              </v:shape>
            </v:group>
            <v:group style="position:absolute;left:1722;top:36;width:1449;height:2" coordorigin="1722,36" coordsize="1449,2">
              <v:shape style="position:absolute;left:1722;top:36;width:1449;height:2" coordorigin="1722,36" coordsize="1449,0" path="m1722,36l3170,36e" filled="false" stroked="true" strokeweight=".72pt" strokecolor="#000000">
                <v:path arrowok="t"/>
              </v:shape>
            </v:group>
            <v:group style="position:absolute;left:1722;top:7;width:1449;height:2" coordorigin="1722,7" coordsize="1449,2">
              <v:shape style="position:absolute;left:1722;top:7;width:1449;height:2" coordorigin="1722,7" coordsize="1449,0" path="m1722,7l3170,7e" filled="false" stroked="true" strokeweight=".72pt" strokecolor="#000000">
                <v:path arrowok="t"/>
              </v:shape>
            </v:group>
            <v:group style="position:absolute;left:3234;top:36;width:1635;height:2" coordorigin="3234,36" coordsize="1635,2">
              <v:shape style="position:absolute;left:3234;top:36;width:1635;height:2" coordorigin="3234,36" coordsize="1635,0" path="m3234,36l4868,36e" filled="false" stroked="true" strokeweight=".72pt" strokecolor="#000000">
                <v:path arrowok="t"/>
              </v:shape>
            </v:group>
            <v:group style="position:absolute;left:3234;top:7;width:1635;height:2" coordorigin="3234,7" coordsize="1635,2">
              <v:shape style="position:absolute;left:3234;top:7;width:1635;height:2" coordorigin="3234,7" coordsize="1635,0" path="m3234,7l4868,7e" filled="false" stroked="true" strokeweight=".72pt" strokecolor="#000000">
                <v:path arrowok="t"/>
              </v:shape>
            </v:group>
            <v:group style="position:absolute;left:4933;top:36;width:1559;height:2" coordorigin="4933,36" coordsize="1559,2">
              <v:shape style="position:absolute;left:4933;top:36;width:1559;height:2" coordorigin="4933,36" coordsize="1559,0" path="m4933,36l6492,36e" filled="false" stroked="true" strokeweight=".72pt" strokecolor="#000000">
                <v:path arrowok="t"/>
              </v:shape>
            </v:group>
            <v:group style="position:absolute;left:4933;top:7;width:1559;height:2" coordorigin="4933,7" coordsize="1559,2">
              <v:shape style="position:absolute;left:4933;top:7;width:1559;height:2" coordorigin="4933,7" coordsize="1559,0" path="m4933,7l6492,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6"/>
        <w:rPr>
          <w:rFonts w:ascii="Arial" w:hAnsi="Arial" w:cs="Arial" w:eastAsia="Arial" w:hint="default"/>
          <w:sz w:val="14"/>
          <w:szCs w:val="14"/>
        </w:rPr>
      </w:pPr>
    </w:p>
    <w:p>
      <w:pPr>
        <w:pStyle w:val="BodyText"/>
        <w:spacing w:line="295" w:lineRule="exact" w:before="31"/>
        <w:ind w:left="552" w:right="138"/>
        <w:jc w:val="left"/>
      </w:pPr>
      <w:r>
        <w:rPr/>
        <w:t>自本公司股权分置改革方案于</w:t>
      </w:r>
      <w:r>
        <w:rPr>
          <w:spacing w:val="-56"/>
        </w:rPr>
        <w:t> </w:t>
      </w:r>
      <w:r>
        <w:rPr>
          <w:rFonts w:ascii="Arial" w:hAnsi="Arial" w:cs="Arial" w:eastAsia="Arial" w:hint="default"/>
        </w:rPr>
        <w:t>2006</w:t>
      </w:r>
      <w:r>
        <w:rPr>
          <w:rFonts w:ascii="Arial" w:hAnsi="Arial" w:cs="Arial" w:eastAsia="Arial" w:hint="default"/>
          <w:spacing w:val="-7"/>
        </w:rPr>
        <w:t> </w:t>
      </w:r>
      <w:r>
        <w:rPr/>
        <w:t>年</w:t>
      </w:r>
      <w:r>
        <w:rPr>
          <w:spacing w:val="-56"/>
        </w:rPr>
        <w:t> </w:t>
      </w:r>
      <w:r>
        <w:rPr>
          <w:rFonts w:ascii="Arial" w:hAnsi="Arial" w:cs="Arial" w:eastAsia="Arial" w:hint="default"/>
        </w:rPr>
        <w:t>5</w:t>
      </w:r>
      <w:r>
        <w:rPr>
          <w:rFonts w:ascii="Arial" w:hAnsi="Arial" w:cs="Arial" w:eastAsia="Arial" w:hint="default"/>
          <w:spacing w:val="-7"/>
        </w:rPr>
        <w:t> </w:t>
      </w:r>
      <w:r>
        <w:rPr/>
        <w:t>月</w:t>
      </w:r>
      <w:r>
        <w:rPr>
          <w:spacing w:val="-56"/>
        </w:rPr>
        <w:t> </w:t>
      </w:r>
      <w:r>
        <w:rPr>
          <w:rFonts w:ascii="Arial" w:hAnsi="Arial" w:cs="Arial" w:eastAsia="Arial" w:hint="default"/>
        </w:rPr>
        <w:t>19</w:t>
      </w:r>
      <w:r>
        <w:rPr>
          <w:rFonts w:ascii="Arial" w:hAnsi="Arial" w:cs="Arial" w:eastAsia="Arial" w:hint="default"/>
          <w:spacing w:val="-7"/>
        </w:rPr>
        <w:t> </w:t>
      </w:r>
      <w:r>
        <w:rPr/>
        <w:t>日实施后，本公司非流通股股份即获得上市流</w:t>
      </w:r>
    </w:p>
    <w:p>
      <w:pPr>
        <w:pStyle w:val="BodyText"/>
        <w:spacing w:line="285" w:lineRule="exact"/>
        <w:ind w:left="552" w:right="138"/>
        <w:jc w:val="left"/>
      </w:pPr>
      <w:r>
        <w:rPr/>
        <w:t>通权，根据约定</w:t>
      </w:r>
      <w:r>
        <w:rPr>
          <w:spacing w:val="-56"/>
        </w:rPr>
        <w:t> </w:t>
      </w:r>
      <w:r>
        <w:rPr>
          <w:rFonts w:ascii="Arial" w:hAnsi="Arial" w:cs="Arial" w:eastAsia="Arial" w:hint="default"/>
        </w:rPr>
        <w:t>1</w:t>
      </w:r>
      <w:r>
        <w:rPr>
          <w:rFonts w:ascii="Arial" w:hAnsi="Arial" w:cs="Arial" w:eastAsia="Arial" w:hint="default"/>
          <w:spacing w:val="-7"/>
        </w:rPr>
        <w:t> </w:t>
      </w:r>
      <w:r>
        <w:rPr/>
        <w:t>至</w:t>
      </w:r>
      <w:r>
        <w:rPr>
          <w:spacing w:val="-56"/>
        </w:rPr>
        <w:t> </w:t>
      </w:r>
      <w:r>
        <w:rPr>
          <w:rFonts w:ascii="Arial" w:hAnsi="Arial" w:cs="Arial" w:eastAsia="Arial" w:hint="default"/>
        </w:rPr>
        <w:t>3</w:t>
      </w:r>
      <w:r>
        <w:rPr>
          <w:rFonts w:ascii="Arial" w:hAnsi="Arial" w:cs="Arial" w:eastAsia="Arial" w:hint="default"/>
          <w:spacing w:val="-7"/>
        </w:rPr>
        <w:t> </w:t>
      </w:r>
      <w:r>
        <w:rPr/>
        <w:t>年不等的限售期，于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5</w:t>
      </w:r>
      <w:r>
        <w:rPr>
          <w:rFonts w:ascii="Arial" w:hAnsi="Arial" w:cs="Arial" w:eastAsia="Arial" w:hint="default"/>
          <w:spacing w:val="-7"/>
        </w:rPr>
        <w:t> </w:t>
      </w:r>
      <w:r>
        <w:rPr/>
        <w:t>月</w:t>
      </w:r>
      <w:r>
        <w:rPr>
          <w:spacing w:val="-56"/>
        </w:rPr>
        <w:t> </w:t>
      </w:r>
      <w:r>
        <w:rPr>
          <w:rFonts w:ascii="Arial" w:hAnsi="Arial" w:cs="Arial" w:eastAsia="Arial" w:hint="default"/>
        </w:rPr>
        <w:t>19</w:t>
      </w:r>
      <w:r>
        <w:rPr>
          <w:rFonts w:ascii="Arial" w:hAnsi="Arial" w:cs="Arial" w:eastAsia="Arial" w:hint="default"/>
          <w:spacing w:val="-7"/>
        </w:rPr>
        <w:t> </w:t>
      </w:r>
      <w:r>
        <w:rPr/>
        <w:t>日，联通集团所持本公司股份中</w:t>
      </w:r>
    </w:p>
    <w:p>
      <w:pPr>
        <w:pStyle w:val="BodyText"/>
        <w:spacing w:line="285" w:lineRule="exact"/>
        <w:ind w:left="551" w:right="92"/>
        <w:jc w:val="left"/>
        <w:rPr>
          <w:rFonts w:ascii="Arial" w:hAnsi="Arial" w:cs="Arial" w:eastAsia="Arial" w:hint="default"/>
        </w:rPr>
      </w:pPr>
      <w:r>
        <w:rPr/>
        <w:t>的最后一批</w:t>
      </w:r>
      <w:r>
        <w:rPr>
          <w:spacing w:val="-64"/>
        </w:rPr>
        <w:t> </w:t>
      </w:r>
      <w:r>
        <w:rPr>
          <w:rFonts w:ascii="Arial" w:hAnsi="Arial" w:cs="Arial" w:eastAsia="Arial" w:hint="default"/>
        </w:rPr>
        <w:t>10,754,658,735</w:t>
      </w:r>
      <w:r>
        <w:rPr>
          <w:rFonts w:ascii="Arial" w:hAnsi="Arial" w:cs="Arial" w:eastAsia="Arial" w:hint="default"/>
          <w:spacing w:val="-16"/>
        </w:rPr>
        <w:t> </w:t>
      </w:r>
      <w:r>
        <w:rPr/>
        <w:t>股法人股根据股权分置方案解除限售条件可以上市流通。于</w:t>
      </w:r>
      <w:r>
        <w:rPr>
          <w:spacing w:val="-64"/>
        </w:rPr>
        <w:t> </w:t>
      </w:r>
      <w:r>
        <w:rPr>
          <w:rFonts w:ascii="Arial" w:hAnsi="Arial" w:cs="Arial" w:eastAsia="Arial" w:hint="default"/>
        </w:rPr>
        <w:t>2009</w:t>
      </w:r>
    </w:p>
    <w:p>
      <w:pPr>
        <w:pStyle w:val="BodyText"/>
        <w:spacing w:line="294" w:lineRule="exact"/>
        <w:ind w:left="551" w:right="138"/>
        <w:jc w:val="left"/>
      </w:pP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日，所有原非流通股股东持有的股份均已实现流通。</w:t>
      </w:r>
    </w:p>
    <w:p>
      <w:pPr>
        <w:spacing w:line="240" w:lineRule="auto" w:before="13"/>
        <w:rPr>
          <w:rFonts w:ascii="宋体" w:hAnsi="宋体" w:cs="宋体" w:eastAsia="宋体" w:hint="default"/>
          <w:sz w:val="17"/>
          <w:szCs w:val="17"/>
        </w:rPr>
      </w:pPr>
    </w:p>
    <w:p>
      <w:pPr>
        <w:pStyle w:val="BodyText"/>
        <w:spacing w:line="240" w:lineRule="auto"/>
        <w:ind w:left="551" w:right="138"/>
        <w:jc w:val="left"/>
      </w:pP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日，本公司股东投入的股本及比例列示如下：</w:t>
      </w:r>
    </w:p>
    <w:p>
      <w:pPr>
        <w:spacing w:line="240" w:lineRule="auto" w:before="5"/>
        <w:rPr>
          <w:rFonts w:ascii="宋体" w:hAnsi="宋体" w:cs="宋体" w:eastAsia="宋体" w:hint="default"/>
          <w:sz w:val="15"/>
          <w:szCs w:val="15"/>
        </w:rPr>
      </w:pPr>
    </w:p>
    <w:tbl>
      <w:tblPr>
        <w:tblW w:w="0" w:type="auto"/>
        <w:jc w:val="left"/>
        <w:tblInd w:w="552" w:type="dxa"/>
        <w:tblLayout w:type="fixed"/>
        <w:tblCellMar>
          <w:top w:w="0" w:type="dxa"/>
          <w:left w:w="0" w:type="dxa"/>
          <w:bottom w:w="0" w:type="dxa"/>
          <w:right w:w="0" w:type="dxa"/>
        </w:tblCellMar>
        <w:tblLook w:val="01E0"/>
      </w:tblPr>
      <w:tblGrid>
        <w:gridCol w:w="2660"/>
        <w:gridCol w:w="112"/>
        <w:gridCol w:w="864"/>
        <w:gridCol w:w="134"/>
        <w:gridCol w:w="1920"/>
        <w:gridCol w:w="110"/>
        <w:gridCol w:w="1507"/>
        <w:gridCol w:w="1700"/>
      </w:tblGrid>
      <w:tr>
        <w:trPr>
          <w:trHeight w:val="337" w:hRule="exact"/>
        </w:trPr>
        <w:tc>
          <w:tcPr>
            <w:tcW w:w="2660" w:type="dxa"/>
            <w:tcBorders>
              <w:top w:val="nil" w:sz="6" w:space="0" w:color="auto"/>
              <w:left w:val="nil" w:sz="6" w:space="0" w:color="auto"/>
              <w:bottom w:val="single" w:sz="6" w:space="0" w:color="000000"/>
              <w:right w:val="nil" w:sz="6" w:space="0" w:color="auto"/>
            </w:tcBorders>
          </w:tcPr>
          <w:p>
            <w:pPr>
              <w:pStyle w:val="TableParagraph"/>
              <w:spacing w:line="240" w:lineRule="auto" w:before="38"/>
              <w:ind w:left="4" w:right="0"/>
              <w:jc w:val="center"/>
              <w:rPr>
                <w:rFonts w:ascii="宋体" w:hAnsi="宋体" w:cs="宋体" w:eastAsia="宋体" w:hint="default"/>
                <w:sz w:val="20"/>
                <w:szCs w:val="20"/>
              </w:rPr>
            </w:pPr>
            <w:r>
              <w:rPr>
                <w:rFonts w:ascii="宋体" w:hAnsi="宋体" w:cs="宋体" w:eastAsia="宋体" w:hint="default"/>
                <w:sz w:val="20"/>
                <w:szCs w:val="20"/>
              </w:rPr>
              <w:t>投资方</w:t>
            </w:r>
          </w:p>
        </w:tc>
        <w:tc>
          <w:tcPr>
            <w:tcW w:w="112" w:type="dxa"/>
            <w:tcBorders>
              <w:top w:val="nil" w:sz="6" w:space="0" w:color="auto"/>
              <w:left w:val="nil" w:sz="6" w:space="0" w:color="auto"/>
              <w:bottom w:val="nil" w:sz="6" w:space="0" w:color="auto"/>
              <w:right w:val="nil" w:sz="6" w:space="0" w:color="auto"/>
            </w:tcBorders>
          </w:tcPr>
          <w:p>
            <w:pPr/>
          </w:p>
        </w:tc>
        <w:tc>
          <w:tcPr>
            <w:tcW w:w="864" w:type="dxa"/>
            <w:tcBorders>
              <w:top w:val="nil" w:sz="6" w:space="0" w:color="auto"/>
              <w:left w:val="nil" w:sz="6" w:space="0" w:color="auto"/>
              <w:bottom w:val="single" w:sz="6" w:space="0" w:color="000000"/>
              <w:right w:val="nil" w:sz="6" w:space="0" w:color="auto"/>
            </w:tcBorders>
          </w:tcPr>
          <w:p>
            <w:pPr>
              <w:pStyle w:val="TableParagraph"/>
              <w:spacing w:line="240" w:lineRule="auto" w:before="38"/>
              <w:ind w:right="165"/>
              <w:jc w:val="right"/>
              <w:rPr>
                <w:rFonts w:ascii="宋体" w:hAnsi="宋体" w:cs="宋体" w:eastAsia="宋体" w:hint="default"/>
                <w:sz w:val="20"/>
                <w:szCs w:val="20"/>
              </w:rPr>
            </w:pPr>
            <w:r>
              <w:rPr>
                <w:rFonts w:ascii="宋体" w:hAnsi="宋体" w:cs="宋体" w:eastAsia="宋体" w:hint="default"/>
                <w:sz w:val="20"/>
                <w:szCs w:val="20"/>
              </w:rPr>
              <w:t>注册地</w:t>
            </w:r>
          </w:p>
        </w:tc>
        <w:tc>
          <w:tcPr>
            <w:tcW w:w="134"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single" w:sz="6" w:space="0" w:color="000000"/>
              <w:right w:val="nil" w:sz="6" w:space="0" w:color="auto"/>
            </w:tcBorders>
          </w:tcPr>
          <w:p>
            <w:pPr>
              <w:pStyle w:val="TableParagraph"/>
              <w:spacing w:line="240" w:lineRule="auto" w:before="38"/>
              <w:ind w:left="565" w:right="0"/>
              <w:jc w:val="left"/>
              <w:rPr>
                <w:rFonts w:ascii="宋体" w:hAnsi="宋体" w:cs="宋体" w:eastAsia="宋体" w:hint="default"/>
                <w:sz w:val="20"/>
                <w:szCs w:val="20"/>
              </w:rPr>
            </w:pPr>
            <w:r>
              <w:rPr>
                <w:rFonts w:ascii="宋体" w:hAnsi="宋体" w:cs="宋体" w:eastAsia="宋体" w:hint="default"/>
                <w:sz w:val="20"/>
                <w:szCs w:val="20"/>
              </w:rPr>
              <w:t>实缴股本</w:t>
            </w:r>
          </w:p>
        </w:tc>
        <w:tc>
          <w:tcPr>
            <w:tcW w:w="110" w:type="dxa"/>
            <w:tcBorders>
              <w:top w:val="nil" w:sz="6" w:space="0" w:color="auto"/>
              <w:left w:val="nil" w:sz="6" w:space="0" w:color="auto"/>
              <w:bottom w:val="nil" w:sz="6" w:space="0" w:color="auto"/>
              <w:right w:val="nil" w:sz="6" w:space="0" w:color="auto"/>
            </w:tcBorders>
          </w:tcPr>
          <w:p>
            <w:pPr/>
          </w:p>
        </w:tc>
        <w:tc>
          <w:tcPr>
            <w:tcW w:w="1507" w:type="dxa"/>
            <w:tcBorders>
              <w:top w:val="nil" w:sz="6" w:space="0" w:color="auto"/>
              <w:left w:val="nil" w:sz="6" w:space="0" w:color="auto"/>
              <w:bottom w:val="single" w:sz="6" w:space="0" w:color="000000"/>
              <w:right w:val="nil" w:sz="6" w:space="0" w:color="auto"/>
            </w:tcBorders>
          </w:tcPr>
          <w:p>
            <w:pPr>
              <w:pStyle w:val="TableParagraph"/>
              <w:spacing w:line="240" w:lineRule="auto" w:before="38"/>
              <w:ind w:left="12" w:right="0"/>
              <w:jc w:val="center"/>
              <w:rPr>
                <w:rFonts w:ascii="宋体" w:hAnsi="宋体" w:cs="宋体" w:eastAsia="宋体" w:hint="default"/>
                <w:sz w:val="20"/>
                <w:szCs w:val="20"/>
              </w:rPr>
            </w:pPr>
            <w:r>
              <w:rPr>
                <w:rFonts w:ascii="宋体" w:hAnsi="宋体" w:cs="宋体" w:eastAsia="宋体" w:hint="default"/>
                <w:sz w:val="20"/>
                <w:szCs w:val="20"/>
              </w:rPr>
              <w:t>出资方式</w:t>
            </w:r>
          </w:p>
        </w:tc>
        <w:tc>
          <w:tcPr>
            <w:tcW w:w="1700" w:type="dxa"/>
            <w:tcBorders>
              <w:top w:val="nil" w:sz="6" w:space="0" w:color="auto"/>
              <w:left w:val="nil" w:sz="6" w:space="0" w:color="auto"/>
              <w:bottom w:val="single" w:sz="6" w:space="0" w:color="000000"/>
              <w:right w:val="nil" w:sz="6" w:space="0" w:color="auto"/>
            </w:tcBorders>
          </w:tcPr>
          <w:p>
            <w:pPr>
              <w:pStyle w:val="TableParagraph"/>
              <w:spacing w:line="240" w:lineRule="auto" w:before="38"/>
              <w:ind w:left="344" w:right="0"/>
              <w:jc w:val="left"/>
              <w:rPr>
                <w:rFonts w:ascii="Arial" w:hAnsi="Arial" w:cs="Arial" w:eastAsia="Arial" w:hint="default"/>
                <w:sz w:val="20"/>
                <w:szCs w:val="20"/>
              </w:rPr>
            </w:pPr>
            <w:r>
              <w:rPr>
                <w:rFonts w:ascii="宋体" w:hAnsi="宋体" w:cs="宋体" w:eastAsia="宋体" w:hint="default"/>
                <w:sz w:val="20"/>
                <w:szCs w:val="20"/>
              </w:rPr>
              <w:t>权益比例</w:t>
            </w:r>
            <w:r>
              <w:rPr>
                <w:rFonts w:ascii="Arial" w:hAnsi="Arial" w:cs="Arial" w:eastAsia="Arial" w:hint="default"/>
                <w:sz w:val="20"/>
                <w:szCs w:val="20"/>
              </w:rPr>
              <w:t>(%)</w:t>
            </w:r>
          </w:p>
        </w:tc>
      </w:tr>
      <w:tr>
        <w:trPr>
          <w:trHeight w:val="508" w:hRule="exact"/>
        </w:trPr>
        <w:tc>
          <w:tcPr>
            <w:tcW w:w="2660"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21" w:right="0"/>
              <w:jc w:val="left"/>
              <w:rPr>
                <w:rFonts w:ascii="宋体" w:hAnsi="宋体" w:cs="宋体" w:eastAsia="宋体" w:hint="default"/>
                <w:sz w:val="20"/>
                <w:szCs w:val="20"/>
              </w:rPr>
            </w:pPr>
            <w:r>
              <w:rPr>
                <w:rFonts w:ascii="宋体" w:hAnsi="宋体" w:cs="宋体" w:eastAsia="宋体" w:hint="default"/>
                <w:sz w:val="20"/>
                <w:szCs w:val="20"/>
              </w:rPr>
              <w:t>联通集团</w:t>
            </w:r>
          </w:p>
        </w:tc>
        <w:tc>
          <w:tcPr>
            <w:tcW w:w="112" w:type="dxa"/>
            <w:tcBorders>
              <w:top w:val="nil" w:sz="6" w:space="0" w:color="auto"/>
              <w:left w:val="nil" w:sz="6" w:space="0" w:color="auto"/>
              <w:bottom w:val="nil" w:sz="6" w:space="0" w:color="auto"/>
              <w:right w:val="nil" w:sz="6" w:space="0" w:color="auto"/>
            </w:tcBorders>
          </w:tcPr>
          <w:p>
            <w:pPr/>
          </w:p>
        </w:tc>
        <w:tc>
          <w:tcPr>
            <w:tcW w:w="864"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224"/>
              <w:jc w:val="right"/>
              <w:rPr>
                <w:rFonts w:ascii="宋体" w:hAnsi="宋体" w:cs="宋体" w:eastAsia="宋体" w:hint="default"/>
                <w:sz w:val="20"/>
                <w:szCs w:val="20"/>
              </w:rPr>
            </w:pPr>
            <w:r>
              <w:rPr>
                <w:rFonts w:ascii="宋体" w:hAnsi="宋体" w:cs="宋体" w:eastAsia="宋体" w:hint="default"/>
                <w:sz w:val="20"/>
                <w:szCs w:val="20"/>
              </w:rPr>
              <w:t>北京</w:t>
            </w:r>
          </w:p>
        </w:tc>
        <w:tc>
          <w:tcPr>
            <w:tcW w:w="134" w:type="dxa"/>
            <w:tcBorders>
              <w:top w:val="nil" w:sz="6" w:space="0" w:color="auto"/>
              <w:left w:val="nil" w:sz="6" w:space="0" w:color="auto"/>
              <w:bottom w:val="nil" w:sz="6" w:space="0" w:color="auto"/>
              <w:right w:val="nil" w:sz="6" w:space="0" w:color="auto"/>
            </w:tcBorders>
          </w:tcPr>
          <w:p>
            <w:pPr/>
          </w:p>
        </w:tc>
        <w:tc>
          <w:tcPr>
            <w:tcW w:w="1920"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8"/>
              <w:jc w:val="right"/>
              <w:rPr>
                <w:rFonts w:ascii="Arial" w:hAnsi="Arial" w:cs="Arial" w:eastAsia="Arial" w:hint="default"/>
                <w:sz w:val="20"/>
                <w:szCs w:val="20"/>
              </w:rPr>
            </w:pPr>
            <w:r>
              <w:rPr>
                <w:rFonts w:ascii="Arial"/>
                <w:spacing w:val="-1"/>
                <w:sz w:val="20"/>
              </w:rPr>
              <w:t>12,939,746,152</w:t>
            </w:r>
          </w:p>
        </w:tc>
        <w:tc>
          <w:tcPr>
            <w:tcW w:w="110" w:type="dxa"/>
            <w:tcBorders>
              <w:top w:val="nil" w:sz="6" w:space="0" w:color="auto"/>
              <w:left w:val="nil" w:sz="6" w:space="0" w:color="auto"/>
              <w:bottom w:val="nil" w:sz="6" w:space="0" w:color="auto"/>
              <w:right w:val="nil" w:sz="6" w:space="0" w:color="auto"/>
            </w:tcBorders>
          </w:tcPr>
          <w:p>
            <w:pPr/>
          </w:p>
        </w:tc>
        <w:tc>
          <w:tcPr>
            <w:tcW w:w="1507"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1" w:right="0"/>
              <w:jc w:val="center"/>
              <w:rPr>
                <w:rFonts w:ascii="宋体" w:hAnsi="宋体" w:cs="宋体" w:eastAsia="宋体" w:hint="default"/>
                <w:sz w:val="20"/>
                <w:szCs w:val="20"/>
              </w:rPr>
            </w:pPr>
            <w:r>
              <w:rPr>
                <w:rFonts w:ascii="宋体" w:hAnsi="宋体" w:cs="宋体" w:eastAsia="宋体" w:hint="default"/>
                <w:sz w:val="20"/>
                <w:szCs w:val="20"/>
              </w:rPr>
              <w:t>股权及现金</w:t>
            </w:r>
          </w:p>
        </w:tc>
        <w:tc>
          <w:tcPr>
            <w:tcW w:w="1700" w:type="dxa"/>
            <w:tcBorders>
              <w:top w:val="single" w:sz="6"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right="131"/>
              <w:jc w:val="right"/>
              <w:rPr>
                <w:rFonts w:ascii="Arial" w:hAnsi="Arial" w:cs="Arial" w:eastAsia="Arial" w:hint="default"/>
                <w:sz w:val="20"/>
                <w:szCs w:val="20"/>
              </w:rPr>
            </w:pPr>
            <w:r>
              <w:rPr>
                <w:rFonts w:ascii="Arial"/>
                <w:spacing w:val="-1"/>
                <w:sz w:val="20"/>
              </w:rPr>
              <w:t>61.0463</w:t>
            </w:r>
          </w:p>
        </w:tc>
      </w:tr>
      <w:tr>
        <w:trPr>
          <w:trHeight w:val="259" w:hRule="exact"/>
        </w:trPr>
        <w:tc>
          <w:tcPr>
            <w:tcW w:w="2660" w:type="dxa"/>
            <w:tcBorders>
              <w:top w:val="nil" w:sz="6" w:space="0" w:color="auto"/>
              <w:left w:val="nil" w:sz="6" w:space="0" w:color="auto"/>
              <w:bottom w:val="nil" w:sz="6" w:space="0" w:color="auto"/>
              <w:right w:val="nil" w:sz="6" w:space="0" w:color="auto"/>
            </w:tcBorders>
          </w:tcPr>
          <w:p>
            <w:pPr>
              <w:pStyle w:val="TableParagraph"/>
              <w:spacing w:line="219" w:lineRule="exact"/>
              <w:ind w:left="21" w:right="0"/>
              <w:jc w:val="left"/>
              <w:rPr>
                <w:rFonts w:ascii="宋体" w:hAnsi="宋体" w:cs="宋体" w:eastAsia="宋体" w:hint="default"/>
                <w:sz w:val="20"/>
                <w:szCs w:val="20"/>
              </w:rPr>
            </w:pPr>
            <w:r>
              <w:rPr>
                <w:rFonts w:ascii="宋体" w:hAnsi="宋体" w:cs="宋体" w:eastAsia="宋体" w:hint="default"/>
                <w:sz w:val="20"/>
                <w:szCs w:val="20"/>
              </w:rPr>
              <w:t>北京联通兴业科贸有限公司</w:t>
            </w:r>
          </w:p>
        </w:tc>
        <w:tc>
          <w:tcPr>
            <w:tcW w:w="112" w:type="dxa"/>
            <w:tcBorders>
              <w:top w:val="nil" w:sz="6" w:space="0" w:color="auto"/>
              <w:left w:val="nil" w:sz="6" w:space="0" w:color="auto"/>
              <w:bottom w:val="nil" w:sz="6" w:space="0" w:color="auto"/>
              <w:right w:val="nil" w:sz="6" w:space="0" w:color="auto"/>
            </w:tcBorders>
          </w:tcPr>
          <w:p>
            <w:pPr/>
          </w:p>
        </w:tc>
        <w:tc>
          <w:tcPr>
            <w:tcW w:w="864" w:type="dxa"/>
            <w:tcBorders>
              <w:top w:val="nil" w:sz="6" w:space="0" w:color="auto"/>
              <w:left w:val="nil" w:sz="6" w:space="0" w:color="auto"/>
              <w:bottom w:val="nil" w:sz="6" w:space="0" w:color="auto"/>
              <w:right w:val="nil" w:sz="6" w:space="0" w:color="auto"/>
            </w:tcBorders>
          </w:tcPr>
          <w:p>
            <w:pPr>
              <w:pStyle w:val="TableParagraph"/>
              <w:spacing w:line="219" w:lineRule="exact"/>
              <w:ind w:right="225"/>
              <w:jc w:val="right"/>
              <w:rPr>
                <w:rFonts w:ascii="宋体" w:hAnsi="宋体" w:cs="宋体" w:eastAsia="宋体" w:hint="default"/>
                <w:sz w:val="20"/>
                <w:szCs w:val="20"/>
              </w:rPr>
            </w:pPr>
            <w:r>
              <w:rPr>
                <w:rFonts w:ascii="宋体" w:hAnsi="宋体" w:cs="宋体" w:eastAsia="宋体" w:hint="default"/>
                <w:sz w:val="20"/>
                <w:szCs w:val="20"/>
              </w:rPr>
              <w:t>北京</w:t>
            </w:r>
          </w:p>
        </w:tc>
        <w:tc>
          <w:tcPr>
            <w:tcW w:w="134"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
              <w:jc w:val="right"/>
              <w:rPr>
                <w:rFonts w:ascii="Arial" w:hAnsi="Arial" w:cs="Arial" w:eastAsia="Arial" w:hint="default"/>
                <w:sz w:val="20"/>
                <w:szCs w:val="20"/>
              </w:rPr>
            </w:pPr>
            <w:r>
              <w:rPr>
                <w:rFonts w:ascii="Arial"/>
                <w:spacing w:val="-1"/>
                <w:sz w:val="20"/>
              </w:rPr>
              <w:t>569,505</w:t>
            </w:r>
          </w:p>
        </w:tc>
        <w:tc>
          <w:tcPr>
            <w:tcW w:w="110" w:type="dxa"/>
            <w:tcBorders>
              <w:top w:val="nil" w:sz="6" w:space="0" w:color="auto"/>
              <w:left w:val="nil" w:sz="6" w:space="0" w:color="auto"/>
              <w:bottom w:val="nil" w:sz="6" w:space="0" w:color="auto"/>
              <w:right w:val="nil" w:sz="6" w:space="0" w:color="auto"/>
            </w:tcBorders>
          </w:tcPr>
          <w:p>
            <w:pPr/>
          </w:p>
        </w:tc>
        <w:tc>
          <w:tcPr>
            <w:tcW w:w="1507" w:type="dxa"/>
            <w:tcBorders>
              <w:top w:val="nil" w:sz="6" w:space="0" w:color="auto"/>
              <w:left w:val="nil" w:sz="6" w:space="0" w:color="auto"/>
              <w:bottom w:val="nil" w:sz="6" w:space="0" w:color="auto"/>
              <w:right w:val="nil" w:sz="6" w:space="0" w:color="auto"/>
            </w:tcBorders>
          </w:tcPr>
          <w:p>
            <w:pPr>
              <w:pStyle w:val="TableParagraph"/>
              <w:spacing w:line="219" w:lineRule="exact"/>
              <w:ind w:left="11" w:right="0"/>
              <w:jc w:val="center"/>
              <w:rPr>
                <w:rFonts w:ascii="宋体" w:hAnsi="宋体" w:cs="宋体" w:eastAsia="宋体" w:hint="default"/>
                <w:sz w:val="20"/>
                <w:szCs w:val="20"/>
              </w:rPr>
            </w:pPr>
            <w:r>
              <w:rPr>
                <w:rFonts w:ascii="宋体" w:hAnsi="宋体" w:cs="宋体" w:eastAsia="宋体" w:hint="default"/>
                <w:sz w:val="20"/>
                <w:szCs w:val="20"/>
              </w:rPr>
              <w:t>现金</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ind w:right="131"/>
              <w:jc w:val="right"/>
              <w:rPr>
                <w:rFonts w:ascii="Arial" w:hAnsi="Arial" w:cs="Arial" w:eastAsia="Arial" w:hint="default"/>
                <w:sz w:val="20"/>
                <w:szCs w:val="20"/>
              </w:rPr>
            </w:pPr>
            <w:r>
              <w:rPr>
                <w:rFonts w:ascii="Arial"/>
                <w:sz w:val="20"/>
              </w:rPr>
              <w:t>0.0027</w:t>
            </w:r>
          </w:p>
        </w:tc>
      </w:tr>
      <w:tr>
        <w:trPr>
          <w:trHeight w:val="259" w:hRule="exact"/>
        </w:trPr>
        <w:tc>
          <w:tcPr>
            <w:tcW w:w="2660" w:type="dxa"/>
            <w:tcBorders>
              <w:top w:val="nil" w:sz="6" w:space="0" w:color="auto"/>
              <w:left w:val="nil" w:sz="6" w:space="0" w:color="auto"/>
              <w:bottom w:val="nil" w:sz="6" w:space="0" w:color="auto"/>
              <w:right w:val="nil" w:sz="6" w:space="0" w:color="auto"/>
            </w:tcBorders>
          </w:tcPr>
          <w:p>
            <w:pPr>
              <w:pStyle w:val="TableParagraph"/>
              <w:spacing w:line="219" w:lineRule="exact"/>
              <w:ind w:left="21" w:right="0"/>
              <w:jc w:val="left"/>
              <w:rPr>
                <w:rFonts w:ascii="宋体" w:hAnsi="宋体" w:cs="宋体" w:eastAsia="宋体" w:hint="default"/>
                <w:sz w:val="20"/>
                <w:szCs w:val="20"/>
              </w:rPr>
            </w:pPr>
            <w:r>
              <w:rPr>
                <w:rFonts w:ascii="宋体" w:hAnsi="宋体" w:cs="宋体" w:eastAsia="宋体" w:hint="default"/>
                <w:sz w:val="20"/>
                <w:szCs w:val="20"/>
              </w:rPr>
              <w:t>联通进出口有限公司</w:t>
            </w:r>
          </w:p>
        </w:tc>
        <w:tc>
          <w:tcPr>
            <w:tcW w:w="112" w:type="dxa"/>
            <w:tcBorders>
              <w:top w:val="nil" w:sz="6" w:space="0" w:color="auto"/>
              <w:left w:val="nil" w:sz="6" w:space="0" w:color="auto"/>
              <w:bottom w:val="nil" w:sz="6" w:space="0" w:color="auto"/>
              <w:right w:val="nil" w:sz="6" w:space="0" w:color="auto"/>
            </w:tcBorders>
          </w:tcPr>
          <w:p>
            <w:pPr/>
          </w:p>
        </w:tc>
        <w:tc>
          <w:tcPr>
            <w:tcW w:w="864" w:type="dxa"/>
            <w:tcBorders>
              <w:top w:val="nil" w:sz="6" w:space="0" w:color="auto"/>
              <w:left w:val="nil" w:sz="6" w:space="0" w:color="auto"/>
              <w:bottom w:val="nil" w:sz="6" w:space="0" w:color="auto"/>
              <w:right w:val="nil" w:sz="6" w:space="0" w:color="auto"/>
            </w:tcBorders>
          </w:tcPr>
          <w:p>
            <w:pPr>
              <w:pStyle w:val="TableParagraph"/>
              <w:spacing w:line="219" w:lineRule="exact"/>
              <w:ind w:right="225"/>
              <w:jc w:val="right"/>
              <w:rPr>
                <w:rFonts w:ascii="宋体" w:hAnsi="宋体" w:cs="宋体" w:eastAsia="宋体" w:hint="default"/>
                <w:sz w:val="20"/>
                <w:szCs w:val="20"/>
              </w:rPr>
            </w:pPr>
            <w:r>
              <w:rPr>
                <w:rFonts w:ascii="宋体" w:hAnsi="宋体" w:cs="宋体" w:eastAsia="宋体" w:hint="default"/>
                <w:sz w:val="20"/>
                <w:szCs w:val="20"/>
              </w:rPr>
              <w:t>北京</w:t>
            </w:r>
          </w:p>
        </w:tc>
        <w:tc>
          <w:tcPr>
            <w:tcW w:w="134"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8"/>
              <w:jc w:val="right"/>
              <w:rPr>
                <w:rFonts w:ascii="Arial" w:hAnsi="Arial" w:cs="Arial" w:eastAsia="Arial" w:hint="default"/>
                <w:sz w:val="20"/>
                <w:szCs w:val="20"/>
              </w:rPr>
            </w:pPr>
            <w:r>
              <w:rPr>
                <w:rFonts w:ascii="Arial"/>
                <w:spacing w:val="-1"/>
                <w:sz w:val="20"/>
              </w:rPr>
              <w:t>569,505</w:t>
            </w:r>
          </w:p>
        </w:tc>
        <w:tc>
          <w:tcPr>
            <w:tcW w:w="110" w:type="dxa"/>
            <w:tcBorders>
              <w:top w:val="nil" w:sz="6" w:space="0" w:color="auto"/>
              <w:left w:val="nil" w:sz="6" w:space="0" w:color="auto"/>
              <w:bottom w:val="nil" w:sz="6" w:space="0" w:color="auto"/>
              <w:right w:val="nil" w:sz="6" w:space="0" w:color="auto"/>
            </w:tcBorders>
          </w:tcPr>
          <w:p>
            <w:pPr/>
          </w:p>
        </w:tc>
        <w:tc>
          <w:tcPr>
            <w:tcW w:w="1507" w:type="dxa"/>
            <w:tcBorders>
              <w:top w:val="nil" w:sz="6" w:space="0" w:color="auto"/>
              <w:left w:val="nil" w:sz="6" w:space="0" w:color="auto"/>
              <w:bottom w:val="nil" w:sz="6" w:space="0" w:color="auto"/>
              <w:right w:val="nil" w:sz="6" w:space="0" w:color="auto"/>
            </w:tcBorders>
          </w:tcPr>
          <w:p>
            <w:pPr>
              <w:pStyle w:val="TableParagraph"/>
              <w:spacing w:line="219" w:lineRule="exact"/>
              <w:ind w:left="11" w:right="0"/>
              <w:jc w:val="center"/>
              <w:rPr>
                <w:rFonts w:ascii="宋体" w:hAnsi="宋体" w:cs="宋体" w:eastAsia="宋体" w:hint="default"/>
                <w:sz w:val="20"/>
                <w:szCs w:val="20"/>
              </w:rPr>
            </w:pPr>
            <w:r>
              <w:rPr>
                <w:rFonts w:ascii="宋体" w:hAnsi="宋体" w:cs="宋体" w:eastAsia="宋体" w:hint="default"/>
                <w:sz w:val="20"/>
                <w:szCs w:val="20"/>
              </w:rPr>
              <w:t>现金</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ind w:right="131"/>
              <w:jc w:val="right"/>
              <w:rPr>
                <w:rFonts w:ascii="Arial" w:hAnsi="Arial" w:cs="Arial" w:eastAsia="Arial" w:hint="default"/>
                <w:sz w:val="20"/>
                <w:szCs w:val="20"/>
              </w:rPr>
            </w:pPr>
            <w:r>
              <w:rPr>
                <w:rFonts w:ascii="Arial"/>
                <w:sz w:val="20"/>
              </w:rPr>
              <w:t>0.0027</w:t>
            </w:r>
          </w:p>
        </w:tc>
      </w:tr>
      <w:tr>
        <w:trPr>
          <w:trHeight w:val="256" w:hRule="exact"/>
        </w:trPr>
        <w:tc>
          <w:tcPr>
            <w:tcW w:w="2660" w:type="dxa"/>
            <w:tcBorders>
              <w:top w:val="nil" w:sz="6" w:space="0" w:color="auto"/>
              <w:left w:val="nil" w:sz="6" w:space="0" w:color="auto"/>
              <w:bottom w:val="nil" w:sz="6" w:space="0" w:color="auto"/>
              <w:right w:val="nil" w:sz="6" w:space="0" w:color="auto"/>
            </w:tcBorders>
          </w:tcPr>
          <w:p>
            <w:pPr>
              <w:pStyle w:val="TableParagraph"/>
              <w:spacing w:line="219" w:lineRule="exact"/>
              <w:ind w:left="21" w:right="0"/>
              <w:jc w:val="left"/>
              <w:rPr>
                <w:rFonts w:ascii="宋体" w:hAnsi="宋体" w:cs="宋体" w:eastAsia="宋体" w:hint="default"/>
                <w:sz w:val="20"/>
                <w:szCs w:val="20"/>
              </w:rPr>
            </w:pPr>
            <w:r>
              <w:rPr>
                <w:rFonts w:ascii="宋体" w:hAnsi="宋体" w:cs="宋体" w:eastAsia="宋体" w:hint="default"/>
                <w:sz w:val="20"/>
                <w:szCs w:val="20"/>
              </w:rPr>
              <w:t>普通股－公众股</w:t>
            </w:r>
          </w:p>
        </w:tc>
        <w:tc>
          <w:tcPr>
            <w:tcW w:w="112" w:type="dxa"/>
            <w:tcBorders>
              <w:top w:val="nil" w:sz="6" w:space="0" w:color="auto"/>
              <w:left w:val="nil" w:sz="6" w:space="0" w:color="auto"/>
              <w:bottom w:val="nil" w:sz="6" w:space="0" w:color="auto"/>
              <w:right w:val="nil" w:sz="6" w:space="0" w:color="auto"/>
            </w:tcBorders>
          </w:tcPr>
          <w:p>
            <w:pPr/>
          </w:p>
        </w:tc>
        <w:tc>
          <w:tcPr>
            <w:tcW w:w="86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 w:right="0"/>
              <w:jc w:val="center"/>
              <w:rPr>
                <w:rFonts w:ascii="Arial" w:hAnsi="Arial" w:cs="Arial" w:eastAsia="Arial" w:hint="default"/>
                <w:sz w:val="20"/>
                <w:szCs w:val="20"/>
              </w:rPr>
            </w:pPr>
            <w:r>
              <w:rPr>
                <w:rFonts w:ascii="Arial"/>
                <w:w w:val="100"/>
                <w:sz w:val="20"/>
              </w:rPr>
              <w:t>-</w:t>
            </w:r>
          </w:p>
        </w:tc>
        <w:tc>
          <w:tcPr>
            <w:tcW w:w="134"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nil" w:sz="6" w:space="0" w:color="auto"/>
              <w:right w:val="nil" w:sz="6" w:space="0" w:color="auto"/>
            </w:tcBorders>
          </w:tcPr>
          <w:p>
            <w:pPr>
              <w:pStyle w:val="TableParagraph"/>
              <w:tabs>
                <w:tab w:pos="616" w:val="left" w:leader="none"/>
              </w:tabs>
              <w:spacing w:line="240" w:lineRule="auto" w:before="15"/>
              <w:ind w:right="18"/>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8,255,711,233</w:t>
            </w:r>
            <w:r>
              <w:rPr>
                <w:rFonts w:ascii="Arial"/>
                <w:spacing w:val="-1"/>
                <w:sz w:val="20"/>
              </w:rPr>
            </w:r>
          </w:p>
        </w:tc>
        <w:tc>
          <w:tcPr>
            <w:tcW w:w="110" w:type="dxa"/>
            <w:tcBorders>
              <w:top w:val="nil" w:sz="6" w:space="0" w:color="auto"/>
              <w:left w:val="nil" w:sz="6" w:space="0" w:color="auto"/>
              <w:bottom w:val="nil" w:sz="6" w:space="0" w:color="auto"/>
              <w:right w:val="nil" w:sz="6" w:space="0" w:color="auto"/>
            </w:tcBorders>
          </w:tcPr>
          <w:p>
            <w:pPr/>
          </w:p>
        </w:tc>
        <w:tc>
          <w:tcPr>
            <w:tcW w:w="1507" w:type="dxa"/>
            <w:tcBorders>
              <w:top w:val="nil" w:sz="6" w:space="0" w:color="auto"/>
              <w:left w:val="nil" w:sz="6" w:space="0" w:color="auto"/>
              <w:bottom w:val="nil" w:sz="6" w:space="0" w:color="auto"/>
              <w:right w:val="nil" w:sz="6" w:space="0" w:color="auto"/>
            </w:tcBorders>
          </w:tcPr>
          <w:p>
            <w:pPr>
              <w:pStyle w:val="TableParagraph"/>
              <w:spacing w:line="219" w:lineRule="exact"/>
              <w:ind w:left="11" w:right="0"/>
              <w:jc w:val="center"/>
              <w:rPr>
                <w:rFonts w:ascii="宋体" w:hAnsi="宋体" w:cs="宋体" w:eastAsia="宋体" w:hint="default"/>
                <w:sz w:val="20"/>
                <w:szCs w:val="20"/>
              </w:rPr>
            </w:pPr>
            <w:r>
              <w:rPr>
                <w:rFonts w:ascii="宋体" w:hAnsi="宋体" w:cs="宋体" w:eastAsia="宋体" w:hint="default"/>
                <w:sz w:val="20"/>
                <w:szCs w:val="20"/>
              </w:rPr>
              <w:t>现金</w:t>
            </w:r>
          </w:p>
        </w:tc>
        <w:tc>
          <w:tcPr>
            <w:tcW w:w="1700" w:type="dxa"/>
            <w:tcBorders>
              <w:top w:val="nil" w:sz="6" w:space="0" w:color="auto"/>
              <w:left w:val="nil" w:sz="6" w:space="0" w:color="auto"/>
              <w:bottom w:val="single" w:sz="6" w:space="0" w:color="000000"/>
              <w:right w:val="nil" w:sz="6" w:space="0" w:color="auto"/>
            </w:tcBorders>
          </w:tcPr>
          <w:p>
            <w:pPr>
              <w:pStyle w:val="TableParagraph"/>
              <w:spacing w:line="240" w:lineRule="auto"/>
              <w:ind w:right="131"/>
              <w:jc w:val="right"/>
              <w:rPr>
                <w:rFonts w:ascii="Arial" w:hAnsi="Arial" w:cs="Arial" w:eastAsia="Arial" w:hint="default"/>
                <w:sz w:val="20"/>
                <w:szCs w:val="20"/>
              </w:rPr>
            </w:pPr>
            <w:r>
              <w:rPr>
                <w:rFonts w:ascii="Arial"/>
                <w:spacing w:val="-1"/>
                <w:sz w:val="20"/>
              </w:rPr>
              <w:t>38.9483</w:t>
            </w:r>
          </w:p>
        </w:tc>
      </w:tr>
      <w:tr>
        <w:trPr>
          <w:trHeight w:val="532" w:hRule="exact"/>
        </w:trPr>
        <w:tc>
          <w:tcPr>
            <w:tcW w:w="266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1"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12" w:type="dxa"/>
            <w:tcBorders>
              <w:top w:val="nil" w:sz="6" w:space="0" w:color="auto"/>
              <w:left w:val="nil" w:sz="6" w:space="0" w:color="auto"/>
              <w:bottom w:val="nil" w:sz="6" w:space="0" w:color="auto"/>
              <w:right w:val="nil" w:sz="6" w:space="0" w:color="auto"/>
            </w:tcBorders>
          </w:tcPr>
          <w:p>
            <w:pPr/>
          </w:p>
        </w:tc>
        <w:tc>
          <w:tcPr>
            <w:tcW w:w="864" w:type="dxa"/>
            <w:tcBorders>
              <w:top w:val="nil" w:sz="6" w:space="0" w:color="auto"/>
              <w:left w:val="nil" w:sz="6" w:space="0" w:color="auto"/>
              <w:bottom w:val="nil" w:sz="6" w:space="0" w:color="auto"/>
              <w:right w:val="nil" w:sz="6" w:space="0" w:color="auto"/>
            </w:tcBorders>
          </w:tcPr>
          <w:p>
            <w:pPr/>
          </w:p>
        </w:tc>
        <w:tc>
          <w:tcPr>
            <w:tcW w:w="134" w:type="dxa"/>
            <w:tcBorders>
              <w:top w:val="nil" w:sz="6" w:space="0" w:color="auto"/>
              <w:left w:val="nil" w:sz="6" w:space="0" w:color="auto"/>
              <w:bottom w:val="nil" w:sz="6" w:space="0" w:color="auto"/>
              <w:right w:val="nil" w:sz="6" w:space="0" w:color="auto"/>
            </w:tcBorders>
          </w:tcPr>
          <w:p>
            <w:pPr/>
          </w:p>
        </w:tc>
        <w:tc>
          <w:tcPr>
            <w:tcW w:w="1920" w:type="dxa"/>
            <w:tcBorders>
              <w:top w:val="nil" w:sz="6" w:space="0" w:color="auto"/>
              <w:left w:val="nil" w:sz="6" w:space="0" w:color="auto"/>
              <w:bottom w:val="single" w:sz="17" w:space="0" w:color="000000"/>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8"/>
              <w:jc w:val="right"/>
              <w:rPr>
                <w:rFonts w:ascii="Arial" w:hAnsi="Arial" w:cs="Arial" w:eastAsia="Arial" w:hint="default"/>
                <w:sz w:val="20"/>
                <w:szCs w:val="20"/>
              </w:rPr>
            </w:pPr>
            <w:r>
              <w:rPr>
                <w:rFonts w:ascii="Arial"/>
                <w:spacing w:val="-1"/>
                <w:sz w:val="20"/>
              </w:rPr>
              <w:t>21,196,596,395</w:t>
            </w:r>
          </w:p>
        </w:tc>
        <w:tc>
          <w:tcPr>
            <w:tcW w:w="110" w:type="dxa"/>
            <w:tcBorders>
              <w:top w:val="nil" w:sz="6" w:space="0" w:color="auto"/>
              <w:left w:val="nil" w:sz="6" w:space="0" w:color="auto"/>
              <w:bottom w:val="nil" w:sz="6" w:space="0" w:color="auto"/>
              <w:right w:val="nil" w:sz="6" w:space="0" w:color="auto"/>
            </w:tcBorders>
          </w:tcPr>
          <w:p>
            <w:pPr/>
          </w:p>
        </w:tc>
        <w:tc>
          <w:tcPr>
            <w:tcW w:w="1507" w:type="dxa"/>
            <w:tcBorders>
              <w:top w:val="nil" w:sz="6" w:space="0" w:color="auto"/>
              <w:left w:val="nil" w:sz="6" w:space="0" w:color="auto"/>
              <w:bottom w:val="nil" w:sz="6" w:space="0" w:color="auto"/>
              <w:right w:val="nil" w:sz="6" w:space="0" w:color="auto"/>
            </w:tcBorders>
          </w:tcPr>
          <w:p>
            <w:pPr/>
          </w:p>
        </w:tc>
        <w:tc>
          <w:tcPr>
            <w:tcW w:w="1700" w:type="dxa"/>
            <w:tcBorders>
              <w:top w:val="single" w:sz="6" w:space="0" w:color="000000"/>
              <w:left w:val="nil" w:sz="6" w:space="0" w:color="auto"/>
              <w:bottom w:val="single" w:sz="17" w:space="0" w:color="000000"/>
              <w:right w:val="nil" w:sz="6" w:space="0" w:color="auto"/>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right="131"/>
              <w:jc w:val="right"/>
              <w:rPr>
                <w:rFonts w:ascii="Arial" w:hAnsi="Arial" w:cs="Arial" w:eastAsia="Arial" w:hint="default"/>
                <w:sz w:val="20"/>
                <w:szCs w:val="20"/>
              </w:rPr>
            </w:pPr>
            <w:r>
              <w:rPr>
                <w:rFonts w:ascii="Arial"/>
                <w:spacing w:val="-1"/>
                <w:sz w:val="20"/>
              </w:rPr>
              <w:t>100.0000</w:t>
            </w:r>
          </w:p>
        </w:tc>
      </w:tr>
    </w:tbl>
    <w:p>
      <w:pPr>
        <w:spacing w:after="0" w:line="240" w:lineRule="auto"/>
        <w:jc w:val="right"/>
        <w:rPr>
          <w:rFonts w:ascii="Arial" w:hAnsi="Arial" w:cs="Arial" w:eastAsia="Arial" w:hint="default"/>
          <w:sz w:val="20"/>
          <w:szCs w:val="20"/>
        </w:rPr>
        <w:sectPr>
          <w:type w:val="continuous"/>
          <w:pgSz w:w="11910" w:h="16840"/>
          <w:pgMar w:top="1600" w:bottom="280" w:left="1280" w:right="940"/>
        </w:sectPr>
      </w:pPr>
    </w:p>
    <w:p>
      <w:pPr>
        <w:spacing w:line="240" w:lineRule="auto" w:before="12"/>
        <w:rPr>
          <w:rFonts w:ascii="宋体" w:hAnsi="宋体" w:cs="宋体" w:eastAsia="宋体" w:hint="default"/>
          <w:sz w:val="14"/>
          <w:szCs w:val="14"/>
        </w:rPr>
      </w:pPr>
    </w:p>
    <w:p>
      <w:pPr>
        <w:pStyle w:val="BodyText"/>
        <w:spacing w:line="240" w:lineRule="auto" w:before="31"/>
        <w:ind w:left="102" w:right="0"/>
        <w:jc w:val="left"/>
        <w:rPr>
          <w:rFonts w:ascii="黑体" w:hAnsi="黑体" w:cs="黑体" w:eastAsia="黑体" w:hint="default"/>
        </w:rPr>
      </w:pPr>
      <w:r>
        <w:rPr>
          <w:rFonts w:ascii="Arial" w:hAnsi="Arial" w:cs="Arial" w:eastAsia="Arial" w:hint="default"/>
        </w:rPr>
        <w:t>31</w:t>
      </w:r>
      <w:r>
        <w:rPr>
          <w:rFonts w:ascii="黑体" w:hAnsi="黑体" w:cs="黑体" w:eastAsia="黑体" w:hint="default"/>
        </w:rPr>
        <w:t>、资本公积</w:t>
      </w:r>
    </w:p>
    <w:p>
      <w:pPr>
        <w:spacing w:line="240" w:lineRule="auto" w:before="6"/>
        <w:rPr>
          <w:rFonts w:ascii="黑体" w:hAnsi="黑体" w:cs="黑体" w:eastAsia="黑体" w:hint="default"/>
          <w:sz w:val="9"/>
          <w:szCs w:val="9"/>
        </w:rPr>
      </w:pPr>
    </w:p>
    <w:tbl>
      <w:tblPr>
        <w:tblW w:w="0" w:type="auto"/>
        <w:jc w:val="left"/>
        <w:tblInd w:w="530" w:type="dxa"/>
        <w:tblLayout w:type="fixed"/>
        <w:tblCellMar>
          <w:top w:w="0" w:type="dxa"/>
          <w:left w:w="0" w:type="dxa"/>
          <w:bottom w:w="0" w:type="dxa"/>
          <w:right w:w="0" w:type="dxa"/>
        </w:tblCellMar>
        <w:tblLook w:val="01E0"/>
      </w:tblPr>
      <w:tblGrid>
        <w:gridCol w:w="3891"/>
        <w:gridCol w:w="1430"/>
        <w:gridCol w:w="1297"/>
        <w:gridCol w:w="1424"/>
        <w:gridCol w:w="1279"/>
      </w:tblGrid>
      <w:tr>
        <w:trPr>
          <w:trHeight w:val="500" w:hRule="exact"/>
        </w:trPr>
        <w:tc>
          <w:tcPr>
            <w:tcW w:w="3891"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0"/>
              <w:jc w:val="left"/>
              <w:rPr>
                <w:rFonts w:ascii="黑体" w:hAnsi="黑体" w:cs="黑体" w:eastAsia="黑体" w:hint="default"/>
                <w:sz w:val="19"/>
                <w:szCs w:val="19"/>
              </w:rPr>
            </w:pPr>
          </w:p>
          <w:p>
            <w:pPr>
              <w:pStyle w:val="TableParagraph"/>
              <w:tabs>
                <w:tab w:pos="3467" w:val="left" w:leader="none"/>
              </w:tabs>
              <w:spacing w:line="240" w:lineRule="auto"/>
              <w:ind w:left="1501" w:right="0"/>
              <w:jc w:val="left"/>
              <w:rPr>
                <w:rFonts w:ascii="宋体" w:hAnsi="宋体" w:cs="宋体" w:eastAsia="宋体" w:hint="default"/>
                <w:sz w:val="16"/>
                <w:szCs w:val="16"/>
              </w:rPr>
            </w:pPr>
            <w:r>
              <w:rPr>
                <w:rFonts w:ascii="宋体" w:hAnsi="宋体" w:cs="宋体" w:eastAsia="宋体" w:hint="default"/>
                <w:w w:val="95"/>
                <w:sz w:val="16"/>
                <w:szCs w:val="16"/>
              </w:rPr>
              <w:t>项目</w:t>
              <w:tab/>
            </w:r>
            <w:r>
              <w:rPr>
                <w:rFonts w:ascii="宋体" w:hAnsi="宋体" w:cs="宋体" w:eastAsia="宋体" w:hint="default"/>
                <w:sz w:val="16"/>
                <w:szCs w:val="16"/>
              </w:rPr>
              <w:t>注释</w:t>
            </w:r>
          </w:p>
        </w:tc>
        <w:tc>
          <w:tcPr>
            <w:tcW w:w="1430" w:type="dxa"/>
            <w:tcBorders>
              <w:top w:val="nil" w:sz="6" w:space="0" w:color="auto"/>
              <w:left w:val="nil" w:sz="6" w:space="0" w:color="auto"/>
              <w:bottom w:val="single" w:sz="6" w:space="0" w:color="000000"/>
              <w:right w:val="nil" w:sz="6" w:space="0" w:color="auto"/>
            </w:tcBorders>
          </w:tcPr>
          <w:p>
            <w:pPr>
              <w:pStyle w:val="TableParagraph"/>
              <w:spacing w:line="214" w:lineRule="exact" w:before="50"/>
              <w:ind w:left="720" w:right="0"/>
              <w:jc w:val="left"/>
              <w:rPr>
                <w:rFonts w:ascii="宋体" w:hAnsi="宋体" w:cs="宋体" w:eastAsia="宋体" w:hint="default"/>
                <w:sz w:val="16"/>
                <w:szCs w:val="16"/>
              </w:rPr>
            </w:pPr>
            <w:r>
              <w:rPr>
                <w:rFonts w:ascii="Arial" w:hAnsi="Arial" w:cs="Arial" w:eastAsia="Arial" w:hint="default"/>
                <w:sz w:val="16"/>
                <w:szCs w:val="16"/>
              </w:rPr>
              <w:t>2008</w:t>
            </w:r>
            <w:r>
              <w:rPr>
                <w:rFonts w:ascii="Arial" w:hAnsi="Arial" w:cs="Arial" w:eastAsia="Arial" w:hint="default"/>
                <w:spacing w:val="-7"/>
                <w:sz w:val="16"/>
                <w:szCs w:val="16"/>
              </w:rPr>
              <w:t> </w:t>
            </w:r>
            <w:r>
              <w:rPr>
                <w:rFonts w:ascii="宋体" w:hAnsi="宋体" w:cs="宋体" w:eastAsia="宋体" w:hint="default"/>
                <w:sz w:val="16"/>
                <w:szCs w:val="16"/>
              </w:rPr>
              <w:t>年</w:t>
            </w:r>
          </w:p>
          <w:p>
            <w:pPr>
              <w:pStyle w:val="TableParagraph"/>
              <w:spacing w:line="214" w:lineRule="exact"/>
              <w:ind w:left="480" w:right="0"/>
              <w:jc w:val="left"/>
              <w:rPr>
                <w:rFonts w:ascii="宋体" w:hAnsi="宋体" w:cs="宋体" w:eastAsia="宋体" w:hint="default"/>
                <w:sz w:val="16"/>
                <w:szCs w:val="16"/>
              </w:rPr>
            </w:pPr>
            <w:r>
              <w:rPr>
                <w:rFonts w:ascii="Arial" w:hAnsi="Arial" w:cs="Arial" w:eastAsia="Arial" w:hint="default"/>
                <w:sz w:val="16"/>
                <w:szCs w:val="16"/>
              </w:rPr>
              <w:t>12</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r>
          </w:p>
        </w:tc>
        <w:tc>
          <w:tcPr>
            <w:tcW w:w="1297"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0"/>
              <w:jc w:val="left"/>
              <w:rPr>
                <w:rFonts w:ascii="黑体" w:hAnsi="黑体" w:cs="黑体" w:eastAsia="黑体" w:hint="default"/>
                <w:sz w:val="19"/>
                <w:szCs w:val="19"/>
              </w:rPr>
            </w:pPr>
          </w:p>
          <w:p>
            <w:pPr>
              <w:pStyle w:val="TableParagraph"/>
              <w:spacing w:line="240" w:lineRule="auto"/>
              <w:ind w:right="183"/>
              <w:jc w:val="right"/>
              <w:rPr>
                <w:rFonts w:ascii="宋体" w:hAnsi="宋体" w:cs="宋体" w:eastAsia="宋体" w:hint="default"/>
                <w:sz w:val="16"/>
                <w:szCs w:val="16"/>
              </w:rPr>
            </w:pPr>
            <w:r>
              <w:rPr>
                <w:rFonts w:ascii="宋体" w:hAnsi="宋体" w:cs="宋体" w:eastAsia="宋体" w:hint="default"/>
                <w:w w:val="95"/>
                <w:sz w:val="16"/>
                <w:szCs w:val="16"/>
              </w:rPr>
              <w:t>本年增加</w:t>
            </w:r>
            <w:r>
              <w:rPr>
                <w:rFonts w:ascii="宋体" w:hAnsi="宋体" w:cs="宋体" w:eastAsia="宋体" w:hint="default"/>
                <w:sz w:val="16"/>
                <w:szCs w:val="16"/>
              </w:rPr>
            </w:r>
          </w:p>
        </w:tc>
        <w:tc>
          <w:tcPr>
            <w:tcW w:w="1424"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0"/>
              <w:jc w:val="left"/>
              <w:rPr>
                <w:rFonts w:ascii="黑体" w:hAnsi="黑体" w:cs="黑体" w:eastAsia="黑体" w:hint="default"/>
                <w:sz w:val="19"/>
                <w:szCs w:val="19"/>
              </w:rPr>
            </w:pPr>
          </w:p>
          <w:p>
            <w:pPr>
              <w:pStyle w:val="TableParagraph"/>
              <w:spacing w:line="240" w:lineRule="auto"/>
              <w:ind w:right="131"/>
              <w:jc w:val="right"/>
              <w:rPr>
                <w:rFonts w:ascii="宋体" w:hAnsi="宋体" w:cs="宋体" w:eastAsia="宋体" w:hint="default"/>
                <w:sz w:val="16"/>
                <w:szCs w:val="16"/>
              </w:rPr>
            </w:pPr>
            <w:r>
              <w:rPr>
                <w:rFonts w:ascii="宋体" w:hAnsi="宋体" w:cs="宋体" w:eastAsia="宋体" w:hint="default"/>
                <w:w w:val="95"/>
                <w:sz w:val="16"/>
                <w:szCs w:val="16"/>
              </w:rPr>
              <w:t>本年减少</w:t>
            </w:r>
            <w:r>
              <w:rPr>
                <w:rFonts w:ascii="宋体" w:hAnsi="宋体" w:cs="宋体" w:eastAsia="宋体" w:hint="default"/>
                <w:sz w:val="16"/>
                <w:szCs w:val="16"/>
              </w:rPr>
            </w:r>
          </w:p>
        </w:tc>
        <w:tc>
          <w:tcPr>
            <w:tcW w:w="1279" w:type="dxa"/>
            <w:tcBorders>
              <w:top w:val="nil" w:sz="6" w:space="0" w:color="auto"/>
              <w:left w:val="nil" w:sz="6" w:space="0" w:color="auto"/>
              <w:bottom w:val="single" w:sz="6" w:space="0" w:color="000000"/>
              <w:right w:val="nil" w:sz="6" w:space="0" w:color="auto"/>
            </w:tcBorders>
          </w:tcPr>
          <w:p>
            <w:pPr>
              <w:pStyle w:val="TableParagraph"/>
              <w:spacing w:line="214" w:lineRule="exact" w:before="50"/>
              <w:ind w:left="657" w:right="0"/>
              <w:jc w:val="left"/>
              <w:rPr>
                <w:rFonts w:ascii="宋体" w:hAnsi="宋体" w:cs="宋体" w:eastAsia="宋体" w:hint="default"/>
                <w:sz w:val="16"/>
                <w:szCs w:val="16"/>
              </w:rPr>
            </w:pPr>
            <w:r>
              <w:rPr>
                <w:rFonts w:ascii="Arial" w:hAnsi="Arial" w:cs="Arial" w:eastAsia="Arial" w:hint="default"/>
                <w:sz w:val="16"/>
                <w:szCs w:val="16"/>
              </w:rPr>
              <w:t>2009</w:t>
            </w:r>
            <w:r>
              <w:rPr>
                <w:rFonts w:ascii="Arial" w:hAnsi="Arial" w:cs="Arial" w:eastAsia="Arial" w:hint="default"/>
                <w:spacing w:val="-7"/>
                <w:sz w:val="16"/>
                <w:szCs w:val="16"/>
              </w:rPr>
              <w:t> </w:t>
            </w:r>
            <w:r>
              <w:rPr>
                <w:rFonts w:ascii="宋体" w:hAnsi="宋体" w:cs="宋体" w:eastAsia="宋体" w:hint="default"/>
                <w:sz w:val="16"/>
                <w:szCs w:val="16"/>
              </w:rPr>
              <w:t>年</w:t>
            </w:r>
          </w:p>
          <w:p>
            <w:pPr>
              <w:pStyle w:val="TableParagraph"/>
              <w:spacing w:line="214" w:lineRule="exact"/>
              <w:ind w:left="417" w:right="0"/>
              <w:jc w:val="left"/>
              <w:rPr>
                <w:rFonts w:ascii="宋体" w:hAnsi="宋体" w:cs="宋体" w:eastAsia="宋体" w:hint="default"/>
                <w:sz w:val="16"/>
                <w:szCs w:val="16"/>
              </w:rPr>
            </w:pPr>
            <w:r>
              <w:rPr>
                <w:rFonts w:ascii="Arial" w:hAnsi="Arial" w:cs="Arial" w:eastAsia="Arial" w:hint="default"/>
                <w:sz w:val="16"/>
                <w:szCs w:val="16"/>
              </w:rPr>
              <w:t>12</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r>
          </w:p>
        </w:tc>
      </w:tr>
      <w:tr>
        <w:trPr>
          <w:trHeight w:val="224" w:hRule="exact"/>
        </w:trPr>
        <w:tc>
          <w:tcPr>
            <w:tcW w:w="3891" w:type="dxa"/>
            <w:tcBorders>
              <w:top w:val="single" w:sz="6" w:space="0" w:color="000000"/>
              <w:left w:val="nil" w:sz="6" w:space="0" w:color="auto"/>
              <w:bottom w:val="nil" w:sz="6" w:space="0" w:color="auto"/>
              <w:right w:val="nil" w:sz="6" w:space="0" w:color="auto"/>
            </w:tcBorders>
          </w:tcPr>
          <w:p>
            <w:pPr/>
          </w:p>
        </w:tc>
        <w:tc>
          <w:tcPr>
            <w:tcW w:w="1430" w:type="dxa"/>
            <w:tcBorders>
              <w:top w:val="single" w:sz="6" w:space="0" w:color="000000"/>
              <w:left w:val="nil" w:sz="6" w:space="0" w:color="auto"/>
              <w:bottom w:val="nil" w:sz="6" w:space="0" w:color="auto"/>
              <w:right w:val="nil" w:sz="6" w:space="0" w:color="auto"/>
            </w:tcBorders>
          </w:tcPr>
          <w:p>
            <w:pPr>
              <w:pStyle w:val="TableParagraph"/>
              <w:spacing w:line="183" w:lineRule="exact"/>
              <w:ind w:right="153"/>
              <w:jc w:val="right"/>
              <w:rPr>
                <w:rFonts w:ascii="宋体" w:hAnsi="宋体" w:cs="宋体" w:eastAsia="宋体" w:hint="default"/>
                <w:sz w:val="16"/>
                <w:szCs w:val="16"/>
              </w:rPr>
            </w:pPr>
            <w:r>
              <w:rPr>
                <w:rFonts w:ascii="宋体" w:hAnsi="宋体" w:cs="宋体" w:eastAsia="宋体" w:hint="default"/>
                <w:w w:val="95"/>
                <w:sz w:val="16"/>
                <w:szCs w:val="16"/>
              </w:rPr>
              <w:t>（经重列）</w:t>
            </w:r>
            <w:r>
              <w:rPr>
                <w:rFonts w:ascii="宋体" w:hAnsi="宋体" w:cs="宋体" w:eastAsia="宋体" w:hint="default"/>
                <w:sz w:val="16"/>
                <w:szCs w:val="16"/>
              </w:rPr>
            </w:r>
          </w:p>
        </w:tc>
        <w:tc>
          <w:tcPr>
            <w:tcW w:w="1297" w:type="dxa"/>
            <w:tcBorders>
              <w:top w:val="single" w:sz="6" w:space="0" w:color="000000"/>
              <w:left w:val="nil" w:sz="6" w:space="0" w:color="auto"/>
              <w:bottom w:val="nil" w:sz="6" w:space="0" w:color="auto"/>
              <w:right w:val="nil" w:sz="6" w:space="0" w:color="auto"/>
            </w:tcBorders>
          </w:tcPr>
          <w:p>
            <w:pPr/>
          </w:p>
        </w:tc>
        <w:tc>
          <w:tcPr>
            <w:tcW w:w="1424" w:type="dxa"/>
            <w:tcBorders>
              <w:top w:val="single" w:sz="6" w:space="0" w:color="000000"/>
              <w:left w:val="nil" w:sz="6" w:space="0" w:color="auto"/>
              <w:bottom w:val="nil" w:sz="6" w:space="0" w:color="auto"/>
              <w:right w:val="nil" w:sz="6" w:space="0" w:color="auto"/>
            </w:tcBorders>
          </w:tcPr>
          <w:p>
            <w:pPr/>
          </w:p>
        </w:tc>
        <w:tc>
          <w:tcPr>
            <w:tcW w:w="1279" w:type="dxa"/>
            <w:tcBorders>
              <w:top w:val="single" w:sz="6" w:space="0" w:color="000000"/>
              <w:left w:val="nil" w:sz="6" w:space="0" w:color="auto"/>
              <w:bottom w:val="nil" w:sz="6" w:space="0" w:color="auto"/>
              <w:right w:val="nil" w:sz="6" w:space="0" w:color="auto"/>
            </w:tcBorders>
          </w:tcPr>
          <w:p>
            <w:pPr/>
          </w:p>
        </w:tc>
      </w:tr>
      <w:tr>
        <w:trPr>
          <w:trHeight w:val="217" w:hRule="exact"/>
        </w:trPr>
        <w:tc>
          <w:tcPr>
            <w:tcW w:w="3891" w:type="dxa"/>
            <w:tcBorders>
              <w:top w:val="nil" w:sz="6" w:space="0" w:color="auto"/>
              <w:left w:val="nil" w:sz="6" w:space="0" w:color="auto"/>
              <w:bottom w:val="nil" w:sz="6" w:space="0" w:color="auto"/>
              <w:right w:val="nil" w:sz="6" w:space="0" w:color="auto"/>
            </w:tcBorders>
          </w:tcPr>
          <w:p>
            <w:pPr>
              <w:pStyle w:val="TableParagraph"/>
              <w:tabs>
                <w:tab w:pos="3550" w:val="left" w:leader="none"/>
              </w:tabs>
              <w:spacing w:line="197" w:lineRule="exact"/>
              <w:ind w:left="35" w:right="0"/>
              <w:jc w:val="left"/>
              <w:rPr>
                <w:rFonts w:ascii="Arial" w:hAnsi="Arial" w:cs="Arial" w:eastAsia="Arial" w:hint="default"/>
                <w:sz w:val="16"/>
                <w:szCs w:val="16"/>
              </w:rPr>
            </w:pPr>
            <w:r>
              <w:rPr>
                <w:rFonts w:ascii="宋体" w:hAnsi="宋体" w:cs="宋体" w:eastAsia="宋体" w:hint="default"/>
                <w:w w:val="95"/>
                <w:position w:val="1"/>
                <w:sz w:val="16"/>
                <w:szCs w:val="16"/>
              </w:rPr>
              <w:t>发起人出资溢价</w:t>
              <w:tab/>
            </w:r>
            <w:r>
              <w:rPr>
                <w:rFonts w:ascii="Arial" w:hAnsi="Arial" w:cs="Arial" w:eastAsia="Arial" w:hint="default"/>
                <w:sz w:val="16"/>
                <w:szCs w:val="16"/>
              </w:rPr>
              <w:t>a</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1"/>
              <w:jc w:val="right"/>
              <w:rPr>
                <w:rFonts w:ascii="Arial" w:hAnsi="Arial" w:cs="Arial" w:eastAsia="Arial" w:hint="default"/>
                <w:sz w:val="16"/>
                <w:szCs w:val="16"/>
              </w:rPr>
            </w:pPr>
            <w:r>
              <w:rPr>
                <w:rFonts w:ascii="Arial"/>
                <w:w w:val="95"/>
                <w:sz w:val="16"/>
              </w:rPr>
              <w:t>7,913,551,905</w:t>
            </w:r>
            <w:r>
              <w:rPr>
                <w:rFonts w:ascii="Arial"/>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56"/>
              <w:jc w:val="right"/>
              <w:rPr>
                <w:rFonts w:ascii="Arial" w:hAnsi="Arial" w:cs="Arial" w:eastAsia="Arial" w:hint="default"/>
                <w:sz w:val="16"/>
                <w:szCs w:val="16"/>
              </w:rPr>
            </w:pPr>
            <w:r>
              <w:rPr>
                <w:rFonts w:ascii="Arial"/>
                <w:w w:val="99"/>
                <w:sz w:val="16"/>
              </w:rPr>
              <w:t>-</w:t>
            </w:r>
            <w:r>
              <w:rPr>
                <w:rFonts w:ascii="Arial"/>
                <w:sz w:val="16"/>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87"/>
              <w:jc w:val="right"/>
              <w:rPr>
                <w:rFonts w:ascii="Arial" w:hAnsi="Arial" w:cs="Arial" w:eastAsia="Arial" w:hint="default"/>
                <w:sz w:val="16"/>
                <w:szCs w:val="16"/>
              </w:rPr>
            </w:pPr>
            <w:r>
              <w:rPr>
                <w:rFonts w:ascii="Arial"/>
                <w:w w:val="99"/>
                <w:sz w:val="16"/>
              </w:rPr>
              <w:t>-</w:t>
            </w:r>
            <w:r>
              <w:rPr>
                <w:rFonts w:ascii="Arial"/>
                <w:sz w:val="16"/>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0"/>
              <w:jc w:val="right"/>
              <w:rPr>
                <w:rFonts w:ascii="Arial" w:hAnsi="Arial" w:cs="Arial" w:eastAsia="Arial" w:hint="default"/>
                <w:sz w:val="16"/>
                <w:szCs w:val="16"/>
              </w:rPr>
            </w:pPr>
            <w:r>
              <w:rPr>
                <w:rFonts w:ascii="Arial"/>
                <w:w w:val="95"/>
                <w:sz w:val="16"/>
              </w:rPr>
              <w:t>7,913,551,905</w:t>
            </w:r>
            <w:r>
              <w:rPr>
                <w:rFonts w:ascii="Arial"/>
                <w:sz w:val="16"/>
              </w:rPr>
            </w:r>
          </w:p>
        </w:tc>
      </w:tr>
      <w:tr>
        <w:trPr>
          <w:trHeight w:val="311" w:hRule="exact"/>
        </w:trPr>
        <w:tc>
          <w:tcPr>
            <w:tcW w:w="3891" w:type="dxa"/>
            <w:tcBorders>
              <w:top w:val="nil" w:sz="6" w:space="0" w:color="auto"/>
              <w:left w:val="nil" w:sz="6" w:space="0" w:color="auto"/>
              <w:bottom w:val="nil" w:sz="6" w:space="0" w:color="auto"/>
              <w:right w:val="nil" w:sz="6" w:space="0" w:color="auto"/>
            </w:tcBorders>
          </w:tcPr>
          <w:p>
            <w:pPr>
              <w:pStyle w:val="TableParagraph"/>
              <w:tabs>
                <w:tab w:pos="3550" w:val="left" w:leader="none"/>
              </w:tabs>
              <w:spacing w:line="175" w:lineRule="exact"/>
              <w:ind w:left="35" w:right="0"/>
              <w:jc w:val="left"/>
              <w:rPr>
                <w:rFonts w:ascii="Arial" w:hAnsi="Arial" w:cs="Arial" w:eastAsia="Arial" w:hint="default"/>
                <w:sz w:val="16"/>
                <w:szCs w:val="16"/>
              </w:rPr>
            </w:pPr>
            <w:r>
              <w:rPr>
                <w:rFonts w:ascii="宋体" w:hAnsi="宋体" w:cs="宋体" w:eastAsia="宋体" w:hint="default"/>
                <w:w w:val="95"/>
                <w:position w:val="1"/>
                <w:sz w:val="16"/>
                <w:szCs w:val="16"/>
              </w:rPr>
              <w:t>人民币普通股发行溢价</w:t>
              <w:tab/>
            </w:r>
            <w:r>
              <w:rPr>
                <w:rFonts w:ascii="Arial" w:hAnsi="Arial" w:cs="Arial" w:eastAsia="Arial" w:hint="default"/>
                <w:sz w:val="16"/>
                <w:szCs w:val="16"/>
              </w:rPr>
              <w:t>a</w:t>
            </w:r>
          </w:p>
          <w:p>
            <w:pPr>
              <w:pStyle w:val="TableParagraph"/>
              <w:spacing w:line="177" w:lineRule="exact"/>
              <w:ind w:left="35" w:right="0"/>
              <w:jc w:val="left"/>
              <w:rPr>
                <w:rFonts w:ascii="宋体" w:hAnsi="宋体" w:cs="宋体" w:eastAsia="宋体" w:hint="default"/>
                <w:sz w:val="16"/>
                <w:szCs w:val="16"/>
              </w:rPr>
            </w:pPr>
            <w:r>
              <w:rPr>
                <w:rFonts w:ascii="宋体" w:hAnsi="宋体" w:cs="宋体" w:eastAsia="宋体" w:hint="default"/>
                <w:spacing w:val="2"/>
                <w:sz w:val="16"/>
                <w:szCs w:val="16"/>
              </w:rPr>
              <w:t>联通运营公司同一控制下收购目标业务的影响</w:t>
            </w:r>
            <w:r>
              <w:rPr>
                <w:rFonts w:ascii="宋体" w:hAnsi="宋体" w:cs="宋体" w:eastAsia="宋体" w:hint="default"/>
                <w:sz w:val="16"/>
                <w:szCs w:val="16"/>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1"/>
              <w:jc w:val="right"/>
              <w:rPr>
                <w:rFonts w:ascii="Arial" w:hAnsi="Arial" w:cs="Arial" w:eastAsia="Arial" w:hint="default"/>
                <w:sz w:val="16"/>
                <w:szCs w:val="16"/>
              </w:rPr>
            </w:pPr>
            <w:r>
              <w:rPr>
                <w:rFonts w:ascii="Arial"/>
                <w:w w:val="95"/>
                <w:sz w:val="16"/>
              </w:rPr>
              <w:t>9,197,551,203</w:t>
            </w:r>
            <w:r>
              <w:rPr>
                <w:rFonts w:ascii="Arial"/>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56"/>
              <w:jc w:val="right"/>
              <w:rPr>
                <w:rFonts w:ascii="Arial" w:hAnsi="Arial" w:cs="Arial" w:eastAsia="Arial" w:hint="default"/>
                <w:sz w:val="16"/>
                <w:szCs w:val="16"/>
              </w:rPr>
            </w:pPr>
            <w:r>
              <w:rPr>
                <w:rFonts w:ascii="Arial"/>
                <w:w w:val="99"/>
                <w:sz w:val="16"/>
              </w:rPr>
              <w:t>-</w:t>
            </w:r>
            <w:r>
              <w:rPr>
                <w:rFonts w:ascii="Arial"/>
                <w:sz w:val="16"/>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87"/>
              <w:jc w:val="right"/>
              <w:rPr>
                <w:rFonts w:ascii="Arial" w:hAnsi="Arial" w:cs="Arial" w:eastAsia="Arial" w:hint="default"/>
                <w:sz w:val="16"/>
                <w:szCs w:val="16"/>
              </w:rPr>
            </w:pPr>
            <w:r>
              <w:rPr>
                <w:rFonts w:ascii="Arial"/>
                <w:w w:val="99"/>
                <w:sz w:val="16"/>
              </w:rPr>
              <w:t>-</w:t>
            </w:r>
            <w:r>
              <w:rPr>
                <w:rFonts w:ascii="Arial"/>
                <w:sz w:val="16"/>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0"/>
              <w:jc w:val="right"/>
              <w:rPr>
                <w:rFonts w:ascii="Arial" w:hAnsi="Arial" w:cs="Arial" w:eastAsia="Arial" w:hint="default"/>
                <w:sz w:val="16"/>
                <w:szCs w:val="16"/>
              </w:rPr>
            </w:pPr>
            <w:r>
              <w:rPr>
                <w:rFonts w:ascii="Arial"/>
                <w:w w:val="95"/>
                <w:sz w:val="16"/>
              </w:rPr>
              <w:t>9,197,551,203</w:t>
            </w:r>
            <w:r>
              <w:rPr>
                <w:rFonts w:ascii="Arial"/>
                <w:sz w:val="16"/>
              </w:rPr>
            </w:r>
          </w:p>
        </w:tc>
      </w:tr>
      <w:tr>
        <w:trPr>
          <w:trHeight w:val="415" w:hRule="exact"/>
        </w:trPr>
        <w:tc>
          <w:tcPr>
            <w:tcW w:w="3891" w:type="dxa"/>
            <w:tcBorders>
              <w:top w:val="nil" w:sz="6" w:space="0" w:color="auto"/>
              <w:left w:val="nil" w:sz="6" w:space="0" w:color="auto"/>
              <w:bottom w:val="nil" w:sz="6" w:space="0" w:color="auto"/>
              <w:right w:val="nil" w:sz="6" w:space="0" w:color="auto"/>
            </w:tcBorders>
          </w:tcPr>
          <w:p>
            <w:pPr>
              <w:pStyle w:val="TableParagraph"/>
              <w:tabs>
                <w:tab w:pos="3550" w:val="left" w:leader="none"/>
              </w:tabs>
              <w:spacing w:line="218" w:lineRule="exact" w:before="60"/>
              <w:ind w:left="236" w:right="0"/>
              <w:jc w:val="left"/>
              <w:rPr>
                <w:rFonts w:ascii="Arial" w:hAnsi="Arial" w:cs="Arial" w:eastAsia="Arial" w:hint="default"/>
                <w:sz w:val="16"/>
                <w:szCs w:val="16"/>
              </w:rPr>
            </w:pPr>
            <w:r>
              <w:rPr>
                <w:rFonts w:ascii="宋体" w:hAnsi="宋体" w:cs="宋体" w:eastAsia="宋体" w:hint="default"/>
                <w:w w:val="95"/>
                <w:position w:val="1"/>
                <w:sz w:val="16"/>
                <w:szCs w:val="16"/>
              </w:rPr>
              <w:t>（除可供出售金融资产公允价值变动影响）</w:t>
              <w:tab/>
            </w:r>
            <w:r>
              <w:rPr>
                <w:rFonts w:ascii="Arial" w:hAnsi="Arial" w:cs="Arial" w:eastAsia="Arial" w:hint="default"/>
                <w:sz w:val="16"/>
                <w:szCs w:val="16"/>
              </w:rPr>
              <w:t>b</w:t>
            </w:r>
          </w:p>
          <w:p>
            <w:pPr>
              <w:pStyle w:val="TableParagraph"/>
              <w:spacing w:line="177" w:lineRule="exact"/>
              <w:ind w:left="35" w:right="0"/>
              <w:jc w:val="left"/>
              <w:rPr>
                <w:rFonts w:ascii="宋体" w:hAnsi="宋体" w:cs="宋体" w:eastAsia="宋体" w:hint="default"/>
                <w:sz w:val="16"/>
                <w:szCs w:val="16"/>
              </w:rPr>
            </w:pPr>
            <w:r>
              <w:rPr>
                <w:rFonts w:ascii="宋体" w:hAnsi="宋体" w:cs="宋体" w:eastAsia="宋体" w:hint="default"/>
                <w:spacing w:val="2"/>
                <w:sz w:val="16"/>
                <w:szCs w:val="16"/>
              </w:rPr>
              <w:t>确认子公司持有可供出售金融资产公允价值变</w:t>
            </w:r>
            <w:r>
              <w:rPr>
                <w:rFonts w:ascii="宋体" w:hAnsi="宋体" w:cs="宋体" w:eastAsia="宋体" w:hint="default"/>
                <w:sz w:val="16"/>
                <w:szCs w:val="16"/>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0"/>
              <w:jc w:val="right"/>
              <w:rPr>
                <w:rFonts w:ascii="Arial" w:hAnsi="Arial" w:cs="Arial" w:eastAsia="Arial" w:hint="default"/>
                <w:sz w:val="16"/>
                <w:szCs w:val="16"/>
              </w:rPr>
            </w:pPr>
            <w:r>
              <w:rPr>
                <w:rFonts w:ascii="Arial"/>
                <w:w w:val="95"/>
                <w:sz w:val="16"/>
              </w:rPr>
              <w:t>1,862,579,513</w:t>
            </w:r>
            <w:r>
              <w:rPr>
                <w:rFonts w:ascii="Arial"/>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56"/>
              <w:jc w:val="right"/>
              <w:rPr>
                <w:rFonts w:ascii="Arial" w:hAnsi="Arial" w:cs="Arial" w:eastAsia="Arial" w:hint="default"/>
                <w:sz w:val="16"/>
                <w:szCs w:val="16"/>
              </w:rPr>
            </w:pPr>
            <w:r>
              <w:rPr>
                <w:rFonts w:ascii="Arial"/>
                <w:w w:val="99"/>
                <w:sz w:val="16"/>
              </w:rPr>
              <w:t>-</w:t>
            </w:r>
            <w:r>
              <w:rPr>
                <w:rFonts w:ascii="Arial"/>
                <w:sz w:val="16"/>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34"/>
              <w:jc w:val="right"/>
              <w:rPr>
                <w:rFonts w:ascii="Arial" w:hAnsi="Arial" w:cs="Arial" w:eastAsia="Arial" w:hint="default"/>
                <w:sz w:val="16"/>
                <w:szCs w:val="16"/>
              </w:rPr>
            </w:pPr>
            <w:r>
              <w:rPr>
                <w:rFonts w:ascii="Arial"/>
                <w:w w:val="95"/>
                <w:sz w:val="16"/>
              </w:rPr>
              <w:t>(1,308,394,781)</w:t>
            </w:r>
            <w:r>
              <w:rPr>
                <w:rFonts w:ascii="Arial"/>
                <w:sz w:val="16"/>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0"/>
              <w:jc w:val="right"/>
              <w:rPr>
                <w:rFonts w:ascii="Arial" w:hAnsi="Arial" w:cs="Arial" w:eastAsia="Arial" w:hint="default"/>
                <w:sz w:val="16"/>
                <w:szCs w:val="16"/>
              </w:rPr>
            </w:pPr>
            <w:r>
              <w:rPr>
                <w:rFonts w:ascii="Arial"/>
                <w:w w:val="95"/>
                <w:sz w:val="16"/>
              </w:rPr>
              <w:t>554,184,732</w:t>
            </w:r>
            <w:r>
              <w:rPr>
                <w:rFonts w:ascii="Arial"/>
                <w:sz w:val="16"/>
              </w:rPr>
            </w:r>
          </w:p>
        </w:tc>
      </w:tr>
      <w:tr>
        <w:trPr>
          <w:trHeight w:val="311" w:hRule="exact"/>
        </w:trPr>
        <w:tc>
          <w:tcPr>
            <w:tcW w:w="3891" w:type="dxa"/>
            <w:tcBorders>
              <w:top w:val="nil" w:sz="6" w:space="0" w:color="auto"/>
              <w:left w:val="nil" w:sz="6" w:space="0" w:color="auto"/>
              <w:bottom w:val="nil" w:sz="6" w:space="0" w:color="auto"/>
              <w:right w:val="nil" w:sz="6" w:space="0" w:color="auto"/>
            </w:tcBorders>
          </w:tcPr>
          <w:p>
            <w:pPr>
              <w:pStyle w:val="TableParagraph"/>
              <w:tabs>
                <w:tab w:pos="3554" w:val="left" w:leader="none"/>
              </w:tabs>
              <w:spacing w:line="240" w:lineRule="auto" w:before="60"/>
              <w:ind w:left="236" w:right="0"/>
              <w:jc w:val="left"/>
              <w:rPr>
                <w:rFonts w:ascii="Arial" w:hAnsi="Arial" w:cs="Arial" w:eastAsia="Arial" w:hint="default"/>
                <w:sz w:val="16"/>
                <w:szCs w:val="16"/>
              </w:rPr>
            </w:pPr>
            <w:r>
              <w:rPr>
                <w:rFonts w:ascii="宋体" w:hAnsi="宋体" w:cs="宋体" w:eastAsia="宋体" w:hint="default"/>
                <w:w w:val="95"/>
                <w:position w:val="1"/>
                <w:sz w:val="16"/>
                <w:szCs w:val="16"/>
              </w:rPr>
              <w:t>动的影响</w:t>
              <w:tab/>
            </w:r>
            <w:r>
              <w:rPr>
                <w:rFonts w:ascii="Arial" w:hAnsi="Arial" w:cs="Arial" w:eastAsia="Arial" w:hint="default"/>
                <w:sz w:val="16"/>
                <w:szCs w:val="16"/>
              </w:rPr>
              <w:t>c</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1"/>
              <w:jc w:val="right"/>
              <w:rPr>
                <w:rFonts w:ascii="Arial" w:hAnsi="Arial" w:cs="Arial" w:eastAsia="Arial" w:hint="default"/>
                <w:sz w:val="16"/>
                <w:szCs w:val="16"/>
              </w:rPr>
            </w:pPr>
            <w:r>
              <w:rPr>
                <w:rFonts w:ascii="Arial"/>
                <w:w w:val="95"/>
                <w:sz w:val="16"/>
              </w:rPr>
              <w:t>14,733,982</w:t>
            </w:r>
            <w:r>
              <w:rPr>
                <w:rFonts w:ascii="Arial"/>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57"/>
              <w:jc w:val="right"/>
              <w:rPr>
                <w:rFonts w:ascii="Arial" w:hAnsi="Arial" w:cs="Arial" w:eastAsia="Arial" w:hint="default"/>
                <w:sz w:val="16"/>
                <w:szCs w:val="16"/>
              </w:rPr>
            </w:pPr>
            <w:r>
              <w:rPr>
                <w:rFonts w:ascii="Arial"/>
                <w:w w:val="95"/>
                <w:sz w:val="16"/>
              </w:rPr>
              <w:t>28,428,529</w:t>
            </w:r>
            <w:r>
              <w:rPr>
                <w:rFonts w:ascii="Arial"/>
                <w:sz w:val="16"/>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35"/>
              <w:jc w:val="right"/>
              <w:rPr>
                <w:rFonts w:ascii="Arial" w:hAnsi="Arial" w:cs="Arial" w:eastAsia="Arial" w:hint="default"/>
                <w:sz w:val="16"/>
                <w:szCs w:val="16"/>
              </w:rPr>
            </w:pPr>
            <w:r>
              <w:rPr>
                <w:rFonts w:ascii="Arial"/>
                <w:w w:val="95"/>
                <w:sz w:val="16"/>
              </w:rPr>
              <w:t>(41,249,177)</w:t>
            </w:r>
            <w:r>
              <w:rPr>
                <w:rFonts w:ascii="Arial"/>
                <w:sz w:val="16"/>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0"/>
              <w:jc w:val="right"/>
              <w:rPr>
                <w:rFonts w:ascii="Arial" w:hAnsi="Arial" w:cs="Arial" w:eastAsia="Arial" w:hint="default"/>
                <w:sz w:val="16"/>
                <w:szCs w:val="16"/>
              </w:rPr>
            </w:pPr>
            <w:r>
              <w:rPr>
                <w:rFonts w:ascii="Arial"/>
                <w:w w:val="95"/>
                <w:sz w:val="16"/>
              </w:rPr>
              <w:t>1,913,334</w:t>
            </w:r>
            <w:r>
              <w:rPr>
                <w:rFonts w:ascii="Arial"/>
                <w:sz w:val="16"/>
              </w:rPr>
            </w:r>
          </w:p>
        </w:tc>
      </w:tr>
      <w:tr>
        <w:trPr>
          <w:trHeight w:val="208" w:hRule="exact"/>
        </w:trPr>
        <w:tc>
          <w:tcPr>
            <w:tcW w:w="3891" w:type="dxa"/>
            <w:tcBorders>
              <w:top w:val="nil" w:sz="6" w:space="0" w:color="auto"/>
              <w:left w:val="nil" w:sz="6" w:space="0" w:color="auto"/>
              <w:bottom w:val="nil" w:sz="6" w:space="0" w:color="auto"/>
              <w:right w:val="nil" w:sz="6" w:space="0" w:color="auto"/>
            </w:tcBorders>
          </w:tcPr>
          <w:p>
            <w:pPr>
              <w:pStyle w:val="TableParagraph"/>
              <w:tabs>
                <w:tab w:pos="3550" w:val="left" w:leader="none"/>
              </w:tabs>
              <w:spacing w:line="187" w:lineRule="exact"/>
              <w:ind w:left="34" w:right="0"/>
              <w:jc w:val="left"/>
              <w:rPr>
                <w:rFonts w:ascii="Arial" w:hAnsi="Arial" w:cs="Arial" w:eastAsia="Arial" w:hint="default"/>
                <w:sz w:val="16"/>
                <w:szCs w:val="16"/>
              </w:rPr>
            </w:pPr>
            <w:r>
              <w:rPr>
                <w:rFonts w:ascii="宋体" w:hAnsi="宋体" w:cs="宋体" w:eastAsia="宋体" w:hint="default"/>
                <w:w w:val="95"/>
                <w:position w:val="1"/>
                <w:sz w:val="16"/>
                <w:szCs w:val="16"/>
              </w:rPr>
              <w:t>子公司企业改制评估增值的影响</w:t>
              <w:tab/>
            </w:r>
            <w:r>
              <w:rPr>
                <w:rFonts w:ascii="Arial" w:hAnsi="Arial" w:cs="Arial" w:eastAsia="Arial" w:hint="default"/>
                <w:sz w:val="16"/>
                <w:szCs w:val="16"/>
              </w:rPr>
              <w:t>d</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1"/>
              <w:jc w:val="right"/>
              <w:rPr>
                <w:rFonts w:ascii="Arial" w:hAnsi="Arial" w:cs="Arial" w:eastAsia="Arial" w:hint="default"/>
                <w:sz w:val="16"/>
                <w:szCs w:val="16"/>
              </w:rPr>
            </w:pPr>
            <w:r>
              <w:rPr>
                <w:rFonts w:ascii="Arial"/>
                <w:w w:val="95"/>
                <w:sz w:val="16"/>
              </w:rPr>
              <w:t>29,996,252</w:t>
            </w:r>
            <w:r>
              <w:rPr>
                <w:rFonts w:ascii="Arial"/>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56"/>
              <w:jc w:val="right"/>
              <w:rPr>
                <w:rFonts w:ascii="Arial" w:hAnsi="Arial" w:cs="Arial" w:eastAsia="Arial" w:hint="default"/>
                <w:sz w:val="16"/>
                <w:szCs w:val="16"/>
              </w:rPr>
            </w:pPr>
            <w:r>
              <w:rPr>
                <w:rFonts w:ascii="Arial"/>
                <w:w w:val="99"/>
                <w:sz w:val="16"/>
              </w:rPr>
              <w:t>-</w:t>
            </w:r>
            <w:r>
              <w:rPr>
                <w:rFonts w:ascii="Arial"/>
                <w:sz w:val="16"/>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87"/>
              <w:jc w:val="right"/>
              <w:rPr>
                <w:rFonts w:ascii="Arial" w:hAnsi="Arial" w:cs="Arial" w:eastAsia="Arial" w:hint="default"/>
                <w:sz w:val="16"/>
                <w:szCs w:val="16"/>
              </w:rPr>
            </w:pPr>
            <w:r>
              <w:rPr>
                <w:rFonts w:ascii="Arial"/>
                <w:w w:val="99"/>
                <w:sz w:val="16"/>
              </w:rPr>
              <w:t>-</w:t>
            </w:r>
            <w:r>
              <w:rPr>
                <w:rFonts w:ascii="Arial"/>
                <w:sz w:val="16"/>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0"/>
              <w:jc w:val="right"/>
              <w:rPr>
                <w:rFonts w:ascii="Arial" w:hAnsi="Arial" w:cs="Arial" w:eastAsia="Arial" w:hint="default"/>
                <w:sz w:val="16"/>
                <w:szCs w:val="16"/>
              </w:rPr>
            </w:pPr>
            <w:r>
              <w:rPr>
                <w:rFonts w:ascii="Arial"/>
                <w:w w:val="95"/>
                <w:sz w:val="16"/>
              </w:rPr>
              <w:t>29,996,252</w:t>
            </w:r>
            <w:r>
              <w:rPr>
                <w:rFonts w:ascii="Arial"/>
                <w:sz w:val="16"/>
              </w:rPr>
            </w:r>
          </w:p>
        </w:tc>
      </w:tr>
      <w:tr>
        <w:trPr>
          <w:trHeight w:val="248" w:hRule="exact"/>
        </w:trPr>
        <w:tc>
          <w:tcPr>
            <w:tcW w:w="3891" w:type="dxa"/>
            <w:tcBorders>
              <w:top w:val="nil" w:sz="6" w:space="0" w:color="auto"/>
              <w:left w:val="nil" w:sz="6" w:space="0" w:color="auto"/>
              <w:bottom w:val="nil" w:sz="6" w:space="0" w:color="auto"/>
              <w:right w:val="nil" w:sz="6" w:space="0" w:color="auto"/>
            </w:tcBorders>
          </w:tcPr>
          <w:p>
            <w:pPr>
              <w:pStyle w:val="TableParagraph"/>
              <w:tabs>
                <w:tab w:pos="3550" w:val="left" w:leader="none"/>
              </w:tabs>
              <w:spacing w:line="187" w:lineRule="exact"/>
              <w:ind w:left="34" w:right="0"/>
              <w:jc w:val="left"/>
              <w:rPr>
                <w:rFonts w:ascii="Arial" w:hAnsi="Arial" w:cs="Arial" w:eastAsia="Arial" w:hint="default"/>
                <w:sz w:val="16"/>
                <w:szCs w:val="16"/>
              </w:rPr>
            </w:pPr>
            <w:r>
              <w:rPr>
                <w:rFonts w:ascii="宋体" w:hAnsi="宋体" w:cs="宋体" w:eastAsia="宋体" w:hint="default"/>
                <w:w w:val="95"/>
                <w:position w:val="1"/>
                <w:sz w:val="16"/>
                <w:szCs w:val="16"/>
              </w:rPr>
              <w:t>与股份期权相关的员工薪酬所确认金额的影响</w:t>
              <w:tab/>
            </w:r>
            <w:r>
              <w:rPr>
                <w:rFonts w:ascii="Arial" w:hAnsi="Arial" w:cs="Arial" w:eastAsia="Arial" w:hint="default"/>
                <w:sz w:val="16"/>
                <w:szCs w:val="16"/>
              </w:rPr>
              <w:t>e</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1"/>
              <w:jc w:val="right"/>
              <w:rPr>
                <w:rFonts w:ascii="Arial" w:hAnsi="Arial" w:cs="Arial" w:eastAsia="Arial" w:hint="default"/>
                <w:sz w:val="16"/>
                <w:szCs w:val="16"/>
              </w:rPr>
            </w:pPr>
            <w:r>
              <w:rPr>
                <w:rFonts w:ascii="Arial"/>
                <w:w w:val="95"/>
                <w:sz w:val="16"/>
              </w:rPr>
              <w:t>244,851,592</w:t>
            </w:r>
            <w:r>
              <w:rPr>
                <w:rFonts w:ascii="Arial"/>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57"/>
              <w:jc w:val="right"/>
              <w:rPr>
                <w:rFonts w:ascii="Arial" w:hAnsi="Arial" w:cs="Arial" w:eastAsia="Arial" w:hint="default"/>
                <w:sz w:val="16"/>
                <w:szCs w:val="16"/>
              </w:rPr>
            </w:pPr>
            <w:r>
              <w:rPr>
                <w:rFonts w:ascii="Arial"/>
                <w:w w:val="95"/>
                <w:sz w:val="16"/>
              </w:rPr>
              <w:t>9,219,929</w:t>
            </w:r>
            <w:r>
              <w:rPr>
                <w:rFonts w:ascii="Arial"/>
                <w:sz w:val="16"/>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88"/>
              <w:jc w:val="right"/>
              <w:rPr>
                <w:rFonts w:ascii="Arial" w:hAnsi="Arial" w:cs="Arial" w:eastAsia="Arial" w:hint="default"/>
                <w:sz w:val="16"/>
                <w:szCs w:val="16"/>
              </w:rPr>
            </w:pPr>
            <w:r>
              <w:rPr>
                <w:rFonts w:ascii="Arial"/>
                <w:w w:val="99"/>
                <w:sz w:val="16"/>
              </w:rPr>
              <w:t>-</w:t>
            </w:r>
            <w:r>
              <w:rPr>
                <w:rFonts w:ascii="Arial"/>
                <w:sz w:val="16"/>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1"/>
              <w:jc w:val="right"/>
              <w:rPr>
                <w:rFonts w:ascii="Arial" w:hAnsi="Arial" w:cs="Arial" w:eastAsia="Arial" w:hint="default"/>
                <w:sz w:val="16"/>
                <w:szCs w:val="16"/>
              </w:rPr>
            </w:pPr>
            <w:r>
              <w:rPr>
                <w:rFonts w:ascii="Arial"/>
                <w:w w:val="95"/>
                <w:sz w:val="16"/>
              </w:rPr>
              <w:t>254,071,521</w:t>
            </w:r>
            <w:r>
              <w:rPr>
                <w:rFonts w:ascii="Arial"/>
                <w:sz w:val="16"/>
              </w:rPr>
            </w:r>
          </w:p>
        </w:tc>
      </w:tr>
      <w:tr>
        <w:trPr>
          <w:trHeight w:val="434" w:hRule="exact"/>
        </w:trPr>
        <w:tc>
          <w:tcPr>
            <w:tcW w:w="3891" w:type="dxa"/>
            <w:tcBorders>
              <w:top w:val="nil" w:sz="6" w:space="0" w:color="auto"/>
              <w:left w:val="nil" w:sz="6" w:space="0" w:color="auto"/>
              <w:bottom w:val="nil" w:sz="6" w:space="0" w:color="auto"/>
              <w:right w:val="nil" w:sz="6" w:space="0" w:color="auto"/>
            </w:tcBorders>
          </w:tcPr>
          <w:p>
            <w:pPr>
              <w:pStyle w:val="TableParagraph"/>
              <w:tabs>
                <w:tab w:pos="3572" w:val="left" w:leader="none"/>
              </w:tabs>
              <w:spacing w:line="228" w:lineRule="exact"/>
              <w:ind w:left="43" w:right="0"/>
              <w:jc w:val="left"/>
              <w:rPr>
                <w:rFonts w:ascii="Arial" w:hAnsi="Arial" w:cs="Arial" w:eastAsia="Arial" w:hint="default"/>
                <w:sz w:val="16"/>
                <w:szCs w:val="16"/>
              </w:rPr>
            </w:pPr>
            <w:r>
              <w:rPr>
                <w:rFonts w:ascii="宋体" w:hAnsi="宋体" w:cs="宋体" w:eastAsia="宋体" w:hint="default"/>
                <w:w w:val="95"/>
                <w:position w:val="1"/>
                <w:sz w:val="16"/>
                <w:szCs w:val="16"/>
              </w:rPr>
              <w:t>联通红筹公司为投资西班牙电信而增发的股份</w:t>
              <w:tab/>
            </w:r>
            <w:r>
              <w:rPr>
                <w:rFonts w:ascii="Arial" w:hAnsi="Arial" w:cs="Arial" w:eastAsia="Arial" w:hint="default"/>
                <w:sz w:val="16"/>
                <w:szCs w:val="16"/>
              </w:rPr>
              <w:t>f</w:t>
            </w:r>
          </w:p>
          <w:p>
            <w:pPr>
              <w:pStyle w:val="TableParagraph"/>
              <w:spacing w:line="189" w:lineRule="exact" w:before="57"/>
              <w:ind w:left="43" w:right="0"/>
              <w:jc w:val="left"/>
              <w:rPr>
                <w:rFonts w:ascii="宋体" w:hAnsi="宋体" w:cs="宋体" w:eastAsia="宋体" w:hint="default"/>
                <w:sz w:val="16"/>
                <w:szCs w:val="16"/>
              </w:rPr>
            </w:pPr>
            <w:r>
              <w:rPr>
                <w:rFonts w:ascii="宋体" w:hAnsi="宋体" w:cs="宋体" w:eastAsia="宋体" w:hint="default"/>
                <w:spacing w:val="2"/>
                <w:sz w:val="16"/>
                <w:szCs w:val="16"/>
              </w:rPr>
              <w:t>确认子公司员工行使股份期权所增加的子公司</w:t>
            </w:r>
            <w:r>
              <w:rPr>
                <w:rFonts w:ascii="宋体" w:hAnsi="宋体" w:cs="宋体" w:eastAsia="宋体" w:hint="default"/>
                <w:sz w:val="16"/>
                <w:szCs w:val="16"/>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0"/>
              <w:jc w:val="right"/>
              <w:rPr>
                <w:rFonts w:ascii="Arial" w:hAnsi="Arial" w:cs="Arial" w:eastAsia="Arial" w:hint="default"/>
                <w:sz w:val="16"/>
                <w:szCs w:val="16"/>
              </w:rPr>
            </w:pPr>
            <w:r>
              <w:rPr>
                <w:rFonts w:ascii="Arial"/>
                <w:w w:val="99"/>
                <w:sz w:val="16"/>
              </w:rPr>
              <w:t>-</w:t>
            </w:r>
            <w:r>
              <w:rPr>
                <w:rFonts w:ascii="Arial"/>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56"/>
              <w:jc w:val="right"/>
              <w:rPr>
                <w:rFonts w:ascii="Arial" w:hAnsi="Arial" w:cs="Arial" w:eastAsia="Arial" w:hint="default"/>
                <w:sz w:val="16"/>
                <w:szCs w:val="16"/>
              </w:rPr>
            </w:pPr>
            <w:r>
              <w:rPr>
                <w:rFonts w:ascii="Arial"/>
                <w:w w:val="95"/>
                <w:sz w:val="16"/>
              </w:rPr>
              <w:t>2,274,479,484</w:t>
            </w:r>
            <w:r>
              <w:rPr>
                <w:rFonts w:ascii="Arial"/>
                <w:sz w:val="16"/>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87"/>
              <w:jc w:val="right"/>
              <w:rPr>
                <w:rFonts w:ascii="Arial" w:hAnsi="Arial" w:cs="Arial" w:eastAsia="Arial" w:hint="default"/>
                <w:sz w:val="16"/>
                <w:szCs w:val="16"/>
              </w:rPr>
            </w:pPr>
            <w:r>
              <w:rPr>
                <w:rFonts w:ascii="Arial"/>
                <w:w w:val="99"/>
                <w:sz w:val="16"/>
              </w:rPr>
              <w:t>-</w:t>
            </w:r>
            <w:r>
              <w:rPr>
                <w:rFonts w:ascii="Arial"/>
                <w:sz w:val="16"/>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0"/>
              <w:jc w:val="right"/>
              <w:rPr>
                <w:rFonts w:ascii="Arial" w:hAnsi="Arial" w:cs="Arial" w:eastAsia="Arial" w:hint="default"/>
                <w:sz w:val="16"/>
                <w:szCs w:val="16"/>
              </w:rPr>
            </w:pPr>
            <w:r>
              <w:rPr>
                <w:rFonts w:ascii="Arial"/>
                <w:w w:val="95"/>
                <w:sz w:val="16"/>
              </w:rPr>
              <w:t>2,274,479,484</w:t>
            </w:r>
            <w:r>
              <w:rPr>
                <w:rFonts w:ascii="Arial"/>
                <w:sz w:val="16"/>
              </w:rPr>
            </w:r>
          </w:p>
        </w:tc>
      </w:tr>
      <w:tr>
        <w:trPr>
          <w:trHeight w:val="394" w:hRule="exact"/>
        </w:trPr>
        <w:tc>
          <w:tcPr>
            <w:tcW w:w="3891" w:type="dxa"/>
            <w:tcBorders>
              <w:top w:val="nil" w:sz="6" w:space="0" w:color="auto"/>
              <w:left w:val="nil" w:sz="6" w:space="0" w:color="auto"/>
              <w:bottom w:val="nil" w:sz="6" w:space="0" w:color="auto"/>
              <w:right w:val="nil" w:sz="6" w:space="0" w:color="auto"/>
            </w:tcBorders>
          </w:tcPr>
          <w:p>
            <w:pPr>
              <w:pStyle w:val="TableParagraph"/>
              <w:tabs>
                <w:tab w:pos="3550" w:val="left" w:leader="none"/>
              </w:tabs>
              <w:spacing w:line="240" w:lineRule="auto" w:before="142"/>
              <w:ind w:left="208" w:right="0"/>
              <w:jc w:val="left"/>
              <w:rPr>
                <w:rFonts w:ascii="Arial" w:hAnsi="Arial" w:cs="Arial" w:eastAsia="Arial" w:hint="default"/>
                <w:sz w:val="16"/>
                <w:szCs w:val="16"/>
              </w:rPr>
            </w:pPr>
            <w:r>
              <w:rPr>
                <w:rFonts w:ascii="宋体" w:hAnsi="宋体" w:cs="宋体" w:eastAsia="宋体" w:hint="default"/>
                <w:w w:val="95"/>
                <w:position w:val="1"/>
                <w:sz w:val="16"/>
                <w:szCs w:val="16"/>
              </w:rPr>
              <w:t>权益的影响</w:t>
              <w:tab/>
            </w:r>
            <w:r>
              <w:rPr>
                <w:rFonts w:ascii="Arial" w:hAnsi="Arial" w:cs="Arial" w:eastAsia="Arial" w:hint="default"/>
                <w:sz w:val="16"/>
                <w:szCs w:val="16"/>
              </w:rPr>
              <w:t>g</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160"/>
              <w:jc w:val="right"/>
              <w:rPr>
                <w:rFonts w:ascii="Arial" w:hAnsi="Arial" w:cs="Arial" w:eastAsia="Arial" w:hint="default"/>
                <w:sz w:val="16"/>
                <w:szCs w:val="16"/>
              </w:rPr>
            </w:pPr>
            <w:r>
              <w:rPr>
                <w:rFonts w:ascii="Arial"/>
                <w:w w:val="95"/>
                <w:sz w:val="16"/>
              </w:rPr>
              <w:t>13,911,938</w:t>
            </w:r>
            <w:r>
              <w:rPr>
                <w:rFonts w:ascii="Arial"/>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156"/>
              <w:jc w:val="right"/>
              <w:rPr>
                <w:rFonts w:ascii="Arial" w:hAnsi="Arial" w:cs="Arial" w:eastAsia="Arial" w:hint="default"/>
                <w:sz w:val="16"/>
                <w:szCs w:val="16"/>
              </w:rPr>
            </w:pPr>
            <w:r>
              <w:rPr>
                <w:rFonts w:ascii="Arial"/>
                <w:w w:val="99"/>
                <w:sz w:val="16"/>
              </w:rPr>
              <w:t>-</w:t>
            </w:r>
            <w:r>
              <w:rPr>
                <w:rFonts w:ascii="Arial"/>
                <w:sz w:val="16"/>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187"/>
              <w:jc w:val="right"/>
              <w:rPr>
                <w:rFonts w:ascii="Arial" w:hAnsi="Arial" w:cs="Arial" w:eastAsia="Arial" w:hint="default"/>
                <w:sz w:val="16"/>
                <w:szCs w:val="16"/>
              </w:rPr>
            </w:pPr>
            <w:r>
              <w:rPr>
                <w:rFonts w:ascii="Arial"/>
                <w:w w:val="99"/>
                <w:sz w:val="16"/>
              </w:rPr>
              <w:t>-</w:t>
            </w:r>
            <w:r>
              <w:rPr>
                <w:rFonts w:ascii="Arial"/>
                <w:sz w:val="16"/>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黑体" w:hAnsi="黑体" w:cs="黑体" w:eastAsia="黑体" w:hint="default"/>
                <w:sz w:val="14"/>
                <w:szCs w:val="14"/>
              </w:rPr>
            </w:pPr>
          </w:p>
          <w:p>
            <w:pPr>
              <w:pStyle w:val="TableParagraph"/>
              <w:spacing w:line="240" w:lineRule="auto"/>
              <w:ind w:right="30"/>
              <w:jc w:val="right"/>
              <w:rPr>
                <w:rFonts w:ascii="Arial" w:hAnsi="Arial" w:cs="Arial" w:eastAsia="Arial" w:hint="default"/>
                <w:sz w:val="16"/>
                <w:szCs w:val="16"/>
              </w:rPr>
            </w:pPr>
            <w:r>
              <w:rPr>
                <w:rFonts w:ascii="Arial"/>
                <w:w w:val="95"/>
                <w:sz w:val="16"/>
              </w:rPr>
              <w:t>13,911,938</w:t>
            </w:r>
            <w:r>
              <w:rPr>
                <w:rFonts w:ascii="Arial"/>
                <w:sz w:val="16"/>
              </w:rPr>
            </w:r>
          </w:p>
        </w:tc>
      </w:tr>
      <w:tr>
        <w:trPr>
          <w:trHeight w:val="208" w:hRule="exact"/>
        </w:trPr>
        <w:tc>
          <w:tcPr>
            <w:tcW w:w="3891" w:type="dxa"/>
            <w:tcBorders>
              <w:top w:val="nil" w:sz="6" w:space="0" w:color="auto"/>
              <w:left w:val="nil" w:sz="6" w:space="0" w:color="auto"/>
              <w:bottom w:val="nil" w:sz="6" w:space="0" w:color="auto"/>
              <w:right w:val="nil" w:sz="6" w:space="0" w:color="auto"/>
            </w:tcBorders>
          </w:tcPr>
          <w:p>
            <w:pPr>
              <w:pStyle w:val="TableParagraph"/>
              <w:tabs>
                <w:tab w:pos="3550" w:val="left" w:leader="none"/>
              </w:tabs>
              <w:spacing w:line="188" w:lineRule="exact"/>
              <w:ind w:left="35" w:right="0"/>
              <w:jc w:val="left"/>
              <w:rPr>
                <w:rFonts w:ascii="Arial" w:hAnsi="Arial" w:cs="Arial" w:eastAsia="Arial" w:hint="default"/>
                <w:sz w:val="16"/>
                <w:szCs w:val="16"/>
              </w:rPr>
            </w:pPr>
            <w:r>
              <w:rPr>
                <w:rFonts w:ascii="宋体" w:hAnsi="宋体" w:cs="宋体" w:eastAsia="宋体" w:hint="default"/>
                <w:w w:val="95"/>
                <w:position w:val="1"/>
                <w:sz w:val="16"/>
                <w:szCs w:val="16"/>
              </w:rPr>
              <w:t>子公司未分配利润转增资本的影响</w:t>
              <w:tab/>
            </w:r>
            <w:r>
              <w:rPr>
                <w:rFonts w:ascii="Arial" w:hAnsi="Arial" w:cs="Arial" w:eastAsia="Arial" w:hint="default"/>
                <w:sz w:val="16"/>
                <w:szCs w:val="16"/>
              </w:rPr>
              <w:t>h</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62"/>
              <w:jc w:val="right"/>
              <w:rPr>
                <w:rFonts w:ascii="Arial" w:hAnsi="Arial" w:cs="Arial" w:eastAsia="Arial" w:hint="default"/>
                <w:sz w:val="16"/>
                <w:szCs w:val="16"/>
              </w:rPr>
            </w:pPr>
            <w:r>
              <w:rPr>
                <w:rFonts w:ascii="Arial"/>
                <w:w w:val="95"/>
                <w:sz w:val="16"/>
              </w:rPr>
              <w:t>10,414,323,266</w:t>
            </w:r>
            <w:r>
              <w:rPr>
                <w:rFonts w:ascii="Arial"/>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56"/>
              <w:jc w:val="right"/>
              <w:rPr>
                <w:rFonts w:ascii="Arial" w:hAnsi="Arial" w:cs="Arial" w:eastAsia="Arial" w:hint="default"/>
                <w:sz w:val="16"/>
                <w:szCs w:val="16"/>
              </w:rPr>
            </w:pPr>
            <w:r>
              <w:rPr>
                <w:rFonts w:ascii="Arial"/>
                <w:w w:val="99"/>
                <w:sz w:val="16"/>
              </w:rPr>
              <w:t>-</w:t>
            </w:r>
            <w:r>
              <w:rPr>
                <w:rFonts w:ascii="Arial"/>
                <w:sz w:val="16"/>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8"/>
              <w:jc w:val="right"/>
              <w:rPr>
                <w:rFonts w:ascii="Arial" w:hAnsi="Arial" w:cs="Arial" w:eastAsia="Arial" w:hint="default"/>
                <w:sz w:val="16"/>
                <w:szCs w:val="16"/>
              </w:rPr>
            </w:pPr>
            <w:r>
              <w:rPr>
                <w:rFonts w:ascii="Arial"/>
                <w:w w:val="99"/>
                <w:sz w:val="16"/>
              </w:rPr>
              <w:t>-</w:t>
            </w:r>
            <w:r>
              <w:rPr>
                <w:rFonts w:ascii="Arial"/>
                <w:sz w:val="16"/>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2"/>
              <w:jc w:val="right"/>
              <w:rPr>
                <w:rFonts w:ascii="Arial" w:hAnsi="Arial" w:cs="Arial" w:eastAsia="Arial" w:hint="default"/>
                <w:sz w:val="16"/>
                <w:szCs w:val="16"/>
              </w:rPr>
            </w:pPr>
            <w:r>
              <w:rPr>
                <w:rFonts w:ascii="Arial"/>
                <w:w w:val="95"/>
                <w:sz w:val="16"/>
              </w:rPr>
              <w:t>10,414,323,266</w:t>
            </w:r>
            <w:r>
              <w:rPr>
                <w:rFonts w:ascii="Arial"/>
                <w:sz w:val="16"/>
              </w:rPr>
            </w:r>
          </w:p>
        </w:tc>
      </w:tr>
      <w:tr>
        <w:trPr>
          <w:trHeight w:val="311" w:hRule="exact"/>
        </w:trPr>
        <w:tc>
          <w:tcPr>
            <w:tcW w:w="3891" w:type="dxa"/>
            <w:tcBorders>
              <w:top w:val="nil" w:sz="6" w:space="0" w:color="auto"/>
              <w:left w:val="nil" w:sz="6" w:space="0" w:color="auto"/>
              <w:bottom w:val="nil" w:sz="6" w:space="0" w:color="auto"/>
              <w:right w:val="nil" w:sz="6" w:space="0" w:color="auto"/>
            </w:tcBorders>
          </w:tcPr>
          <w:p>
            <w:pPr>
              <w:pStyle w:val="TableParagraph"/>
              <w:tabs>
                <w:tab w:pos="3577" w:val="left" w:leader="none"/>
              </w:tabs>
              <w:spacing w:line="175" w:lineRule="exact"/>
              <w:ind w:left="35" w:right="0"/>
              <w:jc w:val="left"/>
              <w:rPr>
                <w:rFonts w:ascii="Arial" w:hAnsi="Arial" w:cs="Arial" w:eastAsia="Arial" w:hint="default"/>
                <w:sz w:val="16"/>
                <w:szCs w:val="16"/>
              </w:rPr>
            </w:pPr>
            <w:r>
              <w:rPr>
                <w:rFonts w:ascii="宋体" w:hAnsi="宋体" w:cs="宋体" w:eastAsia="宋体" w:hint="default"/>
                <w:w w:val="95"/>
                <w:position w:val="1"/>
                <w:sz w:val="16"/>
                <w:szCs w:val="16"/>
              </w:rPr>
              <w:t>因所持子公司股份变化对资本公积的影响</w:t>
            </w:r>
            <w:r>
              <w:rPr>
                <w:rFonts w:ascii="Arial" w:hAnsi="Arial" w:cs="Arial" w:eastAsia="Arial" w:hint="default"/>
                <w:w w:val="95"/>
                <w:sz w:val="16"/>
                <w:szCs w:val="16"/>
              </w:rPr>
              <w:tab/>
            </w:r>
            <w:r>
              <w:rPr>
                <w:rFonts w:ascii="Arial" w:hAnsi="Arial" w:cs="Arial" w:eastAsia="Arial" w:hint="default"/>
                <w:sz w:val="16"/>
                <w:szCs w:val="16"/>
              </w:rPr>
              <w:t>i</w:t>
            </w:r>
          </w:p>
          <w:p>
            <w:pPr>
              <w:pStyle w:val="TableParagraph"/>
              <w:spacing w:line="177" w:lineRule="exact"/>
              <w:ind w:left="34" w:right="0"/>
              <w:jc w:val="left"/>
              <w:rPr>
                <w:rFonts w:ascii="宋体" w:hAnsi="宋体" w:cs="宋体" w:eastAsia="宋体" w:hint="default"/>
                <w:sz w:val="16"/>
                <w:szCs w:val="16"/>
              </w:rPr>
            </w:pPr>
            <w:r>
              <w:rPr>
                <w:rFonts w:ascii="宋体" w:hAnsi="宋体" w:cs="宋体" w:eastAsia="宋体" w:hint="default"/>
                <w:spacing w:val="2"/>
                <w:sz w:val="16"/>
                <w:szCs w:val="16"/>
              </w:rPr>
              <w:t>子公司联通红筹公司可转债转股对资本公积的</w:t>
            </w:r>
            <w:r>
              <w:rPr>
                <w:rFonts w:ascii="宋体" w:hAnsi="宋体" w:cs="宋体" w:eastAsia="宋体" w:hint="default"/>
                <w:sz w:val="16"/>
                <w:szCs w:val="16"/>
              </w:rPr>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5"/>
              <w:jc w:val="right"/>
              <w:rPr>
                <w:rFonts w:ascii="Arial" w:hAnsi="Arial" w:cs="Arial" w:eastAsia="Arial" w:hint="default"/>
                <w:sz w:val="16"/>
                <w:szCs w:val="16"/>
              </w:rPr>
            </w:pPr>
            <w:r>
              <w:rPr>
                <w:rFonts w:ascii="Arial"/>
                <w:w w:val="95"/>
                <w:sz w:val="16"/>
              </w:rPr>
              <w:t>(6,117,616,624)</w:t>
            </w:r>
            <w:r>
              <w:rPr>
                <w:rFonts w:ascii="Arial"/>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57"/>
              <w:jc w:val="right"/>
              <w:rPr>
                <w:rFonts w:ascii="Arial" w:hAnsi="Arial" w:cs="Arial" w:eastAsia="Arial" w:hint="default"/>
                <w:sz w:val="16"/>
                <w:szCs w:val="16"/>
              </w:rPr>
            </w:pPr>
            <w:r>
              <w:rPr>
                <w:rFonts w:ascii="Arial"/>
                <w:w w:val="95"/>
                <w:sz w:val="16"/>
              </w:rPr>
              <w:t>621,507,927</w:t>
            </w:r>
            <w:r>
              <w:rPr>
                <w:rFonts w:ascii="Arial"/>
                <w:sz w:val="16"/>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88"/>
              <w:jc w:val="right"/>
              <w:rPr>
                <w:rFonts w:ascii="Arial" w:hAnsi="Arial" w:cs="Arial" w:eastAsia="Arial" w:hint="default"/>
                <w:sz w:val="16"/>
                <w:szCs w:val="16"/>
              </w:rPr>
            </w:pPr>
            <w:r>
              <w:rPr>
                <w:rFonts w:ascii="Arial"/>
                <w:w w:val="99"/>
                <w:sz w:val="16"/>
              </w:rPr>
              <w:t>-</w:t>
            </w:r>
            <w:r>
              <w:rPr>
                <w:rFonts w:ascii="Arial"/>
                <w:sz w:val="16"/>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
              <w:jc w:val="right"/>
              <w:rPr>
                <w:rFonts w:ascii="Arial" w:hAnsi="Arial" w:cs="Arial" w:eastAsia="Arial" w:hint="default"/>
                <w:sz w:val="16"/>
                <w:szCs w:val="16"/>
              </w:rPr>
            </w:pPr>
            <w:r>
              <w:rPr>
                <w:rFonts w:ascii="Arial"/>
                <w:w w:val="95"/>
                <w:sz w:val="16"/>
              </w:rPr>
              <w:t>(5,496,108,697)</w:t>
            </w:r>
            <w:r>
              <w:rPr>
                <w:rFonts w:ascii="Arial"/>
                <w:sz w:val="16"/>
              </w:rPr>
            </w:r>
          </w:p>
        </w:tc>
      </w:tr>
      <w:tr>
        <w:trPr>
          <w:trHeight w:val="311" w:hRule="exact"/>
        </w:trPr>
        <w:tc>
          <w:tcPr>
            <w:tcW w:w="3891" w:type="dxa"/>
            <w:tcBorders>
              <w:top w:val="nil" w:sz="6" w:space="0" w:color="auto"/>
              <w:left w:val="nil" w:sz="6" w:space="0" w:color="auto"/>
              <w:bottom w:val="nil" w:sz="6" w:space="0" w:color="auto"/>
              <w:right w:val="nil" w:sz="6" w:space="0" w:color="auto"/>
            </w:tcBorders>
          </w:tcPr>
          <w:p>
            <w:pPr>
              <w:pStyle w:val="TableParagraph"/>
              <w:tabs>
                <w:tab w:pos="3577" w:val="left" w:leader="none"/>
              </w:tabs>
              <w:spacing w:line="240" w:lineRule="auto" w:before="60"/>
              <w:ind w:left="34" w:right="0"/>
              <w:jc w:val="left"/>
              <w:rPr>
                <w:rFonts w:ascii="Arial" w:hAnsi="Arial" w:cs="Arial" w:eastAsia="Arial" w:hint="default"/>
                <w:sz w:val="16"/>
                <w:szCs w:val="16"/>
              </w:rPr>
            </w:pPr>
            <w:r>
              <w:rPr>
                <w:rFonts w:ascii="宋体" w:hAnsi="宋体" w:cs="宋体" w:eastAsia="宋体" w:hint="default"/>
                <w:w w:val="95"/>
                <w:position w:val="1"/>
                <w:sz w:val="16"/>
                <w:szCs w:val="16"/>
              </w:rPr>
              <w:t>影响</w:t>
              <w:tab/>
            </w:r>
            <w:r>
              <w:rPr>
                <w:rFonts w:ascii="Arial" w:hAnsi="Arial" w:cs="Arial" w:eastAsia="Arial" w:hint="default"/>
                <w:sz w:val="16"/>
                <w:szCs w:val="16"/>
              </w:rPr>
              <w:t>j</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1"/>
              <w:jc w:val="right"/>
              <w:rPr>
                <w:rFonts w:ascii="Arial" w:hAnsi="Arial" w:cs="Arial" w:eastAsia="Arial" w:hint="default"/>
                <w:sz w:val="16"/>
                <w:szCs w:val="16"/>
              </w:rPr>
            </w:pPr>
            <w:r>
              <w:rPr>
                <w:rFonts w:ascii="Arial"/>
                <w:w w:val="95"/>
                <w:sz w:val="16"/>
              </w:rPr>
              <w:t>3,116,582,352</w:t>
            </w:r>
            <w:r>
              <w:rPr>
                <w:rFonts w:ascii="Arial"/>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56"/>
              <w:jc w:val="right"/>
              <w:rPr>
                <w:rFonts w:ascii="Arial" w:hAnsi="Arial" w:cs="Arial" w:eastAsia="Arial" w:hint="default"/>
                <w:sz w:val="16"/>
                <w:szCs w:val="16"/>
              </w:rPr>
            </w:pPr>
            <w:r>
              <w:rPr>
                <w:rFonts w:ascii="Arial"/>
                <w:w w:val="99"/>
                <w:sz w:val="16"/>
              </w:rPr>
              <w:t>-</w:t>
            </w:r>
            <w:r>
              <w:rPr>
                <w:rFonts w:ascii="Arial"/>
                <w:sz w:val="16"/>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88"/>
              <w:jc w:val="right"/>
              <w:rPr>
                <w:rFonts w:ascii="Arial" w:hAnsi="Arial" w:cs="Arial" w:eastAsia="Arial" w:hint="default"/>
                <w:sz w:val="16"/>
                <w:szCs w:val="16"/>
              </w:rPr>
            </w:pPr>
            <w:r>
              <w:rPr>
                <w:rFonts w:ascii="Arial"/>
                <w:w w:val="99"/>
                <w:sz w:val="16"/>
              </w:rPr>
              <w:t>-</w:t>
            </w:r>
            <w:r>
              <w:rPr>
                <w:rFonts w:ascii="Arial"/>
                <w:sz w:val="16"/>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1"/>
              <w:jc w:val="right"/>
              <w:rPr>
                <w:rFonts w:ascii="Arial" w:hAnsi="Arial" w:cs="Arial" w:eastAsia="Arial" w:hint="default"/>
                <w:sz w:val="16"/>
                <w:szCs w:val="16"/>
              </w:rPr>
            </w:pPr>
            <w:r>
              <w:rPr>
                <w:rFonts w:ascii="Arial"/>
                <w:w w:val="95"/>
                <w:sz w:val="16"/>
              </w:rPr>
              <w:t>3,116,582,352</w:t>
            </w:r>
            <w:r>
              <w:rPr>
                <w:rFonts w:ascii="Arial"/>
                <w:sz w:val="16"/>
              </w:rPr>
            </w:r>
          </w:p>
        </w:tc>
      </w:tr>
      <w:tr>
        <w:trPr>
          <w:trHeight w:val="183" w:hRule="exact"/>
        </w:trPr>
        <w:tc>
          <w:tcPr>
            <w:tcW w:w="3891" w:type="dxa"/>
            <w:tcBorders>
              <w:top w:val="nil" w:sz="6" w:space="0" w:color="auto"/>
              <w:left w:val="nil" w:sz="6" w:space="0" w:color="auto"/>
              <w:bottom w:val="nil" w:sz="6" w:space="0" w:color="auto"/>
              <w:right w:val="nil" w:sz="6" w:space="0" w:color="auto"/>
            </w:tcBorders>
          </w:tcPr>
          <w:p>
            <w:pPr>
              <w:pStyle w:val="TableParagraph"/>
              <w:tabs>
                <w:tab w:pos="3554" w:val="left" w:leader="none"/>
              </w:tabs>
              <w:spacing w:line="187" w:lineRule="exact"/>
              <w:ind w:left="34" w:right="0"/>
              <w:jc w:val="left"/>
              <w:rPr>
                <w:rFonts w:ascii="Arial" w:hAnsi="Arial" w:cs="Arial" w:eastAsia="Arial" w:hint="default"/>
                <w:sz w:val="16"/>
                <w:szCs w:val="16"/>
              </w:rPr>
            </w:pPr>
            <w:r>
              <w:rPr>
                <w:rFonts w:ascii="宋体" w:hAnsi="宋体" w:cs="宋体" w:eastAsia="宋体" w:hint="default"/>
                <w:w w:val="95"/>
                <w:position w:val="1"/>
                <w:sz w:val="16"/>
                <w:szCs w:val="16"/>
              </w:rPr>
              <w:t>同一控制下收购贵州业务的影响</w:t>
              <w:tab/>
            </w:r>
            <w:r>
              <w:rPr>
                <w:rFonts w:ascii="Arial" w:hAnsi="Arial" w:cs="Arial" w:eastAsia="Arial" w:hint="default"/>
                <w:sz w:val="16"/>
                <w:szCs w:val="16"/>
              </w:rPr>
              <w:t>k</w:t>
            </w:r>
          </w:p>
        </w:tc>
        <w:tc>
          <w:tcPr>
            <w:tcW w:w="143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13"/>
              <w:jc w:val="right"/>
              <w:rPr>
                <w:rFonts w:ascii="Arial" w:hAnsi="Arial" w:cs="Arial" w:eastAsia="Arial" w:hint="default"/>
                <w:sz w:val="16"/>
                <w:szCs w:val="16"/>
              </w:rPr>
            </w:pPr>
            <w:r>
              <w:rPr>
                <w:rFonts w:ascii="Arial"/>
                <w:w w:val="95"/>
                <w:sz w:val="16"/>
              </w:rPr>
              <w:t>(248,154,771)</w:t>
            </w:r>
            <w:r>
              <w:rPr>
                <w:rFonts w:ascii="Arial"/>
                <w:sz w:val="16"/>
              </w:rPr>
            </w: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56"/>
              <w:jc w:val="right"/>
              <w:rPr>
                <w:rFonts w:ascii="Arial" w:hAnsi="Arial" w:cs="Arial" w:eastAsia="Arial" w:hint="default"/>
                <w:sz w:val="16"/>
                <w:szCs w:val="16"/>
              </w:rPr>
            </w:pPr>
            <w:r>
              <w:rPr>
                <w:rFonts w:ascii="Arial"/>
                <w:w w:val="99"/>
                <w:sz w:val="16"/>
              </w:rPr>
              <w:t>-</w:t>
            </w:r>
            <w:r>
              <w:rPr>
                <w:rFonts w:ascii="Arial"/>
                <w:sz w:val="16"/>
              </w:rPr>
            </w:r>
          </w:p>
        </w:tc>
        <w:tc>
          <w:tcPr>
            <w:tcW w:w="142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87"/>
              <w:jc w:val="right"/>
              <w:rPr>
                <w:rFonts w:ascii="Arial" w:hAnsi="Arial" w:cs="Arial" w:eastAsia="Arial" w:hint="default"/>
                <w:sz w:val="16"/>
                <w:szCs w:val="16"/>
              </w:rPr>
            </w:pPr>
            <w:r>
              <w:rPr>
                <w:rFonts w:ascii="Arial"/>
                <w:w w:val="99"/>
                <w:sz w:val="16"/>
              </w:rPr>
              <w:t>-</w:t>
            </w:r>
            <w:r>
              <w:rPr>
                <w:rFonts w:ascii="Arial"/>
                <w:sz w:val="16"/>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
              <w:jc w:val="right"/>
              <w:rPr>
                <w:rFonts w:ascii="Arial" w:hAnsi="Arial" w:cs="Arial" w:eastAsia="Arial" w:hint="default"/>
                <w:sz w:val="16"/>
                <w:szCs w:val="16"/>
              </w:rPr>
            </w:pPr>
            <w:r>
              <w:rPr>
                <w:rFonts w:ascii="Arial"/>
                <w:w w:val="95"/>
                <w:sz w:val="16"/>
              </w:rPr>
              <w:t>(248,154,771)</w:t>
            </w:r>
            <w:r>
              <w:rPr>
                <w:rFonts w:ascii="Arial"/>
                <w:sz w:val="16"/>
              </w:rPr>
            </w:r>
          </w:p>
        </w:tc>
      </w:tr>
      <w:tr>
        <w:trPr>
          <w:trHeight w:val="321" w:hRule="exact"/>
        </w:trPr>
        <w:tc>
          <w:tcPr>
            <w:tcW w:w="9319" w:type="dxa"/>
            <w:gridSpan w:val="5"/>
            <w:tcBorders>
              <w:top w:val="nil" w:sz="6" w:space="0" w:color="auto"/>
              <w:left w:val="nil" w:sz="6" w:space="0" w:color="auto"/>
              <w:bottom w:val="nil" w:sz="6" w:space="0" w:color="auto"/>
              <w:right w:val="nil" w:sz="6" w:space="0" w:color="auto"/>
            </w:tcBorders>
          </w:tcPr>
          <w:p>
            <w:pPr>
              <w:pStyle w:val="TableParagraph"/>
              <w:tabs>
                <w:tab w:pos="3890" w:val="left" w:leader="none"/>
                <w:tab w:pos="4358" w:val="left" w:leader="none"/>
                <w:tab w:pos="6405" w:val="left" w:leader="none"/>
                <w:tab w:pos="7797" w:val="left" w:leader="none"/>
                <w:tab w:pos="8487" w:val="left" w:leader="none"/>
              </w:tabs>
              <w:spacing w:line="211" w:lineRule="exact"/>
              <w:ind w:left="34" w:right="0"/>
              <w:jc w:val="left"/>
              <w:rPr>
                <w:rFonts w:ascii="Arial" w:hAnsi="Arial" w:cs="Arial" w:eastAsia="Arial" w:hint="default"/>
                <w:sz w:val="16"/>
                <w:szCs w:val="16"/>
              </w:rPr>
            </w:pPr>
            <w:r>
              <w:rPr>
                <w:rFonts w:ascii="宋体" w:hAnsi="宋体" w:cs="宋体" w:eastAsia="宋体" w:hint="default"/>
                <w:w w:val="95"/>
                <w:position w:val="1"/>
                <w:sz w:val="16"/>
                <w:szCs w:val="16"/>
              </w:rPr>
              <w:t>其他</w:t>
              <w:tab/>
            </w:r>
            <w:r>
              <w:rPr>
                <w:rFonts w:ascii="Arial" w:hAnsi="Arial" w:cs="Arial" w:eastAsia="Arial" w:hint="default"/>
                <w:w w:val="95"/>
                <w:sz w:val="16"/>
                <w:szCs w:val="16"/>
              </w:rPr>
            </w:r>
            <w:r>
              <w:rPr>
                <w:rFonts w:ascii="Arial" w:hAnsi="Arial" w:cs="Arial" w:eastAsia="Arial" w:hint="default"/>
                <w:w w:val="95"/>
                <w:sz w:val="16"/>
                <w:szCs w:val="16"/>
                <w:u w:val="single" w:color="000000"/>
              </w:rPr>
              <w:t> </w:t>
              <w:tab/>
              <w:t>33,771,682</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t>-</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t>-</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r>
            <w:r>
              <w:rPr>
                <w:rFonts w:ascii="Arial" w:hAnsi="Arial" w:cs="Arial" w:eastAsia="Arial" w:hint="default"/>
                <w:sz w:val="16"/>
                <w:szCs w:val="16"/>
                <w:u w:val="single" w:color="000000"/>
              </w:rPr>
              <w:t>33,771,682</w:t>
            </w:r>
            <w:r>
              <w:rPr>
                <w:rFonts w:ascii="Arial" w:hAnsi="Arial" w:cs="Arial" w:eastAsia="Arial" w:hint="default"/>
                <w:sz w:val="16"/>
                <w:szCs w:val="16"/>
              </w:rPr>
            </w:r>
          </w:p>
        </w:tc>
      </w:tr>
      <w:tr>
        <w:trPr>
          <w:trHeight w:val="320" w:hRule="exact"/>
        </w:trPr>
        <w:tc>
          <w:tcPr>
            <w:tcW w:w="3891" w:type="dxa"/>
            <w:tcBorders>
              <w:top w:val="nil" w:sz="6" w:space="0" w:color="auto"/>
              <w:left w:val="nil" w:sz="6" w:space="0" w:color="auto"/>
              <w:bottom w:val="nil" w:sz="6" w:space="0" w:color="auto"/>
              <w:right w:val="nil" w:sz="6" w:space="0" w:color="auto"/>
            </w:tcBorders>
          </w:tcPr>
          <w:p>
            <w:pPr>
              <w:pStyle w:val="TableParagraph"/>
              <w:spacing w:line="240" w:lineRule="auto" w:before="64"/>
              <w:ind w:left="35"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430" w:type="dxa"/>
            <w:tcBorders>
              <w:top w:val="nil" w:sz="6" w:space="0" w:color="auto"/>
              <w:left w:val="nil" w:sz="6" w:space="0" w:color="auto"/>
              <w:bottom w:val="single" w:sz="17" w:space="0" w:color="000000"/>
              <w:right w:val="nil" w:sz="6" w:space="0" w:color="auto"/>
            </w:tcBorders>
          </w:tcPr>
          <w:p>
            <w:pPr>
              <w:pStyle w:val="TableParagraph"/>
              <w:spacing w:line="240" w:lineRule="auto" w:before="112"/>
              <w:ind w:right="162"/>
              <w:jc w:val="right"/>
              <w:rPr>
                <w:rFonts w:ascii="Arial" w:hAnsi="Arial" w:cs="Arial" w:eastAsia="Arial" w:hint="default"/>
                <w:sz w:val="16"/>
                <w:szCs w:val="16"/>
              </w:rPr>
            </w:pPr>
            <w:r>
              <w:rPr>
                <w:rFonts w:ascii="Arial"/>
                <w:w w:val="95"/>
                <w:sz w:val="16"/>
              </w:rPr>
              <w:t>26,476,082,290</w:t>
            </w:r>
            <w:r>
              <w:rPr>
                <w:rFonts w:ascii="Arial"/>
                <w:sz w:val="16"/>
              </w:rPr>
            </w:r>
          </w:p>
        </w:tc>
        <w:tc>
          <w:tcPr>
            <w:tcW w:w="1297" w:type="dxa"/>
            <w:tcBorders>
              <w:top w:val="nil" w:sz="6" w:space="0" w:color="auto"/>
              <w:left w:val="nil" w:sz="6" w:space="0" w:color="auto"/>
              <w:bottom w:val="single" w:sz="17" w:space="0" w:color="000000"/>
              <w:right w:val="nil" w:sz="6" w:space="0" w:color="auto"/>
            </w:tcBorders>
          </w:tcPr>
          <w:p>
            <w:pPr>
              <w:pStyle w:val="TableParagraph"/>
              <w:spacing w:line="240" w:lineRule="auto" w:before="112"/>
              <w:ind w:right="156"/>
              <w:jc w:val="right"/>
              <w:rPr>
                <w:rFonts w:ascii="Arial" w:hAnsi="Arial" w:cs="Arial" w:eastAsia="Arial" w:hint="default"/>
                <w:sz w:val="16"/>
                <w:szCs w:val="16"/>
              </w:rPr>
            </w:pPr>
            <w:r>
              <w:rPr>
                <w:rFonts w:ascii="Arial"/>
                <w:w w:val="95"/>
                <w:sz w:val="16"/>
              </w:rPr>
              <w:t>2,933,635,869</w:t>
            </w:r>
            <w:r>
              <w:rPr>
                <w:rFonts w:ascii="Arial"/>
                <w:sz w:val="16"/>
              </w:rPr>
            </w:r>
          </w:p>
        </w:tc>
        <w:tc>
          <w:tcPr>
            <w:tcW w:w="1424" w:type="dxa"/>
            <w:tcBorders>
              <w:top w:val="nil" w:sz="6" w:space="0" w:color="auto"/>
              <w:left w:val="nil" w:sz="6" w:space="0" w:color="auto"/>
              <w:bottom w:val="single" w:sz="17" w:space="0" w:color="000000"/>
              <w:right w:val="nil" w:sz="6" w:space="0" w:color="auto"/>
            </w:tcBorders>
          </w:tcPr>
          <w:p>
            <w:pPr>
              <w:pStyle w:val="TableParagraph"/>
              <w:spacing w:line="240" w:lineRule="auto" w:before="112"/>
              <w:ind w:right="135"/>
              <w:jc w:val="right"/>
              <w:rPr>
                <w:rFonts w:ascii="Arial" w:hAnsi="Arial" w:cs="Arial" w:eastAsia="Arial" w:hint="default"/>
                <w:sz w:val="16"/>
                <w:szCs w:val="16"/>
              </w:rPr>
            </w:pPr>
            <w:r>
              <w:rPr>
                <w:rFonts w:ascii="Arial"/>
                <w:w w:val="95"/>
                <w:sz w:val="16"/>
              </w:rPr>
              <w:t>(1,349,643,958)</w:t>
            </w:r>
            <w:r>
              <w:rPr>
                <w:rFonts w:ascii="Arial"/>
                <w:sz w:val="16"/>
              </w:rPr>
            </w:r>
          </w:p>
        </w:tc>
        <w:tc>
          <w:tcPr>
            <w:tcW w:w="1279" w:type="dxa"/>
            <w:tcBorders>
              <w:top w:val="nil" w:sz="6" w:space="0" w:color="auto"/>
              <w:left w:val="nil" w:sz="6" w:space="0" w:color="auto"/>
              <w:bottom w:val="single" w:sz="17" w:space="0" w:color="000000"/>
              <w:right w:val="nil" w:sz="6" w:space="0" w:color="auto"/>
            </w:tcBorders>
          </w:tcPr>
          <w:p>
            <w:pPr>
              <w:pStyle w:val="TableParagraph"/>
              <w:spacing w:line="240" w:lineRule="auto" w:before="112"/>
              <w:ind w:right="32"/>
              <w:jc w:val="right"/>
              <w:rPr>
                <w:rFonts w:ascii="Arial" w:hAnsi="Arial" w:cs="Arial" w:eastAsia="Arial" w:hint="default"/>
                <w:sz w:val="16"/>
                <w:szCs w:val="16"/>
              </w:rPr>
            </w:pPr>
            <w:r>
              <w:rPr>
                <w:rFonts w:ascii="Arial"/>
                <w:w w:val="95"/>
                <w:sz w:val="16"/>
              </w:rPr>
              <w:t>28,060,074,201</w:t>
            </w:r>
            <w:r>
              <w:rPr>
                <w:rFonts w:ascii="Arial"/>
                <w:sz w:val="16"/>
              </w:rPr>
            </w:r>
          </w:p>
        </w:tc>
      </w:tr>
    </w:tbl>
    <w:p>
      <w:pPr>
        <w:spacing w:line="240" w:lineRule="auto" w:before="13"/>
        <w:rPr>
          <w:rFonts w:ascii="黑体" w:hAnsi="黑体" w:cs="黑体" w:eastAsia="黑体" w:hint="default"/>
          <w:sz w:val="25"/>
          <w:szCs w:val="25"/>
        </w:rPr>
      </w:pPr>
    </w:p>
    <w:tbl>
      <w:tblPr>
        <w:tblW w:w="0" w:type="auto"/>
        <w:jc w:val="left"/>
        <w:tblInd w:w="550" w:type="dxa"/>
        <w:tblLayout w:type="fixed"/>
        <w:tblCellMar>
          <w:top w:w="0" w:type="dxa"/>
          <w:left w:w="0" w:type="dxa"/>
          <w:bottom w:w="0" w:type="dxa"/>
          <w:right w:w="0" w:type="dxa"/>
        </w:tblCellMar>
        <w:tblLook w:val="01E0"/>
      </w:tblPr>
      <w:tblGrid>
        <w:gridCol w:w="3887"/>
        <w:gridCol w:w="1480"/>
        <w:gridCol w:w="1189"/>
        <w:gridCol w:w="1475"/>
        <w:gridCol w:w="1286"/>
      </w:tblGrid>
      <w:tr>
        <w:trPr>
          <w:trHeight w:val="499" w:hRule="exact"/>
        </w:trPr>
        <w:tc>
          <w:tcPr>
            <w:tcW w:w="3887"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0"/>
              <w:jc w:val="left"/>
              <w:rPr>
                <w:rFonts w:ascii="黑体" w:hAnsi="黑体" w:cs="黑体" w:eastAsia="黑体" w:hint="default"/>
                <w:sz w:val="19"/>
                <w:szCs w:val="19"/>
              </w:rPr>
            </w:pPr>
          </w:p>
          <w:p>
            <w:pPr>
              <w:pStyle w:val="TableParagraph"/>
              <w:tabs>
                <w:tab w:pos="3443" w:val="left" w:leader="none"/>
              </w:tabs>
              <w:spacing w:line="240" w:lineRule="auto"/>
              <w:ind w:left="1485" w:right="0"/>
              <w:jc w:val="left"/>
              <w:rPr>
                <w:rFonts w:ascii="宋体" w:hAnsi="宋体" w:cs="宋体" w:eastAsia="宋体" w:hint="default"/>
                <w:sz w:val="16"/>
                <w:szCs w:val="16"/>
              </w:rPr>
            </w:pPr>
            <w:r>
              <w:rPr>
                <w:rFonts w:ascii="宋体" w:hAnsi="宋体" w:cs="宋体" w:eastAsia="宋体" w:hint="default"/>
                <w:w w:val="95"/>
                <w:sz w:val="16"/>
                <w:szCs w:val="16"/>
              </w:rPr>
              <w:t>项目</w:t>
              <w:tab/>
            </w:r>
            <w:r>
              <w:rPr>
                <w:rFonts w:ascii="宋体" w:hAnsi="宋体" w:cs="宋体" w:eastAsia="宋体" w:hint="default"/>
                <w:sz w:val="16"/>
                <w:szCs w:val="16"/>
              </w:rPr>
              <w:t>注释</w:t>
            </w:r>
          </w:p>
        </w:tc>
        <w:tc>
          <w:tcPr>
            <w:tcW w:w="1480" w:type="dxa"/>
            <w:tcBorders>
              <w:top w:val="nil" w:sz="6" w:space="0" w:color="auto"/>
              <w:left w:val="nil" w:sz="6" w:space="0" w:color="auto"/>
              <w:bottom w:val="single" w:sz="6" w:space="0" w:color="000000"/>
              <w:right w:val="nil" w:sz="6" w:space="0" w:color="auto"/>
            </w:tcBorders>
          </w:tcPr>
          <w:p>
            <w:pPr>
              <w:pStyle w:val="TableParagraph"/>
              <w:spacing w:line="214" w:lineRule="exact" w:before="50"/>
              <w:ind w:left="711" w:right="0"/>
              <w:jc w:val="left"/>
              <w:rPr>
                <w:rFonts w:ascii="宋体" w:hAnsi="宋体" w:cs="宋体" w:eastAsia="宋体" w:hint="default"/>
                <w:sz w:val="16"/>
                <w:szCs w:val="16"/>
              </w:rPr>
            </w:pPr>
            <w:r>
              <w:rPr>
                <w:rFonts w:ascii="Arial" w:hAnsi="Arial" w:cs="Arial" w:eastAsia="Arial" w:hint="default"/>
                <w:sz w:val="16"/>
                <w:szCs w:val="16"/>
              </w:rPr>
              <w:t>2007</w:t>
            </w:r>
            <w:r>
              <w:rPr>
                <w:rFonts w:ascii="Arial" w:hAnsi="Arial" w:cs="Arial" w:eastAsia="Arial" w:hint="default"/>
                <w:spacing w:val="-7"/>
                <w:sz w:val="16"/>
                <w:szCs w:val="16"/>
              </w:rPr>
              <w:t> </w:t>
            </w:r>
            <w:r>
              <w:rPr>
                <w:rFonts w:ascii="宋体" w:hAnsi="宋体" w:cs="宋体" w:eastAsia="宋体" w:hint="default"/>
                <w:sz w:val="16"/>
                <w:szCs w:val="16"/>
              </w:rPr>
              <w:t>年</w:t>
            </w:r>
          </w:p>
          <w:p>
            <w:pPr>
              <w:pStyle w:val="TableParagraph"/>
              <w:spacing w:line="214" w:lineRule="exact"/>
              <w:ind w:left="471" w:right="0"/>
              <w:jc w:val="left"/>
              <w:rPr>
                <w:rFonts w:ascii="宋体" w:hAnsi="宋体" w:cs="宋体" w:eastAsia="宋体" w:hint="default"/>
                <w:sz w:val="16"/>
                <w:szCs w:val="16"/>
              </w:rPr>
            </w:pPr>
            <w:r>
              <w:rPr>
                <w:rFonts w:ascii="Arial" w:hAnsi="Arial" w:cs="Arial" w:eastAsia="Arial" w:hint="default"/>
                <w:sz w:val="16"/>
                <w:szCs w:val="16"/>
              </w:rPr>
              <w:t>12</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r>
          </w:p>
        </w:tc>
        <w:tc>
          <w:tcPr>
            <w:tcW w:w="1189"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0"/>
              <w:jc w:val="left"/>
              <w:rPr>
                <w:rFonts w:ascii="黑体" w:hAnsi="黑体" w:cs="黑体" w:eastAsia="黑体" w:hint="default"/>
                <w:sz w:val="19"/>
                <w:szCs w:val="19"/>
              </w:rPr>
            </w:pPr>
          </w:p>
          <w:p>
            <w:pPr>
              <w:pStyle w:val="TableParagraph"/>
              <w:spacing w:line="240" w:lineRule="auto"/>
              <w:ind w:right="142"/>
              <w:jc w:val="right"/>
              <w:rPr>
                <w:rFonts w:ascii="宋体" w:hAnsi="宋体" w:cs="宋体" w:eastAsia="宋体" w:hint="default"/>
                <w:sz w:val="16"/>
                <w:szCs w:val="16"/>
              </w:rPr>
            </w:pPr>
            <w:r>
              <w:rPr>
                <w:rFonts w:ascii="宋体" w:hAnsi="宋体" w:cs="宋体" w:eastAsia="宋体" w:hint="default"/>
                <w:w w:val="95"/>
                <w:sz w:val="16"/>
                <w:szCs w:val="16"/>
              </w:rPr>
              <w:t>本年增加</w:t>
            </w:r>
            <w:r>
              <w:rPr>
                <w:rFonts w:ascii="宋体" w:hAnsi="宋体" w:cs="宋体" w:eastAsia="宋体" w:hint="default"/>
                <w:sz w:val="16"/>
                <w:szCs w:val="16"/>
              </w:rPr>
            </w:r>
          </w:p>
        </w:tc>
        <w:tc>
          <w:tcPr>
            <w:tcW w:w="1475"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0"/>
              <w:jc w:val="left"/>
              <w:rPr>
                <w:rFonts w:ascii="黑体" w:hAnsi="黑体" w:cs="黑体" w:eastAsia="黑体" w:hint="default"/>
                <w:sz w:val="19"/>
                <w:szCs w:val="19"/>
              </w:rPr>
            </w:pPr>
          </w:p>
          <w:p>
            <w:pPr>
              <w:pStyle w:val="TableParagraph"/>
              <w:spacing w:line="240" w:lineRule="auto"/>
              <w:ind w:right="135"/>
              <w:jc w:val="right"/>
              <w:rPr>
                <w:rFonts w:ascii="宋体" w:hAnsi="宋体" w:cs="宋体" w:eastAsia="宋体" w:hint="default"/>
                <w:sz w:val="16"/>
                <w:szCs w:val="16"/>
              </w:rPr>
            </w:pPr>
            <w:r>
              <w:rPr>
                <w:rFonts w:ascii="宋体" w:hAnsi="宋体" w:cs="宋体" w:eastAsia="宋体" w:hint="default"/>
                <w:w w:val="95"/>
                <w:sz w:val="16"/>
                <w:szCs w:val="16"/>
              </w:rPr>
              <w:t>本年减少</w:t>
            </w:r>
            <w:r>
              <w:rPr>
                <w:rFonts w:ascii="宋体" w:hAnsi="宋体" w:cs="宋体" w:eastAsia="宋体" w:hint="default"/>
                <w:sz w:val="16"/>
                <w:szCs w:val="16"/>
              </w:rPr>
            </w:r>
          </w:p>
        </w:tc>
        <w:tc>
          <w:tcPr>
            <w:tcW w:w="1286" w:type="dxa"/>
            <w:tcBorders>
              <w:top w:val="nil" w:sz="6" w:space="0" w:color="auto"/>
              <w:left w:val="nil" w:sz="6" w:space="0" w:color="auto"/>
              <w:bottom w:val="single" w:sz="6" w:space="0" w:color="000000"/>
              <w:right w:val="nil" w:sz="6" w:space="0" w:color="auto"/>
            </w:tcBorders>
          </w:tcPr>
          <w:p>
            <w:pPr>
              <w:pStyle w:val="TableParagraph"/>
              <w:spacing w:line="214" w:lineRule="exact" w:before="50"/>
              <w:ind w:left="664" w:right="0"/>
              <w:jc w:val="left"/>
              <w:rPr>
                <w:rFonts w:ascii="宋体" w:hAnsi="宋体" w:cs="宋体" w:eastAsia="宋体" w:hint="default"/>
                <w:sz w:val="16"/>
                <w:szCs w:val="16"/>
              </w:rPr>
            </w:pPr>
            <w:r>
              <w:rPr>
                <w:rFonts w:ascii="Arial" w:hAnsi="Arial" w:cs="Arial" w:eastAsia="Arial" w:hint="default"/>
                <w:sz w:val="16"/>
                <w:szCs w:val="16"/>
              </w:rPr>
              <w:t>2008</w:t>
            </w:r>
            <w:r>
              <w:rPr>
                <w:rFonts w:ascii="Arial" w:hAnsi="Arial" w:cs="Arial" w:eastAsia="Arial" w:hint="default"/>
                <w:spacing w:val="-7"/>
                <w:sz w:val="16"/>
                <w:szCs w:val="16"/>
              </w:rPr>
              <w:t> </w:t>
            </w:r>
            <w:r>
              <w:rPr>
                <w:rFonts w:ascii="宋体" w:hAnsi="宋体" w:cs="宋体" w:eastAsia="宋体" w:hint="default"/>
                <w:sz w:val="16"/>
                <w:szCs w:val="16"/>
              </w:rPr>
              <w:t>年</w:t>
            </w:r>
          </w:p>
          <w:p>
            <w:pPr>
              <w:pStyle w:val="TableParagraph"/>
              <w:spacing w:line="214" w:lineRule="exact"/>
              <w:ind w:left="424" w:right="0"/>
              <w:jc w:val="left"/>
              <w:rPr>
                <w:rFonts w:ascii="宋体" w:hAnsi="宋体" w:cs="宋体" w:eastAsia="宋体" w:hint="default"/>
                <w:sz w:val="16"/>
                <w:szCs w:val="16"/>
              </w:rPr>
            </w:pPr>
            <w:r>
              <w:rPr>
                <w:rFonts w:ascii="Arial" w:hAnsi="Arial" w:cs="Arial" w:eastAsia="Arial" w:hint="default"/>
                <w:sz w:val="16"/>
                <w:szCs w:val="16"/>
              </w:rPr>
              <w:t>12</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r>
          </w:p>
        </w:tc>
      </w:tr>
      <w:tr>
        <w:trPr>
          <w:trHeight w:val="224" w:hRule="exact"/>
        </w:trPr>
        <w:tc>
          <w:tcPr>
            <w:tcW w:w="3887" w:type="dxa"/>
            <w:tcBorders>
              <w:top w:val="single" w:sz="6" w:space="0" w:color="000000"/>
              <w:left w:val="nil" w:sz="6" w:space="0" w:color="auto"/>
              <w:bottom w:val="nil" w:sz="6" w:space="0" w:color="auto"/>
              <w:right w:val="nil" w:sz="6" w:space="0" w:color="auto"/>
            </w:tcBorders>
          </w:tcPr>
          <w:p>
            <w:pPr/>
          </w:p>
        </w:tc>
        <w:tc>
          <w:tcPr>
            <w:tcW w:w="1480" w:type="dxa"/>
            <w:tcBorders>
              <w:top w:val="single" w:sz="6" w:space="0" w:color="000000"/>
              <w:left w:val="nil" w:sz="6" w:space="0" w:color="auto"/>
              <w:bottom w:val="nil" w:sz="6" w:space="0" w:color="auto"/>
              <w:right w:val="nil" w:sz="6" w:space="0" w:color="auto"/>
            </w:tcBorders>
          </w:tcPr>
          <w:p>
            <w:pPr>
              <w:pStyle w:val="TableParagraph"/>
              <w:spacing w:line="183" w:lineRule="exact"/>
              <w:ind w:right="214"/>
              <w:jc w:val="right"/>
              <w:rPr>
                <w:rFonts w:ascii="宋体" w:hAnsi="宋体" w:cs="宋体" w:eastAsia="宋体" w:hint="default"/>
                <w:sz w:val="16"/>
                <w:szCs w:val="16"/>
              </w:rPr>
            </w:pPr>
            <w:r>
              <w:rPr>
                <w:rFonts w:ascii="宋体" w:hAnsi="宋体" w:cs="宋体" w:eastAsia="宋体" w:hint="default"/>
                <w:w w:val="95"/>
                <w:sz w:val="16"/>
                <w:szCs w:val="16"/>
              </w:rPr>
              <w:t>（经重列）</w:t>
            </w:r>
            <w:r>
              <w:rPr>
                <w:rFonts w:ascii="宋体" w:hAnsi="宋体" w:cs="宋体" w:eastAsia="宋体" w:hint="default"/>
                <w:sz w:val="16"/>
                <w:szCs w:val="16"/>
              </w:rPr>
            </w:r>
          </w:p>
        </w:tc>
        <w:tc>
          <w:tcPr>
            <w:tcW w:w="1189" w:type="dxa"/>
            <w:tcBorders>
              <w:top w:val="single" w:sz="6" w:space="0" w:color="000000"/>
              <w:left w:val="nil" w:sz="6" w:space="0" w:color="auto"/>
              <w:bottom w:val="nil" w:sz="6" w:space="0" w:color="auto"/>
              <w:right w:val="nil" w:sz="6" w:space="0" w:color="auto"/>
            </w:tcBorders>
          </w:tcPr>
          <w:p>
            <w:pPr/>
          </w:p>
        </w:tc>
        <w:tc>
          <w:tcPr>
            <w:tcW w:w="1475" w:type="dxa"/>
            <w:tcBorders>
              <w:top w:val="single" w:sz="6" w:space="0" w:color="000000"/>
              <w:left w:val="nil" w:sz="6" w:space="0" w:color="auto"/>
              <w:bottom w:val="nil" w:sz="6" w:space="0" w:color="auto"/>
              <w:right w:val="nil" w:sz="6" w:space="0" w:color="auto"/>
            </w:tcBorders>
          </w:tcPr>
          <w:p>
            <w:pPr/>
          </w:p>
        </w:tc>
        <w:tc>
          <w:tcPr>
            <w:tcW w:w="1286" w:type="dxa"/>
            <w:tcBorders>
              <w:top w:val="single" w:sz="6" w:space="0" w:color="000000"/>
              <w:left w:val="nil" w:sz="6" w:space="0" w:color="auto"/>
              <w:bottom w:val="nil" w:sz="6" w:space="0" w:color="auto"/>
              <w:right w:val="nil" w:sz="6" w:space="0" w:color="auto"/>
            </w:tcBorders>
          </w:tcPr>
          <w:p>
            <w:pPr/>
          </w:p>
        </w:tc>
      </w:tr>
      <w:tr>
        <w:trPr>
          <w:trHeight w:val="218" w:hRule="exact"/>
        </w:trPr>
        <w:tc>
          <w:tcPr>
            <w:tcW w:w="3887" w:type="dxa"/>
            <w:tcBorders>
              <w:top w:val="nil" w:sz="6" w:space="0" w:color="auto"/>
              <w:left w:val="nil" w:sz="6" w:space="0" w:color="auto"/>
              <w:bottom w:val="nil" w:sz="6" w:space="0" w:color="auto"/>
              <w:right w:val="nil" w:sz="6" w:space="0" w:color="auto"/>
            </w:tcBorders>
          </w:tcPr>
          <w:p>
            <w:pPr>
              <w:pStyle w:val="TableParagraph"/>
              <w:tabs>
                <w:tab w:pos="3527" w:val="left" w:leader="none"/>
              </w:tabs>
              <w:spacing w:line="197" w:lineRule="exact"/>
              <w:ind w:left="15" w:right="0"/>
              <w:jc w:val="left"/>
              <w:rPr>
                <w:rFonts w:ascii="Arial" w:hAnsi="Arial" w:cs="Arial" w:eastAsia="Arial" w:hint="default"/>
                <w:sz w:val="16"/>
                <w:szCs w:val="16"/>
              </w:rPr>
            </w:pPr>
            <w:r>
              <w:rPr>
                <w:rFonts w:ascii="宋体" w:hAnsi="宋体" w:cs="宋体" w:eastAsia="宋体" w:hint="default"/>
                <w:w w:val="95"/>
                <w:position w:val="1"/>
                <w:sz w:val="16"/>
                <w:szCs w:val="16"/>
              </w:rPr>
              <w:t>发起人出资溢价</w:t>
              <w:tab/>
            </w:r>
            <w:r>
              <w:rPr>
                <w:rFonts w:ascii="Arial" w:hAnsi="Arial" w:cs="Arial" w:eastAsia="Arial" w:hint="default"/>
                <w:sz w:val="16"/>
                <w:szCs w:val="16"/>
              </w:rPr>
              <w:t>a</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42"/>
              <w:jc w:val="right"/>
              <w:rPr>
                <w:rFonts w:ascii="Arial" w:hAnsi="Arial" w:cs="Arial" w:eastAsia="Arial" w:hint="default"/>
                <w:sz w:val="16"/>
                <w:szCs w:val="16"/>
              </w:rPr>
            </w:pPr>
            <w:r>
              <w:rPr>
                <w:rFonts w:ascii="Arial"/>
                <w:w w:val="95"/>
                <w:sz w:val="16"/>
              </w:rPr>
              <w:t>7,913,551,905</w:t>
            </w:r>
            <w:r>
              <w:rPr>
                <w:rFonts w:ascii="Arial"/>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Arial" w:hAnsi="Arial" w:cs="Arial" w:eastAsia="Arial" w:hint="default"/>
                <w:sz w:val="16"/>
                <w:szCs w:val="16"/>
              </w:rPr>
            </w:pPr>
            <w:r>
              <w:rPr>
                <w:rFonts w:ascii="Arial"/>
                <w:w w:val="99"/>
                <w:sz w:val="16"/>
              </w:rPr>
              <w:t>-</w:t>
            </w:r>
            <w:r>
              <w:rPr>
                <w:rFonts w:ascii="Arial"/>
                <w:sz w:val="16"/>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97"/>
              <w:jc w:val="right"/>
              <w:rPr>
                <w:rFonts w:ascii="Arial" w:hAnsi="Arial" w:cs="Arial" w:eastAsia="Arial" w:hint="default"/>
                <w:sz w:val="16"/>
                <w:szCs w:val="16"/>
              </w:rPr>
            </w:pPr>
            <w:r>
              <w:rPr>
                <w:rFonts w:ascii="Arial"/>
                <w:w w:val="99"/>
                <w:sz w:val="16"/>
              </w:rPr>
              <w:t>-</w:t>
            </w:r>
            <w:r>
              <w:rPr>
                <w:rFonts w:ascii="Arial"/>
                <w:sz w:val="16"/>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41"/>
              <w:jc w:val="right"/>
              <w:rPr>
                <w:rFonts w:ascii="Arial" w:hAnsi="Arial" w:cs="Arial" w:eastAsia="Arial" w:hint="default"/>
                <w:sz w:val="16"/>
                <w:szCs w:val="16"/>
              </w:rPr>
            </w:pPr>
            <w:r>
              <w:rPr>
                <w:rFonts w:ascii="Arial"/>
                <w:w w:val="95"/>
                <w:sz w:val="16"/>
              </w:rPr>
              <w:t>7,913,551,905</w:t>
            </w:r>
            <w:r>
              <w:rPr>
                <w:rFonts w:ascii="Arial"/>
                <w:sz w:val="16"/>
              </w:rPr>
            </w:r>
          </w:p>
        </w:tc>
      </w:tr>
      <w:tr>
        <w:trPr>
          <w:trHeight w:val="311" w:hRule="exact"/>
        </w:trPr>
        <w:tc>
          <w:tcPr>
            <w:tcW w:w="3887" w:type="dxa"/>
            <w:tcBorders>
              <w:top w:val="nil" w:sz="6" w:space="0" w:color="auto"/>
              <w:left w:val="nil" w:sz="6" w:space="0" w:color="auto"/>
              <w:bottom w:val="nil" w:sz="6" w:space="0" w:color="auto"/>
              <w:right w:val="nil" w:sz="6" w:space="0" w:color="auto"/>
            </w:tcBorders>
          </w:tcPr>
          <w:p>
            <w:pPr>
              <w:pStyle w:val="TableParagraph"/>
              <w:tabs>
                <w:tab w:pos="3528" w:val="left" w:leader="none"/>
              </w:tabs>
              <w:spacing w:line="175" w:lineRule="exact"/>
              <w:ind w:left="15" w:right="0"/>
              <w:jc w:val="left"/>
              <w:rPr>
                <w:rFonts w:ascii="Arial" w:hAnsi="Arial" w:cs="Arial" w:eastAsia="Arial" w:hint="default"/>
                <w:sz w:val="16"/>
                <w:szCs w:val="16"/>
              </w:rPr>
            </w:pPr>
            <w:r>
              <w:rPr>
                <w:rFonts w:ascii="宋体" w:hAnsi="宋体" w:cs="宋体" w:eastAsia="宋体" w:hint="default"/>
                <w:w w:val="95"/>
                <w:position w:val="1"/>
                <w:sz w:val="16"/>
                <w:szCs w:val="16"/>
              </w:rPr>
              <w:t>人民币普通股发行溢价</w:t>
              <w:tab/>
            </w:r>
            <w:r>
              <w:rPr>
                <w:rFonts w:ascii="Arial" w:hAnsi="Arial" w:cs="Arial" w:eastAsia="Arial" w:hint="default"/>
                <w:sz w:val="16"/>
                <w:szCs w:val="16"/>
              </w:rPr>
              <w:t>a</w:t>
            </w:r>
          </w:p>
          <w:p>
            <w:pPr>
              <w:pStyle w:val="TableParagraph"/>
              <w:spacing w:line="177" w:lineRule="exact"/>
              <w:ind w:left="15" w:right="0"/>
              <w:jc w:val="left"/>
              <w:rPr>
                <w:rFonts w:ascii="宋体" w:hAnsi="宋体" w:cs="宋体" w:eastAsia="宋体" w:hint="default"/>
                <w:sz w:val="16"/>
                <w:szCs w:val="16"/>
              </w:rPr>
            </w:pPr>
            <w:r>
              <w:rPr>
                <w:rFonts w:ascii="宋体" w:hAnsi="宋体" w:cs="宋体" w:eastAsia="宋体" w:hint="default"/>
                <w:spacing w:val="2"/>
                <w:sz w:val="16"/>
                <w:szCs w:val="16"/>
              </w:rPr>
              <w:t>联通运营公司同一控制下收购目标业务的影响</w:t>
            </w:r>
            <w:r>
              <w:rPr>
                <w:rFonts w:ascii="宋体" w:hAnsi="宋体" w:cs="宋体" w:eastAsia="宋体" w:hint="default"/>
                <w:sz w:val="16"/>
                <w:szCs w:val="16"/>
              </w:rPr>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1"/>
              <w:jc w:val="right"/>
              <w:rPr>
                <w:rFonts w:ascii="Arial" w:hAnsi="Arial" w:cs="Arial" w:eastAsia="Arial" w:hint="default"/>
                <w:sz w:val="16"/>
                <w:szCs w:val="16"/>
              </w:rPr>
            </w:pPr>
            <w:r>
              <w:rPr>
                <w:rFonts w:ascii="Arial"/>
                <w:w w:val="95"/>
                <w:sz w:val="16"/>
              </w:rPr>
              <w:t>9,197,551,203</w:t>
            </w:r>
            <w:r>
              <w:rPr>
                <w:rFonts w:ascii="Arial"/>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7"/>
              <w:jc w:val="right"/>
              <w:rPr>
                <w:rFonts w:ascii="Arial" w:hAnsi="Arial" w:cs="Arial" w:eastAsia="Arial" w:hint="default"/>
                <w:sz w:val="16"/>
                <w:szCs w:val="16"/>
              </w:rPr>
            </w:pPr>
            <w:r>
              <w:rPr>
                <w:rFonts w:ascii="Arial"/>
                <w:w w:val="99"/>
                <w:sz w:val="16"/>
              </w:rPr>
              <w:t>-</w:t>
            </w:r>
            <w:r>
              <w:rPr>
                <w:rFonts w:ascii="Arial"/>
                <w:sz w:val="16"/>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7"/>
              <w:jc w:val="right"/>
              <w:rPr>
                <w:rFonts w:ascii="Arial" w:hAnsi="Arial" w:cs="Arial" w:eastAsia="Arial" w:hint="default"/>
                <w:sz w:val="16"/>
                <w:szCs w:val="16"/>
              </w:rPr>
            </w:pPr>
            <w:r>
              <w:rPr>
                <w:rFonts w:ascii="Arial"/>
                <w:w w:val="99"/>
                <w:sz w:val="16"/>
              </w:rPr>
              <w:t>-</w:t>
            </w:r>
            <w:r>
              <w:rPr>
                <w:rFonts w:ascii="Arial"/>
                <w:sz w:val="16"/>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41"/>
              <w:jc w:val="right"/>
              <w:rPr>
                <w:rFonts w:ascii="Arial" w:hAnsi="Arial" w:cs="Arial" w:eastAsia="Arial" w:hint="default"/>
                <w:sz w:val="16"/>
                <w:szCs w:val="16"/>
              </w:rPr>
            </w:pPr>
            <w:r>
              <w:rPr>
                <w:rFonts w:ascii="Arial"/>
                <w:w w:val="95"/>
                <w:sz w:val="16"/>
              </w:rPr>
              <w:t>9,197,551,203</w:t>
            </w:r>
            <w:r>
              <w:rPr>
                <w:rFonts w:ascii="Arial"/>
                <w:sz w:val="16"/>
              </w:rPr>
            </w:r>
          </w:p>
        </w:tc>
      </w:tr>
      <w:tr>
        <w:trPr>
          <w:trHeight w:val="518" w:hRule="exact"/>
        </w:trPr>
        <w:tc>
          <w:tcPr>
            <w:tcW w:w="3887" w:type="dxa"/>
            <w:tcBorders>
              <w:top w:val="nil" w:sz="6" w:space="0" w:color="auto"/>
              <w:left w:val="nil" w:sz="6" w:space="0" w:color="auto"/>
              <w:bottom w:val="nil" w:sz="6" w:space="0" w:color="auto"/>
              <w:right w:val="nil" w:sz="6" w:space="0" w:color="auto"/>
            </w:tcBorders>
          </w:tcPr>
          <w:p>
            <w:pPr>
              <w:pStyle w:val="TableParagraph"/>
              <w:tabs>
                <w:tab w:pos="3528" w:val="left" w:leader="none"/>
              </w:tabs>
              <w:spacing w:line="218" w:lineRule="exact" w:before="60"/>
              <w:ind w:left="217" w:right="0"/>
              <w:jc w:val="left"/>
              <w:rPr>
                <w:rFonts w:ascii="Arial" w:hAnsi="Arial" w:cs="Arial" w:eastAsia="Arial" w:hint="default"/>
                <w:sz w:val="16"/>
                <w:szCs w:val="16"/>
              </w:rPr>
            </w:pPr>
            <w:r>
              <w:rPr>
                <w:rFonts w:ascii="宋体" w:hAnsi="宋体" w:cs="宋体" w:eastAsia="宋体" w:hint="default"/>
                <w:w w:val="95"/>
                <w:position w:val="1"/>
                <w:sz w:val="16"/>
                <w:szCs w:val="16"/>
              </w:rPr>
              <w:t>（除可供出售金融资产公允价值变动影响）</w:t>
              <w:tab/>
            </w:r>
            <w:r>
              <w:rPr>
                <w:rFonts w:ascii="Arial" w:hAnsi="Arial" w:cs="Arial" w:eastAsia="Arial" w:hint="default"/>
                <w:sz w:val="16"/>
                <w:szCs w:val="16"/>
              </w:rPr>
              <w:t>b</w:t>
            </w:r>
          </w:p>
          <w:p>
            <w:pPr>
              <w:pStyle w:val="TableParagraph"/>
              <w:spacing w:line="196" w:lineRule="exact"/>
              <w:ind w:left="15" w:right="0"/>
              <w:jc w:val="left"/>
              <w:rPr>
                <w:rFonts w:ascii="宋体" w:hAnsi="宋体" w:cs="宋体" w:eastAsia="宋体" w:hint="default"/>
                <w:sz w:val="16"/>
                <w:szCs w:val="16"/>
              </w:rPr>
            </w:pPr>
            <w:r>
              <w:rPr>
                <w:rFonts w:ascii="宋体" w:hAnsi="宋体" w:cs="宋体" w:eastAsia="宋体" w:hint="default"/>
                <w:spacing w:val="2"/>
                <w:sz w:val="16"/>
                <w:szCs w:val="16"/>
              </w:rPr>
              <w:t>确认子公司持有可供出售金融资产公允价值变</w:t>
            </w:r>
            <w:r>
              <w:rPr>
                <w:rFonts w:ascii="宋体" w:hAnsi="宋体" w:cs="宋体" w:eastAsia="宋体" w:hint="default"/>
                <w:sz w:val="16"/>
                <w:szCs w:val="16"/>
              </w:rPr>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41"/>
              <w:jc w:val="right"/>
              <w:rPr>
                <w:rFonts w:ascii="Arial" w:hAnsi="Arial" w:cs="Arial" w:eastAsia="Arial" w:hint="default"/>
                <w:sz w:val="16"/>
                <w:szCs w:val="16"/>
              </w:rPr>
            </w:pPr>
            <w:r>
              <w:rPr>
                <w:rFonts w:ascii="Arial"/>
                <w:w w:val="95"/>
                <w:sz w:val="16"/>
              </w:rPr>
              <w:t>1,862,579,513</w:t>
            </w:r>
            <w:r>
              <w:rPr>
                <w:rFonts w:ascii="Arial"/>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Arial" w:hAnsi="Arial" w:cs="Arial" w:eastAsia="Arial" w:hint="default"/>
                <w:sz w:val="16"/>
                <w:szCs w:val="16"/>
              </w:rPr>
            </w:pPr>
            <w:r>
              <w:rPr>
                <w:rFonts w:ascii="Arial"/>
                <w:w w:val="99"/>
                <w:sz w:val="16"/>
              </w:rPr>
              <w:t>-</w:t>
            </w:r>
            <w:r>
              <w:rPr>
                <w:rFonts w:ascii="Arial"/>
                <w:sz w:val="16"/>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97"/>
              <w:jc w:val="right"/>
              <w:rPr>
                <w:rFonts w:ascii="Arial" w:hAnsi="Arial" w:cs="Arial" w:eastAsia="Arial" w:hint="default"/>
                <w:sz w:val="16"/>
                <w:szCs w:val="16"/>
              </w:rPr>
            </w:pPr>
            <w:r>
              <w:rPr>
                <w:rFonts w:ascii="Arial"/>
                <w:w w:val="99"/>
                <w:sz w:val="16"/>
              </w:rPr>
              <w:t>-</w:t>
            </w:r>
            <w:r>
              <w:rPr>
                <w:rFonts w:ascii="Arial"/>
                <w:sz w:val="16"/>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1"/>
              <w:jc w:val="right"/>
              <w:rPr>
                <w:rFonts w:ascii="Arial" w:hAnsi="Arial" w:cs="Arial" w:eastAsia="Arial" w:hint="default"/>
                <w:sz w:val="16"/>
                <w:szCs w:val="16"/>
              </w:rPr>
            </w:pPr>
            <w:r>
              <w:rPr>
                <w:rFonts w:ascii="Arial"/>
                <w:w w:val="95"/>
                <w:sz w:val="16"/>
              </w:rPr>
              <w:t>1,862,579,513</w:t>
            </w:r>
            <w:r>
              <w:rPr>
                <w:rFonts w:ascii="Arial"/>
                <w:sz w:val="16"/>
              </w:rPr>
            </w:r>
          </w:p>
        </w:tc>
      </w:tr>
      <w:tr>
        <w:trPr>
          <w:trHeight w:val="415" w:hRule="exact"/>
        </w:trPr>
        <w:tc>
          <w:tcPr>
            <w:tcW w:w="3887" w:type="dxa"/>
            <w:tcBorders>
              <w:top w:val="nil" w:sz="6" w:space="0" w:color="auto"/>
              <w:left w:val="nil" w:sz="6" w:space="0" w:color="auto"/>
              <w:bottom w:val="nil" w:sz="6" w:space="0" w:color="auto"/>
              <w:right w:val="nil" w:sz="6" w:space="0" w:color="auto"/>
            </w:tcBorders>
          </w:tcPr>
          <w:p>
            <w:pPr>
              <w:pStyle w:val="TableParagraph"/>
              <w:spacing w:line="163" w:lineRule="exact"/>
              <w:ind w:left="217" w:right="0"/>
              <w:jc w:val="left"/>
              <w:rPr>
                <w:rFonts w:ascii="宋体" w:hAnsi="宋体" w:cs="宋体" w:eastAsia="宋体" w:hint="default"/>
                <w:sz w:val="16"/>
                <w:szCs w:val="16"/>
              </w:rPr>
            </w:pPr>
            <w:r>
              <w:rPr>
                <w:rFonts w:ascii="宋体" w:hAnsi="宋体" w:cs="宋体" w:eastAsia="宋体" w:hint="default"/>
                <w:sz w:val="16"/>
                <w:szCs w:val="16"/>
              </w:rPr>
              <w:t>动的影响（由联通运营公司同一控制下收购</w:t>
            </w:r>
          </w:p>
          <w:p>
            <w:pPr>
              <w:pStyle w:val="TableParagraph"/>
              <w:tabs>
                <w:tab w:pos="3465" w:val="left" w:leader="none"/>
              </w:tabs>
              <w:spacing w:line="230" w:lineRule="exact"/>
              <w:ind w:left="211" w:right="0"/>
              <w:jc w:val="left"/>
              <w:rPr>
                <w:rFonts w:ascii="Arial" w:hAnsi="Arial" w:cs="Arial" w:eastAsia="Arial" w:hint="default"/>
                <w:sz w:val="16"/>
                <w:szCs w:val="16"/>
              </w:rPr>
            </w:pPr>
            <w:r>
              <w:rPr>
                <w:rFonts w:ascii="宋体" w:hAnsi="宋体" w:cs="宋体" w:eastAsia="宋体" w:hint="default"/>
                <w:w w:val="95"/>
                <w:position w:val="1"/>
                <w:sz w:val="16"/>
                <w:szCs w:val="16"/>
              </w:rPr>
              <w:t>目标业务转入）</w:t>
              <w:tab/>
            </w:r>
            <w:r>
              <w:rPr>
                <w:rFonts w:ascii="Arial" w:hAnsi="Arial" w:cs="Arial" w:eastAsia="Arial" w:hint="default"/>
                <w:sz w:val="16"/>
                <w:szCs w:val="16"/>
              </w:rPr>
              <w:t>b,c</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黑体" w:hAnsi="黑体" w:cs="黑体" w:eastAsia="黑体" w:hint="default"/>
                <w:sz w:val="16"/>
                <w:szCs w:val="16"/>
              </w:rPr>
            </w:pPr>
          </w:p>
          <w:p>
            <w:pPr>
              <w:pStyle w:val="TableParagraph"/>
              <w:spacing w:line="240" w:lineRule="auto"/>
              <w:ind w:right="241"/>
              <w:jc w:val="right"/>
              <w:rPr>
                <w:rFonts w:ascii="Arial" w:hAnsi="Arial" w:cs="Arial" w:eastAsia="Arial" w:hint="default"/>
                <w:sz w:val="16"/>
                <w:szCs w:val="16"/>
              </w:rPr>
            </w:pPr>
            <w:r>
              <w:rPr>
                <w:rFonts w:ascii="Arial"/>
                <w:w w:val="95"/>
                <w:sz w:val="16"/>
              </w:rPr>
              <w:t>62,725,217</w:t>
            </w:r>
            <w:r>
              <w:rPr>
                <w:rFonts w:ascii="Arial"/>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黑体" w:hAnsi="黑体" w:cs="黑体" w:eastAsia="黑体" w:hint="default"/>
                <w:sz w:val="16"/>
                <w:szCs w:val="16"/>
              </w:rPr>
            </w:pPr>
          </w:p>
          <w:p>
            <w:pPr>
              <w:pStyle w:val="TableParagraph"/>
              <w:spacing w:line="240" w:lineRule="auto"/>
              <w:ind w:right="107"/>
              <w:jc w:val="right"/>
              <w:rPr>
                <w:rFonts w:ascii="Arial" w:hAnsi="Arial" w:cs="Arial" w:eastAsia="Arial" w:hint="default"/>
                <w:sz w:val="16"/>
                <w:szCs w:val="16"/>
              </w:rPr>
            </w:pPr>
            <w:r>
              <w:rPr>
                <w:rFonts w:ascii="Arial"/>
                <w:w w:val="99"/>
                <w:sz w:val="16"/>
              </w:rPr>
              <w:t>-</w:t>
            </w:r>
            <w:r>
              <w:rPr>
                <w:rFonts w:ascii="Arial"/>
                <w:sz w:val="16"/>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黑体" w:hAnsi="黑体" w:cs="黑体" w:eastAsia="黑体" w:hint="default"/>
                <w:sz w:val="16"/>
                <w:szCs w:val="16"/>
              </w:rPr>
            </w:pPr>
          </w:p>
          <w:p>
            <w:pPr>
              <w:pStyle w:val="TableParagraph"/>
              <w:spacing w:line="240" w:lineRule="auto"/>
              <w:ind w:right="144"/>
              <w:jc w:val="right"/>
              <w:rPr>
                <w:rFonts w:ascii="Arial" w:hAnsi="Arial" w:cs="Arial" w:eastAsia="Arial" w:hint="default"/>
                <w:sz w:val="16"/>
                <w:szCs w:val="16"/>
              </w:rPr>
            </w:pPr>
            <w:r>
              <w:rPr>
                <w:rFonts w:ascii="Arial"/>
                <w:w w:val="95"/>
                <w:sz w:val="16"/>
              </w:rPr>
              <w:t>(47,991,235)</w:t>
            </w:r>
            <w:r>
              <w:rPr>
                <w:rFonts w:ascii="Arial"/>
                <w:sz w:val="16"/>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黑体" w:hAnsi="黑体" w:cs="黑体" w:eastAsia="黑体" w:hint="default"/>
                <w:sz w:val="16"/>
                <w:szCs w:val="16"/>
              </w:rPr>
            </w:pPr>
          </w:p>
          <w:p>
            <w:pPr>
              <w:pStyle w:val="TableParagraph"/>
              <w:spacing w:line="240" w:lineRule="auto"/>
              <w:ind w:right="41"/>
              <w:jc w:val="right"/>
              <w:rPr>
                <w:rFonts w:ascii="Arial" w:hAnsi="Arial" w:cs="Arial" w:eastAsia="Arial" w:hint="default"/>
                <w:sz w:val="16"/>
                <w:szCs w:val="16"/>
              </w:rPr>
            </w:pPr>
            <w:r>
              <w:rPr>
                <w:rFonts w:ascii="Arial"/>
                <w:w w:val="95"/>
                <w:sz w:val="16"/>
              </w:rPr>
              <w:t>14,733,982</w:t>
            </w:r>
            <w:r>
              <w:rPr>
                <w:rFonts w:ascii="Arial"/>
                <w:sz w:val="16"/>
              </w:rPr>
            </w:r>
          </w:p>
        </w:tc>
      </w:tr>
      <w:tr>
        <w:trPr>
          <w:trHeight w:val="208" w:hRule="exact"/>
        </w:trPr>
        <w:tc>
          <w:tcPr>
            <w:tcW w:w="3887" w:type="dxa"/>
            <w:tcBorders>
              <w:top w:val="nil" w:sz="6" w:space="0" w:color="auto"/>
              <w:left w:val="nil" w:sz="6" w:space="0" w:color="auto"/>
              <w:bottom w:val="nil" w:sz="6" w:space="0" w:color="auto"/>
              <w:right w:val="nil" w:sz="6" w:space="0" w:color="auto"/>
            </w:tcBorders>
          </w:tcPr>
          <w:p>
            <w:pPr>
              <w:pStyle w:val="TableParagraph"/>
              <w:tabs>
                <w:tab w:pos="3527" w:val="left" w:leader="none"/>
              </w:tabs>
              <w:spacing w:line="188" w:lineRule="exact"/>
              <w:ind w:left="15" w:right="0"/>
              <w:jc w:val="left"/>
              <w:rPr>
                <w:rFonts w:ascii="Arial" w:hAnsi="Arial" w:cs="Arial" w:eastAsia="Arial" w:hint="default"/>
                <w:sz w:val="16"/>
                <w:szCs w:val="16"/>
              </w:rPr>
            </w:pPr>
            <w:r>
              <w:rPr>
                <w:rFonts w:ascii="宋体" w:hAnsi="宋体" w:cs="宋体" w:eastAsia="宋体" w:hint="default"/>
                <w:w w:val="95"/>
                <w:position w:val="1"/>
                <w:sz w:val="16"/>
                <w:szCs w:val="16"/>
              </w:rPr>
              <w:t>子公司企业改制评估增值的影响</w:t>
              <w:tab/>
            </w:r>
            <w:r>
              <w:rPr>
                <w:rFonts w:ascii="Arial" w:hAnsi="Arial" w:cs="Arial" w:eastAsia="Arial" w:hint="default"/>
                <w:sz w:val="16"/>
                <w:szCs w:val="16"/>
              </w:rPr>
              <w:t>d</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41"/>
              <w:jc w:val="right"/>
              <w:rPr>
                <w:rFonts w:ascii="Arial" w:hAnsi="Arial" w:cs="Arial" w:eastAsia="Arial" w:hint="default"/>
                <w:sz w:val="16"/>
                <w:szCs w:val="16"/>
              </w:rPr>
            </w:pPr>
            <w:r>
              <w:rPr>
                <w:rFonts w:ascii="Arial"/>
                <w:w w:val="99"/>
                <w:sz w:val="16"/>
              </w:rPr>
              <w:t>-</w:t>
            </w:r>
            <w:r>
              <w:rPr>
                <w:rFonts w:ascii="Arial"/>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8"/>
              <w:jc w:val="right"/>
              <w:rPr>
                <w:rFonts w:ascii="Arial" w:hAnsi="Arial" w:cs="Arial" w:eastAsia="Arial" w:hint="default"/>
                <w:sz w:val="16"/>
                <w:szCs w:val="16"/>
              </w:rPr>
            </w:pPr>
            <w:r>
              <w:rPr>
                <w:rFonts w:ascii="Arial"/>
                <w:w w:val="95"/>
                <w:sz w:val="16"/>
              </w:rPr>
              <w:t>29,996,252</w:t>
            </w:r>
            <w:r>
              <w:rPr>
                <w:rFonts w:ascii="Arial"/>
                <w:sz w:val="16"/>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97"/>
              <w:jc w:val="right"/>
              <w:rPr>
                <w:rFonts w:ascii="Arial" w:hAnsi="Arial" w:cs="Arial" w:eastAsia="Arial" w:hint="default"/>
                <w:sz w:val="16"/>
                <w:szCs w:val="16"/>
              </w:rPr>
            </w:pPr>
            <w:r>
              <w:rPr>
                <w:rFonts w:ascii="Arial"/>
                <w:w w:val="99"/>
                <w:sz w:val="16"/>
              </w:rPr>
              <w:t>-</w:t>
            </w:r>
            <w:r>
              <w:rPr>
                <w:rFonts w:ascii="Arial"/>
                <w:sz w:val="16"/>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1"/>
              <w:jc w:val="right"/>
              <w:rPr>
                <w:rFonts w:ascii="Arial" w:hAnsi="Arial" w:cs="Arial" w:eastAsia="Arial" w:hint="default"/>
                <w:sz w:val="16"/>
                <w:szCs w:val="16"/>
              </w:rPr>
            </w:pPr>
            <w:r>
              <w:rPr>
                <w:rFonts w:ascii="Arial"/>
                <w:w w:val="95"/>
                <w:sz w:val="16"/>
              </w:rPr>
              <w:t>29,996,252</w:t>
            </w:r>
            <w:r>
              <w:rPr>
                <w:rFonts w:ascii="Arial"/>
                <w:sz w:val="16"/>
              </w:rPr>
            </w:r>
          </w:p>
        </w:tc>
      </w:tr>
      <w:tr>
        <w:trPr>
          <w:trHeight w:val="338" w:hRule="exact"/>
        </w:trPr>
        <w:tc>
          <w:tcPr>
            <w:tcW w:w="3887" w:type="dxa"/>
            <w:tcBorders>
              <w:top w:val="nil" w:sz="6" w:space="0" w:color="auto"/>
              <w:left w:val="nil" w:sz="6" w:space="0" w:color="auto"/>
              <w:bottom w:val="nil" w:sz="6" w:space="0" w:color="auto"/>
              <w:right w:val="nil" w:sz="6" w:space="0" w:color="auto"/>
            </w:tcBorders>
          </w:tcPr>
          <w:p>
            <w:pPr>
              <w:pStyle w:val="TableParagraph"/>
              <w:tabs>
                <w:tab w:pos="3527" w:val="left" w:leader="none"/>
              </w:tabs>
              <w:spacing w:line="187" w:lineRule="exact"/>
              <w:ind w:left="15" w:right="0"/>
              <w:jc w:val="left"/>
              <w:rPr>
                <w:rFonts w:ascii="Arial" w:hAnsi="Arial" w:cs="Arial" w:eastAsia="Arial" w:hint="default"/>
                <w:sz w:val="16"/>
                <w:szCs w:val="16"/>
              </w:rPr>
            </w:pPr>
            <w:r>
              <w:rPr>
                <w:rFonts w:ascii="宋体" w:hAnsi="宋体" w:cs="宋体" w:eastAsia="宋体" w:hint="default"/>
                <w:w w:val="95"/>
                <w:position w:val="1"/>
                <w:sz w:val="16"/>
                <w:szCs w:val="16"/>
              </w:rPr>
              <w:t>与股份期权相关的员工薪酬所确认金额的影响</w:t>
              <w:tab/>
            </w:r>
            <w:r>
              <w:rPr>
                <w:rFonts w:ascii="Arial" w:hAnsi="Arial" w:cs="Arial" w:eastAsia="Arial" w:hint="default"/>
                <w:sz w:val="16"/>
                <w:szCs w:val="16"/>
              </w:rPr>
              <w:t>e</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2"/>
              <w:jc w:val="right"/>
              <w:rPr>
                <w:rFonts w:ascii="Arial" w:hAnsi="Arial" w:cs="Arial" w:eastAsia="Arial" w:hint="default"/>
                <w:sz w:val="16"/>
                <w:szCs w:val="16"/>
              </w:rPr>
            </w:pPr>
            <w:r>
              <w:rPr>
                <w:rFonts w:ascii="Arial"/>
                <w:w w:val="95"/>
                <w:sz w:val="16"/>
              </w:rPr>
              <w:t>196,887,202</w:t>
            </w:r>
            <w:r>
              <w:rPr>
                <w:rFonts w:ascii="Arial"/>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8"/>
              <w:jc w:val="right"/>
              <w:rPr>
                <w:rFonts w:ascii="Arial" w:hAnsi="Arial" w:cs="Arial" w:eastAsia="Arial" w:hint="default"/>
                <w:sz w:val="16"/>
                <w:szCs w:val="16"/>
              </w:rPr>
            </w:pPr>
            <w:r>
              <w:rPr>
                <w:rFonts w:ascii="Arial"/>
                <w:w w:val="95"/>
                <w:sz w:val="16"/>
              </w:rPr>
              <w:t>47,964,390</w:t>
            </w:r>
            <w:r>
              <w:rPr>
                <w:rFonts w:ascii="Arial"/>
                <w:sz w:val="16"/>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8"/>
              <w:jc w:val="right"/>
              <w:rPr>
                <w:rFonts w:ascii="Arial" w:hAnsi="Arial" w:cs="Arial" w:eastAsia="Arial" w:hint="default"/>
                <w:sz w:val="16"/>
                <w:szCs w:val="16"/>
              </w:rPr>
            </w:pPr>
            <w:r>
              <w:rPr>
                <w:rFonts w:ascii="Arial"/>
                <w:w w:val="99"/>
                <w:sz w:val="16"/>
              </w:rPr>
              <w:t>-</w:t>
            </w:r>
            <w:r>
              <w:rPr>
                <w:rFonts w:ascii="Arial"/>
                <w:sz w:val="16"/>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42"/>
              <w:jc w:val="right"/>
              <w:rPr>
                <w:rFonts w:ascii="Arial" w:hAnsi="Arial" w:cs="Arial" w:eastAsia="Arial" w:hint="default"/>
                <w:sz w:val="16"/>
                <w:szCs w:val="16"/>
              </w:rPr>
            </w:pPr>
            <w:r>
              <w:rPr>
                <w:rFonts w:ascii="Arial"/>
                <w:w w:val="95"/>
                <w:sz w:val="16"/>
              </w:rPr>
              <w:t>244,851,592</w:t>
            </w:r>
            <w:r>
              <w:rPr>
                <w:rFonts w:ascii="Arial"/>
                <w:sz w:val="16"/>
              </w:rPr>
            </w:r>
          </w:p>
        </w:tc>
      </w:tr>
      <w:tr>
        <w:trPr>
          <w:trHeight w:val="339" w:hRule="exact"/>
        </w:trPr>
        <w:tc>
          <w:tcPr>
            <w:tcW w:w="3887" w:type="dxa"/>
            <w:tcBorders>
              <w:top w:val="nil" w:sz="6" w:space="0" w:color="auto"/>
              <w:left w:val="nil" w:sz="6" w:space="0" w:color="auto"/>
              <w:bottom w:val="nil" w:sz="6" w:space="0" w:color="auto"/>
              <w:right w:val="nil" w:sz="6" w:space="0" w:color="auto"/>
            </w:tcBorders>
          </w:tcPr>
          <w:p>
            <w:pPr>
              <w:pStyle w:val="TableParagraph"/>
              <w:spacing w:line="88" w:lineRule="exact"/>
              <w:ind w:left="15" w:right="0"/>
              <w:jc w:val="left"/>
              <w:rPr>
                <w:rFonts w:ascii="宋体" w:hAnsi="宋体" w:cs="宋体" w:eastAsia="宋体" w:hint="default"/>
                <w:sz w:val="16"/>
                <w:szCs w:val="16"/>
              </w:rPr>
            </w:pPr>
            <w:r>
              <w:rPr>
                <w:rFonts w:ascii="宋体" w:hAnsi="宋体" w:cs="宋体" w:eastAsia="宋体" w:hint="default"/>
                <w:spacing w:val="2"/>
                <w:sz w:val="16"/>
                <w:szCs w:val="16"/>
              </w:rPr>
              <w:t>确认子公司员工行使股份期权所增加的子公司</w:t>
            </w:r>
            <w:r>
              <w:rPr>
                <w:rFonts w:ascii="宋体" w:hAnsi="宋体" w:cs="宋体" w:eastAsia="宋体" w:hint="default"/>
                <w:sz w:val="16"/>
                <w:szCs w:val="16"/>
              </w:rPr>
            </w:r>
          </w:p>
          <w:p>
            <w:pPr>
              <w:pStyle w:val="TableParagraph"/>
              <w:tabs>
                <w:tab w:pos="3528" w:val="left" w:leader="none"/>
              </w:tabs>
              <w:spacing w:line="230" w:lineRule="exact"/>
              <w:ind w:left="217" w:right="0"/>
              <w:jc w:val="left"/>
              <w:rPr>
                <w:rFonts w:ascii="Arial" w:hAnsi="Arial" w:cs="Arial" w:eastAsia="Arial" w:hint="default"/>
                <w:sz w:val="16"/>
                <w:szCs w:val="16"/>
              </w:rPr>
            </w:pPr>
            <w:r>
              <w:rPr>
                <w:rFonts w:ascii="宋体" w:hAnsi="宋体" w:cs="宋体" w:eastAsia="宋体" w:hint="default"/>
                <w:w w:val="95"/>
                <w:position w:val="1"/>
                <w:sz w:val="16"/>
                <w:szCs w:val="16"/>
              </w:rPr>
              <w:t>权益的影响</w:t>
              <w:tab/>
            </w:r>
            <w:r>
              <w:rPr>
                <w:rFonts w:ascii="Arial" w:hAnsi="Arial" w:cs="Arial" w:eastAsia="Arial" w:hint="default"/>
                <w:sz w:val="16"/>
                <w:szCs w:val="16"/>
              </w:rPr>
              <w:t>g</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88"/>
              <w:jc w:val="right"/>
              <w:rPr>
                <w:rFonts w:ascii="Arial" w:hAnsi="Arial" w:cs="Arial" w:eastAsia="Arial" w:hint="default"/>
                <w:sz w:val="16"/>
                <w:szCs w:val="16"/>
              </w:rPr>
            </w:pPr>
            <w:r>
              <w:rPr>
                <w:rFonts w:ascii="Arial"/>
                <w:w w:val="95"/>
                <w:sz w:val="16"/>
              </w:rPr>
              <w:t>(67,079,700)</w:t>
            </w:r>
            <w:r>
              <w:rPr>
                <w:rFonts w:ascii="Arial"/>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08"/>
              <w:jc w:val="right"/>
              <w:rPr>
                <w:rFonts w:ascii="Arial" w:hAnsi="Arial" w:cs="Arial" w:eastAsia="Arial" w:hint="default"/>
                <w:sz w:val="16"/>
                <w:szCs w:val="16"/>
              </w:rPr>
            </w:pPr>
            <w:r>
              <w:rPr>
                <w:rFonts w:ascii="Arial"/>
                <w:w w:val="95"/>
                <w:sz w:val="16"/>
              </w:rPr>
              <w:t>80,991,638</w:t>
            </w:r>
            <w:r>
              <w:rPr>
                <w:rFonts w:ascii="Arial"/>
                <w:sz w:val="16"/>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197"/>
              <w:jc w:val="right"/>
              <w:rPr>
                <w:rFonts w:ascii="Arial" w:hAnsi="Arial" w:cs="Arial" w:eastAsia="Arial" w:hint="default"/>
                <w:sz w:val="16"/>
                <w:szCs w:val="16"/>
              </w:rPr>
            </w:pPr>
            <w:r>
              <w:rPr>
                <w:rFonts w:ascii="Arial"/>
                <w:w w:val="99"/>
                <w:sz w:val="16"/>
              </w:rPr>
              <w:t>-</w:t>
            </w:r>
            <w:r>
              <w:rPr>
                <w:rFonts w:ascii="Arial"/>
                <w:sz w:val="16"/>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134"/>
              <w:ind w:right="41"/>
              <w:jc w:val="right"/>
              <w:rPr>
                <w:rFonts w:ascii="Arial" w:hAnsi="Arial" w:cs="Arial" w:eastAsia="Arial" w:hint="default"/>
                <w:sz w:val="16"/>
                <w:szCs w:val="16"/>
              </w:rPr>
            </w:pPr>
            <w:r>
              <w:rPr>
                <w:rFonts w:ascii="Arial"/>
                <w:w w:val="95"/>
                <w:sz w:val="16"/>
              </w:rPr>
              <w:t>13,911,938</w:t>
            </w:r>
            <w:r>
              <w:rPr>
                <w:rFonts w:ascii="Arial"/>
                <w:sz w:val="16"/>
              </w:rPr>
            </w:r>
          </w:p>
        </w:tc>
      </w:tr>
      <w:tr>
        <w:trPr>
          <w:trHeight w:val="208" w:hRule="exact"/>
        </w:trPr>
        <w:tc>
          <w:tcPr>
            <w:tcW w:w="3887" w:type="dxa"/>
            <w:tcBorders>
              <w:top w:val="nil" w:sz="6" w:space="0" w:color="auto"/>
              <w:left w:val="nil" w:sz="6" w:space="0" w:color="auto"/>
              <w:bottom w:val="nil" w:sz="6" w:space="0" w:color="auto"/>
              <w:right w:val="nil" w:sz="6" w:space="0" w:color="auto"/>
            </w:tcBorders>
          </w:tcPr>
          <w:p>
            <w:pPr>
              <w:pStyle w:val="TableParagraph"/>
              <w:tabs>
                <w:tab w:pos="3528" w:val="left" w:leader="none"/>
              </w:tabs>
              <w:spacing w:line="188" w:lineRule="exact"/>
              <w:ind w:left="15" w:right="0"/>
              <w:jc w:val="left"/>
              <w:rPr>
                <w:rFonts w:ascii="Arial" w:hAnsi="Arial" w:cs="Arial" w:eastAsia="Arial" w:hint="default"/>
                <w:sz w:val="16"/>
                <w:szCs w:val="16"/>
              </w:rPr>
            </w:pPr>
            <w:r>
              <w:rPr>
                <w:rFonts w:ascii="宋体" w:hAnsi="宋体" w:cs="宋体" w:eastAsia="宋体" w:hint="default"/>
                <w:w w:val="95"/>
                <w:position w:val="1"/>
                <w:sz w:val="16"/>
                <w:szCs w:val="16"/>
              </w:rPr>
              <w:t>子公司未分配利润转增资本的影响</w:t>
              <w:tab/>
            </w:r>
            <w:r>
              <w:rPr>
                <w:rFonts w:ascii="Arial" w:hAnsi="Arial" w:cs="Arial" w:eastAsia="Arial" w:hint="default"/>
                <w:sz w:val="16"/>
                <w:szCs w:val="16"/>
              </w:rPr>
              <w:t>h</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43"/>
              <w:jc w:val="right"/>
              <w:rPr>
                <w:rFonts w:ascii="Arial" w:hAnsi="Arial" w:cs="Arial" w:eastAsia="Arial" w:hint="default"/>
                <w:sz w:val="16"/>
                <w:szCs w:val="16"/>
              </w:rPr>
            </w:pPr>
            <w:r>
              <w:rPr>
                <w:rFonts w:ascii="Arial"/>
                <w:w w:val="95"/>
                <w:sz w:val="16"/>
              </w:rPr>
              <w:t>10,127,682,248</w:t>
            </w:r>
            <w:r>
              <w:rPr>
                <w:rFonts w:ascii="Arial"/>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8"/>
              <w:jc w:val="right"/>
              <w:rPr>
                <w:rFonts w:ascii="Arial" w:hAnsi="Arial" w:cs="Arial" w:eastAsia="Arial" w:hint="default"/>
                <w:sz w:val="16"/>
                <w:szCs w:val="16"/>
              </w:rPr>
            </w:pPr>
            <w:r>
              <w:rPr>
                <w:rFonts w:ascii="Arial"/>
                <w:w w:val="95"/>
                <w:sz w:val="16"/>
              </w:rPr>
              <w:t>286,641,018</w:t>
            </w:r>
            <w:r>
              <w:rPr>
                <w:rFonts w:ascii="Arial"/>
                <w:sz w:val="16"/>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98"/>
              <w:jc w:val="right"/>
              <w:rPr>
                <w:rFonts w:ascii="Arial" w:hAnsi="Arial" w:cs="Arial" w:eastAsia="Arial" w:hint="default"/>
                <w:sz w:val="16"/>
                <w:szCs w:val="16"/>
              </w:rPr>
            </w:pPr>
            <w:r>
              <w:rPr>
                <w:rFonts w:ascii="Arial"/>
                <w:w w:val="99"/>
                <w:sz w:val="16"/>
              </w:rPr>
              <w:t>-</w:t>
            </w:r>
            <w:r>
              <w:rPr>
                <w:rFonts w:ascii="Arial"/>
                <w:sz w:val="16"/>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6"/>
              <w:jc w:val="right"/>
              <w:rPr>
                <w:rFonts w:ascii="Arial" w:hAnsi="Arial" w:cs="Arial" w:eastAsia="Arial" w:hint="default"/>
                <w:sz w:val="16"/>
                <w:szCs w:val="16"/>
              </w:rPr>
            </w:pPr>
            <w:r>
              <w:rPr>
                <w:rFonts w:ascii="Arial"/>
                <w:w w:val="95"/>
                <w:sz w:val="16"/>
              </w:rPr>
              <w:t>10,414,323,266</w:t>
            </w:r>
            <w:r>
              <w:rPr>
                <w:rFonts w:ascii="Arial"/>
                <w:sz w:val="16"/>
              </w:rPr>
            </w:r>
          </w:p>
        </w:tc>
      </w:tr>
      <w:tr>
        <w:trPr>
          <w:trHeight w:val="311" w:hRule="exact"/>
        </w:trPr>
        <w:tc>
          <w:tcPr>
            <w:tcW w:w="3887" w:type="dxa"/>
            <w:tcBorders>
              <w:top w:val="nil" w:sz="6" w:space="0" w:color="auto"/>
              <w:left w:val="nil" w:sz="6" w:space="0" w:color="auto"/>
              <w:bottom w:val="nil" w:sz="6" w:space="0" w:color="auto"/>
              <w:right w:val="nil" w:sz="6" w:space="0" w:color="auto"/>
            </w:tcBorders>
          </w:tcPr>
          <w:p>
            <w:pPr>
              <w:pStyle w:val="TableParagraph"/>
              <w:tabs>
                <w:tab w:pos="3554" w:val="left" w:leader="none"/>
              </w:tabs>
              <w:spacing w:line="175" w:lineRule="exact"/>
              <w:ind w:left="15" w:right="0"/>
              <w:jc w:val="left"/>
              <w:rPr>
                <w:rFonts w:ascii="Arial" w:hAnsi="Arial" w:cs="Arial" w:eastAsia="Arial" w:hint="default"/>
                <w:sz w:val="16"/>
                <w:szCs w:val="16"/>
              </w:rPr>
            </w:pPr>
            <w:r>
              <w:rPr>
                <w:rFonts w:ascii="宋体" w:hAnsi="宋体" w:cs="宋体" w:eastAsia="宋体" w:hint="default"/>
                <w:w w:val="95"/>
                <w:position w:val="1"/>
                <w:sz w:val="16"/>
                <w:szCs w:val="16"/>
              </w:rPr>
              <w:t>因所持子公司股份变化对资本公积的影响</w:t>
            </w:r>
            <w:r>
              <w:rPr>
                <w:rFonts w:ascii="Arial" w:hAnsi="Arial" w:cs="Arial" w:eastAsia="Arial" w:hint="default"/>
                <w:w w:val="95"/>
                <w:sz w:val="16"/>
                <w:szCs w:val="16"/>
              </w:rPr>
              <w:tab/>
            </w:r>
            <w:r>
              <w:rPr>
                <w:rFonts w:ascii="Arial" w:hAnsi="Arial" w:cs="Arial" w:eastAsia="Arial" w:hint="default"/>
                <w:sz w:val="16"/>
                <w:szCs w:val="16"/>
              </w:rPr>
              <w:t>i</w:t>
            </w:r>
          </w:p>
          <w:p>
            <w:pPr>
              <w:pStyle w:val="TableParagraph"/>
              <w:spacing w:line="177" w:lineRule="exact"/>
              <w:ind w:left="15" w:right="0"/>
              <w:jc w:val="left"/>
              <w:rPr>
                <w:rFonts w:ascii="宋体" w:hAnsi="宋体" w:cs="宋体" w:eastAsia="宋体" w:hint="default"/>
                <w:sz w:val="16"/>
                <w:szCs w:val="16"/>
              </w:rPr>
            </w:pPr>
            <w:r>
              <w:rPr>
                <w:rFonts w:ascii="宋体" w:hAnsi="宋体" w:cs="宋体" w:eastAsia="宋体" w:hint="default"/>
                <w:spacing w:val="2"/>
                <w:sz w:val="16"/>
                <w:szCs w:val="16"/>
              </w:rPr>
              <w:t>子公司联通红筹公司可转债转股对资本公积的</w:t>
            </w:r>
            <w:r>
              <w:rPr>
                <w:rFonts w:ascii="宋体" w:hAnsi="宋体" w:cs="宋体" w:eastAsia="宋体" w:hint="default"/>
                <w:sz w:val="16"/>
                <w:szCs w:val="16"/>
              </w:rPr>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43"/>
              <w:jc w:val="right"/>
              <w:rPr>
                <w:rFonts w:ascii="Arial" w:hAnsi="Arial" w:cs="Arial" w:eastAsia="Arial" w:hint="default"/>
                <w:sz w:val="16"/>
                <w:szCs w:val="16"/>
              </w:rPr>
            </w:pPr>
            <w:r>
              <w:rPr>
                <w:rFonts w:ascii="Arial"/>
                <w:w w:val="95"/>
                <w:sz w:val="16"/>
              </w:rPr>
              <w:t>17,623,230,074</w:t>
            </w:r>
            <w:r>
              <w:rPr>
                <w:rFonts w:ascii="Arial"/>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7"/>
              <w:jc w:val="right"/>
              <w:rPr>
                <w:rFonts w:ascii="Arial" w:hAnsi="Arial" w:cs="Arial" w:eastAsia="Arial" w:hint="default"/>
                <w:sz w:val="16"/>
                <w:szCs w:val="16"/>
              </w:rPr>
            </w:pPr>
            <w:r>
              <w:rPr>
                <w:rFonts w:ascii="Arial"/>
                <w:w w:val="99"/>
                <w:sz w:val="16"/>
              </w:rPr>
              <w:t>-</w:t>
            </w:r>
            <w:r>
              <w:rPr>
                <w:rFonts w:ascii="Arial"/>
                <w:sz w:val="16"/>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44"/>
              <w:jc w:val="right"/>
              <w:rPr>
                <w:rFonts w:ascii="Arial" w:hAnsi="Arial" w:cs="Arial" w:eastAsia="Arial" w:hint="default"/>
                <w:sz w:val="16"/>
                <w:szCs w:val="16"/>
              </w:rPr>
            </w:pPr>
            <w:r>
              <w:rPr>
                <w:rFonts w:ascii="Arial"/>
                <w:w w:val="95"/>
                <w:sz w:val="16"/>
              </w:rPr>
              <w:t>(23,740,846,698)</w:t>
            </w:r>
            <w:r>
              <w:rPr>
                <w:rFonts w:ascii="Arial"/>
                <w:sz w:val="16"/>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9"/>
              <w:jc w:val="right"/>
              <w:rPr>
                <w:rFonts w:ascii="Arial" w:hAnsi="Arial" w:cs="Arial" w:eastAsia="Arial" w:hint="default"/>
                <w:sz w:val="16"/>
                <w:szCs w:val="16"/>
              </w:rPr>
            </w:pPr>
            <w:r>
              <w:rPr>
                <w:rFonts w:ascii="Arial"/>
                <w:w w:val="95"/>
                <w:sz w:val="16"/>
              </w:rPr>
              <w:t>(6,117,616,624)</w:t>
            </w:r>
            <w:r>
              <w:rPr>
                <w:rFonts w:ascii="Arial"/>
                <w:sz w:val="16"/>
              </w:rPr>
            </w:r>
          </w:p>
        </w:tc>
      </w:tr>
      <w:tr>
        <w:trPr>
          <w:trHeight w:val="311" w:hRule="exact"/>
        </w:trPr>
        <w:tc>
          <w:tcPr>
            <w:tcW w:w="3887" w:type="dxa"/>
            <w:tcBorders>
              <w:top w:val="nil" w:sz="6" w:space="0" w:color="auto"/>
              <w:left w:val="nil" w:sz="6" w:space="0" w:color="auto"/>
              <w:bottom w:val="nil" w:sz="6" w:space="0" w:color="auto"/>
              <w:right w:val="nil" w:sz="6" w:space="0" w:color="auto"/>
            </w:tcBorders>
          </w:tcPr>
          <w:p>
            <w:pPr>
              <w:pStyle w:val="TableParagraph"/>
              <w:tabs>
                <w:tab w:pos="3554" w:val="left" w:leader="none"/>
              </w:tabs>
              <w:spacing w:line="240" w:lineRule="auto" w:before="60"/>
              <w:ind w:left="217" w:right="0"/>
              <w:jc w:val="left"/>
              <w:rPr>
                <w:rFonts w:ascii="Arial" w:hAnsi="Arial" w:cs="Arial" w:eastAsia="Arial" w:hint="default"/>
                <w:sz w:val="16"/>
                <w:szCs w:val="16"/>
              </w:rPr>
            </w:pPr>
            <w:r>
              <w:rPr>
                <w:rFonts w:ascii="宋体" w:hAnsi="宋体" w:cs="宋体" w:eastAsia="宋体" w:hint="default"/>
                <w:w w:val="95"/>
                <w:position w:val="1"/>
                <w:sz w:val="16"/>
                <w:szCs w:val="16"/>
              </w:rPr>
              <w:t>影响</w:t>
              <w:tab/>
            </w:r>
            <w:r>
              <w:rPr>
                <w:rFonts w:ascii="Arial" w:hAnsi="Arial" w:cs="Arial" w:eastAsia="Arial" w:hint="default"/>
                <w:sz w:val="16"/>
                <w:szCs w:val="16"/>
              </w:rPr>
              <w:t>j</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42"/>
              <w:jc w:val="right"/>
              <w:rPr>
                <w:rFonts w:ascii="Arial" w:hAnsi="Arial" w:cs="Arial" w:eastAsia="Arial" w:hint="default"/>
                <w:sz w:val="16"/>
                <w:szCs w:val="16"/>
              </w:rPr>
            </w:pPr>
            <w:r>
              <w:rPr>
                <w:rFonts w:ascii="Arial"/>
                <w:w w:val="95"/>
                <w:sz w:val="16"/>
              </w:rPr>
              <w:t>3,116,582,352</w:t>
            </w:r>
            <w:r>
              <w:rPr>
                <w:rFonts w:ascii="Arial"/>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Arial" w:hAnsi="Arial" w:cs="Arial" w:eastAsia="Arial" w:hint="default"/>
                <w:sz w:val="16"/>
                <w:szCs w:val="16"/>
              </w:rPr>
            </w:pPr>
            <w:r>
              <w:rPr>
                <w:rFonts w:ascii="Arial"/>
                <w:w w:val="99"/>
                <w:sz w:val="16"/>
              </w:rPr>
              <w:t>-</w:t>
            </w:r>
            <w:r>
              <w:rPr>
                <w:rFonts w:ascii="Arial"/>
                <w:sz w:val="16"/>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97"/>
              <w:jc w:val="right"/>
              <w:rPr>
                <w:rFonts w:ascii="Arial" w:hAnsi="Arial" w:cs="Arial" w:eastAsia="Arial" w:hint="default"/>
                <w:sz w:val="16"/>
                <w:szCs w:val="16"/>
              </w:rPr>
            </w:pPr>
            <w:r>
              <w:rPr>
                <w:rFonts w:ascii="Arial"/>
                <w:w w:val="99"/>
                <w:sz w:val="16"/>
              </w:rPr>
              <w:t>-</w:t>
            </w:r>
            <w:r>
              <w:rPr>
                <w:rFonts w:ascii="Arial"/>
                <w:sz w:val="16"/>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1"/>
              <w:jc w:val="right"/>
              <w:rPr>
                <w:rFonts w:ascii="Arial" w:hAnsi="Arial" w:cs="Arial" w:eastAsia="Arial" w:hint="default"/>
                <w:sz w:val="16"/>
                <w:szCs w:val="16"/>
              </w:rPr>
            </w:pPr>
            <w:r>
              <w:rPr>
                <w:rFonts w:ascii="Arial"/>
                <w:w w:val="95"/>
                <w:sz w:val="16"/>
              </w:rPr>
              <w:t>3,116,582,352</w:t>
            </w:r>
            <w:r>
              <w:rPr>
                <w:rFonts w:ascii="Arial"/>
                <w:sz w:val="16"/>
              </w:rPr>
            </w:r>
          </w:p>
        </w:tc>
      </w:tr>
      <w:tr>
        <w:trPr>
          <w:trHeight w:val="183" w:hRule="exact"/>
        </w:trPr>
        <w:tc>
          <w:tcPr>
            <w:tcW w:w="3887" w:type="dxa"/>
            <w:tcBorders>
              <w:top w:val="nil" w:sz="6" w:space="0" w:color="auto"/>
              <w:left w:val="nil" w:sz="6" w:space="0" w:color="auto"/>
              <w:bottom w:val="nil" w:sz="6" w:space="0" w:color="auto"/>
              <w:right w:val="nil" w:sz="6" w:space="0" w:color="auto"/>
            </w:tcBorders>
          </w:tcPr>
          <w:p>
            <w:pPr>
              <w:pStyle w:val="TableParagraph"/>
              <w:tabs>
                <w:tab w:pos="3531" w:val="left" w:leader="none"/>
              </w:tabs>
              <w:spacing w:line="187" w:lineRule="exact"/>
              <w:ind w:left="15" w:right="0"/>
              <w:jc w:val="left"/>
              <w:rPr>
                <w:rFonts w:ascii="Arial" w:hAnsi="Arial" w:cs="Arial" w:eastAsia="Arial" w:hint="default"/>
                <w:sz w:val="16"/>
                <w:szCs w:val="16"/>
              </w:rPr>
            </w:pPr>
            <w:r>
              <w:rPr>
                <w:rFonts w:ascii="宋体" w:hAnsi="宋体" w:cs="宋体" w:eastAsia="宋体" w:hint="default"/>
                <w:w w:val="95"/>
                <w:position w:val="1"/>
                <w:sz w:val="16"/>
                <w:szCs w:val="16"/>
              </w:rPr>
              <w:t>同一控制下收购贵州业务的影响</w:t>
              <w:tab/>
            </w:r>
            <w:r>
              <w:rPr>
                <w:rFonts w:ascii="Arial" w:hAnsi="Arial" w:cs="Arial" w:eastAsia="Arial" w:hint="default"/>
                <w:sz w:val="16"/>
                <w:szCs w:val="16"/>
              </w:rPr>
              <w:t>k</w:t>
            </w:r>
          </w:p>
        </w:tc>
        <w:tc>
          <w:tcPr>
            <w:tcW w:w="148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88"/>
              <w:jc w:val="right"/>
              <w:rPr>
                <w:rFonts w:ascii="Arial" w:hAnsi="Arial" w:cs="Arial" w:eastAsia="Arial" w:hint="default"/>
                <w:sz w:val="16"/>
                <w:szCs w:val="16"/>
              </w:rPr>
            </w:pPr>
            <w:r>
              <w:rPr>
                <w:rFonts w:ascii="Arial"/>
                <w:w w:val="95"/>
                <w:sz w:val="16"/>
              </w:rPr>
              <w:t>(248,154,771)</w:t>
            </w:r>
            <w:r>
              <w:rPr>
                <w:rFonts w:ascii="Arial"/>
                <w:sz w:val="16"/>
              </w:rPr>
            </w:r>
          </w:p>
        </w:tc>
        <w:tc>
          <w:tcPr>
            <w:tcW w:w="118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07"/>
              <w:jc w:val="right"/>
              <w:rPr>
                <w:rFonts w:ascii="Arial" w:hAnsi="Arial" w:cs="Arial" w:eastAsia="Arial" w:hint="default"/>
                <w:sz w:val="16"/>
                <w:szCs w:val="16"/>
              </w:rPr>
            </w:pPr>
            <w:r>
              <w:rPr>
                <w:rFonts w:ascii="Arial"/>
                <w:w w:val="99"/>
                <w:sz w:val="16"/>
              </w:rPr>
              <w:t>-</w:t>
            </w:r>
            <w:r>
              <w:rPr>
                <w:rFonts w:ascii="Arial"/>
                <w:sz w:val="16"/>
              </w:rPr>
            </w: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97"/>
              <w:jc w:val="right"/>
              <w:rPr>
                <w:rFonts w:ascii="Arial" w:hAnsi="Arial" w:cs="Arial" w:eastAsia="Arial" w:hint="default"/>
                <w:sz w:val="16"/>
                <w:szCs w:val="16"/>
              </w:rPr>
            </w:pPr>
            <w:r>
              <w:rPr>
                <w:rFonts w:ascii="Arial"/>
                <w:w w:val="99"/>
                <w:sz w:val="16"/>
              </w:rPr>
              <w:t>-</w:t>
            </w:r>
            <w:r>
              <w:rPr>
                <w:rFonts w:ascii="Arial"/>
                <w:sz w:val="16"/>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
              <w:jc w:val="right"/>
              <w:rPr>
                <w:rFonts w:ascii="Arial" w:hAnsi="Arial" w:cs="Arial" w:eastAsia="Arial" w:hint="default"/>
                <w:sz w:val="16"/>
                <w:szCs w:val="16"/>
              </w:rPr>
            </w:pPr>
            <w:r>
              <w:rPr>
                <w:rFonts w:ascii="Arial"/>
                <w:w w:val="95"/>
                <w:sz w:val="16"/>
              </w:rPr>
              <w:t>(248,154,771)</w:t>
            </w:r>
            <w:r>
              <w:rPr>
                <w:rFonts w:ascii="Arial"/>
                <w:sz w:val="16"/>
              </w:rPr>
            </w:r>
          </w:p>
        </w:tc>
      </w:tr>
    </w:tbl>
    <w:p>
      <w:pPr>
        <w:tabs>
          <w:tab w:pos="4406" w:val="left" w:leader="none"/>
          <w:tab w:pos="4875" w:val="left" w:leader="none"/>
          <w:tab w:pos="6943" w:val="left" w:leader="none"/>
          <w:tab w:pos="8328" w:val="left" w:leader="none"/>
          <w:tab w:pos="9024" w:val="left" w:leader="none"/>
          <w:tab w:pos="9866" w:val="left" w:leader="none"/>
        </w:tabs>
        <w:spacing w:line="211" w:lineRule="exact" w:before="0"/>
        <w:ind w:left="565" w:right="0" w:firstLine="0"/>
        <w:jc w:val="left"/>
        <w:rPr>
          <w:rFonts w:ascii="Arial" w:hAnsi="Arial" w:cs="Arial" w:eastAsia="Arial" w:hint="default"/>
          <w:sz w:val="16"/>
          <w:szCs w:val="16"/>
        </w:rPr>
      </w:pPr>
      <w:r>
        <w:rPr>
          <w:rFonts w:ascii="宋体" w:hAnsi="宋体" w:cs="宋体" w:eastAsia="宋体" w:hint="default"/>
          <w:w w:val="95"/>
          <w:position w:val="1"/>
          <w:sz w:val="16"/>
          <w:szCs w:val="16"/>
        </w:rPr>
        <w:t>其他</w:t>
        <w:tab/>
      </w:r>
      <w:r>
        <w:rPr>
          <w:rFonts w:ascii="Arial" w:hAnsi="Arial" w:cs="Arial" w:eastAsia="Arial" w:hint="default"/>
          <w:w w:val="95"/>
          <w:sz w:val="16"/>
          <w:szCs w:val="16"/>
        </w:rPr>
      </w:r>
      <w:r>
        <w:rPr>
          <w:rFonts w:ascii="Arial" w:hAnsi="Arial" w:cs="Arial" w:eastAsia="Arial" w:hint="default"/>
          <w:w w:val="95"/>
          <w:sz w:val="16"/>
          <w:szCs w:val="16"/>
          <w:u w:val="single" w:color="000000"/>
        </w:rPr>
        <w:t> </w:t>
        <w:tab/>
        <w:t>33,771,682</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t>-</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t>-</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r>
      <w:r>
        <w:rPr>
          <w:rFonts w:ascii="Arial" w:hAnsi="Arial" w:cs="Arial" w:eastAsia="Arial" w:hint="default"/>
          <w:sz w:val="16"/>
          <w:szCs w:val="16"/>
          <w:u w:val="single" w:color="000000"/>
        </w:rPr>
        <w:t>33,771,682</w:t>
        <w:tab/>
      </w:r>
      <w:r>
        <w:rPr>
          <w:rFonts w:ascii="Arial" w:hAnsi="Arial" w:cs="Arial" w:eastAsia="Arial" w:hint="default"/>
          <w:sz w:val="16"/>
          <w:szCs w:val="16"/>
        </w:rPr>
      </w:r>
    </w:p>
    <w:p>
      <w:pPr>
        <w:spacing w:line="240" w:lineRule="auto" w:before="8"/>
        <w:rPr>
          <w:rFonts w:ascii="Arial" w:hAnsi="Arial" w:cs="Arial" w:eastAsia="Arial" w:hint="default"/>
          <w:sz w:val="10"/>
          <w:szCs w:val="10"/>
        </w:rPr>
      </w:pPr>
    </w:p>
    <w:p>
      <w:pPr>
        <w:tabs>
          <w:tab w:pos="4561" w:val="left" w:leader="none"/>
          <w:tab w:pos="6108" w:val="left" w:leader="none"/>
          <w:tab w:pos="7215" w:val="left" w:leader="none"/>
          <w:tab w:pos="8710" w:val="left" w:leader="none"/>
        </w:tabs>
        <w:spacing w:before="52"/>
        <w:ind w:left="565" w:right="0" w:firstLine="0"/>
        <w:jc w:val="left"/>
        <w:rPr>
          <w:rFonts w:ascii="Arial" w:hAnsi="Arial" w:cs="Arial" w:eastAsia="Arial" w:hint="default"/>
          <w:sz w:val="16"/>
          <w:szCs w:val="16"/>
        </w:rPr>
      </w:pPr>
      <w:r>
        <w:rPr>
          <w:rFonts w:ascii="宋体" w:hAnsi="宋体" w:cs="宋体" w:eastAsia="宋体" w:hint="default"/>
          <w:w w:val="95"/>
          <w:position w:val="1"/>
          <w:sz w:val="16"/>
          <w:szCs w:val="16"/>
        </w:rPr>
        <w:t>合计</w:t>
        <w:tab/>
      </w:r>
      <w:r>
        <w:rPr>
          <w:rFonts w:ascii="Arial" w:hAnsi="Arial" w:cs="Arial" w:eastAsia="Arial" w:hint="default"/>
          <w:w w:val="95"/>
          <w:sz w:val="16"/>
          <w:szCs w:val="16"/>
        </w:rPr>
        <w:t>49,819,326,925</w:t>
        <w:tab/>
        <w:t>445,593,298</w:t>
        <w:tab/>
        <w:t>(23,788,837,933)</w:t>
        <w:tab/>
      </w:r>
      <w:r>
        <w:rPr>
          <w:rFonts w:ascii="Arial" w:hAnsi="Arial" w:cs="Arial" w:eastAsia="Arial" w:hint="default"/>
          <w:sz w:val="16"/>
          <w:szCs w:val="16"/>
        </w:rPr>
        <w:t>26,476,082,290</w:t>
      </w:r>
    </w:p>
    <w:p>
      <w:pPr>
        <w:spacing w:line="43" w:lineRule="exact"/>
        <w:ind w:left="4399" w:right="0" w:firstLine="0"/>
        <w:rPr>
          <w:rFonts w:ascii="Arial" w:hAnsi="Arial" w:cs="Arial" w:eastAsia="Arial" w:hint="default"/>
          <w:sz w:val="4"/>
          <w:szCs w:val="4"/>
        </w:rPr>
      </w:pPr>
      <w:r>
        <w:rPr>
          <w:rFonts w:ascii="Arial" w:hAnsi="Arial" w:cs="Arial" w:eastAsia="Arial" w:hint="default"/>
          <w:position w:val="0"/>
          <w:sz w:val="4"/>
          <w:szCs w:val="4"/>
        </w:rPr>
        <w:pict>
          <v:group style="width:273.75pt;height:2.2pt;mso-position-horizontal-relative:char;mso-position-vertical-relative:line" coordorigin="0,0" coordsize="5475,44">
            <v:group style="position:absolute;left:7;top:7;width:1344;height:2" coordorigin="7,7" coordsize="1344,2">
              <v:shape style="position:absolute;left:7;top:7;width:1344;height:2" coordorigin="7,7" coordsize="1344,0" path="m7,7l1351,7e" filled="false" stroked="true" strokeweight=".72pt" strokecolor="#000000">
                <v:path arrowok="t"/>
              </v:shape>
            </v:group>
            <v:group style="position:absolute;left:7;top:36;width:1344;height:2" coordorigin="7,36" coordsize="1344,2">
              <v:shape style="position:absolute;left:7;top:36;width:1344;height:2" coordorigin="7,36" coordsize="1344,0" path="m7,36l1351,36e" filled="false" stroked="true" strokeweight=".72pt" strokecolor="#000000">
                <v:path arrowok="t"/>
              </v:shape>
            </v:group>
            <v:group style="position:absolute;left:1399;top:7;width:1212;height:2" coordorigin="1399,7" coordsize="1212,2">
              <v:shape style="position:absolute;left:1399;top:7;width:1212;height:2" coordorigin="1399,7" coordsize="1212,0" path="m1399,7l2611,7e" filled="false" stroked="true" strokeweight=".72pt" strokecolor="#000000">
                <v:path arrowok="t"/>
              </v:shape>
            </v:group>
            <v:group style="position:absolute;left:1399;top:36;width:1212;height:2" coordorigin="1399,36" coordsize="1212,2">
              <v:shape style="position:absolute;left:1399;top:36;width:1212;height:2" coordorigin="1399,36" coordsize="1212,0" path="m1399,36l2611,36e" filled="false" stroked="true" strokeweight=".72pt" strokecolor="#000000">
                <v:path arrowok="t"/>
              </v:shape>
            </v:group>
            <v:group style="position:absolute;left:2659;top:7;width:1422;height:2" coordorigin="2659,7" coordsize="1422,2">
              <v:shape style="position:absolute;left:2659;top:7;width:1422;height:2" coordorigin="2659,7" coordsize="1422,0" path="m2659,7l4081,7e" filled="false" stroked="true" strokeweight=".72pt" strokecolor="#000000">
                <v:path arrowok="t"/>
              </v:shape>
            </v:group>
            <v:group style="position:absolute;left:2659;top:36;width:1422;height:2" coordorigin="2659,36" coordsize="1422,2">
              <v:shape style="position:absolute;left:2659;top:36;width:1422;height:2" coordorigin="2659,36" coordsize="1422,0" path="m2659,36l4081,36e" filled="false" stroked="true" strokeweight=".72pt" strokecolor="#000000">
                <v:path arrowok="t"/>
              </v:shape>
            </v:group>
            <v:group style="position:absolute;left:4129;top:7;width:1338;height:2" coordorigin="4129,7" coordsize="1338,2">
              <v:shape style="position:absolute;left:4129;top:7;width:1338;height:2" coordorigin="4129,7" coordsize="1338,0" path="m4129,7l5467,7e" filled="false" stroked="true" strokeweight=".72pt" strokecolor="#000000">
                <v:path arrowok="t"/>
              </v:shape>
            </v:group>
            <v:group style="position:absolute;left:4129;top:36;width:1338;height:2" coordorigin="4129,36" coordsize="1338,2">
              <v:shape style="position:absolute;left:4129;top:36;width:1338;height:2" coordorigin="4129,36" coordsize="1338,0" path="m4129,36l5467,36e" filled="false" stroked="true" strokeweight=".72pt" strokecolor="#000000">
                <v:path arrowok="t"/>
              </v:shape>
            </v:group>
          </v:group>
        </w:pict>
      </w:r>
      <w:r>
        <w:rPr>
          <w:rFonts w:ascii="Arial" w:hAnsi="Arial" w:cs="Arial" w:eastAsia="Arial" w:hint="default"/>
          <w:position w:val="0"/>
          <w:sz w:val="4"/>
          <w:szCs w:val="4"/>
        </w:rPr>
      </w:r>
    </w:p>
    <w:p>
      <w:pPr>
        <w:spacing w:after="0" w:line="43" w:lineRule="exact"/>
        <w:rPr>
          <w:rFonts w:ascii="Arial" w:hAnsi="Arial" w:cs="Arial" w:eastAsia="Arial" w:hint="default"/>
          <w:sz w:val="4"/>
          <w:szCs w:val="4"/>
        </w:rPr>
        <w:sectPr>
          <w:headerReference w:type="default" r:id="rId108"/>
          <w:pgSz w:w="11910" w:h="16840"/>
          <w:pgMar w:header="1189" w:footer="752" w:top="3060" w:bottom="940" w:left="1280" w:right="640"/>
        </w:sectPr>
      </w:pPr>
    </w:p>
    <w:p>
      <w:pPr>
        <w:spacing w:line="240" w:lineRule="auto" w:before="1"/>
        <w:rPr>
          <w:rFonts w:ascii="Arial" w:hAnsi="Arial" w:cs="Arial" w:eastAsia="Arial" w:hint="default"/>
          <w:sz w:val="14"/>
          <w:szCs w:val="14"/>
        </w:rPr>
      </w:pPr>
    </w:p>
    <w:p>
      <w:pPr>
        <w:pStyle w:val="BodyText"/>
        <w:spacing w:line="286" w:lineRule="exact" w:before="60"/>
        <w:ind w:left="1011" w:right="123" w:hanging="462"/>
        <w:jc w:val="both"/>
      </w:pPr>
      <w:r>
        <w:rPr>
          <w:rFonts w:ascii="Arial" w:hAnsi="Arial" w:cs="Arial" w:eastAsia="Arial" w:hint="default"/>
        </w:rPr>
        <w:t>(a) </w:t>
      </w:r>
      <w:r>
        <w:rPr>
          <w:spacing w:val="-3"/>
        </w:rPr>
        <w:t>本公司成立之初发起人各方实际出资额超过其按《公司章程》规定的</w:t>
      </w:r>
      <w:r>
        <w:rPr>
          <w:spacing w:val="-29"/>
        </w:rPr>
        <w:t> </w:t>
      </w:r>
      <w:r>
        <w:rPr>
          <w:rFonts w:ascii="Arial" w:hAnsi="Arial" w:cs="Arial" w:eastAsia="Arial" w:hint="default"/>
        </w:rPr>
        <w:t>65%</w:t>
      </w:r>
      <w:r>
        <w:rPr/>
        <w:t>折股比例计算之</w:t>
      </w:r>
      <w:r>
        <w:rPr>
          <w:w w:val="99"/>
        </w:rPr>
        <w:t> </w:t>
      </w:r>
      <w:r>
        <w:rPr/>
        <w:t>实缴注册资本的差额，以及于</w:t>
      </w:r>
      <w:r>
        <w:rPr>
          <w:spacing w:val="-40"/>
        </w:rPr>
        <w:t> </w:t>
      </w:r>
      <w:r>
        <w:rPr>
          <w:rFonts w:ascii="Arial" w:hAnsi="Arial" w:cs="Arial" w:eastAsia="Arial" w:hint="default"/>
        </w:rPr>
        <w:t>2002</w:t>
      </w:r>
      <w:r>
        <w:rPr>
          <w:rFonts w:ascii="Arial" w:hAnsi="Arial" w:cs="Arial" w:eastAsia="Arial" w:hint="default"/>
          <w:spacing w:val="9"/>
        </w:rPr>
        <w:t> </w:t>
      </w:r>
      <w:r>
        <w:rPr/>
        <w:t>年因发行境内上市的人民币普通股和于</w:t>
      </w:r>
      <w:r>
        <w:rPr>
          <w:spacing w:val="-40"/>
        </w:rPr>
        <w:t> </w:t>
      </w:r>
      <w:r>
        <w:rPr>
          <w:rFonts w:ascii="Arial" w:hAnsi="Arial" w:cs="Arial" w:eastAsia="Arial" w:hint="default"/>
        </w:rPr>
        <w:t>2004</w:t>
      </w:r>
      <w:r>
        <w:rPr>
          <w:rFonts w:ascii="Arial" w:hAnsi="Arial" w:cs="Arial" w:eastAsia="Arial" w:hint="default"/>
          <w:spacing w:val="9"/>
        </w:rPr>
        <w:t> </w:t>
      </w:r>
      <w:r>
        <w:rPr/>
        <w:t>年</w:t>
      </w:r>
      <w:r>
        <w:rPr>
          <w:spacing w:val="-41"/>
        </w:rPr>
        <w:t> </w:t>
      </w:r>
      <w:r>
        <w:rPr>
          <w:rFonts w:ascii="Arial" w:hAnsi="Arial" w:cs="Arial" w:eastAsia="Arial" w:hint="default"/>
        </w:rPr>
        <w:t>7</w:t>
      </w:r>
      <w:r>
        <w:rPr>
          <w:rFonts w:ascii="Arial" w:hAnsi="Arial" w:cs="Arial" w:eastAsia="Arial" w:hint="default"/>
          <w:spacing w:val="9"/>
        </w:rPr>
        <w:t> </w:t>
      </w:r>
      <w:r>
        <w:rPr/>
        <w:t>月</w:t>
      </w:r>
      <w:r>
        <w:rPr>
          <w:w w:val="99"/>
        </w:rPr>
        <w:t> </w:t>
      </w:r>
      <w:r>
        <w:rPr/>
        <w:t>配售人民币普通股的溢价被记录于资本公积。</w:t>
      </w:r>
    </w:p>
    <w:p>
      <w:pPr>
        <w:spacing w:line="240" w:lineRule="auto" w:before="9"/>
        <w:rPr>
          <w:rFonts w:ascii="宋体" w:hAnsi="宋体" w:cs="宋体" w:eastAsia="宋体" w:hint="default"/>
          <w:sz w:val="17"/>
          <w:szCs w:val="17"/>
        </w:rPr>
      </w:pPr>
    </w:p>
    <w:p>
      <w:pPr>
        <w:pStyle w:val="BodyText"/>
        <w:spacing w:line="232" w:lineRule="auto"/>
        <w:ind w:left="1011" w:right="108" w:hanging="463"/>
        <w:jc w:val="both"/>
      </w:pPr>
      <w:r>
        <w:rPr>
          <w:rFonts w:ascii="Arial" w:hAnsi="Arial" w:cs="Arial" w:eastAsia="Arial" w:hint="default"/>
        </w:rPr>
        <w:t>(b)</w:t>
      </w:r>
      <w:r>
        <w:rPr>
          <w:rFonts w:ascii="Arial" w:hAnsi="Arial" w:cs="Arial" w:eastAsia="Arial" w:hint="default"/>
          <w:spacing w:val="53"/>
        </w:rPr>
        <w:t> </w:t>
      </w:r>
      <w:r>
        <w:rPr>
          <w:spacing w:val="-5"/>
        </w:rPr>
        <w:t>如附注一（</w:t>
      </w:r>
      <w:r>
        <w:rPr>
          <w:rFonts w:ascii="Arial" w:hAnsi="Arial" w:cs="Arial" w:eastAsia="Arial" w:hint="default"/>
          <w:spacing w:val="-5"/>
        </w:rPr>
        <w:t>6</w:t>
      </w:r>
      <w:r>
        <w:rPr>
          <w:spacing w:val="-5"/>
        </w:rPr>
        <w:t>）所述，于</w:t>
      </w:r>
      <w:r>
        <w:rPr>
          <w:spacing w:val="-60"/>
        </w:rPr>
        <w:t> </w:t>
      </w:r>
      <w:r>
        <w:rPr>
          <w:rFonts w:ascii="Arial" w:hAnsi="Arial" w:cs="Arial" w:eastAsia="Arial" w:hint="default"/>
        </w:rPr>
        <w:t>2009</w:t>
      </w:r>
      <w:r>
        <w:rPr>
          <w:rFonts w:ascii="Arial" w:hAnsi="Arial" w:cs="Arial" w:eastAsia="Arial" w:hint="default"/>
          <w:spacing w:val="-11"/>
        </w:rPr>
        <w:t> </w:t>
      </w:r>
      <w:r>
        <w:rPr/>
        <w:t>年</w:t>
      </w:r>
      <w:r>
        <w:rPr>
          <w:spacing w:val="-60"/>
        </w:rPr>
        <w:t> </w:t>
      </w:r>
      <w:r>
        <w:rPr>
          <w:rFonts w:ascii="Arial" w:hAnsi="Arial" w:cs="Arial" w:eastAsia="Arial" w:hint="default"/>
        </w:rPr>
        <w:t>1</w:t>
      </w:r>
      <w:r>
        <w:rPr>
          <w:rFonts w:ascii="Arial" w:hAnsi="Arial" w:cs="Arial" w:eastAsia="Arial" w:hint="default"/>
          <w:spacing w:val="-11"/>
        </w:rPr>
        <w:t> </w:t>
      </w:r>
      <w:r>
        <w:rPr/>
        <w:t>月，根据转让协议，联通运营公司完成了向联通集团和</w:t>
      </w:r>
      <w:r>
        <w:rPr>
          <w:w w:val="99"/>
        </w:rPr>
        <w:t> </w:t>
      </w:r>
      <w:r>
        <w:rPr/>
        <w:t>网通集团收购目标业务的交易。根据本公司持股比例，联通运营公司在同一控制下收购的</w:t>
      </w:r>
      <w:r>
        <w:rPr>
          <w:w w:val="99"/>
        </w:rPr>
        <w:t> </w:t>
      </w:r>
      <w:r>
        <w:rPr/>
        <w:t>目标业务的净资产按本公司的持股比例增加了本公司期初资本公积约人民币</w:t>
      </w:r>
      <w:r>
        <w:rPr>
          <w:spacing w:val="-56"/>
        </w:rPr>
        <w:t> </w:t>
      </w:r>
      <w:r>
        <w:rPr>
          <w:rFonts w:ascii="Arial" w:hAnsi="Arial" w:cs="Arial" w:eastAsia="Arial" w:hint="default"/>
        </w:rPr>
        <w:t>19.25</w:t>
      </w:r>
      <w:r>
        <w:rPr>
          <w:rFonts w:ascii="Arial" w:hAnsi="Arial" w:cs="Arial" w:eastAsia="Arial" w:hint="default"/>
          <w:spacing w:val="-8"/>
        </w:rPr>
        <w:t> </w:t>
      </w:r>
      <w:r>
        <w:rPr/>
        <w:t>亿元，</w:t>
      </w:r>
      <w:r>
        <w:rPr>
          <w:w w:val="99"/>
        </w:rPr>
        <w:t> </w:t>
      </w:r>
      <w:r>
        <w:rPr/>
        <w:t>其中被收购目标业务中包含的可供出售金融资产产生的公允价值累计影响（按本公司持股</w:t>
      </w:r>
      <w:r>
        <w:rPr>
          <w:w w:val="99"/>
        </w:rPr>
        <w:t> </w:t>
      </w:r>
      <w:r>
        <w:rPr/>
        <w:t>比例计算）约</w:t>
      </w:r>
      <w:r>
        <w:rPr>
          <w:spacing w:val="-63"/>
        </w:rPr>
        <w:t> </w:t>
      </w:r>
      <w:r>
        <w:rPr>
          <w:rFonts w:ascii="Arial" w:hAnsi="Arial" w:cs="Arial" w:eastAsia="Arial" w:hint="default"/>
        </w:rPr>
        <w:t>6,273</w:t>
      </w:r>
      <w:r>
        <w:rPr>
          <w:rFonts w:ascii="Arial" w:hAnsi="Arial" w:cs="Arial" w:eastAsia="Arial" w:hint="default"/>
          <w:spacing w:val="-14"/>
        </w:rPr>
        <w:t> </w:t>
      </w:r>
      <w:r>
        <w:rPr/>
        <w:t>万元。由于本次收购目标业务为同一控制下企业合并，因此收购目标</w:t>
      </w:r>
      <w:r>
        <w:rPr>
          <w:w w:val="99"/>
        </w:rPr>
        <w:t> </w:t>
      </w:r>
      <w:r>
        <w:rPr/>
        <w:t>业务的调整后总对价的金额将直接减少联通运营公司的资本公积，根据本公司的持股比例</w:t>
      </w:r>
      <w:r>
        <w:rPr>
          <w:w w:val="99"/>
        </w:rPr>
        <w:t> </w:t>
      </w:r>
      <w:r>
        <w:rPr/>
        <w:t>计算影响金额约人民币</w:t>
      </w:r>
      <w:r>
        <w:rPr>
          <w:spacing w:val="-57"/>
        </w:rPr>
        <w:t> </w:t>
      </w:r>
      <w:r>
        <w:rPr>
          <w:rFonts w:ascii="Arial" w:hAnsi="Arial" w:cs="Arial" w:eastAsia="Arial" w:hint="default"/>
        </w:rPr>
        <w:t>13.08</w:t>
      </w:r>
      <w:r>
        <w:rPr>
          <w:rFonts w:ascii="Arial" w:hAnsi="Arial" w:cs="Arial" w:eastAsia="Arial" w:hint="default"/>
          <w:spacing w:val="-9"/>
        </w:rPr>
        <w:t> </w:t>
      </w:r>
      <w:r>
        <w:rPr/>
        <w:t>亿元（详情请参见附注十四）。</w:t>
      </w:r>
    </w:p>
    <w:p>
      <w:pPr>
        <w:spacing w:line="240" w:lineRule="auto" w:before="11"/>
        <w:rPr>
          <w:rFonts w:ascii="宋体" w:hAnsi="宋体" w:cs="宋体" w:eastAsia="宋体" w:hint="default"/>
          <w:sz w:val="18"/>
          <w:szCs w:val="18"/>
        </w:rPr>
      </w:pPr>
    </w:p>
    <w:p>
      <w:pPr>
        <w:pStyle w:val="BodyText"/>
        <w:spacing w:line="230" w:lineRule="auto"/>
        <w:ind w:left="1012" w:right="122" w:hanging="463"/>
        <w:jc w:val="both"/>
      </w:pPr>
      <w:r>
        <w:rPr>
          <w:rFonts w:ascii="Arial" w:hAnsi="Arial" w:cs="Arial" w:eastAsia="Arial" w:hint="default"/>
        </w:rPr>
        <w:t>(c)</w:t>
      </w:r>
      <w:r>
        <w:rPr>
          <w:rFonts w:ascii="Arial" w:hAnsi="Arial" w:cs="Arial" w:eastAsia="Arial" w:hint="default"/>
          <w:spacing w:val="13"/>
        </w:rPr>
        <w:t> </w:t>
      </w:r>
      <w:r>
        <w:rPr>
          <w:spacing w:val="2"/>
        </w:rPr>
        <w:t>如附注五（</w:t>
      </w:r>
      <w:r>
        <w:rPr>
          <w:rFonts w:ascii="Arial" w:hAnsi="Arial" w:cs="Arial" w:eastAsia="Arial" w:hint="default"/>
          <w:spacing w:val="2"/>
        </w:rPr>
        <w:t>7</w:t>
      </w:r>
      <w:r>
        <w:rPr>
          <w:spacing w:val="2"/>
        </w:rPr>
        <w:t>）所述，本公司所属子公司持有的可供出售金融资产产生的公允价值变动及</w:t>
      </w:r>
      <w:r>
        <w:rPr>
          <w:spacing w:val="2"/>
          <w:w w:val="99"/>
        </w:rPr>
        <w:t> </w:t>
      </w:r>
      <w:r>
        <w:rPr>
          <w:w w:val="95"/>
        </w:rPr>
        <w:t>外币非货币性可供出售金融资产产生的汇兑损益被计入资本公积项下。根据本公司的持股</w:t>
      </w:r>
      <w:r>
        <w:rPr>
          <w:w w:val="99"/>
        </w:rPr>
        <w:t> </w:t>
      </w:r>
      <w:r>
        <w:rPr/>
        <w:t>比例计算，于 </w:t>
      </w:r>
      <w:r>
        <w:rPr>
          <w:rFonts w:ascii="Arial" w:hAnsi="Arial" w:cs="Arial" w:eastAsia="Arial" w:hint="default"/>
        </w:rPr>
        <w:t>2009</w:t>
      </w:r>
      <w:r>
        <w:rPr>
          <w:rFonts w:ascii="Arial" w:hAnsi="Arial" w:cs="Arial" w:eastAsia="Arial" w:hint="default"/>
          <w:spacing w:val="-17"/>
        </w:rPr>
        <w:t> </w:t>
      </w:r>
      <w:r>
        <w:rPr/>
        <w:t>年度，交通银行股票因市价变动公允价值上升扣除所得税后增加了本</w:t>
      </w:r>
    </w:p>
    <w:p>
      <w:pPr>
        <w:pStyle w:val="BodyText"/>
        <w:spacing w:line="278" w:lineRule="exact"/>
        <w:ind w:left="1012" w:right="0"/>
        <w:jc w:val="both"/>
      </w:pPr>
      <w:r>
        <w:rPr/>
        <w:t>集团资本公积约人民币</w:t>
      </w:r>
      <w:r>
        <w:rPr>
          <w:spacing w:val="-65"/>
        </w:rPr>
        <w:t> </w:t>
      </w:r>
      <w:r>
        <w:rPr>
          <w:rFonts w:ascii="Arial" w:hAnsi="Arial" w:cs="Arial" w:eastAsia="Arial" w:hint="default"/>
        </w:rPr>
        <w:t>2,843</w:t>
      </w:r>
      <w:r>
        <w:rPr>
          <w:rFonts w:ascii="Arial" w:hAnsi="Arial" w:cs="Arial" w:eastAsia="Arial" w:hint="default"/>
          <w:spacing w:val="-17"/>
        </w:rPr>
        <w:t> </w:t>
      </w:r>
      <w:r>
        <w:rPr/>
        <w:t>万元，西班牙电信股票公允价值主要因汇率变动造成的下降</w:t>
      </w:r>
    </w:p>
    <w:p>
      <w:pPr>
        <w:pStyle w:val="BodyText"/>
        <w:spacing w:line="285" w:lineRule="exact"/>
        <w:ind w:left="1012" w:right="0"/>
        <w:jc w:val="both"/>
      </w:pPr>
      <w:r>
        <w:rPr>
          <w:spacing w:val="2"/>
        </w:rPr>
        <w:t>扣除所得税后减少了本集团资本公积约人民币 </w:t>
      </w:r>
      <w:r>
        <w:rPr>
          <w:rFonts w:ascii="Arial" w:hAnsi="Arial" w:cs="Arial" w:eastAsia="Arial" w:hint="default"/>
        </w:rPr>
        <w:t>4,125</w:t>
      </w:r>
      <w:r>
        <w:rPr>
          <w:rFonts w:ascii="Arial" w:hAnsi="Arial" w:cs="Arial" w:eastAsia="Arial" w:hint="default"/>
          <w:spacing w:val="55"/>
        </w:rPr>
        <w:t> </w:t>
      </w:r>
      <w:r>
        <w:rPr>
          <w:spacing w:val="2"/>
        </w:rPr>
        <w:t>万元。根据本公司的持股比例，于</w:t>
      </w:r>
      <w:r>
        <w:rPr/>
      </w:r>
    </w:p>
    <w:p>
      <w:pPr>
        <w:pStyle w:val="BodyText"/>
        <w:spacing w:line="285" w:lineRule="exact"/>
        <w:ind w:left="1012" w:right="0"/>
        <w:jc w:val="both"/>
      </w:pPr>
      <w:r>
        <w:rPr>
          <w:rFonts w:ascii="Arial" w:hAnsi="Arial" w:cs="Arial" w:eastAsia="Arial" w:hint="default"/>
        </w:rPr>
        <w:t>2008 </w:t>
      </w:r>
      <w:r>
        <w:rPr>
          <w:rFonts w:ascii="Arial" w:hAnsi="Arial" w:cs="Arial" w:eastAsia="Arial" w:hint="default"/>
          <w:spacing w:val="22"/>
        </w:rPr>
        <w:t> </w:t>
      </w:r>
      <w:r>
        <w:rPr/>
        <w:t>年度，因交通银行股票市价下跌及联通兴业处置其持有的可供出售金融资产，扣除</w:t>
      </w:r>
    </w:p>
    <w:p>
      <w:pPr>
        <w:pStyle w:val="BodyText"/>
        <w:spacing w:line="285" w:lineRule="exact"/>
        <w:ind w:left="1012" w:right="0"/>
        <w:jc w:val="both"/>
      </w:pPr>
      <w:r>
        <w:rPr/>
        <w:t>所得税影响后，减少合并层面资本公积约人民币 </w:t>
      </w:r>
      <w:r>
        <w:rPr>
          <w:rFonts w:ascii="Arial" w:hAnsi="Arial" w:cs="Arial" w:eastAsia="Arial" w:hint="default"/>
        </w:rPr>
        <w:t>0.48</w:t>
      </w:r>
      <w:r>
        <w:rPr>
          <w:rFonts w:ascii="Arial" w:hAnsi="Arial" w:cs="Arial" w:eastAsia="Arial" w:hint="default"/>
          <w:spacing w:val="45"/>
        </w:rPr>
        <w:t> </w:t>
      </w:r>
      <w:r>
        <w:rPr/>
        <w:t>亿元，另外，期初该可供出售金融</w:t>
      </w:r>
    </w:p>
    <w:p>
      <w:pPr>
        <w:pStyle w:val="BodyText"/>
        <w:spacing w:line="286" w:lineRule="exact" w:before="19"/>
        <w:ind w:left="1012" w:right="123"/>
        <w:jc w:val="both"/>
      </w:pPr>
      <w:r>
        <w:rPr/>
        <w:t>资产的累计变动影响约人民币 </w:t>
      </w:r>
      <w:r>
        <w:rPr>
          <w:rFonts w:ascii="Arial" w:hAnsi="Arial" w:cs="Arial" w:eastAsia="Arial" w:hint="default"/>
        </w:rPr>
        <w:t>1.87 </w:t>
      </w:r>
      <w:r>
        <w:rPr/>
        <w:t>亿元，按持股比例计算后约为人民币 </w:t>
      </w:r>
      <w:r>
        <w:rPr>
          <w:rFonts w:ascii="Arial" w:hAnsi="Arial" w:cs="Arial" w:eastAsia="Arial" w:hint="default"/>
        </w:rPr>
        <w:t>6,273</w:t>
      </w:r>
      <w:r>
        <w:rPr>
          <w:rFonts w:ascii="Arial" w:hAnsi="Arial" w:cs="Arial" w:eastAsia="Arial" w:hint="default"/>
          <w:spacing w:val="-20"/>
        </w:rPr>
        <w:t> </w:t>
      </w:r>
      <w:r>
        <w:rPr/>
        <w:t>万元，于</w:t>
      </w:r>
      <w:r>
        <w:rPr>
          <w:w w:val="99"/>
        </w:rPr>
        <w:t> </w:t>
      </w:r>
      <w:r>
        <w:rPr/>
        <w:t>收购目标业务时被转入本集团的资本公积期初余额。</w:t>
      </w:r>
    </w:p>
    <w:p>
      <w:pPr>
        <w:spacing w:line="240" w:lineRule="auto" w:before="9"/>
        <w:rPr>
          <w:rFonts w:ascii="宋体" w:hAnsi="宋体" w:cs="宋体" w:eastAsia="宋体" w:hint="default"/>
          <w:sz w:val="17"/>
          <w:szCs w:val="17"/>
        </w:rPr>
      </w:pPr>
    </w:p>
    <w:p>
      <w:pPr>
        <w:pStyle w:val="BodyText"/>
        <w:spacing w:line="232" w:lineRule="auto"/>
        <w:ind w:left="1012" w:right="122" w:hanging="463"/>
        <w:jc w:val="both"/>
      </w:pPr>
      <w:r>
        <w:rPr>
          <w:rFonts w:ascii="Arial" w:hAnsi="Arial" w:cs="Arial" w:eastAsia="Arial" w:hint="default"/>
        </w:rPr>
        <w:t>(d)</w:t>
      </w:r>
      <w:r>
        <w:rPr>
          <w:rFonts w:ascii="Arial" w:hAnsi="Arial" w:cs="Arial" w:eastAsia="Arial" w:hint="default"/>
          <w:spacing w:val="6"/>
        </w:rPr>
        <w:t> </w:t>
      </w:r>
      <w:r>
        <w:rPr/>
        <w:t>如附注四（</w:t>
      </w:r>
      <w:r>
        <w:rPr>
          <w:rFonts w:ascii="Arial" w:hAnsi="Arial" w:cs="Arial" w:eastAsia="Arial" w:hint="default"/>
        </w:rPr>
        <w:t>1</w:t>
      </w:r>
      <w:r>
        <w:rPr/>
        <w:t>）所述，被收购目标业务中的子公司中讯设计院是一家于</w:t>
      </w:r>
      <w:r>
        <w:rPr>
          <w:spacing w:val="-54"/>
        </w:rPr>
        <w:t> </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9</w:t>
      </w:r>
      <w:r>
        <w:rPr>
          <w:rFonts w:ascii="Arial" w:hAnsi="Arial" w:cs="Arial" w:eastAsia="Arial" w:hint="default"/>
          <w:spacing w:val="-7"/>
        </w:rPr>
        <w:t> </w:t>
      </w:r>
      <w:r>
        <w:rPr/>
        <w:t>月</w:t>
      </w:r>
      <w:r>
        <w:rPr>
          <w:spacing w:val="-56"/>
        </w:rPr>
        <w:t> </w:t>
      </w:r>
      <w:r>
        <w:rPr>
          <w:rFonts w:ascii="Arial" w:hAnsi="Arial" w:cs="Arial" w:eastAsia="Arial" w:hint="default"/>
        </w:rPr>
        <w:t>27</w:t>
      </w:r>
      <w:r>
        <w:rPr>
          <w:rFonts w:ascii="Arial" w:hAnsi="Arial" w:cs="Arial" w:eastAsia="Arial" w:hint="default"/>
          <w:spacing w:val="-7"/>
        </w:rPr>
        <w:t> </w:t>
      </w:r>
      <w:r>
        <w:rPr/>
        <w:t>日</w:t>
      </w:r>
      <w:r>
        <w:rPr>
          <w:w w:val="99"/>
        </w:rPr>
        <w:t> </w:t>
      </w:r>
      <w:r>
        <w:rPr>
          <w:w w:val="95"/>
        </w:rPr>
        <w:t>完成公司制改制后设立的企业，根据企业改制的相关规定，中讯设计院在改制过程中的资</w:t>
      </w:r>
      <w:r>
        <w:rPr>
          <w:w w:val="99"/>
        </w:rPr>
        <w:t> </w:t>
      </w:r>
      <w:r>
        <w:rPr>
          <w:w w:val="95"/>
        </w:rPr>
        <w:t>产评估增值被计入其改制后公司的所有者权益，因此根据本公司的持股比例计算，合并层</w:t>
      </w:r>
      <w:r>
        <w:rPr>
          <w:w w:val="99"/>
        </w:rPr>
        <w:t> </w:t>
      </w:r>
      <w:r>
        <w:rPr/>
        <w:t>面亦增加资本公积约人民币</w:t>
      </w:r>
      <w:r>
        <w:rPr>
          <w:spacing w:val="-57"/>
        </w:rPr>
        <w:t> </w:t>
      </w:r>
      <w:r>
        <w:rPr>
          <w:rFonts w:ascii="Arial" w:hAnsi="Arial" w:cs="Arial" w:eastAsia="Arial" w:hint="default"/>
        </w:rPr>
        <w:t>0.3</w:t>
      </w:r>
      <w:r>
        <w:rPr>
          <w:rFonts w:ascii="Arial" w:hAnsi="Arial" w:cs="Arial" w:eastAsia="Arial" w:hint="default"/>
          <w:spacing w:val="-8"/>
        </w:rPr>
        <w:t> </w:t>
      </w:r>
      <w:r>
        <w:rPr/>
        <w:t>亿元。</w:t>
      </w:r>
    </w:p>
    <w:p>
      <w:pPr>
        <w:spacing w:line="240" w:lineRule="auto" w:before="11"/>
        <w:rPr>
          <w:rFonts w:ascii="宋体" w:hAnsi="宋体" w:cs="宋体" w:eastAsia="宋体" w:hint="default"/>
          <w:sz w:val="18"/>
          <w:szCs w:val="18"/>
        </w:rPr>
      </w:pPr>
    </w:p>
    <w:p>
      <w:pPr>
        <w:pStyle w:val="BodyText"/>
        <w:spacing w:line="230" w:lineRule="auto"/>
        <w:ind w:left="1011" w:right="122" w:hanging="462"/>
        <w:jc w:val="both"/>
      </w:pPr>
      <w:r>
        <w:rPr>
          <w:rFonts w:ascii="Arial" w:hAnsi="Arial" w:cs="Arial" w:eastAsia="Arial" w:hint="default"/>
        </w:rPr>
        <w:t>(e)</w:t>
      </w:r>
      <w:r>
        <w:rPr>
          <w:rFonts w:ascii="Arial" w:hAnsi="Arial" w:cs="Arial" w:eastAsia="Arial" w:hint="default"/>
          <w:spacing w:val="8"/>
        </w:rPr>
        <w:t> </w:t>
      </w:r>
      <w:r>
        <w:rPr/>
        <w:t>联通红筹公司及其子公司网通红筹公司授予员工的可行权日在</w:t>
      </w:r>
      <w:r>
        <w:rPr>
          <w:spacing w:val="-52"/>
        </w:rPr>
        <w:t> </w:t>
      </w:r>
      <w:r>
        <w:rPr>
          <w:rFonts w:ascii="Arial" w:hAnsi="Arial" w:cs="Arial" w:eastAsia="Arial" w:hint="default"/>
        </w:rPr>
        <w:t>2007</w:t>
      </w:r>
      <w:r>
        <w:rPr>
          <w:rFonts w:ascii="Arial" w:hAnsi="Arial" w:cs="Arial" w:eastAsia="Arial" w:hint="default"/>
          <w:spacing w:val="-2"/>
        </w:rPr>
        <w:t> </w:t>
      </w:r>
      <w:r>
        <w:rPr/>
        <w:t>年</w:t>
      </w:r>
      <w:r>
        <w:rPr>
          <w:spacing w:val="-53"/>
        </w:rPr>
        <w:t> </w:t>
      </w:r>
      <w:r>
        <w:rPr>
          <w:rFonts w:ascii="Arial" w:hAnsi="Arial" w:cs="Arial" w:eastAsia="Arial" w:hint="default"/>
        </w:rPr>
        <w:t>1</w:t>
      </w:r>
      <w:r>
        <w:rPr>
          <w:rFonts w:ascii="Arial" w:hAnsi="Arial" w:cs="Arial" w:eastAsia="Arial" w:hint="default"/>
          <w:spacing w:val="-4"/>
        </w:rPr>
        <w:t> </w:t>
      </w:r>
      <w:r>
        <w:rPr/>
        <w:t>月</w:t>
      </w:r>
      <w:r>
        <w:rPr>
          <w:spacing w:val="-53"/>
        </w:rPr>
        <w:t> </w:t>
      </w:r>
      <w:r>
        <w:rPr>
          <w:rFonts w:ascii="Arial" w:hAnsi="Arial" w:cs="Arial" w:eastAsia="Arial" w:hint="default"/>
        </w:rPr>
        <w:t>1</w:t>
      </w:r>
      <w:r>
        <w:rPr>
          <w:rFonts w:ascii="Arial" w:hAnsi="Arial" w:cs="Arial" w:eastAsia="Arial" w:hint="default"/>
          <w:spacing w:val="-4"/>
        </w:rPr>
        <w:t> </w:t>
      </w:r>
      <w:r>
        <w:rPr/>
        <w:t>日后的股份</w:t>
      </w:r>
      <w:r>
        <w:rPr>
          <w:w w:val="99"/>
        </w:rPr>
        <w:t> </w:t>
      </w:r>
      <w:r>
        <w:rPr>
          <w:w w:val="95"/>
        </w:rPr>
        <w:t>期权的公允价值于等待期内确认相应的费用，根据本公司的持股比例，当期确认的与股份</w:t>
      </w:r>
      <w:r>
        <w:rPr>
          <w:w w:val="99"/>
        </w:rPr>
        <w:t> </w:t>
      </w:r>
      <w:r>
        <w:rPr/>
        <w:t>期权相关的员工薪酬增加了本公司的资本公积约人民币 </w:t>
      </w:r>
      <w:r>
        <w:rPr>
          <w:rFonts w:ascii="Arial" w:hAnsi="Arial" w:cs="Arial" w:eastAsia="Arial" w:hint="default"/>
        </w:rPr>
        <w:t>922 </w:t>
      </w:r>
      <w:r>
        <w:rPr/>
        <w:t>万元（</w:t>
      </w:r>
      <w:r>
        <w:rPr>
          <w:rFonts w:ascii="Arial" w:hAnsi="Arial" w:cs="Arial" w:eastAsia="Arial" w:hint="default"/>
        </w:rPr>
        <w:t>2008</w:t>
      </w:r>
      <w:r>
        <w:rPr>
          <w:rFonts w:ascii="Arial" w:hAnsi="Arial" w:cs="Arial" w:eastAsia="Arial" w:hint="default"/>
          <w:spacing w:val="-6"/>
        </w:rPr>
        <w:t> </w:t>
      </w:r>
      <w:r>
        <w:rPr/>
        <w:t>年度：约人民币</w:t>
      </w:r>
      <w:r>
        <w:rPr>
          <w:w w:val="99"/>
        </w:rPr>
        <w:t> </w:t>
      </w:r>
      <w:r>
        <w:rPr>
          <w:rFonts w:ascii="Arial" w:hAnsi="Arial" w:cs="Arial" w:eastAsia="Arial" w:hint="default"/>
        </w:rPr>
        <w:t>4,796</w:t>
      </w:r>
      <w:r>
        <w:rPr>
          <w:rFonts w:ascii="Arial" w:hAnsi="Arial" w:cs="Arial" w:eastAsia="Arial" w:hint="default"/>
          <w:spacing w:val="-9"/>
        </w:rPr>
        <w:t> </w:t>
      </w:r>
      <w:r>
        <w:rPr/>
        <w:t>万元）。</w:t>
      </w:r>
    </w:p>
    <w:p>
      <w:pPr>
        <w:spacing w:line="240" w:lineRule="auto" w:before="3"/>
        <w:rPr>
          <w:rFonts w:ascii="宋体" w:hAnsi="宋体" w:cs="宋体" w:eastAsia="宋体" w:hint="default"/>
          <w:sz w:val="18"/>
          <w:szCs w:val="18"/>
        </w:rPr>
      </w:pPr>
    </w:p>
    <w:p>
      <w:pPr>
        <w:pStyle w:val="BodyText"/>
        <w:tabs>
          <w:tab w:pos="1011" w:val="left" w:leader="none"/>
        </w:tabs>
        <w:spacing w:line="295" w:lineRule="exact"/>
        <w:ind w:left="549" w:right="0"/>
        <w:jc w:val="left"/>
      </w:pPr>
      <w:r>
        <w:rPr>
          <w:rFonts w:ascii="Arial" w:hAnsi="Arial" w:cs="Arial" w:eastAsia="Arial" w:hint="default"/>
          <w:w w:val="99"/>
        </w:rPr>
        <w:t>(f)</w:t>
      </w:r>
      <w:r>
        <w:rPr>
          <w:rFonts w:ascii="Arial" w:hAnsi="Arial" w:cs="Arial" w:eastAsia="Arial" w:hint="default"/>
        </w:rPr>
        <w:tab/>
      </w:r>
      <w:r>
        <w:rPr>
          <w:w w:val="99"/>
        </w:rPr>
        <w:t>于</w:t>
      </w:r>
      <w:r>
        <w:rPr>
          <w:spacing w:val="-55"/>
        </w:rPr>
        <w:t> </w:t>
      </w:r>
      <w:r>
        <w:rPr>
          <w:rFonts w:ascii="Arial" w:hAnsi="Arial" w:cs="Arial" w:eastAsia="Arial" w:hint="default"/>
          <w:w w:val="99"/>
        </w:rPr>
        <w:t>2009</w:t>
      </w:r>
      <w:r>
        <w:rPr>
          <w:rFonts w:ascii="Arial" w:hAnsi="Arial" w:cs="Arial" w:eastAsia="Arial" w:hint="default"/>
          <w:spacing w:val="-6"/>
        </w:rPr>
        <w:t> </w:t>
      </w:r>
      <w:r>
        <w:rPr>
          <w:w w:val="99"/>
        </w:rPr>
        <w:t>年</w:t>
      </w:r>
      <w:r>
        <w:rPr>
          <w:spacing w:val="-55"/>
        </w:rPr>
        <w:t> </w:t>
      </w:r>
      <w:r>
        <w:rPr>
          <w:rFonts w:ascii="Arial" w:hAnsi="Arial" w:cs="Arial" w:eastAsia="Arial" w:hint="default"/>
          <w:w w:val="99"/>
        </w:rPr>
        <w:t>10</w:t>
      </w:r>
      <w:r>
        <w:rPr>
          <w:rFonts w:ascii="Arial" w:hAnsi="Arial" w:cs="Arial" w:eastAsia="Arial" w:hint="default"/>
          <w:spacing w:val="-6"/>
        </w:rPr>
        <w:t> </w:t>
      </w:r>
      <w:r>
        <w:rPr>
          <w:w w:val="99"/>
        </w:rPr>
        <w:t>月</w:t>
      </w:r>
      <w:r>
        <w:rPr>
          <w:spacing w:val="-55"/>
        </w:rPr>
        <w:t> </w:t>
      </w:r>
      <w:r>
        <w:rPr>
          <w:rFonts w:ascii="Arial" w:hAnsi="Arial" w:cs="Arial" w:eastAsia="Arial" w:hint="default"/>
          <w:w w:val="99"/>
        </w:rPr>
        <w:t>21</w:t>
      </w:r>
      <w:r>
        <w:rPr>
          <w:rFonts w:ascii="Arial" w:hAnsi="Arial" w:cs="Arial" w:eastAsia="Arial" w:hint="default"/>
          <w:spacing w:val="-6"/>
        </w:rPr>
        <w:t> </w:t>
      </w:r>
      <w:r>
        <w:rPr>
          <w:w w:val="99"/>
        </w:rPr>
        <w:t>日</w:t>
      </w:r>
      <w:r>
        <w:rPr>
          <w:spacing w:val="-100"/>
          <w:w w:val="99"/>
        </w:rPr>
        <w:t>，</w:t>
      </w:r>
      <w:r>
        <w:rPr>
          <w:w w:val="99"/>
        </w:rPr>
        <w:t>联通红</w:t>
      </w:r>
      <w:r>
        <w:rPr>
          <w:spacing w:val="1"/>
          <w:w w:val="99"/>
        </w:rPr>
        <w:t>筹公</w:t>
      </w:r>
      <w:r>
        <w:rPr>
          <w:w w:val="99"/>
        </w:rPr>
        <w:t>司通过</w:t>
      </w:r>
      <w:r>
        <w:rPr>
          <w:spacing w:val="1"/>
          <w:w w:val="99"/>
        </w:rPr>
        <w:t>新发</w:t>
      </w:r>
      <w:r>
        <w:rPr>
          <w:w w:val="99"/>
        </w:rPr>
        <w:t>行约</w:t>
      </w:r>
      <w:r>
        <w:rPr>
          <w:spacing w:val="-55"/>
        </w:rPr>
        <w:t> </w:t>
      </w:r>
      <w:r>
        <w:rPr>
          <w:rFonts w:ascii="Arial" w:hAnsi="Arial" w:cs="Arial" w:eastAsia="Arial" w:hint="default"/>
          <w:w w:val="99"/>
        </w:rPr>
        <w:t>6.94</w:t>
      </w:r>
      <w:r>
        <w:rPr>
          <w:rFonts w:ascii="Arial" w:hAnsi="Arial" w:cs="Arial" w:eastAsia="Arial" w:hint="default"/>
          <w:spacing w:val="-6"/>
        </w:rPr>
        <w:t> </w:t>
      </w:r>
      <w:r>
        <w:rPr>
          <w:w w:val="99"/>
        </w:rPr>
        <w:t>亿股股份</w:t>
      </w:r>
      <w:r>
        <w:rPr>
          <w:spacing w:val="1"/>
          <w:w w:val="99"/>
        </w:rPr>
        <w:t>交换</w:t>
      </w:r>
      <w:r>
        <w:rPr>
          <w:w w:val="99"/>
        </w:rPr>
        <w:t>了西班</w:t>
      </w:r>
      <w:r>
        <w:rPr>
          <w:spacing w:val="1"/>
          <w:w w:val="99"/>
        </w:rPr>
        <w:t>牙电</w:t>
      </w:r>
      <w:r>
        <w:rPr>
          <w:w w:val="99"/>
        </w:rPr>
        <w:t>信的约</w:t>
      </w:r>
      <w:r>
        <w:rPr/>
      </w:r>
    </w:p>
    <w:p>
      <w:pPr>
        <w:pStyle w:val="BodyText"/>
        <w:spacing w:line="285" w:lineRule="exact"/>
        <w:ind w:left="1011" w:right="0"/>
        <w:jc w:val="both"/>
      </w:pPr>
      <w:r>
        <w:rPr>
          <w:rFonts w:ascii="Arial" w:hAnsi="Arial" w:cs="Arial" w:eastAsia="Arial" w:hint="default"/>
        </w:rPr>
        <w:t>0.41</w:t>
      </w:r>
      <w:r>
        <w:rPr>
          <w:rFonts w:ascii="Arial" w:hAnsi="Arial" w:cs="Arial" w:eastAsia="Arial" w:hint="default"/>
          <w:spacing w:val="9"/>
        </w:rPr>
        <w:t> </w:t>
      </w:r>
      <w:r>
        <w:rPr>
          <w:spacing w:val="-2"/>
        </w:rPr>
        <w:t>亿股股份完成了与西班牙电信的相互投资。为完成该交易联通红筹公司所新发行股份</w:t>
      </w:r>
    </w:p>
    <w:p>
      <w:pPr>
        <w:pStyle w:val="BodyText"/>
        <w:spacing w:line="286" w:lineRule="exact" w:before="18"/>
        <w:ind w:left="1011" w:right="124"/>
        <w:jc w:val="both"/>
      </w:pPr>
      <w:r>
        <w:rPr/>
        <w:t>的公允价值约人民币</w:t>
      </w:r>
      <w:r>
        <w:rPr>
          <w:spacing w:val="-63"/>
        </w:rPr>
        <w:t> </w:t>
      </w:r>
      <w:r>
        <w:rPr>
          <w:rFonts w:ascii="Arial" w:hAnsi="Arial" w:cs="Arial" w:eastAsia="Arial" w:hint="default"/>
        </w:rPr>
        <w:t>67.12</w:t>
      </w:r>
      <w:r>
        <w:rPr>
          <w:rFonts w:ascii="Arial" w:hAnsi="Arial" w:cs="Arial" w:eastAsia="Arial" w:hint="default"/>
          <w:spacing w:val="-14"/>
        </w:rPr>
        <w:t> </w:t>
      </w:r>
      <w:r>
        <w:rPr/>
        <w:t>亿元，分别增加了联通红筹公司的股本和资本溢价。根据本公</w:t>
      </w:r>
      <w:r>
        <w:rPr>
          <w:w w:val="99"/>
        </w:rPr>
        <w:t> </w:t>
      </w:r>
      <w:r>
        <w:rPr>
          <w:w w:val="95"/>
        </w:rPr>
        <w:t>司对联通红筹公司的持股比例计算，同时增加了归属于本集团母公司普通股股东的资本公</w:t>
      </w:r>
      <w:r>
        <w:rPr>
          <w:spacing w:val="99"/>
          <w:w w:val="95"/>
        </w:rPr>
        <w:t> </w:t>
      </w:r>
      <w:r>
        <w:rPr>
          <w:spacing w:val="99"/>
          <w:w w:val="95"/>
        </w:rPr>
      </w:r>
      <w:r>
        <w:rPr/>
        <w:t>积约人民币</w:t>
      </w:r>
      <w:r>
        <w:rPr>
          <w:spacing w:val="-57"/>
        </w:rPr>
        <w:t> </w:t>
      </w:r>
      <w:r>
        <w:rPr>
          <w:rFonts w:ascii="Arial" w:hAnsi="Arial" w:cs="Arial" w:eastAsia="Arial" w:hint="default"/>
        </w:rPr>
        <w:t>22.74</w:t>
      </w:r>
      <w:r>
        <w:rPr>
          <w:rFonts w:ascii="Arial" w:hAnsi="Arial" w:cs="Arial" w:eastAsia="Arial" w:hint="default"/>
          <w:spacing w:val="-9"/>
        </w:rPr>
        <w:t> </w:t>
      </w:r>
      <w:r>
        <w:rPr/>
        <w:t>亿元。</w:t>
      </w:r>
    </w:p>
    <w:p>
      <w:pPr>
        <w:spacing w:after="0" w:line="286" w:lineRule="exact"/>
        <w:jc w:val="both"/>
        <w:sectPr>
          <w:headerReference w:type="default" r:id="rId109"/>
          <w:pgSz w:w="11910" w:h="16840"/>
          <w:pgMar w:header="1189" w:footer="752" w:top="3580" w:bottom="940" w:left="1280" w:right="920"/>
        </w:sectPr>
      </w:pPr>
    </w:p>
    <w:p>
      <w:pPr>
        <w:spacing w:line="240" w:lineRule="auto" w:before="4"/>
        <w:rPr>
          <w:rFonts w:ascii="宋体" w:hAnsi="宋体" w:cs="宋体" w:eastAsia="宋体" w:hint="default"/>
          <w:sz w:val="10"/>
          <w:szCs w:val="10"/>
        </w:rPr>
      </w:pPr>
    </w:p>
    <w:p>
      <w:pPr>
        <w:pStyle w:val="BodyText"/>
        <w:spacing w:line="230" w:lineRule="auto" w:before="42"/>
        <w:ind w:left="1012" w:right="157" w:hanging="463"/>
        <w:jc w:val="both"/>
      </w:pPr>
      <w:r>
        <w:rPr>
          <w:rFonts w:ascii="Arial" w:hAnsi="Arial" w:cs="Arial" w:eastAsia="Arial" w:hint="default"/>
        </w:rPr>
        <w:t>(g)</w:t>
      </w:r>
      <w:r>
        <w:rPr>
          <w:rFonts w:ascii="Arial" w:hAnsi="Arial" w:cs="Arial" w:eastAsia="Arial" w:hint="default"/>
          <w:spacing w:val="55"/>
        </w:rPr>
        <w:t> </w:t>
      </w:r>
      <w:r>
        <w:rPr>
          <w:spacing w:val="6"/>
        </w:rPr>
        <w:t>联通红筹公司的部分被授予股份期权的员工于以前年度时行使股份期权于以前年度累计</w:t>
      </w:r>
      <w:r>
        <w:rPr>
          <w:spacing w:val="6"/>
          <w:w w:val="99"/>
        </w:rPr>
        <w:t> </w:t>
      </w:r>
      <w:r>
        <w:rPr>
          <w:w w:val="95"/>
        </w:rPr>
        <w:t>增加了联通红筹公司的股本及股本溢价，根据本公司的持股比例计算，归属于本公司的份</w:t>
      </w:r>
      <w:r>
        <w:rPr>
          <w:w w:val="99"/>
        </w:rPr>
        <w:t> </w:t>
      </w:r>
      <w:r>
        <w:rPr/>
        <w:t>额约人民币</w:t>
      </w:r>
      <w:r>
        <w:rPr>
          <w:spacing w:val="-68"/>
        </w:rPr>
        <w:t> </w:t>
      </w:r>
      <w:r>
        <w:rPr>
          <w:rFonts w:ascii="Arial" w:hAnsi="Arial" w:cs="Arial" w:eastAsia="Arial" w:hint="default"/>
        </w:rPr>
        <w:t>0.14</w:t>
      </w:r>
      <w:r>
        <w:rPr>
          <w:rFonts w:ascii="Arial" w:hAnsi="Arial" w:cs="Arial" w:eastAsia="Arial" w:hint="default"/>
          <w:spacing w:val="-20"/>
        </w:rPr>
        <w:t> </w:t>
      </w:r>
      <w:r>
        <w:rPr/>
        <w:t>亿元被计入本集团的资本公积。于</w:t>
      </w:r>
      <w:r>
        <w:rPr>
          <w:spacing w:val="-69"/>
        </w:rPr>
        <w:t> </w:t>
      </w:r>
      <w:r>
        <w:rPr>
          <w:rFonts w:ascii="Arial" w:hAnsi="Arial" w:cs="Arial" w:eastAsia="Arial" w:hint="default"/>
        </w:rPr>
        <w:t>2009</w:t>
      </w:r>
      <w:r>
        <w:rPr>
          <w:rFonts w:ascii="Arial" w:hAnsi="Arial" w:cs="Arial" w:eastAsia="Arial" w:hint="default"/>
          <w:spacing w:val="-20"/>
        </w:rPr>
        <w:t> </w:t>
      </w:r>
      <w:r>
        <w:rPr/>
        <w:t>年度，联通红筹公司被授予股份</w:t>
      </w:r>
      <w:r>
        <w:rPr>
          <w:w w:val="99"/>
        </w:rPr>
        <w:t> </w:t>
      </w:r>
      <w:r>
        <w:rPr/>
        <w:t>期权的员工未行使其被授予的股份期权（</w:t>
      </w:r>
      <w:r>
        <w:rPr>
          <w:rFonts w:ascii="Arial" w:hAnsi="Arial" w:cs="Arial" w:eastAsia="Arial" w:hint="default"/>
        </w:rPr>
        <w:t>2008</w:t>
      </w:r>
      <w:r>
        <w:rPr>
          <w:rFonts w:ascii="Arial" w:hAnsi="Arial" w:cs="Arial" w:eastAsia="Arial" w:hint="default"/>
          <w:spacing w:val="-7"/>
        </w:rPr>
        <w:t> </w:t>
      </w:r>
      <w:r>
        <w:rPr/>
        <w:t>年度：约人民币</w:t>
      </w:r>
      <w:r>
        <w:rPr>
          <w:spacing w:val="-57"/>
        </w:rPr>
        <w:t> </w:t>
      </w:r>
      <w:r>
        <w:rPr>
          <w:rFonts w:ascii="Arial" w:hAnsi="Arial" w:cs="Arial" w:eastAsia="Arial" w:hint="default"/>
        </w:rPr>
        <w:t>0.81</w:t>
      </w:r>
      <w:r>
        <w:rPr>
          <w:rFonts w:ascii="Arial" w:hAnsi="Arial" w:cs="Arial" w:eastAsia="Arial" w:hint="default"/>
          <w:spacing w:val="-8"/>
        </w:rPr>
        <w:t> </w:t>
      </w:r>
      <w:r>
        <w:rPr/>
        <w:t>亿元）。</w:t>
      </w:r>
    </w:p>
    <w:p>
      <w:pPr>
        <w:pStyle w:val="BodyText"/>
        <w:spacing w:line="295" w:lineRule="exact" w:before="164"/>
        <w:ind w:left="550" w:right="106"/>
        <w:jc w:val="left"/>
      </w:pPr>
      <w:r>
        <w:rPr>
          <w:rFonts w:ascii="Arial" w:hAnsi="Arial" w:cs="Arial" w:eastAsia="Arial" w:hint="default"/>
        </w:rPr>
        <w:t>(h)  </w:t>
      </w:r>
      <w:r>
        <w:rPr>
          <w:rFonts w:ascii="Arial" w:hAnsi="Arial" w:cs="Arial" w:eastAsia="Arial" w:hint="default"/>
          <w:spacing w:val="8"/>
        </w:rPr>
        <w:t> </w:t>
      </w:r>
      <w:r>
        <w:rPr/>
        <w:t>本公司于</w:t>
      </w:r>
      <w:r>
        <w:rPr>
          <w:spacing w:val="-48"/>
        </w:rPr>
        <w:t> </w:t>
      </w:r>
      <w:r>
        <w:rPr>
          <w:rFonts w:ascii="Arial" w:hAnsi="Arial" w:cs="Arial" w:eastAsia="Arial" w:hint="default"/>
        </w:rPr>
        <w:t>2009</w:t>
      </w:r>
      <w:r>
        <w:rPr>
          <w:rFonts w:ascii="Arial" w:hAnsi="Arial" w:cs="Arial" w:eastAsia="Arial" w:hint="default"/>
          <w:spacing w:val="2"/>
        </w:rPr>
        <w:t> </w:t>
      </w:r>
      <w:r>
        <w:rPr/>
        <w:t>年</w:t>
      </w:r>
      <w:r>
        <w:rPr>
          <w:spacing w:val="-48"/>
        </w:rPr>
        <w:t> </w:t>
      </w:r>
      <w:r>
        <w:rPr>
          <w:rFonts w:ascii="Arial" w:hAnsi="Arial" w:cs="Arial" w:eastAsia="Arial" w:hint="default"/>
        </w:rPr>
        <w:t>1</w:t>
      </w:r>
      <w:r>
        <w:rPr>
          <w:rFonts w:ascii="Arial" w:hAnsi="Arial" w:cs="Arial" w:eastAsia="Arial" w:hint="default"/>
          <w:spacing w:val="1"/>
        </w:rPr>
        <w:t> </w:t>
      </w:r>
      <w:r>
        <w:rPr/>
        <w:t>月完成了对目标业务的收购，其中被收购的子公司中讯设计院是一家</w:t>
      </w:r>
    </w:p>
    <w:p>
      <w:pPr>
        <w:pStyle w:val="BodyText"/>
        <w:spacing w:line="230" w:lineRule="auto" w:before="1"/>
        <w:ind w:left="1012" w:right="157"/>
        <w:jc w:val="both"/>
      </w:pPr>
      <w:r>
        <w:rPr/>
        <w:t>于</w:t>
      </w:r>
      <w:r>
        <w:rPr>
          <w:spacing w:val="-53"/>
        </w:rPr>
        <w:t> </w:t>
      </w:r>
      <w:r>
        <w:rPr>
          <w:rFonts w:ascii="Arial" w:hAnsi="Arial" w:cs="Arial" w:eastAsia="Arial" w:hint="default"/>
        </w:rPr>
        <w:t>2008</w:t>
      </w:r>
      <w:r>
        <w:rPr>
          <w:rFonts w:ascii="Arial" w:hAnsi="Arial" w:cs="Arial" w:eastAsia="Arial" w:hint="default"/>
          <w:spacing w:val="-4"/>
        </w:rPr>
        <w:t> </w:t>
      </w:r>
      <w:r>
        <w:rPr/>
        <w:t>年</w:t>
      </w:r>
      <w:r>
        <w:rPr>
          <w:spacing w:val="-53"/>
        </w:rPr>
        <w:t> </w:t>
      </w:r>
      <w:r>
        <w:rPr>
          <w:rFonts w:ascii="Arial" w:hAnsi="Arial" w:cs="Arial" w:eastAsia="Arial" w:hint="default"/>
        </w:rPr>
        <w:t>9</w:t>
      </w:r>
      <w:r>
        <w:rPr>
          <w:rFonts w:ascii="Arial" w:hAnsi="Arial" w:cs="Arial" w:eastAsia="Arial" w:hint="default"/>
          <w:spacing w:val="-4"/>
        </w:rPr>
        <w:t> </w:t>
      </w:r>
      <w:r>
        <w:rPr/>
        <w:t>月</w:t>
      </w:r>
      <w:r>
        <w:rPr>
          <w:spacing w:val="-53"/>
        </w:rPr>
        <w:t> </w:t>
      </w:r>
      <w:r>
        <w:rPr>
          <w:rFonts w:ascii="Arial" w:hAnsi="Arial" w:cs="Arial" w:eastAsia="Arial" w:hint="default"/>
        </w:rPr>
        <w:t>27</w:t>
      </w:r>
      <w:r>
        <w:rPr>
          <w:rFonts w:ascii="Arial" w:hAnsi="Arial" w:cs="Arial" w:eastAsia="Arial" w:hint="default"/>
          <w:spacing w:val="-4"/>
        </w:rPr>
        <w:t> </w:t>
      </w:r>
      <w:r>
        <w:rPr>
          <w:spacing w:val="-4"/>
        </w:rPr>
        <w:t>日完成公司制改制后设立的企业，根据相关企业改制的规定，中讯设计</w:t>
      </w:r>
      <w:r>
        <w:rPr>
          <w:w w:val="99"/>
        </w:rPr>
        <w:t> </w:t>
      </w:r>
      <w:r>
        <w:rPr>
          <w:spacing w:val="6"/>
          <w:w w:val="95"/>
        </w:rPr>
        <w:t>院截至改制日止的未分配利润被全部转入资本公积项下，因此根据本公司的持股比例计</w:t>
      </w:r>
      <w:r>
        <w:rPr>
          <w:spacing w:val="77"/>
          <w:w w:val="95"/>
        </w:rPr>
        <w:t> </w:t>
      </w:r>
      <w:r>
        <w:rPr>
          <w:spacing w:val="77"/>
          <w:w w:val="95"/>
        </w:rPr>
      </w:r>
      <w:r>
        <w:rPr/>
        <w:t>算，合并层面约人民币</w:t>
      </w:r>
      <w:r>
        <w:rPr>
          <w:spacing w:val="-56"/>
        </w:rPr>
        <w:t> </w:t>
      </w:r>
      <w:r>
        <w:rPr>
          <w:rFonts w:ascii="Arial" w:hAnsi="Arial" w:cs="Arial" w:eastAsia="Arial" w:hint="default"/>
        </w:rPr>
        <w:t>2.87</w:t>
      </w:r>
      <w:r>
        <w:rPr>
          <w:rFonts w:ascii="Arial" w:hAnsi="Arial" w:cs="Arial" w:eastAsia="Arial" w:hint="default"/>
          <w:spacing w:val="-8"/>
        </w:rPr>
        <w:t> </w:t>
      </w:r>
      <w:r>
        <w:rPr/>
        <w:t>亿元的未分配利润亦被全部转入资本公积。</w:t>
      </w:r>
    </w:p>
    <w:p>
      <w:pPr>
        <w:pStyle w:val="BodyText"/>
        <w:spacing w:line="230" w:lineRule="auto" w:before="174"/>
        <w:ind w:left="1011" w:right="161" w:hanging="462"/>
        <w:jc w:val="both"/>
      </w:pPr>
      <w:r>
        <w:rPr>
          <w:rFonts w:ascii="Arial" w:hAnsi="Arial" w:cs="Arial" w:eastAsia="Arial" w:hint="default"/>
        </w:rPr>
        <w:t>(i)</w:t>
      </w:r>
      <w:r>
        <w:rPr>
          <w:rFonts w:ascii="Arial" w:hAnsi="Arial" w:cs="Arial" w:eastAsia="Arial" w:hint="default"/>
          <w:spacing w:val="18"/>
        </w:rPr>
        <w:t> </w:t>
      </w:r>
      <w:r>
        <w:rPr/>
        <w:t>联通红筹公司于</w:t>
      </w:r>
      <w:r>
        <w:rPr>
          <w:spacing w:val="-56"/>
        </w:rPr>
        <w:t> </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10</w:t>
      </w:r>
      <w:r>
        <w:rPr>
          <w:rFonts w:ascii="Arial" w:hAnsi="Arial" w:cs="Arial" w:eastAsia="Arial" w:hint="default"/>
          <w:spacing w:val="-7"/>
        </w:rPr>
        <w:t> </w:t>
      </w:r>
      <w:r>
        <w:rPr/>
        <w:t>月</w:t>
      </w:r>
      <w:r>
        <w:rPr>
          <w:spacing w:val="-56"/>
        </w:rPr>
        <w:t> </w:t>
      </w:r>
      <w:r>
        <w:rPr>
          <w:rFonts w:ascii="Arial" w:hAnsi="Arial" w:cs="Arial" w:eastAsia="Arial" w:hint="default"/>
        </w:rPr>
        <w:t>15</w:t>
      </w:r>
      <w:r>
        <w:rPr>
          <w:rFonts w:ascii="Arial" w:hAnsi="Arial" w:cs="Arial" w:eastAsia="Arial" w:hint="default"/>
          <w:spacing w:val="-7"/>
        </w:rPr>
        <w:t> </w:t>
      </w:r>
      <w:r>
        <w:rPr/>
        <w:t>日以换股方式完成了与网通红筹公司的合并，网通红筹</w:t>
      </w:r>
      <w:r>
        <w:rPr>
          <w:w w:val="99"/>
        </w:rPr>
        <w:t> </w:t>
      </w:r>
      <w:r>
        <w:rPr/>
        <w:t>公司的股东权益被计入联通红筹公司的合并股东权益总额。如附注二</w:t>
      </w:r>
      <w:r>
        <w:rPr>
          <w:spacing w:val="-63"/>
        </w:rPr>
        <w:t> </w:t>
      </w:r>
      <w:r>
        <w:rPr>
          <w:rFonts w:ascii="Arial" w:hAnsi="Arial" w:cs="Arial" w:eastAsia="Arial" w:hint="default"/>
        </w:rPr>
        <w:t>1(c)</w:t>
      </w:r>
      <w:r>
        <w:rPr/>
        <w:t>所述，由于在报</w:t>
      </w:r>
      <w:r>
        <w:rPr>
          <w:w w:val="99"/>
        </w:rPr>
        <w:t> </w:t>
      </w:r>
      <w:r>
        <w:rPr/>
        <w:t>告期，本公司一直保持对联通红筹公司的控制，因此虽然此合并导致本公司通过联通</w:t>
      </w:r>
      <w:r>
        <w:rPr>
          <w:spacing w:val="-38"/>
        </w:rPr>
        <w:t> </w:t>
      </w:r>
      <w:r>
        <w:rPr>
          <w:rFonts w:ascii="Arial" w:hAnsi="Arial" w:cs="Arial" w:eastAsia="Arial" w:hint="default"/>
        </w:rPr>
        <w:t>BVI</w:t>
      </w:r>
      <w:r>
        <w:rPr>
          <w:rFonts w:ascii="Arial" w:hAnsi="Arial" w:cs="Arial" w:eastAsia="Arial" w:hint="default"/>
          <w:w w:val="99"/>
        </w:rPr>
        <w:t> </w:t>
      </w:r>
      <w:r>
        <w:rPr>
          <w:w w:val="95"/>
        </w:rPr>
        <w:t>公司对联通红筹公司的持股比例下降，下降的金额在本集团的资本公积反映，持股比例的</w:t>
      </w:r>
      <w:r>
        <w:rPr>
          <w:w w:val="99"/>
        </w:rPr>
        <w:t> </w:t>
      </w:r>
      <w:r>
        <w:rPr/>
        <w:t>下降使归属于本公司的联通红筹公司的合并股东权益的份额减少约人民币 </w:t>
      </w:r>
      <w:r>
        <w:rPr>
          <w:rFonts w:ascii="Arial" w:hAnsi="Arial" w:cs="Arial" w:eastAsia="Arial" w:hint="default"/>
        </w:rPr>
        <w:t>237.41</w:t>
      </w:r>
      <w:r>
        <w:rPr>
          <w:rFonts w:ascii="Arial" w:hAnsi="Arial" w:cs="Arial" w:eastAsia="Arial" w:hint="default"/>
          <w:spacing w:val="20"/>
        </w:rPr>
        <w:t> </w:t>
      </w:r>
      <w:r>
        <w:rPr/>
        <w:t>亿元。</w:t>
      </w:r>
      <w:r>
        <w:rPr>
          <w:w w:val="99"/>
        </w:rPr>
        <w:t> </w:t>
      </w:r>
      <w:r>
        <w:rPr>
          <w:w w:val="95"/>
        </w:rPr>
        <w:t>同时，合并使本集团合并股东权益增加，按本公司对联通红筹公司的持股比例计算，本集</w:t>
      </w:r>
      <w:r>
        <w:rPr>
          <w:w w:val="99"/>
        </w:rPr>
        <w:t> </w:t>
      </w:r>
      <w:r>
        <w:rPr/>
        <w:t>团资本公积增加人民币</w:t>
      </w:r>
      <w:r>
        <w:rPr>
          <w:spacing w:val="-55"/>
        </w:rPr>
        <w:t> </w:t>
      </w:r>
      <w:r>
        <w:rPr>
          <w:rFonts w:ascii="Arial" w:hAnsi="Arial" w:cs="Arial" w:eastAsia="Arial" w:hint="default"/>
        </w:rPr>
        <w:t>176.23</w:t>
      </w:r>
      <w:r>
        <w:rPr>
          <w:rFonts w:ascii="Arial" w:hAnsi="Arial" w:cs="Arial" w:eastAsia="Arial" w:hint="default"/>
          <w:spacing w:val="-7"/>
        </w:rPr>
        <w:t> </w:t>
      </w:r>
      <w:r>
        <w:rPr>
          <w:spacing w:val="-4"/>
        </w:rPr>
        <w:t>亿元，与前述减少的因素互抵后减少了本公司</w:t>
      </w:r>
      <w:r>
        <w:rPr>
          <w:spacing w:val="-56"/>
        </w:rPr>
        <w:t> </w:t>
      </w:r>
      <w:r>
        <w:rPr>
          <w:rFonts w:ascii="Arial" w:hAnsi="Arial" w:cs="Arial" w:eastAsia="Arial" w:hint="default"/>
        </w:rPr>
        <w:t>2009</w:t>
      </w:r>
      <w:r>
        <w:rPr>
          <w:rFonts w:ascii="Arial" w:hAnsi="Arial" w:cs="Arial" w:eastAsia="Arial" w:hint="default"/>
          <w:spacing w:val="-7"/>
        </w:rPr>
        <w:t> </w:t>
      </w:r>
      <w:r>
        <w:rPr/>
        <w:t>年的合</w:t>
      </w:r>
    </w:p>
    <w:p>
      <w:pPr>
        <w:pStyle w:val="BodyText"/>
        <w:spacing w:line="287" w:lineRule="exact"/>
        <w:ind w:left="1011" w:right="0"/>
        <w:jc w:val="both"/>
      </w:pPr>
      <w:r>
        <w:rPr/>
        <w:t>并期初资本公积约人民币</w:t>
      </w:r>
      <w:r>
        <w:rPr>
          <w:spacing w:val="-57"/>
        </w:rPr>
        <w:t> </w:t>
      </w:r>
      <w:r>
        <w:rPr>
          <w:rFonts w:ascii="Arial" w:hAnsi="Arial" w:cs="Arial" w:eastAsia="Arial" w:hint="default"/>
        </w:rPr>
        <w:t>61.18</w:t>
      </w:r>
      <w:r>
        <w:rPr>
          <w:rFonts w:ascii="Arial" w:hAnsi="Arial" w:cs="Arial" w:eastAsia="Arial" w:hint="default"/>
          <w:spacing w:val="-8"/>
        </w:rPr>
        <w:t> </w:t>
      </w:r>
      <w:r>
        <w:rPr/>
        <w:t>亿元。</w:t>
      </w:r>
    </w:p>
    <w:p>
      <w:pPr>
        <w:pStyle w:val="BodyText"/>
        <w:spacing w:line="225" w:lineRule="auto" w:before="177"/>
        <w:ind w:left="998" w:right="152"/>
        <w:jc w:val="both"/>
      </w:pPr>
      <w:r>
        <w:rPr>
          <w:spacing w:val="-4"/>
        </w:rPr>
        <w:t>另外，由于本公司子公司联通红筹公司分别于</w:t>
      </w:r>
      <w:r>
        <w:rPr>
          <w:spacing w:val="-54"/>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10</w:t>
      </w:r>
      <w:r>
        <w:rPr>
          <w:rFonts w:ascii="Arial" w:hAnsi="Arial" w:cs="Arial" w:eastAsia="Arial" w:hint="default"/>
          <w:spacing w:val="-7"/>
        </w:rPr>
        <w:t> </w:t>
      </w:r>
      <w:r>
        <w:rPr/>
        <w:t>月</w:t>
      </w:r>
      <w:r>
        <w:rPr>
          <w:spacing w:val="-56"/>
        </w:rPr>
        <w:t> </w:t>
      </w:r>
      <w:r>
        <w:rPr>
          <w:rFonts w:ascii="Arial" w:hAnsi="Arial" w:cs="Arial" w:eastAsia="Arial" w:hint="default"/>
        </w:rPr>
        <w:t>21</w:t>
      </w:r>
      <w:r>
        <w:rPr>
          <w:rFonts w:ascii="Arial" w:hAnsi="Arial" w:cs="Arial" w:eastAsia="Arial" w:hint="default"/>
          <w:spacing w:val="-7"/>
        </w:rPr>
        <w:t> </w:t>
      </w:r>
      <w:r>
        <w:rPr/>
        <w:t>日和</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11</w:t>
      </w:r>
      <w:r>
        <w:rPr>
          <w:rFonts w:ascii="Arial" w:hAnsi="Arial" w:cs="Arial" w:eastAsia="Arial" w:hint="default"/>
          <w:spacing w:val="-7"/>
        </w:rPr>
        <w:t> </w:t>
      </w:r>
      <w:r>
        <w:rPr/>
        <w:t>月</w:t>
      </w:r>
      <w:r>
        <w:rPr>
          <w:spacing w:val="-56"/>
        </w:rPr>
        <w:t> </w:t>
      </w:r>
      <w:r>
        <w:rPr>
          <w:rFonts w:ascii="Arial" w:hAnsi="Arial" w:cs="Arial" w:eastAsia="Arial" w:hint="default"/>
        </w:rPr>
        <w:t>5</w:t>
      </w:r>
      <w:r>
        <w:rPr>
          <w:rFonts w:ascii="Arial" w:hAnsi="Arial" w:cs="Arial" w:eastAsia="Arial" w:hint="default"/>
          <w:spacing w:val="-7"/>
        </w:rPr>
        <w:t> </w:t>
      </w:r>
      <w:r>
        <w:rPr/>
        <w:t>日完</w:t>
      </w:r>
      <w:r>
        <w:rPr>
          <w:w w:val="99"/>
        </w:rPr>
        <w:t> 成了与西班牙电信相互投资和回购</w:t>
      </w:r>
      <w:r>
        <w:rPr>
          <w:spacing w:val="-44"/>
          <w:w w:val="99"/>
        </w:rPr>
        <w:t> </w:t>
      </w:r>
      <w:r>
        <w:rPr>
          <w:rFonts w:ascii="Arial" w:hAnsi="Arial" w:cs="Arial" w:eastAsia="Arial" w:hint="default"/>
          <w:spacing w:val="-1"/>
          <w:w w:val="99"/>
        </w:rPr>
        <w:t>SKT</w:t>
      </w:r>
      <w:r>
        <w:rPr>
          <w:rFonts w:ascii="Arial" w:hAnsi="Arial" w:cs="Arial" w:eastAsia="Arial" w:hint="default"/>
          <w:spacing w:val="4"/>
          <w:w w:val="99"/>
        </w:rPr>
        <w:t> </w:t>
      </w:r>
      <w:r>
        <w:rPr>
          <w:spacing w:val="-5"/>
          <w:w w:val="99"/>
        </w:rPr>
        <w:t>持有的联通红筹公司股份的交易，故本公司通过联</w:t>
      </w:r>
      <w:r>
        <w:rPr>
          <w:spacing w:val="-106"/>
          <w:w w:val="99"/>
        </w:rPr>
        <w:t> </w:t>
      </w:r>
      <w:r>
        <w:rPr>
          <w:spacing w:val="-106"/>
          <w:w w:val="99"/>
        </w:rPr>
      </w:r>
      <w:r>
        <w:rPr/>
        <w:t>通 </w:t>
      </w:r>
      <w:r>
        <w:rPr>
          <w:rFonts w:ascii="Arial" w:hAnsi="Arial" w:cs="Arial" w:eastAsia="Arial" w:hint="default"/>
        </w:rPr>
        <w:t>BVI </w:t>
      </w:r>
      <w:r>
        <w:rPr>
          <w:spacing w:val="9"/>
        </w:rPr>
        <w:t>公司对联通红筹公司的持股比例由两项交易完成前的</w:t>
      </w:r>
      <w:r>
        <w:rPr>
          <w:spacing w:val="16"/>
        </w:rPr>
        <w:t> </w:t>
      </w:r>
      <w:r>
        <w:rPr>
          <w:rFonts w:ascii="Arial" w:hAnsi="Arial" w:cs="Arial" w:eastAsia="Arial" w:hint="default"/>
          <w:spacing w:val="6"/>
        </w:rPr>
        <w:t>40.92%</w:t>
      </w:r>
      <w:r>
        <w:rPr>
          <w:spacing w:val="6"/>
        </w:rPr>
        <w:t>上升至完成后的</w:t>
      </w:r>
      <w:r>
        <w:rPr>
          <w:spacing w:val="10"/>
          <w:w w:val="99"/>
        </w:rPr>
        <w:t> </w:t>
      </w:r>
      <w:r>
        <w:rPr>
          <w:rFonts w:ascii="Arial" w:hAnsi="Arial" w:cs="Arial" w:eastAsia="Arial" w:hint="default"/>
          <w:spacing w:val="-2"/>
        </w:rPr>
        <w:t>41.27%</w:t>
      </w:r>
      <w:r>
        <w:rPr>
          <w:spacing w:val="-2"/>
        </w:rPr>
        <w:t>。由于在报告期，本公司一直保持对联通红筹公司的控制，故归属于本公司的联通</w:t>
      </w:r>
      <w:r>
        <w:rPr>
          <w:w w:val="99"/>
        </w:rPr>
        <w:t> </w:t>
      </w:r>
      <w:r>
        <w:rPr/>
        <w:t>红筹公司的资本公积（按持股比例）增加金额约人民币</w:t>
      </w:r>
      <w:r>
        <w:rPr>
          <w:spacing w:val="-56"/>
        </w:rPr>
        <w:t> </w:t>
      </w:r>
      <w:r>
        <w:rPr>
          <w:rFonts w:ascii="Arial" w:hAnsi="Arial" w:cs="Arial" w:eastAsia="Arial" w:hint="default"/>
        </w:rPr>
        <w:t>6.22</w:t>
      </w:r>
      <w:r>
        <w:rPr>
          <w:rFonts w:ascii="Arial" w:hAnsi="Arial" w:cs="Arial" w:eastAsia="Arial" w:hint="default"/>
          <w:spacing w:val="-8"/>
        </w:rPr>
        <w:t> </w:t>
      </w:r>
      <w:r>
        <w:rPr/>
        <w:t>亿元。</w:t>
      </w:r>
    </w:p>
    <w:p>
      <w:pPr>
        <w:pStyle w:val="BodyText"/>
        <w:spacing w:line="230" w:lineRule="auto" w:before="177"/>
        <w:ind w:left="1011" w:right="115" w:hanging="463"/>
        <w:jc w:val="both"/>
      </w:pPr>
      <w:r>
        <w:rPr>
          <w:rFonts w:ascii="Arial" w:hAnsi="Arial" w:cs="Arial" w:eastAsia="Arial" w:hint="default"/>
        </w:rPr>
        <w:t>(j)</w:t>
      </w:r>
      <w:r>
        <w:rPr>
          <w:rFonts w:ascii="Arial" w:hAnsi="Arial" w:cs="Arial" w:eastAsia="Arial" w:hint="default"/>
          <w:spacing w:val="18"/>
        </w:rPr>
        <w:t> </w:t>
      </w:r>
      <w:r>
        <w:rPr/>
        <w:t>于</w:t>
      </w:r>
      <w:r>
        <w:rPr>
          <w:spacing w:val="-56"/>
        </w:rPr>
        <w:t> </w:t>
      </w:r>
      <w:r>
        <w:rPr>
          <w:rFonts w:ascii="Arial" w:hAnsi="Arial" w:cs="Arial" w:eastAsia="Arial" w:hint="default"/>
        </w:rPr>
        <w:t>2007</w:t>
      </w:r>
      <w:r>
        <w:rPr>
          <w:rFonts w:ascii="Arial" w:hAnsi="Arial" w:cs="Arial" w:eastAsia="Arial" w:hint="default"/>
          <w:spacing w:val="-7"/>
        </w:rPr>
        <w:t> </w:t>
      </w:r>
      <w:r>
        <w:rPr/>
        <w:t>年度，联通红筹公司向</w:t>
      </w:r>
      <w:r>
        <w:rPr>
          <w:spacing w:val="-56"/>
        </w:rPr>
        <w:t> </w:t>
      </w:r>
      <w:r>
        <w:rPr>
          <w:rFonts w:ascii="Arial" w:hAnsi="Arial" w:cs="Arial" w:eastAsia="Arial" w:hint="default"/>
        </w:rPr>
        <w:t>SKT</w:t>
      </w:r>
      <w:r>
        <w:rPr>
          <w:rFonts w:ascii="Arial" w:hAnsi="Arial" w:cs="Arial" w:eastAsia="Arial" w:hint="default"/>
          <w:spacing w:val="-7"/>
        </w:rPr>
        <w:t> </w:t>
      </w:r>
      <w:r>
        <w:rPr/>
        <w:t>发行的可转换债券已全部转换为联通红筹公司股份，</w:t>
      </w:r>
      <w:r>
        <w:rPr>
          <w:w w:val="99"/>
        </w:rPr>
        <w:t> </w:t>
      </w:r>
      <w:r>
        <w:rPr/>
        <w:t>根据换股后本公司对联通红筹公司的持股比例计算，于换股后归属于本公司的资本公积增</w:t>
      </w:r>
      <w:r>
        <w:rPr>
          <w:w w:val="99"/>
        </w:rPr>
        <w:t> </w:t>
      </w:r>
      <w:r>
        <w:rPr/>
        <w:t>加约人民币</w:t>
      </w:r>
      <w:r>
        <w:rPr>
          <w:spacing w:val="-57"/>
        </w:rPr>
        <w:t> </w:t>
      </w:r>
      <w:r>
        <w:rPr>
          <w:rFonts w:ascii="Arial" w:hAnsi="Arial" w:cs="Arial" w:eastAsia="Arial" w:hint="default"/>
        </w:rPr>
        <w:t>31.17</w:t>
      </w:r>
      <w:r>
        <w:rPr>
          <w:rFonts w:ascii="Arial" w:hAnsi="Arial" w:cs="Arial" w:eastAsia="Arial" w:hint="default"/>
          <w:spacing w:val="-9"/>
        </w:rPr>
        <w:t> </w:t>
      </w:r>
      <w:r>
        <w:rPr/>
        <w:t>亿元。</w:t>
      </w:r>
    </w:p>
    <w:p>
      <w:pPr>
        <w:pStyle w:val="BodyText"/>
        <w:spacing w:line="286" w:lineRule="exact" w:before="192"/>
        <w:ind w:left="1011" w:right="164" w:hanging="462"/>
        <w:jc w:val="both"/>
      </w:pPr>
      <w:r>
        <w:rPr>
          <w:rFonts w:ascii="Arial" w:hAnsi="Arial" w:cs="Arial" w:eastAsia="Arial" w:hint="default"/>
        </w:rPr>
        <w:t>(k)</w:t>
      </w:r>
      <w:r>
        <w:rPr>
          <w:rFonts w:ascii="Arial" w:hAnsi="Arial" w:cs="Arial" w:eastAsia="Arial" w:hint="default"/>
          <w:spacing w:val="18"/>
        </w:rPr>
        <w:t> </w:t>
      </w:r>
      <w:r>
        <w:rPr/>
        <w:t>由于本公司所属联通运营公司于</w:t>
      </w:r>
      <w:r>
        <w:rPr>
          <w:spacing w:val="-56"/>
        </w:rPr>
        <w:t> </w:t>
      </w:r>
      <w:r>
        <w:rPr>
          <w:rFonts w:ascii="Arial" w:hAnsi="Arial" w:cs="Arial" w:eastAsia="Arial" w:hint="default"/>
        </w:rPr>
        <w:t>2007</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日完成了对贵州业务的收购，本公司根</w:t>
      </w:r>
      <w:r>
        <w:rPr>
          <w:w w:val="99"/>
        </w:rPr>
        <w:t> </w:t>
      </w:r>
      <w:r>
        <w:rPr/>
        <w:t>据持股比例计算了在同一控制下收购贵州业务对本公司资本公积的影响。</w:t>
      </w:r>
    </w:p>
    <w:p>
      <w:pPr>
        <w:pStyle w:val="BodyText"/>
        <w:spacing w:line="240" w:lineRule="auto" w:before="170"/>
        <w:ind w:left="102" w:right="106"/>
        <w:jc w:val="left"/>
        <w:rPr>
          <w:rFonts w:ascii="黑体" w:hAnsi="黑体" w:cs="黑体" w:eastAsia="黑体" w:hint="default"/>
        </w:rPr>
      </w:pPr>
      <w:r>
        <w:rPr>
          <w:rFonts w:ascii="Arial" w:hAnsi="Arial" w:cs="Arial" w:eastAsia="Arial" w:hint="default"/>
          <w:spacing w:val="2"/>
        </w:rPr>
        <w:t>32</w:t>
      </w:r>
      <w:r>
        <w:rPr>
          <w:rFonts w:ascii="黑体" w:hAnsi="黑体" w:cs="黑体" w:eastAsia="黑体" w:hint="default"/>
          <w:spacing w:val="2"/>
        </w:rPr>
        <w:t>、盈余公积</w:t>
      </w:r>
    </w:p>
    <w:p>
      <w:pPr>
        <w:spacing w:line="240" w:lineRule="auto" w:before="12"/>
        <w:rPr>
          <w:rFonts w:ascii="黑体" w:hAnsi="黑体" w:cs="黑体" w:eastAsia="黑体" w:hint="default"/>
          <w:sz w:val="9"/>
          <w:szCs w:val="9"/>
        </w:rPr>
      </w:pPr>
    </w:p>
    <w:p>
      <w:pPr>
        <w:spacing w:after="0" w:line="240" w:lineRule="auto"/>
        <w:rPr>
          <w:rFonts w:ascii="黑体" w:hAnsi="黑体" w:cs="黑体" w:eastAsia="黑体" w:hint="default"/>
          <w:sz w:val="9"/>
          <w:szCs w:val="9"/>
        </w:rPr>
        <w:sectPr>
          <w:pgSz w:w="11910" w:h="16840"/>
          <w:pgMar w:header="1189" w:footer="752" w:top="3580" w:bottom="940" w:left="1280" w:right="880"/>
        </w:sectPr>
      </w:pPr>
    </w:p>
    <w:p>
      <w:pPr>
        <w:pStyle w:val="BodyText"/>
        <w:spacing w:line="295" w:lineRule="exact" w:before="32"/>
        <w:ind w:left="3513" w:right="3492"/>
        <w:jc w:val="center"/>
      </w:pPr>
      <w:r>
        <w:rPr>
          <w:rFonts w:ascii="Arial" w:hAnsi="Arial" w:cs="Arial" w:eastAsia="Arial" w:hint="default"/>
        </w:rPr>
        <w:t>2008</w:t>
      </w:r>
      <w:r>
        <w:rPr>
          <w:rFonts w:ascii="Arial" w:hAnsi="Arial" w:cs="Arial" w:eastAsia="Arial" w:hint="default"/>
          <w:spacing w:val="-8"/>
        </w:rPr>
        <w:t> </w:t>
      </w:r>
      <w:r>
        <w:rPr/>
        <w:t>年</w:t>
      </w:r>
    </w:p>
    <w:p>
      <w:pPr>
        <w:pStyle w:val="BodyText"/>
        <w:tabs>
          <w:tab w:pos="3202" w:val="left" w:leader="none"/>
          <w:tab w:pos="5127" w:val="left" w:leader="none"/>
          <w:tab w:pos="6929" w:val="left" w:leader="none"/>
        </w:tabs>
        <w:spacing w:line="295" w:lineRule="exact"/>
        <w:ind w:left="1280" w:right="0"/>
        <w:jc w:val="left"/>
      </w:pPr>
      <w:r>
        <w:rPr>
          <w:w w:val="95"/>
        </w:rPr>
        <w:t>项目</w:t>
        <w:tab/>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tab/>
      </w:r>
      <w:r>
        <w:rPr>
          <w:w w:val="95"/>
        </w:rPr>
        <w:t>本年增加</w:t>
        <w:tab/>
        <w:t>本年减少</w:t>
      </w:r>
      <w:r>
        <w:rPr/>
      </w:r>
    </w:p>
    <w:p>
      <w:pPr>
        <w:pStyle w:val="BodyText"/>
        <w:spacing w:line="295" w:lineRule="exact" w:before="31"/>
        <w:ind w:left="936" w:right="0"/>
        <w:jc w:val="left"/>
      </w:pPr>
      <w:r>
        <w:rPr/>
        <w:br w:type="column"/>
      </w:r>
      <w:r>
        <w:rPr>
          <w:rFonts w:ascii="Arial" w:hAnsi="Arial" w:cs="Arial" w:eastAsia="Arial" w:hint="default"/>
        </w:rPr>
        <w:t>2009</w:t>
      </w:r>
      <w:r>
        <w:rPr>
          <w:rFonts w:ascii="Arial" w:hAnsi="Arial" w:cs="Arial" w:eastAsia="Arial" w:hint="default"/>
          <w:spacing w:val="-8"/>
        </w:rPr>
        <w:t> </w:t>
      </w:r>
      <w:r>
        <w:rPr/>
        <w:t>年</w:t>
      </w:r>
    </w:p>
    <w:p>
      <w:pPr>
        <w:pStyle w:val="BodyText"/>
        <w:spacing w:line="295" w:lineRule="exact"/>
        <w:ind w:left="606" w:right="0"/>
        <w:jc w:val="left"/>
      </w:pP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p>
      <w:pPr>
        <w:spacing w:after="0" w:line="295" w:lineRule="exact"/>
        <w:jc w:val="left"/>
        <w:sectPr>
          <w:type w:val="continuous"/>
          <w:pgSz w:w="11910" w:h="16840"/>
          <w:pgMar w:top="1600" w:bottom="280" w:left="1280" w:right="880"/>
          <w:cols w:num="2" w:equalWidth="0">
            <w:col w:w="7809" w:space="40"/>
            <w:col w:w="1901"/>
          </w:cols>
        </w:sectPr>
      </w:pPr>
    </w:p>
    <w:p>
      <w:pPr>
        <w:spacing w:line="20" w:lineRule="exact"/>
        <w:ind w:left="542" w:right="0" w:firstLine="0"/>
        <w:rPr>
          <w:rFonts w:ascii="宋体" w:hAnsi="宋体" w:cs="宋体" w:eastAsia="宋体" w:hint="default"/>
          <w:sz w:val="2"/>
          <w:szCs w:val="2"/>
        </w:rPr>
      </w:pPr>
      <w:r>
        <w:rPr>
          <w:rFonts w:ascii="宋体" w:hAnsi="宋体" w:cs="宋体" w:eastAsia="宋体" w:hint="default"/>
          <w:sz w:val="2"/>
          <w:szCs w:val="2"/>
        </w:rPr>
        <w:pict>
          <v:group style="width:451.15pt;height:.75pt;mso-position-horizontal-relative:char;mso-position-vertical-relative:line" coordorigin="0,0" coordsize="9023,15">
            <v:group style="position:absolute;left:7;top:7;width:1895;height:2" coordorigin="7,7" coordsize="1895,2">
              <v:shape style="position:absolute;left:7;top:7;width:1895;height:2" coordorigin="7,7" coordsize="1895,0" path="m7,7l1902,7e" filled="false" stroked="true" strokeweight=".72pt" strokecolor="#000000">
                <v:path arrowok="t"/>
              </v:shape>
            </v:group>
            <v:group style="position:absolute;left:1950;top:7;width:1814;height:2" coordorigin="1950,7" coordsize="1814,2">
              <v:shape style="position:absolute;left:1950;top:7;width:1814;height:2" coordorigin="1950,7" coordsize="1814,0" path="m1950,7l3763,7e" filled="false" stroked="true" strokeweight=".72pt" strokecolor="#000000">
                <v:path arrowok="t"/>
              </v:shape>
            </v:group>
            <v:group style="position:absolute;left:3821;top:7;width:1694;height:2" coordorigin="3821,7" coordsize="1694,2">
              <v:shape style="position:absolute;left:3821;top:7;width:1694;height:2" coordorigin="3821,7" coordsize="1694,0" path="m3821,7l5514,7e" filled="false" stroked="true" strokeweight=".72pt" strokecolor="#000000">
                <v:path arrowok="t"/>
              </v:shape>
            </v:group>
            <v:group style="position:absolute;left:5570;top:7;width:1744;height:2" coordorigin="5570,7" coordsize="1744,2">
              <v:shape style="position:absolute;left:5570;top:7;width:1744;height:2" coordorigin="5570,7" coordsize="1744,0" path="m5570,7l7314,7e" filled="false" stroked="true" strokeweight=".72pt" strokecolor="#000000">
                <v:path arrowok="t"/>
              </v:shape>
            </v:group>
            <v:group style="position:absolute;left:7370;top:7;width:1646;height:2" coordorigin="7370,7" coordsize="1646,2">
              <v:shape style="position:absolute;left:7370;top:7;width:1646;height:2" coordorigin="7370,7" coordsize="1646,0" path="m7370,7l9016,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15"/>
          <w:szCs w:val="15"/>
        </w:rPr>
      </w:pPr>
    </w:p>
    <w:p>
      <w:pPr>
        <w:pStyle w:val="BodyText"/>
        <w:tabs>
          <w:tab w:pos="3050" w:val="left" w:leader="none"/>
          <w:tab w:pos="4783" w:val="left" w:leader="none"/>
          <w:tab w:pos="7740" w:val="left" w:leader="none"/>
          <w:tab w:pos="8285" w:val="left" w:leader="none"/>
        </w:tabs>
        <w:spacing w:line="240" w:lineRule="auto" w:before="27"/>
        <w:ind w:left="565" w:right="106"/>
        <w:jc w:val="left"/>
        <w:rPr>
          <w:rFonts w:ascii="Arial" w:hAnsi="Arial" w:cs="Arial" w:eastAsia="Arial" w:hint="default"/>
        </w:rPr>
      </w:pPr>
      <w:r>
        <w:rPr>
          <w:w w:val="95"/>
          <w:position w:val="2"/>
        </w:rPr>
        <w:t>法定盈余公积</w:t>
        <w:tab/>
      </w:r>
      <w:r>
        <w:rPr>
          <w:rFonts w:ascii="Arial" w:hAnsi="Arial" w:cs="Arial" w:eastAsia="Arial" w:hint="default"/>
          <w:w w:val="95"/>
        </w:rPr>
        <w:t>400,110,494</w:t>
        <w:tab/>
        <w:t>158,389,612</w:t>
        <w:tab/>
        <w:t>-</w:t>
        <w:tab/>
      </w:r>
      <w:r>
        <w:rPr>
          <w:rFonts w:ascii="Arial" w:hAnsi="Arial" w:cs="Arial" w:eastAsia="Arial" w:hint="default"/>
        </w:rPr>
        <w:t>558,500,106</w:t>
      </w:r>
    </w:p>
    <w:p>
      <w:pPr>
        <w:spacing w:line="43" w:lineRule="exact"/>
        <w:ind w:left="2478" w:right="0" w:firstLine="0"/>
        <w:rPr>
          <w:rFonts w:ascii="Arial" w:hAnsi="Arial" w:cs="Arial" w:eastAsia="Arial" w:hint="default"/>
          <w:sz w:val="4"/>
          <w:szCs w:val="4"/>
        </w:rPr>
      </w:pPr>
      <w:r>
        <w:rPr>
          <w:rFonts w:ascii="Arial" w:hAnsi="Arial" w:cs="Arial" w:eastAsia="Arial" w:hint="default"/>
          <w:position w:val="0"/>
          <w:sz w:val="4"/>
          <w:szCs w:val="4"/>
        </w:rPr>
        <w:pict>
          <v:group style="width:354.75pt;height:2.2pt;mso-position-horizontal-relative:char;mso-position-vertical-relative:line" coordorigin="0,0" coordsize="7095,44">
            <v:group style="position:absolute;left:7;top:36;width:1828;height:2" coordorigin="7,36" coordsize="1828,2">
              <v:shape style="position:absolute;left:7;top:36;width:1828;height:2" coordorigin="7,36" coordsize="1828,0" path="m7,36l1835,36e" filled="false" stroked="true" strokeweight=".72pt" strokecolor="#000000">
                <v:path arrowok="t"/>
              </v:shape>
            </v:group>
            <v:group style="position:absolute;left:7;top:7;width:1828;height:2" coordorigin="7,7" coordsize="1828,2">
              <v:shape style="position:absolute;left:7;top:7;width:1828;height:2" coordorigin="7,7" coordsize="1828,0" path="m7,7l1835,7e" filled="false" stroked="true" strokeweight=".72pt" strokecolor="#000000">
                <v:path arrowok="t"/>
              </v:shape>
            </v:group>
            <v:group style="position:absolute;left:1878;top:36;width:1708;height:2" coordorigin="1878,36" coordsize="1708,2">
              <v:shape style="position:absolute;left:1878;top:36;width:1708;height:2" coordorigin="1878,36" coordsize="1708,0" path="m1878,36l3586,36e" filled="false" stroked="true" strokeweight=".72pt" strokecolor="#000000">
                <v:path arrowok="t"/>
              </v:shape>
            </v:group>
            <v:group style="position:absolute;left:1878;top:7;width:1708;height:2" coordorigin="1878,7" coordsize="1708,2">
              <v:shape style="position:absolute;left:1878;top:7;width:1708;height:2" coordorigin="1878,7" coordsize="1708,0" path="m1878,7l3586,7e" filled="false" stroked="true" strokeweight=".72pt" strokecolor="#000000">
                <v:path arrowok="t"/>
              </v:shape>
            </v:group>
            <v:group style="position:absolute;left:3628;top:36;width:1758;height:2" coordorigin="3628,36" coordsize="1758,2">
              <v:shape style="position:absolute;left:3628;top:36;width:1758;height:2" coordorigin="3628,36" coordsize="1758,0" path="m3628,36l5386,36e" filled="false" stroked="true" strokeweight=".72pt" strokecolor="#000000">
                <v:path arrowok="t"/>
              </v:shape>
            </v:group>
            <v:group style="position:absolute;left:3628;top:7;width:1758;height:2" coordorigin="3628,7" coordsize="1758,2">
              <v:shape style="position:absolute;left:3628;top:7;width:1758;height:2" coordorigin="3628,7" coordsize="1758,0" path="m3628,7l5386,7e" filled="false" stroked="true" strokeweight=".72pt" strokecolor="#000000">
                <v:path arrowok="t"/>
              </v:shape>
            </v:group>
            <v:group style="position:absolute;left:5428;top:36;width:1660;height:2" coordorigin="5428,36" coordsize="1660,2">
              <v:shape style="position:absolute;left:5428;top:36;width:1660;height:2" coordorigin="5428,36" coordsize="1660,0" path="m5428,36l7087,36e" filled="false" stroked="true" strokeweight=".72pt" strokecolor="#000000">
                <v:path arrowok="t"/>
              </v:shape>
            </v:group>
            <v:group style="position:absolute;left:5428;top:7;width:1660;height:2" coordorigin="5428,7" coordsize="1660,2">
              <v:shape style="position:absolute;left:5428;top:7;width:1660;height:2" coordorigin="5428,7" coordsize="1660,0" path="m5428,7l7087,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1"/>
        <w:rPr>
          <w:rFonts w:ascii="Arial" w:hAnsi="Arial" w:cs="Arial" w:eastAsia="Arial" w:hint="default"/>
          <w:sz w:val="10"/>
          <w:szCs w:val="10"/>
        </w:rPr>
      </w:pPr>
    </w:p>
    <w:p>
      <w:pPr>
        <w:spacing w:after="0" w:line="240" w:lineRule="auto"/>
        <w:rPr>
          <w:rFonts w:ascii="Arial" w:hAnsi="Arial" w:cs="Arial" w:eastAsia="Arial" w:hint="default"/>
          <w:sz w:val="10"/>
          <w:szCs w:val="10"/>
        </w:rPr>
        <w:sectPr>
          <w:type w:val="continuous"/>
          <w:pgSz w:w="11910" w:h="16840"/>
          <w:pgMar w:top="1600" w:bottom="280" w:left="1280" w:right="880"/>
        </w:sectPr>
      </w:pPr>
    </w:p>
    <w:p>
      <w:pPr>
        <w:pStyle w:val="BodyText"/>
        <w:spacing w:line="295" w:lineRule="exact" w:before="32"/>
        <w:ind w:left="3514" w:right="3492"/>
        <w:jc w:val="center"/>
      </w:pPr>
      <w:r>
        <w:rPr>
          <w:rFonts w:ascii="Arial" w:hAnsi="Arial" w:cs="Arial" w:eastAsia="Arial" w:hint="default"/>
        </w:rPr>
        <w:t>2007</w:t>
      </w:r>
      <w:r>
        <w:rPr>
          <w:rFonts w:ascii="Arial" w:hAnsi="Arial" w:cs="Arial" w:eastAsia="Arial" w:hint="default"/>
          <w:spacing w:val="-8"/>
        </w:rPr>
        <w:t> </w:t>
      </w:r>
      <w:r>
        <w:rPr/>
        <w:t>年</w:t>
      </w:r>
    </w:p>
    <w:p>
      <w:pPr>
        <w:pStyle w:val="BodyText"/>
        <w:tabs>
          <w:tab w:pos="3203" w:val="left" w:leader="none"/>
          <w:tab w:pos="5127" w:val="left" w:leader="none"/>
          <w:tab w:pos="6930" w:val="left" w:leader="none"/>
        </w:tabs>
        <w:spacing w:line="295" w:lineRule="exact"/>
        <w:ind w:left="1280" w:right="0"/>
        <w:jc w:val="left"/>
      </w:pPr>
      <w:r>
        <w:rPr>
          <w:w w:val="95"/>
        </w:rPr>
        <w:t>项目</w:t>
        <w:tab/>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tab/>
      </w:r>
      <w:r>
        <w:rPr>
          <w:w w:val="95"/>
        </w:rPr>
        <w:t>本年增加</w:t>
        <w:tab/>
        <w:t>本年减少</w:t>
      </w:r>
      <w:r>
        <w:rPr/>
      </w:r>
    </w:p>
    <w:p>
      <w:pPr>
        <w:pStyle w:val="BodyText"/>
        <w:spacing w:line="295" w:lineRule="exact" w:before="31"/>
        <w:ind w:left="936" w:right="0"/>
        <w:jc w:val="left"/>
      </w:pPr>
      <w:r>
        <w:rPr/>
        <w:br w:type="column"/>
      </w:r>
      <w:r>
        <w:rPr>
          <w:rFonts w:ascii="Arial" w:hAnsi="Arial" w:cs="Arial" w:eastAsia="Arial" w:hint="default"/>
        </w:rPr>
        <w:t>2008</w:t>
      </w:r>
      <w:r>
        <w:rPr>
          <w:rFonts w:ascii="Arial" w:hAnsi="Arial" w:cs="Arial" w:eastAsia="Arial" w:hint="default"/>
          <w:spacing w:val="-8"/>
        </w:rPr>
        <w:t> </w:t>
      </w:r>
      <w:r>
        <w:rPr/>
        <w:t>年</w:t>
      </w:r>
    </w:p>
    <w:p>
      <w:pPr>
        <w:pStyle w:val="BodyText"/>
        <w:spacing w:line="295" w:lineRule="exact"/>
        <w:ind w:left="606" w:right="0"/>
        <w:jc w:val="left"/>
      </w:pP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p>
      <w:pPr>
        <w:spacing w:after="0" w:line="295" w:lineRule="exact"/>
        <w:jc w:val="left"/>
        <w:sectPr>
          <w:type w:val="continuous"/>
          <w:pgSz w:w="11910" w:h="16840"/>
          <w:pgMar w:top="1600" w:bottom="280" w:left="1280" w:right="880"/>
          <w:cols w:num="2" w:equalWidth="0">
            <w:col w:w="7809" w:space="40"/>
            <w:col w:w="1901"/>
          </w:cols>
        </w:sectPr>
      </w:pPr>
    </w:p>
    <w:p>
      <w:pPr>
        <w:spacing w:line="20" w:lineRule="exact"/>
        <w:ind w:left="542" w:right="0" w:firstLine="0"/>
        <w:rPr>
          <w:rFonts w:ascii="宋体" w:hAnsi="宋体" w:cs="宋体" w:eastAsia="宋体" w:hint="default"/>
          <w:sz w:val="2"/>
          <w:szCs w:val="2"/>
        </w:rPr>
      </w:pPr>
      <w:r>
        <w:rPr>
          <w:rFonts w:ascii="宋体" w:hAnsi="宋体" w:cs="宋体" w:eastAsia="宋体" w:hint="default"/>
          <w:sz w:val="2"/>
          <w:szCs w:val="2"/>
        </w:rPr>
        <w:pict>
          <v:group style="width:451.15pt;height:.75pt;mso-position-horizontal-relative:char;mso-position-vertical-relative:line" coordorigin="0,0" coordsize="9023,15">
            <v:group style="position:absolute;left:7;top:7;width:1895;height:2" coordorigin="7,7" coordsize="1895,2">
              <v:shape style="position:absolute;left:7;top:7;width:1895;height:2" coordorigin="7,7" coordsize="1895,0" path="m7,7l1902,7e" filled="false" stroked="true" strokeweight=".72pt" strokecolor="#000000">
                <v:path arrowok="t"/>
              </v:shape>
            </v:group>
            <v:group style="position:absolute;left:1950;top:7;width:1814;height:2" coordorigin="1950,7" coordsize="1814,2">
              <v:shape style="position:absolute;left:1950;top:7;width:1814;height:2" coordorigin="1950,7" coordsize="1814,0" path="m1950,7l3763,7e" filled="false" stroked="true" strokeweight=".72pt" strokecolor="#000000">
                <v:path arrowok="t"/>
              </v:shape>
            </v:group>
            <v:group style="position:absolute;left:3821;top:7;width:1694;height:2" coordorigin="3821,7" coordsize="1694,2">
              <v:shape style="position:absolute;left:3821;top:7;width:1694;height:2" coordorigin="3821,7" coordsize="1694,0" path="m3821,7l5514,7e" filled="false" stroked="true" strokeweight=".72pt" strokecolor="#000000">
                <v:path arrowok="t"/>
              </v:shape>
            </v:group>
            <v:group style="position:absolute;left:5570;top:7;width:1744;height:2" coordorigin="5570,7" coordsize="1744,2">
              <v:shape style="position:absolute;left:5570;top:7;width:1744;height:2" coordorigin="5570,7" coordsize="1744,0" path="m5570,7l7314,7e" filled="false" stroked="true" strokeweight=".72pt" strokecolor="#000000">
                <v:path arrowok="t"/>
              </v:shape>
            </v:group>
            <v:group style="position:absolute;left:7370;top:7;width:1646;height:2" coordorigin="7370,7" coordsize="1646,2">
              <v:shape style="position:absolute;left:7370;top:7;width:1646;height:2" coordorigin="7370,7" coordsize="1646,0" path="m7370,7l9016,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15"/>
          <w:szCs w:val="15"/>
        </w:rPr>
      </w:pPr>
    </w:p>
    <w:p>
      <w:pPr>
        <w:pStyle w:val="BodyText"/>
        <w:tabs>
          <w:tab w:pos="3050" w:val="left" w:leader="none"/>
          <w:tab w:pos="4783" w:val="left" w:leader="none"/>
          <w:tab w:pos="6452" w:val="left" w:leader="none"/>
          <w:tab w:pos="8285" w:val="left" w:leader="none"/>
        </w:tabs>
        <w:spacing w:line="240" w:lineRule="auto" w:before="27"/>
        <w:ind w:left="565" w:right="106"/>
        <w:jc w:val="left"/>
        <w:rPr>
          <w:rFonts w:ascii="Arial" w:hAnsi="Arial" w:cs="Arial" w:eastAsia="Arial" w:hint="default"/>
        </w:rPr>
      </w:pPr>
      <w:r>
        <w:rPr>
          <w:w w:val="95"/>
          <w:position w:val="2"/>
        </w:rPr>
        <w:t>法定盈余公积</w:t>
        <w:tab/>
      </w:r>
      <w:r>
        <w:rPr>
          <w:rFonts w:ascii="Arial" w:hAnsi="Arial" w:cs="Arial" w:eastAsia="Arial" w:hint="default"/>
          <w:w w:val="95"/>
        </w:rPr>
        <w:t>454,768,781</w:t>
        <w:tab/>
        <w:t>158,412,360</w:t>
        <w:tab/>
        <w:t>(213,070,647)</w:t>
        <w:tab/>
      </w:r>
      <w:r>
        <w:rPr>
          <w:rFonts w:ascii="Arial" w:hAnsi="Arial" w:cs="Arial" w:eastAsia="Arial" w:hint="default"/>
        </w:rPr>
        <w:t>400,110,494</w:t>
      </w:r>
    </w:p>
    <w:p>
      <w:pPr>
        <w:spacing w:line="43" w:lineRule="exact"/>
        <w:ind w:left="2478" w:right="0" w:firstLine="0"/>
        <w:rPr>
          <w:rFonts w:ascii="Arial" w:hAnsi="Arial" w:cs="Arial" w:eastAsia="Arial" w:hint="default"/>
          <w:sz w:val="4"/>
          <w:szCs w:val="4"/>
        </w:rPr>
      </w:pPr>
      <w:r>
        <w:rPr>
          <w:rFonts w:ascii="Arial" w:hAnsi="Arial" w:cs="Arial" w:eastAsia="Arial" w:hint="default"/>
          <w:position w:val="0"/>
          <w:sz w:val="4"/>
          <w:szCs w:val="4"/>
        </w:rPr>
        <w:pict>
          <v:group style="width:354.75pt;height:2.2pt;mso-position-horizontal-relative:char;mso-position-vertical-relative:line" coordorigin="0,0" coordsize="7095,44">
            <v:group style="position:absolute;left:7;top:36;width:1828;height:2" coordorigin="7,36" coordsize="1828,2">
              <v:shape style="position:absolute;left:7;top:36;width:1828;height:2" coordorigin="7,36" coordsize="1828,0" path="m7,36l1835,36e" filled="false" stroked="true" strokeweight=".72pt" strokecolor="#000000">
                <v:path arrowok="t"/>
              </v:shape>
            </v:group>
            <v:group style="position:absolute;left:7;top:7;width:1828;height:2" coordorigin="7,7" coordsize="1828,2">
              <v:shape style="position:absolute;left:7;top:7;width:1828;height:2" coordorigin="7,7" coordsize="1828,0" path="m7,7l1835,7e" filled="false" stroked="true" strokeweight=".72pt" strokecolor="#000000">
                <v:path arrowok="t"/>
              </v:shape>
            </v:group>
            <v:group style="position:absolute;left:1878;top:36;width:1708;height:2" coordorigin="1878,36" coordsize="1708,2">
              <v:shape style="position:absolute;left:1878;top:36;width:1708;height:2" coordorigin="1878,36" coordsize="1708,0" path="m1878,36l3586,36e" filled="false" stroked="true" strokeweight=".72pt" strokecolor="#000000">
                <v:path arrowok="t"/>
              </v:shape>
            </v:group>
            <v:group style="position:absolute;left:1878;top:7;width:1708;height:2" coordorigin="1878,7" coordsize="1708,2">
              <v:shape style="position:absolute;left:1878;top:7;width:1708;height:2" coordorigin="1878,7" coordsize="1708,0" path="m1878,7l3586,7e" filled="false" stroked="true" strokeweight=".72pt" strokecolor="#000000">
                <v:path arrowok="t"/>
              </v:shape>
            </v:group>
            <v:group style="position:absolute;left:3628;top:36;width:1758;height:2" coordorigin="3628,36" coordsize="1758,2">
              <v:shape style="position:absolute;left:3628;top:36;width:1758;height:2" coordorigin="3628,36" coordsize="1758,0" path="m3628,36l5386,36e" filled="false" stroked="true" strokeweight=".72pt" strokecolor="#000000">
                <v:path arrowok="t"/>
              </v:shape>
            </v:group>
            <v:group style="position:absolute;left:3628;top:7;width:1758;height:2" coordorigin="3628,7" coordsize="1758,2">
              <v:shape style="position:absolute;left:3628;top:7;width:1758;height:2" coordorigin="3628,7" coordsize="1758,0" path="m3628,7l5386,7e" filled="false" stroked="true" strokeweight=".72pt" strokecolor="#000000">
                <v:path arrowok="t"/>
              </v:shape>
            </v:group>
            <v:group style="position:absolute;left:5428;top:36;width:1660;height:2" coordorigin="5428,36" coordsize="1660,2">
              <v:shape style="position:absolute;left:5428;top:36;width:1660;height:2" coordorigin="5428,36" coordsize="1660,0" path="m5428,36l7087,36e" filled="false" stroked="true" strokeweight=".72pt" strokecolor="#000000">
                <v:path arrowok="t"/>
              </v:shape>
            </v:group>
            <v:group style="position:absolute;left:5428;top:7;width:1660;height:2" coordorigin="5428,7" coordsize="1660,2">
              <v:shape style="position:absolute;left:5428;top:7;width:1660;height:2" coordorigin="5428,7" coordsize="1660,0" path="m5428,7l7087,7e" filled="false" stroked="true" strokeweight=".72pt" strokecolor="#000000">
                <v:path arrowok="t"/>
              </v:shape>
            </v:group>
          </v:group>
        </w:pict>
      </w:r>
      <w:r>
        <w:rPr>
          <w:rFonts w:ascii="Arial" w:hAnsi="Arial" w:cs="Arial" w:eastAsia="Arial" w:hint="default"/>
          <w:position w:val="0"/>
          <w:sz w:val="4"/>
          <w:szCs w:val="4"/>
        </w:rPr>
      </w:r>
    </w:p>
    <w:p>
      <w:pPr>
        <w:spacing w:after="0" w:line="43" w:lineRule="exact"/>
        <w:rPr>
          <w:rFonts w:ascii="Arial" w:hAnsi="Arial" w:cs="Arial" w:eastAsia="Arial" w:hint="default"/>
          <w:sz w:val="4"/>
          <w:szCs w:val="4"/>
        </w:rPr>
        <w:sectPr>
          <w:type w:val="continuous"/>
          <w:pgSz w:w="11910" w:h="16840"/>
          <w:pgMar w:top="1600" w:bottom="280" w:left="1280" w:right="880"/>
        </w:sectPr>
      </w:pPr>
    </w:p>
    <w:p>
      <w:pPr>
        <w:spacing w:line="240" w:lineRule="auto" w:before="11"/>
        <w:rPr>
          <w:rFonts w:ascii="Arial" w:hAnsi="Arial" w:cs="Arial" w:eastAsia="Arial" w:hint="default"/>
          <w:sz w:val="16"/>
          <w:szCs w:val="16"/>
        </w:rPr>
      </w:pPr>
    </w:p>
    <w:p>
      <w:pPr>
        <w:pStyle w:val="BodyText"/>
        <w:spacing w:line="240" w:lineRule="auto" w:before="31"/>
        <w:ind w:left="122" w:right="3260"/>
        <w:jc w:val="left"/>
        <w:rPr>
          <w:rFonts w:ascii="黑体" w:hAnsi="黑体" w:cs="黑体" w:eastAsia="黑体" w:hint="default"/>
        </w:rPr>
      </w:pPr>
      <w:r>
        <w:rPr>
          <w:rFonts w:ascii="Arial" w:hAnsi="Arial" w:cs="Arial" w:eastAsia="Arial" w:hint="default"/>
        </w:rPr>
        <w:t>32</w:t>
      </w:r>
      <w:r>
        <w:rPr>
          <w:rFonts w:ascii="黑体" w:hAnsi="黑体" w:cs="黑体" w:eastAsia="黑体" w:hint="default"/>
        </w:rPr>
        <w:t>、盈余公积（续）</w:t>
      </w:r>
    </w:p>
    <w:p>
      <w:pPr>
        <w:spacing w:line="240" w:lineRule="auto" w:before="10"/>
        <w:rPr>
          <w:rFonts w:ascii="黑体" w:hAnsi="黑体" w:cs="黑体" w:eastAsia="黑体" w:hint="default"/>
          <w:sz w:val="18"/>
          <w:szCs w:val="18"/>
        </w:rPr>
      </w:pPr>
    </w:p>
    <w:p>
      <w:pPr>
        <w:pStyle w:val="BodyText"/>
        <w:spacing w:line="230" w:lineRule="auto"/>
        <w:ind w:left="570" w:right="109"/>
        <w:jc w:val="both"/>
      </w:pPr>
      <w:r>
        <w:rPr/>
        <w:t>根据《中华人民共和国公司法》及本公司《公司章程》，本公司于年度决算时按年度净利润的</w:t>
      </w:r>
      <w:r>
        <w:rPr>
          <w:w w:val="99"/>
        </w:rPr>
        <w:t> </w:t>
      </w:r>
      <w:r>
        <w:rPr>
          <w:rFonts w:ascii="Arial" w:hAnsi="Arial" w:cs="Arial" w:eastAsia="Arial" w:hint="default"/>
        </w:rPr>
        <w:t>10%</w:t>
      </w:r>
      <w:r>
        <w:rPr/>
        <w:t>提取法定盈余公积金。当法定盈余公积金累计额达到股本的</w:t>
      </w:r>
      <w:r>
        <w:rPr>
          <w:spacing w:val="-66"/>
        </w:rPr>
        <w:t> </w:t>
      </w:r>
      <w:r>
        <w:rPr>
          <w:rFonts w:ascii="Arial" w:hAnsi="Arial" w:cs="Arial" w:eastAsia="Arial" w:hint="default"/>
          <w:spacing w:val="-5"/>
        </w:rPr>
        <w:t>50%</w:t>
      </w:r>
      <w:r>
        <w:rPr>
          <w:spacing w:val="-5"/>
        </w:rPr>
        <w:t>以上时，可不再提取。法</w:t>
      </w:r>
      <w:r>
        <w:rPr>
          <w:w w:val="99"/>
        </w:rPr>
        <w:t> </w:t>
      </w:r>
      <w:r>
        <w:rPr/>
        <w:t>定盈余公积金经批准后可用于弥补亏损，或者增加股本。经董事会决议，本公司</w:t>
      </w:r>
      <w:r>
        <w:rPr>
          <w:spacing w:val="-48"/>
        </w:rPr>
        <w:t> </w:t>
      </w:r>
      <w:r>
        <w:rPr>
          <w:rFonts w:ascii="Arial" w:hAnsi="Arial" w:cs="Arial" w:eastAsia="Arial" w:hint="default"/>
        </w:rPr>
        <w:t>2009</w:t>
      </w:r>
      <w:r>
        <w:rPr>
          <w:rFonts w:ascii="Arial" w:hAnsi="Arial" w:cs="Arial" w:eastAsia="Arial" w:hint="default"/>
          <w:spacing w:val="-1"/>
        </w:rPr>
        <w:t> </w:t>
      </w:r>
      <w:r>
        <w:rPr/>
        <w:t>年按净</w:t>
      </w:r>
      <w:r>
        <w:rPr>
          <w:w w:val="99"/>
        </w:rPr>
        <w:t> 利润的</w:t>
      </w:r>
      <w:r>
        <w:rPr>
          <w:spacing w:val="-53"/>
          <w:w w:val="99"/>
        </w:rPr>
        <w:t> </w:t>
      </w:r>
      <w:r>
        <w:rPr>
          <w:rFonts w:ascii="Arial" w:hAnsi="Arial" w:cs="Arial" w:eastAsia="Arial" w:hint="default"/>
          <w:w w:val="99"/>
        </w:rPr>
        <w:t>10%</w:t>
      </w:r>
      <w:r>
        <w:rPr>
          <w:w w:val="99"/>
        </w:rPr>
        <w:t>提取法定盈余公积金</w:t>
      </w:r>
      <w:r>
        <w:rPr>
          <w:spacing w:val="-53"/>
          <w:w w:val="99"/>
        </w:rPr>
        <w:t> </w:t>
      </w:r>
      <w:r>
        <w:rPr>
          <w:rFonts w:ascii="Arial" w:hAnsi="Arial" w:cs="Arial" w:eastAsia="Arial" w:hint="default"/>
          <w:w w:val="99"/>
        </w:rPr>
        <w:t>1.58</w:t>
      </w:r>
      <w:r>
        <w:rPr>
          <w:rFonts w:ascii="Arial" w:hAnsi="Arial" w:cs="Arial" w:eastAsia="Arial" w:hint="default"/>
          <w:spacing w:val="-4"/>
          <w:w w:val="99"/>
        </w:rPr>
        <w:t> </w:t>
      </w:r>
      <w:r>
        <w:rPr>
          <w:spacing w:val="-13"/>
          <w:w w:val="99"/>
        </w:rPr>
        <w:t>亿元（</w:t>
      </w:r>
      <w:r>
        <w:rPr>
          <w:rFonts w:ascii="Arial" w:hAnsi="Arial" w:cs="Arial" w:eastAsia="Arial" w:hint="default"/>
          <w:spacing w:val="-13"/>
          <w:w w:val="99"/>
        </w:rPr>
        <w:t>2008</w:t>
      </w:r>
      <w:r>
        <w:rPr>
          <w:rFonts w:ascii="Arial" w:hAnsi="Arial" w:cs="Arial" w:eastAsia="Arial" w:hint="default"/>
          <w:spacing w:val="-4"/>
          <w:w w:val="99"/>
        </w:rPr>
        <w:t> </w:t>
      </w:r>
      <w:r>
        <w:rPr>
          <w:spacing w:val="-11"/>
          <w:w w:val="99"/>
        </w:rPr>
        <w:t>年度：按净利润的</w:t>
      </w:r>
      <w:r>
        <w:rPr>
          <w:spacing w:val="-53"/>
          <w:w w:val="99"/>
        </w:rPr>
        <w:t> </w:t>
      </w:r>
      <w:r>
        <w:rPr>
          <w:rFonts w:ascii="Arial" w:hAnsi="Arial" w:cs="Arial" w:eastAsia="Arial" w:hint="default"/>
          <w:spacing w:val="-13"/>
          <w:w w:val="99"/>
        </w:rPr>
        <w:t>10%</w:t>
      </w:r>
      <w:r>
        <w:rPr>
          <w:spacing w:val="-13"/>
          <w:w w:val="99"/>
        </w:rPr>
        <w:t>提取，共</w:t>
      </w:r>
      <w:r>
        <w:rPr>
          <w:spacing w:val="-53"/>
          <w:w w:val="99"/>
        </w:rPr>
        <w:t> </w:t>
      </w:r>
      <w:r>
        <w:rPr>
          <w:rFonts w:ascii="Arial" w:hAnsi="Arial" w:cs="Arial" w:eastAsia="Arial" w:hint="default"/>
          <w:w w:val="99"/>
        </w:rPr>
        <w:t>1.58</w:t>
      </w:r>
      <w:r>
        <w:rPr>
          <w:rFonts w:ascii="Arial" w:hAnsi="Arial" w:cs="Arial" w:eastAsia="Arial" w:hint="default"/>
          <w:spacing w:val="-4"/>
          <w:w w:val="99"/>
        </w:rPr>
        <w:t> </w:t>
      </w:r>
      <w:r>
        <w:rPr>
          <w:spacing w:val="-22"/>
          <w:w w:val="99"/>
        </w:rPr>
        <w:t>亿元）。</w:t>
      </w:r>
      <w:r>
        <w:rPr>
          <w:spacing w:val="-22"/>
        </w:rPr>
      </w:r>
    </w:p>
    <w:p>
      <w:pPr>
        <w:spacing w:line="240" w:lineRule="auto" w:before="0"/>
        <w:rPr>
          <w:rFonts w:ascii="宋体" w:hAnsi="宋体" w:cs="宋体" w:eastAsia="宋体" w:hint="default"/>
          <w:sz w:val="18"/>
          <w:szCs w:val="18"/>
        </w:rPr>
      </w:pPr>
    </w:p>
    <w:p>
      <w:pPr>
        <w:pStyle w:val="BodyText"/>
        <w:spacing w:line="295" w:lineRule="exact"/>
        <w:ind w:left="570" w:right="0"/>
        <w:jc w:val="both"/>
      </w:pPr>
      <w:r>
        <w:rPr/>
        <w:t>根据于</w:t>
      </w:r>
      <w:r>
        <w:rPr>
          <w:spacing w:val="-57"/>
        </w:rPr>
        <w:t> </w:t>
      </w:r>
      <w:r>
        <w:rPr>
          <w:rFonts w:ascii="Arial" w:hAnsi="Arial" w:cs="Arial" w:eastAsia="Arial" w:hint="default"/>
        </w:rPr>
        <w:t>2008</w:t>
      </w:r>
      <w:r>
        <w:rPr>
          <w:rFonts w:ascii="Arial" w:hAnsi="Arial" w:cs="Arial" w:eastAsia="Arial" w:hint="default"/>
          <w:spacing w:val="-8"/>
        </w:rPr>
        <w:t> </w:t>
      </w:r>
      <w:r>
        <w:rPr/>
        <w:t>年</w:t>
      </w:r>
      <w:r>
        <w:rPr>
          <w:spacing w:val="-57"/>
        </w:rPr>
        <w:t> </w:t>
      </w:r>
      <w:r>
        <w:rPr>
          <w:rFonts w:ascii="Arial" w:hAnsi="Arial" w:cs="Arial" w:eastAsia="Arial" w:hint="default"/>
        </w:rPr>
        <w:t>5</w:t>
      </w:r>
      <w:r>
        <w:rPr>
          <w:rFonts w:ascii="Arial" w:hAnsi="Arial" w:cs="Arial" w:eastAsia="Arial" w:hint="default"/>
          <w:spacing w:val="-8"/>
        </w:rPr>
        <w:t> </w:t>
      </w:r>
      <w:r>
        <w:rPr/>
        <w:t>月</w:t>
      </w:r>
      <w:r>
        <w:rPr>
          <w:spacing w:val="-57"/>
        </w:rPr>
        <w:t> </w:t>
      </w:r>
      <w:r>
        <w:rPr>
          <w:rFonts w:ascii="Arial" w:hAnsi="Arial" w:cs="Arial" w:eastAsia="Arial" w:hint="default"/>
        </w:rPr>
        <w:t>16</w:t>
      </w:r>
      <w:r>
        <w:rPr>
          <w:rFonts w:ascii="Arial" w:hAnsi="Arial" w:cs="Arial" w:eastAsia="Arial" w:hint="default"/>
          <w:spacing w:val="-8"/>
        </w:rPr>
        <w:t> </w:t>
      </w:r>
      <w:r>
        <w:rPr/>
        <w:t>日召开的</w:t>
      </w:r>
      <w:r>
        <w:rPr>
          <w:spacing w:val="-57"/>
        </w:rPr>
        <w:t> </w:t>
      </w:r>
      <w:r>
        <w:rPr>
          <w:rFonts w:ascii="Arial" w:hAnsi="Arial" w:cs="Arial" w:eastAsia="Arial" w:hint="default"/>
        </w:rPr>
        <w:t>2008</w:t>
      </w:r>
      <w:r>
        <w:rPr>
          <w:rFonts w:ascii="Arial" w:hAnsi="Arial" w:cs="Arial" w:eastAsia="Arial" w:hint="default"/>
          <w:spacing w:val="-8"/>
        </w:rPr>
        <w:t> </w:t>
      </w:r>
      <w:r>
        <w:rPr/>
        <w:t>年度股东大会通过的关于本公司</w:t>
      </w:r>
      <w:r>
        <w:rPr>
          <w:spacing w:val="-56"/>
        </w:rPr>
        <w:t> </w:t>
      </w:r>
      <w:r>
        <w:rPr>
          <w:rFonts w:ascii="Arial" w:hAnsi="Arial" w:cs="Arial" w:eastAsia="Arial" w:hint="default"/>
        </w:rPr>
        <w:t>2007</w:t>
      </w:r>
      <w:r>
        <w:rPr>
          <w:rFonts w:ascii="Arial" w:hAnsi="Arial" w:cs="Arial" w:eastAsia="Arial" w:hint="default"/>
          <w:spacing w:val="-8"/>
        </w:rPr>
        <w:t> </w:t>
      </w:r>
      <w:r>
        <w:rPr/>
        <w:t>年度利润分配的</w:t>
      </w:r>
    </w:p>
    <w:p>
      <w:pPr>
        <w:pStyle w:val="BodyText"/>
        <w:spacing w:line="295" w:lineRule="exact"/>
        <w:ind w:left="570" w:right="0"/>
        <w:jc w:val="both"/>
      </w:pPr>
      <w:r>
        <w:rPr/>
        <w:t>议案，本公司以</w:t>
      </w:r>
      <w:r>
        <w:rPr>
          <w:spacing w:val="-56"/>
        </w:rPr>
        <w:t> </w:t>
      </w:r>
      <w:r>
        <w:rPr>
          <w:rFonts w:ascii="Arial" w:hAnsi="Arial" w:cs="Arial" w:eastAsia="Arial" w:hint="default"/>
        </w:rPr>
        <w:t>2007</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日的盈余公积约人民币</w:t>
      </w:r>
      <w:r>
        <w:rPr>
          <w:spacing w:val="-55"/>
        </w:rPr>
        <w:t> </w:t>
      </w:r>
      <w:r>
        <w:rPr>
          <w:rFonts w:ascii="Arial" w:hAnsi="Arial" w:cs="Arial" w:eastAsia="Arial" w:hint="default"/>
        </w:rPr>
        <w:t>2.13</w:t>
      </w:r>
      <w:r>
        <w:rPr>
          <w:rFonts w:ascii="Arial" w:hAnsi="Arial" w:cs="Arial" w:eastAsia="Arial" w:hint="default"/>
          <w:spacing w:val="-7"/>
        </w:rPr>
        <w:t> </w:t>
      </w:r>
      <w:r>
        <w:rPr/>
        <w:t>亿元弥补累计亏损。</w:t>
      </w:r>
    </w:p>
    <w:p>
      <w:pPr>
        <w:spacing w:line="240" w:lineRule="auto" w:before="13"/>
        <w:rPr>
          <w:rFonts w:ascii="宋体" w:hAnsi="宋体" w:cs="宋体" w:eastAsia="宋体" w:hint="default"/>
          <w:sz w:val="17"/>
          <w:szCs w:val="17"/>
        </w:rPr>
      </w:pPr>
    </w:p>
    <w:p>
      <w:pPr>
        <w:pStyle w:val="BodyText"/>
        <w:spacing w:line="240" w:lineRule="auto"/>
        <w:ind w:left="122" w:right="3260"/>
        <w:jc w:val="left"/>
        <w:rPr>
          <w:rFonts w:ascii="黑体" w:hAnsi="黑体" w:cs="黑体" w:eastAsia="黑体" w:hint="default"/>
        </w:rPr>
      </w:pPr>
      <w:r>
        <w:rPr>
          <w:rFonts w:ascii="Arial" w:hAnsi="Arial" w:cs="Arial" w:eastAsia="Arial" w:hint="default"/>
        </w:rPr>
        <w:t>33</w:t>
      </w:r>
      <w:r>
        <w:rPr>
          <w:rFonts w:ascii="黑体" w:hAnsi="黑体" w:cs="黑体" w:eastAsia="黑体" w:hint="default"/>
        </w:rPr>
        <w:t>、未分配利润</w:t>
      </w:r>
    </w:p>
    <w:p>
      <w:pPr>
        <w:spacing w:line="240" w:lineRule="auto" w:before="4"/>
        <w:rPr>
          <w:rFonts w:ascii="黑体" w:hAnsi="黑体" w:cs="黑体" w:eastAsia="黑体" w:hint="default"/>
          <w:sz w:val="18"/>
          <w:szCs w:val="18"/>
        </w:rPr>
      </w:pPr>
    </w:p>
    <w:p>
      <w:pPr>
        <w:tabs>
          <w:tab w:pos="7495" w:val="left" w:leader="none"/>
        </w:tabs>
        <w:spacing w:before="0"/>
        <w:ind w:left="5530" w:right="125" w:firstLine="0"/>
        <w:jc w:val="left"/>
        <w:rPr>
          <w:rFonts w:ascii="宋体" w:hAnsi="宋体" w:cs="宋体" w:eastAsia="宋体" w:hint="default"/>
          <w:sz w:val="18"/>
          <w:szCs w:val="18"/>
        </w:rPr>
      </w:pPr>
      <w:r>
        <w:rPr/>
        <w:pict>
          <v:group style="position:absolute;margin-left:300.480011pt;margin-top:13.57503pt;width:118.3pt;height:.1pt;mso-position-horizontal-relative:page;mso-position-vertical-relative:paragraph;z-index:-913432" coordorigin="6010,272" coordsize="2366,2">
            <v:shape style="position:absolute;left:6010;top:272;width:2366;height:2" coordorigin="6010,272" coordsize="2366,0" path="m6010,272l8375,272e" filled="false" stroked="true" strokeweight=".72pt" strokecolor="#000000">
              <v:path arrowok="t"/>
            </v:shape>
            <w10:wrap type="none"/>
          </v:group>
        </w:pict>
      </w:r>
      <w:r>
        <w:rPr/>
        <w:pict>
          <v:group style="position:absolute;margin-left:422.940002pt;margin-top:13.57503pt;width:115.7pt;height:.1pt;mso-position-horizontal-relative:page;mso-position-vertical-relative:paragraph;z-index:6088" coordorigin="8459,272" coordsize="2314,2">
            <v:shape style="position:absolute;left:8459;top:272;width:2314;height:2" coordorigin="8459,272" coordsize="2314,0" path="m8459,272l10772,272e" filled="false" stroked="true" strokeweight=".72pt" strokecolor="#000000">
              <v:path arrowok="t"/>
            </v:shape>
            <w10:wrap type="none"/>
          </v:group>
        </w:pict>
      </w:r>
      <w:r>
        <w:rPr>
          <w:rFonts w:ascii="Arial" w:hAnsi="Arial" w:cs="Arial" w:eastAsia="Arial" w:hint="default"/>
          <w:sz w:val="18"/>
          <w:szCs w:val="18"/>
        </w:rPr>
        <w:t>2009</w:t>
      </w:r>
      <w:r>
        <w:rPr>
          <w:rFonts w:ascii="Arial" w:hAnsi="Arial" w:cs="Arial" w:eastAsia="Arial" w:hint="default"/>
          <w:spacing w:val="-9"/>
          <w:sz w:val="18"/>
          <w:szCs w:val="18"/>
        </w:rPr>
        <w:t> </w:t>
      </w:r>
      <w:r>
        <w:rPr>
          <w:rFonts w:ascii="宋体" w:hAnsi="宋体" w:cs="宋体" w:eastAsia="宋体" w:hint="default"/>
          <w:sz w:val="18"/>
          <w:szCs w:val="18"/>
        </w:rPr>
        <w:t>年度</w:t>
        <w:tab/>
      </w:r>
      <w:r>
        <w:rPr>
          <w:rFonts w:ascii="Arial" w:hAnsi="Arial" w:cs="Arial" w:eastAsia="Arial" w:hint="default"/>
          <w:sz w:val="18"/>
          <w:szCs w:val="18"/>
        </w:rPr>
        <w:t>2008</w:t>
      </w:r>
      <w:r>
        <w:rPr>
          <w:rFonts w:ascii="Arial" w:hAnsi="Arial" w:cs="Arial" w:eastAsia="Arial" w:hint="default"/>
          <w:spacing w:val="-8"/>
          <w:sz w:val="18"/>
          <w:szCs w:val="18"/>
        </w:rPr>
        <w:t> </w:t>
      </w:r>
      <w:r>
        <w:rPr>
          <w:rFonts w:ascii="宋体" w:hAnsi="宋体" w:cs="宋体" w:eastAsia="宋体" w:hint="default"/>
          <w:sz w:val="18"/>
          <w:szCs w:val="18"/>
        </w:rPr>
        <w:t>年度（经重列）</w:t>
      </w:r>
    </w:p>
    <w:p>
      <w:pPr>
        <w:spacing w:after="0"/>
        <w:jc w:val="left"/>
        <w:rPr>
          <w:rFonts w:ascii="宋体" w:hAnsi="宋体" w:cs="宋体" w:eastAsia="宋体" w:hint="default"/>
          <w:sz w:val="18"/>
          <w:szCs w:val="18"/>
        </w:rPr>
        <w:sectPr>
          <w:headerReference w:type="default" r:id="rId110"/>
          <w:pgSz w:w="11910" w:h="16840"/>
          <w:pgMar w:header="1189" w:footer="752" w:top="3060" w:bottom="940" w:left="1260" w:right="880"/>
        </w:sectPr>
      </w:pPr>
    </w:p>
    <w:p>
      <w:pPr>
        <w:spacing w:line="240" w:lineRule="auto" w:before="12"/>
        <w:rPr>
          <w:rFonts w:ascii="宋体" w:hAnsi="宋体" w:cs="宋体" w:eastAsia="宋体" w:hint="default"/>
          <w:sz w:val="17"/>
          <w:szCs w:val="17"/>
        </w:rPr>
      </w:pPr>
    </w:p>
    <w:p>
      <w:pPr>
        <w:tabs>
          <w:tab w:pos="1573" w:val="left" w:leader="none"/>
        </w:tabs>
        <w:spacing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注释</w:t>
        <w:tab/>
        <w:t>金额</w:t>
      </w:r>
    </w:p>
    <w:p>
      <w:pPr>
        <w:spacing w:line="234" w:lineRule="exact" w:before="1"/>
        <w:ind w:left="107"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提取或分</w:t>
      </w:r>
    </w:p>
    <w:p>
      <w:pPr>
        <w:tabs>
          <w:tab w:pos="2007" w:val="left" w:leader="none"/>
        </w:tabs>
        <w:spacing w:line="234" w:lineRule="exact" w:before="0"/>
        <w:ind w:left="287" w:right="-20" w:firstLine="0"/>
        <w:jc w:val="left"/>
        <w:rPr>
          <w:rFonts w:ascii="宋体" w:hAnsi="宋体" w:cs="宋体" w:eastAsia="宋体" w:hint="default"/>
          <w:sz w:val="18"/>
          <w:szCs w:val="18"/>
        </w:rPr>
      </w:pPr>
      <w:r>
        <w:rPr>
          <w:rFonts w:ascii="宋体" w:hAnsi="宋体" w:cs="宋体" w:eastAsia="宋体" w:hint="default"/>
          <w:sz w:val="18"/>
          <w:szCs w:val="18"/>
        </w:rPr>
        <w:t>配比例</w:t>
        <w:tab/>
        <w:t>金额</w:t>
      </w:r>
    </w:p>
    <w:p>
      <w:pPr>
        <w:spacing w:line="232" w:lineRule="exact" w:before="26"/>
        <w:ind w:left="270" w:right="260" w:hanging="180"/>
        <w:jc w:val="left"/>
        <w:rPr>
          <w:rFonts w:ascii="宋体" w:hAnsi="宋体" w:cs="宋体" w:eastAsia="宋体" w:hint="default"/>
          <w:sz w:val="18"/>
          <w:szCs w:val="18"/>
        </w:rPr>
      </w:pPr>
      <w:r>
        <w:rPr/>
        <w:br w:type="column"/>
      </w:r>
      <w:r>
        <w:rPr>
          <w:rFonts w:ascii="宋体" w:hAnsi="宋体" w:cs="宋体" w:eastAsia="宋体" w:hint="default"/>
          <w:sz w:val="18"/>
          <w:szCs w:val="18"/>
        </w:rPr>
        <w:t>提取或分 配比例</w:t>
      </w:r>
    </w:p>
    <w:p>
      <w:pPr>
        <w:spacing w:after="0" w:line="232" w:lineRule="exact"/>
        <w:jc w:val="left"/>
        <w:rPr>
          <w:rFonts w:ascii="宋体" w:hAnsi="宋体" w:cs="宋体" w:eastAsia="宋体" w:hint="default"/>
          <w:sz w:val="18"/>
          <w:szCs w:val="18"/>
        </w:rPr>
        <w:sectPr>
          <w:type w:val="continuous"/>
          <w:pgSz w:w="11910" w:h="16840"/>
          <w:pgMar w:top="1600" w:bottom="280" w:left="1260" w:right="880"/>
          <w:cols w:num="3" w:equalWidth="0">
            <w:col w:w="6227" w:space="40"/>
            <w:col w:w="2368" w:space="40"/>
            <w:col w:w="1095"/>
          </w:cols>
        </w:sectPr>
      </w:pPr>
    </w:p>
    <w:p>
      <w:pPr>
        <w:spacing w:line="20" w:lineRule="exact"/>
        <w:ind w:left="4742" w:right="0" w:firstLine="0"/>
        <w:rPr>
          <w:rFonts w:ascii="宋体" w:hAnsi="宋体" w:cs="宋体" w:eastAsia="宋体" w:hint="default"/>
          <w:sz w:val="2"/>
          <w:szCs w:val="2"/>
        </w:rPr>
      </w:pPr>
      <w:r>
        <w:rPr>
          <w:rFonts w:ascii="宋体"/>
          <w:sz w:val="2"/>
        </w:rPr>
        <w:pict>
          <v:group style="width:75.55pt;height:.75pt;mso-position-horizontal-relative:char;mso-position-vertical-relative:line" coordorigin="0,0" coordsize="1511,15">
            <v:group style="position:absolute;left:7;top:7;width:1497;height:2" coordorigin="7,7" coordsize="1497,2">
              <v:shape style="position:absolute;left:7;top:7;width:1497;height:2" coordorigin="7,7" coordsize="1497,0" path="m7,7l1504,7e" filled="false" stroked="true" strokeweight=".72pt" strokecolor="#000000">
                <v:path arrowok="t"/>
              </v:shape>
            </v:group>
          </v:group>
        </w:pict>
      </w:r>
      <w:r>
        <w:rPr>
          <w:rFonts w:ascii="宋体"/>
          <w:sz w:val="2"/>
        </w:rPr>
      </w:r>
      <w:r>
        <w:rPr>
          <w:rFonts w:ascii="Times New Roman"/>
          <w:spacing w:val="61"/>
          <w:sz w:val="2"/>
        </w:rPr>
        <w:t> </w:t>
      </w:r>
      <w:r>
        <w:rPr>
          <w:rFonts w:ascii="宋体"/>
          <w:spacing w:val="61"/>
          <w:sz w:val="2"/>
        </w:rPr>
        <w:pict>
          <v:group style="width:40pt;height:.75pt;mso-position-horizontal-relative:char;mso-position-vertical-relative:line" coordorigin="0,0" coordsize="800,15">
            <v:group style="position:absolute;left:7;top:7;width:785;height:2" coordorigin="7,7" coordsize="785,2">
              <v:shape style="position:absolute;left:7;top:7;width:785;height:2" coordorigin="7,7" coordsize="785,0" path="m7,7l792,7e" filled="false" stroked="true" strokeweight=".72pt" strokecolor="#000000">
                <v:path arrowok="t"/>
              </v:shape>
            </v:group>
          </v:group>
        </w:pict>
      </w:r>
      <w:r>
        <w:rPr>
          <w:rFonts w:ascii="宋体"/>
          <w:spacing w:val="61"/>
          <w:sz w:val="2"/>
        </w:rPr>
      </w:r>
      <w:r>
        <w:rPr>
          <w:rFonts w:ascii="Times New Roman"/>
          <w:spacing w:val="61"/>
          <w:sz w:val="2"/>
        </w:rPr>
        <w:t> </w:t>
      </w:r>
      <w:r>
        <w:rPr>
          <w:rFonts w:ascii="宋体"/>
          <w:spacing w:val="61"/>
          <w:sz w:val="2"/>
        </w:rPr>
        <w:pict>
          <v:group style="width:73.5pt;height:.75pt;mso-position-horizontal-relative:char;mso-position-vertical-relative:line" coordorigin="0,0" coordsize="1470,15">
            <v:group style="position:absolute;left:7;top:7;width:1456;height:2" coordorigin="7,7" coordsize="1456,2">
              <v:shape style="position:absolute;left:7;top:7;width:1456;height:2" coordorigin="7,7" coordsize="1456,0" path="m7,7l1463,7e" filled="false" stroked="true" strokeweight=".72pt" strokecolor="#000000">
                <v:path arrowok="t"/>
              </v:shape>
            </v:group>
          </v:group>
        </w:pict>
      </w:r>
      <w:r>
        <w:rPr>
          <w:rFonts w:ascii="宋体"/>
          <w:spacing w:val="61"/>
          <w:sz w:val="2"/>
        </w:rPr>
      </w:r>
      <w:r>
        <w:rPr>
          <w:rFonts w:ascii="Times New Roman"/>
          <w:spacing w:val="62"/>
          <w:sz w:val="2"/>
        </w:rPr>
        <w:t> </w:t>
      </w:r>
      <w:r>
        <w:rPr>
          <w:rFonts w:ascii="宋体"/>
          <w:spacing w:val="62"/>
          <w:sz w:val="2"/>
        </w:rPr>
        <w:pict>
          <v:group style="width:39.1pt;height:.75pt;mso-position-horizontal-relative:char;mso-position-vertical-relative:line" coordorigin="0,0" coordsize="782,15">
            <v:group style="position:absolute;left:7;top:7;width:767;height:2" coordorigin="7,7" coordsize="767,2">
              <v:shape style="position:absolute;left:7;top:7;width:767;height:2" coordorigin="7,7" coordsize="767,0" path="m7,7l774,7e" filled="false" stroked="true" strokeweight=".72pt" strokecolor="#000000">
                <v:path arrowok="t"/>
              </v:shape>
            </v:group>
          </v:group>
        </w:pict>
      </w:r>
      <w:r>
        <w:rPr>
          <w:rFonts w:ascii="宋体"/>
          <w:spacing w:val="62"/>
          <w:sz w:val="2"/>
        </w:rPr>
      </w:r>
    </w:p>
    <w:p>
      <w:pPr>
        <w:spacing w:line="240" w:lineRule="auto" w:before="3"/>
        <w:rPr>
          <w:rFonts w:ascii="宋体" w:hAnsi="宋体" w:cs="宋体" w:eastAsia="宋体" w:hint="default"/>
          <w:sz w:val="10"/>
          <w:szCs w:val="10"/>
        </w:rPr>
      </w:pPr>
    </w:p>
    <w:tbl>
      <w:tblPr>
        <w:tblW w:w="0" w:type="auto"/>
        <w:jc w:val="left"/>
        <w:tblInd w:w="532" w:type="dxa"/>
        <w:tblLayout w:type="fixed"/>
        <w:tblCellMar>
          <w:top w:w="0" w:type="dxa"/>
          <w:left w:w="0" w:type="dxa"/>
          <w:bottom w:w="0" w:type="dxa"/>
          <w:right w:w="0" w:type="dxa"/>
        </w:tblCellMar>
        <w:tblLook w:val="01E0"/>
      </w:tblPr>
      <w:tblGrid>
        <w:gridCol w:w="3695"/>
        <w:gridCol w:w="515"/>
        <w:gridCol w:w="1636"/>
        <w:gridCol w:w="813"/>
        <w:gridCol w:w="1470"/>
        <w:gridCol w:w="858"/>
      </w:tblGrid>
      <w:tr>
        <w:trPr>
          <w:trHeight w:val="318" w:hRule="exact"/>
        </w:trPr>
        <w:tc>
          <w:tcPr>
            <w:tcW w:w="3695"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年初未分配利润（同一控制企业合并调整前）</w:t>
            </w:r>
          </w:p>
        </w:tc>
        <w:tc>
          <w:tcPr>
            <w:tcW w:w="515"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99"/>
              <w:ind w:right="234"/>
              <w:jc w:val="right"/>
              <w:rPr>
                <w:rFonts w:ascii="Arial" w:hAnsi="Arial" w:cs="Arial" w:eastAsia="Arial" w:hint="default"/>
                <w:sz w:val="18"/>
                <w:szCs w:val="18"/>
              </w:rPr>
            </w:pPr>
            <w:r>
              <w:rPr>
                <w:rFonts w:ascii="Arial"/>
                <w:spacing w:val="-1"/>
                <w:sz w:val="18"/>
              </w:rPr>
              <w:t>24,458,208,285</w:t>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95"/>
              <w:jc w:val="right"/>
              <w:rPr>
                <w:rFonts w:ascii="宋体" w:hAnsi="宋体" w:cs="宋体" w:eastAsia="宋体" w:hint="default"/>
                <w:sz w:val="18"/>
                <w:szCs w:val="18"/>
              </w:rPr>
            </w:pPr>
            <w:r>
              <w:rPr>
                <w:rFonts w:ascii="宋体" w:hAnsi="宋体" w:cs="宋体" w:eastAsia="宋体" w:hint="default"/>
                <w:sz w:val="18"/>
                <w:szCs w:val="18"/>
              </w:rPr>
              <w:t>不适用</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99"/>
              <w:ind w:left="79" w:right="0"/>
              <w:jc w:val="left"/>
              <w:rPr>
                <w:rFonts w:ascii="Arial" w:hAnsi="Arial" w:cs="Arial" w:eastAsia="Arial" w:hint="default"/>
                <w:sz w:val="18"/>
                <w:szCs w:val="18"/>
              </w:rPr>
            </w:pPr>
            <w:r>
              <w:rPr>
                <w:rFonts w:ascii="Arial"/>
                <w:sz w:val="18"/>
              </w:rPr>
              <w:t>14,407,872,927</w:t>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hAnsi="宋体" w:cs="宋体" w:eastAsia="宋体" w:hint="default"/>
                <w:sz w:val="18"/>
                <w:szCs w:val="18"/>
              </w:rPr>
              <w:t>不适用</w:t>
            </w:r>
          </w:p>
        </w:tc>
      </w:tr>
      <w:tr>
        <w:trPr>
          <w:trHeight w:val="234" w:hRule="exact"/>
        </w:trPr>
        <w:tc>
          <w:tcPr>
            <w:tcW w:w="3695"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同一控制下企业合并的调整</w:t>
            </w:r>
          </w:p>
        </w:tc>
        <w:tc>
          <w:tcPr>
            <w:tcW w:w="51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60" w:right="0"/>
              <w:jc w:val="left"/>
              <w:rPr>
                <w:rFonts w:ascii="Arial" w:hAnsi="Arial" w:cs="Arial" w:eastAsia="Arial" w:hint="default"/>
                <w:sz w:val="18"/>
                <w:szCs w:val="18"/>
              </w:rPr>
            </w:pPr>
            <w:r>
              <w:rPr>
                <w:rFonts w:ascii="Arial"/>
                <w:sz w:val="18"/>
              </w:rPr>
              <w:t>(a)</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4"/>
              <w:jc w:val="right"/>
              <w:rPr>
                <w:rFonts w:ascii="Arial" w:hAnsi="Arial" w:cs="Arial" w:eastAsia="Arial" w:hint="default"/>
                <w:sz w:val="18"/>
                <w:szCs w:val="18"/>
              </w:rPr>
            </w:pPr>
            <w:r>
              <w:rPr>
                <w:rFonts w:ascii="Arial"/>
                <w:spacing w:val="-1"/>
                <w:sz w:val="18"/>
              </w:rPr>
              <w:t>(1,820,215,344)</w:t>
            </w:r>
          </w:p>
        </w:tc>
        <w:tc>
          <w:tcPr>
            <w:tcW w:w="813" w:type="dxa"/>
            <w:tcBorders>
              <w:top w:val="nil" w:sz="6" w:space="0" w:color="auto"/>
              <w:left w:val="nil" w:sz="6" w:space="0" w:color="auto"/>
              <w:bottom w:val="nil" w:sz="6" w:space="0" w:color="auto"/>
              <w:right w:val="nil" w:sz="6" w:space="0" w:color="auto"/>
            </w:tcBorders>
          </w:tcPr>
          <w:p>
            <w:pPr>
              <w:pStyle w:val="TableParagraph"/>
              <w:spacing w:line="196" w:lineRule="exact"/>
              <w:ind w:right="95"/>
              <w:jc w:val="right"/>
              <w:rPr>
                <w:rFonts w:ascii="宋体" w:hAnsi="宋体" w:cs="宋体" w:eastAsia="宋体" w:hint="default"/>
                <w:sz w:val="18"/>
                <w:szCs w:val="18"/>
              </w:rPr>
            </w:pPr>
            <w:r>
              <w:rPr>
                <w:rFonts w:ascii="宋体" w:hAnsi="宋体" w:cs="宋体" w:eastAsia="宋体" w:hint="default"/>
                <w:sz w:val="18"/>
                <w:szCs w:val="18"/>
              </w:rPr>
              <w:t>不适用</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78"/>
              <w:jc w:val="right"/>
              <w:rPr>
                <w:rFonts w:ascii="Arial" w:hAnsi="Arial" w:cs="Arial" w:eastAsia="Arial" w:hint="default"/>
                <w:sz w:val="18"/>
                <w:szCs w:val="18"/>
              </w:rPr>
            </w:pPr>
            <w:r>
              <w:rPr>
                <w:rFonts w:ascii="Arial"/>
                <w:spacing w:val="-1"/>
                <w:sz w:val="18"/>
              </w:rPr>
              <w:t>(2,028,064,052)</w:t>
            </w:r>
          </w:p>
        </w:tc>
        <w:tc>
          <w:tcPr>
            <w:tcW w:w="858" w:type="dxa"/>
            <w:tcBorders>
              <w:top w:val="nil" w:sz="6" w:space="0" w:color="auto"/>
              <w:left w:val="nil" w:sz="6" w:space="0" w:color="auto"/>
              <w:bottom w:val="nil" w:sz="6" w:space="0" w:color="auto"/>
              <w:right w:val="nil" w:sz="6" w:space="0" w:color="auto"/>
            </w:tcBorders>
          </w:tcPr>
          <w:p>
            <w:pPr>
              <w:pStyle w:val="TableParagraph"/>
              <w:spacing w:line="196" w:lineRule="exact"/>
              <w:ind w:right="33"/>
              <w:jc w:val="right"/>
              <w:rPr>
                <w:rFonts w:ascii="宋体" w:hAnsi="宋体" w:cs="宋体" w:eastAsia="宋体" w:hint="default"/>
                <w:sz w:val="18"/>
                <w:szCs w:val="18"/>
              </w:rPr>
            </w:pPr>
            <w:r>
              <w:rPr>
                <w:rFonts w:ascii="宋体" w:hAnsi="宋体" w:cs="宋体" w:eastAsia="宋体" w:hint="default"/>
                <w:sz w:val="18"/>
                <w:szCs w:val="18"/>
              </w:rPr>
              <w:t>不适用</w:t>
            </w:r>
          </w:p>
        </w:tc>
      </w:tr>
      <w:tr>
        <w:trPr>
          <w:trHeight w:val="233" w:hRule="exact"/>
        </w:trPr>
        <w:tc>
          <w:tcPr>
            <w:tcW w:w="3695"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年初未分配利润（同一控制企业合并调整后）</w:t>
            </w:r>
          </w:p>
        </w:tc>
        <w:tc>
          <w:tcPr>
            <w:tcW w:w="515"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4"/>
              <w:jc w:val="right"/>
              <w:rPr>
                <w:rFonts w:ascii="Arial" w:hAnsi="Arial" w:cs="Arial" w:eastAsia="Arial" w:hint="default"/>
                <w:sz w:val="18"/>
                <w:szCs w:val="18"/>
              </w:rPr>
            </w:pPr>
            <w:r>
              <w:rPr>
                <w:rFonts w:ascii="Arial"/>
                <w:spacing w:val="-1"/>
                <w:sz w:val="18"/>
              </w:rPr>
              <w:t>22,637,992,941</w:t>
            </w:r>
          </w:p>
        </w:tc>
        <w:tc>
          <w:tcPr>
            <w:tcW w:w="813" w:type="dxa"/>
            <w:tcBorders>
              <w:top w:val="nil" w:sz="6" w:space="0" w:color="auto"/>
              <w:left w:val="nil" w:sz="6" w:space="0" w:color="auto"/>
              <w:bottom w:val="nil" w:sz="6" w:space="0" w:color="auto"/>
              <w:right w:val="nil" w:sz="6" w:space="0" w:color="auto"/>
            </w:tcBorders>
          </w:tcPr>
          <w:p>
            <w:pPr>
              <w:pStyle w:val="TableParagraph"/>
              <w:spacing w:line="196" w:lineRule="exact"/>
              <w:ind w:right="95"/>
              <w:jc w:val="right"/>
              <w:rPr>
                <w:rFonts w:ascii="宋体" w:hAnsi="宋体" w:cs="宋体" w:eastAsia="宋体" w:hint="default"/>
                <w:sz w:val="18"/>
                <w:szCs w:val="18"/>
              </w:rPr>
            </w:pPr>
            <w:r>
              <w:rPr>
                <w:rFonts w:ascii="宋体" w:hAnsi="宋体" w:cs="宋体" w:eastAsia="宋体" w:hint="default"/>
                <w:sz w:val="18"/>
                <w:szCs w:val="18"/>
              </w:rPr>
              <w:t>不适用</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9" w:right="0"/>
              <w:jc w:val="left"/>
              <w:rPr>
                <w:rFonts w:ascii="Arial" w:hAnsi="Arial" w:cs="Arial" w:eastAsia="Arial" w:hint="default"/>
                <w:sz w:val="18"/>
                <w:szCs w:val="18"/>
              </w:rPr>
            </w:pPr>
            <w:r>
              <w:rPr>
                <w:rFonts w:ascii="Arial"/>
                <w:sz w:val="18"/>
              </w:rPr>
              <w:t>12,379,808,875</w:t>
            </w:r>
          </w:p>
        </w:tc>
        <w:tc>
          <w:tcPr>
            <w:tcW w:w="858" w:type="dxa"/>
            <w:tcBorders>
              <w:top w:val="nil" w:sz="6" w:space="0" w:color="auto"/>
              <w:left w:val="nil" w:sz="6" w:space="0" w:color="auto"/>
              <w:bottom w:val="nil" w:sz="6" w:space="0" w:color="auto"/>
              <w:right w:val="nil" w:sz="6" w:space="0" w:color="auto"/>
            </w:tcBorders>
          </w:tcPr>
          <w:p>
            <w:pPr>
              <w:pStyle w:val="TableParagraph"/>
              <w:spacing w:line="196" w:lineRule="exact"/>
              <w:ind w:right="33"/>
              <w:jc w:val="right"/>
              <w:rPr>
                <w:rFonts w:ascii="宋体" w:hAnsi="宋体" w:cs="宋体" w:eastAsia="宋体" w:hint="default"/>
                <w:sz w:val="18"/>
                <w:szCs w:val="18"/>
              </w:rPr>
            </w:pPr>
            <w:r>
              <w:rPr>
                <w:rFonts w:ascii="宋体" w:hAnsi="宋体" w:cs="宋体" w:eastAsia="宋体" w:hint="default"/>
                <w:sz w:val="18"/>
                <w:szCs w:val="18"/>
              </w:rPr>
              <w:t>不适用</w:t>
            </w:r>
          </w:p>
        </w:tc>
      </w:tr>
      <w:tr>
        <w:trPr>
          <w:trHeight w:val="233" w:hRule="exact"/>
        </w:trPr>
        <w:tc>
          <w:tcPr>
            <w:tcW w:w="3695"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宋体" w:hAnsi="宋体" w:cs="宋体" w:eastAsia="宋体" w:hint="default"/>
                <w:sz w:val="18"/>
                <w:szCs w:val="18"/>
              </w:rPr>
            </w:pPr>
            <w:r>
              <w:rPr>
                <w:rFonts w:ascii="宋体" w:hAnsi="宋体" w:cs="宋体" w:eastAsia="宋体" w:hint="default"/>
                <w:sz w:val="18"/>
                <w:szCs w:val="18"/>
              </w:rPr>
              <w:t>加：本年归属于母公司股东的净利润</w:t>
            </w:r>
          </w:p>
        </w:tc>
        <w:tc>
          <w:tcPr>
            <w:tcW w:w="515"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34"/>
              <w:jc w:val="right"/>
              <w:rPr>
                <w:rFonts w:ascii="Arial" w:hAnsi="Arial" w:cs="Arial" w:eastAsia="Arial" w:hint="default"/>
                <w:sz w:val="18"/>
                <w:szCs w:val="18"/>
              </w:rPr>
            </w:pPr>
            <w:r>
              <w:rPr>
                <w:rFonts w:ascii="Arial"/>
                <w:spacing w:val="-1"/>
                <w:sz w:val="18"/>
              </w:rPr>
              <w:t>3,137,024,492</w:t>
            </w:r>
          </w:p>
        </w:tc>
        <w:tc>
          <w:tcPr>
            <w:tcW w:w="813" w:type="dxa"/>
            <w:tcBorders>
              <w:top w:val="nil" w:sz="6" w:space="0" w:color="auto"/>
              <w:left w:val="nil" w:sz="6" w:space="0" w:color="auto"/>
              <w:bottom w:val="nil" w:sz="6" w:space="0" w:color="auto"/>
              <w:right w:val="nil" w:sz="6" w:space="0" w:color="auto"/>
            </w:tcBorders>
          </w:tcPr>
          <w:p>
            <w:pPr>
              <w:pStyle w:val="TableParagraph"/>
              <w:spacing w:line="195" w:lineRule="exact"/>
              <w:ind w:right="95"/>
              <w:jc w:val="right"/>
              <w:rPr>
                <w:rFonts w:ascii="宋体" w:hAnsi="宋体" w:cs="宋体" w:eastAsia="宋体" w:hint="default"/>
                <w:sz w:val="18"/>
                <w:szCs w:val="18"/>
              </w:rPr>
            </w:pPr>
            <w:r>
              <w:rPr>
                <w:rFonts w:ascii="宋体" w:hAnsi="宋体" w:cs="宋体" w:eastAsia="宋体" w:hint="default"/>
                <w:sz w:val="18"/>
                <w:szCs w:val="18"/>
              </w:rPr>
              <w:t>不适用</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79" w:right="0"/>
              <w:jc w:val="left"/>
              <w:rPr>
                <w:rFonts w:ascii="Arial" w:hAnsi="Arial" w:cs="Arial" w:eastAsia="Arial" w:hint="default"/>
                <w:sz w:val="18"/>
                <w:szCs w:val="18"/>
              </w:rPr>
            </w:pPr>
            <w:r>
              <w:rPr>
                <w:rFonts w:ascii="Arial"/>
                <w:sz w:val="18"/>
              </w:rPr>
              <w:t>20,235,902,556</w:t>
            </w:r>
          </w:p>
        </w:tc>
        <w:tc>
          <w:tcPr>
            <w:tcW w:w="858" w:type="dxa"/>
            <w:tcBorders>
              <w:top w:val="nil" w:sz="6" w:space="0" w:color="auto"/>
              <w:left w:val="nil" w:sz="6" w:space="0" w:color="auto"/>
              <w:bottom w:val="nil" w:sz="6" w:space="0" w:color="auto"/>
              <w:right w:val="nil" w:sz="6" w:space="0" w:color="auto"/>
            </w:tcBorders>
          </w:tcPr>
          <w:p>
            <w:pPr>
              <w:pStyle w:val="TableParagraph"/>
              <w:spacing w:line="195" w:lineRule="exact"/>
              <w:ind w:right="33"/>
              <w:jc w:val="right"/>
              <w:rPr>
                <w:rFonts w:ascii="宋体" w:hAnsi="宋体" w:cs="宋体" w:eastAsia="宋体" w:hint="default"/>
                <w:sz w:val="18"/>
                <w:szCs w:val="18"/>
              </w:rPr>
            </w:pPr>
            <w:r>
              <w:rPr>
                <w:rFonts w:ascii="宋体" w:hAnsi="宋体" w:cs="宋体" w:eastAsia="宋体" w:hint="default"/>
                <w:sz w:val="18"/>
                <w:szCs w:val="18"/>
              </w:rPr>
              <w:t>不适用</w:t>
            </w:r>
          </w:p>
        </w:tc>
      </w:tr>
      <w:tr>
        <w:trPr>
          <w:trHeight w:val="233" w:hRule="exact"/>
        </w:trPr>
        <w:tc>
          <w:tcPr>
            <w:tcW w:w="3695" w:type="dxa"/>
            <w:tcBorders>
              <w:top w:val="nil" w:sz="6" w:space="0" w:color="auto"/>
              <w:left w:val="nil" w:sz="6" w:space="0" w:color="auto"/>
              <w:bottom w:val="nil" w:sz="6" w:space="0" w:color="auto"/>
              <w:right w:val="nil" w:sz="6" w:space="0" w:color="auto"/>
            </w:tcBorders>
          </w:tcPr>
          <w:p>
            <w:pPr>
              <w:pStyle w:val="TableParagraph"/>
              <w:spacing w:line="209" w:lineRule="exact"/>
              <w:ind w:left="35" w:right="0"/>
              <w:jc w:val="left"/>
              <w:rPr>
                <w:rFonts w:ascii="宋体" w:hAnsi="宋体" w:cs="宋体" w:eastAsia="宋体" w:hint="default"/>
                <w:sz w:val="18"/>
                <w:szCs w:val="18"/>
              </w:rPr>
            </w:pPr>
            <w:r>
              <w:rPr>
                <w:rFonts w:ascii="宋体" w:hAnsi="宋体" w:cs="宋体" w:eastAsia="宋体" w:hint="default"/>
                <w:sz w:val="18"/>
                <w:szCs w:val="18"/>
              </w:rPr>
              <w:t>减：提取法定盈余公积（附注五</w:t>
            </w:r>
            <w:r>
              <w:rPr>
                <w:rFonts w:ascii="Arial" w:hAnsi="Arial" w:cs="Arial" w:eastAsia="Arial" w:hint="default"/>
                <w:sz w:val="18"/>
                <w:szCs w:val="18"/>
              </w:rPr>
              <w:t>(32)</w:t>
            </w:r>
            <w:r>
              <w:rPr>
                <w:rFonts w:ascii="宋体" w:hAnsi="宋体" w:cs="宋体" w:eastAsia="宋体" w:hint="default"/>
                <w:sz w:val="18"/>
                <w:szCs w:val="18"/>
              </w:rPr>
              <w:t>）</w:t>
            </w:r>
          </w:p>
        </w:tc>
        <w:tc>
          <w:tcPr>
            <w:tcW w:w="515"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75"/>
              <w:jc w:val="right"/>
              <w:rPr>
                <w:rFonts w:ascii="Arial" w:hAnsi="Arial" w:cs="Arial" w:eastAsia="Arial" w:hint="default"/>
                <w:sz w:val="18"/>
                <w:szCs w:val="18"/>
              </w:rPr>
            </w:pPr>
            <w:r>
              <w:rPr>
                <w:rFonts w:ascii="Arial"/>
                <w:spacing w:val="-1"/>
                <w:sz w:val="18"/>
              </w:rPr>
              <w:t>(158,389,612)</w:t>
            </w:r>
            <w:r>
              <w:rPr>
                <w:rFonts w:ascii="Arial"/>
                <w:sz w:val="18"/>
              </w:rPr>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5"/>
              <w:jc w:val="right"/>
              <w:rPr>
                <w:rFonts w:ascii="Arial" w:hAnsi="Arial" w:cs="Arial" w:eastAsia="Arial" w:hint="default"/>
                <w:sz w:val="18"/>
                <w:szCs w:val="18"/>
              </w:rPr>
            </w:pPr>
            <w:r>
              <w:rPr>
                <w:rFonts w:ascii="Arial"/>
                <w:spacing w:val="-1"/>
                <w:w w:val="95"/>
                <w:sz w:val="18"/>
              </w:rPr>
              <w:t>10%</w:t>
            </w:r>
            <w:r>
              <w:rPr>
                <w:rFonts w:ascii="Arial"/>
                <w:sz w:val="18"/>
              </w:rPr>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69" w:right="0"/>
              <w:jc w:val="left"/>
              <w:rPr>
                <w:rFonts w:ascii="Arial" w:hAnsi="Arial" w:cs="Arial" w:eastAsia="Arial" w:hint="default"/>
                <w:sz w:val="18"/>
                <w:szCs w:val="18"/>
              </w:rPr>
            </w:pPr>
            <w:r>
              <w:rPr>
                <w:rFonts w:ascii="Arial"/>
                <w:sz w:val="18"/>
              </w:rPr>
              <w:t>(158,412,360)</w:t>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spacing w:val="-1"/>
                <w:w w:val="95"/>
                <w:sz w:val="18"/>
              </w:rPr>
              <w:t>10%</w:t>
            </w:r>
            <w:r>
              <w:rPr>
                <w:rFonts w:ascii="Arial"/>
                <w:sz w:val="18"/>
              </w:rPr>
            </w:r>
          </w:p>
        </w:tc>
      </w:tr>
      <w:tr>
        <w:trPr>
          <w:trHeight w:val="456" w:hRule="exact"/>
        </w:trPr>
        <w:tc>
          <w:tcPr>
            <w:tcW w:w="3695" w:type="dxa"/>
            <w:tcBorders>
              <w:top w:val="nil" w:sz="6" w:space="0" w:color="auto"/>
              <w:left w:val="nil" w:sz="6" w:space="0" w:color="auto"/>
              <w:bottom w:val="nil" w:sz="6" w:space="0" w:color="auto"/>
              <w:right w:val="nil" w:sz="6" w:space="0" w:color="auto"/>
            </w:tcBorders>
          </w:tcPr>
          <w:p>
            <w:pPr>
              <w:pStyle w:val="TableParagraph"/>
              <w:spacing w:line="201" w:lineRule="exact"/>
              <w:ind w:left="402" w:right="0"/>
              <w:jc w:val="left"/>
              <w:rPr>
                <w:rFonts w:ascii="宋体" w:hAnsi="宋体" w:cs="宋体" w:eastAsia="宋体" w:hint="default"/>
                <w:sz w:val="18"/>
                <w:szCs w:val="18"/>
              </w:rPr>
            </w:pPr>
            <w:r>
              <w:rPr>
                <w:rFonts w:ascii="宋体" w:hAnsi="宋体" w:cs="宋体" w:eastAsia="宋体" w:hint="default"/>
                <w:sz w:val="18"/>
                <w:szCs w:val="18"/>
              </w:rPr>
              <w:t>盈余公积弥补亏损（附注五</w:t>
            </w:r>
            <w:r>
              <w:rPr>
                <w:rFonts w:ascii="Arial" w:hAnsi="Arial" w:cs="Arial" w:eastAsia="Arial" w:hint="default"/>
                <w:sz w:val="18"/>
                <w:szCs w:val="18"/>
              </w:rPr>
              <w:t>(32)</w:t>
            </w:r>
            <w:r>
              <w:rPr>
                <w:rFonts w:ascii="宋体" w:hAnsi="宋体" w:cs="宋体" w:eastAsia="宋体" w:hint="default"/>
                <w:sz w:val="18"/>
                <w:szCs w:val="18"/>
              </w:rPr>
              <w:t>）</w:t>
            </w:r>
          </w:p>
          <w:p>
            <w:pPr>
              <w:pStyle w:val="TableParagraph"/>
              <w:spacing w:line="228" w:lineRule="exact"/>
              <w:ind w:left="402" w:right="0"/>
              <w:jc w:val="left"/>
              <w:rPr>
                <w:rFonts w:ascii="宋体" w:hAnsi="宋体" w:cs="宋体" w:eastAsia="宋体" w:hint="default"/>
                <w:sz w:val="18"/>
                <w:szCs w:val="18"/>
              </w:rPr>
            </w:pPr>
            <w:r>
              <w:rPr>
                <w:rFonts w:ascii="宋体" w:hAnsi="宋体" w:cs="宋体" w:eastAsia="宋体" w:hint="default"/>
                <w:sz w:val="18"/>
                <w:szCs w:val="18"/>
              </w:rPr>
              <w:t>被联通运营公司同一控制下收购的</w:t>
            </w:r>
          </w:p>
        </w:tc>
        <w:tc>
          <w:tcPr>
            <w:tcW w:w="515"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33"/>
              <w:jc w:val="right"/>
              <w:rPr>
                <w:rFonts w:ascii="Arial" w:hAnsi="Arial" w:cs="Arial" w:eastAsia="Arial" w:hint="default"/>
                <w:sz w:val="18"/>
                <w:szCs w:val="18"/>
              </w:rPr>
            </w:pPr>
            <w:r>
              <w:rPr>
                <w:rFonts w:ascii="Arial"/>
                <w:w w:val="99"/>
                <w:sz w:val="18"/>
              </w:rPr>
              <w:t>-</w:t>
            </w:r>
            <w:r>
              <w:rPr>
                <w:rFonts w:ascii="Arial"/>
                <w:sz w:val="18"/>
              </w:rPr>
            </w:r>
          </w:p>
        </w:tc>
        <w:tc>
          <w:tcPr>
            <w:tcW w:w="813" w:type="dxa"/>
            <w:tcBorders>
              <w:top w:val="nil" w:sz="6" w:space="0" w:color="auto"/>
              <w:left w:val="nil" w:sz="6" w:space="0" w:color="auto"/>
              <w:bottom w:val="nil" w:sz="6" w:space="0" w:color="auto"/>
              <w:right w:val="nil" w:sz="6" w:space="0" w:color="auto"/>
            </w:tcBorders>
          </w:tcPr>
          <w:p>
            <w:pPr>
              <w:pStyle w:val="TableParagraph"/>
              <w:spacing w:line="195" w:lineRule="exact"/>
              <w:ind w:right="95"/>
              <w:jc w:val="right"/>
              <w:rPr>
                <w:rFonts w:ascii="宋体" w:hAnsi="宋体" w:cs="宋体" w:eastAsia="宋体" w:hint="default"/>
                <w:sz w:val="18"/>
                <w:szCs w:val="18"/>
              </w:rPr>
            </w:pPr>
            <w:r>
              <w:rPr>
                <w:rFonts w:ascii="宋体" w:hAnsi="宋体" w:cs="宋体" w:eastAsia="宋体" w:hint="default"/>
                <w:sz w:val="18"/>
                <w:szCs w:val="18"/>
              </w:rPr>
              <w:t>不适用</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29" w:right="0"/>
              <w:jc w:val="left"/>
              <w:rPr>
                <w:rFonts w:ascii="Arial" w:hAnsi="Arial" w:cs="Arial" w:eastAsia="Arial" w:hint="default"/>
                <w:sz w:val="18"/>
                <w:szCs w:val="18"/>
              </w:rPr>
            </w:pPr>
            <w:r>
              <w:rPr>
                <w:rFonts w:ascii="Arial"/>
                <w:sz w:val="18"/>
              </w:rPr>
              <w:t>213,070,647</w:t>
            </w:r>
          </w:p>
        </w:tc>
        <w:tc>
          <w:tcPr>
            <w:tcW w:w="858" w:type="dxa"/>
            <w:tcBorders>
              <w:top w:val="nil" w:sz="6" w:space="0" w:color="auto"/>
              <w:left w:val="nil" w:sz="6" w:space="0" w:color="auto"/>
              <w:bottom w:val="nil" w:sz="6" w:space="0" w:color="auto"/>
              <w:right w:val="nil" w:sz="6" w:space="0" w:color="auto"/>
            </w:tcBorders>
          </w:tcPr>
          <w:p>
            <w:pPr>
              <w:pStyle w:val="TableParagraph"/>
              <w:spacing w:line="195" w:lineRule="exact"/>
              <w:ind w:right="33"/>
              <w:jc w:val="right"/>
              <w:rPr>
                <w:rFonts w:ascii="宋体" w:hAnsi="宋体" w:cs="宋体" w:eastAsia="宋体" w:hint="default"/>
                <w:sz w:val="18"/>
                <w:szCs w:val="18"/>
              </w:rPr>
            </w:pPr>
            <w:r>
              <w:rPr>
                <w:rFonts w:ascii="宋体" w:hAnsi="宋体" w:cs="宋体" w:eastAsia="宋体" w:hint="default"/>
                <w:sz w:val="18"/>
                <w:szCs w:val="18"/>
              </w:rPr>
              <w:t>不适用</w:t>
            </w:r>
          </w:p>
        </w:tc>
      </w:tr>
      <w:tr>
        <w:trPr>
          <w:trHeight w:val="471" w:hRule="exact"/>
        </w:trPr>
        <w:tc>
          <w:tcPr>
            <w:tcW w:w="3695" w:type="dxa"/>
            <w:tcBorders>
              <w:top w:val="nil" w:sz="6" w:space="0" w:color="auto"/>
              <w:left w:val="nil" w:sz="6" w:space="0" w:color="auto"/>
              <w:bottom w:val="nil" w:sz="6" w:space="0" w:color="auto"/>
              <w:right w:val="nil" w:sz="6" w:space="0" w:color="auto"/>
            </w:tcBorders>
          </w:tcPr>
          <w:p>
            <w:pPr>
              <w:pStyle w:val="TableParagraph"/>
              <w:spacing w:line="206" w:lineRule="exact"/>
              <w:ind w:right="188"/>
              <w:jc w:val="center"/>
              <w:rPr>
                <w:rFonts w:ascii="宋体" w:hAnsi="宋体" w:cs="宋体" w:eastAsia="宋体" w:hint="default"/>
                <w:sz w:val="18"/>
                <w:szCs w:val="18"/>
              </w:rPr>
            </w:pPr>
            <w:r>
              <w:rPr>
                <w:rFonts w:ascii="宋体" w:hAnsi="宋体" w:cs="宋体" w:eastAsia="宋体" w:hint="default"/>
                <w:sz w:val="18"/>
                <w:szCs w:val="18"/>
              </w:rPr>
              <w:t>目标业务向联通集团分配利润</w:t>
            </w:r>
          </w:p>
          <w:p>
            <w:pPr>
              <w:pStyle w:val="TableParagraph"/>
              <w:spacing w:line="248" w:lineRule="exact"/>
              <w:ind w:right="107"/>
              <w:jc w:val="center"/>
              <w:rPr>
                <w:rFonts w:ascii="宋体" w:hAnsi="宋体" w:cs="宋体" w:eastAsia="宋体" w:hint="default"/>
                <w:sz w:val="18"/>
                <w:szCs w:val="18"/>
              </w:rPr>
            </w:pPr>
            <w:r>
              <w:rPr>
                <w:rFonts w:ascii="宋体" w:hAnsi="宋体" w:cs="宋体" w:eastAsia="宋体" w:hint="default"/>
                <w:sz w:val="18"/>
                <w:szCs w:val="18"/>
              </w:rPr>
              <w:t>子公司回购</w:t>
            </w:r>
            <w:r>
              <w:rPr>
                <w:rFonts w:ascii="宋体" w:hAnsi="宋体" w:cs="宋体" w:eastAsia="宋体" w:hint="default"/>
                <w:spacing w:val="-47"/>
                <w:sz w:val="18"/>
                <w:szCs w:val="18"/>
              </w:rPr>
              <w:t> </w:t>
            </w:r>
            <w:r>
              <w:rPr>
                <w:rFonts w:ascii="Arial" w:hAnsi="Arial" w:cs="Arial" w:eastAsia="Arial" w:hint="default"/>
                <w:sz w:val="18"/>
                <w:szCs w:val="18"/>
              </w:rPr>
              <w:t>SKT</w:t>
            </w:r>
            <w:r>
              <w:rPr>
                <w:rFonts w:ascii="Arial" w:hAnsi="Arial" w:cs="Arial" w:eastAsia="Arial" w:hint="default"/>
                <w:spacing w:val="-5"/>
                <w:sz w:val="18"/>
                <w:szCs w:val="18"/>
              </w:rPr>
              <w:t> </w:t>
            </w:r>
            <w:r>
              <w:rPr>
                <w:rFonts w:ascii="宋体" w:hAnsi="宋体" w:cs="宋体" w:eastAsia="宋体" w:hint="default"/>
                <w:sz w:val="18"/>
                <w:szCs w:val="18"/>
              </w:rPr>
              <w:t>持有的股份所支付</w:t>
            </w:r>
          </w:p>
        </w:tc>
        <w:tc>
          <w:tcPr>
            <w:tcW w:w="51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60" w:right="0"/>
              <w:jc w:val="left"/>
              <w:rPr>
                <w:rFonts w:ascii="Arial" w:hAnsi="Arial" w:cs="Arial" w:eastAsia="Arial" w:hint="default"/>
                <w:sz w:val="18"/>
                <w:szCs w:val="18"/>
              </w:rPr>
            </w:pPr>
            <w:r>
              <w:rPr>
                <w:rFonts w:ascii="Arial"/>
                <w:sz w:val="18"/>
              </w:rPr>
              <w:t>(b)</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74"/>
              <w:jc w:val="right"/>
              <w:rPr>
                <w:rFonts w:ascii="Arial" w:hAnsi="Arial" w:cs="Arial" w:eastAsia="Arial" w:hint="default"/>
                <w:sz w:val="18"/>
                <w:szCs w:val="18"/>
              </w:rPr>
            </w:pPr>
            <w:r>
              <w:rPr>
                <w:rFonts w:ascii="Arial"/>
                <w:spacing w:val="-1"/>
                <w:sz w:val="18"/>
              </w:rPr>
              <w:t>(21,570,743)</w:t>
            </w:r>
            <w:r>
              <w:rPr>
                <w:rFonts w:ascii="Arial"/>
                <w:sz w:val="18"/>
              </w:rPr>
            </w:r>
          </w:p>
        </w:tc>
        <w:tc>
          <w:tcPr>
            <w:tcW w:w="813" w:type="dxa"/>
            <w:tcBorders>
              <w:top w:val="nil" w:sz="6" w:space="0" w:color="auto"/>
              <w:left w:val="nil" w:sz="6" w:space="0" w:color="auto"/>
              <w:bottom w:val="nil" w:sz="6" w:space="0" w:color="auto"/>
              <w:right w:val="nil" w:sz="6" w:space="0" w:color="auto"/>
            </w:tcBorders>
          </w:tcPr>
          <w:p>
            <w:pPr>
              <w:pStyle w:val="TableParagraph"/>
              <w:spacing w:line="208" w:lineRule="exact"/>
              <w:ind w:right="95"/>
              <w:jc w:val="right"/>
              <w:rPr>
                <w:rFonts w:ascii="宋体" w:hAnsi="宋体" w:cs="宋体" w:eastAsia="宋体" w:hint="default"/>
                <w:sz w:val="18"/>
                <w:szCs w:val="18"/>
              </w:rPr>
            </w:pPr>
            <w:r>
              <w:rPr>
                <w:rFonts w:ascii="宋体" w:hAnsi="宋体" w:cs="宋体" w:eastAsia="宋体" w:hint="default"/>
                <w:sz w:val="18"/>
                <w:szCs w:val="18"/>
              </w:rPr>
              <w:t>不适用</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138"/>
              <w:jc w:val="right"/>
              <w:rPr>
                <w:rFonts w:ascii="Arial" w:hAnsi="Arial" w:cs="Arial" w:eastAsia="Arial" w:hint="default"/>
                <w:sz w:val="18"/>
                <w:szCs w:val="18"/>
              </w:rPr>
            </w:pPr>
            <w:r>
              <w:rPr>
                <w:rFonts w:ascii="Arial"/>
                <w:w w:val="99"/>
                <w:sz w:val="18"/>
              </w:rPr>
              <w:t>-</w:t>
            </w:r>
            <w:r>
              <w:rPr>
                <w:rFonts w:ascii="Arial"/>
                <w:sz w:val="18"/>
              </w:rPr>
            </w:r>
          </w:p>
        </w:tc>
        <w:tc>
          <w:tcPr>
            <w:tcW w:w="858" w:type="dxa"/>
            <w:tcBorders>
              <w:top w:val="nil" w:sz="6" w:space="0" w:color="auto"/>
              <w:left w:val="nil" w:sz="6" w:space="0" w:color="auto"/>
              <w:bottom w:val="nil" w:sz="6" w:space="0" w:color="auto"/>
              <w:right w:val="nil" w:sz="6" w:space="0" w:color="auto"/>
            </w:tcBorders>
          </w:tcPr>
          <w:p>
            <w:pPr>
              <w:pStyle w:val="TableParagraph"/>
              <w:spacing w:line="208" w:lineRule="exact"/>
              <w:ind w:right="33"/>
              <w:jc w:val="right"/>
              <w:rPr>
                <w:rFonts w:ascii="宋体" w:hAnsi="宋体" w:cs="宋体" w:eastAsia="宋体" w:hint="default"/>
                <w:sz w:val="18"/>
                <w:szCs w:val="18"/>
              </w:rPr>
            </w:pPr>
            <w:r>
              <w:rPr>
                <w:rFonts w:ascii="宋体" w:hAnsi="宋体" w:cs="宋体" w:eastAsia="宋体" w:hint="default"/>
                <w:sz w:val="18"/>
                <w:szCs w:val="18"/>
              </w:rPr>
              <w:t>不适用</w:t>
            </w:r>
          </w:p>
        </w:tc>
      </w:tr>
      <w:tr>
        <w:trPr>
          <w:trHeight w:val="225" w:hRule="exact"/>
        </w:trPr>
        <w:tc>
          <w:tcPr>
            <w:tcW w:w="3695" w:type="dxa"/>
            <w:tcBorders>
              <w:top w:val="nil" w:sz="6" w:space="0" w:color="auto"/>
              <w:left w:val="nil" w:sz="6" w:space="0" w:color="auto"/>
              <w:bottom w:val="nil" w:sz="6" w:space="0" w:color="auto"/>
              <w:right w:val="nil" w:sz="6" w:space="0" w:color="auto"/>
            </w:tcBorders>
          </w:tcPr>
          <w:p>
            <w:pPr>
              <w:pStyle w:val="TableParagraph"/>
              <w:spacing w:line="202" w:lineRule="exact"/>
              <w:ind w:left="582" w:right="0"/>
              <w:jc w:val="left"/>
              <w:rPr>
                <w:rFonts w:ascii="宋体" w:hAnsi="宋体" w:cs="宋体" w:eastAsia="宋体" w:hint="default"/>
                <w:sz w:val="18"/>
                <w:szCs w:val="18"/>
              </w:rPr>
            </w:pPr>
            <w:r>
              <w:rPr>
                <w:rFonts w:ascii="宋体" w:hAnsi="宋体" w:cs="宋体" w:eastAsia="宋体" w:hint="default"/>
                <w:sz w:val="18"/>
                <w:szCs w:val="18"/>
              </w:rPr>
              <w:t>的价款</w:t>
            </w:r>
          </w:p>
        </w:tc>
        <w:tc>
          <w:tcPr>
            <w:tcW w:w="51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64" w:right="0"/>
              <w:jc w:val="left"/>
              <w:rPr>
                <w:rFonts w:ascii="Arial" w:hAnsi="Arial" w:cs="Arial" w:eastAsia="Arial" w:hint="default"/>
                <w:sz w:val="18"/>
                <w:szCs w:val="18"/>
              </w:rPr>
            </w:pPr>
            <w:r>
              <w:rPr>
                <w:rFonts w:ascii="Arial"/>
                <w:sz w:val="18"/>
              </w:rPr>
              <w:t>(c)</w:t>
            </w:r>
          </w:p>
        </w:tc>
        <w:tc>
          <w:tcPr>
            <w:tcW w:w="1636"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73"/>
              <w:jc w:val="right"/>
              <w:rPr>
                <w:rFonts w:ascii="Arial" w:hAnsi="Arial" w:cs="Arial" w:eastAsia="Arial" w:hint="default"/>
                <w:sz w:val="18"/>
                <w:szCs w:val="18"/>
              </w:rPr>
            </w:pPr>
            <w:r>
              <w:rPr>
                <w:rFonts w:ascii="Arial"/>
                <w:spacing w:val="-1"/>
                <w:sz w:val="18"/>
              </w:rPr>
              <w:t>(2,982,386,077)</w:t>
            </w:r>
          </w:p>
        </w:tc>
        <w:tc>
          <w:tcPr>
            <w:tcW w:w="813" w:type="dxa"/>
            <w:tcBorders>
              <w:top w:val="nil" w:sz="6" w:space="0" w:color="auto"/>
              <w:left w:val="nil" w:sz="6" w:space="0" w:color="auto"/>
              <w:bottom w:val="nil" w:sz="6" w:space="0" w:color="auto"/>
              <w:right w:val="nil" w:sz="6" w:space="0" w:color="auto"/>
            </w:tcBorders>
          </w:tcPr>
          <w:p>
            <w:pPr>
              <w:pStyle w:val="TableParagraph"/>
              <w:spacing w:line="203" w:lineRule="exact"/>
              <w:ind w:right="95"/>
              <w:jc w:val="right"/>
              <w:rPr>
                <w:rFonts w:ascii="宋体" w:hAnsi="宋体" w:cs="宋体" w:eastAsia="宋体" w:hint="default"/>
                <w:sz w:val="18"/>
                <w:szCs w:val="18"/>
              </w:rPr>
            </w:pPr>
            <w:r>
              <w:rPr>
                <w:rFonts w:ascii="宋体" w:hAnsi="宋体" w:cs="宋体" w:eastAsia="宋体" w:hint="default"/>
                <w:sz w:val="18"/>
                <w:szCs w:val="18"/>
              </w:rPr>
              <w:t>不适用</w:t>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38"/>
              <w:jc w:val="right"/>
              <w:rPr>
                <w:rFonts w:ascii="Arial" w:hAnsi="Arial" w:cs="Arial" w:eastAsia="Arial" w:hint="default"/>
                <w:sz w:val="18"/>
                <w:szCs w:val="18"/>
              </w:rPr>
            </w:pPr>
            <w:r>
              <w:rPr>
                <w:rFonts w:ascii="Arial"/>
                <w:w w:val="99"/>
                <w:sz w:val="18"/>
              </w:rPr>
              <w:t>-</w:t>
            </w:r>
            <w:r>
              <w:rPr>
                <w:rFonts w:ascii="Arial"/>
                <w:sz w:val="18"/>
              </w:rPr>
            </w:r>
          </w:p>
        </w:tc>
        <w:tc>
          <w:tcPr>
            <w:tcW w:w="858" w:type="dxa"/>
            <w:tcBorders>
              <w:top w:val="nil" w:sz="6" w:space="0" w:color="auto"/>
              <w:left w:val="nil" w:sz="6" w:space="0" w:color="auto"/>
              <w:bottom w:val="nil" w:sz="6" w:space="0" w:color="auto"/>
              <w:right w:val="nil" w:sz="6" w:space="0" w:color="auto"/>
            </w:tcBorders>
          </w:tcPr>
          <w:p>
            <w:pPr>
              <w:pStyle w:val="TableParagraph"/>
              <w:spacing w:line="203" w:lineRule="exact"/>
              <w:ind w:right="33"/>
              <w:jc w:val="right"/>
              <w:rPr>
                <w:rFonts w:ascii="宋体" w:hAnsi="宋体" w:cs="宋体" w:eastAsia="宋体" w:hint="default"/>
                <w:sz w:val="18"/>
                <w:szCs w:val="18"/>
              </w:rPr>
            </w:pPr>
            <w:r>
              <w:rPr>
                <w:rFonts w:ascii="宋体" w:hAnsi="宋体" w:cs="宋体" w:eastAsia="宋体" w:hint="default"/>
                <w:sz w:val="18"/>
                <w:szCs w:val="18"/>
              </w:rPr>
              <w:t>不适用</w:t>
            </w:r>
          </w:p>
        </w:tc>
      </w:tr>
      <w:tr>
        <w:trPr>
          <w:trHeight w:val="237" w:hRule="exact"/>
        </w:trPr>
        <w:tc>
          <w:tcPr>
            <w:tcW w:w="3695" w:type="dxa"/>
            <w:tcBorders>
              <w:top w:val="nil" w:sz="6" w:space="0" w:color="auto"/>
              <w:left w:val="nil" w:sz="6" w:space="0" w:color="auto"/>
              <w:bottom w:val="nil" w:sz="6" w:space="0" w:color="auto"/>
              <w:right w:val="nil" w:sz="6" w:space="0" w:color="auto"/>
            </w:tcBorders>
          </w:tcPr>
          <w:p>
            <w:pPr>
              <w:pStyle w:val="TableParagraph"/>
              <w:spacing w:line="211" w:lineRule="exact"/>
              <w:ind w:left="402" w:right="0"/>
              <w:jc w:val="left"/>
              <w:rPr>
                <w:rFonts w:ascii="宋体" w:hAnsi="宋体" w:cs="宋体" w:eastAsia="宋体" w:hint="default"/>
                <w:sz w:val="18"/>
                <w:szCs w:val="18"/>
              </w:rPr>
            </w:pPr>
            <w:r>
              <w:rPr>
                <w:rFonts w:ascii="宋体" w:hAnsi="宋体" w:cs="宋体" w:eastAsia="宋体" w:hint="default"/>
                <w:sz w:val="18"/>
                <w:szCs w:val="18"/>
              </w:rPr>
              <w:t>因企业合并导致的对子公司持股比</w:t>
            </w:r>
          </w:p>
        </w:tc>
        <w:tc>
          <w:tcPr>
            <w:tcW w:w="515" w:type="dxa"/>
            <w:tcBorders>
              <w:top w:val="nil" w:sz="6" w:space="0" w:color="auto"/>
              <w:left w:val="nil" w:sz="6" w:space="0" w:color="auto"/>
              <w:bottom w:val="nil" w:sz="6" w:space="0" w:color="auto"/>
              <w:right w:val="nil" w:sz="6" w:space="0" w:color="auto"/>
            </w:tcBorders>
          </w:tcPr>
          <w:p>
            <w:pPr/>
          </w:p>
        </w:tc>
        <w:tc>
          <w:tcPr>
            <w:tcW w:w="1636" w:type="dxa"/>
            <w:tcBorders>
              <w:top w:val="nil" w:sz="6" w:space="0" w:color="auto"/>
              <w:left w:val="nil" w:sz="6" w:space="0" w:color="auto"/>
              <w:bottom w:val="nil" w:sz="6" w:space="0" w:color="auto"/>
              <w:right w:val="nil" w:sz="6" w:space="0" w:color="auto"/>
            </w:tcBorders>
          </w:tcPr>
          <w:p>
            <w:pPr/>
          </w:p>
        </w:tc>
        <w:tc>
          <w:tcPr>
            <w:tcW w:w="813" w:type="dxa"/>
            <w:tcBorders>
              <w:top w:val="nil" w:sz="6" w:space="0" w:color="auto"/>
              <w:left w:val="nil" w:sz="6" w:space="0" w:color="auto"/>
              <w:bottom w:val="nil" w:sz="6" w:space="0" w:color="auto"/>
              <w:right w:val="nil" w:sz="6" w:space="0" w:color="auto"/>
            </w:tcBorders>
          </w:tcPr>
          <w:p>
            <w:pPr/>
          </w:p>
        </w:tc>
        <w:tc>
          <w:tcPr>
            <w:tcW w:w="1470" w:type="dxa"/>
            <w:tcBorders>
              <w:top w:val="nil" w:sz="6" w:space="0" w:color="auto"/>
              <w:left w:val="nil" w:sz="6" w:space="0" w:color="auto"/>
              <w:bottom w:val="nil" w:sz="6" w:space="0" w:color="auto"/>
              <w:right w:val="nil" w:sz="6" w:space="0" w:color="auto"/>
            </w:tcBorders>
          </w:tcPr>
          <w:p>
            <w:pPr/>
          </w:p>
        </w:tc>
        <w:tc>
          <w:tcPr>
            <w:tcW w:w="858" w:type="dxa"/>
            <w:tcBorders>
              <w:top w:val="nil" w:sz="6" w:space="0" w:color="auto"/>
              <w:left w:val="nil" w:sz="6" w:space="0" w:color="auto"/>
              <w:bottom w:val="nil" w:sz="6" w:space="0" w:color="auto"/>
              <w:right w:val="nil" w:sz="6" w:space="0" w:color="auto"/>
            </w:tcBorders>
          </w:tcPr>
          <w:p>
            <w:pPr/>
          </w:p>
        </w:tc>
      </w:tr>
      <w:tr>
        <w:trPr>
          <w:trHeight w:val="467" w:hRule="exact"/>
        </w:trPr>
        <w:tc>
          <w:tcPr>
            <w:tcW w:w="3695" w:type="dxa"/>
            <w:tcBorders>
              <w:top w:val="nil" w:sz="6" w:space="0" w:color="auto"/>
              <w:left w:val="nil" w:sz="6" w:space="0" w:color="auto"/>
              <w:bottom w:val="nil" w:sz="6" w:space="0" w:color="auto"/>
              <w:right w:val="nil" w:sz="6" w:space="0" w:color="auto"/>
            </w:tcBorders>
          </w:tcPr>
          <w:p>
            <w:pPr>
              <w:pStyle w:val="TableParagraph"/>
              <w:spacing w:line="206" w:lineRule="exact"/>
              <w:ind w:left="582" w:right="0"/>
              <w:jc w:val="left"/>
              <w:rPr>
                <w:rFonts w:ascii="宋体" w:hAnsi="宋体" w:cs="宋体" w:eastAsia="宋体" w:hint="default"/>
                <w:sz w:val="18"/>
                <w:szCs w:val="18"/>
              </w:rPr>
            </w:pPr>
            <w:r>
              <w:rPr>
                <w:rFonts w:ascii="宋体" w:hAnsi="宋体" w:cs="宋体" w:eastAsia="宋体" w:hint="default"/>
                <w:sz w:val="18"/>
                <w:szCs w:val="18"/>
              </w:rPr>
              <w:t>例变化的影响</w:t>
            </w:r>
          </w:p>
          <w:p>
            <w:pPr>
              <w:pStyle w:val="TableParagraph"/>
              <w:spacing w:line="235" w:lineRule="exact"/>
              <w:ind w:left="402" w:right="0"/>
              <w:jc w:val="left"/>
              <w:rPr>
                <w:rFonts w:ascii="宋体" w:hAnsi="宋体" w:cs="宋体" w:eastAsia="宋体" w:hint="default"/>
                <w:sz w:val="18"/>
                <w:szCs w:val="18"/>
              </w:rPr>
            </w:pPr>
            <w:r>
              <w:rPr>
                <w:rFonts w:ascii="宋体" w:hAnsi="宋体" w:cs="宋体" w:eastAsia="宋体" w:hint="default"/>
                <w:sz w:val="18"/>
                <w:szCs w:val="18"/>
              </w:rPr>
              <w:t>子公司企业改制以前年度未分配利润</w:t>
            </w:r>
          </w:p>
        </w:tc>
        <w:tc>
          <w:tcPr>
            <w:tcW w:w="515" w:type="dxa"/>
            <w:tcBorders>
              <w:top w:val="nil" w:sz="6" w:space="0" w:color="auto"/>
              <w:left w:val="nil" w:sz="6" w:space="0" w:color="auto"/>
              <w:bottom w:val="nil" w:sz="6" w:space="0" w:color="auto"/>
              <w:right w:val="nil" w:sz="6" w:space="0" w:color="auto"/>
            </w:tcBorders>
          </w:tcPr>
          <w:p>
            <w:pPr>
              <w:pStyle w:val="TableParagraph"/>
              <w:spacing w:line="240" w:lineRule="auto" w:before="26"/>
              <w:ind w:left="60" w:right="0"/>
              <w:jc w:val="left"/>
              <w:rPr>
                <w:rFonts w:ascii="Arial" w:hAnsi="Arial" w:cs="Arial" w:eastAsia="Arial" w:hint="default"/>
                <w:sz w:val="18"/>
                <w:szCs w:val="18"/>
              </w:rPr>
            </w:pPr>
            <w:r>
              <w:rPr>
                <w:rFonts w:ascii="Arial"/>
                <w:sz w:val="18"/>
              </w:rPr>
              <w:t>(d)</w:t>
            </w:r>
          </w:p>
        </w:tc>
        <w:tc>
          <w:tcPr>
            <w:tcW w:w="2449" w:type="dxa"/>
            <w:gridSpan w:val="2"/>
            <w:tcBorders>
              <w:top w:val="nil" w:sz="6" w:space="0" w:color="auto"/>
              <w:left w:val="nil" w:sz="6" w:space="0" w:color="auto"/>
              <w:bottom w:val="nil" w:sz="6" w:space="0" w:color="auto"/>
              <w:right w:val="nil" w:sz="6" w:space="0" w:color="auto"/>
            </w:tcBorders>
          </w:tcPr>
          <w:p>
            <w:pPr>
              <w:pStyle w:val="TableParagraph"/>
              <w:tabs>
                <w:tab w:pos="1812" w:val="left" w:leader="none"/>
              </w:tabs>
              <w:spacing w:line="234" w:lineRule="exact"/>
              <w:ind w:left="1340" w:right="0"/>
              <w:jc w:val="left"/>
              <w:rPr>
                <w:rFonts w:ascii="宋体" w:hAnsi="宋体" w:cs="宋体" w:eastAsia="宋体" w:hint="default"/>
                <w:sz w:val="18"/>
                <w:szCs w:val="18"/>
              </w:rPr>
            </w:pPr>
            <w:r>
              <w:rPr>
                <w:rFonts w:ascii="Arial" w:hAnsi="Arial" w:cs="Arial" w:eastAsia="Arial" w:hint="default"/>
                <w:sz w:val="18"/>
                <w:szCs w:val="18"/>
              </w:rPr>
              <w:t>-</w:t>
              <w:tab/>
            </w:r>
            <w:r>
              <w:rPr>
                <w:rFonts w:ascii="宋体" w:hAnsi="宋体" w:cs="宋体" w:eastAsia="宋体" w:hint="default"/>
                <w:position w:val="1"/>
                <w:sz w:val="18"/>
                <w:szCs w:val="18"/>
              </w:rPr>
              <w:t>不适用</w:t>
            </w:r>
            <w:r>
              <w:rPr>
                <w:rFonts w:ascii="宋体" w:hAnsi="宋体" w:cs="宋体" w:eastAsia="宋体" w:hint="default"/>
                <w:sz w:val="18"/>
                <w:szCs w:val="18"/>
              </w:rPr>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78"/>
              <w:jc w:val="right"/>
              <w:rPr>
                <w:rFonts w:ascii="Arial" w:hAnsi="Arial" w:cs="Arial" w:eastAsia="Arial" w:hint="default"/>
                <w:sz w:val="18"/>
                <w:szCs w:val="18"/>
              </w:rPr>
            </w:pPr>
            <w:r>
              <w:rPr>
                <w:rFonts w:ascii="Arial"/>
                <w:spacing w:val="-1"/>
                <w:sz w:val="18"/>
              </w:rPr>
              <w:t>(7,145,802,327)</w:t>
            </w:r>
          </w:p>
        </w:tc>
        <w:tc>
          <w:tcPr>
            <w:tcW w:w="858" w:type="dxa"/>
            <w:tcBorders>
              <w:top w:val="nil" w:sz="6" w:space="0" w:color="auto"/>
              <w:left w:val="nil" w:sz="6" w:space="0" w:color="auto"/>
              <w:bottom w:val="nil" w:sz="6" w:space="0" w:color="auto"/>
              <w:right w:val="nil" w:sz="6" w:space="0" w:color="auto"/>
            </w:tcBorders>
          </w:tcPr>
          <w:p>
            <w:pPr>
              <w:pStyle w:val="TableParagraph"/>
              <w:spacing w:line="208" w:lineRule="exact"/>
              <w:ind w:right="33"/>
              <w:jc w:val="right"/>
              <w:rPr>
                <w:rFonts w:ascii="宋体" w:hAnsi="宋体" w:cs="宋体" w:eastAsia="宋体" w:hint="default"/>
                <w:sz w:val="18"/>
                <w:szCs w:val="18"/>
              </w:rPr>
            </w:pPr>
            <w:r>
              <w:rPr>
                <w:rFonts w:ascii="宋体" w:hAnsi="宋体" w:cs="宋体" w:eastAsia="宋体" w:hint="default"/>
                <w:sz w:val="18"/>
                <w:szCs w:val="18"/>
              </w:rPr>
              <w:t>不适用</w:t>
            </w:r>
          </w:p>
        </w:tc>
      </w:tr>
      <w:tr>
        <w:trPr>
          <w:trHeight w:val="245" w:hRule="exact"/>
        </w:trPr>
        <w:tc>
          <w:tcPr>
            <w:tcW w:w="3695" w:type="dxa"/>
            <w:tcBorders>
              <w:top w:val="nil" w:sz="6" w:space="0" w:color="auto"/>
              <w:left w:val="nil" w:sz="6" w:space="0" w:color="auto"/>
              <w:bottom w:val="nil" w:sz="6" w:space="0" w:color="auto"/>
              <w:right w:val="nil" w:sz="6" w:space="0" w:color="auto"/>
            </w:tcBorders>
          </w:tcPr>
          <w:p>
            <w:pPr>
              <w:pStyle w:val="TableParagraph"/>
              <w:spacing w:line="219" w:lineRule="exact"/>
              <w:ind w:left="582" w:right="0"/>
              <w:jc w:val="left"/>
              <w:rPr>
                <w:rFonts w:ascii="宋体" w:hAnsi="宋体" w:cs="宋体" w:eastAsia="宋体" w:hint="default"/>
                <w:sz w:val="18"/>
                <w:szCs w:val="18"/>
              </w:rPr>
            </w:pPr>
            <w:r>
              <w:rPr>
                <w:rFonts w:ascii="宋体" w:hAnsi="宋体" w:cs="宋体" w:eastAsia="宋体" w:hint="default"/>
                <w:sz w:val="18"/>
                <w:szCs w:val="18"/>
              </w:rPr>
              <w:t>转为资本公积（附注五</w:t>
            </w:r>
            <w:r>
              <w:rPr>
                <w:rFonts w:ascii="Arial" w:hAnsi="Arial" w:cs="Arial" w:eastAsia="Arial" w:hint="default"/>
                <w:sz w:val="18"/>
                <w:szCs w:val="18"/>
              </w:rPr>
              <w:t>(31)(h)</w:t>
            </w:r>
            <w:r>
              <w:rPr>
                <w:rFonts w:ascii="宋体" w:hAnsi="宋体" w:cs="宋体" w:eastAsia="宋体" w:hint="default"/>
                <w:sz w:val="18"/>
                <w:szCs w:val="18"/>
              </w:rPr>
              <w:t>）</w:t>
            </w:r>
          </w:p>
        </w:tc>
        <w:tc>
          <w:tcPr>
            <w:tcW w:w="515" w:type="dxa"/>
            <w:tcBorders>
              <w:top w:val="nil" w:sz="6" w:space="0" w:color="auto"/>
              <w:left w:val="nil" w:sz="6" w:space="0" w:color="auto"/>
              <w:bottom w:val="nil" w:sz="6" w:space="0" w:color="auto"/>
              <w:right w:val="nil" w:sz="6" w:space="0" w:color="auto"/>
            </w:tcBorders>
          </w:tcPr>
          <w:p>
            <w:pPr/>
          </w:p>
        </w:tc>
        <w:tc>
          <w:tcPr>
            <w:tcW w:w="2449" w:type="dxa"/>
            <w:gridSpan w:val="2"/>
            <w:tcBorders>
              <w:top w:val="nil" w:sz="6" w:space="0" w:color="auto"/>
              <w:left w:val="nil" w:sz="6" w:space="0" w:color="auto"/>
              <w:bottom w:val="nil" w:sz="6" w:space="0" w:color="auto"/>
              <w:right w:val="nil" w:sz="6" w:space="0" w:color="auto"/>
            </w:tcBorders>
          </w:tcPr>
          <w:p>
            <w:pPr>
              <w:pStyle w:val="TableParagraph"/>
              <w:tabs>
                <w:tab w:pos="1812" w:val="left" w:leader="none"/>
              </w:tabs>
              <w:spacing w:line="234" w:lineRule="exact"/>
              <w:ind w:left="1340" w:right="0"/>
              <w:jc w:val="left"/>
              <w:rPr>
                <w:rFonts w:ascii="宋体" w:hAnsi="宋体" w:cs="宋体" w:eastAsia="宋体" w:hint="default"/>
                <w:sz w:val="18"/>
                <w:szCs w:val="18"/>
              </w:rPr>
            </w:pPr>
            <w:r>
              <w:rPr>
                <w:rFonts w:ascii="Arial" w:hAnsi="Arial" w:cs="Arial" w:eastAsia="Arial" w:hint="default"/>
                <w:sz w:val="18"/>
                <w:szCs w:val="18"/>
              </w:rPr>
              <w:t>-</w:t>
              <w:tab/>
            </w:r>
            <w:r>
              <w:rPr>
                <w:rFonts w:ascii="宋体" w:hAnsi="宋体" w:cs="宋体" w:eastAsia="宋体" w:hint="default"/>
                <w:position w:val="1"/>
                <w:sz w:val="18"/>
                <w:szCs w:val="18"/>
              </w:rPr>
              <w:t>不适用</w:t>
            </w:r>
            <w:r>
              <w:rPr>
                <w:rFonts w:ascii="宋体" w:hAnsi="宋体" w:cs="宋体" w:eastAsia="宋体" w:hint="default"/>
                <w:sz w:val="18"/>
                <w:szCs w:val="18"/>
              </w:rPr>
            </w:r>
          </w:p>
        </w:tc>
        <w:tc>
          <w:tcPr>
            <w:tcW w:w="147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80"/>
              <w:jc w:val="right"/>
              <w:rPr>
                <w:rFonts w:ascii="Arial" w:hAnsi="Arial" w:cs="Arial" w:eastAsia="Arial" w:hint="default"/>
                <w:sz w:val="18"/>
                <w:szCs w:val="18"/>
              </w:rPr>
            </w:pPr>
            <w:r>
              <w:rPr>
                <w:rFonts w:ascii="Arial"/>
                <w:spacing w:val="-1"/>
                <w:sz w:val="18"/>
              </w:rPr>
              <w:t>(286,641,018)</w:t>
            </w:r>
            <w:r>
              <w:rPr>
                <w:rFonts w:ascii="Arial"/>
                <w:sz w:val="18"/>
              </w:rPr>
            </w:r>
          </w:p>
        </w:tc>
        <w:tc>
          <w:tcPr>
            <w:tcW w:w="858" w:type="dxa"/>
            <w:tcBorders>
              <w:top w:val="nil" w:sz="6" w:space="0" w:color="auto"/>
              <w:left w:val="nil" w:sz="6" w:space="0" w:color="auto"/>
              <w:bottom w:val="nil" w:sz="6" w:space="0" w:color="auto"/>
              <w:right w:val="nil" w:sz="6" w:space="0" w:color="auto"/>
            </w:tcBorders>
          </w:tcPr>
          <w:p>
            <w:pPr>
              <w:pStyle w:val="TableParagraph"/>
              <w:spacing w:line="208" w:lineRule="exact"/>
              <w:ind w:right="33"/>
              <w:jc w:val="right"/>
              <w:rPr>
                <w:rFonts w:ascii="宋体" w:hAnsi="宋体" w:cs="宋体" w:eastAsia="宋体" w:hint="default"/>
                <w:sz w:val="18"/>
                <w:szCs w:val="18"/>
              </w:rPr>
            </w:pPr>
            <w:r>
              <w:rPr>
                <w:rFonts w:ascii="宋体" w:hAnsi="宋体" w:cs="宋体" w:eastAsia="宋体" w:hint="default"/>
                <w:sz w:val="18"/>
                <w:szCs w:val="18"/>
              </w:rPr>
              <w:t>不适用</w:t>
            </w:r>
          </w:p>
        </w:tc>
      </w:tr>
      <w:tr>
        <w:trPr>
          <w:trHeight w:val="241" w:hRule="exact"/>
        </w:trPr>
        <w:tc>
          <w:tcPr>
            <w:tcW w:w="3695" w:type="dxa"/>
            <w:tcBorders>
              <w:top w:val="nil" w:sz="6" w:space="0" w:color="auto"/>
              <w:left w:val="nil" w:sz="6" w:space="0" w:color="auto"/>
              <w:bottom w:val="nil" w:sz="6" w:space="0" w:color="auto"/>
              <w:right w:val="nil" w:sz="6" w:space="0" w:color="auto"/>
            </w:tcBorders>
          </w:tcPr>
          <w:p>
            <w:pPr>
              <w:pStyle w:val="TableParagraph"/>
              <w:spacing w:line="195" w:lineRule="exact"/>
              <w:ind w:left="40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51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60" w:right="0"/>
              <w:jc w:val="left"/>
              <w:rPr>
                <w:rFonts w:ascii="Arial" w:hAnsi="Arial" w:cs="Arial" w:eastAsia="Arial" w:hint="default"/>
                <w:sz w:val="18"/>
                <w:szCs w:val="18"/>
              </w:rPr>
            </w:pPr>
            <w:r>
              <w:rPr>
                <w:rFonts w:ascii="Arial"/>
                <w:sz w:val="18"/>
              </w:rPr>
              <w:t>(e)</w:t>
            </w:r>
          </w:p>
        </w:tc>
        <w:tc>
          <w:tcPr>
            <w:tcW w:w="2449" w:type="dxa"/>
            <w:gridSpan w:val="2"/>
            <w:tcBorders>
              <w:top w:val="nil" w:sz="6" w:space="0" w:color="auto"/>
              <w:left w:val="nil" w:sz="6" w:space="0" w:color="auto"/>
              <w:bottom w:val="nil" w:sz="6" w:space="0" w:color="auto"/>
              <w:right w:val="nil" w:sz="6" w:space="0" w:color="auto"/>
            </w:tcBorders>
          </w:tcPr>
          <w:p>
            <w:pPr>
              <w:pStyle w:val="TableParagraph"/>
              <w:tabs>
                <w:tab w:pos="1812" w:val="left" w:leader="none"/>
              </w:tabs>
              <w:spacing w:line="221" w:lineRule="exact"/>
              <w:ind w:left="7" w:right="0"/>
              <w:jc w:val="left"/>
              <w:rPr>
                <w:rFonts w:ascii="宋体" w:hAnsi="宋体" w:cs="宋体" w:eastAsia="宋体" w:hint="default"/>
                <w:sz w:val="18"/>
                <w:szCs w:val="18"/>
              </w:rPr>
            </w:pPr>
            <w:r>
              <w:rPr>
                <w:rFonts w:ascii="Arial" w:hAnsi="Arial" w:cs="Arial" w:eastAsia="Arial" w:hint="default"/>
                <w:w w:val="100"/>
                <w:sz w:val="18"/>
                <w:szCs w:val="18"/>
              </w:rPr>
            </w:r>
            <w:r>
              <w:rPr>
                <w:rFonts w:ascii="Arial" w:hAnsi="Arial" w:cs="Arial" w:eastAsia="Arial" w:hint="default"/>
                <w:w w:val="100"/>
                <w:sz w:val="18"/>
                <w:szCs w:val="18"/>
                <w:u w:val="single" w:color="000000"/>
              </w:rPr>
              <w:t> </w:t>
            </w:r>
            <w:r>
              <w:rPr>
                <w:rFonts w:ascii="Arial" w:hAnsi="Arial" w:cs="Arial" w:eastAsia="Arial" w:hint="default"/>
                <w:sz w:val="18"/>
                <w:szCs w:val="18"/>
                <w:u w:val="single" w:color="000000"/>
              </w:rPr>
              <w:t>  </w:t>
            </w:r>
            <w:r>
              <w:rPr>
                <w:rFonts w:ascii="Arial" w:hAnsi="Arial" w:cs="Arial" w:eastAsia="Arial" w:hint="default"/>
                <w:spacing w:val="-18"/>
                <w:sz w:val="18"/>
                <w:szCs w:val="18"/>
                <w:u w:val="single" w:color="000000"/>
              </w:rPr>
              <w:t> </w:t>
            </w:r>
            <w:r>
              <w:rPr>
                <w:rFonts w:ascii="Arial" w:hAnsi="Arial" w:cs="Arial" w:eastAsia="Arial" w:hint="default"/>
                <w:spacing w:val="-1"/>
                <w:sz w:val="18"/>
                <w:szCs w:val="18"/>
                <w:u w:val="single" w:color="000000"/>
              </w:rPr>
              <w:t>(1,424,411,278)</w:t>
            </w:r>
            <w:r>
              <w:rPr>
                <w:rFonts w:ascii="Arial" w:hAnsi="Arial" w:cs="Arial" w:eastAsia="Arial" w:hint="default"/>
                <w:spacing w:val="-1"/>
                <w:sz w:val="18"/>
                <w:szCs w:val="18"/>
              </w:rPr>
              <w:tab/>
            </w:r>
            <w:r>
              <w:rPr>
                <w:rFonts w:ascii="宋体" w:hAnsi="宋体" w:cs="宋体" w:eastAsia="宋体" w:hint="default"/>
                <w:position w:val="1"/>
                <w:sz w:val="18"/>
                <w:szCs w:val="18"/>
              </w:rPr>
              <w:t>不适用</w:t>
            </w:r>
            <w:r>
              <w:rPr>
                <w:rFonts w:ascii="宋体" w:hAnsi="宋体" w:cs="宋体" w:eastAsia="宋体" w:hint="default"/>
                <w:sz w:val="18"/>
                <w:szCs w:val="18"/>
              </w:rPr>
            </w:r>
          </w:p>
        </w:tc>
        <w:tc>
          <w:tcPr>
            <w:tcW w:w="1470" w:type="dxa"/>
            <w:tcBorders>
              <w:top w:val="nil" w:sz="6" w:space="0" w:color="auto"/>
              <w:left w:val="nil" w:sz="6" w:space="0" w:color="auto"/>
              <w:bottom w:val="nil" w:sz="6" w:space="0" w:color="auto"/>
              <w:right w:val="nil" w:sz="6" w:space="0" w:color="auto"/>
            </w:tcBorders>
          </w:tcPr>
          <w:p>
            <w:pPr>
              <w:pStyle w:val="TableParagraph"/>
              <w:tabs>
                <w:tab w:pos="1455" w:val="left" w:leader="none"/>
              </w:tabs>
              <w:spacing w:line="240" w:lineRule="auto" w:before="14"/>
              <w:ind w:right="5"/>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pacing w:val="11"/>
                <w:sz w:val="18"/>
                <w:u w:val="single" w:color="000000"/>
              </w:rPr>
              <w:t> </w:t>
            </w:r>
            <w:r>
              <w:rPr>
                <w:rFonts w:ascii="Arial"/>
                <w:spacing w:val="-1"/>
                <w:sz w:val="18"/>
                <w:u w:val="single" w:color="000000"/>
              </w:rPr>
              <w:t>(2,599,933,432)</w:t>
              <w:tab/>
            </w:r>
            <w:r>
              <w:rPr>
                <w:rFonts w:ascii="Arial"/>
                <w:spacing w:val="-1"/>
                <w:sz w:val="18"/>
              </w:rPr>
            </w:r>
          </w:p>
        </w:tc>
        <w:tc>
          <w:tcPr>
            <w:tcW w:w="858" w:type="dxa"/>
            <w:tcBorders>
              <w:top w:val="nil" w:sz="6" w:space="0" w:color="auto"/>
              <w:left w:val="nil" w:sz="6" w:space="0" w:color="auto"/>
              <w:bottom w:val="nil" w:sz="6" w:space="0" w:color="auto"/>
              <w:right w:val="nil" w:sz="6" w:space="0" w:color="auto"/>
            </w:tcBorders>
          </w:tcPr>
          <w:p>
            <w:pPr>
              <w:pStyle w:val="TableParagraph"/>
              <w:spacing w:line="195" w:lineRule="exact"/>
              <w:ind w:right="33"/>
              <w:jc w:val="right"/>
              <w:rPr>
                <w:rFonts w:ascii="宋体" w:hAnsi="宋体" w:cs="宋体" w:eastAsia="宋体" w:hint="default"/>
                <w:sz w:val="18"/>
                <w:szCs w:val="18"/>
              </w:rPr>
            </w:pPr>
            <w:r>
              <w:rPr>
                <w:rFonts w:ascii="宋体" w:hAnsi="宋体" w:cs="宋体" w:eastAsia="宋体" w:hint="default"/>
                <w:sz w:val="18"/>
                <w:szCs w:val="18"/>
              </w:rPr>
              <w:t>不适用</w:t>
            </w:r>
          </w:p>
        </w:tc>
      </w:tr>
      <w:tr>
        <w:trPr>
          <w:trHeight w:val="255" w:hRule="exact"/>
        </w:trPr>
        <w:tc>
          <w:tcPr>
            <w:tcW w:w="3695" w:type="dxa"/>
            <w:tcBorders>
              <w:top w:val="nil" w:sz="6" w:space="0" w:color="auto"/>
              <w:left w:val="nil" w:sz="6" w:space="0" w:color="auto"/>
              <w:bottom w:val="nil" w:sz="6" w:space="0" w:color="auto"/>
              <w:right w:val="nil" w:sz="6" w:space="0" w:color="auto"/>
            </w:tcBorders>
          </w:tcPr>
          <w:p>
            <w:pPr>
              <w:pStyle w:val="TableParagraph"/>
              <w:spacing w:line="203" w:lineRule="exact"/>
              <w:ind w:left="35" w:right="0"/>
              <w:jc w:val="left"/>
              <w:rPr>
                <w:rFonts w:ascii="宋体" w:hAnsi="宋体" w:cs="宋体" w:eastAsia="宋体" w:hint="default"/>
                <w:sz w:val="18"/>
                <w:szCs w:val="18"/>
              </w:rPr>
            </w:pPr>
            <w:r>
              <w:rPr>
                <w:rFonts w:ascii="宋体" w:hAnsi="宋体" w:cs="宋体" w:eastAsia="宋体" w:hint="default"/>
                <w:sz w:val="18"/>
                <w:szCs w:val="18"/>
              </w:rPr>
              <w:t>年末未分配利润</w:t>
            </w:r>
          </w:p>
        </w:tc>
        <w:tc>
          <w:tcPr>
            <w:tcW w:w="515" w:type="dxa"/>
            <w:tcBorders>
              <w:top w:val="nil" w:sz="6" w:space="0" w:color="auto"/>
              <w:left w:val="nil" w:sz="6" w:space="0" w:color="auto"/>
              <w:bottom w:val="nil" w:sz="6" w:space="0" w:color="auto"/>
              <w:right w:val="nil" w:sz="6" w:space="0" w:color="auto"/>
            </w:tcBorders>
          </w:tcPr>
          <w:p>
            <w:pPr/>
          </w:p>
        </w:tc>
        <w:tc>
          <w:tcPr>
            <w:tcW w:w="2449" w:type="dxa"/>
            <w:gridSpan w:val="2"/>
            <w:tcBorders>
              <w:top w:val="nil" w:sz="6" w:space="0" w:color="auto"/>
              <w:left w:val="nil" w:sz="6" w:space="0" w:color="auto"/>
              <w:bottom w:val="nil" w:sz="6" w:space="0" w:color="auto"/>
              <w:right w:val="nil" w:sz="6" w:space="0" w:color="auto"/>
            </w:tcBorders>
          </w:tcPr>
          <w:p>
            <w:pPr>
              <w:pStyle w:val="TableParagraph"/>
              <w:tabs>
                <w:tab w:pos="1812" w:val="left" w:leader="none"/>
              </w:tabs>
              <w:spacing w:line="229" w:lineRule="exact"/>
              <w:ind w:left="150" w:right="0"/>
              <w:jc w:val="left"/>
              <w:rPr>
                <w:rFonts w:ascii="宋体" w:hAnsi="宋体" w:cs="宋体" w:eastAsia="宋体" w:hint="default"/>
                <w:sz w:val="18"/>
                <w:szCs w:val="18"/>
              </w:rPr>
            </w:pPr>
            <w:r>
              <w:rPr>
                <w:rFonts w:ascii="Arial" w:hAnsi="Arial" w:cs="Arial" w:eastAsia="Arial" w:hint="default"/>
                <w:spacing w:val="-1"/>
                <w:sz w:val="18"/>
                <w:szCs w:val="18"/>
              </w:rPr>
              <w:t>21,188,259,723</w:t>
              <w:tab/>
            </w:r>
            <w:r>
              <w:rPr>
                <w:rFonts w:ascii="宋体" w:hAnsi="宋体" w:cs="宋体" w:eastAsia="宋体" w:hint="default"/>
                <w:position w:val="1"/>
                <w:sz w:val="18"/>
                <w:szCs w:val="18"/>
              </w:rPr>
              <w:t>不适用</w:t>
            </w:r>
            <w:r>
              <w:rPr>
                <w:rFonts w:ascii="宋体" w:hAnsi="宋体" w:cs="宋体" w:eastAsia="宋体" w:hint="default"/>
                <w:sz w:val="18"/>
                <w:szCs w:val="18"/>
              </w:rPr>
            </w:r>
          </w:p>
        </w:tc>
        <w:tc>
          <w:tcPr>
            <w:tcW w:w="1470" w:type="dxa"/>
            <w:tcBorders>
              <w:top w:val="nil" w:sz="6" w:space="0" w:color="auto"/>
              <w:left w:val="nil" w:sz="6" w:space="0" w:color="auto"/>
              <w:bottom w:val="single" w:sz="17" w:space="0" w:color="000000"/>
              <w:right w:val="nil" w:sz="6" w:space="0" w:color="auto"/>
            </w:tcBorders>
          </w:tcPr>
          <w:p>
            <w:pPr>
              <w:pStyle w:val="TableParagraph"/>
              <w:spacing w:line="240" w:lineRule="auto" w:before="22"/>
              <w:ind w:left="79" w:right="0"/>
              <w:jc w:val="left"/>
              <w:rPr>
                <w:rFonts w:ascii="Arial" w:hAnsi="Arial" w:cs="Arial" w:eastAsia="Arial" w:hint="default"/>
                <w:sz w:val="18"/>
                <w:szCs w:val="18"/>
              </w:rPr>
            </w:pPr>
            <w:r>
              <w:rPr>
                <w:rFonts w:ascii="Arial"/>
                <w:sz w:val="18"/>
              </w:rPr>
              <w:t>22,637,992,941</w:t>
            </w:r>
          </w:p>
        </w:tc>
        <w:tc>
          <w:tcPr>
            <w:tcW w:w="858" w:type="dxa"/>
            <w:tcBorders>
              <w:top w:val="nil" w:sz="6" w:space="0" w:color="auto"/>
              <w:left w:val="nil" w:sz="6" w:space="0" w:color="auto"/>
              <w:bottom w:val="nil" w:sz="6" w:space="0" w:color="auto"/>
              <w:right w:val="nil" w:sz="6" w:space="0" w:color="auto"/>
            </w:tcBorders>
          </w:tcPr>
          <w:p>
            <w:pPr>
              <w:pStyle w:val="TableParagraph"/>
              <w:spacing w:line="203" w:lineRule="exact"/>
              <w:ind w:right="33"/>
              <w:jc w:val="righ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7"/>
        <w:rPr>
          <w:rFonts w:ascii="宋体" w:hAnsi="宋体" w:cs="宋体" w:eastAsia="宋体" w:hint="default"/>
          <w:sz w:val="12"/>
          <w:szCs w:val="12"/>
        </w:rPr>
      </w:pPr>
    </w:p>
    <w:p>
      <w:pPr>
        <w:pStyle w:val="BodyText"/>
        <w:spacing w:line="295" w:lineRule="exact" w:before="31"/>
        <w:ind w:left="458" w:right="125"/>
        <w:jc w:val="left"/>
        <w:rPr>
          <w:rFonts w:ascii="Arial" w:hAnsi="Arial" w:cs="Arial" w:eastAsia="Arial" w:hint="default"/>
        </w:rPr>
      </w:pPr>
      <w:r>
        <w:rPr>
          <w:w w:val="99"/>
        </w:rPr>
        <w:t>于</w:t>
      </w:r>
      <w:r>
        <w:rPr>
          <w:spacing w:val="-56"/>
        </w:rPr>
        <w:t> </w:t>
      </w:r>
      <w:r>
        <w:rPr>
          <w:rFonts w:ascii="Arial" w:hAnsi="Arial" w:cs="Arial" w:eastAsia="Arial" w:hint="default"/>
          <w:w w:val="99"/>
        </w:rPr>
        <w:t>2009</w:t>
      </w:r>
      <w:r>
        <w:rPr>
          <w:rFonts w:ascii="Arial" w:hAnsi="Arial" w:cs="Arial" w:eastAsia="Arial" w:hint="default"/>
          <w:spacing w:val="-7"/>
        </w:rPr>
        <w:t> </w:t>
      </w:r>
      <w:r>
        <w:rPr>
          <w:w w:val="99"/>
        </w:rPr>
        <w:t>年</w:t>
      </w:r>
      <w:r>
        <w:rPr>
          <w:spacing w:val="-56"/>
        </w:rPr>
        <w:t> </w:t>
      </w:r>
      <w:r>
        <w:rPr>
          <w:rFonts w:ascii="Arial" w:hAnsi="Arial" w:cs="Arial" w:eastAsia="Arial" w:hint="default"/>
          <w:w w:val="99"/>
        </w:rPr>
        <w:t>12</w:t>
      </w:r>
      <w:r>
        <w:rPr>
          <w:rFonts w:ascii="Arial" w:hAnsi="Arial" w:cs="Arial" w:eastAsia="Arial" w:hint="default"/>
          <w:spacing w:val="-7"/>
        </w:rPr>
        <w:t> </w:t>
      </w:r>
      <w:r>
        <w:rPr>
          <w:w w:val="99"/>
        </w:rPr>
        <w:t>月</w:t>
      </w:r>
      <w:r>
        <w:rPr>
          <w:spacing w:val="-56"/>
        </w:rPr>
        <w:t> </w:t>
      </w:r>
      <w:r>
        <w:rPr>
          <w:rFonts w:ascii="Arial" w:hAnsi="Arial" w:cs="Arial" w:eastAsia="Arial" w:hint="default"/>
          <w:w w:val="99"/>
        </w:rPr>
        <w:t>31</w:t>
      </w:r>
      <w:r>
        <w:rPr>
          <w:rFonts w:ascii="Arial" w:hAnsi="Arial" w:cs="Arial" w:eastAsia="Arial" w:hint="default"/>
          <w:spacing w:val="-7"/>
        </w:rPr>
        <w:t> </w:t>
      </w:r>
      <w:r>
        <w:rPr>
          <w:w w:val="99"/>
        </w:rPr>
        <w:t>日</w:t>
      </w:r>
      <w:r>
        <w:rPr>
          <w:spacing w:val="-110"/>
          <w:w w:val="99"/>
        </w:rPr>
        <w:t>，</w:t>
      </w:r>
      <w:r>
        <w:rPr>
          <w:w w:val="99"/>
        </w:rPr>
        <w:t>未分配</w:t>
      </w:r>
      <w:r>
        <w:rPr>
          <w:spacing w:val="1"/>
          <w:w w:val="99"/>
        </w:rPr>
        <w:t>利润</w:t>
      </w:r>
      <w:r>
        <w:rPr>
          <w:w w:val="99"/>
        </w:rPr>
        <w:t>中包含</w:t>
      </w:r>
      <w:r>
        <w:rPr>
          <w:spacing w:val="1"/>
          <w:w w:val="99"/>
        </w:rPr>
        <w:t>归属</w:t>
      </w:r>
      <w:r>
        <w:rPr>
          <w:w w:val="99"/>
        </w:rPr>
        <w:t>于母公</w:t>
      </w:r>
      <w:r>
        <w:rPr>
          <w:spacing w:val="1"/>
          <w:w w:val="99"/>
        </w:rPr>
        <w:t>司的</w:t>
      </w:r>
      <w:r>
        <w:rPr>
          <w:w w:val="99"/>
        </w:rPr>
        <w:t>子公司</w:t>
      </w:r>
      <w:r>
        <w:rPr>
          <w:spacing w:val="1"/>
          <w:w w:val="99"/>
        </w:rPr>
        <w:t>盈余</w:t>
      </w:r>
      <w:r>
        <w:rPr>
          <w:w w:val="99"/>
        </w:rPr>
        <w:t>公积余</w:t>
      </w:r>
      <w:r>
        <w:rPr>
          <w:spacing w:val="1"/>
          <w:w w:val="99"/>
        </w:rPr>
        <w:t>额约</w:t>
      </w:r>
      <w:r>
        <w:rPr>
          <w:w w:val="99"/>
        </w:rPr>
        <w:t>人民币</w:t>
      </w:r>
      <w:r>
        <w:rPr>
          <w:spacing w:val="-56"/>
        </w:rPr>
        <w:t> </w:t>
      </w:r>
      <w:r>
        <w:rPr>
          <w:rFonts w:ascii="Arial" w:hAnsi="Arial" w:cs="Arial" w:eastAsia="Arial" w:hint="default"/>
          <w:w w:val="99"/>
        </w:rPr>
        <w:t>81.08</w:t>
      </w:r>
      <w:r>
        <w:rPr>
          <w:rFonts w:ascii="Arial" w:hAnsi="Arial" w:cs="Arial" w:eastAsia="Arial" w:hint="default"/>
        </w:rPr>
      </w:r>
    </w:p>
    <w:p>
      <w:pPr>
        <w:pStyle w:val="BodyText"/>
        <w:spacing w:line="285" w:lineRule="exact"/>
        <w:ind w:left="458" w:right="125"/>
        <w:jc w:val="left"/>
      </w:pPr>
      <w:r>
        <w:rPr>
          <w:spacing w:val="-3"/>
        </w:rPr>
        <w:t>亿元（</w:t>
      </w:r>
      <w:r>
        <w:rPr>
          <w:rFonts w:ascii="Arial" w:hAnsi="Arial" w:cs="Arial" w:eastAsia="Arial" w:hint="default"/>
          <w:spacing w:val="-3"/>
        </w:rPr>
        <w:t>2008</w:t>
      </w:r>
      <w:r>
        <w:rPr>
          <w:rFonts w:ascii="Arial" w:hAnsi="Arial" w:cs="Arial" w:eastAsia="Arial" w:hint="default"/>
          <w:spacing w:val="-5"/>
        </w:rPr>
        <w:t> </w:t>
      </w:r>
      <w:r>
        <w:rPr/>
        <w:t>年</w:t>
      </w:r>
      <w:r>
        <w:rPr>
          <w:spacing w:val="-55"/>
        </w:rPr>
        <w:t> </w:t>
      </w:r>
      <w:r>
        <w:rPr>
          <w:rFonts w:ascii="Arial" w:hAnsi="Arial" w:cs="Arial" w:eastAsia="Arial" w:hint="default"/>
        </w:rPr>
        <w:t>12</w:t>
      </w:r>
      <w:r>
        <w:rPr>
          <w:rFonts w:ascii="Arial" w:hAnsi="Arial" w:cs="Arial" w:eastAsia="Arial" w:hint="default"/>
          <w:spacing w:val="-6"/>
        </w:rPr>
        <w:t> </w:t>
      </w:r>
      <w:r>
        <w:rPr/>
        <w:t>月</w:t>
      </w:r>
      <w:r>
        <w:rPr>
          <w:spacing w:val="-55"/>
        </w:rPr>
        <w:t> </w:t>
      </w:r>
      <w:r>
        <w:rPr>
          <w:rFonts w:ascii="Arial" w:hAnsi="Arial" w:cs="Arial" w:eastAsia="Arial" w:hint="default"/>
        </w:rPr>
        <w:t>31</w:t>
      </w:r>
      <w:r>
        <w:rPr>
          <w:rFonts w:ascii="Arial" w:hAnsi="Arial" w:cs="Arial" w:eastAsia="Arial" w:hint="default"/>
          <w:spacing w:val="-6"/>
        </w:rPr>
        <w:t> </w:t>
      </w:r>
      <w:r>
        <w:rPr>
          <w:spacing w:val="-3"/>
        </w:rPr>
        <w:t>日：约人民币</w:t>
      </w:r>
      <w:r>
        <w:rPr>
          <w:spacing w:val="-55"/>
        </w:rPr>
        <w:t> </w:t>
      </w:r>
      <w:r>
        <w:rPr>
          <w:rFonts w:ascii="Arial" w:hAnsi="Arial" w:cs="Arial" w:eastAsia="Arial" w:hint="default"/>
        </w:rPr>
        <w:t>76.73</w:t>
      </w:r>
      <w:r>
        <w:rPr>
          <w:rFonts w:ascii="Arial" w:hAnsi="Arial" w:cs="Arial" w:eastAsia="Arial" w:hint="default"/>
          <w:spacing w:val="-6"/>
        </w:rPr>
        <w:t> </w:t>
      </w:r>
      <w:r>
        <w:rPr>
          <w:spacing w:val="-4"/>
        </w:rPr>
        <w:t>亿元），其中子公司</w:t>
      </w:r>
      <w:r>
        <w:rPr>
          <w:spacing w:val="-55"/>
        </w:rPr>
        <w:t> </w:t>
      </w:r>
      <w:r>
        <w:rPr>
          <w:rFonts w:ascii="Arial" w:hAnsi="Arial" w:cs="Arial" w:eastAsia="Arial" w:hint="default"/>
        </w:rPr>
        <w:t>2009</w:t>
      </w:r>
      <w:r>
        <w:rPr>
          <w:rFonts w:ascii="Arial" w:hAnsi="Arial" w:cs="Arial" w:eastAsia="Arial" w:hint="default"/>
          <w:spacing w:val="-6"/>
        </w:rPr>
        <w:t> </w:t>
      </w:r>
      <w:r>
        <w:rPr/>
        <w:t>年度计提的归属于母公</w:t>
      </w:r>
    </w:p>
    <w:p>
      <w:pPr>
        <w:pStyle w:val="BodyText"/>
        <w:spacing w:line="294" w:lineRule="exact"/>
        <w:ind w:left="458" w:right="125"/>
        <w:jc w:val="left"/>
      </w:pPr>
      <w:r>
        <w:rPr/>
        <w:t>司的任意盈余公积约人民币</w:t>
      </w:r>
      <w:r>
        <w:rPr>
          <w:spacing w:val="-57"/>
        </w:rPr>
        <w:t> </w:t>
      </w:r>
      <w:r>
        <w:rPr>
          <w:rFonts w:ascii="Arial" w:hAnsi="Arial" w:cs="Arial" w:eastAsia="Arial" w:hint="default"/>
        </w:rPr>
        <w:t>1.66</w:t>
      </w:r>
      <w:r>
        <w:rPr>
          <w:rFonts w:ascii="Arial" w:hAnsi="Arial" w:cs="Arial" w:eastAsia="Arial" w:hint="default"/>
          <w:spacing w:val="-8"/>
        </w:rPr>
        <w:t> </w:t>
      </w:r>
      <w:r>
        <w:rPr/>
        <w:t>亿元（</w:t>
      </w:r>
      <w:r>
        <w:rPr>
          <w:rFonts w:ascii="Arial" w:hAnsi="Arial" w:cs="Arial" w:eastAsia="Arial" w:hint="default"/>
        </w:rPr>
        <w:t>2008</w:t>
      </w:r>
      <w:r>
        <w:rPr>
          <w:rFonts w:ascii="Arial" w:hAnsi="Arial" w:cs="Arial" w:eastAsia="Arial" w:hint="default"/>
          <w:spacing w:val="-8"/>
        </w:rPr>
        <w:t> </w:t>
      </w:r>
      <w:r>
        <w:rPr/>
        <w:t>年度：约人民币</w:t>
      </w:r>
      <w:r>
        <w:rPr>
          <w:spacing w:val="-57"/>
        </w:rPr>
        <w:t> </w:t>
      </w:r>
      <w:r>
        <w:rPr>
          <w:rFonts w:ascii="Arial" w:hAnsi="Arial" w:cs="Arial" w:eastAsia="Arial" w:hint="default"/>
        </w:rPr>
        <w:t>2.98</w:t>
      </w:r>
      <w:r>
        <w:rPr>
          <w:rFonts w:ascii="Arial" w:hAnsi="Arial" w:cs="Arial" w:eastAsia="Arial" w:hint="default"/>
          <w:spacing w:val="-8"/>
        </w:rPr>
        <w:t> </w:t>
      </w:r>
      <w:r>
        <w:rPr/>
        <w:t>亿元）。</w:t>
      </w:r>
    </w:p>
    <w:p>
      <w:pPr>
        <w:spacing w:line="240" w:lineRule="auto" w:before="13"/>
        <w:rPr>
          <w:rFonts w:ascii="宋体" w:hAnsi="宋体" w:cs="宋体" w:eastAsia="宋体" w:hint="default"/>
          <w:sz w:val="17"/>
          <w:szCs w:val="17"/>
        </w:rPr>
      </w:pPr>
    </w:p>
    <w:p>
      <w:pPr>
        <w:pStyle w:val="BodyText"/>
        <w:spacing w:line="295" w:lineRule="exact"/>
        <w:ind w:left="458" w:right="125"/>
        <w:jc w:val="left"/>
      </w:pPr>
      <w:r>
        <w:rPr>
          <w:rFonts w:ascii="Arial" w:hAnsi="Arial" w:cs="Arial" w:eastAsia="Arial" w:hint="default"/>
        </w:rPr>
        <w:t>2009</w:t>
      </w:r>
      <w:r>
        <w:rPr>
          <w:rFonts w:ascii="Arial" w:hAnsi="Arial" w:cs="Arial" w:eastAsia="Arial" w:hint="default"/>
          <w:spacing w:val="-11"/>
        </w:rPr>
        <w:t> </w:t>
      </w:r>
      <w:r>
        <w:rPr/>
        <w:t>年度子公司计提的任意盈余公积为联通运营公司根据财政部和国家税务总局</w:t>
      </w:r>
      <w:r>
        <w:rPr>
          <w:spacing w:val="-59"/>
        </w:rPr>
        <w:t> </w:t>
      </w:r>
      <w:r>
        <w:rPr>
          <w:rFonts w:ascii="Arial" w:hAnsi="Arial" w:cs="Arial" w:eastAsia="Arial" w:hint="default"/>
        </w:rPr>
        <w:t>2005</w:t>
      </w:r>
      <w:r>
        <w:rPr>
          <w:rFonts w:ascii="Arial" w:hAnsi="Arial" w:cs="Arial" w:eastAsia="Arial" w:hint="default"/>
          <w:spacing w:val="-11"/>
        </w:rPr>
        <w:t> </w:t>
      </w:r>
      <w:r>
        <w:rPr/>
        <w:t>年</w:t>
      </w:r>
      <w:r>
        <w:rPr>
          <w:spacing w:val="-61"/>
        </w:rPr>
        <w:t> </w:t>
      </w:r>
      <w:r>
        <w:rPr>
          <w:rFonts w:ascii="Arial" w:hAnsi="Arial" w:cs="Arial" w:eastAsia="Arial" w:hint="default"/>
        </w:rPr>
        <w:t>4</w:t>
      </w:r>
      <w:r>
        <w:rPr>
          <w:rFonts w:ascii="Arial" w:hAnsi="Arial" w:cs="Arial" w:eastAsia="Arial" w:hint="default"/>
          <w:spacing w:val="-12"/>
        </w:rPr>
        <w:t> </w:t>
      </w:r>
      <w:r>
        <w:rPr/>
        <w:t>月</w:t>
      </w:r>
    </w:p>
    <w:p>
      <w:pPr>
        <w:pStyle w:val="BodyText"/>
        <w:spacing w:line="285" w:lineRule="exact"/>
        <w:ind w:left="458" w:right="125"/>
        <w:jc w:val="left"/>
      </w:pPr>
      <w:r>
        <w:rPr>
          <w:rFonts w:ascii="Arial" w:hAnsi="Arial" w:cs="Arial" w:eastAsia="Arial" w:hint="default"/>
        </w:rPr>
        <w:t>6</w:t>
      </w:r>
      <w:r>
        <w:rPr>
          <w:rFonts w:ascii="Arial" w:hAnsi="Arial" w:cs="Arial" w:eastAsia="Arial" w:hint="default"/>
          <w:spacing w:val="-21"/>
        </w:rPr>
        <w:t> </w:t>
      </w:r>
      <w:r>
        <w:rPr/>
        <w:t>日相关批复文件（财税</w:t>
      </w:r>
      <w:r>
        <w:rPr>
          <w:rFonts w:ascii="Arial" w:hAnsi="Arial" w:cs="Arial" w:eastAsia="Arial" w:hint="default"/>
        </w:rPr>
        <w:t>[2005]56</w:t>
      </w:r>
      <w:r>
        <w:rPr>
          <w:rFonts w:ascii="Arial" w:hAnsi="Arial" w:cs="Arial" w:eastAsia="Arial" w:hint="default"/>
          <w:spacing w:val="-21"/>
        </w:rPr>
        <w:t> </w:t>
      </w:r>
      <w:r>
        <w:rPr/>
        <w:t>号），将计入利润表中的市话初装费收入约人民币</w:t>
      </w:r>
      <w:r>
        <w:rPr>
          <w:spacing w:val="-69"/>
        </w:rPr>
        <w:t> </w:t>
      </w:r>
      <w:r>
        <w:rPr>
          <w:rFonts w:ascii="Arial" w:hAnsi="Arial" w:cs="Arial" w:eastAsia="Arial" w:hint="default"/>
        </w:rPr>
        <w:t>4.90</w:t>
      </w:r>
      <w:r>
        <w:rPr>
          <w:rFonts w:ascii="Arial" w:hAnsi="Arial" w:cs="Arial" w:eastAsia="Arial" w:hint="default"/>
          <w:spacing w:val="-21"/>
        </w:rPr>
        <w:t> </w:t>
      </w:r>
      <w:r>
        <w:rPr/>
        <w:t>亿元</w:t>
      </w:r>
    </w:p>
    <w:p>
      <w:pPr>
        <w:pStyle w:val="BodyText"/>
        <w:spacing w:line="286" w:lineRule="exact" w:before="18"/>
        <w:ind w:left="458" w:right="235" w:hanging="1"/>
        <w:jc w:val="left"/>
      </w:pPr>
      <w:r>
        <w:rPr/>
        <w:t>（</w:t>
      </w:r>
      <w:r>
        <w:rPr>
          <w:rFonts w:ascii="Arial" w:hAnsi="Arial" w:cs="Arial" w:eastAsia="Arial" w:hint="default"/>
        </w:rPr>
        <w:t>2008 </w:t>
      </w:r>
      <w:r>
        <w:rPr/>
        <w:t>年：人民币 </w:t>
      </w:r>
      <w:r>
        <w:rPr>
          <w:rFonts w:ascii="Arial" w:hAnsi="Arial" w:cs="Arial" w:eastAsia="Arial" w:hint="default"/>
        </w:rPr>
        <w:t>8.86</w:t>
      </w:r>
      <w:r>
        <w:rPr>
          <w:rFonts w:ascii="Arial" w:hAnsi="Arial" w:cs="Arial" w:eastAsia="Arial" w:hint="default"/>
          <w:spacing w:val="-18"/>
        </w:rPr>
        <w:t> </w:t>
      </w:r>
      <w:r>
        <w:rPr/>
        <w:t>亿元）从期末未分配利润转入任意盈余公积的金额，该等金额根据上</w:t>
      </w:r>
      <w:r>
        <w:rPr>
          <w:w w:val="99"/>
        </w:rPr>
        <w:t> </w:t>
      </w:r>
      <w:r>
        <w:rPr/>
        <w:t>述文件规定不得用于向股东支付股利。</w:t>
      </w:r>
    </w:p>
    <w:p>
      <w:pPr>
        <w:spacing w:line="240" w:lineRule="auto" w:before="6"/>
        <w:rPr>
          <w:rFonts w:ascii="宋体" w:hAnsi="宋体" w:cs="宋体" w:eastAsia="宋体" w:hint="default"/>
          <w:sz w:val="19"/>
          <w:szCs w:val="19"/>
        </w:rPr>
      </w:pPr>
    </w:p>
    <w:p>
      <w:pPr>
        <w:pStyle w:val="BodyText"/>
        <w:spacing w:line="284" w:lineRule="exact"/>
        <w:ind w:left="486" w:right="234" w:hanging="378"/>
        <w:jc w:val="left"/>
      </w:pPr>
      <w:r>
        <w:rPr>
          <w:rFonts w:ascii="Arial" w:hAnsi="Arial" w:cs="Arial" w:eastAsia="Arial" w:hint="default"/>
        </w:rPr>
        <w:t>(a)</w:t>
      </w:r>
      <w:r>
        <w:rPr>
          <w:rFonts w:ascii="Arial" w:hAnsi="Arial" w:cs="Arial" w:eastAsia="Arial" w:hint="default"/>
          <w:spacing w:val="52"/>
        </w:rPr>
        <w:t> </w:t>
      </w:r>
      <w:r>
        <w:rPr/>
        <w:t>本年由于同一控制下收购目标业务将被收购目标业务的累积亏损转入年初未分配利润，金额约</w:t>
      </w:r>
      <w:r>
        <w:rPr>
          <w:w w:val="99"/>
        </w:rPr>
        <w:t> </w:t>
      </w:r>
      <w:r>
        <w:rPr/>
        <w:t>为人民币</w:t>
      </w:r>
      <w:r>
        <w:rPr>
          <w:spacing w:val="-57"/>
        </w:rPr>
        <w:t> </w:t>
      </w:r>
      <w:r>
        <w:rPr>
          <w:rFonts w:ascii="Arial" w:hAnsi="Arial" w:cs="Arial" w:eastAsia="Arial" w:hint="default"/>
        </w:rPr>
        <w:t>18.20</w:t>
      </w:r>
      <w:r>
        <w:rPr>
          <w:rFonts w:ascii="Arial" w:hAnsi="Arial" w:cs="Arial" w:eastAsia="Arial" w:hint="default"/>
          <w:spacing w:val="-8"/>
        </w:rPr>
        <w:t> </w:t>
      </w:r>
      <w:r>
        <w:rPr/>
        <w:t>亿元（</w:t>
      </w:r>
      <w:r>
        <w:rPr>
          <w:rFonts w:ascii="Arial" w:hAnsi="Arial" w:cs="Arial" w:eastAsia="Arial" w:hint="default"/>
        </w:rPr>
        <w:t>2008</w:t>
      </w:r>
      <w:r>
        <w:rPr>
          <w:rFonts w:ascii="Arial" w:hAnsi="Arial" w:cs="Arial" w:eastAsia="Arial" w:hint="default"/>
          <w:spacing w:val="-8"/>
        </w:rPr>
        <w:t> </w:t>
      </w:r>
      <w:r>
        <w:rPr/>
        <w:t>年度：约人民币</w:t>
      </w:r>
      <w:r>
        <w:rPr>
          <w:spacing w:val="-57"/>
        </w:rPr>
        <w:t> </w:t>
      </w:r>
      <w:r>
        <w:rPr>
          <w:rFonts w:ascii="Arial" w:hAnsi="Arial" w:cs="Arial" w:eastAsia="Arial" w:hint="default"/>
        </w:rPr>
        <w:t>20.28</w:t>
      </w:r>
      <w:r>
        <w:rPr>
          <w:rFonts w:ascii="Arial" w:hAnsi="Arial" w:cs="Arial" w:eastAsia="Arial" w:hint="default"/>
          <w:spacing w:val="-8"/>
        </w:rPr>
        <w:t> </w:t>
      </w:r>
      <w:r>
        <w:rPr/>
        <w:t>亿元）。</w:t>
      </w:r>
    </w:p>
    <w:p>
      <w:pPr>
        <w:spacing w:after="0" w:line="284" w:lineRule="exact"/>
        <w:jc w:val="left"/>
        <w:sectPr>
          <w:type w:val="continuous"/>
          <w:pgSz w:w="11910" w:h="16840"/>
          <w:pgMar w:top="1600" w:bottom="280" w:left="1260" w:right="880"/>
        </w:sectPr>
      </w:pPr>
    </w:p>
    <w:p>
      <w:pPr>
        <w:spacing w:line="240" w:lineRule="auto" w:before="12"/>
        <w:rPr>
          <w:rFonts w:ascii="宋体" w:hAnsi="宋体" w:cs="宋体" w:eastAsia="宋体" w:hint="default"/>
          <w:sz w:val="14"/>
          <w:szCs w:val="14"/>
        </w:rPr>
      </w:pPr>
    </w:p>
    <w:p>
      <w:pPr>
        <w:pStyle w:val="BodyText"/>
        <w:spacing w:line="240" w:lineRule="auto" w:before="31"/>
        <w:ind w:left="142" w:right="125"/>
        <w:jc w:val="left"/>
        <w:rPr>
          <w:rFonts w:ascii="黑体" w:hAnsi="黑体" w:cs="黑体" w:eastAsia="黑体" w:hint="default"/>
        </w:rPr>
      </w:pPr>
      <w:r>
        <w:rPr>
          <w:rFonts w:ascii="Arial" w:hAnsi="Arial" w:cs="Arial" w:eastAsia="Arial" w:hint="default"/>
        </w:rPr>
        <w:t>33</w:t>
      </w:r>
      <w:r>
        <w:rPr>
          <w:rFonts w:ascii="黑体" w:hAnsi="黑体" w:cs="黑体" w:eastAsia="黑体" w:hint="default"/>
        </w:rPr>
        <w:t>、未分配利润（续）</w:t>
      </w:r>
    </w:p>
    <w:p>
      <w:pPr>
        <w:spacing w:line="240" w:lineRule="auto" w:before="3"/>
        <w:rPr>
          <w:rFonts w:ascii="黑体" w:hAnsi="黑体" w:cs="黑体" w:eastAsia="黑体" w:hint="default"/>
          <w:sz w:val="20"/>
          <w:szCs w:val="20"/>
        </w:rPr>
      </w:pPr>
    </w:p>
    <w:p>
      <w:pPr>
        <w:pStyle w:val="BodyText"/>
        <w:spacing w:line="284" w:lineRule="exact"/>
        <w:ind w:left="478" w:right="186" w:hanging="336"/>
        <w:jc w:val="both"/>
      </w:pPr>
      <w:r>
        <w:rPr>
          <w:rFonts w:ascii="Arial" w:hAnsi="Arial" w:cs="Arial" w:eastAsia="Arial" w:hint="default"/>
        </w:rPr>
        <w:t>(b)</w:t>
      </w:r>
      <w:r>
        <w:rPr>
          <w:rFonts w:ascii="Arial" w:hAnsi="Arial" w:cs="Arial" w:eastAsia="Arial" w:hint="default"/>
          <w:spacing w:val="-8"/>
        </w:rPr>
        <w:t> </w:t>
      </w:r>
      <w:r>
        <w:rPr/>
        <w:t>根据转让协议（见附注一</w:t>
      </w:r>
      <w:r>
        <w:rPr>
          <w:rFonts w:ascii="Arial" w:hAnsi="Arial" w:cs="Arial" w:eastAsia="Arial" w:hint="default"/>
        </w:rPr>
        <w:t>(6)</w:t>
      </w:r>
      <w:r>
        <w:rPr/>
        <w:t>），本公司所属子公司联通运营公司收购的目标业务于评估基准日</w:t>
      </w:r>
      <w:r>
        <w:rPr>
          <w:w w:val="99"/>
        </w:rPr>
        <w:t> </w:t>
      </w:r>
      <w:r>
        <w:rPr/>
        <w:t>至</w:t>
      </w:r>
      <w:r>
        <w:rPr>
          <w:spacing w:val="-55"/>
        </w:rPr>
        <w:t> </w:t>
      </w:r>
      <w:r>
        <w:rPr>
          <w:rFonts w:ascii="Arial" w:hAnsi="Arial" w:cs="Arial" w:eastAsia="Arial" w:hint="default"/>
        </w:rPr>
        <w:t>2008</w:t>
      </w:r>
      <w:r>
        <w:rPr>
          <w:rFonts w:ascii="Arial" w:hAnsi="Arial" w:cs="Arial" w:eastAsia="Arial" w:hint="default"/>
          <w:spacing w:val="-6"/>
        </w:rPr>
        <w:t> </w:t>
      </w:r>
      <w:r>
        <w:rPr/>
        <w:t>年</w:t>
      </w:r>
      <w:r>
        <w:rPr>
          <w:spacing w:val="-55"/>
        </w:rPr>
        <w:t> </w:t>
      </w:r>
      <w:r>
        <w:rPr>
          <w:rFonts w:ascii="Arial" w:hAnsi="Arial" w:cs="Arial" w:eastAsia="Arial" w:hint="default"/>
        </w:rPr>
        <w:t>12</w:t>
      </w:r>
      <w:r>
        <w:rPr>
          <w:rFonts w:ascii="Arial" w:hAnsi="Arial" w:cs="Arial" w:eastAsia="Arial" w:hint="default"/>
          <w:spacing w:val="-6"/>
        </w:rPr>
        <w:t> </w:t>
      </w:r>
      <w:r>
        <w:rPr/>
        <w:t>月</w:t>
      </w:r>
      <w:r>
        <w:rPr>
          <w:spacing w:val="-55"/>
        </w:rPr>
        <w:t> </w:t>
      </w:r>
      <w:r>
        <w:rPr>
          <w:rFonts w:ascii="Arial" w:hAnsi="Arial" w:cs="Arial" w:eastAsia="Arial" w:hint="default"/>
        </w:rPr>
        <w:t>31</w:t>
      </w:r>
      <w:r>
        <w:rPr>
          <w:rFonts w:ascii="Arial" w:hAnsi="Arial" w:cs="Arial" w:eastAsia="Arial" w:hint="default"/>
          <w:spacing w:val="-6"/>
        </w:rPr>
        <w:t> </w:t>
      </w:r>
      <w:r>
        <w:rPr>
          <w:spacing w:val="-3"/>
        </w:rPr>
        <w:t>日止期间的经营性利润（亏损）净额约人民币</w:t>
      </w:r>
      <w:r>
        <w:rPr>
          <w:spacing w:val="-54"/>
        </w:rPr>
        <w:t> </w:t>
      </w:r>
      <w:r>
        <w:rPr>
          <w:rFonts w:ascii="Arial" w:hAnsi="Arial" w:cs="Arial" w:eastAsia="Arial" w:hint="default"/>
        </w:rPr>
        <w:t>0.64</w:t>
      </w:r>
      <w:r>
        <w:rPr>
          <w:rFonts w:ascii="Arial" w:hAnsi="Arial" w:cs="Arial" w:eastAsia="Arial" w:hint="default"/>
          <w:spacing w:val="-6"/>
        </w:rPr>
        <w:t> </w:t>
      </w:r>
      <w:r>
        <w:rPr/>
        <w:t>亿元由转让方联通集团</w:t>
      </w:r>
    </w:p>
    <w:p>
      <w:pPr>
        <w:pStyle w:val="BodyText"/>
        <w:spacing w:line="266" w:lineRule="exact"/>
        <w:ind w:left="478" w:right="0"/>
        <w:jc w:val="both"/>
      </w:pPr>
      <w:r>
        <w:rPr/>
        <w:t>拥有和承担。按本公司持股比例计算，于</w:t>
      </w:r>
      <w:r>
        <w:rPr>
          <w:spacing w:val="-48"/>
        </w:rPr>
        <w:t> </w:t>
      </w:r>
      <w:r>
        <w:rPr>
          <w:rFonts w:ascii="Arial" w:hAnsi="Arial" w:cs="Arial" w:eastAsia="Arial" w:hint="default"/>
        </w:rPr>
        <w:t>2008 </w:t>
      </w:r>
      <w:r>
        <w:rPr/>
        <w:t>年</w:t>
      </w:r>
      <w:r>
        <w:rPr>
          <w:spacing w:val="-49"/>
        </w:rPr>
        <w:t> </w:t>
      </w:r>
      <w:r>
        <w:rPr>
          <w:rFonts w:ascii="Arial" w:hAnsi="Arial" w:cs="Arial" w:eastAsia="Arial" w:hint="default"/>
        </w:rPr>
        <w:t>12 </w:t>
      </w:r>
      <w:r>
        <w:rPr/>
        <w:t>月</w:t>
      </w:r>
      <w:r>
        <w:rPr>
          <w:spacing w:val="-49"/>
        </w:rPr>
        <w:t> </w:t>
      </w:r>
      <w:r>
        <w:rPr>
          <w:rFonts w:ascii="Arial" w:hAnsi="Arial" w:cs="Arial" w:eastAsia="Arial" w:hint="default"/>
        </w:rPr>
        <w:t>31 </w:t>
      </w:r>
      <w:r>
        <w:rPr/>
        <w:t>日本公司所持有的未分配利润中包</w:t>
      </w:r>
    </w:p>
    <w:p>
      <w:pPr>
        <w:pStyle w:val="BodyText"/>
        <w:spacing w:line="286" w:lineRule="exact" w:before="19"/>
        <w:ind w:left="478" w:right="186"/>
        <w:jc w:val="both"/>
      </w:pPr>
      <w:r>
        <w:rPr/>
        <w:t>含联通集团享有的目标业务于上述期间的经营性利润（亏损）净额约人民币</w:t>
      </w:r>
      <w:r>
        <w:rPr>
          <w:spacing w:val="-84"/>
        </w:rPr>
        <w:t> </w:t>
      </w:r>
      <w:r>
        <w:rPr>
          <w:rFonts w:ascii="Arial" w:hAnsi="Arial" w:cs="Arial" w:eastAsia="Arial" w:hint="default"/>
        </w:rPr>
        <w:t>0.22</w:t>
      </w:r>
      <w:r>
        <w:rPr>
          <w:rFonts w:ascii="Arial" w:hAnsi="Arial" w:cs="Arial" w:eastAsia="Arial" w:hint="default"/>
          <w:spacing w:val="-36"/>
        </w:rPr>
        <w:t> </w:t>
      </w:r>
      <w:r>
        <w:rPr/>
        <w:t>亿元已于收购</w:t>
      </w:r>
      <w:r>
        <w:rPr>
          <w:w w:val="99"/>
        </w:rPr>
        <w:t> </w:t>
      </w:r>
      <w:r>
        <w:rPr/>
        <w:t>完成日从未分配利润转出。</w:t>
      </w:r>
    </w:p>
    <w:p>
      <w:pPr>
        <w:spacing w:line="240" w:lineRule="auto" w:before="3"/>
        <w:rPr>
          <w:rFonts w:ascii="宋体" w:hAnsi="宋体" w:cs="宋体" w:eastAsia="宋体" w:hint="default"/>
          <w:sz w:val="19"/>
          <w:szCs w:val="19"/>
        </w:rPr>
      </w:pPr>
    </w:p>
    <w:p>
      <w:pPr>
        <w:pStyle w:val="BodyText"/>
        <w:spacing w:line="286" w:lineRule="exact"/>
        <w:ind w:left="478" w:right="241" w:hanging="336"/>
        <w:jc w:val="both"/>
      </w:pPr>
      <w:r>
        <w:rPr>
          <w:rFonts w:ascii="Arial" w:hAnsi="Arial" w:cs="Arial" w:eastAsia="Arial" w:hint="default"/>
          <w:w w:val="99"/>
        </w:rPr>
        <w:t>(c)</w:t>
      </w:r>
      <w:r>
        <w:rPr>
          <w:rFonts w:ascii="Arial" w:hAnsi="Arial" w:cs="Arial" w:eastAsia="Arial" w:hint="default"/>
          <w:spacing w:val="19"/>
          <w:w w:val="99"/>
        </w:rPr>
        <w:t> </w:t>
      </w:r>
      <w:r>
        <w:rPr>
          <w:w w:val="99"/>
        </w:rPr>
        <w:t>联通红筹公司于</w:t>
      </w:r>
      <w:r>
        <w:rPr>
          <w:spacing w:val="-54"/>
          <w:w w:val="99"/>
        </w:rPr>
        <w:t> </w:t>
      </w:r>
      <w:r>
        <w:rPr>
          <w:rFonts w:ascii="Arial" w:hAnsi="Arial" w:cs="Arial" w:eastAsia="Arial" w:hint="default"/>
          <w:w w:val="99"/>
        </w:rPr>
        <w:t>2009</w:t>
      </w:r>
      <w:r>
        <w:rPr>
          <w:rFonts w:ascii="Arial" w:hAnsi="Arial" w:cs="Arial" w:eastAsia="Arial" w:hint="default"/>
          <w:spacing w:val="-5"/>
          <w:w w:val="99"/>
        </w:rPr>
        <w:t> </w:t>
      </w:r>
      <w:r>
        <w:rPr>
          <w:w w:val="99"/>
        </w:rPr>
        <w:t>年</w:t>
      </w:r>
      <w:r>
        <w:rPr>
          <w:spacing w:val="-54"/>
          <w:w w:val="99"/>
        </w:rPr>
        <w:t> </w:t>
      </w:r>
      <w:r>
        <w:rPr>
          <w:rFonts w:ascii="Arial" w:hAnsi="Arial" w:cs="Arial" w:eastAsia="Arial" w:hint="default"/>
          <w:w w:val="99"/>
        </w:rPr>
        <w:t>11</w:t>
      </w:r>
      <w:r>
        <w:rPr>
          <w:rFonts w:ascii="Arial" w:hAnsi="Arial" w:cs="Arial" w:eastAsia="Arial" w:hint="default"/>
          <w:spacing w:val="-5"/>
          <w:w w:val="99"/>
        </w:rPr>
        <w:t> </w:t>
      </w:r>
      <w:r>
        <w:rPr>
          <w:w w:val="99"/>
        </w:rPr>
        <w:t>月完成了回购</w:t>
      </w:r>
      <w:r>
        <w:rPr>
          <w:spacing w:val="-54"/>
          <w:w w:val="99"/>
        </w:rPr>
        <w:t> </w:t>
      </w:r>
      <w:r>
        <w:rPr>
          <w:rFonts w:ascii="Arial" w:hAnsi="Arial" w:cs="Arial" w:eastAsia="Arial" w:hint="default"/>
          <w:w w:val="99"/>
        </w:rPr>
        <w:t>SKT</w:t>
      </w:r>
      <w:r>
        <w:rPr>
          <w:rFonts w:ascii="Arial" w:hAnsi="Arial" w:cs="Arial" w:eastAsia="Arial" w:hint="default"/>
          <w:spacing w:val="-5"/>
          <w:w w:val="99"/>
        </w:rPr>
        <w:t> </w:t>
      </w:r>
      <w:r>
        <w:rPr>
          <w:spacing w:val="-9"/>
          <w:w w:val="99"/>
        </w:rPr>
        <w:t>持有的联通红筹公司股份的交易，根据香港《公</w:t>
      </w:r>
      <w:r>
        <w:rPr>
          <w:w w:val="99"/>
        </w:rPr>
        <w:t> </w:t>
      </w:r>
      <w:r>
        <w:rPr/>
        <w:t>司法》相关规定，对于这一回购交易所减少的联通红筹公司的股东权益约港币 </w:t>
      </w:r>
      <w:r>
        <w:rPr>
          <w:rFonts w:ascii="Arial" w:hAnsi="Arial" w:cs="Arial" w:eastAsia="Arial" w:hint="default"/>
        </w:rPr>
        <w:t>99.9</w:t>
      </w:r>
      <w:r>
        <w:rPr>
          <w:rFonts w:ascii="Arial" w:hAnsi="Arial" w:cs="Arial" w:eastAsia="Arial" w:hint="default"/>
          <w:spacing w:val="41"/>
        </w:rPr>
        <w:t> </w:t>
      </w:r>
      <w:r>
        <w:rPr/>
        <w:t>亿元将减</w:t>
      </w:r>
      <w:r>
        <w:rPr>
          <w:w w:val="99"/>
        </w:rPr>
        <w:t> </w:t>
      </w:r>
      <w:r>
        <w:rPr>
          <w:w w:val="95"/>
        </w:rPr>
        <w:t>少联通红筹公司未分配利润，根据本公司对联通红筹公司的持股比例计算，该交易会减少本公</w:t>
      </w:r>
      <w:r>
        <w:rPr>
          <w:spacing w:val="-12"/>
          <w:w w:val="95"/>
        </w:rPr>
        <w:t> </w:t>
      </w:r>
      <w:r>
        <w:rPr>
          <w:spacing w:val="-12"/>
          <w:w w:val="95"/>
        </w:rPr>
      </w:r>
      <w:r>
        <w:rPr/>
        <w:t>司合并财务报表未分配利润约人民币</w:t>
      </w:r>
      <w:r>
        <w:rPr>
          <w:spacing w:val="-57"/>
        </w:rPr>
        <w:t> </w:t>
      </w:r>
      <w:r>
        <w:rPr>
          <w:rFonts w:ascii="Arial" w:hAnsi="Arial" w:cs="Arial" w:eastAsia="Arial" w:hint="default"/>
        </w:rPr>
        <w:t>29.82</w:t>
      </w:r>
      <w:r>
        <w:rPr>
          <w:rFonts w:ascii="Arial" w:hAnsi="Arial" w:cs="Arial" w:eastAsia="Arial" w:hint="default"/>
          <w:spacing w:val="-8"/>
        </w:rPr>
        <w:t> </w:t>
      </w:r>
      <w:r>
        <w:rPr/>
        <w:t>亿元。</w:t>
      </w:r>
    </w:p>
    <w:p>
      <w:pPr>
        <w:spacing w:line="240" w:lineRule="auto" w:before="11"/>
        <w:rPr>
          <w:rFonts w:ascii="宋体" w:hAnsi="宋体" w:cs="宋体" w:eastAsia="宋体" w:hint="default"/>
          <w:sz w:val="17"/>
          <w:szCs w:val="17"/>
        </w:rPr>
      </w:pPr>
    </w:p>
    <w:p>
      <w:pPr>
        <w:pStyle w:val="BodyText"/>
        <w:spacing w:line="230" w:lineRule="auto"/>
        <w:ind w:left="477" w:right="242" w:hanging="336"/>
        <w:jc w:val="both"/>
      </w:pPr>
      <w:r>
        <w:rPr>
          <w:rFonts w:ascii="Arial" w:hAnsi="Arial" w:cs="Arial" w:eastAsia="Arial" w:hint="default"/>
        </w:rPr>
        <w:t>(d)</w:t>
      </w:r>
      <w:r>
        <w:rPr>
          <w:rFonts w:ascii="Arial" w:hAnsi="Arial" w:cs="Arial" w:eastAsia="Arial" w:hint="default"/>
          <w:spacing w:val="3"/>
        </w:rPr>
        <w:t> </w:t>
      </w:r>
      <w:r>
        <w:rPr/>
        <w:t>联通红筹公司于</w:t>
      </w:r>
      <w:r>
        <w:rPr>
          <w:spacing w:val="-57"/>
        </w:rPr>
        <w:t> </w:t>
      </w:r>
      <w:r>
        <w:rPr>
          <w:rFonts w:ascii="Arial" w:hAnsi="Arial" w:cs="Arial" w:eastAsia="Arial" w:hint="default"/>
        </w:rPr>
        <w:t>2008</w:t>
      </w:r>
      <w:r>
        <w:rPr>
          <w:rFonts w:ascii="Arial" w:hAnsi="Arial" w:cs="Arial" w:eastAsia="Arial" w:hint="default"/>
          <w:spacing w:val="-8"/>
        </w:rPr>
        <w:t> </w:t>
      </w:r>
      <w:r>
        <w:rPr/>
        <w:t>年</w:t>
      </w:r>
      <w:r>
        <w:rPr>
          <w:spacing w:val="-57"/>
        </w:rPr>
        <w:t> </w:t>
      </w:r>
      <w:r>
        <w:rPr>
          <w:rFonts w:ascii="Arial" w:hAnsi="Arial" w:cs="Arial" w:eastAsia="Arial" w:hint="default"/>
        </w:rPr>
        <w:t>10</w:t>
      </w:r>
      <w:r>
        <w:rPr>
          <w:rFonts w:ascii="Arial" w:hAnsi="Arial" w:cs="Arial" w:eastAsia="Arial" w:hint="default"/>
          <w:spacing w:val="-8"/>
        </w:rPr>
        <w:t> </w:t>
      </w:r>
      <w:r>
        <w:rPr/>
        <w:t>月</w:t>
      </w:r>
      <w:r>
        <w:rPr>
          <w:spacing w:val="-57"/>
        </w:rPr>
        <w:t> </w:t>
      </w:r>
      <w:r>
        <w:rPr>
          <w:rFonts w:ascii="Arial" w:hAnsi="Arial" w:cs="Arial" w:eastAsia="Arial" w:hint="default"/>
        </w:rPr>
        <w:t>15</w:t>
      </w:r>
      <w:r>
        <w:rPr>
          <w:rFonts w:ascii="Arial" w:hAnsi="Arial" w:cs="Arial" w:eastAsia="Arial" w:hint="default"/>
          <w:spacing w:val="-8"/>
        </w:rPr>
        <w:t> </w:t>
      </w:r>
      <w:r>
        <w:rPr/>
        <w:t>日以换股方式完成了与网通红筹公司的合并，网通红筹公司</w:t>
      </w:r>
      <w:r>
        <w:rPr>
          <w:w w:val="99"/>
        </w:rPr>
        <w:t> </w:t>
      </w:r>
      <w:r>
        <w:rPr/>
        <w:t>的股东权益被计入本集团的合并股东权益总额。但该合并也导致本公司通过联通</w:t>
      </w:r>
      <w:r>
        <w:rPr>
          <w:spacing w:val="-76"/>
        </w:rPr>
        <w:t> </w:t>
      </w:r>
      <w:r>
        <w:rPr>
          <w:rFonts w:ascii="Arial" w:hAnsi="Arial" w:cs="Arial" w:eastAsia="Arial" w:hint="default"/>
        </w:rPr>
        <w:t>BVI</w:t>
      </w:r>
      <w:r>
        <w:rPr>
          <w:rFonts w:ascii="Arial" w:hAnsi="Arial" w:cs="Arial" w:eastAsia="Arial" w:hint="default"/>
          <w:spacing w:val="-28"/>
        </w:rPr>
        <w:t> </w:t>
      </w:r>
      <w:r>
        <w:rPr/>
        <w:t>公司对联</w:t>
      </w:r>
      <w:r>
        <w:rPr>
          <w:w w:val="99"/>
        </w:rPr>
        <w:t> </w:t>
      </w:r>
      <w:r>
        <w:rPr>
          <w:w w:val="95"/>
        </w:rPr>
        <w:t>通红筹公司的持股比例下降，故根据持股比例计算，归属于本公司的联通红筹公司的合并未分</w:t>
      </w:r>
      <w:r>
        <w:rPr>
          <w:spacing w:val="-12"/>
          <w:w w:val="95"/>
        </w:rPr>
        <w:t> </w:t>
      </w:r>
      <w:r>
        <w:rPr>
          <w:spacing w:val="-12"/>
          <w:w w:val="95"/>
        </w:rPr>
      </w:r>
      <w:r>
        <w:rPr/>
        <w:t>配利润下降约人民币</w:t>
      </w:r>
      <w:r>
        <w:rPr>
          <w:spacing w:val="-57"/>
        </w:rPr>
        <w:t> </w:t>
      </w:r>
      <w:r>
        <w:rPr>
          <w:rFonts w:ascii="Arial" w:hAnsi="Arial" w:cs="Arial" w:eastAsia="Arial" w:hint="default"/>
        </w:rPr>
        <w:t>71.46</w:t>
      </w:r>
      <w:r>
        <w:rPr>
          <w:rFonts w:ascii="Arial" w:hAnsi="Arial" w:cs="Arial" w:eastAsia="Arial" w:hint="default"/>
          <w:spacing w:val="-8"/>
        </w:rPr>
        <w:t> </w:t>
      </w:r>
      <w:r>
        <w:rPr/>
        <w:t>亿元。</w:t>
      </w:r>
    </w:p>
    <w:p>
      <w:pPr>
        <w:spacing w:line="240" w:lineRule="auto" w:before="2"/>
        <w:rPr>
          <w:rFonts w:ascii="宋体" w:hAnsi="宋体" w:cs="宋体" w:eastAsia="宋体" w:hint="default"/>
          <w:sz w:val="18"/>
          <w:szCs w:val="18"/>
        </w:rPr>
      </w:pPr>
    </w:p>
    <w:p>
      <w:pPr>
        <w:pStyle w:val="BodyText"/>
        <w:spacing w:line="295" w:lineRule="exact"/>
        <w:ind w:left="127" w:right="125"/>
        <w:jc w:val="left"/>
      </w:pPr>
      <w:r>
        <w:rPr>
          <w:rFonts w:ascii="Arial" w:hAnsi="Arial" w:cs="Arial" w:eastAsia="Arial" w:hint="default"/>
          <w:w w:val="99"/>
        </w:rPr>
        <w:t>(e)</w:t>
      </w:r>
      <w:r>
        <w:rPr>
          <w:rFonts w:ascii="Arial" w:hAnsi="Arial" w:cs="Arial" w:eastAsia="Arial" w:hint="default"/>
          <w:spacing w:val="20"/>
        </w:rPr>
        <w:t> </w:t>
      </w:r>
      <w:r>
        <w:rPr>
          <w:w w:val="99"/>
        </w:rPr>
        <w:t>于</w:t>
      </w:r>
      <w:r>
        <w:rPr>
          <w:spacing w:val="-55"/>
        </w:rPr>
        <w:t> </w:t>
      </w:r>
      <w:r>
        <w:rPr>
          <w:rFonts w:ascii="Arial" w:hAnsi="Arial" w:cs="Arial" w:eastAsia="Arial" w:hint="default"/>
          <w:w w:val="99"/>
        </w:rPr>
        <w:t>2009</w:t>
      </w:r>
      <w:r>
        <w:rPr>
          <w:rFonts w:ascii="Arial" w:hAnsi="Arial" w:cs="Arial" w:eastAsia="Arial" w:hint="default"/>
          <w:spacing w:val="-6"/>
        </w:rPr>
        <w:t> </w:t>
      </w:r>
      <w:r>
        <w:rPr>
          <w:w w:val="99"/>
        </w:rPr>
        <w:t>年</w:t>
      </w:r>
      <w:r>
        <w:rPr>
          <w:spacing w:val="-55"/>
        </w:rPr>
        <w:t> </w:t>
      </w:r>
      <w:r>
        <w:rPr>
          <w:rFonts w:ascii="Arial" w:hAnsi="Arial" w:cs="Arial" w:eastAsia="Arial" w:hint="default"/>
          <w:w w:val="99"/>
        </w:rPr>
        <w:t>5</w:t>
      </w:r>
      <w:r>
        <w:rPr>
          <w:rFonts w:ascii="Arial" w:hAnsi="Arial" w:cs="Arial" w:eastAsia="Arial" w:hint="default"/>
          <w:spacing w:val="-6"/>
        </w:rPr>
        <w:t> </w:t>
      </w:r>
      <w:r>
        <w:rPr>
          <w:w w:val="99"/>
        </w:rPr>
        <w:t>月</w:t>
      </w:r>
      <w:r>
        <w:rPr>
          <w:spacing w:val="-55"/>
        </w:rPr>
        <w:t> </w:t>
      </w:r>
      <w:r>
        <w:rPr>
          <w:rFonts w:ascii="Arial" w:hAnsi="Arial" w:cs="Arial" w:eastAsia="Arial" w:hint="default"/>
          <w:w w:val="99"/>
        </w:rPr>
        <w:t>26</w:t>
      </w:r>
      <w:r>
        <w:rPr>
          <w:rFonts w:ascii="Arial" w:hAnsi="Arial" w:cs="Arial" w:eastAsia="Arial" w:hint="default"/>
          <w:spacing w:val="-6"/>
        </w:rPr>
        <w:t> </w:t>
      </w:r>
      <w:r>
        <w:rPr>
          <w:w w:val="99"/>
        </w:rPr>
        <w:t>日</w:t>
      </w:r>
      <w:r>
        <w:rPr>
          <w:spacing w:val="-94"/>
          <w:w w:val="99"/>
        </w:rPr>
        <w:t>，</w:t>
      </w:r>
      <w:r>
        <w:rPr>
          <w:w w:val="99"/>
        </w:rPr>
        <w:t>本公司</w:t>
      </w:r>
      <w:r>
        <w:rPr>
          <w:spacing w:val="1"/>
          <w:w w:val="99"/>
        </w:rPr>
        <w:t>股东</w:t>
      </w:r>
      <w:r>
        <w:rPr>
          <w:w w:val="99"/>
        </w:rPr>
        <w:t>大会批</w:t>
      </w:r>
      <w:r>
        <w:rPr>
          <w:spacing w:val="1"/>
          <w:w w:val="99"/>
        </w:rPr>
        <w:t>准根</w:t>
      </w:r>
      <w:r>
        <w:rPr>
          <w:w w:val="99"/>
        </w:rPr>
        <w:t>据</w:t>
      </w:r>
      <w:r>
        <w:rPr>
          <w:spacing w:val="-55"/>
        </w:rPr>
        <w:t> </w:t>
      </w:r>
      <w:r>
        <w:rPr>
          <w:rFonts w:ascii="Arial" w:hAnsi="Arial" w:cs="Arial" w:eastAsia="Arial" w:hint="default"/>
          <w:w w:val="99"/>
        </w:rPr>
        <w:t>2008</w:t>
      </w:r>
      <w:r>
        <w:rPr>
          <w:rFonts w:ascii="Arial" w:hAnsi="Arial" w:cs="Arial" w:eastAsia="Arial" w:hint="default"/>
          <w:spacing w:val="-6"/>
        </w:rPr>
        <w:t> </w:t>
      </w:r>
      <w:r>
        <w:rPr>
          <w:w w:val="99"/>
        </w:rPr>
        <w:t>年</w:t>
      </w:r>
      <w:r>
        <w:rPr>
          <w:spacing w:val="-55"/>
        </w:rPr>
        <w:t> </w:t>
      </w:r>
      <w:r>
        <w:rPr>
          <w:rFonts w:ascii="Arial" w:hAnsi="Arial" w:cs="Arial" w:eastAsia="Arial" w:hint="default"/>
          <w:w w:val="99"/>
        </w:rPr>
        <w:t>12</w:t>
      </w:r>
      <w:r>
        <w:rPr>
          <w:rFonts w:ascii="Arial" w:hAnsi="Arial" w:cs="Arial" w:eastAsia="Arial" w:hint="default"/>
          <w:spacing w:val="-6"/>
        </w:rPr>
        <w:t> </w:t>
      </w:r>
      <w:r>
        <w:rPr>
          <w:w w:val="99"/>
        </w:rPr>
        <w:t>月</w:t>
      </w:r>
      <w:r>
        <w:rPr>
          <w:spacing w:val="-55"/>
        </w:rPr>
        <w:t> </w:t>
      </w:r>
      <w:r>
        <w:rPr>
          <w:rFonts w:ascii="Arial" w:hAnsi="Arial" w:cs="Arial" w:eastAsia="Arial" w:hint="default"/>
          <w:w w:val="99"/>
        </w:rPr>
        <w:t>31</w:t>
      </w:r>
      <w:r>
        <w:rPr>
          <w:rFonts w:ascii="Arial" w:hAnsi="Arial" w:cs="Arial" w:eastAsia="Arial" w:hint="default"/>
          <w:spacing w:val="-6"/>
        </w:rPr>
        <w:t> </w:t>
      </w:r>
      <w:r>
        <w:rPr>
          <w:w w:val="99"/>
        </w:rPr>
        <w:t>日股本为基</w:t>
      </w:r>
      <w:r>
        <w:rPr>
          <w:spacing w:val="1"/>
          <w:w w:val="99"/>
        </w:rPr>
        <w:t>数向</w:t>
      </w:r>
      <w:r>
        <w:rPr>
          <w:w w:val="99"/>
        </w:rPr>
        <w:t>全体股</w:t>
      </w:r>
      <w:r>
        <w:rPr>
          <w:spacing w:val="1"/>
          <w:w w:val="99"/>
        </w:rPr>
        <w:t>东</w:t>
      </w:r>
      <w:r>
        <w:rPr>
          <w:w w:val="99"/>
        </w:rPr>
        <w:t>派</w:t>
      </w:r>
      <w:r>
        <w:rPr/>
      </w:r>
    </w:p>
    <w:p>
      <w:pPr>
        <w:pStyle w:val="BodyText"/>
        <w:spacing w:line="285" w:lineRule="exact"/>
        <w:ind w:left="477" w:right="0"/>
        <w:jc w:val="both"/>
        <w:rPr>
          <w:rFonts w:ascii="Arial" w:hAnsi="Arial" w:cs="Arial" w:eastAsia="Arial" w:hint="default"/>
        </w:rPr>
      </w:pPr>
      <w:r>
        <w:rPr/>
        <w:t>发每</w:t>
      </w:r>
      <w:r>
        <w:rPr>
          <w:spacing w:val="-59"/>
        </w:rPr>
        <w:t> </w:t>
      </w:r>
      <w:r>
        <w:rPr>
          <w:rFonts w:ascii="Arial" w:hAnsi="Arial" w:cs="Arial" w:eastAsia="Arial" w:hint="default"/>
        </w:rPr>
        <w:t>10</w:t>
      </w:r>
      <w:r>
        <w:rPr>
          <w:rFonts w:ascii="Arial" w:hAnsi="Arial" w:cs="Arial" w:eastAsia="Arial" w:hint="default"/>
          <w:spacing w:val="-10"/>
        </w:rPr>
        <w:t> </w:t>
      </w:r>
      <w:r>
        <w:rPr/>
        <w:t>股现金股利人民币</w:t>
      </w:r>
      <w:r>
        <w:rPr>
          <w:spacing w:val="-59"/>
        </w:rPr>
        <w:t> </w:t>
      </w:r>
      <w:r>
        <w:rPr>
          <w:rFonts w:ascii="Arial" w:hAnsi="Arial" w:cs="Arial" w:eastAsia="Arial" w:hint="default"/>
        </w:rPr>
        <w:t>0.672</w:t>
      </w:r>
      <w:r>
        <w:rPr>
          <w:rFonts w:ascii="Arial" w:hAnsi="Arial" w:cs="Arial" w:eastAsia="Arial" w:hint="default"/>
          <w:spacing w:val="-10"/>
        </w:rPr>
        <w:t> </w:t>
      </w:r>
      <w:r>
        <w:rPr>
          <w:spacing w:val="-5"/>
        </w:rPr>
        <w:t>元（含税）的</w:t>
      </w:r>
      <w:r>
        <w:rPr>
          <w:spacing w:val="-59"/>
        </w:rPr>
        <w:t> </w:t>
      </w:r>
      <w:r>
        <w:rPr>
          <w:rFonts w:ascii="Arial" w:hAnsi="Arial" w:cs="Arial" w:eastAsia="Arial" w:hint="default"/>
        </w:rPr>
        <w:t>2008</w:t>
      </w:r>
      <w:r>
        <w:rPr>
          <w:rFonts w:ascii="Arial" w:hAnsi="Arial" w:cs="Arial" w:eastAsia="Arial" w:hint="default"/>
          <w:spacing w:val="-10"/>
        </w:rPr>
        <w:t> </w:t>
      </w:r>
      <w:r>
        <w:rPr/>
        <w:t>年度利润分配方案，共计约人民币</w:t>
      </w:r>
      <w:r>
        <w:rPr>
          <w:spacing w:val="-59"/>
        </w:rPr>
        <w:t> </w:t>
      </w:r>
      <w:r>
        <w:rPr>
          <w:rFonts w:ascii="Arial" w:hAnsi="Arial" w:cs="Arial" w:eastAsia="Arial" w:hint="default"/>
        </w:rPr>
        <w:t>14.24</w:t>
      </w:r>
    </w:p>
    <w:p>
      <w:pPr>
        <w:pStyle w:val="BodyText"/>
        <w:spacing w:line="232" w:lineRule="auto"/>
        <w:ind w:left="477" w:right="243" w:hanging="1"/>
        <w:jc w:val="both"/>
      </w:pPr>
      <w:r>
        <w:rPr/>
        <w:t>亿元的股利自未分配利润转出。于</w:t>
      </w:r>
      <w:r>
        <w:rPr>
          <w:spacing w:val="-45"/>
        </w:rPr>
        <w:t> </w:t>
      </w:r>
      <w:r>
        <w:rPr>
          <w:rFonts w:ascii="Arial" w:hAnsi="Arial" w:cs="Arial" w:eastAsia="Arial" w:hint="default"/>
        </w:rPr>
        <w:t>2008</w:t>
      </w:r>
      <w:r>
        <w:rPr>
          <w:rFonts w:ascii="Arial" w:hAnsi="Arial" w:cs="Arial" w:eastAsia="Arial" w:hint="default"/>
          <w:spacing w:val="3"/>
        </w:rPr>
        <w:t> </w:t>
      </w:r>
      <w:r>
        <w:rPr/>
        <w:t>年，除本公司对外分配的股利约人民币</w:t>
      </w:r>
      <w:r>
        <w:rPr>
          <w:spacing w:val="-46"/>
        </w:rPr>
        <w:t> </w:t>
      </w:r>
      <w:r>
        <w:rPr>
          <w:rFonts w:ascii="Arial" w:hAnsi="Arial" w:cs="Arial" w:eastAsia="Arial" w:hint="default"/>
        </w:rPr>
        <w:t>14.24</w:t>
      </w:r>
      <w:r>
        <w:rPr>
          <w:rFonts w:ascii="Arial" w:hAnsi="Arial" w:cs="Arial" w:eastAsia="Arial" w:hint="default"/>
          <w:spacing w:val="3"/>
        </w:rPr>
        <w:t> </w:t>
      </w:r>
      <w:r>
        <w:rPr/>
        <w:t>亿元自</w:t>
      </w:r>
      <w:r>
        <w:rPr>
          <w:w w:val="99"/>
        </w:rPr>
        <w:t> </w:t>
      </w:r>
      <w:r>
        <w:rPr>
          <w:w w:val="95"/>
        </w:rPr>
        <w:t>未分配利润转出外，被合并的网通红筹公司于合并前向其原股东分配的股利，根据本公司持股</w:t>
      </w:r>
      <w:r>
        <w:rPr>
          <w:spacing w:val="10"/>
          <w:w w:val="95"/>
        </w:rPr>
        <w:t> </w:t>
      </w:r>
      <w:r>
        <w:rPr>
          <w:spacing w:val="10"/>
          <w:w w:val="95"/>
        </w:rPr>
      </w:r>
      <w:r>
        <w:rPr/>
        <w:t>比例计算，减少合并层面的未分配利润约人民币</w:t>
      </w:r>
      <w:r>
        <w:rPr>
          <w:spacing w:val="-56"/>
        </w:rPr>
        <w:t> </w:t>
      </w:r>
      <w:r>
        <w:rPr>
          <w:rFonts w:ascii="Arial" w:hAnsi="Arial" w:cs="Arial" w:eastAsia="Arial" w:hint="default"/>
        </w:rPr>
        <w:t>11.76</w:t>
      </w:r>
      <w:r>
        <w:rPr>
          <w:rFonts w:ascii="Arial" w:hAnsi="Arial" w:cs="Arial" w:eastAsia="Arial" w:hint="default"/>
          <w:spacing w:val="-8"/>
        </w:rPr>
        <w:t> </w:t>
      </w:r>
      <w:r>
        <w:rPr/>
        <w:t>亿元，合计约人民币</w:t>
      </w:r>
      <w:r>
        <w:rPr>
          <w:spacing w:val="-57"/>
        </w:rPr>
        <w:t> </w:t>
      </w:r>
      <w:r>
        <w:rPr>
          <w:rFonts w:ascii="Arial" w:hAnsi="Arial" w:cs="Arial" w:eastAsia="Arial" w:hint="default"/>
        </w:rPr>
        <w:t>26.00</w:t>
      </w:r>
      <w:r>
        <w:rPr>
          <w:rFonts w:ascii="Arial" w:hAnsi="Arial" w:cs="Arial" w:eastAsia="Arial" w:hint="default"/>
          <w:spacing w:val="-7"/>
        </w:rPr>
        <w:t> </w:t>
      </w:r>
      <w:r>
        <w:rPr/>
        <w:t>亿元。</w:t>
      </w:r>
    </w:p>
    <w:p>
      <w:pPr>
        <w:spacing w:line="240" w:lineRule="auto" w:before="1"/>
        <w:rPr>
          <w:rFonts w:ascii="宋体" w:hAnsi="宋体" w:cs="宋体" w:eastAsia="宋体" w:hint="default"/>
          <w:sz w:val="18"/>
          <w:szCs w:val="18"/>
        </w:rPr>
      </w:pPr>
    </w:p>
    <w:p>
      <w:pPr>
        <w:pStyle w:val="BodyText"/>
        <w:spacing w:line="424" w:lineRule="auto"/>
        <w:ind w:left="142" w:right="6237"/>
        <w:jc w:val="left"/>
      </w:pPr>
      <w:r>
        <w:rPr>
          <w:rFonts w:ascii="Arial" w:hAnsi="Arial" w:cs="Arial" w:eastAsia="Arial" w:hint="default"/>
        </w:rPr>
        <w:t>34</w:t>
      </w:r>
      <w:r>
        <w:rPr>
          <w:rFonts w:ascii="黑体" w:hAnsi="黑体" w:cs="黑体" w:eastAsia="黑体" w:hint="default"/>
        </w:rPr>
        <w:t>、少数股东权益及少数股东损益</w:t>
      </w:r>
      <w:r>
        <w:rPr>
          <w:rFonts w:ascii="黑体" w:hAnsi="黑体" w:cs="黑体" w:eastAsia="黑体" w:hint="default"/>
          <w:w w:val="99"/>
        </w:rPr>
        <w:t> </w:t>
      </w:r>
      <w:r>
        <w:rPr>
          <w:rFonts w:ascii="Arial" w:hAnsi="Arial" w:cs="Arial" w:eastAsia="Arial" w:hint="default"/>
        </w:rPr>
        <w:t>(1) </w:t>
      </w:r>
      <w:r>
        <w:rPr>
          <w:rFonts w:ascii="Arial" w:hAnsi="Arial" w:cs="Arial" w:eastAsia="Arial" w:hint="default"/>
          <w:spacing w:val="28"/>
        </w:rPr>
        <w:t> </w:t>
      </w:r>
      <w:r>
        <w:rPr/>
        <w:t>少数股东权益</w:t>
      </w:r>
    </w:p>
    <w:p>
      <w:pPr>
        <w:pStyle w:val="BodyText"/>
        <w:spacing w:line="284" w:lineRule="exact" w:before="75"/>
        <w:ind w:left="592" w:right="175"/>
        <w:jc w:val="left"/>
      </w:pPr>
      <w:r>
        <w:rPr/>
        <w:t>于</w:t>
      </w:r>
      <w:r>
        <w:rPr>
          <w:spacing w:val="-57"/>
        </w:rPr>
        <w:t> </w:t>
      </w:r>
      <w:r>
        <w:rPr>
          <w:rFonts w:ascii="Arial" w:hAnsi="Arial" w:cs="Arial" w:eastAsia="Arial" w:hint="default"/>
        </w:rPr>
        <w:t>2009</w:t>
      </w:r>
      <w:r>
        <w:rPr>
          <w:rFonts w:ascii="Arial" w:hAnsi="Arial" w:cs="Arial" w:eastAsia="Arial" w:hint="default"/>
          <w:spacing w:val="-8"/>
        </w:rPr>
        <w:t> </w:t>
      </w:r>
      <w:r>
        <w:rPr/>
        <w:t>年</w:t>
      </w:r>
      <w:r>
        <w:rPr>
          <w:spacing w:val="-57"/>
        </w:rPr>
        <w:t> </w:t>
      </w: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t>日，联通集团因直接持有联通</w:t>
      </w:r>
      <w:r>
        <w:rPr>
          <w:spacing w:val="-57"/>
        </w:rPr>
        <w:t> </w:t>
      </w:r>
      <w:r>
        <w:rPr>
          <w:rFonts w:ascii="Arial" w:hAnsi="Arial" w:cs="Arial" w:eastAsia="Arial" w:hint="default"/>
        </w:rPr>
        <w:t>BVI</w:t>
      </w:r>
      <w:r>
        <w:rPr>
          <w:rFonts w:ascii="Arial" w:hAnsi="Arial" w:cs="Arial" w:eastAsia="Arial" w:hint="default"/>
          <w:spacing w:val="-8"/>
        </w:rPr>
        <w:t> </w:t>
      </w:r>
      <w:r>
        <w:rPr/>
        <w:t>公司余下的</w:t>
      </w:r>
      <w:r>
        <w:rPr>
          <w:spacing w:val="-57"/>
        </w:rPr>
        <w:t> </w:t>
      </w:r>
      <w:r>
        <w:rPr>
          <w:rFonts w:ascii="Arial" w:hAnsi="Arial" w:cs="Arial" w:eastAsia="Arial" w:hint="default"/>
        </w:rPr>
        <w:t>17.90%</w:t>
      </w:r>
      <w:r>
        <w:rPr/>
        <w:t>股权而于本集团合</w:t>
      </w:r>
      <w:r>
        <w:rPr>
          <w:w w:val="99"/>
        </w:rPr>
        <w:t> </w:t>
      </w:r>
      <w:r>
        <w:rPr/>
        <w:t>并财务报表中被确认为少数股东。</w:t>
      </w:r>
    </w:p>
    <w:p>
      <w:pPr>
        <w:pStyle w:val="BodyText"/>
        <w:spacing w:line="286" w:lineRule="exact" w:before="180"/>
        <w:ind w:left="592" w:right="152"/>
        <w:jc w:val="left"/>
      </w:pPr>
      <w:r>
        <w:rPr/>
        <w:t>于</w:t>
      </w:r>
      <w:r>
        <w:rPr>
          <w:spacing w:val="-48"/>
        </w:rPr>
        <w:t> </w:t>
      </w:r>
      <w:r>
        <w:rPr>
          <w:rFonts w:ascii="Arial" w:hAnsi="Arial" w:cs="Arial" w:eastAsia="Arial" w:hint="default"/>
        </w:rPr>
        <w:t>2009</w:t>
      </w:r>
      <w:r>
        <w:rPr>
          <w:rFonts w:ascii="Arial" w:hAnsi="Arial" w:cs="Arial" w:eastAsia="Arial" w:hint="default"/>
          <w:spacing w:val="3"/>
        </w:rPr>
        <w:t> </w:t>
      </w:r>
      <w:r>
        <w:rPr/>
        <w:t>年</w:t>
      </w:r>
      <w:r>
        <w:rPr>
          <w:spacing w:val="-47"/>
        </w:rPr>
        <w:t> </w:t>
      </w:r>
      <w:r>
        <w:rPr>
          <w:rFonts w:ascii="Arial" w:hAnsi="Arial" w:cs="Arial" w:eastAsia="Arial" w:hint="default"/>
        </w:rPr>
        <w:t>12</w:t>
      </w:r>
      <w:r>
        <w:rPr>
          <w:rFonts w:ascii="Arial" w:hAnsi="Arial" w:cs="Arial" w:eastAsia="Arial" w:hint="default"/>
          <w:spacing w:val="1"/>
        </w:rPr>
        <w:t> </w:t>
      </w:r>
      <w:r>
        <w:rPr/>
        <w:t>月</w:t>
      </w:r>
      <w:r>
        <w:rPr>
          <w:spacing w:val="-48"/>
        </w:rPr>
        <w:t> </w:t>
      </w:r>
      <w:r>
        <w:rPr>
          <w:rFonts w:ascii="Arial" w:hAnsi="Arial" w:cs="Arial" w:eastAsia="Arial" w:hint="default"/>
        </w:rPr>
        <w:t>31</w:t>
      </w:r>
      <w:r>
        <w:rPr>
          <w:rFonts w:ascii="Arial" w:hAnsi="Arial" w:cs="Arial" w:eastAsia="Arial" w:hint="default"/>
          <w:spacing w:val="3"/>
        </w:rPr>
        <w:t> </w:t>
      </w:r>
      <w:r>
        <w:rPr/>
        <w:t>日，如附注二</w:t>
      </w:r>
      <w:r>
        <w:rPr>
          <w:rFonts w:ascii="Arial" w:hAnsi="Arial" w:cs="Arial" w:eastAsia="Arial" w:hint="default"/>
        </w:rPr>
        <w:t>(1)(c)</w:t>
      </w:r>
      <w:r>
        <w:rPr/>
        <w:t>所示，网通集团</w:t>
      </w:r>
      <w:r>
        <w:rPr>
          <w:spacing w:val="-48"/>
        </w:rPr>
        <w:t> </w:t>
      </w:r>
      <w:r>
        <w:rPr>
          <w:rFonts w:ascii="Arial" w:hAnsi="Arial" w:cs="Arial" w:eastAsia="Arial" w:hint="default"/>
        </w:rPr>
        <w:t>BVI</w:t>
      </w:r>
      <w:r>
        <w:rPr>
          <w:rFonts w:ascii="Arial" w:hAnsi="Arial" w:cs="Arial" w:eastAsia="Arial" w:hint="default"/>
          <w:spacing w:val="1"/>
        </w:rPr>
        <w:t> </w:t>
      </w:r>
      <w:r>
        <w:rPr/>
        <w:t>公司因合并后持有联通红筹公司</w:t>
      </w:r>
      <w:r>
        <w:rPr>
          <w:w w:val="99"/>
        </w:rPr>
        <w:t> </w:t>
      </w:r>
      <w:r>
        <w:rPr/>
        <w:t>约</w:t>
      </w:r>
      <w:r>
        <w:rPr>
          <w:spacing w:val="-59"/>
        </w:rPr>
        <w:t> </w:t>
      </w:r>
      <w:r>
        <w:rPr>
          <w:rFonts w:ascii="Arial" w:hAnsi="Arial" w:cs="Arial" w:eastAsia="Arial" w:hint="default"/>
        </w:rPr>
        <w:t>29.74%</w:t>
      </w:r>
      <w:r>
        <w:rPr/>
        <w:t>的股份而于本集团合并财务报表被确认为少数股东。</w:t>
      </w:r>
    </w:p>
    <w:p>
      <w:pPr>
        <w:spacing w:line="240" w:lineRule="auto" w:before="10"/>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4820"/>
        <w:gridCol w:w="2270"/>
        <w:gridCol w:w="168"/>
        <w:gridCol w:w="2240"/>
      </w:tblGrid>
      <w:tr>
        <w:trPr>
          <w:trHeight w:val="899"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2"/>
                <w:szCs w:val="22"/>
              </w:rPr>
            </w:pPr>
            <w:r>
              <w:rPr>
                <w:rFonts w:ascii="Arial" w:hAnsi="Arial" w:cs="Arial" w:eastAsia="Arial" w:hint="default"/>
                <w:sz w:val="22"/>
                <w:szCs w:val="22"/>
              </w:rPr>
              <w:t>(a) </w:t>
            </w:r>
            <w:r>
              <w:rPr>
                <w:rFonts w:ascii="Arial" w:hAnsi="Arial" w:cs="Arial" w:eastAsia="Arial" w:hint="default"/>
                <w:spacing w:val="27"/>
                <w:sz w:val="22"/>
                <w:szCs w:val="22"/>
              </w:rPr>
              <w:t> </w:t>
            </w:r>
            <w:r>
              <w:rPr>
                <w:rFonts w:ascii="宋体" w:hAnsi="宋体" w:cs="宋体" w:eastAsia="宋体" w:hint="default"/>
                <w:sz w:val="22"/>
                <w:szCs w:val="22"/>
              </w:rPr>
              <w:t>归属于各子公司少数股东的少数股东权益</w:t>
            </w:r>
          </w:p>
        </w:tc>
        <w:tc>
          <w:tcPr>
            <w:tcW w:w="2270"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54"/>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168" w:type="dxa"/>
            <w:tcBorders>
              <w:top w:val="nil" w:sz="6" w:space="0" w:color="auto"/>
              <w:left w:val="nil" w:sz="6" w:space="0" w:color="auto"/>
              <w:bottom w:val="nil" w:sz="6" w:space="0" w:color="auto"/>
              <w:right w:val="nil" w:sz="6" w:space="0" w:color="auto"/>
            </w:tcBorders>
          </w:tcPr>
          <w:p>
            <w:pPr/>
          </w:p>
        </w:tc>
        <w:tc>
          <w:tcPr>
            <w:tcW w:w="2240"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0"/>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292" w:hRule="exact"/>
        </w:trPr>
        <w:tc>
          <w:tcPr>
            <w:tcW w:w="4820" w:type="dxa"/>
            <w:tcBorders>
              <w:top w:val="nil" w:sz="6" w:space="0" w:color="auto"/>
              <w:left w:val="nil" w:sz="6" w:space="0" w:color="auto"/>
              <w:bottom w:val="nil" w:sz="6" w:space="0" w:color="auto"/>
              <w:right w:val="nil" w:sz="6" w:space="0" w:color="auto"/>
            </w:tcBorders>
          </w:tcPr>
          <w:p>
            <w:pPr/>
          </w:p>
        </w:tc>
        <w:tc>
          <w:tcPr>
            <w:tcW w:w="2270" w:type="dxa"/>
            <w:tcBorders>
              <w:top w:val="single" w:sz="6" w:space="0" w:color="000000"/>
              <w:left w:val="nil" w:sz="6" w:space="0" w:color="auto"/>
              <w:bottom w:val="nil" w:sz="6" w:space="0" w:color="auto"/>
              <w:right w:val="nil" w:sz="6" w:space="0" w:color="auto"/>
            </w:tcBorders>
          </w:tcPr>
          <w:p>
            <w:pPr/>
          </w:p>
        </w:tc>
        <w:tc>
          <w:tcPr>
            <w:tcW w:w="168" w:type="dxa"/>
            <w:tcBorders>
              <w:top w:val="nil" w:sz="6" w:space="0" w:color="auto"/>
              <w:left w:val="nil" w:sz="6" w:space="0" w:color="auto"/>
              <w:bottom w:val="nil" w:sz="6" w:space="0" w:color="auto"/>
              <w:right w:val="nil" w:sz="6" w:space="0" w:color="auto"/>
            </w:tcBorders>
          </w:tcPr>
          <w:p>
            <w:pPr/>
          </w:p>
        </w:tc>
        <w:tc>
          <w:tcPr>
            <w:tcW w:w="2240" w:type="dxa"/>
            <w:tcBorders>
              <w:top w:val="single" w:sz="6" w:space="0" w:color="000000"/>
              <w:left w:val="nil" w:sz="6" w:space="0" w:color="auto"/>
              <w:bottom w:val="nil" w:sz="6" w:space="0" w:color="auto"/>
              <w:right w:val="nil" w:sz="6" w:space="0" w:color="auto"/>
            </w:tcBorders>
          </w:tcPr>
          <w:p>
            <w:pPr>
              <w:pStyle w:val="TableParagraph"/>
              <w:spacing w:line="252" w:lineRule="exact"/>
              <w:ind w:right="1"/>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52" w:lineRule="exact"/>
              <w:ind w:left="482" w:right="0"/>
              <w:jc w:val="left"/>
              <w:rPr>
                <w:rFonts w:ascii="宋体" w:hAnsi="宋体" w:cs="宋体" w:eastAsia="宋体" w:hint="default"/>
                <w:sz w:val="22"/>
                <w:szCs w:val="22"/>
              </w:rPr>
            </w:pPr>
            <w:r>
              <w:rPr>
                <w:rFonts w:ascii="宋体" w:hAnsi="宋体" w:cs="宋体" w:eastAsia="宋体" w:hint="default"/>
                <w:sz w:val="22"/>
                <w:szCs w:val="22"/>
              </w:rPr>
              <w:t>联通集团</w:t>
            </w:r>
          </w:p>
        </w:tc>
        <w:tc>
          <w:tcPr>
            <w:tcW w:w="2270"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70"/>
              <w:jc w:val="right"/>
              <w:rPr>
                <w:rFonts w:ascii="Arial" w:hAnsi="Arial" w:cs="Arial" w:eastAsia="Arial" w:hint="default"/>
                <w:sz w:val="22"/>
                <w:szCs w:val="22"/>
              </w:rPr>
            </w:pPr>
            <w:r>
              <w:rPr>
                <w:rFonts w:ascii="Arial"/>
                <w:spacing w:val="-1"/>
                <w:sz w:val="22"/>
              </w:rPr>
              <w:t>15,408,243,372</w:t>
            </w:r>
          </w:p>
        </w:tc>
        <w:tc>
          <w:tcPr>
            <w:tcW w:w="168" w:type="dxa"/>
            <w:tcBorders>
              <w:top w:val="nil" w:sz="6" w:space="0" w:color="auto"/>
              <w:left w:val="nil" w:sz="6" w:space="0" w:color="auto"/>
              <w:bottom w:val="nil" w:sz="6" w:space="0" w:color="auto"/>
              <w:right w:val="nil" w:sz="6" w:space="0" w:color="auto"/>
            </w:tcBorders>
          </w:tcPr>
          <w:p>
            <w:pPr/>
          </w:p>
        </w:tc>
        <w:tc>
          <w:tcPr>
            <w:tcW w:w="2240"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43"/>
              <w:jc w:val="right"/>
              <w:rPr>
                <w:rFonts w:ascii="Arial" w:hAnsi="Arial" w:cs="Arial" w:eastAsia="Arial" w:hint="default"/>
                <w:sz w:val="22"/>
                <w:szCs w:val="22"/>
              </w:rPr>
            </w:pPr>
            <w:r>
              <w:rPr>
                <w:rFonts w:ascii="Arial"/>
                <w:spacing w:val="-1"/>
                <w:sz w:val="22"/>
              </w:rPr>
              <w:t>15,379,221,604</w:t>
            </w:r>
          </w:p>
        </w:tc>
      </w:tr>
      <w:tr>
        <w:trPr>
          <w:trHeight w:val="285"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55" w:lineRule="exact"/>
              <w:ind w:left="482" w:right="0"/>
              <w:jc w:val="left"/>
              <w:rPr>
                <w:rFonts w:ascii="宋体" w:hAnsi="宋体" w:cs="宋体" w:eastAsia="宋体" w:hint="default"/>
                <w:sz w:val="22"/>
                <w:szCs w:val="22"/>
              </w:rPr>
            </w:pPr>
            <w:r>
              <w:rPr>
                <w:rFonts w:ascii="宋体" w:hAnsi="宋体" w:cs="宋体" w:eastAsia="宋体" w:hint="default"/>
                <w:sz w:val="22"/>
                <w:szCs w:val="22"/>
              </w:rPr>
              <w:t>网通集团</w:t>
            </w:r>
            <w:r>
              <w:rPr>
                <w:rFonts w:ascii="宋体" w:hAnsi="宋体" w:cs="宋体" w:eastAsia="宋体" w:hint="default"/>
                <w:spacing w:val="-56"/>
                <w:sz w:val="22"/>
                <w:szCs w:val="22"/>
              </w:rPr>
              <w:t> </w:t>
            </w:r>
            <w:r>
              <w:rPr>
                <w:rFonts w:ascii="Arial" w:hAnsi="Arial" w:cs="Arial" w:eastAsia="Arial" w:hint="default"/>
                <w:sz w:val="22"/>
                <w:szCs w:val="22"/>
              </w:rPr>
              <w:t>BVI</w:t>
            </w:r>
            <w:r>
              <w:rPr>
                <w:rFonts w:ascii="Arial" w:hAnsi="Arial" w:cs="Arial" w:eastAsia="Arial" w:hint="default"/>
                <w:spacing w:val="-7"/>
                <w:sz w:val="22"/>
                <w:szCs w:val="22"/>
              </w:rPr>
              <w:t> </w:t>
            </w:r>
            <w:r>
              <w:rPr>
                <w:rFonts w:ascii="宋体" w:hAnsi="宋体" w:cs="宋体" w:eastAsia="宋体" w:hint="default"/>
                <w:sz w:val="22"/>
                <w:szCs w:val="22"/>
              </w:rPr>
              <w:t>公司</w:t>
            </w:r>
          </w:p>
        </w:tc>
        <w:tc>
          <w:tcPr>
            <w:tcW w:w="227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70"/>
              <w:jc w:val="right"/>
              <w:rPr>
                <w:rFonts w:ascii="Arial" w:hAnsi="Arial" w:cs="Arial" w:eastAsia="Arial" w:hint="default"/>
                <w:sz w:val="22"/>
                <w:szCs w:val="22"/>
              </w:rPr>
            </w:pPr>
            <w:r>
              <w:rPr>
                <w:rFonts w:ascii="Arial"/>
                <w:spacing w:val="-1"/>
                <w:sz w:val="22"/>
              </w:rPr>
              <w:t>62,020,365,548</w:t>
            </w:r>
          </w:p>
        </w:tc>
        <w:tc>
          <w:tcPr>
            <w:tcW w:w="168" w:type="dxa"/>
            <w:tcBorders>
              <w:top w:val="nil" w:sz="6" w:space="0" w:color="auto"/>
              <w:left w:val="nil" w:sz="6" w:space="0" w:color="auto"/>
              <w:bottom w:val="nil" w:sz="6" w:space="0" w:color="auto"/>
              <w:right w:val="nil" w:sz="6" w:space="0" w:color="auto"/>
            </w:tcBorders>
          </w:tcPr>
          <w:p>
            <w:pPr/>
          </w:p>
        </w:tc>
        <w:tc>
          <w:tcPr>
            <w:tcW w:w="224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3"/>
              <w:jc w:val="right"/>
              <w:rPr>
                <w:rFonts w:ascii="Arial" w:hAnsi="Arial" w:cs="Arial" w:eastAsia="Arial" w:hint="default"/>
                <w:sz w:val="22"/>
                <w:szCs w:val="22"/>
              </w:rPr>
            </w:pPr>
            <w:r>
              <w:rPr>
                <w:rFonts w:ascii="Arial"/>
                <w:spacing w:val="-1"/>
                <w:sz w:val="22"/>
              </w:rPr>
              <w:t>61,903,543,951</w:t>
            </w:r>
          </w:p>
        </w:tc>
      </w:tr>
      <w:tr>
        <w:trPr>
          <w:trHeight w:val="285"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联通红筹公司之公众股东</w:t>
            </w:r>
          </w:p>
        </w:tc>
        <w:tc>
          <w:tcPr>
            <w:tcW w:w="227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70"/>
              <w:jc w:val="right"/>
              <w:rPr>
                <w:rFonts w:ascii="Arial" w:hAnsi="Arial" w:cs="Arial" w:eastAsia="Arial" w:hint="default"/>
                <w:sz w:val="22"/>
                <w:szCs w:val="22"/>
              </w:rPr>
            </w:pPr>
            <w:r>
              <w:rPr>
                <w:rFonts w:ascii="Arial"/>
                <w:spacing w:val="-1"/>
                <w:sz w:val="22"/>
              </w:rPr>
              <w:t>60,430,875,182</w:t>
            </w:r>
          </w:p>
        </w:tc>
        <w:tc>
          <w:tcPr>
            <w:tcW w:w="168" w:type="dxa"/>
            <w:tcBorders>
              <w:top w:val="nil" w:sz="6" w:space="0" w:color="auto"/>
              <w:left w:val="nil" w:sz="6" w:space="0" w:color="auto"/>
              <w:bottom w:val="nil" w:sz="6" w:space="0" w:color="auto"/>
              <w:right w:val="nil" w:sz="6" w:space="0" w:color="auto"/>
            </w:tcBorders>
          </w:tcPr>
          <w:p>
            <w:pPr/>
          </w:p>
        </w:tc>
        <w:tc>
          <w:tcPr>
            <w:tcW w:w="224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3"/>
              <w:jc w:val="right"/>
              <w:rPr>
                <w:rFonts w:ascii="Arial" w:hAnsi="Arial" w:cs="Arial" w:eastAsia="Arial" w:hint="default"/>
                <w:sz w:val="22"/>
                <w:szCs w:val="22"/>
              </w:rPr>
            </w:pPr>
            <w:r>
              <w:rPr>
                <w:rFonts w:ascii="Arial"/>
                <w:spacing w:val="-1"/>
                <w:sz w:val="22"/>
              </w:rPr>
              <w:t>62,135,132,371</w:t>
            </w:r>
          </w:p>
        </w:tc>
      </w:tr>
      <w:tr>
        <w:trPr>
          <w:trHeight w:val="420"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70" w:type="dxa"/>
            <w:tcBorders>
              <w:top w:val="nil" w:sz="6" w:space="0" w:color="auto"/>
              <w:left w:val="nil" w:sz="6" w:space="0" w:color="auto"/>
              <w:bottom w:val="nil" w:sz="6" w:space="0" w:color="auto"/>
              <w:right w:val="nil" w:sz="6" w:space="0" w:color="auto"/>
            </w:tcBorders>
          </w:tcPr>
          <w:p>
            <w:pPr>
              <w:pStyle w:val="TableParagraph"/>
              <w:tabs>
                <w:tab w:pos="1211" w:val="left" w:leader="none"/>
                <w:tab w:pos="2255"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2,102,592</w:t>
            </w:r>
            <w:r>
              <w:rPr>
                <w:rFonts w:ascii="Arial"/>
                <w:sz w:val="22"/>
                <w:u w:val="single" w:color="000000"/>
              </w:rPr>
              <w:tab/>
            </w:r>
            <w:r>
              <w:rPr>
                <w:rFonts w:ascii="Arial"/>
                <w:sz w:val="22"/>
              </w:rPr>
            </w:r>
          </w:p>
        </w:tc>
        <w:tc>
          <w:tcPr>
            <w:tcW w:w="168" w:type="dxa"/>
            <w:tcBorders>
              <w:top w:val="nil" w:sz="6" w:space="0" w:color="auto"/>
              <w:left w:val="nil" w:sz="6" w:space="0" w:color="auto"/>
              <w:bottom w:val="nil" w:sz="6" w:space="0" w:color="auto"/>
              <w:right w:val="nil" w:sz="6" w:space="0" w:color="auto"/>
            </w:tcBorders>
          </w:tcPr>
          <w:p>
            <w:pPr/>
          </w:p>
        </w:tc>
        <w:tc>
          <w:tcPr>
            <w:tcW w:w="2240" w:type="dxa"/>
            <w:tcBorders>
              <w:top w:val="nil" w:sz="6" w:space="0" w:color="auto"/>
              <w:left w:val="nil" w:sz="6" w:space="0" w:color="auto"/>
              <w:bottom w:val="nil" w:sz="6" w:space="0" w:color="auto"/>
              <w:right w:val="nil" w:sz="6" w:space="0" w:color="auto"/>
            </w:tcBorders>
          </w:tcPr>
          <w:p>
            <w:pPr>
              <w:pStyle w:val="TableParagraph"/>
              <w:tabs>
                <w:tab w:pos="1215" w:val="left" w:leader="none"/>
              </w:tabs>
              <w:spacing w:line="240" w:lineRule="auto" w:before="17"/>
              <w:ind w:left="3"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2,117,028</w:t>
            </w:r>
            <w:r>
              <w:rPr>
                <w:rFonts w:ascii="Arial"/>
                <w:sz w:val="22"/>
              </w:rPr>
            </w:r>
          </w:p>
        </w:tc>
      </w:tr>
      <w:tr>
        <w:trPr>
          <w:trHeight w:val="431" w:hRule="exact"/>
        </w:trPr>
        <w:tc>
          <w:tcPr>
            <w:tcW w:w="4820" w:type="dxa"/>
            <w:tcBorders>
              <w:top w:val="nil" w:sz="6" w:space="0" w:color="auto"/>
              <w:left w:val="nil" w:sz="6" w:space="0" w:color="auto"/>
              <w:bottom w:val="nil" w:sz="6" w:space="0" w:color="auto"/>
              <w:right w:val="nil" w:sz="6" w:space="0" w:color="auto"/>
            </w:tcBorders>
          </w:tcPr>
          <w:p>
            <w:pPr>
              <w:pStyle w:val="TableParagraph"/>
              <w:spacing w:line="240" w:lineRule="auto" w:before="86"/>
              <w:ind w:left="482"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70" w:type="dxa"/>
            <w:tcBorders>
              <w:top w:val="nil" w:sz="6" w:space="0" w:color="auto"/>
              <w:left w:val="nil" w:sz="6" w:space="0" w:color="auto"/>
              <w:bottom w:val="single" w:sz="17" w:space="0" w:color="000000"/>
              <w:right w:val="nil" w:sz="6" w:space="0" w:color="auto"/>
            </w:tcBorders>
          </w:tcPr>
          <w:p>
            <w:pPr>
              <w:pStyle w:val="TableParagraph"/>
              <w:spacing w:line="240" w:lineRule="auto" w:before="152"/>
              <w:ind w:right="70"/>
              <w:jc w:val="right"/>
              <w:rPr>
                <w:rFonts w:ascii="Arial" w:hAnsi="Arial" w:cs="Arial" w:eastAsia="Arial" w:hint="default"/>
                <w:sz w:val="22"/>
                <w:szCs w:val="22"/>
              </w:rPr>
            </w:pPr>
            <w:r>
              <w:rPr>
                <w:rFonts w:ascii="Arial"/>
                <w:spacing w:val="-1"/>
                <w:sz w:val="22"/>
              </w:rPr>
              <w:t>137,861,586,694</w:t>
            </w:r>
          </w:p>
        </w:tc>
        <w:tc>
          <w:tcPr>
            <w:tcW w:w="168" w:type="dxa"/>
            <w:tcBorders>
              <w:top w:val="nil" w:sz="6" w:space="0" w:color="auto"/>
              <w:left w:val="nil" w:sz="6" w:space="0" w:color="auto"/>
              <w:bottom w:val="nil" w:sz="6" w:space="0" w:color="auto"/>
              <w:right w:val="nil" w:sz="6" w:space="0" w:color="auto"/>
            </w:tcBorders>
          </w:tcPr>
          <w:p>
            <w:pPr/>
          </w:p>
        </w:tc>
        <w:tc>
          <w:tcPr>
            <w:tcW w:w="2240" w:type="dxa"/>
            <w:tcBorders>
              <w:top w:val="nil" w:sz="6" w:space="0" w:color="auto"/>
              <w:left w:val="nil" w:sz="6" w:space="0" w:color="auto"/>
              <w:bottom w:val="single" w:sz="17" w:space="0" w:color="000000"/>
              <w:right w:val="nil" w:sz="6" w:space="0" w:color="auto"/>
            </w:tcBorders>
          </w:tcPr>
          <w:p>
            <w:pPr>
              <w:pStyle w:val="TableParagraph"/>
              <w:spacing w:line="240" w:lineRule="auto" w:before="152"/>
              <w:ind w:right="44"/>
              <w:jc w:val="right"/>
              <w:rPr>
                <w:rFonts w:ascii="Arial" w:hAnsi="Arial" w:cs="Arial" w:eastAsia="Arial" w:hint="default"/>
                <w:sz w:val="22"/>
                <w:szCs w:val="22"/>
              </w:rPr>
            </w:pPr>
            <w:r>
              <w:rPr>
                <w:rFonts w:ascii="Arial"/>
                <w:spacing w:val="-1"/>
                <w:sz w:val="22"/>
              </w:rPr>
              <w:t>139,420,014,954</w:t>
            </w:r>
          </w:p>
        </w:tc>
      </w:tr>
    </w:tbl>
    <w:p>
      <w:pPr>
        <w:spacing w:after="0" w:line="240" w:lineRule="auto"/>
        <w:jc w:val="right"/>
        <w:rPr>
          <w:rFonts w:ascii="Arial" w:hAnsi="Arial" w:cs="Arial" w:eastAsia="Arial" w:hint="default"/>
          <w:sz w:val="22"/>
          <w:szCs w:val="22"/>
        </w:rPr>
        <w:sectPr>
          <w:headerReference w:type="default" r:id="rId111"/>
          <w:pgSz w:w="11910" w:h="16840"/>
          <w:pgMar w:header="1189" w:footer="752" w:top="3060" w:bottom="940" w:left="1240" w:right="940"/>
        </w:sectPr>
      </w:pPr>
    </w:p>
    <w:p>
      <w:pPr>
        <w:spacing w:line="240" w:lineRule="auto" w:before="12"/>
        <w:rPr>
          <w:rFonts w:ascii="宋体" w:hAnsi="宋体" w:cs="宋体" w:eastAsia="宋体" w:hint="default"/>
          <w:sz w:val="14"/>
          <w:szCs w:val="14"/>
        </w:rPr>
      </w:pPr>
    </w:p>
    <w:p>
      <w:pPr>
        <w:pStyle w:val="BodyText"/>
        <w:spacing w:line="427" w:lineRule="auto" w:before="31"/>
        <w:ind w:left="142" w:right="5597"/>
        <w:jc w:val="left"/>
      </w:pPr>
      <w:r>
        <w:rPr>
          <w:rFonts w:ascii="Arial" w:hAnsi="Arial" w:cs="Arial" w:eastAsia="Arial" w:hint="default"/>
        </w:rPr>
        <w:t>34</w:t>
      </w:r>
      <w:r>
        <w:rPr>
          <w:rFonts w:ascii="黑体" w:hAnsi="黑体" w:cs="黑体" w:eastAsia="黑体" w:hint="default"/>
        </w:rPr>
        <w:t>、少数股东权益及少数股东损益（续）</w:t>
      </w:r>
      <w:r>
        <w:rPr>
          <w:rFonts w:ascii="黑体" w:hAnsi="黑体" w:cs="黑体" w:eastAsia="黑体" w:hint="default"/>
          <w:w w:val="99"/>
        </w:rPr>
        <w:t> </w:t>
      </w:r>
      <w:r>
        <w:rPr>
          <w:rFonts w:ascii="Arial" w:hAnsi="Arial" w:cs="Arial" w:eastAsia="Arial" w:hint="default"/>
        </w:rPr>
        <w:t>(1) </w:t>
      </w:r>
      <w:r>
        <w:rPr>
          <w:rFonts w:ascii="Arial" w:hAnsi="Arial" w:cs="Arial" w:eastAsia="Arial" w:hint="default"/>
          <w:spacing w:val="26"/>
        </w:rPr>
        <w:t> </w:t>
      </w:r>
      <w:r>
        <w:rPr/>
        <w:t>少数股东权益（续）</w:t>
      </w:r>
    </w:p>
    <w:p>
      <w:pPr>
        <w:pStyle w:val="BodyText"/>
        <w:spacing w:line="286" w:lineRule="exact" w:before="70"/>
        <w:ind w:left="558" w:right="106" w:hanging="416"/>
        <w:jc w:val="left"/>
      </w:pPr>
      <w:r>
        <w:rPr>
          <w:rFonts w:ascii="Arial" w:hAnsi="Arial" w:cs="Arial" w:eastAsia="Arial" w:hint="default"/>
        </w:rPr>
        <w:t>(b)</w:t>
      </w:r>
      <w:r>
        <w:rPr>
          <w:rFonts w:ascii="Arial" w:hAnsi="Arial" w:cs="Arial" w:eastAsia="Arial" w:hint="default"/>
          <w:spacing w:val="23"/>
        </w:rPr>
        <w:t> </w:t>
      </w:r>
      <w:r>
        <w:rPr/>
        <w:t>于</w:t>
      </w:r>
      <w:r>
        <w:rPr>
          <w:spacing w:val="-46"/>
        </w:rPr>
        <w:t> </w:t>
      </w:r>
      <w:r>
        <w:rPr>
          <w:rFonts w:ascii="Arial" w:hAnsi="Arial" w:cs="Arial" w:eastAsia="Arial" w:hint="default"/>
        </w:rPr>
        <w:t>2009</w:t>
      </w:r>
      <w:r>
        <w:rPr>
          <w:rFonts w:ascii="Arial" w:hAnsi="Arial" w:cs="Arial" w:eastAsia="Arial" w:hint="default"/>
          <w:spacing w:val="5"/>
        </w:rPr>
        <w:t> </w:t>
      </w:r>
      <w:r>
        <w:rPr/>
        <w:t>年</w:t>
      </w:r>
      <w:r>
        <w:rPr>
          <w:spacing w:val="-44"/>
        </w:rPr>
        <w:t> </w:t>
      </w:r>
      <w:r>
        <w:rPr>
          <w:rFonts w:ascii="Arial" w:hAnsi="Arial" w:cs="Arial" w:eastAsia="Arial" w:hint="default"/>
        </w:rPr>
        <w:t>12</w:t>
      </w:r>
      <w:r>
        <w:rPr>
          <w:rFonts w:ascii="Arial" w:hAnsi="Arial" w:cs="Arial" w:eastAsia="Arial" w:hint="default"/>
          <w:spacing w:val="4"/>
        </w:rPr>
        <w:t> </w:t>
      </w:r>
      <w:r>
        <w:rPr/>
        <w:t>月</w:t>
      </w:r>
      <w:r>
        <w:rPr>
          <w:spacing w:val="-46"/>
        </w:rPr>
        <w:t> </w:t>
      </w:r>
      <w:r>
        <w:rPr>
          <w:rFonts w:ascii="Arial" w:hAnsi="Arial" w:cs="Arial" w:eastAsia="Arial" w:hint="default"/>
        </w:rPr>
        <w:t>31</w:t>
      </w:r>
      <w:r>
        <w:rPr>
          <w:rFonts w:ascii="Arial" w:hAnsi="Arial" w:cs="Arial" w:eastAsia="Arial" w:hint="default"/>
          <w:spacing w:val="5"/>
        </w:rPr>
        <w:t> </w:t>
      </w:r>
      <w:r>
        <w:rPr/>
        <w:t>日，无从本公司股东权益中冲减的子公司少数股东分担的年度亏损超过少</w:t>
      </w:r>
      <w:r>
        <w:rPr>
          <w:w w:val="99"/>
        </w:rPr>
        <w:t> </w:t>
      </w:r>
      <w:r>
        <w:rPr/>
        <w:t>数股东在该子公司年初所有者权益中所享有的份额的情况。</w:t>
      </w:r>
    </w:p>
    <w:p>
      <w:pPr>
        <w:spacing w:line="240" w:lineRule="auto" w:before="10"/>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4809"/>
        <w:gridCol w:w="2212"/>
        <w:gridCol w:w="227"/>
        <w:gridCol w:w="2251"/>
      </w:tblGrid>
      <w:tr>
        <w:trPr>
          <w:trHeight w:val="825"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2"/>
                <w:szCs w:val="22"/>
              </w:rPr>
            </w:pPr>
            <w:r>
              <w:rPr>
                <w:rFonts w:ascii="Arial" w:hAnsi="Arial" w:cs="Arial" w:eastAsia="Arial" w:hint="default"/>
                <w:sz w:val="22"/>
                <w:szCs w:val="22"/>
              </w:rPr>
              <w:t>(2) </w:t>
            </w:r>
            <w:r>
              <w:rPr>
                <w:rFonts w:ascii="Arial" w:hAnsi="Arial" w:cs="Arial" w:eastAsia="Arial" w:hint="default"/>
                <w:spacing w:val="28"/>
                <w:sz w:val="22"/>
                <w:szCs w:val="22"/>
              </w:rPr>
              <w:t> </w:t>
            </w:r>
            <w:r>
              <w:rPr>
                <w:rFonts w:ascii="宋体" w:hAnsi="宋体" w:cs="宋体" w:eastAsia="宋体" w:hint="default"/>
                <w:sz w:val="22"/>
                <w:szCs w:val="22"/>
              </w:rPr>
              <w:t>少数股东损益</w:t>
            </w:r>
          </w:p>
        </w:tc>
        <w:tc>
          <w:tcPr>
            <w:tcW w:w="2212"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54"/>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53"/>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292" w:hRule="exact"/>
        </w:trPr>
        <w:tc>
          <w:tcPr>
            <w:tcW w:w="4809" w:type="dxa"/>
            <w:tcBorders>
              <w:top w:val="nil" w:sz="6" w:space="0" w:color="auto"/>
              <w:left w:val="nil" w:sz="6" w:space="0" w:color="auto"/>
              <w:bottom w:val="nil" w:sz="6" w:space="0" w:color="auto"/>
              <w:right w:val="nil" w:sz="6" w:space="0" w:color="auto"/>
            </w:tcBorders>
          </w:tcPr>
          <w:p>
            <w:pPr/>
          </w:p>
        </w:tc>
        <w:tc>
          <w:tcPr>
            <w:tcW w:w="2212" w:type="dxa"/>
            <w:tcBorders>
              <w:top w:val="single" w:sz="6" w:space="0" w:color="000000"/>
              <w:left w:val="nil" w:sz="6" w:space="0" w:color="auto"/>
              <w:bottom w:val="nil" w:sz="6" w:space="0" w:color="auto"/>
              <w:right w:val="nil" w:sz="6" w:space="0" w:color="auto"/>
            </w:tcBorders>
          </w:tcPr>
          <w:p>
            <w:pP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single" w:sz="6" w:space="0" w:color="000000"/>
              <w:left w:val="nil" w:sz="6" w:space="0" w:color="auto"/>
              <w:bottom w:val="nil" w:sz="6" w:space="0" w:color="auto"/>
              <w:right w:val="nil" w:sz="6" w:space="0" w:color="auto"/>
            </w:tcBorders>
          </w:tcPr>
          <w:p>
            <w:pPr>
              <w:pStyle w:val="TableParagraph"/>
              <w:spacing w:line="253" w:lineRule="exact"/>
              <w:ind w:right="54"/>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52" w:lineRule="exact"/>
              <w:ind w:left="482" w:right="0"/>
              <w:jc w:val="left"/>
              <w:rPr>
                <w:rFonts w:ascii="宋体" w:hAnsi="宋体" w:cs="宋体" w:eastAsia="宋体" w:hint="default"/>
                <w:sz w:val="22"/>
                <w:szCs w:val="22"/>
              </w:rPr>
            </w:pPr>
            <w:r>
              <w:rPr>
                <w:rFonts w:ascii="宋体" w:hAnsi="宋体" w:cs="宋体" w:eastAsia="宋体" w:hint="default"/>
                <w:sz w:val="22"/>
                <w:szCs w:val="22"/>
              </w:rPr>
              <w:t>联通集团</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95"/>
              <w:jc w:val="right"/>
              <w:rPr>
                <w:rFonts w:ascii="Arial" w:hAnsi="Arial" w:cs="Arial" w:eastAsia="Arial" w:hint="default"/>
                <w:sz w:val="22"/>
                <w:szCs w:val="22"/>
              </w:rPr>
            </w:pPr>
            <w:r>
              <w:rPr>
                <w:rFonts w:ascii="Arial"/>
                <w:w w:val="95"/>
                <w:sz w:val="22"/>
              </w:rPr>
              <w:t>686,936,842</w:t>
            </w:r>
            <w:r>
              <w:rPr>
                <w:rFonts w:ascii="Arial"/>
                <w:sz w:val="22"/>
              </w:rPr>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82"/>
              <w:jc w:val="right"/>
              <w:rPr>
                <w:rFonts w:ascii="Arial" w:hAnsi="Arial" w:cs="Arial" w:eastAsia="Arial" w:hint="default"/>
                <w:sz w:val="22"/>
                <w:szCs w:val="22"/>
              </w:rPr>
            </w:pPr>
            <w:r>
              <w:rPr>
                <w:rFonts w:ascii="Arial"/>
                <w:spacing w:val="-1"/>
                <w:sz w:val="22"/>
              </w:rPr>
              <w:t>4,415,845,543</w:t>
            </w:r>
          </w:p>
        </w:tc>
      </w:tr>
      <w:tr>
        <w:trPr>
          <w:trHeight w:val="285"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55" w:lineRule="exact"/>
              <w:ind w:left="482" w:right="0"/>
              <w:jc w:val="left"/>
              <w:rPr>
                <w:rFonts w:ascii="宋体" w:hAnsi="宋体" w:cs="宋体" w:eastAsia="宋体" w:hint="default"/>
                <w:sz w:val="22"/>
                <w:szCs w:val="22"/>
              </w:rPr>
            </w:pPr>
            <w:r>
              <w:rPr>
                <w:rFonts w:ascii="宋体" w:hAnsi="宋体" w:cs="宋体" w:eastAsia="宋体" w:hint="default"/>
                <w:sz w:val="22"/>
                <w:szCs w:val="22"/>
              </w:rPr>
              <w:t>网通集团</w:t>
            </w:r>
            <w:r>
              <w:rPr>
                <w:rFonts w:ascii="宋体" w:hAnsi="宋体" w:cs="宋体" w:eastAsia="宋体" w:hint="default"/>
                <w:spacing w:val="-56"/>
                <w:sz w:val="22"/>
                <w:szCs w:val="22"/>
              </w:rPr>
              <w:t> </w:t>
            </w:r>
            <w:r>
              <w:rPr>
                <w:rFonts w:ascii="Arial" w:hAnsi="Arial" w:cs="Arial" w:eastAsia="Arial" w:hint="default"/>
                <w:sz w:val="22"/>
                <w:szCs w:val="22"/>
              </w:rPr>
              <w:t>BVI</w:t>
            </w:r>
            <w:r>
              <w:rPr>
                <w:rFonts w:ascii="Arial" w:hAnsi="Arial" w:cs="Arial" w:eastAsia="Arial" w:hint="default"/>
                <w:spacing w:val="-7"/>
                <w:sz w:val="22"/>
                <w:szCs w:val="22"/>
              </w:rPr>
              <w:t> </w:t>
            </w:r>
            <w:r>
              <w:rPr>
                <w:rFonts w:ascii="宋体" w:hAnsi="宋体" w:cs="宋体" w:eastAsia="宋体" w:hint="default"/>
                <w:sz w:val="22"/>
                <w:szCs w:val="22"/>
              </w:rPr>
              <w:t>公司</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6"/>
              <w:jc w:val="right"/>
              <w:rPr>
                <w:rFonts w:ascii="Arial" w:hAnsi="Arial" w:cs="Arial" w:eastAsia="Arial" w:hint="default"/>
                <w:sz w:val="22"/>
                <w:szCs w:val="22"/>
              </w:rPr>
            </w:pPr>
            <w:r>
              <w:rPr>
                <w:rFonts w:ascii="Arial"/>
                <w:spacing w:val="-1"/>
                <w:sz w:val="22"/>
              </w:rPr>
              <w:t>2,765,034,093</w:t>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1"/>
              <w:jc w:val="right"/>
              <w:rPr>
                <w:rFonts w:ascii="Arial" w:hAnsi="Arial" w:cs="Arial" w:eastAsia="Arial" w:hint="default"/>
                <w:sz w:val="22"/>
                <w:szCs w:val="22"/>
              </w:rPr>
            </w:pPr>
            <w:r>
              <w:rPr>
                <w:rFonts w:ascii="Arial"/>
                <w:w w:val="95"/>
                <w:sz w:val="22"/>
              </w:rPr>
              <w:t>384,578,481</w:t>
            </w:r>
            <w:r>
              <w:rPr>
                <w:rFonts w:ascii="Arial"/>
                <w:sz w:val="22"/>
              </w:rPr>
            </w:r>
          </w:p>
        </w:tc>
      </w:tr>
      <w:tr>
        <w:trPr>
          <w:trHeight w:val="285"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联通红筹公司之公众股东</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6"/>
              <w:jc w:val="right"/>
              <w:rPr>
                <w:rFonts w:ascii="Arial" w:hAnsi="Arial" w:cs="Arial" w:eastAsia="Arial" w:hint="default"/>
                <w:sz w:val="22"/>
                <w:szCs w:val="22"/>
              </w:rPr>
            </w:pPr>
            <w:r>
              <w:rPr>
                <w:rFonts w:ascii="Arial"/>
                <w:spacing w:val="-1"/>
                <w:sz w:val="22"/>
              </w:rPr>
              <w:t>2,784,912,794</w:t>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2"/>
              <w:jc w:val="right"/>
              <w:rPr>
                <w:rFonts w:ascii="Arial" w:hAnsi="Arial" w:cs="Arial" w:eastAsia="Arial" w:hint="default"/>
                <w:sz w:val="22"/>
                <w:szCs w:val="22"/>
              </w:rPr>
            </w:pPr>
            <w:r>
              <w:rPr>
                <w:rFonts w:ascii="Arial"/>
                <w:spacing w:val="-1"/>
                <w:sz w:val="22"/>
              </w:rPr>
              <w:t>10,162,085,954</w:t>
            </w:r>
          </w:p>
        </w:tc>
      </w:tr>
      <w:tr>
        <w:trPr>
          <w:trHeight w:val="420"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12" w:type="dxa"/>
            <w:tcBorders>
              <w:top w:val="nil" w:sz="6" w:space="0" w:color="auto"/>
              <w:left w:val="nil" w:sz="6" w:space="0" w:color="auto"/>
              <w:bottom w:val="nil" w:sz="6" w:space="0" w:color="auto"/>
              <w:right w:val="nil" w:sz="6" w:space="0" w:color="auto"/>
            </w:tcBorders>
          </w:tcPr>
          <w:p>
            <w:pPr>
              <w:pStyle w:val="TableParagraph"/>
              <w:tabs>
                <w:tab w:pos="1348" w:val="left" w:leader="none"/>
              </w:tabs>
              <w:spacing w:line="240" w:lineRule="auto" w:before="17"/>
              <w:ind w:right="23"/>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(14,435)</w:t>
            </w:r>
            <w:r>
              <w:rPr>
                <w:rFonts w:ascii="Arial"/>
                <w:w w:val="95"/>
                <w:sz w:val="22"/>
              </w:rPr>
            </w:r>
            <w:r>
              <w:rPr>
                <w:rFonts w:ascii="Arial"/>
                <w:sz w:val="22"/>
              </w:rPr>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tabs>
                <w:tab w:pos="1173" w:val="left" w:leader="none"/>
                <w:tab w:pos="2229"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1,126,724</w:t>
            </w:r>
            <w:r>
              <w:rPr>
                <w:rFonts w:ascii="Arial"/>
                <w:sz w:val="22"/>
                <w:u w:val="single" w:color="000000"/>
              </w:rPr>
              <w:tab/>
            </w:r>
            <w:r>
              <w:rPr>
                <w:rFonts w:ascii="Arial"/>
                <w:sz w:val="22"/>
              </w:rPr>
            </w:r>
          </w:p>
        </w:tc>
      </w:tr>
      <w:tr>
        <w:trPr>
          <w:trHeight w:val="430"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40" w:lineRule="auto" w:before="85"/>
              <w:ind w:left="482"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12"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96"/>
              <w:jc w:val="right"/>
              <w:rPr>
                <w:rFonts w:ascii="Arial" w:hAnsi="Arial" w:cs="Arial" w:eastAsia="Arial" w:hint="default"/>
                <w:sz w:val="22"/>
                <w:szCs w:val="22"/>
              </w:rPr>
            </w:pPr>
            <w:r>
              <w:rPr>
                <w:rFonts w:ascii="Arial"/>
                <w:spacing w:val="-1"/>
                <w:sz w:val="22"/>
              </w:rPr>
              <w:t>6,236,869,294</w:t>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82"/>
              <w:jc w:val="right"/>
              <w:rPr>
                <w:rFonts w:ascii="Arial" w:hAnsi="Arial" w:cs="Arial" w:eastAsia="Arial" w:hint="default"/>
                <w:sz w:val="22"/>
                <w:szCs w:val="22"/>
              </w:rPr>
            </w:pPr>
            <w:r>
              <w:rPr>
                <w:rFonts w:ascii="Arial"/>
                <w:spacing w:val="-1"/>
                <w:sz w:val="22"/>
              </w:rPr>
              <w:t>14,963,636,702</w:t>
            </w:r>
          </w:p>
        </w:tc>
      </w:tr>
      <w:tr>
        <w:trPr>
          <w:trHeight w:val="691"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35" w:right="0"/>
              <w:jc w:val="left"/>
              <w:rPr>
                <w:rFonts w:ascii="黑体" w:hAnsi="黑体" w:cs="黑体" w:eastAsia="黑体" w:hint="default"/>
                <w:sz w:val="22"/>
                <w:szCs w:val="22"/>
              </w:rPr>
            </w:pPr>
            <w:r>
              <w:rPr>
                <w:rFonts w:ascii="Arial" w:hAnsi="Arial" w:cs="Arial" w:eastAsia="Arial" w:hint="default"/>
                <w:sz w:val="22"/>
                <w:szCs w:val="22"/>
              </w:rPr>
              <w:t>35</w:t>
            </w:r>
            <w:r>
              <w:rPr>
                <w:rFonts w:ascii="黑体" w:hAnsi="黑体" w:cs="黑体" w:eastAsia="黑体" w:hint="default"/>
                <w:sz w:val="22"/>
                <w:szCs w:val="22"/>
              </w:rPr>
              <w:t>、营业收入和营业成本</w:t>
            </w:r>
          </w:p>
        </w:tc>
        <w:tc>
          <w:tcPr>
            <w:tcW w:w="2212" w:type="dxa"/>
            <w:tcBorders>
              <w:top w:val="single" w:sz="17" w:space="0" w:color="000000"/>
              <w:left w:val="nil" w:sz="6" w:space="0" w:color="auto"/>
              <w:bottom w:val="nil" w:sz="6" w:space="0" w:color="auto"/>
              <w:right w:val="nil" w:sz="6" w:space="0" w:color="auto"/>
            </w:tcBorders>
          </w:tcPr>
          <w:p>
            <w:pP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single" w:sz="17" w:space="0" w:color="000000"/>
              <w:left w:val="nil" w:sz="6" w:space="0" w:color="auto"/>
              <w:bottom w:val="nil" w:sz="6" w:space="0" w:color="auto"/>
              <w:right w:val="nil" w:sz="6" w:space="0" w:color="auto"/>
            </w:tcBorders>
          </w:tcPr>
          <w:p>
            <w:pPr/>
          </w:p>
        </w:tc>
      </w:tr>
      <w:tr>
        <w:trPr>
          <w:trHeight w:val="427" w:hRule="exact"/>
        </w:trPr>
        <w:tc>
          <w:tcPr>
            <w:tcW w:w="4809" w:type="dxa"/>
            <w:tcBorders>
              <w:top w:val="nil" w:sz="6" w:space="0" w:color="auto"/>
              <w:left w:val="nil" w:sz="6" w:space="0" w:color="auto"/>
              <w:bottom w:val="nil" w:sz="6" w:space="0" w:color="auto"/>
              <w:right w:val="nil" w:sz="6" w:space="0" w:color="auto"/>
            </w:tcBorders>
          </w:tcPr>
          <w:p>
            <w:pP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7"/>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85"/>
              <w:ind w:right="106"/>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310" w:hRule="exact"/>
        </w:trPr>
        <w:tc>
          <w:tcPr>
            <w:tcW w:w="4809" w:type="dxa"/>
            <w:tcBorders>
              <w:top w:val="nil" w:sz="6" w:space="0" w:color="auto"/>
              <w:left w:val="nil" w:sz="6" w:space="0" w:color="auto"/>
              <w:bottom w:val="nil" w:sz="6" w:space="0" w:color="auto"/>
              <w:right w:val="nil" w:sz="6" w:space="0" w:color="auto"/>
            </w:tcBorders>
          </w:tcPr>
          <w:p>
            <w:pPr/>
          </w:p>
        </w:tc>
        <w:tc>
          <w:tcPr>
            <w:tcW w:w="2212" w:type="dxa"/>
            <w:tcBorders>
              <w:top w:val="nil" w:sz="6" w:space="0" w:color="auto"/>
              <w:left w:val="nil" w:sz="6" w:space="0" w:color="auto"/>
              <w:bottom w:val="nil" w:sz="6" w:space="0" w:color="auto"/>
              <w:right w:val="nil" w:sz="6" w:space="0" w:color="auto"/>
            </w:tcBorders>
          </w:tcPr>
          <w:p>
            <w:pP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62" w:lineRule="exact"/>
              <w:ind w:right="107"/>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315"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68" w:lineRule="exact"/>
              <w:ind w:left="476" w:right="0"/>
              <w:jc w:val="left"/>
              <w:rPr>
                <w:rFonts w:ascii="宋体" w:hAnsi="宋体" w:cs="宋体" w:eastAsia="宋体" w:hint="default"/>
                <w:sz w:val="22"/>
                <w:szCs w:val="22"/>
              </w:rPr>
            </w:pPr>
            <w:r>
              <w:rPr>
                <w:rFonts w:ascii="宋体" w:hAnsi="宋体" w:cs="宋体" w:eastAsia="宋体" w:hint="default"/>
                <w:sz w:val="22"/>
                <w:szCs w:val="22"/>
              </w:rPr>
              <w:t>主营业务收入：</w:t>
            </w:r>
          </w:p>
        </w:tc>
        <w:tc>
          <w:tcPr>
            <w:tcW w:w="2212" w:type="dxa"/>
            <w:tcBorders>
              <w:top w:val="nil" w:sz="6" w:space="0" w:color="auto"/>
              <w:left w:val="nil" w:sz="6" w:space="0" w:color="auto"/>
              <w:bottom w:val="nil" w:sz="6" w:space="0" w:color="auto"/>
              <w:right w:val="nil" w:sz="6" w:space="0" w:color="auto"/>
            </w:tcBorders>
          </w:tcPr>
          <w:p>
            <w:pP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
        </w:tc>
      </w:tr>
      <w:tr>
        <w:trPr>
          <w:trHeight w:val="328"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67" w:lineRule="exact"/>
              <w:ind w:left="476" w:right="0"/>
              <w:jc w:val="left"/>
              <w:rPr>
                <w:rFonts w:ascii="宋体" w:hAnsi="宋体" w:cs="宋体" w:eastAsia="宋体" w:hint="default"/>
                <w:sz w:val="22"/>
                <w:szCs w:val="22"/>
              </w:rPr>
            </w:pPr>
            <w:r>
              <w:rPr>
                <w:rFonts w:ascii="宋体" w:hAnsi="宋体" w:cs="宋体" w:eastAsia="宋体" w:hint="default"/>
                <w:sz w:val="22"/>
                <w:szCs w:val="22"/>
              </w:rPr>
              <w:t>通话费</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06"/>
              <w:jc w:val="right"/>
              <w:rPr>
                <w:rFonts w:ascii="Arial" w:hAnsi="Arial" w:cs="Arial" w:eastAsia="Arial" w:hint="default"/>
                <w:sz w:val="22"/>
                <w:szCs w:val="22"/>
              </w:rPr>
            </w:pPr>
            <w:r>
              <w:rPr>
                <w:rFonts w:ascii="Arial"/>
                <w:spacing w:val="-1"/>
                <w:sz w:val="22"/>
              </w:rPr>
              <w:t>62,817,268,174</w:t>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06"/>
              <w:jc w:val="right"/>
              <w:rPr>
                <w:rFonts w:ascii="Arial" w:hAnsi="Arial" w:cs="Arial" w:eastAsia="Arial" w:hint="default"/>
                <w:sz w:val="22"/>
                <w:szCs w:val="22"/>
              </w:rPr>
            </w:pPr>
            <w:r>
              <w:rPr>
                <w:rFonts w:ascii="Arial"/>
                <w:spacing w:val="-1"/>
                <w:sz w:val="22"/>
              </w:rPr>
              <w:t>67,115,328,393</w:t>
            </w:r>
          </w:p>
        </w:tc>
      </w:tr>
      <w:tr>
        <w:trPr>
          <w:trHeight w:val="315"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54" w:lineRule="exact"/>
              <w:ind w:left="476" w:right="0"/>
              <w:jc w:val="left"/>
              <w:rPr>
                <w:rFonts w:ascii="宋体" w:hAnsi="宋体" w:cs="宋体" w:eastAsia="宋体" w:hint="default"/>
                <w:sz w:val="22"/>
                <w:szCs w:val="22"/>
              </w:rPr>
            </w:pPr>
            <w:r>
              <w:rPr>
                <w:rFonts w:ascii="宋体" w:hAnsi="宋体" w:cs="宋体" w:eastAsia="宋体" w:hint="default"/>
                <w:sz w:val="22"/>
                <w:szCs w:val="22"/>
              </w:rPr>
              <w:t>增值业务收入</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Arial" w:hAnsi="Arial" w:cs="Arial" w:eastAsia="Arial" w:hint="default"/>
                <w:sz w:val="22"/>
                <w:szCs w:val="22"/>
              </w:rPr>
            </w:pPr>
            <w:r>
              <w:rPr>
                <w:rFonts w:ascii="Arial"/>
                <w:spacing w:val="-1"/>
                <w:sz w:val="22"/>
              </w:rPr>
              <w:t>24,956,849,252</w:t>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Arial" w:hAnsi="Arial" w:cs="Arial" w:eastAsia="Arial" w:hint="default"/>
                <w:sz w:val="22"/>
                <w:szCs w:val="22"/>
              </w:rPr>
            </w:pPr>
            <w:r>
              <w:rPr>
                <w:rFonts w:ascii="Arial"/>
                <w:spacing w:val="-1"/>
                <w:sz w:val="22"/>
              </w:rPr>
              <w:t>23,990,986,132</w:t>
            </w:r>
          </w:p>
        </w:tc>
      </w:tr>
      <w:tr>
        <w:trPr>
          <w:trHeight w:val="315"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54" w:lineRule="exact"/>
              <w:ind w:left="476" w:right="0"/>
              <w:jc w:val="left"/>
              <w:rPr>
                <w:rFonts w:ascii="宋体" w:hAnsi="宋体" w:cs="宋体" w:eastAsia="宋体" w:hint="default"/>
                <w:sz w:val="22"/>
                <w:szCs w:val="22"/>
              </w:rPr>
            </w:pPr>
            <w:r>
              <w:rPr>
                <w:rFonts w:ascii="宋体" w:hAnsi="宋体" w:cs="宋体" w:eastAsia="宋体" w:hint="default"/>
                <w:sz w:val="22"/>
                <w:szCs w:val="22"/>
              </w:rPr>
              <w:t>宽带收入</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Arial" w:hAnsi="Arial" w:cs="Arial" w:eastAsia="Arial" w:hint="default"/>
                <w:sz w:val="22"/>
                <w:szCs w:val="22"/>
              </w:rPr>
            </w:pPr>
            <w:r>
              <w:rPr>
                <w:rFonts w:ascii="Arial"/>
                <w:spacing w:val="-1"/>
                <w:sz w:val="22"/>
              </w:rPr>
              <w:t>24,643,063,736</w:t>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Arial" w:hAnsi="Arial" w:cs="Arial" w:eastAsia="Arial" w:hint="default"/>
                <w:sz w:val="22"/>
                <w:szCs w:val="22"/>
              </w:rPr>
            </w:pPr>
            <w:r>
              <w:rPr>
                <w:rFonts w:ascii="Arial"/>
                <w:spacing w:val="-1"/>
                <w:sz w:val="22"/>
              </w:rPr>
              <w:t>21,615,384,039</w:t>
            </w:r>
          </w:p>
        </w:tc>
      </w:tr>
      <w:tr>
        <w:trPr>
          <w:trHeight w:val="315"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54" w:lineRule="exact"/>
              <w:ind w:left="476" w:right="0"/>
              <w:jc w:val="left"/>
              <w:rPr>
                <w:rFonts w:ascii="宋体" w:hAnsi="宋体" w:cs="宋体" w:eastAsia="宋体" w:hint="default"/>
                <w:sz w:val="22"/>
                <w:szCs w:val="22"/>
              </w:rPr>
            </w:pPr>
            <w:r>
              <w:rPr>
                <w:rFonts w:ascii="宋体" w:hAnsi="宋体" w:cs="宋体" w:eastAsia="宋体" w:hint="default"/>
                <w:sz w:val="22"/>
                <w:szCs w:val="22"/>
              </w:rPr>
              <w:t>网间结算收入</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Arial" w:hAnsi="Arial" w:cs="Arial" w:eastAsia="Arial" w:hint="default"/>
                <w:sz w:val="22"/>
                <w:szCs w:val="22"/>
              </w:rPr>
            </w:pPr>
            <w:r>
              <w:rPr>
                <w:rFonts w:ascii="Arial"/>
                <w:spacing w:val="-1"/>
                <w:sz w:val="22"/>
              </w:rPr>
              <w:t>14,164,978,891</w:t>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Arial" w:hAnsi="Arial" w:cs="Arial" w:eastAsia="Arial" w:hint="default"/>
                <w:sz w:val="22"/>
                <w:szCs w:val="22"/>
              </w:rPr>
            </w:pPr>
            <w:r>
              <w:rPr>
                <w:rFonts w:ascii="Arial"/>
                <w:spacing w:val="-1"/>
                <w:sz w:val="22"/>
              </w:rPr>
              <w:t>14,593,020,605</w:t>
            </w:r>
          </w:p>
        </w:tc>
      </w:tr>
      <w:tr>
        <w:trPr>
          <w:trHeight w:val="315"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54" w:lineRule="exact"/>
              <w:ind w:left="476" w:right="0"/>
              <w:jc w:val="left"/>
              <w:rPr>
                <w:rFonts w:ascii="宋体" w:hAnsi="宋体" w:cs="宋体" w:eastAsia="宋体" w:hint="default"/>
                <w:sz w:val="22"/>
                <w:szCs w:val="22"/>
              </w:rPr>
            </w:pPr>
            <w:r>
              <w:rPr>
                <w:rFonts w:ascii="宋体" w:hAnsi="宋体" w:cs="宋体" w:eastAsia="宋体" w:hint="default"/>
                <w:sz w:val="22"/>
                <w:szCs w:val="22"/>
              </w:rPr>
              <w:t>月租费</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Arial" w:hAnsi="Arial" w:cs="Arial" w:eastAsia="Arial" w:hint="default"/>
                <w:sz w:val="22"/>
                <w:szCs w:val="22"/>
              </w:rPr>
            </w:pPr>
            <w:r>
              <w:rPr>
                <w:rFonts w:ascii="Arial"/>
                <w:spacing w:val="-1"/>
                <w:sz w:val="22"/>
              </w:rPr>
              <w:t>15,992,370,010</w:t>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Arial" w:hAnsi="Arial" w:cs="Arial" w:eastAsia="Arial" w:hint="default"/>
                <w:sz w:val="22"/>
                <w:szCs w:val="22"/>
              </w:rPr>
            </w:pPr>
            <w:r>
              <w:rPr>
                <w:rFonts w:ascii="Arial"/>
                <w:spacing w:val="-1"/>
                <w:sz w:val="22"/>
              </w:rPr>
              <w:t>17,082,890,394</w:t>
            </w:r>
          </w:p>
        </w:tc>
      </w:tr>
      <w:tr>
        <w:trPr>
          <w:trHeight w:val="315"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54" w:lineRule="exact"/>
              <w:ind w:left="476" w:right="0"/>
              <w:jc w:val="left"/>
              <w:rPr>
                <w:rFonts w:ascii="宋体" w:hAnsi="宋体" w:cs="宋体" w:eastAsia="宋体" w:hint="default"/>
                <w:sz w:val="22"/>
                <w:szCs w:val="22"/>
              </w:rPr>
            </w:pPr>
            <w:r>
              <w:rPr>
                <w:rFonts w:ascii="宋体" w:hAnsi="宋体" w:cs="宋体" w:eastAsia="宋体" w:hint="default"/>
                <w:sz w:val="22"/>
                <w:szCs w:val="22"/>
              </w:rPr>
              <w:t>电路及网元租赁收入</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Arial" w:hAnsi="Arial" w:cs="Arial" w:eastAsia="Arial" w:hint="default"/>
                <w:sz w:val="22"/>
                <w:szCs w:val="22"/>
              </w:rPr>
            </w:pPr>
            <w:r>
              <w:rPr>
                <w:rFonts w:ascii="Arial"/>
                <w:spacing w:val="-1"/>
                <w:sz w:val="22"/>
              </w:rPr>
              <w:t>5,859,755,116</w:t>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Arial" w:hAnsi="Arial" w:cs="Arial" w:eastAsia="Arial" w:hint="default"/>
                <w:sz w:val="22"/>
                <w:szCs w:val="22"/>
              </w:rPr>
            </w:pPr>
            <w:r>
              <w:rPr>
                <w:rFonts w:ascii="Arial"/>
                <w:spacing w:val="-1"/>
                <w:sz w:val="22"/>
              </w:rPr>
              <w:t>5,670,708,225</w:t>
            </w:r>
          </w:p>
        </w:tc>
      </w:tr>
      <w:tr>
        <w:trPr>
          <w:trHeight w:val="315"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54" w:lineRule="exact"/>
              <w:ind w:left="476" w:right="0"/>
              <w:jc w:val="left"/>
              <w:rPr>
                <w:rFonts w:ascii="宋体" w:hAnsi="宋体" w:cs="宋体" w:eastAsia="宋体" w:hint="default"/>
                <w:sz w:val="22"/>
                <w:szCs w:val="22"/>
              </w:rPr>
            </w:pPr>
            <w:r>
              <w:rPr>
                <w:rFonts w:ascii="宋体" w:hAnsi="宋体" w:cs="宋体" w:eastAsia="宋体" w:hint="default"/>
                <w:sz w:val="22"/>
                <w:szCs w:val="22"/>
              </w:rPr>
              <w:t>管理型数据及其他互联网服务收入</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Arial" w:hAnsi="Arial" w:cs="Arial" w:eastAsia="Arial" w:hint="default"/>
                <w:sz w:val="22"/>
                <w:szCs w:val="22"/>
              </w:rPr>
            </w:pPr>
            <w:r>
              <w:rPr>
                <w:rFonts w:ascii="Arial"/>
                <w:spacing w:val="-1"/>
                <w:sz w:val="22"/>
              </w:rPr>
              <w:t>2,538,962,245</w:t>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Arial" w:hAnsi="Arial" w:cs="Arial" w:eastAsia="Arial" w:hint="default"/>
                <w:sz w:val="22"/>
                <w:szCs w:val="22"/>
              </w:rPr>
            </w:pPr>
            <w:r>
              <w:rPr>
                <w:rFonts w:ascii="Arial"/>
                <w:spacing w:val="-1"/>
                <w:sz w:val="22"/>
              </w:rPr>
              <w:t>2,744,877,797</w:t>
            </w:r>
          </w:p>
        </w:tc>
      </w:tr>
      <w:tr>
        <w:trPr>
          <w:trHeight w:val="315"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54" w:lineRule="exact"/>
              <w:ind w:right="584"/>
              <w:jc w:val="right"/>
              <w:rPr>
                <w:rFonts w:ascii="宋体" w:hAnsi="宋体" w:cs="宋体" w:eastAsia="宋体" w:hint="default"/>
                <w:sz w:val="22"/>
                <w:szCs w:val="22"/>
              </w:rPr>
            </w:pPr>
            <w:r>
              <w:rPr>
                <w:rFonts w:ascii="宋体" w:hAnsi="宋体" w:cs="宋体" w:eastAsia="宋体" w:hint="default"/>
                <w:w w:val="95"/>
                <w:sz w:val="22"/>
                <w:szCs w:val="22"/>
              </w:rPr>
              <w:t>装移机收入及一次性不退还收入的摊销</w:t>
            </w:r>
            <w:r>
              <w:rPr>
                <w:rFonts w:ascii="宋体" w:hAnsi="宋体" w:cs="宋体" w:eastAsia="宋体" w:hint="default"/>
                <w:sz w:val="22"/>
                <w:szCs w:val="22"/>
              </w:rPr>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Arial" w:hAnsi="Arial" w:cs="Arial" w:eastAsia="Arial" w:hint="default"/>
                <w:sz w:val="22"/>
                <w:szCs w:val="22"/>
              </w:rPr>
            </w:pPr>
            <w:r>
              <w:rPr>
                <w:rFonts w:ascii="Arial"/>
                <w:spacing w:val="-1"/>
                <w:sz w:val="22"/>
              </w:rPr>
              <w:t>1,357,157,500</w:t>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Arial" w:hAnsi="Arial" w:cs="Arial" w:eastAsia="Arial" w:hint="default"/>
                <w:sz w:val="22"/>
                <w:szCs w:val="22"/>
              </w:rPr>
            </w:pPr>
            <w:r>
              <w:rPr>
                <w:rFonts w:ascii="Arial"/>
                <w:spacing w:val="-1"/>
                <w:sz w:val="22"/>
              </w:rPr>
              <w:t>1,387,389,764</w:t>
            </w:r>
          </w:p>
        </w:tc>
      </w:tr>
      <w:tr>
        <w:trPr>
          <w:trHeight w:val="315"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54" w:lineRule="exact"/>
              <w:ind w:right="590"/>
              <w:jc w:val="right"/>
              <w:rPr>
                <w:rFonts w:ascii="宋体" w:hAnsi="宋体" w:cs="宋体" w:eastAsia="宋体" w:hint="default"/>
                <w:sz w:val="22"/>
                <w:szCs w:val="22"/>
              </w:rPr>
            </w:pPr>
            <w:r>
              <w:rPr>
                <w:rFonts w:ascii="宋体" w:hAnsi="宋体" w:cs="宋体" w:eastAsia="宋体" w:hint="default"/>
                <w:w w:val="95"/>
                <w:sz w:val="22"/>
                <w:szCs w:val="22"/>
              </w:rPr>
              <w:t>信息与通信技术服务及设计服务收入等</w:t>
            </w:r>
            <w:r>
              <w:rPr>
                <w:rFonts w:ascii="宋体" w:hAnsi="宋体" w:cs="宋体" w:eastAsia="宋体" w:hint="default"/>
                <w:sz w:val="22"/>
                <w:szCs w:val="22"/>
              </w:rPr>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Arial" w:hAnsi="Arial" w:cs="Arial" w:eastAsia="Arial" w:hint="default"/>
                <w:sz w:val="22"/>
                <w:szCs w:val="22"/>
              </w:rPr>
            </w:pPr>
            <w:r>
              <w:rPr>
                <w:rFonts w:ascii="Arial"/>
                <w:spacing w:val="-1"/>
                <w:sz w:val="22"/>
              </w:rPr>
              <w:t>2,313,463,678</w:t>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Arial" w:hAnsi="Arial" w:cs="Arial" w:eastAsia="Arial" w:hint="default"/>
                <w:sz w:val="22"/>
                <w:szCs w:val="22"/>
              </w:rPr>
            </w:pPr>
            <w:r>
              <w:rPr>
                <w:rFonts w:ascii="Arial"/>
                <w:spacing w:val="-1"/>
                <w:sz w:val="22"/>
              </w:rPr>
              <w:t>5,186,435,557</w:t>
            </w:r>
          </w:p>
        </w:tc>
      </w:tr>
      <w:tr>
        <w:trPr>
          <w:trHeight w:val="315"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54" w:lineRule="exact"/>
              <w:ind w:left="476" w:right="0"/>
              <w:jc w:val="left"/>
              <w:rPr>
                <w:rFonts w:ascii="宋体" w:hAnsi="宋体" w:cs="宋体" w:eastAsia="宋体" w:hint="default"/>
                <w:sz w:val="22"/>
                <w:szCs w:val="22"/>
              </w:rPr>
            </w:pPr>
            <w:r>
              <w:rPr>
                <w:rFonts w:ascii="宋体" w:hAnsi="宋体" w:cs="宋体" w:eastAsia="宋体" w:hint="default"/>
                <w:sz w:val="22"/>
                <w:szCs w:val="22"/>
              </w:rPr>
              <w:t>初装费收入</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5"/>
              <w:jc w:val="right"/>
              <w:rPr>
                <w:rFonts w:ascii="Arial" w:hAnsi="Arial" w:cs="Arial" w:eastAsia="Arial" w:hint="default"/>
                <w:sz w:val="22"/>
                <w:szCs w:val="22"/>
              </w:rPr>
            </w:pPr>
            <w:r>
              <w:rPr>
                <w:rFonts w:ascii="Arial"/>
                <w:w w:val="95"/>
                <w:sz w:val="22"/>
              </w:rPr>
              <w:t>489,600,437</w:t>
            </w:r>
            <w:r>
              <w:rPr>
                <w:rFonts w:ascii="Arial"/>
                <w:sz w:val="22"/>
              </w:rPr>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5"/>
              <w:jc w:val="right"/>
              <w:rPr>
                <w:rFonts w:ascii="Arial" w:hAnsi="Arial" w:cs="Arial" w:eastAsia="Arial" w:hint="default"/>
                <w:sz w:val="22"/>
                <w:szCs w:val="22"/>
              </w:rPr>
            </w:pPr>
            <w:r>
              <w:rPr>
                <w:rFonts w:ascii="Arial"/>
                <w:w w:val="95"/>
                <w:sz w:val="22"/>
              </w:rPr>
              <w:t>885,656,598</w:t>
            </w:r>
            <w:r>
              <w:rPr>
                <w:rFonts w:ascii="Arial"/>
                <w:sz w:val="22"/>
              </w:rPr>
            </w:r>
          </w:p>
        </w:tc>
      </w:tr>
      <w:tr>
        <w:trPr>
          <w:trHeight w:val="308"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54" w:lineRule="exact"/>
              <w:ind w:left="476"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12" w:type="dxa"/>
            <w:tcBorders>
              <w:top w:val="nil" w:sz="6" w:space="0" w:color="auto"/>
              <w:left w:val="nil" w:sz="6" w:space="0" w:color="auto"/>
              <w:bottom w:val="nil" w:sz="6" w:space="0" w:color="auto"/>
              <w:right w:val="nil" w:sz="6" w:space="0" w:color="auto"/>
            </w:tcBorders>
          </w:tcPr>
          <w:p>
            <w:pPr>
              <w:pStyle w:val="TableParagraph"/>
              <w:tabs>
                <w:tab w:pos="690" w:val="left" w:leader="none"/>
                <w:tab w:pos="2197" w:val="left" w:leader="none"/>
              </w:tabs>
              <w:spacing w:line="240" w:lineRule="auto" w:before="32"/>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spacing w:val="-1"/>
                <w:sz w:val="22"/>
                <w:u w:val="single" w:color="000000"/>
              </w:rPr>
              <w:t>1,001,887,190</w:t>
              <w:tab/>
            </w:r>
            <w:r>
              <w:rPr>
                <w:rFonts w:ascii="Arial"/>
                <w:spacing w:val="-1"/>
                <w:sz w:val="22"/>
              </w:rPr>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tabs>
                <w:tab w:pos="733" w:val="left" w:leader="none"/>
                <w:tab w:pos="2240" w:val="left" w:leader="none"/>
              </w:tabs>
              <w:spacing w:line="240" w:lineRule="auto" w:before="32"/>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spacing w:val="-1"/>
                <w:sz w:val="22"/>
                <w:u w:val="single" w:color="000000"/>
              </w:rPr>
              <w:t>1,837,135,504</w:t>
              <w:tab/>
            </w:r>
            <w:r>
              <w:rPr>
                <w:rFonts w:ascii="Arial"/>
                <w:spacing w:val="-1"/>
                <w:sz w:val="22"/>
              </w:rPr>
            </w:r>
          </w:p>
        </w:tc>
      </w:tr>
      <w:tr>
        <w:trPr>
          <w:trHeight w:val="419"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47" w:lineRule="exact"/>
              <w:ind w:left="476"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Arial" w:hAnsi="Arial" w:cs="Arial" w:eastAsia="Arial" w:hint="default"/>
                <w:sz w:val="22"/>
                <w:szCs w:val="22"/>
              </w:rPr>
            </w:pPr>
            <w:r>
              <w:rPr>
                <w:rFonts w:ascii="Arial"/>
                <w:spacing w:val="-1"/>
                <w:sz w:val="22"/>
              </w:rPr>
              <w:t>156,135,356,229</w:t>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06"/>
              <w:jc w:val="right"/>
              <w:rPr>
                <w:rFonts w:ascii="Arial" w:hAnsi="Arial" w:cs="Arial" w:eastAsia="Arial" w:hint="default"/>
                <w:sz w:val="22"/>
                <w:szCs w:val="22"/>
              </w:rPr>
            </w:pPr>
            <w:r>
              <w:rPr>
                <w:rFonts w:ascii="Arial"/>
                <w:spacing w:val="-1"/>
                <w:sz w:val="22"/>
              </w:rPr>
              <w:t>162,109,813,008</w:t>
            </w:r>
          </w:p>
        </w:tc>
      </w:tr>
      <w:tr>
        <w:trPr>
          <w:trHeight w:val="398"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40" w:lineRule="auto" w:before="78"/>
              <w:ind w:left="476" w:right="0"/>
              <w:jc w:val="left"/>
              <w:rPr>
                <w:rFonts w:ascii="宋体" w:hAnsi="宋体" w:cs="宋体" w:eastAsia="宋体" w:hint="default"/>
                <w:sz w:val="22"/>
                <w:szCs w:val="22"/>
              </w:rPr>
            </w:pPr>
            <w:r>
              <w:rPr>
                <w:rFonts w:ascii="宋体" w:hAnsi="宋体" w:cs="宋体" w:eastAsia="宋体" w:hint="default"/>
                <w:sz w:val="22"/>
                <w:szCs w:val="22"/>
              </w:rPr>
              <w:t>其他业务收入：</w:t>
            </w:r>
          </w:p>
        </w:tc>
        <w:tc>
          <w:tcPr>
            <w:tcW w:w="2212" w:type="dxa"/>
            <w:tcBorders>
              <w:top w:val="nil" w:sz="6" w:space="0" w:color="auto"/>
              <w:left w:val="nil" w:sz="6" w:space="0" w:color="auto"/>
              <w:bottom w:val="nil" w:sz="6" w:space="0" w:color="auto"/>
              <w:right w:val="nil" w:sz="6" w:space="0" w:color="auto"/>
            </w:tcBorders>
          </w:tcPr>
          <w:p>
            <w:pP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
        </w:tc>
      </w:tr>
      <w:tr>
        <w:trPr>
          <w:trHeight w:val="432"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52" w:lineRule="exact"/>
              <w:ind w:left="476" w:right="0"/>
              <w:jc w:val="left"/>
              <w:rPr>
                <w:rFonts w:ascii="宋体" w:hAnsi="宋体" w:cs="宋体" w:eastAsia="宋体" w:hint="default"/>
                <w:sz w:val="22"/>
                <w:szCs w:val="22"/>
              </w:rPr>
            </w:pPr>
            <w:r>
              <w:rPr>
                <w:rFonts w:ascii="宋体" w:hAnsi="宋体" w:cs="宋体" w:eastAsia="宋体" w:hint="default"/>
                <w:sz w:val="22"/>
                <w:szCs w:val="22"/>
              </w:rPr>
              <w:t>销售通信产品收入</w:t>
            </w:r>
          </w:p>
        </w:tc>
        <w:tc>
          <w:tcPr>
            <w:tcW w:w="2212" w:type="dxa"/>
            <w:tcBorders>
              <w:top w:val="nil" w:sz="6" w:space="0" w:color="auto"/>
              <w:left w:val="nil" w:sz="6" w:space="0" w:color="auto"/>
              <w:bottom w:val="nil" w:sz="6" w:space="0" w:color="auto"/>
              <w:right w:val="nil" w:sz="6" w:space="0" w:color="auto"/>
            </w:tcBorders>
          </w:tcPr>
          <w:p>
            <w:pPr>
              <w:pStyle w:val="TableParagraph"/>
              <w:tabs>
                <w:tab w:pos="689" w:val="left" w:leader="none"/>
                <w:tab w:pos="2197" w:val="left" w:leader="none"/>
              </w:tabs>
              <w:spacing w:line="240" w:lineRule="auto" w:before="30"/>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spacing w:val="-1"/>
                <w:sz w:val="22"/>
                <w:u w:val="single" w:color="000000"/>
              </w:rPr>
              <w:t>2,233,463,304</w:t>
              <w:tab/>
            </w:r>
            <w:r>
              <w:rPr>
                <w:rFonts w:ascii="Arial"/>
                <w:spacing w:val="-1"/>
                <w:sz w:val="22"/>
              </w:rPr>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tabs>
                <w:tab w:pos="733" w:val="left" w:leader="none"/>
                <w:tab w:pos="2240" w:val="left" w:leader="none"/>
              </w:tabs>
              <w:spacing w:line="240" w:lineRule="auto" w:before="30"/>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spacing w:val="-1"/>
                <w:sz w:val="22"/>
                <w:u w:val="single" w:color="000000"/>
              </w:rPr>
              <w:t>1,975,499,799</w:t>
              <w:tab/>
            </w:r>
            <w:r>
              <w:rPr>
                <w:rFonts w:ascii="Arial"/>
                <w:spacing w:val="-1"/>
                <w:sz w:val="22"/>
              </w:rPr>
            </w:r>
          </w:p>
        </w:tc>
      </w:tr>
      <w:tr>
        <w:trPr>
          <w:trHeight w:val="431" w:hRule="exact"/>
        </w:trPr>
        <w:tc>
          <w:tcPr>
            <w:tcW w:w="4809" w:type="dxa"/>
            <w:tcBorders>
              <w:top w:val="nil" w:sz="6" w:space="0" w:color="auto"/>
              <w:left w:val="nil" w:sz="6" w:space="0" w:color="auto"/>
              <w:bottom w:val="nil" w:sz="6" w:space="0" w:color="auto"/>
              <w:right w:val="nil" w:sz="6" w:space="0" w:color="auto"/>
            </w:tcBorders>
          </w:tcPr>
          <w:p>
            <w:pPr>
              <w:pStyle w:val="TableParagraph"/>
              <w:spacing w:line="240" w:lineRule="auto" w:before="85"/>
              <w:ind w:left="476"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12"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106"/>
              <w:jc w:val="right"/>
              <w:rPr>
                <w:rFonts w:ascii="Arial" w:hAnsi="Arial" w:cs="Arial" w:eastAsia="Arial" w:hint="default"/>
                <w:sz w:val="22"/>
                <w:szCs w:val="22"/>
              </w:rPr>
            </w:pPr>
            <w:r>
              <w:rPr>
                <w:rFonts w:ascii="Arial"/>
                <w:spacing w:val="-1"/>
                <w:sz w:val="22"/>
              </w:rPr>
              <w:t>158,368,819,533</w:t>
            </w:r>
          </w:p>
        </w:tc>
        <w:tc>
          <w:tcPr>
            <w:tcW w:w="22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106"/>
              <w:jc w:val="right"/>
              <w:rPr>
                <w:rFonts w:ascii="Arial" w:hAnsi="Arial" w:cs="Arial" w:eastAsia="Arial" w:hint="default"/>
                <w:sz w:val="22"/>
                <w:szCs w:val="22"/>
              </w:rPr>
            </w:pPr>
            <w:r>
              <w:rPr>
                <w:rFonts w:ascii="Arial"/>
                <w:spacing w:val="-1"/>
                <w:sz w:val="22"/>
              </w:rPr>
              <w:t>164,085,312,807</w:t>
            </w:r>
          </w:p>
        </w:tc>
      </w:tr>
    </w:tbl>
    <w:p>
      <w:pPr>
        <w:spacing w:after="0" w:line="240" w:lineRule="auto"/>
        <w:jc w:val="right"/>
        <w:rPr>
          <w:rFonts w:ascii="Arial" w:hAnsi="Arial" w:cs="Arial" w:eastAsia="Arial" w:hint="default"/>
          <w:sz w:val="22"/>
          <w:szCs w:val="22"/>
        </w:rPr>
        <w:sectPr>
          <w:headerReference w:type="default" r:id="rId112"/>
          <w:pgSz w:w="11910" w:h="16840"/>
          <w:pgMar w:header="1189" w:footer="752" w:top="3060" w:bottom="940" w:left="1240" w:right="920"/>
        </w:sectPr>
      </w:pPr>
    </w:p>
    <w:p>
      <w:pPr>
        <w:spacing w:line="240" w:lineRule="auto" w:before="12"/>
        <w:rPr>
          <w:rFonts w:ascii="宋体" w:hAnsi="宋体" w:cs="宋体" w:eastAsia="宋体" w:hint="default"/>
          <w:sz w:val="15"/>
          <w:szCs w:val="15"/>
        </w:rPr>
      </w:pPr>
    </w:p>
    <w:tbl>
      <w:tblPr>
        <w:tblW w:w="0" w:type="auto"/>
        <w:jc w:val="left"/>
        <w:tblInd w:w="509" w:type="dxa"/>
        <w:tblLayout w:type="fixed"/>
        <w:tblCellMar>
          <w:top w:w="0" w:type="dxa"/>
          <w:left w:w="0" w:type="dxa"/>
          <w:bottom w:w="0" w:type="dxa"/>
          <w:right w:w="0" w:type="dxa"/>
        </w:tblCellMar>
        <w:tblLook w:val="01E0"/>
      </w:tblPr>
      <w:tblGrid>
        <w:gridCol w:w="4367"/>
        <w:gridCol w:w="2212"/>
        <w:gridCol w:w="227"/>
        <w:gridCol w:w="2153"/>
      </w:tblGrid>
      <w:tr>
        <w:trPr>
          <w:trHeight w:val="360" w:hRule="exact"/>
        </w:trPr>
        <w:tc>
          <w:tcPr>
            <w:tcW w:w="4367" w:type="dxa"/>
            <w:vMerge w:val="restart"/>
            <w:tcBorders>
              <w:top w:val="nil" w:sz="6" w:space="0" w:color="auto"/>
              <w:left w:val="nil" w:sz="6" w:space="0" w:color="auto"/>
              <w:right w:val="nil" w:sz="6" w:space="0" w:color="auto"/>
            </w:tcBorders>
          </w:tcPr>
          <w:p>
            <w:pPr/>
          </w:p>
        </w:tc>
        <w:tc>
          <w:tcPr>
            <w:tcW w:w="2212"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left="1171" w:right="0"/>
              <w:jc w:val="lef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227"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54"/>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293" w:hRule="exact"/>
        </w:trPr>
        <w:tc>
          <w:tcPr>
            <w:tcW w:w="4367" w:type="dxa"/>
            <w:vMerge/>
            <w:tcBorders>
              <w:left w:val="nil" w:sz="6" w:space="0" w:color="auto"/>
              <w:bottom w:val="nil" w:sz="6" w:space="0" w:color="auto"/>
              <w:right w:val="nil" w:sz="6" w:space="0" w:color="auto"/>
            </w:tcBorders>
          </w:tcPr>
          <w:p>
            <w:pPr/>
          </w:p>
        </w:tc>
        <w:tc>
          <w:tcPr>
            <w:tcW w:w="2212" w:type="dxa"/>
            <w:tcBorders>
              <w:top w:val="single" w:sz="6" w:space="0" w:color="000000"/>
              <w:left w:val="nil" w:sz="6" w:space="0" w:color="auto"/>
              <w:bottom w:val="nil" w:sz="6" w:space="0" w:color="auto"/>
              <w:right w:val="nil" w:sz="6" w:space="0" w:color="auto"/>
            </w:tcBorders>
          </w:tcPr>
          <w:p>
            <w:pPr/>
          </w:p>
        </w:tc>
        <w:tc>
          <w:tcPr>
            <w:tcW w:w="227" w:type="dxa"/>
            <w:tcBorders>
              <w:top w:val="nil" w:sz="6" w:space="0" w:color="auto"/>
              <w:left w:val="nil" w:sz="6" w:space="0" w:color="auto"/>
              <w:bottom w:val="nil" w:sz="6" w:space="0" w:color="auto"/>
              <w:right w:val="nil" w:sz="6" w:space="0" w:color="auto"/>
            </w:tcBorders>
          </w:tcPr>
          <w:p>
            <w:pPr/>
          </w:p>
        </w:tc>
        <w:tc>
          <w:tcPr>
            <w:tcW w:w="2153" w:type="dxa"/>
            <w:tcBorders>
              <w:top w:val="single" w:sz="6" w:space="0" w:color="000000"/>
              <w:left w:val="nil" w:sz="6" w:space="0" w:color="auto"/>
              <w:bottom w:val="nil" w:sz="6" w:space="0" w:color="auto"/>
              <w:right w:val="nil" w:sz="6" w:space="0" w:color="auto"/>
            </w:tcBorders>
          </w:tcPr>
          <w:p>
            <w:pPr>
              <w:pStyle w:val="TableParagraph"/>
              <w:spacing w:line="253" w:lineRule="exact"/>
              <w:ind w:right="55"/>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85" w:hRule="exact"/>
        </w:trPr>
        <w:tc>
          <w:tcPr>
            <w:tcW w:w="4367" w:type="dxa"/>
            <w:tcBorders>
              <w:top w:val="nil" w:sz="6" w:space="0" w:color="auto"/>
              <w:left w:val="nil" w:sz="6" w:space="0" w:color="auto"/>
              <w:bottom w:val="nil" w:sz="6" w:space="0" w:color="auto"/>
              <w:right w:val="nil" w:sz="6" w:space="0" w:color="auto"/>
            </w:tcBorders>
          </w:tcPr>
          <w:p>
            <w:pPr>
              <w:pStyle w:val="TableParagraph"/>
              <w:spacing w:line="253" w:lineRule="exact"/>
              <w:ind w:left="35" w:right="0"/>
              <w:jc w:val="left"/>
              <w:rPr>
                <w:rFonts w:ascii="宋体" w:hAnsi="宋体" w:cs="宋体" w:eastAsia="宋体" w:hint="default"/>
                <w:sz w:val="22"/>
                <w:szCs w:val="22"/>
              </w:rPr>
            </w:pPr>
            <w:r>
              <w:rPr>
                <w:rFonts w:ascii="宋体" w:hAnsi="宋体" w:cs="宋体" w:eastAsia="宋体" w:hint="default"/>
                <w:sz w:val="22"/>
                <w:szCs w:val="22"/>
              </w:rPr>
              <w:t>主营业务成本：</w:t>
            </w:r>
          </w:p>
        </w:tc>
        <w:tc>
          <w:tcPr>
            <w:tcW w:w="2212" w:type="dxa"/>
            <w:tcBorders>
              <w:top w:val="nil" w:sz="6" w:space="0" w:color="auto"/>
              <w:left w:val="nil" w:sz="6" w:space="0" w:color="auto"/>
              <w:bottom w:val="nil" w:sz="6" w:space="0" w:color="auto"/>
              <w:right w:val="nil" w:sz="6" w:space="0" w:color="auto"/>
            </w:tcBorders>
          </w:tcPr>
          <w:p>
            <w:pPr/>
          </w:p>
        </w:tc>
        <w:tc>
          <w:tcPr>
            <w:tcW w:w="227"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nil" w:sz="6" w:space="0" w:color="auto"/>
              <w:right w:val="nil" w:sz="6" w:space="0" w:color="auto"/>
            </w:tcBorders>
          </w:tcPr>
          <w:p>
            <w:pPr/>
          </w:p>
        </w:tc>
      </w:tr>
      <w:tr>
        <w:trPr>
          <w:trHeight w:val="298" w:hRule="exact"/>
        </w:trPr>
        <w:tc>
          <w:tcPr>
            <w:tcW w:w="4367" w:type="dxa"/>
            <w:tcBorders>
              <w:top w:val="nil" w:sz="6" w:space="0" w:color="auto"/>
              <w:left w:val="nil" w:sz="6" w:space="0" w:color="auto"/>
              <w:bottom w:val="nil" w:sz="6" w:space="0" w:color="auto"/>
              <w:right w:val="nil" w:sz="6" w:space="0" w:color="auto"/>
            </w:tcBorders>
          </w:tcPr>
          <w:p>
            <w:pPr>
              <w:pStyle w:val="TableParagraph"/>
              <w:spacing w:line="252" w:lineRule="exact"/>
              <w:ind w:left="35" w:right="0"/>
              <w:jc w:val="left"/>
              <w:rPr>
                <w:rFonts w:ascii="宋体" w:hAnsi="宋体" w:cs="宋体" w:eastAsia="宋体" w:hint="default"/>
                <w:sz w:val="22"/>
                <w:szCs w:val="22"/>
              </w:rPr>
            </w:pPr>
            <w:r>
              <w:rPr>
                <w:rFonts w:ascii="宋体" w:hAnsi="宋体" w:cs="宋体" w:eastAsia="宋体" w:hint="default"/>
                <w:sz w:val="22"/>
                <w:szCs w:val="22"/>
              </w:rPr>
              <w:t>折旧及摊销</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30"/>
              <w:ind w:left="585" w:right="0"/>
              <w:jc w:val="left"/>
              <w:rPr>
                <w:rFonts w:ascii="Arial" w:hAnsi="Arial" w:cs="Arial" w:eastAsia="Arial" w:hint="default"/>
                <w:sz w:val="22"/>
                <w:szCs w:val="22"/>
              </w:rPr>
            </w:pPr>
            <w:r>
              <w:rPr>
                <w:rFonts w:ascii="Arial"/>
                <w:sz w:val="22"/>
              </w:rPr>
              <w:t>46,281,559,348</w:t>
            </w:r>
          </w:p>
        </w:tc>
        <w:tc>
          <w:tcPr>
            <w:tcW w:w="227"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87"/>
              <w:jc w:val="right"/>
              <w:rPr>
                <w:rFonts w:ascii="Arial" w:hAnsi="Arial" w:cs="Arial" w:eastAsia="Arial" w:hint="default"/>
                <w:sz w:val="22"/>
                <w:szCs w:val="22"/>
              </w:rPr>
            </w:pPr>
            <w:r>
              <w:rPr>
                <w:rFonts w:ascii="Arial"/>
                <w:spacing w:val="-1"/>
                <w:sz w:val="22"/>
              </w:rPr>
              <w:t>46,847,723,127</w:t>
            </w:r>
          </w:p>
        </w:tc>
      </w:tr>
      <w:tr>
        <w:trPr>
          <w:trHeight w:val="285" w:hRule="exact"/>
        </w:trPr>
        <w:tc>
          <w:tcPr>
            <w:tcW w:w="4367"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网间结算支出</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585" w:right="0"/>
              <w:jc w:val="left"/>
              <w:rPr>
                <w:rFonts w:ascii="Arial" w:hAnsi="Arial" w:cs="Arial" w:eastAsia="Arial" w:hint="default"/>
                <w:sz w:val="22"/>
                <w:szCs w:val="22"/>
              </w:rPr>
            </w:pPr>
            <w:r>
              <w:rPr>
                <w:rFonts w:ascii="Arial"/>
                <w:sz w:val="22"/>
              </w:rPr>
              <w:t>12,954,807,898</w:t>
            </w:r>
          </w:p>
        </w:tc>
        <w:tc>
          <w:tcPr>
            <w:tcW w:w="227"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7"/>
              <w:jc w:val="right"/>
              <w:rPr>
                <w:rFonts w:ascii="Arial" w:hAnsi="Arial" w:cs="Arial" w:eastAsia="Arial" w:hint="default"/>
                <w:sz w:val="22"/>
                <w:szCs w:val="22"/>
              </w:rPr>
            </w:pPr>
            <w:r>
              <w:rPr>
                <w:rFonts w:ascii="Arial"/>
                <w:spacing w:val="-1"/>
                <w:sz w:val="22"/>
              </w:rPr>
              <w:t>13,038,197,779</w:t>
            </w:r>
          </w:p>
        </w:tc>
      </w:tr>
      <w:tr>
        <w:trPr>
          <w:trHeight w:val="285" w:hRule="exact"/>
        </w:trPr>
        <w:tc>
          <w:tcPr>
            <w:tcW w:w="4367"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人工成本</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585" w:right="0"/>
              <w:jc w:val="left"/>
              <w:rPr>
                <w:rFonts w:ascii="Arial" w:hAnsi="Arial" w:cs="Arial" w:eastAsia="Arial" w:hint="default"/>
                <w:sz w:val="22"/>
                <w:szCs w:val="22"/>
              </w:rPr>
            </w:pPr>
            <w:r>
              <w:rPr>
                <w:rFonts w:ascii="Arial"/>
                <w:sz w:val="22"/>
              </w:rPr>
              <w:t>15,259,109,757</w:t>
            </w:r>
          </w:p>
        </w:tc>
        <w:tc>
          <w:tcPr>
            <w:tcW w:w="227"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7"/>
              <w:jc w:val="right"/>
              <w:rPr>
                <w:rFonts w:ascii="Arial" w:hAnsi="Arial" w:cs="Arial" w:eastAsia="Arial" w:hint="default"/>
                <w:sz w:val="22"/>
                <w:szCs w:val="22"/>
              </w:rPr>
            </w:pPr>
            <w:r>
              <w:rPr>
                <w:rFonts w:ascii="Arial"/>
                <w:spacing w:val="-1"/>
                <w:sz w:val="22"/>
              </w:rPr>
              <w:t>14,086,446,563</w:t>
            </w:r>
          </w:p>
        </w:tc>
      </w:tr>
      <w:tr>
        <w:trPr>
          <w:trHeight w:val="285" w:hRule="exact"/>
        </w:trPr>
        <w:tc>
          <w:tcPr>
            <w:tcW w:w="4367"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sz w:val="22"/>
                <w:szCs w:val="22"/>
              </w:rPr>
              <w:t>网络运行及支撑成本（注</w:t>
            </w:r>
            <w:r>
              <w:rPr>
                <w:rFonts w:ascii="Arial" w:hAnsi="Arial" w:cs="Arial" w:eastAsia="Arial" w:hint="default"/>
                <w:sz w:val="22"/>
                <w:szCs w:val="22"/>
              </w:rPr>
              <w:t>(1)</w:t>
            </w:r>
            <w:r>
              <w:rPr>
                <w:rFonts w:ascii="宋体" w:hAnsi="宋体" w:cs="宋体" w:eastAsia="宋体" w:hint="default"/>
                <w:sz w:val="22"/>
                <w:szCs w:val="22"/>
              </w:rPr>
              <w:t>）</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585" w:right="0"/>
              <w:jc w:val="left"/>
              <w:rPr>
                <w:rFonts w:ascii="Arial" w:hAnsi="Arial" w:cs="Arial" w:eastAsia="Arial" w:hint="default"/>
                <w:sz w:val="22"/>
                <w:szCs w:val="22"/>
              </w:rPr>
            </w:pPr>
            <w:r>
              <w:rPr>
                <w:rFonts w:ascii="Arial"/>
                <w:sz w:val="22"/>
              </w:rPr>
              <w:t>21,727,803,042</w:t>
            </w:r>
          </w:p>
        </w:tc>
        <w:tc>
          <w:tcPr>
            <w:tcW w:w="227"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8"/>
              <w:jc w:val="right"/>
              <w:rPr>
                <w:rFonts w:ascii="Arial" w:hAnsi="Arial" w:cs="Arial" w:eastAsia="Arial" w:hint="default"/>
                <w:sz w:val="22"/>
                <w:szCs w:val="22"/>
              </w:rPr>
            </w:pPr>
            <w:r>
              <w:rPr>
                <w:rFonts w:ascii="Arial"/>
                <w:spacing w:val="-1"/>
                <w:sz w:val="22"/>
              </w:rPr>
              <w:t>18,736,307,279</w:t>
            </w:r>
          </w:p>
        </w:tc>
      </w:tr>
      <w:tr>
        <w:trPr>
          <w:trHeight w:val="285" w:hRule="exact"/>
        </w:trPr>
        <w:tc>
          <w:tcPr>
            <w:tcW w:w="4367"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sz w:val="22"/>
                <w:szCs w:val="22"/>
              </w:rPr>
              <w:t>南方固定电信网络租赁费（注</w:t>
            </w:r>
            <w:r>
              <w:rPr>
                <w:rFonts w:ascii="Arial" w:hAnsi="Arial" w:cs="Arial" w:eastAsia="Arial" w:hint="default"/>
                <w:sz w:val="22"/>
                <w:szCs w:val="22"/>
              </w:rPr>
              <w:t>(2)</w:t>
            </w:r>
            <w:r>
              <w:rPr>
                <w:rFonts w:ascii="宋体" w:hAnsi="宋体" w:cs="宋体" w:eastAsia="宋体" w:hint="default"/>
                <w:sz w:val="22"/>
                <w:szCs w:val="22"/>
              </w:rPr>
              <w:t>）</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708" w:right="0"/>
              <w:jc w:val="left"/>
              <w:rPr>
                <w:rFonts w:ascii="Arial" w:hAnsi="Arial" w:cs="Arial" w:eastAsia="Arial" w:hint="default"/>
                <w:sz w:val="22"/>
                <w:szCs w:val="22"/>
              </w:rPr>
            </w:pPr>
            <w:r>
              <w:rPr>
                <w:rFonts w:ascii="Arial"/>
                <w:sz w:val="22"/>
              </w:rPr>
              <w:t>2,000,000,000</w:t>
            </w:r>
          </w:p>
        </w:tc>
        <w:tc>
          <w:tcPr>
            <w:tcW w:w="227"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7"/>
              <w:jc w:val="right"/>
              <w:rPr>
                <w:rFonts w:ascii="Arial" w:hAnsi="Arial" w:cs="Arial" w:eastAsia="Arial" w:hint="default"/>
                <w:sz w:val="22"/>
                <w:szCs w:val="22"/>
              </w:rPr>
            </w:pPr>
            <w:r>
              <w:rPr>
                <w:rFonts w:ascii="Arial"/>
                <w:w w:val="99"/>
                <w:sz w:val="22"/>
              </w:rPr>
              <w:t>-</w:t>
            </w:r>
            <w:r>
              <w:rPr>
                <w:rFonts w:ascii="Arial"/>
                <w:sz w:val="22"/>
              </w:rPr>
            </w:r>
          </w:p>
        </w:tc>
      </w:tr>
      <w:tr>
        <w:trPr>
          <w:trHeight w:val="285" w:hRule="exact"/>
        </w:trPr>
        <w:tc>
          <w:tcPr>
            <w:tcW w:w="4367"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信息与通信技术服务成本</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891" w:right="0"/>
              <w:jc w:val="left"/>
              <w:rPr>
                <w:rFonts w:ascii="Arial" w:hAnsi="Arial" w:cs="Arial" w:eastAsia="Arial" w:hint="default"/>
                <w:sz w:val="22"/>
                <w:szCs w:val="22"/>
              </w:rPr>
            </w:pPr>
            <w:r>
              <w:rPr>
                <w:rFonts w:ascii="Arial"/>
                <w:sz w:val="22"/>
              </w:rPr>
              <w:t>839,179,780</w:t>
            </w:r>
          </w:p>
        </w:tc>
        <w:tc>
          <w:tcPr>
            <w:tcW w:w="227"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7"/>
              <w:jc w:val="right"/>
              <w:rPr>
                <w:rFonts w:ascii="Arial" w:hAnsi="Arial" w:cs="Arial" w:eastAsia="Arial" w:hint="default"/>
                <w:sz w:val="22"/>
                <w:szCs w:val="22"/>
              </w:rPr>
            </w:pPr>
            <w:r>
              <w:rPr>
                <w:rFonts w:ascii="Arial"/>
                <w:spacing w:val="-1"/>
                <w:sz w:val="22"/>
              </w:rPr>
              <w:t>3,009,888,637</w:t>
            </w:r>
          </w:p>
        </w:tc>
      </w:tr>
      <w:tr>
        <w:trPr>
          <w:trHeight w:val="293" w:hRule="exact"/>
        </w:trPr>
        <w:tc>
          <w:tcPr>
            <w:tcW w:w="4367"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12" w:type="dxa"/>
            <w:tcBorders>
              <w:top w:val="nil" w:sz="6" w:space="0" w:color="auto"/>
              <w:left w:val="nil" w:sz="6" w:space="0" w:color="auto"/>
              <w:bottom w:val="nil" w:sz="6" w:space="0" w:color="auto"/>
              <w:right w:val="nil" w:sz="6" w:space="0" w:color="auto"/>
            </w:tcBorders>
          </w:tcPr>
          <w:p>
            <w:pPr>
              <w:pStyle w:val="TableParagraph"/>
              <w:tabs>
                <w:tab w:pos="707" w:val="left" w:leader="none"/>
                <w:tab w:pos="2204" w:val="left" w:leader="none"/>
              </w:tabs>
              <w:spacing w:line="240" w:lineRule="auto" w:before="17"/>
              <w:ind w:left="7"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3,902,724,988</w:t>
              <w:tab/>
            </w:r>
            <w:r>
              <w:rPr>
                <w:rFonts w:ascii="Arial"/>
                <w:sz w:val="22"/>
              </w:rPr>
            </w:r>
          </w:p>
        </w:tc>
        <w:tc>
          <w:tcPr>
            <w:tcW w:w="227"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nil" w:sz="6" w:space="0" w:color="auto"/>
              <w:right w:val="nil" w:sz="6" w:space="0" w:color="auto"/>
            </w:tcBorders>
          </w:tcPr>
          <w:p>
            <w:pPr>
              <w:pStyle w:val="TableParagraph"/>
              <w:tabs>
                <w:tab w:pos="653" w:val="left" w:leader="none"/>
                <w:tab w:pos="2141"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spacing w:val="-1"/>
                <w:sz w:val="22"/>
                <w:u w:val="single" w:color="000000"/>
              </w:rPr>
              <w:t>4,206,578,241</w:t>
              <w:tab/>
            </w:r>
            <w:r>
              <w:rPr>
                <w:rFonts w:ascii="Arial"/>
                <w:spacing w:val="-1"/>
                <w:sz w:val="22"/>
              </w:rPr>
            </w:r>
          </w:p>
        </w:tc>
      </w:tr>
      <w:tr>
        <w:trPr>
          <w:trHeight w:val="419" w:hRule="exact"/>
        </w:trPr>
        <w:tc>
          <w:tcPr>
            <w:tcW w:w="4367" w:type="dxa"/>
            <w:tcBorders>
              <w:top w:val="nil" w:sz="6" w:space="0" w:color="auto"/>
              <w:left w:val="nil" w:sz="6" w:space="0" w:color="auto"/>
              <w:bottom w:val="nil" w:sz="6" w:space="0" w:color="auto"/>
              <w:right w:val="nil" w:sz="6" w:space="0" w:color="auto"/>
            </w:tcBorders>
          </w:tcPr>
          <w:p>
            <w:pPr>
              <w:pStyle w:val="TableParagraph"/>
              <w:spacing w:line="247" w:lineRule="exact"/>
              <w:ind w:left="35"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63" w:right="0"/>
              <w:jc w:val="left"/>
              <w:rPr>
                <w:rFonts w:ascii="Arial" w:hAnsi="Arial" w:cs="Arial" w:eastAsia="Arial" w:hint="default"/>
                <w:sz w:val="22"/>
                <w:szCs w:val="22"/>
              </w:rPr>
            </w:pPr>
            <w:r>
              <w:rPr>
                <w:rFonts w:ascii="Arial"/>
                <w:sz w:val="22"/>
              </w:rPr>
              <w:t>102,965,184,813</w:t>
            </w:r>
          </w:p>
        </w:tc>
        <w:tc>
          <w:tcPr>
            <w:tcW w:w="227"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87"/>
              <w:jc w:val="right"/>
              <w:rPr>
                <w:rFonts w:ascii="Arial" w:hAnsi="Arial" w:cs="Arial" w:eastAsia="Arial" w:hint="default"/>
                <w:sz w:val="22"/>
                <w:szCs w:val="22"/>
              </w:rPr>
            </w:pPr>
            <w:r>
              <w:rPr>
                <w:rFonts w:ascii="Arial"/>
                <w:spacing w:val="-1"/>
                <w:sz w:val="22"/>
              </w:rPr>
              <w:t>99,925,141,626</w:t>
            </w:r>
          </w:p>
        </w:tc>
      </w:tr>
      <w:tr>
        <w:trPr>
          <w:trHeight w:val="399" w:hRule="exact"/>
        </w:trPr>
        <w:tc>
          <w:tcPr>
            <w:tcW w:w="4367" w:type="dxa"/>
            <w:tcBorders>
              <w:top w:val="nil" w:sz="6" w:space="0" w:color="auto"/>
              <w:left w:val="nil" w:sz="6" w:space="0" w:color="auto"/>
              <w:bottom w:val="nil" w:sz="6" w:space="0" w:color="auto"/>
              <w:right w:val="nil" w:sz="6" w:space="0" w:color="auto"/>
            </w:tcBorders>
          </w:tcPr>
          <w:p>
            <w:pPr>
              <w:pStyle w:val="TableParagraph"/>
              <w:spacing w:line="240" w:lineRule="auto" w:before="78"/>
              <w:ind w:left="35" w:right="0"/>
              <w:jc w:val="left"/>
              <w:rPr>
                <w:rFonts w:ascii="宋体" w:hAnsi="宋体" w:cs="宋体" w:eastAsia="宋体" w:hint="default"/>
                <w:sz w:val="22"/>
                <w:szCs w:val="22"/>
              </w:rPr>
            </w:pPr>
            <w:r>
              <w:rPr>
                <w:rFonts w:ascii="宋体" w:hAnsi="宋体" w:cs="宋体" w:eastAsia="宋体" w:hint="default"/>
                <w:sz w:val="22"/>
                <w:szCs w:val="22"/>
              </w:rPr>
              <w:t>其他业务成本：</w:t>
            </w:r>
          </w:p>
        </w:tc>
        <w:tc>
          <w:tcPr>
            <w:tcW w:w="2212" w:type="dxa"/>
            <w:tcBorders>
              <w:top w:val="nil" w:sz="6" w:space="0" w:color="auto"/>
              <w:left w:val="nil" w:sz="6" w:space="0" w:color="auto"/>
              <w:bottom w:val="nil" w:sz="6" w:space="0" w:color="auto"/>
              <w:right w:val="nil" w:sz="6" w:space="0" w:color="auto"/>
            </w:tcBorders>
          </w:tcPr>
          <w:p>
            <w:pPr/>
          </w:p>
        </w:tc>
        <w:tc>
          <w:tcPr>
            <w:tcW w:w="227"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nil" w:sz="6" w:space="0" w:color="auto"/>
              <w:right w:val="nil" w:sz="6" w:space="0" w:color="auto"/>
            </w:tcBorders>
          </w:tcPr>
          <w:p>
            <w:pPr/>
          </w:p>
        </w:tc>
      </w:tr>
      <w:tr>
        <w:trPr>
          <w:trHeight w:val="433" w:hRule="exact"/>
        </w:trPr>
        <w:tc>
          <w:tcPr>
            <w:tcW w:w="4367" w:type="dxa"/>
            <w:tcBorders>
              <w:top w:val="nil" w:sz="6" w:space="0" w:color="auto"/>
              <w:left w:val="nil" w:sz="6" w:space="0" w:color="auto"/>
              <w:bottom w:val="nil" w:sz="6" w:space="0" w:color="auto"/>
              <w:right w:val="nil" w:sz="6" w:space="0" w:color="auto"/>
            </w:tcBorders>
          </w:tcPr>
          <w:p>
            <w:pPr>
              <w:pStyle w:val="TableParagraph"/>
              <w:spacing w:line="253" w:lineRule="exact"/>
              <w:ind w:left="35" w:right="0"/>
              <w:jc w:val="left"/>
              <w:rPr>
                <w:rFonts w:ascii="宋体" w:hAnsi="宋体" w:cs="宋体" w:eastAsia="宋体" w:hint="default"/>
                <w:sz w:val="22"/>
                <w:szCs w:val="22"/>
              </w:rPr>
            </w:pPr>
            <w:r>
              <w:rPr>
                <w:rFonts w:ascii="宋体" w:hAnsi="宋体" w:cs="宋体" w:eastAsia="宋体" w:hint="default"/>
                <w:sz w:val="22"/>
                <w:szCs w:val="22"/>
              </w:rPr>
              <w:t>销售通信产品成本</w:t>
            </w:r>
          </w:p>
        </w:tc>
        <w:tc>
          <w:tcPr>
            <w:tcW w:w="2212" w:type="dxa"/>
            <w:tcBorders>
              <w:top w:val="nil" w:sz="6" w:space="0" w:color="auto"/>
              <w:left w:val="nil" w:sz="6" w:space="0" w:color="auto"/>
              <w:bottom w:val="nil" w:sz="6" w:space="0" w:color="auto"/>
              <w:right w:val="nil" w:sz="6" w:space="0" w:color="auto"/>
            </w:tcBorders>
          </w:tcPr>
          <w:p>
            <w:pPr>
              <w:pStyle w:val="TableParagraph"/>
              <w:tabs>
                <w:tab w:pos="707" w:val="left" w:leader="none"/>
                <w:tab w:pos="2204" w:val="left" w:leader="none"/>
              </w:tabs>
              <w:spacing w:line="240" w:lineRule="auto" w:before="31"/>
              <w:ind w:left="7"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2,688,580,076</w:t>
              <w:tab/>
            </w:r>
            <w:r>
              <w:rPr>
                <w:rFonts w:ascii="Arial"/>
                <w:sz w:val="22"/>
              </w:rPr>
            </w:r>
          </w:p>
        </w:tc>
        <w:tc>
          <w:tcPr>
            <w:tcW w:w="227"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nil" w:sz="6" w:space="0" w:color="auto"/>
              <w:right w:val="nil" w:sz="6" w:space="0" w:color="auto"/>
            </w:tcBorders>
          </w:tcPr>
          <w:p>
            <w:pPr>
              <w:pStyle w:val="TableParagraph"/>
              <w:tabs>
                <w:tab w:pos="653" w:val="left" w:leader="none"/>
                <w:tab w:pos="2141" w:val="left" w:leader="none"/>
              </w:tabs>
              <w:spacing w:line="240" w:lineRule="auto" w:before="31"/>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spacing w:val="-1"/>
                <w:sz w:val="22"/>
                <w:u w:val="single" w:color="000000"/>
              </w:rPr>
              <w:t>2,155,667,905</w:t>
              <w:tab/>
            </w:r>
            <w:r>
              <w:rPr>
                <w:rFonts w:ascii="Arial"/>
                <w:spacing w:val="-1"/>
                <w:sz w:val="22"/>
              </w:rPr>
            </w:r>
          </w:p>
        </w:tc>
      </w:tr>
      <w:tr>
        <w:trPr>
          <w:trHeight w:val="430" w:hRule="exact"/>
        </w:trPr>
        <w:tc>
          <w:tcPr>
            <w:tcW w:w="4367"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12"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left="463" w:right="0"/>
              <w:jc w:val="left"/>
              <w:rPr>
                <w:rFonts w:ascii="Arial" w:hAnsi="Arial" w:cs="Arial" w:eastAsia="Arial" w:hint="default"/>
                <w:sz w:val="22"/>
                <w:szCs w:val="22"/>
              </w:rPr>
            </w:pPr>
            <w:r>
              <w:rPr>
                <w:rFonts w:ascii="Arial"/>
                <w:sz w:val="22"/>
              </w:rPr>
              <w:t>105,653,764,889</w:t>
            </w:r>
          </w:p>
        </w:tc>
        <w:tc>
          <w:tcPr>
            <w:tcW w:w="227" w:type="dxa"/>
            <w:tcBorders>
              <w:top w:val="nil" w:sz="6" w:space="0" w:color="auto"/>
              <w:left w:val="nil" w:sz="6" w:space="0" w:color="auto"/>
              <w:bottom w:val="nil" w:sz="6" w:space="0" w:color="auto"/>
              <w:right w:val="nil" w:sz="6" w:space="0" w:color="auto"/>
            </w:tcBorders>
          </w:tcPr>
          <w:p>
            <w:pPr/>
          </w:p>
        </w:tc>
        <w:tc>
          <w:tcPr>
            <w:tcW w:w="2153"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87"/>
              <w:jc w:val="right"/>
              <w:rPr>
                <w:rFonts w:ascii="Arial" w:hAnsi="Arial" w:cs="Arial" w:eastAsia="Arial" w:hint="default"/>
                <w:sz w:val="22"/>
                <w:szCs w:val="22"/>
              </w:rPr>
            </w:pPr>
            <w:r>
              <w:rPr>
                <w:rFonts w:ascii="Arial"/>
                <w:spacing w:val="-1"/>
                <w:sz w:val="22"/>
              </w:rPr>
              <w:t>102,080,809,531</w:t>
            </w:r>
          </w:p>
        </w:tc>
      </w:tr>
    </w:tbl>
    <w:p>
      <w:pPr>
        <w:spacing w:line="240" w:lineRule="auto" w:before="7"/>
        <w:rPr>
          <w:rFonts w:ascii="宋体" w:hAnsi="宋体" w:cs="宋体" w:eastAsia="宋体" w:hint="default"/>
          <w:sz w:val="12"/>
          <w:szCs w:val="12"/>
        </w:rPr>
      </w:pPr>
    </w:p>
    <w:p>
      <w:pPr>
        <w:pStyle w:val="BodyText"/>
        <w:spacing w:line="284" w:lineRule="exact" w:before="61"/>
        <w:ind w:left="1180" w:right="147" w:hanging="700"/>
        <w:jc w:val="both"/>
      </w:pPr>
      <w:r>
        <w:rPr>
          <w:spacing w:val="-1"/>
          <w:w w:val="95"/>
        </w:rPr>
        <w:t>注</w:t>
      </w:r>
      <w:r>
        <w:rPr>
          <w:rFonts w:ascii="Arial" w:hAnsi="Arial" w:cs="Arial" w:eastAsia="Arial" w:hint="default"/>
          <w:spacing w:val="-1"/>
          <w:w w:val="95"/>
        </w:rPr>
        <w:t>(1)</w:t>
      </w:r>
      <w:r>
        <w:rPr>
          <w:spacing w:val="-1"/>
          <w:w w:val="95"/>
        </w:rPr>
        <w:t>：网络运行及支撑成本主要包括修理及运行维护费、水电取暖动力费、房屋设备及通信电</w:t>
      </w:r>
      <w:r>
        <w:rPr>
          <w:spacing w:val="21"/>
          <w:w w:val="95"/>
        </w:rPr>
        <w:t> </w:t>
      </w:r>
      <w:r>
        <w:rPr>
          <w:spacing w:val="21"/>
          <w:w w:val="95"/>
        </w:rPr>
      </w:r>
      <w:r>
        <w:rPr/>
        <w:t>路租赁费等。</w:t>
      </w:r>
    </w:p>
    <w:p>
      <w:pPr>
        <w:spacing w:line="240" w:lineRule="auto" w:before="4"/>
        <w:rPr>
          <w:rFonts w:ascii="宋体" w:hAnsi="宋体" w:cs="宋体" w:eastAsia="宋体" w:hint="default"/>
          <w:sz w:val="19"/>
          <w:szCs w:val="19"/>
        </w:rPr>
      </w:pPr>
    </w:p>
    <w:p>
      <w:pPr>
        <w:pStyle w:val="BodyText"/>
        <w:spacing w:line="286" w:lineRule="exact"/>
        <w:ind w:left="1180" w:right="131" w:hanging="700"/>
        <w:jc w:val="both"/>
      </w:pPr>
      <w:r>
        <w:rPr/>
        <w:t>注</w:t>
      </w:r>
      <w:r>
        <w:rPr>
          <w:rFonts w:ascii="Arial" w:hAnsi="Arial" w:cs="Arial" w:eastAsia="Arial" w:hint="default"/>
        </w:rPr>
        <w:t>(2)</w:t>
      </w:r>
      <w:r>
        <w:rPr/>
        <w:t>：如附注一（</w:t>
      </w:r>
      <w:r>
        <w:rPr>
          <w:rFonts w:ascii="Arial" w:hAnsi="Arial" w:cs="Arial" w:eastAsia="Arial" w:hint="default"/>
        </w:rPr>
        <w:t>6</w:t>
      </w:r>
      <w:r>
        <w:rPr/>
        <w:t>）所述，自</w:t>
      </w:r>
      <w:r>
        <w:rPr>
          <w:rFonts w:ascii="Arial" w:hAnsi="Arial" w:cs="Arial" w:eastAsia="Arial" w:hint="default"/>
        </w:rPr>
        <w:t>2009</w:t>
      </w:r>
      <w:r>
        <w:rPr/>
        <w:t>年</w:t>
      </w:r>
      <w:r>
        <w:rPr>
          <w:rFonts w:ascii="Arial" w:hAnsi="Arial" w:cs="Arial" w:eastAsia="Arial" w:hint="default"/>
        </w:rPr>
        <w:t>1</w:t>
      </w:r>
      <w:r>
        <w:rPr/>
        <w:t>月</w:t>
      </w:r>
      <w:r>
        <w:rPr>
          <w:rFonts w:ascii="Arial" w:hAnsi="Arial" w:cs="Arial" w:eastAsia="Arial" w:hint="default"/>
        </w:rPr>
        <w:t>31</w:t>
      </w:r>
      <w:r>
        <w:rPr/>
        <w:t>日起，联通运营公司独家向联通新时空租赁其拥</w:t>
      </w:r>
      <w:r>
        <w:rPr>
          <w:spacing w:val="-46"/>
        </w:rPr>
        <w:t> </w:t>
      </w:r>
      <w:r>
        <w:rPr>
          <w:spacing w:val="-46"/>
        </w:rPr>
      </w:r>
      <w:r>
        <w:rPr>
          <w:spacing w:val="-2"/>
        </w:rPr>
        <w:t>有的南方固定电信网络以经营固网业务，并于</w:t>
      </w:r>
      <w:r>
        <w:rPr>
          <w:rFonts w:ascii="Arial" w:hAnsi="Arial" w:cs="Arial" w:eastAsia="Arial" w:hint="default"/>
          <w:spacing w:val="-2"/>
        </w:rPr>
        <w:t>2009</w:t>
      </w:r>
      <w:r>
        <w:rPr>
          <w:spacing w:val="-2"/>
        </w:rPr>
        <w:t>年度确认南方固定电信网络租赁费人</w:t>
      </w:r>
      <w:r>
        <w:rPr>
          <w:w w:val="99"/>
        </w:rPr>
        <w:t> </w:t>
      </w:r>
      <w:r>
        <w:rPr/>
        <w:t>民币</w:t>
      </w:r>
      <w:r>
        <w:rPr>
          <w:rFonts w:ascii="Arial" w:hAnsi="Arial" w:cs="Arial" w:eastAsia="Arial" w:hint="default"/>
        </w:rPr>
        <w:t>20</w:t>
      </w:r>
      <w:r>
        <w:rPr/>
        <w:t>亿元（</w:t>
      </w:r>
      <w:r>
        <w:rPr>
          <w:rFonts w:ascii="Arial" w:hAnsi="Arial" w:cs="Arial" w:eastAsia="Arial" w:hint="default"/>
        </w:rPr>
        <w:t>2008</w:t>
      </w:r>
      <w:r>
        <w:rPr/>
        <w:t>年度：无）</w:t>
      </w:r>
    </w:p>
    <w:p>
      <w:pPr>
        <w:spacing w:line="240" w:lineRule="auto" w:before="1"/>
        <w:rPr>
          <w:rFonts w:ascii="宋体" w:hAnsi="宋体" w:cs="宋体" w:eastAsia="宋体" w:hint="default"/>
          <w:sz w:val="17"/>
          <w:szCs w:val="17"/>
        </w:rPr>
      </w:pPr>
    </w:p>
    <w:p>
      <w:pPr>
        <w:pStyle w:val="BodyText"/>
        <w:spacing w:line="424" w:lineRule="auto"/>
        <w:ind w:left="508" w:right="5102" w:hanging="406"/>
        <w:jc w:val="left"/>
      </w:pPr>
      <w:r>
        <w:rPr>
          <w:rFonts w:ascii="Arial" w:hAnsi="Arial" w:cs="Arial" w:eastAsia="Arial" w:hint="default"/>
        </w:rPr>
        <w:t>(a)</w:t>
      </w:r>
      <w:r>
        <w:rPr>
          <w:rFonts w:ascii="Arial" w:hAnsi="Arial" w:cs="Arial" w:eastAsia="Arial" w:hint="default"/>
          <w:spacing w:val="27"/>
        </w:rPr>
        <w:t> </w:t>
      </w:r>
      <w:r>
        <w:rPr/>
        <w:t>主营业务收入和主营业务成本</w:t>
      </w:r>
      <w:r>
        <w:rPr>
          <w:w w:val="99"/>
        </w:rPr>
        <w:t> </w:t>
      </w:r>
      <w:r>
        <w:rPr/>
        <w:t>按行业分析如下：</w:t>
      </w:r>
    </w:p>
    <w:p>
      <w:pPr>
        <w:spacing w:line="240" w:lineRule="auto" w:before="9"/>
        <w:rPr>
          <w:rFonts w:ascii="宋体" w:hAnsi="宋体" w:cs="宋体" w:eastAsia="宋体" w:hint="default"/>
          <w:sz w:val="3"/>
          <w:szCs w:val="3"/>
        </w:rPr>
      </w:pPr>
    </w:p>
    <w:tbl>
      <w:tblPr>
        <w:tblW w:w="0" w:type="auto"/>
        <w:jc w:val="left"/>
        <w:tblInd w:w="509" w:type="dxa"/>
        <w:tblLayout w:type="fixed"/>
        <w:tblCellMar>
          <w:top w:w="0" w:type="dxa"/>
          <w:left w:w="0" w:type="dxa"/>
          <w:bottom w:w="0" w:type="dxa"/>
          <w:right w:w="0" w:type="dxa"/>
        </w:tblCellMar>
        <w:tblLook w:val="01E0"/>
      </w:tblPr>
      <w:tblGrid>
        <w:gridCol w:w="1476"/>
        <w:gridCol w:w="3737"/>
        <w:gridCol w:w="155"/>
        <w:gridCol w:w="3662"/>
      </w:tblGrid>
      <w:tr>
        <w:trPr>
          <w:trHeight w:val="361" w:hRule="exact"/>
        </w:trPr>
        <w:tc>
          <w:tcPr>
            <w:tcW w:w="1476" w:type="dxa"/>
            <w:vMerge w:val="restart"/>
            <w:tcBorders>
              <w:top w:val="nil" w:sz="6" w:space="0" w:color="auto"/>
              <w:left w:val="nil" w:sz="6" w:space="0" w:color="auto"/>
              <w:right w:val="nil" w:sz="6" w:space="0" w:color="auto"/>
            </w:tcBorders>
          </w:tcPr>
          <w:p>
            <w:pPr/>
          </w:p>
        </w:tc>
        <w:tc>
          <w:tcPr>
            <w:tcW w:w="3737"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left="8" w:right="0"/>
              <w:jc w:val="center"/>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155" w:type="dxa"/>
            <w:tcBorders>
              <w:top w:val="nil" w:sz="6" w:space="0" w:color="auto"/>
              <w:left w:val="nil" w:sz="6" w:space="0" w:color="auto"/>
              <w:bottom w:val="nil" w:sz="6" w:space="0" w:color="auto"/>
              <w:right w:val="nil" w:sz="6" w:space="0" w:color="auto"/>
            </w:tcBorders>
          </w:tcPr>
          <w:p>
            <w:pPr/>
          </w:p>
        </w:tc>
        <w:tc>
          <w:tcPr>
            <w:tcW w:w="3662"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left="774" w:right="0"/>
              <w:jc w:val="lef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9"/>
                <w:sz w:val="22"/>
                <w:szCs w:val="22"/>
              </w:rPr>
              <w:t> </w:t>
            </w:r>
            <w:r>
              <w:rPr>
                <w:rFonts w:ascii="宋体" w:hAnsi="宋体" w:cs="宋体" w:eastAsia="宋体" w:hint="default"/>
                <w:sz w:val="22"/>
                <w:szCs w:val="22"/>
              </w:rPr>
              <w:t>年度（经重列）</w:t>
            </w:r>
          </w:p>
        </w:tc>
      </w:tr>
      <w:tr>
        <w:trPr>
          <w:trHeight w:val="300" w:hRule="exact"/>
        </w:trPr>
        <w:tc>
          <w:tcPr>
            <w:tcW w:w="1476" w:type="dxa"/>
            <w:vMerge/>
            <w:tcBorders>
              <w:left w:val="nil" w:sz="6" w:space="0" w:color="auto"/>
              <w:bottom w:val="nil" w:sz="6" w:space="0" w:color="auto"/>
              <w:right w:val="nil" w:sz="6" w:space="0" w:color="auto"/>
            </w:tcBorders>
          </w:tcPr>
          <w:p>
            <w:pPr/>
          </w:p>
        </w:tc>
        <w:tc>
          <w:tcPr>
            <w:tcW w:w="3737" w:type="dxa"/>
            <w:tcBorders>
              <w:top w:val="single" w:sz="6" w:space="0" w:color="000000"/>
              <w:left w:val="nil" w:sz="6" w:space="0" w:color="auto"/>
              <w:bottom w:val="single" w:sz="6" w:space="0" w:color="000000"/>
              <w:right w:val="nil" w:sz="6" w:space="0" w:color="auto"/>
            </w:tcBorders>
          </w:tcPr>
          <w:p>
            <w:pPr>
              <w:pStyle w:val="TableParagraph"/>
              <w:tabs>
                <w:tab w:pos="2417" w:val="left" w:leader="none"/>
              </w:tabs>
              <w:spacing w:line="252" w:lineRule="exact"/>
              <w:ind w:left="466" w:right="0"/>
              <w:jc w:val="left"/>
              <w:rPr>
                <w:rFonts w:ascii="宋体" w:hAnsi="宋体" w:cs="宋体" w:eastAsia="宋体" w:hint="default"/>
                <w:sz w:val="22"/>
                <w:szCs w:val="22"/>
              </w:rPr>
            </w:pPr>
            <w:r>
              <w:rPr>
                <w:rFonts w:ascii="宋体" w:hAnsi="宋体" w:cs="宋体" w:eastAsia="宋体" w:hint="default"/>
                <w:w w:val="95"/>
                <w:sz w:val="22"/>
                <w:szCs w:val="22"/>
              </w:rPr>
              <w:t>主营业务收入</w:t>
              <w:tab/>
              <w:t>主营业务成本</w:t>
            </w:r>
            <w:r>
              <w:rPr>
                <w:rFonts w:ascii="宋体" w:hAnsi="宋体" w:cs="宋体" w:eastAsia="宋体" w:hint="default"/>
                <w:sz w:val="22"/>
                <w:szCs w:val="22"/>
              </w:rPr>
            </w:r>
          </w:p>
        </w:tc>
        <w:tc>
          <w:tcPr>
            <w:tcW w:w="155" w:type="dxa"/>
            <w:tcBorders>
              <w:top w:val="nil" w:sz="6" w:space="0" w:color="auto"/>
              <w:left w:val="nil" w:sz="6" w:space="0" w:color="auto"/>
              <w:bottom w:val="nil" w:sz="6" w:space="0" w:color="auto"/>
              <w:right w:val="nil" w:sz="6" w:space="0" w:color="auto"/>
            </w:tcBorders>
          </w:tcPr>
          <w:p>
            <w:pPr/>
          </w:p>
        </w:tc>
        <w:tc>
          <w:tcPr>
            <w:tcW w:w="3662" w:type="dxa"/>
            <w:tcBorders>
              <w:top w:val="single" w:sz="6" w:space="0" w:color="000000"/>
              <w:left w:val="nil" w:sz="6" w:space="0" w:color="auto"/>
              <w:bottom w:val="single" w:sz="6" w:space="0" w:color="000000"/>
              <w:right w:val="nil" w:sz="6" w:space="0" w:color="auto"/>
            </w:tcBorders>
          </w:tcPr>
          <w:p>
            <w:pPr>
              <w:pStyle w:val="TableParagraph"/>
              <w:tabs>
                <w:tab w:pos="2306" w:val="left" w:leader="none"/>
              </w:tabs>
              <w:spacing w:line="252" w:lineRule="exact"/>
              <w:ind w:left="492" w:right="0"/>
              <w:jc w:val="left"/>
              <w:rPr>
                <w:rFonts w:ascii="宋体" w:hAnsi="宋体" w:cs="宋体" w:eastAsia="宋体" w:hint="default"/>
                <w:sz w:val="22"/>
                <w:szCs w:val="22"/>
              </w:rPr>
            </w:pPr>
            <w:r>
              <w:rPr>
                <w:rFonts w:ascii="宋体" w:hAnsi="宋体" w:cs="宋体" w:eastAsia="宋体" w:hint="default"/>
                <w:w w:val="95"/>
                <w:sz w:val="22"/>
                <w:szCs w:val="22"/>
              </w:rPr>
              <w:t>主营业务收入</w:t>
              <w:tab/>
            </w:r>
            <w:r>
              <w:rPr>
                <w:rFonts w:ascii="宋体" w:hAnsi="宋体" w:cs="宋体" w:eastAsia="宋体" w:hint="default"/>
                <w:sz w:val="22"/>
                <w:szCs w:val="22"/>
              </w:rPr>
              <w:t>主营业务成本</w:t>
            </w:r>
          </w:p>
        </w:tc>
      </w:tr>
      <w:tr>
        <w:trPr>
          <w:trHeight w:val="676" w:hRule="exact"/>
        </w:trPr>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电信行业</w:t>
            </w:r>
          </w:p>
        </w:tc>
        <w:tc>
          <w:tcPr>
            <w:tcW w:w="3737" w:type="dxa"/>
            <w:tcBorders>
              <w:top w:val="single" w:sz="6" w:space="0" w:color="000000"/>
              <w:left w:val="nil" w:sz="6" w:space="0" w:color="auto"/>
              <w:bottom w:val="single" w:sz="17" w:space="0" w:color="000000"/>
              <w:right w:val="nil" w:sz="6" w:space="0" w:color="auto"/>
            </w:tcBorders>
          </w:tcPr>
          <w:p>
            <w:pPr>
              <w:pStyle w:val="TableParagraph"/>
              <w:spacing w:line="20" w:lineRule="exact"/>
              <w:ind w:left="-8" w:right="0"/>
              <w:jc w:val="left"/>
              <w:rPr>
                <w:rFonts w:ascii="宋体" w:hAnsi="宋体" w:cs="宋体" w:eastAsia="宋体" w:hint="default"/>
                <w:sz w:val="2"/>
                <w:szCs w:val="2"/>
              </w:rPr>
            </w:pPr>
            <w:r>
              <w:rPr>
                <w:rFonts w:ascii="宋体" w:hAnsi="宋体" w:cs="宋体" w:eastAsia="宋体" w:hint="default"/>
                <w:sz w:val="2"/>
                <w:szCs w:val="2"/>
              </w:rPr>
              <w:pict>
                <v:group style="width:89.65pt;height:.75pt;mso-position-horizontal-relative:char;mso-position-vertical-relative:line" coordorigin="0,0" coordsize="1793,15">
                  <v:group style="position:absolute;left:7;top:7;width:1779;height:2" coordorigin="7,7" coordsize="1779,2">
                    <v:shape style="position:absolute;left:7;top:7;width:1779;height:2" coordorigin="7,7" coordsize="1779,0" path="m7,7l1786,7e" filled="false" stroked="true" strokeweight=".72pt" strokecolor="#000000">
                      <v:path arrowok="t"/>
                    </v:shape>
                  </v:group>
                </v:group>
              </w:pict>
            </w:r>
            <w:r>
              <w:rPr>
                <w:rFonts w:ascii="宋体" w:hAnsi="宋体" w:cs="宋体" w:eastAsia="宋体" w:hint="default"/>
                <w:sz w:val="2"/>
                <w:szCs w:val="2"/>
              </w:rPr>
            </w:r>
          </w:p>
          <w:p>
            <w:pPr>
              <w:pStyle w:val="TableParagraph"/>
              <w:spacing w:line="240" w:lineRule="auto" w:before="5"/>
              <w:ind w:right="0"/>
              <w:jc w:val="left"/>
              <w:rPr>
                <w:rFonts w:ascii="宋体" w:hAnsi="宋体" w:cs="宋体" w:eastAsia="宋体" w:hint="default"/>
                <w:sz w:val="29"/>
                <w:szCs w:val="29"/>
              </w:rPr>
            </w:pPr>
          </w:p>
          <w:p>
            <w:pPr>
              <w:pStyle w:val="TableParagraph"/>
              <w:tabs>
                <w:tab w:pos="1981" w:val="left" w:leader="none"/>
              </w:tabs>
              <w:spacing w:line="240" w:lineRule="auto"/>
              <w:ind w:left="64" w:right="0"/>
              <w:jc w:val="left"/>
              <w:rPr>
                <w:rFonts w:ascii="Arial" w:hAnsi="Arial" w:cs="Arial" w:eastAsia="Arial" w:hint="default"/>
                <w:sz w:val="22"/>
                <w:szCs w:val="22"/>
              </w:rPr>
            </w:pPr>
            <w:r>
              <w:rPr>
                <w:rFonts w:ascii="Arial"/>
                <w:spacing w:val="-1"/>
                <w:sz w:val="22"/>
              </w:rPr>
              <w:t>156,135,356,229</w:t>
              <w:tab/>
              <w:t>102,965,184,813</w:t>
            </w:r>
          </w:p>
        </w:tc>
        <w:tc>
          <w:tcPr>
            <w:tcW w:w="155" w:type="dxa"/>
            <w:tcBorders>
              <w:top w:val="nil" w:sz="6" w:space="0" w:color="auto"/>
              <w:left w:val="nil" w:sz="6" w:space="0" w:color="auto"/>
              <w:bottom w:val="nil" w:sz="6" w:space="0" w:color="auto"/>
              <w:right w:val="nil" w:sz="6" w:space="0" w:color="auto"/>
            </w:tcBorders>
          </w:tcPr>
          <w:p>
            <w:pPr/>
          </w:p>
        </w:tc>
        <w:tc>
          <w:tcPr>
            <w:tcW w:w="3662" w:type="dxa"/>
            <w:tcBorders>
              <w:top w:val="single" w:sz="6" w:space="0" w:color="000000"/>
              <w:left w:val="nil" w:sz="6" w:space="0" w:color="auto"/>
              <w:bottom w:val="single" w:sz="17" w:space="0" w:color="000000"/>
              <w:right w:val="nil" w:sz="6" w:space="0" w:color="auto"/>
            </w:tcBorders>
          </w:tcPr>
          <w:p>
            <w:pPr>
              <w:pStyle w:val="TableParagraph"/>
              <w:spacing w:line="20" w:lineRule="exact"/>
              <w:ind w:left="-8" w:right="0"/>
              <w:jc w:val="left"/>
              <w:rPr>
                <w:rFonts w:ascii="宋体" w:hAnsi="宋体" w:cs="宋体" w:eastAsia="宋体" w:hint="default"/>
                <w:sz w:val="2"/>
                <w:szCs w:val="2"/>
              </w:rPr>
            </w:pPr>
            <w:r>
              <w:rPr>
                <w:rFonts w:ascii="宋体" w:hAnsi="宋体" w:cs="宋体" w:eastAsia="宋体" w:hint="default"/>
                <w:sz w:val="2"/>
                <w:szCs w:val="2"/>
              </w:rPr>
              <w:pict>
                <v:group style="width:91.05pt;height:.75pt;mso-position-horizontal-relative:char;mso-position-vertical-relative:line" coordorigin="0,0" coordsize="1821,15">
                  <v:group style="position:absolute;left:7;top:7;width:1806;height:2" coordorigin="7,7" coordsize="1806,2">
                    <v:shape style="position:absolute;left:7;top:7;width:1806;height:2" coordorigin="7,7" coordsize="1806,0" path="m7,7l1813,7e" filled="false" stroked="true" strokeweight=".72pt" strokecolor="#000000">
                      <v:path arrowok="t"/>
                    </v:shape>
                  </v:group>
                </v:group>
              </w:pict>
            </w:r>
            <w:r>
              <w:rPr>
                <w:rFonts w:ascii="宋体" w:hAnsi="宋体" w:cs="宋体" w:eastAsia="宋体" w:hint="default"/>
                <w:sz w:val="2"/>
                <w:szCs w:val="2"/>
              </w:rPr>
            </w:r>
          </w:p>
          <w:p>
            <w:pPr>
              <w:pStyle w:val="TableParagraph"/>
              <w:tabs>
                <w:tab w:pos="2525" w:val="left" w:leader="none"/>
              </w:tabs>
              <w:spacing w:line="240" w:lineRule="auto" w:before="32"/>
              <w:ind w:left="711" w:right="0"/>
              <w:jc w:val="left"/>
              <w:rPr>
                <w:rFonts w:ascii="宋体" w:hAnsi="宋体" w:cs="宋体" w:eastAsia="宋体" w:hint="default"/>
                <w:sz w:val="22"/>
                <w:szCs w:val="22"/>
              </w:rPr>
            </w:pPr>
            <w:r>
              <w:rPr>
                <w:rFonts w:ascii="宋体" w:hAnsi="宋体" w:cs="宋体" w:eastAsia="宋体" w:hint="default"/>
                <w:w w:val="95"/>
                <w:sz w:val="22"/>
                <w:szCs w:val="22"/>
              </w:rPr>
              <w:t>（经重列）</w:t>
              <w:tab/>
            </w:r>
            <w:r>
              <w:rPr>
                <w:rFonts w:ascii="宋体" w:hAnsi="宋体" w:cs="宋体" w:eastAsia="宋体" w:hint="default"/>
                <w:sz w:val="22"/>
                <w:szCs w:val="22"/>
              </w:rPr>
              <w:t>（经重列）</w:t>
            </w:r>
          </w:p>
          <w:p>
            <w:pPr>
              <w:pStyle w:val="TableParagraph"/>
              <w:tabs>
                <w:tab w:pos="2010" w:val="left" w:leader="none"/>
              </w:tabs>
              <w:spacing w:line="240" w:lineRule="auto" w:before="64"/>
              <w:ind w:left="62" w:right="0"/>
              <w:jc w:val="left"/>
              <w:rPr>
                <w:rFonts w:ascii="Arial" w:hAnsi="Arial" w:cs="Arial" w:eastAsia="Arial" w:hint="default"/>
                <w:sz w:val="22"/>
                <w:szCs w:val="22"/>
              </w:rPr>
            </w:pPr>
            <w:r>
              <w:rPr>
                <w:rFonts w:ascii="Arial"/>
                <w:spacing w:val="-1"/>
                <w:sz w:val="22"/>
              </w:rPr>
              <w:t>162,109,813,008</w:t>
              <w:tab/>
              <w:t>99,925,141,626</w:t>
            </w:r>
          </w:p>
        </w:tc>
      </w:tr>
    </w:tbl>
    <w:p>
      <w:pPr>
        <w:spacing w:after="0" w:line="240" w:lineRule="auto"/>
        <w:jc w:val="left"/>
        <w:rPr>
          <w:rFonts w:ascii="Arial" w:hAnsi="Arial" w:cs="Arial" w:eastAsia="Arial" w:hint="default"/>
          <w:sz w:val="22"/>
          <w:szCs w:val="22"/>
        </w:rPr>
        <w:sectPr>
          <w:headerReference w:type="default" r:id="rId113"/>
          <w:pgSz w:w="11910" w:h="16840"/>
          <w:pgMar w:header="1189" w:footer="752" w:top="3580" w:bottom="940" w:left="1280" w:right="980"/>
        </w:sectPr>
      </w:pPr>
    </w:p>
    <w:p>
      <w:pPr>
        <w:spacing w:line="240" w:lineRule="auto" w:before="9"/>
        <w:rPr>
          <w:rFonts w:ascii="宋体" w:hAnsi="宋体" w:cs="宋体" w:eastAsia="宋体" w:hint="default"/>
          <w:sz w:val="17"/>
          <w:szCs w:val="17"/>
        </w:rPr>
      </w:pPr>
    </w:p>
    <w:p>
      <w:pPr>
        <w:pStyle w:val="BodyText"/>
        <w:spacing w:line="444" w:lineRule="auto" w:before="31"/>
        <w:ind w:left="522" w:right="5517" w:hanging="420"/>
        <w:jc w:val="left"/>
      </w:pPr>
      <w:r>
        <w:rPr>
          <w:rFonts w:ascii="Arial" w:hAnsi="Arial" w:cs="Arial" w:eastAsia="Arial" w:hint="default"/>
        </w:rPr>
        <w:t>(a)</w:t>
      </w:r>
      <w:r>
        <w:rPr>
          <w:rFonts w:ascii="Arial" w:hAnsi="Arial" w:cs="Arial" w:eastAsia="Arial" w:hint="default"/>
          <w:spacing w:val="28"/>
        </w:rPr>
        <w:t> </w:t>
      </w:r>
      <w:r>
        <w:rPr/>
        <w:t>主营业务收入和主营业务成本（续）</w:t>
      </w:r>
      <w:r>
        <w:rPr>
          <w:w w:val="99"/>
        </w:rPr>
        <w:t> </w:t>
      </w:r>
      <w:r>
        <w:rPr/>
        <w:t>按产品分析如下：</w:t>
      </w:r>
    </w:p>
    <w:p>
      <w:pPr>
        <w:pStyle w:val="BodyText"/>
        <w:tabs>
          <w:tab w:pos="4358" w:val="left" w:leader="none"/>
          <w:tab w:pos="6312" w:val="left" w:leader="none"/>
          <w:tab w:pos="6643" w:val="left" w:leader="none"/>
          <w:tab w:pos="8125" w:val="left" w:leader="none"/>
        </w:tabs>
        <w:spacing w:line="302" w:lineRule="exact" w:before="78"/>
        <w:ind w:left="2393" w:right="358" w:firstLine="971"/>
        <w:jc w:val="left"/>
      </w:pPr>
      <w:r>
        <w:rPr/>
        <w:pict>
          <v:group style="position:absolute;margin-left:162.539993pt;margin-top:19.581385pt;width:187.9pt;height:.1pt;mso-position-horizontal-relative:page;mso-position-vertical-relative:paragraph;z-index:-913240" coordorigin="3251,392" coordsize="3758,2">
            <v:shape style="position:absolute;left:3251;top:392;width:3758;height:2" coordorigin="3251,392" coordsize="3758,0" path="m3251,392l7008,392e" filled="false" stroked="true" strokeweight=".72pt" strokecolor="#000000">
              <v:path arrowok="t"/>
            </v:shape>
            <w10:wrap type="none"/>
          </v:group>
        </w:pict>
      </w:r>
      <w:r>
        <w:rPr/>
        <w:pict>
          <v:group style="position:absolute;margin-left:357.119995pt;margin-top:19.581385pt;width:181.65pt;height:.1pt;mso-position-horizontal-relative:page;mso-position-vertical-relative:paragraph;z-index:-913216" coordorigin="7142,392" coordsize="3633,2">
            <v:shape style="position:absolute;left:7142;top:392;width:3633;height:2" coordorigin="7142,392" coordsize="3633,0" path="m7142,392l10775,392e" filled="false" stroked="true" strokeweight=".72pt" strokecolor="#000000">
              <v:path arrowok="t"/>
            </v:shape>
            <w10:wrap type="none"/>
          </v:group>
        </w:pict>
      </w:r>
      <w:r>
        <w:rPr>
          <w:rFonts w:ascii="Arial" w:hAnsi="Arial" w:cs="Arial" w:eastAsia="Arial" w:hint="default"/>
        </w:rPr>
        <w:t>2009</w:t>
      </w:r>
      <w:r>
        <w:rPr>
          <w:rFonts w:ascii="Arial" w:hAnsi="Arial" w:cs="Arial" w:eastAsia="Arial" w:hint="default"/>
          <w:spacing w:val="-8"/>
        </w:rPr>
        <w:t> </w:t>
      </w:r>
      <w:r>
        <w:rPr/>
        <w:t>年度</w:t>
        <w:tab/>
        <w:tab/>
        <w:tab/>
      </w:r>
      <w:r>
        <w:rPr>
          <w:rFonts w:ascii="Arial" w:hAnsi="Arial" w:cs="Arial" w:eastAsia="Arial" w:hint="default"/>
        </w:rPr>
        <w:t>2008</w:t>
      </w:r>
      <w:r>
        <w:rPr>
          <w:rFonts w:ascii="Arial" w:hAnsi="Arial" w:cs="Arial" w:eastAsia="Arial" w:hint="default"/>
          <w:spacing w:val="-9"/>
        </w:rPr>
        <w:t> </w:t>
      </w:r>
      <w:r>
        <w:rPr/>
        <w:t>年度（经重列）</w:t>
      </w:r>
      <w:r>
        <w:rPr>
          <w:w w:val="99"/>
        </w:rPr>
        <w:t> </w:t>
      </w:r>
      <w:r>
        <w:rPr>
          <w:w w:val="95"/>
        </w:rPr>
        <w:t>主营业务收入</w:t>
        <w:tab/>
        <w:t>主营业务成本</w:t>
        <w:tab/>
        <w:t>主营业务收入</w:t>
        <w:tab/>
      </w:r>
      <w:r>
        <w:rPr/>
        <w:t>主营业务成本</w:t>
      </w:r>
    </w:p>
    <w:p>
      <w:pPr>
        <w:pStyle w:val="BodyText"/>
        <w:tabs>
          <w:tab w:pos="2184" w:val="left" w:leader="none"/>
          <w:tab w:pos="4102" w:val="left" w:leader="none"/>
          <w:tab w:pos="6061" w:val="left" w:leader="none"/>
          <w:tab w:pos="7916" w:val="left" w:leader="none"/>
          <w:tab w:pos="8345" w:val="left" w:leader="none"/>
        </w:tabs>
        <w:spacing w:line="232" w:lineRule="auto"/>
        <w:ind w:left="544" w:right="357" w:firstLine="5988"/>
        <w:jc w:val="left"/>
        <w:rPr>
          <w:rFonts w:ascii="Arial" w:hAnsi="Arial" w:cs="Arial" w:eastAsia="Arial" w:hint="default"/>
        </w:rPr>
      </w:pPr>
      <w:r>
        <w:rPr/>
        <w:pict>
          <v:group style="position:absolute;margin-left:162.539993pt;margin-top:1.007214pt;width:89.65pt;height:.1pt;mso-position-horizontal-relative:page;mso-position-vertical-relative:paragraph;z-index:-913192" coordorigin="3251,20" coordsize="1793,2">
            <v:shape style="position:absolute;left:3251;top:20;width:1793;height:2" coordorigin="3251,20" coordsize="1793,0" path="m3251,20l5044,20e" filled="false" stroked="true" strokeweight=".72pt" strokecolor="#000000">
              <v:path arrowok="t"/>
            </v:shape>
            <w10:wrap type="none"/>
          </v:group>
        </w:pict>
      </w:r>
      <w:r>
        <w:rPr/>
        <w:pict>
          <v:group style="position:absolute;margin-left:259.140015pt;margin-top:1.007214pt;width:91.3pt;height:.1pt;mso-position-horizontal-relative:page;mso-position-vertical-relative:paragraph;z-index:-913168" coordorigin="5183,20" coordsize="1826,2">
            <v:shape style="position:absolute;left:5183;top:20;width:1826;height:2" coordorigin="5183,20" coordsize="1826,0" path="m5183,20l7008,20e" filled="false" stroked="true" strokeweight=".72pt" strokecolor="#000000">
              <v:path arrowok="t"/>
            </v:shape>
            <w10:wrap type="none"/>
          </v:group>
        </w:pict>
      </w:r>
      <w:r>
        <w:rPr/>
        <w:pict>
          <v:group style="position:absolute;margin-left:357.119995pt;margin-top:1.007214pt;width:91.05pt;height:.1pt;mso-position-horizontal-relative:page;mso-position-vertical-relative:paragraph;z-index:-913144" coordorigin="7142,20" coordsize="1821,2">
            <v:shape style="position:absolute;left:7142;top:20;width:1821;height:2" coordorigin="7142,20" coordsize="1821,0" path="m7142,20l8963,20e" filled="false" stroked="true" strokeweight=".72pt" strokecolor="#000000">
              <v:path arrowok="t"/>
            </v:shape>
            <w10:wrap type="none"/>
          </v:group>
        </w:pict>
      </w:r>
      <w:r>
        <w:rPr/>
        <w:pict>
          <v:group style="position:absolute;margin-left:455.100006pt;margin-top:1.007214pt;width:83.65pt;height:.1pt;mso-position-horizontal-relative:page;mso-position-vertical-relative:paragraph;z-index:-913120" coordorigin="9102,20" coordsize="1673,2">
            <v:shape style="position:absolute;left:9102;top:20;width:1673;height:2" coordorigin="9102,20" coordsize="1673,0" path="m9102,20l10775,20e" filled="false" stroked="true" strokeweight=".72pt" strokecolor="#000000">
              <v:path arrowok="t"/>
            </v:shape>
            <w10:wrap type="none"/>
          </v:group>
        </w:pict>
      </w:r>
      <w:r>
        <w:rPr>
          <w:w w:val="95"/>
        </w:rPr>
        <w:t>（经重列）</w:t>
        <w:tab/>
        <w:tab/>
      </w:r>
      <w:r>
        <w:rPr/>
        <w:t>（经重列）</w:t>
      </w:r>
      <w:r>
        <w:rPr>
          <w:w w:val="99"/>
        </w:rPr>
        <w:t> </w:t>
      </w:r>
      <w:r>
        <w:rPr>
          <w:w w:val="95"/>
          <w:position w:val="2"/>
        </w:rPr>
        <w:t>移动业务</w:t>
        <w:tab/>
      </w:r>
      <w:r>
        <w:rPr>
          <w:rFonts w:ascii="Arial" w:hAnsi="Arial" w:cs="Arial" w:eastAsia="Arial" w:hint="default"/>
          <w:spacing w:val="-1"/>
        </w:rPr>
        <w:t>71,812,834,364</w:t>
        <w:tab/>
        <w:t>40,635,923,188</w:t>
        <w:tab/>
        <w:t>65,945,286,276</w:t>
        <w:tab/>
        <w:t>32,476,723,159</w:t>
      </w:r>
    </w:p>
    <w:p>
      <w:pPr>
        <w:pStyle w:val="BodyText"/>
        <w:tabs>
          <w:tab w:pos="2171" w:val="left" w:leader="none"/>
          <w:tab w:pos="4102" w:val="left" w:leader="none"/>
          <w:tab w:pos="6061" w:val="left" w:leader="none"/>
          <w:tab w:pos="7916" w:val="left" w:leader="none"/>
        </w:tabs>
        <w:spacing w:line="268" w:lineRule="exact"/>
        <w:ind w:left="543" w:right="90"/>
        <w:jc w:val="left"/>
        <w:rPr>
          <w:rFonts w:ascii="Arial" w:hAnsi="Arial" w:cs="Arial" w:eastAsia="Arial" w:hint="default"/>
        </w:rPr>
      </w:pPr>
      <w:r>
        <w:rPr>
          <w:w w:val="95"/>
          <w:position w:val="2"/>
        </w:rPr>
        <w:t>固网业务</w:t>
        <w:tab/>
      </w:r>
      <w:r>
        <w:rPr>
          <w:rFonts w:ascii="Arial" w:hAnsi="Arial" w:cs="Arial" w:eastAsia="Arial" w:hint="default"/>
          <w:spacing w:val="-1"/>
        </w:rPr>
        <w:t>83,619,414,848</w:t>
        <w:tab/>
        <w:t>61,332,931,791</w:t>
        <w:tab/>
        <w:t>95,374,477,114</w:t>
        <w:tab/>
        <w:t>49,373,124,702</w:t>
      </w:r>
    </w:p>
    <w:p>
      <w:pPr>
        <w:pStyle w:val="BodyText"/>
        <w:tabs>
          <w:tab w:pos="1970" w:val="left" w:leader="none"/>
          <w:tab w:pos="2477" w:val="left" w:leader="none"/>
          <w:tab w:pos="4408" w:val="left" w:leader="none"/>
          <w:tab w:pos="6366" w:val="left" w:leader="none"/>
        </w:tabs>
        <w:spacing w:line="305" w:lineRule="exact"/>
        <w:ind w:left="544" w:right="90"/>
        <w:jc w:val="left"/>
        <w:rPr>
          <w:rFonts w:ascii="Arial" w:hAnsi="Arial" w:cs="Arial" w:eastAsia="Arial" w:hint="default"/>
        </w:rPr>
      </w:pPr>
      <w:r>
        <w:rPr>
          <w:w w:val="95"/>
          <w:position w:val="2"/>
        </w:rPr>
        <w:t>其他</w:t>
        <w:tab/>
      </w:r>
      <w:r>
        <w:rPr>
          <w:rFonts w:ascii="Arial" w:hAnsi="Arial" w:cs="Arial" w:eastAsia="Arial" w:hint="default"/>
          <w:w w:val="95"/>
        </w:rPr>
      </w:r>
      <w:r>
        <w:rPr>
          <w:rFonts w:ascii="Arial" w:hAnsi="Arial" w:cs="Arial" w:eastAsia="Arial" w:hint="default"/>
          <w:w w:val="95"/>
          <w:u w:val="single" w:color="000000"/>
        </w:rPr>
        <w:t> </w:t>
        <w:tab/>
        <w:t>703,107,017</w:t>
      </w:r>
      <w:r>
        <w:rPr>
          <w:rFonts w:ascii="Arial" w:hAnsi="Arial" w:cs="Arial" w:eastAsia="Arial" w:hint="default"/>
          <w:w w:val="95"/>
        </w:rPr>
      </w:r>
      <w:r>
        <w:rPr>
          <w:rFonts w:ascii="Arial" w:hAnsi="Arial" w:cs="Arial" w:eastAsia="Arial" w:hint="default"/>
          <w:w w:val="95"/>
          <w:u w:val="single" w:color="000000"/>
        </w:rPr>
        <w:t> </w:t>
        <w:tab/>
        <w:t>996,329,834</w:t>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790,049,618    </w:t>
      </w:r>
      <w:r>
        <w:rPr>
          <w:rFonts w:ascii="Arial" w:hAnsi="Arial" w:cs="Arial" w:eastAsia="Arial" w:hint="default"/>
          <w:spacing w:val="10"/>
          <w:u w:val="single" w:color="000000"/>
        </w:rPr>
        <w:t> </w:t>
      </w:r>
      <w:r>
        <w:rPr>
          <w:rFonts w:ascii="Arial" w:hAnsi="Arial" w:cs="Arial" w:eastAsia="Arial" w:hint="default"/>
          <w:spacing w:val="10"/>
        </w:rPr>
      </w:r>
      <w:r>
        <w:rPr>
          <w:rFonts w:ascii="Arial" w:hAnsi="Arial" w:cs="Arial" w:eastAsia="Arial" w:hint="default"/>
          <w:spacing w:val="10"/>
          <w:u w:val="single" w:color="000000"/>
        </w:rPr>
        <w:t> </w:t>
      </w:r>
      <w:r>
        <w:rPr>
          <w:rFonts w:ascii="Arial" w:hAnsi="Arial" w:cs="Arial" w:eastAsia="Arial" w:hint="default"/>
          <w:u w:val="single" w:color="000000"/>
        </w:rPr>
        <w:t>18,075,293,765</w:t>
      </w:r>
      <w:r>
        <w:rPr>
          <w:rFonts w:ascii="Arial" w:hAnsi="Arial" w:cs="Arial" w:eastAsia="Arial" w:hint="default"/>
        </w:rPr>
      </w:r>
    </w:p>
    <w:p>
      <w:pPr>
        <w:spacing w:line="240" w:lineRule="auto" w:before="7"/>
        <w:rPr>
          <w:rFonts w:ascii="Arial" w:hAnsi="Arial" w:cs="Arial" w:eastAsia="Arial" w:hint="default"/>
          <w:sz w:val="17"/>
          <w:szCs w:val="17"/>
        </w:rPr>
      </w:pPr>
    </w:p>
    <w:p>
      <w:pPr>
        <w:pStyle w:val="BodyText"/>
        <w:tabs>
          <w:tab w:pos="2048" w:val="left" w:leader="none"/>
          <w:tab w:pos="3980" w:val="left" w:leader="none"/>
          <w:tab w:pos="5938" w:val="left" w:leader="none"/>
          <w:tab w:pos="7915" w:val="left" w:leader="none"/>
        </w:tabs>
        <w:spacing w:line="240" w:lineRule="auto" w:before="27"/>
        <w:ind w:left="544" w:right="90"/>
        <w:jc w:val="left"/>
        <w:rPr>
          <w:rFonts w:ascii="Arial" w:hAnsi="Arial" w:cs="Arial" w:eastAsia="Arial" w:hint="default"/>
        </w:rPr>
      </w:pPr>
      <w:r>
        <w:rPr>
          <w:w w:val="95"/>
          <w:position w:val="2"/>
        </w:rPr>
        <w:t>合计</w:t>
        <w:tab/>
      </w:r>
      <w:r>
        <w:rPr>
          <w:rFonts w:ascii="Arial" w:hAnsi="Arial" w:cs="Arial" w:eastAsia="Arial" w:hint="default"/>
          <w:spacing w:val="-1"/>
        </w:rPr>
        <w:t>156,135,356,229</w:t>
        <w:tab/>
        <w:t>102,965,184,813</w:t>
        <w:tab/>
        <w:t>162,109,813,008</w:t>
        <w:tab/>
        <w:t>99,925,141,626</w:t>
      </w:r>
    </w:p>
    <w:p>
      <w:pPr>
        <w:spacing w:line="43" w:lineRule="exact"/>
        <w:ind w:left="1956" w:right="0" w:firstLine="0"/>
        <w:rPr>
          <w:rFonts w:ascii="Arial" w:hAnsi="Arial" w:cs="Arial" w:eastAsia="Arial" w:hint="default"/>
          <w:sz w:val="4"/>
          <w:szCs w:val="4"/>
        </w:rPr>
      </w:pPr>
      <w:r>
        <w:rPr>
          <w:rFonts w:ascii="Arial"/>
          <w:position w:val="0"/>
          <w:sz w:val="4"/>
        </w:rPr>
        <w:pict>
          <v:group style="width:91.1pt;height:2.2pt;mso-position-horizontal-relative:char;mso-position-vertical-relative:line" coordorigin="0,0" coordsize="1822,44">
            <v:group style="position:absolute;left:7;top:36;width:1808;height:2" coordorigin="7,36" coordsize="1808,2">
              <v:shape style="position:absolute;left:7;top:36;width:1808;height:2" coordorigin="7,36" coordsize="1808,0" path="m7,36l1814,36e" filled="false" stroked="true" strokeweight=".72pt" strokecolor="#000000">
                <v:path arrowok="t"/>
              </v:shape>
            </v:group>
            <v:group style="position:absolute;left:7;top:7;width:1808;height:2" coordorigin="7,7" coordsize="1808,2">
              <v:shape style="position:absolute;left:7;top:7;width:1808;height:2" coordorigin="7,7" coordsize="1808,0" path="m7,7l1814,7e" filled="false" stroked="true" strokeweight=".72pt" strokecolor="#000000">
                <v:path arrowok="t"/>
              </v:shape>
            </v:group>
          </v:group>
        </w:pict>
      </w:r>
      <w:r>
        <w:rPr>
          <w:rFonts w:ascii="Arial"/>
          <w:position w:val="0"/>
          <w:sz w:val="4"/>
        </w:rPr>
      </w:r>
      <w:r>
        <w:rPr>
          <w:rFonts w:ascii="Times New Roman"/>
          <w:spacing w:val="95"/>
          <w:position w:val="0"/>
          <w:sz w:val="4"/>
        </w:rPr>
        <w:t> </w:t>
      </w:r>
      <w:r>
        <w:rPr>
          <w:rFonts w:ascii="Arial"/>
          <w:spacing w:val="95"/>
          <w:position w:val="0"/>
          <w:sz w:val="4"/>
        </w:rPr>
        <w:pict>
          <v:group style="width:92.7pt;height:2.2pt;mso-position-horizontal-relative:char;mso-position-vertical-relative:line" coordorigin="0,0" coordsize="1854,44">
            <v:group style="position:absolute;left:7;top:36;width:1840;height:2" coordorigin="7,36" coordsize="1840,2">
              <v:shape style="position:absolute;left:7;top:36;width:1840;height:2" coordorigin="7,36" coordsize="1840,0" path="m7,36l1847,36e" filled="false" stroked="true" strokeweight=".72pt" strokecolor="#000000">
                <v:path arrowok="t"/>
              </v:shape>
            </v:group>
            <v:group style="position:absolute;left:7;top:7;width:1840;height:2" coordorigin="7,7" coordsize="1840,2">
              <v:shape style="position:absolute;left:7;top:7;width:1840;height:2" coordorigin="7,7" coordsize="1840,0" path="m7,7l1847,7e" filled="false" stroked="true" strokeweight=".72pt" strokecolor="#000000">
                <v:path arrowok="t"/>
              </v:shape>
            </v:group>
          </v:group>
        </w:pict>
      </w:r>
      <w:r>
        <w:rPr>
          <w:rFonts w:ascii="Arial"/>
          <w:spacing w:val="95"/>
          <w:position w:val="0"/>
          <w:sz w:val="4"/>
        </w:rPr>
      </w:r>
      <w:r>
        <w:rPr>
          <w:rFonts w:ascii="Times New Roman"/>
          <w:spacing w:val="90"/>
          <w:position w:val="0"/>
          <w:sz w:val="4"/>
        </w:rPr>
        <w:t> </w:t>
      </w:r>
      <w:r>
        <w:rPr>
          <w:rFonts w:ascii="Arial"/>
          <w:spacing w:val="90"/>
          <w:position w:val="0"/>
          <w:sz w:val="4"/>
        </w:rPr>
        <w:pict>
          <v:group style="width:92.5pt;height:2.2pt;mso-position-horizontal-relative:char;mso-position-vertical-relative:line" coordorigin="0,0" coordsize="1850,44">
            <v:group style="position:absolute;left:7;top:36;width:1835;height:2" coordorigin="7,36" coordsize="1835,2">
              <v:shape style="position:absolute;left:7;top:36;width:1835;height:2" coordorigin="7,36" coordsize="1835,0" path="m7,36l1842,36e" filled="false" stroked="true" strokeweight=".72pt" strokecolor="#000000">
                <v:path arrowok="t"/>
              </v:shape>
            </v:group>
            <v:group style="position:absolute;left:7;top:7;width:1835;height:2" coordorigin="7,7" coordsize="1835,2">
              <v:shape style="position:absolute;left:7;top:7;width:1835;height:2" coordorigin="7,7" coordsize="1835,0" path="m7,7l1842,7e" filled="false" stroked="true" strokeweight=".72pt" strokecolor="#000000">
                <v:path arrowok="t"/>
              </v:shape>
            </v:group>
          </v:group>
        </w:pict>
      </w:r>
      <w:r>
        <w:rPr>
          <w:rFonts w:ascii="Arial"/>
          <w:spacing w:val="90"/>
          <w:position w:val="0"/>
          <w:sz w:val="4"/>
        </w:rPr>
      </w:r>
      <w:r>
        <w:rPr>
          <w:rFonts w:ascii="Times New Roman"/>
          <w:spacing w:val="94"/>
          <w:position w:val="0"/>
          <w:sz w:val="4"/>
        </w:rPr>
        <w:t> </w:t>
      </w:r>
      <w:r>
        <w:rPr>
          <w:rFonts w:ascii="Arial"/>
          <w:spacing w:val="94"/>
          <w:position w:val="0"/>
          <w:sz w:val="4"/>
        </w:rPr>
        <w:pict>
          <v:group style="width:85.1pt;height:2.2pt;mso-position-horizontal-relative:char;mso-position-vertical-relative:line" coordorigin="0,0" coordsize="1702,44">
            <v:group style="position:absolute;left:7;top:36;width:1688;height:2" coordorigin="7,36" coordsize="1688,2">
              <v:shape style="position:absolute;left:7;top:36;width:1688;height:2" coordorigin="7,36" coordsize="1688,0" path="m7,36l1694,36e" filled="false" stroked="true" strokeweight=".72pt" strokecolor="#000000">
                <v:path arrowok="t"/>
              </v:shape>
            </v:group>
            <v:group style="position:absolute;left:7;top:7;width:1688;height:2" coordorigin="7,7" coordsize="1688,2">
              <v:shape style="position:absolute;left:7;top:7;width:1688;height:2" coordorigin="7,7" coordsize="1688,0" path="m7,7l1694,7e" filled="false" stroked="true" strokeweight=".72pt" strokecolor="#000000">
                <v:path arrowok="t"/>
              </v:shape>
            </v:group>
          </v:group>
        </w:pict>
      </w:r>
      <w:r>
        <w:rPr>
          <w:rFonts w:ascii="Arial"/>
          <w:spacing w:val="94"/>
          <w:position w:val="0"/>
          <w:sz w:val="4"/>
        </w:rPr>
      </w:r>
    </w:p>
    <w:p>
      <w:pPr>
        <w:spacing w:line="240" w:lineRule="auto" w:before="5"/>
        <w:rPr>
          <w:rFonts w:ascii="Arial" w:hAnsi="Arial" w:cs="Arial" w:eastAsia="Arial" w:hint="default"/>
          <w:sz w:val="16"/>
          <w:szCs w:val="16"/>
        </w:rPr>
      </w:pPr>
    </w:p>
    <w:p>
      <w:pPr>
        <w:pStyle w:val="BodyText"/>
        <w:spacing w:line="240" w:lineRule="auto" w:before="31"/>
        <w:ind w:left="536" w:right="90"/>
        <w:jc w:val="left"/>
      </w:pPr>
      <w:r>
        <w:rPr/>
        <w:t>按地区分析如下：</w:t>
      </w:r>
    </w:p>
    <w:p>
      <w:pPr>
        <w:spacing w:line="240" w:lineRule="auto" w:before="12"/>
        <w:rPr>
          <w:rFonts w:ascii="宋体" w:hAnsi="宋体" w:cs="宋体" w:eastAsia="宋体" w:hint="default"/>
          <w:sz w:val="23"/>
          <w:szCs w:val="23"/>
        </w:rPr>
      </w:pPr>
    </w:p>
    <w:p>
      <w:pPr>
        <w:pStyle w:val="BodyText"/>
        <w:spacing w:line="284" w:lineRule="exact"/>
        <w:ind w:left="536" w:right="202"/>
        <w:jc w:val="left"/>
      </w:pPr>
      <w:r>
        <w:rPr>
          <w:spacing w:val="-2"/>
        </w:rPr>
        <w:t>本集团主要服务用户都在中国内地。在本集团来自外部客户的收入中,其他地区收入在本集团收</w:t>
      </w:r>
      <w:r>
        <w:rPr>
          <w:spacing w:val="-98"/>
        </w:rPr>
        <w:t> </w:t>
      </w:r>
      <w:r>
        <w:rPr>
          <w:spacing w:val="-98"/>
        </w:rPr>
      </w:r>
      <w:r>
        <w:rPr/>
        <w:t>入中并不重大。</w:t>
      </w:r>
    </w:p>
    <w:p>
      <w:pPr>
        <w:spacing w:line="240" w:lineRule="auto" w:before="13"/>
        <w:rPr>
          <w:rFonts w:ascii="宋体" w:hAnsi="宋体" w:cs="宋体" w:eastAsia="宋体" w:hint="default"/>
          <w:sz w:val="18"/>
          <w:szCs w:val="18"/>
        </w:rPr>
      </w:pPr>
    </w:p>
    <w:p>
      <w:pPr>
        <w:pStyle w:val="BodyText"/>
        <w:spacing w:line="240" w:lineRule="auto"/>
        <w:ind w:left="102" w:right="90"/>
        <w:jc w:val="left"/>
      </w:pPr>
      <w:r>
        <w:rPr>
          <w:rFonts w:ascii="Arial" w:hAnsi="Arial" w:cs="Arial" w:eastAsia="Arial" w:hint="default"/>
        </w:rPr>
        <w:t>(b) </w:t>
      </w:r>
      <w:r>
        <w:rPr>
          <w:rFonts w:ascii="Arial" w:hAnsi="Arial" w:cs="Arial" w:eastAsia="Arial" w:hint="default"/>
          <w:spacing w:val="41"/>
        </w:rPr>
        <w:t> </w:t>
      </w:r>
      <w:r>
        <w:rPr/>
        <w:t>本集团前五名客户的营业收入情况</w:t>
      </w:r>
    </w:p>
    <w:p>
      <w:pPr>
        <w:spacing w:line="240" w:lineRule="auto" w:before="3"/>
        <w:rPr>
          <w:rFonts w:ascii="宋体" w:hAnsi="宋体" w:cs="宋体" w:eastAsia="宋体" w:hint="default"/>
          <w:sz w:val="20"/>
          <w:szCs w:val="20"/>
        </w:rPr>
      </w:pPr>
    </w:p>
    <w:p>
      <w:pPr>
        <w:pStyle w:val="BodyText"/>
        <w:spacing w:line="284" w:lineRule="exact"/>
        <w:ind w:left="522" w:right="90"/>
        <w:jc w:val="left"/>
      </w:pPr>
      <w:r>
        <w:rPr/>
        <w:t>本集团前五名客户营业收入的总额约人民币</w:t>
      </w:r>
      <w:r>
        <w:rPr>
          <w:spacing w:val="-54"/>
        </w:rPr>
        <w:t> </w:t>
      </w:r>
      <w:r>
        <w:rPr>
          <w:rFonts w:ascii="Arial" w:hAnsi="Arial" w:cs="Arial" w:eastAsia="Arial" w:hint="default"/>
        </w:rPr>
        <w:t>135.98</w:t>
      </w:r>
      <w:r>
        <w:rPr>
          <w:rFonts w:ascii="Arial" w:hAnsi="Arial" w:cs="Arial" w:eastAsia="Arial" w:hint="default"/>
          <w:spacing w:val="-5"/>
        </w:rPr>
        <w:t> </w:t>
      </w:r>
      <w:r>
        <w:rPr>
          <w:spacing w:val="-10"/>
        </w:rPr>
        <w:t>亿元（</w:t>
      </w:r>
      <w:r>
        <w:rPr>
          <w:rFonts w:ascii="Arial" w:hAnsi="Arial" w:cs="Arial" w:eastAsia="Arial" w:hint="default"/>
          <w:spacing w:val="-10"/>
        </w:rPr>
        <w:t>2008</w:t>
      </w:r>
      <w:r>
        <w:rPr>
          <w:rFonts w:ascii="Arial" w:hAnsi="Arial" w:cs="Arial" w:eastAsia="Arial" w:hint="default"/>
          <w:spacing w:val="-5"/>
        </w:rPr>
        <w:t> </w:t>
      </w:r>
      <w:r>
        <w:rPr>
          <w:spacing w:val="-10"/>
        </w:rPr>
        <w:t>年度：约人民币</w:t>
      </w:r>
      <w:r>
        <w:rPr>
          <w:spacing w:val="-54"/>
        </w:rPr>
        <w:t> </w:t>
      </w:r>
      <w:r>
        <w:rPr>
          <w:rFonts w:ascii="Arial" w:hAnsi="Arial" w:cs="Arial" w:eastAsia="Arial" w:hint="default"/>
        </w:rPr>
        <w:t>117.76</w:t>
      </w:r>
      <w:r>
        <w:rPr>
          <w:rFonts w:ascii="Arial" w:hAnsi="Arial" w:cs="Arial" w:eastAsia="Arial" w:hint="default"/>
          <w:spacing w:val="-5"/>
        </w:rPr>
        <w:t> </w:t>
      </w:r>
      <w:r>
        <w:rPr>
          <w:spacing w:val="-16"/>
        </w:rPr>
        <w:t>亿元），</w:t>
      </w:r>
      <w:r>
        <w:rPr>
          <w:w w:val="99"/>
        </w:rPr>
        <w:t> </w:t>
      </w:r>
      <w:r>
        <w:rPr/>
        <w:t>占本集团全部营业收入的比例为</w:t>
      </w:r>
      <w:r>
        <w:rPr>
          <w:spacing w:val="-59"/>
        </w:rPr>
        <w:t> </w:t>
      </w:r>
      <w:r>
        <w:rPr>
          <w:rFonts w:ascii="Arial" w:hAnsi="Arial" w:cs="Arial" w:eastAsia="Arial" w:hint="default"/>
        </w:rPr>
        <w:t>8.59%</w:t>
      </w:r>
      <w:r>
        <w:rPr/>
        <w:t>（</w:t>
      </w:r>
      <w:r>
        <w:rPr>
          <w:rFonts w:ascii="Arial" w:hAnsi="Arial" w:cs="Arial" w:eastAsia="Arial" w:hint="default"/>
        </w:rPr>
        <w:t>2008</w:t>
      </w:r>
      <w:r>
        <w:rPr>
          <w:rFonts w:ascii="Arial" w:hAnsi="Arial" w:cs="Arial" w:eastAsia="Arial" w:hint="default"/>
          <w:spacing w:val="-10"/>
        </w:rPr>
        <w:t> </w:t>
      </w:r>
      <w:r>
        <w:rPr/>
        <w:t>年度：</w:t>
      </w:r>
      <w:r>
        <w:rPr>
          <w:rFonts w:ascii="Arial" w:hAnsi="Arial" w:cs="Arial" w:eastAsia="Arial" w:hint="default"/>
        </w:rPr>
        <w:t>7.18%</w:t>
      </w:r>
      <w:r>
        <w:rPr/>
        <w:t>），具体情况如下：</w:t>
      </w:r>
    </w:p>
    <w:p>
      <w:pPr>
        <w:spacing w:line="240" w:lineRule="auto" w:before="10"/>
        <w:rPr>
          <w:rFonts w:ascii="宋体" w:hAnsi="宋体" w:cs="宋体" w:eastAsia="宋体" w:hint="default"/>
          <w:sz w:val="14"/>
          <w:szCs w:val="14"/>
        </w:rPr>
      </w:pPr>
    </w:p>
    <w:tbl>
      <w:tblPr>
        <w:tblW w:w="0" w:type="auto"/>
        <w:jc w:val="left"/>
        <w:tblInd w:w="509" w:type="dxa"/>
        <w:tblLayout w:type="fixed"/>
        <w:tblCellMar>
          <w:top w:w="0" w:type="dxa"/>
          <w:left w:w="0" w:type="dxa"/>
          <w:bottom w:w="0" w:type="dxa"/>
          <w:right w:w="0" w:type="dxa"/>
        </w:tblCellMar>
        <w:tblLook w:val="01E0"/>
      </w:tblPr>
      <w:tblGrid>
        <w:gridCol w:w="4432"/>
        <w:gridCol w:w="2119"/>
        <w:gridCol w:w="224"/>
        <w:gridCol w:w="2167"/>
      </w:tblGrid>
      <w:tr>
        <w:trPr>
          <w:trHeight w:val="645" w:hRule="exact"/>
        </w:trPr>
        <w:tc>
          <w:tcPr>
            <w:tcW w:w="4432" w:type="dxa"/>
            <w:tcBorders>
              <w:top w:val="nil" w:sz="6" w:space="0" w:color="auto"/>
              <w:left w:val="nil" w:sz="6" w:space="0" w:color="auto"/>
              <w:bottom w:val="nil" w:sz="6" w:space="0" w:color="auto"/>
              <w:right w:val="nil" w:sz="6" w:space="0" w:color="auto"/>
            </w:tcBorders>
          </w:tcPr>
          <w:p>
            <w:pPr/>
          </w:p>
        </w:tc>
        <w:tc>
          <w:tcPr>
            <w:tcW w:w="2119"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07"/>
              <w:jc w:val="right"/>
              <w:rPr>
                <w:rFonts w:ascii="宋体" w:hAnsi="宋体" w:cs="宋体" w:eastAsia="宋体" w:hint="default"/>
                <w:sz w:val="22"/>
                <w:szCs w:val="22"/>
              </w:rPr>
            </w:pPr>
            <w:r>
              <w:rPr>
                <w:rFonts w:ascii="宋体" w:hAnsi="宋体" w:cs="宋体" w:eastAsia="宋体" w:hint="default"/>
                <w:w w:val="95"/>
                <w:sz w:val="22"/>
                <w:szCs w:val="22"/>
              </w:rPr>
              <w:t>营业收入</w:t>
            </w:r>
            <w:r>
              <w:rPr>
                <w:rFonts w:ascii="宋体" w:hAnsi="宋体" w:cs="宋体" w:eastAsia="宋体" w:hint="default"/>
                <w:sz w:val="22"/>
                <w:szCs w:val="22"/>
              </w:rPr>
            </w:r>
          </w:p>
        </w:tc>
        <w:tc>
          <w:tcPr>
            <w:tcW w:w="224" w:type="dxa"/>
            <w:tcBorders>
              <w:top w:val="nil" w:sz="6" w:space="0" w:color="auto"/>
              <w:left w:val="nil" w:sz="6" w:space="0" w:color="auto"/>
              <w:bottom w:val="nil" w:sz="6" w:space="0" w:color="auto"/>
              <w:right w:val="nil" w:sz="6" w:space="0" w:color="auto"/>
            </w:tcBorders>
          </w:tcPr>
          <w:p>
            <w:pPr/>
          </w:p>
        </w:tc>
        <w:tc>
          <w:tcPr>
            <w:tcW w:w="2167" w:type="dxa"/>
            <w:tcBorders>
              <w:top w:val="nil" w:sz="6" w:space="0" w:color="auto"/>
              <w:left w:val="nil" w:sz="6" w:space="0" w:color="auto"/>
              <w:bottom w:val="single" w:sz="6" w:space="0" w:color="000000"/>
              <w:right w:val="nil" w:sz="6" w:space="0" w:color="auto"/>
            </w:tcBorders>
          </w:tcPr>
          <w:p>
            <w:pPr>
              <w:pStyle w:val="TableParagraph"/>
              <w:spacing w:line="286" w:lineRule="exact" w:before="60"/>
              <w:ind w:left="616" w:right="105" w:hanging="318"/>
              <w:jc w:val="left"/>
              <w:rPr>
                <w:rFonts w:ascii="Arial" w:hAnsi="Arial" w:cs="Arial" w:eastAsia="Arial" w:hint="default"/>
                <w:sz w:val="22"/>
                <w:szCs w:val="22"/>
              </w:rPr>
            </w:pPr>
            <w:r>
              <w:rPr>
                <w:rFonts w:ascii="宋体" w:hAnsi="宋体" w:cs="宋体" w:eastAsia="宋体" w:hint="default"/>
                <w:sz w:val="22"/>
                <w:szCs w:val="22"/>
              </w:rPr>
              <w:t>占本集团全部营业</w:t>
            </w:r>
            <w:r>
              <w:rPr>
                <w:rFonts w:ascii="宋体" w:hAnsi="宋体" w:cs="宋体" w:eastAsia="宋体" w:hint="default"/>
                <w:w w:val="99"/>
                <w:sz w:val="22"/>
                <w:szCs w:val="22"/>
              </w:rPr>
              <w:t> </w:t>
            </w:r>
            <w:r>
              <w:rPr>
                <w:rFonts w:ascii="宋体" w:hAnsi="宋体" w:cs="宋体" w:eastAsia="宋体" w:hint="default"/>
                <w:sz w:val="22"/>
                <w:szCs w:val="22"/>
              </w:rPr>
              <w:t>收入的比例</w:t>
            </w:r>
            <w:r>
              <w:rPr>
                <w:rFonts w:ascii="Arial" w:hAnsi="Arial" w:cs="Arial" w:eastAsia="Arial" w:hint="default"/>
                <w:sz w:val="22"/>
                <w:szCs w:val="22"/>
              </w:rPr>
              <w:t>(%)</w:t>
            </w:r>
          </w:p>
        </w:tc>
      </w:tr>
      <w:tr>
        <w:trPr>
          <w:trHeight w:val="559" w:hRule="exact"/>
        </w:trPr>
        <w:tc>
          <w:tcPr>
            <w:tcW w:w="443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第一名公司</w:t>
            </w:r>
          </w:p>
        </w:tc>
        <w:tc>
          <w:tcPr>
            <w:tcW w:w="2119"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10"/>
              <w:jc w:val="right"/>
              <w:rPr>
                <w:rFonts w:ascii="Arial" w:hAnsi="Arial" w:cs="Arial" w:eastAsia="Arial" w:hint="default"/>
                <w:sz w:val="22"/>
                <w:szCs w:val="22"/>
              </w:rPr>
            </w:pPr>
            <w:r>
              <w:rPr>
                <w:rFonts w:ascii="Arial"/>
                <w:spacing w:val="-1"/>
                <w:sz w:val="22"/>
              </w:rPr>
              <w:t>10,656,302,746</w:t>
            </w:r>
          </w:p>
        </w:tc>
        <w:tc>
          <w:tcPr>
            <w:tcW w:w="224" w:type="dxa"/>
            <w:tcBorders>
              <w:top w:val="nil" w:sz="6" w:space="0" w:color="auto"/>
              <w:left w:val="nil" w:sz="6" w:space="0" w:color="auto"/>
              <w:bottom w:val="nil" w:sz="6" w:space="0" w:color="auto"/>
              <w:right w:val="nil" w:sz="6" w:space="0" w:color="auto"/>
            </w:tcBorders>
          </w:tcPr>
          <w:p>
            <w:pPr/>
          </w:p>
        </w:tc>
        <w:tc>
          <w:tcPr>
            <w:tcW w:w="2167"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06"/>
              <w:jc w:val="right"/>
              <w:rPr>
                <w:rFonts w:ascii="Arial" w:hAnsi="Arial" w:cs="Arial" w:eastAsia="Arial" w:hint="default"/>
                <w:sz w:val="22"/>
                <w:szCs w:val="22"/>
              </w:rPr>
            </w:pPr>
            <w:r>
              <w:rPr>
                <w:rFonts w:ascii="Arial"/>
                <w:w w:val="95"/>
                <w:sz w:val="22"/>
              </w:rPr>
              <w:t>6.73%</w:t>
            </w:r>
            <w:r>
              <w:rPr>
                <w:rFonts w:ascii="Arial"/>
                <w:sz w:val="22"/>
              </w:rPr>
            </w:r>
          </w:p>
        </w:tc>
      </w:tr>
      <w:tr>
        <w:trPr>
          <w:trHeight w:val="285" w:hRule="exact"/>
        </w:trPr>
        <w:tc>
          <w:tcPr>
            <w:tcW w:w="4432"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第二名公司</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1"/>
              <w:jc w:val="right"/>
              <w:rPr>
                <w:rFonts w:ascii="Arial" w:hAnsi="Arial" w:cs="Arial" w:eastAsia="Arial" w:hint="default"/>
                <w:sz w:val="22"/>
                <w:szCs w:val="22"/>
              </w:rPr>
            </w:pPr>
            <w:r>
              <w:rPr>
                <w:rFonts w:ascii="Arial"/>
                <w:spacing w:val="-1"/>
                <w:sz w:val="22"/>
              </w:rPr>
              <w:t>2,167,154,140</w:t>
            </w:r>
          </w:p>
        </w:tc>
        <w:tc>
          <w:tcPr>
            <w:tcW w:w="224" w:type="dxa"/>
            <w:tcBorders>
              <w:top w:val="nil" w:sz="6" w:space="0" w:color="auto"/>
              <w:left w:val="nil" w:sz="6" w:space="0" w:color="auto"/>
              <w:bottom w:val="nil" w:sz="6" w:space="0" w:color="auto"/>
              <w:right w:val="nil" w:sz="6" w:space="0" w:color="auto"/>
            </w:tcBorders>
          </w:tcPr>
          <w:p>
            <w:pP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Arial" w:hAnsi="Arial" w:cs="Arial" w:eastAsia="Arial" w:hint="default"/>
                <w:sz w:val="22"/>
                <w:szCs w:val="22"/>
              </w:rPr>
            </w:pPr>
            <w:r>
              <w:rPr>
                <w:rFonts w:ascii="Arial"/>
                <w:w w:val="95"/>
                <w:sz w:val="22"/>
              </w:rPr>
              <w:t>1.37%</w:t>
            </w:r>
            <w:r>
              <w:rPr>
                <w:rFonts w:ascii="Arial"/>
                <w:sz w:val="22"/>
              </w:rPr>
            </w:r>
          </w:p>
        </w:tc>
      </w:tr>
      <w:tr>
        <w:trPr>
          <w:trHeight w:val="285" w:hRule="exact"/>
        </w:trPr>
        <w:tc>
          <w:tcPr>
            <w:tcW w:w="4432"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第三名公司</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0"/>
              <w:jc w:val="right"/>
              <w:rPr>
                <w:rFonts w:ascii="Arial" w:hAnsi="Arial" w:cs="Arial" w:eastAsia="Arial" w:hint="default"/>
                <w:sz w:val="22"/>
                <w:szCs w:val="22"/>
              </w:rPr>
            </w:pPr>
            <w:r>
              <w:rPr>
                <w:rFonts w:ascii="Arial"/>
                <w:w w:val="95"/>
                <w:sz w:val="22"/>
              </w:rPr>
              <w:t>391,388,799</w:t>
            </w:r>
            <w:r>
              <w:rPr>
                <w:rFonts w:ascii="Arial"/>
                <w:sz w:val="22"/>
              </w:rPr>
            </w:r>
          </w:p>
        </w:tc>
        <w:tc>
          <w:tcPr>
            <w:tcW w:w="224" w:type="dxa"/>
            <w:tcBorders>
              <w:top w:val="nil" w:sz="6" w:space="0" w:color="auto"/>
              <w:left w:val="nil" w:sz="6" w:space="0" w:color="auto"/>
              <w:bottom w:val="nil" w:sz="6" w:space="0" w:color="auto"/>
              <w:right w:val="nil" w:sz="6" w:space="0" w:color="auto"/>
            </w:tcBorders>
          </w:tcPr>
          <w:p>
            <w:pP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Arial" w:hAnsi="Arial" w:cs="Arial" w:eastAsia="Arial" w:hint="default"/>
                <w:sz w:val="22"/>
                <w:szCs w:val="22"/>
              </w:rPr>
            </w:pPr>
            <w:r>
              <w:rPr>
                <w:rFonts w:ascii="Arial"/>
                <w:w w:val="95"/>
                <w:sz w:val="22"/>
              </w:rPr>
              <w:t>0.25%</w:t>
            </w:r>
            <w:r>
              <w:rPr>
                <w:rFonts w:ascii="Arial"/>
                <w:sz w:val="22"/>
              </w:rPr>
            </w:r>
          </w:p>
        </w:tc>
      </w:tr>
      <w:tr>
        <w:trPr>
          <w:trHeight w:val="285" w:hRule="exact"/>
        </w:trPr>
        <w:tc>
          <w:tcPr>
            <w:tcW w:w="4432"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第四名公司</w:t>
            </w:r>
          </w:p>
        </w:tc>
        <w:tc>
          <w:tcPr>
            <w:tcW w:w="211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10"/>
              <w:jc w:val="right"/>
              <w:rPr>
                <w:rFonts w:ascii="Arial" w:hAnsi="Arial" w:cs="Arial" w:eastAsia="Arial" w:hint="default"/>
                <w:sz w:val="22"/>
                <w:szCs w:val="22"/>
              </w:rPr>
            </w:pPr>
            <w:r>
              <w:rPr>
                <w:rFonts w:ascii="Arial"/>
                <w:w w:val="95"/>
                <w:sz w:val="22"/>
              </w:rPr>
              <w:t>198,238,044</w:t>
            </w:r>
            <w:r>
              <w:rPr>
                <w:rFonts w:ascii="Arial"/>
                <w:sz w:val="22"/>
              </w:rPr>
            </w:r>
          </w:p>
        </w:tc>
        <w:tc>
          <w:tcPr>
            <w:tcW w:w="224" w:type="dxa"/>
            <w:tcBorders>
              <w:top w:val="nil" w:sz="6" w:space="0" w:color="auto"/>
              <w:left w:val="nil" w:sz="6" w:space="0" w:color="auto"/>
              <w:bottom w:val="nil" w:sz="6" w:space="0" w:color="auto"/>
              <w:right w:val="nil" w:sz="6" w:space="0" w:color="auto"/>
            </w:tcBorders>
          </w:tcPr>
          <w:p>
            <w:pPr/>
          </w:p>
        </w:tc>
        <w:tc>
          <w:tcPr>
            <w:tcW w:w="2167"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Arial" w:hAnsi="Arial" w:cs="Arial" w:eastAsia="Arial" w:hint="default"/>
                <w:sz w:val="22"/>
                <w:szCs w:val="22"/>
              </w:rPr>
            </w:pPr>
            <w:r>
              <w:rPr>
                <w:rFonts w:ascii="Arial"/>
                <w:w w:val="95"/>
                <w:sz w:val="22"/>
              </w:rPr>
              <w:t>0.12%</w:t>
            </w:r>
            <w:r>
              <w:rPr>
                <w:rFonts w:ascii="Arial"/>
                <w:sz w:val="22"/>
              </w:rPr>
            </w:r>
          </w:p>
        </w:tc>
      </w:tr>
      <w:tr>
        <w:trPr>
          <w:trHeight w:val="420" w:hRule="exact"/>
        </w:trPr>
        <w:tc>
          <w:tcPr>
            <w:tcW w:w="4432"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第五名公司</w:t>
            </w:r>
          </w:p>
        </w:tc>
        <w:tc>
          <w:tcPr>
            <w:tcW w:w="2119" w:type="dxa"/>
            <w:tcBorders>
              <w:top w:val="nil" w:sz="6" w:space="0" w:color="auto"/>
              <w:left w:val="nil" w:sz="6" w:space="0" w:color="auto"/>
              <w:bottom w:val="nil" w:sz="6" w:space="0" w:color="auto"/>
              <w:right w:val="nil" w:sz="6" w:space="0" w:color="auto"/>
            </w:tcBorders>
          </w:tcPr>
          <w:p>
            <w:pPr>
              <w:pStyle w:val="TableParagraph"/>
              <w:tabs>
                <w:tab w:pos="776" w:val="left" w:leader="none"/>
                <w:tab w:pos="2104"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185,352,536</w:t>
            </w:r>
            <w:r>
              <w:rPr>
                <w:rFonts w:ascii="Arial"/>
                <w:sz w:val="22"/>
                <w:u w:val="single" w:color="000000"/>
              </w:rPr>
              <w:tab/>
            </w:r>
            <w:r>
              <w:rPr>
                <w:rFonts w:ascii="Arial"/>
                <w:sz w:val="22"/>
              </w:rPr>
            </w:r>
          </w:p>
        </w:tc>
        <w:tc>
          <w:tcPr>
            <w:tcW w:w="224" w:type="dxa"/>
            <w:tcBorders>
              <w:top w:val="nil" w:sz="6" w:space="0" w:color="auto"/>
              <w:left w:val="nil" w:sz="6" w:space="0" w:color="auto"/>
              <w:bottom w:val="nil" w:sz="6" w:space="0" w:color="auto"/>
              <w:right w:val="nil" w:sz="6" w:space="0" w:color="auto"/>
            </w:tcBorders>
          </w:tcPr>
          <w:p>
            <w:pPr/>
          </w:p>
        </w:tc>
        <w:tc>
          <w:tcPr>
            <w:tcW w:w="2167" w:type="dxa"/>
            <w:tcBorders>
              <w:top w:val="nil" w:sz="6" w:space="0" w:color="auto"/>
              <w:left w:val="nil" w:sz="6" w:space="0" w:color="auto"/>
              <w:bottom w:val="nil" w:sz="6" w:space="0" w:color="auto"/>
              <w:right w:val="nil" w:sz="6" w:space="0" w:color="auto"/>
            </w:tcBorders>
          </w:tcPr>
          <w:p>
            <w:pPr>
              <w:pStyle w:val="TableParagraph"/>
              <w:tabs>
                <w:tab w:pos="1431" w:val="left" w:leader="none"/>
                <w:tab w:pos="2156"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0.12%</w:t>
            </w:r>
            <w:r>
              <w:rPr>
                <w:rFonts w:ascii="Arial"/>
                <w:sz w:val="22"/>
                <w:u w:val="single" w:color="000000"/>
              </w:rPr>
              <w:tab/>
            </w:r>
            <w:r>
              <w:rPr>
                <w:rFonts w:ascii="Arial"/>
                <w:sz w:val="22"/>
              </w:rPr>
            </w:r>
          </w:p>
        </w:tc>
      </w:tr>
      <w:tr>
        <w:trPr>
          <w:trHeight w:val="430" w:hRule="exact"/>
        </w:trPr>
        <w:tc>
          <w:tcPr>
            <w:tcW w:w="4432"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119"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110"/>
              <w:jc w:val="right"/>
              <w:rPr>
                <w:rFonts w:ascii="Arial" w:hAnsi="Arial" w:cs="Arial" w:eastAsia="Arial" w:hint="default"/>
                <w:sz w:val="22"/>
                <w:szCs w:val="22"/>
              </w:rPr>
            </w:pPr>
            <w:r>
              <w:rPr>
                <w:rFonts w:ascii="Arial"/>
                <w:spacing w:val="-1"/>
                <w:sz w:val="22"/>
              </w:rPr>
              <w:t>13,598,436,265</w:t>
            </w:r>
          </w:p>
        </w:tc>
        <w:tc>
          <w:tcPr>
            <w:tcW w:w="224" w:type="dxa"/>
            <w:tcBorders>
              <w:top w:val="nil" w:sz="6" w:space="0" w:color="auto"/>
              <w:left w:val="nil" w:sz="6" w:space="0" w:color="auto"/>
              <w:bottom w:val="nil" w:sz="6" w:space="0" w:color="auto"/>
              <w:right w:val="nil" w:sz="6" w:space="0" w:color="auto"/>
            </w:tcBorders>
          </w:tcPr>
          <w:p>
            <w:pPr/>
          </w:p>
        </w:tc>
        <w:tc>
          <w:tcPr>
            <w:tcW w:w="2167"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106"/>
              <w:jc w:val="right"/>
              <w:rPr>
                <w:rFonts w:ascii="Arial" w:hAnsi="Arial" w:cs="Arial" w:eastAsia="Arial" w:hint="default"/>
                <w:sz w:val="22"/>
                <w:szCs w:val="22"/>
              </w:rPr>
            </w:pPr>
            <w:r>
              <w:rPr>
                <w:rFonts w:ascii="Arial"/>
                <w:w w:val="95"/>
                <w:sz w:val="22"/>
              </w:rPr>
              <w:t>8.59%</w:t>
            </w:r>
            <w:r>
              <w:rPr>
                <w:rFonts w:ascii="Arial"/>
                <w:sz w:val="22"/>
              </w:rPr>
            </w:r>
          </w:p>
        </w:tc>
      </w:tr>
    </w:tbl>
    <w:p>
      <w:pPr>
        <w:spacing w:after="0" w:line="240" w:lineRule="auto"/>
        <w:jc w:val="right"/>
        <w:rPr>
          <w:rFonts w:ascii="Arial" w:hAnsi="Arial" w:cs="Arial" w:eastAsia="Arial" w:hint="default"/>
          <w:sz w:val="22"/>
          <w:szCs w:val="22"/>
        </w:rPr>
        <w:sectPr>
          <w:pgSz w:w="11910" w:h="16840"/>
          <w:pgMar w:header="1189" w:footer="752" w:top="3580" w:bottom="940" w:left="1280" w:right="820"/>
        </w:sectPr>
      </w:pPr>
    </w:p>
    <w:p>
      <w:pPr>
        <w:spacing w:line="240" w:lineRule="auto" w:before="12"/>
        <w:rPr>
          <w:rFonts w:ascii="宋体" w:hAnsi="宋体" w:cs="宋体" w:eastAsia="宋体" w:hint="default"/>
          <w:sz w:val="14"/>
          <w:szCs w:val="14"/>
        </w:rPr>
      </w:pPr>
    </w:p>
    <w:p>
      <w:pPr>
        <w:pStyle w:val="BodyText"/>
        <w:spacing w:line="240" w:lineRule="auto" w:before="31"/>
        <w:ind w:left="142" w:right="106"/>
        <w:jc w:val="left"/>
        <w:rPr>
          <w:rFonts w:ascii="黑体" w:hAnsi="黑体" w:cs="黑体" w:eastAsia="黑体" w:hint="default"/>
        </w:rPr>
      </w:pPr>
      <w:r>
        <w:rPr>
          <w:rFonts w:ascii="Arial" w:hAnsi="Arial" w:cs="Arial" w:eastAsia="Arial" w:hint="default"/>
        </w:rPr>
        <w:t>36</w:t>
      </w:r>
      <w:r>
        <w:rPr/>
        <w:t>、</w:t>
      </w:r>
      <w:r>
        <w:rPr>
          <w:rFonts w:ascii="黑体" w:hAnsi="黑体" w:cs="黑体" w:eastAsia="黑体" w:hint="default"/>
        </w:rPr>
        <w:t>营业税金及附加</w:t>
      </w:r>
    </w:p>
    <w:p>
      <w:pPr>
        <w:spacing w:line="240" w:lineRule="auto" w:before="7"/>
        <w:rPr>
          <w:rFonts w:ascii="黑体" w:hAnsi="黑体" w:cs="黑体" w:eastAsia="黑体" w:hint="default"/>
          <w:sz w:val="15"/>
          <w:szCs w:val="15"/>
        </w:rPr>
      </w:pPr>
    </w:p>
    <w:tbl>
      <w:tblPr>
        <w:tblW w:w="0" w:type="auto"/>
        <w:jc w:val="left"/>
        <w:tblInd w:w="555" w:type="dxa"/>
        <w:tblLayout w:type="fixed"/>
        <w:tblCellMar>
          <w:top w:w="0" w:type="dxa"/>
          <w:left w:w="0" w:type="dxa"/>
          <w:bottom w:w="0" w:type="dxa"/>
          <w:right w:w="0" w:type="dxa"/>
        </w:tblCellMar>
        <w:tblLook w:val="01E0"/>
      </w:tblPr>
      <w:tblGrid>
        <w:gridCol w:w="3735"/>
        <w:gridCol w:w="1710"/>
        <w:gridCol w:w="183"/>
        <w:gridCol w:w="1650"/>
        <w:gridCol w:w="140"/>
        <w:gridCol w:w="1626"/>
      </w:tblGrid>
      <w:tr>
        <w:trPr>
          <w:trHeight w:val="360" w:hRule="exact"/>
        </w:trPr>
        <w:tc>
          <w:tcPr>
            <w:tcW w:w="3735" w:type="dxa"/>
            <w:vMerge w:val="restart"/>
            <w:tcBorders>
              <w:top w:val="nil" w:sz="6" w:space="0" w:color="auto"/>
              <w:left w:val="nil" w:sz="6" w:space="0" w:color="auto"/>
              <w:right w:val="nil" w:sz="6" w:space="0" w:color="auto"/>
            </w:tcBorders>
          </w:tcPr>
          <w:p>
            <w:pPr/>
          </w:p>
        </w:tc>
        <w:tc>
          <w:tcPr>
            <w:tcW w:w="1710"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28"/>
              <w:jc w:val="right"/>
              <w:rPr>
                <w:rFonts w:ascii="宋体" w:hAnsi="宋体" w:cs="宋体" w:eastAsia="宋体" w:hint="default"/>
                <w:sz w:val="22"/>
                <w:szCs w:val="22"/>
              </w:rPr>
            </w:pPr>
            <w:r>
              <w:rPr>
                <w:rFonts w:ascii="宋体" w:hAnsi="宋体" w:cs="宋体" w:eastAsia="宋体" w:hint="default"/>
                <w:w w:val="95"/>
                <w:sz w:val="22"/>
                <w:szCs w:val="22"/>
              </w:rPr>
              <w:t>计缴标准</w:t>
            </w:r>
            <w:r>
              <w:rPr>
                <w:rFonts w:ascii="宋体" w:hAnsi="宋体" w:cs="宋体" w:eastAsia="宋体" w:hint="default"/>
                <w:sz w:val="22"/>
                <w:szCs w:val="22"/>
              </w:rPr>
            </w:r>
          </w:p>
        </w:tc>
        <w:tc>
          <w:tcPr>
            <w:tcW w:w="183"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24"/>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140" w:type="dxa"/>
            <w:tcBorders>
              <w:top w:val="nil" w:sz="6" w:space="0" w:color="auto"/>
              <w:left w:val="nil" w:sz="6" w:space="0" w:color="auto"/>
              <w:bottom w:val="nil" w:sz="6" w:space="0" w:color="auto"/>
              <w:right w:val="nil" w:sz="6" w:space="0" w:color="auto"/>
            </w:tcBorders>
          </w:tcPr>
          <w:p>
            <w:pPr/>
          </w:p>
        </w:tc>
        <w:tc>
          <w:tcPr>
            <w:tcW w:w="1626"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74"/>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293" w:hRule="exact"/>
        </w:trPr>
        <w:tc>
          <w:tcPr>
            <w:tcW w:w="3735" w:type="dxa"/>
            <w:vMerge/>
            <w:tcBorders>
              <w:left w:val="nil" w:sz="6" w:space="0" w:color="auto"/>
              <w:right w:val="nil" w:sz="6" w:space="0" w:color="auto"/>
            </w:tcBorders>
          </w:tcPr>
          <w:p>
            <w:pPr/>
          </w:p>
        </w:tc>
        <w:tc>
          <w:tcPr>
            <w:tcW w:w="1710" w:type="dxa"/>
            <w:tcBorders>
              <w:top w:val="single" w:sz="6" w:space="0" w:color="000000"/>
              <w:left w:val="nil" w:sz="6" w:space="0" w:color="auto"/>
              <w:bottom w:val="nil" w:sz="6" w:space="0" w:color="auto"/>
              <w:right w:val="nil" w:sz="6" w:space="0" w:color="auto"/>
            </w:tcBorders>
          </w:tcPr>
          <w:p>
            <w:pPr/>
          </w:p>
        </w:tc>
        <w:tc>
          <w:tcPr>
            <w:tcW w:w="183" w:type="dxa"/>
            <w:tcBorders>
              <w:top w:val="nil" w:sz="6" w:space="0" w:color="auto"/>
              <w:left w:val="nil" w:sz="6" w:space="0" w:color="auto"/>
              <w:bottom w:val="nil" w:sz="6" w:space="0" w:color="auto"/>
              <w:right w:val="nil" w:sz="6" w:space="0" w:color="auto"/>
            </w:tcBorders>
          </w:tcPr>
          <w:p>
            <w:pPr/>
          </w:p>
        </w:tc>
        <w:tc>
          <w:tcPr>
            <w:tcW w:w="1650" w:type="dxa"/>
            <w:tcBorders>
              <w:top w:val="single" w:sz="6" w:space="0" w:color="000000"/>
              <w:left w:val="nil" w:sz="6" w:space="0" w:color="auto"/>
              <w:bottom w:val="nil" w:sz="6" w:space="0" w:color="auto"/>
              <w:right w:val="nil" w:sz="6" w:space="0" w:color="auto"/>
            </w:tcBorders>
          </w:tcPr>
          <w:p>
            <w:pPr/>
          </w:p>
        </w:tc>
        <w:tc>
          <w:tcPr>
            <w:tcW w:w="140" w:type="dxa"/>
            <w:tcBorders>
              <w:top w:val="nil" w:sz="6" w:space="0" w:color="auto"/>
              <w:left w:val="nil" w:sz="6" w:space="0" w:color="auto"/>
              <w:bottom w:val="nil" w:sz="6" w:space="0" w:color="auto"/>
              <w:right w:val="nil" w:sz="6" w:space="0" w:color="auto"/>
            </w:tcBorders>
          </w:tcPr>
          <w:p>
            <w:pPr/>
          </w:p>
        </w:tc>
        <w:tc>
          <w:tcPr>
            <w:tcW w:w="1626" w:type="dxa"/>
            <w:tcBorders>
              <w:top w:val="single" w:sz="6" w:space="0" w:color="000000"/>
              <w:left w:val="nil" w:sz="6" w:space="0" w:color="auto"/>
              <w:bottom w:val="nil" w:sz="6" w:space="0" w:color="auto"/>
              <w:right w:val="nil" w:sz="6" w:space="0" w:color="auto"/>
            </w:tcBorders>
          </w:tcPr>
          <w:p>
            <w:pPr>
              <w:pStyle w:val="TableParagraph"/>
              <w:spacing w:line="253" w:lineRule="exact"/>
              <w:ind w:right="76"/>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1" w:hRule="exact"/>
        </w:trPr>
        <w:tc>
          <w:tcPr>
            <w:tcW w:w="3735" w:type="dxa"/>
            <w:vMerge/>
            <w:tcBorders>
              <w:left w:val="nil" w:sz="6" w:space="0" w:color="auto"/>
              <w:bottom w:val="nil" w:sz="6" w:space="0" w:color="auto"/>
              <w:right w:val="nil" w:sz="6" w:space="0" w:color="auto"/>
            </w:tcBorders>
          </w:tcPr>
          <w:p>
            <w:pPr/>
          </w:p>
        </w:tc>
        <w:tc>
          <w:tcPr>
            <w:tcW w:w="1710" w:type="dxa"/>
            <w:tcBorders>
              <w:top w:val="nil" w:sz="6" w:space="0" w:color="auto"/>
              <w:left w:val="nil" w:sz="6" w:space="0" w:color="auto"/>
              <w:bottom w:val="nil" w:sz="6" w:space="0" w:color="auto"/>
              <w:right w:val="nil" w:sz="6" w:space="0" w:color="auto"/>
            </w:tcBorders>
          </w:tcPr>
          <w:p>
            <w:pPr>
              <w:pStyle w:val="TableParagraph"/>
              <w:spacing w:line="269" w:lineRule="exact"/>
              <w:ind w:right="46"/>
              <w:jc w:val="right"/>
              <w:rPr>
                <w:rFonts w:ascii="Arial" w:hAnsi="Arial" w:cs="Arial" w:eastAsia="Arial" w:hint="default"/>
                <w:sz w:val="22"/>
                <w:szCs w:val="22"/>
              </w:rPr>
            </w:pPr>
            <w:r>
              <w:rPr>
                <w:rFonts w:ascii="宋体" w:hAnsi="宋体" w:cs="宋体" w:eastAsia="宋体" w:hint="default"/>
                <w:sz w:val="22"/>
                <w:szCs w:val="22"/>
              </w:rPr>
              <w:t>应税收入的</w:t>
            </w:r>
            <w:r>
              <w:rPr>
                <w:rFonts w:ascii="宋体" w:hAnsi="宋体" w:cs="宋体" w:eastAsia="宋体" w:hint="default"/>
                <w:spacing w:val="-57"/>
                <w:sz w:val="22"/>
                <w:szCs w:val="22"/>
              </w:rPr>
              <w:t> </w:t>
            </w:r>
            <w:r>
              <w:rPr>
                <w:rFonts w:ascii="Arial" w:hAnsi="Arial" w:cs="Arial" w:eastAsia="Arial" w:hint="default"/>
                <w:sz w:val="22"/>
                <w:szCs w:val="22"/>
              </w:rPr>
              <w:t>3%</w:t>
            </w:r>
          </w:p>
        </w:tc>
        <w:tc>
          <w:tcPr>
            <w:tcW w:w="183"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
        </w:tc>
        <w:tc>
          <w:tcPr>
            <w:tcW w:w="140" w:type="dxa"/>
            <w:tcBorders>
              <w:top w:val="nil" w:sz="6" w:space="0" w:color="auto"/>
              <w:left w:val="nil" w:sz="6" w:space="0" w:color="auto"/>
              <w:bottom w:val="nil" w:sz="6" w:space="0" w:color="auto"/>
              <w:right w:val="nil" w:sz="6" w:space="0" w:color="auto"/>
            </w:tcBorders>
          </w:tcPr>
          <w:p>
            <w:pPr/>
          </w:p>
        </w:tc>
        <w:tc>
          <w:tcPr>
            <w:tcW w:w="1626" w:type="dxa"/>
            <w:tcBorders>
              <w:top w:val="nil" w:sz="6" w:space="0" w:color="auto"/>
              <w:left w:val="nil" w:sz="6" w:space="0" w:color="auto"/>
              <w:bottom w:val="nil" w:sz="6" w:space="0" w:color="auto"/>
              <w:right w:val="nil" w:sz="6" w:space="0" w:color="auto"/>
            </w:tcBorders>
          </w:tcPr>
          <w:p>
            <w:pPr/>
          </w:p>
        </w:tc>
      </w:tr>
      <w:tr>
        <w:trPr>
          <w:trHeight w:val="565" w:hRule="exact"/>
        </w:trPr>
        <w:tc>
          <w:tcPr>
            <w:tcW w:w="3735" w:type="dxa"/>
            <w:tcBorders>
              <w:top w:val="nil" w:sz="6" w:space="0" w:color="auto"/>
              <w:left w:val="nil" w:sz="6" w:space="0" w:color="auto"/>
              <w:bottom w:val="nil" w:sz="6" w:space="0" w:color="auto"/>
              <w:right w:val="nil" w:sz="6" w:space="0" w:color="auto"/>
            </w:tcBorders>
          </w:tcPr>
          <w:p>
            <w:pPr>
              <w:pStyle w:val="TableParagraph"/>
              <w:spacing w:line="248" w:lineRule="exact"/>
              <w:ind w:left="35" w:right="0"/>
              <w:jc w:val="left"/>
              <w:rPr>
                <w:rFonts w:ascii="宋体" w:hAnsi="宋体" w:cs="宋体" w:eastAsia="宋体" w:hint="default"/>
                <w:sz w:val="22"/>
                <w:szCs w:val="22"/>
              </w:rPr>
            </w:pPr>
            <w:r>
              <w:rPr>
                <w:rFonts w:ascii="宋体" w:hAnsi="宋体" w:cs="宋体" w:eastAsia="宋体" w:hint="default"/>
                <w:sz w:val="22"/>
                <w:szCs w:val="22"/>
              </w:rPr>
              <w:t>营业税</w:t>
            </w:r>
          </w:p>
        </w:tc>
        <w:tc>
          <w:tcPr>
            <w:tcW w:w="1710" w:type="dxa"/>
            <w:tcBorders>
              <w:top w:val="nil" w:sz="6" w:space="0" w:color="auto"/>
              <w:left w:val="nil" w:sz="6" w:space="0" w:color="auto"/>
              <w:bottom w:val="nil" w:sz="6" w:space="0" w:color="auto"/>
              <w:right w:val="nil" w:sz="6" w:space="0" w:color="auto"/>
            </w:tcBorders>
          </w:tcPr>
          <w:p>
            <w:pPr>
              <w:pStyle w:val="TableParagraph"/>
              <w:spacing w:line="254" w:lineRule="exact"/>
              <w:ind w:left="390" w:right="0" w:firstLine="679"/>
              <w:jc w:val="left"/>
              <w:rPr>
                <w:rFonts w:ascii="Arial" w:hAnsi="Arial" w:cs="Arial" w:eastAsia="Arial" w:hint="default"/>
                <w:sz w:val="22"/>
                <w:szCs w:val="22"/>
              </w:rPr>
            </w:pPr>
            <w:r>
              <w:rPr>
                <w:rFonts w:ascii="宋体" w:hAnsi="宋体" w:cs="宋体" w:eastAsia="宋体" w:hint="default"/>
                <w:sz w:val="22"/>
                <w:szCs w:val="22"/>
              </w:rPr>
              <w:t>或</w:t>
            </w:r>
            <w:r>
              <w:rPr>
                <w:rFonts w:ascii="宋体" w:hAnsi="宋体" w:cs="宋体" w:eastAsia="宋体" w:hint="default"/>
                <w:spacing w:val="-57"/>
                <w:sz w:val="22"/>
                <w:szCs w:val="22"/>
              </w:rPr>
              <w:t> </w:t>
            </w:r>
            <w:r>
              <w:rPr>
                <w:rFonts w:ascii="Arial" w:hAnsi="Arial" w:cs="Arial" w:eastAsia="Arial" w:hint="default"/>
                <w:sz w:val="22"/>
                <w:szCs w:val="22"/>
              </w:rPr>
              <w:t>5%</w:t>
            </w:r>
          </w:p>
          <w:p>
            <w:pPr>
              <w:pStyle w:val="TableParagraph"/>
              <w:spacing w:line="279" w:lineRule="exact"/>
              <w:ind w:left="390" w:right="0"/>
              <w:jc w:val="left"/>
              <w:rPr>
                <w:rFonts w:ascii="宋体" w:hAnsi="宋体" w:cs="宋体" w:eastAsia="宋体" w:hint="default"/>
                <w:sz w:val="22"/>
                <w:szCs w:val="22"/>
              </w:rPr>
            </w:pPr>
            <w:r>
              <w:rPr>
                <w:rFonts w:ascii="宋体" w:hAnsi="宋体" w:cs="宋体" w:eastAsia="宋体" w:hint="default"/>
                <w:w w:val="95"/>
                <w:sz w:val="22"/>
                <w:szCs w:val="22"/>
              </w:rPr>
              <w:t>应缴营业税及</w:t>
            </w:r>
            <w:r>
              <w:rPr>
                <w:rFonts w:ascii="宋体" w:hAnsi="宋体" w:cs="宋体" w:eastAsia="宋体" w:hint="default"/>
                <w:sz w:val="22"/>
                <w:szCs w:val="22"/>
              </w:rPr>
            </w:r>
          </w:p>
        </w:tc>
        <w:tc>
          <w:tcPr>
            <w:tcW w:w="183"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4"/>
              <w:jc w:val="right"/>
              <w:rPr>
                <w:rFonts w:ascii="Arial" w:hAnsi="Arial" w:cs="Arial" w:eastAsia="Arial" w:hint="default"/>
                <w:sz w:val="22"/>
                <w:szCs w:val="22"/>
              </w:rPr>
            </w:pPr>
            <w:r>
              <w:rPr>
                <w:rFonts w:ascii="Arial"/>
                <w:spacing w:val="-1"/>
                <w:sz w:val="22"/>
              </w:rPr>
              <w:t>4,432,510,052</w:t>
            </w:r>
          </w:p>
        </w:tc>
        <w:tc>
          <w:tcPr>
            <w:tcW w:w="140" w:type="dxa"/>
            <w:tcBorders>
              <w:top w:val="nil" w:sz="6" w:space="0" w:color="auto"/>
              <w:left w:val="nil" w:sz="6" w:space="0" w:color="auto"/>
              <w:bottom w:val="nil" w:sz="6" w:space="0" w:color="auto"/>
              <w:right w:val="nil" w:sz="6" w:space="0" w:color="auto"/>
            </w:tcBorders>
          </w:tcPr>
          <w:p>
            <w:pP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45"/>
              <w:jc w:val="right"/>
              <w:rPr>
                <w:rFonts w:ascii="Arial" w:hAnsi="Arial" w:cs="Arial" w:eastAsia="Arial" w:hint="default"/>
                <w:sz w:val="22"/>
                <w:szCs w:val="22"/>
              </w:rPr>
            </w:pPr>
            <w:r>
              <w:rPr>
                <w:rFonts w:ascii="Arial"/>
                <w:spacing w:val="-1"/>
                <w:sz w:val="22"/>
              </w:rPr>
              <w:t>4,527,509,715</w:t>
            </w:r>
          </w:p>
        </w:tc>
      </w:tr>
      <w:tr>
        <w:trPr>
          <w:trHeight w:val="432" w:hRule="exact"/>
        </w:trPr>
        <w:tc>
          <w:tcPr>
            <w:tcW w:w="3735" w:type="dxa"/>
            <w:tcBorders>
              <w:top w:val="nil" w:sz="6" w:space="0" w:color="auto"/>
              <w:left w:val="nil" w:sz="6" w:space="0" w:color="auto"/>
              <w:bottom w:val="nil" w:sz="6" w:space="0" w:color="auto"/>
              <w:right w:val="nil" w:sz="6" w:space="0" w:color="auto"/>
            </w:tcBorders>
          </w:tcPr>
          <w:p>
            <w:pPr>
              <w:pStyle w:val="TableParagraph"/>
              <w:spacing w:line="253" w:lineRule="exact"/>
              <w:ind w:left="35" w:right="0"/>
              <w:jc w:val="left"/>
              <w:rPr>
                <w:rFonts w:ascii="宋体" w:hAnsi="宋体" w:cs="宋体" w:eastAsia="宋体" w:hint="default"/>
                <w:sz w:val="22"/>
                <w:szCs w:val="22"/>
              </w:rPr>
            </w:pPr>
            <w:r>
              <w:rPr>
                <w:rFonts w:ascii="宋体" w:hAnsi="宋体" w:cs="宋体" w:eastAsia="宋体" w:hint="default"/>
                <w:sz w:val="22"/>
                <w:szCs w:val="22"/>
              </w:rPr>
              <w:t>城市维护建设税及教育费附加等</w:t>
            </w:r>
          </w:p>
        </w:tc>
        <w:tc>
          <w:tcPr>
            <w:tcW w:w="1710" w:type="dxa"/>
            <w:tcBorders>
              <w:top w:val="nil" w:sz="6" w:space="0" w:color="auto"/>
              <w:left w:val="nil" w:sz="6" w:space="0" w:color="auto"/>
              <w:bottom w:val="nil" w:sz="6" w:space="0" w:color="auto"/>
              <w:right w:val="nil" w:sz="6" w:space="0" w:color="auto"/>
            </w:tcBorders>
          </w:tcPr>
          <w:p>
            <w:pPr>
              <w:pStyle w:val="TableParagraph"/>
              <w:spacing w:line="268" w:lineRule="exact"/>
              <w:ind w:right="0"/>
              <w:jc w:val="right"/>
              <w:rPr>
                <w:rFonts w:ascii="Arial" w:hAnsi="Arial" w:cs="Arial" w:eastAsia="Arial" w:hint="default"/>
                <w:sz w:val="22"/>
                <w:szCs w:val="22"/>
              </w:rPr>
            </w:pPr>
            <w:r>
              <w:rPr>
                <w:rFonts w:ascii="宋体" w:hAnsi="宋体" w:cs="宋体" w:eastAsia="宋体" w:hint="default"/>
                <w:sz w:val="22"/>
                <w:szCs w:val="22"/>
              </w:rPr>
              <w:t>增值税的</w:t>
            </w:r>
            <w:r>
              <w:rPr>
                <w:rFonts w:ascii="宋体" w:hAnsi="宋体" w:cs="宋体" w:eastAsia="宋体" w:hint="default"/>
                <w:spacing w:val="-57"/>
                <w:sz w:val="22"/>
                <w:szCs w:val="22"/>
              </w:rPr>
              <w:t> </w:t>
            </w:r>
            <w:r>
              <w:rPr>
                <w:rFonts w:ascii="Arial" w:hAnsi="Arial" w:cs="Arial" w:eastAsia="Arial" w:hint="default"/>
                <w:sz w:val="22"/>
                <w:szCs w:val="22"/>
              </w:rPr>
              <w:t>10%</w:t>
            </w:r>
          </w:p>
        </w:tc>
        <w:tc>
          <w:tcPr>
            <w:tcW w:w="183"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nil" w:sz="6" w:space="0" w:color="auto"/>
              <w:right w:val="nil" w:sz="6" w:space="0" w:color="auto"/>
            </w:tcBorders>
          </w:tcPr>
          <w:p>
            <w:pPr>
              <w:pStyle w:val="TableParagraph"/>
              <w:tabs>
                <w:tab w:pos="494" w:val="left" w:leader="none"/>
              </w:tabs>
              <w:spacing w:line="240" w:lineRule="auto" w:before="31"/>
              <w:ind w:right="4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54,532,008</w:t>
            </w:r>
            <w:r>
              <w:rPr>
                <w:rFonts w:ascii="Arial"/>
                <w:w w:val="95"/>
                <w:sz w:val="22"/>
              </w:rPr>
            </w:r>
            <w:r>
              <w:rPr>
                <w:rFonts w:ascii="Arial"/>
                <w:sz w:val="22"/>
              </w:rPr>
            </w:r>
          </w:p>
        </w:tc>
        <w:tc>
          <w:tcPr>
            <w:tcW w:w="140" w:type="dxa"/>
            <w:tcBorders>
              <w:top w:val="nil" w:sz="6" w:space="0" w:color="auto"/>
              <w:left w:val="nil" w:sz="6" w:space="0" w:color="auto"/>
              <w:bottom w:val="nil" w:sz="6" w:space="0" w:color="auto"/>
              <w:right w:val="nil" w:sz="6" w:space="0" w:color="auto"/>
            </w:tcBorders>
          </w:tcPr>
          <w:p>
            <w:pPr/>
          </w:p>
        </w:tc>
        <w:tc>
          <w:tcPr>
            <w:tcW w:w="1626" w:type="dxa"/>
            <w:tcBorders>
              <w:top w:val="nil" w:sz="6" w:space="0" w:color="auto"/>
              <w:left w:val="nil" w:sz="6" w:space="0" w:color="auto"/>
              <w:bottom w:val="nil" w:sz="6" w:space="0" w:color="auto"/>
              <w:right w:val="nil" w:sz="6" w:space="0" w:color="auto"/>
            </w:tcBorders>
          </w:tcPr>
          <w:p>
            <w:pPr>
              <w:pStyle w:val="TableParagraph"/>
              <w:tabs>
                <w:tab w:pos="473" w:val="left" w:leader="none"/>
              </w:tabs>
              <w:spacing w:line="240" w:lineRule="auto" w:before="31"/>
              <w:ind w:right="4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70,823,354</w:t>
            </w:r>
            <w:r>
              <w:rPr>
                <w:rFonts w:ascii="Arial"/>
                <w:w w:val="95"/>
                <w:sz w:val="22"/>
              </w:rPr>
            </w:r>
            <w:r>
              <w:rPr>
                <w:rFonts w:ascii="Arial"/>
                <w:sz w:val="22"/>
              </w:rPr>
            </w:r>
          </w:p>
        </w:tc>
      </w:tr>
      <w:tr>
        <w:trPr>
          <w:trHeight w:val="430" w:hRule="exact"/>
        </w:trPr>
        <w:tc>
          <w:tcPr>
            <w:tcW w:w="3735"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710" w:type="dxa"/>
            <w:tcBorders>
              <w:top w:val="nil" w:sz="6" w:space="0" w:color="auto"/>
              <w:left w:val="nil" w:sz="6" w:space="0" w:color="auto"/>
              <w:bottom w:val="nil" w:sz="6" w:space="0" w:color="auto"/>
              <w:right w:val="nil" w:sz="6" w:space="0" w:color="auto"/>
            </w:tcBorders>
          </w:tcPr>
          <w:p>
            <w:pPr/>
          </w:p>
        </w:tc>
        <w:tc>
          <w:tcPr>
            <w:tcW w:w="183" w:type="dxa"/>
            <w:tcBorders>
              <w:top w:val="nil" w:sz="6" w:space="0" w:color="auto"/>
              <w:left w:val="nil" w:sz="6" w:space="0" w:color="auto"/>
              <w:bottom w:val="nil" w:sz="6" w:space="0" w:color="auto"/>
              <w:right w:val="nil" w:sz="6" w:space="0" w:color="auto"/>
            </w:tcBorders>
          </w:tcPr>
          <w:p>
            <w:pPr/>
          </w:p>
        </w:tc>
        <w:tc>
          <w:tcPr>
            <w:tcW w:w="1650"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44"/>
              <w:jc w:val="right"/>
              <w:rPr>
                <w:rFonts w:ascii="Arial" w:hAnsi="Arial" w:cs="Arial" w:eastAsia="Arial" w:hint="default"/>
                <w:sz w:val="22"/>
                <w:szCs w:val="22"/>
              </w:rPr>
            </w:pPr>
            <w:r>
              <w:rPr>
                <w:rFonts w:ascii="Arial"/>
                <w:spacing w:val="-1"/>
                <w:sz w:val="22"/>
              </w:rPr>
              <w:t>4,487,042,060</w:t>
            </w:r>
          </w:p>
        </w:tc>
        <w:tc>
          <w:tcPr>
            <w:tcW w:w="140" w:type="dxa"/>
            <w:tcBorders>
              <w:top w:val="nil" w:sz="6" w:space="0" w:color="auto"/>
              <w:left w:val="nil" w:sz="6" w:space="0" w:color="auto"/>
              <w:bottom w:val="nil" w:sz="6" w:space="0" w:color="auto"/>
              <w:right w:val="nil" w:sz="6" w:space="0" w:color="auto"/>
            </w:tcBorders>
          </w:tcPr>
          <w:p>
            <w:pPr/>
          </w:p>
        </w:tc>
        <w:tc>
          <w:tcPr>
            <w:tcW w:w="1626"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45"/>
              <w:jc w:val="right"/>
              <w:rPr>
                <w:rFonts w:ascii="Arial" w:hAnsi="Arial" w:cs="Arial" w:eastAsia="Arial" w:hint="default"/>
                <w:sz w:val="22"/>
                <w:szCs w:val="22"/>
              </w:rPr>
            </w:pPr>
            <w:r>
              <w:rPr>
                <w:rFonts w:ascii="Arial"/>
                <w:spacing w:val="-1"/>
                <w:sz w:val="22"/>
              </w:rPr>
              <w:t>4,598,333,069</w:t>
            </w:r>
          </w:p>
        </w:tc>
      </w:tr>
    </w:tbl>
    <w:p>
      <w:pPr>
        <w:spacing w:line="240" w:lineRule="auto" w:before="0"/>
        <w:rPr>
          <w:rFonts w:ascii="黑体" w:hAnsi="黑体" w:cs="黑体" w:eastAsia="黑体" w:hint="default"/>
          <w:sz w:val="20"/>
          <w:szCs w:val="20"/>
        </w:rPr>
      </w:pPr>
    </w:p>
    <w:p>
      <w:pPr>
        <w:spacing w:line="240" w:lineRule="auto" w:before="11"/>
        <w:rPr>
          <w:rFonts w:ascii="黑体" w:hAnsi="黑体" w:cs="黑体" w:eastAsia="黑体" w:hint="default"/>
          <w:sz w:val="11"/>
          <w:szCs w:val="11"/>
        </w:rPr>
      </w:pPr>
    </w:p>
    <w:tbl>
      <w:tblPr>
        <w:tblW w:w="0" w:type="auto"/>
        <w:jc w:val="left"/>
        <w:tblInd w:w="107" w:type="dxa"/>
        <w:tblLayout w:type="fixed"/>
        <w:tblCellMar>
          <w:top w:w="0" w:type="dxa"/>
          <w:left w:w="0" w:type="dxa"/>
          <w:bottom w:w="0" w:type="dxa"/>
          <w:right w:w="0" w:type="dxa"/>
        </w:tblCellMar>
        <w:tblLook w:val="01E0"/>
      </w:tblPr>
      <w:tblGrid>
        <w:gridCol w:w="4818"/>
        <w:gridCol w:w="2258"/>
        <w:gridCol w:w="194"/>
        <w:gridCol w:w="2220"/>
      </w:tblGrid>
      <w:tr>
        <w:trPr>
          <w:trHeight w:val="898"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黑体" w:hAnsi="黑体" w:cs="黑体" w:eastAsia="黑体" w:hint="default"/>
                <w:sz w:val="22"/>
                <w:szCs w:val="22"/>
              </w:rPr>
            </w:pPr>
            <w:r>
              <w:rPr>
                <w:rFonts w:ascii="Arial" w:hAnsi="Arial" w:cs="Arial" w:eastAsia="Arial" w:hint="default"/>
                <w:sz w:val="22"/>
                <w:szCs w:val="22"/>
              </w:rPr>
              <w:t>37</w:t>
            </w:r>
            <w:r>
              <w:rPr>
                <w:rFonts w:ascii="黑体" w:hAnsi="黑体" w:cs="黑体" w:eastAsia="黑体" w:hint="default"/>
                <w:sz w:val="22"/>
                <w:szCs w:val="22"/>
              </w:rPr>
              <w:t>、销售费用</w:t>
            </w:r>
          </w:p>
        </w:tc>
        <w:tc>
          <w:tcPr>
            <w:tcW w:w="2258"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黑体" w:hAnsi="黑体" w:cs="黑体" w:eastAsia="黑体" w:hint="default"/>
                <w:sz w:val="22"/>
                <w:szCs w:val="22"/>
              </w:rPr>
            </w:pPr>
          </w:p>
          <w:p>
            <w:pPr>
              <w:pStyle w:val="TableParagraph"/>
              <w:spacing w:line="240" w:lineRule="auto" w:before="7"/>
              <w:ind w:right="0"/>
              <w:jc w:val="left"/>
              <w:rPr>
                <w:rFonts w:ascii="黑体" w:hAnsi="黑体" w:cs="黑体" w:eastAsia="黑体" w:hint="default"/>
                <w:sz w:val="21"/>
                <w:szCs w:val="21"/>
              </w:rPr>
            </w:pPr>
          </w:p>
          <w:p>
            <w:pPr>
              <w:pStyle w:val="TableParagraph"/>
              <w:spacing w:line="240" w:lineRule="auto"/>
              <w:ind w:right="32"/>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194"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黑体" w:hAnsi="黑体" w:cs="黑体" w:eastAsia="黑体" w:hint="default"/>
                <w:sz w:val="22"/>
                <w:szCs w:val="22"/>
              </w:rPr>
            </w:pPr>
          </w:p>
          <w:p>
            <w:pPr>
              <w:pStyle w:val="TableParagraph"/>
              <w:spacing w:line="240" w:lineRule="auto" w:before="7"/>
              <w:ind w:right="0"/>
              <w:jc w:val="left"/>
              <w:rPr>
                <w:rFonts w:ascii="黑体" w:hAnsi="黑体" w:cs="黑体" w:eastAsia="黑体" w:hint="default"/>
                <w:sz w:val="21"/>
                <w:szCs w:val="21"/>
              </w:rPr>
            </w:pPr>
          </w:p>
          <w:p>
            <w:pPr>
              <w:pStyle w:val="TableParagraph"/>
              <w:spacing w:line="240" w:lineRule="auto"/>
              <w:ind w:right="74"/>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292" w:hRule="exact"/>
        </w:trPr>
        <w:tc>
          <w:tcPr>
            <w:tcW w:w="4818" w:type="dxa"/>
            <w:tcBorders>
              <w:top w:val="nil" w:sz="6" w:space="0" w:color="auto"/>
              <w:left w:val="nil" w:sz="6" w:space="0" w:color="auto"/>
              <w:bottom w:val="nil" w:sz="6" w:space="0" w:color="auto"/>
              <w:right w:val="nil" w:sz="6" w:space="0" w:color="auto"/>
            </w:tcBorders>
          </w:tcPr>
          <w:p>
            <w:pPr/>
          </w:p>
        </w:tc>
        <w:tc>
          <w:tcPr>
            <w:tcW w:w="2258" w:type="dxa"/>
            <w:tcBorders>
              <w:top w:val="single" w:sz="6" w:space="0" w:color="000000"/>
              <w:left w:val="nil" w:sz="6" w:space="0" w:color="auto"/>
              <w:bottom w:val="nil" w:sz="6" w:space="0" w:color="auto"/>
              <w:right w:val="nil" w:sz="6" w:space="0" w:color="auto"/>
            </w:tcBorders>
          </w:tcPr>
          <w:p>
            <w:pPr/>
          </w:p>
        </w:tc>
        <w:tc>
          <w:tcPr>
            <w:tcW w:w="194" w:type="dxa"/>
            <w:tcBorders>
              <w:top w:val="nil" w:sz="6" w:space="0" w:color="auto"/>
              <w:left w:val="nil" w:sz="6" w:space="0" w:color="auto"/>
              <w:bottom w:val="nil" w:sz="6" w:space="0" w:color="auto"/>
              <w:right w:val="nil" w:sz="6" w:space="0" w:color="auto"/>
            </w:tcBorders>
          </w:tcPr>
          <w:p>
            <w:pPr/>
          </w:p>
        </w:tc>
        <w:tc>
          <w:tcPr>
            <w:tcW w:w="2220" w:type="dxa"/>
            <w:tcBorders>
              <w:top w:val="single" w:sz="6" w:space="0" w:color="000000"/>
              <w:left w:val="nil" w:sz="6" w:space="0" w:color="auto"/>
              <w:bottom w:val="nil" w:sz="6" w:space="0" w:color="auto"/>
              <w:right w:val="nil" w:sz="6" w:space="0" w:color="auto"/>
            </w:tcBorders>
          </w:tcPr>
          <w:p>
            <w:pPr>
              <w:pStyle w:val="TableParagraph"/>
              <w:spacing w:line="253" w:lineRule="exact"/>
              <w:ind w:right="75"/>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52" w:lineRule="exact"/>
              <w:ind w:left="482" w:right="0"/>
              <w:jc w:val="left"/>
              <w:rPr>
                <w:rFonts w:ascii="宋体" w:hAnsi="宋体" w:cs="宋体" w:eastAsia="宋体" w:hint="default"/>
                <w:sz w:val="22"/>
                <w:szCs w:val="22"/>
              </w:rPr>
            </w:pPr>
            <w:r>
              <w:rPr>
                <w:rFonts w:ascii="宋体" w:hAnsi="宋体" w:cs="宋体" w:eastAsia="宋体" w:hint="default"/>
                <w:sz w:val="22"/>
                <w:szCs w:val="22"/>
              </w:rPr>
              <w:t>代办手续费</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83"/>
              <w:jc w:val="right"/>
              <w:rPr>
                <w:rFonts w:ascii="Arial" w:hAnsi="Arial" w:cs="Arial" w:eastAsia="Arial" w:hint="default"/>
                <w:sz w:val="22"/>
                <w:szCs w:val="22"/>
              </w:rPr>
            </w:pPr>
            <w:r>
              <w:rPr>
                <w:rFonts w:ascii="Arial"/>
                <w:spacing w:val="-1"/>
                <w:sz w:val="22"/>
              </w:rPr>
              <w:t>11,930,719,964</w:t>
            </w:r>
          </w:p>
        </w:tc>
        <w:tc>
          <w:tcPr>
            <w:tcW w:w="194"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48"/>
              <w:jc w:val="right"/>
              <w:rPr>
                <w:rFonts w:ascii="Arial" w:hAnsi="Arial" w:cs="Arial" w:eastAsia="Arial" w:hint="default"/>
                <w:sz w:val="22"/>
                <w:szCs w:val="22"/>
              </w:rPr>
            </w:pPr>
            <w:r>
              <w:rPr>
                <w:rFonts w:ascii="Arial"/>
                <w:spacing w:val="-1"/>
                <w:sz w:val="22"/>
              </w:rPr>
              <w:t>11,468,175,865</w:t>
            </w:r>
          </w:p>
        </w:tc>
      </w:tr>
      <w:tr>
        <w:trPr>
          <w:trHeight w:val="285"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广告及业务宣传费等</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3"/>
              <w:jc w:val="right"/>
              <w:rPr>
                <w:rFonts w:ascii="Arial" w:hAnsi="Arial" w:cs="Arial" w:eastAsia="Arial" w:hint="default"/>
                <w:sz w:val="22"/>
                <w:szCs w:val="22"/>
              </w:rPr>
            </w:pPr>
            <w:r>
              <w:rPr>
                <w:rFonts w:ascii="Arial"/>
                <w:spacing w:val="-1"/>
                <w:sz w:val="22"/>
              </w:rPr>
              <w:t>4,289,640,319</w:t>
            </w:r>
          </w:p>
        </w:tc>
        <w:tc>
          <w:tcPr>
            <w:tcW w:w="194"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8"/>
              <w:jc w:val="right"/>
              <w:rPr>
                <w:rFonts w:ascii="Arial" w:hAnsi="Arial" w:cs="Arial" w:eastAsia="Arial" w:hint="default"/>
                <w:sz w:val="22"/>
                <w:szCs w:val="22"/>
              </w:rPr>
            </w:pPr>
            <w:r>
              <w:rPr>
                <w:rFonts w:ascii="Arial"/>
                <w:spacing w:val="-1"/>
                <w:sz w:val="22"/>
              </w:rPr>
              <w:t>3,036,146,818</w:t>
            </w:r>
          </w:p>
        </w:tc>
      </w:tr>
      <w:tr>
        <w:trPr>
          <w:trHeight w:val="285"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用户保有成本及客服成本</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3"/>
              <w:jc w:val="right"/>
              <w:rPr>
                <w:rFonts w:ascii="Arial" w:hAnsi="Arial" w:cs="Arial" w:eastAsia="Arial" w:hint="default"/>
                <w:sz w:val="22"/>
                <w:szCs w:val="22"/>
              </w:rPr>
            </w:pPr>
            <w:r>
              <w:rPr>
                <w:rFonts w:ascii="Arial"/>
                <w:spacing w:val="-1"/>
                <w:sz w:val="22"/>
              </w:rPr>
              <w:t>1,633,231,712</w:t>
            </w:r>
          </w:p>
        </w:tc>
        <w:tc>
          <w:tcPr>
            <w:tcW w:w="194"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8"/>
              <w:jc w:val="right"/>
              <w:rPr>
                <w:rFonts w:ascii="Arial" w:hAnsi="Arial" w:cs="Arial" w:eastAsia="Arial" w:hint="default"/>
                <w:sz w:val="22"/>
                <w:szCs w:val="22"/>
              </w:rPr>
            </w:pPr>
            <w:r>
              <w:rPr>
                <w:rFonts w:ascii="Arial"/>
                <w:spacing w:val="-1"/>
                <w:sz w:val="22"/>
              </w:rPr>
              <w:t>1,660,824,551</w:t>
            </w:r>
          </w:p>
        </w:tc>
      </w:tr>
      <w:tr>
        <w:trPr>
          <w:trHeight w:val="286"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固网业务客户接入成本</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3"/>
              <w:jc w:val="right"/>
              <w:rPr>
                <w:rFonts w:ascii="Arial" w:hAnsi="Arial" w:cs="Arial" w:eastAsia="Arial" w:hint="default"/>
                <w:sz w:val="22"/>
                <w:szCs w:val="22"/>
              </w:rPr>
            </w:pPr>
            <w:r>
              <w:rPr>
                <w:rFonts w:ascii="Arial"/>
                <w:spacing w:val="-1"/>
                <w:sz w:val="22"/>
              </w:rPr>
              <w:t>2,448,919,265</w:t>
            </w:r>
          </w:p>
        </w:tc>
        <w:tc>
          <w:tcPr>
            <w:tcW w:w="194"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8"/>
              <w:jc w:val="right"/>
              <w:rPr>
                <w:rFonts w:ascii="Arial" w:hAnsi="Arial" w:cs="Arial" w:eastAsia="Arial" w:hint="default"/>
                <w:sz w:val="22"/>
                <w:szCs w:val="22"/>
              </w:rPr>
            </w:pPr>
            <w:r>
              <w:rPr>
                <w:rFonts w:ascii="Arial"/>
                <w:spacing w:val="-1"/>
                <w:sz w:val="22"/>
              </w:rPr>
              <w:t>2,256,358,738</w:t>
            </w:r>
          </w:p>
        </w:tc>
      </w:tr>
      <w:tr>
        <w:trPr>
          <w:trHeight w:val="420"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40" w:lineRule="exact"/>
              <w:ind w:left="482" w:right="0"/>
              <w:jc w:val="left"/>
              <w:rPr>
                <w:rFonts w:ascii="宋体" w:hAnsi="宋体" w:cs="宋体" w:eastAsia="宋体" w:hint="default"/>
                <w:sz w:val="22"/>
                <w:szCs w:val="22"/>
              </w:rPr>
            </w:pPr>
            <w:r>
              <w:rPr>
                <w:rFonts w:ascii="宋体" w:hAnsi="宋体" w:cs="宋体" w:eastAsia="宋体" w:hint="default"/>
                <w:sz w:val="22"/>
                <w:szCs w:val="22"/>
              </w:rPr>
              <w:t>固网业务用户获取成本</w:t>
            </w:r>
          </w:p>
        </w:tc>
        <w:tc>
          <w:tcPr>
            <w:tcW w:w="2258" w:type="dxa"/>
            <w:tcBorders>
              <w:top w:val="nil" w:sz="6" w:space="0" w:color="auto"/>
              <w:left w:val="nil" w:sz="6" w:space="0" w:color="auto"/>
              <w:bottom w:val="nil" w:sz="6" w:space="0" w:color="auto"/>
              <w:right w:val="nil" w:sz="6" w:space="0" w:color="auto"/>
            </w:tcBorders>
          </w:tcPr>
          <w:p>
            <w:pPr>
              <w:pStyle w:val="TableParagraph"/>
              <w:tabs>
                <w:tab w:pos="943" w:val="left" w:leader="none"/>
                <w:tab w:pos="2243" w:val="left" w:leader="none"/>
              </w:tabs>
              <w:spacing w:line="240" w:lineRule="auto" w:before="18"/>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654,226,181</w:t>
            </w:r>
            <w:r>
              <w:rPr>
                <w:rFonts w:ascii="Arial"/>
                <w:sz w:val="22"/>
                <w:u w:val="single" w:color="000000"/>
              </w:rPr>
              <w:tab/>
            </w:r>
            <w:r>
              <w:rPr>
                <w:rFonts w:ascii="Arial"/>
                <w:sz w:val="22"/>
              </w:rPr>
            </w:r>
          </w:p>
        </w:tc>
        <w:tc>
          <w:tcPr>
            <w:tcW w:w="194"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nil" w:sz="6" w:space="0" w:color="auto"/>
              <w:right w:val="nil" w:sz="6" w:space="0" w:color="auto"/>
            </w:tcBorders>
          </w:tcPr>
          <w:p>
            <w:pPr>
              <w:pStyle w:val="TableParagraph"/>
              <w:tabs>
                <w:tab w:pos="942" w:val="left" w:leader="none"/>
              </w:tabs>
              <w:spacing w:line="240" w:lineRule="auto" w:before="18"/>
              <w:ind w:right="49"/>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886,961,779</w:t>
            </w:r>
            <w:r>
              <w:rPr>
                <w:rFonts w:ascii="Arial"/>
                <w:w w:val="95"/>
                <w:sz w:val="22"/>
              </w:rPr>
            </w:r>
            <w:r>
              <w:rPr>
                <w:rFonts w:ascii="Arial"/>
                <w:sz w:val="22"/>
              </w:rPr>
            </w:r>
          </w:p>
        </w:tc>
      </w:tr>
      <w:tr>
        <w:trPr>
          <w:trHeight w:val="430"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40" w:lineRule="auto" w:before="85"/>
              <w:ind w:left="482"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58"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83"/>
              <w:jc w:val="right"/>
              <w:rPr>
                <w:rFonts w:ascii="Arial" w:hAnsi="Arial" w:cs="Arial" w:eastAsia="Arial" w:hint="default"/>
                <w:sz w:val="22"/>
                <w:szCs w:val="22"/>
              </w:rPr>
            </w:pPr>
            <w:r>
              <w:rPr>
                <w:rFonts w:ascii="Arial"/>
                <w:spacing w:val="-1"/>
                <w:sz w:val="22"/>
              </w:rPr>
              <w:t>20,956,737,441</w:t>
            </w:r>
          </w:p>
        </w:tc>
        <w:tc>
          <w:tcPr>
            <w:tcW w:w="194" w:type="dxa"/>
            <w:tcBorders>
              <w:top w:val="nil" w:sz="6" w:space="0" w:color="auto"/>
              <w:left w:val="nil" w:sz="6" w:space="0" w:color="auto"/>
              <w:bottom w:val="nil" w:sz="6" w:space="0" w:color="auto"/>
              <w:right w:val="nil" w:sz="6" w:space="0" w:color="auto"/>
            </w:tcBorders>
          </w:tcPr>
          <w:p>
            <w:pPr/>
          </w:p>
        </w:tc>
        <w:tc>
          <w:tcPr>
            <w:tcW w:w="2220"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48"/>
              <w:jc w:val="right"/>
              <w:rPr>
                <w:rFonts w:ascii="Arial" w:hAnsi="Arial" w:cs="Arial" w:eastAsia="Arial" w:hint="default"/>
                <w:sz w:val="22"/>
                <w:szCs w:val="22"/>
              </w:rPr>
            </w:pPr>
            <w:r>
              <w:rPr>
                <w:rFonts w:ascii="Arial"/>
                <w:spacing w:val="-1"/>
                <w:sz w:val="22"/>
              </w:rPr>
              <w:t>19,308,467,751</w:t>
            </w:r>
          </w:p>
        </w:tc>
      </w:tr>
    </w:tbl>
    <w:p>
      <w:pPr>
        <w:spacing w:line="240" w:lineRule="auto" w:before="0"/>
        <w:rPr>
          <w:rFonts w:ascii="黑体" w:hAnsi="黑体" w:cs="黑体" w:eastAsia="黑体" w:hint="default"/>
          <w:sz w:val="20"/>
          <w:szCs w:val="20"/>
        </w:rPr>
      </w:pPr>
    </w:p>
    <w:p>
      <w:pPr>
        <w:spacing w:line="240" w:lineRule="auto" w:before="10"/>
        <w:rPr>
          <w:rFonts w:ascii="黑体" w:hAnsi="黑体" w:cs="黑体" w:eastAsia="黑体" w:hint="default"/>
          <w:sz w:val="11"/>
          <w:szCs w:val="11"/>
        </w:rPr>
      </w:pPr>
    </w:p>
    <w:tbl>
      <w:tblPr>
        <w:tblW w:w="0" w:type="auto"/>
        <w:jc w:val="left"/>
        <w:tblInd w:w="107" w:type="dxa"/>
        <w:tblLayout w:type="fixed"/>
        <w:tblCellMar>
          <w:top w:w="0" w:type="dxa"/>
          <w:left w:w="0" w:type="dxa"/>
          <w:bottom w:w="0" w:type="dxa"/>
          <w:right w:w="0" w:type="dxa"/>
        </w:tblCellMar>
        <w:tblLook w:val="01E0"/>
      </w:tblPr>
      <w:tblGrid>
        <w:gridCol w:w="4818"/>
        <w:gridCol w:w="2258"/>
        <w:gridCol w:w="194"/>
        <w:gridCol w:w="2262"/>
      </w:tblGrid>
      <w:tr>
        <w:trPr>
          <w:trHeight w:val="900"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黑体" w:hAnsi="黑体" w:cs="黑体" w:eastAsia="黑体" w:hint="default"/>
                <w:sz w:val="22"/>
                <w:szCs w:val="22"/>
              </w:rPr>
            </w:pPr>
            <w:r>
              <w:rPr>
                <w:rFonts w:ascii="Arial" w:hAnsi="Arial" w:cs="Arial" w:eastAsia="Arial" w:hint="default"/>
                <w:sz w:val="22"/>
                <w:szCs w:val="22"/>
              </w:rPr>
              <w:t>38</w:t>
            </w:r>
            <w:r>
              <w:rPr>
                <w:rFonts w:ascii="黑体" w:hAnsi="黑体" w:cs="黑体" w:eastAsia="黑体" w:hint="default"/>
                <w:sz w:val="22"/>
                <w:szCs w:val="22"/>
              </w:rPr>
              <w:t>、管理费用</w:t>
            </w:r>
          </w:p>
        </w:tc>
        <w:tc>
          <w:tcPr>
            <w:tcW w:w="2258"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黑体" w:hAnsi="黑体" w:cs="黑体" w:eastAsia="黑体" w:hint="default"/>
                <w:sz w:val="22"/>
                <w:szCs w:val="22"/>
              </w:rPr>
            </w:pPr>
          </w:p>
          <w:p>
            <w:pPr>
              <w:pStyle w:val="TableParagraph"/>
              <w:spacing w:line="240" w:lineRule="auto" w:before="8"/>
              <w:ind w:right="0"/>
              <w:jc w:val="left"/>
              <w:rPr>
                <w:rFonts w:ascii="黑体" w:hAnsi="黑体" w:cs="黑体" w:eastAsia="黑体" w:hint="default"/>
                <w:sz w:val="21"/>
                <w:szCs w:val="21"/>
              </w:rPr>
            </w:pPr>
          </w:p>
          <w:p>
            <w:pPr>
              <w:pStyle w:val="TableParagraph"/>
              <w:spacing w:line="240" w:lineRule="auto"/>
              <w:ind w:right="1"/>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194"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黑体" w:hAnsi="黑体" w:cs="黑体" w:eastAsia="黑体" w:hint="default"/>
                <w:sz w:val="22"/>
                <w:szCs w:val="22"/>
              </w:rPr>
            </w:pPr>
          </w:p>
          <w:p>
            <w:pPr>
              <w:pStyle w:val="TableParagraph"/>
              <w:spacing w:line="240" w:lineRule="auto" w:before="8"/>
              <w:ind w:right="0"/>
              <w:jc w:val="left"/>
              <w:rPr>
                <w:rFonts w:ascii="黑体" w:hAnsi="黑体" w:cs="黑体" w:eastAsia="黑体" w:hint="default"/>
                <w:sz w:val="21"/>
                <w:szCs w:val="21"/>
              </w:rPr>
            </w:pPr>
          </w:p>
          <w:p>
            <w:pPr>
              <w:pStyle w:val="TableParagraph"/>
              <w:spacing w:line="240" w:lineRule="auto"/>
              <w:ind w:right="33"/>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292" w:hRule="exact"/>
        </w:trPr>
        <w:tc>
          <w:tcPr>
            <w:tcW w:w="4818" w:type="dxa"/>
            <w:tcBorders>
              <w:top w:val="nil" w:sz="6" w:space="0" w:color="auto"/>
              <w:left w:val="nil" w:sz="6" w:space="0" w:color="auto"/>
              <w:bottom w:val="nil" w:sz="6" w:space="0" w:color="auto"/>
              <w:right w:val="nil" w:sz="6" w:space="0" w:color="auto"/>
            </w:tcBorders>
          </w:tcPr>
          <w:p>
            <w:pPr/>
          </w:p>
        </w:tc>
        <w:tc>
          <w:tcPr>
            <w:tcW w:w="2258" w:type="dxa"/>
            <w:tcBorders>
              <w:top w:val="single" w:sz="6" w:space="0" w:color="000000"/>
              <w:left w:val="nil" w:sz="6" w:space="0" w:color="auto"/>
              <w:bottom w:val="nil" w:sz="6" w:space="0" w:color="auto"/>
              <w:right w:val="nil" w:sz="6" w:space="0" w:color="auto"/>
            </w:tcBorders>
          </w:tcPr>
          <w:p>
            <w:pPr/>
          </w:p>
        </w:tc>
        <w:tc>
          <w:tcPr>
            <w:tcW w:w="194" w:type="dxa"/>
            <w:tcBorders>
              <w:top w:val="nil" w:sz="6" w:space="0" w:color="auto"/>
              <w:left w:val="nil" w:sz="6" w:space="0" w:color="auto"/>
              <w:bottom w:val="nil" w:sz="6" w:space="0" w:color="auto"/>
              <w:right w:val="nil" w:sz="6" w:space="0" w:color="auto"/>
            </w:tcBorders>
          </w:tcPr>
          <w:p>
            <w:pPr/>
          </w:p>
        </w:tc>
        <w:tc>
          <w:tcPr>
            <w:tcW w:w="2262" w:type="dxa"/>
            <w:tcBorders>
              <w:top w:val="single" w:sz="6" w:space="0" w:color="000000"/>
              <w:left w:val="nil" w:sz="6" w:space="0" w:color="auto"/>
              <w:bottom w:val="nil" w:sz="6" w:space="0" w:color="auto"/>
              <w:right w:val="nil" w:sz="6" w:space="0" w:color="auto"/>
            </w:tcBorders>
          </w:tcPr>
          <w:p>
            <w:pPr>
              <w:pStyle w:val="TableParagraph"/>
              <w:spacing w:line="253" w:lineRule="exact"/>
              <w:ind w:right="92"/>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52" w:lineRule="exact"/>
              <w:ind w:left="482" w:right="0"/>
              <w:jc w:val="left"/>
              <w:rPr>
                <w:rFonts w:ascii="宋体" w:hAnsi="宋体" w:cs="宋体" w:eastAsia="宋体" w:hint="default"/>
                <w:sz w:val="22"/>
                <w:szCs w:val="22"/>
              </w:rPr>
            </w:pPr>
            <w:r>
              <w:rPr>
                <w:rFonts w:ascii="宋体" w:hAnsi="宋体" w:cs="宋体" w:eastAsia="宋体" w:hint="default"/>
                <w:sz w:val="22"/>
                <w:szCs w:val="22"/>
              </w:rPr>
              <w:t>人工成本</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83"/>
              <w:jc w:val="right"/>
              <w:rPr>
                <w:rFonts w:ascii="Arial" w:hAnsi="Arial" w:cs="Arial" w:eastAsia="Arial" w:hint="default"/>
                <w:sz w:val="22"/>
                <w:szCs w:val="22"/>
              </w:rPr>
            </w:pPr>
            <w:r>
              <w:rPr>
                <w:rFonts w:ascii="Arial"/>
                <w:spacing w:val="-1"/>
                <w:sz w:val="22"/>
              </w:rPr>
              <w:t>6,647,737,375</w:t>
            </w:r>
          </w:p>
        </w:tc>
        <w:tc>
          <w:tcPr>
            <w:tcW w:w="194"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91"/>
              <w:jc w:val="right"/>
              <w:rPr>
                <w:rFonts w:ascii="Arial" w:hAnsi="Arial" w:cs="Arial" w:eastAsia="Arial" w:hint="default"/>
                <w:sz w:val="22"/>
                <w:szCs w:val="22"/>
              </w:rPr>
            </w:pPr>
            <w:r>
              <w:rPr>
                <w:rFonts w:ascii="Arial"/>
                <w:spacing w:val="-1"/>
                <w:sz w:val="22"/>
              </w:rPr>
              <w:t>6,587,854,855</w:t>
            </w:r>
          </w:p>
        </w:tc>
      </w:tr>
      <w:tr>
        <w:trPr>
          <w:trHeight w:val="285"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办公及交通费</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3"/>
              <w:jc w:val="right"/>
              <w:rPr>
                <w:rFonts w:ascii="Arial" w:hAnsi="Arial" w:cs="Arial" w:eastAsia="Arial" w:hint="default"/>
                <w:sz w:val="22"/>
                <w:szCs w:val="22"/>
              </w:rPr>
            </w:pPr>
            <w:r>
              <w:rPr>
                <w:rFonts w:ascii="Arial"/>
                <w:spacing w:val="-1"/>
                <w:sz w:val="22"/>
              </w:rPr>
              <w:t>2,398,982,067</w:t>
            </w:r>
          </w:p>
        </w:tc>
        <w:tc>
          <w:tcPr>
            <w:tcW w:w="194"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1"/>
              <w:jc w:val="right"/>
              <w:rPr>
                <w:rFonts w:ascii="Arial" w:hAnsi="Arial" w:cs="Arial" w:eastAsia="Arial" w:hint="default"/>
                <w:sz w:val="22"/>
                <w:szCs w:val="22"/>
              </w:rPr>
            </w:pPr>
            <w:r>
              <w:rPr>
                <w:rFonts w:ascii="Arial"/>
                <w:spacing w:val="-1"/>
                <w:sz w:val="22"/>
              </w:rPr>
              <w:t>2,374,739,889</w:t>
            </w:r>
          </w:p>
        </w:tc>
      </w:tr>
      <w:tr>
        <w:trPr>
          <w:trHeight w:val="285"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折旧及摊销</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3"/>
              <w:jc w:val="right"/>
              <w:rPr>
                <w:rFonts w:ascii="Arial" w:hAnsi="Arial" w:cs="Arial" w:eastAsia="Arial" w:hint="default"/>
                <w:sz w:val="22"/>
                <w:szCs w:val="22"/>
              </w:rPr>
            </w:pPr>
            <w:r>
              <w:rPr>
                <w:rFonts w:ascii="Arial"/>
                <w:spacing w:val="-1"/>
                <w:sz w:val="22"/>
              </w:rPr>
              <w:t>1,615,964,119</w:t>
            </w:r>
          </w:p>
        </w:tc>
        <w:tc>
          <w:tcPr>
            <w:tcW w:w="194"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1"/>
              <w:jc w:val="right"/>
              <w:rPr>
                <w:rFonts w:ascii="Arial" w:hAnsi="Arial" w:cs="Arial" w:eastAsia="Arial" w:hint="default"/>
                <w:sz w:val="22"/>
                <w:szCs w:val="22"/>
              </w:rPr>
            </w:pPr>
            <w:r>
              <w:rPr>
                <w:rFonts w:ascii="Arial"/>
                <w:spacing w:val="-1"/>
                <w:sz w:val="22"/>
              </w:rPr>
              <w:t>1,557,243,069</w:t>
            </w:r>
          </w:p>
        </w:tc>
      </w:tr>
      <w:tr>
        <w:trPr>
          <w:trHeight w:val="285"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差旅费</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2"/>
              <w:jc w:val="right"/>
              <w:rPr>
                <w:rFonts w:ascii="Arial" w:hAnsi="Arial" w:cs="Arial" w:eastAsia="Arial" w:hint="default"/>
                <w:sz w:val="22"/>
                <w:szCs w:val="22"/>
              </w:rPr>
            </w:pPr>
            <w:r>
              <w:rPr>
                <w:rFonts w:ascii="Arial"/>
                <w:w w:val="95"/>
                <w:sz w:val="22"/>
              </w:rPr>
              <w:t>231,177,678</w:t>
            </w:r>
            <w:r>
              <w:rPr>
                <w:rFonts w:ascii="Arial"/>
                <w:sz w:val="22"/>
              </w:rPr>
            </w:r>
          </w:p>
        </w:tc>
        <w:tc>
          <w:tcPr>
            <w:tcW w:w="194"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0"/>
              <w:jc w:val="right"/>
              <w:rPr>
                <w:rFonts w:ascii="Arial" w:hAnsi="Arial" w:cs="Arial" w:eastAsia="Arial" w:hint="default"/>
                <w:sz w:val="22"/>
                <w:szCs w:val="22"/>
              </w:rPr>
            </w:pPr>
            <w:r>
              <w:rPr>
                <w:rFonts w:ascii="Arial"/>
                <w:w w:val="95"/>
                <w:sz w:val="22"/>
              </w:rPr>
              <w:t>188,991,161</w:t>
            </w:r>
            <w:r>
              <w:rPr>
                <w:rFonts w:ascii="Arial"/>
                <w:sz w:val="22"/>
              </w:rPr>
            </w:r>
          </w:p>
        </w:tc>
      </w:tr>
      <w:tr>
        <w:trPr>
          <w:trHeight w:val="286"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40" w:lineRule="exact"/>
              <w:ind w:left="482" w:right="0"/>
              <w:jc w:val="left"/>
              <w:rPr>
                <w:rFonts w:ascii="宋体" w:hAnsi="宋体" w:cs="宋体" w:eastAsia="宋体" w:hint="default"/>
                <w:sz w:val="22"/>
                <w:szCs w:val="22"/>
              </w:rPr>
            </w:pPr>
            <w:r>
              <w:rPr>
                <w:rFonts w:ascii="宋体" w:hAnsi="宋体" w:cs="宋体" w:eastAsia="宋体" w:hint="default"/>
                <w:sz w:val="22"/>
                <w:szCs w:val="22"/>
              </w:rPr>
              <w:t>水电取暖费</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82"/>
              <w:jc w:val="right"/>
              <w:rPr>
                <w:rFonts w:ascii="Arial" w:hAnsi="Arial" w:cs="Arial" w:eastAsia="Arial" w:hint="default"/>
                <w:sz w:val="22"/>
                <w:szCs w:val="22"/>
              </w:rPr>
            </w:pPr>
            <w:r>
              <w:rPr>
                <w:rFonts w:ascii="Arial"/>
                <w:w w:val="95"/>
                <w:sz w:val="22"/>
              </w:rPr>
              <w:t>511,188,497</w:t>
            </w:r>
            <w:r>
              <w:rPr>
                <w:rFonts w:ascii="Arial"/>
                <w:sz w:val="22"/>
              </w:rPr>
            </w:r>
          </w:p>
        </w:tc>
        <w:tc>
          <w:tcPr>
            <w:tcW w:w="194"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90"/>
              <w:jc w:val="right"/>
              <w:rPr>
                <w:rFonts w:ascii="Arial" w:hAnsi="Arial" w:cs="Arial" w:eastAsia="Arial" w:hint="default"/>
                <w:sz w:val="22"/>
                <w:szCs w:val="22"/>
              </w:rPr>
            </w:pPr>
            <w:r>
              <w:rPr>
                <w:rFonts w:ascii="Arial"/>
                <w:w w:val="95"/>
                <w:sz w:val="22"/>
              </w:rPr>
              <w:t>407,875,837</w:t>
            </w:r>
            <w:r>
              <w:rPr>
                <w:rFonts w:ascii="Arial"/>
                <w:sz w:val="22"/>
              </w:rPr>
            </w:r>
          </w:p>
        </w:tc>
      </w:tr>
      <w:tr>
        <w:trPr>
          <w:trHeight w:val="285"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房屋租赁费用</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2"/>
              <w:jc w:val="right"/>
              <w:rPr>
                <w:rFonts w:ascii="Arial" w:hAnsi="Arial" w:cs="Arial" w:eastAsia="Arial" w:hint="default"/>
                <w:sz w:val="22"/>
                <w:szCs w:val="22"/>
              </w:rPr>
            </w:pPr>
            <w:r>
              <w:rPr>
                <w:rFonts w:ascii="Arial"/>
                <w:w w:val="95"/>
                <w:sz w:val="22"/>
              </w:rPr>
              <w:t>705,767,646</w:t>
            </w:r>
            <w:r>
              <w:rPr>
                <w:rFonts w:ascii="Arial"/>
                <w:sz w:val="22"/>
              </w:rPr>
            </w:r>
          </w:p>
        </w:tc>
        <w:tc>
          <w:tcPr>
            <w:tcW w:w="194"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0"/>
              <w:jc w:val="right"/>
              <w:rPr>
                <w:rFonts w:ascii="Arial" w:hAnsi="Arial" w:cs="Arial" w:eastAsia="Arial" w:hint="default"/>
                <w:sz w:val="22"/>
                <w:szCs w:val="22"/>
              </w:rPr>
            </w:pPr>
            <w:r>
              <w:rPr>
                <w:rFonts w:ascii="Arial"/>
                <w:w w:val="95"/>
                <w:sz w:val="22"/>
              </w:rPr>
              <w:t>543,547,313</w:t>
            </w:r>
            <w:r>
              <w:rPr>
                <w:rFonts w:ascii="Arial"/>
                <w:sz w:val="22"/>
              </w:rPr>
            </w:r>
          </w:p>
        </w:tc>
      </w:tr>
      <w:tr>
        <w:trPr>
          <w:trHeight w:val="285"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其他税费</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2"/>
              <w:jc w:val="right"/>
              <w:rPr>
                <w:rFonts w:ascii="Arial" w:hAnsi="Arial" w:cs="Arial" w:eastAsia="Arial" w:hint="default"/>
                <w:sz w:val="22"/>
                <w:szCs w:val="22"/>
              </w:rPr>
            </w:pPr>
            <w:r>
              <w:rPr>
                <w:rFonts w:ascii="Arial"/>
                <w:w w:val="95"/>
                <w:sz w:val="22"/>
              </w:rPr>
              <w:t>754,224,285</w:t>
            </w:r>
            <w:r>
              <w:rPr>
                <w:rFonts w:ascii="Arial"/>
                <w:sz w:val="22"/>
              </w:rPr>
            </w:r>
          </w:p>
        </w:tc>
        <w:tc>
          <w:tcPr>
            <w:tcW w:w="194"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0"/>
              <w:jc w:val="right"/>
              <w:rPr>
                <w:rFonts w:ascii="Arial" w:hAnsi="Arial" w:cs="Arial" w:eastAsia="Arial" w:hint="default"/>
                <w:sz w:val="22"/>
                <w:szCs w:val="22"/>
              </w:rPr>
            </w:pPr>
            <w:r>
              <w:rPr>
                <w:rFonts w:ascii="Arial"/>
                <w:w w:val="95"/>
                <w:sz w:val="22"/>
              </w:rPr>
              <w:t>744,652,943</w:t>
            </w:r>
            <w:r>
              <w:rPr>
                <w:rFonts w:ascii="Arial"/>
                <w:sz w:val="22"/>
              </w:rPr>
            </w:r>
          </w:p>
        </w:tc>
      </w:tr>
      <w:tr>
        <w:trPr>
          <w:trHeight w:val="285"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专业服务及咨询费</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2"/>
              <w:jc w:val="right"/>
              <w:rPr>
                <w:rFonts w:ascii="Arial" w:hAnsi="Arial" w:cs="Arial" w:eastAsia="Arial" w:hint="default"/>
                <w:sz w:val="22"/>
                <w:szCs w:val="22"/>
              </w:rPr>
            </w:pPr>
            <w:r>
              <w:rPr>
                <w:rFonts w:ascii="Arial"/>
                <w:w w:val="95"/>
                <w:sz w:val="22"/>
              </w:rPr>
              <w:t>157,119,639</w:t>
            </w:r>
            <w:r>
              <w:rPr>
                <w:rFonts w:ascii="Arial"/>
                <w:sz w:val="22"/>
              </w:rPr>
            </w:r>
          </w:p>
        </w:tc>
        <w:tc>
          <w:tcPr>
            <w:tcW w:w="194"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0"/>
              <w:jc w:val="right"/>
              <w:rPr>
                <w:rFonts w:ascii="Arial" w:hAnsi="Arial" w:cs="Arial" w:eastAsia="Arial" w:hint="default"/>
                <w:sz w:val="22"/>
                <w:szCs w:val="22"/>
              </w:rPr>
            </w:pPr>
            <w:r>
              <w:rPr>
                <w:rFonts w:ascii="Arial"/>
                <w:w w:val="95"/>
                <w:sz w:val="22"/>
              </w:rPr>
              <w:t>405,127,280</w:t>
            </w:r>
            <w:r>
              <w:rPr>
                <w:rFonts w:ascii="Arial"/>
                <w:sz w:val="22"/>
              </w:rPr>
            </w:r>
          </w:p>
        </w:tc>
      </w:tr>
      <w:tr>
        <w:trPr>
          <w:trHeight w:val="285"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以股份支付为基础的员工薪酬</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3"/>
              <w:jc w:val="right"/>
              <w:rPr>
                <w:rFonts w:ascii="Arial" w:hAnsi="Arial" w:cs="Arial" w:eastAsia="Arial" w:hint="default"/>
                <w:sz w:val="22"/>
                <w:szCs w:val="22"/>
              </w:rPr>
            </w:pPr>
            <w:r>
              <w:rPr>
                <w:rFonts w:ascii="Arial"/>
                <w:w w:val="95"/>
                <w:sz w:val="22"/>
              </w:rPr>
              <w:t>27,422,365</w:t>
            </w:r>
            <w:r>
              <w:rPr>
                <w:rFonts w:ascii="Arial"/>
                <w:sz w:val="22"/>
              </w:rPr>
            </w:r>
          </w:p>
        </w:tc>
        <w:tc>
          <w:tcPr>
            <w:tcW w:w="194"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1"/>
              <w:jc w:val="right"/>
              <w:rPr>
                <w:rFonts w:ascii="Arial" w:hAnsi="Arial" w:cs="Arial" w:eastAsia="Arial" w:hint="default"/>
                <w:sz w:val="22"/>
                <w:szCs w:val="22"/>
              </w:rPr>
            </w:pPr>
            <w:r>
              <w:rPr>
                <w:rFonts w:ascii="Arial"/>
                <w:w w:val="95"/>
                <w:sz w:val="22"/>
              </w:rPr>
              <w:t>83,700,085</w:t>
            </w:r>
            <w:r>
              <w:rPr>
                <w:rFonts w:ascii="Arial"/>
                <w:sz w:val="22"/>
              </w:rPr>
            </w:r>
          </w:p>
        </w:tc>
      </w:tr>
      <w:tr>
        <w:trPr>
          <w:trHeight w:val="420"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58" w:type="dxa"/>
            <w:tcBorders>
              <w:top w:val="nil" w:sz="6" w:space="0" w:color="auto"/>
              <w:left w:val="nil" w:sz="6" w:space="0" w:color="auto"/>
              <w:bottom w:val="nil" w:sz="6" w:space="0" w:color="auto"/>
              <w:right w:val="nil" w:sz="6" w:space="0" w:color="auto"/>
            </w:tcBorders>
          </w:tcPr>
          <w:p>
            <w:pPr>
              <w:pStyle w:val="TableParagraph"/>
              <w:tabs>
                <w:tab w:pos="943" w:val="left" w:leader="none"/>
                <w:tab w:pos="2243"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998,292,838</w:t>
            </w:r>
            <w:r>
              <w:rPr>
                <w:rFonts w:ascii="Arial"/>
                <w:sz w:val="22"/>
                <w:u w:val="single" w:color="000000"/>
              </w:rPr>
              <w:tab/>
            </w:r>
            <w:r>
              <w:rPr>
                <w:rFonts w:ascii="Arial"/>
                <w:sz w:val="22"/>
              </w:rPr>
            </w:r>
          </w:p>
        </w:tc>
        <w:tc>
          <w:tcPr>
            <w:tcW w:w="194"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nil" w:sz="6" w:space="0" w:color="auto"/>
              <w:right w:val="nil" w:sz="6" w:space="0" w:color="auto"/>
            </w:tcBorders>
          </w:tcPr>
          <w:p>
            <w:pPr>
              <w:pStyle w:val="TableParagraph"/>
              <w:tabs>
                <w:tab w:pos="946" w:val="left" w:leader="none"/>
              </w:tabs>
              <w:spacing w:line="240" w:lineRule="auto" w:before="17"/>
              <w:ind w:left="3"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815,385,911</w:t>
            </w:r>
            <w:r>
              <w:rPr>
                <w:rFonts w:ascii="Arial"/>
                <w:sz w:val="22"/>
              </w:rPr>
            </w:r>
          </w:p>
        </w:tc>
      </w:tr>
      <w:tr>
        <w:trPr>
          <w:trHeight w:val="430" w:hRule="exact"/>
        </w:trPr>
        <w:tc>
          <w:tcPr>
            <w:tcW w:w="4818" w:type="dxa"/>
            <w:tcBorders>
              <w:top w:val="nil" w:sz="6" w:space="0" w:color="auto"/>
              <w:left w:val="nil" w:sz="6" w:space="0" w:color="auto"/>
              <w:bottom w:val="nil" w:sz="6" w:space="0" w:color="auto"/>
              <w:right w:val="nil" w:sz="6" w:space="0" w:color="auto"/>
            </w:tcBorders>
          </w:tcPr>
          <w:p>
            <w:pPr>
              <w:pStyle w:val="TableParagraph"/>
              <w:spacing w:line="240" w:lineRule="auto" w:before="85"/>
              <w:ind w:left="482"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58" w:type="dxa"/>
            <w:tcBorders>
              <w:top w:val="nil" w:sz="6" w:space="0" w:color="auto"/>
              <w:left w:val="nil" w:sz="6" w:space="0" w:color="auto"/>
              <w:bottom w:val="single" w:sz="17" w:space="0" w:color="000000"/>
              <w:right w:val="nil" w:sz="6" w:space="0" w:color="auto"/>
            </w:tcBorders>
          </w:tcPr>
          <w:p>
            <w:pPr>
              <w:pStyle w:val="TableParagraph"/>
              <w:spacing w:line="240" w:lineRule="auto" w:before="152"/>
              <w:ind w:right="83"/>
              <w:jc w:val="right"/>
              <w:rPr>
                <w:rFonts w:ascii="Arial" w:hAnsi="Arial" w:cs="Arial" w:eastAsia="Arial" w:hint="default"/>
                <w:sz w:val="22"/>
                <w:szCs w:val="22"/>
              </w:rPr>
            </w:pPr>
            <w:r>
              <w:rPr>
                <w:rFonts w:ascii="Arial"/>
                <w:spacing w:val="-1"/>
                <w:sz w:val="22"/>
              </w:rPr>
              <w:t>14,047,876,509</w:t>
            </w:r>
          </w:p>
        </w:tc>
        <w:tc>
          <w:tcPr>
            <w:tcW w:w="194" w:type="dxa"/>
            <w:tcBorders>
              <w:top w:val="nil" w:sz="6" w:space="0" w:color="auto"/>
              <w:left w:val="nil" w:sz="6" w:space="0" w:color="auto"/>
              <w:bottom w:val="nil" w:sz="6" w:space="0" w:color="auto"/>
              <w:right w:val="nil" w:sz="6" w:space="0" w:color="auto"/>
            </w:tcBorders>
          </w:tcPr>
          <w:p>
            <w:pPr/>
          </w:p>
        </w:tc>
        <w:tc>
          <w:tcPr>
            <w:tcW w:w="2262" w:type="dxa"/>
            <w:tcBorders>
              <w:top w:val="nil" w:sz="6" w:space="0" w:color="auto"/>
              <w:left w:val="nil" w:sz="6" w:space="0" w:color="auto"/>
              <w:bottom w:val="single" w:sz="17" w:space="0" w:color="000000"/>
              <w:right w:val="nil" w:sz="6" w:space="0" w:color="auto"/>
            </w:tcBorders>
          </w:tcPr>
          <w:p>
            <w:pPr>
              <w:pStyle w:val="TableParagraph"/>
              <w:spacing w:line="240" w:lineRule="auto" w:before="152"/>
              <w:ind w:right="91"/>
              <w:jc w:val="right"/>
              <w:rPr>
                <w:rFonts w:ascii="Arial" w:hAnsi="Arial" w:cs="Arial" w:eastAsia="Arial" w:hint="default"/>
                <w:sz w:val="22"/>
                <w:szCs w:val="22"/>
              </w:rPr>
            </w:pPr>
            <w:r>
              <w:rPr>
                <w:rFonts w:ascii="Arial"/>
                <w:spacing w:val="-1"/>
                <w:sz w:val="22"/>
              </w:rPr>
              <w:t>13,709,118,343</w:t>
            </w:r>
          </w:p>
        </w:tc>
      </w:tr>
    </w:tbl>
    <w:p>
      <w:pPr>
        <w:spacing w:after="0" w:line="240" w:lineRule="auto"/>
        <w:jc w:val="right"/>
        <w:rPr>
          <w:rFonts w:ascii="Arial" w:hAnsi="Arial" w:cs="Arial" w:eastAsia="Arial" w:hint="default"/>
          <w:sz w:val="22"/>
          <w:szCs w:val="22"/>
        </w:rPr>
        <w:sectPr>
          <w:headerReference w:type="default" r:id="rId114"/>
          <w:pgSz w:w="11910" w:h="16840"/>
          <w:pgMar w:header="1189" w:footer="752" w:top="3060" w:bottom="940" w:left="1240" w:right="920"/>
        </w:sectPr>
      </w:pPr>
    </w:p>
    <w:p>
      <w:pPr>
        <w:pStyle w:val="BodyText"/>
        <w:spacing w:line="253" w:lineRule="exact"/>
        <w:ind w:left="0" w:right="117"/>
        <w:jc w:val="right"/>
      </w:pPr>
      <w:r>
        <w:rPr>
          <w:w w:val="95"/>
        </w:rPr>
        <w:t>（经重列）</w:t>
      </w:r>
      <w:r>
        <w:rPr/>
      </w:r>
    </w:p>
    <w:p>
      <w:pPr>
        <w:spacing w:line="240" w:lineRule="auto" w:before="1"/>
        <w:rPr>
          <w:rFonts w:ascii="宋体" w:hAnsi="宋体" w:cs="宋体" w:eastAsia="宋体" w:hint="default"/>
          <w:sz w:val="3"/>
          <w:szCs w:val="3"/>
        </w:rPr>
      </w:pPr>
    </w:p>
    <w:tbl>
      <w:tblPr>
        <w:tblW w:w="0" w:type="auto"/>
        <w:jc w:val="left"/>
        <w:tblInd w:w="554" w:type="dxa"/>
        <w:tblLayout w:type="fixed"/>
        <w:tblCellMar>
          <w:top w:w="0" w:type="dxa"/>
          <w:left w:w="0" w:type="dxa"/>
          <w:bottom w:w="0" w:type="dxa"/>
          <w:right w:w="0" w:type="dxa"/>
        </w:tblCellMar>
        <w:tblLook w:val="01E0"/>
      </w:tblPr>
      <w:tblGrid>
        <w:gridCol w:w="4371"/>
        <w:gridCol w:w="2258"/>
        <w:gridCol w:w="191"/>
        <w:gridCol w:w="2231"/>
      </w:tblGrid>
      <w:tr>
        <w:trPr>
          <w:trHeight w:val="291" w:hRule="exact"/>
        </w:trPr>
        <w:tc>
          <w:tcPr>
            <w:tcW w:w="4371"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2"/>
                <w:szCs w:val="22"/>
              </w:rPr>
            </w:pPr>
            <w:r>
              <w:rPr>
                <w:rFonts w:ascii="宋体" w:hAnsi="宋体" w:cs="宋体" w:eastAsia="宋体" w:hint="default"/>
                <w:sz w:val="22"/>
                <w:szCs w:val="22"/>
              </w:rPr>
              <w:t>利息支出</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25"/>
              <w:jc w:val="right"/>
              <w:rPr>
                <w:rFonts w:ascii="Arial" w:hAnsi="Arial" w:cs="Arial" w:eastAsia="Arial" w:hint="default"/>
                <w:sz w:val="22"/>
                <w:szCs w:val="22"/>
              </w:rPr>
            </w:pPr>
            <w:r>
              <w:rPr>
                <w:rFonts w:ascii="Arial"/>
                <w:spacing w:val="-1"/>
                <w:sz w:val="22"/>
              </w:rPr>
              <w:t>1,629,375,854</w:t>
            </w:r>
          </w:p>
        </w:tc>
        <w:tc>
          <w:tcPr>
            <w:tcW w:w="191" w:type="dxa"/>
            <w:tcBorders>
              <w:top w:val="nil" w:sz="6" w:space="0" w:color="auto"/>
              <w:left w:val="nil" w:sz="6" w:space="0" w:color="auto"/>
              <w:bottom w:val="nil" w:sz="6" w:space="0" w:color="auto"/>
              <w:right w:val="nil" w:sz="6" w:space="0" w:color="auto"/>
            </w:tcBorders>
          </w:tcPr>
          <w:p>
            <w:pP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98"/>
              <w:jc w:val="right"/>
              <w:rPr>
                <w:rFonts w:ascii="Arial" w:hAnsi="Arial" w:cs="Arial" w:eastAsia="Arial" w:hint="default"/>
                <w:sz w:val="22"/>
                <w:szCs w:val="22"/>
              </w:rPr>
            </w:pPr>
            <w:r>
              <w:rPr>
                <w:rFonts w:ascii="Arial"/>
                <w:spacing w:val="-1"/>
                <w:sz w:val="22"/>
              </w:rPr>
              <w:t>2,735,386,620</w:t>
            </w:r>
          </w:p>
        </w:tc>
      </w:tr>
      <w:tr>
        <w:trPr>
          <w:trHeight w:val="419" w:hRule="exact"/>
        </w:trPr>
        <w:tc>
          <w:tcPr>
            <w:tcW w:w="4371"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减：资本化利息</w:t>
            </w:r>
          </w:p>
        </w:tc>
        <w:tc>
          <w:tcPr>
            <w:tcW w:w="2258" w:type="dxa"/>
            <w:tcBorders>
              <w:top w:val="nil" w:sz="6" w:space="0" w:color="auto"/>
              <w:left w:val="nil" w:sz="6" w:space="0" w:color="auto"/>
              <w:bottom w:val="nil" w:sz="6" w:space="0" w:color="auto"/>
              <w:right w:val="nil" w:sz="6" w:space="0" w:color="auto"/>
            </w:tcBorders>
          </w:tcPr>
          <w:p>
            <w:pPr>
              <w:pStyle w:val="TableParagraph"/>
              <w:tabs>
                <w:tab w:pos="826" w:val="left" w:leader="none"/>
              </w:tabs>
              <w:spacing w:line="240" w:lineRule="auto" w:before="17"/>
              <w:ind w:right="52"/>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(805,735,555)</w:t>
            </w:r>
            <w:r>
              <w:rPr>
                <w:rFonts w:ascii="Arial"/>
                <w:w w:val="95"/>
                <w:sz w:val="22"/>
              </w:rPr>
            </w:r>
            <w:r>
              <w:rPr>
                <w:rFonts w:ascii="Arial"/>
                <w:sz w:val="22"/>
              </w:rPr>
            </w:r>
          </w:p>
        </w:tc>
        <w:tc>
          <w:tcPr>
            <w:tcW w:w="191" w:type="dxa"/>
            <w:tcBorders>
              <w:top w:val="nil" w:sz="6" w:space="0" w:color="auto"/>
              <w:left w:val="nil" w:sz="6" w:space="0" w:color="auto"/>
              <w:bottom w:val="nil" w:sz="6" w:space="0" w:color="auto"/>
              <w:right w:val="nil" w:sz="6" w:space="0" w:color="auto"/>
            </w:tcBorders>
          </w:tcPr>
          <w:p>
            <w:pPr/>
          </w:p>
        </w:tc>
        <w:tc>
          <w:tcPr>
            <w:tcW w:w="2231" w:type="dxa"/>
            <w:tcBorders>
              <w:top w:val="nil" w:sz="6" w:space="0" w:color="auto"/>
              <w:left w:val="nil" w:sz="6" w:space="0" w:color="auto"/>
              <w:bottom w:val="nil" w:sz="6" w:space="0" w:color="auto"/>
              <w:right w:val="nil" w:sz="6" w:space="0" w:color="auto"/>
            </w:tcBorders>
          </w:tcPr>
          <w:p>
            <w:pPr>
              <w:pStyle w:val="TableParagraph"/>
              <w:tabs>
                <w:tab w:pos="826" w:val="left" w:leader="none"/>
              </w:tabs>
              <w:spacing w:line="240" w:lineRule="auto" w:before="17"/>
              <w:ind w:right="24"/>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(259,590,558)</w:t>
            </w:r>
            <w:r>
              <w:rPr>
                <w:rFonts w:ascii="Arial"/>
                <w:w w:val="95"/>
                <w:sz w:val="22"/>
              </w:rPr>
            </w:r>
            <w:r>
              <w:rPr>
                <w:rFonts w:ascii="Arial"/>
                <w:sz w:val="22"/>
              </w:rPr>
            </w:r>
          </w:p>
        </w:tc>
      </w:tr>
      <w:tr>
        <w:trPr>
          <w:trHeight w:val="419" w:hRule="exact"/>
        </w:trPr>
        <w:tc>
          <w:tcPr>
            <w:tcW w:w="4371"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2"/>
                <w:szCs w:val="22"/>
              </w:rPr>
            </w:pPr>
            <w:r>
              <w:rPr>
                <w:rFonts w:ascii="宋体" w:hAnsi="宋体" w:cs="宋体" w:eastAsia="宋体" w:hint="default"/>
                <w:sz w:val="22"/>
                <w:szCs w:val="22"/>
              </w:rPr>
              <w:t>净利息支出</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124"/>
              <w:jc w:val="right"/>
              <w:rPr>
                <w:rFonts w:ascii="Arial" w:hAnsi="Arial" w:cs="Arial" w:eastAsia="Arial" w:hint="default"/>
                <w:sz w:val="22"/>
                <w:szCs w:val="22"/>
              </w:rPr>
            </w:pPr>
            <w:r>
              <w:rPr>
                <w:rFonts w:ascii="Arial"/>
                <w:w w:val="95"/>
                <w:sz w:val="22"/>
              </w:rPr>
              <w:t>823,640,299</w:t>
            </w:r>
            <w:r>
              <w:rPr>
                <w:rFonts w:ascii="Arial"/>
                <w:sz w:val="22"/>
              </w:rPr>
            </w:r>
          </w:p>
        </w:tc>
        <w:tc>
          <w:tcPr>
            <w:tcW w:w="191" w:type="dxa"/>
            <w:tcBorders>
              <w:top w:val="nil" w:sz="6" w:space="0" w:color="auto"/>
              <w:left w:val="nil" w:sz="6" w:space="0" w:color="auto"/>
              <w:bottom w:val="nil" w:sz="6" w:space="0" w:color="auto"/>
              <w:right w:val="nil" w:sz="6" w:space="0" w:color="auto"/>
            </w:tcBorders>
          </w:tcPr>
          <w:p>
            <w:pP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151"/>
              <w:ind w:right="97"/>
              <w:jc w:val="right"/>
              <w:rPr>
                <w:rFonts w:ascii="Arial" w:hAnsi="Arial" w:cs="Arial" w:eastAsia="Arial" w:hint="default"/>
                <w:sz w:val="22"/>
                <w:szCs w:val="22"/>
              </w:rPr>
            </w:pPr>
            <w:r>
              <w:rPr>
                <w:rFonts w:ascii="Arial"/>
                <w:spacing w:val="-1"/>
                <w:sz w:val="22"/>
              </w:rPr>
              <w:t>2,475,796,062</w:t>
            </w:r>
          </w:p>
        </w:tc>
      </w:tr>
      <w:tr>
        <w:trPr>
          <w:trHeight w:val="285" w:hRule="exact"/>
        </w:trPr>
        <w:tc>
          <w:tcPr>
            <w:tcW w:w="4371"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减：利息收入</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52"/>
              <w:jc w:val="right"/>
              <w:rPr>
                <w:rFonts w:ascii="Arial" w:hAnsi="Arial" w:cs="Arial" w:eastAsia="Arial" w:hint="default"/>
                <w:sz w:val="22"/>
                <w:szCs w:val="22"/>
              </w:rPr>
            </w:pPr>
            <w:r>
              <w:rPr>
                <w:rFonts w:ascii="Arial"/>
                <w:w w:val="95"/>
                <w:sz w:val="22"/>
              </w:rPr>
              <w:t>(91,998,538)</w:t>
            </w:r>
            <w:r>
              <w:rPr>
                <w:rFonts w:ascii="Arial"/>
                <w:sz w:val="22"/>
              </w:rPr>
            </w:r>
          </w:p>
        </w:tc>
        <w:tc>
          <w:tcPr>
            <w:tcW w:w="191" w:type="dxa"/>
            <w:tcBorders>
              <w:top w:val="nil" w:sz="6" w:space="0" w:color="auto"/>
              <w:left w:val="nil" w:sz="6" w:space="0" w:color="auto"/>
              <w:bottom w:val="nil" w:sz="6" w:space="0" w:color="auto"/>
              <w:right w:val="nil" w:sz="6" w:space="0" w:color="auto"/>
            </w:tcBorders>
          </w:tcPr>
          <w:p>
            <w:pP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4"/>
              <w:jc w:val="right"/>
              <w:rPr>
                <w:rFonts w:ascii="Arial" w:hAnsi="Arial" w:cs="Arial" w:eastAsia="Arial" w:hint="default"/>
                <w:sz w:val="22"/>
                <w:szCs w:val="22"/>
              </w:rPr>
            </w:pPr>
            <w:r>
              <w:rPr>
                <w:rFonts w:ascii="Arial"/>
                <w:w w:val="95"/>
                <w:sz w:val="22"/>
              </w:rPr>
              <w:t>(265,143,035)</w:t>
            </w:r>
            <w:r>
              <w:rPr>
                <w:rFonts w:ascii="Arial"/>
                <w:sz w:val="22"/>
              </w:rPr>
            </w:r>
          </w:p>
        </w:tc>
      </w:tr>
      <w:tr>
        <w:trPr>
          <w:trHeight w:val="285" w:hRule="exact"/>
        </w:trPr>
        <w:tc>
          <w:tcPr>
            <w:tcW w:w="4371" w:type="dxa"/>
            <w:tcBorders>
              <w:top w:val="nil" w:sz="6" w:space="0" w:color="auto"/>
              <w:left w:val="nil" w:sz="6" w:space="0" w:color="auto"/>
              <w:bottom w:val="nil" w:sz="6" w:space="0" w:color="auto"/>
              <w:right w:val="nil" w:sz="6" w:space="0" w:color="auto"/>
            </w:tcBorders>
          </w:tcPr>
          <w:p>
            <w:pPr>
              <w:pStyle w:val="TableParagraph"/>
              <w:spacing w:line="239" w:lineRule="exact"/>
              <w:ind w:left="455" w:right="0"/>
              <w:jc w:val="left"/>
              <w:rPr>
                <w:rFonts w:ascii="宋体" w:hAnsi="宋体" w:cs="宋体" w:eastAsia="宋体" w:hint="default"/>
                <w:sz w:val="22"/>
                <w:szCs w:val="22"/>
              </w:rPr>
            </w:pPr>
            <w:r>
              <w:rPr>
                <w:rFonts w:ascii="宋体" w:hAnsi="宋体" w:cs="宋体" w:eastAsia="宋体" w:hint="default"/>
                <w:sz w:val="22"/>
                <w:szCs w:val="22"/>
              </w:rPr>
              <w:t>汇兑净损失（收益）</w:t>
            </w:r>
          </w:p>
        </w:tc>
        <w:tc>
          <w:tcPr>
            <w:tcW w:w="225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25"/>
              <w:jc w:val="right"/>
              <w:rPr>
                <w:rFonts w:ascii="Arial" w:hAnsi="Arial" w:cs="Arial" w:eastAsia="Arial" w:hint="default"/>
                <w:sz w:val="22"/>
                <w:szCs w:val="22"/>
              </w:rPr>
            </w:pPr>
            <w:r>
              <w:rPr>
                <w:rFonts w:ascii="Arial"/>
                <w:w w:val="95"/>
                <w:sz w:val="22"/>
              </w:rPr>
              <w:t>14,581,533</w:t>
            </w:r>
            <w:r>
              <w:rPr>
                <w:rFonts w:ascii="Arial"/>
                <w:sz w:val="22"/>
              </w:rPr>
            </w:r>
          </w:p>
        </w:tc>
        <w:tc>
          <w:tcPr>
            <w:tcW w:w="191" w:type="dxa"/>
            <w:tcBorders>
              <w:top w:val="nil" w:sz="6" w:space="0" w:color="auto"/>
              <w:left w:val="nil" w:sz="6" w:space="0" w:color="auto"/>
              <w:bottom w:val="nil" w:sz="6" w:space="0" w:color="auto"/>
              <w:right w:val="nil" w:sz="6" w:space="0" w:color="auto"/>
            </w:tcBorders>
          </w:tcPr>
          <w:p>
            <w:pPr/>
          </w:p>
        </w:tc>
        <w:tc>
          <w:tcPr>
            <w:tcW w:w="2231"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4"/>
              <w:jc w:val="right"/>
              <w:rPr>
                <w:rFonts w:ascii="Arial" w:hAnsi="Arial" w:cs="Arial" w:eastAsia="Arial" w:hint="default"/>
                <w:sz w:val="22"/>
                <w:szCs w:val="22"/>
              </w:rPr>
            </w:pPr>
            <w:r>
              <w:rPr>
                <w:rFonts w:ascii="Arial"/>
                <w:w w:val="95"/>
                <w:sz w:val="22"/>
              </w:rPr>
              <w:t>(269,786,699)</w:t>
            </w:r>
            <w:r>
              <w:rPr>
                <w:rFonts w:ascii="Arial"/>
                <w:sz w:val="22"/>
              </w:rPr>
            </w:r>
          </w:p>
        </w:tc>
      </w:tr>
      <w:tr>
        <w:trPr>
          <w:trHeight w:val="420" w:hRule="exact"/>
        </w:trPr>
        <w:tc>
          <w:tcPr>
            <w:tcW w:w="4371"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金融机构手续费及其他</w:t>
            </w:r>
          </w:p>
        </w:tc>
        <w:tc>
          <w:tcPr>
            <w:tcW w:w="2258" w:type="dxa"/>
            <w:tcBorders>
              <w:top w:val="nil" w:sz="6" w:space="0" w:color="auto"/>
              <w:left w:val="nil" w:sz="6" w:space="0" w:color="auto"/>
              <w:bottom w:val="nil" w:sz="6" w:space="0" w:color="auto"/>
              <w:right w:val="nil" w:sz="6" w:space="0" w:color="auto"/>
            </w:tcBorders>
          </w:tcPr>
          <w:p>
            <w:pPr>
              <w:pStyle w:val="TableParagraph"/>
              <w:tabs>
                <w:tab w:pos="900" w:val="left" w:leader="none"/>
                <w:tab w:pos="2243"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197,294,839</w:t>
            </w:r>
            <w:r>
              <w:rPr>
                <w:rFonts w:ascii="Arial"/>
                <w:sz w:val="22"/>
                <w:u w:val="single" w:color="000000"/>
              </w:rPr>
              <w:tab/>
            </w:r>
            <w:r>
              <w:rPr>
                <w:rFonts w:ascii="Arial"/>
                <w:sz w:val="22"/>
              </w:rPr>
            </w:r>
          </w:p>
        </w:tc>
        <w:tc>
          <w:tcPr>
            <w:tcW w:w="191" w:type="dxa"/>
            <w:tcBorders>
              <w:top w:val="nil" w:sz="6" w:space="0" w:color="auto"/>
              <w:left w:val="nil" w:sz="6" w:space="0" w:color="auto"/>
              <w:bottom w:val="nil" w:sz="6" w:space="0" w:color="auto"/>
              <w:right w:val="nil" w:sz="6" w:space="0" w:color="auto"/>
            </w:tcBorders>
          </w:tcPr>
          <w:p>
            <w:pPr/>
          </w:p>
        </w:tc>
        <w:tc>
          <w:tcPr>
            <w:tcW w:w="2231" w:type="dxa"/>
            <w:tcBorders>
              <w:top w:val="nil" w:sz="6" w:space="0" w:color="auto"/>
              <w:left w:val="nil" w:sz="6" w:space="0" w:color="auto"/>
              <w:bottom w:val="nil" w:sz="6" w:space="0" w:color="auto"/>
              <w:right w:val="nil" w:sz="6" w:space="0" w:color="auto"/>
            </w:tcBorders>
          </w:tcPr>
          <w:p>
            <w:pPr>
              <w:pStyle w:val="TableParagraph"/>
              <w:tabs>
                <w:tab w:pos="900" w:val="left" w:leader="none"/>
                <w:tab w:pos="2216"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214,711,496</w:t>
            </w:r>
            <w:r>
              <w:rPr>
                <w:rFonts w:ascii="Arial"/>
                <w:sz w:val="22"/>
                <w:u w:val="single" w:color="000000"/>
              </w:rPr>
              <w:tab/>
            </w:r>
            <w:r>
              <w:rPr>
                <w:rFonts w:ascii="Arial"/>
                <w:sz w:val="22"/>
              </w:rPr>
            </w:r>
          </w:p>
        </w:tc>
      </w:tr>
      <w:tr>
        <w:trPr>
          <w:trHeight w:val="430" w:hRule="exact"/>
        </w:trPr>
        <w:tc>
          <w:tcPr>
            <w:tcW w:w="4371"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258"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124"/>
              <w:jc w:val="right"/>
              <w:rPr>
                <w:rFonts w:ascii="Arial" w:hAnsi="Arial" w:cs="Arial" w:eastAsia="Arial" w:hint="default"/>
                <w:sz w:val="22"/>
                <w:szCs w:val="22"/>
              </w:rPr>
            </w:pPr>
            <w:r>
              <w:rPr>
                <w:rFonts w:ascii="Arial"/>
                <w:w w:val="95"/>
                <w:sz w:val="22"/>
              </w:rPr>
              <w:t>943,518,133</w:t>
            </w:r>
            <w:r>
              <w:rPr>
                <w:rFonts w:ascii="Arial"/>
                <w:sz w:val="22"/>
              </w:rPr>
            </w:r>
          </w:p>
        </w:tc>
        <w:tc>
          <w:tcPr>
            <w:tcW w:w="191" w:type="dxa"/>
            <w:tcBorders>
              <w:top w:val="nil" w:sz="6" w:space="0" w:color="auto"/>
              <w:left w:val="nil" w:sz="6" w:space="0" w:color="auto"/>
              <w:bottom w:val="nil" w:sz="6" w:space="0" w:color="auto"/>
              <w:right w:val="nil" w:sz="6" w:space="0" w:color="auto"/>
            </w:tcBorders>
          </w:tcPr>
          <w:p>
            <w:pPr/>
          </w:p>
        </w:tc>
        <w:tc>
          <w:tcPr>
            <w:tcW w:w="2231"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97"/>
              <w:jc w:val="right"/>
              <w:rPr>
                <w:rFonts w:ascii="Arial" w:hAnsi="Arial" w:cs="Arial" w:eastAsia="Arial" w:hint="default"/>
                <w:sz w:val="22"/>
                <w:szCs w:val="22"/>
              </w:rPr>
            </w:pPr>
            <w:r>
              <w:rPr>
                <w:rFonts w:ascii="Arial"/>
                <w:spacing w:val="-1"/>
                <w:sz w:val="22"/>
              </w:rPr>
              <w:t>2,155,577,824</w:t>
            </w:r>
          </w:p>
        </w:tc>
      </w:tr>
    </w:tbl>
    <w:p>
      <w:pPr>
        <w:spacing w:line="240" w:lineRule="auto" w:before="7"/>
        <w:rPr>
          <w:rFonts w:ascii="宋体" w:hAnsi="宋体" w:cs="宋体" w:eastAsia="宋体" w:hint="default"/>
          <w:sz w:val="12"/>
          <w:szCs w:val="12"/>
        </w:rPr>
      </w:pPr>
    </w:p>
    <w:p>
      <w:pPr>
        <w:pStyle w:val="BodyText"/>
        <w:spacing w:line="295" w:lineRule="exact" w:before="31"/>
        <w:ind w:left="592" w:right="0"/>
        <w:jc w:val="left"/>
      </w:pPr>
      <w:r>
        <w:rPr/>
        <w:t>于</w:t>
      </w:r>
      <w:r>
        <w:rPr>
          <w:spacing w:val="-57"/>
        </w:rPr>
        <w:t> </w:t>
      </w:r>
      <w:r>
        <w:rPr>
          <w:rFonts w:ascii="Arial" w:hAnsi="Arial" w:cs="Arial" w:eastAsia="Arial" w:hint="default"/>
        </w:rPr>
        <w:t>2009</w:t>
      </w:r>
      <w:r>
        <w:rPr>
          <w:rFonts w:ascii="Arial" w:hAnsi="Arial" w:cs="Arial" w:eastAsia="Arial" w:hint="default"/>
          <w:spacing w:val="-8"/>
        </w:rPr>
        <w:t> </w:t>
      </w:r>
      <w:r>
        <w:rPr/>
        <w:t>年</w:t>
      </w:r>
      <w:r>
        <w:rPr>
          <w:spacing w:val="-57"/>
        </w:rPr>
        <w:t> </w:t>
      </w: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t>日，应收利息款项约人民币</w:t>
      </w:r>
      <w:r>
        <w:rPr>
          <w:spacing w:val="-56"/>
        </w:rPr>
        <w:t> </w:t>
      </w:r>
      <w:r>
        <w:rPr>
          <w:rFonts w:ascii="Arial" w:hAnsi="Arial" w:cs="Arial" w:eastAsia="Arial" w:hint="default"/>
        </w:rPr>
        <w:t>687.49</w:t>
      </w:r>
      <w:r>
        <w:rPr>
          <w:rFonts w:ascii="Arial" w:hAnsi="Arial" w:cs="Arial" w:eastAsia="Arial" w:hint="default"/>
          <w:spacing w:val="-8"/>
        </w:rPr>
        <w:t> </w:t>
      </w:r>
      <w:r>
        <w:rPr>
          <w:spacing w:val="-3"/>
        </w:rPr>
        <w:t>万元（</w:t>
      </w:r>
      <w:r>
        <w:rPr>
          <w:rFonts w:ascii="Arial" w:hAnsi="Arial" w:cs="Arial" w:eastAsia="Arial" w:hint="default"/>
          <w:spacing w:val="-3"/>
        </w:rPr>
        <w:t>2008</w:t>
      </w:r>
      <w:r>
        <w:rPr>
          <w:rFonts w:ascii="Arial" w:hAnsi="Arial" w:cs="Arial" w:eastAsia="Arial" w:hint="default"/>
          <w:spacing w:val="-8"/>
        </w:rPr>
        <w:t> </w:t>
      </w:r>
      <w:r>
        <w:rPr/>
        <w:t>年</w:t>
      </w:r>
      <w:r>
        <w:rPr>
          <w:spacing w:val="-57"/>
        </w:rPr>
        <w:t> </w:t>
      </w: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spacing w:val="-3"/>
        </w:rPr>
        <w:t>日：约人民币</w:t>
      </w:r>
    </w:p>
    <w:p>
      <w:pPr>
        <w:pStyle w:val="BodyText"/>
        <w:spacing w:line="295" w:lineRule="exact"/>
        <w:ind w:left="591" w:right="125"/>
        <w:jc w:val="left"/>
      </w:pPr>
      <w:r>
        <w:rPr>
          <w:rFonts w:ascii="Arial" w:hAnsi="Arial" w:cs="Arial" w:eastAsia="Arial" w:hint="default"/>
        </w:rPr>
        <w:t>929.86</w:t>
      </w:r>
      <w:r>
        <w:rPr>
          <w:rFonts w:ascii="Arial" w:hAnsi="Arial" w:cs="Arial" w:eastAsia="Arial" w:hint="default"/>
          <w:spacing w:val="-9"/>
        </w:rPr>
        <w:t> </w:t>
      </w:r>
      <w:r>
        <w:rPr/>
        <w:t>万元）。</w:t>
      </w:r>
    </w:p>
    <w:p>
      <w:pPr>
        <w:spacing w:line="240" w:lineRule="auto" w:before="6"/>
        <w:rPr>
          <w:rFonts w:ascii="宋体" w:hAnsi="宋体" w:cs="宋体" w:eastAsia="宋体" w:hint="default"/>
          <w:sz w:val="15"/>
          <w:szCs w:val="15"/>
        </w:rPr>
      </w:pPr>
    </w:p>
    <w:tbl>
      <w:tblPr>
        <w:tblW w:w="0" w:type="auto"/>
        <w:jc w:val="left"/>
        <w:tblInd w:w="107" w:type="dxa"/>
        <w:tblLayout w:type="fixed"/>
        <w:tblCellMar>
          <w:top w:w="0" w:type="dxa"/>
          <w:left w:w="0" w:type="dxa"/>
          <w:bottom w:w="0" w:type="dxa"/>
          <w:right w:w="0" w:type="dxa"/>
        </w:tblCellMar>
        <w:tblLook w:val="01E0"/>
      </w:tblPr>
      <w:tblGrid>
        <w:gridCol w:w="4816"/>
        <w:gridCol w:w="2267"/>
        <w:gridCol w:w="235"/>
        <w:gridCol w:w="2173"/>
      </w:tblGrid>
      <w:tr>
        <w:trPr>
          <w:trHeight w:val="900" w:hRule="exact"/>
        </w:trPr>
        <w:tc>
          <w:tcPr>
            <w:tcW w:w="481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黑体" w:hAnsi="黑体" w:cs="黑体" w:eastAsia="黑体" w:hint="default"/>
                <w:sz w:val="22"/>
                <w:szCs w:val="22"/>
              </w:rPr>
            </w:pPr>
            <w:r>
              <w:rPr>
                <w:rFonts w:ascii="Arial" w:hAnsi="Arial" w:cs="Arial" w:eastAsia="Arial" w:hint="default"/>
                <w:sz w:val="22"/>
                <w:szCs w:val="22"/>
              </w:rPr>
              <w:t>40</w:t>
            </w:r>
            <w:r>
              <w:rPr>
                <w:rFonts w:ascii="黑体" w:hAnsi="黑体" w:cs="黑体" w:eastAsia="黑体" w:hint="default"/>
                <w:sz w:val="22"/>
                <w:szCs w:val="22"/>
              </w:rPr>
              <w:t>、公允价值变动收益</w:t>
            </w:r>
          </w:p>
        </w:tc>
        <w:tc>
          <w:tcPr>
            <w:tcW w:w="2267"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98"/>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235" w:type="dxa"/>
            <w:tcBorders>
              <w:top w:val="nil" w:sz="6" w:space="0" w:color="auto"/>
              <w:left w:val="nil" w:sz="6" w:space="0" w:color="auto"/>
              <w:bottom w:val="nil" w:sz="6" w:space="0" w:color="auto"/>
              <w:right w:val="nil" w:sz="6" w:space="0" w:color="auto"/>
            </w:tcBorders>
          </w:tcPr>
          <w:p>
            <w:pPr/>
          </w:p>
        </w:tc>
        <w:tc>
          <w:tcPr>
            <w:tcW w:w="2173"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99"/>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569" w:hRule="exact"/>
        </w:trPr>
        <w:tc>
          <w:tcPr>
            <w:tcW w:w="481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578" w:right="0"/>
              <w:jc w:val="left"/>
              <w:rPr>
                <w:rFonts w:ascii="宋体" w:hAnsi="宋体" w:cs="宋体" w:eastAsia="宋体" w:hint="default"/>
                <w:sz w:val="22"/>
                <w:szCs w:val="22"/>
              </w:rPr>
            </w:pPr>
            <w:r>
              <w:rPr>
                <w:rFonts w:ascii="宋体" w:hAnsi="宋体" w:cs="宋体" w:eastAsia="宋体" w:hint="default"/>
                <w:sz w:val="22"/>
                <w:szCs w:val="22"/>
              </w:rPr>
              <w:t>衍生工具公允价值变动（附注五</w:t>
            </w:r>
            <w:r>
              <w:rPr>
                <w:rFonts w:ascii="Arial" w:hAnsi="Arial" w:cs="Arial" w:eastAsia="Arial" w:hint="default"/>
                <w:sz w:val="22"/>
                <w:szCs w:val="22"/>
              </w:rPr>
              <w:t>(7)</w:t>
            </w:r>
            <w:r>
              <w:rPr>
                <w:rFonts w:ascii="宋体" w:hAnsi="宋体" w:cs="宋体" w:eastAsia="宋体" w:hint="default"/>
                <w:sz w:val="22"/>
                <w:szCs w:val="22"/>
              </w:rPr>
              <w:t>）</w:t>
            </w:r>
          </w:p>
        </w:tc>
        <w:tc>
          <w:tcPr>
            <w:tcW w:w="2267" w:type="dxa"/>
            <w:tcBorders>
              <w:top w:val="single" w:sz="6" w:space="0" w:color="000000"/>
              <w:left w:val="nil" w:sz="6" w:space="0" w:color="auto"/>
              <w:bottom w:val="single" w:sz="17"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99"/>
              <w:jc w:val="right"/>
              <w:rPr>
                <w:rFonts w:ascii="Arial" w:hAnsi="Arial" w:cs="Arial" w:eastAsia="Arial" w:hint="default"/>
                <w:sz w:val="22"/>
                <w:szCs w:val="22"/>
              </w:rPr>
            </w:pPr>
            <w:r>
              <w:rPr>
                <w:rFonts w:ascii="Arial"/>
                <w:spacing w:val="-1"/>
                <w:sz w:val="22"/>
              </w:rPr>
              <w:t>1,239,125,224</w:t>
            </w:r>
          </w:p>
        </w:tc>
        <w:tc>
          <w:tcPr>
            <w:tcW w:w="235" w:type="dxa"/>
            <w:tcBorders>
              <w:top w:val="nil" w:sz="6" w:space="0" w:color="auto"/>
              <w:left w:val="nil" w:sz="6" w:space="0" w:color="auto"/>
              <w:bottom w:val="nil" w:sz="6" w:space="0" w:color="auto"/>
              <w:right w:val="nil" w:sz="6" w:space="0" w:color="auto"/>
            </w:tcBorders>
          </w:tcPr>
          <w:p>
            <w:pPr/>
          </w:p>
        </w:tc>
        <w:tc>
          <w:tcPr>
            <w:tcW w:w="2173" w:type="dxa"/>
            <w:tcBorders>
              <w:top w:val="single" w:sz="6" w:space="0" w:color="000000"/>
              <w:left w:val="nil" w:sz="6" w:space="0" w:color="auto"/>
              <w:bottom w:val="single" w:sz="17" w:space="0" w:color="000000"/>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99"/>
              <w:jc w:val="right"/>
              <w:rPr>
                <w:rFonts w:ascii="Arial" w:hAnsi="Arial" w:cs="Arial" w:eastAsia="Arial" w:hint="default"/>
                <w:sz w:val="22"/>
                <w:szCs w:val="22"/>
              </w:rPr>
            </w:pPr>
            <w:r>
              <w:rPr>
                <w:rFonts w:ascii="Arial"/>
                <w:w w:val="99"/>
                <w:sz w:val="22"/>
              </w:rPr>
              <w:t>-</w:t>
            </w:r>
            <w:r>
              <w:rPr>
                <w:rFonts w:ascii="Arial"/>
                <w:sz w:val="22"/>
              </w:rPr>
            </w:r>
          </w:p>
        </w:tc>
      </w:tr>
    </w:tbl>
    <w:p>
      <w:pPr>
        <w:spacing w:line="240" w:lineRule="auto" w:before="7"/>
        <w:rPr>
          <w:rFonts w:ascii="宋体" w:hAnsi="宋体" w:cs="宋体" w:eastAsia="宋体" w:hint="default"/>
          <w:sz w:val="12"/>
          <w:szCs w:val="12"/>
        </w:rPr>
      </w:pPr>
    </w:p>
    <w:p>
      <w:pPr>
        <w:pStyle w:val="BodyText"/>
        <w:spacing w:line="240" w:lineRule="auto" w:before="31"/>
        <w:ind w:left="142" w:right="125"/>
        <w:jc w:val="left"/>
        <w:rPr>
          <w:rFonts w:ascii="黑体" w:hAnsi="黑体" w:cs="黑体" w:eastAsia="黑体" w:hint="default"/>
        </w:rPr>
      </w:pPr>
      <w:r>
        <w:rPr>
          <w:rFonts w:ascii="Arial" w:hAnsi="Arial" w:cs="Arial" w:eastAsia="Arial" w:hint="default"/>
        </w:rPr>
        <w:t>41</w:t>
      </w:r>
      <w:r>
        <w:rPr>
          <w:rFonts w:ascii="黑体" w:hAnsi="黑体" w:cs="黑体" w:eastAsia="黑体" w:hint="default"/>
        </w:rPr>
        <w:t>、投资收益</w:t>
      </w:r>
    </w:p>
    <w:p>
      <w:pPr>
        <w:spacing w:line="240" w:lineRule="auto" w:before="13"/>
        <w:rPr>
          <w:rFonts w:ascii="黑体" w:hAnsi="黑体" w:cs="黑体" w:eastAsia="黑体" w:hint="default"/>
          <w:sz w:val="17"/>
          <w:szCs w:val="17"/>
        </w:rPr>
      </w:pPr>
    </w:p>
    <w:p>
      <w:pPr>
        <w:pStyle w:val="BodyText"/>
        <w:tabs>
          <w:tab w:pos="8468" w:val="left" w:leader="none"/>
        </w:tabs>
        <w:spacing w:line="302" w:lineRule="exact"/>
        <w:ind w:left="6113" w:right="125"/>
        <w:jc w:val="left"/>
      </w:pPr>
      <w:r>
        <w:rPr>
          <w:rFonts w:ascii="Arial" w:hAnsi="Arial" w:cs="Arial" w:eastAsia="Arial" w:hint="default"/>
        </w:rPr>
        <w:t>2009</w:t>
      </w:r>
      <w:r>
        <w:rPr>
          <w:rFonts w:ascii="Arial" w:hAnsi="Arial" w:cs="Arial" w:eastAsia="Arial" w:hint="default"/>
          <w:spacing w:val="-8"/>
        </w:rPr>
        <w:t> </w:t>
      </w:r>
      <w:r>
        <w:rPr/>
        <w:t>年度</w:t>
        <w:tab/>
      </w:r>
      <w:r>
        <w:rPr>
          <w:rFonts w:ascii="Arial" w:hAnsi="Arial" w:cs="Arial" w:eastAsia="Arial" w:hint="default"/>
        </w:rPr>
        <w:t>2008</w:t>
      </w:r>
      <w:r>
        <w:rPr>
          <w:rFonts w:ascii="Arial" w:hAnsi="Arial" w:cs="Arial" w:eastAsia="Arial" w:hint="default"/>
          <w:spacing w:val="-8"/>
        </w:rPr>
        <w:t> </w:t>
      </w:r>
      <w:r>
        <w:rPr/>
        <w:t>年度</w:t>
      </w:r>
    </w:p>
    <w:p>
      <w:pPr>
        <w:tabs>
          <w:tab w:pos="7427" w:val="left" w:leader="none"/>
        </w:tabs>
        <w:spacing w:line="20" w:lineRule="exact"/>
        <w:ind w:left="4916" w:right="0" w:firstLine="0"/>
        <w:rPr>
          <w:rFonts w:ascii="宋体" w:hAnsi="宋体" w:cs="宋体" w:eastAsia="宋体" w:hint="default"/>
          <w:sz w:val="2"/>
          <w:szCs w:val="2"/>
        </w:rPr>
      </w:pPr>
      <w:r>
        <w:rPr>
          <w:rFonts w:ascii="宋体"/>
          <w:sz w:val="2"/>
        </w:rPr>
        <w:pict>
          <v:group style="width:114.5pt;height:.75pt;mso-position-horizontal-relative:char;mso-position-vertical-relative:line" coordorigin="0,0" coordsize="2290,15">
            <v:group style="position:absolute;left:7;top:7;width:2276;height:2" coordorigin="7,7" coordsize="2276,2">
              <v:shape style="position:absolute;left:7;top:7;width:2276;height:2" coordorigin="7,7" coordsize="2276,0" path="m7,7l2282,7e" filled="false" stroked="true" strokeweight=".72pt" strokecolor="#000000">
                <v:path arrowok="t"/>
              </v:shape>
            </v:group>
          </v:group>
        </w:pict>
      </w:r>
      <w:r>
        <w:rPr>
          <w:rFonts w:ascii="宋体"/>
          <w:sz w:val="2"/>
        </w:rPr>
      </w:r>
      <w:r>
        <w:rPr>
          <w:rFonts w:ascii="宋体"/>
          <w:sz w:val="2"/>
        </w:rPr>
        <w:tab/>
      </w:r>
      <w:r>
        <w:rPr>
          <w:rFonts w:ascii="宋体"/>
          <w:sz w:val="2"/>
        </w:rPr>
        <w:pict>
          <v:group style="width:106.65pt;height:.75pt;mso-position-horizontal-relative:char;mso-position-vertical-relative:line" coordorigin="0,0" coordsize="2133,15">
            <v:group style="position:absolute;left:7;top:7;width:2118;height:2" coordorigin="7,7" coordsize="2118,2">
              <v:shape style="position:absolute;left:7;top:7;width:2118;height:2" coordorigin="7,7" coordsize="2118,0" path="m7,7l2125,7e" filled="false" stroked="true" strokeweight=".72pt" strokecolor="#000000">
                <v:path arrowok="t"/>
              </v:shape>
            </v:group>
          </v:group>
        </w:pict>
      </w:r>
      <w:r>
        <w:rPr>
          <w:rFonts w:ascii="宋体"/>
          <w:sz w:val="2"/>
        </w:rPr>
      </w:r>
    </w:p>
    <w:p>
      <w:pPr>
        <w:pStyle w:val="BodyText"/>
        <w:tabs>
          <w:tab w:pos="4923" w:val="left" w:leader="none"/>
          <w:tab w:pos="6033" w:val="left" w:leader="none"/>
          <w:tab w:pos="8444" w:val="left" w:leader="none"/>
        </w:tabs>
        <w:spacing w:line="223" w:lineRule="auto"/>
        <w:ind w:left="604" w:right="169" w:firstLine="7719"/>
        <w:jc w:val="both"/>
        <w:rPr>
          <w:rFonts w:ascii="Arial" w:hAnsi="Arial" w:cs="Arial" w:eastAsia="Arial" w:hint="default"/>
        </w:rPr>
      </w:pPr>
      <w:r>
        <w:rPr/>
        <w:t>（经重列）</w:t>
      </w:r>
      <w:r>
        <w:rPr>
          <w:w w:val="99"/>
        </w:rPr>
        <w:t> </w:t>
      </w:r>
      <w:r>
        <w:rPr>
          <w:position w:val="2"/>
        </w:rPr>
        <w:t>持有可供出售金融资产期间取得的股利收益        </w:t>
      </w:r>
      <w:r>
        <w:rPr>
          <w:spacing w:val="84"/>
          <w:position w:val="2"/>
        </w:rPr>
        <w:t> </w:t>
      </w:r>
      <w:r>
        <w:rPr>
          <w:rFonts w:ascii="Arial" w:hAnsi="Arial" w:cs="Arial" w:eastAsia="Arial" w:hint="default"/>
        </w:rPr>
        <w:t>214,566,763</w:t>
        <w:tab/>
        <w:t>3,175,523</w:t>
      </w:r>
      <w:r>
        <w:rPr>
          <w:rFonts w:ascii="Arial" w:hAnsi="Arial" w:cs="Arial" w:eastAsia="Arial" w:hint="default"/>
          <w:w w:val="99"/>
        </w:rPr>
        <w:t> </w:t>
      </w:r>
      <w:r>
        <w:rPr>
          <w:w w:val="95"/>
          <w:position w:val="2"/>
        </w:rPr>
        <w:t>其他</w:t>
        <w:tab/>
      </w:r>
      <w:r>
        <w:rPr>
          <w:rFonts w:ascii="Arial" w:hAnsi="Arial" w:cs="Arial" w:eastAsia="Arial" w:hint="default"/>
          <w:w w:val="95"/>
        </w:rPr>
      </w:r>
      <w:r>
        <w:rPr>
          <w:rFonts w:ascii="Arial" w:hAnsi="Arial" w:cs="Arial" w:eastAsia="Arial" w:hint="default"/>
          <w:w w:val="95"/>
          <w:u w:val="single" w:color="000000"/>
        </w:rPr>
        <w:t> </w:t>
        <w:tab/>
        <w:t>(2,409,715)</w:t>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1,389,425 </w:t>
      </w:r>
      <w:r>
        <w:rPr>
          <w:rFonts w:ascii="Arial" w:hAnsi="Arial" w:cs="Arial" w:eastAsia="Arial" w:hint="default"/>
          <w:spacing w:val="6"/>
          <w:u w:val="single" w:color="000000"/>
        </w:rPr>
        <w:t> </w:t>
      </w:r>
      <w:r>
        <w:rPr>
          <w:rFonts w:ascii="Arial" w:hAnsi="Arial" w:cs="Arial" w:eastAsia="Arial" w:hint="default"/>
          <w:spacing w:val="6"/>
        </w:rPr>
      </w:r>
      <w:r>
        <w:rPr>
          <w:rFonts w:ascii="Arial" w:hAnsi="Arial" w:cs="Arial" w:eastAsia="Arial" w:hint="default"/>
        </w:rPr>
      </w:r>
    </w:p>
    <w:p>
      <w:pPr>
        <w:spacing w:line="240" w:lineRule="auto" w:before="10"/>
        <w:rPr>
          <w:rFonts w:ascii="Arial" w:hAnsi="Arial" w:cs="Arial" w:eastAsia="Arial" w:hint="default"/>
          <w:sz w:val="17"/>
          <w:szCs w:val="17"/>
        </w:rPr>
      </w:pPr>
    </w:p>
    <w:p>
      <w:pPr>
        <w:pStyle w:val="BodyText"/>
        <w:tabs>
          <w:tab w:pos="5862" w:val="left" w:leader="none"/>
          <w:tab w:pos="8444" w:val="left" w:leader="none"/>
        </w:tabs>
        <w:spacing w:line="240" w:lineRule="auto" w:before="27"/>
        <w:ind w:left="604" w:right="125"/>
        <w:jc w:val="left"/>
        <w:rPr>
          <w:rFonts w:ascii="Arial" w:hAnsi="Arial" w:cs="Arial" w:eastAsia="Arial" w:hint="default"/>
        </w:rPr>
      </w:pPr>
      <w:r>
        <w:rPr>
          <w:w w:val="95"/>
          <w:position w:val="2"/>
        </w:rPr>
        <w:t>合计</w:t>
        <w:tab/>
      </w:r>
      <w:r>
        <w:rPr>
          <w:rFonts w:ascii="Arial" w:hAnsi="Arial" w:cs="Arial" w:eastAsia="Arial" w:hint="default"/>
          <w:w w:val="95"/>
        </w:rPr>
        <w:t>212,157,048</w:t>
        <w:tab/>
      </w:r>
      <w:r>
        <w:rPr>
          <w:rFonts w:ascii="Arial" w:hAnsi="Arial" w:cs="Arial" w:eastAsia="Arial" w:hint="default"/>
        </w:rPr>
        <w:t>4,564,948</w:t>
      </w:r>
    </w:p>
    <w:p>
      <w:pPr>
        <w:tabs>
          <w:tab w:pos="7420" w:val="left" w:leader="none"/>
        </w:tabs>
        <w:spacing w:line="43" w:lineRule="exact"/>
        <w:ind w:left="4908" w:right="0" w:firstLine="0"/>
        <w:rPr>
          <w:rFonts w:ascii="Arial" w:hAnsi="Arial" w:cs="Arial" w:eastAsia="Arial" w:hint="default"/>
          <w:sz w:val="4"/>
          <w:szCs w:val="4"/>
        </w:rPr>
      </w:pPr>
      <w:r>
        <w:rPr>
          <w:rFonts w:ascii="Arial"/>
          <w:position w:val="0"/>
          <w:sz w:val="4"/>
        </w:rPr>
        <w:pict>
          <v:group style="width:115.2pt;height:2.2pt;mso-position-horizontal-relative:char;mso-position-vertical-relative:line" coordorigin="0,0" coordsize="2304,44">
            <v:group style="position:absolute;left:7;top:36;width:2290;height:2" coordorigin="7,36" coordsize="2290,2">
              <v:shape style="position:absolute;left:7;top:36;width:2290;height:2" coordorigin="7,36" coordsize="2290,0" path="m7,36l2297,36e" filled="false" stroked="true" strokeweight=".72pt" strokecolor="#000000">
                <v:path arrowok="t"/>
              </v:shape>
            </v:group>
            <v:group style="position:absolute;left:7;top:7;width:2290;height:2" coordorigin="7,7" coordsize="2290,2">
              <v:shape style="position:absolute;left:7;top:7;width:2290;height:2" coordorigin="7,7" coordsize="2290,0" path="m7,7l2297,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107.35pt;height:2.2pt;mso-position-horizontal-relative:char;mso-position-vertical-relative:line" coordorigin="0,0" coordsize="2147,44">
            <v:group style="position:absolute;left:7;top:36;width:2133;height:2" coordorigin="7,36" coordsize="2133,2">
              <v:shape style="position:absolute;left:7;top:36;width:2133;height:2" coordorigin="7,36" coordsize="2133,0" path="m7,36l2140,36e" filled="false" stroked="true" strokeweight=".72pt" strokecolor="#000000">
                <v:path arrowok="t"/>
              </v:shape>
            </v:group>
            <v:group style="position:absolute;left:7;top:7;width:2133;height:2" coordorigin="7,7" coordsize="2133,2">
              <v:shape style="position:absolute;left:7;top:7;width:2133;height:2" coordorigin="7,7" coordsize="2133,0" path="m7,7l2140,7e" filled="false" stroked="true" strokeweight=".72pt" strokecolor="#000000">
                <v:path arrowok="t"/>
              </v:shape>
            </v:group>
          </v:group>
        </w:pict>
      </w:r>
      <w:r>
        <w:rPr>
          <w:rFonts w:ascii="Arial"/>
          <w:position w:val="0"/>
          <w:sz w:val="4"/>
        </w:rPr>
      </w:r>
    </w:p>
    <w:p>
      <w:pPr>
        <w:spacing w:line="240" w:lineRule="auto" w:before="8"/>
        <w:rPr>
          <w:rFonts w:ascii="Arial" w:hAnsi="Arial" w:cs="Arial" w:eastAsia="Arial" w:hint="default"/>
          <w:sz w:val="16"/>
          <w:szCs w:val="16"/>
        </w:rPr>
      </w:pPr>
    </w:p>
    <w:p>
      <w:pPr>
        <w:pStyle w:val="BodyText"/>
        <w:spacing w:line="434" w:lineRule="auto" w:before="26"/>
        <w:ind w:left="592" w:right="3902"/>
        <w:jc w:val="left"/>
      </w:pPr>
      <w:r>
        <w:rPr/>
        <w:t>本集团不存在投资收益汇回的重大限制</w:t>
      </w:r>
      <w:r>
        <w:rPr>
          <w:sz w:val="24"/>
          <w:szCs w:val="24"/>
        </w:rPr>
        <w:t>。</w:t>
      </w:r>
      <w:r>
        <w:rPr>
          <w:sz w:val="24"/>
          <w:szCs w:val="24"/>
        </w:rPr>
        <w:t> </w:t>
      </w:r>
      <w:r>
        <w:rPr/>
        <w:t>无投资收益占本集团利润总额</w:t>
      </w:r>
      <w:r>
        <w:rPr>
          <w:spacing w:val="-58"/>
        </w:rPr>
        <w:t> </w:t>
      </w:r>
      <w:r>
        <w:rPr>
          <w:rFonts w:ascii="Arial" w:hAnsi="Arial" w:cs="Arial" w:eastAsia="Arial" w:hint="default"/>
        </w:rPr>
        <w:t>5%</w:t>
      </w:r>
      <w:r>
        <w:rPr/>
        <w:t>以上的被投资单位。</w:t>
      </w:r>
    </w:p>
    <w:p>
      <w:pPr>
        <w:spacing w:after="0" w:line="434" w:lineRule="auto"/>
        <w:jc w:val="left"/>
        <w:sectPr>
          <w:headerReference w:type="default" r:id="rId115"/>
          <w:pgSz w:w="11910" w:h="16840"/>
          <w:pgMar w:header="1189" w:footer="752" w:top="4160" w:bottom="940" w:left="1240" w:right="940"/>
        </w:sectPr>
      </w:pPr>
    </w:p>
    <w:tbl>
      <w:tblPr>
        <w:tblW w:w="0" w:type="auto"/>
        <w:jc w:val="left"/>
        <w:tblInd w:w="515" w:type="dxa"/>
        <w:tblLayout w:type="fixed"/>
        <w:tblCellMar>
          <w:top w:w="0" w:type="dxa"/>
          <w:left w:w="0" w:type="dxa"/>
          <w:bottom w:w="0" w:type="dxa"/>
          <w:right w:w="0" w:type="dxa"/>
        </w:tblCellMar>
        <w:tblLook w:val="01E0"/>
      </w:tblPr>
      <w:tblGrid>
        <w:gridCol w:w="4378"/>
        <w:gridCol w:w="2244"/>
        <w:gridCol w:w="205"/>
        <w:gridCol w:w="2251"/>
      </w:tblGrid>
      <w:tr>
        <w:trPr>
          <w:trHeight w:val="591" w:hRule="exact"/>
        </w:trPr>
        <w:tc>
          <w:tcPr>
            <w:tcW w:w="437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坏账准备</w:t>
            </w:r>
          </w:p>
        </w:tc>
        <w:tc>
          <w:tcPr>
            <w:tcW w:w="2244" w:type="dxa"/>
            <w:tcBorders>
              <w:top w:val="single" w:sz="6"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32"/>
              <w:jc w:val="right"/>
              <w:rPr>
                <w:rFonts w:ascii="Arial" w:hAnsi="Arial" w:cs="Arial" w:eastAsia="Arial" w:hint="default"/>
                <w:sz w:val="22"/>
                <w:szCs w:val="22"/>
              </w:rPr>
            </w:pPr>
            <w:r>
              <w:rPr>
                <w:rFonts w:ascii="Arial"/>
                <w:spacing w:val="-1"/>
                <w:sz w:val="22"/>
              </w:rPr>
              <w:t>2,355,104,557</w:t>
            </w:r>
          </w:p>
        </w:tc>
        <w:tc>
          <w:tcPr>
            <w:tcW w:w="205" w:type="dxa"/>
            <w:tcBorders>
              <w:top w:val="nil" w:sz="6" w:space="0" w:color="auto"/>
              <w:left w:val="nil" w:sz="6" w:space="0" w:color="auto"/>
              <w:bottom w:val="nil" w:sz="6" w:space="0" w:color="auto"/>
              <w:right w:val="nil" w:sz="6" w:space="0" w:color="auto"/>
            </w:tcBorders>
          </w:tcPr>
          <w:p>
            <w:pPr/>
          </w:p>
        </w:tc>
        <w:tc>
          <w:tcPr>
            <w:tcW w:w="2251" w:type="dxa"/>
            <w:tcBorders>
              <w:top w:val="single" w:sz="6" w:space="0" w:color="000000"/>
              <w:left w:val="nil" w:sz="6" w:space="0" w:color="auto"/>
              <w:bottom w:val="nil" w:sz="6" w:space="0" w:color="auto"/>
              <w:right w:val="nil" w:sz="6" w:space="0" w:color="auto"/>
            </w:tcBorders>
          </w:tcPr>
          <w:p>
            <w:pPr>
              <w:pStyle w:val="TableParagraph"/>
              <w:spacing w:line="245" w:lineRule="exact"/>
              <w:ind w:left="718" w:right="0" w:firstLine="320"/>
              <w:jc w:val="left"/>
              <w:rPr>
                <w:rFonts w:ascii="宋体" w:hAnsi="宋体" w:cs="宋体" w:eastAsia="宋体" w:hint="default"/>
                <w:sz w:val="22"/>
                <w:szCs w:val="22"/>
              </w:rPr>
            </w:pPr>
            <w:r>
              <w:rPr>
                <w:rFonts w:ascii="宋体" w:hAnsi="宋体" w:cs="宋体" w:eastAsia="宋体" w:hint="default"/>
                <w:sz w:val="22"/>
                <w:szCs w:val="22"/>
              </w:rPr>
              <w:t>（经重列）</w:t>
            </w:r>
          </w:p>
          <w:p>
            <w:pPr>
              <w:pStyle w:val="TableParagraph"/>
              <w:spacing w:line="240" w:lineRule="auto" w:before="64"/>
              <w:ind w:left="718" w:right="0"/>
              <w:jc w:val="left"/>
              <w:rPr>
                <w:rFonts w:ascii="Arial" w:hAnsi="Arial" w:cs="Arial" w:eastAsia="Arial" w:hint="default"/>
                <w:sz w:val="22"/>
                <w:szCs w:val="22"/>
              </w:rPr>
            </w:pPr>
            <w:r>
              <w:rPr>
                <w:rFonts w:ascii="Arial"/>
                <w:sz w:val="22"/>
              </w:rPr>
              <w:t>3,024,912,614</w:t>
            </w:r>
          </w:p>
        </w:tc>
      </w:tr>
      <w:tr>
        <w:trPr>
          <w:trHeight w:val="285" w:hRule="exact"/>
        </w:trPr>
        <w:tc>
          <w:tcPr>
            <w:tcW w:w="4378" w:type="dxa"/>
            <w:tcBorders>
              <w:top w:val="nil" w:sz="6" w:space="0" w:color="auto"/>
              <w:left w:val="nil" w:sz="6" w:space="0" w:color="auto"/>
              <w:bottom w:val="nil" w:sz="6" w:space="0" w:color="auto"/>
              <w:right w:val="nil" w:sz="6" w:space="0" w:color="auto"/>
            </w:tcBorders>
          </w:tcPr>
          <w:p>
            <w:pPr>
              <w:pStyle w:val="TableParagraph"/>
              <w:spacing w:line="232" w:lineRule="exact"/>
              <w:ind w:left="35" w:right="0"/>
              <w:jc w:val="left"/>
              <w:rPr>
                <w:rFonts w:ascii="宋体" w:hAnsi="宋体" w:cs="宋体" w:eastAsia="宋体" w:hint="default"/>
                <w:sz w:val="22"/>
                <w:szCs w:val="22"/>
              </w:rPr>
            </w:pPr>
            <w:r>
              <w:rPr>
                <w:rFonts w:ascii="宋体" w:hAnsi="宋体" w:cs="宋体" w:eastAsia="宋体" w:hint="default"/>
                <w:sz w:val="22"/>
                <w:szCs w:val="22"/>
              </w:rPr>
              <w:t>存货跌价准备</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32"/>
              <w:jc w:val="right"/>
              <w:rPr>
                <w:rFonts w:ascii="Arial" w:hAnsi="Arial" w:cs="Arial" w:eastAsia="Arial" w:hint="default"/>
                <w:sz w:val="22"/>
                <w:szCs w:val="22"/>
              </w:rPr>
            </w:pPr>
            <w:r>
              <w:rPr>
                <w:rFonts w:ascii="Arial"/>
                <w:w w:val="95"/>
                <w:sz w:val="22"/>
              </w:rPr>
              <w:t>20,532,379</w:t>
            </w:r>
            <w:r>
              <w:rPr>
                <w:rFonts w:ascii="Arial"/>
                <w:sz w:val="22"/>
              </w:rPr>
            </w:r>
          </w:p>
        </w:tc>
        <w:tc>
          <w:tcPr>
            <w:tcW w:w="205"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23"/>
              <w:jc w:val="right"/>
              <w:rPr>
                <w:rFonts w:ascii="Arial" w:hAnsi="Arial" w:cs="Arial" w:eastAsia="Arial" w:hint="default"/>
                <w:sz w:val="22"/>
                <w:szCs w:val="22"/>
              </w:rPr>
            </w:pPr>
            <w:r>
              <w:rPr>
                <w:rFonts w:ascii="Arial"/>
                <w:w w:val="95"/>
                <w:sz w:val="22"/>
              </w:rPr>
              <w:t>114,029,525</w:t>
            </w:r>
            <w:r>
              <w:rPr>
                <w:rFonts w:ascii="Arial"/>
                <w:sz w:val="22"/>
              </w:rPr>
            </w:r>
          </w:p>
        </w:tc>
      </w:tr>
      <w:tr>
        <w:trPr>
          <w:trHeight w:val="285" w:hRule="exact"/>
        </w:trPr>
        <w:tc>
          <w:tcPr>
            <w:tcW w:w="4378" w:type="dxa"/>
            <w:tcBorders>
              <w:top w:val="nil" w:sz="6" w:space="0" w:color="auto"/>
              <w:left w:val="nil" w:sz="6" w:space="0" w:color="auto"/>
              <w:bottom w:val="nil" w:sz="6" w:space="0" w:color="auto"/>
              <w:right w:val="nil" w:sz="6" w:space="0" w:color="auto"/>
            </w:tcBorders>
          </w:tcPr>
          <w:p>
            <w:pPr>
              <w:pStyle w:val="TableParagraph"/>
              <w:spacing w:line="232" w:lineRule="exact"/>
              <w:ind w:left="35" w:right="0"/>
              <w:jc w:val="left"/>
              <w:rPr>
                <w:rFonts w:ascii="宋体" w:hAnsi="宋体" w:cs="宋体" w:eastAsia="宋体" w:hint="default"/>
                <w:sz w:val="22"/>
                <w:szCs w:val="22"/>
              </w:rPr>
            </w:pPr>
            <w:r>
              <w:rPr>
                <w:rFonts w:ascii="宋体" w:hAnsi="宋体" w:cs="宋体" w:eastAsia="宋体" w:hint="default"/>
                <w:sz w:val="22"/>
                <w:szCs w:val="22"/>
              </w:rPr>
              <w:t>固定资产减值准备</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32"/>
              <w:jc w:val="right"/>
              <w:rPr>
                <w:rFonts w:ascii="Arial" w:hAnsi="Arial" w:cs="Arial" w:eastAsia="Arial" w:hint="default"/>
                <w:sz w:val="22"/>
                <w:szCs w:val="22"/>
              </w:rPr>
            </w:pPr>
            <w:r>
              <w:rPr>
                <w:rFonts w:ascii="Arial"/>
                <w:w w:val="99"/>
                <w:sz w:val="22"/>
              </w:rPr>
              <w:t>-</w:t>
            </w:r>
            <w:r>
              <w:rPr>
                <w:rFonts w:ascii="Arial"/>
                <w:sz w:val="22"/>
              </w:rPr>
            </w:r>
          </w:p>
        </w:tc>
        <w:tc>
          <w:tcPr>
            <w:tcW w:w="205"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24"/>
              <w:jc w:val="right"/>
              <w:rPr>
                <w:rFonts w:ascii="Arial" w:hAnsi="Arial" w:cs="Arial" w:eastAsia="Arial" w:hint="default"/>
                <w:sz w:val="22"/>
                <w:szCs w:val="22"/>
              </w:rPr>
            </w:pPr>
            <w:r>
              <w:rPr>
                <w:rFonts w:ascii="Arial"/>
                <w:spacing w:val="-1"/>
                <w:sz w:val="22"/>
              </w:rPr>
              <w:t>12,242,741,046</w:t>
            </w:r>
          </w:p>
        </w:tc>
      </w:tr>
      <w:tr>
        <w:trPr>
          <w:trHeight w:val="285" w:hRule="exact"/>
        </w:trPr>
        <w:tc>
          <w:tcPr>
            <w:tcW w:w="4378" w:type="dxa"/>
            <w:tcBorders>
              <w:top w:val="nil" w:sz="6" w:space="0" w:color="auto"/>
              <w:left w:val="nil" w:sz="6" w:space="0" w:color="auto"/>
              <w:bottom w:val="nil" w:sz="6" w:space="0" w:color="auto"/>
              <w:right w:val="nil" w:sz="6" w:space="0" w:color="auto"/>
            </w:tcBorders>
          </w:tcPr>
          <w:p>
            <w:pPr>
              <w:pStyle w:val="TableParagraph"/>
              <w:spacing w:line="232" w:lineRule="exact"/>
              <w:ind w:left="35" w:right="0"/>
              <w:jc w:val="left"/>
              <w:rPr>
                <w:rFonts w:ascii="宋体" w:hAnsi="宋体" w:cs="宋体" w:eastAsia="宋体" w:hint="default"/>
                <w:sz w:val="22"/>
                <w:szCs w:val="22"/>
              </w:rPr>
            </w:pPr>
            <w:r>
              <w:rPr>
                <w:rFonts w:ascii="宋体" w:hAnsi="宋体" w:cs="宋体" w:eastAsia="宋体" w:hint="default"/>
                <w:sz w:val="22"/>
                <w:szCs w:val="22"/>
              </w:rPr>
              <w:t>在建工程减值准备</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32"/>
              <w:jc w:val="right"/>
              <w:rPr>
                <w:rFonts w:ascii="Arial" w:hAnsi="Arial" w:cs="Arial" w:eastAsia="Arial" w:hint="default"/>
                <w:sz w:val="22"/>
                <w:szCs w:val="22"/>
              </w:rPr>
            </w:pPr>
            <w:r>
              <w:rPr>
                <w:rFonts w:ascii="Arial"/>
                <w:w w:val="99"/>
                <w:sz w:val="22"/>
              </w:rPr>
              <w:t>-</w:t>
            </w:r>
            <w:r>
              <w:rPr>
                <w:rFonts w:ascii="Arial"/>
                <w:sz w:val="22"/>
              </w:rPr>
            </w:r>
          </w:p>
        </w:tc>
        <w:tc>
          <w:tcPr>
            <w:tcW w:w="205"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24"/>
              <w:jc w:val="right"/>
              <w:rPr>
                <w:rFonts w:ascii="Arial" w:hAnsi="Arial" w:cs="Arial" w:eastAsia="Arial" w:hint="default"/>
                <w:sz w:val="22"/>
                <w:szCs w:val="22"/>
              </w:rPr>
            </w:pPr>
            <w:r>
              <w:rPr>
                <w:rFonts w:ascii="Arial"/>
                <w:w w:val="95"/>
                <w:sz w:val="22"/>
              </w:rPr>
              <w:t>11,698,879</w:t>
            </w:r>
            <w:r>
              <w:rPr>
                <w:rFonts w:ascii="Arial"/>
                <w:sz w:val="22"/>
              </w:rPr>
            </w:r>
          </w:p>
        </w:tc>
      </w:tr>
      <w:tr>
        <w:trPr>
          <w:trHeight w:val="285" w:hRule="exact"/>
        </w:trPr>
        <w:tc>
          <w:tcPr>
            <w:tcW w:w="4378" w:type="dxa"/>
            <w:tcBorders>
              <w:top w:val="nil" w:sz="6" w:space="0" w:color="auto"/>
              <w:left w:val="nil" w:sz="6" w:space="0" w:color="auto"/>
              <w:bottom w:val="nil" w:sz="6" w:space="0" w:color="auto"/>
              <w:right w:val="nil" w:sz="6" w:space="0" w:color="auto"/>
            </w:tcBorders>
          </w:tcPr>
          <w:p>
            <w:pPr>
              <w:pStyle w:val="TableParagraph"/>
              <w:spacing w:line="232" w:lineRule="exact"/>
              <w:ind w:left="35" w:right="0"/>
              <w:jc w:val="left"/>
              <w:rPr>
                <w:rFonts w:ascii="宋体" w:hAnsi="宋体" w:cs="宋体" w:eastAsia="宋体" w:hint="default"/>
                <w:sz w:val="22"/>
                <w:szCs w:val="22"/>
              </w:rPr>
            </w:pPr>
            <w:r>
              <w:rPr>
                <w:rFonts w:ascii="宋体" w:hAnsi="宋体" w:cs="宋体" w:eastAsia="宋体" w:hint="default"/>
                <w:sz w:val="22"/>
                <w:szCs w:val="22"/>
              </w:rPr>
              <w:t>工程物资减值准备</w:t>
            </w:r>
          </w:p>
        </w:tc>
        <w:tc>
          <w:tcPr>
            <w:tcW w:w="224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32"/>
              <w:jc w:val="right"/>
              <w:rPr>
                <w:rFonts w:ascii="Arial" w:hAnsi="Arial" w:cs="Arial" w:eastAsia="Arial" w:hint="default"/>
                <w:sz w:val="22"/>
                <w:szCs w:val="22"/>
              </w:rPr>
            </w:pPr>
            <w:r>
              <w:rPr>
                <w:rFonts w:ascii="Arial"/>
                <w:w w:val="99"/>
                <w:sz w:val="22"/>
              </w:rPr>
              <w:t>-</w:t>
            </w:r>
            <w:r>
              <w:rPr>
                <w:rFonts w:ascii="Arial"/>
                <w:sz w:val="22"/>
              </w:rPr>
            </w:r>
          </w:p>
        </w:tc>
        <w:tc>
          <w:tcPr>
            <w:tcW w:w="205"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24"/>
              <w:jc w:val="right"/>
              <w:rPr>
                <w:rFonts w:ascii="Arial" w:hAnsi="Arial" w:cs="Arial" w:eastAsia="Arial" w:hint="default"/>
                <w:sz w:val="22"/>
                <w:szCs w:val="22"/>
              </w:rPr>
            </w:pPr>
            <w:r>
              <w:rPr>
                <w:rFonts w:ascii="Arial"/>
                <w:w w:val="95"/>
                <w:sz w:val="22"/>
              </w:rPr>
              <w:t>11,035,709</w:t>
            </w:r>
            <w:r>
              <w:rPr>
                <w:rFonts w:ascii="Arial"/>
                <w:sz w:val="22"/>
              </w:rPr>
            </w:r>
          </w:p>
        </w:tc>
      </w:tr>
      <w:tr>
        <w:trPr>
          <w:trHeight w:val="365" w:hRule="exact"/>
        </w:trPr>
        <w:tc>
          <w:tcPr>
            <w:tcW w:w="4378" w:type="dxa"/>
            <w:tcBorders>
              <w:top w:val="nil" w:sz="6" w:space="0" w:color="auto"/>
              <w:left w:val="nil" w:sz="6" w:space="0" w:color="auto"/>
              <w:bottom w:val="nil" w:sz="6" w:space="0" w:color="auto"/>
              <w:right w:val="nil" w:sz="6" w:space="0" w:color="auto"/>
            </w:tcBorders>
          </w:tcPr>
          <w:p>
            <w:pPr>
              <w:pStyle w:val="TableParagraph"/>
              <w:spacing w:line="232" w:lineRule="exact"/>
              <w:ind w:left="35" w:right="0"/>
              <w:jc w:val="left"/>
              <w:rPr>
                <w:rFonts w:ascii="宋体" w:hAnsi="宋体" w:cs="宋体" w:eastAsia="宋体" w:hint="default"/>
                <w:sz w:val="22"/>
                <w:szCs w:val="22"/>
              </w:rPr>
            </w:pPr>
            <w:r>
              <w:rPr>
                <w:rFonts w:ascii="宋体" w:hAnsi="宋体" w:cs="宋体" w:eastAsia="宋体" w:hint="default"/>
                <w:sz w:val="22"/>
                <w:szCs w:val="22"/>
              </w:rPr>
              <w:t>无形资产减值准备</w:t>
            </w:r>
          </w:p>
        </w:tc>
        <w:tc>
          <w:tcPr>
            <w:tcW w:w="2244" w:type="dxa"/>
            <w:tcBorders>
              <w:top w:val="nil" w:sz="6" w:space="0" w:color="auto"/>
              <w:left w:val="nil" w:sz="6" w:space="0" w:color="auto"/>
              <w:bottom w:val="nil" w:sz="6" w:space="0" w:color="auto"/>
              <w:right w:val="nil" w:sz="6" w:space="0" w:color="auto"/>
            </w:tcBorders>
          </w:tcPr>
          <w:p>
            <w:pPr>
              <w:pStyle w:val="TableParagraph"/>
              <w:tabs>
                <w:tab w:pos="2036" w:val="left" w:leader="none"/>
                <w:tab w:pos="2243" w:val="left" w:leader="none"/>
              </w:tabs>
              <w:spacing w:line="240" w:lineRule="auto" w:before="10"/>
              <w:ind w:right="0"/>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w:t>
            </w:r>
            <w:r>
              <w:rPr>
                <w:rFonts w:ascii="Arial"/>
                <w:sz w:val="22"/>
                <w:u w:val="single" w:color="000000"/>
              </w:rPr>
              <w:tab/>
            </w:r>
            <w:r>
              <w:rPr>
                <w:rFonts w:ascii="Arial"/>
                <w:sz w:val="22"/>
              </w:rPr>
            </w:r>
          </w:p>
        </w:tc>
        <w:tc>
          <w:tcPr>
            <w:tcW w:w="205"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Style w:val="TableParagraph"/>
              <w:tabs>
                <w:tab w:pos="1451" w:val="left" w:leader="none"/>
                <w:tab w:pos="2216" w:val="left" w:leader="none"/>
              </w:tabs>
              <w:spacing w:line="240" w:lineRule="auto" w:before="10"/>
              <w:ind w:right="33"/>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84,104</w:t>
            </w:r>
            <w:r>
              <w:rPr>
                <w:rFonts w:ascii="Arial"/>
                <w:sz w:val="22"/>
                <w:u w:val="single" w:color="000000"/>
              </w:rPr>
              <w:tab/>
            </w:r>
            <w:r>
              <w:rPr>
                <w:rFonts w:ascii="Arial"/>
                <w:sz w:val="22"/>
              </w:rPr>
            </w:r>
          </w:p>
        </w:tc>
      </w:tr>
    </w:tbl>
    <w:p>
      <w:pPr>
        <w:spacing w:line="240" w:lineRule="auto" w:before="4"/>
        <w:rPr>
          <w:rFonts w:ascii="宋体" w:hAnsi="宋体" w:cs="宋体" w:eastAsia="宋体" w:hint="default"/>
          <w:sz w:val="7"/>
          <w:szCs w:val="7"/>
        </w:rPr>
      </w:pPr>
    </w:p>
    <w:p>
      <w:pPr>
        <w:pStyle w:val="BodyText"/>
        <w:tabs>
          <w:tab w:pos="5595" w:val="left" w:leader="none"/>
          <w:tab w:pos="7938" w:val="left" w:leader="none"/>
        </w:tabs>
        <w:spacing w:line="240" w:lineRule="auto" w:before="27"/>
        <w:ind w:left="550" w:right="109"/>
        <w:jc w:val="left"/>
        <w:rPr>
          <w:rFonts w:ascii="Arial" w:hAnsi="Arial" w:cs="Arial" w:eastAsia="Arial" w:hint="default"/>
        </w:rPr>
      </w:pPr>
      <w:r>
        <w:rPr>
          <w:w w:val="95"/>
          <w:position w:val="2"/>
        </w:rPr>
        <w:t>合计</w:t>
        <w:tab/>
      </w:r>
      <w:r>
        <w:rPr>
          <w:rFonts w:ascii="Arial" w:hAnsi="Arial" w:cs="Arial" w:eastAsia="Arial" w:hint="default"/>
          <w:spacing w:val="-1"/>
        </w:rPr>
        <w:t>2,375,636,936</w:t>
        <w:tab/>
        <w:t>15,404,501,877</w:t>
      </w:r>
    </w:p>
    <w:p>
      <w:pPr>
        <w:spacing w:line="43" w:lineRule="exact"/>
        <w:ind w:left="4878" w:right="0" w:firstLine="0"/>
        <w:rPr>
          <w:rFonts w:ascii="Arial" w:hAnsi="Arial" w:cs="Arial" w:eastAsia="Arial" w:hint="default"/>
          <w:sz w:val="4"/>
          <w:szCs w:val="4"/>
        </w:rPr>
      </w:pPr>
      <w:r>
        <w:rPr>
          <w:rFonts w:ascii="Arial"/>
          <w:position w:val="0"/>
          <w:sz w:val="4"/>
        </w:rPr>
        <w:pict>
          <v:group style="width:113.65pt;height:2.2pt;mso-position-horizontal-relative:char;mso-position-vertical-relative:line" coordorigin="0,0" coordsize="2273,44">
            <v:group style="position:absolute;left:7;top:36;width:2259;height:2" coordorigin="7,36" coordsize="2259,2">
              <v:shape style="position:absolute;left:7;top:36;width:2259;height:2" coordorigin="7,36" coordsize="2259,0" path="m7,36l2266,36e" filled="false" stroked="true" strokeweight=".72pt" strokecolor="#000000">
                <v:path arrowok="t"/>
              </v:shape>
            </v:group>
            <v:group style="position:absolute;left:7;top:7;width:2259;height:2" coordorigin="7,7" coordsize="2259,2">
              <v:shape style="position:absolute;left:7;top:7;width:2259;height:2" coordorigin="7,7" coordsize="2259,0" path="m7,7l2266,7e" filled="false" stroked="true" strokeweight=".72pt" strokecolor="#000000">
                <v:path arrowok="t"/>
              </v:shape>
            </v:group>
          </v:group>
        </w:pict>
      </w:r>
      <w:r>
        <w:rPr>
          <w:rFonts w:ascii="Arial"/>
          <w:position w:val="0"/>
          <w:sz w:val="4"/>
        </w:rPr>
      </w:r>
      <w:r>
        <w:rPr>
          <w:rFonts w:ascii="Times New Roman"/>
          <w:spacing w:val="161"/>
          <w:position w:val="0"/>
          <w:sz w:val="4"/>
        </w:rPr>
        <w:t> </w:t>
      </w:r>
      <w:r>
        <w:rPr>
          <w:rFonts w:ascii="Arial"/>
          <w:spacing w:val="161"/>
          <w:position w:val="0"/>
          <w:sz w:val="4"/>
        </w:rPr>
        <w:pict>
          <v:group style="width:112.3pt;height:2.2pt;mso-position-horizontal-relative:char;mso-position-vertical-relative:line" coordorigin="0,0" coordsize="2246,44">
            <v:group style="position:absolute;left:7;top:36;width:2231;height:2" coordorigin="7,36" coordsize="2231,2">
              <v:shape style="position:absolute;left:7;top:36;width:2231;height:2" coordorigin="7,36" coordsize="2231,0" path="m7,36l2238,36e" filled="false" stroked="true" strokeweight=".72pt" strokecolor="#000000">
                <v:path arrowok="t"/>
              </v:shape>
            </v:group>
            <v:group style="position:absolute;left:7;top:7;width:2231;height:2" coordorigin="7,7" coordsize="2231,2">
              <v:shape style="position:absolute;left:7;top:7;width:2231;height:2" coordorigin="7,7" coordsize="2231,0" path="m7,7l2238,7e" filled="false" stroked="true" strokeweight=".72pt" strokecolor="#000000">
                <v:path arrowok="t"/>
              </v:shape>
            </v:group>
          </v:group>
        </w:pict>
      </w:r>
      <w:r>
        <w:rPr>
          <w:rFonts w:ascii="Arial"/>
          <w:spacing w:val="161"/>
          <w:position w:val="0"/>
          <w:sz w:val="4"/>
        </w:rPr>
      </w:r>
    </w:p>
    <w:p>
      <w:pPr>
        <w:spacing w:line="240" w:lineRule="auto" w:before="5"/>
        <w:rPr>
          <w:rFonts w:ascii="Arial" w:hAnsi="Arial" w:cs="Arial" w:eastAsia="Arial" w:hint="default"/>
          <w:sz w:val="16"/>
          <w:szCs w:val="16"/>
        </w:rPr>
      </w:pPr>
    </w:p>
    <w:p>
      <w:pPr>
        <w:pStyle w:val="BodyText"/>
        <w:spacing w:line="240" w:lineRule="auto" w:before="31"/>
        <w:ind w:left="102" w:right="109"/>
        <w:jc w:val="left"/>
        <w:rPr>
          <w:rFonts w:ascii="黑体" w:hAnsi="黑体" w:cs="黑体" w:eastAsia="黑体" w:hint="default"/>
        </w:rPr>
      </w:pPr>
      <w:r>
        <w:rPr>
          <w:rFonts w:ascii="Arial" w:hAnsi="Arial" w:cs="Arial" w:eastAsia="Arial" w:hint="default"/>
        </w:rPr>
        <w:t>43</w:t>
      </w:r>
      <w:r>
        <w:rPr/>
        <w:t>、</w:t>
      </w:r>
      <w:r>
        <w:rPr>
          <w:rFonts w:ascii="黑体" w:hAnsi="黑体" w:cs="黑体" w:eastAsia="黑体" w:hint="default"/>
        </w:rPr>
        <w:t>营业外收入</w:t>
      </w:r>
    </w:p>
    <w:p>
      <w:pPr>
        <w:spacing w:line="240" w:lineRule="auto" w:before="7"/>
        <w:rPr>
          <w:rFonts w:ascii="黑体" w:hAnsi="黑体" w:cs="黑体" w:eastAsia="黑体" w:hint="default"/>
          <w:sz w:val="15"/>
          <w:szCs w:val="15"/>
        </w:rPr>
      </w:pPr>
    </w:p>
    <w:tbl>
      <w:tblPr>
        <w:tblW w:w="0" w:type="auto"/>
        <w:jc w:val="left"/>
        <w:tblInd w:w="542" w:type="dxa"/>
        <w:tblLayout w:type="fixed"/>
        <w:tblCellMar>
          <w:top w:w="0" w:type="dxa"/>
          <w:left w:w="0" w:type="dxa"/>
          <w:bottom w:w="0" w:type="dxa"/>
          <w:right w:w="0" w:type="dxa"/>
        </w:tblCellMar>
        <w:tblLook w:val="01E0"/>
      </w:tblPr>
      <w:tblGrid>
        <w:gridCol w:w="4348"/>
        <w:gridCol w:w="2239"/>
        <w:gridCol w:w="244"/>
        <w:gridCol w:w="2185"/>
      </w:tblGrid>
      <w:tr>
        <w:trPr>
          <w:trHeight w:val="361" w:hRule="exact"/>
        </w:trPr>
        <w:tc>
          <w:tcPr>
            <w:tcW w:w="4348" w:type="dxa"/>
            <w:vMerge w:val="restart"/>
            <w:tcBorders>
              <w:top w:val="nil" w:sz="6" w:space="0" w:color="auto"/>
              <w:left w:val="nil" w:sz="6" w:space="0" w:color="auto"/>
              <w:right w:val="nil" w:sz="6" w:space="0" w:color="auto"/>
            </w:tcBorders>
          </w:tcPr>
          <w:p>
            <w:pPr/>
          </w:p>
        </w:tc>
        <w:tc>
          <w:tcPr>
            <w:tcW w:w="2239"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98"/>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244" w:type="dxa"/>
            <w:tcBorders>
              <w:top w:val="nil" w:sz="6" w:space="0" w:color="auto"/>
              <w:left w:val="nil" w:sz="6" w:space="0" w:color="auto"/>
              <w:bottom w:val="nil" w:sz="6" w:space="0" w:color="auto"/>
              <w:right w:val="nil" w:sz="6" w:space="0" w:color="auto"/>
            </w:tcBorders>
          </w:tcPr>
          <w:p>
            <w:pPr/>
          </w:p>
        </w:tc>
        <w:tc>
          <w:tcPr>
            <w:tcW w:w="2185"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105"/>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292" w:hRule="exact"/>
        </w:trPr>
        <w:tc>
          <w:tcPr>
            <w:tcW w:w="4348" w:type="dxa"/>
            <w:vMerge/>
            <w:tcBorders>
              <w:left w:val="nil" w:sz="6" w:space="0" w:color="auto"/>
              <w:bottom w:val="nil" w:sz="6" w:space="0" w:color="auto"/>
              <w:right w:val="nil" w:sz="6" w:space="0" w:color="auto"/>
            </w:tcBorders>
          </w:tcPr>
          <w:p>
            <w:pPr/>
          </w:p>
        </w:tc>
        <w:tc>
          <w:tcPr>
            <w:tcW w:w="2239" w:type="dxa"/>
            <w:tcBorders>
              <w:top w:val="single" w:sz="6" w:space="0" w:color="000000"/>
              <w:left w:val="nil" w:sz="6" w:space="0" w:color="auto"/>
              <w:bottom w:val="nil" w:sz="6" w:space="0" w:color="auto"/>
              <w:right w:val="nil" w:sz="6" w:space="0" w:color="auto"/>
            </w:tcBorders>
          </w:tcPr>
          <w:p>
            <w:pPr/>
          </w:p>
        </w:tc>
        <w:tc>
          <w:tcPr>
            <w:tcW w:w="244" w:type="dxa"/>
            <w:tcBorders>
              <w:top w:val="nil" w:sz="6" w:space="0" w:color="auto"/>
              <w:left w:val="nil" w:sz="6" w:space="0" w:color="auto"/>
              <w:bottom w:val="nil" w:sz="6" w:space="0" w:color="auto"/>
              <w:right w:val="nil" w:sz="6" w:space="0" w:color="auto"/>
            </w:tcBorders>
          </w:tcPr>
          <w:p>
            <w:pPr/>
          </w:p>
        </w:tc>
        <w:tc>
          <w:tcPr>
            <w:tcW w:w="2185" w:type="dxa"/>
            <w:tcBorders>
              <w:top w:val="single" w:sz="6" w:space="0" w:color="000000"/>
              <w:left w:val="nil" w:sz="6" w:space="0" w:color="auto"/>
              <w:bottom w:val="nil" w:sz="6" w:space="0" w:color="auto"/>
              <w:right w:val="nil" w:sz="6" w:space="0" w:color="auto"/>
            </w:tcBorders>
          </w:tcPr>
          <w:p>
            <w:pPr>
              <w:pStyle w:val="TableParagraph"/>
              <w:spacing w:line="253" w:lineRule="exact"/>
              <w:ind w:right="107"/>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3" w:hRule="exact"/>
        </w:trPr>
        <w:tc>
          <w:tcPr>
            <w:tcW w:w="4348" w:type="dxa"/>
            <w:tcBorders>
              <w:top w:val="nil" w:sz="6" w:space="0" w:color="auto"/>
              <w:left w:val="nil" w:sz="6" w:space="0" w:color="auto"/>
              <w:bottom w:val="single" w:sz="6" w:space="0" w:color="000000"/>
              <w:right w:val="nil" w:sz="6" w:space="0" w:color="auto"/>
            </w:tcBorders>
          </w:tcPr>
          <w:p>
            <w:pPr>
              <w:pStyle w:val="TableParagraph"/>
              <w:spacing w:line="268" w:lineRule="exact"/>
              <w:ind w:left="14" w:right="0"/>
              <w:jc w:val="left"/>
              <w:rPr>
                <w:rFonts w:ascii="宋体" w:hAnsi="宋体" w:cs="宋体" w:eastAsia="宋体" w:hint="default"/>
                <w:sz w:val="22"/>
                <w:szCs w:val="22"/>
              </w:rPr>
            </w:pPr>
            <w:r>
              <w:rPr>
                <w:rFonts w:ascii="宋体" w:hAnsi="宋体" w:cs="宋体" w:eastAsia="宋体" w:hint="default"/>
                <w:sz w:val="22"/>
                <w:szCs w:val="22"/>
              </w:rPr>
              <w:t>非流动资产处置利得（注</w:t>
            </w:r>
            <w:r>
              <w:rPr>
                <w:rFonts w:ascii="宋体" w:hAnsi="宋体" w:cs="宋体" w:eastAsia="宋体" w:hint="default"/>
                <w:spacing w:val="-57"/>
                <w:sz w:val="22"/>
                <w:szCs w:val="22"/>
              </w:rPr>
              <w:t> </w:t>
            </w:r>
            <w:r>
              <w:rPr>
                <w:rFonts w:ascii="Arial" w:hAnsi="Arial" w:cs="Arial" w:eastAsia="Arial" w:hint="default"/>
                <w:sz w:val="22"/>
                <w:szCs w:val="22"/>
              </w:rPr>
              <w:t>1</w:t>
            </w:r>
            <w:r>
              <w:rPr>
                <w:rFonts w:ascii="宋体" w:hAnsi="宋体" w:cs="宋体" w:eastAsia="宋体" w:hint="default"/>
                <w:sz w:val="22"/>
                <w:szCs w:val="22"/>
              </w:rPr>
              <w:t>）</w:t>
            </w:r>
          </w:p>
        </w:tc>
        <w:tc>
          <w:tcPr>
            <w:tcW w:w="2239" w:type="dxa"/>
            <w:tcBorders>
              <w:top w:val="nil" w:sz="6" w:space="0" w:color="auto"/>
              <w:left w:val="nil" w:sz="6" w:space="0" w:color="auto"/>
              <w:bottom w:val="single" w:sz="6" w:space="0" w:color="000000"/>
              <w:right w:val="nil" w:sz="6" w:space="0" w:color="auto"/>
            </w:tcBorders>
          </w:tcPr>
          <w:p>
            <w:pPr>
              <w:pStyle w:val="TableParagraph"/>
              <w:spacing w:line="240" w:lineRule="auto" w:before="30"/>
              <w:ind w:right="88"/>
              <w:jc w:val="right"/>
              <w:rPr>
                <w:rFonts w:ascii="Arial" w:hAnsi="Arial" w:cs="Arial" w:eastAsia="Arial" w:hint="default"/>
                <w:sz w:val="22"/>
                <w:szCs w:val="22"/>
              </w:rPr>
            </w:pPr>
            <w:r>
              <w:rPr>
                <w:rFonts w:ascii="Arial"/>
                <w:w w:val="95"/>
                <w:sz w:val="22"/>
              </w:rPr>
              <w:t>245,251,724</w:t>
            </w:r>
            <w:r>
              <w:rPr>
                <w:rFonts w:ascii="Arial"/>
                <w:sz w:val="22"/>
              </w:rPr>
            </w:r>
          </w:p>
        </w:tc>
        <w:tc>
          <w:tcPr>
            <w:tcW w:w="244" w:type="dxa"/>
            <w:tcBorders>
              <w:top w:val="nil" w:sz="6" w:space="0" w:color="auto"/>
              <w:left w:val="nil" w:sz="6" w:space="0" w:color="auto"/>
              <w:bottom w:val="single" w:sz="6" w:space="0" w:color="000000"/>
              <w:right w:val="nil" w:sz="6" w:space="0" w:color="auto"/>
            </w:tcBorders>
          </w:tcPr>
          <w:p>
            <w:pPr/>
          </w:p>
        </w:tc>
        <w:tc>
          <w:tcPr>
            <w:tcW w:w="2185" w:type="dxa"/>
            <w:tcBorders>
              <w:top w:val="nil" w:sz="6" w:space="0" w:color="auto"/>
              <w:left w:val="nil" w:sz="6" w:space="0" w:color="auto"/>
              <w:bottom w:val="single" w:sz="6" w:space="0" w:color="000000"/>
              <w:right w:val="nil" w:sz="6" w:space="0" w:color="auto"/>
            </w:tcBorders>
          </w:tcPr>
          <w:p>
            <w:pPr>
              <w:pStyle w:val="TableParagraph"/>
              <w:spacing w:line="240" w:lineRule="auto" w:before="30"/>
              <w:ind w:right="105"/>
              <w:jc w:val="right"/>
              <w:rPr>
                <w:rFonts w:ascii="Arial" w:hAnsi="Arial" w:cs="Arial" w:eastAsia="Arial" w:hint="default"/>
                <w:sz w:val="22"/>
                <w:szCs w:val="22"/>
              </w:rPr>
            </w:pPr>
            <w:r>
              <w:rPr>
                <w:rFonts w:ascii="Arial"/>
                <w:w w:val="95"/>
                <w:sz w:val="22"/>
              </w:rPr>
              <w:t>129,457,099</w:t>
            </w:r>
            <w:r>
              <w:rPr>
                <w:rFonts w:ascii="Arial"/>
                <w:sz w:val="22"/>
              </w:rPr>
            </w:r>
          </w:p>
        </w:tc>
      </w:tr>
      <w:tr>
        <w:trPr>
          <w:trHeight w:val="305" w:hRule="exact"/>
        </w:trPr>
        <w:tc>
          <w:tcPr>
            <w:tcW w:w="4348" w:type="dxa"/>
            <w:tcBorders>
              <w:top w:val="single" w:sz="6" w:space="0" w:color="000000"/>
              <w:left w:val="single" w:sz="6" w:space="0" w:color="000000"/>
              <w:bottom w:val="nil" w:sz="6" w:space="0" w:color="auto"/>
              <w:right w:val="nil" w:sz="6" w:space="0" w:color="auto"/>
            </w:tcBorders>
          </w:tcPr>
          <w:p>
            <w:pPr>
              <w:pStyle w:val="TableParagraph"/>
              <w:spacing w:line="253" w:lineRule="exact"/>
              <w:ind w:left="7" w:right="0"/>
              <w:jc w:val="left"/>
              <w:rPr>
                <w:rFonts w:ascii="宋体" w:hAnsi="宋体" w:cs="宋体" w:eastAsia="宋体" w:hint="default"/>
                <w:sz w:val="22"/>
                <w:szCs w:val="22"/>
              </w:rPr>
            </w:pPr>
            <w:r>
              <w:rPr>
                <w:rFonts w:ascii="宋体" w:hAnsi="宋体" w:cs="宋体" w:eastAsia="宋体" w:hint="default"/>
                <w:sz w:val="22"/>
                <w:szCs w:val="22"/>
              </w:rPr>
              <w:t>其中：固定资产处置利得</w:t>
            </w:r>
          </w:p>
        </w:tc>
        <w:tc>
          <w:tcPr>
            <w:tcW w:w="2239" w:type="dxa"/>
            <w:tcBorders>
              <w:top w:val="single" w:sz="6" w:space="0" w:color="000000"/>
              <w:left w:val="nil" w:sz="6" w:space="0" w:color="auto"/>
              <w:bottom w:val="nil" w:sz="6" w:space="0" w:color="auto"/>
              <w:right w:val="nil" w:sz="6" w:space="0" w:color="auto"/>
            </w:tcBorders>
          </w:tcPr>
          <w:p>
            <w:pPr>
              <w:pStyle w:val="TableParagraph"/>
              <w:spacing w:line="240" w:lineRule="auto" w:before="30"/>
              <w:ind w:right="88"/>
              <w:jc w:val="right"/>
              <w:rPr>
                <w:rFonts w:ascii="Arial" w:hAnsi="Arial" w:cs="Arial" w:eastAsia="Arial" w:hint="default"/>
                <w:sz w:val="22"/>
                <w:szCs w:val="22"/>
              </w:rPr>
            </w:pPr>
            <w:r>
              <w:rPr>
                <w:rFonts w:ascii="Arial"/>
                <w:w w:val="95"/>
                <w:sz w:val="22"/>
              </w:rPr>
              <w:t>244,918,277</w:t>
            </w:r>
            <w:r>
              <w:rPr>
                <w:rFonts w:ascii="Arial"/>
                <w:sz w:val="22"/>
              </w:rPr>
            </w:r>
          </w:p>
        </w:tc>
        <w:tc>
          <w:tcPr>
            <w:tcW w:w="244" w:type="dxa"/>
            <w:tcBorders>
              <w:top w:val="single" w:sz="6" w:space="0" w:color="000000"/>
              <w:left w:val="nil" w:sz="6" w:space="0" w:color="auto"/>
              <w:bottom w:val="nil" w:sz="6" w:space="0" w:color="auto"/>
              <w:right w:val="nil" w:sz="6" w:space="0" w:color="auto"/>
            </w:tcBorders>
          </w:tcPr>
          <w:p>
            <w:pPr/>
          </w:p>
        </w:tc>
        <w:tc>
          <w:tcPr>
            <w:tcW w:w="2185" w:type="dxa"/>
            <w:tcBorders>
              <w:top w:val="single" w:sz="6" w:space="0" w:color="000000"/>
              <w:left w:val="nil" w:sz="6" w:space="0" w:color="auto"/>
              <w:bottom w:val="nil" w:sz="6" w:space="0" w:color="auto"/>
              <w:right w:val="single" w:sz="6" w:space="0" w:color="000000"/>
            </w:tcBorders>
          </w:tcPr>
          <w:p>
            <w:pPr>
              <w:pStyle w:val="TableParagraph"/>
              <w:spacing w:line="240" w:lineRule="auto" w:before="30"/>
              <w:ind w:right="99"/>
              <w:jc w:val="right"/>
              <w:rPr>
                <w:rFonts w:ascii="Arial" w:hAnsi="Arial" w:cs="Arial" w:eastAsia="Arial" w:hint="default"/>
                <w:sz w:val="22"/>
                <w:szCs w:val="22"/>
              </w:rPr>
            </w:pPr>
            <w:r>
              <w:rPr>
                <w:rFonts w:ascii="Arial"/>
                <w:w w:val="95"/>
                <w:sz w:val="22"/>
              </w:rPr>
              <w:t>89,531,617</w:t>
            </w:r>
            <w:r>
              <w:rPr>
                <w:rFonts w:ascii="Arial"/>
                <w:sz w:val="22"/>
              </w:rPr>
            </w:r>
          </w:p>
        </w:tc>
      </w:tr>
      <w:tr>
        <w:trPr>
          <w:trHeight w:val="281" w:hRule="exact"/>
        </w:trPr>
        <w:tc>
          <w:tcPr>
            <w:tcW w:w="4348" w:type="dxa"/>
            <w:tcBorders>
              <w:top w:val="nil" w:sz="6" w:space="0" w:color="auto"/>
              <w:left w:val="single" w:sz="6" w:space="0" w:color="000000"/>
              <w:bottom w:val="single" w:sz="6" w:space="0" w:color="000000"/>
              <w:right w:val="nil" w:sz="6" w:space="0" w:color="auto"/>
            </w:tcBorders>
          </w:tcPr>
          <w:p>
            <w:pPr>
              <w:pStyle w:val="TableParagraph"/>
              <w:spacing w:line="239" w:lineRule="exact"/>
              <w:ind w:left="664" w:right="0"/>
              <w:jc w:val="left"/>
              <w:rPr>
                <w:rFonts w:ascii="宋体" w:hAnsi="宋体" w:cs="宋体" w:eastAsia="宋体" w:hint="default"/>
                <w:sz w:val="22"/>
                <w:szCs w:val="22"/>
              </w:rPr>
            </w:pPr>
            <w:r>
              <w:rPr>
                <w:rFonts w:ascii="宋体" w:hAnsi="宋体" w:cs="宋体" w:eastAsia="宋体" w:hint="default"/>
                <w:sz w:val="22"/>
                <w:szCs w:val="22"/>
              </w:rPr>
              <w:t>无形资产处置利得</w:t>
            </w:r>
          </w:p>
        </w:tc>
        <w:tc>
          <w:tcPr>
            <w:tcW w:w="2239" w:type="dxa"/>
            <w:tcBorders>
              <w:top w:val="nil" w:sz="6" w:space="0" w:color="auto"/>
              <w:left w:val="nil" w:sz="6" w:space="0" w:color="auto"/>
              <w:bottom w:val="single" w:sz="6" w:space="0" w:color="000000"/>
              <w:right w:val="nil" w:sz="6" w:space="0" w:color="auto"/>
            </w:tcBorders>
          </w:tcPr>
          <w:p>
            <w:pPr>
              <w:pStyle w:val="TableParagraph"/>
              <w:spacing w:line="240" w:lineRule="auto" w:before="17"/>
              <w:ind w:right="89"/>
              <w:jc w:val="right"/>
              <w:rPr>
                <w:rFonts w:ascii="Arial" w:hAnsi="Arial" w:cs="Arial" w:eastAsia="Arial" w:hint="default"/>
                <w:sz w:val="22"/>
                <w:szCs w:val="22"/>
              </w:rPr>
            </w:pPr>
            <w:r>
              <w:rPr>
                <w:rFonts w:ascii="Arial"/>
                <w:w w:val="95"/>
                <w:sz w:val="22"/>
              </w:rPr>
              <w:t>333,447</w:t>
            </w:r>
            <w:r>
              <w:rPr>
                <w:rFonts w:ascii="Arial"/>
                <w:sz w:val="22"/>
              </w:rPr>
            </w:r>
          </w:p>
        </w:tc>
        <w:tc>
          <w:tcPr>
            <w:tcW w:w="244" w:type="dxa"/>
            <w:tcBorders>
              <w:top w:val="nil" w:sz="6" w:space="0" w:color="auto"/>
              <w:left w:val="nil" w:sz="6" w:space="0" w:color="auto"/>
              <w:bottom w:val="single" w:sz="6" w:space="0" w:color="000000"/>
              <w:right w:val="nil" w:sz="6" w:space="0" w:color="auto"/>
            </w:tcBorders>
          </w:tcPr>
          <w:p>
            <w:pPr/>
          </w:p>
        </w:tc>
        <w:tc>
          <w:tcPr>
            <w:tcW w:w="2185" w:type="dxa"/>
            <w:tcBorders>
              <w:top w:val="nil" w:sz="6" w:space="0" w:color="auto"/>
              <w:left w:val="nil" w:sz="6" w:space="0" w:color="auto"/>
              <w:bottom w:val="single" w:sz="6" w:space="0" w:color="000000"/>
              <w:right w:val="single" w:sz="6" w:space="0" w:color="000000"/>
            </w:tcBorders>
          </w:tcPr>
          <w:p>
            <w:pPr>
              <w:pStyle w:val="TableParagraph"/>
              <w:spacing w:line="240" w:lineRule="auto" w:before="17"/>
              <w:ind w:right="99"/>
              <w:jc w:val="right"/>
              <w:rPr>
                <w:rFonts w:ascii="Arial" w:hAnsi="Arial" w:cs="Arial" w:eastAsia="Arial" w:hint="default"/>
                <w:sz w:val="22"/>
                <w:szCs w:val="22"/>
              </w:rPr>
            </w:pPr>
            <w:r>
              <w:rPr>
                <w:rFonts w:ascii="Arial"/>
                <w:w w:val="95"/>
                <w:sz w:val="22"/>
              </w:rPr>
              <w:t>39,925,482</w:t>
            </w:r>
            <w:r>
              <w:rPr>
                <w:rFonts w:ascii="Arial"/>
                <w:sz w:val="22"/>
              </w:rPr>
            </w:r>
          </w:p>
        </w:tc>
      </w:tr>
      <w:tr>
        <w:trPr>
          <w:trHeight w:val="305" w:hRule="exact"/>
        </w:trPr>
        <w:tc>
          <w:tcPr>
            <w:tcW w:w="4348" w:type="dxa"/>
            <w:tcBorders>
              <w:top w:val="single" w:sz="6" w:space="0" w:color="000000"/>
              <w:left w:val="nil" w:sz="6" w:space="0" w:color="auto"/>
              <w:bottom w:val="nil" w:sz="6" w:space="0" w:color="auto"/>
              <w:right w:val="nil" w:sz="6" w:space="0" w:color="auto"/>
            </w:tcBorders>
          </w:tcPr>
          <w:p>
            <w:pPr>
              <w:pStyle w:val="TableParagraph"/>
              <w:spacing w:line="253" w:lineRule="exact"/>
              <w:ind w:left="14" w:right="0"/>
              <w:jc w:val="left"/>
              <w:rPr>
                <w:rFonts w:ascii="宋体" w:hAnsi="宋体" w:cs="宋体" w:eastAsia="宋体" w:hint="default"/>
                <w:sz w:val="22"/>
                <w:szCs w:val="22"/>
              </w:rPr>
            </w:pPr>
            <w:r>
              <w:rPr>
                <w:rFonts w:ascii="宋体" w:hAnsi="宋体" w:cs="宋体" w:eastAsia="宋体" w:hint="default"/>
                <w:sz w:val="22"/>
                <w:szCs w:val="22"/>
              </w:rPr>
              <w:t>违约赔款收入</w:t>
            </w:r>
          </w:p>
        </w:tc>
        <w:tc>
          <w:tcPr>
            <w:tcW w:w="2239" w:type="dxa"/>
            <w:tcBorders>
              <w:top w:val="single" w:sz="6" w:space="0" w:color="000000"/>
              <w:left w:val="nil" w:sz="6" w:space="0" w:color="auto"/>
              <w:bottom w:val="nil" w:sz="6" w:space="0" w:color="auto"/>
              <w:right w:val="nil" w:sz="6" w:space="0" w:color="auto"/>
            </w:tcBorders>
          </w:tcPr>
          <w:p>
            <w:pPr>
              <w:pStyle w:val="TableParagraph"/>
              <w:spacing w:line="240" w:lineRule="auto" w:before="30"/>
              <w:ind w:right="88"/>
              <w:jc w:val="right"/>
              <w:rPr>
                <w:rFonts w:ascii="Arial" w:hAnsi="Arial" w:cs="Arial" w:eastAsia="Arial" w:hint="default"/>
                <w:sz w:val="22"/>
                <w:szCs w:val="22"/>
              </w:rPr>
            </w:pPr>
            <w:r>
              <w:rPr>
                <w:rFonts w:ascii="Arial"/>
                <w:w w:val="95"/>
                <w:sz w:val="22"/>
              </w:rPr>
              <w:t>166,098,841</w:t>
            </w:r>
            <w:r>
              <w:rPr>
                <w:rFonts w:ascii="Arial"/>
                <w:sz w:val="22"/>
              </w:rPr>
            </w:r>
          </w:p>
        </w:tc>
        <w:tc>
          <w:tcPr>
            <w:tcW w:w="244" w:type="dxa"/>
            <w:tcBorders>
              <w:top w:val="single" w:sz="6" w:space="0" w:color="000000"/>
              <w:left w:val="nil" w:sz="6" w:space="0" w:color="auto"/>
              <w:bottom w:val="nil" w:sz="6" w:space="0" w:color="auto"/>
              <w:right w:val="nil" w:sz="6" w:space="0" w:color="auto"/>
            </w:tcBorders>
          </w:tcPr>
          <w:p>
            <w:pPr/>
          </w:p>
        </w:tc>
        <w:tc>
          <w:tcPr>
            <w:tcW w:w="2185" w:type="dxa"/>
            <w:tcBorders>
              <w:top w:val="single" w:sz="6" w:space="0" w:color="000000"/>
              <w:left w:val="nil" w:sz="6" w:space="0" w:color="auto"/>
              <w:bottom w:val="nil" w:sz="6" w:space="0" w:color="auto"/>
              <w:right w:val="nil" w:sz="6" w:space="0" w:color="auto"/>
            </w:tcBorders>
          </w:tcPr>
          <w:p>
            <w:pPr>
              <w:pStyle w:val="TableParagraph"/>
              <w:spacing w:line="240" w:lineRule="auto" w:before="30"/>
              <w:ind w:right="105"/>
              <w:jc w:val="right"/>
              <w:rPr>
                <w:rFonts w:ascii="Arial" w:hAnsi="Arial" w:cs="Arial" w:eastAsia="Arial" w:hint="default"/>
                <w:sz w:val="22"/>
                <w:szCs w:val="22"/>
              </w:rPr>
            </w:pPr>
            <w:r>
              <w:rPr>
                <w:rFonts w:ascii="Arial"/>
                <w:w w:val="95"/>
                <w:sz w:val="22"/>
              </w:rPr>
              <w:t>142,363,854</w:t>
            </w:r>
            <w:r>
              <w:rPr>
                <w:rFonts w:ascii="Arial"/>
                <w:sz w:val="22"/>
              </w:rPr>
            </w:r>
          </w:p>
        </w:tc>
      </w:tr>
      <w:tr>
        <w:trPr>
          <w:trHeight w:val="285" w:hRule="exact"/>
        </w:trPr>
        <w:tc>
          <w:tcPr>
            <w:tcW w:w="4348" w:type="dxa"/>
            <w:tcBorders>
              <w:top w:val="nil" w:sz="6" w:space="0" w:color="auto"/>
              <w:left w:val="nil" w:sz="6" w:space="0" w:color="auto"/>
              <w:bottom w:val="nil" w:sz="6" w:space="0" w:color="auto"/>
              <w:right w:val="nil" w:sz="6" w:space="0" w:color="auto"/>
            </w:tcBorders>
          </w:tcPr>
          <w:p>
            <w:pPr>
              <w:pStyle w:val="TableParagraph"/>
              <w:spacing w:line="255" w:lineRule="exact"/>
              <w:ind w:left="14" w:right="0"/>
              <w:jc w:val="left"/>
              <w:rPr>
                <w:rFonts w:ascii="宋体" w:hAnsi="宋体" w:cs="宋体" w:eastAsia="宋体" w:hint="default"/>
                <w:sz w:val="22"/>
                <w:szCs w:val="22"/>
              </w:rPr>
            </w:pPr>
            <w:r>
              <w:rPr>
                <w:rFonts w:ascii="宋体" w:hAnsi="宋体" w:cs="宋体" w:eastAsia="宋体" w:hint="default"/>
                <w:sz w:val="22"/>
                <w:szCs w:val="22"/>
              </w:rPr>
              <w:t>无法支付的应付账款（注</w:t>
            </w:r>
            <w:r>
              <w:rPr>
                <w:rFonts w:ascii="宋体" w:hAnsi="宋体" w:cs="宋体" w:eastAsia="宋体" w:hint="default"/>
                <w:spacing w:val="-57"/>
                <w:sz w:val="22"/>
                <w:szCs w:val="22"/>
              </w:rPr>
              <w:t> </w:t>
            </w:r>
            <w:r>
              <w:rPr>
                <w:rFonts w:ascii="Arial" w:hAnsi="Arial" w:cs="Arial" w:eastAsia="Arial" w:hint="default"/>
                <w:sz w:val="22"/>
                <w:szCs w:val="22"/>
              </w:rPr>
              <w:t>2</w:t>
            </w:r>
            <w:r>
              <w:rPr>
                <w:rFonts w:ascii="宋体" w:hAnsi="宋体" w:cs="宋体" w:eastAsia="宋体" w:hint="default"/>
                <w:sz w:val="22"/>
                <w:szCs w:val="22"/>
              </w:rPr>
              <w:t>）</w:t>
            </w:r>
          </w:p>
        </w:tc>
        <w:tc>
          <w:tcPr>
            <w:tcW w:w="223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8"/>
              <w:jc w:val="right"/>
              <w:rPr>
                <w:rFonts w:ascii="Arial" w:hAnsi="Arial" w:cs="Arial" w:eastAsia="Arial" w:hint="default"/>
                <w:sz w:val="22"/>
                <w:szCs w:val="22"/>
              </w:rPr>
            </w:pPr>
            <w:r>
              <w:rPr>
                <w:rFonts w:ascii="Arial"/>
                <w:w w:val="95"/>
                <w:sz w:val="22"/>
              </w:rPr>
              <w:t>390,876,166</w:t>
            </w:r>
            <w:r>
              <w:rPr>
                <w:rFonts w:ascii="Arial"/>
                <w:sz w:val="22"/>
              </w:rPr>
            </w:r>
          </w:p>
        </w:tc>
        <w:tc>
          <w:tcPr>
            <w:tcW w:w="244" w:type="dxa"/>
            <w:tcBorders>
              <w:top w:val="nil" w:sz="6" w:space="0" w:color="auto"/>
              <w:left w:val="nil" w:sz="6" w:space="0" w:color="auto"/>
              <w:bottom w:val="nil" w:sz="6" w:space="0" w:color="auto"/>
              <w:right w:val="nil" w:sz="6" w:space="0" w:color="auto"/>
            </w:tcBorders>
          </w:tcPr>
          <w:p>
            <w:pPr/>
          </w:p>
        </w:tc>
        <w:tc>
          <w:tcPr>
            <w:tcW w:w="218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5"/>
              <w:jc w:val="right"/>
              <w:rPr>
                <w:rFonts w:ascii="Arial" w:hAnsi="Arial" w:cs="Arial" w:eastAsia="Arial" w:hint="default"/>
                <w:sz w:val="22"/>
                <w:szCs w:val="22"/>
              </w:rPr>
            </w:pPr>
            <w:r>
              <w:rPr>
                <w:rFonts w:ascii="Arial"/>
                <w:w w:val="95"/>
                <w:sz w:val="22"/>
              </w:rPr>
              <w:t>532,975,685</w:t>
            </w:r>
            <w:r>
              <w:rPr>
                <w:rFonts w:ascii="Arial"/>
                <w:sz w:val="22"/>
              </w:rPr>
            </w:r>
          </w:p>
        </w:tc>
      </w:tr>
      <w:tr>
        <w:trPr>
          <w:trHeight w:val="285" w:hRule="exact"/>
        </w:trPr>
        <w:tc>
          <w:tcPr>
            <w:tcW w:w="4348" w:type="dxa"/>
            <w:tcBorders>
              <w:top w:val="nil" w:sz="6" w:space="0" w:color="auto"/>
              <w:left w:val="nil" w:sz="6" w:space="0" w:color="auto"/>
              <w:bottom w:val="nil" w:sz="6" w:space="0" w:color="auto"/>
              <w:right w:val="nil" w:sz="6" w:space="0" w:color="auto"/>
            </w:tcBorders>
          </w:tcPr>
          <w:p>
            <w:pPr>
              <w:pStyle w:val="TableParagraph"/>
              <w:spacing w:line="255" w:lineRule="exact"/>
              <w:ind w:left="14" w:right="0"/>
              <w:jc w:val="left"/>
              <w:rPr>
                <w:rFonts w:ascii="宋体" w:hAnsi="宋体" w:cs="宋体" w:eastAsia="宋体" w:hint="default"/>
                <w:sz w:val="22"/>
                <w:szCs w:val="22"/>
              </w:rPr>
            </w:pPr>
            <w:r>
              <w:rPr>
                <w:rFonts w:ascii="宋体" w:hAnsi="宋体" w:cs="宋体" w:eastAsia="宋体" w:hint="default"/>
                <w:sz w:val="22"/>
                <w:szCs w:val="22"/>
              </w:rPr>
              <w:t>政府补助（注</w:t>
            </w:r>
            <w:r>
              <w:rPr>
                <w:rFonts w:ascii="宋体" w:hAnsi="宋体" w:cs="宋体" w:eastAsia="宋体" w:hint="default"/>
                <w:spacing w:val="-57"/>
                <w:sz w:val="22"/>
                <w:szCs w:val="22"/>
              </w:rPr>
              <w:t> </w:t>
            </w:r>
            <w:r>
              <w:rPr>
                <w:rFonts w:ascii="Arial" w:hAnsi="Arial" w:cs="Arial" w:eastAsia="Arial" w:hint="default"/>
                <w:sz w:val="22"/>
                <w:szCs w:val="22"/>
              </w:rPr>
              <w:t>3</w:t>
            </w:r>
            <w:r>
              <w:rPr>
                <w:rFonts w:ascii="宋体" w:hAnsi="宋体" w:cs="宋体" w:eastAsia="宋体" w:hint="default"/>
                <w:sz w:val="22"/>
                <w:szCs w:val="22"/>
              </w:rPr>
              <w:t>）</w:t>
            </w:r>
          </w:p>
        </w:tc>
        <w:tc>
          <w:tcPr>
            <w:tcW w:w="223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8"/>
              <w:jc w:val="right"/>
              <w:rPr>
                <w:rFonts w:ascii="Arial" w:hAnsi="Arial" w:cs="Arial" w:eastAsia="Arial" w:hint="default"/>
                <w:sz w:val="22"/>
                <w:szCs w:val="22"/>
              </w:rPr>
            </w:pPr>
            <w:r>
              <w:rPr>
                <w:rFonts w:ascii="Arial"/>
                <w:w w:val="95"/>
                <w:sz w:val="22"/>
              </w:rPr>
              <w:t>141,383,018</w:t>
            </w:r>
            <w:r>
              <w:rPr>
                <w:rFonts w:ascii="Arial"/>
                <w:sz w:val="22"/>
              </w:rPr>
            </w:r>
          </w:p>
        </w:tc>
        <w:tc>
          <w:tcPr>
            <w:tcW w:w="244" w:type="dxa"/>
            <w:tcBorders>
              <w:top w:val="nil" w:sz="6" w:space="0" w:color="auto"/>
              <w:left w:val="nil" w:sz="6" w:space="0" w:color="auto"/>
              <w:bottom w:val="nil" w:sz="6" w:space="0" w:color="auto"/>
              <w:right w:val="nil" w:sz="6" w:space="0" w:color="auto"/>
            </w:tcBorders>
          </w:tcPr>
          <w:p>
            <w:pPr/>
          </w:p>
        </w:tc>
        <w:tc>
          <w:tcPr>
            <w:tcW w:w="218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Arial" w:hAnsi="Arial" w:cs="Arial" w:eastAsia="Arial" w:hint="default"/>
                <w:sz w:val="22"/>
                <w:szCs w:val="22"/>
              </w:rPr>
            </w:pPr>
            <w:r>
              <w:rPr>
                <w:rFonts w:ascii="Arial"/>
                <w:w w:val="95"/>
                <w:sz w:val="22"/>
              </w:rPr>
              <w:t>74,454,394</w:t>
            </w:r>
            <w:r>
              <w:rPr>
                <w:rFonts w:ascii="Arial"/>
                <w:sz w:val="22"/>
              </w:rPr>
            </w:r>
          </w:p>
        </w:tc>
      </w:tr>
      <w:tr>
        <w:trPr>
          <w:trHeight w:val="285" w:hRule="exact"/>
        </w:trPr>
        <w:tc>
          <w:tcPr>
            <w:tcW w:w="4348" w:type="dxa"/>
            <w:tcBorders>
              <w:top w:val="nil" w:sz="6" w:space="0" w:color="auto"/>
              <w:left w:val="nil" w:sz="6" w:space="0" w:color="auto"/>
              <w:bottom w:val="nil" w:sz="6" w:space="0" w:color="auto"/>
              <w:right w:val="nil" w:sz="6" w:space="0" w:color="auto"/>
            </w:tcBorders>
          </w:tcPr>
          <w:p>
            <w:pPr>
              <w:pStyle w:val="TableParagraph"/>
              <w:spacing w:line="255" w:lineRule="exact"/>
              <w:ind w:left="14" w:right="0"/>
              <w:jc w:val="left"/>
              <w:rPr>
                <w:rFonts w:ascii="宋体" w:hAnsi="宋体" w:cs="宋体" w:eastAsia="宋体" w:hint="default"/>
                <w:sz w:val="22"/>
                <w:szCs w:val="22"/>
              </w:rPr>
            </w:pPr>
            <w:r>
              <w:rPr>
                <w:rFonts w:ascii="宋体" w:hAnsi="宋体" w:cs="宋体" w:eastAsia="宋体" w:hint="default"/>
                <w:sz w:val="22"/>
                <w:szCs w:val="22"/>
              </w:rPr>
              <w:t>非货币资产交换收益（注</w:t>
            </w:r>
            <w:r>
              <w:rPr>
                <w:rFonts w:ascii="宋体" w:hAnsi="宋体" w:cs="宋体" w:eastAsia="宋体" w:hint="default"/>
                <w:spacing w:val="-57"/>
                <w:sz w:val="22"/>
                <w:szCs w:val="22"/>
              </w:rPr>
              <w:t> </w:t>
            </w:r>
            <w:r>
              <w:rPr>
                <w:rFonts w:ascii="Arial" w:hAnsi="Arial" w:cs="Arial" w:eastAsia="Arial" w:hint="default"/>
                <w:sz w:val="22"/>
                <w:szCs w:val="22"/>
              </w:rPr>
              <w:t>4</w:t>
            </w:r>
            <w:r>
              <w:rPr>
                <w:rFonts w:ascii="宋体" w:hAnsi="宋体" w:cs="宋体" w:eastAsia="宋体" w:hint="default"/>
                <w:sz w:val="22"/>
                <w:szCs w:val="22"/>
              </w:rPr>
              <w:t>）</w:t>
            </w:r>
          </w:p>
        </w:tc>
        <w:tc>
          <w:tcPr>
            <w:tcW w:w="2239"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9"/>
              <w:jc w:val="right"/>
              <w:rPr>
                <w:rFonts w:ascii="Arial" w:hAnsi="Arial" w:cs="Arial" w:eastAsia="Arial" w:hint="default"/>
                <w:sz w:val="22"/>
                <w:szCs w:val="22"/>
              </w:rPr>
            </w:pPr>
            <w:r>
              <w:rPr>
                <w:rFonts w:ascii="Arial"/>
                <w:w w:val="95"/>
                <w:sz w:val="22"/>
              </w:rPr>
              <w:t>39,953,669</w:t>
            </w:r>
            <w:r>
              <w:rPr>
                <w:rFonts w:ascii="Arial"/>
                <w:sz w:val="22"/>
              </w:rPr>
            </w:r>
          </w:p>
        </w:tc>
        <w:tc>
          <w:tcPr>
            <w:tcW w:w="244" w:type="dxa"/>
            <w:tcBorders>
              <w:top w:val="nil" w:sz="6" w:space="0" w:color="auto"/>
              <w:left w:val="nil" w:sz="6" w:space="0" w:color="auto"/>
              <w:bottom w:val="nil" w:sz="6" w:space="0" w:color="auto"/>
              <w:right w:val="nil" w:sz="6" w:space="0" w:color="auto"/>
            </w:tcBorders>
          </w:tcPr>
          <w:p>
            <w:pPr/>
          </w:p>
        </w:tc>
        <w:tc>
          <w:tcPr>
            <w:tcW w:w="218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Arial" w:hAnsi="Arial" w:cs="Arial" w:eastAsia="Arial" w:hint="default"/>
                <w:sz w:val="22"/>
                <w:szCs w:val="22"/>
              </w:rPr>
            </w:pPr>
            <w:r>
              <w:rPr>
                <w:rFonts w:ascii="Arial"/>
                <w:spacing w:val="-1"/>
                <w:sz w:val="22"/>
              </w:rPr>
              <w:t>1,395,518,676</w:t>
            </w:r>
          </w:p>
        </w:tc>
      </w:tr>
      <w:tr>
        <w:trPr>
          <w:trHeight w:val="365" w:hRule="exact"/>
        </w:trPr>
        <w:tc>
          <w:tcPr>
            <w:tcW w:w="4348" w:type="dxa"/>
            <w:tcBorders>
              <w:top w:val="nil" w:sz="6" w:space="0" w:color="auto"/>
              <w:left w:val="nil" w:sz="6" w:space="0" w:color="auto"/>
              <w:bottom w:val="nil" w:sz="6" w:space="0" w:color="auto"/>
              <w:right w:val="nil" w:sz="6" w:space="0" w:color="auto"/>
            </w:tcBorders>
          </w:tcPr>
          <w:p>
            <w:pPr>
              <w:pStyle w:val="TableParagraph"/>
              <w:spacing w:line="239" w:lineRule="exact"/>
              <w:ind w:left="14"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239" w:type="dxa"/>
            <w:tcBorders>
              <w:top w:val="nil" w:sz="6" w:space="0" w:color="auto"/>
              <w:left w:val="nil" w:sz="6" w:space="0" w:color="auto"/>
              <w:bottom w:val="nil" w:sz="6" w:space="0" w:color="auto"/>
              <w:right w:val="nil" w:sz="6" w:space="0" w:color="auto"/>
            </w:tcBorders>
          </w:tcPr>
          <w:p>
            <w:pPr>
              <w:pStyle w:val="TableParagraph"/>
              <w:tabs>
                <w:tab w:pos="925" w:val="left" w:leader="none"/>
                <w:tab w:pos="2239" w:val="left" w:leader="none"/>
              </w:tabs>
              <w:spacing w:line="240" w:lineRule="auto" w:before="17"/>
              <w:ind w:right="0"/>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117,073,673</w:t>
            </w:r>
            <w:r>
              <w:rPr>
                <w:rFonts w:ascii="Arial"/>
                <w:sz w:val="22"/>
                <w:u w:val="single" w:color="000000"/>
              </w:rPr>
              <w:tab/>
            </w:r>
            <w:r>
              <w:rPr>
                <w:rFonts w:ascii="Arial"/>
                <w:sz w:val="22"/>
              </w:rPr>
            </w:r>
          </w:p>
        </w:tc>
        <w:tc>
          <w:tcPr>
            <w:tcW w:w="244" w:type="dxa"/>
            <w:tcBorders>
              <w:top w:val="nil" w:sz="6" w:space="0" w:color="auto"/>
              <w:left w:val="nil" w:sz="6" w:space="0" w:color="auto"/>
              <w:bottom w:val="nil" w:sz="6" w:space="0" w:color="auto"/>
              <w:right w:val="nil" w:sz="6" w:space="0" w:color="auto"/>
            </w:tcBorders>
          </w:tcPr>
          <w:p>
            <w:pPr/>
          </w:p>
        </w:tc>
        <w:tc>
          <w:tcPr>
            <w:tcW w:w="2185" w:type="dxa"/>
            <w:tcBorders>
              <w:top w:val="nil" w:sz="6" w:space="0" w:color="auto"/>
              <w:left w:val="nil" w:sz="6" w:space="0" w:color="auto"/>
              <w:bottom w:val="nil" w:sz="6" w:space="0" w:color="auto"/>
              <w:right w:val="nil" w:sz="6" w:space="0" w:color="auto"/>
            </w:tcBorders>
          </w:tcPr>
          <w:p>
            <w:pPr>
              <w:pStyle w:val="TableParagraph"/>
              <w:tabs>
                <w:tab w:pos="853" w:val="left" w:leader="none"/>
                <w:tab w:pos="2177"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175,103,685</w:t>
            </w:r>
            <w:r>
              <w:rPr>
                <w:rFonts w:ascii="Arial"/>
                <w:sz w:val="22"/>
                <w:u w:val="single" w:color="000000"/>
              </w:rPr>
              <w:tab/>
            </w:r>
            <w:r>
              <w:rPr>
                <w:rFonts w:ascii="Arial"/>
                <w:sz w:val="22"/>
              </w:rPr>
            </w:r>
          </w:p>
        </w:tc>
      </w:tr>
    </w:tbl>
    <w:p>
      <w:pPr>
        <w:spacing w:line="240" w:lineRule="auto" w:before="3"/>
        <w:rPr>
          <w:rFonts w:ascii="黑体" w:hAnsi="黑体" w:cs="黑体" w:eastAsia="黑体" w:hint="default"/>
          <w:sz w:val="8"/>
          <w:szCs w:val="8"/>
        </w:rPr>
      </w:pPr>
    </w:p>
    <w:p>
      <w:pPr>
        <w:pStyle w:val="BodyText"/>
        <w:tabs>
          <w:tab w:pos="5639" w:val="left" w:leader="none"/>
          <w:tab w:pos="8050" w:val="left" w:leader="none"/>
        </w:tabs>
        <w:spacing w:line="240" w:lineRule="auto" w:before="27"/>
        <w:ind w:left="564" w:right="109"/>
        <w:jc w:val="left"/>
        <w:rPr>
          <w:rFonts w:ascii="Arial" w:hAnsi="Arial" w:cs="Arial" w:eastAsia="Arial" w:hint="default"/>
        </w:rPr>
      </w:pPr>
      <w:r>
        <w:rPr>
          <w:w w:val="95"/>
          <w:position w:val="2"/>
        </w:rPr>
        <w:t>合计</w:t>
        <w:tab/>
      </w:r>
      <w:r>
        <w:rPr>
          <w:rFonts w:ascii="Arial" w:hAnsi="Arial" w:cs="Arial" w:eastAsia="Arial" w:hint="default"/>
          <w:spacing w:val="-1"/>
        </w:rPr>
        <w:t>1,100,637,091</w:t>
        <w:tab/>
        <w:t>2,449,873,393</w:t>
      </w:r>
    </w:p>
    <w:p>
      <w:pPr>
        <w:tabs>
          <w:tab w:pos="7366" w:val="left" w:leader="none"/>
        </w:tabs>
        <w:spacing w:line="43" w:lineRule="exact"/>
        <w:ind w:left="4883" w:right="0" w:firstLine="0"/>
        <w:rPr>
          <w:rFonts w:ascii="Arial" w:hAnsi="Arial" w:cs="Arial" w:eastAsia="Arial" w:hint="default"/>
          <w:sz w:val="4"/>
          <w:szCs w:val="4"/>
        </w:rPr>
      </w:pPr>
      <w:r>
        <w:rPr>
          <w:rFonts w:ascii="Arial"/>
          <w:position w:val="0"/>
          <w:sz w:val="4"/>
        </w:rPr>
        <w:pict>
          <v:group style="width:113.4pt;height:2.2pt;mso-position-horizontal-relative:char;mso-position-vertical-relative:line" coordorigin="0,0" coordsize="2268,44">
            <v:group style="position:absolute;left:7;top:36;width:2254;height:2" coordorigin="7,36" coordsize="2254,2">
              <v:shape style="position:absolute;left:7;top:36;width:2254;height:2" coordorigin="7,36" coordsize="2254,0" path="m7,36l2261,36e" filled="false" stroked="true" strokeweight=".72pt" strokecolor="#000000">
                <v:path arrowok="t"/>
              </v:shape>
            </v:group>
            <v:group style="position:absolute;left:7;top:7;width:2254;height:2" coordorigin="7,7" coordsize="2254,2">
              <v:shape style="position:absolute;left:7;top:7;width:2254;height:2" coordorigin="7,7" coordsize="2254,0" path="m7,7l2261,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110.35pt;height:2.2pt;mso-position-horizontal-relative:char;mso-position-vertical-relative:line" coordorigin="0,0" coordsize="2207,44">
            <v:group style="position:absolute;left:7;top:36;width:2193;height:2" coordorigin="7,36" coordsize="2193,2">
              <v:shape style="position:absolute;left:7;top:36;width:2193;height:2" coordorigin="7,36" coordsize="2193,0" path="m7,36l2200,36e" filled="false" stroked="true" strokeweight=".72pt" strokecolor="#000000">
                <v:path arrowok="t"/>
              </v:shape>
            </v:group>
            <v:group style="position:absolute;left:7;top:7;width:2193;height:2" coordorigin="7,7" coordsize="2193,2">
              <v:shape style="position:absolute;left:7;top:7;width:2193;height:2" coordorigin="7,7" coordsize="2193,0" path="m7,7l2200,7e" filled="false" stroked="true" strokeweight=".72pt" strokecolor="#000000">
                <v:path arrowok="t"/>
              </v:shape>
            </v:group>
          </v:group>
        </w:pict>
      </w:r>
      <w:r>
        <w:rPr>
          <w:rFonts w:ascii="Arial"/>
          <w:position w:val="0"/>
          <w:sz w:val="4"/>
        </w:rPr>
      </w:r>
    </w:p>
    <w:p>
      <w:pPr>
        <w:spacing w:line="240" w:lineRule="auto" w:before="5"/>
        <w:rPr>
          <w:rFonts w:ascii="Arial" w:hAnsi="Arial" w:cs="Arial" w:eastAsia="Arial" w:hint="default"/>
          <w:sz w:val="16"/>
          <w:szCs w:val="16"/>
        </w:rPr>
      </w:pPr>
    </w:p>
    <w:p>
      <w:pPr>
        <w:pStyle w:val="BodyText"/>
        <w:spacing w:line="240" w:lineRule="auto" w:before="31"/>
        <w:ind w:left="592" w:right="109"/>
        <w:jc w:val="left"/>
      </w:pPr>
      <w:r>
        <w:rPr/>
        <w:t>注</w:t>
      </w:r>
      <w:r>
        <w:rPr>
          <w:spacing w:val="-56"/>
        </w:rPr>
        <w:t> </w:t>
      </w:r>
      <w:r>
        <w:rPr>
          <w:rFonts w:ascii="Arial" w:hAnsi="Arial" w:cs="Arial" w:eastAsia="Arial" w:hint="default"/>
        </w:rPr>
        <w:t>1</w:t>
      </w:r>
      <w:r>
        <w:rPr/>
        <w:t>：于</w:t>
      </w:r>
      <w:r>
        <w:rPr>
          <w:spacing w:val="-56"/>
        </w:rPr>
        <w:t> </w:t>
      </w:r>
      <w:r>
        <w:rPr>
          <w:rFonts w:ascii="Arial" w:hAnsi="Arial" w:cs="Arial" w:eastAsia="Arial" w:hint="default"/>
        </w:rPr>
        <w:t>2009</w:t>
      </w:r>
      <w:r>
        <w:rPr>
          <w:rFonts w:ascii="Arial" w:hAnsi="Arial" w:cs="Arial" w:eastAsia="Arial" w:hint="default"/>
          <w:spacing w:val="-7"/>
        </w:rPr>
        <w:t> </w:t>
      </w:r>
      <w:r>
        <w:rPr/>
        <w:t>年度，本集团对已达到使用期限或无使用价值的固定资产进行了处置。</w:t>
      </w:r>
    </w:p>
    <w:p>
      <w:pPr>
        <w:spacing w:line="240" w:lineRule="auto" w:before="2"/>
        <w:rPr>
          <w:rFonts w:ascii="宋体" w:hAnsi="宋体" w:cs="宋体" w:eastAsia="宋体" w:hint="default"/>
          <w:sz w:val="20"/>
          <w:szCs w:val="20"/>
        </w:rPr>
      </w:pPr>
    </w:p>
    <w:p>
      <w:pPr>
        <w:pStyle w:val="BodyText"/>
        <w:spacing w:line="286" w:lineRule="exact"/>
        <w:ind w:left="1235" w:right="112" w:hanging="645"/>
        <w:jc w:val="left"/>
      </w:pPr>
      <w:r>
        <w:rPr/>
        <w:t>注</w:t>
      </w:r>
      <w:r>
        <w:rPr>
          <w:spacing w:val="-34"/>
        </w:rPr>
        <w:t> </w:t>
      </w:r>
      <w:r>
        <w:rPr>
          <w:rFonts w:ascii="Arial" w:hAnsi="Arial" w:cs="Arial" w:eastAsia="Arial" w:hint="default"/>
        </w:rPr>
        <w:t>2</w:t>
      </w:r>
      <w:r>
        <w:rPr/>
        <w:t>：于</w:t>
      </w:r>
      <w:r>
        <w:rPr>
          <w:spacing w:val="-33"/>
        </w:rPr>
        <w:t> </w:t>
      </w:r>
      <w:r>
        <w:rPr>
          <w:rFonts w:ascii="Arial" w:hAnsi="Arial" w:cs="Arial" w:eastAsia="Arial" w:hint="default"/>
        </w:rPr>
        <w:t>2009</w:t>
      </w:r>
      <w:r>
        <w:rPr>
          <w:rFonts w:ascii="Arial" w:hAnsi="Arial" w:cs="Arial" w:eastAsia="Arial" w:hint="default"/>
          <w:spacing w:val="16"/>
        </w:rPr>
        <w:t> </w:t>
      </w:r>
      <w:r>
        <w:rPr/>
        <w:t>年度，本集团对账龄较长且已无法支付的应付款项进行清理后转入营业外收入</w:t>
      </w:r>
      <w:r>
        <w:rPr>
          <w:w w:val="99"/>
        </w:rPr>
        <w:t> </w:t>
      </w:r>
      <w:r>
        <w:rPr/>
        <w:t>约人民币</w:t>
      </w:r>
      <w:r>
        <w:rPr>
          <w:spacing w:val="-57"/>
        </w:rPr>
        <w:t> </w:t>
      </w:r>
      <w:r>
        <w:rPr>
          <w:rFonts w:ascii="Arial" w:hAnsi="Arial" w:cs="Arial" w:eastAsia="Arial" w:hint="default"/>
        </w:rPr>
        <w:t>3.91</w:t>
      </w:r>
      <w:r>
        <w:rPr>
          <w:rFonts w:ascii="Arial" w:hAnsi="Arial" w:cs="Arial" w:eastAsia="Arial" w:hint="default"/>
          <w:spacing w:val="-8"/>
        </w:rPr>
        <w:t> </w:t>
      </w:r>
      <w:r>
        <w:rPr/>
        <w:t>亿元（</w:t>
      </w:r>
      <w:r>
        <w:rPr>
          <w:rFonts w:ascii="Arial" w:hAnsi="Arial" w:cs="Arial" w:eastAsia="Arial" w:hint="default"/>
        </w:rPr>
        <w:t>2008</w:t>
      </w:r>
      <w:r>
        <w:rPr>
          <w:rFonts w:ascii="Arial" w:hAnsi="Arial" w:cs="Arial" w:eastAsia="Arial" w:hint="default"/>
          <w:spacing w:val="-8"/>
        </w:rPr>
        <w:t> </w:t>
      </w:r>
      <w:r>
        <w:rPr/>
        <w:t>年度：约人民币</w:t>
      </w:r>
      <w:r>
        <w:rPr>
          <w:spacing w:val="-57"/>
        </w:rPr>
        <w:t> </w:t>
      </w:r>
      <w:r>
        <w:rPr>
          <w:rFonts w:ascii="Arial" w:hAnsi="Arial" w:cs="Arial" w:eastAsia="Arial" w:hint="default"/>
        </w:rPr>
        <w:t>5.33</w:t>
      </w:r>
      <w:r>
        <w:rPr>
          <w:rFonts w:ascii="Arial" w:hAnsi="Arial" w:cs="Arial" w:eastAsia="Arial" w:hint="default"/>
          <w:spacing w:val="-8"/>
        </w:rPr>
        <w:t> </w:t>
      </w:r>
      <w:r>
        <w:rPr/>
        <w:t>亿元）。</w:t>
      </w:r>
    </w:p>
    <w:p>
      <w:pPr>
        <w:spacing w:line="240" w:lineRule="auto" w:before="1"/>
        <w:rPr>
          <w:rFonts w:ascii="宋体" w:hAnsi="宋体" w:cs="宋体" w:eastAsia="宋体" w:hint="default"/>
          <w:sz w:val="17"/>
          <w:szCs w:val="17"/>
        </w:rPr>
      </w:pPr>
    </w:p>
    <w:p>
      <w:pPr>
        <w:pStyle w:val="BodyText"/>
        <w:spacing w:line="240" w:lineRule="auto"/>
        <w:ind w:left="578" w:right="109"/>
        <w:jc w:val="left"/>
      </w:pPr>
      <w:r>
        <w:rPr/>
        <w:t>注</w:t>
      </w:r>
      <w:r>
        <w:rPr>
          <w:spacing w:val="-58"/>
        </w:rPr>
        <w:t> </w:t>
      </w:r>
      <w:r>
        <w:rPr>
          <w:rFonts w:ascii="Arial" w:hAnsi="Arial" w:cs="Arial" w:eastAsia="Arial" w:hint="default"/>
        </w:rPr>
        <w:t>3</w:t>
      </w:r>
      <w:r>
        <w:rPr/>
        <w:t>：政府补助明细</w:t>
      </w:r>
    </w:p>
    <w:p>
      <w:pPr>
        <w:spacing w:line="240" w:lineRule="auto" w:before="13"/>
        <w:rPr>
          <w:rFonts w:ascii="宋体" w:hAnsi="宋体" w:cs="宋体" w:eastAsia="宋体" w:hint="default"/>
          <w:sz w:val="17"/>
          <w:szCs w:val="17"/>
        </w:rPr>
      </w:pPr>
    </w:p>
    <w:p>
      <w:pPr>
        <w:pStyle w:val="BodyText"/>
        <w:tabs>
          <w:tab w:pos="4818" w:val="left" w:leader="none"/>
          <w:tab w:pos="9017" w:val="left" w:leader="none"/>
        </w:tabs>
        <w:spacing w:line="240" w:lineRule="auto"/>
        <w:ind w:left="2999" w:right="109"/>
        <w:jc w:val="left"/>
      </w:pPr>
      <w:r>
        <w:rPr>
          <w:rFonts w:ascii="Arial" w:hAnsi="Arial" w:cs="Arial" w:eastAsia="Arial" w:hint="default"/>
        </w:rPr>
        <w:t>2009</w:t>
      </w:r>
      <w:r>
        <w:rPr>
          <w:rFonts w:ascii="Arial" w:hAnsi="Arial" w:cs="Arial" w:eastAsia="Arial" w:hint="default"/>
          <w:spacing w:val="-8"/>
        </w:rPr>
        <w:t> </w:t>
      </w:r>
      <w:r>
        <w:rPr/>
        <w:t>年度</w:t>
        <w:tab/>
      </w:r>
      <w:r>
        <w:rPr>
          <w:rFonts w:ascii="Arial" w:hAnsi="Arial" w:cs="Arial" w:eastAsia="Arial" w:hint="default"/>
        </w:rPr>
        <w:t>2008</w:t>
      </w:r>
      <w:r>
        <w:rPr>
          <w:rFonts w:ascii="Arial" w:hAnsi="Arial" w:cs="Arial" w:eastAsia="Arial" w:hint="default"/>
          <w:spacing w:val="-8"/>
        </w:rPr>
        <w:t> </w:t>
      </w:r>
      <w:r>
        <w:rPr/>
        <w:t>年度</w:t>
        <w:tab/>
        <w:t>说明</w:t>
      </w:r>
    </w:p>
    <w:p>
      <w:pPr>
        <w:spacing w:line="240" w:lineRule="auto" w:before="0"/>
        <w:rPr>
          <w:rFonts w:ascii="宋体" w:hAnsi="宋体" w:cs="宋体" w:eastAsia="宋体" w:hint="default"/>
          <w:sz w:val="2"/>
          <w:szCs w:val="2"/>
        </w:rPr>
      </w:pPr>
    </w:p>
    <w:tbl>
      <w:tblPr>
        <w:tblW w:w="0" w:type="auto"/>
        <w:jc w:val="left"/>
        <w:tblInd w:w="622" w:type="dxa"/>
        <w:tblLayout w:type="fixed"/>
        <w:tblCellMar>
          <w:top w:w="0" w:type="dxa"/>
          <w:left w:w="0" w:type="dxa"/>
          <w:bottom w:w="0" w:type="dxa"/>
          <w:right w:w="0" w:type="dxa"/>
        </w:tblCellMar>
        <w:tblLook w:val="01E0"/>
      </w:tblPr>
      <w:tblGrid>
        <w:gridCol w:w="1671"/>
        <w:gridCol w:w="90"/>
        <w:gridCol w:w="1702"/>
        <w:gridCol w:w="238"/>
        <w:gridCol w:w="1582"/>
        <w:gridCol w:w="238"/>
        <w:gridCol w:w="3416"/>
      </w:tblGrid>
      <w:tr>
        <w:trPr>
          <w:trHeight w:val="591" w:hRule="exact"/>
        </w:trPr>
        <w:tc>
          <w:tcPr>
            <w:tcW w:w="167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电信服务补贴</w:t>
            </w:r>
          </w:p>
        </w:tc>
        <w:tc>
          <w:tcPr>
            <w:tcW w:w="1791" w:type="dxa"/>
            <w:gridSpan w:val="2"/>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left="588" w:right="0"/>
              <w:jc w:val="left"/>
              <w:rPr>
                <w:rFonts w:ascii="Arial" w:hAnsi="Arial" w:cs="Arial" w:eastAsia="Arial" w:hint="default"/>
                <w:sz w:val="22"/>
                <w:szCs w:val="22"/>
              </w:rPr>
            </w:pPr>
            <w:r>
              <w:rPr>
                <w:rFonts w:ascii="Arial"/>
                <w:sz w:val="22"/>
              </w:rPr>
              <w:t>60,000,000</w:t>
            </w:r>
          </w:p>
        </w:tc>
        <w:tc>
          <w:tcPr>
            <w:tcW w:w="238" w:type="dxa"/>
            <w:tcBorders>
              <w:top w:val="nil" w:sz="6" w:space="0" w:color="auto"/>
              <w:left w:val="nil" w:sz="6" w:space="0" w:color="auto"/>
              <w:bottom w:val="nil" w:sz="6" w:space="0" w:color="auto"/>
              <w:right w:val="nil" w:sz="6" w:space="0" w:color="auto"/>
            </w:tcBorders>
          </w:tcPr>
          <w:p>
            <w:pPr/>
          </w:p>
        </w:tc>
        <w:tc>
          <w:tcPr>
            <w:tcW w:w="1582" w:type="dxa"/>
            <w:tcBorders>
              <w:top w:val="single" w:sz="6" w:space="0" w:color="000000"/>
              <w:left w:val="nil" w:sz="6" w:space="0" w:color="auto"/>
              <w:bottom w:val="nil" w:sz="6" w:space="0" w:color="auto"/>
              <w:right w:val="nil" w:sz="6" w:space="0" w:color="auto"/>
            </w:tcBorders>
          </w:tcPr>
          <w:p>
            <w:pPr>
              <w:pStyle w:val="TableParagraph"/>
              <w:spacing w:line="253" w:lineRule="exact"/>
              <w:ind w:left="378" w:right="0"/>
              <w:jc w:val="left"/>
              <w:rPr>
                <w:rFonts w:ascii="宋体" w:hAnsi="宋体" w:cs="宋体" w:eastAsia="宋体" w:hint="default"/>
                <w:sz w:val="22"/>
                <w:szCs w:val="22"/>
              </w:rPr>
            </w:pPr>
            <w:r>
              <w:rPr>
                <w:rFonts w:ascii="宋体" w:hAnsi="宋体" w:cs="宋体" w:eastAsia="宋体" w:hint="default"/>
                <w:sz w:val="22"/>
                <w:szCs w:val="22"/>
              </w:rPr>
              <w:t>（经重列）</w:t>
            </w:r>
          </w:p>
          <w:p>
            <w:pPr>
              <w:pStyle w:val="TableParagraph"/>
              <w:spacing w:line="240" w:lineRule="auto" w:before="63"/>
              <w:ind w:left="378" w:right="0"/>
              <w:jc w:val="left"/>
              <w:rPr>
                <w:rFonts w:ascii="Arial" w:hAnsi="Arial" w:cs="Arial" w:eastAsia="Arial" w:hint="default"/>
                <w:sz w:val="22"/>
                <w:szCs w:val="22"/>
              </w:rPr>
            </w:pPr>
            <w:r>
              <w:rPr>
                <w:rFonts w:ascii="Arial"/>
                <w:sz w:val="22"/>
              </w:rPr>
              <w:t>42,000,000</w:t>
            </w:r>
          </w:p>
        </w:tc>
        <w:tc>
          <w:tcPr>
            <w:tcW w:w="238" w:type="dxa"/>
            <w:tcBorders>
              <w:top w:val="nil" w:sz="6" w:space="0" w:color="auto"/>
              <w:left w:val="nil" w:sz="6" w:space="0" w:color="auto"/>
              <w:bottom w:val="nil" w:sz="6" w:space="0" w:color="auto"/>
              <w:right w:val="nil" w:sz="6" w:space="0" w:color="auto"/>
            </w:tcBorders>
          </w:tcPr>
          <w:p>
            <w:pPr/>
          </w:p>
        </w:tc>
        <w:tc>
          <w:tcPr>
            <w:tcW w:w="3416" w:type="dxa"/>
            <w:tcBorders>
              <w:top w:val="single" w:sz="6" w:space="0" w:color="000000"/>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15" w:right="0"/>
              <w:jc w:val="left"/>
              <w:rPr>
                <w:rFonts w:ascii="宋体" w:hAnsi="宋体" w:cs="宋体" w:eastAsia="宋体" w:hint="default"/>
                <w:sz w:val="22"/>
                <w:szCs w:val="22"/>
              </w:rPr>
            </w:pPr>
            <w:r>
              <w:rPr>
                <w:rFonts w:ascii="宋体" w:hAnsi="宋体" w:cs="宋体" w:eastAsia="宋体" w:hint="default"/>
                <w:sz w:val="22"/>
                <w:szCs w:val="22"/>
              </w:rPr>
              <w:t>村村通电信服务补贴</w:t>
            </w:r>
          </w:p>
        </w:tc>
      </w:tr>
      <w:tr>
        <w:trPr>
          <w:trHeight w:val="285" w:hRule="exact"/>
        </w:trPr>
        <w:tc>
          <w:tcPr>
            <w:tcW w:w="1671"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高技术产业补贴</w:t>
            </w:r>
          </w:p>
        </w:tc>
        <w:tc>
          <w:tcPr>
            <w:tcW w:w="17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7"/>
              <w:ind w:left="588" w:right="0"/>
              <w:jc w:val="left"/>
              <w:rPr>
                <w:rFonts w:ascii="Arial" w:hAnsi="Arial" w:cs="Arial" w:eastAsia="Arial" w:hint="default"/>
                <w:sz w:val="22"/>
                <w:szCs w:val="22"/>
              </w:rPr>
            </w:pPr>
            <w:r>
              <w:rPr>
                <w:rFonts w:ascii="Arial"/>
                <w:sz w:val="22"/>
              </w:rPr>
              <w:t>30,000,000</w:t>
            </w:r>
          </w:p>
        </w:tc>
        <w:tc>
          <w:tcPr>
            <w:tcW w:w="238"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9"/>
              <w:jc w:val="right"/>
              <w:rPr>
                <w:rFonts w:ascii="Arial" w:hAnsi="Arial" w:cs="Arial" w:eastAsia="Arial" w:hint="default"/>
                <w:sz w:val="22"/>
                <w:szCs w:val="22"/>
              </w:rPr>
            </w:pPr>
            <w:r>
              <w:rPr>
                <w:rFonts w:ascii="Arial"/>
                <w:w w:val="99"/>
                <w:sz w:val="22"/>
              </w:rPr>
              <w:t>-</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3416" w:type="dxa"/>
            <w:tcBorders>
              <w:top w:val="nil" w:sz="6" w:space="0" w:color="auto"/>
              <w:left w:val="nil" w:sz="6" w:space="0" w:color="auto"/>
              <w:bottom w:val="nil" w:sz="6" w:space="0" w:color="auto"/>
              <w:right w:val="nil" w:sz="6" w:space="0" w:color="auto"/>
            </w:tcBorders>
          </w:tcPr>
          <w:p>
            <w:pPr>
              <w:pStyle w:val="TableParagraph"/>
              <w:spacing w:line="239" w:lineRule="exact"/>
              <w:ind w:left="115" w:right="0"/>
              <w:jc w:val="left"/>
              <w:rPr>
                <w:rFonts w:ascii="宋体" w:hAnsi="宋体" w:cs="宋体" w:eastAsia="宋体" w:hint="default"/>
                <w:sz w:val="22"/>
                <w:szCs w:val="22"/>
              </w:rPr>
            </w:pPr>
            <w:r>
              <w:rPr>
                <w:rFonts w:ascii="宋体" w:hAnsi="宋体" w:cs="宋体" w:eastAsia="宋体" w:hint="default"/>
                <w:sz w:val="22"/>
                <w:szCs w:val="22"/>
              </w:rPr>
              <w:t>国债专项高技术产业补助</w:t>
            </w:r>
          </w:p>
        </w:tc>
      </w:tr>
      <w:tr>
        <w:trPr>
          <w:trHeight w:val="285" w:hRule="exact"/>
        </w:trPr>
        <w:tc>
          <w:tcPr>
            <w:tcW w:w="1671"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战备应急补贴</w:t>
            </w:r>
          </w:p>
        </w:tc>
        <w:tc>
          <w:tcPr>
            <w:tcW w:w="17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7"/>
              <w:ind w:left="588" w:right="0"/>
              <w:jc w:val="left"/>
              <w:rPr>
                <w:rFonts w:ascii="Arial" w:hAnsi="Arial" w:cs="Arial" w:eastAsia="Arial" w:hint="default"/>
                <w:sz w:val="22"/>
                <w:szCs w:val="22"/>
              </w:rPr>
            </w:pPr>
            <w:r>
              <w:rPr>
                <w:rFonts w:ascii="Arial"/>
                <w:sz w:val="22"/>
              </w:rPr>
              <w:t>19,750,000</w:t>
            </w:r>
          </w:p>
        </w:tc>
        <w:tc>
          <w:tcPr>
            <w:tcW w:w="238"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9"/>
              <w:jc w:val="right"/>
              <w:rPr>
                <w:rFonts w:ascii="Arial" w:hAnsi="Arial" w:cs="Arial" w:eastAsia="Arial" w:hint="default"/>
                <w:sz w:val="22"/>
                <w:szCs w:val="22"/>
              </w:rPr>
            </w:pPr>
            <w:r>
              <w:rPr>
                <w:rFonts w:ascii="Arial"/>
                <w:w w:val="99"/>
                <w:sz w:val="22"/>
              </w:rPr>
              <w:t>-</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3416" w:type="dxa"/>
            <w:tcBorders>
              <w:top w:val="nil" w:sz="6" w:space="0" w:color="auto"/>
              <w:left w:val="nil" w:sz="6" w:space="0" w:color="auto"/>
              <w:bottom w:val="nil" w:sz="6" w:space="0" w:color="auto"/>
              <w:right w:val="nil" w:sz="6" w:space="0" w:color="auto"/>
            </w:tcBorders>
          </w:tcPr>
          <w:p>
            <w:pPr>
              <w:pStyle w:val="TableParagraph"/>
              <w:spacing w:line="239" w:lineRule="exact"/>
              <w:ind w:left="115" w:right="0"/>
              <w:jc w:val="left"/>
              <w:rPr>
                <w:rFonts w:ascii="宋体" w:hAnsi="宋体" w:cs="宋体" w:eastAsia="宋体" w:hint="default"/>
                <w:sz w:val="22"/>
                <w:szCs w:val="22"/>
              </w:rPr>
            </w:pPr>
            <w:r>
              <w:rPr>
                <w:rFonts w:ascii="宋体" w:hAnsi="宋体" w:cs="宋体" w:eastAsia="宋体" w:hint="default"/>
                <w:sz w:val="22"/>
                <w:szCs w:val="22"/>
              </w:rPr>
              <w:t>战备应急通信运营维护专项经费</w:t>
            </w:r>
          </w:p>
        </w:tc>
      </w:tr>
      <w:tr>
        <w:trPr>
          <w:trHeight w:val="285" w:hRule="exact"/>
        </w:trPr>
        <w:tc>
          <w:tcPr>
            <w:tcW w:w="1671"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高新区补贴</w:t>
            </w:r>
          </w:p>
        </w:tc>
        <w:tc>
          <w:tcPr>
            <w:tcW w:w="179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7"/>
              <w:ind w:left="588" w:right="0"/>
              <w:jc w:val="left"/>
              <w:rPr>
                <w:rFonts w:ascii="Arial" w:hAnsi="Arial" w:cs="Arial" w:eastAsia="Arial" w:hint="default"/>
                <w:sz w:val="22"/>
                <w:szCs w:val="22"/>
              </w:rPr>
            </w:pPr>
            <w:r>
              <w:rPr>
                <w:rFonts w:ascii="Arial"/>
                <w:sz w:val="22"/>
              </w:rPr>
              <w:t>12,000,000</w:t>
            </w:r>
          </w:p>
        </w:tc>
        <w:tc>
          <w:tcPr>
            <w:tcW w:w="238"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99"/>
              <w:jc w:val="right"/>
              <w:rPr>
                <w:rFonts w:ascii="Arial" w:hAnsi="Arial" w:cs="Arial" w:eastAsia="Arial" w:hint="default"/>
                <w:sz w:val="22"/>
                <w:szCs w:val="22"/>
              </w:rPr>
            </w:pPr>
            <w:r>
              <w:rPr>
                <w:rFonts w:ascii="Arial"/>
                <w:w w:val="95"/>
                <w:sz w:val="22"/>
              </w:rPr>
              <w:t>8,090,000</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3416" w:type="dxa"/>
            <w:tcBorders>
              <w:top w:val="nil" w:sz="6" w:space="0" w:color="auto"/>
              <w:left w:val="nil" w:sz="6" w:space="0" w:color="auto"/>
              <w:bottom w:val="nil" w:sz="6" w:space="0" w:color="auto"/>
              <w:right w:val="nil" w:sz="6" w:space="0" w:color="auto"/>
            </w:tcBorders>
          </w:tcPr>
          <w:p>
            <w:pPr>
              <w:pStyle w:val="TableParagraph"/>
              <w:spacing w:line="239" w:lineRule="exact"/>
              <w:ind w:left="115" w:right="0"/>
              <w:jc w:val="left"/>
              <w:rPr>
                <w:rFonts w:ascii="宋体" w:hAnsi="宋体" w:cs="宋体" w:eastAsia="宋体" w:hint="default"/>
                <w:sz w:val="22"/>
                <w:szCs w:val="22"/>
              </w:rPr>
            </w:pPr>
            <w:r>
              <w:rPr>
                <w:rFonts w:ascii="宋体" w:hAnsi="宋体" w:cs="宋体" w:eastAsia="宋体" w:hint="default"/>
                <w:sz w:val="22"/>
                <w:szCs w:val="22"/>
              </w:rPr>
              <w:t>浙江高新区优势产业集群补助</w:t>
            </w:r>
          </w:p>
        </w:tc>
      </w:tr>
      <w:tr>
        <w:trPr>
          <w:trHeight w:val="420" w:hRule="exact"/>
        </w:trPr>
        <w:tc>
          <w:tcPr>
            <w:tcW w:w="1671" w:type="dxa"/>
            <w:tcBorders>
              <w:top w:val="nil" w:sz="6" w:space="0" w:color="auto"/>
              <w:left w:val="nil" w:sz="6" w:space="0" w:color="auto"/>
              <w:bottom w:val="nil" w:sz="6" w:space="0" w:color="auto"/>
              <w:right w:val="nil" w:sz="6" w:space="0" w:color="auto"/>
            </w:tcBorders>
          </w:tcPr>
          <w:p>
            <w:pPr>
              <w:pStyle w:val="TableParagraph"/>
              <w:spacing w:line="240" w:lineRule="exact"/>
              <w:ind w:left="35"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1791" w:type="dxa"/>
            <w:gridSpan w:val="2"/>
            <w:tcBorders>
              <w:top w:val="nil" w:sz="6" w:space="0" w:color="auto"/>
              <w:left w:val="nil" w:sz="6" w:space="0" w:color="auto"/>
              <w:bottom w:val="nil" w:sz="6" w:space="0" w:color="auto"/>
              <w:right w:val="nil" w:sz="6" w:space="0" w:color="auto"/>
            </w:tcBorders>
          </w:tcPr>
          <w:p>
            <w:pPr>
              <w:pStyle w:val="TableParagraph"/>
              <w:tabs>
                <w:tab w:pos="588" w:val="left" w:leader="none"/>
                <w:tab w:pos="1791" w:val="left" w:leader="none"/>
              </w:tabs>
              <w:spacing w:line="240" w:lineRule="auto" w:before="18"/>
              <w:ind w:left="96"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19,633,018</w:t>
              <w:tab/>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Style w:val="TableParagraph"/>
              <w:tabs>
                <w:tab w:pos="378" w:val="left" w:leader="none"/>
                <w:tab w:pos="1581" w:val="left" w:leader="none"/>
              </w:tabs>
              <w:spacing w:line="240" w:lineRule="auto" w:before="18"/>
              <w:ind w:right="0"/>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24,364,394</w:t>
            </w:r>
            <w:r>
              <w:rPr>
                <w:rFonts w:ascii="Arial"/>
                <w:sz w:val="22"/>
                <w:u w:val="single" w:color="000000"/>
              </w:rPr>
              <w:tab/>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3416" w:type="dxa"/>
            <w:tcBorders>
              <w:top w:val="nil" w:sz="6" w:space="0" w:color="auto"/>
              <w:left w:val="nil" w:sz="6" w:space="0" w:color="auto"/>
              <w:bottom w:val="nil" w:sz="6" w:space="0" w:color="auto"/>
              <w:right w:val="nil" w:sz="6" w:space="0" w:color="auto"/>
            </w:tcBorders>
          </w:tcPr>
          <w:p>
            <w:pPr>
              <w:pStyle w:val="TableParagraph"/>
              <w:spacing w:line="240" w:lineRule="exact"/>
              <w:ind w:left="115" w:right="0"/>
              <w:jc w:val="left"/>
              <w:rPr>
                <w:rFonts w:ascii="宋体" w:hAnsi="宋体" w:cs="宋体" w:eastAsia="宋体" w:hint="default"/>
                <w:sz w:val="22"/>
                <w:szCs w:val="22"/>
              </w:rPr>
            </w:pPr>
            <w:r>
              <w:rPr>
                <w:rFonts w:ascii="宋体" w:hAnsi="宋体" w:cs="宋体" w:eastAsia="宋体" w:hint="default"/>
                <w:sz w:val="22"/>
                <w:szCs w:val="22"/>
              </w:rPr>
              <w:t>其他</w:t>
            </w:r>
          </w:p>
        </w:tc>
      </w:tr>
      <w:tr>
        <w:trPr>
          <w:trHeight w:val="430" w:hRule="exact"/>
        </w:trPr>
        <w:tc>
          <w:tcPr>
            <w:tcW w:w="17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702"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left="377" w:right="0"/>
              <w:jc w:val="left"/>
              <w:rPr>
                <w:rFonts w:ascii="Arial" w:hAnsi="Arial" w:cs="Arial" w:eastAsia="Arial" w:hint="default"/>
                <w:sz w:val="22"/>
                <w:szCs w:val="22"/>
              </w:rPr>
            </w:pPr>
            <w:r>
              <w:rPr>
                <w:rFonts w:ascii="Arial"/>
                <w:sz w:val="22"/>
              </w:rPr>
              <w:t>141,383,018</w:t>
            </w:r>
          </w:p>
        </w:tc>
        <w:tc>
          <w:tcPr>
            <w:tcW w:w="238"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99"/>
              <w:jc w:val="right"/>
              <w:rPr>
                <w:rFonts w:ascii="Arial" w:hAnsi="Arial" w:cs="Arial" w:eastAsia="Arial" w:hint="default"/>
                <w:sz w:val="22"/>
                <w:szCs w:val="22"/>
              </w:rPr>
            </w:pPr>
            <w:r>
              <w:rPr>
                <w:rFonts w:ascii="Arial"/>
                <w:w w:val="95"/>
                <w:sz w:val="22"/>
              </w:rPr>
              <w:t>74,454,394</w:t>
            </w:r>
            <w:r>
              <w:rPr>
                <w:rFonts w:ascii="Arial"/>
                <w:sz w:val="22"/>
              </w:rPr>
            </w:r>
          </w:p>
        </w:tc>
        <w:tc>
          <w:tcPr>
            <w:tcW w:w="3654" w:type="dxa"/>
            <w:gridSpan w:val="2"/>
            <w:tcBorders>
              <w:top w:val="nil" w:sz="6" w:space="0" w:color="auto"/>
              <w:left w:val="nil" w:sz="6" w:space="0" w:color="auto"/>
              <w:bottom w:val="nil" w:sz="6" w:space="0" w:color="auto"/>
              <w:right w:val="nil" w:sz="6" w:space="0" w:color="auto"/>
            </w:tcBorders>
          </w:tcPr>
          <w:p>
            <w:pPr/>
          </w:p>
        </w:tc>
      </w:tr>
    </w:tbl>
    <w:p>
      <w:pPr>
        <w:spacing w:after="0"/>
        <w:sectPr>
          <w:headerReference w:type="default" r:id="rId116"/>
          <w:pgSz w:w="11910" w:h="16840"/>
          <w:pgMar w:header="1189" w:footer="752" w:top="4160" w:bottom="940" w:left="1280" w:right="920"/>
        </w:sectPr>
      </w:pPr>
    </w:p>
    <w:p>
      <w:pPr>
        <w:spacing w:line="240" w:lineRule="auto" w:before="12"/>
        <w:rPr>
          <w:rFonts w:ascii="宋体" w:hAnsi="宋体" w:cs="宋体" w:eastAsia="宋体" w:hint="default"/>
          <w:sz w:val="15"/>
          <w:szCs w:val="15"/>
        </w:rPr>
      </w:pPr>
    </w:p>
    <w:p>
      <w:pPr>
        <w:pStyle w:val="BodyText"/>
        <w:spacing w:line="230" w:lineRule="auto" w:before="42"/>
        <w:ind w:left="1166" w:right="90" w:hanging="575"/>
        <w:jc w:val="left"/>
      </w:pPr>
      <w:r>
        <w:rPr/>
        <w:t>注</w:t>
      </w:r>
      <w:r>
        <w:rPr>
          <w:spacing w:val="-62"/>
        </w:rPr>
        <w:t> </w:t>
      </w:r>
      <w:r>
        <w:rPr>
          <w:rFonts w:ascii="Arial" w:hAnsi="Arial" w:cs="Arial" w:eastAsia="Arial" w:hint="default"/>
          <w:spacing w:val="-16"/>
        </w:rPr>
        <w:t>4</w:t>
      </w:r>
      <w:r>
        <w:rPr>
          <w:spacing w:val="-16"/>
        </w:rPr>
        <w:t>：于</w:t>
      </w:r>
      <w:r>
        <w:rPr>
          <w:spacing w:val="-62"/>
        </w:rPr>
        <w:t> </w:t>
      </w:r>
      <w:r>
        <w:rPr>
          <w:rFonts w:ascii="Arial" w:hAnsi="Arial" w:cs="Arial" w:eastAsia="Arial" w:hint="default"/>
        </w:rPr>
        <w:t>2009</w:t>
      </w:r>
      <w:r>
        <w:rPr>
          <w:rFonts w:ascii="Arial" w:hAnsi="Arial" w:cs="Arial" w:eastAsia="Arial" w:hint="default"/>
          <w:spacing w:val="-13"/>
        </w:rPr>
        <w:t> </w:t>
      </w:r>
      <w:r>
        <w:rPr/>
        <w:t>年度及</w:t>
      </w:r>
      <w:r>
        <w:rPr>
          <w:spacing w:val="-62"/>
        </w:rPr>
        <w:t> </w:t>
      </w:r>
      <w:r>
        <w:rPr>
          <w:rFonts w:ascii="Arial" w:hAnsi="Arial" w:cs="Arial" w:eastAsia="Arial" w:hint="default"/>
        </w:rPr>
        <w:t>2008</w:t>
      </w:r>
      <w:r>
        <w:rPr>
          <w:rFonts w:ascii="Arial" w:hAnsi="Arial" w:cs="Arial" w:eastAsia="Arial" w:hint="default"/>
          <w:spacing w:val="-13"/>
        </w:rPr>
        <w:t> </w:t>
      </w:r>
      <w:r>
        <w:rPr/>
        <w:t>年度，非货币资产交换收益主要为本集团采用非货币性资产交换的</w:t>
      </w:r>
      <w:r>
        <w:rPr>
          <w:w w:val="99"/>
        </w:rPr>
        <w:t> </w:t>
      </w:r>
      <w:r>
        <w:rPr>
          <w:spacing w:val="-2"/>
        </w:rPr>
        <w:t>形式以自有的铜线换入供应商的光纤及相关设备，换入资产以换出资产的公允价值入账，</w:t>
      </w:r>
      <w:r>
        <w:rPr>
          <w:w w:val="99"/>
        </w:rPr>
        <w:t> </w:t>
      </w:r>
      <w:r>
        <w:rPr/>
        <w:t>换出资产公允价值与账面价值之差记入当期损益。于</w:t>
      </w:r>
      <w:r>
        <w:rPr>
          <w:spacing w:val="-84"/>
        </w:rPr>
        <w:t> </w:t>
      </w:r>
      <w:r>
        <w:rPr>
          <w:rFonts w:ascii="Arial" w:hAnsi="Arial" w:cs="Arial" w:eastAsia="Arial" w:hint="default"/>
        </w:rPr>
        <w:t>2009</w:t>
      </w:r>
      <w:r>
        <w:rPr>
          <w:rFonts w:ascii="Arial" w:hAnsi="Arial" w:cs="Arial" w:eastAsia="Arial" w:hint="default"/>
          <w:spacing w:val="-35"/>
        </w:rPr>
        <w:t> </w:t>
      </w:r>
      <w:r>
        <w:rPr>
          <w:spacing w:val="-4"/>
        </w:rPr>
        <w:t>年度，换出铜线的账面净值和</w:t>
      </w:r>
    </w:p>
    <w:p>
      <w:pPr>
        <w:pStyle w:val="BodyText"/>
        <w:spacing w:line="278" w:lineRule="exact"/>
        <w:ind w:left="1166" w:right="90"/>
        <w:jc w:val="left"/>
      </w:pPr>
      <w:r>
        <w:rPr/>
        <w:t>公允价值分别约人民币</w:t>
      </w:r>
      <w:r>
        <w:rPr>
          <w:spacing w:val="-42"/>
        </w:rPr>
        <w:t> </w:t>
      </w:r>
      <w:r>
        <w:rPr>
          <w:rFonts w:ascii="Arial" w:hAnsi="Arial" w:cs="Arial" w:eastAsia="Arial" w:hint="default"/>
        </w:rPr>
        <w:t>0.60</w:t>
      </w:r>
      <w:r>
        <w:rPr>
          <w:rFonts w:ascii="Arial" w:hAnsi="Arial" w:cs="Arial" w:eastAsia="Arial" w:hint="default"/>
          <w:spacing w:val="6"/>
        </w:rPr>
        <w:t> </w:t>
      </w:r>
      <w:r>
        <w:rPr/>
        <w:t>亿元和</w:t>
      </w:r>
      <w:r>
        <w:rPr>
          <w:spacing w:val="-42"/>
        </w:rPr>
        <w:t> </w:t>
      </w:r>
      <w:r>
        <w:rPr>
          <w:rFonts w:ascii="Arial" w:hAnsi="Arial" w:cs="Arial" w:eastAsia="Arial" w:hint="default"/>
        </w:rPr>
        <w:t>0.98</w:t>
      </w:r>
      <w:r>
        <w:rPr>
          <w:rFonts w:ascii="Arial" w:hAnsi="Arial" w:cs="Arial" w:eastAsia="Arial" w:hint="default"/>
          <w:spacing w:val="6"/>
        </w:rPr>
        <w:t> </w:t>
      </w:r>
      <w:r>
        <w:rPr/>
        <w:t>亿元（</w:t>
      </w:r>
      <w:r>
        <w:rPr>
          <w:rFonts w:ascii="Arial" w:hAnsi="Arial" w:cs="Arial" w:eastAsia="Arial" w:hint="default"/>
        </w:rPr>
        <w:t>2008</w:t>
      </w:r>
      <w:r>
        <w:rPr>
          <w:rFonts w:ascii="Arial" w:hAnsi="Arial" w:cs="Arial" w:eastAsia="Arial" w:hint="default"/>
          <w:spacing w:val="6"/>
        </w:rPr>
        <w:t> </w:t>
      </w:r>
      <w:r>
        <w:rPr/>
        <w:t>年度：分别约人民币</w:t>
      </w:r>
      <w:r>
        <w:rPr>
          <w:spacing w:val="-43"/>
        </w:rPr>
        <w:t> </w:t>
      </w:r>
      <w:r>
        <w:rPr>
          <w:rFonts w:ascii="Arial" w:hAnsi="Arial" w:cs="Arial" w:eastAsia="Arial" w:hint="default"/>
        </w:rPr>
        <w:t>7.29</w:t>
      </w:r>
      <w:r>
        <w:rPr>
          <w:rFonts w:ascii="Arial" w:hAnsi="Arial" w:cs="Arial" w:eastAsia="Arial" w:hint="default"/>
          <w:spacing w:val="6"/>
        </w:rPr>
        <w:t> </w:t>
      </w:r>
      <w:r>
        <w:rPr/>
        <w:t>亿元和</w:t>
      </w:r>
    </w:p>
    <w:p>
      <w:pPr>
        <w:pStyle w:val="BodyText"/>
        <w:spacing w:line="285" w:lineRule="exact"/>
        <w:ind w:left="1166" w:right="90"/>
        <w:jc w:val="left"/>
      </w:pPr>
      <w:r>
        <w:rPr>
          <w:rFonts w:ascii="Arial" w:hAnsi="Arial" w:cs="Arial" w:eastAsia="Arial" w:hint="default"/>
        </w:rPr>
        <w:t>21.10</w:t>
      </w:r>
      <w:r>
        <w:rPr>
          <w:rFonts w:ascii="Arial" w:hAnsi="Arial" w:cs="Arial" w:eastAsia="Arial" w:hint="default"/>
          <w:spacing w:val="-6"/>
        </w:rPr>
        <w:t> </w:t>
      </w:r>
      <w:r>
        <w:rPr>
          <w:spacing w:val="-13"/>
        </w:rPr>
        <w:t>亿元）。</w:t>
      </w:r>
      <w:r>
        <w:rPr>
          <w:rFonts w:ascii="Arial" w:hAnsi="Arial" w:cs="Arial" w:eastAsia="Arial" w:hint="default"/>
          <w:spacing w:val="-13"/>
        </w:rPr>
        <w:t>2009</w:t>
      </w:r>
      <w:r>
        <w:rPr>
          <w:rFonts w:ascii="Arial" w:hAnsi="Arial" w:cs="Arial" w:eastAsia="Arial" w:hint="default"/>
          <w:spacing w:val="-6"/>
        </w:rPr>
        <w:t> </w:t>
      </w:r>
      <w:r>
        <w:rPr/>
        <w:t>年度的利润表中确认的非货币性资产交换的收益约人民币</w:t>
      </w:r>
      <w:r>
        <w:rPr>
          <w:spacing w:val="-54"/>
        </w:rPr>
        <w:t> </w:t>
      </w:r>
      <w:r>
        <w:rPr>
          <w:rFonts w:ascii="Arial" w:hAnsi="Arial" w:cs="Arial" w:eastAsia="Arial" w:hint="default"/>
        </w:rPr>
        <w:t>0.40</w:t>
      </w:r>
      <w:r>
        <w:rPr>
          <w:rFonts w:ascii="Arial" w:hAnsi="Arial" w:cs="Arial" w:eastAsia="Arial" w:hint="default"/>
          <w:spacing w:val="-6"/>
        </w:rPr>
        <w:t> </w:t>
      </w:r>
      <w:r>
        <w:rPr/>
        <w:t>亿元</w:t>
      </w:r>
    </w:p>
    <w:p>
      <w:pPr>
        <w:pStyle w:val="BodyText"/>
        <w:spacing w:line="285" w:lineRule="exact"/>
        <w:ind w:left="1166" w:right="90"/>
        <w:jc w:val="left"/>
      </w:pPr>
      <w:r>
        <w:rPr/>
        <w:t>（</w:t>
      </w:r>
      <w:r>
        <w:rPr>
          <w:rFonts w:ascii="Arial" w:hAnsi="Arial" w:cs="Arial" w:eastAsia="Arial" w:hint="default"/>
        </w:rPr>
        <w:t>2008</w:t>
      </w:r>
      <w:r>
        <w:rPr>
          <w:rFonts w:ascii="Arial" w:hAnsi="Arial" w:cs="Arial" w:eastAsia="Arial" w:hint="default"/>
          <w:spacing w:val="-14"/>
        </w:rPr>
        <w:t> </w:t>
      </w:r>
      <w:r>
        <w:rPr/>
        <w:t>年度：约人民币</w:t>
      </w:r>
      <w:r>
        <w:rPr>
          <w:spacing w:val="-63"/>
        </w:rPr>
        <w:t> </w:t>
      </w:r>
      <w:r>
        <w:rPr>
          <w:rFonts w:ascii="Arial" w:hAnsi="Arial" w:cs="Arial" w:eastAsia="Arial" w:hint="default"/>
        </w:rPr>
        <w:t>13.95</w:t>
      </w:r>
      <w:r>
        <w:rPr>
          <w:rFonts w:ascii="Arial" w:hAnsi="Arial" w:cs="Arial" w:eastAsia="Arial" w:hint="default"/>
          <w:spacing w:val="-14"/>
        </w:rPr>
        <w:t> </w:t>
      </w:r>
      <w:r>
        <w:rPr/>
        <w:t>亿元），损失约人民币</w:t>
      </w:r>
      <w:r>
        <w:rPr>
          <w:spacing w:val="-63"/>
        </w:rPr>
        <w:t> </w:t>
      </w:r>
      <w:r>
        <w:rPr>
          <w:rFonts w:ascii="Arial" w:hAnsi="Arial" w:cs="Arial" w:eastAsia="Arial" w:hint="default"/>
        </w:rPr>
        <w:t>0.02</w:t>
      </w:r>
      <w:r>
        <w:rPr>
          <w:rFonts w:ascii="Arial" w:hAnsi="Arial" w:cs="Arial" w:eastAsia="Arial" w:hint="default"/>
          <w:spacing w:val="-14"/>
        </w:rPr>
        <w:t> </w:t>
      </w:r>
      <w:r>
        <w:rPr/>
        <w:t>亿元（</w:t>
      </w:r>
      <w:r>
        <w:rPr>
          <w:rFonts w:ascii="Arial" w:hAnsi="Arial" w:cs="Arial" w:eastAsia="Arial" w:hint="default"/>
        </w:rPr>
        <w:t>2008</w:t>
      </w:r>
      <w:r>
        <w:rPr>
          <w:rFonts w:ascii="Arial" w:hAnsi="Arial" w:cs="Arial" w:eastAsia="Arial" w:hint="default"/>
          <w:spacing w:val="-14"/>
        </w:rPr>
        <w:t> </w:t>
      </w:r>
      <w:r>
        <w:rPr/>
        <w:t>年度：约人民币</w:t>
      </w:r>
    </w:p>
    <w:p>
      <w:pPr>
        <w:pStyle w:val="BodyText"/>
        <w:spacing w:line="295" w:lineRule="exact"/>
        <w:ind w:left="1166" w:right="90"/>
        <w:jc w:val="left"/>
      </w:pPr>
      <w:r>
        <w:rPr>
          <w:rFonts w:ascii="Arial" w:hAnsi="Arial" w:cs="Arial" w:eastAsia="Arial" w:hint="default"/>
        </w:rPr>
        <w:t>0.14</w:t>
      </w:r>
      <w:r>
        <w:rPr>
          <w:rFonts w:ascii="Arial" w:hAnsi="Arial" w:cs="Arial" w:eastAsia="Arial" w:hint="default"/>
          <w:spacing w:val="-8"/>
        </w:rPr>
        <w:t> </w:t>
      </w:r>
      <w:r>
        <w:rPr/>
        <w:t>亿元）。</w:t>
      </w:r>
    </w:p>
    <w:p>
      <w:pPr>
        <w:spacing w:line="240" w:lineRule="auto" w:before="13"/>
        <w:rPr>
          <w:rFonts w:ascii="宋体" w:hAnsi="宋体" w:cs="宋体" w:eastAsia="宋体" w:hint="default"/>
          <w:sz w:val="17"/>
          <w:szCs w:val="17"/>
        </w:rPr>
      </w:pPr>
    </w:p>
    <w:p>
      <w:pPr>
        <w:pStyle w:val="BodyText"/>
        <w:spacing w:line="240" w:lineRule="auto"/>
        <w:ind w:left="102" w:right="90"/>
        <w:jc w:val="left"/>
        <w:rPr>
          <w:rFonts w:ascii="黑体" w:hAnsi="黑体" w:cs="黑体" w:eastAsia="黑体" w:hint="default"/>
        </w:rPr>
      </w:pPr>
      <w:r>
        <w:rPr>
          <w:rFonts w:ascii="Arial" w:hAnsi="Arial" w:cs="Arial" w:eastAsia="Arial" w:hint="default"/>
        </w:rPr>
        <w:t>44</w:t>
      </w:r>
      <w:r>
        <w:rPr/>
        <w:t>、</w:t>
      </w:r>
      <w:r>
        <w:rPr>
          <w:rFonts w:ascii="黑体" w:hAnsi="黑体" w:cs="黑体" w:eastAsia="黑体" w:hint="default"/>
        </w:rPr>
        <w:t>营业外支出</w:t>
      </w:r>
    </w:p>
    <w:p>
      <w:pPr>
        <w:spacing w:line="240" w:lineRule="auto" w:before="6"/>
        <w:rPr>
          <w:rFonts w:ascii="黑体" w:hAnsi="黑体" w:cs="黑体" w:eastAsia="黑体" w:hint="default"/>
          <w:sz w:val="15"/>
          <w:szCs w:val="15"/>
        </w:rPr>
      </w:pPr>
    </w:p>
    <w:tbl>
      <w:tblPr>
        <w:tblW w:w="0" w:type="auto"/>
        <w:jc w:val="left"/>
        <w:tblInd w:w="542" w:type="dxa"/>
        <w:tblLayout w:type="fixed"/>
        <w:tblCellMar>
          <w:top w:w="0" w:type="dxa"/>
          <w:left w:w="0" w:type="dxa"/>
          <w:bottom w:w="0" w:type="dxa"/>
          <w:right w:w="0" w:type="dxa"/>
        </w:tblCellMar>
        <w:tblLook w:val="01E0"/>
      </w:tblPr>
      <w:tblGrid>
        <w:gridCol w:w="4571"/>
        <w:gridCol w:w="2027"/>
        <w:gridCol w:w="235"/>
        <w:gridCol w:w="2183"/>
      </w:tblGrid>
      <w:tr>
        <w:trPr>
          <w:trHeight w:val="361" w:hRule="exact"/>
        </w:trPr>
        <w:tc>
          <w:tcPr>
            <w:tcW w:w="4571" w:type="dxa"/>
            <w:vMerge w:val="restart"/>
            <w:tcBorders>
              <w:top w:val="nil" w:sz="6" w:space="0" w:color="auto"/>
              <w:left w:val="nil" w:sz="6" w:space="0" w:color="auto"/>
              <w:right w:val="nil" w:sz="6" w:space="0" w:color="auto"/>
            </w:tcBorders>
          </w:tcPr>
          <w:p>
            <w:pPr/>
          </w:p>
        </w:tc>
        <w:tc>
          <w:tcPr>
            <w:tcW w:w="2027"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100"/>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235" w:type="dxa"/>
            <w:tcBorders>
              <w:top w:val="nil" w:sz="6" w:space="0" w:color="auto"/>
              <w:left w:val="nil" w:sz="6" w:space="0" w:color="auto"/>
              <w:bottom w:val="nil" w:sz="6" w:space="0" w:color="auto"/>
              <w:right w:val="nil" w:sz="6" w:space="0" w:color="auto"/>
            </w:tcBorders>
          </w:tcPr>
          <w:p>
            <w:pPr/>
          </w:p>
        </w:tc>
        <w:tc>
          <w:tcPr>
            <w:tcW w:w="2183"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107"/>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292" w:hRule="exact"/>
        </w:trPr>
        <w:tc>
          <w:tcPr>
            <w:tcW w:w="4571" w:type="dxa"/>
            <w:vMerge/>
            <w:tcBorders>
              <w:left w:val="nil" w:sz="6" w:space="0" w:color="auto"/>
              <w:bottom w:val="nil" w:sz="6" w:space="0" w:color="auto"/>
              <w:right w:val="nil" w:sz="6" w:space="0" w:color="auto"/>
            </w:tcBorders>
          </w:tcPr>
          <w:p>
            <w:pPr/>
          </w:p>
        </w:tc>
        <w:tc>
          <w:tcPr>
            <w:tcW w:w="2027" w:type="dxa"/>
            <w:tcBorders>
              <w:top w:val="single" w:sz="6" w:space="0" w:color="000000"/>
              <w:left w:val="nil" w:sz="6" w:space="0" w:color="auto"/>
              <w:bottom w:val="nil" w:sz="6" w:space="0" w:color="auto"/>
              <w:right w:val="nil" w:sz="6" w:space="0" w:color="auto"/>
            </w:tcBorders>
          </w:tcPr>
          <w:p>
            <w:pPr/>
          </w:p>
        </w:tc>
        <w:tc>
          <w:tcPr>
            <w:tcW w:w="235" w:type="dxa"/>
            <w:tcBorders>
              <w:top w:val="nil" w:sz="6" w:space="0" w:color="auto"/>
              <w:left w:val="nil" w:sz="6" w:space="0" w:color="auto"/>
              <w:bottom w:val="nil" w:sz="6" w:space="0" w:color="auto"/>
              <w:right w:val="nil" w:sz="6" w:space="0" w:color="auto"/>
            </w:tcBorders>
          </w:tcPr>
          <w:p>
            <w:pPr/>
          </w:p>
        </w:tc>
        <w:tc>
          <w:tcPr>
            <w:tcW w:w="2183" w:type="dxa"/>
            <w:tcBorders>
              <w:top w:val="single" w:sz="6" w:space="0" w:color="000000"/>
              <w:left w:val="nil" w:sz="6" w:space="0" w:color="auto"/>
              <w:bottom w:val="nil" w:sz="6" w:space="0" w:color="auto"/>
              <w:right w:val="nil" w:sz="6" w:space="0" w:color="auto"/>
            </w:tcBorders>
          </w:tcPr>
          <w:p>
            <w:pPr>
              <w:pStyle w:val="TableParagraph"/>
              <w:spacing w:line="252" w:lineRule="exact"/>
              <w:ind w:right="108"/>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3" w:hRule="exact"/>
        </w:trPr>
        <w:tc>
          <w:tcPr>
            <w:tcW w:w="4571" w:type="dxa"/>
            <w:tcBorders>
              <w:top w:val="nil" w:sz="6" w:space="0" w:color="auto"/>
              <w:left w:val="nil" w:sz="6" w:space="0" w:color="auto"/>
              <w:bottom w:val="single" w:sz="6" w:space="0" w:color="000000"/>
              <w:right w:val="nil" w:sz="6" w:space="0" w:color="auto"/>
            </w:tcBorders>
          </w:tcPr>
          <w:p>
            <w:pPr>
              <w:pStyle w:val="TableParagraph"/>
              <w:spacing w:line="252" w:lineRule="exact"/>
              <w:ind w:right="0"/>
              <w:jc w:val="left"/>
              <w:rPr>
                <w:rFonts w:ascii="宋体" w:hAnsi="宋体" w:cs="宋体" w:eastAsia="宋体" w:hint="default"/>
                <w:sz w:val="22"/>
                <w:szCs w:val="22"/>
              </w:rPr>
            </w:pPr>
            <w:r>
              <w:rPr>
                <w:rFonts w:ascii="宋体" w:hAnsi="宋体" w:cs="宋体" w:eastAsia="宋体" w:hint="default"/>
                <w:sz w:val="22"/>
                <w:szCs w:val="22"/>
              </w:rPr>
              <w:t>非流动资产处置损失</w:t>
            </w:r>
          </w:p>
        </w:tc>
        <w:tc>
          <w:tcPr>
            <w:tcW w:w="2027" w:type="dxa"/>
            <w:tcBorders>
              <w:top w:val="nil" w:sz="6" w:space="0" w:color="auto"/>
              <w:left w:val="nil" w:sz="6" w:space="0" w:color="auto"/>
              <w:bottom w:val="single" w:sz="6" w:space="0" w:color="000000"/>
              <w:right w:val="nil" w:sz="6" w:space="0" w:color="auto"/>
            </w:tcBorders>
          </w:tcPr>
          <w:p>
            <w:pPr>
              <w:pStyle w:val="TableParagraph"/>
              <w:spacing w:line="240" w:lineRule="auto" w:before="30"/>
              <w:ind w:right="85"/>
              <w:jc w:val="right"/>
              <w:rPr>
                <w:rFonts w:ascii="Arial" w:hAnsi="Arial" w:cs="Arial" w:eastAsia="Arial" w:hint="default"/>
                <w:sz w:val="22"/>
                <w:szCs w:val="22"/>
              </w:rPr>
            </w:pPr>
            <w:r>
              <w:rPr>
                <w:rFonts w:ascii="Arial"/>
                <w:w w:val="95"/>
                <w:sz w:val="22"/>
              </w:rPr>
              <w:t>164,133,706</w:t>
            </w:r>
            <w:r>
              <w:rPr>
                <w:rFonts w:ascii="Arial"/>
                <w:sz w:val="22"/>
              </w:rPr>
            </w:r>
          </w:p>
        </w:tc>
        <w:tc>
          <w:tcPr>
            <w:tcW w:w="235" w:type="dxa"/>
            <w:tcBorders>
              <w:top w:val="nil" w:sz="6" w:space="0" w:color="auto"/>
              <w:left w:val="nil" w:sz="6" w:space="0" w:color="auto"/>
              <w:bottom w:val="single" w:sz="6" w:space="0" w:color="000000"/>
              <w:right w:val="nil" w:sz="6" w:space="0" w:color="auto"/>
            </w:tcBorders>
          </w:tcPr>
          <w:p>
            <w:pPr/>
          </w:p>
        </w:tc>
        <w:tc>
          <w:tcPr>
            <w:tcW w:w="2183" w:type="dxa"/>
            <w:tcBorders>
              <w:top w:val="nil" w:sz="6" w:space="0" w:color="auto"/>
              <w:left w:val="nil" w:sz="6" w:space="0" w:color="auto"/>
              <w:bottom w:val="single" w:sz="6" w:space="0" w:color="000000"/>
              <w:right w:val="nil" w:sz="6" w:space="0" w:color="auto"/>
            </w:tcBorders>
          </w:tcPr>
          <w:p>
            <w:pPr>
              <w:pStyle w:val="TableParagraph"/>
              <w:spacing w:line="240" w:lineRule="auto" w:before="30"/>
              <w:ind w:right="124"/>
              <w:jc w:val="right"/>
              <w:rPr>
                <w:rFonts w:ascii="Arial" w:hAnsi="Arial" w:cs="Arial" w:eastAsia="Arial" w:hint="default"/>
                <w:sz w:val="22"/>
                <w:szCs w:val="22"/>
              </w:rPr>
            </w:pPr>
            <w:r>
              <w:rPr>
                <w:rFonts w:ascii="Arial"/>
                <w:w w:val="95"/>
                <w:sz w:val="22"/>
              </w:rPr>
              <w:t>136,045,370</w:t>
            </w:r>
            <w:r>
              <w:rPr>
                <w:rFonts w:ascii="Arial"/>
                <w:sz w:val="22"/>
              </w:rPr>
            </w:r>
          </w:p>
        </w:tc>
      </w:tr>
      <w:tr>
        <w:trPr>
          <w:trHeight w:val="305" w:hRule="exact"/>
        </w:trPr>
        <w:tc>
          <w:tcPr>
            <w:tcW w:w="4571" w:type="dxa"/>
            <w:tcBorders>
              <w:top w:val="single" w:sz="6" w:space="0" w:color="000000"/>
              <w:left w:val="single" w:sz="6" w:space="0" w:color="000000"/>
              <w:bottom w:val="nil" w:sz="6" w:space="0" w:color="auto"/>
              <w:right w:val="nil" w:sz="6" w:space="0" w:color="auto"/>
            </w:tcBorders>
          </w:tcPr>
          <w:p>
            <w:pPr>
              <w:pStyle w:val="TableParagraph"/>
              <w:spacing w:line="253" w:lineRule="exact"/>
              <w:ind w:left="-8" w:right="0"/>
              <w:jc w:val="left"/>
              <w:rPr>
                <w:rFonts w:ascii="宋体" w:hAnsi="宋体" w:cs="宋体" w:eastAsia="宋体" w:hint="default"/>
                <w:sz w:val="22"/>
                <w:szCs w:val="22"/>
              </w:rPr>
            </w:pPr>
            <w:r>
              <w:rPr>
                <w:rFonts w:ascii="宋体" w:hAnsi="宋体" w:cs="宋体" w:eastAsia="宋体" w:hint="default"/>
                <w:sz w:val="22"/>
                <w:szCs w:val="22"/>
              </w:rPr>
              <w:t>其中：固定资产处置损失</w:t>
            </w:r>
          </w:p>
        </w:tc>
        <w:tc>
          <w:tcPr>
            <w:tcW w:w="2027" w:type="dxa"/>
            <w:tcBorders>
              <w:top w:val="single" w:sz="6" w:space="0" w:color="000000"/>
              <w:left w:val="nil" w:sz="6" w:space="0" w:color="auto"/>
              <w:bottom w:val="nil" w:sz="6" w:space="0" w:color="auto"/>
              <w:right w:val="nil" w:sz="6" w:space="0" w:color="auto"/>
            </w:tcBorders>
          </w:tcPr>
          <w:p>
            <w:pPr>
              <w:pStyle w:val="TableParagraph"/>
              <w:spacing w:line="240" w:lineRule="auto" w:before="30"/>
              <w:ind w:right="85"/>
              <w:jc w:val="right"/>
              <w:rPr>
                <w:rFonts w:ascii="Arial" w:hAnsi="Arial" w:cs="Arial" w:eastAsia="Arial" w:hint="default"/>
                <w:sz w:val="22"/>
                <w:szCs w:val="22"/>
              </w:rPr>
            </w:pPr>
            <w:r>
              <w:rPr>
                <w:rFonts w:ascii="Arial"/>
                <w:w w:val="95"/>
                <w:sz w:val="22"/>
              </w:rPr>
              <w:t>164,085,837</w:t>
            </w:r>
            <w:r>
              <w:rPr>
                <w:rFonts w:ascii="Arial"/>
                <w:sz w:val="22"/>
              </w:rPr>
            </w:r>
          </w:p>
        </w:tc>
        <w:tc>
          <w:tcPr>
            <w:tcW w:w="235" w:type="dxa"/>
            <w:tcBorders>
              <w:top w:val="single" w:sz="6" w:space="0" w:color="000000"/>
              <w:left w:val="nil" w:sz="6" w:space="0" w:color="auto"/>
              <w:bottom w:val="nil" w:sz="6" w:space="0" w:color="auto"/>
              <w:right w:val="nil" w:sz="6" w:space="0" w:color="auto"/>
            </w:tcBorders>
          </w:tcPr>
          <w:p>
            <w:pPr/>
          </w:p>
        </w:tc>
        <w:tc>
          <w:tcPr>
            <w:tcW w:w="2183" w:type="dxa"/>
            <w:tcBorders>
              <w:top w:val="single" w:sz="6" w:space="0" w:color="000000"/>
              <w:left w:val="nil" w:sz="6" w:space="0" w:color="auto"/>
              <w:bottom w:val="nil" w:sz="6" w:space="0" w:color="auto"/>
              <w:right w:val="single" w:sz="6" w:space="0" w:color="000000"/>
            </w:tcBorders>
          </w:tcPr>
          <w:p>
            <w:pPr>
              <w:pStyle w:val="TableParagraph"/>
              <w:spacing w:line="240" w:lineRule="auto" w:before="30"/>
              <w:ind w:right="117"/>
              <w:jc w:val="right"/>
              <w:rPr>
                <w:rFonts w:ascii="Arial" w:hAnsi="Arial" w:cs="Arial" w:eastAsia="Arial" w:hint="default"/>
                <w:sz w:val="22"/>
                <w:szCs w:val="22"/>
              </w:rPr>
            </w:pPr>
            <w:r>
              <w:rPr>
                <w:rFonts w:ascii="Arial"/>
                <w:w w:val="95"/>
                <w:sz w:val="22"/>
              </w:rPr>
              <w:t>134,562,682</w:t>
            </w:r>
            <w:r>
              <w:rPr>
                <w:rFonts w:ascii="Arial"/>
                <w:sz w:val="22"/>
              </w:rPr>
            </w:r>
          </w:p>
        </w:tc>
      </w:tr>
      <w:tr>
        <w:trPr>
          <w:trHeight w:val="281" w:hRule="exact"/>
        </w:trPr>
        <w:tc>
          <w:tcPr>
            <w:tcW w:w="4571" w:type="dxa"/>
            <w:tcBorders>
              <w:top w:val="nil" w:sz="6" w:space="0" w:color="auto"/>
              <w:left w:val="single" w:sz="6" w:space="0" w:color="000000"/>
              <w:bottom w:val="single" w:sz="6" w:space="0" w:color="000000"/>
              <w:right w:val="nil" w:sz="6" w:space="0" w:color="auto"/>
            </w:tcBorders>
          </w:tcPr>
          <w:p>
            <w:pPr>
              <w:pStyle w:val="TableParagraph"/>
              <w:spacing w:line="239" w:lineRule="exact"/>
              <w:ind w:left="637" w:right="0"/>
              <w:jc w:val="left"/>
              <w:rPr>
                <w:rFonts w:ascii="宋体" w:hAnsi="宋体" w:cs="宋体" w:eastAsia="宋体" w:hint="default"/>
                <w:sz w:val="22"/>
                <w:szCs w:val="22"/>
              </w:rPr>
            </w:pPr>
            <w:r>
              <w:rPr>
                <w:rFonts w:ascii="宋体" w:hAnsi="宋体" w:cs="宋体" w:eastAsia="宋体" w:hint="default"/>
                <w:sz w:val="22"/>
                <w:szCs w:val="22"/>
              </w:rPr>
              <w:t>无形资产处置损失</w:t>
            </w:r>
          </w:p>
        </w:tc>
        <w:tc>
          <w:tcPr>
            <w:tcW w:w="2027" w:type="dxa"/>
            <w:tcBorders>
              <w:top w:val="nil" w:sz="6" w:space="0" w:color="auto"/>
              <w:left w:val="nil" w:sz="6" w:space="0" w:color="auto"/>
              <w:bottom w:val="single" w:sz="6" w:space="0" w:color="000000"/>
              <w:right w:val="nil" w:sz="6" w:space="0" w:color="auto"/>
            </w:tcBorders>
          </w:tcPr>
          <w:p>
            <w:pPr>
              <w:pStyle w:val="TableParagraph"/>
              <w:spacing w:line="240" w:lineRule="auto" w:before="17"/>
              <w:ind w:right="87"/>
              <w:jc w:val="right"/>
              <w:rPr>
                <w:rFonts w:ascii="Arial" w:hAnsi="Arial" w:cs="Arial" w:eastAsia="Arial" w:hint="default"/>
                <w:sz w:val="22"/>
                <w:szCs w:val="22"/>
              </w:rPr>
            </w:pPr>
            <w:r>
              <w:rPr>
                <w:rFonts w:ascii="Arial"/>
                <w:w w:val="95"/>
                <w:sz w:val="22"/>
              </w:rPr>
              <w:t>47,869</w:t>
            </w:r>
            <w:r>
              <w:rPr>
                <w:rFonts w:ascii="Arial"/>
                <w:sz w:val="22"/>
              </w:rPr>
            </w:r>
          </w:p>
        </w:tc>
        <w:tc>
          <w:tcPr>
            <w:tcW w:w="235" w:type="dxa"/>
            <w:tcBorders>
              <w:top w:val="nil" w:sz="6" w:space="0" w:color="auto"/>
              <w:left w:val="nil" w:sz="6" w:space="0" w:color="auto"/>
              <w:bottom w:val="single" w:sz="6" w:space="0" w:color="000000"/>
              <w:right w:val="nil" w:sz="6" w:space="0" w:color="auto"/>
            </w:tcBorders>
          </w:tcPr>
          <w:p>
            <w:pPr/>
          </w:p>
        </w:tc>
        <w:tc>
          <w:tcPr>
            <w:tcW w:w="2183" w:type="dxa"/>
            <w:tcBorders>
              <w:top w:val="nil" w:sz="6" w:space="0" w:color="auto"/>
              <w:left w:val="nil" w:sz="6" w:space="0" w:color="auto"/>
              <w:bottom w:val="single" w:sz="6" w:space="0" w:color="000000"/>
              <w:right w:val="single" w:sz="6" w:space="0" w:color="000000"/>
            </w:tcBorders>
          </w:tcPr>
          <w:p>
            <w:pPr>
              <w:pStyle w:val="TableParagraph"/>
              <w:spacing w:line="240" w:lineRule="auto" w:before="17"/>
              <w:ind w:right="118"/>
              <w:jc w:val="right"/>
              <w:rPr>
                <w:rFonts w:ascii="Arial" w:hAnsi="Arial" w:cs="Arial" w:eastAsia="Arial" w:hint="default"/>
                <w:sz w:val="22"/>
                <w:szCs w:val="22"/>
              </w:rPr>
            </w:pPr>
            <w:r>
              <w:rPr>
                <w:rFonts w:ascii="Arial"/>
                <w:w w:val="95"/>
                <w:sz w:val="22"/>
              </w:rPr>
              <w:t>1,482,688</w:t>
            </w:r>
            <w:r>
              <w:rPr>
                <w:rFonts w:ascii="Arial"/>
                <w:sz w:val="22"/>
              </w:rPr>
            </w:r>
          </w:p>
        </w:tc>
      </w:tr>
      <w:tr>
        <w:trPr>
          <w:trHeight w:val="305" w:hRule="exact"/>
        </w:trPr>
        <w:tc>
          <w:tcPr>
            <w:tcW w:w="4571" w:type="dxa"/>
            <w:tcBorders>
              <w:top w:val="single" w:sz="6" w:space="0" w:color="000000"/>
              <w:left w:val="nil" w:sz="6" w:space="0" w:color="auto"/>
              <w:bottom w:val="nil" w:sz="6" w:space="0" w:color="auto"/>
              <w:right w:val="nil" w:sz="6" w:space="0" w:color="auto"/>
            </w:tcBorders>
          </w:tcPr>
          <w:p>
            <w:pPr>
              <w:pStyle w:val="TableParagraph"/>
              <w:spacing w:line="253" w:lineRule="exact"/>
              <w:ind w:right="0"/>
              <w:jc w:val="left"/>
              <w:rPr>
                <w:rFonts w:ascii="宋体" w:hAnsi="宋体" w:cs="宋体" w:eastAsia="宋体" w:hint="default"/>
                <w:sz w:val="22"/>
                <w:szCs w:val="22"/>
              </w:rPr>
            </w:pPr>
            <w:r>
              <w:rPr>
                <w:rFonts w:ascii="宋体" w:hAnsi="宋体" w:cs="宋体" w:eastAsia="宋体" w:hint="default"/>
                <w:sz w:val="22"/>
                <w:szCs w:val="22"/>
              </w:rPr>
              <w:t>违约赔偿支出</w:t>
            </w:r>
          </w:p>
        </w:tc>
        <w:tc>
          <w:tcPr>
            <w:tcW w:w="2027" w:type="dxa"/>
            <w:tcBorders>
              <w:top w:val="single" w:sz="6" w:space="0" w:color="000000"/>
              <w:left w:val="nil" w:sz="6" w:space="0" w:color="auto"/>
              <w:bottom w:val="nil" w:sz="6" w:space="0" w:color="auto"/>
              <w:right w:val="nil" w:sz="6" w:space="0" w:color="auto"/>
            </w:tcBorders>
          </w:tcPr>
          <w:p>
            <w:pPr>
              <w:pStyle w:val="TableParagraph"/>
              <w:spacing w:line="240" w:lineRule="auto" w:before="30"/>
              <w:ind w:right="87"/>
              <w:jc w:val="right"/>
              <w:rPr>
                <w:rFonts w:ascii="Arial" w:hAnsi="Arial" w:cs="Arial" w:eastAsia="Arial" w:hint="default"/>
                <w:sz w:val="22"/>
                <w:szCs w:val="22"/>
              </w:rPr>
            </w:pPr>
            <w:r>
              <w:rPr>
                <w:rFonts w:ascii="Arial"/>
                <w:w w:val="95"/>
                <w:sz w:val="22"/>
              </w:rPr>
              <w:t>57,465,980</w:t>
            </w:r>
            <w:r>
              <w:rPr>
                <w:rFonts w:ascii="Arial"/>
                <w:sz w:val="22"/>
              </w:rPr>
            </w:r>
          </w:p>
        </w:tc>
        <w:tc>
          <w:tcPr>
            <w:tcW w:w="235" w:type="dxa"/>
            <w:tcBorders>
              <w:top w:val="single" w:sz="6" w:space="0" w:color="000000"/>
              <w:left w:val="nil" w:sz="6" w:space="0" w:color="auto"/>
              <w:bottom w:val="nil" w:sz="6" w:space="0" w:color="auto"/>
              <w:right w:val="nil" w:sz="6" w:space="0" w:color="auto"/>
            </w:tcBorders>
          </w:tcPr>
          <w:p>
            <w:pPr/>
          </w:p>
        </w:tc>
        <w:tc>
          <w:tcPr>
            <w:tcW w:w="2183" w:type="dxa"/>
            <w:tcBorders>
              <w:top w:val="single" w:sz="6" w:space="0" w:color="000000"/>
              <w:left w:val="nil" w:sz="6" w:space="0" w:color="auto"/>
              <w:bottom w:val="nil" w:sz="6" w:space="0" w:color="auto"/>
              <w:right w:val="nil" w:sz="6" w:space="0" w:color="auto"/>
            </w:tcBorders>
          </w:tcPr>
          <w:p>
            <w:pPr>
              <w:pStyle w:val="TableParagraph"/>
              <w:spacing w:line="240" w:lineRule="auto" w:before="30"/>
              <w:ind w:right="125"/>
              <w:jc w:val="right"/>
              <w:rPr>
                <w:rFonts w:ascii="Arial" w:hAnsi="Arial" w:cs="Arial" w:eastAsia="Arial" w:hint="default"/>
                <w:sz w:val="22"/>
                <w:szCs w:val="22"/>
              </w:rPr>
            </w:pPr>
            <w:r>
              <w:rPr>
                <w:rFonts w:ascii="Arial"/>
                <w:w w:val="95"/>
                <w:sz w:val="22"/>
              </w:rPr>
              <w:t>52,225,280</w:t>
            </w:r>
            <w:r>
              <w:rPr>
                <w:rFonts w:ascii="Arial"/>
                <w:sz w:val="22"/>
              </w:rPr>
            </w:r>
          </w:p>
        </w:tc>
      </w:tr>
      <w:tr>
        <w:trPr>
          <w:trHeight w:val="285" w:hRule="exact"/>
        </w:trPr>
        <w:tc>
          <w:tcPr>
            <w:tcW w:w="4571" w:type="dxa"/>
            <w:tcBorders>
              <w:top w:val="nil" w:sz="6" w:space="0" w:color="auto"/>
              <w:left w:val="nil" w:sz="6" w:space="0" w:color="auto"/>
              <w:bottom w:val="nil" w:sz="6" w:space="0" w:color="auto"/>
              <w:right w:val="nil" w:sz="6" w:space="0" w:color="auto"/>
            </w:tcBorders>
          </w:tcPr>
          <w:p>
            <w:pPr>
              <w:pStyle w:val="TableParagraph"/>
              <w:spacing w:line="239" w:lineRule="exact"/>
              <w:ind w:right="0"/>
              <w:jc w:val="left"/>
              <w:rPr>
                <w:rFonts w:ascii="宋体" w:hAnsi="宋体" w:cs="宋体" w:eastAsia="宋体" w:hint="default"/>
                <w:sz w:val="22"/>
                <w:szCs w:val="22"/>
              </w:rPr>
            </w:pPr>
            <w:r>
              <w:rPr>
                <w:rFonts w:ascii="宋体" w:hAnsi="宋体" w:cs="宋体" w:eastAsia="宋体" w:hint="default"/>
                <w:sz w:val="22"/>
                <w:szCs w:val="22"/>
              </w:rPr>
              <w:t>捐赠支出</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7"/>
              <w:jc w:val="right"/>
              <w:rPr>
                <w:rFonts w:ascii="Arial" w:hAnsi="Arial" w:cs="Arial" w:eastAsia="Arial" w:hint="default"/>
                <w:sz w:val="22"/>
                <w:szCs w:val="22"/>
              </w:rPr>
            </w:pPr>
            <w:r>
              <w:rPr>
                <w:rFonts w:ascii="Arial"/>
                <w:w w:val="95"/>
                <w:sz w:val="22"/>
              </w:rPr>
              <w:t>7,466,286</w:t>
            </w:r>
            <w:r>
              <w:rPr>
                <w:rFonts w:ascii="Arial"/>
                <w:sz w:val="22"/>
              </w:rPr>
            </w:r>
          </w:p>
        </w:tc>
        <w:tc>
          <w:tcPr>
            <w:tcW w:w="235" w:type="dxa"/>
            <w:tcBorders>
              <w:top w:val="nil" w:sz="6" w:space="0" w:color="auto"/>
              <w:left w:val="nil" w:sz="6" w:space="0" w:color="auto"/>
              <w:bottom w:val="nil" w:sz="6" w:space="0" w:color="auto"/>
              <w:right w:val="nil" w:sz="6" w:space="0" w:color="auto"/>
            </w:tcBorders>
          </w:tcPr>
          <w:p>
            <w:pPr/>
          </w:p>
        </w:tc>
        <w:tc>
          <w:tcPr>
            <w:tcW w:w="218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25"/>
              <w:jc w:val="right"/>
              <w:rPr>
                <w:rFonts w:ascii="Arial" w:hAnsi="Arial" w:cs="Arial" w:eastAsia="Arial" w:hint="default"/>
                <w:sz w:val="22"/>
                <w:szCs w:val="22"/>
              </w:rPr>
            </w:pPr>
            <w:r>
              <w:rPr>
                <w:rFonts w:ascii="Arial"/>
                <w:w w:val="95"/>
                <w:sz w:val="22"/>
              </w:rPr>
              <w:t>13,778,522</w:t>
            </w:r>
            <w:r>
              <w:rPr>
                <w:rFonts w:ascii="Arial"/>
                <w:sz w:val="22"/>
              </w:rPr>
            </w:r>
          </w:p>
        </w:tc>
      </w:tr>
      <w:tr>
        <w:trPr>
          <w:trHeight w:val="285" w:hRule="exact"/>
        </w:trPr>
        <w:tc>
          <w:tcPr>
            <w:tcW w:w="4571" w:type="dxa"/>
            <w:tcBorders>
              <w:top w:val="nil" w:sz="6" w:space="0" w:color="auto"/>
              <w:left w:val="nil" w:sz="6" w:space="0" w:color="auto"/>
              <w:bottom w:val="nil" w:sz="6" w:space="0" w:color="auto"/>
              <w:right w:val="nil" w:sz="6" w:space="0" w:color="auto"/>
            </w:tcBorders>
          </w:tcPr>
          <w:p>
            <w:pPr>
              <w:pStyle w:val="TableParagraph"/>
              <w:spacing w:line="255" w:lineRule="exact"/>
              <w:ind w:right="0"/>
              <w:jc w:val="left"/>
              <w:rPr>
                <w:rFonts w:ascii="宋体" w:hAnsi="宋体" w:cs="宋体" w:eastAsia="宋体" w:hint="default"/>
                <w:sz w:val="22"/>
                <w:szCs w:val="22"/>
              </w:rPr>
            </w:pPr>
            <w:r>
              <w:rPr>
                <w:rFonts w:ascii="宋体" w:hAnsi="宋体" w:cs="宋体" w:eastAsia="宋体" w:hint="default"/>
                <w:sz w:val="22"/>
                <w:szCs w:val="22"/>
              </w:rPr>
              <w:t>非货币资产交换损失（附注五</w:t>
            </w:r>
            <w:r>
              <w:rPr>
                <w:rFonts w:ascii="宋体" w:hAnsi="宋体" w:cs="宋体" w:eastAsia="宋体" w:hint="default"/>
                <w:spacing w:val="-57"/>
                <w:sz w:val="22"/>
                <w:szCs w:val="22"/>
              </w:rPr>
              <w:t> </w:t>
            </w:r>
            <w:r>
              <w:rPr>
                <w:rFonts w:ascii="Arial" w:hAnsi="Arial" w:cs="Arial" w:eastAsia="Arial" w:hint="default"/>
                <w:sz w:val="22"/>
                <w:szCs w:val="22"/>
              </w:rPr>
              <w:t>43(4)</w:t>
            </w:r>
            <w:r>
              <w:rPr>
                <w:rFonts w:ascii="宋体" w:hAnsi="宋体" w:cs="宋体" w:eastAsia="宋体" w:hint="default"/>
                <w:sz w:val="22"/>
                <w:szCs w:val="22"/>
              </w:rPr>
              <w:t>）</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7"/>
              <w:jc w:val="right"/>
              <w:rPr>
                <w:rFonts w:ascii="Arial" w:hAnsi="Arial" w:cs="Arial" w:eastAsia="Arial" w:hint="default"/>
                <w:sz w:val="22"/>
                <w:szCs w:val="22"/>
              </w:rPr>
            </w:pPr>
            <w:r>
              <w:rPr>
                <w:rFonts w:ascii="Arial"/>
                <w:w w:val="95"/>
                <w:sz w:val="22"/>
              </w:rPr>
              <w:t>2,106,876</w:t>
            </w:r>
            <w:r>
              <w:rPr>
                <w:rFonts w:ascii="Arial"/>
                <w:sz w:val="22"/>
              </w:rPr>
            </w:r>
          </w:p>
        </w:tc>
        <w:tc>
          <w:tcPr>
            <w:tcW w:w="235" w:type="dxa"/>
            <w:tcBorders>
              <w:top w:val="nil" w:sz="6" w:space="0" w:color="auto"/>
              <w:left w:val="nil" w:sz="6" w:space="0" w:color="auto"/>
              <w:bottom w:val="nil" w:sz="6" w:space="0" w:color="auto"/>
              <w:right w:val="nil" w:sz="6" w:space="0" w:color="auto"/>
            </w:tcBorders>
          </w:tcPr>
          <w:p>
            <w:pPr/>
          </w:p>
        </w:tc>
        <w:tc>
          <w:tcPr>
            <w:tcW w:w="218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25"/>
              <w:jc w:val="right"/>
              <w:rPr>
                <w:rFonts w:ascii="Arial" w:hAnsi="Arial" w:cs="Arial" w:eastAsia="Arial" w:hint="default"/>
                <w:sz w:val="22"/>
                <w:szCs w:val="22"/>
              </w:rPr>
            </w:pPr>
            <w:r>
              <w:rPr>
                <w:rFonts w:ascii="Arial"/>
                <w:w w:val="95"/>
                <w:sz w:val="22"/>
              </w:rPr>
              <w:t>14,171,536</w:t>
            </w:r>
            <w:r>
              <w:rPr>
                <w:rFonts w:ascii="Arial"/>
                <w:sz w:val="22"/>
              </w:rPr>
            </w:r>
          </w:p>
        </w:tc>
      </w:tr>
      <w:tr>
        <w:trPr>
          <w:trHeight w:val="285" w:hRule="exact"/>
        </w:trPr>
        <w:tc>
          <w:tcPr>
            <w:tcW w:w="4571" w:type="dxa"/>
            <w:tcBorders>
              <w:top w:val="nil" w:sz="6" w:space="0" w:color="auto"/>
              <w:left w:val="nil" w:sz="6" w:space="0" w:color="auto"/>
              <w:bottom w:val="nil" w:sz="6" w:space="0" w:color="auto"/>
              <w:right w:val="nil" w:sz="6" w:space="0" w:color="auto"/>
            </w:tcBorders>
          </w:tcPr>
          <w:p>
            <w:pPr>
              <w:pStyle w:val="TableParagraph"/>
              <w:spacing w:line="239" w:lineRule="exact"/>
              <w:ind w:right="0"/>
              <w:jc w:val="left"/>
              <w:rPr>
                <w:rFonts w:ascii="宋体" w:hAnsi="宋体" w:cs="宋体" w:eastAsia="宋体" w:hint="default"/>
                <w:sz w:val="22"/>
                <w:szCs w:val="22"/>
              </w:rPr>
            </w:pPr>
            <w:r>
              <w:rPr>
                <w:rFonts w:ascii="宋体" w:hAnsi="宋体" w:cs="宋体" w:eastAsia="宋体" w:hint="default"/>
                <w:sz w:val="22"/>
                <w:szCs w:val="22"/>
              </w:rPr>
              <w:t>因自然灾害造成的非常损失</w:t>
            </w:r>
          </w:p>
        </w:tc>
        <w:tc>
          <w:tcPr>
            <w:tcW w:w="2027"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86"/>
              <w:jc w:val="right"/>
              <w:rPr>
                <w:rFonts w:ascii="Arial" w:hAnsi="Arial" w:cs="Arial" w:eastAsia="Arial" w:hint="default"/>
                <w:sz w:val="22"/>
                <w:szCs w:val="22"/>
              </w:rPr>
            </w:pPr>
            <w:r>
              <w:rPr>
                <w:rFonts w:ascii="Arial"/>
                <w:w w:val="99"/>
                <w:sz w:val="22"/>
              </w:rPr>
              <w:t>-</w:t>
            </w:r>
            <w:r>
              <w:rPr>
                <w:rFonts w:ascii="Arial"/>
                <w:sz w:val="22"/>
              </w:rPr>
            </w:r>
          </w:p>
        </w:tc>
        <w:tc>
          <w:tcPr>
            <w:tcW w:w="235" w:type="dxa"/>
            <w:tcBorders>
              <w:top w:val="nil" w:sz="6" w:space="0" w:color="auto"/>
              <w:left w:val="nil" w:sz="6" w:space="0" w:color="auto"/>
              <w:bottom w:val="nil" w:sz="6" w:space="0" w:color="auto"/>
              <w:right w:val="nil" w:sz="6" w:space="0" w:color="auto"/>
            </w:tcBorders>
          </w:tcPr>
          <w:p>
            <w:pPr/>
          </w:p>
        </w:tc>
        <w:tc>
          <w:tcPr>
            <w:tcW w:w="218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25"/>
              <w:jc w:val="right"/>
              <w:rPr>
                <w:rFonts w:ascii="Arial" w:hAnsi="Arial" w:cs="Arial" w:eastAsia="Arial" w:hint="default"/>
                <w:sz w:val="22"/>
                <w:szCs w:val="22"/>
              </w:rPr>
            </w:pPr>
            <w:r>
              <w:rPr>
                <w:rFonts w:ascii="Arial"/>
                <w:w w:val="95"/>
                <w:sz w:val="22"/>
              </w:rPr>
              <w:t>74,013,315</w:t>
            </w:r>
            <w:r>
              <w:rPr>
                <w:rFonts w:ascii="Arial"/>
                <w:sz w:val="22"/>
              </w:rPr>
            </w:r>
          </w:p>
        </w:tc>
      </w:tr>
      <w:tr>
        <w:trPr>
          <w:trHeight w:val="366" w:hRule="exact"/>
        </w:trPr>
        <w:tc>
          <w:tcPr>
            <w:tcW w:w="4571" w:type="dxa"/>
            <w:tcBorders>
              <w:top w:val="nil" w:sz="6" w:space="0" w:color="auto"/>
              <w:left w:val="nil" w:sz="6" w:space="0" w:color="auto"/>
              <w:bottom w:val="nil" w:sz="6" w:space="0" w:color="auto"/>
              <w:right w:val="nil" w:sz="6" w:space="0" w:color="auto"/>
            </w:tcBorders>
          </w:tcPr>
          <w:p>
            <w:pPr>
              <w:pStyle w:val="TableParagraph"/>
              <w:spacing w:line="239" w:lineRule="exact"/>
              <w:ind w:right="0"/>
              <w:jc w:val="left"/>
              <w:rPr>
                <w:rFonts w:ascii="宋体" w:hAnsi="宋体" w:cs="宋体" w:eastAsia="宋体" w:hint="default"/>
                <w:sz w:val="22"/>
                <w:szCs w:val="22"/>
              </w:rPr>
            </w:pPr>
            <w:r>
              <w:rPr>
                <w:rFonts w:ascii="宋体" w:hAnsi="宋体" w:cs="宋体" w:eastAsia="宋体" w:hint="default"/>
                <w:sz w:val="22"/>
                <w:szCs w:val="22"/>
              </w:rPr>
              <w:t>其他</w:t>
            </w:r>
          </w:p>
        </w:tc>
        <w:tc>
          <w:tcPr>
            <w:tcW w:w="2027" w:type="dxa"/>
            <w:tcBorders>
              <w:top w:val="nil" w:sz="6" w:space="0" w:color="auto"/>
              <w:left w:val="nil" w:sz="6" w:space="0" w:color="auto"/>
              <w:bottom w:val="nil" w:sz="6" w:space="0" w:color="auto"/>
              <w:right w:val="nil" w:sz="6" w:space="0" w:color="auto"/>
            </w:tcBorders>
          </w:tcPr>
          <w:p>
            <w:pPr>
              <w:pStyle w:val="TableParagraph"/>
              <w:tabs>
                <w:tab w:pos="836" w:val="left" w:leader="none"/>
                <w:tab w:pos="2026" w:val="left" w:leader="none"/>
              </w:tabs>
              <w:spacing w:line="240" w:lineRule="auto" w:before="17"/>
              <w:ind w:right="0"/>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44,013,766</w:t>
            </w:r>
            <w:r>
              <w:rPr>
                <w:rFonts w:ascii="Arial"/>
                <w:sz w:val="22"/>
                <w:u w:val="single" w:color="000000"/>
              </w:rPr>
              <w:tab/>
            </w:r>
            <w:r>
              <w:rPr>
                <w:rFonts w:ascii="Arial"/>
                <w:sz w:val="22"/>
              </w:rPr>
            </w:r>
          </w:p>
        </w:tc>
        <w:tc>
          <w:tcPr>
            <w:tcW w:w="235" w:type="dxa"/>
            <w:tcBorders>
              <w:top w:val="nil" w:sz="6" w:space="0" w:color="auto"/>
              <w:left w:val="nil" w:sz="6" w:space="0" w:color="auto"/>
              <w:bottom w:val="nil" w:sz="6" w:space="0" w:color="auto"/>
              <w:right w:val="nil" w:sz="6" w:space="0" w:color="auto"/>
            </w:tcBorders>
          </w:tcPr>
          <w:p>
            <w:pPr/>
          </w:p>
        </w:tc>
        <w:tc>
          <w:tcPr>
            <w:tcW w:w="2183" w:type="dxa"/>
            <w:tcBorders>
              <w:top w:val="nil" w:sz="6" w:space="0" w:color="auto"/>
              <w:left w:val="nil" w:sz="6" w:space="0" w:color="auto"/>
              <w:bottom w:val="nil" w:sz="6" w:space="0" w:color="auto"/>
              <w:right w:val="nil" w:sz="6" w:space="0" w:color="auto"/>
            </w:tcBorders>
          </w:tcPr>
          <w:p>
            <w:pPr>
              <w:pStyle w:val="TableParagraph"/>
              <w:tabs>
                <w:tab w:pos="953" w:val="left" w:leader="none"/>
                <w:tab w:pos="2175"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11,888,133</w:t>
            </w:r>
            <w:r>
              <w:rPr>
                <w:rFonts w:ascii="Arial"/>
                <w:sz w:val="22"/>
                <w:u w:val="single" w:color="000000"/>
              </w:rPr>
              <w:tab/>
            </w:r>
            <w:r>
              <w:rPr>
                <w:rFonts w:ascii="Arial"/>
                <w:sz w:val="22"/>
              </w:rPr>
            </w:r>
          </w:p>
        </w:tc>
      </w:tr>
    </w:tbl>
    <w:p>
      <w:pPr>
        <w:spacing w:line="240" w:lineRule="auto" w:before="3"/>
        <w:rPr>
          <w:rFonts w:ascii="黑体" w:hAnsi="黑体" w:cs="黑体" w:eastAsia="黑体" w:hint="default"/>
          <w:sz w:val="8"/>
          <w:szCs w:val="8"/>
        </w:rPr>
      </w:pPr>
    </w:p>
    <w:p>
      <w:pPr>
        <w:pStyle w:val="BodyText"/>
        <w:tabs>
          <w:tab w:pos="5835" w:val="left" w:leader="none"/>
          <w:tab w:pos="8215" w:val="left" w:leader="none"/>
        </w:tabs>
        <w:spacing w:line="240" w:lineRule="auto" w:before="27"/>
        <w:ind w:left="550" w:right="90"/>
        <w:jc w:val="left"/>
        <w:rPr>
          <w:rFonts w:ascii="Arial" w:hAnsi="Arial" w:cs="Arial" w:eastAsia="Arial" w:hint="default"/>
        </w:rPr>
      </w:pPr>
      <w:r>
        <w:rPr>
          <w:w w:val="95"/>
          <w:position w:val="2"/>
        </w:rPr>
        <w:t>合计</w:t>
        <w:tab/>
      </w:r>
      <w:r>
        <w:rPr>
          <w:rFonts w:ascii="Arial" w:hAnsi="Arial" w:cs="Arial" w:eastAsia="Arial" w:hint="default"/>
          <w:w w:val="95"/>
        </w:rPr>
        <w:t>275,186,614</w:t>
        <w:tab/>
      </w:r>
      <w:r>
        <w:rPr>
          <w:rFonts w:ascii="Arial" w:hAnsi="Arial" w:cs="Arial" w:eastAsia="Arial" w:hint="default"/>
        </w:rPr>
        <w:t>302,122,156</w:t>
      </w:r>
    </w:p>
    <w:p>
      <w:pPr>
        <w:tabs>
          <w:tab w:pos="7368" w:val="left" w:leader="none"/>
        </w:tabs>
        <w:spacing w:line="43" w:lineRule="exact"/>
        <w:ind w:left="5106" w:right="0" w:firstLine="0"/>
        <w:rPr>
          <w:rFonts w:ascii="Arial" w:hAnsi="Arial" w:cs="Arial" w:eastAsia="Arial" w:hint="default"/>
          <w:sz w:val="4"/>
          <w:szCs w:val="4"/>
        </w:rPr>
      </w:pPr>
      <w:r>
        <w:rPr>
          <w:rFonts w:ascii="Arial"/>
          <w:position w:val="0"/>
          <w:sz w:val="4"/>
        </w:rPr>
        <w:pict>
          <v:group style="width:102.8pt;height:2.2pt;mso-position-horizontal-relative:char;mso-position-vertical-relative:line" coordorigin="0,0" coordsize="2056,44">
            <v:group style="position:absolute;left:7;top:36;width:2042;height:2" coordorigin="7,36" coordsize="2042,2">
              <v:shape style="position:absolute;left:7;top:36;width:2042;height:2" coordorigin="7,36" coordsize="2042,0" path="m7,36l2048,36e" filled="false" stroked="true" strokeweight=".72pt" strokecolor="#000000">
                <v:path arrowok="t"/>
              </v:shape>
            </v:group>
            <v:group style="position:absolute;left:7;top:7;width:2042;height:2" coordorigin="7,7" coordsize="2042,2">
              <v:shape style="position:absolute;left:7;top:7;width:2042;height:2" coordorigin="7,7" coordsize="2042,0" path="m7,7l2048,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110.25pt;height:2.2pt;mso-position-horizontal-relative:char;mso-position-vertical-relative:line" coordorigin="0,0" coordsize="2205,44">
            <v:group style="position:absolute;left:7;top:36;width:2190;height:2" coordorigin="7,36" coordsize="2190,2">
              <v:shape style="position:absolute;left:7;top:36;width:2190;height:2" coordorigin="7,36" coordsize="2190,0" path="m7,36l2197,36e" filled="false" stroked="true" strokeweight=".72pt" strokecolor="#000000">
                <v:path arrowok="t"/>
              </v:shape>
            </v:group>
            <v:group style="position:absolute;left:7;top:7;width:2190;height:2" coordorigin="7,7" coordsize="2190,2">
              <v:shape style="position:absolute;left:7;top:7;width:2190;height:2" coordorigin="7,7" coordsize="2190,0" path="m7,7l2197,7e" filled="false" stroked="true" strokeweight=".72pt" strokecolor="#000000">
                <v:path arrowok="t"/>
              </v:shape>
            </v:group>
          </v:group>
        </w:pict>
      </w:r>
      <w:r>
        <w:rPr>
          <w:rFonts w:ascii="Arial"/>
          <w:position w:val="0"/>
          <w:sz w:val="4"/>
        </w:rPr>
      </w:r>
    </w:p>
    <w:p>
      <w:pPr>
        <w:spacing w:line="240" w:lineRule="auto" w:before="5"/>
        <w:rPr>
          <w:rFonts w:ascii="Arial" w:hAnsi="Arial" w:cs="Arial" w:eastAsia="Arial" w:hint="default"/>
          <w:sz w:val="16"/>
          <w:szCs w:val="16"/>
        </w:rPr>
      </w:pPr>
    </w:p>
    <w:p>
      <w:pPr>
        <w:pStyle w:val="BodyText"/>
        <w:spacing w:line="240" w:lineRule="auto" w:before="31"/>
        <w:ind w:left="102" w:right="90"/>
        <w:jc w:val="left"/>
        <w:rPr>
          <w:rFonts w:ascii="黑体" w:hAnsi="黑体" w:cs="黑体" w:eastAsia="黑体" w:hint="default"/>
        </w:rPr>
      </w:pPr>
      <w:r>
        <w:rPr>
          <w:rFonts w:ascii="Arial" w:hAnsi="Arial" w:cs="Arial" w:eastAsia="Arial" w:hint="default"/>
        </w:rPr>
        <w:t>45</w:t>
      </w:r>
      <w:r>
        <w:rPr>
          <w:rFonts w:ascii="黑体" w:hAnsi="黑体" w:cs="黑体" w:eastAsia="黑体" w:hint="default"/>
        </w:rPr>
        <w:t>、所得税</w:t>
      </w:r>
    </w:p>
    <w:p>
      <w:pPr>
        <w:spacing w:line="240" w:lineRule="auto" w:before="6"/>
        <w:rPr>
          <w:rFonts w:ascii="黑体" w:hAnsi="黑体" w:cs="黑体" w:eastAsia="黑体" w:hint="default"/>
          <w:sz w:val="15"/>
          <w:szCs w:val="15"/>
        </w:rPr>
      </w:pPr>
    </w:p>
    <w:tbl>
      <w:tblPr>
        <w:tblW w:w="0" w:type="auto"/>
        <w:jc w:val="left"/>
        <w:tblInd w:w="515" w:type="dxa"/>
        <w:tblLayout w:type="fixed"/>
        <w:tblCellMar>
          <w:top w:w="0" w:type="dxa"/>
          <w:left w:w="0" w:type="dxa"/>
          <w:bottom w:w="0" w:type="dxa"/>
          <w:right w:w="0" w:type="dxa"/>
        </w:tblCellMar>
        <w:tblLook w:val="01E0"/>
      </w:tblPr>
      <w:tblGrid>
        <w:gridCol w:w="4585"/>
        <w:gridCol w:w="2057"/>
        <w:gridCol w:w="214"/>
        <w:gridCol w:w="2188"/>
      </w:tblGrid>
      <w:tr>
        <w:trPr>
          <w:trHeight w:val="361" w:hRule="exact"/>
        </w:trPr>
        <w:tc>
          <w:tcPr>
            <w:tcW w:w="4585" w:type="dxa"/>
            <w:vMerge w:val="restart"/>
            <w:tcBorders>
              <w:top w:val="nil" w:sz="6" w:space="0" w:color="auto"/>
              <w:left w:val="nil" w:sz="6" w:space="0" w:color="auto"/>
              <w:right w:val="nil" w:sz="6" w:space="0" w:color="auto"/>
            </w:tcBorders>
          </w:tcPr>
          <w:p>
            <w:pPr/>
          </w:p>
        </w:tc>
        <w:tc>
          <w:tcPr>
            <w:tcW w:w="2057"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108"/>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214" w:type="dxa"/>
            <w:tcBorders>
              <w:top w:val="nil" w:sz="6" w:space="0" w:color="auto"/>
              <w:left w:val="nil" w:sz="6" w:space="0" w:color="auto"/>
              <w:bottom w:val="nil" w:sz="6" w:space="0" w:color="auto"/>
              <w:right w:val="nil" w:sz="6" w:space="0" w:color="auto"/>
            </w:tcBorders>
          </w:tcPr>
          <w:p>
            <w:pPr/>
          </w:p>
        </w:tc>
        <w:tc>
          <w:tcPr>
            <w:tcW w:w="2188"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74"/>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292" w:hRule="exact"/>
        </w:trPr>
        <w:tc>
          <w:tcPr>
            <w:tcW w:w="4585" w:type="dxa"/>
            <w:vMerge/>
            <w:tcBorders>
              <w:left w:val="nil" w:sz="6" w:space="0" w:color="auto"/>
              <w:bottom w:val="nil" w:sz="6" w:space="0" w:color="auto"/>
              <w:right w:val="nil" w:sz="6" w:space="0" w:color="auto"/>
            </w:tcBorders>
          </w:tcPr>
          <w:p>
            <w:pPr/>
          </w:p>
        </w:tc>
        <w:tc>
          <w:tcPr>
            <w:tcW w:w="2057" w:type="dxa"/>
            <w:tcBorders>
              <w:top w:val="single" w:sz="6" w:space="0" w:color="000000"/>
              <w:left w:val="nil" w:sz="6" w:space="0" w:color="auto"/>
              <w:bottom w:val="nil" w:sz="6" w:space="0" w:color="auto"/>
              <w:right w:val="nil" w:sz="6" w:space="0" w:color="auto"/>
            </w:tcBorders>
          </w:tcPr>
          <w:p>
            <w:pPr/>
          </w:p>
        </w:tc>
        <w:tc>
          <w:tcPr>
            <w:tcW w:w="214" w:type="dxa"/>
            <w:tcBorders>
              <w:top w:val="nil" w:sz="6" w:space="0" w:color="auto"/>
              <w:left w:val="nil" w:sz="6" w:space="0" w:color="auto"/>
              <w:bottom w:val="nil" w:sz="6" w:space="0" w:color="auto"/>
              <w:right w:val="nil" w:sz="6" w:space="0" w:color="auto"/>
            </w:tcBorders>
          </w:tcPr>
          <w:p>
            <w:pPr/>
          </w:p>
        </w:tc>
        <w:tc>
          <w:tcPr>
            <w:tcW w:w="2188" w:type="dxa"/>
            <w:tcBorders>
              <w:top w:val="single" w:sz="6" w:space="0" w:color="000000"/>
              <w:left w:val="nil" w:sz="6" w:space="0" w:color="auto"/>
              <w:bottom w:val="nil" w:sz="6" w:space="0" w:color="auto"/>
              <w:right w:val="nil" w:sz="6" w:space="0" w:color="auto"/>
            </w:tcBorders>
          </w:tcPr>
          <w:p>
            <w:pPr>
              <w:pStyle w:val="TableParagraph"/>
              <w:spacing w:line="253" w:lineRule="exact"/>
              <w:ind w:right="75"/>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4585" w:type="dxa"/>
            <w:tcBorders>
              <w:top w:val="nil" w:sz="6" w:space="0" w:color="auto"/>
              <w:left w:val="nil" w:sz="6" w:space="0" w:color="auto"/>
              <w:bottom w:val="nil" w:sz="6" w:space="0" w:color="auto"/>
              <w:right w:val="nil" w:sz="6" w:space="0" w:color="auto"/>
            </w:tcBorders>
          </w:tcPr>
          <w:p>
            <w:pPr>
              <w:pStyle w:val="TableParagraph"/>
              <w:spacing w:line="252" w:lineRule="exact"/>
              <w:ind w:left="35" w:right="0"/>
              <w:jc w:val="left"/>
              <w:rPr>
                <w:rFonts w:ascii="宋体" w:hAnsi="宋体" w:cs="宋体" w:eastAsia="宋体" w:hint="default"/>
                <w:sz w:val="22"/>
                <w:szCs w:val="22"/>
              </w:rPr>
            </w:pPr>
            <w:r>
              <w:rPr>
                <w:rFonts w:ascii="宋体" w:hAnsi="宋体" w:cs="宋体" w:eastAsia="宋体" w:hint="default"/>
                <w:sz w:val="22"/>
                <w:szCs w:val="22"/>
              </w:rPr>
              <w:t>持续经营业务当期所得税</w:t>
            </w:r>
          </w:p>
        </w:tc>
        <w:tc>
          <w:tcPr>
            <w:tcW w:w="2057"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81"/>
              <w:jc w:val="right"/>
              <w:rPr>
                <w:rFonts w:ascii="Arial" w:hAnsi="Arial" w:cs="Arial" w:eastAsia="Arial" w:hint="default"/>
                <w:sz w:val="22"/>
                <w:szCs w:val="22"/>
              </w:rPr>
            </w:pPr>
            <w:r>
              <w:rPr>
                <w:rFonts w:ascii="Arial"/>
                <w:spacing w:val="-1"/>
                <w:sz w:val="22"/>
              </w:rPr>
              <w:t>2,321,857,107</w:t>
            </w:r>
          </w:p>
        </w:tc>
        <w:tc>
          <w:tcPr>
            <w:tcW w:w="214" w:type="dxa"/>
            <w:tcBorders>
              <w:top w:val="nil" w:sz="6" w:space="0" w:color="auto"/>
              <w:left w:val="nil" w:sz="6" w:space="0" w:color="auto"/>
              <w:bottom w:val="nil" w:sz="6" w:space="0" w:color="auto"/>
              <w:right w:val="nil" w:sz="6" w:space="0" w:color="auto"/>
            </w:tcBorders>
          </w:tcPr>
          <w:p>
            <w:pP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2"/>
              <w:jc w:val="right"/>
              <w:rPr>
                <w:rFonts w:ascii="Arial" w:hAnsi="Arial" w:cs="Arial" w:eastAsia="Arial" w:hint="default"/>
                <w:sz w:val="22"/>
                <w:szCs w:val="22"/>
              </w:rPr>
            </w:pPr>
            <w:r>
              <w:rPr>
                <w:rFonts w:ascii="Arial"/>
                <w:spacing w:val="-1"/>
                <w:sz w:val="22"/>
              </w:rPr>
              <w:t>4,686,321,651</w:t>
            </w:r>
          </w:p>
        </w:tc>
      </w:tr>
      <w:tr>
        <w:trPr>
          <w:trHeight w:val="419" w:hRule="exact"/>
        </w:trPr>
        <w:tc>
          <w:tcPr>
            <w:tcW w:w="4585"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sz w:val="22"/>
                <w:szCs w:val="22"/>
              </w:rPr>
              <w:t>加</w:t>
            </w:r>
            <w:r>
              <w:rPr>
                <w:rFonts w:ascii="Arial" w:hAnsi="Arial" w:cs="Arial" w:eastAsia="Arial" w:hint="default"/>
                <w:sz w:val="22"/>
                <w:szCs w:val="22"/>
              </w:rPr>
              <w:t>/</w:t>
            </w:r>
            <w:r>
              <w:rPr>
                <w:rFonts w:ascii="宋体" w:hAnsi="宋体" w:cs="宋体" w:eastAsia="宋体" w:hint="default"/>
                <w:sz w:val="22"/>
                <w:szCs w:val="22"/>
              </w:rPr>
              <w:t>减：持续经营业务递延所得税</w:t>
            </w:r>
          </w:p>
        </w:tc>
        <w:tc>
          <w:tcPr>
            <w:tcW w:w="2057" w:type="dxa"/>
            <w:tcBorders>
              <w:top w:val="nil" w:sz="6" w:space="0" w:color="auto"/>
              <w:left w:val="nil" w:sz="6" w:space="0" w:color="auto"/>
              <w:bottom w:val="nil" w:sz="6" w:space="0" w:color="auto"/>
              <w:right w:val="nil" w:sz="6" w:space="0" w:color="auto"/>
            </w:tcBorders>
          </w:tcPr>
          <w:p>
            <w:pPr>
              <w:pStyle w:val="TableParagraph"/>
              <w:tabs>
                <w:tab w:pos="744" w:val="left" w:leader="none"/>
                <w:tab w:pos="2042"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485,225,421</w:t>
            </w:r>
            <w:r>
              <w:rPr>
                <w:rFonts w:ascii="Arial"/>
                <w:sz w:val="22"/>
                <w:u w:val="single" w:color="000000"/>
              </w:rPr>
              <w:tab/>
            </w:r>
            <w:r>
              <w:rPr>
                <w:rFonts w:ascii="Arial"/>
                <w:sz w:val="22"/>
              </w:rPr>
            </w:r>
          </w:p>
        </w:tc>
        <w:tc>
          <w:tcPr>
            <w:tcW w:w="214" w:type="dxa"/>
            <w:tcBorders>
              <w:top w:val="nil" w:sz="6" w:space="0" w:color="auto"/>
              <w:left w:val="nil" w:sz="6" w:space="0" w:color="auto"/>
              <w:bottom w:val="nil" w:sz="6" w:space="0" w:color="auto"/>
              <w:right w:val="nil" w:sz="6" w:space="0" w:color="auto"/>
            </w:tcBorders>
          </w:tcPr>
          <w:p>
            <w:pPr/>
          </w:p>
        </w:tc>
        <w:tc>
          <w:tcPr>
            <w:tcW w:w="2188" w:type="dxa"/>
            <w:tcBorders>
              <w:top w:val="nil" w:sz="6" w:space="0" w:color="auto"/>
              <w:left w:val="nil" w:sz="6" w:space="0" w:color="auto"/>
              <w:bottom w:val="nil" w:sz="6" w:space="0" w:color="auto"/>
              <w:right w:val="nil" w:sz="6" w:space="0" w:color="auto"/>
            </w:tcBorders>
          </w:tcPr>
          <w:p>
            <w:pPr>
              <w:pStyle w:val="TableParagraph"/>
              <w:tabs>
                <w:tab w:pos="598" w:val="left" w:leader="none"/>
              </w:tabs>
              <w:spacing w:line="240" w:lineRule="auto" w:before="17"/>
              <w:ind w:right="29"/>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(2,957,652,288)</w:t>
            </w:r>
            <w:r>
              <w:rPr>
                <w:rFonts w:ascii="Arial"/>
                <w:w w:val="95"/>
                <w:sz w:val="22"/>
              </w:rPr>
            </w:r>
            <w:r>
              <w:rPr>
                <w:rFonts w:ascii="Arial"/>
                <w:sz w:val="22"/>
              </w:rPr>
            </w:r>
          </w:p>
        </w:tc>
      </w:tr>
      <w:tr>
        <w:trPr>
          <w:trHeight w:val="431" w:hRule="exact"/>
        </w:trPr>
        <w:tc>
          <w:tcPr>
            <w:tcW w:w="4585"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057"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81"/>
              <w:jc w:val="right"/>
              <w:rPr>
                <w:rFonts w:ascii="Arial" w:hAnsi="Arial" w:cs="Arial" w:eastAsia="Arial" w:hint="default"/>
                <w:sz w:val="22"/>
                <w:szCs w:val="22"/>
              </w:rPr>
            </w:pPr>
            <w:r>
              <w:rPr>
                <w:rFonts w:ascii="Arial"/>
                <w:spacing w:val="-1"/>
                <w:sz w:val="22"/>
              </w:rPr>
              <w:t>2,807,082,528</w:t>
            </w:r>
          </w:p>
        </w:tc>
        <w:tc>
          <w:tcPr>
            <w:tcW w:w="214" w:type="dxa"/>
            <w:tcBorders>
              <w:top w:val="nil" w:sz="6" w:space="0" w:color="auto"/>
              <w:left w:val="nil" w:sz="6" w:space="0" w:color="auto"/>
              <w:bottom w:val="nil" w:sz="6" w:space="0" w:color="auto"/>
              <w:right w:val="nil" w:sz="6" w:space="0" w:color="auto"/>
            </w:tcBorders>
          </w:tcPr>
          <w:p>
            <w:pPr/>
          </w:p>
        </w:tc>
        <w:tc>
          <w:tcPr>
            <w:tcW w:w="2188"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102"/>
              <w:jc w:val="right"/>
              <w:rPr>
                <w:rFonts w:ascii="Arial" w:hAnsi="Arial" w:cs="Arial" w:eastAsia="Arial" w:hint="default"/>
                <w:sz w:val="22"/>
                <w:szCs w:val="22"/>
              </w:rPr>
            </w:pPr>
            <w:r>
              <w:rPr>
                <w:rFonts w:ascii="Arial"/>
                <w:spacing w:val="-1"/>
                <w:sz w:val="22"/>
              </w:rPr>
              <w:t>1,728,669,363</w:t>
            </w:r>
          </w:p>
        </w:tc>
      </w:tr>
    </w:tbl>
    <w:p>
      <w:pPr>
        <w:spacing w:after="0" w:line="240" w:lineRule="auto"/>
        <w:jc w:val="right"/>
        <w:rPr>
          <w:rFonts w:ascii="Arial" w:hAnsi="Arial" w:cs="Arial" w:eastAsia="Arial" w:hint="default"/>
          <w:sz w:val="22"/>
          <w:szCs w:val="22"/>
        </w:rPr>
        <w:sectPr>
          <w:headerReference w:type="default" r:id="rId117"/>
          <w:pgSz w:w="11910" w:h="16840"/>
          <w:pgMar w:header="1189" w:footer="752" w:top="3580" w:bottom="940" w:left="1280" w:right="820"/>
        </w:sectPr>
      </w:pPr>
    </w:p>
    <w:p>
      <w:pPr>
        <w:spacing w:line="240" w:lineRule="auto" w:before="12"/>
        <w:rPr>
          <w:rFonts w:ascii="黑体" w:hAnsi="黑体" w:cs="黑体" w:eastAsia="黑体" w:hint="default"/>
          <w:sz w:val="15"/>
          <w:szCs w:val="15"/>
        </w:rPr>
      </w:pPr>
    </w:p>
    <w:p>
      <w:pPr>
        <w:pStyle w:val="BodyText"/>
        <w:spacing w:line="240" w:lineRule="auto" w:before="31"/>
        <w:ind w:left="102" w:right="133"/>
        <w:jc w:val="left"/>
      </w:pPr>
      <w:r>
        <w:rPr>
          <w:rFonts w:ascii="Arial" w:hAnsi="Arial" w:cs="Arial" w:eastAsia="Arial" w:hint="default"/>
        </w:rPr>
        <w:t>(1) </w:t>
      </w:r>
      <w:r>
        <w:rPr>
          <w:rFonts w:ascii="Arial" w:hAnsi="Arial" w:cs="Arial" w:eastAsia="Arial" w:hint="default"/>
          <w:spacing w:val="54"/>
        </w:rPr>
        <w:t> </w:t>
      </w:r>
      <w:r>
        <w:rPr/>
        <w:t>按法定税率计算之持续经营业务所得税与实际所得税费用调整如下：</w:t>
      </w:r>
    </w:p>
    <w:p>
      <w:pPr>
        <w:spacing w:line="240" w:lineRule="auto" w:before="3"/>
        <w:rPr>
          <w:rFonts w:ascii="宋体" w:hAnsi="宋体" w:cs="宋体" w:eastAsia="宋体" w:hint="default"/>
          <w:sz w:val="19"/>
          <w:szCs w:val="19"/>
        </w:rPr>
      </w:pPr>
    </w:p>
    <w:tbl>
      <w:tblPr>
        <w:tblW w:w="0" w:type="auto"/>
        <w:jc w:val="left"/>
        <w:tblInd w:w="527" w:type="dxa"/>
        <w:tblLayout w:type="fixed"/>
        <w:tblCellMar>
          <w:top w:w="0" w:type="dxa"/>
          <w:left w:w="0" w:type="dxa"/>
          <w:bottom w:w="0" w:type="dxa"/>
          <w:right w:w="0" w:type="dxa"/>
        </w:tblCellMar>
        <w:tblLook w:val="01E0"/>
      </w:tblPr>
      <w:tblGrid>
        <w:gridCol w:w="4342"/>
        <w:gridCol w:w="533"/>
        <w:gridCol w:w="112"/>
        <w:gridCol w:w="1973"/>
        <w:gridCol w:w="168"/>
        <w:gridCol w:w="1950"/>
      </w:tblGrid>
      <w:tr>
        <w:trPr>
          <w:trHeight w:val="361" w:hRule="exact"/>
        </w:trPr>
        <w:tc>
          <w:tcPr>
            <w:tcW w:w="4342" w:type="dxa"/>
            <w:vMerge w:val="restart"/>
            <w:tcBorders>
              <w:top w:val="nil" w:sz="6" w:space="0" w:color="auto"/>
              <w:left w:val="nil" w:sz="6" w:space="0" w:color="auto"/>
              <w:right w:val="nil" w:sz="6" w:space="0" w:color="auto"/>
            </w:tcBorders>
          </w:tcPr>
          <w:p>
            <w:pPr/>
          </w:p>
        </w:tc>
        <w:tc>
          <w:tcPr>
            <w:tcW w:w="533"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left="10" w:right="0"/>
              <w:jc w:val="center"/>
              <w:rPr>
                <w:rFonts w:ascii="宋体" w:hAnsi="宋体" w:cs="宋体" w:eastAsia="宋体" w:hint="default"/>
                <w:sz w:val="22"/>
                <w:szCs w:val="22"/>
              </w:rPr>
            </w:pPr>
            <w:r>
              <w:rPr>
                <w:rFonts w:ascii="宋体" w:hAnsi="宋体" w:cs="宋体" w:eastAsia="宋体" w:hint="default"/>
                <w:sz w:val="22"/>
                <w:szCs w:val="22"/>
              </w:rPr>
              <w:t>注释</w:t>
            </w:r>
          </w:p>
        </w:tc>
        <w:tc>
          <w:tcPr>
            <w:tcW w:w="11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60"/>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168" w:type="dxa"/>
            <w:tcBorders>
              <w:top w:val="nil" w:sz="6" w:space="0" w:color="auto"/>
              <w:left w:val="nil" w:sz="6" w:space="0" w:color="auto"/>
              <w:bottom w:val="nil" w:sz="6" w:space="0" w:color="auto"/>
              <w:right w:val="nil" w:sz="6" w:space="0" w:color="auto"/>
            </w:tcBorders>
          </w:tcPr>
          <w:p>
            <w:pPr/>
          </w:p>
        </w:tc>
        <w:tc>
          <w:tcPr>
            <w:tcW w:w="1950"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109"/>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293" w:hRule="exact"/>
        </w:trPr>
        <w:tc>
          <w:tcPr>
            <w:tcW w:w="4342" w:type="dxa"/>
            <w:vMerge/>
            <w:tcBorders>
              <w:left w:val="nil" w:sz="6" w:space="0" w:color="auto"/>
              <w:bottom w:val="nil" w:sz="6" w:space="0" w:color="auto"/>
              <w:right w:val="nil" w:sz="6" w:space="0" w:color="auto"/>
            </w:tcBorders>
          </w:tcPr>
          <w:p>
            <w:pPr/>
          </w:p>
        </w:tc>
        <w:tc>
          <w:tcPr>
            <w:tcW w:w="533" w:type="dxa"/>
            <w:tcBorders>
              <w:top w:val="single" w:sz="6" w:space="0" w:color="000000"/>
              <w:left w:val="nil" w:sz="6" w:space="0" w:color="auto"/>
              <w:bottom w:val="nil" w:sz="6" w:space="0" w:color="auto"/>
              <w:right w:val="nil" w:sz="6" w:space="0" w:color="auto"/>
            </w:tcBorders>
          </w:tcPr>
          <w:p>
            <w:pPr/>
          </w:p>
        </w:tc>
        <w:tc>
          <w:tcPr>
            <w:tcW w:w="112" w:type="dxa"/>
            <w:tcBorders>
              <w:top w:val="nil" w:sz="6" w:space="0" w:color="auto"/>
              <w:left w:val="nil" w:sz="6" w:space="0" w:color="auto"/>
              <w:bottom w:val="nil" w:sz="6" w:space="0" w:color="auto"/>
              <w:right w:val="nil" w:sz="6" w:space="0" w:color="auto"/>
            </w:tcBorders>
          </w:tcPr>
          <w:p>
            <w:pPr/>
          </w:p>
        </w:tc>
        <w:tc>
          <w:tcPr>
            <w:tcW w:w="1973" w:type="dxa"/>
            <w:tcBorders>
              <w:top w:val="single" w:sz="6" w:space="0" w:color="000000"/>
              <w:left w:val="nil" w:sz="6" w:space="0" w:color="auto"/>
              <w:bottom w:val="nil" w:sz="6" w:space="0" w:color="auto"/>
              <w:right w:val="nil" w:sz="6" w:space="0" w:color="auto"/>
            </w:tcBorders>
          </w:tcPr>
          <w:p>
            <w:pPr/>
          </w:p>
        </w:tc>
        <w:tc>
          <w:tcPr>
            <w:tcW w:w="168" w:type="dxa"/>
            <w:tcBorders>
              <w:top w:val="nil" w:sz="6" w:space="0" w:color="auto"/>
              <w:left w:val="nil" w:sz="6" w:space="0" w:color="auto"/>
              <w:bottom w:val="nil" w:sz="6" w:space="0" w:color="auto"/>
              <w:right w:val="nil" w:sz="6" w:space="0" w:color="auto"/>
            </w:tcBorders>
          </w:tcPr>
          <w:p>
            <w:pPr/>
          </w:p>
        </w:tc>
        <w:tc>
          <w:tcPr>
            <w:tcW w:w="1950" w:type="dxa"/>
            <w:tcBorders>
              <w:top w:val="single" w:sz="6" w:space="0" w:color="000000"/>
              <w:left w:val="nil" w:sz="6" w:space="0" w:color="auto"/>
              <w:bottom w:val="nil" w:sz="6" w:space="0" w:color="auto"/>
              <w:right w:val="nil" w:sz="6" w:space="0" w:color="auto"/>
            </w:tcBorders>
          </w:tcPr>
          <w:p>
            <w:pPr>
              <w:pStyle w:val="TableParagraph"/>
              <w:spacing w:line="253" w:lineRule="exact"/>
              <w:ind w:right="110"/>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4342" w:type="dxa"/>
            <w:tcBorders>
              <w:top w:val="nil" w:sz="6" w:space="0" w:color="auto"/>
              <w:left w:val="nil" w:sz="6" w:space="0" w:color="auto"/>
              <w:bottom w:val="nil" w:sz="6" w:space="0" w:color="auto"/>
              <w:right w:val="nil" w:sz="6" w:space="0" w:color="auto"/>
            </w:tcBorders>
          </w:tcPr>
          <w:p>
            <w:pPr>
              <w:pStyle w:val="TableParagraph"/>
              <w:spacing w:line="252" w:lineRule="exact"/>
              <w:ind w:left="35" w:right="0"/>
              <w:jc w:val="left"/>
              <w:rPr>
                <w:rFonts w:ascii="宋体" w:hAnsi="宋体" w:cs="宋体" w:eastAsia="宋体" w:hint="default"/>
                <w:sz w:val="22"/>
                <w:szCs w:val="22"/>
              </w:rPr>
            </w:pPr>
            <w:r>
              <w:rPr>
                <w:rFonts w:ascii="宋体" w:hAnsi="宋体" w:cs="宋体" w:eastAsia="宋体" w:hint="default"/>
                <w:sz w:val="22"/>
                <w:szCs w:val="22"/>
              </w:rPr>
              <w:t>持续经营业务利润总额</w:t>
            </w:r>
          </w:p>
        </w:tc>
        <w:tc>
          <w:tcPr>
            <w:tcW w:w="533" w:type="dxa"/>
            <w:tcBorders>
              <w:top w:val="nil" w:sz="6" w:space="0" w:color="auto"/>
              <w:left w:val="nil" w:sz="6" w:space="0" w:color="auto"/>
              <w:bottom w:val="nil" w:sz="6" w:space="0" w:color="auto"/>
              <w:right w:val="nil" w:sz="6" w:space="0" w:color="auto"/>
            </w:tcBorders>
          </w:tcPr>
          <w:p>
            <w:pPr/>
          </w:p>
        </w:tc>
        <w:tc>
          <w:tcPr>
            <w:tcW w:w="11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39" w:right="0"/>
              <w:jc w:val="left"/>
              <w:rPr>
                <w:rFonts w:ascii="Arial" w:hAnsi="Arial" w:cs="Arial" w:eastAsia="Arial" w:hint="default"/>
                <w:sz w:val="22"/>
                <w:szCs w:val="22"/>
              </w:rPr>
            </w:pPr>
            <w:r>
              <w:rPr>
                <w:rFonts w:ascii="Arial"/>
                <w:sz w:val="22"/>
              </w:rPr>
              <w:t>12,180,976,314</w:t>
            </w:r>
          </w:p>
        </w:tc>
        <w:tc>
          <w:tcPr>
            <w:tcW w:w="168" w:type="dxa"/>
            <w:tcBorders>
              <w:top w:val="nil" w:sz="6" w:space="0" w:color="auto"/>
              <w:left w:val="nil" w:sz="6" w:space="0" w:color="auto"/>
              <w:bottom w:val="nil" w:sz="6" w:space="0" w:color="auto"/>
              <w:right w:val="nil" w:sz="6" w:space="0" w:color="auto"/>
            </w:tcBorders>
          </w:tcPr>
          <w:p>
            <w:pP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64" w:right="0"/>
              <w:jc w:val="left"/>
              <w:rPr>
                <w:rFonts w:ascii="Arial" w:hAnsi="Arial" w:cs="Arial" w:eastAsia="Arial" w:hint="default"/>
                <w:sz w:val="22"/>
                <w:szCs w:val="22"/>
              </w:rPr>
            </w:pPr>
            <w:r>
              <w:rPr>
                <w:rFonts w:ascii="Arial"/>
                <w:sz w:val="22"/>
              </w:rPr>
              <w:t>8,980,820,597</w:t>
            </w:r>
          </w:p>
        </w:tc>
      </w:tr>
      <w:tr>
        <w:trPr>
          <w:trHeight w:val="557" w:hRule="exact"/>
        </w:trPr>
        <w:tc>
          <w:tcPr>
            <w:tcW w:w="4342" w:type="dxa"/>
            <w:tcBorders>
              <w:top w:val="nil" w:sz="6" w:space="0" w:color="auto"/>
              <w:left w:val="nil" w:sz="6" w:space="0" w:color="auto"/>
              <w:bottom w:val="nil" w:sz="6" w:space="0" w:color="auto"/>
              <w:right w:val="nil" w:sz="6" w:space="0" w:color="auto"/>
            </w:tcBorders>
          </w:tcPr>
          <w:p>
            <w:pPr>
              <w:pStyle w:val="TableParagraph"/>
              <w:spacing w:line="238" w:lineRule="exact"/>
              <w:ind w:left="35" w:right="0"/>
              <w:jc w:val="left"/>
              <w:rPr>
                <w:rFonts w:ascii="宋体" w:hAnsi="宋体" w:cs="宋体" w:eastAsia="宋体" w:hint="default"/>
                <w:sz w:val="22"/>
                <w:szCs w:val="22"/>
              </w:rPr>
            </w:pPr>
            <w:r>
              <w:rPr>
                <w:rFonts w:ascii="宋体" w:hAnsi="宋体" w:cs="宋体" w:eastAsia="宋体" w:hint="default"/>
                <w:sz w:val="22"/>
                <w:szCs w:val="22"/>
              </w:rPr>
              <w:t>按法定税率计算之持续经营业务所得税</w:t>
            </w:r>
          </w:p>
          <w:p>
            <w:pPr>
              <w:pStyle w:val="TableParagraph"/>
              <w:spacing w:line="286" w:lineRule="exact"/>
              <w:ind w:left="35" w:right="0"/>
              <w:jc w:val="left"/>
              <w:rPr>
                <w:rFonts w:ascii="宋体" w:hAnsi="宋体" w:cs="宋体" w:eastAsia="宋体" w:hint="default"/>
                <w:sz w:val="22"/>
                <w:szCs w:val="22"/>
              </w:rPr>
            </w:pPr>
            <w:r>
              <w:rPr>
                <w:rFonts w:ascii="宋体" w:hAnsi="宋体" w:cs="宋体" w:eastAsia="宋体" w:hint="default"/>
                <w:sz w:val="22"/>
                <w:szCs w:val="22"/>
              </w:rPr>
              <w:t>所得税影响调整：</w:t>
            </w:r>
          </w:p>
        </w:tc>
        <w:tc>
          <w:tcPr>
            <w:tcW w:w="533" w:type="dxa"/>
            <w:tcBorders>
              <w:top w:val="nil" w:sz="6" w:space="0" w:color="auto"/>
              <w:left w:val="nil" w:sz="6" w:space="0" w:color="auto"/>
              <w:bottom w:val="nil" w:sz="6" w:space="0" w:color="auto"/>
              <w:right w:val="nil" w:sz="6" w:space="0" w:color="auto"/>
            </w:tcBorders>
          </w:tcPr>
          <w:p>
            <w:pPr/>
          </w:p>
        </w:tc>
        <w:tc>
          <w:tcPr>
            <w:tcW w:w="11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2"/>
              <w:jc w:val="right"/>
              <w:rPr>
                <w:rFonts w:ascii="Arial" w:hAnsi="Arial" w:cs="Arial" w:eastAsia="Arial" w:hint="default"/>
                <w:sz w:val="22"/>
                <w:szCs w:val="22"/>
              </w:rPr>
            </w:pPr>
            <w:r>
              <w:rPr>
                <w:rFonts w:ascii="Arial"/>
                <w:spacing w:val="-1"/>
                <w:sz w:val="22"/>
              </w:rPr>
              <w:t>3,045,244,078</w:t>
            </w:r>
          </w:p>
        </w:tc>
        <w:tc>
          <w:tcPr>
            <w:tcW w:w="168" w:type="dxa"/>
            <w:tcBorders>
              <w:top w:val="nil" w:sz="6" w:space="0" w:color="auto"/>
              <w:left w:val="nil" w:sz="6" w:space="0" w:color="auto"/>
              <w:bottom w:val="nil" w:sz="6" w:space="0" w:color="auto"/>
              <w:right w:val="nil" w:sz="6" w:space="0" w:color="auto"/>
            </w:tcBorders>
          </w:tcPr>
          <w:p>
            <w:pP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64" w:right="0"/>
              <w:jc w:val="left"/>
              <w:rPr>
                <w:rFonts w:ascii="Arial" w:hAnsi="Arial" w:cs="Arial" w:eastAsia="Arial" w:hint="default"/>
                <w:sz w:val="22"/>
                <w:szCs w:val="22"/>
              </w:rPr>
            </w:pPr>
            <w:r>
              <w:rPr>
                <w:rFonts w:ascii="Arial"/>
                <w:sz w:val="22"/>
              </w:rPr>
              <w:t>2,245,205,149</w:t>
            </w:r>
          </w:p>
        </w:tc>
      </w:tr>
      <w:tr>
        <w:trPr>
          <w:trHeight w:val="299" w:hRule="exact"/>
        </w:trPr>
        <w:tc>
          <w:tcPr>
            <w:tcW w:w="4342" w:type="dxa"/>
            <w:tcBorders>
              <w:top w:val="nil" w:sz="6" w:space="0" w:color="auto"/>
              <w:left w:val="nil" w:sz="6" w:space="0" w:color="auto"/>
              <w:bottom w:val="nil" w:sz="6" w:space="0" w:color="auto"/>
              <w:right w:val="nil" w:sz="6" w:space="0" w:color="auto"/>
            </w:tcBorders>
          </w:tcPr>
          <w:p>
            <w:pPr>
              <w:pStyle w:val="TableParagraph"/>
              <w:spacing w:line="253" w:lineRule="exact"/>
              <w:ind w:left="35" w:right="0"/>
              <w:jc w:val="left"/>
              <w:rPr>
                <w:rFonts w:ascii="宋体" w:hAnsi="宋体" w:cs="宋体" w:eastAsia="宋体" w:hint="default"/>
                <w:sz w:val="22"/>
                <w:szCs w:val="22"/>
              </w:rPr>
            </w:pPr>
            <w:r>
              <w:rPr>
                <w:rFonts w:ascii="宋体" w:hAnsi="宋体" w:cs="宋体" w:eastAsia="宋体" w:hint="default"/>
                <w:sz w:val="22"/>
                <w:szCs w:val="22"/>
              </w:rPr>
              <w:t>加：不得税前抵扣的支出</w:t>
            </w:r>
          </w:p>
        </w:tc>
        <w:tc>
          <w:tcPr>
            <w:tcW w:w="533" w:type="dxa"/>
            <w:tcBorders>
              <w:top w:val="nil" w:sz="6" w:space="0" w:color="auto"/>
              <w:left w:val="nil" w:sz="6" w:space="0" w:color="auto"/>
              <w:bottom w:val="nil" w:sz="6" w:space="0" w:color="auto"/>
              <w:right w:val="nil" w:sz="6" w:space="0" w:color="auto"/>
            </w:tcBorders>
          </w:tcPr>
          <w:p>
            <w:pPr/>
          </w:p>
        </w:tc>
        <w:tc>
          <w:tcPr>
            <w:tcW w:w="11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01"/>
              <w:jc w:val="right"/>
              <w:rPr>
                <w:rFonts w:ascii="Arial" w:hAnsi="Arial" w:cs="Arial" w:eastAsia="Arial" w:hint="default"/>
                <w:sz w:val="22"/>
                <w:szCs w:val="22"/>
              </w:rPr>
            </w:pPr>
            <w:r>
              <w:rPr>
                <w:rFonts w:ascii="Arial"/>
                <w:w w:val="95"/>
                <w:sz w:val="22"/>
              </w:rPr>
              <w:t>133,472,308</w:t>
            </w:r>
            <w:r>
              <w:rPr>
                <w:rFonts w:ascii="Arial"/>
                <w:sz w:val="22"/>
              </w:rPr>
            </w:r>
          </w:p>
        </w:tc>
        <w:tc>
          <w:tcPr>
            <w:tcW w:w="168" w:type="dxa"/>
            <w:tcBorders>
              <w:top w:val="nil" w:sz="6" w:space="0" w:color="auto"/>
              <w:left w:val="nil" w:sz="6" w:space="0" w:color="auto"/>
              <w:bottom w:val="nil" w:sz="6" w:space="0" w:color="auto"/>
              <w:right w:val="nil" w:sz="6" w:space="0" w:color="auto"/>
            </w:tcBorders>
          </w:tcPr>
          <w:p>
            <w:pP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31"/>
              <w:ind w:left="548" w:right="0"/>
              <w:jc w:val="left"/>
              <w:rPr>
                <w:rFonts w:ascii="Arial" w:hAnsi="Arial" w:cs="Arial" w:eastAsia="Arial" w:hint="default"/>
                <w:sz w:val="22"/>
                <w:szCs w:val="22"/>
              </w:rPr>
            </w:pPr>
            <w:r>
              <w:rPr>
                <w:rFonts w:ascii="Arial"/>
                <w:sz w:val="22"/>
              </w:rPr>
              <w:t>178,097,671</w:t>
            </w:r>
          </w:p>
        </w:tc>
      </w:tr>
      <w:tr>
        <w:trPr>
          <w:trHeight w:val="285" w:hRule="exact"/>
        </w:trPr>
        <w:tc>
          <w:tcPr>
            <w:tcW w:w="4342"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减：非应纳税收入，主要为市话初装费收入</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17"/>
              <w:ind w:left="9" w:right="0"/>
              <w:jc w:val="center"/>
              <w:rPr>
                <w:rFonts w:ascii="Arial" w:hAnsi="Arial" w:cs="Arial" w:eastAsia="Arial" w:hint="default"/>
                <w:sz w:val="22"/>
                <w:szCs w:val="22"/>
              </w:rPr>
            </w:pPr>
            <w:r>
              <w:rPr>
                <w:rFonts w:ascii="Arial"/>
                <w:sz w:val="22"/>
              </w:rPr>
              <w:t>(a)</w:t>
            </w:r>
          </w:p>
        </w:tc>
        <w:tc>
          <w:tcPr>
            <w:tcW w:w="11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9"/>
              <w:jc w:val="right"/>
              <w:rPr>
                <w:rFonts w:ascii="Arial" w:hAnsi="Arial" w:cs="Arial" w:eastAsia="Arial" w:hint="default"/>
                <w:sz w:val="22"/>
                <w:szCs w:val="22"/>
              </w:rPr>
            </w:pPr>
            <w:r>
              <w:rPr>
                <w:rFonts w:ascii="Arial"/>
                <w:w w:val="95"/>
                <w:sz w:val="22"/>
              </w:rPr>
              <w:t>(169,839,986)</w:t>
            </w:r>
            <w:r>
              <w:rPr>
                <w:rFonts w:ascii="Arial"/>
                <w:sz w:val="22"/>
              </w:rPr>
            </w:r>
          </w:p>
        </w:tc>
        <w:tc>
          <w:tcPr>
            <w:tcW w:w="168" w:type="dxa"/>
            <w:tcBorders>
              <w:top w:val="nil" w:sz="6" w:space="0" w:color="auto"/>
              <w:left w:val="nil" w:sz="6" w:space="0" w:color="auto"/>
              <w:bottom w:val="nil" w:sz="6" w:space="0" w:color="auto"/>
              <w:right w:val="nil" w:sz="6" w:space="0" w:color="auto"/>
            </w:tcBorders>
          </w:tcPr>
          <w:p>
            <w:pP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3"/>
              <w:jc w:val="right"/>
              <w:rPr>
                <w:rFonts w:ascii="Arial" w:hAnsi="Arial" w:cs="Arial" w:eastAsia="Arial" w:hint="default"/>
                <w:sz w:val="22"/>
                <w:szCs w:val="22"/>
              </w:rPr>
            </w:pPr>
            <w:r>
              <w:rPr>
                <w:rFonts w:ascii="Arial"/>
                <w:w w:val="95"/>
                <w:sz w:val="22"/>
              </w:rPr>
              <w:t>(293,074,508)</w:t>
            </w:r>
            <w:r>
              <w:rPr>
                <w:rFonts w:ascii="Arial"/>
                <w:sz w:val="22"/>
              </w:rPr>
            </w:r>
          </w:p>
        </w:tc>
      </w:tr>
      <w:tr>
        <w:trPr>
          <w:trHeight w:val="285" w:hRule="exact"/>
        </w:trPr>
        <w:tc>
          <w:tcPr>
            <w:tcW w:w="4342"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收购目标业务的税务影响</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17"/>
              <w:ind w:left="9" w:right="0"/>
              <w:jc w:val="center"/>
              <w:rPr>
                <w:rFonts w:ascii="Arial" w:hAnsi="Arial" w:cs="Arial" w:eastAsia="Arial" w:hint="default"/>
                <w:sz w:val="22"/>
                <w:szCs w:val="22"/>
              </w:rPr>
            </w:pPr>
            <w:r>
              <w:rPr>
                <w:rFonts w:ascii="Arial"/>
                <w:sz w:val="22"/>
              </w:rPr>
              <w:t>(b)</w:t>
            </w:r>
          </w:p>
        </w:tc>
        <w:tc>
          <w:tcPr>
            <w:tcW w:w="11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2"/>
              <w:jc w:val="right"/>
              <w:rPr>
                <w:rFonts w:ascii="Arial" w:hAnsi="Arial" w:cs="Arial" w:eastAsia="Arial" w:hint="default"/>
                <w:sz w:val="22"/>
                <w:szCs w:val="22"/>
              </w:rPr>
            </w:pPr>
            <w:r>
              <w:rPr>
                <w:rFonts w:ascii="Arial"/>
                <w:w w:val="99"/>
                <w:sz w:val="22"/>
              </w:rPr>
              <w:t>-</w:t>
            </w:r>
            <w:r>
              <w:rPr>
                <w:rFonts w:ascii="Arial"/>
                <w:sz w:val="22"/>
              </w:rPr>
            </w:r>
          </w:p>
        </w:tc>
        <w:tc>
          <w:tcPr>
            <w:tcW w:w="168" w:type="dxa"/>
            <w:tcBorders>
              <w:top w:val="nil" w:sz="6" w:space="0" w:color="auto"/>
              <w:left w:val="nil" w:sz="6" w:space="0" w:color="auto"/>
              <w:bottom w:val="nil" w:sz="6" w:space="0" w:color="auto"/>
              <w:right w:val="nil" w:sz="6" w:space="0" w:color="auto"/>
            </w:tcBorders>
          </w:tcPr>
          <w:p>
            <w:pP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4"/>
              <w:jc w:val="right"/>
              <w:rPr>
                <w:rFonts w:ascii="Arial" w:hAnsi="Arial" w:cs="Arial" w:eastAsia="Arial" w:hint="default"/>
                <w:sz w:val="22"/>
                <w:szCs w:val="22"/>
              </w:rPr>
            </w:pPr>
            <w:r>
              <w:rPr>
                <w:rFonts w:ascii="Arial"/>
                <w:w w:val="95"/>
                <w:sz w:val="22"/>
              </w:rPr>
              <w:t>(322,453,874)</w:t>
            </w:r>
            <w:r>
              <w:rPr>
                <w:rFonts w:ascii="Arial"/>
                <w:sz w:val="22"/>
              </w:rPr>
            </w:r>
          </w:p>
        </w:tc>
      </w:tr>
      <w:tr>
        <w:trPr>
          <w:trHeight w:val="285" w:hRule="exact"/>
        </w:trPr>
        <w:tc>
          <w:tcPr>
            <w:tcW w:w="4342"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税率优惠之影响</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17"/>
              <w:ind w:left="9" w:right="0"/>
              <w:jc w:val="center"/>
              <w:rPr>
                <w:rFonts w:ascii="Arial" w:hAnsi="Arial" w:cs="Arial" w:eastAsia="Arial" w:hint="default"/>
                <w:sz w:val="22"/>
                <w:szCs w:val="22"/>
              </w:rPr>
            </w:pPr>
            <w:r>
              <w:rPr>
                <w:rFonts w:ascii="Arial"/>
                <w:sz w:val="22"/>
              </w:rPr>
              <w:t>(c)</w:t>
            </w:r>
          </w:p>
        </w:tc>
        <w:tc>
          <w:tcPr>
            <w:tcW w:w="11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9"/>
              <w:jc w:val="right"/>
              <w:rPr>
                <w:rFonts w:ascii="Arial" w:hAnsi="Arial" w:cs="Arial" w:eastAsia="Arial" w:hint="default"/>
                <w:sz w:val="22"/>
                <w:szCs w:val="22"/>
              </w:rPr>
            </w:pPr>
            <w:r>
              <w:rPr>
                <w:rFonts w:ascii="Arial"/>
                <w:w w:val="95"/>
                <w:sz w:val="22"/>
              </w:rPr>
              <w:t>(130,008,077)</w:t>
            </w:r>
            <w:r>
              <w:rPr>
                <w:rFonts w:ascii="Arial"/>
                <w:sz w:val="22"/>
              </w:rPr>
            </w:r>
          </w:p>
        </w:tc>
        <w:tc>
          <w:tcPr>
            <w:tcW w:w="168" w:type="dxa"/>
            <w:tcBorders>
              <w:top w:val="nil" w:sz="6" w:space="0" w:color="auto"/>
              <w:left w:val="nil" w:sz="6" w:space="0" w:color="auto"/>
              <w:bottom w:val="nil" w:sz="6" w:space="0" w:color="auto"/>
              <w:right w:val="nil" w:sz="6" w:space="0" w:color="auto"/>
            </w:tcBorders>
          </w:tcPr>
          <w:p>
            <w:pPr/>
          </w:p>
        </w:tc>
        <w:tc>
          <w:tcPr>
            <w:tcW w:w="1950"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4"/>
              <w:jc w:val="right"/>
              <w:rPr>
                <w:rFonts w:ascii="Arial" w:hAnsi="Arial" w:cs="Arial" w:eastAsia="Arial" w:hint="default"/>
                <w:sz w:val="22"/>
                <w:szCs w:val="22"/>
              </w:rPr>
            </w:pPr>
            <w:r>
              <w:rPr>
                <w:rFonts w:ascii="Arial"/>
                <w:w w:val="95"/>
                <w:sz w:val="22"/>
              </w:rPr>
              <w:t>(79,105,075)</w:t>
            </w:r>
            <w:r>
              <w:rPr>
                <w:rFonts w:ascii="Arial"/>
                <w:sz w:val="22"/>
              </w:rPr>
            </w:r>
          </w:p>
        </w:tc>
      </w:tr>
      <w:tr>
        <w:trPr>
          <w:trHeight w:val="366" w:hRule="exact"/>
        </w:trPr>
        <w:tc>
          <w:tcPr>
            <w:tcW w:w="4342" w:type="dxa"/>
            <w:tcBorders>
              <w:top w:val="nil" w:sz="6" w:space="0" w:color="auto"/>
              <w:left w:val="nil" w:sz="6" w:space="0" w:color="auto"/>
              <w:bottom w:val="nil" w:sz="6" w:space="0" w:color="auto"/>
              <w:right w:val="nil" w:sz="6" w:space="0" w:color="auto"/>
            </w:tcBorders>
          </w:tcPr>
          <w:p>
            <w:pPr>
              <w:pStyle w:val="TableParagraph"/>
              <w:spacing w:line="239" w:lineRule="exact"/>
              <w:ind w:left="482" w:right="0"/>
              <w:jc w:val="left"/>
              <w:rPr>
                <w:rFonts w:ascii="宋体" w:hAnsi="宋体" w:cs="宋体" w:eastAsia="宋体" w:hint="default"/>
                <w:sz w:val="22"/>
                <w:szCs w:val="22"/>
              </w:rPr>
            </w:pPr>
            <w:r>
              <w:rPr>
                <w:rFonts w:ascii="宋体" w:hAnsi="宋体" w:cs="宋体" w:eastAsia="宋体" w:hint="default"/>
                <w:sz w:val="22"/>
                <w:szCs w:val="22"/>
              </w:rPr>
              <w:t>联通红筹公司抵扣的税务亏损</w:t>
            </w:r>
          </w:p>
        </w:tc>
        <w:tc>
          <w:tcPr>
            <w:tcW w:w="533" w:type="dxa"/>
            <w:tcBorders>
              <w:top w:val="nil" w:sz="6" w:space="0" w:color="auto"/>
              <w:left w:val="nil" w:sz="6" w:space="0" w:color="auto"/>
              <w:bottom w:val="nil" w:sz="6" w:space="0" w:color="auto"/>
              <w:right w:val="nil" w:sz="6" w:space="0" w:color="auto"/>
            </w:tcBorders>
          </w:tcPr>
          <w:p>
            <w:pPr>
              <w:pStyle w:val="TableParagraph"/>
              <w:spacing w:line="240" w:lineRule="auto" w:before="17"/>
              <w:ind w:left="9" w:right="0"/>
              <w:jc w:val="center"/>
              <w:rPr>
                <w:rFonts w:ascii="Arial" w:hAnsi="Arial" w:cs="Arial" w:eastAsia="Arial" w:hint="default"/>
                <w:sz w:val="22"/>
                <w:szCs w:val="22"/>
              </w:rPr>
            </w:pPr>
            <w:r>
              <w:rPr>
                <w:rFonts w:ascii="Arial"/>
                <w:sz w:val="22"/>
              </w:rPr>
              <w:t>(d)</w:t>
            </w:r>
          </w:p>
        </w:tc>
        <w:tc>
          <w:tcPr>
            <w:tcW w:w="112" w:type="dxa"/>
            <w:tcBorders>
              <w:top w:val="nil" w:sz="6" w:space="0" w:color="auto"/>
              <w:left w:val="nil" w:sz="6" w:space="0" w:color="auto"/>
              <w:bottom w:val="nil" w:sz="6" w:space="0" w:color="auto"/>
              <w:right w:val="nil" w:sz="6" w:space="0" w:color="auto"/>
            </w:tcBorders>
          </w:tcPr>
          <w:p>
            <w:pPr/>
          </w:p>
        </w:tc>
        <w:tc>
          <w:tcPr>
            <w:tcW w:w="1973" w:type="dxa"/>
            <w:tcBorders>
              <w:top w:val="nil" w:sz="6" w:space="0" w:color="auto"/>
              <w:left w:val="nil" w:sz="6" w:space="0" w:color="auto"/>
              <w:bottom w:val="nil" w:sz="6" w:space="0" w:color="auto"/>
              <w:right w:val="nil" w:sz="6" w:space="0" w:color="auto"/>
            </w:tcBorders>
          </w:tcPr>
          <w:p>
            <w:pPr>
              <w:pStyle w:val="TableParagraph"/>
              <w:tabs>
                <w:tab w:pos="693" w:val="left" w:leader="none"/>
              </w:tabs>
              <w:spacing w:line="240" w:lineRule="auto" w:before="17"/>
              <w:ind w:right="29"/>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(71,785,795)</w:t>
            </w:r>
            <w:r>
              <w:rPr>
                <w:rFonts w:ascii="Arial"/>
                <w:w w:val="95"/>
                <w:sz w:val="22"/>
              </w:rPr>
            </w:r>
            <w:r>
              <w:rPr>
                <w:rFonts w:ascii="Arial"/>
                <w:sz w:val="22"/>
              </w:rPr>
            </w:r>
          </w:p>
        </w:tc>
        <w:tc>
          <w:tcPr>
            <w:tcW w:w="168" w:type="dxa"/>
            <w:tcBorders>
              <w:top w:val="nil" w:sz="6" w:space="0" w:color="auto"/>
              <w:left w:val="nil" w:sz="6" w:space="0" w:color="auto"/>
              <w:bottom w:val="nil" w:sz="6" w:space="0" w:color="auto"/>
              <w:right w:val="nil" w:sz="6" w:space="0" w:color="auto"/>
            </w:tcBorders>
          </w:tcPr>
          <w:p>
            <w:pPr/>
          </w:p>
        </w:tc>
        <w:tc>
          <w:tcPr>
            <w:tcW w:w="1950" w:type="dxa"/>
            <w:tcBorders>
              <w:top w:val="nil" w:sz="6" w:space="0" w:color="auto"/>
              <w:left w:val="nil" w:sz="6" w:space="0" w:color="auto"/>
              <w:bottom w:val="nil" w:sz="6" w:space="0" w:color="auto"/>
              <w:right w:val="nil" w:sz="6" w:space="0" w:color="auto"/>
            </w:tcBorders>
          </w:tcPr>
          <w:p>
            <w:pPr>
              <w:pStyle w:val="TableParagraph"/>
              <w:tabs>
                <w:tab w:pos="1697" w:val="left" w:leader="none"/>
                <w:tab w:pos="1915" w:val="left" w:leader="none"/>
              </w:tabs>
              <w:spacing w:line="240" w:lineRule="auto" w:before="17"/>
              <w:ind w:right="33"/>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w:t>
            </w:r>
            <w:r>
              <w:rPr>
                <w:rFonts w:ascii="Arial"/>
                <w:sz w:val="22"/>
                <w:u w:val="single" w:color="000000"/>
              </w:rPr>
              <w:tab/>
            </w:r>
            <w:r>
              <w:rPr>
                <w:rFonts w:ascii="Arial"/>
                <w:sz w:val="22"/>
              </w:rPr>
            </w:r>
          </w:p>
        </w:tc>
      </w:tr>
    </w:tbl>
    <w:p>
      <w:pPr>
        <w:spacing w:line="240" w:lineRule="auto" w:before="3"/>
        <w:rPr>
          <w:rFonts w:ascii="宋体" w:hAnsi="宋体" w:cs="宋体" w:eastAsia="宋体" w:hint="default"/>
          <w:sz w:val="8"/>
          <w:szCs w:val="8"/>
        </w:rPr>
      </w:pPr>
    </w:p>
    <w:p>
      <w:pPr>
        <w:pStyle w:val="BodyText"/>
        <w:tabs>
          <w:tab w:pos="5975" w:val="left" w:leader="none"/>
          <w:tab w:pos="8018" w:val="left" w:leader="none"/>
        </w:tabs>
        <w:spacing w:line="240" w:lineRule="auto" w:before="27"/>
        <w:ind w:left="561" w:right="133"/>
        <w:jc w:val="left"/>
        <w:rPr>
          <w:rFonts w:ascii="Arial" w:hAnsi="Arial" w:cs="Arial" w:eastAsia="Arial" w:hint="default"/>
        </w:rPr>
      </w:pPr>
      <w:r>
        <w:rPr>
          <w:w w:val="95"/>
          <w:position w:val="2"/>
        </w:rPr>
        <w:t>持续经营业务所得税费用</w:t>
        <w:tab/>
      </w:r>
      <w:r>
        <w:rPr>
          <w:rFonts w:ascii="Arial" w:hAnsi="Arial" w:cs="Arial" w:eastAsia="Arial" w:hint="default"/>
          <w:spacing w:val="-1"/>
        </w:rPr>
        <w:t>2,807,082,528</w:t>
        <w:tab/>
        <w:t>1,728,669,363</w:t>
      </w:r>
    </w:p>
    <w:p>
      <w:pPr>
        <w:spacing w:line="45" w:lineRule="exact"/>
        <w:ind w:left="560" w:right="0" w:firstLine="0"/>
        <w:rPr>
          <w:rFonts w:ascii="Arial" w:hAnsi="Arial" w:cs="Arial" w:eastAsia="Arial" w:hint="default"/>
          <w:sz w:val="4"/>
          <w:szCs w:val="4"/>
        </w:rPr>
      </w:pPr>
      <w:r>
        <w:rPr>
          <w:rFonts w:ascii="Arial" w:hAnsi="Arial" w:cs="Arial" w:eastAsia="Arial" w:hint="default"/>
          <w:position w:val="0"/>
          <w:sz w:val="4"/>
          <w:szCs w:val="4"/>
        </w:rPr>
        <w:pict>
          <v:group style="width:451.15pt;height:2.3pt;mso-position-horizontal-relative:char;mso-position-vertical-relative:line" coordorigin="0,0" coordsize="9023,46">
            <v:group style="position:absolute;left:1;top:1;width:6932;height:2" coordorigin="1,1" coordsize="6932,2">
              <v:shape style="position:absolute;left:1;top:1;width:6932;height:2" coordorigin="1,1" coordsize="6932,0" path="m1,1l6932,1e" filled="false" stroked="true" strokeweight=".12pt" strokecolor="#ffff9a">
                <v:path arrowok="t"/>
              </v:shape>
            </v:group>
            <v:group style="position:absolute;left:4945;top:38;width:1988;height:2" coordorigin="4945,38" coordsize="1988,2">
              <v:shape style="position:absolute;left:4945;top:38;width:1988;height:2" coordorigin="4945,38" coordsize="1988,0" path="m4945,38l6932,38e" filled="false" stroked="true" strokeweight=".72pt" strokecolor="#000000">
                <v:path arrowok="t"/>
              </v:shape>
            </v:group>
            <v:group style="position:absolute;left:4945;top:10;width:1988;height:2" coordorigin="4945,10" coordsize="1988,2">
              <v:shape style="position:absolute;left:4945;top:10;width:1988;height:2" coordorigin="4945,10" coordsize="1988,0" path="m4945,10l6932,10e" filled="false" stroked="true" strokeweight=".72pt" strokecolor="#000000">
                <v:path arrowok="t"/>
              </v:shape>
            </v:group>
            <v:group style="position:absolute;left:6932;top:1;width:2084;height:2" coordorigin="6932,1" coordsize="2084,2">
              <v:shape style="position:absolute;left:6932;top:1;width:2084;height:2" coordorigin="6932,1" coordsize="2084,0" path="m6932,1l9016,1e" filled="false" stroked="true" strokeweight=".12pt" strokecolor="#ffff9a">
                <v:path arrowok="t"/>
              </v:shape>
            </v:group>
            <v:group style="position:absolute;left:7086;top:38;width:1930;height:2" coordorigin="7086,38" coordsize="1930,2">
              <v:shape style="position:absolute;left:7086;top:38;width:1930;height:2" coordorigin="7086,38" coordsize="1930,0" path="m7086,38l9016,38e" filled="false" stroked="true" strokeweight=".72pt" strokecolor="#000000">
                <v:path arrowok="t"/>
              </v:shape>
            </v:group>
            <v:group style="position:absolute;left:7086;top:10;width:1930;height:2" coordorigin="7086,10" coordsize="1930,2">
              <v:shape style="position:absolute;left:7086;top:10;width:1930;height:2" coordorigin="7086,10" coordsize="1930,0" path="m7086,10l9016,10e" filled="false" stroked="true" strokeweight=".72pt" strokecolor="#000000">
                <v:path arrowok="t"/>
              </v:shape>
            </v:group>
          </v:group>
        </w:pict>
      </w:r>
      <w:r>
        <w:rPr>
          <w:rFonts w:ascii="Arial" w:hAnsi="Arial" w:cs="Arial" w:eastAsia="Arial" w:hint="default"/>
          <w:position w:val="0"/>
          <w:sz w:val="4"/>
          <w:szCs w:val="4"/>
        </w:rPr>
      </w:r>
    </w:p>
    <w:p>
      <w:pPr>
        <w:spacing w:line="240" w:lineRule="auto" w:before="2"/>
        <w:rPr>
          <w:rFonts w:ascii="Arial" w:hAnsi="Arial" w:cs="Arial" w:eastAsia="Arial" w:hint="default"/>
          <w:sz w:val="16"/>
          <w:szCs w:val="16"/>
        </w:rPr>
      </w:pPr>
    </w:p>
    <w:p>
      <w:pPr>
        <w:pStyle w:val="BodyText"/>
        <w:spacing w:line="286" w:lineRule="exact" w:before="60"/>
        <w:ind w:left="522" w:right="133" w:hanging="406"/>
        <w:jc w:val="left"/>
      </w:pPr>
      <w:r>
        <w:rPr>
          <w:rFonts w:ascii="Arial" w:hAnsi="Arial" w:cs="Arial" w:eastAsia="Arial" w:hint="default"/>
        </w:rPr>
        <w:t>(a)</w:t>
      </w:r>
      <w:r>
        <w:rPr>
          <w:rFonts w:ascii="Arial" w:hAnsi="Arial" w:cs="Arial" w:eastAsia="Arial" w:hint="default"/>
          <w:spacing w:val="20"/>
        </w:rPr>
        <w:t> </w:t>
      </w:r>
      <w:r>
        <w:rPr/>
        <w:t>根据国家税务总局于原网通集团重组上市过程中就相关税务问题给予的批复，原网通集团所属</w:t>
      </w:r>
      <w:r>
        <w:rPr>
          <w:spacing w:val="1"/>
          <w:w w:val="99"/>
        </w:rPr>
        <w:t> </w:t>
      </w:r>
      <w:r>
        <w:rPr/>
        <w:t>原网通运营公司每年从递延收益中转入营业收入的初装费收入为免税收入。</w:t>
      </w:r>
    </w:p>
    <w:p>
      <w:pPr>
        <w:spacing w:line="240" w:lineRule="auto" w:before="7"/>
        <w:rPr>
          <w:rFonts w:ascii="宋体" w:hAnsi="宋体" w:cs="宋体" w:eastAsia="宋体" w:hint="default"/>
          <w:sz w:val="17"/>
          <w:szCs w:val="17"/>
        </w:rPr>
      </w:pPr>
    </w:p>
    <w:p>
      <w:pPr>
        <w:pStyle w:val="BodyText"/>
        <w:spacing w:line="235" w:lineRule="auto"/>
        <w:ind w:left="522" w:right="86" w:hanging="406"/>
        <w:jc w:val="left"/>
      </w:pPr>
      <w:r>
        <w:rPr>
          <w:rFonts w:ascii="Arial" w:hAnsi="Arial" w:cs="Arial" w:eastAsia="Arial" w:hint="default"/>
        </w:rPr>
        <w:t>(b) </w:t>
      </w:r>
      <w:r>
        <w:rPr>
          <w:spacing w:val="-12"/>
        </w:rPr>
        <w:t>如附注一（</w:t>
      </w:r>
      <w:r>
        <w:rPr>
          <w:rFonts w:ascii="Arial" w:hAnsi="Arial" w:cs="Arial" w:eastAsia="Arial" w:hint="default"/>
          <w:spacing w:val="-12"/>
        </w:rPr>
        <w:t>6</w:t>
      </w:r>
      <w:r>
        <w:rPr>
          <w:spacing w:val="-12"/>
        </w:rPr>
        <w:t>）所述，于</w:t>
      </w:r>
      <w:r>
        <w:rPr>
          <w:spacing w:val="-61"/>
        </w:rPr>
        <w:t> </w:t>
      </w:r>
      <w:r>
        <w:rPr>
          <w:rFonts w:ascii="Arial" w:hAnsi="Arial" w:cs="Arial" w:eastAsia="Arial" w:hint="default"/>
        </w:rPr>
        <w:t>2009</w:t>
      </w:r>
      <w:r>
        <w:rPr>
          <w:rFonts w:ascii="Arial" w:hAnsi="Arial" w:cs="Arial" w:eastAsia="Arial" w:hint="default"/>
          <w:spacing w:val="-12"/>
        </w:rPr>
        <w:t> </w:t>
      </w:r>
      <w:r>
        <w:rPr/>
        <w:t>年</w:t>
      </w:r>
      <w:r>
        <w:rPr>
          <w:spacing w:val="-61"/>
        </w:rPr>
        <w:t> </w:t>
      </w:r>
      <w:r>
        <w:rPr>
          <w:rFonts w:ascii="Arial" w:hAnsi="Arial" w:cs="Arial" w:eastAsia="Arial" w:hint="default"/>
        </w:rPr>
        <w:t>1</w:t>
      </w:r>
      <w:r>
        <w:rPr>
          <w:rFonts w:ascii="Arial" w:hAnsi="Arial" w:cs="Arial" w:eastAsia="Arial" w:hint="default"/>
          <w:spacing w:val="-12"/>
        </w:rPr>
        <w:t> </w:t>
      </w:r>
      <w:r>
        <w:rPr/>
        <w:t>月，本公司所属子公司联通运营公司完成了目标业务的收购。</w:t>
      </w:r>
      <w:r>
        <w:rPr>
          <w:w w:val="99"/>
        </w:rPr>
        <w:t> </w:t>
      </w:r>
      <w:r>
        <w:rPr/>
        <w:t>在收购完成前，原负责运营南方固网业务和天津固网业务的网通集团或联通集团的所属分公司</w:t>
      </w:r>
      <w:r>
        <w:rPr>
          <w:spacing w:val="1"/>
          <w:w w:val="99"/>
        </w:rPr>
        <w:t> </w:t>
      </w:r>
      <w:r>
        <w:rPr/>
        <w:t>以及联通新国信分别与网通集团及联通集团在北京合并缴纳企业所得税，由于该等联通集团和</w:t>
      </w:r>
      <w:r>
        <w:rPr>
          <w:spacing w:val="1"/>
          <w:w w:val="99"/>
        </w:rPr>
        <w:t> </w:t>
      </w:r>
      <w:r>
        <w:rPr>
          <w:spacing w:val="-2"/>
        </w:rPr>
        <w:t>网通集团的所属分公司及联通新国信于以前年度的累计亏损尚未完全使用，所以南方固网业务、</w:t>
      </w:r>
      <w:r>
        <w:rPr>
          <w:w w:val="99"/>
        </w:rPr>
        <w:t> </w:t>
      </w:r>
      <w:r>
        <w:rPr/>
        <w:t>天津固网业务及联通新国信并未就可比期间（</w:t>
      </w:r>
      <w:r>
        <w:rPr>
          <w:rFonts w:ascii="Arial" w:hAnsi="Arial" w:cs="Arial" w:eastAsia="Arial" w:hint="default"/>
        </w:rPr>
        <w:t>2008</w:t>
      </w:r>
      <w:r>
        <w:rPr>
          <w:rFonts w:ascii="Arial" w:hAnsi="Arial" w:cs="Arial" w:eastAsia="Arial" w:hint="default"/>
          <w:spacing w:val="-15"/>
        </w:rPr>
        <w:t> </w:t>
      </w:r>
      <w:r>
        <w:rPr>
          <w:spacing w:val="-3"/>
        </w:rPr>
        <w:t>年度）的经营所得确认任何所得税费用。另</w:t>
      </w:r>
      <w:r>
        <w:rPr>
          <w:w w:val="99"/>
        </w:rPr>
        <w:t> </w:t>
      </w:r>
      <w:r>
        <w:rPr/>
        <w:t>外，根据中国税务法规和条例，该等分公司及联通新国信的累计亏损和其他暂时性差异在目标</w:t>
      </w:r>
      <w:r>
        <w:rPr>
          <w:spacing w:val="1"/>
          <w:w w:val="99"/>
        </w:rPr>
        <w:t> </w:t>
      </w:r>
      <w:r>
        <w:rPr/>
        <w:t>业务收购完成后不可转移至联通运营公司，因此，于目标业务收购完成前，南方固网业务、天</w:t>
      </w:r>
      <w:r>
        <w:rPr>
          <w:spacing w:val="1"/>
          <w:w w:val="99"/>
        </w:rPr>
        <w:t> </w:t>
      </w:r>
      <w:r>
        <w:rPr/>
        <w:t>津固网业务及联通新国信未在以前年度确认任何递延所得税资产和负债。</w:t>
      </w:r>
    </w:p>
    <w:p>
      <w:pPr>
        <w:spacing w:line="240" w:lineRule="auto" w:before="4"/>
        <w:rPr>
          <w:rFonts w:ascii="宋体" w:hAnsi="宋体" w:cs="宋体" w:eastAsia="宋体" w:hint="default"/>
          <w:sz w:val="21"/>
          <w:szCs w:val="21"/>
        </w:rPr>
      </w:pPr>
    </w:p>
    <w:p>
      <w:pPr>
        <w:pStyle w:val="BodyText"/>
        <w:spacing w:line="286" w:lineRule="exact"/>
        <w:ind w:left="522" w:right="133" w:hanging="421"/>
        <w:jc w:val="left"/>
      </w:pPr>
      <w:r>
        <w:rPr>
          <w:rFonts w:ascii="Arial" w:hAnsi="Arial" w:cs="Arial" w:eastAsia="Arial" w:hint="default"/>
          <w:w w:val="99"/>
        </w:rPr>
        <w:t>(c)</w:t>
      </w:r>
      <w:r>
        <w:rPr>
          <w:rFonts w:ascii="Arial" w:hAnsi="Arial" w:cs="Arial" w:eastAsia="Arial" w:hint="default"/>
          <w:spacing w:val="52"/>
          <w:w w:val="99"/>
        </w:rPr>
        <w:t> </w:t>
      </w:r>
      <w:r>
        <w:rPr>
          <w:spacing w:val="-2"/>
          <w:w w:val="99"/>
        </w:rPr>
        <w:t>税率优惠之影响包括本集团中的若干子公司及分公司享受的优惠税率的影响，参见附注三</w:t>
      </w:r>
      <w:r>
        <w:rPr>
          <w:rFonts w:ascii="Arial" w:hAnsi="Arial" w:cs="Arial" w:eastAsia="Arial" w:hint="default"/>
          <w:spacing w:val="-2"/>
          <w:w w:val="99"/>
        </w:rPr>
        <w:t>(3)(2)</w:t>
      </w:r>
      <w:r>
        <w:rPr>
          <w:rFonts w:ascii="Arial" w:hAnsi="Arial" w:cs="Arial" w:eastAsia="Arial" w:hint="default"/>
          <w:spacing w:val="-1"/>
          <w:w w:val="99"/>
        </w:rPr>
        <w:t> </w:t>
      </w:r>
      <w:r>
        <w:rPr/>
        <w:t>及附注三</w:t>
      </w:r>
      <w:r>
        <w:rPr>
          <w:rFonts w:ascii="Arial" w:hAnsi="Arial" w:cs="Arial" w:eastAsia="Arial" w:hint="default"/>
        </w:rPr>
        <w:t>(3)(3)</w:t>
      </w:r>
      <w:r>
        <w:rPr/>
        <w:t>。</w:t>
      </w:r>
    </w:p>
    <w:p>
      <w:pPr>
        <w:spacing w:line="240" w:lineRule="auto" w:before="4"/>
        <w:rPr>
          <w:rFonts w:ascii="宋体" w:hAnsi="宋体" w:cs="宋体" w:eastAsia="宋体" w:hint="default"/>
          <w:sz w:val="19"/>
          <w:szCs w:val="19"/>
        </w:rPr>
      </w:pPr>
    </w:p>
    <w:p>
      <w:pPr>
        <w:pStyle w:val="BodyText"/>
        <w:spacing w:line="286" w:lineRule="exact"/>
        <w:ind w:left="522" w:right="217" w:hanging="421"/>
        <w:jc w:val="left"/>
      </w:pPr>
      <w:r>
        <w:rPr>
          <w:rFonts w:ascii="Arial" w:hAnsi="Arial" w:cs="Arial" w:eastAsia="Arial" w:hint="default"/>
        </w:rPr>
        <w:t>(d) </w:t>
      </w:r>
      <w:r>
        <w:rPr/>
        <w:t>本公司所属联通红筹公司被判断为中国企业所得税所定义的居民纳税人，从 </w:t>
      </w:r>
      <w:r>
        <w:rPr>
          <w:rFonts w:ascii="Arial" w:hAnsi="Arial" w:cs="Arial" w:eastAsia="Arial" w:hint="default"/>
        </w:rPr>
        <w:t>2008</w:t>
      </w:r>
      <w:r>
        <w:rPr>
          <w:rFonts w:ascii="Arial" w:hAnsi="Arial" w:cs="Arial" w:eastAsia="Arial" w:hint="default"/>
          <w:spacing w:val="35"/>
        </w:rPr>
        <w:t> </w:t>
      </w:r>
      <w:r>
        <w:rPr/>
        <w:t>年起适用中</w:t>
      </w:r>
      <w:r>
        <w:rPr>
          <w:w w:val="99"/>
        </w:rPr>
        <w:t> </w:t>
      </w:r>
      <w:r>
        <w:rPr/>
        <w:t>国企业所得税法。于 </w:t>
      </w:r>
      <w:r>
        <w:rPr>
          <w:rFonts w:ascii="Arial" w:hAnsi="Arial" w:cs="Arial" w:eastAsia="Arial" w:hint="default"/>
        </w:rPr>
        <w:t>2008</w:t>
      </w:r>
      <w:r>
        <w:rPr>
          <w:rFonts w:ascii="Arial" w:hAnsi="Arial" w:cs="Arial" w:eastAsia="Arial" w:hint="default"/>
          <w:spacing w:val="4"/>
        </w:rPr>
        <w:t> </w:t>
      </w:r>
      <w:r>
        <w:rPr/>
        <w:t>年度，联通红筹公司的经营亏损由于无法预计未来可以取得足够的</w:t>
      </w:r>
    </w:p>
    <w:p>
      <w:pPr>
        <w:pStyle w:val="BodyText"/>
        <w:spacing w:line="265" w:lineRule="exact"/>
        <w:ind w:left="522" w:right="133"/>
        <w:jc w:val="left"/>
      </w:pPr>
      <w:r>
        <w:rPr/>
        <w:t>用来抵扣亏损的应纳税所得额而未确认递延所得税资产。于 </w:t>
      </w:r>
      <w:r>
        <w:rPr>
          <w:rFonts w:ascii="Arial" w:hAnsi="Arial" w:cs="Arial" w:eastAsia="Arial" w:hint="default"/>
        </w:rPr>
        <w:t>2009</w:t>
      </w:r>
      <w:r>
        <w:rPr>
          <w:rFonts w:ascii="Arial" w:hAnsi="Arial" w:cs="Arial" w:eastAsia="Arial" w:hint="default"/>
          <w:spacing w:val="5"/>
        </w:rPr>
        <w:t> </w:t>
      </w:r>
      <w:r>
        <w:rPr/>
        <w:t>年度，联通红筹公司由于收</w:t>
      </w:r>
    </w:p>
    <w:p>
      <w:pPr>
        <w:pStyle w:val="BodyText"/>
        <w:spacing w:line="295" w:lineRule="exact"/>
        <w:ind w:left="522" w:right="86"/>
        <w:jc w:val="left"/>
      </w:pPr>
      <w:r>
        <w:rPr/>
        <w:t>到西班牙电信分配的股利取得应纳税所得额，在抵扣</w:t>
      </w:r>
      <w:r>
        <w:rPr>
          <w:spacing w:val="-77"/>
        </w:rPr>
        <w:t> </w:t>
      </w:r>
      <w:r>
        <w:rPr>
          <w:rFonts w:ascii="Arial" w:hAnsi="Arial" w:cs="Arial" w:eastAsia="Arial" w:hint="default"/>
        </w:rPr>
        <w:t>2008</w:t>
      </w:r>
      <w:r>
        <w:rPr>
          <w:rFonts w:ascii="Arial" w:hAnsi="Arial" w:cs="Arial" w:eastAsia="Arial" w:hint="default"/>
          <w:spacing w:val="-28"/>
        </w:rPr>
        <w:t> </w:t>
      </w:r>
      <w:r>
        <w:rPr/>
        <w:t>年度亏损后计算当年度应交所得税。</w:t>
      </w:r>
    </w:p>
    <w:p>
      <w:pPr>
        <w:spacing w:after="0" w:line="295" w:lineRule="exact"/>
        <w:jc w:val="left"/>
        <w:sectPr>
          <w:headerReference w:type="default" r:id="rId118"/>
          <w:pgSz w:w="11910" w:h="16840"/>
          <w:pgMar w:header="1189" w:footer="752" w:top="3580" w:bottom="940" w:left="1280" w:right="840"/>
        </w:sectPr>
      </w:pPr>
    </w:p>
    <w:p>
      <w:pPr>
        <w:spacing w:line="240" w:lineRule="auto" w:before="4"/>
        <w:rPr>
          <w:rFonts w:ascii="宋体" w:hAnsi="宋体" w:cs="宋体" w:eastAsia="宋体" w:hint="default"/>
          <w:sz w:val="10"/>
          <w:szCs w:val="10"/>
        </w:rPr>
      </w:pPr>
    </w:p>
    <w:p>
      <w:pPr>
        <w:pStyle w:val="BodyText"/>
        <w:spacing w:line="240" w:lineRule="auto" w:before="31"/>
        <w:ind w:left="84" w:right="5986"/>
        <w:jc w:val="center"/>
      </w:pPr>
      <w:r>
        <w:rPr>
          <w:rFonts w:ascii="Arial" w:hAnsi="Arial" w:cs="Arial" w:eastAsia="Arial" w:hint="default"/>
        </w:rPr>
        <w:t>(2) </w:t>
      </w:r>
      <w:r>
        <w:rPr>
          <w:rFonts w:ascii="Arial" w:hAnsi="Arial" w:cs="Arial" w:eastAsia="Arial" w:hint="default"/>
          <w:spacing w:val="42"/>
        </w:rPr>
        <w:t> </w:t>
      </w:r>
      <w:r>
        <w:rPr/>
        <w:t>递延所得税资产及负债的变动如下：</w:t>
      </w:r>
    </w:p>
    <w:p>
      <w:pPr>
        <w:pStyle w:val="BodyText"/>
        <w:tabs>
          <w:tab w:pos="8866" w:val="left" w:leader="none"/>
        </w:tabs>
        <w:spacing w:line="303" w:lineRule="exact" w:before="188"/>
        <w:ind w:left="6596" w:right="0"/>
        <w:jc w:val="left"/>
      </w:pPr>
      <w:r>
        <w:rPr>
          <w:rFonts w:ascii="Arial" w:hAnsi="Arial" w:cs="Arial" w:eastAsia="Arial" w:hint="default"/>
        </w:rPr>
        <w:t>2009</w:t>
      </w:r>
      <w:r>
        <w:rPr>
          <w:rFonts w:ascii="Arial" w:hAnsi="Arial" w:cs="Arial" w:eastAsia="Arial" w:hint="default"/>
          <w:spacing w:val="-8"/>
        </w:rPr>
        <w:t> </w:t>
      </w:r>
      <w:r>
        <w:rPr/>
        <w:t>年度</w:t>
        <w:tab/>
      </w:r>
      <w:r>
        <w:rPr>
          <w:rFonts w:ascii="Arial" w:hAnsi="Arial" w:cs="Arial" w:eastAsia="Arial" w:hint="default"/>
        </w:rPr>
        <w:t>2008</w:t>
      </w:r>
      <w:r>
        <w:rPr>
          <w:rFonts w:ascii="Arial" w:hAnsi="Arial" w:cs="Arial" w:eastAsia="Arial" w:hint="default"/>
          <w:spacing w:val="-8"/>
        </w:rPr>
        <w:t> </w:t>
      </w:r>
      <w:r>
        <w:rPr/>
        <w:t>年度</w:t>
      </w:r>
    </w:p>
    <w:p>
      <w:pPr>
        <w:pStyle w:val="BodyText"/>
        <w:tabs>
          <w:tab w:pos="8543" w:val="left" w:leader="none"/>
        </w:tabs>
        <w:spacing w:line="283" w:lineRule="exact"/>
        <w:ind w:left="339" w:right="0"/>
        <w:jc w:val="center"/>
      </w:pPr>
      <w:r>
        <w:rPr/>
        <w:pict>
          <v:group style="position:absolute;margin-left:336.179993pt;margin-top:1.320504pt;width:109.3pt;height:.1pt;mso-position-horizontal-relative:page;mso-position-vertical-relative:paragraph;z-index:-912664" coordorigin="6724,26" coordsize="2186,2">
            <v:shape style="position:absolute;left:6724;top:26;width:2186;height:2" coordorigin="6724,26" coordsize="2186,0" path="m6724,26l8909,26e" filled="false" stroked="true" strokeweight=".72pt" strokecolor="#000000">
              <v:path arrowok="t"/>
            </v:shape>
            <w10:wrap type="none"/>
          </v:group>
        </w:pict>
      </w:r>
      <w:r>
        <w:rPr/>
        <w:pict>
          <v:group style="position:absolute;margin-left:452.459991pt;margin-top:1.320504pt;width:106.7pt;height:.1pt;mso-position-horizontal-relative:page;mso-position-vertical-relative:paragraph;z-index:-912640" coordorigin="9049,26" coordsize="2134,2">
            <v:shape style="position:absolute;left:9049;top:26;width:2134;height:2" coordorigin="9049,26" coordsize="2134,0" path="m9049,26l11183,26e" filled="false" stroked="true" strokeweight=".72pt" strokecolor="#000000">
              <v:path arrowok="t"/>
            </v:shape>
            <w10:wrap type="none"/>
          </v:group>
        </w:pict>
      </w:r>
      <w:r>
        <w:rPr>
          <w:w w:val="95"/>
        </w:rPr>
        <w:t>递延所得税资产：</w:t>
        <w:tab/>
      </w:r>
      <w:r>
        <w:rPr/>
        <w:t>（经重列）</w:t>
      </w:r>
    </w:p>
    <w:p>
      <w:pPr>
        <w:pStyle w:val="BodyText"/>
        <w:tabs>
          <w:tab w:pos="5961" w:val="left" w:leader="none"/>
          <w:tab w:pos="8217" w:val="left" w:leader="none"/>
        </w:tabs>
        <w:spacing w:line="303" w:lineRule="exact"/>
        <w:ind w:left="792" w:right="0"/>
        <w:jc w:val="left"/>
        <w:rPr>
          <w:rFonts w:ascii="Arial" w:hAnsi="Arial" w:cs="Arial" w:eastAsia="Arial" w:hint="default"/>
        </w:rPr>
      </w:pPr>
      <w:r>
        <w:rPr>
          <w:w w:val="95"/>
          <w:position w:val="2"/>
        </w:rPr>
        <w:t>年初余额</w:t>
        <w:tab/>
      </w:r>
      <w:r>
        <w:rPr>
          <w:rFonts w:ascii="Arial" w:hAnsi="Arial" w:cs="Arial" w:eastAsia="Arial" w:hint="default"/>
          <w:spacing w:val="-1"/>
        </w:rPr>
        <w:t>4,307,239,150</w:t>
        <w:tab/>
        <w:t>1,396,979,056</w:t>
      </w:r>
    </w:p>
    <w:p>
      <w:pPr>
        <w:pStyle w:val="BodyText"/>
        <w:spacing w:line="268" w:lineRule="exact"/>
        <w:ind w:left="792" w:right="0"/>
        <w:jc w:val="left"/>
      </w:pPr>
      <w:r>
        <w:rPr/>
        <w:t>计入利润表的递延所得税</w:t>
      </w:r>
    </w:p>
    <w:p>
      <w:pPr>
        <w:pStyle w:val="BodyText"/>
        <w:tabs>
          <w:tab w:pos="6071" w:val="left" w:leader="none"/>
          <w:tab w:pos="8217" w:val="left" w:leader="none"/>
        </w:tabs>
        <w:spacing w:line="301" w:lineRule="exact"/>
        <w:ind w:left="1013" w:right="0"/>
        <w:jc w:val="left"/>
        <w:rPr>
          <w:rFonts w:ascii="Arial" w:hAnsi="Arial" w:cs="Arial" w:eastAsia="Arial" w:hint="default"/>
        </w:rPr>
      </w:pPr>
      <w:r>
        <w:rPr>
          <w:rFonts w:ascii="Arial" w:hAnsi="Arial" w:cs="Arial" w:eastAsia="Arial" w:hint="default"/>
          <w:w w:val="95"/>
          <w:position w:val="2"/>
        </w:rPr>
        <w:t>-</w:t>
      </w:r>
      <w:r>
        <w:rPr>
          <w:w w:val="95"/>
          <w:position w:val="2"/>
        </w:rPr>
        <w:t>持续经营业务</w:t>
        <w:tab/>
      </w:r>
      <w:r>
        <w:rPr>
          <w:rFonts w:ascii="Arial" w:hAnsi="Arial" w:cs="Arial" w:eastAsia="Arial" w:hint="default"/>
          <w:w w:val="95"/>
        </w:rPr>
        <w:t>(226,482,528)</w:t>
        <w:tab/>
      </w:r>
      <w:r>
        <w:rPr>
          <w:rFonts w:ascii="Arial" w:hAnsi="Arial" w:cs="Arial" w:eastAsia="Arial" w:hint="default"/>
        </w:rPr>
        <w:t>2,951,929,707</w:t>
      </w:r>
    </w:p>
    <w:p>
      <w:pPr>
        <w:pStyle w:val="BodyText"/>
        <w:tabs>
          <w:tab w:pos="5443" w:val="left" w:leader="none"/>
          <w:tab w:pos="7294" w:val="left" w:leader="none"/>
          <w:tab w:pos="7628" w:val="left" w:leader="none"/>
          <w:tab w:pos="8449" w:val="left" w:leader="none"/>
          <w:tab w:pos="9902" w:val="left" w:leader="none"/>
        </w:tabs>
        <w:spacing w:line="304" w:lineRule="exact"/>
        <w:ind w:left="1013" w:right="0"/>
        <w:jc w:val="left"/>
        <w:rPr>
          <w:rFonts w:ascii="Arial" w:hAnsi="Arial" w:cs="Arial" w:eastAsia="Arial" w:hint="default"/>
        </w:rPr>
      </w:pPr>
      <w:r>
        <w:rPr>
          <w:rFonts w:ascii="Arial" w:hAnsi="Arial" w:cs="Arial" w:eastAsia="Arial" w:hint="default"/>
          <w:position w:val="2"/>
        </w:rPr>
        <w:t>-</w:t>
      </w:r>
      <w:r>
        <w:rPr>
          <w:position w:val="2"/>
        </w:rPr>
        <w:t>终止经营业务及因</w:t>
      </w:r>
      <w:r>
        <w:rPr>
          <w:spacing w:val="-57"/>
          <w:position w:val="2"/>
        </w:rPr>
        <w:t> </w:t>
      </w:r>
      <w:r>
        <w:rPr>
          <w:rFonts w:ascii="Arial" w:hAnsi="Arial" w:cs="Arial" w:eastAsia="Arial" w:hint="default"/>
          <w:position w:val="2"/>
        </w:rPr>
        <w:t>CDMA</w:t>
      </w:r>
      <w:r>
        <w:rPr>
          <w:rFonts w:ascii="Arial" w:hAnsi="Arial" w:cs="Arial" w:eastAsia="Arial" w:hint="default"/>
          <w:spacing w:val="-9"/>
          <w:position w:val="2"/>
        </w:rPr>
        <w:t> </w:t>
      </w:r>
      <w:r>
        <w:rPr>
          <w:position w:val="2"/>
        </w:rPr>
        <w:t>业务出售转出</w:t>
        <w:tab/>
      </w:r>
      <w:r>
        <w:rPr>
          <w:rFonts w:ascii="Arial" w:hAnsi="Arial" w:cs="Arial" w:eastAsia="Arial" w:hint="default"/>
        </w:rPr>
      </w:r>
      <w:r>
        <w:rPr>
          <w:rFonts w:ascii="Arial" w:hAnsi="Arial" w:cs="Arial" w:eastAsia="Arial" w:hint="default"/>
          <w:u w:val="single" w:color="000000"/>
        </w:rPr>
        <w:t> </w:t>
        <w:tab/>
      </w:r>
      <w:r>
        <w:rPr>
          <w:rFonts w:ascii="Arial" w:hAnsi="Arial" w:cs="Arial" w:eastAsia="Arial" w:hint="default"/>
          <w:w w:val="95"/>
          <w:u w:val="single" w:color="000000"/>
        </w:rPr>
        <w:t>-</w:t>
        <w:tab/>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(41,669,613)</w:t>
        <w:tab/>
      </w:r>
      <w:r>
        <w:rPr>
          <w:rFonts w:ascii="Arial" w:hAnsi="Arial" w:cs="Arial" w:eastAsia="Arial" w:hint="default"/>
        </w:rPr>
      </w:r>
    </w:p>
    <w:p>
      <w:pPr>
        <w:spacing w:line="240" w:lineRule="auto" w:before="7"/>
        <w:rPr>
          <w:rFonts w:ascii="Arial" w:hAnsi="Arial" w:cs="Arial" w:eastAsia="Arial" w:hint="default"/>
          <w:sz w:val="17"/>
          <w:szCs w:val="17"/>
        </w:rPr>
      </w:pPr>
    </w:p>
    <w:p>
      <w:pPr>
        <w:pStyle w:val="BodyText"/>
        <w:tabs>
          <w:tab w:pos="5961" w:val="left" w:leader="none"/>
          <w:tab w:pos="8217" w:val="left" w:leader="none"/>
        </w:tabs>
        <w:spacing w:line="240" w:lineRule="auto" w:before="27"/>
        <w:ind w:left="792" w:right="0"/>
        <w:jc w:val="left"/>
        <w:rPr>
          <w:rFonts w:ascii="Arial" w:hAnsi="Arial" w:cs="Arial" w:eastAsia="Arial" w:hint="default"/>
        </w:rPr>
      </w:pPr>
      <w:r>
        <w:rPr>
          <w:w w:val="95"/>
          <w:position w:val="2"/>
        </w:rPr>
        <w:t>年末余额</w:t>
        <w:tab/>
      </w:r>
      <w:r>
        <w:rPr>
          <w:rFonts w:ascii="Arial" w:hAnsi="Arial" w:cs="Arial" w:eastAsia="Arial" w:hint="default"/>
          <w:spacing w:val="-1"/>
        </w:rPr>
        <w:t>4,080,756,622</w:t>
        <w:tab/>
        <w:t>4,307,239,150</w:t>
      </w:r>
    </w:p>
    <w:p>
      <w:pPr>
        <w:spacing w:line="43" w:lineRule="exact"/>
        <w:ind w:left="5429" w:right="0" w:firstLine="0"/>
        <w:rPr>
          <w:rFonts w:ascii="Arial" w:hAnsi="Arial" w:cs="Arial" w:eastAsia="Arial" w:hint="default"/>
          <w:sz w:val="4"/>
          <w:szCs w:val="4"/>
        </w:rPr>
      </w:pPr>
      <w:r>
        <w:rPr>
          <w:rFonts w:ascii="Arial"/>
          <w:position w:val="0"/>
          <w:sz w:val="4"/>
        </w:rPr>
        <w:pict>
          <v:group style="width:110.7pt;height:2.2pt;mso-position-horizontal-relative:char;mso-position-vertical-relative:line" coordorigin="0,0" coordsize="2214,44">
            <v:group style="position:absolute;left:7;top:36;width:2200;height:2" coordorigin="7,36" coordsize="2200,2">
              <v:shape style="position:absolute;left:7;top:36;width:2200;height:2" coordorigin="7,36" coordsize="2200,0" path="m7,36l2207,36e" filled="false" stroked="true" strokeweight=".72pt" strokecolor="#000000">
                <v:path arrowok="t"/>
              </v:shape>
            </v:group>
            <v:group style="position:absolute;left:7;top:7;width:2200;height:2" coordorigin="7,7" coordsize="2200,2">
              <v:shape style="position:absolute;left:7;top:7;width:2200;height:2" coordorigin="7,7" coordsize="2200,0" path="m7,7l2207,7e" filled="false" stroked="true" strokeweight=".72pt" strokecolor="#000000">
                <v:path arrowok="t"/>
              </v:shape>
            </v:group>
          </v:group>
        </w:pict>
      </w:r>
      <w:r>
        <w:rPr>
          <w:rFonts w:ascii="Arial"/>
          <w:position w:val="0"/>
          <w:sz w:val="4"/>
        </w:rPr>
      </w:r>
      <w:r>
        <w:rPr>
          <w:rFonts w:ascii="Times New Roman"/>
          <w:spacing w:val="96"/>
          <w:position w:val="0"/>
          <w:sz w:val="4"/>
        </w:rPr>
        <w:t> </w:t>
      </w:r>
      <w:r>
        <w:rPr>
          <w:rFonts w:ascii="Arial"/>
          <w:spacing w:val="96"/>
          <w:position w:val="0"/>
          <w:sz w:val="4"/>
        </w:rPr>
        <w:pict>
          <v:group style="width:108.15pt;height:2.2pt;mso-position-horizontal-relative:char;mso-position-vertical-relative:line" coordorigin="0,0" coordsize="2163,44">
            <v:group style="position:absolute;left:7;top:36;width:2148;height:2" coordorigin="7,36" coordsize="2148,2">
              <v:shape style="position:absolute;left:7;top:36;width:2148;height:2" coordorigin="7,36" coordsize="2148,0" path="m7,36l2155,36e" filled="false" stroked="true" strokeweight=".72pt" strokecolor="#000000">
                <v:path arrowok="t"/>
              </v:shape>
            </v:group>
            <v:group style="position:absolute;left:7;top:7;width:2148;height:2" coordorigin="7,7" coordsize="2148,2">
              <v:shape style="position:absolute;left:7;top:7;width:2148;height:2" coordorigin="7,7" coordsize="2148,0" path="m7,7l2155,7e" filled="false" stroked="true" strokeweight=".72pt" strokecolor="#000000">
                <v:path arrowok="t"/>
              </v:shape>
            </v:group>
          </v:group>
        </w:pict>
      </w:r>
      <w:r>
        <w:rPr>
          <w:rFonts w:ascii="Arial"/>
          <w:spacing w:val="96"/>
          <w:position w:val="0"/>
          <w:sz w:val="4"/>
        </w:rPr>
      </w:r>
    </w:p>
    <w:p>
      <w:pPr>
        <w:spacing w:line="240" w:lineRule="auto" w:before="2"/>
        <w:rPr>
          <w:rFonts w:ascii="Arial" w:hAnsi="Arial" w:cs="Arial" w:eastAsia="Arial" w:hint="default"/>
          <w:sz w:val="10"/>
          <w:szCs w:val="10"/>
        </w:rPr>
      </w:pPr>
    </w:p>
    <w:p>
      <w:pPr>
        <w:pStyle w:val="BodyText"/>
        <w:tabs>
          <w:tab w:pos="8717" w:val="left" w:leader="none"/>
        </w:tabs>
        <w:spacing w:line="302" w:lineRule="exact" w:before="31"/>
        <w:ind w:left="6516" w:right="0"/>
        <w:jc w:val="left"/>
      </w:pPr>
      <w:r>
        <w:rPr>
          <w:rFonts w:ascii="Arial" w:hAnsi="Arial" w:cs="Arial" w:eastAsia="Arial" w:hint="default"/>
        </w:rPr>
        <w:t>2009</w:t>
      </w:r>
      <w:r>
        <w:rPr>
          <w:rFonts w:ascii="Arial" w:hAnsi="Arial" w:cs="Arial" w:eastAsia="Arial" w:hint="default"/>
          <w:spacing w:val="-8"/>
        </w:rPr>
        <w:t> </w:t>
      </w:r>
      <w:r>
        <w:rPr/>
        <w:t>年度</w:t>
        <w:tab/>
      </w:r>
      <w:r>
        <w:rPr>
          <w:rFonts w:ascii="Arial" w:hAnsi="Arial" w:cs="Arial" w:eastAsia="Arial" w:hint="default"/>
        </w:rPr>
        <w:t>2008</w:t>
      </w:r>
      <w:r>
        <w:rPr>
          <w:rFonts w:ascii="Arial" w:hAnsi="Arial" w:cs="Arial" w:eastAsia="Arial" w:hint="default"/>
          <w:spacing w:val="-8"/>
        </w:rPr>
        <w:t> </w:t>
      </w:r>
      <w:r>
        <w:rPr/>
        <w:t>年度</w:t>
      </w:r>
    </w:p>
    <w:p>
      <w:pPr>
        <w:pStyle w:val="BodyText"/>
        <w:tabs>
          <w:tab w:pos="8600" w:val="left" w:leader="none"/>
        </w:tabs>
        <w:spacing w:line="286" w:lineRule="exact"/>
        <w:ind w:left="550" w:right="0"/>
        <w:jc w:val="left"/>
      </w:pPr>
      <w:r>
        <w:rPr/>
        <w:pict>
          <v:group style="position:absolute;margin-left:336.839996pt;margin-top:1.298149pt;width:104.65pt;height:.1pt;mso-position-horizontal-relative:page;mso-position-vertical-relative:paragraph;z-index:-912616" coordorigin="6737,26" coordsize="2093,2">
            <v:shape style="position:absolute;left:6737;top:26;width:2093;height:2" coordorigin="6737,26" coordsize="2093,0" path="m6737,26l8830,26e" filled="false" stroked="true" strokeweight=".72pt" strokecolor="#000000">
              <v:path arrowok="t"/>
            </v:shape>
            <w10:wrap type="none"/>
          </v:group>
        </w:pict>
      </w:r>
      <w:r>
        <w:rPr/>
        <w:pict>
          <v:group style="position:absolute;margin-left:447.779999pt;margin-top:1.298149pt;width:103.7pt;height:.1pt;mso-position-horizontal-relative:page;mso-position-vertical-relative:paragraph;z-index:-912592" coordorigin="8956,26" coordsize="2074,2">
            <v:shape style="position:absolute;left:8956;top:26;width:2074;height:2" coordorigin="8956,26" coordsize="2074,0" path="m8956,26l11029,26e" filled="false" stroked="true" strokeweight=".72pt" strokecolor="#000000">
              <v:path arrowok="t"/>
            </v:shape>
            <w10:wrap type="none"/>
          </v:group>
        </w:pict>
      </w:r>
      <w:r>
        <w:rPr>
          <w:w w:val="95"/>
        </w:rPr>
        <w:t>递延所得税负债：</w:t>
        <w:tab/>
      </w:r>
      <w:r>
        <w:rPr/>
        <w:t>（经重列）</w:t>
      </w:r>
    </w:p>
    <w:p>
      <w:pPr>
        <w:spacing w:line="240" w:lineRule="auto" w:before="1"/>
        <w:rPr>
          <w:rFonts w:ascii="宋体" w:hAnsi="宋体" w:cs="宋体" w:eastAsia="宋体" w:hint="default"/>
          <w:sz w:val="3"/>
          <w:szCs w:val="3"/>
        </w:rPr>
      </w:pPr>
    </w:p>
    <w:tbl>
      <w:tblPr>
        <w:tblW w:w="0" w:type="auto"/>
        <w:jc w:val="left"/>
        <w:tblInd w:w="752" w:type="dxa"/>
        <w:tblLayout w:type="fixed"/>
        <w:tblCellMar>
          <w:top w:w="0" w:type="dxa"/>
          <w:left w:w="0" w:type="dxa"/>
          <w:bottom w:w="0" w:type="dxa"/>
          <w:right w:w="0" w:type="dxa"/>
        </w:tblCellMar>
        <w:tblLook w:val="01E0"/>
      </w:tblPr>
      <w:tblGrid>
        <w:gridCol w:w="4979"/>
        <w:gridCol w:w="2166"/>
        <w:gridCol w:w="1755"/>
      </w:tblGrid>
      <w:tr>
        <w:trPr>
          <w:trHeight w:val="291" w:hRule="exact"/>
        </w:trPr>
        <w:tc>
          <w:tcPr>
            <w:tcW w:w="4979" w:type="dxa"/>
            <w:tcBorders>
              <w:top w:val="nil" w:sz="6" w:space="0" w:color="auto"/>
              <w:left w:val="nil" w:sz="6" w:space="0" w:color="auto"/>
              <w:bottom w:val="nil" w:sz="6" w:space="0" w:color="auto"/>
              <w:right w:val="nil" w:sz="6" w:space="0" w:color="auto"/>
            </w:tcBorders>
          </w:tcPr>
          <w:p>
            <w:pPr>
              <w:pStyle w:val="TableParagraph"/>
              <w:spacing w:line="246" w:lineRule="exact"/>
              <w:ind w:left="39" w:right="0"/>
              <w:jc w:val="left"/>
              <w:rPr>
                <w:rFonts w:ascii="宋体" w:hAnsi="宋体" w:cs="宋体" w:eastAsia="宋体" w:hint="default"/>
                <w:sz w:val="22"/>
                <w:szCs w:val="22"/>
              </w:rPr>
            </w:pPr>
            <w:r>
              <w:rPr>
                <w:rFonts w:ascii="宋体" w:hAnsi="宋体" w:cs="宋体" w:eastAsia="宋体" w:hint="default"/>
                <w:sz w:val="22"/>
                <w:szCs w:val="22"/>
              </w:rPr>
              <w:t>年初余额</w:t>
            </w:r>
          </w:p>
        </w:tc>
        <w:tc>
          <w:tcPr>
            <w:tcW w:w="216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70"/>
              <w:jc w:val="right"/>
              <w:rPr>
                <w:rFonts w:ascii="Arial" w:hAnsi="Arial" w:cs="Arial" w:eastAsia="Arial" w:hint="default"/>
                <w:sz w:val="22"/>
                <w:szCs w:val="22"/>
              </w:rPr>
            </w:pPr>
            <w:r>
              <w:rPr>
                <w:rFonts w:ascii="Arial"/>
                <w:w w:val="95"/>
                <w:sz w:val="22"/>
              </w:rPr>
              <w:t>(40,086,141)</w:t>
            </w:r>
            <w:r>
              <w:rPr>
                <w:rFonts w:ascii="Arial"/>
                <w:sz w:val="22"/>
              </w:rPr>
            </w:r>
          </w:p>
        </w:tc>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Arial" w:hAnsi="Arial" w:cs="Arial" w:eastAsia="Arial" w:hint="default"/>
                <w:sz w:val="22"/>
                <w:szCs w:val="22"/>
              </w:rPr>
            </w:pPr>
            <w:r>
              <w:rPr>
                <w:rFonts w:ascii="Arial"/>
                <w:w w:val="95"/>
                <w:sz w:val="22"/>
              </w:rPr>
              <w:t>(63,655,718)</w:t>
            </w:r>
            <w:r>
              <w:rPr>
                <w:rFonts w:ascii="Arial"/>
                <w:sz w:val="22"/>
              </w:rPr>
            </w:r>
          </w:p>
        </w:tc>
      </w:tr>
      <w:tr>
        <w:trPr>
          <w:trHeight w:val="557" w:hRule="exact"/>
        </w:trPr>
        <w:tc>
          <w:tcPr>
            <w:tcW w:w="4979" w:type="dxa"/>
            <w:tcBorders>
              <w:top w:val="nil" w:sz="6" w:space="0" w:color="auto"/>
              <w:left w:val="nil" w:sz="6" w:space="0" w:color="auto"/>
              <w:bottom w:val="nil" w:sz="6" w:space="0" w:color="auto"/>
              <w:right w:val="nil" w:sz="6" w:space="0" w:color="auto"/>
            </w:tcBorders>
          </w:tcPr>
          <w:p>
            <w:pPr>
              <w:pStyle w:val="TableParagraph"/>
              <w:spacing w:line="238" w:lineRule="exact"/>
              <w:ind w:left="39" w:right="0"/>
              <w:jc w:val="left"/>
              <w:rPr>
                <w:rFonts w:ascii="宋体" w:hAnsi="宋体" w:cs="宋体" w:eastAsia="宋体" w:hint="default"/>
                <w:sz w:val="22"/>
                <w:szCs w:val="22"/>
              </w:rPr>
            </w:pPr>
            <w:r>
              <w:rPr>
                <w:rFonts w:ascii="宋体" w:hAnsi="宋体" w:cs="宋体" w:eastAsia="宋体" w:hint="default"/>
                <w:sz w:val="22"/>
                <w:szCs w:val="22"/>
              </w:rPr>
              <w:t>计入利润表的持续经营业务递延所得税</w:t>
            </w:r>
          </w:p>
          <w:p>
            <w:pPr>
              <w:pStyle w:val="TableParagraph"/>
              <w:spacing w:line="287" w:lineRule="exact"/>
              <w:ind w:left="35" w:right="0"/>
              <w:jc w:val="left"/>
              <w:rPr>
                <w:rFonts w:ascii="宋体" w:hAnsi="宋体" w:cs="宋体" w:eastAsia="宋体" w:hint="default"/>
                <w:sz w:val="22"/>
                <w:szCs w:val="22"/>
              </w:rPr>
            </w:pPr>
            <w:r>
              <w:rPr>
                <w:rFonts w:ascii="宋体" w:hAnsi="宋体" w:cs="宋体" w:eastAsia="宋体" w:hint="default"/>
                <w:sz w:val="22"/>
                <w:szCs w:val="22"/>
              </w:rPr>
              <w:t>计入权益的可供出售金融资产公允价值变动所对</w:t>
            </w:r>
          </w:p>
        </w:tc>
        <w:tc>
          <w:tcPr>
            <w:tcW w:w="216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470"/>
              <w:jc w:val="right"/>
              <w:rPr>
                <w:rFonts w:ascii="Arial" w:hAnsi="Arial" w:cs="Arial" w:eastAsia="Arial" w:hint="default"/>
                <w:sz w:val="22"/>
                <w:szCs w:val="22"/>
              </w:rPr>
            </w:pPr>
            <w:r>
              <w:rPr>
                <w:rFonts w:ascii="Arial"/>
                <w:w w:val="95"/>
                <w:sz w:val="22"/>
              </w:rPr>
              <w:t>(258,742,893)</w:t>
            </w:r>
            <w:r>
              <w:rPr>
                <w:rFonts w:ascii="Arial"/>
                <w:sz w:val="22"/>
              </w:rPr>
            </w:r>
          </w:p>
        </w:tc>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6"/>
              <w:jc w:val="right"/>
              <w:rPr>
                <w:rFonts w:ascii="Arial" w:hAnsi="Arial" w:cs="Arial" w:eastAsia="Arial" w:hint="default"/>
                <w:sz w:val="22"/>
                <w:szCs w:val="22"/>
              </w:rPr>
            </w:pPr>
            <w:r>
              <w:rPr>
                <w:rFonts w:ascii="Arial"/>
                <w:w w:val="95"/>
                <w:sz w:val="22"/>
              </w:rPr>
              <w:t>5,722,581</w:t>
            </w:r>
            <w:r>
              <w:rPr>
                <w:rFonts w:ascii="Arial"/>
                <w:sz w:val="22"/>
              </w:rPr>
            </w:r>
          </w:p>
        </w:tc>
      </w:tr>
      <w:tr>
        <w:trPr>
          <w:trHeight w:val="279" w:hRule="exact"/>
        </w:trPr>
        <w:tc>
          <w:tcPr>
            <w:tcW w:w="4979" w:type="dxa"/>
            <w:tcBorders>
              <w:top w:val="nil" w:sz="6" w:space="0" w:color="auto"/>
              <w:left w:val="nil" w:sz="6" w:space="0" w:color="auto"/>
              <w:bottom w:val="nil" w:sz="6" w:space="0" w:color="auto"/>
              <w:right w:val="nil" w:sz="6" w:space="0" w:color="auto"/>
            </w:tcBorders>
          </w:tcPr>
          <w:p>
            <w:pPr>
              <w:pStyle w:val="TableParagraph"/>
              <w:spacing w:line="253" w:lineRule="exact"/>
              <w:ind w:left="286" w:right="0"/>
              <w:jc w:val="left"/>
              <w:rPr>
                <w:rFonts w:ascii="宋体" w:hAnsi="宋体" w:cs="宋体" w:eastAsia="宋体" w:hint="default"/>
                <w:sz w:val="22"/>
                <w:szCs w:val="22"/>
              </w:rPr>
            </w:pPr>
            <w:r>
              <w:rPr>
                <w:rFonts w:ascii="宋体" w:hAnsi="宋体" w:cs="宋体" w:eastAsia="宋体" w:hint="default"/>
                <w:sz w:val="22"/>
                <w:szCs w:val="22"/>
              </w:rPr>
              <w:t>应的递延所得税</w:t>
            </w:r>
          </w:p>
        </w:tc>
        <w:tc>
          <w:tcPr>
            <w:tcW w:w="216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519" w:right="0"/>
              <w:jc w:val="left"/>
              <w:rPr>
                <w:rFonts w:ascii="Arial" w:hAnsi="Arial" w:cs="Arial" w:eastAsia="Arial" w:hint="default"/>
                <w:sz w:val="22"/>
                <w:szCs w:val="22"/>
              </w:rPr>
            </w:pPr>
            <w:r>
              <w:rPr>
                <w:rFonts w:ascii="Arial"/>
                <w:sz w:val="22"/>
              </w:rPr>
              <w:t>32,550,692</w:t>
            </w:r>
          </w:p>
        </w:tc>
        <w:tc>
          <w:tcPr>
            <w:tcW w:w="1755"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06"/>
              <w:jc w:val="right"/>
              <w:rPr>
                <w:rFonts w:ascii="Arial" w:hAnsi="Arial" w:cs="Arial" w:eastAsia="Arial" w:hint="default"/>
                <w:sz w:val="22"/>
                <w:szCs w:val="22"/>
              </w:rPr>
            </w:pPr>
            <w:r>
              <w:rPr>
                <w:rFonts w:ascii="Arial"/>
                <w:w w:val="95"/>
                <w:sz w:val="22"/>
              </w:rPr>
              <w:t>47,623,234</w:t>
            </w:r>
            <w:r>
              <w:rPr>
                <w:rFonts w:ascii="Arial"/>
                <w:sz w:val="22"/>
              </w:rPr>
            </w:r>
          </w:p>
        </w:tc>
      </w:tr>
    </w:tbl>
    <w:p>
      <w:pPr>
        <w:pStyle w:val="BodyText"/>
        <w:spacing w:line="256" w:lineRule="exact"/>
        <w:ind w:left="787" w:right="0"/>
        <w:jc w:val="left"/>
      </w:pPr>
      <w:r>
        <w:rPr/>
        <w:t>计入权益的子公司企业改制评估增值所对应的递</w:t>
      </w:r>
    </w:p>
    <w:p>
      <w:pPr>
        <w:pStyle w:val="BodyText"/>
        <w:tabs>
          <w:tab w:pos="5456" w:val="left" w:leader="none"/>
          <w:tab w:pos="7279" w:val="left" w:leader="none"/>
          <w:tab w:pos="8370" w:val="left" w:leader="none"/>
          <w:tab w:pos="9749" w:val="left" w:leader="none"/>
        </w:tabs>
        <w:spacing w:line="320" w:lineRule="exact"/>
        <w:ind w:left="1039" w:right="0"/>
        <w:jc w:val="left"/>
        <w:rPr>
          <w:rFonts w:ascii="Arial" w:hAnsi="Arial" w:cs="Arial" w:eastAsia="Arial" w:hint="default"/>
        </w:rPr>
      </w:pPr>
      <w:r>
        <w:rPr>
          <w:w w:val="95"/>
          <w:position w:val="2"/>
        </w:rPr>
        <w:t>延所得税</w:t>
        <w:tab/>
      </w:r>
      <w:r>
        <w:rPr>
          <w:rFonts w:ascii="Arial" w:hAnsi="Arial" w:cs="Arial" w:eastAsia="Arial" w:hint="default"/>
          <w:w w:val="95"/>
        </w:rPr>
      </w:r>
      <w:r>
        <w:rPr>
          <w:rFonts w:ascii="Arial" w:hAnsi="Arial" w:cs="Arial" w:eastAsia="Arial" w:hint="default"/>
          <w:w w:val="95"/>
          <w:u w:val="single" w:color="000000"/>
        </w:rPr>
        <w:t> </w:t>
        <w:tab/>
        <w:t>-</w:t>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(29,766,238)</w:t>
        <w:tab/>
      </w:r>
      <w:r>
        <w:rPr>
          <w:rFonts w:ascii="Arial" w:hAnsi="Arial" w:cs="Arial" w:eastAsia="Arial" w:hint="default"/>
        </w:rPr>
      </w:r>
    </w:p>
    <w:p>
      <w:pPr>
        <w:spacing w:line="240" w:lineRule="auto" w:before="7"/>
        <w:rPr>
          <w:rFonts w:ascii="Arial" w:hAnsi="Arial" w:cs="Arial" w:eastAsia="Arial" w:hint="default"/>
          <w:sz w:val="17"/>
          <w:szCs w:val="17"/>
        </w:rPr>
      </w:pPr>
    </w:p>
    <w:p>
      <w:pPr>
        <w:pStyle w:val="BodyText"/>
        <w:tabs>
          <w:tab w:pos="6055" w:val="left" w:leader="none"/>
          <w:tab w:pos="8370" w:val="left" w:leader="none"/>
        </w:tabs>
        <w:spacing w:line="240" w:lineRule="auto" w:before="27"/>
        <w:ind w:left="792" w:right="0"/>
        <w:jc w:val="left"/>
        <w:rPr>
          <w:rFonts w:ascii="Arial" w:hAnsi="Arial" w:cs="Arial" w:eastAsia="Arial" w:hint="default"/>
        </w:rPr>
      </w:pPr>
      <w:r>
        <w:rPr>
          <w:w w:val="95"/>
          <w:position w:val="2"/>
        </w:rPr>
        <w:t>年末余额</w:t>
        <w:tab/>
      </w:r>
      <w:r>
        <w:rPr>
          <w:rFonts w:ascii="Arial" w:hAnsi="Arial" w:cs="Arial" w:eastAsia="Arial" w:hint="default"/>
          <w:w w:val="95"/>
        </w:rPr>
        <w:t>(266,278,342)</w:t>
        <w:tab/>
      </w:r>
      <w:r>
        <w:rPr>
          <w:rFonts w:ascii="Arial" w:hAnsi="Arial" w:cs="Arial" w:eastAsia="Arial" w:hint="default"/>
        </w:rPr>
        <w:t>(40,086,141)</w:t>
      </w:r>
    </w:p>
    <w:p>
      <w:pPr>
        <w:spacing w:line="43" w:lineRule="exact"/>
        <w:ind w:left="5442" w:right="0" w:firstLine="0"/>
        <w:rPr>
          <w:rFonts w:ascii="Arial" w:hAnsi="Arial" w:cs="Arial" w:eastAsia="Arial" w:hint="default"/>
          <w:sz w:val="4"/>
          <w:szCs w:val="4"/>
        </w:rPr>
      </w:pPr>
      <w:r>
        <w:rPr>
          <w:rFonts w:ascii="Arial"/>
          <w:position w:val="0"/>
          <w:sz w:val="4"/>
        </w:rPr>
        <w:pict>
          <v:group style="width:106.1pt;height:2.2pt;mso-position-horizontal-relative:char;mso-position-vertical-relative:line" coordorigin="0,0" coordsize="2122,44">
            <v:group style="position:absolute;left:7;top:36;width:2108;height:2" coordorigin="7,36" coordsize="2108,2">
              <v:shape style="position:absolute;left:7;top:36;width:2108;height:2" coordorigin="7,36" coordsize="2108,0" path="m7,36l2114,36e" filled="false" stroked="true" strokeweight=".72pt" strokecolor="#000000">
                <v:path arrowok="t"/>
              </v:shape>
            </v:group>
            <v:group style="position:absolute;left:7;top:7;width:2108;height:2" coordorigin="7,7" coordsize="2108,2">
              <v:shape style="position:absolute;left:7;top:7;width:2108;height:2" coordorigin="7,7" coordsize="2108,0" path="m7,7l2114,7e" filled="false" stroked="true" strokeweight=".72pt" strokecolor="#000000">
                <v:path arrowok="t"/>
              </v:shape>
            </v:group>
          </v:group>
        </w:pict>
      </w:r>
      <w:r>
        <w:rPr>
          <w:rFonts w:ascii="Arial"/>
          <w:position w:val="0"/>
          <w:sz w:val="4"/>
        </w:rPr>
      </w:r>
      <w:r>
        <w:rPr>
          <w:rFonts w:ascii="Times New Roman"/>
          <w:spacing w:val="81"/>
          <w:position w:val="0"/>
          <w:sz w:val="4"/>
        </w:rPr>
        <w:t> </w:t>
      </w:r>
      <w:r>
        <w:rPr>
          <w:rFonts w:ascii="Arial"/>
          <w:spacing w:val="81"/>
          <w:position w:val="0"/>
          <w:sz w:val="4"/>
        </w:rPr>
        <w:pict>
          <v:group style="width:105.15pt;height:2.2pt;mso-position-horizontal-relative:char;mso-position-vertical-relative:line" coordorigin="0,0" coordsize="2103,44">
            <v:group style="position:absolute;left:7;top:36;width:2088;height:2" coordorigin="7,36" coordsize="2088,2">
              <v:shape style="position:absolute;left:7;top:36;width:2088;height:2" coordorigin="7,36" coordsize="2088,0" path="m7,36l2095,36e" filled="false" stroked="true" strokeweight=".72pt" strokecolor="#000000">
                <v:path arrowok="t"/>
              </v:shape>
            </v:group>
            <v:group style="position:absolute;left:7;top:7;width:2088;height:2" coordorigin="7,7" coordsize="2088,2">
              <v:shape style="position:absolute;left:7;top:7;width:2088;height:2" coordorigin="7,7" coordsize="2088,0" path="m7,7l2095,7e" filled="false" stroked="true" strokeweight=".72pt" strokecolor="#000000">
                <v:path arrowok="t"/>
              </v:shape>
            </v:group>
          </v:group>
        </w:pict>
      </w:r>
      <w:r>
        <w:rPr>
          <w:rFonts w:ascii="Arial"/>
          <w:spacing w:val="81"/>
          <w:position w:val="0"/>
          <w:sz w:val="4"/>
        </w:rPr>
      </w:r>
    </w:p>
    <w:p>
      <w:pPr>
        <w:spacing w:line="240" w:lineRule="auto" w:before="4"/>
        <w:rPr>
          <w:rFonts w:ascii="Arial" w:hAnsi="Arial" w:cs="Arial" w:eastAsia="Arial" w:hint="default"/>
          <w:sz w:val="12"/>
          <w:szCs w:val="12"/>
        </w:rPr>
      </w:pPr>
    </w:p>
    <w:p>
      <w:pPr>
        <w:pStyle w:val="BodyText"/>
        <w:spacing w:line="240" w:lineRule="auto" w:before="31"/>
        <w:ind w:left="102" w:right="0"/>
        <w:jc w:val="left"/>
      </w:pPr>
      <w:r>
        <w:rPr>
          <w:rFonts w:ascii="Arial" w:hAnsi="Arial" w:cs="Arial" w:eastAsia="Arial" w:hint="default"/>
        </w:rPr>
        <w:t>(3) </w:t>
      </w:r>
      <w:r>
        <w:rPr>
          <w:rFonts w:ascii="Arial" w:hAnsi="Arial" w:cs="Arial" w:eastAsia="Arial" w:hint="default"/>
          <w:spacing w:val="41"/>
        </w:rPr>
        <w:t> </w:t>
      </w:r>
      <w:r>
        <w:rPr/>
        <w:t>递延所得税资产及负债包括以下暂时性差异对所得税的影响：</w:t>
      </w:r>
    </w:p>
    <w:p>
      <w:pPr>
        <w:pStyle w:val="BodyText"/>
        <w:tabs>
          <w:tab w:pos="522" w:val="left" w:leader="none"/>
        </w:tabs>
        <w:spacing w:line="240" w:lineRule="auto" w:before="162"/>
        <w:ind w:left="102" w:right="0"/>
        <w:jc w:val="left"/>
      </w:pPr>
      <w:r>
        <w:rPr>
          <w:rFonts w:ascii="Arial" w:hAnsi="Arial" w:cs="Arial" w:eastAsia="Arial" w:hint="default"/>
          <w:w w:val="95"/>
        </w:rPr>
        <w:t>(i)</w:t>
        <w:tab/>
      </w:r>
      <w:r>
        <w:rPr/>
        <w:t>递延所得税资产：</w:t>
      </w:r>
    </w:p>
    <w:p>
      <w:pPr>
        <w:tabs>
          <w:tab w:pos="4775" w:val="left" w:leader="none"/>
          <w:tab w:pos="7200" w:val="left" w:leader="none"/>
        </w:tabs>
        <w:spacing w:before="168"/>
        <w:ind w:left="3737" w:right="0" w:firstLine="0"/>
        <w:jc w:val="left"/>
        <w:rPr>
          <w:rFonts w:ascii="宋体" w:hAnsi="宋体" w:cs="宋体" w:eastAsia="宋体" w:hint="default"/>
          <w:sz w:val="18"/>
          <w:szCs w:val="18"/>
        </w:rPr>
      </w:pPr>
      <w:r>
        <w:rPr>
          <w:rFonts w:ascii="宋体" w:hAnsi="宋体" w:cs="宋体" w:eastAsia="宋体" w:hint="default"/>
          <w:sz w:val="18"/>
          <w:szCs w:val="18"/>
        </w:rPr>
        <w:t>注释</w:t>
        <w:tab/>
      </w: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tab/>
      </w: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日（经重列）</w:t>
      </w:r>
    </w:p>
    <w:p>
      <w:pPr>
        <w:tabs>
          <w:tab w:pos="4262" w:val="left" w:leader="none"/>
        </w:tabs>
        <w:spacing w:before="0"/>
        <w:ind w:left="562" w:right="0" w:firstLine="0"/>
        <w:jc w:val="left"/>
        <w:rPr>
          <w:rFonts w:ascii="宋体" w:hAnsi="宋体" w:cs="宋体" w:eastAsia="宋体" w:hint="default"/>
          <w:sz w:val="18"/>
          <w:szCs w:val="18"/>
        </w:rPr>
      </w:pPr>
      <w:r>
        <w:rPr/>
        <w:pict>
          <v:group style="position:absolute;margin-left:246.899994pt;margin-top:.729132pt;width:314.3pt;height:.75pt;mso-position-horizontal-relative:page;mso-position-vertical-relative:paragraph;z-index:-912568" coordorigin="4938,15" coordsize="6286,15">
            <v:group style="position:absolute;left:4945;top:22;width:490;height:2" coordorigin="4945,22" coordsize="490,2">
              <v:shape style="position:absolute;left:4945;top:22;width:490;height:2" coordorigin="4945,22" coordsize="490,0" path="m4945,22l5435,22e" filled="false" stroked="true" strokeweight=".72pt" strokecolor="#000000">
                <v:path arrowok="t"/>
              </v:shape>
            </v:group>
            <v:group style="position:absolute;left:5491;top:22;width:5726;height:2" coordorigin="5491,22" coordsize="5726,2">
              <v:shape style="position:absolute;left:5491;top:22;width:5726;height:2" coordorigin="5491,22" coordsize="5726,0" path="m5491,22l11216,22e" filled="false" stroked="true" strokeweight=".72pt" strokecolor="#000000">
                <v:path arrowok="t"/>
              </v:shape>
            </v:group>
            <w10:wrap type="none"/>
          </v:group>
        </w:pict>
      </w:r>
      <w:r>
        <w:rPr>
          <w:rFonts w:ascii="宋体" w:hAnsi="宋体" w:cs="宋体" w:eastAsia="宋体" w:hint="default"/>
          <w:sz w:val="18"/>
          <w:szCs w:val="18"/>
        </w:rPr>
        <w:t>递延所得税资产：</w:t>
        <w:tab/>
        <w:t>可抵扣暂时性差异 递延所得税资产 可抵扣暂时性差异</w:t>
      </w:r>
      <w:r>
        <w:rPr>
          <w:rFonts w:ascii="宋体" w:hAnsi="宋体" w:cs="宋体" w:eastAsia="宋体" w:hint="default"/>
          <w:spacing w:val="9"/>
          <w:sz w:val="18"/>
          <w:szCs w:val="18"/>
        </w:rPr>
        <w:t> </w:t>
      </w:r>
      <w:r>
        <w:rPr>
          <w:rFonts w:ascii="宋体" w:hAnsi="宋体" w:cs="宋体" w:eastAsia="宋体" w:hint="default"/>
          <w:sz w:val="18"/>
          <w:szCs w:val="18"/>
        </w:rPr>
        <w:t>递延所得税资产</w:t>
      </w:r>
    </w:p>
    <w:p>
      <w:pPr>
        <w:spacing w:line="240" w:lineRule="auto" w:before="3"/>
        <w:rPr>
          <w:rFonts w:ascii="宋体" w:hAnsi="宋体" w:cs="宋体" w:eastAsia="宋体" w:hint="default"/>
          <w:sz w:val="12"/>
          <w:szCs w:val="12"/>
        </w:rPr>
      </w:pPr>
    </w:p>
    <w:tbl>
      <w:tblPr>
        <w:tblW w:w="0" w:type="auto"/>
        <w:jc w:val="left"/>
        <w:tblInd w:w="669" w:type="dxa"/>
        <w:tblLayout w:type="fixed"/>
        <w:tblCellMar>
          <w:top w:w="0" w:type="dxa"/>
          <w:left w:w="0" w:type="dxa"/>
          <w:bottom w:w="0" w:type="dxa"/>
          <w:right w:w="0" w:type="dxa"/>
        </w:tblCellMar>
        <w:tblLook w:val="01E0"/>
      </w:tblPr>
      <w:tblGrid>
        <w:gridCol w:w="2856"/>
        <w:gridCol w:w="738"/>
        <w:gridCol w:w="1472"/>
        <w:gridCol w:w="1350"/>
        <w:gridCol w:w="1478"/>
        <w:gridCol w:w="1317"/>
      </w:tblGrid>
      <w:tr>
        <w:trPr>
          <w:trHeight w:val="551" w:hRule="exact"/>
        </w:trPr>
        <w:tc>
          <w:tcPr>
            <w:tcW w:w="2856" w:type="dxa"/>
            <w:tcBorders>
              <w:top w:val="nil" w:sz="6" w:space="0" w:color="auto"/>
              <w:left w:val="nil" w:sz="6" w:space="0" w:color="auto"/>
              <w:bottom w:val="nil" w:sz="6" w:space="0" w:color="auto"/>
              <w:right w:val="nil" w:sz="6" w:space="0" w:color="auto"/>
            </w:tcBorders>
          </w:tcPr>
          <w:p>
            <w:pPr>
              <w:pStyle w:val="TableParagraph"/>
              <w:spacing w:line="232" w:lineRule="exact" w:before="69"/>
              <w:ind w:left="35" w:right="298" w:hanging="1"/>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同一纳税实体递延所得税资产：</w:t>
            </w:r>
            <w:r>
              <w:rPr>
                <w:rFonts w:ascii="宋体" w:hAnsi="宋体" w:cs="宋体" w:eastAsia="宋体" w:hint="default"/>
                <w:sz w:val="18"/>
                <w:szCs w:val="18"/>
              </w:rPr>
            </w:r>
            <w:r>
              <w:rPr>
                <w:rFonts w:ascii="宋体" w:hAnsi="宋体" w:cs="宋体" w:eastAsia="宋体" w:hint="default"/>
                <w:sz w:val="18"/>
                <w:szCs w:val="18"/>
              </w:rPr>
              <w:t> 固定资产及在建工程减值准备</w:t>
            </w:r>
          </w:p>
        </w:tc>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215"/>
              <w:jc w:val="right"/>
              <w:rPr>
                <w:rFonts w:ascii="Arial" w:hAnsi="Arial" w:cs="Arial" w:eastAsia="Arial" w:hint="default"/>
                <w:sz w:val="18"/>
                <w:szCs w:val="18"/>
              </w:rPr>
            </w:pPr>
            <w:r>
              <w:rPr>
                <w:rFonts w:ascii="Arial"/>
                <w:spacing w:val="-1"/>
                <w:w w:val="95"/>
                <w:sz w:val="18"/>
              </w:rPr>
              <w:t>(b)</w:t>
            </w:r>
            <w:r>
              <w:rPr>
                <w:rFonts w:ascii="Arial"/>
                <w:sz w:val="18"/>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102"/>
              <w:jc w:val="right"/>
              <w:rPr>
                <w:rFonts w:ascii="Arial" w:hAnsi="Arial" w:cs="Arial" w:eastAsia="Arial" w:hint="default"/>
                <w:sz w:val="18"/>
                <w:szCs w:val="18"/>
              </w:rPr>
            </w:pPr>
            <w:r>
              <w:rPr>
                <w:rFonts w:ascii="Arial"/>
                <w:spacing w:val="-1"/>
                <w:sz w:val="18"/>
              </w:rPr>
              <w:t>8,637,458,465</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95"/>
              <w:jc w:val="right"/>
              <w:rPr>
                <w:rFonts w:ascii="Arial" w:hAnsi="Arial" w:cs="Arial" w:eastAsia="Arial" w:hint="default"/>
                <w:sz w:val="18"/>
                <w:szCs w:val="18"/>
              </w:rPr>
            </w:pPr>
            <w:r>
              <w:rPr>
                <w:rFonts w:ascii="Arial"/>
                <w:spacing w:val="-1"/>
                <w:sz w:val="18"/>
              </w:rPr>
              <w:t>2,137,808,088</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129"/>
              <w:jc w:val="right"/>
              <w:rPr>
                <w:rFonts w:ascii="Arial" w:hAnsi="Arial" w:cs="Arial" w:eastAsia="Arial" w:hint="default"/>
                <w:sz w:val="18"/>
                <w:szCs w:val="18"/>
              </w:rPr>
            </w:pPr>
            <w:r>
              <w:rPr>
                <w:rFonts w:ascii="Arial"/>
                <w:spacing w:val="-1"/>
                <w:sz w:val="18"/>
              </w:rPr>
              <w:t>12,211,404,802</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5"/>
                <w:szCs w:val="25"/>
              </w:rPr>
            </w:pPr>
          </w:p>
          <w:p>
            <w:pPr>
              <w:pStyle w:val="TableParagraph"/>
              <w:spacing w:line="240" w:lineRule="auto"/>
              <w:ind w:right="33"/>
              <w:jc w:val="right"/>
              <w:rPr>
                <w:rFonts w:ascii="Arial" w:hAnsi="Arial" w:cs="Arial" w:eastAsia="Arial" w:hint="default"/>
                <w:sz w:val="18"/>
                <w:szCs w:val="18"/>
              </w:rPr>
            </w:pPr>
            <w:r>
              <w:rPr>
                <w:rFonts w:ascii="Arial"/>
                <w:spacing w:val="-1"/>
                <w:sz w:val="18"/>
              </w:rPr>
              <w:t>3,027,860,932</w:t>
            </w:r>
          </w:p>
        </w:tc>
      </w:tr>
      <w:tr>
        <w:trPr>
          <w:trHeight w:val="233" w:hRule="exact"/>
        </w:trPr>
        <w:tc>
          <w:tcPr>
            <w:tcW w:w="2856"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738" w:type="dxa"/>
            <w:tcBorders>
              <w:top w:val="nil" w:sz="6" w:space="0" w:color="auto"/>
              <w:left w:val="nil" w:sz="6" w:space="0" w:color="auto"/>
              <w:bottom w:val="nil" w:sz="6" w:space="0" w:color="auto"/>
              <w:right w:val="nil" w:sz="6" w:space="0" w:color="auto"/>
            </w:tcBorders>
          </w:tcPr>
          <w:p>
            <w:pP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Arial" w:hAnsi="Arial" w:cs="Arial" w:eastAsia="Arial" w:hint="default"/>
                <w:sz w:val="18"/>
                <w:szCs w:val="18"/>
              </w:rPr>
            </w:pPr>
            <w:r>
              <w:rPr>
                <w:rFonts w:ascii="Arial"/>
                <w:spacing w:val="-1"/>
                <w:sz w:val="18"/>
              </w:rPr>
              <w:t>31,111,787</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4"/>
              <w:jc w:val="right"/>
              <w:rPr>
                <w:rFonts w:ascii="Arial" w:hAnsi="Arial" w:cs="Arial" w:eastAsia="Arial" w:hint="default"/>
                <w:sz w:val="18"/>
                <w:szCs w:val="18"/>
              </w:rPr>
            </w:pPr>
            <w:r>
              <w:rPr>
                <w:rFonts w:ascii="Arial"/>
                <w:spacing w:val="-1"/>
                <w:sz w:val="18"/>
              </w:rPr>
              <w:t>7,758,571</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9"/>
              <w:jc w:val="right"/>
              <w:rPr>
                <w:rFonts w:ascii="Arial" w:hAnsi="Arial" w:cs="Arial" w:eastAsia="Arial" w:hint="default"/>
                <w:sz w:val="18"/>
                <w:szCs w:val="18"/>
              </w:rPr>
            </w:pPr>
            <w:r>
              <w:rPr>
                <w:rFonts w:ascii="Arial"/>
                <w:spacing w:val="-1"/>
                <w:sz w:val="18"/>
              </w:rPr>
              <w:t>42,641,688</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spacing w:val="-1"/>
                <w:sz w:val="18"/>
              </w:rPr>
              <w:t>10,612,191</w:t>
            </w:r>
          </w:p>
        </w:tc>
      </w:tr>
      <w:tr>
        <w:trPr>
          <w:trHeight w:val="233" w:hRule="exact"/>
        </w:trPr>
        <w:tc>
          <w:tcPr>
            <w:tcW w:w="2856"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宋体" w:hAnsi="宋体" w:cs="宋体" w:eastAsia="宋体" w:hint="default"/>
                <w:sz w:val="18"/>
                <w:szCs w:val="18"/>
              </w:rPr>
            </w:pPr>
            <w:r>
              <w:rPr>
                <w:rFonts w:ascii="宋体" w:hAnsi="宋体" w:cs="宋体" w:eastAsia="宋体" w:hint="default"/>
                <w:sz w:val="18"/>
                <w:szCs w:val="18"/>
              </w:rPr>
              <w:t>应收款项坏账准备</w:t>
            </w:r>
          </w:p>
        </w:tc>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20"/>
              <w:jc w:val="right"/>
              <w:rPr>
                <w:rFonts w:ascii="Arial" w:hAnsi="Arial" w:cs="Arial" w:eastAsia="Arial" w:hint="default"/>
                <w:sz w:val="18"/>
                <w:szCs w:val="18"/>
              </w:rPr>
            </w:pPr>
            <w:r>
              <w:rPr>
                <w:rFonts w:ascii="Arial"/>
                <w:spacing w:val="-1"/>
                <w:w w:val="95"/>
                <w:sz w:val="18"/>
              </w:rPr>
              <w:t>(c)</w:t>
            </w:r>
            <w:r>
              <w:rPr>
                <w:rFonts w:ascii="Arial"/>
                <w:sz w:val="18"/>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2"/>
              <w:jc w:val="right"/>
              <w:rPr>
                <w:rFonts w:ascii="Arial" w:hAnsi="Arial" w:cs="Arial" w:eastAsia="Arial" w:hint="default"/>
                <w:sz w:val="18"/>
                <w:szCs w:val="18"/>
              </w:rPr>
            </w:pPr>
            <w:r>
              <w:rPr>
                <w:rFonts w:ascii="Arial"/>
                <w:spacing w:val="-1"/>
                <w:sz w:val="18"/>
              </w:rPr>
              <w:t>4,280,034,466</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95"/>
              <w:jc w:val="right"/>
              <w:rPr>
                <w:rFonts w:ascii="Arial" w:hAnsi="Arial" w:cs="Arial" w:eastAsia="Arial" w:hint="default"/>
                <w:sz w:val="18"/>
                <w:szCs w:val="18"/>
              </w:rPr>
            </w:pPr>
            <w:r>
              <w:rPr>
                <w:rFonts w:ascii="Arial"/>
                <w:spacing w:val="-1"/>
                <w:sz w:val="18"/>
              </w:rPr>
              <w:t>1,063,560,726</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30"/>
              <w:jc w:val="right"/>
              <w:rPr>
                <w:rFonts w:ascii="Arial" w:hAnsi="Arial" w:cs="Arial" w:eastAsia="Arial" w:hint="default"/>
                <w:sz w:val="18"/>
                <w:szCs w:val="18"/>
              </w:rPr>
            </w:pPr>
            <w:r>
              <w:rPr>
                <w:rFonts w:ascii="Arial"/>
                <w:spacing w:val="-1"/>
                <w:sz w:val="18"/>
              </w:rPr>
              <w:t>3,171,123,115</w:t>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Arial" w:hAnsi="Arial" w:cs="Arial" w:eastAsia="Arial" w:hint="default"/>
                <w:sz w:val="18"/>
                <w:szCs w:val="18"/>
              </w:rPr>
            </w:pPr>
            <w:r>
              <w:rPr>
                <w:rFonts w:ascii="Arial"/>
                <w:spacing w:val="-1"/>
                <w:sz w:val="18"/>
              </w:rPr>
              <w:t>788,109,197</w:t>
            </w:r>
          </w:p>
        </w:tc>
      </w:tr>
      <w:tr>
        <w:trPr>
          <w:trHeight w:val="234" w:hRule="exact"/>
        </w:trPr>
        <w:tc>
          <w:tcPr>
            <w:tcW w:w="2856"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尚未抵扣的预提费用</w:t>
            </w:r>
          </w:p>
        </w:tc>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5"/>
              <w:jc w:val="right"/>
              <w:rPr>
                <w:rFonts w:ascii="Arial" w:hAnsi="Arial" w:cs="Arial" w:eastAsia="Arial" w:hint="default"/>
                <w:sz w:val="18"/>
                <w:szCs w:val="18"/>
              </w:rPr>
            </w:pPr>
            <w:r>
              <w:rPr>
                <w:rFonts w:ascii="Arial"/>
                <w:spacing w:val="-1"/>
                <w:w w:val="95"/>
                <w:sz w:val="18"/>
              </w:rPr>
              <w:t>(d)</w:t>
            </w:r>
            <w:r>
              <w:rPr>
                <w:rFonts w:ascii="Arial"/>
                <w:sz w:val="18"/>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2"/>
              <w:jc w:val="right"/>
              <w:rPr>
                <w:rFonts w:ascii="Arial" w:hAnsi="Arial" w:cs="Arial" w:eastAsia="Arial" w:hint="default"/>
                <w:sz w:val="18"/>
                <w:szCs w:val="18"/>
              </w:rPr>
            </w:pPr>
            <w:r>
              <w:rPr>
                <w:rFonts w:ascii="Arial"/>
                <w:spacing w:val="-1"/>
                <w:sz w:val="18"/>
              </w:rPr>
              <w:t>1,160,925,856</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3"/>
              <w:jc w:val="right"/>
              <w:rPr>
                <w:rFonts w:ascii="Arial" w:hAnsi="Arial" w:cs="Arial" w:eastAsia="Arial" w:hint="default"/>
                <w:sz w:val="18"/>
                <w:szCs w:val="18"/>
              </w:rPr>
            </w:pPr>
            <w:r>
              <w:rPr>
                <w:rFonts w:ascii="Arial"/>
                <w:spacing w:val="-1"/>
                <w:sz w:val="18"/>
              </w:rPr>
              <w:t>285,131,585</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9"/>
              <w:jc w:val="right"/>
              <w:rPr>
                <w:rFonts w:ascii="Arial" w:hAnsi="Arial" w:cs="Arial" w:eastAsia="Arial" w:hint="default"/>
                <w:sz w:val="18"/>
                <w:szCs w:val="18"/>
              </w:rPr>
            </w:pPr>
            <w:r>
              <w:rPr>
                <w:rFonts w:ascii="Arial"/>
                <w:spacing w:val="-1"/>
                <w:sz w:val="18"/>
              </w:rPr>
              <w:t>583,538,799</w:t>
            </w:r>
            <w:r>
              <w:rPr>
                <w:rFonts w:ascii="Arial"/>
                <w:sz w:val="18"/>
              </w:rPr>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spacing w:val="-1"/>
                <w:sz w:val="18"/>
              </w:rPr>
              <w:t>145,406,590</w:t>
            </w:r>
          </w:p>
        </w:tc>
      </w:tr>
      <w:tr>
        <w:trPr>
          <w:trHeight w:val="233" w:hRule="exact"/>
        </w:trPr>
        <w:tc>
          <w:tcPr>
            <w:tcW w:w="2856"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一次性不退还收入的递延</w:t>
            </w:r>
          </w:p>
        </w:tc>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5"/>
              <w:jc w:val="right"/>
              <w:rPr>
                <w:rFonts w:ascii="Arial" w:hAnsi="Arial" w:cs="Arial" w:eastAsia="Arial" w:hint="default"/>
                <w:sz w:val="18"/>
                <w:szCs w:val="18"/>
              </w:rPr>
            </w:pPr>
            <w:r>
              <w:rPr>
                <w:rFonts w:ascii="Arial"/>
                <w:spacing w:val="-1"/>
                <w:w w:val="95"/>
                <w:sz w:val="18"/>
              </w:rPr>
              <w:t>(e)</w:t>
            </w:r>
            <w:r>
              <w:rPr>
                <w:rFonts w:ascii="Arial"/>
                <w:sz w:val="18"/>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Arial" w:hAnsi="Arial" w:cs="Arial" w:eastAsia="Arial" w:hint="default"/>
                <w:sz w:val="18"/>
                <w:szCs w:val="18"/>
              </w:rPr>
            </w:pPr>
            <w:r>
              <w:rPr>
                <w:rFonts w:ascii="Arial"/>
                <w:spacing w:val="-1"/>
                <w:sz w:val="18"/>
              </w:rPr>
              <w:t>433,222,193</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3"/>
              <w:jc w:val="right"/>
              <w:rPr>
                <w:rFonts w:ascii="Arial" w:hAnsi="Arial" w:cs="Arial" w:eastAsia="Arial" w:hint="default"/>
                <w:sz w:val="18"/>
                <w:szCs w:val="18"/>
              </w:rPr>
            </w:pPr>
            <w:r>
              <w:rPr>
                <w:rFonts w:ascii="Arial"/>
                <w:spacing w:val="-1"/>
                <w:sz w:val="18"/>
              </w:rPr>
              <w:t>108,305,548</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9"/>
              <w:jc w:val="right"/>
              <w:rPr>
                <w:rFonts w:ascii="Arial" w:hAnsi="Arial" w:cs="Arial" w:eastAsia="Arial" w:hint="default"/>
                <w:sz w:val="18"/>
                <w:szCs w:val="18"/>
              </w:rPr>
            </w:pPr>
            <w:r>
              <w:rPr>
                <w:rFonts w:ascii="Arial"/>
                <w:spacing w:val="-1"/>
                <w:sz w:val="18"/>
              </w:rPr>
              <w:t>435,069,873</w:t>
            </w:r>
            <w:r>
              <w:rPr>
                <w:rFonts w:ascii="Arial"/>
                <w:sz w:val="18"/>
              </w:rPr>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spacing w:val="-1"/>
                <w:sz w:val="18"/>
              </w:rPr>
              <w:t>108,225,004</w:t>
            </w:r>
          </w:p>
        </w:tc>
      </w:tr>
      <w:tr>
        <w:trPr>
          <w:trHeight w:val="233" w:hRule="exact"/>
        </w:trPr>
        <w:tc>
          <w:tcPr>
            <w:tcW w:w="2856"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40"/>
              <w:jc w:val="right"/>
              <w:rPr>
                <w:rFonts w:ascii="Arial" w:hAnsi="Arial" w:cs="Arial" w:eastAsia="Arial" w:hint="default"/>
                <w:sz w:val="18"/>
                <w:szCs w:val="18"/>
              </w:rPr>
            </w:pPr>
            <w:r>
              <w:rPr>
                <w:rFonts w:ascii="Arial"/>
                <w:spacing w:val="-1"/>
                <w:sz w:val="18"/>
              </w:rPr>
              <w:t>(f)</w:t>
            </w:r>
            <w:r>
              <w:rPr>
                <w:rFonts w:ascii="Arial"/>
                <w:sz w:val="18"/>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1"/>
              <w:jc w:val="right"/>
              <w:rPr>
                <w:rFonts w:ascii="Arial" w:hAnsi="Arial" w:cs="Arial" w:eastAsia="Arial" w:hint="default"/>
                <w:sz w:val="18"/>
                <w:szCs w:val="18"/>
              </w:rPr>
            </w:pPr>
            <w:r>
              <w:rPr>
                <w:rFonts w:ascii="Arial"/>
                <w:spacing w:val="-1"/>
                <w:sz w:val="18"/>
              </w:rPr>
              <w:t>319,609,380</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93"/>
              <w:jc w:val="right"/>
              <w:rPr>
                <w:rFonts w:ascii="Arial" w:hAnsi="Arial" w:cs="Arial" w:eastAsia="Arial" w:hint="default"/>
                <w:sz w:val="18"/>
                <w:szCs w:val="18"/>
              </w:rPr>
            </w:pPr>
            <w:r>
              <w:rPr>
                <w:rFonts w:ascii="Arial"/>
                <w:spacing w:val="-1"/>
                <w:sz w:val="18"/>
              </w:rPr>
              <w:t>79,606,544</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29"/>
              <w:jc w:val="right"/>
              <w:rPr>
                <w:rFonts w:ascii="Arial" w:hAnsi="Arial" w:cs="Arial" w:eastAsia="Arial" w:hint="default"/>
                <w:sz w:val="18"/>
                <w:szCs w:val="18"/>
              </w:rPr>
            </w:pPr>
            <w:r>
              <w:rPr>
                <w:rFonts w:ascii="Arial"/>
                <w:spacing w:val="-1"/>
                <w:sz w:val="18"/>
              </w:rPr>
              <w:t>587,895,956</w:t>
            </w:r>
            <w:r>
              <w:rPr>
                <w:rFonts w:ascii="Arial"/>
                <w:sz w:val="18"/>
              </w:rPr>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Arial" w:hAnsi="Arial" w:cs="Arial" w:eastAsia="Arial" w:hint="default"/>
                <w:sz w:val="18"/>
                <w:szCs w:val="18"/>
              </w:rPr>
            </w:pPr>
            <w:r>
              <w:rPr>
                <w:rFonts w:ascii="Arial"/>
                <w:spacing w:val="-1"/>
                <w:sz w:val="18"/>
              </w:rPr>
              <w:t>145,325,391</w:t>
            </w:r>
          </w:p>
        </w:tc>
      </w:tr>
      <w:tr>
        <w:trPr>
          <w:trHeight w:val="233" w:hRule="exact"/>
        </w:trPr>
        <w:tc>
          <w:tcPr>
            <w:tcW w:w="2856"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已计提尚未发放的职工薪酬</w:t>
            </w:r>
          </w:p>
        </w:tc>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5"/>
              <w:jc w:val="right"/>
              <w:rPr>
                <w:rFonts w:ascii="Arial" w:hAnsi="Arial" w:cs="Arial" w:eastAsia="Arial" w:hint="default"/>
                <w:sz w:val="18"/>
                <w:szCs w:val="18"/>
              </w:rPr>
            </w:pPr>
            <w:r>
              <w:rPr>
                <w:rFonts w:ascii="Arial"/>
                <w:spacing w:val="-1"/>
                <w:w w:val="95"/>
                <w:sz w:val="18"/>
              </w:rPr>
              <w:t>(g)</w:t>
            </w:r>
            <w:r>
              <w:rPr>
                <w:rFonts w:ascii="Arial"/>
                <w:sz w:val="18"/>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0"/>
              <w:jc w:val="right"/>
              <w:rPr>
                <w:rFonts w:ascii="Arial" w:hAnsi="Arial" w:cs="Arial" w:eastAsia="Arial" w:hint="default"/>
                <w:sz w:val="18"/>
                <w:szCs w:val="18"/>
              </w:rPr>
            </w:pPr>
            <w:r>
              <w:rPr>
                <w:rFonts w:ascii="Arial"/>
                <w:spacing w:val="-1"/>
                <w:sz w:val="18"/>
              </w:rPr>
              <w:t>599,240,525</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3"/>
              <w:jc w:val="right"/>
              <w:rPr>
                <w:rFonts w:ascii="Arial" w:hAnsi="Arial" w:cs="Arial" w:eastAsia="Arial" w:hint="default"/>
                <w:sz w:val="18"/>
                <w:szCs w:val="18"/>
              </w:rPr>
            </w:pPr>
            <w:r>
              <w:rPr>
                <w:rFonts w:ascii="Arial"/>
                <w:spacing w:val="-1"/>
                <w:sz w:val="18"/>
              </w:rPr>
              <w:t>148,150,234</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9"/>
              <w:jc w:val="right"/>
              <w:rPr>
                <w:rFonts w:ascii="Arial" w:hAnsi="Arial" w:cs="Arial" w:eastAsia="Arial" w:hint="default"/>
                <w:sz w:val="18"/>
                <w:szCs w:val="18"/>
              </w:rPr>
            </w:pPr>
            <w:r>
              <w:rPr>
                <w:rFonts w:ascii="Arial"/>
                <w:spacing w:val="-1"/>
                <w:sz w:val="18"/>
              </w:rPr>
              <w:t>222,742,246</w:t>
            </w:r>
            <w:r>
              <w:rPr>
                <w:rFonts w:ascii="Arial"/>
                <w:sz w:val="18"/>
              </w:rPr>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spacing w:val="-1"/>
                <w:sz w:val="18"/>
              </w:rPr>
              <w:t>55,581,390</w:t>
            </w:r>
          </w:p>
        </w:tc>
      </w:tr>
      <w:tr>
        <w:trPr>
          <w:trHeight w:val="217" w:hRule="exact"/>
        </w:trPr>
        <w:tc>
          <w:tcPr>
            <w:tcW w:w="2856"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宋体" w:hAnsi="宋体" w:cs="宋体" w:eastAsia="宋体" w:hint="default"/>
                <w:sz w:val="18"/>
                <w:szCs w:val="18"/>
              </w:rPr>
            </w:pPr>
            <w:r>
              <w:rPr>
                <w:rFonts w:ascii="宋体" w:hAnsi="宋体" w:cs="宋体" w:eastAsia="宋体" w:hint="default"/>
                <w:sz w:val="18"/>
                <w:szCs w:val="18"/>
              </w:rPr>
              <w:t>集团内部购销业务未实现净利润</w:t>
            </w:r>
          </w:p>
        </w:tc>
        <w:tc>
          <w:tcPr>
            <w:tcW w:w="73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15"/>
              <w:jc w:val="right"/>
              <w:rPr>
                <w:rFonts w:ascii="Arial" w:hAnsi="Arial" w:cs="Arial" w:eastAsia="Arial" w:hint="default"/>
                <w:sz w:val="18"/>
                <w:szCs w:val="18"/>
              </w:rPr>
            </w:pPr>
            <w:r>
              <w:rPr>
                <w:rFonts w:ascii="Arial"/>
                <w:spacing w:val="-1"/>
                <w:w w:val="95"/>
                <w:sz w:val="18"/>
              </w:rPr>
              <w:t>(h)</w:t>
            </w:r>
            <w:r>
              <w:rPr>
                <w:rFonts w:ascii="Arial"/>
                <w:sz w:val="18"/>
              </w:rPr>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0"/>
              <w:jc w:val="right"/>
              <w:rPr>
                <w:rFonts w:ascii="Arial" w:hAnsi="Arial" w:cs="Arial" w:eastAsia="Arial" w:hint="default"/>
                <w:sz w:val="18"/>
                <w:szCs w:val="18"/>
              </w:rPr>
            </w:pPr>
            <w:r>
              <w:rPr>
                <w:rFonts w:ascii="Arial"/>
                <w:spacing w:val="-1"/>
                <w:sz w:val="18"/>
              </w:rPr>
              <w:t>855,619,745</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93"/>
              <w:jc w:val="right"/>
              <w:rPr>
                <w:rFonts w:ascii="Arial" w:hAnsi="Arial" w:cs="Arial" w:eastAsia="Arial" w:hint="default"/>
                <w:sz w:val="18"/>
                <w:szCs w:val="18"/>
              </w:rPr>
            </w:pPr>
            <w:r>
              <w:rPr>
                <w:rFonts w:ascii="Arial"/>
                <w:spacing w:val="-1"/>
                <w:sz w:val="18"/>
              </w:rPr>
              <w:t>213,904,936</w:t>
            </w:r>
          </w:p>
        </w:tc>
        <w:tc>
          <w:tcPr>
            <w:tcW w:w="147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29"/>
              <w:jc w:val="right"/>
              <w:rPr>
                <w:rFonts w:ascii="Arial" w:hAnsi="Arial" w:cs="Arial" w:eastAsia="Arial" w:hint="default"/>
                <w:sz w:val="18"/>
                <w:szCs w:val="18"/>
              </w:rPr>
            </w:pPr>
            <w:r>
              <w:rPr>
                <w:rFonts w:ascii="Arial"/>
                <w:spacing w:val="-1"/>
                <w:sz w:val="18"/>
              </w:rPr>
              <w:t>171,032,896</w:t>
            </w:r>
            <w:r>
              <w:rPr>
                <w:rFonts w:ascii="Arial"/>
                <w:sz w:val="18"/>
              </w:rPr>
            </w:r>
          </w:p>
        </w:tc>
        <w:tc>
          <w:tcPr>
            <w:tcW w:w="131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Arial" w:hAnsi="Arial" w:cs="Arial" w:eastAsia="Arial" w:hint="default"/>
                <w:sz w:val="18"/>
                <w:szCs w:val="18"/>
              </w:rPr>
            </w:pPr>
            <w:r>
              <w:rPr>
                <w:rFonts w:ascii="Arial"/>
                <w:spacing w:val="-1"/>
                <w:sz w:val="18"/>
              </w:rPr>
              <w:t>42,758,224</w:t>
            </w:r>
          </w:p>
        </w:tc>
      </w:tr>
    </w:tbl>
    <w:p>
      <w:pPr>
        <w:tabs>
          <w:tab w:pos="4211" w:val="left" w:leader="none"/>
          <w:tab w:pos="4632" w:val="left" w:leader="none"/>
          <w:tab w:pos="5989" w:val="left" w:leader="none"/>
          <w:tab w:pos="7431" w:val="left" w:leader="none"/>
          <w:tab w:pos="8944" w:val="left" w:leader="none"/>
          <w:tab w:pos="9936" w:val="left" w:leader="none"/>
        </w:tabs>
        <w:spacing w:line="233" w:lineRule="exact" w:before="0"/>
        <w:ind w:left="704" w:right="0" w:firstLine="0"/>
        <w:jc w:val="left"/>
        <w:rPr>
          <w:rFonts w:ascii="Arial" w:hAnsi="Arial" w:cs="Arial" w:eastAsia="Arial" w:hint="default"/>
          <w:sz w:val="18"/>
          <w:szCs w:val="18"/>
        </w:rPr>
      </w:pPr>
      <w:r>
        <w:rPr>
          <w:rFonts w:ascii="宋体" w:hAnsi="宋体" w:cs="宋体" w:eastAsia="宋体" w:hint="default"/>
          <w:position w:val="1"/>
          <w:sz w:val="18"/>
          <w:szCs w:val="18"/>
        </w:rPr>
        <w:t>其他</w:t>
        <w:tab/>
      </w:r>
      <w:r>
        <w:rPr>
          <w:rFonts w:ascii="Arial" w:hAnsi="Arial" w:cs="Arial" w:eastAsia="Arial" w:hint="default"/>
          <w:sz w:val="18"/>
          <w:szCs w:val="18"/>
        </w:rPr>
      </w:r>
      <w:r>
        <w:rPr>
          <w:rFonts w:ascii="Arial" w:hAnsi="Arial" w:cs="Arial" w:eastAsia="Arial" w:hint="default"/>
          <w:sz w:val="18"/>
          <w:szCs w:val="18"/>
          <w:u w:val="single" w:color="000000"/>
        </w:rPr>
        <w:t> </w:t>
        <w:tab/>
      </w:r>
      <w:r>
        <w:rPr>
          <w:rFonts w:ascii="Arial" w:hAnsi="Arial" w:cs="Arial" w:eastAsia="Arial" w:hint="default"/>
          <w:spacing w:val="-1"/>
          <w:sz w:val="18"/>
          <w:szCs w:val="18"/>
          <w:u w:val="single" w:color="000000"/>
        </w:rPr>
        <w:t>581,410,351</w:t>
        <w:tab/>
        <w:t>144,835,938</w:t>
        <w:tab/>
        <w:t>366,639,698</w:t>
      </w:r>
      <w:r>
        <w:rPr>
          <w:rFonts w:ascii="Arial" w:hAnsi="Arial" w:cs="Arial" w:eastAsia="Arial" w:hint="default"/>
          <w:spacing w:val="-1"/>
          <w:sz w:val="18"/>
          <w:szCs w:val="18"/>
        </w:rPr>
      </w:r>
      <w:r>
        <w:rPr>
          <w:rFonts w:ascii="Arial" w:hAnsi="Arial" w:cs="Arial" w:eastAsia="Arial" w:hint="default"/>
          <w:spacing w:val="-1"/>
          <w:sz w:val="18"/>
          <w:szCs w:val="18"/>
          <w:u w:val="single" w:color="000000"/>
        </w:rPr>
        <w:t> </w:t>
        <w:tab/>
        <w:t>91,585,235</w:t>
        <w:tab/>
      </w:r>
      <w:r>
        <w:rPr>
          <w:rFonts w:ascii="Arial" w:hAnsi="Arial" w:cs="Arial" w:eastAsia="Arial" w:hint="default"/>
          <w:spacing w:val="-1"/>
          <w:sz w:val="18"/>
          <w:szCs w:val="18"/>
        </w:rPr>
      </w:r>
    </w:p>
    <w:p>
      <w:pPr>
        <w:tabs>
          <w:tab w:pos="4381" w:val="left" w:leader="none"/>
          <w:tab w:pos="5837" w:val="left" w:leader="none"/>
          <w:tab w:pos="8694" w:val="left" w:leader="none"/>
        </w:tabs>
        <w:spacing w:line="253" w:lineRule="exact" w:before="0"/>
        <w:ind w:left="704" w:right="0" w:firstLine="0"/>
        <w:jc w:val="left"/>
        <w:rPr>
          <w:rFonts w:ascii="Arial" w:hAnsi="Arial" w:cs="Arial" w:eastAsia="Arial" w:hint="default"/>
          <w:sz w:val="18"/>
          <w:szCs w:val="18"/>
        </w:rPr>
      </w:pPr>
      <w:r>
        <w:rPr>
          <w:rFonts w:ascii="宋体" w:hAnsi="宋体" w:cs="宋体" w:eastAsia="宋体" w:hint="default"/>
          <w:position w:val="1"/>
          <w:sz w:val="18"/>
          <w:szCs w:val="18"/>
        </w:rPr>
        <w:t>小计</w:t>
        <w:tab/>
      </w:r>
      <w:r>
        <w:rPr>
          <w:rFonts w:ascii="Arial" w:hAnsi="Arial" w:cs="Arial" w:eastAsia="Arial" w:hint="default"/>
          <w:spacing w:val="-1"/>
          <w:sz w:val="18"/>
          <w:szCs w:val="18"/>
        </w:rPr>
        <w:t>16,898,632,768</w:t>
        <w:tab/>
        <w:t>4,189,062,170</w:t>
      </w:r>
      <w:r>
        <w:rPr>
          <w:rFonts w:ascii="Arial" w:hAnsi="Arial" w:cs="Arial" w:eastAsia="Arial" w:hint="default"/>
          <w:sz w:val="18"/>
          <w:szCs w:val="18"/>
        </w:rPr>
        <w:t>    </w:t>
      </w:r>
      <w:r>
        <w:rPr>
          <w:rFonts w:ascii="Arial" w:hAnsi="Arial" w:cs="Arial" w:eastAsia="Arial" w:hint="default"/>
          <w:spacing w:val="-1"/>
          <w:sz w:val="18"/>
          <w:szCs w:val="18"/>
        </w:rPr>
        <w:t>17,792,089,073</w:t>
        <w:tab/>
        <w:t>4,415,464,154</w:t>
      </w:r>
    </w:p>
    <w:p>
      <w:pPr>
        <w:spacing w:line="240" w:lineRule="auto" w:before="8"/>
        <w:rPr>
          <w:rFonts w:ascii="Arial" w:hAnsi="Arial" w:cs="Arial" w:eastAsia="Arial" w:hint="default"/>
          <w:sz w:val="11"/>
          <w:szCs w:val="11"/>
        </w:rPr>
      </w:pPr>
    </w:p>
    <w:p>
      <w:pPr>
        <w:tabs>
          <w:tab w:pos="4218" w:val="left" w:leader="none"/>
        </w:tabs>
        <w:spacing w:before="44"/>
        <w:ind w:left="704" w:right="0" w:firstLine="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同一纳税实体递延所得税负债：</w:t>
      </w:r>
      <w:r>
        <w:rPr>
          <w:rFonts w:ascii="宋体" w:hAnsi="宋体" w:cs="宋体" w:eastAsia="宋体" w:hint="default"/>
          <w:sz w:val="18"/>
          <w:szCs w:val="18"/>
        </w:rPr>
        <w:tab/>
        <w:t>应纳税暂时性差异 递延所得税负债 应纳税暂时性差异</w:t>
      </w:r>
      <w:r>
        <w:rPr>
          <w:rFonts w:ascii="宋体" w:hAnsi="宋体" w:cs="宋体" w:eastAsia="宋体" w:hint="default"/>
          <w:spacing w:val="-30"/>
          <w:sz w:val="18"/>
          <w:szCs w:val="18"/>
        </w:rPr>
        <w:t> </w:t>
      </w:r>
      <w:r>
        <w:rPr>
          <w:rFonts w:ascii="宋体" w:hAnsi="宋体" w:cs="宋体" w:eastAsia="宋体" w:hint="default"/>
          <w:sz w:val="18"/>
          <w:szCs w:val="18"/>
        </w:rPr>
        <w:t>递延所得税负债</w:t>
      </w:r>
    </w:p>
    <w:p>
      <w:pPr>
        <w:spacing w:line="240" w:lineRule="auto" w:before="1"/>
        <w:rPr>
          <w:rFonts w:ascii="宋体" w:hAnsi="宋体" w:cs="宋体" w:eastAsia="宋体" w:hint="default"/>
          <w:sz w:val="2"/>
          <w:szCs w:val="2"/>
        </w:rPr>
      </w:pPr>
    </w:p>
    <w:p>
      <w:pPr>
        <w:spacing w:line="20" w:lineRule="exact"/>
        <w:ind w:left="4204" w:right="0" w:firstLine="0"/>
        <w:rPr>
          <w:rFonts w:ascii="宋体" w:hAnsi="宋体" w:cs="宋体" w:eastAsia="宋体" w:hint="default"/>
          <w:sz w:val="2"/>
          <w:szCs w:val="2"/>
        </w:rPr>
      </w:pPr>
      <w:r>
        <w:rPr>
          <w:rFonts w:ascii="宋体" w:hAnsi="宋体" w:cs="宋体" w:eastAsia="宋体" w:hint="default"/>
          <w:sz w:val="2"/>
          <w:szCs w:val="2"/>
        </w:rPr>
        <w:pict>
          <v:group style="width:287pt;height:.75pt;mso-position-horizontal-relative:char;mso-position-vertical-relative:line" coordorigin="0,0" coordsize="5740,15">
            <v:group style="position:absolute;left:7;top:7;width:1485;height:2" coordorigin="7,7" coordsize="1485,2">
              <v:shape style="position:absolute;left:7;top:7;width:1485;height:2" coordorigin="7,7" coordsize="1485,0" path="m7,7l1492,7e" filled="false" stroked="true" strokeweight=".72pt" strokecolor="#000000">
                <v:path arrowok="t"/>
              </v:shape>
            </v:group>
            <v:group style="position:absolute;left:1519;top:7;width:1301;height:2" coordorigin="1519,7" coordsize="1301,2">
              <v:shape style="position:absolute;left:1519;top:7;width:1301;height:2" coordorigin="1519,7" coordsize="1301,0" path="m1519,7l2820,7e" filled="false" stroked="true" strokeweight=".72pt" strokecolor="#000000">
                <v:path arrowok="t"/>
              </v:shape>
            </v:group>
            <v:group style="position:absolute;left:2862;top:7;width:1457;height:2" coordorigin="2862,7" coordsize="1457,2">
              <v:shape style="position:absolute;left:2862;top:7;width:1457;height:2" coordorigin="2862,7" coordsize="1457,0" path="m2862,7l4319,7e" filled="false" stroked="true" strokeweight=".72pt" strokecolor="#000000">
                <v:path arrowok="t"/>
              </v:shape>
            </v:group>
            <v:group style="position:absolute;left:4374;top:7;width:1359;height:2" coordorigin="4374,7" coordsize="1359,2">
              <v:shape style="position:absolute;left:4374;top:7;width:1359;height:2" coordorigin="4374,7" coordsize="1359,0" path="m4374,7l5732,7e" filled="false" stroked="true" strokeweight=".72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9"/>
          <w:szCs w:val="9"/>
        </w:rPr>
      </w:pPr>
    </w:p>
    <w:p>
      <w:pPr>
        <w:tabs>
          <w:tab w:pos="4571" w:val="left" w:leader="none"/>
          <w:tab w:pos="5909" w:val="left" w:leader="none"/>
          <w:tab w:pos="7371" w:val="left" w:leader="none"/>
          <w:tab w:pos="8785" w:val="left" w:leader="none"/>
        </w:tabs>
        <w:spacing w:before="47"/>
        <w:ind w:left="704" w:right="0" w:firstLine="0"/>
        <w:jc w:val="left"/>
        <w:rPr>
          <w:rFonts w:ascii="Arial" w:hAnsi="Arial" w:cs="Arial" w:eastAsia="Arial" w:hint="default"/>
          <w:sz w:val="18"/>
          <w:szCs w:val="18"/>
        </w:rPr>
      </w:pPr>
      <w:r>
        <w:rPr>
          <w:rFonts w:ascii="宋体" w:hAnsi="宋体" w:cs="宋体" w:eastAsia="宋体" w:hint="default"/>
          <w:position w:val="1"/>
          <w:sz w:val="18"/>
          <w:szCs w:val="18"/>
        </w:rPr>
        <w:t>与一次性不退还收入相关成本的递延</w:t>
      </w:r>
      <w:r>
        <w:rPr>
          <w:rFonts w:ascii="宋体" w:hAnsi="宋体" w:cs="宋体" w:eastAsia="宋体" w:hint="default"/>
          <w:spacing w:val="41"/>
          <w:position w:val="1"/>
          <w:sz w:val="18"/>
          <w:szCs w:val="18"/>
        </w:rPr>
        <w:t> </w:t>
      </w:r>
      <w:r>
        <w:rPr>
          <w:rFonts w:ascii="Arial" w:hAnsi="Arial" w:cs="Arial" w:eastAsia="Arial" w:hint="default"/>
          <w:spacing w:val="-1"/>
          <w:sz w:val="18"/>
          <w:szCs w:val="18"/>
        </w:rPr>
        <w:t>(a)(e)</w:t>
        <w:tab/>
        <w:t>(433,222,193)</w:t>
        <w:tab/>
        <w:t>(108,305,548)</w:t>
        <w:tab/>
        <w:t>(435,069,873)</w:t>
        <w:tab/>
        <w:t>(108,225,004)</w:t>
      </w:r>
      <w:r>
        <w:rPr>
          <w:rFonts w:ascii="Arial" w:hAnsi="Arial" w:cs="Arial" w:eastAsia="Arial" w:hint="default"/>
          <w:sz w:val="18"/>
          <w:szCs w:val="18"/>
        </w:rPr>
      </w:r>
    </w:p>
    <w:p>
      <w:pPr>
        <w:spacing w:line="20" w:lineRule="exact"/>
        <w:ind w:left="4204" w:right="0" w:firstLine="0"/>
        <w:rPr>
          <w:rFonts w:ascii="Arial" w:hAnsi="Arial" w:cs="Arial" w:eastAsia="Arial" w:hint="default"/>
          <w:sz w:val="2"/>
          <w:szCs w:val="2"/>
        </w:rPr>
      </w:pPr>
      <w:r>
        <w:rPr>
          <w:rFonts w:ascii="Arial" w:hAnsi="Arial" w:cs="Arial" w:eastAsia="Arial" w:hint="default"/>
          <w:sz w:val="2"/>
          <w:szCs w:val="2"/>
        </w:rPr>
        <w:pict>
          <v:group style="width:287pt;height:.75pt;mso-position-horizontal-relative:char;mso-position-vertical-relative:line" coordorigin="0,0" coordsize="5740,15">
            <v:group style="position:absolute;left:7;top:7;width:1485;height:2" coordorigin="7,7" coordsize="1485,2">
              <v:shape style="position:absolute;left:7;top:7;width:1485;height:2" coordorigin="7,7" coordsize="1485,0" path="m7,7l1492,7e" filled="false" stroked="true" strokeweight=".72pt" strokecolor="#000000">
                <v:path arrowok="t"/>
              </v:shape>
            </v:group>
            <v:group style="position:absolute;left:1519;top:7;width:1301;height:2" coordorigin="1519,7" coordsize="1301,2">
              <v:shape style="position:absolute;left:1519;top:7;width:1301;height:2" coordorigin="1519,7" coordsize="1301,0" path="m1519,7l2820,7e" filled="false" stroked="true" strokeweight=".72pt" strokecolor="#000000">
                <v:path arrowok="t"/>
              </v:shape>
            </v:group>
            <v:group style="position:absolute;left:2862;top:7;width:1457;height:2" coordorigin="2862,7" coordsize="1457,2">
              <v:shape style="position:absolute;left:2862;top:7;width:1457;height:2" coordorigin="2862,7" coordsize="1457,0" path="m2862,7l4319,7e" filled="false" stroked="true" strokeweight=".72pt" strokecolor="#000000">
                <v:path arrowok="t"/>
              </v:shape>
            </v:group>
            <v:group style="position:absolute;left:4374;top:7;width:1359;height:2" coordorigin="4374,7" coordsize="1359,2">
              <v:shape style="position:absolute;left:4374;top:7;width:1359;height:2" coordorigin="4374,7" coordsize="1359,0" path="m4374,7l5732,7e" filled="false" stroked="true" strokeweight=".72pt" strokecolor="#000000">
                <v:path arrowok="t"/>
              </v:shape>
            </v:group>
          </v:group>
        </w:pict>
      </w:r>
      <w:r>
        <w:rPr>
          <w:rFonts w:ascii="Arial" w:hAnsi="Arial" w:cs="Arial" w:eastAsia="Arial" w:hint="default"/>
          <w:sz w:val="2"/>
          <w:szCs w:val="2"/>
        </w:rPr>
      </w:r>
    </w:p>
    <w:p>
      <w:pPr>
        <w:spacing w:line="240" w:lineRule="auto" w:before="4"/>
        <w:rPr>
          <w:rFonts w:ascii="Arial" w:hAnsi="Arial" w:cs="Arial" w:eastAsia="Arial" w:hint="default"/>
          <w:sz w:val="11"/>
          <w:szCs w:val="11"/>
        </w:rPr>
      </w:pPr>
    </w:p>
    <w:p>
      <w:pPr>
        <w:tabs>
          <w:tab w:pos="4381" w:val="left" w:leader="none"/>
          <w:tab w:pos="5837" w:val="left" w:leader="none"/>
          <w:tab w:pos="8694" w:val="left" w:leader="none"/>
        </w:tabs>
        <w:spacing w:before="47"/>
        <w:ind w:left="704" w:right="0" w:firstLine="0"/>
        <w:jc w:val="left"/>
        <w:rPr>
          <w:rFonts w:ascii="Arial" w:hAnsi="Arial" w:cs="Arial" w:eastAsia="Arial" w:hint="default"/>
          <w:sz w:val="18"/>
          <w:szCs w:val="18"/>
        </w:rPr>
      </w:pPr>
      <w:r>
        <w:rPr>
          <w:rFonts w:ascii="宋体" w:hAnsi="宋体" w:cs="宋体" w:eastAsia="宋体" w:hint="default"/>
          <w:position w:val="1"/>
          <w:sz w:val="18"/>
          <w:szCs w:val="18"/>
        </w:rPr>
        <w:t>净值</w:t>
        <w:tab/>
      </w:r>
      <w:r>
        <w:rPr>
          <w:rFonts w:ascii="Arial" w:hAnsi="Arial" w:cs="Arial" w:eastAsia="Arial" w:hint="default"/>
          <w:spacing w:val="-1"/>
          <w:sz w:val="18"/>
          <w:szCs w:val="18"/>
        </w:rPr>
        <w:t>16,465,410,575</w:t>
        <w:tab/>
        <w:t>4,080,756,622</w:t>
      </w:r>
      <w:r>
        <w:rPr>
          <w:rFonts w:ascii="Arial" w:hAnsi="Arial" w:cs="Arial" w:eastAsia="Arial" w:hint="default"/>
          <w:sz w:val="18"/>
          <w:szCs w:val="18"/>
        </w:rPr>
        <w:t>    </w:t>
      </w:r>
      <w:r>
        <w:rPr>
          <w:rFonts w:ascii="Arial" w:hAnsi="Arial" w:cs="Arial" w:eastAsia="Arial" w:hint="default"/>
          <w:spacing w:val="-1"/>
          <w:sz w:val="18"/>
          <w:szCs w:val="18"/>
        </w:rPr>
        <w:t>17,357,019,200</w:t>
        <w:tab/>
        <w:t>4,307,239,150</w:t>
      </w:r>
    </w:p>
    <w:p>
      <w:pPr>
        <w:spacing w:line="43" w:lineRule="exact"/>
        <w:ind w:left="4196" w:right="0" w:firstLine="0"/>
        <w:rPr>
          <w:rFonts w:ascii="Arial" w:hAnsi="Arial" w:cs="Arial" w:eastAsia="Arial" w:hint="default"/>
          <w:sz w:val="4"/>
          <w:szCs w:val="4"/>
        </w:rPr>
      </w:pPr>
      <w:r>
        <w:rPr>
          <w:rFonts w:ascii="Arial" w:hAnsi="Arial" w:cs="Arial" w:eastAsia="Arial" w:hint="default"/>
          <w:position w:val="0"/>
          <w:sz w:val="4"/>
          <w:szCs w:val="4"/>
        </w:rPr>
        <w:pict>
          <v:group style="width:287.7pt;height:2.2pt;mso-position-horizontal-relative:char;mso-position-vertical-relative:line" coordorigin="0,0" coordsize="5754,44">
            <v:group style="position:absolute;left:7;top:36;width:1499;height:2" coordorigin="7,36" coordsize="1499,2">
              <v:shape style="position:absolute;left:7;top:36;width:1499;height:2" coordorigin="7,36" coordsize="1499,0" path="m7,36l1506,36e" filled="false" stroked="true" strokeweight=".72pt" strokecolor="#000000">
                <v:path arrowok="t"/>
              </v:shape>
            </v:group>
            <v:group style="position:absolute;left:7;top:7;width:1499;height:2" coordorigin="7,7" coordsize="1499,2">
              <v:shape style="position:absolute;left:7;top:7;width:1499;height:2" coordorigin="7,7" coordsize="1499,0" path="m7,7l1506,7e" filled="false" stroked="true" strokeweight=".72pt" strokecolor="#000000">
                <v:path arrowok="t"/>
              </v:shape>
            </v:group>
            <v:group style="position:absolute;left:1519;top:36;width:1316;height:2" coordorigin="1519,36" coordsize="1316,2">
              <v:shape style="position:absolute;left:1519;top:36;width:1316;height:2" coordorigin="1519,36" coordsize="1316,0" path="m1519,36l2834,36e" filled="false" stroked="true" strokeweight=".72pt" strokecolor="#000000">
                <v:path arrowok="t"/>
              </v:shape>
            </v:group>
            <v:group style="position:absolute;left:1519;top:7;width:1316;height:2" coordorigin="1519,7" coordsize="1316,2">
              <v:shape style="position:absolute;left:1519;top:7;width:1316;height:2" coordorigin="1519,7" coordsize="1316,0" path="m1519,7l2834,7e" filled="false" stroked="true" strokeweight=".72pt" strokecolor="#000000">
                <v:path arrowok="t"/>
              </v:shape>
            </v:group>
            <v:group style="position:absolute;left:2862;top:36;width:1472;height:2" coordorigin="2862,36" coordsize="1472,2">
              <v:shape style="position:absolute;left:2862;top:36;width:1472;height:2" coordorigin="2862,36" coordsize="1472,0" path="m2862,36l4333,36e" filled="false" stroked="true" strokeweight=".72pt" strokecolor="#000000">
                <v:path arrowok="t"/>
              </v:shape>
            </v:group>
            <v:group style="position:absolute;left:2862;top:7;width:1472;height:2" coordorigin="2862,7" coordsize="1472,2">
              <v:shape style="position:absolute;left:2862;top:7;width:1472;height:2" coordorigin="2862,7" coordsize="1472,0" path="m2862,7l4333,7e" filled="false" stroked="true" strokeweight=".72pt" strokecolor="#000000">
                <v:path arrowok="t"/>
              </v:shape>
            </v:group>
            <v:group style="position:absolute;left:4374;top:36;width:1373;height:2" coordorigin="4374,36" coordsize="1373,2">
              <v:shape style="position:absolute;left:4374;top:36;width:1373;height:2" coordorigin="4374,36" coordsize="1373,0" path="m4374,36l5747,36e" filled="false" stroked="true" strokeweight=".72pt" strokecolor="#000000">
                <v:path arrowok="t"/>
              </v:shape>
            </v:group>
            <v:group style="position:absolute;left:4374;top:7;width:1373;height:2" coordorigin="4374,7" coordsize="1373,2">
              <v:shape style="position:absolute;left:4374;top:7;width:1373;height:2" coordorigin="4374,7" coordsize="1373,0" path="m4374,7l5747,7e" filled="false" stroked="true" strokeweight=".72pt" strokecolor="#000000">
                <v:path arrowok="t"/>
              </v:shape>
            </v:group>
          </v:group>
        </w:pict>
      </w:r>
      <w:r>
        <w:rPr>
          <w:rFonts w:ascii="Arial" w:hAnsi="Arial" w:cs="Arial" w:eastAsia="Arial" w:hint="default"/>
          <w:position w:val="0"/>
          <w:sz w:val="4"/>
          <w:szCs w:val="4"/>
        </w:rPr>
      </w:r>
    </w:p>
    <w:p>
      <w:pPr>
        <w:spacing w:after="0" w:line="43" w:lineRule="exact"/>
        <w:rPr>
          <w:rFonts w:ascii="Arial" w:hAnsi="Arial" w:cs="Arial" w:eastAsia="Arial" w:hint="default"/>
          <w:sz w:val="4"/>
          <w:szCs w:val="4"/>
        </w:rPr>
        <w:sectPr>
          <w:headerReference w:type="default" r:id="rId119"/>
          <w:pgSz w:w="11910" w:h="16840"/>
          <w:pgMar w:header="1189" w:footer="752" w:top="3580" w:bottom="940" w:left="1280" w:right="560"/>
        </w:sectPr>
      </w:pPr>
    </w:p>
    <w:p>
      <w:pPr>
        <w:spacing w:line="240" w:lineRule="auto" w:before="7"/>
        <w:rPr>
          <w:rFonts w:ascii="Arial" w:hAnsi="Arial" w:cs="Arial" w:eastAsia="Arial" w:hint="default"/>
          <w:sz w:val="21"/>
          <w:szCs w:val="21"/>
        </w:rPr>
      </w:pPr>
    </w:p>
    <w:p>
      <w:pPr>
        <w:tabs>
          <w:tab w:pos="4695" w:val="left" w:leader="none"/>
          <w:tab w:pos="7253" w:val="left" w:leader="none"/>
        </w:tabs>
        <w:spacing w:before="45"/>
        <w:ind w:left="4142" w:right="141" w:hanging="701"/>
        <w:jc w:val="left"/>
        <w:rPr>
          <w:rFonts w:ascii="宋体" w:hAnsi="宋体" w:cs="宋体" w:eastAsia="宋体" w:hint="default"/>
          <w:sz w:val="18"/>
          <w:szCs w:val="18"/>
        </w:rPr>
      </w:pPr>
      <w:r>
        <w:rPr/>
        <w:pict>
          <v:group style="position:absolute;margin-left:232.199997pt;margin-top:15.399118pt;width:326.2pt;height:.75pt;mso-position-horizontal-relative:page;mso-position-vertical-relative:paragraph;z-index:-912496" coordorigin="4644,308" coordsize="6524,15">
            <v:group style="position:absolute;left:4651;top:315;width:448;height:2" coordorigin="4651,315" coordsize="448,2">
              <v:shape style="position:absolute;left:4651;top:315;width:448;height:2" coordorigin="4651,315" coordsize="448,0" path="m4651,315l5099,315e" filled="false" stroked="true" strokeweight=".72pt" strokecolor="#000000">
                <v:path arrowok="t"/>
              </v:shape>
            </v:group>
            <v:group style="position:absolute;left:5170;top:315;width:3107;height:2" coordorigin="5170,315" coordsize="3107,2">
              <v:shape style="position:absolute;left:5170;top:315;width:3107;height:2" coordorigin="5170,315" coordsize="3107,0" path="m5170,315l8276,315e" filled="false" stroked="true" strokeweight=".72pt" strokecolor="#000000">
                <v:path arrowok="t"/>
              </v:shape>
            </v:group>
            <v:group style="position:absolute;left:8318;top:315;width:2842;height:2" coordorigin="8318,315" coordsize="2842,2">
              <v:shape style="position:absolute;left:8318;top:315;width:2842;height:2" coordorigin="8318,315" coordsize="2842,0" path="m8318,315l11160,315e" filled="false" stroked="true" strokeweight=".72pt" strokecolor="#000000">
                <v:path arrowok="t"/>
              </v:shape>
            </v:group>
            <w10:wrap type="none"/>
          </v:group>
        </w:pict>
      </w:r>
      <w:r>
        <w:rPr>
          <w:rFonts w:ascii="宋体" w:hAnsi="宋体" w:cs="宋体" w:eastAsia="宋体" w:hint="default"/>
          <w:sz w:val="18"/>
          <w:szCs w:val="18"/>
        </w:rPr>
        <w:t>注释</w:t>
        <w:tab/>
        <w:tab/>
      </w: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w:t>
        <w:tab/>
      </w: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Arial" w:hAnsi="Arial" w:cs="Arial" w:eastAsia="Arial" w:hint="default"/>
          <w:sz w:val="18"/>
          <w:szCs w:val="18"/>
        </w:rPr>
        <w:t>31 </w:t>
      </w:r>
      <w:r>
        <w:rPr>
          <w:rFonts w:ascii="宋体" w:hAnsi="宋体" w:cs="宋体" w:eastAsia="宋体" w:hint="default"/>
          <w:sz w:val="18"/>
          <w:szCs w:val="18"/>
        </w:rPr>
        <w:t>日（经重列） 应纳税暂时性差异 </w:t>
      </w:r>
      <w:r>
        <w:rPr>
          <w:rFonts w:ascii="宋体" w:hAnsi="宋体" w:cs="宋体" w:eastAsia="宋体" w:hint="default"/>
          <w:spacing w:val="26"/>
          <w:sz w:val="18"/>
          <w:szCs w:val="18"/>
        </w:rPr>
        <w:t> </w:t>
      </w:r>
      <w:r>
        <w:rPr>
          <w:rFonts w:ascii="宋体" w:hAnsi="宋体" w:cs="宋体" w:eastAsia="宋体" w:hint="default"/>
          <w:sz w:val="18"/>
          <w:szCs w:val="18"/>
        </w:rPr>
        <w:t>递延所得税负债 </w:t>
      </w:r>
      <w:r>
        <w:rPr>
          <w:rFonts w:ascii="宋体" w:hAnsi="宋体" w:cs="宋体" w:eastAsia="宋体" w:hint="default"/>
          <w:spacing w:val="-24"/>
          <w:sz w:val="18"/>
          <w:szCs w:val="18"/>
        </w:rPr>
        <w:t> </w:t>
      </w:r>
      <w:r>
        <w:rPr>
          <w:rFonts w:ascii="宋体" w:hAnsi="宋体" w:cs="宋体" w:eastAsia="宋体" w:hint="default"/>
          <w:sz w:val="18"/>
          <w:szCs w:val="18"/>
        </w:rPr>
        <w:t>应纳税暂时性差异</w:t>
      </w:r>
      <w:r>
        <w:rPr>
          <w:rFonts w:ascii="宋体" w:hAnsi="宋体" w:cs="宋体" w:eastAsia="宋体" w:hint="default"/>
          <w:spacing w:val="-13"/>
          <w:sz w:val="18"/>
          <w:szCs w:val="18"/>
        </w:rPr>
        <w:t> </w:t>
      </w:r>
      <w:r>
        <w:rPr>
          <w:rFonts w:ascii="宋体" w:hAnsi="宋体" w:cs="宋体" w:eastAsia="宋体" w:hint="default"/>
          <w:sz w:val="18"/>
          <w:szCs w:val="18"/>
        </w:rPr>
        <w:t>递延所得税负债</w:t>
      </w:r>
    </w:p>
    <w:p>
      <w:pPr>
        <w:spacing w:line="240" w:lineRule="auto" w:before="3"/>
        <w:rPr>
          <w:rFonts w:ascii="宋体" w:hAnsi="宋体" w:cs="宋体" w:eastAsia="宋体" w:hint="default"/>
          <w:sz w:val="12"/>
          <w:szCs w:val="12"/>
        </w:rPr>
      </w:pPr>
    </w:p>
    <w:tbl>
      <w:tblPr>
        <w:tblW w:w="0" w:type="auto"/>
        <w:jc w:val="left"/>
        <w:tblInd w:w="547" w:type="dxa"/>
        <w:tblLayout w:type="fixed"/>
        <w:tblCellMar>
          <w:top w:w="0" w:type="dxa"/>
          <w:left w:w="0" w:type="dxa"/>
          <w:bottom w:w="0" w:type="dxa"/>
          <w:right w:w="0" w:type="dxa"/>
        </w:tblCellMar>
        <w:tblLook w:val="01E0"/>
      </w:tblPr>
      <w:tblGrid>
        <w:gridCol w:w="2811"/>
        <w:gridCol w:w="498"/>
        <w:gridCol w:w="1877"/>
        <w:gridCol w:w="1441"/>
        <w:gridCol w:w="1486"/>
        <w:gridCol w:w="1276"/>
      </w:tblGrid>
      <w:tr>
        <w:trPr>
          <w:trHeight w:val="784" w:hRule="exact"/>
        </w:trPr>
        <w:tc>
          <w:tcPr>
            <w:tcW w:w="2811" w:type="dxa"/>
            <w:tcBorders>
              <w:top w:val="nil" w:sz="6" w:space="0" w:color="auto"/>
              <w:left w:val="nil" w:sz="6" w:space="0" w:color="auto"/>
              <w:bottom w:val="nil" w:sz="6" w:space="0" w:color="auto"/>
              <w:right w:val="nil" w:sz="6" w:space="0" w:color="auto"/>
            </w:tcBorders>
          </w:tcPr>
          <w:p>
            <w:pPr>
              <w:pStyle w:val="TableParagraph"/>
              <w:spacing w:line="237" w:lineRule="auto" w:before="46"/>
              <w:ind w:left="206" w:right="81" w:hanging="172"/>
              <w:jc w:val="left"/>
              <w:rPr>
                <w:rFonts w:ascii="宋体" w:hAnsi="宋体" w:cs="宋体" w:eastAsia="宋体" w:hint="default"/>
                <w:sz w:val="18"/>
                <w:szCs w:val="18"/>
              </w:rPr>
            </w:pPr>
            <w:r>
              <w:rPr>
                <w:rFonts w:ascii="宋体" w:hAnsi="宋体" w:cs="宋体" w:eastAsia="宋体" w:hint="default"/>
                <w:sz w:val="18"/>
                <w:szCs w:val="18"/>
              </w:rPr>
              <w:t>递延所得税负债： </w:t>
            </w:r>
            <w:r>
              <w:rPr>
                <w:rFonts w:ascii="宋体" w:hAnsi="宋体" w:cs="宋体" w:eastAsia="宋体" w:hint="default"/>
                <w:sz w:val="18"/>
                <w:szCs w:val="18"/>
                <w:u w:val="single" w:color="000000"/>
              </w:rPr>
              <w:t>同一纳税实体递延所得税负债：</w:t>
            </w:r>
            <w:r>
              <w:rPr>
                <w:rFonts w:ascii="宋体" w:hAnsi="宋体" w:cs="宋体" w:eastAsia="宋体" w:hint="default"/>
                <w:sz w:val="18"/>
                <w:szCs w:val="18"/>
              </w:rPr>
            </w:r>
            <w:r>
              <w:rPr>
                <w:rFonts w:ascii="宋体" w:hAnsi="宋体" w:cs="宋体" w:eastAsia="宋体" w:hint="default"/>
                <w:sz w:val="18"/>
                <w:szCs w:val="18"/>
              </w:rPr>
              <w:t> 改制评估增值</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30" w:right="0"/>
              <w:jc w:val="center"/>
              <w:rPr>
                <w:rFonts w:ascii="Arial" w:hAnsi="Arial" w:cs="Arial" w:eastAsia="Arial" w:hint="default"/>
                <w:sz w:val="18"/>
                <w:szCs w:val="18"/>
              </w:rPr>
            </w:pPr>
            <w:r>
              <w:rPr>
                <w:rFonts w:ascii="Arial"/>
                <w:sz w:val="18"/>
              </w:rPr>
              <w:t>(j)</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right="215"/>
              <w:jc w:val="right"/>
              <w:rPr>
                <w:rFonts w:ascii="Arial" w:hAnsi="Arial" w:cs="Arial" w:eastAsia="Arial" w:hint="default"/>
                <w:sz w:val="18"/>
                <w:szCs w:val="18"/>
              </w:rPr>
            </w:pPr>
            <w:r>
              <w:rPr>
                <w:rFonts w:ascii="Arial"/>
                <w:spacing w:val="-1"/>
                <w:sz w:val="18"/>
              </w:rPr>
              <w:t>(102,645,251)</w:t>
            </w:r>
            <w:r>
              <w:rPr>
                <w:rFonts w:ascii="Arial"/>
                <w:sz w:val="18"/>
              </w:rPr>
            </w:r>
          </w:p>
        </w:tc>
        <w:tc>
          <w:tcPr>
            <w:tcW w:w="14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right="202"/>
              <w:jc w:val="right"/>
              <w:rPr>
                <w:rFonts w:ascii="Arial" w:hAnsi="Arial" w:cs="Arial" w:eastAsia="Arial" w:hint="default"/>
                <w:sz w:val="18"/>
                <w:szCs w:val="18"/>
              </w:rPr>
            </w:pPr>
            <w:r>
              <w:rPr>
                <w:rFonts w:ascii="Arial"/>
                <w:spacing w:val="-1"/>
                <w:sz w:val="18"/>
              </w:rPr>
              <w:t>(15,396,789)</w:t>
            </w:r>
            <w:r>
              <w:rPr>
                <w:rFonts w:ascii="Arial"/>
                <w:sz w:val="18"/>
              </w:rPr>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right="160"/>
              <w:jc w:val="right"/>
              <w:rPr>
                <w:rFonts w:ascii="Arial" w:hAnsi="Arial" w:cs="Arial" w:eastAsia="Arial" w:hint="default"/>
                <w:sz w:val="18"/>
                <w:szCs w:val="18"/>
              </w:rPr>
            </w:pPr>
            <w:r>
              <w:rPr>
                <w:rFonts w:ascii="Arial"/>
                <w:spacing w:val="-1"/>
                <w:sz w:val="18"/>
              </w:rPr>
              <w:t>(144,921,460)</w:t>
            </w:r>
            <w:r>
              <w:rPr>
                <w:rFonts w:ascii="Arial"/>
                <w:sz w:val="18"/>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right="92"/>
              <w:jc w:val="right"/>
              <w:rPr>
                <w:rFonts w:ascii="Arial" w:hAnsi="Arial" w:cs="Arial" w:eastAsia="Arial" w:hint="default"/>
                <w:sz w:val="18"/>
                <w:szCs w:val="18"/>
              </w:rPr>
            </w:pPr>
            <w:r>
              <w:rPr>
                <w:rFonts w:ascii="Arial"/>
                <w:spacing w:val="-1"/>
                <w:sz w:val="18"/>
              </w:rPr>
              <w:t>(36,230,365)</w:t>
            </w:r>
            <w:r>
              <w:rPr>
                <w:rFonts w:ascii="Arial"/>
                <w:sz w:val="18"/>
              </w:rPr>
            </w:r>
          </w:p>
        </w:tc>
      </w:tr>
      <w:tr>
        <w:trPr>
          <w:trHeight w:val="233" w:hRule="exact"/>
        </w:trPr>
        <w:tc>
          <w:tcPr>
            <w:tcW w:w="2811" w:type="dxa"/>
            <w:tcBorders>
              <w:top w:val="nil" w:sz="6" w:space="0" w:color="auto"/>
              <w:left w:val="nil" w:sz="6" w:space="0" w:color="auto"/>
              <w:bottom w:val="nil" w:sz="6" w:space="0" w:color="auto"/>
              <w:right w:val="nil" w:sz="6" w:space="0" w:color="auto"/>
            </w:tcBorders>
          </w:tcPr>
          <w:p>
            <w:pPr>
              <w:pStyle w:val="TableParagraph"/>
              <w:spacing w:line="195" w:lineRule="exact"/>
              <w:ind w:left="206" w:right="0"/>
              <w:jc w:val="left"/>
              <w:rPr>
                <w:rFonts w:ascii="宋体" w:hAnsi="宋体" w:cs="宋体" w:eastAsia="宋体" w:hint="default"/>
                <w:sz w:val="18"/>
                <w:szCs w:val="18"/>
              </w:rPr>
            </w:pPr>
            <w:r>
              <w:rPr>
                <w:rFonts w:ascii="宋体" w:hAnsi="宋体" w:cs="宋体" w:eastAsia="宋体" w:hint="default"/>
                <w:sz w:val="18"/>
                <w:szCs w:val="18"/>
              </w:rPr>
              <w:t>可供出售金融资产公允价值变动</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0" w:right="0"/>
              <w:jc w:val="center"/>
              <w:rPr>
                <w:rFonts w:ascii="Arial" w:hAnsi="Arial" w:cs="Arial" w:eastAsia="Arial" w:hint="default"/>
                <w:sz w:val="18"/>
                <w:szCs w:val="18"/>
              </w:rPr>
            </w:pPr>
            <w:r>
              <w:rPr>
                <w:rFonts w:ascii="Arial"/>
                <w:sz w:val="18"/>
              </w:rPr>
              <w:t>(k)</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74"/>
              <w:jc w:val="right"/>
              <w:rPr>
                <w:rFonts w:ascii="Arial" w:hAnsi="Arial" w:cs="Arial" w:eastAsia="Arial" w:hint="default"/>
                <w:sz w:val="18"/>
                <w:szCs w:val="18"/>
              </w:rPr>
            </w:pPr>
            <w:r>
              <w:rPr>
                <w:rFonts w:ascii="Arial"/>
                <w:w w:val="99"/>
                <w:sz w:val="18"/>
              </w:rPr>
              <w:t>-</w:t>
            </w:r>
            <w:r>
              <w:rPr>
                <w:rFonts w:ascii="Arial"/>
                <w:sz w:val="18"/>
              </w:rPr>
            </w:r>
          </w:p>
        </w:tc>
        <w:tc>
          <w:tcPr>
            <w:tcW w:w="144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61"/>
              <w:jc w:val="right"/>
              <w:rPr>
                <w:rFonts w:ascii="Arial" w:hAnsi="Arial" w:cs="Arial" w:eastAsia="Arial" w:hint="default"/>
                <w:sz w:val="18"/>
                <w:szCs w:val="18"/>
              </w:rPr>
            </w:pPr>
            <w:r>
              <w:rPr>
                <w:rFonts w:ascii="Arial"/>
                <w:w w:val="99"/>
                <w:sz w:val="18"/>
              </w:rPr>
              <w:t>-</w:t>
            </w:r>
            <w:r>
              <w:rPr>
                <w:rFonts w:ascii="Arial"/>
                <w:sz w:val="18"/>
              </w:rPr>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60"/>
              <w:jc w:val="right"/>
              <w:rPr>
                <w:rFonts w:ascii="Arial" w:hAnsi="Arial" w:cs="Arial" w:eastAsia="Arial" w:hint="default"/>
                <w:sz w:val="18"/>
                <w:szCs w:val="18"/>
              </w:rPr>
            </w:pPr>
            <w:r>
              <w:rPr>
                <w:rFonts w:ascii="Arial"/>
                <w:spacing w:val="-1"/>
                <w:sz w:val="18"/>
              </w:rPr>
              <w:t>(58,483,995)</w:t>
            </w:r>
            <w:r>
              <w:rPr>
                <w:rFonts w:ascii="Arial"/>
                <w:sz w:val="18"/>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92"/>
              <w:jc w:val="right"/>
              <w:rPr>
                <w:rFonts w:ascii="Arial" w:hAnsi="Arial" w:cs="Arial" w:eastAsia="Arial" w:hint="default"/>
                <w:sz w:val="18"/>
                <w:szCs w:val="18"/>
              </w:rPr>
            </w:pPr>
            <w:r>
              <w:rPr>
                <w:rFonts w:ascii="Arial"/>
                <w:spacing w:val="-1"/>
                <w:sz w:val="18"/>
              </w:rPr>
              <w:t>(14,620,999)</w:t>
            </w:r>
            <w:r>
              <w:rPr>
                <w:rFonts w:ascii="Arial"/>
                <w:sz w:val="18"/>
              </w:rPr>
            </w:r>
          </w:p>
        </w:tc>
      </w:tr>
      <w:tr>
        <w:trPr>
          <w:trHeight w:val="456" w:hRule="exact"/>
        </w:trPr>
        <w:tc>
          <w:tcPr>
            <w:tcW w:w="2811" w:type="dxa"/>
            <w:tcBorders>
              <w:top w:val="nil" w:sz="6" w:space="0" w:color="auto"/>
              <w:left w:val="nil" w:sz="6" w:space="0" w:color="auto"/>
              <w:bottom w:val="nil" w:sz="6" w:space="0" w:color="auto"/>
              <w:right w:val="nil" w:sz="6" w:space="0" w:color="auto"/>
            </w:tcBorders>
          </w:tcPr>
          <w:p>
            <w:pPr>
              <w:pStyle w:val="TableParagraph"/>
              <w:spacing w:line="195" w:lineRule="exact"/>
              <w:ind w:left="206" w:right="0"/>
              <w:jc w:val="left"/>
              <w:rPr>
                <w:rFonts w:ascii="宋体" w:hAnsi="宋体" w:cs="宋体" w:eastAsia="宋体" w:hint="default"/>
                <w:sz w:val="18"/>
                <w:szCs w:val="18"/>
              </w:rPr>
            </w:pPr>
            <w:r>
              <w:rPr>
                <w:rFonts w:ascii="宋体" w:hAnsi="宋体" w:cs="宋体" w:eastAsia="宋体" w:hint="default"/>
                <w:sz w:val="18"/>
                <w:szCs w:val="18"/>
              </w:rPr>
              <w:t>固定资产计提折旧的核算差异</w:t>
            </w:r>
          </w:p>
          <w:p>
            <w:pPr>
              <w:pStyle w:val="TableParagraph"/>
              <w:spacing w:line="235" w:lineRule="exact"/>
              <w:ind w:left="206" w:right="0"/>
              <w:jc w:val="left"/>
              <w:rPr>
                <w:rFonts w:ascii="宋体" w:hAnsi="宋体" w:cs="宋体" w:eastAsia="宋体" w:hint="default"/>
                <w:sz w:val="18"/>
                <w:szCs w:val="18"/>
              </w:rPr>
            </w:pPr>
            <w:r>
              <w:rPr>
                <w:rFonts w:ascii="宋体" w:hAnsi="宋体" w:cs="宋体" w:eastAsia="宋体" w:hint="default"/>
                <w:sz w:val="18"/>
                <w:szCs w:val="18"/>
              </w:rPr>
              <w:t>对西班牙电信投资合约衍生工具</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0" w:right="0"/>
              <w:jc w:val="center"/>
              <w:rPr>
                <w:rFonts w:ascii="Arial" w:hAnsi="Arial" w:cs="Arial" w:eastAsia="Arial" w:hint="default"/>
                <w:sz w:val="18"/>
                <w:szCs w:val="18"/>
              </w:rPr>
            </w:pPr>
            <w:r>
              <w:rPr>
                <w:rFonts w:ascii="Arial"/>
                <w:sz w:val="18"/>
              </w:rPr>
              <w:t>(i)</w:t>
            </w:r>
          </w:p>
        </w:tc>
        <w:tc>
          <w:tcPr>
            <w:tcW w:w="187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15"/>
              <w:jc w:val="right"/>
              <w:rPr>
                <w:rFonts w:ascii="Arial" w:hAnsi="Arial" w:cs="Arial" w:eastAsia="Arial" w:hint="default"/>
                <w:sz w:val="18"/>
                <w:szCs w:val="18"/>
              </w:rPr>
            </w:pPr>
            <w:r>
              <w:rPr>
                <w:rFonts w:ascii="Arial"/>
                <w:spacing w:val="-1"/>
                <w:sz w:val="18"/>
              </w:rPr>
              <w:t>(98,010,876)</w:t>
            </w:r>
            <w:r>
              <w:rPr>
                <w:rFonts w:ascii="Arial"/>
                <w:sz w:val="18"/>
              </w:rPr>
            </w:r>
          </w:p>
        </w:tc>
        <w:tc>
          <w:tcPr>
            <w:tcW w:w="144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2"/>
              <w:jc w:val="right"/>
              <w:rPr>
                <w:rFonts w:ascii="Arial" w:hAnsi="Arial" w:cs="Arial" w:eastAsia="Arial" w:hint="default"/>
                <w:sz w:val="18"/>
                <w:szCs w:val="18"/>
              </w:rPr>
            </w:pPr>
            <w:r>
              <w:rPr>
                <w:rFonts w:ascii="Arial"/>
                <w:spacing w:val="-1"/>
                <w:sz w:val="18"/>
              </w:rPr>
              <w:t>(21,734,532)</w:t>
            </w:r>
            <w:r>
              <w:rPr>
                <w:rFonts w:ascii="Arial"/>
                <w:sz w:val="18"/>
              </w:rPr>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0"/>
              <w:jc w:val="right"/>
              <w:rPr>
                <w:rFonts w:ascii="Arial" w:hAnsi="Arial" w:cs="Arial" w:eastAsia="Arial" w:hint="default"/>
                <w:sz w:val="18"/>
                <w:szCs w:val="18"/>
              </w:rPr>
            </w:pPr>
            <w:r>
              <w:rPr>
                <w:rFonts w:ascii="Arial"/>
                <w:spacing w:val="-1"/>
                <w:sz w:val="18"/>
              </w:rPr>
              <w:t>(109,893,955)</w:t>
            </w:r>
            <w:r>
              <w:rPr>
                <w:rFonts w:ascii="Arial"/>
                <w:sz w:val="18"/>
              </w:rPr>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2"/>
              <w:jc w:val="right"/>
              <w:rPr>
                <w:rFonts w:ascii="Arial" w:hAnsi="Arial" w:cs="Arial" w:eastAsia="Arial" w:hint="default"/>
                <w:sz w:val="18"/>
                <w:szCs w:val="18"/>
              </w:rPr>
            </w:pPr>
            <w:r>
              <w:rPr>
                <w:rFonts w:ascii="Arial"/>
                <w:spacing w:val="-1"/>
                <w:sz w:val="18"/>
              </w:rPr>
              <w:t>(15,525,937)</w:t>
            </w:r>
            <w:r>
              <w:rPr>
                <w:rFonts w:ascii="Arial"/>
                <w:sz w:val="18"/>
              </w:rPr>
            </w:r>
          </w:p>
        </w:tc>
      </w:tr>
      <w:tr>
        <w:trPr>
          <w:trHeight w:val="253" w:hRule="exact"/>
        </w:trPr>
        <w:tc>
          <w:tcPr>
            <w:tcW w:w="2811" w:type="dxa"/>
            <w:tcBorders>
              <w:top w:val="nil" w:sz="6" w:space="0" w:color="auto"/>
              <w:left w:val="nil" w:sz="6" w:space="0" w:color="auto"/>
              <w:bottom w:val="nil" w:sz="6" w:space="0" w:color="auto"/>
              <w:right w:val="nil" w:sz="6" w:space="0" w:color="auto"/>
            </w:tcBorders>
          </w:tcPr>
          <w:p>
            <w:pPr>
              <w:pStyle w:val="TableParagraph"/>
              <w:spacing w:line="206" w:lineRule="exact"/>
              <w:ind w:left="374" w:right="0"/>
              <w:jc w:val="left"/>
              <w:rPr>
                <w:rFonts w:ascii="宋体" w:hAnsi="宋体" w:cs="宋体" w:eastAsia="宋体" w:hint="default"/>
                <w:sz w:val="18"/>
                <w:szCs w:val="18"/>
              </w:rPr>
            </w:pPr>
            <w:r>
              <w:rPr>
                <w:rFonts w:ascii="宋体" w:hAnsi="宋体" w:cs="宋体" w:eastAsia="宋体" w:hint="default"/>
                <w:sz w:val="18"/>
                <w:szCs w:val="18"/>
              </w:rPr>
              <w:t>公允价值变动</w:t>
            </w:r>
          </w:p>
        </w:tc>
        <w:tc>
          <w:tcPr>
            <w:tcW w:w="498"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0" w:right="0"/>
              <w:jc w:val="center"/>
              <w:rPr>
                <w:rFonts w:ascii="Arial" w:hAnsi="Arial" w:cs="Arial" w:eastAsia="Arial" w:hint="default"/>
                <w:sz w:val="18"/>
                <w:szCs w:val="18"/>
              </w:rPr>
            </w:pPr>
            <w:r>
              <w:rPr>
                <w:rFonts w:ascii="Arial"/>
                <w:sz w:val="18"/>
              </w:rPr>
              <w:t>(k)</w:t>
            </w:r>
          </w:p>
        </w:tc>
        <w:tc>
          <w:tcPr>
            <w:tcW w:w="6079" w:type="dxa"/>
            <w:gridSpan w:val="4"/>
            <w:tcBorders>
              <w:top w:val="nil" w:sz="6" w:space="0" w:color="auto"/>
              <w:left w:val="nil" w:sz="6" w:space="0" w:color="auto"/>
              <w:bottom w:val="nil" w:sz="6" w:space="0" w:color="auto"/>
              <w:right w:val="nil" w:sz="6" w:space="0" w:color="auto"/>
            </w:tcBorders>
          </w:tcPr>
          <w:p>
            <w:pPr>
              <w:pStyle w:val="TableParagraph"/>
              <w:tabs>
                <w:tab w:pos="389" w:val="left" w:leader="none"/>
                <w:tab w:pos="4521" w:val="left" w:leader="none"/>
                <w:tab w:pos="5866" w:val="left" w:leader="none"/>
                <w:tab w:pos="6044" w:val="left" w:leader="none"/>
              </w:tabs>
              <w:spacing w:line="240" w:lineRule="auto" w:before="26"/>
              <w:ind w:left="53" w:right="0"/>
              <w:jc w:val="lef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ab/>
              <w:t>(1,239,125,224)     </w:t>
            </w:r>
            <w:r>
              <w:rPr>
                <w:rFonts w:ascii="Arial"/>
                <w:spacing w:val="12"/>
                <w:sz w:val="18"/>
                <w:u w:val="single" w:color="000000"/>
              </w:rPr>
              <w:t> </w:t>
            </w:r>
            <w:r>
              <w:rPr>
                <w:rFonts w:ascii="Arial"/>
                <w:spacing w:val="12"/>
                <w:sz w:val="18"/>
              </w:rPr>
            </w:r>
            <w:r>
              <w:rPr>
                <w:rFonts w:ascii="Arial"/>
                <w:spacing w:val="12"/>
                <w:sz w:val="18"/>
                <w:u w:val="single" w:color="000000"/>
              </w:rPr>
              <w:t> </w:t>
            </w:r>
            <w:r>
              <w:rPr>
                <w:rFonts w:ascii="Arial"/>
                <w:sz w:val="18"/>
                <w:u w:val="single" w:color="000000"/>
              </w:rPr>
              <w:t>(309,781,306)</w:t>
              <w:tab/>
              <w:t>-</w:t>
            </w:r>
            <w:r>
              <w:rPr>
                <w:rFonts w:ascii="Arial"/>
                <w:sz w:val="18"/>
              </w:rPr>
            </w:r>
            <w:r>
              <w:rPr>
                <w:rFonts w:ascii="Arial"/>
                <w:sz w:val="18"/>
                <w:u w:val="single" w:color="000000"/>
              </w:rPr>
              <w:t> </w:t>
              <w:tab/>
              <w:t>-</w:t>
              <w:tab/>
            </w:r>
            <w:r>
              <w:rPr>
                <w:rFonts w:ascii="Arial"/>
                <w:sz w:val="18"/>
              </w:rPr>
            </w:r>
          </w:p>
        </w:tc>
      </w:tr>
      <w:tr>
        <w:trPr>
          <w:trHeight w:val="325" w:hRule="exact"/>
        </w:trPr>
        <w:tc>
          <w:tcPr>
            <w:tcW w:w="2811" w:type="dxa"/>
            <w:tcBorders>
              <w:top w:val="nil" w:sz="6" w:space="0" w:color="auto"/>
              <w:left w:val="nil" w:sz="6" w:space="0" w:color="auto"/>
              <w:bottom w:val="nil" w:sz="6" w:space="0" w:color="auto"/>
              <w:right w:val="nil" w:sz="6" w:space="0" w:color="auto"/>
            </w:tcBorders>
          </w:tcPr>
          <w:p>
            <w:pPr>
              <w:pStyle w:val="TableParagraph"/>
              <w:spacing w:line="203" w:lineRule="exact"/>
              <w:ind w:left="206"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498" w:type="dxa"/>
            <w:tcBorders>
              <w:top w:val="nil" w:sz="6" w:space="0" w:color="auto"/>
              <w:left w:val="nil" w:sz="6" w:space="0" w:color="auto"/>
              <w:bottom w:val="nil" w:sz="6" w:space="0" w:color="auto"/>
              <w:right w:val="nil" w:sz="6" w:space="0" w:color="auto"/>
            </w:tcBorders>
          </w:tcPr>
          <w:p>
            <w:pPr/>
          </w:p>
        </w:tc>
        <w:tc>
          <w:tcPr>
            <w:tcW w:w="6079" w:type="dxa"/>
            <w:gridSpan w:val="4"/>
            <w:tcBorders>
              <w:top w:val="nil" w:sz="6" w:space="0" w:color="auto"/>
              <w:left w:val="nil" w:sz="6" w:space="0" w:color="auto"/>
              <w:bottom w:val="nil" w:sz="6" w:space="0" w:color="auto"/>
              <w:right w:val="nil" w:sz="6" w:space="0" w:color="auto"/>
            </w:tcBorders>
          </w:tcPr>
          <w:p>
            <w:pPr>
              <w:pStyle w:val="TableParagraph"/>
              <w:tabs>
                <w:tab w:pos="1994" w:val="left" w:leader="none"/>
                <w:tab w:pos="3521" w:val="left" w:leader="none"/>
                <w:tab w:pos="4966" w:val="left" w:leader="none"/>
              </w:tabs>
              <w:spacing w:line="240" w:lineRule="auto" w:before="22"/>
              <w:ind w:left="389" w:right="0"/>
              <w:jc w:val="left"/>
              <w:rPr>
                <w:rFonts w:ascii="Arial" w:hAnsi="Arial" w:cs="Arial" w:eastAsia="Arial" w:hint="default"/>
                <w:sz w:val="18"/>
                <w:szCs w:val="18"/>
              </w:rPr>
            </w:pPr>
            <w:r>
              <w:rPr>
                <w:rFonts w:ascii="Arial"/>
                <w:spacing w:val="-1"/>
                <w:sz w:val="18"/>
              </w:rPr>
              <w:t>(1,439,781,351)</w:t>
              <w:tab/>
              <w:t>(346,912,627)</w:t>
              <w:tab/>
              <w:t>(313,299,410)</w:t>
              <w:tab/>
              <w:t>(66,377,301)</w:t>
            </w:r>
            <w:r>
              <w:rPr>
                <w:rFonts w:ascii="Arial"/>
                <w:sz w:val="18"/>
              </w:rPr>
            </w:r>
          </w:p>
        </w:tc>
      </w:tr>
    </w:tbl>
    <w:p>
      <w:pPr>
        <w:spacing w:before="81"/>
        <w:ind w:left="3962" w:right="0" w:firstLine="0"/>
        <w:jc w:val="left"/>
        <w:rPr>
          <w:rFonts w:ascii="宋体" w:hAnsi="宋体" w:cs="宋体" w:eastAsia="宋体" w:hint="default"/>
          <w:sz w:val="18"/>
          <w:szCs w:val="18"/>
        </w:rPr>
      </w:pPr>
      <w:r>
        <w:rPr>
          <w:rFonts w:ascii="宋体" w:hAnsi="宋体" w:cs="宋体" w:eastAsia="宋体" w:hint="default"/>
          <w:sz w:val="18"/>
          <w:szCs w:val="18"/>
        </w:rPr>
        <w:t>可抵扣暂时性差异等 递延所得税资产  可抵扣暂时性差异</w:t>
      </w:r>
      <w:r>
        <w:rPr>
          <w:rFonts w:ascii="宋体" w:hAnsi="宋体" w:cs="宋体" w:eastAsia="宋体" w:hint="default"/>
          <w:spacing w:val="-3"/>
          <w:sz w:val="18"/>
          <w:szCs w:val="18"/>
        </w:rPr>
        <w:t> </w:t>
      </w:r>
      <w:r>
        <w:rPr>
          <w:rFonts w:ascii="宋体" w:hAnsi="宋体" w:cs="宋体" w:eastAsia="宋体" w:hint="default"/>
          <w:sz w:val="18"/>
          <w:szCs w:val="18"/>
        </w:rPr>
        <w:t>递延所得税资产</w:t>
      </w:r>
    </w:p>
    <w:p>
      <w:pPr>
        <w:spacing w:line="240" w:lineRule="auto" w:before="3"/>
        <w:rPr>
          <w:rFonts w:ascii="宋体" w:hAnsi="宋体" w:cs="宋体" w:eastAsia="宋体" w:hint="default"/>
          <w:sz w:val="2"/>
          <w:szCs w:val="2"/>
        </w:rPr>
      </w:pPr>
    </w:p>
    <w:p>
      <w:pPr>
        <w:spacing w:line="20" w:lineRule="exact"/>
        <w:ind w:left="3902" w:right="0" w:firstLine="0"/>
        <w:rPr>
          <w:rFonts w:ascii="宋体" w:hAnsi="宋体" w:cs="宋体" w:eastAsia="宋体" w:hint="default"/>
          <w:sz w:val="2"/>
          <w:szCs w:val="2"/>
        </w:rPr>
      </w:pPr>
      <w:r>
        <w:rPr>
          <w:rFonts w:ascii="宋体" w:hAnsi="宋体" w:cs="宋体" w:eastAsia="宋体" w:hint="default"/>
          <w:sz w:val="2"/>
          <w:szCs w:val="2"/>
        </w:rPr>
        <w:pict>
          <v:group style="width:300.25pt;height:.75pt;mso-position-horizontal-relative:char;mso-position-vertical-relative:line" coordorigin="0,0" coordsize="6005,15">
            <v:group style="position:absolute;left:7;top:7;width:1666;height:2" coordorigin="7,7" coordsize="1666,2">
              <v:shape style="position:absolute;left:7;top:7;width:1666;height:2" coordorigin="7,7" coordsize="1666,0" path="m7,7l1673,7e" filled="false" stroked="true" strokeweight=".72pt" strokecolor="#000000">
                <v:path arrowok="t"/>
              </v:shape>
            </v:group>
            <v:group style="position:absolute;left:1742;top:7;width:1372;height:2" coordorigin="1742,7" coordsize="1372,2">
              <v:shape style="position:absolute;left:1742;top:7;width:1372;height:2" coordorigin="1742,7" coordsize="1372,0" path="m1742,7l3114,7e" filled="false" stroked="true" strokeweight=".72pt" strokecolor="#000000">
                <v:path arrowok="t"/>
              </v:shape>
            </v:group>
            <v:group style="position:absolute;left:3156;top:7;width:1498;height:2" coordorigin="3156,7" coordsize="1498,2">
              <v:shape style="position:absolute;left:3156;top:7;width:1498;height:2" coordorigin="3156,7" coordsize="1498,0" path="m3156,7l4654,7e" filled="false" stroked="true" strokeweight=".72pt" strokecolor="#000000">
                <v:path arrowok="t"/>
              </v:shape>
            </v:group>
            <v:group style="position:absolute;left:4724;top:7;width:1274;height:2" coordorigin="4724,7" coordsize="1274,2">
              <v:shape style="position:absolute;left:4724;top:7;width:1274;height:2" coordorigin="4724,7" coordsize="1274,0" path="m4724,7l5998,7e" filled="false" stroked="true" strokeweight=".72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9"/>
          <w:szCs w:val="9"/>
        </w:rPr>
      </w:pPr>
    </w:p>
    <w:tbl>
      <w:tblPr>
        <w:tblW w:w="0" w:type="auto"/>
        <w:jc w:val="left"/>
        <w:tblInd w:w="731" w:type="dxa"/>
        <w:tblLayout w:type="fixed"/>
        <w:tblCellMar>
          <w:top w:w="0" w:type="dxa"/>
          <w:left w:w="0" w:type="dxa"/>
          <w:bottom w:w="0" w:type="dxa"/>
          <w:right w:w="0" w:type="dxa"/>
        </w:tblCellMar>
        <w:tblLook w:val="01E0"/>
      </w:tblPr>
      <w:tblGrid>
        <w:gridCol w:w="2615"/>
        <w:gridCol w:w="785"/>
        <w:gridCol w:w="1594"/>
        <w:gridCol w:w="1505"/>
        <w:gridCol w:w="1428"/>
        <w:gridCol w:w="1158"/>
      </w:tblGrid>
      <w:tr>
        <w:trPr>
          <w:trHeight w:val="287" w:hRule="exact"/>
        </w:trPr>
        <w:tc>
          <w:tcPr>
            <w:tcW w:w="2615" w:type="dxa"/>
            <w:tcBorders>
              <w:top w:val="nil" w:sz="6" w:space="0" w:color="auto"/>
              <w:left w:val="nil" w:sz="6" w:space="0" w:color="auto"/>
              <w:bottom w:val="single" w:sz="4" w:space="0" w:color="000000"/>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sz w:val="18"/>
                <w:szCs w:val="18"/>
              </w:rPr>
              <w:t>同一纳税实体递延所得税资产：</w:t>
            </w:r>
          </w:p>
        </w:tc>
        <w:tc>
          <w:tcPr>
            <w:tcW w:w="6471" w:type="dxa"/>
            <w:gridSpan w:val="5"/>
            <w:tcBorders>
              <w:top w:val="nil" w:sz="6" w:space="0" w:color="auto"/>
              <w:left w:val="nil" w:sz="6" w:space="0" w:color="auto"/>
              <w:bottom w:val="nil" w:sz="6" w:space="0" w:color="auto"/>
              <w:right w:val="nil" w:sz="6" w:space="0" w:color="auto"/>
            </w:tcBorders>
          </w:tcPr>
          <w:p>
            <w:pPr/>
          </w:p>
        </w:tc>
      </w:tr>
      <w:tr>
        <w:trPr>
          <w:trHeight w:val="264" w:hRule="exact"/>
        </w:trPr>
        <w:tc>
          <w:tcPr>
            <w:tcW w:w="2615" w:type="dxa"/>
            <w:tcBorders>
              <w:top w:val="single" w:sz="4" w:space="0" w:color="000000"/>
              <w:left w:val="nil" w:sz="6" w:space="0" w:color="auto"/>
              <w:bottom w:val="nil" w:sz="6" w:space="0" w:color="auto"/>
              <w:right w:val="nil" w:sz="6" w:space="0" w:color="auto"/>
            </w:tcBorders>
          </w:tcPr>
          <w:p>
            <w:pPr>
              <w:pStyle w:val="TableParagraph"/>
              <w:spacing w:line="221" w:lineRule="exact"/>
              <w:ind w:left="35" w:right="0"/>
              <w:jc w:val="left"/>
              <w:rPr>
                <w:rFonts w:ascii="宋体" w:hAnsi="宋体" w:cs="宋体" w:eastAsia="宋体" w:hint="default"/>
                <w:sz w:val="18"/>
                <w:szCs w:val="18"/>
              </w:rPr>
            </w:pPr>
            <w:r>
              <w:rPr>
                <w:rFonts w:ascii="宋体" w:hAnsi="宋体" w:cs="宋体" w:eastAsia="宋体" w:hint="default"/>
                <w:sz w:val="18"/>
                <w:szCs w:val="18"/>
              </w:rPr>
              <w:t>已计提尚未发放的职工薪酬</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3"/>
              <w:jc w:val="center"/>
              <w:rPr>
                <w:rFonts w:ascii="Arial" w:hAnsi="Arial" w:cs="Arial" w:eastAsia="Arial" w:hint="default"/>
                <w:sz w:val="18"/>
                <w:szCs w:val="18"/>
              </w:rPr>
            </w:pPr>
            <w:r>
              <w:rPr>
                <w:rFonts w:ascii="Arial"/>
                <w:sz w:val="18"/>
              </w:rPr>
              <w:t>(a)</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95"/>
              <w:jc w:val="right"/>
              <w:rPr>
                <w:rFonts w:ascii="Arial" w:hAnsi="Arial" w:cs="Arial" w:eastAsia="Arial" w:hint="default"/>
                <w:sz w:val="18"/>
                <w:szCs w:val="18"/>
              </w:rPr>
            </w:pPr>
            <w:r>
              <w:rPr>
                <w:rFonts w:ascii="Arial"/>
                <w:spacing w:val="-1"/>
                <w:sz w:val="18"/>
              </w:rPr>
              <w:t>132,166,535</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
              <w:jc w:val="center"/>
              <w:rPr>
                <w:rFonts w:ascii="Arial" w:hAnsi="Arial" w:cs="Arial" w:eastAsia="Arial" w:hint="default"/>
                <w:sz w:val="18"/>
                <w:szCs w:val="18"/>
              </w:rPr>
            </w:pPr>
            <w:r>
              <w:rPr>
                <w:rFonts w:ascii="Arial"/>
                <w:sz w:val="18"/>
              </w:rPr>
              <w:t>22,656,489</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20"/>
              <w:jc w:val="right"/>
              <w:rPr>
                <w:rFonts w:ascii="Arial" w:hAnsi="Arial" w:cs="Arial" w:eastAsia="Arial" w:hint="default"/>
                <w:sz w:val="18"/>
                <w:szCs w:val="18"/>
              </w:rPr>
            </w:pPr>
            <w:r>
              <w:rPr>
                <w:rFonts w:ascii="Arial"/>
                <w:spacing w:val="-1"/>
                <w:sz w:val="18"/>
              </w:rPr>
              <w:t>87,323,061</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Arial" w:hAnsi="Arial" w:cs="Arial" w:eastAsia="Arial" w:hint="default"/>
                <w:sz w:val="18"/>
                <w:szCs w:val="18"/>
              </w:rPr>
            </w:pPr>
            <w:r>
              <w:rPr>
                <w:rFonts w:ascii="Arial"/>
                <w:spacing w:val="-1"/>
                <w:sz w:val="18"/>
              </w:rPr>
              <w:t>21,830,765</w:t>
            </w:r>
          </w:p>
        </w:tc>
      </w:tr>
      <w:tr>
        <w:trPr>
          <w:trHeight w:val="233" w:hRule="exact"/>
        </w:trPr>
        <w:tc>
          <w:tcPr>
            <w:tcW w:w="2615"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可供出售金融资产公允价值变动</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3"/>
              <w:jc w:val="center"/>
              <w:rPr>
                <w:rFonts w:ascii="Arial" w:hAnsi="Arial" w:cs="Arial" w:eastAsia="Arial" w:hint="default"/>
                <w:sz w:val="18"/>
                <w:szCs w:val="18"/>
              </w:rPr>
            </w:pPr>
            <w:r>
              <w:rPr>
                <w:rFonts w:ascii="Arial"/>
                <w:sz w:val="18"/>
              </w:rPr>
              <w:t>(k)</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96"/>
              <w:jc w:val="right"/>
              <w:rPr>
                <w:rFonts w:ascii="Arial" w:hAnsi="Arial" w:cs="Arial" w:eastAsia="Arial" w:hint="default"/>
                <w:sz w:val="18"/>
                <w:szCs w:val="18"/>
              </w:rPr>
            </w:pPr>
            <w:r>
              <w:rPr>
                <w:rFonts w:ascii="Arial"/>
                <w:spacing w:val="-1"/>
                <w:sz w:val="18"/>
              </w:rPr>
              <w:t>11,322,242</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7"/>
              <w:jc w:val="center"/>
              <w:rPr>
                <w:rFonts w:ascii="Arial" w:hAnsi="Arial" w:cs="Arial" w:eastAsia="Arial" w:hint="default"/>
                <w:sz w:val="18"/>
                <w:szCs w:val="18"/>
              </w:rPr>
            </w:pPr>
            <w:r>
              <w:rPr>
                <w:rFonts w:ascii="Arial"/>
                <w:sz w:val="18"/>
              </w:rPr>
              <w:t>17,929,693</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3"/>
              <w:jc w:val="right"/>
              <w:rPr>
                <w:rFonts w:ascii="Arial" w:hAnsi="Arial" w:cs="Arial" w:eastAsia="Arial" w:hint="default"/>
                <w:sz w:val="18"/>
                <w:szCs w:val="18"/>
              </w:rPr>
            </w:pPr>
            <w:r>
              <w:rPr>
                <w:rFonts w:ascii="Arial"/>
                <w:w w:val="99"/>
                <w:sz w:val="18"/>
              </w:rPr>
              <w:t>-</w:t>
            </w:r>
            <w:r>
              <w:rPr>
                <w:rFonts w:ascii="Arial"/>
                <w:sz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Arial" w:hAnsi="Arial" w:cs="Arial" w:eastAsia="Arial" w:hint="default"/>
                <w:sz w:val="18"/>
                <w:szCs w:val="18"/>
              </w:rPr>
            </w:pPr>
            <w:r>
              <w:rPr>
                <w:rFonts w:ascii="Arial"/>
                <w:w w:val="99"/>
                <w:sz w:val="18"/>
              </w:rPr>
              <w:t>-</w:t>
            </w:r>
            <w:r>
              <w:rPr>
                <w:rFonts w:ascii="Arial"/>
                <w:sz w:val="18"/>
              </w:rPr>
            </w:r>
          </w:p>
        </w:tc>
      </w:tr>
      <w:tr>
        <w:trPr>
          <w:trHeight w:val="233" w:hRule="exact"/>
        </w:trPr>
        <w:tc>
          <w:tcPr>
            <w:tcW w:w="2615" w:type="dxa"/>
            <w:tcBorders>
              <w:top w:val="nil" w:sz="6" w:space="0" w:color="auto"/>
              <w:left w:val="nil" w:sz="6" w:space="0" w:color="auto"/>
              <w:bottom w:val="nil" w:sz="6" w:space="0" w:color="auto"/>
              <w:right w:val="nil" w:sz="6" w:space="0" w:color="auto"/>
            </w:tcBorders>
          </w:tcPr>
          <w:p>
            <w:pPr>
              <w:pStyle w:val="TableParagraph"/>
              <w:spacing w:line="195" w:lineRule="exact"/>
              <w:ind w:left="35" w:right="0"/>
              <w:jc w:val="left"/>
              <w:rPr>
                <w:rFonts w:ascii="宋体" w:hAnsi="宋体" w:cs="宋体" w:eastAsia="宋体" w:hint="default"/>
                <w:sz w:val="18"/>
                <w:szCs w:val="18"/>
              </w:rPr>
            </w:pPr>
            <w:r>
              <w:rPr>
                <w:rFonts w:ascii="宋体" w:hAnsi="宋体" w:cs="宋体" w:eastAsia="宋体" w:hint="default"/>
                <w:sz w:val="18"/>
                <w:szCs w:val="18"/>
              </w:rPr>
              <w:t>固定资产计提折旧的核算差异</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60" w:right="0"/>
              <w:jc w:val="left"/>
              <w:rPr>
                <w:rFonts w:ascii="Arial" w:hAnsi="Arial" w:cs="Arial" w:eastAsia="Arial" w:hint="default"/>
                <w:sz w:val="18"/>
                <w:szCs w:val="18"/>
              </w:rPr>
            </w:pPr>
            <w:r>
              <w:rPr>
                <w:rFonts w:ascii="Arial"/>
                <w:sz w:val="18"/>
              </w:rPr>
              <w:t>(a)</w:t>
            </w:r>
            <w:r>
              <w:rPr>
                <w:rFonts w:ascii="Arial"/>
                <w:spacing w:val="-6"/>
                <w:sz w:val="18"/>
              </w:rPr>
              <w:t> </w:t>
            </w:r>
            <w:r>
              <w:rPr>
                <w:rFonts w:ascii="Arial"/>
                <w:sz w:val="18"/>
              </w:rPr>
              <w:t>(i)</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96"/>
              <w:jc w:val="right"/>
              <w:rPr>
                <w:rFonts w:ascii="Arial" w:hAnsi="Arial" w:cs="Arial" w:eastAsia="Arial" w:hint="default"/>
                <w:sz w:val="18"/>
                <w:szCs w:val="18"/>
              </w:rPr>
            </w:pPr>
            <w:r>
              <w:rPr>
                <w:rFonts w:ascii="Arial"/>
                <w:spacing w:val="-1"/>
                <w:sz w:val="18"/>
              </w:rPr>
              <w:t>10,845,741</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92" w:right="0"/>
              <w:jc w:val="center"/>
              <w:rPr>
                <w:rFonts w:ascii="Arial" w:hAnsi="Arial" w:cs="Arial" w:eastAsia="Arial" w:hint="default"/>
                <w:sz w:val="18"/>
                <w:szCs w:val="18"/>
              </w:rPr>
            </w:pPr>
            <w:r>
              <w:rPr>
                <w:rFonts w:ascii="Arial"/>
                <w:sz w:val="18"/>
              </w:rPr>
              <w:t>1,626,861</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20"/>
              <w:jc w:val="right"/>
              <w:rPr>
                <w:rFonts w:ascii="Arial" w:hAnsi="Arial" w:cs="Arial" w:eastAsia="Arial" w:hint="default"/>
                <w:sz w:val="18"/>
                <w:szCs w:val="18"/>
              </w:rPr>
            </w:pPr>
            <w:r>
              <w:rPr>
                <w:rFonts w:ascii="Arial"/>
                <w:spacing w:val="-1"/>
                <w:sz w:val="18"/>
              </w:rPr>
              <w:t>11,879,508</w:t>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Arial" w:hAnsi="Arial" w:cs="Arial" w:eastAsia="Arial" w:hint="default"/>
                <w:sz w:val="18"/>
                <w:szCs w:val="18"/>
              </w:rPr>
            </w:pPr>
            <w:r>
              <w:rPr>
                <w:rFonts w:ascii="Arial"/>
                <w:spacing w:val="-1"/>
                <w:sz w:val="18"/>
              </w:rPr>
              <w:t>2,969,877</w:t>
            </w:r>
          </w:p>
        </w:tc>
      </w:tr>
      <w:tr>
        <w:trPr>
          <w:trHeight w:val="218" w:hRule="exact"/>
        </w:trPr>
        <w:tc>
          <w:tcPr>
            <w:tcW w:w="2615" w:type="dxa"/>
            <w:tcBorders>
              <w:top w:val="nil" w:sz="6" w:space="0" w:color="auto"/>
              <w:left w:val="nil" w:sz="6" w:space="0" w:color="auto"/>
              <w:bottom w:val="nil" w:sz="6" w:space="0" w:color="auto"/>
              <w:right w:val="nil" w:sz="6" w:space="0" w:color="auto"/>
            </w:tcBorders>
          </w:tcPr>
          <w:p>
            <w:pPr>
              <w:pStyle w:val="TableParagraph"/>
              <w:spacing w:line="196" w:lineRule="exact"/>
              <w:ind w:left="35" w:right="0"/>
              <w:jc w:val="left"/>
              <w:rPr>
                <w:rFonts w:ascii="宋体" w:hAnsi="宋体" w:cs="宋体" w:eastAsia="宋体" w:hint="default"/>
                <w:sz w:val="18"/>
                <w:szCs w:val="18"/>
              </w:rPr>
            </w:pPr>
            <w:r>
              <w:rPr>
                <w:rFonts w:ascii="宋体" w:hAnsi="宋体" w:cs="宋体" w:eastAsia="宋体" w:hint="default"/>
                <w:sz w:val="18"/>
                <w:szCs w:val="18"/>
              </w:rPr>
              <w:t>应收款项坏账准备</w:t>
            </w:r>
          </w:p>
        </w:tc>
        <w:tc>
          <w:tcPr>
            <w:tcW w:w="78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2"/>
              <w:jc w:val="center"/>
              <w:rPr>
                <w:rFonts w:ascii="Arial" w:hAnsi="Arial" w:cs="Arial" w:eastAsia="Arial" w:hint="default"/>
                <w:sz w:val="18"/>
                <w:szCs w:val="18"/>
              </w:rPr>
            </w:pPr>
            <w:r>
              <w:rPr>
                <w:rFonts w:ascii="Arial"/>
                <w:sz w:val="18"/>
              </w:rPr>
              <w:t>(a)</w:t>
            </w:r>
          </w:p>
        </w:tc>
        <w:tc>
          <w:tcPr>
            <w:tcW w:w="159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95"/>
              <w:jc w:val="right"/>
              <w:rPr>
                <w:rFonts w:ascii="Arial" w:hAnsi="Arial" w:cs="Arial" w:eastAsia="Arial" w:hint="default"/>
                <w:sz w:val="18"/>
                <w:szCs w:val="18"/>
              </w:rPr>
            </w:pPr>
            <w:r>
              <w:rPr>
                <w:rFonts w:ascii="Arial"/>
                <w:spacing w:val="-1"/>
                <w:sz w:val="18"/>
              </w:rPr>
              <w:t>7,400,113</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3" w:right="0"/>
              <w:jc w:val="center"/>
              <w:rPr>
                <w:rFonts w:ascii="Arial" w:hAnsi="Arial" w:cs="Arial" w:eastAsia="Arial" w:hint="default"/>
                <w:sz w:val="18"/>
                <w:szCs w:val="18"/>
              </w:rPr>
            </w:pPr>
            <w:r>
              <w:rPr>
                <w:rFonts w:ascii="Arial"/>
                <w:sz w:val="18"/>
              </w:rPr>
              <w:t>1,110,017</w:t>
            </w:r>
          </w:p>
        </w:tc>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20"/>
              <w:jc w:val="right"/>
              <w:rPr>
                <w:rFonts w:ascii="Arial" w:hAnsi="Arial" w:cs="Arial" w:eastAsia="Arial" w:hint="default"/>
                <w:sz w:val="18"/>
                <w:szCs w:val="18"/>
              </w:rPr>
            </w:pPr>
            <w:r>
              <w:rPr>
                <w:rFonts w:ascii="Arial"/>
                <w:spacing w:val="-1"/>
                <w:sz w:val="18"/>
              </w:rPr>
              <w:t>5,962,072</w:t>
            </w:r>
            <w:r>
              <w:rPr>
                <w:rFonts w:ascii="Arial"/>
                <w:sz w:val="18"/>
              </w:rPr>
            </w:r>
          </w:p>
        </w:tc>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Arial" w:hAnsi="Arial" w:cs="Arial" w:eastAsia="Arial" w:hint="default"/>
                <w:sz w:val="18"/>
                <w:szCs w:val="18"/>
              </w:rPr>
            </w:pPr>
            <w:r>
              <w:rPr>
                <w:rFonts w:ascii="Arial"/>
                <w:spacing w:val="-1"/>
                <w:sz w:val="18"/>
              </w:rPr>
              <w:t>1,490,518</w:t>
            </w:r>
          </w:p>
        </w:tc>
      </w:tr>
    </w:tbl>
    <w:p>
      <w:pPr>
        <w:tabs>
          <w:tab w:pos="3909" w:val="left" w:leader="none"/>
          <w:tab w:pos="4429" w:val="left" w:leader="none"/>
          <w:tab w:pos="6024" w:val="left" w:leader="none"/>
          <w:tab w:pos="8375" w:val="left" w:leader="none"/>
          <w:tab w:pos="9721" w:val="left" w:leader="none"/>
          <w:tab w:pos="9899" w:val="left" w:leader="none"/>
        </w:tabs>
        <w:spacing w:line="232" w:lineRule="exact" w:before="0"/>
        <w:ind w:left="753" w:right="0" w:firstLine="0"/>
        <w:jc w:val="left"/>
        <w:rPr>
          <w:rFonts w:ascii="Arial" w:hAnsi="Arial" w:cs="Arial" w:eastAsia="Arial" w:hint="default"/>
          <w:sz w:val="18"/>
          <w:szCs w:val="18"/>
        </w:rPr>
      </w:pPr>
      <w:r>
        <w:rPr>
          <w:rFonts w:ascii="宋体" w:hAnsi="宋体" w:cs="宋体" w:eastAsia="宋体" w:hint="default"/>
          <w:position w:val="1"/>
          <w:sz w:val="18"/>
          <w:szCs w:val="18"/>
        </w:rPr>
        <w:t>其他</w:t>
        <w:tab/>
      </w:r>
      <w:r>
        <w:rPr>
          <w:rFonts w:ascii="Arial" w:hAnsi="Arial" w:cs="Arial" w:eastAsia="Arial" w:hint="default"/>
          <w:sz w:val="18"/>
          <w:szCs w:val="18"/>
        </w:rPr>
      </w:r>
      <w:r>
        <w:rPr>
          <w:rFonts w:ascii="Arial" w:hAnsi="Arial" w:cs="Arial" w:eastAsia="Arial" w:hint="default"/>
          <w:sz w:val="18"/>
          <w:szCs w:val="18"/>
          <w:u w:val="single" w:color="000000"/>
        </w:rPr>
        <w:t> </w:t>
        <w:tab/>
      </w:r>
      <w:r>
        <w:rPr>
          <w:rFonts w:ascii="Arial" w:hAnsi="Arial" w:cs="Arial" w:eastAsia="Arial" w:hint="default"/>
          <w:spacing w:val="-1"/>
          <w:sz w:val="18"/>
          <w:szCs w:val="18"/>
          <w:u w:val="single" w:color="000000"/>
        </w:rPr>
        <w:t>149,244,898</w:t>
      </w:r>
      <w:r>
        <w:rPr>
          <w:rFonts w:ascii="Arial" w:hAnsi="Arial" w:cs="Arial" w:eastAsia="Arial" w:hint="default"/>
          <w:spacing w:val="-1"/>
          <w:sz w:val="18"/>
          <w:szCs w:val="18"/>
        </w:rPr>
      </w:r>
      <w:r>
        <w:rPr>
          <w:rFonts w:ascii="Arial" w:hAnsi="Arial" w:cs="Arial" w:eastAsia="Arial" w:hint="default"/>
          <w:spacing w:val="-1"/>
          <w:sz w:val="18"/>
          <w:szCs w:val="18"/>
          <w:u w:val="single" w:color="000000"/>
        </w:rPr>
        <w:t> </w:t>
        <w:tab/>
        <w:t>37,311,225</w:t>
        <w:tab/>
      </w:r>
      <w:r>
        <w:rPr>
          <w:rFonts w:ascii="Arial" w:hAnsi="Arial" w:cs="Arial" w:eastAsia="Arial" w:hint="default"/>
          <w:sz w:val="18"/>
          <w:szCs w:val="18"/>
          <w:u w:val="single" w:color="000000"/>
        </w:rPr>
        <w:t>-</w:t>
      </w:r>
      <w:r>
        <w:rPr>
          <w:rFonts w:ascii="Arial" w:hAnsi="Arial" w:cs="Arial" w:eastAsia="Arial" w:hint="default"/>
          <w:sz w:val="18"/>
          <w:szCs w:val="18"/>
        </w:rPr>
      </w:r>
      <w:r>
        <w:rPr>
          <w:rFonts w:ascii="Arial" w:hAnsi="Arial" w:cs="Arial" w:eastAsia="Arial" w:hint="default"/>
          <w:sz w:val="18"/>
          <w:szCs w:val="18"/>
          <w:u w:val="single" w:color="000000"/>
        </w:rPr>
        <w:t> </w:t>
        <w:tab/>
        <w:t>-</w:t>
        <w:tab/>
      </w:r>
      <w:r>
        <w:rPr>
          <w:rFonts w:ascii="Arial" w:hAnsi="Arial" w:cs="Arial" w:eastAsia="Arial" w:hint="default"/>
          <w:sz w:val="18"/>
          <w:szCs w:val="18"/>
        </w:rPr>
      </w:r>
    </w:p>
    <w:p>
      <w:pPr>
        <w:tabs>
          <w:tab w:pos="4429" w:val="left" w:leader="none"/>
          <w:tab w:pos="6024" w:val="left" w:leader="none"/>
          <w:tab w:pos="7437" w:val="left" w:leader="none"/>
          <w:tab w:pos="8882" w:val="left" w:leader="none"/>
        </w:tabs>
        <w:spacing w:line="254" w:lineRule="exact" w:before="0"/>
        <w:ind w:left="753" w:right="0" w:firstLine="0"/>
        <w:jc w:val="left"/>
        <w:rPr>
          <w:rFonts w:ascii="Arial" w:hAnsi="Arial" w:cs="Arial" w:eastAsia="Arial" w:hint="default"/>
          <w:sz w:val="18"/>
          <w:szCs w:val="18"/>
        </w:rPr>
      </w:pPr>
      <w:r>
        <w:rPr>
          <w:rFonts w:ascii="宋体" w:hAnsi="宋体" w:cs="宋体" w:eastAsia="宋体" w:hint="default"/>
          <w:position w:val="1"/>
          <w:sz w:val="18"/>
          <w:szCs w:val="18"/>
        </w:rPr>
        <w:t>小计</w:t>
        <w:tab/>
      </w:r>
      <w:r>
        <w:rPr>
          <w:rFonts w:ascii="Arial" w:hAnsi="Arial" w:cs="Arial" w:eastAsia="Arial" w:hint="default"/>
          <w:spacing w:val="-1"/>
          <w:sz w:val="18"/>
          <w:szCs w:val="18"/>
        </w:rPr>
        <w:t>310,979,529</w:t>
        <w:tab/>
        <w:t>80,634,285</w:t>
        <w:tab/>
        <w:t>105,164,641</w:t>
        <w:tab/>
        <w:t>26,291,160</w:t>
      </w:r>
    </w:p>
    <w:p>
      <w:pPr>
        <w:spacing w:line="240" w:lineRule="auto" w:before="7"/>
        <w:rPr>
          <w:rFonts w:ascii="Arial" w:hAnsi="Arial" w:cs="Arial" w:eastAsia="Arial" w:hint="default"/>
          <w:sz w:val="11"/>
          <w:szCs w:val="11"/>
        </w:rPr>
      </w:pPr>
    </w:p>
    <w:p>
      <w:pPr>
        <w:tabs>
          <w:tab w:pos="4218" w:val="left" w:leader="none"/>
          <w:tab w:pos="5864" w:val="left" w:leader="none"/>
          <w:tab w:pos="7377" w:val="left" w:leader="none"/>
          <w:tab w:pos="8822" w:val="left" w:leader="none"/>
        </w:tabs>
        <w:spacing w:before="47"/>
        <w:ind w:left="582" w:right="0" w:firstLine="0"/>
        <w:jc w:val="left"/>
        <w:rPr>
          <w:rFonts w:ascii="Arial" w:hAnsi="Arial" w:cs="Arial" w:eastAsia="Arial" w:hint="default"/>
          <w:sz w:val="18"/>
          <w:szCs w:val="18"/>
        </w:rPr>
      </w:pPr>
      <w:r>
        <w:rPr>
          <w:rFonts w:ascii="宋体" w:hAnsi="宋体" w:cs="宋体" w:eastAsia="宋体" w:hint="default"/>
          <w:position w:val="1"/>
          <w:sz w:val="18"/>
          <w:szCs w:val="18"/>
        </w:rPr>
        <w:t>净值</w:t>
        <w:tab/>
      </w:r>
      <w:r>
        <w:rPr>
          <w:rFonts w:ascii="Arial" w:hAnsi="Arial" w:cs="Arial" w:eastAsia="Arial" w:hint="default"/>
          <w:spacing w:val="-1"/>
          <w:sz w:val="18"/>
          <w:szCs w:val="18"/>
        </w:rPr>
        <w:t>(1,128,801,822)</w:t>
        <w:tab/>
        <w:t>(266,278,342)</w:t>
        <w:tab/>
        <w:t>(208,134,769)</w:t>
        <w:tab/>
        <w:t>(40,086,141)</w:t>
      </w:r>
      <w:r>
        <w:rPr>
          <w:rFonts w:ascii="Arial" w:hAnsi="Arial" w:cs="Arial" w:eastAsia="Arial" w:hint="default"/>
          <w:sz w:val="18"/>
          <w:szCs w:val="18"/>
        </w:rPr>
      </w:r>
    </w:p>
    <w:p>
      <w:pPr>
        <w:spacing w:line="43" w:lineRule="exact"/>
        <w:ind w:left="3895" w:right="0" w:firstLine="0"/>
        <w:rPr>
          <w:rFonts w:ascii="Arial" w:hAnsi="Arial" w:cs="Arial" w:eastAsia="Arial" w:hint="default"/>
          <w:sz w:val="4"/>
          <w:szCs w:val="4"/>
        </w:rPr>
      </w:pPr>
      <w:r>
        <w:rPr>
          <w:rFonts w:ascii="Arial" w:hAnsi="Arial" w:cs="Arial" w:eastAsia="Arial" w:hint="default"/>
          <w:position w:val="0"/>
          <w:sz w:val="4"/>
          <w:szCs w:val="4"/>
        </w:rPr>
        <w:pict>
          <v:group style="width:301pt;height:2.2pt;mso-position-horizontal-relative:char;mso-position-vertical-relative:line" coordorigin="0,0" coordsize="6020,44">
            <v:group style="position:absolute;left:7;top:36;width:1680;height:2" coordorigin="7,36" coordsize="1680,2">
              <v:shape style="position:absolute;left:7;top:36;width:1680;height:2" coordorigin="7,36" coordsize="1680,0" path="m7,36l1687,36e" filled="false" stroked="true" strokeweight=".72pt" strokecolor="#000000">
                <v:path arrowok="t"/>
              </v:shape>
            </v:group>
            <v:group style="position:absolute;left:7;top:7;width:1680;height:2" coordorigin="7,7" coordsize="1680,2">
              <v:shape style="position:absolute;left:7;top:7;width:1680;height:2" coordorigin="7,7" coordsize="1680,0" path="m7,7l1687,7e" filled="false" stroked="true" strokeweight=".72pt" strokecolor="#000000">
                <v:path arrowok="t"/>
              </v:shape>
            </v:group>
            <v:group style="position:absolute;left:1742;top:36;width:1386;height:2" coordorigin="1742,36" coordsize="1386,2">
              <v:shape style="position:absolute;left:1742;top:36;width:1386;height:2" coordorigin="1742,36" coordsize="1386,0" path="m1742,36l3128,36e" filled="false" stroked="true" strokeweight=".72pt" strokecolor="#000000">
                <v:path arrowok="t"/>
              </v:shape>
            </v:group>
            <v:group style="position:absolute;left:1742;top:7;width:1386;height:2" coordorigin="1742,7" coordsize="1386,2">
              <v:shape style="position:absolute;left:1742;top:7;width:1386;height:2" coordorigin="1742,7" coordsize="1386,0" path="m1742,7l3128,7e" filled="false" stroked="true" strokeweight=".72pt" strokecolor="#000000">
                <v:path arrowok="t"/>
              </v:shape>
            </v:group>
            <v:group style="position:absolute;left:3156;top:36;width:1512;height:2" coordorigin="3156,36" coordsize="1512,2">
              <v:shape style="position:absolute;left:3156;top:36;width:1512;height:2" coordorigin="3156,36" coordsize="1512,0" path="m3156,36l4668,36e" filled="false" stroked="true" strokeweight=".72pt" strokecolor="#000000">
                <v:path arrowok="t"/>
              </v:shape>
            </v:group>
            <v:group style="position:absolute;left:3156;top:7;width:1512;height:2" coordorigin="3156,7" coordsize="1512,2">
              <v:shape style="position:absolute;left:3156;top:7;width:1512;height:2" coordorigin="3156,7" coordsize="1512,0" path="m3156,7l4668,7e" filled="false" stroked="true" strokeweight=".72pt" strokecolor="#000000">
                <v:path arrowok="t"/>
              </v:shape>
            </v:group>
            <v:group style="position:absolute;left:4724;top:36;width:1288;height:2" coordorigin="4724,36" coordsize="1288,2">
              <v:shape style="position:absolute;left:4724;top:36;width:1288;height:2" coordorigin="4724,36" coordsize="1288,0" path="m4724,36l6012,36e" filled="false" stroked="true" strokeweight=".72pt" strokecolor="#000000">
                <v:path arrowok="t"/>
              </v:shape>
            </v:group>
            <v:group style="position:absolute;left:4724;top:7;width:1288;height:2" coordorigin="4724,7" coordsize="1288,2">
              <v:shape style="position:absolute;left:4724;top:7;width:1288;height:2" coordorigin="4724,7" coordsize="1288,0" path="m4724,7l6012,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10"/>
        <w:rPr>
          <w:rFonts w:ascii="Arial" w:hAnsi="Arial" w:cs="Arial" w:eastAsia="Arial" w:hint="default"/>
          <w:sz w:val="11"/>
          <w:szCs w:val="11"/>
        </w:rPr>
      </w:pPr>
    </w:p>
    <w:p>
      <w:pPr>
        <w:pStyle w:val="BodyText"/>
        <w:spacing w:line="286" w:lineRule="exact" w:before="60"/>
        <w:ind w:left="569" w:right="471"/>
        <w:jc w:val="both"/>
      </w:pPr>
      <w:r>
        <w:rPr>
          <w:w w:val="95"/>
        </w:rPr>
        <w:t>以上递延所得税资产及负债是根据本集团在各期间，因暂时性差异对所得税影响金额计算。在</w:t>
      </w:r>
      <w:r>
        <w:rPr>
          <w:spacing w:val="11"/>
          <w:w w:val="95"/>
        </w:rPr>
        <w:t> </w:t>
      </w:r>
      <w:r>
        <w:rPr>
          <w:spacing w:val="11"/>
          <w:w w:val="95"/>
        </w:rPr>
      </w:r>
      <w:r>
        <w:rPr>
          <w:w w:val="95"/>
        </w:rPr>
        <w:t>资产负债表债务法下，暂时性差异对所得税的影响金额，在考虑了当时有关税务法规及市场发</w:t>
      </w:r>
      <w:r>
        <w:rPr>
          <w:spacing w:val="11"/>
          <w:w w:val="95"/>
        </w:rPr>
        <w:t> </w:t>
      </w:r>
      <w:r>
        <w:rPr>
          <w:spacing w:val="11"/>
          <w:w w:val="95"/>
        </w:rPr>
      </w:r>
      <w:r>
        <w:rPr/>
        <w:t>展情况，可以递延和分配到以后各期。这些暂时性差异的详细说明如下：</w:t>
      </w:r>
    </w:p>
    <w:p>
      <w:pPr>
        <w:pStyle w:val="BodyText"/>
        <w:spacing w:line="235" w:lineRule="auto" w:before="175"/>
        <w:ind w:left="569" w:right="435" w:hanging="463"/>
        <w:jc w:val="left"/>
      </w:pPr>
      <w:r>
        <w:rPr>
          <w:rFonts w:ascii="Arial" w:hAnsi="Arial" w:cs="Arial" w:eastAsia="Arial" w:hint="default"/>
        </w:rPr>
        <w:t>(a)</w:t>
      </w:r>
      <w:r>
        <w:rPr>
          <w:rFonts w:ascii="Arial" w:hAnsi="Arial" w:cs="Arial" w:eastAsia="Arial" w:hint="default"/>
          <w:spacing w:val="9"/>
        </w:rPr>
        <w:t> </w:t>
      </w:r>
      <w:r>
        <w:rPr/>
        <w:t>本公司于资产负债表日对集团内受同一纳税征管部门管理的同一纳税实体的递延所得税资产</w:t>
      </w:r>
      <w:r>
        <w:rPr>
          <w:w w:val="99"/>
        </w:rPr>
        <w:t> </w:t>
      </w:r>
      <w:r>
        <w:rPr/>
        <w:t>和递延所得税负债的余额进行分析，如果递延所得税资产的余额大于递延所得税负债的余额，</w:t>
      </w:r>
      <w:r>
        <w:rPr>
          <w:w w:val="99"/>
        </w:rPr>
        <w:t> </w:t>
      </w:r>
      <w:r>
        <w:rPr/>
        <w:t>则将递延所得税资产与递延所得税负债抵销后的净额列示于资产负债表的“递延所得税资产”</w:t>
      </w:r>
      <w:r>
        <w:rPr>
          <w:w w:val="99"/>
        </w:rPr>
        <w:t> </w:t>
      </w:r>
      <w:r>
        <w:rPr>
          <w:w w:val="95"/>
        </w:rPr>
        <w:t>项下；如果递延所得税资产的余额小于递延所得税负债的余额，则将递延所得税资产与递延所</w:t>
      </w:r>
      <w:r>
        <w:rPr>
          <w:w w:val="99"/>
        </w:rPr>
        <w:t> </w:t>
      </w:r>
      <w:r>
        <w:rPr/>
        <w:t>得税负债抵销后的净额列示于资产负债表的“递延所得税负债”项下。</w:t>
      </w:r>
    </w:p>
    <w:p>
      <w:pPr>
        <w:spacing w:line="240" w:lineRule="auto" w:before="6"/>
        <w:rPr>
          <w:rFonts w:ascii="宋体" w:hAnsi="宋体" w:cs="宋体" w:eastAsia="宋体" w:hint="default"/>
          <w:sz w:val="15"/>
          <w:szCs w:val="15"/>
        </w:rPr>
      </w:pPr>
    </w:p>
    <w:p>
      <w:pPr>
        <w:pStyle w:val="BodyText"/>
        <w:spacing w:line="235" w:lineRule="auto"/>
        <w:ind w:left="569" w:right="470" w:hanging="448"/>
        <w:jc w:val="both"/>
      </w:pPr>
      <w:r>
        <w:rPr>
          <w:rFonts w:ascii="Arial" w:hAnsi="Arial" w:cs="Arial" w:eastAsia="Arial" w:hint="default"/>
        </w:rPr>
        <w:t>(b)</w:t>
      </w:r>
      <w:r>
        <w:rPr>
          <w:rFonts w:ascii="Arial" w:hAnsi="Arial" w:cs="Arial" w:eastAsia="Arial" w:hint="default"/>
          <w:spacing w:val="35"/>
        </w:rPr>
        <w:t> </w:t>
      </w:r>
      <w:r>
        <w:rPr/>
        <w:t>本集团于资产负债表日，对有关资产减值准备是否能在未来为本集团抵扣以后年度的所得税进</w:t>
      </w:r>
      <w:r>
        <w:rPr>
          <w:w w:val="99"/>
        </w:rPr>
        <w:t> </w:t>
      </w:r>
      <w:r>
        <w:rPr>
          <w:w w:val="95"/>
        </w:rPr>
        <w:t>行评估。按税务法规的有关规定，当期计提的各项资产减值准备虽然不得在当期税前列支，但</w:t>
      </w:r>
      <w:r>
        <w:rPr>
          <w:w w:val="99"/>
        </w:rPr>
        <w:t> </w:t>
      </w:r>
      <w:r>
        <w:rPr>
          <w:w w:val="95"/>
        </w:rPr>
        <w:t>期后可于相关资产的减值损失实现时在税前列支。这些已减值的资产按纳税的需要根据减值前</w:t>
      </w:r>
      <w:r>
        <w:rPr>
          <w:w w:val="99"/>
        </w:rPr>
        <w:t> </w:t>
      </w:r>
      <w:r>
        <w:rPr>
          <w:w w:val="95"/>
        </w:rPr>
        <w:t>的金额通过折旧和摊销在以后年度抵减应纳税所得额。因此本集团对确信可于未来期间实现的</w:t>
      </w:r>
      <w:r>
        <w:rPr>
          <w:w w:val="99"/>
        </w:rPr>
        <w:t> </w:t>
      </w:r>
      <w:r>
        <w:rPr/>
        <w:t>资产减值准备对所得税的影响，确认递延所得税资产。本集团于 </w:t>
      </w:r>
      <w:r>
        <w:rPr>
          <w:rFonts w:ascii="Arial" w:hAnsi="Arial" w:cs="Arial" w:eastAsia="Arial" w:hint="default"/>
        </w:rPr>
        <w:t>2008</w:t>
      </w:r>
      <w:r>
        <w:rPr>
          <w:rFonts w:ascii="Arial" w:hAnsi="Arial" w:cs="Arial" w:eastAsia="Arial" w:hint="default"/>
          <w:spacing w:val="-23"/>
        </w:rPr>
        <w:t> </w:t>
      </w:r>
      <w:r>
        <w:rPr/>
        <w:t>年度对无线市话业务相</w:t>
      </w:r>
    </w:p>
    <w:p>
      <w:pPr>
        <w:pStyle w:val="BodyText"/>
        <w:spacing w:line="277" w:lineRule="exact"/>
        <w:ind w:left="569" w:right="0"/>
        <w:jc w:val="both"/>
      </w:pPr>
      <w:r>
        <w:rPr/>
        <w:t>关资产及其他资产进行了减值评估并计提了减值准备，故于 </w:t>
      </w:r>
      <w:r>
        <w:rPr>
          <w:rFonts w:ascii="Arial" w:hAnsi="Arial" w:cs="Arial" w:eastAsia="Arial" w:hint="default"/>
        </w:rPr>
        <w:t>2008</w:t>
      </w:r>
      <w:r>
        <w:rPr>
          <w:rFonts w:ascii="Arial" w:hAnsi="Arial" w:cs="Arial" w:eastAsia="Arial" w:hint="default"/>
          <w:spacing w:val="-23"/>
        </w:rPr>
        <w:t> </w:t>
      </w:r>
      <w:r>
        <w:rPr/>
        <w:t>年末确认了递延所得税资产</w:t>
      </w:r>
    </w:p>
    <w:p>
      <w:pPr>
        <w:pStyle w:val="BodyText"/>
        <w:spacing w:line="285" w:lineRule="exact"/>
        <w:ind w:left="569" w:right="0"/>
        <w:jc w:val="both"/>
      </w:pPr>
      <w:r>
        <w:rPr/>
        <w:t>余额约人民币</w:t>
      </w:r>
      <w:r>
        <w:rPr>
          <w:spacing w:val="-46"/>
        </w:rPr>
        <w:t> </w:t>
      </w:r>
      <w:r>
        <w:rPr>
          <w:rFonts w:ascii="Arial" w:hAnsi="Arial" w:cs="Arial" w:eastAsia="Arial" w:hint="default"/>
        </w:rPr>
        <w:t>30.28</w:t>
      </w:r>
      <w:r>
        <w:rPr>
          <w:rFonts w:ascii="Arial" w:hAnsi="Arial" w:cs="Arial" w:eastAsia="Arial" w:hint="default"/>
          <w:spacing w:val="3"/>
        </w:rPr>
        <w:t> </w:t>
      </w:r>
      <w:r>
        <w:rPr/>
        <w:t>亿元。于</w:t>
      </w:r>
      <w:r>
        <w:rPr>
          <w:spacing w:val="-47"/>
        </w:rPr>
        <w:t> </w:t>
      </w:r>
      <w:r>
        <w:rPr>
          <w:rFonts w:ascii="Arial" w:hAnsi="Arial" w:cs="Arial" w:eastAsia="Arial" w:hint="default"/>
        </w:rPr>
        <w:t>2009</w:t>
      </w:r>
      <w:r>
        <w:rPr>
          <w:rFonts w:ascii="Arial" w:hAnsi="Arial" w:cs="Arial" w:eastAsia="Arial" w:hint="default"/>
          <w:spacing w:val="3"/>
        </w:rPr>
        <w:t> </w:t>
      </w:r>
      <w:r>
        <w:rPr/>
        <w:t>年度，因按纳税的需要计提的折旧的因素转回上述减值准</w:t>
      </w:r>
    </w:p>
    <w:p>
      <w:pPr>
        <w:pStyle w:val="BodyText"/>
        <w:spacing w:line="295" w:lineRule="exact"/>
        <w:ind w:left="569" w:right="0"/>
        <w:jc w:val="both"/>
      </w:pPr>
      <w:r>
        <w:rPr/>
        <w:t>备对应的递延所得税资产约人民币</w:t>
      </w:r>
      <w:r>
        <w:rPr>
          <w:spacing w:val="-56"/>
        </w:rPr>
        <w:t> </w:t>
      </w:r>
      <w:r>
        <w:rPr>
          <w:rFonts w:ascii="Arial" w:hAnsi="Arial" w:cs="Arial" w:eastAsia="Arial" w:hint="default"/>
        </w:rPr>
        <w:t>8.9</w:t>
      </w:r>
      <w:r>
        <w:rPr>
          <w:rFonts w:ascii="Arial" w:hAnsi="Arial" w:cs="Arial" w:eastAsia="Arial" w:hint="default"/>
          <w:spacing w:val="-8"/>
        </w:rPr>
        <w:t> </w:t>
      </w:r>
      <w:r>
        <w:rPr/>
        <w:t>亿元。</w:t>
      </w:r>
    </w:p>
    <w:p>
      <w:pPr>
        <w:spacing w:after="0" w:line="295" w:lineRule="exact"/>
        <w:jc w:val="both"/>
        <w:sectPr>
          <w:headerReference w:type="default" r:id="rId120"/>
          <w:pgSz w:w="11910" w:h="16840"/>
          <w:pgMar w:header="1189" w:footer="752" w:top="4660" w:bottom="940" w:left="1260" w:right="600"/>
        </w:sectPr>
      </w:pPr>
    </w:p>
    <w:p>
      <w:pPr>
        <w:spacing w:line="240" w:lineRule="auto" w:before="12"/>
        <w:rPr>
          <w:rFonts w:ascii="宋体" w:hAnsi="宋体" w:cs="宋体" w:eastAsia="宋体" w:hint="default"/>
          <w:sz w:val="15"/>
          <w:szCs w:val="15"/>
        </w:rPr>
      </w:pPr>
    </w:p>
    <w:p>
      <w:pPr>
        <w:pStyle w:val="BodyText"/>
        <w:spacing w:line="232" w:lineRule="auto" w:before="39"/>
        <w:ind w:left="550" w:right="111" w:hanging="448"/>
        <w:jc w:val="both"/>
      </w:pPr>
      <w:r>
        <w:rPr>
          <w:rFonts w:ascii="Arial" w:hAnsi="Arial" w:cs="Arial" w:eastAsia="Arial" w:hint="default"/>
        </w:rPr>
        <w:t>(c)</w:t>
      </w:r>
      <w:r>
        <w:rPr>
          <w:rFonts w:ascii="Arial" w:hAnsi="Arial" w:cs="Arial" w:eastAsia="Arial" w:hint="default"/>
          <w:spacing w:val="50"/>
        </w:rPr>
        <w:t> </w:t>
      </w:r>
      <w:r>
        <w:rPr/>
        <w:t>应收款项坏账准备所对应的递延所得税资产主要由本集团计提的应收账款坏账准备产生。根据</w:t>
      </w:r>
      <w:r>
        <w:rPr>
          <w:w w:val="99"/>
        </w:rPr>
        <w:t> </w:t>
      </w:r>
      <w:r>
        <w:rPr>
          <w:w w:val="95"/>
        </w:rPr>
        <w:t>税收相关法规，实际坏账损失经向主管税务机关报备后可作为税前扣除项目。因此，本集团将</w:t>
      </w:r>
      <w:r>
        <w:rPr>
          <w:w w:val="99"/>
        </w:rPr>
        <w:t> </w:t>
      </w:r>
      <w:r>
        <w:rPr>
          <w:w w:val="95"/>
        </w:rPr>
        <w:t>尚未形成实际坏账损失的坏账准备所对应的所得税的影响确认为递延所得税资产，而将形成坏</w:t>
      </w:r>
      <w:r>
        <w:rPr>
          <w:w w:val="99"/>
        </w:rPr>
        <w:t> </w:t>
      </w:r>
      <w:r>
        <w:rPr/>
        <w:t>账损失的坏账准备向主管税务机关报备后于所得税前扣除，同时转回相应的递延所得税资产。</w:t>
      </w:r>
    </w:p>
    <w:p>
      <w:pPr>
        <w:spacing w:line="240" w:lineRule="auto" w:before="11"/>
        <w:rPr>
          <w:rFonts w:ascii="宋体" w:hAnsi="宋体" w:cs="宋体" w:eastAsia="宋体" w:hint="default"/>
          <w:sz w:val="19"/>
          <w:szCs w:val="19"/>
        </w:rPr>
      </w:pPr>
    </w:p>
    <w:p>
      <w:pPr>
        <w:pStyle w:val="BodyText"/>
        <w:spacing w:line="232" w:lineRule="auto"/>
        <w:ind w:left="550" w:right="131" w:hanging="448"/>
        <w:jc w:val="both"/>
      </w:pPr>
      <w:r>
        <w:rPr>
          <w:rFonts w:ascii="Arial" w:hAnsi="Arial" w:cs="Arial" w:eastAsia="Arial" w:hint="default"/>
        </w:rPr>
        <w:t>(d)</w:t>
      </w:r>
      <w:r>
        <w:rPr>
          <w:rFonts w:ascii="Arial" w:hAnsi="Arial" w:cs="Arial" w:eastAsia="Arial" w:hint="default"/>
          <w:spacing w:val="36"/>
        </w:rPr>
        <w:t> </w:t>
      </w:r>
      <w:r>
        <w:rPr/>
        <w:t>本集团对本期间已经发生但尚未支付的成本费用在合理估计的基础上进行预提。而根据中国税</w:t>
      </w:r>
      <w:r>
        <w:rPr>
          <w:w w:val="99"/>
        </w:rPr>
        <w:t> </w:t>
      </w:r>
      <w:r>
        <w:rPr>
          <w:w w:val="95"/>
        </w:rPr>
        <w:t>收法规的有关规定，成本费用应该按照实际发生额在税前列支，对于没有明确证据的预提费用</w:t>
      </w:r>
      <w:r>
        <w:rPr>
          <w:w w:val="99"/>
        </w:rPr>
        <w:t> </w:t>
      </w:r>
      <w:r>
        <w:rPr>
          <w:w w:val="95"/>
        </w:rPr>
        <w:t>不得在税前列支，因此本集团对估计预提的成本费用确认了相应的递延所得税资产，并在该等</w:t>
      </w:r>
      <w:r>
        <w:rPr>
          <w:w w:val="99"/>
        </w:rPr>
        <w:t> </w:t>
      </w:r>
      <w:r>
        <w:rPr/>
        <w:t>估计预提成本费用实际支付时，将有关递延所得税资产予以转回。</w:t>
      </w:r>
    </w:p>
    <w:p>
      <w:pPr>
        <w:spacing w:line="240" w:lineRule="auto" w:before="4"/>
        <w:rPr>
          <w:rFonts w:ascii="宋体" w:hAnsi="宋体" w:cs="宋体" w:eastAsia="宋体" w:hint="default"/>
          <w:sz w:val="21"/>
          <w:szCs w:val="21"/>
        </w:rPr>
      </w:pPr>
    </w:p>
    <w:p>
      <w:pPr>
        <w:pStyle w:val="BodyText"/>
        <w:spacing w:line="286" w:lineRule="exact"/>
        <w:ind w:left="550" w:right="131" w:hanging="448"/>
        <w:jc w:val="both"/>
      </w:pPr>
      <w:r>
        <w:rPr>
          <w:rFonts w:ascii="Arial" w:hAnsi="Arial" w:cs="Arial" w:eastAsia="Arial" w:hint="default"/>
        </w:rPr>
        <w:t>(e)</w:t>
      </w:r>
      <w:r>
        <w:rPr>
          <w:rFonts w:ascii="Arial" w:hAnsi="Arial" w:cs="Arial" w:eastAsia="Arial" w:hint="default"/>
          <w:spacing w:val="35"/>
        </w:rPr>
        <w:t> </w:t>
      </w:r>
      <w:r>
        <w:rPr/>
        <w:t>本集团对一次性不退还收入及与之相关的直接成本，在预计为客户提供服务的期限内进行递延</w:t>
      </w:r>
      <w:r>
        <w:rPr>
          <w:w w:val="99"/>
        </w:rPr>
        <w:t> </w:t>
      </w:r>
      <w:r>
        <w:rPr>
          <w:w w:val="95"/>
        </w:rPr>
        <w:t>及摊销，但税法要求上述收入及成本在完成开通服务时确认，由此产生的暂时性差异对所得税</w:t>
      </w:r>
      <w:r>
        <w:rPr>
          <w:w w:val="99"/>
        </w:rPr>
        <w:t> </w:t>
      </w:r>
      <w:r>
        <w:rPr/>
        <w:t>的影响分别确认为递延所得税资产和负债。</w:t>
      </w:r>
    </w:p>
    <w:p>
      <w:pPr>
        <w:spacing w:line="240" w:lineRule="auto" w:before="13"/>
        <w:rPr>
          <w:rFonts w:ascii="宋体" w:hAnsi="宋体" w:cs="宋体" w:eastAsia="宋体" w:hint="default"/>
          <w:sz w:val="17"/>
          <w:szCs w:val="17"/>
        </w:rPr>
      </w:pPr>
    </w:p>
    <w:p>
      <w:pPr>
        <w:pStyle w:val="BodyText"/>
        <w:spacing w:line="230" w:lineRule="auto"/>
        <w:ind w:left="592" w:right="130" w:hanging="476"/>
        <w:jc w:val="both"/>
      </w:pPr>
      <w:r>
        <w:rPr>
          <w:rFonts w:ascii="Arial" w:hAnsi="Arial" w:cs="Arial" w:eastAsia="Arial" w:hint="default"/>
          <w:w w:val="99"/>
        </w:rPr>
        <w:t>(f)</w:t>
      </w:r>
      <w:r>
        <w:rPr>
          <w:rFonts w:ascii="Arial" w:hAnsi="Arial" w:cs="Arial" w:eastAsia="Arial" w:hint="default"/>
          <w:spacing w:val="35"/>
          <w:w w:val="99"/>
        </w:rPr>
        <w:t> </w:t>
      </w:r>
      <w:r>
        <w:rPr>
          <w:w w:val="99"/>
        </w:rPr>
        <w:t>本集团于</w:t>
      </w:r>
      <w:r>
        <w:rPr>
          <w:spacing w:val="-53"/>
          <w:w w:val="99"/>
        </w:rPr>
        <w:t> </w:t>
      </w:r>
      <w:r>
        <w:rPr>
          <w:rFonts w:ascii="Arial" w:hAnsi="Arial" w:cs="Arial" w:eastAsia="Arial" w:hint="default"/>
          <w:w w:val="99"/>
        </w:rPr>
        <w:t>2008</w:t>
      </w:r>
      <w:r>
        <w:rPr>
          <w:rFonts w:ascii="Arial" w:hAnsi="Arial" w:cs="Arial" w:eastAsia="Arial" w:hint="default"/>
          <w:spacing w:val="-4"/>
          <w:w w:val="99"/>
        </w:rPr>
        <w:t> </w:t>
      </w:r>
      <w:r>
        <w:rPr>
          <w:w w:val="99"/>
        </w:rPr>
        <w:t>年度出售</w:t>
      </w:r>
      <w:r>
        <w:rPr>
          <w:spacing w:val="-53"/>
          <w:w w:val="99"/>
        </w:rPr>
        <w:t> </w:t>
      </w:r>
      <w:r>
        <w:rPr>
          <w:rFonts w:ascii="Arial" w:hAnsi="Arial" w:cs="Arial" w:eastAsia="Arial" w:hint="default"/>
          <w:spacing w:val="-1"/>
          <w:w w:val="99"/>
        </w:rPr>
        <w:t>CDMA</w:t>
      </w:r>
      <w:r>
        <w:rPr>
          <w:rFonts w:ascii="Arial" w:hAnsi="Arial" w:cs="Arial" w:eastAsia="Arial" w:hint="default"/>
          <w:spacing w:val="-4"/>
          <w:w w:val="99"/>
        </w:rPr>
        <w:t> </w:t>
      </w:r>
      <w:r>
        <w:rPr>
          <w:spacing w:val="-4"/>
          <w:w w:val="99"/>
        </w:rPr>
        <w:t>业务时，因承诺未来一段时间内向中国电信提供若干服务而确</w:t>
      </w:r>
      <w:r>
        <w:rPr>
          <w:w w:val="99"/>
        </w:rPr>
        <w:t> </w:t>
      </w:r>
      <w:r>
        <w:rPr/>
        <w:t>认了递延收益。因在税法下该收益于 </w:t>
      </w:r>
      <w:r>
        <w:rPr>
          <w:rFonts w:ascii="Arial" w:hAnsi="Arial" w:cs="Arial" w:eastAsia="Arial" w:hint="default"/>
        </w:rPr>
        <w:t>CDMA</w:t>
      </w:r>
      <w:r>
        <w:rPr>
          <w:rFonts w:ascii="Arial" w:hAnsi="Arial" w:cs="Arial" w:eastAsia="Arial" w:hint="default"/>
          <w:spacing w:val="-3"/>
        </w:rPr>
        <w:t> </w:t>
      </w:r>
      <w:r>
        <w:rPr/>
        <w:t>业务出售期间计入当期应税收入并缴纳所得税，</w:t>
      </w:r>
      <w:r>
        <w:rPr>
          <w:w w:val="99"/>
        </w:rPr>
        <w:t> </w:t>
      </w:r>
      <w:r>
        <w:rPr>
          <w:spacing w:val="-2"/>
        </w:rPr>
        <w:t>而在会计上该收益将在以后服务提供期间确认收入，由此产生的暂时性差异被确认了相关的递</w:t>
      </w:r>
      <w:r>
        <w:rPr>
          <w:w w:val="99"/>
        </w:rPr>
        <w:t> </w:t>
      </w:r>
      <w:r>
        <w:rPr/>
        <w:t>延所得税资产。</w:t>
      </w:r>
    </w:p>
    <w:p>
      <w:pPr>
        <w:spacing w:line="240" w:lineRule="auto" w:before="4"/>
        <w:rPr>
          <w:rFonts w:ascii="宋体" w:hAnsi="宋体" w:cs="宋体" w:eastAsia="宋体" w:hint="default"/>
          <w:sz w:val="21"/>
          <w:szCs w:val="21"/>
        </w:rPr>
      </w:pPr>
    </w:p>
    <w:p>
      <w:pPr>
        <w:pStyle w:val="BodyText"/>
        <w:spacing w:line="286" w:lineRule="exact"/>
        <w:ind w:left="592" w:right="130"/>
        <w:jc w:val="both"/>
      </w:pPr>
      <w:r>
        <w:rPr>
          <w:spacing w:val="-2"/>
        </w:rPr>
        <w:t>另外，本集团实施积分奖励计划，参照积分奖励的公允价值分配一部分从用户收取的或应收的</w:t>
      </w:r>
      <w:r>
        <w:rPr>
          <w:spacing w:val="-92"/>
        </w:rPr>
        <w:t> </w:t>
      </w:r>
      <w:r>
        <w:rPr>
          <w:spacing w:val="-92"/>
        </w:rPr>
      </w:r>
      <w:r>
        <w:rPr>
          <w:spacing w:val="-2"/>
        </w:rPr>
        <w:t>现金至该积分以确认递延收益，且在该积分被兑换时确认为收入。但是根据税法要求，当本集</w:t>
      </w:r>
      <w:r>
        <w:rPr>
          <w:spacing w:val="-93"/>
        </w:rPr>
        <w:t> </w:t>
      </w:r>
      <w:r>
        <w:rPr>
          <w:spacing w:val="-93"/>
        </w:rPr>
      </w:r>
      <w:r>
        <w:rPr>
          <w:spacing w:val="-2"/>
        </w:rPr>
        <w:t>团就向用户收取的或应收的现金时即已产生纳税义务，而非在积分兑换当期。因此期末未兑换</w:t>
      </w:r>
      <w:r>
        <w:rPr>
          <w:spacing w:val="-93"/>
        </w:rPr>
        <w:t> </w:t>
      </w:r>
      <w:r>
        <w:rPr>
          <w:spacing w:val="-93"/>
        </w:rPr>
      </w:r>
      <w:r>
        <w:rPr/>
        <w:t>的积分奖励计划的递延收益对应的所得税影响被确认为递延所得税资产。</w:t>
      </w:r>
    </w:p>
    <w:p>
      <w:pPr>
        <w:pStyle w:val="BodyText"/>
        <w:spacing w:line="230" w:lineRule="auto" w:before="189"/>
        <w:ind w:left="564" w:right="131" w:hanging="448"/>
        <w:jc w:val="both"/>
      </w:pPr>
      <w:r>
        <w:rPr>
          <w:rFonts w:ascii="Arial" w:hAnsi="Arial" w:cs="Arial" w:eastAsia="Arial" w:hint="default"/>
        </w:rPr>
        <w:t>(g)</w:t>
      </w:r>
      <w:r>
        <w:rPr>
          <w:rFonts w:ascii="Arial" w:hAnsi="Arial" w:cs="Arial" w:eastAsia="Arial" w:hint="default"/>
          <w:spacing w:val="22"/>
        </w:rPr>
        <w:t> </w:t>
      </w:r>
      <w:r>
        <w:rPr/>
        <w:t>本集团位于中国境内的若干子公司期末有未支付的工资。根据中国税收法规的有关规定，期末</w:t>
      </w:r>
      <w:r>
        <w:rPr>
          <w:w w:val="99"/>
        </w:rPr>
        <w:t> </w:t>
      </w:r>
      <w:r>
        <w:rPr>
          <w:spacing w:val="-1"/>
        </w:rPr>
        <w:t>未发放的工资薪金在以后期间实际发放时，经主管税务机关审核，可在实际发放期间企业所得</w:t>
      </w:r>
      <w:r>
        <w:rPr>
          <w:w w:val="99"/>
        </w:rPr>
        <w:t> </w:t>
      </w:r>
      <w:r>
        <w:rPr/>
        <w:t>税前扣除。由此产生的暂时性差异被确认为递延所得税资产。</w:t>
      </w:r>
    </w:p>
    <w:p>
      <w:pPr>
        <w:spacing w:line="240" w:lineRule="auto" w:before="1"/>
        <w:rPr>
          <w:rFonts w:ascii="宋体" w:hAnsi="宋体" w:cs="宋体" w:eastAsia="宋体" w:hint="default"/>
          <w:sz w:val="18"/>
          <w:szCs w:val="18"/>
        </w:rPr>
      </w:pPr>
    </w:p>
    <w:p>
      <w:pPr>
        <w:pStyle w:val="BodyText"/>
        <w:spacing w:line="284" w:lineRule="exact"/>
        <w:ind w:left="564" w:right="131" w:hanging="448"/>
        <w:jc w:val="both"/>
      </w:pPr>
      <w:r>
        <w:rPr>
          <w:rFonts w:ascii="Arial" w:hAnsi="Arial" w:cs="Arial" w:eastAsia="Arial" w:hint="default"/>
        </w:rPr>
        <w:t>(h)</w:t>
      </w:r>
      <w:r>
        <w:rPr>
          <w:rFonts w:ascii="Arial" w:hAnsi="Arial" w:cs="Arial" w:eastAsia="Arial" w:hint="default"/>
          <w:spacing w:val="22"/>
        </w:rPr>
        <w:t> </w:t>
      </w:r>
      <w:r>
        <w:rPr/>
        <w:t>本集团子公司之间的内部交易产生的未实现利润抵销构成会计与税务上的暂时性差异，其所得</w:t>
      </w:r>
      <w:r>
        <w:rPr>
          <w:w w:val="99"/>
        </w:rPr>
        <w:t> </w:t>
      </w:r>
      <w:r>
        <w:rPr/>
        <w:t>税影响确认递延所得税资产。</w:t>
      </w:r>
    </w:p>
    <w:p>
      <w:pPr>
        <w:spacing w:line="240" w:lineRule="auto" w:before="13"/>
        <w:rPr>
          <w:rFonts w:ascii="宋体" w:hAnsi="宋体" w:cs="宋体" w:eastAsia="宋体" w:hint="default"/>
          <w:sz w:val="15"/>
          <w:szCs w:val="15"/>
        </w:rPr>
      </w:pPr>
    </w:p>
    <w:p>
      <w:pPr>
        <w:pStyle w:val="BodyText"/>
        <w:spacing w:line="284" w:lineRule="exact"/>
        <w:ind w:left="564" w:right="131" w:hanging="448"/>
        <w:jc w:val="both"/>
      </w:pPr>
      <w:r>
        <w:rPr>
          <w:rFonts w:ascii="Arial" w:hAnsi="Arial" w:cs="Arial" w:eastAsia="Arial" w:hint="default"/>
        </w:rPr>
        <w:t>(i)</w:t>
      </w:r>
      <w:r>
        <w:rPr>
          <w:rFonts w:ascii="Arial" w:hAnsi="Arial" w:cs="Arial" w:eastAsia="Arial" w:hint="default"/>
          <w:spacing w:val="33"/>
        </w:rPr>
        <w:t> </w:t>
      </w:r>
      <w:r>
        <w:rPr/>
        <w:t>联通国际、中讯设计院及网通国际部分固定资产的折旧年限在会计与税务上存在差异，此暂时</w:t>
      </w:r>
      <w:r>
        <w:rPr>
          <w:w w:val="99"/>
        </w:rPr>
        <w:t> </w:t>
      </w:r>
      <w:r>
        <w:rPr/>
        <w:t>性差异的所得税影响确认递延所得税资产或负债。</w:t>
      </w:r>
    </w:p>
    <w:p>
      <w:pPr>
        <w:pStyle w:val="BodyText"/>
        <w:spacing w:line="232" w:lineRule="auto" w:before="187"/>
        <w:ind w:left="564" w:right="131" w:hanging="448"/>
        <w:jc w:val="both"/>
      </w:pPr>
      <w:r>
        <w:rPr>
          <w:rFonts w:ascii="Arial" w:hAnsi="Arial" w:cs="Arial" w:eastAsia="Arial" w:hint="default"/>
        </w:rPr>
        <w:t>(j)</w:t>
      </w:r>
      <w:r>
        <w:rPr>
          <w:rFonts w:ascii="Arial" w:hAnsi="Arial" w:cs="Arial" w:eastAsia="Arial" w:hint="default"/>
          <w:spacing w:val="33"/>
        </w:rPr>
        <w:t> </w:t>
      </w:r>
      <w:r>
        <w:rPr/>
        <w:t>中讯设计院和规划设计院进行公司制改建时确认了相关资产的评估增值，并按评估值作为基础</w:t>
      </w:r>
      <w:r>
        <w:rPr>
          <w:w w:val="99"/>
        </w:rPr>
        <w:t> </w:t>
      </w:r>
      <w:r>
        <w:rPr>
          <w:spacing w:val="-1"/>
        </w:rPr>
        <w:t>计提折旧及摊销；而根据所得税法规定，中讯设计院和规划设计院仍按原计税基础，即资产以</w:t>
      </w:r>
      <w:r>
        <w:rPr>
          <w:w w:val="99"/>
        </w:rPr>
        <w:t> </w:t>
      </w:r>
      <w:r>
        <w:rPr>
          <w:spacing w:val="-1"/>
        </w:rPr>
        <w:t>历史成本为计税基础并按历史成本计提折旧和摊销并计算应交所得税，因此资产评估增值的所</w:t>
      </w:r>
      <w:r>
        <w:rPr>
          <w:w w:val="99"/>
        </w:rPr>
        <w:t> </w:t>
      </w:r>
      <w:r>
        <w:rPr/>
        <w:t>得税影响被确认为递延所得税负债。</w:t>
      </w:r>
    </w:p>
    <w:p>
      <w:pPr>
        <w:spacing w:after="0" w:line="232" w:lineRule="auto"/>
        <w:jc w:val="both"/>
        <w:sectPr>
          <w:headerReference w:type="default" r:id="rId121"/>
          <w:footerReference w:type="default" r:id="rId122"/>
          <w:pgSz w:w="11910" w:h="16840"/>
          <w:pgMar w:header="1189" w:footer="752" w:top="4660" w:bottom="940" w:left="1280" w:right="940"/>
          <w:pgNumType w:start="139"/>
        </w:sectPr>
      </w:pPr>
    </w:p>
    <w:p>
      <w:pPr>
        <w:pStyle w:val="BodyText"/>
        <w:spacing w:line="235" w:lineRule="auto" w:before="99"/>
        <w:ind w:left="550" w:right="145" w:hanging="434"/>
        <w:jc w:val="both"/>
      </w:pPr>
      <w:r>
        <w:rPr>
          <w:rFonts w:ascii="Arial" w:hAnsi="Arial" w:cs="Arial" w:eastAsia="Arial" w:hint="default"/>
        </w:rPr>
        <w:t>(k)</w:t>
      </w:r>
      <w:r>
        <w:rPr>
          <w:rFonts w:ascii="Arial" w:hAnsi="Arial" w:cs="Arial" w:eastAsia="Arial" w:hint="default"/>
          <w:spacing w:val="35"/>
        </w:rPr>
        <w:t> </w:t>
      </w:r>
      <w:r>
        <w:rPr/>
        <w:t>按照企业会计准则要求，本集团每一会计期间会确认本集团持有的可供出售金融资产的公允价</w:t>
      </w:r>
      <w:r>
        <w:rPr>
          <w:w w:val="99"/>
        </w:rPr>
        <w:t> </w:t>
      </w:r>
      <w:r>
        <w:rPr>
          <w:w w:val="95"/>
        </w:rPr>
        <w:t>值的变动的收益或损失并计入资本公积，同时对联通红筹公司对西班牙电信投资合约衍生工具</w:t>
      </w:r>
      <w:r>
        <w:rPr>
          <w:w w:val="99"/>
        </w:rPr>
        <w:t> </w:t>
      </w:r>
      <w:r>
        <w:rPr>
          <w:w w:val="95"/>
        </w:rPr>
        <w:t>的公允价值变动则计入当期损益；以公允价值计量的可供出售金融资产及联通红筹公司对西班</w:t>
      </w:r>
      <w:r>
        <w:rPr>
          <w:w w:val="99"/>
        </w:rPr>
        <w:t> </w:t>
      </w:r>
      <w:r>
        <w:rPr>
          <w:w w:val="95"/>
        </w:rPr>
        <w:t>牙电信投资合约衍生工具，持有期间公允价值变动收益或损失不计入应纳税所得额，而在实际</w:t>
      </w:r>
      <w:r>
        <w:rPr>
          <w:w w:val="99"/>
        </w:rPr>
        <w:t> </w:t>
      </w:r>
      <w:r>
        <w:rPr>
          <w:w w:val="95"/>
        </w:rPr>
        <w:t>处置或出售时产生的收益或损失，计入当期应纳税所得额。由此产生的暂时性差异的所得税影</w:t>
      </w:r>
      <w:r>
        <w:rPr>
          <w:w w:val="99"/>
        </w:rPr>
        <w:t> </w:t>
      </w:r>
      <w:r>
        <w:rPr/>
        <w:t>响被确认为递延所得税负债（对收益）或递延所得税资产（对损失）。</w:t>
      </w:r>
    </w:p>
    <w:p>
      <w:pPr>
        <w:spacing w:line="240" w:lineRule="auto" w:before="12"/>
        <w:rPr>
          <w:rFonts w:ascii="宋体" w:hAnsi="宋体" w:cs="宋体" w:eastAsia="宋体" w:hint="default"/>
          <w:sz w:val="15"/>
          <w:szCs w:val="15"/>
        </w:rPr>
      </w:pPr>
    </w:p>
    <w:p>
      <w:pPr>
        <w:pStyle w:val="BodyText"/>
        <w:spacing w:line="284" w:lineRule="exact"/>
        <w:ind w:left="565" w:right="145" w:hanging="15"/>
        <w:jc w:val="both"/>
      </w:pPr>
      <w:r>
        <w:rPr>
          <w:spacing w:val="5"/>
        </w:rPr>
        <w:t>本财务报表列示的应纳税所得额和应纳税额的最终确认应以税务机构核定额及纳税应缴额为</w:t>
      </w:r>
      <w:r>
        <w:rPr>
          <w:spacing w:val="6"/>
          <w:w w:val="99"/>
        </w:rPr>
        <w:t> </w:t>
      </w:r>
      <w:r>
        <w:rPr/>
        <w:t>准。</w:t>
      </w:r>
    </w:p>
    <w:p>
      <w:pPr>
        <w:pStyle w:val="BodyText"/>
        <w:spacing w:line="240" w:lineRule="auto" w:before="152"/>
        <w:ind w:left="102" w:right="109"/>
        <w:jc w:val="left"/>
        <w:rPr>
          <w:rFonts w:ascii="黑体" w:hAnsi="黑体" w:cs="黑体" w:eastAsia="黑体" w:hint="default"/>
        </w:rPr>
      </w:pPr>
      <w:r>
        <w:rPr>
          <w:rFonts w:ascii="Arial" w:hAnsi="Arial" w:cs="Arial" w:eastAsia="Arial" w:hint="default"/>
        </w:rPr>
        <w:t>46</w:t>
      </w:r>
      <w:r>
        <w:rPr>
          <w:rFonts w:ascii="黑体" w:hAnsi="黑体" w:cs="黑体" w:eastAsia="黑体" w:hint="default"/>
        </w:rPr>
        <w:t>、股份支付</w:t>
      </w:r>
    </w:p>
    <w:p>
      <w:pPr>
        <w:pStyle w:val="BodyText"/>
        <w:spacing w:line="230" w:lineRule="auto" w:before="172"/>
        <w:ind w:left="578" w:right="136"/>
        <w:jc w:val="both"/>
        <w:rPr>
          <w:rFonts w:ascii="Arial" w:hAnsi="Arial" w:cs="Arial" w:eastAsia="Arial" w:hint="default"/>
        </w:rPr>
      </w:pPr>
      <w:r>
        <w:rPr/>
        <w:t>于</w:t>
      </w:r>
      <w:r>
        <w:rPr>
          <w:spacing w:val="-56"/>
        </w:rPr>
        <w:t> </w:t>
      </w:r>
      <w:r>
        <w:rPr>
          <w:rFonts w:ascii="Arial" w:hAnsi="Arial" w:cs="Arial" w:eastAsia="Arial" w:hint="default"/>
        </w:rPr>
        <w:t>2000</w:t>
      </w:r>
      <w:r>
        <w:rPr>
          <w:rFonts w:ascii="Arial" w:hAnsi="Arial" w:cs="Arial" w:eastAsia="Arial" w:hint="default"/>
          <w:spacing w:val="-7"/>
        </w:rPr>
        <w:t> </w:t>
      </w:r>
      <w:r>
        <w:rPr/>
        <w:t>年</w:t>
      </w:r>
      <w:r>
        <w:rPr>
          <w:spacing w:val="-55"/>
        </w:rPr>
        <w:t> </w:t>
      </w:r>
      <w:r>
        <w:rPr>
          <w:rFonts w:ascii="Arial" w:hAnsi="Arial" w:cs="Arial" w:eastAsia="Arial" w:hint="default"/>
        </w:rPr>
        <w:t>6</w:t>
      </w:r>
      <w:r>
        <w:rPr>
          <w:rFonts w:ascii="Arial" w:hAnsi="Arial" w:cs="Arial" w:eastAsia="Arial" w:hint="default"/>
          <w:spacing w:val="-7"/>
        </w:rPr>
        <w:t> </w:t>
      </w:r>
      <w:r>
        <w:rPr/>
        <w:t>月</w:t>
      </w:r>
      <w:r>
        <w:rPr>
          <w:spacing w:val="-56"/>
        </w:rPr>
        <w:t> </w:t>
      </w:r>
      <w:r>
        <w:rPr>
          <w:rFonts w:ascii="Arial" w:hAnsi="Arial" w:cs="Arial" w:eastAsia="Arial" w:hint="default"/>
        </w:rPr>
        <w:t>1</w:t>
      </w:r>
      <w:r>
        <w:rPr>
          <w:rFonts w:ascii="Arial" w:hAnsi="Arial" w:cs="Arial" w:eastAsia="Arial" w:hint="default"/>
          <w:spacing w:val="-7"/>
        </w:rPr>
        <w:t> </w:t>
      </w:r>
      <w:r>
        <w:rPr/>
        <w:t>日，联通红筹公司采纳了一份股份期权计划（“股份期权计划”）和一份以</w:t>
      </w:r>
      <w:r>
        <w:rPr>
          <w:w w:val="99"/>
        </w:rPr>
        <w:t> </w:t>
      </w:r>
      <w:r>
        <w:rPr>
          <w:spacing w:val="-1"/>
        </w:rPr>
        <w:t>固定价格拟定的全球发售前股份期权计划（“全球发售前股份期权计划”），向符合资格的联</w:t>
      </w:r>
      <w:r>
        <w:rPr>
          <w:spacing w:val="-105"/>
        </w:rPr>
        <w:t> </w:t>
      </w:r>
      <w:r>
        <w:rPr>
          <w:spacing w:val="-105"/>
        </w:rPr>
      </w:r>
      <w:r>
        <w:rPr/>
        <w:t>通红筹公司及其附属子公司的员工授予股份期权。此等期权计划的条款已于 </w:t>
      </w:r>
      <w:r>
        <w:rPr>
          <w:rFonts w:ascii="Arial" w:hAnsi="Arial" w:cs="Arial" w:eastAsia="Arial" w:hint="default"/>
        </w:rPr>
        <w:t>2002 </w:t>
      </w:r>
      <w:r>
        <w:rPr/>
        <w:t>年 </w:t>
      </w:r>
      <w:r>
        <w:rPr>
          <w:rFonts w:ascii="Arial" w:hAnsi="Arial" w:cs="Arial" w:eastAsia="Arial" w:hint="default"/>
        </w:rPr>
        <w:t>5 </w:t>
      </w:r>
      <w:r>
        <w:rPr/>
        <w:t>月</w:t>
      </w:r>
      <w:r>
        <w:rPr>
          <w:spacing w:val="-27"/>
        </w:rPr>
        <w:t> </w:t>
      </w:r>
      <w:r>
        <w:rPr>
          <w:rFonts w:ascii="Arial" w:hAnsi="Arial" w:cs="Arial" w:eastAsia="Arial" w:hint="default"/>
        </w:rPr>
        <w:t>13</w:t>
      </w:r>
    </w:p>
    <w:p>
      <w:pPr>
        <w:pStyle w:val="BodyText"/>
        <w:spacing w:line="287" w:lineRule="exact"/>
        <w:ind w:left="578" w:right="0"/>
        <w:jc w:val="both"/>
      </w:pPr>
      <w:r>
        <w:rPr/>
        <w:t>日、</w:t>
      </w:r>
      <w:r>
        <w:rPr>
          <w:rFonts w:ascii="Arial" w:hAnsi="Arial" w:cs="Arial" w:eastAsia="Arial" w:hint="default"/>
        </w:rPr>
        <w:t>2007</w:t>
      </w:r>
      <w:r>
        <w:rPr>
          <w:rFonts w:ascii="Arial" w:hAnsi="Arial" w:cs="Arial" w:eastAsia="Arial" w:hint="default"/>
          <w:spacing w:val="-7"/>
        </w:rPr>
        <w:t> </w:t>
      </w:r>
      <w:r>
        <w:rPr/>
        <w:t>年</w:t>
      </w:r>
      <w:r>
        <w:rPr>
          <w:spacing w:val="-56"/>
        </w:rPr>
        <w:t> </w:t>
      </w:r>
      <w:r>
        <w:rPr>
          <w:rFonts w:ascii="Arial" w:hAnsi="Arial" w:cs="Arial" w:eastAsia="Arial" w:hint="default"/>
        </w:rPr>
        <w:t>5</w:t>
      </w:r>
      <w:r>
        <w:rPr>
          <w:rFonts w:ascii="Arial" w:hAnsi="Arial" w:cs="Arial" w:eastAsia="Arial" w:hint="default"/>
          <w:spacing w:val="-7"/>
        </w:rPr>
        <w:t> </w:t>
      </w:r>
      <w:r>
        <w:rPr/>
        <w:t>月</w:t>
      </w:r>
      <w:r>
        <w:rPr>
          <w:spacing w:val="-56"/>
        </w:rPr>
        <w:t> </w:t>
      </w:r>
      <w:r>
        <w:rPr>
          <w:rFonts w:ascii="Arial" w:hAnsi="Arial" w:cs="Arial" w:eastAsia="Arial" w:hint="default"/>
        </w:rPr>
        <w:t>11</w:t>
      </w:r>
      <w:r>
        <w:rPr>
          <w:rFonts w:ascii="Arial" w:hAnsi="Arial" w:cs="Arial" w:eastAsia="Arial" w:hint="default"/>
          <w:spacing w:val="-7"/>
        </w:rPr>
        <w:t> </w:t>
      </w:r>
      <w:r>
        <w:rPr/>
        <w:t>日及</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5</w:t>
      </w:r>
      <w:r>
        <w:rPr>
          <w:rFonts w:ascii="Arial" w:hAnsi="Arial" w:cs="Arial" w:eastAsia="Arial" w:hint="default"/>
          <w:spacing w:val="-7"/>
        </w:rPr>
        <w:t> </w:t>
      </w:r>
      <w:r>
        <w:rPr/>
        <w:t>月</w:t>
      </w:r>
      <w:r>
        <w:rPr>
          <w:spacing w:val="-56"/>
        </w:rPr>
        <w:t> </w:t>
      </w:r>
      <w:r>
        <w:rPr>
          <w:rFonts w:ascii="Arial" w:hAnsi="Arial" w:cs="Arial" w:eastAsia="Arial" w:hint="default"/>
        </w:rPr>
        <w:t>26</w:t>
      </w:r>
      <w:r>
        <w:rPr>
          <w:rFonts w:ascii="Arial" w:hAnsi="Arial" w:cs="Arial" w:eastAsia="Arial" w:hint="default"/>
          <w:spacing w:val="-7"/>
        </w:rPr>
        <w:t> </w:t>
      </w:r>
      <w:r>
        <w:rPr/>
        <w:t>日作出修订。</w:t>
      </w:r>
    </w:p>
    <w:p>
      <w:pPr>
        <w:pStyle w:val="BodyText"/>
        <w:spacing w:line="295" w:lineRule="exact" w:before="188"/>
        <w:ind w:left="578" w:right="0"/>
        <w:jc w:val="both"/>
      </w:pPr>
      <w:r>
        <w:rPr/>
        <w:t>于</w:t>
      </w:r>
      <w:r>
        <w:rPr>
          <w:spacing w:val="-39"/>
        </w:rPr>
        <w:t> </w:t>
      </w:r>
      <w:r>
        <w:rPr>
          <w:rFonts w:ascii="Arial" w:hAnsi="Arial" w:cs="Arial" w:eastAsia="Arial" w:hint="default"/>
        </w:rPr>
        <w:t>2008</w:t>
      </w:r>
      <w:r>
        <w:rPr>
          <w:rFonts w:ascii="Arial" w:hAnsi="Arial" w:cs="Arial" w:eastAsia="Arial" w:hint="default"/>
          <w:spacing w:val="10"/>
        </w:rPr>
        <w:t> </w:t>
      </w:r>
      <w:r>
        <w:rPr/>
        <w:t>年</w:t>
      </w:r>
      <w:r>
        <w:rPr>
          <w:spacing w:val="-39"/>
        </w:rPr>
        <w:t> </w:t>
      </w:r>
      <w:r>
        <w:rPr>
          <w:rFonts w:ascii="Arial" w:hAnsi="Arial" w:cs="Arial" w:eastAsia="Arial" w:hint="default"/>
        </w:rPr>
        <w:t>9</w:t>
      </w:r>
      <w:r>
        <w:rPr>
          <w:rFonts w:ascii="Arial" w:hAnsi="Arial" w:cs="Arial" w:eastAsia="Arial" w:hint="default"/>
          <w:spacing w:val="10"/>
        </w:rPr>
        <w:t> </w:t>
      </w:r>
      <w:r>
        <w:rPr/>
        <w:t>月</w:t>
      </w:r>
      <w:r>
        <w:rPr>
          <w:spacing w:val="-39"/>
        </w:rPr>
        <w:t> </w:t>
      </w:r>
      <w:r>
        <w:rPr>
          <w:rFonts w:ascii="Arial" w:hAnsi="Arial" w:cs="Arial" w:eastAsia="Arial" w:hint="default"/>
        </w:rPr>
        <w:t>16</w:t>
      </w:r>
      <w:r>
        <w:rPr>
          <w:rFonts w:ascii="Arial" w:hAnsi="Arial" w:cs="Arial" w:eastAsia="Arial" w:hint="default"/>
          <w:spacing w:val="10"/>
        </w:rPr>
        <w:t> </w:t>
      </w:r>
      <w:r>
        <w:rPr/>
        <w:t>日，联通红筹公司召开了特别股东大会审议并通过了与网通红筹公司合并</w:t>
      </w:r>
    </w:p>
    <w:p>
      <w:pPr>
        <w:pStyle w:val="BodyText"/>
        <w:spacing w:line="285" w:lineRule="exact"/>
        <w:ind w:left="578" w:right="0"/>
        <w:jc w:val="both"/>
      </w:pPr>
      <w:r>
        <w:rPr/>
        <w:t>的协议安排。于</w:t>
      </w:r>
      <w:r>
        <w:rPr>
          <w:spacing w:val="-60"/>
        </w:rPr>
        <w:t> </w:t>
      </w:r>
      <w:r>
        <w:rPr>
          <w:rFonts w:ascii="Arial" w:hAnsi="Arial" w:cs="Arial" w:eastAsia="Arial" w:hint="default"/>
        </w:rPr>
        <w:t>2008</w:t>
      </w:r>
      <w:r>
        <w:rPr>
          <w:rFonts w:ascii="Arial" w:hAnsi="Arial" w:cs="Arial" w:eastAsia="Arial" w:hint="default"/>
          <w:spacing w:val="-10"/>
        </w:rPr>
        <w:t> </w:t>
      </w:r>
      <w:r>
        <w:rPr/>
        <w:t>年</w:t>
      </w:r>
      <w:r>
        <w:rPr>
          <w:spacing w:val="-60"/>
        </w:rPr>
        <w:t> </w:t>
      </w:r>
      <w:r>
        <w:rPr>
          <w:rFonts w:ascii="Arial" w:hAnsi="Arial" w:cs="Arial" w:eastAsia="Arial" w:hint="default"/>
        </w:rPr>
        <w:t>10</w:t>
      </w:r>
      <w:r>
        <w:rPr>
          <w:rFonts w:ascii="Arial" w:hAnsi="Arial" w:cs="Arial" w:eastAsia="Arial" w:hint="default"/>
          <w:spacing w:val="-11"/>
        </w:rPr>
        <w:t> </w:t>
      </w:r>
      <w:r>
        <w:rPr/>
        <w:t>月</w:t>
      </w:r>
      <w:r>
        <w:rPr>
          <w:spacing w:val="-60"/>
        </w:rPr>
        <w:t> </w:t>
      </w:r>
      <w:r>
        <w:rPr>
          <w:rFonts w:ascii="Arial" w:hAnsi="Arial" w:cs="Arial" w:eastAsia="Arial" w:hint="default"/>
        </w:rPr>
        <w:t>15</w:t>
      </w:r>
      <w:r>
        <w:rPr>
          <w:rFonts w:ascii="Arial" w:hAnsi="Arial" w:cs="Arial" w:eastAsia="Arial" w:hint="default"/>
          <w:spacing w:val="-11"/>
        </w:rPr>
        <w:t> </w:t>
      </w:r>
      <w:r>
        <w:rPr/>
        <w:t>日，该协议安排正式生效。根据协议安排，联通红筹公司制</w:t>
      </w:r>
    </w:p>
    <w:p>
      <w:pPr>
        <w:pStyle w:val="BodyText"/>
        <w:spacing w:line="286" w:lineRule="exact" w:before="19"/>
        <w:ind w:left="578" w:right="136"/>
        <w:jc w:val="both"/>
      </w:pPr>
      <w:r>
        <w:rPr/>
        <w:t>订和通过特殊目的股份期权计划（“特殊目的股份期权计划”），并已于</w:t>
      </w:r>
      <w:r>
        <w:rPr>
          <w:spacing w:val="-60"/>
        </w:rPr>
        <w:t> </w:t>
      </w:r>
      <w:r>
        <w:rPr>
          <w:rFonts w:ascii="Arial" w:hAnsi="Arial" w:cs="Arial" w:eastAsia="Arial" w:hint="default"/>
        </w:rPr>
        <w:t>2008</w:t>
      </w:r>
      <w:r>
        <w:rPr>
          <w:rFonts w:ascii="Arial" w:hAnsi="Arial" w:cs="Arial" w:eastAsia="Arial" w:hint="default"/>
          <w:spacing w:val="-11"/>
        </w:rPr>
        <w:t> </w:t>
      </w:r>
      <w:r>
        <w:rPr/>
        <w:t>年</w:t>
      </w:r>
      <w:r>
        <w:rPr>
          <w:spacing w:val="-60"/>
        </w:rPr>
        <w:t> </w:t>
      </w:r>
      <w:r>
        <w:rPr>
          <w:rFonts w:ascii="Arial" w:hAnsi="Arial" w:cs="Arial" w:eastAsia="Arial" w:hint="default"/>
        </w:rPr>
        <w:t>10</w:t>
      </w:r>
      <w:r>
        <w:rPr>
          <w:rFonts w:ascii="Arial" w:hAnsi="Arial" w:cs="Arial" w:eastAsia="Arial" w:hint="default"/>
          <w:spacing w:val="-11"/>
        </w:rPr>
        <w:t> </w:t>
      </w:r>
      <w:r>
        <w:rPr/>
        <w:t>月</w:t>
      </w:r>
      <w:r>
        <w:rPr>
          <w:spacing w:val="-60"/>
        </w:rPr>
        <w:t> </w:t>
      </w:r>
      <w:r>
        <w:rPr>
          <w:rFonts w:ascii="Arial" w:hAnsi="Arial" w:cs="Arial" w:eastAsia="Arial" w:hint="default"/>
        </w:rPr>
        <w:t>14</w:t>
      </w:r>
      <w:r>
        <w:rPr>
          <w:rFonts w:ascii="Arial" w:hAnsi="Arial" w:cs="Arial" w:eastAsia="Arial" w:hint="default"/>
          <w:spacing w:val="-11"/>
        </w:rPr>
        <w:t> </w:t>
      </w:r>
      <w:r>
        <w:rPr/>
        <w:t>日</w:t>
      </w:r>
      <w:r>
        <w:rPr>
          <w:w w:val="99"/>
        </w:rPr>
        <w:t> </w:t>
      </w:r>
      <w:r>
        <w:rPr>
          <w:spacing w:val="-1"/>
        </w:rPr>
        <w:t>授予持有但尚未行使网通红筹公司股份期权的人士（“合资格参与人”）。此等期权计划的条</w:t>
      </w:r>
      <w:r>
        <w:rPr>
          <w:spacing w:val="-106"/>
        </w:rPr>
        <w:t> </w:t>
      </w:r>
      <w:r>
        <w:rPr>
          <w:spacing w:val="-106"/>
        </w:rPr>
      </w:r>
      <w:r>
        <w:rPr/>
        <w:t>款已于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5</w:t>
      </w:r>
      <w:r>
        <w:rPr>
          <w:rFonts w:ascii="Arial" w:hAnsi="Arial" w:cs="Arial" w:eastAsia="Arial" w:hint="default"/>
          <w:spacing w:val="-7"/>
        </w:rPr>
        <w:t> </w:t>
      </w:r>
      <w:r>
        <w:rPr/>
        <w:t>月</w:t>
      </w:r>
      <w:r>
        <w:rPr>
          <w:spacing w:val="-56"/>
        </w:rPr>
        <w:t> </w:t>
      </w:r>
      <w:r>
        <w:rPr>
          <w:rFonts w:ascii="Arial" w:hAnsi="Arial" w:cs="Arial" w:eastAsia="Arial" w:hint="default"/>
        </w:rPr>
        <w:t>26</w:t>
      </w:r>
      <w:r>
        <w:rPr>
          <w:rFonts w:ascii="Arial" w:hAnsi="Arial" w:cs="Arial" w:eastAsia="Arial" w:hint="default"/>
          <w:spacing w:val="-7"/>
        </w:rPr>
        <w:t> </w:t>
      </w:r>
      <w:r>
        <w:rPr/>
        <w:t>日作出修订。</w:t>
      </w:r>
    </w:p>
    <w:p>
      <w:pPr>
        <w:pStyle w:val="BodyText"/>
        <w:spacing w:line="240" w:lineRule="auto" w:before="150"/>
        <w:ind w:left="577" w:right="0"/>
        <w:jc w:val="both"/>
      </w:pPr>
      <w:r>
        <w:rPr/>
        <w:t>于</w:t>
      </w:r>
      <w:r>
        <w:rPr>
          <w:spacing w:val="-57"/>
        </w:rPr>
        <w:t> </w:t>
      </w:r>
      <w:r>
        <w:rPr>
          <w:rFonts w:ascii="Arial" w:hAnsi="Arial" w:cs="Arial" w:eastAsia="Arial" w:hint="default"/>
        </w:rPr>
        <w:t>2009</w:t>
      </w:r>
      <w:r>
        <w:rPr>
          <w:rFonts w:ascii="Arial" w:hAnsi="Arial" w:cs="Arial" w:eastAsia="Arial" w:hint="default"/>
          <w:spacing w:val="-8"/>
        </w:rPr>
        <w:t> </w:t>
      </w:r>
      <w:r>
        <w:rPr/>
        <w:t>年度，联通红筹公司未行使的股票期权数目的变动及有关加权平均行使价列示如下：</w:t>
      </w:r>
    </w:p>
    <w:p>
      <w:pPr>
        <w:spacing w:line="240" w:lineRule="auto" w:before="10"/>
        <w:rPr>
          <w:rFonts w:ascii="宋体" w:hAnsi="宋体" w:cs="宋体" w:eastAsia="宋体" w:hint="default"/>
          <w:sz w:val="16"/>
          <w:szCs w:val="16"/>
        </w:rPr>
      </w:pPr>
    </w:p>
    <w:p>
      <w:pPr>
        <w:tabs>
          <w:tab w:pos="7465" w:val="left" w:leader="none"/>
        </w:tabs>
        <w:spacing w:before="0"/>
        <w:ind w:left="3945" w:right="109" w:firstLine="0"/>
        <w:jc w:val="left"/>
        <w:rPr>
          <w:rFonts w:ascii="宋体" w:hAnsi="宋体" w:cs="宋体" w:eastAsia="宋体" w:hint="default"/>
          <w:sz w:val="20"/>
          <w:szCs w:val="20"/>
        </w:rPr>
      </w:pPr>
      <w:r>
        <w:rPr/>
        <w:pict>
          <v:group style="position:absolute;margin-left:199.139999pt;margin-top:16.724907pt;width:168.6pt;height:.1pt;mso-position-horizontal-relative:page;mso-position-vertical-relative:paragraph;z-index:7024" coordorigin="3983,334" coordsize="3372,2">
            <v:shape style="position:absolute;left:3983;top:334;width:3372;height:2" coordorigin="3983,334" coordsize="3372,0" path="m3983,334l7355,334e" filled="false" stroked="true" strokeweight=".72pt" strokecolor="#000000">
              <v:path arrowok="t"/>
            </v:shape>
            <w10:wrap type="none"/>
          </v:group>
        </w:pict>
      </w:r>
      <w:r>
        <w:rPr/>
        <w:pict>
          <v:group style="position:absolute;margin-left:375.359985pt;margin-top:16.724907pt;width:167.95pt;height:.1pt;mso-position-horizontal-relative:page;mso-position-vertical-relative:paragraph;z-index:7048" coordorigin="7507,334" coordsize="3359,2">
            <v:shape style="position:absolute;left:7507;top:334;width:3359;height:2" coordorigin="7507,334" coordsize="3359,0" path="m7507,334l10866,334e" filled="false" stroked="true" strokeweight=".72pt" strokecolor="#000000">
              <v:path arrowok="t"/>
            </v:shape>
            <w10:wrap type="none"/>
          </v:group>
        </w:pict>
      </w: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年度</w:t>
        <w:tab/>
      </w: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年度</w:t>
      </w:r>
    </w:p>
    <w:p>
      <w:pPr>
        <w:spacing w:line="240" w:lineRule="auto" w:before="9"/>
        <w:rPr>
          <w:rFonts w:ascii="宋体" w:hAnsi="宋体" w:cs="宋体" w:eastAsia="宋体" w:hint="default"/>
          <w:sz w:val="4"/>
          <w:szCs w:val="4"/>
        </w:rPr>
      </w:pPr>
    </w:p>
    <w:tbl>
      <w:tblPr>
        <w:tblW w:w="0" w:type="auto"/>
        <w:jc w:val="left"/>
        <w:tblInd w:w="585" w:type="dxa"/>
        <w:tblLayout w:type="fixed"/>
        <w:tblCellMar>
          <w:top w:w="0" w:type="dxa"/>
          <w:left w:w="0" w:type="dxa"/>
          <w:bottom w:w="0" w:type="dxa"/>
          <w:right w:w="0" w:type="dxa"/>
        </w:tblCellMar>
        <w:tblLook w:val="01E0"/>
      </w:tblPr>
      <w:tblGrid>
        <w:gridCol w:w="2117"/>
        <w:gridCol w:w="1798"/>
        <w:gridCol w:w="1574"/>
        <w:gridCol w:w="152"/>
        <w:gridCol w:w="1571"/>
        <w:gridCol w:w="143"/>
        <w:gridCol w:w="1645"/>
      </w:tblGrid>
      <w:tr>
        <w:trPr>
          <w:trHeight w:val="710" w:hRule="exact"/>
        </w:trPr>
        <w:tc>
          <w:tcPr>
            <w:tcW w:w="2117" w:type="dxa"/>
            <w:tcBorders>
              <w:top w:val="nil" w:sz="6" w:space="0" w:color="auto"/>
              <w:left w:val="nil" w:sz="6" w:space="0" w:color="auto"/>
              <w:bottom w:val="nil" w:sz="6" w:space="0" w:color="auto"/>
              <w:right w:val="nil" w:sz="6" w:space="0" w:color="auto"/>
            </w:tcBorders>
          </w:tcPr>
          <w:p>
            <w:pPr/>
          </w:p>
        </w:tc>
        <w:tc>
          <w:tcPr>
            <w:tcW w:w="1798" w:type="dxa"/>
            <w:tcBorders>
              <w:top w:val="nil" w:sz="6" w:space="0" w:color="auto"/>
              <w:left w:val="nil" w:sz="6" w:space="0" w:color="auto"/>
              <w:bottom w:val="single" w:sz="6" w:space="0" w:color="000000"/>
              <w:right w:val="nil" w:sz="6" w:space="0" w:color="auto"/>
            </w:tcBorders>
          </w:tcPr>
          <w:p>
            <w:pPr>
              <w:pStyle w:val="TableParagraph"/>
              <w:spacing w:line="319" w:lineRule="auto" w:before="26"/>
              <w:ind w:left="920" w:right="73" w:hanging="200"/>
              <w:jc w:val="left"/>
              <w:rPr>
                <w:rFonts w:ascii="宋体" w:hAnsi="宋体" w:cs="宋体" w:eastAsia="宋体" w:hint="default"/>
                <w:sz w:val="20"/>
                <w:szCs w:val="20"/>
              </w:rPr>
            </w:pPr>
            <w:r>
              <w:rPr>
                <w:rFonts w:ascii="宋体" w:hAnsi="宋体" w:cs="宋体" w:eastAsia="宋体" w:hint="default"/>
                <w:sz w:val="20"/>
                <w:szCs w:val="20"/>
              </w:rPr>
              <w:t>平均行使价</w:t>
            </w:r>
            <w:r>
              <w:rPr>
                <w:rFonts w:ascii="宋体" w:hAnsi="宋体" w:cs="宋体" w:eastAsia="宋体" w:hint="default"/>
                <w:w w:val="100"/>
                <w:sz w:val="20"/>
                <w:szCs w:val="20"/>
              </w:rPr>
              <w:t> </w:t>
            </w:r>
            <w:r>
              <w:rPr>
                <w:rFonts w:ascii="宋体" w:hAnsi="宋体" w:cs="宋体" w:eastAsia="宋体" w:hint="default"/>
                <w:sz w:val="20"/>
                <w:szCs w:val="20"/>
              </w:rPr>
              <w:t>每股港币</w:t>
            </w:r>
          </w:p>
        </w:tc>
        <w:tc>
          <w:tcPr>
            <w:tcW w:w="1574" w:type="dxa"/>
            <w:tcBorders>
              <w:top w:val="nil" w:sz="6" w:space="0" w:color="auto"/>
              <w:left w:val="nil" w:sz="6" w:space="0" w:color="auto"/>
              <w:bottom w:val="single" w:sz="6" w:space="0" w:color="000000"/>
              <w:right w:val="nil" w:sz="6" w:space="0" w:color="auto"/>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72"/>
              <w:jc w:val="right"/>
              <w:rPr>
                <w:rFonts w:ascii="宋体" w:hAnsi="宋体" w:cs="宋体" w:eastAsia="宋体" w:hint="default"/>
                <w:sz w:val="20"/>
                <w:szCs w:val="20"/>
              </w:rPr>
            </w:pPr>
            <w:r>
              <w:rPr>
                <w:rFonts w:ascii="宋体" w:hAnsi="宋体" w:cs="宋体" w:eastAsia="宋体" w:hint="default"/>
                <w:spacing w:val="-1"/>
                <w:sz w:val="20"/>
                <w:szCs w:val="20"/>
              </w:rPr>
              <w:t>股份期权份数</w:t>
            </w:r>
          </w:p>
        </w:tc>
        <w:tc>
          <w:tcPr>
            <w:tcW w:w="152" w:type="dxa"/>
            <w:tcBorders>
              <w:top w:val="nil" w:sz="6" w:space="0" w:color="auto"/>
              <w:left w:val="nil" w:sz="6" w:space="0" w:color="auto"/>
              <w:bottom w:val="nil" w:sz="6" w:space="0" w:color="auto"/>
              <w:right w:val="nil" w:sz="6" w:space="0" w:color="auto"/>
            </w:tcBorders>
          </w:tcPr>
          <w:p>
            <w:pPr/>
          </w:p>
        </w:tc>
        <w:tc>
          <w:tcPr>
            <w:tcW w:w="1571" w:type="dxa"/>
            <w:tcBorders>
              <w:top w:val="nil" w:sz="6" w:space="0" w:color="auto"/>
              <w:left w:val="nil" w:sz="6" w:space="0" w:color="auto"/>
              <w:bottom w:val="single" w:sz="6" w:space="0" w:color="000000"/>
              <w:right w:val="nil" w:sz="6" w:space="0" w:color="auto"/>
            </w:tcBorders>
          </w:tcPr>
          <w:p>
            <w:pPr>
              <w:pStyle w:val="TableParagraph"/>
              <w:spacing w:line="319" w:lineRule="auto" w:before="26"/>
              <w:ind w:left="769" w:right="0" w:hanging="200"/>
              <w:jc w:val="left"/>
              <w:rPr>
                <w:rFonts w:ascii="宋体" w:hAnsi="宋体" w:cs="宋体" w:eastAsia="宋体" w:hint="default"/>
                <w:sz w:val="20"/>
                <w:szCs w:val="20"/>
              </w:rPr>
            </w:pPr>
            <w:r>
              <w:rPr>
                <w:rFonts w:ascii="宋体" w:hAnsi="宋体" w:cs="宋体" w:eastAsia="宋体" w:hint="default"/>
                <w:spacing w:val="-1"/>
                <w:sz w:val="20"/>
                <w:szCs w:val="20"/>
              </w:rPr>
              <w:t>平均行使价</w:t>
            </w:r>
            <w:r>
              <w:rPr>
                <w:rFonts w:ascii="宋体" w:hAnsi="宋体" w:cs="宋体" w:eastAsia="宋体" w:hint="default"/>
                <w:spacing w:val="-95"/>
                <w:sz w:val="20"/>
                <w:szCs w:val="20"/>
              </w:rPr>
              <w:t> </w:t>
            </w:r>
            <w:r>
              <w:rPr>
                <w:rFonts w:ascii="宋体" w:hAnsi="宋体" w:cs="宋体" w:eastAsia="宋体" w:hint="default"/>
                <w:spacing w:val="-95"/>
                <w:sz w:val="20"/>
                <w:szCs w:val="20"/>
              </w:rPr>
            </w:r>
            <w:r>
              <w:rPr>
                <w:rFonts w:ascii="宋体" w:hAnsi="宋体" w:cs="宋体" w:eastAsia="宋体" w:hint="default"/>
                <w:sz w:val="20"/>
                <w:szCs w:val="20"/>
              </w:rPr>
              <w:t>每股港币</w:t>
            </w:r>
          </w:p>
        </w:tc>
        <w:tc>
          <w:tcPr>
            <w:tcW w:w="143"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single" w:sz="6" w:space="0" w:color="000000"/>
              <w:right w:val="nil" w:sz="6" w:space="0" w:color="auto"/>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73"/>
              <w:jc w:val="right"/>
              <w:rPr>
                <w:rFonts w:ascii="宋体" w:hAnsi="宋体" w:cs="宋体" w:eastAsia="宋体" w:hint="default"/>
                <w:sz w:val="20"/>
                <w:szCs w:val="20"/>
              </w:rPr>
            </w:pPr>
            <w:r>
              <w:rPr>
                <w:rFonts w:ascii="宋体" w:hAnsi="宋体" w:cs="宋体" w:eastAsia="宋体" w:hint="default"/>
                <w:spacing w:val="-1"/>
                <w:sz w:val="20"/>
                <w:szCs w:val="20"/>
              </w:rPr>
              <w:t>股份期权份数</w:t>
            </w:r>
          </w:p>
        </w:tc>
      </w:tr>
      <w:tr>
        <w:trPr>
          <w:trHeight w:val="400" w:hRule="exact"/>
        </w:trPr>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20"/>
                <w:szCs w:val="20"/>
              </w:rPr>
            </w:pPr>
            <w:r>
              <w:rPr>
                <w:rFonts w:ascii="宋体" w:hAnsi="宋体" w:cs="宋体" w:eastAsia="宋体" w:hint="default"/>
                <w:sz w:val="20"/>
                <w:szCs w:val="20"/>
              </w:rPr>
              <w:t>年初余额</w:t>
            </w:r>
          </w:p>
        </w:tc>
        <w:tc>
          <w:tcPr>
            <w:tcW w:w="1798" w:type="dxa"/>
            <w:tcBorders>
              <w:top w:val="single" w:sz="6" w:space="0" w:color="000000"/>
              <w:left w:val="nil" w:sz="6" w:space="0" w:color="auto"/>
              <w:bottom w:val="nil" w:sz="6" w:space="0" w:color="auto"/>
              <w:right w:val="nil" w:sz="6" w:space="0" w:color="auto"/>
            </w:tcBorders>
          </w:tcPr>
          <w:p>
            <w:pPr>
              <w:pStyle w:val="TableParagraph"/>
              <w:spacing w:line="240" w:lineRule="auto" w:before="116"/>
              <w:ind w:right="136"/>
              <w:jc w:val="right"/>
              <w:rPr>
                <w:rFonts w:ascii="Arial" w:hAnsi="Arial" w:cs="Arial" w:eastAsia="Arial" w:hint="default"/>
                <w:sz w:val="20"/>
                <w:szCs w:val="20"/>
              </w:rPr>
            </w:pPr>
            <w:r>
              <w:rPr>
                <w:rFonts w:ascii="Arial"/>
                <w:sz w:val="20"/>
              </w:rPr>
              <w:t>6.95</w:t>
            </w:r>
          </w:p>
        </w:tc>
        <w:tc>
          <w:tcPr>
            <w:tcW w:w="1574" w:type="dxa"/>
            <w:tcBorders>
              <w:top w:val="single" w:sz="6" w:space="0" w:color="000000"/>
              <w:left w:val="nil" w:sz="6" w:space="0" w:color="auto"/>
              <w:bottom w:val="nil" w:sz="6" w:space="0" w:color="auto"/>
              <w:right w:val="nil" w:sz="6" w:space="0" w:color="auto"/>
            </w:tcBorders>
          </w:tcPr>
          <w:p>
            <w:pPr>
              <w:pStyle w:val="TableParagraph"/>
              <w:spacing w:line="240" w:lineRule="auto" w:before="116"/>
              <w:ind w:right="80"/>
              <w:jc w:val="right"/>
              <w:rPr>
                <w:rFonts w:ascii="Arial" w:hAnsi="Arial" w:cs="Arial" w:eastAsia="Arial" w:hint="default"/>
                <w:sz w:val="20"/>
                <w:szCs w:val="20"/>
              </w:rPr>
            </w:pPr>
            <w:r>
              <w:rPr>
                <w:rFonts w:ascii="Arial"/>
                <w:spacing w:val="-1"/>
                <w:sz w:val="20"/>
              </w:rPr>
              <w:t>413,074,166</w:t>
            </w:r>
          </w:p>
        </w:tc>
        <w:tc>
          <w:tcPr>
            <w:tcW w:w="152" w:type="dxa"/>
            <w:tcBorders>
              <w:top w:val="nil" w:sz="6" w:space="0" w:color="auto"/>
              <w:left w:val="nil" w:sz="6" w:space="0" w:color="auto"/>
              <w:bottom w:val="nil" w:sz="6" w:space="0" w:color="auto"/>
              <w:right w:val="nil" w:sz="6" w:space="0" w:color="auto"/>
            </w:tcBorders>
          </w:tcPr>
          <w:p>
            <w:pPr/>
          </w:p>
        </w:tc>
        <w:tc>
          <w:tcPr>
            <w:tcW w:w="1571" w:type="dxa"/>
            <w:tcBorders>
              <w:top w:val="single" w:sz="6" w:space="0" w:color="000000"/>
              <w:left w:val="nil" w:sz="6" w:space="0" w:color="auto"/>
              <w:bottom w:val="nil" w:sz="6" w:space="0" w:color="auto"/>
              <w:right w:val="nil" w:sz="6" w:space="0" w:color="auto"/>
            </w:tcBorders>
          </w:tcPr>
          <w:p>
            <w:pPr>
              <w:pStyle w:val="TableParagraph"/>
              <w:spacing w:line="240" w:lineRule="auto" w:before="116"/>
              <w:ind w:right="87"/>
              <w:jc w:val="right"/>
              <w:rPr>
                <w:rFonts w:ascii="Arial" w:hAnsi="Arial" w:cs="Arial" w:eastAsia="Arial" w:hint="default"/>
                <w:sz w:val="20"/>
                <w:szCs w:val="20"/>
              </w:rPr>
            </w:pPr>
            <w:r>
              <w:rPr>
                <w:rFonts w:ascii="Arial"/>
                <w:sz w:val="20"/>
              </w:rPr>
              <w:t>7.12</w:t>
            </w:r>
          </w:p>
        </w:tc>
        <w:tc>
          <w:tcPr>
            <w:tcW w:w="143" w:type="dxa"/>
            <w:tcBorders>
              <w:top w:val="nil" w:sz="6" w:space="0" w:color="auto"/>
              <w:left w:val="nil" w:sz="6" w:space="0" w:color="auto"/>
              <w:bottom w:val="nil" w:sz="6" w:space="0" w:color="auto"/>
              <w:right w:val="nil" w:sz="6" w:space="0" w:color="auto"/>
            </w:tcBorders>
          </w:tcPr>
          <w:p>
            <w:pPr/>
          </w:p>
        </w:tc>
        <w:tc>
          <w:tcPr>
            <w:tcW w:w="1645" w:type="dxa"/>
            <w:tcBorders>
              <w:top w:val="single" w:sz="6" w:space="0" w:color="000000"/>
              <w:left w:val="nil" w:sz="6" w:space="0" w:color="auto"/>
              <w:bottom w:val="nil" w:sz="6" w:space="0" w:color="auto"/>
              <w:right w:val="nil" w:sz="6" w:space="0" w:color="auto"/>
            </w:tcBorders>
          </w:tcPr>
          <w:p>
            <w:pPr>
              <w:pStyle w:val="TableParagraph"/>
              <w:spacing w:line="240" w:lineRule="auto" w:before="116"/>
              <w:ind w:right="95"/>
              <w:jc w:val="right"/>
              <w:rPr>
                <w:rFonts w:ascii="Arial" w:hAnsi="Arial" w:cs="Arial" w:eastAsia="Arial" w:hint="default"/>
                <w:sz w:val="20"/>
                <w:szCs w:val="20"/>
              </w:rPr>
            </w:pPr>
            <w:r>
              <w:rPr>
                <w:rFonts w:ascii="Arial"/>
                <w:spacing w:val="-1"/>
                <w:sz w:val="20"/>
              </w:rPr>
              <w:t>257,279,600</w:t>
            </w:r>
          </w:p>
        </w:tc>
      </w:tr>
      <w:tr>
        <w:trPr>
          <w:trHeight w:val="347" w:hRule="exact"/>
        </w:trPr>
        <w:tc>
          <w:tcPr>
            <w:tcW w:w="2117"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0"/>
                <w:szCs w:val="20"/>
              </w:rPr>
            </w:pPr>
            <w:r>
              <w:rPr>
                <w:rFonts w:ascii="宋体" w:hAnsi="宋体" w:cs="宋体" w:eastAsia="宋体" w:hint="default"/>
                <w:sz w:val="20"/>
                <w:szCs w:val="20"/>
              </w:rPr>
              <w:t>授予</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36"/>
              <w:jc w:val="right"/>
              <w:rPr>
                <w:rFonts w:ascii="Arial" w:hAnsi="Arial" w:cs="Arial" w:eastAsia="Arial" w:hint="default"/>
                <w:sz w:val="20"/>
                <w:szCs w:val="20"/>
              </w:rPr>
            </w:pPr>
            <w:r>
              <w:rPr>
                <w:rFonts w:ascii="Arial"/>
                <w:w w:val="100"/>
                <w:sz w:val="20"/>
              </w:rPr>
              <w:t>-</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53"/>
              <w:jc w:val="right"/>
              <w:rPr>
                <w:rFonts w:ascii="Arial" w:hAnsi="Arial" w:cs="Arial" w:eastAsia="Arial" w:hint="default"/>
                <w:sz w:val="20"/>
                <w:szCs w:val="20"/>
              </w:rPr>
            </w:pPr>
            <w:r>
              <w:rPr>
                <w:rFonts w:ascii="Arial"/>
                <w:w w:val="100"/>
                <w:sz w:val="20"/>
              </w:rPr>
              <w:t>-</w:t>
            </w:r>
          </w:p>
        </w:tc>
        <w:tc>
          <w:tcPr>
            <w:tcW w:w="152" w:type="dxa"/>
            <w:tcBorders>
              <w:top w:val="nil" w:sz="6" w:space="0" w:color="auto"/>
              <w:left w:val="nil" w:sz="6" w:space="0" w:color="auto"/>
              <w:bottom w:val="nil" w:sz="6" w:space="0" w:color="auto"/>
              <w:right w:val="nil" w:sz="6" w:space="0" w:color="auto"/>
            </w:tcBorders>
          </w:tcPr>
          <w:p>
            <w:pP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87"/>
              <w:jc w:val="right"/>
              <w:rPr>
                <w:rFonts w:ascii="Arial" w:hAnsi="Arial" w:cs="Arial" w:eastAsia="Arial" w:hint="default"/>
                <w:sz w:val="20"/>
                <w:szCs w:val="20"/>
              </w:rPr>
            </w:pPr>
            <w:r>
              <w:rPr>
                <w:rFonts w:ascii="Arial"/>
                <w:sz w:val="20"/>
              </w:rPr>
              <w:t>6.83</w:t>
            </w:r>
          </w:p>
        </w:tc>
        <w:tc>
          <w:tcPr>
            <w:tcW w:w="143"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95"/>
              <w:jc w:val="right"/>
              <w:rPr>
                <w:rFonts w:ascii="Arial" w:hAnsi="Arial" w:cs="Arial" w:eastAsia="Arial" w:hint="default"/>
                <w:sz w:val="20"/>
                <w:szCs w:val="20"/>
              </w:rPr>
            </w:pPr>
            <w:r>
              <w:rPr>
                <w:rFonts w:ascii="Arial"/>
                <w:spacing w:val="-1"/>
                <w:sz w:val="20"/>
              </w:rPr>
              <w:t>189,760,900</w:t>
            </w:r>
          </w:p>
        </w:tc>
      </w:tr>
      <w:tr>
        <w:trPr>
          <w:trHeight w:val="360" w:hRule="exact"/>
        </w:trPr>
        <w:tc>
          <w:tcPr>
            <w:tcW w:w="2117" w:type="dxa"/>
            <w:tcBorders>
              <w:top w:val="nil" w:sz="6" w:space="0" w:color="auto"/>
              <w:left w:val="nil" w:sz="6" w:space="0" w:color="auto"/>
              <w:bottom w:val="nil" w:sz="6" w:space="0" w:color="auto"/>
              <w:right w:val="nil" w:sz="6" w:space="0" w:color="auto"/>
            </w:tcBorders>
          </w:tcPr>
          <w:p>
            <w:pPr>
              <w:pStyle w:val="TableParagraph"/>
              <w:spacing w:line="254" w:lineRule="exact"/>
              <w:ind w:left="35" w:right="0"/>
              <w:jc w:val="left"/>
              <w:rPr>
                <w:rFonts w:ascii="宋体" w:hAnsi="宋体" w:cs="宋体" w:eastAsia="宋体" w:hint="default"/>
                <w:sz w:val="20"/>
                <w:szCs w:val="20"/>
              </w:rPr>
            </w:pPr>
            <w:r>
              <w:rPr>
                <w:rFonts w:ascii="宋体" w:hAnsi="宋体" w:cs="宋体" w:eastAsia="宋体" w:hint="default"/>
                <w:sz w:val="20"/>
                <w:szCs w:val="20"/>
              </w:rPr>
              <w:t>失效</w:t>
            </w:r>
            <w:r>
              <w:rPr>
                <w:rFonts w:ascii="Arial" w:hAnsi="Arial" w:cs="Arial" w:eastAsia="Arial" w:hint="default"/>
                <w:sz w:val="20"/>
                <w:szCs w:val="20"/>
              </w:rPr>
              <w:t>/</w:t>
            </w:r>
            <w:r>
              <w:rPr>
                <w:rFonts w:ascii="宋体" w:hAnsi="宋体" w:cs="宋体" w:eastAsia="宋体" w:hint="default"/>
                <w:sz w:val="20"/>
                <w:szCs w:val="20"/>
              </w:rPr>
              <w:t>取消</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36"/>
              <w:jc w:val="right"/>
              <w:rPr>
                <w:rFonts w:ascii="Arial" w:hAnsi="Arial" w:cs="Arial" w:eastAsia="Arial" w:hint="default"/>
                <w:sz w:val="20"/>
                <w:szCs w:val="20"/>
              </w:rPr>
            </w:pPr>
            <w:r>
              <w:rPr>
                <w:rFonts w:ascii="Arial"/>
                <w:w w:val="100"/>
                <w:sz w:val="20"/>
              </w:rPr>
              <w:t>-</w:t>
            </w:r>
          </w:p>
        </w:tc>
        <w:tc>
          <w:tcPr>
            <w:tcW w:w="157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53"/>
              <w:jc w:val="right"/>
              <w:rPr>
                <w:rFonts w:ascii="Arial" w:hAnsi="Arial" w:cs="Arial" w:eastAsia="Arial" w:hint="default"/>
                <w:sz w:val="20"/>
                <w:szCs w:val="20"/>
              </w:rPr>
            </w:pPr>
            <w:r>
              <w:rPr>
                <w:rFonts w:ascii="Arial"/>
                <w:w w:val="100"/>
                <w:sz w:val="20"/>
              </w:rPr>
              <w:t>-</w:t>
            </w:r>
          </w:p>
        </w:tc>
        <w:tc>
          <w:tcPr>
            <w:tcW w:w="152" w:type="dxa"/>
            <w:tcBorders>
              <w:top w:val="nil" w:sz="6" w:space="0" w:color="auto"/>
              <w:left w:val="nil" w:sz="6" w:space="0" w:color="auto"/>
              <w:bottom w:val="nil" w:sz="6" w:space="0" w:color="auto"/>
              <w:right w:val="nil" w:sz="6" w:space="0" w:color="auto"/>
            </w:tcBorders>
          </w:tcPr>
          <w:p>
            <w:pPr/>
          </w:p>
        </w:tc>
        <w:tc>
          <w:tcPr>
            <w:tcW w:w="1571"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87"/>
              <w:jc w:val="right"/>
              <w:rPr>
                <w:rFonts w:ascii="Arial" w:hAnsi="Arial" w:cs="Arial" w:eastAsia="Arial" w:hint="default"/>
                <w:sz w:val="20"/>
                <w:szCs w:val="20"/>
              </w:rPr>
            </w:pPr>
            <w:r>
              <w:rPr>
                <w:rFonts w:ascii="Arial"/>
                <w:sz w:val="20"/>
              </w:rPr>
              <w:t>6.37</w:t>
            </w:r>
          </w:p>
        </w:tc>
        <w:tc>
          <w:tcPr>
            <w:tcW w:w="143" w:type="dxa"/>
            <w:tcBorders>
              <w:top w:val="nil" w:sz="6" w:space="0" w:color="auto"/>
              <w:left w:val="nil" w:sz="6" w:space="0" w:color="auto"/>
              <w:bottom w:val="nil" w:sz="6" w:space="0" w:color="auto"/>
              <w:right w:val="nil" w:sz="6" w:space="0" w:color="auto"/>
            </w:tcBorders>
          </w:tcPr>
          <w:p>
            <w:pPr/>
          </w:p>
        </w:tc>
        <w:tc>
          <w:tcPr>
            <w:tcW w:w="164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29"/>
              <w:jc w:val="right"/>
              <w:rPr>
                <w:rFonts w:ascii="Arial" w:hAnsi="Arial" w:cs="Arial" w:eastAsia="Arial" w:hint="default"/>
                <w:sz w:val="20"/>
                <w:szCs w:val="20"/>
              </w:rPr>
            </w:pPr>
            <w:r>
              <w:rPr>
                <w:rFonts w:ascii="Arial"/>
                <w:spacing w:val="-1"/>
                <w:sz w:val="20"/>
              </w:rPr>
              <w:t>(2,720,334)</w:t>
            </w:r>
          </w:p>
        </w:tc>
      </w:tr>
    </w:tbl>
    <w:p>
      <w:pPr>
        <w:tabs>
          <w:tab w:pos="2702" w:val="left" w:leader="none"/>
          <w:tab w:pos="4295" w:val="left" w:leader="none"/>
          <w:tab w:pos="5952" w:val="left" w:leader="none"/>
          <w:tab w:pos="7317" w:val="left" w:leader="none"/>
          <w:tab w:pos="8419" w:val="left" w:leader="none"/>
        </w:tabs>
        <w:spacing w:line="291" w:lineRule="exact" w:before="0"/>
        <w:ind w:left="620" w:right="109" w:firstLine="0"/>
        <w:jc w:val="left"/>
        <w:rPr>
          <w:rFonts w:ascii="Arial" w:hAnsi="Arial" w:cs="Arial" w:eastAsia="Arial" w:hint="default"/>
          <w:sz w:val="20"/>
          <w:szCs w:val="20"/>
        </w:rPr>
      </w:pPr>
      <w:r>
        <w:rPr>
          <w:rFonts w:ascii="宋体" w:hAnsi="宋体" w:cs="宋体" w:eastAsia="宋体" w:hint="default"/>
          <w:position w:val="5"/>
          <w:sz w:val="20"/>
          <w:szCs w:val="20"/>
        </w:rPr>
        <w:t>行使</w:t>
        <w:tab/>
      </w:r>
      <w:r>
        <w:rPr>
          <w:rFonts w:ascii="Arial" w:hAnsi="Arial" w:cs="Arial" w:eastAsia="Arial" w:hint="default"/>
          <w:sz w:val="20"/>
          <w:szCs w:val="20"/>
        </w:rPr>
      </w:r>
      <w:r>
        <w:rPr>
          <w:rFonts w:ascii="Arial" w:hAnsi="Arial" w:cs="Arial" w:eastAsia="Arial" w:hint="default"/>
          <w:sz w:val="20"/>
          <w:szCs w:val="20"/>
          <w:u w:val="single" w:color="000000"/>
        </w:rPr>
        <w:t> </w:t>
        <w:tab/>
        <w:t>-</w:t>
      </w:r>
      <w:r>
        <w:rPr>
          <w:rFonts w:ascii="Arial" w:hAnsi="Arial" w:cs="Arial" w:eastAsia="Arial" w:hint="default"/>
          <w:sz w:val="20"/>
          <w:szCs w:val="20"/>
        </w:rPr>
      </w:r>
      <w:r>
        <w:rPr>
          <w:rFonts w:ascii="Arial" w:hAnsi="Arial" w:cs="Arial" w:eastAsia="Arial" w:hint="default"/>
          <w:sz w:val="20"/>
          <w:szCs w:val="20"/>
          <w:u w:val="single" w:color="000000"/>
        </w:rPr>
        <w:t> </w:t>
        <w:tab/>
        <w:t>-</w:t>
      </w:r>
      <w:r>
        <w:rPr>
          <w:rFonts w:ascii="Arial" w:hAnsi="Arial" w:cs="Arial" w:eastAsia="Arial" w:hint="default"/>
          <w:sz w:val="20"/>
          <w:szCs w:val="20"/>
        </w:rPr>
      </w:r>
      <w:r>
        <w:rPr>
          <w:rFonts w:ascii="Arial" w:hAnsi="Arial" w:cs="Arial" w:eastAsia="Arial" w:hint="default"/>
          <w:sz w:val="20"/>
          <w:szCs w:val="20"/>
          <w:u w:val="single" w:color="000000"/>
        </w:rPr>
        <w:t> </w:t>
        <w:tab/>
        <w:t>7.62</w:t>
      </w:r>
      <w:r>
        <w:rPr>
          <w:rFonts w:ascii="Arial" w:hAnsi="Arial" w:cs="Arial" w:eastAsia="Arial" w:hint="default"/>
          <w:sz w:val="20"/>
          <w:szCs w:val="20"/>
        </w:rPr>
      </w:r>
      <w:r>
        <w:rPr>
          <w:rFonts w:ascii="Arial" w:hAnsi="Arial" w:cs="Arial" w:eastAsia="Arial" w:hint="default"/>
          <w:sz w:val="20"/>
          <w:szCs w:val="20"/>
          <w:u w:val="single" w:color="000000"/>
        </w:rPr>
        <w:t> </w:t>
        <w:tab/>
        <w:t>(31,246,000)</w:t>
      </w:r>
      <w:r>
        <w:rPr>
          <w:rFonts w:ascii="Arial" w:hAnsi="Arial" w:cs="Arial" w:eastAsia="Arial" w:hint="default"/>
          <w:sz w:val="20"/>
          <w:szCs w:val="20"/>
        </w:rPr>
      </w:r>
    </w:p>
    <w:p>
      <w:pPr>
        <w:spacing w:line="240" w:lineRule="auto" w:before="4"/>
        <w:rPr>
          <w:rFonts w:ascii="Arial" w:hAnsi="Arial" w:cs="Arial" w:eastAsia="Arial" w:hint="default"/>
          <w:sz w:val="25"/>
          <w:szCs w:val="25"/>
        </w:rPr>
      </w:pPr>
    </w:p>
    <w:tbl>
      <w:tblPr>
        <w:tblW w:w="0" w:type="auto"/>
        <w:jc w:val="left"/>
        <w:tblInd w:w="585" w:type="dxa"/>
        <w:tblLayout w:type="fixed"/>
        <w:tblCellMar>
          <w:top w:w="0" w:type="dxa"/>
          <w:left w:w="0" w:type="dxa"/>
          <w:bottom w:w="0" w:type="dxa"/>
          <w:right w:w="0" w:type="dxa"/>
        </w:tblCellMar>
        <w:tblLook w:val="01E0"/>
      </w:tblPr>
      <w:tblGrid>
        <w:gridCol w:w="2117"/>
        <w:gridCol w:w="1918"/>
        <w:gridCol w:w="1454"/>
        <w:gridCol w:w="149"/>
        <w:gridCol w:w="1566"/>
        <w:gridCol w:w="148"/>
        <w:gridCol w:w="1649"/>
      </w:tblGrid>
      <w:tr>
        <w:trPr>
          <w:trHeight w:val="376" w:hRule="exact"/>
        </w:trPr>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1918" w:type="dxa"/>
            <w:tcBorders>
              <w:top w:val="nil" w:sz="6" w:space="0" w:color="auto"/>
              <w:left w:val="nil" w:sz="6" w:space="0" w:color="auto"/>
              <w:bottom w:val="single" w:sz="17" w:space="0" w:color="000000"/>
              <w:right w:val="nil" w:sz="6" w:space="0" w:color="auto"/>
            </w:tcBorders>
          </w:tcPr>
          <w:p>
            <w:pPr>
              <w:pStyle w:val="TableParagraph"/>
              <w:spacing w:line="240" w:lineRule="auto" w:before="121"/>
              <w:ind w:right="255"/>
              <w:jc w:val="right"/>
              <w:rPr>
                <w:rFonts w:ascii="Arial" w:hAnsi="Arial" w:cs="Arial" w:eastAsia="Arial" w:hint="default"/>
                <w:sz w:val="20"/>
                <w:szCs w:val="20"/>
              </w:rPr>
            </w:pPr>
            <w:r>
              <w:rPr>
                <w:rFonts w:ascii="Arial"/>
                <w:sz w:val="20"/>
              </w:rPr>
              <w:t>6.95</w:t>
            </w:r>
          </w:p>
        </w:tc>
        <w:tc>
          <w:tcPr>
            <w:tcW w:w="1454" w:type="dxa"/>
            <w:tcBorders>
              <w:top w:val="nil" w:sz="6" w:space="0" w:color="auto"/>
              <w:left w:val="nil" w:sz="6" w:space="0" w:color="auto"/>
              <w:bottom w:val="single" w:sz="17" w:space="0" w:color="000000"/>
              <w:right w:val="nil" w:sz="6" w:space="0" w:color="auto"/>
            </w:tcBorders>
          </w:tcPr>
          <w:p>
            <w:pPr>
              <w:pStyle w:val="TableParagraph"/>
              <w:spacing w:line="240" w:lineRule="auto" w:before="121"/>
              <w:ind w:right="80"/>
              <w:jc w:val="right"/>
              <w:rPr>
                <w:rFonts w:ascii="Arial" w:hAnsi="Arial" w:cs="Arial" w:eastAsia="Arial" w:hint="default"/>
                <w:sz w:val="20"/>
                <w:szCs w:val="20"/>
              </w:rPr>
            </w:pPr>
            <w:r>
              <w:rPr>
                <w:rFonts w:ascii="Arial"/>
                <w:spacing w:val="-1"/>
                <w:sz w:val="20"/>
              </w:rPr>
              <w:t>413,074,166</w:t>
            </w:r>
          </w:p>
        </w:tc>
        <w:tc>
          <w:tcPr>
            <w:tcW w:w="149" w:type="dxa"/>
            <w:tcBorders>
              <w:top w:val="nil" w:sz="6" w:space="0" w:color="auto"/>
              <w:left w:val="nil" w:sz="6" w:space="0" w:color="auto"/>
              <w:bottom w:val="nil" w:sz="6" w:space="0" w:color="auto"/>
              <w:right w:val="nil" w:sz="6" w:space="0" w:color="auto"/>
            </w:tcBorders>
          </w:tcPr>
          <w:p>
            <w:pPr/>
          </w:p>
        </w:tc>
        <w:tc>
          <w:tcPr>
            <w:tcW w:w="1566" w:type="dxa"/>
            <w:tcBorders>
              <w:top w:val="nil" w:sz="6" w:space="0" w:color="auto"/>
              <w:left w:val="nil" w:sz="6" w:space="0" w:color="auto"/>
              <w:bottom w:val="single" w:sz="17" w:space="0" w:color="000000"/>
              <w:right w:val="nil" w:sz="6" w:space="0" w:color="auto"/>
            </w:tcBorders>
          </w:tcPr>
          <w:p>
            <w:pPr>
              <w:pStyle w:val="TableParagraph"/>
              <w:spacing w:line="240" w:lineRule="auto" w:before="121"/>
              <w:ind w:right="79"/>
              <w:jc w:val="right"/>
              <w:rPr>
                <w:rFonts w:ascii="Arial" w:hAnsi="Arial" w:cs="Arial" w:eastAsia="Arial" w:hint="default"/>
                <w:sz w:val="20"/>
                <w:szCs w:val="20"/>
              </w:rPr>
            </w:pPr>
            <w:r>
              <w:rPr>
                <w:rFonts w:ascii="Arial"/>
                <w:sz w:val="20"/>
              </w:rPr>
              <w:t>6.95</w:t>
            </w:r>
          </w:p>
        </w:tc>
        <w:tc>
          <w:tcPr>
            <w:tcW w:w="148" w:type="dxa"/>
            <w:tcBorders>
              <w:top w:val="nil" w:sz="6" w:space="0" w:color="auto"/>
              <w:left w:val="nil" w:sz="6" w:space="0" w:color="auto"/>
              <w:bottom w:val="nil" w:sz="6" w:space="0" w:color="auto"/>
              <w:right w:val="nil" w:sz="6" w:space="0" w:color="auto"/>
            </w:tcBorders>
          </w:tcPr>
          <w:p>
            <w:pPr/>
          </w:p>
        </w:tc>
        <w:tc>
          <w:tcPr>
            <w:tcW w:w="1649" w:type="dxa"/>
            <w:tcBorders>
              <w:top w:val="nil" w:sz="6" w:space="0" w:color="auto"/>
              <w:left w:val="nil" w:sz="6" w:space="0" w:color="auto"/>
              <w:bottom w:val="single" w:sz="17" w:space="0" w:color="000000"/>
              <w:right w:val="nil" w:sz="6" w:space="0" w:color="auto"/>
            </w:tcBorders>
          </w:tcPr>
          <w:p>
            <w:pPr>
              <w:pStyle w:val="TableParagraph"/>
              <w:spacing w:line="240" w:lineRule="auto" w:before="121"/>
              <w:ind w:right="95"/>
              <w:jc w:val="right"/>
              <w:rPr>
                <w:rFonts w:ascii="Arial" w:hAnsi="Arial" w:cs="Arial" w:eastAsia="Arial" w:hint="default"/>
                <w:sz w:val="20"/>
                <w:szCs w:val="20"/>
              </w:rPr>
            </w:pPr>
            <w:r>
              <w:rPr>
                <w:rFonts w:ascii="Arial"/>
                <w:spacing w:val="-1"/>
                <w:sz w:val="20"/>
              </w:rPr>
              <w:t>413,074,166</w:t>
            </w:r>
          </w:p>
        </w:tc>
      </w:tr>
      <w:tr>
        <w:trPr>
          <w:trHeight w:val="395" w:hRule="exact"/>
        </w:trPr>
        <w:tc>
          <w:tcPr>
            <w:tcW w:w="2117" w:type="dxa"/>
            <w:tcBorders>
              <w:top w:val="nil" w:sz="6" w:space="0" w:color="auto"/>
              <w:left w:val="nil" w:sz="6" w:space="0" w:color="auto"/>
              <w:bottom w:val="nil" w:sz="6" w:space="0" w:color="auto"/>
              <w:right w:val="nil" w:sz="6" w:space="0" w:color="auto"/>
            </w:tcBorders>
          </w:tcPr>
          <w:p>
            <w:pPr>
              <w:pStyle w:val="TableParagraph"/>
              <w:spacing w:line="240" w:lineRule="auto" w:before="45"/>
              <w:ind w:left="35" w:right="0"/>
              <w:jc w:val="left"/>
              <w:rPr>
                <w:rFonts w:ascii="宋体" w:hAnsi="宋体" w:cs="宋体" w:eastAsia="宋体" w:hint="default"/>
                <w:sz w:val="20"/>
                <w:szCs w:val="20"/>
              </w:rPr>
            </w:pPr>
            <w:r>
              <w:rPr>
                <w:rFonts w:ascii="宋体" w:hAnsi="宋体" w:cs="宋体" w:eastAsia="宋体" w:hint="default"/>
                <w:sz w:val="20"/>
                <w:szCs w:val="20"/>
              </w:rPr>
              <w:t>可于期末行权</w:t>
            </w:r>
          </w:p>
        </w:tc>
        <w:tc>
          <w:tcPr>
            <w:tcW w:w="1918" w:type="dxa"/>
            <w:tcBorders>
              <w:top w:val="single" w:sz="17" w:space="0" w:color="000000"/>
              <w:left w:val="nil" w:sz="6" w:space="0" w:color="auto"/>
              <w:bottom w:val="single" w:sz="17" w:space="0" w:color="000000"/>
              <w:right w:val="nil" w:sz="6" w:space="0" w:color="auto"/>
            </w:tcBorders>
          </w:tcPr>
          <w:p>
            <w:pPr>
              <w:pStyle w:val="TableParagraph"/>
              <w:spacing w:line="240" w:lineRule="auto" w:before="117"/>
              <w:ind w:right="256"/>
              <w:jc w:val="right"/>
              <w:rPr>
                <w:rFonts w:ascii="Arial" w:hAnsi="Arial" w:cs="Arial" w:eastAsia="Arial" w:hint="default"/>
                <w:sz w:val="20"/>
                <w:szCs w:val="20"/>
              </w:rPr>
            </w:pPr>
            <w:r>
              <w:rPr>
                <w:rFonts w:ascii="Arial"/>
                <w:sz w:val="20"/>
              </w:rPr>
              <w:t>6.88</w:t>
            </w:r>
          </w:p>
        </w:tc>
        <w:tc>
          <w:tcPr>
            <w:tcW w:w="1454" w:type="dxa"/>
            <w:tcBorders>
              <w:top w:val="single" w:sz="17" w:space="0" w:color="000000"/>
              <w:left w:val="nil" w:sz="6" w:space="0" w:color="auto"/>
              <w:bottom w:val="single" w:sz="17" w:space="0" w:color="000000"/>
              <w:right w:val="nil" w:sz="6" w:space="0" w:color="auto"/>
            </w:tcBorders>
          </w:tcPr>
          <w:p>
            <w:pPr>
              <w:pStyle w:val="TableParagraph"/>
              <w:spacing w:line="240" w:lineRule="auto" w:before="117"/>
              <w:ind w:right="80"/>
              <w:jc w:val="right"/>
              <w:rPr>
                <w:rFonts w:ascii="Arial" w:hAnsi="Arial" w:cs="Arial" w:eastAsia="Arial" w:hint="default"/>
                <w:sz w:val="20"/>
                <w:szCs w:val="20"/>
              </w:rPr>
            </w:pPr>
            <w:r>
              <w:rPr>
                <w:rFonts w:ascii="Arial"/>
                <w:spacing w:val="-1"/>
                <w:sz w:val="20"/>
              </w:rPr>
              <w:t>390,841,799</w:t>
            </w:r>
          </w:p>
        </w:tc>
        <w:tc>
          <w:tcPr>
            <w:tcW w:w="149" w:type="dxa"/>
            <w:tcBorders>
              <w:top w:val="nil" w:sz="6" w:space="0" w:color="auto"/>
              <w:left w:val="nil" w:sz="6" w:space="0" w:color="auto"/>
              <w:bottom w:val="nil" w:sz="6" w:space="0" w:color="auto"/>
              <w:right w:val="nil" w:sz="6" w:space="0" w:color="auto"/>
            </w:tcBorders>
          </w:tcPr>
          <w:p>
            <w:pPr/>
          </w:p>
        </w:tc>
        <w:tc>
          <w:tcPr>
            <w:tcW w:w="1566" w:type="dxa"/>
            <w:tcBorders>
              <w:top w:val="single" w:sz="17" w:space="0" w:color="000000"/>
              <w:left w:val="nil" w:sz="6" w:space="0" w:color="auto"/>
              <w:bottom w:val="single" w:sz="17" w:space="0" w:color="000000"/>
              <w:right w:val="nil" w:sz="6" w:space="0" w:color="auto"/>
            </w:tcBorders>
          </w:tcPr>
          <w:p>
            <w:pPr>
              <w:pStyle w:val="TableParagraph"/>
              <w:spacing w:line="240" w:lineRule="auto" w:before="117"/>
              <w:ind w:right="79"/>
              <w:jc w:val="right"/>
              <w:rPr>
                <w:rFonts w:ascii="Arial" w:hAnsi="Arial" w:cs="Arial" w:eastAsia="Arial" w:hint="default"/>
                <w:sz w:val="20"/>
                <w:szCs w:val="20"/>
              </w:rPr>
            </w:pPr>
            <w:r>
              <w:rPr>
                <w:rFonts w:ascii="Arial"/>
                <w:sz w:val="20"/>
              </w:rPr>
              <w:t>7.14</w:t>
            </w:r>
          </w:p>
        </w:tc>
        <w:tc>
          <w:tcPr>
            <w:tcW w:w="148" w:type="dxa"/>
            <w:tcBorders>
              <w:top w:val="nil" w:sz="6" w:space="0" w:color="auto"/>
              <w:left w:val="nil" w:sz="6" w:space="0" w:color="auto"/>
              <w:bottom w:val="nil" w:sz="6" w:space="0" w:color="auto"/>
              <w:right w:val="nil" w:sz="6" w:space="0" w:color="auto"/>
            </w:tcBorders>
          </w:tcPr>
          <w:p>
            <w:pPr/>
          </w:p>
        </w:tc>
        <w:tc>
          <w:tcPr>
            <w:tcW w:w="1649" w:type="dxa"/>
            <w:tcBorders>
              <w:top w:val="single" w:sz="17" w:space="0" w:color="000000"/>
              <w:left w:val="nil" w:sz="6" w:space="0" w:color="auto"/>
              <w:bottom w:val="single" w:sz="17" w:space="0" w:color="000000"/>
              <w:right w:val="nil" w:sz="6" w:space="0" w:color="auto"/>
            </w:tcBorders>
          </w:tcPr>
          <w:p>
            <w:pPr>
              <w:pStyle w:val="TableParagraph"/>
              <w:spacing w:line="240" w:lineRule="auto" w:before="117"/>
              <w:ind w:right="95"/>
              <w:jc w:val="right"/>
              <w:rPr>
                <w:rFonts w:ascii="Arial" w:hAnsi="Arial" w:cs="Arial" w:eastAsia="Arial" w:hint="default"/>
                <w:sz w:val="20"/>
                <w:szCs w:val="20"/>
              </w:rPr>
            </w:pPr>
            <w:r>
              <w:rPr>
                <w:rFonts w:ascii="Arial"/>
                <w:spacing w:val="-1"/>
                <w:sz w:val="20"/>
              </w:rPr>
              <w:t>245,359,077</w:t>
            </w:r>
          </w:p>
        </w:tc>
      </w:tr>
    </w:tbl>
    <w:p>
      <w:pPr>
        <w:spacing w:after="0" w:line="240" w:lineRule="auto"/>
        <w:jc w:val="right"/>
        <w:rPr>
          <w:rFonts w:ascii="Arial" w:hAnsi="Arial" w:cs="Arial" w:eastAsia="Arial" w:hint="default"/>
          <w:sz w:val="20"/>
          <w:szCs w:val="20"/>
        </w:rPr>
        <w:sectPr>
          <w:pgSz w:w="11910" w:h="16840"/>
          <w:pgMar w:header="1189" w:footer="752" w:top="4660" w:bottom="940" w:left="1280" w:right="920"/>
        </w:sectPr>
      </w:pPr>
    </w:p>
    <w:p>
      <w:pPr>
        <w:spacing w:line="240" w:lineRule="auto" w:before="2"/>
        <w:rPr>
          <w:rFonts w:ascii="Arial" w:hAnsi="Arial" w:cs="Arial" w:eastAsia="Arial" w:hint="default"/>
          <w:sz w:val="18"/>
          <w:szCs w:val="18"/>
        </w:rPr>
      </w:pPr>
    </w:p>
    <w:p>
      <w:pPr>
        <w:pStyle w:val="BodyText"/>
        <w:spacing w:line="240" w:lineRule="auto" w:before="31"/>
        <w:ind w:left="564" w:right="0"/>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日，联通红筹公司未行使的股份期权的信息列示如下：</w:t>
      </w:r>
    </w:p>
    <w:p>
      <w:pPr>
        <w:spacing w:line="240" w:lineRule="auto" w:before="12"/>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headerReference w:type="default" r:id="rId123"/>
          <w:pgSz w:w="11910" w:h="16840"/>
          <w:pgMar w:header="1189" w:footer="752" w:top="3580" w:bottom="940" w:left="1280" w:right="400"/>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20"/>
          <w:szCs w:val="20"/>
        </w:rPr>
      </w:pPr>
    </w:p>
    <w:p>
      <w:pPr>
        <w:tabs>
          <w:tab w:pos="2946" w:val="left" w:leader="none"/>
          <w:tab w:pos="4758" w:val="left" w:leader="none"/>
          <w:tab w:pos="6379" w:val="left" w:leader="none"/>
        </w:tabs>
        <w:spacing w:line="319" w:lineRule="auto" w:before="0"/>
        <w:ind w:left="642" w:right="0" w:firstLine="489"/>
        <w:jc w:val="left"/>
        <w:rPr>
          <w:rFonts w:ascii="宋体" w:hAnsi="宋体" w:cs="宋体" w:eastAsia="宋体" w:hint="default"/>
          <w:sz w:val="18"/>
          <w:szCs w:val="18"/>
        </w:rPr>
      </w:pPr>
      <w:r>
        <w:rPr/>
        <w:pict>
          <v:group style="position:absolute;margin-left:94.32pt;margin-top:13.512036pt;width:88.6pt;height:.1pt;mso-position-horizontal-relative:page;mso-position-vertical-relative:paragraph;z-index:-912424" coordorigin="1886,270" coordsize="1772,2">
            <v:shape style="position:absolute;left:1886;top:270;width:1772;height:2" coordorigin="1886,270" coordsize="1772,0" path="m1886,270l3658,270e" filled="false" stroked="true" strokeweight=".72pt" strokecolor="#000000">
              <v:path arrowok="t"/>
            </v:shape>
            <w10:wrap type="none"/>
          </v:group>
        </w:pict>
      </w:r>
      <w:r>
        <w:rPr/>
        <w:pict>
          <v:group style="position:absolute;margin-left:188.460007pt;margin-top:13.512036pt;width:90pt;height:.1pt;mso-position-horizontal-relative:page;mso-position-vertical-relative:paragraph;z-index:-912400" coordorigin="3769,270" coordsize="1800,2">
            <v:shape style="position:absolute;left:3769;top:270;width:1800;height:2" coordorigin="3769,270" coordsize="1800,0" path="m3769,270l5569,270e" filled="false" stroked="true" strokeweight=".72pt" strokecolor="#000000">
              <v:path arrowok="t"/>
            </v:shape>
            <w10:wrap type="none"/>
          </v:group>
        </w:pict>
      </w:r>
      <w:r>
        <w:rPr/>
        <w:pict>
          <v:group style="position:absolute;margin-left:283.079987pt;margin-top:13.512036pt;width:90.85pt;height:.1pt;mso-position-horizontal-relative:page;mso-position-vertical-relative:paragraph;z-index:-912376" coordorigin="5662,270" coordsize="1817,2">
            <v:shape style="position:absolute;left:5662;top:270;width:1817;height:2" coordorigin="5662,270" coordsize="1817,0" path="m5662,270l7478,270e" filled="false" stroked="true" strokeweight=".72pt" strokecolor="#000000">
              <v:path arrowok="t"/>
            </v:shape>
            <w10:wrap type="none"/>
          </v:group>
        </w:pict>
      </w:r>
      <w:r>
        <w:rPr/>
        <w:pict>
          <v:group style="position:absolute;margin-left:378.540009pt;margin-top:13.512036pt;width:59.7pt;height:.1pt;mso-position-horizontal-relative:page;mso-position-vertical-relative:paragraph;z-index:-912352" coordorigin="7571,270" coordsize="1194,2">
            <v:shape style="position:absolute;left:7571;top:270;width:1194;height:2" coordorigin="7571,270" coordsize="1194,0" path="m7571,270l8765,270e" filled="false" stroked="true" strokeweight=".72pt" strokecolor="#000000">
              <v:path arrowok="t"/>
            </v:shape>
            <w10:wrap type="none"/>
          </v:group>
        </w:pict>
      </w:r>
      <w:r>
        <w:rPr/>
        <w:pict>
          <v:shape style="position:absolute;margin-left:94.361pt;margin-top:29.938904pt;width:474.1pt;height:186.25pt;mso-position-horizontal-relative:page;mso-position-vertical-relative:paragraph;z-index:72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741"/>
                    <w:gridCol w:w="1909"/>
                    <w:gridCol w:w="1316"/>
                    <w:gridCol w:w="1288"/>
                    <w:gridCol w:w="1227"/>
                  </w:tblGrid>
                  <w:tr>
                    <w:trPr>
                      <w:trHeight w:val="551" w:hRule="exact"/>
                    </w:trPr>
                    <w:tc>
                      <w:tcPr>
                        <w:tcW w:w="3741" w:type="dxa"/>
                        <w:tcBorders>
                          <w:top w:val="nil" w:sz="6" w:space="0" w:color="auto"/>
                          <w:left w:val="nil" w:sz="6" w:space="0" w:color="auto"/>
                          <w:bottom w:val="nil" w:sz="6" w:space="0" w:color="auto"/>
                          <w:right w:val="nil" w:sz="6" w:space="0" w:color="auto"/>
                        </w:tcBorders>
                      </w:tcPr>
                      <w:p>
                        <w:pPr>
                          <w:pStyle w:val="TableParagraph"/>
                          <w:spacing w:line="241" w:lineRule="exact" w:before="11"/>
                          <w:ind w:left="1916" w:right="0"/>
                          <w:jc w:val="left"/>
                          <w:rPr>
                            <w:rFonts w:ascii="宋体" w:hAnsi="宋体" w:cs="宋体" w:eastAsia="宋体" w:hint="default"/>
                            <w:sz w:val="18"/>
                            <w:szCs w:val="18"/>
                          </w:rPr>
                        </w:pPr>
                        <w:r>
                          <w:rPr>
                            <w:rFonts w:ascii="Arial" w:hAnsi="Arial" w:cs="Arial" w:eastAsia="Arial" w:hint="default"/>
                            <w:sz w:val="18"/>
                            <w:szCs w:val="18"/>
                          </w:rPr>
                          <w:t>2000</w:t>
                        </w:r>
                        <w:r>
                          <w:rPr>
                            <w:rFonts w:ascii="Arial" w:hAnsi="Arial" w:cs="Arial" w:eastAsia="Arial"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Arial" w:hAnsi="Arial" w:cs="Arial" w:eastAsia="Arial" w:hint="default"/>
                            <w:sz w:val="18"/>
                            <w:szCs w:val="18"/>
                          </w:rPr>
                          <w:t>6</w:t>
                        </w:r>
                        <w:r>
                          <w:rPr>
                            <w:rFonts w:ascii="Arial" w:hAnsi="Arial" w:cs="Arial" w:eastAsia="Arial"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Arial" w:hAnsi="Arial" w:cs="Arial" w:eastAsia="Arial" w:hint="default"/>
                            <w:sz w:val="18"/>
                            <w:szCs w:val="18"/>
                          </w:rPr>
                          <w:t>22</w:t>
                        </w:r>
                        <w:r>
                          <w:rPr>
                            <w:rFonts w:ascii="Arial" w:hAnsi="Arial" w:cs="Arial" w:eastAsia="Arial" w:hint="default"/>
                            <w:spacing w:val="-10"/>
                            <w:sz w:val="18"/>
                            <w:szCs w:val="18"/>
                          </w:rPr>
                          <w:t> </w:t>
                        </w:r>
                        <w:r>
                          <w:rPr>
                            <w:rFonts w:ascii="宋体" w:hAnsi="宋体" w:cs="宋体" w:eastAsia="宋体" w:hint="default"/>
                            <w:sz w:val="18"/>
                            <w:szCs w:val="18"/>
                          </w:rPr>
                          <w:t>日至</w:t>
                        </w:r>
                      </w:p>
                      <w:p>
                        <w:pPr>
                          <w:pStyle w:val="TableParagraph"/>
                          <w:tabs>
                            <w:tab w:pos="2096" w:val="left" w:leader="none"/>
                          </w:tabs>
                          <w:spacing w:line="241" w:lineRule="exact"/>
                          <w:ind w:left="206" w:right="0"/>
                          <w:jc w:val="left"/>
                          <w:rPr>
                            <w:rFonts w:ascii="宋体" w:hAnsi="宋体" w:cs="宋体" w:eastAsia="宋体" w:hint="default"/>
                            <w:sz w:val="18"/>
                            <w:szCs w:val="18"/>
                          </w:rPr>
                        </w:pPr>
                        <w:r>
                          <w:rPr>
                            <w:rFonts w:ascii="Arial" w:hAnsi="Arial" w:cs="Arial" w:eastAsia="Arial" w:hint="default"/>
                            <w:sz w:val="18"/>
                            <w:szCs w:val="18"/>
                          </w:rPr>
                          <w:t>2000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6</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22</w:t>
                        </w:r>
                        <w:r>
                          <w:rPr>
                            <w:rFonts w:ascii="Arial" w:hAnsi="Arial" w:cs="Arial" w:eastAsia="Arial" w:hint="default"/>
                            <w:spacing w:val="-8"/>
                            <w:sz w:val="18"/>
                            <w:szCs w:val="18"/>
                          </w:rPr>
                          <w:t> </w:t>
                        </w:r>
                        <w:r>
                          <w:rPr>
                            <w:rFonts w:ascii="宋体" w:hAnsi="宋体" w:cs="宋体" w:eastAsia="宋体" w:hint="default"/>
                            <w:sz w:val="18"/>
                            <w:szCs w:val="18"/>
                          </w:rPr>
                          <w:t>日</w:t>
                          <w:tab/>
                        </w:r>
                        <w:r>
                          <w:rPr>
                            <w:rFonts w:ascii="Arial" w:hAnsi="Arial" w:cs="Arial" w:eastAsia="Arial" w:hint="default"/>
                            <w:sz w:val="18"/>
                            <w:szCs w:val="18"/>
                          </w:rPr>
                          <w:t>2002</w:t>
                        </w:r>
                        <w:r>
                          <w:rPr>
                            <w:rFonts w:ascii="Arial" w:hAnsi="Arial" w:cs="Arial" w:eastAsia="Arial"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Arial" w:hAnsi="Arial" w:cs="Arial" w:eastAsia="Arial" w:hint="default"/>
                            <w:sz w:val="18"/>
                            <w:szCs w:val="18"/>
                          </w:rPr>
                          <w:t>6</w:t>
                        </w:r>
                        <w:r>
                          <w:rPr>
                            <w:rFonts w:ascii="Arial" w:hAnsi="Arial" w:cs="Arial" w:eastAsia="Arial"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Arial" w:hAnsi="Arial" w:cs="Arial" w:eastAsia="Arial" w:hint="default"/>
                            <w:sz w:val="18"/>
                            <w:szCs w:val="18"/>
                          </w:rPr>
                          <w:t>21</w:t>
                        </w:r>
                        <w:r>
                          <w:rPr>
                            <w:rFonts w:ascii="Arial" w:hAnsi="Arial" w:cs="Arial" w:eastAsia="Arial" w:hint="default"/>
                            <w:spacing w:val="-10"/>
                            <w:sz w:val="18"/>
                            <w:szCs w:val="18"/>
                          </w:rPr>
                          <w:t> </w:t>
                        </w:r>
                        <w:r>
                          <w:rPr>
                            <w:rFonts w:ascii="宋体" w:hAnsi="宋体" w:cs="宋体" w:eastAsia="宋体" w:hint="default"/>
                            <w:sz w:val="18"/>
                            <w:szCs w:val="18"/>
                          </w:rPr>
                          <w:t>日</w:t>
                        </w:r>
                      </w:p>
                    </w:tc>
                    <w:tc>
                      <w:tcPr>
                        <w:tcW w:w="1909" w:type="dxa"/>
                        <w:tcBorders>
                          <w:top w:val="nil" w:sz="6" w:space="0" w:color="auto"/>
                          <w:left w:val="nil" w:sz="6" w:space="0" w:color="auto"/>
                          <w:bottom w:val="nil" w:sz="6" w:space="0" w:color="auto"/>
                          <w:right w:val="nil" w:sz="6" w:space="0" w:color="auto"/>
                        </w:tcBorders>
                      </w:tcPr>
                      <w:p>
                        <w:pPr>
                          <w:pStyle w:val="TableParagraph"/>
                          <w:spacing w:line="241" w:lineRule="exact" w:before="11"/>
                          <w:ind w:left="81" w:right="0"/>
                          <w:jc w:val="left"/>
                          <w:rPr>
                            <w:rFonts w:ascii="宋体" w:hAnsi="宋体" w:cs="宋体" w:eastAsia="宋体" w:hint="default"/>
                            <w:sz w:val="18"/>
                            <w:szCs w:val="18"/>
                          </w:rPr>
                        </w:pPr>
                        <w:r>
                          <w:rPr>
                            <w:rFonts w:ascii="Arial" w:hAnsi="Arial" w:cs="Arial" w:eastAsia="Arial" w:hint="default"/>
                            <w:sz w:val="18"/>
                            <w:szCs w:val="18"/>
                          </w:rPr>
                          <w:t>2002</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6</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22</w:t>
                        </w:r>
                        <w:r>
                          <w:rPr>
                            <w:rFonts w:ascii="Arial" w:hAnsi="Arial" w:cs="Arial" w:eastAsia="Arial" w:hint="default"/>
                            <w:spacing w:val="-8"/>
                            <w:sz w:val="18"/>
                            <w:szCs w:val="18"/>
                          </w:rPr>
                          <w:t> </w:t>
                        </w:r>
                        <w:r>
                          <w:rPr>
                            <w:rFonts w:ascii="宋体" w:hAnsi="宋体" w:cs="宋体" w:eastAsia="宋体" w:hint="default"/>
                            <w:sz w:val="18"/>
                            <w:szCs w:val="18"/>
                          </w:rPr>
                          <w:t>日至</w:t>
                        </w:r>
                      </w:p>
                      <w:p>
                        <w:pPr>
                          <w:pStyle w:val="TableParagraph"/>
                          <w:spacing w:line="241" w:lineRule="exact"/>
                          <w:ind w:left="81" w:right="0"/>
                          <w:jc w:val="left"/>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6</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50"/>
                          <w:jc w:val="right"/>
                          <w:rPr>
                            <w:rFonts w:ascii="宋体" w:hAnsi="宋体" w:cs="宋体" w:eastAsia="宋体" w:hint="default"/>
                            <w:sz w:val="18"/>
                            <w:szCs w:val="18"/>
                          </w:rPr>
                        </w:pPr>
                        <w:r>
                          <w:rPr>
                            <w:rFonts w:ascii="宋体" w:hAnsi="宋体" w:cs="宋体" w:eastAsia="宋体" w:hint="default"/>
                            <w:sz w:val="18"/>
                            <w:szCs w:val="18"/>
                          </w:rPr>
                          <w:t>港币</w:t>
                        </w:r>
                        <w:r>
                          <w:rPr>
                            <w:rFonts w:ascii="宋体" w:hAnsi="宋体" w:cs="宋体" w:eastAsia="宋体" w:hint="default"/>
                            <w:spacing w:val="-48"/>
                            <w:sz w:val="18"/>
                            <w:szCs w:val="18"/>
                          </w:rPr>
                          <w:t> </w:t>
                        </w:r>
                        <w:r>
                          <w:rPr>
                            <w:rFonts w:ascii="Arial" w:hAnsi="Arial" w:cs="Arial" w:eastAsia="Arial" w:hint="default"/>
                            <w:sz w:val="18"/>
                            <w:szCs w:val="18"/>
                          </w:rPr>
                          <w:t>15.42</w:t>
                        </w:r>
                        <w:r>
                          <w:rPr>
                            <w:rFonts w:ascii="Arial" w:hAnsi="Arial" w:cs="Arial" w:eastAsia="Arial" w:hint="default"/>
                            <w:spacing w:val="-8"/>
                            <w:sz w:val="18"/>
                            <w:szCs w:val="18"/>
                          </w:rPr>
                          <w:t> </w:t>
                        </w:r>
                        <w:r>
                          <w:rPr>
                            <w:rFonts w:ascii="宋体" w:hAnsi="宋体" w:cs="宋体" w:eastAsia="宋体" w:hint="default"/>
                            <w:sz w:val="18"/>
                            <w:szCs w:val="18"/>
                          </w:rPr>
                          <w:t>元</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135"/>
                          <w:jc w:val="right"/>
                          <w:rPr>
                            <w:rFonts w:ascii="Arial" w:hAnsi="Arial" w:cs="Arial" w:eastAsia="Arial" w:hint="default"/>
                            <w:sz w:val="18"/>
                            <w:szCs w:val="18"/>
                          </w:rPr>
                        </w:pPr>
                        <w:r>
                          <w:rPr>
                            <w:rFonts w:ascii="Arial"/>
                            <w:spacing w:val="-1"/>
                            <w:sz w:val="18"/>
                          </w:rPr>
                          <w:t>16,977,600</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40" w:lineRule="auto"/>
                          <w:ind w:right="33"/>
                          <w:jc w:val="right"/>
                          <w:rPr>
                            <w:rFonts w:ascii="Arial" w:hAnsi="Arial" w:cs="Arial" w:eastAsia="Arial" w:hint="default"/>
                            <w:sz w:val="18"/>
                            <w:szCs w:val="18"/>
                          </w:rPr>
                        </w:pPr>
                        <w:r>
                          <w:rPr>
                            <w:rFonts w:ascii="Arial"/>
                            <w:spacing w:val="-1"/>
                            <w:sz w:val="18"/>
                          </w:rPr>
                          <w:t>16,977,600</w:t>
                        </w:r>
                      </w:p>
                    </w:tc>
                  </w:tr>
                  <w:tr>
                    <w:trPr>
                      <w:trHeight w:val="291" w:hRule="exact"/>
                    </w:trPr>
                    <w:tc>
                      <w:tcPr>
                        <w:tcW w:w="3741" w:type="dxa"/>
                        <w:tcBorders>
                          <w:top w:val="nil" w:sz="6" w:space="0" w:color="auto"/>
                          <w:left w:val="nil" w:sz="6" w:space="0" w:color="auto"/>
                          <w:bottom w:val="nil" w:sz="6" w:space="0" w:color="auto"/>
                          <w:right w:val="nil" w:sz="6" w:space="0" w:color="auto"/>
                        </w:tcBorders>
                      </w:tcPr>
                      <w:p>
                        <w:pPr>
                          <w:pStyle w:val="TableParagraph"/>
                          <w:spacing w:line="242" w:lineRule="exact"/>
                          <w:ind w:left="35" w:right="0"/>
                          <w:jc w:val="left"/>
                          <w:rPr>
                            <w:rFonts w:ascii="宋体" w:hAnsi="宋体" w:cs="宋体" w:eastAsia="宋体" w:hint="default"/>
                            <w:sz w:val="18"/>
                            <w:szCs w:val="18"/>
                          </w:rPr>
                        </w:pPr>
                        <w:r>
                          <w:rPr>
                            <w:rFonts w:ascii="宋体" w:hAnsi="宋体" w:cs="宋体" w:eastAsia="宋体" w:hint="default"/>
                            <w:sz w:val="18"/>
                            <w:szCs w:val="18"/>
                          </w:rPr>
                          <w:t>根据股份期权计划授予份数（注</w:t>
                        </w:r>
                        <w:r>
                          <w:rPr>
                            <w:rFonts w:ascii="宋体" w:hAnsi="宋体" w:cs="宋体" w:eastAsia="宋体" w:hint="default"/>
                            <w:spacing w:val="-48"/>
                            <w:sz w:val="18"/>
                            <w:szCs w:val="18"/>
                          </w:rPr>
                          <w:t> </w:t>
                        </w:r>
                        <w:r>
                          <w:rPr>
                            <w:rFonts w:ascii="Arial" w:hAnsi="Arial" w:cs="Arial" w:eastAsia="Arial" w:hint="default"/>
                            <w:sz w:val="18"/>
                            <w:szCs w:val="18"/>
                          </w:rPr>
                          <w:t>1</w:t>
                        </w:r>
                        <w:r>
                          <w:rPr>
                            <w:rFonts w:ascii="宋体" w:hAnsi="宋体" w:cs="宋体" w:eastAsia="宋体" w:hint="default"/>
                            <w:sz w:val="18"/>
                            <w:szCs w:val="18"/>
                          </w:rPr>
                          <w:t>）：</w:t>
                        </w:r>
                      </w:p>
                    </w:tc>
                    <w:tc>
                      <w:tcPr>
                        <w:tcW w:w="1909" w:type="dxa"/>
                        <w:tcBorders>
                          <w:top w:val="nil" w:sz="6" w:space="0" w:color="auto"/>
                          <w:left w:val="nil" w:sz="6" w:space="0" w:color="auto"/>
                          <w:bottom w:val="nil" w:sz="6" w:space="0" w:color="auto"/>
                          <w:right w:val="nil" w:sz="6" w:space="0" w:color="auto"/>
                        </w:tcBorders>
                      </w:tcPr>
                      <w:p>
                        <w:pPr/>
                      </w:p>
                    </w:tc>
                    <w:tc>
                      <w:tcPr>
                        <w:tcW w:w="1316" w:type="dxa"/>
                        <w:tcBorders>
                          <w:top w:val="nil" w:sz="6" w:space="0" w:color="auto"/>
                          <w:left w:val="nil" w:sz="6" w:space="0" w:color="auto"/>
                          <w:bottom w:val="nil" w:sz="6" w:space="0" w:color="auto"/>
                          <w:right w:val="nil" w:sz="6" w:space="0" w:color="auto"/>
                        </w:tcBorders>
                      </w:tcPr>
                      <w:p>
                        <w:pPr/>
                      </w:p>
                    </w:tc>
                    <w:tc>
                      <w:tcPr>
                        <w:tcW w:w="1288" w:type="dxa"/>
                        <w:tcBorders>
                          <w:top w:val="nil" w:sz="6" w:space="0" w:color="auto"/>
                          <w:left w:val="nil" w:sz="6" w:space="0" w:color="auto"/>
                          <w:bottom w:val="nil" w:sz="6" w:space="0" w:color="auto"/>
                          <w:right w:val="nil" w:sz="6" w:space="0" w:color="auto"/>
                        </w:tcBorders>
                      </w:tcPr>
                      <w:p>
                        <w:pPr/>
                      </w:p>
                    </w:tc>
                    <w:tc>
                      <w:tcPr>
                        <w:tcW w:w="1227" w:type="dxa"/>
                        <w:tcBorders>
                          <w:top w:val="nil" w:sz="6" w:space="0" w:color="auto"/>
                          <w:left w:val="nil" w:sz="6" w:space="0" w:color="auto"/>
                          <w:bottom w:val="nil" w:sz="6" w:space="0" w:color="auto"/>
                          <w:right w:val="nil" w:sz="6" w:space="0" w:color="auto"/>
                        </w:tcBorders>
                      </w:tcPr>
                      <w:p>
                        <w:pPr/>
                      </w:p>
                    </w:tc>
                  </w:tr>
                  <w:tr>
                    <w:trPr>
                      <w:trHeight w:val="265" w:hRule="exact"/>
                    </w:trPr>
                    <w:tc>
                      <w:tcPr>
                        <w:tcW w:w="3741" w:type="dxa"/>
                        <w:tcBorders>
                          <w:top w:val="nil" w:sz="6" w:space="0" w:color="auto"/>
                          <w:left w:val="nil" w:sz="6" w:space="0" w:color="auto"/>
                          <w:bottom w:val="nil" w:sz="6" w:space="0" w:color="auto"/>
                          <w:right w:val="nil" w:sz="6" w:space="0" w:color="auto"/>
                        </w:tcBorders>
                      </w:tcPr>
                      <w:p>
                        <w:pPr/>
                      </w:p>
                    </w:tc>
                    <w:tc>
                      <w:tcPr>
                        <w:tcW w:w="1909" w:type="dxa"/>
                        <w:tcBorders>
                          <w:top w:val="nil" w:sz="6" w:space="0" w:color="auto"/>
                          <w:left w:val="nil" w:sz="6" w:space="0" w:color="auto"/>
                          <w:bottom w:val="nil" w:sz="6" w:space="0" w:color="auto"/>
                          <w:right w:val="nil" w:sz="6" w:space="0" w:color="auto"/>
                        </w:tcBorders>
                      </w:tcPr>
                      <w:p>
                        <w:pPr>
                          <w:pStyle w:val="TableParagraph"/>
                          <w:spacing w:line="246" w:lineRule="exact"/>
                          <w:ind w:right="182"/>
                          <w:jc w:val="right"/>
                          <w:rPr>
                            <w:rFonts w:ascii="宋体" w:hAnsi="宋体" w:cs="宋体" w:eastAsia="宋体" w:hint="default"/>
                            <w:sz w:val="18"/>
                            <w:szCs w:val="18"/>
                          </w:rPr>
                        </w:pPr>
                        <w:r>
                          <w:rPr>
                            <w:rFonts w:ascii="Arial" w:hAnsi="Arial" w:cs="Arial" w:eastAsia="Arial" w:hint="default"/>
                            <w:sz w:val="18"/>
                            <w:szCs w:val="18"/>
                          </w:rPr>
                          <w:t>2001</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6</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30</w:t>
                        </w:r>
                        <w:r>
                          <w:rPr>
                            <w:rFonts w:ascii="Arial" w:hAnsi="Arial" w:cs="Arial" w:eastAsia="Arial" w:hint="default"/>
                            <w:spacing w:val="-8"/>
                            <w:sz w:val="18"/>
                            <w:szCs w:val="18"/>
                          </w:rPr>
                          <w:t> </w:t>
                        </w:r>
                        <w:r>
                          <w:rPr>
                            <w:rFonts w:ascii="宋体" w:hAnsi="宋体" w:cs="宋体" w:eastAsia="宋体" w:hint="default"/>
                            <w:sz w:val="18"/>
                            <w:szCs w:val="18"/>
                          </w:rPr>
                          <w:t>日至</w:t>
                        </w:r>
                      </w:p>
                    </w:tc>
                    <w:tc>
                      <w:tcPr>
                        <w:tcW w:w="1316" w:type="dxa"/>
                        <w:tcBorders>
                          <w:top w:val="nil" w:sz="6" w:space="0" w:color="auto"/>
                          <w:left w:val="nil" w:sz="6" w:space="0" w:color="auto"/>
                          <w:bottom w:val="nil" w:sz="6" w:space="0" w:color="auto"/>
                          <w:right w:val="nil" w:sz="6" w:space="0" w:color="auto"/>
                        </w:tcBorders>
                      </w:tcPr>
                      <w:p>
                        <w:pPr/>
                      </w:p>
                    </w:tc>
                    <w:tc>
                      <w:tcPr>
                        <w:tcW w:w="1288" w:type="dxa"/>
                        <w:tcBorders>
                          <w:top w:val="nil" w:sz="6" w:space="0" w:color="auto"/>
                          <w:left w:val="nil" w:sz="6" w:space="0" w:color="auto"/>
                          <w:bottom w:val="nil" w:sz="6" w:space="0" w:color="auto"/>
                          <w:right w:val="nil" w:sz="6" w:space="0" w:color="auto"/>
                        </w:tcBorders>
                      </w:tcPr>
                      <w:p>
                        <w:pPr/>
                      </w:p>
                    </w:tc>
                    <w:tc>
                      <w:tcPr>
                        <w:tcW w:w="1227" w:type="dxa"/>
                        <w:tcBorders>
                          <w:top w:val="nil" w:sz="6" w:space="0" w:color="auto"/>
                          <w:left w:val="nil" w:sz="6" w:space="0" w:color="auto"/>
                          <w:bottom w:val="nil" w:sz="6" w:space="0" w:color="auto"/>
                          <w:right w:val="nil" w:sz="6" w:space="0" w:color="auto"/>
                        </w:tcBorders>
                      </w:tcPr>
                      <w:p>
                        <w:pPr/>
                      </w:p>
                    </w:tc>
                  </w:tr>
                  <w:tr>
                    <w:trPr>
                      <w:trHeight w:val="298" w:hRule="exact"/>
                    </w:trPr>
                    <w:tc>
                      <w:tcPr>
                        <w:tcW w:w="3741" w:type="dxa"/>
                        <w:tcBorders>
                          <w:top w:val="nil" w:sz="6" w:space="0" w:color="auto"/>
                          <w:left w:val="nil" w:sz="6" w:space="0" w:color="auto"/>
                          <w:bottom w:val="nil" w:sz="6" w:space="0" w:color="auto"/>
                          <w:right w:val="nil" w:sz="6" w:space="0" w:color="auto"/>
                        </w:tcBorders>
                      </w:tcPr>
                      <w:p>
                        <w:pPr>
                          <w:pStyle w:val="TableParagraph"/>
                          <w:tabs>
                            <w:tab w:pos="1916" w:val="left" w:leader="none"/>
                          </w:tabs>
                          <w:spacing w:line="215" w:lineRule="exact"/>
                          <w:ind w:left="206" w:right="0"/>
                          <w:jc w:val="left"/>
                          <w:rPr>
                            <w:rFonts w:ascii="宋体" w:hAnsi="宋体" w:cs="宋体" w:eastAsia="宋体" w:hint="default"/>
                            <w:sz w:val="18"/>
                            <w:szCs w:val="18"/>
                          </w:rPr>
                        </w:pPr>
                        <w:r>
                          <w:rPr>
                            <w:rFonts w:ascii="Arial" w:hAnsi="Arial" w:cs="Arial" w:eastAsia="Arial" w:hint="default"/>
                            <w:sz w:val="18"/>
                            <w:szCs w:val="18"/>
                          </w:rPr>
                          <w:t>2001</w:t>
                        </w:r>
                        <w:r>
                          <w:rPr>
                            <w:rFonts w:ascii="Arial" w:hAnsi="Arial" w:cs="Arial" w:eastAsia="Arial"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6</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Arial" w:hAnsi="Arial" w:cs="Arial" w:eastAsia="Arial" w:hint="default"/>
                            <w:sz w:val="18"/>
                            <w:szCs w:val="18"/>
                          </w:rPr>
                          <w:t>30</w:t>
                        </w:r>
                        <w:r>
                          <w:rPr>
                            <w:rFonts w:ascii="Arial" w:hAnsi="Arial" w:cs="Arial" w:eastAsia="Arial" w:hint="default"/>
                            <w:spacing w:val="-9"/>
                            <w:sz w:val="18"/>
                            <w:szCs w:val="18"/>
                          </w:rPr>
                          <w:t> </w:t>
                        </w:r>
                        <w:r>
                          <w:rPr>
                            <w:rFonts w:ascii="宋体" w:hAnsi="宋体" w:cs="宋体" w:eastAsia="宋体" w:hint="default"/>
                            <w:sz w:val="18"/>
                            <w:szCs w:val="18"/>
                          </w:rPr>
                          <w:t>日</w:t>
                          <w:tab/>
                        </w:r>
                        <w:r>
                          <w:rPr>
                            <w:rFonts w:ascii="Arial" w:hAnsi="Arial" w:cs="Arial" w:eastAsia="Arial" w:hint="default"/>
                            <w:sz w:val="18"/>
                            <w:szCs w:val="18"/>
                          </w:rPr>
                          <w:t>2001</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6</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30</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1909" w:type="dxa"/>
                        <w:tcBorders>
                          <w:top w:val="nil" w:sz="6" w:space="0" w:color="auto"/>
                          <w:left w:val="nil" w:sz="6" w:space="0" w:color="auto"/>
                          <w:bottom w:val="nil" w:sz="6" w:space="0" w:color="auto"/>
                          <w:right w:val="nil" w:sz="6" w:space="0" w:color="auto"/>
                        </w:tcBorders>
                      </w:tcPr>
                      <w:p>
                        <w:pPr>
                          <w:pStyle w:val="TableParagraph"/>
                          <w:spacing w:line="215" w:lineRule="exact"/>
                          <w:ind w:right="182"/>
                          <w:jc w:val="right"/>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6</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22</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1316" w:type="dxa"/>
                        <w:tcBorders>
                          <w:top w:val="nil" w:sz="6" w:space="0" w:color="auto"/>
                          <w:left w:val="nil" w:sz="6" w:space="0" w:color="auto"/>
                          <w:bottom w:val="nil" w:sz="6" w:space="0" w:color="auto"/>
                          <w:right w:val="nil" w:sz="6" w:space="0" w:color="auto"/>
                        </w:tcBorders>
                      </w:tcPr>
                      <w:p>
                        <w:pPr>
                          <w:pStyle w:val="TableParagraph"/>
                          <w:spacing w:line="215" w:lineRule="exact"/>
                          <w:ind w:right="151"/>
                          <w:jc w:val="right"/>
                          <w:rPr>
                            <w:rFonts w:ascii="宋体" w:hAnsi="宋体" w:cs="宋体" w:eastAsia="宋体" w:hint="default"/>
                            <w:sz w:val="18"/>
                            <w:szCs w:val="18"/>
                          </w:rPr>
                        </w:pPr>
                        <w:r>
                          <w:rPr>
                            <w:rFonts w:ascii="宋体" w:hAnsi="宋体" w:cs="宋体" w:eastAsia="宋体" w:hint="default"/>
                            <w:sz w:val="18"/>
                            <w:szCs w:val="18"/>
                          </w:rPr>
                          <w:t>港币</w:t>
                        </w:r>
                        <w:r>
                          <w:rPr>
                            <w:rFonts w:ascii="宋体" w:hAnsi="宋体" w:cs="宋体" w:eastAsia="宋体" w:hint="default"/>
                            <w:spacing w:val="-48"/>
                            <w:sz w:val="18"/>
                            <w:szCs w:val="18"/>
                          </w:rPr>
                          <w:t> </w:t>
                        </w:r>
                        <w:r>
                          <w:rPr>
                            <w:rFonts w:ascii="Arial" w:hAnsi="Arial" w:cs="Arial" w:eastAsia="Arial" w:hint="default"/>
                            <w:sz w:val="18"/>
                            <w:szCs w:val="18"/>
                          </w:rPr>
                          <w:t>15.42</w:t>
                        </w:r>
                        <w:r>
                          <w:rPr>
                            <w:rFonts w:ascii="Arial" w:hAnsi="Arial" w:cs="Arial" w:eastAsia="Arial" w:hint="default"/>
                            <w:spacing w:val="-8"/>
                            <w:sz w:val="18"/>
                            <w:szCs w:val="18"/>
                          </w:rPr>
                          <w:t> </w:t>
                        </w:r>
                        <w:r>
                          <w:rPr>
                            <w:rFonts w:ascii="宋体" w:hAnsi="宋体" w:cs="宋体" w:eastAsia="宋体" w:hint="default"/>
                            <w:sz w:val="18"/>
                            <w:szCs w:val="18"/>
                          </w:rPr>
                          <w:t>元</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4"/>
                          <w:jc w:val="right"/>
                          <w:rPr>
                            <w:rFonts w:ascii="Arial" w:hAnsi="Arial" w:cs="Arial" w:eastAsia="Arial" w:hint="default"/>
                            <w:sz w:val="18"/>
                            <w:szCs w:val="18"/>
                          </w:rPr>
                        </w:pPr>
                        <w:r>
                          <w:rPr>
                            <w:rFonts w:ascii="Arial"/>
                            <w:spacing w:val="-1"/>
                            <w:sz w:val="18"/>
                          </w:rPr>
                          <w:t>4,350,000</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36" w:right="0"/>
                          <w:jc w:val="left"/>
                          <w:rPr>
                            <w:rFonts w:ascii="Arial" w:hAnsi="Arial" w:cs="Arial" w:eastAsia="Arial" w:hint="default"/>
                            <w:sz w:val="18"/>
                            <w:szCs w:val="18"/>
                          </w:rPr>
                        </w:pPr>
                        <w:r>
                          <w:rPr>
                            <w:rFonts w:ascii="Arial"/>
                            <w:sz w:val="18"/>
                          </w:rPr>
                          <w:t>4,350,000</w:t>
                        </w:r>
                      </w:p>
                    </w:tc>
                  </w:tr>
                  <w:tr>
                    <w:trPr>
                      <w:trHeight w:val="584" w:hRule="exact"/>
                    </w:trPr>
                    <w:tc>
                      <w:tcPr>
                        <w:tcW w:w="3741" w:type="dxa"/>
                        <w:tcBorders>
                          <w:top w:val="nil" w:sz="6" w:space="0" w:color="auto"/>
                          <w:left w:val="nil" w:sz="6" w:space="0" w:color="auto"/>
                          <w:bottom w:val="nil" w:sz="6" w:space="0" w:color="auto"/>
                          <w:right w:val="nil" w:sz="6" w:space="0" w:color="auto"/>
                        </w:tcBorders>
                      </w:tcPr>
                      <w:p>
                        <w:pPr>
                          <w:pStyle w:val="TableParagraph"/>
                          <w:tabs>
                            <w:tab w:pos="1916" w:val="left" w:leader="none"/>
                          </w:tabs>
                          <w:spacing w:line="241" w:lineRule="exact" w:before="18"/>
                          <w:ind w:left="206" w:right="0"/>
                          <w:jc w:val="left"/>
                          <w:rPr>
                            <w:rFonts w:ascii="宋体" w:hAnsi="宋体" w:cs="宋体" w:eastAsia="宋体" w:hint="default"/>
                            <w:sz w:val="18"/>
                            <w:szCs w:val="18"/>
                          </w:rPr>
                        </w:pPr>
                        <w:r>
                          <w:rPr>
                            <w:rFonts w:ascii="Arial" w:hAnsi="Arial" w:cs="Arial" w:eastAsia="Arial" w:hint="default"/>
                            <w:sz w:val="18"/>
                            <w:szCs w:val="18"/>
                          </w:rPr>
                          <w:t>2003</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5</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21</w:t>
                        </w:r>
                        <w:r>
                          <w:rPr>
                            <w:rFonts w:ascii="Arial" w:hAnsi="Arial" w:cs="Arial" w:eastAsia="Arial" w:hint="default"/>
                            <w:spacing w:val="-8"/>
                            <w:sz w:val="18"/>
                            <w:szCs w:val="18"/>
                          </w:rPr>
                          <w:t> </w:t>
                        </w:r>
                        <w:r>
                          <w:rPr>
                            <w:rFonts w:ascii="宋体" w:hAnsi="宋体" w:cs="宋体" w:eastAsia="宋体" w:hint="default"/>
                            <w:sz w:val="18"/>
                            <w:szCs w:val="18"/>
                          </w:rPr>
                          <w:t>日</w:t>
                          <w:tab/>
                        </w:r>
                        <w:r>
                          <w:rPr>
                            <w:rFonts w:ascii="Arial" w:hAnsi="Arial" w:cs="Arial" w:eastAsia="Arial" w:hint="default"/>
                            <w:sz w:val="18"/>
                            <w:szCs w:val="18"/>
                          </w:rPr>
                          <w:t>2003</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5</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21</w:t>
                        </w:r>
                        <w:r>
                          <w:rPr>
                            <w:rFonts w:ascii="Arial" w:hAnsi="Arial" w:cs="Arial" w:eastAsia="Arial" w:hint="default"/>
                            <w:spacing w:val="-8"/>
                            <w:sz w:val="18"/>
                            <w:szCs w:val="18"/>
                          </w:rPr>
                          <w:t> </w:t>
                        </w:r>
                        <w:r>
                          <w:rPr>
                            <w:rFonts w:ascii="宋体" w:hAnsi="宋体" w:cs="宋体" w:eastAsia="宋体" w:hint="default"/>
                            <w:sz w:val="18"/>
                            <w:szCs w:val="18"/>
                          </w:rPr>
                          <w:t>日至</w:t>
                        </w:r>
                      </w:p>
                      <w:p>
                        <w:pPr>
                          <w:pStyle w:val="TableParagraph"/>
                          <w:tabs>
                            <w:tab w:pos="2096" w:val="left" w:leader="none"/>
                          </w:tabs>
                          <w:spacing w:line="241" w:lineRule="exact"/>
                          <w:ind w:left="206"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8"/>
                            <w:sz w:val="18"/>
                            <w:szCs w:val="18"/>
                          </w:rPr>
                          <w:t> </w:t>
                        </w:r>
                        <w:r>
                          <w:rPr>
                            <w:rFonts w:ascii="Arial" w:hAnsi="Arial" w:cs="Arial" w:eastAsia="Arial" w:hint="default"/>
                            <w:sz w:val="18"/>
                            <w:szCs w:val="18"/>
                          </w:rPr>
                          <w:t>2</w:t>
                        </w:r>
                        <w:r>
                          <w:rPr>
                            <w:rFonts w:ascii="宋体" w:hAnsi="宋体" w:cs="宋体" w:eastAsia="宋体" w:hint="default"/>
                            <w:sz w:val="18"/>
                            <w:szCs w:val="18"/>
                          </w:rPr>
                          <w:t>）</w:t>
                          <w:tab/>
                        </w:r>
                        <w:r>
                          <w:rPr>
                            <w:rFonts w:ascii="Arial" w:hAnsi="Arial" w:cs="Arial" w:eastAsia="Arial" w:hint="default"/>
                            <w:sz w:val="18"/>
                            <w:szCs w:val="18"/>
                          </w:rPr>
                          <w:t>2006</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5</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1909" w:type="dxa"/>
                        <w:tcBorders>
                          <w:top w:val="nil" w:sz="6" w:space="0" w:color="auto"/>
                          <w:left w:val="nil" w:sz="6" w:space="0" w:color="auto"/>
                          <w:bottom w:val="nil" w:sz="6" w:space="0" w:color="auto"/>
                          <w:right w:val="nil" w:sz="6" w:space="0" w:color="auto"/>
                        </w:tcBorders>
                      </w:tcPr>
                      <w:p>
                        <w:pPr>
                          <w:pStyle w:val="TableParagraph"/>
                          <w:spacing w:line="241" w:lineRule="exact" w:before="18"/>
                          <w:ind w:right="100"/>
                          <w:jc w:val="center"/>
                          <w:rPr>
                            <w:rFonts w:ascii="宋体" w:hAnsi="宋体" w:cs="宋体" w:eastAsia="宋体" w:hint="default"/>
                            <w:sz w:val="18"/>
                            <w:szCs w:val="18"/>
                          </w:rPr>
                        </w:pPr>
                        <w:r>
                          <w:rPr>
                            <w:rFonts w:ascii="Arial" w:hAnsi="Arial" w:cs="Arial" w:eastAsia="Arial" w:hint="default"/>
                            <w:sz w:val="18"/>
                            <w:szCs w:val="18"/>
                          </w:rPr>
                          <w:t>2004</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Arial" w:hAnsi="Arial" w:cs="Arial" w:eastAsia="Arial" w:hint="default"/>
                            <w:sz w:val="18"/>
                            <w:szCs w:val="18"/>
                          </w:rPr>
                          <w:t>5</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21</w:t>
                        </w:r>
                        <w:r>
                          <w:rPr>
                            <w:rFonts w:ascii="Arial" w:hAnsi="Arial" w:cs="Arial" w:eastAsia="Arial" w:hint="default"/>
                            <w:spacing w:val="-8"/>
                            <w:sz w:val="18"/>
                            <w:szCs w:val="18"/>
                          </w:rPr>
                          <w:t> </w:t>
                        </w:r>
                        <w:r>
                          <w:rPr>
                            <w:rFonts w:ascii="宋体" w:hAnsi="宋体" w:cs="宋体" w:eastAsia="宋体" w:hint="default"/>
                            <w:sz w:val="18"/>
                            <w:szCs w:val="18"/>
                          </w:rPr>
                          <w:t>日至</w:t>
                        </w:r>
                      </w:p>
                      <w:p>
                        <w:pPr>
                          <w:pStyle w:val="TableParagraph"/>
                          <w:spacing w:line="241" w:lineRule="exact"/>
                          <w:ind w:left="77"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5</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20</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49"/>
                          <w:jc w:val="right"/>
                          <w:rPr>
                            <w:rFonts w:ascii="宋体" w:hAnsi="宋体" w:cs="宋体" w:eastAsia="宋体" w:hint="default"/>
                            <w:sz w:val="18"/>
                            <w:szCs w:val="18"/>
                          </w:rPr>
                        </w:pPr>
                        <w:r>
                          <w:rPr>
                            <w:rFonts w:ascii="宋体" w:hAnsi="宋体" w:cs="宋体" w:eastAsia="宋体" w:hint="default"/>
                            <w:sz w:val="18"/>
                            <w:szCs w:val="18"/>
                          </w:rPr>
                          <w:t>港币</w:t>
                        </w:r>
                        <w:r>
                          <w:rPr>
                            <w:rFonts w:ascii="宋体" w:hAnsi="宋体" w:cs="宋体" w:eastAsia="宋体" w:hint="default"/>
                            <w:spacing w:val="-47"/>
                            <w:sz w:val="18"/>
                            <w:szCs w:val="18"/>
                          </w:rPr>
                          <w:t> </w:t>
                        </w:r>
                        <w:r>
                          <w:rPr>
                            <w:rFonts w:ascii="Arial" w:hAnsi="Arial" w:cs="Arial" w:eastAsia="Arial" w:hint="default"/>
                            <w:sz w:val="18"/>
                            <w:szCs w:val="18"/>
                          </w:rPr>
                          <w:t>4.30</w:t>
                        </w:r>
                        <w:r>
                          <w:rPr>
                            <w:rFonts w:ascii="Arial" w:hAnsi="Arial" w:cs="Arial" w:eastAsia="Arial" w:hint="default"/>
                            <w:spacing w:val="-8"/>
                            <w:sz w:val="18"/>
                            <w:szCs w:val="18"/>
                          </w:rPr>
                          <w:t> </w:t>
                        </w:r>
                        <w:r>
                          <w:rPr>
                            <w:rFonts w:ascii="宋体" w:hAnsi="宋体" w:cs="宋体" w:eastAsia="宋体" w:hint="default"/>
                            <w:sz w:val="18"/>
                            <w:szCs w:val="18"/>
                          </w:rPr>
                          <w:t>元</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right="134"/>
                          <w:jc w:val="right"/>
                          <w:rPr>
                            <w:rFonts w:ascii="Arial" w:hAnsi="Arial" w:cs="Arial" w:eastAsia="Arial" w:hint="default"/>
                            <w:sz w:val="18"/>
                            <w:szCs w:val="18"/>
                          </w:rPr>
                        </w:pPr>
                        <w:r>
                          <w:rPr>
                            <w:rFonts w:ascii="Arial"/>
                            <w:spacing w:val="-1"/>
                            <w:sz w:val="18"/>
                          </w:rPr>
                          <w:t>8,956,000</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337" w:right="0"/>
                          <w:jc w:val="left"/>
                          <w:rPr>
                            <w:rFonts w:ascii="Arial" w:hAnsi="Arial" w:cs="Arial" w:eastAsia="Arial" w:hint="default"/>
                            <w:sz w:val="18"/>
                            <w:szCs w:val="18"/>
                          </w:rPr>
                        </w:pPr>
                        <w:r>
                          <w:rPr>
                            <w:rFonts w:ascii="Arial"/>
                            <w:sz w:val="18"/>
                          </w:rPr>
                          <w:t>8,956,000</w:t>
                        </w:r>
                      </w:p>
                    </w:tc>
                  </w:tr>
                  <w:tr>
                    <w:trPr>
                      <w:trHeight w:val="286" w:hRule="exact"/>
                    </w:trPr>
                    <w:tc>
                      <w:tcPr>
                        <w:tcW w:w="3741"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78"/>
                          <w:jc w:val="right"/>
                          <w:rPr>
                            <w:rFonts w:ascii="宋体" w:hAnsi="宋体" w:cs="宋体" w:eastAsia="宋体" w:hint="default"/>
                            <w:sz w:val="18"/>
                            <w:szCs w:val="18"/>
                          </w:rPr>
                        </w:pPr>
                        <w:r>
                          <w:rPr>
                            <w:rFonts w:ascii="Arial" w:hAnsi="Arial" w:cs="Arial" w:eastAsia="Arial" w:hint="default"/>
                            <w:sz w:val="18"/>
                            <w:szCs w:val="18"/>
                          </w:rPr>
                          <w:t>2004</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7</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20</w:t>
                        </w:r>
                        <w:r>
                          <w:rPr>
                            <w:rFonts w:ascii="Arial" w:hAnsi="Arial" w:cs="Arial" w:eastAsia="Arial" w:hint="default"/>
                            <w:spacing w:val="-8"/>
                            <w:sz w:val="18"/>
                            <w:szCs w:val="18"/>
                          </w:rPr>
                          <w:t> </w:t>
                        </w:r>
                        <w:r>
                          <w:rPr>
                            <w:rFonts w:ascii="宋体" w:hAnsi="宋体" w:cs="宋体" w:eastAsia="宋体" w:hint="default"/>
                            <w:sz w:val="18"/>
                            <w:szCs w:val="18"/>
                          </w:rPr>
                          <w:t>日至</w:t>
                        </w: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82"/>
                          <w:jc w:val="right"/>
                          <w:rPr>
                            <w:rFonts w:ascii="宋体" w:hAnsi="宋体" w:cs="宋体" w:eastAsia="宋体" w:hint="default"/>
                            <w:sz w:val="18"/>
                            <w:szCs w:val="18"/>
                          </w:rPr>
                        </w:pPr>
                        <w:r>
                          <w:rPr>
                            <w:rFonts w:ascii="Arial" w:hAnsi="Arial" w:cs="Arial" w:eastAsia="Arial" w:hint="default"/>
                            <w:sz w:val="18"/>
                            <w:szCs w:val="18"/>
                          </w:rPr>
                          <w:t>2005</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7</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20</w:t>
                        </w:r>
                        <w:r>
                          <w:rPr>
                            <w:rFonts w:ascii="Arial" w:hAnsi="Arial" w:cs="Arial" w:eastAsia="Arial" w:hint="default"/>
                            <w:spacing w:val="-8"/>
                            <w:sz w:val="18"/>
                            <w:szCs w:val="18"/>
                          </w:rPr>
                          <w:t> </w:t>
                        </w:r>
                        <w:r>
                          <w:rPr>
                            <w:rFonts w:ascii="宋体" w:hAnsi="宋体" w:cs="宋体" w:eastAsia="宋体" w:hint="default"/>
                            <w:sz w:val="18"/>
                            <w:szCs w:val="18"/>
                          </w:rPr>
                          <w:t>日至</w:t>
                        </w:r>
                      </w:p>
                    </w:tc>
                    <w:tc>
                      <w:tcPr>
                        <w:tcW w:w="1316" w:type="dxa"/>
                        <w:tcBorders>
                          <w:top w:val="nil" w:sz="6" w:space="0" w:color="auto"/>
                          <w:left w:val="nil" w:sz="6" w:space="0" w:color="auto"/>
                          <w:bottom w:val="nil" w:sz="6" w:space="0" w:color="auto"/>
                          <w:right w:val="nil" w:sz="6" w:space="0" w:color="auto"/>
                        </w:tcBorders>
                      </w:tcPr>
                      <w:p>
                        <w:pPr/>
                      </w:p>
                    </w:tc>
                    <w:tc>
                      <w:tcPr>
                        <w:tcW w:w="1288" w:type="dxa"/>
                        <w:tcBorders>
                          <w:top w:val="nil" w:sz="6" w:space="0" w:color="auto"/>
                          <w:left w:val="nil" w:sz="6" w:space="0" w:color="auto"/>
                          <w:bottom w:val="nil" w:sz="6" w:space="0" w:color="auto"/>
                          <w:right w:val="nil" w:sz="6" w:space="0" w:color="auto"/>
                        </w:tcBorders>
                      </w:tcPr>
                      <w:p>
                        <w:pPr/>
                      </w:p>
                    </w:tc>
                    <w:tc>
                      <w:tcPr>
                        <w:tcW w:w="1227" w:type="dxa"/>
                        <w:tcBorders>
                          <w:top w:val="nil" w:sz="6" w:space="0" w:color="auto"/>
                          <w:left w:val="nil" w:sz="6" w:space="0" w:color="auto"/>
                          <w:bottom w:val="nil" w:sz="6" w:space="0" w:color="auto"/>
                          <w:right w:val="nil" w:sz="6" w:space="0" w:color="auto"/>
                        </w:tcBorders>
                      </w:tcPr>
                      <w:p>
                        <w:pPr/>
                      </w:p>
                    </w:tc>
                  </w:tr>
                  <w:tr>
                    <w:trPr>
                      <w:trHeight w:val="302" w:hRule="exact"/>
                    </w:trPr>
                    <w:tc>
                      <w:tcPr>
                        <w:tcW w:w="3741" w:type="dxa"/>
                        <w:tcBorders>
                          <w:top w:val="nil" w:sz="6" w:space="0" w:color="auto"/>
                          <w:left w:val="nil" w:sz="6" w:space="0" w:color="auto"/>
                          <w:bottom w:val="nil" w:sz="6" w:space="0" w:color="auto"/>
                          <w:right w:val="nil" w:sz="6" w:space="0" w:color="auto"/>
                        </w:tcBorders>
                      </w:tcPr>
                      <w:p>
                        <w:pPr>
                          <w:pStyle w:val="TableParagraph"/>
                          <w:tabs>
                            <w:tab w:pos="1889" w:val="left" w:leader="none"/>
                          </w:tabs>
                          <w:spacing w:line="215" w:lineRule="exact"/>
                          <w:ind w:right="178"/>
                          <w:jc w:val="right"/>
                          <w:rPr>
                            <w:rFonts w:ascii="宋体" w:hAnsi="宋体" w:cs="宋体" w:eastAsia="宋体" w:hint="default"/>
                            <w:sz w:val="18"/>
                            <w:szCs w:val="18"/>
                          </w:rPr>
                        </w:pPr>
                        <w:r>
                          <w:rPr>
                            <w:rFonts w:ascii="Arial" w:hAnsi="Arial" w:cs="Arial" w:eastAsia="Arial" w:hint="default"/>
                            <w:sz w:val="18"/>
                            <w:szCs w:val="18"/>
                          </w:rPr>
                          <w:t>2004</w:t>
                        </w:r>
                        <w:r>
                          <w:rPr>
                            <w:rFonts w:ascii="Arial" w:hAnsi="Arial" w:cs="Arial" w:eastAsia="Arial"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7</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Arial" w:hAnsi="Arial" w:cs="Arial" w:eastAsia="Arial" w:hint="default"/>
                            <w:sz w:val="18"/>
                            <w:szCs w:val="18"/>
                          </w:rPr>
                          <w:t>20</w:t>
                        </w:r>
                        <w:r>
                          <w:rPr>
                            <w:rFonts w:ascii="Arial" w:hAnsi="Arial" w:cs="Arial" w:eastAsia="Arial" w:hint="default"/>
                            <w:spacing w:val="-9"/>
                            <w:sz w:val="18"/>
                            <w:szCs w:val="18"/>
                          </w:rPr>
                          <w:t> </w:t>
                        </w:r>
                        <w:r>
                          <w:rPr>
                            <w:rFonts w:ascii="宋体" w:hAnsi="宋体" w:cs="宋体" w:eastAsia="宋体" w:hint="default"/>
                            <w:sz w:val="18"/>
                            <w:szCs w:val="18"/>
                          </w:rPr>
                          <w:t>日</w:t>
                          <w:tab/>
                        </w:r>
                        <w:r>
                          <w:rPr>
                            <w:rFonts w:ascii="Arial" w:hAnsi="Arial" w:cs="Arial" w:eastAsia="Arial" w:hint="default"/>
                            <w:sz w:val="18"/>
                            <w:szCs w:val="18"/>
                          </w:rPr>
                          <w:t>2007</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7</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20</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1909" w:type="dxa"/>
                        <w:tcBorders>
                          <w:top w:val="nil" w:sz="6" w:space="0" w:color="auto"/>
                          <w:left w:val="nil" w:sz="6" w:space="0" w:color="auto"/>
                          <w:bottom w:val="nil" w:sz="6" w:space="0" w:color="auto"/>
                          <w:right w:val="nil" w:sz="6" w:space="0" w:color="auto"/>
                        </w:tcBorders>
                      </w:tcPr>
                      <w:p>
                        <w:pPr>
                          <w:pStyle w:val="TableParagraph"/>
                          <w:spacing w:line="215" w:lineRule="exact"/>
                          <w:ind w:right="182"/>
                          <w:jc w:val="right"/>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7</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19</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1316" w:type="dxa"/>
                        <w:tcBorders>
                          <w:top w:val="nil" w:sz="6" w:space="0" w:color="auto"/>
                          <w:left w:val="nil" w:sz="6" w:space="0" w:color="auto"/>
                          <w:bottom w:val="nil" w:sz="6" w:space="0" w:color="auto"/>
                          <w:right w:val="nil" w:sz="6" w:space="0" w:color="auto"/>
                        </w:tcBorders>
                      </w:tcPr>
                      <w:p>
                        <w:pPr>
                          <w:pStyle w:val="TableParagraph"/>
                          <w:spacing w:line="215" w:lineRule="exact"/>
                          <w:ind w:right="150"/>
                          <w:jc w:val="right"/>
                          <w:rPr>
                            <w:rFonts w:ascii="宋体" w:hAnsi="宋体" w:cs="宋体" w:eastAsia="宋体" w:hint="default"/>
                            <w:sz w:val="18"/>
                            <w:szCs w:val="18"/>
                          </w:rPr>
                        </w:pPr>
                        <w:r>
                          <w:rPr>
                            <w:rFonts w:ascii="宋体" w:hAnsi="宋体" w:cs="宋体" w:eastAsia="宋体" w:hint="default"/>
                            <w:sz w:val="18"/>
                            <w:szCs w:val="18"/>
                          </w:rPr>
                          <w:t>港币</w:t>
                        </w:r>
                        <w:r>
                          <w:rPr>
                            <w:rFonts w:ascii="宋体" w:hAnsi="宋体" w:cs="宋体" w:eastAsia="宋体" w:hint="default"/>
                            <w:spacing w:val="-47"/>
                            <w:sz w:val="18"/>
                            <w:szCs w:val="18"/>
                          </w:rPr>
                          <w:t> </w:t>
                        </w:r>
                        <w:r>
                          <w:rPr>
                            <w:rFonts w:ascii="Arial" w:hAnsi="Arial" w:cs="Arial" w:eastAsia="Arial" w:hint="default"/>
                            <w:sz w:val="18"/>
                            <w:szCs w:val="18"/>
                          </w:rPr>
                          <w:t>5.92</w:t>
                        </w:r>
                        <w:r>
                          <w:rPr>
                            <w:rFonts w:ascii="Arial" w:hAnsi="Arial" w:cs="Arial" w:eastAsia="Arial" w:hint="default"/>
                            <w:spacing w:val="-8"/>
                            <w:sz w:val="18"/>
                            <w:szCs w:val="18"/>
                          </w:rPr>
                          <w:t> </w:t>
                        </w:r>
                        <w:r>
                          <w:rPr>
                            <w:rFonts w:ascii="宋体" w:hAnsi="宋体" w:cs="宋体" w:eastAsia="宋体" w:hint="default"/>
                            <w:sz w:val="18"/>
                            <w:szCs w:val="18"/>
                          </w:rPr>
                          <w:t>元</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135"/>
                          <w:jc w:val="right"/>
                          <w:rPr>
                            <w:rFonts w:ascii="Arial" w:hAnsi="Arial" w:cs="Arial" w:eastAsia="Arial" w:hint="default"/>
                            <w:sz w:val="18"/>
                            <w:szCs w:val="18"/>
                          </w:rPr>
                        </w:pPr>
                        <w:r>
                          <w:rPr>
                            <w:rFonts w:ascii="Arial"/>
                            <w:spacing w:val="-1"/>
                            <w:sz w:val="18"/>
                          </w:rPr>
                          <w:t>41,024,000</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21"/>
                          <w:ind w:left="234" w:right="0"/>
                          <w:jc w:val="left"/>
                          <w:rPr>
                            <w:rFonts w:ascii="Arial" w:hAnsi="Arial" w:cs="Arial" w:eastAsia="Arial" w:hint="default"/>
                            <w:sz w:val="18"/>
                            <w:szCs w:val="18"/>
                          </w:rPr>
                        </w:pPr>
                        <w:r>
                          <w:rPr>
                            <w:rFonts w:ascii="Arial"/>
                            <w:sz w:val="18"/>
                          </w:rPr>
                          <w:t>41,024,000</w:t>
                        </w:r>
                      </w:p>
                    </w:tc>
                  </w:tr>
                  <w:tr>
                    <w:trPr>
                      <w:trHeight w:val="562" w:hRule="exact"/>
                    </w:trPr>
                    <w:tc>
                      <w:tcPr>
                        <w:tcW w:w="3741" w:type="dxa"/>
                        <w:tcBorders>
                          <w:top w:val="nil" w:sz="6" w:space="0" w:color="auto"/>
                          <w:left w:val="nil" w:sz="6" w:space="0" w:color="auto"/>
                          <w:bottom w:val="nil" w:sz="6" w:space="0" w:color="auto"/>
                          <w:right w:val="nil" w:sz="6" w:space="0" w:color="auto"/>
                        </w:tcBorders>
                      </w:tcPr>
                      <w:p>
                        <w:pPr>
                          <w:pStyle w:val="TableParagraph"/>
                          <w:spacing w:line="241" w:lineRule="exact" w:before="22"/>
                          <w:ind w:left="1915" w:right="0"/>
                          <w:jc w:val="left"/>
                          <w:rPr>
                            <w:rFonts w:ascii="宋体" w:hAnsi="宋体" w:cs="宋体" w:eastAsia="宋体" w:hint="default"/>
                            <w:sz w:val="18"/>
                            <w:szCs w:val="18"/>
                          </w:rPr>
                        </w:pPr>
                        <w:r>
                          <w:rPr>
                            <w:rFonts w:ascii="Arial" w:hAnsi="Arial" w:cs="Arial" w:eastAsia="Arial" w:hint="default"/>
                            <w:sz w:val="18"/>
                            <w:szCs w:val="18"/>
                          </w:rPr>
                          <w:t>2004</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21</w:t>
                        </w:r>
                        <w:r>
                          <w:rPr>
                            <w:rFonts w:ascii="Arial" w:hAnsi="Arial" w:cs="Arial" w:eastAsia="Arial" w:hint="default"/>
                            <w:spacing w:val="-8"/>
                            <w:sz w:val="18"/>
                            <w:szCs w:val="18"/>
                          </w:rPr>
                          <w:t> </w:t>
                        </w:r>
                        <w:r>
                          <w:rPr>
                            <w:rFonts w:ascii="宋体" w:hAnsi="宋体" w:cs="宋体" w:eastAsia="宋体" w:hint="default"/>
                            <w:sz w:val="18"/>
                            <w:szCs w:val="18"/>
                          </w:rPr>
                          <w:t>日至</w:t>
                        </w:r>
                      </w:p>
                      <w:p>
                        <w:pPr>
                          <w:pStyle w:val="TableParagraph"/>
                          <w:tabs>
                            <w:tab w:pos="2095" w:val="left" w:leader="none"/>
                          </w:tabs>
                          <w:spacing w:line="241" w:lineRule="exact"/>
                          <w:ind w:left="184" w:right="0"/>
                          <w:jc w:val="left"/>
                          <w:rPr>
                            <w:rFonts w:ascii="宋体" w:hAnsi="宋体" w:cs="宋体" w:eastAsia="宋体" w:hint="default"/>
                            <w:sz w:val="18"/>
                            <w:szCs w:val="18"/>
                          </w:rPr>
                        </w:pPr>
                        <w:r>
                          <w:rPr>
                            <w:rFonts w:ascii="Arial" w:hAnsi="Arial" w:cs="Arial" w:eastAsia="Arial" w:hint="default"/>
                            <w:sz w:val="18"/>
                            <w:szCs w:val="18"/>
                          </w:rPr>
                          <w:t>2004</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21</w:t>
                        </w:r>
                        <w:r>
                          <w:rPr>
                            <w:rFonts w:ascii="Arial" w:hAnsi="Arial" w:cs="Arial" w:eastAsia="Arial" w:hint="default"/>
                            <w:spacing w:val="-8"/>
                            <w:sz w:val="18"/>
                            <w:szCs w:val="18"/>
                          </w:rPr>
                          <w:t> </w:t>
                        </w:r>
                        <w:r>
                          <w:rPr>
                            <w:rFonts w:ascii="宋体" w:hAnsi="宋体" w:cs="宋体" w:eastAsia="宋体" w:hint="default"/>
                            <w:sz w:val="18"/>
                            <w:szCs w:val="18"/>
                          </w:rPr>
                          <w:t>日</w:t>
                          <w:tab/>
                        </w:r>
                        <w:r>
                          <w:rPr>
                            <w:rFonts w:ascii="Arial" w:hAnsi="Arial" w:cs="Arial" w:eastAsia="Arial" w:hint="default"/>
                            <w:sz w:val="18"/>
                            <w:szCs w:val="18"/>
                          </w:rPr>
                          <w:t>2007</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21</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1909" w:type="dxa"/>
                        <w:tcBorders>
                          <w:top w:val="nil" w:sz="6" w:space="0" w:color="auto"/>
                          <w:left w:val="nil" w:sz="6" w:space="0" w:color="auto"/>
                          <w:bottom w:val="nil" w:sz="6" w:space="0" w:color="auto"/>
                          <w:right w:val="nil" w:sz="6" w:space="0" w:color="auto"/>
                        </w:tcBorders>
                      </w:tcPr>
                      <w:p>
                        <w:pPr>
                          <w:pStyle w:val="TableParagraph"/>
                          <w:spacing w:line="241" w:lineRule="exact" w:before="22"/>
                          <w:ind w:right="3"/>
                          <w:jc w:val="center"/>
                          <w:rPr>
                            <w:rFonts w:ascii="宋体" w:hAnsi="宋体" w:cs="宋体" w:eastAsia="宋体" w:hint="default"/>
                            <w:sz w:val="18"/>
                            <w:szCs w:val="18"/>
                          </w:rPr>
                        </w:pPr>
                        <w:r>
                          <w:rPr>
                            <w:rFonts w:ascii="Arial" w:hAnsi="Arial" w:cs="Arial" w:eastAsia="Arial" w:hint="default"/>
                            <w:sz w:val="18"/>
                            <w:szCs w:val="18"/>
                          </w:rPr>
                          <w:t>2005</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21</w:t>
                        </w:r>
                        <w:r>
                          <w:rPr>
                            <w:rFonts w:ascii="Arial" w:hAnsi="Arial" w:cs="Arial" w:eastAsia="Arial" w:hint="default"/>
                            <w:spacing w:val="-8"/>
                            <w:sz w:val="18"/>
                            <w:szCs w:val="18"/>
                          </w:rPr>
                          <w:t> </w:t>
                        </w:r>
                        <w:r>
                          <w:rPr>
                            <w:rFonts w:ascii="宋体" w:hAnsi="宋体" w:cs="宋体" w:eastAsia="宋体" w:hint="default"/>
                            <w:sz w:val="18"/>
                            <w:szCs w:val="18"/>
                          </w:rPr>
                          <w:t>日至</w:t>
                        </w:r>
                      </w:p>
                      <w:p>
                        <w:pPr>
                          <w:pStyle w:val="TableParagraph"/>
                          <w:spacing w:line="241" w:lineRule="exact"/>
                          <w:ind w:left="175" w:right="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20</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50"/>
                          <w:jc w:val="right"/>
                          <w:rPr>
                            <w:rFonts w:ascii="宋体" w:hAnsi="宋体" w:cs="宋体" w:eastAsia="宋体" w:hint="default"/>
                            <w:sz w:val="18"/>
                            <w:szCs w:val="18"/>
                          </w:rPr>
                        </w:pPr>
                        <w:r>
                          <w:rPr>
                            <w:rFonts w:ascii="宋体" w:hAnsi="宋体" w:cs="宋体" w:eastAsia="宋体" w:hint="default"/>
                            <w:sz w:val="18"/>
                            <w:szCs w:val="18"/>
                          </w:rPr>
                          <w:t>港币</w:t>
                        </w:r>
                        <w:r>
                          <w:rPr>
                            <w:rFonts w:ascii="宋体" w:hAnsi="宋体" w:cs="宋体" w:eastAsia="宋体" w:hint="default"/>
                            <w:spacing w:val="-47"/>
                            <w:sz w:val="18"/>
                            <w:szCs w:val="18"/>
                          </w:rPr>
                          <w:t> </w:t>
                        </w:r>
                        <w:r>
                          <w:rPr>
                            <w:rFonts w:ascii="Arial" w:hAnsi="Arial" w:cs="Arial" w:eastAsia="Arial" w:hint="default"/>
                            <w:sz w:val="18"/>
                            <w:szCs w:val="18"/>
                          </w:rPr>
                          <w:t>6.20</w:t>
                        </w:r>
                        <w:r>
                          <w:rPr>
                            <w:rFonts w:ascii="Arial" w:hAnsi="Arial" w:cs="Arial" w:eastAsia="Arial" w:hint="default"/>
                            <w:spacing w:val="-8"/>
                            <w:sz w:val="18"/>
                            <w:szCs w:val="18"/>
                          </w:rPr>
                          <w:t> </w:t>
                        </w:r>
                        <w:r>
                          <w:rPr>
                            <w:rFonts w:ascii="宋体" w:hAnsi="宋体" w:cs="宋体" w:eastAsia="宋体" w:hint="default"/>
                            <w:sz w:val="18"/>
                            <w:szCs w:val="18"/>
                          </w:rPr>
                          <w:t>元</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135"/>
                          <w:jc w:val="right"/>
                          <w:rPr>
                            <w:rFonts w:ascii="Arial" w:hAnsi="Arial" w:cs="Arial" w:eastAsia="Arial" w:hint="default"/>
                            <w:sz w:val="18"/>
                            <w:szCs w:val="18"/>
                          </w:rPr>
                        </w:pPr>
                        <w:r>
                          <w:rPr>
                            <w:rFonts w:ascii="Arial"/>
                            <w:spacing w:val="-1"/>
                            <w:sz w:val="18"/>
                          </w:rPr>
                          <w:t>654,000</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89"/>
                          <w:jc w:val="right"/>
                          <w:rPr>
                            <w:rFonts w:ascii="Arial" w:hAnsi="Arial" w:cs="Arial" w:eastAsia="Arial" w:hint="default"/>
                            <w:sz w:val="18"/>
                            <w:szCs w:val="18"/>
                          </w:rPr>
                        </w:pPr>
                        <w:r>
                          <w:rPr>
                            <w:rFonts w:ascii="Arial"/>
                            <w:spacing w:val="-1"/>
                            <w:sz w:val="18"/>
                          </w:rPr>
                          <w:t>654,000</w:t>
                        </w:r>
                      </w:p>
                    </w:tc>
                  </w:tr>
                  <w:tr>
                    <w:trPr>
                      <w:trHeight w:val="585" w:hRule="exact"/>
                    </w:trPr>
                    <w:tc>
                      <w:tcPr>
                        <w:tcW w:w="3741" w:type="dxa"/>
                        <w:tcBorders>
                          <w:top w:val="nil" w:sz="6" w:space="0" w:color="auto"/>
                          <w:left w:val="nil" w:sz="6" w:space="0" w:color="auto"/>
                          <w:bottom w:val="nil" w:sz="6" w:space="0" w:color="auto"/>
                          <w:right w:val="nil" w:sz="6" w:space="0" w:color="auto"/>
                        </w:tcBorders>
                      </w:tcPr>
                      <w:p>
                        <w:pPr>
                          <w:pStyle w:val="TableParagraph"/>
                          <w:spacing w:line="234" w:lineRule="exact"/>
                          <w:ind w:left="1915" w:right="0"/>
                          <w:jc w:val="left"/>
                          <w:rPr>
                            <w:rFonts w:ascii="宋体" w:hAnsi="宋体" w:cs="宋体" w:eastAsia="宋体" w:hint="default"/>
                            <w:sz w:val="18"/>
                            <w:szCs w:val="18"/>
                          </w:rPr>
                        </w:pPr>
                        <w:r>
                          <w:rPr>
                            <w:rFonts w:ascii="Arial" w:hAnsi="Arial" w:cs="Arial" w:eastAsia="Arial" w:hint="default"/>
                            <w:sz w:val="18"/>
                            <w:szCs w:val="18"/>
                          </w:rPr>
                          <w:t>2006</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15</w:t>
                        </w:r>
                        <w:r>
                          <w:rPr>
                            <w:rFonts w:ascii="Arial" w:hAnsi="Arial" w:cs="Arial" w:eastAsia="Arial" w:hint="default"/>
                            <w:spacing w:val="-6"/>
                            <w:sz w:val="18"/>
                            <w:szCs w:val="18"/>
                          </w:rPr>
                          <w:t> </w:t>
                        </w:r>
                        <w:r>
                          <w:rPr>
                            <w:rFonts w:ascii="宋体" w:hAnsi="宋体" w:cs="宋体" w:eastAsia="宋体" w:hint="default"/>
                            <w:sz w:val="18"/>
                            <w:szCs w:val="18"/>
                          </w:rPr>
                          <w:t>日至</w:t>
                        </w:r>
                      </w:p>
                      <w:p>
                        <w:pPr>
                          <w:pStyle w:val="TableParagraph"/>
                          <w:tabs>
                            <w:tab w:pos="2096" w:val="left" w:leader="none"/>
                          </w:tabs>
                          <w:spacing w:line="241" w:lineRule="exact"/>
                          <w:ind w:left="205" w:right="0"/>
                          <w:jc w:val="left"/>
                          <w:rPr>
                            <w:rFonts w:ascii="宋体" w:hAnsi="宋体" w:cs="宋体" w:eastAsia="宋体" w:hint="default"/>
                            <w:sz w:val="18"/>
                            <w:szCs w:val="18"/>
                          </w:rPr>
                        </w:pPr>
                        <w:r>
                          <w:rPr>
                            <w:rFonts w:ascii="Arial" w:hAnsi="Arial" w:cs="Arial" w:eastAsia="Arial" w:hint="default"/>
                            <w:sz w:val="18"/>
                            <w:szCs w:val="18"/>
                          </w:rPr>
                          <w:t>2006</w:t>
                        </w:r>
                        <w:r>
                          <w:rPr>
                            <w:rFonts w:ascii="Arial" w:hAnsi="Arial" w:cs="Arial" w:eastAsia="Arial"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Arial" w:hAnsi="Arial" w:cs="Arial" w:eastAsia="Arial" w:hint="default"/>
                            <w:sz w:val="18"/>
                            <w:szCs w:val="18"/>
                          </w:rPr>
                          <w:t>15</w:t>
                        </w:r>
                        <w:r>
                          <w:rPr>
                            <w:rFonts w:ascii="Arial" w:hAnsi="Arial" w:cs="Arial" w:eastAsia="Arial" w:hint="default"/>
                            <w:spacing w:val="-9"/>
                            <w:sz w:val="18"/>
                            <w:szCs w:val="18"/>
                          </w:rPr>
                          <w:t> </w:t>
                        </w:r>
                        <w:r>
                          <w:rPr>
                            <w:rFonts w:ascii="宋体" w:hAnsi="宋体" w:cs="宋体" w:eastAsia="宋体" w:hint="default"/>
                            <w:sz w:val="18"/>
                            <w:szCs w:val="18"/>
                          </w:rPr>
                          <w:t>日</w:t>
                          <w:tab/>
                        </w: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15</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1909" w:type="dxa"/>
                        <w:tcBorders>
                          <w:top w:val="nil" w:sz="6" w:space="0" w:color="auto"/>
                          <w:left w:val="nil" w:sz="6" w:space="0" w:color="auto"/>
                          <w:bottom w:val="nil" w:sz="6" w:space="0" w:color="auto"/>
                          <w:right w:val="nil" w:sz="6" w:space="0" w:color="auto"/>
                        </w:tcBorders>
                      </w:tcPr>
                      <w:p>
                        <w:pPr>
                          <w:pStyle w:val="TableParagraph"/>
                          <w:spacing w:line="234" w:lineRule="exact"/>
                          <w:ind w:right="100"/>
                          <w:jc w:val="center"/>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15</w:t>
                        </w:r>
                        <w:r>
                          <w:rPr>
                            <w:rFonts w:ascii="Arial" w:hAnsi="Arial" w:cs="Arial" w:eastAsia="Arial" w:hint="default"/>
                            <w:spacing w:val="-8"/>
                            <w:sz w:val="18"/>
                            <w:szCs w:val="18"/>
                          </w:rPr>
                          <w:t> </w:t>
                        </w:r>
                        <w:r>
                          <w:rPr>
                            <w:rFonts w:ascii="宋体" w:hAnsi="宋体" w:cs="宋体" w:eastAsia="宋体" w:hint="default"/>
                            <w:sz w:val="18"/>
                            <w:szCs w:val="18"/>
                          </w:rPr>
                          <w:t>日至</w:t>
                        </w:r>
                      </w:p>
                      <w:p>
                        <w:pPr>
                          <w:pStyle w:val="TableParagraph"/>
                          <w:spacing w:line="241" w:lineRule="exact"/>
                          <w:ind w:left="77" w:right="0"/>
                          <w:jc w:val="center"/>
                          <w:rPr>
                            <w:rFonts w:ascii="宋体" w:hAnsi="宋体" w:cs="宋体" w:eastAsia="宋体" w:hint="default"/>
                            <w:sz w:val="18"/>
                            <w:szCs w:val="18"/>
                          </w:rPr>
                        </w:pPr>
                        <w:r>
                          <w:rPr>
                            <w:rFonts w:ascii="Arial" w:hAnsi="Arial" w:cs="Arial" w:eastAsia="Arial" w:hint="default"/>
                            <w:sz w:val="18"/>
                            <w:szCs w:val="18"/>
                          </w:rPr>
                          <w:t>2012</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2</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14</w:t>
                        </w:r>
                        <w:r>
                          <w:rPr>
                            <w:rFonts w:ascii="Arial" w:hAnsi="Arial" w:cs="Arial" w:eastAsia="Arial" w:hint="default"/>
                            <w:spacing w:val="-8"/>
                            <w:sz w:val="18"/>
                            <w:szCs w:val="18"/>
                          </w:rPr>
                          <w:t> </w:t>
                        </w:r>
                        <w:r>
                          <w:rPr>
                            <w:rFonts w:ascii="宋体" w:hAnsi="宋体" w:cs="宋体" w:eastAsia="宋体" w:hint="default"/>
                            <w:sz w:val="18"/>
                            <w:szCs w:val="18"/>
                          </w:rPr>
                          <w:t>日</w:t>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49"/>
                          <w:jc w:val="right"/>
                          <w:rPr>
                            <w:rFonts w:ascii="宋体" w:hAnsi="宋体" w:cs="宋体" w:eastAsia="宋体" w:hint="default"/>
                            <w:sz w:val="18"/>
                            <w:szCs w:val="18"/>
                          </w:rPr>
                        </w:pPr>
                        <w:r>
                          <w:rPr>
                            <w:rFonts w:ascii="宋体" w:hAnsi="宋体" w:cs="宋体" w:eastAsia="宋体" w:hint="default"/>
                            <w:sz w:val="18"/>
                            <w:szCs w:val="18"/>
                          </w:rPr>
                          <w:t>港币</w:t>
                        </w:r>
                        <w:r>
                          <w:rPr>
                            <w:rFonts w:ascii="宋体" w:hAnsi="宋体" w:cs="宋体" w:eastAsia="宋体" w:hint="default"/>
                            <w:spacing w:val="-47"/>
                            <w:sz w:val="18"/>
                            <w:szCs w:val="18"/>
                          </w:rPr>
                          <w:t> </w:t>
                        </w:r>
                        <w:r>
                          <w:rPr>
                            <w:rFonts w:ascii="Arial" w:hAnsi="Arial" w:cs="Arial" w:eastAsia="Arial" w:hint="default"/>
                            <w:sz w:val="18"/>
                            <w:szCs w:val="18"/>
                          </w:rPr>
                          <w:t>6.35</w:t>
                        </w:r>
                        <w:r>
                          <w:rPr>
                            <w:rFonts w:ascii="Arial" w:hAnsi="Arial" w:cs="Arial" w:eastAsia="Arial" w:hint="default"/>
                            <w:spacing w:val="-8"/>
                            <w:sz w:val="18"/>
                            <w:szCs w:val="18"/>
                          </w:rPr>
                          <w:t> </w:t>
                        </w:r>
                        <w:r>
                          <w:rPr>
                            <w:rFonts w:ascii="宋体" w:hAnsi="宋体" w:cs="宋体" w:eastAsia="宋体" w:hint="default"/>
                            <w:sz w:val="18"/>
                            <w:szCs w:val="18"/>
                          </w:rPr>
                          <w:t>元</w:t>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right="134"/>
                          <w:jc w:val="right"/>
                          <w:rPr>
                            <w:rFonts w:ascii="Arial" w:hAnsi="Arial" w:cs="Arial" w:eastAsia="Arial" w:hint="default"/>
                            <w:sz w:val="18"/>
                            <w:szCs w:val="18"/>
                          </w:rPr>
                        </w:pPr>
                        <w:r>
                          <w:rPr>
                            <w:rFonts w:ascii="Arial"/>
                            <w:spacing w:val="-1"/>
                            <w:sz w:val="18"/>
                          </w:rPr>
                          <w:t>151,556,000</w:t>
                        </w:r>
                      </w:p>
                    </w:tc>
                    <w:tc>
                      <w:tcPr>
                        <w:tcW w:w="122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136" w:right="0"/>
                          <w:jc w:val="left"/>
                          <w:rPr>
                            <w:rFonts w:ascii="Arial" w:hAnsi="Arial" w:cs="Arial" w:eastAsia="Arial" w:hint="default"/>
                            <w:sz w:val="18"/>
                            <w:szCs w:val="18"/>
                          </w:rPr>
                        </w:pPr>
                        <w:r>
                          <w:rPr>
                            <w:rFonts w:ascii="Arial"/>
                            <w:sz w:val="18"/>
                          </w:rPr>
                          <w:t>151,556,000</w:t>
                        </w:r>
                      </w:p>
                    </w:tc>
                  </w:tr>
                </w:tbl>
                <w:p>
                  <w:pPr/>
                </w:p>
              </w:txbxContent>
            </v:textbox>
            <w10:wrap type="none"/>
          </v:shape>
        </w:pict>
      </w:r>
      <w:r>
        <w:rPr>
          <w:rFonts w:ascii="宋体" w:hAnsi="宋体" w:cs="宋体" w:eastAsia="宋体" w:hint="default"/>
          <w:sz w:val="18"/>
          <w:szCs w:val="18"/>
        </w:rPr>
        <w:t>期权授予日</w:t>
        <w:tab/>
        <w:t>期权生效期</w:t>
        <w:tab/>
        <w:t>期权可行使期</w:t>
        <w:tab/>
        <w:t>期权行使价格 根据全球发售前股份期权计划授予份数（注</w:t>
      </w:r>
      <w:r>
        <w:rPr>
          <w:rFonts w:ascii="宋体" w:hAnsi="宋体" w:cs="宋体" w:eastAsia="宋体" w:hint="default"/>
          <w:spacing w:val="-48"/>
          <w:sz w:val="18"/>
          <w:szCs w:val="18"/>
        </w:rPr>
        <w:t> </w:t>
      </w:r>
      <w:r>
        <w:rPr>
          <w:rFonts w:ascii="Arial" w:hAnsi="Arial" w:cs="Arial" w:eastAsia="Arial" w:hint="default"/>
          <w:sz w:val="18"/>
          <w:szCs w:val="18"/>
        </w:rPr>
        <w:t>1</w:t>
      </w:r>
      <w:r>
        <w:rPr>
          <w:rFonts w:ascii="宋体" w:hAnsi="宋体" w:cs="宋体" w:eastAsia="宋体" w:hint="default"/>
          <w:sz w:val="18"/>
          <w:szCs w:val="18"/>
        </w:rPr>
        <w:t>）：</w:t>
      </w:r>
    </w:p>
    <w:p>
      <w:pPr>
        <w:spacing w:line="241" w:lineRule="exact" w:before="44"/>
        <w:ind w:left="274" w:right="0" w:firstLine="0"/>
        <w:jc w:val="both"/>
        <w:rPr>
          <w:rFonts w:ascii="宋体" w:hAnsi="宋体" w:cs="宋体" w:eastAsia="宋体" w:hint="default"/>
          <w:sz w:val="18"/>
          <w:szCs w:val="18"/>
        </w:rPr>
      </w:pPr>
      <w:r>
        <w:rPr/>
        <w:br w:type="column"/>
      </w:r>
      <w:r>
        <w:rPr>
          <w:rFonts w:ascii="宋体" w:hAnsi="宋体" w:cs="宋体" w:eastAsia="宋体" w:hint="default"/>
          <w:sz w:val="18"/>
          <w:szCs w:val="18"/>
        </w:rPr>
        <w:t>于</w:t>
      </w:r>
      <w:r>
        <w:rPr>
          <w:rFonts w:ascii="宋体" w:hAnsi="宋体" w:cs="宋体" w:eastAsia="宋体" w:hint="default"/>
          <w:spacing w:val="-47"/>
          <w:sz w:val="18"/>
          <w:szCs w:val="18"/>
        </w:rPr>
        <w:t> </w:t>
      </w:r>
      <w:r>
        <w:rPr>
          <w:rFonts w:ascii="Arial" w:hAnsi="Arial" w:cs="Arial" w:eastAsia="Arial" w:hint="default"/>
          <w:sz w:val="18"/>
          <w:szCs w:val="18"/>
        </w:rPr>
        <w:t>2009</w:t>
      </w:r>
      <w:r>
        <w:rPr>
          <w:rFonts w:ascii="Arial" w:hAnsi="Arial" w:cs="Arial" w:eastAsia="Arial" w:hint="default"/>
          <w:spacing w:val="-8"/>
          <w:sz w:val="18"/>
          <w:szCs w:val="18"/>
        </w:rPr>
        <w:t> </w:t>
      </w:r>
      <w:r>
        <w:rPr>
          <w:rFonts w:ascii="宋体" w:hAnsi="宋体" w:cs="宋体" w:eastAsia="宋体" w:hint="default"/>
          <w:sz w:val="18"/>
          <w:szCs w:val="18"/>
        </w:rPr>
        <w:t>年</w:t>
      </w:r>
    </w:p>
    <w:p>
      <w:pPr>
        <w:spacing w:line="232" w:lineRule="auto" w:before="0"/>
        <w:ind w:left="249" w:right="0" w:firstLine="2"/>
        <w:jc w:val="both"/>
        <w:rPr>
          <w:rFonts w:ascii="宋体" w:hAnsi="宋体" w:cs="宋体" w:eastAsia="宋体" w:hint="default"/>
          <w:sz w:val="18"/>
          <w:szCs w:val="18"/>
        </w:rPr>
      </w:pPr>
      <w:r>
        <w:rPr/>
        <w:pict>
          <v:group style="position:absolute;margin-left:444.480011pt;margin-top:36.542694pt;width:58.2pt;height:.1pt;mso-position-horizontal-relative:page;mso-position-vertical-relative:paragraph;z-index:7168" coordorigin="8890,731" coordsize="1164,2">
            <v:shape style="position:absolute;left:8890;top:731;width:1164;height:2" coordorigin="8890,731" coordsize="1164,0" path="m8890,731l10054,731e" filled="false" stroked="true" strokeweight=".72pt" strokecolor="#000000">
              <v:path arrowok="t"/>
            </v:shape>
            <w10:wrap type="none"/>
          </v:group>
        </w:pict>
      </w: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 未行使股份 期权份数</w:t>
      </w:r>
    </w:p>
    <w:p>
      <w:pPr>
        <w:spacing w:line="241" w:lineRule="exact" w:before="44"/>
        <w:ind w:left="386" w:right="0" w:firstLine="0"/>
        <w:jc w:val="both"/>
        <w:rPr>
          <w:rFonts w:ascii="宋体" w:hAnsi="宋体" w:cs="宋体" w:eastAsia="宋体" w:hint="default"/>
          <w:sz w:val="18"/>
          <w:szCs w:val="18"/>
        </w:rPr>
      </w:pPr>
      <w:r>
        <w:rPr/>
        <w:br w:type="column"/>
      </w:r>
      <w:r>
        <w:rPr>
          <w:rFonts w:ascii="宋体" w:hAnsi="宋体" w:cs="宋体" w:eastAsia="宋体" w:hint="default"/>
          <w:sz w:val="18"/>
          <w:szCs w:val="18"/>
        </w:rPr>
        <w:t>于</w:t>
      </w:r>
      <w:r>
        <w:rPr>
          <w:rFonts w:ascii="宋体" w:hAnsi="宋体" w:cs="宋体" w:eastAsia="宋体" w:hint="default"/>
          <w:spacing w:val="-47"/>
          <w:sz w:val="18"/>
          <w:szCs w:val="18"/>
        </w:rPr>
        <w:t> </w:t>
      </w:r>
      <w:r>
        <w:rPr>
          <w:rFonts w:ascii="Arial" w:hAnsi="Arial" w:cs="Arial" w:eastAsia="Arial" w:hint="default"/>
          <w:sz w:val="18"/>
          <w:szCs w:val="18"/>
        </w:rPr>
        <w:t>2008</w:t>
      </w:r>
      <w:r>
        <w:rPr>
          <w:rFonts w:ascii="Arial" w:hAnsi="Arial" w:cs="Arial" w:eastAsia="Arial" w:hint="default"/>
          <w:spacing w:val="-8"/>
          <w:sz w:val="18"/>
          <w:szCs w:val="18"/>
        </w:rPr>
        <w:t> </w:t>
      </w:r>
      <w:r>
        <w:rPr>
          <w:rFonts w:ascii="宋体" w:hAnsi="宋体" w:cs="宋体" w:eastAsia="宋体" w:hint="default"/>
          <w:sz w:val="18"/>
          <w:szCs w:val="18"/>
        </w:rPr>
        <w:t>年</w:t>
      </w:r>
    </w:p>
    <w:p>
      <w:pPr>
        <w:spacing w:line="232" w:lineRule="auto" w:before="0"/>
        <w:ind w:left="360" w:right="272" w:firstLine="3"/>
        <w:jc w:val="both"/>
        <w:rPr>
          <w:rFonts w:ascii="宋体" w:hAnsi="宋体" w:cs="宋体" w:eastAsia="宋体" w:hint="default"/>
          <w:sz w:val="18"/>
          <w:szCs w:val="18"/>
        </w:rPr>
      </w:pPr>
      <w:r>
        <w:rPr/>
        <w:pict>
          <v:group style="position:absolute;margin-left:508.140015pt;margin-top:36.542694pt;width:61.05pt;height:.1pt;mso-position-horizontal-relative:page;mso-position-vertical-relative:paragraph;z-index:7192" coordorigin="10163,731" coordsize="1221,2">
            <v:shape style="position:absolute;left:10163;top:731;width:1221;height:2" coordorigin="10163,731" coordsize="1221,0" path="m10163,731l11383,731e" filled="false" stroked="true" strokeweight=".72pt" strokecolor="#000000">
              <v:path arrowok="t"/>
            </v:shape>
            <w10:wrap type="none"/>
          </v:group>
        </w:pict>
      </w: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31</w:t>
      </w:r>
      <w:r>
        <w:rPr>
          <w:rFonts w:ascii="Arial" w:hAnsi="Arial" w:cs="Arial" w:eastAsia="Arial" w:hint="default"/>
          <w:spacing w:val="-8"/>
          <w:sz w:val="18"/>
          <w:szCs w:val="18"/>
        </w:rPr>
        <w:t> </w:t>
      </w:r>
      <w:r>
        <w:rPr>
          <w:rFonts w:ascii="宋体" w:hAnsi="宋体" w:cs="宋体" w:eastAsia="宋体" w:hint="default"/>
          <w:sz w:val="18"/>
          <w:szCs w:val="18"/>
        </w:rPr>
        <w:t>日 未行使股份 期权份数</w:t>
      </w:r>
    </w:p>
    <w:p>
      <w:pPr>
        <w:spacing w:after="0" w:line="232" w:lineRule="auto"/>
        <w:jc w:val="both"/>
        <w:rPr>
          <w:rFonts w:ascii="宋体" w:hAnsi="宋体" w:cs="宋体" w:eastAsia="宋体" w:hint="default"/>
          <w:sz w:val="18"/>
          <w:szCs w:val="18"/>
        </w:rPr>
        <w:sectPr>
          <w:type w:val="continuous"/>
          <w:pgSz w:w="11910" w:h="16840"/>
          <w:pgMar w:top="1600" w:bottom="280" w:left="1280" w:right="400"/>
          <w:cols w:num="3" w:equalWidth="0">
            <w:col w:w="7460" w:space="40"/>
            <w:col w:w="1150" w:space="40"/>
            <w:col w:w="1540"/>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p>
      <w:pPr>
        <w:spacing w:before="44"/>
        <w:ind w:left="641" w:right="0" w:firstLine="0"/>
        <w:jc w:val="left"/>
        <w:rPr>
          <w:rFonts w:ascii="宋体" w:hAnsi="宋体" w:cs="宋体" w:eastAsia="宋体" w:hint="default"/>
          <w:sz w:val="18"/>
          <w:szCs w:val="18"/>
        </w:rPr>
      </w:pPr>
      <w:r>
        <w:rPr>
          <w:rFonts w:ascii="宋体" w:hAnsi="宋体" w:cs="宋体" w:eastAsia="宋体" w:hint="default"/>
          <w:sz w:val="18"/>
          <w:szCs w:val="18"/>
        </w:rPr>
        <w:t>根据特殊目的股份期权计划授予份数：</w:t>
      </w:r>
    </w:p>
    <w:p>
      <w:pPr>
        <w:spacing w:line="240" w:lineRule="auto" w:before="3"/>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type w:val="continuous"/>
          <w:pgSz w:w="11910" w:h="16840"/>
          <w:pgMar w:top="1600" w:bottom="280" w:left="1280" w:right="400"/>
        </w:sectPr>
      </w:pPr>
    </w:p>
    <w:p>
      <w:pPr>
        <w:spacing w:line="241" w:lineRule="exact" w:before="44"/>
        <w:ind w:left="830" w:right="-11" w:firstLine="0"/>
        <w:jc w:val="lef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17"/>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Arial" w:hAnsi="Arial" w:cs="Arial" w:eastAsia="Arial" w:hint="default"/>
          <w:sz w:val="18"/>
          <w:szCs w:val="18"/>
        </w:rPr>
        <w:t>10</w:t>
      </w:r>
      <w:r>
        <w:rPr>
          <w:rFonts w:ascii="Arial" w:hAnsi="Arial" w:cs="Arial" w:eastAsia="Arial"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Arial" w:hAnsi="Arial" w:cs="Arial" w:eastAsia="Arial" w:hint="default"/>
          <w:sz w:val="18"/>
          <w:szCs w:val="18"/>
        </w:rPr>
        <w:t>15</w:t>
      </w:r>
      <w:r>
        <w:rPr>
          <w:rFonts w:ascii="Arial" w:hAnsi="Arial" w:cs="Arial" w:eastAsia="Arial" w:hint="default"/>
          <w:spacing w:val="-17"/>
          <w:sz w:val="18"/>
          <w:szCs w:val="18"/>
        </w:rPr>
        <w:t> </w:t>
      </w:r>
      <w:r>
        <w:rPr>
          <w:rFonts w:ascii="宋体" w:hAnsi="宋体" w:cs="宋体" w:eastAsia="宋体" w:hint="default"/>
          <w:sz w:val="18"/>
          <w:szCs w:val="18"/>
        </w:rPr>
        <w:t>日</w:t>
      </w:r>
    </w:p>
    <w:p>
      <w:pPr>
        <w:spacing w:line="232" w:lineRule="exact" w:before="17"/>
        <w:ind w:left="830" w:right="74" w:firstLine="0"/>
        <w:jc w:val="left"/>
        <w:rPr>
          <w:rFonts w:ascii="宋体" w:hAnsi="宋体" w:cs="宋体" w:eastAsia="宋体" w:hint="default"/>
          <w:sz w:val="18"/>
          <w:szCs w:val="18"/>
        </w:rPr>
      </w:pPr>
      <w:r>
        <w:rPr>
          <w:rFonts w:ascii="宋体" w:hAnsi="宋体" w:cs="宋体" w:eastAsia="宋体" w:hint="default"/>
          <w:sz w:val="18"/>
          <w:szCs w:val="18"/>
        </w:rPr>
        <w:t>（</w:t>
      </w:r>
      <w:r>
        <w:rPr>
          <w:rFonts w:ascii="Arial" w:hAnsi="Arial" w:cs="Arial" w:eastAsia="Arial" w:hint="default"/>
          <w:sz w:val="18"/>
          <w:szCs w:val="18"/>
        </w:rPr>
        <w:t>2004</w:t>
      </w:r>
      <w:r>
        <w:rPr>
          <w:rFonts w:ascii="Arial" w:hAnsi="Arial" w:cs="Arial" w:eastAsia="Arial" w:hint="default"/>
          <w:spacing w:val="-15"/>
          <w:sz w:val="18"/>
          <w:szCs w:val="18"/>
        </w:rPr>
        <w:t> </w:t>
      </w:r>
      <w:r>
        <w:rPr>
          <w:rFonts w:ascii="宋体" w:hAnsi="宋体" w:cs="宋体" w:eastAsia="宋体" w:hint="default"/>
          <w:sz w:val="18"/>
          <w:szCs w:val="18"/>
        </w:rPr>
        <w:t>年网通红筹 公司原第一次授予</w:t>
      </w:r>
    </w:p>
    <w:p>
      <w:pPr>
        <w:spacing w:line="213" w:lineRule="exact" w:before="0"/>
        <w:ind w:left="830" w:right="-11" w:firstLine="0"/>
        <w:jc w:val="left"/>
        <w:rPr>
          <w:rFonts w:ascii="宋体" w:hAnsi="宋体" w:cs="宋体" w:eastAsia="宋体" w:hint="default"/>
          <w:sz w:val="18"/>
          <w:szCs w:val="18"/>
        </w:rPr>
      </w:pPr>
      <w:r>
        <w:rPr>
          <w:rFonts w:ascii="宋体" w:hAnsi="宋体" w:cs="宋体" w:eastAsia="宋体" w:hint="default"/>
          <w:spacing w:val="-20"/>
          <w:sz w:val="18"/>
          <w:szCs w:val="18"/>
        </w:rPr>
        <w:t>（“第一次授予”））</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1"/>
        <w:rPr>
          <w:rFonts w:ascii="宋体" w:hAnsi="宋体" w:cs="宋体" w:eastAsia="宋体" w:hint="default"/>
          <w:sz w:val="21"/>
          <w:szCs w:val="21"/>
        </w:rPr>
      </w:pPr>
    </w:p>
    <w:p>
      <w:pPr>
        <w:spacing w:line="241" w:lineRule="exact" w:before="0"/>
        <w:ind w:left="44" w:right="0" w:firstLine="0"/>
        <w:jc w:val="center"/>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10</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15</w:t>
      </w:r>
      <w:r>
        <w:rPr>
          <w:rFonts w:ascii="Arial" w:hAnsi="Arial" w:cs="Arial" w:eastAsia="Arial" w:hint="default"/>
          <w:spacing w:val="-8"/>
          <w:sz w:val="18"/>
          <w:szCs w:val="18"/>
        </w:rPr>
        <w:t> </w:t>
      </w:r>
      <w:r>
        <w:rPr>
          <w:rFonts w:ascii="宋体" w:hAnsi="宋体" w:cs="宋体" w:eastAsia="宋体" w:hint="default"/>
          <w:sz w:val="18"/>
          <w:szCs w:val="18"/>
        </w:rPr>
        <w:t>日至</w:t>
      </w:r>
    </w:p>
    <w:p>
      <w:pPr>
        <w:spacing w:line="241" w:lineRule="exact" w:before="0"/>
        <w:ind w:left="123" w:right="0" w:firstLine="0"/>
        <w:jc w:val="center"/>
        <w:rPr>
          <w:rFonts w:ascii="宋体" w:hAnsi="宋体" w:cs="宋体" w:eastAsia="宋体" w:hint="default"/>
          <w:sz w:val="18"/>
          <w:szCs w:val="18"/>
        </w:rPr>
      </w:pPr>
      <w:r>
        <w:rPr>
          <w:rFonts w:ascii="Arial" w:hAnsi="Arial" w:cs="Arial" w:eastAsia="Arial" w:hint="default"/>
          <w:sz w:val="18"/>
          <w:szCs w:val="18"/>
        </w:rPr>
        <w:t>2009</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5</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17</w:t>
      </w:r>
      <w:r>
        <w:rPr>
          <w:rFonts w:ascii="Arial" w:hAnsi="Arial" w:cs="Arial" w:eastAsia="Arial" w:hint="default"/>
          <w:spacing w:val="-8"/>
          <w:sz w:val="18"/>
          <w:szCs w:val="18"/>
        </w:rPr>
        <w:t> </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1"/>
        <w:rPr>
          <w:rFonts w:ascii="宋体" w:hAnsi="宋体" w:cs="宋体" w:eastAsia="宋体" w:hint="default"/>
          <w:sz w:val="21"/>
          <w:szCs w:val="21"/>
        </w:rPr>
      </w:pPr>
    </w:p>
    <w:p>
      <w:pPr>
        <w:spacing w:line="241" w:lineRule="exact" w:before="0"/>
        <w:ind w:left="94" w:right="4046" w:firstLine="0"/>
        <w:jc w:val="center"/>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10</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15</w:t>
      </w:r>
      <w:r>
        <w:rPr>
          <w:rFonts w:ascii="Arial" w:hAnsi="Arial" w:cs="Arial" w:eastAsia="Arial" w:hint="default"/>
          <w:spacing w:val="-8"/>
          <w:sz w:val="18"/>
          <w:szCs w:val="18"/>
        </w:rPr>
        <w:t> </w:t>
      </w:r>
      <w:r>
        <w:rPr>
          <w:rFonts w:ascii="宋体" w:hAnsi="宋体" w:cs="宋体" w:eastAsia="宋体" w:hint="default"/>
          <w:sz w:val="18"/>
          <w:szCs w:val="18"/>
        </w:rPr>
        <w:t>日至</w:t>
      </w:r>
    </w:p>
    <w:p>
      <w:pPr>
        <w:spacing w:line="241" w:lineRule="exact" w:before="0"/>
        <w:ind w:left="94" w:right="3878" w:firstLine="0"/>
        <w:jc w:val="center"/>
        <w:rPr>
          <w:rFonts w:ascii="宋体" w:hAnsi="宋体" w:cs="宋体" w:eastAsia="宋体" w:hint="default"/>
          <w:sz w:val="18"/>
          <w:szCs w:val="18"/>
        </w:rPr>
      </w:pPr>
      <w:r>
        <w:rPr/>
        <w:pict>
          <v:shape style="position:absolute;margin-left:384.36499pt;margin-top:2.159415pt;width:185.2pt;height:92.5pt;mso-position-horizontal-relative:page;mso-position-vertical-relative:paragraph;z-index:7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95"/>
                    <w:gridCol w:w="1226"/>
                    <w:gridCol w:w="1282"/>
                  </w:tblGrid>
                  <w:tr>
                    <w:trPr>
                      <w:trHeight w:val="677" w:hRule="exact"/>
                    </w:trPr>
                    <w:tc>
                      <w:tcPr>
                        <w:tcW w:w="1195" w:type="dxa"/>
                        <w:tcBorders>
                          <w:top w:val="nil" w:sz="6" w:space="0" w:color="auto"/>
                          <w:left w:val="nil" w:sz="6" w:space="0" w:color="auto"/>
                          <w:bottom w:val="nil" w:sz="6" w:space="0" w:color="auto"/>
                          <w:right w:val="nil" w:sz="6" w:space="0" w:color="auto"/>
                        </w:tcBorders>
                      </w:tcPr>
                      <w:p>
                        <w:pPr>
                          <w:pStyle w:val="TableParagraph"/>
                          <w:spacing w:line="198" w:lineRule="exact"/>
                          <w:ind w:left="35" w:right="0"/>
                          <w:jc w:val="left"/>
                          <w:rPr>
                            <w:rFonts w:ascii="宋体" w:hAnsi="宋体" w:cs="宋体" w:eastAsia="宋体" w:hint="default"/>
                            <w:sz w:val="18"/>
                            <w:szCs w:val="18"/>
                          </w:rPr>
                        </w:pPr>
                        <w:r>
                          <w:rPr>
                            <w:rFonts w:ascii="宋体" w:hAnsi="宋体" w:cs="宋体" w:eastAsia="宋体" w:hint="default"/>
                            <w:sz w:val="18"/>
                            <w:szCs w:val="18"/>
                          </w:rPr>
                          <w:t>港币</w:t>
                        </w:r>
                        <w:r>
                          <w:rPr>
                            <w:rFonts w:ascii="宋体" w:hAnsi="宋体" w:cs="宋体" w:eastAsia="宋体" w:hint="default"/>
                            <w:spacing w:val="-47"/>
                            <w:sz w:val="18"/>
                            <w:szCs w:val="18"/>
                          </w:rPr>
                          <w:t> </w:t>
                        </w:r>
                        <w:r>
                          <w:rPr>
                            <w:rFonts w:ascii="Arial" w:hAnsi="Arial" w:cs="Arial" w:eastAsia="Arial" w:hint="default"/>
                            <w:sz w:val="18"/>
                            <w:szCs w:val="18"/>
                          </w:rPr>
                          <w:t>5.57</w:t>
                        </w:r>
                        <w:r>
                          <w:rPr>
                            <w:rFonts w:ascii="Arial" w:hAnsi="Arial" w:cs="Arial" w:eastAsia="Arial" w:hint="default"/>
                            <w:spacing w:val="-8"/>
                            <w:sz w:val="18"/>
                            <w:szCs w:val="18"/>
                          </w:rPr>
                          <w:t> </w:t>
                        </w:r>
                        <w:r>
                          <w:rPr>
                            <w:rFonts w:ascii="宋体" w:hAnsi="宋体" w:cs="宋体" w:eastAsia="宋体" w:hint="default"/>
                            <w:sz w:val="18"/>
                            <w:szCs w:val="18"/>
                          </w:rPr>
                          <w:t>元</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1"/>
                          <w:jc w:val="right"/>
                          <w:rPr>
                            <w:rFonts w:ascii="Arial" w:hAnsi="Arial" w:cs="Arial" w:eastAsia="Arial" w:hint="default"/>
                            <w:sz w:val="18"/>
                            <w:szCs w:val="18"/>
                          </w:rPr>
                        </w:pPr>
                        <w:r>
                          <w:rPr>
                            <w:rFonts w:ascii="Arial"/>
                            <w:spacing w:val="-1"/>
                            <w:sz w:val="18"/>
                          </w:rPr>
                          <w:t>100,627,098</w:t>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before="4"/>
                          <w:ind w:left="57" w:right="0"/>
                          <w:jc w:val="center"/>
                          <w:rPr>
                            <w:rFonts w:ascii="Arial" w:hAnsi="Arial" w:cs="Arial" w:eastAsia="Arial" w:hint="default"/>
                            <w:sz w:val="18"/>
                            <w:szCs w:val="18"/>
                          </w:rPr>
                        </w:pPr>
                        <w:r>
                          <w:rPr>
                            <w:rFonts w:ascii="Arial"/>
                            <w:sz w:val="18"/>
                          </w:rPr>
                          <w:t>100,627,098</w:t>
                        </w:r>
                      </w:p>
                    </w:tc>
                  </w:tr>
                  <w:tr>
                    <w:trPr>
                      <w:trHeight w:val="796" w:hRule="exact"/>
                    </w:trPr>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36" w:right="0"/>
                          <w:jc w:val="left"/>
                          <w:rPr>
                            <w:rFonts w:ascii="宋体" w:hAnsi="宋体" w:cs="宋体" w:eastAsia="宋体" w:hint="default"/>
                            <w:sz w:val="18"/>
                            <w:szCs w:val="18"/>
                          </w:rPr>
                        </w:pPr>
                        <w:r>
                          <w:rPr>
                            <w:rFonts w:ascii="宋体" w:hAnsi="宋体" w:cs="宋体" w:eastAsia="宋体" w:hint="default"/>
                            <w:sz w:val="18"/>
                            <w:szCs w:val="18"/>
                          </w:rPr>
                          <w:t>港币</w:t>
                        </w:r>
                        <w:r>
                          <w:rPr>
                            <w:rFonts w:ascii="宋体" w:hAnsi="宋体" w:cs="宋体" w:eastAsia="宋体" w:hint="default"/>
                            <w:spacing w:val="-47"/>
                            <w:sz w:val="18"/>
                            <w:szCs w:val="18"/>
                          </w:rPr>
                          <w:t> </w:t>
                        </w:r>
                        <w:r>
                          <w:rPr>
                            <w:rFonts w:ascii="Arial" w:hAnsi="Arial" w:cs="Arial" w:eastAsia="Arial" w:hint="default"/>
                            <w:sz w:val="18"/>
                            <w:szCs w:val="18"/>
                          </w:rPr>
                          <w:t>8.26</w:t>
                        </w:r>
                        <w:r>
                          <w:rPr>
                            <w:rFonts w:ascii="Arial" w:hAnsi="Arial" w:cs="Arial" w:eastAsia="Arial" w:hint="default"/>
                            <w:spacing w:val="-8"/>
                            <w:sz w:val="18"/>
                            <w:szCs w:val="18"/>
                          </w:rPr>
                          <w:t> </w:t>
                        </w:r>
                        <w:r>
                          <w:rPr>
                            <w:rFonts w:ascii="宋体" w:hAnsi="宋体" w:cs="宋体" w:eastAsia="宋体" w:hint="default"/>
                            <w:sz w:val="18"/>
                            <w:szCs w:val="18"/>
                          </w:rPr>
                          <w:t>元</w:t>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7"/>
                            <w:szCs w:val="17"/>
                          </w:rPr>
                        </w:pPr>
                      </w:p>
                      <w:p>
                        <w:pPr>
                          <w:pStyle w:val="TableParagraph"/>
                          <w:tabs>
                            <w:tab w:pos="1163" w:val="left" w:leader="none"/>
                          </w:tabs>
                          <w:spacing w:line="240" w:lineRule="auto"/>
                          <w:ind w:right="52"/>
                          <w:jc w:val="right"/>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16"/>
                            <w:sz w:val="18"/>
                            <w:u w:val="single" w:color="000000"/>
                          </w:rPr>
                          <w:t> </w:t>
                        </w:r>
                        <w:r>
                          <w:rPr>
                            <w:rFonts w:ascii="Arial"/>
                            <w:spacing w:val="-1"/>
                            <w:sz w:val="18"/>
                            <w:u w:val="single" w:color="000000"/>
                          </w:rPr>
                          <w:t>88,929,468</w:t>
                          <w:tab/>
                        </w:r>
                        <w:r>
                          <w:rPr>
                            <w:rFonts w:ascii="Arial"/>
                            <w:spacing w:val="-1"/>
                            <w:sz w:val="18"/>
                          </w:rPr>
                        </w:r>
                      </w:p>
                    </w:tc>
                    <w:tc>
                      <w:tcPr>
                        <w:tcW w:w="128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7"/>
                            <w:szCs w:val="17"/>
                          </w:rPr>
                        </w:pPr>
                      </w:p>
                      <w:p>
                        <w:pPr>
                          <w:pStyle w:val="TableParagraph"/>
                          <w:tabs>
                            <w:tab w:pos="1267" w:val="left" w:leader="none"/>
                          </w:tabs>
                          <w:spacing w:line="240" w:lineRule="auto"/>
                          <w:ind w:left="47" w:right="0"/>
                          <w:jc w:val="center"/>
                          <w:rPr>
                            <w:rFonts w:ascii="Arial" w:hAnsi="Arial" w:cs="Arial" w:eastAsia="Arial" w:hint="default"/>
                            <w:sz w:val="18"/>
                            <w:szCs w:val="18"/>
                          </w:rPr>
                        </w:pPr>
                        <w:r>
                          <w:rPr>
                            <w:rFonts w:ascii="Arial"/>
                            <w:w w:val="100"/>
                            <w:sz w:val="18"/>
                          </w:rPr>
                        </w:r>
                        <w:r>
                          <w:rPr>
                            <w:rFonts w:ascii="Arial"/>
                            <w:w w:val="100"/>
                            <w:sz w:val="18"/>
                            <w:u w:val="single" w:color="000000"/>
                          </w:rPr>
                          <w:t> </w:t>
                        </w:r>
                        <w:r>
                          <w:rPr>
                            <w:rFonts w:ascii="Arial"/>
                            <w:sz w:val="18"/>
                            <w:u w:val="single" w:color="000000"/>
                          </w:rPr>
                          <w:t>  </w:t>
                        </w:r>
                        <w:r>
                          <w:rPr>
                            <w:rFonts w:ascii="Arial"/>
                            <w:spacing w:val="15"/>
                            <w:sz w:val="18"/>
                            <w:u w:val="single" w:color="000000"/>
                          </w:rPr>
                          <w:t> </w:t>
                        </w:r>
                        <w:r>
                          <w:rPr>
                            <w:rFonts w:ascii="Arial"/>
                            <w:sz w:val="18"/>
                            <w:u w:val="single" w:color="000000"/>
                          </w:rPr>
                          <w:t>88,929,468</w:t>
                          <w:tab/>
                        </w:r>
                        <w:r>
                          <w:rPr>
                            <w:rFonts w:ascii="Arial"/>
                            <w:sz w:val="18"/>
                          </w:rPr>
                        </w:r>
                      </w:p>
                    </w:tc>
                  </w:tr>
                  <w:tr>
                    <w:trPr>
                      <w:trHeight w:val="334" w:hRule="exact"/>
                    </w:trPr>
                    <w:tc>
                      <w:tcPr>
                        <w:tcW w:w="1195" w:type="dxa"/>
                        <w:tcBorders>
                          <w:top w:val="nil" w:sz="6" w:space="0" w:color="auto"/>
                          <w:left w:val="nil" w:sz="6" w:space="0" w:color="auto"/>
                          <w:bottom w:val="nil" w:sz="6" w:space="0" w:color="auto"/>
                          <w:right w:val="nil" w:sz="6" w:space="0" w:color="auto"/>
                        </w:tcBorders>
                      </w:tcPr>
                      <w:p>
                        <w:pPr/>
                      </w:p>
                    </w:tc>
                    <w:tc>
                      <w:tcPr>
                        <w:tcW w:w="1226" w:type="dxa"/>
                        <w:tcBorders>
                          <w:top w:val="nil" w:sz="6" w:space="0" w:color="auto"/>
                          <w:left w:val="nil" w:sz="6" w:space="0" w:color="auto"/>
                          <w:bottom w:val="single" w:sz="17" w:space="0" w:color="000000"/>
                          <w:right w:val="nil" w:sz="6" w:space="0" w:color="auto"/>
                        </w:tcBorders>
                      </w:tcPr>
                      <w:p>
                        <w:pPr>
                          <w:pStyle w:val="TableParagraph"/>
                          <w:spacing w:line="240" w:lineRule="auto" w:before="101"/>
                          <w:ind w:right="100"/>
                          <w:jc w:val="right"/>
                          <w:rPr>
                            <w:rFonts w:ascii="Arial" w:hAnsi="Arial" w:cs="Arial" w:eastAsia="Arial" w:hint="default"/>
                            <w:sz w:val="18"/>
                            <w:szCs w:val="18"/>
                          </w:rPr>
                        </w:pPr>
                        <w:r>
                          <w:rPr>
                            <w:rFonts w:ascii="Arial"/>
                            <w:spacing w:val="-1"/>
                            <w:sz w:val="18"/>
                          </w:rPr>
                          <w:t>413,074,166</w:t>
                        </w:r>
                      </w:p>
                    </w:tc>
                    <w:tc>
                      <w:tcPr>
                        <w:tcW w:w="1282" w:type="dxa"/>
                        <w:tcBorders>
                          <w:top w:val="nil" w:sz="6" w:space="0" w:color="auto"/>
                          <w:left w:val="nil" w:sz="6" w:space="0" w:color="auto"/>
                          <w:bottom w:val="single" w:sz="17" w:space="0" w:color="000000"/>
                          <w:right w:val="nil" w:sz="6" w:space="0" w:color="auto"/>
                        </w:tcBorders>
                      </w:tcPr>
                      <w:p>
                        <w:pPr>
                          <w:pStyle w:val="TableParagraph"/>
                          <w:spacing w:line="240" w:lineRule="auto" w:before="101"/>
                          <w:ind w:left="59" w:right="0"/>
                          <w:jc w:val="center"/>
                          <w:rPr>
                            <w:rFonts w:ascii="Arial" w:hAnsi="Arial" w:cs="Arial" w:eastAsia="Arial" w:hint="default"/>
                            <w:sz w:val="18"/>
                            <w:szCs w:val="18"/>
                          </w:rPr>
                        </w:pPr>
                        <w:r>
                          <w:rPr>
                            <w:rFonts w:ascii="Arial"/>
                            <w:sz w:val="18"/>
                          </w:rPr>
                          <w:t>413,074,166</w:t>
                        </w:r>
                      </w:p>
                    </w:tc>
                  </w:tr>
                </w:tbl>
                <w:p>
                  <w:pPr/>
                </w:p>
              </w:txbxContent>
            </v:textbox>
            <w10:wrap type="none"/>
          </v:shape>
        </w:pict>
      </w:r>
      <w:r>
        <w:rPr>
          <w:rFonts w:ascii="Arial" w:hAnsi="Arial" w:cs="Arial" w:eastAsia="Arial" w:hint="default"/>
          <w:sz w:val="18"/>
          <w:szCs w:val="18"/>
        </w:rPr>
        <w:t>2010</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pacing w:val="-7"/>
          <w:sz w:val="18"/>
          <w:szCs w:val="18"/>
        </w:rPr>
        <w:t>11</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16</w:t>
      </w:r>
      <w:r>
        <w:rPr>
          <w:rFonts w:ascii="Arial" w:hAnsi="Arial" w:cs="Arial" w:eastAsia="Arial" w:hint="default"/>
          <w:spacing w:val="-8"/>
          <w:sz w:val="18"/>
          <w:szCs w:val="18"/>
        </w:rPr>
        <w:t> </w:t>
      </w:r>
      <w:r>
        <w:rPr>
          <w:rFonts w:ascii="宋体" w:hAnsi="宋体" w:cs="宋体" w:eastAsia="宋体" w:hint="default"/>
          <w:sz w:val="18"/>
          <w:szCs w:val="18"/>
        </w:rPr>
        <w:t>日</w:t>
      </w:r>
    </w:p>
    <w:p>
      <w:pPr>
        <w:spacing w:after="0" w:line="241" w:lineRule="exact"/>
        <w:jc w:val="center"/>
        <w:rPr>
          <w:rFonts w:ascii="宋体" w:hAnsi="宋体" w:cs="宋体" w:eastAsia="宋体" w:hint="default"/>
          <w:sz w:val="18"/>
          <w:szCs w:val="18"/>
        </w:rPr>
        <w:sectPr>
          <w:type w:val="continuous"/>
          <w:pgSz w:w="11910" w:h="16840"/>
          <w:pgMar w:top="1600" w:bottom="280" w:left="1280" w:right="400"/>
          <w:cols w:num="3" w:equalWidth="0">
            <w:col w:w="2440" w:space="40"/>
            <w:col w:w="1788" w:space="40"/>
            <w:col w:w="5922"/>
          </w:cols>
        </w:sectPr>
      </w:pPr>
    </w:p>
    <w:p>
      <w:pPr>
        <w:spacing w:line="240" w:lineRule="auto" w:before="4"/>
        <w:rPr>
          <w:rFonts w:ascii="宋体" w:hAnsi="宋体" w:cs="宋体" w:eastAsia="宋体" w:hint="default"/>
          <w:sz w:val="11"/>
          <w:szCs w:val="11"/>
        </w:rPr>
      </w:pPr>
    </w:p>
    <w:p>
      <w:pPr>
        <w:spacing w:after="0" w:line="240" w:lineRule="auto"/>
        <w:rPr>
          <w:rFonts w:ascii="宋体" w:hAnsi="宋体" w:cs="宋体" w:eastAsia="宋体" w:hint="default"/>
          <w:sz w:val="11"/>
          <w:szCs w:val="11"/>
        </w:rPr>
        <w:sectPr>
          <w:type w:val="continuous"/>
          <w:pgSz w:w="11910" w:h="16840"/>
          <w:pgMar w:top="1600" w:bottom="280" w:left="1280" w:right="400"/>
        </w:sectPr>
      </w:pPr>
    </w:p>
    <w:p>
      <w:pPr>
        <w:spacing w:line="241" w:lineRule="exact" w:before="44"/>
        <w:ind w:left="829" w:right="-10" w:firstLine="0"/>
        <w:jc w:val="left"/>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17"/>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Arial" w:hAnsi="Arial" w:cs="Arial" w:eastAsia="Arial" w:hint="default"/>
          <w:sz w:val="18"/>
          <w:szCs w:val="18"/>
        </w:rPr>
        <w:t>10</w:t>
      </w:r>
      <w:r>
        <w:rPr>
          <w:rFonts w:ascii="Arial" w:hAnsi="Arial" w:cs="Arial" w:eastAsia="Arial" w:hint="default"/>
          <w:spacing w:val="-17"/>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Arial" w:hAnsi="Arial" w:cs="Arial" w:eastAsia="Arial" w:hint="default"/>
          <w:sz w:val="18"/>
          <w:szCs w:val="18"/>
        </w:rPr>
        <w:t>15</w:t>
      </w:r>
      <w:r>
        <w:rPr>
          <w:rFonts w:ascii="Arial" w:hAnsi="Arial" w:cs="Arial" w:eastAsia="Arial" w:hint="default"/>
          <w:spacing w:val="-17"/>
          <w:sz w:val="18"/>
          <w:szCs w:val="18"/>
        </w:rPr>
        <w:t> </w:t>
      </w:r>
      <w:r>
        <w:rPr>
          <w:rFonts w:ascii="宋体" w:hAnsi="宋体" w:cs="宋体" w:eastAsia="宋体" w:hint="default"/>
          <w:sz w:val="18"/>
          <w:szCs w:val="18"/>
        </w:rPr>
        <w:t>日</w:t>
      </w:r>
    </w:p>
    <w:p>
      <w:pPr>
        <w:spacing w:line="234" w:lineRule="exact" w:before="15"/>
        <w:ind w:left="829" w:right="74" w:firstLine="0"/>
        <w:jc w:val="left"/>
        <w:rPr>
          <w:rFonts w:ascii="宋体" w:hAnsi="宋体" w:cs="宋体" w:eastAsia="宋体" w:hint="default"/>
          <w:sz w:val="18"/>
          <w:szCs w:val="18"/>
        </w:rPr>
      </w:pPr>
      <w:r>
        <w:rPr>
          <w:rFonts w:ascii="宋体" w:hAnsi="宋体" w:cs="宋体" w:eastAsia="宋体" w:hint="default"/>
          <w:sz w:val="18"/>
          <w:szCs w:val="18"/>
        </w:rPr>
        <w:t>（</w:t>
      </w:r>
      <w:r>
        <w:rPr>
          <w:rFonts w:ascii="Arial" w:hAnsi="Arial" w:cs="Arial" w:eastAsia="Arial" w:hint="default"/>
          <w:sz w:val="18"/>
          <w:szCs w:val="18"/>
        </w:rPr>
        <w:t>2005</w:t>
      </w:r>
      <w:r>
        <w:rPr>
          <w:rFonts w:ascii="Arial" w:hAnsi="Arial" w:cs="Arial" w:eastAsia="Arial" w:hint="default"/>
          <w:spacing w:val="-15"/>
          <w:sz w:val="18"/>
          <w:szCs w:val="18"/>
        </w:rPr>
        <w:t> </w:t>
      </w:r>
      <w:r>
        <w:rPr>
          <w:rFonts w:ascii="宋体" w:hAnsi="宋体" w:cs="宋体" w:eastAsia="宋体" w:hint="default"/>
          <w:sz w:val="18"/>
          <w:szCs w:val="18"/>
        </w:rPr>
        <w:t>年网通红筹 公司原第二次授予</w:t>
      </w:r>
    </w:p>
    <w:p>
      <w:pPr>
        <w:spacing w:line="211" w:lineRule="exact" w:before="0"/>
        <w:ind w:left="829" w:right="-10" w:firstLine="0"/>
        <w:jc w:val="left"/>
        <w:rPr>
          <w:rFonts w:ascii="宋体" w:hAnsi="宋体" w:cs="宋体" w:eastAsia="宋体" w:hint="default"/>
          <w:sz w:val="18"/>
          <w:szCs w:val="18"/>
        </w:rPr>
      </w:pPr>
      <w:r>
        <w:rPr>
          <w:rFonts w:ascii="宋体" w:hAnsi="宋体" w:cs="宋体" w:eastAsia="宋体" w:hint="default"/>
          <w:spacing w:val="-20"/>
          <w:sz w:val="18"/>
          <w:szCs w:val="18"/>
        </w:rPr>
        <w:t>（“第二次授予”））</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1"/>
        <w:rPr>
          <w:rFonts w:ascii="宋体" w:hAnsi="宋体" w:cs="宋体" w:eastAsia="宋体" w:hint="default"/>
          <w:sz w:val="21"/>
          <w:szCs w:val="21"/>
        </w:rPr>
      </w:pPr>
    </w:p>
    <w:p>
      <w:pPr>
        <w:spacing w:line="241" w:lineRule="exact" w:before="0"/>
        <w:ind w:left="44" w:right="0" w:firstLine="0"/>
        <w:jc w:val="center"/>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10</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15</w:t>
      </w:r>
      <w:r>
        <w:rPr>
          <w:rFonts w:ascii="Arial" w:hAnsi="Arial" w:cs="Arial" w:eastAsia="Arial" w:hint="default"/>
          <w:spacing w:val="-8"/>
          <w:sz w:val="18"/>
          <w:szCs w:val="18"/>
        </w:rPr>
        <w:t> </w:t>
      </w:r>
      <w:r>
        <w:rPr>
          <w:rFonts w:ascii="宋体" w:hAnsi="宋体" w:cs="宋体" w:eastAsia="宋体" w:hint="default"/>
          <w:sz w:val="18"/>
          <w:szCs w:val="18"/>
        </w:rPr>
        <w:t>日至</w:t>
      </w:r>
    </w:p>
    <w:p>
      <w:pPr>
        <w:spacing w:line="241" w:lineRule="exact" w:before="0"/>
        <w:ind w:left="125" w:right="0" w:firstLine="0"/>
        <w:jc w:val="center"/>
        <w:rPr>
          <w:rFonts w:ascii="宋体" w:hAnsi="宋体" w:cs="宋体" w:eastAsia="宋体" w:hint="default"/>
          <w:sz w:val="18"/>
          <w:szCs w:val="18"/>
        </w:rPr>
      </w:pPr>
      <w:r>
        <w:rPr>
          <w:rFonts w:ascii="Arial" w:hAnsi="Arial" w:cs="Arial" w:eastAsia="Arial" w:hint="default"/>
          <w:sz w:val="18"/>
          <w:szCs w:val="18"/>
        </w:rPr>
        <w:t>2010</w:t>
      </w:r>
      <w:r>
        <w:rPr>
          <w:rFonts w:ascii="Arial" w:hAnsi="Arial" w:cs="Arial" w:eastAsia="Arial"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12</w:t>
      </w:r>
      <w:r>
        <w:rPr>
          <w:rFonts w:ascii="Arial" w:hAnsi="Arial" w:cs="Arial" w:eastAsia="Arial"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Arial" w:hAnsi="Arial" w:cs="Arial" w:eastAsia="Arial" w:hint="default"/>
          <w:sz w:val="18"/>
          <w:szCs w:val="18"/>
        </w:rPr>
        <w:t>6</w:t>
      </w:r>
      <w:r>
        <w:rPr>
          <w:rFonts w:ascii="Arial" w:hAnsi="Arial" w:cs="Arial" w:eastAsia="Arial" w:hint="default"/>
          <w:spacing w:val="-8"/>
          <w:sz w:val="18"/>
          <w:szCs w:val="18"/>
        </w:rPr>
        <w:t> </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1"/>
        <w:rPr>
          <w:rFonts w:ascii="宋体" w:hAnsi="宋体" w:cs="宋体" w:eastAsia="宋体" w:hint="default"/>
          <w:sz w:val="21"/>
          <w:szCs w:val="21"/>
        </w:rPr>
      </w:pPr>
    </w:p>
    <w:p>
      <w:pPr>
        <w:spacing w:line="241" w:lineRule="exact" w:before="0"/>
        <w:ind w:left="96" w:right="4045" w:firstLine="0"/>
        <w:jc w:val="center"/>
        <w:rPr>
          <w:rFonts w:ascii="宋体" w:hAnsi="宋体" w:cs="宋体" w:eastAsia="宋体" w:hint="default"/>
          <w:sz w:val="18"/>
          <w:szCs w:val="18"/>
        </w:rPr>
      </w:pPr>
      <w:r>
        <w:rPr>
          <w:rFonts w:ascii="Arial" w:hAnsi="Arial" w:cs="Arial" w:eastAsia="Arial" w:hint="default"/>
          <w:sz w:val="18"/>
          <w:szCs w:val="18"/>
        </w:rPr>
        <w:t>2008</w:t>
      </w:r>
      <w:r>
        <w:rPr>
          <w:rFonts w:ascii="Arial" w:hAnsi="Arial" w:cs="Arial" w:eastAsia="Arial"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Arial" w:hAnsi="Arial" w:cs="Arial" w:eastAsia="Arial" w:hint="default"/>
          <w:sz w:val="18"/>
          <w:szCs w:val="18"/>
        </w:rPr>
        <w:t>10</w:t>
      </w:r>
      <w:r>
        <w:rPr>
          <w:rFonts w:ascii="Arial" w:hAnsi="Arial" w:cs="Arial" w:eastAsia="Arial" w:hint="default"/>
          <w:spacing w:val="-8"/>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15</w:t>
      </w:r>
      <w:r>
        <w:rPr>
          <w:rFonts w:ascii="Arial" w:hAnsi="Arial" w:cs="Arial" w:eastAsia="Arial" w:hint="default"/>
          <w:spacing w:val="-8"/>
          <w:sz w:val="18"/>
          <w:szCs w:val="18"/>
        </w:rPr>
        <w:t> </w:t>
      </w:r>
      <w:r>
        <w:rPr>
          <w:rFonts w:ascii="宋体" w:hAnsi="宋体" w:cs="宋体" w:eastAsia="宋体" w:hint="default"/>
          <w:sz w:val="18"/>
          <w:szCs w:val="18"/>
        </w:rPr>
        <w:t>日至</w:t>
      </w:r>
    </w:p>
    <w:p>
      <w:pPr>
        <w:spacing w:line="241" w:lineRule="exact" w:before="0"/>
        <w:ind w:left="96" w:right="3978" w:firstLine="0"/>
        <w:jc w:val="center"/>
        <w:rPr>
          <w:rFonts w:ascii="宋体" w:hAnsi="宋体" w:cs="宋体" w:eastAsia="宋体" w:hint="default"/>
          <w:sz w:val="18"/>
          <w:szCs w:val="18"/>
        </w:rPr>
      </w:pPr>
      <w:r>
        <w:rPr>
          <w:rFonts w:ascii="Arial" w:hAnsi="Arial" w:cs="Arial" w:eastAsia="Arial" w:hint="default"/>
          <w:spacing w:val="-4"/>
          <w:sz w:val="18"/>
          <w:szCs w:val="18"/>
        </w:rPr>
        <w:t>2011</w:t>
      </w:r>
      <w:r>
        <w:rPr>
          <w:rFonts w:ascii="Arial" w:hAnsi="Arial" w:cs="Arial" w:eastAsia="Arial"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Arial" w:hAnsi="Arial" w:cs="Arial" w:eastAsia="Arial" w:hint="default"/>
          <w:sz w:val="18"/>
          <w:szCs w:val="18"/>
        </w:rPr>
        <w:t>12</w:t>
      </w:r>
      <w:r>
        <w:rPr>
          <w:rFonts w:ascii="Arial" w:hAnsi="Arial" w:cs="Arial" w:eastAsia="Arial"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Arial" w:hAnsi="Arial" w:cs="Arial" w:eastAsia="Arial" w:hint="default"/>
          <w:sz w:val="18"/>
          <w:szCs w:val="18"/>
        </w:rPr>
        <w:t>5</w:t>
      </w:r>
      <w:r>
        <w:rPr>
          <w:rFonts w:ascii="Arial" w:hAnsi="Arial" w:cs="Arial" w:eastAsia="Arial" w:hint="default"/>
          <w:spacing w:val="-7"/>
          <w:sz w:val="18"/>
          <w:szCs w:val="18"/>
        </w:rPr>
        <w:t> </w:t>
      </w:r>
      <w:r>
        <w:rPr>
          <w:rFonts w:ascii="宋体" w:hAnsi="宋体" w:cs="宋体" w:eastAsia="宋体" w:hint="default"/>
          <w:sz w:val="18"/>
          <w:szCs w:val="18"/>
        </w:rPr>
        <w:t>日</w:t>
      </w:r>
    </w:p>
    <w:p>
      <w:pPr>
        <w:spacing w:after="0" w:line="241" w:lineRule="exact"/>
        <w:jc w:val="center"/>
        <w:rPr>
          <w:rFonts w:ascii="宋体" w:hAnsi="宋体" w:cs="宋体" w:eastAsia="宋体" w:hint="default"/>
          <w:sz w:val="18"/>
          <w:szCs w:val="18"/>
        </w:rPr>
        <w:sectPr>
          <w:type w:val="continuous"/>
          <w:pgSz w:w="11910" w:h="16840"/>
          <w:pgMar w:top="1600" w:bottom="280" w:left="1280" w:right="400"/>
          <w:cols w:num="3" w:equalWidth="0">
            <w:col w:w="2440" w:space="40"/>
            <w:col w:w="1788" w:space="40"/>
            <w:col w:w="5922"/>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94" w:lineRule="exact" w:before="182"/>
        <w:ind w:left="606" w:right="0"/>
        <w:jc w:val="left"/>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日，联通红筹公司未行使股份期权加权平均剩余合约期限为</w:t>
      </w:r>
      <w:r>
        <w:rPr>
          <w:rFonts w:ascii="Arial" w:hAnsi="Arial" w:cs="Arial" w:eastAsia="Arial" w:hint="default"/>
        </w:rPr>
        <w:t>1.50</w:t>
      </w:r>
      <w:r>
        <w:rPr/>
        <w:t>年（</w:t>
      </w:r>
      <w:r>
        <w:rPr>
          <w:rFonts w:ascii="Arial" w:hAnsi="Arial" w:cs="Arial" w:eastAsia="Arial" w:hint="default"/>
        </w:rPr>
        <w:t>2008</w:t>
      </w:r>
      <w:r>
        <w:rPr/>
        <w:t>年</w:t>
      </w:r>
    </w:p>
    <w:p>
      <w:pPr>
        <w:pStyle w:val="BodyText"/>
        <w:spacing w:line="294" w:lineRule="exact"/>
        <w:ind w:left="606" w:right="0"/>
        <w:jc w:val="left"/>
      </w:pPr>
      <w:r>
        <w:rPr>
          <w:rFonts w:ascii="Arial" w:hAnsi="Arial" w:cs="Arial" w:eastAsia="Arial" w:hint="default"/>
        </w:rPr>
        <w:t>12</w:t>
      </w:r>
      <w:r>
        <w:rPr/>
        <w:t>月</w:t>
      </w:r>
      <w:r>
        <w:rPr>
          <w:rFonts w:ascii="Arial" w:hAnsi="Arial" w:cs="Arial" w:eastAsia="Arial" w:hint="default"/>
        </w:rPr>
        <w:t>31</w:t>
      </w:r>
      <w:r>
        <w:rPr/>
        <w:t>日：</w:t>
      </w:r>
      <w:r>
        <w:rPr>
          <w:rFonts w:ascii="Arial" w:hAnsi="Arial" w:cs="Arial" w:eastAsia="Arial" w:hint="default"/>
        </w:rPr>
        <w:t>2.47</w:t>
      </w:r>
      <w:r>
        <w:rPr/>
        <w:t>年）。</w:t>
      </w:r>
    </w:p>
    <w:p>
      <w:pPr>
        <w:spacing w:line="240" w:lineRule="auto" w:before="12"/>
        <w:rPr>
          <w:rFonts w:ascii="宋体" w:hAnsi="宋体" w:cs="宋体" w:eastAsia="宋体" w:hint="default"/>
          <w:sz w:val="18"/>
          <w:szCs w:val="18"/>
        </w:rPr>
      </w:pPr>
    </w:p>
    <w:p>
      <w:pPr>
        <w:pStyle w:val="BodyText"/>
        <w:spacing w:line="228" w:lineRule="auto"/>
        <w:ind w:left="1306" w:right="610" w:hanging="700"/>
        <w:jc w:val="both"/>
      </w:pPr>
      <w:r>
        <w:rPr>
          <w:spacing w:val="3"/>
        </w:rPr>
        <w:t>注</w:t>
      </w:r>
      <w:r>
        <w:rPr>
          <w:rFonts w:ascii="Arial" w:hAnsi="Arial" w:cs="Arial" w:eastAsia="Arial" w:hint="default"/>
          <w:spacing w:val="3"/>
        </w:rPr>
        <w:t>(1)</w:t>
      </w:r>
      <w:r>
        <w:rPr>
          <w:spacing w:val="3"/>
        </w:rPr>
        <w:t>：联通红筹公司董事会根据</w:t>
      </w:r>
      <w:r>
        <w:rPr>
          <w:rFonts w:ascii="Arial" w:hAnsi="Arial" w:cs="Arial" w:eastAsia="Arial" w:hint="default"/>
          <w:spacing w:val="3"/>
        </w:rPr>
        <w:t>2009</w:t>
      </w:r>
      <w:r>
        <w:rPr>
          <w:spacing w:val="3"/>
        </w:rPr>
        <w:t>年</w:t>
      </w:r>
      <w:r>
        <w:rPr>
          <w:rFonts w:ascii="Arial" w:hAnsi="Arial" w:cs="Arial" w:eastAsia="Arial" w:hint="default"/>
          <w:spacing w:val="3"/>
        </w:rPr>
        <w:t>5</w:t>
      </w:r>
      <w:r>
        <w:rPr>
          <w:spacing w:val="3"/>
        </w:rPr>
        <w:t>月</w:t>
      </w:r>
      <w:r>
        <w:rPr>
          <w:rFonts w:ascii="Arial" w:hAnsi="Arial" w:cs="Arial" w:eastAsia="Arial" w:hint="default"/>
          <w:spacing w:val="3"/>
        </w:rPr>
        <w:t>26</w:t>
      </w:r>
      <w:r>
        <w:rPr>
          <w:spacing w:val="3"/>
        </w:rPr>
        <w:t>日股东大会的批准分别对全球发售前股份期权</w:t>
      </w:r>
      <w:r>
        <w:rPr>
          <w:spacing w:val="-96"/>
        </w:rPr>
        <w:t> </w:t>
      </w:r>
      <w:r>
        <w:rPr>
          <w:spacing w:val="-96"/>
        </w:rPr>
      </w:r>
      <w:r>
        <w:rPr/>
        <w:t>计划及股份期权计划进行修订，将其中约</w:t>
      </w:r>
      <w:r>
        <w:rPr>
          <w:rFonts w:ascii="Arial" w:hAnsi="Arial" w:cs="Arial" w:eastAsia="Arial" w:hint="default"/>
        </w:rPr>
        <w:t>2,500</w:t>
      </w:r>
      <w:r>
        <w:rPr/>
        <w:t>万份期权的可行使期延长一年。延期的</w:t>
      </w:r>
      <w:r>
        <w:rPr>
          <w:w w:val="99"/>
        </w:rPr>
        <w:t> </w:t>
      </w:r>
      <w:r>
        <w:rPr>
          <w:spacing w:val="-2"/>
        </w:rPr>
        <w:t>主要原因是，</w:t>
      </w:r>
      <w:r>
        <w:rPr>
          <w:rFonts w:ascii="Arial" w:hAnsi="Arial" w:cs="Arial" w:eastAsia="Arial" w:hint="default"/>
          <w:spacing w:val="-2"/>
        </w:rPr>
        <w:t>(i)</w:t>
      </w:r>
      <w:r>
        <w:rPr>
          <w:spacing w:val="-2"/>
        </w:rPr>
        <w:t>作为</w:t>
      </w:r>
      <w:r>
        <w:rPr>
          <w:rFonts w:ascii="Arial" w:hAnsi="Arial" w:cs="Arial" w:eastAsia="Arial" w:hint="default"/>
          <w:spacing w:val="-2"/>
        </w:rPr>
        <w:t>2008</w:t>
      </w:r>
      <w:r>
        <w:rPr>
          <w:spacing w:val="-2"/>
        </w:rPr>
        <w:t>年电信行业重组的一部份，该等期权的持有人被调职到其他电</w:t>
      </w:r>
      <w:r>
        <w:rPr>
          <w:w w:val="99"/>
        </w:rPr>
        <w:t> </w:t>
      </w:r>
      <w:r>
        <w:rPr>
          <w:spacing w:val="-2"/>
        </w:rPr>
        <w:t>信公司，根据全球发售前股份期权计划及股份期权计划，该等期权的持有人被董事会确</w:t>
      </w:r>
      <w:r>
        <w:rPr>
          <w:w w:val="99"/>
        </w:rPr>
        <w:t> </w:t>
      </w:r>
      <w:r>
        <w:rPr>
          <w:spacing w:val="-2"/>
        </w:rPr>
        <w:t>定为“被调动人员”，及</w:t>
      </w:r>
      <w:r>
        <w:rPr>
          <w:rFonts w:ascii="Arial" w:hAnsi="Arial" w:cs="Arial" w:eastAsia="Arial" w:hint="default"/>
          <w:spacing w:val="-2"/>
        </w:rPr>
        <w:t>(ii)</w:t>
      </w:r>
      <w:r>
        <w:rPr>
          <w:spacing w:val="-2"/>
        </w:rPr>
        <w:t>由于全球发售前股份期权计划及股份期权计划中各自的相关</w:t>
      </w:r>
      <w:r>
        <w:rPr>
          <w:w w:val="99"/>
        </w:rPr>
        <w:t> </w:t>
      </w:r>
      <w:r>
        <w:rPr>
          <w:spacing w:val="-3"/>
        </w:rPr>
        <w:t>条款规定的强制性禁售，至使该等期权未能行使。该修订对本集团</w:t>
      </w:r>
      <w:r>
        <w:rPr>
          <w:rFonts w:ascii="Arial" w:hAnsi="Arial" w:cs="Arial" w:eastAsia="Arial" w:hint="default"/>
          <w:spacing w:val="-3"/>
        </w:rPr>
        <w:t>2009</w:t>
      </w:r>
      <w:r>
        <w:rPr>
          <w:spacing w:val="-3"/>
        </w:rPr>
        <w:t>年度合并财务报</w:t>
      </w:r>
      <w:r>
        <w:rPr>
          <w:w w:val="99"/>
        </w:rPr>
        <w:t> </w:t>
      </w:r>
      <w:r>
        <w:rPr/>
        <w:t>表并无重大影响。</w:t>
      </w:r>
    </w:p>
    <w:p>
      <w:pPr>
        <w:spacing w:after="0" w:line="228" w:lineRule="auto"/>
        <w:jc w:val="both"/>
        <w:sectPr>
          <w:type w:val="continuous"/>
          <w:pgSz w:w="11910" w:h="16840"/>
          <w:pgMar w:top="1600" w:bottom="280" w:left="1280" w:right="400"/>
        </w:sectPr>
      </w:pPr>
    </w:p>
    <w:p>
      <w:pPr>
        <w:spacing w:line="240" w:lineRule="auto" w:before="12"/>
        <w:rPr>
          <w:rFonts w:ascii="宋体" w:hAnsi="宋体" w:cs="宋体" w:eastAsia="宋体" w:hint="default"/>
          <w:sz w:val="15"/>
          <w:szCs w:val="15"/>
        </w:rPr>
      </w:pPr>
    </w:p>
    <w:p>
      <w:pPr>
        <w:pStyle w:val="BodyText"/>
        <w:spacing w:line="240" w:lineRule="auto" w:before="31"/>
        <w:ind w:left="626" w:right="0"/>
        <w:jc w:val="both"/>
      </w:pPr>
      <w:r>
        <w:rPr/>
        <w:t>于</w:t>
      </w:r>
      <w:r>
        <w:rPr>
          <w:rFonts w:ascii="Arial" w:hAnsi="Arial" w:cs="Arial" w:eastAsia="Arial" w:hint="default"/>
        </w:rPr>
        <w:t>2009</w:t>
      </w:r>
      <w:r>
        <w:rPr/>
        <w:t>年</w:t>
      </w:r>
      <w:r>
        <w:rPr>
          <w:rFonts w:ascii="Arial" w:hAnsi="Arial" w:cs="Arial" w:eastAsia="Arial" w:hint="default"/>
        </w:rPr>
        <w:t>12</w:t>
      </w:r>
      <w:r>
        <w:rPr/>
        <w:t>月</w:t>
      </w:r>
      <w:r>
        <w:rPr>
          <w:rFonts w:ascii="Arial" w:hAnsi="Arial" w:cs="Arial" w:eastAsia="Arial" w:hint="default"/>
        </w:rPr>
        <w:t>31</w:t>
      </w:r>
      <w:r>
        <w:rPr/>
        <w:t>日，联通红筹公司未行使的股份期权的信息列示如下（续）：</w:t>
      </w:r>
    </w:p>
    <w:p>
      <w:pPr>
        <w:spacing w:line="240" w:lineRule="auto" w:before="1"/>
        <w:rPr>
          <w:rFonts w:ascii="宋体" w:hAnsi="宋体" w:cs="宋体" w:eastAsia="宋体" w:hint="default"/>
          <w:sz w:val="19"/>
          <w:szCs w:val="19"/>
        </w:rPr>
      </w:pPr>
    </w:p>
    <w:p>
      <w:pPr>
        <w:pStyle w:val="BodyText"/>
        <w:spacing w:line="225" w:lineRule="auto"/>
        <w:ind w:left="1326" w:right="112" w:hanging="700"/>
        <w:jc w:val="both"/>
      </w:pPr>
      <w:r>
        <w:rPr>
          <w:w w:val="95"/>
        </w:rPr>
        <w:t>注</w:t>
      </w:r>
      <w:r>
        <w:rPr>
          <w:rFonts w:ascii="Arial" w:hAnsi="Arial" w:cs="Arial" w:eastAsia="Arial" w:hint="default"/>
          <w:w w:val="95"/>
        </w:rPr>
        <w:t>(2)</w:t>
      </w:r>
      <w:r>
        <w:rPr>
          <w:w w:val="95"/>
        </w:rPr>
        <w:t>：此等股份期权的最后可行使日期原为</w:t>
      </w:r>
      <w:r>
        <w:rPr>
          <w:rFonts w:ascii="Arial" w:hAnsi="Arial" w:cs="Arial" w:eastAsia="Arial" w:hint="default"/>
          <w:w w:val="95"/>
        </w:rPr>
        <w:t>2009</w:t>
      </w:r>
      <w:r>
        <w:rPr>
          <w:w w:val="95"/>
        </w:rPr>
        <w:t>年</w:t>
      </w:r>
      <w:r>
        <w:rPr>
          <w:rFonts w:ascii="Arial" w:hAnsi="Arial" w:cs="Arial" w:eastAsia="Arial" w:hint="default"/>
          <w:w w:val="95"/>
        </w:rPr>
        <w:t>5</w:t>
      </w:r>
      <w:r>
        <w:rPr>
          <w:w w:val="95"/>
        </w:rPr>
        <w:t>月</w:t>
      </w:r>
      <w:r>
        <w:rPr>
          <w:rFonts w:ascii="Arial" w:hAnsi="Arial" w:cs="Arial" w:eastAsia="Arial" w:hint="default"/>
          <w:w w:val="95"/>
        </w:rPr>
        <w:t>20</w:t>
      </w:r>
      <w:r>
        <w:rPr>
          <w:w w:val="95"/>
        </w:rPr>
        <w:t>日。根据</w:t>
      </w:r>
      <w:r>
        <w:rPr>
          <w:rFonts w:ascii="Arial" w:hAnsi="Arial" w:cs="Arial" w:eastAsia="Arial" w:hint="default"/>
          <w:w w:val="95"/>
        </w:rPr>
        <w:t>2009</w:t>
      </w:r>
      <w:r>
        <w:rPr>
          <w:w w:val="95"/>
        </w:rPr>
        <w:t>年</w:t>
      </w:r>
      <w:r>
        <w:rPr>
          <w:rFonts w:ascii="Arial" w:hAnsi="Arial" w:cs="Arial" w:eastAsia="Arial" w:hint="default"/>
          <w:w w:val="95"/>
        </w:rPr>
        <w:t>5</w:t>
      </w:r>
      <w:r>
        <w:rPr>
          <w:w w:val="95"/>
        </w:rPr>
        <w:t>月</w:t>
      </w:r>
      <w:r>
        <w:rPr>
          <w:rFonts w:ascii="Arial" w:hAnsi="Arial" w:cs="Arial" w:eastAsia="Arial" w:hint="default"/>
          <w:w w:val="95"/>
        </w:rPr>
        <w:t>26</w:t>
      </w:r>
      <w:r>
        <w:rPr>
          <w:w w:val="95"/>
        </w:rPr>
        <w:t>日联通红筹公</w:t>
      </w:r>
      <w:r>
        <w:rPr>
          <w:spacing w:val="5"/>
          <w:w w:val="95"/>
        </w:rPr>
        <w:t> </w:t>
      </w:r>
      <w:r>
        <w:rPr>
          <w:spacing w:val="5"/>
          <w:w w:val="95"/>
        </w:rPr>
      </w:r>
      <w:r>
        <w:rPr>
          <w:spacing w:val="-3"/>
          <w:w w:val="99"/>
        </w:rPr>
        <w:t>司股东大会批准的对股份期权计划的修订，将该等股份期权最后可行使日期延长至</w:t>
      </w:r>
      <w:r>
        <w:rPr>
          <w:rFonts w:ascii="Arial" w:hAnsi="Arial" w:cs="Arial" w:eastAsia="Arial" w:hint="default"/>
          <w:spacing w:val="-3"/>
          <w:w w:val="99"/>
        </w:rPr>
        <w:t>2010</w:t>
      </w:r>
      <w:r>
        <w:rPr>
          <w:rFonts w:ascii="Arial" w:hAnsi="Arial" w:cs="Arial" w:eastAsia="Arial" w:hint="default"/>
          <w:w w:val="99"/>
        </w:rPr>
        <w:t> </w:t>
      </w:r>
      <w:r>
        <w:rPr/>
        <w:t>年</w:t>
      </w:r>
      <w:r>
        <w:rPr>
          <w:rFonts w:ascii="Arial" w:hAnsi="Arial" w:cs="Arial" w:eastAsia="Arial" w:hint="default"/>
        </w:rPr>
        <w:t>5</w:t>
      </w:r>
      <w:r>
        <w:rPr/>
        <w:t>月</w:t>
      </w:r>
      <w:r>
        <w:rPr>
          <w:rFonts w:ascii="Arial" w:hAnsi="Arial" w:cs="Arial" w:eastAsia="Arial" w:hint="default"/>
        </w:rPr>
        <w:t>20</w:t>
      </w:r>
      <w:r>
        <w:rPr/>
        <w:t>日。延期的原因是由于根据股份期权计划中相关条款所规定的强制性禁售，使</w:t>
      </w:r>
      <w:r>
        <w:rPr>
          <w:w w:val="99"/>
        </w:rPr>
        <w:t> </w:t>
      </w:r>
      <w:r>
        <w:rPr/>
        <w:t>上述期权未能行使。该修订对本集团</w:t>
      </w:r>
      <w:r>
        <w:rPr>
          <w:rFonts w:ascii="Arial" w:hAnsi="Arial" w:cs="Arial" w:eastAsia="Arial" w:hint="default"/>
        </w:rPr>
        <w:t>2009</w:t>
      </w:r>
      <w:r>
        <w:rPr/>
        <w:t>年度的合并财务报表并无重大影响。</w:t>
      </w:r>
    </w:p>
    <w:p>
      <w:pPr>
        <w:pStyle w:val="BodyText"/>
        <w:spacing w:line="240" w:lineRule="auto" w:before="164"/>
        <w:ind w:left="116" w:right="106"/>
        <w:jc w:val="left"/>
      </w:pPr>
      <w:r>
        <w:rPr>
          <w:rFonts w:ascii="Arial" w:hAnsi="Arial" w:cs="Arial" w:eastAsia="Arial" w:hint="default"/>
        </w:rPr>
        <w:t>(a)  </w:t>
      </w:r>
      <w:r>
        <w:rPr>
          <w:rFonts w:ascii="Arial" w:hAnsi="Arial" w:cs="Arial" w:eastAsia="Arial" w:hint="default"/>
          <w:spacing w:val="14"/>
        </w:rPr>
        <w:t> </w:t>
      </w:r>
      <w:r>
        <w:rPr/>
        <w:t>原网通红筹公司股份期权及特殊目的股份期权计划</w:t>
      </w:r>
    </w:p>
    <w:p>
      <w:pPr>
        <w:pStyle w:val="BodyText"/>
        <w:tabs>
          <w:tab w:pos="584" w:val="left" w:leader="none"/>
        </w:tabs>
        <w:spacing w:line="240" w:lineRule="auto" w:before="182"/>
        <w:ind w:left="116" w:right="106"/>
        <w:jc w:val="left"/>
      </w:pPr>
      <w:r>
        <w:rPr>
          <w:rFonts w:ascii="Arial" w:hAnsi="Arial" w:cs="Arial" w:eastAsia="Arial" w:hint="default"/>
          <w:w w:val="95"/>
        </w:rPr>
        <w:t>(i)</w:t>
        <w:tab/>
      </w:r>
      <w:r>
        <w:rPr/>
        <w:t>原网通红筹公司股份期权</w:t>
      </w:r>
    </w:p>
    <w:p>
      <w:pPr>
        <w:pStyle w:val="BodyText"/>
        <w:spacing w:line="286" w:lineRule="exact" w:before="189"/>
        <w:ind w:left="582" w:right="124"/>
        <w:jc w:val="both"/>
      </w:pPr>
      <w:r>
        <w:rPr>
          <w:spacing w:val="7"/>
        </w:rPr>
        <w:t>于</w:t>
      </w:r>
      <w:r>
        <w:rPr>
          <w:rFonts w:ascii="Arial" w:hAnsi="Arial" w:cs="Arial" w:eastAsia="Arial" w:hint="default"/>
          <w:spacing w:val="7"/>
        </w:rPr>
        <w:t>2008</w:t>
      </w:r>
      <w:r>
        <w:rPr>
          <w:spacing w:val="7"/>
        </w:rPr>
        <w:t>年</w:t>
      </w:r>
      <w:r>
        <w:rPr>
          <w:rFonts w:ascii="Arial" w:hAnsi="Arial" w:cs="Arial" w:eastAsia="Arial" w:hint="default"/>
          <w:spacing w:val="7"/>
        </w:rPr>
        <w:t>10</w:t>
      </w:r>
      <w:r>
        <w:rPr>
          <w:spacing w:val="7"/>
        </w:rPr>
        <w:t>月</w:t>
      </w:r>
      <w:r>
        <w:rPr>
          <w:rFonts w:ascii="Arial" w:hAnsi="Arial" w:cs="Arial" w:eastAsia="Arial" w:hint="default"/>
          <w:spacing w:val="7"/>
        </w:rPr>
        <w:t>15</w:t>
      </w:r>
      <w:r>
        <w:rPr>
          <w:spacing w:val="7"/>
        </w:rPr>
        <w:t>日合并交易完成前，网通红筹公司根据</w:t>
      </w:r>
      <w:r>
        <w:rPr>
          <w:rFonts w:ascii="Arial" w:hAnsi="Arial" w:cs="Arial" w:eastAsia="Arial" w:hint="default"/>
          <w:spacing w:val="7"/>
        </w:rPr>
        <w:t>2004</w:t>
      </w:r>
      <w:r>
        <w:rPr>
          <w:spacing w:val="7"/>
        </w:rPr>
        <w:t>年</w:t>
      </w:r>
      <w:r>
        <w:rPr>
          <w:rFonts w:ascii="Arial" w:hAnsi="Arial" w:cs="Arial" w:eastAsia="Arial" w:hint="default"/>
          <w:spacing w:val="7"/>
        </w:rPr>
        <w:t>9</w:t>
      </w:r>
      <w:r>
        <w:rPr>
          <w:spacing w:val="7"/>
        </w:rPr>
        <w:t>月</w:t>
      </w:r>
      <w:r>
        <w:rPr>
          <w:rFonts w:ascii="Arial" w:hAnsi="Arial" w:cs="Arial" w:eastAsia="Arial" w:hint="default"/>
          <w:spacing w:val="7"/>
        </w:rPr>
        <w:t>13</w:t>
      </w:r>
      <w:r>
        <w:rPr>
          <w:spacing w:val="7"/>
        </w:rPr>
        <w:t>日通过的股东决议于</w:t>
      </w:r>
      <w:r>
        <w:rPr>
          <w:spacing w:val="-83"/>
        </w:rPr>
        <w:t> </w:t>
      </w:r>
      <w:r>
        <w:rPr>
          <w:spacing w:val="-83"/>
        </w:rPr>
      </w:r>
      <w:r>
        <w:rPr>
          <w:rFonts w:ascii="Arial" w:hAnsi="Arial" w:cs="Arial" w:eastAsia="Arial" w:hint="default"/>
          <w:spacing w:val="-2"/>
        </w:rPr>
        <w:t>2004</w:t>
      </w:r>
      <w:r>
        <w:rPr>
          <w:spacing w:val="-2"/>
        </w:rPr>
        <w:t>年（第一次授予）及</w:t>
      </w:r>
      <w:r>
        <w:rPr>
          <w:rFonts w:ascii="Arial" w:hAnsi="Arial" w:cs="Arial" w:eastAsia="Arial" w:hint="default"/>
          <w:spacing w:val="-2"/>
        </w:rPr>
        <w:t>2005</w:t>
      </w:r>
      <w:r>
        <w:rPr>
          <w:spacing w:val="-2"/>
        </w:rPr>
        <w:t>年（第二次授予）授予公司董事及员工（包括子公司员工）一定</w:t>
      </w:r>
      <w:r>
        <w:rPr>
          <w:w w:val="99"/>
        </w:rPr>
        <w:t> </w:t>
      </w:r>
      <w:r>
        <w:rPr>
          <w:spacing w:val="-2"/>
        </w:rPr>
        <w:t>数量的股份期权。该等第一次和第二次被授予的股份期权已于</w:t>
      </w:r>
      <w:r>
        <w:rPr>
          <w:rFonts w:ascii="Arial" w:hAnsi="Arial" w:cs="Arial" w:eastAsia="Arial" w:hint="default"/>
          <w:spacing w:val="-2"/>
        </w:rPr>
        <w:t>2008</w:t>
      </w:r>
      <w:r>
        <w:rPr>
          <w:spacing w:val="-2"/>
        </w:rPr>
        <w:t>年</w:t>
      </w:r>
      <w:r>
        <w:rPr>
          <w:rFonts w:ascii="Arial" w:hAnsi="Arial" w:cs="Arial" w:eastAsia="Arial" w:hint="default"/>
          <w:spacing w:val="-2"/>
        </w:rPr>
        <w:t>10</w:t>
      </w:r>
      <w:r>
        <w:rPr>
          <w:spacing w:val="-2"/>
        </w:rPr>
        <w:t>月</w:t>
      </w:r>
      <w:r>
        <w:rPr>
          <w:rFonts w:ascii="Arial" w:hAnsi="Arial" w:cs="Arial" w:eastAsia="Arial" w:hint="default"/>
          <w:spacing w:val="-2"/>
        </w:rPr>
        <w:t>15</w:t>
      </w:r>
      <w:r>
        <w:rPr>
          <w:spacing w:val="-2"/>
        </w:rPr>
        <w:t>日被联通红筹公司</w:t>
      </w:r>
      <w:r>
        <w:rPr>
          <w:spacing w:val="-108"/>
        </w:rPr>
        <w:t> </w:t>
      </w:r>
      <w:r>
        <w:rPr>
          <w:spacing w:val="-108"/>
        </w:rPr>
      </w:r>
      <w:r>
        <w:rPr/>
        <w:t>授予的特殊目的股份期权所取代。</w:t>
      </w:r>
    </w:p>
    <w:p>
      <w:pPr>
        <w:spacing w:line="240" w:lineRule="auto" w:before="1"/>
        <w:rPr>
          <w:rFonts w:ascii="宋体" w:hAnsi="宋体" w:cs="宋体" w:eastAsia="宋体" w:hint="default"/>
          <w:sz w:val="17"/>
          <w:szCs w:val="17"/>
        </w:rPr>
      </w:pPr>
    </w:p>
    <w:p>
      <w:pPr>
        <w:pStyle w:val="BodyText"/>
        <w:spacing w:line="240" w:lineRule="auto"/>
        <w:ind w:left="598" w:right="0"/>
        <w:jc w:val="both"/>
      </w:pPr>
      <w:r>
        <w:rPr/>
        <w:t>网通红筹公司股份期权明细及未行使的股份期权数目的变动列示如下：</w:t>
      </w:r>
    </w:p>
    <w:p>
      <w:pPr>
        <w:spacing w:line="240" w:lineRule="auto" w:before="13"/>
        <w:rPr>
          <w:rFonts w:ascii="宋体" w:hAnsi="宋体" w:cs="宋体" w:eastAsia="宋体" w:hint="default"/>
          <w:sz w:val="17"/>
          <w:szCs w:val="17"/>
        </w:rPr>
      </w:pPr>
    </w:p>
    <w:p>
      <w:pPr>
        <w:pStyle w:val="BodyText"/>
        <w:tabs>
          <w:tab w:pos="8195" w:val="left" w:leader="none"/>
        </w:tabs>
        <w:spacing w:line="360" w:lineRule="auto"/>
        <w:ind w:left="5561" w:right="226" w:firstLine="451"/>
        <w:jc w:val="left"/>
        <w:rPr>
          <w:rFonts w:ascii="宋体" w:hAnsi="宋体" w:cs="宋体" w:eastAsia="宋体" w:hint="default"/>
        </w:rPr>
      </w:pPr>
      <w:r>
        <w:rPr/>
        <w:pict>
          <v:group style="position:absolute;margin-left:336.480011pt;margin-top:18.08559pt;width:207.2pt;height:.75pt;mso-position-horizontal-relative:page;mso-position-vertical-relative:paragraph;z-index:-912184" coordorigin="6730,362" coordsize="4144,15">
            <v:group style="position:absolute;left:6737;top:369;width:2058;height:2" coordorigin="6737,369" coordsize="2058,2">
              <v:shape style="position:absolute;left:6737;top:369;width:2058;height:2" coordorigin="6737,369" coordsize="2058,0" path="m6737,369l8795,369e" filled="false" stroked="true" strokeweight=".72pt" strokecolor="#000000">
                <v:path arrowok="t"/>
              </v:shape>
            </v:group>
            <v:group style="position:absolute;left:8795;top:369;width:2072;height:2" coordorigin="8795,369" coordsize="2072,2">
              <v:shape style="position:absolute;left:8795;top:369;width:2072;height:2" coordorigin="8795,369" coordsize="2072,0" path="m8795,369l10866,369e" filled="false" stroked="true" strokeweight=".72pt" strokecolor="#000000">
                <v:path arrowok="t"/>
              </v:shape>
            </v:group>
            <w10:wrap type="none"/>
          </v:group>
        </w:pict>
      </w:r>
      <w:r>
        <w:rPr/>
        <w:pict>
          <v:group style="position:absolute;margin-left:336.839996pt;margin-top:41.24559pt;width:102.9pt;height:.1pt;mso-position-horizontal-relative:page;mso-position-vertical-relative:paragraph;z-index:-912160" coordorigin="6737,825" coordsize="2058,2">
            <v:shape style="position:absolute;left:6737;top:825;width:2058;height:2" coordorigin="6737,825" coordsize="2058,0" path="m6737,825l8795,825e" filled="false" stroked="true" strokeweight=".72pt" strokecolor="#000000">
              <v:path arrowok="t"/>
            </v:shape>
            <w10:wrap type="none"/>
          </v:group>
        </w:pict>
      </w:r>
      <w:r>
        <w:rPr/>
        <w:pict>
          <v:group style="position:absolute;margin-left:445.320007pt;margin-top:41.24559pt;width:98pt;height:.1pt;mso-position-horizontal-relative:page;mso-position-vertical-relative:paragraph;z-index:-912136" coordorigin="8906,825" coordsize="1960,2">
            <v:shape style="position:absolute;left:8906;top:825;width:1960;height:2" coordorigin="8906,825" coordsize="1960,0" path="m8906,825l10866,825e" filled="false" stroked="true" strokeweight=".72pt" strokecolor="#000000">
              <v:path arrowok="t"/>
            </v:shape>
            <w10:wrap type="none"/>
          </v:group>
        </w:pict>
      </w:r>
      <w:r>
        <w:rPr>
          <w:rFonts w:ascii="宋体" w:hAnsi="宋体" w:cs="宋体" w:eastAsia="宋体" w:hint="default"/>
        </w:rPr>
        <w:t>截至</w:t>
      </w:r>
      <w:r>
        <w:rPr>
          <w:rFonts w:ascii="宋体" w:hAnsi="宋体" w:cs="宋体" w:eastAsia="宋体" w:hint="default"/>
          <w:spacing w:val="-56"/>
        </w:rPr>
        <w:t> </w:t>
      </w:r>
      <w:r>
        <w:rPr>
          <w:rFonts w:ascii="Arial" w:hAnsi="Arial" w:cs="Arial" w:eastAsia="Arial" w:hint="default"/>
        </w:rPr>
        <w:t>2008</w:t>
      </w:r>
      <w:r>
        <w:rPr>
          <w:rFonts w:ascii="Arial" w:hAnsi="Arial" w:cs="Arial" w:eastAsia="Arial" w:hint="default"/>
          <w:spacing w:val="-7"/>
        </w:rPr>
        <w:t> </w:t>
      </w:r>
      <w:r>
        <w:rPr>
          <w:rFonts w:ascii="宋体" w:hAnsi="宋体" w:cs="宋体" w:eastAsia="宋体" w:hint="default"/>
        </w:rPr>
        <w:t>年</w:t>
      </w:r>
      <w:r>
        <w:rPr>
          <w:rFonts w:ascii="宋体" w:hAnsi="宋体" w:cs="宋体" w:eastAsia="宋体" w:hint="default"/>
          <w:spacing w:val="-56"/>
        </w:rPr>
        <w:t> </w:t>
      </w:r>
      <w:r>
        <w:rPr>
          <w:rFonts w:ascii="Arial" w:hAnsi="Arial" w:cs="Arial" w:eastAsia="Arial" w:hint="default"/>
        </w:rPr>
        <w:t>10</w:t>
      </w:r>
      <w:r>
        <w:rPr>
          <w:rFonts w:ascii="Arial" w:hAnsi="Arial" w:cs="Arial" w:eastAsia="Arial" w:hint="default"/>
          <w:spacing w:val="-7"/>
        </w:rPr>
        <w:t> </w:t>
      </w:r>
      <w:r>
        <w:rPr>
          <w:rFonts w:ascii="宋体" w:hAnsi="宋体" w:cs="宋体" w:eastAsia="宋体" w:hint="default"/>
        </w:rPr>
        <w:t>月</w:t>
      </w:r>
      <w:r>
        <w:rPr>
          <w:rFonts w:ascii="宋体" w:hAnsi="宋体" w:cs="宋体" w:eastAsia="宋体" w:hint="default"/>
          <w:spacing w:val="-56"/>
        </w:rPr>
        <w:t> </w:t>
      </w:r>
      <w:r>
        <w:rPr>
          <w:rFonts w:ascii="Arial" w:hAnsi="Arial" w:cs="Arial" w:eastAsia="Arial" w:hint="default"/>
        </w:rPr>
        <w:t>14</w:t>
      </w:r>
      <w:r>
        <w:rPr>
          <w:rFonts w:ascii="Arial" w:hAnsi="Arial" w:cs="Arial" w:eastAsia="Arial" w:hint="default"/>
          <w:spacing w:val="-7"/>
        </w:rPr>
        <w:t> </w:t>
      </w:r>
      <w:r>
        <w:rPr>
          <w:rFonts w:ascii="宋体" w:hAnsi="宋体" w:cs="宋体" w:eastAsia="宋体" w:hint="default"/>
        </w:rPr>
        <w:t>日止期间</w:t>
      </w:r>
      <w:r>
        <w:rPr>
          <w:rFonts w:ascii="宋体" w:hAnsi="宋体" w:cs="宋体" w:eastAsia="宋体" w:hint="default"/>
          <w:w w:val="99"/>
        </w:rPr>
        <w:t> </w:t>
      </w:r>
      <w:r>
        <w:rPr>
          <w:rFonts w:ascii="宋体" w:hAnsi="宋体" w:cs="宋体" w:eastAsia="宋体" w:hint="default"/>
          <w:w w:val="95"/>
        </w:rPr>
        <w:t>平均行使价每股港币</w:t>
        <w:tab/>
      </w:r>
      <w:r>
        <w:rPr>
          <w:rFonts w:ascii="宋体" w:hAnsi="宋体" w:cs="宋体" w:eastAsia="宋体" w:hint="default"/>
        </w:rPr>
        <w:t>股份期权份数</w:t>
      </w:r>
    </w:p>
    <w:p>
      <w:pPr>
        <w:pStyle w:val="BodyText"/>
        <w:tabs>
          <w:tab w:pos="6927" w:val="left" w:leader="none"/>
          <w:tab w:pos="8250" w:val="left" w:leader="none"/>
        </w:tabs>
        <w:spacing w:line="360" w:lineRule="exact"/>
        <w:ind w:left="581" w:right="0"/>
        <w:jc w:val="both"/>
        <w:rPr>
          <w:rFonts w:ascii="Arial" w:hAnsi="Arial" w:cs="Arial" w:eastAsia="Arial" w:hint="default"/>
        </w:rPr>
      </w:pPr>
      <w:r>
        <w:rPr>
          <w:rFonts w:ascii="宋体" w:hAnsi="宋体" w:cs="宋体" w:eastAsia="宋体" w:hint="default"/>
          <w:w w:val="95"/>
          <w:position w:val="6"/>
        </w:rPr>
        <w:t>期初余额</w:t>
        <w:tab/>
      </w:r>
      <w:r>
        <w:rPr>
          <w:rFonts w:ascii="Arial" w:hAnsi="Arial" w:cs="Arial" w:eastAsia="Arial" w:hint="default"/>
          <w:w w:val="95"/>
        </w:rPr>
        <w:t>10.32</w:t>
        <w:tab/>
      </w:r>
      <w:r>
        <w:rPr>
          <w:rFonts w:ascii="Arial" w:hAnsi="Arial" w:cs="Arial" w:eastAsia="Arial" w:hint="default"/>
        </w:rPr>
        <w:t>150,844,560</w:t>
      </w:r>
    </w:p>
    <w:p>
      <w:pPr>
        <w:pStyle w:val="BodyText"/>
        <w:tabs>
          <w:tab w:pos="7159" w:val="left" w:leader="none"/>
          <w:tab w:pos="9400" w:val="left" w:leader="none"/>
        </w:tabs>
        <w:spacing w:line="240" w:lineRule="auto" w:before="24"/>
        <w:ind w:left="581" w:right="0"/>
        <w:jc w:val="both"/>
        <w:rPr>
          <w:rFonts w:ascii="Arial" w:hAnsi="Arial" w:cs="Arial" w:eastAsia="Arial" w:hint="default"/>
        </w:rPr>
      </w:pPr>
      <w:r>
        <w:rPr>
          <w:rFonts w:ascii="宋体" w:hAnsi="宋体" w:cs="宋体" w:eastAsia="宋体" w:hint="default"/>
          <w:w w:val="95"/>
        </w:rPr>
        <w:t>授予</w:t>
        <w:tab/>
      </w:r>
      <w:r>
        <w:rPr>
          <w:rFonts w:ascii="Arial" w:hAnsi="Arial" w:cs="Arial" w:eastAsia="Arial" w:hint="default"/>
          <w:w w:val="95"/>
          <w:position w:val="-5"/>
        </w:rPr>
        <w:t>-</w:t>
        <w:tab/>
      </w:r>
      <w:r>
        <w:rPr>
          <w:rFonts w:ascii="Arial" w:hAnsi="Arial" w:cs="Arial" w:eastAsia="Arial" w:hint="default"/>
          <w:position w:val="-5"/>
        </w:rPr>
        <w:t>-</w:t>
      </w:r>
      <w:r>
        <w:rPr>
          <w:rFonts w:ascii="Arial" w:hAnsi="Arial" w:cs="Arial" w:eastAsia="Arial" w:hint="default"/>
        </w:rPr>
      </w:r>
    </w:p>
    <w:p>
      <w:pPr>
        <w:pStyle w:val="BodyText"/>
        <w:tabs>
          <w:tab w:pos="7050" w:val="left" w:leader="none"/>
          <w:tab w:pos="8605" w:val="left" w:leader="none"/>
        </w:tabs>
        <w:spacing w:line="240" w:lineRule="auto" w:before="17"/>
        <w:ind w:left="582" w:right="0"/>
        <w:jc w:val="both"/>
        <w:rPr>
          <w:rFonts w:ascii="Arial" w:hAnsi="Arial" w:cs="Arial" w:eastAsia="Arial" w:hint="default"/>
        </w:rPr>
      </w:pPr>
      <w:r>
        <w:rPr>
          <w:rFonts w:ascii="宋体" w:hAnsi="宋体" w:cs="宋体" w:eastAsia="宋体" w:hint="default"/>
          <w:w w:val="95"/>
          <w:position w:val="6"/>
        </w:rPr>
        <w:t>失效</w:t>
      </w:r>
      <w:r>
        <w:rPr>
          <w:rFonts w:ascii="Arial" w:hAnsi="Arial" w:cs="Arial" w:eastAsia="Arial" w:hint="default"/>
          <w:w w:val="95"/>
          <w:position w:val="6"/>
        </w:rPr>
        <w:t>/</w:t>
      </w:r>
      <w:r>
        <w:rPr>
          <w:rFonts w:ascii="宋体" w:hAnsi="宋体" w:cs="宋体" w:eastAsia="宋体" w:hint="default"/>
          <w:w w:val="95"/>
          <w:position w:val="6"/>
        </w:rPr>
        <w:t>取消</w:t>
        <w:tab/>
      </w:r>
      <w:r>
        <w:rPr>
          <w:rFonts w:ascii="Arial" w:hAnsi="Arial" w:cs="Arial" w:eastAsia="Arial" w:hint="default"/>
          <w:w w:val="95"/>
        </w:rPr>
        <w:t>9.55</w:t>
        <w:tab/>
      </w:r>
      <w:r>
        <w:rPr>
          <w:rFonts w:ascii="Arial" w:hAnsi="Arial" w:cs="Arial" w:eastAsia="Arial" w:hint="default"/>
        </w:rPr>
        <w:t>(139,620)</w:t>
      </w:r>
    </w:p>
    <w:p>
      <w:pPr>
        <w:pStyle w:val="BodyText"/>
        <w:tabs>
          <w:tab w:pos="6927" w:val="left" w:leader="none"/>
          <w:tab w:pos="8299" w:val="left" w:leader="none"/>
        </w:tabs>
        <w:spacing w:line="240" w:lineRule="auto" w:before="19"/>
        <w:ind w:left="582" w:right="0"/>
        <w:jc w:val="both"/>
        <w:rPr>
          <w:rFonts w:ascii="Arial" w:hAnsi="Arial" w:cs="Arial" w:eastAsia="Arial" w:hint="default"/>
        </w:rPr>
      </w:pPr>
      <w:r>
        <w:rPr>
          <w:rFonts w:ascii="宋体" w:hAnsi="宋体" w:cs="宋体" w:eastAsia="宋体" w:hint="default"/>
          <w:w w:val="95"/>
          <w:position w:val="6"/>
        </w:rPr>
        <w:t>行使</w:t>
        <w:tab/>
      </w:r>
      <w:r>
        <w:rPr>
          <w:rFonts w:ascii="Arial" w:hAnsi="Arial" w:cs="Arial" w:eastAsia="Arial" w:hint="default"/>
          <w:w w:val="95"/>
        </w:rPr>
        <w:t>10.45</w:t>
        <w:tab/>
      </w:r>
      <w:r>
        <w:rPr>
          <w:rFonts w:ascii="Arial" w:hAnsi="Arial" w:cs="Arial" w:eastAsia="Arial" w:hint="default"/>
        </w:rPr>
        <w:t>(24,868,800)</w:t>
      </w:r>
    </w:p>
    <w:p>
      <w:pPr>
        <w:pStyle w:val="BodyText"/>
        <w:tabs>
          <w:tab w:pos="5476" w:val="left" w:leader="none"/>
          <w:tab w:pos="6927" w:val="left" w:leader="none"/>
        </w:tabs>
        <w:spacing w:line="240" w:lineRule="auto" w:before="20"/>
        <w:ind w:left="582" w:right="0"/>
        <w:jc w:val="both"/>
        <w:rPr>
          <w:rFonts w:ascii="Arial" w:hAnsi="Arial" w:cs="Arial" w:eastAsia="Arial" w:hint="default"/>
        </w:rPr>
      </w:pPr>
      <w:r>
        <w:rPr>
          <w:rFonts w:ascii="宋体" w:hAnsi="宋体" w:cs="宋体" w:eastAsia="宋体" w:hint="default"/>
          <w:w w:val="95"/>
          <w:position w:val="6"/>
        </w:rPr>
        <w:t>因转换为特殊目的股份期权而取消</w:t>
        <w:tab/>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10.30          </w:t>
      </w:r>
      <w:r>
        <w:rPr>
          <w:rFonts w:ascii="Arial" w:hAnsi="Arial" w:cs="Arial" w:eastAsia="Arial" w:hint="default"/>
          <w:spacing w:val="21"/>
          <w:u w:val="single" w:color="000000"/>
        </w:rPr>
        <w:t> </w:t>
      </w:r>
      <w:r>
        <w:rPr>
          <w:rFonts w:ascii="Arial" w:hAnsi="Arial" w:cs="Arial" w:eastAsia="Arial" w:hint="default"/>
          <w:spacing w:val="21"/>
        </w:rPr>
      </w:r>
      <w:r>
        <w:rPr>
          <w:rFonts w:ascii="Arial" w:hAnsi="Arial" w:cs="Arial" w:eastAsia="Arial" w:hint="default"/>
          <w:spacing w:val="21"/>
          <w:u w:val="single" w:color="000000"/>
        </w:rPr>
        <w:t> </w:t>
      </w:r>
      <w:r>
        <w:rPr>
          <w:rFonts w:ascii="Arial" w:hAnsi="Arial" w:cs="Arial" w:eastAsia="Arial" w:hint="default"/>
          <w:u w:val="single" w:color="000000"/>
        </w:rPr>
        <w:t>(125,836,140)</w:t>
      </w:r>
      <w:r>
        <w:rPr>
          <w:rFonts w:ascii="Arial" w:hAnsi="Arial" w:cs="Arial" w:eastAsia="Arial" w:hint="default"/>
          <w:spacing w:val="-2"/>
          <w:u w:val="single" w:color="000000"/>
        </w:rPr>
        <w:t> </w:t>
      </w:r>
      <w:r>
        <w:rPr>
          <w:rFonts w:ascii="Arial" w:hAnsi="Arial" w:cs="Arial" w:eastAsia="Arial" w:hint="default"/>
          <w:spacing w:val="-2"/>
        </w:rPr>
      </w:r>
      <w:r>
        <w:rPr>
          <w:rFonts w:ascii="Arial" w:hAnsi="Arial" w:cs="Arial" w:eastAsia="Arial" w:hint="default"/>
        </w:rPr>
      </w:r>
    </w:p>
    <w:p>
      <w:pPr>
        <w:spacing w:line="240" w:lineRule="auto" w:before="8"/>
        <w:rPr>
          <w:rFonts w:ascii="Arial" w:hAnsi="Arial" w:cs="Arial" w:eastAsia="Arial" w:hint="default"/>
          <w:sz w:val="23"/>
          <w:szCs w:val="23"/>
        </w:rPr>
      </w:pPr>
    </w:p>
    <w:p>
      <w:pPr>
        <w:pStyle w:val="BodyText"/>
        <w:tabs>
          <w:tab w:pos="7159" w:val="left" w:leader="none"/>
          <w:tab w:pos="9400" w:val="left" w:leader="none"/>
        </w:tabs>
        <w:spacing w:line="240" w:lineRule="auto" w:before="18"/>
        <w:ind w:left="581" w:right="106"/>
        <w:jc w:val="left"/>
        <w:rPr>
          <w:rFonts w:ascii="Arial" w:hAnsi="Arial" w:cs="Arial" w:eastAsia="Arial" w:hint="default"/>
        </w:rPr>
      </w:pPr>
      <w:r>
        <w:rPr>
          <w:rFonts w:ascii="宋体" w:hAnsi="宋体" w:cs="宋体" w:eastAsia="宋体" w:hint="default"/>
          <w:w w:val="95"/>
        </w:rPr>
        <w:t>期末余额</w:t>
        <w:tab/>
      </w:r>
      <w:r>
        <w:rPr>
          <w:rFonts w:ascii="Arial" w:hAnsi="Arial" w:cs="Arial" w:eastAsia="Arial" w:hint="default"/>
          <w:w w:val="95"/>
          <w:position w:val="-5"/>
        </w:rPr>
        <w:t>-</w:t>
        <w:tab/>
      </w:r>
      <w:r>
        <w:rPr>
          <w:rFonts w:ascii="Arial" w:hAnsi="Arial" w:cs="Arial" w:eastAsia="Arial" w:hint="default"/>
          <w:position w:val="-5"/>
        </w:rPr>
        <w:t>-</w:t>
      </w:r>
      <w:r>
        <w:rPr>
          <w:rFonts w:ascii="Arial" w:hAnsi="Arial" w:cs="Arial" w:eastAsia="Arial" w:hint="default"/>
        </w:rPr>
      </w:r>
    </w:p>
    <w:p>
      <w:pPr>
        <w:spacing w:line="43" w:lineRule="exact"/>
        <w:ind w:left="5462" w:right="0" w:firstLine="0"/>
        <w:rPr>
          <w:rFonts w:ascii="Arial" w:hAnsi="Arial" w:cs="Arial" w:eastAsia="Arial" w:hint="default"/>
          <w:sz w:val="4"/>
          <w:szCs w:val="4"/>
        </w:rPr>
      </w:pPr>
      <w:r>
        <w:rPr>
          <w:rFonts w:ascii="Arial"/>
          <w:position w:val="0"/>
          <w:sz w:val="4"/>
        </w:rPr>
        <w:pict>
          <v:group style="width:104.35pt;height:2.2pt;mso-position-horizontal-relative:char;mso-position-vertical-relative:line" coordorigin="0,0" coordsize="2087,44">
            <v:group style="position:absolute;left:7;top:36;width:2073;height:2" coordorigin="7,36" coordsize="2073,2">
              <v:shape style="position:absolute;left:7;top:36;width:2073;height:2" coordorigin="7,36" coordsize="2073,0" path="m7,36l2080,36e" filled="false" stroked="true" strokeweight=".72pt" strokecolor="#000000">
                <v:path arrowok="t"/>
              </v:shape>
            </v:group>
            <v:group style="position:absolute;left:7;top:7;width:2073;height:2" coordorigin="7,7" coordsize="2073,2">
              <v:shape style="position:absolute;left:7;top:7;width:2073;height:2" coordorigin="7,7" coordsize="2073,0" path="m7,7l2080,7e" filled="false" stroked="true" strokeweight=".72pt" strokecolor="#000000">
                <v:path arrowok="t"/>
              </v:shape>
            </v:group>
          </v:group>
        </w:pict>
      </w:r>
      <w:r>
        <w:rPr>
          <w:rFonts w:ascii="Arial"/>
          <w:position w:val="0"/>
          <w:sz w:val="4"/>
        </w:rPr>
      </w:r>
      <w:r>
        <w:rPr>
          <w:rFonts w:ascii="Times New Roman"/>
          <w:spacing w:val="67"/>
          <w:position w:val="0"/>
          <w:sz w:val="4"/>
        </w:rPr>
        <w:t> </w:t>
      </w:r>
      <w:r>
        <w:rPr>
          <w:rFonts w:ascii="Arial"/>
          <w:spacing w:val="67"/>
          <w:position w:val="0"/>
          <w:sz w:val="4"/>
        </w:rPr>
        <w:pict>
          <v:group style="width:99.45pt;height:2.2pt;mso-position-horizontal-relative:char;mso-position-vertical-relative:line" coordorigin="0,0" coordsize="1989,44">
            <v:group style="position:absolute;left:7;top:36;width:1974;height:2" coordorigin="7,36" coordsize="1974,2">
              <v:shape style="position:absolute;left:7;top:36;width:1974;height:2" coordorigin="7,36" coordsize="1974,0" path="m7,36l1981,36e" filled="false" stroked="true" strokeweight=".72pt" strokecolor="#000000">
                <v:path arrowok="t"/>
              </v:shape>
            </v:group>
            <v:group style="position:absolute;left:7;top:7;width:1974;height:2" coordorigin="7,7" coordsize="1974,2">
              <v:shape style="position:absolute;left:7;top:7;width:1974;height:2" coordorigin="7,7" coordsize="1974,0" path="m7,7l1981,7e" filled="false" stroked="true" strokeweight=".72pt" strokecolor="#000000">
                <v:path arrowok="t"/>
              </v:shape>
            </v:group>
          </v:group>
        </w:pict>
      </w:r>
      <w:r>
        <w:rPr>
          <w:rFonts w:ascii="Arial"/>
          <w:spacing w:val="67"/>
          <w:position w:val="0"/>
          <w:sz w:val="4"/>
        </w:rPr>
      </w:r>
    </w:p>
    <w:p>
      <w:pPr>
        <w:spacing w:line="240" w:lineRule="auto" w:before="1"/>
        <w:rPr>
          <w:rFonts w:ascii="Arial" w:hAnsi="Arial" w:cs="Arial" w:eastAsia="Arial" w:hint="default"/>
          <w:sz w:val="16"/>
          <w:szCs w:val="16"/>
        </w:rPr>
      </w:pPr>
    </w:p>
    <w:p>
      <w:pPr>
        <w:pStyle w:val="BodyText"/>
        <w:spacing w:line="240" w:lineRule="auto" w:before="31"/>
        <w:ind w:left="584" w:right="106"/>
        <w:jc w:val="left"/>
      </w:pPr>
      <w:r>
        <w:rPr/>
        <w:t>网通红筹公司于</w:t>
      </w:r>
      <w:r>
        <w:rPr>
          <w:rFonts w:ascii="Arial" w:hAnsi="Arial" w:cs="Arial" w:eastAsia="Arial" w:hint="default"/>
        </w:rPr>
        <w:t>2008</w:t>
      </w:r>
      <w:r>
        <w:rPr/>
        <w:t>年</w:t>
      </w:r>
      <w:r>
        <w:rPr>
          <w:rFonts w:ascii="Arial" w:hAnsi="Arial" w:cs="Arial" w:eastAsia="Arial" w:hint="default"/>
        </w:rPr>
        <w:t>1</w:t>
      </w:r>
      <w:r>
        <w:rPr/>
        <w:t>月</w:t>
      </w:r>
      <w:r>
        <w:rPr>
          <w:rFonts w:ascii="Arial" w:hAnsi="Arial" w:cs="Arial" w:eastAsia="Arial" w:hint="default"/>
        </w:rPr>
        <w:t>1</w:t>
      </w:r>
      <w:r>
        <w:rPr/>
        <w:t>日至</w:t>
      </w:r>
      <w:r>
        <w:rPr>
          <w:rFonts w:ascii="Arial" w:hAnsi="Arial" w:cs="Arial" w:eastAsia="Arial" w:hint="default"/>
        </w:rPr>
        <w:t>2008</w:t>
      </w:r>
      <w:r>
        <w:rPr/>
        <w:t>年</w:t>
      </w:r>
      <w:r>
        <w:rPr>
          <w:rFonts w:ascii="Arial" w:hAnsi="Arial" w:cs="Arial" w:eastAsia="Arial" w:hint="default"/>
        </w:rPr>
        <w:t>10</w:t>
      </w:r>
      <w:r>
        <w:rPr/>
        <w:t>月</w:t>
      </w:r>
      <w:r>
        <w:rPr>
          <w:rFonts w:ascii="Arial" w:hAnsi="Arial" w:cs="Arial" w:eastAsia="Arial" w:hint="default"/>
        </w:rPr>
        <w:t>14</w:t>
      </w:r>
      <w:r>
        <w:rPr/>
        <w:t>日止期间已行使股份期权明细变动列示如下：</w:t>
      </w:r>
    </w:p>
    <w:p>
      <w:pPr>
        <w:spacing w:line="240" w:lineRule="auto" w:before="7"/>
        <w:rPr>
          <w:rFonts w:ascii="宋体" w:hAnsi="宋体" w:cs="宋体" w:eastAsia="宋体" w:hint="default"/>
          <w:sz w:val="16"/>
          <w:szCs w:val="16"/>
        </w:rPr>
      </w:pPr>
    </w:p>
    <w:tbl>
      <w:tblPr>
        <w:tblW w:w="0" w:type="auto"/>
        <w:jc w:val="left"/>
        <w:tblInd w:w="584" w:type="dxa"/>
        <w:tblLayout w:type="fixed"/>
        <w:tblCellMar>
          <w:top w:w="0" w:type="dxa"/>
          <w:left w:w="0" w:type="dxa"/>
          <w:bottom w:w="0" w:type="dxa"/>
          <w:right w:w="0" w:type="dxa"/>
        </w:tblCellMar>
        <w:tblLook w:val="01E0"/>
      </w:tblPr>
      <w:tblGrid>
        <w:gridCol w:w="2123"/>
        <w:gridCol w:w="1356"/>
        <w:gridCol w:w="182"/>
        <w:gridCol w:w="2071"/>
        <w:gridCol w:w="184"/>
        <w:gridCol w:w="1399"/>
        <w:gridCol w:w="163"/>
        <w:gridCol w:w="1537"/>
      </w:tblGrid>
      <w:tr>
        <w:trPr>
          <w:trHeight w:val="854" w:hRule="exact"/>
        </w:trPr>
        <w:tc>
          <w:tcPr>
            <w:tcW w:w="2123"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left="15" w:right="0"/>
              <w:jc w:val="left"/>
              <w:rPr>
                <w:rFonts w:ascii="宋体" w:hAnsi="宋体" w:cs="宋体" w:eastAsia="宋体" w:hint="default"/>
                <w:sz w:val="20"/>
                <w:szCs w:val="20"/>
              </w:rPr>
            </w:pPr>
            <w:r>
              <w:rPr>
                <w:rFonts w:ascii="宋体" w:hAnsi="宋体" w:cs="宋体" w:eastAsia="宋体" w:hint="default"/>
                <w:sz w:val="20"/>
                <w:szCs w:val="20"/>
              </w:rPr>
              <w:t>授予</w:t>
            </w:r>
          </w:p>
        </w:tc>
        <w:tc>
          <w:tcPr>
            <w:tcW w:w="1356"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60" w:lineRule="exact"/>
              <w:ind w:left="706" w:right="47" w:hanging="201"/>
              <w:jc w:val="left"/>
              <w:rPr>
                <w:rFonts w:ascii="宋体" w:hAnsi="宋体" w:cs="宋体" w:eastAsia="宋体" w:hint="default"/>
                <w:sz w:val="20"/>
                <w:szCs w:val="20"/>
              </w:rPr>
            </w:pPr>
            <w:r>
              <w:rPr>
                <w:rFonts w:ascii="宋体" w:hAnsi="宋体" w:cs="宋体" w:eastAsia="宋体" w:hint="default"/>
                <w:sz w:val="20"/>
                <w:szCs w:val="20"/>
              </w:rPr>
              <w:t>行使价格</w:t>
            </w:r>
            <w:r>
              <w:rPr>
                <w:rFonts w:ascii="宋体" w:hAnsi="宋体" w:cs="宋体" w:eastAsia="宋体" w:hint="default"/>
                <w:w w:val="100"/>
                <w:sz w:val="20"/>
                <w:szCs w:val="20"/>
              </w:rPr>
              <w:t> </w:t>
            </w:r>
            <w:r>
              <w:rPr>
                <w:rFonts w:ascii="宋体" w:hAnsi="宋体" w:cs="宋体" w:eastAsia="宋体" w:hint="default"/>
                <w:sz w:val="20"/>
                <w:szCs w:val="20"/>
              </w:rPr>
              <w:t>港币元</w:t>
            </w:r>
          </w:p>
        </w:tc>
        <w:tc>
          <w:tcPr>
            <w:tcW w:w="182" w:type="dxa"/>
            <w:tcBorders>
              <w:top w:val="nil" w:sz="6" w:space="0" w:color="auto"/>
              <w:left w:val="nil" w:sz="6" w:space="0" w:color="auto"/>
              <w:bottom w:val="nil" w:sz="6" w:space="0" w:color="auto"/>
              <w:right w:val="nil" w:sz="6" w:space="0" w:color="auto"/>
            </w:tcBorders>
          </w:tcPr>
          <w:p>
            <w:pPr/>
          </w:p>
        </w:tc>
        <w:tc>
          <w:tcPr>
            <w:tcW w:w="2071" w:type="dxa"/>
            <w:tcBorders>
              <w:top w:val="nil" w:sz="6" w:space="0" w:color="auto"/>
              <w:left w:val="nil" w:sz="6" w:space="0" w:color="auto"/>
              <w:bottom w:val="single" w:sz="6" w:space="0" w:color="000000"/>
              <w:right w:val="nil" w:sz="6" w:space="0" w:color="auto"/>
            </w:tcBorders>
          </w:tcPr>
          <w:p>
            <w:pPr>
              <w:pStyle w:val="TableParagraph"/>
              <w:spacing w:line="260" w:lineRule="exact" w:before="64"/>
              <w:ind w:left="220" w:right="46" w:hanging="200"/>
              <w:jc w:val="right"/>
              <w:rPr>
                <w:rFonts w:ascii="宋体" w:hAnsi="宋体" w:cs="宋体" w:eastAsia="宋体" w:hint="default"/>
                <w:sz w:val="20"/>
                <w:szCs w:val="20"/>
              </w:rPr>
            </w:pPr>
            <w:r>
              <w:rPr>
                <w:rFonts w:ascii="宋体" w:hAnsi="宋体" w:cs="宋体" w:eastAsia="宋体" w:hint="default"/>
                <w:spacing w:val="-1"/>
                <w:sz w:val="20"/>
                <w:szCs w:val="20"/>
              </w:rPr>
              <w:t>紧贴期权行使日期前的</w:t>
            </w:r>
            <w:r>
              <w:rPr>
                <w:rFonts w:ascii="宋体" w:hAnsi="宋体" w:cs="宋体" w:eastAsia="宋体" w:hint="default"/>
                <w:spacing w:val="-96"/>
                <w:sz w:val="20"/>
                <w:szCs w:val="20"/>
              </w:rPr>
              <w:t> </w:t>
            </w:r>
            <w:r>
              <w:rPr>
                <w:rFonts w:ascii="宋体" w:hAnsi="宋体" w:cs="宋体" w:eastAsia="宋体" w:hint="default"/>
                <w:spacing w:val="-96"/>
                <w:sz w:val="20"/>
                <w:szCs w:val="20"/>
              </w:rPr>
            </w:r>
            <w:r>
              <w:rPr>
                <w:rFonts w:ascii="宋体" w:hAnsi="宋体" w:cs="宋体" w:eastAsia="宋体" w:hint="default"/>
                <w:spacing w:val="-1"/>
                <w:sz w:val="20"/>
                <w:szCs w:val="20"/>
              </w:rPr>
              <w:t>加权平均每股收市价</w:t>
            </w:r>
          </w:p>
          <w:p>
            <w:pPr>
              <w:pStyle w:val="TableParagraph"/>
              <w:spacing w:line="235" w:lineRule="exact"/>
              <w:ind w:right="47"/>
              <w:jc w:val="right"/>
              <w:rPr>
                <w:rFonts w:ascii="宋体" w:hAnsi="宋体" w:cs="宋体" w:eastAsia="宋体" w:hint="default"/>
                <w:sz w:val="20"/>
                <w:szCs w:val="20"/>
              </w:rPr>
            </w:pPr>
            <w:r>
              <w:rPr>
                <w:rFonts w:ascii="宋体" w:hAnsi="宋体" w:cs="宋体" w:eastAsia="宋体" w:hint="default"/>
                <w:sz w:val="20"/>
                <w:szCs w:val="20"/>
              </w:rPr>
              <w:t>港币元</w:t>
            </w:r>
          </w:p>
        </w:tc>
        <w:tc>
          <w:tcPr>
            <w:tcW w:w="184"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60" w:lineRule="exact"/>
              <w:ind w:left="783" w:right="12" w:hanging="201"/>
              <w:jc w:val="left"/>
              <w:rPr>
                <w:rFonts w:ascii="宋体" w:hAnsi="宋体" w:cs="宋体" w:eastAsia="宋体" w:hint="default"/>
                <w:sz w:val="20"/>
                <w:szCs w:val="20"/>
              </w:rPr>
            </w:pPr>
            <w:r>
              <w:rPr>
                <w:rFonts w:ascii="宋体" w:hAnsi="宋体" w:cs="宋体" w:eastAsia="宋体" w:hint="default"/>
                <w:sz w:val="20"/>
                <w:szCs w:val="20"/>
              </w:rPr>
              <w:t>收到现金</w:t>
            </w:r>
            <w:r>
              <w:rPr>
                <w:rFonts w:ascii="宋体" w:hAnsi="宋体" w:cs="宋体" w:eastAsia="宋体" w:hint="default"/>
                <w:w w:val="100"/>
                <w:sz w:val="20"/>
                <w:szCs w:val="20"/>
              </w:rPr>
              <w:t> </w:t>
            </w:r>
            <w:r>
              <w:rPr>
                <w:rFonts w:ascii="宋体" w:hAnsi="宋体" w:cs="宋体" w:eastAsia="宋体" w:hint="default"/>
                <w:sz w:val="20"/>
                <w:szCs w:val="20"/>
              </w:rPr>
              <w:t>港币元</w:t>
            </w:r>
          </w:p>
        </w:tc>
        <w:tc>
          <w:tcPr>
            <w:tcW w:w="163"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23"/>
              <w:jc w:val="right"/>
              <w:rPr>
                <w:rFonts w:ascii="宋体" w:hAnsi="宋体" w:cs="宋体" w:eastAsia="宋体" w:hint="default"/>
                <w:sz w:val="20"/>
                <w:szCs w:val="20"/>
              </w:rPr>
            </w:pPr>
            <w:r>
              <w:rPr>
                <w:rFonts w:ascii="宋体" w:hAnsi="宋体" w:cs="宋体" w:eastAsia="宋体" w:hint="default"/>
                <w:spacing w:val="-1"/>
                <w:sz w:val="20"/>
                <w:szCs w:val="20"/>
              </w:rPr>
              <w:t>股份期权份数</w:t>
            </w:r>
          </w:p>
        </w:tc>
      </w:tr>
      <w:tr>
        <w:trPr>
          <w:trHeight w:val="547" w:hRule="exact"/>
        </w:trPr>
        <w:tc>
          <w:tcPr>
            <w:tcW w:w="2123" w:type="dxa"/>
            <w:tcBorders>
              <w:top w:val="single" w:sz="6"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5" w:right="0"/>
              <w:jc w:val="left"/>
              <w:rPr>
                <w:rFonts w:ascii="宋体" w:hAnsi="宋体" w:cs="宋体" w:eastAsia="宋体" w:hint="default"/>
                <w:sz w:val="20"/>
                <w:szCs w:val="20"/>
              </w:rPr>
            </w:pPr>
            <w:r>
              <w:rPr>
                <w:rFonts w:ascii="宋体" w:hAnsi="宋体" w:cs="宋体" w:eastAsia="宋体" w:hint="default"/>
                <w:sz w:val="20"/>
                <w:szCs w:val="20"/>
              </w:rPr>
              <w:t>第一次授予之期权</w:t>
            </w:r>
          </w:p>
        </w:tc>
        <w:tc>
          <w:tcPr>
            <w:tcW w:w="1356" w:type="dxa"/>
            <w:tcBorders>
              <w:top w:val="single" w:sz="6"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45"/>
              <w:jc w:val="right"/>
              <w:rPr>
                <w:rFonts w:ascii="Arial" w:hAnsi="Arial" w:cs="Arial" w:eastAsia="Arial" w:hint="default"/>
                <w:sz w:val="20"/>
                <w:szCs w:val="20"/>
              </w:rPr>
            </w:pPr>
            <w:r>
              <w:rPr>
                <w:rFonts w:ascii="Arial"/>
                <w:sz w:val="20"/>
              </w:rPr>
              <w:t>8.40</w:t>
            </w:r>
          </w:p>
        </w:tc>
        <w:tc>
          <w:tcPr>
            <w:tcW w:w="182" w:type="dxa"/>
            <w:tcBorders>
              <w:top w:val="nil" w:sz="6" w:space="0" w:color="auto"/>
              <w:left w:val="nil" w:sz="6" w:space="0" w:color="auto"/>
              <w:bottom w:val="nil" w:sz="6" w:space="0" w:color="auto"/>
              <w:right w:val="nil" w:sz="6" w:space="0" w:color="auto"/>
            </w:tcBorders>
          </w:tcPr>
          <w:p>
            <w:pPr/>
          </w:p>
        </w:tc>
        <w:tc>
          <w:tcPr>
            <w:tcW w:w="2071" w:type="dxa"/>
            <w:tcBorders>
              <w:top w:val="single" w:sz="6"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1520" w:right="0"/>
              <w:jc w:val="left"/>
              <w:rPr>
                <w:rFonts w:ascii="Arial" w:hAnsi="Arial" w:cs="Arial" w:eastAsia="Arial" w:hint="default"/>
                <w:sz w:val="20"/>
                <w:szCs w:val="20"/>
              </w:rPr>
            </w:pPr>
            <w:r>
              <w:rPr>
                <w:rFonts w:ascii="Arial"/>
                <w:sz w:val="20"/>
              </w:rPr>
              <w:t>26.17</w:t>
            </w:r>
          </w:p>
        </w:tc>
        <w:tc>
          <w:tcPr>
            <w:tcW w:w="184" w:type="dxa"/>
            <w:tcBorders>
              <w:top w:val="nil" w:sz="6" w:space="0" w:color="auto"/>
              <w:left w:val="nil" w:sz="6" w:space="0" w:color="auto"/>
              <w:bottom w:val="nil" w:sz="6" w:space="0" w:color="auto"/>
              <w:right w:val="nil" w:sz="6" w:space="0" w:color="auto"/>
            </w:tcBorders>
          </w:tcPr>
          <w:p>
            <w:pPr/>
          </w:p>
        </w:tc>
        <w:tc>
          <w:tcPr>
            <w:tcW w:w="1399" w:type="dxa"/>
            <w:tcBorders>
              <w:top w:val="single" w:sz="6"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75"/>
              <w:jc w:val="right"/>
              <w:rPr>
                <w:rFonts w:ascii="Arial" w:hAnsi="Arial" w:cs="Arial" w:eastAsia="Arial" w:hint="default"/>
                <w:sz w:val="20"/>
                <w:szCs w:val="20"/>
              </w:rPr>
            </w:pPr>
            <w:r>
              <w:rPr>
                <w:rFonts w:ascii="Arial"/>
                <w:spacing w:val="-1"/>
                <w:sz w:val="20"/>
              </w:rPr>
              <w:t>103,316,640</w:t>
            </w:r>
          </w:p>
        </w:tc>
        <w:tc>
          <w:tcPr>
            <w:tcW w:w="163" w:type="dxa"/>
            <w:tcBorders>
              <w:top w:val="nil" w:sz="6" w:space="0" w:color="auto"/>
              <w:left w:val="nil" w:sz="6" w:space="0" w:color="auto"/>
              <w:bottom w:val="nil" w:sz="6" w:space="0" w:color="auto"/>
              <w:right w:val="nil" w:sz="6" w:space="0" w:color="auto"/>
            </w:tcBorders>
          </w:tcPr>
          <w:p>
            <w:pPr/>
          </w:p>
        </w:tc>
        <w:tc>
          <w:tcPr>
            <w:tcW w:w="1537" w:type="dxa"/>
            <w:tcBorders>
              <w:top w:val="single" w:sz="6" w:space="0" w:color="000000"/>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right="68"/>
              <w:jc w:val="right"/>
              <w:rPr>
                <w:rFonts w:ascii="Arial" w:hAnsi="Arial" w:cs="Arial" w:eastAsia="Arial" w:hint="default"/>
                <w:sz w:val="20"/>
                <w:szCs w:val="20"/>
              </w:rPr>
            </w:pPr>
            <w:r>
              <w:rPr>
                <w:rFonts w:ascii="Arial"/>
                <w:spacing w:val="-1"/>
                <w:sz w:val="20"/>
              </w:rPr>
              <w:t>12,299,600</w:t>
            </w:r>
          </w:p>
        </w:tc>
      </w:tr>
      <w:tr>
        <w:trPr>
          <w:trHeight w:val="404"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227" w:lineRule="exact"/>
              <w:ind w:left="15" w:right="0"/>
              <w:jc w:val="left"/>
              <w:rPr>
                <w:rFonts w:ascii="宋体" w:hAnsi="宋体" w:cs="宋体" w:eastAsia="宋体" w:hint="default"/>
                <w:sz w:val="20"/>
                <w:szCs w:val="20"/>
              </w:rPr>
            </w:pPr>
            <w:r>
              <w:rPr>
                <w:rFonts w:ascii="宋体" w:hAnsi="宋体" w:cs="宋体" w:eastAsia="宋体" w:hint="default"/>
                <w:sz w:val="20"/>
                <w:szCs w:val="20"/>
              </w:rPr>
              <w:t>第二次授予之期权</w:t>
            </w:r>
          </w:p>
        </w:tc>
        <w:tc>
          <w:tcPr>
            <w:tcW w:w="135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
              <w:jc w:val="right"/>
              <w:rPr>
                <w:rFonts w:ascii="Arial" w:hAnsi="Arial" w:cs="Arial" w:eastAsia="Arial" w:hint="default"/>
                <w:sz w:val="20"/>
                <w:szCs w:val="20"/>
              </w:rPr>
            </w:pPr>
            <w:r>
              <w:rPr>
                <w:rFonts w:ascii="Arial"/>
                <w:sz w:val="20"/>
              </w:rPr>
              <w:t>12.45</w:t>
            </w:r>
          </w:p>
        </w:tc>
        <w:tc>
          <w:tcPr>
            <w:tcW w:w="182" w:type="dxa"/>
            <w:tcBorders>
              <w:top w:val="nil" w:sz="6" w:space="0" w:color="auto"/>
              <w:left w:val="nil" w:sz="6" w:space="0" w:color="auto"/>
              <w:bottom w:val="nil" w:sz="6" w:space="0" w:color="auto"/>
              <w:right w:val="nil" w:sz="6" w:space="0" w:color="auto"/>
            </w:tcBorders>
          </w:tcPr>
          <w:p>
            <w:pP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520" w:right="0"/>
              <w:jc w:val="left"/>
              <w:rPr>
                <w:rFonts w:ascii="Arial" w:hAnsi="Arial" w:cs="Arial" w:eastAsia="Arial" w:hint="default"/>
                <w:sz w:val="20"/>
                <w:szCs w:val="20"/>
              </w:rPr>
            </w:pPr>
            <w:r>
              <w:rPr>
                <w:rFonts w:ascii="Arial"/>
                <w:sz w:val="20"/>
              </w:rPr>
              <w:t>25.46</w:t>
            </w:r>
          </w:p>
        </w:tc>
        <w:tc>
          <w:tcPr>
            <w:tcW w:w="184"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nil" w:sz="6" w:space="0" w:color="auto"/>
            </w:tcBorders>
          </w:tcPr>
          <w:p>
            <w:pPr>
              <w:pStyle w:val="TableParagraph"/>
              <w:tabs>
                <w:tab w:pos="1388" w:val="left" w:leader="none"/>
              </w:tabs>
              <w:spacing w:line="240" w:lineRule="auto" w:before="23"/>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  </w:t>
            </w:r>
            <w:r>
              <w:rPr>
                <w:rFonts w:ascii="Arial"/>
                <w:spacing w:val="-18"/>
                <w:sz w:val="20"/>
                <w:u w:val="single" w:color="000000"/>
              </w:rPr>
              <w:t> </w:t>
            </w:r>
            <w:r>
              <w:rPr>
                <w:rFonts w:ascii="Arial"/>
                <w:spacing w:val="-1"/>
                <w:sz w:val="20"/>
                <w:u w:val="single" w:color="000000"/>
              </w:rPr>
              <w:t>156,486,540</w:t>
              <w:tab/>
            </w:r>
            <w:r>
              <w:rPr>
                <w:rFonts w:ascii="Arial"/>
                <w:spacing w:val="-1"/>
                <w:sz w:val="20"/>
              </w:rPr>
            </w:r>
          </w:p>
        </w:tc>
        <w:tc>
          <w:tcPr>
            <w:tcW w:w="163"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Style w:val="TableParagraph"/>
              <w:tabs>
                <w:tab w:pos="460" w:val="left" w:leader="none"/>
                <w:tab w:pos="1526" w:val="left" w:leader="none"/>
              </w:tabs>
              <w:spacing w:line="240" w:lineRule="auto" w:before="23"/>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12,569,200</w:t>
              <w:tab/>
            </w:r>
            <w:r>
              <w:rPr>
                <w:rFonts w:ascii="Arial"/>
                <w:spacing w:val="-1"/>
                <w:sz w:val="20"/>
              </w:rPr>
            </w:r>
          </w:p>
        </w:tc>
      </w:tr>
      <w:tr>
        <w:trPr>
          <w:trHeight w:val="409" w:hRule="exact"/>
        </w:trPr>
        <w:tc>
          <w:tcPr>
            <w:tcW w:w="2123" w:type="dxa"/>
            <w:tcBorders>
              <w:top w:val="nil" w:sz="6" w:space="0" w:color="auto"/>
              <w:left w:val="nil" w:sz="6" w:space="0" w:color="auto"/>
              <w:bottom w:val="nil" w:sz="6" w:space="0" w:color="auto"/>
              <w:right w:val="nil" w:sz="6" w:space="0" w:color="auto"/>
            </w:tcBorders>
          </w:tcPr>
          <w:p>
            <w:pPr/>
          </w:p>
        </w:tc>
        <w:tc>
          <w:tcPr>
            <w:tcW w:w="1356" w:type="dxa"/>
            <w:tcBorders>
              <w:top w:val="nil" w:sz="6" w:space="0" w:color="auto"/>
              <w:left w:val="nil" w:sz="6" w:space="0" w:color="auto"/>
              <w:bottom w:val="nil" w:sz="6" w:space="0" w:color="auto"/>
              <w:right w:val="nil" w:sz="6" w:space="0" w:color="auto"/>
            </w:tcBorders>
          </w:tcPr>
          <w:p>
            <w:pPr/>
          </w:p>
        </w:tc>
        <w:tc>
          <w:tcPr>
            <w:tcW w:w="182" w:type="dxa"/>
            <w:tcBorders>
              <w:top w:val="nil" w:sz="6" w:space="0" w:color="auto"/>
              <w:left w:val="nil" w:sz="6" w:space="0" w:color="auto"/>
              <w:bottom w:val="nil" w:sz="6" w:space="0" w:color="auto"/>
              <w:right w:val="nil" w:sz="6" w:space="0" w:color="auto"/>
            </w:tcBorders>
          </w:tcPr>
          <w:p>
            <w:pPr/>
          </w:p>
        </w:tc>
        <w:tc>
          <w:tcPr>
            <w:tcW w:w="2071"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466"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84"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single" w:sz="17" w:space="0" w:color="000000"/>
              <w:right w:val="nil" w:sz="6" w:space="0" w:color="auto"/>
            </w:tcBorders>
          </w:tcPr>
          <w:p>
            <w:pPr>
              <w:pStyle w:val="TableParagraph"/>
              <w:spacing w:line="240" w:lineRule="auto" w:before="152"/>
              <w:ind w:right="74"/>
              <w:jc w:val="right"/>
              <w:rPr>
                <w:rFonts w:ascii="Arial" w:hAnsi="Arial" w:cs="Arial" w:eastAsia="Arial" w:hint="default"/>
                <w:sz w:val="20"/>
                <w:szCs w:val="20"/>
              </w:rPr>
            </w:pPr>
            <w:r>
              <w:rPr>
                <w:rFonts w:ascii="Arial"/>
                <w:spacing w:val="-1"/>
                <w:sz w:val="20"/>
              </w:rPr>
              <w:t>259,803,180</w:t>
            </w:r>
          </w:p>
        </w:tc>
        <w:tc>
          <w:tcPr>
            <w:tcW w:w="163"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single" w:sz="17" w:space="0" w:color="000000"/>
              <w:right w:val="nil" w:sz="6" w:space="0" w:color="auto"/>
            </w:tcBorders>
          </w:tcPr>
          <w:p>
            <w:pPr>
              <w:pStyle w:val="TableParagraph"/>
              <w:spacing w:line="240" w:lineRule="auto" w:before="152"/>
              <w:ind w:right="69"/>
              <w:jc w:val="right"/>
              <w:rPr>
                <w:rFonts w:ascii="Arial" w:hAnsi="Arial" w:cs="Arial" w:eastAsia="Arial" w:hint="default"/>
                <w:sz w:val="20"/>
                <w:szCs w:val="20"/>
              </w:rPr>
            </w:pPr>
            <w:r>
              <w:rPr>
                <w:rFonts w:ascii="Arial"/>
                <w:spacing w:val="-1"/>
                <w:sz w:val="20"/>
              </w:rPr>
              <w:t>24,868,800</w:t>
            </w:r>
          </w:p>
        </w:tc>
      </w:tr>
    </w:tbl>
    <w:p>
      <w:pPr>
        <w:spacing w:after="0" w:line="240" w:lineRule="auto"/>
        <w:jc w:val="right"/>
        <w:rPr>
          <w:rFonts w:ascii="Arial" w:hAnsi="Arial" w:cs="Arial" w:eastAsia="Arial" w:hint="default"/>
          <w:sz w:val="20"/>
          <w:szCs w:val="20"/>
        </w:rPr>
        <w:sectPr>
          <w:headerReference w:type="default" r:id="rId124"/>
          <w:pgSz w:w="11910" w:h="16840"/>
          <w:pgMar w:header="1189" w:footer="752" w:top="3580" w:bottom="940" w:left="1260" w:right="90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before="31"/>
        <w:ind w:left="116" w:right="106"/>
        <w:jc w:val="left"/>
      </w:pPr>
      <w:r>
        <w:rPr>
          <w:rFonts w:ascii="Arial" w:hAnsi="Arial" w:cs="Arial" w:eastAsia="Arial" w:hint="default"/>
        </w:rPr>
        <w:t>(a)  </w:t>
      </w:r>
      <w:r>
        <w:rPr>
          <w:rFonts w:ascii="Arial" w:hAnsi="Arial" w:cs="Arial" w:eastAsia="Arial" w:hint="default"/>
          <w:spacing w:val="14"/>
        </w:rPr>
        <w:t> </w:t>
      </w:r>
      <w:r>
        <w:rPr/>
        <w:t>原网通红筹公司股份期权及特殊目的股份期权计划（续）</w:t>
      </w:r>
    </w:p>
    <w:p>
      <w:pPr>
        <w:spacing w:line="240" w:lineRule="auto" w:before="13"/>
        <w:rPr>
          <w:rFonts w:ascii="宋体" w:hAnsi="宋体" w:cs="宋体" w:eastAsia="宋体" w:hint="default"/>
          <w:sz w:val="17"/>
          <w:szCs w:val="17"/>
        </w:rPr>
      </w:pPr>
    </w:p>
    <w:p>
      <w:pPr>
        <w:pStyle w:val="BodyText"/>
        <w:tabs>
          <w:tab w:pos="612" w:val="left" w:leader="none"/>
        </w:tabs>
        <w:spacing w:line="240" w:lineRule="auto"/>
        <w:ind w:left="136" w:right="106"/>
        <w:jc w:val="left"/>
      </w:pPr>
      <w:r>
        <w:rPr>
          <w:rFonts w:ascii="Arial" w:hAnsi="Arial" w:cs="Arial" w:eastAsia="Arial" w:hint="default"/>
          <w:w w:val="95"/>
        </w:rPr>
        <w:t>(ii)</w:t>
        <w:tab/>
      </w:r>
      <w:r>
        <w:rPr/>
        <w:t>特殊目的股份期权于</w:t>
      </w:r>
      <w:r>
        <w:rPr>
          <w:rFonts w:ascii="Arial" w:hAnsi="Arial" w:cs="Arial" w:eastAsia="Arial" w:hint="default"/>
        </w:rPr>
        <w:t>2008</w:t>
      </w:r>
      <w:r>
        <w:rPr/>
        <w:t>年</w:t>
      </w:r>
      <w:r>
        <w:rPr>
          <w:rFonts w:ascii="Arial" w:hAnsi="Arial" w:cs="Arial" w:eastAsia="Arial" w:hint="default"/>
        </w:rPr>
        <w:t>10</w:t>
      </w:r>
      <w:r>
        <w:rPr/>
        <w:t>月</w:t>
      </w:r>
      <w:r>
        <w:rPr>
          <w:rFonts w:ascii="Arial" w:hAnsi="Arial" w:cs="Arial" w:eastAsia="Arial" w:hint="default"/>
        </w:rPr>
        <w:t>15</w:t>
      </w:r>
      <w:r>
        <w:rPr/>
        <w:t>日的加权平均公允价值</w:t>
      </w:r>
    </w:p>
    <w:p>
      <w:pPr>
        <w:spacing w:line="240" w:lineRule="auto" w:before="5"/>
        <w:rPr>
          <w:rFonts w:ascii="宋体" w:hAnsi="宋体" w:cs="宋体" w:eastAsia="宋体" w:hint="default"/>
          <w:sz w:val="18"/>
          <w:szCs w:val="18"/>
        </w:rPr>
      </w:pPr>
    </w:p>
    <w:p>
      <w:pPr>
        <w:pStyle w:val="BodyText"/>
        <w:spacing w:line="235" w:lineRule="auto"/>
        <w:ind w:left="612" w:right="109" w:firstLine="14"/>
        <w:jc w:val="both"/>
      </w:pPr>
      <w:r>
        <w:rPr>
          <w:spacing w:val="5"/>
        </w:rPr>
        <w:t>联通红筹公司向网通红筹公司授予的与特殊目的股份期权相关的以股份为基础的职工薪酬成</w:t>
      </w:r>
      <w:r>
        <w:rPr>
          <w:spacing w:val="6"/>
          <w:w w:val="99"/>
        </w:rPr>
        <w:t> </w:t>
      </w:r>
      <w:r>
        <w:rPr>
          <w:spacing w:val="2"/>
        </w:rPr>
        <w:t>本是根据授予股份期权当日（</w:t>
      </w:r>
      <w:r>
        <w:rPr>
          <w:rFonts w:ascii="Arial" w:hAnsi="Arial" w:cs="Arial" w:eastAsia="Arial" w:hint="default"/>
          <w:spacing w:val="2"/>
        </w:rPr>
        <w:t>2008</w:t>
      </w:r>
      <w:r>
        <w:rPr>
          <w:spacing w:val="2"/>
        </w:rPr>
        <w:t>年</w:t>
      </w:r>
      <w:r>
        <w:rPr>
          <w:rFonts w:ascii="Arial" w:hAnsi="Arial" w:cs="Arial" w:eastAsia="Arial" w:hint="default"/>
          <w:spacing w:val="2"/>
        </w:rPr>
        <w:t>10</w:t>
      </w:r>
      <w:r>
        <w:rPr>
          <w:spacing w:val="2"/>
        </w:rPr>
        <w:t>月</w:t>
      </w:r>
      <w:r>
        <w:rPr>
          <w:rFonts w:ascii="Arial" w:hAnsi="Arial" w:cs="Arial" w:eastAsia="Arial" w:hint="default"/>
          <w:spacing w:val="2"/>
        </w:rPr>
        <w:t>15</w:t>
      </w:r>
      <w:r>
        <w:rPr>
          <w:spacing w:val="2"/>
        </w:rPr>
        <w:t>日）按布莱克·斯科尔斯定价模型估计的期权公</w:t>
      </w:r>
      <w:r>
        <w:rPr>
          <w:spacing w:val="3"/>
          <w:w w:val="99"/>
        </w:rPr>
        <w:t> </w:t>
      </w:r>
      <w:r>
        <w:rPr>
          <w:w w:val="95"/>
        </w:rPr>
        <w:t>允价值确定。由于布莱克·斯科尔斯定价模型需要设定包括股票价格预期波动率在内的主观假</w:t>
      </w:r>
      <w:r>
        <w:rPr>
          <w:spacing w:val="11"/>
          <w:w w:val="95"/>
        </w:rPr>
        <w:t> </w:t>
      </w:r>
      <w:r>
        <w:rPr>
          <w:spacing w:val="11"/>
          <w:w w:val="95"/>
        </w:rPr>
      </w:r>
      <w:r>
        <w:rPr>
          <w:w w:val="95"/>
        </w:rPr>
        <w:t>设，因此主观假设的变动可能对股份期权公允价值的估计产生影响。按照特殊目的股份期权计</w:t>
      </w:r>
      <w:r>
        <w:rPr>
          <w:spacing w:val="11"/>
          <w:w w:val="95"/>
        </w:rPr>
        <w:t> </w:t>
      </w:r>
      <w:r>
        <w:rPr>
          <w:spacing w:val="11"/>
          <w:w w:val="95"/>
        </w:rPr>
      </w:r>
      <w:r>
        <w:rPr>
          <w:spacing w:val="10"/>
        </w:rPr>
        <w:t>划被置换的网通红筹公司第一次授予和第二次授予的股份期权的平均公允价值分别为港币</w:t>
      </w:r>
      <w:r>
        <w:rPr>
          <w:spacing w:val="-92"/>
        </w:rPr>
        <w:t> </w:t>
      </w:r>
      <w:r>
        <w:rPr>
          <w:spacing w:val="-92"/>
        </w:rPr>
      </w:r>
      <w:r>
        <w:rPr>
          <w:rFonts w:ascii="Arial" w:hAnsi="Arial" w:cs="Arial" w:eastAsia="Arial" w:hint="default"/>
        </w:rPr>
        <w:t>6.01</w:t>
      </w:r>
      <w:r>
        <w:rPr/>
        <w:t>元及港币</w:t>
      </w:r>
      <w:r>
        <w:rPr>
          <w:rFonts w:ascii="Arial" w:hAnsi="Arial" w:cs="Arial" w:eastAsia="Arial" w:hint="default"/>
        </w:rPr>
        <w:t>4.00</w:t>
      </w:r>
      <w:r>
        <w:rPr/>
        <w:t>元。</w:t>
      </w:r>
    </w:p>
    <w:p>
      <w:pPr>
        <w:spacing w:line="240" w:lineRule="auto" w:before="3"/>
        <w:rPr>
          <w:rFonts w:ascii="宋体" w:hAnsi="宋体" w:cs="宋体" w:eastAsia="宋体" w:hint="default"/>
          <w:sz w:val="20"/>
          <w:szCs w:val="20"/>
        </w:rPr>
      </w:pPr>
    </w:p>
    <w:p>
      <w:pPr>
        <w:pStyle w:val="BodyText"/>
        <w:spacing w:line="286" w:lineRule="exact"/>
        <w:ind w:left="612" w:right="113"/>
        <w:jc w:val="both"/>
      </w:pPr>
      <w:r>
        <w:rPr>
          <w:spacing w:val="5"/>
        </w:rPr>
        <w:t>与特殊目的股份期权计划公允价值确定相关的重大假设及特殊目的股份期权计划授予数量相</w:t>
      </w:r>
      <w:r>
        <w:rPr>
          <w:spacing w:val="-95"/>
        </w:rPr>
        <w:t> </w:t>
      </w:r>
      <w:r>
        <w:rPr>
          <w:spacing w:val="-95"/>
        </w:rPr>
      </w:r>
      <w:r>
        <w:rPr/>
        <w:t>关的信息如下：</w:t>
      </w:r>
    </w:p>
    <w:p>
      <w:pPr>
        <w:spacing w:line="240" w:lineRule="auto" w:before="13"/>
        <w:rPr>
          <w:rFonts w:ascii="宋体" w:hAnsi="宋体" w:cs="宋体" w:eastAsia="宋体" w:hint="default"/>
          <w:sz w:val="15"/>
          <w:szCs w:val="15"/>
        </w:rPr>
      </w:pPr>
    </w:p>
    <w:tbl>
      <w:tblPr>
        <w:tblW w:w="0" w:type="auto"/>
        <w:jc w:val="left"/>
        <w:tblInd w:w="716" w:type="dxa"/>
        <w:tblLayout w:type="fixed"/>
        <w:tblCellMar>
          <w:top w:w="0" w:type="dxa"/>
          <w:left w:w="0" w:type="dxa"/>
          <w:bottom w:w="0" w:type="dxa"/>
          <w:right w:w="0" w:type="dxa"/>
        </w:tblCellMar>
        <w:tblLook w:val="01E0"/>
      </w:tblPr>
      <w:tblGrid>
        <w:gridCol w:w="3554"/>
        <w:gridCol w:w="2410"/>
        <w:gridCol w:w="392"/>
        <w:gridCol w:w="2520"/>
      </w:tblGrid>
      <w:tr>
        <w:trPr>
          <w:trHeight w:val="361" w:hRule="exact"/>
        </w:trPr>
        <w:tc>
          <w:tcPr>
            <w:tcW w:w="3554" w:type="dxa"/>
            <w:tcBorders>
              <w:top w:val="nil" w:sz="6" w:space="0" w:color="auto"/>
              <w:left w:val="nil" w:sz="6" w:space="0" w:color="auto"/>
              <w:bottom w:val="nil" w:sz="6" w:space="0" w:color="auto"/>
              <w:right w:val="nil" w:sz="6" w:space="0" w:color="auto"/>
            </w:tcBorders>
          </w:tcPr>
          <w:p>
            <w:pPr/>
          </w:p>
        </w:tc>
        <w:tc>
          <w:tcPr>
            <w:tcW w:w="2410"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8"/>
              <w:jc w:val="right"/>
              <w:rPr>
                <w:rFonts w:ascii="宋体" w:hAnsi="宋体" w:cs="宋体" w:eastAsia="宋体" w:hint="default"/>
                <w:sz w:val="22"/>
                <w:szCs w:val="22"/>
              </w:rPr>
            </w:pPr>
            <w:r>
              <w:rPr>
                <w:rFonts w:ascii="宋体" w:hAnsi="宋体" w:cs="宋体" w:eastAsia="宋体" w:hint="default"/>
                <w:w w:val="95"/>
                <w:sz w:val="22"/>
                <w:szCs w:val="22"/>
              </w:rPr>
              <w:t>第一次授予</w:t>
            </w:r>
            <w:r>
              <w:rPr>
                <w:rFonts w:ascii="宋体" w:hAnsi="宋体" w:cs="宋体" w:eastAsia="宋体" w:hint="default"/>
                <w:sz w:val="22"/>
                <w:szCs w:val="22"/>
              </w:rPr>
            </w:r>
          </w:p>
        </w:tc>
        <w:tc>
          <w:tcPr>
            <w:tcW w:w="392"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8"/>
              <w:jc w:val="right"/>
              <w:rPr>
                <w:rFonts w:ascii="宋体" w:hAnsi="宋体" w:cs="宋体" w:eastAsia="宋体" w:hint="default"/>
                <w:sz w:val="22"/>
                <w:szCs w:val="22"/>
              </w:rPr>
            </w:pPr>
            <w:r>
              <w:rPr>
                <w:rFonts w:ascii="宋体" w:hAnsi="宋体" w:cs="宋体" w:eastAsia="宋体" w:hint="default"/>
                <w:w w:val="95"/>
                <w:sz w:val="22"/>
                <w:szCs w:val="22"/>
              </w:rPr>
              <w:t>第二次授予</w:t>
            </w:r>
            <w:r>
              <w:rPr>
                <w:rFonts w:ascii="宋体" w:hAnsi="宋体" w:cs="宋体" w:eastAsia="宋体" w:hint="default"/>
                <w:sz w:val="22"/>
                <w:szCs w:val="22"/>
              </w:rPr>
            </w:r>
          </w:p>
        </w:tc>
      </w:tr>
      <w:tr>
        <w:trPr>
          <w:trHeight w:val="324" w:hRule="exact"/>
        </w:trPr>
        <w:tc>
          <w:tcPr>
            <w:tcW w:w="3554" w:type="dxa"/>
            <w:tcBorders>
              <w:top w:val="nil" w:sz="6" w:space="0" w:color="auto"/>
              <w:left w:val="nil" w:sz="6" w:space="0" w:color="auto"/>
              <w:bottom w:val="nil" w:sz="6" w:space="0" w:color="auto"/>
              <w:right w:val="nil" w:sz="6" w:space="0" w:color="auto"/>
            </w:tcBorders>
          </w:tcPr>
          <w:p>
            <w:pPr>
              <w:pStyle w:val="TableParagraph"/>
              <w:spacing w:line="277" w:lineRule="exact"/>
              <w:ind w:left="36" w:right="0"/>
              <w:jc w:val="left"/>
              <w:rPr>
                <w:rFonts w:ascii="宋体" w:hAnsi="宋体" w:cs="宋体" w:eastAsia="宋体" w:hint="default"/>
                <w:sz w:val="22"/>
                <w:szCs w:val="22"/>
              </w:rPr>
            </w:pPr>
            <w:r>
              <w:rPr>
                <w:rFonts w:ascii="宋体" w:hAnsi="宋体" w:cs="宋体" w:eastAsia="宋体" w:hint="default"/>
                <w:sz w:val="22"/>
                <w:szCs w:val="22"/>
              </w:rPr>
              <w:t>股票价格</w:t>
            </w:r>
          </w:p>
        </w:tc>
        <w:tc>
          <w:tcPr>
            <w:tcW w:w="2410" w:type="dxa"/>
            <w:tcBorders>
              <w:top w:val="single" w:sz="6" w:space="0" w:color="000000"/>
              <w:left w:val="nil" w:sz="6" w:space="0" w:color="auto"/>
              <w:bottom w:val="nil" w:sz="6" w:space="0" w:color="auto"/>
              <w:right w:val="nil" w:sz="6" w:space="0" w:color="auto"/>
            </w:tcBorders>
          </w:tcPr>
          <w:p>
            <w:pPr>
              <w:pStyle w:val="TableParagraph"/>
              <w:spacing w:line="285" w:lineRule="exact"/>
              <w:ind w:right="7"/>
              <w:jc w:val="right"/>
              <w:rPr>
                <w:rFonts w:ascii="宋体" w:hAnsi="宋体" w:cs="宋体" w:eastAsia="宋体" w:hint="default"/>
                <w:sz w:val="22"/>
                <w:szCs w:val="22"/>
              </w:rPr>
            </w:pPr>
            <w:r>
              <w:rPr>
                <w:rFonts w:ascii="宋体" w:hAnsi="宋体" w:cs="宋体" w:eastAsia="宋体" w:hint="default"/>
                <w:sz w:val="22"/>
                <w:szCs w:val="22"/>
              </w:rPr>
              <w:t>港币</w:t>
            </w:r>
            <w:r>
              <w:rPr>
                <w:rFonts w:ascii="宋体" w:hAnsi="宋体" w:cs="宋体" w:eastAsia="宋体" w:hint="default"/>
                <w:spacing w:val="-57"/>
                <w:sz w:val="22"/>
                <w:szCs w:val="22"/>
              </w:rPr>
              <w:t> </w:t>
            </w:r>
            <w:r>
              <w:rPr>
                <w:rFonts w:ascii="Arial" w:hAnsi="Arial" w:cs="Arial" w:eastAsia="Arial" w:hint="default"/>
                <w:sz w:val="22"/>
                <w:szCs w:val="22"/>
              </w:rPr>
              <w:t>11.60</w:t>
            </w:r>
            <w:r>
              <w:rPr>
                <w:rFonts w:ascii="Arial" w:hAnsi="Arial" w:cs="Arial" w:eastAsia="Arial" w:hint="default"/>
                <w:spacing w:val="-8"/>
                <w:sz w:val="22"/>
                <w:szCs w:val="22"/>
              </w:rPr>
              <w:t> </w:t>
            </w:r>
            <w:r>
              <w:rPr>
                <w:rFonts w:ascii="宋体" w:hAnsi="宋体" w:cs="宋体" w:eastAsia="宋体" w:hint="default"/>
                <w:sz w:val="22"/>
                <w:szCs w:val="22"/>
              </w:rPr>
              <w:t>元</w:t>
            </w:r>
          </w:p>
        </w:tc>
        <w:tc>
          <w:tcPr>
            <w:tcW w:w="392" w:type="dxa"/>
            <w:tcBorders>
              <w:top w:val="nil" w:sz="6" w:space="0" w:color="auto"/>
              <w:left w:val="nil" w:sz="6" w:space="0" w:color="auto"/>
              <w:bottom w:val="nil" w:sz="6" w:space="0" w:color="auto"/>
              <w:right w:val="nil" w:sz="6" w:space="0" w:color="auto"/>
            </w:tcBorders>
          </w:tcPr>
          <w:p>
            <w:pPr/>
          </w:p>
        </w:tc>
        <w:tc>
          <w:tcPr>
            <w:tcW w:w="2520" w:type="dxa"/>
            <w:tcBorders>
              <w:top w:val="single" w:sz="6" w:space="0" w:color="000000"/>
              <w:left w:val="nil" w:sz="6" w:space="0" w:color="auto"/>
              <w:bottom w:val="nil" w:sz="6" w:space="0" w:color="auto"/>
              <w:right w:val="nil" w:sz="6" w:space="0" w:color="auto"/>
            </w:tcBorders>
          </w:tcPr>
          <w:p>
            <w:pPr>
              <w:pStyle w:val="TableParagraph"/>
              <w:spacing w:line="285" w:lineRule="exact"/>
              <w:ind w:right="7"/>
              <w:jc w:val="right"/>
              <w:rPr>
                <w:rFonts w:ascii="宋体" w:hAnsi="宋体" w:cs="宋体" w:eastAsia="宋体" w:hint="default"/>
                <w:sz w:val="22"/>
                <w:szCs w:val="22"/>
              </w:rPr>
            </w:pPr>
            <w:r>
              <w:rPr>
                <w:rFonts w:ascii="宋体" w:hAnsi="宋体" w:cs="宋体" w:eastAsia="宋体" w:hint="default"/>
                <w:sz w:val="22"/>
                <w:szCs w:val="22"/>
              </w:rPr>
              <w:t>港币</w:t>
            </w:r>
            <w:r>
              <w:rPr>
                <w:rFonts w:ascii="宋体" w:hAnsi="宋体" w:cs="宋体" w:eastAsia="宋体" w:hint="default"/>
                <w:spacing w:val="-57"/>
                <w:sz w:val="22"/>
                <w:szCs w:val="22"/>
              </w:rPr>
              <w:t> </w:t>
            </w:r>
            <w:r>
              <w:rPr>
                <w:rFonts w:ascii="Arial" w:hAnsi="Arial" w:cs="Arial" w:eastAsia="Arial" w:hint="default"/>
                <w:sz w:val="22"/>
                <w:szCs w:val="22"/>
              </w:rPr>
              <w:t>11.60</w:t>
            </w:r>
            <w:r>
              <w:rPr>
                <w:rFonts w:ascii="Arial" w:hAnsi="Arial" w:cs="Arial" w:eastAsia="Arial" w:hint="default"/>
                <w:spacing w:val="-8"/>
                <w:sz w:val="22"/>
                <w:szCs w:val="22"/>
              </w:rPr>
              <w:t> </w:t>
            </w:r>
            <w:r>
              <w:rPr>
                <w:rFonts w:ascii="宋体" w:hAnsi="宋体" w:cs="宋体" w:eastAsia="宋体" w:hint="default"/>
                <w:sz w:val="22"/>
                <w:szCs w:val="22"/>
              </w:rPr>
              <w:t>元</w:t>
            </w:r>
          </w:p>
        </w:tc>
      </w:tr>
      <w:tr>
        <w:trPr>
          <w:trHeight w:val="302" w:hRule="exact"/>
        </w:trPr>
        <w:tc>
          <w:tcPr>
            <w:tcW w:w="3554"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2"/>
                <w:szCs w:val="22"/>
              </w:rPr>
            </w:pPr>
            <w:r>
              <w:rPr>
                <w:rFonts w:ascii="宋体" w:hAnsi="宋体" w:cs="宋体" w:eastAsia="宋体" w:hint="default"/>
                <w:sz w:val="22"/>
                <w:szCs w:val="22"/>
              </w:rPr>
              <w:t>行使价格</w:t>
            </w:r>
          </w:p>
        </w:tc>
        <w:tc>
          <w:tcPr>
            <w:tcW w:w="2410" w:type="dxa"/>
            <w:tcBorders>
              <w:top w:val="nil" w:sz="6" w:space="0" w:color="auto"/>
              <w:left w:val="nil" w:sz="6" w:space="0" w:color="auto"/>
              <w:bottom w:val="nil" w:sz="6" w:space="0" w:color="auto"/>
              <w:right w:val="nil" w:sz="6" w:space="0" w:color="auto"/>
            </w:tcBorders>
          </w:tcPr>
          <w:p>
            <w:pPr>
              <w:pStyle w:val="TableParagraph"/>
              <w:spacing w:line="271" w:lineRule="exact"/>
              <w:ind w:right="7"/>
              <w:jc w:val="right"/>
              <w:rPr>
                <w:rFonts w:ascii="宋体" w:hAnsi="宋体" w:cs="宋体" w:eastAsia="宋体" w:hint="default"/>
                <w:sz w:val="22"/>
                <w:szCs w:val="22"/>
              </w:rPr>
            </w:pPr>
            <w:r>
              <w:rPr>
                <w:rFonts w:ascii="宋体" w:hAnsi="宋体" w:cs="宋体" w:eastAsia="宋体" w:hint="default"/>
                <w:sz w:val="22"/>
                <w:szCs w:val="22"/>
              </w:rPr>
              <w:t>港币</w:t>
            </w:r>
            <w:r>
              <w:rPr>
                <w:rFonts w:ascii="宋体" w:hAnsi="宋体" w:cs="宋体" w:eastAsia="宋体" w:hint="default"/>
                <w:spacing w:val="-57"/>
                <w:sz w:val="22"/>
                <w:szCs w:val="22"/>
              </w:rPr>
              <w:t> </w:t>
            </w:r>
            <w:r>
              <w:rPr>
                <w:rFonts w:ascii="Arial" w:hAnsi="Arial" w:cs="Arial" w:eastAsia="Arial" w:hint="default"/>
                <w:sz w:val="22"/>
                <w:szCs w:val="22"/>
              </w:rPr>
              <w:t>5.57</w:t>
            </w:r>
            <w:r>
              <w:rPr>
                <w:rFonts w:ascii="Arial" w:hAnsi="Arial" w:cs="Arial" w:eastAsia="Arial" w:hint="default"/>
                <w:spacing w:val="-8"/>
                <w:sz w:val="22"/>
                <w:szCs w:val="22"/>
              </w:rPr>
              <w:t> </w:t>
            </w:r>
            <w:r>
              <w:rPr>
                <w:rFonts w:ascii="宋体" w:hAnsi="宋体" w:cs="宋体" w:eastAsia="宋体" w:hint="default"/>
                <w:sz w:val="22"/>
                <w:szCs w:val="22"/>
              </w:rPr>
              <w:t>元</w:t>
            </w:r>
          </w:p>
        </w:tc>
        <w:tc>
          <w:tcPr>
            <w:tcW w:w="392"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71" w:lineRule="exact"/>
              <w:ind w:right="7"/>
              <w:jc w:val="right"/>
              <w:rPr>
                <w:rFonts w:ascii="宋体" w:hAnsi="宋体" w:cs="宋体" w:eastAsia="宋体" w:hint="default"/>
                <w:sz w:val="22"/>
                <w:szCs w:val="22"/>
              </w:rPr>
            </w:pPr>
            <w:r>
              <w:rPr>
                <w:rFonts w:ascii="宋体" w:hAnsi="宋体" w:cs="宋体" w:eastAsia="宋体" w:hint="default"/>
                <w:sz w:val="22"/>
                <w:szCs w:val="22"/>
              </w:rPr>
              <w:t>港币</w:t>
            </w:r>
            <w:r>
              <w:rPr>
                <w:rFonts w:ascii="宋体" w:hAnsi="宋体" w:cs="宋体" w:eastAsia="宋体" w:hint="default"/>
                <w:spacing w:val="-57"/>
                <w:sz w:val="22"/>
                <w:szCs w:val="22"/>
              </w:rPr>
              <w:t> </w:t>
            </w:r>
            <w:r>
              <w:rPr>
                <w:rFonts w:ascii="Arial" w:hAnsi="Arial" w:cs="Arial" w:eastAsia="Arial" w:hint="default"/>
                <w:sz w:val="22"/>
                <w:szCs w:val="22"/>
              </w:rPr>
              <w:t>8.26</w:t>
            </w:r>
            <w:r>
              <w:rPr>
                <w:rFonts w:ascii="Arial" w:hAnsi="Arial" w:cs="Arial" w:eastAsia="Arial" w:hint="default"/>
                <w:spacing w:val="-8"/>
                <w:sz w:val="22"/>
                <w:szCs w:val="22"/>
              </w:rPr>
              <w:t> </w:t>
            </w:r>
            <w:r>
              <w:rPr>
                <w:rFonts w:ascii="宋体" w:hAnsi="宋体" w:cs="宋体" w:eastAsia="宋体" w:hint="default"/>
                <w:sz w:val="22"/>
                <w:szCs w:val="22"/>
              </w:rPr>
              <w:t>元</w:t>
            </w:r>
          </w:p>
        </w:tc>
      </w:tr>
      <w:tr>
        <w:trPr>
          <w:trHeight w:val="310" w:hRule="exact"/>
        </w:trPr>
        <w:tc>
          <w:tcPr>
            <w:tcW w:w="3554"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2"/>
                <w:szCs w:val="22"/>
              </w:rPr>
            </w:pPr>
            <w:r>
              <w:rPr>
                <w:rFonts w:ascii="宋体" w:hAnsi="宋体" w:cs="宋体" w:eastAsia="宋体" w:hint="default"/>
                <w:sz w:val="22"/>
                <w:szCs w:val="22"/>
              </w:rPr>
              <w:t>波动率</w:t>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8"/>
              <w:jc w:val="right"/>
              <w:rPr>
                <w:rFonts w:ascii="Arial" w:hAnsi="Arial" w:cs="Arial" w:eastAsia="Arial" w:hint="default"/>
                <w:sz w:val="22"/>
                <w:szCs w:val="22"/>
              </w:rPr>
            </w:pPr>
            <w:r>
              <w:rPr>
                <w:rFonts w:ascii="Arial"/>
                <w:w w:val="95"/>
                <w:sz w:val="22"/>
              </w:rPr>
              <w:t>55%</w:t>
            </w:r>
            <w:r>
              <w:rPr>
                <w:rFonts w:ascii="Arial"/>
                <w:sz w:val="22"/>
              </w:rPr>
            </w:r>
          </w:p>
        </w:tc>
        <w:tc>
          <w:tcPr>
            <w:tcW w:w="392"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8"/>
              <w:jc w:val="right"/>
              <w:rPr>
                <w:rFonts w:ascii="Arial" w:hAnsi="Arial" w:cs="Arial" w:eastAsia="Arial" w:hint="default"/>
                <w:sz w:val="22"/>
                <w:szCs w:val="22"/>
              </w:rPr>
            </w:pPr>
            <w:r>
              <w:rPr>
                <w:rFonts w:ascii="Arial"/>
                <w:w w:val="95"/>
                <w:sz w:val="22"/>
              </w:rPr>
              <w:t>49%</w:t>
            </w:r>
            <w:r>
              <w:rPr>
                <w:rFonts w:ascii="Arial"/>
                <w:sz w:val="22"/>
              </w:rPr>
            </w:r>
          </w:p>
        </w:tc>
      </w:tr>
      <w:tr>
        <w:trPr>
          <w:trHeight w:val="302" w:hRule="exact"/>
        </w:trPr>
        <w:tc>
          <w:tcPr>
            <w:tcW w:w="3554" w:type="dxa"/>
            <w:tcBorders>
              <w:top w:val="nil" w:sz="6" w:space="0" w:color="auto"/>
              <w:left w:val="nil" w:sz="6" w:space="0" w:color="auto"/>
              <w:bottom w:val="nil" w:sz="6" w:space="0" w:color="auto"/>
              <w:right w:val="nil" w:sz="6" w:space="0" w:color="auto"/>
            </w:tcBorders>
          </w:tcPr>
          <w:p>
            <w:pPr>
              <w:pStyle w:val="TableParagraph"/>
              <w:spacing w:line="248" w:lineRule="exact"/>
              <w:ind w:left="35" w:right="0"/>
              <w:jc w:val="left"/>
              <w:rPr>
                <w:rFonts w:ascii="宋体" w:hAnsi="宋体" w:cs="宋体" w:eastAsia="宋体" w:hint="default"/>
                <w:sz w:val="22"/>
                <w:szCs w:val="22"/>
              </w:rPr>
            </w:pPr>
            <w:r>
              <w:rPr>
                <w:rFonts w:ascii="宋体" w:hAnsi="宋体" w:cs="宋体" w:eastAsia="宋体" w:hint="default"/>
                <w:sz w:val="22"/>
                <w:szCs w:val="22"/>
              </w:rPr>
              <w:t>股息收益率</w:t>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7"/>
              <w:jc w:val="right"/>
              <w:rPr>
                <w:rFonts w:ascii="Arial" w:hAnsi="Arial" w:cs="Arial" w:eastAsia="Arial" w:hint="default"/>
                <w:sz w:val="22"/>
                <w:szCs w:val="22"/>
              </w:rPr>
            </w:pPr>
            <w:r>
              <w:rPr>
                <w:rFonts w:ascii="Arial"/>
                <w:w w:val="95"/>
                <w:sz w:val="22"/>
              </w:rPr>
              <w:t>2%</w:t>
            </w:r>
            <w:r>
              <w:rPr>
                <w:rFonts w:ascii="Arial"/>
                <w:sz w:val="22"/>
              </w:rPr>
            </w:r>
          </w:p>
        </w:tc>
        <w:tc>
          <w:tcPr>
            <w:tcW w:w="392"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7"/>
              <w:jc w:val="right"/>
              <w:rPr>
                <w:rFonts w:ascii="Arial" w:hAnsi="Arial" w:cs="Arial" w:eastAsia="Arial" w:hint="default"/>
                <w:sz w:val="22"/>
                <w:szCs w:val="22"/>
              </w:rPr>
            </w:pPr>
            <w:r>
              <w:rPr>
                <w:rFonts w:ascii="Arial"/>
                <w:w w:val="95"/>
                <w:sz w:val="22"/>
              </w:rPr>
              <w:t>2%</w:t>
            </w:r>
            <w:r>
              <w:rPr>
                <w:rFonts w:ascii="Arial"/>
                <w:sz w:val="22"/>
              </w:rPr>
            </w:r>
          </w:p>
        </w:tc>
      </w:tr>
      <w:tr>
        <w:trPr>
          <w:trHeight w:val="596" w:hRule="exact"/>
        </w:trPr>
        <w:tc>
          <w:tcPr>
            <w:tcW w:w="3554" w:type="dxa"/>
            <w:tcBorders>
              <w:top w:val="nil" w:sz="6" w:space="0" w:color="auto"/>
              <w:left w:val="nil" w:sz="6" w:space="0" w:color="auto"/>
              <w:bottom w:val="nil" w:sz="6" w:space="0" w:color="auto"/>
              <w:right w:val="nil" w:sz="6" w:space="0" w:color="auto"/>
            </w:tcBorders>
          </w:tcPr>
          <w:p>
            <w:pPr>
              <w:pStyle w:val="TableParagraph"/>
              <w:spacing w:line="247" w:lineRule="exact"/>
              <w:ind w:left="35" w:right="0"/>
              <w:jc w:val="left"/>
              <w:rPr>
                <w:rFonts w:ascii="宋体" w:hAnsi="宋体" w:cs="宋体" w:eastAsia="宋体" w:hint="default"/>
                <w:sz w:val="22"/>
                <w:szCs w:val="22"/>
              </w:rPr>
            </w:pPr>
            <w:r>
              <w:rPr>
                <w:rFonts w:ascii="宋体" w:hAnsi="宋体" w:cs="宋体" w:eastAsia="宋体" w:hint="default"/>
                <w:sz w:val="22"/>
                <w:szCs w:val="22"/>
              </w:rPr>
              <w:t>无风险报酬率</w:t>
            </w:r>
          </w:p>
          <w:p>
            <w:pPr>
              <w:pStyle w:val="TableParagraph"/>
              <w:spacing w:line="240" w:lineRule="auto" w:before="14"/>
              <w:ind w:left="35" w:right="0"/>
              <w:jc w:val="left"/>
              <w:rPr>
                <w:rFonts w:ascii="宋体" w:hAnsi="宋体" w:cs="宋体" w:eastAsia="宋体" w:hint="default"/>
                <w:sz w:val="22"/>
                <w:szCs w:val="22"/>
              </w:rPr>
            </w:pPr>
            <w:r>
              <w:rPr>
                <w:rFonts w:ascii="宋体" w:hAnsi="宋体" w:cs="宋体" w:eastAsia="宋体" w:hint="default"/>
                <w:sz w:val="22"/>
                <w:szCs w:val="22"/>
              </w:rPr>
              <w:t>预计期限</w:t>
            </w:r>
          </w:p>
        </w:tc>
        <w:tc>
          <w:tcPr>
            <w:tcW w:w="2410" w:type="dxa"/>
            <w:tcBorders>
              <w:top w:val="nil" w:sz="6" w:space="0" w:color="auto"/>
              <w:left w:val="nil" w:sz="6" w:space="0" w:color="auto"/>
              <w:bottom w:val="nil" w:sz="6" w:space="0" w:color="auto"/>
              <w:right w:val="nil" w:sz="6" w:space="0" w:color="auto"/>
            </w:tcBorders>
          </w:tcPr>
          <w:p>
            <w:pPr>
              <w:pStyle w:val="TableParagraph"/>
              <w:spacing w:line="245" w:lineRule="exact" w:before="25"/>
              <w:ind w:left="1274" w:right="0"/>
              <w:jc w:val="left"/>
              <w:rPr>
                <w:rFonts w:ascii="Arial" w:hAnsi="Arial" w:cs="Arial" w:eastAsia="Arial" w:hint="default"/>
                <w:sz w:val="22"/>
                <w:szCs w:val="22"/>
              </w:rPr>
            </w:pPr>
            <w:r>
              <w:rPr>
                <w:rFonts w:ascii="Arial"/>
                <w:sz w:val="22"/>
              </w:rPr>
              <w:t>0.24-1.06%</w:t>
            </w:r>
          </w:p>
          <w:p>
            <w:pPr>
              <w:pStyle w:val="TableParagraph"/>
              <w:spacing w:line="295" w:lineRule="exact"/>
              <w:ind w:left="1194" w:right="0"/>
              <w:jc w:val="left"/>
              <w:rPr>
                <w:rFonts w:ascii="宋体" w:hAnsi="宋体" w:cs="宋体" w:eastAsia="宋体" w:hint="default"/>
                <w:sz w:val="22"/>
                <w:szCs w:val="22"/>
              </w:rPr>
            </w:pPr>
            <w:r>
              <w:rPr>
                <w:rFonts w:ascii="Arial" w:hAnsi="Arial" w:cs="Arial" w:eastAsia="Arial" w:hint="default"/>
                <w:sz w:val="22"/>
                <w:szCs w:val="22"/>
              </w:rPr>
              <w:t>0.30-1.09</w:t>
            </w:r>
            <w:r>
              <w:rPr>
                <w:rFonts w:ascii="Arial" w:hAnsi="Arial" w:cs="Arial" w:eastAsia="Arial" w:hint="default"/>
                <w:spacing w:val="-9"/>
                <w:sz w:val="22"/>
                <w:szCs w:val="22"/>
              </w:rPr>
              <w:t> </w:t>
            </w:r>
            <w:r>
              <w:rPr>
                <w:rFonts w:ascii="宋体" w:hAnsi="宋体" w:cs="宋体" w:eastAsia="宋体" w:hint="default"/>
                <w:sz w:val="22"/>
                <w:szCs w:val="22"/>
              </w:rPr>
              <w:t>年</w:t>
            </w:r>
          </w:p>
        </w:tc>
        <w:tc>
          <w:tcPr>
            <w:tcW w:w="392"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5" w:lineRule="exact" w:before="25"/>
              <w:ind w:left="1384" w:right="0"/>
              <w:jc w:val="left"/>
              <w:rPr>
                <w:rFonts w:ascii="Arial" w:hAnsi="Arial" w:cs="Arial" w:eastAsia="Arial" w:hint="default"/>
                <w:sz w:val="22"/>
                <w:szCs w:val="22"/>
              </w:rPr>
            </w:pPr>
            <w:r>
              <w:rPr>
                <w:rFonts w:ascii="Arial"/>
                <w:sz w:val="22"/>
              </w:rPr>
              <w:t>0.28-1.54%</w:t>
            </w:r>
          </w:p>
          <w:p>
            <w:pPr>
              <w:pStyle w:val="TableParagraph"/>
              <w:spacing w:line="295" w:lineRule="exact"/>
              <w:ind w:left="1305" w:right="0"/>
              <w:jc w:val="left"/>
              <w:rPr>
                <w:rFonts w:ascii="宋体" w:hAnsi="宋体" w:cs="宋体" w:eastAsia="宋体" w:hint="default"/>
                <w:sz w:val="22"/>
                <w:szCs w:val="22"/>
              </w:rPr>
            </w:pPr>
            <w:r>
              <w:rPr>
                <w:rFonts w:ascii="Arial" w:hAnsi="Arial" w:cs="Arial" w:eastAsia="Arial" w:hint="default"/>
                <w:sz w:val="22"/>
                <w:szCs w:val="22"/>
              </w:rPr>
              <w:t>0.32-2.32</w:t>
            </w:r>
            <w:r>
              <w:rPr>
                <w:rFonts w:ascii="Arial" w:hAnsi="Arial" w:cs="Arial" w:eastAsia="Arial" w:hint="default"/>
                <w:spacing w:val="-9"/>
                <w:sz w:val="22"/>
                <w:szCs w:val="22"/>
              </w:rPr>
              <w:t> </w:t>
            </w:r>
            <w:r>
              <w:rPr>
                <w:rFonts w:ascii="宋体" w:hAnsi="宋体" w:cs="宋体" w:eastAsia="宋体" w:hint="default"/>
                <w:sz w:val="22"/>
                <w:szCs w:val="22"/>
              </w:rPr>
              <w:t>年</w:t>
            </w:r>
          </w:p>
        </w:tc>
      </w:tr>
      <w:tr>
        <w:trPr>
          <w:trHeight w:val="302" w:hRule="exact"/>
        </w:trPr>
        <w:tc>
          <w:tcPr>
            <w:tcW w:w="3554"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2"/>
                <w:szCs w:val="22"/>
              </w:rPr>
            </w:pPr>
            <w:r>
              <w:rPr>
                <w:rFonts w:ascii="宋体" w:hAnsi="宋体" w:cs="宋体" w:eastAsia="宋体" w:hint="default"/>
                <w:sz w:val="22"/>
                <w:szCs w:val="22"/>
              </w:rPr>
              <w:t>加权平均期权价值</w:t>
            </w:r>
          </w:p>
        </w:tc>
        <w:tc>
          <w:tcPr>
            <w:tcW w:w="2410" w:type="dxa"/>
            <w:tcBorders>
              <w:top w:val="nil" w:sz="6" w:space="0" w:color="auto"/>
              <w:left w:val="nil" w:sz="6" w:space="0" w:color="auto"/>
              <w:bottom w:val="nil" w:sz="6" w:space="0" w:color="auto"/>
              <w:right w:val="nil" w:sz="6" w:space="0" w:color="auto"/>
            </w:tcBorders>
          </w:tcPr>
          <w:p>
            <w:pPr>
              <w:pStyle w:val="TableParagraph"/>
              <w:spacing w:line="271" w:lineRule="exact"/>
              <w:ind w:right="8"/>
              <w:jc w:val="right"/>
              <w:rPr>
                <w:rFonts w:ascii="宋体" w:hAnsi="宋体" w:cs="宋体" w:eastAsia="宋体" w:hint="default"/>
                <w:sz w:val="22"/>
                <w:szCs w:val="22"/>
              </w:rPr>
            </w:pPr>
            <w:r>
              <w:rPr>
                <w:rFonts w:ascii="宋体" w:hAnsi="宋体" w:cs="宋体" w:eastAsia="宋体" w:hint="default"/>
                <w:sz w:val="22"/>
                <w:szCs w:val="22"/>
              </w:rPr>
              <w:t>港币</w:t>
            </w:r>
            <w:r>
              <w:rPr>
                <w:rFonts w:ascii="宋体" w:hAnsi="宋体" w:cs="宋体" w:eastAsia="宋体" w:hint="default"/>
                <w:spacing w:val="-57"/>
                <w:sz w:val="22"/>
                <w:szCs w:val="22"/>
              </w:rPr>
              <w:t> </w:t>
            </w:r>
            <w:r>
              <w:rPr>
                <w:rFonts w:ascii="Arial" w:hAnsi="Arial" w:cs="Arial" w:eastAsia="Arial" w:hint="default"/>
                <w:sz w:val="22"/>
                <w:szCs w:val="22"/>
              </w:rPr>
              <w:t>6.01</w:t>
            </w:r>
            <w:r>
              <w:rPr>
                <w:rFonts w:ascii="Arial" w:hAnsi="Arial" w:cs="Arial" w:eastAsia="Arial" w:hint="default"/>
                <w:spacing w:val="-8"/>
                <w:sz w:val="22"/>
                <w:szCs w:val="22"/>
              </w:rPr>
              <w:t> </w:t>
            </w:r>
            <w:r>
              <w:rPr>
                <w:rFonts w:ascii="宋体" w:hAnsi="宋体" w:cs="宋体" w:eastAsia="宋体" w:hint="default"/>
                <w:sz w:val="22"/>
                <w:szCs w:val="22"/>
              </w:rPr>
              <w:t>元</w:t>
            </w:r>
          </w:p>
        </w:tc>
        <w:tc>
          <w:tcPr>
            <w:tcW w:w="392"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71" w:lineRule="exact"/>
              <w:ind w:right="8"/>
              <w:jc w:val="right"/>
              <w:rPr>
                <w:rFonts w:ascii="宋体" w:hAnsi="宋体" w:cs="宋体" w:eastAsia="宋体" w:hint="default"/>
                <w:sz w:val="22"/>
                <w:szCs w:val="22"/>
              </w:rPr>
            </w:pPr>
            <w:r>
              <w:rPr>
                <w:rFonts w:ascii="宋体" w:hAnsi="宋体" w:cs="宋体" w:eastAsia="宋体" w:hint="default"/>
                <w:sz w:val="22"/>
                <w:szCs w:val="22"/>
              </w:rPr>
              <w:t>港币</w:t>
            </w:r>
            <w:r>
              <w:rPr>
                <w:rFonts w:ascii="宋体" w:hAnsi="宋体" w:cs="宋体" w:eastAsia="宋体" w:hint="default"/>
                <w:spacing w:val="-57"/>
                <w:sz w:val="22"/>
                <w:szCs w:val="22"/>
              </w:rPr>
              <w:t> </w:t>
            </w:r>
            <w:r>
              <w:rPr>
                <w:rFonts w:ascii="Arial" w:hAnsi="Arial" w:cs="Arial" w:eastAsia="Arial" w:hint="default"/>
                <w:sz w:val="22"/>
                <w:szCs w:val="22"/>
              </w:rPr>
              <w:t>4.00</w:t>
            </w:r>
            <w:r>
              <w:rPr>
                <w:rFonts w:ascii="Arial" w:hAnsi="Arial" w:cs="Arial" w:eastAsia="Arial" w:hint="default"/>
                <w:spacing w:val="-8"/>
                <w:sz w:val="22"/>
                <w:szCs w:val="22"/>
              </w:rPr>
              <w:t> </w:t>
            </w:r>
            <w:r>
              <w:rPr>
                <w:rFonts w:ascii="宋体" w:hAnsi="宋体" w:cs="宋体" w:eastAsia="宋体" w:hint="default"/>
                <w:sz w:val="22"/>
                <w:szCs w:val="22"/>
              </w:rPr>
              <w:t>元</w:t>
            </w:r>
          </w:p>
        </w:tc>
      </w:tr>
      <w:tr>
        <w:trPr>
          <w:trHeight w:val="382" w:hRule="exact"/>
        </w:trPr>
        <w:tc>
          <w:tcPr>
            <w:tcW w:w="3554" w:type="dxa"/>
            <w:tcBorders>
              <w:top w:val="nil" w:sz="6" w:space="0" w:color="auto"/>
              <w:left w:val="nil" w:sz="6" w:space="0" w:color="auto"/>
              <w:bottom w:val="nil" w:sz="6" w:space="0" w:color="auto"/>
              <w:right w:val="nil" w:sz="6" w:space="0" w:color="auto"/>
            </w:tcBorders>
          </w:tcPr>
          <w:p>
            <w:pPr>
              <w:pStyle w:val="TableParagraph"/>
              <w:spacing w:line="256" w:lineRule="exact"/>
              <w:ind w:left="35" w:right="0"/>
              <w:jc w:val="left"/>
              <w:rPr>
                <w:rFonts w:ascii="宋体" w:hAnsi="宋体" w:cs="宋体" w:eastAsia="宋体" w:hint="default"/>
                <w:sz w:val="22"/>
                <w:szCs w:val="22"/>
              </w:rPr>
            </w:pPr>
            <w:r>
              <w:rPr>
                <w:rFonts w:ascii="宋体" w:hAnsi="宋体" w:cs="宋体" w:eastAsia="宋体" w:hint="default"/>
                <w:sz w:val="22"/>
                <w:szCs w:val="22"/>
              </w:rPr>
              <w:t>授予期权数目</w:t>
            </w:r>
          </w:p>
        </w:tc>
        <w:tc>
          <w:tcPr>
            <w:tcW w:w="241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7"/>
              <w:jc w:val="right"/>
              <w:rPr>
                <w:rFonts w:ascii="Arial" w:hAnsi="Arial" w:cs="Arial" w:eastAsia="Arial" w:hint="default"/>
                <w:sz w:val="22"/>
                <w:szCs w:val="22"/>
              </w:rPr>
            </w:pPr>
            <w:r>
              <w:rPr>
                <w:rFonts w:ascii="Arial"/>
                <w:w w:val="95"/>
                <w:sz w:val="22"/>
              </w:rPr>
              <w:t>100,831,432</w:t>
            </w:r>
            <w:r>
              <w:rPr>
                <w:rFonts w:ascii="Arial"/>
                <w:sz w:val="22"/>
              </w:rPr>
            </w:r>
          </w:p>
        </w:tc>
        <w:tc>
          <w:tcPr>
            <w:tcW w:w="392" w:type="dxa"/>
            <w:tcBorders>
              <w:top w:val="nil" w:sz="6" w:space="0" w:color="auto"/>
              <w:left w:val="nil" w:sz="6" w:space="0" w:color="auto"/>
              <w:bottom w:val="nil" w:sz="6" w:space="0" w:color="auto"/>
              <w:right w:val="nil" w:sz="6" w:space="0" w:color="auto"/>
            </w:tcBorders>
          </w:tcPr>
          <w:p>
            <w:pP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8"/>
              <w:jc w:val="right"/>
              <w:rPr>
                <w:rFonts w:ascii="Arial" w:hAnsi="Arial" w:cs="Arial" w:eastAsia="Arial" w:hint="default"/>
                <w:sz w:val="22"/>
                <w:szCs w:val="22"/>
              </w:rPr>
            </w:pPr>
            <w:r>
              <w:rPr>
                <w:rFonts w:ascii="Arial"/>
                <w:w w:val="95"/>
                <w:sz w:val="22"/>
              </w:rPr>
              <w:t>88,929,468</w:t>
            </w:r>
            <w:r>
              <w:rPr>
                <w:rFonts w:ascii="Arial"/>
                <w:sz w:val="22"/>
              </w:rPr>
            </w:r>
          </w:p>
        </w:tc>
      </w:tr>
    </w:tbl>
    <w:p>
      <w:pPr>
        <w:spacing w:line="240" w:lineRule="auto" w:before="1"/>
        <w:rPr>
          <w:rFonts w:ascii="宋体" w:hAnsi="宋体" w:cs="宋体" w:eastAsia="宋体" w:hint="default"/>
          <w:sz w:val="7"/>
          <w:szCs w:val="7"/>
        </w:rPr>
      </w:pPr>
    </w:p>
    <w:p>
      <w:pPr>
        <w:pStyle w:val="BodyText"/>
        <w:spacing w:line="230" w:lineRule="auto" w:before="42"/>
        <w:ind w:left="569" w:right="112"/>
        <w:jc w:val="both"/>
      </w:pPr>
      <w:r>
        <w:rPr/>
        <w:t>上述波动率是以最近</w:t>
      </w:r>
      <w:r>
        <w:rPr>
          <w:rFonts w:ascii="Arial" w:hAnsi="Arial" w:cs="Arial" w:eastAsia="Arial" w:hint="default"/>
        </w:rPr>
        <w:t>2</w:t>
      </w:r>
      <w:r>
        <w:rPr/>
        <w:t>至</w:t>
      </w:r>
      <w:r>
        <w:rPr>
          <w:rFonts w:ascii="Arial" w:hAnsi="Arial" w:cs="Arial" w:eastAsia="Arial" w:hint="default"/>
        </w:rPr>
        <w:t>3</w:t>
      </w:r>
      <w:r>
        <w:rPr/>
        <w:t>年的每日股票价格统计分析来计算的预期股票价格回报率的标准差来</w:t>
      </w:r>
      <w:r>
        <w:rPr>
          <w:spacing w:val="1"/>
          <w:w w:val="99"/>
        </w:rPr>
        <w:t> </w:t>
      </w:r>
      <w:r>
        <w:rPr/>
        <w:t>计量。预期股息是基于过往股息来估计的。无风险报酬率是参照近似预期期权期限的香港交易</w:t>
      </w:r>
      <w:r>
        <w:rPr>
          <w:spacing w:val="-79"/>
        </w:rPr>
        <w:t> </w:t>
      </w:r>
      <w:r>
        <w:rPr>
          <w:spacing w:val="-79"/>
        </w:rPr>
      </w:r>
      <w:r>
        <w:rPr/>
        <w:t>基金票据的利息率来计量。</w:t>
      </w:r>
    </w:p>
    <w:p>
      <w:pPr>
        <w:spacing w:line="240" w:lineRule="auto" w:before="3"/>
        <w:rPr>
          <w:rFonts w:ascii="宋体" w:hAnsi="宋体" w:cs="宋体" w:eastAsia="宋体" w:hint="default"/>
          <w:sz w:val="20"/>
          <w:szCs w:val="20"/>
        </w:rPr>
      </w:pPr>
    </w:p>
    <w:p>
      <w:pPr>
        <w:pStyle w:val="BodyText"/>
        <w:spacing w:line="228" w:lineRule="auto"/>
        <w:ind w:left="569" w:right="112"/>
        <w:jc w:val="both"/>
      </w:pPr>
      <w:r>
        <w:rPr/>
        <w:t>因执行特殊目的股份期权计划使原网通红筹公司第一次授予和第二次授予的股份期权的公允价</w:t>
      </w:r>
      <w:r>
        <w:rPr>
          <w:spacing w:val="-79"/>
        </w:rPr>
        <w:t> </w:t>
      </w:r>
      <w:r>
        <w:rPr>
          <w:spacing w:val="-79"/>
        </w:rPr>
      </w:r>
      <w:r>
        <w:rPr>
          <w:spacing w:val="-1"/>
        </w:rPr>
        <w:t>值合计增加约人民币</w:t>
      </w:r>
      <w:r>
        <w:rPr>
          <w:rFonts w:ascii="Arial" w:hAnsi="Arial" w:cs="Arial" w:eastAsia="Arial" w:hint="default"/>
          <w:spacing w:val="-1"/>
        </w:rPr>
        <w:t>0.21</w:t>
      </w:r>
      <w:r>
        <w:rPr>
          <w:spacing w:val="-1"/>
        </w:rPr>
        <w:t>亿元。该公允价值的增加乃参照按特殊目的股份期权计划于</w:t>
      </w:r>
      <w:r>
        <w:rPr>
          <w:rFonts w:ascii="Arial" w:hAnsi="Arial" w:cs="Arial" w:eastAsia="Arial" w:hint="default"/>
          <w:spacing w:val="-1"/>
        </w:rPr>
        <w:t>2008</w:t>
      </w:r>
      <w:r>
        <w:rPr>
          <w:spacing w:val="-1"/>
        </w:rPr>
        <w:t>年</w:t>
      </w:r>
      <w:r>
        <w:rPr>
          <w:rFonts w:ascii="Arial" w:hAnsi="Arial" w:cs="Arial" w:eastAsia="Arial" w:hint="default"/>
          <w:spacing w:val="-1"/>
        </w:rPr>
        <w:t>10</w:t>
      </w:r>
      <w:r>
        <w:rPr>
          <w:rFonts w:ascii="Arial" w:hAnsi="Arial" w:cs="Arial" w:eastAsia="Arial" w:hint="default"/>
          <w:spacing w:val="-44"/>
        </w:rPr>
        <w:t> </w:t>
      </w:r>
      <w:r>
        <w:rPr>
          <w:spacing w:val="-2"/>
        </w:rPr>
        <w:t>月</w:t>
      </w:r>
      <w:r>
        <w:rPr>
          <w:rFonts w:ascii="Arial" w:hAnsi="Arial" w:cs="Arial" w:eastAsia="Arial" w:hint="default"/>
          <w:spacing w:val="-2"/>
        </w:rPr>
        <w:t>15</w:t>
      </w:r>
      <w:r>
        <w:rPr>
          <w:spacing w:val="-2"/>
        </w:rPr>
        <w:t>日（授予日）授予的股份期权增加的公允价值减去于</w:t>
      </w:r>
      <w:r>
        <w:rPr>
          <w:rFonts w:ascii="Arial" w:hAnsi="Arial" w:cs="Arial" w:eastAsia="Arial" w:hint="default"/>
          <w:spacing w:val="-2"/>
        </w:rPr>
        <w:t>2008</w:t>
      </w:r>
      <w:r>
        <w:rPr>
          <w:spacing w:val="-2"/>
        </w:rPr>
        <w:t>年</w:t>
      </w:r>
      <w:r>
        <w:rPr>
          <w:rFonts w:ascii="Arial" w:hAnsi="Arial" w:cs="Arial" w:eastAsia="Arial" w:hint="default"/>
          <w:spacing w:val="-2"/>
        </w:rPr>
        <w:t>10</w:t>
      </w:r>
      <w:r>
        <w:rPr>
          <w:spacing w:val="-2"/>
        </w:rPr>
        <w:t>月</w:t>
      </w:r>
      <w:r>
        <w:rPr>
          <w:rFonts w:ascii="Arial" w:hAnsi="Arial" w:cs="Arial" w:eastAsia="Arial" w:hint="default"/>
          <w:spacing w:val="-2"/>
        </w:rPr>
        <w:t>15</w:t>
      </w:r>
      <w:r>
        <w:rPr>
          <w:spacing w:val="-2"/>
        </w:rPr>
        <w:t>日尚未行使的网通红筹</w:t>
      </w:r>
      <w:r>
        <w:rPr>
          <w:w w:val="99"/>
        </w:rPr>
        <w:t> </w:t>
      </w:r>
      <w:r>
        <w:rPr>
          <w:w w:val="95"/>
        </w:rPr>
        <w:t>公司股份期权的公允价值而确定。于</w:t>
      </w:r>
      <w:r>
        <w:rPr>
          <w:rFonts w:ascii="Arial" w:hAnsi="Arial" w:cs="Arial" w:eastAsia="Arial" w:hint="default"/>
          <w:w w:val="95"/>
        </w:rPr>
        <w:t>2009</w:t>
      </w:r>
      <w:r>
        <w:rPr>
          <w:w w:val="95"/>
        </w:rPr>
        <w:t>年度，本集团因此修订而记录之以股份支付的雇员酬</w:t>
      </w:r>
      <w:r>
        <w:rPr>
          <w:spacing w:val="21"/>
          <w:w w:val="95"/>
        </w:rPr>
        <w:t> </w:t>
      </w:r>
      <w:r>
        <w:rPr>
          <w:spacing w:val="21"/>
          <w:w w:val="95"/>
        </w:rPr>
      </w:r>
      <w:r>
        <w:rPr/>
        <w:t>金约为人民币</w:t>
      </w:r>
      <w:r>
        <w:rPr>
          <w:rFonts w:ascii="Arial" w:hAnsi="Arial" w:cs="Arial" w:eastAsia="Arial" w:hint="default"/>
        </w:rPr>
        <w:t>0.10</w:t>
      </w:r>
      <w:r>
        <w:rPr/>
        <w:t>亿元（</w:t>
      </w:r>
      <w:r>
        <w:rPr>
          <w:rFonts w:ascii="Arial" w:hAnsi="Arial" w:cs="Arial" w:eastAsia="Arial" w:hint="default"/>
        </w:rPr>
        <w:t>2008</w:t>
      </w:r>
      <w:r>
        <w:rPr/>
        <w:t>年：</w:t>
      </w:r>
      <w:r>
        <w:rPr>
          <w:rFonts w:ascii="Arial" w:hAnsi="Arial" w:cs="Arial" w:eastAsia="Arial" w:hint="default"/>
        </w:rPr>
        <w:t>0.09</w:t>
      </w:r>
      <w:r>
        <w:rPr/>
        <w:t>亿元）。</w:t>
      </w:r>
    </w:p>
    <w:p>
      <w:pPr>
        <w:spacing w:line="240" w:lineRule="auto" w:before="2"/>
        <w:rPr>
          <w:rFonts w:ascii="宋体" w:hAnsi="宋体" w:cs="宋体" w:eastAsia="宋体" w:hint="default"/>
          <w:sz w:val="18"/>
          <w:szCs w:val="18"/>
        </w:rPr>
      </w:pPr>
    </w:p>
    <w:p>
      <w:pPr>
        <w:pStyle w:val="BodyText"/>
        <w:spacing w:line="240" w:lineRule="auto"/>
        <w:ind w:left="115" w:right="106"/>
        <w:jc w:val="left"/>
      </w:pPr>
      <w:r>
        <w:rPr>
          <w:rFonts w:ascii="Arial" w:hAnsi="Arial" w:cs="Arial" w:eastAsia="Arial" w:hint="default"/>
        </w:rPr>
        <w:t>(b)  </w:t>
      </w:r>
      <w:r>
        <w:rPr>
          <w:rFonts w:ascii="Arial" w:hAnsi="Arial" w:cs="Arial" w:eastAsia="Arial" w:hint="default"/>
          <w:spacing w:val="13"/>
        </w:rPr>
        <w:t> </w:t>
      </w:r>
      <w:r>
        <w:rPr/>
        <w:t>股份期权及期权计划的执行情况</w:t>
      </w:r>
    </w:p>
    <w:p>
      <w:pPr>
        <w:spacing w:line="240" w:lineRule="auto" w:before="0"/>
        <w:rPr>
          <w:rFonts w:ascii="宋体" w:hAnsi="宋体" w:cs="宋体" w:eastAsia="宋体" w:hint="default"/>
          <w:sz w:val="20"/>
          <w:szCs w:val="20"/>
        </w:rPr>
      </w:pPr>
    </w:p>
    <w:p>
      <w:pPr>
        <w:pStyle w:val="BodyText"/>
        <w:spacing w:line="286" w:lineRule="exact"/>
        <w:ind w:left="583" w:right="129" w:hanging="1"/>
        <w:jc w:val="both"/>
      </w:pPr>
      <w:r>
        <w:rPr>
          <w:spacing w:val="-2"/>
        </w:rPr>
        <w:t>于</w:t>
      </w:r>
      <w:r>
        <w:rPr>
          <w:rFonts w:ascii="Arial" w:hAnsi="Arial" w:cs="Arial" w:eastAsia="Arial" w:hint="default"/>
          <w:spacing w:val="-2"/>
        </w:rPr>
        <w:t>2009</w:t>
      </w:r>
      <w:r>
        <w:rPr>
          <w:spacing w:val="-2"/>
        </w:rPr>
        <w:t>年度，并无员工行使被授予的股份期权。于</w:t>
      </w:r>
      <w:r>
        <w:rPr>
          <w:rFonts w:ascii="Arial" w:hAnsi="Arial" w:cs="Arial" w:eastAsia="Arial" w:hint="default"/>
          <w:spacing w:val="-2"/>
        </w:rPr>
        <w:t>2008</w:t>
      </w:r>
      <w:r>
        <w:rPr>
          <w:spacing w:val="-2"/>
        </w:rPr>
        <w:t>年度，联通红筹公司的员工股份期权行</w:t>
      </w:r>
      <w:r>
        <w:rPr>
          <w:w w:val="99"/>
        </w:rPr>
        <w:t> </w:t>
      </w:r>
      <w:r>
        <w:rPr/>
        <w:t>使导致普通股股数增加</w:t>
      </w:r>
      <w:r>
        <w:rPr>
          <w:rFonts w:ascii="Arial" w:hAnsi="Arial" w:cs="Arial" w:eastAsia="Arial" w:hint="default"/>
        </w:rPr>
        <w:t>31,246,000</w:t>
      </w:r>
      <w:r>
        <w:rPr/>
        <w:t>股，收到的现金约人民币</w:t>
      </w:r>
      <w:r>
        <w:rPr>
          <w:rFonts w:ascii="Arial" w:hAnsi="Arial" w:cs="Arial" w:eastAsia="Arial" w:hint="default"/>
        </w:rPr>
        <w:t>2.16</w:t>
      </w:r>
      <w:r>
        <w:rPr/>
        <w:t>亿元。</w:t>
      </w:r>
    </w:p>
    <w:p>
      <w:pPr>
        <w:spacing w:after="0" w:line="286" w:lineRule="exact"/>
        <w:jc w:val="both"/>
        <w:sectPr>
          <w:pgSz w:w="11910" w:h="16840"/>
          <w:pgMar w:header="1189" w:footer="752" w:top="3580" w:bottom="940" w:left="1260" w:right="900"/>
        </w:sectPr>
      </w:pPr>
    </w:p>
    <w:p>
      <w:pPr>
        <w:spacing w:line="240" w:lineRule="auto" w:before="12"/>
        <w:rPr>
          <w:rFonts w:ascii="宋体" w:hAnsi="宋体" w:cs="宋体" w:eastAsia="宋体" w:hint="default"/>
          <w:sz w:val="15"/>
          <w:szCs w:val="15"/>
        </w:rPr>
      </w:pPr>
      <w:r>
        <w:rPr/>
        <w:pict>
          <v:group style="position:absolute;margin-left:430.679993pt;margin-top:701.880005pt;width:2.85pt;height:35.3pt;mso-position-horizontal-relative:page;mso-position-vertical-relative:page;z-index:-912112" coordorigin="8614,14038" coordsize="57,706">
            <v:group style="position:absolute;left:8621;top:14045;width:2;height:692" coordorigin="8621,14045" coordsize="2,692">
              <v:shape style="position:absolute;left:8621;top:14045;width:2;height:692" coordorigin="8621,14045" coordsize="0,692" path="m8621,14045l8621,14736e" filled="false" stroked="true" strokeweight=".72pt" strokecolor="#000000">
                <v:path arrowok="t"/>
              </v:shape>
            </v:group>
            <v:group style="position:absolute;left:8663;top:14045;width:2;height:692" coordorigin="8663,14045" coordsize="2,692">
              <v:shape style="position:absolute;left:8663;top:14045;width:2;height:692" coordorigin="8663,14045" coordsize="0,692" path="m8663,14045l8663,14736e" filled="false" stroked="true" strokeweight=".72pt" strokecolor="#000000">
                <v:path arrowok="t"/>
              </v:shape>
            </v:group>
            <w10:wrap type="none"/>
          </v:group>
        </w:pict>
      </w:r>
    </w:p>
    <w:p>
      <w:pPr>
        <w:pStyle w:val="BodyText"/>
        <w:spacing w:line="424" w:lineRule="auto" w:before="31"/>
        <w:ind w:left="584" w:right="5011" w:hanging="468"/>
        <w:jc w:val="left"/>
      </w:pPr>
      <w:r>
        <w:rPr>
          <w:rFonts w:ascii="Arial" w:hAnsi="Arial" w:cs="Arial" w:eastAsia="Arial" w:hint="default"/>
        </w:rPr>
        <w:t>(b)</w:t>
      </w:r>
      <w:r>
        <w:rPr>
          <w:rFonts w:ascii="Arial" w:hAnsi="Arial" w:cs="Arial" w:eastAsia="Arial" w:hint="default"/>
          <w:spacing w:val="15"/>
        </w:rPr>
        <w:t> </w:t>
      </w:r>
      <w:r>
        <w:rPr/>
        <w:t>股份期权及期权计划的执行情况（续）</w:t>
      </w:r>
      <w:r>
        <w:rPr>
          <w:w w:val="99"/>
        </w:rPr>
        <w:t> </w:t>
      </w:r>
      <w:r>
        <w:rPr/>
        <w:t>于</w:t>
      </w:r>
      <w:r>
        <w:rPr>
          <w:rFonts w:ascii="Arial" w:hAnsi="Arial" w:cs="Arial" w:eastAsia="Arial" w:hint="default"/>
        </w:rPr>
        <w:t>2008</w:t>
      </w:r>
      <w:r>
        <w:rPr/>
        <w:t>年度，股份期权的详细行使详情如下：</w:t>
      </w:r>
    </w:p>
    <w:p>
      <w:pPr>
        <w:spacing w:line="240" w:lineRule="auto" w:before="1"/>
        <w:rPr>
          <w:rFonts w:ascii="宋体" w:hAnsi="宋体" w:cs="宋体" w:eastAsia="宋体" w:hint="default"/>
          <w:sz w:val="2"/>
          <w:szCs w:val="2"/>
        </w:rPr>
      </w:pPr>
    </w:p>
    <w:tbl>
      <w:tblPr>
        <w:tblW w:w="0" w:type="auto"/>
        <w:jc w:val="left"/>
        <w:tblInd w:w="570" w:type="dxa"/>
        <w:tblLayout w:type="fixed"/>
        <w:tblCellMar>
          <w:top w:w="0" w:type="dxa"/>
          <w:left w:w="0" w:type="dxa"/>
          <w:bottom w:w="0" w:type="dxa"/>
          <w:right w:w="0" w:type="dxa"/>
        </w:tblCellMar>
        <w:tblLook w:val="01E0"/>
      </w:tblPr>
      <w:tblGrid>
        <w:gridCol w:w="1912"/>
        <w:gridCol w:w="126"/>
        <w:gridCol w:w="1532"/>
        <w:gridCol w:w="131"/>
        <w:gridCol w:w="2143"/>
        <w:gridCol w:w="127"/>
        <w:gridCol w:w="1733"/>
        <w:gridCol w:w="120"/>
        <w:gridCol w:w="1555"/>
      </w:tblGrid>
      <w:tr>
        <w:trPr>
          <w:trHeight w:val="855" w:hRule="exact"/>
        </w:trPr>
        <w:tc>
          <w:tcPr>
            <w:tcW w:w="1912"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left="84" w:right="0"/>
              <w:jc w:val="left"/>
              <w:rPr>
                <w:rFonts w:ascii="宋体" w:hAnsi="宋体" w:cs="宋体" w:eastAsia="宋体" w:hint="default"/>
                <w:sz w:val="20"/>
                <w:szCs w:val="20"/>
              </w:rPr>
            </w:pPr>
            <w:r>
              <w:rPr>
                <w:rFonts w:ascii="宋体" w:hAnsi="宋体" w:cs="宋体" w:eastAsia="宋体" w:hint="default"/>
                <w:sz w:val="20"/>
                <w:szCs w:val="20"/>
              </w:rPr>
              <w:t>期权授予日</w:t>
            </w:r>
          </w:p>
        </w:tc>
        <w:tc>
          <w:tcPr>
            <w:tcW w:w="12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60" w:lineRule="exact"/>
              <w:ind w:left="876" w:right="53" w:hanging="201"/>
              <w:jc w:val="left"/>
              <w:rPr>
                <w:rFonts w:ascii="宋体" w:hAnsi="宋体" w:cs="宋体" w:eastAsia="宋体" w:hint="default"/>
                <w:sz w:val="20"/>
                <w:szCs w:val="20"/>
              </w:rPr>
            </w:pPr>
            <w:r>
              <w:rPr>
                <w:rFonts w:ascii="宋体" w:hAnsi="宋体" w:cs="宋体" w:eastAsia="宋体" w:hint="default"/>
                <w:sz w:val="20"/>
                <w:szCs w:val="20"/>
              </w:rPr>
              <w:t>行使价格</w:t>
            </w:r>
            <w:r>
              <w:rPr>
                <w:rFonts w:ascii="宋体" w:hAnsi="宋体" w:cs="宋体" w:eastAsia="宋体" w:hint="default"/>
                <w:w w:val="100"/>
                <w:sz w:val="20"/>
                <w:szCs w:val="20"/>
              </w:rPr>
              <w:t> </w:t>
            </w:r>
            <w:r>
              <w:rPr>
                <w:rFonts w:ascii="宋体" w:hAnsi="宋体" w:cs="宋体" w:eastAsia="宋体" w:hint="default"/>
                <w:sz w:val="20"/>
                <w:szCs w:val="20"/>
              </w:rPr>
              <w:t>港币元</w:t>
            </w:r>
          </w:p>
        </w:tc>
        <w:tc>
          <w:tcPr>
            <w:tcW w:w="131" w:type="dxa"/>
            <w:tcBorders>
              <w:top w:val="nil" w:sz="6" w:space="0" w:color="auto"/>
              <w:left w:val="nil" w:sz="6" w:space="0" w:color="auto"/>
              <w:bottom w:val="nil" w:sz="6" w:space="0" w:color="auto"/>
              <w:right w:val="nil" w:sz="6" w:space="0" w:color="auto"/>
            </w:tcBorders>
          </w:tcPr>
          <w:p>
            <w:pPr/>
          </w:p>
        </w:tc>
        <w:tc>
          <w:tcPr>
            <w:tcW w:w="2143" w:type="dxa"/>
            <w:tcBorders>
              <w:top w:val="nil" w:sz="6" w:space="0" w:color="auto"/>
              <w:left w:val="nil" w:sz="6" w:space="0" w:color="auto"/>
              <w:bottom w:val="single" w:sz="6" w:space="0" w:color="000000"/>
              <w:right w:val="nil" w:sz="6" w:space="0" w:color="auto"/>
            </w:tcBorders>
          </w:tcPr>
          <w:p>
            <w:pPr>
              <w:pStyle w:val="TableParagraph"/>
              <w:spacing w:line="260" w:lineRule="exact" w:before="64"/>
              <w:ind w:left="334" w:right="3" w:hanging="200"/>
              <w:jc w:val="right"/>
              <w:rPr>
                <w:rFonts w:ascii="宋体" w:hAnsi="宋体" w:cs="宋体" w:eastAsia="宋体" w:hint="default"/>
                <w:sz w:val="20"/>
                <w:szCs w:val="20"/>
              </w:rPr>
            </w:pPr>
            <w:r>
              <w:rPr>
                <w:rFonts w:ascii="宋体" w:hAnsi="宋体" w:cs="宋体" w:eastAsia="宋体" w:hint="default"/>
                <w:spacing w:val="-1"/>
                <w:sz w:val="20"/>
                <w:szCs w:val="20"/>
              </w:rPr>
              <w:t>紧贴期权行使日期前的</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1"/>
                <w:sz w:val="20"/>
                <w:szCs w:val="20"/>
              </w:rPr>
              <w:t>加权平均每股收市价</w:t>
            </w:r>
          </w:p>
          <w:p>
            <w:pPr>
              <w:pStyle w:val="TableParagraph"/>
              <w:spacing w:line="235" w:lineRule="exact"/>
              <w:ind w:right="5"/>
              <w:jc w:val="right"/>
              <w:rPr>
                <w:rFonts w:ascii="宋体" w:hAnsi="宋体" w:cs="宋体" w:eastAsia="宋体" w:hint="default"/>
                <w:sz w:val="20"/>
                <w:szCs w:val="20"/>
              </w:rPr>
            </w:pPr>
            <w:r>
              <w:rPr>
                <w:rFonts w:ascii="宋体" w:hAnsi="宋体" w:cs="宋体" w:eastAsia="宋体" w:hint="default"/>
                <w:sz w:val="20"/>
                <w:szCs w:val="20"/>
              </w:rPr>
              <w:t>港币元</w:t>
            </w:r>
          </w:p>
        </w:tc>
        <w:tc>
          <w:tcPr>
            <w:tcW w:w="12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single" w:sz="6" w:space="0" w:color="000000"/>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60" w:lineRule="exact"/>
              <w:ind w:left="1071" w:right="57" w:hanging="201"/>
              <w:jc w:val="left"/>
              <w:rPr>
                <w:rFonts w:ascii="宋体" w:hAnsi="宋体" w:cs="宋体" w:eastAsia="宋体" w:hint="default"/>
                <w:sz w:val="20"/>
                <w:szCs w:val="20"/>
              </w:rPr>
            </w:pPr>
            <w:r>
              <w:rPr>
                <w:rFonts w:ascii="宋体" w:hAnsi="宋体" w:cs="宋体" w:eastAsia="宋体" w:hint="default"/>
                <w:sz w:val="20"/>
                <w:szCs w:val="20"/>
              </w:rPr>
              <w:t>收到现金</w:t>
            </w:r>
            <w:r>
              <w:rPr>
                <w:rFonts w:ascii="宋体" w:hAnsi="宋体" w:cs="宋体" w:eastAsia="宋体" w:hint="default"/>
                <w:w w:val="100"/>
                <w:sz w:val="20"/>
                <w:szCs w:val="20"/>
              </w:rPr>
              <w:t> </w:t>
            </w:r>
            <w:r>
              <w:rPr>
                <w:rFonts w:ascii="宋体" w:hAnsi="宋体" w:cs="宋体" w:eastAsia="宋体" w:hint="default"/>
                <w:sz w:val="20"/>
                <w:szCs w:val="20"/>
              </w:rPr>
              <w:t>港币元</w:t>
            </w:r>
          </w:p>
        </w:tc>
        <w:tc>
          <w:tcPr>
            <w:tcW w:w="120"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left="285" w:right="0"/>
              <w:jc w:val="left"/>
              <w:rPr>
                <w:rFonts w:ascii="宋体" w:hAnsi="宋体" w:cs="宋体" w:eastAsia="宋体" w:hint="default"/>
                <w:sz w:val="20"/>
                <w:szCs w:val="20"/>
              </w:rPr>
            </w:pPr>
            <w:r>
              <w:rPr>
                <w:rFonts w:ascii="宋体" w:hAnsi="宋体" w:cs="宋体" w:eastAsia="宋体" w:hint="default"/>
                <w:sz w:val="20"/>
                <w:szCs w:val="20"/>
              </w:rPr>
              <w:t>股份期权份数</w:t>
            </w:r>
          </w:p>
        </w:tc>
      </w:tr>
      <w:tr>
        <w:trPr>
          <w:trHeight w:val="545" w:hRule="exact"/>
        </w:trPr>
        <w:tc>
          <w:tcPr>
            <w:tcW w:w="1912" w:type="dxa"/>
            <w:tcBorders>
              <w:top w:val="single" w:sz="6" w:space="0" w:color="000000"/>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7"/>
                <w:szCs w:val="17"/>
              </w:rPr>
            </w:pPr>
          </w:p>
          <w:p>
            <w:pPr>
              <w:pStyle w:val="TableParagraph"/>
              <w:spacing w:line="240" w:lineRule="auto"/>
              <w:ind w:left="84" w:right="0"/>
              <w:jc w:val="left"/>
              <w:rPr>
                <w:rFonts w:ascii="宋体" w:hAnsi="宋体" w:cs="宋体" w:eastAsia="宋体" w:hint="default"/>
                <w:sz w:val="20"/>
                <w:szCs w:val="20"/>
              </w:rPr>
            </w:pPr>
            <w:r>
              <w:rPr>
                <w:rFonts w:ascii="Arial" w:hAnsi="Arial" w:cs="Arial" w:eastAsia="Arial" w:hint="default"/>
                <w:sz w:val="20"/>
                <w:szCs w:val="20"/>
              </w:rPr>
              <w:t>2000</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6</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22</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126" w:type="dxa"/>
            <w:tcBorders>
              <w:top w:val="nil" w:sz="6" w:space="0" w:color="auto"/>
              <w:left w:val="nil" w:sz="6" w:space="0" w:color="auto"/>
              <w:bottom w:val="nil" w:sz="6" w:space="0" w:color="auto"/>
              <w:right w:val="nil" w:sz="6" w:space="0" w:color="auto"/>
            </w:tcBorders>
          </w:tcPr>
          <w:p>
            <w:pPr/>
          </w:p>
        </w:tc>
        <w:tc>
          <w:tcPr>
            <w:tcW w:w="1532" w:type="dxa"/>
            <w:tcBorders>
              <w:top w:val="single" w:sz="6"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53"/>
              <w:jc w:val="right"/>
              <w:rPr>
                <w:rFonts w:ascii="Arial" w:hAnsi="Arial" w:cs="Arial" w:eastAsia="Arial" w:hint="default"/>
                <w:sz w:val="20"/>
                <w:szCs w:val="20"/>
              </w:rPr>
            </w:pPr>
            <w:r>
              <w:rPr>
                <w:rFonts w:ascii="Arial"/>
                <w:sz w:val="20"/>
              </w:rPr>
              <w:t>15.42</w:t>
            </w:r>
          </w:p>
        </w:tc>
        <w:tc>
          <w:tcPr>
            <w:tcW w:w="131" w:type="dxa"/>
            <w:tcBorders>
              <w:top w:val="nil" w:sz="6" w:space="0" w:color="auto"/>
              <w:left w:val="nil" w:sz="6" w:space="0" w:color="auto"/>
              <w:bottom w:val="nil" w:sz="6" w:space="0" w:color="auto"/>
              <w:right w:val="nil" w:sz="6" w:space="0" w:color="auto"/>
            </w:tcBorders>
          </w:tcPr>
          <w:p>
            <w:pPr/>
          </w:p>
        </w:tc>
        <w:tc>
          <w:tcPr>
            <w:tcW w:w="2143" w:type="dxa"/>
            <w:tcBorders>
              <w:top w:val="single" w:sz="6"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46"/>
              <w:jc w:val="right"/>
              <w:rPr>
                <w:rFonts w:ascii="Arial" w:hAnsi="Arial" w:cs="Arial" w:eastAsia="Arial" w:hint="default"/>
                <w:sz w:val="20"/>
                <w:szCs w:val="20"/>
              </w:rPr>
            </w:pPr>
            <w:r>
              <w:rPr>
                <w:rFonts w:ascii="Arial"/>
                <w:sz w:val="20"/>
              </w:rPr>
              <w:t>18.73</w:t>
            </w:r>
          </w:p>
        </w:tc>
        <w:tc>
          <w:tcPr>
            <w:tcW w:w="127" w:type="dxa"/>
            <w:tcBorders>
              <w:top w:val="nil" w:sz="6" w:space="0" w:color="auto"/>
              <w:left w:val="nil" w:sz="6" w:space="0" w:color="auto"/>
              <w:bottom w:val="nil" w:sz="6" w:space="0" w:color="auto"/>
              <w:right w:val="nil" w:sz="6" w:space="0" w:color="auto"/>
            </w:tcBorders>
          </w:tcPr>
          <w:p>
            <w:pPr/>
          </w:p>
        </w:tc>
        <w:tc>
          <w:tcPr>
            <w:tcW w:w="1733" w:type="dxa"/>
            <w:tcBorders>
              <w:top w:val="single" w:sz="6"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14"/>
              <w:jc w:val="right"/>
              <w:rPr>
                <w:rFonts w:ascii="Arial" w:hAnsi="Arial" w:cs="Arial" w:eastAsia="Arial" w:hint="default"/>
                <w:sz w:val="20"/>
                <w:szCs w:val="20"/>
              </w:rPr>
            </w:pPr>
            <w:r>
              <w:rPr>
                <w:rFonts w:ascii="Arial"/>
                <w:spacing w:val="-1"/>
                <w:sz w:val="20"/>
              </w:rPr>
              <w:t>63,980,664</w:t>
            </w:r>
          </w:p>
        </w:tc>
        <w:tc>
          <w:tcPr>
            <w:tcW w:w="120" w:type="dxa"/>
            <w:tcBorders>
              <w:top w:val="nil" w:sz="6" w:space="0" w:color="auto"/>
              <w:left w:val="nil" w:sz="6" w:space="0" w:color="auto"/>
              <w:bottom w:val="nil" w:sz="6" w:space="0" w:color="auto"/>
              <w:right w:val="nil" w:sz="6" w:space="0" w:color="auto"/>
            </w:tcBorders>
          </w:tcPr>
          <w:p>
            <w:pPr/>
          </w:p>
        </w:tc>
        <w:tc>
          <w:tcPr>
            <w:tcW w:w="1555" w:type="dxa"/>
            <w:tcBorders>
              <w:top w:val="single" w:sz="6" w:space="0" w:color="000000"/>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523" w:right="0"/>
              <w:jc w:val="left"/>
              <w:rPr>
                <w:rFonts w:ascii="Arial" w:hAnsi="Arial" w:cs="Arial" w:eastAsia="Arial" w:hint="default"/>
                <w:sz w:val="20"/>
                <w:szCs w:val="20"/>
              </w:rPr>
            </w:pPr>
            <w:r>
              <w:rPr>
                <w:rFonts w:ascii="Arial"/>
                <w:sz w:val="20"/>
              </w:rPr>
              <w:t>4,149,200</w:t>
            </w:r>
          </w:p>
        </w:tc>
      </w:tr>
      <w:tr>
        <w:trPr>
          <w:trHeight w:val="275" w:hRule="exact"/>
        </w:trPr>
        <w:tc>
          <w:tcPr>
            <w:tcW w:w="1912" w:type="dxa"/>
            <w:tcBorders>
              <w:top w:val="nil" w:sz="6" w:space="0" w:color="auto"/>
              <w:left w:val="nil" w:sz="6" w:space="0" w:color="auto"/>
              <w:bottom w:val="nil" w:sz="6" w:space="0" w:color="auto"/>
              <w:right w:val="nil" w:sz="6" w:space="0" w:color="auto"/>
            </w:tcBorders>
          </w:tcPr>
          <w:p>
            <w:pPr>
              <w:pStyle w:val="TableParagraph"/>
              <w:spacing w:line="241" w:lineRule="exact"/>
              <w:ind w:left="83" w:right="0"/>
              <w:jc w:val="left"/>
              <w:rPr>
                <w:rFonts w:ascii="宋体" w:hAnsi="宋体" w:cs="宋体" w:eastAsia="宋体" w:hint="default"/>
                <w:sz w:val="20"/>
                <w:szCs w:val="20"/>
              </w:rPr>
            </w:pPr>
            <w:r>
              <w:rPr>
                <w:rFonts w:ascii="Arial" w:hAnsi="Arial" w:cs="Arial" w:eastAsia="Arial" w:hint="default"/>
                <w:sz w:val="20"/>
                <w:szCs w:val="20"/>
              </w:rPr>
              <w:t>2001</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6</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30</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12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3"/>
              <w:jc w:val="right"/>
              <w:rPr>
                <w:rFonts w:ascii="Arial" w:hAnsi="Arial" w:cs="Arial" w:eastAsia="Arial" w:hint="default"/>
                <w:sz w:val="20"/>
                <w:szCs w:val="20"/>
              </w:rPr>
            </w:pPr>
            <w:r>
              <w:rPr>
                <w:rFonts w:ascii="Arial"/>
                <w:sz w:val="20"/>
              </w:rPr>
              <w:t>15.42</w:t>
            </w:r>
          </w:p>
        </w:tc>
        <w:tc>
          <w:tcPr>
            <w:tcW w:w="131" w:type="dxa"/>
            <w:tcBorders>
              <w:top w:val="nil" w:sz="6" w:space="0" w:color="auto"/>
              <w:left w:val="nil" w:sz="6" w:space="0" w:color="auto"/>
              <w:bottom w:val="nil" w:sz="6" w:space="0" w:color="auto"/>
              <w:right w:val="nil" w:sz="6" w:space="0" w:color="auto"/>
            </w:tcBorders>
          </w:tcPr>
          <w:p>
            <w:pP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
              <w:jc w:val="right"/>
              <w:rPr>
                <w:rFonts w:ascii="Arial" w:hAnsi="Arial" w:cs="Arial" w:eastAsia="Arial" w:hint="default"/>
                <w:sz w:val="20"/>
                <w:szCs w:val="20"/>
              </w:rPr>
            </w:pPr>
            <w:r>
              <w:rPr>
                <w:rFonts w:ascii="Arial"/>
                <w:sz w:val="20"/>
              </w:rPr>
              <w:t>18.38</w:t>
            </w:r>
          </w:p>
        </w:tc>
        <w:tc>
          <w:tcPr>
            <w:tcW w:w="12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5"/>
              <w:jc w:val="right"/>
              <w:rPr>
                <w:rFonts w:ascii="Arial" w:hAnsi="Arial" w:cs="Arial" w:eastAsia="Arial" w:hint="default"/>
                <w:sz w:val="20"/>
                <w:szCs w:val="20"/>
              </w:rPr>
            </w:pPr>
            <w:r>
              <w:rPr>
                <w:rFonts w:ascii="Arial"/>
                <w:spacing w:val="-1"/>
                <w:sz w:val="20"/>
              </w:rPr>
              <w:t>18,781,560</w:t>
            </w:r>
          </w:p>
        </w:tc>
        <w:tc>
          <w:tcPr>
            <w:tcW w:w="120"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23" w:right="0"/>
              <w:jc w:val="left"/>
              <w:rPr>
                <w:rFonts w:ascii="Arial" w:hAnsi="Arial" w:cs="Arial" w:eastAsia="Arial" w:hint="default"/>
                <w:sz w:val="20"/>
                <w:szCs w:val="20"/>
              </w:rPr>
            </w:pPr>
            <w:r>
              <w:rPr>
                <w:rFonts w:ascii="Arial"/>
                <w:sz w:val="20"/>
              </w:rPr>
              <w:t>1,218,000</w:t>
            </w:r>
          </w:p>
        </w:tc>
      </w:tr>
      <w:tr>
        <w:trPr>
          <w:trHeight w:val="274" w:hRule="exact"/>
        </w:trPr>
        <w:tc>
          <w:tcPr>
            <w:tcW w:w="1912" w:type="dxa"/>
            <w:tcBorders>
              <w:top w:val="nil" w:sz="6" w:space="0" w:color="auto"/>
              <w:left w:val="nil" w:sz="6" w:space="0" w:color="auto"/>
              <w:bottom w:val="nil" w:sz="6" w:space="0" w:color="auto"/>
              <w:right w:val="nil" w:sz="6" w:space="0" w:color="auto"/>
            </w:tcBorders>
          </w:tcPr>
          <w:p>
            <w:pPr>
              <w:pStyle w:val="TableParagraph"/>
              <w:spacing w:line="241" w:lineRule="exact"/>
              <w:ind w:left="83" w:right="0"/>
              <w:jc w:val="left"/>
              <w:rPr>
                <w:rFonts w:ascii="宋体" w:hAnsi="宋体" w:cs="宋体" w:eastAsia="宋体" w:hint="default"/>
                <w:sz w:val="20"/>
                <w:szCs w:val="20"/>
              </w:rPr>
            </w:pPr>
            <w:r>
              <w:rPr>
                <w:rFonts w:ascii="Arial" w:hAnsi="Arial" w:cs="Arial" w:eastAsia="Arial" w:hint="default"/>
                <w:sz w:val="20"/>
                <w:szCs w:val="20"/>
              </w:rPr>
              <w:t>2002</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7</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10</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12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3"/>
              <w:jc w:val="right"/>
              <w:rPr>
                <w:rFonts w:ascii="Arial" w:hAnsi="Arial" w:cs="Arial" w:eastAsia="Arial" w:hint="default"/>
                <w:sz w:val="20"/>
                <w:szCs w:val="20"/>
              </w:rPr>
            </w:pPr>
            <w:r>
              <w:rPr>
                <w:rFonts w:ascii="Arial"/>
                <w:sz w:val="20"/>
              </w:rPr>
              <w:t>6.18</w:t>
            </w:r>
          </w:p>
        </w:tc>
        <w:tc>
          <w:tcPr>
            <w:tcW w:w="131" w:type="dxa"/>
            <w:tcBorders>
              <w:top w:val="nil" w:sz="6" w:space="0" w:color="auto"/>
              <w:left w:val="nil" w:sz="6" w:space="0" w:color="auto"/>
              <w:bottom w:val="nil" w:sz="6" w:space="0" w:color="auto"/>
              <w:right w:val="nil" w:sz="6" w:space="0" w:color="auto"/>
            </w:tcBorders>
          </w:tcPr>
          <w:p>
            <w:pP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6"/>
              <w:jc w:val="right"/>
              <w:rPr>
                <w:rFonts w:ascii="Arial" w:hAnsi="Arial" w:cs="Arial" w:eastAsia="Arial" w:hint="default"/>
                <w:sz w:val="20"/>
                <w:szCs w:val="20"/>
              </w:rPr>
            </w:pPr>
            <w:r>
              <w:rPr>
                <w:rFonts w:ascii="Arial"/>
                <w:sz w:val="20"/>
              </w:rPr>
              <w:t>15.88</w:t>
            </w:r>
          </w:p>
        </w:tc>
        <w:tc>
          <w:tcPr>
            <w:tcW w:w="12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5"/>
              <w:jc w:val="right"/>
              <w:rPr>
                <w:rFonts w:ascii="Arial" w:hAnsi="Arial" w:cs="Arial" w:eastAsia="Arial" w:hint="default"/>
                <w:sz w:val="20"/>
                <w:szCs w:val="20"/>
              </w:rPr>
            </w:pPr>
            <w:r>
              <w:rPr>
                <w:rFonts w:ascii="Arial"/>
                <w:spacing w:val="-1"/>
                <w:sz w:val="20"/>
              </w:rPr>
              <w:t>20,443,440</w:t>
            </w:r>
          </w:p>
        </w:tc>
        <w:tc>
          <w:tcPr>
            <w:tcW w:w="120"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23" w:right="0"/>
              <w:jc w:val="left"/>
              <w:rPr>
                <w:rFonts w:ascii="Arial" w:hAnsi="Arial" w:cs="Arial" w:eastAsia="Arial" w:hint="default"/>
                <w:sz w:val="20"/>
                <w:szCs w:val="20"/>
              </w:rPr>
            </w:pPr>
            <w:r>
              <w:rPr>
                <w:rFonts w:ascii="Arial"/>
                <w:sz w:val="20"/>
              </w:rPr>
              <w:t>3,308,000</w:t>
            </w:r>
          </w:p>
        </w:tc>
      </w:tr>
      <w:tr>
        <w:trPr>
          <w:trHeight w:val="274" w:hRule="exact"/>
        </w:trPr>
        <w:tc>
          <w:tcPr>
            <w:tcW w:w="1912" w:type="dxa"/>
            <w:tcBorders>
              <w:top w:val="nil" w:sz="6" w:space="0" w:color="auto"/>
              <w:left w:val="nil" w:sz="6" w:space="0" w:color="auto"/>
              <w:bottom w:val="nil" w:sz="6" w:space="0" w:color="auto"/>
              <w:right w:val="nil" w:sz="6" w:space="0" w:color="auto"/>
            </w:tcBorders>
          </w:tcPr>
          <w:p>
            <w:pPr>
              <w:pStyle w:val="TableParagraph"/>
              <w:spacing w:line="240" w:lineRule="exact"/>
              <w:ind w:left="83" w:right="0"/>
              <w:jc w:val="left"/>
              <w:rPr>
                <w:rFonts w:ascii="宋体" w:hAnsi="宋体" w:cs="宋体" w:eastAsia="宋体" w:hint="default"/>
                <w:sz w:val="20"/>
                <w:szCs w:val="20"/>
              </w:rPr>
            </w:pPr>
            <w:r>
              <w:rPr>
                <w:rFonts w:ascii="Arial" w:hAnsi="Arial" w:cs="Arial" w:eastAsia="Arial" w:hint="default"/>
                <w:sz w:val="20"/>
                <w:szCs w:val="20"/>
              </w:rPr>
              <w:t>2003</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5</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21</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12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54"/>
              <w:jc w:val="right"/>
              <w:rPr>
                <w:rFonts w:ascii="Arial" w:hAnsi="Arial" w:cs="Arial" w:eastAsia="Arial" w:hint="default"/>
                <w:sz w:val="20"/>
                <w:szCs w:val="20"/>
              </w:rPr>
            </w:pPr>
            <w:r>
              <w:rPr>
                <w:rFonts w:ascii="Arial"/>
                <w:sz w:val="20"/>
              </w:rPr>
              <w:t>4.30</w:t>
            </w:r>
          </w:p>
        </w:tc>
        <w:tc>
          <w:tcPr>
            <w:tcW w:w="131" w:type="dxa"/>
            <w:tcBorders>
              <w:top w:val="nil" w:sz="6" w:space="0" w:color="auto"/>
              <w:left w:val="nil" w:sz="6" w:space="0" w:color="auto"/>
              <w:bottom w:val="nil" w:sz="6" w:space="0" w:color="auto"/>
              <w:right w:val="nil" w:sz="6" w:space="0" w:color="auto"/>
            </w:tcBorders>
          </w:tcPr>
          <w:p>
            <w:pP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46"/>
              <w:jc w:val="right"/>
              <w:rPr>
                <w:rFonts w:ascii="Arial" w:hAnsi="Arial" w:cs="Arial" w:eastAsia="Arial" w:hint="default"/>
                <w:sz w:val="20"/>
                <w:szCs w:val="20"/>
              </w:rPr>
            </w:pPr>
            <w:r>
              <w:rPr>
                <w:rFonts w:ascii="Arial"/>
                <w:sz w:val="20"/>
              </w:rPr>
              <w:t>16.90</w:t>
            </w:r>
          </w:p>
        </w:tc>
        <w:tc>
          <w:tcPr>
            <w:tcW w:w="12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15"/>
              <w:jc w:val="right"/>
              <w:rPr>
                <w:rFonts w:ascii="Arial" w:hAnsi="Arial" w:cs="Arial" w:eastAsia="Arial" w:hint="default"/>
                <w:sz w:val="20"/>
                <w:szCs w:val="20"/>
              </w:rPr>
            </w:pPr>
            <w:r>
              <w:rPr>
                <w:rFonts w:ascii="Arial"/>
                <w:spacing w:val="-1"/>
                <w:sz w:val="20"/>
              </w:rPr>
              <w:t>8,947,440</w:t>
            </w:r>
          </w:p>
        </w:tc>
        <w:tc>
          <w:tcPr>
            <w:tcW w:w="120"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523" w:right="0"/>
              <w:jc w:val="left"/>
              <w:rPr>
                <w:rFonts w:ascii="Arial" w:hAnsi="Arial" w:cs="Arial" w:eastAsia="Arial" w:hint="default"/>
                <w:sz w:val="20"/>
                <w:szCs w:val="20"/>
              </w:rPr>
            </w:pPr>
            <w:r>
              <w:rPr>
                <w:rFonts w:ascii="Arial"/>
                <w:sz w:val="20"/>
              </w:rPr>
              <w:t>2,080,800</w:t>
            </w:r>
          </w:p>
        </w:tc>
      </w:tr>
      <w:tr>
        <w:trPr>
          <w:trHeight w:val="275" w:hRule="exact"/>
        </w:trPr>
        <w:tc>
          <w:tcPr>
            <w:tcW w:w="1912" w:type="dxa"/>
            <w:tcBorders>
              <w:top w:val="nil" w:sz="6" w:space="0" w:color="auto"/>
              <w:left w:val="nil" w:sz="6" w:space="0" w:color="auto"/>
              <w:bottom w:val="nil" w:sz="6" w:space="0" w:color="auto"/>
              <w:right w:val="nil" w:sz="6" w:space="0" w:color="auto"/>
            </w:tcBorders>
          </w:tcPr>
          <w:p>
            <w:pPr>
              <w:pStyle w:val="TableParagraph"/>
              <w:spacing w:line="241" w:lineRule="exact"/>
              <w:ind w:left="83" w:right="0"/>
              <w:jc w:val="left"/>
              <w:rPr>
                <w:rFonts w:ascii="宋体" w:hAnsi="宋体" w:cs="宋体" w:eastAsia="宋体" w:hint="default"/>
                <w:sz w:val="20"/>
                <w:szCs w:val="20"/>
              </w:rPr>
            </w:pPr>
            <w:r>
              <w:rPr>
                <w:rFonts w:ascii="Arial" w:hAnsi="Arial" w:cs="Arial" w:eastAsia="Arial" w:hint="default"/>
                <w:sz w:val="20"/>
                <w:szCs w:val="20"/>
              </w:rPr>
              <w:t>2004</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7</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20</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12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4"/>
              <w:jc w:val="right"/>
              <w:rPr>
                <w:rFonts w:ascii="Arial" w:hAnsi="Arial" w:cs="Arial" w:eastAsia="Arial" w:hint="default"/>
                <w:sz w:val="20"/>
                <w:szCs w:val="20"/>
              </w:rPr>
            </w:pPr>
            <w:r>
              <w:rPr>
                <w:rFonts w:ascii="Arial"/>
                <w:sz w:val="20"/>
              </w:rPr>
              <w:t>5.92</w:t>
            </w:r>
          </w:p>
        </w:tc>
        <w:tc>
          <w:tcPr>
            <w:tcW w:w="131" w:type="dxa"/>
            <w:tcBorders>
              <w:top w:val="nil" w:sz="6" w:space="0" w:color="auto"/>
              <w:left w:val="nil" w:sz="6" w:space="0" w:color="auto"/>
              <w:bottom w:val="nil" w:sz="6" w:space="0" w:color="auto"/>
              <w:right w:val="nil" w:sz="6" w:space="0" w:color="auto"/>
            </w:tcBorders>
          </w:tcPr>
          <w:p>
            <w:pP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7"/>
              <w:jc w:val="right"/>
              <w:rPr>
                <w:rFonts w:ascii="Arial" w:hAnsi="Arial" w:cs="Arial" w:eastAsia="Arial" w:hint="default"/>
                <w:sz w:val="20"/>
                <w:szCs w:val="20"/>
              </w:rPr>
            </w:pPr>
            <w:r>
              <w:rPr>
                <w:rFonts w:ascii="Arial"/>
                <w:sz w:val="20"/>
              </w:rPr>
              <w:t>17.81</w:t>
            </w:r>
          </w:p>
        </w:tc>
        <w:tc>
          <w:tcPr>
            <w:tcW w:w="12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15"/>
              <w:jc w:val="right"/>
              <w:rPr>
                <w:rFonts w:ascii="Arial" w:hAnsi="Arial" w:cs="Arial" w:eastAsia="Arial" w:hint="default"/>
                <w:sz w:val="20"/>
                <w:szCs w:val="20"/>
              </w:rPr>
            </w:pPr>
            <w:r>
              <w:rPr>
                <w:rFonts w:ascii="Arial"/>
                <w:spacing w:val="-1"/>
                <w:sz w:val="20"/>
              </w:rPr>
              <w:t>58,240,960</w:t>
            </w:r>
          </w:p>
        </w:tc>
        <w:tc>
          <w:tcPr>
            <w:tcW w:w="120"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spacing w:line="240" w:lineRule="auto" w:before="23"/>
              <w:ind w:left="523" w:right="0"/>
              <w:jc w:val="left"/>
              <w:rPr>
                <w:rFonts w:ascii="Arial" w:hAnsi="Arial" w:cs="Arial" w:eastAsia="Arial" w:hint="default"/>
                <w:sz w:val="20"/>
                <w:szCs w:val="20"/>
              </w:rPr>
            </w:pPr>
            <w:r>
              <w:rPr>
                <w:rFonts w:ascii="Arial"/>
                <w:sz w:val="20"/>
              </w:rPr>
              <w:t>9,838,000</w:t>
            </w:r>
          </w:p>
        </w:tc>
      </w:tr>
      <w:tr>
        <w:trPr>
          <w:trHeight w:val="405" w:hRule="exact"/>
        </w:trPr>
        <w:tc>
          <w:tcPr>
            <w:tcW w:w="1912" w:type="dxa"/>
            <w:tcBorders>
              <w:top w:val="nil" w:sz="6" w:space="0" w:color="auto"/>
              <w:left w:val="nil" w:sz="6" w:space="0" w:color="auto"/>
              <w:bottom w:val="nil" w:sz="6" w:space="0" w:color="auto"/>
              <w:right w:val="nil" w:sz="6" w:space="0" w:color="auto"/>
            </w:tcBorders>
          </w:tcPr>
          <w:p>
            <w:pPr>
              <w:pStyle w:val="TableParagraph"/>
              <w:spacing w:line="241" w:lineRule="exact"/>
              <w:ind w:left="82" w:right="0"/>
              <w:jc w:val="left"/>
              <w:rPr>
                <w:rFonts w:ascii="宋体" w:hAnsi="宋体" w:cs="宋体" w:eastAsia="宋体" w:hint="default"/>
                <w:sz w:val="20"/>
                <w:szCs w:val="20"/>
              </w:rPr>
            </w:pPr>
            <w:r>
              <w:rPr>
                <w:rFonts w:ascii="Arial" w:hAnsi="Arial" w:cs="Arial" w:eastAsia="Arial" w:hint="default"/>
                <w:sz w:val="20"/>
                <w:szCs w:val="20"/>
              </w:rPr>
              <w:t>2006</w:t>
            </w:r>
            <w:r>
              <w:rPr>
                <w:rFonts w:ascii="Arial" w:hAnsi="Arial" w:cs="Arial" w:eastAsia="Arial" w:hint="default"/>
                <w:spacing w:val="-5"/>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Arial" w:hAnsi="Arial" w:cs="Arial" w:eastAsia="Arial" w:hint="default"/>
                <w:sz w:val="20"/>
                <w:szCs w:val="20"/>
              </w:rPr>
              <w:t>2</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15</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12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54"/>
              <w:jc w:val="right"/>
              <w:rPr>
                <w:rFonts w:ascii="Arial" w:hAnsi="Arial" w:cs="Arial" w:eastAsia="Arial" w:hint="default"/>
                <w:sz w:val="20"/>
                <w:szCs w:val="20"/>
              </w:rPr>
            </w:pPr>
            <w:r>
              <w:rPr>
                <w:rFonts w:ascii="Arial"/>
                <w:sz w:val="20"/>
              </w:rPr>
              <w:t>6.35</w:t>
            </w:r>
          </w:p>
        </w:tc>
        <w:tc>
          <w:tcPr>
            <w:tcW w:w="131" w:type="dxa"/>
            <w:tcBorders>
              <w:top w:val="nil" w:sz="6" w:space="0" w:color="auto"/>
              <w:left w:val="nil" w:sz="6" w:space="0" w:color="auto"/>
              <w:bottom w:val="nil" w:sz="6" w:space="0" w:color="auto"/>
              <w:right w:val="nil" w:sz="6" w:space="0" w:color="auto"/>
            </w:tcBorders>
          </w:tcPr>
          <w:p>
            <w:pPr/>
          </w:p>
        </w:tc>
        <w:tc>
          <w:tcPr>
            <w:tcW w:w="2143"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47"/>
              <w:jc w:val="right"/>
              <w:rPr>
                <w:rFonts w:ascii="Arial" w:hAnsi="Arial" w:cs="Arial" w:eastAsia="Arial" w:hint="default"/>
                <w:sz w:val="20"/>
                <w:szCs w:val="20"/>
              </w:rPr>
            </w:pPr>
            <w:r>
              <w:rPr>
                <w:rFonts w:ascii="Arial"/>
                <w:sz w:val="20"/>
              </w:rPr>
              <w:t>17.62</w:t>
            </w:r>
          </w:p>
        </w:tc>
        <w:tc>
          <w:tcPr>
            <w:tcW w:w="12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nil" w:sz="6" w:space="0" w:color="auto"/>
              <w:right w:val="nil" w:sz="6" w:space="0" w:color="auto"/>
            </w:tcBorders>
          </w:tcPr>
          <w:p>
            <w:pPr>
              <w:pStyle w:val="TableParagraph"/>
              <w:tabs>
                <w:tab w:pos="609" w:val="left" w:leader="none"/>
                <w:tab w:pos="1721" w:val="left" w:leader="none"/>
              </w:tabs>
              <w:spacing w:line="240" w:lineRule="auto" w:before="23"/>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67,640,200</w:t>
              <w:tab/>
            </w:r>
            <w:r>
              <w:rPr>
                <w:rFonts w:ascii="Arial"/>
                <w:spacing w:val="-1"/>
                <w:sz w:val="20"/>
              </w:rPr>
            </w:r>
          </w:p>
        </w:tc>
        <w:tc>
          <w:tcPr>
            <w:tcW w:w="120"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nil" w:sz="6" w:space="0" w:color="auto"/>
              <w:right w:val="nil" w:sz="6" w:space="0" w:color="auto"/>
            </w:tcBorders>
          </w:tcPr>
          <w:p>
            <w:pPr>
              <w:pStyle w:val="TableParagraph"/>
              <w:tabs>
                <w:tab w:pos="411" w:val="left" w:leader="none"/>
                <w:tab w:pos="1547" w:val="left" w:leader="none"/>
              </w:tabs>
              <w:spacing w:line="240" w:lineRule="auto" w:before="23"/>
              <w:ind w:left="3" w:right="0"/>
              <w:jc w:val="lef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10,652,000</w:t>
              <w:tab/>
            </w:r>
            <w:r>
              <w:rPr>
                <w:rFonts w:ascii="Arial"/>
                <w:sz w:val="20"/>
              </w:rPr>
            </w:r>
          </w:p>
        </w:tc>
      </w:tr>
      <w:tr>
        <w:trPr>
          <w:trHeight w:val="409" w:hRule="exact"/>
        </w:trPr>
        <w:tc>
          <w:tcPr>
            <w:tcW w:w="1912" w:type="dxa"/>
            <w:tcBorders>
              <w:top w:val="nil" w:sz="6" w:space="0" w:color="auto"/>
              <w:left w:val="nil" w:sz="6" w:space="0" w:color="auto"/>
              <w:bottom w:val="nil" w:sz="6" w:space="0" w:color="auto"/>
              <w:right w:val="nil" w:sz="6" w:space="0" w:color="auto"/>
            </w:tcBorders>
          </w:tcPr>
          <w:p>
            <w:pPr>
              <w:pStyle w:val="TableParagraph"/>
              <w:spacing w:line="240" w:lineRule="auto" w:before="94"/>
              <w:ind w:left="84"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26" w:type="dxa"/>
            <w:tcBorders>
              <w:top w:val="nil" w:sz="6" w:space="0" w:color="auto"/>
              <w:left w:val="nil" w:sz="6" w:space="0" w:color="auto"/>
              <w:bottom w:val="nil" w:sz="6" w:space="0" w:color="auto"/>
              <w:right w:val="nil" w:sz="6" w:space="0" w:color="auto"/>
            </w:tcBorders>
          </w:tcPr>
          <w:p>
            <w:pPr/>
          </w:p>
        </w:tc>
        <w:tc>
          <w:tcPr>
            <w:tcW w:w="1532" w:type="dxa"/>
            <w:tcBorders>
              <w:top w:val="nil" w:sz="6" w:space="0" w:color="auto"/>
              <w:left w:val="nil" w:sz="6" w:space="0" w:color="auto"/>
              <w:bottom w:val="nil" w:sz="6" w:space="0" w:color="auto"/>
              <w:right w:val="nil" w:sz="6" w:space="0" w:color="auto"/>
            </w:tcBorders>
          </w:tcPr>
          <w:p>
            <w:pPr/>
          </w:p>
        </w:tc>
        <w:tc>
          <w:tcPr>
            <w:tcW w:w="131" w:type="dxa"/>
            <w:tcBorders>
              <w:top w:val="nil" w:sz="6" w:space="0" w:color="auto"/>
              <w:left w:val="nil" w:sz="6" w:space="0" w:color="auto"/>
              <w:bottom w:val="nil" w:sz="6" w:space="0" w:color="auto"/>
              <w:right w:val="nil" w:sz="6" w:space="0" w:color="auto"/>
            </w:tcBorders>
          </w:tcPr>
          <w:p>
            <w:pPr/>
          </w:p>
        </w:tc>
        <w:tc>
          <w:tcPr>
            <w:tcW w:w="2143" w:type="dxa"/>
            <w:tcBorders>
              <w:top w:val="nil" w:sz="6" w:space="0" w:color="auto"/>
              <w:left w:val="nil" w:sz="6" w:space="0" w:color="auto"/>
              <w:bottom w:val="nil" w:sz="6" w:space="0" w:color="auto"/>
              <w:right w:val="nil" w:sz="6" w:space="0" w:color="auto"/>
            </w:tcBorders>
          </w:tcPr>
          <w:p>
            <w:pPr/>
          </w:p>
        </w:tc>
        <w:tc>
          <w:tcPr>
            <w:tcW w:w="127" w:type="dxa"/>
            <w:tcBorders>
              <w:top w:val="nil" w:sz="6" w:space="0" w:color="auto"/>
              <w:left w:val="nil" w:sz="6" w:space="0" w:color="auto"/>
              <w:bottom w:val="nil" w:sz="6" w:space="0" w:color="auto"/>
              <w:right w:val="nil" w:sz="6" w:space="0" w:color="auto"/>
            </w:tcBorders>
          </w:tcPr>
          <w:p>
            <w:pPr/>
          </w:p>
        </w:tc>
        <w:tc>
          <w:tcPr>
            <w:tcW w:w="1733" w:type="dxa"/>
            <w:tcBorders>
              <w:top w:val="nil" w:sz="6" w:space="0" w:color="auto"/>
              <w:left w:val="nil" w:sz="6" w:space="0" w:color="auto"/>
              <w:bottom w:val="single" w:sz="17" w:space="0" w:color="000000"/>
              <w:right w:val="nil" w:sz="6" w:space="0" w:color="auto"/>
            </w:tcBorders>
          </w:tcPr>
          <w:p>
            <w:pPr>
              <w:pStyle w:val="TableParagraph"/>
              <w:spacing w:line="240" w:lineRule="auto" w:before="152"/>
              <w:ind w:right="113"/>
              <w:jc w:val="right"/>
              <w:rPr>
                <w:rFonts w:ascii="Arial" w:hAnsi="Arial" w:cs="Arial" w:eastAsia="Arial" w:hint="default"/>
                <w:sz w:val="20"/>
                <w:szCs w:val="20"/>
              </w:rPr>
            </w:pPr>
            <w:r>
              <w:rPr>
                <w:rFonts w:ascii="Arial"/>
                <w:spacing w:val="-1"/>
                <w:sz w:val="20"/>
              </w:rPr>
              <w:t>238,034,264</w:t>
            </w:r>
          </w:p>
        </w:tc>
        <w:tc>
          <w:tcPr>
            <w:tcW w:w="120" w:type="dxa"/>
            <w:tcBorders>
              <w:top w:val="nil" w:sz="6" w:space="0" w:color="auto"/>
              <w:left w:val="nil" w:sz="6" w:space="0" w:color="auto"/>
              <w:bottom w:val="nil" w:sz="6" w:space="0" w:color="auto"/>
              <w:right w:val="nil" w:sz="6" w:space="0" w:color="auto"/>
            </w:tcBorders>
          </w:tcPr>
          <w:p>
            <w:pPr/>
          </w:p>
        </w:tc>
        <w:tc>
          <w:tcPr>
            <w:tcW w:w="1555" w:type="dxa"/>
            <w:tcBorders>
              <w:top w:val="nil" w:sz="6" w:space="0" w:color="auto"/>
              <w:left w:val="nil" w:sz="6" w:space="0" w:color="auto"/>
              <w:bottom w:val="single" w:sz="17" w:space="0" w:color="000000"/>
              <w:right w:val="nil" w:sz="6" w:space="0" w:color="auto"/>
            </w:tcBorders>
          </w:tcPr>
          <w:p>
            <w:pPr>
              <w:pStyle w:val="TableParagraph"/>
              <w:spacing w:line="240" w:lineRule="auto" w:before="152"/>
              <w:ind w:left="412" w:right="0"/>
              <w:jc w:val="left"/>
              <w:rPr>
                <w:rFonts w:ascii="Arial" w:hAnsi="Arial" w:cs="Arial" w:eastAsia="Arial" w:hint="default"/>
                <w:sz w:val="20"/>
                <w:szCs w:val="20"/>
              </w:rPr>
            </w:pPr>
            <w:r>
              <w:rPr>
                <w:rFonts w:ascii="Arial"/>
                <w:sz w:val="20"/>
              </w:rPr>
              <w:t>31,246,000</w:t>
            </w:r>
          </w:p>
        </w:tc>
      </w:tr>
    </w:tbl>
    <w:p>
      <w:pPr>
        <w:spacing w:line="240" w:lineRule="auto" w:before="7"/>
        <w:rPr>
          <w:rFonts w:ascii="宋体" w:hAnsi="宋体" w:cs="宋体" w:eastAsia="宋体" w:hint="default"/>
          <w:sz w:val="12"/>
          <w:szCs w:val="12"/>
        </w:rPr>
      </w:pPr>
    </w:p>
    <w:p>
      <w:pPr>
        <w:pStyle w:val="BodyText"/>
        <w:spacing w:line="286" w:lineRule="exact" w:before="60"/>
        <w:ind w:left="581" w:right="356"/>
        <w:jc w:val="left"/>
      </w:pPr>
      <w:r>
        <w:rPr/>
        <w:t>于</w:t>
      </w:r>
      <w:r>
        <w:rPr>
          <w:rFonts w:ascii="Arial" w:hAnsi="Arial" w:cs="Arial" w:eastAsia="Arial" w:hint="default"/>
        </w:rPr>
        <w:t>2009</w:t>
      </w:r>
      <w:r>
        <w:rPr/>
        <w:t>年度，于授予期内摊销的以股份为基础的职工薪酬约人民币</w:t>
      </w:r>
      <w:r>
        <w:rPr>
          <w:rFonts w:ascii="Arial" w:hAnsi="Arial" w:cs="Arial" w:eastAsia="Arial" w:hint="default"/>
        </w:rPr>
        <w:t>0.27</w:t>
      </w:r>
      <w:r>
        <w:rPr/>
        <w:t>亿元（</w:t>
      </w:r>
      <w:r>
        <w:rPr>
          <w:rFonts w:ascii="Arial" w:hAnsi="Arial" w:cs="Arial" w:eastAsia="Arial" w:hint="default"/>
        </w:rPr>
        <w:t>2008</w:t>
      </w:r>
      <w:r>
        <w:rPr/>
        <w:t>年度持续经</w:t>
      </w:r>
      <w:r>
        <w:rPr>
          <w:w w:val="99"/>
        </w:rPr>
        <w:t> </w:t>
      </w:r>
      <w:r>
        <w:rPr/>
        <w:t>营业务：约人民币</w:t>
      </w:r>
      <w:r>
        <w:rPr>
          <w:rFonts w:ascii="Arial" w:hAnsi="Arial" w:cs="Arial" w:eastAsia="Arial" w:hint="default"/>
        </w:rPr>
        <w:t>0.84</w:t>
      </w:r>
      <w:r>
        <w:rPr/>
        <w:t>亿元）。</w:t>
      </w:r>
    </w:p>
    <w:p>
      <w:pPr>
        <w:spacing w:line="240" w:lineRule="auto" w:before="1"/>
        <w:rPr>
          <w:rFonts w:ascii="宋体" w:hAnsi="宋体" w:cs="宋体" w:eastAsia="宋体" w:hint="default"/>
          <w:sz w:val="17"/>
          <w:szCs w:val="17"/>
        </w:rPr>
      </w:pPr>
    </w:p>
    <w:p>
      <w:pPr>
        <w:pStyle w:val="BodyText"/>
        <w:spacing w:line="240" w:lineRule="auto"/>
        <w:ind w:left="122" w:right="0"/>
        <w:jc w:val="left"/>
        <w:rPr>
          <w:rFonts w:ascii="黑体" w:hAnsi="黑体" w:cs="黑体" w:eastAsia="黑体" w:hint="default"/>
        </w:rPr>
      </w:pPr>
      <w:r>
        <w:rPr>
          <w:rFonts w:ascii="Arial" w:hAnsi="Arial" w:cs="Arial" w:eastAsia="Arial" w:hint="default"/>
        </w:rPr>
        <w:t>47</w:t>
      </w:r>
      <w:r>
        <w:rPr>
          <w:rFonts w:ascii="黑体" w:hAnsi="黑体" w:cs="黑体" w:eastAsia="黑体" w:hint="default"/>
        </w:rPr>
        <w:t>、每股收益</w:t>
      </w:r>
    </w:p>
    <w:p>
      <w:pPr>
        <w:spacing w:line="240" w:lineRule="auto" w:before="13"/>
        <w:rPr>
          <w:rFonts w:ascii="黑体" w:hAnsi="黑体" w:cs="黑体" w:eastAsia="黑体" w:hint="default"/>
          <w:sz w:val="17"/>
          <w:szCs w:val="17"/>
        </w:rPr>
      </w:pPr>
    </w:p>
    <w:p>
      <w:pPr>
        <w:pStyle w:val="BodyText"/>
        <w:spacing w:line="240" w:lineRule="auto"/>
        <w:ind w:left="108" w:right="0"/>
        <w:jc w:val="left"/>
      </w:pPr>
      <w:r>
        <w:rPr>
          <w:rFonts w:ascii="Arial" w:hAnsi="Arial" w:cs="Arial" w:eastAsia="Arial" w:hint="default"/>
        </w:rPr>
        <w:t>(1)  </w:t>
      </w:r>
      <w:r>
        <w:rPr>
          <w:rFonts w:ascii="Arial" w:hAnsi="Arial" w:cs="Arial" w:eastAsia="Arial" w:hint="default"/>
          <w:spacing w:val="9"/>
        </w:rPr>
        <w:t> </w:t>
      </w:r>
      <w:r>
        <w:rPr/>
        <w:t>基本每股收益</w:t>
      </w:r>
    </w:p>
    <w:p>
      <w:pPr>
        <w:spacing w:line="240" w:lineRule="auto" w:before="0"/>
        <w:rPr>
          <w:rFonts w:ascii="宋体" w:hAnsi="宋体" w:cs="宋体" w:eastAsia="宋体" w:hint="default"/>
          <w:sz w:val="20"/>
          <w:szCs w:val="20"/>
        </w:rPr>
      </w:pPr>
    </w:p>
    <w:p>
      <w:pPr>
        <w:pStyle w:val="BodyText"/>
        <w:spacing w:line="286" w:lineRule="exact"/>
        <w:ind w:left="570" w:right="0"/>
        <w:jc w:val="left"/>
      </w:pPr>
      <w:r>
        <w:rPr>
          <w:spacing w:val="2"/>
        </w:rPr>
        <w:t>基本每股收益以归属于母公司普通股股东的合并净利润除以母公司发行在外普通股的加权平均</w:t>
      </w:r>
      <w:r>
        <w:rPr>
          <w:spacing w:val="-96"/>
        </w:rPr>
        <w:t> </w:t>
      </w:r>
      <w:r>
        <w:rPr>
          <w:spacing w:val="-96"/>
        </w:rPr>
      </w:r>
      <w:r>
        <w:rPr/>
        <w:t>数计算：</w:t>
      </w:r>
    </w:p>
    <w:p>
      <w:pPr>
        <w:spacing w:line="240" w:lineRule="auto" w:before="10"/>
        <w:rPr>
          <w:rFonts w:ascii="宋体" w:hAnsi="宋体" w:cs="宋体" w:eastAsia="宋体" w:hint="default"/>
          <w:sz w:val="14"/>
          <w:szCs w:val="14"/>
        </w:rPr>
      </w:pPr>
    </w:p>
    <w:tbl>
      <w:tblPr>
        <w:tblW w:w="0" w:type="auto"/>
        <w:jc w:val="left"/>
        <w:tblInd w:w="620" w:type="dxa"/>
        <w:tblLayout w:type="fixed"/>
        <w:tblCellMar>
          <w:top w:w="0" w:type="dxa"/>
          <w:left w:w="0" w:type="dxa"/>
          <w:bottom w:w="0" w:type="dxa"/>
          <w:right w:w="0" w:type="dxa"/>
        </w:tblCellMar>
        <w:tblLook w:val="01E0"/>
      </w:tblPr>
      <w:tblGrid>
        <w:gridCol w:w="4531"/>
        <w:gridCol w:w="2230"/>
        <w:gridCol w:w="2218"/>
      </w:tblGrid>
      <w:tr>
        <w:trPr>
          <w:trHeight w:val="360" w:hRule="exact"/>
        </w:trPr>
        <w:tc>
          <w:tcPr>
            <w:tcW w:w="4531" w:type="dxa"/>
            <w:vMerge w:val="restart"/>
            <w:tcBorders>
              <w:top w:val="nil" w:sz="6" w:space="0" w:color="auto"/>
              <w:left w:val="nil" w:sz="6" w:space="0" w:color="auto"/>
              <w:right w:val="nil" w:sz="6" w:space="0" w:color="auto"/>
            </w:tcBorders>
          </w:tcPr>
          <w:p>
            <w:pPr/>
          </w:p>
        </w:tc>
        <w:tc>
          <w:tcPr>
            <w:tcW w:w="2230"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75"/>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2218"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54"/>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322" w:hRule="exact"/>
        </w:trPr>
        <w:tc>
          <w:tcPr>
            <w:tcW w:w="4531" w:type="dxa"/>
            <w:vMerge/>
            <w:tcBorders>
              <w:left w:val="nil" w:sz="6" w:space="0" w:color="auto"/>
              <w:bottom w:val="nil" w:sz="6" w:space="0" w:color="auto"/>
              <w:right w:val="nil" w:sz="6" w:space="0" w:color="auto"/>
            </w:tcBorders>
          </w:tcPr>
          <w:p>
            <w:pPr/>
          </w:p>
        </w:tc>
        <w:tc>
          <w:tcPr>
            <w:tcW w:w="2230" w:type="dxa"/>
            <w:tcBorders>
              <w:top w:val="single" w:sz="6" w:space="0" w:color="000000"/>
              <w:left w:val="nil" w:sz="6" w:space="0" w:color="auto"/>
              <w:bottom w:val="nil" w:sz="6" w:space="0" w:color="auto"/>
              <w:right w:val="nil" w:sz="6" w:space="0" w:color="auto"/>
            </w:tcBorders>
          </w:tcPr>
          <w:p>
            <w:pPr/>
          </w:p>
        </w:tc>
        <w:tc>
          <w:tcPr>
            <w:tcW w:w="2218" w:type="dxa"/>
            <w:tcBorders>
              <w:top w:val="single" w:sz="6" w:space="0" w:color="000000"/>
              <w:left w:val="nil" w:sz="6" w:space="0" w:color="auto"/>
              <w:bottom w:val="nil" w:sz="6" w:space="0" w:color="auto"/>
              <w:right w:val="nil" w:sz="6" w:space="0" w:color="auto"/>
            </w:tcBorders>
          </w:tcPr>
          <w:p>
            <w:pPr>
              <w:pStyle w:val="TableParagraph"/>
              <w:spacing w:line="252" w:lineRule="exact"/>
              <w:ind w:right="55"/>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322" w:hRule="exact"/>
        </w:trPr>
        <w:tc>
          <w:tcPr>
            <w:tcW w:w="4531" w:type="dxa"/>
            <w:tcBorders>
              <w:top w:val="nil" w:sz="6" w:space="0" w:color="auto"/>
              <w:left w:val="nil" w:sz="6" w:space="0" w:color="auto"/>
              <w:bottom w:val="nil" w:sz="6" w:space="0" w:color="auto"/>
              <w:right w:val="nil" w:sz="6" w:space="0" w:color="auto"/>
            </w:tcBorders>
          </w:tcPr>
          <w:p>
            <w:pPr>
              <w:pStyle w:val="TableParagraph"/>
              <w:spacing w:line="282" w:lineRule="exact"/>
              <w:ind w:left="35" w:right="0"/>
              <w:jc w:val="left"/>
              <w:rPr>
                <w:rFonts w:ascii="宋体" w:hAnsi="宋体" w:cs="宋体" w:eastAsia="宋体" w:hint="default"/>
                <w:sz w:val="22"/>
                <w:szCs w:val="22"/>
              </w:rPr>
            </w:pPr>
            <w:r>
              <w:rPr>
                <w:rFonts w:ascii="宋体" w:hAnsi="宋体" w:cs="宋体" w:eastAsia="宋体" w:hint="default"/>
                <w:sz w:val="22"/>
                <w:szCs w:val="22"/>
              </w:rPr>
              <w:t>归属于母公司普通股股东的合并净利润</w:t>
            </w:r>
          </w:p>
        </w:tc>
        <w:tc>
          <w:tcPr>
            <w:tcW w:w="2230" w:type="dxa"/>
            <w:tcBorders>
              <w:top w:val="nil" w:sz="6" w:space="0" w:color="auto"/>
              <w:left w:val="nil" w:sz="6" w:space="0" w:color="auto"/>
              <w:bottom w:val="single" w:sz="6" w:space="0" w:color="000000"/>
              <w:right w:val="nil" w:sz="6" w:space="0" w:color="auto"/>
            </w:tcBorders>
          </w:tcPr>
          <w:p>
            <w:pPr>
              <w:pStyle w:val="TableParagraph"/>
              <w:spacing w:line="240" w:lineRule="auto" w:before="60"/>
              <w:ind w:right="115"/>
              <w:jc w:val="right"/>
              <w:rPr>
                <w:rFonts w:ascii="Arial" w:hAnsi="Arial" w:cs="Arial" w:eastAsia="Arial" w:hint="default"/>
                <w:sz w:val="22"/>
                <w:szCs w:val="22"/>
              </w:rPr>
            </w:pPr>
            <w:r>
              <w:rPr>
                <w:rFonts w:ascii="Arial"/>
                <w:spacing w:val="-1"/>
                <w:sz w:val="22"/>
              </w:rPr>
              <w:t>3,137,024,492</w:t>
            </w:r>
          </w:p>
        </w:tc>
        <w:tc>
          <w:tcPr>
            <w:tcW w:w="2218" w:type="dxa"/>
            <w:tcBorders>
              <w:top w:val="nil" w:sz="6" w:space="0" w:color="auto"/>
              <w:left w:val="nil" w:sz="6" w:space="0" w:color="auto"/>
              <w:bottom w:val="single" w:sz="6" w:space="0" w:color="000000"/>
              <w:right w:val="nil" w:sz="6" w:space="0" w:color="auto"/>
            </w:tcBorders>
          </w:tcPr>
          <w:p>
            <w:pPr>
              <w:pStyle w:val="TableParagraph"/>
              <w:spacing w:line="240" w:lineRule="auto" w:before="60"/>
              <w:ind w:right="82"/>
              <w:jc w:val="right"/>
              <w:rPr>
                <w:rFonts w:ascii="Arial" w:hAnsi="Arial" w:cs="Arial" w:eastAsia="Arial" w:hint="default"/>
                <w:sz w:val="22"/>
                <w:szCs w:val="22"/>
              </w:rPr>
            </w:pPr>
            <w:r>
              <w:rPr>
                <w:rFonts w:ascii="Arial"/>
                <w:spacing w:val="-1"/>
                <w:sz w:val="22"/>
              </w:rPr>
              <w:t>20,235,902,556</w:t>
            </w:r>
          </w:p>
        </w:tc>
      </w:tr>
      <w:tr>
        <w:trPr>
          <w:trHeight w:val="387" w:hRule="exact"/>
        </w:trPr>
        <w:tc>
          <w:tcPr>
            <w:tcW w:w="4531" w:type="dxa"/>
            <w:tcBorders>
              <w:top w:val="nil" w:sz="6" w:space="0" w:color="auto"/>
              <w:left w:val="nil" w:sz="6" w:space="0" w:color="auto"/>
              <w:bottom w:val="nil" w:sz="6" w:space="0" w:color="auto"/>
              <w:right w:val="single" w:sz="6" w:space="0" w:color="000000"/>
            </w:tcBorders>
          </w:tcPr>
          <w:p>
            <w:pPr>
              <w:pStyle w:val="TableParagraph"/>
              <w:spacing w:line="240" w:lineRule="auto" w:before="29"/>
              <w:ind w:left="35" w:right="0"/>
              <w:jc w:val="left"/>
              <w:rPr>
                <w:rFonts w:ascii="宋体" w:hAnsi="宋体" w:cs="宋体" w:eastAsia="宋体" w:hint="default"/>
                <w:sz w:val="22"/>
                <w:szCs w:val="22"/>
              </w:rPr>
            </w:pPr>
            <w:r>
              <w:rPr>
                <w:rFonts w:ascii="宋体" w:hAnsi="宋体" w:cs="宋体" w:eastAsia="宋体" w:hint="default"/>
                <w:sz w:val="22"/>
                <w:szCs w:val="22"/>
              </w:rPr>
              <w:t>—持续经营业务</w:t>
            </w:r>
          </w:p>
        </w:tc>
        <w:tc>
          <w:tcPr>
            <w:tcW w:w="2230" w:type="dxa"/>
            <w:tcBorders>
              <w:top w:val="single" w:sz="6" w:space="0" w:color="000000"/>
              <w:left w:val="single" w:sz="6" w:space="0" w:color="000000"/>
              <w:bottom w:val="nil" w:sz="6" w:space="0" w:color="auto"/>
              <w:right w:val="single" w:sz="23" w:space="0" w:color="000000"/>
            </w:tcBorders>
          </w:tcPr>
          <w:p>
            <w:pPr>
              <w:pStyle w:val="TableParagraph"/>
              <w:spacing w:line="240" w:lineRule="auto" w:before="88"/>
              <w:ind w:right="79"/>
              <w:jc w:val="right"/>
              <w:rPr>
                <w:rFonts w:ascii="Arial" w:hAnsi="Arial" w:cs="Arial" w:eastAsia="Arial" w:hint="default"/>
                <w:sz w:val="22"/>
                <w:szCs w:val="22"/>
              </w:rPr>
            </w:pPr>
            <w:r>
              <w:rPr>
                <w:rFonts w:ascii="Arial"/>
                <w:spacing w:val="-1"/>
                <w:sz w:val="22"/>
              </w:rPr>
              <w:t>3,137,024,492</w:t>
            </w:r>
          </w:p>
        </w:tc>
        <w:tc>
          <w:tcPr>
            <w:tcW w:w="2218" w:type="dxa"/>
            <w:tcBorders>
              <w:top w:val="single" w:sz="6" w:space="0" w:color="000000"/>
              <w:left w:val="single" w:sz="23" w:space="0" w:color="000000"/>
              <w:bottom w:val="nil" w:sz="6" w:space="0" w:color="auto"/>
              <w:right w:val="single" w:sz="6" w:space="0" w:color="000000"/>
            </w:tcBorders>
          </w:tcPr>
          <w:p>
            <w:pPr>
              <w:pStyle w:val="TableParagraph"/>
              <w:spacing w:line="240" w:lineRule="auto" w:before="88"/>
              <w:ind w:right="67"/>
              <w:jc w:val="right"/>
              <w:rPr>
                <w:rFonts w:ascii="Arial" w:hAnsi="Arial" w:cs="Arial" w:eastAsia="Arial" w:hint="default"/>
                <w:sz w:val="22"/>
                <w:szCs w:val="22"/>
              </w:rPr>
            </w:pPr>
            <w:r>
              <w:rPr>
                <w:rFonts w:ascii="Arial"/>
                <w:spacing w:val="-1"/>
                <w:sz w:val="22"/>
              </w:rPr>
              <w:t>3,908,266,437</w:t>
            </w:r>
          </w:p>
        </w:tc>
      </w:tr>
      <w:tr>
        <w:trPr>
          <w:trHeight w:val="303" w:hRule="exact"/>
        </w:trPr>
        <w:tc>
          <w:tcPr>
            <w:tcW w:w="4531" w:type="dxa"/>
            <w:tcBorders>
              <w:top w:val="nil" w:sz="6" w:space="0" w:color="auto"/>
              <w:left w:val="nil" w:sz="6" w:space="0" w:color="auto"/>
              <w:bottom w:val="nil" w:sz="6" w:space="0" w:color="auto"/>
              <w:right w:val="single" w:sz="6" w:space="0" w:color="000000"/>
            </w:tcBorders>
          </w:tcPr>
          <w:p>
            <w:pPr>
              <w:pStyle w:val="TableParagraph"/>
              <w:spacing w:line="263" w:lineRule="exact"/>
              <w:ind w:left="35" w:right="0"/>
              <w:jc w:val="left"/>
              <w:rPr>
                <w:rFonts w:ascii="宋体" w:hAnsi="宋体" w:cs="宋体" w:eastAsia="宋体" w:hint="default"/>
                <w:sz w:val="22"/>
                <w:szCs w:val="22"/>
              </w:rPr>
            </w:pPr>
            <w:r>
              <w:rPr>
                <w:rFonts w:ascii="宋体" w:hAnsi="宋体" w:cs="宋体" w:eastAsia="宋体" w:hint="default"/>
                <w:sz w:val="22"/>
                <w:szCs w:val="22"/>
              </w:rPr>
              <w:t>—终止经营业务</w:t>
            </w:r>
          </w:p>
        </w:tc>
        <w:tc>
          <w:tcPr>
            <w:tcW w:w="2230" w:type="dxa"/>
            <w:tcBorders>
              <w:top w:val="nil" w:sz="6" w:space="0" w:color="auto"/>
              <w:left w:val="single" w:sz="6" w:space="0" w:color="000000"/>
              <w:bottom w:val="single" w:sz="6" w:space="0" w:color="000000"/>
              <w:right w:val="single" w:sz="23" w:space="0" w:color="000000"/>
            </w:tcBorders>
          </w:tcPr>
          <w:p>
            <w:pPr>
              <w:pStyle w:val="TableParagraph"/>
              <w:spacing w:line="240" w:lineRule="auto" w:before="41"/>
              <w:ind w:right="79"/>
              <w:jc w:val="right"/>
              <w:rPr>
                <w:rFonts w:ascii="Arial" w:hAnsi="Arial" w:cs="Arial" w:eastAsia="Arial" w:hint="default"/>
                <w:sz w:val="22"/>
                <w:szCs w:val="22"/>
              </w:rPr>
            </w:pPr>
            <w:r>
              <w:rPr>
                <w:rFonts w:ascii="Arial"/>
                <w:w w:val="99"/>
                <w:sz w:val="22"/>
              </w:rPr>
              <w:t>-</w:t>
            </w:r>
            <w:r>
              <w:rPr>
                <w:rFonts w:ascii="Arial"/>
                <w:sz w:val="22"/>
              </w:rPr>
            </w:r>
          </w:p>
        </w:tc>
        <w:tc>
          <w:tcPr>
            <w:tcW w:w="2218" w:type="dxa"/>
            <w:tcBorders>
              <w:top w:val="nil" w:sz="6" w:space="0" w:color="auto"/>
              <w:left w:val="single" w:sz="23" w:space="0" w:color="000000"/>
              <w:bottom w:val="single" w:sz="6" w:space="0" w:color="000000"/>
              <w:right w:val="single" w:sz="6" w:space="0" w:color="000000"/>
            </w:tcBorders>
          </w:tcPr>
          <w:p>
            <w:pPr>
              <w:pStyle w:val="TableParagraph"/>
              <w:spacing w:line="240" w:lineRule="auto" w:before="41"/>
              <w:ind w:right="67"/>
              <w:jc w:val="right"/>
              <w:rPr>
                <w:rFonts w:ascii="Arial" w:hAnsi="Arial" w:cs="Arial" w:eastAsia="Arial" w:hint="default"/>
                <w:sz w:val="22"/>
                <w:szCs w:val="22"/>
              </w:rPr>
            </w:pPr>
            <w:r>
              <w:rPr>
                <w:rFonts w:ascii="Arial"/>
                <w:spacing w:val="-1"/>
                <w:sz w:val="22"/>
              </w:rPr>
              <w:t>16,327,636,119</w:t>
            </w:r>
          </w:p>
        </w:tc>
      </w:tr>
      <w:tr>
        <w:trPr>
          <w:trHeight w:val="761" w:hRule="exact"/>
        </w:trPr>
        <w:tc>
          <w:tcPr>
            <w:tcW w:w="453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本公司发行在外普通股的加权平均数</w:t>
            </w:r>
          </w:p>
        </w:tc>
        <w:tc>
          <w:tcPr>
            <w:tcW w:w="444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tabs>
                <w:tab w:pos="584" w:val="left" w:leader="none"/>
                <w:tab w:pos="2835" w:val="left" w:leader="none"/>
                <w:tab w:pos="4441" w:val="left" w:leader="none"/>
              </w:tabs>
              <w:spacing w:line="240" w:lineRule="auto"/>
              <w:ind w:left="-8"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spacing w:val="-1"/>
                <w:sz w:val="22"/>
                <w:u w:val="single" w:color="000000"/>
              </w:rPr>
              <w:t>21,196,596,395</w:t>
              <w:tab/>
              <w:t>21,196,596,395</w:t>
              <w:tab/>
            </w:r>
            <w:r>
              <w:rPr>
                <w:rFonts w:ascii="Arial"/>
                <w:spacing w:val="-1"/>
                <w:sz w:val="22"/>
              </w:rPr>
            </w:r>
          </w:p>
        </w:tc>
      </w:tr>
      <w:tr>
        <w:trPr>
          <w:trHeight w:val="458" w:hRule="exact"/>
        </w:trPr>
        <w:tc>
          <w:tcPr>
            <w:tcW w:w="4531"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22"/>
                <w:szCs w:val="22"/>
              </w:rPr>
            </w:pPr>
            <w:r>
              <w:rPr>
                <w:rFonts w:ascii="宋体" w:hAnsi="宋体" w:cs="宋体" w:eastAsia="宋体" w:hint="default"/>
                <w:sz w:val="22"/>
                <w:szCs w:val="22"/>
              </w:rPr>
              <w:t>基本每股收益</w:t>
            </w:r>
          </w:p>
        </w:tc>
        <w:tc>
          <w:tcPr>
            <w:tcW w:w="4448" w:type="dxa"/>
            <w:gridSpan w:val="2"/>
            <w:tcBorders>
              <w:top w:val="nil" w:sz="6" w:space="0" w:color="auto"/>
              <w:left w:val="nil" w:sz="6" w:space="0" w:color="auto"/>
              <w:bottom w:val="nil" w:sz="6" w:space="0" w:color="auto"/>
              <w:right w:val="nil" w:sz="6" w:space="0" w:color="auto"/>
            </w:tcBorders>
          </w:tcPr>
          <w:p>
            <w:pPr>
              <w:pStyle w:val="TableParagraph"/>
              <w:tabs>
                <w:tab w:pos="1441" w:val="left" w:leader="none"/>
                <w:tab w:pos="3692" w:val="left" w:leader="none"/>
                <w:tab w:pos="4455" w:val="left" w:leader="none"/>
              </w:tabs>
              <w:spacing w:line="240" w:lineRule="auto" w:before="173"/>
              <w:ind w:left="-8" w:right="-8"/>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0.1480</w:t>
              <w:tab/>
            </w:r>
            <w:r>
              <w:rPr>
                <w:rFonts w:ascii="Arial"/>
                <w:sz w:val="22"/>
                <w:u w:val="single" w:color="000000"/>
              </w:rPr>
              <w:t>0.9547</w:t>
              <w:tab/>
            </w:r>
            <w:r>
              <w:rPr>
                <w:rFonts w:ascii="Arial"/>
                <w:sz w:val="22"/>
              </w:rPr>
            </w:r>
          </w:p>
        </w:tc>
      </w:tr>
      <w:tr>
        <w:trPr>
          <w:trHeight w:val="381" w:hRule="exact"/>
        </w:trPr>
        <w:tc>
          <w:tcPr>
            <w:tcW w:w="4531" w:type="dxa"/>
            <w:tcBorders>
              <w:top w:val="nil" w:sz="6" w:space="0" w:color="auto"/>
              <w:left w:val="nil" w:sz="6" w:space="0" w:color="auto"/>
              <w:bottom w:val="nil" w:sz="6" w:space="0" w:color="auto"/>
              <w:right w:val="single" w:sz="6" w:space="0" w:color="000000"/>
            </w:tcBorders>
          </w:tcPr>
          <w:p>
            <w:pPr>
              <w:pStyle w:val="TableParagraph"/>
              <w:spacing w:line="240" w:lineRule="auto" w:before="25"/>
              <w:ind w:left="35" w:right="0"/>
              <w:jc w:val="left"/>
              <w:rPr>
                <w:rFonts w:ascii="宋体" w:hAnsi="宋体" w:cs="宋体" w:eastAsia="宋体" w:hint="default"/>
                <w:sz w:val="22"/>
                <w:szCs w:val="22"/>
              </w:rPr>
            </w:pPr>
            <w:r>
              <w:rPr>
                <w:rFonts w:ascii="宋体" w:hAnsi="宋体" w:cs="宋体" w:eastAsia="宋体" w:hint="default"/>
                <w:sz w:val="22"/>
                <w:szCs w:val="22"/>
              </w:rPr>
              <w:t>—持续经营业务</w:t>
            </w:r>
          </w:p>
        </w:tc>
        <w:tc>
          <w:tcPr>
            <w:tcW w:w="4448" w:type="dxa"/>
            <w:gridSpan w:val="2"/>
            <w:tcBorders>
              <w:top w:val="nil" w:sz="6" w:space="0" w:color="auto"/>
              <w:left w:val="single" w:sz="6" w:space="0" w:color="000000"/>
              <w:bottom w:val="nil" w:sz="6" w:space="0" w:color="auto"/>
              <w:right w:val="single" w:sz="6" w:space="0" w:color="000000"/>
            </w:tcBorders>
          </w:tcPr>
          <w:p>
            <w:pPr>
              <w:pStyle w:val="TableParagraph"/>
              <w:tabs>
                <w:tab w:pos="3692" w:val="left" w:leader="none"/>
              </w:tabs>
              <w:spacing w:line="240" w:lineRule="auto" w:before="91"/>
              <w:ind w:left="1441" w:right="0"/>
              <w:jc w:val="left"/>
              <w:rPr>
                <w:rFonts w:ascii="Arial" w:hAnsi="Arial" w:cs="Arial" w:eastAsia="Arial" w:hint="default"/>
                <w:sz w:val="22"/>
                <w:szCs w:val="22"/>
              </w:rPr>
            </w:pPr>
            <w:r>
              <w:rPr>
                <w:rFonts w:ascii="Arial"/>
                <w:w w:val="95"/>
                <w:sz w:val="22"/>
              </w:rPr>
              <w:t>0.1480</w:t>
              <w:tab/>
            </w:r>
            <w:r>
              <w:rPr>
                <w:rFonts w:ascii="Arial"/>
                <w:sz w:val="22"/>
              </w:rPr>
              <w:t>0.1844</w:t>
            </w:r>
          </w:p>
        </w:tc>
      </w:tr>
      <w:tr>
        <w:trPr>
          <w:trHeight w:val="303" w:hRule="exact"/>
        </w:trPr>
        <w:tc>
          <w:tcPr>
            <w:tcW w:w="4531" w:type="dxa"/>
            <w:tcBorders>
              <w:top w:val="nil" w:sz="6" w:space="0" w:color="auto"/>
              <w:left w:val="nil" w:sz="6" w:space="0" w:color="auto"/>
              <w:bottom w:val="nil" w:sz="6" w:space="0" w:color="auto"/>
              <w:right w:val="single" w:sz="6" w:space="0" w:color="000000"/>
            </w:tcBorders>
          </w:tcPr>
          <w:p>
            <w:pPr>
              <w:pStyle w:val="TableParagraph"/>
              <w:spacing w:line="261" w:lineRule="exact"/>
              <w:ind w:left="35" w:right="0"/>
              <w:jc w:val="left"/>
              <w:rPr>
                <w:rFonts w:ascii="宋体" w:hAnsi="宋体" w:cs="宋体" w:eastAsia="宋体" w:hint="default"/>
                <w:sz w:val="22"/>
                <w:szCs w:val="22"/>
              </w:rPr>
            </w:pPr>
            <w:r>
              <w:rPr>
                <w:rFonts w:ascii="宋体" w:hAnsi="宋体" w:cs="宋体" w:eastAsia="宋体" w:hint="default"/>
                <w:sz w:val="22"/>
                <w:szCs w:val="22"/>
              </w:rPr>
              <w:t>—终止经营业务</w:t>
            </w:r>
          </w:p>
        </w:tc>
        <w:tc>
          <w:tcPr>
            <w:tcW w:w="4448" w:type="dxa"/>
            <w:gridSpan w:val="2"/>
            <w:tcBorders>
              <w:top w:val="nil" w:sz="6" w:space="0" w:color="auto"/>
              <w:left w:val="single" w:sz="6" w:space="0" w:color="000000"/>
              <w:bottom w:val="single" w:sz="6" w:space="0" w:color="000000"/>
              <w:right w:val="single" w:sz="6" w:space="0" w:color="000000"/>
            </w:tcBorders>
          </w:tcPr>
          <w:p>
            <w:pPr>
              <w:pStyle w:val="TableParagraph"/>
              <w:tabs>
                <w:tab w:pos="3692" w:val="left" w:leader="none"/>
              </w:tabs>
              <w:spacing w:line="240" w:lineRule="auto" w:before="39"/>
              <w:ind w:left="2040" w:right="0"/>
              <w:jc w:val="left"/>
              <w:rPr>
                <w:rFonts w:ascii="Arial" w:hAnsi="Arial" w:cs="Arial" w:eastAsia="Arial" w:hint="default"/>
                <w:sz w:val="22"/>
                <w:szCs w:val="22"/>
              </w:rPr>
            </w:pPr>
            <w:r>
              <w:rPr>
                <w:rFonts w:ascii="Arial"/>
                <w:w w:val="95"/>
                <w:sz w:val="22"/>
              </w:rPr>
              <w:t>-</w:t>
              <w:tab/>
            </w:r>
            <w:r>
              <w:rPr>
                <w:rFonts w:ascii="Arial"/>
                <w:sz w:val="22"/>
              </w:rPr>
              <w:t>0.7703</w:t>
            </w:r>
          </w:p>
        </w:tc>
      </w:tr>
    </w:tbl>
    <w:p>
      <w:pPr>
        <w:spacing w:after="0" w:line="240" w:lineRule="auto"/>
        <w:jc w:val="left"/>
        <w:rPr>
          <w:rFonts w:ascii="Arial" w:hAnsi="Arial" w:cs="Arial" w:eastAsia="Arial" w:hint="default"/>
          <w:sz w:val="22"/>
          <w:szCs w:val="22"/>
        </w:rPr>
        <w:sectPr>
          <w:pgSz w:w="11910" w:h="16840"/>
          <w:pgMar w:header="1189" w:footer="752" w:top="3580" w:bottom="940" w:left="1260" w:right="580"/>
        </w:sectPr>
      </w:pPr>
    </w:p>
    <w:p>
      <w:pPr>
        <w:spacing w:line="240" w:lineRule="auto" w:before="12"/>
        <w:rPr>
          <w:rFonts w:ascii="宋体" w:hAnsi="宋体" w:cs="宋体" w:eastAsia="宋体" w:hint="default"/>
          <w:sz w:val="14"/>
          <w:szCs w:val="14"/>
        </w:rPr>
      </w:pPr>
    </w:p>
    <w:p>
      <w:pPr>
        <w:pStyle w:val="BodyText"/>
        <w:spacing w:line="427" w:lineRule="auto" w:before="31"/>
        <w:ind w:left="108" w:right="7677" w:firstLine="14"/>
        <w:jc w:val="left"/>
      </w:pPr>
      <w:r>
        <w:rPr>
          <w:rFonts w:ascii="Arial" w:hAnsi="Arial" w:cs="Arial" w:eastAsia="Arial" w:hint="default"/>
        </w:rPr>
        <w:t>47</w:t>
      </w:r>
      <w:r>
        <w:rPr>
          <w:rFonts w:ascii="黑体" w:hAnsi="黑体" w:cs="黑体" w:eastAsia="黑体" w:hint="default"/>
        </w:rPr>
        <w:t>、每股收益（续）</w:t>
      </w:r>
      <w:r>
        <w:rPr>
          <w:rFonts w:ascii="黑体" w:hAnsi="黑体" w:cs="黑体" w:eastAsia="黑体" w:hint="default"/>
          <w:w w:val="99"/>
        </w:rPr>
        <w:t> </w:t>
      </w:r>
      <w:r>
        <w:rPr>
          <w:rFonts w:ascii="Arial" w:hAnsi="Arial" w:cs="Arial" w:eastAsia="Arial" w:hint="default"/>
        </w:rPr>
        <w:t>(2)  </w:t>
      </w:r>
      <w:r>
        <w:rPr>
          <w:rFonts w:ascii="Arial" w:hAnsi="Arial" w:cs="Arial" w:eastAsia="Arial" w:hint="default"/>
          <w:spacing w:val="9"/>
        </w:rPr>
        <w:t> </w:t>
      </w:r>
      <w:r>
        <w:rPr/>
        <w:t>稀释每股收益</w:t>
      </w:r>
    </w:p>
    <w:p>
      <w:pPr>
        <w:pStyle w:val="BodyText"/>
        <w:spacing w:line="232" w:lineRule="auto" w:before="50"/>
        <w:ind w:left="570" w:right="112"/>
        <w:jc w:val="both"/>
      </w:pPr>
      <w:r>
        <w:rPr>
          <w:spacing w:val="2"/>
        </w:rPr>
        <w:t>稀释每股收益以根据稀释性潜在普通股调整后的归属于母公司普通股股东的合并净利润除以调</w:t>
      </w:r>
      <w:r>
        <w:rPr>
          <w:spacing w:val="-96"/>
        </w:rPr>
        <w:t> </w:t>
      </w:r>
      <w:r>
        <w:rPr>
          <w:spacing w:val="-96"/>
        </w:rPr>
      </w:r>
      <w:r>
        <w:rPr/>
        <w:t>整后的本公司发行在外普通股的加权平均数计算。于</w:t>
      </w:r>
      <w:r>
        <w:rPr>
          <w:spacing w:val="-51"/>
        </w:rPr>
        <w:t> </w:t>
      </w:r>
      <w:r>
        <w:rPr>
          <w:rFonts w:ascii="Arial" w:hAnsi="Arial" w:cs="Arial" w:eastAsia="Arial" w:hint="default"/>
        </w:rPr>
        <w:t>2009</w:t>
      </w:r>
      <w:r>
        <w:rPr>
          <w:rFonts w:ascii="Arial" w:hAnsi="Arial" w:cs="Arial" w:eastAsia="Arial" w:hint="default"/>
          <w:spacing w:val="-2"/>
        </w:rPr>
        <w:t> </w:t>
      </w:r>
      <w:r>
        <w:rPr/>
        <w:t>年度和</w:t>
      </w:r>
      <w:r>
        <w:rPr>
          <w:spacing w:val="-52"/>
        </w:rPr>
        <w:t> </w:t>
      </w:r>
      <w:r>
        <w:rPr>
          <w:rFonts w:ascii="Arial" w:hAnsi="Arial" w:cs="Arial" w:eastAsia="Arial" w:hint="default"/>
        </w:rPr>
        <w:t>2008</w:t>
      </w:r>
      <w:r>
        <w:rPr>
          <w:rFonts w:ascii="Arial" w:hAnsi="Arial" w:cs="Arial" w:eastAsia="Arial" w:hint="default"/>
          <w:spacing w:val="-2"/>
        </w:rPr>
        <w:t> </w:t>
      </w:r>
      <w:r>
        <w:rPr/>
        <w:t>年度，本公司子公司联</w:t>
      </w:r>
      <w:r>
        <w:rPr>
          <w:w w:val="99"/>
        </w:rPr>
        <w:t> </w:t>
      </w:r>
      <w:r>
        <w:rPr>
          <w:spacing w:val="2"/>
        </w:rPr>
        <w:t>通红筹公司授予员工的股份期权对本公司归属于母公司普通股股东的合并净利润具有稀释性影</w:t>
      </w:r>
      <w:r>
        <w:rPr>
          <w:spacing w:val="-96"/>
        </w:rPr>
        <w:t> </w:t>
      </w:r>
      <w:r>
        <w:rPr>
          <w:spacing w:val="-96"/>
        </w:rPr>
      </w:r>
      <w:r>
        <w:rPr/>
        <w:t>响，相关计算结果如下：</w:t>
      </w:r>
    </w:p>
    <w:p>
      <w:pPr>
        <w:spacing w:line="240" w:lineRule="auto" w:before="11"/>
        <w:rPr>
          <w:rFonts w:ascii="宋体" w:hAnsi="宋体" w:cs="宋体" w:eastAsia="宋体" w:hint="default"/>
          <w:sz w:val="16"/>
          <w:szCs w:val="16"/>
        </w:rPr>
      </w:pPr>
    </w:p>
    <w:tbl>
      <w:tblPr>
        <w:tblW w:w="0" w:type="auto"/>
        <w:jc w:val="left"/>
        <w:tblInd w:w="620" w:type="dxa"/>
        <w:tblLayout w:type="fixed"/>
        <w:tblCellMar>
          <w:top w:w="0" w:type="dxa"/>
          <w:left w:w="0" w:type="dxa"/>
          <w:bottom w:w="0" w:type="dxa"/>
          <w:right w:w="0" w:type="dxa"/>
        </w:tblCellMar>
        <w:tblLook w:val="01E0"/>
      </w:tblPr>
      <w:tblGrid>
        <w:gridCol w:w="4531"/>
        <w:gridCol w:w="2230"/>
        <w:gridCol w:w="2218"/>
      </w:tblGrid>
      <w:tr>
        <w:trPr>
          <w:trHeight w:val="361" w:hRule="exact"/>
        </w:trPr>
        <w:tc>
          <w:tcPr>
            <w:tcW w:w="4531" w:type="dxa"/>
            <w:vMerge w:val="restart"/>
            <w:tcBorders>
              <w:top w:val="nil" w:sz="6" w:space="0" w:color="auto"/>
              <w:left w:val="nil" w:sz="6" w:space="0" w:color="auto"/>
              <w:right w:val="nil" w:sz="6" w:space="0" w:color="auto"/>
            </w:tcBorders>
          </w:tcPr>
          <w:p>
            <w:pPr/>
          </w:p>
        </w:tc>
        <w:tc>
          <w:tcPr>
            <w:tcW w:w="2230"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75"/>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2218"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54"/>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322" w:hRule="exact"/>
        </w:trPr>
        <w:tc>
          <w:tcPr>
            <w:tcW w:w="4531" w:type="dxa"/>
            <w:vMerge/>
            <w:tcBorders>
              <w:left w:val="nil" w:sz="6" w:space="0" w:color="auto"/>
              <w:bottom w:val="nil" w:sz="6" w:space="0" w:color="auto"/>
              <w:right w:val="nil" w:sz="6" w:space="0" w:color="auto"/>
            </w:tcBorders>
          </w:tcPr>
          <w:p>
            <w:pPr/>
          </w:p>
        </w:tc>
        <w:tc>
          <w:tcPr>
            <w:tcW w:w="2230" w:type="dxa"/>
            <w:tcBorders>
              <w:top w:val="single" w:sz="6" w:space="0" w:color="000000"/>
              <w:left w:val="nil" w:sz="6" w:space="0" w:color="auto"/>
              <w:bottom w:val="nil" w:sz="6" w:space="0" w:color="auto"/>
              <w:right w:val="nil" w:sz="6" w:space="0" w:color="auto"/>
            </w:tcBorders>
          </w:tcPr>
          <w:p>
            <w:pPr/>
          </w:p>
        </w:tc>
        <w:tc>
          <w:tcPr>
            <w:tcW w:w="2218" w:type="dxa"/>
            <w:tcBorders>
              <w:top w:val="single" w:sz="6" w:space="0" w:color="000000"/>
              <w:left w:val="nil" w:sz="6" w:space="0" w:color="auto"/>
              <w:bottom w:val="nil" w:sz="6" w:space="0" w:color="auto"/>
              <w:right w:val="nil" w:sz="6" w:space="0" w:color="auto"/>
            </w:tcBorders>
          </w:tcPr>
          <w:p>
            <w:pPr>
              <w:pStyle w:val="TableParagraph"/>
              <w:spacing w:line="253" w:lineRule="exact"/>
              <w:ind w:right="55"/>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323" w:hRule="exact"/>
        </w:trPr>
        <w:tc>
          <w:tcPr>
            <w:tcW w:w="4531" w:type="dxa"/>
            <w:tcBorders>
              <w:top w:val="nil" w:sz="6" w:space="0" w:color="auto"/>
              <w:left w:val="nil" w:sz="6" w:space="0" w:color="auto"/>
              <w:bottom w:val="nil" w:sz="6" w:space="0" w:color="auto"/>
              <w:right w:val="nil" w:sz="6" w:space="0" w:color="auto"/>
            </w:tcBorders>
          </w:tcPr>
          <w:p>
            <w:pPr>
              <w:pStyle w:val="TableParagraph"/>
              <w:spacing w:line="282" w:lineRule="exact"/>
              <w:ind w:left="35" w:right="0"/>
              <w:jc w:val="left"/>
              <w:rPr>
                <w:rFonts w:ascii="宋体" w:hAnsi="宋体" w:cs="宋体" w:eastAsia="宋体" w:hint="default"/>
                <w:sz w:val="22"/>
                <w:szCs w:val="22"/>
              </w:rPr>
            </w:pPr>
            <w:r>
              <w:rPr>
                <w:rFonts w:ascii="宋体" w:hAnsi="宋体" w:cs="宋体" w:eastAsia="宋体" w:hint="default"/>
                <w:sz w:val="22"/>
                <w:szCs w:val="22"/>
              </w:rPr>
              <w:t>稀释后归属于母公司普通股股东的合并净利润</w:t>
            </w:r>
          </w:p>
        </w:tc>
        <w:tc>
          <w:tcPr>
            <w:tcW w:w="2230" w:type="dxa"/>
            <w:tcBorders>
              <w:top w:val="nil" w:sz="6" w:space="0" w:color="auto"/>
              <w:left w:val="nil" w:sz="6" w:space="0" w:color="auto"/>
              <w:bottom w:val="single" w:sz="6" w:space="0" w:color="000000"/>
              <w:right w:val="nil" w:sz="6" w:space="0" w:color="auto"/>
            </w:tcBorders>
          </w:tcPr>
          <w:p>
            <w:pPr>
              <w:pStyle w:val="TableParagraph"/>
              <w:spacing w:line="240" w:lineRule="auto" w:before="60"/>
              <w:ind w:right="115"/>
              <w:jc w:val="right"/>
              <w:rPr>
                <w:rFonts w:ascii="Arial" w:hAnsi="Arial" w:cs="Arial" w:eastAsia="Arial" w:hint="default"/>
                <w:sz w:val="22"/>
                <w:szCs w:val="22"/>
              </w:rPr>
            </w:pPr>
            <w:r>
              <w:rPr>
                <w:rFonts w:ascii="Arial"/>
                <w:spacing w:val="-1"/>
                <w:sz w:val="22"/>
              </w:rPr>
              <w:t>3,120,180,667</w:t>
            </w:r>
          </w:p>
        </w:tc>
        <w:tc>
          <w:tcPr>
            <w:tcW w:w="2218" w:type="dxa"/>
            <w:tcBorders>
              <w:top w:val="nil" w:sz="6" w:space="0" w:color="auto"/>
              <w:left w:val="nil" w:sz="6" w:space="0" w:color="auto"/>
              <w:bottom w:val="single" w:sz="6" w:space="0" w:color="000000"/>
              <w:right w:val="nil" w:sz="6" w:space="0" w:color="auto"/>
            </w:tcBorders>
          </w:tcPr>
          <w:p>
            <w:pPr>
              <w:pStyle w:val="TableParagraph"/>
              <w:spacing w:line="240" w:lineRule="auto" w:before="60"/>
              <w:ind w:right="82"/>
              <w:jc w:val="right"/>
              <w:rPr>
                <w:rFonts w:ascii="Arial" w:hAnsi="Arial" w:cs="Arial" w:eastAsia="Arial" w:hint="default"/>
                <w:sz w:val="22"/>
                <w:szCs w:val="22"/>
              </w:rPr>
            </w:pPr>
            <w:r>
              <w:rPr>
                <w:rFonts w:ascii="Arial"/>
                <w:spacing w:val="-1"/>
                <w:sz w:val="22"/>
              </w:rPr>
              <w:t>20,075,059,456</w:t>
            </w:r>
          </w:p>
        </w:tc>
      </w:tr>
      <w:tr>
        <w:trPr>
          <w:trHeight w:val="387" w:hRule="exact"/>
        </w:trPr>
        <w:tc>
          <w:tcPr>
            <w:tcW w:w="4531" w:type="dxa"/>
            <w:tcBorders>
              <w:top w:val="nil" w:sz="6" w:space="0" w:color="auto"/>
              <w:left w:val="nil" w:sz="6" w:space="0" w:color="auto"/>
              <w:bottom w:val="nil" w:sz="6" w:space="0" w:color="auto"/>
              <w:right w:val="single" w:sz="6" w:space="0" w:color="000000"/>
            </w:tcBorders>
          </w:tcPr>
          <w:p>
            <w:pPr>
              <w:pStyle w:val="TableParagraph"/>
              <w:spacing w:line="240" w:lineRule="auto" w:before="30"/>
              <w:ind w:left="35" w:right="0"/>
              <w:jc w:val="left"/>
              <w:rPr>
                <w:rFonts w:ascii="宋体" w:hAnsi="宋体" w:cs="宋体" w:eastAsia="宋体" w:hint="default"/>
                <w:sz w:val="22"/>
                <w:szCs w:val="22"/>
              </w:rPr>
            </w:pPr>
            <w:r>
              <w:rPr>
                <w:rFonts w:ascii="宋体" w:hAnsi="宋体" w:cs="宋体" w:eastAsia="宋体" w:hint="default"/>
                <w:sz w:val="22"/>
                <w:szCs w:val="22"/>
              </w:rPr>
              <w:t>—持续经营业务</w:t>
            </w:r>
          </w:p>
        </w:tc>
        <w:tc>
          <w:tcPr>
            <w:tcW w:w="2230" w:type="dxa"/>
            <w:tcBorders>
              <w:top w:val="single" w:sz="6" w:space="0" w:color="000000"/>
              <w:left w:val="single" w:sz="6" w:space="0" w:color="000000"/>
              <w:bottom w:val="nil" w:sz="6" w:space="0" w:color="auto"/>
              <w:right w:val="single" w:sz="23" w:space="0" w:color="000000"/>
            </w:tcBorders>
          </w:tcPr>
          <w:p>
            <w:pPr>
              <w:pStyle w:val="TableParagraph"/>
              <w:spacing w:line="240" w:lineRule="auto" w:before="89"/>
              <w:ind w:right="79"/>
              <w:jc w:val="right"/>
              <w:rPr>
                <w:rFonts w:ascii="Arial" w:hAnsi="Arial" w:cs="Arial" w:eastAsia="Arial" w:hint="default"/>
                <w:sz w:val="22"/>
                <w:szCs w:val="22"/>
              </w:rPr>
            </w:pPr>
            <w:r>
              <w:rPr>
                <w:rFonts w:ascii="Arial"/>
                <w:spacing w:val="-1"/>
                <w:sz w:val="22"/>
              </w:rPr>
              <w:t>3,120,180,667</w:t>
            </w:r>
          </w:p>
        </w:tc>
        <w:tc>
          <w:tcPr>
            <w:tcW w:w="2218" w:type="dxa"/>
            <w:tcBorders>
              <w:top w:val="single" w:sz="6" w:space="0" w:color="000000"/>
              <w:left w:val="single" w:sz="23" w:space="0" w:color="000000"/>
              <w:bottom w:val="nil" w:sz="6" w:space="0" w:color="auto"/>
              <w:right w:val="single" w:sz="6" w:space="0" w:color="000000"/>
            </w:tcBorders>
          </w:tcPr>
          <w:p>
            <w:pPr>
              <w:pStyle w:val="TableParagraph"/>
              <w:spacing w:line="240" w:lineRule="auto" w:before="89"/>
              <w:ind w:right="67"/>
              <w:jc w:val="right"/>
              <w:rPr>
                <w:rFonts w:ascii="Arial" w:hAnsi="Arial" w:cs="Arial" w:eastAsia="Arial" w:hint="default"/>
                <w:sz w:val="22"/>
                <w:szCs w:val="22"/>
              </w:rPr>
            </w:pPr>
            <w:r>
              <w:rPr>
                <w:rFonts w:ascii="Arial"/>
                <w:spacing w:val="-1"/>
                <w:sz w:val="22"/>
              </w:rPr>
              <w:t>3,877,120,622</w:t>
            </w:r>
          </w:p>
        </w:tc>
      </w:tr>
      <w:tr>
        <w:trPr>
          <w:trHeight w:val="303" w:hRule="exact"/>
        </w:trPr>
        <w:tc>
          <w:tcPr>
            <w:tcW w:w="4531" w:type="dxa"/>
            <w:tcBorders>
              <w:top w:val="nil" w:sz="6" w:space="0" w:color="auto"/>
              <w:left w:val="nil" w:sz="6" w:space="0" w:color="auto"/>
              <w:bottom w:val="nil" w:sz="6" w:space="0" w:color="auto"/>
              <w:right w:val="single" w:sz="6" w:space="0" w:color="000000"/>
            </w:tcBorders>
          </w:tcPr>
          <w:p>
            <w:pPr>
              <w:pStyle w:val="TableParagraph"/>
              <w:spacing w:line="262" w:lineRule="exact"/>
              <w:ind w:left="35" w:right="0"/>
              <w:jc w:val="left"/>
              <w:rPr>
                <w:rFonts w:ascii="宋体" w:hAnsi="宋体" w:cs="宋体" w:eastAsia="宋体" w:hint="default"/>
                <w:sz w:val="22"/>
                <w:szCs w:val="22"/>
              </w:rPr>
            </w:pPr>
            <w:r>
              <w:rPr>
                <w:rFonts w:ascii="宋体" w:hAnsi="宋体" w:cs="宋体" w:eastAsia="宋体" w:hint="default"/>
                <w:sz w:val="22"/>
                <w:szCs w:val="22"/>
              </w:rPr>
              <w:t>—终止经营业务</w:t>
            </w:r>
          </w:p>
        </w:tc>
        <w:tc>
          <w:tcPr>
            <w:tcW w:w="2230" w:type="dxa"/>
            <w:tcBorders>
              <w:top w:val="nil" w:sz="6" w:space="0" w:color="auto"/>
              <w:left w:val="single" w:sz="6" w:space="0" w:color="000000"/>
              <w:bottom w:val="single" w:sz="6" w:space="0" w:color="000000"/>
              <w:right w:val="single" w:sz="23" w:space="0" w:color="000000"/>
            </w:tcBorders>
          </w:tcPr>
          <w:p>
            <w:pPr>
              <w:pStyle w:val="TableParagraph"/>
              <w:spacing w:line="240" w:lineRule="auto" w:before="40"/>
              <w:ind w:right="79"/>
              <w:jc w:val="right"/>
              <w:rPr>
                <w:rFonts w:ascii="Arial" w:hAnsi="Arial" w:cs="Arial" w:eastAsia="Arial" w:hint="default"/>
                <w:sz w:val="22"/>
                <w:szCs w:val="22"/>
              </w:rPr>
            </w:pPr>
            <w:r>
              <w:rPr>
                <w:rFonts w:ascii="Arial"/>
                <w:w w:val="99"/>
                <w:sz w:val="22"/>
              </w:rPr>
              <w:t>-</w:t>
            </w:r>
            <w:r>
              <w:rPr>
                <w:rFonts w:ascii="Arial"/>
                <w:sz w:val="22"/>
              </w:rPr>
            </w:r>
          </w:p>
        </w:tc>
        <w:tc>
          <w:tcPr>
            <w:tcW w:w="2218" w:type="dxa"/>
            <w:tcBorders>
              <w:top w:val="nil" w:sz="6" w:space="0" w:color="auto"/>
              <w:left w:val="single" w:sz="23" w:space="0" w:color="000000"/>
              <w:bottom w:val="single" w:sz="6" w:space="0" w:color="000000"/>
              <w:right w:val="single" w:sz="6" w:space="0" w:color="000000"/>
            </w:tcBorders>
          </w:tcPr>
          <w:p>
            <w:pPr>
              <w:pStyle w:val="TableParagraph"/>
              <w:spacing w:line="240" w:lineRule="auto" w:before="40"/>
              <w:ind w:right="67"/>
              <w:jc w:val="right"/>
              <w:rPr>
                <w:rFonts w:ascii="Arial" w:hAnsi="Arial" w:cs="Arial" w:eastAsia="Arial" w:hint="default"/>
                <w:sz w:val="22"/>
                <w:szCs w:val="22"/>
              </w:rPr>
            </w:pPr>
            <w:r>
              <w:rPr>
                <w:rFonts w:ascii="Arial"/>
                <w:spacing w:val="-1"/>
                <w:sz w:val="22"/>
              </w:rPr>
              <w:t>16,197,938,834</w:t>
            </w:r>
          </w:p>
        </w:tc>
      </w:tr>
      <w:tr>
        <w:trPr>
          <w:trHeight w:val="760" w:hRule="exact"/>
        </w:trPr>
        <w:tc>
          <w:tcPr>
            <w:tcW w:w="453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本公司发行在外普通股的加权平均数</w:t>
            </w:r>
          </w:p>
        </w:tc>
        <w:tc>
          <w:tcPr>
            <w:tcW w:w="444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5"/>
                <w:szCs w:val="25"/>
              </w:rPr>
            </w:pPr>
          </w:p>
          <w:p>
            <w:pPr>
              <w:pStyle w:val="TableParagraph"/>
              <w:tabs>
                <w:tab w:pos="584" w:val="left" w:leader="none"/>
                <w:tab w:pos="2835" w:val="left" w:leader="none"/>
                <w:tab w:pos="4441" w:val="left" w:leader="none"/>
              </w:tabs>
              <w:spacing w:line="240" w:lineRule="auto"/>
              <w:ind w:left="-8"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spacing w:val="-1"/>
                <w:sz w:val="22"/>
                <w:u w:val="single" w:color="000000"/>
              </w:rPr>
              <w:t>21,196,596,395</w:t>
              <w:tab/>
              <w:t>21,196,596,395</w:t>
              <w:tab/>
            </w:r>
            <w:r>
              <w:rPr>
                <w:rFonts w:ascii="Arial"/>
                <w:spacing w:val="-1"/>
                <w:sz w:val="22"/>
              </w:rPr>
            </w:r>
          </w:p>
        </w:tc>
      </w:tr>
      <w:tr>
        <w:trPr>
          <w:trHeight w:val="458" w:hRule="exact"/>
        </w:trPr>
        <w:tc>
          <w:tcPr>
            <w:tcW w:w="4531"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22"/>
                <w:szCs w:val="22"/>
              </w:rPr>
            </w:pPr>
            <w:r>
              <w:rPr>
                <w:rFonts w:ascii="宋体" w:hAnsi="宋体" w:cs="宋体" w:eastAsia="宋体" w:hint="default"/>
                <w:sz w:val="22"/>
                <w:szCs w:val="22"/>
              </w:rPr>
              <w:t>稀释每股收益</w:t>
            </w:r>
          </w:p>
        </w:tc>
        <w:tc>
          <w:tcPr>
            <w:tcW w:w="4448" w:type="dxa"/>
            <w:gridSpan w:val="2"/>
            <w:tcBorders>
              <w:top w:val="nil" w:sz="6" w:space="0" w:color="auto"/>
              <w:left w:val="nil" w:sz="6" w:space="0" w:color="auto"/>
              <w:bottom w:val="nil" w:sz="6" w:space="0" w:color="auto"/>
              <w:right w:val="nil" w:sz="6" w:space="0" w:color="auto"/>
            </w:tcBorders>
          </w:tcPr>
          <w:p>
            <w:pPr>
              <w:pStyle w:val="TableParagraph"/>
              <w:tabs>
                <w:tab w:pos="1441" w:val="left" w:leader="none"/>
                <w:tab w:pos="3692" w:val="left" w:leader="none"/>
                <w:tab w:pos="4455" w:val="left" w:leader="none"/>
              </w:tabs>
              <w:spacing w:line="240" w:lineRule="auto" w:before="173"/>
              <w:ind w:left="-8" w:right="-8"/>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0.1472</w:t>
              <w:tab/>
            </w:r>
            <w:r>
              <w:rPr>
                <w:rFonts w:ascii="Arial"/>
                <w:sz w:val="22"/>
                <w:u w:val="single" w:color="000000"/>
              </w:rPr>
              <w:t>0.9471</w:t>
              <w:tab/>
            </w:r>
            <w:r>
              <w:rPr>
                <w:rFonts w:ascii="Arial"/>
                <w:sz w:val="22"/>
              </w:rPr>
            </w:r>
          </w:p>
        </w:tc>
      </w:tr>
      <w:tr>
        <w:trPr>
          <w:trHeight w:val="381" w:hRule="exact"/>
        </w:trPr>
        <w:tc>
          <w:tcPr>
            <w:tcW w:w="4531" w:type="dxa"/>
            <w:tcBorders>
              <w:top w:val="nil" w:sz="6" w:space="0" w:color="auto"/>
              <w:left w:val="nil" w:sz="6" w:space="0" w:color="auto"/>
              <w:bottom w:val="nil" w:sz="6" w:space="0" w:color="auto"/>
              <w:right w:val="single" w:sz="6" w:space="0" w:color="000000"/>
            </w:tcBorders>
          </w:tcPr>
          <w:p>
            <w:pPr>
              <w:pStyle w:val="TableParagraph"/>
              <w:spacing w:line="240" w:lineRule="auto" w:before="25"/>
              <w:ind w:left="35" w:right="0"/>
              <w:jc w:val="left"/>
              <w:rPr>
                <w:rFonts w:ascii="宋体" w:hAnsi="宋体" w:cs="宋体" w:eastAsia="宋体" w:hint="default"/>
                <w:sz w:val="22"/>
                <w:szCs w:val="22"/>
              </w:rPr>
            </w:pPr>
            <w:r>
              <w:rPr>
                <w:rFonts w:ascii="宋体" w:hAnsi="宋体" w:cs="宋体" w:eastAsia="宋体" w:hint="default"/>
                <w:sz w:val="22"/>
                <w:szCs w:val="22"/>
              </w:rPr>
              <w:t>—持续经营业务</w:t>
            </w:r>
          </w:p>
        </w:tc>
        <w:tc>
          <w:tcPr>
            <w:tcW w:w="4448" w:type="dxa"/>
            <w:gridSpan w:val="2"/>
            <w:tcBorders>
              <w:top w:val="nil" w:sz="6" w:space="0" w:color="auto"/>
              <w:left w:val="single" w:sz="6" w:space="0" w:color="000000"/>
              <w:bottom w:val="nil" w:sz="6" w:space="0" w:color="auto"/>
              <w:right w:val="single" w:sz="6" w:space="0" w:color="000000"/>
            </w:tcBorders>
          </w:tcPr>
          <w:p>
            <w:pPr>
              <w:pStyle w:val="TableParagraph"/>
              <w:tabs>
                <w:tab w:pos="3692" w:val="left" w:leader="none"/>
              </w:tabs>
              <w:spacing w:line="240" w:lineRule="auto" w:before="91"/>
              <w:ind w:left="1441" w:right="0"/>
              <w:jc w:val="left"/>
              <w:rPr>
                <w:rFonts w:ascii="Arial" w:hAnsi="Arial" w:cs="Arial" w:eastAsia="Arial" w:hint="default"/>
                <w:sz w:val="22"/>
                <w:szCs w:val="22"/>
              </w:rPr>
            </w:pPr>
            <w:r>
              <w:rPr>
                <w:rFonts w:ascii="Arial"/>
                <w:w w:val="95"/>
                <w:sz w:val="22"/>
              </w:rPr>
              <w:t>0.1472</w:t>
              <w:tab/>
            </w:r>
            <w:r>
              <w:rPr>
                <w:rFonts w:ascii="Arial"/>
                <w:sz w:val="22"/>
              </w:rPr>
              <w:t>0.1829</w:t>
            </w:r>
          </w:p>
        </w:tc>
      </w:tr>
      <w:tr>
        <w:trPr>
          <w:trHeight w:val="303" w:hRule="exact"/>
        </w:trPr>
        <w:tc>
          <w:tcPr>
            <w:tcW w:w="4531" w:type="dxa"/>
            <w:tcBorders>
              <w:top w:val="nil" w:sz="6" w:space="0" w:color="auto"/>
              <w:left w:val="nil" w:sz="6" w:space="0" w:color="auto"/>
              <w:bottom w:val="nil" w:sz="6" w:space="0" w:color="auto"/>
              <w:right w:val="single" w:sz="6" w:space="0" w:color="000000"/>
            </w:tcBorders>
          </w:tcPr>
          <w:p>
            <w:pPr>
              <w:pStyle w:val="TableParagraph"/>
              <w:spacing w:line="262" w:lineRule="exact"/>
              <w:ind w:left="35" w:right="0"/>
              <w:jc w:val="left"/>
              <w:rPr>
                <w:rFonts w:ascii="宋体" w:hAnsi="宋体" w:cs="宋体" w:eastAsia="宋体" w:hint="default"/>
                <w:sz w:val="22"/>
                <w:szCs w:val="22"/>
              </w:rPr>
            </w:pPr>
            <w:r>
              <w:rPr>
                <w:rFonts w:ascii="宋体" w:hAnsi="宋体" w:cs="宋体" w:eastAsia="宋体" w:hint="default"/>
                <w:sz w:val="22"/>
                <w:szCs w:val="22"/>
              </w:rPr>
              <w:t>—终止经营业务</w:t>
            </w:r>
          </w:p>
        </w:tc>
        <w:tc>
          <w:tcPr>
            <w:tcW w:w="4448" w:type="dxa"/>
            <w:gridSpan w:val="2"/>
            <w:tcBorders>
              <w:top w:val="nil" w:sz="6" w:space="0" w:color="auto"/>
              <w:left w:val="single" w:sz="6" w:space="0" w:color="000000"/>
              <w:bottom w:val="single" w:sz="6" w:space="0" w:color="000000"/>
              <w:right w:val="single" w:sz="6" w:space="0" w:color="000000"/>
            </w:tcBorders>
          </w:tcPr>
          <w:p>
            <w:pPr>
              <w:pStyle w:val="TableParagraph"/>
              <w:tabs>
                <w:tab w:pos="3692" w:val="left" w:leader="none"/>
              </w:tabs>
              <w:spacing w:line="240" w:lineRule="auto" w:before="40"/>
              <w:ind w:left="2040" w:right="0"/>
              <w:jc w:val="left"/>
              <w:rPr>
                <w:rFonts w:ascii="Arial" w:hAnsi="Arial" w:cs="Arial" w:eastAsia="Arial" w:hint="default"/>
                <w:sz w:val="22"/>
                <w:szCs w:val="22"/>
              </w:rPr>
            </w:pPr>
            <w:r>
              <w:rPr>
                <w:rFonts w:ascii="Arial"/>
                <w:w w:val="95"/>
                <w:sz w:val="22"/>
              </w:rPr>
              <w:t>-</w:t>
              <w:tab/>
            </w:r>
            <w:r>
              <w:rPr>
                <w:rFonts w:ascii="Arial"/>
                <w:sz w:val="22"/>
              </w:rPr>
              <w:t>0.7642</w:t>
            </w:r>
          </w:p>
        </w:tc>
      </w:tr>
    </w:tbl>
    <w:p>
      <w:pPr>
        <w:spacing w:line="240" w:lineRule="auto" w:before="8"/>
        <w:rPr>
          <w:rFonts w:ascii="宋体" w:hAnsi="宋体" w:cs="宋体" w:eastAsia="宋体" w:hint="default"/>
          <w:sz w:val="13"/>
          <w:szCs w:val="13"/>
        </w:rPr>
      </w:pPr>
    </w:p>
    <w:p>
      <w:pPr>
        <w:pStyle w:val="BodyText"/>
        <w:spacing w:line="240" w:lineRule="auto" w:before="31"/>
        <w:ind w:left="122" w:right="97"/>
        <w:jc w:val="left"/>
        <w:rPr>
          <w:rFonts w:ascii="黑体" w:hAnsi="黑体" w:cs="黑体" w:eastAsia="黑体" w:hint="default"/>
        </w:rPr>
      </w:pPr>
      <w:r>
        <w:rPr/>
        <w:pict>
          <v:group style="position:absolute;margin-left:430.679993pt;margin-top:-44.216454pt;width:2.85pt;height:35.3pt;mso-position-horizontal-relative:page;mso-position-vertical-relative:paragraph;z-index:-912040" coordorigin="8614,-884" coordsize="57,706">
            <v:group style="position:absolute;left:8621;top:-877;width:2;height:692" coordorigin="8621,-877" coordsize="2,692">
              <v:shape style="position:absolute;left:8621;top:-877;width:2;height:692" coordorigin="8621,-877" coordsize="0,692" path="m8621,-877l8621,-186e" filled="false" stroked="true" strokeweight=".72pt" strokecolor="#000000">
                <v:path arrowok="t"/>
              </v:shape>
            </v:group>
            <v:group style="position:absolute;left:8663;top:-877;width:2;height:692" coordorigin="8663,-877" coordsize="2,692">
              <v:shape style="position:absolute;left:8663;top:-877;width:2;height:692" coordorigin="8663,-877" coordsize="0,692" path="m8663,-877l8663,-186e" filled="false" stroked="true" strokeweight=".72pt" strokecolor="#000000">
                <v:path arrowok="t"/>
              </v:shape>
            </v:group>
            <w10:wrap type="none"/>
          </v:group>
        </w:pict>
      </w:r>
      <w:r>
        <w:rPr>
          <w:rFonts w:ascii="Arial" w:hAnsi="Arial" w:cs="Arial" w:eastAsia="Arial" w:hint="default"/>
        </w:rPr>
        <w:t>48</w:t>
      </w:r>
      <w:r>
        <w:rPr>
          <w:rFonts w:ascii="黑体" w:hAnsi="黑体" w:cs="黑体" w:eastAsia="黑体" w:hint="default"/>
        </w:rPr>
        <w:t>、其他综合收益</w:t>
      </w:r>
    </w:p>
    <w:p>
      <w:pPr>
        <w:spacing w:line="240" w:lineRule="auto" w:before="7"/>
        <w:rPr>
          <w:rFonts w:ascii="黑体" w:hAnsi="黑体" w:cs="黑体" w:eastAsia="黑体" w:hint="default"/>
          <w:sz w:val="15"/>
          <w:szCs w:val="15"/>
        </w:rPr>
      </w:pPr>
    </w:p>
    <w:p>
      <w:pPr>
        <w:pStyle w:val="BodyText"/>
        <w:tabs>
          <w:tab w:pos="1861" w:val="left" w:leader="none"/>
        </w:tabs>
        <w:spacing w:line="240" w:lineRule="auto" w:before="31"/>
        <w:ind w:left="0" w:right="362"/>
        <w:jc w:val="right"/>
      </w:pPr>
      <w:r>
        <w:rPr>
          <w:rFonts w:ascii="Arial" w:hAnsi="Arial" w:cs="Arial" w:eastAsia="Arial" w:hint="default"/>
          <w:w w:val="95"/>
        </w:rPr>
        <w:t>2009</w:t>
      </w:r>
      <w:r>
        <w:rPr>
          <w:w w:val="95"/>
        </w:rPr>
        <w:t>年度</w:t>
        <w:tab/>
      </w:r>
      <w:r>
        <w:rPr>
          <w:rFonts w:ascii="Arial" w:hAnsi="Arial" w:cs="Arial" w:eastAsia="Arial" w:hint="default"/>
          <w:w w:val="95"/>
        </w:rPr>
        <w:t>2008</w:t>
      </w:r>
      <w:r>
        <w:rPr>
          <w:w w:val="95"/>
        </w:rPr>
        <w:t>年度</w:t>
      </w:r>
      <w:r>
        <w:rPr/>
      </w:r>
    </w:p>
    <w:p>
      <w:pPr>
        <w:spacing w:line="20" w:lineRule="exact"/>
        <w:ind w:left="5959" w:right="0" w:firstLine="0"/>
        <w:rPr>
          <w:rFonts w:ascii="宋体" w:hAnsi="宋体" w:cs="宋体" w:eastAsia="宋体" w:hint="default"/>
          <w:sz w:val="2"/>
          <w:szCs w:val="2"/>
        </w:rPr>
      </w:pPr>
      <w:r>
        <w:rPr>
          <w:rFonts w:ascii="宋体"/>
          <w:sz w:val="2"/>
        </w:rPr>
        <w:pict>
          <v:group style="width:84.25pt;height:.75pt;mso-position-horizontal-relative:char;mso-position-vertical-relative:line" coordorigin="0,0" coordsize="1685,15">
            <v:group style="position:absolute;left:7;top:7;width:1671;height:2" coordorigin="7,7" coordsize="1671,2">
              <v:shape style="position:absolute;left:7;top:7;width:1671;height:2" coordorigin="7,7" coordsize="1671,0" path="m7,7l1678,7e" filled="false" stroked="true" strokeweight=".72pt" strokecolor="#000000">
                <v:path arrowok="t"/>
              </v:shape>
            </v:group>
          </v:group>
        </w:pict>
      </w:r>
      <w:r>
        <w:rPr>
          <w:rFonts w:ascii="宋体"/>
          <w:sz w:val="2"/>
        </w:rPr>
      </w:r>
      <w:r>
        <w:rPr>
          <w:rFonts w:ascii="Times New Roman"/>
          <w:spacing w:val="183"/>
          <w:sz w:val="2"/>
        </w:rPr>
        <w:t> </w:t>
      </w:r>
      <w:r>
        <w:rPr>
          <w:rFonts w:ascii="宋体"/>
          <w:spacing w:val="183"/>
          <w:sz w:val="2"/>
        </w:rPr>
        <w:pict>
          <v:group style="width:85.1pt;height:.75pt;mso-position-horizontal-relative:char;mso-position-vertical-relative:line" coordorigin="0,0" coordsize="1702,15">
            <v:group style="position:absolute;left:7;top:7;width:1688;height:2" coordorigin="7,7" coordsize="1688,2">
              <v:shape style="position:absolute;left:7;top:7;width:1688;height:2" coordorigin="7,7" coordsize="1688,0" path="m7,7l1694,7e" filled="false" stroked="true" strokeweight=".72pt" strokecolor="#000000">
                <v:path arrowok="t"/>
              </v:shape>
            </v:group>
          </v:group>
        </w:pict>
      </w:r>
      <w:r>
        <w:rPr>
          <w:rFonts w:ascii="宋体"/>
          <w:spacing w:val="183"/>
          <w:sz w:val="2"/>
        </w:rPr>
      </w:r>
    </w:p>
    <w:p>
      <w:pPr>
        <w:spacing w:line="240" w:lineRule="auto" w:before="2"/>
        <w:rPr>
          <w:rFonts w:ascii="宋体" w:hAnsi="宋体" w:cs="宋体" w:eastAsia="宋体" w:hint="default"/>
          <w:sz w:val="15"/>
          <w:szCs w:val="15"/>
        </w:rPr>
      </w:pPr>
    </w:p>
    <w:p>
      <w:pPr>
        <w:pStyle w:val="BodyText"/>
        <w:tabs>
          <w:tab w:pos="6350" w:val="left" w:leader="none"/>
          <w:tab w:pos="8120" w:val="left" w:leader="none"/>
        </w:tabs>
        <w:spacing w:line="304" w:lineRule="exact" w:before="27"/>
        <w:ind w:left="597" w:right="97"/>
        <w:jc w:val="left"/>
        <w:rPr>
          <w:rFonts w:ascii="Arial" w:hAnsi="Arial" w:cs="Arial" w:eastAsia="Arial" w:hint="default"/>
        </w:rPr>
      </w:pPr>
      <w:r>
        <w:rPr>
          <w:w w:val="95"/>
          <w:position w:val="2"/>
        </w:rPr>
        <w:t>可供出售金融资产产生的损失金额</w:t>
        <w:tab/>
      </w:r>
      <w:r>
        <w:rPr>
          <w:rFonts w:ascii="Arial" w:hAnsi="Arial" w:cs="Arial" w:eastAsia="Arial" w:hint="default"/>
          <w:w w:val="95"/>
        </w:rPr>
        <w:t>(69,806,237)</w:t>
        <w:tab/>
      </w:r>
      <w:r>
        <w:rPr>
          <w:rFonts w:ascii="Arial" w:hAnsi="Arial" w:cs="Arial" w:eastAsia="Arial" w:hint="default"/>
        </w:rPr>
        <w:t>(187,694,340)</w:t>
      </w:r>
    </w:p>
    <w:p>
      <w:pPr>
        <w:pStyle w:val="BodyText"/>
        <w:tabs>
          <w:tab w:pos="7468" w:val="left" w:leader="none"/>
          <w:tab w:pos="8365" w:val="left" w:leader="none"/>
        </w:tabs>
        <w:spacing w:line="285" w:lineRule="exact"/>
        <w:ind w:left="835" w:right="97"/>
        <w:jc w:val="left"/>
        <w:rPr>
          <w:rFonts w:ascii="Arial" w:hAnsi="Arial" w:cs="Arial" w:eastAsia="Arial" w:hint="default"/>
        </w:rPr>
      </w:pPr>
      <w:r>
        <w:rPr>
          <w:spacing w:val="-3"/>
          <w:w w:val="95"/>
          <w:position w:val="2"/>
        </w:rPr>
        <w:t>减：前期计入其他综合收益当期转入损益的金额（注）</w:t>
        <w:tab/>
      </w:r>
      <w:r>
        <w:rPr>
          <w:rFonts w:ascii="Arial" w:hAnsi="Arial" w:cs="Arial" w:eastAsia="Arial" w:hint="default"/>
          <w:w w:val="95"/>
        </w:rPr>
        <w:t>-</w:t>
        <w:tab/>
      </w:r>
      <w:r>
        <w:rPr>
          <w:rFonts w:ascii="Arial" w:hAnsi="Arial" w:cs="Arial" w:eastAsia="Arial" w:hint="default"/>
        </w:rPr>
        <w:t>(2,798,584)</w:t>
      </w:r>
    </w:p>
    <w:p>
      <w:pPr>
        <w:pStyle w:val="BodyText"/>
        <w:tabs>
          <w:tab w:pos="5966" w:val="left" w:leader="none"/>
          <w:tab w:pos="6440" w:val="left" w:leader="none"/>
          <w:tab w:pos="7841" w:val="left" w:leader="none"/>
          <w:tab w:pos="8315" w:val="left" w:leader="none"/>
          <w:tab w:pos="9529" w:val="left" w:leader="none"/>
        </w:tabs>
        <w:spacing w:line="305" w:lineRule="exact"/>
        <w:ind w:left="1242" w:right="97"/>
        <w:jc w:val="left"/>
        <w:rPr>
          <w:rFonts w:ascii="Arial" w:hAnsi="Arial" w:cs="Arial" w:eastAsia="Arial" w:hint="default"/>
        </w:rPr>
      </w:pPr>
      <w:r>
        <w:rPr>
          <w:w w:val="95"/>
          <w:position w:val="2"/>
        </w:rPr>
        <w:t>可供出售金融资产产生的所得税影响</w:t>
        <w:tab/>
      </w:r>
      <w:r>
        <w:rPr>
          <w:rFonts w:ascii="Arial" w:hAnsi="Arial" w:cs="Arial" w:eastAsia="Arial" w:hint="default"/>
          <w:w w:val="95"/>
        </w:rPr>
      </w:r>
      <w:r>
        <w:rPr>
          <w:rFonts w:ascii="Arial" w:hAnsi="Arial" w:cs="Arial" w:eastAsia="Arial" w:hint="default"/>
          <w:w w:val="95"/>
          <w:u w:val="single" w:color="000000"/>
        </w:rPr>
        <w:t> </w:t>
        <w:tab/>
        <w:t>32,550,692</w:t>
      </w:r>
      <w:r>
        <w:rPr>
          <w:rFonts w:ascii="Arial" w:hAnsi="Arial" w:cs="Arial" w:eastAsia="Arial" w:hint="default"/>
          <w:w w:val="95"/>
        </w:rPr>
        <w:tab/>
      </w:r>
      <w:r>
        <w:rPr>
          <w:rFonts w:ascii="Arial" w:hAnsi="Arial" w:cs="Arial" w:eastAsia="Arial" w:hint="default"/>
          <w:w w:val="95"/>
          <w:u w:val="single" w:color="000000"/>
        </w:rPr>
        <w:t> </w:t>
        <w:tab/>
      </w:r>
      <w:r>
        <w:rPr>
          <w:rFonts w:ascii="Arial" w:hAnsi="Arial" w:cs="Arial" w:eastAsia="Arial" w:hint="default"/>
          <w:u w:val="single" w:color="000000"/>
        </w:rPr>
        <w:t>47,623,234</w:t>
        <w:tab/>
      </w:r>
      <w:r>
        <w:rPr>
          <w:rFonts w:ascii="Arial" w:hAnsi="Arial" w:cs="Arial" w:eastAsia="Arial" w:hint="default"/>
        </w:rPr>
      </w:r>
    </w:p>
    <w:p>
      <w:pPr>
        <w:spacing w:line="240" w:lineRule="auto" w:before="1"/>
        <w:rPr>
          <w:rFonts w:ascii="Arial" w:hAnsi="Arial" w:cs="Arial" w:eastAsia="Arial" w:hint="default"/>
          <w:sz w:val="3"/>
          <w:szCs w:val="3"/>
        </w:rPr>
      </w:pPr>
    </w:p>
    <w:tbl>
      <w:tblPr>
        <w:tblW w:w="0" w:type="auto"/>
        <w:jc w:val="left"/>
        <w:tblInd w:w="562" w:type="dxa"/>
        <w:tblLayout w:type="fixed"/>
        <w:tblCellMar>
          <w:top w:w="0" w:type="dxa"/>
          <w:left w:w="0" w:type="dxa"/>
          <w:bottom w:w="0" w:type="dxa"/>
          <w:right w:w="0" w:type="dxa"/>
        </w:tblCellMar>
        <w:tblLook w:val="01E0"/>
      </w:tblPr>
      <w:tblGrid>
        <w:gridCol w:w="5397"/>
        <w:gridCol w:w="1685"/>
        <w:gridCol w:w="191"/>
        <w:gridCol w:w="1702"/>
      </w:tblGrid>
      <w:tr>
        <w:trPr>
          <w:trHeight w:val="406" w:hRule="exact"/>
        </w:trPr>
        <w:tc>
          <w:tcPr>
            <w:tcW w:w="5397" w:type="dxa"/>
            <w:tcBorders>
              <w:top w:val="nil" w:sz="6" w:space="0" w:color="auto"/>
              <w:left w:val="nil" w:sz="6" w:space="0" w:color="auto"/>
              <w:bottom w:val="nil" w:sz="6" w:space="0" w:color="auto"/>
              <w:right w:val="nil" w:sz="6" w:space="0" w:color="auto"/>
            </w:tcBorders>
          </w:tcPr>
          <w:p>
            <w:pPr>
              <w:pStyle w:val="TableParagraph"/>
              <w:spacing w:line="235" w:lineRule="exact"/>
              <w:ind w:left="35"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3"/>
              <w:jc w:val="right"/>
              <w:rPr>
                <w:rFonts w:ascii="Arial" w:hAnsi="Arial" w:cs="Arial" w:eastAsia="Arial" w:hint="default"/>
                <w:sz w:val="22"/>
                <w:szCs w:val="22"/>
              </w:rPr>
            </w:pPr>
            <w:r>
              <w:rPr>
                <w:rFonts w:ascii="Arial"/>
                <w:w w:val="95"/>
                <w:sz w:val="22"/>
              </w:rPr>
              <w:t>(37,255,545)</w:t>
            </w:r>
            <w:r>
              <w:rPr>
                <w:rFonts w:ascii="Arial"/>
                <w:sz w:val="22"/>
              </w:rPr>
            </w:r>
          </w:p>
        </w:tc>
        <w:tc>
          <w:tcPr>
            <w:tcW w:w="191"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44"/>
              <w:jc w:val="right"/>
              <w:rPr>
                <w:rFonts w:ascii="Arial" w:hAnsi="Arial" w:cs="Arial" w:eastAsia="Arial" w:hint="default"/>
                <w:sz w:val="22"/>
                <w:szCs w:val="22"/>
              </w:rPr>
            </w:pPr>
            <w:r>
              <w:rPr>
                <w:rFonts w:ascii="Arial"/>
                <w:w w:val="95"/>
                <w:sz w:val="22"/>
              </w:rPr>
              <w:t>(142,869,690)</w:t>
            </w:r>
            <w:r>
              <w:rPr>
                <w:rFonts w:ascii="Arial"/>
                <w:sz w:val="22"/>
              </w:rPr>
            </w:r>
          </w:p>
        </w:tc>
      </w:tr>
      <w:tr>
        <w:trPr>
          <w:trHeight w:val="546" w:hRule="exact"/>
        </w:trPr>
        <w:tc>
          <w:tcPr>
            <w:tcW w:w="5397" w:type="dxa"/>
            <w:tcBorders>
              <w:top w:val="nil" w:sz="6" w:space="0" w:color="auto"/>
              <w:left w:val="nil" w:sz="6" w:space="0" w:color="auto"/>
              <w:bottom w:val="nil" w:sz="6" w:space="0" w:color="auto"/>
              <w:right w:val="nil" w:sz="6" w:space="0" w:color="auto"/>
            </w:tcBorders>
          </w:tcPr>
          <w:p>
            <w:pPr>
              <w:pStyle w:val="TableParagraph"/>
              <w:spacing w:line="240" w:lineRule="auto" w:before="78"/>
              <w:ind w:left="35" w:right="0"/>
              <w:jc w:val="left"/>
              <w:rPr>
                <w:rFonts w:ascii="宋体" w:hAnsi="宋体" w:cs="宋体" w:eastAsia="宋体" w:hint="default"/>
                <w:sz w:val="22"/>
                <w:szCs w:val="22"/>
              </w:rPr>
            </w:pPr>
            <w:r>
              <w:rPr>
                <w:rFonts w:ascii="宋体" w:hAnsi="宋体" w:cs="宋体" w:eastAsia="宋体" w:hint="default"/>
                <w:sz w:val="22"/>
                <w:szCs w:val="22"/>
              </w:rPr>
              <w:t>外币财务报表折算差额</w:t>
            </w:r>
          </w:p>
        </w:tc>
        <w:tc>
          <w:tcPr>
            <w:tcW w:w="1685" w:type="dxa"/>
            <w:tcBorders>
              <w:top w:val="nil" w:sz="6" w:space="0" w:color="auto"/>
              <w:left w:val="nil" w:sz="6" w:space="0" w:color="auto"/>
              <w:bottom w:val="nil" w:sz="6" w:space="0" w:color="auto"/>
              <w:right w:val="nil" w:sz="6" w:space="0" w:color="auto"/>
            </w:tcBorders>
          </w:tcPr>
          <w:p>
            <w:pPr>
              <w:pStyle w:val="TableParagraph"/>
              <w:tabs>
                <w:tab w:pos="689" w:val="left" w:leader="none"/>
              </w:tabs>
              <w:spacing w:line="240" w:lineRule="auto" w:before="144"/>
              <w:ind w:right="43"/>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(216,817)</w:t>
            </w:r>
            <w:r>
              <w:rPr>
                <w:rFonts w:ascii="Arial"/>
                <w:w w:val="95"/>
                <w:sz w:val="22"/>
              </w:rPr>
            </w:r>
            <w:r>
              <w:rPr>
                <w:rFonts w:ascii="Arial"/>
                <w:sz w:val="22"/>
              </w:rPr>
            </w:r>
          </w:p>
        </w:tc>
        <w:tc>
          <w:tcPr>
            <w:tcW w:w="191"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Style w:val="TableParagraph"/>
              <w:tabs>
                <w:tab w:pos="400" w:val="left" w:leader="none"/>
              </w:tabs>
              <w:spacing w:line="240" w:lineRule="auto" w:before="144"/>
              <w:ind w:right="43"/>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(28,555,350)</w:t>
            </w:r>
            <w:r>
              <w:rPr>
                <w:rFonts w:ascii="Arial"/>
                <w:w w:val="95"/>
                <w:sz w:val="22"/>
              </w:rPr>
            </w:r>
            <w:r>
              <w:rPr>
                <w:rFonts w:ascii="Arial"/>
                <w:sz w:val="22"/>
              </w:rPr>
            </w:r>
          </w:p>
        </w:tc>
      </w:tr>
      <w:tr>
        <w:trPr>
          <w:trHeight w:val="430" w:hRule="exact"/>
        </w:trPr>
        <w:tc>
          <w:tcPr>
            <w:tcW w:w="5397"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685"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43"/>
              <w:jc w:val="right"/>
              <w:rPr>
                <w:rFonts w:ascii="Arial" w:hAnsi="Arial" w:cs="Arial" w:eastAsia="Arial" w:hint="default"/>
                <w:sz w:val="22"/>
                <w:szCs w:val="22"/>
              </w:rPr>
            </w:pPr>
            <w:r>
              <w:rPr>
                <w:rFonts w:ascii="Arial"/>
                <w:w w:val="95"/>
                <w:sz w:val="22"/>
              </w:rPr>
              <w:t>(37,472,362)</w:t>
            </w:r>
            <w:r>
              <w:rPr>
                <w:rFonts w:ascii="Arial"/>
                <w:sz w:val="22"/>
              </w:rPr>
            </w:r>
          </w:p>
        </w:tc>
        <w:tc>
          <w:tcPr>
            <w:tcW w:w="191"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single" w:sz="17" w:space="0" w:color="000000"/>
              <w:right w:val="nil" w:sz="6" w:space="0" w:color="auto"/>
            </w:tcBorders>
          </w:tcPr>
          <w:p>
            <w:pPr>
              <w:pStyle w:val="TableParagraph"/>
              <w:spacing w:line="240" w:lineRule="auto" w:before="151"/>
              <w:ind w:right="44"/>
              <w:jc w:val="right"/>
              <w:rPr>
                <w:rFonts w:ascii="Arial" w:hAnsi="Arial" w:cs="Arial" w:eastAsia="Arial" w:hint="default"/>
                <w:sz w:val="22"/>
                <w:szCs w:val="22"/>
              </w:rPr>
            </w:pPr>
            <w:r>
              <w:rPr>
                <w:rFonts w:ascii="Arial"/>
                <w:w w:val="95"/>
                <w:sz w:val="22"/>
              </w:rPr>
              <w:t>(171,425,040)</w:t>
            </w:r>
            <w:r>
              <w:rPr>
                <w:rFonts w:ascii="Arial"/>
                <w:sz w:val="22"/>
              </w:rPr>
            </w:r>
          </w:p>
        </w:tc>
      </w:tr>
    </w:tbl>
    <w:p>
      <w:pPr>
        <w:spacing w:line="240" w:lineRule="auto" w:before="3"/>
        <w:rPr>
          <w:rFonts w:ascii="Arial" w:hAnsi="Arial" w:cs="Arial" w:eastAsia="Arial" w:hint="default"/>
          <w:sz w:val="14"/>
          <w:szCs w:val="14"/>
        </w:rPr>
      </w:pPr>
    </w:p>
    <w:p>
      <w:pPr>
        <w:pStyle w:val="BodyText"/>
        <w:spacing w:line="230" w:lineRule="auto" w:before="42"/>
        <w:ind w:left="920" w:right="290" w:hanging="406"/>
        <w:jc w:val="both"/>
      </w:pPr>
      <w:r>
        <w:rPr>
          <w:spacing w:val="-10"/>
        </w:rPr>
        <w:t>注：于</w:t>
      </w:r>
      <w:r>
        <w:rPr>
          <w:spacing w:val="-68"/>
        </w:rPr>
        <w:t> </w:t>
      </w:r>
      <w:r>
        <w:rPr>
          <w:rFonts w:ascii="Arial" w:hAnsi="Arial" w:cs="Arial" w:eastAsia="Arial" w:hint="default"/>
        </w:rPr>
        <w:t>2008</w:t>
      </w:r>
      <w:r>
        <w:rPr>
          <w:rFonts w:ascii="Arial" w:hAnsi="Arial" w:cs="Arial" w:eastAsia="Arial" w:hint="default"/>
          <w:spacing w:val="-19"/>
        </w:rPr>
        <w:t> </w:t>
      </w:r>
      <w:r>
        <w:rPr/>
        <w:t>年</w:t>
      </w:r>
      <w:r>
        <w:rPr>
          <w:spacing w:val="-68"/>
        </w:rPr>
        <w:t> </w:t>
      </w:r>
      <w:r>
        <w:rPr>
          <w:rFonts w:ascii="Arial" w:hAnsi="Arial" w:cs="Arial" w:eastAsia="Arial" w:hint="default"/>
        </w:rPr>
        <w:t>12</w:t>
      </w:r>
      <w:r>
        <w:rPr>
          <w:rFonts w:ascii="Arial" w:hAnsi="Arial" w:cs="Arial" w:eastAsia="Arial" w:hint="default"/>
          <w:spacing w:val="-19"/>
        </w:rPr>
        <w:t> </w:t>
      </w:r>
      <w:r>
        <w:rPr/>
        <w:t>月，本公司所属子公司联通兴业处置了所持有的上市公司的股票，该股票原</w:t>
      </w:r>
      <w:r>
        <w:rPr>
          <w:w w:val="99"/>
        </w:rPr>
        <w:t> </w:t>
      </w:r>
      <w:r>
        <w:rPr/>
        <w:t>计入可供出售金融资产。截至处置交易完成前，联通兴业账面因可供出售金融资产公允价</w:t>
      </w:r>
      <w:r>
        <w:rPr>
          <w:spacing w:val="1"/>
          <w:w w:val="99"/>
        </w:rPr>
        <w:t> </w:t>
      </w:r>
      <w:r>
        <w:rPr/>
        <w:t>值变动累计计入资本公积部分的收益金额约人民币</w:t>
      </w:r>
      <w:r>
        <w:rPr>
          <w:spacing w:val="-61"/>
        </w:rPr>
        <w:t> </w:t>
      </w:r>
      <w:r>
        <w:rPr>
          <w:rFonts w:ascii="Arial" w:hAnsi="Arial" w:cs="Arial" w:eastAsia="Arial" w:hint="default"/>
        </w:rPr>
        <w:t>280</w:t>
      </w:r>
      <w:r>
        <w:rPr>
          <w:rFonts w:ascii="Arial" w:hAnsi="Arial" w:cs="Arial" w:eastAsia="Arial" w:hint="default"/>
          <w:spacing w:val="-12"/>
        </w:rPr>
        <w:t> </w:t>
      </w:r>
      <w:r>
        <w:rPr/>
        <w:t>万元，随处置一并自资本公积转出</w:t>
      </w:r>
      <w:r>
        <w:rPr>
          <w:w w:val="99"/>
        </w:rPr>
        <w:t> </w:t>
      </w:r>
      <w:r>
        <w:rPr/>
        <w:t>并计入投资收益。</w:t>
      </w:r>
    </w:p>
    <w:p>
      <w:pPr>
        <w:spacing w:after="0" w:line="230" w:lineRule="auto"/>
        <w:jc w:val="both"/>
        <w:sectPr>
          <w:headerReference w:type="default" r:id="rId125"/>
          <w:pgSz w:w="11910" w:h="16840"/>
          <w:pgMar w:header="1189" w:footer="752" w:top="3060" w:bottom="940" w:left="1260" w:right="820"/>
        </w:sectPr>
      </w:pPr>
    </w:p>
    <w:p>
      <w:pPr>
        <w:spacing w:line="240" w:lineRule="auto" w:before="12"/>
        <w:rPr>
          <w:rFonts w:ascii="宋体" w:hAnsi="宋体" w:cs="宋体" w:eastAsia="宋体" w:hint="default"/>
          <w:sz w:val="14"/>
          <w:szCs w:val="14"/>
        </w:rPr>
      </w:pPr>
    </w:p>
    <w:p>
      <w:pPr>
        <w:pStyle w:val="BodyText"/>
        <w:spacing w:line="240" w:lineRule="auto" w:before="31"/>
        <w:ind w:left="129" w:right="3260"/>
        <w:jc w:val="left"/>
        <w:rPr>
          <w:rFonts w:ascii="黑体" w:hAnsi="黑体" w:cs="黑体" w:eastAsia="黑体" w:hint="default"/>
        </w:rPr>
      </w:pPr>
      <w:r>
        <w:rPr>
          <w:rFonts w:ascii="Arial" w:hAnsi="Arial" w:cs="Arial" w:eastAsia="Arial" w:hint="default"/>
        </w:rPr>
        <w:t>49</w:t>
      </w:r>
      <w:r>
        <w:rPr/>
        <w:t>、</w:t>
      </w:r>
      <w:r>
        <w:rPr>
          <w:rFonts w:ascii="黑体" w:hAnsi="黑体" w:cs="黑体" w:eastAsia="黑体" w:hint="default"/>
        </w:rPr>
        <w:t>现金流量表项目注释</w:t>
      </w:r>
    </w:p>
    <w:p>
      <w:pPr>
        <w:spacing w:line="240" w:lineRule="auto" w:before="13"/>
        <w:rPr>
          <w:rFonts w:ascii="黑体" w:hAnsi="黑体" w:cs="黑体" w:eastAsia="黑体" w:hint="default"/>
          <w:sz w:val="17"/>
          <w:szCs w:val="17"/>
        </w:rPr>
      </w:pPr>
    </w:p>
    <w:p>
      <w:pPr>
        <w:pStyle w:val="BodyText"/>
        <w:spacing w:line="240" w:lineRule="auto"/>
        <w:ind w:left="102" w:right="3260"/>
        <w:jc w:val="left"/>
      </w:pPr>
      <w:r>
        <w:rPr>
          <w:rFonts w:ascii="Arial" w:hAnsi="Arial" w:cs="Arial" w:eastAsia="Arial" w:hint="default"/>
        </w:rPr>
        <w:t>(1) </w:t>
      </w:r>
      <w:r>
        <w:rPr>
          <w:rFonts w:ascii="Arial" w:hAnsi="Arial" w:cs="Arial" w:eastAsia="Arial" w:hint="default"/>
          <w:spacing w:val="28"/>
        </w:rPr>
        <w:t> </w:t>
      </w:r>
      <w:r>
        <w:rPr/>
        <w:t>持续经营业务收到的其他与经营活动有关的现金</w:t>
      </w:r>
    </w:p>
    <w:p>
      <w:pPr>
        <w:spacing w:line="240" w:lineRule="auto" w:before="12"/>
        <w:rPr>
          <w:rFonts w:ascii="宋体" w:hAnsi="宋体" w:cs="宋体" w:eastAsia="宋体" w:hint="default"/>
          <w:sz w:val="17"/>
          <w:szCs w:val="17"/>
        </w:rPr>
      </w:pPr>
    </w:p>
    <w:p>
      <w:pPr>
        <w:pStyle w:val="BodyText"/>
        <w:tabs>
          <w:tab w:pos="2211" w:val="left" w:leader="none"/>
        </w:tabs>
        <w:spacing w:line="302" w:lineRule="exact"/>
        <w:ind w:left="0" w:right="211"/>
        <w:jc w:val="right"/>
      </w:pPr>
      <w:r>
        <w:rPr>
          <w:rFonts w:ascii="Arial" w:hAnsi="Arial" w:cs="Arial" w:eastAsia="Arial" w:hint="default"/>
        </w:rPr>
        <w:t>2009</w:t>
      </w:r>
      <w:r>
        <w:rPr>
          <w:rFonts w:ascii="Arial" w:hAnsi="Arial" w:cs="Arial" w:eastAsia="Arial" w:hint="default"/>
          <w:spacing w:val="-8"/>
        </w:rPr>
        <w:t> </w:t>
      </w:r>
      <w:r>
        <w:rPr/>
        <w:t>年度</w:t>
        <w:tab/>
      </w:r>
      <w:r>
        <w:rPr>
          <w:rFonts w:ascii="Arial" w:hAnsi="Arial" w:cs="Arial" w:eastAsia="Arial" w:hint="default"/>
        </w:rPr>
        <w:t>2008</w:t>
      </w:r>
      <w:r>
        <w:rPr>
          <w:rFonts w:ascii="Arial" w:hAnsi="Arial" w:cs="Arial" w:eastAsia="Arial" w:hint="default"/>
          <w:spacing w:val="-8"/>
        </w:rPr>
        <w:t> </w:t>
      </w:r>
      <w:r>
        <w:rPr/>
        <w:t>年度</w:t>
      </w:r>
    </w:p>
    <w:p>
      <w:pPr>
        <w:pStyle w:val="BodyText"/>
        <w:spacing w:line="283" w:lineRule="exact"/>
        <w:ind w:left="0" w:right="212"/>
        <w:jc w:val="right"/>
      </w:pPr>
      <w:r>
        <w:rPr/>
        <w:pict>
          <v:group style="position:absolute;margin-left:331.619995pt;margin-top:.972953pt;width:214.9pt;height:.75pt;mso-position-horizontal-relative:page;mso-position-vertical-relative:paragraph;z-index:-911920" coordorigin="6632,19" coordsize="4298,15">
            <v:group style="position:absolute;left:6640;top:27;width:2030;height:2" coordorigin="6640,27" coordsize="2030,2">
              <v:shape style="position:absolute;left:6640;top:27;width:2030;height:2" coordorigin="6640,27" coordsize="2030,0" path="m6640,27l8669,27e" filled="false" stroked="true" strokeweight=".72pt" strokecolor="#000000">
                <v:path arrowok="t"/>
              </v:shape>
            </v:group>
            <v:group style="position:absolute;left:8738;top:27;width:2184;height:2" coordorigin="8738,27" coordsize="2184,2">
              <v:shape style="position:absolute;left:8738;top:27;width:2184;height:2" coordorigin="8738,27" coordsize="2184,0" path="m8738,27l10922,27e" filled="false" stroked="true" strokeweight=".72pt" strokecolor="#000000">
                <v:path arrowok="t"/>
              </v:shape>
            </v:group>
            <w10:wrap type="none"/>
          </v:group>
        </w:pict>
      </w:r>
      <w:r>
        <w:rPr>
          <w:w w:val="95"/>
        </w:rPr>
        <w:t>（经重列）</w:t>
      </w:r>
      <w:r>
        <w:rPr/>
      </w:r>
    </w:p>
    <w:p>
      <w:pPr>
        <w:pStyle w:val="BodyText"/>
        <w:tabs>
          <w:tab w:pos="6061" w:val="left" w:leader="none"/>
          <w:tab w:pos="8314" w:val="left" w:leader="none"/>
        </w:tabs>
        <w:spacing w:line="301" w:lineRule="exact"/>
        <w:ind w:left="565" w:right="125"/>
        <w:jc w:val="left"/>
        <w:rPr>
          <w:rFonts w:ascii="Arial" w:hAnsi="Arial" w:cs="Arial" w:eastAsia="Arial" w:hint="default"/>
        </w:rPr>
      </w:pPr>
      <w:r>
        <w:rPr>
          <w:w w:val="95"/>
          <w:position w:val="2"/>
        </w:rPr>
        <w:t>违约赔款收入</w:t>
        <w:tab/>
      </w:r>
      <w:r>
        <w:rPr>
          <w:rFonts w:ascii="Arial" w:hAnsi="Arial" w:cs="Arial" w:eastAsia="Arial" w:hint="default"/>
          <w:w w:val="95"/>
        </w:rPr>
        <w:t>166,098,841</w:t>
        <w:tab/>
      </w:r>
      <w:r>
        <w:rPr>
          <w:rFonts w:ascii="Arial" w:hAnsi="Arial" w:cs="Arial" w:eastAsia="Arial" w:hint="default"/>
        </w:rPr>
        <w:t>142,363,854</w:t>
      </w:r>
    </w:p>
    <w:p>
      <w:pPr>
        <w:pStyle w:val="BodyText"/>
        <w:tabs>
          <w:tab w:pos="6061" w:val="left" w:leader="none"/>
          <w:tab w:pos="8436" w:val="left" w:leader="none"/>
        </w:tabs>
        <w:spacing w:line="285" w:lineRule="exact"/>
        <w:ind w:left="565" w:right="125"/>
        <w:jc w:val="left"/>
        <w:rPr>
          <w:rFonts w:ascii="Arial" w:hAnsi="Arial" w:cs="Arial" w:eastAsia="Arial" w:hint="default"/>
        </w:rPr>
      </w:pPr>
      <w:r>
        <w:rPr>
          <w:w w:val="95"/>
          <w:position w:val="2"/>
        </w:rPr>
        <w:t>政府补助</w:t>
        <w:tab/>
      </w:r>
      <w:r>
        <w:rPr>
          <w:rFonts w:ascii="Arial" w:hAnsi="Arial" w:cs="Arial" w:eastAsia="Arial" w:hint="default"/>
          <w:w w:val="95"/>
        </w:rPr>
        <w:t>141,383,018</w:t>
        <w:tab/>
      </w:r>
      <w:r>
        <w:rPr>
          <w:rFonts w:ascii="Arial" w:hAnsi="Arial" w:cs="Arial" w:eastAsia="Arial" w:hint="default"/>
        </w:rPr>
        <w:t>74,454,394</w:t>
      </w:r>
    </w:p>
    <w:p>
      <w:pPr>
        <w:pStyle w:val="BodyText"/>
        <w:tabs>
          <w:tab w:pos="5359" w:val="left" w:leader="none"/>
          <w:tab w:pos="6061" w:val="left" w:leader="none"/>
          <w:tab w:pos="8314" w:val="left" w:leader="none"/>
          <w:tab w:pos="9642" w:val="left" w:leader="none"/>
        </w:tabs>
        <w:spacing w:line="305" w:lineRule="exact"/>
        <w:ind w:left="565" w:right="125"/>
        <w:jc w:val="left"/>
        <w:rPr>
          <w:rFonts w:ascii="Arial" w:hAnsi="Arial" w:cs="Arial" w:eastAsia="Arial" w:hint="default"/>
        </w:rPr>
      </w:pPr>
      <w:r>
        <w:rPr>
          <w:w w:val="95"/>
          <w:position w:val="2"/>
        </w:rPr>
        <w:t>其他</w:t>
        <w:tab/>
      </w:r>
      <w:r>
        <w:rPr>
          <w:rFonts w:ascii="Arial" w:hAnsi="Arial" w:cs="Arial" w:eastAsia="Arial" w:hint="default"/>
          <w:w w:val="95"/>
        </w:rPr>
      </w:r>
      <w:r>
        <w:rPr>
          <w:rFonts w:ascii="Arial" w:hAnsi="Arial" w:cs="Arial" w:eastAsia="Arial" w:hint="default"/>
          <w:w w:val="95"/>
          <w:u w:val="single" w:color="000000"/>
        </w:rPr>
        <w:t> </w:t>
        <w:tab/>
        <w:t>111,614,531</w:t>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182,310,287</w:t>
        <w:tab/>
      </w:r>
      <w:r>
        <w:rPr>
          <w:rFonts w:ascii="Arial" w:hAnsi="Arial" w:cs="Arial" w:eastAsia="Arial" w:hint="default"/>
        </w:rPr>
      </w:r>
    </w:p>
    <w:p>
      <w:pPr>
        <w:spacing w:line="240" w:lineRule="auto" w:before="7"/>
        <w:rPr>
          <w:rFonts w:ascii="Arial" w:hAnsi="Arial" w:cs="Arial" w:eastAsia="Arial" w:hint="default"/>
          <w:sz w:val="17"/>
          <w:szCs w:val="17"/>
        </w:rPr>
      </w:pPr>
    </w:p>
    <w:p>
      <w:pPr>
        <w:pStyle w:val="BodyText"/>
        <w:tabs>
          <w:tab w:pos="6061" w:val="left" w:leader="none"/>
          <w:tab w:pos="8314" w:val="left" w:leader="none"/>
        </w:tabs>
        <w:spacing w:line="240" w:lineRule="auto" w:before="27"/>
        <w:ind w:left="565" w:right="125"/>
        <w:jc w:val="left"/>
        <w:rPr>
          <w:rFonts w:ascii="Arial" w:hAnsi="Arial" w:cs="Arial" w:eastAsia="Arial" w:hint="default"/>
        </w:rPr>
      </w:pPr>
      <w:r>
        <w:rPr>
          <w:w w:val="95"/>
          <w:position w:val="2"/>
        </w:rPr>
        <w:t>合计</w:t>
        <w:tab/>
      </w:r>
      <w:r>
        <w:rPr>
          <w:rFonts w:ascii="Arial" w:hAnsi="Arial" w:cs="Arial" w:eastAsia="Arial" w:hint="default"/>
          <w:w w:val="95"/>
        </w:rPr>
        <w:t>419,096,390</w:t>
        <w:tab/>
      </w:r>
      <w:r>
        <w:rPr>
          <w:rFonts w:ascii="Arial" w:hAnsi="Arial" w:cs="Arial" w:eastAsia="Arial" w:hint="default"/>
        </w:rPr>
        <w:t>399,128,535</w:t>
      </w:r>
    </w:p>
    <w:p>
      <w:pPr>
        <w:spacing w:line="43" w:lineRule="exact"/>
        <w:ind w:left="5345" w:right="0" w:firstLine="0"/>
        <w:rPr>
          <w:rFonts w:ascii="Arial" w:hAnsi="Arial" w:cs="Arial" w:eastAsia="Arial" w:hint="default"/>
          <w:sz w:val="4"/>
          <w:szCs w:val="4"/>
        </w:rPr>
      </w:pPr>
      <w:r>
        <w:rPr>
          <w:rFonts w:ascii="Arial" w:hAnsi="Arial" w:cs="Arial" w:eastAsia="Arial" w:hint="default"/>
          <w:position w:val="0"/>
          <w:sz w:val="4"/>
          <w:szCs w:val="4"/>
        </w:rPr>
        <w:pict>
          <v:group style="width:215.6pt;height:2.2pt;mso-position-horizontal-relative:char;mso-position-vertical-relative:line" coordorigin="0,0" coordsize="4312,44">
            <v:group style="position:absolute;left:7;top:36;width:2044;height:2" coordorigin="7,36" coordsize="2044,2">
              <v:shape style="position:absolute;left:7;top:36;width:2044;height:2" coordorigin="7,36" coordsize="2044,0" path="m7,36l2051,36e" filled="false" stroked="true" strokeweight=".72pt" strokecolor="#000000">
                <v:path arrowok="t"/>
              </v:shape>
            </v:group>
            <v:group style="position:absolute;left:7;top:7;width:2044;height:2" coordorigin="7,7" coordsize="2044,2">
              <v:shape style="position:absolute;left:7;top:7;width:2044;height:2" coordorigin="7,7" coordsize="2044,0" path="m7,7l2051,7e" filled="false" stroked="true" strokeweight=".72pt" strokecolor="#000000">
                <v:path arrowok="t"/>
              </v:shape>
            </v:group>
            <v:group style="position:absolute;left:2106;top:36;width:2199;height:2" coordorigin="2106,36" coordsize="2199,2">
              <v:shape style="position:absolute;left:2106;top:36;width:2199;height:2" coordorigin="2106,36" coordsize="2199,0" path="m2106,36l4304,36e" filled="false" stroked="true" strokeweight=".72pt" strokecolor="#000000">
                <v:path arrowok="t"/>
              </v:shape>
            </v:group>
            <v:group style="position:absolute;left:2106;top:7;width:2199;height:2" coordorigin="2106,7" coordsize="2199,2">
              <v:shape style="position:absolute;left:2106;top:7;width:2199;height:2" coordorigin="2106,7" coordsize="2199,0" path="m2106,7l4304,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5"/>
        <w:rPr>
          <w:rFonts w:ascii="Arial" w:hAnsi="Arial" w:cs="Arial" w:eastAsia="Arial" w:hint="default"/>
          <w:sz w:val="16"/>
          <w:szCs w:val="16"/>
        </w:rPr>
      </w:pPr>
    </w:p>
    <w:p>
      <w:pPr>
        <w:pStyle w:val="BodyText"/>
        <w:spacing w:line="240" w:lineRule="auto" w:before="31"/>
        <w:ind w:left="102" w:right="3260"/>
        <w:jc w:val="left"/>
      </w:pPr>
      <w:r>
        <w:rPr>
          <w:rFonts w:ascii="Arial" w:hAnsi="Arial" w:cs="Arial" w:eastAsia="Arial" w:hint="default"/>
        </w:rPr>
        <w:t>(2)  </w:t>
      </w:r>
      <w:r>
        <w:rPr>
          <w:rFonts w:ascii="Arial" w:hAnsi="Arial" w:cs="Arial" w:eastAsia="Arial" w:hint="default"/>
          <w:spacing w:val="9"/>
        </w:rPr>
        <w:t> </w:t>
      </w:r>
      <w:r>
        <w:rPr/>
        <w:t>持续经营业务收到的其他与投资活动有关的现金</w:t>
      </w:r>
    </w:p>
    <w:p>
      <w:pPr>
        <w:spacing w:line="240" w:lineRule="auto" w:before="6"/>
        <w:rPr>
          <w:rFonts w:ascii="宋体" w:hAnsi="宋体" w:cs="宋体" w:eastAsia="宋体" w:hint="default"/>
          <w:sz w:val="15"/>
          <w:szCs w:val="15"/>
        </w:rPr>
      </w:pPr>
    </w:p>
    <w:p>
      <w:pPr>
        <w:pStyle w:val="BodyText"/>
        <w:tabs>
          <w:tab w:pos="2211" w:val="left" w:leader="none"/>
        </w:tabs>
        <w:spacing w:line="302" w:lineRule="exact" w:before="32"/>
        <w:ind w:left="0" w:right="211"/>
        <w:jc w:val="right"/>
      </w:pPr>
      <w:r>
        <w:rPr>
          <w:rFonts w:ascii="Arial" w:hAnsi="Arial" w:cs="Arial" w:eastAsia="Arial" w:hint="default"/>
        </w:rPr>
        <w:t>2009</w:t>
      </w:r>
      <w:r>
        <w:rPr>
          <w:rFonts w:ascii="Arial" w:hAnsi="Arial" w:cs="Arial" w:eastAsia="Arial" w:hint="default"/>
          <w:spacing w:val="-8"/>
        </w:rPr>
        <w:t> </w:t>
      </w:r>
      <w:r>
        <w:rPr/>
        <w:t>年度</w:t>
        <w:tab/>
      </w:r>
      <w:r>
        <w:rPr>
          <w:rFonts w:ascii="Arial" w:hAnsi="Arial" w:cs="Arial" w:eastAsia="Arial" w:hint="default"/>
        </w:rPr>
        <w:t>2008</w:t>
      </w:r>
      <w:r>
        <w:rPr>
          <w:rFonts w:ascii="Arial" w:hAnsi="Arial" w:cs="Arial" w:eastAsia="Arial" w:hint="default"/>
          <w:spacing w:val="-8"/>
        </w:rPr>
        <w:t> </w:t>
      </w:r>
      <w:r>
        <w:rPr/>
        <w:t>年度</w:t>
      </w:r>
    </w:p>
    <w:p>
      <w:pPr>
        <w:pStyle w:val="BodyText"/>
        <w:spacing w:line="287" w:lineRule="exact"/>
        <w:ind w:left="0" w:right="212"/>
        <w:jc w:val="right"/>
      </w:pPr>
      <w:r>
        <w:rPr/>
        <w:pict>
          <v:group style="position:absolute;margin-left:331.619995pt;margin-top:.967375pt;width:214.9pt;height:.75pt;mso-position-horizontal-relative:page;mso-position-vertical-relative:paragraph;z-index:-911896" coordorigin="6632,19" coordsize="4298,15">
            <v:group style="position:absolute;left:6640;top:27;width:2030;height:2" coordorigin="6640,27" coordsize="2030,2">
              <v:shape style="position:absolute;left:6640;top:27;width:2030;height:2" coordorigin="6640,27" coordsize="2030,0" path="m6640,27l8669,27e" filled="false" stroked="true" strokeweight=".72pt" strokecolor="#000000">
                <v:path arrowok="t"/>
              </v:shape>
            </v:group>
            <v:group style="position:absolute;left:8738;top:27;width:2184;height:2" coordorigin="8738,27" coordsize="2184,2">
              <v:shape style="position:absolute;left:8738;top:27;width:2184;height:2" coordorigin="8738,27" coordsize="2184,0" path="m8738,27l10922,27e" filled="false" stroked="true" strokeweight=".72pt" strokecolor="#000000">
                <v:path arrowok="t"/>
              </v:shape>
            </v:group>
            <w10:wrap type="none"/>
          </v:group>
        </w:pict>
      </w:r>
      <w:r>
        <w:rPr>
          <w:w w:val="95"/>
        </w:rPr>
        <w:t>（经重列）</w:t>
      </w:r>
      <w:r>
        <w:rPr/>
      </w:r>
    </w:p>
    <w:p>
      <w:pPr>
        <w:spacing w:line="240" w:lineRule="auto" w:before="8"/>
        <w:rPr>
          <w:rFonts w:ascii="宋体" w:hAnsi="宋体" w:cs="宋体" w:eastAsia="宋体" w:hint="default"/>
          <w:sz w:val="16"/>
          <w:szCs w:val="16"/>
        </w:rPr>
      </w:pPr>
    </w:p>
    <w:p>
      <w:pPr>
        <w:pStyle w:val="BodyText"/>
        <w:tabs>
          <w:tab w:pos="6061" w:val="left" w:leader="none"/>
          <w:tab w:pos="8131" w:val="left" w:leader="none"/>
        </w:tabs>
        <w:spacing w:line="240" w:lineRule="auto" w:before="27"/>
        <w:ind w:left="565" w:right="125"/>
        <w:jc w:val="left"/>
        <w:rPr>
          <w:rFonts w:ascii="Arial" w:hAnsi="Arial" w:cs="Arial" w:eastAsia="Arial" w:hint="default"/>
        </w:rPr>
      </w:pPr>
      <w:r>
        <w:rPr>
          <w:rFonts w:ascii="Arial" w:hAnsi="Arial" w:cs="Arial" w:eastAsia="Arial" w:hint="default"/>
          <w:position w:val="2"/>
        </w:rPr>
        <w:t>3</w:t>
      </w:r>
      <w:r>
        <w:rPr>
          <w:rFonts w:ascii="Arial" w:hAnsi="Arial" w:cs="Arial" w:eastAsia="Arial" w:hint="default"/>
          <w:spacing w:val="-9"/>
          <w:position w:val="2"/>
        </w:rPr>
        <w:t> </w:t>
      </w:r>
      <w:r>
        <w:rPr>
          <w:position w:val="2"/>
        </w:rPr>
        <w:t>个月以上银行存款及限制性存款的减少</w:t>
        <w:tab/>
      </w:r>
      <w:r>
        <w:rPr>
          <w:rFonts w:ascii="Arial" w:hAnsi="Arial" w:cs="Arial" w:eastAsia="Arial" w:hint="default"/>
          <w:w w:val="95"/>
        </w:rPr>
        <w:t>238,259,536</w:t>
        <w:tab/>
      </w:r>
      <w:r>
        <w:rPr>
          <w:rFonts w:ascii="Arial" w:hAnsi="Arial" w:cs="Arial" w:eastAsia="Arial" w:hint="default"/>
        </w:rPr>
        <w:t>1,092,162,929</w:t>
      </w:r>
    </w:p>
    <w:p>
      <w:pPr>
        <w:spacing w:line="43" w:lineRule="exact"/>
        <w:ind w:left="5345" w:right="0" w:firstLine="0"/>
        <w:rPr>
          <w:rFonts w:ascii="Arial" w:hAnsi="Arial" w:cs="Arial" w:eastAsia="Arial" w:hint="default"/>
          <w:sz w:val="4"/>
          <w:szCs w:val="4"/>
        </w:rPr>
      </w:pPr>
      <w:r>
        <w:rPr>
          <w:rFonts w:ascii="Arial" w:hAnsi="Arial" w:cs="Arial" w:eastAsia="Arial" w:hint="default"/>
          <w:position w:val="0"/>
          <w:sz w:val="4"/>
          <w:szCs w:val="4"/>
        </w:rPr>
        <w:pict>
          <v:group style="width:215.6pt;height:2.2pt;mso-position-horizontal-relative:char;mso-position-vertical-relative:line" coordorigin="0,0" coordsize="4312,44">
            <v:group style="position:absolute;left:7;top:36;width:2044;height:2" coordorigin="7,36" coordsize="2044,2">
              <v:shape style="position:absolute;left:7;top:36;width:2044;height:2" coordorigin="7,36" coordsize="2044,0" path="m7,36l2051,36e" filled="false" stroked="true" strokeweight=".72pt" strokecolor="#000000">
                <v:path arrowok="t"/>
              </v:shape>
            </v:group>
            <v:group style="position:absolute;left:7;top:7;width:2044;height:2" coordorigin="7,7" coordsize="2044,2">
              <v:shape style="position:absolute;left:7;top:7;width:2044;height:2" coordorigin="7,7" coordsize="2044,0" path="m7,7l2051,7e" filled="false" stroked="true" strokeweight=".72pt" strokecolor="#000000">
                <v:path arrowok="t"/>
              </v:shape>
            </v:group>
            <v:group style="position:absolute;left:2106;top:36;width:2199;height:2" coordorigin="2106,36" coordsize="2199,2">
              <v:shape style="position:absolute;left:2106;top:36;width:2199;height:2" coordorigin="2106,36" coordsize="2199,0" path="m2106,36l4304,36e" filled="false" stroked="true" strokeweight=".72pt" strokecolor="#000000">
                <v:path arrowok="t"/>
              </v:shape>
            </v:group>
            <v:group style="position:absolute;left:2106;top:7;width:2199;height:2" coordorigin="2106,7" coordsize="2199,2">
              <v:shape style="position:absolute;left:2106;top:7;width:2199;height:2" coordorigin="2106,7" coordsize="2199,0" path="m2106,7l4304,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5"/>
        <w:rPr>
          <w:rFonts w:ascii="Arial" w:hAnsi="Arial" w:cs="Arial" w:eastAsia="Arial" w:hint="default"/>
          <w:sz w:val="16"/>
          <w:szCs w:val="16"/>
        </w:rPr>
      </w:pPr>
    </w:p>
    <w:p>
      <w:pPr>
        <w:pStyle w:val="BodyText"/>
        <w:spacing w:line="240" w:lineRule="auto" w:before="31"/>
        <w:ind w:left="116" w:right="3260"/>
        <w:jc w:val="left"/>
      </w:pPr>
      <w:r>
        <w:rPr>
          <w:rFonts w:ascii="Arial" w:hAnsi="Arial" w:cs="Arial" w:eastAsia="Arial" w:hint="default"/>
        </w:rPr>
        <w:t>(3) </w:t>
      </w:r>
      <w:r>
        <w:rPr>
          <w:rFonts w:ascii="Arial" w:hAnsi="Arial" w:cs="Arial" w:eastAsia="Arial" w:hint="default"/>
          <w:spacing w:val="55"/>
        </w:rPr>
        <w:t> </w:t>
      </w:r>
      <w:r>
        <w:rPr/>
        <w:t>持续经营业务支付的其他与投资活动有关的现金</w:t>
      </w:r>
    </w:p>
    <w:p>
      <w:pPr>
        <w:spacing w:line="240" w:lineRule="auto" w:before="7"/>
        <w:rPr>
          <w:rFonts w:ascii="宋体" w:hAnsi="宋体" w:cs="宋体" w:eastAsia="宋体" w:hint="default"/>
          <w:sz w:val="15"/>
          <w:szCs w:val="15"/>
        </w:rPr>
      </w:pPr>
    </w:p>
    <w:p>
      <w:pPr>
        <w:pStyle w:val="BodyText"/>
        <w:tabs>
          <w:tab w:pos="2101" w:val="left" w:leader="none"/>
        </w:tabs>
        <w:spacing w:line="302" w:lineRule="exact" w:before="32"/>
        <w:ind w:left="0" w:right="209"/>
        <w:jc w:val="right"/>
      </w:pPr>
      <w:r>
        <w:rPr>
          <w:rFonts w:ascii="Arial" w:hAnsi="Arial" w:cs="Arial" w:eastAsia="Arial" w:hint="default"/>
        </w:rPr>
        <w:t>2009</w:t>
      </w:r>
      <w:r>
        <w:rPr>
          <w:rFonts w:ascii="Arial" w:hAnsi="Arial" w:cs="Arial" w:eastAsia="Arial" w:hint="default"/>
          <w:spacing w:val="-8"/>
        </w:rPr>
        <w:t> </w:t>
      </w:r>
      <w:r>
        <w:rPr/>
        <w:t>年度</w:t>
        <w:tab/>
      </w:r>
      <w:r>
        <w:rPr>
          <w:rFonts w:ascii="Arial" w:hAnsi="Arial" w:cs="Arial" w:eastAsia="Arial" w:hint="default"/>
        </w:rPr>
        <w:t>2008</w:t>
      </w:r>
      <w:r>
        <w:rPr>
          <w:rFonts w:ascii="Arial" w:hAnsi="Arial" w:cs="Arial" w:eastAsia="Arial" w:hint="default"/>
          <w:spacing w:val="-8"/>
        </w:rPr>
        <w:t> </w:t>
      </w:r>
      <w:r>
        <w:rPr/>
        <w:t>年度</w:t>
      </w:r>
    </w:p>
    <w:p>
      <w:pPr>
        <w:pStyle w:val="BodyText"/>
        <w:spacing w:line="287" w:lineRule="exact"/>
        <w:ind w:left="0" w:right="211"/>
        <w:jc w:val="right"/>
      </w:pPr>
      <w:r>
        <w:rPr/>
        <w:pict>
          <v:group style="position:absolute;margin-left:334.739990pt;margin-top:1.327382pt;width:104.3pt;height:.1pt;mso-position-horizontal-relative:page;mso-position-vertical-relative:paragraph;z-index:7624" coordorigin="6695,27" coordsize="2086,2">
            <v:shape style="position:absolute;left:6695;top:27;width:2086;height:2" coordorigin="6695,27" coordsize="2086,0" path="m6695,27l8780,27e" filled="false" stroked="true" strokeweight=".72pt" strokecolor="#000000">
              <v:path arrowok="t"/>
            </v:shape>
            <w10:wrap type="none"/>
          </v:group>
        </w:pict>
      </w:r>
      <w:r>
        <w:rPr/>
        <w:pict>
          <v:group style="position:absolute;margin-left:446.040009pt;margin-top:1.327382pt;width:100.1pt;height:.1pt;mso-position-horizontal-relative:page;mso-position-vertical-relative:paragraph;z-index:-911848" coordorigin="8921,27" coordsize="2002,2">
            <v:shape style="position:absolute;left:8921;top:27;width:2002;height:2" coordorigin="8921,27" coordsize="2002,0" path="m8921,27l10922,27e" filled="false" stroked="true" strokeweight=".72pt" strokecolor="#000000">
              <v:path arrowok="t"/>
            </v:shape>
            <w10:wrap type="none"/>
          </v:group>
        </w:pict>
      </w:r>
      <w:r>
        <w:rPr>
          <w:w w:val="95"/>
        </w:rPr>
        <w:t>（经重列）</w:t>
      </w:r>
      <w:r>
        <w:rPr/>
      </w:r>
    </w:p>
    <w:p>
      <w:pPr>
        <w:spacing w:line="240" w:lineRule="auto" w:before="8"/>
        <w:rPr>
          <w:rFonts w:ascii="宋体" w:hAnsi="宋体" w:cs="宋体" w:eastAsia="宋体" w:hint="default"/>
          <w:sz w:val="16"/>
          <w:szCs w:val="16"/>
        </w:rPr>
      </w:pPr>
    </w:p>
    <w:p>
      <w:pPr>
        <w:pStyle w:val="BodyText"/>
        <w:tabs>
          <w:tab w:pos="6200" w:val="left" w:leader="none"/>
          <w:tab w:pos="8371" w:val="left" w:leader="none"/>
        </w:tabs>
        <w:spacing w:line="240" w:lineRule="auto" w:before="27"/>
        <w:ind w:left="565" w:right="125"/>
        <w:jc w:val="left"/>
        <w:rPr>
          <w:rFonts w:ascii="Arial" w:hAnsi="Arial" w:cs="Arial" w:eastAsia="Arial" w:hint="default"/>
        </w:rPr>
      </w:pPr>
      <w:r>
        <w:rPr>
          <w:rFonts w:ascii="Arial" w:hAnsi="Arial" w:cs="Arial" w:eastAsia="Arial" w:hint="default"/>
          <w:position w:val="2"/>
        </w:rPr>
        <w:t>3</w:t>
      </w:r>
      <w:r>
        <w:rPr>
          <w:rFonts w:ascii="Arial" w:hAnsi="Arial" w:cs="Arial" w:eastAsia="Arial" w:hint="default"/>
          <w:spacing w:val="-9"/>
          <w:position w:val="2"/>
        </w:rPr>
        <w:t> </w:t>
      </w:r>
      <w:r>
        <w:rPr>
          <w:position w:val="2"/>
        </w:rPr>
        <w:t>个月以上银行存款及限制性存款的增加</w:t>
        <w:tab/>
      </w:r>
      <w:r>
        <w:rPr>
          <w:rFonts w:ascii="Arial" w:hAnsi="Arial" w:cs="Arial" w:eastAsia="Arial" w:hint="default"/>
          <w:w w:val="95"/>
        </w:rPr>
        <w:t>897,650,802</w:t>
        <w:tab/>
      </w:r>
      <w:r>
        <w:rPr>
          <w:rFonts w:ascii="Arial" w:hAnsi="Arial" w:cs="Arial" w:eastAsia="Arial" w:hint="default"/>
        </w:rPr>
        <w:t>677,151,767</w:t>
      </w:r>
    </w:p>
    <w:p>
      <w:pPr>
        <w:spacing w:line="43" w:lineRule="exact"/>
        <w:ind w:left="5400" w:right="0" w:firstLine="0"/>
        <w:rPr>
          <w:rFonts w:ascii="Arial" w:hAnsi="Arial" w:cs="Arial" w:eastAsia="Arial" w:hint="default"/>
          <w:sz w:val="4"/>
          <w:szCs w:val="4"/>
        </w:rPr>
      </w:pPr>
      <w:r>
        <w:rPr>
          <w:rFonts w:ascii="Arial"/>
          <w:position w:val="0"/>
          <w:sz w:val="4"/>
        </w:rPr>
        <w:pict>
          <v:group style="width:105.75pt;height:2.2pt;mso-position-horizontal-relative:char;mso-position-vertical-relative:line" coordorigin="0,0" coordsize="2115,44">
            <v:group style="position:absolute;left:7;top:36;width:2100;height:2" coordorigin="7,36" coordsize="2100,2">
              <v:shape style="position:absolute;left:7;top:36;width:2100;height:2" coordorigin="7,36" coordsize="2100,0" path="m7,36l2107,36e" filled="false" stroked="true" strokeweight=".72pt" strokecolor="#000000">
                <v:path arrowok="t"/>
              </v:shape>
            </v:group>
            <v:group style="position:absolute;left:7;top:7;width:2100;height:2" coordorigin="7,7" coordsize="2100,2">
              <v:shape style="position:absolute;left:7;top:7;width:2100;height:2" coordorigin="7,7" coordsize="2100,0" path="m7,7l2107,7e" filled="false" stroked="true" strokeweight=".72pt" strokecolor="#000000">
                <v:path arrowok="t"/>
              </v:shape>
            </v:group>
          </v:group>
        </w:pict>
      </w:r>
      <w:r>
        <w:rPr>
          <w:rFonts w:ascii="Arial"/>
          <w:position w:val="0"/>
          <w:sz w:val="4"/>
        </w:rPr>
      </w:r>
      <w:r>
        <w:rPr>
          <w:rFonts w:ascii="Times New Roman"/>
          <w:spacing w:val="96"/>
          <w:position w:val="0"/>
          <w:sz w:val="4"/>
        </w:rPr>
        <w:t> </w:t>
      </w:r>
      <w:r>
        <w:rPr>
          <w:rFonts w:ascii="Arial"/>
          <w:spacing w:val="96"/>
          <w:position w:val="0"/>
          <w:sz w:val="4"/>
        </w:rPr>
        <w:pict>
          <v:group style="width:101.55pt;height:2.2pt;mso-position-horizontal-relative:char;mso-position-vertical-relative:line" coordorigin="0,0" coordsize="2031,44">
            <v:group style="position:absolute;left:7;top:36;width:2016;height:2" coordorigin="7,36" coordsize="2016,2">
              <v:shape style="position:absolute;left:7;top:36;width:2016;height:2" coordorigin="7,36" coordsize="2016,0" path="m7,36l2023,36e" filled="false" stroked="true" strokeweight=".72pt" strokecolor="#000000">
                <v:path arrowok="t"/>
              </v:shape>
            </v:group>
            <v:group style="position:absolute;left:7;top:7;width:2016;height:2" coordorigin="7,7" coordsize="2016,2">
              <v:shape style="position:absolute;left:7;top:7;width:2016;height:2" coordorigin="7,7" coordsize="2016,0" path="m7,7l2023,7e" filled="false" stroked="true" strokeweight=".72pt" strokecolor="#000000">
                <v:path arrowok="t"/>
              </v:shape>
            </v:group>
          </v:group>
        </w:pict>
      </w:r>
      <w:r>
        <w:rPr>
          <w:rFonts w:ascii="Arial"/>
          <w:spacing w:val="96"/>
          <w:position w:val="0"/>
          <w:sz w:val="4"/>
        </w:rPr>
      </w:r>
    </w:p>
    <w:p>
      <w:pPr>
        <w:spacing w:after="0" w:line="43" w:lineRule="exact"/>
        <w:rPr>
          <w:rFonts w:ascii="Arial" w:hAnsi="Arial" w:cs="Arial" w:eastAsia="Arial" w:hint="default"/>
          <w:sz w:val="4"/>
          <w:szCs w:val="4"/>
        </w:rPr>
        <w:sectPr>
          <w:headerReference w:type="default" r:id="rId126"/>
          <w:pgSz w:w="11910" w:h="16840"/>
          <w:pgMar w:header="1189" w:footer="752" w:top="3060" w:bottom="940" w:left="1280" w:right="860"/>
        </w:sectPr>
      </w:pPr>
    </w:p>
    <w:p>
      <w:pPr>
        <w:spacing w:line="240" w:lineRule="auto" w:before="11"/>
        <w:rPr>
          <w:rFonts w:ascii="Arial" w:hAnsi="Arial" w:cs="Arial" w:eastAsia="Arial" w:hint="default"/>
          <w:sz w:val="16"/>
          <w:szCs w:val="16"/>
        </w:rPr>
      </w:pPr>
    </w:p>
    <w:p>
      <w:pPr>
        <w:pStyle w:val="BodyText"/>
        <w:spacing w:line="240" w:lineRule="auto" w:before="31"/>
        <w:ind w:left="142" w:right="207"/>
        <w:jc w:val="left"/>
        <w:rPr>
          <w:rFonts w:ascii="黑体" w:hAnsi="黑体" w:cs="黑体" w:eastAsia="黑体" w:hint="default"/>
        </w:rPr>
      </w:pPr>
      <w:r>
        <w:rPr>
          <w:rFonts w:ascii="Arial" w:hAnsi="Arial" w:cs="Arial" w:eastAsia="Arial" w:hint="default"/>
        </w:rPr>
        <w:t>50</w:t>
      </w:r>
      <w:r>
        <w:rPr/>
        <w:t>、</w:t>
      </w:r>
      <w:r>
        <w:rPr>
          <w:rFonts w:ascii="黑体" w:hAnsi="黑体" w:cs="黑体" w:eastAsia="黑体" w:hint="default"/>
        </w:rPr>
        <w:t>现金流量表补充资料</w:t>
      </w:r>
    </w:p>
    <w:p>
      <w:pPr>
        <w:spacing w:line="240" w:lineRule="auto" w:before="12"/>
        <w:rPr>
          <w:rFonts w:ascii="黑体" w:hAnsi="黑体" w:cs="黑体" w:eastAsia="黑体" w:hint="default"/>
          <w:sz w:val="9"/>
          <w:szCs w:val="9"/>
        </w:rPr>
      </w:pPr>
    </w:p>
    <w:tbl>
      <w:tblPr>
        <w:tblW w:w="0" w:type="auto"/>
        <w:jc w:val="left"/>
        <w:tblInd w:w="107" w:type="dxa"/>
        <w:tblLayout w:type="fixed"/>
        <w:tblCellMar>
          <w:top w:w="0" w:type="dxa"/>
          <w:left w:w="0" w:type="dxa"/>
          <w:bottom w:w="0" w:type="dxa"/>
          <w:right w:w="0" w:type="dxa"/>
        </w:tblCellMar>
        <w:tblLook w:val="01E0"/>
      </w:tblPr>
      <w:tblGrid>
        <w:gridCol w:w="427"/>
        <w:gridCol w:w="7013"/>
        <w:gridCol w:w="115"/>
        <w:gridCol w:w="2083"/>
      </w:tblGrid>
      <w:tr>
        <w:trPr>
          <w:trHeight w:val="1278" w:hRule="exact"/>
        </w:trPr>
        <w:tc>
          <w:tcPr>
            <w:tcW w:w="427"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2"/>
                <w:szCs w:val="22"/>
              </w:rPr>
            </w:pPr>
            <w:r>
              <w:rPr>
                <w:rFonts w:ascii="Arial" w:hAnsi="Arial" w:cs="Arial" w:eastAsia="Arial" w:hint="default"/>
                <w:sz w:val="22"/>
                <w:szCs w:val="22"/>
              </w:rPr>
              <w:t>1</w:t>
            </w:r>
            <w:r>
              <w:rPr>
                <w:rFonts w:ascii="宋体" w:hAnsi="宋体" w:cs="宋体" w:eastAsia="宋体" w:hint="default"/>
                <w:sz w:val="22"/>
                <w:szCs w:val="22"/>
              </w:rPr>
              <w:t>、</w:t>
            </w:r>
          </w:p>
        </w:tc>
        <w:tc>
          <w:tcPr>
            <w:tcW w:w="7013" w:type="dxa"/>
            <w:tcBorders>
              <w:top w:val="nil" w:sz="6" w:space="0" w:color="auto"/>
              <w:left w:val="nil" w:sz="6" w:space="0" w:color="auto"/>
              <w:bottom w:val="single" w:sz="6" w:space="0" w:color="000000"/>
              <w:right w:val="nil" w:sz="6" w:space="0" w:color="auto"/>
            </w:tcBorders>
          </w:tcPr>
          <w:p>
            <w:pPr>
              <w:pStyle w:val="TableParagraph"/>
              <w:spacing w:line="388" w:lineRule="auto" w:before="31"/>
              <w:ind w:left="70" w:right="341" w:hanging="1"/>
              <w:jc w:val="left"/>
              <w:rPr>
                <w:rFonts w:ascii="宋体" w:hAnsi="宋体" w:cs="宋体" w:eastAsia="宋体" w:hint="default"/>
                <w:sz w:val="22"/>
                <w:szCs w:val="22"/>
              </w:rPr>
            </w:pPr>
            <w:r>
              <w:rPr>
                <w:rFonts w:ascii="宋体" w:hAnsi="宋体" w:cs="宋体" w:eastAsia="宋体" w:hint="default"/>
                <w:sz w:val="22"/>
                <w:szCs w:val="22"/>
              </w:rPr>
              <w:t>现金流量表补充资料</w:t>
            </w:r>
            <w:r>
              <w:rPr>
                <w:rFonts w:ascii="宋体" w:hAnsi="宋体" w:cs="宋体" w:eastAsia="宋体" w:hint="default"/>
                <w:w w:val="99"/>
                <w:sz w:val="22"/>
                <w:szCs w:val="22"/>
              </w:rPr>
              <w:t> </w:t>
            </w:r>
            <w:r>
              <w:rPr>
                <w:rFonts w:ascii="宋体" w:hAnsi="宋体" w:cs="宋体" w:eastAsia="宋体" w:hint="default"/>
                <w:sz w:val="22"/>
                <w:szCs w:val="22"/>
              </w:rPr>
              <w:t>将持续经营业务合并净利润调节为持续经营业务经营活动现金流量：</w:t>
            </w:r>
          </w:p>
          <w:p>
            <w:pPr>
              <w:pStyle w:val="TableParagraph"/>
              <w:spacing w:line="240" w:lineRule="auto" w:before="41"/>
              <w:ind w:right="53"/>
              <w:jc w:val="right"/>
              <w:rPr>
                <w:rFonts w:ascii="宋体" w:hAnsi="宋体" w:cs="宋体" w:eastAsia="宋体" w:hint="default"/>
                <w:sz w:val="21"/>
                <w:szCs w:val="21"/>
              </w:rPr>
            </w:pPr>
            <w:r>
              <w:rPr>
                <w:rFonts w:ascii="Arial" w:hAnsi="Arial" w:cs="Arial" w:eastAsia="Arial" w:hint="default"/>
                <w:sz w:val="21"/>
                <w:szCs w:val="21"/>
              </w:rPr>
              <w:t>2009</w:t>
            </w:r>
            <w:r>
              <w:rPr>
                <w:rFonts w:ascii="Arial" w:hAnsi="Arial" w:cs="Arial" w:eastAsia="Arial" w:hint="default"/>
                <w:spacing w:val="-10"/>
                <w:sz w:val="21"/>
                <w:szCs w:val="21"/>
              </w:rPr>
              <w:t> </w:t>
            </w:r>
            <w:r>
              <w:rPr>
                <w:rFonts w:ascii="宋体" w:hAnsi="宋体" w:cs="宋体" w:eastAsia="宋体" w:hint="default"/>
                <w:sz w:val="21"/>
                <w:szCs w:val="21"/>
              </w:rPr>
              <w:t>年度</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黑体" w:hAnsi="黑体" w:cs="黑体" w:eastAsia="黑体" w:hint="default"/>
                <w:sz w:val="22"/>
                <w:szCs w:val="22"/>
              </w:rPr>
            </w:pPr>
          </w:p>
          <w:p>
            <w:pPr>
              <w:pStyle w:val="TableParagraph"/>
              <w:spacing w:line="240" w:lineRule="auto"/>
              <w:ind w:right="0"/>
              <w:jc w:val="left"/>
              <w:rPr>
                <w:rFonts w:ascii="黑体" w:hAnsi="黑体" w:cs="黑体" w:eastAsia="黑体" w:hint="default"/>
                <w:sz w:val="22"/>
                <w:szCs w:val="22"/>
              </w:rPr>
            </w:pPr>
          </w:p>
          <w:p>
            <w:pPr>
              <w:pStyle w:val="TableParagraph"/>
              <w:spacing w:line="240" w:lineRule="auto" w:before="8"/>
              <w:ind w:right="0"/>
              <w:jc w:val="left"/>
              <w:rPr>
                <w:rFonts w:ascii="黑体" w:hAnsi="黑体" w:cs="黑体" w:eastAsia="黑体" w:hint="default"/>
                <w:sz w:val="29"/>
                <w:szCs w:val="29"/>
              </w:rPr>
            </w:pPr>
          </w:p>
          <w:p>
            <w:pPr>
              <w:pStyle w:val="TableParagraph"/>
              <w:spacing w:line="240" w:lineRule="auto"/>
              <w:ind w:right="26"/>
              <w:jc w:val="right"/>
              <w:rPr>
                <w:rFonts w:ascii="宋体" w:hAnsi="宋体" w:cs="宋体" w:eastAsia="宋体" w:hint="default"/>
                <w:sz w:val="21"/>
                <w:szCs w:val="21"/>
              </w:rPr>
            </w:pPr>
            <w:r>
              <w:rPr>
                <w:rFonts w:ascii="Arial" w:hAnsi="Arial" w:cs="Arial" w:eastAsia="Arial" w:hint="default"/>
                <w:sz w:val="21"/>
                <w:szCs w:val="21"/>
              </w:rPr>
              <w:t>2008</w:t>
            </w:r>
            <w:r>
              <w:rPr>
                <w:rFonts w:ascii="Arial" w:hAnsi="Arial" w:cs="Arial" w:eastAsia="Arial" w:hint="default"/>
                <w:spacing w:val="-10"/>
                <w:sz w:val="21"/>
                <w:szCs w:val="21"/>
              </w:rPr>
              <w:t> </w:t>
            </w:r>
            <w:r>
              <w:rPr>
                <w:rFonts w:ascii="宋体" w:hAnsi="宋体" w:cs="宋体" w:eastAsia="宋体" w:hint="default"/>
                <w:sz w:val="21"/>
                <w:szCs w:val="21"/>
              </w:rPr>
              <w:t>年度</w:t>
            </w:r>
          </w:p>
        </w:tc>
      </w:tr>
      <w:tr>
        <w:trPr>
          <w:trHeight w:val="279"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single" w:sz="6" w:space="0" w:color="000000"/>
              <w:left w:val="nil" w:sz="6" w:space="0" w:color="auto"/>
              <w:bottom w:val="nil" w:sz="6" w:space="0" w:color="auto"/>
              <w:right w:val="nil" w:sz="6" w:space="0" w:color="auto"/>
            </w:tcBorders>
          </w:tcPr>
          <w:p>
            <w:pP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single" w:sz="6" w:space="0" w:color="000000"/>
              <w:left w:val="nil" w:sz="6" w:space="0" w:color="auto"/>
              <w:bottom w:val="nil" w:sz="6" w:space="0" w:color="auto"/>
              <w:right w:val="nil" w:sz="6" w:space="0" w:color="auto"/>
            </w:tcBorders>
          </w:tcPr>
          <w:p>
            <w:pPr>
              <w:pStyle w:val="TableParagraph"/>
              <w:spacing w:line="241" w:lineRule="exact"/>
              <w:ind w:right="26"/>
              <w:jc w:val="right"/>
              <w:rPr>
                <w:rFonts w:ascii="宋体" w:hAnsi="宋体" w:cs="宋体" w:eastAsia="宋体" w:hint="default"/>
                <w:sz w:val="21"/>
                <w:szCs w:val="21"/>
              </w:rPr>
            </w:pPr>
            <w:r>
              <w:rPr>
                <w:rFonts w:ascii="宋体" w:hAnsi="宋体" w:cs="宋体" w:eastAsia="宋体" w:hint="default"/>
                <w:sz w:val="21"/>
                <w:szCs w:val="21"/>
              </w:rPr>
              <w:t>（经重列）</w:t>
            </w:r>
          </w:p>
        </w:tc>
      </w:tr>
      <w:tr>
        <w:trPr>
          <w:trHeight w:val="286"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5559" w:val="left" w:leader="none"/>
              </w:tabs>
              <w:spacing w:line="274" w:lineRule="exact"/>
              <w:ind w:left="84" w:right="0"/>
              <w:jc w:val="left"/>
              <w:rPr>
                <w:rFonts w:ascii="Arial" w:hAnsi="Arial" w:cs="Arial" w:eastAsia="Arial" w:hint="default"/>
                <w:sz w:val="21"/>
                <w:szCs w:val="21"/>
              </w:rPr>
            </w:pPr>
            <w:r>
              <w:rPr>
                <w:rFonts w:ascii="宋体" w:hAnsi="宋体" w:cs="宋体" w:eastAsia="宋体" w:hint="default"/>
                <w:position w:val="2"/>
                <w:sz w:val="21"/>
                <w:szCs w:val="21"/>
              </w:rPr>
              <w:t>持续经营业务合并净利润</w:t>
              <w:tab/>
            </w:r>
            <w:r>
              <w:rPr>
                <w:rFonts w:ascii="Arial" w:hAnsi="Arial" w:cs="Arial" w:eastAsia="Arial" w:hint="default"/>
                <w:sz w:val="21"/>
                <w:szCs w:val="21"/>
              </w:rPr>
              <w:t>9,373,893,786</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11"/>
              <w:jc w:val="right"/>
              <w:rPr>
                <w:rFonts w:ascii="Arial" w:hAnsi="Arial" w:cs="Arial" w:eastAsia="Arial" w:hint="default"/>
                <w:sz w:val="21"/>
                <w:szCs w:val="21"/>
              </w:rPr>
            </w:pPr>
            <w:r>
              <w:rPr>
                <w:rFonts w:ascii="Arial"/>
                <w:spacing w:val="-1"/>
                <w:sz w:val="21"/>
              </w:rPr>
              <w:t>7,252,151,234</w:t>
            </w:r>
          </w:p>
        </w:tc>
      </w:tr>
      <w:tr>
        <w:trPr>
          <w:trHeight w:val="272"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5559" w:val="left" w:leader="none"/>
              </w:tabs>
              <w:spacing w:line="260" w:lineRule="exact"/>
              <w:ind w:left="84" w:right="0"/>
              <w:jc w:val="left"/>
              <w:rPr>
                <w:rFonts w:ascii="Arial" w:hAnsi="Arial" w:cs="Arial" w:eastAsia="Arial" w:hint="default"/>
                <w:sz w:val="21"/>
                <w:szCs w:val="21"/>
              </w:rPr>
            </w:pPr>
            <w:r>
              <w:rPr>
                <w:rFonts w:ascii="宋体" w:hAnsi="宋体" w:cs="宋体" w:eastAsia="宋体" w:hint="default"/>
                <w:position w:val="2"/>
                <w:sz w:val="21"/>
                <w:szCs w:val="21"/>
              </w:rPr>
              <w:t>加：资产减值损失</w:t>
              <w:tab/>
            </w:r>
            <w:r>
              <w:rPr>
                <w:rFonts w:ascii="Arial" w:hAnsi="Arial" w:cs="Arial" w:eastAsia="Arial" w:hint="default"/>
                <w:sz w:val="21"/>
                <w:szCs w:val="21"/>
              </w:rPr>
              <w:t>2,375,636,936</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11"/>
              <w:jc w:val="right"/>
              <w:rPr>
                <w:rFonts w:ascii="Arial" w:hAnsi="Arial" w:cs="Arial" w:eastAsia="Arial" w:hint="default"/>
                <w:sz w:val="21"/>
                <w:szCs w:val="21"/>
              </w:rPr>
            </w:pPr>
            <w:r>
              <w:rPr>
                <w:rFonts w:ascii="Arial"/>
                <w:spacing w:val="-1"/>
                <w:sz w:val="21"/>
              </w:rPr>
              <w:t>15,404,501,877</w:t>
            </w:r>
          </w:p>
        </w:tc>
      </w:tr>
      <w:tr>
        <w:trPr>
          <w:trHeight w:val="272"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4898" w:val="left" w:leader="none"/>
              </w:tabs>
              <w:spacing w:line="260" w:lineRule="exact"/>
              <w:ind w:right="109"/>
              <w:jc w:val="right"/>
              <w:rPr>
                <w:rFonts w:ascii="Arial" w:hAnsi="Arial" w:cs="Arial" w:eastAsia="Arial" w:hint="default"/>
                <w:sz w:val="21"/>
                <w:szCs w:val="21"/>
              </w:rPr>
            </w:pPr>
            <w:r>
              <w:rPr>
                <w:rFonts w:ascii="宋体" w:hAnsi="宋体" w:cs="宋体" w:eastAsia="宋体" w:hint="default"/>
                <w:position w:val="2"/>
                <w:sz w:val="21"/>
                <w:szCs w:val="21"/>
              </w:rPr>
              <w:t>固定资产折旧</w:t>
              <w:tab/>
            </w:r>
            <w:r>
              <w:rPr>
                <w:rFonts w:ascii="Arial" w:hAnsi="Arial" w:cs="Arial" w:eastAsia="Arial" w:hint="default"/>
                <w:spacing w:val="-1"/>
                <w:sz w:val="21"/>
                <w:szCs w:val="21"/>
              </w:rPr>
              <w:t>45,875,291,126</w:t>
            </w:r>
            <w:r>
              <w:rPr>
                <w:rFonts w:ascii="Arial" w:hAnsi="Arial" w:cs="Arial" w:eastAsia="Arial" w:hint="default"/>
                <w:sz w:val="21"/>
                <w:szCs w:val="21"/>
              </w:rPr>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11"/>
              <w:jc w:val="right"/>
              <w:rPr>
                <w:rFonts w:ascii="Arial" w:hAnsi="Arial" w:cs="Arial" w:eastAsia="Arial" w:hint="default"/>
                <w:sz w:val="21"/>
                <w:szCs w:val="21"/>
              </w:rPr>
            </w:pPr>
            <w:r>
              <w:rPr>
                <w:rFonts w:ascii="Arial"/>
                <w:spacing w:val="-1"/>
                <w:sz w:val="21"/>
              </w:rPr>
              <w:t>46,752,239,624</w:t>
            </w:r>
          </w:p>
        </w:tc>
      </w:tr>
      <w:tr>
        <w:trPr>
          <w:trHeight w:val="272"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5014" w:val="left" w:leader="none"/>
              </w:tabs>
              <w:spacing w:line="260" w:lineRule="exact"/>
              <w:ind w:right="109"/>
              <w:jc w:val="right"/>
              <w:rPr>
                <w:rFonts w:ascii="Arial" w:hAnsi="Arial" w:cs="Arial" w:eastAsia="Arial" w:hint="default"/>
                <w:sz w:val="21"/>
                <w:szCs w:val="21"/>
              </w:rPr>
            </w:pPr>
            <w:r>
              <w:rPr>
                <w:rFonts w:ascii="宋体" w:hAnsi="宋体" w:cs="宋体" w:eastAsia="宋体" w:hint="default"/>
                <w:position w:val="2"/>
                <w:sz w:val="21"/>
                <w:szCs w:val="21"/>
              </w:rPr>
              <w:t>无形资产摊销</w:t>
              <w:tab/>
            </w:r>
            <w:r>
              <w:rPr>
                <w:rFonts w:ascii="Arial" w:hAnsi="Arial" w:cs="Arial" w:eastAsia="Arial" w:hint="default"/>
                <w:spacing w:val="-1"/>
                <w:sz w:val="21"/>
                <w:szCs w:val="21"/>
              </w:rPr>
              <w:t>1,324,765,705</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11"/>
              <w:jc w:val="right"/>
              <w:rPr>
                <w:rFonts w:ascii="Arial" w:hAnsi="Arial" w:cs="Arial" w:eastAsia="Arial" w:hint="default"/>
                <w:sz w:val="21"/>
                <w:szCs w:val="21"/>
              </w:rPr>
            </w:pPr>
            <w:r>
              <w:rPr>
                <w:rFonts w:ascii="Arial"/>
                <w:spacing w:val="-1"/>
                <w:sz w:val="21"/>
              </w:rPr>
              <w:t>1,340,772,609</w:t>
            </w:r>
          </w:p>
        </w:tc>
      </w:tr>
      <w:tr>
        <w:trPr>
          <w:trHeight w:val="272"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5014" w:val="left" w:leader="none"/>
              </w:tabs>
              <w:spacing w:line="260" w:lineRule="exact"/>
              <w:ind w:right="109"/>
              <w:jc w:val="right"/>
              <w:rPr>
                <w:rFonts w:ascii="Arial" w:hAnsi="Arial" w:cs="Arial" w:eastAsia="Arial" w:hint="default"/>
                <w:sz w:val="21"/>
                <w:szCs w:val="21"/>
              </w:rPr>
            </w:pPr>
            <w:r>
              <w:rPr>
                <w:rFonts w:ascii="宋体" w:hAnsi="宋体" w:cs="宋体" w:eastAsia="宋体" w:hint="default"/>
                <w:position w:val="2"/>
                <w:sz w:val="21"/>
                <w:szCs w:val="21"/>
              </w:rPr>
              <w:t>长期待摊费用摊销</w:t>
              <w:tab/>
            </w:r>
            <w:r>
              <w:rPr>
                <w:rFonts w:ascii="Arial" w:hAnsi="Arial" w:cs="Arial" w:eastAsia="Arial" w:hint="default"/>
                <w:spacing w:val="-1"/>
                <w:sz w:val="21"/>
                <w:szCs w:val="21"/>
              </w:rPr>
              <w:t>2,142,557,423</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11"/>
              <w:jc w:val="right"/>
              <w:rPr>
                <w:rFonts w:ascii="Arial" w:hAnsi="Arial" w:cs="Arial" w:eastAsia="Arial" w:hint="default"/>
                <w:sz w:val="21"/>
                <w:szCs w:val="21"/>
              </w:rPr>
            </w:pPr>
            <w:r>
              <w:rPr>
                <w:rFonts w:ascii="Arial"/>
                <w:spacing w:val="-1"/>
                <w:sz w:val="21"/>
              </w:rPr>
              <w:t>1,584,607,069</w:t>
            </w:r>
          </w:p>
        </w:tc>
      </w:tr>
      <w:tr>
        <w:trPr>
          <w:trHeight w:val="530"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5489" w:val="left" w:leader="none"/>
              </w:tabs>
              <w:spacing w:line="242" w:lineRule="exact"/>
              <w:ind w:left="544" w:right="0"/>
              <w:jc w:val="left"/>
              <w:rPr>
                <w:rFonts w:ascii="Arial" w:hAnsi="Arial" w:cs="Arial" w:eastAsia="Arial" w:hint="default"/>
                <w:sz w:val="21"/>
                <w:szCs w:val="21"/>
              </w:rPr>
            </w:pPr>
            <w:r>
              <w:rPr>
                <w:rFonts w:ascii="宋体" w:hAnsi="宋体" w:cs="宋体" w:eastAsia="宋体" w:hint="default"/>
                <w:position w:val="2"/>
                <w:sz w:val="21"/>
                <w:szCs w:val="21"/>
              </w:rPr>
              <w:t>长期待摊费用增加</w:t>
              <w:tab/>
            </w:r>
            <w:r>
              <w:rPr>
                <w:rFonts w:ascii="Arial" w:hAnsi="Arial" w:cs="Arial" w:eastAsia="Arial" w:hint="default"/>
                <w:sz w:val="21"/>
                <w:szCs w:val="21"/>
              </w:rPr>
              <w:t>(2,100,454,762)</w:t>
            </w:r>
          </w:p>
          <w:p>
            <w:pPr>
              <w:pStyle w:val="TableParagraph"/>
              <w:spacing w:line="257" w:lineRule="exact"/>
              <w:ind w:left="544" w:right="0"/>
              <w:jc w:val="left"/>
              <w:rPr>
                <w:rFonts w:ascii="宋体" w:hAnsi="宋体" w:cs="宋体" w:eastAsia="宋体" w:hint="default"/>
                <w:sz w:val="21"/>
                <w:szCs w:val="21"/>
              </w:rPr>
            </w:pPr>
            <w:r>
              <w:rPr>
                <w:rFonts w:ascii="宋体" w:hAnsi="宋体" w:cs="宋体" w:eastAsia="宋体" w:hint="default"/>
                <w:sz w:val="21"/>
                <w:szCs w:val="21"/>
              </w:rPr>
              <w:t>处置固定资产、无形资产和其他长期资产的</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1"/>
              <w:jc w:val="right"/>
              <w:rPr>
                <w:rFonts w:ascii="Arial" w:hAnsi="Arial" w:cs="Arial" w:eastAsia="Arial" w:hint="default"/>
                <w:sz w:val="21"/>
                <w:szCs w:val="21"/>
              </w:rPr>
            </w:pPr>
            <w:r>
              <w:rPr>
                <w:rFonts w:ascii="Arial"/>
                <w:spacing w:val="-1"/>
                <w:sz w:val="21"/>
              </w:rPr>
              <w:t>(1,144,975,421)</w:t>
            </w:r>
            <w:r>
              <w:rPr>
                <w:rFonts w:ascii="Arial"/>
                <w:sz w:val="21"/>
              </w:rPr>
            </w:r>
          </w:p>
        </w:tc>
      </w:tr>
      <w:tr>
        <w:trPr>
          <w:trHeight w:val="287"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5027" w:val="left" w:leader="none"/>
              </w:tabs>
              <w:spacing w:line="274" w:lineRule="exact"/>
              <w:ind w:right="40"/>
              <w:jc w:val="right"/>
              <w:rPr>
                <w:rFonts w:ascii="Arial" w:hAnsi="Arial" w:cs="Arial" w:eastAsia="Arial" w:hint="default"/>
                <w:sz w:val="21"/>
                <w:szCs w:val="21"/>
              </w:rPr>
            </w:pPr>
            <w:r>
              <w:rPr>
                <w:rFonts w:ascii="宋体" w:hAnsi="宋体" w:cs="宋体" w:eastAsia="宋体" w:hint="default"/>
                <w:position w:val="2"/>
                <w:sz w:val="21"/>
                <w:szCs w:val="21"/>
              </w:rPr>
              <w:t>净（收益）损失</w:t>
              <w:tab/>
            </w:r>
            <w:r>
              <w:rPr>
                <w:rFonts w:ascii="Arial" w:hAnsi="Arial" w:cs="Arial" w:eastAsia="Arial" w:hint="default"/>
                <w:spacing w:val="-1"/>
                <w:sz w:val="21"/>
                <w:szCs w:val="21"/>
              </w:rPr>
              <w:t>(81,118,018)</w:t>
            </w:r>
            <w:r>
              <w:rPr>
                <w:rFonts w:ascii="Arial" w:hAnsi="Arial" w:cs="Arial" w:eastAsia="Arial" w:hint="default"/>
                <w:sz w:val="21"/>
                <w:szCs w:val="21"/>
              </w:rPr>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11"/>
              <w:jc w:val="right"/>
              <w:rPr>
                <w:rFonts w:ascii="Arial" w:hAnsi="Arial" w:cs="Arial" w:eastAsia="Arial" w:hint="default"/>
                <w:sz w:val="21"/>
                <w:szCs w:val="21"/>
              </w:rPr>
            </w:pPr>
            <w:r>
              <w:rPr>
                <w:rFonts w:ascii="Arial"/>
                <w:spacing w:val="-1"/>
                <w:w w:val="95"/>
                <w:sz w:val="21"/>
              </w:rPr>
              <w:t>6,588,271</w:t>
            </w:r>
            <w:r>
              <w:rPr>
                <w:rFonts w:ascii="Arial"/>
                <w:sz w:val="21"/>
              </w:rPr>
            </w:r>
          </w:p>
        </w:tc>
      </w:tr>
      <w:tr>
        <w:trPr>
          <w:trHeight w:val="817"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5782" w:val="left" w:leader="none"/>
              </w:tabs>
              <w:spacing w:line="241" w:lineRule="exact"/>
              <w:ind w:left="544" w:right="0"/>
              <w:jc w:val="left"/>
              <w:rPr>
                <w:rFonts w:ascii="Arial" w:hAnsi="Arial" w:cs="Arial" w:eastAsia="Arial" w:hint="default"/>
                <w:sz w:val="21"/>
                <w:szCs w:val="21"/>
              </w:rPr>
            </w:pPr>
            <w:r>
              <w:rPr>
                <w:rFonts w:ascii="宋体" w:hAnsi="宋体" w:cs="宋体" w:eastAsia="宋体" w:hint="default"/>
                <w:position w:val="2"/>
                <w:sz w:val="21"/>
                <w:szCs w:val="21"/>
              </w:rPr>
              <w:t>非货币性资产交换净收益</w:t>
              <w:tab/>
            </w:r>
            <w:r>
              <w:rPr>
                <w:rFonts w:ascii="Arial" w:hAnsi="Arial" w:cs="Arial" w:eastAsia="Arial" w:hint="default"/>
                <w:sz w:val="21"/>
                <w:szCs w:val="21"/>
              </w:rPr>
              <w:t>(37,846,793)</w:t>
            </w:r>
          </w:p>
          <w:p>
            <w:pPr>
              <w:pStyle w:val="TableParagraph"/>
              <w:tabs>
                <w:tab w:pos="5489" w:val="left" w:leader="none"/>
              </w:tabs>
              <w:spacing w:line="272" w:lineRule="exact"/>
              <w:ind w:left="544" w:right="0"/>
              <w:jc w:val="left"/>
              <w:rPr>
                <w:rFonts w:ascii="Arial" w:hAnsi="Arial" w:cs="Arial" w:eastAsia="Arial" w:hint="default"/>
                <w:sz w:val="21"/>
                <w:szCs w:val="21"/>
              </w:rPr>
            </w:pPr>
            <w:r>
              <w:rPr>
                <w:rFonts w:ascii="宋体" w:hAnsi="宋体" w:cs="宋体" w:eastAsia="宋体" w:hint="default"/>
                <w:position w:val="2"/>
                <w:sz w:val="21"/>
                <w:szCs w:val="21"/>
              </w:rPr>
              <w:t>公允价值变动收益</w:t>
              <w:tab/>
            </w:r>
            <w:r>
              <w:rPr>
                <w:rFonts w:ascii="Arial" w:hAnsi="Arial" w:cs="Arial" w:eastAsia="Arial" w:hint="default"/>
                <w:sz w:val="21"/>
                <w:szCs w:val="21"/>
              </w:rPr>
              <w:t>(1,239,125,224)</w:t>
            </w:r>
          </w:p>
          <w:p>
            <w:pPr>
              <w:pStyle w:val="TableParagraph"/>
              <w:tabs>
                <w:tab w:pos="5850" w:val="left" w:leader="none"/>
              </w:tabs>
              <w:spacing w:line="291" w:lineRule="exact"/>
              <w:ind w:left="544" w:right="0"/>
              <w:jc w:val="left"/>
              <w:rPr>
                <w:rFonts w:ascii="Arial" w:hAnsi="Arial" w:cs="Arial" w:eastAsia="Arial" w:hint="default"/>
                <w:sz w:val="21"/>
                <w:szCs w:val="21"/>
              </w:rPr>
            </w:pPr>
            <w:r>
              <w:rPr>
                <w:rFonts w:ascii="宋体" w:hAnsi="宋体" w:cs="宋体" w:eastAsia="宋体" w:hint="default"/>
                <w:position w:val="2"/>
                <w:sz w:val="21"/>
                <w:szCs w:val="21"/>
              </w:rPr>
              <w:t>以股份为基础支付的员工薪酬</w:t>
              <w:tab/>
            </w:r>
            <w:r>
              <w:rPr>
                <w:rFonts w:ascii="Arial" w:hAnsi="Arial" w:cs="Arial" w:eastAsia="Arial" w:hint="default"/>
                <w:sz w:val="21"/>
                <w:szCs w:val="21"/>
              </w:rPr>
              <w:t>27,422,365</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57" w:right="0"/>
              <w:jc w:val="left"/>
              <w:rPr>
                <w:rFonts w:ascii="Arial" w:hAnsi="Arial" w:cs="Arial" w:eastAsia="Arial" w:hint="default"/>
                <w:sz w:val="21"/>
                <w:szCs w:val="21"/>
              </w:rPr>
            </w:pPr>
            <w:r>
              <w:rPr>
                <w:rFonts w:ascii="Arial"/>
                <w:sz w:val="21"/>
              </w:rPr>
              <w:t>(1,381,347,140)</w:t>
            </w:r>
          </w:p>
          <w:p>
            <w:pPr>
              <w:pStyle w:val="TableParagraph"/>
              <w:spacing w:line="271" w:lineRule="auto" w:before="31"/>
              <w:ind w:left="919" w:right="110" w:firstLine="981"/>
              <w:jc w:val="left"/>
              <w:rPr>
                <w:rFonts w:ascii="Arial" w:hAnsi="Arial" w:cs="Arial" w:eastAsia="Arial" w:hint="default"/>
                <w:sz w:val="21"/>
                <w:szCs w:val="21"/>
              </w:rPr>
            </w:pPr>
            <w:r>
              <w:rPr>
                <w:rFonts w:ascii="Arial"/>
                <w:sz w:val="21"/>
              </w:rPr>
              <w:t>-</w:t>
            </w:r>
            <w:r>
              <w:rPr>
                <w:rFonts w:ascii="Arial"/>
                <w:w w:val="99"/>
                <w:sz w:val="21"/>
              </w:rPr>
              <w:t> </w:t>
            </w:r>
            <w:r>
              <w:rPr>
                <w:rFonts w:ascii="Arial"/>
                <w:spacing w:val="-1"/>
                <w:sz w:val="21"/>
              </w:rPr>
              <w:t>83,700,085</w:t>
            </w:r>
          </w:p>
        </w:tc>
      </w:tr>
      <w:tr>
        <w:trPr>
          <w:trHeight w:val="272"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5189" w:val="left" w:leader="none"/>
              </w:tabs>
              <w:spacing w:line="260" w:lineRule="exact"/>
              <w:ind w:right="110"/>
              <w:jc w:val="right"/>
              <w:rPr>
                <w:rFonts w:ascii="Arial" w:hAnsi="Arial" w:cs="Arial" w:eastAsia="Arial" w:hint="default"/>
                <w:sz w:val="21"/>
                <w:szCs w:val="21"/>
              </w:rPr>
            </w:pPr>
            <w:r>
              <w:rPr>
                <w:rFonts w:ascii="宋体" w:hAnsi="宋体" w:cs="宋体" w:eastAsia="宋体" w:hint="default"/>
                <w:position w:val="2"/>
                <w:sz w:val="21"/>
                <w:szCs w:val="21"/>
              </w:rPr>
              <w:t>财务费用</w:t>
              <w:tab/>
            </w:r>
            <w:r>
              <w:rPr>
                <w:rFonts w:ascii="Arial" w:hAnsi="Arial" w:cs="Arial" w:eastAsia="Arial" w:hint="default"/>
                <w:spacing w:val="-1"/>
                <w:sz w:val="21"/>
                <w:szCs w:val="21"/>
              </w:rPr>
              <w:t>744,600,475</w:t>
            </w:r>
            <w:r>
              <w:rPr>
                <w:rFonts w:ascii="Arial" w:hAnsi="Arial" w:cs="Arial" w:eastAsia="Arial" w:hint="default"/>
                <w:sz w:val="21"/>
                <w:szCs w:val="21"/>
              </w:rPr>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110"/>
              <w:jc w:val="right"/>
              <w:rPr>
                <w:rFonts w:ascii="Arial" w:hAnsi="Arial" w:cs="Arial" w:eastAsia="Arial" w:hint="default"/>
                <w:sz w:val="21"/>
                <w:szCs w:val="21"/>
              </w:rPr>
            </w:pPr>
            <w:r>
              <w:rPr>
                <w:rFonts w:ascii="Arial"/>
                <w:spacing w:val="-1"/>
                <w:sz w:val="21"/>
              </w:rPr>
              <w:t>1,873,965,065</w:t>
            </w:r>
          </w:p>
        </w:tc>
      </w:tr>
      <w:tr>
        <w:trPr>
          <w:trHeight w:val="817"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5664" w:val="left" w:leader="none"/>
              </w:tabs>
              <w:spacing w:line="241" w:lineRule="exact"/>
              <w:ind w:left="544" w:right="0"/>
              <w:jc w:val="left"/>
              <w:rPr>
                <w:rFonts w:ascii="Arial" w:hAnsi="Arial" w:cs="Arial" w:eastAsia="Arial" w:hint="default"/>
                <w:sz w:val="21"/>
                <w:szCs w:val="21"/>
              </w:rPr>
            </w:pPr>
            <w:r>
              <w:rPr>
                <w:rFonts w:ascii="宋体" w:hAnsi="宋体" w:cs="宋体" w:eastAsia="宋体" w:hint="default"/>
                <w:position w:val="2"/>
                <w:sz w:val="21"/>
                <w:szCs w:val="21"/>
              </w:rPr>
              <w:t>投资收益</w:t>
              <w:tab/>
            </w:r>
            <w:r>
              <w:rPr>
                <w:rFonts w:ascii="Arial" w:hAnsi="Arial" w:cs="Arial" w:eastAsia="Arial" w:hint="default"/>
                <w:sz w:val="21"/>
                <w:szCs w:val="21"/>
              </w:rPr>
              <w:t>(212,157,048)</w:t>
            </w:r>
          </w:p>
          <w:p>
            <w:pPr>
              <w:pStyle w:val="TableParagraph"/>
              <w:tabs>
                <w:tab w:pos="5850" w:val="left" w:leader="none"/>
              </w:tabs>
              <w:spacing w:line="272" w:lineRule="exact"/>
              <w:ind w:left="544" w:right="0"/>
              <w:jc w:val="left"/>
              <w:rPr>
                <w:rFonts w:ascii="Arial" w:hAnsi="Arial" w:cs="Arial" w:eastAsia="Arial" w:hint="default"/>
                <w:sz w:val="21"/>
                <w:szCs w:val="21"/>
              </w:rPr>
            </w:pPr>
            <w:r>
              <w:rPr>
                <w:rFonts w:ascii="宋体" w:hAnsi="宋体" w:cs="宋体" w:eastAsia="宋体" w:hint="default"/>
                <w:position w:val="2"/>
                <w:sz w:val="21"/>
                <w:szCs w:val="21"/>
              </w:rPr>
              <w:t>西班牙电信代扣代缴所分配股利所得税</w:t>
              <w:tab/>
            </w:r>
            <w:r>
              <w:rPr>
                <w:rFonts w:ascii="Arial" w:hAnsi="Arial" w:cs="Arial" w:eastAsia="Arial" w:hint="default"/>
                <w:sz w:val="21"/>
                <w:szCs w:val="21"/>
              </w:rPr>
              <w:t>37,538,418</w:t>
            </w:r>
          </w:p>
          <w:p>
            <w:pPr>
              <w:pStyle w:val="TableParagraph"/>
              <w:tabs>
                <w:tab w:pos="5734" w:val="left" w:leader="none"/>
              </w:tabs>
              <w:spacing w:line="291" w:lineRule="exact"/>
              <w:ind w:left="544" w:right="0"/>
              <w:jc w:val="left"/>
              <w:rPr>
                <w:rFonts w:ascii="Arial" w:hAnsi="Arial" w:cs="Arial" w:eastAsia="Arial" w:hint="default"/>
                <w:sz w:val="21"/>
                <w:szCs w:val="21"/>
              </w:rPr>
            </w:pPr>
            <w:r>
              <w:rPr>
                <w:rFonts w:ascii="宋体" w:hAnsi="宋体" w:cs="宋体" w:eastAsia="宋体" w:hint="default"/>
                <w:position w:val="2"/>
                <w:sz w:val="21"/>
                <w:szCs w:val="21"/>
              </w:rPr>
              <w:t>递延所得税资产减少（增加）</w:t>
              <w:tab/>
            </w:r>
            <w:r>
              <w:rPr>
                <w:rFonts w:ascii="Arial" w:hAnsi="Arial" w:cs="Arial" w:eastAsia="Arial" w:hint="default"/>
                <w:sz w:val="21"/>
                <w:szCs w:val="21"/>
              </w:rPr>
              <w:t>226,482,528</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8"/>
              <w:ind w:left="967" w:right="0"/>
              <w:jc w:val="left"/>
              <w:rPr>
                <w:rFonts w:ascii="Arial" w:hAnsi="Arial" w:cs="Arial" w:eastAsia="Arial" w:hint="default"/>
                <w:sz w:val="21"/>
                <w:szCs w:val="21"/>
              </w:rPr>
            </w:pPr>
            <w:r>
              <w:rPr>
                <w:rFonts w:ascii="Arial"/>
                <w:sz w:val="21"/>
              </w:rPr>
              <w:t>(4,564,948)</w:t>
            </w:r>
          </w:p>
          <w:p>
            <w:pPr>
              <w:pStyle w:val="TableParagraph"/>
              <w:spacing w:line="271" w:lineRule="auto" w:before="31"/>
              <w:ind w:left="557" w:right="42" w:firstLine="1343"/>
              <w:jc w:val="left"/>
              <w:rPr>
                <w:rFonts w:ascii="Arial" w:hAnsi="Arial" w:cs="Arial" w:eastAsia="Arial" w:hint="default"/>
                <w:sz w:val="21"/>
                <w:szCs w:val="21"/>
              </w:rPr>
            </w:pPr>
            <w:r>
              <w:rPr>
                <w:rFonts w:ascii="Arial"/>
                <w:sz w:val="21"/>
              </w:rPr>
              <w:t>-</w:t>
            </w:r>
            <w:r>
              <w:rPr>
                <w:rFonts w:ascii="Arial"/>
                <w:w w:val="99"/>
                <w:sz w:val="21"/>
              </w:rPr>
              <w:t> </w:t>
            </w:r>
            <w:r>
              <w:rPr>
                <w:rFonts w:ascii="Arial"/>
                <w:spacing w:val="-1"/>
                <w:sz w:val="21"/>
              </w:rPr>
              <w:t>(2,951,929,707)</w:t>
            </w:r>
            <w:r>
              <w:rPr>
                <w:rFonts w:ascii="Arial"/>
                <w:sz w:val="21"/>
              </w:rPr>
            </w:r>
          </w:p>
        </w:tc>
      </w:tr>
      <w:tr>
        <w:trPr>
          <w:trHeight w:val="272"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5189" w:val="left" w:leader="none"/>
              </w:tabs>
              <w:spacing w:line="260" w:lineRule="exact"/>
              <w:ind w:right="111"/>
              <w:jc w:val="right"/>
              <w:rPr>
                <w:rFonts w:ascii="Arial" w:hAnsi="Arial" w:cs="Arial" w:eastAsia="Arial" w:hint="default"/>
                <w:sz w:val="21"/>
                <w:szCs w:val="21"/>
              </w:rPr>
            </w:pPr>
            <w:r>
              <w:rPr>
                <w:rFonts w:ascii="宋体" w:hAnsi="宋体" w:cs="宋体" w:eastAsia="宋体" w:hint="default"/>
                <w:position w:val="2"/>
                <w:sz w:val="21"/>
                <w:szCs w:val="21"/>
              </w:rPr>
              <w:t>递延所得税负债增加（减少）</w:t>
              <w:tab/>
            </w:r>
            <w:r>
              <w:rPr>
                <w:rFonts w:ascii="Arial" w:hAnsi="Arial" w:cs="Arial" w:eastAsia="Arial" w:hint="default"/>
                <w:spacing w:val="-1"/>
                <w:sz w:val="21"/>
                <w:szCs w:val="21"/>
              </w:rPr>
              <w:t>258,742,893</w:t>
            </w:r>
            <w:r>
              <w:rPr>
                <w:rFonts w:ascii="Arial" w:hAnsi="Arial" w:cs="Arial" w:eastAsia="Arial" w:hint="default"/>
                <w:sz w:val="21"/>
                <w:szCs w:val="21"/>
              </w:rPr>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1"/>
              <w:jc w:val="right"/>
              <w:rPr>
                <w:rFonts w:ascii="Arial" w:hAnsi="Arial" w:cs="Arial" w:eastAsia="Arial" w:hint="default"/>
                <w:sz w:val="21"/>
                <w:szCs w:val="21"/>
              </w:rPr>
            </w:pPr>
            <w:r>
              <w:rPr>
                <w:rFonts w:ascii="Arial"/>
                <w:spacing w:val="-1"/>
                <w:sz w:val="21"/>
              </w:rPr>
              <w:t>(5,722,581)</w:t>
            </w:r>
            <w:r>
              <w:rPr>
                <w:rFonts w:ascii="Arial"/>
                <w:sz w:val="21"/>
              </w:rPr>
            </w:r>
          </w:p>
        </w:tc>
      </w:tr>
      <w:tr>
        <w:trPr>
          <w:trHeight w:val="272"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4945" w:val="left" w:leader="none"/>
              </w:tabs>
              <w:spacing w:line="260" w:lineRule="exact"/>
              <w:ind w:right="40"/>
              <w:jc w:val="right"/>
              <w:rPr>
                <w:rFonts w:ascii="Arial" w:hAnsi="Arial" w:cs="Arial" w:eastAsia="Arial" w:hint="default"/>
                <w:sz w:val="21"/>
                <w:szCs w:val="21"/>
              </w:rPr>
            </w:pPr>
            <w:r>
              <w:rPr>
                <w:rFonts w:ascii="宋体" w:hAnsi="宋体" w:cs="宋体" w:eastAsia="宋体" w:hint="default"/>
                <w:position w:val="2"/>
                <w:sz w:val="21"/>
                <w:szCs w:val="21"/>
              </w:rPr>
              <w:t>存货的增加</w:t>
              <w:tab/>
            </w:r>
            <w:r>
              <w:rPr>
                <w:rFonts w:ascii="Arial" w:hAnsi="Arial" w:cs="Arial" w:eastAsia="Arial" w:hint="default"/>
                <w:spacing w:val="-1"/>
                <w:sz w:val="21"/>
                <w:szCs w:val="21"/>
              </w:rPr>
              <w:t>(1,340,730,084)</w:t>
            </w:r>
            <w:r>
              <w:rPr>
                <w:rFonts w:ascii="Arial" w:hAnsi="Arial" w:cs="Arial" w:eastAsia="Arial" w:hint="default"/>
                <w:sz w:val="21"/>
                <w:szCs w:val="21"/>
              </w:rPr>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1"/>
              <w:jc w:val="right"/>
              <w:rPr>
                <w:rFonts w:ascii="Arial" w:hAnsi="Arial" w:cs="Arial" w:eastAsia="Arial" w:hint="default"/>
                <w:sz w:val="21"/>
                <w:szCs w:val="21"/>
              </w:rPr>
            </w:pPr>
            <w:r>
              <w:rPr>
                <w:rFonts w:ascii="Arial"/>
                <w:spacing w:val="-1"/>
                <w:sz w:val="21"/>
              </w:rPr>
              <w:t>(154,107,063)</w:t>
            </w:r>
            <w:r>
              <w:rPr>
                <w:rFonts w:ascii="Arial"/>
                <w:sz w:val="21"/>
              </w:rPr>
            </w:r>
          </w:p>
        </w:tc>
      </w:tr>
      <w:tr>
        <w:trPr>
          <w:trHeight w:val="272"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5014" w:val="left" w:leader="none"/>
              </w:tabs>
              <w:spacing w:line="260" w:lineRule="exact"/>
              <w:ind w:right="111"/>
              <w:jc w:val="right"/>
              <w:rPr>
                <w:rFonts w:ascii="Arial" w:hAnsi="Arial" w:cs="Arial" w:eastAsia="Arial" w:hint="default"/>
                <w:sz w:val="21"/>
                <w:szCs w:val="21"/>
              </w:rPr>
            </w:pPr>
            <w:r>
              <w:rPr>
                <w:rFonts w:ascii="宋体" w:hAnsi="宋体" w:cs="宋体" w:eastAsia="宋体" w:hint="default"/>
                <w:position w:val="2"/>
                <w:sz w:val="21"/>
                <w:szCs w:val="21"/>
              </w:rPr>
              <w:t>经营性应收项目的减少（增加）</w:t>
              <w:tab/>
            </w:r>
            <w:r>
              <w:rPr>
                <w:rFonts w:ascii="Arial" w:hAnsi="Arial" w:cs="Arial" w:eastAsia="Arial" w:hint="default"/>
                <w:spacing w:val="-1"/>
                <w:sz w:val="21"/>
                <w:szCs w:val="21"/>
              </w:rPr>
              <w:t>2,289,196,539</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41"/>
              <w:jc w:val="right"/>
              <w:rPr>
                <w:rFonts w:ascii="Arial" w:hAnsi="Arial" w:cs="Arial" w:eastAsia="Arial" w:hint="default"/>
                <w:sz w:val="21"/>
                <w:szCs w:val="21"/>
              </w:rPr>
            </w:pPr>
            <w:r>
              <w:rPr>
                <w:rFonts w:ascii="Arial"/>
                <w:spacing w:val="-1"/>
                <w:sz w:val="21"/>
              </w:rPr>
              <w:t>(581,207,512)</w:t>
            </w:r>
            <w:r>
              <w:rPr>
                <w:rFonts w:ascii="Arial"/>
                <w:sz w:val="21"/>
              </w:rPr>
            </w:r>
          </w:p>
        </w:tc>
      </w:tr>
      <w:tr>
        <w:trPr>
          <w:trHeight w:val="401"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4381" w:val="left" w:leader="none"/>
                <w:tab w:pos="5120" w:val="left" w:leader="none"/>
              </w:tabs>
              <w:spacing w:line="260" w:lineRule="exact"/>
              <w:ind w:right="40"/>
              <w:jc w:val="right"/>
              <w:rPr>
                <w:rFonts w:ascii="Arial" w:hAnsi="Arial" w:cs="Arial" w:eastAsia="Arial" w:hint="default"/>
                <w:sz w:val="21"/>
                <w:szCs w:val="21"/>
              </w:rPr>
            </w:pPr>
            <w:r>
              <w:rPr>
                <w:rFonts w:ascii="宋体" w:hAnsi="宋体" w:cs="宋体" w:eastAsia="宋体" w:hint="default"/>
                <w:position w:val="2"/>
                <w:sz w:val="21"/>
                <w:szCs w:val="21"/>
              </w:rPr>
              <w:t>经营性应付项目的减少</w:t>
              <w:tab/>
            </w:r>
            <w:r>
              <w:rPr>
                <w:rFonts w:ascii="Arial" w:hAnsi="Arial" w:cs="Arial" w:eastAsia="Arial" w:hint="default"/>
                <w:sz w:val="21"/>
                <w:szCs w:val="21"/>
              </w:rPr>
            </w:r>
            <w:r>
              <w:rPr>
                <w:rFonts w:ascii="Arial" w:hAnsi="Arial" w:cs="Arial" w:eastAsia="Arial" w:hint="default"/>
                <w:sz w:val="21"/>
                <w:szCs w:val="21"/>
                <w:u w:val="single" w:color="000000"/>
              </w:rPr>
              <w:t> </w:t>
              <w:tab/>
            </w:r>
            <w:r>
              <w:rPr>
                <w:rFonts w:ascii="Arial" w:hAnsi="Arial" w:cs="Arial" w:eastAsia="Arial" w:hint="default"/>
                <w:spacing w:val="-1"/>
                <w:sz w:val="21"/>
                <w:szCs w:val="21"/>
                <w:u w:val="single" w:color="000000"/>
              </w:rPr>
              <w:t>(355,876,802)</w:t>
            </w:r>
            <w:r>
              <w:rPr>
                <w:rFonts w:ascii="Arial" w:hAnsi="Arial" w:cs="Arial" w:eastAsia="Arial" w:hint="default"/>
                <w:spacing w:val="-1"/>
                <w:sz w:val="21"/>
                <w:szCs w:val="21"/>
              </w:rPr>
            </w:r>
            <w:r>
              <w:rPr>
                <w:rFonts w:ascii="Arial" w:hAnsi="Arial" w:cs="Arial" w:eastAsia="Arial" w:hint="default"/>
                <w:sz w:val="21"/>
                <w:szCs w:val="21"/>
              </w:rPr>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tabs>
                <w:tab w:pos="554" w:val="left" w:leader="none"/>
              </w:tabs>
              <w:spacing w:line="240" w:lineRule="auto" w:before="18"/>
              <w:ind w:right="41"/>
              <w:jc w:val="right"/>
              <w:rPr>
                <w:rFonts w:ascii="Arial" w:hAnsi="Arial" w:cs="Arial" w:eastAsia="Arial" w:hint="default"/>
                <w:sz w:val="21"/>
                <w:szCs w:val="21"/>
              </w:rPr>
            </w:pPr>
            <w:r>
              <w:rPr>
                <w:rFonts w:ascii="Arial"/>
                <w:w w:val="100"/>
                <w:sz w:val="21"/>
              </w:rPr>
            </w:r>
            <w:r>
              <w:rPr>
                <w:rFonts w:ascii="Arial"/>
                <w:w w:val="100"/>
                <w:sz w:val="21"/>
                <w:u w:val="single" w:color="000000"/>
              </w:rPr>
              <w:t> </w:t>
            </w:r>
            <w:r>
              <w:rPr>
                <w:rFonts w:ascii="Arial"/>
                <w:sz w:val="21"/>
                <w:u w:val="single" w:color="000000"/>
              </w:rPr>
              <w:tab/>
            </w:r>
            <w:r>
              <w:rPr>
                <w:rFonts w:ascii="Arial"/>
                <w:spacing w:val="-1"/>
                <w:sz w:val="21"/>
                <w:u w:val="single" w:color="000000"/>
              </w:rPr>
              <w:t>(8,100,953,968)</w:t>
            </w:r>
            <w:r>
              <w:rPr>
                <w:rFonts w:ascii="Arial"/>
                <w:spacing w:val="-1"/>
                <w:sz w:val="21"/>
              </w:rPr>
            </w:r>
            <w:r>
              <w:rPr>
                <w:rFonts w:ascii="Arial"/>
                <w:sz w:val="21"/>
              </w:rPr>
            </w:r>
          </w:p>
        </w:tc>
      </w:tr>
      <w:tr>
        <w:trPr>
          <w:trHeight w:val="411"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single" w:sz="17" w:space="0" w:color="000000"/>
              <w:right w:val="nil" w:sz="6" w:space="0" w:color="auto"/>
            </w:tcBorders>
          </w:tcPr>
          <w:p>
            <w:pPr>
              <w:pStyle w:val="TableParagraph"/>
              <w:tabs>
                <w:tab w:pos="5442" w:val="left" w:leader="none"/>
              </w:tabs>
              <w:spacing w:line="240" w:lineRule="auto" w:before="79"/>
              <w:ind w:left="84" w:right="0"/>
              <w:jc w:val="left"/>
              <w:rPr>
                <w:rFonts w:ascii="Arial" w:hAnsi="Arial" w:cs="Arial" w:eastAsia="Arial" w:hint="default"/>
                <w:sz w:val="21"/>
                <w:szCs w:val="21"/>
              </w:rPr>
            </w:pPr>
            <w:r>
              <w:rPr>
                <w:rFonts w:ascii="宋体" w:hAnsi="宋体" w:cs="宋体" w:eastAsia="宋体" w:hint="default"/>
                <w:position w:val="2"/>
                <w:sz w:val="21"/>
                <w:szCs w:val="21"/>
              </w:rPr>
              <w:t>持续经营业务经营活动产生的现金流量净额</w:t>
              <w:tab/>
            </w:r>
            <w:r>
              <w:rPr>
                <w:rFonts w:ascii="Arial" w:hAnsi="Arial" w:cs="Arial" w:eastAsia="Arial" w:hint="default"/>
                <w:sz w:val="21"/>
                <w:szCs w:val="21"/>
              </w:rPr>
              <w:t>59,308,819,463</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single" w:sz="17" w:space="0" w:color="000000"/>
              <w:right w:val="nil" w:sz="6" w:space="0" w:color="auto"/>
            </w:tcBorders>
          </w:tcPr>
          <w:p>
            <w:pPr>
              <w:pStyle w:val="TableParagraph"/>
              <w:spacing w:line="240" w:lineRule="auto" w:before="147"/>
              <w:ind w:right="110"/>
              <w:jc w:val="right"/>
              <w:rPr>
                <w:rFonts w:ascii="Arial" w:hAnsi="Arial" w:cs="Arial" w:eastAsia="Arial" w:hint="default"/>
                <w:sz w:val="21"/>
                <w:szCs w:val="21"/>
              </w:rPr>
            </w:pPr>
            <w:r>
              <w:rPr>
                <w:rFonts w:ascii="Arial"/>
                <w:spacing w:val="-1"/>
                <w:sz w:val="21"/>
              </w:rPr>
              <w:t>59,973,717,494</w:t>
            </w:r>
          </w:p>
        </w:tc>
      </w:tr>
      <w:tr>
        <w:trPr>
          <w:trHeight w:val="576"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single" w:sz="17" w:space="0" w:color="000000"/>
              <w:left w:val="nil" w:sz="6" w:space="0" w:color="auto"/>
              <w:bottom w:val="nil" w:sz="6" w:space="0" w:color="auto"/>
              <w:right w:val="nil" w:sz="6" w:space="0" w:color="auto"/>
            </w:tcBorders>
          </w:tcPr>
          <w:p>
            <w:pPr>
              <w:pStyle w:val="TableParagraph"/>
              <w:spacing w:line="240" w:lineRule="auto" w:before="143"/>
              <w:ind w:left="70" w:right="0"/>
              <w:jc w:val="left"/>
              <w:rPr>
                <w:rFonts w:ascii="宋体" w:hAnsi="宋体" w:cs="宋体" w:eastAsia="宋体" w:hint="default"/>
                <w:sz w:val="22"/>
                <w:szCs w:val="22"/>
              </w:rPr>
            </w:pPr>
            <w:r>
              <w:rPr>
                <w:rFonts w:ascii="宋体" w:hAnsi="宋体" w:cs="宋体" w:eastAsia="宋体" w:hint="default"/>
                <w:sz w:val="22"/>
                <w:szCs w:val="22"/>
              </w:rPr>
              <w:t>不涉及现金收支的重大投资筹资活动</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single" w:sz="17" w:space="0" w:color="000000"/>
              <w:left w:val="nil" w:sz="6" w:space="0" w:color="auto"/>
              <w:bottom w:val="nil" w:sz="6" w:space="0" w:color="auto"/>
              <w:right w:val="nil" w:sz="6" w:space="0" w:color="auto"/>
            </w:tcBorders>
          </w:tcPr>
          <w:p>
            <w:pPr/>
          </w:p>
        </w:tc>
      </w:tr>
      <w:tr>
        <w:trPr>
          <w:trHeight w:val="384"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single" w:sz="6" w:space="0" w:color="000000"/>
              <w:right w:val="nil" w:sz="6" w:space="0" w:color="auto"/>
            </w:tcBorders>
          </w:tcPr>
          <w:p>
            <w:pPr>
              <w:pStyle w:val="TableParagraph"/>
              <w:spacing w:line="240" w:lineRule="auto" w:before="55"/>
              <w:ind w:right="0"/>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single" w:sz="6" w:space="0" w:color="000000"/>
              <w:right w:val="nil" w:sz="6" w:space="0" w:color="auto"/>
            </w:tcBorders>
          </w:tcPr>
          <w:p>
            <w:pPr>
              <w:pStyle w:val="TableParagraph"/>
              <w:spacing w:line="240" w:lineRule="auto" w:before="55"/>
              <w:ind w:right="1"/>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558"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single" w:sz="6" w:space="0" w:color="000000"/>
              <w:left w:val="nil" w:sz="6" w:space="0" w:color="auto"/>
              <w:bottom w:val="nil" w:sz="6" w:space="0" w:color="auto"/>
              <w:right w:val="nil" w:sz="6" w:space="0" w:color="auto"/>
            </w:tcBorders>
          </w:tcPr>
          <w:p>
            <w:pPr>
              <w:pStyle w:val="TableParagraph"/>
              <w:tabs>
                <w:tab w:pos="5508" w:val="left" w:leader="none"/>
              </w:tabs>
              <w:spacing w:line="240" w:lineRule="auto" w:before="212"/>
              <w:ind w:left="84" w:right="0"/>
              <w:jc w:val="left"/>
              <w:rPr>
                <w:rFonts w:ascii="Arial" w:hAnsi="Arial" w:cs="Arial" w:eastAsia="Arial" w:hint="default"/>
                <w:sz w:val="22"/>
                <w:szCs w:val="22"/>
              </w:rPr>
            </w:pPr>
            <w:r>
              <w:rPr>
                <w:rFonts w:ascii="宋体" w:hAnsi="宋体" w:cs="宋体" w:eastAsia="宋体" w:hint="default"/>
                <w:w w:val="95"/>
                <w:position w:val="2"/>
                <w:sz w:val="22"/>
                <w:szCs w:val="22"/>
              </w:rPr>
              <w:t>联通红筹公司与西班牙电信互相投资（附注五</w:t>
            </w:r>
            <w:r>
              <w:rPr>
                <w:rFonts w:ascii="Arial" w:hAnsi="Arial" w:cs="Arial" w:eastAsia="Arial" w:hint="default"/>
                <w:w w:val="95"/>
                <w:position w:val="2"/>
                <w:sz w:val="22"/>
                <w:szCs w:val="22"/>
              </w:rPr>
              <w:t>(7)</w:t>
            </w:r>
            <w:r>
              <w:rPr>
                <w:rFonts w:ascii="宋体" w:hAnsi="宋体" w:cs="宋体" w:eastAsia="宋体" w:hint="default"/>
                <w:w w:val="95"/>
                <w:position w:val="2"/>
                <w:sz w:val="22"/>
                <w:szCs w:val="22"/>
              </w:rPr>
              <w:t>）</w:t>
              <w:tab/>
            </w:r>
            <w:r>
              <w:rPr>
                <w:rFonts w:ascii="Arial" w:hAnsi="Arial" w:cs="Arial" w:eastAsia="Arial" w:hint="default"/>
                <w:sz w:val="22"/>
                <w:szCs w:val="22"/>
              </w:rPr>
              <w:t>7,951,602,240</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21"/>
                <w:szCs w:val="21"/>
              </w:rPr>
            </w:pPr>
          </w:p>
          <w:p>
            <w:pPr>
              <w:pStyle w:val="TableParagraph"/>
              <w:spacing w:line="240" w:lineRule="auto"/>
              <w:ind w:right="124"/>
              <w:jc w:val="right"/>
              <w:rPr>
                <w:rFonts w:ascii="Arial" w:hAnsi="Arial" w:cs="Arial" w:eastAsia="Arial" w:hint="default"/>
                <w:sz w:val="22"/>
                <w:szCs w:val="22"/>
              </w:rPr>
            </w:pPr>
            <w:r>
              <w:rPr>
                <w:rFonts w:ascii="Arial"/>
                <w:w w:val="99"/>
                <w:sz w:val="22"/>
              </w:rPr>
              <w:t>-</w:t>
            </w:r>
            <w:r>
              <w:rPr>
                <w:rFonts w:ascii="Arial"/>
                <w:sz w:val="22"/>
              </w:rPr>
            </w:r>
          </w:p>
        </w:tc>
      </w:tr>
      <w:tr>
        <w:trPr>
          <w:trHeight w:val="296"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single" w:sz="17" w:space="0" w:color="000000"/>
              <w:right w:val="nil" w:sz="6" w:space="0" w:color="auto"/>
            </w:tcBorders>
          </w:tcPr>
          <w:p>
            <w:pPr>
              <w:pStyle w:val="TableParagraph"/>
              <w:tabs>
                <w:tab w:pos="5692" w:val="left" w:leader="none"/>
              </w:tabs>
              <w:spacing w:line="271" w:lineRule="exact"/>
              <w:ind w:left="84" w:right="0"/>
              <w:jc w:val="left"/>
              <w:rPr>
                <w:rFonts w:ascii="Arial" w:hAnsi="Arial" w:cs="Arial" w:eastAsia="Arial" w:hint="default"/>
                <w:sz w:val="22"/>
                <w:szCs w:val="22"/>
              </w:rPr>
            </w:pPr>
            <w:r>
              <w:rPr>
                <w:rFonts w:ascii="宋体" w:hAnsi="宋体" w:cs="宋体" w:eastAsia="宋体" w:hint="default"/>
                <w:w w:val="95"/>
                <w:position w:val="2"/>
                <w:sz w:val="22"/>
                <w:szCs w:val="22"/>
              </w:rPr>
              <w:t>融资租赁（附注十三）</w:t>
              <w:tab/>
            </w:r>
            <w:r>
              <w:rPr>
                <w:rFonts w:ascii="Arial" w:hAnsi="Arial" w:cs="Arial" w:eastAsia="Arial" w:hint="default"/>
                <w:sz w:val="22"/>
                <w:szCs w:val="22"/>
              </w:rPr>
              <w:t>128,933,332</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single" w:sz="17" w:space="0" w:color="000000"/>
              <w:right w:val="nil" w:sz="6" w:space="0" w:color="auto"/>
            </w:tcBorders>
          </w:tcPr>
          <w:p>
            <w:pPr>
              <w:pStyle w:val="TableParagraph"/>
              <w:spacing w:line="240" w:lineRule="auto" w:before="17"/>
              <w:ind w:right="124"/>
              <w:jc w:val="right"/>
              <w:rPr>
                <w:rFonts w:ascii="Arial" w:hAnsi="Arial" w:cs="Arial" w:eastAsia="Arial" w:hint="default"/>
                <w:sz w:val="22"/>
                <w:szCs w:val="22"/>
              </w:rPr>
            </w:pPr>
            <w:r>
              <w:rPr>
                <w:rFonts w:ascii="Arial"/>
                <w:w w:val="99"/>
                <w:sz w:val="22"/>
              </w:rPr>
              <w:t>-</w:t>
            </w:r>
            <w:r>
              <w:rPr>
                <w:rFonts w:ascii="Arial"/>
                <w:sz w:val="22"/>
              </w:rPr>
            </w:r>
          </w:p>
        </w:tc>
      </w:tr>
      <w:tr>
        <w:trPr>
          <w:trHeight w:val="649"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single" w:sz="17" w:space="0" w:color="000000"/>
              <w:left w:val="nil" w:sz="6" w:space="0" w:color="auto"/>
              <w:bottom w:val="nil" w:sz="6" w:space="0" w:color="auto"/>
              <w:right w:val="nil" w:sz="6" w:space="0" w:color="auto"/>
            </w:tcBorders>
          </w:tcPr>
          <w:p>
            <w:pPr>
              <w:pStyle w:val="TableParagraph"/>
              <w:spacing w:line="240" w:lineRule="auto" w:before="8"/>
              <w:ind w:right="0"/>
              <w:jc w:val="left"/>
              <w:rPr>
                <w:rFonts w:ascii="黑体" w:hAnsi="黑体" w:cs="黑体" w:eastAsia="黑体" w:hint="default"/>
                <w:sz w:val="16"/>
                <w:szCs w:val="16"/>
              </w:rPr>
            </w:pPr>
          </w:p>
          <w:p>
            <w:pPr>
              <w:pStyle w:val="TableParagraph"/>
              <w:spacing w:line="240" w:lineRule="auto"/>
              <w:ind w:left="70" w:right="0"/>
              <w:jc w:val="left"/>
              <w:rPr>
                <w:rFonts w:ascii="宋体" w:hAnsi="宋体" w:cs="宋体" w:eastAsia="宋体" w:hint="default"/>
                <w:sz w:val="22"/>
                <w:szCs w:val="22"/>
              </w:rPr>
            </w:pPr>
            <w:r>
              <w:rPr>
                <w:rFonts w:ascii="宋体" w:hAnsi="宋体" w:cs="宋体" w:eastAsia="宋体" w:hint="default"/>
                <w:sz w:val="22"/>
                <w:szCs w:val="22"/>
              </w:rPr>
              <w:t>现金及现金等价物净变动情况</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single" w:sz="17" w:space="0" w:color="000000"/>
              <w:left w:val="nil" w:sz="6" w:space="0" w:color="auto"/>
              <w:bottom w:val="nil" w:sz="6" w:space="0" w:color="auto"/>
              <w:right w:val="nil" w:sz="6" w:space="0" w:color="auto"/>
            </w:tcBorders>
          </w:tcPr>
          <w:p>
            <w:pPr/>
          </w:p>
        </w:tc>
      </w:tr>
      <w:tr>
        <w:trPr>
          <w:trHeight w:val="383"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single" w:sz="6" w:space="0" w:color="000000"/>
              <w:right w:val="nil" w:sz="6" w:space="0" w:color="auto"/>
            </w:tcBorders>
          </w:tcPr>
          <w:p>
            <w:pPr>
              <w:pStyle w:val="TableParagraph"/>
              <w:spacing w:line="240" w:lineRule="auto" w:before="54"/>
              <w:ind w:right="54"/>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single" w:sz="6" w:space="0" w:color="000000"/>
              <w:right w:val="nil" w:sz="6" w:space="0" w:color="auto"/>
            </w:tcBorders>
          </w:tcPr>
          <w:p>
            <w:pPr>
              <w:pStyle w:val="TableParagraph"/>
              <w:spacing w:line="240" w:lineRule="auto" w:before="54"/>
              <w:ind w:right="48"/>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292"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single" w:sz="6" w:space="0" w:color="000000"/>
              <w:left w:val="nil" w:sz="6" w:space="0" w:color="auto"/>
              <w:bottom w:val="nil" w:sz="6" w:space="0" w:color="auto"/>
              <w:right w:val="nil" w:sz="6" w:space="0" w:color="auto"/>
            </w:tcBorders>
          </w:tcPr>
          <w:p>
            <w:pP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single" w:sz="6" w:space="0" w:color="000000"/>
              <w:left w:val="nil" w:sz="6" w:space="0" w:color="auto"/>
              <w:bottom w:val="nil" w:sz="6" w:space="0" w:color="auto"/>
              <w:right w:val="nil" w:sz="6" w:space="0" w:color="auto"/>
            </w:tcBorders>
          </w:tcPr>
          <w:p>
            <w:pPr>
              <w:pStyle w:val="TableParagraph"/>
              <w:spacing w:line="253" w:lineRule="exact"/>
              <w:ind w:right="1"/>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5523" w:val="left" w:leader="none"/>
              </w:tabs>
              <w:spacing w:line="284" w:lineRule="exact"/>
              <w:ind w:left="49" w:right="0"/>
              <w:jc w:val="left"/>
              <w:rPr>
                <w:rFonts w:ascii="Arial" w:hAnsi="Arial" w:cs="Arial" w:eastAsia="Arial" w:hint="default"/>
                <w:sz w:val="22"/>
                <w:szCs w:val="22"/>
              </w:rPr>
            </w:pPr>
            <w:r>
              <w:rPr>
                <w:rFonts w:ascii="宋体" w:hAnsi="宋体" w:cs="宋体" w:eastAsia="宋体" w:hint="default"/>
                <w:w w:val="95"/>
                <w:position w:val="2"/>
                <w:sz w:val="22"/>
                <w:szCs w:val="22"/>
              </w:rPr>
              <w:t>现金的年末余额</w:t>
              <w:tab/>
            </w:r>
            <w:r>
              <w:rPr>
                <w:rFonts w:ascii="Arial" w:hAnsi="Arial" w:cs="Arial" w:eastAsia="Arial" w:hint="default"/>
                <w:sz w:val="22"/>
                <w:szCs w:val="22"/>
              </w:rPr>
              <w:t>7,477,137,812</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09"/>
              <w:jc w:val="right"/>
              <w:rPr>
                <w:rFonts w:ascii="Arial" w:hAnsi="Arial" w:cs="Arial" w:eastAsia="Arial" w:hint="default"/>
                <w:sz w:val="22"/>
                <w:szCs w:val="22"/>
              </w:rPr>
            </w:pPr>
            <w:r>
              <w:rPr>
                <w:rFonts w:ascii="Arial"/>
                <w:spacing w:val="-1"/>
                <w:sz w:val="22"/>
              </w:rPr>
              <w:t>9,862,596,213</w:t>
            </w:r>
          </w:p>
        </w:tc>
      </w:tr>
      <w:tr>
        <w:trPr>
          <w:trHeight w:val="285"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5448" w:val="left" w:leader="none"/>
              </w:tabs>
              <w:spacing w:line="271" w:lineRule="exact"/>
              <w:ind w:left="50" w:right="0"/>
              <w:jc w:val="left"/>
              <w:rPr>
                <w:rFonts w:ascii="Arial" w:hAnsi="Arial" w:cs="Arial" w:eastAsia="Arial" w:hint="default"/>
                <w:sz w:val="22"/>
                <w:szCs w:val="22"/>
              </w:rPr>
            </w:pPr>
            <w:r>
              <w:rPr>
                <w:rFonts w:ascii="宋体" w:hAnsi="宋体" w:cs="宋体" w:eastAsia="宋体" w:hint="default"/>
                <w:w w:val="95"/>
                <w:position w:val="2"/>
                <w:sz w:val="22"/>
                <w:szCs w:val="22"/>
              </w:rPr>
              <w:t>减：现金的年初余额</w:t>
              <w:tab/>
            </w:r>
            <w:r>
              <w:rPr>
                <w:rFonts w:ascii="Arial" w:hAnsi="Arial" w:cs="Arial" w:eastAsia="Arial" w:hint="default"/>
                <w:sz w:val="22"/>
                <w:szCs w:val="22"/>
              </w:rPr>
              <w:t>(9,862,596,213)</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6"/>
              <w:jc w:val="right"/>
              <w:rPr>
                <w:rFonts w:ascii="Arial" w:hAnsi="Arial" w:cs="Arial" w:eastAsia="Arial" w:hint="default"/>
                <w:sz w:val="22"/>
                <w:szCs w:val="22"/>
              </w:rPr>
            </w:pPr>
            <w:r>
              <w:rPr>
                <w:rFonts w:ascii="Arial"/>
                <w:w w:val="95"/>
                <w:sz w:val="22"/>
              </w:rPr>
              <w:t>(12,340,652,435)</w:t>
            </w:r>
            <w:r>
              <w:rPr>
                <w:rFonts w:ascii="Arial"/>
                <w:sz w:val="22"/>
              </w:rPr>
            </w:r>
          </w:p>
        </w:tc>
      </w:tr>
      <w:tr>
        <w:trPr>
          <w:trHeight w:val="285"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5706" w:val="left" w:leader="none"/>
              </w:tabs>
              <w:spacing w:line="271" w:lineRule="exact"/>
              <w:ind w:left="50" w:right="0"/>
              <w:jc w:val="left"/>
              <w:rPr>
                <w:rFonts w:ascii="Arial" w:hAnsi="Arial" w:cs="Arial" w:eastAsia="Arial" w:hint="default"/>
                <w:sz w:val="22"/>
                <w:szCs w:val="22"/>
              </w:rPr>
            </w:pPr>
            <w:r>
              <w:rPr>
                <w:rFonts w:ascii="宋体" w:hAnsi="宋体" w:cs="宋体" w:eastAsia="宋体" w:hint="default"/>
                <w:w w:val="95"/>
                <w:position w:val="2"/>
                <w:sz w:val="22"/>
                <w:szCs w:val="22"/>
              </w:rPr>
              <w:t>加：现金等价物的年末余额</w:t>
              <w:tab/>
            </w:r>
            <w:r>
              <w:rPr>
                <w:rFonts w:ascii="Arial" w:hAnsi="Arial" w:cs="Arial" w:eastAsia="Arial" w:hint="default"/>
                <w:sz w:val="22"/>
                <w:szCs w:val="22"/>
              </w:rPr>
              <w:t>354,910,382</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08"/>
              <w:jc w:val="right"/>
              <w:rPr>
                <w:rFonts w:ascii="Arial" w:hAnsi="Arial" w:cs="Arial" w:eastAsia="Arial" w:hint="default"/>
                <w:sz w:val="22"/>
                <w:szCs w:val="22"/>
              </w:rPr>
            </w:pPr>
            <w:r>
              <w:rPr>
                <w:rFonts w:ascii="Arial"/>
                <w:w w:val="95"/>
                <w:sz w:val="22"/>
              </w:rPr>
              <w:t>384,657,135</w:t>
            </w:r>
            <w:r>
              <w:rPr>
                <w:rFonts w:ascii="Arial"/>
                <w:sz w:val="22"/>
              </w:rPr>
            </w:r>
          </w:p>
        </w:tc>
      </w:tr>
      <w:tr>
        <w:trPr>
          <w:trHeight w:val="293"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nil" w:sz="6" w:space="0" w:color="auto"/>
              <w:right w:val="nil" w:sz="6" w:space="0" w:color="auto"/>
            </w:tcBorders>
          </w:tcPr>
          <w:p>
            <w:pPr>
              <w:pStyle w:val="TableParagraph"/>
              <w:tabs>
                <w:tab w:pos="4920" w:val="left" w:leader="none"/>
                <w:tab w:pos="5632" w:val="left" w:leader="none"/>
              </w:tabs>
              <w:spacing w:line="271" w:lineRule="exact"/>
              <w:ind w:left="50" w:right="0"/>
              <w:jc w:val="left"/>
              <w:rPr>
                <w:rFonts w:ascii="Arial" w:hAnsi="Arial" w:cs="Arial" w:eastAsia="Arial" w:hint="default"/>
                <w:sz w:val="22"/>
                <w:szCs w:val="22"/>
              </w:rPr>
            </w:pPr>
            <w:r>
              <w:rPr>
                <w:rFonts w:ascii="宋体" w:hAnsi="宋体" w:cs="宋体" w:eastAsia="宋体" w:hint="default"/>
                <w:w w:val="95"/>
                <w:position w:val="2"/>
                <w:sz w:val="22"/>
                <w:szCs w:val="22"/>
              </w:rPr>
              <w:t>减：现金等价物的年初余额</w:t>
              <w:tab/>
            </w:r>
            <w:r>
              <w:rPr>
                <w:rFonts w:ascii="Arial" w:hAnsi="Arial" w:cs="Arial" w:eastAsia="Arial" w:hint="default"/>
                <w:w w:val="95"/>
                <w:sz w:val="22"/>
                <w:szCs w:val="22"/>
              </w:rPr>
            </w:r>
            <w:r>
              <w:rPr>
                <w:rFonts w:ascii="Arial" w:hAnsi="Arial" w:cs="Arial" w:eastAsia="Arial" w:hint="default"/>
                <w:w w:val="95"/>
                <w:sz w:val="22"/>
                <w:szCs w:val="22"/>
                <w:u w:val="single" w:color="000000"/>
              </w:rPr>
              <w:t> </w:t>
              <w:tab/>
            </w:r>
            <w:r>
              <w:rPr>
                <w:rFonts w:ascii="Arial" w:hAnsi="Arial" w:cs="Arial" w:eastAsia="Arial" w:hint="default"/>
                <w:sz w:val="22"/>
                <w:szCs w:val="22"/>
                <w:u w:val="single" w:color="000000"/>
              </w:rPr>
              <w:t>(384,657,135)</w:t>
            </w:r>
            <w:r>
              <w:rPr>
                <w:rFonts w:ascii="Arial" w:hAnsi="Arial" w:cs="Arial" w:eastAsia="Arial" w:hint="default"/>
                <w:sz w:val="22"/>
                <w:szCs w:val="22"/>
              </w:rPr>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nil" w:sz="6" w:space="0" w:color="auto"/>
              <w:right w:val="nil" w:sz="6" w:space="0" w:color="auto"/>
            </w:tcBorders>
          </w:tcPr>
          <w:p>
            <w:pPr>
              <w:pStyle w:val="TableParagraph"/>
              <w:tabs>
                <w:tab w:pos="656" w:val="left" w:leader="none"/>
              </w:tabs>
              <w:spacing w:line="240" w:lineRule="auto" w:before="17"/>
              <w:ind w:right="36"/>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(333,984,965)</w:t>
            </w:r>
            <w:r>
              <w:rPr>
                <w:rFonts w:ascii="Arial"/>
                <w:w w:val="95"/>
                <w:sz w:val="22"/>
              </w:rPr>
            </w:r>
            <w:r>
              <w:rPr>
                <w:rFonts w:ascii="Arial"/>
                <w:sz w:val="22"/>
              </w:rPr>
            </w:r>
          </w:p>
        </w:tc>
      </w:tr>
      <w:tr>
        <w:trPr>
          <w:trHeight w:val="303" w:hRule="exact"/>
        </w:trPr>
        <w:tc>
          <w:tcPr>
            <w:tcW w:w="427" w:type="dxa"/>
            <w:tcBorders>
              <w:top w:val="nil" w:sz="6" w:space="0" w:color="auto"/>
              <w:left w:val="nil" w:sz="6" w:space="0" w:color="auto"/>
              <w:bottom w:val="nil" w:sz="6" w:space="0" w:color="auto"/>
              <w:right w:val="nil" w:sz="6" w:space="0" w:color="auto"/>
            </w:tcBorders>
          </w:tcPr>
          <w:p>
            <w:pPr/>
          </w:p>
        </w:tc>
        <w:tc>
          <w:tcPr>
            <w:tcW w:w="7013" w:type="dxa"/>
            <w:tcBorders>
              <w:top w:val="nil" w:sz="6" w:space="0" w:color="auto"/>
              <w:left w:val="nil" w:sz="6" w:space="0" w:color="auto"/>
              <w:bottom w:val="single" w:sz="17" w:space="0" w:color="000000"/>
              <w:right w:val="nil" w:sz="6" w:space="0" w:color="auto"/>
            </w:tcBorders>
          </w:tcPr>
          <w:p>
            <w:pPr>
              <w:pStyle w:val="TableParagraph"/>
              <w:tabs>
                <w:tab w:pos="5448" w:val="left" w:leader="none"/>
              </w:tabs>
              <w:spacing w:line="277" w:lineRule="exact"/>
              <w:ind w:left="50" w:right="0"/>
              <w:jc w:val="left"/>
              <w:rPr>
                <w:rFonts w:ascii="Arial" w:hAnsi="Arial" w:cs="Arial" w:eastAsia="Arial" w:hint="default"/>
                <w:sz w:val="22"/>
                <w:szCs w:val="22"/>
              </w:rPr>
            </w:pPr>
            <w:r>
              <w:rPr>
                <w:rFonts w:ascii="宋体" w:hAnsi="宋体" w:cs="宋体" w:eastAsia="宋体" w:hint="default"/>
                <w:w w:val="95"/>
                <w:position w:val="1"/>
                <w:sz w:val="22"/>
                <w:szCs w:val="22"/>
              </w:rPr>
              <w:t>现金及现金等价物净增加额</w:t>
              <w:tab/>
            </w:r>
            <w:r>
              <w:rPr>
                <w:rFonts w:ascii="Arial" w:hAnsi="Arial" w:cs="Arial" w:eastAsia="Arial" w:hint="default"/>
                <w:sz w:val="22"/>
                <w:szCs w:val="22"/>
              </w:rPr>
              <w:t>(2,415,205,154)</w:t>
            </w:r>
          </w:p>
        </w:tc>
        <w:tc>
          <w:tcPr>
            <w:tcW w:w="115" w:type="dxa"/>
            <w:tcBorders>
              <w:top w:val="nil" w:sz="6" w:space="0" w:color="auto"/>
              <w:left w:val="nil" w:sz="6" w:space="0" w:color="auto"/>
              <w:bottom w:val="nil" w:sz="6" w:space="0" w:color="auto"/>
              <w:right w:val="nil" w:sz="6" w:space="0" w:color="auto"/>
            </w:tcBorders>
          </w:tcPr>
          <w:p>
            <w:pPr/>
          </w:p>
        </w:tc>
        <w:tc>
          <w:tcPr>
            <w:tcW w:w="2083"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36"/>
              <w:jc w:val="right"/>
              <w:rPr>
                <w:rFonts w:ascii="Arial" w:hAnsi="Arial" w:cs="Arial" w:eastAsia="Arial" w:hint="default"/>
                <w:sz w:val="22"/>
                <w:szCs w:val="22"/>
              </w:rPr>
            </w:pPr>
            <w:r>
              <w:rPr>
                <w:rFonts w:ascii="Arial"/>
                <w:w w:val="95"/>
                <w:sz w:val="22"/>
              </w:rPr>
              <w:t>(2,427,384,052)</w:t>
            </w:r>
            <w:r>
              <w:rPr>
                <w:rFonts w:ascii="Arial"/>
                <w:sz w:val="22"/>
              </w:rPr>
            </w:r>
          </w:p>
        </w:tc>
      </w:tr>
    </w:tbl>
    <w:p>
      <w:pPr>
        <w:spacing w:after="0" w:line="240" w:lineRule="auto"/>
        <w:jc w:val="right"/>
        <w:rPr>
          <w:rFonts w:ascii="Arial" w:hAnsi="Arial" w:cs="Arial" w:eastAsia="Arial" w:hint="default"/>
          <w:sz w:val="22"/>
          <w:szCs w:val="22"/>
        </w:rPr>
        <w:sectPr>
          <w:headerReference w:type="default" r:id="rId127"/>
          <w:pgSz w:w="11910" w:h="16840"/>
          <w:pgMar w:header="1189" w:footer="752" w:top="3060" w:bottom="940" w:left="1240" w:right="800"/>
        </w:sectPr>
      </w:pPr>
    </w:p>
    <w:p>
      <w:pPr>
        <w:spacing w:line="240" w:lineRule="auto" w:before="12"/>
        <w:rPr>
          <w:rFonts w:ascii="黑体" w:hAnsi="黑体" w:cs="黑体" w:eastAsia="黑体" w:hint="default"/>
          <w:sz w:val="14"/>
          <w:szCs w:val="14"/>
        </w:rPr>
      </w:pPr>
    </w:p>
    <w:p>
      <w:pPr>
        <w:pStyle w:val="BodyText"/>
        <w:spacing w:line="240" w:lineRule="auto" w:before="31"/>
        <w:ind w:left="102" w:right="99"/>
        <w:jc w:val="left"/>
        <w:rPr>
          <w:rFonts w:ascii="黑体" w:hAnsi="黑体" w:cs="黑体" w:eastAsia="黑体" w:hint="default"/>
        </w:rPr>
      </w:pPr>
      <w:r>
        <w:rPr>
          <w:rFonts w:ascii="Arial" w:hAnsi="Arial" w:cs="Arial" w:eastAsia="Arial" w:hint="default"/>
        </w:rPr>
        <w:t>50</w:t>
      </w:r>
      <w:r>
        <w:rPr/>
        <w:t>、</w:t>
      </w:r>
      <w:r>
        <w:rPr>
          <w:rFonts w:ascii="黑体" w:hAnsi="黑体" w:cs="黑体" w:eastAsia="黑体" w:hint="default"/>
        </w:rPr>
        <w:t>现金流量表补充资料（续）</w:t>
      </w:r>
    </w:p>
    <w:p>
      <w:pPr>
        <w:spacing w:line="240" w:lineRule="auto" w:before="2"/>
        <w:rPr>
          <w:rFonts w:ascii="黑体" w:hAnsi="黑体" w:cs="黑体" w:eastAsia="黑体" w:hint="default"/>
          <w:sz w:val="16"/>
          <w:szCs w:val="16"/>
        </w:rPr>
      </w:pPr>
    </w:p>
    <w:p>
      <w:pPr>
        <w:pStyle w:val="BodyText"/>
        <w:spacing w:line="240" w:lineRule="auto"/>
        <w:ind w:left="102" w:right="99"/>
        <w:jc w:val="left"/>
      </w:pPr>
      <w:r>
        <w:rPr>
          <w:rFonts w:ascii="Arial" w:hAnsi="Arial" w:cs="Arial" w:eastAsia="Arial" w:hint="default"/>
        </w:rPr>
        <w:t>2</w:t>
      </w:r>
      <w:r>
        <w:rPr/>
        <w:t>、</w:t>
      </w:r>
      <w:r>
        <w:rPr>
          <w:spacing w:val="-2"/>
        </w:rPr>
        <w:t> </w:t>
      </w:r>
      <w:r>
        <w:rPr/>
        <w:t>取得子公司</w:t>
      </w:r>
    </w:p>
    <w:p>
      <w:pPr>
        <w:spacing w:line="240" w:lineRule="auto" w:before="2"/>
        <w:rPr>
          <w:rFonts w:ascii="宋体" w:hAnsi="宋体" w:cs="宋体" w:eastAsia="宋体" w:hint="default"/>
          <w:sz w:val="20"/>
          <w:szCs w:val="20"/>
        </w:rPr>
      </w:pPr>
    </w:p>
    <w:p>
      <w:pPr>
        <w:pStyle w:val="BodyText"/>
        <w:spacing w:line="286" w:lineRule="exact"/>
        <w:ind w:left="549" w:right="91"/>
        <w:jc w:val="left"/>
      </w:pPr>
      <w:r>
        <w:rPr/>
        <w:t>于 </w:t>
      </w:r>
      <w:r>
        <w:rPr>
          <w:rFonts w:ascii="Arial" w:hAnsi="Arial" w:cs="Arial" w:eastAsia="Arial" w:hint="default"/>
        </w:rPr>
        <w:t>2009</w:t>
      </w:r>
      <w:r>
        <w:rPr>
          <w:rFonts w:ascii="Arial" w:hAnsi="Arial" w:cs="Arial" w:eastAsia="Arial" w:hint="default"/>
          <w:spacing w:val="-37"/>
        </w:rPr>
        <w:t> </w:t>
      </w:r>
      <w:r>
        <w:rPr/>
        <w:t>年度，本集团未发生处置子公司的业务。与取得子公司相关的现金及现金等价物净变</w:t>
      </w:r>
      <w:r>
        <w:rPr>
          <w:w w:val="99"/>
        </w:rPr>
        <w:t> </w:t>
      </w:r>
      <w:r>
        <w:rPr/>
        <w:t>动情况见附注四。</w:t>
      </w:r>
    </w:p>
    <w:p>
      <w:pPr>
        <w:spacing w:line="240" w:lineRule="auto" w:before="1"/>
        <w:rPr>
          <w:rFonts w:ascii="宋体" w:hAnsi="宋体" w:cs="宋体" w:eastAsia="宋体" w:hint="default"/>
          <w:sz w:val="17"/>
          <w:szCs w:val="17"/>
        </w:rPr>
      </w:pPr>
    </w:p>
    <w:p>
      <w:pPr>
        <w:pStyle w:val="BodyText"/>
        <w:spacing w:line="240" w:lineRule="auto"/>
        <w:ind w:left="102" w:right="99"/>
        <w:jc w:val="left"/>
      </w:pPr>
      <w:r>
        <w:rPr>
          <w:rFonts w:ascii="Arial" w:hAnsi="Arial" w:cs="Arial" w:eastAsia="Arial" w:hint="default"/>
        </w:rPr>
        <w:t>3</w:t>
      </w:r>
      <w:r>
        <w:rPr/>
        <w:t>、</w:t>
      </w:r>
      <w:r>
        <w:rPr>
          <w:spacing w:val="-2"/>
        </w:rPr>
        <w:t> </w:t>
      </w:r>
      <w:r>
        <w:rPr/>
        <w:t>现金及现金等价物</w:t>
      </w:r>
    </w:p>
    <w:p>
      <w:pPr>
        <w:spacing w:line="240" w:lineRule="auto" w:before="7"/>
        <w:rPr>
          <w:rFonts w:ascii="宋体" w:hAnsi="宋体" w:cs="宋体" w:eastAsia="宋体" w:hint="default"/>
          <w:sz w:val="15"/>
          <w:szCs w:val="15"/>
        </w:rPr>
      </w:pPr>
    </w:p>
    <w:tbl>
      <w:tblPr>
        <w:tblW w:w="0" w:type="auto"/>
        <w:jc w:val="left"/>
        <w:tblInd w:w="509" w:type="dxa"/>
        <w:tblLayout w:type="fixed"/>
        <w:tblCellMar>
          <w:top w:w="0" w:type="dxa"/>
          <w:left w:w="0" w:type="dxa"/>
          <w:bottom w:w="0" w:type="dxa"/>
          <w:right w:w="0" w:type="dxa"/>
        </w:tblCellMar>
        <w:tblLook w:val="01E0"/>
      </w:tblPr>
      <w:tblGrid>
        <w:gridCol w:w="4451"/>
        <w:gridCol w:w="2190"/>
        <w:gridCol w:w="143"/>
        <w:gridCol w:w="2203"/>
      </w:tblGrid>
      <w:tr>
        <w:trPr>
          <w:trHeight w:val="646" w:hRule="exact"/>
        </w:trPr>
        <w:tc>
          <w:tcPr>
            <w:tcW w:w="4451" w:type="dxa"/>
            <w:vMerge w:val="restart"/>
            <w:tcBorders>
              <w:top w:val="nil" w:sz="6" w:space="0" w:color="auto"/>
              <w:left w:val="nil" w:sz="6" w:space="0" w:color="auto"/>
              <w:right w:val="nil" w:sz="6" w:space="0" w:color="auto"/>
            </w:tcBorders>
          </w:tcPr>
          <w:p>
            <w:pPr/>
          </w:p>
        </w:tc>
        <w:tc>
          <w:tcPr>
            <w:tcW w:w="2190" w:type="dxa"/>
            <w:tcBorders>
              <w:top w:val="nil" w:sz="6" w:space="0" w:color="auto"/>
              <w:left w:val="nil" w:sz="6" w:space="0" w:color="auto"/>
              <w:bottom w:val="single" w:sz="6" w:space="0" w:color="000000"/>
              <w:right w:val="nil" w:sz="6" w:space="0" w:color="auto"/>
            </w:tcBorders>
          </w:tcPr>
          <w:p>
            <w:pPr>
              <w:pStyle w:val="TableParagraph"/>
              <w:spacing w:line="295" w:lineRule="exact" w:before="32"/>
              <w:ind w:left="1406" w:right="0"/>
              <w:jc w:val="lef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w:t>
            </w:r>
          </w:p>
          <w:p>
            <w:pPr>
              <w:pStyle w:val="TableParagraph"/>
              <w:spacing w:line="295" w:lineRule="exact"/>
              <w:ind w:left="1076" w:right="0"/>
              <w:jc w:val="left"/>
              <w:rPr>
                <w:rFonts w:ascii="宋体" w:hAnsi="宋体" w:cs="宋体" w:eastAsia="宋体" w:hint="default"/>
                <w:sz w:val="22"/>
                <w:szCs w:val="22"/>
              </w:rPr>
            </w:pP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143" w:type="dxa"/>
            <w:tcBorders>
              <w:top w:val="nil" w:sz="6" w:space="0" w:color="auto"/>
              <w:left w:val="nil" w:sz="6" w:space="0" w:color="auto"/>
              <w:bottom w:val="nil" w:sz="6" w:space="0" w:color="auto"/>
              <w:right w:val="nil" w:sz="6" w:space="0" w:color="auto"/>
            </w:tcBorders>
          </w:tcPr>
          <w:p>
            <w:pPr/>
          </w:p>
        </w:tc>
        <w:tc>
          <w:tcPr>
            <w:tcW w:w="2203" w:type="dxa"/>
            <w:tcBorders>
              <w:top w:val="nil" w:sz="6" w:space="0" w:color="auto"/>
              <w:left w:val="nil" w:sz="6" w:space="0" w:color="auto"/>
              <w:bottom w:val="single" w:sz="6" w:space="0" w:color="000000"/>
              <w:right w:val="nil" w:sz="6" w:space="0" w:color="auto"/>
            </w:tcBorders>
          </w:tcPr>
          <w:p>
            <w:pPr>
              <w:pStyle w:val="TableParagraph"/>
              <w:spacing w:line="295" w:lineRule="exact" w:before="31"/>
              <w:ind w:left="1412" w:right="0"/>
              <w:jc w:val="lef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w:t>
            </w:r>
          </w:p>
          <w:p>
            <w:pPr>
              <w:pStyle w:val="TableParagraph"/>
              <w:spacing w:line="295" w:lineRule="exact"/>
              <w:ind w:left="1082" w:right="0"/>
              <w:jc w:val="left"/>
              <w:rPr>
                <w:rFonts w:ascii="宋体" w:hAnsi="宋体" w:cs="宋体" w:eastAsia="宋体" w:hint="default"/>
                <w:sz w:val="22"/>
                <w:szCs w:val="22"/>
              </w:rPr>
            </w:pP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293" w:hRule="exact"/>
        </w:trPr>
        <w:tc>
          <w:tcPr>
            <w:tcW w:w="4451" w:type="dxa"/>
            <w:vMerge/>
            <w:tcBorders>
              <w:left w:val="nil" w:sz="6" w:space="0" w:color="auto"/>
              <w:bottom w:val="nil" w:sz="6" w:space="0" w:color="auto"/>
              <w:right w:val="nil" w:sz="6" w:space="0" w:color="auto"/>
            </w:tcBorders>
          </w:tcPr>
          <w:p>
            <w:pPr/>
          </w:p>
        </w:tc>
        <w:tc>
          <w:tcPr>
            <w:tcW w:w="2190" w:type="dxa"/>
            <w:tcBorders>
              <w:top w:val="single" w:sz="6" w:space="0" w:color="000000"/>
              <w:left w:val="nil" w:sz="6" w:space="0" w:color="auto"/>
              <w:bottom w:val="nil" w:sz="6" w:space="0" w:color="auto"/>
              <w:right w:val="nil" w:sz="6" w:space="0" w:color="auto"/>
            </w:tcBorders>
          </w:tcPr>
          <w:p>
            <w:pPr/>
          </w:p>
        </w:tc>
        <w:tc>
          <w:tcPr>
            <w:tcW w:w="143" w:type="dxa"/>
            <w:tcBorders>
              <w:top w:val="nil" w:sz="6" w:space="0" w:color="auto"/>
              <w:left w:val="nil" w:sz="6" w:space="0" w:color="auto"/>
              <w:bottom w:val="nil" w:sz="6" w:space="0" w:color="auto"/>
              <w:right w:val="nil" w:sz="6" w:space="0" w:color="auto"/>
            </w:tcBorders>
          </w:tcPr>
          <w:p>
            <w:pPr/>
          </w:p>
        </w:tc>
        <w:tc>
          <w:tcPr>
            <w:tcW w:w="2203" w:type="dxa"/>
            <w:tcBorders>
              <w:top w:val="single" w:sz="6" w:space="0" w:color="000000"/>
              <w:left w:val="nil" w:sz="6" w:space="0" w:color="auto"/>
              <w:bottom w:val="nil" w:sz="6" w:space="0" w:color="auto"/>
              <w:right w:val="nil" w:sz="6" w:space="0" w:color="auto"/>
            </w:tcBorders>
          </w:tcPr>
          <w:p>
            <w:pPr>
              <w:pStyle w:val="TableParagraph"/>
              <w:spacing w:line="252" w:lineRule="exact"/>
              <w:ind w:right="26"/>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3" w:hRule="exact"/>
        </w:trPr>
        <w:tc>
          <w:tcPr>
            <w:tcW w:w="4451" w:type="dxa"/>
            <w:tcBorders>
              <w:top w:val="nil" w:sz="6" w:space="0" w:color="auto"/>
              <w:left w:val="nil" w:sz="6" w:space="0" w:color="auto"/>
              <w:bottom w:val="nil" w:sz="6" w:space="0" w:color="auto"/>
              <w:right w:val="nil" w:sz="6" w:space="0" w:color="auto"/>
            </w:tcBorders>
          </w:tcPr>
          <w:p>
            <w:pPr>
              <w:pStyle w:val="TableParagraph"/>
              <w:spacing w:line="253" w:lineRule="exact"/>
              <w:ind w:left="35" w:right="0"/>
              <w:jc w:val="left"/>
              <w:rPr>
                <w:rFonts w:ascii="宋体" w:hAnsi="宋体" w:cs="宋体" w:eastAsia="宋体" w:hint="default"/>
                <w:sz w:val="22"/>
                <w:szCs w:val="22"/>
              </w:rPr>
            </w:pPr>
            <w:r>
              <w:rPr>
                <w:rFonts w:ascii="宋体" w:hAnsi="宋体" w:cs="宋体" w:eastAsia="宋体" w:hint="default"/>
                <w:sz w:val="22"/>
                <w:szCs w:val="22"/>
              </w:rPr>
              <w:t>现金</w:t>
            </w:r>
          </w:p>
        </w:tc>
        <w:tc>
          <w:tcPr>
            <w:tcW w:w="2190"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131"/>
              <w:jc w:val="right"/>
              <w:rPr>
                <w:rFonts w:ascii="Arial" w:hAnsi="Arial" w:cs="Arial" w:eastAsia="Arial" w:hint="default"/>
                <w:sz w:val="22"/>
                <w:szCs w:val="22"/>
              </w:rPr>
            </w:pPr>
            <w:r>
              <w:rPr>
                <w:rFonts w:ascii="Arial"/>
                <w:spacing w:val="-1"/>
                <w:sz w:val="22"/>
              </w:rPr>
              <w:t>7,477,137,812</w:t>
            </w:r>
          </w:p>
        </w:tc>
        <w:tc>
          <w:tcPr>
            <w:tcW w:w="143" w:type="dxa"/>
            <w:tcBorders>
              <w:top w:val="nil" w:sz="6" w:space="0" w:color="auto"/>
              <w:left w:val="nil" w:sz="6" w:space="0" w:color="auto"/>
              <w:bottom w:val="single" w:sz="6" w:space="0" w:color="000000"/>
              <w:right w:val="nil" w:sz="6" w:space="0" w:color="auto"/>
            </w:tcBorders>
          </w:tcPr>
          <w:p>
            <w:pPr/>
          </w:p>
        </w:tc>
        <w:tc>
          <w:tcPr>
            <w:tcW w:w="2203"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124"/>
              <w:jc w:val="right"/>
              <w:rPr>
                <w:rFonts w:ascii="Arial" w:hAnsi="Arial" w:cs="Arial" w:eastAsia="Arial" w:hint="default"/>
                <w:sz w:val="22"/>
                <w:szCs w:val="22"/>
              </w:rPr>
            </w:pPr>
            <w:r>
              <w:rPr>
                <w:rFonts w:ascii="Arial"/>
                <w:spacing w:val="-1"/>
                <w:sz w:val="22"/>
              </w:rPr>
              <w:t>9,862,596,213</w:t>
            </w:r>
          </w:p>
        </w:tc>
      </w:tr>
      <w:tr>
        <w:trPr>
          <w:trHeight w:val="306" w:hRule="exact"/>
        </w:trPr>
        <w:tc>
          <w:tcPr>
            <w:tcW w:w="4451" w:type="dxa"/>
            <w:tcBorders>
              <w:top w:val="nil" w:sz="6" w:space="0" w:color="auto"/>
              <w:left w:val="nil" w:sz="6" w:space="0" w:color="auto"/>
              <w:bottom w:val="nil" w:sz="6" w:space="0" w:color="auto"/>
              <w:right w:val="single" w:sz="6" w:space="0" w:color="000000"/>
            </w:tcBorders>
          </w:tcPr>
          <w:p>
            <w:pPr>
              <w:pStyle w:val="TableParagraph"/>
              <w:spacing w:line="260" w:lineRule="exact"/>
              <w:ind w:left="35" w:right="0"/>
              <w:jc w:val="left"/>
              <w:rPr>
                <w:rFonts w:ascii="宋体" w:hAnsi="宋体" w:cs="宋体" w:eastAsia="宋体" w:hint="default"/>
                <w:sz w:val="22"/>
                <w:szCs w:val="22"/>
              </w:rPr>
            </w:pPr>
            <w:r>
              <w:rPr>
                <w:rFonts w:ascii="宋体" w:hAnsi="宋体" w:cs="宋体" w:eastAsia="宋体" w:hint="default"/>
                <w:sz w:val="22"/>
                <w:szCs w:val="22"/>
              </w:rPr>
              <w:t>其中：库存现金</w:t>
            </w:r>
          </w:p>
        </w:tc>
        <w:tc>
          <w:tcPr>
            <w:tcW w:w="2190" w:type="dxa"/>
            <w:tcBorders>
              <w:top w:val="single" w:sz="6" w:space="0" w:color="000000"/>
              <w:left w:val="single" w:sz="6" w:space="0" w:color="000000"/>
              <w:bottom w:val="nil" w:sz="6" w:space="0" w:color="auto"/>
              <w:right w:val="nil" w:sz="6" w:space="0" w:color="auto"/>
            </w:tcBorders>
          </w:tcPr>
          <w:p>
            <w:pPr>
              <w:pStyle w:val="TableParagraph"/>
              <w:spacing w:line="240" w:lineRule="auto" w:before="30"/>
              <w:ind w:right="124"/>
              <w:jc w:val="right"/>
              <w:rPr>
                <w:rFonts w:ascii="Arial" w:hAnsi="Arial" w:cs="Arial" w:eastAsia="Arial" w:hint="default"/>
                <w:sz w:val="22"/>
                <w:szCs w:val="22"/>
              </w:rPr>
            </w:pPr>
            <w:r>
              <w:rPr>
                <w:rFonts w:ascii="Arial"/>
                <w:w w:val="95"/>
                <w:sz w:val="22"/>
              </w:rPr>
              <w:t>7,448,007</w:t>
            </w:r>
            <w:r>
              <w:rPr>
                <w:rFonts w:ascii="Arial"/>
                <w:sz w:val="22"/>
              </w:rPr>
            </w:r>
          </w:p>
        </w:tc>
        <w:tc>
          <w:tcPr>
            <w:tcW w:w="143" w:type="dxa"/>
            <w:tcBorders>
              <w:top w:val="single" w:sz="6" w:space="0" w:color="000000"/>
              <w:left w:val="nil" w:sz="6" w:space="0" w:color="auto"/>
              <w:bottom w:val="nil" w:sz="6" w:space="0" w:color="auto"/>
              <w:right w:val="nil" w:sz="6" w:space="0" w:color="auto"/>
            </w:tcBorders>
          </w:tcPr>
          <w:p>
            <w:pPr/>
          </w:p>
        </w:tc>
        <w:tc>
          <w:tcPr>
            <w:tcW w:w="2203" w:type="dxa"/>
            <w:tcBorders>
              <w:top w:val="single" w:sz="6" w:space="0" w:color="000000"/>
              <w:left w:val="nil" w:sz="6" w:space="0" w:color="auto"/>
              <w:bottom w:val="nil" w:sz="6" w:space="0" w:color="auto"/>
              <w:right w:val="single" w:sz="6" w:space="0" w:color="000000"/>
            </w:tcBorders>
          </w:tcPr>
          <w:p>
            <w:pPr>
              <w:pStyle w:val="TableParagraph"/>
              <w:spacing w:line="240" w:lineRule="auto" w:before="30"/>
              <w:ind w:right="117"/>
              <w:jc w:val="right"/>
              <w:rPr>
                <w:rFonts w:ascii="Arial" w:hAnsi="Arial" w:cs="Arial" w:eastAsia="Arial" w:hint="default"/>
                <w:sz w:val="22"/>
                <w:szCs w:val="22"/>
              </w:rPr>
            </w:pPr>
            <w:r>
              <w:rPr>
                <w:rFonts w:ascii="Arial"/>
                <w:w w:val="95"/>
                <w:sz w:val="22"/>
              </w:rPr>
              <w:t>8,190,225</w:t>
            </w:r>
            <w:r>
              <w:rPr>
                <w:rFonts w:ascii="Arial"/>
                <w:sz w:val="22"/>
              </w:rPr>
            </w:r>
          </w:p>
        </w:tc>
      </w:tr>
      <w:tr>
        <w:trPr>
          <w:trHeight w:val="280" w:hRule="exact"/>
        </w:trPr>
        <w:tc>
          <w:tcPr>
            <w:tcW w:w="4451" w:type="dxa"/>
            <w:tcBorders>
              <w:top w:val="nil" w:sz="6" w:space="0" w:color="auto"/>
              <w:left w:val="nil" w:sz="6" w:space="0" w:color="auto"/>
              <w:bottom w:val="nil" w:sz="6" w:space="0" w:color="auto"/>
              <w:right w:val="single" w:sz="6" w:space="0" w:color="000000"/>
            </w:tcBorders>
          </w:tcPr>
          <w:p>
            <w:pPr>
              <w:pStyle w:val="TableParagraph"/>
              <w:spacing w:line="240" w:lineRule="exact"/>
              <w:ind w:left="698" w:right="0"/>
              <w:jc w:val="left"/>
              <w:rPr>
                <w:rFonts w:ascii="宋体" w:hAnsi="宋体" w:cs="宋体" w:eastAsia="宋体" w:hint="default"/>
                <w:sz w:val="22"/>
                <w:szCs w:val="22"/>
              </w:rPr>
            </w:pPr>
            <w:r>
              <w:rPr>
                <w:rFonts w:ascii="宋体" w:hAnsi="宋体" w:cs="宋体" w:eastAsia="宋体" w:hint="default"/>
                <w:sz w:val="22"/>
                <w:szCs w:val="22"/>
              </w:rPr>
              <w:t>可随时用于支付的银行存款</w:t>
            </w:r>
          </w:p>
        </w:tc>
        <w:tc>
          <w:tcPr>
            <w:tcW w:w="2190" w:type="dxa"/>
            <w:tcBorders>
              <w:top w:val="nil" w:sz="6" w:space="0" w:color="auto"/>
              <w:left w:val="single" w:sz="6" w:space="0" w:color="000000"/>
              <w:bottom w:val="single" w:sz="6" w:space="0" w:color="000000"/>
              <w:right w:val="nil" w:sz="6" w:space="0" w:color="auto"/>
            </w:tcBorders>
          </w:tcPr>
          <w:p>
            <w:pPr>
              <w:pStyle w:val="TableParagraph"/>
              <w:spacing w:line="240" w:lineRule="auto" w:before="18"/>
              <w:ind w:right="124"/>
              <w:jc w:val="right"/>
              <w:rPr>
                <w:rFonts w:ascii="Arial" w:hAnsi="Arial" w:cs="Arial" w:eastAsia="Arial" w:hint="default"/>
                <w:sz w:val="22"/>
                <w:szCs w:val="22"/>
              </w:rPr>
            </w:pPr>
            <w:r>
              <w:rPr>
                <w:rFonts w:ascii="Arial"/>
                <w:spacing w:val="-1"/>
                <w:sz w:val="22"/>
              </w:rPr>
              <w:t>7,469,689,805</w:t>
            </w:r>
          </w:p>
        </w:tc>
        <w:tc>
          <w:tcPr>
            <w:tcW w:w="143" w:type="dxa"/>
            <w:tcBorders>
              <w:top w:val="nil" w:sz="6" w:space="0" w:color="auto"/>
              <w:left w:val="nil" w:sz="6" w:space="0" w:color="auto"/>
              <w:bottom w:val="single" w:sz="6" w:space="0" w:color="000000"/>
              <w:right w:val="nil" w:sz="6" w:space="0" w:color="auto"/>
            </w:tcBorders>
          </w:tcPr>
          <w:p>
            <w:pPr/>
          </w:p>
        </w:tc>
        <w:tc>
          <w:tcPr>
            <w:tcW w:w="2203" w:type="dxa"/>
            <w:tcBorders>
              <w:top w:val="nil" w:sz="6" w:space="0" w:color="auto"/>
              <w:left w:val="nil" w:sz="6" w:space="0" w:color="auto"/>
              <w:bottom w:val="single" w:sz="6" w:space="0" w:color="000000"/>
              <w:right w:val="single" w:sz="6" w:space="0" w:color="000000"/>
            </w:tcBorders>
          </w:tcPr>
          <w:p>
            <w:pPr>
              <w:pStyle w:val="TableParagraph"/>
              <w:spacing w:line="240" w:lineRule="auto" w:before="18"/>
              <w:ind w:right="117"/>
              <w:jc w:val="right"/>
              <w:rPr>
                <w:rFonts w:ascii="Arial" w:hAnsi="Arial" w:cs="Arial" w:eastAsia="Arial" w:hint="default"/>
                <w:sz w:val="22"/>
                <w:szCs w:val="22"/>
              </w:rPr>
            </w:pPr>
            <w:r>
              <w:rPr>
                <w:rFonts w:ascii="Arial"/>
                <w:spacing w:val="-1"/>
                <w:sz w:val="22"/>
              </w:rPr>
              <w:t>9,854,405,988</w:t>
            </w:r>
          </w:p>
        </w:tc>
      </w:tr>
    </w:tbl>
    <w:p>
      <w:pPr>
        <w:spacing w:line="240" w:lineRule="auto" w:before="9"/>
        <w:rPr>
          <w:rFonts w:ascii="宋体" w:hAnsi="宋体" w:cs="宋体" w:eastAsia="宋体" w:hint="default"/>
          <w:sz w:val="13"/>
          <w:szCs w:val="13"/>
        </w:rPr>
      </w:pPr>
    </w:p>
    <w:p>
      <w:pPr>
        <w:pStyle w:val="BodyText"/>
        <w:tabs>
          <w:tab w:pos="4952" w:val="left" w:leader="none"/>
          <w:tab w:pos="5793" w:val="left" w:leader="none"/>
          <w:tab w:pos="8146" w:val="left" w:leader="none"/>
          <w:tab w:pos="9488" w:val="left" w:leader="none"/>
        </w:tabs>
        <w:spacing w:line="240" w:lineRule="auto" w:before="27"/>
        <w:ind w:left="544" w:right="99"/>
        <w:jc w:val="left"/>
        <w:rPr>
          <w:rFonts w:ascii="Arial" w:hAnsi="Arial" w:cs="Arial" w:eastAsia="Arial" w:hint="default"/>
        </w:rPr>
      </w:pPr>
      <w:r>
        <w:rPr>
          <w:w w:val="95"/>
          <w:position w:val="2"/>
        </w:rPr>
        <w:t>其他</w:t>
        <w:tab/>
      </w:r>
      <w:r>
        <w:rPr>
          <w:rFonts w:ascii="Arial" w:hAnsi="Arial" w:cs="Arial" w:eastAsia="Arial" w:hint="default"/>
          <w:w w:val="95"/>
        </w:rPr>
      </w:r>
      <w:r>
        <w:rPr>
          <w:rFonts w:ascii="Arial" w:hAnsi="Arial" w:cs="Arial" w:eastAsia="Arial" w:hint="default"/>
          <w:w w:val="95"/>
          <w:u w:val="single" w:color="000000"/>
        </w:rPr>
        <w:t> </w:t>
        <w:tab/>
        <w:t>354,910,382</w:t>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384,657,135</w:t>
        <w:tab/>
      </w:r>
      <w:r>
        <w:rPr>
          <w:rFonts w:ascii="Arial" w:hAnsi="Arial" w:cs="Arial" w:eastAsia="Arial" w:hint="default"/>
        </w:rPr>
      </w:r>
    </w:p>
    <w:p>
      <w:pPr>
        <w:spacing w:line="240" w:lineRule="auto" w:before="7"/>
        <w:rPr>
          <w:rFonts w:ascii="Arial" w:hAnsi="Arial" w:cs="Arial" w:eastAsia="Arial" w:hint="default"/>
          <w:sz w:val="17"/>
          <w:szCs w:val="17"/>
        </w:rPr>
      </w:pPr>
    </w:p>
    <w:p>
      <w:pPr>
        <w:pStyle w:val="BodyText"/>
        <w:tabs>
          <w:tab w:pos="5610" w:val="left" w:leader="none"/>
          <w:tab w:pos="7840" w:val="left" w:leader="none"/>
        </w:tabs>
        <w:spacing w:line="240" w:lineRule="auto" w:before="27"/>
        <w:ind w:left="544" w:right="99"/>
        <w:jc w:val="left"/>
        <w:rPr>
          <w:rFonts w:ascii="Arial" w:hAnsi="Arial" w:cs="Arial" w:eastAsia="Arial" w:hint="default"/>
        </w:rPr>
      </w:pPr>
      <w:r>
        <w:rPr>
          <w:w w:val="95"/>
          <w:position w:val="2"/>
        </w:rPr>
        <w:t>年末现金及现金等价物余额</w:t>
        <w:tab/>
      </w:r>
      <w:r>
        <w:rPr>
          <w:rFonts w:ascii="Arial" w:hAnsi="Arial" w:cs="Arial" w:eastAsia="Arial" w:hint="default"/>
          <w:spacing w:val="-1"/>
        </w:rPr>
        <w:t>7,832,048,194</w:t>
        <w:tab/>
        <w:t>10,247,253,348</w:t>
      </w:r>
    </w:p>
    <w:p>
      <w:pPr>
        <w:spacing w:line="43" w:lineRule="exact"/>
        <w:ind w:left="4938" w:right="0" w:firstLine="0"/>
        <w:rPr>
          <w:rFonts w:ascii="Arial" w:hAnsi="Arial" w:cs="Arial" w:eastAsia="Arial" w:hint="default"/>
          <w:sz w:val="4"/>
          <w:szCs w:val="4"/>
        </w:rPr>
      </w:pPr>
      <w:r>
        <w:rPr>
          <w:rFonts w:ascii="Arial"/>
          <w:position w:val="0"/>
          <w:sz w:val="4"/>
        </w:rPr>
        <w:pict>
          <v:group style="width:111.3pt;height:2.2pt;mso-position-horizontal-relative:char;mso-position-vertical-relative:line" coordorigin="0,0" coordsize="2226,44">
            <v:group style="position:absolute;left:7;top:36;width:2212;height:2" coordorigin="7,36" coordsize="2212,2">
              <v:shape style="position:absolute;left:7;top:36;width:2212;height:2" coordorigin="7,36" coordsize="2212,0" path="m7,36l2219,36e" filled="false" stroked="true" strokeweight=".72pt" strokecolor="#000000">
                <v:path arrowok="t"/>
              </v:shape>
            </v:group>
            <v:group style="position:absolute;left:7;top:7;width:2212;height:2" coordorigin="7,7" coordsize="2212,2">
              <v:shape style="position:absolute;left:7;top:7;width:2212;height:2" coordorigin="7,7" coordsize="2212,0" path="m7,7l2219,7e" filled="false" stroked="true" strokeweight=".72pt" strokecolor="#000000">
                <v:path arrowok="t"/>
              </v:shape>
            </v:group>
          </v:group>
        </w:pict>
      </w:r>
      <w:r>
        <w:rPr>
          <w:rFonts w:ascii="Arial"/>
          <w:position w:val="0"/>
          <w:sz w:val="4"/>
        </w:rPr>
      </w:r>
      <w:r>
        <w:rPr>
          <w:rFonts w:ascii="Times New Roman"/>
          <w:spacing w:val="99"/>
          <w:position w:val="0"/>
          <w:sz w:val="4"/>
        </w:rPr>
        <w:t> </w:t>
      </w:r>
      <w:r>
        <w:rPr>
          <w:rFonts w:ascii="Arial"/>
          <w:spacing w:val="99"/>
          <w:position w:val="0"/>
          <w:sz w:val="4"/>
        </w:rPr>
        <w:pict>
          <v:group style="width:111.25pt;height:2.2pt;mso-position-horizontal-relative:char;mso-position-vertical-relative:line" coordorigin="0,0" coordsize="2225,44">
            <v:group style="position:absolute;left:7;top:36;width:2211;height:2" coordorigin="7,36" coordsize="2211,2">
              <v:shape style="position:absolute;left:7;top:36;width:2211;height:2" coordorigin="7,36" coordsize="2211,0" path="m7,36l2218,36e" filled="false" stroked="true" strokeweight=".72pt" strokecolor="#000000">
                <v:path arrowok="t"/>
              </v:shape>
            </v:group>
            <v:group style="position:absolute;left:7;top:7;width:2211;height:2" coordorigin="7,7" coordsize="2211,2">
              <v:shape style="position:absolute;left:7;top:7;width:2211;height:2" coordorigin="7,7" coordsize="2211,0" path="m7,7l2218,7e" filled="false" stroked="true" strokeweight=".72pt" strokecolor="#000000">
                <v:path arrowok="t"/>
              </v:shape>
            </v:group>
          </v:group>
        </w:pict>
      </w:r>
      <w:r>
        <w:rPr>
          <w:rFonts w:ascii="Arial"/>
          <w:spacing w:val="99"/>
          <w:position w:val="0"/>
          <w:sz w:val="4"/>
        </w:rPr>
      </w:r>
    </w:p>
    <w:p>
      <w:pPr>
        <w:spacing w:after="0" w:line="43" w:lineRule="exact"/>
        <w:rPr>
          <w:rFonts w:ascii="Arial" w:hAnsi="Arial" w:cs="Arial" w:eastAsia="Arial" w:hint="default"/>
          <w:sz w:val="4"/>
          <w:szCs w:val="4"/>
        </w:rPr>
        <w:sectPr>
          <w:headerReference w:type="default" r:id="rId128"/>
          <w:pgSz w:w="11910" w:h="16840"/>
          <w:pgMar w:header="1189" w:footer="752" w:top="3060" w:bottom="940" w:left="1280" w:right="980"/>
        </w:sectPr>
      </w:pPr>
    </w:p>
    <w:p>
      <w:pPr>
        <w:spacing w:line="240" w:lineRule="auto" w:before="1"/>
        <w:rPr>
          <w:rFonts w:ascii="Arial" w:hAnsi="Arial" w:cs="Arial" w:eastAsia="Arial" w:hint="default"/>
          <w:sz w:val="17"/>
          <w:szCs w:val="17"/>
        </w:rPr>
      </w:pPr>
    </w:p>
    <w:p>
      <w:pPr>
        <w:pStyle w:val="BodyText"/>
        <w:tabs>
          <w:tab w:pos="522" w:val="left" w:leader="none"/>
        </w:tabs>
        <w:spacing w:line="240" w:lineRule="auto" w:before="31"/>
        <w:ind w:left="102" w:right="125"/>
        <w:jc w:val="left"/>
        <w:rPr>
          <w:rFonts w:ascii="黑体" w:hAnsi="黑体" w:cs="黑体" w:eastAsia="黑体" w:hint="default"/>
        </w:rPr>
      </w:pPr>
      <w:r>
        <w:rPr>
          <w:rFonts w:ascii="黑体" w:hAnsi="黑体" w:cs="黑体" w:eastAsia="黑体" w:hint="default"/>
          <w:w w:val="95"/>
        </w:rPr>
        <w:t>六</w:t>
        <w:tab/>
      </w:r>
      <w:r>
        <w:rPr>
          <w:rFonts w:ascii="黑体" w:hAnsi="黑体" w:cs="黑体" w:eastAsia="黑体" w:hint="default"/>
        </w:rPr>
        <w:t>分部信息</w:t>
      </w:r>
    </w:p>
    <w:p>
      <w:pPr>
        <w:spacing w:line="240" w:lineRule="auto" w:before="12"/>
        <w:rPr>
          <w:rFonts w:ascii="黑体" w:hAnsi="黑体" w:cs="黑体" w:eastAsia="黑体" w:hint="default"/>
          <w:sz w:val="14"/>
          <w:szCs w:val="14"/>
        </w:rPr>
      </w:pPr>
    </w:p>
    <w:p>
      <w:pPr>
        <w:pStyle w:val="BodyText"/>
        <w:spacing w:line="232" w:lineRule="auto" w:before="39"/>
        <w:ind w:left="552" w:right="95" w:hanging="1"/>
        <w:jc w:val="left"/>
      </w:pPr>
      <w:r>
        <w:rPr/>
        <w:t>根据财政部于</w:t>
      </w:r>
      <w:r>
        <w:rPr>
          <w:spacing w:val="-60"/>
        </w:rPr>
        <w:t> </w:t>
      </w:r>
      <w:r>
        <w:rPr>
          <w:rFonts w:ascii="Arial" w:hAnsi="Arial" w:cs="Arial" w:eastAsia="Arial" w:hint="default"/>
        </w:rPr>
        <w:t>2009</w:t>
      </w:r>
      <w:r>
        <w:rPr>
          <w:rFonts w:ascii="Arial" w:hAnsi="Arial" w:cs="Arial" w:eastAsia="Arial" w:hint="default"/>
          <w:spacing w:val="-11"/>
        </w:rPr>
        <w:t> </w:t>
      </w:r>
      <w:r>
        <w:rPr/>
        <w:t>年</w:t>
      </w:r>
      <w:r>
        <w:rPr>
          <w:spacing w:val="-60"/>
        </w:rPr>
        <w:t> </w:t>
      </w:r>
      <w:r>
        <w:rPr>
          <w:rFonts w:ascii="Arial" w:hAnsi="Arial" w:cs="Arial" w:eastAsia="Arial" w:hint="default"/>
        </w:rPr>
        <w:t>6</w:t>
      </w:r>
      <w:r>
        <w:rPr>
          <w:rFonts w:ascii="Arial" w:hAnsi="Arial" w:cs="Arial" w:eastAsia="Arial" w:hint="default"/>
          <w:spacing w:val="-11"/>
        </w:rPr>
        <w:t> </w:t>
      </w:r>
      <w:r>
        <w:rPr/>
        <w:t>月发布的《企业会计准则解释第</w:t>
      </w:r>
      <w:r>
        <w:rPr>
          <w:spacing w:val="-59"/>
        </w:rPr>
        <w:t> </w:t>
      </w:r>
      <w:r>
        <w:rPr>
          <w:rFonts w:ascii="Arial" w:hAnsi="Arial" w:cs="Arial" w:eastAsia="Arial" w:hint="default"/>
        </w:rPr>
        <w:t>3</w:t>
      </w:r>
      <w:r>
        <w:rPr>
          <w:rFonts w:ascii="Arial" w:hAnsi="Arial" w:cs="Arial" w:eastAsia="Arial" w:hint="default"/>
          <w:spacing w:val="-11"/>
        </w:rPr>
        <w:t> </w:t>
      </w:r>
      <w:r>
        <w:rPr/>
        <w:t>号》中关于分部报告的规定，企业</w:t>
      </w:r>
      <w:r>
        <w:rPr>
          <w:w w:val="99"/>
        </w:rPr>
        <w:t> </w:t>
      </w:r>
      <w:r>
        <w:rPr/>
        <w:t>应当以内部组织结构、管理要求、内部报告制度为依据确定经营分部，以经营分部为基础确定</w:t>
      </w:r>
      <w:r>
        <w:rPr>
          <w:w w:val="99"/>
        </w:rPr>
        <w:t> </w:t>
      </w:r>
      <w:r>
        <w:rPr/>
        <w:t>报告分部。本公司结合附注一（</w:t>
      </w:r>
      <w:r>
        <w:rPr>
          <w:rFonts w:ascii="Arial" w:hAnsi="Arial" w:cs="Arial" w:eastAsia="Arial" w:hint="default"/>
        </w:rPr>
        <w:t>6</w:t>
      </w:r>
      <w:r>
        <w:rPr/>
        <w:t>）所述收购目标业务和《企业会计准则解释第</w:t>
      </w:r>
      <w:r>
        <w:rPr>
          <w:spacing w:val="-45"/>
        </w:rPr>
        <w:t> </w:t>
      </w:r>
      <w:r>
        <w:rPr>
          <w:rFonts w:ascii="Arial" w:hAnsi="Arial" w:cs="Arial" w:eastAsia="Arial" w:hint="default"/>
        </w:rPr>
        <w:t>3</w:t>
      </w:r>
      <w:r>
        <w:rPr>
          <w:rFonts w:ascii="Arial" w:hAnsi="Arial" w:cs="Arial" w:eastAsia="Arial" w:hint="default"/>
          <w:spacing w:val="4"/>
        </w:rPr>
        <w:t> </w:t>
      </w:r>
      <w:r>
        <w:rPr/>
        <w:t>号》中关于</w:t>
      </w:r>
      <w:r>
        <w:rPr>
          <w:w w:val="99"/>
        </w:rPr>
        <w:t> </w:t>
      </w:r>
      <w:r>
        <w:rPr>
          <w:spacing w:val="3"/>
        </w:rPr>
        <w:t>分部报告的规定对本集团的分部报告进行了评估并认为本集团经营分部的组成及数量无需变</w:t>
      </w:r>
      <w:r>
        <w:rPr>
          <w:spacing w:val="-102"/>
        </w:rPr>
        <w:t> </w:t>
      </w:r>
      <w:r>
        <w:rPr>
          <w:spacing w:val="-102"/>
        </w:rPr>
      </w:r>
      <w:r>
        <w:rPr/>
        <w:t>化，但是由于自</w:t>
      </w:r>
      <w:r>
        <w:rPr>
          <w:spacing w:val="-58"/>
        </w:rPr>
        <w:t> </w:t>
      </w:r>
      <w:r>
        <w:rPr>
          <w:rFonts w:ascii="Arial" w:hAnsi="Arial" w:cs="Arial" w:eastAsia="Arial" w:hint="default"/>
        </w:rPr>
        <w:t>2009</w:t>
      </w:r>
      <w:r>
        <w:rPr>
          <w:rFonts w:ascii="Arial" w:hAnsi="Arial" w:cs="Arial" w:eastAsia="Arial" w:hint="default"/>
          <w:spacing w:val="-9"/>
        </w:rPr>
        <w:t> </w:t>
      </w:r>
      <w:r>
        <w:rPr/>
        <w:t>年起，本集团的主要经营决策者（即本集团董事会）在内部报告和管理</w:t>
      </w:r>
      <w:r>
        <w:rPr>
          <w:w w:val="99"/>
        </w:rPr>
        <w:t> </w:t>
      </w:r>
      <w:r>
        <w:rPr/>
        <w:t>过程中评价各个经营分部时主要基于各个经营分部收入和直接成本费用，故本集团的经营分部</w:t>
      </w:r>
      <w:r>
        <w:rPr>
          <w:w w:val="99"/>
        </w:rPr>
        <w:t> </w:t>
      </w:r>
      <w:r>
        <w:rPr/>
        <w:t>已调整为列报各个经营分部收入和直接成本费用，而其他不可分摊至各经营分部的损益项目，</w:t>
      </w:r>
      <w:r>
        <w:rPr>
          <w:w w:val="99"/>
        </w:rPr>
        <w:t> </w:t>
      </w:r>
      <w:r>
        <w:rPr/>
        <w:t>主要是不可直接分配到下述任何一个经营分部的集团总部及共享服务开支、人工成本、财务费</w:t>
      </w:r>
      <w:r>
        <w:rPr>
          <w:w w:val="99"/>
        </w:rPr>
        <w:t> </w:t>
      </w:r>
      <w:r>
        <w:rPr>
          <w:spacing w:val="-2"/>
        </w:rPr>
        <w:t>用、营业外收支和所得税等，均作为不可分摊项目进行呈报。相应的，可比期间（</w:t>
      </w:r>
      <w:r>
        <w:rPr>
          <w:rFonts w:ascii="Arial" w:hAnsi="Arial" w:cs="Arial" w:eastAsia="Arial" w:hint="default"/>
          <w:spacing w:val="-2"/>
        </w:rPr>
        <w:t>2008</w:t>
      </w:r>
      <w:r>
        <w:rPr>
          <w:rFonts w:ascii="Arial" w:hAnsi="Arial" w:cs="Arial" w:eastAsia="Arial" w:hint="default"/>
          <w:spacing w:val="6"/>
        </w:rPr>
        <w:t> </w:t>
      </w:r>
      <w:r>
        <w:rPr/>
        <w:t>年度）</w:t>
      </w:r>
      <w:r>
        <w:rPr>
          <w:spacing w:val="-108"/>
        </w:rPr>
        <w:t> </w:t>
      </w:r>
      <w:r>
        <w:rPr>
          <w:spacing w:val="-108"/>
        </w:rPr>
      </w:r>
      <w:r>
        <w:rPr/>
        <w:t>的分部报表已被重列以便和本期的呈报基准保持一致。另外，本集团的主要经营决策者以业务</w:t>
      </w:r>
      <w:r>
        <w:rPr>
          <w:w w:val="99"/>
        </w:rPr>
        <w:t> </w:t>
      </w:r>
      <w:r>
        <w:rPr/>
        <w:t>种类而非地区角度进行经营决策，因此本公司的经营分部已为客户提供的不同种类的电信服务</w:t>
      </w:r>
      <w:r>
        <w:rPr>
          <w:w w:val="99"/>
        </w:rPr>
        <w:t> </w:t>
      </w:r>
      <w:r>
        <w:rPr/>
        <w:t>来确定。本集团的主要经营分部列示如下：</w:t>
      </w:r>
    </w:p>
    <w:p>
      <w:pPr>
        <w:spacing w:line="240" w:lineRule="auto" w:before="3"/>
        <w:rPr>
          <w:rFonts w:ascii="宋体" w:hAnsi="宋体" w:cs="宋体" w:eastAsia="宋体" w:hint="default"/>
          <w:sz w:val="19"/>
          <w:szCs w:val="19"/>
        </w:rPr>
      </w:pPr>
    </w:p>
    <w:p>
      <w:pPr>
        <w:pStyle w:val="BodyText"/>
        <w:spacing w:line="240" w:lineRule="auto"/>
        <w:ind w:left="579" w:right="125"/>
        <w:jc w:val="left"/>
      </w:pPr>
      <w:r>
        <w:rPr>
          <w:rFonts w:ascii="Arial" w:hAnsi="Arial" w:cs="Arial" w:eastAsia="Arial" w:hint="default"/>
        </w:rPr>
        <w:t>1</w:t>
      </w:r>
      <w:r>
        <w:rPr/>
        <w:t>、</w:t>
      </w:r>
      <w:r>
        <w:rPr>
          <w:spacing w:val="-91"/>
        </w:rPr>
        <w:t> </w:t>
      </w:r>
      <w:r>
        <w:rPr/>
        <w:t>持续经营业务</w:t>
      </w:r>
    </w:p>
    <w:p>
      <w:pPr>
        <w:spacing w:line="240" w:lineRule="auto" w:before="3"/>
        <w:rPr>
          <w:rFonts w:ascii="宋体" w:hAnsi="宋体" w:cs="宋体" w:eastAsia="宋体" w:hint="default"/>
          <w:sz w:val="20"/>
          <w:szCs w:val="20"/>
        </w:rPr>
      </w:pPr>
    </w:p>
    <w:p>
      <w:pPr>
        <w:pStyle w:val="BodyText"/>
        <w:tabs>
          <w:tab w:pos="942" w:val="left" w:leader="none"/>
        </w:tabs>
        <w:spacing w:line="284" w:lineRule="exact"/>
        <w:ind w:left="2048" w:right="213" w:hanging="1415"/>
        <w:jc w:val="left"/>
      </w:pPr>
      <w:r>
        <w:rPr>
          <w:rFonts w:ascii="Symbol" w:hAnsi="Symbol" w:cs="Symbol" w:eastAsia="Symbol" w:hint="default"/>
          <w:w w:val="95"/>
        </w:rPr>
        <w:t></w:t>
      </w:r>
      <w:r>
        <w:rPr>
          <w:rFonts w:ascii="Times New Roman" w:hAnsi="Times New Roman" w:cs="Times New Roman" w:eastAsia="Times New Roman" w:hint="default"/>
          <w:w w:val="95"/>
        </w:rPr>
        <w:tab/>
      </w:r>
      <w:r>
        <w:rPr/>
        <w:t>移动业务：在中国大陆的</w:t>
      </w:r>
      <w:r>
        <w:rPr>
          <w:spacing w:val="-39"/>
        </w:rPr>
        <w:t> </w:t>
      </w:r>
      <w:r>
        <w:rPr>
          <w:rFonts w:ascii="Arial" w:hAnsi="Arial" w:cs="Arial" w:eastAsia="Arial" w:hint="default"/>
        </w:rPr>
        <w:t>31</w:t>
      </w:r>
      <w:r>
        <w:rPr>
          <w:rFonts w:ascii="Arial" w:hAnsi="Arial" w:cs="Arial" w:eastAsia="Arial" w:hint="default"/>
          <w:spacing w:val="10"/>
        </w:rPr>
        <w:t> </w:t>
      </w:r>
      <w:r>
        <w:rPr/>
        <w:t>省、直辖市及自治区提供</w:t>
      </w:r>
      <w:r>
        <w:rPr>
          <w:spacing w:val="-38"/>
        </w:rPr>
        <w:t> </w:t>
      </w:r>
      <w:r>
        <w:rPr>
          <w:rFonts w:ascii="Arial" w:hAnsi="Arial" w:cs="Arial" w:eastAsia="Arial" w:hint="default"/>
        </w:rPr>
        <w:t>GSM</w:t>
      </w:r>
      <w:r>
        <w:rPr>
          <w:rFonts w:ascii="Arial" w:hAnsi="Arial" w:cs="Arial" w:eastAsia="Arial" w:hint="default"/>
          <w:spacing w:val="9"/>
        </w:rPr>
        <w:t> </w:t>
      </w:r>
      <w:r>
        <w:rPr/>
        <w:t>通信、</w:t>
      </w:r>
      <w:r>
        <w:rPr>
          <w:rFonts w:ascii="Arial" w:hAnsi="Arial" w:cs="Arial" w:eastAsia="Arial" w:hint="default"/>
        </w:rPr>
        <w:t>WCDMA</w:t>
      </w:r>
      <w:r>
        <w:rPr/>
        <w:t>（</w:t>
      </w:r>
      <w:r>
        <w:rPr>
          <w:rFonts w:ascii="Arial" w:hAnsi="Arial" w:cs="Arial" w:eastAsia="Arial" w:hint="default"/>
        </w:rPr>
        <w:t>3G</w:t>
      </w:r>
      <w:r>
        <w:rPr/>
        <w:t>）通信</w:t>
      </w:r>
      <w:r>
        <w:rPr>
          <w:w w:val="99"/>
        </w:rPr>
        <w:t> </w:t>
      </w:r>
      <w:r>
        <w:rPr/>
        <w:t>及相关业务；</w:t>
      </w:r>
    </w:p>
    <w:p>
      <w:pPr>
        <w:spacing w:line="240" w:lineRule="auto" w:before="5"/>
        <w:rPr>
          <w:rFonts w:ascii="宋体" w:hAnsi="宋体" w:cs="宋体" w:eastAsia="宋体" w:hint="default"/>
          <w:sz w:val="19"/>
          <w:szCs w:val="19"/>
        </w:rPr>
      </w:pPr>
    </w:p>
    <w:p>
      <w:pPr>
        <w:pStyle w:val="BodyText"/>
        <w:tabs>
          <w:tab w:pos="956" w:val="left" w:leader="none"/>
        </w:tabs>
        <w:spacing w:line="286" w:lineRule="exact"/>
        <w:ind w:left="2048" w:right="214" w:hanging="1415"/>
        <w:jc w:val="left"/>
      </w:pPr>
      <w:r>
        <w:rPr>
          <w:rFonts w:ascii="Symbol" w:hAnsi="Symbol" w:cs="Symbol" w:eastAsia="Symbol" w:hint="default"/>
          <w:w w:val="95"/>
        </w:rPr>
        <w:t></w:t>
      </w:r>
      <w:r>
        <w:rPr>
          <w:rFonts w:ascii="Times New Roman" w:hAnsi="Times New Roman" w:cs="Times New Roman" w:eastAsia="Times New Roman" w:hint="default"/>
          <w:w w:val="95"/>
        </w:rPr>
        <w:tab/>
      </w:r>
      <w:r>
        <w:rPr/>
        <w:t>固网业务：在中国大陆的 </w:t>
      </w:r>
      <w:r>
        <w:rPr>
          <w:rFonts w:ascii="Arial" w:hAnsi="Arial" w:cs="Arial" w:eastAsia="Arial" w:hint="default"/>
        </w:rPr>
        <w:t>31</w:t>
      </w:r>
      <w:r>
        <w:rPr>
          <w:rFonts w:ascii="Arial" w:hAnsi="Arial" w:cs="Arial" w:eastAsia="Arial" w:hint="default"/>
          <w:spacing w:val="-8"/>
        </w:rPr>
        <w:t> </w:t>
      </w:r>
      <w:r>
        <w:rPr/>
        <w:t>省、直辖市及自治区提供固定网络通信服务及相关业务，国</w:t>
      </w:r>
      <w:r>
        <w:rPr>
          <w:w w:val="99"/>
        </w:rPr>
        <w:t> </w:t>
      </w:r>
      <w:r>
        <w:rPr/>
        <w:t>内及国际数据和互联网相关服务，以及国内及国际长途及相关服务；</w:t>
      </w:r>
    </w:p>
    <w:p>
      <w:pPr>
        <w:spacing w:line="240" w:lineRule="auto" w:before="1"/>
        <w:rPr>
          <w:rFonts w:ascii="宋体" w:hAnsi="宋体" w:cs="宋体" w:eastAsia="宋体" w:hint="default"/>
          <w:sz w:val="17"/>
          <w:szCs w:val="17"/>
        </w:rPr>
      </w:pPr>
    </w:p>
    <w:p>
      <w:pPr>
        <w:pStyle w:val="BodyText"/>
        <w:spacing w:line="240" w:lineRule="auto"/>
        <w:ind w:left="578" w:right="125"/>
        <w:jc w:val="left"/>
      </w:pPr>
      <w:r>
        <w:rPr>
          <w:rFonts w:ascii="Arial" w:hAnsi="Arial" w:cs="Arial" w:eastAsia="Arial" w:hint="default"/>
        </w:rPr>
        <w:t>2</w:t>
      </w:r>
      <w:r>
        <w:rPr/>
        <w:t>、</w:t>
      </w:r>
      <w:r>
        <w:rPr>
          <w:spacing w:val="-91"/>
        </w:rPr>
        <w:t> </w:t>
      </w:r>
      <w:r>
        <w:rPr/>
        <w:t>终止经营业务</w:t>
      </w:r>
    </w:p>
    <w:p>
      <w:pPr>
        <w:spacing w:line="240" w:lineRule="auto" w:before="2"/>
        <w:rPr>
          <w:rFonts w:ascii="宋体" w:hAnsi="宋体" w:cs="宋体" w:eastAsia="宋体" w:hint="default"/>
          <w:sz w:val="20"/>
          <w:szCs w:val="20"/>
        </w:rPr>
      </w:pPr>
    </w:p>
    <w:p>
      <w:pPr>
        <w:pStyle w:val="BodyText"/>
        <w:tabs>
          <w:tab w:pos="956" w:val="left" w:leader="none"/>
        </w:tabs>
        <w:spacing w:line="286" w:lineRule="exact"/>
        <w:ind w:left="2608" w:right="102" w:hanging="1975"/>
        <w:jc w:val="left"/>
      </w:pPr>
      <w:r>
        <w:rPr>
          <w:rFonts w:ascii="Symbol" w:hAnsi="Symbol" w:cs="Symbol" w:eastAsia="Symbol" w:hint="default"/>
          <w:w w:val="99"/>
        </w:rPr>
        <w:t></w:t>
      </w:r>
      <w:r>
        <w:rPr>
          <w:rFonts w:ascii="Times New Roman" w:hAnsi="Times New Roman" w:cs="Times New Roman" w:eastAsia="Times New Roman" w:hint="default"/>
          <w:w w:val="99"/>
        </w:rPr>
        <w:tab/>
      </w:r>
      <w:r>
        <w:rPr>
          <w:rFonts w:ascii="Arial" w:hAnsi="Arial" w:cs="Arial" w:eastAsia="Arial" w:hint="default"/>
          <w:w w:val="99"/>
        </w:rPr>
        <w:t>CDMA</w:t>
      </w:r>
      <w:r>
        <w:rPr>
          <w:rFonts w:ascii="Arial" w:hAnsi="Arial" w:cs="Arial" w:eastAsia="Arial" w:hint="default"/>
          <w:spacing w:val="-15"/>
          <w:w w:val="99"/>
        </w:rPr>
        <w:t> </w:t>
      </w:r>
      <w:r>
        <w:rPr>
          <w:spacing w:val="-7"/>
          <w:w w:val="99"/>
        </w:rPr>
        <w:t>移动业务：通过向联通新时空租赁</w:t>
      </w:r>
      <w:r>
        <w:rPr>
          <w:spacing w:val="-64"/>
          <w:w w:val="99"/>
        </w:rPr>
        <w:t> </w:t>
      </w:r>
      <w:r>
        <w:rPr>
          <w:rFonts w:ascii="Arial" w:hAnsi="Arial" w:cs="Arial" w:eastAsia="Arial" w:hint="default"/>
          <w:spacing w:val="-1"/>
          <w:w w:val="99"/>
        </w:rPr>
        <w:t>CDMA</w:t>
      </w:r>
      <w:r>
        <w:rPr>
          <w:rFonts w:ascii="Arial" w:hAnsi="Arial" w:cs="Arial" w:eastAsia="Arial" w:hint="default"/>
          <w:spacing w:val="-14"/>
          <w:w w:val="99"/>
        </w:rPr>
        <w:t> </w:t>
      </w:r>
      <w:r>
        <w:rPr>
          <w:w w:val="99"/>
        </w:rPr>
        <w:t>网络容量方式提供</w:t>
      </w:r>
      <w:r>
        <w:rPr>
          <w:spacing w:val="-62"/>
          <w:w w:val="99"/>
        </w:rPr>
        <w:t> </w:t>
      </w:r>
      <w:r>
        <w:rPr>
          <w:rFonts w:ascii="Arial" w:hAnsi="Arial" w:cs="Arial" w:eastAsia="Arial" w:hint="default"/>
          <w:w w:val="99"/>
        </w:rPr>
        <w:t>CDMA</w:t>
      </w:r>
      <w:r>
        <w:rPr>
          <w:rFonts w:ascii="Arial" w:hAnsi="Arial" w:cs="Arial" w:eastAsia="Arial" w:hint="default"/>
          <w:spacing w:val="-15"/>
          <w:w w:val="99"/>
        </w:rPr>
        <w:t> </w:t>
      </w:r>
      <w:r>
        <w:rPr>
          <w:w w:val="99"/>
        </w:rPr>
        <w:t>移动电话业务。 </w:t>
      </w:r>
      <w:r>
        <w:rPr/>
        <w:t>此业务已于</w:t>
      </w:r>
      <w:r>
        <w:rPr>
          <w:spacing w:val="-57"/>
        </w:rPr>
        <w:t> </w:t>
      </w:r>
      <w:r>
        <w:rPr>
          <w:rFonts w:ascii="Arial" w:hAnsi="Arial" w:cs="Arial" w:eastAsia="Arial" w:hint="default"/>
        </w:rPr>
        <w:t>2008</w:t>
      </w:r>
      <w:r>
        <w:rPr>
          <w:rFonts w:ascii="Arial" w:hAnsi="Arial" w:cs="Arial" w:eastAsia="Arial" w:hint="default"/>
          <w:spacing w:val="-8"/>
        </w:rPr>
        <w:t> </w:t>
      </w:r>
      <w:r>
        <w:rPr/>
        <w:t>年度随</w:t>
      </w:r>
      <w:r>
        <w:rPr>
          <w:spacing w:val="-57"/>
        </w:rPr>
        <w:t> </w:t>
      </w:r>
      <w:r>
        <w:rPr>
          <w:rFonts w:ascii="Arial" w:hAnsi="Arial" w:cs="Arial" w:eastAsia="Arial" w:hint="default"/>
        </w:rPr>
        <w:t>CDMA</w:t>
      </w:r>
      <w:r>
        <w:rPr>
          <w:rFonts w:ascii="Arial" w:hAnsi="Arial" w:cs="Arial" w:eastAsia="Arial" w:hint="default"/>
          <w:spacing w:val="-8"/>
        </w:rPr>
        <w:t> </w:t>
      </w:r>
      <w:r>
        <w:rPr/>
        <w:t>业务出售而被终止。</w:t>
      </w:r>
    </w:p>
    <w:p>
      <w:pPr>
        <w:spacing w:line="240" w:lineRule="auto" w:before="4"/>
        <w:rPr>
          <w:rFonts w:ascii="宋体" w:hAnsi="宋体" w:cs="宋体" w:eastAsia="宋体" w:hint="default"/>
          <w:sz w:val="17"/>
          <w:szCs w:val="17"/>
        </w:rPr>
      </w:pPr>
    </w:p>
    <w:p>
      <w:pPr>
        <w:pStyle w:val="BodyText"/>
        <w:spacing w:line="237" w:lineRule="auto"/>
        <w:ind w:left="552" w:right="212"/>
        <w:jc w:val="both"/>
      </w:pPr>
      <w:r>
        <w:rPr>
          <w:spacing w:val="-2"/>
        </w:rPr>
        <w:t>分部间结算价格参照市场价格或相关政府部门指导价格。分部资产主要包括固定资产、无形资</w:t>
      </w:r>
      <w:r>
        <w:rPr>
          <w:spacing w:val="-95"/>
        </w:rPr>
        <w:t> </w:t>
      </w:r>
      <w:r>
        <w:rPr>
          <w:spacing w:val="-95"/>
        </w:rPr>
      </w:r>
      <w:r>
        <w:rPr>
          <w:spacing w:val="-2"/>
        </w:rPr>
        <w:t>产、长期待摊费用、存货及应收款项。分部负债主要包括了预收账款等经营负债。资本性支出</w:t>
      </w:r>
      <w:r>
        <w:rPr>
          <w:spacing w:val="-95"/>
        </w:rPr>
        <w:t> </w:t>
      </w:r>
      <w:r>
        <w:rPr>
          <w:spacing w:val="-95"/>
        </w:rPr>
      </w:r>
      <w:r>
        <w:rPr>
          <w:spacing w:val="-2"/>
        </w:rPr>
        <w:t>主要为新增固定资产及无形资产等的支出，列示于不作分摊项目下的分部资本性支出为购置可</w:t>
      </w:r>
      <w:r>
        <w:rPr>
          <w:spacing w:val="-93"/>
        </w:rPr>
        <w:t> </w:t>
      </w:r>
      <w:r>
        <w:rPr>
          <w:spacing w:val="-93"/>
        </w:rPr>
      </w:r>
      <w:r>
        <w:rPr/>
        <w:t>使各经营分部都受益的通用设备的资本性支出。</w:t>
      </w:r>
    </w:p>
    <w:p>
      <w:pPr>
        <w:spacing w:line="240" w:lineRule="auto" w:before="10"/>
        <w:rPr>
          <w:rFonts w:ascii="宋体" w:hAnsi="宋体" w:cs="宋体" w:eastAsia="宋体" w:hint="default"/>
          <w:sz w:val="19"/>
          <w:szCs w:val="19"/>
        </w:rPr>
      </w:pPr>
    </w:p>
    <w:p>
      <w:pPr>
        <w:pStyle w:val="BodyText"/>
        <w:spacing w:line="232" w:lineRule="auto"/>
        <w:ind w:left="552" w:right="212"/>
        <w:jc w:val="both"/>
      </w:pPr>
      <w:r>
        <w:rPr>
          <w:spacing w:val="-2"/>
        </w:rPr>
        <w:t>本集团主要服务用户都在中国内地。在本集团来自外部客户的收入中，其他地区收入在本集团</w:t>
      </w:r>
      <w:r>
        <w:rPr>
          <w:spacing w:val="-95"/>
        </w:rPr>
        <w:t> </w:t>
      </w:r>
      <w:r>
        <w:rPr>
          <w:spacing w:val="-95"/>
        </w:rPr>
      </w:r>
      <w:r>
        <w:rPr>
          <w:spacing w:val="-2"/>
        </w:rPr>
        <w:t>收入中并不重大。虽然本集团的部分子公司设立在香港或其他地区，由于本集团主要在中国内</w:t>
      </w:r>
      <w:r>
        <w:rPr>
          <w:spacing w:val="-95"/>
        </w:rPr>
        <w:t> </w:t>
      </w:r>
      <w:r>
        <w:rPr>
          <w:spacing w:val="-95"/>
        </w:rPr>
      </w:r>
      <w:r>
        <w:rPr>
          <w:spacing w:val="-3"/>
        </w:rPr>
        <w:t>地经营业务，因此本集团大部分非流动性资产都在中国内地。</w:t>
      </w:r>
      <w:r>
        <w:rPr>
          <w:rFonts w:ascii="Arial" w:hAnsi="Arial" w:cs="Arial" w:eastAsia="Arial" w:hint="default"/>
          <w:spacing w:val="-3"/>
        </w:rPr>
        <w:t>2009</w:t>
      </w:r>
      <w:r>
        <w:rPr>
          <w:rFonts w:ascii="Arial" w:hAnsi="Arial" w:cs="Arial" w:eastAsia="Arial" w:hint="default"/>
          <w:spacing w:val="-1"/>
        </w:rPr>
        <w:t> </w:t>
      </w:r>
      <w:r>
        <w:rPr/>
        <w:t>年度及</w:t>
      </w:r>
      <w:r>
        <w:rPr>
          <w:spacing w:val="-50"/>
        </w:rPr>
        <w:t> </w:t>
      </w:r>
      <w:r>
        <w:rPr>
          <w:rFonts w:ascii="Arial" w:hAnsi="Arial" w:cs="Arial" w:eastAsia="Arial" w:hint="default"/>
        </w:rPr>
        <w:t>2008</w:t>
      </w:r>
      <w:r>
        <w:rPr>
          <w:rFonts w:ascii="Arial" w:hAnsi="Arial" w:cs="Arial" w:eastAsia="Arial" w:hint="default"/>
          <w:spacing w:val="-1"/>
        </w:rPr>
        <w:t> </w:t>
      </w:r>
      <w:r>
        <w:rPr>
          <w:spacing w:val="-6"/>
        </w:rPr>
        <w:t>年度，本集团</w:t>
      </w:r>
      <w:r>
        <w:rPr>
          <w:w w:val="99"/>
        </w:rPr>
        <w:t> </w:t>
      </w:r>
      <w:r>
        <w:rPr/>
        <w:t>于中国内地以外的非流动资产及业务在本集团非流动资产及业务中并不重大。</w:t>
      </w:r>
    </w:p>
    <w:p>
      <w:pPr>
        <w:spacing w:after="0" w:line="232" w:lineRule="auto"/>
        <w:jc w:val="both"/>
        <w:sectPr>
          <w:headerReference w:type="default" r:id="rId129"/>
          <w:pgSz w:w="11910" w:h="16840"/>
          <w:pgMar w:header="1189" w:footer="752" w:top="2540" w:bottom="940" w:left="1280" w:right="900"/>
        </w:sectPr>
      </w:pPr>
    </w:p>
    <w:p>
      <w:pPr>
        <w:pStyle w:val="BodyText"/>
        <w:spacing w:line="240" w:lineRule="auto" w:before="8"/>
        <w:ind w:left="250" w:right="11988"/>
        <w:jc w:val="left"/>
        <w:rPr>
          <w:rFonts w:ascii="黑体" w:hAnsi="黑体" w:cs="黑体" w:eastAsia="黑体" w:hint="default"/>
        </w:rPr>
      </w:pPr>
      <w:r>
        <w:rPr>
          <w:rFonts w:ascii="黑体" w:hAnsi="黑体" w:cs="黑体" w:eastAsia="黑体" w:hint="default"/>
        </w:rPr>
        <w:t>中国联合网络通信股份有限公司</w:t>
      </w:r>
    </w:p>
    <w:p>
      <w:pPr>
        <w:pStyle w:val="BodyText"/>
        <w:spacing w:line="286" w:lineRule="exact" w:before="127"/>
        <w:ind w:left="250" w:right="11988"/>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left="250" w:right="11988"/>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tabs>
          <w:tab w:pos="700" w:val="left" w:leader="none"/>
        </w:tabs>
        <w:spacing w:line="432" w:lineRule="auto"/>
        <w:ind w:left="250" w:right="11988"/>
        <w:jc w:val="left"/>
        <w:rPr>
          <w:rFonts w:ascii="黑体" w:hAnsi="黑体" w:cs="黑体" w:eastAsia="黑体" w:hint="default"/>
        </w:rPr>
      </w:pPr>
      <w:r>
        <w:rPr>
          <w:rFonts w:ascii="黑体" w:hAnsi="黑体" w:cs="黑体" w:eastAsia="黑体" w:hint="default"/>
        </w:rPr>
        <w:t>（除特别注明外，金额单位为人民币元）</w:t>
      </w:r>
      <w:r>
        <w:rPr>
          <w:rFonts w:ascii="黑体" w:hAnsi="黑体" w:cs="黑体" w:eastAsia="黑体" w:hint="default"/>
          <w:w w:val="99"/>
        </w:rPr>
        <w:t> </w:t>
      </w:r>
      <w:r>
        <w:rPr>
          <w:rFonts w:ascii="黑体" w:hAnsi="黑体" w:cs="黑体" w:eastAsia="黑体" w:hint="default"/>
          <w:w w:val="95"/>
        </w:rPr>
        <w:t>六</w:t>
        <w:tab/>
      </w:r>
      <w:r>
        <w:rPr>
          <w:rFonts w:ascii="黑体" w:hAnsi="黑体" w:cs="黑体" w:eastAsia="黑体" w:hint="default"/>
        </w:rPr>
        <w:t>分部信息（续）</w:t>
      </w:r>
    </w:p>
    <w:p>
      <w:pPr>
        <w:spacing w:after="0" w:line="432" w:lineRule="auto"/>
        <w:jc w:val="left"/>
        <w:rPr>
          <w:rFonts w:ascii="黑体" w:hAnsi="黑体" w:cs="黑体" w:eastAsia="黑体" w:hint="default"/>
        </w:rPr>
        <w:sectPr>
          <w:headerReference w:type="default" r:id="rId130"/>
          <w:footerReference w:type="default" r:id="rId131"/>
          <w:pgSz w:w="16840" w:h="11910" w:orient="landscape"/>
          <w:pgMar w:header="0" w:footer="0" w:top="240" w:bottom="0" w:left="180" w:right="460"/>
        </w:sectPr>
      </w:pPr>
    </w:p>
    <w:p>
      <w:pPr>
        <w:spacing w:before="10"/>
        <w:ind w:left="137" w:right="-18" w:firstLine="0"/>
        <w:jc w:val="left"/>
        <w:rPr>
          <w:rFonts w:ascii="宋体" w:hAnsi="宋体" w:cs="宋体" w:eastAsia="宋体" w:hint="default"/>
          <w:sz w:val="18"/>
          <w:szCs w:val="18"/>
        </w:rPr>
      </w:pPr>
      <w:r>
        <w:rPr>
          <w:rFonts w:ascii="Arial" w:hAnsi="Arial" w:cs="Arial" w:eastAsia="Arial" w:hint="default"/>
          <w:b/>
          <w:bCs/>
          <w:sz w:val="18"/>
          <w:szCs w:val="18"/>
        </w:rPr>
        <w:t>1</w:t>
      </w:r>
      <w:r>
        <w:rPr>
          <w:rFonts w:ascii="宋体" w:hAnsi="宋体" w:cs="宋体" w:eastAsia="宋体" w:hint="default"/>
          <w:b/>
          <w:bCs/>
          <w:sz w:val="18"/>
          <w:szCs w:val="18"/>
        </w:rPr>
        <w:t>、利润表</w:t>
      </w:r>
      <w:r>
        <w:rPr>
          <w:rFonts w:ascii="宋体" w:hAnsi="宋体" w:cs="宋体" w:eastAsia="宋体" w:hint="default"/>
          <w:sz w:val="18"/>
          <w:szCs w:val="18"/>
        </w:rPr>
      </w:r>
    </w:p>
    <w:p>
      <w:pPr>
        <w:spacing w:line="240" w:lineRule="auto" w:before="0"/>
        <w:rPr>
          <w:rFonts w:ascii="宋体" w:hAnsi="宋体" w:cs="宋体" w:eastAsia="宋体" w:hint="default"/>
          <w:b/>
          <w:bCs/>
          <w:sz w:val="12"/>
          <w:szCs w:val="12"/>
        </w:rPr>
      </w:pPr>
      <w:r>
        <w:rPr/>
        <w:br w:type="column"/>
      </w:r>
      <w:r>
        <w:rPr>
          <w:rFonts w:ascii="宋体"/>
          <w:b/>
          <w:sz w:val="12"/>
        </w:rPr>
      </w:r>
    </w:p>
    <w:p>
      <w:pPr>
        <w:tabs>
          <w:tab w:pos="6627" w:val="left" w:leader="none"/>
        </w:tabs>
        <w:spacing w:before="91"/>
        <w:ind w:left="137" w:right="0" w:firstLine="0"/>
        <w:jc w:val="left"/>
        <w:rPr>
          <w:rFonts w:ascii="宋体" w:hAnsi="宋体" w:cs="宋体" w:eastAsia="宋体" w:hint="default"/>
          <w:sz w:val="12"/>
          <w:szCs w:val="12"/>
        </w:rPr>
      </w:pPr>
      <w:r>
        <w:rPr>
          <w:rFonts w:ascii="Arial" w:hAnsi="Arial" w:cs="Arial" w:eastAsia="Arial" w:hint="default"/>
          <w:spacing w:val="-1"/>
          <w:sz w:val="12"/>
          <w:szCs w:val="12"/>
        </w:rPr>
        <w:t>2009</w:t>
      </w:r>
      <w:r>
        <w:rPr>
          <w:rFonts w:ascii="宋体" w:hAnsi="宋体" w:cs="宋体" w:eastAsia="宋体" w:hint="default"/>
          <w:spacing w:val="-1"/>
          <w:sz w:val="12"/>
          <w:szCs w:val="12"/>
        </w:rPr>
        <w:t>年度</w:t>
        <w:tab/>
      </w:r>
      <w:r>
        <w:rPr>
          <w:rFonts w:ascii="Arial" w:hAnsi="Arial" w:cs="Arial" w:eastAsia="Arial" w:hint="default"/>
          <w:spacing w:val="-1"/>
          <w:sz w:val="12"/>
          <w:szCs w:val="12"/>
        </w:rPr>
        <w:t>2008</w:t>
      </w:r>
      <w:r>
        <w:rPr>
          <w:rFonts w:ascii="宋体" w:hAnsi="宋体" w:cs="宋体" w:eastAsia="宋体" w:hint="default"/>
          <w:spacing w:val="-1"/>
          <w:sz w:val="12"/>
          <w:szCs w:val="12"/>
        </w:rPr>
        <w:t>年度（经重列）</w:t>
      </w:r>
    </w:p>
    <w:p>
      <w:pPr>
        <w:tabs>
          <w:tab w:pos="7155" w:val="left" w:leader="none"/>
          <w:tab w:pos="8655" w:val="left" w:leader="none"/>
          <w:tab w:pos="9849" w:val="left" w:leader="none"/>
        </w:tabs>
        <w:spacing w:before="6"/>
        <w:ind w:left="1124" w:right="0" w:firstLine="0"/>
        <w:jc w:val="left"/>
        <w:rPr>
          <w:rFonts w:ascii="宋体" w:hAnsi="宋体" w:cs="宋体" w:eastAsia="宋体" w:hint="default"/>
          <w:sz w:val="12"/>
          <w:szCs w:val="12"/>
        </w:rPr>
      </w:pPr>
      <w:r>
        <w:rPr/>
        <w:pict>
          <v:group style="position:absolute;margin-left:86.630997pt;margin-top:.767823pt;width:725.6pt;height:.75pt;mso-position-horizontal-relative:page;mso-position-vertical-relative:paragraph;z-index:-911704" coordorigin="1733,15" coordsize="14512,15">
            <v:group style="position:absolute;left:1740;top:23;width:6033;height:2" coordorigin="1740,23" coordsize="6033,2">
              <v:shape style="position:absolute;left:1740;top:23;width:6033;height:2" coordorigin="1740,23" coordsize="6033,0" path="m1740,23l7772,23e" filled="false" stroked="true" strokeweight=".72pt" strokecolor="#000000">
                <v:path arrowok="t"/>
              </v:shape>
            </v:group>
            <v:group style="position:absolute;left:7793;top:23;width:8445;height:2" coordorigin="7793,23" coordsize="8445,2">
              <v:shape style="position:absolute;left:7793;top:23;width:8445;height:2" coordorigin="7793,23" coordsize="8445,0" path="m7793,23l16237,23e" filled="false" stroked="true" strokeweight=".72pt" strokecolor="#000000">
                <v:path arrowok="t"/>
              </v:shape>
            </v:group>
            <w10:wrap type="none"/>
          </v:group>
        </w:pict>
      </w:r>
      <w:r>
        <w:rPr/>
        <w:pict>
          <v:group style="position:absolute;margin-left:239.570999pt;margin-top:9.647823pt;width:95.9pt;height:.1pt;mso-position-horizontal-relative:page;mso-position-vertical-relative:paragraph;z-index:-911680" coordorigin="4791,193" coordsize="1918,2">
            <v:shape style="position:absolute;left:4791;top:193;width:1918;height:2" coordorigin="4791,193" coordsize="1918,0" path="m4791,193l6709,193e" filled="false" stroked="true" strokeweight=".72pt" strokecolor="#000000">
              <v:path arrowok="t"/>
            </v:shape>
            <w10:wrap type="none"/>
          </v:group>
        </w:pict>
      </w:r>
      <w:r>
        <w:rPr/>
        <w:pict>
          <v:group style="position:absolute;margin-left:539.809998pt;margin-top:9.647823pt;width:100.75pt;height:.1pt;mso-position-horizontal-relative:page;mso-position-vertical-relative:paragraph;z-index:-911656" coordorigin="10796,193" coordsize="2015,2">
            <v:shape style="position:absolute;left:10796;top:193;width:2015;height:2" coordorigin="10796,193" coordsize="2015,0" path="m10796,193l12811,193e" filled="false" stroked="true" strokeweight=".72pt" strokecolor="#000000">
              <v:path arrowok="t"/>
            </v:shape>
            <w10:wrap type="none"/>
          </v:group>
        </w:pict>
      </w:r>
      <w:r>
        <w:rPr>
          <w:rFonts w:ascii="宋体" w:hAnsi="宋体" w:cs="宋体" w:eastAsia="宋体" w:hint="default"/>
          <w:sz w:val="12"/>
          <w:szCs w:val="12"/>
        </w:rPr>
        <w:t>调节项目</w:t>
        <w:tab/>
        <w:t>调节项目</w:t>
        <w:tab/>
        <w:t>持续经营业务</w:t>
        <w:tab/>
        <w:t>终止经营之</w:t>
      </w:r>
    </w:p>
    <w:p>
      <w:pPr>
        <w:spacing w:after="0"/>
        <w:jc w:val="left"/>
        <w:rPr>
          <w:rFonts w:ascii="宋体" w:hAnsi="宋体" w:cs="宋体" w:eastAsia="宋体" w:hint="default"/>
          <w:sz w:val="12"/>
          <w:szCs w:val="12"/>
        </w:rPr>
        <w:sectPr>
          <w:type w:val="continuous"/>
          <w:pgSz w:w="16840" w:h="11910" w:orient="landscape"/>
          <w:pgMar w:top="1600" w:bottom="280" w:left="180" w:right="460"/>
          <w:cols w:num="2" w:equalWidth="0">
            <w:col w:w="963" w:space="3251"/>
            <w:col w:w="11986"/>
          </w:cols>
        </w:sectPr>
      </w:pPr>
    </w:p>
    <w:p>
      <w:pPr>
        <w:tabs>
          <w:tab w:pos="1845" w:val="left" w:leader="none"/>
          <w:tab w:pos="2859" w:val="left" w:leader="none"/>
          <w:tab w:pos="3993" w:val="left" w:leader="none"/>
          <w:tab w:pos="4727" w:val="left" w:leader="none"/>
          <w:tab w:pos="5942" w:val="left" w:leader="none"/>
          <w:tab w:pos="6960" w:val="left" w:leader="none"/>
          <w:tab w:pos="7866" w:val="left" w:leader="none"/>
          <w:tab w:pos="8858" w:val="left" w:leader="none"/>
          <w:tab w:pos="9971" w:val="left" w:leader="none"/>
          <w:tab w:pos="10767" w:val="left" w:leader="none"/>
          <w:tab w:pos="12028" w:val="left" w:leader="none"/>
          <w:tab w:pos="13108" w:val="left" w:leader="none"/>
          <w:tab w:pos="14066" w:val="left" w:leader="none"/>
          <w:tab w:pos="15387" w:val="left" w:leader="none"/>
        </w:tabs>
        <w:spacing w:before="13"/>
        <w:ind w:left="731" w:right="141" w:firstLine="0"/>
        <w:jc w:val="left"/>
        <w:rPr>
          <w:rFonts w:ascii="宋体" w:hAnsi="宋体" w:cs="宋体" w:eastAsia="宋体" w:hint="default"/>
          <w:sz w:val="12"/>
          <w:szCs w:val="12"/>
        </w:rPr>
      </w:pPr>
      <w:r>
        <w:rPr>
          <w:rFonts w:ascii="宋体" w:hAnsi="宋体" w:cs="宋体" w:eastAsia="宋体" w:hint="default"/>
          <w:sz w:val="12"/>
          <w:szCs w:val="12"/>
        </w:rPr>
        <w:t>项目</w:t>
        <w:tab/>
        <w:t>移动业务</w:t>
        <w:tab/>
        <w:t>固网业务</w:t>
        <w:tab/>
        <w:t>小计</w:t>
        <w:tab/>
        <w:t>不可分摊项目</w:t>
        <w:tab/>
        <w:t>抵销</w:t>
        <w:tab/>
        <w:t>合计</w:t>
        <w:tab/>
        <w:t>移动业务</w:t>
        <w:tab/>
        <w:t>固网业务</w:t>
        <w:tab/>
        <w:t>小计</w:t>
        <w:tab/>
        <w:t>不可分摊项目</w:t>
        <w:tab/>
        <w:t>抵销</w:t>
        <w:tab/>
        <w:t>合计</w:t>
        <w:tab/>
      </w:r>
      <w:r>
        <w:rPr>
          <w:rFonts w:ascii="Arial" w:hAnsi="Arial" w:cs="Arial" w:eastAsia="Arial" w:hint="default"/>
          <w:spacing w:val="-1"/>
          <w:sz w:val="12"/>
          <w:szCs w:val="12"/>
        </w:rPr>
        <w:t>CDMA</w:t>
      </w:r>
      <w:r>
        <w:rPr>
          <w:rFonts w:ascii="宋体" w:hAnsi="宋体" w:cs="宋体" w:eastAsia="宋体" w:hint="default"/>
          <w:spacing w:val="-1"/>
          <w:sz w:val="12"/>
          <w:szCs w:val="12"/>
        </w:rPr>
        <w:t>业务</w:t>
        <w:tab/>
      </w:r>
      <w:r>
        <w:rPr>
          <w:rFonts w:ascii="宋体" w:hAnsi="宋体" w:cs="宋体" w:eastAsia="宋体" w:hint="default"/>
          <w:sz w:val="12"/>
          <w:szCs w:val="12"/>
        </w:rPr>
        <w:t>合计</w:t>
      </w:r>
    </w:p>
    <w:p>
      <w:pPr>
        <w:spacing w:before="5"/>
        <w:ind w:left="137" w:right="11988" w:firstLine="0"/>
        <w:jc w:val="left"/>
        <w:rPr>
          <w:rFonts w:ascii="宋体" w:hAnsi="宋体" w:cs="宋体" w:eastAsia="宋体" w:hint="default"/>
          <w:sz w:val="12"/>
          <w:szCs w:val="12"/>
        </w:rPr>
      </w:pPr>
      <w:r>
        <w:rPr/>
        <w:pict>
          <v:group style="position:absolute;margin-left:15.531pt;margin-top:.717815pt;width:796.7pt;height:.75pt;mso-position-horizontal-relative:page;mso-position-vertical-relative:paragraph;z-index:-911632" coordorigin="311,14" coordsize="15934,15">
            <v:group style="position:absolute;left:318;top:22;width:1422;height:2" coordorigin="318,22" coordsize="1422,2">
              <v:shape style="position:absolute;left:318;top:22;width:1422;height:2" coordorigin="318,22" coordsize="1422,0" path="m318,22l1740,22e" filled="false" stroked="true" strokeweight=".72pt" strokecolor="#000000">
                <v:path arrowok="t"/>
              </v:shape>
            </v:group>
            <v:group style="position:absolute;left:1782;top:22;width:954;height:2" coordorigin="1782,22" coordsize="954,2">
              <v:shape style="position:absolute;left:1782;top:22;width:954;height:2" coordorigin="1782,22" coordsize="954,0" path="m1782,22l2736,22e" filled="false" stroked="true" strokeweight=".72pt" strokecolor="#000000">
                <v:path arrowok="t"/>
              </v:shape>
            </v:group>
            <v:group style="position:absolute;left:2761;top:22;width:1023;height:2" coordorigin="2761,22" coordsize="1023,2">
              <v:shape style="position:absolute;left:2761;top:22;width:1023;height:2" coordorigin="2761,22" coordsize="1023,0" path="m2761,22l3783,22e" filled="false" stroked="true" strokeweight=".72pt" strokecolor="#000000">
                <v:path arrowok="t"/>
              </v:shape>
            </v:group>
            <v:group style="position:absolute;left:3811;top:22;width:953;height:2" coordorigin="3811,22" coordsize="953,2">
              <v:shape style="position:absolute;left:3811;top:22;width:953;height:2" coordorigin="3811,22" coordsize="953,0" path="m3811,22l4764,22e" filled="false" stroked="true" strokeweight=".72pt" strokecolor="#000000">
                <v:path arrowok="t"/>
              </v:shape>
            </v:group>
            <v:group style="position:absolute;left:4791;top:22;width:939;height:2" coordorigin="4791,22" coordsize="939,2">
              <v:shape style="position:absolute;left:4791;top:22;width:939;height:2" coordorigin="4791,22" coordsize="939,0" path="m4791,22l5730,22e" filled="false" stroked="true" strokeweight=".72pt" strokecolor="#000000">
                <v:path arrowok="t"/>
              </v:shape>
            </v:group>
            <v:group style="position:absolute;left:5761;top:22;width:948;height:2" coordorigin="5761,22" coordsize="948,2">
              <v:shape style="position:absolute;left:5761;top:22;width:948;height:2" coordorigin="5761,22" coordsize="948,0" path="m5761,22l6709,22e" filled="false" stroked="true" strokeweight=".72pt" strokecolor="#000000">
                <v:path arrowok="t"/>
              </v:shape>
            </v:group>
            <v:group style="position:absolute;left:6737;top:22;width:1036;height:2" coordorigin="6737,22" coordsize="1036,2">
              <v:shape style="position:absolute;left:6737;top:22;width:1036;height:2" coordorigin="6737,22" coordsize="1036,0" path="m6737,22l7772,22e" filled="false" stroked="true" strokeweight=".72pt" strokecolor="#000000">
                <v:path arrowok="t"/>
              </v:shape>
            </v:group>
            <v:group style="position:absolute;left:7793;top:22;width:975;height:2" coordorigin="7793,22" coordsize="975,2">
              <v:shape style="position:absolute;left:7793;top:22;width:975;height:2" coordorigin="7793,22" coordsize="975,0" path="m7793,22l8767,22e" filled="false" stroked="true" strokeweight=".72pt" strokecolor="#000000">
                <v:path arrowok="t"/>
              </v:shape>
            </v:group>
            <v:group style="position:absolute;left:8795;top:22;width:954;height:2" coordorigin="8795,22" coordsize="954,2">
              <v:shape style="position:absolute;left:8795;top:22;width:954;height:2" coordorigin="8795,22" coordsize="954,0" path="m8795,22l9749,22e" filled="false" stroked="true" strokeweight=".72pt" strokecolor="#000000">
                <v:path arrowok="t"/>
              </v:shape>
            </v:group>
            <v:group style="position:absolute;left:9775;top:22;width:980;height:2" coordorigin="9775,22" coordsize="980,2">
              <v:shape style="position:absolute;left:9775;top:22;width:980;height:2" coordorigin="9775,22" coordsize="980,0" path="m9775,22l10754,22e" filled="false" stroked="true" strokeweight=".72pt" strokecolor="#000000">
                <v:path arrowok="t"/>
              </v:shape>
            </v:group>
            <v:group style="position:absolute;left:10796;top:22;width:1008;height:2" coordorigin="10796,22" coordsize="1008,2">
              <v:shape style="position:absolute;left:10796;top:22;width:1008;height:2" coordorigin="10796,22" coordsize="1008,0" path="m10796,22l11804,22e" filled="false" stroked="true" strokeweight=".72pt" strokecolor="#000000">
                <v:path arrowok="t"/>
              </v:shape>
            </v:group>
            <v:group style="position:absolute;left:11832;top:22;width:980;height:2" coordorigin="11832,22" coordsize="980,2">
              <v:shape style="position:absolute;left:11832;top:22;width:980;height:2" coordorigin="11832,22" coordsize="980,0" path="m11832,22l12811,22e" filled="false" stroked="true" strokeweight=".72pt" strokecolor="#000000">
                <v:path arrowok="t"/>
              </v:shape>
            </v:group>
            <v:group style="position:absolute;left:12859;top:22;width:1086;height:2" coordorigin="12859,22" coordsize="1086,2">
              <v:shape style="position:absolute;left:12859;top:22;width:1086;height:2" coordorigin="12859,22" coordsize="1086,0" path="m12859,22l13945,22e" filled="false" stroked="true" strokeweight=".72pt" strokecolor="#000000">
                <v:path arrowok="t"/>
              </v:shape>
            </v:group>
            <v:group style="position:absolute;left:13974;top:22;width:1124;height:2" coordorigin="13974,22" coordsize="1124,2">
              <v:shape style="position:absolute;left:13974;top:22;width:1124;height:2" coordorigin="13974,22" coordsize="1124,0" path="m13974,22l15097,22e" filled="false" stroked="true" strokeweight=".72pt" strokecolor="#000000">
                <v:path arrowok="t"/>
              </v:shape>
            </v:group>
            <v:group style="position:absolute;left:15125;top:22;width:1113;height:2" coordorigin="15125,22" coordsize="1113,2">
              <v:shape style="position:absolute;left:15125;top:22;width:1113;height:2" coordorigin="15125,22" coordsize="1113,0" path="m15125,22l16237,22e" filled="false" stroked="true" strokeweight=".72pt" strokecolor="#000000">
                <v:path arrowok="t"/>
              </v:shape>
            </v:group>
            <w10:wrap type="none"/>
          </v:group>
        </w:pict>
      </w:r>
      <w:r>
        <w:rPr>
          <w:rFonts w:ascii="宋体" w:hAnsi="宋体" w:cs="宋体" w:eastAsia="宋体" w:hint="default"/>
          <w:sz w:val="12"/>
          <w:szCs w:val="12"/>
        </w:rPr>
        <w:t>营业收入</w:t>
      </w:r>
    </w:p>
    <w:p>
      <w:pPr>
        <w:spacing w:line="156" w:lineRule="exact" w:before="13"/>
        <w:ind w:left="255" w:right="14725" w:firstLine="0"/>
        <w:jc w:val="left"/>
        <w:rPr>
          <w:rFonts w:ascii="宋体" w:hAnsi="宋体" w:cs="宋体" w:eastAsia="宋体" w:hint="default"/>
          <w:sz w:val="12"/>
          <w:szCs w:val="12"/>
        </w:rPr>
      </w:pPr>
      <w:r>
        <w:rPr/>
        <w:pict>
          <v:shape style="position:absolute;margin-left:89.091003pt;margin-top:2.688124pt;width:720.05pt;height:47pt;mso-position-horizontal-relative:page;mso-position-vertical-relative:paragraph;z-index:79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95"/>
                    <w:gridCol w:w="2044"/>
                    <w:gridCol w:w="944"/>
                    <w:gridCol w:w="980"/>
                    <w:gridCol w:w="1058"/>
                    <w:gridCol w:w="1012"/>
                    <w:gridCol w:w="1940"/>
                    <w:gridCol w:w="1604"/>
                    <w:gridCol w:w="1658"/>
                    <w:gridCol w:w="1099"/>
                    <w:gridCol w:w="1067"/>
                  </w:tblGrid>
                  <w:tr>
                    <w:trPr>
                      <w:trHeight w:val="215" w:hRule="exact"/>
                    </w:trPr>
                    <w:tc>
                      <w:tcPr>
                        <w:tcW w:w="995" w:type="dxa"/>
                        <w:tcBorders>
                          <w:top w:val="nil" w:sz="6" w:space="0" w:color="auto"/>
                          <w:left w:val="nil" w:sz="6" w:space="0" w:color="auto"/>
                          <w:bottom w:val="nil" w:sz="6" w:space="0" w:color="auto"/>
                          <w:right w:val="nil" w:sz="6" w:space="0" w:color="auto"/>
                        </w:tcBorders>
                      </w:tcPr>
                      <w:p>
                        <w:pPr>
                          <w:pStyle w:val="TableParagraph"/>
                          <w:spacing w:line="123" w:lineRule="exact"/>
                          <w:ind w:right="101"/>
                          <w:jc w:val="right"/>
                          <w:rPr>
                            <w:rFonts w:ascii="Arial" w:hAnsi="Arial" w:cs="Arial" w:eastAsia="Arial" w:hint="default"/>
                            <w:sz w:val="12"/>
                            <w:szCs w:val="12"/>
                          </w:rPr>
                        </w:pPr>
                        <w:r>
                          <w:rPr>
                            <w:rFonts w:ascii="Arial"/>
                            <w:spacing w:val="-1"/>
                            <w:sz w:val="12"/>
                          </w:rPr>
                          <w:t>71,555,043,073</w:t>
                        </w:r>
                      </w:p>
                    </w:tc>
                    <w:tc>
                      <w:tcPr>
                        <w:tcW w:w="2044" w:type="dxa"/>
                        <w:tcBorders>
                          <w:top w:val="nil" w:sz="6" w:space="0" w:color="auto"/>
                          <w:left w:val="nil" w:sz="6" w:space="0" w:color="auto"/>
                          <w:bottom w:val="nil" w:sz="6" w:space="0" w:color="auto"/>
                          <w:right w:val="nil" w:sz="6" w:space="0" w:color="auto"/>
                        </w:tcBorders>
                      </w:tcPr>
                      <w:p>
                        <w:pPr>
                          <w:pStyle w:val="TableParagraph"/>
                          <w:spacing w:line="123" w:lineRule="exact"/>
                          <w:ind w:right="1"/>
                          <w:jc w:val="center"/>
                          <w:rPr>
                            <w:rFonts w:ascii="Arial" w:hAnsi="Arial" w:cs="Arial" w:eastAsia="Arial" w:hint="default"/>
                            <w:sz w:val="12"/>
                            <w:szCs w:val="12"/>
                          </w:rPr>
                        </w:pPr>
                        <w:r>
                          <w:rPr>
                            <w:rFonts w:ascii="Arial"/>
                            <w:sz w:val="12"/>
                          </w:rPr>
                          <w:t>81,954,625,833 </w:t>
                        </w:r>
                        <w:r>
                          <w:rPr>
                            <w:rFonts w:ascii="Arial"/>
                            <w:spacing w:val="22"/>
                            <w:sz w:val="12"/>
                          </w:rPr>
                          <w:t> </w:t>
                        </w:r>
                        <w:r>
                          <w:rPr>
                            <w:rFonts w:ascii="Arial"/>
                            <w:sz w:val="12"/>
                          </w:rPr>
                          <w:t>153,509,668,906</w:t>
                        </w:r>
                      </w:p>
                    </w:tc>
                    <w:tc>
                      <w:tcPr>
                        <w:tcW w:w="944" w:type="dxa"/>
                        <w:tcBorders>
                          <w:top w:val="nil" w:sz="6" w:space="0" w:color="auto"/>
                          <w:left w:val="nil" w:sz="6" w:space="0" w:color="auto"/>
                          <w:bottom w:val="nil" w:sz="6" w:space="0" w:color="auto"/>
                          <w:right w:val="nil" w:sz="6" w:space="0" w:color="auto"/>
                        </w:tcBorders>
                      </w:tcPr>
                      <w:p>
                        <w:pPr>
                          <w:pStyle w:val="TableParagraph"/>
                          <w:spacing w:line="123" w:lineRule="exact"/>
                          <w:ind w:right="68"/>
                          <w:jc w:val="right"/>
                          <w:rPr>
                            <w:rFonts w:ascii="Arial" w:hAnsi="Arial" w:cs="Arial" w:eastAsia="Arial" w:hint="default"/>
                            <w:sz w:val="12"/>
                            <w:szCs w:val="12"/>
                          </w:rPr>
                        </w:pPr>
                        <w:r>
                          <w:rPr>
                            <w:rFonts w:ascii="Arial"/>
                            <w:spacing w:val="-1"/>
                            <w:sz w:val="12"/>
                          </w:rPr>
                          <w:t>312,223,645</w:t>
                        </w:r>
                      </w:p>
                    </w:tc>
                    <w:tc>
                      <w:tcPr>
                        <w:tcW w:w="2038" w:type="dxa"/>
                        <w:gridSpan w:val="2"/>
                        <w:tcBorders>
                          <w:top w:val="nil" w:sz="6" w:space="0" w:color="auto"/>
                          <w:left w:val="nil" w:sz="6" w:space="0" w:color="auto"/>
                          <w:bottom w:val="nil" w:sz="6" w:space="0" w:color="auto"/>
                          <w:right w:val="nil" w:sz="6" w:space="0" w:color="auto"/>
                        </w:tcBorders>
                      </w:tcPr>
                      <w:p>
                        <w:pPr>
                          <w:pStyle w:val="TableParagraph"/>
                          <w:spacing w:line="123" w:lineRule="exact"/>
                          <w:ind w:left="841" w:right="0"/>
                          <w:jc w:val="left"/>
                          <w:rPr>
                            <w:rFonts w:ascii="Arial" w:hAnsi="Arial" w:cs="Arial" w:eastAsia="Arial" w:hint="default"/>
                            <w:sz w:val="12"/>
                            <w:szCs w:val="12"/>
                          </w:rPr>
                        </w:pPr>
                        <w:r>
                          <w:rPr>
                            <w:rFonts w:ascii="Arial"/>
                            <w:sz w:val="12"/>
                          </w:rPr>
                          <w:t>-   </w:t>
                        </w:r>
                        <w:r>
                          <w:rPr>
                            <w:rFonts w:ascii="Arial"/>
                            <w:spacing w:val="22"/>
                            <w:sz w:val="12"/>
                          </w:rPr>
                          <w:t> </w:t>
                        </w:r>
                        <w:r>
                          <w:rPr>
                            <w:rFonts w:ascii="Arial"/>
                            <w:sz w:val="12"/>
                          </w:rPr>
                          <w:t>153,821,892,551</w:t>
                        </w:r>
                      </w:p>
                    </w:tc>
                    <w:tc>
                      <w:tcPr>
                        <w:tcW w:w="1012" w:type="dxa"/>
                        <w:tcBorders>
                          <w:top w:val="nil" w:sz="6" w:space="0" w:color="auto"/>
                          <w:left w:val="nil" w:sz="6" w:space="0" w:color="auto"/>
                          <w:bottom w:val="nil" w:sz="6" w:space="0" w:color="auto"/>
                          <w:right w:val="nil" w:sz="6" w:space="0" w:color="auto"/>
                        </w:tcBorders>
                      </w:tcPr>
                      <w:p>
                        <w:pPr>
                          <w:pStyle w:val="TableParagraph"/>
                          <w:spacing w:line="123" w:lineRule="exact"/>
                          <w:ind w:right="81"/>
                          <w:jc w:val="right"/>
                          <w:rPr>
                            <w:rFonts w:ascii="Arial" w:hAnsi="Arial" w:cs="Arial" w:eastAsia="Arial" w:hint="default"/>
                            <w:sz w:val="12"/>
                            <w:szCs w:val="12"/>
                          </w:rPr>
                        </w:pPr>
                        <w:r>
                          <w:rPr>
                            <w:rFonts w:ascii="Arial"/>
                            <w:spacing w:val="-1"/>
                            <w:sz w:val="12"/>
                          </w:rPr>
                          <w:t>65,579,926,179</w:t>
                        </w:r>
                      </w:p>
                    </w:tc>
                    <w:tc>
                      <w:tcPr>
                        <w:tcW w:w="1940" w:type="dxa"/>
                        <w:tcBorders>
                          <w:top w:val="nil" w:sz="6" w:space="0" w:color="auto"/>
                          <w:left w:val="nil" w:sz="6" w:space="0" w:color="auto"/>
                          <w:bottom w:val="nil" w:sz="6" w:space="0" w:color="auto"/>
                          <w:right w:val="nil" w:sz="6" w:space="0" w:color="auto"/>
                        </w:tcBorders>
                      </w:tcPr>
                      <w:p>
                        <w:pPr>
                          <w:pStyle w:val="TableParagraph"/>
                          <w:spacing w:line="123" w:lineRule="exact"/>
                          <w:ind w:right="40"/>
                          <w:jc w:val="right"/>
                          <w:rPr>
                            <w:rFonts w:ascii="Arial" w:hAnsi="Arial" w:cs="Arial" w:eastAsia="Arial" w:hint="default"/>
                            <w:sz w:val="12"/>
                            <w:szCs w:val="12"/>
                          </w:rPr>
                        </w:pPr>
                        <w:r>
                          <w:rPr>
                            <w:rFonts w:ascii="Arial"/>
                            <w:sz w:val="12"/>
                          </w:rPr>
                          <w:t>90,967,450,243 </w:t>
                        </w:r>
                        <w:r>
                          <w:rPr>
                            <w:rFonts w:ascii="Arial"/>
                            <w:spacing w:val="2"/>
                            <w:sz w:val="12"/>
                          </w:rPr>
                          <w:t> </w:t>
                        </w:r>
                        <w:r>
                          <w:rPr>
                            <w:rFonts w:ascii="Arial"/>
                            <w:sz w:val="12"/>
                          </w:rPr>
                          <w:t>156,547,376,422</w:t>
                        </w:r>
                      </w:p>
                    </w:tc>
                    <w:tc>
                      <w:tcPr>
                        <w:tcW w:w="1604" w:type="dxa"/>
                        <w:tcBorders>
                          <w:top w:val="nil" w:sz="6" w:space="0" w:color="auto"/>
                          <w:left w:val="nil" w:sz="6" w:space="0" w:color="auto"/>
                          <w:bottom w:val="nil" w:sz="6" w:space="0" w:color="auto"/>
                          <w:right w:val="nil" w:sz="6" w:space="0" w:color="auto"/>
                        </w:tcBorders>
                      </w:tcPr>
                      <w:p>
                        <w:pPr>
                          <w:pStyle w:val="TableParagraph"/>
                          <w:spacing w:line="123" w:lineRule="exact"/>
                          <w:ind w:left="310" w:right="0"/>
                          <w:jc w:val="left"/>
                          <w:rPr>
                            <w:rFonts w:ascii="Arial" w:hAnsi="Arial" w:cs="Arial" w:eastAsia="Arial" w:hint="default"/>
                            <w:sz w:val="12"/>
                            <w:szCs w:val="12"/>
                          </w:rPr>
                        </w:pPr>
                        <w:r>
                          <w:rPr>
                            <w:rFonts w:ascii="Arial"/>
                            <w:sz w:val="12"/>
                          </w:rPr>
                          <w:t>376,001,029</w:t>
                        </w:r>
                      </w:p>
                    </w:tc>
                    <w:tc>
                      <w:tcPr>
                        <w:tcW w:w="1658" w:type="dxa"/>
                        <w:tcBorders>
                          <w:top w:val="nil" w:sz="6" w:space="0" w:color="auto"/>
                          <w:left w:val="nil" w:sz="6" w:space="0" w:color="auto"/>
                          <w:bottom w:val="nil" w:sz="6" w:space="0" w:color="auto"/>
                          <w:right w:val="nil" w:sz="6" w:space="0" w:color="auto"/>
                        </w:tcBorders>
                      </w:tcPr>
                      <w:p>
                        <w:pPr>
                          <w:pStyle w:val="TableParagraph"/>
                          <w:spacing w:line="123" w:lineRule="exact"/>
                          <w:ind w:right="131"/>
                          <w:jc w:val="right"/>
                          <w:rPr>
                            <w:rFonts w:ascii="Arial" w:hAnsi="Arial" w:cs="Arial" w:eastAsia="Arial" w:hint="default"/>
                            <w:sz w:val="12"/>
                            <w:szCs w:val="12"/>
                          </w:rPr>
                        </w:pPr>
                        <w:r>
                          <w:rPr>
                            <w:rFonts w:ascii="Arial"/>
                            <w:spacing w:val="-1"/>
                            <w:sz w:val="12"/>
                          </w:rPr>
                          <w:t>156,923,377,451</w:t>
                        </w:r>
                      </w:p>
                    </w:tc>
                    <w:tc>
                      <w:tcPr>
                        <w:tcW w:w="1099" w:type="dxa"/>
                        <w:tcBorders>
                          <w:top w:val="nil" w:sz="6" w:space="0" w:color="auto"/>
                          <w:left w:val="nil" w:sz="6" w:space="0" w:color="auto"/>
                          <w:bottom w:val="nil" w:sz="6" w:space="0" w:color="auto"/>
                          <w:right w:val="nil" w:sz="6" w:space="0" w:color="auto"/>
                        </w:tcBorders>
                      </w:tcPr>
                      <w:p>
                        <w:pPr>
                          <w:pStyle w:val="TableParagraph"/>
                          <w:spacing w:line="123" w:lineRule="exact"/>
                          <w:ind w:right="128"/>
                          <w:jc w:val="right"/>
                          <w:rPr>
                            <w:rFonts w:ascii="Arial" w:hAnsi="Arial" w:cs="Arial" w:eastAsia="Arial" w:hint="default"/>
                            <w:sz w:val="12"/>
                            <w:szCs w:val="12"/>
                          </w:rPr>
                        </w:pPr>
                        <w:r>
                          <w:rPr>
                            <w:rFonts w:ascii="Arial"/>
                            <w:spacing w:val="-1"/>
                            <w:sz w:val="12"/>
                          </w:rPr>
                          <w:t>18,975,260,226</w:t>
                        </w:r>
                      </w:p>
                    </w:tc>
                    <w:tc>
                      <w:tcPr>
                        <w:tcW w:w="1067" w:type="dxa"/>
                        <w:tcBorders>
                          <w:top w:val="nil" w:sz="6" w:space="0" w:color="auto"/>
                          <w:left w:val="nil" w:sz="6" w:space="0" w:color="auto"/>
                          <w:bottom w:val="nil" w:sz="6" w:space="0" w:color="auto"/>
                          <w:right w:val="nil" w:sz="6" w:space="0" w:color="auto"/>
                        </w:tcBorders>
                      </w:tcPr>
                      <w:p>
                        <w:pPr>
                          <w:pStyle w:val="TableParagraph"/>
                          <w:spacing w:line="123" w:lineRule="exact"/>
                          <w:ind w:right="33"/>
                          <w:jc w:val="right"/>
                          <w:rPr>
                            <w:rFonts w:ascii="Arial" w:hAnsi="Arial" w:cs="Arial" w:eastAsia="Arial" w:hint="default"/>
                            <w:sz w:val="12"/>
                            <w:szCs w:val="12"/>
                          </w:rPr>
                        </w:pPr>
                        <w:r>
                          <w:rPr>
                            <w:rFonts w:ascii="Arial"/>
                            <w:spacing w:val="-1"/>
                            <w:sz w:val="12"/>
                          </w:rPr>
                          <w:t>175,898,637,677</w:t>
                        </w:r>
                      </w:p>
                    </w:tc>
                  </w:tr>
                  <w:tr>
                    <w:trPr>
                      <w:trHeight w:val="233" w:hRule="exact"/>
                    </w:trPr>
                    <w:tc>
                      <w:tcPr>
                        <w:tcW w:w="995"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01"/>
                          <w:jc w:val="right"/>
                          <w:rPr>
                            <w:rFonts w:ascii="Arial" w:hAnsi="Arial" w:cs="Arial" w:eastAsia="Arial" w:hint="default"/>
                            <w:sz w:val="12"/>
                            <w:szCs w:val="12"/>
                          </w:rPr>
                        </w:pPr>
                        <w:r>
                          <w:rPr>
                            <w:rFonts w:ascii="Arial"/>
                            <w:spacing w:val="-1"/>
                            <w:sz w:val="12"/>
                          </w:rPr>
                          <w:t>257,791,291</w:t>
                        </w:r>
                      </w:p>
                    </w:tc>
                    <w:tc>
                      <w:tcPr>
                        <w:tcW w:w="2044" w:type="dxa"/>
                        <w:tcBorders>
                          <w:top w:val="nil" w:sz="6" w:space="0" w:color="auto"/>
                          <w:left w:val="nil" w:sz="6" w:space="0" w:color="auto"/>
                          <w:bottom w:val="nil" w:sz="6" w:space="0" w:color="auto"/>
                          <w:right w:val="nil" w:sz="6" w:space="0" w:color="auto"/>
                        </w:tcBorders>
                      </w:tcPr>
                      <w:p>
                        <w:pPr>
                          <w:pStyle w:val="TableParagraph"/>
                          <w:tabs>
                            <w:tab w:pos="1063" w:val="left" w:leader="none"/>
                          </w:tabs>
                          <w:spacing w:line="240" w:lineRule="auto" w:before="80"/>
                          <w:ind w:left="63" w:right="0"/>
                          <w:jc w:val="center"/>
                          <w:rPr>
                            <w:rFonts w:ascii="Arial" w:hAnsi="Arial" w:cs="Arial" w:eastAsia="Arial" w:hint="default"/>
                            <w:sz w:val="12"/>
                            <w:szCs w:val="12"/>
                          </w:rPr>
                        </w:pPr>
                        <w:r>
                          <w:rPr>
                            <w:rFonts w:ascii="Arial"/>
                            <w:spacing w:val="-1"/>
                            <w:sz w:val="12"/>
                          </w:rPr>
                          <w:t>1,664,789,015</w:t>
                          <w:tab/>
                          <w:t>1,922,580,306</w:t>
                        </w:r>
                      </w:p>
                    </w:tc>
                    <w:tc>
                      <w:tcPr>
                        <w:tcW w:w="944"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67"/>
                          <w:jc w:val="right"/>
                          <w:rPr>
                            <w:rFonts w:ascii="Arial" w:hAnsi="Arial" w:cs="Arial" w:eastAsia="Arial" w:hint="default"/>
                            <w:sz w:val="12"/>
                            <w:szCs w:val="12"/>
                          </w:rPr>
                        </w:pPr>
                        <w:r>
                          <w:rPr>
                            <w:rFonts w:ascii="Arial"/>
                            <w:spacing w:val="-1"/>
                            <w:sz w:val="12"/>
                          </w:rPr>
                          <w:t>390,883,372</w:t>
                        </w:r>
                      </w:p>
                    </w:tc>
                    <w:tc>
                      <w:tcPr>
                        <w:tcW w:w="2038" w:type="dxa"/>
                        <w:gridSpan w:val="2"/>
                        <w:tcBorders>
                          <w:top w:val="nil" w:sz="6" w:space="0" w:color="auto"/>
                          <w:left w:val="nil" w:sz="6" w:space="0" w:color="auto"/>
                          <w:bottom w:val="nil" w:sz="6" w:space="0" w:color="auto"/>
                          <w:right w:val="nil" w:sz="6" w:space="0" w:color="auto"/>
                        </w:tcBorders>
                      </w:tcPr>
                      <w:p>
                        <w:pPr>
                          <w:pStyle w:val="TableParagraph"/>
                          <w:tabs>
                            <w:tab w:pos="1176" w:val="left" w:leader="none"/>
                          </w:tabs>
                          <w:spacing w:line="240" w:lineRule="auto" w:before="80"/>
                          <w:ind w:left="842" w:right="0"/>
                          <w:jc w:val="left"/>
                          <w:rPr>
                            <w:rFonts w:ascii="Arial" w:hAnsi="Arial" w:cs="Arial" w:eastAsia="Arial" w:hint="default"/>
                            <w:sz w:val="12"/>
                            <w:szCs w:val="12"/>
                          </w:rPr>
                        </w:pPr>
                        <w:r>
                          <w:rPr>
                            <w:rFonts w:ascii="Arial"/>
                            <w:sz w:val="12"/>
                          </w:rPr>
                          <w:t>-</w:t>
                          <w:tab/>
                          <w:t>2,313,463,678</w:t>
                        </w:r>
                      </w:p>
                    </w:tc>
                    <w:tc>
                      <w:tcPr>
                        <w:tcW w:w="1012"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81"/>
                          <w:jc w:val="right"/>
                          <w:rPr>
                            <w:rFonts w:ascii="Arial" w:hAnsi="Arial" w:cs="Arial" w:eastAsia="Arial" w:hint="default"/>
                            <w:sz w:val="12"/>
                            <w:szCs w:val="12"/>
                          </w:rPr>
                        </w:pPr>
                        <w:r>
                          <w:rPr>
                            <w:rFonts w:ascii="Arial"/>
                            <w:spacing w:val="-1"/>
                            <w:sz w:val="12"/>
                          </w:rPr>
                          <w:t>365,360,097</w:t>
                        </w:r>
                      </w:p>
                    </w:tc>
                    <w:tc>
                      <w:tcPr>
                        <w:tcW w:w="1940" w:type="dxa"/>
                        <w:tcBorders>
                          <w:top w:val="nil" w:sz="6" w:space="0" w:color="auto"/>
                          <w:left w:val="nil" w:sz="6" w:space="0" w:color="auto"/>
                          <w:bottom w:val="nil" w:sz="6" w:space="0" w:color="auto"/>
                          <w:right w:val="nil" w:sz="6" w:space="0" w:color="auto"/>
                        </w:tcBorders>
                      </w:tcPr>
                      <w:p>
                        <w:pPr>
                          <w:pStyle w:val="TableParagraph"/>
                          <w:tabs>
                            <w:tab w:pos="980" w:val="left" w:leader="none"/>
                          </w:tabs>
                          <w:spacing w:line="240" w:lineRule="auto" w:before="80"/>
                          <w:ind w:right="39"/>
                          <w:jc w:val="right"/>
                          <w:rPr>
                            <w:rFonts w:ascii="Arial" w:hAnsi="Arial" w:cs="Arial" w:eastAsia="Arial" w:hint="default"/>
                            <w:sz w:val="12"/>
                            <w:szCs w:val="12"/>
                          </w:rPr>
                        </w:pPr>
                        <w:r>
                          <w:rPr>
                            <w:rFonts w:ascii="Arial"/>
                            <w:spacing w:val="-1"/>
                            <w:sz w:val="12"/>
                          </w:rPr>
                          <w:t>4,407,026,871</w:t>
                          <w:tab/>
                          <w:t>4,772,386,968</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80"/>
                          <w:ind w:left="311" w:right="0"/>
                          <w:jc w:val="left"/>
                          <w:rPr>
                            <w:rFonts w:ascii="Arial" w:hAnsi="Arial" w:cs="Arial" w:eastAsia="Arial" w:hint="default"/>
                            <w:sz w:val="12"/>
                            <w:szCs w:val="12"/>
                          </w:rPr>
                        </w:pPr>
                        <w:r>
                          <w:rPr>
                            <w:rFonts w:ascii="Arial"/>
                            <w:sz w:val="12"/>
                          </w:rPr>
                          <w:t>414,048,589</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33"/>
                          <w:jc w:val="right"/>
                          <w:rPr>
                            <w:rFonts w:ascii="Arial" w:hAnsi="Arial" w:cs="Arial" w:eastAsia="Arial" w:hint="default"/>
                            <w:sz w:val="12"/>
                            <w:szCs w:val="12"/>
                          </w:rPr>
                        </w:pPr>
                        <w:r>
                          <w:rPr>
                            <w:rFonts w:ascii="Arial"/>
                            <w:spacing w:val="-1"/>
                            <w:sz w:val="12"/>
                          </w:rPr>
                          <w:t>5,186,435,557</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128"/>
                          <w:jc w:val="right"/>
                          <w:rPr>
                            <w:rFonts w:ascii="Arial" w:hAnsi="Arial" w:cs="Arial" w:eastAsia="Arial" w:hint="default"/>
                            <w:sz w:val="12"/>
                            <w:szCs w:val="12"/>
                          </w:rPr>
                        </w:pPr>
                        <w:r>
                          <w:rPr>
                            <w:rFonts w:ascii="Arial"/>
                            <w:spacing w:val="-1"/>
                            <w:sz w:val="12"/>
                          </w:rPr>
                          <w:t>92,673,528</w:t>
                        </w:r>
                      </w:p>
                    </w:tc>
                    <w:tc>
                      <w:tcPr>
                        <w:tcW w:w="1067" w:type="dxa"/>
                        <w:tcBorders>
                          <w:top w:val="nil" w:sz="6" w:space="0" w:color="auto"/>
                          <w:left w:val="nil" w:sz="6" w:space="0" w:color="auto"/>
                          <w:bottom w:val="nil" w:sz="6" w:space="0" w:color="auto"/>
                          <w:right w:val="nil" w:sz="6" w:space="0" w:color="auto"/>
                        </w:tcBorders>
                      </w:tcPr>
                      <w:p>
                        <w:pPr>
                          <w:pStyle w:val="TableParagraph"/>
                          <w:spacing w:line="240" w:lineRule="auto" w:before="80"/>
                          <w:ind w:right="33"/>
                          <w:jc w:val="right"/>
                          <w:rPr>
                            <w:rFonts w:ascii="Arial" w:hAnsi="Arial" w:cs="Arial" w:eastAsia="Arial" w:hint="default"/>
                            <w:sz w:val="12"/>
                            <w:szCs w:val="12"/>
                          </w:rPr>
                        </w:pPr>
                        <w:r>
                          <w:rPr>
                            <w:rFonts w:ascii="Arial"/>
                            <w:spacing w:val="-1"/>
                            <w:sz w:val="12"/>
                          </w:rPr>
                          <w:t>5,279,109,085</w:t>
                        </w:r>
                      </w:p>
                    </w:tc>
                  </w:tr>
                  <w:tr>
                    <w:trPr>
                      <w:trHeight w:val="150" w:hRule="exact"/>
                    </w:trPr>
                    <w:tc>
                      <w:tcPr>
                        <w:tcW w:w="3038" w:type="dxa"/>
                        <w:gridSpan w:val="2"/>
                        <w:tcBorders>
                          <w:top w:val="nil" w:sz="6" w:space="0" w:color="auto"/>
                          <w:left w:val="nil" w:sz="6" w:space="0" w:color="auto"/>
                          <w:bottom w:val="single" w:sz="6" w:space="0" w:color="000000"/>
                          <w:right w:val="nil" w:sz="6" w:space="0" w:color="auto"/>
                        </w:tcBorders>
                      </w:tcPr>
                      <w:p>
                        <w:pPr>
                          <w:pStyle w:val="TableParagraph"/>
                          <w:tabs>
                            <w:tab w:pos="1264" w:val="left" w:leader="none"/>
                            <w:tab w:pos="2164" w:val="left" w:leader="none"/>
                          </w:tabs>
                          <w:spacing w:line="123" w:lineRule="exact"/>
                          <w:ind w:left="123" w:right="0"/>
                          <w:jc w:val="left"/>
                          <w:rPr>
                            <w:rFonts w:ascii="Arial" w:hAnsi="Arial" w:cs="Arial" w:eastAsia="Arial" w:hint="default"/>
                            <w:sz w:val="12"/>
                            <w:szCs w:val="12"/>
                          </w:rPr>
                        </w:pPr>
                        <w:r>
                          <w:rPr>
                            <w:rFonts w:ascii="Arial"/>
                            <w:spacing w:val="-1"/>
                            <w:sz w:val="12"/>
                          </w:rPr>
                          <w:t>2,035,067,962</w:t>
                          <w:tab/>
                          <w:t>198,395,342</w:t>
                          <w:tab/>
                          <w:t>2,233,463,304</w:t>
                        </w:r>
                      </w:p>
                    </w:tc>
                    <w:tc>
                      <w:tcPr>
                        <w:tcW w:w="944" w:type="dxa"/>
                        <w:tcBorders>
                          <w:top w:val="nil" w:sz="6" w:space="0" w:color="auto"/>
                          <w:left w:val="nil" w:sz="6" w:space="0" w:color="auto"/>
                          <w:bottom w:val="single" w:sz="6" w:space="0" w:color="000000"/>
                          <w:right w:val="nil" w:sz="6" w:space="0" w:color="auto"/>
                        </w:tcBorders>
                      </w:tcPr>
                      <w:p>
                        <w:pPr>
                          <w:pStyle w:val="TableParagraph"/>
                          <w:spacing w:line="123" w:lineRule="exact"/>
                          <w:ind w:right="67"/>
                          <w:jc w:val="right"/>
                          <w:rPr>
                            <w:rFonts w:ascii="Arial" w:hAnsi="Arial" w:cs="Arial" w:eastAsia="Arial" w:hint="default"/>
                            <w:sz w:val="12"/>
                            <w:szCs w:val="12"/>
                          </w:rPr>
                        </w:pPr>
                        <w:r>
                          <w:rPr>
                            <w:rFonts w:ascii="Arial"/>
                            <w:w w:val="99"/>
                            <w:sz w:val="12"/>
                          </w:rPr>
                          <w:t>-</w:t>
                        </w:r>
                        <w:r>
                          <w:rPr>
                            <w:rFonts w:ascii="Arial"/>
                            <w:sz w:val="12"/>
                          </w:rPr>
                        </w:r>
                      </w:p>
                    </w:tc>
                    <w:tc>
                      <w:tcPr>
                        <w:tcW w:w="980" w:type="dxa"/>
                        <w:tcBorders>
                          <w:top w:val="nil" w:sz="6" w:space="0" w:color="auto"/>
                          <w:left w:val="nil" w:sz="6" w:space="0" w:color="auto"/>
                          <w:bottom w:val="single" w:sz="6" w:space="0" w:color="000000"/>
                          <w:right w:val="nil" w:sz="6" w:space="0" w:color="auto"/>
                        </w:tcBorders>
                      </w:tcPr>
                      <w:p>
                        <w:pPr>
                          <w:pStyle w:val="TableParagraph"/>
                          <w:spacing w:line="123" w:lineRule="exact"/>
                          <w:ind w:right="96"/>
                          <w:jc w:val="right"/>
                          <w:rPr>
                            <w:rFonts w:ascii="Arial" w:hAnsi="Arial" w:cs="Arial" w:eastAsia="Arial" w:hint="default"/>
                            <w:sz w:val="12"/>
                            <w:szCs w:val="12"/>
                          </w:rPr>
                        </w:pPr>
                        <w:r>
                          <w:rPr>
                            <w:rFonts w:ascii="Arial"/>
                            <w:w w:val="99"/>
                            <w:sz w:val="12"/>
                          </w:rPr>
                          <w:t>-</w:t>
                        </w:r>
                        <w:r>
                          <w:rPr>
                            <w:rFonts w:ascii="Arial"/>
                            <w:sz w:val="12"/>
                          </w:rPr>
                        </w:r>
                      </w:p>
                    </w:tc>
                    <w:tc>
                      <w:tcPr>
                        <w:tcW w:w="1058" w:type="dxa"/>
                        <w:tcBorders>
                          <w:top w:val="nil" w:sz="6" w:space="0" w:color="auto"/>
                          <w:left w:val="nil" w:sz="6" w:space="0" w:color="auto"/>
                          <w:bottom w:val="single" w:sz="6" w:space="0" w:color="000000"/>
                          <w:right w:val="nil" w:sz="6" w:space="0" w:color="auto"/>
                        </w:tcBorders>
                      </w:tcPr>
                      <w:p>
                        <w:pPr>
                          <w:pStyle w:val="TableParagraph"/>
                          <w:spacing w:line="123" w:lineRule="exact"/>
                          <w:ind w:right="92"/>
                          <w:jc w:val="right"/>
                          <w:rPr>
                            <w:rFonts w:ascii="Arial" w:hAnsi="Arial" w:cs="Arial" w:eastAsia="Arial" w:hint="default"/>
                            <w:sz w:val="12"/>
                            <w:szCs w:val="12"/>
                          </w:rPr>
                        </w:pPr>
                        <w:r>
                          <w:rPr>
                            <w:rFonts w:ascii="Arial"/>
                            <w:spacing w:val="-1"/>
                            <w:sz w:val="12"/>
                          </w:rPr>
                          <w:t>2,233,463,304</w:t>
                        </w:r>
                      </w:p>
                    </w:tc>
                    <w:tc>
                      <w:tcPr>
                        <w:tcW w:w="2952" w:type="dxa"/>
                        <w:gridSpan w:val="2"/>
                        <w:tcBorders>
                          <w:top w:val="nil" w:sz="6" w:space="0" w:color="auto"/>
                          <w:left w:val="nil" w:sz="6" w:space="0" w:color="auto"/>
                          <w:bottom w:val="single" w:sz="6" w:space="0" w:color="000000"/>
                          <w:right w:val="nil" w:sz="6" w:space="0" w:color="auto"/>
                        </w:tcBorders>
                      </w:tcPr>
                      <w:p>
                        <w:pPr>
                          <w:pStyle w:val="TableParagraph"/>
                          <w:tabs>
                            <w:tab w:pos="1162" w:val="left" w:leader="none"/>
                            <w:tab w:pos="2142" w:val="left" w:leader="none"/>
                          </w:tabs>
                          <w:spacing w:line="123" w:lineRule="exact"/>
                          <w:ind w:left="260" w:right="0"/>
                          <w:jc w:val="left"/>
                          <w:rPr>
                            <w:rFonts w:ascii="Arial" w:hAnsi="Arial" w:cs="Arial" w:eastAsia="Arial" w:hint="default"/>
                            <w:sz w:val="12"/>
                            <w:szCs w:val="12"/>
                          </w:rPr>
                        </w:pPr>
                        <w:r>
                          <w:rPr>
                            <w:rFonts w:ascii="Arial"/>
                            <w:spacing w:val="-1"/>
                            <w:sz w:val="12"/>
                          </w:rPr>
                          <w:t>582,474,432</w:t>
                          <w:tab/>
                          <w:t>1,387,199,016</w:t>
                          <w:tab/>
                          <w:t>1,969,673,448</w:t>
                        </w:r>
                      </w:p>
                    </w:tc>
                    <w:tc>
                      <w:tcPr>
                        <w:tcW w:w="5428" w:type="dxa"/>
                        <w:gridSpan w:val="4"/>
                        <w:tcBorders>
                          <w:top w:val="nil" w:sz="6" w:space="0" w:color="auto"/>
                          <w:left w:val="nil" w:sz="6" w:space="0" w:color="auto"/>
                          <w:bottom w:val="nil" w:sz="6" w:space="0" w:color="auto"/>
                          <w:right w:val="nil" w:sz="6" w:space="0" w:color="auto"/>
                        </w:tcBorders>
                      </w:tcPr>
                      <w:p>
                        <w:pPr>
                          <w:pStyle w:val="TableParagraph"/>
                          <w:tabs>
                            <w:tab w:pos="444" w:val="left" w:leader="none"/>
                            <w:tab w:pos="1975" w:val="left" w:leader="none"/>
                            <w:tab w:pos="2358" w:val="left" w:leader="none"/>
                            <w:tab w:pos="3460" w:val="left" w:leader="none"/>
                            <w:tab w:pos="4625" w:val="left" w:leader="none"/>
                            <w:tab w:pos="5482" w:val="left" w:leader="none"/>
                          </w:tabs>
                          <w:spacing w:line="123" w:lineRule="exact"/>
                          <w:ind w:left="41" w:right="-55"/>
                          <w:jc w:val="left"/>
                          <w:rPr>
                            <w:rFonts w:ascii="Arial" w:hAnsi="Arial" w:cs="Arial" w:eastAsia="Arial" w:hint="default"/>
                            <w:sz w:val="12"/>
                            <w:szCs w:val="12"/>
                          </w:rPr>
                        </w:pPr>
                        <w:r>
                          <w:rPr>
                            <w:rFonts w:ascii="Arial"/>
                            <w:w w:val="100"/>
                            <w:sz w:val="12"/>
                          </w:rPr>
                        </w:r>
                        <w:r>
                          <w:rPr>
                            <w:rFonts w:ascii="Arial"/>
                            <w:w w:val="100"/>
                            <w:sz w:val="12"/>
                            <w:u w:val="single" w:color="000000"/>
                          </w:rPr>
                          <w:t> </w:t>
                        </w:r>
                        <w:r>
                          <w:rPr>
                            <w:rFonts w:ascii="Arial"/>
                            <w:sz w:val="12"/>
                            <w:u w:val="single" w:color="000000"/>
                          </w:rPr>
                          <w:tab/>
                        </w:r>
                        <w:r>
                          <w:rPr>
                            <w:rFonts w:ascii="Arial"/>
                            <w:spacing w:val="-1"/>
                            <w:sz w:val="12"/>
                            <w:u w:val="single" w:color="000000"/>
                          </w:rPr>
                          <w:t>5,826,351</w:t>
                          <w:tab/>
                        </w:r>
                        <w:r>
                          <w:rPr>
                            <w:rFonts w:ascii="Arial"/>
                            <w:sz w:val="12"/>
                            <w:u w:val="single" w:color="000000"/>
                          </w:rPr>
                          <w:t>-</w:t>
                        </w:r>
                        <w:r>
                          <w:rPr>
                            <w:rFonts w:ascii="Arial"/>
                            <w:sz w:val="12"/>
                          </w:rPr>
                        </w:r>
                        <w:r>
                          <w:rPr>
                            <w:rFonts w:ascii="Arial"/>
                            <w:sz w:val="12"/>
                            <w:u w:val="single" w:color="000000"/>
                          </w:rPr>
                          <w:t> </w:t>
                          <w:tab/>
                        </w:r>
                        <w:r>
                          <w:rPr>
                            <w:rFonts w:ascii="Arial"/>
                            <w:spacing w:val="-1"/>
                            <w:sz w:val="12"/>
                            <w:u w:val="single" w:color="000000"/>
                          </w:rPr>
                          <w:t>1,975,499,799</w:t>
                          <w:tab/>
                          <w:t>3,293,878,938</w:t>
                          <w:tab/>
                          <w:t>5,269,378,737</w:t>
                          <w:tab/>
                        </w:r>
                        <w:r>
                          <w:rPr>
                            <w:rFonts w:ascii="Arial"/>
                            <w:spacing w:val="-1"/>
                            <w:sz w:val="12"/>
                          </w:rPr>
                        </w:r>
                      </w:p>
                    </w:tc>
                  </w:tr>
                  <w:tr>
                    <w:trPr>
                      <w:trHeight w:val="176" w:hRule="exact"/>
                    </w:trPr>
                    <w:tc>
                      <w:tcPr>
                        <w:tcW w:w="3038" w:type="dxa"/>
                        <w:gridSpan w:val="2"/>
                        <w:tcBorders>
                          <w:top w:val="single" w:sz="6" w:space="0" w:color="000000"/>
                          <w:left w:val="nil" w:sz="6" w:space="0" w:color="auto"/>
                          <w:bottom w:val="nil" w:sz="6" w:space="0" w:color="auto"/>
                          <w:right w:val="nil" w:sz="6" w:space="0" w:color="auto"/>
                        </w:tcBorders>
                      </w:tcPr>
                      <w:p>
                        <w:pPr>
                          <w:pStyle w:val="TableParagraph"/>
                          <w:tabs>
                            <w:tab w:pos="1097" w:val="left" w:leader="none"/>
                          </w:tabs>
                          <w:spacing w:line="240" w:lineRule="auto" w:before="16"/>
                          <w:ind w:left="56" w:right="0"/>
                          <w:jc w:val="left"/>
                          <w:rPr>
                            <w:rFonts w:ascii="Arial" w:hAnsi="Arial" w:cs="Arial" w:eastAsia="Arial" w:hint="default"/>
                            <w:sz w:val="12"/>
                            <w:szCs w:val="12"/>
                          </w:rPr>
                        </w:pPr>
                        <w:r>
                          <w:rPr>
                            <w:rFonts w:ascii="Arial"/>
                            <w:spacing w:val="-1"/>
                            <w:sz w:val="12"/>
                          </w:rPr>
                          <w:t>73,847,902,326</w:t>
                          <w:tab/>
                          <w:t>83,817,810,190</w:t>
                        </w:r>
                        <w:r>
                          <w:rPr>
                            <w:rFonts w:ascii="Arial"/>
                            <w:sz w:val="12"/>
                          </w:rPr>
                          <w:t>  </w:t>
                        </w:r>
                        <w:r>
                          <w:rPr>
                            <w:rFonts w:ascii="Arial"/>
                            <w:spacing w:val="17"/>
                            <w:sz w:val="12"/>
                          </w:rPr>
                          <w:t> </w:t>
                        </w:r>
                        <w:r>
                          <w:rPr>
                            <w:rFonts w:ascii="Arial"/>
                            <w:spacing w:val="-1"/>
                            <w:sz w:val="12"/>
                          </w:rPr>
                          <w:t>157,665,712,516</w:t>
                        </w:r>
                      </w:p>
                    </w:tc>
                    <w:tc>
                      <w:tcPr>
                        <w:tcW w:w="944" w:type="dxa"/>
                        <w:tcBorders>
                          <w:top w:val="single" w:sz="6" w:space="0" w:color="000000"/>
                          <w:left w:val="nil" w:sz="6" w:space="0" w:color="auto"/>
                          <w:bottom w:val="nil" w:sz="6" w:space="0" w:color="auto"/>
                          <w:right w:val="nil" w:sz="6" w:space="0" w:color="auto"/>
                        </w:tcBorders>
                      </w:tcPr>
                      <w:p>
                        <w:pPr>
                          <w:pStyle w:val="TableParagraph"/>
                          <w:spacing w:line="240" w:lineRule="auto" w:before="16"/>
                          <w:ind w:right="68"/>
                          <w:jc w:val="right"/>
                          <w:rPr>
                            <w:rFonts w:ascii="Arial" w:hAnsi="Arial" w:cs="Arial" w:eastAsia="Arial" w:hint="default"/>
                            <w:sz w:val="12"/>
                            <w:szCs w:val="12"/>
                          </w:rPr>
                        </w:pPr>
                        <w:r>
                          <w:rPr>
                            <w:rFonts w:ascii="Arial"/>
                            <w:spacing w:val="-1"/>
                            <w:sz w:val="12"/>
                          </w:rPr>
                          <w:t>703,107,017</w:t>
                        </w:r>
                      </w:p>
                    </w:tc>
                    <w:tc>
                      <w:tcPr>
                        <w:tcW w:w="980" w:type="dxa"/>
                        <w:tcBorders>
                          <w:top w:val="single" w:sz="6" w:space="0" w:color="000000"/>
                          <w:left w:val="nil" w:sz="6" w:space="0" w:color="auto"/>
                          <w:bottom w:val="nil" w:sz="6" w:space="0" w:color="auto"/>
                          <w:right w:val="nil" w:sz="6" w:space="0" w:color="auto"/>
                        </w:tcBorders>
                      </w:tcPr>
                      <w:p>
                        <w:pPr>
                          <w:pStyle w:val="TableParagraph"/>
                          <w:spacing w:line="240" w:lineRule="auto" w:before="16"/>
                          <w:ind w:right="96"/>
                          <w:jc w:val="right"/>
                          <w:rPr>
                            <w:rFonts w:ascii="Arial" w:hAnsi="Arial" w:cs="Arial" w:eastAsia="Arial" w:hint="default"/>
                            <w:sz w:val="12"/>
                            <w:szCs w:val="12"/>
                          </w:rPr>
                        </w:pPr>
                        <w:r>
                          <w:rPr>
                            <w:rFonts w:ascii="Arial"/>
                            <w:w w:val="99"/>
                            <w:sz w:val="12"/>
                          </w:rPr>
                          <w:t>-</w:t>
                        </w:r>
                        <w:r>
                          <w:rPr>
                            <w:rFonts w:ascii="Arial"/>
                            <w:sz w:val="12"/>
                          </w:rPr>
                        </w:r>
                      </w:p>
                    </w:tc>
                    <w:tc>
                      <w:tcPr>
                        <w:tcW w:w="1058" w:type="dxa"/>
                        <w:tcBorders>
                          <w:top w:val="single" w:sz="6" w:space="0" w:color="000000"/>
                          <w:left w:val="nil" w:sz="6" w:space="0" w:color="auto"/>
                          <w:bottom w:val="nil" w:sz="6" w:space="0" w:color="auto"/>
                          <w:right w:val="nil" w:sz="6" w:space="0" w:color="auto"/>
                        </w:tcBorders>
                      </w:tcPr>
                      <w:p>
                        <w:pPr>
                          <w:pStyle w:val="TableParagraph"/>
                          <w:spacing w:line="240" w:lineRule="auto" w:before="16"/>
                          <w:ind w:right="92"/>
                          <w:jc w:val="right"/>
                          <w:rPr>
                            <w:rFonts w:ascii="Arial" w:hAnsi="Arial" w:cs="Arial" w:eastAsia="Arial" w:hint="default"/>
                            <w:sz w:val="12"/>
                            <w:szCs w:val="12"/>
                          </w:rPr>
                        </w:pPr>
                        <w:r>
                          <w:rPr>
                            <w:rFonts w:ascii="Arial"/>
                            <w:spacing w:val="-1"/>
                            <w:sz w:val="12"/>
                          </w:rPr>
                          <w:t>158,368,819,533</w:t>
                        </w:r>
                      </w:p>
                    </w:tc>
                    <w:tc>
                      <w:tcPr>
                        <w:tcW w:w="2952" w:type="dxa"/>
                        <w:gridSpan w:val="2"/>
                        <w:tcBorders>
                          <w:top w:val="single" w:sz="6" w:space="0" w:color="000000"/>
                          <w:left w:val="nil" w:sz="6" w:space="0" w:color="auto"/>
                          <w:bottom w:val="nil" w:sz="6" w:space="0" w:color="auto"/>
                          <w:right w:val="nil" w:sz="6" w:space="0" w:color="auto"/>
                        </w:tcBorders>
                      </w:tcPr>
                      <w:p>
                        <w:pPr>
                          <w:pStyle w:val="TableParagraph"/>
                          <w:spacing w:line="240" w:lineRule="auto" w:before="16"/>
                          <w:ind w:left="93" w:right="0"/>
                          <w:jc w:val="left"/>
                          <w:rPr>
                            <w:rFonts w:ascii="Arial" w:hAnsi="Arial" w:cs="Arial" w:eastAsia="Arial" w:hint="default"/>
                            <w:sz w:val="12"/>
                            <w:szCs w:val="12"/>
                          </w:rPr>
                        </w:pPr>
                        <w:r>
                          <w:rPr>
                            <w:rFonts w:ascii="Arial"/>
                            <w:sz w:val="12"/>
                          </w:rPr>
                          <w:t>66,527,760,708     96,761,676,130</w:t>
                        </w:r>
                        <w:r>
                          <w:rPr>
                            <w:rFonts w:ascii="Arial"/>
                            <w:spacing w:val="31"/>
                            <w:sz w:val="12"/>
                          </w:rPr>
                          <w:t> </w:t>
                        </w:r>
                        <w:r>
                          <w:rPr>
                            <w:rFonts w:ascii="Arial"/>
                            <w:sz w:val="12"/>
                          </w:rPr>
                          <w:t>163,289,436,838</w:t>
                        </w:r>
                      </w:p>
                    </w:tc>
                    <w:tc>
                      <w:tcPr>
                        <w:tcW w:w="5428" w:type="dxa"/>
                        <w:gridSpan w:val="4"/>
                        <w:tcBorders>
                          <w:top w:val="nil" w:sz="6" w:space="0" w:color="auto"/>
                          <w:left w:val="nil" w:sz="6" w:space="0" w:color="auto"/>
                          <w:bottom w:val="nil" w:sz="6" w:space="0" w:color="auto"/>
                          <w:right w:val="nil" w:sz="6" w:space="0" w:color="auto"/>
                        </w:tcBorders>
                      </w:tcPr>
                      <w:p>
                        <w:pPr>
                          <w:pStyle w:val="TableParagraph"/>
                          <w:tabs>
                            <w:tab w:pos="1977" w:val="left" w:leader="none"/>
                            <w:tab w:pos="2225" w:val="left" w:leader="none"/>
                            <w:tab w:pos="3395" w:val="left" w:leader="none"/>
                            <w:tab w:pos="4490" w:val="left" w:leader="none"/>
                          </w:tabs>
                          <w:spacing w:line="240" w:lineRule="auto" w:before="23"/>
                          <w:ind w:left="310" w:right="0"/>
                          <w:jc w:val="left"/>
                          <w:rPr>
                            <w:rFonts w:ascii="Arial" w:hAnsi="Arial" w:cs="Arial" w:eastAsia="Arial" w:hint="default"/>
                            <w:sz w:val="12"/>
                            <w:szCs w:val="12"/>
                          </w:rPr>
                        </w:pPr>
                        <w:r>
                          <w:rPr>
                            <w:rFonts w:ascii="Arial"/>
                            <w:w w:val="95"/>
                            <w:sz w:val="12"/>
                          </w:rPr>
                          <w:t>795,875,969</w:t>
                          <w:tab/>
                        </w:r>
                        <w:r>
                          <w:rPr>
                            <w:rFonts w:ascii="Arial"/>
                            <w:sz w:val="12"/>
                          </w:rPr>
                          <w:t>-</w:t>
                          <w:tab/>
                        </w:r>
                        <w:r>
                          <w:rPr>
                            <w:rFonts w:ascii="Arial"/>
                            <w:spacing w:val="-1"/>
                            <w:sz w:val="12"/>
                          </w:rPr>
                          <w:t>164,085,312,807</w:t>
                          <w:tab/>
                          <w:t>22,361,812,692</w:t>
                          <w:tab/>
                          <w:t>186,447,125,499</w:t>
                        </w:r>
                      </w:p>
                    </w:tc>
                  </w:tr>
                  <w:tr>
                    <w:trPr>
                      <w:trHeight w:val="150" w:hRule="exact"/>
                    </w:trPr>
                    <w:tc>
                      <w:tcPr>
                        <w:tcW w:w="3038" w:type="dxa"/>
                        <w:gridSpan w:val="2"/>
                        <w:tcBorders>
                          <w:top w:val="nil" w:sz="6" w:space="0" w:color="auto"/>
                          <w:left w:val="nil" w:sz="6" w:space="0" w:color="auto"/>
                          <w:bottom w:val="single" w:sz="6" w:space="0" w:color="000000"/>
                          <w:right w:val="nil" w:sz="6" w:space="0" w:color="auto"/>
                        </w:tcBorders>
                      </w:tcPr>
                      <w:p>
                        <w:pPr>
                          <w:pStyle w:val="TableParagraph"/>
                          <w:tabs>
                            <w:tab w:pos="1164" w:val="left" w:leader="none"/>
                            <w:tab w:pos="2164" w:val="left" w:leader="none"/>
                          </w:tabs>
                          <w:spacing w:line="240" w:lineRule="auto" w:before="2"/>
                          <w:ind w:left="223" w:right="0"/>
                          <w:jc w:val="left"/>
                          <w:rPr>
                            <w:rFonts w:ascii="Arial" w:hAnsi="Arial" w:cs="Arial" w:eastAsia="Arial" w:hint="default"/>
                            <w:sz w:val="12"/>
                            <w:szCs w:val="12"/>
                          </w:rPr>
                        </w:pPr>
                        <w:r>
                          <w:rPr>
                            <w:rFonts w:ascii="Arial"/>
                            <w:spacing w:val="-1"/>
                            <w:sz w:val="12"/>
                          </w:rPr>
                          <w:t>219,492,649</w:t>
                          <w:tab/>
                          <w:t>4,236,615,041</w:t>
                          <w:tab/>
                          <w:t>4,456,107,690</w:t>
                        </w:r>
                      </w:p>
                    </w:tc>
                    <w:tc>
                      <w:tcPr>
                        <w:tcW w:w="944" w:type="dxa"/>
                        <w:tcBorders>
                          <w:top w:val="nil" w:sz="6" w:space="0" w:color="auto"/>
                          <w:left w:val="nil" w:sz="6" w:space="0" w:color="auto"/>
                          <w:bottom w:val="single" w:sz="6" w:space="0" w:color="000000"/>
                          <w:right w:val="nil" w:sz="6" w:space="0" w:color="auto"/>
                        </w:tcBorders>
                      </w:tcPr>
                      <w:p>
                        <w:pPr>
                          <w:pStyle w:val="TableParagraph"/>
                          <w:spacing w:line="240" w:lineRule="auto" w:before="2"/>
                          <w:ind w:right="68"/>
                          <w:jc w:val="right"/>
                          <w:rPr>
                            <w:rFonts w:ascii="Arial" w:hAnsi="Arial" w:cs="Arial" w:eastAsia="Arial" w:hint="default"/>
                            <w:sz w:val="12"/>
                            <w:szCs w:val="12"/>
                          </w:rPr>
                        </w:pPr>
                        <w:r>
                          <w:rPr>
                            <w:rFonts w:ascii="Arial"/>
                            <w:spacing w:val="-1"/>
                            <w:sz w:val="12"/>
                          </w:rPr>
                          <w:t>1,587,131,832</w:t>
                        </w:r>
                      </w:p>
                    </w:tc>
                    <w:tc>
                      <w:tcPr>
                        <w:tcW w:w="980" w:type="dxa"/>
                        <w:tcBorders>
                          <w:top w:val="nil" w:sz="6" w:space="0" w:color="auto"/>
                          <w:left w:val="nil" w:sz="6" w:space="0" w:color="auto"/>
                          <w:bottom w:val="single" w:sz="6" w:space="0" w:color="000000"/>
                          <w:right w:val="nil" w:sz="6" w:space="0" w:color="auto"/>
                        </w:tcBorders>
                      </w:tcPr>
                      <w:p>
                        <w:pPr>
                          <w:pStyle w:val="TableParagraph"/>
                          <w:spacing w:line="240" w:lineRule="auto" w:before="2"/>
                          <w:ind w:right="59"/>
                          <w:jc w:val="right"/>
                          <w:rPr>
                            <w:rFonts w:ascii="Arial" w:hAnsi="Arial" w:cs="Arial" w:eastAsia="Arial" w:hint="default"/>
                            <w:sz w:val="12"/>
                            <w:szCs w:val="12"/>
                          </w:rPr>
                        </w:pPr>
                        <w:r>
                          <w:rPr>
                            <w:rFonts w:ascii="Arial"/>
                            <w:spacing w:val="-1"/>
                            <w:sz w:val="12"/>
                          </w:rPr>
                          <w:t>(6,043,239,522)</w:t>
                        </w:r>
                      </w:p>
                    </w:tc>
                    <w:tc>
                      <w:tcPr>
                        <w:tcW w:w="1058" w:type="dxa"/>
                        <w:tcBorders>
                          <w:top w:val="nil" w:sz="6" w:space="0" w:color="auto"/>
                          <w:left w:val="nil" w:sz="6" w:space="0" w:color="auto"/>
                          <w:bottom w:val="single" w:sz="6" w:space="0" w:color="000000"/>
                          <w:right w:val="nil" w:sz="6" w:space="0" w:color="auto"/>
                        </w:tcBorders>
                      </w:tcPr>
                      <w:p>
                        <w:pPr>
                          <w:pStyle w:val="TableParagraph"/>
                          <w:spacing w:line="240" w:lineRule="auto" w:before="2"/>
                          <w:ind w:right="91"/>
                          <w:jc w:val="right"/>
                          <w:rPr>
                            <w:rFonts w:ascii="Arial" w:hAnsi="Arial" w:cs="Arial" w:eastAsia="Arial" w:hint="default"/>
                            <w:sz w:val="12"/>
                            <w:szCs w:val="12"/>
                          </w:rPr>
                        </w:pPr>
                        <w:r>
                          <w:rPr>
                            <w:rFonts w:ascii="Arial"/>
                            <w:w w:val="99"/>
                            <w:sz w:val="12"/>
                          </w:rPr>
                          <w:t>-</w:t>
                        </w:r>
                        <w:r>
                          <w:rPr>
                            <w:rFonts w:ascii="Arial"/>
                            <w:sz w:val="12"/>
                          </w:rPr>
                        </w:r>
                      </w:p>
                    </w:tc>
                    <w:tc>
                      <w:tcPr>
                        <w:tcW w:w="2952" w:type="dxa"/>
                        <w:gridSpan w:val="2"/>
                        <w:tcBorders>
                          <w:top w:val="nil" w:sz="6" w:space="0" w:color="auto"/>
                          <w:left w:val="nil" w:sz="6" w:space="0" w:color="auto"/>
                          <w:bottom w:val="single" w:sz="6" w:space="0" w:color="000000"/>
                          <w:right w:val="nil" w:sz="6" w:space="0" w:color="auto"/>
                        </w:tcBorders>
                      </w:tcPr>
                      <w:p>
                        <w:pPr>
                          <w:pStyle w:val="TableParagraph"/>
                          <w:tabs>
                            <w:tab w:pos="1162" w:val="left" w:leader="none"/>
                            <w:tab w:pos="2142" w:val="left" w:leader="none"/>
                          </w:tabs>
                          <w:spacing w:line="240" w:lineRule="auto" w:before="2"/>
                          <w:ind w:left="260" w:right="0"/>
                          <w:jc w:val="left"/>
                          <w:rPr>
                            <w:rFonts w:ascii="Arial" w:hAnsi="Arial" w:cs="Arial" w:eastAsia="Arial" w:hint="default"/>
                            <w:sz w:val="12"/>
                            <w:szCs w:val="12"/>
                          </w:rPr>
                        </w:pPr>
                        <w:r>
                          <w:rPr>
                            <w:rFonts w:ascii="Arial"/>
                            <w:spacing w:val="-1"/>
                            <w:sz w:val="12"/>
                          </w:rPr>
                          <w:t>265,145,729</w:t>
                          <w:tab/>
                          <w:t>3,406,764,078</w:t>
                          <w:tab/>
                          <w:t>3,671,909,807</w:t>
                        </w:r>
                      </w:p>
                    </w:tc>
                    <w:tc>
                      <w:tcPr>
                        <w:tcW w:w="5428" w:type="dxa"/>
                        <w:gridSpan w:val="4"/>
                        <w:tcBorders>
                          <w:top w:val="nil" w:sz="6" w:space="0" w:color="auto"/>
                          <w:left w:val="nil" w:sz="6" w:space="0" w:color="auto"/>
                          <w:bottom w:val="nil" w:sz="6" w:space="0" w:color="auto"/>
                          <w:right w:val="nil" w:sz="6" w:space="0" w:color="auto"/>
                        </w:tcBorders>
                      </w:tcPr>
                      <w:p>
                        <w:pPr>
                          <w:pStyle w:val="TableParagraph"/>
                          <w:tabs>
                            <w:tab w:pos="1206" w:val="left" w:leader="none"/>
                            <w:tab w:pos="3088" w:val="left" w:leader="none"/>
                            <w:tab w:pos="4191" w:val="left" w:leader="none"/>
                            <w:tab w:pos="5354" w:val="left" w:leader="none"/>
                            <w:tab w:pos="5482" w:val="left" w:leader="none"/>
                          </w:tabs>
                          <w:spacing w:line="240" w:lineRule="auto" w:before="2"/>
                          <w:ind w:left="41" w:right="-55"/>
                          <w:jc w:val="left"/>
                          <w:rPr>
                            <w:rFonts w:ascii="Arial" w:hAnsi="Arial" w:cs="Arial" w:eastAsia="Arial" w:hint="default"/>
                            <w:sz w:val="12"/>
                            <w:szCs w:val="12"/>
                          </w:rPr>
                        </w:pPr>
                        <w:r>
                          <w:rPr>
                            <w:rFonts w:ascii="Arial"/>
                            <w:w w:val="100"/>
                            <w:sz w:val="12"/>
                          </w:rPr>
                        </w:r>
                        <w:r>
                          <w:rPr>
                            <w:rFonts w:ascii="Arial"/>
                            <w:w w:val="100"/>
                            <w:sz w:val="12"/>
                            <w:u w:val="single" w:color="000000"/>
                          </w:rPr>
                          <w:t> </w:t>
                        </w:r>
                        <w:r>
                          <w:rPr>
                            <w:rFonts w:ascii="Arial"/>
                            <w:sz w:val="12"/>
                            <w:u w:val="single" w:color="000000"/>
                          </w:rPr>
                          <w:t>   </w:t>
                        </w:r>
                        <w:r>
                          <w:rPr>
                            <w:rFonts w:ascii="Arial"/>
                            <w:spacing w:val="3"/>
                            <w:sz w:val="12"/>
                            <w:u w:val="single" w:color="000000"/>
                          </w:rPr>
                          <w:t> </w:t>
                        </w:r>
                        <w:r>
                          <w:rPr>
                            <w:rFonts w:ascii="Arial"/>
                            <w:spacing w:val="-1"/>
                            <w:sz w:val="12"/>
                            <w:u w:val="single" w:color="000000"/>
                          </w:rPr>
                          <w:t>1,214,412,465</w:t>
                          <w:tab/>
                          <w:t>(4,886,322,272</w:t>
                        </w:r>
                        <w:r>
                          <w:rPr>
                            <w:rFonts w:ascii="Arial"/>
                            <w:spacing w:val="-1"/>
                            <w:sz w:val="12"/>
                          </w:rPr>
                          <w:t>)</w:t>
                        </w:r>
                        <w:r>
                          <w:rPr>
                            <w:rFonts w:ascii="Arial"/>
                            <w:spacing w:val="-1"/>
                            <w:sz w:val="12"/>
                            <w:u w:val="single" w:color="000000"/>
                          </w:rPr>
                          <w:t> </w:t>
                          <w:tab/>
                        </w:r>
                        <w:r>
                          <w:rPr>
                            <w:rFonts w:ascii="Arial"/>
                            <w:sz w:val="12"/>
                            <w:u w:val="single" w:color="000000"/>
                          </w:rPr>
                          <w:t>-</w:t>
                          <w:tab/>
                          <w:t>-</w:t>
                          <w:tab/>
                          <w:t>-</w:t>
                          <w:tab/>
                        </w:r>
                        <w:r>
                          <w:rPr>
                            <w:rFonts w:ascii="Arial"/>
                            <w:sz w:val="12"/>
                          </w:rPr>
                        </w:r>
                      </w:p>
                    </w:tc>
                  </w:tr>
                </w:tbl>
                <w:p>
                  <w:pPr/>
                </w:p>
              </w:txbxContent>
            </v:textbox>
            <w10:wrap type="none"/>
          </v:shape>
        </w:pict>
      </w:r>
      <w:r>
        <w:rPr>
          <w:rFonts w:ascii="宋体" w:hAnsi="宋体" w:cs="宋体" w:eastAsia="宋体" w:hint="default"/>
          <w:sz w:val="12"/>
          <w:szCs w:val="12"/>
        </w:rPr>
        <w:t>通信服务收入合计 信息与通信技术服务收</w:t>
      </w:r>
    </w:p>
    <w:p>
      <w:pPr>
        <w:spacing w:line="154" w:lineRule="exact" w:before="1"/>
        <w:ind w:left="255" w:right="14965" w:firstLine="135"/>
        <w:jc w:val="left"/>
        <w:rPr>
          <w:rFonts w:ascii="宋体" w:hAnsi="宋体" w:cs="宋体" w:eastAsia="宋体" w:hint="default"/>
          <w:sz w:val="12"/>
          <w:szCs w:val="12"/>
        </w:rPr>
      </w:pPr>
      <w:r>
        <w:rPr>
          <w:rFonts w:ascii="宋体" w:hAnsi="宋体" w:cs="宋体" w:eastAsia="宋体" w:hint="default"/>
          <w:sz w:val="12"/>
          <w:szCs w:val="12"/>
        </w:rPr>
        <w:t>入及其他收入 销售通信产品收入</w:t>
      </w:r>
    </w:p>
    <w:p>
      <w:pPr>
        <w:spacing w:line="154" w:lineRule="exact" w:before="17"/>
        <w:ind w:left="137" w:right="14603" w:firstLine="0"/>
        <w:jc w:val="left"/>
        <w:rPr>
          <w:rFonts w:ascii="宋体" w:hAnsi="宋体" w:cs="宋体" w:eastAsia="宋体" w:hint="default"/>
          <w:sz w:val="12"/>
          <w:szCs w:val="12"/>
        </w:rPr>
      </w:pPr>
      <w:r>
        <w:rPr>
          <w:rFonts w:ascii="宋体" w:hAnsi="宋体" w:cs="宋体" w:eastAsia="宋体" w:hint="default"/>
          <w:sz w:val="12"/>
          <w:szCs w:val="12"/>
        </w:rPr>
        <w:t>从外界顾客取得的收入合计 专业间结算收入</w:t>
      </w:r>
    </w:p>
    <w:p>
      <w:pPr>
        <w:tabs>
          <w:tab w:pos="1601" w:val="left" w:leader="none"/>
          <w:tab w:pos="2699" w:val="left" w:leader="none"/>
          <w:tab w:pos="4746" w:val="left" w:leader="none"/>
          <w:tab w:pos="11782" w:val="left" w:leader="none"/>
          <w:tab w:pos="13969" w:val="left" w:leader="none"/>
          <w:tab w:pos="15064" w:val="left" w:leader="none"/>
          <w:tab w:pos="16056" w:val="left" w:leader="none"/>
        </w:tabs>
        <w:spacing w:before="2"/>
        <w:ind w:left="137" w:right="141" w:firstLine="0"/>
        <w:jc w:val="left"/>
        <w:rPr>
          <w:rFonts w:ascii="Arial" w:hAnsi="Arial" w:cs="Arial" w:eastAsia="Arial" w:hint="default"/>
          <w:sz w:val="12"/>
          <w:szCs w:val="12"/>
        </w:rPr>
      </w:pPr>
      <w:r>
        <w:rPr>
          <w:rFonts w:ascii="宋体" w:hAnsi="宋体" w:cs="宋体" w:eastAsia="宋体" w:hint="default"/>
          <w:position w:val="1"/>
          <w:sz w:val="12"/>
          <w:szCs w:val="12"/>
        </w:rPr>
        <w:t>营业收入合计</w:t>
        <w:tab/>
      </w:r>
      <w:r>
        <w:rPr>
          <w:rFonts w:ascii="Arial" w:hAnsi="Arial" w:cs="Arial" w:eastAsia="Arial" w:hint="default"/>
          <w:sz w:val="12"/>
          <w:szCs w:val="12"/>
        </w:rPr>
      </w:r>
      <w:r>
        <w:rPr>
          <w:rFonts w:ascii="Arial" w:hAnsi="Arial" w:cs="Arial" w:eastAsia="Arial" w:hint="default"/>
          <w:sz w:val="12"/>
          <w:szCs w:val="12"/>
          <w:u w:val="single" w:color="000000"/>
        </w:rPr>
        <w:t> </w:t>
      </w:r>
      <w:r>
        <w:rPr>
          <w:rFonts w:ascii="Arial" w:hAnsi="Arial" w:cs="Arial" w:eastAsia="Arial" w:hint="default"/>
          <w:spacing w:val="-1"/>
          <w:sz w:val="12"/>
          <w:szCs w:val="12"/>
          <w:u w:val="single" w:color="000000"/>
        </w:rPr>
        <w:t>74,067,394,975</w:t>
        <w:tab/>
        <w:t>88,054,425,231</w:t>
      </w:r>
      <w:r>
        <w:rPr>
          <w:rFonts w:ascii="Arial" w:hAnsi="Arial" w:cs="Arial" w:eastAsia="Arial" w:hint="default"/>
          <w:sz w:val="12"/>
          <w:szCs w:val="12"/>
          <w:u w:val="single" w:color="000000"/>
        </w:rPr>
        <w:t>  </w:t>
      </w:r>
      <w:r>
        <w:rPr>
          <w:rFonts w:ascii="Arial" w:hAnsi="Arial" w:cs="Arial" w:eastAsia="Arial" w:hint="default"/>
          <w:spacing w:val="17"/>
          <w:sz w:val="12"/>
          <w:szCs w:val="12"/>
          <w:u w:val="single" w:color="000000"/>
        </w:rPr>
        <w:t> </w:t>
      </w:r>
      <w:r>
        <w:rPr>
          <w:rFonts w:ascii="Arial" w:hAnsi="Arial" w:cs="Arial" w:eastAsia="Arial" w:hint="default"/>
          <w:spacing w:val="-1"/>
          <w:sz w:val="12"/>
          <w:szCs w:val="12"/>
          <w:u w:val="single" w:color="000000"/>
        </w:rPr>
        <w:t>162,121,820,206</w:t>
        <w:tab/>
        <w:t>2,290,238,849</w:t>
      </w:r>
      <w:r>
        <w:rPr>
          <w:rFonts w:ascii="Arial" w:hAnsi="Arial" w:cs="Arial" w:eastAsia="Arial" w:hint="default"/>
          <w:sz w:val="12"/>
          <w:szCs w:val="12"/>
          <w:u w:val="single" w:color="000000"/>
        </w:rPr>
        <w:t>     </w:t>
      </w:r>
      <w:r>
        <w:rPr>
          <w:rFonts w:ascii="Arial" w:hAnsi="Arial" w:cs="Arial" w:eastAsia="Arial" w:hint="default"/>
          <w:spacing w:val="-1"/>
          <w:sz w:val="12"/>
          <w:szCs w:val="12"/>
          <w:u w:val="single" w:color="000000"/>
        </w:rPr>
        <w:t>(6,043,239,522)</w:t>
      </w:r>
      <w:r>
        <w:rPr>
          <w:rFonts w:ascii="Arial" w:hAnsi="Arial" w:cs="Arial" w:eastAsia="Arial" w:hint="default"/>
          <w:sz w:val="12"/>
          <w:szCs w:val="12"/>
          <w:u w:val="single" w:color="000000"/>
        </w:rPr>
        <w:t>    </w:t>
      </w:r>
      <w:r>
        <w:rPr>
          <w:rFonts w:ascii="Arial" w:hAnsi="Arial" w:cs="Arial" w:eastAsia="Arial" w:hint="default"/>
          <w:spacing w:val="-1"/>
          <w:sz w:val="12"/>
          <w:szCs w:val="12"/>
          <w:u w:val="single" w:color="000000"/>
        </w:rPr>
        <w:t>158,368,819,533</w:t>
      </w:r>
      <w:r>
        <w:rPr>
          <w:rFonts w:ascii="Arial" w:hAnsi="Arial" w:cs="Arial" w:eastAsia="Arial" w:hint="default"/>
          <w:sz w:val="12"/>
          <w:szCs w:val="12"/>
          <w:u w:val="single" w:color="000000"/>
        </w:rPr>
        <w:t>      </w:t>
      </w:r>
      <w:r>
        <w:rPr>
          <w:rFonts w:ascii="Arial" w:hAnsi="Arial" w:cs="Arial" w:eastAsia="Arial" w:hint="default"/>
          <w:spacing w:val="-1"/>
          <w:sz w:val="12"/>
          <w:szCs w:val="12"/>
          <w:u w:val="single" w:color="000000"/>
        </w:rPr>
        <w:t>66,792,906,437</w:t>
      </w:r>
      <w:r>
        <w:rPr>
          <w:rFonts w:ascii="Arial" w:hAnsi="Arial" w:cs="Arial" w:eastAsia="Arial" w:hint="default"/>
          <w:sz w:val="12"/>
          <w:szCs w:val="12"/>
          <w:u w:val="single" w:color="000000"/>
        </w:rPr>
        <w:t>   </w:t>
      </w:r>
      <w:r>
        <w:rPr>
          <w:rFonts w:ascii="Arial" w:hAnsi="Arial" w:cs="Arial" w:eastAsia="Arial" w:hint="default"/>
          <w:spacing w:val="-1"/>
          <w:sz w:val="12"/>
          <w:szCs w:val="12"/>
          <w:u w:val="single" w:color="000000"/>
        </w:rPr>
        <w:t>100,168,440,208</w:t>
      </w:r>
      <w:r>
        <w:rPr>
          <w:rFonts w:ascii="Arial" w:hAnsi="Arial" w:cs="Arial" w:eastAsia="Arial" w:hint="default"/>
          <w:sz w:val="12"/>
          <w:szCs w:val="12"/>
          <w:u w:val="single" w:color="000000"/>
        </w:rPr>
        <w:t>   </w:t>
      </w:r>
      <w:r>
        <w:rPr>
          <w:rFonts w:ascii="Arial" w:hAnsi="Arial" w:cs="Arial" w:eastAsia="Arial" w:hint="default"/>
          <w:spacing w:val="-1"/>
          <w:sz w:val="12"/>
          <w:szCs w:val="12"/>
          <w:u w:val="single" w:color="000000"/>
        </w:rPr>
        <w:t>166,961,346,645</w:t>
      </w:r>
      <w:r>
        <w:rPr>
          <w:rFonts w:ascii="Arial" w:hAnsi="Arial" w:cs="Arial" w:eastAsia="Arial" w:hint="default"/>
          <w:sz w:val="12"/>
          <w:szCs w:val="12"/>
          <w:u w:val="single" w:color="000000"/>
        </w:rPr>
        <w:t>      </w:t>
      </w:r>
      <w:r>
        <w:rPr>
          <w:rFonts w:ascii="Arial" w:hAnsi="Arial" w:cs="Arial" w:eastAsia="Arial" w:hint="default"/>
          <w:spacing w:val="19"/>
          <w:sz w:val="12"/>
          <w:szCs w:val="12"/>
          <w:u w:val="single" w:color="000000"/>
        </w:rPr>
        <w:t> </w:t>
      </w:r>
      <w:r>
        <w:rPr>
          <w:rFonts w:ascii="Arial" w:hAnsi="Arial" w:cs="Arial" w:eastAsia="Arial" w:hint="default"/>
          <w:spacing w:val="19"/>
          <w:sz w:val="12"/>
          <w:szCs w:val="12"/>
        </w:rPr>
      </w:r>
      <w:r>
        <w:rPr>
          <w:rFonts w:ascii="Arial" w:hAnsi="Arial" w:cs="Arial" w:eastAsia="Arial" w:hint="default"/>
          <w:spacing w:val="19"/>
          <w:sz w:val="12"/>
          <w:szCs w:val="12"/>
          <w:u w:val="single" w:color="000000"/>
        </w:rPr>
        <w:t> </w:t>
      </w:r>
      <w:r>
        <w:rPr>
          <w:rFonts w:ascii="Arial" w:hAnsi="Arial" w:cs="Arial" w:eastAsia="Arial" w:hint="default"/>
          <w:spacing w:val="-1"/>
          <w:sz w:val="12"/>
          <w:szCs w:val="12"/>
          <w:u w:val="single" w:color="000000"/>
        </w:rPr>
        <w:t>2,010,288,434</w:t>
        <w:tab/>
        <w:t>(4,886,322,272)</w:t>
      </w:r>
      <w:r>
        <w:rPr>
          <w:rFonts w:ascii="Arial" w:hAnsi="Arial" w:cs="Arial" w:eastAsia="Arial" w:hint="default"/>
          <w:sz w:val="12"/>
          <w:szCs w:val="12"/>
          <w:u w:val="single" w:color="000000"/>
        </w:rPr>
        <w:t>    </w:t>
      </w:r>
      <w:r>
        <w:rPr>
          <w:rFonts w:ascii="Arial" w:hAnsi="Arial" w:cs="Arial" w:eastAsia="Arial" w:hint="default"/>
          <w:spacing w:val="22"/>
          <w:sz w:val="12"/>
          <w:szCs w:val="12"/>
          <w:u w:val="single" w:color="000000"/>
        </w:rPr>
        <w:t> </w:t>
      </w:r>
      <w:r>
        <w:rPr>
          <w:rFonts w:ascii="Arial" w:hAnsi="Arial" w:cs="Arial" w:eastAsia="Arial" w:hint="default"/>
          <w:spacing w:val="22"/>
          <w:sz w:val="12"/>
          <w:szCs w:val="12"/>
        </w:rPr>
      </w:r>
      <w:r>
        <w:rPr>
          <w:rFonts w:ascii="Arial" w:hAnsi="Arial" w:cs="Arial" w:eastAsia="Arial" w:hint="default"/>
          <w:spacing w:val="22"/>
          <w:sz w:val="12"/>
          <w:szCs w:val="12"/>
          <w:u w:val="single" w:color="000000"/>
        </w:rPr>
        <w:t> </w:t>
      </w:r>
      <w:r>
        <w:rPr>
          <w:rFonts w:ascii="Arial" w:hAnsi="Arial" w:cs="Arial" w:eastAsia="Arial" w:hint="default"/>
          <w:spacing w:val="-1"/>
          <w:sz w:val="12"/>
          <w:szCs w:val="12"/>
          <w:u w:val="single" w:color="000000"/>
        </w:rPr>
        <w:t>164,085,312,807</w:t>
        <w:tab/>
        <w:t>22,361,812,692</w:t>
        <w:tab/>
        <w:t>186,447,125,499</w:t>
        <w:tab/>
      </w:r>
      <w:r>
        <w:rPr>
          <w:rFonts w:ascii="Arial" w:hAnsi="Arial" w:cs="Arial" w:eastAsia="Arial" w:hint="default"/>
          <w:spacing w:val="-1"/>
          <w:sz w:val="12"/>
          <w:szCs w:val="12"/>
        </w:rPr>
      </w:r>
    </w:p>
    <w:p>
      <w:pPr>
        <w:spacing w:line="240" w:lineRule="auto" w:before="11"/>
        <w:rPr>
          <w:rFonts w:ascii="Arial" w:hAnsi="Arial" w:cs="Arial" w:eastAsia="Arial" w:hint="default"/>
          <w:sz w:val="14"/>
          <w:szCs w:val="14"/>
        </w:rPr>
      </w:pPr>
    </w:p>
    <w:p>
      <w:pPr>
        <w:tabs>
          <w:tab w:pos="11822" w:val="left" w:leader="none"/>
        </w:tabs>
        <w:spacing w:before="0"/>
        <w:ind w:left="7675" w:right="141" w:firstLine="0"/>
        <w:jc w:val="left"/>
        <w:rPr>
          <w:rFonts w:ascii="Arial" w:hAnsi="Arial" w:cs="Arial" w:eastAsia="Arial" w:hint="default"/>
          <w:sz w:val="12"/>
          <w:szCs w:val="12"/>
        </w:rPr>
      </w:pPr>
      <w:r>
        <w:rPr/>
        <w:pict>
          <v:shape style="position:absolute;margin-left:14.1405pt;margin-top:-5.188315pt;width:375.05pt;height:19.7pt;mso-position-horizontal-relative:page;mso-position-vertical-relative:paragraph;z-index:79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488"/>
                    <w:gridCol w:w="1004"/>
                    <w:gridCol w:w="3031"/>
                    <w:gridCol w:w="900"/>
                    <w:gridCol w:w="1078"/>
                  </w:tblGrid>
                  <w:tr>
                    <w:trPr>
                      <w:trHeight w:val="247" w:hRule="exact"/>
                    </w:trPr>
                    <w:tc>
                      <w:tcPr>
                        <w:tcW w:w="1488"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宋体" w:hAnsi="宋体" w:cs="宋体" w:eastAsia="宋体" w:hint="default"/>
                            <w:sz w:val="12"/>
                            <w:szCs w:val="12"/>
                          </w:rPr>
                        </w:pPr>
                        <w:r>
                          <w:rPr>
                            <w:rFonts w:ascii="宋体" w:hAnsi="宋体" w:cs="宋体" w:eastAsia="宋体" w:hint="default"/>
                            <w:sz w:val="12"/>
                            <w:szCs w:val="12"/>
                          </w:rPr>
                          <w:t>减：营业成本</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63"/>
                          <w:jc w:val="right"/>
                          <w:rPr>
                            <w:rFonts w:ascii="Arial" w:hAnsi="Arial" w:cs="Arial" w:eastAsia="Arial" w:hint="default"/>
                            <w:sz w:val="12"/>
                            <w:szCs w:val="12"/>
                          </w:rPr>
                        </w:pPr>
                        <w:r>
                          <w:rPr>
                            <w:rFonts w:ascii="Arial"/>
                            <w:spacing w:val="-1"/>
                            <w:sz w:val="12"/>
                          </w:rPr>
                          <w:t>(35,717,986,185)</w:t>
                        </w:r>
                      </w:p>
                    </w:tc>
                    <w:tc>
                      <w:tcPr>
                        <w:tcW w:w="3031"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69"/>
                          <w:jc w:val="right"/>
                          <w:rPr>
                            <w:rFonts w:ascii="Arial" w:hAnsi="Arial" w:cs="Arial" w:eastAsia="Arial" w:hint="default"/>
                            <w:sz w:val="12"/>
                            <w:szCs w:val="12"/>
                          </w:rPr>
                        </w:pPr>
                        <w:r>
                          <w:rPr>
                            <w:rFonts w:ascii="Arial"/>
                            <w:sz w:val="12"/>
                          </w:rPr>
                          <w:t>(41,645,656,419)  (77,363,642,604)</w:t>
                        </w:r>
                        <w:r>
                          <w:rPr>
                            <w:rFonts w:ascii="Arial"/>
                            <w:spacing w:val="33"/>
                            <w:sz w:val="12"/>
                          </w:rPr>
                          <w:t> </w:t>
                        </w:r>
                        <w:r>
                          <w:rPr>
                            <w:rFonts w:ascii="Arial"/>
                            <w:sz w:val="12"/>
                          </w:rPr>
                          <w:t>(33,159,061,203)</w:t>
                        </w:r>
                      </w:p>
                    </w:tc>
                    <w:tc>
                      <w:tcPr>
                        <w:tcW w:w="900"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58"/>
                          <w:jc w:val="right"/>
                          <w:rPr>
                            <w:rFonts w:ascii="Arial" w:hAnsi="Arial" w:cs="Arial" w:eastAsia="Arial" w:hint="default"/>
                            <w:sz w:val="12"/>
                            <w:szCs w:val="12"/>
                          </w:rPr>
                        </w:pPr>
                        <w:r>
                          <w:rPr>
                            <w:rFonts w:ascii="Arial"/>
                            <w:spacing w:val="-1"/>
                            <w:sz w:val="12"/>
                          </w:rPr>
                          <w:t>4,868,938,918</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03"/>
                          <w:ind w:right="33"/>
                          <w:jc w:val="right"/>
                          <w:rPr>
                            <w:rFonts w:ascii="Arial" w:hAnsi="Arial" w:cs="Arial" w:eastAsia="Arial" w:hint="default"/>
                            <w:sz w:val="12"/>
                            <w:szCs w:val="12"/>
                          </w:rPr>
                        </w:pPr>
                        <w:r>
                          <w:rPr>
                            <w:rFonts w:ascii="Arial"/>
                            <w:spacing w:val="-1"/>
                            <w:sz w:val="12"/>
                          </w:rPr>
                          <w:t>(105,653,764,889)</w:t>
                        </w:r>
                      </w:p>
                    </w:tc>
                  </w:tr>
                  <w:tr>
                    <w:trPr>
                      <w:trHeight w:val="147" w:hRule="exact"/>
                    </w:trPr>
                    <w:tc>
                      <w:tcPr>
                        <w:tcW w:w="1488" w:type="dxa"/>
                        <w:tcBorders>
                          <w:top w:val="nil" w:sz="6" w:space="0" w:color="auto"/>
                          <w:left w:val="nil" w:sz="6" w:space="0" w:color="auto"/>
                          <w:bottom w:val="nil" w:sz="6" w:space="0" w:color="auto"/>
                          <w:right w:val="nil" w:sz="6" w:space="0" w:color="auto"/>
                        </w:tcBorders>
                      </w:tcPr>
                      <w:p>
                        <w:pPr>
                          <w:pStyle w:val="TableParagraph"/>
                          <w:spacing w:line="128" w:lineRule="exact"/>
                          <w:ind w:left="35" w:right="0"/>
                          <w:jc w:val="left"/>
                          <w:rPr>
                            <w:rFonts w:ascii="宋体" w:hAnsi="宋体" w:cs="宋体" w:eastAsia="宋体" w:hint="default"/>
                            <w:sz w:val="12"/>
                            <w:szCs w:val="12"/>
                          </w:rPr>
                        </w:pPr>
                        <w:r>
                          <w:rPr>
                            <w:rFonts w:ascii="宋体" w:hAnsi="宋体" w:cs="宋体" w:eastAsia="宋体" w:hint="default"/>
                            <w:sz w:val="12"/>
                            <w:szCs w:val="12"/>
                          </w:rPr>
                          <w:t>其中：网络运行及支撑成本</w:t>
                        </w:r>
                      </w:p>
                    </w:tc>
                    <w:tc>
                      <w:tcPr>
                        <w:tcW w:w="1004"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2"/>
                          <w:jc w:val="right"/>
                          <w:rPr>
                            <w:rFonts w:ascii="Arial" w:hAnsi="Arial" w:cs="Arial" w:eastAsia="Arial" w:hint="default"/>
                            <w:sz w:val="12"/>
                            <w:szCs w:val="12"/>
                          </w:rPr>
                        </w:pPr>
                        <w:r>
                          <w:rPr>
                            <w:rFonts w:ascii="Arial"/>
                            <w:spacing w:val="-1"/>
                            <w:sz w:val="12"/>
                          </w:rPr>
                          <w:t>(2,495,989,090)</w:t>
                        </w:r>
                      </w:p>
                    </w:tc>
                    <w:tc>
                      <w:tcPr>
                        <w:tcW w:w="303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69"/>
                          <w:jc w:val="right"/>
                          <w:rPr>
                            <w:rFonts w:ascii="Arial" w:hAnsi="Arial" w:cs="Arial" w:eastAsia="Arial" w:hint="default"/>
                            <w:sz w:val="12"/>
                            <w:szCs w:val="12"/>
                          </w:rPr>
                        </w:pPr>
                        <w:r>
                          <w:rPr>
                            <w:rFonts w:ascii="Arial"/>
                            <w:sz w:val="12"/>
                          </w:rPr>
                          <w:t>(7,779,799,845)  (10,275,788,935)  (13,471,463,170)</w:t>
                        </w:r>
                      </w:p>
                    </w:tc>
                    <w:tc>
                      <w:tcPr>
                        <w:tcW w:w="90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58"/>
                          <w:jc w:val="right"/>
                          <w:rPr>
                            <w:rFonts w:ascii="Arial" w:hAnsi="Arial" w:cs="Arial" w:eastAsia="Arial" w:hint="default"/>
                            <w:sz w:val="12"/>
                            <w:szCs w:val="12"/>
                          </w:rPr>
                        </w:pPr>
                        <w:r>
                          <w:rPr>
                            <w:rFonts w:ascii="Arial"/>
                            <w:spacing w:val="-1"/>
                            <w:sz w:val="12"/>
                          </w:rPr>
                          <w:t>19,449,063</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33"/>
                          <w:jc w:val="right"/>
                          <w:rPr>
                            <w:rFonts w:ascii="Arial" w:hAnsi="Arial" w:cs="Arial" w:eastAsia="Arial" w:hint="default"/>
                            <w:sz w:val="12"/>
                            <w:szCs w:val="12"/>
                          </w:rPr>
                        </w:pPr>
                        <w:r>
                          <w:rPr>
                            <w:rFonts w:ascii="Arial"/>
                            <w:spacing w:val="-1"/>
                            <w:sz w:val="12"/>
                          </w:rPr>
                          <w:t>(23,727,803,042)</w:t>
                        </w:r>
                      </w:p>
                    </w:tc>
                  </w:tr>
                </w:tbl>
                <w:p>
                  <w:pPr/>
                </w:p>
              </w:txbxContent>
            </v:textbox>
            <w10:wrap type="none"/>
          </v:shape>
        </w:pict>
      </w:r>
      <w:r>
        <w:rPr>
          <w:rFonts w:ascii="Arial"/>
          <w:sz w:val="12"/>
        </w:rPr>
        <w:t>(32,095,077,342)  (44,509,023,138)  (76,604,100,480)  </w:t>
      </w:r>
      <w:r>
        <w:rPr>
          <w:rFonts w:ascii="Arial"/>
          <w:spacing w:val="5"/>
          <w:sz w:val="12"/>
        </w:rPr>
        <w:t> </w:t>
      </w:r>
      <w:r>
        <w:rPr>
          <w:rFonts w:ascii="Arial"/>
          <w:sz w:val="12"/>
        </w:rPr>
        <w:t>(29,432,311,466)</w:t>
        <w:tab/>
        <w:t>3,955,602,415     (102,080,809,531)     (13,785,639,400)    </w:t>
      </w:r>
      <w:r>
        <w:rPr>
          <w:rFonts w:ascii="Arial"/>
          <w:spacing w:val="16"/>
          <w:sz w:val="12"/>
        </w:rPr>
        <w:t> </w:t>
      </w:r>
      <w:r>
        <w:rPr>
          <w:rFonts w:ascii="Arial"/>
          <w:sz w:val="12"/>
        </w:rPr>
        <w:t>(115,866,448,931)</w:t>
      </w:r>
    </w:p>
    <w:p>
      <w:pPr>
        <w:tabs>
          <w:tab w:pos="11922" w:val="left" w:leader="none"/>
          <w:tab w:pos="12826" w:val="left" w:leader="none"/>
          <w:tab w:pos="13995" w:val="left" w:leader="none"/>
          <w:tab w:pos="15091" w:val="left" w:leader="none"/>
        </w:tabs>
        <w:spacing w:line="128" w:lineRule="exact" w:before="17"/>
        <w:ind w:left="7741" w:right="141" w:firstLine="0"/>
        <w:jc w:val="left"/>
        <w:rPr>
          <w:rFonts w:ascii="Arial" w:hAnsi="Arial" w:cs="Arial" w:eastAsia="Arial" w:hint="default"/>
          <w:sz w:val="12"/>
          <w:szCs w:val="12"/>
        </w:rPr>
      </w:pPr>
      <w:r>
        <w:rPr>
          <w:rFonts w:ascii="Arial"/>
          <w:spacing w:val="-1"/>
          <w:sz w:val="12"/>
        </w:rPr>
        <w:t>(2,278,684,162)</w:t>
      </w:r>
      <w:r>
        <w:rPr>
          <w:rFonts w:ascii="Arial"/>
          <w:sz w:val="12"/>
        </w:rPr>
        <w:t>     </w:t>
      </w:r>
      <w:r>
        <w:rPr>
          <w:rFonts w:ascii="Arial"/>
          <w:spacing w:val="-1"/>
          <w:sz w:val="12"/>
        </w:rPr>
        <w:t>(5,757,388,852)</w:t>
      </w:r>
      <w:r>
        <w:rPr>
          <w:rFonts w:ascii="Arial"/>
          <w:sz w:val="12"/>
        </w:rPr>
        <w:t>     </w:t>
      </w:r>
      <w:r>
        <w:rPr>
          <w:rFonts w:ascii="Arial"/>
          <w:spacing w:val="-1"/>
          <w:sz w:val="12"/>
        </w:rPr>
        <w:t>(8,036,073,014)</w:t>
      </w:r>
      <w:r>
        <w:rPr>
          <w:rFonts w:ascii="Arial"/>
          <w:sz w:val="12"/>
        </w:rPr>
        <w:t>  </w:t>
      </w:r>
      <w:r>
        <w:rPr>
          <w:rFonts w:ascii="Arial"/>
          <w:spacing w:val="1"/>
          <w:sz w:val="12"/>
        </w:rPr>
        <w:t> </w:t>
      </w:r>
      <w:r>
        <w:rPr>
          <w:rFonts w:ascii="Arial"/>
          <w:spacing w:val="-1"/>
          <w:sz w:val="12"/>
        </w:rPr>
        <w:t>(10,876,972,151)</w:t>
        <w:tab/>
        <w:t>176,737,886</w:t>
        <w:tab/>
        <w:t>(18,736,307,279)</w:t>
        <w:tab/>
        <w:t>(7,776,560,007)</w:t>
        <w:tab/>
        <w:t>(26,512,867,286)</w:t>
      </w:r>
    </w:p>
    <w:p>
      <w:pPr>
        <w:tabs>
          <w:tab w:pos="2453" w:val="left" w:leader="none"/>
          <w:tab w:pos="3495" w:val="left" w:leader="none"/>
          <w:tab w:pos="4494" w:val="left" w:leader="none"/>
          <w:tab w:pos="5797" w:val="left" w:leader="none"/>
          <w:tab w:pos="8511" w:val="left" w:leader="none"/>
          <w:tab w:pos="9513" w:val="left" w:leader="none"/>
          <w:tab w:pos="10493" w:val="left" w:leader="none"/>
          <w:tab w:pos="11921" w:val="left" w:leader="none"/>
          <w:tab w:pos="12825" w:val="left" w:leader="none"/>
          <w:tab w:pos="14095" w:val="left" w:leader="none"/>
          <w:tab w:pos="15090" w:val="left" w:leader="none"/>
        </w:tabs>
        <w:spacing w:line="156" w:lineRule="exact" w:before="0"/>
        <w:ind w:left="501" w:right="141" w:firstLine="0"/>
        <w:jc w:val="left"/>
        <w:rPr>
          <w:rFonts w:ascii="Arial" w:hAnsi="Arial" w:cs="Arial" w:eastAsia="Arial" w:hint="default"/>
          <w:sz w:val="12"/>
          <w:szCs w:val="12"/>
        </w:rPr>
      </w:pPr>
      <w:r>
        <w:rPr>
          <w:rFonts w:ascii="宋体" w:hAnsi="宋体" w:cs="宋体" w:eastAsia="宋体" w:hint="default"/>
          <w:position w:val="1"/>
          <w:sz w:val="12"/>
          <w:szCs w:val="12"/>
        </w:rPr>
        <w:t>人工成本</w:t>
        <w:tab/>
      </w:r>
      <w:r>
        <w:rPr>
          <w:rFonts w:ascii="Arial" w:hAnsi="Arial" w:cs="Arial" w:eastAsia="Arial" w:hint="default"/>
          <w:sz w:val="12"/>
          <w:szCs w:val="12"/>
        </w:rPr>
        <w:t>-</w:t>
        <w:tab/>
        <w:t>-</w:t>
        <w:tab/>
        <w:t>-  </w:t>
      </w:r>
      <w:r>
        <w:rPr>
          <w:rFonts w:ascii="Arial" w:hAnsi="Arial" w:cs="Arial" w:eastAsia="Arial" w:hint="default"/>
          <w:spacing w:val="15"/>
          <w:sz w:val="12"/>
          <w:szCs w:val="12"/>
        </w:rPr>
        <w:t> </w:t>
      </w:r>
      <w:r>
        <w:rPr>
          <w:rFonts w:ascii="Arial" w:hAnsi="Arial" w:cs="Arial" w:eastAsia="Arial" w:hint="default"/>
          <w:spacing w:val="-1"/>
          <w:sz w:val="12"/>
          <w:szCs w:val="12"/>
        </w:rPr>
        <w:t>(15,432,251,881)</w:t>
        <w:tab/>
        <w:t>173,142,124</w:t>
      </w:r>
      <w:r>
        <w:rPr>
          <w:rFonts w:ascii="Arial" w:hAnsi="Arial" w:cs="Arial" w:eastAsia="Arial" w:hint="default"/>
          <w:sz w:val="12"/>
          <w:szCs w:val="12"/>
        </w:rPr>
        <w:t>     </w:t>
      </w:r>
      <w:r>
        <w:rPr>
          <w:rFonts w:ascii="Arial" w:hAnsi="Arial" w:cs="Arial" w:eastAsia="Arial" w:hint="default"/>
          <w:spacing w:val="6"/>
          <w:sz w:val="12"/>
          <w:szCs w:val="12"/>
        </w:rPr>
        <w:t> </w:t>
      </w:r>
      <w:r>
        <w:rPr>
          <w:rFonts w:ascii="Arial" w:hAnsi="Arial" w:cs="Arial" w:eastAsia="Arial" w:hint="default"/>
          <w:spacing w:val="-1"/>
          <w:sz w:val="12"/>
          <w:szCs w:val="12"/>
        </w:rPr>
        <w:t>(15,259,109,757)</w:t>
        <w:tab/>
      </w:r>
      <w:r>
        <w:rPr>
          <w:rFonts w:ascii="Arial" w:hAnsi="Arial" w:cs="Arial" w:eastAsia="Arial" w:hint="default"/>
          <w:sz w:val="12"/>
          <w:szCs w:val="12"/>
        </w:rPr>
        <w:t>-</w:t>
        <w:tab/>
        <w:t>-</w:t>
        <w:tab/>
        <w:t>-   </w:t>
      </w:r>
      <w:r>
        <w:rPr>
          <w:rFonts w:ascii="Arial" w:hAnsi="Arial" w:cs="Arial" w:eastAsia="Arial" w:hint="default"/>
          <w:spacing w:val="22"/>
          <w:sz w:val="12"/>
          <w:szCs w:val="12"/>
        </w:rPr>
        <w:t> </w:t>
      </w:r>
      <w:r>
        <w:rPr>
          <w:rFonts w:ascii="Arial" w:hAnsi="Arial" w:cs="Arial" w:eastAsia="Arial" w:hint="default"/>
          <w:spacing w:val="-1"/>
          <w:sz w:val="12"/>
          <w:szCs w:val="12"/>
        </w:rPr>
        <w:t>(14,295,630,896)</w:t>
        <w:tab/>
        <w:t>209,184,333</w:t>
        <w:tab/>
        <w:t>(14,086,446,563)</w:t>
        <w:tab/>
        <w:t>(921,542,782)</w:t>
        <w:tab/>
        <w:t>(15,007,989,345)</w:t>
      </w:r>
    </w:p>
    <w:p>
      <w:pPr>
        <w:tabs>
          <w:tab w:pos="1614" w:val="left" w:leader="none"/>
          <w:tab w:pos="5474" w:val="left" w:leader="none"/>
          <w:tab w:pos="11516" w:val="left" w:leader="none"/>
          <w:tab w:pos="11823" w:val="left" w:leader="none"/>
          <w:tab w:pos="12827" w:val="left" w:leader="none"/>
          <w:tab w:pos="13995" w:val="left" w:leader="none"/>
          <w:tab w:pos="15092" w:val="left" w:leader="none"/>
        </w:tabs>
        <w:spacing w:line="155" w:lineRule="exact" w:before="0"/>
        <w:ind w:left="501" w:right="141" w:firstLine="0"/>
        <w:jc w:val="left"/>
        <w:rPr>
          <w:rFonts w:ascii="Arial" w:hAnsi="Arial" w:cs="Arial" w:eastAsia="Arial" w:hint="default"/>
          <w:sz w:val="12"/>
          <w:szCs w:val="12"/>
        </w:rPr>
      </w:pPr>
      <w:r>
        <w:rPr>
          <w:rFonts w:ascii="宋体" w:hAnsi="宋体" w:cs="宋体" w:eastAsia="宋体" w:hint="default"/>
          <w:position w:val="1"/>
          <w:sz w:val="12"/>
          <w:szCs w:val="12"/>
        </w:rPr>
        <w:t>网间结算成本</w:t>
        <w:tab/>
      </w:r>
      <w:r>
        <w:rPr>
          <w:rFonts w:ascii="Arial" w:hAnsi="Arial" w:cs="Arial" w:eastAsia="Arial" w:hint="default"/>
          <w:spacing w:val="-1"/>
          <w:sz w:val="12"/>
          <w:szCs w:val="12"/>
        </w:rPr>
        <w:t>(13,103,981,205)</w:t>
      </w:r>
      <w:r>
        <w:rPr>
          <w:rFonts w:ascii="Arial" w:hAnsi="Arial" w:cs="Arial" w:eastAsia="Arial" w:hint="default"/>
          <w:sz w:val="12"/>
          <w:szCs w:val="12"/>
        </w:rPr>
        <w:t>       </w:t>
      </w:r>
      <w:r>
        <w:rPr>
          <w:rFonts w:ascii="Arial" w:hAnsi="Arial" w:cs="Arial" w:eastAsia="Arial" w:hint="default"/>
          <w:spacing w:val="-1"/>
          <w:sz w:val="12"/>
          <w:szCs w:val="12"/>
        </w:rPr>
        <w:t>(4,291,975,307)</w:t>
      </w:r>
      <w:r>
        <w:rPr>
          <w:rFonts w:ascii="Arial" w:hAnsi="Arial" w:cs="Arial" w:eastAsia="Arial" w:hint="default"/>
          <w:sz w:val="12"/>
          <w:szCs w:val="12"/>
        </w:rPr>
        <w:t> </w:t>
      </w:r>
      <w:r>
        <w:rPr>
          <w:rFonts w:ascii="Arial" w:hAnsi="Arial" w:cs="Arial" w:eastAsia="Arial" w:hint="default"/>
          <w:spacing w:val="12"/>
          <w:sz w:val="12"/>
          <w:szCs w:val="12"/>
        </w:rPr>
        <w:t> </w:t>
      </w:r>
      <w:r>
        <w:rPr>
          <w:rFonts w:ascii="Arial" w:hAnsi="Arial" w:cs="Arial" w:eastAsia="Arial" w:hint="default"/>
          <w:spacing w:val="-1"/>
          <w:sz w:val="12"/>
          <w:szCs w:val="12"/>
        </w:rPr>
        <w:t>(17,395,956,512)</w:t>
        <w:tab/>
      </w:r>
      <w:r>
        <w:rPr>
          <w:rFonts w:ascii="Arial" w:hAnsi="Arial" w:cs="Arial" w:eastAsia="Arial" w:hint="default"/>
          <w:sz w:val="12"/>
          <w:szCs w:val="12"/>
        </w:rPr>
        <w:t>-      </w:t>
      </w:r>
      <w:r>
        <w:rPr>
          <w:rFonts w:ascii="Arial" w:hAnsi="Arial" w:cs="Arial" w:eastAsia="Arial" w:hint="default"/>
          <w:spacing w:val="-1"/>
          <w:sz w:val="12"/>
          <w:szCs w:val="12"/>
        </w:rPr>
        <w:t>4,441,148,614</w:t>
      </w:r>
      <w:r>
        <w:rPr>
          <w:rFonts w:ascii="Arial" w:hAnsi="Arial" w:cs="Arial" w:eastAsia="Arial" w:hint="default"/>
          <w:sz w:val="12"/>
          <w:szCs w:val="12"/>
        </w:rPr>
        <w:t>      </w:t>
      </w:r>
      <w:r>
        <w:rPr>
          <w:rFonts w:ascii="Arial" w:hAnsi="Arial" w:cs="Arial" w:eastAsia="Arial" w:hint="default"/>
          <w:spacing w:val="-1"/>
          <w:sz w:val="12"/>
          <w:szCs w:val="12"/>
        </w:rPr>
        <w:t>(12,954,807,898)</w:t>
      </w:r>
      <w:r>
        <w:rPr>
          <w:rFonts w:ascii="Arial" w:hAnsi="Arial" w:cs="Arial" w:eastAsia="Arial" w:hint="default"/>
          <w:sz w:val="12"/>
          <w:szCs w:val="12"/>
        </w:rPr>
        <w:t>   </w:t>
      </w:r>
      <w:r>
        <w:rPr>
          <w:rFonts w:ascii="Arial" w:hAnsi="Arial" w:cs="Arial" w:eastAsia="Arial" w:hint="default"/>
          <w:spacing w:val="-1"/>
          <w:sz w:val="12"/>
          <w:szCs w:val="12"/>
        </w:rPr>
        <w:t>(10,752,764,544)</w:t>
      </w:r>
      <w:r>
        <w:rPr>
          <w:rFonts w:ascii="Arial" w:hAnsi="Arial" w:cs="Arial" w:eastAsia="Arial" w:hint="default"/>
          <w:sz w:val="12"/>
          <w:szCs w:val="12"/>
        </w:rPr>
        <w:t>    </w:t>
      </w:r>
      <w:r>
        <w:rPr>
          <w:rFonts w:ascii="Arial" w:hAnsi="Arial" w:cs="Arial" w:eastAsia="Arial" w:hint="default"/>
          <w:spacing w:val="-1"/>
          <w:sz w:val="12"/>
          <w:szCs w:val="12"/>
        </w:rPr>
        <w:t>(5,775,823,697)</w:t>
      </w:r>
      <w:r>
        <w:rPr>
          <w:rFonts w:ascii="Arial" w:hAnsi="Arial" w:cs="Arial" w:eastAsia="Arial" w:hint="default"/>
          <w:sz w:val="12"/>
          <w:szCs w:val="12"/>
        </w:rPr>
        <w:t>  </w:t>
      </w:r>
      <w:r>
        <w:rPr>
          <w:rFonts w:ascii="Arial" w:hAnsi="Arial" w:cs="Arial" w:eastAsia="Arial" w:hint="default"/>
          <w:spacing w:val="15"/>
          <w:sz w:val="12"/>
          <w:szCs w:val="12"/>
        </w:rPr>
        <w:t> </w:t>
      </w:r>
      <w:r>
        <w:rPr>
          <w:rFonts w:ascii="Arial" w:hAnsi="Arial" w:cs="Arial" w:eastAsia="Arial" w:hint="default"/>
          <w:spacing w:val="-1"/>
          <w:sz w:val="12"/>
          <w:szCs w:val="12"/>
        </w:rPr>
        <w:t>(16,528,588,241)</w:t>
        <w:tab/>
      </w:r>
      <w:r>
        <w:rPr>
          <w:rFonts w:ascii="Arial" w:hAnsi="Arial" w:cs="Arial" w:eastAsia="Arial" w:hint="default"/>
          <w:sz w:val="12"/>
          <w:szCs w:val="12"/>
        </w:rPr>
        <w:t>-</w:t>
        <w:tab/>
      </w:r>
      <w:r>
        <w:rPr>
          <w:rFonts w:ascii="Arial" w:hAnsi="Arial" w:cs="Arial" w:eastAsia="Arial" w:hint="default"/>
          <w:spacing w:val="-1"/>
          <w:sz w:val="12"/>
          <w:szCs w:val="12"/>
        </w:rPr>
        <w:t>3,490,390,462</w:t>
        <w:tab/>
        <w:t>(13,038,197,779)</w:t>
        <w:tab/>
        <w:t>(1,661,088,910)</w:t>
        <w:tab/>
        <w:t>(14,699,286,689)</w:t>
      </w:r>
    </w:p>
    <w:p>
      <w:pPr>
        <w:tabs>
          <w:tab w:pos="1680" w:val="left" w:leader="none"/>
          <w:tab w:pos="2826" w:val="left" w:leader="none"/>
          <w:tab w:pos="5474" w:val="left" w:leader="none"/>
          <w:tab w:pos="6426" w:val="left" w:leader="none"/>
          <w:tab w:pos="6720" w:val="left" w:leader="none"/>
          <w:tab w:pos="7843" w:val="left" w:leader="none"/>
          <w:tab w:pos="10979" w:val="left" w:leader="none"/>
          <w:tab w:pos="12550" w:val="left" w:leader="none"/>
          <w:tab w:pos="12892" w:val="left" w:leader="none"/>
          <w:tab w:pos="14008" w:val="left" w:leader="none"/>
          <w:tab w:pos="15159" w:val="left" w:leader="none"/>
        </w:tabs>
        <w:spacing w:line="155" w:lineRule="exact" w:before="0"/>
        <w:ind w:left="501" w:right="141" w:firstLine="0"/>
        <w:jc w:val="left"/>
        <w:rPr>
          <w:rFonts w:ascii="Arial" w:hAnsi="Arial" w:cs="Arial" w:eastAsia="Arial" w:hint="default"/>
          <w:sz w:val="12"/>
          <w:szCs w:val="12"/>
        </w:rPr>
      </w:pPr>
      <w:r>
        <w:rPr>
          <w:rFonts w:ascii="宋体" w:hAnsi="宋体" w:cs="宋体" w:eastAsia="宋体" w:hint="default"/>
          <w:position w:val="1"/>
          <w:sz w:val="12"/>
          <w:szCs w:val="12"/>
        </w:rPr>
        <w:t>销售通信产品支出</w:t>
        <w:tab/>
      </w:r>
      <w:r>
        <w:rPr>
          <w:rFonts w:ascii="Arial" w:hAnsi="Arial" w:cs="Arial" w:eastAsia="Arial" w:hint="default"/>
          <w:spacing w:val="-1"/>
          <w:sz w:val="12"/>
          <w:szCs w:val="12"/>
        </w:rPr>
        <w:t>(2,430,160,580)</w:t>
        <w:tab/>
        <w:t>(258,419,496)</w:t>
      </w:r>
      <w:r>
        <w:rPr>
          <w:rFonts w:ascii="Arial" w:hAnsi="Arial" w:cs="Arial" w:eastAsia="Arial" w:hint="default"/>
          <w:sz w:val="12"/>
          <w:szCs w:val="12"/>
        </w:rPr>
        <w:t>    </w:t>
      </w:r>
      <w:r>
        <w:rPr>
          <w:rFonts w:ascii="Arial" w:hAnsi="Arial" w:cs="Arial" w:eastAsia="Arial" w:hint="default"/>
          <w:spacing w:val="3"/>
          <w:sz w:val="12"/>
          <w:szCs w:val="12"/>
        </w:rPr>
        <w:t> </w:t>
      </w:r>
      <w:r>
        <w:rPr>
          <w:rFonts w:ascii="Arial" w:hAnsi="Arial" w:cs="Arial" w:eastAsia="Arial" w:hint="default"/>
          <w:spacing w:val="-1"/>
          <w:sz w:val="12"/>
          <w:szCs w:val="12"/>
        </w:rPr>
        <w:t>(2,688,580,076)</w:t>
        <w:tab/>
      </w:r>
      <w:r>
        <w:rPr>
          <w:rFonts w:ascii="Arial" w:hAnsi="Arial" w:cs="Arial" w:eastAsia="Arial" w:hint="default"/>
          <w:sz w:val="12"/>
          <w:szCs w:val="12"/>
        </w:rPr>
        <w:t>-</w:t>
        <w:tab/>
        <w:t>-</w:t>
        <w:tab/>
      </w:r>
      <w:r>
        <w:rPr>
          <w:rFonts w:ascii="Arial" w:hAnsi="Arial" w:cs="Arial" w:eastAsia="Arial" w:hint="default"/>
          <w:spacing w:val="-1"/>
          <w:sz w:val="12"/>
          <w:szCs w:val="12"/>
        </w:rPr>
        <w:t>(2,688,580,076)</w:t>
        <w:tab/>
        <w:t>(747,670,561)</w:t>
      </w:r>
      <w:r>
        <w:rPr>
          <w:rFonts w:ascii="Arial" w:hAnsi="Arial" w:cs="Arial" w:eastAsia="Arial" w:hint="default"/>
          <w:sz w:val="12"/>
          <w:szCs w:val="12"/>
        </w:rPr>
        <w:t>    </w:t>
      </w:r>
      <w:r>
        <w:rPr>
          <w:rFonts w:ascii="Arial" w:hAnsi="Arial" w:cs="Arial" w:eastAsia="Arial" w:hint="default"/>
          <w:spacing w:val="-1"/>
          <w:sz w:val="12"/>
          <w:szCs w:val="12"/>
        </w:rPr>
        <w:t>(1,402,201,474)</w:t>
      </w:r>
      <w:r>
        <w:rPr>
          <w:rFonts w:ascii="Arial" w:hAnsi="Arial" w:cs="Arial" w:eastAsia="Arial" w:hint="default"/>
          <w:sz w:val="12"/>
          <w:szCs w:val="12"/>
        </w:rPr>
        <w:t>    </w:t>
      </w:r>
      <w:r>
        <w:rPr>
          <w:rFonts w:ascii="Arial" w:hAnsi="Arial" w:cs="Arial" w:eastAsia="Arial" w:hint="default"/>
          <w:spacing w:val="14"/>
          <w:sz w:val="12"/>
          <w:szCs w:val="12"/>
        </w:rPr>
        <w:t> </w:t>
      </w:r>
      <w:r>
        <w:rPr>
          <w:rFonts w:ascii="Arial" w:hAnsi="Arial" w:cs="Arial" w:eastAsia="Arial" w:hint="default"/>
          <w:spacing w:val="-1"/>
          <w:sz w:val="12"/>
          <w:szCs w:val="12"/>
        </w:rPr>
        <w:t>(2,149,872,035)</w:t>
        <w:tab/>
        <w:t>(5,795,870)</w:t>
        <w:tab/>
      </w:r>
      <w:r>
        <w:rPr>
          <w:rFonts w:ascii="Arial" w:hAnsi="Arial" w:cs="Arial" w:eastAsia="Arial" w:hint="default"/>
          <w:sz w:val="12"/>
          <w:szCs w:val="12"/>
        </w:rPr>
        <w:t>-</w:t>
        <w:tab/>
      </w:r>
      <w:r>
        <w:rPr>
          <w:rFonts w:ascii="Arial" w:hAnsi="Arial" w:cs="Arial" w:eastAsia="Arial" w:hint="default"/>
          <w:spacing w:val="-1"/>
          <w:sz w:val="12"/>
          <w:szCs w:val="12"/>
        </w:rPr>
        <w:t>(2,155,667,905)</w:t>
        <w:tab/>
        <w:t>(2,644,069,902)</w:t>
        <w:tab/>
        <w:t>(4,799,737,807)</w:t>
      </w:r>
    </w:p>
    <w:p>
      <w:pPr>
        <w:tabs>
          <w:tab w:pos="1680" w:val="left" w:leader="none"/>
          <w:tab w:pos="4806" w:val="left" w:leader="none"/>
          <w:tab w:pos="6426" w:val="left" w:leader="none"/>
          <w:tab w:pos="6720" w:val="left" w:leader="none"/>
          <w:tab w:pos="10912" w:val="left" w:leader="none"/>
          <w:tab w:pos="12551" w:val="left" w:leader="none"/>
          <w:tab w:pos="12893" w:val="left" w:leader="none"/>
          <w:tab w:pos="14108" w:val="left" w:leader="none"/>
          <w:tab w:pos="15158" w:val="left" w:leader="none"/>
        </w:tabs>
        <w:spacing w:line="156" w:lineRule="exact" w:before="0"/>
        <w:ind w:left="137" w:right="141" w:firstLine="0"/>
        <w:jc w:val="left"/>
        <w:rPr>
          <w:rFonts w:ascii="Arial" w:hAnsi="Arial" w:cs="Arial" w:eastAsia="Arial" w:hint="default"/>
          <w:sz w:val="12"/>
          <w:szCs w:val="12"/>
        </w:rPr>
      </w:pPr>
      <w:r>
        <w:rPr>
          <w:rFonts w:ascii="宋体" w:hAnsi="宋体" w:cs="宋体" w:eastAsia="宋体" w:hint="default"/>
          <w:position w:val="1"/>
          <w:sz w:val="12"/>
          <w:szCs w:val="12"/>
        </w:rPr>
        <w:t>营业税金及附加</w:t>
        <w:tab/>
      </w:r>
      <w:r>
        <w:rPr>
          <w:rFonts w:ascii="Arial" w:hAnsi="Arial" w:cs="Arial" w:eastAsia="Arial" w:hint="default"/>
          <w:spacing w:val="-1"/>
          <w:sz w:val="12"/>
          <w:szCs w:val="12"/>
        </w:rPr>
        <w:t>(1,920,700,287)</w:t>
      </w:r>
      <w:r>
        <w:rPr>
          <w:rFonts w:ascii="Arial" w:hAnsi="Arial" w:cs="Arial" w:eastAsia="Arial" w:hint="default"/>
          <w:sz w:val="12"/>
          <w:szCs w:val="12"/>
        </w:rPr>
        <w:t>      </w:t>
      </w:r>
      <w:r>
        <w:rPr>
          <w:rFonts w:ascii="Arial" w:hAnsi="Arial" w:cs="Arial" w:eastAsia="Arial" w:hint="default"/>
          <w:spacing w:val="-1"/>
          <w:sz w:val="12"/>
          <w:szCs w:val="12"/>
        </w:rPr>
        <w:t>(2,464,469,051)</w:t>
      </w:r>
      <w:r>
        <w:rPr>
          <w:rFonts w:ascii="Arial" w:hAnsi="Arial" w:cs="Arial" w:eastAsia="Arial" w:hint="default"/>
          <w:sz w:val="12"/>
          <w:szCs w:val="12"/>
        </w:rPr>
        <w:t>    </w:t>
      </w:r>
      <w:r>
        <w:rPr>
          <w:rFonts w:ascii="Arial" w:hAnsi="Arial" w:cs="Arial" w:eastAsia="Arial" w:hint="default"/>
          <w:spacing w:val="12"/>
          <w:sz w:val="12"/>
          <w:szCs w:val="12"/>
        </w:rPr>
        <w:t> </w:t>
      </w:r>
      <w:r>
        <w:rPr>
          <w:rFonts w:ascii="Arial" w:hAnsi="Arial" w:cs="Arial" w:eastAsia="Arial" w:hint="default"/>
          <w:spacing w:val="-1"/>
          <w:sz w:val="12"/>
          <w:szCs w:val="12"/>
        </w:rPr>
        <w:t>(4,385,169,338)</w:t>
        <w:tab/>
        <w:t>(101,872,722)</w:t>
        <w:tab/>
      </w:r>
      <w:r>
        <w:rPr>
          <w:rFonts w:ascii="Arial" w:hAnsi="Arial" w:cs="Arial" w:eastAsia="Arial" w:hint="default"/>
          <w:sz w:val="12"/>
          <w:szCs w:val="12"/>
        </w:rPr>
        <w:t>-</w:t>
        <w:tab/>
      </w:r>
      <w:r>
        <w:rPr>
          <w:rFonts w:ascii="Arial" w:hAnsi="Arial" w:cs="Arial" w:eastAsia="Arial" w:hint="default"/>
          <w:spacing w:val="-1"/>
          <w:sz w:val="12"/>
          <w:szCs w:val="12"/>
        </w:rPr>
        <w:t>(4,487,042,060)</w:t>
      </w:r>
      <w:r>
        <w:rPr>
          <w:rFonts w:ascii="Arial" w:hAnsi="Arial" w:cs="Arial" w:eastAsia="Arial" w:hint="default"/>
          <w:sz w:val="12"/>
          <w:szCs w:val="12"/>
        </w:rPr>
        <w:t>      </w:t>
      </w:r>
      <w:r>
        <w:rPr>
          <w:rFonts w:ascii="Arial" w:hAnsi="Arial" w:cs="Arial" w:eastAsia="Arial" w:hint="default"/>
          <w:spacing w:val="-1"/>
          <w:sz w:val="12"/>
          <w:szCs w:val="12"/>
        </w:rPr>
        <w:t>(1,702,381,173)</w:t>
      </w:r>
      <w:r>
        <w:rPr>
          <w:rFonts w:ascii="Arial" w:hAnsi="Arial" w:cs="Arial" w:eastAsia="Arial" w:hint="default"/>
          <w:sz w:val="12"/>
          <w:szCs w:val="12"/>
        </w:rPr>
        <w:t>    </w:t>
      </w:r>
      <w:r>
        <w:rPr>
          <w:rFonts w:ascii="Arial" w:hAnsi="Arial" w:cs="Arial" w:eastAsia="Arial" w:hint="default"/>
          <w:spacing w:val="-1"/>
          <w:sz w:val="12"/>
          <w:szCs w:val="12"/>
        </w:rPr>
        <w:t>(2,806,456,468)</w:t>
      </w:r>
      <w:r>
        <w:rPr>
          <w:rFonts w:ascii="Arial" w:hAnsi="Arial" w:cs="Arial" w:eastAsia="Arial" w:hint="default"/>
          <w:sz w:val="12"/>
          <w:szCs w:val="12"/>
        </w:rPr>
        <w:t>     </w:t>
      </w:r>
      <w:r>
        <w:rPr>
          <w:rFonts w:ascii="Arial" w:hAnsi="Arial" w:cs="Arial" w:eastAsia="Arial" w:hint="default"/>
          <w:spacing w:val="-1"/>
          <w:sz w:val="12"/>
          <w:szCs w:val="12"/>
        </w:rPr>
        <w:t>(4,508,837,641)</w:t>
        <w:tab/>
        <w:t>(89,495,428)</w:t>
        <w:tab/>
      </w:r>
      <w:r>
        <w:rPr>
          <w:rFonts w:ascii="Arial" w:hAnsi="Arial" w:cs="Arial" w:eastAsia="Arial" w:hint="default"/>
          <w:sz w:val="12"/>
          <w:szCs w:val="12"/>
        </w:rPr>
        <w:t>-</w:t>
        <w:tab/>
      </w:r>
      <w:r>
        <w:rPr>
          <w:rFonts w:ascii="Arial" w:hAnsi="Arial" w:cs="Arial" w:eastAsia="Arial" w:hint="default"/>
          <w:spacing w:val="-1"/>
          <w:sz w:val="12"/>
          <w:szCs w:val="12"/>
        </w:rPr>
        <w:t>(4,598,333,069)</w:t>
        <w:tab/>
        <w:t>(377,579,063)</w:t>
        <w:tab/>
        <w:t>(4,975,912,132)</w:t>
      </w:r>
    </w:p>
    <w:p>
      <w:pPr>
        <w:tabs>
          <w:tab w:pos="1680" w:val="left" w:leader="none"/>
          <w:tab w:pos="5797" w:val="left" w:leader="none"/>
          <w:tab w:pos="11922" w:val="left" w:leader="none"/>
          <w:tab w:pos="12826" w:val="left" w:leader="none"/>
          <w:tab w:pos="14007" w:val="left" w:leader="none"/>
          <w:tab w:pos="15092" w:val="left" w:leader="none"/>
        </w:tabs>
        <w:spacing w:line="155" w:lineRule="exact" w:before="0"/>
        <w:ind w:left="137" w:right="141" w:firstLine="0"/>
        <w:jc w:val="left"/>
        <w:rPr>
          <w:rFonts w:ascii="Arial" w:hAnsi="Arial" w:cs="Arial" w:eastAsia="Arial" w:hint="default"/>
          <w:sz w:val="12"/>
          <w:szCs w:val="12"/>
        </w:rPr>
      </w:pPr>
      <w:r>
        <w:rPr>
          <w:rFonts w:ascii="宋体" w:hAnsi="宋体" w:cs="宋体" w:eastAsia="宋体" w:hint="default"/>
          <w:position w:val="1"/>
          <w:sz w:val="12"/>
          <w:szCs w:val="12"/>
        </w:rPr>
        <w:t>销售费用</w:t>
        <w:tab/>
      </w:r>
      <w:r>
        <w:rPr>
          <w:rFonts w:ascii="Arial" w:hAnsi="Arial" w:cs="Arial" w:eastAsia="Arial" w:hint="default"/>
          <w:spacing w:val="-1"/>
          <w:sz w:val="12"/>
          <w:szCs w:val="12"/>
        </w:rPr>
        <w:t>(7,644,120,040)</w:t>
      </w:r>
      <w:r>
        <w:rPr>
          <w:rFonts w:ascii="Arial" w:hAnsi="Arial" w:cs="Arial" w:eastAsia="Arial" w:hint="default"/>
          <w:sz w:val="12"/>
          <w:szCs w:val="12"/>
        </w:rPr>
        <w:t>       </w:t>
      </w:r>
      <w:r>
        <w:rPr>
          <w:rFonts w:ascii="Arial" w:hAnsi="Arial" w:cs="Arial" w:eastAsia="Arial" w:hint="default"/>
          <w:spacing w:val="-1"/>
          <w:sz w:val="12"/>
          <w:szCs w:val="12"/>
        </w:rPr>
        <w:t>(6,733,235,202)</w:t>
      </w:r>
      <w:r>
        <w:rPr>
          <w:rFonts w:ascii="Arial" w:hAnsi="Arial" w:cs="Arial" w:eastAsia="Arial" w:hint="default"/>
          <w:sz w:val="12"/>
          <w:szCs w:val="12"/>
        </w:rPr>
        <w:t>   </w:t>
      </w:r>
      <w:r>
        <w:rPr>
          <w:rFonts w:ascii="Arial" w:hAnsi="Arial" w:cs="Arial" w:eastAsia="Arial" w:hint="default"/>
          <w:spacing w:val="-1"/>
          <w:sz w:val="12"/>
          <w:szCs w:val="12"/>
        </w:rPr>
        <w:t>(14,377,355,242)</w:t>
      </w:r>
      <w:r>
        <w:rPr>
          <w:rFonts w:ascii="Arial" w:hAnsi="Arial" w:cs="Arial" w:eastAsia="Arial" w:hint="default"/>
          <w:sz w:val="12"/>
          <w:szCs w:val="12"/>
        </w:rPr>
        <w:t>  </w:t>
      </w:r>
      <w:r>
        <w:rPr>
          <w:rFonts w:ascii="Arial" w:hAnsi="Arial" w:cs="Arial" w:eastAsia="Arial" w:hint="default"/>
          <w:spacing w:val="21"/>
          <w:sz w:val="12"/>
          <w:szCs w:val="12"/>
        </w:rPr>
        <w:t> </w:t>
      </w:r>
      <w:r>
        <w:rPr>
          <w:rFonts w:ascii="Arial" w:hAnsi="Arial" w:cs="Arial" w:eastAsia="Arial" w:hint="default"/>
          <w:spacing w:val="-1"/>
          <w:sz w:val="12"/>
          <w:szCs w:val="12"/>
        </w:rPr>
        <w:t>(7,517,154,529)</w:t>
        <w:tab/>
        <w:t>937,772,330</w:t>
      </w:r>
      <w:r>
        <w:rPr>
          <w:rFonts w:ascii="Arial" w:hAnsi="Arial" w:cs="Arial" w:eastAsia="Arial" w:hint="default"/>
          <w:sz w:val="12"/>
          <w:szCs w:val="12"/>
        </w:rPr>
        <w:t>      </w:t>
      </w:r>
      <w:r>
        <w:rPr>
          <w:rFonts w:ascii="Arial" w:hAnsi="Arial" w:cs="Arial" w:eastAsia="Arial" w:hint="default"/>
          <w:spacing w:val="-1"/>
          <w:sz w:val="12"/>
          <w:szCs w:val="12"/>
        </w:rPr>
        <w:t>(20,956,737,441)</w:t>
      </w:r>
      <w:r>
        <w:rPr>
          <w:rFonts w:ascii="Arial" w:hAnsi="Arial" w:cs="Arial" w:eastAsia="Arial" w:hint="default"/>
          <w:sz w:val="12"/>
          <w:szCs w:val="12"/>
        </w:rPr>
        <w:t>      </w:t>
      </w:r>
      <w:r>
        <w:rPr>
          <w:rFonts w:ascii="Arial" w:hAnsi="Arial" w:cs="Arial" w:eastAsia="Arial" w:hint="default"/>
          <w:spacing w:val="-1"/>
          <w:sz w:val="12"/>
          <w:szCs w:val="12"/>
        </w:rPr>
        <w:t>(6,615,350,794)</w:t>
      </w:r>
      <w:r>
        <w:rPr>
          <w:rFonts w:ascii="Arial" w:hAnsi="Arial" w:cs="Arial" w:eastAsia="Arial" w:hint="default"/>
          <w:sz w:val="12"/>
          <w:szCs w:val="12"/>
        </w:rPr>
        <w:t>    </w:t>
      </w:r>
      <w:r>
        <w:rPr>
          <w:rFonts w:ascii="Arial" w:hAnsi="Arial" w:cs="Arial" w:eastAsia="Arial" w:hint="default"/>
          <w:spacing w:val="-1"/>
          <w:sz w:val="12"/>
          <w:szCs w:val="12"/>
        </w:rPr>
        <w:t>(7,460,237,994)</w:t>
      </w:r>
      <w:r>
        <w:rPr>
          <w:rFonts w:ascii="Arial" w:hAnsi="Arial" w:cs="Arial" w:eastAsia="Arial" w:hint="default"/>
          <w:sz w:val="12"/>
          <w:szCs w:val="12"/>
        </w:rPr>
        <w:t>   </w:t>
      </w:r>
      <w:r>
        <w:rPr>
          <w:rFonts w:ascii="Arial" w:hAnsi="Arial" w:cs="Arial" w:eastAsia="Arial" w:hint="default"/>
          <w:spacing w:val="-1"/>
          <w:sz w:val="12"/>
          <w:szCs w:val="12"/>
        </w:rPr>
        <w:t>(14,075,588,788)</w:t>
      </w:r>
      <w:r>
        <w:rPr>
          <w:rFonts w:ascii="Arial" w:hAnsi="Arial" w:cs="Arial" w:eastAsia="Arial" w:hint="default"/>
          <w:sz w:val="12"/>
          <w:szCs w:val="12"/>
        </w:rPr>
        <w:t>    </w:t>
      </w:r>
      <w:r>
        <w:rPr>
          <w:rFonts w:ascii="Arial" w:hAnsi="Arial" w:cs="Arial" w:eastAsia="Arial" w:hint="default"/>
          <w:spacing w:val="14"/>
          <w:sz w:val="12"/>
          <w:szCs w:val="12"/>
        </w:rPr>
        <w:t> </w:t>
      </w:r>
      <w:r>
        <w:rPr>
          <w:rFonts w:ascii="Arial" w:hAnsi="Arial" w:cs="Arial" w:eastAsia="Arial" w:hint="default"/>
          <w:spacing w:val="-1"/>
          <w:sz w:val="12"/>
          <w:szCs w:val="12"/>
        </w:rPr>
        <w:t>(6,099,322,452)</w:t>
        <w:tab/>
        <w:t>866,443,489</w:t>
        <w:tab/>
        <w:t>(19,308,467,751)</w:t>
        <w:tab/>
        <w:t>(4,824,566,522)</w:t>
        <w:tab/>
        <w:t>(24,133,034,273)</w:t>
      </w:r>
    </w:p>
    <w:p>
      <w:pPr>
        <w:tabs>
          <w:tab w:pos="2453" w:val="left" w:leader="none"/>
          <w:tab w:pos="3495" w:val="left" w:leader="none"/>
          <w:tab w:pos="4494" w:val="left" w:leader="none"/>
          <w:tab w:pos="5864" w:val="left" w:leader="none"/>
          <w:tab w:pos="8511" w:val="left" w:leader="none"/>
          <w:tab w:pos="9513" w:val="left" w:leader="none"/>
          <w:tab w:pos="10493" w:val="left" w:leader="none"/>
          <w:tab w:pos="12054" w:val="left" w:leader="none"/>
          <w:tab w:pos="12826" w:val="left" w:leader="none"/>
          <w:tab w:pos="14006" w:val="left" w:leader="none"/>
          <w:tab w:pos="15091" w:val="left" w:leader="none"/>
        </w:tabs>
        <w:spacing w:line="155" w:lineRule="exact" w:before="0"/>
        <w:ind w:left="137" w:right="141" w:firstLine="0"/>
        <w:jc w:val="left"/>
        <w:rPr>
          <w:rFonts w:ascii="Arial" w:hAnsi="Arial" w:cs="Arial" w:eastAsia="Arial" w:hint="default"/>
          <w:sz w:val="12"/>
          <w:szCs w:val="12"/>
        </w:rPr>
      </w:pPr>
      <w:r>
        <w:rPr>
          <w:rFonts w:ascii="宋体" w:hAnsi="宋体" w:cs="宋体" w:eastAsia="宋体" w:hint="default"/>
          <w:position w:val="1"/>
          <w:sz w:val="12"/>
          <w:szCs w:val="12"/>
        </w:rPr>
        <w:t>管理费用</w:t>
        <w:tab/>
      </w:r>
      <w:r>
        <w:rPr>
          <w:rFonts w:ascii="Arial" w:hAnsi="Arial" w:cs="Arial" w:eastAsia="Arial" w:hint="default"/>
          <w:sz w:val="12"/>
          <w:szCs w:val="12"/>
        </w:rPr>
        <w:t>-</w:t>
        <w:tab/>
        <w:t>-</w:t>
        <w:tab/>
        <w:t>-  </w:t>
      </w:r>
      <w:r>
        <w:rPr>
          <w:rFonts w:ascii="Arial" w:hAnsi="Arial" w:cs="Arial" w:eastAsia="Arial" w:hint="default"/>
          <w:spacing w:val="15"/>
          <w:sz w:val="12"/>
          <w:szCs w:val="12"/>
        </w:rPr>
        <w:t> </w:t>
      </w:r>
      <w:r>
        <w:rPr>
          <w:rFonts w:ascii="Arial" w:hAnsi="Arial" w:cs="Arial" w:eastAsia="Arial" w:hint="default"/>
          <w:spacing w:val="-1"/>
          <w:sz w:val="12"/>
          <w:szCs w:val="12"/>
        </w:rPr>
        <w:t>(14,099,143,009)</w:t>
        <w:tab/>
        <w:t>51,266,500</w:t>
      </w:r>
      <w:r>
        <w:rPr>
          <w:rFonts w:ascii="Arial" w:hAnsi="Arial" w:cs="Arial" w:eastAsia="Arial" w:hint="default"/>
          <w:sz w:val="12"/>
          <w:szCs w:val="12"/>
        </w:rPr>
        <w:t>     </w:t>
      </w:r>
      <w:r>
        <w:rPr>
          <w:rFonts w:ascii="Arial" w:hAnsi="Arial" w:cs="Arial" w:eastAsia="Arial" w:hint="default"/>
          <w:spacing w:val="5"/>
          <w:sz w:val="12"/>
          <w:szCs w:val="12"/>
        </w:rPr>
        <w:t> </w:t>
      </w:r>
      <w:r>
        <w:rPr>
          <w:rFonts w:ascii="Arial" w:hAnsi="Arial" w:cs="Arial" w:eastAsia="Arial" w:hint="default"/>
          <w:spacing w:val="-1"/>
          <w:sz w:val="12"/>
          <w:szCs w:val="12"/>
        </w:rPr>
        <w:t>(14,047,876,509)</w:t>
        <w:tab/>
      </w:r>
      <w:r>
        <w:rPr>
          <w:rFonts w:ascii="Arial" w:hAnsi="Arial" w:cs="Arial" w:eastAsia="Arial" w:hint="default"/>
          <w:sz w:val="12"/>
          <w:szCs w:val="12"/>
        </w:rPr>
        <w:t>-</w:t>
        <w:tab/>
        <w:t>-</w:t>
        <w:tab/>
        <w:t>-   </w:t>
      </w:r>
      <w:r>
        <w:rPr>
          <w:rFonts w:ascii="Arial" w:hAnsi="Arial" w:cs="Arial" w:eastAsia="Arial" w:hint="default"/>
          <w:spacing w:val="22"/>
          <w:sz w:val="12"/>
          <w:szCs w:val="12"/>
        </w:rPr>
        <w:t> </w:t>
      </w:r>
      <w:r>
        <w:rPr>
          <w:rFonts w:ascii="Arial" w:hAnsi="Arial" w:cs="Arial" w:eastAsia="Arial" w:hint="default"/>
          <w:spacing w:val="-1"/>
          <w:sz w:val="12"/>
          <w:szCs w:val="12"/>
        </w:rPr>
        <w:t>(13,713,549,291)</w:t>
        <w:tab/>
        <w:t>4,430,948</w:t>
        <w:tab/>
        <w:t>(13,709,118,343)</w:t>
        <w:tab/>
        <w:t>(1,186,095,593)</w:t>
        <w:tab/>
        <w:t>(14,895,213,936)</w:t>
      </w:r>
    </w:p>
    <w:p>
      <w:pPr>
        <w:tabs>
          <w:tab w:pos="2453" w:val="left" w:leader="none"/>
          <w:tab w:pos="3495" w:val="left" w:leader="none"/>
          <w:tab w:pos="4494" w:val="left" w:leader="none"/>
          <w:tab w:pos="4806" w:val="left" w:leader="none"/>
          <w:tab w:pos="6426" w:val="left" w:leader="none"/>
          <w:tab w:pos="6821" w:val="left" w:leader="none"/>
          <w:tab w:pos="8511" w:val="left" w:leader="none"/>
          <w:tab w:pos="9513" w:val="left" w:leader="none"/>
          <w:tab w:pos="10494" w:val="left" w:leader="none"/>
          <w:tab w:pos="10745" w:val="left" w:leader="none"/>
          <w:tab w:pos="12550" w:val="left" w:leader="none"/>
          <w:tab w:pos="12892" w:val="left" w:leader="none"/>
          <w:tab w:pos="14280" w:val="left" w:leader="none"/>
          <w:tab w:pos="15157" w:val="left" w:leader="none"/>
        </w:tabs>
        <w:spacing w:line="156" w:lineRule="exact" w:before="0"/>
        <w:ind w:left="137" w:right="141" w:firstLine="0"/>
        <w:jc w:val="left"/>
        <w:rPr>
          <w:rFonts w:ascii="Arial" w:hAnsi="Arial" w:cs="Arial" w:eastAsia="Arial" w:hint="default"/>
          <w:sz w:val="12"/>
          <w:szCs w:val="12"/>
        </w:rPr>
      </w:pPr>
      <w:r>
        <w:rPr>
          <w:rFonts w:ascii="宋体" w:hAnsi="宋体" w:cs="宋体" w:eastAsia="宋体" w:hint="default"/>
          <w:position w:val="1"/>
          <w:sz w:val="12"/>
          <w:szCs w:val="12"/>
        </w:rPr>
        <w:t>财务费用（加：收入）</w:t>
        <w:tab/>
      </w:r>
      <w:r>
        <w:rPr>
          <w:rFonts w:ascii="Arial" w:hAnsi="Arial" w:cs="Arial" w:eastAsia="Arial" w:hint="default"/>
          <w:sz w:val="12"/>
          <w:szCs w:val="12"/>
        </w:rPr>
        <w:t>-</w:t>
        <w:tab/>
        <w:t>-</w:t>
        <w:tab/>
        <w:t>-</w:t>
        <w:tab/>
      </w:r>
      <w:r>
        <w:rPr>
          <w:rFonts w:ascii="Arial" w:hAnsi="Arial" w:cs="Arial" w:eastAsia="Arial" w:hint="default"/>
          <w:spacing w:val="-1"/>
          <w:sz w:val="12"/>
          <w:szCs w:val="12"/>
        </w:rPr>
        <w:t>(943,518,133)</w:t>
        <w:tab/>
      </w:r>
      <w:r>
        <w:rPr>
          <w:rFonts w:ascii="Arial" w:hAnsi="Arial" w:cs="Arial" w:eastAsia="Arial" w:hint="default"/>
          <w:sz w:val="12"/>
          <w:szCs w:val="12"/>
        </w:rPr>
        <w:t>-</w:t>
        <w:tab/>
      </w:r>
      <w:r>
        <w:rPr>
          <w:rFonts w:ascii="Arial" w:hAnsi="Arial" w:cs="Arial" w:eastAsia="Arial" w:hint="default"/>
          <w:spacing w:val="-1"/>
          <w:sz w:val="12"/>
          <w:szCs w:val="12"/>
        </w:rPr>
        <w:t>(943,518,133)</w:t>
        <w:tab/>
      </w:r>
      <w:r>
        <w:rPr>
          <w:rFonts w:ascii="Arial" w:hAnsi="Arial" w:cs="Arial" w:eastAsia="Arial" w:hint="default"/>
          <w:sz w:val="12"/>
          <w:szCs w:val="12"/>
        </w:rPr>
        <w:t>-</w:t>
        <w:tab/>
        <w:t>-</w:t>
        <w:tab/>
        <w:t>-</w:t>
        <w:tab/>
      </w:r>
      <w:r>
        <w:rPr>
          <w:rFonts w:ascii="Arial" w:hAnsi="Arial" w:cs="Arial" w:eastAsia="Arial" w:hint="default"/>
          <w:spacing w:val="-1"/>
          <w:sz w:val="12"/>
          <w:szCs w:val="12"/>
        </w:rPr>
        <w:t>(2,155,577,824)</w:t>
        <w:tab/>
      </w:r>
      <w:r>
        <w:rPr>
          <w:rFonts w:ascii="Arial" w:hAnsi="Arial" w:cs="Arial" w:eastAsia="Arial" w:hint="default"/>
          <w:sz w:val="12"/>
          <w:szCs w:val="12"/>
        </w:rPr>
        <w:t>-</w:t>
        <w:tab/>
      </w:r>
      <w:r>
        <w:rPr>
          <w:rFonts w:ascii="Arial" w:hAnsi="Arial" w:cs="Arial" w:eastAsia="Arial" w:hint="default"/>
          <w:spacing w:val="-1"/>
          <w:sz w:val="12"/>
          <w:szCs w:val="12"/>
        </w:rPr>
        <w:t>(2,155,577,824)</w:t>
        <w:tab/>
        <w:t>4,758,663</w:t>
        <w:tab/>
        <w:t>(2,150,819,161)</w:t>
      </w:r>
    </w:p>
    <w:p>
      <w:pPr>
        <w:tabs>
          <w:tab w:pos="1680" w:val="left" w:leader="none"/>
          <w:tab w:pos="2453" w:val="left" w:leader="none"/>
          <w:tab w:pos="2826" w:val="left" w:leader="none"/>
          <w:tab w:pos="3495" w:val="left" w:leader="none"/>
          <w:tab w:pos="4494" w:val="left" w:leader="none"/>
          <w:tab w:pos="4746" w:val="left" w:leader="none"/>
          <w:tab w:pos="4846" w:val="left" w:leader="none"/>
          <w:tab w:pos="6426" w:val="left" w:leader="none"/>
          <w:tab w:pos="6720" w:val="left" w:leader="none"/>
          <w:tab w:pos="6861" w:val="left" w:leader="none"/>
          <w:tab w:pos="8016" w:val="left" w:leader="none"/>
          <w:tab w:pos="8512" w:val="left" w:leader="none"/>
          <w:tab w:pos="9514" w:val="left" w:leader="none"/>
          <w:tab w:pos="9999" w:val="left" w:leader="none"/>
          <w:tab w:pos="10494" w:val="left" w:leader="none"/>
          <w:tab w:pos="10912" w:val="left" w:leader="none"/>
          <w:tab w:pos="11020" w:val="left" w:leader="none"/>
          <w:tab w:pos="11515" w:val="left" w:leader="none"/>
          <w:tab w:pos="12551" w:val="left" w:leader="none"/>
          <w:tab w:pos="12827" w:val="left" w:leader="none"/>
          <w:tab w:pos="13167" w:val="left" w:leader="none"/>
          <w:tab w:pos="13662" w:val="left" w:leader="none"/>
          <w:tab w:pos="14108" w:val="left" w:leader="none"/>
          <w:tab w:pos="14777" w:val="left" w:leader="none"/>
          <w:tab w:pos="15092" w:val="left" w:leader="none"/>
          <w:tab w:pos="15433" w:val="left" w:leader="none"/>
          <w:tab w:pos="15927" w:val="left" w:leader="none"/>
          <w:tab w:pos="16039" w:val="left" w:leader="none"/>
        </w:tabs>
        <w:spacing w:line="213" w:lineRule="auto" w:before="6"/>
        <w:ind w:left="137" w:right="141" w:firstLine="0"/>
        <w:jc w:val="left"/>
        <w:rPr>
          <w:rFonts w:ascii="Arial" w:hAnsi="Arial" w:cs="Arial" w:eastAsia="Arial" w:hint="default"/>
          <w:sz w:val="12"/>
          <w:szCs w:val="12"/>
        </w:rPr>
      </w:pPr>
      <w:r>
        <w:rPr>
          <w:rFonts w:ascii="宋体" w:hAnsi="宋体" w:cs="宋体" w:eastAsia="宋体" w:hint="default"/>
          <w:position w:val="1"/>
          <w:sz w:val="12"/>
          <w:szCs w:val="12"/>
        </w:rPr>
        <w:t>资产减值损失</w:t>
        <w:tab/>
      </w:r>
      <w:r>
        <w:rPr>
          <w:rFonts w:ascii="Arial" w:hAnsi="Arial" w:cs="Arial" w:eastAsia="Arial" w:hint="default"/>
          <w:spacing w:val="-1"/>
          <w:sz w:val="12"/>
          <w:szCs w:val="12"/>
        </w:rPr>
        <w:t>(1,519,861,889)</w:t>
        <w:tab/>
        <w:t>(852,823,750)</w:t>
      </w:r>
      <w:r>
        <w:rPr>
          <w:rFonts w:ascii="Arial" w:hAnsi="Arial" w:cs="Arial" w:eastAsia="Arial" w:hint="default"/>
          <w:sz w:val="12"/>
          <w:szCs w:val="12"/>
        </w:rPr>
        <w:t>    </w:t>
      </w:r>
      <w:r>
        <w:rPr>
          <w:rFonts w:ascii="Arial" w:hAnsi="Arial" w:cs="Arial" w:eastAsia="Arial" w:hint="default"/>
          <w:spacing w:val="3"/>
          <w:sz w:val="12"/>
          <w:szCs w:val="12"/>
        </w:rPr>
        <w:t> </w:t>
      </w:r>
      <w:r>
        <w:rPr>
          <w:rFonts w:ascii="Arial" w:hAnsi="Arial" w:cs="Arial" w:eastAsia="Arial" w:hint="default"/>
          <w:spacing w:val="-1"/>
          <w:sz w:val="12"/>
          <w:szCs w:val="12"/>
        </w:rPr>
        <w:t>(2,372,685,639)</w:t>
        <w:tab/>
        <w:tab/>
        <w:t>(2,951,297)</w:t>
        <w:tab/>
      </w:r>
      <w:r>
        <w:rPr>
          <w:rFonts w:ascii="Arial" w:hAnsi="Arial" w:cs="Arial" w:eastAsia="Arial" w:hint="default"/>
          <w:sz w:val="12"/>
          <w:szCs w:val="12"/>
        </w:rPr>
        <w:t>-</w:t>
        <w:tab/>
      </w:r>
      <w:r>
        <w:rPr>
          <w:rFonts w:ascii="Arial" w:hAnsi="Arial" w:cs="Arial" w:eastAsia="Arial" w:hint="default"/>
          <w:spacing w:val="-1"/>
          <w:sz w:val="12"/>
          <w:szCs w:val="12"/>
        </w:rPr>
        <w:t>(2,375,636,936)</w:t>
      </w:r>
      <w:r>
        <w:rPr>
          <w:rFonts w:ascii="Arial" w:hAnsi="Arial" w:cs="Arial" w:eastAsia="Arial" w:hint="default"/>
          <w:sz w:val="12"/>
          <w:szCs w:val="12"/>
        </w:rPr>
        <w:t>      </w:t>
      </w:r>
      <w:r>
        <w:rPr>
          <w:rFonts w:ascii="Arial" w:hAnsi="Arial" w:cs="Arial" w:eastAsia="Arial" w:hint="default"/>
          <w:spacing w:val="-1"/>
          <w:sz w:val="12"/>
          <w:szCs w:val="12"/>
        </w:rPr>
        <w:t>(1,379,842,467)</w:t>
      </w:r>
      <w:r>
        <w:rPr>
          <w:rFonts w:ascii="Arial" w:hAnsi="Arial" w:cs="Arial" w:eastAsia="Arial" w:hint="default"/>
          <w:sz w:val="12"/>
          <w:szCs w:val="12"/>
        </w:rPr>
        <w:t>  </w:t>
      </w:r>
      <w:r>
        <w:rPr>
          <w:rFonts w:ascii="Arial" w:hAnsi="Arial" w:cs="Arial" w:eastAsia="Arial" w:hint="default"/>
          <w:spacing w:val="-1"/>
          <w:sz w:val="12"/>
          <w:szCs w:val="12"/>
        </w:rPr>
        <w:t>(13,980,070,902)</w:t>
      </w:r>
      <w:r>
        <w:rPr>
          <w:rFonts w:ascii="Arial" w:hAnsi="Arial" w:cs="Arial" w:eastAsia="Arial" w:hint="default"/>
          <w:sz w:val="12"/>
          <w:szCs w:val="12"/>
        </w:rPr>
        <w:t>  </w:t>
      </w:r>
      <w:r>
        <w:rPr>
          <w:rFonts w:ascii="Arial" w:hAnsi="Arial" w:cs="Arial" w:eastAsia="Arial" w:hint="default"/>
          <w:spacing w:val="2"/>
          <w:sz w:val="12"/>
          <w:szCs w:val="12"/>
        </w:rPr>
        <w:t> </w:t>
      </w:r>
      <w:r>
        <w:rPr>
          <w:rFonts w:ascii="Arial" w:hAnsi="Arial" w:cs="Arial" w:eastAsia="Arial" w:hint="default"/>
          <w:spacing w:val="-1"/>
          <w:sz w:val="12"/>
          <w:szCs w:val="12"/>
        </w:rPr>
        <w:t>(15,359,913,369)</w:t>
        <w:tab/>
        <w:t>(44,588,508)</w:t>
        <w:tab/>
      </w:r>
      <w:r>
        <w:rPr>
          <w:rFonts w:ascii="Arial" w:hAnsi="Arial" w:cs="Arial" w:eastAsia="Arial" w:hint="default"/>
          <w:sz w:val="12"/>
          <w:szCs w:val="12"/>
        </w:rPr>
        <w:t>-</w:t>
        <w:tab/>
      </w:r>
      <w:r>
        <w:rPr>
          <w:rFonts w:ascii="Arial" w:hAnsi="Arial" w:cs="Arial" w:eastAsia="Arial" w:hint="default"/>
          <w:spacing w:val="-1"/>
          <w:sz w:val="12"/>
          <w:szCs w:val="12"/>
        </w:rPr>
        <w:t>(15,404,501,877)</w:t>
        <w:tab/>
        <w:t>(406,800,799)</w:t>
        <w:tab/>
        <w:t>(15,811,302,676)</w:t>
      </w:r>
      <w:r>
        <w:rPr>
          <w:rFonts w:ascii="Arial" w:hAnsi="Arial" w:cs="Arial" w:eastAsia="Arial" w:hint="default"/>
          <w:spacing w:val="-23"/>
          <w:sz w:val="12"/>
          <w:szCs w:val="12"/>
        </w:rPr>
        <w:t> </w:t>
      </w:r>
      <w:r>
        <w:rPr>
          <w:rFonts w:ascii="Arial" w:hAnsi="Arial" w:cs="Arial" w:eastAsia="Arial" w:hint="default"/>
          <w:spacing w:val="-23"/>
          <w:sz w:val="12"/>
          <w:szCs w:val="12"/>
        </w:rPr>
      </w:r>
      <w:r>
        <w:rPr>
          <w:rFonts w:ascii="宋体" w:hAnsi="宋体" w:cs="宋体" w:eastAsia="宋体" w:hint="default"/>
          <w:position w:val="1"/>
          <w:sz w:val="12"/>
          <w:szCs w:val="12"/>
        </w:rPr>
        <w:t>加：公允价值变动净收益</w:t>
        <w:tab/>
        <w:tab/>
      </w:r>
      <w:r>
        <w:rPr>
          <w:rFonts w:ascii="Arial" w:hAnsi="Arial" w:cs="Arial" w:eastAsia="Arial" w:hint="default"/>
          <w:sz w:val="12"/>
          <w:szCs w:val="12"/>
        </w:rPr>
        <w:t>-</w:t>
        <w:tab/>
        <w:tab/>
        <w:t>-</w:t>
        <w:tab/>
        <w:t>-</w:t>
        <w:tab/>
      </w:r>
      <w:r>
        <w:rPr>
          <w:rFonts w:ascii="Arial" w:hAnsi="Arial" w:cs="Arial" w:eastAsia="Arial" w:hint="default"/>
          <w:spacing w:val="-1"/>
          <w:sz w:val="12"/>
          <w:szCs w:val="12"/>
        </w:rPr>
        <w:t>1,239,125,224</w:t>
        <w:tab/>
      </w:r>
      <w:r>
        <w:rPr>
          <w:rFonts w:ascii="Arial" w:hAnsi="Arial" w:cs="Arial" w:eastAsia="Arial" w:hint="default"/>
          <w:sz w:val="12"/>
          <w:szCs w:val="12"/>
        </w:rPr>
        <w:t>-</w:t>
        <w:tab/>
      </w:r>
      <w:r>
        <w:rPr>
          <w:rFonts w:ascii="Arial" w:hAnsi="Arial" w:cs="Arial" w:eastAsia="Arial" w:hint="default"/>
          <w:spacing w:val="-1"/>
          <w:sz w:val="12"/>
          <w:szCs w:val="12"/>
        </w:rPr>
        <w:t>1,239,125,224</w:t>
        <w:tab/>
        <w:tab/>
      </w:r>
      <w:r>
        <w:rPr>
          <w:rFonts w:ascii="Arial" w:hAnsi="Arial" w:cs="Arial" w:eastAsia="Arial" w:hint="default"/>
          <w:sz w:val="12"/>
          <w:szCs w:val="12"/>
        </w:rPr>
        <w:t>-</w:t>
        <w:tab/>
        <w:t>-</w:t>
        <w:tab/>
        <w:tab/>
        <w:t>-</w:t>
        <w:tab/>
        <w:tab/>
        <w:tab/>
        <w:t>-</w:t>
        <w:tab/>
        <w:t>-</w:t>
        <w:tab/>
        <w:tab/>
        <w:tab/>
        <w:t>-</w:t>
        <w:tab/>
        <w:tab/>
        <w:t>-</w:t>
        <w:tab/>
        <w:tab/>
        <w:tab/>
        <w:t>-</w:t>
      </w:r>
      <w:r>
        <w:rPr>
          <w:rFonts w:ascii="Arial" w:hAnsi="Arial" w:cs="Arial" w:eastAsia="Arial" w:hint="default"/>
          <w:sz w:val="12"/>
          <w:szCs w:val="12"/>
        </w:rPr>
        <w:t> </w:t>
      </w:r>
      <w:r>
        <w:rPr>
          <w:rFonts w:ascii="宋体" w:hAnsi="宋体" w:cs="宋体" w:eastAsia="宋体" w:hint="default"/>
          <w:position w:val="1"/>
          <w:sz w:val="12"/>
          <w:szCs w:val="12"/>
        </w:rPr>
        <w:t>加：投资收益</w:t>
        <w:tab/>
        <w:tab/>
      </w:r>
      <w:r>
        <w:rPr>
          <w:rFonts w:ascii="Arial" w:hAnsi="Arial" w:cs="Arial" w:eastAsia="Arial" w:hint="default"/>
          <w:sz w:val="12"/>
          <w:szCs w:val="12"/>
        </w:rPr>
        <w:t>-</w:t>
        <w:tab/>
        <w:tab/>
        <w:t>-</w:t>
        <w:tab/>
        <w:t>-</w:t>
        <w:tab/>
        <w:tab/>
      </w:r>
      <w:r>
        <w:rPr>
          <w:rFonts w:ascii="Arial" w:hAnsi="Arial" w:cs="Arial" w:eastAsia="Arial" w:hint="default"/>
          <w:spacing w:val="-1"/>
          <w:sz w:val="12"/>
          <w:szCs w:val="12"/>
        </w:rPr>
        <w:t>212,157,048</w:t>
        <w:tab/>
      </w:r>
      <w:r>
        <w:rPr>
          <w:rFonts w:ascii="Arial" w:hAnsi="Arial" w:cs="Arial" w:eastAsia="Arial" w:hint="default"/>
          <w:sz w:val="12"/>
          <w:szCs w:val="12"/>
        </w:rPr>
        <w:t>-</w:t>
        <w:tab/>
        <w:tab/>
      </w:r>
      <w:r>
        <w:rPr>
          <w:rFonts w:ascii="Arial" w:hAnsi="Arial" w:cs="Arial" w:eastAsia="Arial" w:hint="default"/>
          <w:spacing w:val="-1"/>
          <w:sz w:val="12"/>
          <w:szCs w:val="12"/>
        </w:rPr>
        <w:t>212,157,048</w:t>
        <w:tab/>
        <w:t>2,014,685</w:t>
        <w:tab/>
      </w:r>
      <w:r>
        <w:rPr>
          <w:rFonts w:ascii="Arial" w:hAnsi="Arial" w:cs="Arial" w:eastAsia="Arial" w:hint="default"/>
          <w:sz w:val="12"/>
          <w:szCs w:val="12"/>
        </w:rPr>
        <w:t>-</w:t>
        <w:tab/>
      </w:r>
      <w:r>
        <w:rPr>
          <w:rFonts w:ascii="Arial" w:hAnsi="Arial" w:cs="Arial" w:eastAsia="Arial" w:hint="default"/>
          <w:spacing w:val="-1"/>
          <w:sz w:val="12"/>
          <w:szCs w:val="12"/>
        </w:rPr>
        <w:t>2,014,685</w:t>
      </w:r>
      <w:r>
        <w:rPr>
          <w:rFonts w:ascii="Arial" w:hAnsi="Arial" w:cs="Arial" w:eastAsia="Arial" w:hint="default"/>
          <w:spacing w:val="-1"/>
          <w:sz w:val="12"/>
          <w:szCs w:val="12"/>
          <w:u w:val="single" w:color="000000"/>
        </w:rPr>
        <w:t> </w:t>
        <w:tab/>
        <w:tab/>
        <w:t>2,550,263</w:t>
        <w:tab/>
      </w:r>
      <w:r>
        <w:rPr>
          <w:rFonts w:ascii="Arial" w:hAnsi="Arial" w:cs="Arial" w:eastAsia="Arial" w:hint="default"/>
          <w:sz w:val="12"/>
          <w:szCs w:val="12"/>
          <w:u w:val="single" w:color="000000"/>
        </w:rPr>
        <w:t>-</w:t>
      </w:r>
      <w:r>
        <w:rPr>
          <w:rFonts w:ascii="Arial" w:hAnsi="Arial" w:cs="Arial" w:eastAsia="Arial" w:hint="default"/>
          <w:sz w:val="12"/>
          <w:szCs w:val="12"/>
        </w:rPr>
      </w:r>
      <w:r>
        <w:rPr>
          <w:rFonts w:ascii="Arial" w:hAnsi="Arial" w:cs="Arial" w:eastAsia="Arial" w:hint="default"/>
          <w:sz w:val="12"/>
          <w:szCs w:val="12"/>
          <w:u w:val="single" w:color="000000"/>
        </w:rPr>
        <w:t> </w:t>
        <w:tab/>
        <w:tab/>
      </w:r>
      <w:r>
        <w:rPr>
          <w:rFonts w:ascii="Arial" w:hAnsi="Arial" w:cs="Arial" w:eastAsia="Arial" w:hint="default"/>
          <w:spacing w:val="-1"/>
          <w:sz w:val="12"/>
          <w:szCs w:val="12"/>
          <w:u w:val="single" w:color="000000"/>
        </w:rPr>
        <w:t>4,564,948</w:t>
        <w:tab/>
        <w:tab/>
      </w:r>
      <w:r>
        <w:rPr>
          <w:rFonts w:ascii="Arial" w:hAnsi="Arial" w:cs="Arial" w:eastAsia="Arial" w:hint="default"/>
          <w:sz w:val="12"/>
          <w:szCs w:val="12"/>
          <w:u w:val="single" w:color="000000"/>
        </w:rPr>
        <w:t>-</w:t>
        <w:tab/>
        <w:tab/>
      </w:r>
      <w:r>
        <w:rPr>
          <w:rFonts w:ascii="Arial" w:hAnsi="Arial" w:cs="Arial" w:eastAsia="Arial" w:hint="default"/>
          <w:spacing w:val="-1"/>
          <w:sz w:val="12"/>
          <w:szCs w:val="12"/>
          <w:u w:val="single" w:color="000000"/>
        </w:rPr>
        <w:t>4,564,948</w:t>
        <w:tab/>
      </w:r>
      <w:r>
        <w:rPr>
          <w:rFonts w:ascii="Arial" w:hAnsi="Arial" w:cs="Arial" w:eastAsia="Arial" w:hint="default"/>
          <w:spacing w:val="-1"/>
          <w:w w:val="50"/>
          <w:sz w:val="12"/>
          <w:szCs w:val="12"/>
          <w:u w:val="single" w:color="000000"/>
        </w:rPr>
        <w:t> </w:t>
      </w:r>
      <w:r>
        <w:rPr>
          <w:rFonts w:ascii="Arial" w:hAnsi="Arial" w:cs="Arial" w:eastAsia="Arial" w:hint="default"/>
          <w:spacing w:val="-1"/>
          <w:sz w:val="12"/>
          <w:szCs w:val="12"/>
          <w:u w:val="single" w:color="000000"/>
        </w:rPr>
      </w:r>
      <w:r>
        <w:rPr>
          <w:rFonts w:ascii="Arial" w:hAnsi="Arial" w:cs="Arial" w:eastAsia="Arial" w:hint="default"/>
          <w:spacing w:val="-1"/>
          <w:sz w:val="12"/>
          <w:szCs w:val="12"/>
        </w:rPr>
      </w:r>
    </w:p>
    <w:p>
      <w:pPr>
        <w:spacing w:line="20" w:lineRule="exact"/>
        <w:ind w:left="1594" w:right="0" w:firstLine="0"/>
        <w:rPr>
          <w:rFonts w:ascii="Arial" w:hAnsi="Arial" w:cs="Arial" w:eastAsia="Arial" w:hint="default"/>
          <w:sz w:val="2"/>
          <w:szCs w:val="2"/>
        </w:rPr>
      </w:pPr>
      <w:r>
        <w:rPr>
          <w:rFonts w:ascii="Arial" w:hAnsi="Arial" w:cs="Arial" w:eastAsia="Arial" w:hint="default"/>
          <w:sz w:val="2"/>
          <w:szCs w:val="2"/>
        </w:rPr>
        <w:pict>
          <v:group style="width:449.35pt;height:.75pt;mso-position-horizontal-relative:char;mso-position-vertical-relative:line" coordorigin="0,0" coordsize="8987,15">
            <v:group style="position:absolute;left:7;top:7;width:954;height:2" coordorigin="7,7" coordsize="954,2">
              <v:shape style="position:absolute;left:7;top:7;width:954;height:2" coordorigin="7,7" coordsize="954,0" path="m7,7l961,7e" filled="false" stroked="true" strokeweight=".72pt" strokecolor="#000000">
                <v:path arrowok="t"/>
              </v:shape>
            </v:group>
            <v:group style="position:absolute;left:986;top:7;width:1023;height:2" coordorigin="986,7" coordsize="1023,2">
              <v:shape style="position:absolute;left:986;top:7;width:1023;height:2" coordorigin="986,7" coordsize="1023,0" path="m986,7l2009,7e" filled="false" stroked="true" strokeweight=".72pt" strokecolor="#000000">
                <v:path arrowok="t"/>
              </v:shape>
            </v:group>
            <v:group style="position:absolute;left:2036;top:7;width:953;height:2" coordorigin="2036,7" coordsize="953,2">
              <v:shape style="position:absolute;left:2036;top:7;width:953;height:2" coordorigin="2036,7" coordsize="953,0" path="m2036,7l2989,7e" filled="false" stroked="true" strokeweight=".72pt" strokecolor="#000000">
                <v:path arrowok="t"/>
              </v:shape>
            </v:group>
            <v:group style="position:absolute;left:3017;top:7;width:939;height:2" coordorigin="3017,7" coordsize="939,2">
              <v:shape style="position:absolute;left:3017;top:7;width:939;height:2" coordorigin="3017,7" coordsize="939,0" path="m3017,7l3955,7e" filled="false" stroked="true" strokeweight=".72pt" strokecolor="#000000">
                <v:path arrowok="t"/>
              </v:shape>
            </v:group>
            <v:group style="position:absolute;left:3986;top:7;width:948;height:2" coordorigin="3986,7" coordsize="948,2">
              <v:shape style="position:absolute;left:3986;top:7;width:948;height:2" coordorigin="3986,7" coordsize="948,0" path="m3986,7l4934,7e" filled="false" stroked="true" strokeweight=".72pt" strokecolor="#000000">
                <v:path arrowok="t"/>
              </v:shape>
            </v:group>
            <v:group style="position:absolute;left:4962;top:7;width:1036;height:2" coordorigin="4962,7" coordsize="1036,2">
              <v:shape style="position:absolute;left:4962;top:7;width:1036;height:2" coordorigin="4962,7" coordsize="1036,0" path="m4962,7l5998,7e" filled="false" stroked="true" strokeweight=".72pt" strokecolor="#000000">
                <v:path arrowok="t"/>
              </v:shape>
            </v:group>
            <v:group style="position:absolute;left:6018;top:7;width:975;height:2" coordorigin="6018,7" coordsize="975,2">
              <v:shape style="position:absolute;left:6018;top:7;width:975;height:2" coordorigin="6018,7" coordsize="975,0" path="m6018,7l6992,7e" filled="false" stroked="true" strokeweight=".72pt" strokecolor="#000000">
                <v:path arrowok="t"/>
              </v:shape>
            </v:group>
            <v:group style="position:absolute;left:7020;top:7;width:954;height:2" coordorigin="7020,7" coordsize="954,2">
              <v:shape style="position:absolute;left:7020;top:7;width:954;height:2" coordorigin="7020,7" coordsize="954,0" path="m7020,7l7974,7e" filled="false" stroked="true" strokeweight=".72pt" strokecolor="#000000">
                <v:path arrowok="t"/>
              </v:shape>
            </v:group>
            <v:group style="position:absolute;left:8000;top:7;width:980;height:2" coordorigin="8000,7" coordsize="980,2">
              <v:shape style="position:absolute;left:8000;top:7;width:980;height:2" coordorigin="8000,7" coordsize="980,0" path="m8000,7l8980,7e" filled="false" stroked="true" strokeweight=".72pt" strokecolor="#000000">
                <v:path arrowok="t"/>
              </v:shape>
            </v:group>
          </v:group>
        </w:pict>
      </w:r>
      <w:r>
        <w:rPr>
          <w:rFonts w:ascii="Arial" w:hAnsi="Arial" w:cs="Arial" w:eastAsia="Arial" w:hint="default"/>
          <w:sz w:val="2"/>
          <w:szCs w:val="2"/>
        </w:rPr>
      </w:r>
    </w:p>
    <w:p>
      <w:pPr>
        <w:tabs>
          <w:tab w:pos="1658" w:val="left" w:leader="none"/>
          <w:tab w:pos="2699" w:val="left" w:leader="none"/>
          <w:tab w:pos="11948" w:val="left" w:leader="none"/>
          <w:tab w:pos="12933" w:val="left" w:leader="none"/>
          <w:tab w:pos="14048" w:val="left" w:leader="none"/>
          <w:tab w:pos="15199" w:val="left" w:leader="none"/>
        </w:tabs>
        <w:spacing w:line="166" w:lineRule="exact" w:before="121"/>
        <w:ind w:left="137" w:right="141" w:firstLine="0"/>
        <w:jc w:val="left"/>
        <w:rPr>
          <w:rFonts w:ascii="Arial" w:hAnsi="Arial" w:cs="Arial" w:eastAsia="Arial" w:hint="default"/>
          <w:sz w:val="12"/>
          <w:szCs w:val="12"/>
        </w:rPr>
      </w:pPr>
      <w:r>
        <w:rPr>
          <w:rFonts w:ascii="宋体" w:hAnsi="宋体" w:cs="宋体" w:eastAsia="宋体" w:hint="default"/>
          <w:position w:val="1"/>
          <w:sz w:val="12"/>
          <w:szCs w:val="12"/>
        </w:rPr>
        <w:t>营业利润（减：亏损）</w:t>
        <w:tab/>
      </w:r>
      <w:r>
        <w:rPr>
          <w:rFonts w:ascii="Arial" w:hAnsi="Arial" w:cs="Arial" w:eastAsia="Arial" w:hint="default"/>
          <w:spacing w:val="-1"/>
          <w:sz w:val="12"/>
          <w:szCs w:val="12"/>
        </w:rPr>
        <w:t>27,264,726,574</w:t>
        <w:tab/>
        <w:t>36,358,240,809</w:t>
      </w:r>
      <w:r>
        <w:rPr>
          <w:rFonts w:ascii="Arial" w:hAnsi="Arial" w:cs="Arial" w:eastAsia="Arial" w:hint="default"/>
          <w:sz w:val="12"/>
          <w:szCs w:val="12"/>
        </w:rPr>
        <w:t>     </w:t>
      </w:r>
      <w:r>
        <w:rPr>
          <w:rFonts w:ascii="Arial" w:hAnsi="Arial" w:cs="Arial" w:eastAsia="Arial" w:hint="default"/>
          <w:spacing w:val="-1"/>
          <w:sz w:val="12"/>
          <w:szCs w:val="12"/>
        </w:rPr>
        <w:t>63,622,967,383</w:t>
      </w:r>
      <w:r>
        <w:rPr>
          <w:rFonts w:ascii="Arial" w:hAnsi="Arial" w:cs="Arial" w:eastAsia="Arial" w:hint="default"/>
          <w:sz w:val="12"/>
          <w:szCs w:val="12"/>
        </w:rPr>
        <w:t>   </w:t>
      </w:r>
      <w:r>
        <w:rPr>
          <w:rFonts w:ascii="Arial" w:hAnsi="Arial" w:cs="Arial" w:eastAsia="Arial" w:hint="default"/>
          <w:spacing w:val="-1"/>
          <w:sz w:val="12"/>
          <w:szCs w:val="12"/>
        </w:rPr>
        <w:t>(52,082,179,772)</w:t>
      </w:r>
      <w:r>
        <w:rPr>
          <w:rFonts w:ascii="Arial" w:hAnsi="Arial" w:cs="Arial" w:eastAsia="Arial" w:hint="default"/>
          <w:sz w:val="12"/>
          <w:szCs w:val="12"/>
        </w:rPr>
        <w:t>      </w:t>
      </w:r>
      <w:r>
        <w:rPr>
          <w:rFonts w:ascii="Arial" w:hAnsi="Arial" w:cs="Arial" w:eastAsia="Arial" w:hint="default"/>
          <w:spacing w:val="-1"/>
          <w:sz w:val="12"/>
          <w:szCs w:val="12"/>
        </w:rPr>
        <w:t>(185,261,774)</w:t>
      </w:r>
      <w:r>
        <w:rPr>
          <w:rFonts w:ascii="Arial" w:hAnsi="Arial" w:cs="Arial" w:eastAsia="Arial" w:hint="default"/>
          <w:sz w:val="12"/>
          <w:szCs w:val="12"/>
        </w:rPr>
        <w:t>      </w:t>
      </w:r>
      <w:r>
        <w:rPr>
          <w:rFonts w:ascii="Arial" w:hAnsi="Arial" w:cs="Arial" w:eastAsia="Arial" w:hint="default"/>
          <w:spacing w:val="-1"/>
          <w:sz w:val="12"/>
          <w:szCs w:val="12"/>
        </w:rPr>
        <w:t>11,355,525,837</w:t>
      </w:r>
      <w:r>
        <w:rPr>
          <w:rFonts w:ascii="Arial" w:hAnsi="Arial" w:cs="Arial" w:eastAsia="Arial" w:hint="default"/>
          <w:sz w:val="12"/>
          <w:szCs w:val="12"/>
        </w:rPr>
        <w:t>      </w:t>
      </w:r>
      <w:r>
        <w:rPr>
          <w:rFonts w:ascii="Arial" w:hAnsi="Arial" w:cs="Arial" w:eastAsia="Arial" w:hint="default"/>
          <w:spacing w:val="-1"/>
          <w:sz w:val="12"/>
          <w:szCs w:val="12"/>
        </w:rPr>
        <w:t>25,002,269,346</w:t>
      </w:r>
      <w:r>
        <w:rPr>
          <w:rFonts w:ascii="Arial" w:hAnsi="Arial" w:cs="Arial" w:eastAsia="Arial" w:hint="default"/>
          <w:sz w:val="12"/>
          <w:szCs w:val="12"/>
        </w:rPr>
        <w:t>     </w:t>
      </w:r>
      <w:r>
        <w:rPr>
          <w:rFonts w:ascii="Arial" w:hAnsi="Arial" w:cs="Arial" w:eastAsia="Arial" w:hint="default"/>
          <w:spacing w:val="-1"/>
          <w:sz w:val="12"/>
          <w:szCs w:val="12"/>
        </w:rPr>
        <w:t>31,412,651,706</w:t>
      </w:r>
      <w:r>
        <w:rPr>
          <w:rFonts w:ascii="Arial" w:hAnsi="Arial" w:cs="Arial" w:eastAsia="Arial" w:hint="default"/>
          <w:sz w:val="12"/>
          <w:szCs w:val="12"/>
        </w:rPr>
        <w:t>     </w:t>
      </w:r>
      <w:r>
        <w:rPr>
          <w:rFonts w:ascii="Arial" w:hAnsi="Arial" w:cs="Arial" w:eastAsia="Arial" w:hint="default"/>
          <w:spacing w:val="-1"/>
          <w:sz w:val="12"/>
          <w:szCs w:val="12"/>
        </w:rPr>
        <w:t>56,414,921,052</w:t>
      </w:r>
      <w:r>
        <w:rPr>
          <w:rFonts w:ascii="Arial" w:hAnsi="Arial" w:cs="Arial" w:eastAsia="Arial" w:hint="default"/>
          <w:sz w:val="12"/>
          <w:szCs w:val="12"/>
        </w:rPr>
        <w:t>    </w:t>
      </w:r>
      <w:r>
        <w:rPr>
          <w:rFonts w:ascii="Arial" w:hAnsi="Arial" w:cs="Arial" w:eastAsia="Arial" w:hint="default"/>
          <w:spacing w:val="31"/>
          <w:sz w:val="12"/>
          <w:szCs w:val="12"/>
        </w:rPr>
        <w:t> </w:t>
      </w:r>
      <w:r>
        <w:rPr>
          <w:rFonts w:ascii="Arial" w:hAnsi="Arial" w:cs="Arial" w:eastAsia="Arial" w:hint="default"/>
          <w:spacing w:val="-1"/>
          <w:sz w:val="12"/>
          <w:szCs w:val="12"/>
        </w:rPr>
        <w:t>(49,522,006,272)</w:t>
        <w:tab/>
        <w:t>(59,845,420)</w:t>
        <w:tab/>
        <w:t>6,833,069,360</w:t>
        <w:tab/>
        <w:t>1,785,889,978</w:t>
        <w:tab/>
        <w:t>8,618,959,338</w:t>
      </w:r>
    </w:p>
    <w:p>
      <w:pPr>
        <w:tabs>
          <w:tab w:pos="2453" w:val="left" w:leader="none"/>
          <w:tab w:pos="3495" w:val="left" w:leader="none"/>
          <w:tab w:pos="4494" w:val="left" w:leader="none"/>
          <w:tab w:pos="4746" w:val="left" w:leader="none"/>
          <w:tab w:pos="6426" w:val="left" w:leader="none"/>
          <w:tab w:pos="6761" w:val="left" w:leader="none"/>
          <w:tab w:pos="8512" w:val="left" w:leader="none"/>
          <w:tab w:pos="9514" w:val="left" w:leader="none"/>
          <w:tab w:pos="10494" w:val="left" w:leader="none"/>
          <w:tab w:pos="10787" w:val="left" w:leader="none"/>
          <w:tab w:pos="12551" w:val="left" w:leader="none"/>
          <w:tab w:pos="12933" w:val="left" w:leader="none"/>
          <w:tab w:pos="14215" w:val="left" w:leader="none"/>
          <w:tab w:pos="15199" w:val="left" w:leader="none"/>
        </w:tabs>
        <w:spacing w:line="156" w:lineRule="exact" w:before="0"/>
        <w:ind w:left="137" w:right="141" w:firstLine="0"/>
        <w:jc w:val="left"/>
        <w:rPr>
          <w:rFonts w:ascii="Arial" w:hAnsi="Arial" w:cs="Arial" w:eastAsia="Arial" w:hint="default"/>
          <w:sz w:val="12"/>
          <w:szCs w:val="12"/>
        </w:rPr>
      </w:pPr>
      <w:r>
        <w:rPr>
          <w:rFonts w:ascii="宋体" w:hAnsi="宋体" w:cs="宋体" w:eastAsia="宋体" w:hint="default"/>
          <w:position w:val="1"/>
          <w:sz w:val="12"/>
          <w:szCs w:val="12"/>
        </w:rPr>
        <w:t>加：营业外收入</w:t>
        <w:tab/>
      </w:r>
      <w:r>
        <w:rPr>
          <w:rFonts w:ascii="Arial" w:hAnsi="Arial" w:cs="Arial" w:eastAsia="Arial" w:hint="default"/>
          <w:sz w:val="12"/>
          <w:szCs w:val="12"/>
        </w:rPr>
        <w:t>-</w:t>
        <w:tab/>
        <w:t>-</w:t>
        <w:tab/>
        <w:t>-</w:t>
        <w:tab/>
      </w:r>
      <w:r>
        <w:rPr>
          <w:rFonts w:ascii="Arial" w:hAnsi="Arial" w:cs="Arial" w:eastAsia="Arial" w:hint="default"/>
          <w:spacing w:val="-1"/>
          <w:sz w:val="12"/>
          <w:szCs w:val="12"/>
        </w:rPr>
        <w:t>1,100,637,091</w:t>
        <w:tab/>
      </w:r>
      <w:r>
        <w:rPr>
          <w:rFonts w:ascii="Arial" w:hAnsi="Arial" w:cs="Arial" w:eastAsia="Arial" w:hint="default"/>
          <w:sz w:val="12"/>
          <w:szCs w:val="12"/>
        </w:rPr>
        <w:t>-</w:t>
        <w:tab/>
      </w:r>
      <w:r>
        <w:rPr>
          <w:rFonts w:ascii="Arial" w:hAnsi="Arial" w:cs="Arial" w:eastAsia="Arial" w:hint="default"/>
          <w:spacing w:val="-1"/>
          <w:sz w:val="12"/>
          <w:szCs w:val="12"/>
        </w:rPr>
        <w:t>1,100,637,091</w:t>
        <w:tab/>
      </w:r>
      <w:r>
        <w:rPr>
          <w:rFonts w:ascii="Arial" w:hAnsi="Arial" w:cs="Arial" w:eastAsia="Arial" w:hint="default"/>
          <w:sz w:val="12"/>
          <w:szCs w:val="12"/>
        </w:rPr>
        <w:t>-</w:t>
        <w:tab/>
        <w:t>-</w:t>
        <w:tab/>
        <w:t>-</w:t>
        <w:tab/>
      </w:r>
      <w:r>
        <w:rPr>
          <w:rFonts w:ascii="Arial" w:hAnsi="Arial" w:cs="Arial" w:eastAsia="Arial" w:hint="default"/>
          <w:spacing w:val="-1"/>
          <w:sz w:val="12"/>
          <w:szCs w:val="12"/>
        </w:rPr>
        <w:t>2,449,873,393</w:t>
        <w:tab/>
      </w:r>
      <w:r>
        <w:rPr>
          <w:rFonts w:ascii="Arial" w:hAnsi="Arial" w:cs="Arial" w:eastAsia="Arial" w:hint="default"/>
          <w:sz w:val="12"/>
          <w:szCs w:val="12"/>
        </w:rPr>
        <w:t>-</w:t>
        <w:tab/>
      </w:r>
      <w:r>
        <w:rPr>
          <w:rFonts w:ascii="Arial" w:hAnsi="Arial" w:cs="Arial" w:eastAsia="Arial" w:hint="default"/>
          <w:spacing w:val="-1"/>
          <w:sz w:val="12"/>
          <w:szCs w:val="12"/>
        </w:rPr>
        <w:t>2,449,873,393</w:t>
        <w:tab/>
        <w:t>24,483,418</w:t>
        <w:tab/>
        <w:t>2,474,356,811</w:t>
      </w:r>
    </w:p>
    <w:p>
      <w:pPr>
        <w:tabs>
          <w:tab w:pos="2453" w:val="left" w:leader="none"/>
          <w:tab w:pos="3495" w:val="left" w:leader="none"/>
          <w:tab w:pos="4494" w:val="left" w:leader="none"/>
          <w:tab w:pos="4806" w:val="left" w:leader="none"/>
          <w:tab w:pos="6426" w:val="left" w:leader="none"/>
          <w:tab w:pos="6821" w:val="left" w:leader="none"/>
          <w:tab w:pos="8511" w:val="left" w:leader="none"/>
          <w:tab w:pos="9513" w:val="left" w:leader="none"/>
          <w:tab w:pos="10494" w:val="left" w:leader="none"/>
          <w:tab w:pos="10847" w:val="left" w:leader="none"/>
          <w:tab w:pos="12550" w:val="left" w:leader="none"/>
          <w:tab w:pos="12993" w:val="left" w:leader="none"/>
          <w:tab w:pos="14241" w:val="left" w:leader="none"/>
          <w:tab w:pos="15258" w:val="left" w:leader="none"/>
        </w:tabs>
        <w:spacing w:line="155" w:lineRule="exact" w:before="0"/>
        <w:ind w:left="137" w:right="141" w:firstLine="0"/>
        <w:jc w:val="left"/>
        <w:rPr>
          <w:rFonts w:ascii="Arial" w:hAnsi="Arial" w:cs="Arial" w:eastAsia="Arial" w:hint="default"/>
          <w:sz w:val="12"/>
          <w:szCs w:val="12"/>
        </w:rPr>
      </w:pPr>
      <w:r>
        <w:rPr>
          <w:rFonts w:ascii="宋体" w:hAnsi="宋体" w:cs="宋体" w:eastAsia="宋体" w:hint="default"/>
          <w:position w:val="1"/>
          <w:sz w:val="12"/>
          <w:szCs w:val="12"/>
        </w:rPr>
        <w:t>减：营业外支出</w:t>
        <w:tab/>
      </w:r>
      <w:r>
        <w:rPr>
          <w:rFonts w:ascii="Arial" w:hAnsi="Arial" w:cs="Arial" w:eastAsia="Arial" w:hint="default"/>
          <w:sz w:val="12"/>
          <w:szCs w:val="12"/>
        </w:rPr>
        <w:t>-</w:t>
        <w:tab/>
        <w:t>-</w:t>
        <w:tab/>
        <w:t>-</w:t>
        <w:tab/>
      </w:r>
      <w:r>
        <w:rPr>
          <w:rFonts w:ascii="Arial" w:hAnsi="Arial" w:cs="Arial" w:eastAsia="Arial" w:hint="default"/>
          <w:spacing w:val="-1"/>
          <w:sz w:val="12"/>
          <w:szCs w:val="12"/>
        </w:rPr>
        <w:t>(275,186,614)</w:t>
        <w:tab/>
      </w:r>
      <w:r>
        <w:rPr>
          <w:rFonts w:ascii="Arial" w:hAnsi="Arial" w:cs="Arial" w:eastAsia="Arial" w:hint="default"/>
          <w:sz w:val="12"/>
          <w:szCs w:val="12"/>
        </w:rPr>
        <w:t>-</w:t>
        <w:tab/>
      </w:r>
      <w:r>
        <w:rPr>
          <w:rFonts w:ascii="Arial" w:hAnsi="Arial" w:cs="Arial" w:eastAsia="Arial" w:hint="default"/>
          <w:spacing w:val="-1"/>
          <w:sz w:val="12"/>
          <w:szCs w:val="12"/>
        </w:rPr>
        <w:t>(275,186,614)</w:t>
        <w:tab/>
      </w:r>
      <w:r>
        <w:rPr>
          <w:rFonts w:ascii="Arial" w:hAnsi="Arial" w:cs="Arial" w:eastAsia="Arial" w:hint="default"/>
          <w:sz w:val="12"/>
          <w:szCs w:val="12"/>
        </w:rPr>
        <w:t>-</w:t>
        <w:tab/>
        <w:t>-</w:t>
        <w:tab/>
        <w:t>-</w:t>
        <w:tab/>
      </w:r>
      <w:r>
        <w:rPr>
          <w:rFonts w:ascii="Arial" w:hAnsi="Arial" w:cs="Arial" w:eastAsia="Arial" w:hint="default"/>
          <w:spacing w:val="-1"/>
          <w:sz w:val="12"/>
          <w:szCs w:val="12"/>
        </w:rPr>
        <w:t>(302,122,156)</w:t>
        <w:tab/>
      </w:r>
      <w:r>
        <w:rPr>
          <w:rFonts w:ascii="Arial" w:hAnsi="Arial" w:cs="Arial" w:eastAsia="Arial" w:hint="default"/>
          <w:sz w:val="12"/>
          <w:szCs w:val="12"/>
        </w:rPr>
        <w:t>-</w:t>
        <w:tab/>
      </w:r>
      <w:r>
        <w:rPr>
          <w:rFonts w:ascii="Arial" w:hAnsi="Arial" w:cs="Arial" w:eastAsia="Arial" w:hint="default"/>
          <w:spacing w:val="-1"/>
          <w:sz w:val="12"/>
          <w:szCs w:val="12"/>
        </w:rPr>
        <w:t>(302,122,156)</w:t>
        <w:tab/>
        <w:t>(4,350,521)</w:t>
        <w:tab/>
        <w:t>(306,472,677)</w:t>
      </w:r>
    </w:p>
    <w:p>
      <w:pPr>
        <w:tabs>
          <w:tab w:pos="2453" w:val="left" w:leader="none"/>
          <w:tab w:pos="3495" w:val="left" w:leader="none"/>
          <w:tab w:pos="4494" w:val="left" w:leader="none"/>
          <w:tab w:pos="5475" w:val="left" w:leader="none"/>
          <w:tab w:pos="6426" w:val="left" w:leader="none"/>
          <w:tab w:pos="7489" w:val="left" w:leader="none"/>
          <w:tab w:pos="8512" w:val="left" w:leader="none"/>
          <w:tab w:pos="9514" w:val="left" w:leader="none"/>
          <w:tab w:pos="10494" w:val="left" w:leader="none"/>
          <w:tab w:pos="11515" w:val="left" w:leader="none"/>
          <w:tab w:pos="12551" w:val="left" w:leader="none"/>
          <w:tab w:pos="13662" w:val="left" w:leader="none"/>
          <w:tab w:pos="13981" w:val="left" w:leader="none"/>
          <w:tab w:pos="15132" w:val="left" w:leader="none"/>
          <w:tab w:pos="16056" w:val="left" w:leader="none"/>
        </w:tabs>
        <w:spacing w:line="165" w:lineRule="exact" w:before="0"/>
        <w:ind w:left="137" w:right="141" w:firstLine="0"/>
        <w:jc w:val="left"/>
        <w:rPr>
          <w:rFonts w:ascii="Arial" w:hAnsi="Arial" w:cs="Arial" w:eastAsia="Arial" w:hint="default"/>
          <w:sz w:val="12"/>
          <w:szCs w:val="12"/>
        </w:rPr>
      </w:pPr>
      <w:r>
        <w:rPr>
          <w:rFonts w:ascii="宋体" w:hAnsi="宋体" w:cs="宋体" w:eastAsia="宋体" w:hint="default"/>
          <w:position w:val="1"/>
          <w:sz w:val="12"/>
          <w:szCs w:val="12"/>
        </w:rPr>
        <w:t>出售</w:t>
      </w:r>
      <w:r>
        <w:rPr>
          <w:rFonts w:ascii="宋体" w:hAnsi="宋体" w:cs="宋体" w:eastAsia="宋体" w:hint="default"/>
          <w:spacing w:val="-30"/>
          <w:position w:val="1"/>
          <w:sz w:val="12"/>
          <w:szCs w:val="12"/>
        </w:rPr>
        <w:t> </w:t>
      </w:r>
      <w:r>
        <w:rPr>
          <w:rFonts w:ascii="Arial" w:hAnsi="Arial" w:cs="Arial" w:eastAsia="Arial" w:hint="default"/>
          <w:spacing w:val="-1"/>
          <w:position w:val="1"/>
          <w:sz w:val="12"/>
          <w:szCs w:val="12"/>
        </w:rPr>
        <w:t>CDMA</w:t>
      </w:r>
      <w:r>
        <w:rPr>
          <w:rFonts w:ascii="Arial" w:hAnsi="Arial" w:cs="Arial" w:eastAsia="Arial" w:hint="default"/>
          <w:spacing w:val="-3"/>
          <w:position w:val="1"/>
          <w:sz w:val="12"/>
          <w:szCs w:val="12"/>
        </w:rPr>
        <w:t> </w:t>
      </w:r>
      <w:r>
        <w:rPr>
          <w:rFonts w:ascii="宋体" w:hAnsi="宋体" w:cs="宋体" w:eastAsia="宋体" w:hint="default"/>
          <w:position w:val="1"/>
          <w:sz w:val="12"/>
          <w:szCs w:val="12"/>
        </w:rPr>
        <w:t>收益</w:t>
        <w:tab/>
      </w:r>
      <w:r>
        <w:rPr>
          <w:rFonts w:ascii="Arial" w:hAnsi="Arial" w:cs="Arial" w:eastAsia="Arial" w:hint="default"/>
          <w:sz w:val="12"/>
          <w:szCs w:val="12"/>
        </w:rPr>
        <w:t>-</w:t>
        <w:tab/>
        <w:t>-</w:t>
        <w:tab/>
        <w:t>-</w:t>
        <w:tab/>
        <w:t>-</w:t>
        <w:tab/>
        <w:t>-</w:t>
        <w:tab/>
        <w:t>-</w:t>
        <w:tab/>
        <w:t>-</w:t>
        <w:tab/>
        <w:t>-</w:t>
        <w:tab/>
        <w:t>-</w:t>
      </w:r>
      <w:r>
        <w:rPr>
          <w:rFonts w:ascii="Arial" w:hAnsi="Arial" w:cs="Arial" w:eastAsia="Arial" w:hint="default"/>
          <w:sz w:val="12"/>
          <w:szCs w:val="12"/>
          <w:u w:val="single" w:color="000000"/>
        </w:rPr>
        <w:t> </w:t>
        <w:tab/>
        <w:t>-</w:t>
        <w:tab/>
        <w:t>-</w:t>
      </w:r>
      <w:r>
        <w:rPr>
          <w:rFonts w:ascii="Arial" w:hAnsi="Arial" w:cs="Arial" w:eastAsia="Arial" w:hint="default"/>
          <w:sz w:val="12"/>
          <w:szCs w:val="12"/>
        </w:rPr>
      </w:r>
      <w:r>
        <w:rPr>
          <w:rFonts w:ascii="Arial" w:hAnsi="Arial" w:cs="Arial" w:eastAsia="Arial" w:hint="default"/>
          <w:sz w:val="12"/>
          <w:szCs w:val="12"/>
          <w:u w:val="single" w:color="000000"/>
        </w:rPr>
        <w:t> </w:t>
        <w:tab/>
        <w:t>-</w:t>
        <w:tab/>
      </w:r>
      <w:r>
        <w:rPr>
          <w:rFonts w:ascii="Arial" w:hAnsi="Arial" w:cs="Arial" w:eastAsia="Arial" w:hint="default"/>
          <w:spacing w:val="-1"/>
          <w:sz w:val="12"/>
          <w:szCs w:val="12"/>
          <w:u w:val="single" w:color="000000"/>
        </w:rPr>
        <w:t>35,627,042,735</w:t>
        <w:tab/>
        <w:t>35,627,042,735</w:t>
        <w:tab/>
      </w:r>
      <w:r>
        <w:rPr>
          <w:rFonts w:ascii="Arial" w:hAnsi="Arial" w:cs="Arial" w:eastAsia="Arial" w:hint="default"/>
          <w:spacing w:val="-1"/>
          <w:sz w:val="12"/>
          <w:szCs w:val="12"/>
        </w:rPr>
      </w:r>
    </w:p>
    <w:p>
      <w:pPr>
        <w:spacing w:line="20" w:lineRule="exact"/>
        <w:ind w:left="1594" w:right="0" w:firstLine="0"/>
        <w:rPr>
          <w:rFonts w:ascii="Arial" w:hAnsi="Arial" w:cs="Arial" w:eastAsia="Arial" w:hint="default"/>
          <w:sz w:val="2"/>
          <w:szCs w:val="2"/>
        </w:rPr>
      </w:pPr>
      <w:r>
        <w:rPr>
          <w:rFonts w:ascii="Arial" w:hAnsi="Arial" w:cs="Arial" w:eastAsia="Arial" w:hint="default"/>
          <w:sz w:val="2"/>
          <w:szCs w:val="2"/>
        </w:rPr>
        <w:pict>
          <v:group style="width:449.35pt;height:.75pt;mso-position-horizontal-relative:char;mso-position-vertical-relative:line" coordorigin="0,0" coordsize="8987,15">
            <v:group style="position:absolute;left:7;top:7;width:954;height:2" coordorigin="7,7" coordsize="954,2">
              <v:shape style="position:absolute;left:7;top:7;width:954;height:2" coordorigin="7,7" coordsize="954,0" path="m7,7l961,7e" filled="false" stroked="true" strokeweight=".72pt" strokecolor="#000000">
                <v:path arrowok="t"/>
              </v:shape>
            </v:group>
            <v:group style="position:absolute;left:986;top:7;width:1023;height:2" coordorigin="986,7" coordsize="1023,2">
              <v:shape style="position:absolute;left:986;top:7;width:1023;height:2" coordorigin="986,7" coordsize="1023,0" path="m986,7l2009,7e" filled="false" stroked="true" strokeweight=".72pt" strokecolor="#000000">
                <v:path arrowok="t"/>
              </v:shape>
            </v:group>
            <v:group style="position:absolute;left:2036;top:7;width:953;height:2" coordorigin="2036,7" coordsize="953,2">
              <v:shape style="position:absolute;left:2036;top:7;width:953;height:2" coordorigin="2036,7" coordsize="953,0" path="m2036,7l2989,7e" filled="false" stroked="true" strokeweight=".72pt" strokecolor="#000000">
                <v:path arrowok="t"/>
              </v:shape>
            </v:group>
            <v:group style="position:absolute;left:3017;top:7;width:939;height:2" coordorigin="3017,7" coordsize="939,2">
              <v:shape style="position:absolute;left:3017;top:7;width:939;height:2" coordorigin="3017,7" coordsize="939,0" path="m3017,7l3955,7e" filled="false" stroked="true" strokeweight=".72pt" strokecolor="#000000">
                <v:path arrowok="t"/>
              </v:shape>
            </v:group>
            <v:group style="position:absolute;left:3986;top:7;width:948;height:2" coordorigin="3986,7" coordsize="948,2">
              <v:shape style="position:absolute;left:3986;top:7;width:948;height:2" coordorigin="3986,7" coordsize="948,0" path="m3986,7l4934,7e" filled="false" stroked="true" strokeweight=".72pt" strokecolor="#000000">
                <v:path arrowok="t"/>
              </v:shape>
            </v:group>
            <v:group style="position:absolute;left:4962;top:7;width:1036;height:2" coordorigin="4962,7" coordsize="1036,2">
              <v:shape style="position:absolute;left:4962;top:7;width:1036;height:2" coordorigin="4962,7" coordsize="1036,0" path="m4962,7l5998,7e" filled="false" stroked="true" strokeweight=".72pt" strokecolor="#000000">
                <v:path arrowok="t"/>
              </v:shape>
            </v:group>
            <v:group style="position:absolute;left:6018;top:7;width:975;height:2" coordorigin="6018,7" coordsize="975,2">
              <v:shape style="position:absolute;left:6018;top:7;width:975;height:2" coordorigin="6018,7" coordsize="975,0" path="m6018,7l6992,7e" filled="false" stroked="true" strokeweight=".72pt" strokecolor="#000000">
                <v:path arrowok="t"/>
              </v:shape>
            </v:group>
            <v:group style="position:absolute;left:7020;top:7;width:954;height:2" coordorigin="7020,7" coordsize="954,2">
              <v:shape style="position:absolute;left:7020;top:7;width:954;height:2" coordorigin="7020,7" coordsize="954,0" path="m7020,7l7974,7e" filled="false" stroked="true" strokeweight=".72pt" strokecolor="#000000">
                <v:path arrowok="t"/>
              </v:shape>
            </v:group>
            <v:group style="position:absolute;left:8000;top:7;width:980;height:2" coordorigin="8000,7" coordsize="980,2">
              <v:shape style="position:absolute;left:8000;top:7;width:980;height:2" coordorigin="8000,7" coordsize="980,0" path="m8000,7l8980,7e" filled="false" stroked="true" strokeweight=".72pt" strokecolor="#000000">
                <v:path arrowok="t"/>
              </v:shape>
            </v:group>
          </v:group>
        </w:pict>
      </w:r>
      <w:r>
        <w:rPr>
          <w:rFonts w:ascii="Arial" w:hAnsi="Arial" w:cs="Arial" w:eastAsia="Arial" w:hint="default"/>
          <w:sz w:val="2"/>
          <w:szCs w:val="2"/>
        </w:rPr>
      </w:r>
    </w:p>
    <w:p>
      <w:pPr>
        <w:spacing w:line="240" w:lineRule="auto" w:before="8"/>
        <w:rPr>
          <w:rFonts w:ascii="Arial" w:hAnsi="Arial" w:cs="Arial" w:eastAsia="Arial" w:hint="default"/>
          <w:sz w:val="5"/>
          <w:szCs w:val="5"/>
        </w:rPr>
      </w:pPr>
    </w:p>
    <w:tbl>
      <w:tblPr>
        <w:tblW w:w="0" w:type="auto"/>
        <w:jc w:val="left"/>
        <w:tblInd w:w="102" w:type="dxa"/>
        <w:tblLayout w:type="fixed"/>
        <w:tblCellMar>
          <w:top w:w="0" w:type="dxa"/>
          <w:left w:w="0" w:type="dxa"/>
          <w:bottom w:w="0" w:type="dxa"/>
          <w:right w:w="0" w:type="dxa"/>
        </w:tblCellMar>
        <w:tblLook w:val="01E0"/>
      </w:tblPr>
      <w:tblGrid>
        <w:gridCol w:w="1499"/>
        <w:gridCol w:w="979"/>
        <w:gridCol w:w="3025"/>
        <w:gridCol w:w="923"/>
        <w:gridCol w:w="1063"/>
        <w:gridCol w:w="2982"/>
        <w:gridCol w:w="2092"/>
        <w:gridCol w:w="3426"/>
      </w:tblGrid>
      <w:tr>
        <w:trPr>
          <w:trHeight w:val="280" w:hRule="exact"/>
        </w:trPr>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63"/>
              <w:ind w:left="35" w:right="0"/>
              <w:jc w:val="left"/>
              <w:rPr>
                <w:rFonts w:ascii="宋体" w:hAnsi="宋体" w:cs="宋体" w:eastAsia="宋体" w:hint="default"/>
                <w:sz w:val="12"/>
                <w:szCs w:val="12"/>
              </w:rPr>
            </w:pPr>
            <w:r>
              <w:rPr>
                <w:rFonts w:ascii="宋体" w:hAnsi="宋体" w:cs="宋体" w:eastAsia="宋体" w:hint="default"/>
                <w:sz w:val="12"/>
                <w:szCs w:val="12"/>
              </w:rPr>
              <w:t>利润总额（减：亏损）</w:t>
            </w:r>
          </w:p>
        </w:tc>
        <w:tc>
          <w:tcPr>
            <w:tcW w:w="4927" w:type="dxa"/>
            <w:gridSpan w:val="3"/>
            <w:tcBorders>
              <w:top w:val="nil" w:sz="6" w:space="0" w:color="auto"/>
              <w:left w:val="nil" w:sz="6" w:space="0" w:color="auto"/>
              <w:bottom w:val="single" w:sz="6" w:space="0" w:color="000000"/>
              <w:right w:val="nil" w:sz="6" w:space="0" w:color="auto"/>
            </w:tcBorders>
          </w:tcPr>
          <w:p>
            <w:pPr>
              <w:pStyle w:val="TableParagraph"/>
              <w:spacing w:line="240" w:lineRule="auto" w:before="103"/>
              <w:ind w:right="0"/>
              <w:jc w:val="left"/>
              <w:rPr>
                <w:rFonts w:ascii="Arial" w:hAnsi="Arial" w:cs="Arial" w:eastAsia="Arial" w:hint="default"/>
                <w:sz w:val="12"/>
                <w:szCs w:val="12"/>
              </w:rPr>
            </w:pPr>
            <w:r>
              <w:rPr>
                <w:rFonts w:ascii="Arial"/>
                <w:w w:val="100"/>
                <w:sz w:val="12"/>
              </w:rPr>
            </w:r>
            <w:r>
              <w:rPr>
                <w:rFonts w:ascii="Arial"/>
                <w:w w:val="100"/>
                <w:sz w:val="12"/>
                <w:u w:val="single" w:color="000000"/>
              </w:rPr>
              <w:t> </w:t>
            </w:r>
            <w:r>
              <w:rPr>
                <w:rFonts w:ascii="Arial"/>
                <w:sz w:val="12"/>
                <w:u w:val="single" w:color="000000"/>
              </w:rPr>
              <w:t> </w:t>
            </w:r>
            <w:r>
              <w:rPr>
                <w:rFonts w:ascii="Arial"/>
                <w:spacing w:val="-17"/>
                <w:sz w:val="12"/>
                <w:u w:val="single" w:color="000000"/>
              </w:rPr>
              <w:t> </w:t>
            </w:r>
            <w:r>
              <w:rPr>
                <w:rFonts w:ascii="Arial"/>
                <w:sz w:val="12"/>
                <w:u w:val="single" w:color="000000"/>
              </w:rPr>
              <w:t>27,264,726,574     36,358,240,809     63,622,967,383   (51,256,729,295)    </w:t>
            </w:r>
            <w:r>
              <w:rPr>
                <w:rFonts w:ascii="Arial"/>
                <w:spacing w:val="26"/>
                <w:sz w:val="12"/>
                <w:u w:val="single" w:color="000000"/>
              </w:rPr>
              <w:t> </w:t>
            </w:r>
            <w:r>
              <w:rPr>
                <w:rFonts w:ascii="Arial"/>
                <w:sz w:val="12"/>
                <w:u w:val="single" w:color="000000"/>
              </w:rPr>
              <w:t>(185,261,774)</w:t>
            </w:r>
            <w:r>
              <w:rPr>
                <w:rFonts w:ascii="Arial"/>
                <w:sz w:val="12"/>
              </w:rPr>
            </w:r>
          </w:p>
        </w:tc>
        <w:tc>
          <w:tcPr>
            <w:tcW w:w="6137" w:type="dxa"/>
            <w:gridSpan w:val="3"/>
            <w:tcBorders>
              <w:top w:val="nil" w:sz="6" w:space="0" w:color="auto"/>
              <w:left w:val="nil" w:sz="6" w:space="0" w:color="auto"/>
              <w:bottom w:val="nil" w:sz="6" w:space="0" w:color="auto"/>
              <w:right w:val="nil" w:sz="6" w:space="0" w:color="auto"/>
            </w:tcBorders>
          </w:tcPr>
          <w:p>
            <w:pPr>
              <w:pStyle w:val="TableParagraph"/>
              <w:tabs>
                <w:tab w:pos="5419" w:val="left" w:leader="none"/>
              </w:tabs>
              <w:spacing w:line="240" w:lineRule="auto" w:before="103"/>
              <w:ind w:left="164" w:right="0"/>
              <w:jc w:val="left"/>
              <w:rPr>
                <w:rFonts w:ascii="Arial" w:hAnsi="Arial" w:cs="Arial" w:eastAsia="Arial" w:hint="default"/>
                <w:sz w:val="12"/>
                <w:szCs w:val="12"/>
              </w:rPr>
            </w:pPr>
            <w:r>
              <w:rPr>
                <w:rFonts w:ascii="Arial"/>
                <w:sz w:val="12"/>
              </w:rPr>
              <w:t>12,180,976,314     </w:t>
            </w:r>
            <w:r>
              <w:rPr>
                <w:rFonts w:ascii="Arial"/>
                <w:sz w:val="12"/>
                <w:u w:val="single" w:color="000000"/>
              </w:rPr>
              <w:t> 25,002,269,346     31,412,651,706    56,414,921,052   </w:t>
            </w:r>
            <w:r>
              <w:rPr>
                <w:rFonts w:ascii="Arial"/>
                <w:spacing w:val="23"/>
                <w:sz w:val="12"/>
                <w:u w:val="single" w:color="000000"/>
              </w:rPr>
              <w:t> </w:t>
            </w:r>
            <w:r>
              <w:rPr>
                <w:rFonts w:ascii="Arial"/>
                <w:spacing w:val="23"/>
                <w:sz w:val="12"/>
              </w:rPr>
            </w:r>
            <w:r>
              <w:rPr>
                <w:rFonts w:ascii="Arial"/>
                <w:spacing w:val="23"/>
                <w:sz w:val="12"/>
                <w:u w:val="single" w:color="000000"/>
              </w:rPr>
              <w:t> </w:t>
            </w:r>
            <w:r>
              <w:rPr>
                <w:rFonts w:ascii="Arial"/>
                <w:sz w:val="12"/>
                <w:u w:val="single" w:color="000000"/>
              </w:rPr>
              <w:t>(47,374,255,035)</w:t>
              <w:tab/>
              <w:t>(59,845,420)</w:t>
            </w:r>
            <w:r>
              <w:rPr>
                <w:rFonts w:ascii="Arial"/>
                <w:sz w:val="12"/>
              </w:rPr>
            </w:r>
          </w:p>
        </w:tc>
        <w:tc>
          <w:tcPr>
            <w:tcW w:w="3426" w:type="dxa"/>
            <w:tcBorders>
              <w:top w:val="nil" w:sz="6" w:space="0" w:color="auto"/>
              <w:left w:val="nil" w:sz="6" w:space="0" w:color="auto"/>
              <w:bottom w:val="nil" w:sz="6" w:space="0" w:color="auto"/>
              <w:right w:val="nil" w:sz="6" w:space="0" w:color="auto"/>
            </w:tcBorders>
          </w:tcPr>
          <w:p>
            <w:pPr>
              <w:pStyle w:val="TableParagraph"/>
              <w:tabs>
                <w:tab w:pos="1047" w:val="left" w:leader="none"/>
                <w:tab w:pos="2197" w:val="left" w:leader="none"/>
              </w:tabs>
              <w:spacing w:line="240" w:lineRule="auto" w:before="103"/>
              <w:ind w:right="123"/>
              <w:jc w:val="right"/>
              <w:rPr>
                <w:rFonts w:ascii="Arial" w:hAnsi="Arial" w:cs="Arial" w:eastAsia="Arial" w:hint="default"/>
                <w:sz w:val="12"/>
                <w:szCs w:val="12"/>
              </w:rPr>
            </w:pPr>
            <w:r>
              <w:rPr>
                <w:rFonts w:ascii="Arial"/>
                <w:spacing w:val="-1"/>
                <w:sz w:val="12"/>
              </w:rPr>
              <w:t>8,980,820,597</w:t>
              <w:tab/>
              <w:t>37,433,065,610</w:t>
              <w:tab/>
              <w:t>46,413,886,207</w:t>
            </w:r>
          </w:p>
        </w:tc>
      </w:tr>
      <w:tr>
        <w:trPr>
          <w:trHeight w:val="172" w:hRule="exact"/>
        </w:trPr>
        <w:tc>
          <w:tcPr>
            <w:tcW w:w="1499" w:type="dxa"/>
            <w:tcBorders>
              <w:top w:val="nil" w:sz="6" w:space="0" w:color="auto"/>
              <w:left w:val="nil" w:sz="6" w:space="0" w:color="auto"/>
              <w:bottom w:val="nil" w:sz="6" w:space="0" w:color="auto"/>
              <w:right w:val="nil" w:sz="6" w:space="0" w:color="auto"/>
            </w:tcBorders>
          </w:tcPr>
          <w:p>
            <w:pPr>
              <w:pStyle w:val="TableParagraph"/>
              <w:spacing w:line="142" w:lineRule="exact"/>
              <w:ind w:left="35" w:right="0"/>
              <w:jc w:val="left"/>
              <w:rPr>
                <w:rFonts w:ascii="宋体" w:hAnsi="宋体" w:cs="宋体" w:eastAsia="宋体" w:hint="default"/>
                <w:sz w:val="12"/>
                <w:szCs w:val="12"/>
              </w:rPr>
            </w:pPr>
            <w:r>
              <w:rPr>
                <w:rFonts w:ascii="宋体" w:hAnsi="宋体" w:cs="宋体" w:eastAsia="宋体" w:hint="default"/>
                <w:sz w:val="12"/>
                <w:szCs w:val="12"/>
              </w:rPr>
              <w:t>减：所得税费用</w:t>
            </w:r>
          </w:p>
        </w:tc>
        <w:tc>
          <w:tcPr>
            <w:tcW w:w="4927" w:type="dxa"/>
            <w:gridSpan w:val="3"/>
            <w:tcBorders>
              <w:top w:val="single" w:sz="6" w:space="0" w:color="000000"/>
              <w:left w:val="nil" w:sz="6" w:space="0" w:color="auto"/>
              <w:bottom w:val="nil" w:sz="6" w:space="0" w:color="auto"/>
              <w:right w:val="nil" w:sz="6" w:space="0" w:color="auto"/>
            </w:tcBorders>
          </w:tcPr>
          <w:p>
            <w:pPr/>
          </w:p>
        </w:tc>
        <w:tc>
          <w:tcPr>
            <w:tcW w:w="613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4"/>
              <w:ind w:left="192" w:right="0"/>
              <w:jc w:val="left"/>
              <w:rPr>
                <w:rFonts w:ascii="Arial" w:hAnsi="Arial" w:cs="Arial" w:eastAsia="Arial" w:hint="default"/>
                <w:sz w:val="12"/>
                <w:szCs w:val="12"/>
              </w:rPr>
            </w:pPr>
            <w:r>
              <w:rPr>
                <w:rFonts w:ascii="Arial"/>
                <w:sz w:val="12"/>
              </w:rPr>
              <w:t>(2,807,082,528)</w:t>
            </w:r>
          </w:p>
        </w:tc>
        <w:tc>
          <w:tcPr>
            <w:tcW w:w="3426" w:type="dxa"/>
            <w:tcBorders>
              <w:top w:val="nil" w:sz="6" w:space="0" w:color="auto"/>
              <w:left w:val="nil" w:sz="6" w:space="0" w:color="auto"/>
              <w:bottom w:val="nil" w:sz="6" w:space="0" w:color="auto"/>
              <w:right w:val="nil" w:sz="6" w:space="0" w:color="auto"/>
            </w:tcBorders>
          </w:tcPr>
          <w:p>
            <w:pPr>
              <w:pStyle w:val="TableParagraph"/>
              <w:tabs>
                <w:tab w:pos="1114" w:val="left" w:leader="none"/>
                <w:tab w:pos="2199" w:val="left" w:leader="none"/>
              </w:tabs>
              <w:spacing w:line="240" w:lineRule="auto" w:before="24"/>
              <w:ind w:right="81"/>
              <w:jc w:val="right"/>
              <w:rPr>
                <w:rFonts w:ascii="Arial" w:hAnsi="Arial" w:cs="Arial" w:eastAsia="Arial" w:hint="default"/>
                <w:sz w:val="12"/>
                <w:szCs w:val="12"/>
              </w:rPr>
            </w:pPr>
            <w:r>
              <w:rPr>
                <w:rFonts w:ascii="Arial"/>
                <w:spacing w:val="-1"/>
                <w:sz w:val="12"/>
              </w:rPr>
              <w:t>(1,728,669,363)</w:t>
              <w:tab/>
              <w:t>(9,485,677,586)</w:t>
              <w:tab/>
              <w:t>(11,214,346,949)</w:t>
            </w:r>
          </w:p>
        </w:tc>
      </w:tr>
      <w:tr>
        <w:trPr>
          <w:trHeight w:val="164" w:hRule="exact"/>
        </w:trPr>
        <w:tc>
          <w:tcPr>
            <w:tcW w:w="1499" w:type="dxa"/>
            <w:tcBorders>
              <w:top w:val="nil" w:sz="6" w:space="0" w:color="auto"/>
              <w:left w:val="nil" w:sz="6" w:space="0" w:color="auto"/>
              <w:bottom w:val="nil" w:sz="6" w:space="0" w:color="auto"/>
              <w:right w:val="nil" w:sz="6" w:space="0" w:color="auto"/>
            </w:tcBorders>
          </w:tcPr>
          <w:p>
            <w:pPr/>
          </w:p>
        </w:tc>
        <w:tc>
          <w:tcPr>
            <w:tcW w:w="4927" w:type="dxa"/>
            <w:gridSpan w:val="3"/>
            <w:tcBorders>
              <w:top w:val="nil" w:sz="6" w:space="0" w:color="auto"/>
              <w:left w:val="nil" w:sz="6" w:space="0" w:color="auto"/>
              <w:bottom w:val="nil" w:sz="6" w:space="0" w:color="auto"/>
              <w:right w:val="nil" w:sz="6" w:space="0" w:color="auto"/>
            </w:tcBorders>
          </w:tcPr>
          <w:p>
            <w:pPr/>
          </w:p>
        </w:tc>
        <w:tc>
          <w:tcPr>
            <w:tcW w:w="6137" w:type="dxa"/>
            <w:gridSpan w:val="3"/>
            <w:tcBorders>
              <w:top w:val="nil" w:sz="6" w:space="0" w:color="auto"/>
              <w:left w:val="nil" w:sz="6" w:space="0" w:color="auto"/>
              <w:bottom w:val="nil" w:sz="6" w:space="0" w:color="auto"/>
              <w:right w:val="nil" w:sz="6" w:space="0" w:color="auto"/>
            </w:tcBorders>
          </w:tcPr>
          <w:p>
            <w:pPr/>
          </w:p>
        </w:tc>
        <w:tc>
          <w:tcPr>
            <w:tcW w:w="3426" w:type="dxa"/>
            <w:tcBorders>
              <w:top w:val="nil" w:sz="6" w:space="0" w:color="auto"/>
              <w:left w:val="nil" w:sz="6" w:space="0" w:color="auto"/>
              <w:bottom w:val="nil" w:sz="6" w:space="0" w:color="auto"/>
              <w:right w:val="nil" w:sz="6" w:space="0" w:color="auto"/>
            </w:tcBorders>
          </w:tcPr>
          <w:p>
            <w:pPr>
              <w:pStyle w:val="TableParagraph"/>
              <w:spacing w:line="20" w:lineRule="exact"/>
              <w:ind w:left="5" w:right="-18"/>
              <w:jc w:val="left"/>
              <w:rPr>
                <w:rFonts w:ascii="Arial" w:hAnsi="Arial" w:cs="Arial" w:eastAsia="Arial" w:hint="default"/>
                <w:sz w:val="2"/>
                <w:szCs w:val="2"/>
              </w:rPr>
            </w:pPr>
            <w:r>
              <w:rPr>
                <w:rFonts w:ascii="Arial" w:hAnsi="Arial" w:cs="Arial" w:eastAsia="Arial" w:hint="default"/>
                <w:sz w:val="2"/>
                <w:szCs w:val="2"/>
              </w:rPr>
              <w:pict>
                <v:group style="width:169.65pt;height:.75pt;mso-position-horizontal-relative:char;mso-position-vertical-relative:line" coordorigin="0,0" coordsize="3393,15">
                  <v:group style="position:absolute;left:7;top:7;width:1086;height:2" coordorigin="7,7" coordsize="1086,2">
                    <v:shape style="position:absolute;left:7;top:7;width:1086;height:2" coordorigin="7,7" coordsize="1086,0" path="m7,7l1093,7e" filled="false" stroked="true" strokeweight=".72pt" strokecolor="#000000">
                      <v:path arrowok="t"/>
                    </v:shape>
                  </v:group>
                  <v:group style="position:absolute;left:1122;top:7;width:1124;height:2" coordorigin="1122,7" coordsize="1124,2">
                    <v:shape style="position:absolute;left:1122;top:7;width:1124;height:2" coordorigin="1122,7" coordsize="1124,0" path="m1122,7l2245,7e" filled="false" stroked="true" strokeweight=".72pt" strokecolor="#000000">
                      <v:path arrowok="t"/>
                    </v:shape>
                  </v:group>
                  <v:group style="position:absolute;left:2273;top:7;width:1113;height:2" coordorigin="2273,7" coordsize="1113,2">
                    <v:shape style="position:absolute;left:2273;top:7;width:1113;height:2" coordorigin="2273,7" coordsize="1113,0" path="m2273,7l3385,7e" filled="false" stroked="true" strokeweight=".72pt" strokecolor="#000000">
                      <v:path arrowok="t"/>
                    </v:shape>
                  </v:group>
                </v:group>
              </w:pict>
            </w:r>
            <w:r>
              <w:rPr>
                <w:rFonts w:ascii="Arial" w:hAnsi="Arial" w:cs="Arial" w:eastAsia="Arial" w:hint="default"/>
                <w:sz w:val="2"/>
                <w:szCs w:val="2"/>
              </w:rPr>
            </w:r>
          </w:p>
          <w:p>
            <w:pPr>
              <w:pStyle w:val="TableParagraph"/>
              <w:spacing w:line="240" w:lineRule="auto"/>
              <w:ind w:right="121"/>
              <w:jc w:val="right"/>
              <w:rPr>
                <w:rFonts w:ascii="Arial" w:hAnsi="Arial" w:cs="Arial" w:eastAsia="Arial" w:hint="default"/>
                <w:sz w:val="12"/>
                <w:szCs w:val="12"/>
              </w:rPr>
            </w:pPr>
            <w:r>
              <w:rPr>
                <w:rFonts w:ascii="Arial"/>
                <w:w w:val="99"/>
                <w:sz w:val="12"/>
              </w:rPr>
              <w:t>-</w:t>
            </w:r>
            <w:r>
              <w:rPr>
                <w:rFonts w:ascii="Arial"/>
                <w:sz w:val="12"/>
              </w:rPr>
            </w:r>
          </w:p>
        </w:tc>
      </w:tr>
      <w:tr>
        <w:trPr>
          <w:trHeight w:val="179" w:hRule="exact"/>
        </w:trPr>
        <w:tc>
          <w:tcPr>
            <w:tcW w:w="7489" w:type="dxa"/>
            <w:gridSpan w:val="5"/>
            <w:tcBorders>
              <w:top w:val="nil" w:sz="6" w:space="0" w:color="auto"/>
              <w:left w:val="nil" w:sz="6" w:space="0" w:color="auto"/>
              <w:bottom w:val="nil" w:sz="6" w:space="0" w:color="auto"/>
              <w:right w:val="nil" w:sz="6" w:space="0" w:color="auto"/>
            </w:tcBorders>
          </w:tcPr>
          <w:p>
            <w:pPr>
              <w:pStyle w:val="TableParagraph"/>
              <w:tabs>
                <w:tab w:pos="6453" w:val="left" w:leader="none"/>
                <w:tab w:pos="7489" w:val="left" w:leader="none"/>
              </w:tabs>
              <w:spacing w:line="123" w:lineRule="exact"/>
              <w:ind w:left="35" w:right="0"/>
              <w:jc w:val="left"/>
              <w:rPr>
                <w:rFonts w:ascii="Arial" w:hAnsi="Arial" w:cs="Arial" w:eastAsia="Arial" w:hint="default"/>
                <w:sz w:val="12"/>
                <w:szCs w:val="12"/>
              </w:rPr>
            </w:pPr>
            <w:r>
              <w:rPr>
                <w:rFonts w:ascii="宋体" w:hAnsi="宋体" w:cs="宋体" w:eastAsia="宋体" w:hint="default"/>
                <w:position w:val="1"/>
                <w:sz w:val="12"/>
                <w:szCs w:val="12"/>
              </w:rPr>
              <w:t>净利润</w:t>
              <w:tab/>
            </w:r>
            <w:r>
              <w:rPr>
                <w:rFonts w:ascii="Arial" w:hAnsi="Arial" w:cs="Arial" w:eastAsia="Arial" w:hint="default"/>
                <w:sz w:val="12"/>
                <w:szCs w:val="12"/>
              </w:rPr>
            </w:r>
            <w:r>
              <w:rPr>
                <w:rFonts w:ascii="Arial" w:hAnsi="Arial" w:cs="Arial" w:eastAsia="Arial" w:hint="default"/>
                <w:sz w:val="12"/>
                <w:szCs w:val="12"/>
                <w:u w:val="single" w:color="000000"/>
              </w:rPr>
              <w:t> 9,373,893,786</w:t>
              <w:tab/>
            </w:r>
            <w:r>
              <w:rPr>
                <w:rFonts w:ascii="Arial" w:hAnsi="Arial" w:cs="Arial" w:eastAsia="Arial" w:hint="default"/>
                <w:sz w:val="12"/>
                <w:szCs w:val="12"/>
              </w:rPr>
            </w:r>
          </w:p>
        </w:tc>
        <w:tc>
          <w:tcPr>
            <w:tcW w:w="5074" w:type="dxa"/>
            <w:gridSpan w:val="2"/>
            <w:tcBorders>
              <w:top w:val="nil" w:sz="6" w:space="0" w:color="auto"/>
              <w:left w:val="nil" w:sz="6" w:space="0" w:color="auto"/>
              <w:bottom w:val="nil" w:sz="6" w:space="0" w:color="auto"/>
              <w:right w:val="nil" w:sz="6" w:space="0" w:color="auto"/>
            </w:tcBorders>
          </w:tcPr>
          <w:p>
            <w:pPr/>
          </w:p>
        </w:tc>
        <w:tc>
          <w:tcPr>
            <w:tcW w:w="3426" w:type="dxa"/>
            <w:tcBorders>
              <w:top w:val="nil" w:sz="6" w:space="0" w:color="auto"/>
              <w:left w:val="nil" w:sz="6" w:space="0" w:color="auto"/>
              <w:bottom w:val="single" w:sz="6" w:space="0" w:color="000000"/>
              <w:right w:val="nil" w:sz="6" w:space="0" w:color="auto"/>
            </w:tcBorders>
          </w:tcPr>
          <w:p>
            <w:pPr>
              <w:pStyle w:val="TableParagraph"/>
              <w:tabs>
                <w:tab w:pos="255" w:val="left" w:leader="none"/>
                <w:tab w:pos="1302" w:val="left" w:leader="none"/>
                <w:tab w:pos="2453" w:val="left" w:leader="none"/>
                <w:tab w:pos="3377" w:val="left" w:leader="none"/>
              </w:tabs>
              <w:spacing w:line="123" w:lineRule="exact"/>
              <w:ind w:right="33"/>
              <w:jc w:val="right"/>
              <w:rPr>
                <w:rFonts w:ascii="Arial" w:hAnsi="Arial" w:cs="Arial" w:eastAsia="Arial" w:hint="default"/>
                <w:sz w:val="12"/>
                <w:szCs w:val="12"/>
              </w:rPr>
            </w:pPr>
            <w:r>
              <w:rPr>
                <w:rFonts w:ascii="Arial"/>
                <w:w w:val="100"/>
                <w:sz w:val="12"/>
              </w:rPr>
            </w:r>
            <w:r>
              <w:rPr>
                <w:rFonts w:ascii="Arial"/>
                <w:w w:val="100"/>
                <w:sz w:val="12"/>
                <w:u w:val="single" w:color="000000"/>
              </w:rPr>
              <w:t> </w:t>
            </w:r>
            <w:r>
              <w:rPr>
                <w:rFonts w:ascii="Arial"/>
                <w:sz w:val="12"/>
                <w:u w:val="single" w:color="000000"/>
              </w:rPr>
              <w:tab/>
            </w:r>
            <w:r>
              <w:rPr>
                <w:rFonts w:ascii="Arial"/>
                <w:spacing w:val="-1"/>
                <w:sz w:val="12"/>
                <w:u w:val="single" w:color="000000"/>
              </w:rPr>
              <w:t>7,252,151,234</w:t>
              <w:tab/>
              <w:t>27,947,388,024</w:t>
              <w:tab/>
              <w:t>35,199,539,258</w:t>
              <w:tab/>
            </w:r>
            <w:r>
              <w:rPr>
                <w:rFonts w:ascii="Arial"/>
                <w:spacing w:val="-1"/>
                <w:sz w:val="12"/>
              </w:rPr>
            </w:r>
          </w:p>
        </w:tc>
      </w:tr>
      <w:tr>
        <w:trPr>
          <w:trHeight w:val="389" w:hRule="exact"/>
        </w:trPr>
        <w:tc>
          <w:tcPr>
            <w:tcW w:w="7489"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12"/>
                <w:szCs w:val="12"/>
              </w:rPr>
            </w:pPr>
            <w:r>
              <w:rPr>
                <w:rFonts w:ascii="宋体" w:hAnsi="宋体" w:cs="宋体" w:eastAsia="宋体" w:hint="default"/>
                <w:sz w:val="12"/>
                <w:szCs w:val="12"/>
              </w:rPr>
              <w:t>其中：归属于母公司普通股</w:t>
            </w:r>
          </w:p>
          <w:p>
            <w:pPr>
              <w:pStyle w:val="TableParagraph"/>
              <w:tabs>
                <w:tab w:pos="6453" w:val="left" w:leader="none"/>
                <w:tab w:pos="7489" w:val="left" w:leader="none"/>
              </w:tabs>
              <w:spacing w:line="240" w:lineRule="auto" w:before="1"/>
              <w:ind w:left="512" w:right="0"/>
              <w:jc w:val="left"/>
              <w:rPr>
                <w:rFonts w:ascii="Arial" w:hAnsi="Arial" w:cs="Arial" w:eastAsia="Arial" w:hint="default"/>
                <w:sz w:val="12"/>
                <w:szCs w:val="12"/>
              </w:rPr>
            </w:pPr>
            <w:r>
              <w:rPr>
                <w:rFonts w:ascii="宋体" w:hAnsi="宋体" w:cs="宋体" w:eastAsia="宋体" w:hint="default"/>
                <w:position w:val="1"/>
                <w:sz w:val="12"/>
                <w:szCs w:val="12"/>
              </w:rPr>
              <w:t>股东的净利润</w:t>
              <w:tab/>
            </w:r>
            <w:r>
              <w:rPr>
                <w:rFonts w:ascii="Arial" w:hAnsi="Arial" w:cs="Arial" w:eastAsia="Arial" w:hint="default"/>
                <w:sz w:val="12"/>
                <w:szCs w:val="12"/>
              </w:rPr>
            </w:r>
            <w:r>
              <w:rPr>
                <w:rFonts w:ascii="Arial" w:hAnsi="Arial" w:cs="Arial" w:eastAsia="Arial" w:hint="default"/>
                <w:sz w:val="12"/>
                <w:szCs w:val="12"/>
                <w:u w:val="single" w:color="000000"/>
              </w:rPr>
              <w:t> 3,137,024,492</w:t>
              <w:tab/>
            </w:r>
            <w:r>
              <w:rPr>
                <w:rFonts w:ascii="Arial" w:hAnsi="Arial" w:cs="Arial" w:eastAsia="Arial" w:hint="default"/>
                <w:sz w:val="12"/>
                <w:szCs w:val="12"/>
              </w:rPr>
            </w:r>
          </w:p>
        </w:tc>
        <w:tc>
          <w:tcPr>
            <w:tcW w:w="5074" w:type="dxa"/>
            <w:gridSpan w:val="2"/>
            <w:tcBorders>
              <w:top w:val="nil" w:sz="6" w:space="0" w:color="auto"/>
              <w:left w:val="nil" w:sz="6" w:space="0" w:color="auto"/>
              <w:bottom w:val="nil" w:sz="6" w:space="0" w:color="auto"/>
              <w:right w:val="nil" w:sz="6" w:space="0" w:color="auto"/>
            </w:tcBorders>
          </w:tcPr>
          <w:p>
            <w:pPr/>
          </w:p>
        </w:tc>
        <w:tc>
          <w:tcPr>
            <w:tcW w:w="3426"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2"/>
                <w:szCs w:val="12"/>
              </w:rPr>
            </w:pPr>
          </w:p>
          <w:p>
            <w:pPr>
              <w:pStyle w:val="TableParagraph"/>
              <w:tabs>
                <w:tab w:pos="255" w:val="left" w:leader="none"/>
                <w:tab w:pos="1302" w:val="left" w:leader="none"/>
                <w:tab w:pos="2453" w:val="left" w:leader="none"/>
                <w:tab w:pos="3377" w:val="left" w:leader="none"/>
              </w:tabs>
              <w:spacing w:line="240" w:lineRule="auto" w:before="74"/>
              <w:ind w:right="33"/>
              <w:jc w:val="right"/>
              <w:rPr>
                <w:rFonts w:ascii="Arial" w:hAnsi="Arial" w:cs="Arial" w:eastAsia="Arial" w:hint="default"/>
                <w:sz w:val="12"/>
                <w:szCs w:val="12"/>
              </w:rPr>
            </w:pPr>
            <w:r>
              <w:rPr>
                <w:rFonts w:ascii="Arial"/>
                <w:w w:val="100"/>
                <w:sz w:val="12"/>
              </w:rPr>
            </w:r>
            <w:r>
              <w:rPr>
                <w:rFonts w:ascii="Arial"/>
                <w:w w:val="100"/>
                <w:sz w:val="12"/>
                <w:u w:val="single" w:color="000000"/>
              </w:rPr>
              <w:t> </w:t>
            </w:r>
            <w:r>
              <w:rPr>
                <w:rFonts w:ascii="Arial"/>
                <w:sz w:val="12"/>
                <w:u w:val="single" w:color="000000"/>
              </w:rPr>
              <w:tab/>
            </w:r>
            <w:r>
              <w:rPr>
                <w:rFonts w:ascii="Arial"/>
                <w:spacing w:val="-1"/>
                <w:sz w:val="12"/>
                <w:u w:val="single" w:color="000000"/>
              </w:rPr>
              <w:t>3,908,266,437</w:t>
              <w:tab/>
              <w:t>16,327,636,119</w:t>
              <w:tab/>
              <w:t>20,235,902,556</w:t>
              <w:tab/>
            </w:r>
            <w:r>
              <w:rPr>
                <w:rFonts w:ascii="Arial"/>
                <w:spacing w:val="-1"/>
                <w:sz w:val="12"/>
              </w:rPr>
            </w:r>
          </w:p>
        </w:tc>
      </w:tr>
      <w:tr>
        <w:trPr>
          <w:trHeight w:val="245" w:hRule="exact"/>
        </w:trPr>
        <w:tc>
          <w:tcPr>
            <w:tcW w:w="7489" w:type="dxa"/>
            <w:gridSpan w:val="5"/>
            <w:tcBorders>
              <w:top w:val="nil" w:sz="6" w:space="0" w:color="auto"/>
              <w:left w:val="nil" w:sz="6" w:space="0" w:color="auto"/>
              <w:bottom w:val="nil" w:sz="6" w:space="0" w:color="auto"/>
              <w:right w:val="nil" w:sz="6" w:space="0" w:color="auto"/>
            </w:tcBorders>
          </w:tcPr>
          <w:p>
            <w:pPr>
              <w:pStyle w:val="TableParagraph"/>
              <w:tabs>
                <w:tab w:pos="6453" w:val="left" w:leader="none"/>
                <w:tab w:pos="7489" w:val="left" w:leader="none"/>
              </w:tabs>
              <w:spacing w:line="156" w:lineRule="exact"/>
              <w:ind w:left="399" w:right="0"/>
              <w:jc w:val="left"/>
              <w:rPr>
                <w:rFonts w:ascii="Arial" w:hAnsi="Arial" w:cs="Arial" w:eastAsia="Arial" w:hint="default"/>
                <w:sz w:val="12"/>
                <w:szCs w:val="12"/>
              </w:rPr>
            </w:pPr>
            <w:r>
              <w:rPr>
                <w:rFonts w:ascii="宋体" w:hAnsi="宋体" w:cs="宋体" w:eastAsia="宋体" w:hint="default"/>
                <w:position w:val="1"/>
                <w:sz w:val="12"/>
                <w:szCs w:val="12"/>
              </w:rPr>
              <w:t>少数股东损益</w:t>
              <w:tab/>
            </w:r>
            <w:r>
              <w:rPr>
                <w:rFonts w:ascii="Arial" w:hAnsi="Arial" w:cs="Arial" w:eastAsia="Arial" w:hint="default"/>
                <w:sz w:val="12"/>
                <w:szCs w:val="12"/>
              </w:rPr>
            </w:r>
            <w:r>
              <w:rPr>
                <w:rFonts w:ascii="Arial" w:hAnsi="Arial" w:cs="Arial" w:eastAsia="Arial" w:hint="default"/>
                <w:sz w:val="12"/>
                <w:szCs w:val="12"/>
                <w:u w:val="single" w:color="000000"/>
              </w:rPr>
              <w:t> 6,236,869,294</w:t>
              <w:tab/>
            </w:r>
            <w:r>
              <w:rPr>
                <w:rFonts w:ascii="Arial" w:hAnsi="Arial" w:cs="Arial" w:eastAsia="Arial" w:hint="default"/>
                <w:sz w:val="12"/>
                <w:szCs w:val="12"/>
              </w:rPr>
            </w:r>
          </w:p>
        </w:tc>
        <w:tc>
          <w:tcPr>
            <w:tcW w:w="5074" w:type="dxa"/>
            <w:gridSpan w:val="2"/>
            <w:tcBorders>
              <w:top w:val="nil" w:sz="6" w:space="0" w:color="auto"/>
              <w:left w:val="nil" w:sz="6" w:space="0" w:color="auto"/>
              <w:bottom w:val="nil" w:sz="6" w:space="0" w:color="auto"/>
              <w:right w:val="nil" w:sz="6" w:space="0" w:color="auto"/>
            </w:tcBorders>
          </w:tcPr>
          <w:p>
            <w:pPr/>
          </w:p>
        </w:tc>
        <w:tc>
          <w:tcPr>
            <w:tcW w:w="3426" w:type="dxa"/>
            <w:tcBorders>
              <w:top w:val="nil" w:sz="6" w:space="0" w:color="auto"/>
              <w:left w:val="nil" w:sz="6" w:space="0" w:color="auto"/>
              <w:bottom w:val="nil" w:sz="6" w:space="0" w:color="auto"/>
              <w:right w:val="nil" w:sz="6" w:space="0" w:color="auto"/>
            </w:tcBorders>
          </w:tcPr>
          <w:p>
            <w:pPr>
              <w:pStyle w:val="TableParagraph"/>
              <w:tabs>
                <w:tab w:pos="255" w:val="left" w:leader="none"/>
                <w:tab w:pos="1302" w:val="left" w:leader="none"/>
                <w:tab w:pos="2453" w:val="left" w:leader="none"/>
                <w:tab w:pos="3377" w:val="left" w:leader="none"/>
              </w:tabs>
              <w:spacing w:line="240" w:lineRule="auto" w:before="18"/>
              <w:ind w:right="33"/>
              <w:jc w:val="right"/>
              <w:rPr>
                <w:rFonts w:ascii="Arial" w:hAnsi="Arial" w:cs="Arial" w:eastAsia="Arial" w:hint="default"/>
                <w:sz w:val="12"/>
                <w:szCs w:val="12"/>
              </w:rPr>
            </w:pPr>
            <w:r>
              <w:rPr>
                <w:rFonts w:ascii="Arial"/>
                <w:w w:val="100"/>
                <w:sz w:val="12"/>
              </w:rPr>
            </w:r>
            <w:r>
              <w:rPr>
                <w:rFonts w:ascii="Arial"/>
                <w:w w:val="100"/>
                <w:sz w:val="12"/>
                <w:u w:val="single" w:color="000000"/>
              </w:rPr>
              <w:t> </w:t>
            </w:r>
            <w:r>
              <w:rPr>
                <w:rFonts w:ascii="Arial"/>
                <w:sz w:val="12"/>
                <w:u w:val="single" w:color="000000"/>
              </w:rPr>
              <w:tab/>
            </w:r>
            <w:r>
              <w:rPr>
                <w:rFonts w:ascii="Arial"/>
                <w:spacing w:val="-1"/>
                <w:sz w:val="12"/>
                <w:u w:val="single" w:color="000000"/>
              </w:rPr>
              <w:t>3,343,884,797</w:t>
              <w:tab/>
              <w:t>11,619,751,905</w:t>
              <w:tab/>
              <w:t>14,963,636,702</w:t>
              <w:tab/>
            </w:r>
            <w:r>
              <w:rPr>
                <w:rFonts w:ascii="Arial"/>
                <w:spacing w:val="-1"/>
                <w:sz w:val="12"/>
              </w:rPr>
            </w:r>
          </w:p>
        </w:tc>
      </w:tr>
      <w:tr>
        <w:trPr>
          <w:trHeight w:val="396" w:hRule="exact"/>
        </w:trPr>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18"/>
                <w:szCs w:val="18"/>
              </w:rPr>
            </w:pPr>
            <w:r>
              <w:rPr>
                <w:rFonts w:ascii="Arial" w:hAnsi="Arial" w:cs="Arial" w:eastAsia="Arial" w:hint="default"/>
                <w:b/>
                <w:bCs/>
                <w:sz w:val="18"/>
                <w:szCs w:val="18"/>
              </w:rPr>
              <w:t>2</w:t>
            </w:r>
            <w:r>
              <w:rPr>
                <w:rFonts w:ascii="宋体" w:hAnsi="宋体" w:cs="宋体" w:eastAsia="宋体" w:hint="default"/>
                <w:b/>
                <w:bCs/>
                <w:sz w:val="18"/>
                <w:szCs w:val="18"/>
              </w:rPr>
              <w:t>、补充信息</w:t>
            </w:r>
            <w:r>
              <w:rPr>
                <w:rFonts w:ascii="宋体" w:hAnsi="宋体" w:cs="宋体" w:eastAsia="宋体" w:hint="default"/>
                <w:sz w:val="18"/>
                <w:szCs w:val="18"/>
              </w:rPr>
            </w:r>
          </w:p>
        </w:tc>
        <w:tc>
          <w:tcPr>
            <w:tcW w:w="979" w:type="dxa"/>
            <w:tcBorders>
              <w:top w:val="nil" w:sz="6" w:space="0" w:color="auto"/>
              <w:left w:val="nil" w:sz="6" w:space="0" w:color="auto"/>
              <w:bottom w:val="nil" w:sz="6" w:space="0" w:color="auto"/>
              <w:right w:val="nil" w:sz="6" w:space="0" w:color="auto"/>
            </w:tcBorders>
          </w:tcPr>
          <w:p>
            <w:pPr/>
          </w:p>
        </w:tc>
        <w:tc>
          <w:tcPr>
            <w:tcW w:w="3025" w:type="dxa"/>
            <w:tcBorders>
              <w:top w:val="nil" w:sz="6" w:space="0" w:color="auto"/>
              <w:left w:val="nil" w:sz="6" w:space="0" w:color="auto"/>
              <w:bottom w:val="nil" w:sz="6" w:space="0" w:color="auto"/>
              <w:right w:val="nil" w:sz="6" w:space="0" w:color="auto"/>
            </w:tcBorders>
          </w:tcPr>
          <w:p>
            <w:pPr/>
          </w:p>
        </w:tc>
        <w:tc>
          <w:tcPr>
            <w:tcW w:w="923" w:type="dxa"/>
            <w:tcBorders>
              <w:top w:val="nil" w:sz="6" w:space="0" w:color="auto"/>
              <w:left w:val="nil" w:sz="6" w:space="0" w:color="auto"/>
              <w:bottom w:val="nil" w:sz="6" w:space="0" w:color="auto"/>
              <w:right w:val="nil" w:sz="6" w:space="0" w:color="auto"/>
            </w:tcBorders>
          </w:tcPr>
          <w:p>
            <w:pPr/>
          </w:p>
        </w:tc>
        <w:tc>
          <w:tcPr>
            <w:tcW w:w="9563" w:type="dxa"/>
            <w:gridSpan w:val="4"/>
            <w:tcBorders>
              <w:top w:val="nil" w:sz="6" w:space="0" w:color="auto"/>
              <w:left w:val="nil" w:sz="6" w:space="0" w:color="auto"/>
              <w:bottom w:val="nil" w:sz="6" w:space="0" w:color="auto"/>
              <w:right w:val="nil" w:sz="6" w:space="0" w:color="auto"/>
            </w:tcBorders>
          </w:tcPr>
          <w:p>
            <w:pPr/>
          </w:p>
        </w:tc>
      </w:tr>
      <w:tr>
        <w:trPr>
          <w:trHeight w:val="281" w:hRule="exact"/>
        </w:trPr>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78"/>
              <w:ind w:left="35" w:right="0"/>
              <w:jc w:val="left"/>
              <w:rPr>
                <w:rFonts w:ascii="宋体" w:hAnsi="宋体" w:cs="宋体" w:eastAsia="宋体" w:hint="default"/>
                <w:sz w:val="12"/>
                <w:szCs w:val="12"/>
              </w:rPr>
            </w:pPr>
            <w:r>
              <w:rPr>
                <w:rFonts w:ascii="宋体" w:hAnsi="宋体" w:cs="宋体" w:eastAsia="宋体" w:hint="default"/>
                <w:sz w:val="12"/>
                <w:szCs w:val="12"/>
              </w:rPr>
              <w:t>折旧及摊销</w:t>
            </w:r>
          </w:p>
        </w:tc>
        <w:tc>
          <w:tcPr>
            <w:tcW w:w="979"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right="0"/>
              <w:jc w:val="left"/>
              <w:rPr>
                <w:rFonts w:ascii="Arial" w:hAnsi="Arial" w:cs="Arial" w:eastAsia="Arial" w:hint="default"/>
                <w:sz w:val="10"/>
                <w:szCs w:val="10"/>
              </w:rPr>
            </w:pPr>
          </w:p>
          <w:p>
            <w:pPr>
              <w:pStyle w:val="TableParagraph"/>
              <w:spacing w:line="240" w:lineRule="auto"/>
              <w:ind w:right="49"/>
              <w:jc w:val="right"/>
              <w:rPr>
                <w:rFonts w:ascii="Arial" w:hAnsi="Arial" w:cs="Arial" w:eastAsia="Arial" w:hint="default"/>
                <w:sz w:val="12"/>
                <w:szCs w:val="12"/>
              </w:rPr>
            </w:pPr>
            <w:r>
              <w:rPr>
                <w:rFonts w:ascii="Arial"/>
                <w:spacing w:val="-1"/>
                <w:sz w:val="12"/>
              </w:rPr>
              <w:t>(17,674,346,499)</w:t>
            </w:r>
          </w:p>
        </w:tc>
        <w:tc>
          <w:tcPr>
            <w:tcW w:w="3025"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right="0"/>
              <w:jc w:val="left"/>
              <w:rPr>
                <w:rFonts w:ascii="Arial" w:hAnsi="Arial" w:cs="Arial" w:eastAsia="Arial" w:hint="default"/>
                <w:sz w:val="10"/>
                <w:szCs w:val="10"/>
              </w:rPr>
            </w:pPr>
          </w:p>
          <w:p>
            <w:pPr>
              <w:pStyle w:val="TableParagraph"/>
              <w:spacing w:line="240" w:lineRule="auto"/>
              <w:ind w:right="49"/>
              <w:jc w:val="right"/>
              <w:rPr>
                <w:rFonts w:ascii="Arial" w:hAnsi="Arial" w:cs="Arial" w:eastAsia="Arial" w:hint="default"/>
                <w:sz w:val="12"/>
                <w:szCs w:val="12"/>
              </w:rPr>
            </w:pPr>
            <w:r>
              <w:rPr>
                <w:rFonts w:ascii="Arial"/>
                <w:sz w:val="12"/>
              </w:rPr>
              <w:t>(28,378,151,191)  (46,052,497,690)    (1,874,007,948)</w:t>
            </w:r>
          </w:p>
        </w:tc>
        <w:tc>
          <w:tcPr>
            <w:tcW w:w="923"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right="0"/>
              <w:jc w:val="left"/>
              <w:rPr>
                <w:rFonts w:ascii="Arial" w:hAnsi="Arial" w:cs="Arial" w:eastAsia="Arial" w:hint="default"/>
                <w:sz w:val="10"/>
                <w:szCs w:val="10"/>
              </w:rPr>
            </w:pPr>
          </w:p>
          <w:p>
            <w:pPr>
              <w:pStyle w:val="TableParagraph"/>
              <w:spacing w:line="240" w:lineRule="auto"/>
              <w:ind w:right="62"/>
              <w:jc w:val="right"/>
              <w:rPr>
                <w:rFonts w:ascii="Arial" w:hAnsi="Arial" w:cs="Arial" w:eastAsia="Arial" w:hint="default"/>
                <w:sz w:val="12"/>
                <w:szCs w:val="12"/>
              </w:rPr>
            </w:pPr>
            <w:r>
              <w:rPr>
                <w:rFonts w:ascii="Arial"/>
                <w:spacing w:val="-1"/>
                <w:sz w:val="12"/>
              </w:rPr>
              <w:t>28,982,171</w:t>
            </w:r>
          </w:p>
        </w:tc>
        <w:tc>
          <w:tcPr>
            <w:tcW w:w="9563"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Arial" w:hAnsi="Arial" w:cs="Arial" w:eastAsia="Arial" w:hint="default"/>
                <w:sz w:val="10"/>
                <w:szCs w:val="10"/>
              </w:rPr>
            </w:pPr>
          </w:p>
          <w:p>
            <w:pPr>
              <w:pStyle w:val="TableParagraph"/>
              <w:tabs>
                <w:tab w:pos="6022" w:val="left" w:leader="none"/>
                <w:tab w:pos="7579" w:val="left" w:leader="none"/>
                <w:tab w:pos="8562" w:val="left" w:leader="none"/>
                <w:tab w:pos="9527" w:val="left" w:leader="none"/>
              </w:tabs>
              <w:spacing w:line="240" w:lineRule="auto"/>
              <w:ind w:left="124" w:right="0"/>
              <w:jc w:val="left"/>
              <w:rPr>
                <w:rFonts w:ascii="Arial" w:hAnsi="Arial" w:cs="Arial" w:eastAsia="Arial" w:hint="default"/>
                <w:sz w:val="12"/>
                <w:szCs w:val="12"/>
              </w:rPr>
            </w:pPr>
            <w:r>
              <w:rPr>
                <w:rFonts w:ascii="Arial"/>
                <w:spacing w:val="-1"/>
                <w:sz w:val="12"/>
              </w:rPr>
              <w:t>(47,897,523,467)</w:t>
            </w:r>
            <w:r>
              <w:rPr>
                <w:rFonts w:ascii="Arial"/>
                <w:sz w:val="12"/>
              </w:rPr>
              <w:t>    </w:t>
            </w:r>
            <w:r>
              <w:rPr>
                <w:rFonts w:ascii="Arial"/>
                <w:spacing w:val="-1"/>
                <w:sz w:val="12"/>
              </w:rPr>
              <w:t>(18,313,139,893)</w:t>
            </w:r>
            <w:r>
              <w:rPr>
                <w:rFonts w:ascii="Arial"/>
                <w:sz w:val="12"/>
              </w:rPr>
              <w:t>  </w:t>
            </w:r>
            <w:r>
              <w:rPr>
                <w:rFonts w:ascii="Arial"/>
                <w:spacing w:val="-1"/>
                <w:sz w:val="12"/>
              </w:rPr>
              <w:t>(28,266,138,070)</w:t>
            </w:r>
            <w:r>
              <w:rPr>
                <w:rFonts w:ascii="Arial"/>
                <w:sz w:val="12"/>
              </w:rPr>
              <w:t>   </w:t>
            </w:r>
            <w:r>
              <w:rPr>
                <w:rFonts w:ascii="Arial"/>
                <w:spacing w:val="-1"/>
                <w:sz w:val="12"/>
              </w:rPr>
              <w:t>(46,579,277,963)</w:t>
            </w:r>
            <w:r>
              <w:rPr>
                <w:rFonts w:ascii="Arial"/>
                <w:sz w:val="12"/>
              </w:rPr>
              <w:t>    </w:t>
            </w:r>
            <w:r>
              <w:rPr>
                <w:rFonts w:ascii="Arial"/>
                <w:spacing w:val="20"/>
                <w:sz w:val="12"/>
              </w:rPr>
              <w:t> </w:t>
            </w:r>
            <w:r>
              <w:rPr>
                <w:rFonts w:ascii="Arial"/>
                <w:spacing w:val="20"/>
                <w:sz w:val="12"/>
                <w:u w:val="single" w:color="000000"/>
              </w:rPr>
              <w:t> </w:t>
            </w:r>
            <w:r>
              <w:rPr>
                <w:rFonts w:ascii="Arial"/>
                <w:spacing w:val="-1"/>
                <w:sz w:val="12"/>
                <w:u w:val="single" w:color="000000"/>
              </w:rPr>
              <w:t>(1,825,688,233)</w:t>
              <w:tab/>
            </w:r>
            <w:r>
              <w:rPr>
                <w:rFonts w:ascii="Arial"/>
                <w:sz w:val="12"/>
                <w:u w:val="single" w:color="000000"/>
              </w:rPr>
              <w:t>-      </w:t>
            </w:r>
            <w:r>
              <w:rPr>
                <w:rFonts w:ascii="Arial"/>
                <w:spacing w:val="11"/>
                <w:sz w:val="12"/>
                <w:u w:val="single" w:color="000000"/>
              </w:rPr>
              <w:t> </w:t>
            </w:r>
            <w:r>
              <w:rPr>
                <w:rFonts w:ascii="Arial"/>
                <w:spacing w:val="11"/>
                <w:sz w:val="12"/>
              </w:rPr>
            </w:r>
            <w:r>
              <w:rPr>
                <w:rFonts w:ascii="Arial"/>
                <w:spacing w:val="11"/>
                <w:sz w:val="12"/>
                <w:u w:val="single" w:color="000000"/>
              </w:rPr>
              <w:t> </w:t>
            </w:r>
            <w:r>
              <w:rPr>
                <w:rFonts w:ascii="Arial"/>
                <w:spacing w:val="-1"/>
                <w:sz w:val="12"/>
                <w:u w:val="single" w:color="000000"/>
              </w:rPr>
              <w:t>(48,404,966,196)</w:t>
              <w:tab/>
              <w:t>(410,743,723)</w:t>
              <w:tab/>
              <w:t>(48,815,709,919)</w:t>
              <w:tab/>
            </w:r>
            <w:r>
              <w:rPr>
                <w:rFonts w:ascii="Arial"/>
                <w:spacing w:val="-1"/>
                <w:sz w:val="12"/>
              </w:rPr>
            </w:r>
          </w:p>
        </w:tc>
      </w:tr>
      <w:tr>
        <w:trPr>
          <w:trHeight w:val="200" w:hRule="exact"/>
        </w:trPr>
        <w:tc>
          <w:tcPr>
            <w:tcW w:w="1499" w:type="dxa"/>
            <w:tcBorders>
              <w:top w:val="nil" w:sz="6" w:space="0" w:color="auto"/>
              <w:left w:val="nil" w:sz="6" w:space="0" w:color="auto"/>
              <w:bottom w:val="nil" w:sz="6" w:space="0" w:color="auto"/>
              <w:right w:val="nil" w:sz="6" w:space="0" w:color="auto"/>
            </w:tcBorders>
          </w:tcPr>
          <w:p>
            <w:pPr>
              <w:pStyle w:val="TableParagraph"/>
              <w:spacing w:line="156" w:lineRule="exact"/>
              <w:ind w:left="35" w:right="0"/>
              <w:jc w:val="left"/>
              <w:rPr>
                <w:rFonts w:ascii="宋体" w:hAnsi="宋体" w:cs="宋体" w:eastAsia="宋体" w:hint="default"/>
                <w:sz w:val="12"/>
                <w:szCs w:val="12"/>
              </w:rPr>
            </w:pPr>
            <w:r>
              <w:rPr>
                <w:rFonts w:ascii="宋体" w:hAnsi="宋体" w:cs="宋体" w:eastAsia="宋体" w:hint="default"/>
                <w:sz w:val="12"/>
                <w:szCs w:val="12"/>
              </w:rPr>
              <w:t>资本性支出</w:t>
            </w:r>
          </w:p>
        </w:tc>
        <w:tc>
          <w:tcPr>
            <w:tcW w:w="979" w:type="dxa"/>
            <w:tcBorders>
              <w:top w:val="single" w:sz="17" w:space="0" w:color="000000"/>
              <w:left w:val="nil" w:sz="6" w:space="0" w:color="auto"/>
              <w:bottom w:val="single" w:sz="17" w:space="0" w:color="000000"/>
              <w:right w:val="nil" w:sz="6" w:space="0" w:color="auto"/>
            </w:tcBorders>
          </w:tcPr>
          <w:p>
            <w:pPr>
              <w:pStyle w:val="TableParagraph"/>
              <w:spacing w:line="240" w:lineRule="auto" w:before="17"/>
              <w:ind w:right="86"/>
              <w:jc w:val="right"/>
              <w:rPr>
                <w:rFonts w:ascii="Arial" w:hAnsi="Arial" w:cs="Arial" w:eastAsia="Arial" w:hint="default"/>
                <w:sz w:val="12"/>
                <w:szCs w:val="12"/>
              </w:rPr>
            </w:pPr>
            <w:r>
              <w:rPr>
                <w:rFonts w:ascii="Arial"/>
                <w:spacing w:val="-1"/>
                <w:sz w:val="12"/>
              </w:rPr>
              <w:t>56,984,006,911</w:t>
            </w:r>
          </w:p>
        </w:tc>
        <w:tc>
          <w:tcPr>
            <w:tcW w:w="3025" w:type="dxa"/>
            <w:tcBorders>
              <w:top w:val="single" w:sz="17" w:space="0" w:color="000000"/>
              <w:left w:val="nil" w:sz="6" w:space="0" w:color="auto"/>
              <w:bottom w:val="single" w:sz="17" w:space="0" w:color="000000"/>
              <w:right w:val="nil" w:sz="6" w:space="0" w:color="auto"/>
            </w:tcBorders>
          </w:tcPr>
          <w:p>
            <w:pPr>
              <w:pStyle w:val="TableParagraph"/>
              <w:tabs>
                <w:tab w:pos="2046" w:val="left" w:leader="none"/>
              </w:tabs>
              <w:spacing w:line="240" w:lineRule="auto" w:before="17"/>
              <w:ind w:right="90"/>
              <w:jc w:val="right"/>
              <w:rPr>
                <w:rFonts w:ascii="Arial" w:hAnsi="Arial" w:cs="Arial" w:eastAsia="Arial" w:hint="default"/>
                <w:sz w:val="12"/>
                <w:szCs w:val="12"/>
              </w:rPr>
            </w:pPr>
            <w:r>
              <w:rPr>
                <w:rFonts w:ascii="Arial"/>
                <w:spacing w:val="-1"/>
                <w:sz w:val="12"/>
              </w:rPr>
              <w:t>46,493,637,439</w:t>
            </w:r>
            <w:r>
              <w:rPr>
                <w:rFonts w:ascii="Arial"/>
                <w:sz w:val="12"/>
              </w:rPr>
              <w:t>  </w:t>
            </w:r>
            <w:r>
              <w:rPr>
                <w:rFonts w:ascii="Arial"/>
                <w:spacing w:val="17"/>
                <w:sz w:val="12"/>
              </w:rPr>
              <w:t> </w:t>
            </w:r>
            <w:r>
              <w:rPr>
                <w:rFonts w:ascii="Arial"/>
                <w:spacing w:val="-1"/>
                <w:sz w:val="12"/>
              </w:rPr>
              <w:t>103,477,644,350</w:t>
              <w:tab/>
              <w:t>8,996,316,993</w:t>
            </w:r>
          </w:p>
        </w:tc>
        <w:tc>
          <w:tcPr>
            <w:tcW w:w="923" w:type="dxa"/>
            <w:tcBorders>
              <w:top w:val="single" w:sz="17" w:space="0" w:color="000000"/>
              <w:left w:val="nil" w:sz="6" w:space="0" w:color="auto"/>
              <w:bottom w:val="single" w:sz="17" w:space="0" w:color="000000"/>
              <w:right w:val="nil" w:sz="6" w:space="0" w:color="auto"/>
            </w:tcBorders>
          </w:tcPr>
          <w:p>
            <w:pPr>
              <w:pStyle w:val="TableParagraph"/>
              <w:spacing w:line="240" w:lineRule="auto" w:before="17"/>
              <w:ind w:right="61"/>
              <w:jc w:val="right"/>
              <w:rPr>
                <w:rFonts w:ascii="Arial" w:hAnsi="Arial" w:cs="Arial" w:eastAsia="Arial" w:hint="default"/>
                <w:sz w:val="12"/>
                <w:szCs w:val="12"/>
              </w:rPr>
            </w:pPr>
            <w:r>
              <w:rPr>
                <w:rFonts w:ascii="Arial"/>
                <w:w w:val="99"/>
                <w:sz w:val="12"/>
              </w:rPr>
              <w:t>-</w:t>
            </w:r>
            <w:r>
              <w:rPr>
                <w:rFonts w:ascii="Arial"/>
                <w:sz w:val="12"/>
              </w:rPr>
            </w:r>
          </w:p>
        </w:tc>
        <w:tc>
          <w:tcPr>
            <w:tcW w:w="9563" w:type="dxa"/>
            <w:gridSpan w:val="4"/>
            <w:tcBorders>
              <w:top w:val="nil" w:sz="6" w:space="0" w:color="auto"/>
              <w:left w:val="nil" w:sz="6" w:space="0" w:color="auto"/>
              <w:bottom w:val="single" w:sz="17" w:space="0" w:color="000000"/>
              <w:right w:val="nil" w:sz="6" w:space="0" w:color="auto"/>
            </w:tcBorders>
          </w:tcPr>
          <w:p>
            <w:pPr>
              <w:pStyle w:val="TableParagraph"/>
              <w:tabs>
                <w:tab w:pos="4255" w:val="left" w:leader="none"/>
                <w:tab w:pos="6022" w:val="left" w:leader="none"/>
                <w:tab w:pos="6338" w:val="left" w:leader="none"/>
                <w:tab w:pos="8248" w:val="left" w:leader="none"/>
                <w:tab w:pos="8603" w:val="left" w:leader="none"/>
              </w:tabs>
              <w:spacing w:line="240" w:lineRule="auto" w:before="38"/>
              <w:ind w:left="96" w:right="0"/>
              <w:jc w:val="left"/>
              <w:rPr>
                <w:rFonts w:ascii="Arial" w:hAnsi="Arial" w:cs="Arial" w:eastAsia="Arial" w:hint="default"/>
                <w:sz w:val="12"/>
                <w:szCs w:val="12"/>
              </w:rPr>
            </w:pPr>
            <w:r>
              <w:rPr>
                <w:rFonts w:ascii="Arial"/>
                <w:spacing w:val="-1"/>
                <w:sz w:val="12"/>
              </w:rPr>
              <w:t>112,473,961,343</w:t>
            </w:r>
            <w:r>
              <w:rPr>
                <w:rFonts w:ascii="Arial"/>
                <w:sz w:val="12"/>
              </w:rPr>
              <w:t>      </w:t>
            </w:r>
            <w:r>
              <w:rPr>
                <w:rFonts w:ascii="Arial"/>
                <w:spacing w:val="-1"/>
                <w:sz w:val="12"/>
              </w:rPr>
              <w:t>33,852,089,841</w:t>
            </w:r>
            <w:r>
              <w:rPr>
                <w:rFonts w:ascii="Arial"/>
                <w:sz w:val="12"/>
              </w:rPr>
              <w:t>     </w:t>
            </w:r>
            <w:r>
              <w:rPr>
                <w:rFonts w:ascii="Arial"/>
                <w:spacing w:val="-1"/>
                <w:sz w:val="12"/>
              </w:rPr>
              <w:t>31,539,678,576</w:t>
            </w:r>
            <w:r>
              <w:rPr>
                <w:rFonts w:ascii="Arial"/>
                <w:sz w:val="12"/>
              </w:rPr>
              <w:t>    </w:t>
            </w:r>
            <w:r>
              <w:rPr>
                <w:rFonts w:ascii="Arial"/>
                <w:spacing w:val="6"/>
                <w:sz w:val="12"/>
              </w:rPr>
              <w:t> </w:t>
            </w:r>
            <w:r>
              <w:rPr>
                <w:rFonts w:ascii="Arial"/>
                <w:spacing w:val="-1"/>
                <w:sz w:val="12"/>
              </w:rPr>
              <w:t>65,391,768,417</w:t>
              <w:tab/>
              <w:t>5,471,459,642</w:t>
              <w:tab/>
            </w:r>
            <w:r>
              <w:rPr>
                <w:rFonts w:ascii="Arial"/>
                <w:sz w:val="12"/>
              </w:rPr>
              <w:t>-</w:t>
              <w:tab/>
            </w:r>
            <w:r>
              <w:rPr>
                <w:rFonts w:ascii="Arial"/>
                <w:spacing w:val="-1"/>
                <w:sz w:val="12"/>
              </w:rPr>
              <w:t>70,863,228,059</w:t>
              <w:tab/>
            </w:r>
            <w:r>
              <w:rPr>
                <w:rFonts w:ascii="Arial"/>
                <w:sz w:val="12"/>
              </w:rPr>
              <w:t>-</w:t>
              <w:tab/>
            </w:r>
            <w:r>
              <w:rPr>
                <w:rFonts w:ascii="Arial"/>
                <w:spacing w:val="-1"/>
                <w:sz w:val="12"/>
              </w:rPr>
              <w:t>70,863,228,059</w:t>
            </w:r>
          </w:p>
        </w:tc>
      </w:tr>
      <w:tr>
        <w:trPr>
          <w:trHeight w:val="752" w:hRule="exact"/>
        </w:trPr>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137"/>
              <w:ind w:left="35" w:right="0"/>
              <w:jc w:val="left"/>
              <w:rPr>
                <w:rFonts w:ascii="宋体" w:hAnsi="宋体" w:cs="宋体" w:eastAsia="宋体" w:hint="default"/>
                <w:sz w:val="18"/>
                <w:szCs w:val="18"/>
              </w:rPr>
            </w:pPr>
            <w:r>
              <w:rPr>
                <w:rFonts w:ascii="Arial" w:hAnsi="Arial" w:cs="Arial" w:eastAsia="Arial" w:hint="default"/>
                <w:b/>
                <w:bCs/>
                <w:sz w:val="18"/>
                <w:szCs w:val="18"/>
              </w:rPr>
              <w:t>3</w:t>
            </w:r>
            <w:r>
              <w:rPr>
                <w:rFonts w:ascii="宋体" w:hAnsi="宋体" w:cs="宋体" w:eastAsia="宋体" w:hint="default"/>
                <w:b/>
                <w:bCs/>
                <w:sz w:val="18"/>
                <w:szCs w:val="18"/>
              </w:rPr>
              <w:t>、资产负债部分</w:t>
            </w:r>
            <w:r>
              <w:rPr>
                <w:rFonts w:ascii="宋体" w:hAnsi="宋体" w:cs="宋体" w:eastAsia="宋体" w:hint="default"/>
                <w:sz w:val="18"/>
                <w:szCs w:val="18"/>
              </w:rPr>
            </w:r>
          </w:p>
        </w:tc>
        <w:tc>
          <w:tcPr>
            <w:tcW w:w="979" w:type="dxa"/>
            <w:tcBorders>
              <w:top w:val="single" w:sz="17" w:space="0" w:color="000000"/>
              <w:left w:val="nil" w:sz="6" w:space="0" w:color="auto"/>
              <w:bottom w:val="nil" w:sz="6" w:space="0" w:color="auto"/>
              <w:right w:val="nil" w:sz="6" w:space="0" w:color="auto"/>
            </w:tcBorders>
          </w:tcPr>
          <w:p>
            <w:pPr/>
          </w:p>
        </w:tc>
        <w:tc>
          <w:tcPr>
            <w:tcW w:w="3025" w:type="dxa"/>
            <w:tcBorders>
              <w:top w:val="single" w:sz="17" w:space="0" w:color="000000"/>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2"/>
                <w:szCs w:val="12"/>
              </w:rPr>
            </w:pPr>
          </w:p>
          <w:p>
            <w:pPr>
              <w:pStyle w:val="TableParagraph"/>
              <w:spacing w:line="240" w:lineRule="auto"/>
              <w:ind w:right="0"/>
              <w:jc w:val="left"/>
              <w:rPr>
                <w:rFonts w:ascii="Arial" w:hAnsi="Arial" w:cs="Arial" w:eastAsia="Arial" w:hint="default"/>
                <w:sz w:val="12"/>
                <w:szCs w:val="12"/>
              </w:rPr>
            </w:pPr>
          </w:p>
          <w:p>
            <w:pPr>
              <w:pStyle w:val="TableParagraph"/>
              <w:spacing w:line="240" w:lineRule="auto"/>
              <w:ind w:right="0"/>
              <w:jc w:val="left"/>
              <w:rPr>
                <w:rFonts w:ascii="Arial" w:hAnsi="Arial" w:cs="Arial" w:eastAsia="Arial" w:hint="default"/>
                <w:sz w:val="12"/>
                <w:szCs w:val="12"/>
              </w:rPr>
            </w:pPr>
          </w:p>
          <w:p>
            <w:pPr>
              <w:pStyle w:val="TableParagraph"/>
              <w:spacing w:line="240" w:lineRule="auto" w:before="3"/>
              <w:ind w:right="0"/>
              <w:jc w:val="left"/>
              <w:rPr>
                <w:rFonts w:ascii="Arial" w:hAnsi="Arial" w:cs="Arial" w:eastAsia="Arial" w:hint="default"/>
                <w:sz w:val="11"/>
                <w:szCs w:val="11"/>
              </w:rPr>
            </w:pPr>
          </w:p>
          <w:p>
            <w:pPr>
              <w:pStyle w:val="TableParagraph"/>
              <w:spacing w:line="240" w:lineRule="auto"/>
              <w:ind w:right="181"/>
              <w:jc w:val="right"/>
              <w:rPr>
                <w:rFonts w:ascii="宋体" w:hAnsi="宋体" w:cs="宋体" w:eastAsia="宋体" w:hint="default"/>
                <w:sz w:val="12"/>
                <w:szCs w:val="12"/>
              </w:rPr>
            </w:pPr>
            <w:r>
              <w:rPr>
                <w:rFonts w:ascii="Arial" w:hAnsi="Arial" w:cs="Arial" w:eastAsia="Arial" w:hint="default"/>
                <w:sz w:val="12"/>
                <w:szCs w:val="12"/>
              </w:rPr>
              <w:t>2009</w:t>
            </w:r>
            <w:r>
              <w:rPr>
                <w:rFonts w:ascii="Arial" w:hAnsi="Arial" w:cs="Arial" w:eastAsia="Arial" w:hint="default"/>
                <w:spacing w:val="-4"/>
                <w:sz w:val="12"/>
                <w:szCs w:val="12"/>
              </w:rPr>
              <w:t> </w:t>
            </w:r>
            <w:r>
              <w:rPr>
                <w:rFonts w:ascii="宋体" w:hAnsi="宋体" w:cs="宋体" w:eastAsia="宋体" w:hint="default"/>
                <w:sz w:val="12"/>
                <w:szCs w:val="12"/>
              </w:rPr>
              <w:t>年</w:t>
            </w:r>
            <w:r>
              <w:rPr>
                <w:rFonts w:ascii="宋体" w:hAnsi="宋体" w:cs="宋体" w:eastAsia="宋体" w:hint="default"/>
                <w:spacing w:val="-31"/>
                <w:sz w:val="12"/>
                <w:szCs w:val="12"/>
              </w:rPr>
              <w:t> </w:t>
            </w:r>
            <w:r>
              <w:rPr>
                <w:rFonts w:ascii="Arial" w:hAnsi="Arial" w:cs="Arial" w:eastAsia="Arial" w:hint="default"/>
                <w:sz w:val="12"/>
                <w:szCs w:val="12"/>
              </w:rPr>
              <w:t>12</w:t>
            </w:r>
            <w:r>
              <w:rPr>
                <w:rFonts w:ascii="Arial" w:hAnsi="Arial" w:cs="Arial" w:eastAsia="Arial" w:hint="default"/>
                <w:spacing w:val="-4"/>
                <w:sz w:val="12"/>
                <w:szCs w:val="12"/>
              </w:rPr>
              <w:t> </w:t>
            </w:r>
            <w:r>
              <w:rPr>
                <w:rFonts w:ascii="宋体" w:hAnsi="宋体" w:cs="宋体" w:eastAsia="宋体" w:hint="default"/>
                <w:sz w:val="12"/>
                <w:szCs w:val="12"/>
              </w:rPr>
              <w:t>月</w:t>
            </w:r>
            <w:r>
              <w:rPr>
                <w:rFonts w:ascii="宋体" w:hAnsi="宋体" w:cs="宋体" w:eastAsia="宋体" w:hint="default"/>
                <w:spacing w:val="-33"/>
                <w:sz w:val="12"/>
                <w:szCs w:val="12"/>
              </w:rPr>
              <w:t> </w:t>
            </w:r>
            <w:r>
              <w:rPr>
                <w:rFonts w:ascii="Arial" w:hAnsi="Arial" w:cs="Arial" w:eastAsia="Arial" w:hint="default"/>
                <w:sz w:val="12"/>
                <w:szCs w:val="12"/>
              </w:rPr>
              <w:t>31</w:t>
            </w:r>
            <w:r>
              <w:rPr>
                <w:rFonts w:ascii="Arial" w:hAnsi="Arial" w:cs="Arial" w:eastAsia="Arial" w:hint="default"/>
                <w:spacing w:val="-4"/>
                <w:sz w:val="12"/>
                <w:szCs w:val="12"/>
              </w:rPr>
              <w:t> </w:t>
            </w:r>
            <w:r>
              <w:rPr>
                <w:rFonts w:ascii="宋体" w:hAnsi="宋体" w:cs="宋体" w:eastAsia="宋体" w:hint="default"/>
                <w:sz w:val="12"/>
                <w:szCs w:val="12"/>
              </w:rPr>
              <w:t>日</w:t>
            </w:r>
          </w:p>
        </w:tc>
        <w:tc>
          <w:tcPr>
            <w:tcW w:w="923" w:type="dxa"/>
            <w:tcBorders>
              <w:top w:val="single" w:sz="17" w:space="0" w:color="000000"/>
              <w:left w:val="nil" w:sz="6" w:space="0" w:color="auto"/>
              <w:bottom w:val="nil" w:sz="6" w:space="0" w:color="auto"/>
              <w:right w:val="nil" w:sz="6" w:space="0" w:color="auto"/>
            </w:tcBorders>
          </w:tcPr>
          <w:p>
            <w:pPr/>
          </w:p>
        </w:tc>
        <w:tc>
          <w:tcPr>
            <w:tcW w:w="9563" w:type="dxa"/>
            <w:gridSpan w:val="4"/>
            <w:tcBorders>
              <w:top w:val="single" w:sz="17" w:space="0" w:color="000000"/>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2"/>
                <w:szCs w:val="12"/>
              </w:rPr>
            </w:pPr>
          </w:p>
          <w:p>
            <w:pPr>
              <w:pStyle w:val="TableParagraph"/>
              <w:spacing w:line="240" w:lineRule="auto"/>
              <w:ind w:right="0"/>
              <w:jc w:val="left"/>
              <w:rPr>
                <w:rFonts w:ascii="Arial" w:hAnsi="Arial" w:cs="Arial" w:eastAsia="Arial" w:hint="default"/>
                <w:sz w:val="12"/>
                <w:szCs w:val="12"/>
              </w:rPr>
            </w:pPr>
          </w:p>
          <w:p>
            <w:pPr>
              <w:pStyle w:val="TableParagraph"/>
              <w:spacing w:line="240" w:lineRule="auto"/>
              <w:ind w:right="0"/>
              <w:jc w:val="left"/>
              <w:rPr>
                <w:rFonts w:ascii="Arial" w:hAnsi="Arial" w:cs="Arial" w:eastAsia="Arial" w:hint="default"/>
                <w:sz w:val="12"/>
                <w:szCs w:val="12"/>
              </w:rPr>
            </w:pPr>
          </w:p>
          <w:p>
            <w:pPr>
              <w:pStyle w:val="TableParagraph"/>
              <w:spacing w:line="240" w:lineRule="auto" w:before="3"/>
              <w:ind w:right="0"/>
              <w:jc w:val="left"/>
              <w:rPr>
                <w:rFonts w:ascii="Arial" w:hAnsi="Arial" w:cs="Arial" w:eastAsia="Arial" w:hint="default"/>
                <w:sz w:val="11"/>
                <w:szCs w:val="11"/>
              </w:rPr>
            </w:pPr>
          </w:p>
          <w:p>
            <w:pPr>
              <w:pStyle w:val="TableParagraph"/>
              <w:spacing w:line="240" w:lineRule="auto"/>
              <w:ind w:left="4850" w:right="0"/>
              <w:jc w:val="left"/>
              <w:rPr>
                <w:rFonts w:ascii="宋体" w:hAnsi="宋体" w:cs="宋体" w:eastAsia="宋体" w:hint="default"/>
                <w:sz w:val="12"/>
                <w:szCs w:val="12"/>
              </w:rPr>
            </w:pPr>
            <w:r>
              <w:rPr>
                <w:rFonts w:ascii="Arial" w:hAnsi="Arial" w:cs="Arial" w:eastAsia="Arial" w:hint="default"/>
                <w:sz w:val="12"/>
                <w:szCs w:val="12"/>
              </w:rPr>
              <w:t>2008</w:t>
            </w:r>
            <w:r>
              <w:rPr>
                <w:rFonts w:ascii="Arial" w:hAnsi="Arial" w:cs="Arial" w:eastAsia="Arial" w:hint="default"/>
                <w:spacing w:val="-4"/>
                <w:sz w:val="12"/>
                <w:szCs w:val="12"/>
              </w:rPr>
              <w:t> </w:t>
            </w:r>
            <w:r>
              <w:rPr>
                <w:rFonts w:ascii="宋体" w:hAnsi="宋体" w:cs="宋体" w:eastAsia="宋体" w:hint="default"/>
                <w:sz w:val="12"/>
                <w:szCs w:val="12"/>
              </w:rPr>
              <w:t>年</w:t>
            </w:r>
            <w:r>
              <w:rPr>
                <w:rFonts w:ascii="宋体" w:hAnsi="宋体" w:cs="宋体" w:eastAsia="宋体" w:hint="default"/>
                <w:spacing w:val="-31"/>
                <w:sz w:val="12"/>
                <w:szCs w:val="12"/>
              </w:rPr>
              <w:t> </w:t>
            </w:r>
            <w:r>
              <w:rPr>
                <w:rFonts w:ascii="Arial" w:hAnsi="Arial" w:cs="Arial" w:eastAsia="Arial" w:hint="default"/>
                <w:sz w:val="12"/>
                <w:szCs w:val="12"/>
              </w:rPr>
              <w:t>12</w:t>
            </w:r>
            <w:r>
              <w:rPr>
                <w:rFonts w:ascii="Arial" w:hAnsi="Arial" w:cs="Arial" w:eastAsia="Arial" w:hint="default"/>
                <w:spacing w:val="-4"/>
                <w:sz w:val="12"/>
                <w:szCs w:val="12"/>
              </w:rPr>
              <w:t> </w:t>
            </w:r>
            <w:r>
              <w:rPr>
                <w:rFonts w:ascii="宋体" w:hAnsi="宋体" w:cs="宋体" w:eastAsia="宋体" w:hint="default"/>
                <w:sz w:val="12"/>
                <w:szCs w:val="12"/>
              </w:rPr>
              <w:t>月</w:t>
            </w:r>
            <w:r>
              <w:rPr>
                <w:rFonts w:ascii="宋体" w:hAnsi="宋体" w:cs="宋体" w:eastAsia="宋体" w:hint="default"/>
                <w:spacing w:val="-33"/>
                <w:sz w:val="12"/>
                <w:szCs w:val="12"/>
              </w:rPr>
              <w:t> </w:t>
            </w:r>
            <w:r>
              <w:rPr>
                <w:rFonts w:ascii="Arial" w:hAnsi="Arial" w:cs="Arial" w:eastAsia="Arial" w:hint="default"/>
                <w:sz w:val="12"/>
                <w:szCs w:val="12"/>
              </w:rPr>
              <w:t>31</w:t>
            </w:r>
            <w:r>
              <w:rPr>
                <w:rFonts w:ascii="Arial" w:hAnsi="Arial" w:cs="Arial" w:eastAsia="Arial" w:hint="default"/>
                <w:spacing w:val="-4"/>
                <w:sz w:val="12"/>
                <w:szCs w:val="12"/>
              </w:rPr>
              <w:t> </w:t>
            </w:r>
            <w:r>
              <w:rPr>
                <w:rFonts w:ascii="宋体" w:hAnsi="宋体" w:cs="宋体" w:eastAsia="宋体" w:hint="default"/>
                <w:sz w:val="12"/>
                <w:szCs w:val="12"/>
              </w:rPr>
              <w:t>日（经重列）</w:t>
            </w:r>
          </w:p>
        </w:tc>
      </w:tr>
      <w:tr>
        <w:trPr>
          <w:trHeight w:val="216" w:hRule="exact"/>
        </w:trPr>
        <w:tc>
          <w:tcPr>
            <w:tcW w:w="1499" w:type="dxa"/>
            <w:tcBorders>
              <w:top w:val="nil" w:sz="6" w:space="0" w:color="auto"/>
              <w:left w:val="nil" w:sz="6" w:space="0" w:color="auto"/>
              <w:bottom w:val="nil" w:sz="6" w:space="0" w:color="auto"/>
              <w:right w:val="nil" w:sz="6" w:space="0" w:color="auto"/>
            </w:tcBorders>
          </w:tcPr>
          <w:p>
            <w:pPr>
              <w:pStyle w:val="TableParagraph"/>
              <w:spacing w:line="156" w:lineRule="exact"/>
              <w:ind w:left="35" w:right="0"/>
              <w:jc w:val="left"/>
              <w:rPr>
                <w:rFonts w:ascii="宋体" w:hAnsi="宋体" w:cs="宋体" w:eastAsia="宋体" w:hint="default"/>
                <w:sz w:val="12"/>
                <w:szCs w:val="12"/>
              </w:rPr>
            </w:pPr>
            <w:r>
              <w:rPr>
                <w:rFonts w:ascii="宋体" w:hAnsi="宋体" w:cs="宋体" w:eastAsia="宋体" w:hint="default"/>
                <w:sz w:val="12"/>
                <w:szCs w:val="12"/>
              </w:rPr>
              <w:t>资产总额</w:t>
            </w:r>
          </w:p>
        </w:tc>
        <w:tc>
          <w:tcPr>
            <w:tcW w:w="979" w:type="dxa"/>
            <w:tcBorders>
              <w:top w:val="nil" w:sz="6" w:space="0" w:color="auto"/>
              <w:left w:val="nil" w:sz="6" w:space="0" w:color="auto"/>
              <w:bottom w:val="single" w:sz="6" w:space="0" w:color="000000"/>
              <w:right w:val="nil" w:sz="6" w:space="0" w:color="auto"/>
            </w:tcBorders>
          </w:tcPr>
          <w:p>
            <w:pPr>
              <w:pStyle w:val="TableParagraph"/>
              <w:spacing w:line="240" w:lineRule="auto" w:before="40"/>
              <w:ind w:right="68"/>
              <w:jc w:val="right"/>
              <w:rPr>
                <w:rFonts w:ascii="Arial" w:hAnsi="Arial" w:cs="Arial" w:eastAsia="Arial" w:hint="default"/>
                <w:sz w:val="12"/>
                <w:szCs w:val="12"/>
              </w:rPr>
            </w:pPr>
            <w:r>
              <w:rPr>
                <w:rFonts w:ascii="Arial"/>
                <w:spacing w:val="-1"/>
                <w:sz w:val="12"/>
              </w:rPr>
              <w:t>167,245,964,527</w:t>
            </w:r>
          </w:p>
        </w:tc>
        <w:tc>
          <w:tcPr>
            <w:tcW w:w="3025" w:type="dxa"/>
            <w:tcBorders>
              <w:top w:val="nil" w:sz="6" w:space="0" w:color="auto"/>
              <w:left w:val="nil" w:sz="6" w:space="0" w:color="auto"/>
              <w:bottom w:val="single" w:sz="6" w:space="0" w:color="000000"/>
              <w:right w:val="nil" w:sz="6" w:space="0" w:color="auto"/>
            </w:tcBorders>
          </w:tcPr>
          <w:p>
            <w:pPr>
              <w:pStyle w:val="TableParagraph"/>
              <w:spacing w:line="240" w:lineRule="auto" w:before="40"/>
              <w:ind w:right="89"/>
              <w:jc w:val="right"/>
              <w:rPr>
                <w:rFonts w:ascii="Arial" w:hAnsi="Arial" w:cs="Arial" w:eastAsia="Arial" w:hint="default"/>
                <w:sz w:val="12"/>
                <w:szCs w:val="12"/>
              </w:rPr>
            </w:pPr>
            <w:r>
              <w:rPr>
                <w:rFonts w:ascii="Arial"/>
                <w:sz w:val="12"/>
              </w:rPr>
              <w:t>219,538,166,877   386,784,131,404  </w:t>
            </w:r>
            <w:r>
              <w:rPr>
                <w:rFonts w:ascii="Arial"/>
                <w:spacing w:val="29"/>
                <w:sz w:val="12"/>
              </w:rPr>
              <w:t> </w:t>
            </w:r>
            <w:r>
              <w:rPr>
                <w:rFonts w:ascii="Arial"/>
                <w:sz w:val="12"/>
              </w:rPr>
              <w:t>33,621,800,059</w:t>
            </w:r>
          </w:p>
        </w:tc>
        <w:tc>
          <w:tcPr>
            <w:tcW w:w="4969" w:type="dxa"/>
            <w:gridSpan w:val="3"/>
            <w:tcBorders>
              <w:top w:val="nil" w:sz="6" w:space="0" w:color="auto"/>
              <w:left w:val="nil" w:sz="6" w:space="0" w:color="auto"/>
              <w:bottom w:val="single" w:sz="6" w:space="0" w:color="000000"/>
              <w:right w:val="nil" w:sz="6" w:space="0" w:color="auto"/>
            </w:tcBorders>
          </w:tcPr>
          <w:p>
            <w:pPr>
              <w:pStyle w:val="TableParagraph"/>
              <w:spacing w:line="240" w:lineRule="auto" w:before="40"/>
              <w:ind w:left="51" w:right="0"/>
              <w:jc w:val="left"/>
              <w:rPr>
                <w:rFonts w:ascii="Arial" w:hAnsi="Arial" w:cs="Arial" w:eastAsia="Arial" w:hint="default"/>
                <w:sz w:val="12"/>
                <w:szCs w:val="12"/>
              </w:rPr>
            </w:pPr>
            <w:r>
              <w:rPr>
                <w:rFonts w:ascii="Arial"/>
                <w:sz w:val="12"/>
              </w:rPr>
              <w:t>(1,173,634,554)    419,232,296,909   126,463,727,458   191,089,531,438</w:t>
            </w:r>
            <w:r>
              <w:rPr>
                <w:rFonts w:ascii="Arial"/>
                <w:spacing w:val="32"/>
                <w:sz w:val="12"/>
              </w:rPr>
              <w:t> </w:t>
            </w:r>
            <w:r>
              <w:rPr>
                <w:rFonts w:ascii="Arial"/>
                <w:sz w:val="12"/>
              </w:rPr>
              <w:t>317,553,258,896</w:t>
            </w:r>
          </w:p>
        </w:tc>
        <w:tc>
          <w:tcPr>
            <w:tcW w:w="5518" w:type="dxa"/>
            <w:gridSpan w:val="2"/>
            <w:tcBorders>
              <w:top w:val="nil" w:sz="6" w:space="0" w:color="auto"/>
              <w:left w:val="nil" w:sz="6" w:space="0" w:color="auto"/>
              <w:bottom w:val="nil" w:sz="6" w:space="0" w:color="auto"/>
              <w:right w:val="nil" w:sz="6" w:space="0" w:color="auto"/>
            </w:tcBorders>
          </w:tcPr>
          <w:p>
            <w:pPr>
              <w:pStyle w:val="TableParagraph"/>
              <w:tabs>
                <w:tab w:pos="1308" w:val="left" w:leader="none"/>
                <w:tab w:pos="4202" w:val="left" w:leader="none"/>
                <w:tab w:pos="4490" w:val="left" w:leader="none"/>
              </w:tabs>
              <w:spacing w:line="240" w:lineRule="auto" w:before="40"/>
              <w:ind w:left="160" w:right="0"/>
              <w:jc w:val="left"/>
              <w:rPr>
                <w:rFonts w:ascii="Arial" w:hAnsi="Arial" w:cs="Arial" w:eastAsia="Arial" w:hint="default"/>
                <w:sz w:val="12"/>
                <w:szCs w:val="12"/>
              </w:rPr>
            </w:pPr>
            <w:r>
              <w:rPr>
                <w:rFonts w:ascii="Arial"/>
                <w:spacing w:val="-1"/>
                <w:sz w:val="12"/>
              </w:rPr>
              <w:t>34,781,015,152</w:t>
              <w:tab/>
              <w:t>(487,130,526)</w:t>
            </w:r>
            <w:r>
              <w:rPr>
                <w:rFonts w:ascii="Arial"/>
                <w:sz w:val="12"/>
              </w:rPr>
              <w:t>    </w:t>
            </w:r>
            <w:r>
              <w:rPr>
                <w:rFonts w:ascii="Arial"/>
                <w:spacing w:val="21"/>
                <w:sz w:val="12"/>
              </w:rPr>
              <w:t> </w:t>
            </w:r>
            <w:r>
              <w:rPr>
                <w:rFonts w:ascii="Arial"/>
                <w:spacing w:val="-1"/>
                <w:sz w:val="12"/>
              </w:rPr>
              <w:t>351,847,143,522</w:t>
              <w:tab/>
            </w:r>
            <w:r>
              <w:rPr>
                <w:rFonts w:ascii="Arial"/>
                <w:sz w:val="12"/>
              </w:rPr>
              <w:t>-</w:t>
              <w:tab/>
            </w:r>
            <w:r>
              <w:rPr>
                <w:rFonts w:ascii="Arial"/>
                <w:spacing w:val="-1"/>
                <w:sz w:val="12"/>
              </w:rPr>
              <w:t>351,847,143,522</w:t>
            </w:r>
          </w:p>
        </w:tc>
      </w:tr>
      <w:tr>
        <w:trPr>
          <w:trHeight w:val="377" w:hRule="exact"/>
        </w:trPr>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Arial" w:hAnsi="Arial" w:cs="Arial" w:eastAsia="Arial" w:hint="default"/>
                <w:sz w:val="15"/>
                <w:szCs w:val="15"/>
              </w:rPr>
            </w:pPr>
          </w:p>
          <w:p>
            <w:pPr>
              <w:pStyle w:val="TableParagraph"/>
              <w:spacing w:line="240" w:lineRule="auto"/>
              <w:ind w:left="35" w:right="0"/>
              <w:jc w:val="left"/>
              <w:rPr>
                <w:rFonts w:ascii="宋体" w:hAnsi="宋体" w:cs="宋体" w:eastAsia="宋体" w:hint="default"/>
                <w:sz w:val="12"/>
                <w:szCs w:val="12"/>
              </w:rPr>
            </w:pPr>
            <w:r>
              <w:rPr>
                <w:rFonts w:ascii="宋体" w:hAnsi="宋体" w:cs="宋体" w:eastAsia="宋体" w:hint="default"/>
                <w:sz w:val="12"/>
                <w:szCs w:val="12"/>
              </w:rPr>
              <w:t>负债总额</w:t>
            </w:r>
          </w:p>
        </w:tc>
        <w:tc>
          <w:tcPr>
            <w:tcW w:w="979"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Arial" w:hAnsi="Arial" w:cs="Arial" w:eastAsia="Arial" w:hint="default"/>
                <w:sz w:val="17"/>
                <w:szCs w:val="17"/>
              </w:rPr>
            </w:pPr>
          </w:p>
          <w:p>
            <w:pPr>
              <w:pStyle w:val="TableParagraph"/>
              <w:spacing w:line="240" w:lineRule="auto"/>
              <w:ind w:right="67"/>
              <w:jc w:val="right"/>
              <w:rPr>
                <w:rFonts w:ascii="Arial" w:hAnsi="Arial" w:cs="Arial" w:eastAsia="Arial" w:hint="default"/>
                <w:sz w:val="12"/>
                <w:szCs w:val="12"/>
              </w:rPr>
            </w:pPr>
            <w:r>
              <w:rPr>
                <w:rFonts w:ascii="Arial"/>
                <w:spacing w:val="-1"/>
                <w:sz w:val="12"/>
              </w:rPr>
              <w:t>74,411,398,399</w:t>
            </w:r>
          </w:p>
        </w:tc>
        <w:tc>
          <w:tcPr>
            <w:tcW w:w="3025" w:type="dxa"/>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Arial" w:hAnsi="Arial" w:cs="Arial" w:eastAsia="Arial" w:hint="default"/>
                <w:sz w:val="17"/>
                <w:szCs w:val="17"/>
              </w:rPr>
            </w:pPr>
          </w:p>
          <w:p>
            <w:pPr>
              <w:pStyle w:val="TableParagraph"/>
              <w:spacing w:line="240" w:lineRule="auto"/>
              <w:ind w:right="89"/>
              <w:jc w:val="right"/>
              <w:rPr>
                <w:rFonts w:ascii="Arial" w:hAnsi="Arial" w:cs="Arial" w:eastAsia="Arial" w:hint="default"/>
                <w:sz w:val="12"/>
                <w:szCs w:val="12"/>
              </w:rPr>
            </w:pPr>
            <w:r>
              <w:rPr>
                <w:rFonts w:ascii="Arial"/>
                <w:sz w:val="12"/>
              </w:rPr>
              <w:t>51,066,223,248   125,477,621,647  </w:t>
            </w:r>
            <w:r>
              <w:rPr>
                <w:rFonts w:ascii="Arial"/>
                <w:spacing w:val="29"/>
                <w:sz w:val="12"/>
              </w:rPr>
              <w:t> </w:t>
            </w:r>
            <w:r>
              <w:rPr>
                <w:rFonts w:ascii="Arial"/>
                <w:sz w:val="12"/>
              </w:rPr>
              <w:t>85,752,664,654</w:t>
            </w:r>
          </w:p>
        </w:tc>
        <w:tc>
          <w:tcPr>
            <w:tcW w:w="4969" w:type="dxa"/>
            <w:gridSpan w:val="3"/>
            <w:tcBorders>
              <w:top w:val="single" w:sz="6" w:space="0" w:color="000000"/>
              <w:left w:val="nil" w:sz="6" w:space="0" w:color="auto"/>
              <w:bottom w:val="nil" w:sz="6" w:space="0" w:color="auto"/>
              <w:right w:val="nil" w:sz="6" w:space="0" w:color="auto"/>
            </w:tcBorders>
          </w:tcPr>
          <w:p>
            <w:pPr>
              <w:pStyle w:val="TableParagraph"/>
              <w:spacing w:line="240" w:lineRule="auto" w:before="10"/>
              <w:ind w:right="0"/>
              <w:jc w:val="left"/>
              <w:rPr>
                <w:rFonts w:ascii="Arial" w:hAnsi="Arial" w:cs="Arial" w:eastAsia="Arial" w:hint="default"/>
                <w:sz w:val="17"/>
                <w:szCs w:val="17"/>
              </w:rPr>
            </w:pPr>
          </w:p>
          <w:p>
            <w:pPr>
              <w:pStyle w:val="TableParagraph"/>
              <w:spacing w:line="240" w:lineRule="auto"/>
              <w:ind w:left="152" w:right="0"/>
              <w:jc w:val="left"/>
              <w:rPr>
                <w:rFonts w:ascii="Arial" w:hAnsi="Arial" w:cs="Arial" w:eastAsia="Arial" w:hint="default"/>
                <w:sz w:val="12"/>
                <w:szCs w:val="12"/>
              </w:rPr>
            </w:pPr>
            <w:r>
              <w:rPr>
                <w:rFonts w:ascii="Arial"/>
                <w:sz w:val="12"/>
              </w:rPr>
              <w:t>(843,461,924)    210,386,824,377     53,495,519,907     34,483,570,182  </w:t>
            </w:r>
            <w:r>
              <w:rPr>
                <w:rFonts w:ascii="Arial"/>
                <w:spacing w:val="32"/>
                <w:sz w:val="12"/>
              </w:rPr>
              <w:t> </w:t>
            </w:r>
            <w:r>
              <w:rPr>
                <w:rFonts w:ascii="Arial"/>
                <w:sz w:val="12"/>
              </w:rPr>
              <w:t>87,979,090,089</w:t>
            </w:r>
          </w:p>
        </w:tc>
        <w:tc>
          <w:tcPr>
            <w:tcW w:w="5518" w:type="dxa"/>
            <w:gridSpan w:val="2"/>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12"/>
                <w:szCs w:val="12"/>
              </w:rPr>
            </w:pPr>
          </w:p>
          <w:p>
            <w:pPr>
              <w:pStyle w:val="TableParagraph"/>
              <w:tabs>
                <w:tab w:pos="1308" w:val="left" w:leader="none"/>
                <w:tab w:pos="4202" w:val="left" w:leader="none"/>
                <w:tab w:pos="4490" w:val="left" w:leader="none"/>
              </w:tabs>
              <w:spacing w:line="240" w:lineRule="auto" w:before="74"/>
              <w:ind w:left="160" w:right="0"/>
              <w:jc w:val="left"/>
              <w:rPr>
                <w:rFonts w:ascii="Arial" w:hAnsi="Arial" w:cs="Arial" w:eastAsia="Arial" w:hint="default"/>
                <w:sz w:val="12"/>
                <w:szCs w:val="12"/>
              </w:rPr>
            </w:pPr>
            <w:r>
              <w:rPr>
                <w:rFonts w:ascii="Arial"/>
                <w:spacing w:val="-1"/>
                <w:sz w:val="12"/>
              </w:rPr>
              <w:t>54,098,934,709</w:t>
              <w:tab/>
              <w:t>(342,219,670)</w:t>
            </w:r>
            <w:r>
              <w:rPr>
                <w:rFonts w:ascii="Arial"/>
                <w:sz w:val="12"/>
              </w:rPr>
              <w:t>    </w:t>
            </w:r>
            <w:r>
              <w:rPr>
                <w:rFonts w:ascii="Arial"/>
                <w:spacing w:val="21"/>
                <w:sz w:val="12"/>
              </w:rPr>
              <w:t> </w:t>
            </w:r>
            <w:r>
              <w:rPr>
                <w:rFonts w:ascii="Arial"/>
                <w:spacing w:val="-1"/>
                <w:sz w:val="12"/>
              </w:rPr>
              <w:t>141,735,805,128</w:t>
              <w:tab/>
            </w:r>
            <w:r>
              <w:rPr>
                <w:rFonts w:ascii="Arial"/>
                <w:sz w:val="12"/>
              </w:rPr>
              <w:t>-</w:t>
              <w:tab/>
            </w:r>
            <w:r>
              <w:rPr>
                <w:rFonts w:ascii="Arial"/>
                <w:spacing w:val="-1"/>
                <w:sz w:val="12"/>
              </w:rPr>
              <w:t>141,735,805,128</w:t>
            </w:r>
          </w:p>
        </w:tc>
      </w:tr>
    </w:tbl>
    <w:p>
      <w:pPr>
        <w:spacing w:line="240" w:lineRule="auto" w:before="0"/>
        <w:rPr>
          <w:rFonts w:ascii="Arial" w:hAnsi="Arial" w:cs="Arial" w:eastAsia="Arial" w:hint="default"/>
          <w:sz w:val="20"/>
          <w:szCs w:val="20"/>
        </w:rPr>
      </w:pPr>
    </w:p>
    <w:p>
      <w:pPr>
        <w:spacing w:line="240" w:lineRule="auto" w:before="3"/>
        <w:rPr>
          <w:rFonts w:ascii="Arial" w:hAnsi="Arial" w:cs="Arial" w:eastAsia="Arial" w:hint="default"/>
          <w:sz w:val="21"/>
          <w:szCs w:val="21"/>
        </w:rPr>
      </w:pPr>
    </w:p>
    <w:p>
      <w:pPr>
        <w:pStyle w:val="BodyText"/>
        <w:spacing w:line="240" w:lineRule="auto" w:before="71"/>
        <w:ind w:left="8034" w:right="7757"/>
        <w:jc w:val="center"/>
        <w:rPr>
          <w:rFonts w:ascii="Arial" w:hAnsi="Arial" w:cs="Arial" w:eastAsia="Arial" w:hint="default"/>
        </w:rPr>
      </w:pPr>
      <w:r>
        <w:rPr/>
        <w:pict>
          <v:group style="position:absolute;margin-left:88.731003pt;margin-top:-53.752129pt;width:723.5pt;height:.75pt;mso-position-horizontal-relative:page;mso-position-vertical-relative:paragraph;z-index:-911608" coordorigin="1775,-1075" coordsize="14470,15">
            <v:group style="position:absolute;left:1782;top:-1068;width:5991;height:2" coordorigin="1782,-1068" coordsize="5991,2">
              <v:shape style="position:absolute;left:1782;top:-1068;width:5991;height:2" coordorigin="1782,-1068" coordsize="5991,0" path="m1782,-1068l7772,-1068e" filled="false" stroked="true" strokeweight=".72pt" strokecolor="#000000">
                <v:path arrowok="t"/>
              </v:shape>
            </v:group>
            <v:group style="position:absolute;left:7793;top:-1068;width:8445;height:2" coordorigin="7793,-1068" coordsize="8445,2">
              <v:shape style="position:absolute;left:7793;top:-1068;width:8445;height:2" coordorigin="7793,-1068" coordsize="8445,0" path="m7793,-1068l16237,-1068e" filled="false" stroked="true" strokeweight=".72pt" strokecolor="#000000">
                <v:path arrowok="t"/>
              </v:shape>
            </v:group>
            <w10:wrap type="none"/>
          </v:group>
        </w:pict>
      </w:r>
      <w:r>
        <w:rPr/>
        <w:pict>
          <v:group style="position:absolute;margin-left:88.731003pt;margin-top:-44.392128pt;width:723.5pt;height:2.2pt;mso-position-horizontal-relative:page;mso-position-vertical-relative:paragraph;z-index:-911584" coordorigin="1775,-888" coordsize="14470,44">
            <v:group style="position:absolute;left:1782;top:-881;width:954;height:2" coordorigin="1782,-881" coordsize="954,2">
              <v:shape style="position:absolute;left:1782;top:-881;width:954;height:2" coordorigin="1782,-881" coordsize="954,0" path="m1782,-881l2736,-881e" filled="false" stroked="true" strokeweight=".72pt" strokecolor="#000000">
                <v:path arrowok="t"/>
              </v:shape>
            </v:group>
            <v:group style="position:absolute;left:2761;top:-881;width:1023;height:2" coordorigin="2761,-881" coordsize="1023,2">
              <v:shape style="position:absolute;left:2761;top:-881;width:1023;height:2" coordorigin="2761,-881" coordsize="1023,0" path="m2761,-881l3783,-881e" filled="false" stroked="true" strokeweight=".72pt" strokecolor="#000000">
                <v:path arrowok="t"/>
              </v:shape>
            </v:group>
            <v:group style="position:absolute;left:3811;top:-881;width:953;height:2" coordorigin="3811,-881" coordsize="953,2">
              <v:shape style="position:absolute;left:3811;top:-881;width:953;height:2" coordorigin="3811,-881" coordsize="953,0" path="m3811,-881l4764,-881e" filled="false" stroked="true" strokeweight=".72pt" strokecolor="#000000">
                <v:path arrowok="t"/>
              </v:shape>
            </v:group>
            <v:group style="position:absolute;left:4791;top:-881;width:939;height:2" coordorigin="4791,-881" coordsize="939,2">
              <v:shape style="position:absolute;left:4791;top:-881;width:939;height:2" coordorigin="4791,-881" coordsize="939,0" path="m4791,-881l5730,-881e" filled="false" stroked="true" strokeweight=".72pt" strokecolor="#000000">
                <v:path arrowok="t"/>
              </v:shape>
            </v:group>
            <v:group style="position:absolute;left:5761;top:-881;width:962;height:2" coordorigin="5761,-881" coordsize="962,2">
              <v:shape style="position:absolute;left:5761;top:-881;width:962;height:2" coordorigin="5761,-881" coordsize="962,0" path="m5761,-881l6722,-881e" filled="false" stroked="true" strokeweight=".72pt" strokecolor="#000000">
                <v:path arrowok="t"/>
              </v:shape>
            </v:group>
            <v:group style="position:absolute;left:6743;top:-881;width:1030;height:2" coordorigin="6743,-881" coordsize="1030,2">
              <v:shape style="position:absolute;left:6743;top:-881;width:1030;height:2" coordorigin="6743,-881" coordsize="1030,0" path="m6743,-881l7772,-881e" filled="false" stroked="true" strokeweight=".72pt" strokecolor="#000000">
                <v:path arrowok="t"/>
              </v:shape>
            </v:group>
            <v:group style="position:absolute;left:7793;top:-881;width:975;height:2" coordorigin="7793,-881" coordsize="975,2">
              <v:shape style="position:absolute;left:7793;top:-881;width:975;height:2" coordorigin="7793,-881" coordsize="975,0" path="m7793,-881l8767,-881e" filled="false" stroked="true" strokeweight=".72pt" strokecolor="#000000">
                <v:path arrowok="t"/>
              </v:shape>
            </v:group>
            <v:group style="position:absolute;left:8795;top:-881;width:954;height:2" coordorigin="8795,-881" coordsize="954,2">
              <v:shape style="position:absolute;left:8795;top:-881;width:954;height:2" coordorigin="8795,-881" coordsize="954,0" path="m8795,-881l9749,-881e" filled="false" stroked="true" strokeweight=".72pt" strokecolor="#000000">
                <v:path arrowok="t"/>
              </v:shape>
            </v:group>
            <v:group style="position:absolute;left:9775;top:-881;width:980;height:2" coordorigin="9775,-881" coordsize="980,2">
              <v:shape style="position:absolute;left:9775;top:-881;width:980;height:2" coordorigin="9775,-881" coordsize="980,0" path="m9775,-881l10754,-881e" filled="false" stroked="true" strokeweight=".72pt" strokecolor="#000000">
                <v:path arrowok="t"/>
              </v:shape>
            </v:group>
            <v:group style="position:absolute;left:10811;top:-881;width:994;height:2" coordorigin="10811,-881" coordsize="994,2">
              <v:shape style="position:absolute;left:10811;top:-881;width:994;height:2" coordorigin="10811,-881" coordsize="994,0" path="m10811,-881l11804,-881e" filled="false" stroked="true" strokeweight=".72pt" strokecolor="#000000">
                <v:path arrowok="t"/>
              </v:shape>
            </v:group>
            <v:group style="position:absolute;left:10811;top:-852;width:994;height:2" coordorigin="10811,-852" coordsize="994,2">
              <v:shape style="position:absolute;left:10811;top:-852;width:994;height:2" coordorigin="10811,-852" coordsize="994,0" path="m10811,-852l11804,-852e" filled="false" stroked="true" strokeweight=".72pt" strokecolor="#000000">
                <v:path arrowok="t"/>
              </v:shape>
            </v:group>
            <v:group style="position:absolute;left:11832;top:-881;width:980;height:2" coordorigin="11832,-881" coordsize="980,2">
              <v:shape style="position:absolute;left:11832;top:-881;width:980;height:2" coordorigin="11832,-881" coordsize="980,0" path="m11832,-881l12811,-881e" filled="false" stroked="true" strokeweight=".72pt" strokecolor="#000000">
                <v:path arrowok="t"/>
              </v:shape>
            </v:group>
            <v:group style="position:absolute;left:11832;top:-852;width:980;height:2" coordorigin="11832,-852" coordsize="980,2">
              <v:shape style="position:absolute;left:11832;top:-852;width:980;height:2" coordorigin="11832,-852" coordsize="980,0" path="m11832,-852l12811,-852e" filled="false" stroked="true" strokeweight=".72pt" strokecolor="#000000">
                <v:path arrowok="t"/>
              </v:shape>
            </v:group>
            <v:group style="position:absolute;left:12859;top:-881;width:1086;height:2" coordorigin="12859,-881" coordsize="1086,2">
              <v:shape style="position:absolute;left:12859;top:-881;width:1086;height:2" coordorigin="12859,-881" coordsize="1086,0" path="m12859,-881l13945,-881e" filled="false" stroked="true" strokeweight=".72pt" strokecolor="#000000">
                <v:path arrowok="t"/>
              </v:shape>
            </v:group>
            <v:group style="position:absolute;left:12859;top:-852;width:1086;height:2" coordorigin="12859,-852" coordsize="1086,2">
              <v:shape style="position:absolute;left:12859;top:-852;width:1086;height:2" coordorigin="12859,-852" coordsize="1086,0" path="m12859,-852l13945,-852e" filled="false" stroked="true" strokeweight=".72pt" strokecolor="#000000">
                <v:path arrowok="t"/>
              </v:shape>
            </v:group>
            <v:group style="position:absolute;left:13974;top:-881;width:1124;height:2" coordorigin="13974,-881" coordsize="1124,2">
              <v:shape style="position:absolute;left:13974;top:-881;width:1124;height:2" coordorigin="13974,-881" coordsize="1124,0" path="m13974,-881l15097,-881e" filled="false" stroked="true" strokeweight=".72pt" strokecolor="#000000">
                <v:path arrowok="t"/>
              </v:shape>
            </v:group>
            <v:group style="position:absolute;left:13974;top:-852;width:1124;height:2" coordorigin="13974,-852" coordsize="1124,2">
              <v:shape style="position:absolute;left:13974;top:-852;width:1124;height:2" coordorigin="13974,-852" coordsize="1124,0" path="m13974,-852l15097,-852e" filled="false" stroked="true" strokeweight=".72pt" strokecolor="#000000">
                <v:path arrowok="t"/>
              </v:shape>
            </v:group>
            <v:group style="position:absolute;left:15125;top:-881;width:1113;height:2" coordorigin="15125,-881" coordsize="1113,2">
              <v:shape style="position:absolute;left:15125;top:-881;width:1113;height:2" coordorigin="15125,-881" coordsize="1113,0" path="m15125,-881l16237,-881e" filled="false" stroked="true" strokeweight=".72pt" strokecolor="#000000">
                <v:path arrowok="t"/>
              </v:shape>
            </v:group>
            <v:group style="position:absolute;left:15125;top:-852;width:1113;height:2" coordorigin="15125,-852" coordsize="1113,2">
              <v:shape style="position:absolute;left:15125;top:-852;width:1113;height:2" coordorigin="15125,-852" coordsize="1113,0" path="m15125,-852l16237,-852e" filled="false" stroked="true" strokeweight=".72pt" strokecolor="#000000">
                <v:path arrowok="t"/>
              </v:shape>
            </v:group>
            <w10:wrap type="none"/>
          </v:group>
        </w:pict>
      </w:r>
      <w:r>
        <w:rPr/>
        <w:pict>
          <v:group style="position:absolute;margin-left:88.371002pt;margin-top:-24.832129pt;width:724.2pt;height:2.2pt;mso-position-horizontal-relative:page;mso-position-vertical-relative:paragraph;z-index:-911560" coordorigin="1767,-497" coordsize="14484,44">
            <v:group style="position:absolute;left:1775;top:-461;width:969;height:2" coordorigin="1775,-461" coordsize="969,2">
              <v:shape style="position:absolute;left:1775;top:-461;width:969;height:2" coordorigin="1775,-461" coordsize="969,0" path="m1775,-461l2743,-461e" filled="false" stroked="true" strokeweight=".72pt" strokecolor="#000000">
                <v:path arrowok="t"/>
              </v:shape>
            </v:group>
            <v:group style="position:absolute;left:1775;top:-489;width:969;height:2" coordorigin="1775,-489" coordsize="969,2">
              <v:shape style="position:absolute;left:1775;top:-489;width:969;height:2" coordorigin="1775,-489" coordsize="969,0" path="m1775,-489l2743,-489e" filled="false" stroked="true" strokeweight=".72pt" strokecolor="#000000">
                <v:path arrowok="t"/>
              </v:shape>
            </v:group>
            <v:group style="position:absolute;left:2754;top:-461;width:1037;height:2" coordorigin="2754,-461" coordsize="1037,2">
              <v:shape style="position:absolute;left:2754;top:-461;width:1037;height:2" coordorigin="2754,-461" coordsize="1037,0" path="m2754,-461l3791,-461e" filled="false" stroked="true" strokeweight=".72pt" strokecolor="#000000">
                <v:path arrowok="t"/>
              </v:shape>
            </v:group>
            <v:group style="position:absolute;left:2754;top:-489;width:1037;height:2" coordorigin="2754,-489" coordsize="1037,2">
              <v:shape style="position:absolute;left:2754;top:-489;width:1037;height:2" coordorigin="2754,-489" coordsize="1037,0" path="m2754,-489l3791,-489e" filled="false" stroked="true" strokeweight=".72pt" strokecolor="#000000">
                <v:path arrowok="t"/>
              </v:shape>
            </v:group>
            <v:group style="position:absolute;left:3804;top:-461;width:968;height:2" coordorigin="3804,-461" coordsize="968,2">
              <v:shape style="position:absolute;left:3804;top:-461;width:968;height:2" coordorigin="3804,-461" coordsize="968,0" path="m3804,-461l4771,-461e" filled="false" stroked="true" strokeweight=".72pt" strokecolor="#000000">
                <v:path arrowok="t"/>
              </v:shape>
            </v:group>
            <v:group style="position:absolute;left:3804;top:-489;width:968;height:2" coordorigin="3804,-489" coordsize="968,2">
              <v:shape style="position:absolute;left:3804;top:-489;width:968;height:2" coordorigin="3804,-489" coordsize="968,0" path="m3804,-489l4771,-489e" filled="false" stroked="true" strokeweight=".72pt" strokecolor="#000000">
                <v:path arrowok="t"/>
              </v:shape>
            </v:group>
            <v:group style="position:absolute;left:4784;top:-461;width:953;height:2" coordorigin="4784,-461" coordsize="953,2">
              <v:shape style="position:absolute;left:4784;top:-461;width:953;height:2" coordorigin="4784,-461" coordsize="953,0" path="m4784,-461l5737,-461e" filled="false" stroked="true" strokeweight=".72pt" strokecolor="#000000">
                <v:path arrowok="t"/>
              </v:shape>
            </v:group>
            <v:group style="position:absolute;left:4784;top:-489;width:953;height:2" coordorigin="4784,-489" coordsize="953,2">
              <v:shape style="position:absolute;left:4784;top:-489;width:953;height:2" coordorigin="4784,-489" coordsize="953,0" path="m4784,-489l5737,-489e" filled="false" stroked="true" strokeweight=".72pt" strokecolor="#000000">
                <v:path arrowok="t"/>
              </v:shape>
            </v:group>
            <v:group style="position:absolute;left:5754;top:-461;width:976;height:2" coordorigin="5754,-461" coordsize="976,2">
              <v:shape style="position:absolute;left:5754;top:-461;width:976;height:2" coordorigin="5754,-461" coordsize="976,0" path="m5754,-461l6729,-461e" filled="false" stroked="true" strokeweight=".72pt" strokecolor="#000000">
                <v:path arrowok="t"/>
              </v:shape>
            </v:group>
            <v:group style="position:absolute;left:5754;top:-489;width:976;height:2" coordorigin="5754,-489" coordsize="976,2">
              <v:shape style="position:absolute;left:5754;top:-489;width:976;height:2" coordorigin="5754,-489" coordsize="976,0" path="m5754,-489l6729,-489e" filled="false" stroked="true" strokeweight=".72pt" strokecolor="#000000">
                <v:path arrowok="t"/>
              </v:shape>
            </v:group>
            <v:group style="position:absolute;left:6735;top:-461;width:1044;height:2" coordorigin="6735,-461" coordsize="1044,2">
              <v:shape style="position:absolute;left:6735;top:-461;width:1044;height:2" coordorigin="6735,-461" coordsize="1044,0" path="m6735,-461l7779,-461e" filled="false" stroked="true" strokeweight=".72pt" strokecolor="#000000">
                <v:path arrowok="t"/>
              </v:shape>
            </v:group>
            <v:group style="position:absolute;left:6735;top:-489;width:1044;height:2" coordorigin="6735,-489" coordsize="1044,2">
              <v:shape style="position:absolute;left:6735;top:-489;width:1044;height:2" coordorigin="6735,-489" coordsize="1044,0" path="m6735,-489l7779,-489e" filled="false" stroked="true" strokeweight=".72pt" strokecolor="#000000">
                <v:path arrowok="t"/>
              </v:shape>
            </v:group>
            <v:group style="position:absolute;left:7785;top:-461;width:989;height:2" coordorigin="7785,-461" coordsize="989,2">
              <v:shape style="position:absolute;left:7785;top:-461;width:989;height:2" coordorigin="7785,-461" coordsize="989,0" path="m7785,-461l8774,-461e" filled="false" stroked="true" strokeweight=".72pt" strokecolor="#000000">
                <v:path arrowok="t"/>
              </v:shape>
            </v:group>
            <v:group style="position:absolute;left:7785;top:-489;width:989;height:2" coordorigin="7785,-489" coordsize="989,2">
              <v:shape style="position:absolute;left:7785;top:-489;width:989;height:2" coordorigin="7785,-489" coordsize="989,0" path="m7785,-489l8774,-489e" filled="false" stroked="true" strokeweight=".72pt" strokecolor="#000000">
                <v:path arrowok="t"/>
              </v:shape>
            </v:group>
            <v:group style="position:absolute;left:8787;top:-461;width:969;height:2" coordorigin="8787,-461" coordsize="969,2">
              <v:shape style="position:absolute;left:8787;top:-461;width:969;height:2" coordorigin="8787,-461" coordsize="969,0" path="m8787,-461l9756,-461e" filled="false" stroked="true" strokeweight=".72pt" strokecolor="#000000">
                <v:path arrowok="t"/>
              </v:shape>
            </v:group>
            <v:group style="position:absolute;left:8787;top:-489;width:969;height:2" coordorigin="8787,-489" coordsize="969,2">
              <v:shape style="position:absolute;left:8787;top:-489;width:969;height:2" coordorigin="8787,-489" coordsize="969,0" path="m8787,-489l9756,-489e" filled="false" stroked="true" strokeweight=".72pt" strokecolor="#000000">
                <v:path arrowok="t"/>
              </v:shape>
            </v:group>
            <v:group style="position:absolute;left:9768;top:-461;width:994;height:2" coordorigin="9768,-461" coordsize="994,2">
              <v:shape style="position:absolute;left:9768;top:-461;width:994;height:2" coordorigin="9768,-461" coordsize="994,0" path="m9768,-461l10761,-461e" filled="false" stroked="true" strokeweight=".72pt" strokecolor="#000000">
                <v:path arrowok="t"/>
              </v:shape>
            </v:group>
            <v:group style="position:absolute;left:9768;top:-489;width:994;height:2" coordorigin="9768,-489" coordsize="994,2">
              <v:shape style="position:absolute;left:9768;top:-489;width:994;height:2" coordorigin="9768,-489" coordsize="994,0" path="m9768,-489l10761,-489e" filled="false" stroked="true" strokeweight=".72pt" strokecolor="#000000">
                <v:path arrowok="t"/>
              </v:shape>
            </v:group>
            <v:group style="position:absolute;left:10803;top:-461;width:1008;height:2" coordorigin="10803,-461" coordsize="1008,2">
              <v:shape style="position:absolute;left:10803;top:-461;width:1008;height:2" coordorigin="10803,-461" coordsize="1008,0" path="m10803,-461l11811,-461e" filled="false" stroked="true" strokeweight=".72pt" strokecolor="#000000">
                <v:path arrowok="t"/>
              </v:shape>
            </v:group>
            <v:group style="position:absolute;left:10803;top:-489;width:1008;height:2" coordorigin="10803,-489" coordsize="1008,2">
              <v:shape style="position:absolute;left:10803;top:-489;width:1008;height:2" coordorigin="10803,-489" coordsize="1008,0" path="m10803,-489l11811,-489e" filled="false" stroked="true" strokeweight=".72pt" strokecolor="#000000">
                <v:path arrowok="t"/>
              </v:shape>
            </v:group>
            <v:group style="position:absolute;left:11825;top:-461;width:994;height:2" coordorigin="11825,-461" coordsize="994,2">
              <v:shape style="position:absolute;left:11825;top:-461;width:994;height:2" coordorigin="11825,-461" coordsize="994,0" path="m11825,-461l12818,-461e" filled="false" stroked="true" strokeweight=".72pt" strokecolor="#000000">
                <v:path arrowok="t"/>
              </v:shape>
            </v:group>
            <v:group style="position:absolute;left:11825;top:-489;width:994;height:2" coordorigin="11825,-489" coordsize="994,2">
              <v:shape style="position:absolute;left:11825;top:-489;width:994;height:2" coordorigin="11825,-489" coordsize="994,0" path="m11825,-489l12818,-489e" filled="false" stroked="true" strokeweight=".72pt" strokecolor="#000000">
                <v:path arrowok="t"/>
              </v:shape>
            </v:group>
            <v:group style="position:absolute;left:12852;top:-461;width:1101;height:2" coordorigin="12852,-461" coordsize="1101,2">
              <v:shape style="position:absolute;left:12852;top:-461;width:1101;height:2" coordorigin="12852,-461" coordsize="1101,0" path="m12852,-461l13952,-461e" filled="false" stroked="true" strokeweight=".72pt" strokecolor="#000000">
                <v:path arrowok="t"/>
              </v:shape>
            </v:group>
            <v:group style="position:absolute;left:12852;top:-489;width:1101;height:2" coordorigin="12852,-489" coordsize="1101,2">
              <v:shape style="position:absolute;left:12852;top:-489;width:1101;height:2" coordorigin="12852,-489" coordsize="1101,0" path="m12852,-489l13952,-489e" filled="false" stroked="true" strokeweight=".72pt" strokecolor="#000000">
                <v:path arrowok="t"/>
              </v:shape>
            </v:group>
            <v:group style="position:absolute;left:13967;top:-461;width:1138;height:2" coordorigin="13967,-461" coordsize="1138,2">
              <v:shape style="position:absolute;left:13967;top:-461;width:1138;height:2" coordorigin="13967,-461" coordsize="1138,0" path="m13967,-461l15104,-461e" filled="false" stroked="true" strokeweight=".72pt" strokecolor="#000000">
                <v:path arrowok="t"/>
              </v:shape>
            </v:group>
            <v:group style="position:absolute;left:13967;top:-489;width:1138;height:2" coordorigin="13967,-489" coordsize="1138,2">
              <v:shape style="position:absolute;left:13967;top:-489;width:1138;height:2" coordorigin="13967,-489" coordsize="1138,0" path="m13967,-489l15104,-489e" filled="false" stroked="true" strokeweight=".72pt" strokecolor="#000000">
                <v:path arrowok="t"/>
              </v:shape>
            </v:group>
            <v:group style="position:absolute;left:15117;top:-461;width:1127;height:2" coordorigin="15117,-461" coordsize="1127,2">
              <v:shape style="position:absolute;left:15117;top:-461;width:1127;height:2" coordorigin="15117,-461" coordsize="1127,0" path="m15117,-461l16244,-461e" filled="false" stroked="true" strokeweight=".72pt" strokecolor="#000000">
                <v:path arrowok="t"/>
              </v:shape>
            </v:group>
            <v:group style="position:absolute;left:15117;top:-489;width:1127;height:2" coordorigin="15117,-489" coordsize="1127,2">
              <v:shape style="position:absolute;left:15117;top:-489;width:1127;height:2" coordorigin="15117,-489" coordsize="1127,0" path="m15117,-489l16244,-489e" filled="false" stroked="true" strokeweight=".72pt" strokecolor="#000000">
                <v:path arrowok="t"/>
              </v:shape>
            </v:group>
            <w10:wrap type="none"/>
          </v:group>
        </w:pict>
      </w:r>
      <w:r>
        <w:rPr>
          <w:rFonts w:ascii="Arial"/>
        </w:rPr>
        <w:t>150</w:t>
      </w:r>
    </w:p>
    <w:p>
      <w:pPr>
        <w:spacing w:after="0" w:line="240" w:lineRule="auto"/>
        <w:jc w:val="center"/>
        <w:rPr>
          <w:rFonts w:ascii="Arial" w:hAnsi="Arial" w:cs="Arial" w:eastAsia="Arial" w:hint="default"/>
        </w:rPr>
        <w:sectPr>
          <w:type w:val="continuous"/>
          <w:pgSz w:w="16840" w:h="11910" w:orient="landscape"/>
          <w:pgMar w:top="1600" w:bottom="280" w:left="180" w:right="460"/>
        </w:sectPr>
      </w:pPr>
    </w:p>
    <w:p>
      <w:pPr>
        <w:spacing w:line="240" w:lineRule="auto" w:before="10"/>
        <w:rPr>
          <w:rFonts w:ascii="Arial" w:hAnsi="Arial" w:cs="Arial" w:eastAsia="Arial" w:hint="default"/>
          <w:sz w:val="21"/>
          <w:szCs w:val="21"/>
        </w:rPr>
      </w:pPr>
    </w:p>
    <w:p>
      <w:pPr>
        <w:pStyle w:val="BodyText"/>
        <w:tabs>
          <w:tab w:pos="576" w:val="left" w:leader="none"/>
        </w:tabs>
        <w:spacing w:line="240" w:lineRule="auto" w:before="31"/>
        <w:ind w:left="142" w:right="99"/>
        <w:jc w:val="left"/>
        <w:rPr>
          <w:rFonts w:ascii="黑体" w:hAnsi="黑体" w:cs="黑体" w:eastAsia="黑体" w:hint="default"/>
        </w:rPr>
      </w:pPr>
      <w:r>
        <w:rPr>
          <w:rFonts w:ascii="黑体" w:hAnsi="黑体" w:cs="黑体" w:eastAsia="黑体" w:hint="default"/>
          <w:w w:val="95"/>
        </w:rPr>
        <w:t>七</w:t>
        <w:tab/>
      </w:r>
      <w:r>
        <w:rPr>
          <w:rFonts w:ascii="黑体" w:hAnsi="黑体" w:cs="黑体" w:eastAsia="黑体" w:hint="default"/>
        </w:rPr>
        <w:t>关联方关系及其交易</w:t>
      </w:r>
    </w:p>
    <w:p>
      <w:pPr>
        <w:pStyle w:val="BodyText"/>
        <w:spacing w:line="240" w:lineRule="auto" w:before="196"/>
        <w:ind w:left="142" w:right="99"/>
        <w:jc w:val="left"/>
      </w:pPr>
      <w:r>
        <w:rPr>
          <w:rFonts w:ascii="Arial" w:hAnsi="Arial" w:cs="Arial" w:eastAsia="Arial" w:hint="default"/>
        </w:rPr>
        <w:t>1</w:t>
      </w:r>
      <w:r>
        <w:rPr/>
        <w:t>、</w:t>
      </w:r>
      <w:r>
        <w:rPr>
          <w:spacing w:val="-35"/>
        </w:rPr>
        <w:t> </w:t>
      </w:r>
      <w:r>
        <w:rPr/>
        <w:t>母公司情况</w:t>
      </w:r>
    </w:p>
    <w:p>
      <w:pPr>
        <w:spacing w:line="240" w:lineRule="auto" w:before="6"/>
        <w:rPr>
          <w:rFonts w:ascii="宋体" w:hAnsi="宋体" w:cs="宋体" w:eastAsia="宋体" w:hint="default"/>
          <w:sz w:val="11"/>
          <w:szCs w:val="11"/>
        </w:rPr>
      </w:pPr>
    </w:p>
    <w:tbl>
      <w:tblPr>
        <w:tblW w:w="0" w:type="auto"/>
        <w:jc w:val="left"/>
        <w:tblInd w:w="107" w:type="dxa"/>
        <w:tblLayout w:type="fixed"/>
        <w:tblCellMar>
          <w:top w:w="0" w:type="dxa"/>
          <w:left w:w="0" w:type="dxa"/>
          <w:bottom w:w="0" w:type="dxa"/>
          <w:right w:w="0" w:type="dxa"/>
        </w:tblCellMar>
        <w:tblLook w:val="01E0"/>
      </w:tblPr>
      <w:tblGrid>
        <w:gridCol w:w="358"/>
        <w:gridCol w:w="1599"/>
        <w:gridCol w:w="1490"/>
        <w:gridCol w:w="1039"/>
        <w:gridCol w:w="1222"/>
        <w:gridCol w:w="2187"/>
        <w:gridCol w:w="80"/>
        <w:gridCol w:w="1417"/>
      </w:tblGrid>
      <w:tr>
        <w:trPr>
          <w:trHeight w:val="847" w:hRule="exact"/>
        </w:trPr>
        <w:tc>
          <w:tcPr>
            <w:tcW w:w="358"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5" w:right="0"/>
              <w:jc w:val="left"/>
              <w:rPr>
                <w:rFonts w:ascii="Arial" w:hAnsi="Arial" w:cs="Arial" w:eastAsia="Arial" w:hint="default"/>
                <w:sz w:val="22"/>
                <w:szCs w:val="22"/>
              </w:rPr>
            </w:pPr>
            <w:r>
              <w:rPr>
                <w:rFonts w:ascii="Arial"/>
                <w:sz w:val="22"/>
              </w:rPr>
              <w:t>(a)</w:t>
            </w:r>
          </w:p>
        </w:tc>
        <w:tc>
          <w:tcPr>
            <w:tcW w:w="308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1"/>
              <w:ind w:left="96" w:right="0"/>
              <w:jc w:val="left"/>
              <w:rPr>
                <w:rFonts w:ascii="宋体" w:hAnsi="宋体" w:cs="宋体" w:eastAsia="宋体" w:hint="default"/>
                <w:sz w:val="22"/>
                <w:szCs w:val="22"/>
              </w:rPr>
            </w:pPr>
            <w:r>
              <w:rPr>
                <w:rFonts w:ascii="宋体" w:hAnsi="宋体" w:cs="宋体" w:eastAsia="宋体" w:hint="default"/>
                <w:sz w:val="22"/>
                <w:szCs w:val="22"/>
              </w:rPr>
              <w:t>母公司基本情况</w:t>
            </w: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740" w:right="0"/>
              <w:jc w:val="left"/>
              <w:rPr>
                <w:rFonts w:ascii="宋体" w:hAnsi="宋体" w:cs="宋体" w:eastAsia="宋体" w:hint="default"/>
                <w:sz w:val="22"/>
                <w:szCs w:val="22"/>
              </w:rPr>
            </w:pPr>
            <w:r>
              <w:rPr>
                <w:rFonts w:ascii="宋体" w:hAnsi="宋体" w:cs="宋体" w:eastAsia="宋体" w:hint="default"/>
                <w:sz w:val="22"/>
                <w:szCs w:val="22"/>
              </w:rPr>
              <w:t>企业类型</w:t>
            </w:r>
          </w:p>
        </w:tc>
        <w:tc>
          <w:tcPr>
            <w:tcW w:w="1039"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38"/>
              <w:jc w:val="center"/>
              <w:rPr>
                <w:rFonts w:ascii="宋体" w:hAnsi="宋体" w:cs="宋体" w:eastAsia="宋体" w:hint="default"/>
                <w:sz w:val="22"/>
                <w:szCs w:val="22"/>
              </w:rPr>
            </w:pPr>
            <w:r>
              <w:rPr>
                <w:rFonts w:ascii="宋体" w:hAnsi="宋体" w:cs="宋体" w:eastAsia="宋体" w:hint="default"/>
                <w:sz w:val="22"/>
                <w:szCs w:val="22"/>
              </w:rPr>
              <w:t>注册地</w:t>
            </w:r>
          </w:p>
        </w:tc>
        <w:tc>
          <w:tcPr>
            <w:tcW w:w="1222"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77" w:right="0"/>
              <w:jc w:val="center"/>
              <w:rPr>
                <w:rFonts w:ascii="宋体" w:hAnsi="宋体" w:cs="宋体" w:eastAsia="宋体" w:hint="default"/>
                <w:sz w:val="22"/>
                <w:szCs w:val="22"/>
              </w:rPr>
            </w:pPr>
            <w:r>
              <w:rPr>
                <w:rFonts w:ascii="宋体" w:hAnsi="宋体" w:cs="宋体" w:eastAsia="宋体" w:hint="default"/>
                <w:sz w:val="22"/>
                <w:szCs w:val="22"/>
              </w:rPr>
              <w:t>法人代表</w:t>
            </w:r>
          </w:p>
        </w:tc>
        <w:tc>
          <w:tcPr>
            <w:tcW w:w="2187"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57" w:right="0"/>
              <w:jc w:val="center"/>
              <w:rPr>
                <w:rFonts w:ascii="宋体" w:hAnsi="宋体" w:cs="宋体" w:eastAsia="宋体" w:hint="default"/>
                <w:sz w:val="22"/>
                <w:szCs w:val="22"/>
              </w:rPr>
            </w:pPr>
            <w:r>
              <w:rPr>
                <w:rFonts w:ascii="宋体" w:hAnsi="宋体" w:cs="宋体" w:eastAsia="宋体" w:hint="default"/>
                <w:sz w:val="22"/>
                <w:szCs w:val="22"/>
              </w:rPr>
              <w:t>业务性质</w:t>
            </w:r>
          </w:p>
        </w:tc>
        <w:tc>
          <w:tcPr>
            <w:tcW w:w="80" w:type="dxa"/>
            <w:tcBorders>
              <w:top w:val="nil" w:sz="6" w:space="0" w:color="auto"/>
              <w:left w:val="nil" w:sz="6" w:space="0" w:color="auto"/>
              <w:bottom w:val="nil" w:sz="6" w:space="0" w:color="auto"/>
              <w:right w:val="nil" w:sz="6" w:space="0" w:color="auto"/>
            </w:tcBorders>
          </w:tcPr>
          <w:p>
            <w:pPr/>
          </w:p>
        </w:tc>
        <w:tc>
          <w:tcPr>
            <w:tcW w:w="1417"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36" w:right="0"/>
              <w:jc w:val="center"/>
              <w:rPr>
                <w:rFonts w:ascii="宋体" w:hAnsi="宋体" w:cs="宋体" w:eastAsia="宋体" w:hint="default"/>
                <w:sz w:val="22"/>
                <w:szCs w:val="22"/>
              </w:rPr>
            </w:pPr>
            <w:r>
              <w:rPr>
                <w:rFonts w:ascii="宋体" w:hAnsi="宋体" w:cs="宋体" w:eastAsia="宋体" w:hint="default"/>
                <w:sz w:val="22"/>
                <w:szCs w:val="22"/>
              </w:rPr>
              <w:t>组织机构代码</w:t>
            </w:r>
          </w:p>
        </w:tc>
      </w:tr>
      <w:tr>
        <w:trPr>
          <w:trHeight w:val="498" w:hRule="exact"/>
        </w:trPr>
        <w:tc>
          <w:tcPr>
            <w:tcW w:w="358" w:type="dxa"/>
            <w:tcBorders>
              <w:top w:val="nil" w:sz="6" w:space="0" w:color="auto"/>
              <w:left w:val="nil" w:sz="6" w:space="0" w:color="auto"/>
              <w:bottom w:val="nil" w:sz="6" w:space="0" w:color="auto"/>
              <w:right w:val="nil" w:sz="6" w:space="0" w:color="auto"/>
            </w:tcBorders>
          </w:tcPr>
          <w:p>
            <w:pPr/>
          </w:p>
        </w:tc>
        <w:tc>
          <w:tcPr>
            <w:tcW w:w="1599"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left="54" w:right="0"/>
              <w:jc w:val="left"/>
              <w:rPr>
                <w:rFonts w:ascii="宋体" w:hAnsi="宋体" w:cs="宋体" w:eastAsia="宋体" w:hint="default"/>
                <w:sz w:val="22"/>
                <w:szCs w:val="22"/>
              </w:rPr>
            </w:pPr>
            <w:r>
              <w:rPr>
                <w:rFonts w:ascii="宋体" w:hAnsi="宋体" w:cs="宋体" w:eastAsia="宋体" w:hint="default"/>
                <w:sz w:val="22"/>
                <w:szCs w:val="22"/>
              </w:rPr>
              <w:t>联通集团</w:t>
            </w:r>
          </w:p>
        </w:tc>
        <w:tc>
          <w:tcPr>
            <w:tcW w:w="1490"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0"/>
              <w:jc w:val="left"/>
              <w:rPr>
                <w:rFonts w:ascii="宋体" w:hAnsi="宋体" w:cs="宋体" w:eastAsia="宋体" w:hint="default"/>
                <w:sz w:val="22"/>
                <w:szCs w:val="22"/>
              </w:rPr>
            </w:pPr>
            <w:r>
              <w:rPr>
                <w:rFonts w:ascii="宋体" w:hAnsi="宋体" w:cs="宋体" w:eastAsia="宋体" w:hint="default"/>
                <w:sz w:val="22"/>
                <w:szCs w:val="22"/>
              </w:rPr>
              <w:t>有限责任公司</w:t>
            </w:r>
          </w:p>
        </w:tc>
        <w:tc>
          <w:tcPr>
            <w:tcW w:w="1039"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39"/>
              <w:jc w:val="center"/>
              <w:rPr>
                <w:rFonts w:ascii="宋体" w:hAnsi="宋体" w:cs="宋体" w:eastAsia="宋体" w:hint="default"/>
                <w:sz w:val="22"/>
                <w:szCs w:val="22"/>
              </w:rPr>
            </w:pPr>
            <w:r>
              <w:rPr>
                <w:rFonts w:ascii="宋体" w:hAnsi="宋体" w:cs="宋体" w:eastAsia="宋体" w:hint="default"/>
                <w:sz w:val="22"/>
                <w:szCs w:val="22"/>
              </w:rPr>
              <w:t>北京</w:t>
            </w:r>
          </w:p>
        </w:tc>
        <w:tc>
          <w:tcPr>
            <w:tcW w:w="1222"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left="77" w:right="0"/>
              <w:jc w:val="center"/>
              <w:rPr>
                <w:rFonts w:ascii="宋体" w:hAnsi="宋体" w:cs="宋体" w:eastAsia="宋体" w:hint="default"/>
                <w:sz w:val="22"/>
                <w:szCs w:val="22"/>
              </w:rPr>
            </w:pPr>
            <w:r>
              <w:rPr>
                <w:rFonts w:ascii="宋体" w:hAnsi="宋体" w:cs="宋体" w:eastAsia="宋体" w:hint="default"/>
                <w:sz w:val="22"/>
                <w:szCs w:val="22"/>
              </w:rPr>
              <w:t>常小兵</w:t>
            </w:r>
          </w:p>
        </w:tc>
        <w:tc>
          <w:tcPr>
            <w:tcW w:w="2187"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left="56" w:right="0"/>
              <w:jc w:val="center"/>
              <w:rPr>
                <w:rFonts w:ascii="宋体" w:hAnsi="宋体" w:cs="宋体" w:eastAsia="宋体" w:hint="default"/>
                <w:sz w:val="22"/>
                <w:szCs w:val="22"/>
              </w:rPr>
            </w:pPr>
            <w:r>
              <w:rPr>
                <w:rFonts w:ascii="宋体" w:hAnsi="宋体" w:cs="宋体" w:eastAsia="宋体" w:hint="default"/>
                <w:sz w:val="22"/>
                <w:szCs w:val="22"/>
              </w:rPr>
              <w:t>电信业务及投资控股</w:t>
            </w:r>
          </w:p>
        </w:tc>
        <w:tc>
          <w:tcPr>
            <w:tcW w:w="80" w:type="dxa"/>
            <w:tcBorders>
              <w:top w:val="nil" w:sz="6" w:space="0" w:color="auto"/>
              <w:left w:val="nil" w:sz="6" w:space="0" w:color="auto"/>
              <w:bottom w:val="nil" w:sz="6" w:space="0" w:color="auto"/>
              <w:right w:val="nil" w:sz="6" w:space="0" w:color="auto"/>
            </w:tcBorders>
          </w:tcPr>
          <w:p>
            <w:pPr/>
          </w:p>
        </w:tc>
        <w:tc>
          <w:tcPr>
            <w:tcW w:w="1417" w:type="dxa"/>
            <w:tcBorders>
              <w:top w:val="single" w:sz="6" w:space="0" w:color="000000"/>
              <w:left w:val="nil" w:sz="6" w:space="0" w:color="auto"/>
              <w:bottom w:val="nil" w:sz="6" w:space="0" w:color="auto"/>
              <w:right w:val="nil" w:sz="6" w:space="0" w:color="auto"/>
            </w:tcBorders>
          </w:tcPr>
          <w:p>
            <w:pPr>
              <w:pStyle w:val="TableParagraph"/>
              <w:spacing w:line="240" w:lineRule="auto" w:before="143"/>
              <w:ind w:left="12" w:right="0"/>
              <w:jc w:val="center"/>
              <w:rPr>
                <w:rFonts w:ascii="Arial" w:hAnsi="Arial" w:cs="Arial" w:eastAsia="Arial" w:hint="default"/>
                <w:sz w:val="22"/>
                <w:szCs w:val="22"/>
              </w:rPr>
            </w:pPr>
            <w:r>
              <w:rPr>
                <w:rFonts w:ascii="Arial"/>
                <w:sz w:val="22"/>
              </w:rPr>
              <w:t>100016501</w:t>
            </w:r>
          </w:p>
        </w:tc>
      </w:tr>
    </w:tbl>
    <w:p>
      <w:pPr>
        <w:pStyle w:val="BodyText"/>
        <w:spacing w:line="240" w:lineRule="auto" w:before="70"/>
        <w:ind w:left="562" w:right="99"/>
        <w:jc w:val="left"/>
      </w:pPr>
      <w:r>
        <w:rPr/>
        <w:t>本公司的最终控制方为联通集团。</w:t>
      </w:r>
    </w:p>
    <w:p>
      <w:pPr>
        <w:pStyle w:val="BodyText"/>
        <w:spacing w:line="240" w:lineRule="auto" w:before="196"/>
        <w:ind w:left="142" w:right="99"/>
        <w:jc w:val="left"/>
      </w:pPr>
      <w:r>
        <w:rPr>
          <w:rFonts w:ascii="Arial" w:hAnsi="Arial" w:cs="Arial" w:eastAsia="Arial" w:hint="default"/>
        </w:rPr>
        <w:t>(b) </w:t>
      </w:r>
      <w:r>
        <w:rPr>
          <w:rFonts w:ascii="Arial" w:hAnsi="Arial" w:cs="Arial" w:eastAsia="Arial" w:hint="default"/>
          <w:spacing w:val="28"/>
        </w:rPr>
        <w:t> </w:t>
      </w:r>
      <w:r>
        <w:rPr/>
        <w:t>母公司注册资本及其变化</w:t>
      </w:r>
    </w:p>
    <w:p>
      <w:pPr>
        <w:pStyle w:val="BodyText"/>
        <w:tabs>
          <w:tab w:pos="5045" w:val="left" w:leader="none"/>
          <w:tab w:pos="6592" w:val="left" w:leader="none"/>
        </w:tabs>
        <w:spacing w:line="240" w:lineRule="auto" w:before="181"/>
        <w:ind w:left="2107" w:right="99"/>
        <w:jc w:val="left"/>
      </w:pP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tab/>
      </w:r>
      <w:r>
        <w:rPr>
          <w:w w:val="95"/>
        </w:rPr>
        <w:t>本年增加</w:t>
        <w:tab/>
      </w:r>
      <w:r>
        <w:rPr/>
        <w:t>本年减少</w:t>
      </w:r>
      <w:r>
        <w:rPr>
          <w:spacing w:val="21"/>
        </w:rPr>
        <w:t> </w:t>
      </w:r>
      <w:r>
        <w:rPr>
          <w:rFonts w:ascii="Arial" w:hAnsi="Arial" w:cs="Arial" w:eastAsia="Arial" w:hint="default"/>
        </w:rPr>
        <w:t>2009</w:t>
      </w:r>
      <w:r>
        <w:rPr>
          <w:rFonts w:ascii="Arial" w:hAnsi="Arial" w:cs="Arial" w:eastAsia="Arial" w:hint="default"/>
          <w:spacing w:val="-14"/>
        </w:rPr>
        <w:t> </w:t>
      </w:r>
      <w:r>
        <w:rPr/>
        <w:t>年</w:t>
      </w:r>
      <w:r>
        <w:rPr>
          <w:spacing w:val="-63"/>
        </w:rPr>
        <w:t> </w:t>
      </w:r>
      <w:r>
        <w:rPr>
          <w:rFonts w:ascii="Arial" w:hAnsi="Arial" w:cs="Arial" w:eastAsia="Arial" w:hint="default"/>
        </w:rPr>
        <w:t>12</w:t>
      </w:r>
      <w:r>
        <w:rPr>
          <w:rFonts w:ascii="Arial" w:hAnsi="Arial" w:cs="Arial" w:eastAsia="Arial" w:hint="default"/>
          <w:spacing w:val="-15"/>
        </w:rPr>
        <w:t> </w:t>
      </w:r>
      <w:r>
        <w:rPr/>
        <w:t>月</w:t>
      </w:r>
      <w:r>
        <w:rPr>
          <w:spacing w:val="-63"/>
        </w:rPr>
        <w:t> </w:t>
      </w:r>
      <w:r>
        <w:rPr>
          <w:rFonts w:ascii="Arial" w:hAnsi="Arial" w:cs="Arial" w:eastAsia="Arial" w:hint="default"/>
        </w:rPr>
        <w:t>31</w:t>
      </w:r>
      <w:r>
        <w:rPr>
          <w:rFonts w:ascii="Arial" w:hAnsi="Arial" w:cs="Arial" w:eastAsia="Arial" w:hint="default"/>
          <w:spacing w:val="-14"/>
        </w:rPr>
        <w:t> </w:t>
      </w:r>
      <w:r>
        <w:rPr/>
        <w:t>日</w:t>
      </w:r>
    </w:p>
    <w:p>
      <w:pPr>
        <w:spacing w:line="20" w:lineRule="exact"/>
        <w:ind w:left="1864" w:right="0" w:firstLine="0"/>
        <w:rPr>
          <w:rFonts w:ascii="宋体" w:hAnsi="宋体" w:cs="宋体" w:eastAsia="宋体" w:hint="default"/>
          <w:sz w:val="2"/>
          <w:szCs w:val="2"/>
        </w:rPr>
      </w:pPr>
      <w:r>
        <w:rPr>
          <w:rFonts w:ascii="宋体"/>
          <w:sz w:val="2"/>
        </w:rPr>
        <w:pict>
          <v:group style="width:204.4pt;height:.75pt;mso-position-horizontal-relative:char;mso-position-vertical-relative:line" coordorigin="0,0" coordsize="4088,15">
            <v:group style="position:absolute;left:7;top:7;width:2170;height:2" coordorigin="7,7" coordsize="2170,2">
              <v:shape style="position:absolute;left:7;top:7;width:2170;height:2" coordorigin="7,7" coordsize="2170,0" path="m7,7l2177,7e" filled="false" stroked="true" strokeweight=".72pt" strokecolor="#000000">
                <v:path arrowok="t"/>
              </v:shape>
            </v:group>
            <v:group style="position:absolute;left:2252;top:7;width:1828;height:2" coordorigin="2252,7" coordsize="1828,2">
              <v:shape style="position:absolute;left:2252;top:7;width:1828;height:2" coordorigin="2252,7" coordsize="1828,0" path="m2252,7l4080,7e" filled="false" stroked="true" strokeweight=".72pt" strokecolor="#000000">
                <v:path arrowok="t"/>
              </v:shape>
            </v:group>
          </v:group>
        </w:pict>
      </w:r>
      <w:r>
        <w:rPr>
          <w:rFonts w:ascii="宋体"/>
          <w:sz w:val="2"/>
        </w:rPr>
      </w:r>
      <w:r>
        <w:rPr>
          <w:rFonts w:ascii="Times New Roman"/>
          <w:spacing w:val="61"/>
          <w:sz w:val="2"/>
        </w:rPr>
        <w:t> </w:t>
      </w:r>
      <w:r>
        <w:rPr>
          <w:rFonts w:ascii="宋体"/>
          <w:spacing w:val="61"/>
          <w:sz w:val="2"/>
        </w:rPr>
        <w:pict>
          <v:group style="width:174.3pt;height:.75pt;mso-position-horizontal-relative:char;mso-position-vertical-relative:line" coordorigin="0,0" coordsize="3486,15">
            <v:group style="position:absolute;left:7;top:7;width:1464;height:2" coordorigin="7,7" coordsize="1464,2">
              <v:shape style="position:absolute;left:7;top:7;width:1464;height:2" coordorigin="7,7" coordsize="1464,0" path="m7,7l1471,7e" filled="false" stroked="true" strokeweight=".72pt" strokecolor="#000000">
                <v:path arrowok="t"/>
              </v:shape>
            </v:group>
            <v:group style="position:absolute;left:1547;top:7;width:1932;height:2" coordorigin="1547,7" coordsize="1932,2">
              <v:shape style="position:absolute;left:1547;top:7;width:1932;height:2" coordorigin="1547,7" coordsize="1932,0" path="m1547,7l3479,7e" filled="false" stroked="true" strokeweight=".72pt" strokecolor="#000000">
                <v:path arrowok="t"/>
              </v:shape>
            </v:group>
          </v:group>
        </w:pict>
      </w:r>
      <w:r>
        <w:rPr>
          <w:rFonts w:ascii="宋体"/>
          <w:spacing w:val="61"/>
          <w:sz w:val="2"/>
        </w:rPr>
      </w:r>
    </w:p>
    <w:p>
      <w:pPr>
        <w:spacing w:line="240" w:lineRule="auto" w:before="3"/>
        <w:rPr>
          <w:rFonts w:ascii="宋体" w:hAnsi="宋体" w:cs="宋体" w:eastAsia="宋体" w:hint="default"/>
          <w:sz w:val="15"/>
          <w:szCs w:val="15"/>
        </w:rPr>
      </w:pPr>
    </w:p>
    <w:p>
      <w:pPr>
        <w:pStyle w:val="BodyText"/>
        <w:tabs>
          <w:tab w:pos="2491" w:val="left" w:leader="none"/>
          <w:tab w:pos="4404" w:val="left" w:leader="none"/>
          <w:tab w:pos="7396" w:val="left" w:leader="none"/>
          <w:tab w:pos="7950" w:val="left" w:leader="none"/>
        </w:tabs>
        <w:spacing w:line="240" w:lineRule="auto" w:before="27"/>
        <w:ind w:left="520" w:right="99"/>
        <w:jc w:val="left"/>
        <w:rPr>
          <w:rFonts w:ascii="Arial" w:hAnsi="Arial" w:cs="Arial" w:eastAsia="Arial" w:hint="default"/>
        </w:rPr>
      </w:pPr>
      <w:r>
        <w:rPr>
          <w:w w:val="95"/>
          <w:position w:val="2"/>
        </w:rPr>
        <w:t>联通集团</w:t>
        <w:tab/>
      </w:r>
      <w:r>
        <w:rPr>
          <w:rFonts w:ascii="Arial" w:hAnsi="Arial" w:cs="Arial" w:eastAsia="Arial" w:hint="default"/>
          <w:spacing w:val="-1"/>
        </w:rPr>
        <w:t>16,301,912,707</w:t>
        <w:tab/>
        <w:t>70,967,544,382</w:t>
        <w:tab/>
      </w:r>
      <w:r>
        <w:rPr>
          <w:rFonts w:ascii="Arial" w:hAnsi="Arial" w:cs="Arial" w:eastAsia="Arial" w:hint="default"/>
          <w:w w:val="95"/>
        </w:rPr>
        <w:t>-</w:t>
        <w:tab/>
      </w:r>
      <w:r>
        <w:rPr>
          <w:rFonts w:ascii="Arial" w:hAnsi="Arial" w:cs="Arial" w:eastAsia="Arial" w:hint="default"/>
          <w:spacing w:val="-1"/>
        </w:rPr>
        <w:t>87,269,457,089</w:t>
      </w:r>
    </w:p>
    <w:p>
      <w:pPr>
        <w:pStyle w:val="BodyText"/>
        <w:spacing w:line="286" w:lineRule="exact" w:before="193"/>
        <w:ind w:left="967" w:right="100" w:hanging="448"/>
        <w:jc w:val="left"/>
      </w:pPr>
      <w:r>
        <w:rPr>
          <w:spacing w:val="-4"/>
        </w:rPr>
        <w:t>注：如附注一（</w:t>
      </w:r>
      <w:r>
        <w:rPr>
          <w:rFonts w:ascii="Arial" w:hAnsi="Arial" w:cs="Arial" w:eastAsia="Arial" w:hint="default"/>
          <w:spacing w:val="-4"/>
        </w:rPr>
        <w:t>5</w:t>
      </w:r>
      <w:r>
        <w:rPr>
          <w:spacing w:val="-4"/>
        </w:rPr>
        <w:t>）所示，联通集团已于</w:t>
      </w:r>
      <w:r>
        <w:rPr>
          <w:spacing w:val="-60"/>
        </w:rPr>
        <w:t> </w:t>
      </w:r>
      <w:r>
        <w:rPr>
          <w:rFonts w:ascii="Arial" w:hAnsi="Arial" w:cs="Arial" w:eastAsia="Arial" w:hint="default"/>
        </w:rPr>
        <w:t>2009</w:t>
      </w:r>
      <w:r>
        <w:rPr>
          <w:rFonts w:ascii="Arial" w:hAnsi="Arial" w:cs="Arial" w:eastAsia="Arial" w:hint="default"/>
          <w:spacing w:val="-11"/>
        </w:rPr>
        <w:t> </w:t>
      </w:r>
      <w:r>
        <w:rPr/>
        <w:t>年</w:t>
      </w:r>
      <w:r>
        <w:rPr>
          <w:spacing w:val="-60"/>
        </w:rPr>
        <w:t> </w:t>
      </w:r>
      <w:r>
        <w:rPr>
          <w:rFonts w:ascii="Arial" w:hAnsi="Arial" w:cs="Arial" w:eastAsia="Arial" w:hint="default"/>
        </w:rPr>
        <w:t>1</w:t>
      </w:r>
      <w:r>
        <w:rPr>
          <w:rFonts w:ascii="Arial" w:hAnsi="Arial" w:cs="Arial" w:eastAsia="Arial" w:hint="default"/>
          <w:spacing w:val="-11"/>
        </w:rPr>
        <w:t> </w:t>
      </w:r>
      <w:r>
        <w:rPr/>
        <w:t>月</w:t>
      </w:r>
      <w:r>
        <w:rPr>
          <w:spacing w:val="-60"/>
        </w:rPr>
        <w:t> </w:t>
      </w:r>
      <w:r>
        <w:rPr>
          <w:rFonts w:ascii="Arial" w:hAnsi="Arial" w:cs="Arial" w:eastAsia="Arial" w:hint="default"/>
        </w:rPr>
        <w:t>6</w:t>
      </w:r>
      <w:r>
        <w:rPr>
          <w:rFonts w:ascii="Arial" w:hAnsi="Arial" w:cs="Arial" w:eastAsia="Arial" w:hint="default"/>
          <w:spacing w:val="-11"/>
        </w:rPr>
        <w:t> </w:t>
      </w:r>
      <w:r>
        <w:rPr/>
        <w:t>日吸收合并了网通集团。因此，原网通</w:t>
      </w:r>
      <w:r>
        <w:rPr>
          <w:w w:val="99"/>
        </w:rPr>
        <w:t> </w:t>
      </w:r>
      <w:r>
        <w:rPr/>
        <w:t>集团的注册资本亦于本年度并入联通集团之注册资本。</w:t>
      </w:r>
    </w:p>
    <w:p>
      <w:pPr>
        <w:pStyle w:val="BodyText"/>
        <w:spacing w:line="240" w:lineRule="auto" w:before="170"/>
        <w:ind w:left="142" w:right="99"/>
        <w:jc w:val="left"/>
      </w:pPr>
      <w:r>
        <w:rPr>
          <w:rFonts w:ascii="Arial" w:hAnsi="Arial" w:cs="Arial" w:eastAsia="Arial" w:hint="default"/>
        </w:rPr>
        <w:t>(c) </w:t>
      </w:r>
      <w:r>
        <w:rPr>
          <w:rFonts w:ascii="Arial" w:hAnsi="Arial" w:cs="Arial" w:eastAsia="Arial" w:hint="default"/>
          <w:spacing w:val="39"/>
        </w:rPr>
        <w:t> </w:t>
      </w:r>
      <w:r>
        <w:rPr/>
        <w:t>母公司对本公司的持股比例和表决权比例</w:t>
      </w:r>
    </w:p>
    <w:p>
      <w:pPr>
        <w:tabs>
          <w:tab w:pos="6656" w:val="left" w:leader="none"/>
        </w:tabs>
        <w:spacing w:line="275" w:lineRule="exact" w:before="187"/>
        <w:ind w:left="3644" w:right="0" w:firstLine="0"/>
        <w:jc w:val="center"/>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宋体" w:hAnsi="宋体" w:cs="宋体" w:eastAsia="宋体" w:hint="default"/>
          <w:sz w:val="20"/>
          <w:szCs w:val="20"/>
        </w:rPr>
        <w:t>日</w:t>
        <w:tab/>
      </w: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宋体" w:hAnsi="宋体" w:cs="宋体" w:eastAsia="宋体" w:hint="default"/>
          <w:sz w:val="20"/>
          <w:szCs w:val="20"/>
        </w:rPr>
        <w:t>日</w:t>
      </w:r>
    </w:p>
    <w:p>
      <w:pPr>
        <w:tabs>
          <w:tab w:pos="5174" w:val="left" w:leader="none"/>
          <w:tab w:pos="6686" w:val="left" w:leader="none"/>
          <w:tab w:pos="8157" w:val="left" w:leader="none"/>
        </w:tabs>
        <w:spacing w:line="261" w:lineRule="exact" w:before="0"/>
        <w:ind w:left="3647" w:right="0" w:firstLine="0"/>
        <w:jc w:val="center"/>
        <w:rPr>
          <w:rFonts w:ascii="宋体" w:hAnsi="宋体" w:cs="宋体" w:eastAsia="宋体" w:hint="default"/>
          <w:sz w:val="20"/>
          <w:szCs w:val="20"/>
        </w:rPr>
      </w:pPr>
      <w:r>
        <w:rPr/>
        <w:pict>
          <v:group style="position:absolute;margin-left:249.300003pt;margin-top:1.150173pt;width:138.6pt;height:.1pt;mso-position-horizontal-relative:page;mso-position-vertical-relative:paragraph;z-index:-911344" coordorigin="4986,23" coordsize="2772,2">
            <v:shape style="position:absolute;left:4986;top:23;width:2772;height:2" coordorigin="4986,23" coordsize="2772,0" path="m4986,23l7758,23e" filled="false" stroked="true" strokeweight=".72pt" strokecolor="#000000">
              <v:path arrowok="t"/>
            </v:shape>
            <w10:wrap type="none"/>
          </v:group>
        </w:pict>
      </w:r>
      <w:r>
        <w:rPr/>
        <w:pict>
          <v:group style="position:absolute;margin-left:401.220001pt;margin-top:1.150173pt;width:135.85pt;height:.1pt;mso-position-horizontal-relative:page;mso-position-vertical-relative:paragraph;z-index:-911320" coordorigin="8024,23" coordsize="2717,2">
            <v:shape style="position:absolute;left:8024;top:23;width:2717;height:2" coordorigin="8024,23" coordsize="2717,0" path="m8024,23l10741,23e" filled="false" stroked="true" strokeweight=".72pt" strokecolor="#000000">
              <v:path arrowok="t"/>
            </v:shape>
            <w10:wrap type="none"/>
          </v:group>
        </w:pict>
      </w:r>
      <w:r>
        <w:rPr>
          <w:rFonts w:ascii="宋体" w:hAnsi="宋体" w:cs="宋体" w:eastAsia="宋体" w:hint="default"/>
          <w:sz w:val="20"/>
          <w:szCs w:val="20"/>
        </w:rPr>
        <w:t>持股比例</w:t>
        <w:tab/>
      </w:r>
      <w:r>
        <w:rPr>
          <w:rFonts w:ascii="宋体" w:hAnsi="宋体" w:cs="宋体" w:eastAsia="宋体" w:hint="default"/>
          <w:spacing w:val="-1"/>
          <w:sz w:val="20"/>
          <w:szCs w:val="20"/>
        </w:rPr>
        <w:t>表决权比例</w:t>
        <w:tab/>
      </w:r>
      <w:r>
        <w:rPr>
          <w:rFonts w:ascii="宋体" w:hAnsi="宋体" w:cs="宋体" w:eastAsia="宋体" w:hint="default"/>
          <w:sz w:val="20"/>
          <w:szCs w:val="20"/>
        </w:rPr>
        <w:t>持股比例</w:t>
        <w:tab/>
      </w:r>
      <w:r>
        <w:rPr>
          <w:rFonts w:ascii="宋体" w:hAnsi="宋体" w:cs="宋体" w:eastAsia="宋体" w:hint="default"/>
          <w:spacing w:val="-1"/>
          <w:sz w:val="20"/>
          <w:szCs w:val="20"/>
        </w:rPr>
        <w:t>表决权比例</w:t>
      </w:r>
    </w:p>
    <w:p>
      <w:pPr>
        <w:spacing w:line="240" w:lineRule="auto" w:before="2"/>
        <w:rPr>
          <w:rFonts w:ascii="宋体" w:hAnsi="宋体" w:cs="宋体" w:eastAsia="宋体" w:hint="default"/>
          <w:sz w:val="2"/>
          <w:szCs w:val="2"/>
        </w:rPr>
      </w:pPr>
    </w:p>
    <w:p>
      <w:pPr>
        <w:tabs>
          <w:tab w:pos="5224" w:val="left" w:leader="none"/>
          <w:tab w:pos="6777" w:val="left" w:leader="none"/>
          <w:tab w:pos="8261" w:val="left" w:leader="none"/>
        </w:tabs>
        <w:spacing w:line="20" w:lineRule="exact"/>
        <w:ind w:left="3738" w:right="0" w:firstLine="0"/>
        <w:rPr>
          <w:rFonts w:ascii="宋体" w:hAnsi="宋体" w:cs="宋体" w:eastAsia="宋体" w:hint="default"/>
          <w:sz w:val="2"/>
          <w:szCs w:val="2"/>
        </w:rPr>
      </w:pPr>
      <w:r>
        <w:rPr>
          <w:rFonts w:ascii="宋体"/>
          <w:sz w:val="2"/>
        </w:rPr>
        <w:pict>
          <v:group style="width:63.1pt;height:.75pt;mso-position-horizontal-relative:char;mso-position-vertical-relative:line" coordorigin="0,0" coordsize="1262,15">
            <v:group style="position:absolute;left:7;top:7;width:1247;height:2" coordorigin="7,7" coordsize="1247,2">
              <v:shape style="position:absolute;left:7;top:7;width:1247;height:2" coordorigin="7,7" coordsize="1247,0" path="m7,7l1254,7e" filled="false" stroked="true" strokeweight=".72pt" strokecolor="#000000">
                <v:path arrowok="t"/>
              </v:shape>
            </v:group>
          </v:group>
        </w:pict>
      </w:r>
      <w:r>
        <w:rPr>
          <w:rFonts w:ascii="宋体"/>
          <w:sz w:val="2"/>
        </w:rPr>
      </w:r>
      <w:r>
        <w:rPr>
          <w:rFonts w:ascii="宋体"/>
          <w:sz w:val="2"/>
        </w:rPr>
        <w:tab/>
      </w:r>
      <w:r>
        <w:rPr>
          <w:rFonts w:ascii="宋体"/>
          <w:sz w:val="2"/>
        </w:rPr>
        <w:pict>
          <v:group style="width:65.05pt;height:.75pt;mso-position-horizontal-relative:char;mso-position-vertical-relative:line" coordorigin="0,0" coordsize="1301,15">
            <v:group style="position:absolute;left:7;top:7;width:1287;height:2" coordorigin="7,7" coordsize="1287,2">
              <v:shape style="position:absolute;left:7;top:7;width:1287;height:2" coordorigin="7,7" coordsize="1287,0" path="m7,7l1294,7e" filled="false" stroked="true" strokeweight=".72pt" strokecolor="#000000">
                <v:path arrowok="t"/>
              </v:shape>
            </v:group>
          </v:group>
        </w:pict>
      </w:r>
      <w:r>
        <w:rPr>
          <w:rFonts w:ascii="宋体"/>
          <w:sz w:val="2"/>
        </w:rPr>
      </w:r>
      <w:r>
        <w:rPr>
          <w:rFonts w:ascii="宋体"/>
          <w:sz w:val="2"/>
        </w:rPr>
        <w:tab/>
      </w:r>
      <w:r>
        <w:rPr>
          <w:rFonts w:ascii="宋体"/>
          <w:sz w:val="2"/>
        </w:rPr>
        <w:pict>
          <v:group style="width:63pt;height:.75pt;mso-position-horizontal-relative:char;mso-position-vertical-relative:line" coordorigin="0,0" coordsize="1260,15">
            <v:group style="position:absolute;left:7;top:7;width:1246;height:2" coordorigin="7,7" coordsize="1246,2">
              <v:shape style="position:absolute;left:7;top:7;width:1246;height:2" coordorigin="7,7" coordsize="1246,0" path="m7,7l1253,7e" filled="false" stroked="true" strokeweight=".72pt" strokecolor="#000000">
                <v:path arrowok="t"/>
              </v:shape>
            </v:group>
          </v:group>
        </w:pict>
      </w:r>
      <w:r>
        <w:rPr>
          <w:rFonts w:ascii="宋体"/>
          <w:sz w:val="2"/>
        </w:rPr>
      </w:r>
      <w:r>
        <w:rPr>
          <w:rFonts w:ascii="宋体"/>
          <w:sz w:val="2"/>
        </w:rPr>
        <w:tab/>
      </w:r>
      <w:r>
        <w:rPr>
          <w:rFonts w:ascii="宋体"/>
          <w:sz w:val="2"/>
        </w:rPr>
        <w:pict>
          <v:group style="width:62.35pt;height:.75pt;mso-position-horizontal-relative:char;mso-position-vertical-relative:line" coordorigin="0,0" coordsize="1247,15">
            <v:group style="position:absolute;left:7;top:7;width:1233;height:2" coordorigin="7,7" coordsize="1233,2">
              <v:shape style="position:absolute;left:7;top:7;width:1233;height:2" coordorigin="7,7" coordsize="1233,0" path="m7,7l1240,7e" filled="false" stroked="true" strokeweight=".72pt" strokecolor="#000000">
                <v:path arrowok="t"/>
              </v:shape>
            </v:group>
          </v:group>
        </w:pict>
      </w:r>
      <w:r>
        <w:rPr>
          <w:rFonts w:ascii="宋体"/>
          <w:sz w:val="2"/>
        </w:rPr>
      </w:r>
    </w:p>
    <w:p>
      <w:pPr>
        <w:spacing w:line="240" w:lineRule="auto" w:before="4"/>
        <w:rPr>
          <w:rFonts w:ascii="宋体" w:hAnsi="宋体" w:cs="宋体" w:eastAsia="宋体" w:hint="default"/>
          <w:sz w:val="11"/>
          <w:szCs w:val="11"/>
        </w:rPr>
      </w:pPr>
    </w:p>
    <w:p>
      <w:pPr>
        <w:tabs>
          <w:tab w:pos="4212" w:val="left" w:leader="none"/>
          <w:tab w:pos="5738" w:val="left" w:leader="none"/>
          <w:tab w:pos="7250" w:val="left" w:leader="none"/>
          <w:tab w:pos="8722" w:val="left" w:leader="none"/>
        </w:tabs>
        <w:spacing w:before="45"/>
        <w:ind w:left="601" w:right="99" w:firstLine="0"/>
        <w:jc w:val="left"/>
        <w:rPr>
          <w:rFonts w:ascii="Arial" w:hAnsi="Arial" w:cs="Arial" w:eastAsia="Arial" w:hint="default"/>
          <w:sz w:val="20"/>
          <w:szCs w:val="20"/>
        </w:rPr>
      </w:pPr>
      <w:r>
        <w:rPr>
          <w:rFonts w:ascii="宋体" w:hAnsi="宋体" w:cs="宋体" w:eastAsia="宋体" w:hint="default"/>
          <w:sz w:val="20"/>
          <w:szCs w:val="20"/>
        </w:rPr>
        <w:t>联通集团</w:t>
        <w:tab/>
      </w:r>
      <w:r>
        <w:rPr>
          <w:rFonts w:ascii="Arial" w:hAnsi="Arial" w:cs="Arial" w:eastAsia="Arial" w:hint="default"/>
          <w:position w:val="2"/>
          <w:sz w:val="20"/>
          <w:szCs w:val="20"/>
        </w:rPr>
        <w:t>61.05%</w:t>
        <w:tab/>
        <w:t>61.05%</w:t>
        <w:tab/>
        <w:t>61.05%</w:t>
        <w:tab/>
        <w:t>61.05%</w:t>
      </w:r>
      <w:r>
        <w:rPr>
          <w:rFonts w:ascii="Arial" w:hAnsi="Arial" w:cs="Arial" w:eastAsia="Arial" w:hint="default"/>
          <w:sz w:val="20"/>
          <w:szCs w:val="20"/>
        </w:rPr>
      </w:r>
    </w:p>
    <w:p>
      <w:pPr>
        <w:spacing w:line="240" w:lineRule="auto" w:before="9"/>
        <w:rPr>
          <w:rFonts w:ascii="Arial" w:hAnsi="Arial" w:cs="Arial" w:eastAsia="Arial" w:hint="default"/>
          <w:sz w:val="16"/>
          <w:szCs w:val="16"/>
        </w:rPr>
      </w:pPr>
    </w:p>
    <w:p>
      <w:pPr>
        <w:pStyle w:val="BodyText"/>
        <w:spacing w:line="384" w:lineRule="auto"/>
        <w:ind w:left="562" w:right="5102" w:hanging="421"/>
        <w:jc w:val="left"/>
      </w:pPr>
      <w:r>
        <w:rPr>
          <w:rFonts w:ascii="Arial" w:hAnsi="Arial" w:cs="Arial" w:eastAsia="Arial" w:hint="default"/>
        </w:rPr>
        <w:t>2</w:t>
      </w:r>
      <w:r>
        <w:rPr/>
        <w:t>、</w:t>
      </w:r>
      <w:r>
        <w:rPr>
          <w:spacing w:val="-34"/>
        </w:rPr>
        <w:t> </w:t>
      </w:r>
      <w:r>
        <w:rPr/>
        <w:t>子公司情况</w:t>
      </w:r>
      <w:r>
        <w:rPr>
          <w:w w:val="99"/>
        </w:rPr>
        <w:t> </w:t>
      </w:r>
      <w:r>
        <w:rPr/>
        <w:t>子公司的基本情况及相关信息见附注四。</w:t>
      </w:r>
    </w:p>
    <w:p>
      <w:pPr>
        <w:pStyle w:val="BodyText"/>
        <w:spacing w:line="240" w:lineRule="auto" w:before="65"/>
        <w:ind w:left="142" w:right="99"/>
        <w:jc w:val="left"/>
      </w:pPr>
      <w:r>
        <w:rPr>
          <w:rFonts w:ascii="Arial" w:hAnsi="Arial" w:cs="Arial" w:eastAsia="Arial" w:hint="default"/>
        </w:rPr>
        <w:t>3</w:t>
      </w:r>
      <w:r>
        <w:rPr/>
        <w:t>、</w:t>
      </w:r>
      <w:r>
        <w:rPr>
          <w:spacing w:val="-35"/>
        </w:rPr>
        <w:t> </w:t>
      </w:r>
      <w:r>
        <w:rPr/>
        <w:t>其他关联方情况</w:t>
      </w:r>
    </w:p>
    <w:p>
      <w:pPr>
        <w:spacing w:line="240" w:lineRule="auto" w:before="4"/>
        <w:rPr>
          <w:rFonts w:ascii="宋体" w:hAnsi="宋体" w:cs="宋体" w:eastAsia="宋体" w:hint="default"/>
          <w:sz w:val="11"/>
          <w:szCs w:val="11"/>
        </w:rPr>
      </w:pPr>
    </w:p>
    <w:tbl>
      <w:tblPr>
        <w:tblW w:w="0" w:type="auto"/>
        <w:jc w:val="left"/>
        <w:tblInd w:w="492" w:type="dxa"/>
        <w:tblLayout w:type="fixed"/>
        <w:tblCellMar>
          <w:top w:w="0" w:type="dxa"/>
          <w:left w:w="0" w:type="dxa"/>
          <w:bottom w:w="0" w:type="dxa"/>
          <w:right w:w="0" w:type="dxa"/>
        </w:tblCellMar>
        <w:tblLook w:val="01E0"/>
      </w:tblPr>
      <w:tblGrid>
        <w:gridCol w:w="503"/>
        <w:gridCol w:w="4642"/>
        <w:gridCol w:w="2197"/>
        <w:gridCol w:w="238"/>
        <w:gridCol w:w="1429"/>
      </w:tblGrid>
      <w:tr>
        <w:trPr>
          <w:trHeight w:val="337" w:hRule="exact"/>
        </w:trPr>
        <w:tc>
          <w:tcPr>
            <w:tcW w:w="5145" w:type="dxa"/>
            <w:gridSpan w:val="2"/>
            <w:vMerge w:val="restart"/>
            <w:tcBorders>
              <w:top w:val="nil" w:sz="6" w:space="0" w:color="auto"/>
              <w:left w:val="nil" w:sz="6" w:space="0" w:color="auto"/>
              <w:right w:val="nil" w:sz="6" w:space="0" w:color="auto"/>
            </w:tcBorders>
          </w:tcPr>
          <w:p>
            <w:pPr/>
          </w:p>
        </w:tc>
        <w:tc>
          <w:tcPr>
            <w:tcW w:w="2197" w:type="dxa"/>
            <w:tcBorders>
              <w:top w:val="nil" w:sz="6" w:space="0" w:color="auto"/>
              <w:left w:val="nil" w:sz="6" w:space="0" w:color="auto"/>
              <w:bottom w:val="single" w:sz="6" w:space="0" w:color="000000"/>
              <w:right w:val="nil" w:sz="6" w:space="0" w:color="auto"/>
            </w:tcBorders>
          </w:tcPr>
          <w:p>
            <w:pPr>
              <w:pStyle w:val="TableParagraph"/>
              <w:spacing w:line="240" w:lineRule="auto" w:before="38"/>
              <w:ind w:right="98"/>
              <w:jc w:val="right"/>
              <w:rPr>
                <w:rFonts w:ascii="宋体" w:hAnsi="宋体" w:cs="宋体" w:eastAsia="宋体" w:hint="default"/>
                <w:sz w:val="20"/>
                <w:szCs w:val="20"/>
              </w:rPr>
            </w:pPr>
            <w:r>
              <w:rPr>
                <w:rFonts w:ascii="宋体" w:hAnsi="宋体" w:cs="宋体" w:eastAsia="宋体" w:hint="default"/>
                <w:spacing w:val="-1"/>
                <w:sz w:val="20"/>
                <w:szCs w:val="20"/>
              </w:rPr>
              <w:t>与本集团的关系</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single" w:sz="6" w:space="0" w:color="000000"/>
              <w:right w:val="nil" w:sz="6" w:space="0" w:color="auto"/>
            </w:tcBorders>
          </w:tcPr>
          <w:p>
            <w:pPr>
              <w:pStyle w:val="TableParagraph"/>
              <w:spacing w:line="240" w:lineRule="auto" w:before="38"/>
              <w:ind w:right="97"/>
              <w:jc w:val="right"/>
              <w:rPr>
                <w:rFonts w:ascii="宋体" w:hAnsi="宋体" w:cs="宋体" w:eastAsia="宋体" w:hint="default"/>
                <w:sz w:val="20"/>
                <w:szCs w:val="20"/>
              </w:rPr>
            </w:pPr>
            <w:r>
              <w:rPr>
                <w:rFonts w:ascii="宋体" w:hAnsi="宋体" w:cs="宋体" w:eastAsia="宋体" w:hint="default"/>
                <w:spacing w:val="-1"/>
                <w:sz w:val="20"/>
                <w:szCs w:val="20"/>
              </w:rPr>
              <w:t>组织机构代码</w:t>
            </w:r>
          </w:p>
        </w:tc>
      </w:tr>
      <w:tr>
        <w:trPr>
          <w:trHeight w:val="267" w:hRule="exact"/>
        </w:trPr>
        <w:tc>
          <w:tcPr>
            <w:tcW w:w="5145" w:type="dxa"/>
            <w:gridSpan w:val="2"/>
            <w:vMerge/>
            <w:tcBorders>
              <w:left w:val="nil" w:sz="6" w:space="0" w:color="auto"/>
              <w:right w:val="nil" w:sz="6" w:space="0" w:color="auto"/>
            </w:tcBorders>
          </w:tcPr>
          <w:p>
            <w:pPr/>
          </w:p>
        </w:tc>
        <w:tc>
          <w:tcPr>
            <w:tcW w:w="2197" w:type="dxa"/>
            <w:tcBorders>
              <w:top w:val="single" w:sz="6" w:space="0" w:color="000000"/>
              <w:left w:val="nil" w:sz="6" w:space="0" w:color="auto"/>
              <w:bottom w:val="nil" w:sz="6" w:space="0" w:color="auto"/>
              <w:right w:val="nil" w:sz="6" w:space="0" w:color="auto"/>
            </w:tcBorders>
          </w:tcPr>
          <w:p>
            <w:pPr>
              <w:pStyle w:val="TableParagraph"/>
              <w:spacing w:line="231" w:lineRule="exact"/>
              <w:ind w:right="102"/>
              <w:jc w:val="right"/>
              <w:rPr>
                <w:rFonts w:ascii="宋体" w:hAnsi="宋体" w:cs="宋体" w:eastAsia="宋体" w:hint="default"/>
                <w:sz w:val="20"/>
                <w:szCs w:val="20"/>
              </w:rPr>
            </w:pPr>
            <w:r>
              <w:rPr>
                <w:rFonts w:ascii="宋体" w:hAnsi="宋体" w:cs="宋体" w:eastAsia="宋体" w:hint="default"/>
                <w:spacing w:val="-1"/>
                <w:sz w:val="20"/>
                <w:szCs w:val="20"/>
              </w:rPr>
              <w:t>联通集团全资子公司，</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single" w:sz="6" w:space="0" w:color="000000"/>
              <w:left w:val="nil" w:sz="6" w:space="0" w:color="auto"/>
              <w:bottom w:val="nil" w:sz="6" w:space="0" w:color="auto"/>
              <w:right w:val="nil" w:sz="6" w:space="0" w:color="auto"/>
            </w:tcBorders>
          </w:tcPr>
          <w:p>
            <w:pPr/>
          </w:p>
        </w:tc>
      </w:tr>
      <w:tr>
        <w:trPr>
          <w:trHeight w:val="259" w:hRule="exact"/>
        </w:trPr>
        <w:tc>
          <w:tcPr>
            <w:tcW w:w="5145" w:type="dxa"/>
            <w:gridSpan w:val="2"/>
            <w:vMerge/>
            <w:tcBorders>
              <w:left w:val="nil" w:sz="6" w:space="0" w:color="auto"/>
              <w:bottom w:val="nil" w:sz="6" w:space="0" w:color="auto"/>
              <w:right w:val="nil" w:sz="6" w:space="0" w:color="auto"/>
            </w:tcBorders>
          </w:tcPr>
          <w:p>
            <w:pPr/>
          </w:p>
        </w:tc>
        <w:tc>
          <w:tcPr>
            <w:tcW w:w="2197" w:type="dxa"/>
            <w:tcBorders>
              <w:top w:val="nil" w:sz="6" w:space="0" w:color="auto"/>
              <w:left w:val="nil" w:sz="6" w:space="0" w:color="auto"/>
              <w:bottom w:val="nil" w:sz="6" w:space="0" w:color="auto"/>
              <w:right w:val="nil" w:sz="6" w:space="0" w:color="auto"/>
            </w:tcBorders>
          </w:tcPr>
          <w:p>
            <w:pPr>
              <w:pStyle w:val="TableParagraph"/>
              <w:spacing w:line="230" w:lineRule="exact"/>
              <w:ind w:left="291" w:right="0"/>
              <w:jc w:val="left"/>
              <w:rPr>
                <w:rFonts w:ascii="宋体" w:hAnsi="宋体" w:cs="宋体" w:eastAsia="宋体" w:hint="default"/>
                <w:sz w:val="20"/>
                <w:szCs w:val="20"/>
              </w:rPr>
            </w:pPr>
            <w:r>
              <w:rPr>
                <w:rFonts w:ascii="宋体" w:hAnsi="宋体" w:cs="宋体" w:eastAsia="宋体" w:hint="default"/>
                <w:sz w:val="20"/>
                <w:szCs w:val="20"/>
              </w:rPr>
              <w:t>本公司股东之一，</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
        </w:tc>
      </w:tr>
      <w:tr>
        <w:trPr>
          <w:trHeight w:val="270" w:hRule="exact"/>
        </w:trPr>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88" w:right="0"/>
              <w:jc w:val="left"/>
              <w:rPr>
                <w:rFonts w:ascii="Arial" w:hAnsi="Arial" w:cs="Arial" w:eastAsia="Arial" w:hint="default"/>
                <w:sz w:val="20"/>
                <w:szCs w:val="20"/>
              </w:rPr>
            </w:pPr>
            <w:r>
              <w:rPr>
                <w:rFonts w:ascii="Arial"/>
                <w:sz w:val="20"/>
              </w:rPr>
              <w:t>(1)</w:t>
            </w:r>
          </w:p>
        </w:tc>
        <w:tc>
          <w:tcPr>
            <w:tcW w:w="4642" w:type="dxa"/>
            <w:tcBorders>
              <w:top w:val="nil" w:sz="6" w:space="0" w:color="auto"/>
              <w:left w:val="nil" w:sz="6" w:space="0" w:color="auto"/>
              <w:bottom w:val="nil" w:sz="6" w:space="0" w:color="auto"/>
              <w:right w:val="nil" w:sz="6" w:space="0" w:color="auto"/>
            </w:tcBorders>
          </w:tcPr>
          <w:p>
            <w:pPr>
              <w:pStyle w:val="TableParagraph"/>
              <w:spacing w:line="230" w:lineRule="exact"/>
              <w:ind w:left="112" w:right="0"/>
              <w:jc w:val="left"/>
              <w:rPr>
                <w:rFonts w:ascii="宋体" w:hAnsi="宋体" w:cs="宋体" w:eastAsia="宋体" w:hint="default"/>
                <w:sz w:val="20"/>
                <w:szCs w:val="20"/>
              </w:rPr>
            </w:pPr>
            <w:r>
              <w:rPr>
                <w:rFonts w:ascii="宋体" w:hAnsi="宋体" w:cs="宋体" w:eastAsia="宋体" w:hint="default"/>
                <w:sz w:val="20"/>
                <w:szCs w:val="20"/>
              </w:rPr>
              <w:t>联通进出口</w:t>
            </w:r>
          </w:p>
        </w:tc>
        <w:tc>
          <w:tcPr>
            <w:tcW w:w="2197" w:type="dxa"/>
            <w:tcBorders>
              <w:top w:val="nil" w:sz="6" w:space="0" w:color="auto"/>
              <w:left w:val="nil" w:sz="6" w:space="0" w:color="auto"/>
              <w:bottom w:val="nil" w:sz="6" w:space="0" w:color="auto"/>
              <w:right w:val="nil" w:sz="6" w:space="0" w:color="auto"/>
            </w:tcBorders>
          </w:tcPr>
          <w:p>
            <w:pPr>
              <w:pStyle w:val="TableParagraph"/>
              <w:spacing w:line="244" w:lineRule="exact"/>
              <w:ind w:left="291" w:right="0"/>
              <w:jc w:val="left"/>
              <w:rPr>
                <w:rFonts w:ascii="Arial" w:hAnsi="Arial" w:cs="Arial" w:eastAsia="Arial" w:hint="default"/>
                <w:sz w:val="20"/>
                <w:szCs w:val="20"/>
              </w:rPr>
            </w:pPr>
            <w:r>
              <w:rPr>
                <w:rFonts w:ascii="宋体" w:hAnsi="宋体" w:cs="宋体" w:eastAsia="宋体" w:hint="default"/>
                <w:sz w:val="20"/>
                <w:szCs w:val="20"/>
              </w:rPr>
              <w:t>持股</w:t>
            </w:r>
            <w:r>
              <w:rPr>
                <w:rFonts w:ascii="宋体" w:hAnsi="宋体" w:cs="宋体" w:eastAsia="宋体" w:hint="default"/>
                <w:spacing w:val="-57"/>
                <w:sz w:val="20"/>
                <w:szCs w:val="20"/>
              </w:rPr>
              <w:t> </w:t>
            </w:r>
            <w:r>
              <w:rPr>
                <w:rFonts w:ascii="Arial" w:hAnsi="Arial" w:cs="Arial" w:eastAsia="Arial" w:hint="default"/>
                <w:sz w:val="20"/>
                <w:szCs w:val="20"/>
              </w:rPr>
              <w:t>0.0027%</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26"/>
              <w:ind w:right="99"/>
              <w:jc w:val="right"/>
              <w:rPr>
                <w:rFonts w:ascii="Arial" w:hAnsi="Arial" w:cs="Arial" w:eastAsia="Arial" w:hint="default"/>
                <w:sz w:val="20"/>
                <w:szCs w:val="20"/>
              </w:rPr>
            </w:pPr>
            <w:r>
              <w:rPr>
                <w:rFonts w:ascii="Arial"/>
                <w:spacing w:val="-1"/>
                <w:sz w:val="20"/>
              </w:rPr>
              <w:t>100018021</w:t>
            </w:r>
          </w:p>
        </w:tc>
      </w:tr>
      <w:tr>
        <w:trPr>
          <w:trHeight w:val="259" w:hRule="exact"/>
        </w:trPr>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8" w:right="0"/>
              <w:jc w:val="left"/>
              <w:rPr>
                <w:rFonts w:ascii="Arial" w:hAnsi="Arial" w:cs="Arial" w:eastAsia="Arial" w:hint="default"/>
                <w:sz w:val="20"/>
                <w:szCs w:val="20"/>
              </w:rPr>
            </w:pPr>
            <w:r>
              <w:rPr>
                <w:rFonts w:ascii="Arial"/>
                <w:sz w:val="20"/>
              </w:rPr>
              <w:t>(2)</w:t>
            </w:r>
          </w:p>
        </w:tc>
        <w:tc>
          <w:tcPr>
            <w:tcW w:w="4642" w:type="dxa"/>
            <w:tcBorders>
              <w:top w:val="nil" w:sz="6" w:space="0" w:color="auto"/>
              <w:left w:val="nil" w:sz="6" w:space="0" w:color="auto"/>
              <w:bottom w:val="nil" w:sz="6" w:space="0" w:color="auto"/>
              <w:right w:val="nil" w:sz="6" w:space="0" w:color="auto"/>
            </w:tcBorders>
          </w:tcPr>
          <w:p>
            <w:pPr>
              <w:pStyle w:val="TableParagraph"/>
              <w:spacing w:line="219" w:lineRule="exact"/>
              <w:ind w:left="112" w:right="0"/>
              <w:jc w:val="left"/>
              <w:rPr>
                <w:rFonts w:ascii="宋体" w:hAnsi="宋体" w:cs="宋体" w:eastAsia="宋体" w:hint="default"/>
                <w:sz w:val="20"/>
                <w:szCs w:val="20"/>
              </w:rPr>
            </w:pPr>
            <w:r>
              <w:rPr>
                <w:rFonts w:ascii="宋体" w:hAnsi="宋体" w:cs="宋体" w:eastAsia="宋体" w:hint="default"/>
                <w:sz w:val="20"/>
                <w:szCs w:val="20"/>
              </w:rPr>
              <w:t>联通新时空</w:t>
            </w:r>
          </w:p>
        </w:tc>
        <w:tc>
          <w:tcPr>
            <w:tcW w:w="2197" w:type="dxa"/>
            <w:tcBorders>
              <w:top w:val="nil" w:sz="6" w:space="0" w:color="auto"/>
              <w:left w:val="nil" w:sz="6" w:space="0" w:color="auto"/>
              <w:bottom w:val="nil" w:sz="6" w:space="0" w:color="auto"/>
              <w:right w:val="nil" w:sz="6" w:space="0" w:color="auto"/>
            </w:tcBorders>
          </w:tcPr>
          <w:p>
            <w:pPr>
              <w:pStyle w:val="TableParagraph"/>
              <w:spacing w:line="219" w:lineRule="exact"/>
              <w:ind w:right="102"/>
              <w:jc w:val="right"/>
              <w:rPr>
                <w:rFonts w:ascii="宋体" w:hAnsi="宋体" w:cs="宋体" w:eastAsia="宋体" w:hint="default"/>
                <w:sz w:val="20"/>
                <w:szCs w:val="20"/>
              </w:rPr>
            </w:pPr>
            <w:r>
              <w:rPr>
                <w:rFonts w:ascii="宋体" w:hAnsi="宋体" w:cs="宋体" w:eastAsia="宋体" w:hint="default"/>
                <w:spacing w:val="-1"/>
                <w:sz w:val="20"/>
                <w:szCs w:val="20"/>
              </w:rPr>
              <w:t>联通集团全资子公司</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8"/>
              <w:jc w:val="right"/>
              <w:rPr>
                <w:rFonts w:ascii="Arial" w:hAnsi="Arial" w:cs="Arial" w:eastAsia="Arial" w:hint="default"/>
                <w:sz w:val="20"/>
                <w:szCs w:val="20"/>
              </w:rPr>
            </w:pPr>
            <w:r>
              <w:rPr>
                <w:rFonts w:ascii="Arial"/>
                <w:spacing w:val="-1"/>
                <w:sz w:val="20"/>
              </w:rPr>
              <w:t>71092788X</w:t>
            </w:r>
          </w:p>
        </w:tc>
      </w:tr>
      <w:tr>
        <w:trPr>
          <w:trHeight w:val="259" w:hRule="exact"/>
        </w:trPr>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8" w:right="0"/>
              <w:jc w:val="left"/>
              <w:rPr>
                <w:rFonts w:ascii="Arial" w:hAnsi="Arial" w:cs="Arial" w:eastAsia="Arial" w:hint="default"/>
                <w:sz w:val="20"/>
                <w:szCs w:val="20"/>
              </w:rPr>
            </w:pPr>
            <w:r>
              <w:rPr>
                <w:rFonts w:ascii="Arial"/>
                <w:sz w:val="20"/>
              </w:rPr>
              <w:t>(3)</w:t>
            </w:r>
          </w:p>
        </w:tc>
        <w:tc>
          <w:tcPr>
            <w:tcW w:w="4642" w:type="dxa"/>
            <w:tcBorders>
              <w:top w:val="nil" w:sz="6" w:space="0" w:color="auto"/>
              <w:left w:val="nil" w:sz="6" w:space="0" w:color="auto"/>
              <w:bottom w:val="nil" w:sz="6" w:space="0" w:color="auto"/>
              <w:right w:val="nil" w:sz="6" w:space="0" w:color="auto"/>
            </w:tcBorders>
          </w:tcPr>
          <w:p>
            <w:pPr>
              <w:pStyle w:val="TableParagraph"/>
              <w:spacing w:line="219" w:lineRule="exact"/>
              <w:ind w:left="112" w:right="0"/>
              <w:jc w:val="left"/>
              <w:rPr>
                <w:rFonts w:ascii="宋体" w:hAnsi="宋体" w:cs="宋体" w:eastAsia="宋体" w:hint="default"/>
                <w:sz w:val="20"/>
                <w:szCs w:val="20"/>
              </w:rPr>
            </w:pPr>
            <w:r>
              <w:rPr>
                <w:rFonts w:ascii="宋体" w:hAnsi="宋体" w:cs="宋体" w:eastAsia="宋体" w:hint="default"/>
                <w:sz w:val="20"/>
                <w:szCs w:val="20"/>
              </w:rPr>
              <w:t>联通新时讯通信有限公司（“联通新时讯”）</w:t>
            </w:r>
          </w:p>
        </w:tc>
        <w:tc>
          <w:tcPr>
            <w:tcW w:w="2197" w:type="dxa"/>
            <w:tcBorders>
              <w:top w:val="nil" w:sz="6" w:space="0" w:color="auto"/>
              <w:left w:val="nil" w:sz="6" w:space="0" w:color="auto"/>
              <w:bottom w:val="nil" w:sz="6" w:space="0" w:color="auto"/>
              <w:right w:val="nil" w:sz="6" w:space="0" w:color="auto"/>
            </w:tcBorders>
          </w:tcPr>
          <w:p>
            <w:pPr>
              <w:pStyle w:val="TableParagraph"/>
              <w:spacing w:line="233" w:lineRule="exact"/>
              <w:ind w:right="102"/>
              <w:jc w:val="right"/>
              <w:rPr>
                <w:rFonts w:ascii="Arial" w:hAnsi="Arial" w:cs="Arial" w:eastAsia="Arial" w:hint="default"/>
                <w:sz w:val="20"/>
                <w:szCs w:val="20"/>
              </w:rPr>
            </w:pPr>
            <w:r>
              <w:rPr>
                <w:rFonts w:ascii="宋体" w:hAnsi="宋体" w:cs="宋体" w:eastAsia="宋体" w:hint="default"/>
                <w:sz w:val="20"/>
                <w:szCs w:val="20"/>
              </w:rPr>
              <w:t>联通集团控股</w:t>
            </w:r>
            <w:r>
              <w:rPr>
                <w:rFonts w:ascii="宋体" w:hAnsi="宋体" w:cs="宋体" w:eastAsia="宋体" w:hint="default"/>
                <w:spacing w:val="-54"/>
                <w:sz w:val="20"/>
                <w:szCs w:val="20"/>
              </w:rPr>
              <w:t> </w:t>
            </w:r>
            <w:r>
              <w:rPr>
                <w:rFonts w:ascii="Arial" w:hAnsi="Arial" w:cs="Arial" w:eastAsia="Arial" w:hint="default"/>
                <w:sz w:val="20"/>
                <w:szCs w:val="20"/>
              </w:rPr>
              <w:t>95%</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8"/>
              <w:jc w:val="right"/>
              <w:rPr>
                <w:rFonts w:ascii="Arial" w:hAnsi="Arial" w:cs="Arial" w:eastAsia="Arial" w:hint="default"/>
                <w:sz w:val="20"/>
                <w:szCs w:val="20"/>
              </w:rPr>
            </w:pPr>
            <w:r>
              <w:rPr>
                <w:rFonts w:ascii="Arial"/>
                <w:spacing w:val="-1"/>
                <w:sz w:val="20"/>
              </w:rPr>
              <w:t>600035901</w:t>
            </w:r>
          </w:p>
        </w:tc>
      </w:tr>
      <w:tr>
        <w:trPr>
          <w:trHeight w:val="259" w:hRule="exact"/>
        </w:trPr>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8" w:right="0"/>
              <w:jc w:val="left"/>
              <w:rPr>
                <w:rFonts w:ascii="Arial" w:hAnsi="Arial" w:cs="Arial" w:eastAsia="Arial" w:hint="default"/>
                <w:sz w:val="20"/>
                <w:szCs w:val="20"/>
              </w:rPr>
            </w:pPr>
            <w:r>
              <w:rPr>
                <w:rFonts w:ascii="Arial"/>
                <w:sz w:val="20"/>
              </w:rPr>
              <w:t>(4)</w:t>
            </w:r>
          </w:p>
        </w:tc>
        <w:tc>
          <w:tcPr>
            <w:tcW w:w="4642" w:type="dxa"/>
            <w:tcBorders>
              <w:top w:val="nil" w:sz="6" w:space="0" w:color="auto"/>
              <w:left w:val="nil" w:sz="6" w:space="0" w:color="auto"/>
              <w:bottom w:val="nil" w:sz="6" w:space="0" w:color="auto"/>
              <w:right w:val="nil" w:sz="6" w:space="0" w:color="auto"/>
            </w:tcBorders>
          </w:tcPr>
          <w:p>
            <w:pPr>
              <w:pStyle w:val="TableParagraph"/>
              <w:spacing w:line="219" w:lineRule="exact"/>
              <w:ind w:left="112" w:right="0"/>
              <w:jc w:val="left"/>
              <w:rPr>
                <w:rFonts w:ascii="宋体" w:hAnsi="宋体" w:cs="宋体" w:eastAsia="宋体" w:hint="default"/>
                <w:sz w:val="20"/>
                <w:szCs w:val="20"/>
              </w:rPr>
            </w:pPr>
            <w:r>
              <w:rPr>
                <w:rFonts w:ascii="宋体" w:hAnsi="宋体" w:cs="宋体" w:eastAsia="宋体" w:hint="default"/>
                <w:spacing w:val="-13"/>
                <w:sz w:val="20"/>
                <w:szCs w:val="20"/>
              </w:rPr>
              <w:t>联通时科（北京）信息技术有限公司（“联通时科”）</w:t>
            </w:r>
          </w:p>
        </w:tc>
        <w:tc>
          <w:tcPr>
            <w:tcW w:w="2197" w:type="dxa"/>
            <w:tcBorders>
              <w:top w:val="nil" w:sz="6" w:space="0" w:color="auto"/>
              <w:left w:val="nil" w:sz="6" w:space="0" w:color="auto"/>
              <w:bottom w:val="nil" w:sz="6" w:space="0" w:color="auto"/>
              <w:right w:val="nil" w:sz="6" w:space="0" w:color="auto"/>
            </w:tcBorders>
          </w:tcPr>
          <w:p>
            <w:pPr>
              <w:pStyle w:val="TableParagraph"/>
              <w:spacing w:line="233" w:lineRule="exact"/>
              <w:ind w:right="101"/>
              <w:jc w:val="right"/>
              <w:rPr>
                <w:rFonts w:ascii="Arial" w:hAnsi="Arial" w:cs="Arial" w:eastAsia="Arial" w:hint="default"/>
                <w:sz w:val="20"/>
                <w:szCs w:val="20"/>
              </w:rPr>
            </w:pPr>
            <w:r>
              <w:rPr>
                <w:rFonts w:ascii="宋体" w:hAnsi="宋体" w:cs="宋体" w:eastAsia="宋体" w:hint="default"/>
                <w:sz w:val="20"/>
                <w:szCs w:val="20"/>
              </w:rPr>
              <w:t>联通集团控股</w:t>
            </w:r>
            <w:r>
              <w:rPr>
                <w:rFonts w:ascii="宋体" w:hAnsi="宋体" w:cs="宋体" w:eastAsia="宋体" w:hint="default"/>
                <w:spacing w:val="-54"/>
                <w:sz w:val="20"/>
                <w:szCs w:val="20"/>
              </w:rPr>
              <w:t> </w:t>
            </w:r>
            <w:r>
              <w:rPr>
                <w:rFonts w:ascii="Arial" w:hAnsi="Arial" w:cs="Arial" w:eastAsia="Arial" w:hint="default"/>
                <w:sz w:val="20"/>
                <w:szCs w:val="20"/>
              </w:rPr>
              <w:t>51%</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8"/>
              <w:jc w:val="right"/>
              <w:rPr>
                <w:rFonts w:ascii="Arial" w:hAnsi="Arial" w:cs="Arial" w:eastAsia="Arial" w:hint="default"/>
                <w:sz w:val="20"/>
                <w:szCs w:val="20"/>
              </w:rPr>
            </w:pPr>
            <w:r>
              <w:rPr>
                <w:rFonts w:ascii="Arial"/>
                <w:spacing w:val="-1"/>
                <w:sz w:val="20"/>
              </w:rPr>
              <w:t>755256282</w:t>
            </w:r>
          </w:p>
        </w:tc>
      </w:tr>
      <w:tr>
        <w:trPr>
          <w:trHeight w:val="259" w:hRule="exact"/>
        </w:trPr>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9" w:right="0"/>
              <w:jc w:val="left"/>
              <w:rPr>
                <w:rFonts w:ascii="Arial" w:hAnsi="Arial" w:cs="Arial" w:eastAsia="Arial" w:hint="default"/>
                <w:sz w:val="20"/>
                <w:szCs w:val="20"/>
              </w:rPr>
            </w:pPr>
            <w:r>
              <w:rPr>
                <w:rFonts w:ascii="Arial"/>
                <w:sz w:val="20"/>
              </w:rPr>
              <w:t>(5)</w:t>
            </w:r>
          </w:p>
        </w:tc>
        <w:tc>
          <w:tcPr>
            <w:tcW w:w="4642" w:type="dxa"/>
            <w:tcBorders>
              <w:top w:val="nil" w:sz="6" w:space="0" w:color="auto"/>
              <w:left w:val="nil" w:sz="6" w:space="0" w:color="auto"/>
              <w:bottom w:val="nil" w:sz="6" w:space="0" w:color="auto"/>
              <w:right w:val="nil" w:sz="6" w:space="0" w:color="auto"/>
            </w:tcBorders>
          </w:tcPr>
          <w:p>
            <w:pPr>
              <w:pStyle w:val="TableParagraph"/>
              <w:spacing w:line="233" w:lineRule="exact"/>
              <w:ind w:left="113" w:right="0"/>
              <w:jc w:val="left"/>
              <w:rPr>
                <w:rFonts w:ascii="宋体" w:hAnsi="宋体" w:cs="宋体" w:eastAsia="宋体" w:hint="default"/>
                <w:sz w:val="20"/>
                <w:szCs w:val="20"/>
              </w:rPr>
            </w:pPr>
            <w:r>
              <w:rPr>
                <w:rFonts w:ascii="宋体" w:hAnsi="宋体" w:cs="宋体" w:eastAsia="宋体" w:hint="default"/>
                <w:sz w:val="20"/>
                <w:szCs w:val="20"/>
              </w:rPr>
              <w:t>中国网通（</w:t>
            </w:r>
            <w:r>
              <w:rPr>
                <w:rFonts w:ascii="Arial" w:hAnsi="Arial" w:cs="Arial" w:eastAsia="Arial" w:hint="default"/>
                <w:sz w:val="20"/>
                <w:szCs w:val="20"/>
              </w:rPr>
              <w:t>BVI</w:t>
            </w:r>
            <w:r>
              <w:rPr>
                <w:rFonts w:ascii="宋体" w:hAnsi="宋体" w:cs="宋体" w:eastAsia="宋体" w:hint="default"/>
                <w:sz w:val="20"/>
                <w:szCs w:val="20"/>
              </w:rPr>
              <w:t>）有限公司（“网通</w:t>
            </w:r>
            <w:r>
              <w:rPr>
                <w:rFonts w:ascii="宋体" w:hAnsi="宋体" w:cs="宋体" w:eastAsia="宋体" w:hint="default"/>
                <w:spacing w:val="-56"/>
                <w:sz w:val="20"/>
                <w:szCs w:val="20"/>
              </w:rPr>
              <w:t> </w:t>
            </w:r>
            <w:r>
              <w:rPr>
                <w:rFonts w:ascii="Arial" w:hAnsi="Arial" w:cs="Arial" w:eastAsia="Arial" w:hint="default"/>
                <w:sz w:val="20"/>
                <w:szCs w:val="20"/>
              </w:rPr>
              <w:t>BVI</w:t>
            </w:r>
            <w:r>
              <w:rPr>
                <w:rFonts w:ascii="宋体" w:hAnsi="宋体" w:cs="宋体" w:eastAsia="宋体" w:hint="default"/>
                <w:sz w:val="20"/>
                <w:szCs w:val="20"/>
              </w:rPr>
              <w:t>”）</w:t>
            </w:r>
          </w:p>
        </w:tc>
        <w:tc>
          <w:tcPr>
            <w:tcW w:w="2197" w:type="dxa"/>
            <w:tcBorders>
              <w:top w:val="nil" w:sz="6" w:space="0" w:color="auto"/>
              <w:left w:val="nil" w:sz="6" w:space="0" w:color="auto"/>
              <w:bottom w:val="nil" w:sz="6" w:space="0" w:color="auto"/>
              <w:right w:val="nil" w:sz="6" w:space="0" w:color="auto"/>
            </w:tcBorders>
          </w:tcPr>
          <w:p>
            <w:pPr>
              <w:pStyle w:val="TableParagraph"/>
              <w:spacing w:line="219" w:lineRule="exact"/>
              <w:ind w:right="101"/>
              <w:jc w:val="right"/>
              <w:rPr>
                <w:rFonts w:ascii="宋体" w:hAnsi="宋体" w:cs="宋体" w:eastAsia="宋体" w:hint="default"/>
                <w:sz w:val="20"/>
                <w:szCs w:val="20"/>
              </w:rPr>
            </w:pPr>
            <w:r>
              <w:rPr>
                <w:rFonts w:ascii="宋体" w:hAnsi="宋体" w:cs="宋体" w:eastAsia="宋体" w:hint="default"/>
                <w:spacing w:val="-1"/>
                <w:sz w:val="20"/>
                <w:szCs w:val="20"/>
              </w:rPr>
              <w:t>同受联通集团控制</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19" w:lineRule="exact"/>
              <w:ind w:right="97"/>
              <w:jc w:val="right"/>
              <w:rPr>
                <w:rFonts w:ascii="宋体" w:hAnsi="宋体" w:cs="宋体" w:eastAsia="宋体" w:hint="default"/>
                <w:sz w:val="20"/>
                <w:szCs w:val="20"/>
              </w:rPr>
            </w:pPr>
            <w:r>
              <w:rPr>
                <w:rFonts w:ascii="宋体" w:hAnsi="宋体" w:cs="宋体" w:eastAsia="宋体" w:hint="default"/>
                <w:sz w:val="20"/>
                <w:szCs w:val="20"/>
              </w:rPr>
              <w:t>不适用</w:t>
            </w:r>
          </w:p>
        </w:tc>
      </w:tr>
      <w:tr>
        <w:trPr>
          <w:trHeight w:val="259" w:hRule="exact"/>
        </w:trPr>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9" w:right="0"/>
              <w:jc w:val="left"/>
              <w:rPr>
                <w:rFonts w:ascii="Arial" w:hAnsi="Arial" w:cs="Arial" w:eastAsia="Arial" w:hint="default"/>
                <w:sz w:val="20"/>
                <w:szCs w:val="20"/>
              </w:rPr>
            </w:pPr>
            <w:r>
              <w:rPr>
                <w:rFonts w:ascii="Arial"/>
                <w:sz w:val="20"/>
              </w:rPr>
              <w:t>(6)</w:t>
            </w:r>
          </w:p>
        </w:tc>
        <w:tc>
          <w:tcPr>
            <w:tcW w:w="4642" w:type="dxa"/>
            <w:tcBorders>
              <w:top w:val="nil" w:sz="6" w:space="0" w:color="auto"/>
              <w:left w:val="nil" w:sz="6" w:space="0" w:color="auto"/>
              <w:bottom w:val="nil" w:sz="6" w:space="0" w:color="auto"/>
              <w:right w:val="nil" w:sz="6" w:space="0" w:color="auto"/>
            </w:tcBorders>
          </w:tcPr>
          <w:p>
            <w:pPr>
              <w:pStyle w:val="TableParagraph"/>
              <w:spacing w:line="233" w:lineRule="exact"/>
              <w:ind w:left="113" w:right="0"/>
              <w:jc w:val="left"/>
              <w:rPr>
                <w:rFonts w:ascii="宋体" w:hAnsi="宋体" w:cs="宋体" w:eastAsia="宋体" w:hint="default"/>
                <w:sz w:val="20"/>
                <w:szCs w:val="20"/>
              </w:rPr>
            </w:pPr>
            <w:r>
              <w:rPr>
                <w:rFonts w:ascii="宋体" w:hAnsi="宋体" w:cs="宋体" w:eastAsia="宋体" w:hint="default"/>
                <w:sz w:val="20"/>
                <w:szCs w:val="20"/>
              </w:rPr>
              <w:t>网通集团</w:t>
            </w:r>
            <w:r>
              <w:rPr>
                <w:rFonts w:ascii="宋体" w:hAnsi="宋体" w:cs="宋体" w:eastAsia="宋体" w:hint="default"/>
                <w:spacing w:val="-51"/>
                <w:sz w:val="20"/>
                <w:szCs w:val="20"/>
              </w:rPr>
              <w:t> </w:t>
            </w:r>
            <w:r>
              <w:rPr>
                <w:rFonts w:ascii="Arial" w:hAnsi="Arial" w:cs="Arial" w:eastAsia="Arial" w:hint="default"/>
                <w:sz w:val="20"/>
                <w:szCs w:val="20"/>
              </w:rPr>
              <w:t>BVI</w:t>
            </w:r>
            <w:r>
              <w:rPr>
                <w:rFonts w:ascii="Arial" w:hAnsi="Arial" w:cs="Arial" w:eastAsia="Arial" w:hint="default"/>
                <w:spacing w:val="-7"/>
                <w:sz w:val="20"/>
                <w:szCs w:val="20"/>
              </w:rPr>
              <w:t> </w:t>
            </w:r>
            <w:r>
              <w:rPr>
                <w:rFonts w:ascii="宋体" w:hAnsi="宋体" w:cs="宋体" w:eastAsia="宋体" w:hint="default"/>
                <w:sz w:val="20"/>
                <w:szCs w:val="20"/>
              </w:rPr>
              <w:t>公司</w:t>
            </w:r>
          </w:p>
        </w:tc>
        <w:tc>
          <w:tcPr>
            <w:tcW w:w="2197" w:type="dxa"/>
            <w:tcBorders>
              <w:top w:val="nil" w:sz="6" w:space="0" w:color="auto"/>
              <w:left w:val="nil" w:sz="6" w:space="0" w:color="auto"/>
              <w:bottom w:val="nil" w:sz="6" w:space="0" w:color="auto"/>
              <w:right w:val="nil" w:sz="6" w:space="0" w:color="auto"/>
            </w:tcBorders>
          </w:tcPr>
          <w:p>
            <w:pPr>
              <w:pStyle w:val="TableParagraph"/>
              <w:spacing w:line="219" w:lineRule="exact"/>
              <w:ind w:right="101"/>
              <w:jc w:val="right"/>
              <w:rPr>
                <w:rFonts w:ascii="宋体" w:hAnsi="宋体" w:cs="宋体" w:eastAsia="宋体" w:hint="default"/>
                <w:sz w:val="20"/>
                <w:szCs w:val="20"/>
              </w:rPr>
            </w:pPr>
            <w:r>
              <w:rPr>
                <w:rFonts w:ascii="宋体" w:hAnsi="宋体" w:cs="宋体" w:eastAsia="宋体" w:hint="default"/>
                <w:spacing w:val="-1"/>
                <w:sz w:val="20"/>
                <w:szCs w:val="20"/>
              </w:rPr>
              <w:t>同受联通集团控制</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19" w:lineRule="exact"/>
              <w:ind w:right="97"/>
              <w:jc w:val="right"/>
              <w:rPr>
                <w:rFonts w:ascii="宋体" w:hAnsi="宋体" w:cs="宋体" w:eastAsia="宋体" w:hint="default"/>
                <w:sz w:val="20"/>
                <w:szCs w:val="20"/>
              </w:rPr>
            </w:pPr>
            <w:r>
              <w:rPr>
                <w:rFonts w:ascii="宋体" w:hAnsi="宋体" w:cs="宋体" w:eastAsia="宋体" w:hint="default"/>
                <w:sz w:val="20"/>
                <w:szCs w:val="20"/>
              </w:rPr>
              <w:t>不适用</w:t>
            </w:r>
          </w:p>
        </w:tc>
      </w:tr>
      <w:tr>
        <w:trPr>
          <w:trHeight w:val="260" w:hRule="exact"/>
        </w:trPr>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9" w:right="0"/>
              <w:jc w:val="left"/>
              <w:rPr>
                <w:rFonts w:ascii="Arial" w:hAnsi="Arial" w:cs="Arial" w:eastAsia="Arial" w:hint="default"/>
                <w:sz w:val="20"/>
                <w:szCs w:val="20"/>
              </w:rPr>
            </w:pPr>
            <w:r>
              <w:rPr>
                <w:rFonts w:ascii="Arial"/>
                <w:sz w:val="20"/>
              </w:rPr>
              <w:t>(7)</w:t>
            </w:r>
          </w:p>
        </w:tc>
        <w:tc>
          <w:tcPr>
            <w:tcW w:w="4642" w:type="dxa"/>
            <w:tcBorders>
              <w:top w:val="nil" w:sz="6" w:space="0" w:color="auto"/>
              <w:left w:val="nil" w:sz="6" w:space="0" w:color="auto"/>
              <w:bottom w:val="nil" w:sz="6" w:space="0" w:color="auto"/>
              <w:right w:val="nil" w:sz="6" w:space="0" w:color="auto"/>
            </w:tcBorders>
          </w:tcPr>
          <w:p>
            <w:pPr>
              <w:pStyle w:val="TableParagraph"/>
              <w:spacing w:line="219" w:lineRule="exact"/>
              <w:ind w:left="113" w:right="0"/>
              <w:jc w:val="left"/>
              <w:rPr>
                <w:rFonts w:ascii="宋体" w:hAnsi="宋体" w:cs="宋体" w:eastAsia="宋体" w:hint="default"/>
                <w:sz w:val="20"/>
                <w:szCs w:val="20"/>
              </w:rPr>
            </w:pPr>
            <w:r>
              <w:rPr>
                <w:rFonts w:ascii="宋体" w:hAnsi="宋体" w:cs="宋体" w:eastAsia="宋体" w:hint="default"/>
                <w:sz w:val="20"/>
                <w:szCs w:val="20"/>
              </w:rPr>
              <w:t>中国网通集团北京市通信公司及其附属公司</w:t>
            </w:r>
          </w:p>
        </w:tc>
        <w:tc>
          <w:tcPr>
            <w:tcW w:w="2197" w:type="dxa"/>
            <w:tcBorders>
              <w:top w:val="nil" w:sz="6" w:space="0" w:color="auto"/>
              <w:left w:val="nil" w:sz="6" w:space="0" w:color="auto"/>
              <w:bottom w:val="nil" w:sz="6" w:space="0" w:color="auto"/>
              <w:right w:val="nil" w:sz="6" w:space="0" w:color="auto"/>
            </w:tcBorders>
          </w:tcPr>
          <w:p>
            <w:pPr>
              <w:pStyle w:val="TableParagraph"/>
              <w:spacing w:line="219" w:lineRule="exact"/>
              <w:ind w:right="100"/>
              <w:jc w:val="right"/>
              <w:rPr>
                <w:rFonts w:ascii="宋体" w:hAnsi="宋体" w:cs="宋体" w:eastAsia="宋体" w:hint="default"/>
                <w:sz w:val="20"/>
                <w:szCs w:val="20"/>
              </w:rPr>
            </w:pPr>
            <w:r>
              <w:rPr>
                <w:rFonts w:ascii="宋体" w:hAnsi="宋体" w:cs="宋体" w:eastAsia="宋体" w:hint="default"/>
                <w:spacing w:val="-1"/>
                <w:sz w:val="20"/>
                <w:szCs w:val="20"/>
              </w:rPr>
              <w:t>同受联通集团控制</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7"/>
              <w:jc w:val="right"/>
              <w:rPr>
                <w:rFonts w:ascii="Arial" w:hAnsi="Arial" w:cs="Arial" w:eastAsia="Arial" w:hint="default"/>
                <w:sz w:val="20"/>
                <w:szCs w:val="20"/>
              </w:rPr>
            </w:pPr>
            <w:r>
              <w:rPr>
                <w:rFonts w:ascii="Arial"/>
                <w:spacing w:val="-1"/>
                <w:sz w:val="20"/>
              </w:rPr>
              <w:t>633648886</w:t>
            </w:r>
          </w:p>
        </w:tc>
      </w:tr>
      <w:tr>
        <w:trPr>
          <w:trHeight w:val="260" w:hRule="exact"/>
        </w:trPr>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9" w:right="0"/>
              <w:jc w:val="left"/>
              <w:rPr>
                <w:rFonts w:ascii="Arial" w:hAnsi="Arial" w:cs="Arial" w:eastAsia="Arial" w:hint="default"/>
                <w:sz w:val="20"/>
                <w:szCs w:val="20"/>
              </w:rPr>
            </w:pPr>
            <w:r>
              <w:rPr>
                <w:rFonts w:ascii="Arial"/>
                <w:sz w:val="20"/>
              </w:rPr>
              <w:t>(8)</w:t>
            </w:r>
          </w:p>
        </w:tc>
        <w:tc>
          <w:tcPr>
            <w:tcW w:w="4642" w:type="dxa"/>
            <w:tcBorders>
              <w:top w:val="nil" w:sz="6" w:space="0" w:color="auto"/>
              <w:left w:val="nil" w:sz="6" w:space="0" w:color="auto"/>
              <w:bottom w:val="nil" w:sz="6" w:space="0" w:color="auto"/>
              <w:right w:val="nil" w:sz="6" w:space="0" w:color="auto"/>
            </w:tcBorders>
          </w:tcPr>
          <w:p>
            <w:pPr>
              <w:pStyle w:val="TableParagraph"/>
              <w:spacing w:line="219" w:lineRule="exact"/>
              <w:ind w:left="113" w:right="0"/>
              <w:jc w:val="left"/>
              <w:rPr>
                <w:rFonts w:ascii="宋体" w:hAnsi="宋体" w:cs="宋体" w:eastAsia="宋体" w:hint="default"/>
                <w:sz w:val="20"/>
                <w:szCs w:val="20"/>
              </w:rPr>
            </w:pPr>
            <w:r>
              <w:rPr>
                <w:rFonts w:ascii="宋体" w:hAnsi="宋体" w:cs="宋体" w:eastAsia="宋体" w:hint="default"/>
                <w:sz w:val="20"/>
                <w:szCs w:val="20"/>
              </w:rPr>
              <w:t>中国网通集团天津市通信公司及其附属公司</w:t>
            </w:r>
          </w:p>
        </w:tc>
        <w:tc>
          <w:tcPr>
            <w:tcW w:w="2197" w:type="dxa"/>
            <w:tcBorders>
              <w:top w:val="nil" w:sz="6" w:space="0" w:color="auto"/>
              <w:left w:val="nil" w:sz="6" w:space="0" w:color="auto"/>
              <w:bottom w:val="nil" w:sz="6" w:space="0" w:color="auto"/>
              <w:right w:val="nil" w:sz="6" w:space="0" w:color="auto"/>
            </w:tcBorders>
          </w:tcPr>
          <w:p>
            <w:pPr>
              <w:pStyle w:val="TableParagraph"/>
              <w:spacing w:line="219" w:lineRule="exact"/>
              <w:ind w:right="100"/>
              <w:jc w:val="right"/>
              <w:rPr>
                <w:rFonts w:ascii="宋体" w:hAnsi="宋体" w:cs="宋体" w:eastAsia="宋体" w:hint="default"/>
                <w:sz w:val="20"/>
                <w:szCs w:val="20"/>
              </w:rPr>
            </w:pPr>
            <w:r>
              <w:rPr>
                <w:rFonts w:ascii="宋体" w:hAnsi="宋体" w:cs="宋体" w:eastAsia="宋体" w:hint="default"/>
                <w:spacing w:val="-1"/>
                <w:sz w:val="20"/>
                <w:szCs w:val="20"/>
              </w:rPr>
              <w:t>同受联通集团控制</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7"/>
              <w:jc w:val="right"/>
              <w:rPr>
                <w:rFonts w:ascii="Arial" w:hAnsi="Arial" w:cs="Arial" w:eastAsia="Arial" w:hint="default"/>
                <w:sz w:val="20"/>
                <w:szCs w:val="20"/>
              </w:rPr>
            </w:pPr>
            <w:r>
              <w:rPr>
                <w:rFonts w:ascii="Arial"/>
                <w:spacing w:val="-1"/>
                <w:sz w:val="20"/>
              </w:rPr>
              <w:t>722998714</w:t>
            </w:r>
          </w:p>
        </w:tc>
      </w:tr>
      <w:tr>
        <w:trPr>
          <w:trHeight w:val="259" w:hRule="exact"/>
        </w:trPr>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0" w:right="0"/>
              <w:jc w:val="left"/>
              <w:rPr>
                <w:rFonts w:ascii="Arial" w:hAnsi="Arial" w:cs="Arial" w:eastAsia="Arial" w:hint="default"/>
                <w:sz w:val="20"/>
                <w:szCs w:val="20"/>
              </w:rPr>
            </w:pPr>
            <w:r>
              <w:rPr>
                <w:rFonts w:ascii="Arial"/>
                <w:sz w:val="20"/>
              </w:rPr>
              <w:t>(9)</w:t>
            </w:r>
          </w:p>
        </w:tc>
        <w:tc>
          <w:tcPr>
            <w:tcW w:w="4642" w:type="dxa"/>
            <w:tcBorders>
              <w:top w:val="nil" w:sz="6" w:space="0" w:color="auto"/>
              <w:left w:val="nil" w:sz="6" w:space="0" w:color="auto"/>
              <w:bottom w:val="nil" w:sz="6" w:space="0" w:color="auto"/>
              <w:right w:val="nil" w:sz="6" w:space="0" w:color="auto"/>
            </w:tcBorders>
          </w:tcPr>
          <w:p>
            <w:pPr>
              <w:pStyle w:val="TableParagraph"/>
              <w:spacing w:line="219" w:lineRule="exact"/>
              <w:ind w:left="113" w:right="0"/>
              <w:jc w:val="left"/>
              <w:rPr>
                <w:rFonts w:ascii="宋体" w:hAnsi="宋体" w:cs="宋体" w:eastAsia="宋体" w:hint="default"/>
                <w:sz w:val="20"/>
                <w:szCs w:val="20"/>
              </w:rPr>
            </w:pPr>
            <w:r>
              <w:rPr>
                <w:rFonts w:ascii="宋体" w:hAnsi="宋体" w:cs="宋体" w:eastAsia="宋体" w:hint="default"/>
                <w:sz w:val="20"/>
                <w:szCs w:val="20"/>
              </w:rPr>
              <w:t>中国网通集团河北省通信公司及其附属公司</w:t>
            </w:r>
          </w:p>
        </w:tc>
        <w:tc>
          <w:tcPr>
            <w:tcW w:w="2197" w:type="dxa"/>
            <w:tcBorders>
              <w:top w:val="nil" w:sz="6" w:space="0" w:color="auto"/>
              <w:left w:val="nil" w:sz="6" w:space="0" w:color="auto"/>
              <w:bottom w:val="nil" w:sz="6" w:space="0" w:color="auto"/>
              <w:right w:val="nil" w:sz="6" w:space="0" w:color="auto"/>
            </w:tcBorders>
          </w:tcPr>
          <w:p>
            <w:pPr>
              <w:pStyle w:val="TableParagraph"/>
              <w:spacing w:line="219" w:lineRule="exact"/>
              <w:ind w:right="100"/>
              <w:jc w:val="right"/>
              <w:rPr>
                <w:rFonts w:ascii="宋体" w:hAnsi="宋体" w:cs="宋体" w:eastAsia="宋体" w:hint="default"/>
                <w:sz w:val="20"/>
                <w:szCs w:val="20"/>
              </w:rPr>
            </w:pPr>
            <w:r>
              <w:rPr>
                <w:rFonts w:ascii="宋体" w:hAnsi="宋体" w:cs="宋体" w:eastAsia="宋体" w:hint="default"/>
                <w:spacing w:val="-1"/>
                <w:sz w:val="20"/>
                <w:szCs w:val="20"/>
              </w:rPr>
              <w:t>同受联通集团控制</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7"/>
              <w:jc w:val="right"/>
              <w:rPr>
                <w:rFonts w:ascii="Arial" w:hAnsi="Arial" w:cs="Arial" w:eastAsia="Arial" w:hint="default"/>
                <w:sz w:val="20"/>
                <w:szCs w:val="20"/>
              </w:rPr>
            </w:pPr>
            <w:r>
              <w:rPr>
                <w:rFonts w:ascii="Arial"/>
                <w:spacing w:val="-1"/>
                <w:sz w:val="20"/>
              </w:rPr>
              <w:t>601042513</w:t>
            </w:r>
          </w:p>
        </w:tc>
      </w:tr>
      <w:tr>
        <w:trPr>
          <w:trHeight w:val="259" w:hRule="exact"/>
        </w:trPr>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Arial" w:hAnsi="Arial" w:cs="Arial" w:eastAsia="Arial" w:hint="default"/>
                <w:sz w:val="20"/>
                <w:szCs w:val="20"/>
              </w:rPr>
            </w:pPr>
            <w:r>
              <w:rPr>
                <w:rFonts w:ascii="Arial"/>
                <w:sz w:val="20"/>
              </w:rPr>
              <w:t>(10)</w:t>
            </w:r>
          </w:p>
        </w:tc>
        <w:tc>
          <w:tcPr>
            <w:tcW w:w="4642" w:type="dxa"/>
            <w:tcBorders>
              <w:top w:val="nil" w:sz="6" w:space="0" w:color="auto"/>
              <w:left w:val="nil" w:sz="6" w:space="0" w:color="auto"/>
              <w:bottom w:val="nil" w:sz="6" w:space="0" w:color="auto"/>
              <w:right w:val="nil" w:sz="6" w:space="0" w:color="auto"/>
            </w:tcBorders>
          </w:tcPr>
          <w:p>
            <w:pPr>
              <w:pStyle w:val="TableParagraph"/>
              <w:spacing w:line="219" w:lineRule="exact"/>
              <w:ind w:left="113" w:right="0"/>
              <w:jc w:val="left"/>
              <w:rPr>
                <w:rFonts w:ascii="宋体" w:hAnsi="宋体" w:cs="宋体" w:eastAsia="宋体" w:hint="default"/>
                <w:sz w:val="20"/>
                <w:szCs w:val="20"/>
              </w:rPr>
            </w:pPr>
            <w:r>
              <w:rPr>
                <w:rFonts w:ascii="宋体" w:hAnsi="宋体" w:cs="宋体" w:eastAsia="宋体" w:hint="default"/>
                <w:sz w:val="20"/>
                <w:szCs w:val="20"/>
              </w:rPr>
              <w:t>中国网通集团河南省通信公司及其附属公司</w:t>
            </w:r>
          </w:p>
        </w:tc>
        <w:tc>
          <w:tcPr>
            <w:tcW w:w="2197" w:type="dxa"/>
            <w:tcBorders>
              <w:top w:val="nil" w:sz="6" w:space="0" w:color="auto"/>
              <w:left w:val="nil" w:sz="6" w:space="0" w:color="auto"/>
              <w:bottom w:val="nil" w:sz="6" w:space="0" w:color="auto"/>
              <w:right w:val="nil" w:sz="6" w:space="0" w:color="auto"/>
            </w:tcBorders>
          </w:tcPr>
          <w:p>
            <w:pPr>
              <w:pStyle w:val="TableParagraph"/>
              <w:spacing w:line="219" w:lineRule="exact"/>
              <w:ind w:right="100"/>
              <w:jc w:val="right"/>
              <w:rPr>
                <w:rFonts w:ascii="宋体" w:hAnsi="宋体" w:cs="宋体" w:eastAsia="宋体" w:hint="default"/>
                <w:sz w:val="20"/>
                <w:szCs w:val="20"/>
              </w:rPr>
            </w:pPr>
            <w:r>
              <w:rPr>
                <w:rFonts w:ascii="宋体" w:hAnsi="宋体" w:cs="宋体" w:eastAsia="宋体" w:hint="default"/>
                <w:spacing w:val="-1"/>
                <w:sz w:val="20"/>
                <w:szCs w:val="20"/>
              </w:rPr>
              <w:t>同受联通集团控制</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7"/>
              <w:jc w:val="right"/>
              <w:rPr>
                <w:rFonts w:ascii="Arial" w:hAnsi="Arial" w:cs="Arial" w:eastAsia="Arial" w:hint="default"/>
                <w:sz w:val="20"/>
                <w:szCs w:val="20"/>
              </w:rPr>
            </w:pPr>
            <w:r>
              <w:rPr>
                <w:rFonts w:ascii="Arial"/>
                <w:spacing w:val="-1"/>
                <w:sz w:val="20"/>
              </w:rPr>
              <w:t>X14400179</w:t>
            </w:r>
          </w:p>
        </w:tc>
      </w:tr>
      <w:tr>
        <w:trPr>
          <w:trHeight w:val="259" w:hRule="exact"/>
        </w:trPr>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Arial" w:hAnsi="Arial" w:cs="Arial" w:eastAsia="Arial" w:hint="default"/>
                <w:sz w:val="20"/>
                <w:szCs w:val="20"/>
              </w:rPr>
            </w:pPr>
            <w:r>
              <w:rPr>
                <w:rFonts w:ascii="Arial"/>
                <w:sz w:val="20"/>
              </w:rPr>
              <w:t>(11)</w:t>
            </w:r>
          </w:p>
        </w:tc>
        <w:tc>
          <w:tcPr>
            <w:tcW w:w="4642" w:type="dxa"/>
            <w:tcBorders>
              <w:top w:val="nil" w:sz="6" w:space="0" w:color="auto"/>
              <w:left w:val="nil" w:sz="6" w:space="0" w:color="auto"/>
              <w:bottom w:val="nil" w:sz="6" w:space="0" w:color="auto"/>
              <w:right w:val="nil" w:sz="6" w:space="0" w:color="auto"/>
            </w:tcBorders>
          </w:tcPr>
          <w:p>
            <w:pPr>
              <w:pStyle w:val="TableParagraph"/>
              <w:spacing w:line="219" w:lineRule="exact"/>
              <w:ind w:left="113" w:right="0"/>
              <w:jc w:val="left"/>
              <w:rPr>
                <w:rFonts w:ascii="宋体" w:hAnsi="宋体" w:cs="宋体" w:eastAsia="宋体" w:hint="default"/>
                <w:sz w:val="20"/>
                <w:szCs w:val="20"/>
              </w:rPr>
            </w:pPr>
            <w:r>
              <w:rPr>
                <w:rFonts w:ascii="宋体" w:hAnsi="宋体" w:cs="宋体" w:eastAsia="宋体" w:hint="default"/>
                <w:sz w:val="20"/>
                <w:szCs w:val="20"/>
              </w:rPr>
              <w:t>中国网通集团山东省通信公司及其附属公司</w:t>
            </w:r>
          </w:p>
        </w:tc>
        <w:tc>
          <w:tcPr>
            <w:tcW w:w="2197" w:type="dxa"/>
            <w:tcBorders>
              <w:top w:val="nil" w:sz="6" w:space="0" w:color="auto"/>
              <w:left w:val="nil" w:sz="6" w:space="0" w:color="auto"/>
              <w:bottom w:val="nil" w:sz="6" w:space="0" w:color="auto"/>
              <w:right w:val="nil" w:sz="6" w:space="0" w:color="auto"/>
            </w:tcBorders>
          </w:tcPr>
          <w:p>
            <w:pPr>
              <w:pStyle w:val="TableParagraph"/>
              <w:spacing w:line="219" w:lineRule="exact"/>
              <w:ind w:right="100"/>
              <w:jc w:val="right"/>
              <w:rPr>
                <w:rFonts w:ascii="宋体" w:hAnsi="宋体" w:cs="宋体" w:eastAsia="宋体" w:hint="default"/>
                <w:sz w:val="20"/>
                <w:szCs w:val="20"/>
              </w:rPr>
            </w:pPr>
            <w:r>
              <w:rPr>
                <w:rFonts w:ascii="宋体" w:hAnsi="宋体" w:cs="宋体" w:eastAsia="宋体" w:hint="default"/>
                <w:spacing w:val="-1"/>
                <w:sz w:val="20"/>
                <w:szCs w:val="20"/>
              </w:rPr>
              <w:t>同受联通集团控制</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7"/>
              <w:jc w:val="right"/>
              <w:rPr>
                <w:rFonts w:ascii="Arial" w:hAnsi="Arial" w:cs="Arial" w:eastAsia="Arial" w:hint="default"/>
                <w:sz w:val="20"/>
                <w:szCs w:val="20"/>
              </w:rPr>
            </w:pPr>
            <w:r>
              <w:rPr>
                <w:rFonts w:ascii="Arial"/>
                <w:spacing w:val="-1"/>
                <w:sz w:val="20"/>
              </w:rPr>
              <w:t>724297305</w:t>
            </w:r>
          </w:p>
        </w:tc>
      </w:tr>
      <w:tr>
        <w:trPr>
          <w:trHeight w:val="259" w:hRule="exact"/>
        </w:trPr>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Arial" w:hAnsi="Arial" w:cs="Arial" w:eastAsia="Arial" w:hint="default"/>
                <w:sz w:val="20"/>
                <w:szCs w:val="20"/>
              </w:rPr>
            </w:pPr>
            <w:r>
              <w:rPr>
                <w:rFonts w:ascii="Arial"/>
                <w:sz w:val="20"/>
              </w:rPr>
              <w:t>(12)</w:t>
            </w:r>
          </w:p>
        </w:tc>
        <w:tc>
          <w:tcPr>
            <w:tcW w:w="4642" w:type="dxa"/>
            <w:tcBorders>
              <w:top w:val="nil" w:sz="6" w:space="0" w:color="auto"/>
              <w:left w:val="nil" w:sz="6" w:space="0" w:color="auto"/>
              <w:bottom w:val="nil" w:sz="6" w:space="0" w:color="auto"/>
              <w:right w:val="nil" w:sz="6" w:space="0" w:color="auto"/>
            </w:tcBorders>
          </w:tcPr>
          <w:p>
            <w:pPr>
              <w:pStyle w:val="TableParagraph"/>
              <w:spacing w:line="219" w:lineRule="exact"/>
              <w:ind w:left="113" w:right="0"/>
              <w:jc w:val="left"/>
              <w:rPr>
                <w:rFonts w:ascii="宋体" w:hAnsi="宋体" w:cs="宋体" w:eastAsia="宋体" w:hint="default"/>
                <w:sz w:val="20"/>
                <w:szCs w:val="20"/>
              </w:rPr>
            </w:pPr>
            <w:r>
              <w:rPr>
                <w:rFonts w:ascii="宋体" w:hAnsi="宋体" w:cs="宋体" w:eastAsia="宋体" w:hint="default"/>
                <w:sz w:val="20"/>
                <w:szCs w:val="20"/>
              </w:rPr>
              <w:t>中国网通集团辽宁省通信公司及其附属公司</w:t>
            </w:r>
          </w:p>
        </w:tc>
        <w:tc>
          <w:tcPr>
            <w:tcW w:w="2197" w:type="dxa"/>
            <w:tcBorders>
              <w:top w:val="nil" w:sz="6" w:space="0" w:color="auto"/>
              <w:left w:val="nil" w:sz="6" w:space="0" w:color="auto"/>
              <w:bottom w:val="nil" w:sz="6" w:space="0" w:color="auto"/>
              <w:right w:val="nil" w:sz="6" w:space="0" w:color="auto"/>
            </w:tcBorders>
          </w:tcPr>
          <w:p>
            <w:pPr>
              <w:pStyle w:val="TableParagraph"/>
              <w:spacing w:line="219" w:lineRule="exact"/>
              <w:ind w:right="100"/>
              <w:jc w:val="right"/>
              <w:rPr>
                <w:rFonts w:ascii="宋体" w:hAnsi="宋体" w:cs="宋体" w:eastAsia="宋体" w:hint="default"/>
                <w:sz w:val="20"/>
                <w:szCs w:val="20"/>
              </w:rPr>
            </w:pPr>
            <w:r>
              <w:rPr>
                <w:rFonts w:ascii="宋体" w:hAnsi="宋体" w:cs="宋体" w:eastAsia="宋体" w:hint="default"/>
                <w:spacing w:val="-1"/>
                <w:sz w:val="20"/>
                <w:szCs w:val="20"/>
              </w:rPr>
              <w:t>同受联通集团控制</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7"/>
              <w:jc w:val="right"/>
              <w:rPr>
                <w:rFonts w:ascii="Arial" w:hAnsi="Arial" w:cs="Arial" w:eastAsia="Arial" w:hint="default"/>
                <w:sz w:val="20"/>
                <w:szCs w:val="20"/>
              </w:rPr>
            </w:pPr>
            <w:r>
              <w:rPr>
                <w:rFonts w:ascii="Arial"/>
                <w:spacing w:val="-1"/>
                <w:sz w:val="20"/>
              </w:rPr>
              <w:t>719644210</w:t>
            </w:r>
          </w:p>
        </w:tc>
      </w:tr>
      <w:tr>
        <w:trPr>
          <w:trHeight w:val="259" w:hRule="exact"/>
        </w:trPr>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Arial" w:hAnsi="Arial" w:cs="Arial" w:eastAsia="Arial" w:hint="default"/>
                <w:sz w:val="20"/>
                <w:szCs w:val="20"/>
              </w:rPr>
            </w:pPr>
            <w:r>
              <w:rPr>
                <w:rFonts w:ascii="Arial"/>
                <w:sz w:val="20"/>
              </w:rPr>
              <w:t>(13)</w:t>
            </w:r>
          </w:p>
        </w:tc>
        <w:tc>
          <w:tcPr>
            <w:tcW w:w="4642" w:type="dxa"/>
            <w:tcBorders>
              <w:top w:val="nil" w:sz="6" w:space="0" w:color="auto"/>
              <w:left w:val="nil" w:sz="6" w:space="0" w:color="auto"/>
              <w:bottom w:val="nil" w:sz="6" w:space="0" w:color="auto"/>
              <w:right w:val="nil" w:sz="6" w:space="0" w:color="auto"/>
            </w:tcBorders>
          </w:tcPr>
          <w:p>
            <w:pPr>
              <w:pStyle w:val="TableParagraph"/>
              <w:spacing w:line="219" w:lineRule="exact"/>
              <w:ind w:left="113" w:right="0"/>
              <w:jc w:val="left"/>
              <w:rPr>
                <w:rFonts w:ascii="宋体" w:hAnsi="宋体" w:cs="宋体" w:eastAsia="宋体" w:hint="default"/>
                <w:sz w:val="20"/>
                <w:szCs w:val="20"/>
              </w:rPr>
            </w:pPr>
            <w:r>
              <w:rPr>
                <w:rFonts w:ascii="宋体" w:hAnsi="宋体" w:cs="宋体" w:eastAsia="宋体" w:hint="default"/>
                <w:sz w:val="20"/>
                <w:szCs w:val="20"/>
              </w:rPr>
              <w:t>中国网通集团山西省通信公司及其附属公司</w:t>
            </w:r>
          </w:p>
        </w:tc>
        <w:tc>
          <w:tcPr>
            <w:tcW w:w="2197" w:type="dxa"/>
            <w:tcBorders>
              <w:top w:val="nil" w:sz="6" w:space="0" w:color="auto"/>
              <w:left w:val="nil" w:sz="6" w:space="0" w:color="auto"/>
              <w:bottom w:val="nil" w:sz="6" w:space="0" w:color="auto"/>
              <w:right w:val="nil" w:sz="6" w:space="0" w:color="auto"/>
            </w:tcBorders>
          </w:tcPr>
          <w:p>
            <w:pPr>
              <w:pStyle w:val="TableParagraph"/>
              <w:spacing w:line="219" w:lineRule="exact"/>
              <w:ind w:right="100"/>
              <w:jc w:val="right"/>
              <w:rPr>
                <w:rFonts w:ascii="宋体" w:hAnsi="宋体" w:cs="宋体" w:eastAsia="宋体" w:hint="default"/>
                <w:sz w:val="20"/>
                <w:szCs w:val="20"/>
              </w:rPr>
            </w:pPr>
            <w:r>
              <w:rPr>
                <w:rFonts w:ascii="宋体" w:hAnsi="宋体" w:cs="宋体" w:eastAsia="宋体" w:hint="default"/>
                <w:spacing w:val="-1"/>
                <w:sz w:val="20"/>
                <w:szCs w:val="20"/>
              </w:rPr>
              <w:t>同受联通集团控制</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7"/>
              <w:jc w:val="right"/>
              <w:rPr>
                <w:rFonts w:ascii="Arial" w:hAnsi="Arial" w:cs="Arial" w:eastAsia="Arial" w:hint="default"/>
                <w:sz w:val="20"/>
                <w:szCs w:val="20"/>
              </w:rPr>
            </w:pPr>
            <w:r>
              <w:rPr>
                <w:rFonts w:ascii="Arial"/>
                <w:spacing w:val="-1"/>
                <w:sz w:val="20"/>
              </w:rPr>
              <w:t>724603413</w:t>
            </w:r>
          </w:p>
        </w:tc>
      </w:tr>
      <w:tr>
        <w:trPr>
          <w:trHeight w:val="260" w:hRule="exact"/>
        </w:trPr>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Arial" w:hAnsi="Arial" w:cs="Arial" w:eastAsia="Arial" w:hint="default"/>
                <w:sz w:val="20"/>
                <w:szCs w:val="20"/>
              </w:rPr>
            </w:pPr>
            <w:r>
              <w:rPr>
                <w:rFonts w:ascii="Arial"/>
                <w:sz w:val="20"/>
              </w:rPr>
              <w:t>(14)</w:t>
            </w:r>
          </w:p>
        </w:tc>
        <w:tc>
          <w:tcPr>
            <w:tcW w:w="4642" w:type="dxa"/>
            <w:tcBorders>
              <w:top w:val="nil" w:sz="6" w:space="0" w:color="auto"/>
              <w:left w:val="nil" w:sz="6" w:space="0" w:color="auto"/>
              <w:bottom w:val="nil" w:sz="6" w:space="0" w:color="auto"/>
              <w:right w:val="nil" w:sz="6" w:space="0" w:color="auto"/>
            </w:tcBorders>
          </w:tcPr>
          <w:p>
            <w:pPr>
              <w:pStyle w:val="TableParagraph"/>
              <w:spacing w:line="219" w:lineRule="exact"/>
              <w:ind w:left="113" w:right="0"/>
              <w:jc w:val="left"/>
              <w:rPr>
                <w:rFonts w:ascii="宋体" w:hAnsi="宋体" w:cs="宋体" w:eastAsia="宋体" w:hint="default"/>
                <w:sz w:val="20"/>
                <w:szCs w:val="20"/>
              </w:rPr>
            </w:pPr>
            <w:r>
              <w:rPr>
                <w:rFonts w:ascii="宋体" w:hAnsi="宋体" w:cs="宋体" w:eastAsia="宋体" w:hint="default"/>
                <w:sz w:val="20"/>
                <w:szCs w:val="20"/>
              </w:rPr>
              <w:t>中国网通集团吉林省通信公司及其附属公司</w:t>
            </w:r>
          </w:p>
        </w:tc>
        <w:tc>
          <w:tcPr>
            <w:tcW w:w="2197" w:type="dxa"/>
            <w:tcBorders>
              <w:top w:val="nil" w:sz="6" w:space="0" w:color="auto"/>
              <w:left w:val="nil" w:sz="6" w:space="0" w:color="auto"/>
              <w:bottom w:val="nil" w:sz="6" w:space="0" w:color="auto"/>
              <w:right w:val="nil" w:sz="6" w:space="0" w:color="auto"/>
            </w:tcBorders>
          </w:tcPr>
          <w:p>
            <w:pPr>
              <w:pStyle w:val="TableParagraph"/>
              <w:spacing w:line="219" w:lineRule="exact"/>
              <w:ind w:right="100"/>
              <w:jc w:val="right"/>
              <w:rPr>
                <w:rFonts w:ascii="宋体" w:hAnsi="宋体" w:cs="宋体" w:eastAsia="宋体" w:hint="default"/>
                <w:sz w:val="20"/>
                <w:szCs w:val="20"/>
              </w:rPr>
            </w:pPr>
            <w:r>
              <w:rPr>
                <w:rFonts w:ascii="宋体" w:hAnsi="宋体" w:cs="宋体" w:eastAsia="宋体" w:hint="default"/>
                <w:spacing w:val="-1"/>
                <w:sz w:val="20"/>
                <w:szCs w:val="20"/>
              </w:rPr>
              <w:t>同受联通集团控制</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7"/>
              <w:jc w:val="right"/>
              <w:rPr>
                <w:rFonts w:ascii="Arial" w:hAnsi="Arial" w:cs="Arial" w:eastAsia="Arial" w:hint="default"/>
                <w:sz w:val="20"/>
                <w:szCs w:val="20"/>
              </w:rPr>
            </w:pPr>
            <w:r>
              <w:rPr>
                <w:rFonts w:ascii="Arial"/>
                <w:spacing w:val="-1"/>
                <w:sz w:val="20"/>
              </w:rPr>
              <w:t>702401431</w:t>
            </w:r>
          </w:p>
        </w:tc>
      </w:tr>
      <w:tr>
        <w:trPr>
          <w:trHeight w:val="260" w:hRule="exact"/>
        </w:trPr>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Arial" w:hAnsi="Arial" w:cs="Arial" w:eastAsia="Arial" w:hint="default"/>
                <w:sz w:val="20"/>
                <w:szCs w:val="20"/>
              </w:rPr>
            </w:pPr>
            <w:r>
              <w:rPr>
                <w:rFonts w:ascii="Arial"/>
                <w:sz w:val="20"/>
              </w:rPr>
              <w:t>(15)</w:t>
            </w:r>
          </w:p>
        </w:tc>
        <w:tc>
          <w:tcPr>
            <w:tcW w:w="4642" w:type="dxa"/>
            <w:tcBorders>
              <w:top w:val="nil" w:sz="6" w:space="0" w:color="auto"/>
              <w:left w:val="nil" w:sz="6" w:space="0" w:color="auto"/>
              <w:bottom w:val="nil" w:sz="6" w:space="0" w:color="auto"/>
              <w:right w:val="nil" w:sz="6" w:space="0" w:color="auto"/>
            </w:tcBorders>
          </w:tcPr>
          <w:p>
            <w:pPr>
              <w:pStyle w:val="TableParagraph"/>
              <w:spacing w:line="219" w:lineRule="exact"/>
              <w:ind w:left="113" w:right="0"/>
              <w:jc w:val="left"/>
              <w:rPr>
                <w:rFonts w:ascii="宋体" w:hAnsi="宋体" w:cs="宋体" w:eastAsia="宋体" w:hint="default"/>
                <w:sz w:val="20"/>
                <w:szCs w:val="20"/>
              </w:rPr>
            </w:pPr>
            <w:r>
              <w:rPr>
                <w:rFonts w:ascii="宋体" w:hAnsi="宋体" w:cs="宋体" w:eastAsia="宋体" w:hint="default"/>
                <w:sz w:val="20"/>
                <w:szCs w:val="20"/>
              </w:rPr>
              <w:t>中国网通集团黑龙江省通信公司及其附属公司</w:t>
            </w:r>
          </w:p>
        </w:tc>
        <w:tc>
          <w:tcPr>
            <w:tcW w:w="2197" w:type="dxa"/>
            <w:tcBorders>
              <w:top w:val="nil" w:sz="6" w:space="0" w:color="auto"/>
              <w:left w:val="nil" w:sz="6" w:space="0" w:color="auto"/>
              <w:bottom w:val="nil" w:sz="6" w:space="0" w:color="auto"/>
              <w:right w:val="nil" w:sz="6" w:space="0" w:color="auto"/>
            </w:tcBorders>
          </w:tcPr>
          <w:p>
            <w:pPr>
              <w:pStyle w:val="TableParagraph"/>
              <w:spacing w:line="219" w:lineRule="exact"/>
              <w:ind w:right="100"/>
              <w:jc w:val="right"/>
              <w:rPr>
                <w:rFonts w:ascii="宋体" w:hAnsi="宋体" w:cs="宋体" w:eastAsia="宋体" w:hint="default"/>
                <w:sz w:val="20"/>
                <w:szCs w:val="20"/>
              </w:rPr>
            </w:pPr>
            <w:r>
              <w:rPr>
                <w:rFonts w:ascii="宋体" w:hAnsi="宋体" w:cs="宋体" w:eastAsia="宋体" w:hint="default"/>
                <w:spacing w:val="-1"/>
                <w:sz w:val="20"/>
                <w:szCs w:val="20"/>
              </w:rPr>
              <w:t>同受联通集团控制</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7"/>
              <w:jc w:val="right"/>
              <w:rPr>
                <w:rFonts w:ascii="Arial" w:hAnsi="Arial" w:cs="Arial" w:eastAsia="Arial" w:hint="default"/>
                <w:sz w:val="20"/>
                <w:szCs w:val="20"/>
              </w:rPr>
            </w:pPr>
            <w:r>
              <w:rPr>
                <w:rFonts w:ascii="Arial"/>
                <w:spacing w:val="-1"/>
                <w:sz w:val="20"/>
              </w:rPr>
              <w:t>001697620</w:t>
            </w:r>
          </w:p>
        </w:tc>
      </w:tr>
      <w:tr>
        <w:trPr>
          <w:trHeight w:val="341" w:hRule="exact"/>
        </w:trPr>
        <w:tc>
          <w:tcPr>
            <w:tcW w:w="50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35" w:right="0"/>
              <w:jc w:val="left"/>
              <w:rPr>
                <w:rFonts w:ascii="Arial" w:hAnsi="Arial" w:cs="Arial" w:eastAsia="Arial" w:hint="default"/>
                <w:sz w:val="20"/>
                <w:szCs w:val="20"/>
              </w:rPr>
            </w:pPr>
            <w:r>
              <w:rPr>
                <w:rFonts w:ascii="Arial"/>
                <w:sz w:val="20"/>
              </w:rPr>
              <w:t>(16)</w:t>
            </w:r>
          </w:p>
        </w:tc>
        <w:tc>
          <w:tcPr>
            <w:tcW w:w="4642" w:type="dxa"/>
            <w:tcBorders>
              <w:top w:val="nil" w:sz="6" w:space="0" w:color="auto"/>
              <w:left w:val="nil" w:sz="6" w:space="0" w:color="auto"/>
              <w:bottom w:val="nil" w:sz="6" w:space="0" w:color="auto"/>
              <w:right w:val="nil" w:sz="6" w:space="0" w:color="auto"/>
            </w:tcBorders>
          </w:tcPr>
          <w:p>
            <w:pPr>
              <w:pStyle w:val="TableParagraph"/>
              <w:spacing w:line="219" w:lineRule="exact"/>
              <w:ind w:left="113" w:right="0"/>
              <w:jc w:val="left"/>
              <w:rPr>
                <w:rFonts w:ascii="宋体" w:hAnsi="宋体" w:cs="宋体" w:eastAsia="宋体" w:hint="default"/>
                <w:sz w:val="20"/>
                <w:szCs w:val="20"/>
              </w:rPr>
            </w:pPr>
            <w:r>
              <w:rPr>
                <w:rFonts w:ascii="宋体" w:hAnsi="宋体" w:cs="宋体" w:eastAsia="宋体" w:hint="default"/>
                <w:sz w:val="20"/>
                <w:szCs w:val="20"/>
              </w:rPr>
              <w:t>中国网通集团内蒙古自治区通信公司及其附属公司</w:t>
            </w:r>
          </w:p>
        </w:tc>
        <w:tc>
          <w:tcPr>
            <w:tcW w:w="2197" w:type="dxa"/>
            <w:tcBorders>
              <w:top w:val="nil" w:sz="6" w:space="0" w:color="auto"/>
              <w:left w:val="nil" w:sz="6" w:space="0" w:color="auto"/>
              <w:bottom w:val="nil" w:sz="6" w:space="0" w:color="auto"/>
              <w:right w:val="nil" w:sz="6" w:space="0" w:color="auto"/>
            </w:tcBorders>
          </w:tcPr>
          <w:p>
            <w:pPr>
              <w:pStyle w:val="TableParagraph"/>
              <w:spacing w:line="219" w:lineRule="exact"/>
              <w:ind w:right="100"/>
              <w:jc w:val="right"/>
              <w:rPr>
                <w:rFonts w:ascii="宋体" w:hAnsi="宋体" w:cs="宋体" w:eastAsia="宋体" w:hint="default"/>
                <w:sz w:val="20"/>
                <w:szCs w:val="20"/>
              </w:rPr>
            </w:pPr>
            <w:r>
              <w:rPr>
                <w:rFonts w:ascii="宋体" w:hAnsi="宋体" w:cs="宋体" w:eastAsia="宋体" w:hint="default"/>
                <w:spacing w:val="-1"/>
                <w:sz w:val="20"/>
                <w:szCs w:val="20"/>
              </w:rPr>
              <w:t>同受联通集团控制</w:t>
            </w:r>
          </w:p>
        </w:tc>
        <w:tc>
          <w:tcPr>
            <w:tcW w:w="238" w:type="dxa"/>
            <w:tcBorders>
              <w:top w:val="nil" w:sz="6" w:space="0" w:color="auto"/>
              <w:left w:val="nil" w:sz="6" w:space="0" w:color="auto"/>
              <w:bottom w:val="nil" w:sz="6" w:space="0" w:color="auto"/>
              <w:right w:val="nil" w:sz="6" w:space="0" w:color="auto"/>
            </w:tcBorders>
          </w:tcPr>
          <w:p>
            <w:pPr/>
          </w:p>
        </w:tc>
        <w:tc>
          <w:tcPr>
            <w:tcW w:w="14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7"/>
              <w:jc w:val="right"/>
              <w:rPr>
                <w:rFonts w:ascii="Arial" w:hAnsi="Arial" w:cs="Arial" w:eastAsia="Arial" w:hint="default"/>
                <w:sz w:val="20"/>
                <w:szCs w:val="20"/>
              </w:rPr>
            </w:pPr>
            <w:r>
              <w:rPr>
                <w:rFonts w:ascii="Arial"/>
                <w:spacing w:val="-1"/>
                <w:sz w:val="20"/>
              </w:rPr>
              <w:t>114119157</w:t>
            </w:r>
          </w:p>
        </w:tc>
      </w:tr>
    </w:tbl>
    <w:p>
      <w:pPr>
        <w:spacing w:after="0" w:line="240" w:lineRule="auto"/>
        <w:jc w:val="right"/>
        <w:rPr>
          <w:rFonts w:ascii="Arial" w:hAnsi="Arial" w:cs="Arial" w:eastAsia="Arial" w:hint="default"/>
          <w:sz w:val="20"/>
          <w:szCs w:val="20"/>
        </w:rPr>
        <w:sectPr>
          <w:headerReference w:type="default" r:id="rId132"/>
          <w:footerReference w:type="default" r:id="rId133"/>
          <w:pgSz w:w="11910" w:h="16840"/>
          <w:pgMar w:header="968" w:footer="600" w:top="2320" w:bottom="800" w:left="1240" w:right="1020"/>
          <w:pgNumType w:start="151"/>
        </w:sectPr>
      </w:pPr>
    </w:p>
    <w:p>
      <w:pPr>
        <w:spacing w:line="240" w:lineRule="auto" w:before="2"/>
        <w:rPr>
          <w:rFonts w:ascii="宋体" w:hAnsi="宋体" w:cs="宋体" w:eastAsia="宋体" w:hint="default"/>
          <w:sz w:val="19"/>
          <w:szCs w:val="19"/>
        </w:rPr>
      </w:pPr>
    </w:p>
    <w:p>
      <w:pPr>
        <w:pStyle w:val="BodyText"/>
        <w:spacing w:line="240" w:lineRule="auto" w:before="31"/>
        <w:ind w:left="102" w:right="125"/>
        <w:jc w:val="left"/>
      </w:pPr>
      <w:r>
        <w:rPr>
          <w:rFonts w:ascii="Arial" w:hAnsi="Arial" w:cs="Arial" w:eastAsia="Arial" w:hint="default"/>
        </w:rPr>
        <w:t>3</w:t>
      </w:r>
      <w:r>
        <w:rPr/>
        <w:t>、</w:t>
      </w:r>
      <w:r>
        <w:rPr>
          <w:spacing w:val="-35"/>
        </w:rPr>
        <w:t> </w:t>
      </w:r>
      <w:r>
        <w:rPr/>
        <w:t>其他关联方情况（续）</w:t>
      </w:r>
    </w:p>
    <w:p>
      <w:pPr>
        <w:spacing w:line="240" w:lineRule="auto" w:before="2"/>
        <w:rPr>
          <w:rFonts w:ascii="宋体" w:hAnsi="宋体" w:cs="宋体" w:eastAsia="宋体" w:hint="default"/>
          <w:sz w:val="19"/>
          <w:szCs w:val="19"/>
        </w:rPr>
      </w:pPr>
    </w:p>
    <w:p>
      <w:pPr>
        <w:pStyle w:val="BodyText"/>
        <w:spacing w:line="225" w:lineRule="auto"/>
        <w:ind w:left="900" w:right="142" w:hanging="463"/>
        <w:jc w:val="both"/>
      </w:pPr>
      <w:r>
        <w:rPr/>
        <w:t>注：如附注一（</w:t>
      </w:r>
      <w:r>
        <w:rPr>
          <w:rFonts w:ascii="Arial" w:hAnsi="Arial" w:cs="Arial" w:eastAsia="Arial" w:hint="default"/>
        </w:rPr>
        <w:t>5</w:t>
      </w:r>
      <w:r>
        <w:rPr/>
        <w:t>）所示，联通集团已于</w:t>
      </w:r>
      <w:r>
        <w:rPr>
          <w:spacing w:val="-51"/>
        </w:rPr>
        <w:t> </w:t>
      </w:r>
      <w:r>
        <w:rPr>
          <w:rFonts w:ascii="Arial" w:hAnsi="Arial" w:cs="Arial" w:eastAsia="Arial" w:hint="default"/>
        </w:rPr>
        <w:t>2009</w:t>
      </w:r>
      <w:r>
        <w:rPr>
          <w:rFonts w:ascii="Arial" w:hAnsi="Arial" w:cs="Arial" w:eastAsia="Arial" w:hint="default"/>
          <w:spacing w:val="-2"/>
        </w:rPr>
        <w:t> </w:t>
      </w:r>
      <w:r>
        <w:rPr/>
        <w:t>年</w:t>
      </w:r>
      <w:r>
        <w:rPr>
          <w:spacing w:val="-51"/>
        </w:rPr>
        <w:t> </w:t>
      </w:r>
      <w:r>
        <w:rPr>
          <w:rFonts w:ascii="Arial" w:hAnsi="Arial" w:cs="Arial" w:eastAsia="Arial" w:hint="default"/>
        </w:rPr>
        <w:t>1</w:t>
      </w:r>
      <w:r>
        <w:rPr>
          <w:rFonts w:ascii="Arial" w:hAnsi="Arial" w:cs="Arial" w:eastAsia="Arial" w:hint="default"/>
          <w:spacing w:val="-2"/>
        </w:rPr>
        <w:t> </w:t>
      </w:r>
      <w:r>
        <w:rPr/>
        <w:t>月</w:t>
      </w:r>
      <w:r>
        <w:rPr>
          <w:spacing w:val="-51"/>
        </w:rPr>
        <w:t> </w:t>
      </w:r>
      <w:r>
        <w:rPr>
          <w:rFonts w:ascii="Arial" w:hAnsi="Arial" w:cs="Arial" w:eastAsia="Arial" w:hint="default"/>
        </w:rPr>
        <w:t>6</w:t>
      </w:r>
      <w:r>
        <w:rPr>
          <w:rFonts w:ascii="Arial" w:hAnsi="Arial" w:cs="Arial" w:eastAsia="Arial" w:hint="default"/>
          <w:spacing w:val="-2"/>
        </w:rPr>
        <w:t> </w:t>
      </w:r>
      <w:r>
        <w:rPr/>
        <w:t>日吸收合并了网通集团。因此，上述原</w:t>
      </w:r>
      <w:r>
        <w:rPr>
          <w:w w:val="99"/>
        </w:rPr>
        <w:t> </w:t>
      </w:r>
      <w:r>
        <w:rPr>
          <w:spacing w:val="-1"/>
          <w:w w:val="95"/>
        </w:rPr>
        <w:t>网通集团的子公司已受联通集团控制。上述（</w:t>
      </w:r>
      <w:r>
        <w:rPr>
          <w:rFonts w:ascii="Arial" w:hAnsi="Arial" w:cs="Arial" w:eastAsia="Arial" w:hint="default"/>
          <w:spacing w:val="-1"/>
          <w:w w:val="95"/>
        </w:rPr>
        <w:t>6</w:t>
      </w:r>
      <w:r>
        <w:rPr>
          <w:spacing w:val="-1"/>
          <w:w w:val="95"/>
        </w:rPr>
        <w:t>）至（</w:t>
      </w:r>
      <w:r>
        <w:rPr>
          <w:rFonts w:ascii="Arial" w:hAnsi="Arial" w:cs="Arial" w:eastAsia="Arial" w:hint="default"/>
          <w:spacing w:val="-1"/>
          <w:w w:val="95"/>
        </w:rPr>
        <w:t>16</w:t>
      </w:r>
      <w:r>
        <w:rPr>
          <w:spacing w:val="-1"/>
          <w:w w:val="95"/>
        </w:rPr>
        <w:t>）项联通集团及原网通集团的非上</w:t>
      </w:r>
      <w:r>
        <w:rPr>
          <w:w w:val="99"/>
        </w:rPr>
        <w:t> </w:t>
      </w:r>
      <w:r>
        <w:rPr/>
        <w:t>市子公司以下统称为联通集团其他附属公司。</w:t>
      </w:r>
    </w:p>
    <w:p>
      <w:pPr>
        <w:spacing w:line="240" w:lineRule="auto" w:before="9"/>
        <w:rPr>
          <w:rFonts w:ascii="宋体" w:hAnsi="宋体" w:cs="宋体" w:eastAsia="宋体" w:hint="default"/>
          <w:sz w:val="19"/>
          <w:szCs w:val="19"/>
        </w:rPr>
      </w:pPr>
    </w:p>
    <w:p>
      <w:pPr>
        <w:pStyle w:val="BodyText"/>
        <w:spacing w:line="235" w:lineRule="auto"/>
        <w:ind w:left="900" w:right="157"/>
        <w:jc w:val="left"/>
      </w:pPr>
      <w:r>
        <w:rPr/>
        <w:t>如附注一（</w:t>
      </w:r>
      <w:r>
        <w:rPr>
          <w:rFonts w:ascii="Arial" w:hAnsi="Arial" w:cs="Arial" w:eastAsia="Arial" w:hint="default"/>
        </w:rPr>
        <w:t>6</w:t>
      </w:r>
      <w:r>
        <w:rPr/>
        <w:t>）所述，于</w:t>
      </w:r>
      <w:r>
        <w:rPr>
          <w:spacing w:val="-56"/>
        </w:rPr>
        <w:t> </w:t>
      </w:r>
      <w:r>
        <w:rPr>
          <w:rFonts w:ascii="Arial" w:hAnsi="Arial" w:cs="Arial" w:eastAsia="Arial" w:hint="default"/>
        </w:rPr>
        <w:t>2009</w:t>
      </w:r>
      <w:r>
        <w:rPr>
          <w:rFonts w:ascii="Arial" w:hAnsi="Arial" w:cs="Arial" w:eastAsia="Arial" w:hint="default"/>
          <w:spacing w:val="-8"/>
        </w:rPr>
        <w:t> </w:t>
      </w:r>
      <w:r>
        <w:rPr/>
        <w:t>年</w:t>
      </w:r>
      <w:r>
        <w:rPr>
          <w:spacing w:val="-57"/>
        </w:rPr>
        <w:t> </w:t>
      </w:r>
      <w:r>
        <w:rPr>
          <w:rFonts w:ascii="Arial" w:hAnsi="Arial" w:cs="Arial" w:eastAsia="Arial" w:hint="default"/>
        </w:rPr>
        <w:t>1</w:t>
      </w:r>
      <w:r>
        <w:rPr>
          <w:rFonts w:ascii="Arial" w:hAnsi="Arial" w:cs="Arial" w:eastAsia="Arial" w:hint="default"/>
          <w:spacing w:val="-8"/>
        </w:rPr>
        <w:t> </w:t>
      </w:r>
      <w:r>
        <w:rPr/>
        <w:t>月，联通运营公司完成了对联通兴业、中讯设计院和联</w:t>
      </w:r>
      <w:r>
        <w:rPr>
          <w:w w:val="99"/>
        </w:rPr>
        <w:t> </w:t>
      </w:r>
      <w:r>
        <w:rPr/>
        <w:t>通新国信三家公司的股权收购。联通兴业、中讯设计院和联通新国信已作为联通运营公司</w:t>
      </w:r>
      <w:r>
        <w:rPr>
          <w:w w:val="99"/>
        </w:rPr>
        <w:t> </w:t>
      </w:r>
      <w:r>
        <w:rPr/>
        <w:t>的全资子公司纳入合并范围，由于本次收购被视为同一控制下的企业合并，因此这三家子</w:t>
      </w:r>
      <w:r>
        <w:rPr>
          <w:w w:val="99"/>
        </w:rPr>
        <w:t> </w:t>
      </w:r>
      <w:r>
        <w:rPr/>
        <w:t>公司被视同一直是本集团的一部分并由所列报的可比期间期初开始纳入本集团的合并范</w:t>
      </w:r>
      <w:r>
        <w:rPr>
          <w:w w:val="99"/>
        </w:rPr>
        <w:t> </w:t>
      </w:r>
      <w:r>
        <w:rPr/>
        <w:t>围，因此这三家公司亦不再列示为本集团的关联方。</w:t>
      </w:r>
    </w:p>
    <w:p>
      <w:pPr>
        <w:spacing w:line="240" w:lineRule="auto" w:before="2"/>
        <w:rPr>
          <w:rFonts w:ascii="宋体" w:hAnsi="宋体" w:cs="宋体" w:eastAsia="宋体" w:hint="default"/>
          <w:sz w:val="19"/>
          <w:szCs w:val="19"/>
        </w:rPr>
      </w:pPr>
    </w:p>
    <w:p>
      <w:pPr>
        <w:pStyle w:val="BodyText"/>
        <w:spacing w:line="240" w:lineRule="auto"/>
        <w:ind w:left="102" w:right="125"/>
        <w:jc w:val="left"/>
      </w:pPr>
      <w:r>
        <w:rPr>
          <w:rFonts w:ascii="Arial" w:hAnsi="Arial" w:cs="Arial" w:eastAsia="Arial" w:hint="default"/>
        </w:rPr>
        <w:t>4</w:t>
      </w:r>
      <w:r>
        <w:rPr/>
        <w:t>、</w:t>
      </w:r>
      <w:r>
        <w:rPr>
          <w:spacing w:val="-36"/>
        </w:rPr>
        <w:t> </w:t>
      </w:r>
      <w:r>
        <w:rPr/>
        <w:t>关联交易</w:t>
      </w:r>
    </w:p>
    <w:p>
      <w:pPr>
        <w:spacing w:line="240" w:lineRule="auto" w:before="12"/>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headerReference w:type="default" r:id="rId134"/>
          <w:pgSz w:w="11910" w:h="16840"/>
          <w:pgMar w:header="968" w:footer="600" w:top="2880" w:bottom="800" w:left="1280" w:right="900"/>
        </w:sectPr>
      </w:pPr>
    </w:p>
    <w:p>
      <w:pPr>
        <w:spacing w:line="240" w:lineRule="auto" w:before="0"/>
        <w:rPr>
          <w:rFonts w:ascii="宋体" w:hAnsi="宋体" w:cs="宋体" w:eastAsia="宋体" w:hint="default"/>
          <w:sz w:val="16"/>
          <w:szCs w:val="16"/>
        </w:rPr>
      </w:pPr>
    </w:p>
    <w:p>
      <w:pPr>
        <w:spacing w:line="240" w:lineRule="auto" w:before="7"/>
        <w:rPr>
          <w:rFonts w:ascii="宋体" w:hAnsi="宋体" w:cs="宋体" w:eastAsia="宋体" w:hint="default"/>
          <w:sz w:val="19"/>
          <w:szCs w:val="19"/>
        </w:rPr>
      </w:pPr>
    </w:p>
    <w:p>
      <w:pPr>
        <w:spacing w:before="0"/>
        <w:ind w:left="1492" w:right="0" w:firstLine="0"/>
        <w:jc w:val="left"/>
        <w:rPr>
          <w:rFonts w:ascii="宋体" w:hAnsi="宋体" w:cs="宋体" w:eastAsia="宋体" w:hint="default"/>
          <w:sz w:val="16"/>
          <w:szCs w:val="16"/>
        </w:rPr>
      </w:pPr>
      <w:r>
        <w:rPr>
          <w:rFonts w:ascii="宋体" w:hAnsi="宋体" w:cs="宋体" w:eastAsia="宋体" w:hint="default"/>
          <w:w w:val="95"/>
          <w:sz w:val="16"/>
          <w:szCs w:val="16"/>
        </w:rPr>
        <w:t>关联交易内容</w:t>
      </w:r>
      <w:r>
        <w:rPr>
          <w:rFonts w:ascii="宋体" w:hAnsi="宋体" w:cs="宋体" w:eastAsia="宋体" w:hint="default"/>
          <w:sz w:val="16"/>
          <w:szCs w:val="16"/>
        </w:rPr>
      </w:r>
    </w:p>
    <w:p>
      <w:pPr>
        <w:spacing w:line="240" w:lineRule="auto" w:before="9"/>
        <w:rPr>
          <w:rFonts w:ascii="宋体" w:hAnsi="宋体" w:cs="宋体" w:eastAsia="宋体" w:hint="default"/>
          <w:sz w:val="19"/>
          <w:szCs w:val="19"/>
        </w:rPr>
      </w:pPr>
      <w:r>
        <w:rPr/>
        <w:br w:type="column"/>
      </w:r>
      <w:r>
        <w:rPr>
          <w:rFonts w:ascii="宋体"/>
          <w:sz w:val="19"/>
        </w:rPr>
      </w:r>
    </w:p>
    <w:p>
      <w:pPr>
        <w:spacing w:line="209" w:lineRule="exact" w:before="0"/>
        <w:ind w:left="960" w:right="1242" w:firstLine="0"/>
        <w:jc w:val="center"/>
        <w:rPr>
          <w:rFonts w:ascii="宋体" w:hAnsi="宋体" w:cs="宋体" w:eastAsia="宋体" w:hint="default"/>
          <w:sz w:val="16"/>
          <w:szCs w:val="16"/>
        </w:rPr>
      </w:pPr>
      <w:r>
        <w:rPr>
          <w:rFonts w:ascii="宋体" w:hAnsi="宋体" w:cs="宋体" w:eastAsia="宋体" w:hint="default"/>
          <w:sz w:val="16"/>
          <w:szCs w:val="16"/>
        </w:rPr>
        <w:t>关联交易</w:t>
      </w:r>
    </w:p>
    <w:p>
      <w:pPr>
        <w:tabs>
          <w:tab w:pos="2404" w:val="left" w:leader="none"/>
        </w:tabs>
        <w:spacing w:line="209" w:lineRule="exact" w:before="0"/>
        <w:ind w:left="1299" w:right="0" w:firstLine="0"/>
        <w:jc w:val="left"/>
        <w:rPr>
          <w:rFonts w:ascii="宋体" w:hAnsi="宋体" w:cs="宋体" w:eastAsia="宋体" w:hint="default"/>
          <w:sz w:val="16"/>
          <w:szCs w:val="16"/>
        </w:rPr>
      </w:pPr>
      <w:r>
        <w:rPr>
          <w:rFonts w:ascii="宋体" w:hAnsi="宋体" w:cs="宋体" w:eastAsia="宋体" w:hint="default"/>
          <w:w w:val="95"/>
          <w:sz w:val="16"/>
          <w:szCs w:val="16"/>
        </w:rPr>
        <w:t>类型</w:t>
        <w:tab/>
        <w:t>关联方</w:t>
      </w:r>
      <w:r>
        <w:rPr>
          <w:rFonts w:ascii="宋体" w:hAnsi="宋体" w:cs="宋体" w:eastAsia="宋体" w:hint="default"/>
          <w:sz w:val="16"/>
          <w:szCs w:val="16"/>
        </w:rPr>
      </w:r>
    </w:p>
    <w:p>
      <w:pPr>
        <w:spacing w:before="50"/>
        <w:ind w:left="1023" w:right="1260" w:firstLine="0"/>
        <w:jc w:val="center"/>
        <w:rPr>
          <w:rFonts w:ascii="宋体" w:hAnsi="宋体" w:cs="宋体" w:eastAsia="宋体" w:hint="default"/>
          <w:sz w:val="16"/>
          <w:szCs w:val="16"/>
        </w:rPr>
      </w:pPr>
      <w:r>
        <w:rPr>
          <w:w w:val="95"/>
        </w:rPr>
        <w:br w:type="column"/>
      </w:r>
      <w:r>
        <w:rPr>
          <w:rFonts w:ascii="宋体" w:hAnsi="宋体" w:cs="宋体" w:eastAsia="宋体" w:hint="default"/>
          <w:w w:val="95"/>
          <w:sz w:val="16"/>
          <w:szCs w:val="16"/>
        </w:rPr>
        <w:t>关联交易</w:t>
      </w:r>
      <w:r>
        <w:rPr>
          <w:rFonts w:ascii="宋体" w:hAnsi="宋体" w:cs="宋体" w:eastAsia="宋体" w:hint="default"/>
          <w:spacing w:val="-47"/>
          <w:w w:val="95"/>
          <w:sz w:val="16"/>
          <w:szCs w:val="16"/>
        </w:rPr>
        <w:t> </w:t>
      </w:r>
      <w:r>
        <w:rPr>
          <w:rFonts w:ascii="宋体" w:hAnsi="宋体" w:cs="宋体" w:eastAsia="宋体" w:hint="default"/>
          <w:w w:val="95"/>
          <w:sz w:val="16"/>
          <w:szCs w:val="16"/>
        </w:rPr>
        <w:t>定价方式</w:t>
      </w:r>
      <w:r>
        <w:rPr>
          <w:rFonts w:ascii="宋体" w:hAnsi="宋体" w:cs="宋体" w:eastAsia="宋体" w:hint="default"/>
          <w:sz w:val="16"/>
          <w:szCs w:val="16"/>
        </w:rPr>
      </w:r>
    </w:p>
    <w:p>
      <w:pPr>
        <w:tabs>
          <w:tab w:pos="2207" w:val="left" w:leader="none"/>
        </w:tabs>
        <w:spacing w:line="219" w:lineRule="exact" w:before="0"/>
        <w:ind w:left="862" w:right="-19" w:firstLine="0"/>
        <w:jc w:val="left"/>
        <w:rPr>
          <w:rFonts w:ascii="宋体" w:hAnsi="宋体" w:cs="宋体" w:eastAsia="宋体" w:hint="default"/>
          <w:sz w:val="16"/>
          <w:szCs w:val="16"/>
        </w:rPr>
      </w:pPr>
      <w:r>
        <w:rPr>
          <w:rFonts w:ascii="宋体" w:hAnsi="宋体" w:cs="宋体" w:eastAsia="宋体" w:hint="default"/>
          <w:w w:val="95"/>
          <w:sz w:val="16"/>
          <w:szCs w:val="16"/>
        </w:rPr>
        <w:t>及决策程序</w:t>
        <w:tab/>
      </w:r>
      <w:r>
        <w:rPr>
          <w:rFonts w:ascii="Arial" w:hAnsi="Arial" w:cs="Arial" w:eastAsia="Arial" w:hint="default"/>
          <w:sz w:val="16"/>
          <w:szCs w:val="16"/>
        </w:rPr>
        <w:t>2009</w:t>
      </w:r>
      <w:r>
        <w:rPr>
          <w:rFonts w:ascii="Arial" w:hAnsi="Arial" w:cs="Arial" w:eastAsia="Arial" w:hint="default"/>
          <w:spacing w:val="-5"/>
          <w:sz w:val="16"/>
          <w:szCs w:val="16"/>
        </w:rPr>
        <w:t> </w:t>
      </w:r>
      <w:r>
        <w:rPr>
          <w:rFonts w:ascii="宋体" w:hAnsi="宋体" w:cs="宋体" w:eastAsia="宋体" w:hint="default"/>
          <w:sz w:val="16"/>
          <w:szCs w:val="16"/>
        </w:rPr>
        <w:t>年度</w:t>
      </w:r>
    </w:p>
    <w:p>
      <w:pPr>
        <w:spacing w:line="240" w:lineRule="auto" w:before="9"/>
        <w:rPr>
          <w:rFonts w:ascii="宋体" w:hAnsi="宋体" w:cs="宋体" w:eastAsia="宋体" w:hint="default"/>
          <w:sz w:val="19"/>
          <w:szCs w:val="19"/>
        </w:rPr>
      </w:pPr>
      <w:r>
        <w:rPr/>
        <w:br w:type="column"/>
      </w:r>
      <w:r>
        <w:rPr>
          <w:rFonts w:ascii="宋体"/>
          <w:sz w:val="19"/>
        </w:rPr>
      </w:r>
    </w:p>
    <w:p>
      <w:pPr>
        <w:spacing w:line="214" w:lineRule="exact" w:before="0"/>
        <w:ind w:left="372" w:right="0" w:firstLine="0"/>
        <w:jc w:val="left"/>
        <w:rPr>
          <w:rFonts w:ascii="宋体" w:hAnsi="宋体" w:cs="宋体" w:eastAsia="宋体" w:hint="default"/>
          <w:sz w:val="16"/>
          <w:szCs w:val="16"/>
        </w:rPr>
      </w:pPr>
      <w:r>
        <w:rPr>
          <w:rFonts w:ascii="Arial" w:hAnsi="Arial" w:cs="Arial" w:eastAsia="Arial" w:hint="default"/>
          <w:sz w:val="16"/>
          <w:szCs w:val="16"/>
        </w:rPr>
        <w:t>2008</w:t>
      </w:r>
      <w:r>
        <w:rPr>
          <w:rFonts w:ascii="Arial" w:hAnsi="Arial" w:cs="Arial" w:eastAsia="Arial" w:hint="default"/>
          <w:spacing w:val="-5"/>
          <w:sz w:val="16"/>
          <w:szCs w:val="16"/>
        </w:rPr>
        <w:t> </w:t>
      </w:r>
      <w:r>
        <w:rPr>
          <w:rFonts w:ascii="宋体" w:hAnsi="宋体" w:cs="宋体" w:eastAsia="宋体" w:hint="default"/>
          <w:sz w:val="16"/>
          <w:szCs w:val="16"/>
        </w:rPr>
        <w:t>年度</w:t>
      </w:r>
    </w:p>
    <w:p>
      <w:pPr>
        <w:spacing w:line="203" w:lineRule="exact" w:before="0"/>
        <w:ind w:left="388" w:right="0" w:firstLine="0"/>
        <w:jc w:val="left"/>
        <w:rPr>
          <w:rFonts w:ascii="宋体" w:hAnsi="宋体" w:cs="宋体" w:eastAsia="宋体" w:hint="default"/>
          <w:sz w:val="16"/>
          <w:szCs w:val="16"/>
        </w:rPr>
      </w:pPr>
      <w:r>
        <w:rPr>
          <w:rFonts w:ascii="宋体" w:hAnsi="宋体" w:cs="宋体" w:eastAsia="宋体" w:hint="default"/>
          <w:sz w:val="16"/>
          <w:szCs w:val="16"/>
        </w:rPr>
        <w:t>（经重列）</w:t>
      </w:r>
    </w:p>
    <w:p>
      <w:pPr>
        <w:spacing w:after="0" w:line="203" w:lineRule="exact"/>
        <w:jc w:val="left"/>
        <w:rPr>
          <w:rFonts w:ascii="宋体" w:hAnsi="宋体" w:cs="宋体" w:eastAsia="宋体" w:hint="default"/>
          <w:sz w:val="16"/>
          <w:szCs w:val="16"/>
        </w:rPr>
        <w:sectPr>
          <w:type w:val="continuous"/>
          <w:pgSz w:w="11910" w:h="16840"/>
          <w:pgMar w:top="1600" w:bottom="280" w:left="1280" w:right="900"/>
          <w:cols w:num="4" w:equalWidth="0">
            <w:col w:w="2451" w:space="40"/>
            <w:col w:w="2884" w:space="40"/>
            <w:col w:w="2924" w:space="40"/>
            <w:col w:w="1351"/>
          </w:cols>
        </w:sectPr>
      </w:pPr>
    </w:p>
    <w:p>
      <w:pPr>
        <w:spacing w:line="20" w:lineRule="exact"/>
        <w:ind w:left="542" w:right="0" w:firstLine="0"/>
        <w:rPr>
          <w:rFonts w:ascii="宋体" w:hAnsi="宋体" w:cs="宋体" w:eastAsia="宋体" w:hint="default"/>
          <w:sz w:val="2"/>
          <w:szCs w:val="2"/>
        </w:rPr>
      </w:pPr>
      <w:r>
        <w:rPr>
          <w:rFonts w:ascii="宋体" w:hAnsi="宋体" w:cs="宋体" w:eastAsia="宋体" w:hint="default"/>
          <w:sz w:val="2"/>
          <w:szCs w:val="2"/>
        </w:rPr>
        <w:pict>
          <v:group style="width:453.25pt;height:.75pt;mso-position-horizontal-relative:char;mso-position-vertical-relative:line" coordorigin="0,0" coordsize="9065,15">
            <v:group style="position:absolute;left:7;top:7;width:2836;height:2" coordorigin="7,7" coordsize="2836,2">
              <v:shape style="position:absolute;left:7;top:7;width:2836;height:2" coordorigin="7,7" coordsize="2836,0" path="m7,7l2843,7e" filled="false" stroked="true" strokeweight=".72pt" strokecolor="#000000">
                <v:path arrowok="t"/>
              </v:shape>
            </v:group>
            <v:group style="position:absolute;left:2885;top:7;width:686;height:2" coordorigin="2885,7" coordsize="686,2">
              <v:shape style="position:absolute;left:2885;top:7;width:686;height:2" coordorigin="2885,7" coordsize="686,0" path="m2885,7l3570,7e" filled="false" stroked="true" strokeweight=".72pt" strokecolor="#000000">
                <v:path arrowok="t"/>
              </v:shape>
            </v:group>
            <v:group style="position:absolute;left:3612;top:7;width:1946;height:2" coordorigin="3612,7" coordsize="1946,2">
              <v:shape style="position:absolute;left:3612;top:7;width:1946;height:2" coordorigin="3612,7" coordsize="1946,0" path="m3612,7l5557,7e" filled="false" stroked="true" strokeweight=".72pt" strokecolor="#000000">
                <v:path arrowok="t"/>
              </v:shape>
            </v:group>
            <v:group style="position:absolute;left:5599;top:7;width:939;height:2" coordorigin="5599,7" coordsize="939,2">
              <v:shape style="position:absolute;left:5599;top:7;width:939;height:2" coordorigin="5599,7" coordsize="939,0" path="m5599,7l6538,7e" filled="false" stroked="true" strokeweight=".72pt" strokecolor="#000000">
                <v:path arrowok="t"/>
              </v:shape>
            </v:group>
            <v:group style="position:absolute;left:6580;top:7;width:1218;height:2" coordorigin="6580,7" coordsize="1218,2">
              <v:shape style="position:absolute;left:6580;top:7;width:1218;height:2" coordorigin="6580,7" coordsize="1218,0" path="m6580,7l7798,7e" filled="false" stroked="true" strokeweight=".72pt" strokecolor="#000000">
                <v:path arrowok="t"/>
              </v:shape>
            </v:group>
            <v:group style="position:absolute;left:7798;top:5;width:42;height:2" coordorigin="7798,5" coordsize="42,2">
              <v:shape style="position:absolute;left:7798;top:5;width:42;height:2" coordorigin="7798,5" coordsize="42,0" path="m7798,5l7840,5e" filled="false" stroked="true" strokeweight=".48pt" strokecolor="#000000">
                <v:path arrowok="t"/>
              </v:shape>
            </v:group>
            <v:group style="position:absolute;left:7840;top:7;width:1218;height:2" coordorigin="7840,7" coordsize="1218,2">
              <v:shape style="position:absolute;left:7840;top:7;width:1218;height:2" coordorigin="7840,7" coordsize="1218,0" path="m7840,7l9058,7e" filled="false" stroked="true" strokeweight=".72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8"/>
          <w:szCs w:val="8"/>
        </w:rPr>
      </w:pPr>
    </w:p>
    <w:p>
      <w:pPr>
        <w:spacing w:line="206" w:lineRule="exact" w:before="72"/>
        <w:ind w:left="635" w:right="8126" w:hanging="17"/>
        <w:jc w:val="left"/>
        <w:rPr>
          <w:rFonts w:ascii="宋体" w:hAnsi="宋体" w:cs="宋体" w:eastAsia="宋体" w:hint="default"/>
          <w:sz w:val="16"/>
          <w:szCs w:val="16"/>
        </w:rPr>
      </w:pPr>
      <w:r>
        <w:rPr>
          <w:rFonts w:ascii="宋体" w:hAnsi="宋体" w:cs="宋体" w:eastAsia="宋体" w:hint="default"/>
          <w:sz w:val="16"/>
          <w:szCs w:val="16"/>
        </w:rPr>
        <w:t>持续经营业务</w:t>
      </w:r>
      <w:r>
        <w:rPr>
          <w:rFonts w:ascii="宋体" w:hAnsi="宋体" w:cs="宋体" w:eastAsia="宋体" w:hint="default"/>
          <w:w w:val="99"/>
          <w:sz w:val="16"/>
          <w:szCs w:val="16"/>
        </w:rPr>
        <w:t> </w:t>
      </w:r>
      <w:r>
        <w:rPr>
          <w:rFonts w:ascii="宋体" w:hAnsi="宋体" w:cs="宋体" w:eastAsia="宋体" w:hint="default"/>
          <w:sz w:val="16"/>
          <w:szCs w:val="16"/>
        </w:rPr>
        <w:t>收入项目：</w:t>
      </w:r>
    </w:p>
    <w:tbl>
      <w:tblPr>
        <w:tblW w:w="0" w:type="auto"/>
        <w:jc w:val="left"/>
        <w:tblInd w:w="767" w:type="dxa"/>
        <w:tblLayout w:type="fixed"/>
        <w:tblCellMar>
          <w:top w:w="0" w:type="dxa"/>
          <w:left w:w="0" w:type="dxa"/>
          <w:bottom w:w="0" w:type="dxa"/>
          <w:right w:w="0" w:type="dxa"/>
        </w:tblCellMar>
        <w:tblLook w:val="01E0"/>
      </w:tblPr>
      <w:tblGrid>
        <w:gridCol w:w="2316"/>
        <w:gridCol w:w="1045"/>
        <w:gridCol w:w="1946"/>
        <w:gridCol w:w="1107"/>
        <w:gridCol w:w="1295"/>
        <w:gridCol w:w="1095"/>
      </w:tblGrid>
      <w:tr>
        <w:trPr>
          <w:trHeight w:val="217" w:hRule="exact"/>
        </w:trPr>
        <w:tc>
          <w:tcPr>
            <w:tcW w:w="2316" w:type="dxa"/>
            <w:tcBorders>
              <w:top w:val="nil" w:sz="6" w:space="0" w:color="auto"/>
              <w:left w:val="nil" w:sz="6" w:space="0" w:color="auto"/>
              <w:bottom w:val="nil" w:sz="6" w:space="0" w:color="auto"/>
              <w:right w:val="nil" w:sz="6" w:space="0" w:color="auto"/>
            </w:tcBorders>
          </w:tcPr>
          <w:p>
            <w:pPr>
              <w:pStyle w:val="TableParagraph"/>
              <w:spacing w:line="183" w:lineRule="exact"/>
              <w:ind w:left="35" w:right="0"/>
              <w:jc w:val="left"/>
              <w:rPr>
                <w:rFonts w:ascii="宋体" w:hAnsi="宋体" w:cs="宋体" w:eastAsia="宋体" w:hint="default"/>
                <w:sz w:val="16"/>
                <w:szCs w:val="16"/>
              </w:rPr>
            </w:pPr>
            <w:r>
              <w:rPr>
                <w:rFonts w:ascii="宋体" w:hAnsi="宋体" w:cs="宋体" w:eastAsia="宋体" w:hint="default"/>
                <w:sz w:val="16"/>
                <w:szCs w:val="16"/>
              </w:rPr>
              <w:t>获得联通集团共享服务收入</w:t>
            </w:r>
          </w:p>
        </w:tc>
        <w:tc>
          <w:tcPr>
            <w:tcW w:w="1045" w:type="dxa"/>
            <w:tcBorders>
              <w:top w:val="nil" w:sz="6" w:space="0" w:color="auto"/>
              <w:left w:val="nil" w:sz="6" w:space="0" w:color="auto"/>
              <w:bottom w:val="nil" w:sz="6" w:space="0" w:color="auto"/>
              <w:right w:val="nil" w:sz="6" w:space="0" w:color="auto"/>
            </w:tcBorders>
          </w:tcPr>
          <w:p>
            <w:pPr>
              <w:pStyle w:val="TableParagraph"/>
              <w:spacing w:line="183" w:lineRule="exact"/>
              <w:ind w:right="42"/>
              <w:jc w:val="right"/>
              <w:rPr>
                <w:rFonts w:ascii="宋体" w:hAnsi="宋体" w:cs="宋体" w:eastAsia="宋体" w:hint="default"/>
                <w:sz w:val="16"/>
                <w:szCs w:val="16"/>
              </w:rPr>
            </w:pPr>
            <w:r>
              <w:rPr>
                <w:rFonts w:ascii="宋体" w:hAnsi="宋体" w:cs="宋体" w:eastAsia="宋体" w:hint="default"/>
                <w:w w:val="95"/>
                <w:sz w:val="16"/>
                <w:szCs w:val="16"/>
              </w:rPr>
              <w:t>提供劳务</w:t>
            </w:r>
            <w:r>
              <w:rPr>
                <w:rFonts w:ascii="宋体" w:hAnsi="宋体" w:cs="宋体" w:eastAsia="宋体" w:hint="default"/>
                <w:sz w:val="16"/>
                <w:szCs w:val="16"/>
              </w:rPr>
            </w:r>
          </w:p>
        </w:tc>
        <w:tc>
          <w:tcPr>
            <w:tcW w:w="1946" w:type="dxa"/>
            <w:tcBorders>
              <w:top w:val="nil" w:sz="6" w:space="0" w:color="auto"/>
              <w:left w:val="nil" w:sz="6" w:space="0" w:color="auto"/>
              <w:bottom w:val="nil" w:sz="6" w:space="0" w:color="auto"/>
              <w:right w:val="nil" w:sz="6" w:space="0" w:color="auto"/>
            </w:tcBorders>
          </w:tcPr>
          <w:p>
            <w:pPr>
              <w:pStyle w:val="TableParagraph"/>
              <w:spacing w:line="183" w:lineRule="exact"/>
              <w:ind w:left="45" w:right="0"/>
              <w:jc w:val="left"/>
              <w:rPr>
                <w:rFonts w:ascii="宋体" w:hAnsi="宋体" w:cs="宋体" w:eastAsia="宋体" w:hint="default"/>
                <w:sz w:val="16"/>
                <w:szCs w:val="16"/>
              </w:rPr>
            </w:pPr>
            <w:r>
              <w:rPr>
                <w:rFonts w:ascii="宋体" w:hAnsi="宋体" w:cs="宋体" w:eastAsia="宋体" w:hint="default"/>
                <w:sz w:val="16"/>
                <w:szCs w:val="16"/>
              </w:rPr>
              <w:t>联通集团及其附属公司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47" w:right="0"/>
              <w:jc w:val="left"/>
              <w:rPr>
                <w:rFonts w:ascii="Arial" w:hAnsi="Arial" w:cs="Arial" w:eastAsia="Arial" w:hint="default"/>
                <w:sz w:val="16"/>
                <w:szCs w:val="16"/>
              </w:rPr>
            </w:pPr>
            <w:r>
              <w:rPr>
                <w:rFonts w:ascii="Arial"/>
                <w:sz w:val="16"/>
              </w:rPr>
              <w:t>(1)(8)</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0"/>
              <w:jc w:val="right"/>
              <w:rPr>
                <w:rFonts w:ascii="Arial" w:hAnsi="Arial" w:cs="Arial" w:eastAsia="Arial" w:hint="default"/>
                <w:sz w:val="16"/>
                <w:szCs w:val="16"/>
              </w:rPr>
            </w:pPr>
            <w:r>
              <w:rPr>
                <w:rFonts w:ascii="Arial"/>
                <w:spacing w:val="-1"/>
                <w:w w:val="95"/>
                <w:sz w:val="16"/>
              </w:rPr>
              <w:t>3,207,382</w:t>
            </w:r>
            <w:r>
              <w:rPr>
                <w:rFonts w:ascii="Arial"/>
                <w:sz w:val="16"/>
              </w:rPr>
            </w:r>
          </w:p>
        </w:tc>
        <w:tc>
          <w:tcPr>
            <w:tcW w:w="109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Arial" w:hAnsi="Arial" w:cs="Arial" w:eastAsia="Arial" w:hint="default"/>
                <w:sz w:val="16"/>
                <w:szCs w:val="16"/>
              </w:rPr>
            </w:pPr>
            <w:r>
              <w:rPr>
                <w:rFonts w:ascii="Arial"/>
                <w:spacing w:val="-1"/>
                <w:w w:val="95"/>
                <w:sz w:val="16"/>
              </w:rPr>
              <w:t>139,667,218</w:t>
            </w:r>
            <w:r>
              <w:rPr>
                <w:rFonts w:ascii="Arial"/>
                <w:sz w:val="16"/>
              </w:rPr>
            </w:r>
          </w:p>
        </w:tc>
      </w:tr>
      <w:tr>
        <w:trPr>
          <w:trHeight w:val="208" w:hRule="exact"/>
        </w:trPr>
        <w:tc>
          <w:tcPr>
            <w:tcW w:w="2316"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6"/>
                <w:szCs w:val="16"/>
              </w:rPr>
            </w:pPr>
            <w:r>
              <w:rPr>
                <w:rFonts w:ascii="宋体" w:hAnsi="宋体" w:cs="宋体" w:eastAsia="宋体" w:hint="default"/>
                <w:sz w:val="16"/>
                <w:szCs w:val="16"/>
              </w:rPr>
              <w:t>租赁物业的租金收入</w:t>
            </w:r>
          </w:p>
        </w:tc>
        <w:tc>
          <w:tcPr>
            <w:tcW w:w="1045" w:type="dxa"/>
            <w:tcBorders>
              <w:top w:val="nil" w:sz="6" w:space="0" w:color="auto"/>
              <w:left w:val="nil" w:sz="6" w:space="0" w:color="auto"/>
              <w:bottom w:val="nil" w:sz="6" w:space="0" w:color="auto"/>
              <w:right w:val="nil" w:sz="6" w:space="0" w:color="auto"/>
            </w:tcBorders>
          </w:tcPr>
          <w:p>
            <w:pPr>
              <w:pStyle w:val="TableParagraph"/>
              <w:spacing w:line="174" w:lineRule="exact"/>
              <w:ind w:right="43"/>
              <w:jc w:val="right"/>
              <w:rPr>
                <w:rFonts w:ascii="宋体" w:hAnsi="宋体" w:cs="宋体" w:eastAsia="宋体" w:hint="default"/>
                <w:sz w:val="16"/>
                <w:szCs w:val="16"/>
              </w:rPr>
            </w:pPr>
            <w:r>
              <w:rPr>
                <w:rFonts w:ascii="宋体" w:hAnsi="宋体" w:cs="宋体" w:eastAsia="宋体" w:hint="default"/>
                <w:w w:val="95"/>
                <w:sz w:val="16"/>
                <w:szCs w:val="16"/>
              </w:rPr>
              <w:t>租赁收入</w:t>
            </w:r>
            <w:r>
              <w:rPr>
                <w:rFonts w:ascii="宋体" w:hAnsi="宋体" w:cs="宋体" w:eastAsia="宋体" w:hint="default"/>
                <w:sz w:val="16"/>
                <w:szCs w:val="16"/>
              </w:rPr>
            </w:r>
          </w:p>
        </w:tc>
        <w:tc>
          <w:tcPr>
            <w:tcW w:w="1946" w:type="dxa"/>
            <w:tcBorders>
              <w:top w:val="nil" w:sz="6" w:space="0" w:color="auto"/>
              <w:left w:val="nil" w:sz="6" w:space="0" w:color="auto"/>
              <w:bottom w:val="nil" w:sz="6" w:space="0" w:color="auto"/>
              <w:right w:val="nil" w:sz="6" w:space="0" w:color="auto"/>
            </w:tcBorders>
          </w:tcPr>
          <w:p>
            <w:pPr>
              <w:pStyle w:val="TableParagraph"/>
              <w:spacing w:line="174" w:lineRule="exact"/>
              <w:ind w:left="45" w:right="0"/>
              <w:jc w:val="left"/>
              <w:rPr>
                <w:rFonts w:ascii="宋体" w:hAnsi="宋体" w:cs="宋体" w:eastAsia="宋体" w:hint="default"/>
                <w:sz w:val="16"/>
                <w:szCs w:val="16"/>
              </w:rPr>
            </w:pPr>
            <w:r>
              <w:rPr>
                <w:rFonts w:ascii="宋体" w:hAnsi="宋体" w:cs="宋体" w:eastAsia="宋体" w:hint="default"/>
                <w:sz w:val="16"/>
                <w:szCs w:val="16"/>
              </w:rPr>
              <w:t>联通集团及其附属公司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47" w:right="0"/>
              <w:jc w:val="left"/>
              <w:rPr>
                <w:rFonts w:ascii="Arial" w:hAnsi="Arial" w:cs="Arial" w:eastAsia="Arial" w:hint="default"/>
                <w:sz w:val="16"/>
                <w:szCs w:val="16"/>
              </w:rPr>
            </w:pPr>
            <w:r>
              <w:rPr>
                <w:rFonts w:ascii="Arial"/>
                <w:sz w:val="16"/>
              </w:rPr>
              <w:t>(1)(6)</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0"/>
              <w:jc w:val="right"/>
              <w:rPr>
                <w:rFonts w:ascii="Arial" w:hAnsi="Arial" w:cs="Arial" w:eastAsia="Arial" w:hint="default"/>
                <w:sz w:val="16"/>
                <w:szCs w:val="16"/>
              </w:rPr>
            </w:pPr>
            <w:r>
              <w:rPr>
                <w:rFonts w:ascii="Arial"/>
                <w:spacing w:val="-1"/>
                <w:w w:val="95"/>
                <w:sz w:val="16"/>
              </w:rPr>
              <w:t>854,783</w:t>
            </w:r>
            <w:r>
              <w:rPr>
                <w:rFonts w:ascii="Arial"/>
                <w:sz w:val="16"/>
              </w:rPr>
            </w:r>
          </w:p>
        </w:tc>
        <w:tc>
          <w:tcPr>
            <w:tcW w:w="109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spacing w:val="-1"/>
                <w:w w:val="95"/>
                <w:sz w:val="16"/>
              </w:rPr>
              <w:t>10,420,636</w:t>
            </w:r>
            <w:r>
              <w:rPr>
                <w:rFonts w:ascii="Arial"/>
                <w:sz w:val="16"/>
              </w:rPr>
            </w:r>
          </w:p>
        </w:tc>
      </w:tr>
      <w:tr>
        <w:trPr>
          <w:trHeight w:val="208" w:hRule="exact"/>
        </w:trPr>
        <w:tc>
          <w:tcPr>
            <w:tcW w:w="2316"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6"/>
                <w:szCs w:val="16"/>
              </w:rPr>
            </w:pPr>
            <w:r>
              <w:rPr>
                <w:rFonts w:ascii="宋体" w:hAnsi="宋体" w:cs="宋体" w:eastAsia="宋体" w:hint="default"/>
                <w:sz w:val="16"/>
                <w:szCs w:val="16"/>
              </w:rPr>
              <w:t>信息通信技术服务收入</w:t>
            </w:r>
          </w:p>
        </w:tc>
        <w:tc>
          <w:tcPr>
            <w:tcW w:w="1045" w:type="dxa"/>
            <w:tcBorders>
              <w:top w:val="nil" w:sz="6" w:space="0" w:color="auto"/>
              <w:left w:val="nil" w:sz="6" w:space="0" w:color="auto"/>
              <w:bottom w:val="nil" w:sz="6" w:space="0" w:color="auto"/>
              <w:right w:val="nil" w:sz="6" w:space="0" w:color="auto"/>
            </w:tcBorders>
          </w:tcPr>
          <w:p>
            <w:pPr>
              <w:pStyle w:val="TableParagraph"/>
              <w:spacing w:line="174" w:lineRule="exact"/>
              <w:ind w:right="43"/>
              <w:jc w:val="right"/>
              <w:rPr>
                <w:rFonts w:ascii="宋体" w:hAnsi="宋体" w:cs="宋体" w:eastAsia="宋体" w:hint="default"/>
                <w:sz w:val="16"/>
                <w:szCs w:val="16"/>
              </w:rPr>
            </w:pPr>
            <w:r>
              <w:rPr>
                <w:rFonts w:ascii="宋体" w:hAnsi="宋体" w:cs="宋体" w:eastAsia="宋体" w:hint="default"/>
                <w:w w:val="95"/>
                <w:sz w:val="16"/>
                <w:szCs w:val="16"/>
              </w:rPr>
              <w:t>提供劳务</w:t>
            </w:r>
            <w:r>
              <w:rPr>
                <w:rFonts w:ascii="宋体" w:hAnsi="宋体" w:cs="宋体" w:eastAsia="宋体" w:hint="default"/>
                <w:sz w:val="16"/>
                <w:szCs w:val="16"/>
              </w:rPr>
            </w:r>
          </w:p>
        </w:tc>
        <w:tc>
          <w:tcPr>
            <w:tcW w:w="1946" w:type="dxa"/>
            <w:tcBorders>
              <w:top w:val="nil" w:sz="6" w:space="0" w:color="auto"/>
              <w:left w:val="nil" w:sz="6" w:space="0" w:color="auto"/>
              <w:bottom w:val="nil" w:sz="6" w:space="0" w:color="auto"/>
              <w:right w:val="nil" w:sz="6" w:space="0" w:color="auto"/>
            </w:tcBorders>
          </w:tcPr>
          <w:p>
            <w:pPr>
              <w:pStyle w:val="TableParagraph"/>
              <w:spacing w:line="174" w:lineRule="exact"/>
              <w:ind w:left="44" w:right="0"/>
              <w:jc w:val="left"/>
              <w:rPr>
                <w:rFonts w:ascii="宋体" w:hAnsi="宋体" w:cs="宋体" w:eastAsia="宋体" w:hint="default"/>
                <w:sz w:val="16"/>
                <w:szCs w:val="16"/>
              </w:rPr>
            </w:pPr>
            <w:r>
              <w:rPr>
                <w:rFonts w:ascii="宋体" w:hAnsi="宋体" w:cs="宋体" w:eastAsia="宋体" w:hint="default"/>
                <w:sz w:val="16"/>
                <w:szCs w:val="16"/>
              </w:rPr>
              <w:t>联通集团及其附属公司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02" w:right="0"/>
              <w:jc w:val="left"/>
              <w:rPr>
                <w:rFonts w:ascii="Arial" w:hAnsi="Arial" w:cs="Arial" w:eastAsia="Arial" w:hint="default"/>
                <w:sz w:val="16"/>
                <w:szCs w:val="16"/>
              </w:rPr>
            </w:pPr>
            <w:r>
              <w:rPr>
                <w:rFonts w:ascii="Arial"/>
                <w:sz w:val="16"/>
              </w:rPr>
              <w:t>(1)(10)</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0"/>
              <w:jc w:val="right"/>
              <w:rPr>
                <w:rFonts w:ascii="Arial" w:hAnsi="Arial" w:cs="Arial" w:eastAsia="Arial" w:hint="default"/>
                <w:sz w:val="16"/>
                <w:szCs w:val="16"/>
              </w:rPr>
            </w:pPr>
            <w:r>
              <w:rPr>
                <w:rFonts w:ascii="Arial"/>
                <w:spacing w:val="-1"/>
                <w:w w:val="95"/>
                <w:sz w:val="16"/>
              </w:rPr>
              <w:t>70,449,348</w:t>
            </w:r>
            <w:r>
              <w:rPr>
                <w:rFonts w:ascii="Arial"/>
                <w:sz w:val="16"/>
              </w:rPr>
            </w:r>
          </w:p>
        </w:tc>
        <w:tc>
          <w:tcPr>
            <w:tcW w:w="109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spacing w:val="-1"/>
                <w:w w:val="95"/>
                <w:sz w:val="16"/>
              </w:rPr>
              <w:t>117,933,263</w:t>
            </w:r>
            <w:r>
              <w:rPr>
                <w:rFonts w:ascii="Arial"/>
                <w:sz w:val="16"/>
              </w:rPr>
            </w:r>
          </w:p>
        </w:tc>
      </w:tr>
      <w:tr>
        <w:trPr>
          <w:trHeight w:val="208" w:hRule="exact"/>
        </w:trPr>
        <w:tc>
          <w:tcPr>
            <w:tcW w:w="2316"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6"/>
                <w:szCs w:val="16"/>
              </w:rPr>
            </w:pPr>
            <w:r>
              <w:rPr>
                <w:rFonts w:ascii="宋体" w:hAnsi="宋体" w:cs="宋体" w:eastAsia="宋体" w:hint="default"/>
                <w:sz w:val="16"/>
                <w:szCs w:val="16"/>
              </w:rPr>
              <w:t>提供工程设计服务收入</w:t>
            </w:r>
          </w:p>
        </w:tc>
        <w:tc>
          <w:tcPr>
            <w:tcW w:w="1045" w:type="dxa"/>
            <w:tcBorders>
              <w:top w:val="nil" w:sz="6" w:space="0" w:color="auto"/>
              <w:left w:val="nil" w:sz="6" w:space="0" w:color="auto"/>
              <w:bottom w:val="nil" w:sz="6" w:space="0" w:color="auto"/>
              <w:right w:val="nil" w:sz="6" w:space="0" w:color="auto"/>
            </w:tcBorders>
          </w:tcPr>
          <w:p>
            <w:pPr>
              <w:pStyle w:val="TableParagraph"/>
              <w:spacing w:line="174" w:lineRule="exact"/>
              <w:ind w:right="43"/>
              <w:jc w:val="right"/>
              <w:rPr>
                <w:rFonts w:ascii="宋体" w:hAnsi="宋体" w:cs="宋体" w:eastAsia="宋体" w:hint="default"/>
                <w:sz w:val="16"/>
                <w:szCs w:val="16"/>
              </w:rPr>
            </w:pPr>
            <w:r>
              <w:rPr>
                <w:rFonts w:ascii="宋体" w:hAnsi="宋体" w:cs="宋体" w:eastAsia="宋体" w:hint="default"/>
                <w:w w:val="95"/>
                <w:sz w:val="16"/>
                <w:szCs w:val="16"/>
              </w:rPr>
              <w:t>提供劳务</w:t>
            </w:r>
            <w:r>
              <w:rPr>
                <w:rFonts w:ascii="宋体" w:hAnsi="宋体" w:cs="宋体" w:eastAsia="宋体" w:hint="default"/>
                <w:sz w:val="16"/>
                <w:szCs w:val="16"/>
              </w:rPr>
            </w:r>
          </w:p>
        </w:tc>
        <w:tc>
          <w:tcPr>
            <w:tcW w:w="1946" w:type="dxa"/>
            <w:tcBorders>
              <w:top w:val="nil" w:sz="6" w:space="0" w:color="auto"/>
              <w:left w:val="nil" w:sz="6" w:space="0" w:color="auto"/>
              <w:bottom w:val="nil" w:sz="6" w:space="0" w:color="auto"/>
              <w:right w:val="nil" w:sz="6" w:space="0" w:color="auto"/>
            </w:tcBorders>
          </w:tcPr>
          <w:p>
            <w:pPr>
              <w:pStyle w:val="TableParagraph"/>
              <w:spacing w:line="174" w:lineRule="exact"/>
              <w:ind w:left="44" w:right="0"/>
              <w:jc w:val="left"/>
              <w:rPr>
                <w:rFonts w:ascii="宋体" w:hAnsi="宋体" w:cs="宋体" w:eastAsia="宋体" w:hint="default"/>
                <w:sz w:val="16"/>
                <w:szCs w:val="16"/>
              </w:rPr>
            </w:pPr>
            <w:r>
              <w:rPr>
                <w:rFonts w:ascii="宋体" w:hAnsi="宋体" w:cs="宋体" w:eastAsia="宋体" w:hint="default"/>
                <w:sz w:val="16"/>
                <w:szCs w:val="16"/>
              </w:rPr>
              <w:t>联通新时空</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00" w:right="0"/>
              <w:jc w:val="left"/>
              <w:rPr>
                <w:rFonts w:ascii="Arial" w:hAnsi="Arial" w:cs="Arial" w:eastAsia="Arial" w:hint="default"/>
                <w:sz w:val="16"/>
                <w:szCs w:val="16"/>
              </w:rPr>
            </w:pPr>
            <w:r>
              <w:rPr>
                <w:rFonts w:ascii="Arial"/>
                <w:sz w:val="16"/>
              </w:rPr>
              <w:t>(14)</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0"/>
              <w:jc w:val="right"/>
              <w:rPr>
                <w:rFonts w:ascii="Arial" w:hAnsi="Arial" w:cs="Arial" w:eastAsia="Arial" w:hint="default"/>
                <w:sz w:val="16"/>
                <w:szCs w:val="16"/>
              </w:rPr>
            </w:pPr>
            <w:r>
              <w:rPr>
                <w:rFonts w:ascii="Arial"/>
                <w:w w:val="95"/>
                <w:sz w:val="16"/>
              </w:rPr>
              <w:t>13,429,213</w:t>
            </w:r>
            <w:r>
              <w:rPr>
                <w:rFonts w:ascii="Arial"/>
                <w:sz w:val="16"/>
              </w:rPr>
            </w:r>
          </w:p>
        </w:tc>
        <w:tc>
          <w:tcPr>
            <w:tcW w:w="109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w w:val="95"/>
                <w:sz w:val="16"/>
              </w:rPr>
              <w:t>36,565,165</w:t>
            </w:r>
            <w:r>
              <w:rPr>
                <w:rFonts w:ascii="Arial"/>
                <w:sz w:val="16"/>
              </w:rPr>
            </w:r>
          </w:p>
        </w:tc>
      </w:tr>
      <w:tr>
        <w:trPr>
          <w:trHeight w:val="197" w:hRule="exact"/>
        </w:trPr>
        <w:tc>
          <w:tcPr>
            <w:tcW w:w="2316" w:type="dxa"/>
            <w:tcBorders>
              <w:top w:val="nil" w:sz="6" w:space="0" w:color="auto"/>
              <w:left w:val="nil" w:sz="6" w:space="0" w:color="auto"/>
              <w:bottom w:val="nil" w:sz="6" w:space="0" w:color="auto"/>
              <w:right w:val="nil" w:sz="6" w:space="0" w:color="auto"/>
            </w:tcBorders>
          </w:tcPr>
          <w:p>
            <w:pPr/>
          </w:p>
        </w:tc>
        <w:tc>
          <w:tcPr>
            <w:tcW w:w="1045" w:type="dxa"/>
            <w:tcBorders>
              <w:top w:val="nil" w:sz="6" w:space="0" w:color="auto"/>
              <w:left w:val="nil" w:sz="6" w:space="0" w:color="auto"/>
              <w:bottom w:val="nil" w:sz="6" w:space="0" w:color="auto"/>
              <w:right w:val="nil" w:sz="6" w:space="0" w:color="auto"/>
            </w:tcBorders>
          </w:tcPr>
          <w:p>
            <w:pPr>
              <w:pStyle w:val="TableParagraph"/>
              <w:spacing w:line="174" w:lineRule="exact"/>
              <w:ind w:right="43"/>
              <w:jc w:val="right"/>
              <w:rPr>
                <w:rFonts w:ascii="宋体" w:hAnsi="宋体" w:cs="宋体" w:eastAsia="宋体" w:hint="default"/>
                <w:sz w:val="16"/>
                <w:szCs w:val="16"/>
              </w:rPr>
            </w:pPr>
            <w:r>
              <w:rPr>
                <w:rFonts w:ascii="宋体" w:hAnsi="宋体" w:cs="宋体" w:eastAsia="宋体" w:hint="default"/>
                <w:w w:val="95"/>
                <w:sz w:val="16"/>
                <w:szCs w:val="16"/>
              </w:rPr>
              <w:t>提供劳务</w:t>
            </w:r>
            <w:r>
              <w:rPr>
                <w:rFonts w:ascii="宋体" w:hAnsi="宋体" w:cs="宋体" w:eastAsia="宋体" w:hint="default"/>
                <w:sz w:val="16"/>
                <w:szCs w:val="16"/>
              </w:rPr>
            </w:r>
          </w:p>
        </w:tc>
        <w:tc>
          <w:tcPr>
            <w:tcW w:w="1946" w:type="dxa"/>
            <w:tcBorders>
              <w:top w:val="nil" w:sz="6" w:space="0" w:color="auto"/>
              <w:left w:val="nil" w:sz="6" w:space="0" w:color="auto"/>
              <w:bottom w:val="nil" w:sz="6" w:space="0" w:color="auto"/>
              <w:right w:val="nil" w:sz="6" w:space="0" w:color="auto"/>
            </w:tcBorders>
          </w:tcPr>
          <w:p>
            <w:pPr>
              <w:pStyle w:val="TableParagraph"/>
              <w:spacing w:line="174" w:lineRule="exact"/>
              <w:ind w:left="45" w:right="0"/>
              <w:jc w:val="left"/>
              <w:rPr>
                <w:rFonts w:ascii="宋体" w:hAnsi="宋体" w:cs="宋体" w:eastAsia="宋体" w:hint="default"/>
                <w:sz w:val="16"/>
                <w:szCs w:val="16"/>
              </w:rPr>
            </w:pPr>
            <w:r>
              <w:rPr>
                <w:rFonts w:ascii="宋体" w:hAnsi="宋体" w:cs="宋体" w:eastAsia="宋体" w:hint="default"/>
                <w:sz w:val="16"/>
                <w:szCs w:val="16"/>
              </w:rPr>
              <w:t>联通集团及其附属公司</w:t>
            </w:r>
          </w:p>
        </w:tc>
        <w:tc>
          <w:tcPr>
            <w:tcW w:w="1107" w:type="dxa"/>
            <w:tcBorders>
              <w:top w:val="nil" w:sz="6" w:space="0" w:color="auto"/>
              <w:left w:val="nil" w:sz="6" w:space="0" w:color="auto"/>
              <w:bottom w:val="nil" w:sz="6" w:space="0" w:color="auto"/>
              <w:right w:val="nil" w:sz="6" w:space="0" w:color="auto"/>
            </w:tcBorders>
          </w:tcPr>
          <w:p>
            <w:pPr>
              <w:pStyle w:val="TableParagraph"/>
              <w:spacing w:line="240" w:lineRule="auto" w:before="13"/>
              <w:ind w:left="400" w:right="0"/>
              <w:jc w:val="left"/>
              <w:rPr>
                <w:rFonts w:ascii="Arial" w:hAnsi="Arial" w:cs="Arial" w:eastAsia="Arial" w:hint="default"/>
                <w:sz w:val="16"/>
                <w:szCs w:val="16"/>
              </w:rPr>
            </w:pPr>
            <w:r>
              <w:rPr>
                <w:rFonts w:ascii="Arial"/>
                <w:sz w:val="16"/>
              </w:rPr>
              <w:t>(14)</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70"/>
              <w:jc w:val="right"/>
              <w:rPr>
                <w:rFonts w:ascii="Arial" w:hAnsi="Arial" w:cs="Arial" w:eastAsia="Arial" w:hint="default"/>
                <w:sz w:val="16"/>
                <w:szCs w:val="16"/>
              </w:rPr>
            </w:pPr>
            <w:r>
              <w:rPr>
                <w:rFonts w:ascii="Arial"/>
                <w:w w:val="95"/>
                <w:sz w:val="16"/>
              </w:rPr>
              <w:t>1,677,734</w:t>
            </w:r>
            <w:r>
              <w:rPr>
                <w:rFonts w:ascii="Arial"/>
                <w:sz w:val="16"/>
              </w:rPr>
            </w:r>
          </w:p>
        </w:tc>
        <w:tc>
          <w:tcPr>
            <w:tcW w:w="109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w w:val="95"/>
                <w:sz w:val="16"/>
              </w:rPr>
              <w:t>3,238,916</w:t>
            </w:r>
            <w:r>
              <w:rPr>
                <w:rFonts w:ascii="Arial"/>
                <w:sz w:val="16"/>
              </w:rPr>
            </w:r>
          </w:p>
        </w:tc>
      </w:tr>
    </w:tbl>
    <w:p>
      <w:pPr>
        <w:spacing w:line="208" w:lineRule="exact" w:before="0"/>
        <w:ind w:left="803" w:right="6341" w:hanging="185"/>
        <w:jc w:val="left"/>
        <w:rPr>
          <w:rFonts w:ascii="宋体" w:hAnsi="宋体" w:cs="宋体" w:eastAsia="宋体" w:hint="default"/>
          <w:sz w:val="16"/>
          <w:szCs w:val="16"/>
        </w:rPr>
      </w:pPr>
      <w:r>
        <w:rPr>
          <w:rFonts w:ascii="宋体" w:hAnsi="宋体" w:cs="宋体" w:eastAsia="宋体" w:hint="default"/>
          <w:sz w:val="16"/>
          <w:szCs w:val="16"/>
        </w:rPr>
        <w:t>支出项目：</w:t>
      </w:r>
      <w:r>
        <w:rPr>
          <w:rFonts w:ascii="宋体" w:hAnsi="宋体" w:cs="宋体" w:eastAsia="宋体" w:hint="default"/>
          <w:w w:val="99"/>
          <w:sz w:val="16"/>
          <w:szCs w:val="16"/>
        </w:rPr>
        <w:t> </w:t>
      </w:r>
      <w:r>
        <w:rPr>
          <w:rFonts w:ascii="宋体" w:hAnsi="宋体" w:cs="宋体" w:eastAsia="宋体" w:hint="default"/>
          <w:sz w:val="16"/>
          <w:szCs w:val="16"/>
        </w:rPr>
        <w:t>支出联通新时空南方固定电信网络租</w:t>
      </w:r>
    </w:p>
    <w:tbl>
      <w:tblPr>
        <w:tblW w:w="0" w:type="auto"/>
        <w:jc w:val="left"/>
        <w:tblInd w:w="767" w:type="dxa"/>
        <w:tblLayout w:type="fixed"/>
        <w:tblCellMar>
          <w:top w:w="0" w:type="dxa"/>
          <w:left w:w="0" w:type="dxa"/>
          <w:bottom w:w="0" w:type="dxa"/>
          <w:right w:w="0" w:type="dxa"/>
        </w:tblCellMar>
        <w:tblLook w:val="01E0"/>
      </w:tblPr>
      <w:tblGrid>
        <w:gridCol w:w="2556"/>
        <w:gridCol w:w="806"/>
        <w:gridCol w:w="1947"/>
        <w:gridCol w:w="996"/>
        <w:gridCol w:w="1339"/>
        <w:gridCol w:w="1162"/>
      </w:tblGrid>
      <w:tr>
        <w:trPr>
          <w:trHeight w:val="217"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183" w:lineRule="exact"/>
              <w:ind w:left="216" w:right="0"/>
              <w:jc w:val="left"/>
              <w:rPr>
                <w:rFonts w:ascii="宋体" w:hAnsi="宋体" w:cs="宋体" w:eastAsia="宋体" w:hint="default"/>
                <w:sz w:val="16"/>
                <w:szCs w:val="16"/>
              </w:rPr>
            </w:pPr>
            <w:r>
              <w:rPr>
                <w:rFonts w:ascii="宋体" w:hAnsi="宋体" w:cs="宋体" w:eastAsia="宋体" w:hint="default"/>
                <w:sz w:val="16"/>
                <w:szCs w:val="16"/>
              </w:rPr>
              <w:t>赁费</w:t>
            </w:r>
          </w:p>
        </w:tc>
        <w:tc>
          <w:tcPr>
            <w:tcW w:w="806" w:type="dxa"/>
            <w:tcBorders>
              <w:top w:val="nil" w:sz="6" w:space="0" w:color="auto"/>
              <w:left w:val="nil" w:sz="6" w:space="0" w:color="auto"/>
              <w:bottom w:val="nil" w:sz="6" w:space="0" w:color="auto"/>
              <w:right w:val="nil" w:sz="6" w:space="0" w:color="auto"/>
            </w:tcBorders>
          </w:tcPr>
          <w:p>
            <w:pPr>
              <w:pStyle w:val="TableParagraph"/>
              <w:spacing w:line="183" w:lineRule="exact"/>
              <w:ind w:left="77" w:right="0"/>
              <w:jc w:val="center"/>
              <w:rPr>
                <w:rFonts w:ascii="宋体" w:hAnsi="宋体" w:cs="宋体" w:eastAsia="宋体" w:hint="default"/>
                <w:sz w:val="16"/>
                <w:szCs w:val="16"/>
              </w:rPr>
            </w:pPr>
            <w:r>
              <w:rPr>
                <w:rFonts w:ascii="宋体" w:hAnsi="宋体" w:cs="宋体" w:eastAsia="宋体" w:hint="default"/>
                <w:sz w:val="16"/>
                <w:szCs w:val="16"/>
              </w:rPr>
              <w:t>租赁支出</w:t>
            </w:r>
          </w:p>
        </w:tc>
        <w:tc>
          <w:tcPr>
            <w:tcW w:w="1947" w:type="dxa"/>
            <w:tcBorders>
              <w:top w:val="nil" w:sz="6" w:space="0" w:color="auto"/>
              <w:left w:val="nil" w:sz="6" w:space="0" w:color="auto"/>
              <w:bottom w:val="nil" w:sz="6" w:space="0" w:color="auto"/>
              <w:right w:val="nil" w:sz="6" w:space="0" w:color="auto"/>
            </w:tcBorders>
          </w:tcPr>
          <w:p>
            <w:pPr>
              <w:pStyle w:val="TableParagraph"/>
              <w:spacing w:line="183" w:lineRule="exact"/>
              <w:ind w:left="45" w:right="0"/>
              <w:jc w:val="left"/>
              <w:rPr>
                <w:rFonts w:ascii="宋体" w:hAnsi="宋体" w:cs="宋体" w:eastAsia="宋体" w:hint="default"/>
                <w:sz w:val="16"/>
                <w:szCs w:val="16"/>
              </w:rPr>
            </w:pPr>
            <w:r>
              <w:rPr>
                <w:rFonts w:ascii="宋体" w:hAnsi="宋体" w:cs="宋体" w:eastAsia="宋体" w:hint="default"/>
                <w:sz w:val="16"/>
                <w:szCs w:val="16"/>
              </w:rPr>
              <w:t>联通新时空</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55"/>
              <w:jc w:val="right"/>
              <w:rPr>
                <w:rFonts w:ascii="Arial" w:hAnsi="Arial" w:cs="Arial" w:eastAsia="Arial" w:hint="default"/>
                <w:sz w:val="16"/>
                <w:szCs w:val="16"/>
              </w:rPr>
            </w:pPr>
            <w:r>
              <w:rPr>
                <w:rFonts w:ascii="Arial"/>
                <w:spacing w:val="-1"/>
                <w:sz w:val="16"/>
              </w:rPr>
              <w:t>(1)(2)</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3"/>
              <w:jc w:val="right"/>
              <w:rPr>
                <w:rFonts w:ascii="Arial" w:hAnsi="Arial" w:cs="Arial" w:eastAsia="Arial" w:hint="default"/>
                <w:sz w:val="16"/>
                <w:szCs w:val="16"/>
              </w:rPr>
            </w:pPr>
            <w:r>
              <w:rPr>
                <w:rFonts w:ascii="Arial"/>
                <w:spacing w:val="-1"/>
                <w:sz w:val="16"/>
              </w:rPr>
              <w:t>2,000,000,000</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Arial" w:hAnsi="Arial" w:cs="Arial" w:eastAsia="Arial" w:hint="default"/>
                <w:sz w:val="16"/>
                <w:szCs w:val="16"/>
              </w:rPr>
            </w:pPr>
            <w:r>
              <w:rPr>
                <w:rFonts w:ascii="Arial"/>
                <w:w w:val="99"/>
                <w:sz w:val="16"/>
              </w:rPr>
              <w:t>-</w:t>
            </w:r>
            <w:r>
              <w:rPr>
                <w:rFonts w:ascii="Arial"/>
                <w:sz w:val="16"/>
              </w:rPr>
            </w:r>
          </w:p>
        </w:tc>
      </w:tr>
      <w:tr>
        <w:trPr>
          <w:trHeight w:val="208"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6"/>
                <w:szCs w:val="16"/>
              </w:rPr>
            </w:pPr>
            <w:r>
              <w:rPr>
                <w:rFonts w:ascii="宋体" w:hAnsi="宋体" w:cs="宋体" w:eastAsia="宋体" w:hint="default"/>
                <w:sz w:val="16"/>
                <w:szCs w:val="16"/>
              </w:rPr>
              <w:t>支付移动增值服务支出</w:t>
            </w:r>
          </w:p>
        </w:tc>
        <w:tc>
          <w:tcPr>
            <w:tcW w:w="806" w:type="dxa"/>
            <w:tcBorders>
              <w:top w:val="nil" w:sz="6" w:space="0" w:color="auto"/>
              <w:left w:val="nil" w:sz="6" w:space="0" w:color="auto"/>
              <w:bottom w:val="nil" w:sz="6" w:space="0" w:color="auto"/>
              <w:right w:val="nil" w:sz="6" w:space="0" w:color="auto"/>
            </w:tcBorders>
          </w:tcPr>
          <w:p>
            <w:pPr>
              <w:pStyle w:val="TableParagraph"/>
              <w:spacing w:line="174" w:lineRule="exact"/>
              <w:ind w:left="77" w:right="0"/>
              <w:jc w:val="center"/>
              <w:rPr>
                <w:rFonts w:ascii="宋体" w:hAnsi="宋体" w:cs="宋体" w:eastAsia="宋体" w:hint="default"/>
                <w:sz w:val="16"/>
                <w:szCs w:val="16"/>
              </w:rPr>
            </w:pPr>
            <w:r>
              <w:rPr>
                <w:rFonts w:ascii="宋体" w:hAnsi="宋体" w:cs="宋体" w:eastAsia="宋体" w:hint="default"/>
                <w:sz w:val="16"/>
                <w:szCs w:val="16"/>
              </w:rPr>
              <w:t>接受劳务</w:t>
            </w:r>
          </w:p>
        </w:tc>
        <w:tc>
          <w:tcPr>
            <w:tcW w:w="1947" w:type="dxa"/>
            <w:tcBorders>
              <w:top w:val="nil" w:sz="6" w:space="0" w:color="auto"/>
              <w:left w:val="nil" w:sz="6" w:space="0" w:color="auto"/>
              <w:bottom w:val="nil" w:sz="6" w:space="0" w:color="auto"/>
              <w:right w:val="nil" w:sz="6" w:space="0" w:color="auto"/>
            </w:tcBorders>
          </w:tcPr>
          <w:p>
            <w:pPr>
              <w:pStyle w:val="TableParagraph"/>
              <w:spacing w:line="174" w:lineRule="exact"/>
              <w:ind w:left="45" w:right="0"/>
              <w:jc w:val="left"/>
              <w:rPr>
                <w:rFonts w:ascii="宋体" w:hAnsi="宋体" w:cs="宋体" w:eastAsia="宋体" w:hint="default"/>
                <w:sz w:val="16"/>
                <w:szCs w:val="16"/>
              </w:rPr>
            </w:pPr>
            <w:r>
              <w:rPr>
                <w:rFonts w:ascii="宋体" w:hAnsi="宋体" w:cs="宋体" w:eastAsia="宋体" w:hint="default"/>
                <w:sz w:val="16"/>
                <w:szCs w:val="16"/>
              </w:rPr>
              <w:t>联通新时讯</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5"/>
              <w:jc w:val="right"/>
              <w:rPr>
                <w:rFonts w:ascii="Arial" w:hAnsi="Arial" w:cs="Arial" w:eastAsia="Arial" w:hint="default"/>
                <w:sz w:val="16"/>
                <w:szCs w:val="16"/>
              </w:rPr>
            </w:pPr>
            <w:r>
              <w:rPr>
                <w:rFonts w:ascii="Arial"/>
                <w:spacing w:val="-1"/>
                <w:sz w:val="16"/>
              </w:rPr>
              <w:t>(1)(4)</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2"/>
              <w:jc w:val="right"/>
              <w:rPr>
                <w:rFonts w:ascii="Arial" w:hAnsi="Arial" w:cs="Arial" w:eastAsia="Arial" w:hint="default"/>
                <w:sz w:val="16"/>
                <w:szCs w:val="16"/>
              </w:rPr>
            </w:pPr>
            <w:r>
              <w:rPr>
                <w:rFonts w:ascii="Arial"/>
                <w:spacing w:val="-1"/>
                <w:w w:val="95"/>
                <w:sz w:val="16"/>
              </w:rPr>
              <w:t>98,020,193</w:t>
            </w:r>
            <w:r>
              <w:rPr>
                <w:rFonts w:ascii="Arial"/>
                <w:sz w:val="16"/>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spacing w:val="-1"/>
                <w:w w:val="95"/>
                <w:sz w:val="16"/>
              </w:rPr>
              <w:t>125,825,475</w:t>
            </w:r>
            <w:r>
              <w:rPr>
                <w:rFonts w:ascii="Arial"/>
                <w:sz w:val="16"/>
              </w:rPr>
            </w:r>
          </w:p>
        </w:tc>
      </w:tr>
      <w:tr>
        <w:trPr>
          <w:trHeight w:val="208" w:hRule="exact"/>
        </w:trPr>
        <w:tc>
          <w:tcPr>
            <w:tcW w:w="2556" w:type="dxa"/>
            <w:tcBorders>
              <w:top w:val="nil" w:sz="6" w:space="0" w:color="auto"/>
              <w:left w:val="nil" w:sz="6" w:space="0" w:color="auto"/>
              <w:bottom w:val="nil" w:sz="6" w:space="0" w:color="auto"/>
              <w:right w:val="nil" w:sz="6" w:space="0" w:color="auto"/>
            </w:tcBorders>
          </w:tcPr>
          <w:p>
            <w:pPr/>
          </w:p>
        </w:tc>
        <w:tc>
          <w:tcPr>
            <w:tcW w:w="806" w:type="dxa"/>
            <w:tcBorders>
              <w:top w:val="nil" w:sz="6" w:space="0" w:color="auto"/>
              <w:left w:val="nil" w:sz="6" w:space="0" w:color="auto"/>
              <w:bottom w:val="nil" w:sz="6" w:space="0" w:color="auto"/>
              <w:right w:val="nil" w:sz="6" w:space="0" w:color="auto"/>
            </w:tcBorders>
          </w:tcPr>
          <w:p>
            <w:pPr>
              <w:pStyle w:val="TableParagraph"/>
              <w:spacing w:line="174" w:lineRule="exact"/>
              <w:ind w:left="77" w:right="0"/>
              <w:jc w:val="center"/>
              <w:rPr>
                <w:rFonts w:ascii="宋体" w:hAnsi="宋体" w:cs="宋体" w:eastAsia="宋体" w:hint="default"/>
                <w:sz w:val="16"/>
                <w:szCs w:val="16"/>
              </w:rPr>
            </w:pPr>
            <w:r>
              <w:rPr>
                <w:rFonts w:ascii="宋体" w:hAnsi="宋体" w:cs="宋体" w:eastAsia="宋体" w:hint="default"/>
                <w:sz w:val="16"/>
                <w:szCs w:val="16"/>
              </w:rPr>
              <w:t>接受劳务</w:t>
            </w:r>
          </w:p>
        </w:tc>
        <w:tc>
          <w:tcPr>
            <w:tcW w:w="1947" w:type="dxa"/>
            <w:tcBorders>
              <w:top w:val="nil" w:sz="6" w:space="0" w:color="auto"/>
              <w:left w:val="nil" w:sz="6" w:space="0" w:color="auto"/>
              <w:bottom w:val="nil" w:sz="6" w:space="0" w:color="auto"/>
              <w:right w:val="nil" w:sz="6" w:space="0" w:color="auto"/>
            </w:tcBorders>
          </w:tcPr>
          <w:p>
            <w:pPr>
              <w:pStyle w:val="TableParagraph"/>
              <w:spacing w:line="174" w:lineRule="exact"/>
              <w:ind w:left="45" w:right="0"/>
              <w:jc w:val="left"/>
              <w:rPr>
                <w:rFonts w:ascii="宋体" w:hAnsi="宋体" w:cs="宋体" w:eastAsia="宋体" w:hint="default"/>
                <w:sz w:val="16"/>
                <w:szCs w:val="16"/>
              </w:rPr>
            </w:pPr>
            <w:r>
              <w:rPr>
                <w:rFonts w:ascii="宋体" w:hAnsi="宋体" w:cs="宋体" w:eastAsia="宋体" w:hint="default"/>
                <w:sz w:val="16"/>
                <w:szCs w:val="16"/>
              </w:rPr>
              <w:t>联通时科</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5"/>
              <w:jc w:val="right"/>
              <w:rPr>
                <w:rFonts w:ascii="Arial" w:hAnsi="Arial" w:cs="Arial" w:eastAsia="Arial" w:hint="default"/>
                <w:sz w:val="16"/>
                <w:szCs w:val="16"/>
              </w:rPr>
            </w:pPr>
            <w:r>
              <w:rPr>
                <w:rFonts w:ascii="Arial"/>
                <w:spacing w:val="-1"/>
                <w:sz w:val="16"/>
              </w:rPr>
              <w:t>(1)(4)</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Arial" w:hAnsi="Arial" w:cs="Arial" w:eastAsia="Arial" w:hint="default"/>
                <w:sz w:val="16"/>
                <w:szCs w:val="16"/>
              </w:rPr>
            </w:pPr>
            <w:r>
              <w:rPr>
                <w:rFonts w:ascii="Arial"/>
                <w:spacing w:val="-1"/>
                <w:w w:val="95"/>
                <w:sz w:val="16"/>
              </w:rPr>
              <w:t>24,389,638</w:t>
            </w:r>
            <w:r>
              <w:rPr>
                <w:rFonts w:ascii="Arial"/>
                <w:sz w:val="16"/>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spacing w:val="-1"/>
                <w:w w:val="95"/>
                <w:sz w:val="16"/>
              </w:rPr>
              <w:t>27,476,384</w:t>
            </w:r>
            <w:r>
              <w:rPr>
                <w:rFonts w:ascii="Arial"/>
                <w:sz w:val="16"/>
              </w:rPr>
            </w:r>
          </w:p>
        </w:tc>
      </w:tr>
      <w:tr>
        <w:trPr>
          <w:trHeight w:val="207"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6"/>
                <w:szCs w:val="16"/>
              </w:rPr>
            </w:pPr>
            <w:r>
              <w:rPr>
                <w:rFonts w:ascii="宋体" w:hAnsi="宋体" w:cs="宋体" w:eastAsia="宋体" w:hint="default"/>
                <w:sz w:val="16"/>
                <w:szCs w:val="16"/>
              </w:rPr>
              <w:t>支付联通集团国际出入口局服务费</w:t>
            </w:r>
          </w:p>
        </w:tc>
        <w:tc>
          <w:tcPr>
            <w:tcW w:w="806" w:type="dxa"/>
            <w:tcBorders>
              <w:top w:val="nil" w:sz="6" w:space="0" w:color="auto"/>
              <w:left w:val="nil" w:sz="6" w:space="0" w:color="auto"/>
              <w:bottom w:val="nil" w:sz="6" w:space="0" w:color="auto"/>
              <w:right w:val="nil" w:sz="6" w:space="0" w:color="auto"/>
            </w:tcBorders>
          </w:tcPr>
          <w:p>
            <w:pPr>
              <w:pStyle w:val="TableParagraph"/>
              <w:spacing w:line="174" w:lineRule="exact"/>
              <w:ind w:left="77" w:right="0"/>
              <w:jc w:val="center"/>
              <w:rPr>
                <w:rFonts w:ascii="宋体" w:hAnsi="宋体" w:cs="宋体" w:eastAsia="宋体" w:hint="default"/>
                <w:sz w:val="16"/>
                <w:szCs w:val="16"/>
              </w:rPr>
            </w:pPr>
            <w:r>
              <w:rPr>
                <w:rFonts w:ascii="宋体" w:hAnsi="宋体" w:cs="宋体" w:eastAsia="宋体" w:hint="default"/>
                <w:sz w:val="16"/>
                <w:szCs w:val="16"/>
              </w:rPr>
              <w:t>接受劳务</w:t>
            </w:r>
          </w:p>
        </w:tc>
        <w:tc>
          <w:tcPr>
            <w:tcW w:w="1947" w:type="dxa"/>
            <w:tcBorders>
              <w:top w:val="nil" w:sz="6" w:space="0" w:color="auto"/>
              <w:left w:val="nil" w:sz="6" w:space="0" w:color="auto"/>
              <w:bottom w:val="nil" w:sz="6" w:space="0" w:color="auto"/>
              <w:right w:val="nil" w:sz="6" w:space="0" w:color="auto"/>
            </w:tcBorders>
          </w:tcPr>
          <w:p>
            <w:pPr>
              <w:pStyle w:val="TableParagraph"/>
              <w:spacing w:line="174" w:lineRule="exact"/>
              <w:ind w:left="44" w:right="0"/>
              <w:jc w:val="left"/>
              <w:rPr>
                <w:rFonts w:ascii="宋体" w:hAnsi="宋体" w:cs="宋体" w:eastAsia="宋体" w:hint="default"/>
                <w:sz w:val="16"/>
                <w:szCs w:val="16"/>
              </w:rPr>
            </w:pPr>
            <w:r>
              <w:rPr>
                <w:rFonts w:ascii="宋体" w:hAnsi="宋体" w:cs="宋体" w:eastAsia="宋体" w:hint="default"/>
                <w:sz w:val="16"/>
                <w:szCs w:val="16"/>
              </w:rPr>
              <w:t>联通集团</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5"/>
              <w:jc w:val="right"/>
              <w:rPr>
                <w:rFonts w:ascii="Arial" w:hAnsi="Arial" w:cs="Arial" w:eastAsia="Arial" w:hint="default"/>
                <w:sz w:val="16"/>
                <w:szCs w:val="16"/>
              </w:rPr>
            </w:pPr>
            <w:r>
              <w:rPr>
                <w:rFonts w:ascii="Arial"/>
                <w:spacing w:val="-1"/>
                <w:sz w:val="16"/>
              </w:rPr>
              <w:t>(1)(5)</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Arial" w:hAnsi="Arial" w:cs="Arial" w:eastAsia="Arial" w:hint="default"/>
                <w:sz w:val="16"/>
                <w:szCs w:val="16"/>
              </w:rPr>
            </w:pPr>
            <w:r>
              <w:rPr>
                <w:rFonts w:ascii="Arial"/>
                <w:spacing w:val="-1"/>
                <w:w w:val="95"/>
                <w:sz w:val="16"/>
              </w:rPr>
              <w:t>4,900,900</w:t>
            </w:r>
            <w:r>
              <w:rPr>
                <w:rFonts w:ascii="Arial"/>
                <w:sz w:val="16"/>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spacing w:val="-1"/>
                <w:w w:val="95"/>
                <w:sz w:val="16"/>
              </w:rPr>
              <w:t>6,783,257</w:t>
            </w:r>
            <w:r>
              <w:rPr>
                <w:rFonts w:ascii="Arial"/>
                <w:sz w:val="16"/>
              </w:rPr>
            </w:r>
          </w:p>
        </w:tc>
      </w:tr>
      <w:tr>
        <w:trPr>
          <w:trHeight w:val="207"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173" w:lineRule="exact"/>
              <w:ind w:left="35" w:right="0"/>
              <w:jc w:val="left"/>
              <w:rPr>
                <w:rFonts w:ascii="宋体" w:hAnsi="宋体" w:cs="宋体" w:eastAsia="宋体" w:hint="default"/>
                <w:sz w:val="16"/>
                <w:szCs w:val="16"/>
              </w:rPr>
            </w:pPr>
            <w:r>
              <w:rPr>
                <w:rFonts w:ascii="宋体" w:hAnsi="宋体" w:cs="宋体" w:eastAsia="宋体" w:hint="default"/>
                <w:sz w:val="16"/>
                <w:szCs w:val="16"/>
              </w:rPr>
              <w:t>物业、设备和设施的租赁费支出</w:t>
            </w:r>
          </w:p>
        </w:tc>
        <w:tc>
          <w:tcPr>
            <w:tcW w:w="806" w:type="dxa"/>
            <w:tcBorders>
              <w:top w:val="nil" w:sz="6" w:space="0" w:color="auto"/>
              <w:left w:val="nil" w:sz="6" w:space="0" w:color="auto"/>
              <w:bottom w:val="nil" w:sz="6" w:space="0" w:color="auto"/>
              <w:right w:val="nil" w:sz="6" w:space="0" w:color="auto"/>
            </w:tcBorders>
          </w:tcPr>
          <w:p>
            <w:pPr>
              <w:pStyle w:val="TableParagraph"/>
              <w:spacing w:line="173" w:lineRule="exact"/>
              <w:ind w:left="76" w:right="0"/>
              <w:jc w:val="center"/>
              <w:rPr>
                <w:rFonts w:ascii="宋体" w:hAnsi="宋体" w:cs="宋体" w:eastAsia="宋体" w:hint="default"/>
                <w:sz w:val="16"/>
                <w:szCs w:val="16"/>
              </w:rPr>
            </w:pPr>
            <w:r>
              <w:rPr>
                <w:rFonts w:ascii="宋体" w:hAnsi="宋体" w:cs="宋体" w:eastAsia="宋体" w:hint="default"/>
                <w:sz w:val="16"/>
                <w:szCs w:val="16"/>
              </w:rPr>
              <w:t>资产租赁</w:t>
            </w:r>
          </w:p>
        </w:tc>
        <w:tc>
          <w:tcPr>
            <w:tcW w:w="1947" w:type="dxa"/>
            <w:tcBorders>
              <w:top w:val="nil" w:sz="6" w:space="0" w:color="auto"/>
              <w:left w:val="nil" w:sz="6" w:space="0" w:color="auto"/>
              <w:bottom w:val="nil" w:sz="6" w:space="0" w:color="auto"/>
              <w:right w:val="nil" w:sz="6" w:space="0" w:color="auto"/>
            </w:tcBorders>
          </w:tcPr>
          <w:p>
            <w:pPr>
              <w:pStyle w:val="TableParagraph"/>
              <w:spacing w:line="173" w:lineRule="exact"/>
              <w:ind w:left="44" w:right="0"/>
              <w:jc w:val="left"/>
              <w:rPr>
                <w:rFonts w:ascii="宋体" w:hAnsi="宋体" w:cs="宋体" w:eastAsia="宋体" w:hint="default"/>
                <w:sz w:val="16"/>
                <w:szCs w:val="16"/>
              </w:rPr>
            </w:pPr>
            <w:r>
              <w:rPr>
                <w:rFonts w:ascii="宋体" w:hAnsi="宋体" w:cs="宋体" w:eastAsia="宋体" w:hint="default"/>
                <w:sz w:val="16"/>
                <w:szCs w:val="16"/>
              </w:rPr>
              <w:t>联通集团及其附属公司</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255"/>
              <w:jc w:val="right"/>
              <w:rPr>
                <w:rFonts w:ascii="Arial" w:hAnsi="Arial" w:cs="Arial" w:eastAsia="Arial" w:hint="default"/>
                <w:sz w:val="16"/>
                <w:szCs w:val="16"/>
              </w:rPr>
            </w:pPr>
            <w:r>
              <w:rPr>
                <w:rFonts w:ascii="Arial"/>
                <w:spacing w:val="-1"/>
                <w:sz w:val="16"/>
              </w:rPr>
              <w:t>(1)(6)</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03"/>
              <w:jc w:val="right"/>
              <w:rPr>
                <w:rFonts w:ascii="Arial" w:hAnsi="Arial" w:cs="Arial" w:eastAsia="Arial" w:hint="default"/>
                <w:sz w:val="16"/>
                <w:szCs w:val="16"/>
              </w:rPr>
            </w:pPr>
            <w:r>
              <w:rPr>
                <w:rFonts w:ascii="Arial"/>
                <w:spacing w:val="-1"/>
                <w:w w:val="95"/>
                <w:sz w:val="16"/>
              </w:rPr>
              <w:t>819,804,906</w:t>
            </w:r>
            <w:r>
              <w:rPr>
                <w:rFonts w:ascii="Arial"/>
                <w:sz w:val="16"/>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34"/>
              <w:jc w:val="right"/>
              <w:rPr>
                <w:rFonts w:ascii="Arial" w:hAnsi="Arial" w:cs="Arial" w:eastAsia="Arial" w:hint="default"/>
                <w:sz w:val="16"/>
                <w:szCs w:val="16"/>
              </w:rPr>
            </w:pPr>
            <w:r>
              <w:rPr>
                <w:rFonts w:ascii="Arial"/>
                <w:spacing w:val="-1"/>
                <w:w w:val="95"/>
                <w:sz w:val="16"/>
              </w:rPr>
              <w:t>677,720,738</w:t>
            </w:r>
            <w:r>
              <w:rPr>
                <w:rFonts w:ascii="Arial"/>
                <w:sz w:val="16"/>
              </w:rPr>
            </w:r>
          </w:p>
        </w:tc>
      </w:tr>
      <w:tr>
        <w:trPr>
          <w:trHeight w:val="208"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6"/>
                <w:szCs w:val="16"/>
              </w:rPr>
            </w:pPr>
            <w:r>
              <w:rPr>
                <w:rFonts w:ascii="宋体" w:hAnsi="宋体" w:cs="宋体" w:eastAsia="宋体" w:hint="default"/>
                <w:sz w:val="16"/>
                <w:szCs w:val="16"/>
              </w:rPr>
              <w:t>支付联通进出口通信设备代理支出</w:t>
            </w:r>
          </w:p>
        </w:tc>
        <w:tc>
          <w:tcPr>
            <w:tcW w:w="806" w:type="dxa"/>
            <w:tcBorders>
              <w:top w:val="nil" w:sz="6" w:space="0" w:color="auto"/>
              <w:left w:val="nil" w:sz="6" w:space="0" w:color="auto"/>
              <w:bottom w:val="nil" w:sz="6" w:space="0" w:color="auto"/>
              <w:right w:val="nil" w:sz="6" w:space="0" w:color="auto"/>
            </w:tcBorders>
          </w:tcPr>
          <w:p>
            <w:pPr>
              <w:pStyle w:val="TableParagraph"/>
              <w:spacing w:line="174" w:lineRule="exact"/>
              <w:ind w:left="76" w:right="0"/>
              <w:jc w:val="center"/>
              <w:rPr>
                <w:rFonts w:ascii="宋体" w:hAnsi="宋体" w:cs="宋体" w:eastAsia="宋体" w:hint="default"/>
                <w:sz w:val="16"/>
                <w:szCs w:val="16"/>
              </w:rPr>
            </w:pPr>
            <w:r>
              <w:rPr>
                <w:rFonts w:ascii="宋体" w:hAnsi="宋体" w:cs="宋体" w:eastAsia="宋体" w:hint="default"/>
                <w:sz w:val="16"/>
                <w:szCs w:val="16"/>
              </w:rPr>
              <w:t>接受劳务</w:t>
            </w:r>
          </w:p>
        </w:tc>
        <w:tc>
          <w:tcPr>
            <w:tcW w:w="1947" w:type="dxa"/>
            <w:tcBorders>
              <w:top w:val="nil" w:sz="6" w:space="0" w:color="auto"/>
              <w:left w:val="nil" w:sz="6" w:space="0" w:color="auto"/>
              <w:bottom w:val="nil" w:sz="6" w:space="0" w:color="auto"/>
              <w:right w:val="nil" w:sz="6" w:space="0" w:color="auto"/>
            </w:tcBorders>
          </w:tcPr>
          <w:p>
            <w:pPr>
              <w:pStyle w:val="TableParagraph"/>
              <w:spacing w:line="174" w:lineRule="exact"/>
              <w:ind w:left="44" w:right="0"/>
              <w:jc w:val="left"/>
              <w:rPr>
                <w:rFonts w:ascii="宋体" w:hAnsi="宋体" w:cs="宋体" w:eastAsia="宋体" w:hint="default"/>
                <w:sz w:val="16"/>
                <w:szCs w:val="16"/>
              </w:rPr>
            </w:pPr>
            <w:r>
              <w:rPr>
                <w:rFonts w:ascii="宋体" w:hAnsi="宋体" w:cs="宋体" w:eastAsia="宋体" w:hint="default"/>
                <w:sz w:val="16"/>
                <w:szCs w:val="16"/>
              </w:rPr>
              <w:t>联通进出口</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5"/>
              <w:jc w:val="right"/>
              <w:rPr>
                <w:rFonts w:ascii="Arial" w:hAnsi="Arial" w:cs="Arial" w:eastAsia="Arial" w:hint="default"/>
                <w:sz w:val="16"/>
                <w:szCs w:val="16"/>
              </w:rPr>
            </w:pPr>
            <w:r>
              <w:rPr>
                <w:rFonts w:ascii="Arial"/>
                <w:spacing w:val="-1"/>
                <w:sz w:val="16"/>
              </w:rPr>
              <w:t>(1)(3)</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Arial" w:hAnsi="Arial" w:cs="Arial" w:eastAsia="Arial" w:hint="default"/>
                <w:sz w:val="16"/>
                <w:szCs w:val="16"/>
              </w:rPr>
            </w:pPr>
            <w:r>
              <w:rPr>
                <w:rFonts w:ascii="Arial"/>
                <w:spacing w:val="-1"/>
                <w:w w:val="95"/>
                <w:sz w:val="16"/>
              </w:rPr>
              <w:t>11,627,604</w:t>
            </w:r>
            <w:r>
              <w:rPr>
                <w:rFonts w:ascii="Arial"/>
                <w:sz w:val="16"/>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Arial" w:hAnsi="Arial" w:cs="Arial" w:eastAsia="Arial" w:hint="default"/>
                <w:sz w:val="16"/>
                <w:szCs w:val="16"/>
              </w:rPr>
            </w:pPr>
            <w:r>
              <w:rPr>
                <w:rFonts w:ascii="Arial"/>
                <w:spacing w:val="-1"/>
                <w:w w:val="95"/>
                <w:sz w:val="16"/>
              </w:rPr>
              <w:t>21,417,383</w:t>
            </w:r>
            <w:r>
              <w:rPr>
                <w:rFonts w:ascii="Arial"/>
                <w:sz w:val="16"/>
              </w:rPr>
            </w:r>
          </w:p>
        </w:tc>
      </w:tr>
      <w:tr>
        <w:trPr>
          <w:trHeight w:val="208"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6"/>
                <w:szCs w:val="16"/>
              </w:rPr>
            </w:pPr>
            <w:r>
              <w:rPr>
                <w:rFonts w:ascii="宋体" w:hAnsi="宋体" w:cs="宋体" w:eastAsia="宋体" w:hint="default"/>
                <w:sz w:val="16"/>
                <w:szCs w:val="16"/>
              </w:rPr>
              <w:t>接受工程及信息相关服务支出</w:t>
            </w:r>
          </w:p>
        </w:tc>
        <w:tc>
          <w:tcPr>
            <w:tcW w:w="806" w:type="dxa"/>
            <w:tcBorders>
              <w:top w:val="nil" w:sz="6" w:space="0" w:color="auto"/>
              <w:left w:val="nil" w:sz="6" w:space="0" w:color="auto"/>
              <w:bottom w:val="nil" w:sz="6" w:space="0" w:color="auto"/>
              <w:right w:val="nil" w:sz="6" w:space="0" w:color="auto"/>
            </w:tcBorders>
          </w:tcPr>
          <w:p>
            <w:pPr>
              <w:pStyle w:val="TableParagraph"/>
              <w:spacing w:line="174" w:lineRule="exact"/>
              <w:ind w:left="76" w:right="0"/>
              <w:jc w:val="center"/>
              <w:rPr>
                <w:rFonts w:ascii="宋体" w:hAnsi="宋体" w:cs="宋体" w:eastAsia="宋体" w:hint="default"/>
                <w:sz w:val="16"/>
                <w:szCs w:val="16"/>
              </w:rPr>
            </w:pPr>
            <w:r>
              <w:rPr>
                <w:rFonts w:ascii="宋体" w:hAnsi="宋体" w:cs="宋体" w:eastAsia="宋体" w:hint="default"/>
                <w:sz w:val="16"/>
                <w:szCs w:val="16"/>
              </w:rPr>
              <w:t>接受劳务</w:t>
            </w:r>
          </w:p>
        </w:tc>
        <w:tc>
          <w:tcPr>
            <w:tcW w:w="1947" w:type="dxa"/>
            <w:tcBorders>
              <w:top w:val="nil" w:sz="6" w:space="0" w:color="auto"/>
              <w:left w:val="nil" w:sz="6" w:space="0" w:color="auto"/>
              <w:bottom w:val="nil" w:sz="6" w:space="0" w:color="auto"/>
              <w:right w:val="nil" w:sz="6" w:space="0" w:color="auto"/>
            </w:tcBorders>
          </w:tcPr>
          <w:p>
            <w:pPr>
              <w:pStyle w:val="TableParagraph"/>
              <w:spacing w:line="174" w:lineRule="exact"/>
              <w:ind w:left="44" w:right="0"/>
              <w:jc w:val="left"/>
              <w:rPr>
                <w:rFonts w:ascii="宋体" w:hAnsi="宋体" w:cs="宋体" w:eastAsia="宋体" w:hint="default"/>
                <w:sz w:val="16"/>
                <w:szCs w:val="16"/>
              </w:rPr>
            </w:pPr>
            <w:r>
              <w:rPr>
                <w:rFonts w:ascii="宋体" w:hAnsi="宋体" w:cs="宋体" w:eastAsia="宋体" w:hint="default"/>
                <w:sz w:val="16"/>
                <w:szCs w:val="16"/>
              </w:rPr>
              <w:t>联通集团及其附属公司</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5"/>
              <w:jc w:val="right"/>
              <w:rPr>
                <w:rFonts w:ascii="Arial" w:hAnsi="Arial" w:cs="Arial" w:eastAsia="Arial" w:hint="default"/>
                <w:sz w:val="16"/>
                <w:szCs w:val="16"/>
              </w:rPr>
            </w:pPr>
            <w:r>
              <w:rPr>
                <w:rFonts w:ascii="Arial"/>
                <w:spacing w:val="-1"/>
                <w:sz w:val="16"/>
              </w:rPr>
              <w:t>(1)(7)</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Arial" w:hAnsi="Arial" w:cs="Arial" w:eastAsia="Arial" w:hint="default"/>
                <w:sz w:val="16"/>
                <w:szCs w:val="16"/>
              </w:rPr>
            </w:pPr>
            <w:r>
              <w:rPr>
                <w:rFonts w:ascii="Arial"/>
                <w:spacing w:val="-1"/>
                <w:sz w:val="16"/>
              </w:rPr>
              <w:t>2,785,908,783</w:t>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Arial" w:hAnsi="Arial" w:cs="Arial" w:eastAsia="Arial" w:hint="default"/>
                <w:sz w:val="16"/>
                <w:szCs w:val="16"/>
              </w:rPr>
            </w:pPr>
            <w:r>
              <w:rPr>
                <w:rFonts w:ascii="Arial"/>
                <w:spacing w:val="-1"/>
                <w:sz w:val="16"/>
              </w:rPr>
              <w:t>2,603,222,535</w:t>
            </w:r>
          </w:p>
        </w:tc>
      </w:tr>
      <w:tr>
        <w:trPr>
          <w:trHeight w:val="207"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6"/>
                <w:szCs w:val="16"/>
              </w:rPr>
            </w:pPr>
            <w:r>
              <w:rPr>
                <w:rFonts w:ascii="宋体" w:hAnsi="宋体" w:cs="宋体" w:eastAsia="宋体" w:hint="default"/>
                <w:sz w:val="16"/>
                <w:szCs w:val="16"/>
              </w:rPr>
              <w:t>向联通集团支付的共享服务支出</w:t>
            </w:r>
          </w:p>
        </w:tc>
        <w:tc>
          <w:tcPr>
            <w:tcW w:w="806" w:type="dxa"/>
            <w:tcBorders>
              <w:top w:val="nil" w:sz="6" w:space="0" w:color="auto"/>
              <w:left w:val="nil" w:sz="6" w:space="0" w:color="auto"/>
              <w:bottom w:val="nil" w:sz="6" w:space="0" w:color="auto"/>
              <w:right w:val="nil" w:sz="6" w:space="0" w:color="auto"/>
            </w:tcBorders>
          </w:tcPr>
          <w:p>
            <w:pPr>
              <w:pStyle w:val="TableParagraph"/>
              <w:spacing w:line="174" w:lineRule="exact"/>
              <w:ind w:left="76" w:right="0"/>
              <w:jc w:val="center"/>
              <w:rPr>
                <w:rFonts w:ascii="宋体" w:hAnsi="宋体" w:cs="宋体" w:eastAsia="宋体" w:hint="default"/>
                <w:sz w:val="16"/>
                <w:szCs w:val="16"/>
              </w:rPr>
            </w:pPr>
            <w:r>
              <w:rPr>
                <w:rFonts w:ascii="宋体" w:hAnsi="宋体" w:cs="宋体" w:eastAsia="宋体" w:hint="default"/>
                <w:sz w:val="16"/>
                <w:szCs w:val="16"/>
              </w:rPr>
              <w:t>接受劳务</w:t>
            </w:r>
          </w:p>
        </w:tc>
        <w:tc>
          <w:tcPr>
            <w:tcW w:w="1947" w:type="dxa"/>
            <w:tcBorders>
              <w:top w:val="nil" w:sz="6" w:space="0" w:color="auto"/>
              <w:left w:val="nil" w:sz="6" w:space="0" w:color="auto"/>
              <w:bottom w:val="nil" w:sz="6" w:space="0" w:color="auto"/>
              <w:right w:val="nil" w:sz="6" w:space="0" w:color="auto"/>
            </w:tcBorders>
          </w:tcPr>
          <w:p>
            <w:pPr>
              <w:pStyle w:val="TableParagraph"/>
              <w:spacing w:line="174" w:lineRule="exact"/>
              <w:ind w:left="44" w:right="0"/>
              <w:jc w:val="left"/>
              <w:rPr>
                <w:rFonts w:ascii="宋体" w:hAnsi="宋体" w:cs="宋体" w:eastAsia="宋体" w:hint="default"/>
                <w:sz w:val="16"/>
                <w:szCs w:val="16"/>
              </w:rPr>
            </w:pPr>
            <w:r>
              <w:rPr>
                <w:rFonts w:ascii="宋体" w:hAnsi="宋体" w:cs="宋体" w:eastAsia="宋体" w:hint="default"/>
                <w:sz w:val="16"/>
                <w:szCs w:val="16"/>
              </w:rPr>
              <w:t>联通集团及其附属公司</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5"/>
              <w:jc w:val="right"/>
              <w:rPr>
                <w:rFonts w:ascii="Arial" w:hAnsi="Arial" w:cs="Arial" w:eastAsia="Arial" w:hint="default"/>
                <w:sz w:val="16"/>
                <w:szCs w:val="16"/>
              </w:rPr>
            </w:pPr>
            <w:r>
              <w:rPr>
                <w:rFonts w:ascii="Arial"/>
                <w:spacing w:val="-1"/>
                <w:sz w:val="16"/>
              </w:rPr>
              <w:t>(1)(8)</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3"/>
              <w:jc w:val="right"/>
              <w:rPr>
                <w:rFonts w:ascii="Arial" w:hAnsi="Arial" w:cs="Arial" w:eastAsia="Arial" w:hint="default"/>
                <w:sz w:val="16"/>
                <w:szCs w:val="16"/>
              </w:rPr>
            </w:pPr>
            <w:r>
              <w:rPr>
                <w:rFonts w:ascii="Arial"/>
                <w:spacing w:val="-1"/>
                <w:w w:val="95"/>
                <w:sz w:val="16"/>
              </w:rPr>
              <w:t>266,234,052</w:t>
            </w:r>
            <w:r>
              <w:rPr>
                <w:rFonts w:ascii="Arial"/>
                <w:sz w:val="16"/>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4"/>
              <w:jc w:val="right"/>
              <w:rPr>
                <w:rFonts w:ascii="Arial" w:hAnsi="Arial" w:cs="Arial" w:eastAsia="Arial" w:hint="default"/>
                <w:sz w:val="16"/>
                <w:szCs w:val="16"/>
              </w:rPr>
            </w:pPr>
            <w:r>
              <w:rPr>
                <w:rFonts w:ascii="Arial"/>
                <w:spacing w:val="-1"/>
                <w:w w:val="95"/>
                <w:sz w:val="16"/>
              </w:rPr>
              <w:t>563,084,983</w:t>
            </w:r>
            <w:r>
              <w:rPr>
                <w:rFonts w:ascii="Arial"/>
                <w:sz w:val="16"/>
              </w:rPr>
            </w:r>
          </w:p>
        </w:tc>
      </w:tr>
      <w:tr>
        <w:trPr>
          <w:trHeight w:val="207"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6"/>
                <w:szCs w:val="16"/>
              </w:rPr>
            </w:pPr>
            <w:r>
              <w:rPr>
                <w:rFonts w:ascii="宋体" w:hAnsi="宋体" w:cs="宋体" w:eastAsia="宋体" w:hint="default"/>
                <w:sz w:val="16"/>
                <w:szCs w:val="16"/>
              </w:rPr>
              <w:t>电信设备租赁款</w:t>
            </w:r>
          </w:p>
        </w:tc>
        <w:tc>
          <w:tcPr>
            <w:tcW w:w="806" w:type="dxa"/>
            <w:tcBorders>
              <w:top w:val="nil" w:sz="6" w:space="0" w:color="auto"/>
              <w:left w:val="nil" w:sz="6" w:space="0" w:color="auto"/>
              <w:bottom w:val="nil" w:sz="6" w:space="0" w:color="auto"/>
              <w:right w:val="nil" w:sz="6" w:space="0" w:color="auto"/>
            </w:tcBorders>
          </w:tcPr>
          <w:p>
            <w:pPr>
              <w:pStyle w:val="TableParagraph"/>
              <w:spacing w:line="174" w:lineRule="exact"/>
              <w:ind w:left="76" w:right="0"/>
              <w:jc w:val="center"/>
              <w:rPr>
                <w:rFonts w:ascii="宋体" w:hAnsi="宋体" w:cs="宋体" w:eastAsia="宋体" w:hint="default"/>
                <w:sz w:val="16"/>
                <w:szCs w:val="16"/>
              </w:rPr>
            </w:pPr>
            <w:r>
              <w:rPr>
                <w:rFonts w:ascii="宋体" w:hAnsi="宋体" w:cs="宋体" w:eastAsia="宋体" w:hint="default"/>
                <w:sz w:val="16"/>
                <w:szCs w:val="16"/>
              </w:rPr>
              <w:t>租赁支出</w:t>
            </w:r>
          </w:p>
        </w:tc>
        <w:tc>
          <w:tcPr>
            <w:tcW w:w="1947" w:type="dxa"/>
            <w:tcBorders>
              <w:top w:val="nil" w:sz="6" w:space="0" w:color="auto"/>
              <w:left w:val="nil" w:sz="6" w:space="0" w:color="auto"/>
              <w:bottom w:val="nil" w:sz="6" w:space="0" w:color="auto"/>
              <w:right w:val="nil" w:sz="6" w:space="0" w:color="auto"/>
            </w:tcBorders>
          </w:tcPr>
          <w:p>
            <w:pPr>
              <w:pStyle w:val="TableParagraph"/>
              <w:spacing w:line="174" w:lineRule="exact"/>
              <w:ind w:left="45" w:right="0"/>
              <w:jc w:val="left"/>
              <w:rPr>
                <w:rFonts w:ascii="宋体" w:hAnsi="宋体" w:cs="宋体" w:eastAsia="宋体" w:hint="default"/>
                <w:sz w:val="16"/>
                <w:szCs w:val="16"/>
              </w:rPr>
            </w:pPr>
            <w:r>
              <w:rPr>
                <w:rFonts w:ascii="宋体" w:hAnsi="宋体" w:cs="宋体" w:eastAsia="宋体" w:hint="default"/>
                <w:sz w:val="16"/>
                <w:szCs w:val="16"/>
              </w:rPr>
              <w:t>联通集团及其附属公司</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55"/>
              <w:jc w:val="right"/>
              <w:rPr>
                <w:rFonts w:ascii="Arial" w:hAnsi="Arial" w:cs="Arial" w:eastAsia="Arial" w:hint="default"/>
                <w:sz w:val="16"/>
                <w:szCs w:val="16"/>
              </w:rPr>
            </w:pPr>
            <w:r>
              <w:rPr>
                <w:rFonts w:ascii="Arial"/>
                <w:spacing w:val="-1"/>
                <w:sz w:val="16"/>
              </w:rPr>
              <w:t>(1)(9)</w:t>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2"/>
              <w:jc w:val="right"/>
              <w:rPr>
                <w:rFonts w:ascii="Arial" w:hAnsi="Arial" w:cs="Arial" w:eastAsia="Arial" w:hint="default"/>
                <w:sz w:val="16"/>
                <w:szCs w:val="16"/>
              </w:rPr>
            </w:pPr>
            <w:r>
              <w:rPr>
                <w:rFonts w:ascii="Arial"/>
                <w:spacing w:val="-1"/>
                <w:w w:val="95"/>
                <w:sz w:val="16"/>
              </w:rPr>
              <w:t>147,903,398</w:t>
            </w:r>
            <w:r>
              <w:rPr>
                <w:rFonts w:ascii="Arial"/>
                <w:sz w:val="16"/>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spacing w:val="-1"/>
                <w:w w:val="95"/>
                <w:sz w:val="16"/>
              </w:rPr>
              <w:t>305,935,713</w:t>
            </w:r>
            <w:r>
              <w:rPr>
                <w:rFonts w:ascii="Arial"/>
                <w:sz w:val="16"/>
              </w:rPr>
            </w:r>
          </w:p>
        </w:tc>
      </w:tr>
      <w:tr>
        <w:trPr>
          <w:trHeight w:val="208"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6"/>
                <w:szCs w:val="16"/>
              </w:rPr>
            </w:pPr>
            <w:r>
              <w:rPr>
                <w:rFonts w:ascii="宋体" w:hAnsi="宋体" w:cs="宋体" w:eastAsia="宋体" w:hint="default"/>
                <w:sz w:val="16"/>
                <w:szCs w:val="16"/>
              </w:rPr>
              <w:t>物资采购</w:t>
            </w:r>
          </w:p>
        </w:tc>
        <w:tc>
          <w:tcPr>
            <w:tcW w:w="806" w:type="dxa"/>
            <w:tcBorders>
              <w:top w:val="nil" w:sz="6" w:space="0" w:color="auto"/>
              <w:left w:val="nil" w:sz="6" w:space="0" w:color="auto"/>
              <w:bottom w:val="nil" w:sz="6" w:space="0" w:color="auto"/>
              <w:right w:val="nil" w:sz="6" w:space="0" w:color="auto"/>
            </w:tcBorders>
          </w:tcPr>
          <w:p>
            <w:pPr>
              <w:pStyle w:val="TableParagraph"/>
              <w:spacing w:line="174" w:lineRule="exact"/>
              <w:ind w:left="77" w:right="0"/>
              <w:jc w:val="center"/>
              <w:rPr>
                <w:rFonts w:ascii="宋体" w:hAnsi="宋体" w:cs="宋体" w:eastAsia="宋体" w:hint="default"/>
                <w:sz w:val="16"/>
                <w:szCs w:val="16"/>
              </w:rPr>
            </w:pPr>
            <w:r>
              <w:rPr>
                <w:rFonts w:ascii="宋体" w:hAnsi="宋体" w:cs="宋体" w:eastAsia="宋体" w:hint="default"/>
                <w:sz w:val="16"/>
                <w:szCs w:val="16"/>
              </w:rPr>
              <w:t>物资采购</w:t>
            </w:r>
          </w:p>
        </w:tc>
        <w:tc>
          <w:tcPr>
            <w:tcW w:w="1947" w:type="dxa"/>
            <w:tcBorders>
              <w:top w:val="nil" w:sz="6" w:space="0" w:color="auto"/>
              <w:left w:val="nil" w:sz="6" w:space="0" w:color="auto"/>
              <w:bottom w:val="nil" w:sz="6" w:space="0" w:color="auto"/>
              <w:right w:val="nil" w:sz="6" w:space="0" w:color="auto"/>
            </w:tcBorders>
          </w:tcPr>
          <w:p>
            <w:pPr>
              <w:pStyle w:val="TableParagraph"/>
              <w:spacing w:line="174" w:lineRule="exact"/>
              <w:ind w:left="45" w:right="0"/>
              <w:jc w:val="left"/>
              <w:rPr>
                <w:rFonts w:ascii="宋体" w:hAnsi="宋体" w:cs="宋体" w:eastAsia="宋体" w:hint="default"/>
                <w:sz w:val="16"/>
                <w:szCs w:val="16"/>
              </w:rPr>
            </w:pPr>
            <w:r>
              <w:rPr>
                <w:rFonts w:ascii="宋体" w:hAnsi="宋体" w:cs="宋体" w:eastAsia="宋体" w:hint="default"/>
                <w:sz w:val="16"/>
                <w:szCs w:val="16"/>
              </w:rPr>
              <w:t>联通集团及其附属公司</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0"/>
              <w:jc w:val="right"/>
              <w:rPr>
                <w:rFonts w:ascii="Arial" w:hAnsi="Arial" w:cs="Arial" w:eastAsia="Arial" w:hint="default"/>
                <w:sz w:val="16"/>
                <w:szCs w:val="16"/>
              </w:rPr>
            </w:pPr>
            <w:r>
              <w:rPr>
                <w:rFonts w:ascii="Arial"/>
                <w:spacing w:val="-1"/>
                <w:sz w:val="16"/>
              </w:rPr>
              <w:t>(1)(11)</w:t>
            </w:r>
            <w:r>
              <w:rPr>
                <w:rFonts w:ascii="Arial"/>
                <w:sz w:val="16"/>
              </w:rPr>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2"/>
              <w:jc w:val="right"/>
              <w:rPr>
                <w:rFonts w:ascii="Arial" w:hAnsi="Arial" w:cs="Arial" w:eastAsia="Arial" w:hint="default"/>
                <w:sz w:val="16"/>
                <w:szCs w:val="16"/>
              </w:rPr>
            </w:pPr>
            <w:r>
              <w:rPr>
                <w:rFonts w:ascii="Arial"/>
                <w:spacing w:val="-1"/>
                <w:w w:val="95"/>
                <w:sz w:val="16"/>
              </w:rPr>
              <w:t>375,006,766</w:t>
            </w:r>
            <w:r>
              <w:rPr>
                <w:rFonts w:ascii="Arial"/>
                <w:sz w:val="16"/>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spacing w:val="-1"/>
                <w:w w:val="95"/>
                <w:sz w:val="16"/>
              </w:rPr>
              <w:t>515,738,015</w:t>
            </w:r>
            <w:r>
              <w:rPr>
                <w:rFonts w:ascii="Arial"/>
                <w:sz w:val="16"/>
              </w:rPr>
            </w:r>
          </w:p>
        </w:tc>
      </w:tr>
      <w:tr>
        <w:trPr>
          <w:trHeight w:val="208"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6"/>
                <w:szCs w:val="16"/>
              </w:rPr>
            </w:pPr>
            <w:r>
              <w:rPr>
                <w:rFonts w:ascii="宋体" w:hAnsi="宋体" w:cs="宋体" w:eastAsia="宋体" w:hint="default"/>
                <w:sz w:val="16"/>
                <w:szCs w:val="16"/>
              </w:rPr>
              <w:t>末梢电信服务支出</w:t>
            </w:r>
          </w:p>
        </w:tc>
        <w:tc>
          <w:tcPr>
            <w:tcW w:w="806" w:type="dxa"/>
            <w:tcBorders>
              <w:top w:val="nil" w:sz="6" w:space="0" w:color="auto"/>
              <w:left w:val="nil" w:sz="6" w:space="0" w:color="auto"/>
              <w:bottom w:val="nil" w:sz="6" w:space="0" w:color="auto"/>
              <w:right w:val="nil" w:sz="6" w:space="0" w:color="auto"/>
            </w:tcBorders>
          </w:tcPr>
          <w:p>
            <w:pPr>
              <w:pStyle w:val="TableParagraph"/>
              <w:spacing w:line="174" w:lineRule="exact"/>
              <w:ind w:left="77" w:right="0"/>
              <w:jc w:val="center"/>
              <w:rPr>
                <w:rFonts w:ascii="宋体" w:hAnsi="宋体" w:cs="宋体" w:eastAsia="宋体" w:hint="default"/>
                <w:sz w:val="16"/>
                <w:szCs w:val="16"/>
              </w:rPr>
            </w:pPr>
            <w:r>
              <w:rPr>
                <w:rFonts w:ascii="宋体" w:hAnsi="宋体" w:cs="宋体" w:eastAsia="宋体" w:hint="default"/>
                <w:sz w:val="16"/>
                <w:szCs w:val="16"/>
              </w:rPr>
              <w:t>接受劳务</w:t>
            </w:r>
          </w:p>
        </w:tc>
        <w:tc>
          <w:tcPr>
            <w:tcW w:w="1947" w:type="dxa"/>
            <w:tcBorders>
              <w:top w:val="nil" w:sz="6" w:space="0" w:color="auto"/>
              <w:left w:val="nil" w:sz="6" w:space="0" w:color="auto"/>
              <w:bottom w:val="nil" w:sz="6" w:space="0" w:color="auto"/>
              <w:right w:val="nil" w:sz="6" w:space="0" w:color="auto"/>
            </w:tcBorders>
          </w:tcPr>
          <w:p>
            <w:pPr>
              <w:pStyle w:val="TableParagraph"/>
              <w:spacing w:line="174" w:lineRule="exact"/>
              <w:ind w:left="45" w:right="0"/>
              <w:jc w:val="left"/>
              <w:rPr>
                <w:rFonts w:ascii="宋体" w:hAnsi="宋体" w:cs="宋体" w:eastAsia="宋体" w:hint="default"/>
                <w:sz w:val="16"/>
                <w:szCs w:val="16"/>
              </w:rPr>
            </w:pPr>
            <w:r>
              <w:rPr>
                <w:rFonts w:ascii="宋体" w:hAnsi="宋体" w:cs="宋体" w:eastAsia="宋体" w:hint="default"/>
                <w:sz w:val="16"/>
                <w:szCs w:val="16"/>
              </w:rPr>
              <w:t>联通集团及其附属公司</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0"/>
              <w:jc w:val="right"/>
              <w:rPr>
                <w:rFonts w:ascii="Arial" w:hAnsi="Arial" w:cs="Arial" w:eastAsia="Arial" w:hint="default"/>
                <w:sz w:val="16"/>
                <w:szCs w:val="16"/>
              </w:rPr>
            </w:pPr>
            <w:r>
              <w:rPr>
                <w:rFonts w:ascii="Arial"/>
                <w:spacing w:val="-1"/>
                <w:sz w:val="16"/>
              </w:rPr>
              <w:t>(1)(12)</w:t>
            </w:r>
            <w:r>
              <w:rPr>
                <w:rFonts w:ascii="Arial"/>
                <w:sz w:val="16"/>
              </w:rPr>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2"/>
              <w:jc w:val="right"/>
              <w:rPr>
                <w:rFonts w:ascii="Arial" w:hAnsi="Arial" w:cs="Arial" w:eastAsia="Arial" w:hint="default"/>
                <w:sz w:val="16"/>
                <w:szCs w:val="16"/>
              </w:rPr>
            </w:pPr>
            <w:r>
              <w:rPr>
                <w:rFonts w:ascii="Arial"/>
                <w:spacing w:val="-1"/>
                <w:w w:val="95"/>
                <w:sz w:val="16"/>
              </w:rPr>
              <w:t>689,302,980</w:t>
            </w:r>
            <w:r>
              <w:rPr>
                <w:rFonts w:ascii="Arial"/>
                <w:sz w:val="16"/>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spacing w:val="-1"/>
                <w:w w:val="95"/>
                <w:sz w:val="16"/>
              </w:rPr>
              <w:t>558,019,236</w:t>
            </w:r>
            <w:r>
              <w:rPr>
                <w:rFonts w:ascii="Arial"/>
                <w:sz w:val="16"/>
              </w:rPr>
            </w:r>
          </w:p>
        </w:tc>
      </w:tr>
      <w:tr>
        <w:trPr>
          <w:trHeight w:val="294" w:hRule="exact"/>
        </w:trPr>
        <w:tc>
          <w:tcPr>
            <w:tcW w:w="2556" w:type="dxa"/>
            <w:tcBorders>
              <w:top w:val="nil" w:sz="6" w:space="0" w:color="auto"/>
              <w:left w:val="nil" w:sz="6" w:space="0" w:color="auto"/>
              <w:bottom w:val="nil" w:sz="6" w:space="0" w:color="auto"/>
              <w:right w:val="nil" w:sz="6" w:space="0" w:color="auto"/>
            </w:tcBorders>
          </w:tcPr>
          <w:p>
            <w:pPr>
              <w:pStyle w:val="TableParagraph"/>
              <w:spacing w:line="174" w:lineRule="exact"/>
              <w:ind w:left="35" w:right="0"/>
              <w:jc w:val="left"/>
              <w:rPr>
                <w:rFonts w:ascii="宋体" w:hAnsi="宋体" w:cs="宋体" w:eastAsia="宋体" w:hint="default"/>
                <w:sz w:val="16"/>
                <w:szCs w:val="16"/>
              </w:rPr>
            </w:pPr>
            <w:r>
              <w:rPr>
                <w:rFonts w:ascii="宋体" w:hAnsi="宋体" w:cs="宋体" w:eastAsia="宋体" w:hint="default"/>
                <w:sz w:val="16"/>
                <w:szCs w:val="16"/>
              </w:rPr>
              <w:t>综合服务支出</w:t>
            </w:r>
          </w:p>
        </w:tc>
        <w:tc>
          <w:tcPr>
            <w:tcW w:w="806" w:type="dxa"/>
            <w:tcBorders>
              <w:top w:val="nil" w:sz="6" w:space="0" w:color="auto"/>
              <w:left w:val="nil" w:sz="6" w:space="0" w:color="auto"/>
              <w:bottom w:val="nil" w:sz="6" w:space="0" w:color="auto"/>
              <w:right w:val="nil" w:sz="6" w:space="0" w:color="auto"/>
            </w:tcBorders>
          </w:tcPr>
          <w:p>
            <w:pPr>
              <w:pStyle w:val="TableParagraph"/>
              <w:spacing w:line="174" w:lineRule="exact"/>
              <w:ind w:left="77" w:right="0"/>
              <w:jc w:val="center"/>
              <w:rPr>
                <w:rFonts w:ascii="宋体" w:hAnsi="宋体" w:cs="宋体" w:eastAsia="宋体" w:hint="default"/>
                <w:sz w:val="16"/>
                <w:szCs w:val="16"/>
              </w:rPr>
            </w:pPr>
            <w:r>
              <w:rPr>
                <w:rFonts w:ascii="宋体" w:hAnsi="宋体" w:cs="宋体" w:eastAsia="宋体" w:hint="default"/>
                <w:sz w:val="16"/>
                <w:szCs w:val="16"/>
              </w:rPr>
              <w:t>接受劳务</w:t>
            </w:r>
          </w:p>
        </w:tc>
        <w:tc>
          <w:tcPr>
            <w:tcW w:w="1947" w:type="dxa"/>
            <w:tcBorders>
              <w:top w:val="nil" w:sz="6" w:space="0" w:color="auto"/>
              <w:left w:val="nil" w:sz="6" w:space="0" w:color="auto"/>
              <w:bottom w:val="nil" w:sz="6" w:space="0" w:color="auto"/>
              <w:right w:val="nil" w:sz="6" w:space="0" w:color="auto"/>
            </w:tcBorders>
          </w:tcPr>
          <w:p>
            <w:pPr>
              <w:pStyle w:val="TableParagraph"/>
              <w:spacing w:line="174" w:lineRule="exact"/>
              <w:ind w:left="45" w:right="0"/>
              <w:jc w:val="left"/>
              <w:rPr>
                <w:rFonts w:ascii="宋体" w:hAnsi="宋体" w:cs="宋体" w:eastAsia="宋体" w:hint="default"/>
                <w:sz w:val="16"/>
                <w:szCs w:val="16"/>
              </w:rPr>
            </w:pPr>
            <w:r>
              <w:rPr>
                <w:rFonts w:ascii="宋体" w:hAnsi="宋体" w:cs="宋体" w:eastAsia="宋体" w:hint="default"/>
                <w:sz w:val="16"/>
                <w:szCs w:val="16"/>
              </w:rPr>
              <w:t>联通集团及其附属公司</w:t>
            </w:r>
          </w:p>
        </w:tc>
        <w:tc>
          <w:tcPr>
            <w:tcW w:w="996"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210"/>
              <w:jc w:val="right"/>
              <w:rPr>
                <w:rFonts w:ascii="Arial" w:hAnsi="Arial" w:cs="Arial" w:eastAsia="Arial" w:hint="default"/>
                <w:sz w:val="16"/>
                <w:szCs w:val="16"/>
              </w:rPr>
            </w:pPr>
            <w:r>
              <w:rPr>
                <w:rFonts w:ascii="Arial"/>
                <w:spacing w:val="-1"/>
                <w:sz w:val="16"/>
              </w:rPr>
              <w:t>(1)(13)</w:t>
            </w:r>
            <w:r>
              <w:rPr>
                <w:rFonts w:ascii="Arial"/>
                <w:sz w:val="16"/>
              </w:rPr>
            </w:r>
          </w:p>
        </w:tc>
        <w:tc>
          <w:tcPr>
            <w:tcW w:w="1339"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2"/>
              <w:jc w:val="right"/>
              <w:rPr>
                <w:rFonts w:ascii="Arial" w:hAnsi="Arial" w:cs="Arial" w:eastAsia="Arial" w:hint="default"/>
                <w:sz w:val="16"/>
                <w:szCs w:val="16"/>
              </w:rPr>
            </w:pPr>
            <w:r>
              <w:rPr>
                <w:rFonts w:ascii="Arial"/>
                <w:spacing w:val="-1"/>
                <w:w w:val="95"/>
                <w:sz w:val="16"/>
              </w:rPr>
              <w:t>272,597,138</w:t>
            </w:r>
            <w:r>
              <w:rPr>
                <w:rFonts w:ascii="Arial"/>
                <w:sz w:val="16"/>
              </w:rPr>
            </w: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33"/>
              <w:jc w:val="right"/>
              <w:rPr>
                <w:rFonts w:ascii="Arial" w:hAnsi="Arial" w:cs="Arial" w:eastAsia="Arial" w:hint="default"/>
                <w:sz w:val="16"/>
                <w:szCs w:val="16"/>
              </w:rPr>
            </w:pPr>
            <w:r>
              <w:rPr>
                <w:rFonts w:ascii="Arial"/>
                <w:spacing w:val="-1"/>
                <w:w w:val="95"/>
                <w:sz w:val="16"/>
              </w:rPr>
              <w:t>460,971,351</w:t>
            </w:r>
            <w:r>
              <w:rPr>
                <w:rFonts w:ascii="Arial"/>
                <w:sz w:val="16"/>
              </w:rPr>
            </w:r>
          </w:p>
        </w:tc>
      </w:tr>
    </w:tbl>
    <w:p>
      <w:pPr>
        <w:spacing w:before="67"/>
        <w:ind w:left="618" w:right="8127" w:hanging="1"/>
        <w:jc w:val="left"/>
        <w:rPr>
          <w:rFonts w:ascii="宋体" w:hAnsi="宋体" w:cs="宋体" w:eastAsia="宋体" w:hint="default"/>
          <w:sz w:val="16"/>
          <w:szCs w:val="16"/>
        </w:rPr>
      </w:pPr>
      <w:r>
        <w:rPr>
          <w:rFonts w:ascii="宋体" w:hAnsi="宋体" w:cs="宋体" w:eastAsia="宋体" w:hint="default"/>
          <w:sz w:val="16"/>
          <w:szCs w:val="16"/>
        </w:rPr>
        <w:t>终止经营业务</w:t>
      </w:r>
      <w:r>
        <w:rPr>
          <w:rFonts w:ascii="宋体" w:hAnsi="宋体" w:cs="宋体" w:eastAsia="宋体" w:hint="default"/>
          <w:w w:val="99"/>
          <w:sz w:val="16"/>
          <w:szCs w:val="16"/>
        </w:rPr>
        <w:t> </w:t>
      </w:r>
      <w:r>
        <w:rPr>
          <w:rFonts w:ascii="宋体" w:hAnsi="宋体" w:cs="宋体" w:eastAsia="宋体" w:hint="default"/>
          <w:sz w:val="16"/>
          <w:szCs w:val="16"/>
        </w:rPr>
        <w:t>支出项目：</w:t>
      </w:r>
    </w:p>
    <w:p>
      <w:pPr>
        <w:spacing w:line="240" w:lineRule="auto" w:before="0"/>
        <w:rPr>
          <w:rFonts w:ascii="宋体" w:hAnsi="宋体" w:cs="宋体" w:eastAsia="宋体" w:hint="default"/>
          <w:sz w:val="2"/>
          <w:szCs w:val="2"/>
        </w:rPr>
      </w:pPr>
    </w:p>
    <w:tbl>
      <w:tblPr>
        <w:tblW w:w="0" w:type="auto"/>
        <w:jc w:val="left"/>
        <w:tblInd w:w="768" w:type="dxa"/>
        <w:tblLayout w:type="fixed"/>
        <w:tblCellMar>
          <w:top w:w="0" w:type="dxa"/>
          <w:left w:w="0" w:type="dxa"/>
          <w:bottom w:w="0" w:type="dxa"/>
          <w:right w:w="0" w:type="dxa"/>
        </w:tblCellMar>
        <w:tblLook w:val="01E0"/>
      </w:tblPr>
      <w:tblGrid>
        <w:gridCol w:w="2431"/>
        <w:gridCol w:w="930"/>
        <w:gridCol w:w="1595"/>
        <w:gridCol w:w="1782"/>
        <w:gridCol w:w="2067"/>
      </w:tblGrid>
      <w:tr>
        <w:trPr>
          <w:trHeight w:val="217"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3" w:lineRule="exact"/>
              <w:ind w:left="35" w:right="0"/>
              <w:jc w:val="left"/>
              <w:rPr>
                <w:rFonts w:ascii="宋体" w:hAnsi="宋体" w:cs="宋体" w:eastAsia="宋体" w:hint="default"/>
                <w:sz w:val="16"/>
                <w:szCs w:val="16"/>
              </w:rPr>
            </w:pPr>
            <w:r>
              <w:rPr>
                <w:rFonts w:ascii="宋体" w:hAnsi="宋体" w:cs="宋体" w:eastAsia="宋体" w:hint="default"/>
                <w:sz w:val="16"/>
                <w:szCs w:val="16"/>
              </w:rPr>
              <w:t>支付移动增值服务支出</w:t>
            </w:r>
          </w:p>
        </w:tc>
        <w:tc>
          <w:tcPr>
            <w:tcW w:w="930" w:type="dxa"/>
            <w:tcBorders>
              <w:top w:val="nil" w:sz="6" w:space="0" w:color="auto"/>
              <w:left w:val="nil" w:sz="6" w:space="0" w:color="auto"/>
              <w:bottom w:val="nil" w:sz="6" w:space="0" w:color="auto"/>
              <w:right w:val="nil" w:sz="6" w:space="0" w:color="auto"/>
            </w:tcBorders>
          </w:tcPr>
          <w:p>
            <w:pPr>
              <w:pStyle w:val="TableParagraph"/>
              <w:spacing w:line="183" w:lineRule="exact"/>
              <w:ind w:right="42"/>
              <w:jc w:val="right"/>
              <w:rPr>
                <w:rFonts w:ascii="宋体" w:hAnsi="宋体" w:cs="宋体" w:eastAsia="宋体" w:hint="default"/>
                <w:sz w:val="16"/>
                <w:szCs w:val="16"/>
              </w:rPr>
            </w:pPr>
            <w:r>
              <w:rPr>
                <w:rFonts w:ascii="宋体" w:hAnsi="宋体" w:cs="宋体" w:eastAsia="宋体" w:hint="default"/>
                <w:w w:val="95"/>
                <w:sz w:val="16"/>
                <w:szCs w:val="16"/>
              </w:rPr>
              <w:t>接受劳务</w:t>
            </w:r>
            <w:r>
              <w:rPr>
                <w:rFonts w:ascii="宋体" w:hAnsi="宋体" w:cs="宋体" w:eastAsia="宋体" w:hint="default"/>
                <w:sz w:val="16"/>
                <w:szCs w:val="16"/>
              </w:rPr>
            </w:r>
          </w:p>
        </w:tc>
        <w:tc>
          <w:tcPr>
            <w:tcW w:w="1595" w:type="dxa"/>
            <w:tcBorders>
              <w:top w:val="nil" w:sz="6" w:space="0" w:color="auto"/>
              <w:left w:val="nil" w:sz="6" w:space="0" w:color="auto"/>
              <w:bottom w:val="nil" w:sz="6" w:space="0" w:color="auto"/>
              <w:right w:val="nil" w:sz="6" w:space="0" w:color="auto"/>
            </w:tcBorders>
          </w:tcPr>
          <w:p>
            <w:pPr>
              <w:pStyle w:val="TableParagraph"/>
              <w:spacing w:line="183" w:lineRule="exact"/>
              <w:ind w:left="45" w:right="0"/>
              <w:jc w:val="left"/>
              <w:rPr>
                <w:rFonts w:ascii="宋体" w:hAnsi="宋体" w:cs="宋体" w:eastAsia="宋体" w:hint="default"/>
                <w:sz w:val="16"/>
                <w:szCs w:val="16"/>
              </w:rPr>
            </w:pPr>
            <w:r>
              <w:rPr>
                <w:rFonts w:ascii="宋体" w:hAnsi="宋体" w:cs="宋体" w:eastAsia="宋体" w:hint="default"/>
                <w:sz w:val="16"/>
                <w:szCs w:val="16"/>
              </w:rPr>
              <w:t>联通新时讯</w:t>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789"/>
              <w:jc w:val="right"/>
              <w:rPr>
                <w:rFonts w:ascii="Arial" w:hAnsi="Arial" w:cs="Arial" w:eastAsia="Arial" w:hint="default"/>
                <w:sz w:val="16"/>
                <w:szCs w:val="16"/>
              </w:rPr>
            </w:pPr>
            <w:r>
              <w:rPr>
                <w:rFonts w:ascii="Arial"/>
                <w:spacing w:val="-1"/>
                <w:w w:val="95"/>
                <w:sz w:val="16"/>
              </w:rPr>
              <w:t>(4)</w:t>
            </w:r>
            <w:r>
              <w:rPr>
                <w:rFonts w:ascii="Arial"/>
                <w:sz w:val="16"/>
              </w:rPr>
            </w:r>
          </w:p>
        </w:tc>
        <w:tc>
          <w:tcPr>
            <w:tcW w:w="2067" w:type="dxa"/>
            <w:tcBorders>
              <w:top w:val="nil" w:sz="6" w:space="0" w:color="auto"/>
              <w:left w:val="nil" w:sz="6" w:space="0" w:color="auto"/>
              <w:bottom w:val="nil" w:sz="6" w:space="0" w:color="auto"/>
              <w:right w:val="nil" w:sz="6" w:space="0" w:color="auto"/>
            </w:tcBorders>
          </w:tcPr>
          <w:p>
            <w:pPr>
              <w:pStyle w:val="TableParagraph"/>
              <w:tabs>
                <w:tab w:pos="486" w:val="left" w:leader="none"/>
              </w:tabs>
              <w:spacing w:line="240" w:lineRule="auto" w:before="23"/>
              <w:ind w:right="33"/>
              <w:jc w:val="right"/>
              <w:rPr>
                <w:rFonts w:ascii="Arial" w:hAnsi="Arial" w:cs="Arial" w:eastAsia="Arial" w:hint="default"/>
                <w:sz w:val="16"/>
                <w:szCs w:val="16"/>
              </w:rPr>
            </w:pPr>
            <w:r>
              <w:rPr>
                <w:rFonts w:ascii="Arial"/>
                <w:w w:val="95"/>
                <w:sz w:val="16"/>
              </w:rPr>
              <w:t>-</w:t>
              <w:tab/>
            </w:r>
            <w:r>
              <w:rPr>
                <w:rFonts w:ascii="Arial"/>
                <w:spacing w:val="-1"/>
                <w:w w:val="95"/>
                <w:sz w:val="16"/>
              </w:rPr>
              <w:t>37,778,872</w:t>
            </w:r>
            <w:r>
              <w:rPr>
                <w:rFonts w:ascii="Arial"/>
                <w:sz w:val="16"/>
              </w:rPr>
            </w:r>
          </w:p>
        </w:tc>
      </w:tr>
      <w:tr>
        <w:trPr>
          <w:trHeight w:val="208" w:hRule="exact"/>
        </w:trPr>
        <w:tc>
          <w:tcPr>
            <w:tcW w:w="2431" w:type="dxa"/>
            <w:tcBorders>
              <w:top w:val="nil" w:sz="6" w:space="0" w:color="auto"/>
              <w:left w:val="nil" w:sz="6" w:space="0" w:color="auto"/>
              <w:bottom w:val="nil" w:sz="6" w:space="0" w:color="auto"/>
              <w:right w:val="nil" w:sz="6" w:space="0" w:color="auto"/>
            </w:tcBorders>
          </w:tcPr>
          <w:p>
            <w:pPr/>
          </w:p>
        </w:tc>
        <w:tc>
          <w:tcPr>
            <w:tcW w:w="930" w:type="dxa"/>
            <w:tcBorders>
              <w:top w:val="nil" w:sz="6" w:space="0" w:color="auto"/>
              <w:left w:val="nil" w:sz="6" w:space="0" w:color="auto"/>
              <w:bottom w:val="nil" w:sz="6" w:space="0" w:color="auto"/>
              <w:right w:val="nil" w:sz="6" w:space="0" w:color="auto"/>
            </w:tcBorders>
          </w:tcPr>
          <w:p>
            <w:pPr>
              <w:pStyle w:val="TableParagraph"/>
              <w:spacing w:line="174" w:lineRule="exact"/>
              <w:ind w:right="43"/>
              <w:jc w:val="right"/>
              <w:rPr>
                <w:rFonts w:ascii="宋体" w:hAnsi="宋体" w:cs="宋体" w:eastAsia="宋体" w:hint="default"/>
                <w:sz w:val="16"/>
                <w:szCs w:val="16"/>
              </w:rPr>
            </w:pPr>
            <w:r>
              <w:rPr>
                <w:rFonts w:ascii="宋体" w:hAnsi="宋体" w:cs="宋体" w:eastAsia="宋体" w:hint="default"/>
                <w:w w:val="95"/>
                <w:sz w:val="16"/>
                <w:szCs w:val="16"/>
              </w:rPr>
              <w:t>接受劳务</w:t>
            </w:r>
            <w:r>
              <w:rPr>
                <w:rFonts w:ascii="宋体" w:hAnsi="宋体" w:cs="宋体" w:eastAsia="宋体" w:hint="default"/>
                <w:sz w:val="16"/>
                <w:szCs w:val="16"/>
              </w:rPr>
            </w:r>
          </w:p>
        </w:tc>
        <w:tc>
          <w:tcPr>
            <w:tcW w:w="1595" w:type="dxa"/>
            <w:tcBorders>
              <w:top w:val="nil" w:sz="6" w:space="0" w:color="auto"/>
              <w:left w:val="nil" w:sz="6" w:space="0" w:color="auto"/>
              <w:bottom w:val="nil" w:sz="6" w:space="0" w:color="auto"/>
              <w:right w:val="nil" w:sz="6" w:space="0" w:color="auto"/>
            </w:tcBorders>
          </w:tcPr>
          <w:p>
            <w:pPr>
              <w:pStyle w:val="TableParagraph"/>
              <w:spacing w:line="174" w:lineRule="exact"/>
              <w:ind w:left="45" w:right="0"/>
              <w:jc w:val="left"/>
              <w:rPr>
                <w:rFonts w:ascii="宋体" w:hAnsi="宋体" w:cs="宋体" w:eastAsia="宋体" w:hint="default"/>
                <w:sz w:val="16"/>
                <w:szCs w:val="16"/>
              </w:rPr>
            </w:pPr>
            <w:r>
              <w:rPr>
                <w:rFonts w:ascii="宋体" w:hAnsi="宋体" w:cs="宋体" w:eastAsia="宋体" w:hint="default"/>
                <w:sz w:val="16"/>
                <w:szCs w:val="16"/>
              </w:rPr>
              <w:t>联通时科</w:t>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89"/>
              <w:jc w:val="right"/>
              <w:rPr>
                <w:rFonts w:ascii="Arial" w:hAnsi="Arial" w:cs="Arial" w:eastAsia="Arial" w:hint="default"/>
                <w:sz w:val="16"/>
                <w:szCs w:val="16"/>
              </w:rPr>
            </w:pPr>
            <w:r>
              <w:rPr>
                <w:rFonts w:ascii="Arial"/>
                <w:spacing w:val="-1"/>
                <w:w w:val="95"/>
                <w:sz w:val="16"/>
              </w:rPr>
              <w:t>(4)</w:t>
            </w:r>
            <w:r>
              <w:rPr>
                <w:rFonts w:ascii="Arial"/>
                <w:sz w:val="16"/>
              </w:rPr>
            </w:r>
          </w:p>
        </w:tc>
        <w:tc>
          <w:tcPr>
            <w:tcW w:w="2067" w:type="dxa"/>
            <w:tcBorders>
              <w:top w:val="nil" w:sz="6" w:space="0" w:color="auto"/>
              <w:left w:val="nil" w:sz="6" w:space="0" w:color="auto"/>
              <w:bottom w:val="nil" w:sz="6" w:space="0" w:color="auto"/>
              <w:right w:val="nil" w:sz="6" w:space="0" w:color="auto"/>
            </w:tcBorders>
          </w:tcPr>
          <w:p>
            <w:pPr>
              <w:pStyle w:val="TableParagraph"/>
              <w:tabs>
                <w:tab w:pos="574" w:val="left" w:leader="none"/>
              </w:tabs>
              <w:spacing w:line="240" w:lineRule="auto" w:before="13"/>
              <w:ind w:right="33"/>
              <w:jc w:val="right"/>
              <w:rPr>
                <w:rFonts w:ascii="Arial" w:hAnsi="Arial" w:cs="Arial" w:eastAsia="Arial" w:hint="default"/>
                <w:sz w:val="16"/>
                <w:szCs w:val="16"/>
              </w:rPr>
            </w:pPr>
            <w:r>
              <w:rPr>
                <w:rFonts w:ascii="Arial"/>
                <w:w w:val="95"/>
                <w:sz w:val="16"/>
              </w:rPr>
              <w:t>-</w:t>
              <w:tab/>
            </w:r>
            <w:r>
              <w:rPr>
                <w:rFonts w:ascii="Arial"/>
                <w:spacing w:val="-1"/>
                <w:w w:val="95"/>
                <w:sz w:val="16"/>
              </w:rPr>
              <w:t>8,574,254</w:t>
            </w:r>
            <w:r>
              <w:rPr>
                <w:rFonts w:ascii="Arial"/>
                <w:sz w:val="16"/>
              </w:rPr>
            </w:r>
          </w:p>
        </w:tc>
      </w:tr>
      <w:tr>
        <w:trPr>
          <w:trHeight w:val="208"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5" w:lineRule="exact"/>
              <w:ind w:left="35" w:right="0"/>
              <w:jc w:val="left"/>
              <w:rPr>
                <w:rFonts w:ascii="宋体" w:hAnsi="宋体" w:cs="宋体" w:eastAsia="宋体" w:hint="default"/>
                <w:sz w:val="16"/>
                <w:szCs w:val="16"/>
              </w:rPr>
            </w:pPr>
            <w:r>
              <w:rPr>
                <w:rFonts w:ascii="宋体" w:hAnsi="宋体" w:cs="宋体" w:eastAsia="宋体" w:hint="default"/>
                <w:sz w:val="16"/>
                <w:szCs w:val="16"/>
              </w:rPr>
              <w:t>支付</w:t>
            </w:r>
            <w:r>
              <w:rPr>
                <w:rFonts w:ascii="宋体" w:hAnsi="宋体" w:cs="宋体" w:eastAsia="宋体" w:hint="default"/>
                <w:spacing w:val="-42"/>
                <w:sz w:val="16"/>
                <w:szCs w:val="16"/>
              </w:rPr>
              <w:t> </w:t>
            </w:r>
            <w:r>
              <w:rPr>
                <w:rFonts w:ascii="Arial" w:hAnsi="Arial" w:cs="Arial" w:eastAsia="Arial" w:hint="default"/>
                <w:sz w:val="16"/>
                <w:szCs w:val="16"/>
              </w:rPr>
              <w:t>CDMA</w:t>
            </w:r>
            <w:r>
              <w:rPr>
                <w:rFonts w:ascii="Arial" w:hAnsi="Arial" w:cs="Arial" w:eastAsia="Arial" w:hint="default"/>
                <w:spacing w:val="-7"/>
                <w:sz w:val="16"/>
                <w:szCs w:val="16"/>
              </w:rPr>
              <w:t> </w:t>
            </w:r>
            <w:r>
              <w:rPr>
                <w:rFonts w:ascii="宋体" w:hAnsi="宋体" w:cs="宋体" w:eastAsia="宋体" w:hint="default"/>
                <w:sz w:val="16"/>
                <w:szCs w:val="16"/>
              </w:rPr>
              <w:t>网络租赁费</w:t>
            </w:r>
          </w:p>
        </w:tc>
        <w:tc>
          <w:tcPr>
            <w:tcW w:w="930" w:type="dxa"/>
            <w:tcBorders>
              <w:top w:val="nil" w:sz="6" w:space="0" w:color="auto"/>
              <w:left w:val="nil" w:sz="6" w:space="0" w:color="auto"/>
              <w:bottom w:val="nil" w:sz="6" w:space="0" w:color="auto"/>
              <w:right w:val="nil" w:sz="6" w:space="0" w:color="auto"/>
            </w:tcBorders>
          </w:tcPr>
          <w:p>
            <w:pPr>
              <w:pStyle w:val="TableParagraph"/>
              <w:spacing w:line="174" w:lineRule="exact"/>
              <w:ind w:right="43"/>
              <w:jc w:val="right"/>
              <w:rPr>
                <w:rFonts w:ascii="宋体" w:hAnsi="宋体" w:cs="宋体" w:eastAsia="宋体" w:hint="default"/>
                <w:sz w:val="16"/>
                <w:szCs w:val="16"/>
              </w:rPr>
            </w:pPr>
            <w:r>
              <w:rPr>
                <w:rFonts w:ascii="宋体" w:hAnsi="宋体" w:cs="宋体" w:eastAsia="宋体" w:hint="default"/>
                <w:w w:val="95"/>
                <w:sz w:val="16"/>
                <w:szCs w:val="16"/>
              </w:rPr>
              <w:t>租赁支出</w:t>
            </w:r>
            <w:r>
              <w:rPr>
                <w:rFonts w:ascii="宋体" w:hAnsi="宋体" w:cs="宋体" w:eastAsia="宋体" w:hint="default"/>
                <w:sz w:val="16"/>
                <w:szCs w:val="16"/>
              </w:rPr>
            </w:r>
          </w:p>
        </w:tc>
        <w:tc>
          <w:tcPr>
            <w:tcW w:w="1595" w:type="dxa"/>
            <w:tcBorders>
              <w:top w:val="nil" w:sz="6" w:space="0" w:color="auto"/>
              <w:left w:val="nil" w:sz="6" w:space="0" w:color="auto"/>
              <w:bottom w:val="nil" w:sz="6" w:space="0" w:color="auto"/>
              <w:right w:val="nil" w:sz="6" w:space="0" w:color="auto"/>
            </w:tcBorders>
          </w:tcPr>
          <w:p>
            <w:pPr>
              <w:pStyle w:val="TableParagraph"/>
              <w:spacing w:line="174" w:lineRule="exact"/>
              <w:ind w:left="44" w:right="0"/>
              <w:jc w:val="left"/>
              <w:rPr>
                <w:rFonts w:ascii="宋体" w:hAnsi="宋体" w:cs="宋体" w:eastAsia="宋体" w:hint="default"/>
                <w:sz w:val="16"/>
                <w:szCs w:val="16"/>
              </w:rPr>
            </w:pPr>
            <w:r>
              <w:rPr>
                <w:rFonts w:ascii="宋体" w:hAnsi="宋体" w:cs="宋体" w:eastAsia="宋体" w:hint="default"/>
                <w:sz w:val="16"/>
                <w:szCs w:val="16"/>
              </w:rPr>
              <w:t>联通新时空</w:t>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44"/>
              <w:jc w:val="right"/>
              <w:rPr>
                <w:rFonts w:ascii="Arial" w:hAnsi="Arial" w:cs="Arial" w:eastAsia="Arial" w:hint="default"/>
                <w:sz w:val="16"/>
                <w:szCs w:val="16"/>
              </w:rPr>
            </w:pPr>
            <w:r>
              <w:rPr>
                <w:rFonts w:ascii="Arial"/>
                <w:spacing w:val="-1"/>
                <w:w w:val="95"/>
                <w:sz w:val="16"/>
              </w:rPr>
              <w:t>(15)</w:t>
            </w:r>
            <w:r>
              <w:rPr>
                <w:rFonts w:ascii="Arial"/>
                <w:sz w:val="16"/>
              </w:rPr>
            </w:r>
          </w:p>
        </w:tc>
        <w:tc>
          <w:tcPr>
            <w:tcW w:w="2067" w:type="dxa"/>
            <w:tcBorders>
              <w:top w:val="nil" w:sz="6" w:space="0" w:color="auto"/>
              <w:left w:val="nil" w:sz="6" w:space="0" w:color="auto"/>
              <w:bottom w:val="nil" w:sz="6" w:space="0" w:color="auto"/>
              <w:right w:val="nil" w:sz="6" w:space="0" w:color="auto"/>
            </w:tcBorders>
          </w:tcPr>
          <w:p>
            <w:pPr>
              <w:pStyle w:val="TableParagraph"/>
              <w:tabs>
                <w:tab w:pos="263" w:val="left" w:leader="none"/>
              </w:tabs>
              <w:spacing w:line="240" w:lineRule="auto" w:before="13"/>
              <w:ind w:right="33"/>
              <w:jc w:val="right"/>
              <w:rPr>
                <w:rFonts w:ascii="Arial" w:hAnsi="Arial" w:cs="Arial" w:eastAsia="Arial" w:hint="default"/>
                <w:sz w:val="16"/>
                <w:szCs w:val="16"/>
              </w:rPr>
            </w:pPr>
            <w:r>
              <w:rPr>
                <w:rFonts w:ascii="Arial"/>
                <w:w w:val="95"/>
                <w:sz w:val="16"/>
              </w:rPr>
              <w:t>-</w:t>
              <w:tab/>
            </w:r>
            <w:r>
              <w:rPr>
                <w:rFonts w:ascii="Arial"/>
                <w:spacing w:val="-1"/>
                <w:sz w:val="16"/>
              </w:rPr>
              <w:t>6,008,819,681</w:t>
            </w:r>
          </w:p>
        </w:tc>
      </w:tr>
      <w:tr>
        <w:trPr>
          <w:trHeight w:val="294" w:hRule="exact"/>
        </w:trPr>
        <w:tc>
          <w:tcPr>
            <w:tcW w:w="2431" w:type="dxa"/>
            <w:tcBorders>
              <w:top w:val="nil" w:sz="6" w:space="0" w:color="auto"/>
              <w:left w:val="nil" w:sz="6" w:space="0" w:color="auto"/>
              <w:bottom w:val="nil" w:sz="6" w:space="0" w:color="auto"/>
              <w:right w:val="nil" w:sz="6" w:space="0" w:color="auto"/>
            </w:tcBorders>
          </w:tcPr>
          <w:p>
            <w:pPr>
              <w:pStyle w:val="TableParagraph"/>
              <w:spacing w:line="185" w:lineRule="exact"/>
              <w:ind w:left="35" w:right="0"/>
              <w:jc w:val="left"/>
              <w:rPr>
                <w:rFonts w:ascii="宋体" w:hAnsi="宋体" w:cs="宋体" w:eastAsia="宋体" w:hint="default"/>
                <w:sz w:val="16"/>
                <w:szCs w:val="16"/>
              </w:rPr>
            </w:pPr>
            <w:r>
              <w:rPr>
                <w:rFonts w:ascii="宋体" w:hAnsi="宋体" w:cs="宋体" w:eastAsia="宋体" w:hint="default"/>
                <w:sz w:val="16"/>
                <w:szCs w:val="16"/>
              </w:rPr>
              <w:t>支付</w:t>
            </w:r>
            <w:r>
              <w:rPr>
                <w:rFonts w:ascii="宋体" w:hAnsi="宋体" w:cs="宋体" w:eastAsia="宋体" w:hint="default"/>
                <w:spacing w:val="-43"/>
                <w:sz w:val="16"/>
                <w:szCs w:val="16"/>
              </w:rPr>
              <w:t> </w:t>
            </w:r>
            <w:r>
              <w:rPr>
                <w:rFonts w:ascii="Arial" w:hAnsi="Arial" w:cs="Arial" w:eastAsia="Arial" w:hint="default"/>
                <w:sz w:val="16"/>
                <w:szCs w:val="16"/>
              </w:rPr>
              <w:t>CDMA</w:t>
            </w:r>
            <w:r>
              <w:rPr>
                <w:rFonts w:ascii="Arial" w:hAnsi="Arial" w:cs="Arial" w:eastAsia="Arial" w:hint="default"/>
                <w:spacing w:val="-7"/>
                <w:sz w:val="16"/>
                <w:szCs w:val="16"/>
              </w:rPr>
              <w:t> </w:t>
            </w:r>
            <w:r>
              <w:rPr>
                <w:rFonts w:ascii="宋体" w:hAnsi="宋体" w:cs="宋体" w:eastAsia="宋体" w:hint="default"/>
                <w:sz w:val="16"/>
                <w:szCs w:val="16"/>
              </w:rPr>
              <w:t>网络容量相关成本</w:t>
            </w:r>
          </w:p>
        </w:tc>
        <w:tc>
          <w:tcPr>
            <w:tcW w:w="930" w:type="dxa"/>
            <w:tcBorders>
              <w:top w:val="nil" w:sz="6" w:space="0" w:color="auto"/>
              <w:left w:val="nil" w:sz="6" w:space="0" w:color="auto"/>
              <w:bottom w:val="nil" w:sz="6" w:space="0" w:color="auto"/>
              <w:right w:val="nil" w:sz="6" w:space="0" w:color="auto"/>
            </w:tcBorders>
          </w:tcPr>
          <w:p>
            <w:pPr>
              <w:pStyle w:val="TableParagraph"/>
              <w:spacing w:line="174" w:lineRule="exact"/>
              <w:ind w:right="43"/>
              <w:jc w:val="right"/>
              <w:rPr>
                <w:rFonts w:ascii="宋体" w:hAnsi="宋体" w:cs="宋体" w:eastAsia="宋体" w:hint="default"/>
                <w:sz w:val="16"/>
                <w:szCs w:val="16"/>
              </w:rPr>
            </w:pPr>
            <w:r>
              <w:rPr>
                <w:rFonts w:ascii="宋体" w:hAnsi="宋体" w:cs="宋体" w:eastAsia="宋体" w:hint="default"/>
                <w:w w:val="95"/>
                <w:sz w:val="16"/>
                <w:szCs w:val="16"/>
              </w:rPr>
              <w:t>租赁支出</w:t>
            </w:r>
            <w:r>
              <w:rPr>
                <w:rFonts w:ascii="宋体" w:hAnsi="宋体" w:cs="宋体" w:eastAsia="宋体" w:hint="default"/>
                <w:sz w:val="16"/>
                <w:szCs w:val="16"/>
              </w:rPr>
            </w:r>
          </w:p>
        </w:tc>
        <w:tc>
          <w:tcPr>
            <w:tcW w:w="1595" w:type="dxa"/>
            <w:tcBorders>
              <w:top w:val="nil" w:sz="6" w:space="0" w:color="auto"/>
              <w:left w:val="nil" w:sz="6" w:space="0" w:color="auto"/>
              <w:bottom w:val="nil" w:sz="6" w:space="0" w:color="auto"/>
              <w:right w:val="nil" w:sz="6" w:space="0" w:color="auto"/>
            </w:tcBorders>
          </w:tcPr>
          <w:p>
            <w:pPr>
              <w:pStyle w:val="TableParagraph"/>
              <w:spacing w:line="174" w:lineRule="exact"/>
              <w:ind w:left="44" w:right="0"/>
              <w:jc w:val="left"/>
              <w:rPr>
                <w:rFonts w:ascii="宋体" w:hAnsi="宋体" w:cs="宋体" w:eastAsia="宋体" w:hint="default"/>
                <w:sz w:val="16"/>
                <w:szCs w:val="16"/>
              </w:rPr>
            </w:pPr>
            <w:r>
              <w:rPr>
                <w:rFonts w:ascii="宋体" w:hAnsi="宋体" w:cs="宋体" w:eastAsia="宋体" w:hint="default"/>
                <w:sz w:val="16"/>
                <w:szCs w:val="16"/>
              </w:rPr>
              <w:t>联通新时空</w:t>
            </w:r>
          </w:p>
        </w:tc>
        <w:tc>
          <w:tcPr>
            <w:tcW w:w="1782"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745"/>
              <w:jc w:val="right"/>
              <w:rPr>
                <w:rFonts w:ascii="Arial" w:hAnsi="Arial" w:cs="Arial" w:eastAsia="Arial" w:hint="default"/>
                <w:sz w:val="16"/>
                <w:szCs w:val="16"/>
              </w:rPr>
            </w:pPr>
            <w:r>
              <w:rPr>
                <w:rFonts w:ascii="Arial"/>
                <w:spacing w:val="-1"/>
                <w:w w:val="95"/>
                <w:sz w:val="16"/>
              </w:rPr>
              <w:t>(16)</w:t>
            </w:r>
            <w:r>
              <w:rPr>
                <w:rFonts w:ascii="Arial"/>
                <w:sz w:val="16"/>
              </w:rPr>
            </w:r>
          </w:p>
        </w:tc>
        <w:tc>
          <w:tcPr>
            <w:tcW w:w="2067" w:type="dxa"/>
            <w:tcBorders>
              <w:top w:val="nil" w:sz="6" w:space="0" w:color="auto"/>
              <w:left w:val="nil" w:sz="6" w:space="0" w:color="auto"/>
              <w:bottom w:val="nil" w:sz="6" w:space="0" w:color="auto"/>
              <w:right w:val="nil" w:sz="6" w:space="0" w:color="auto"/>
            </w:tcBorders>
          </w:tcPr>
          <w:p>
            <w:pPr>
              <w:pStyle w:val="TableParagraph"/>
              <w:tabs>
                <w:tab w:pos="397" w:val="left" w:leader="none"/>
              </w:tabs>
              <w:spacing w:line="240" w:lineRule="auto" w:before="13"/>
              <w:ind w:right="33"/>
              <w:jc w:val="right"/>
              <w:rPr>
                <w:rFonts w:ascii="Arial" w:hAnsi="Arial" w:cs="Arial" w:eastAsia="Arial" w:hint="default"/>
                <w:sz w:val="16"/>
                <w:szCs w:val="16"/>
              </w:rPr>
            </w:pPr>
            <w:r>
              <w:rPr>
                <w:rFonts w:ascii="Arial"/>
                <w:w w:val="95"/>
                <w:sz w:val="16"/>
              </w:rPr>
              <w:t>-</w:t>
              <w:tab/>
            </w:r>
            <w:r>
              <w:rPr>
                <w:rFonts w:ascii="Arial"/>
                <w:spacing w:val="-1"/>
                <w:w w:val="95"/>
                <w:sz w:val="16"/>
              </w:rPr>
              <w:t>233,889,881</w:t>
            </w:r>
            <w:r>
              <w:rPr>
                <w:rFonts w:ascii="Arial"/>
                <w:sz w:val="16"/>
              </w:rPr>
            </w:r>
          </w:p>
        </w:tc>
      </w:tr>
    </w:tbl>
    <w:p>
      <w:pPr>
        <w:spacing w:line="240" w:lineRule="auto" w:before="9"/>
        <w:rPr>
          <w:rFonts w:ascii="宋体" w:hAnsi="宋体" w:cs="宋体" w:eastAsia="宋体" w:hint="default"/>
          <w:sz w:val="6"/>
          <w:szCs w:val="6"/>
        </w:rPr>
      </w:pPr>
    </w:p>
    <w:p>
      <w:pPr>
        <w:pStyle w:val="BodyText"/>
        <w:spacing w:line="286" w:lineRule="exact" w:before="60"/>
        <w:ind w:left="942" w:right="129" w:hanging="404"/>
        <w:jc w:val="both"/>
      </w:pPr>
      <w:r>
        <w:rPr>
          <w:spacing w:val="-2"/>
        </w:rPr>
        <w:t>注：如附注一（</w:t>
      </w:r>
      <w:r>
        <w:rPr>
          <w:rFonts w:ascii="Arial" w:hAnsi="Arial" w:cs="Arial" w:eastAsia="Arial" w:hint="default"/>
          <w:spacing w:val="-2"/>
        </w:rPr>
        <w:t>6</w:t>
      </w:r>
      <w:r>
        <w:rPr>
          <w:spacing w:val="-2"/>
        </w:rPr>
        <w:t>）所述目标业务收购被视为同一控制下企业合并，因此自可比期间期初合并计</w:t>
      </w:r>
      <w:r>
        <w:rPr>
          <w:w w:val="99"/>
        </w:rPr>
        <w:t> </w:t>
      </w:r>
      <w:r>
        <w:rPr/>
        <w:t>入本集团，因此目标业务与本集团的交易作为内部交易已于可比期间期初即在合并财务报</w:t>
      </w:r>
      <w:r>
        <w:rPr>
          <w:w w:val="99"/>
        </w:rPr>
        <w:t> </w:t>
      </w:r>
      <w:r>
        <w:rPr/>
        <w:t>表中被抵销，不再反映为关联交易。</w:t>
      </w:r>
    </w:p>
    <w:p>
      <w:pPr>
        <w:spacing w:after="0" w:line="286" w:lineRule="exact"/>
        <w:jc w:val="both"/>
        <w:sectPr>
          <w:type w:val="continuous"/>
          <w:pgSz w:w="11910" w:h="16840"/>
          <w:pgMar w:top="1600" w:bottom="280" w:left="1280" w:right="900"/>
        </w:sectPr>
      </w:pPr>
    </w:p>
    <w:p>
      <w:pPr>
        <w:spacing w:line="240" w:lineRule="auto" w:before="2"/>
        <w:rPr>
          <w:rFonts w:ascii="宋体" w:hAnsi="宋体" w:cs="宋体" w:eastAsia="宋体" w:hint="default"/>
          <w:sz w:val="19"/>
          <w:szCs w:val="19"/>
        </w:rPr>
      </w:pPr>
    </w:p>
    <w:p>
      <w:pPr>
        <w:pStyle w:val="BodyText"/>
        <w:spacing w:line="424" w:lineRule="auto" w:before="31"/>
        <w:ind w:left="592" w:right="7665" w:hanging="450"/>
        <w:jc w:val="left"/>
      </w:pPr>
      <w:r>
        <w:rPr>
          <w:rFonts w:ascii="Arial" w:hAnsi="Arial" w:cs="Arial" w:eastAsia="Arial" w:hint="default"/>
        </w:rPr>
        <w:t>4</w:t>
      </w:r>
      <w:r>
        <w:rPr/>
        <w:t>、</w:t>
      </w:r>
      <w:r>
        <w:rPr>
          <w:spacing w:val="-35"/>
        </w:rPr>
        <w:t> </w:t>
      </w:r>
      <w:r>
        <w:rPr/>
        <w:t>关联交易（续）</w:t>
      </w:r>
      <w:r>
        <w:rPr>
          <w:w w:val="99"/>
        </w:rPr>
        <w:t> </w:t>
      </w:r>
      <w:r>
        <w:rPr/>
        <w:t>注释：</w:t>
      </w:r>
    </w:p>
    <w:p>
      <w:pPr>
        <w:pStyle w:val="BodyText"/>
        <w:tabs>
          <w:tab w:pos="589" w:val="left" w:leader="none"/>
        </w:tabs>
        <w:spacing w:line="295" w:lineRule="exact" w:before="80"/>
        <w:ind w:left="114" w:right="86"/>
        <w:jc w:val="left"/>
        <w:rPr>
          <w:rFonts w:ascii="Arial" w:hAnsi="Arial" w:cs="Arial" w:eastAsia="Arial" w:hint="default"/>
        </w:rPr>
      </w:pPr>
      <w:r>
        <w:rPr>
          <w:rFonts w:ascii="Arial" w:hAnsi="Arial" w:cs="Arial" w:eastAsia="Arial" w:hint="default"/>
          <w:w w:val="95"/>
        </w:rPr>
        <w:t>(1)</w:t>
        <w:tab/>
      </w:r>
      <w:r>
        <w:rPr/>
        <w:t>于</w:t>
      </w:r>
      <w:r>
        <w:rPr>
          <w:spacing w:val="-41"/>
        </w:rPr>
        <w:t> </w:t>
      </w:r>
      <w:r>
        <w:rPr>
          <w:rFonts w:ascii="Arial" w:hAnsi="Arial" w:cs="Arial" w:eastAsia="Arial" w:hint="default"/>
        </w:rPr>
        <w:t>2006</w:t>
      </w:r>
      <w:r>
        <w:rPr>
          <w:rFonts w:ascii="Arial" w:hAnsi="Arial" w:cs="Arial" w:eastAsia="Arial" w:hint="default"/>
          <w:spacing w:val="10"/>
        </w:rPr>
        <w:t> </w:t>
      </w:r>
      <w:r>
        <w:rPr/>
        <w:t>年</w:t>
      </w:r>
      <w:r>
        <w:rPr>
          <w:spacing w:val="-39"/>
        </w:rPr>
        <w:t> </w:t>
      </w:r>
      <w:r>
        <w:rPr>
          <w:rFonts w:ascii="Arial" w:hAnsi="Arial" w:cs="Arial" w:eastAsia="Arial" w:hint="default"/>
        </w:rPr>
        <w:t>10</w:t>
      </w:r>
      <w:r>
        <w:rPr>
          <w:rFonts w:ascii="Arial" w:hAnsi="Arial" w:cs="Arial" w:eastAsia="Arial" w:hint="default"/>
          <w:spacing w:val="9"/>
        </w:rPr>
        <w:t> </w:t>
      </w:r>
      <w:r>
        <w:rPr/>
        <w:t>月</w:t>
      </w:r>
      <w:r>
        <w:rPr>
          <w:spacing w:val="-41"/>
        </w:rPr>
        <w:t> </w:t>
      </w:r>
      <w:r>
        <w:rPr>
          <w:rFonts w:ascii="Arial" w:hAnsi="Arial" w:cs="Arial" w:eastAsia="Arial" w:hint="default"/>
        </w:rPr>
        <w:t>26</w:t>
      </w:r>
      <w:r>
        <w:rPr>
          <w:rFonts w:ascii="Arial" w:hAnsi="Arial" w:cs="Arial" w:eastAsia="Arial" w:hint="default"/>
          <w:spacing w:val="10"/>
        </w:rPr>
        <w:t> </w:t>
      </w:r>
      <w:r>
        <w:rPr/>
        <w:t>日，联通运营公司与联通集团签订了《</w:t>
      </w:r>
      <w:r>
        <w:rPr>
          <w:rFonts w:ascii="Arial" w:hAnsi="Arial" w:cs="Arial" w:eastAsia="Arial" w:hint="default"/>
        </w:rPr>
        <w:t>2006</w:t>
      </w:r>
      <w:r>
        <w:rPr>
          <w:rFonts w:ascii="Arial" w:hAnsi="Arial" w:cs="Arial" w:eastAsia="Arial" w:hint="default"/>
          <w:spacing w:val="9"/>
        </w:rPr>
        <w:t> </w:t>
      </w:r>
      <w:r>
        <w:rPr/>
        <w:t>年综合服务协议》（“</w:t>
      </w:r>
      <w:r>
        <w:rPr>
          <w:rFonts w:ascii="Arial" w:hAnsi="Arial" w:cs="Arial" w:eastAsia="Arial" w:hint="default"/>
        </w:rPr>
        <w:t>2006</w:t>
      </w:r>
    </w:p>
    <w:p>
      <w:pPr>
        <w:pStyle w:val="BodyText"/>
        <w:spacing w:line="286" w:lineRule="exact"/>
        <w:ind w:left="589" w:right="0"/>
        <w:jc w:val="both"/>
      </w:pPr>
      <w:r>
        <w:rPr/>
        <w:t>年综合服务协议”）以延续关联交易。该等新协议已于</w:t>
      </w:r>
      <w:r>
        <w:rPr>
          <w:spacing w:val="-64"/>
        </w:rPr>
        <w:t> </w:t>
      </w:r>
      <w:r>
        <w:rPr>
          <w:rFonts w:ascii="Arial" w:hAnsi="Arial" w:cs="Arial" w:eastAsia="Arial" w:hint="default"/>
        </w:rPr>
        <w:t>2006</w:t>
      </w:r>
      <w:r>
        <w:rPr>
          <w:rFonts w:ascii="Arial" w:hAnsi="Arial" w:cs="Arial" w:eastAsia="Arial" w:hint="default"/>
          <w:spacing w:val="-16"/>
        </w:rPr>
        <w:t> </w:t>
      </w:r>
      <w:r>
        <w:rPr/>
        <w:t>年</w:t>
      </w:r>
      <w:r>
        <w:rPr>
          <w:spacing w:val="-65"/>
        </w:rPr>
        <w:t> </w:t>
      </w:r>
      <w:r>
        <w:rPr>
          <w:rFonts w:ascii="Arial" w:hAnsi="Arial" w:cs="Arial" w:eastAsia="Arial" w:hint="default"/>
        </w:rPr>
        <w:t>12</w:t>
      </w:r>
      <w:r>
        <w:rPr>
          <w:rFonts w:ascii="Arial" w:hAnsi="Arial" w:cs="Arial" w:eastAsia="Arial" w:hint="default"/>
          <w:spacing w:val="-16"/>
        </w:rPr>
        <w:t> </w:t>
      </w:r>
      <w:r>
        <w:rPr/>
        <w:t>月</w:t>
      </w:r>
      <w:r>
        <w:rPr>
          <w:spacing w:val="-65"/>
        </w:rPr>
        <w:t> </w:t>
      </w:r>
      <w:r>
        <w:rPr>
          <w:rFonts w:ascii="Arial" w:hAnsi="Arial" w:cs="Arial" w:eastAsia="Arial" w:hint="default"/>
        </w:rPr>
        <w:t>1</w:t>
      </w:r>
      <w:r>
        <w:rPr>
          <w:rFonts w:ascii="Arial" w:hAnsi="Arial" w:cs="Arial" w:eastAsia="Arial" w:hint="default"/>
          <w:spacing w:val="-16"/>
        </w:rPr>
        <w:t> </w:t>
      </w:r>
      <w:r>
        <w:rPr/>
        <w:t>日获得了本公司少数股</w:t>
      </w:r>
    </w:p>
    <w:p>
      <w:pPr>
        <w:pStyle w:val="BodyText"/>
        <w:spacing w:line="286" w:lineRule="exact" w:before="19"/>
        <w:ind w:left="589" w:right="131"/>
        <w:jc w:val="left"/>
      </w:pPr>
      <w:r>
        <w:rPr/>
        <w:t>东的批准，并于</w:t>
      </w:r>
      <w:r>
        <w:rPr>
          <w:spacing w:val="-53"/>
        </w:rPr>
        <w:t> </w:t>
      </w:r>
      <w:r>
        <w:rPr>
          <w:rFonts w:ascii="Arial" w:hAnsi="Arial" w:cs="Arial" w:eastAsia="Arial" w:hint="default"/>
        </w:rPr>
        <w:t>2007</w:t>
      </w:r>
      <w:r>
        <w:rPr>
          <w:rFonts w:ascii="Arial" w:hAnsi="Arial" w:cs="Arial" w:eastAsia="Arial" w:hint="default"/>
          <w:spacing w:val="-4"/>
        </w:rPr>
        <w:t> </w:t>
      </w:r>
      <w:r>
        <w:rPr/>
        <w:t>年</w:t>
      </w:r>
      <w:r>
        <w:rPr>
          <w:spacing w:val="-54"/>
        </w:rPr>
        <w:t> </w:t>
      </w:r>
      <w:r>
        <w:rPr>
          <w:rFonts w:ascii="Arial" w:hAnsi="Arial" w:cs="Arial" w:eastAsia="Arial" w:hint="default"/>
        </w:rPr>
        <w:t>1</w:t>
      </w:r>
      <w:r>
        <w:rPr>
          <w:rFonts w:ascii="Arial" w:hAnsi="Arial" w:cs="Arial" w:eastAsia="Arial" w:hint="default"/>
          <w:spacing w:val="-5"/>
        </w:rPr>
        <w:t> </w:t>
      </w:r>
      <w:r>
        <w:rPr/>
        <w:t>月</w:t>
      </w:r>
      <w:r>
        <w:rPr>
          <w:spacing w:val="-54"/>
        </w:rPr>
        <w:t> </w:t>
      </w:r>
      <w:r>
        <w:rPr>
          <w:rFonts w:ascii="Arial" w:hAnsi="Arial" w:cs="Arial" w:eastAsia="Arial" w:hint="default"/>
        </w:rPr>
        <w:t>1</w:t>
      </w:r>
      <w:r>
        <w:rPr>
          <w:rFonts w:ascii="Arial" w:hAnsi="Arial" w:cs="Arial" w:eastAsia="Arial" w:hint="default"/>
          <w:spacing w:val="-5"/>
        </w:rPr>
        <w:t> </w:t>
      </w:r>
      <w:r>
        <w:rPr/>
        <w:t>日生效。随着</w:t>
      </w:r>
      <w:r>
        <w:rPr>
          <w:spacing w:val="-52"/>
        </w:rPr>
        <w:t> </w:t>
      </w:r>
      <w:r>
        <w:rPr>
          <w:rFonts w:ascii="Arial" w:hAnsi="Arial" w:cs="Arial" w:eastAsia="Arial" w:hint="default"/>
        </w:rPr>
        <w:t>2007</w:t>
      </w:r>
      <w:r>
        <w:rPr>
          <w:rFonts w:ascii="Arial" w:hAnsi="Arial" w:cs="Arial" w:eastAsia="Arial" w:hint="default"/>
          <w:spacing w:val="-4"/>
        </w:rPr>
        <w:t> </w:t>
      </w:r>
      <w:r>
        <w:rPr/>
        <w:t>年收购贵州业务的完成，</w:t>
      </w:r>
      <w:r>
        <w:rPr>
          <w:rFonts w:ascii="Arial" w:hAnsi="Arial" w:cs="Arial" w:eastAsia="Arial" w:hint="default"/>
        </w:rPr>
        <w:t>2006</w:t>
      </w:r>
      <w:r>
        <w:rPr>
          <w:rFonts w:ascii="Arial" w:hAnsi="Arial" w:cs="Arial" w:eastAsia="Arial" w:hint="default"/>
          <w:spacing w:val="-4"/>
        </w:rPr>
        <w:t> </w:t>
      </w:r>
      <w:r>
        <w:rPr/>
        <w:t>年综合服务</w:t>
      </w:r>
      <w:r>
        <w:rPr>
          <w:w w:val="99"/>
        </w:rPr>
        <w:t> </w:t>
      </w:r>
      <w:r>
        <w:rPr/>
        <w:t>协议已修订，使得联通运营公司的服务区域包括贵州省。</w:t>
      </w:r>
    </w:p>
    <w:p>
      <w:pPr>
        <w:spacing w:line="240" w:lineRule="auto" w:before="1"/>
        <w:rPr>
          <w:rFonts w:ascii="宋体" w:hAnsi="宋体" w:cs="宋体" w:eastAsia="宋体" w:hint="default"/>
          <w:sz w:val="17"/>
          <w:szCs w:val="17"/>
        </w:rPr>
      </w:pPr>
    </w:p>
    <w:p>
      <w:pPr>
        <w:pStyle w:val="BodyText"/>
        <w:spacing w:line="295" w:lineRule="exact"/>
        <w:ind w:left="589" w:right="0"/>
        <w:jc w:val="both"/>
        <w:rPr>
          <w:rFonts w:ascii="Arial" w:hAnsi="Arial" w:cs="Arial" w:eastAsia="Arial" w:hint="default"/>
        </w:rPr>
      </w:pPr>
      <w:r>
        <w:rPr>
          <w:w w:val="99"/>
        </w:rPr>
        <w:t>根据于</w:t>
      </w:r>
      <w:r>
        <w:rPr>
          <w:spacing w:val="-61"/>
        </w:rPr>
        <w:t> </w:t>
      </w:r>
      <w:r>
        <w:rPr>
          <w:rFonts w:ascii="Arial" w:hAnsi="Arial" w:cs="Arial" w:eastAsia="Arial" w:hint="default"/>
          <w:w w:val="99"/>
        </w:rPr>
        <w:t>2008</w:t>
      </w:r>
      <w:r>
        <w:rPr>
          <w:rFonts w:ascii="Arial" w:hAnsi="Arial" w:cs="Arial" w:eastAsia="Arial" w:hint="default"/>
          <w:spacing w:val="-12"/>
        </w:rPr>
        <w:t> </w:t>
      </w:r>
      <w:r>
        <w:rPr>
          <w:w w:val="99"/>
        </w:rPr>
        <w:t>年</w:t>
      </w:r>
      <w:r>
        <w:rPr>
          <w:spacing w:val="-61"/>
        </w:rPr>
        <w:t> </w:t>
      </w:r>
      <w:r>
        <w:rPr>
          <w:rFonts w:ascii="Arial" w:hAnsi="Arial" w:cs="Arial" w:eastAsia="Arial" w:hint="default"/>
          <w:w w:val="99"/>
        </w:rPr>
        <w:t>9</w:t>
      </w:r>
      <w:r>
        <w:rPr>
          <w:rFonts w:ascii="Arial" w:hAnsi="Arial" w:cs="Arial" w:eastAsia="Arial" w:hint="default"/>
          <w:spacing w:val="-12"/>
        </w:rPr>
        <w:t> </w:t>
      </w:r>
      <w:r>
        <w:rPr>
          <w:w w:val="99"/>
        </w:rPr>
        <w:t>月</w:t>
      </w:r>
      <w:r>
        <w:rPr>
          <w:spacing w:val="-61"/>
        </w:rPr>
        <w:t> </w:t>
      </w:r>
      <w:r>
        <w:rPr>
          <w:rFonts w:ascii="Arial" w:hAnsi="Arial" w:cs="Arial" w:eastAsia="Arial" w:hint="default"/>
          <w:w w:val="99"/>
        </w:rPr>
        <w:t>16</w:t>
      </w:r>
      <w:r>
        <w:rPr>
          <w:rFonts w:ascii="Arial" w:hAnsi="Arial" w:cs="Arial" w:eastAsia="Arial" w:hint="default"/>
          <w:spacing w:val="-13"/>
        </w:rPr>
        <w:t> </w:t>
      </w:r>
      <w:r>
        <w:rPr>
          <w:w w:val="99"/>
        </w:rPr>
        <w:t>日本公</w:t>
      </w:r>
      <w:r>
        <w:rPr>
          <w:spacing w:val="1"/>
          <w:w w:val="99"/>
        </w:rPr>
        <w:t>司临</w:t>
      </w:r>
      <w:r>
        <w:rPr>
          <w:w w:val="99"/>
        </w:rPr>
        <w:t>时股东</w:t>
      </w:r>
      <w:r>
        <w:rPr>
          <w:spacing w:val="1"/>
          <w:w w:val="99"/>
        </w:rPr>
        <w:t>大会</w:t>
      </w:r>
      <w:r>
        <w:rPr>
          <w:w w:val="99"/>
        </w:rPr>
        <w:t>通过的</w:t>
      </w:r>
      <w:r>
        <w:rPr>
          <w:spacing w:val="1"/>
          <w:w w:val="99"/>
        </w:rPr>
        <w:t>决</w:t>
      </w:r>
      <w:r>
        <w:rPr>
          <w:w w:val="99"/>
        </w:rPr>
        <w:t>议</w:t>
      </w:r>
      <w:r>
        <w:rPr>
          <w:spacing w:val="-109"/>
          <w:w w:val="99"/>
        </w:rPr>
        <w:t>，</w:t>
      </w:r>
      <w:r>
        <w:rPr>
          <w:w w:val="99"/>
        </w:rPr>
        <w:t>本公司</w:t>
      </w:r>
      <w:r>
        <w:rPr>
          <w:spacing w:val="1"/>
          <w:w w:val="99"/>
        </w:rPr>
        <w:t>的少</w:t>
      </w:r>
      <w:r>
        <w:rPr>
          <w:w w:val="99"/>
        </w:rPr>
        <w:t>数股东</w:t>
      </w:r>
      <w:r>
        <w:rPr>
          <w:spacing w:val="1"/>
          <w:w w:val="99"/>
        </w:rPr>
        <w:t>已批</w:t>
      </w:r>
      <w:r>
        <w:rPr>
          <w:w w:val="99"/>
        </w:rPr>
        <w:t>准修改</w:t>
      </w:r>
      <w:r>
        <w:rPr>
          <w:spacing w:val="-61"/>
        </w:rPr>
        <w:t> </w:t>
      </w:r>
      <w:r>
        <w:rPr>
          <w:rFonts w:ascii="Arial" w:hAnsi="Arial" w:cs="Arial" w:eastAsia="Arial" w:hint="default"/>
          <w:w w:val="99"/>
        </w:rPr>
        <w:t>2006</w:t>
      </w:r>
      <w:r>
        <w:rPr>
          <w:rFonts w:ascii="Arial" w:hAnsi="Arial" w:cs="Arial" w:eastAsia="Arial" w:hint="default"/>
        </w:rPr>
      </w:r>
    </w:p>
    <w:p>
      <w:pPr>
        <w:pStyle w:val="BodyText"/>
        <w:spacing w:line="285" w:lineRule="exact"/>
        <w:ind w:left="589" w:right="0"/>
        <w:jc w:val="both"/>
        <w:rPr>
          <w:rFonts w:ascii="Arial" w:hAnsi="Arial" w:cs="Arial" w:eastAsia="Arial" w:hint="default"/>
        </w:rPr>
      </w:pPr>
      <w:r>
        <w:rPr/>
        <w:t>年综合服务协议并自 </w:t>
      </w:r>
      <w:r>
        <w:rPr>
          <w:rFonts w:ascii="Arial" w:hAnsi="Arial" w:cs="Arial" w:eastAsia="Arial" w:hint="default"/>
        </w:rPr>
        <w:t>2008 </w:t>
      </w:r>
      <w:r>
        <w:rPr/>
        <w:t>年 </w:t>
      </w:r>
      <w:r>
        <w:rPr>
          <w:rFonts w:ascii="Arial" w:hAnsi="Arial" w:cs="Arial" w:eastAsia="Arial" w:hint="default"/>
        </w:rPr>
        <w:t>10 </w:t>
      </w:r>
      <w:r>
        <w:rPr/>
        <w:t>月 </w:t>
      </w:r>
      <w:r>
        <w:rPr>
          <w:rFonts w:ascii="Arial" w:hAnsi="Arial" w:cs="Arial" w:eastAsia="Arial" w:hint="default"/>
        </w:rPr>
        <w:t>15 </w:t>
      </w:r>
      <w:r>
        <w:rPr/>
        <w:t>日生效，以使网通运营公司成为相关方。（“新</w:t>
      </w:r>
      <w:r>
        <w:rPr>
          <w:spacing w:val="-81"/>
        </w:rPr>
        <w:t> </w:t>
      </w:r>
      <w:r>
        <w:rPr>
          <w:rFonts w:ascii="Arial" w:hAnsi="Arial" w:cs="Arial" w:eastAsia="Arial" w:hint="default"/>
        </w:rPr>
        <w:t>2006</w:t>
      </w:r>
    </w:p>
    <w:p>
      <w:pPr>
        <w:pStyle w:val="BodyText"/>
        <w:spacing w:line="279" w:lineRule="exact"/>
        <w:ind w:left="589" w:right="0"/>
        <w:jc w:val="both"/>
      </w:pPr>
      <w:r>
        <w:rPr/>
        <w:t>年综合服务协议”）。</w:t>
      </w:r>
    </w:p>
    <w:p>
      <w:pPr>
        <w:spacing w:line="240" w:lineRule="auto" w:before="3"/>
        <w:rPr>
          <w:rFonts w:ascii="宋体" w:hAnsi="宋体" w:cs="宋体" w:eastAsia="宋体" w:hint="default"/>
          <w:sz w:val="21"/>
          <w:szCs w:val="21"/>
        </w:rPr>
      </w:pPr>
    </w:p>
    <w:p>
      <w:pPr>
        <w:pStyle w:val="BodyText"/>
        <w:spacing w:line="286" w:lineRule="exact"/>
        <w:ind w:left="589" w:right="122"/>
        <w:jc w:val="left"/>
      </w:pPr>
      <w:r>
        <w:rPr/>
        <w:t>根据于</w:t>
      </w:r>
      <w:r>
        <w:rPr>
          <w:spacing w:val="-64"/>
        </w:rPr>
        <w:t> </w:t>
      </w:r>
      <w:r>
        <w:rPr>
          <w:rFonts w:ascii="Arial" w:hAnsi="Arial" w:cs="Arial" w:eastAsia="Arial" w:hint="default"/>
        </w:rPr>
        <w:t>2008</w:t>
      </w:r>
      <w:r>
        <w:rPr>
          <w:rFonts w:ascii="Arial" w:hAnsi="Arial" w:cs="Arial" w:eastAsia="Arial" w:hint="default"/>
          <w:spacing w:val="-15"/>
        </w:rPr>
        <w:t> </w:t>
      </w:r>
      <w:r>
        <w:rPr/>
        <w:t>年</w:t>
      </w:r>
      <w:r>
        <w:rPr>
          <w:spacing w:val="-64"/>
        </w:rPr>
        <w:t> </w:t>
      </w:r>
      <w:r>
        <w:rPr>
          <w:rFonts w:ascii="Arial" w:hAnsi="Arial" w:cs="Arial" w:eastAsia="Arial" w:hint="default"/>
        </w:rPr>
        <w:t>9</w:t>
      </w:r>
      <w:r>
        <w:rPr>
          <w:rFonts w:ascii="Arial" w:hAnsi="Arial" w:cs="Arial" w:eastAsia="Arial" w:hint="default"/>
          <w:spacing w:val="-15"/>
        </w:rPr>
        <w:t> </w:t>
      </w:r>
      <w:r>
        <w:rPr/>
        <w:t>月</w:t>
      </w:r>
      <w:r>
        <w:rPr>
          <w:spacing w:val="-64"/>
        </w:rPr>
        <w:t> </w:t>
      </w:r>
      <w:r>
        <w:rPr>
          <w:rFonts w:ascii="Arial" w:hAnsi="Arial" w:cs="Arial" w:eastAsia="Arial" w:hint="default"/>
        </w:rPr>
        <w:t>16</w:t>
      </w:r>
      <w:r>
        <w:rPr>
          <w:rFonts w:ascii="Arial" w:hAnsi="Arial" w:cs="Arial" w:eastAsia="Arial" w:hint="default"/>
          <w:spacing w:val="-15"/>
        </w:rPr>
        <w:t> </w:t>
      </w:r>
      <w:r>
        <w:rPr/>
        <w:t>日临时股东大会通过的决议，本公司的少数股东已批准下列协议（“其</w:t>
      </w:r>
      <w:r>
        <w:rPr>
          <w:w w:val="99"/>
        </w:rPr>
        <w:t> </w:t>
      </w:r>
      <w:r>
        <w:rPr/>
        <w:t>他关联交易协议”）：</w:t>
      </w:r>
    </w:p>
    <w:p>
      <w:pPr>
        <w:spacing w:line="240" w:lineRule="auto" w:before="2"/>
        <w:rPr>
          <w:rFonts w:ascii="宋体" w:hAnsi="宋体" w:cs="宋体" w:eastAsia="宋体" w:hint="default"/>
          <w:sz w:val="17"/>
          <w:szCs w:val="17"/>
        </w:rPr>
      </w:pPr>
    </w:p>
    <w:p>
      <w:pPr>
        <w:pStyle w:val="BodyText"/>
        <w:spacing w:line="295" w:lineRule="exact"/>
        <w:ind w:left="589" w:right="0"/>
        <w:jc w:val="both"/>
      </w:pPr>
      <w:r>
        <w:rPr>
          <w:rFonts w:ascii="Symbol" w:hAnsi="Symbol" w:cs="Symbol" w:eastAsia="Symbol" w:hint="default"/>
        </w:rPr>
        <w:t></w:t>
      </w:r>
      <w:r>
        <w:rPr>
          <w:rFonts w:ascii="Symbol" w:hAnsi="Symbol" w:cs="Symbol" w:eastAsia="Symbol" w:hint="default"/>
          <w:spacing w:val="11"/>
        </w:rPr>
        <w:t></w:t>
      </w:r>
      <w:r>
        <w:rPr>
          <w:rFonts w:ascii="Times New Roman" w:hAnsi="Times New Roman" w:cs="Times New Roman" w:eastAsia="Times New Roman" w:hint="default"/>
          <w:spacing w:val="11"/>
        </w:rPr>
      </w:r>
      <w:r>
        <w:rPr/>
        <w:t>《</w:t>
      </w:r>
      <w:r>
        <w:rPr>
          <w:rFonts w:ascii="Arial" w:hAnsi="Arial" w:cs="Arial" w:eastAsia="Arial" w:hint="default"/>
        </w:rPr>
        <w:t>2008</w:t>
      </w:r>
      <w:r>
        <w:rPr/>
        <w:t>－</w:t>
      </w:r>
      <w:r>
        <w:rPr>
          <w:rFonts w:ascii="Arial" w:hAnsi="Arial" w:cs="Arial" w:eastAsia="Arial" w:hint="default"/>
        </w:rPr>
        <w:t>2010</w:t>
      </w:r>
      <w:r>
        <w:rPr>
          <w:rFonts w:ascii="Arial" w:hAnsi="Arial" w:cs="Arial" w:eastAsia="Arial" w:hint="default"/>
          <w:spacing w:val="-7"/>
        </w:rPr>
        <w:t> </w:t>
      </w:r>
      <w:r>
        <w:rPr/>
        <w:t>年工程设计施工及</w:t>
      </w:r>
      <w:r>
        <w:rPr>
          <w:spacing w:val="-56"/>
        </w:rPr>
        <w:t> </w:t>
      </w:r>
      <w:r>
        <w:rPr>
          <w:rFonts w:ascii="Arial" w:hAnsi="Arial" w:cs="Arial" w:eastAsia="Arial" w:hint="default"/>
        </w:rPr>
        <w:t>IT</w:t>
      </w:r>
      <w:r>
        <w:rPr>
          <w:rFonts w:ascii="Arial" w:hAnsi="Arial" w:cs="Arial" w:eastAsia="Arial" w:hint="default"/>
          <w:spacing w:val="-6"/>
        </w:rPr>
        <w:t> </w:t>
      </w:r>
      <w:r>
        <w:rPr/>
        <w:t>服务协议》</w:t>
      </w:r>
    </w:p>
    <w:p>
      <w:pPr>
        <w:pStyle w:val="BodyText"/>
        <w:spacing w:line="285" w:lineRule="exact"/>
        <w:ind w:left="589" w:right="0"/>
        <w:jc w:val="both"/>
      </w:pPr>
      <w:r>
        <w:rPr>
          <w:rFonts w:ascii="Symbol" w:hAnsi="Symbol" w:cs="Symbol" w:eastAsia="Symbol" w:hint="default"/>
        </w:rPr>
        <w:t></w:t>
      </w:r>
      <w:r>
        <w:rPr>
          <w:rFonts w:ascii="Times New Roman" w:hAnsi="Times New Roman" w:cs="Times New Roman" w:eastAsia="Times New Roman" w:hint="default"/>
        </w:rPr>
      </w:r>
      <w:r>
        <w:rPr/>
        <w:t>《</w:t>
      </w:r>
      <w:r>
        <w:rPr>
          <w:rFonts w:ascii="Arial" w:hAnsi="Arial" w:cs="Arial" w:eastAsia="Arial" w:hint="default"/>
        </w:rPr>
        <w:t>2008</w:t>
      </w:r>
      <w:r>
        <w:rPr/>
        <w:t>－</w:t>
      </w:r>
      <w:r>
        <w:rPr>
          <w:rFonts w:ascii="Arial" w:hAnsi="Arial" w:cs="Arial" w:eastAsia="Arial" w:hint="default"/>
        </w:rPr>
        <w:t>2010</w:t>
      </w:r>
      <w:r>
        <w:rPr>
          <w:rFonts w:ascii="Arial" w:hAnsi="Arial" w:cs="Arial" w:eastAsia="Arial" w:hint="default"/>
          <w:spacing w:val="4"/>
        </w:rPr>
        <w:t> </w:t>
      </w:r>
      <w:r>
        <w:rPr/>
        <w:t>年国内互联结算安排协议》</w:t>
      </w:r>
    </w:p>
    <w:p>
      <w:pPr>
        <w:pStyle w:val="BodyText"/>
        <w:spacing w:line="286" w:lineRule="exact"/>
        <w:ind w:left="589" w:right="0"/>
        <w:jc w:val="both"/>
      </w:pPr>
      <w:r>
        <w:rPr>
          <w:rFonts w:ascii="Symbol" w:hAnsi="Symbol" w:cs="Symbol" w:eastAsia="Symbol" w:hint="default"/>
        </w:rPr>
        <w:t></w:t>
      </w:r>
      <w:r>
        <w:rPr>
          <w:rFonts w:ascii="Times New Roman" w:hAnsi="Times New Roman" w:cs="Times New Roman" w:eastAsia="Times New Roman" w:hint="default"/>
        </w:rPr>
      </w:r>
      <w:r>
        <w:rPr/>
        <w:t>《</w:t>
      </w:r>
      <w:r>
        <w:rPr>
          <w:rFonts w:ascii="Arial" w:hAnsi="Arial" w:cs="Arial" w:eastAsia="Arial" w:hint="default"/>
        </w:rPr>
        <w:t>2008</w:t>
      </w:r>
      <w:r>
        <w:rPr/>
        <w:t>－</w:t>
      </w:r>
      <w:r>
        <w:rPr>
          <w:rFonts w:ascii="Arial" w:hAnsi="Arial" w:cs="Arial" w:eastAsia="Arial" w:hint="default"/>
        </w:rPr>
        <w:t>2010</w:t>
      </w:r>
      <w:r>
        <w:rPr>
          <w:rFonts w:ascii="Arial" w:hAnsi="Arial" w:cs="Arial" w:eastAsia="Arial" w:hint="default"/>
          <w:spacing w:val="6"/>
        </w:rPr>
        <w:t> </w:t>
      </w:r>
      <w:r>
        <w:rPr/>
        <w:t>年国际长途语音业务结算协议》</w:t>
      </w:r>
    </w:p>
    <w:p>
      <w:pPr>
        <w:pStyle w:val="BodyText"/>
        <w:spacing w:line="285" w:lineRule="exact"/>
        <w:ind w:left="589" w:right="0"/>
        <w:jc w:val="both"/>
      </w:pPr>
      <w:r>
        <w:rPr>
          <w:rFonts w:ascii="Symbol" w:hAnsi="Symbol" w:cs="Symbol" w:eastAsia="Symbol" w:hint="default"/>
        </w:rPr>
        <w:t></w:t>
      </w:r>
      <w:r>
        <w:rPr>
          <w:rFonts w:ascii="Symbol" w:hAnsi="Symbol" w:cs="Symbol" w:eastAsia="Symbol" w:hint="default"/>
          <w:spacing w:val="13"/>
        </w:rPr>
        <w:t></w:t>
      </w:r>
      <w:r>
        <w:rPr>
          <w:rFonts w:ascii="Times New Roman" w:hAnsi="Times New Roman" w:cs="Times New Roman" w:eastAsia="Times New Roman" w:hint="default"/>
          <w:spacing w:val="13"/>
        </w:rPr>
      </w:r>
      <w:r>
        <w:rPr/>
        <w:t>《</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8</w:t>
      </w:r>
      <w:r>
        <w:rPr>
          <w:rFonts w:ascii="Arial" w:hAnsi="Arial" w:cs="Arial" w:eastAsia="Arial" w:hint="default"/>
          <w:spacing w:val="-7"/>
        </w:rPr>
        <w:t> </w:t>
      </w:r>
      <w:r>
        <w:rPr/>
        <w:t>月</w:t>
      </w:r>
      <w:r>
        <w:rPr>
          <w:spacing w:val="-56"/>
        </w:rPr>
        <w:t> </w:t>
      </w:r>
      <w:r>
        <w:rPr>
          <w:rFonts w:ascii="Arial" w:hAnsi="Arial" w:cs="Arial" w:eastAsia="Arial" w:hint="default"/>
        </w:rPr>
        <w:t>12</w:t>
      </w:r>
      <w:r>
        <w:rPr>
          <w:rFonts w:ascii="Arial" w:hAnsi="Arial" w:cs="Arial" w:eastAsia="Arial" w:hint="default"/>
          <w:spacing w:val="-7"/>
        </w:rPr>
        <w:t> </w:t>
      </w:r>
      <w:r>
        <w:rPr/>
        <w:t>日签订的工程设计施工及</w:t>
      </w:r>
      <w:r>
        <w:rPr>
          <w:spacing w:val="-56"/>
        </w:rPr>
        <w:t> </w:t>
      </w:r>
      <w:r>
        <w:rPr>
          <w:rFonts w:ascii="Arial" w:hAnsi="Arial" w:cs="Arial" w:eastAsia="Arial" w:hint="default"/>
        </w:rPr>
        <w:t>IT</w:t>
      </w:r>
      <w:r>
        <w:rPr>
          <w:rFonts w:ascii="Arial" w:hAnsi="Arial" w:cs="Arial" w:eastAsia="Arial" w:hint="default"/>
          <w:spacing w:val="-6"/>
        </w:rPr>
        <w:t> </w:t>
      </w:r>
      <w:r>
        <w:rPr/>
        <w:t>服务框架协议》</w:t>
      </w:r>
    </w:p>
    <w:p>
      <w:pPr>
        <w:pStyle w:val="BodyText"/>
        <w:spacing w:line="295" w:lineRule="exact"/>
        <w:ind w:left="589" w:right="0"/>
        <w:jc w:val="both"/>
      </w:pPr>
      <w:r>
        <w:rPr>
          <w:rFonts w:ascii="Symbol" w:hAnsi="Symbol" w:cs="Symbol" w:eastAsia="Symbol" w:hint="default"/>
        </w:rPr>
        <w:t></w:t>
      </w:r>
      <w:r>
        <w:rPr>
          <w:rFonts w:ascii="Symbol" w:hAnsi="Symbol" w:cs="Symbol" w:eastAsia="Symbol" w:hint="default"/>
          <w:spacing w:val="13"/>
        </w:rPr>
        <w:t></w:t>
      </w:r>
      <w:r>
        <w:rPr>
          <w:rFonts w:ascii="Times New Roman" w:hAnsi="Times New Roman" w:cs="Times New Roman" w:eastAsia="Times New Roman" w:hint="default"/>
          <w:spacing w:val="13"/>
        </w:rPr>
      </w:r>
      <w:r>
        <w:rPr/>
        <w:t>《</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8</w:t>
      </w:r>
      <w:r>
        <w:rPr>
          <w:rFonts w:ascii="Arial" w:hAnsi="Arial" w:cs="Arial" w:eastAsia="Arial" w:hint="default"/>
          <w:spacing w:val="-7"/>
        </w:rPr>
        <w:t> </w:t>
      </w:r>
      <w:r>
        <w:rPr/>
        <w:t>月</w:t>
      </w:r>
      <w:r>
        <w:rPr>
          <w:spacing w:val="-56"/>
        </w:rPr>
        <w:t> </w:t>
      </w:r>
      <w:r>
        <w:rPr>
          <w:rFonts w:ascii="Arial" w:hAnsi="Arial" w:cs="Arial" w:eastAsia="Arial" w:hint="default"/>
        </w:rPr>
        <w:t>12</w:t>
      </w:r>
      <w:r>
        <w:rPr>
          <w:rFonts w:ascii="Arial" w:hAnsi="Arial" w:cs="Arial" w:eastAsia="Arial" w:hint="default"/>
          <w:spacing w:val="-7"/>
        </w:rPr>
        <w:t> </w:t>
      </w:r>
      <w:r>
        <w:rPr/>
        <w:t>日订立的互联结算安排框架协议》</w:t>
      </w:r>
    </w:p>
    <w:p>
      <w:pPr>
        <w:spacing w:line="240" w:lineRule="auto" w:before="12"/>
        <w:rPr>
          <w:rFonts w:ascii="宋体" w:hAnsi="宋体" w:cs="宋体" w:eastAsia="宋体" w:hint="default"/>
          <w:sz w:val="19"/>
          <w:szCs w:val="19"/>
        </w:rPr>
      </w:pPr>
    </w:p>
    <w:p>
      <w:pPr>
        <w:pStyle w:val="BodyText"/>
        <w:spacing w:line="286" w:lineRule="exact"/>
        <w:ind w:left="589" w:right="134"/>
        <w:jc w:val="both"/>
      </w:pPr>
      <w:r>
        <w:rPr/>
        <w:t>如附注一（</w:t>
      </w:r>
      <w:r>
        <w:rPr>
          <w:rFonts w:ascii="Arial" w:hAnsi="Arial" w:cs="Arial" w:eastAsia="Arial" w:hint="default"/>
        </w:rPr>
        <w:t>4</w:t>
      </w:r>
      <w:r>
        <w:rPr/>
        <w:t>）以及附注一（</w:t>
      </w:r>
      <w:r>
        <w:rPr>
          <w:rFonts w:ascii="Arial" w:hAnsi="Arial" w:cs="Arial" w:eastAsia="Arial" w:hint="default"/>
        </w:rPr>
        <w:t>5</w:t>
      </w:r>
      <w:r>
        <w:rPr/>
        <w:t>）所述，于</w:t>
      </w:r>
      <w:r>
        <w:rPr>
          <w:spacing w:val="-43"/>
        </w:rPr>
        <w:t> </w:t>
      </w:r>
      <w:r>
        <w:rPr>
          <w:rFonts w:ascii="Arial" w:hAnsi="Arial" w:cs="Arial" w:eastAsia="Arial" w:hint="default"/>
        </w:rPr>
        <w:t>2009</w:t>
      </w:r>
      <w:r>
        <w:rPr>
          <w:rFonts w:ascii="Arial" w:hAnsi="Arial" w:cs="Arial" w:eastAsia="Arial" w:hint="default"/>
          <w:spacing w:val="8"/>
        </w:rPr>
        <w:t> </w:t>
      </w:r>
      <w:r>
        <w:rPr/>
        <w:t>年</w:t>
      </w:r>
      <w:r>
        <w:rPr>
          <w:spacing w:val="-43"/>
        </w:rPr>
        <w:t> </w:t>
      </w:r>
      <w:r>
        <w:rPr>
          <w:rFonts w:ascii="Arial" w:hAnsi="Arial" w:cs="Arial" w:eastAsia="Arial" w:hint="default"/>
        </w:rPr>
        <w:t>1</w:t>
      </w:r>
      <w:r>
        <w:rPr>
          <w:rFonts w:ascii="Arial" w:hAnsi="Arial" w:cs="Arial" w:eastAsia="Arial" w:hint="default"/>
          <w:spacing w:val="6"/>
        </w:rPr>
        <w:t> </w:t>
      </w:r>
      <w:r>
        <w:rPr/>
        <w:t>月，联通集团和联通运营公司分别吸收合</w:t>
      </w:r>
      <w:r>
        <w:rPr>
          <w:w w:val="99"/>
        </w:rPr>
        <w:t> </w:t>
      </w:r>
      <w:r>
        <w:rPr/>
        <w:t>并了网通集团和网通运营公司，联通集团和联通运营公司亦分别承继了网通集团与网通运营公</w:t>
      </w:r>
      <w:r>
        <w:rPr>
          <w:spacing w:val="-81"/>
        </w:rPr>
        <w:t> </w:t>
      </w:r>
      <w:r>
        <w:rPr>
          <w:spacing w:val="-81"/>
        </w:rPr>
      </w:r>
      <w:r>
        <w:rPr/>
        <w:t>司于上述新综合服务协议以及其他关联交易协议项下的权利和义务。</w:t>
      </w:r>
    </w:p>
    <w:p>
      <w:pPr>
        <w:spacing w:line="240" w:lineRule="auto" w:before="1"/>
        <w:rPr>
          <w:rFonts w:ascii="宋体" w:hAnsi="宋体" w:cs="宋体" w:eastAsia="宋体" w:hint="default"/>
          <w:sz w:val="17"/>
          <w:szCs w:val="17"/>
        </w:rPr>
      </w:pPr>
    </w:p>
    <w:p>
      <w:pPr>
        <w:pStyle w:val="BodyText"/>
        <w:tabs>
          <w:tab w:pos="589" w:val="left" w:leader="none"/>
        </w:tabs>
        <w:spacing w:line="295" w:lineRule="exact"/>
        <w:ind w:left="114" w:right="0"/>
        <w:jc w:val="left"/>
      </w:pPr>
      <w:r>
        <w:rPr>
          <w:rFonts w:ascii="Arial" w:hAnsi="Arial" w:cs="Arial" w:eastAsia="Arial" w:hint="default"/>
          <w:w w:val="95"/>
        </w:rPr>
        <w:t>(2)</w:t>
        <w:tab/>
      </w:r>
      <w:r>
        <w:rPr/>
        <w:t>如附注一（</w:t>
      </w:r>
      <w:r>
        <w:rPr>
          <w:rFonts w:ascii="Arial" w:hAnsi="Arial" w:cs="Arial" w:eastAsia="Arial" w:hint="default"/>
        </w:rPr>
        <w:t>6</w:t>
      </w:r>
      <w:r>
        <w:rPr/>
        <w:t>）所述，根据网络租赁协议，联通运营公司独家向联通新时空租赁其拥有的南方固</w:t>
      </w:r>
    </w:p>
    <w:p>
      <w:pPr>
        <w:pStyle w:val="BodyText"/>
        <w:spacing w:line="286" w:lineRule="exact" w:before="19"/>
        <w:ind w:left="589" w:right="128"/>
        <w:jc w:val="left"/>
      </w:pPr>
      <w:r>
        <w:rPr>
          <w:spacing w:val="-5"/>
          <w:w w:val="99"/>
        </w:rPr>
        <w:t>定电信网络以经营固网业务。租赁费用综合考虑南方</w:t>
      </w:r>
      <w:r>
        <w:rPr>
          <w:spacing w:val="-43"/>
          <w:w w:val="99"/>
        </w:rPr>
        <w:t> </w:t>
      </w:r>
      <w:r>
        <w:rPr>
          <w:rFonts w:ascii="Arial" w:hAnsi="Arial" w:cs="Arial" w:eastAsia="Arial" w:hint="default"/>
          <w:w w:val="99"/>
        </w:rPr>
        <w:t>21</w:t>
      </w:r>
      <w:r>
        <w:rPr>
          <w:rFonts w:ascii="Arial" w:hAnsi="Arial" w:cs="Arial" w:eastAsia="Arial" w:hint="default"/>
          <w:spacing w:val="6"/>
          <w:w w:val="99"/>
        </w:rPr>
        <w:t> </w:t>
      </w:r>
      <w:r>
        <w:rPr>
          <w:w w:val="99"/>
        </w:rPr>
        <w:t>省固网业务的通信服务收入以及市场有</w:t>
      </w:r>
      <w:r>
        <w:rPr>
          <w:spacing w:val="-107"/>
          <w:w w:val="99"/>
        </w:rPr>
        <w:t> </w:t>
      </w:r>
      <w:r>
        <w:rPr>
          <w:spacing w:val="-107"/>
          <w:w w:val="99"/>
        </w:rPr>
      </w:r>
      <w:r>
        <w:rPr/>
        <w:t>关先例确定。</w:t>
      </w:r>
    </w:p>
    <w:p>
      <w:pPr>
        <w:spacing w:line="240" w:lineRule="auto" w:before="3"/>
        <w:rPr>
          <w:rFonts w:ascii="宋体" w:hAnsi="宋体" w:cs="宋体" w:eastAsia="宋体" w:hint="default"/>
          <w:sz w:val="19"/>
          <w:szCs w:val="19"/>
        </w:rPr>
      </w:pPr>
    </w:p>
    <w:p>
      <w:pPr>
        <w:pStyle w:val="BodyText"/>
        <w:tabs>
          <w:tab w:pos="589" w:val="left" w:leader="none"/>
        </w:tabs>
        <w:spacing w:line="286" w:lineRule="exact"/>
        <w:ind w:left="589" w:right="134" w:hanging="476"/>
        <w:jc w:val="left"/>
      </w:pPr>
      <w:r>
        <w:rPr>
          <w:rFonts w:ascii="Arial" w:hAnsi="Arial" w:cs="Arial" w:eastAsia="Arial" w:hint="default"/>
          <w:w w:val="95"/>
        </w:rPr>
        <w:t>(3)</w:t>
        <w:tab/>
      </w:r>
      <w:r>
        <w:rPr/>
        <w:t>联通进出口向本集团提供设备购买代理服务。本集团依据联通进出口代理采购的国内或国外设</w:t>
      </w:r>
      <w:r>
        <w:rPr>
          <w:spacing w:val="-81"/>
        </w:rPr>
        <w:t> </w:t>
      </w:r>
      <w:r>
        <w:rPr>
          <w:spacing w:val="-81"/>
        </w:rPr>
      </w:r>
      <w:r>
        <w:rPr/>
        <w:t>备的合同金额按约定的比例支付代理服务费用。</w:t>
      </w:r>
    </w:p>
    <w:p>
      <w:pPr>
        <w:spacing w:line="240" w:lineRule="auto" w:before="6"/>
        <w:rPr>
          <w:rFonts w:ascii="宋体" w:hAnsi="宋体" w:cs="宋体" w:eastAsia="宋体" w:hint="default"/>
          <w:sz w:val="19"/>
          <w:szCs w:val="19"/>
        </w:rPr>
      </w:pPr>
    </w:p>
    <w:p>
      <w:pPr>
        <w:pStyle w:val="BodyText"/>
        <w:tabs>
          <w:tab w:pos="589" w:val="left" w:leader="none"/>
        </w:tabs>
        <w:spacing w:line="284" w:lineRule="exact"/>
        <w:ind w:left="589" w:right="134" w:hanging="476"/>
        <w:jc w:val="left"/>
      </w:pPr>
      <w:r>
        <w:rPr>
          <w:rFonts w:ascii="Arial" w:hAnsi="Arial" w:cs="Arial" w:eastAsia="Arial" w:hint="default"/>
          <w:w w:val="95"/>
        </w:rPr>
        <w:t>(4)</w:t>
        <w:tab/>
      </w:r>
      <w:r>
        <w:rPr/>
        <w:t>联通时科和联通新时讯利用联通运营公司的移动通信网络及数据平台向用户提供增值服务，并</w:t>
      </w:r>
      <w:r>
        <w:rPr>
          <w:spacing w:val="-81"/>
        </w:rPr>
        <w:t> </w:t>
      </w:r>
      <w:r>
        <w:rPr>
          <w:spacing w:val="-81"/>
        </w:rPr>
      </w:r>
      <w:r>
        <w:rPr/>
        <w:t>参考与同类地区第三方的交易标准按照协议中规定的收入分成比例向联通运营公司收费。</w:t>
      </w:r>
    </w:p>
    <w:p>
      <w:pPr>
        <w:spacing w:line="240" w:lineRule="auto" w:before="5"/>
        <w:rPr>
          <w:rFonts w:ascii="宋体" w:hAnsi="宋体" w:cs="宋体" w:eastAsia="宋体" w:hint="default"/>
          <w:sz w:val="19"/>
          <w:szCs w:val="19"/>
        </w:rPr>
      </w:pPr>
    </w:p>
    <w:p>
      <w:pPr>
        <w:pStyle w:val="BodyText"/>
        <w:tabs>
          <w:tab w:pos="603" w:val="left" w:leader="none"/>
        </w:tabs>
        <w:spacing w:line="286" w:lineRule="exact"/>
        <w:ind w:left="603" w:right="102" w:hanging="490"/>
        <w:jc w:val="left"/>
      </w:pPr>
      <w:r>
        <w:rPr>
          <w:rFonts w:ascii="Arial" w:hAnsi="Arial" w:cs="Arial" w:eastAsia="Arial" w:hint="default"/>
          <w:w w:val="95"/>
        </w:rPr>
        <w:t>(5)</w:t>
        <w:tab/>
      </w:r>
      <w:r>
        <w:rPr/>
        <w:t>本集团因使用联通集团的国际出入口局提供的国际接入服务而向联通集团支付使用费，该项费</w:t>
      </w:r>
      <w:r>
        <w:rPr>
          <w:spacing w:val="-102"/>
        </w:rPr>
        <w:t> </w:t>
      </w:r>
      <w:r>
        <w:rPr>
          <w:spacing w:val="-102"/>
        </w:rPr>
      </w:r>
      <w:r>
        <w:rPr/>
        <w:t>用是依据联通集团运营和维护国际出入口局设施的成本计算，包括折旧费和</w:t>
      </w:r>
      <w:r>
        <w:rPr>
          <w:spacing w:val="-57"/>
        </w:rPr>
        <w:t> </w:t>
      </w:r>
      <w:r>
        <w:rPr>
          <w:rFonts w:ascii="Arial" w:hAnsi="Arial" w:cs="Arial" w:eastAsia="Arial" w:hint="default"/>
        </w:rPr>
        <w:t>10%</w:t>
      </w:r>
      <w:r>
        <w:rPr/>
        <w:t>的边际利润。</w:t>
      </w:r>
    </w:p>
    <w:p>
      <w:pPr>
        <w:spacing w:after="0" w:line="286" w:lineRule="exact"/>
        <w:jc w:val="left"/>
        <w:sectPr>
          <w:headerReference w:type="default" r:id="rId135"/>
          <w:pgSz w:w="11910" w:h="16840"/>
          <w:pgMar w:header="968" w:footer="600" w:top="2880" w:bottom="800" w:left="1240" w:right="880"/>
        </w:sectPr>
      </w:pPr>
    </w:p>
    <w:p>
      <w:pPr>
        <w:spacing w:line="240" w:lineRule="auto" w:before="12"/>
        <w:rPr>
          <w:rFonts w:ascii="宋体" w:hAnsi="宋体" w:cs="宋体" w:eastAsia="宋体" w:hint="default"/>
          <w:sz w:val="15"/>
          <w:szCs w:val="15"/>
        </w:rPr>
      </w:pPr>
    </w:p>
    <w:p>
      <w:pPr>
        <w:pStyle w:val="BodyText"/>
        <w:spacing w:line="240" w:lineRule="auto" w:before="31"/>
        <w:ind w:left="589" w:right="306"/>
        <w:jc w:val="left"/>
      </w:pPr>
      <w:r>
        <w:rPr/>
        <w:t>注释（续）：</w:t>
      </w:r>
    </w:p>
    <w:p>
      <w:pPr>
        <w:spacing w:line="240" w:lineRule="auto" w:before="3"/>
        <w:rPr>
          <w:rFonts w:ascii="宋体" w:hAnsi="宋体" w:cs="宋体" w:eastAsia="宋体" w:hint="default"/>
          <w:sz w:val="21"/>
          <w:szCs w:val="21"/>
        </w:rPr>
      </w:pPr>
    </w:p>
    <w:p>
      <w:pPr>
        <w:pStyle w:val="BodyText"/>
        <w:spacing w:line="286" w:lineRule="exact"/>
        <w:ind w:left="604" w:right="220" w:hanging="490"/>
        <w:jc w:val="both"/>
      </w:pPr>
      <w:r>
        <w:rPr>
          <w:rFonts w:ascii="Arial" w:hAnsi="Arial" w:cs="Arial" w:eastAsia="Arial" w:hint="default"/>
        </w:rPr>
        <w:t>(6)</w:t>
      </w:r>
      <w:r>
        <w:rPr>
          <w:rFonts w:ascii="Arial" w:hAnsi="Arial" w:cs="Arial" w:eastAsia="Arial" w:hint="default"/>
          <w:spacing w:val="58"/>
        </w:rPr>
        <w:t> </w:t>
      </w:r>
      <w:r>
        <w:rPr/>
        <w:t>联通运营公司和联通集团分别向对方出租若干物业，相关物业均位于联通运营公司的服务区，</w:t>
      </w:r>
      <w:r>
        <w:rPr>
          <w:spacing w:val="-108"/>
        </w:rPr>
        <w:t> </w:t>
      </w:r>
      <w:r>
        <w:rPr/>
        <w:t>其用途为办公室、电信设备场地和其它辅助用途。联通运营公司和联通集团应付的费用基于市</w:t>
      </w:r>
      <w:r>
        <w:rPr>
          <w:spacing w:val="1"/>
          <w:w w:val="99"/>
        </w:rPr>
        <w:t> </w:t>
      </w:r>
      <w:r>
        <w:rPr/>
        <w:t>场租金水平或每一项物业的折旧和维修费确定。后者在折旧和维修费不高于市场租金水平时适</w:t>
      </w:r>
      <w:r>
        <w:rPr>
          <w:spacing w:val="1"/>
          <w:w w:val="99"/>
        </w:rPr>
        <w:t> </w:t>
      </w:r>
      <w:r>
        <w:rPr/>
        <w:t>用。相关费用应按季于每季末支付，每年参考租赁物业当时市场租金水平重新审定。</w:t>
      </w:r>
    </w:p>
    <w:p>
      <w:pPr>
        <w:spacing w:line="240" w:lineRule="auto" w:before="3"/>
        <w:rPr>
          <w:rFonts w:ascii="宋体" w:hAnsi="宋体" w:cs="宋体" w:eastAsia="宋体" w:hint="default"/>
          <w:sz w:val="19"/>
          <w:szCs w:val="19"/>
        </w:rPr>
      </w:pPr>
    </w:p>
    <w:p>
      <w:pPr>
        <w:pStyle w:val="BodyText"/>
        <w:spacing w:line="286" w:lineRule="exact"/>
        <w:ind w:left="604" w:right="216" w:hanging="490"/>
        <w:jc w:val="both"/>
      </w:pPr>
      <w:r>
        <w:rPr>
          <w:rFonts w:ascii="Arial" w:hAnsi="Arial" w:cs="Arial" w:eastAsia="Arial" w:hint="default"/>
        </w:rPr>
        <w:t>(7)</w:t>
      </w:r>
      <w:r>
        <w:rPr>
          <w:rFonts w:ascii="Arial" w:hAnsi="Arial" w:cs="Arial" w:eastAsia="Arial" w:hint="default"/>
          <w:spacing w:val="43"/>
        </w:rPr>
        <w:t> </w:t>
      </w:r>
      <w:r>
        <w:rPr>
          <w:spacing w:val="6"/>
        </w:rPr>
        <w:t>联通集团及其它附属公司向联通运营公司提供若干工程及信息技术相关服务的一系列相关服</w:t>
      </w:r>
      <w:r>
        <w:rPr>
          <w:spacing w:val="7"/>
          <w:w w:val="99"/>
        </w:rPr>
        <w:t> </w:t>
      </w:r>
      <w:r>
        <w:rPr/>
        <w:t>务，其应付价格参照市场价格制定，于提供相关服务时结算。</w:t>
      </w:r>
    </w:p>
    <w:p>
      <w:pPr>
        <w:spacing w:line="240" w:lineRule="auto" w:before="3"/>
        <w:rPr>
          <w:rFonts w:ascii="宋体" w:hAnsi="宋体" w:cs="宋体" w:eastAsia="宋体" w:hint="default"/>
          <w:sz w:val="19"/>
          <w:szCs w:val="19"/>
        </w:rPr>
      </w:pPr>
    </w:p>
    <w:p>
      <w:pPr>
        <w:pStyle w:val="BodyText"/>
        <w:spacing w:line="286" w:lineRule="exact"/>
        <w:ind w:left="604" w:right="220" w:hanging="490"/>
        <w:jc w:val="both"/>
      </w:pPr>
      <w:r>
        <w:rPr>
          <w:rFonts w:ascii="Arial" w:hAnsi="Arial" w:cs="Arial" w:eastAsia="Arial" w:hint="default"/>
        </w:rPr>
        <w:t>(8)</w:t>
      </w:r>
      <w:r>
        <w:rPr>
          <w:rFonts w:ascii="Arial" w:hAnsi="Arial" w:cs="Arial" w:eastAsia="Arial" w:hint="default"/>
          <w:spacing w:val="58"/>
        </w:rPr>
        <w:t> </w:t>
      </w:r>
      <w:r>
        <w:rPr/>
        <w:t>联通运营公司与联通集团签订了一项一般行政服务的共享服务协议。根据此项协议，共享服务</w:t>
      </w:r>
      <w:r>
        <w:rPr>
          <w:spacing w:val="-108"/>
        </w:rPr>
        <w:t> </w:t>
      </w:r>
      <w:r>
        <w:rPr/>
        <w:t>的费用将根据其资产在双方之间分摊。</w:t>
      </w:r>
    </w:p>
    <w:p>
      <w:pPr>
        <w:spacing w:line="240" w:lineRule="auto" w:before="4"/>
        <w:rPr>
          <w:rFonts w:ascii="宋体" w:hAnsi="宋体" w:cs="宋体" w:eastAsia="宋体" w:hint="default"/>
          <w:sz w:val="19"/>
          <w:szCs w:val="19"/>
        </w:rPr>
      </w:pPr>
    </w:p>
    <w:p>
      <w:pPr>
        <w:pStyle w:val="BodyText"/>
        <w:spacing w:line="286" w:lineRule="exact"/>
        <w:ind w:left="604" w:right="220" w:hanging="490"/>
        <w:jc w:val="both"/>
      </w:pPr>
      <w:r>
        <w:rPr>
          <w:rFonts w:ascii="Arial" w:hAnsi="Arial" w:cs="Arial" w:eastAsia="Arial" w:hint="default"/>
        </w:rPr>
        <w:t>(9)</w:t>
      </w:r>
      <w:r>
        <w:rPr>
          <w:rFonts w:ascii="Arial" w:hAnsi="Arial" w:cs="Arial" w:eastAsia="Arial" w:hint="default"/>
          <w:spacing w:val="58"/>
        </w:rPr>
        <w:t> </w:t>
      </w:r>
      <w:r>
        <w:rPr/>
        <w:t>联通集团向联通运营公司出租若干省际光纤电缆、国际通信资源及若干其它通信设施，租金以</w:t>
      </w:r>
      <w:r>
        <w:rPr>
          <w:spacing w:val="-108"/>
        </w:rPr>
        <w:t> </w:t>
      </w:r>
      <w:r>
        <w:rPr/>
        <w:t>相关设施的每年折旧费为基础确定，且收费不高于市场费率。</w:t>
      </w:r>
    </w:p>
    <w:p>
      <w:pPr>
        <w:spacing w:line="240" w:lineRule="auto" w:before="3"/>
        <w:rPr>
          <w:rFonts w:ascii="宋体" w:hAnsi="宋体" w:cs="宋体" w:eastAsia="宋体" w:hint="default"/>
          <w:sz w:val="19"/>
          <w:szCs w:val="19"/>
        </w:rPr>
      </w:pPr>
    </w:p>
    <w:p>
      <w:pPr>
        <w:pStyle w:val="BodyText"/>
        <w:spacing w:line="286" w:lineRule="exact"/>
        <w:ind w:left="604" w:right="220" w:hanging="490"/>
        <w:jc w:val="both"/>
      </w:pPr>
      <w:r>
        <w:rPr>
          <w:rFonts w:ascii="Arial" w:hAnsi="Arial" w:cs="Arial" w:eastAsia="Arial" w:hint="default"/>
        </w:rPr>
        <w:t>(10)</w:t>
      </w:r>
      <w:r>
        <w:rPr>
          <w:rFonts w:ascii="Arial" w:hAnsi="Arial" w:cs="Arial" w:eastAsia="Arial" w:hint="default"/>
          <w:spacing w:val="56"/>
        </w:rPr>
        <w:t> </w:t>
      </w:r>
      <w:r>
        <w:rPr/>
        <w:t>系统集成公司向联通新时空、联通集团及其附属公司提供信息通信技术服务，应支付的开支以</w:t>
      </w:r>
      <w:r>
        <w:rPr>
          <w:spacing w:val="-106"/>
        </w:rPr>
        <w:t> </w:t>
      </w:r>
      <w:r>
        <w:rPr/>
        <w:t>市场价格而定。</w:t>
      </w:r>
    </w:p>
    <w:p>
      <w:pPr>
        <w:spacing w:line="240" w:lineRule="auto" w:before="3"/>
        <w:rPr>
          <w:rFonts w:ascii="宋体" w:hAnsi="宋体" w:cs="宋体" w:eastAsia="宋体" w:hint="default"/>
          <w:sz w:val="19"/>
          <w:szCs w:val="19"/>
        </w:rPr>
      </w:pPr>
    </w:p>
    <w:p>
      <w:pPr>
        <w:pStyle w:val="BodyText"/>
        <w:spacing w:line="286" w:lineRule="exact"/>
        <w:ind w:left="604" w:right="220" w:hanging="490"/>
        <w:jc w:val="both"/>
      </w:pPr>
      <w:r>
        <w:rPr>
          <w:rFonts w:ascii="Arial" w:hAnsi="Arial" w:cs="Arial" w:eastAsia="Arial" w:hint="default"/>
        </w:rPr>
        <w:t>(11)</w:t>
      </w:r>
      <w:r>
        <w:rPr>
          <w:rFonts w:ascii="Arial" w:hAnsi="Arial" w:cs="Arial" w:eastAsia="Arial" w:hint="default"/>
          <w:spacing w:val="56"/>
        </w:rPr>
        <w:t> </w:t>
      </w:r>
      <w:r>
        <w:rPr/>
        <w:t>联通运营公司可要求联通集团其它附属公司担任采购进口及国内电信设备以及其它国内非电信</w:t>
      </w:r>
      <w:r>
        <w:rPr>
          <w:spacing w:val="-106"/>
        </w:rPr>
        <w:t> </w:t>
      </w:r>
      <w:r>
        <w:rPr/>
        <w:t>设备的代理商，可从联通集团购买某些产品，而联通集团向联通运营公司提供协议项下与物资</w:t>
      </w:r>
      <w:r>
        <w:rPr>
          <w:spacing w:val="1"/>
          <w:w w:val="99"/>
        </w:rPr>
        <w:t> </w:t>
      </w:r>
      <w:r>
        <w:rPr/>
        <w:t>或设备采购相关的仓储和运输服务。联通运营公司支付给联通集团的费用基于市场价格或者成</w:t>
      </w:r>
      <w:r>
        <w:rPr>
          <w:spacing w:val="1"/>
          <w:w w:val="99"/>
        </w:rPr>
        <w:t> </w:t>
      </w:r>
      <w:r>
        <w:rPr/>
        <w:t>本加利润而定。</w:t>
      </w:r>
    </w:p>
    <w:p>
      <w:pPr>
        <w:spacing w:line="240" w:lineRule="auto" w:before="3"/>
        <w:rPr>
          <w:rFonts w:ascii="宋体" w:hAnsi="宋体" w:cs="宋体" w:eastAsia="宋体" w:hint="default"/>
          <w:sz w:val="19"/>
          <w:szCs w:val="19"/>
        </w:rPr>
      </w:pPr>
    </w:p>
    <w:p>
      <w:pPr>
        <w:pStyle w:val="BodyText"/>
        <w:spacing w:line="286" w:lineRule="exact"/>
        <w:ind w:left="589" w:right="222" w:hanging="476"/>
        <w:jc w:val="both"/>
      </w:pPr>
      <w:r>
        <w:rPr>
          <w:rFonts w:ascii="Arial" w:hAnsi="Arial" w:cs="Arial" w:eastAsia="Arial" w:hint="default"/>
        </w:rPr>
        <w:t>(12)</w:t>
      </w:r>
      <w:r>
        <w:rPr>
          <w:rFonts w:ascii="Arial" w:hAnsi="Arial" w:cs="Arial" w:eastAsia="Arial" w:hint="default"/>
          <w:spacing w:val="53"/>
        </w:rPr>
        <w:t> </w:t>
      </w:r>
      <w:r>
        <w:rPr/>
        <w:t>联通集团其它附属公司向联通运营公司提供末梢电信服务的相关服务，包括若干通信业务销售</w:t>
      </w:r>
      <w:r>
        <w:rPr>
          <w:spacing w:val="-103"/>
        </w:rPr>
        <w:t> </w:t>
      </w:r>
      <w:r>
        <w:rPr>
          <w:spacing w:val="-103"/>
        </w:rPr>
      </w:r>
      <w:r>
        <w:rPr/>
        <w:t>前、销售中和销售后的服务（例如若干通信设施组装及维修）、销售代理服务、账单打印和递</w:t>
      </w:r>
      <w:r>
        <w:rPr>
          <w:w w:val="99"/>
        </w:rPr>
        <w:t> </w:t>
      </w:r>
      <w:r>
        <w:rPr/>
        <w:t>送服务、电话亭维护、客户发展和接待以及其它客户服务。相关费用是基于市场价格而定，并</w:t>
      </w:r>
      <w:r>
        <w:rPr>
          <w:w w:val="99"/>
        </w:rPr>
        <w:t> </w:t>
      </w:r>
      <w:r>
        <w:rPr/>
        <w:t>在提供相关服务时结算。</w:t>
      </w:r>
    </w:p>
    <w:p>
      <w:pPr>
        <w:spacing w:line="240" w:lineRule="auto" w:before="3"/>
        <w:rPr>
          <w:rFonts w:ascii="宋体" w:hAnsi="宋体" w:cs="宋体" w:eastAsia="宋体" w:hint="default"/>
          <w:sz w:val="19"/>
          <w:szCs w:val="19"/>
        </w:rPr>
      </w:pPr>
    </w:p>
    <w:p>
      <w:pPr>
        <w:pStyle w:val="BodyText"/>
        <w:spacing w:line="286" w:lineRule="exact"/>
        <w:ind w:left="589" w:right="0" w:hanging="476"/>
        <w:jc w:val="left"/>
      </w:pPr>
      <w:r>
        <w:rPr>
          <w:rFonts w:ascii="Arial" w:hAnsi="Arial" w:cs="Arial" w:eastAsia="Arial" w:hint="default"/>
        </w:rPr>
        <w:t>(13) </w:t>
      </w:r>
      <w:r>
        <w:rPr/>
        <w:t>联通集团其它附属公司向联通运营公司提供多种综合服务，包括设备租赁和维护服务、机动车</w:t>
      </w:r>
      <w:r>
        <w:rPr>
          <w:spacing w:val="-49"/>
        </w:rPr>
        <w:t> </w:t>
      </w:r>
      <w:r>
        <w:rPr>
          <w:spacing w:val="-49"/>
        </w:rPr>
      </w:r>
      <w:r>
        <w:rPr>
          <w:spacing w:val="-2"/>
        </w:rPr>
        <w:t>辆服务、安全保障服务、基本建设代理服务、研发服务、员工培训服务和广告及其它综合服务。</w:t>
      </w:r>
      <w:r>
        <w:rPr>
          <w:w w:val="99"/>
        </w:rPr>
        <w:t> </w:t>
      </w:r>
      <w:r>
        <w:rPr/>
        <w:t>相关费用是基于市场价格而定，并在提供相关服务时结算。</w:t>
      </w:r>
    </w:p>
    <w:p>
      <w:pPr>
        <w:spacing w:line="240" w:lineRule="auto" w:before="3"/>
        <w:rPr>
          <w:rFonts w:ascii="宋体" w:hAnsi="宋体" w:cs="宋体" w:eastAsia="宋体" w:hint="default"/>
          <w:sz w:val="19"/>
          <w:szCs w:val="19"/>
        </w:rPr>
      </w:pPr>
    </w:p>
    <w:p>
      <w:pPr>
        <w:pStyle w:val="BodyText"/>
        <w:spacing w:line="286" w:lineRule="exact"/>
        <w:ind w:left="589" w:right="222" w:hanging="476"/>
        <w:jc w:val="both"/>
      </w:pPr>
      <w:r>
        <w:rPr>
          <w:rFonts w:ascii="Arial" w:hAnsi="Arial" w:cs="Arial" w:eastAsia="Arial" w:hint="default"/>
        </w:rPr>
        <w:t>(14)</w:t>
      </w:r>
      <w:r>
        <w:rPr>
          <w:rFonts w:ascii="Arial" w:hAnsi="Arial" w:cs="Arial" w:eastAsia="Arial" w:hint="default"/>
          <w:spacing w:val="53"/>
        </w:rPr>
        <w:t> </w:t>
      </w:r>
      <w:r>
        <w:rPr/>
        <w:t>本公司子公司中讯设计院向联通集团及其附属公司以及联通新时空提供工程设计服务并收取服</w:t>
      </w:r>
      <w:r>
        <w:rPr>
          <w:spacing w:val="-103"/>
        </w:rPr>
        <w:t> </w:t>
      </w:r>
      <w:r>
        <w:rPr>
          <w:spacing w:val="-103"/>
        </w:rPr>
      </w:r>
      <w:r>
        <w:rPr/>
        <w:t>务费用。相关收费标准基于市场价格而定。</w:t>
      </w:r>
    </w:p>
    <w:p>
      <w:pPr>
        <w:spacing w:line="240" w:lineRule="auto" w:before="6"/>
        <w:rPr>
          <w:rFonts w:ascii="宋体" w:hAnsi="宋体" w:cs="宋体" w:eastAsia="宋体" w:hint="default"/>
          <w:sz w:val="19"/>
          <w:szCs w:val="19"/>
        </w:rPr>
      </w:pPr>
    </w:p>
    <w:p>
      <w:pPr>
        <w:pStyle w:val="BodyText"/>
        <w:spacing w:line="284" w:lineRule="exact"/>
        <w:ind w:left="589" w:right="221" w:hanging="475"/>
        <w:jc w:val="both"/>
      </w:pPr>
      <w:r>
        <w:rPr>
          <w:rFonts w:ascii="Arial" w:hAnsi="Arial" w:cs="Arial" w:eastAsia="Arial" w:hint="default"/>
        </w:rPr>
        <w:t>(15)</w:t>
      </w:r>
      <w:r>
        <w:rPr>
          <w:rFonts w:ascii="Arial" w:hAnsi="Arial" w:cs="Arial" w:eastAsia="Arial" w:hint="default"/>
          <w:spacing w:val="21"/>
        </w:rPr>
        <w:t> </w:t>
      </w:r>
      <w:r>
        <w:rPr/>
        <w:t>联通新时空将其于</w:t>
      </w:r>
      <w:r>
        <w:rPr>
          <w:spacing w:val="-47"/>
        </w:rPr>
        <w:t> </w:t>
      </w:r>
      <w:r>
        <w:rPr>
          <w:rFonts w:ascii="Arial" w:hAnsi="Arial" w:cs="Arial" w:eastAsia="Arial" w:hint="default"/>
        </w:rPr>
        <w:t>31</w:t>
      </w:r>
      <w:r>
        <w:rPr>
          <w:rFonts w:ascii="Arial" w:hAnsi="Arial" w:cs="Arial" w:eastAsia="Arial" w:hint="default"/>
          <w:spacing w:val="3"/>
        </w:rPr>
        <w:t> </w:t>
      </w:r>
      <w:r>
        <w:rPr/>
        <w:t>省市区的</w:t>
      </w:r>
      <w:r>
        <w:rPr>
          <w:spacing w:val="-47"/>
        </w:rPr>
        <w:t> </w:t>
      </w:r>
      <w:r>
        <w:rPr>
          <w:rFonts w:ascii="Arial" w:hAnsi="Arial" w:cs="Arial" w:eastAsia="Arial" w:hint="default"/>
        </w:rPr>
        <w:t>CDMA</w:t>
      </w:r>
      <w:r>
        <w:rPr>
          <w:rFonts w:ascii="Arial" w:hAnsi="Arial" w:cs="Arial" w:eastAsia="Arial" w:hint="default"/>
          <w:spacing w:val="3"/>
        </w:rPr>
        <w:t> </w:t>
      </w:r>
      <w:r>
        <w:rPr/>
        <w:t>网络容量租赁予联通运营公司，并按协议标准收取网络</w:t>
      </w:r>
      <w:r>
        <w:rPr>
          <w:w w:val="99"/>
        </w:rPr>
        <w:t> </w:t>
      </w:r>
      <w:r>
        <w:rPr/>
        <w:t>容量租赁费。随</w:t>
      </w:r>
      <w:r>
        <w:rPr>
          <w:spacing w:val="-57"/>
        </w:rPr>
        <w:t> </w:t>
      </w:r>
      <w:r>
        <w:rPr>
          <w:rFonts w:ascii="Arial" w:hAnsi="Arial" w:cs="Arial" w:eastAsia="Arial" w:hint="default"/>
        </w:rPr>
        <w:t>CDMA</w:t>
      </w:r>
      <w:r>
        <w:rPr>
          <w:rFonts w:ascii="Arial" w:hAnsi="Arial" w:cs="Arial" w:eastAsia="Arial" w:hint="default"/>
          <w:spacing w:val="-7"/>
        </w:rPr>
        <w:t> </w:t>
      </w:r>
      <w:r>
        <w:rPr/>
        <w:t>业务出售，该</w:t>
      </w:r>
      <w:r>
        <w:rPr>
          <w:spacing w:val="-57"/>
        </w:rPr>
        <w:t> </w:t>
      </w:r>
      <w:r>
        <w:rPr>
          <w:rFonts w:ascii="Arial" w:hAnsi="Arial" w:cs="Arial" w:eastAsia="Arial" w:hint="default"/>
        </w:rPr>
        <w:t>CDMA</w:t>
      </w:r>
      <w:r>
        <w:rPr>
          <w:rFonts w:ascii="Arial" w:hAnsi="Arial" w:cs="Arial" w:eastAsia="Arial" w:hint="default"/>
          <w:spacing w:val="-8"/>
        </w:rPr>
        <w:t> </w:t>
      </w:r>
      <w:r>
        <w:rPr/>
        <w:t>网络容量租赁交易亦终止。</w:t>
      </w:r>
    </w:p>
    <w:p>
      <w:pPr>
        <w:spacing w:after="0" w:line="284" w:lineRule="exact"/>
        <w:jc w:val="both"/>
        <w:sectPr>
          <w:headerReference w:type="default" r:id="rId136"/>
          <w:pgSz w:w="11910" w:h="16840"/>
          <w:pgMar w:header="968" w:footer="600" w:top="3480" w:bottom="800" w:left="1240" w:right="780"/>
        </w:sectPr>
      </w:pPr>
    </w:p>
    <w:p>
      <w:pPr>
        <w:spacing w:line="240" w:lineRule="auto" w:before="12"/>
        <w:rPr>
          <w:rFonts w:ascii="宋体" w:hAnsi="宋体" w:cs="宋体" w:eastAsia="宋体" w:hint="default"/>
          <w:sz w:val="15"/>
          <w:szCs w:val="15"/>
        </w:rPr>
      </w:pPr>
    </w:p>
    <w:p>
      <w:pPr>
        <w:pStyle w:val="BodyText"/>
        <w:spacing w:line="240" w:lineRule="auto" w:before="31"/>
        <w:ind w:left="589" w:right="3260"/>
        <w:jc w:val="left"/>
      </w:pPr>
      <w:r>
        <w:rPr/>
        <w:t>注释（续）：</w:t>
      </w:r>
    </w:p>
    <w:p>
      <w:pPr>
        <w:spacing w:line="240" w:lineRule="auto" w:before="1"/>
        <w:rPr>
          <w:rFonts w:ascii="宋体" w:hAnsi="宋体" w:cs="宋体" w:eastAsia="宋体" w:hint="default"/>
          <w:sz w:val="20"/>
          <w:szCs w:val="20"/>
        </w:rPr>
      </w:pPr>
    </w:p>
    <w:p>
      <w:pPr>
        <w:pStyle w:val="BodyText"/>
        <w:spacing w:line="228" w:lineRule="auto"/>
        <w:ind w:left="589" w:right="114" w:hanging="475"/>
        <w:jc w:val="both"/>
      </w:pPr>
      <w:r>
        <w:rPr>
          <w:rFonts w:ascii="Arial" w:hAnsi="Arial" w:cs="Arial" w:eastAsia="Arial" w:hint="default"/>
        </w:rPr>
        <w:t>(16) CDMA </w:t>
      </w:r>
      <w:r>
        <w:rPr/>
        <w:t>网络的承租方联通运营公司和出租方联通新时空共同承担 </w:t>
      </w:r>
      <w:r>
        <w:rPr>
          <w:rFonts w:ascii="Arial" w:hAnsi="Arial" w:cs="Arial" w:eastAsia="Arial" w:hint="default"/>
        </w:rPr>
        <w:t>CDMA</w:t>
      </w:r>
      <w:r>
        <w:rPr>
          <w:rFonts w:ascii="Arial" w:hAnsi="Arial" w:cs="Arial" w:eastAsia="Arial" w:hint="default"/>
          <w:spacing w:val="6"/>
        </w:rPr>
        <w:t> </w:t>
      </w:r>
      <w:r>
        <w:rPr/>
        <w:t>网络在经营过程中发</w:t>
      </w:r>
      <w:r>
        <w:rPr>
          <w:w w:val="99"/>
        </w:rPr>
        <w:t> </w:t>
      </w:r>
      <w:r>
        <w:rPr/>
        <w:t>生的与</w:t>
      </w:r>
      <w:r>
        <w:rPr>
          <w:spacing w:val="-85"/>
        </w:rPr>
        <w:t> </w:t>
      </w:r>
      <w:r>
        <w:rPr>
          <w:rFonts w:ascii="Arial" w:hAnsi="Arial" w:cs="Arial" w:eastAsia="Arial" w:hint="default"/>
        </w:rPr>
        <w:t>CDMA</w:t>
      </w:r>
      <w:r>
        <w:rPr>
          <w:rFonts w:ascii="Arial" w:hAnsi="Arial" w:cs="Arial" w:eastAsia="Arial" w:hint="default"/>
          <w:spacing w:val="-36"/>
        </w:rPr>
        <w:t> </w:t>
      </w:r>
      <w:r>
        <w:rPr/>
        <w:t>网络直接相关的成本，包括机房及基站房屋租赁费、水电费、取暖费和相关设备</w:t>
      </w:r>
      <w:r>
        <w:rPr>
          <w:w w:val="99"/>
        </w:rPr>
        <w:t> </w:t>
      </w:r>
      <w:r>
        <w:rPr/>
        <w:t>燃料费以及非资本性修理维护费用等。承租方应承担的建设容量相关成本的比例，将参照相关</w:t>
      </w:r>
      <w:r>
        <w:rPr>
          <w:spacing w:val="2"/>
          <w:w w:val="99"/>
        </w:rPr>
        <w:t> </w:t>
      </w:r>
      <w:r>
        <w:rPr/>
        <w:t>成本发生前的月份完结时承租方实际 </w:t>
      </w:r>
      <w:r>
        <w:rPr>
          <w:rFonts w:ascii="Arial" w:hAnsi="Arial" w:cs="Arial" w:eastAsia="Arial" w:hint="default"/>
        </w:rPr>
        <w:t>CDMA </w:t>
      </w:r>
      <w:r>
        <w:rPr/>
        <w:t>累计在网用户数除以</w:t>
      </w:r>
      <w:r>
        <w:rPr>
          <w:spacing w:val="-18"/>
        </w:rPr>
        <w:t> </w:t>
      </w:r>
      <w:r>
        <w:rPr>
          <w:rFonts w:ascii="Arial" w:hAnsi="Arial" w:cs="Arial" w:eastAsia="Arial" w:hint="default"/>
        </w:rPr>
        <w:t>90%</w:t>
      </w:r>
      <w:r>
        <w:rPr/>
        <w:t>而计算出来的实际租赁</w:t>
      </w:r>
      <w:r>
        <w:rPr>
          <w:w w:val="99"/>
        </w:rPr>
        <w:t> </w:t>
      </w:r>
      <w:r>
        <w:rPr/>
        <w:t>容量占出租方网络建设总容量的比例而确定。随</w:t>
      </w:r>
      <w:r>
        <w:rPr>
          <w:spacing w:val="-56"/>
        </w:rPr>
        <w:t> </w:t>
      </w:r>
      <w:r>
        <w:rPr>
          <w:rFonts w:ascii="Arial" w:hAnsi="Arial" w:cs="Arial" w:eastAsia="Arial" w:hint="default"/>
        </w:rPr>
        <w:t>CDMA</w:t>
      </w:r>
      <w:r>
        <w:rPr>
          <w:rFonts w:ascii="Arial" w:hAnsi="Arial" w:cs="Arial" w:eastAsia="Arial" w:hint="default"/>
          <w:spacing w:val="-8"/>
        </w:rPr>
        <w:t> </w:t>
      </w:r>
      <w:r>
        <w:rPr/>
        <w:t>业务出售，该交易亦终止。</w:t>
      </w:r>
    </w:p>
    <w:p>
      <w:pPr>
        <w:spacing w:line="240" w:lineRule="auto" w:before="12"/>
        <w:rPr>
          <w:rFonts w:ascii="宋体" w:hAnsi="宋体" w:cs="宋体" w:eastAsia="宋体" w:hint="default"/>
          <w:sz w:val="18"/>
          <w:szCs w:val="18"/>
        </w:rPr>
      </w:pPr>
    </w:p>
    <w:p>
      <w:pPr>
        <w:pStyle w:val="BodyText"/>
        <w:spacing w:line="230" w:lineRule="auto"/>
        <w:ind w:left="603" w:right="114" w:hanging="490"/>
        <w:jc w:val="both"/>
      </w:pPr>
      <w:r>
        <w:rPr>
          <w:rFonts w:ascii="Arial" w:hAnsi="Arial" w:cs="Arial" w:eastAsia="Arial" w:hint="default"/>
        </w:rPr>
        <w:t>(17)</w:t>
      </w:r>
      <w:r>
        <w:rPr>
          <w:rFonts w:ascii="Arial" w:hAnsi="Arial" w:cs="Arial" w:eastAsia="Arial" w:hint="default"/>
          <w:spacing w:val="46"/>
        </w:rPr>
        <w:t> </w:t>
      </w:r>
      <w:r>
        <w:rPr/>
        <w:t>联通集团为联通商标的注册持有人。商标上带有联通标识，均已在中国国家商标局登记。根据</w:t>
      </w:r>
      <w:r>
        <w:rPr>
          <w:spacing w:val="-105"/>
        </w:rPr>
        <w:t> </w:t>
      </w:r>
      <w:r>
        <w:rPr>
          <w:spacing w:val="-105"/>
        </w:rPr>
      </w:r>
      <w:r>
        <w:rPr/>
        <w:t>联通集团和联通运营公司之间的独家中国商标使用协议，本集团被授予有权以免交商标使用费</w:t>
      </w:r>
      <w:r>
        <w:rPr>
          <w:spacing w:val="1"/>
          <w:w w:val="99"/>
        </w:rPr>
        <w:t> </w:t>
      </w:r>
      <w:r>
        <w:rPr/>
        <w:t>及可延期的方式来使用这些商标。</w:t>
      </w:r>
    </w:p>
    <w:p>
      <w:pPr>
        <w:spacing w:line="240" w:lineRule="auto" w:before="4"/>
        <w:rPr>
          <w:rFonts w:ascii="宋体" w:hAnsi="宋体" w:cs="宋体" w:eastAsia="宋体" w:hint="default"/>
          <w:sz w:val="19"/>
          <w:szCs w:val="19"/>
        </w:rPr>
      </w:pPr>
    </w:p>
    <w:p>
      <w:pPr>
        <w:pStyle w:val="BodyText"/>
        <w:spacing w:line="240" w:lineRule="auto"/>
        <w:ind w:left="141" w:right="3260"/>
        <w:jc w:val="left"/>
      </w:pPr>
      <w:r>
        <w:rPr>
          <w:rFonts w:ascii="Arial" w:hAnsi="Arial" w:cs="Arial" w:eastAsia="Arial" w:hint="default"/>
        </w:rPr>
        <w:t>5</w:t>
      </w:r>
      <w:r>
        <w:rPr/>
        <w:t>、</w:t>
      </w:r>
      <w:r>
        <w:rPr>
          <w:spacing w:val="-35"/>
        </w:rPr>
        <w:t> </w:t>
      </w:r>
      <w:r>
        <w:rPr/>
        <w:t>关联方应收、应付款项余额</w:t>
      </w:r>
    </w:p>
    <w:p>
      <w:pPr>
        <w:spacing w:line="240" w:lineRule="auto" w:before="5"/>
        <w:rPr>
          <w:rFonts w:ascii="宋体" w:hAnsi="宋体" w:cs="宋体" w:eastAsia="宋体" w:hint="default"/>
          <w:sz w:val="15"/>
          <w:szCs w:val="15"/>
        </w:rPr>
      </w:pPr>
    </w:p>
    <w:tbl>
      <w:tblPr>
        <w:tblW w:w="0" w:type="auto"/>
        <w:jc w:val="left"/>
        <w:tblInd w:w="567" w:type="dxa"/>
        <w:tblLayout w:type="fixed"/>
        <w:tblCellMar>
          <w:top w:w="0" w:type="dxa"/>
          <w:left w:w="0" w:type="dxa"/>
          <w:bottom w:w="0" w:type="dxa"/>
          <w:right w:w="0" w:type="dxa"/>
        </w:tblCellMar>
        <w:tblLook w:val="01E0"/>
      </w:tblPr>
      <w:tblGrid>
        <w:gridCol w:w="1284"/>
        <w:gridCol w:w="2939"/>
        <w:gridCol w:w="2310"/>
        <w:gridCol w:w="283"/>
        <w:gridCol w:w="2125"/>
      </w:tblGrid>
      <w:tr>
        <w:trPr>
          <w:trHeight w:val="337" w:hRule="exact"/>
        </w:trPr>
        <w:tc>
          <w:tcPr>
            <w:tcW w:w="4223" w:type="dxa"/>
            <w:gridSpan w:val="2"/>
            <w:vMerge w:val="restart"/>
            <w:tcBorders>
              <w:top w:val="nil" w:sz="6" w:space="0" w:color="auto"/>
              <w:left w:val="nil" w:sz="6" w:space="0" w:color="auto"/>
              <w:right w:val="nil" w:sz="6" w:space="0" w:color="auto"/>
            </w:tcBorders>
          </w:tcPr>
          <w:p>
            <w:pPr/>
          </w:p>
        </w:tc>
        <w:tc>
          <w:tcPr>
            <w:tcW w:w="2310" w:type="dxa"/>
            <w:tcBorders>
              <w:top w:val="nil" w:sz="6" w:space="0" w:color="auto"/>
              <w:left w:val="nil" w:sz="6" w:space="0" w:color="auto"/>
              <w:bottom w:val="single" w:sz="6" w:space="0" w:color="000000"/>
              <w:right w:val="nil" w:sz="6" w:space="0" w:color="auto"/>
            </w:tcBorders>
          </w:tcPr>
          <w:p>
            <w:pPr>
              <w:pStyle w:val="TableParagraph"/>
              <w:spacing w:line="240" w:lineRule="auto" w:before="38"/>
              <w:ind w:right="107"/>
              <w:jc w:val="righ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7"/>
                <w:sz w:val="20"/>
                <w:szCs w:val="20"/>
              </w:rPr>
              <w:t> </w:t>
            </w:r>
            <w:r>
              <w:rPr>
                <w:rFonts w:ascii="宋体" w:hAnsi="宋体" w:cs="宋体" w:eastAsia="宋体" w:hint="default"/>
                <w:sz w:val="20"/>
                <w:szCs w:val="20"/>
              </w:rPr>
              <w:t>日</w:t>
            </w:r>
          </w:p>
        </w:tc>
        <w:tc>
          <w:tcPr>
            <w:tcW w:w="283" w:type="dxa"/>
            <w:tcBorders>
              <w:top w:val="nil" w:sz="6" w:space="0" w:color="auto"/>
              <w:left w:val="nil" w:sz="6" w:space="0" w:color="auto"/>
              <w:bottom w:val="nil" w:sz="6" w:space="0" w:color="auto"/>
              <w:right w:val="nil" w:sz="6" w:space="0" w:color="auto"/>
            </w:tcBorders>
          </w:tcPr>
          <w:p>
            <w:pPr/>
          </w:p>
        </w:tc>
        <w:tc>
          <w:tcPr>
            <w:tcW w:w="2125" w:type="dxa"/>
            <w:tcBorders>
              <w:top w:val="nil" w:sz="6" w:space="0" w:color="auto"/>
              <w:left w:val="nil" w:sz="6" w:space="0" w:color="auto"/>
              <w:bottom w:val="single" w:sz="6" w:space="0" w:color="000000"/>
              <w:right w:val="nil" w:sz="6" w:space="0" w:color="auto"/>
            </w:tcBorders>
          </w:tcPr>
          <w:p>
            <w:pPr>
              <w:pStyle w:val="TableParagraph"/>
              <w:spacing w:line="240" w:lineRule="auto" w:before="38"/>
              <w:ind w:left="275" w:right="0"/>
              <w:jc w:val="left"/>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宋体" w:hAnsi="宋体" w:cs="宋体" w:eastAsia="宋体" w:hint="default"/>
                <w:sz w:val="20"/>
                <w:szCs w:val="20"/>
              </w:rPr>
              <w:t>日</w:t>
            </w:r>
          </w:p>
        </w:tc>
      </w:tr>
      <w:tr>
        <w:trPr>
          <w:trHeight w:val="267" w:hRule="exact"/>
        </w:trPr>
        <w:tc>
          <w:tcPr>
            <w:tcW w:w="4223" w:type="dxa"/>
            <w:gridSpan w:val="2"/>
            <w:vMerge/>
            <w:tcBorders>
              <w:left w:val="nil" w:sz="6" w:space="0" w:color="auto"/>
              <w:bottom w:val="nil" w:sz="6" w:space="0" w:color="auto"/>
              <w:right w:val="nil" w:sz="6" w:space="0" w:color="auto"/>
            </w:tcBorders>
          </w:tcPr>
          <w:p>
            <w:pPr/>
          </w:p>
        </w:tc>
        <w:tc>
          <w:tcPr>
            <w:tcW w:w="2310" w:type="dxa"/>
            <w:tcBorders>
              <w:top w:val="single" w:sz="6" w:space="0" w:color="000000"/>
              <w:left w:val="nil" w:sz="6" w:space="0" w:color="auto"/>
              <w:bottom w:val="nil" w:sz="6" w:space="0" w:color="auto"/>
              <w:right w:val="nil" w:sz="6" w:space="0" w:color="auto"/>
            </w:tcBorders>
          </w:tcPr>
          <w:p>
            <w:pPr/>
          </w:p>
        </w:tc>
        <w:tc>
          <w:tcPr>
            <w:tcW w:w="283" w:type="dxa"/>
            <w:tcBorders>
              <w:top w:val="nil" w:sz="6" w:space="0" w:color="auto"/>
              <w:left w:val="nil" w:sz="6" w:space="0" w:color="auto"/>
              <w:bottom w:val="nil" w:sz="6" w:space="0" w:color="auto"/>
              <w:right w:val="nil" w:sz="6" w:space="0" w:color="auto"/>
            </w:tcBorders>
          </w:tcPr>
          <w:p>
            <w:pPr/>
          </w:p>
        </w:tc>
        <w:tc>
          <w:tcPr>
            <w:tcW w:w="2125" w:type="dxa"/>
            <w:tcBorders>
              <w:top w:val="single" w:sz="6" w:space="0" w:color="000000"/>
              <w:left w:val="nil" w:sz="6" w:space="0" w:color="auto"/>
              <w:bottom w:val="nil" w:sz="6" w:space="0" w:color="auto"/>
              <w:right w:val="nil" w:sz="6" w:space="0" w:color="auto"/>
            </w:tcBorders>
          </w:tcPr>
          <w:p>
            <w:pPr>
              <w:pStyle w:val="TableParagraph"/>
              <w:spacing w:line="231" w:lineRule="exact"/>
              <w:ind w:right="106"/>
              <w:jc w:val="right"/>
              <w:rPr>
                <w:rFonts w:ascii="宋体" w:hAnsi="宋体" w:cs="宋体" w:eastAsia="宋体" w:hint="default"/>
                <w:sz w:val="20"/>
                <w:szCs w:val="20"/>
              </w:rPr>
            </w:pPr>
            <w:r>
              <w:rPr>
                <w:rFonts w:ascii="宋体" w:hAnsi="宋体" w:cs="宋体" w:eastAsia="宋体" w:hint="default"/>
                <w:spacing w:val="-1"/>
                <w:sz w:val="20"/>
                <w:szCs w:val="20"/>
              </w:rPr>
              <w:t>（经重列）</w:t>
            </w:r>
          </w:p>
        </w:tc>
      </w:tr>
      <w:tr>
        <w:trPr>
          <w:trHeight w:val="270" w:hRule="exact"/>
        </w:trPr>
        <w:tc>
          <w:tcPr>
            <w:tcW w:w="1284" w:type="dxa"/>
            <w:tcBorders>
              <w:top w:val="nil" w:sz="6" w:space="0" w:color="auto"/>
              <w:left w:val="nil" w:sz="6" w:space="0" w:color="auto"/>
              <w:bottom w:val="nil" w:sz="6" w:space="0" w:color="auto"/>
              <w:right w:val="nil" w:sz="6" w:space="0" w:color="auto"/>
            </w:tcBorders>
          </w:tcPr>
          <w:p>
            <w:pPr>
              <w:pStyle w:val="TableParagraph"/>
              <w:spacing w:line="229" w:lineRule="exact"/>
              <w:ind w:left="35"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2939" w:type="dxa"/>
            <w:tcBorders>
              <w:top w:val="nil" w:sz="6" w:space="0" w:color="auto"/>
              <w:left w:val="nil" w:sz="6" w:space="0" w:color="auto"/>
              <w:bottom w:val="nil" w:sz="6" w:space="0" w:color="auto"/>
              <w:right w:val="nil" w:sz="6" w:space="0" w:color="auto"/>
            </w:tcBorders>
          </w:tcPr>
          <w:p>
            <w:pPr>
              <w:pStyle w:val="TableParagraph"/>
              <w:spacing w:line="229" w:lineRule="exact"/>
              <w:ind w:left="247" w:right="0"/>
              <w:jc w:val="left"/>
              <w:rPr>
                <w:rFonts w:ascii="宋体" w:hAnsi="宋体" w:cs="宋体" w:eastAsia="宋体" w:hint="default"/>
                <w:sz w:val="20"/>
                <w:szCs w:val="20"/>
              </w:rPr>
            </w:pPr>
            <w:r>
              <w:rPr>
                <w:rFonts w:ascii="宋体" w:hAnsi="宋体" w:cs="宋体" w:eastAsia="宋体" w:hint="default"/>
                <w:sz w:val="20"/>
                <w:szCs w:val="20"/>
              </w:rPr>
              <w:t>联通集团</w:t>
            </w:r>
          </w:p>
        </w:tc>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6"/>
              <w:jc w:val="right"/>
              <w:rPr>
                <w:rFonts w:ascii="Arial" w:hAnsi="Arial" w:cs="Arial" w:eastAsia="Arial" w:hint="default"/>
                <w:sz w:val="20"/>
                <w:szCs w:val="20"/>
              </w:rPr>
            </w:pPr>
            <w:r>
              <w:rPr>
                <w:rFonts w:ascii="Arial"/>
                <w:spacing w:val="-1"/>
                <w:sz w:val="20"/>
              </w:rPr>
              <w:t>20,333,127</w:t>
            </w:r>
          </w:p>
        </w:tc>
        <w:tc>
          <w:tcPr>
            <w:tcW w:w="283" w:type="dxa"/>
            <w:tcBorders>
              <w:top w:val="nil" w:sz="6" w:space="0" w:color="auto"/>
              <w:left w:val="nil" w:sz="6" w:space="0" w:color="auto"/>
              <w:bottom w:val="nil" w:sz="6" w:space="0" w:color="auto"/>
              <w:right w:val="nil" w:sz="6" w:space="0" w:color="auto"/>
            </w:tcBorders>
          </w:tcPr>
          <w:p>
            <w:pPr/>
          </w:p>
        </w:tc>
        <w:tc>
          <w:tcPr>
            <w:tcW w:w="2125"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24"/>
              <w:jc w:val="right"/>
              <w:rPr>
                <w:rFonts w:ascii="Arial" w:hAnsi="Arial" w:cs="Arial" w:eastAsia="Arial" w:hint="default"/>
                <w:sz w:val="20"/>
                <w:szCs w:val="20"/>
              </w:rPr>
            </w:pPr>
            <w:r>
              <w:rPr>
                <w:rFonts w:ascii="Arial"/>
                <w:spacing w:val="-1"/>
                <w:sz w:val="20"/>
              </w:rPr>
              <w:t>33,180,979</w:t>
            </w:r>
          </w:p>
        </w:tc>
      </w:tr>
      <w:tr>
        <w:trPr>
          <w:trHeight w:val="260" w:hRule="exact"/>
        </w:trPr>
        <w:tc>
          <w:tcPr>
            <w:tcW w:w="1284" w:type="dxa"/>
            <w:tcBorders>
              <w:top w:val="nil" w:sz="6" w:space="0" w:color="auto"/>
              <w:left w:val="nil" w:sz="6" w:space="0" w:color="auto"/>
              <w:bottom w:val="nil" w:sz="6" w:space="0" w:color="auto"/>
              <w:right w:val="nil" w:sz="6" w:space="0" w:color="auto"/>
            </w:tcBorders>
          </w:tcPr>
          <w:p>
            <w:pPr/>
          </w:p>
        </w:tc>
        <w:tc>
          <w:tcPr>
            <w:tcW w:w="2939" w:type="dxa"/>
            <w:tcBorders>
              <w:top w:val="nil" w:sz="6" w:space="0" w:color="auto"/>
              <w:left w:val="nil" w:sz="6" w:space="0" w:color="auto"/>
              <w:bottom w:val="nil" w:sz="6" w:space="0" w:color="auto"/>
              <w:right w:val="nil" w:sz="6" w:space="0" w:color="auto"/>
            </w:tcBorders>
          </w:tcPr>
          <w:p>
            <w:pPr>
              <w:pStyle w:val="TableParagraph"/>
              <w:spacing w:line="219" w:lineRule="exact"/>
              <w:ind w:left="247" w:right="0"/>
              <w:jc w:val="left"/>
              <w:rPr>
                <w:rFonts w:ascii="宋体" w:hAnsi="宋体" w:cs="宋体" w:eastAsia="宋体" w:hint="default"/>
                <w:sz w:val="20"/>
                <w:szCs w:val="20"/>
              </w:rPr>
            </w:pPr>
            <w:r>
              <w:rPr>
                <w:rFonts w:ascii="宋体" w:hAnsi="宋体" w:cs="宋体" w:eastAsia="宋体" w:hint="default"/>
                <w:sz w:val="20"/>
                <w:szCs w:val="20"/>
              </w:rPr>
              <w:t>联通新时空</w:t>
            </w:r>
          </w:p>
        </w:tc>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6"/>
              <w:jc w:val="right"/>
              <w:rPr>
                <w:rFonts w:ascii="Arial" w:hAnsi="Arial" w:cs="Arial" w:eastAsia="Arial" w:hint="default"/>
                <w:sz w:val="20"/>
                <w:szCs w:val="20"/>
              </w:rPr>
            </w:pPr>
            <w:r>
              <w:rPr>
                <w:rFonts w:ascii="Arial"/>
                <w:spacing w:val="-1"/>
                <w:sz w:val="20"/>
              </w:rPr>
              <w:t>30,203,480</w:t>
            </w:r>
          </w:p>
        </w:tc>
        <w:tc>
          <w:tcPr>
            <w:tcW w:w="283" w:type="dxa"/>
            <w:tcBorders>
              <w:top w:val="nil" w:sz="6" w:space="0" w:color="auto"/>
              <w:left w:val="nil" w:sz="6" w:space="0" w:color="auto"/>
              <w:bottom w:val="nil" w:sz="6" w:space="0" w:color="auto"/>
              <w:right w:val="nil" w:sz="6" w:space="0" w:color="auto"/>
            </w:tcBorders>
          </w:tcPr>
          <w:p>
            <w:pPr/>
          </w:p>
        </w:tc>
        <w:tc>
          <w:tcPr>
            <w:tcW w:w="212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4"/>
              <w:jc w:val="right"/>
              <w:rPr>
                <w:rFonts w:ascii="Arial" w:hAnsi="Arial" w:cs="Arial" w:eastAsia="Arial" w:hint="default"/>
                <w:sz w:val="20"/>
                <w:szCs w:val="20"/>
              </w:rPr>
            </w:pPr>
            <w:r>
              <w:rPr>
                <w:rFonts w:ascii="Arial"/>
                <w:spacing w:val="-1"/>
                <w:sz w:val="20"/>
              </w:rPr>
              <w:t>775,009</w:t>
            </w:r>
          </w:p>
        </w:tc>
      </w:tr>
      <w:tr>
        <w:trPr>
          <w:trHeight w:val="260" w:hRule="exact"/>
        </w:trPr>
        <w:tc>
          <w:tcPr>
            <w:tcW w:w="1284" w:type="dxa"/>
            <w:tcBorders>
              <w:top w:val="nil" w:sz="6" w:space="0" w:color="auto"/>
              <w:left w:val="nil" w:sz="6" w:space="0" w:color="auto"/>
              <w:bottom w:val="nil" w:sz="6" w:space="0" w:color="auto"/>
              <w:right w:val="nil" w:sz="6" w:space="0" w:color="auto"/>
            </w:tcBorders>
          </w:tcPr>
          <w:p>
            <w:pPr/>
          </w:p>
        </w:tc>
        <w:tc>
          <w:tcPr>
            <w:tcW w:w="2939" w:type="dxa"/>
            <w:tcBorders>
              <w:top w:val="nil" w:sz="6" w:space="0" w:color="auto"/>
              <w:left w:val="nil" w:sz="6" w:space="0" w:color="auto"/>
              <w:bottom w:val="nil" w:sz="6" w:space="0" w:color="auto"/>
              <w:right w:val="nil" w:sz="6" w:space="0" w:color="auto"/>
            </w:tcBorders>
          </w:tcPr>
          <w:p>
            <w:pPr>
              <w:pStyle w:val="TableParagraph"/>
              <w:spacing w:line="219" w:lineRule="exact"/>
              <w:ind w:left="247" w:right="0"/>
              <w:jc w:val="left"/>
              <w:rPr>
                <w:rFonts w:ascii="宋体" w:hAnsi="宋体" w:cs="宋体" w:eastAsia="宋体" w:hint="default"/>
                <w:sz w:val="20"/>
                <w:szCs w:val="20"/>
              </w:rPr>
            </w:pPr>
            <w:r>
              <w:rPr>
                <w:rFonts w:ascii="宋体" w:hAnsi="宋体" w:cs="宋体" w:eastAsia="宋体" w:hint="default"/>
                <w:sz w:val="20"/>
                <w:szCs w:val="20"/>
              </w:rPr>
              <w:t>联通新时讯</w:t>
            </w:r>
          </w:p>
        </w:tc>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6"/>
              <w:jc w:val="right"/>
              <w:rPr>
                <w:rFonts w:ascii="Arial" w:hAnsi="Arial" w:cs="Arial" w:eastAsia="Arial" w:hint="default"/>
                <w:sz w:val="20"/>
                <w:szCs w:val="20"/>
              </w:rPr>
            </w:pPr>
            <w:r>
              <w:rPr>
                <w:rFonts w:ascii="Arial"/>
                <w:spacing w:val="-1"/>
                <w:sz w:val="20"/>
              </w:rPr>
              <w:t>829,290</w:t>
            </w:r>
          </w:p>
        </w:tc>
        <w:tc>
          <w:tcPr>
            <w:tcW w:w="283" w:type="dxa"/>
            <w:tcBorders>
              <w:top w:val="nil" w:sz="6" w:space="0" w:color="auto"/>
              <w:left w:val="nil" w:sz="6" w:space="0" w:color="auto"/>
              <w:bottom w:val="nil" w:sz="6" w:space="0" w:color="auto"/>
              <w:right w:val="nil" w:sz="6" w:space="0" w:color="auto"/>
            </w:tcBorders>
          </w:tcPr>
          <w:p>
            <w:pPr/>
          </w:p>
        </w:tc>
        <w:tc>
          <w:tcPr>
            <w:tcW w:w="212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4"/>
              <w:jc w:val="right"/>
              <w:rPr>
                <w:rFonts w:ascii="Arial" w:hAnsi="Arial" w:cs="Arial" w:eastAsia="Arial" w:hint="default"/>
                <w:sz w:val="20"/>
                <w:szCs w:val="20"/>
              </w:rPr>
            </w:pPr>
            <w:r>
              <w:rPr>
                <w:rFonts w:ascii="Arial"/>
                <w:spacing w:val="-1"/>
                <w:sz w:val="20"/>
              </w:rPr>
              <w:t>5,162,000</w:t>
            </w:r>
          </w:p>
        </w:tc>
      </w:tr>
      <w:tr>
        <w:trPr>
          <w:trHeight w:val="259" w:hRule="exact"/>
        </w:trPr>
        <w:tc>
          <w:tcPr>
            <w:tcW w:w="1284" w:type="dxa"/>
            <w:tcBorders>
              <w:top w:val="nil" w:sz="6" w:space="0" w:color="auto"/>
              <w:left w:val="nil" w:sz="6" w:space="0" w:color="auto"/>
              <w:bottom w:val="nil" w:sz="6" w:space="0" w:color="auto"/>
              <w:right w:val="nil" w:sz="6" w:space="0" w:color="auto"/>
            </w:tcBorders>
          </w:tcPr>
          <w:p>
            <w:pPr/>
          </w:p>
        </w:tc>
        <w:tc>
          <w:tcPr>
            <w:tcW w:w="2939" w:type="dxa"/>
            <w:tcBorders>
              <w:top w:val="nil" w:sz="6" w:space="0" w:color="auto"/>
              <w:left w:val="nil" w:sz="6" w:space="0" w:color="auto"/>
              <w:bottom w:val="nil" w:sz="6" w:space="0" w:color="auto"/>
              <w:right w:val="nil" w:sz="6" w:space="0" w:color="auto"/>
            </w:tcBorders>
          </w:tcPr>
          <w:p>
            <w:pPr>
              <w:pStyle w:val="TableParagraph"/>
              <w:spacing w:line="219" w:lineRule="exact"/>
              <w:ind w:left="247" w:right="0"/>
              <w:jc w:val="left"/>
              <w:rPr>
                <w:rFonts w:ascii="宋体" w:hAnsi="宋体" w:cs="宋体" w:eastAsia="宋体" w:hint="default"/>
                <w:sz w:val="20"/>
                <w:szCs w:val="20"/>
              </w:rPr>
            </w:pPr>
            <w:r>
              <w:rPr>
                <w:rFonts w:ascii="宋体" w:hAnsi="宋体" w:cs="宋体" w:eastAsia="宋体" w:hint="default"/>
                <w:sz w:val="20"/>
                <w:szCs w:val="20"/>
              </w:rPr>
              <w:t>联通时科</w:t>
            </w:r>
          </w:p>
        </w:tc>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6"/>
              <w:jc w:val="right"/>
              <w:rPr>
                <w:rFonts w:ascii="Arial" w:hAnsi="Arial" w:cs="Arial" w:eastAsia="Arial" w:hint="default"/>
                <w:sz w:val="20"/>
                <w:szCs w:val="20"/>
              </w:rPr>
            </w:pPr>
            <w:r>
              <w:rPr>
                <w:rFonts w:ascii="Arial"/>
                <w:w w:val="100"/>
                <w:sz w:val="20"/>
              </w:rPr>
              <w:t>-</w:t>
            </w:r>
          </w:p>
        </w:tc>
        <w:tc>
          <w:tcPr>
            <w:tcW w:w="283" w:type="dxa"/>
            <w:tcBorders>
              <w:top w:val="nil" w:sz="6" w:space="0" w:color="auto"/>
              <w:left w:val="nil" w:sz="6" w:space="0" w:color="auto"/>
              <w:bottom w:val="nil" w:sz="6" w:space="0" w:color="auto"/>
              <w:right w:val="nil" w:sz="6" w:space="0" w:color="auto"/>
            </w:tcBorders>
          </w:tcPr>
          <w:p>
            <w:pPr/>
          </w:p>
        </w:tc>
        <w:tc>
          <w:tcPr>
            <w:tcW w:w="212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5"/>
              <w:jc w:val="right"/>
              <w:rPr>
                <w:rFonts w:ascii="Arial" w:hAnsi="Arial" w:cs="Arial" w:eastAsia="Arial" w:hint="default"/>
                <w:sz w:val="20"/>
                <w:szCs w:val="20"/>
              </w:rPr>
            </w:pPr>
            <w:r>
              <w:rPr>
                <w:rFonts w:ascii="Arial"/>
                <w:spacing w:val="-1"/>
                <w:sz w:val="20"/>
              </w:rPr>
              <w:t>2,380</w:t>
            </w:r>
            <w:r>
              <w:rPr>
                <w:rFonts w:ascii="Arial"/>
                <w:sz w:val="20"/>
              </w:rPr>
            </w:r>
          </w:p>
        </w:tc>
      </w:tr>
      <w:tr>
        <w:trPr>
          <w:trHeight w:val="263" w:hRule="exact"/>
        </w:trPr>
        <w:tc>
          <w:tcPr>
            <w:tcW w:w="1284" w:type="dxa"/>
            <w:tcBorders>
              <w:top w:val="nil" w:sz="6" w:space="0" w:color="auto"/>
              <w:left w:val="nil" w:sz="6" w:space="0" w:color="auto"/>
              <w:bottom w:val="nil" w:sz="6" w:space="0" w:color="auto"/>
              <w:right w:val="nil" w:sz="6" w:space="0" w:color="auto"/>
            </w:tcBorders>
          </w:tcPr>
          <w:p>
            <w:pPr/>
          </w:p>
        </w:tc>
        <w:tc>
          <w:tcPr>
            <w:tcW w:w="2939" w:type="dxa"/>
            <w:tcBorders>
              <w:top w:val="nil" w:sz="6" w:space="0" w:color="auto"/>
              <w:left w:val="nil" w:sz="6" w:space="0" w:color="auto"/>
              <w:bottom w:val="nil" w:sz="6" w:space="0" w:color="auto"/>
              <w:right w:val="nil" w:sz="6" w:space="0" w:color="auto"/>
            </w:tcBorders>
          </w:tcPr>
          <w:p>
            <w:pPr>
              <w:pStyle w:val="TableParagraph"/>
              <w:spacing w:line="219" w:lineRule="exact"/>
              <w:ind w:left="247" w:right="0"/>
              <w:jc w:val="left"/>
              <w:rPr>
                <w:rFonts w:ascii="宋体" w:hAnsi="宋体" w:cs="宋体" w:eastAsia="宋体" w:hint="default"/>
                <w:sz w:val="20"/>
                <w:szCs w:val="20"/>
              </w:rPr>
            </w:pPr>
            <w:r>
              <w:rPr>
                <w:rFonts w:ascii="宋体" w:hAnsi="宋体" w:cs="宋体" w:eastAsia="宋体" w:hint="default"/>
                <w:sz w:val="20"/>
                <w:szCs w:val="20"/>
              </w:rPr>
              <w:t>联通集团其他附属公司</w:t>
            </w:r>
          </w:p>
        </w:tc>
        <w:tc>
          <w:tcPr>
            <w:tcW w:w="2310" w:type="dxa"/>
            <w:tcBorders>
              <w:top w:val="nil" w:sz="6" w:space="0" w:color="auto"/>
              <w:left w:val="nil" w:sz="6" w:space="0" w:color="auto"/>
              <w:bottom w:val="nil" w:sz="6" w:space="0" w:color="auto"/>
              <w:right w:val="nil" w:sz="6" w:space="0" w:color="auto"/>
            </w:tcBorders>
          </w:tcPr>
          <w:p>
            <w:pPr>
              <w:pStyle w:val="TableParagraph"/>
              <w:tabs>
                <w:tab w:pos="1202" w:val="left" w:leader="none"/>
                <w:tab w:pos="2295" w:val="left" w:leader="none"/>
              </w:tabs>
              <w:spacing w:line="240" w:lineRule="auto" w:before="1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22,792,259</w:t>
              <w:tab/>
            </w:r>
            <w:r>
              <w:rPr>
                <w:rFonts w:ascii="Arial"/>
                <w:spacing w:val="-1"/>
                <w:sz w:val="20"/>
              </w:rPr>
            </w:r>
          </w:p>
        </w:tc>
        <w:tc>
          <w:tcPr>
            <w:tcW w:w="283" w:type="dxa"/>
            <w:tcBorders>
              <w:top w:val="nil" w:sz="6" w:space="0" w:color="auto"/>
              <w:left w:val="nil" w:sz="6" w:space="0" w:color="auto"/>
              <w:bottom w:val="nil" w:sz="6" w:space="0" w:color="auto"/>
              <w:right w:val="nil" w:sz="6" w:space="0" w:color="auto"/>
            </w:tcBorders>
          </w:tcPr>
          <w:p>
            <w:pPr/>
          </w:p>
        </w:tc>
        <w:tc>
          <w:tcPr>
            <w:tcW w:w="2125" w:type="dxa"/>
            <w:tcBorders>
              <w:top w:val="nil" w:sz="6" w:space="0" w:color="auto"/>
              <w:left w:val="nil" w:sz="6" w:space="0" w:color="auto"/>
              <w:bottom w:val="nil" w:sz="6" w:space="0" w:color="auto"/>
              <w:right w:val="nil" w:sz="6" w:space="0" w:color="auto"/>
            </w:tcBorders>
          </w:tcPr>
          <w:p>
            <w:pPr>
              <w:pStyle w:val="TableParagraph"/>
              <w:tabs>
                <w:tab w:pos="993" w:val="left" w:leader="none"/>
                <w:tab w:pos="2114" w:val="left" w:leader="none"/>
              </w:tabs>
              <w:spacing w:line="240" w:lineRule="auto" w:before="1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21,156,106</w:t>
              <w:tab/>
            </w:r>
            <w:r>
              <w:rPr>
                <w:rFonts w:ascii="Arial"/>
                <w:spacing w:val="-1"/>
                <w:sz w:val="20"/>
              </w:rPr>
            </w:r>
          </w:p>
        </w:tc>
      </w:tr>
      <w:tr>
        <w:trPr>
          <w:trHeight w:val="252" w:hRule="exact"/>
        </w:trPr>
        <w:tc>
          <w:tcPr>
            <w:tcW w:w="1284" w:type="dxa"/>
            <w:tcBorders>
              <w:top w:val="nil" w:sz="6" w:space="0" w:color="auto"/>
              <w:left w:val="nil" w:sz="6" w:space="0" w:color="auto"/>
              <w:bottom w:val="nil" w:sz="6" w:space="0" w:color="auto"/>
              <w:right w:val="nil" w:sz="6" w:space="0" w:color="auto"/>
            </w:tcBorders>
          </w:tcPr>
          <w:p>
            <w:pPr/>
          </w:p>
        </w:tc>
        <w:tc>
          <w:tcPr>
            <w:tcW w:w="2939" w:type="dxa"/>
            <w:tcBorders>
              <w:top w:val="nil" w:sz="6" w:space="0" w:color="auto"/>
              <w:left w:val="nil" w:sz="6" w:space="0" w:color="auto"/>
              <w:bottom w:val="nil" w:sz="6" w:space="0" w:color="auto"/>
              <w:right w:val="nil" w:sz="6" w:space="0" w:color="auto"/>
            </w:tcBorders>
          </w:tcPr>
          <w:p>
            <w:pPr/>
          </w:p>
        </w:tc>
        <w:tc>
          <w:tcPr>
            <w:tcW w:w="2310" w:type="dxa"/>
            <w:tcBorders>
              <w:top w:val="nil" w:sz="6" w:space="0" w:color="auto"/>
              <w:left w:val="nil" w:sz="6" w:space="0" w:color="auto"/>
              <w:bottom w:val="single" w:sz="17" w:space="0" w:color="000000"/>
              <w:right w:val="nil" w:sz="6" w:space="0" w:color="auto"/>
            </w:tcBorders>
          </w:tcPr>
          <w:p>
            <w:pPr>
              <w:pStyle w:val="TableParagraph"/>
              <w:spacing w:line="228" w:lineRule="exact"/>
              <w:ind w:right="96"/>
              <w:jc w:val="right"/>
              <w:rPr>
                <w:rFonts w:ascii="Arial" w:hAnsi="Arial" w:cs="Arial" w:eastAsia="Arial" w:hint="default"/>
                <w:sz w:val="20"/>
                <w:szCs w:val="20"/>
              </w:rPr>
            </w:pPr>
            <w:r>
              <w:rPr>
                <w:rFonts w:ascii="Arial"/>
                <w:spacing w:val="-1"/>
                <w:sz w:val="20"/>
              </w:rPr>
              <w:t>74,158,156</w:t>
            </w:r>
          </w:p>
        </w:tc>
        <w:tc>
          <w:tcPr>
            <w:tcW w:w="283" w:type="dxa"/>
            <w:tcBorders>
              <w:top w:val="nil" w:sz="6" w:space="0" w:color="auto"/>
              <w:left w:val="nil" w:sz="6" w:space="0" w:color="auto"/>
              <w:bottom w:val="nil" w:sz="6" w:space="0" w:color="auto"/>
              <w:right w:val="nil" w:sz="6" w:space="0" w:color="auto"/>
            </w:tcBorders>
          </w:tcPr>
          <w:p>
            <w:pPr/>
          </w:p>
        </w:tc>
        <w:tc>
          <w:tcPr>
            <w:tcW w:w="2125" w:type="dxa"/>
            <w:tcBorders>
              <w:top w:val="nil" w:sz="6" w:space="0" w:color="auto"/>
              <w:left w:val="nil" w:sz="6" w:space="0" w:color="auto"/>
              <w:bottom w:val="single" w:sz="17" w:space="0" w:color="000000"/>
              <w:right w:val="nil" w:sz="6" w:space="0" w:color="auto"/>
            </w:tcBorders>
          </w:tcPr>
          <w:p>
            <w:pPr>
              <w:pStyle w:val="TableParagraph"/>
              <w:spacing w:line="228" w:lineRule="exact"/>
              <w:ind w:right="124"/>
              <w:jc w:val="right"/>
              <w:rPr>
                <w:rFonts w:ascii="Arial" w:hAnsi="Arial" w:cs="Arial" w:eastAsia="Arial" w:hint="default"/>
                <w:sz w:val="20"/>
                <w:szCs w:val="20"/>
              </w:rPr>
            </w:pPr>
            <w:r>
              <w:rPr>
                <w:rFonts w:ascii="Arial"/>
                <w:spacing w:val="-1"/>
                <w:sz w:val="20"/>
              </w:rPr>
              <w:t>60,276,474</w:t>
            </w:r>
          </w:p>
        </w:tc>
      </w:tr>
      <w:tr>
        <w:trPr>
          <w:trHeight w:val="523" w:hRule="exact"/>
        </w:trPr>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293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247" w:right="0"/>
              <w:jc w:val="left"/>
              <w:rPr>
                <w:rFonts w:ascii="宋体" w:hAnsi="宋体" w:cs="宋体" w:eastAsia="宋体" w:hint="default"/>
                <w:sz w:val="20"/>
                <w:szCs w:val="20"/>
              </w:rPr>
            </w:pPr>
            <w:r>
              <w:rPr>
                <w:rFonts w:ascii="宋体" w:hAnsi="宋体" w:cs="宋体" w:eastAsia="宋体" w:hint="default"/>
                <w:sz w:val="20"/>
                <w:szCs w:val="20"/>
              </w:rPr>
              <w:t>联通集团（注</w:t>
            </w:r>
            <w:r>
              <w:rPr>
                <w:rFonts w:ascii="宋体" w:hAnsi="宋体" w:cs="宋体" w:eastAsia="宋体" w:hint="default"/>
                <w:spacing w:val="-51"/>
                <w:sz w:val="20"/>
                <w:szCs w:val="20"/>
              </w:rPr>
              <w:t> </w:t>
            </w:r>
            <w:r>
              <w:rPr>
                <w:rFonts w:ascii="Arial" w:hAnsi="Arial" w:cs="Arial" w:eastAsia="Arial" w:hint="default"/>
                <w:sz w:val="20"/>
                <w:szCs w:val="20"/>
              </w:rPr>
              <w:t>1</w:t>
            </w:r>
            <w:r>
              <w:rPr>
                <w:rFonts w:ascii="宋体" w:hAnsi="宋体" w:cs="宋体" w:eastAsia="宋体" w:hint="default"/>
                <w:sz w:val="20"/>
                <w:szCs w:val="20"/>
              </w:rPr>
              <w:t>）</w:t>
            </w:r>
          </w:p>
        </w:tc>
        <w:tc>
          <w:tcPr>
            <w:tcW w:w="2310" w:type="dxa"/>
            <w:tcBorders>
              <w:top w:val="single" w:sz="17"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6"/>
              <w:jc w:val="right"/>
              <w:rPr>
                <w:rFonts w:ascii="Arial" w:hAnsi="Arial" w:cs="Arial" w:eastAsia="Arial" w:hint="default"/>
                <w:sz w:val="20"/>
                <w:szCs w:val="20"/>
              </w:rPr>
            </w:pPr>
            <w:r>
              <w:rPr>
                <w:rFonts w:ascii="Arial"/>
                <w:w w:val="100"/>
                <w:sz w:val="20"/>
              </w:rPr>
              <w:t>-</w:t>
            </w:r>
          </w:p>
        </w:tc>
        <w:tc>
          <w:tcPr>
            <w:tcW w:w="283" w:type="dxa"/>
            <w:tcBorders>
              <w:top w:val="nil" w:sz="6" w:space="0" w:color="auto"/>
              <w:left w:val="nil" w:sz="6" w:space="0" w:color="auto"/>
              <w:bottom w:val="nil" w:sz="6" w:space="0" w:color="auto"/>
              <w:right w:val="nil" w:sz="6" w:space="0" w:color="auto"/>
            </w:tcBorders>
          </w:tcPr>
          <w:p>
            <w:pPr/>
          </w:p>
        </w:tc>
        <w:tc>
          <w:tcPr>
            <w:tcW w:w="2125" w:type="dxa"/>
            <w:tcBorders>
              <w:top w:val="single" w:sz="17"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23"/>
              <w:jc w:val="right"/>
              <w:rPr>
                <w:rFonts w:ascii="Arial" w:hAnsi="Arial" w:cs="Arial" w:eastAsia="Arial" w:hint="default"/>
                <w:sz w:val="20"/>
                <w:szCs w:val="20"/>
              </w:rPr>
            </w:pPr>
            <w:r>
              <w:rPr>
                <w:rFonts w:ascii="Arial"/>
                <w:spacing w:val="-1"/>
                <w:sz w:val="20"/>
              </w:rPr>
              <w:t>1,008,826,360</w:t>
            </w:r>
          </w:p>
        </w:tc>
      </w:tr>
      <w:tr>
        <w:trPr>
          <w:trHeight w:val="264" w:hRule="exact"/>
        </w:trPr>
        <w:tc>
          <w:tcPr>
            <w:tcW w:w="1284" w:type="dxa"/>
            <w:tcBorders>
              <w:top w:val="nil" w:sz="6" w:space="0" w:color="auto"/>
              <w:left w:val="nil" w:sz="6" w:space="0" w:color="auto"/>
              <w:bottom w:val="nil" w:sz="6" w:space="0" w:color="auto"/>
              <w:right w:val="nil" w:sz="6" w:space="0" w:color="auto"/>
            </w:tcBorders>
          </w:tcPr>
          <w:p>
            <w:pPr/>
          </w:p>
        </w:tc>
        <w:tc>
          <w:tcPr>
            <w:tcW w:w="2939" w:type="dxa"/>
            <w:tcBorders>
              <w:top w:val="nil" w:sz="6" w:space="0" w:color="auto"/>
              <w:left w:val="nil" w:sz="6" w:space="0" w:color="auto"/>
              <w:bottom w:val="nil" w:sz="6" w:space="0" w:color="auto"/>
              <w:right w:val="nil" w:sz="6" w:space="0" w:color="auto"/>
            </w:tcBorders>
          </w:tcPr>
          <w:p>
            <w:pPr>
              <w:pStyle w:val="TableParagraph"/>
              <w:spacing w:line="219" w:lineRule="exact"/>
              <w:ind w:left="247" w:right="0"/>
              <w:jc w:val="left"/>
              <w:rPr>
                <w:rFonts w:ascii="宋体" w:hAnsi="宋体" w:cs="宋体" w:eastAsia="宋体" w:hint="default"/>
                <w:sz w:val="20"/>
                <w:szCs w:val="20"/>
              </w:rPr>
            </w:pPr>
            <w:r>
              <w:rPr>
                <w:rFonts w:ascii="宋体" w:hAnsi="宋体" w:cs="宋体" w:eastAsia="宋体" w:hint="default"/>
                <w:sz w:val="20"/>
                <w:szCs w:val="20"/>
              </w:rPr>
              <w:t>联通新时空</w:t>
            </w:r>
          </w:p>
        </w:tc>
        <w:tc>
          <w:tcPr>
            <w:tcW w:w="2310" w:type="dxa"/>
            <w:tcBorders>
              <w:top w:val="nil" w:sz="6" w:space="0" w:color="auto"/>
              <w:left w:val="nil" w:sz="6" w:space="0" w:color="auto"/>
              <w:bottom w:val="nil" w:sz="6" w:space="0" w:color="auto"/>
              <w:right w:val="nil" w:sz="6" w:space="0" w:color="auto"/>
            </w:tcBorders>
          </w:tcPr>
          <w:p>
            <w:pPr>
              <w:pStyle w:val="TableParagraph"/>
              <w:tabs>
                <w:tab w:pos="1313" w:val="left" w:leader="none"/>
                <w:tab w:pos="2295" w:val="left" w:leader="none"/>
              </w:tabs>
              <w:spacing w:line="240" w:lineRule="auto" w:before="1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2,500,000</w:t>
              <w:tab/>
            </w:r>
            <w:r>
              <w:rPr>
                <w:rFonts w:ascii="Arial"/>
                <w:spacing w:val="-1"/>
                <w:sz w:val="20"/>
              </w:rPr>
            </w:r>
          </w:p>
        </w:tc>
        <w:tc>
          <w:tcPr>
            <w:tcW w:w="283" w:type="dxa"/>
            <w:tcBorders>
              <w:top w:val="nil" w:sz="6" w:space="0" w:color="auto"/>
              <w:left w:val="nil" w:sz="6" w:space="0" w:color="auto"/>
              <w:bottom w:val="nil" w:sz="6" w:space="0" w:color="auto"/>
              <w:right w:val="nil" w:sz="6" w:space="0" w:color="auto"/>
            </w:tcBorders>
          </w:tcPr>
          <w:p>
            <w:pPr/>
          </w:p>
        </w:tc>
        <w:tc>
          <w:tcPr>
            <w:tcW w:w="2125" w:type="dxa"/>
            <w:tcBorders>
              <w:top w:val="nil" w:sz="6" w:space="0" w:color="auto"/>
              <w:left w:val="nil" w:sz="6" w:space="0" w:color="auto"/>
              <w:bottom w:val="nil" w:sz="6" w:space="0" w:color="auto"/>
              <w:right w:val="nil" w:sz="6" w:space="0" w:color="auto"/>
            </w:tcBorders>
          </w:tcPr>
          <w:p>
            <w:pPr>
              <w:pStyle w:val="TableParagraph"/>
              <w:tabs>
                <w:tab w:pos="1105" w:val="left" w:leader="none"/>
                <w:tab w:pos="2114" w:val="left" w:leader="none"/>
              </w:tabs>
              <w:spacing w:line="240" w:lineRule="auto" w:before="1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2,500,000</w:t>
              <w:tab/>
            </w:r>
            <w:r>
              <w:rPr>
                <w:rFonts w:ascii="Arial"/>
                <w:spacing w:val="-1"/>
                <w:sz w:val="20"/>
              </w:rPr>
            </w:r>
          </w:p>
        </w:tc>
      </w:tr>
      <w:tr>
        <w:trPr>
          <w:trHeight w:val="252" w:hRule="exact"/>
        </w:trPr>
        <w:tc>
          <w:tcPr>
            <w:tcW w:w="1284" w:type="dxa"/>
            <w:tcBorders>
              <w:top w:val="nil" w:sz="6" w:space="0" w:color="auto"/>
              <w:left w:val="nil" w:sz="6" w:space="0" w:color="auto"/>
              <w:bottom w:val="nil" w:sz="6" w:space="0" w:color="auto"/>
              <w:right w:val="nil" w:sz="6" w:space="0" w:color="auto"/>
            </w:tcBorders>
          </w:tcPr>
          <w:p>
            <w:pPr/>
          </w:p>
        </w:tc>
        <w:tc>
          <w:tcPr>
            <w:tcW w:w="2939" w:type="dxa"/>
            <w:tcBorders>
              <w:top w:val="nil" w:sz="6" w:space="0" w:color="auto"/>
              <w:left w:val="nil" w:sz="6" w:space="0" w:color="auto"/>
              <w:bottom w:val="nil" w:sz="6" w:space="0" w:color="auto"/>
              <w:right w:val="nil" w:sz="6" w:space="0" w:color="auto"/>
            </w:tcBorders>
          </w:tcPr>
          <w:p>
            <w:pPr/>
          </w:p>
        </w:tc>
        <w:tc>
          <w:tcPr>
            <w:tcW w:w="2310" w:type="dxa"/>
            <w:tcBorders>
              <w:top w:val="nil" w:sz="6" w:space="0" w:color="auto"/>
              <w:left w:val="nil" w:sz="6" w:space="0" w:color="auto"/>
              <w:bottom w:val="single" w:sz="17" w:space="0" w:color="000000"/>
              <w:right w:val="nil" w:sz="6" w:space="0" w:color="auto"/>
            </w:tcBorders>
          </w:tcPr>
          <w:p>
            <w:pPr>
              <w:pStyle w:val="TableParagraph"/>
              <w:spacing w:line="228" w:lineRule="exact"/>
              <w:ind w:right="96"/>
              <w:jc w:val="right"/>
              <w:rPr>
                <w:rFonts w:ascii="Arial" w:hAnsi="Arial" w:cs="Arial" w:eastAsia="Arial" w:hint="default"/>
                <w:sz w:val="20"/>
                <w:szCs w:val="20"/>
              </w:rPr>
            </w:pPr>
            <w:r>
              <w:rPr>
                <w:rFonts w:ascii="Arial"/>
                <w:spacing w:val="-1"/>
                <w:sz w:val="20"/>
              </w:rPr>
              <w:t>2,500,000</w:t>
            </w:r>
          </w:p>
        </w:tc>
        <w:tc>
          <w:tcPr>
            <w:tcW w:w="283" w:type="dxa"/>
            <w:tcBorders>
              <w:top w:val="nil" w:sz="6" w:space="0" w:color="auto"/>
              <w:left w:val="nil" w:sz="6" w:space="0" w:color="auto"/>
              <w:bottom w:val="nil" w:sz="6" w:space="0" w:color="auto"/>
              <w:right w:val="nil" w:sz="6" w:space="0" w:color="auto"/>
            </w:tcBorders>
          </w:tcPr>
          <w:p>
            <w:pPr/>
          </w:p>
        </w:tc>
        <w:tc>
          <w:tcPr>
            <w:tcW w:w="2125" w:type="dxa"/>
            <w:tcBorders>
              <w:top w:val="nil" w:sz="6" w:space="0" w:color="auto"/>
              <w:left w:val="nil" w:sz="6" w:space="0" w:color="auto"/>
              <w:bottom w:val="single" w:sz="17" w:space="0" w:color="000000"/>
              <w:right w:val="nil" w:sz="6" w:space="0" w:color="auto"/>
            </w:tcBorders>
          </w:tcPr>
          <w:p>
            <w:pPr>
              <w:pStyle w:val="TableParagraph"/>
              <w:spacing w:line="228" w:lineRule="exact"/>
              <w:ind w:right="123"/>
              <w:jc w:val="right"/>
              <w:rPr>
                <w:rFonts w:ascii="Arial" w:hAnsi="Arial" w:cs="Arial" w:eastAsia="Arial" w:hint="default"/>
                <w:sz w:val="20"/>
                <w:szCs w:val="20"/>
              </w:rPr>
            </w:pPr>
            <w:r>
              <w:rPr>
                <w:rFonts w:ascii="Arial"/>
                <w:spacing w:val="-1"/>
                <w:sz w:val="20"/>
              </w:rPr>
              <w:t>1,011,326,360</w:t>
            </w:r>
          </w:p>
        </w:tc>
      </w:tr>
      <w:tr>
        <w:trPr>
          <w:trHeight w:val="523" w:hRule="exact"/>
        </w:trPr>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35" w:right="0"/>
              <w:jc w:val="left"/>
              <w:rPr>
                <w:rFonts w:ascii="宋体" w:hAnsi="宋体" w:cs="宋体" w:eastAsia="宋体" w:hint="default"/>
                <w:sz w:val="20"/>
                <w:szCs w:val="20"/>
              </w:rPr>
            </w:pPr>
            <w:r>
              <w:rPr>
                <w:rFonts w:ascii="宋体" w:hAnsi="宋体" w:cs="宋体" w:eastAsia="宋体" w:hint="default"/>
                <w:sz w:val="20"/>
                <w:szCs w:val="20"/>
              </w:rPr>
              <w:t>预付账款</w:t>
            </w:r>
          </w:p>
        </w:tc>
        <w:tc>
          <w:tcPr>
            <w:tcW w:w="293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247" w:right="0"/>
              <w:jc w:val="left"/>
              <w:rPr>
                <w:rFonts w:ascii="宋体" w:hAnsi="宋体" w:cs="宋体" w:eastAsia="宋体" w:hint="default"/>
                <w:sz w:val="20"/>
                <w:szCs w:val="20"/>
              </w:rPr>
            </w:pPr>
            <w:r>
              <w:rPr>
                <w:rFonts w:ascii="宋体" w:hAnsi="宋体" w:cs="宋体" w:eastAsia="宋体" w:hint="default"/>
                <w:sz w:val="20"/>
                <w:szCs w:val="20"/>
              </w:rPr>
              <w:t>联通进出口</w:t>
            </w:r>
          </w:p>
        </w:tc>
        <w:tc>
          <w:tcPr>
            <w:tcW w:w="2310" w:type="dxa"/>
            <w:tcBorders>
              <w:top w:val="single" w:sz="17"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96"/>
              <w:jc w:val="right"/>
              <w:rPr>
                <w:rFonts w:ascii="Arial" w:hAnsi="Arial" w:cs="Arial" w:eastAsia="Arial" w:hint="default"/>
                <w:sz w:val="20"/>
                <w:szCs w:val="20"/>
              </w:rPr>
            </w:pPr>
            <w:r>
              <w:rPr>
                <w:rFonts w:ascii="Arial"/>
                <w:spacing w:val="-1"/>
                <w:sz w:val="20"/>
              </w:rPr>
              <w:t>70,143,058</w:t>
            </w:r>
          </w:p>
        </w:tc>
        <w:tc>
          <w:tcPr>
            <w:tcW w:w="283" w:type="dxa"/>
            <w:tcBorders>
              <w:top w:val="nil" w:sz="6" w:space="0" w:color="auto"/>
              <w:left w:val="nil" w:sz="6" w:space="0" w:color="auto"/>
              <w:bottom w:val="nil" w:sz="6" w:space="0" w:color="auto"/>
              <w:right w:val="nil" w:sz="6" w:space="0" w:color="auto"/>
            </w:tcBorders>
          </w:tcPr>
          <w:p>
            <w:pPr/>
          </w:p>
        </w:tc>
        <w:tc>
          <w:tcPr>
            <w:tcW w:w="2125" w:type="dxa"/>
            <w:tcBorders>
              <w:top w:val="single" w:sz="17"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24"/>
              <w:jc w:val="right"/>
              <w:rPr>
                <w:rFonts w:ascii="Arial" w:hAnsi="Arial" w:cs="Arial" w:eastAsia="Arial" w:hint="default"/>
                <w:sz w:val="20"/>
                <w:szCs w:val="20"/>
              </w:rPr>
            </w:pPr>
            <w:r>
              <w:rPr>
                <w:rFonts w:ascii="Arial"/>
                <w:spacing w:val="-1"/>
                <w:sz w:val="20"/>
              </w:rPr>
              <w:t>98,894,020</w:t>
            </w:r>
          </w:p>
        </w:tc>
      </w:tr>
      <w:tr>
        <w:trPr>
          <w:trHeight w:val="259" w:hRule="exact"/>
        </w:trPr>
        <w:tc>
          <w:tcPr>
            <w:tcW w:w="1284" w:type="dxa"/>
            <w:tcBorders>
              <w:top w:val="nil" w:sz="6" w:space="0" w:color="auto"/>
              <w:left w:val="nil" w:sz="6" w:space="0" w:color="auto"/>
              <w:bottom w:val="nil" w:sz="6" w:space="0" w:color="auto"/>
              <w:right w:val="nil" w:sz="6" w:space="0" w:color="auto"/>
            </w:tcBorders>
          </w:tcPr>
          <w:p>
            <w:pPr/>
          </w:p>
        </w:tc>
        <w:tc>
          <w:tcPr>
            <w:tcW w:w="2939" w:type="dxa"/>
            <w:tcBorders>
              <w:top w:val="nil" w:sz="6" w:space="0" w:color="auto"/>
              <w:left w:val="nil" w:sz="6" w:space="0" w:color="auto"/>
              <w:bottom w:val="nil" w:sz="6" w:space="0" w:color="auto"/>
              <w:right w:val="nil" w:sz="6" w:space="0" w:color="auto"/>
            </w:tcBorders>
          </w:tcPr>
          <w:p>
            <w:pPr>
              <w:pStyle w:val="TableParagraph"/>
              <w:spacing w:line="219" w:lineRule="exact"/>
              <w:ind w:left="247" w:right="0"/>
              <w:jc w:val="left"/>
              <w:rPr>
                <w:rFonts w:ascii="宋体" w:hAnsi="宋体" w:cs="宋体" w:eastAsia="宋体" w:hint="default"/>
                <w:sz w:val="20"/>
                <w:szCs w:val="20"/>
              </w:rPr>
            </w:pPr>
            <w:r>
              <w:rPr>
                <w:rFonts w:ascii="宋体" w:hAnsi="宋体" w:cs="宋体" w:eastAsia="宋体" w:hint="default"/>
                <w:sz w:val="20"/>
                <w:szCs w:val="20"/>
              </w:rPr>
              <w:t>联通新时讯</w:t>
            </w:r>
          </w:p>
        </w:tc>
        <w:tc>
          <w:tcPr>
            <w:tcW w:w="231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96"/>
              <w:jc w:val="right"/>
              <w:rPr>
                <w:rFonts w:ascii="Arial" w:hAnsi="Arial" w:cs="Arial" w:eastAsia="Arial" w:hint="default"/>
                <w:sz w:val="20"/>
                <w:szCs w:val="20"/>
              </w:rPr>
            </w:pPr>
            <w:r>
              <w:rPr>
                <w:rFonts w:ascii="Arial"/>
                <w:w w:val="100"/>
                <w:sz w:val="20"/>
              </w:rPr>
              <w:t>-</w:t>
            </w:r>
          </w:p>
        </w:tc>
        <w:tc>
          <w:tcPr>
            <w:tcW w:w="283" w:type="dxa"/>
            <w:tcBorders>
              <w:top w:val="nil" w:sz="6" w:space="0" w:color="auto"/>
              <w:left w:val="nil" w:sz="6" w:space="0" w:color="auto"/>
              <w:bottom w:val="nil" w:sz="6" w:space="0" w:color="auto"/>
              <w:right w:val="nil" w:sz="6" w:space="0" w:color="auto"/>
            </w:tcBorders>
          </w:tcPr>
          <w:p>
            <w:pPr/>
          </w:p>
        </w:tc>
        <w:tc>
          <w:tcPr>
            <w:tcW w:w="212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24"/>
              <w:jc w:val="right"/>
              <w:rPr>
                <w:rFonts w:ascii="Arial" w:hAnsi="Arial" w:cs="Arial" w:eastAsia="Arial" w:hint="default"/>
                <w:sz w:val="20"/>
                <w:szCs w:val="20"/>
              </w:rPr>
            </w:pPr>
            <w:r>
              <w:rPr>
                <w:rFonts w:ascii="Arial"/>
                <w:spacing w:val="-1"/>
                <w:sz w:val="20"/>
              </w:rPr>
              <w:t>1,852,469</w:t>
            </w:r>
          </w:p>
        </w:tc>
      </w:tr>
      <w:tr>
        <w:trPr>
          <w:trHeight w:val="263" w:hRule="exact"/>
        </w:trPr>
        <w:tc>
          <w:tcPr>
            <w:tcW w:w="1284" w:type="dxa"/>
            <w:tcBorders>
              <w:top w:val="nil" w:sz="6" w:space="0" w:color="auto"/>
              <w:left w:val="nil" w:sz="6" w:space="0" w:color="auto"/>
              <w:bottom w:val="nil" w:sz="6" w:space="0" w:color="auto"/>
              <w:right w:val="nil" w:sz="6" w:space="0" w:color="auto"/>
            </w:tcBorders>
          </w:tcPr>
          <w:p>
            <w:pPr/>
          </w:p>
        </w:tc>
        <w:tc>
          <w:tcPr>
            <w:tcW w:w="2939" w:type="dxa"/>
            <w:tcBorders>
              <w:top w:val="nil" w:sz="6" w:space="0" w:color="auto"/>
              <w:left w:val="nil" w:sz="6" w:space="0" w:color="auto"/>
              <w:bottom w:val="nil" w:sz="6" w:space="0" w:color="auto"/>
              <w:right w:val="nil" w:sz="6" w:space="0" w:color="auto"/>
            </w:tcBorders>
          </w:tcPr>
          <w:p>
            <w:pPr>
              <w:pStyle w:val="TableParagraph"/>
              <w:spacing w:line="219" w:lineRule="exact"/>
              <w:ind w:left="247" w:right="0"/>
              <w:jc w:val="left"/>
              <w:rPr>
                <w:rFonts w:ascii="宋体" w:hAnsi="宋体" w:cs="宋体" w:eastAsia="宋体" w:hint="default"/>
                <w:sz w:val="20"/>
                <w:szCs w:val="20"/>
              </w:rPr>
            </w:pPr>
            <w:r>
              <w:rPr>
                <w:rFonts w:ascii="宋体" w:hAnsi="宋体" w:cs="宋体" w:eastAsia="宋体" w:hint="default"/>
                <w:sz w:val="20"/>
                <w:szCs w:val="20"/>
              </w:rPr>
              <w:t>联通集团其他附属公司</w:t>
            </w:r>
          </w:p>
        </w:tc>
        <w:tc>
          <w:tcPr>
            <w:tcW w:w="2310" w:type="dxa"/>
            <w:tcBorders>
              <w:top w:val="nil" w:sz="6" w:space="0" w:color="auto"/>
              <w:left w:val="nil" w:sz="6" w:space="0" w:color="auto"/>
              <w:bottom w:val="nil" w:sz="6" w:space="0" w:color="auto"/>
              <w:right w:val="nil" w:sz="6" w:space="0" w:color="auto"/>
            </w:tcBorders>
          </w:tcPr>
          <w:p>
            <w:pPr>
              <w:pStyle w:val="TableParagraph"/>
              <w:tabs>
                <w:tab w:pos="1313" w:val="left" w:leader="none"/>
                <w:tab w:pos="2295" w:val="left" w:leader="none"/>
              </w:tabs>
              <w:spacing w:line="240" w:lineRule="auto" w:before="1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2,496,093</w:t>
              <w:tab/>
            </w:r>
            <w:r>
              <w:rPr>
                <w:rFonts w:ascii="Arial"/>
                <w:spacing w:val="-1"/>
                <w:sz w:val="20"/>
              </w:rPr>
            </w:r>
          </w:p>
        </w:tc>
        <w:tc>
          <w:tcPr>
            <w:tcW w:w="283" w:type="dxa"/>
            <w:tcBorders>
              <w:top w:val="nil" w:sz="6" w:space="0" w:color="auto"/>
              <w:left w:val="nil" w:sz="6" w:space="0" w:color="auto"/>
              <w:bottom w:val="nil" w:sz="6" w:space="0" w:color="auto"/>
              <w:right w:val="nil" w:sz="6" w:space="0" w:color="auto"/>
            </w:tcBorders>
          </w:tcPr>
          <w:p>
            <w:pPr/>
          </w:p>
        </w:tc>
        <w:tc>
          <w:tcPr>
            <w:tcW w:w="2125" w:type="dxa"/>
            <w:tcBorders>
              <w:top w:val="nil" w:sz="6" w:space="0" w:color="auto"/>
              <w:left w:val="nil" w:sz="6" w:space="0" w:color="auto"/>
              <w:bottom w:val="nil" w:sz="6" w:space="0" w:color="auto"/>
              <w:right w:val="nil" w:sz="6" w:space="0" w:color="auto"/>
            </w:tcBorders>
          </w:tcPr>
          <w:p>
            <w:pPr>
              <w:pStyle w:val="TableParagraph"/>
              <w:tabs>
                <w:tab w:pos="993" w:val="left" w:leader="none"/>
                <w:tab w:pos="2114" w:val="left" w:leader="none"/>
              </w:tabs>
              <w:spacing w:line="240" w:lineRule="auto" w:before="1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22,773,225</w:t>
              <w:tab/>
            </w:r>
            <w:r>
              <w:rPr>
                <w:rFonts w:ascii="Arial"/>
                <w:spacing w:val="-1"/>
                <w:sz w:val="20"/>
              </w:rPr>
            </w:r>
          </w:p>
        </w:tc>
      </w:tr>
      <w:tr>
        <w:trPr>
          <w:trHeight w:val="254" w:hRule="exact"/>
        </w:trPr>
        <w:tc>
          <w:tcPr>
            <w:tcW w:w="1284" w:type="dxa"/>
            <w:tcBorders>
              <w:top w:val="nil" w:sz="6" w:space="0" w:color="auto"/>
              <w:left w:val="nil" w:sz="6" w:space="0" w:color="auto"/>
              <w:bottom w:val="nil" w:sz="6" w:space="0" w:color="auto"/>
              <w:right w:val="nil" w:sz="6" w:space="0" w:color="auto"/>
            </w:tcBorders>
          </w:tcPr>
          <w:p>
            <w:pPr/>
          </w:p>
        </w:tc>
        <w:tc>
          <w:tcPr>
            <w:tcW w:w="2939" w:type="dxa"/>
            <w:tcBorders>
              <w:top w:val="nil" w:sz="6" w:space="0" w:color="auto"/>
              <w:left w:val="nil" w:sz="6" w:space="0" w:color="auto"/>
              <w:bottom w:val="nil" w:sz="6" w:space="0" w:color="auto"/>
              <w:right w:val="nil" w:sz="6" w:space="0" w:color="auto"/>
            </w:tcBorders>
          </w:tcPr>
          <w:p>
            <w:pPr/>
          </w:p>
        </w:tc>
        <w:tc>
          <w:tcPr>
            <w:tcW w:w="2310" w:type="dxa"/>
            <w:tcBorders>
              <w:top w:val="nil" w:sz="6" w:space="0" w:color="auto"/>
              <w:left w:val="nil" w:sz="6" w:space="0" w:color="auto"/>
              <w:bottom w:val="single" w:sz="17" w:space="0" w:color="000000"/>
              <w:right w:val="nil" w:sz="6" w:space="0" w:color="auto"/>
            </w:tcBorders>
          </w:tcPr>
          <w:p>
            <w:pPr>
              <w:pStyle w:val="TableParagraph"/>
              <w:spacing w:line="228" w:lineRule="exact"/>
              <w:ind w:right="96"/>
              <w:jc w:val="right"/>
              <w:rPr>
                <w:rFonts w:ascii="Arial" w:hAnsi="Arial" w:cs="Arial" w:eastAsia="Arial" w:hint="default"/>
                <w:sz w:val="20"/>
                <w:szCs w:val="20"/>
              </w:rPr>
            </w:pPr>
            <w:r>
              <w:rPr>
                <w:rFonts w:ascii="Arial"/>
                <w:spacing w:val="-1"/>
                <w:sz w:val="20"/>
              </w:rPr>
              <w:t>72,639,151</w:t>
            </w:r>
          </w:p>
        </w:tc>
        <w:tc>
          <w:tcPr>
            <w:tcW w:w="283" w:type="dxa"/>
            <w:tcBorders>
              <w:top w:val="nil" w:sz="6" w:space="0" w:color="auto"/>
              <w:left w:val="nil" w:sz="6" w:space="0" w:color="auto"/>
              <w:bottom w:val="nil" w:sz="6" w:space="0" w:color="auto"/>
              <w:right w:val="nil" w:sz="6" w:space="0" w:color="auto"/>
            </w:tcBorders>
          </w:tcPr>
          <w:p>
            <w:pPr/>
          </w:p>
        </w:tc>
        <w:tc>
          <w:tcPr>
            <w:tcW w:w="2125" w:type="dxa"/>
            <w:tcBorders>
              <w:top w:val="nil" w:sz="6" w:space="0" w:color="auto"/>
              <w:left w:val="nil" w:sz="6" w:space="0" w:color="auto"/>
              <w:bottom w:val="single" w:sz="17" w:space="0" w:color="000000"/>
              <w:right w:val="nil" w:sz="6" w:space="0" w:color="auto"/>
            </w:tcBorders>
          </w:tcPr>
          <w:p>
            <w:pPr>
              <w:pStyle w:val="TableParagraph"/>
              <w:spacing w:line="228" w:lineRule="exact"/>
              <w:ind w:right="124"/>
              <w:jc w:val="right"/>
              <w:rPr>
                <w:rFonts w:ascii="Arial" w:hAnsi="Arial" w:cs="Arial" w:eastAsia="Arial" w:hint="default"/>
                <w:sz w:val="20"/>
                <w:szCs w:val="20"/>
              </w:rPr>
            </w:pPr>
            <w:r>
              <w:rPr>
                <w:rFonts w:ascii="Arial"/>
                <w:spacing w:val="-1"/>
                <w:sz w:val="20"/>
              </w:rPr>
              <w:t>123,519,714</w:t>
            </w:r>
          </w:p>
        </w:tc>
      </w:tr>
    </w:tbl>
    <w:p>
      <w:pPr>
        <w:spacing w:after="0" w:line="228" w:lineRule="exact"/>
        <w:jc w:val="right"/>
        <w:rPr>
          <w:rFonts w:ascii="Arial" w:hAnsi="Arial" w:cs="Arial" w:eastAsia="Arial" w:hint="default"/>
          <w:sz w:val="20"/>
          <w:szCs w:val="20"/>
        </w:rPr>
        <w:sectPr>
          <w:pgSz w:w="11910" w:h="16840"/>
          <w:pgMar w:header="968" w:footer="600" w:top="3480" w:bottom="800" w:left="1240" w:right="900"/>
        </w:sectPr>
      </w:pPr>
    </w:p>
    <w:p>
      <w:pPr>
        <w:spacing w:line="240" w:lineRule="auto" w:before="2"/>
        <w:rPr>
          <w:rFonts w:ascii="宋体" w:hAnsi="宋体" w:cs="宋体" w:eastAsia="宋体" w:hint="default"/>
          <w:sz w:val="19"/>
          <w:szCs w:val="19"/>
        </w:rPr>
      </w:pPr>
    </w:p>
    <w:tbl>
      <w:tblPr>
        <w:tblW w:w="0" w:type="auto"/>
        <w:jc w:val="left"/>
        <w:tblInd w:w="107" w:type="dxa"/>
        <w:tblLayout w:type="fixed"/>
        <w:tblCellMar>
          <w:top w:w="0" w:type="dxa"/>
          <w:left w:w="0" w:type="dxa"/>
          <w:bottom w:w="0" w:type="dxa"/>
          <w:right w:w="0" w:type="dxa"/>
        </w:tblCellMar>
        <w:tblLook w:val="01E0"/>
      </w:tblPr>
      <w:tblGrid>
        <w:gridCol w:w="4683"/>
        <w:gridCol w:w="2323"/>
        <w:gridCol w:w="270"/>
        <w:gridCol w:w="2161"/>
      </w:tblGrid>
      <w:tr>
        <w:trPr>
          <w:trHeight w:val="851" w:hRule="exact"/>
        </w:trPr>
        <w:tc>
          <w:tcPr>
            <w:tcW w:w="4683"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2"/>
                <w:szCs w:val="22"/>
              </w:rPr>
            </w:pPr>
            <w:r>
              <w:rPr>
                <w:rFonts w:ascii="Arial" w:hAnsi="Arial" w:cs="Arial" w:eastAsia="Arial" w:hint="default"/>
                <w:sz w:val="22"/>
                <w:szCs w:val="22"/>
              </w:rPr>
              <w:t>5</w:t>
            </w:r>
            <w:r>
              <w:rPr>
                <w:rFonts w:ascii="宋体" w:hAnsi="宋体" w:cs="宋体" w:eastAsia="宋体" w:hint="default"/>
                <w:sz w:val="22"/>
                <w:szCs w:val="22"/>
              </w:rPr>
              <w:t>、</w:t>
            </w:r>
            <w:r>
              <w:rPr>
                <w:rFonts w:ascii="宋体" w:hAnsi="宋体" w:cs="宋体" w:eastAsia="宋体" w:hint="default"/>
                <w:spacing w:val="-35"/>
                <w:sz w:val="22"/>
                <w:szCs w:val="22"/>
              </w:rPr>
              <w:t> </w:t>
            </w:r>
            <w:r>
              <w:rPr>
                <w:rFonts w:ascii="宋体" w:hAnsi="宋体" w:cs="宋体" w:eastAsia="宋体" w:hint="default"/>
                <w:sz w:val="22"/>
                <w:szCs w:val="22"/>
              </w:rPr>
              <w:t>关联方应收、应付款项余额（续）</w:t>
            </w:r>
          </w:p>
        </w:tc>
        <w:tc>
          <w:tcPr>
            <w:tcW w:w="2323"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06"/>
              <w:jc w:val="righ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宋体" w:hAnsi="宋体" w:cs="宋体" w:eastAsia="宋体" w:hint="default"/>
                <w:sz w:val="20"/>
                <w:szCs w:val="20"/>
              </w:rPr>
              <w:t>日</w:t>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33"/>
              <w:jc w:val="right"/>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w:t>
            </w:r>
            <w:r>
              <w:rPr>
                <w:rFonts w:ascii="宋体" w:hAnsi="宋体" w:cs="宋体" w:eastAsia="宋体" w:hint="default"/>
                <w:spacing w:val="-52"/>
                <w:sz w:val="20"/>
                <w:szCs w:val="20"/>
              </w:rPr>
              <w:t> </w:t>
            </w: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宋体" w:hAnsi="宋体" w:cs="宋体" w:eastAsia="宋体" w:hint="default"/>
                <w:sz w:val="20"/>
                <w:szCs w:val="20"/>
              </w:rPr>
              <w:t>日</w:t>
            </w:r>
          </w:p>
        </w:tc>
      </w:tr>
      <w:tr>
        <w:trPr>
          <w:trHeight w:val="267" w:hRule="exact"/>
        </w:trPr>
        <w:tc>
          <w:tcPr>
            <w:tcW w:w="4683" w:type="dxa"/>
            <w:tcBorders>
              <w:top w:val="nil" w:sz="6" w:space="0" w:color="auto"/>
              <w:left w:val="nil" w:sz="6" w:space="0" w:color="auto"/>
              <w:bottom w:val="nil" w:sz="6" w:space="0" w:color="auto"/>
              <w:right w:val="nil" w:sz="6" w:space="0" w:color="auto"/>
            </w:tcBorders>
          </w:tcPr>
          <w:p>
            <w:pPr/>
          </w:p>
        </w:tc>
        <w:tc>
          <w:tcPr>
            <w:tcW w:w="2323" w:type="dxa"/>
            <w:tcBorders>
              <w:top w:val="single" w:sz="6" w:space="0" w:color="000000"/>
              <w:left w:val="nil" w:sz="6" w:space="0" w:color="auto"/>
              <w:bottom w:val="nil" w:sz="6" w:space="0" w:color="auto"/>
              <w:right w:val="nil" w:sz="6" w:space="0" w:color="auto"/>
            </w:tcBorders>
          </w:tcPr>
          <w:p>
            <w:pP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single" w:sz="6" w:space="0" w:color="000000"/>
              <w:left w:val="nil" w:sz="6" w:space="0" w:color="auto"/>
              <w:bottom w:val="nil" w:sz="6" w:space="0" w:color="auto"/>
              <w:right w:val="nil" w:sz="6" w:space="0" w:color="auto"/>
            </w:tcBorders>
          </w:tcPr>
          <w:p>
            <w:pPr>
              <w:pStyle w:val="TableParagraph"/>
              <w:spacing w:line="231" w:lineRule="exact"/>
              <w:ind w:right="33"/>
              <w:jc w:val="right"/>
              <w:rPr>
                <w:rFonts w:ascii="宋体" w:hAnsi="宋体" w:cs="宋体" w:eastAsia="宋体" w:hint="default"/>
                <w:sz w:val="20"/>
                <w:szCs w:val="20"/>
              </w:rPr>
            </w:pPr>
            <w:r>
              <w:rPr>
                <w:rFonts w:ascii="宋体" w:hAnsi="宋体" w:cs="宋体" w:eastAsia="宋体" w:hint="default"/>
                <w:spacing w:val="-1"/>
                <w:sz w:val="20"/>
                <w:szCs w:val="20"/>
              </w:rPr>
              <w:t>（经重列）</w:t>
            </w:r>
          </w:p>
        </w:tc>
      </w:tr>
      <w:tr>
        <w:trPr>
          <w:trHeight w:val="270" w:hRule="exact"/>
        </w:trPr>
        <w:tc>
          <w:tcPr>
            <w:tcW w:w="4683" w:type="dxa"/>
            <w:tcBorders>
              <w:top w:val="nil" w:sz="6" w:space="0" w:color="auto"/>
              <w:left w:val="nil" w:sz="6" w:space="0" w:color="auto"/>
              <w:bottom w:val="nil" w:sz="6" w:space="0" w:color="auto"/>
              <w:right w:val="nil" w:sz="6" w:space="0" w:color="auto"/>
            </w:tcBorders>
          </w:tcPr>
          <w:p>
            <w:pPr>
              <w:pStyle w:val="TableParagraph"/>
              <w:tabs>
                <w:tab w:pos="1991" w:val="left" w:leader="none"/>
              </w:tabs>
              <w:spacing w:line="229" w:lineRule="exact"/>
              <w:ind w:left="494" w:right="0"/>
              <w:jc w:val="left"/>
              <w:rPr>
                <w:rFonts w:ascii="宋体" w:hAnsi="宋体" w:cs="宋体" w:eastAsia="宋体" w:hint="default"/>
                <w:sz w:val="20"/>
                <w:szCs w:val="20"/>
              </w:rPr>
            </w:pPr>
            <w:r>
              <w:rPr>
                <w:rFonts w:ascii="宋体" w:hAnsi="宋体" w:cs="宋体" w:eastAsia="宋体" w:hint="default"/>
                <w:sz w:val="20"/>
                <w:szCs w:val="20"/>
              </w:rPr>
              <w:t>应付账款</w:t>
              <w:tab/>
              <w:t>联通集团</w:t>
            </w:r>
          </w:p>
        </w:tc>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9"/>
              <w:jc w:val="right"/>
              <w:rPr>
                <w:rFonts w:ascii="Arial" w:hAnsi="Arial" w:cs="Arial" w:eastAsia="Arial" w:hint="default"/>
                <w:sz w:val="20"/>
                <w:szCs w:val="20"/>
              </w:rPr>
            </w:pPr>
            <w:r>
              <w:rPr>
                <w:rFonts w:ascii="Arial"/>
                <w:spacing w:val="-1"/>
                <w:sz w:val="20"/>
              </w:rPr>
              <w:t>53,724,494</w:t>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08" w:right="0"/>
              <w:jc w:val="left"/>
              <w:rPr>
                <w:rFonts w:ascii="Arial" w:hAnsi="Arial" w:cs="Arial" w:eastAsia="Arial" w:hint="default"/>
                <w:sz w:val="20"/>
                <w:szCs w:val="20"/>
              </w:rPr>
            </w:pPr>
            <w:r>
              <w:rPr>
                <w:rFonts w:ascii="Arial"/>
                <w:sz w:val="20"/>
              </w:rPr>
              <w:t>4,767,715</w:t>
            </w:r>
          </w:p>
        </w:tc>
      </w:tr>
      <w:tr>
        <w:trPr>
          <w:trHeight w:val="260" w:hRule="exact"/>
        </w:trPr>
        <w:tc>
          <w:tcPr>
            <w:tcW w:w="4683" w:type="dxa"/>
            <w:tcBorders>
              <w:top w:val="nil" w:sz="6" w:space="0" w:color="auto"/>
              <w:left w:val="nil" w:sz="6" w:space="0" w:color="auto"/>
              <w:bottom w:val="nil" w:sz="6" w:space="0" w:color="auto"/>
              <w:right w:val="nil" w:sz="6" w:space="0" w:color="auto"/>
            </w:tcBorders>
          </w:tcPr>
          <w:p>
            <w:pPr>
              <w:pStyle w:val="TableParagraph"/>
              <w:spacing w:line="219" w:lineRule="exact"/>
              <w:ind w:left="300" w:right="0"/>
              <w:jc w:val="center"/>
              <w:rPr>
                <w:rFonts w:ascii="宋体" w:hAnsi="宋体" w:cs="宋体" w:eastAsia="宋体" w:hint="default"/>
                <w:sz w:val="20"/>
                <w:szCs w:val="20"/>
              </w:rPr>
            </w:pPr>
            <w:r>
              <w:rPr>
                <w:rFonts w:ascii="宋体" w:hAnsi="宋体" w:cs="宋体" w:eastAsia="宋体" w:hint="default"/>
                <w:sz w:val="20"/>
                <w:szCs w:val="20"/>
              </w:rPr>
              <w:t>联通新时空</w:t>
            </w:r>
          </w:p>
        </w:tc>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9"/>
              <w:jc w:val="right"/>
              <w:rPr>
                <w:rFonts w:ascii="Arial" w:hAnsi="Arial" w:cs="Arial" w:eastAsia="Arial" w:hint="default"/>
                <w:sz w:val="20"/>
                <w:szCs w:val="20"/>
              </w:rPr>
            </w:pPr>
            <w:r>
              <w:rPr>
                <w:rFonts w:ascii="Arial"/>
                <w:spacing w:val="-2"/>
                <w:sz w:val="20"/>
              </w:rPr>
              <w:t>1,010,770,731</w:t>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08" w:right="0"/>
              <w:jc w:val="left"/>
              <w:rPr>
                <w:rFonts w:ascii="Arial" w:hAnsi="Arial" w:cs="Arial" w:eastAsia="Arial" w:hint="default"/>
                <w:sz w:val="20"/>
                <w:szCs w:val="20"/>
              </w:rPr>
            </w:pPr>
            <w:r>
              <w:rPr>
                <w:rFonts w:ascii="Arial"/>
                <w:sz w:val="20"/>
              </w:rPr>
              <w:t>2,278,400</w:t>
            </w:r>
          </w:p>
        </w:tc>
      </w:tr>
      <w:tr>
        <w:trPr>
          <w:trHeight w:val="260" w:hRule="exact"/>
        </w:trPr>
        <w:tc>
          <w:tcPr>
            <w:tcW w:w="4683" w:type="dxa"/>
            <w:tcBorders>
              <w:top w:val="nil" w:sz="6" w:space="0" w:color="auto"/>
              <w:left w:val="nil" w:sz="6" w:space="0" w:color="auto"/>
              <w:bottom w:val="nil" w:sz="6" w:space="0" w:color="auto"/>
              <w:right w:val="nil" w:sz="6" w:space="0" w:color="auto"/>
            </w:tcBorders>
          </w:tcPr>
          <w:p>
            <w:pPr>
              <w:pStyle w:val="TableParagraph"/>
              <w:spacing w:line="219" w:lineRule="exact"/>
              <w:ind w:left="300" w:right="0"/>
              <w:jc w:val="center"/>
              <w:rPr>
                <w:rFonts w:ascii="宋体" w:hAnsi="宋体" w:cs="宋体" w:eastAsia="宋体" w:hint="default"/>
                <w:sz w:val="20"/>
                <w:szCs w:val="20"/>
              </w:rPr>
            </w:pPr>
            <w:r>
              <w:rPr>
                <w:rFonts w:ascii="宋体" w:hAnsi="宋体" w:cs="宋体" w:eastAsia="宋体" w:hint="default"/>
                <w:sz w:val="20"/>
                <w:szCs w:val="20"/>
              </w:rPr>
              <w:t>联通进出口</w:t>
            </w:r>
          </w:p>
        </w:tc>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1"/>
              <w:jc w:val="right"/>
              <w:rPr>
                <w:rFonts w:ascii="Arial" w:hAnsi="Arial" w:cs="Arial" w:eastAsia="Arial" w:hint="default"/>
                <w:sz w:val="20"/>
                <w:szCs w:val="20"/>
              </w:rPr>
            </w:pPr>
            <w:r>
              <w:rPr>
                <w:rFonts w:ascii="Arial"/>
                <w:spacing w:val="-1"/>
                <w:sz w:val="20"/>
              </w:rPr>
              <w:t>15,146,574</w:t>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96" w:right="0"/>
              <w:jc w:val="left"/>
              <w:rPr>
                <w:rFonts w:ascii="Arial" w:hAnsi="Arial" w:cs="Arial" w:eastAsia="Arial" w:hint="default"/>
                <w:sz w:val="20"/>
                <w:szCs w:val="20"/>
              </w:rPr>
            </w:pPr>
            <w:r>
              <w:rPr>
                <w:rFonts w:ascii="Arial"/>
                <w:sz w:val="20"/>
              </w:rPr>
              <w:t>13,947,896</w:t>
            </w:r>
          </w:p>
        </w:tc>
      </w:tr>
      <w:tr>
        <w:trPr>
          <w:trHeight w:val="259" w:hRule="exact"/>
        </w:trPr>
        <w:tc>
          <w:tcPr>
            <w:tcW w:w="4683" w:type="dxa"/>
            <w:tcBorders>
              <w:top w:val="nil" w:sz="6" w:space="0" w:color="auto"/>
              <w:left w:val="nil" w:sz="6" w:space="0" w:color="auto"/>
              <w:bottom w:val="nil" w:sz="6" w:space="0" w:color="auto"/>
              <w:right w:val="nil" w:sz="6" w:space="0" w:color="auto"/>
            </w:tcBorders>
          </w:tcPr>
          <w:p>
            <w:pPr>
              <w:pStyle w:val="TableParagraph"/>
              <w:spacing w:line="219" w:lineRule="exact"/>
              <w:ind w:left="300" w:right="0"/>
              <w:jc w:val="center"/>
              <w:rPr>
                <w:rFonts w:ascii="宋体" w:hAnsi="宋体" w:cs="宋体" w:eastAsia="宋体" w:hint="default"/>
                <w:sz w:val="20"/>
                <w:szCs w:val="20"/>
              </w:rPr>
            </w:pPr>
            <w:r>
              <w:rPr>
                <w:rFonts w:ascii="宋体" w:hAnsi="宋体" w:cs="宋体" w:eastAsia="宋体" w:hint="default"/>
                <w:sz w:val="20"/>
                <w:szCs w:val="20"/>
              </w:rPr>
              <w:t>联通新时讯</w:t>
            </w:r>
          </w:p>
        </w:tc>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1"/>
              <w:jc w:val="right"/>
              <w:rPr>
                <w:rFonts w:ascii="Arial" w:hAnsi="Arial" w:cs="Arial" w:eastAsia="Arial" w:hint="default"/>
                <w:sz w:val="20"/>
                <w:szCs w:val="20"/>
              </w:rPr>
            </w:pPr>
            <w:r>
              <w:rPr>
                <w:rFonts w:ascii="Arial"/>
                <w:spacing w:val="-1"/>
                <w:sz w:val="20"/>
              </w:rPr>
              <w:t>23,464,920</w:t>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96" w:right="0"/>
              <w:jc w:val="left"/>
              <w:rPr>
                <w:rFonts w:ascii="Arial" w:hAnsi="Arial" w:cs="Arial" w:eastAsia="Arial" w:hint="default"/>
                <w:sz w:val="20"/>
                <w:szCs w:val="20"/>
              </w:rPr>
            </w:pPr>
            <w:r>
              <w:rPr>
                <w:rFonts w:ascii="Arial"/>
                <w:sz w:val="20"/>
              </w:rPr>
              <w:t>21,625,081</w:t>
            </w:r>
          </w:p>
        </w:tc>
      </w:tr>
      <w:tr>
        <w:trPr>
          <w:trHeight w:val="259" w:hRule="exact"/>
        </w:trPr>
        <w:tc>
          <w:tcPr>
            <w:tcW w:w="4683" w:type="dxa"/>
            <w:tcBorders>
              <w:top w:val="nil" w:sz="6" w:space="0" w:color="auto"/>
              <w:left w:val="nil" w:sz="6" w:space="0" w:color="auto"/>
              <w:bottom w:val="nil" w:sz="6" w:space="0" w:color="auto"/>
              <w:right w:val="nil" w:sz="6" w:space="0" w:color="auto"/>
            </w:tcBorders>
          </w:tcPr>
          <w:p>
            <w:pPr>
              <w:pStyle w:val="TableParagraph"/>
              <w:spacing w:line="219" w:lineRule="exact"/>
              <w:ind w:left="101" w:right="0"/>
              <w:jc w:val="center"/>
              <w:rPr>
                <w:rFonts w:ascii="宋体" w:hAnsi="宋体" w:cs="宋体" w:eastAsia="宋体" w:hint="default"/>
                <w:sz w:val="20"/>
                <w:szCs w:val="20"/>
              </w:rPr>
            </w:pPr>
            <w:r>
              <w:rPr>
                <w:rFonts w:ascii="宋体" w:hAnsi="宋体" w:cs="宋体" w:eastAsia="宋体" w:hint="default"/>
                <w:sz w:val="20"/>
                <w:szCs w:val="20"/>
              </w:rPr>
              <w:t>联通时科</w:t>
            </w:r>
          </w:p>
        </w:tc>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1"/>
              <w:jc w:val="right"/>
              <w:rPr>
                <w:rFonts w:ascii="Arial" w:hAnsi="Arial" w:cs="Arial" w:eastAsia="Arial" w:hint="default"/>
                <w:sz w:val="20"/>
                <w:szCs w:val="20"/>
              </w:rPr>
            </w:pPr>
            <w:r>
              <w:rPr>
                <w:rFonts w:ascii="Arial"/>
                <w:spacing w:val="-1"/>
                <w:sz w:val="20"/>
              </w:rPr>
              <w:t>12,020,671</w:t>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996" w:right="0"/>
              <w:jc w:val="left"/>
              <w:rPr>
                <w:rFonts w:ascii="Arial" w:hAnsi="Arial" w:cs="Arial" w:eastAsia="Arial" w:hint="default"/>
                <w:sz w:val="20"/>
                <w:szCs w:val="20"/>
              </w:rPr>
            </w:pPr>
            <w:r>
              <w:rPr>
                <w:rFonts w:ascii="Arial"/>
                <w:sz w:val="20"/>
              </w:rPr>
              <w:t>13,920,458</w:t>
            </w:r>
          </w:p>
        </w:tc>
      </w:tr>
      <w:tr>
        <w:trPr>
          <w:trHeight w:val="264" w:hRule="exact"/>
        </w:trPr>
        <w:tc>
          <w:tcPr>
            <w:tcW w:w="4683" w:type="dxa"/>
            <w:tcBorders>
              <w:top w:val="nil" w:sz="6" w:space="0" w:color="auto"/>
              <w:left w:val="nil" w:sz="6" w:space="0" w:color="auto"/>
              <w:bottom w:val="nil" w:sz="6" w:space="0" w:color="auto"/>
              <w:right w:val="nil" w:sz="6" w:space="0" w:color="auto"/>
            </w:tcBorders>
          </w:tcPr>
          <w:p>
            <w:pPr>
              <w:pStyle w:val="TableParagraph"/>
              <w:spacing w:line="219" w:lineRule="exact"/>
              <w:ind w:right="688"/>
              <w:jc w:val="right"/>
              <w:rPr>
                <w:rFonts w:ascii="宋体" w:hAnsi="宋体" w:cs="宋体" w:eastAsia="宋体" w:hint="default"/>
                <w:sz w:val="20"/>
                <w:szCs w:val="20"/>
              </w:rPr>
            </w:pPr>
            <w:r>
              <w:rPr>
                <w:rFonts w:ascii="宋体" w:hAnsi="宋体" w:cs="宋体" w:eastAsia="宋体" w:hint="default"/>
                <w:spacing w:val="-1"/>
                <w:sz w:val="20"/>
                <w:szCs w:val="20"/>
              </w:rPr>
              <w:t>联通集团其他附属公司</w:t>
            </w:r>
          </w:p>
        </w:tc>
        <w:tc>
          <w:tcPr>
            <w:tcW w:w="2323" w:type="dxa"/>
            <w:tcBorders>
              <w:top w:val="nil" w:sz="6" w:space="0" w:color="auto"/>
              <w:left w:val="nil" w:sz="6" w:space="0" w:color="auto"/>
              <w:bottom w:val="nil" w:sz="6" w:space="0" w:color="auto"/>
              <w:right w:val="nil" w:sz="6" w:space="0" w:color="auto"/>
            </w:tcBorders>
          </w:tcPr>
          <w:p>
            <w:pPr>
              <w:pStyle w:val="TableParagraph"/>
              <w:tabs>
                <w:tab w:pos="925" w:val="left" w:leader="none"/>
                <w:tab w:pos="2308" w:val="left" w:leader="none"/>
              </w:tabs>
              <w:spacing w:line="240" w:lineRule="auto" w:before="1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2,246,581,558</w:t>
              <w:tab/>
            </w:r>
            <w:r>
              <w:rPr>
                <w:rFonts w:ascii="Arial"/>
                <w:spacing w:val="-2"/>
                <w:sz w:val="20"/>
              </w:rPr>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nil" w:sz="6" w:space="0" w:color="auto"/>
              <w:right w:val="nil" w:sz="6" w:space="0" w:color="auto"/>
            </w:tcBorders>
          </w:tcPr>
          <w:p>
            <w:pPr>
              <w:pStyle w:val="TableParagraph"/>
              <w:tabs>
                <w:tab w:pos="716" w:val="left" w:leader="none"/>
                <w:tab w:pos="2114" w:val="left" w:leader="none"/>
              </w:tabs>
              <w:spacing w:line="240" w:lineRule="auto" w:before="15"/>
              <w:ind w:right="4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2"/>
                <w:sz w:val="20"/>
                <w:u w:val="single" w:color="000000"/>
              </w:rPr>
              <w:t>1,453,002,526</w:t>
              <w:tab/>
            </w:r>
            <w:r>
              <w:rPr>
                <w:rFonts w:ascii="Arial"/>
                <w:spacing w:val="-2"/>
                <w:sz w:val="20"/>
              </w:rPr>
            </w:r>
          </w:p>
        </w:tc>
      </w:tr>
      <w:tr>
        <w:trPr>
          <w:trHeight w:val="252" w:hRule="exact"/>
        </w:trPr>
        <w:tc>
          <w:tcPr>
            <w:tcW w:w="4683" w:type="dxa"/>
            <w:tcBorders>
              <w:top w:val="nil" w:sz="6" w:space="0" w:color="auto"/>
              <w:left w:val="nil" w:sz="6" w:space="0" w:color="auto"/>
              <w:bottom w:val="nil" w:sz="6" w:space="0" w:color="auto"/>
              <w:right w:val="nil" w:sz="6" w:space="0" w:color="auto"/>
            </w:tcBorders>
          </w:tcPr>
          <w:p>
            <w:pPr/>
          </w:p>
        </w:tc>
        <w:tc>
          <w:tcPr>
            <w:tcW w:w="2323" w:type="dxa"/>
            <w:tcBorders>
              <w:top w:val="nil" w:sz="6" w:space="0" w:color="auto"/>
              <w:left w:val="nil" w:sz="6" w:space="0" w:color="auto"/>
              <w:bottom w:val="single" w:sz="17" w:space="0" w:color="000000"/>
              <w:right w:val="nil" w:sz="6" w:space="0" w:color="auto"/>
            </w:tcBorders>
          </w:tcPr>
          <w:p>
            <w:pPr>
              <w:pStyle w:val="TableParagraph"/>
              <w:spacing w:line="228" w:lineRule="exact"/>
              <w:ind w:right="109"/>
              <w:jc w:val="right"/>
              <w:rPr>
                <w:rFonts w:ascii="Arial" w:hAnsi="Arial" w:cs="Arial" w:eastAsia="Arial" w:hint="default"/>
                <w:sz w:val="20"/>
                <w:szCs w:val="20"/>
              </w:rPr>
            </w:pPr>
            <w:r>
              <w:rPr>
                <w:rFonts w:ascii="Arial"/>
                <w:spacing w:val="-2"/>
                <w:sz w:val="20"/>
              </w:rPr>
              <w:t>3,361,708,948</w:t>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single" w:sz="17" w:space="0" w:color="000000"/>
              <w:right w:val="nil" w:sz="6" w:space="0" w:color="auto"/>
            </w:tcBorders>
          </w:tcPr>
          <w:p>
            <w:pPr>
              <w:pStyle w:val="TableParagraph"/>
              <w:spacing w:line="228" w:lineRule="exact"/>
              <w:ind w:left="720" w:right="0"/>
              <w:jc w:val="left"/>
              <w:rPr>
                <w:rFonts w:ascii="Arial" w:hAnsi="Arial" w:cs="Arial" w:eastAsia="Arial" w:hint="default"/>
                <w:sz w:val="20"/>
                <w:szCs w:val="20"/>
              </w:rPr>
            </w:pPr>
            <w:r>
              <w:rPr>
                <w:rFonts w:ascii="Arial"/>
                <w:sz w:val="20"/>
              </w:rPr>
              <w:t>1,509,542,076</w:t>
            </w:r>
          </w:p>
        </w:tc>
      </w:tr>
      <w:tr>
        <w:trPr>
          <w:trHeight w:val="524" w:hRule="exact"/>
        </w:trPr>
        <w:tc>
          <w:tcPr>
            <w:tcW w:w="46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tabs>
                <w:tab w:pos="1991" w:val="left" w:leader="none"/>
              </w:tabs>
              <w:spacing w:line="240" w:lineRule="auto"/>
              <w:ind w:left="494" w:right="0"/>
              <w:jc w:val="left"/>
              <w:rPr>
                <w:rFonts w:ascii="宋体" w:hAnsi="宋体" w:cs="宋体" w:eastAsia="宋体" w:hint="default"/>
                <w:sz w:val="20"/>
                <w:szCs w:val="20"/>
              </w:rPr>
            </w:pPr>
            <w:r>
              <w:rPr>
                <w:rFonts w:ascii="宋体" w:hAnsi="宋体" w:cs="宋体" w:eastAsia="宋体" w:hint="default"/>
                <w:spacing w:val="-1"/>
                <w:sz w:val="20"/>
                <w:szCs w:val="20"/>
              </w:rPr>
              <w:t>其他应付款</w:t>
              <w:tab/>
            </w:r>
            <w:r>
              <w:rPr>
                <w:rFonts w:ascii="宋体" w:hAnsi="宋体" w:cs="宋体" w:eastAsia="宋体" w:hint="default"/>
                <w:sz w:val="20"/>
                <w:szCs w:val="20"/>
              </w:rPr>
              <w:t>联通集团</w:t>
            </w:r>
          </w:p>
        </w:tc>
        <w:tc>
          <w:tcPr>
            <w:tcW w:w="2323" w:type="dxa"/>
            <w:tcBorders>
              <w:top w:val="single" w:sz="17"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8"/>
              <w:jc w:val="right"/>
              <w:rPr>
                <w:rFonts w:ascii="Arial" w:hAnsi="Arial" w:cs="Arial" w:eastAsia="Arial" w:hint="default"/>
                <w:sz w:val="20"/>
                <w:szCs w:val="20"/>
              </w:rPr>
            </w:pPr>
            <w:r>
              <w:rPr>
                <w:rFonts w:ascii="Arial"/>
                <w:spacing w:val="-1"/>
                <w:sz w:val="20"/>
              </w:rPr>
              <w:t>274,934,125</w:t>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single" w:sz="17"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886" w:right="0"/>
              <w:jc w:val="left"/>
              <w:rPr>
                <w:rFonts w:ascii="Arial" w:hAnsi="Arial" w:cs="Arial" w:eastAsia="Arial" w:hint="default"/>
                <w:sz w:val="20"/>
                <w:szCs w:val="20"/>
              </w:rPr>
            </w:pPr>
            <w:r>
              <w:rPr>
                <w:rFonts w:ascii="Arial"/>
                <w:sz w:val="20"/>
              </w:rPr>
              <w:t>653,828,903</w:t>
            </w:r>
          </w:p>
        </w:tc>
      </w:tr>
      <w:tr>
        <w:trPr>
          <w:trHeight w:val="260" w:hRule="exact"/>
        </w:trPr>
        <w:tc>
          <w:tcPr>
            <w:tcW w:w="4683" w:type="dxa"/>
            <w:tcBorders>
              <w:top w:val="nil" w:sz="6" w:space="0" w:color="auto"/>
              <w:left w:val="nil" w:sz="6" w:space="0" w:color="auto"/>
              <w:bottom w:val="nil" w:sz="6" w:space="0" w:color="auto"/>
              <w:right w:val="nil" w:sz="6" w:space="0" w:color="auto"/>
            </w:tcBorders>
          </w:tcPr>
          <w:p>
            <w:pPr>
              <w:pStyle w:val="TableParagraph"/>
              <w:spacing w:line="219" w:lineRule="exact"/>
              <w:ind w:left="300" w:right="0"/>
              <w:jc w:val="center"/>
              <w:rPr>
                <w:rFonts w:ascii="宋体" w:hAnsi="宋体" w:cs="宋体" w:eastAsia="宋体" w:hint="default"/>
                <w:sz w:val="20"/>
                <w:szCs w:val="20"/>
              </w:rPr>
            </w:pPr>
            <w:r>
              <w:rPr>
                <w:rFonts w:ascii="宋体" w:hAnsi="宋体" w:cs="宋体" w:eastAsia="宋体" w:hint="default"/>
                <w:sz w:val="20"/>
                <w:szCs w:val="20"/>
              </w:rPr>
              <w:t>联通新时空</w:t>
            </w:r>
          </w:p>
        </w:tc>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11"/>
              <w:jc w:val="right"/>
              <w:rPr>
                <w:rFonts w:ascii="Arial" w:hAnsi="Arial" w:cs="Arial" w:eastAsia="Arial" w:hint="default"/>
                <w:sz w:val="20"/>
                <w:szCs w:val="20"/>
              </w:rPr>
            </w:pPr>
            <w:r>
              <w:rPr>
                <w:rFonts w:ascii="Arial"/>
                <w:spacing w:val="-1"/>
                <w:sz w:val="20"/>
              </w:rPr>
              <w:t>41,856,467</w:t>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60"/>
              <w:jc w:val="right"/>
              <w:rPr>
                <w:rFonts w:ascii="Arial" w:hAnsi="Arial" w:cs="Arial" w:eastAsia="Arial" w:hint="default"/>
                <w:sz w:val="20"/>
                <w:szCs w:val="20"/>
              </w:rPr>
            </w:pPr>
            <w:r>
              <w:rPr>
                <w:rFonts w:ascii="Arial"/>
                <w:w w:val="100"/>
                <w:sz w:val="20"/>
              </w:rPr>
              <w:t>-</w:t>
            </w:r>
          </w:p>
        </w:tc>
      </w:tr>
      <w:tr>
        <w:trPr>
          <w:trHeight w:val="777" w:hRule="exact"/>
        </w:trPr>
        <w:tc>
          <w:tcPr>
            <w:tcW w:w="4683" w:type="dxa"/>
            <w:tcBorders>
              <w:top w:val="nil" w:sz="6" w:space="0" w:color="auto"/>
              <w:left w:val="nil" w:sz="6" w:space="0" w:color="auto"/>
              <w:bottom w:val="nil" w:sz="6" w:space="0" w:color="auto"/>
              <w:right w:val="nil" w:sz="6" w:space="0" w:color="auto"/>
            </w:tcBorders>
          </w:tcPr>
          <w:p>
            <w:pPr>
              <w:pStyle w:val="TableParagraph"/>
              <w:spacing w:line="217" w:lineRule="exact"/>
              <w:ind w:left="1991" w:right="0"/>
              <w:jc w:val="left"/>
              <w:rPr>
                <w:rFonts w:ascii="宋体" w:hAnsi="宋体" w:cs="宋体" w:eastAsia="宋体" w:hint="default"/>
                <w:sz w:val="20"/>
                <w:szCs w:val="20"/>
              </w:rPr>
            </w:pPr>
            <w:r>
              <w:rPr>
                <w:rFonts w:ascii="宋体" w:hAnsi="宋体" w:cs="宋体" w:eastAsia="宋体" w:hint="default"/>
                <w:sz w:val="20"/>
                <w:szCs w:val="20"/>
              </w:rPr>
              <w:t>联通进出口</w:t>
            </w:r>
          </w:p>
          <w:p>
            <w:pPr>
              <w:pStyle w:val="TableParagraph"/>
              <w:spacing w:line="259" w:lineRule="exact"/>
              <w:ind w:left="101" w:right="0"/>
              <w:jc w:val="center"/>
              <w:rPr>
                <w:rFonts w:ascii="宋体" w:hAnsi="宋体" w:cs="宋体" w:eastAsia="宋体" w:hint="default"/>
                <w:sz w:val="20"/>
                <w:szCs w:val="20"/>
              </w:rPr>
            </w:pPr>
            <w:r>
              <w:rPr>
                <w:rFonts w:ascii="宋体" w:hAnsi="宋体" w:cs="宋体" w:eastAsia="宋体" w:hint="default"/>
                <w:sz w:val="20"/>
                <w:szCs w:val="20"/>
              </w:rPr>
              <w:t>联通时科</w:t>
            </w:r>
          </w:p>
          <w:p>
            <w:pPr>
              <w:pStyle w:val="TableParagraph"/>
              <w:spacing w:line="275" w:lineRule="exact"/>
              <w:ind w:left="1991" w:right="0"/>
              <w:jc w:val="left"/>
              <w:rPr>
                <w:rFonts w:ascii="宋体" w:hAnsi="宋体" w:cs="宋体" w:eastAsia="宋体" w:hint="default"/>
                <w:sz w:val="20"/>
                <w:szCs w:val="20"/>
              </w:rPr>
            </w:pPr>
            <w:r>
              <w:rPr>
                <w:rFonts w:ascii="宋体" w:hAnsi="宋体" w:cs="宋体" w:eastAsia="宋体" w:hint="default"/>
                <w:sz w:val="20"/>
                <w:szCs w:val="20"/>
              </w:rPr>
              <w:t>网通</w:t>
            </w:r>
            <w:r>
              <w:rPr>
                <w:rFonts w:ascii="宋体" w:hAnsi="宋体" w:cs="宋体" w:eastAsia="宋体" w:hint="default"/>
                <w:spacing w:val="-51"/>
                <w:sz w:val="20"/>
                <w:szCs w:val="20"/>
              </w:rPr>
              <w:t> </w:t>
            </w:r>
            <w:r>
              <w:rPr>
                <w:rFonts w:ascii="Arial" w:hAnsi="Arial" w:cs="Arial" w:eastAsia="Arial" w:hint="default"/>
                <w:sz w:val="20"/>
                <w:szCs w:val="20"/>
              </w:rPr>
              <w:t>BVI</w:t>
            </w:r>
            <w:r>
              <w:rPr>
                <w:rFonts w:ascii="宋体" w:hAnsi="宋体" w:cs="宋体" w:eastAsia="宋体" w:hint="default"/>
                <w:sz w:val="20"/>
                <w:szCs w:val="20"/>
              </w:rPr>
              <w:t>（注</w:t>
            </w:r>
            <w:r>
              <w:rPr>
                <w:rFonts w:ascii="宋体" w:hAnsi="宋体" w:cs="宋体" w:eastAsia="宋体" w:hint="default"/>
                <w:spacing w:val="-52"/>
                <w:sz w:val="20"/>
                <w:szCs w:val="20"/>
              </w:rPr>
              <w:t> </w:t>
            </w:r>
            <w:r>
              <w:rPr>
                <w:rFonts w:ascii="Arial" w:hAnsi="Arial" w:cs="Arial" w:eastAsia="Arial" w:hint="default"/>
                <w:sz w:val="20"/>
                <w:szCs w:val="20"/>
              </w:rPr>
              <w:t>2</w:t>
            </w:r>
            <w:r>
              <w:rPr>
                <w:rFonts w:ascii="宋体" w:hAnsi="宋体" w:cs="宋体" w:eastAsia="宋体" w:hint="default"/>
                <w:sz w:val="20"/>
                <w:szCs w:val="20"/>
              </w:rPr>
              <w:t>）</w:t>
            </w:r>
          </w:p>
        </w:tc>
        <w:tc>
          <w:tcPr>
            <w:tcW w:w="232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321" w:right="0"/>
              <w:jc w:val="left"/>
              <w:rPr>
                <w:rFonts w:ascii="Arial" w:hAnsi="Arial" w:cs="Arial" w:eastAsia="Arial" w:hint="default"/>
                <w:sz w:val="20"/>
                <w:szCs w:val="20"/>
              </w:rPr>
            </w:pPr>
            <w:r>
              <w:rPr>
                <w:rFonts w:ascii="Arial"/>
                <w:sz w:val="20"/>
              </w:rPr>
              <w:t>2,420,258</w:t>
            </w:r>
          </w:p>
          <w:p>
            <w:pPr>
              <w:pStyle w:val="TableParagraph"/>
              <w:spacing w:line="271" w:lineRule="auto" w:before="29"/>
              <w:ind w:left="932" w:right="109" w:firstLine="1212"/>
              <w:jc w:val="left"/>
              <w:rPr>
                <w:rFonts w:ascii="Arial" w:hAnsi="Arial" w:cs="Arial" w:eastAsia="Arial" w:hint="default"/>
                <w:sz w:val="20"/>
                <w:szCs w:val="20"/>
              </w:rPr>
            </w:pPr>
            <w:r>
              <w:rPr>
                <w:rFonts w:ascii="Arial"/>
                <w:sz w:val="20"/>
              </w:rPr>
              <w:t>-</w:t>
            </w:r>
            <w:r>
              <w:rPr>
                <w:rFonts w:ascii="Arial"/>
                <w:w w:val="100"/>
                <w:sz w:val="20"/>
              </w:rPr>
              <w:t> </w:t>
            </w:r>
            <w:r>
              <w:rPr>
                <w:rFonts w:ascii="Arial"/>
                <w:spacing w:val="-2"/>
                <w:sz w:val="20"/>
              </w:rPr>
              <w:t>2,120,355,094</w:t>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nil" w:sz="6" w:space="0" w:color="auto"/>
              <w:right w:val="nil" w:sz="6" w:space="0" w:color="auto"/>
            </w:tcBorders>
          </w:tcPr>
          <w:p>
            <w:pPr>
              <w:pStyle w:val="TableParagraph"/>
              <w:spacing w:line="271" w:lineRule="auto" w:before="15"/>
              <w:ind w:left="1275" w:right="161" w:firstLine="656"/>
              <w:jc w:val="right"/>
              <w:rPr>
                <w:rFonts w:ascii="Arial" w:hAnsi="Arial" w:cs="Arial" w:eastAsia="Arial" w:hint="default"/>
                <w:sz w:val="20"/>
                <w:szCs w:val="20"/>
              </w:rPr>
            </w:pPr>
            <w:r>
              <w:rPr>
                <w:rFonts w:ascii="Arial"/>
                <w:sz w:val="20"/>
              </w:rPr>
              <w:t>-</w:t>
            </w:r>
            <w:r>
              <w:rPr>
                <w:rFonts w:ascii="Arial"/>
                <w:w w:val="100"/>
                <w:sz w:val="20"/>
              </w:rPr>
              <w:t> </w:t>
            </w:r>
            <w:r>
              <w:rPr>
                <w:rFonts w:ascii="Arial"/>
                <w:spacing w:val="-1"/>
                <w:sz w:val="20"/>
              </w:rPr>
              <w:t>321,985</w:t>
            </w:r>
          </w:p>
          <w:p>
            <w:pPr>
              <w:pStyle w:val="TableParagraph"/>
              <w:spacing w:line="240" w:lineRule="auto"/>
              <w:ind w:right="160"/>
              <w:jc w:val="right"/>
              <w:rPr>
                <w:rFonts w:ascii="Arial" w:hAnsi="Arial" w:cs="Arial" w:eastAsia="Arial" w:hint="default"/>
                <w:sz w:val="20"/>
                <w:szCs w:val="20"/>
              </w:rPr>
            </w:pPr>
            <w:r>
              <w:rPr>
                <w:rFonts w:ascii="Arial"/>
                <w:w w:val="100"/>
                <w:sz w:val="20"/>
              </w:rPr>
              <w:t>-</w:t>
            </w:r>
          </w:p>
        </w:tc>
      </w:tr>
      <w:tr>
        <w:trPr>
          <w:trHeight w:val="263" w:hRule="exact"/>
        </w:trPr>
        <w:tc>
          <w:tcPr>
            <w:tcW w:w="4683" w:type="dxa"/>
            <w:tcBorders>
              <w:top w:val="nil" w:sz="6" w:space="0" w:color="auto"/>
              <w:left w:val="nil" w:sz="6" w:space="0" w:color="auto"/>
              <w:bottom w:val="nil" w:sz="6" w:space="0" w:color="auto"/>
              <w:right w:val="nil" w:sz="6" w:space="0" w:color="auto"/>
            </w:tcBorders>
          </w:tcPr>
          <w:p>
            <w:pPr>
              <w:pStyle w:val="TableParagraph"/>
              <w:spacing w:line="219" w:lineRule="exact"/>
              <w:ind w:right="688"/>
              <w:jc w:val="right"/>
              <w:rPr>
                <w:rFonts w:ascii="宋体" w:hAnsi="宋体" w:cs="宋体" w:eastAsia="宋体" w:hint="default"/>
                <w:sz w:val="20"/>
                <w:szCs w:val="20"/>
              </w:rPr>
            </w:pPr>
            <w:r>
              <w:rPr>
                <w:rFonts w:ascii="宋体" w:hAnsi="宋体" w:cs="宋体" w:eastAsia="宋体" w:hint="default"/>
                <w:spacing w:val="-1"/>
                <w:sz w:val="20"/>
                <w:szCs w:val="20"/>
              </w:rPr>
              <w:t>联通集团其他附属公司</w:t>
            </w:r>
          </w:p>
        </w:tc>
        <w:tc>
          <w:tcPr>
            <w:tcW w:w="2323" w:type="dxa"/>
            <w:tcBorders>
              <w:top w:val="nil" w:sz="6" w:space="0" w:color="auto"/>
              <w:left w:val="nil" w:sz="6" w:space="0" w:color="auto"/>
              <w:bottom w:val="nil" w:sz="6" w:space="0" w:color="auto"/>
              <w:right w:val="nil" w:sz="6" w:space="0" w:color="auto"/>
            </w:tcBorders>
          </w:tcPr>
          <w:p>
            <w:pPr>
              <w:pStyle w:val="TableParagraph"/>
              <w:tabs>
                <w:tab w:pos="1202" w:val="left" w:leader="none"/>
                <w:tab w:pos="2308" w:val="left" w:leader="none"/>
              </w:tabs>
              <w:spacing w:line="240" w:lineRule="auto" w:before="1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37,986,532</w:t>
              <w:tab/>
            </w:r>
            <w:r>
              <w:rPr>
                <w:rFonts w:ascii="Arial"/>
                <w:spacing w:val="-1"/>
                <w:sz w:val="20"/>
              </w:rPr>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nil" w:sz="6" w:space="0" w:color="auto"/>
              <w:right w:val="nil" w:sz="6" w:space="0" w:color="auto"/>
            </w:tcBorders>
          </w:tcPr>
          <w:p>
            <w:pPr>
              <w:pStyle w:val="TableParagraph"/>
              <w:tabs>
                <w:tab w:pos="993" w:val="left" w:leader="none"/>
                <w:tab w:pos="2114" w:val="left" w:leader="none"/>
              </w:tabs>
              <w:spacing w:line="240" w:lineRule="auto" w:before="15"/>
              <w:ind w:right="4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85,300,323</w:t>
              <w:tab/>
            </w:r>
            <w:r>
              <w:rPr>
                <w:rFonts w:ascii="Arial"/>
                <w:spacing w:val="-1"/>
                <w:sz w:val="20"/>
              </w:rPr>
            </w:r>
          </w:p>
        </w:tc>
      </w:tr>
      <w:tr>
        <w:trPr>
          <w:trHeight w:val="252" w:hRule="exact"/>
        </w:trPr>
        <w:tc>
          <w:tcPr>
            <w:tcW w:w="4683" w:type="dxa"/>
            <w:tcBorders>
              <w:top w:val="nil" w:sz="6" w:space="0" w:color="auto"/>
              <w:left w:val="nil" w:sz="6" w:space="0" w:color="auto"/>
              <w:bottom w:val="nil" w:sz="6" w:space="0" w:color="auto"/>
              <w:right w:val="nil" w:sz="6" w:space="0" w:color="auto"/>
            </w:tcBorders>
          </w:tcPr>
          <w:p>
            <w:pPr/>
          </w:p>
        </w:tc>
        <w:tc>
          <w:tcPr>
            <w:tcW w:w="2323" w:type="dxa"/>
            <w:tcBorders>
              <w:top w:val="nil" w:sz="6" w:space="0" w:color="auto"/>
              <w:left w:val="nil" w:sz="6" w:space="0" w:color="auto"/>
              <w:bottom w:val="single" w:sz="17" w:space="0" w:color="000000"/>
              <w:right w:val="nil" w:sz="6" w:space="0" w:color="auto"/>
            </w:tcBorders>
          </w:tcPr>
          <w:p>
            <w:pPr>
              <w:pStyle w:val="TableParagraph"/>
              <w:spacing w:line="228" w:lineRule="exact"/>
              <w:ind w:right="109"/>
              <w:jc w:val="right"/>
              <w:rPr>
                <w:rFonts w:ascii="Arial" w:hAnsi="Arial" w:cs="Arial" w:eastAsia="Arial" w:hint="default"/>
                <w:sz w:val="20"/>
                <w:szCs w:val="20"/>
              </w:rPr>
            </w:pPr>
            <w:r>
              <w:rPr>
                <w:rFonts w:ascii="Arial"/>
                <w:spacing w:val="-1"/>
                <w:sz w:val="20"/>
              </w:rPr>
              <w:t>2,477,552,476</w:t>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single" w:sz="17" w:space="0" w:color="000000"/>
              <w:right w:val="nil" w:sz="6" w:space="0" w:color="auto"/>
            </w:tcBorders>
          </w:tcPr>
          <w:p>
            <w:pPr>
              <w:pStyle w:val="TableParagraph"/>
              <w:spacing w:line="228" w:lineRule="exact"/>
              <w:ind w:left="887" w:right="0"/>
              <w:jc w:val="left"/>
              <w:rPr>
                <w:rFonts w:ascii="Arial" w:hAnsi="Arial" w:cs="Arial" w:eastAsia="Arial" w:hint="default"/>
                <w:sz w:val="20"/>
                <w:szCs w:val="20"/>
              </w:rPr>
            </w:pPr>
            <w:r>
              <w:rPr>
                <w:rFonts w:ascii="Arial"/>
                <w:sz w:val="20"/>
              </w:rPr>
              <w:t>739,451,211</w:t>
            </w:r>
          </w:p>
        </w:tc>
      </w:tr>
      <w:tr>
        <w:trPr>
          <w:trHeight w:val="524" w:hRule="exact"/>
        </w:trPr>
        <w:tc>
          <w:tcPr>
            <w:tcW w:w="4683"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6"/>
                <w:szCs w:val="16"/>
              </w:rPr>
            </w:pPr>
          </w:p>
          <w:p>
            <w:pPr>
              <w:pStyle w:val="TableParagraph"/>
              <w:tabs>
                <w:tab w:pos="1991" w:val="left" w:leader="none"/>
              </w:tabs>
              <w:spacing w:line="240" w:lineRule="auto"/>
              <w:ind w:left="494" w:right="0"/>
              <w:jc w:val="left"/>
              <w:rPr>
                <w:rFonts w:ascii="宋体" w:hAnsi="宋体" w:cs="宋体" w:eastAsia="宋体" w:hint="default"/>
                <w:sz w:val="20"/>
                <w:szCs w:val="20"/>
              </w:rPr>
            </w:pPr>
            <w:r>
              <w:rPr>
                <w:rFonts w:ascii="宋体" w:hAnsi="宋体" w:cs="宋体" w:eastAsia="宋体" w:hint="default"/>
                <w:sz w:val="20"/>
                <w:szCs w:val="20"/>
              </w:rPr>
              <w:t>应付股利</w:t>
              <w:tab/>
              <w:t>联通集团</w:t>
            </w:r>
          </w:p>
        </w:tc>
        <w:tc>
          <w:tcPr>
            <w:tcW w:w="2323"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10"/>
              <w:jc w:val="right"/>
              <w:rPr>
                <w:rFonts w:ascii="Arial" w:hAnsi="Arial" w:cs="Arial" w:eastAsia="Arial" w:hint="default"/>
                <w:sz w:val="20"/>
                <w:szCs w:val="20"/>
              </w:rPr>
            </w:pPr>
            <w:r>
              <w:rPr>
                <w:rFonts w:ascii="Arial"/>
                <w:w w:val="100"/>
                <w:sz w:val="20"/>
              </w:rPr>
              <w:t>-</w:t>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886" w:right="0"/>
              <w:jc w:val="left"/>
              <w:rPr>
                <w:rFonts w:ascii="Arial" w:hAnsi="Arial" w:cs="Arial" w:eastAsia="Arial" w:hint="default"/>
                <w:sz w:val="20"/>
                <w:szCs w:val="20"/>
              </w:rPr>
            </w:pPr>
            <w:r>
              <w:rPr>
                <w:rFonts w:ascii="Arial"/>
                <w:sz w:val="20"/>
              </w:rPr>
              <w:t>214,000,000</w:t>
            </w:r>
          </w:p>
        </w:tc>
      </w:tr>
      <w:tr>
        <w:trPr>
          <w:trHeight w:val="263" w:hRule="exact"/>
        </w:trPr>
        <w:tc>
          <w:tcPr>
            <w:tcW w:w="4683" w:type="dxa"/>
            <w:tcBorders>
              <w:top w:val="nil" w:sz="6" w:space="0" w:color="auto"/>
              <w:left w:val="nil" w:sz="6" w:space="0" w:color="auto"/>
              <w:bottom w:val="nil" w:sz="6" w:space="0" w:color="auto"/>
              <w:right w:val="nil" w:sz="6" w:space="0" w:color="auto"/>
            </w:tcBorders>
          </w:tcPr>
          <w:p>
            <w:pPr>
              <w:pStyle w:val="TableParagraph"/>
              <w:spacing w:line="219" w:lineRule="exact"/>
              <w:ind w:right="688"/>
              <w:jc w:val="right"/>
              <w:rPr>
                <w:rFonts w:ascii="宋体" w:hAnsi="宋体" w:cs="宋体" w:eastAsia="宋体" w:hint="default"/>
                <w:sz w:val="20"/>
                <w:szCs w:val="20"/>
              </w:rPr>
            </w:pPr>
            <w:r>
              <w:rPr>
                <w:rFonts w:ascii="宋体" w:hAnsi="宋体" w:cs="宋体" w:eastAsia="宋体" w:hint="default"/>
                <w:spacing w:val="-1"/>
                <w:sz w:val="20"/>
                <w:szCs w:val="20"/>
              </w:rPr>
              <w:t>联通集团其他附属公司</w:t>
            </w:r>
          </w:p>
        </w:tc>
        <w:tc>
          <w:tcPr>
            <w:tcW w:w="2323" w:type="dxa"/>
            <w:tcBorders>
              <w:top w:val="nil" w:sz="6" w:space="0" w:color="auto"/>
              <w:left w:val="nil" w:sz="6" w:space="0" w:color="auto"/>
              <w:bottom w:val="nil" w:sz="6" w:space="0" w:color="auto"/>
              <w:right w:val="nil" w:sz="6" w:space="0" w:color="auto"/>
            </w:tcBorders>
          </w:tcPr>
          <w:p>
            <w:pPr>
              <w:pStyle w:val="TableParagraph"/>
              <w:tabs>
                <w:tab w:pos="1202" w:val="left" w:leader="none"/>
                <w:tab w:pos="2308" w:val="left" w:leader="none"/>
              </w:tabs>
              <w:spacing w:line="240" w:lineRule="auto" w:before="1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24,057,068</w:t>
              <w:tab/>
            </w:r>
            <w:r>
              <w:rPr>
                <w:rFonts w:ascii="Arial"/>
                <w:spacing w:val="-1"/>
                <w:sz w:val="20"/>
              </w:rPr>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nil" w:sz="6" w:space="0" w:color="auto"/>
              <w:right w:val="nil" w:sz="6" w:space="0" w:color="auto"/>
            </w:tcBorders>
          </w:tcPr>
          <w:p>
            <w:pPr>
              <w:pStyle w:val="TableParagraph"/>
              <w:tabs>
                <w:tab w:pos="993" w:val="left" w:leader="none"/>
                <w:tab w:pos="2114" w:val="left" w:leader="none"/>
              </w:tabs>
              <w:spacing w:line="240" w:lineRule="auto" w:before="15"/>
              <w:ind w:right="4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51,830,959</w:t>
              <w:tab/>
            </w:r>
            <w:r>
              <w:rPr>
                <w:rFonts w:ascii="Arial"/>
                <w:spacing w:val="-1"/>
                <w:sz w:val="20"/>
              </w:rPr>
            </w:r>
          </w:p>
        </w:tc>
      </w:tr>
      <w:tr>
        <w:trPr>
          <w:trHeight w:val="251" w:hRule="exact"/>
        </w:trPr>
        <w:tc>
          <w:tcPr>
            <w:tcW w:w="4683" w:type="dxa"/>
            <w:tcBorders>
              <w:top w:val="nil" w:sz="6" w:space="0" w:color="auto"/>
              <w:left w:val="nil" w:sz="6" w:space="0" w:color="auto"/>
              <w:bottom w:val="nil" w:sz="6" w:space="0" w:color="auto"/>
              <w:right w:val="nil" w:sz="6" w:space="0" w:color="auto"/>
            </w:tcBorders>
          </w:tcPr>
          <w:p>
            <w:pPr/>
          </w:p>
        </w:tc>
        <w:tc>
          <w:tcPr>
            <w:tcW w:w="2323" w:type="dxa"/>
            <w:tcBorders>
              <w:top w:val="nil" w:sz="6" w:space="0" w:color="auto"/>
              <w:left w:val="nil" w:sz="6" w:space="0" w:color="auto"/>
              <w:bottom w:val="single" w:sz="17" w:space="0" w:color="000000"/>
              <w:right w:val="nil" w:sz="6" w:space="0" w:color="auto"/>
            </w:tcBorders>
          </w:tcPr>
          <w:p>
            <w:pPr>
              <w:pStyle w:val="TableParagraph"/>
              <w:spacing w:line="228" w:lineRule="exact"/>
              <w:ind w:right="109"/>
              <w:jc w:val="right"/>
              <w:rPr>
                <w:rFonts w:ascii="Arial" w:hAnsi="Arial" w:cs="Arial" w:eastAsia="Arial" w:hint="default"/>
                <w:sz w:val="20"/>
                <w:szCs w:val="20"/>
              </w:rPr>
            </w:pPr>
            <w:r>
              <w:rPr>
                <w:rFonts w:ascii="Arial"/>
                <w:spacing w:val="-1"/>
                <w:sz w:val="20"/>
              </w:rPr>
              <w:t>24,057,068</w:t>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single" w:sz="17" w:space="0" w:color="000000"/>
              <w:right w:val="nil" w:sz="6" w:space="0" w:color="auto"/>
            </w:tcBorders>
          </w:tcPr>
          <w:p>
            <w:pPr>
              <w:pStyle w:val="TableParagraph"/>
              <w:spacing w:line="228" w:lineRule="exact"/>
              <w:ind w:left="887" w:right="0"/>
              <w:jc w:val="left"/>
              <w:rPr>
                <w:rFonts w:ascii="Arial" w:hAnsi="Arial" w:cs="Arial" w:eastAsia="Arial" w:hint="default"/>
                <w:sz w:val="20"/>
                <w:szCs w:val="20"/>
              </w:rPr>
            </w:pPr>
            <w:r>
              <w:rPr>
                <w:rFonts w:ascii="Arial"/>
                <w:sz w:val="20"/>
              </w:rPr>
              <w:t>265,830,959</w:t>
            </w:r>
          </w:p>
        </w:tc>
      </w:tr>
      <w:tr>
        <w:trPr>
          <w:trHeight w:val="523" w:hRule="exact"/>
        </w:trPr>
        <w:tc>
          <w:tcPr>
            <w:tcW w:w="46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tabs>
                <w:tab w:pos="1991" w:val="left" w:leader="none"/>
              </w:tabs>
              <w:spacing w:line="240" w:lineRule="auto"/>
              <w:ind w:left="494" w:right="0"/>
              <w:jc w:val="left"/>
              <w:rPr>
                <w:rFonts w:ascii="Arial" w:hAnsi="Arial" w:cs="Arial" w:eastAsia="Arial" w:hint="default"/>
                <w:sz w:val="20"/>
                <w:szCs w:val="20"/>
              </w:rPr>
            </w:pPr>
            <w:r>
              <w:rPr>
                <w:rFonts w:ascii="宋体" w:hAnsi="宋体" w:cs="宋体" w:eastAsia="宋体" w:hint="default"/>
                <w:sz w:val="20"/>
                <w:szCs w:val="20"/>
              </w:rPr>
              <w:t>应付利息</w:t>
              <w:tab/>
              <w:t>网通</w:t>
            </w:r>
            <w:r>
              <w:rPr>
                <w:rFonts w:ascii="宋体" w:hAnsi="宋体" w:cs="宋体" w:eastAsia="宋体" w:hint="default"/>
                <w:spacing w:val="-52"/>
                <w:sz w:val="20"/>
                <w:szCs w:val="20"/>
              </w:rPr>
              <w:t> </w:t>
            </w:r>
            <w:r>
              <w:rPr>
                <w:rFonts w:ascii="Arial" w:hAnsi="Arial" w:cs="Arial" w:eastAsia="Arial" w:hint="default"/>
                <w:sz w:val="20"/>
                <w:szCs w:val="20"/>
              </w:rPr>
              <w:t>BVI</w:t>
            </w:r>
          </w:p>
        </w:tc>
        <w:tc>
          <w:tcPr>
            <w:tcW w:w="2323" w:type="dxa"/>
            <w:tcBorders>
              <w:top w:val="single" w:sz="17"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9"/>
              <w:jc w:val="right"/>
              <w:rPr>
                <w:rFonts w:ascii="Arial" w:hAnsi="Arial" w:cs="Arial" w:eastAsia="Arial" w:hint="default"/>
                <w:sz w:val="20"/>
                <w:szCs w:val="20"/>
              </w:rPr>
            </w:pPr>
            <w:r>
              <w:rPr>
                <w:rFonts w:ascii="Arial"/>
                <w:spacing w:val="-1"/>
                <w:sz w:val="20"/>
              </w:rPr>
              <w:t>2,862,084</w:t>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single" w:sz="17"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108" w:right="0"/>
              <w:jc w:val="left"/>
              <w:rPr>
                <w:rFonts w:ascii="Arial" w:hAnsi="Arial" w:cs="Arial" w:eastAsia="Arial" w:hint="default"/>
                <w:sz w:val="20"/>
                <w:szCs w:val="20"/>
              </w:rPr>
            </w:pPr>
            <w:r>
              <w:rPr>
                <w:rFonts w:ascii="Arial"/>
                <w:sz w:val="20"/>
              </w:rPr>
              <w:t>2,866,635</w:t>
            </w:r>
          </w:p>
        </w:tc>
      </w:tr>
      <w:tr>
        <w:trPr>
          <w:trHeight w:val="264" w:hRule="exact"/>
        </w:trPr>
        <w:tc>
          <w:tcPr>
            <w:tcW w:w="4683" w:type="dxa"/>
            <w:tcBorders>
              <w:top w:val="nil" w:sz="6" w:space="0" w:color="auto"/>
              <w:left w:val="nil" w:sz="6" w:space="0" w:color="auto"/>
              <w:bottom w:val="nil" w:sz="6" w:space="0" w:color="auto"/>
              <w:right w:val="nil" w:sz="6" w:space="0" w:color="auto"/>
            </w:tcBorders>
          </w:tcPr>
          <w:p>
            <w:pPr>
              <w:pStyle w:val="TableParagraph"/>
              <w:spacing w:line="219" w:lineRule="exact"/>
              <w:ind w:right="688"/>
              <w:jc w:val="right"/>
              <w:rPr>
                <w:rFonts w:ascii="宋体" w:hAnsi="宋体" w:cs="宋体" w:eastAsia="宋体" w:hint="default"/>
                <w:sz w:val="20"/>
                <w:szCs w:val="20"/>
              </w:rPr>
            </w:pPr>
            <w:r>
              <w:rPr>
                <w:rFonts w:ascii="宋体" w:hAnsi="宋体" w:cs="宋体" w:eastAsia="宋体" w:hint="default"/>
                <w:spacing w:val="-1"/>
                <w:sz w:val="20"/>
                <w:szCs w:val="20"/>
              </w:rPr>
              <w:t>联通集团其他附属公司</w:t>
            </w:r>
          </w:p>
        </w:tc>
        <w:tc>
          <w:tcPr>
            <w:tcW w:w="2323" w:type="dxa"/>
            <w:tcBorders>
              <w:top w:val="nil" w:sz="6" w:space="0" w:color="auto"/>
              <w:left w:val="nil" w:sz="6" w:space="0" w:color="auto"/>
              <w:bottom w:val="nil" w:sz="6" w:space="0" w:color="auto"/>
              <w:right w:val="nil" w:sz="6" w:space="0" w:color="auto"/>
            </w:tcBorders>
          </w:tcPr>
          <w:p>
            <w:pPr>
              <w:pStyle w:val="TableParagraph"/>
              <w:tabs>
                <w:tab w:pos="1313" w:val="left" w:leader="none"/>
                <w:tab w:pos="2308" w:val="left" w:leader="none"/>
              </w:tabs>
              <w:spacing w:line="240" w:lineRule="auto" w:before="1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1,155,091</w:t>
              <w:tab/>
            </w:r>
            <w:r>
              <w:rPr>
                <w:rFonts w:ascii="Arial"/>
                <w:spacing w:val="-1"/>
                <w:sz w:val="20"/>
              </w:rPr>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nil" w:sz="6" w:space="0" w:color="auto"/>
              <w:right w:val="nil" w:sz="6" w:space="0" w:color="auto"/>
            </w:tcBorders>
          </w:tcPr>
          <w:p>
            <w:pPr>
              <w:pStyle w:val="TableParagraph"/>
              <w:tabs>
                <w:tab w:pos="1272" w:val="left" w:leader="none"/>
                <w:tab w:pos="2114" w:val="left" w:leader="none"/>
              </w:tabs>
              <w:spacing w:line="240" w:lineRule="auto" w:before="15"/>
              <w:ind w:right="40"/>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pacing w:val="-1"/>
                <w:sz w:val="20"/>
                <w:u w:val="single" w:color="000000"/>
              </w:rPr>
              <w:t>799,762</w:t>
              <w:tab/>
            </w:r>
            <w:r>
              <w:rPr>
                <w:rFonts w:ascii="Arial"/>
                <w:spacing w:val="-1"/>
                <w:sz w:val="20"/>
              </w:rPr>
            </w:r>
          </w:p>
        </w:tc>
      </w:tr>
      <w:tr>
        <w:trPr>
          <w:trHeight w:val="252" w:hRule="exact"/>
        </w:trPr>
        <w:tc>
          <w:tcPr>
            <w:tcW w:w="4683" w:type="dxa"/>
            <w:tcBorders>
              <w:top w:val="nil" w:sz="6" w:space="0" w:color="auto"/>
              <w:left w:val="nil" w:sz="6" w:space="0" w:color="auto"/>
              <w:bottom w:val="nil" w:sz="6" w:space="0" w:color="auto"/>
              <w:right w:val="nil" w:sz="6" w:space="0" w:color="auto"/>
            </w:tcBorders>
          </w:tcPr>
          <w:p>
            <w:pPr/>
          </w:p>
        </w:tc>
        <w:tc>
          <w:tcPr>
            <w:tcW w:w="2323" w:type="dxa"/>
            <w:tcBorders>
              <w:top w:val="nil" w:sz="6" w:space="0" w:color="auto"/>
              <w:left w:val="nil" w:sz="6" w:space="0" w:color="auto"/>
              <w:bottom w:val="single" w:sz="17" w:space="0" w:color="000000"/>
              <w:right w:val="nil" w:sz="6" w:space="0" w:color="auto"/>
            </w:tcBorders>
          </w:tcPr>
          <w:p>
            <w:pPr>
              <w:pStyle w:val="TableParagraph"/>
              <w:spacing w:line="228" w:lineRule="exact"/>
              <w:ind w:right="109"/>
              <w:jc w:val="right"/>
              <w:rPr>
                <w:rFonts w:ascii="Arial" w:hAnsi="Arial" w:cs="Arial" w:eastAsia="Arial" w:hint="default"/>
                <w:sz w:val="20"/>
                <w:szCs w:val="20"/>
              </w:rPr>
            </w:pPr>
            <w:r>
              <w:rPr>
                <w:rFonts w:ascii="Arial"/>
                <w:spacing w:val="-1"/>
                <w:sz w:val="20"/>
              </w:rPr>
              <w:t>4,017,175</w:t>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nil" w:sz="6" w:space="0" w:color="auto"/>
              <w:left w:val="nil" w:sz="6" w:space="0" w:color="auto"/>
              <w:bottom w:val="single" w:sz="17" w:space="0" w:color="000000"/>
              <w:right w:val="nil" w:sz="6" w:space="0" w:color="auto"/>
            </w:tcBorders>
          </w:tcPr>
          <w:p>
            <w:pPr>
              <w:pStyle w:val="TableParagraph"/>
              <w:spacing w:line="228" w:lineRule="exact"/>
              <w:ind w:left="1108" w:right="0"/>
              <w:jc w:val="left"/>
              <w:rPr>
                <w:rFonts w:ascii="Arial" w:hAnsi="Arial" w:cs="Arial" w:eastAsia="Arial" w:hint="default"/>
                <w:sz w:val="20"/>
                <w:szCs w:val="20"/>
              </w:rPr>
            </w:pPr>
            <w:r>
              <w:rPr>
                <w:rFonts w:ascii="Arial"/>
                <w:sz w:val="20"/>
              </w:rPr>
              <w:t>3,666,397</w:t>
            </w:r>
          </w:p>
        </w:tc>
      </w:tr>
      <w:tr>
        <w:trPr>
          <w:trHeight w:val="535" w:hRule="exact"/>
        </w:trPr>
        <w:tc>
          <w:tcPr>
            <w:tcW w:w="468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6"/>
                <w:szCs w:val="16"/>
              </w:rPr>
            </w:pPr>
          </w:p>
          <w:p>
            <w:pPr>
              <w:pStyle w:val="TableParagraph"/>
              <w:tabs>
                <w:tab w:pos="1496" w:val="left" w:leader="none"/>
              </w:tabs>
              <w:spacing w:line="240" w:lineRule="auto"/>
              <w:ind w:right="688"/>
              <w:jc w:val="right"/>
              <w:rPr>
                <w:rFonts w:ascii="宋体" w:hAnsi="宋体" w:cs="宋体" w:eastAsia="宋体" w:hint="default"/>
                <w:sz w:val="20"/>
                <w:szCs w:val="20"/>
              </w:rPr>
            </w:pPr>
            <w:r>
              <w:rPr>
                <w:rFonts w:ascii="宋体" w:hAnsi="宋体" w:cs="宋体" w:eastAsia="宋体" w:hint="default"/>
                <w:sz w:val="20"/>
                <w:szCs w:val="20"/>
              </w:rPr>
              <w:t>应付票据</w:t>
              <w:tab/>
            </w:r>
            <w:r>
              <w:rPr>
                <w:rFonts w:ascii="宋体" w:hAnsi="宋体" w:cs="宋体" w:eastAsia="宋体" w:hint="default"/>
                <w:spacing w:val="-1"/>
                <w:sz w:val="20"/>
                <w:szCs w:val="20"/>
              </w:rPr>
              <w:t>联通集团其他附属公司</w:t>
            </w:r>
          </w:p>
        </w:tc>
        <w:tc>
          <w:tcPr>
            <w:tcW w:w="2323" w:type="dxa"/>
            <w:tcBorders>
              <w:top w:val="single" w:sz="17" w:space="0" w:color="000000"/>
              <w:left w:val="nil" w:sz="6" w:space="0" w:color="auto"/>
              <w:bottom w:val="single" w:sz="17"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10"/>
              <w:jc w:val="right"/>
              <w:rPr>
                <w:rFonts w:ascii="Arial" w:hAnsi="Arial" w:cs="Arial" w:eastAsia="Arial" w:hint="default"/>
                <w:sz w:val="20"/>
                <w:szCs w:val="20"/>
              </w:rPr>
            </w:pPr>
            <w:r>
              <w:rPr>
                <w:rFonts w:ascii="Arial"/>
                <w:w w:val="100"/>
                <w:sz w:val="20"/>
              </w:rPr>
              <w:t>-</w:t>
            </w:r>
          </w:p>
        </w:tc>
        <w:tc>
          <w:tcPr>
            <w:tcW w:w="270" w:type="dxa"/>
            <w:tcBorders>
              <w:top w:val="nil" w:sz="6" w:space="0" w:color="auto"/>
              <w:left w:val="nil" w:sz="6" w:space="0" w:color="auto"/>
              <w:bottom w:val="nil" w:sz="6" w:space="0" w:color="auto"/>
              <w:right w:val="nil" w:sz="6" w:space="0" w:color="auto"/>
            </w:tcBorders>
          </w:tcPr>
          <w:p>
            <w:pPr/>
          </w:p>
        </w:tc>
        <w:tc>
          <w:tcPr>
            <w:tcW w:w="2161" w:type="dxa"/>
            <w:tcBorders>
              <w:top w:val="single" w:sz="17" w:space="0" w:color="000000"/>
              <w:left w:val="nil" w:sz="6" w:space="0" w:color="auto"/>
              <w:bottom w:val="single" w:sz="17" w:space="0" w:color="000000"/>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955" w:right="0"/>
              <w:jc w:val="left"/>
              <w:rPr>
                <w:rFonts w:ascii="Arial" w:hAnsi="Arial" w:cs="Arial" w:eastAsia="Arial" w:hint="default"/>
                <w:sz w:val="20"/>
                <w:szCs w:val="20"/>
              </w:rPr>
            </w:pPr>
            <w:r>
              <w:rPr>
                <w:rFonts w:ascii="Arial"/>
                <w:sz w:val="20"/>
              </w:rPr>
              <w:t>35,894,283</w:t>
            </w:r>
          </w:p>
        </w:tc>
      </w:tr>
    </w:tbl>
    <w:p>
      <w:pPr>
        <w:spacing w:line="240" w:lineRule="auto" w:before="7"/>
        <w:rPr>
          <w:rFonts w:ascii="宋体" w:hAnsi="宋体" w:cs="宋体" w:eastAsia="宋体" w:hint="default"/>
          <w:sz w:val="12"/>
          <w:szCs w:val="12"/>
        </w:rPr>
      </w:pPr>
    </w:p>
    <w:p>
      <w:pPr>
        <w:pStyle w:val="BodyText"/>
        <w:spacing w:line="295" w:lineRule="exact" w:before="31"/>
        <w:ind w:left="620" w:right="0"/>
        <w:jc w:val="both"/>
      </w:pPr>
      <w:r>
        <w:rPr>
          <w:spacing w:val="-3"/>
        </w:rPr>
        <w:t>注</w:t>
      </w:r>
      <w:r>
        <w:rPr>
          <w:rFonts w:ascii="Arial" w:hAnsi="Arial" w:cs="Arial" w:eastAsia="Arial" w:hint="default"/>
          <w:spacing w:val="-3"/>
        </w:rPr>
        <w:t>(1)</w:t>
      </w:r>
      <w:r>
        <w:rPr>
          <w:spacing w:val="-3"/>
        </w:rPr>
        <w:t>：于</w:t>
      </w:r>
      <w:r>
        <w:rPr>
          <w:spacing w:val="-59"/>
        </w:rPr>
        <w:t> </w:t>
      </w:r>
      <w:r>
        <w:rPr>
          <w:rFonts w:ascii="Arial" w:hAnsi="Arial" w:cs="Arial" w:eastAsia="Arial" w:hint="default"/>
        </w:rPr>
        <w:t>2008</w:t>
      </w:r>
      <w:r>
        <w:rPr>
          <w:rFonts w:ascii="Arial" w:hAnsi="Arial" w:cs="Arial" w:eastAsia="Arial" w:hint="default"/>
          <w:spacing w:val="-10"/>
        </w:rPr>
        <w:t> </w:t>
      </w:r>
      <w:r>
        <w:rPr/>
        <w:t>年</w:t>
      </w:r>
      <w:r>
        <w:rPr>
          <w:spacing w:val="-59"/>
        </w:rPr>
        <w:t> </w:t>
      </w:r>
      <w:r>
        <w:rPr>
          <w:rFonts w:ascii="Arial" w:hAnsi="Arial" w:cs="Arial" w:eastAsia="Arial" w:hint="default"/>
        </w:rPr>
        <w:t>12</w:t>
      </w:r>
      <w:r>
        <w:rPr>
          <w:rFonts w:ascii="Arial" w:hAnsi="Arial" w:cs="Arial" w:eastAsia="Arial" w:hint="default"/>
          <w:spacing w:val="-10"/>
        </w:rPr>
        <w:t> </w:t>
      </w:r>
      <w:r>
        <w:rPr/>
        <w:t>月</w:t>
      </w:r>
      <w:r>
        <w:rPr>
          <w:spacing w:val="-59"/>
        </w:rPr>
        <w:t> </w:t>
      </w:r>
      <w:r>
        <w:rPr>
          <w:rFonts w:ascii="Arial" w:hAnsi="Arial" w:cs="Arial" w:eastAsia="Arial" w:hint="default"/>
        </w:rPr>
        <w:t>31</w:t>
      </w:r>
      <w:r>
        <w:rPr>
          <w:rFonts w:ascii="Arial" w:hAnsi="Arial" w:cs="Arial" w:eastAsia="Arial" w:hint="default"/>
          <w:spacing w:val="-10"/>
        </w:rPr>
        <w:t> </w:t>
      </w:r>
      <w:r>
        <w:rPr/>
        <w:t>日，上述应收联通集团款项中包括联通兴业持有向联通集团发放的</w:t>
      </w:r>
    </w:p>
    <w:p>
      <w:pPr>
        <w:pStyle w:val="BodyText"/>
        <w:spacing w:line="286" w:lineRule="exact" w:before="19"/>
        <w:ind w:left="1318" w:right="114"/>
        <w:jc w:val="left"/>
      </w:pPr>
      <w:r>
        <w:rPr>
          <w:rFonts w:ascii="Arial" w:hAnsi="Arial" w:cs="Arial" w:eastAsia="Arial" w:hint="default"/>
        </w:rPr>
        <w:t>1</w:t>
      </w:r>
      <w:r>
        <w:rPr>
          <w:rFonts w:ascii="Arial" w:hAnsi="Arial" w:cs="Arial" w:eastAsia="Arial" w:hint="default"/>
          <w:spacing w:val="-7"/>
        </w:rPr>
        <w:t> </w:t>
      </w:r>
      <w:r>
        <w:rPr/>
        <w:t>年期委托贷款人民币</w:t>
      </w:r>
      <w:r>
        <w:rPr>
          <w:spacing w:val="-55"/>
        </w:rPr>
        <w:t> </w:t>
      </w:r>
      <w:r>
        <w:rPr>
          <w:rFonts w:ascii="Arial" w:hAnsi="Arial" w:cs="Arial" w:eastAsia="Arial" w:hint="default"/>
        </w:rPr>
        <w:t>3</w:t>
      </w:r>
      <w:r>
        <w:rPr>
          <w:rFonts w:ascii="Arial" w:hAnsi="Arial" w:cs="Arial" w:eastAsia="Arial" w:hint="default"/>
          <w:spacing w:val="-7"/>
        </w:rPr>
        <w:t> </w:t>
      </w:r>
      <w:r>
        <w:rPr/>
        <w:t>亿元。于</w:t>
      </w:r>
      <w:r>
        <w:rPr>
          <w:spacing w:val="-55"/>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日，该等款项本金及利息已到期并</w:t>
      </w:r>
      <w:r>
        <w:rPr>
          <w:w w:val="99"/>
        </w:rPr>
        <w:t> </w:t>
      </w:r>
      <w:r>
        <w:rPr/>
        <w:t>收回。</w:t>
      </w:r>
    </w:p>
    <w:p>
      <w:pPr>
        <w:spacing w:line="240" w:lineRule="auto" w:before="1"/>
        <w:rPr>
          <w:rFonts w:ascii="宋体" w:hAnsi="宋体" w:cs="宋体" w:eastAsia="宋体" w:hint="default"/>
          <w:sz w:val="17"/>
          <w:szCs w:val="17"/>
        </w:rPr>
      </w:pPr>
    </w:p>
    <w:p>
      <w:pPr>
        <w:pStyle w:val="BodyText"/>
        <w:spacing w:line="295" w:lineRule="exact"/>
        <w:ind w:left="592" w:right="0"/>
        <w:jc w:val="both"/>
      </w:pPr>
      <w:r>
        <w:rPr>
          <w:spacing w:val="-3"/>
        </w:rPr>
        <w:t>注</w:t>
      </w:r>
      <w:r>
        <w:rPr>
          <w:rFonts w:ascii="Arial" w:hAnsi="Arial" w:cs="Arial" w:eastAsia="Arial" w:hint="default"/>
          <w:spacing w:val="-3"/>
        </w:rPr>
        <w:t>(2)</w:t>
      </w:r>
      <w:r>
        <w:rPr>
          <w:spacing w:val="-3"/>
        </w:rPr>
        <w:t>：于</w:t>
      </w:r>
      <w:r>
        <w:rPr>
          <w:spacing w:val="-58"/>
        </w:rPr>
        <w:t> </w:t>
      </w:r>
      <w:r>
        <w:rPr>
          <w:rFonts w:ascii="Arial" w:hAnsi="Arial" w:cs="Arial" w:eastAsia="Arial" w:hint="default"/>
        </w:rPr>
        <w:t>2009</w:t>
      </w:r>
      <w:r>
        <w:rPr>
          <w:rFonts w:ascii="Arial" w:hAnsi="Arial" w:cs="Arial" w:eastAsia="Arial" w:hint="default"/>
          <w:spacing w:val="-9"/>
        </w:rPr>
        <w:t> </w:t>
      </w:r>
      <w:r>
        <w:rPr/>
        <w:t>年</w:t>
      </w:r>
      <w:r>
        <w:rPr>
          <w:spacing w:val="-58"/>
        </w:rPr>
        <w:t> </w:t>
      </w:r>
      <w:r>
        <w:rPr>
          <w:rFonts w:ascii="Arial" w:hAnsi="Arial" w:cs="Arial" w:eastAsia="Arial" w:hint="default"/>
        </w:rPr>
        <w:t>12</w:t>
      </w:r>
      <w:r>
        <w:rPr>
          <w:rFonts w:ascii="Arial" w:hAnsi="Arial" w:cs="Arial" w:eastAsia="Arial" w:hint="default"/>
          <w:spacing w:val="-9"/>
        </w:rPr>
        <w:t> </w:t>
      </w:r>
      <w:r>
        <w:rPr/>
        <w:t>月</w:t>
      </w:r>
      <w:r>
        <w:rPr>
          <w:spacing w:val="-58"/>
        </w:rPr>
        <w:t> </w:t>
      </w:r>
      <w:r>
        <w:rPr>
          <w:rFonts w:ascii="Arial" w:hAnsi="Arial" w:cs="Arial" w:eastAsia="Arial" w:hint="default"/>
        </w:rPr>
        <w:t>31</w:t>
      </w:r>
      <w:r>
        <w:rPr>
          <w:rFonts w:ascii="Arial" w:hAnsi="Arial" w:cs="Arial" w:eastAsia="Arial" w:hint="default"/>
          <w:spacing w:val="-9"/>
        </w:rPr>
        <w:t> </w:t>
      </w:r>
      <w:r>
        <w:rPr/>
        <w:t>日，上述应付网通</w:t>
      </w:r>
      <w:r>
        <w:rPr>
          <w:spacing w:val="-58"/>
        </w:rPr>
        <w:t> </w:t>
      </w:r>
      <w:r>
        <w:rPr>
          <w:rFonts w:ascii="Arial" w:hAnsi="Arial" w:cs="Arial" w:eastAsia="Arial" w:hint="default"/>
        </w:rPr>
        <w:t>BVI</w:t>
      </w:r>
      <w:r>
        <w:rPr>
          <w:rFonts w:ascii="Arial" w:hAnsi="Arial" w:cs="Arial" w:eastAsia="Arial" w:hint="default"/>
          <w:spacing w:val="-9"/>
        </w:rPr>
        <w:t> </w:t>
      </w:r>
      <w:r>
        <w:rPr/>
        <w:t>款项中约人民币</w:t>
      </w:r>
      <w:r>
        <w:rPr>
          <w:spacing w:val="-58"/>
        </w:rPr>
        <w:t> </w:t>
      </w:r>
      <w:r>
        <w:rPr>
          <w:rFonts w:ascii="Arial" w:hAnsi="Arial" w:cs="Arial" w:eastAsia="Arial" w:hint="default"/>
        </w:rPr>
        <w:t>21.04</w:t>
      </w:r>
      <w:r>
        <w:rPr>
          <w:rFonts w:ascii="Arial" w:hAnsi="Arial" w:cs="Arial" w:eastAsia="Arial" w:hint="default"/>
          <w:spacing w:val="-9"/>
        </w:rPr>
        <w:t> </w:t>
      </w:r>
      <w:r>
        <w:rPr/>
        <w:t>亿元为联通红筹公司</w:t>
      </w:r>
    </w:p>
    <w:p>
      <w:pPr>
        <w:pStyle w:val="BodyText"/>
        <w:spacing w:line="286" w:lineRule="exact" w:before="19"/>
        <w:ind w:left="1290" w:right="108" w:hanging="1"/>
        <w:jc w:val="left"/>
      </w:pPr>
      <w:r>
        <w:rPr/>
        <w:t>应付网通</w:t>
      </w:r>
      <w:r>
        <w:rPr>
          <w:spacing w:val="-47"/>
        </w:rPr>
        <w:t> </w:t>
      </w:r>
      <w:r>
        <w:rPr>
          <w:rFonts w:ascii="Arial" w:hAnsi="Arial" w:cs="Arial" w:eastAsia="Arial" w:hint="default"/>
        </w:rPr>
        <w:t>BVI</w:t>
      </w:r>
      <w:r>
        <w:rPr>
          <w:rFonts w:ascii="Arial" w:hAnsi="Arial" w:cs="Arial" w:eastAsia="Arial" w:hint="default"/>
          <w:spacing w:val="2"/>
        </w:rPr>
        <w:t> </w:t>
      </w:r>
      <w:r>
        <w:rPr/>
        <w:t>的</w:t>
      </w:r>
      <w:r>
        <w:rPr>
          <w:spacing w:val="-47"/>
        </w:rPr>
        <w:t> </w:t>
      </w:r>
      <w:r>
        <w:rPr>
          <w:rFonts w:ascii="Arial" w:hAnsi="Arial" w:cs="Arial" w:eastAsia="Arial" w:hint="default"/>
        </w:rPr>
        <w:t>1</w:t>
      </w:r>
      <w:r>
        <w:rPr>
          <w:rFonts w:ascii="Arial" w:hAnsi="Arial" w:cs="Arial" w:eastAsia="Arial" w:hint="default"/>
          <w:spacing w:val="3"/>
        </w:rPr>
        <w:t> </w:t>
      </w:r>
      <w:r>
        <w:rPr/>
        <w:t>年期关联公司借款，到期日为</w:t>
      </w:r>
      <w:r>
        <w:rPr>
          <w:spacing w:val="-46"/>
        </w:rPr>
        <w:t> </w:t>
      </w:r>
      <w:r>
        <w:rPr>
          <w:rFonts w:ascii="Arial" w:hAnsi="Arial" w:cs="Arial" w:eastAsia="Arial" w:hint="default"/>
        </w:rPr>
        <w:t>2010</w:t>
      </w:r>
      <w:r>
        <w:rPr>
          <w:rFonts w:ascii="Arial" w:hAnsi="Arial" w:cs="Arial" w:eastAsia="Arial" w:hint="default"/>
          <w:spacing w:val="3"/>
        </w:rPr>
        <w:t> </w:t>
      </w:r>
      <w:r>
        <w:rPr/>
        <w:t>年</w:t>
      </w:r>
      <w:r>
        <w:rPr>
          <w:spacing w:val="-48"/>
        </w:rPr>
        <w:t> </w:t>
      </w:r>
      <w:r>
        <w:rPr>
          <w:rFonts w:ascii="Arial" w:hAnsi="Arial" w:cs="Arial" w:eastAsia="Arial" w:hint="default"/>
        </w:rPr>
        <w:t>6</w:t>
      </w:r>
      <w:r>
        <w:rPr>
          <w:rFonts w:ascii="Arial" w:hAnsi="Arial" w:cs="Arial" w:eastAsia="Arial" w:hint="default"/>
          <w:spacing w:val="2"/>
        </w:rPr>
        <w:t> </w:t>
      </w:r>
      <w:r>
        <w:rPr/>
        <w:t>月</w:t>
      </w:r>
      <w:r>
        <w:rPr>
          <w:spacing w:val="-47"/>
        </w:rPr>
        <w:t> </w:t>
      </w:r>
      <w:r>
        <w:rPr>
          <w:rFonts w:ascii="Arial" w:hAnsi="Arial" w:cs="Arial" w:eastAsia="Arial" w:hint="default"/>
        </w:rPr>
        <w:t>16</w:t>
      </w:r>
      <w:r>
        <w:rPr>
          <w:rFonts w:ascii="Arial" w:hAnsi="Arial" w:cs="Arial" w:eastAsia="Arial" w:hint="default"/>
          <w:spacing w:val="3"/>
        </w:rPr>
        <w:t> </w:t>
      </w:r>
      <w:r>
        <w:rPr/>
        <w:t>日。此借款利率根据</w:t>
      </w:r>
      <w:r>
        <w:rPr>
          <w:w w:val="99"/>
        </w:rPr>
        <w:t> </w:t>
      </w:r>
      <w:r>
        <w:rPr/>
        <w:t>香港同业银行</w:t>
      </w:r>
      <w:r>
        <w:rPr>
          <w:spacing w:val="-57"/>
        </w:rPr>
        <w:t> </w:t>
      </w:r>
      <w:r>
        <w:rPr>
          <w:rFonts w:ascii="Arial" w:hAnsi="Arial" w:cs="Arial" w:eastAsia="Arial" w:hint="default"/>
        </w:rPr>
        <w:t>6</w:t>
      </w:r>
      <w:r>
        <w:rPr>
          <w:rFonts w:ascii="Arial" w:hAnsi="Arial" w:cs="Arial" w:eastAsia="Arial" w:hint="default"/>
          <w:spacing w:val="-8"/>
        </w:rPr>
        <w:t> </w:t>
      </w:r>
      <w:r>
        <w:rPr/>
        <w:t>个月期间拆借利率上浮</w:t>
      </w:r>
      <w:r>
        <w:rPr>
          <w:spacing w:val="-57"/>
        </w:rPr>
        <w:t> </w:t>
      </w:r>
      <w:r>
        <w:rPr>
          <w:rFonts w:ascii="Arial" w:hAnsi="Arial" w:cs="Arial" w:eastAsia="Arial" w:hint="default"/>
        </w:rPr>
        <w:t>0.8%</w:t>
      </w:r>
      <w:r>
        <w:rPr/>
        <w:t>确定。</w:t>
      </w:r>
    </w:p>
    <w:p>
      <w:pPr>
        <w:spacing w:line="240" w:lineRule="auto" w:before="3"/>
        <w:rPr>
          <w:rFonts w:ascii="宋体" w:hAnsi="宋体" w:cs="宋体" w:eastAsia="宋体" w:hint="default"/>
          <w:sz w:val="19"/>
          <w:szCs w:val="19"/>
        </w:rPr>
      </w:pPr>
    </w:p>
    <w:p>
      <w:pPr>
        <w:pStyle w:val="BodyText"/>
        <w:spacing w:line="286" w:lineRule="exact"/>
        <w:ind w:left="591" w:right="114"/>
        <w:jc w:val="both"/>
      </w:pPr>
      <w:r>
        <w:rPr>
          <w:spacing w:val="-2"/>
        </w:rPr>
        <w:t>应收、应付关联公司余额除上述注</w:t>
      </w:r>
      <w:r>
        <w:rPr>
          <w:rFonts w:ascii="Arial" w:hAnsi="Arial" w:cs="Arial" w:eastAsia="Arial" w:hint="default"/>
          <w:spacing w:val="-2"/>
        </w:rPr>
        <w:t>(1)</w:t>
      </w:r>
      <w:r>
        <w:rPr>
          <w:spacing w:val="-2"/>
        </w:rPr>
        <w:t>及注</w:t>
      </w:r>
      <w:r>
        <w:rPr>
          <w:rFonts w:ascii="Arial" w:hAnsi="Arial" w:cs="Arial" w:eastAsia="Arial" w:hint="default"/>
          <w:spacing w:val="-2"/>
        </w:rPr>
        <w:t>(2)</w:t>
      </w:r>
      <w:r>
        <w:rPr>
          <w:spacing w:val="-2"/>
        </w:rPr>
        <w:t>所述款项外，均为无抵押、不计息、即期偿付或于</w:t>
      </w:r>
      <w:r>
        <w:rPr>
          <w:spacing w:val="-88"/>
        </w:rPr>
        <w:t> </w:t>
      </w:r>
      <w:r>
        <w:rPr>
          <w:spacing w:val="-88"/>
        </w:rPr>
      </w:r>
      <w:r>
        <w:rPr>
          <w:w w:val="95"/>
        </w:rPr>
        <w:t>有关合同条款规定的期限内支付或收取，并主要依据附注七</w:t>
      </w:r>
      <w:r>
        <w:rPr>
          <w:rFonts w:ascii="Arial" w:hAnsi="Arial" w:cs="Arial" w:eastAsia="Arial" w:hint="default"/>
          <w:w w:val="95"/>
        </w:rPr>
        <w:t>(4)</w:t>
      </w:r>
      <w:r>
        <w:rPr>
          <w:w w:val="95"/>
        </w:rPr>
        <w:t>所述与联通集团及其子公司的经</w:t>
      </w:r>
      <w:r>
        <w:rPr>
          <w:spacing w:val="18"/>
          <w:w w:val="95"/>
        </w:rPr>
        <w:t> </w:t>
      </w:r>
      <w:r>
        <w:rPr>
          <w:spacing w:val="18"/>
          <w:w w:val="95"/>
        </w:rPr>
      </w:r>
      <w:r>
        <w:rPr/>
        <w:t>营交易产生。</w:t>
      </w:r>
    </w:p>
    <w:p>
      <w:pPr>
        <w:spacing w:after="0" w:line="286" w:lineRule="exact"/>
        <w:jc w:val="both"/>
        <w:sectPr>
          <w:headerReference w:type="default" r:id="rId137"/>
          <w:pgSz w:w="11910" w:h="16840"/>
          <w:pgMar w:header="968" w:footer="600" w:top="2880" w:bottom="800" w:left="1240" w:right="900"/>
        </w:sectPr>
      </w:pPr>
    </w:p>
    <w:p>
      <w:pPr>
        <w:spacing w:line="240" w:lineRule="auto" w:before="2"/>
        <w:rPr>
          <w:rFonts w:ascii="宋体" w:hAnsi="宋体" w:cs="宋体" w:eastAsia="宋体" w:hint="default"/>
          <w:sz w:val="19"/>
          <w:szCs w:val="19"/>
        </w:rPr>
      </w:pPr>
    </w:p>
    <w:p>
      <w:pPr>
        <w:pStyle w:val="BodyText"/>
        <w:tabs>
          <w:tab w:pos="589" w:val="left" w:leader="none"/>
        </w:tabs>
        <w:spacing w:line="240" w:lineRule="auto" w:before="31"/>
        <w:ind w:left="114" w:right="3260"/>
        <w:jc w:val="left"/>
        <w:rPr>
          <w:rFonts w:ascii="黑体" w:hAnsi="黑体" w:cs="黑体" w:eastAsia="黑体" w:hint="default"/>
        </w:rPr>
      </w:pPr>
      <w:r>
        <w:rPr>
          <w:rFonts w:ascii="黑体" w:hAnsi="黑体" w:cs="黑体" w:eastAsia="黑体" w:hint="default"/>
          <w:w w:val="95"/>
        </w:rPr>
        <w:t>八</w:t>
        <w:tab/>
      </w:r>
      <w:r>
        <w:rPr>
          <w:rFonts w:ascii="黑体" w:hAnsi="黑体" w:cs="黑体" w:eastAsia="黑体" w:hint="default"/>
        </w:rPr>
        <w:t>与境内主要电信运营商的交易</w:t>
      </w:r>
    </w:p>
    <w:p>
      <w:pPr>
        <w:pStyle w:val="BodyText"/>
        <w:spacing w:line="237" w:lineRule="auto" w:before="120"/>
        <w:ind w:left="592" w:right="109"/>
        <w:jc w:val="both"/>
      </w:pPr>
      <w:r>
        <w:rPr/>
        <w:t>本集团的电信业务在很大程度上与境内主要电信运营商存在相互依赖关系，如中国电信集团及</w:t>
      </w:r>
      <w:r>
        <w:rPr>
          <w:spacing w:val="-79"/>
        </w:rPr>
        <w:t> </w:t>
      </w:r>
      <w:r>
        <w:rPr>
          <w:spacing w:val="-79"/>
        </w:rPr>
      </w:r>
      <w:r>
        <w:rPr/>
        <w:t>其子公司和中国移动通信集团公司及其子公司（以下合称“境内主要电信运营商”）的公共电</w:t>
      </w:r>
      <w:r>
        <w:rPr>
          <w:spacing w:val="-79"/>
        </w:rPr>
        <w:t> </w:t>
      </w:r>
      <w:r>
        <w:rPr>
          <w:spacing w:val="-79"/>
        </w:rPr>
      </w:r>
      <w:r>
        <w:rPr/>
        <w:t>话交换网络和传输线路。同时，境内主要电信运营商也是本集团所属子公司中讯设计院及规划</w:t>
      </w:r>
      <w:r>
        <w:rPr>
          <w:spacing w:val="-79"/>
        </w:rPr>
        <w:t> </w:t>
      </w:r>
      <w:r>
        <w:rPr>
          <w:spacing w:val="-79"/>
        </w:rPr>
      </w:r>
      <w:r>
        <w:rPr/>
        <w:t>设计院的主要服务对象。</w:t>
      </w:r>
    </w:p>
    <w:p>
      <w:pPr>
        <w:pStyle w:val="BodyText"/>
        <w:spacing w:line="240" w:lineRule="auto" w:before="118"/>
        <w:ind w:left="142" w:right="3260"/>
        <w:jc w:val="left"/>
        <w:rPr>
          <w:rFonts w:ascii="黑体" w:hAnsi="黑体" w:cs="黑体" w:eastAsia="黑体" w:hint="default"/>
        </w:rPr>
      </w:pPr>
      <w:r>
        <w:rPr>
          <w:rFonts w:ascii="Arial" w:hAnsi="Arial" w:cs="Arial" w:eastAsia="Arial" w:hint="default"/>
        </w:rPr>
        <w:t>1</w:t>
      </w:r>
      <w:r>
        <w:rPr>
          <w:rFonts w:ascii="黑体" w:hAnsi="黑体" w:cs="黑体" w:eastAsia="黑体" w:hint="default"/>
        </w:rPr>
        <w:t>、</w:t>
      </w:r>
      <w:r>
        <w:rPr>
          <w:rFonts w:ascii="黑体" w:hAnsi="黑体" w:cs="黑体" w:eastAsia="黑体" w:hint="default"/>
          <w:spacing w:val="-7"/>
        </w:rPr>
        <w:t> </w:t>
      </w:r>
      <w:r>
        <w:rPr>
          <w:rFonts w:ascii="黑体" w:hAnsi="黑体" w:cs="黑体" w:eastAsia="黑体" w:hint="default"/>
        </w:rPr>
        <w:t>与境内主要电信运营商的交易</w:t>
      </w:r>
    </w:p>
    <w:p>
      <w:pPr>
        <w:spacing w:line="240" w:lineRule="auto" w:before="5"/>
        <w:rPr>
          <w:rFonts w:ascii="黑体" w:hAnsi="黑体" w:cs="黑体" w:eastAsia="黑体" w:hint="default"/>
          <w:sz w:val="5"/>
          <w:szCs w:val="5"/>
        </w:rPr>
      </w:pPr>
    </w:p>
    <w:tbl>
      <w:tblPr>
        <w:tblW w:w="0" w:type="auto"/>
        <w:jc w:val="left"/>
        <w:tblInd w:w="570" w:type="dxa"/>
        <w:tblLayout w:type="fixed"/>
        <w:tblCellMar>
          <w:top w:w="0" w:type="dxa"/>
          <w:left w:w="0" w:type="dxa"/>
          <w:bottom w:w="0" w:type="dxa"/>
          <w:right w:w="0" w:type="dxa"/>
        </w:tblCellMar>
        <w:tblLook w:val="01E0"/>
      </w:tblPr>
      <w:tblGrid>
        <w:gridCol w:w="3708"/>
        <w:gridCol w:w="865"/>
        <w:gridCol w:w="2070"/>
        <w:gridCol w:w="149"/>
        <w:gridCol w:w="2290"/>
      </w:tblGrid>
      <w:tr>
        <w:trPr>
          <w:trHeight w:val="361" w:hRule="exact"/>
        </w:trPr>
        <w:tc>
          <w:tcPr>
            <w:tcW w:w="3708" w:type="dxa"/>
            <w:vMerge w:val="restart"/>
            <w:tcBorders>
              <w:top w:val="nil" w:sz="6" w:space="0" w:color="auto"/>
              <w:left w:val="nil" w:sz="6" w:space="0" w:color="auto"/>
              <w:right w:val="nil" w:sz="6" w:space="0" w:color="auto"/>
            </w:tcBorders>
          </w:tcPr>
          <w:p>
            <w:pPr/>
          </w:p>
        </w:tc>
        <w:tc>
          <w:tcPr>
            <w:tcW w:w="865"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left="70" w:right="0"/>
              <w:jc w:val="left"/>
              <w:rPr>
                <w:rFonts w:ascii="宋体" w:hAnsi="宋体" w:cs="宋体" w:eastAsia="宋体" w:hint="default"/>
                <w:sz w:val="22"/>
                <w:szCs w:val="22"/>
              </w:rPr>
            </w:pPr>
            <w:r>
              <w:rPr>
                <w:rFonts w:ascii="宋体" w:hAnsi="宋体" w:cs="宋体" w:eastAsia="宋体" w:hint="default"/>
                <w:sz w:val="22"/>
                <w:szCs w:val="22"/>
              </w:rPr>
              <w:t>注释</w:t>
            </w:r>
          </w:p>
        </w:tc>
        <w:tc>
          <w:tcPr>
            <w:tcW w:w="2070"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left="1085" w:right="0"/>
              <w:jc w:val="lef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149" w:type="dxa"/>
            <w:tcBorders>
              <w:top w:val="nil" w:sz="6" w:space="0" w:color="auto"/>
              <w:left w:val="nil" w:sz="6" w:space="0" w:color="auto"/>
              <w:bottom w:val="nil" w:sz="6" w:space="0" w:color="auto"/>
              <w:right w:val="nil" w:sz="6" w:space="0" w:color="auto"/>
            </w:tcBorders>
          </w:tcPr>
          <w:p>
            <w:pPr/>
          </w:p>
        </w:tc>
        <w:tc>
          <w:tcPr>
            <w:tcW w:w="2290"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33"/>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289" w:hRule="exact"/>
        </w:trPr>
        <w:tc>
          <w:tcPr>
            <w:tcW w:w="3708" w:type="dxa"/>
            <w:vMerge/>
            <w:tcBorders>
              <w:left w:val="nil" w:sz="6" w:space="0" w:color="auto"/>
              <w:bottom w:val="nil" w:sz="6" w:space="0" w:color="auto"/>
              <w:right w:val="nil" w:sz="6" w:space="0" w:color="auto"/>
            </w:tcBorders>
          </w:tcPr>
          <w:p>
            <w:pPr/>
          </w:p>
        </w:tc>
        <w:tc>
          <w:tcPr>
            <w:tcW w:w="865" w:type="dxa"/>
            <w:tcBorders>
              <w:top w:val="single" w:sz="6" w:space="0" w:color="000000"/>
              <w:left w:val="nil" w:sz="6" w:space="0" w:color="auto"/>
              <w:bottom w:val="nil" w:sz="6" w:space="0" w:color="auto"/>
              <w:right w:val="nil" w:sz="6" w:space="0" w:color="auto"/>
            </w:tcBorders>
          </w:tcPr>
          <w:p>
            <w:pPr/>
          </w:p>
        </w:tc>
        <w:tc>
          <w:tcPr>
            <w:tcW w:w="2070" w:type="dxa"/>
            <w:tcBorders>
              <w:top w:val="single" w:sz="6" w:space="0" w:color="000000"/>
              <w:left w:val="nil" w:sz="6" w:space="0" w:color="auto"/>
              <w:bottom w:val="nil" w:sz="6" w:space="0" w:color="auto"/>
              <w:right w:val="nil" w:sz="6" w:space="0" w:color="auto"/>
            </w:tcBorders>
          </w:tcPr>
          <w:p>
            <w:pPr/>
          </w:p>
        </w:tc>
        <w:tc>
          <w:tcPr>
            <w:tcW w:w="149" w:type="dxa"/>
            <w:tcBorders>
              <w:top w:val="nil" w:sz="6" w:space="0" w:color="auto"/>
              <w:left w:val="nil" w:sz="6" w:space="0" w:color="auto"/>
              <w:bottom w:val="nil" w:sz="6" w:space="0" w:color="auto"/>
              <w:right w:val="nil" w:sz="6" w:space="0" w:color="auto"/>
            </w:tcBorders>
          </w:tcPr>
          <w:p>
            <w:pPr/>
          </w:p>
        </w:tc>
        <w:tc>
          <w:tcPr>
            <w:tcW w:w="2290" w:type="dxa"/>
            <w:tcBorders>
              <w:top w:val="single" w:sz="6" w:space="0" w:color="000000"/>
              <w:left w:val="nil" w:sz="6" w:space="0" w:color="auto"/>
              <w:bottom w:val="nil" w:sz="6" w:space="0" w:color="auto"/>
              <w:right w:val="nil" w:sz="6" w:space="0" w:color="auto"/>
            </w:tcBorders>
          </w:tcPr>
          <w:p>
            <w:pPr>
              <w:pStyle w:val="TableParagraph"/>
              <w:spacing w:line="252" w:lineRule="exact"/>
              <w:ind w:right="115"/>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3708"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宋体" w:hAnsi="宋体" w:cs="宋体" w:eastAsia="宋体" w:hint="default"/>
                <w:sz w:val="22"/>
                <w:szCs w:val="22"/>
              </w:rPr>
              <w:t>网间结算收入</w:t>
            </w:r>
          </w:p>
        </w:tc>
        <w:tc>
          <w:tcPr>
            <w:tcW w:w="865" w:type="dxa"/>
            <w:tcBorders>
              <w:top w:val="nil" w:sz="6" w:space="0" w:color="auto"/>
              <w:left w:val="nil" w:sz="6" w:space="0" w:color="auto"/>
              <w:bottom w:val="nil" w:sz="6" w:space="0" w:color="auto"/>
              <w:right w:val="nil" w:sz="6" w:space="0" w:color="auto"/>
            </w:tcBorders>
          </w:tcPr>
          <w:p>
            <w:pPr>
              <w:pStyle w:val="TableParagraph"/>
              <w:spacing w:line="240" w:lineRule="auto" w:before="1"/>
              <w:ind w:left="156" w:right="0"/>
              <w:jc w:val="left"/>
              <w:rPr>
                <w:rFonts w:ascii="Arial" w:hAnsi="Arial" w:cs="Arial" w:eastAsia="Arial" w:hint="default"/>
                <w:sz w:val="22"/>
                <w:szCs w:val="22"/>
              </w:rPr>
            </w:pPr>
            <w:r>
              <w:rPr>
                <w:rFonts w:ascii="Arial"/>
                <w:sz w:val="22"/>
              </w:rPr>
              <w:t>(1)</w:t>
            </w:r>
          </w:p>
        </w:tc>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5" w:right="0"/>
              <w:jc w:val="left"/>
              <w:rPr>
                <w:rFonts w:ascii="Arial" w:hAnsi="Arial" w:cs="Arial" w:eastAsia="Arial" w:hint="default"/>
                <w:sz w:val="22"/>
                <w:szCs w:val="22"/>
              </w:rPr>
            </w:pPr>
            <w:r>
              <w:rPr>
                <w:rFonts w:ascii="Arial"/>
                <w:sz w:val="22"/>
              </w:rPr>
              <w:t>12,082,548,395</w:t>
            </w:r>
          </w:p>
        </w:tc>
        <w:tc>
          <w:tcPr>
            <w:tcW w:w="149" w:type="dxa"/>
            <w:tcBorders>
              <w:top w:val="nil" w:sz="6" w:space="0" w:color="auto"/>
              <w:left w:val="nil" w:sz="6" w:space="0" w:color="auto"/>
              <w:bottom w:val="nil" w:sz="6" w:space="0" w:color="auto"/>
              <w:right w:val="nil" w:sz="6" w:space="0" w:color="auto"/>
            </w:tcBorders>
          </w:tcPr>
          <w:p>
            <w:pP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580" w:right="0"/>
              <w:jc w:val="left"/>
              <w:rPr>
                <w:rFonts w:ascii="Arial" w:hAnsi="Arial" w:cs="Arial" w:eastAsia="Arial" w:hint="default"/>
                <w:sz w:val="22"/>
                <w:szCs w:val="22"/>
              </w:rPr>
            </w:pPr>
            <w:r>
              <w:rPr>
                <w:rFonts w:ascii="Arial"/>
                <w:sz w:val="22"/>
              </w:rPr>
              <w:t>12,334,696,758</w:t>
            </w:r>
          </w:p>
        </w:tc>
      </w:tr>
      <w:tr>
        <w:trPr>
          <w:trHeight w:val="285" w:hRule="exact"/>
        </w:trPr>
        <w:tc>
          <w:tcPr>
            <w:tcW w:w="3708" w:type="dxa"/>
            <w:tcBorders>
              <w:top w:val="nil" w:sz="6" w:space="0" w:color="auto"/>
              <w:left w:val="nil" w:sz="6" w:space="0" w:color="auto"/>
              <w:bottom w:val="nil" w:sz="6" w:space="0" w:color="auto"/>
              <w:right w:val="nil" w:sz="6" w:space="0" w:color="auto"/>
            </w:tcBorders>
          </w:tcPr>
          <w:p>
            <w:pPr>
              <w:pStyle w:val="TableParagraph"/>
              <w:spacing w:line="242" w:lineRule="exact"/>
              <w:ind w:left="35" w:right="0"/>
              <w:jc w:val="left"/>
              <w:rPr>
                <w:rFonts w:ascii="宋体" w:hAnsi="宋体" w:cs="宋体" w:eastAsia="宋体" w:hint="default"/>
                <w:sz w:val="22"/>
                <w:szCs w:val="22"/>
              </w:rPr>
            </w:pPr>
            <w:r>
              <w:rPr>
                <w:rFonts w:ascii="宋体" w:hAnsi="宋体" w:cs="宋体" w:eastAsia="宋体" w:hint="default"/>
                <w:sz w:val="22"/>
                <w:szCs w:val="22"/>
              </w:rPr>
              <w:t>网间结算支出</w:t>
            </w:r>
          </w:p>
        </w:tc>
        <w:tc>
          <w:tcPr>
            <w:tcW w:w="865" w:type="dxa"/>
            <w:tcBorders>
              <w:top w:val="nil" w:sz="6" w:space="0" w:color="auto"/>
              <w:left w:val="nil" w:sz="6" w:space="0" w:color="auto"/>
              <w:bottom w:val="nil" w:sz="6" w:space="0" w:color="auto"/>
              <w:right w:val="nil" w:sz="6" w:space="0" w:color="auto"/>
            </w:tcBorders>
          </w:tcPr>
          <w:p>
            <w:pPr>
              <w:pStyle w:val="TableParagraph"/>
              <w:spacing w:line="241" w:lineRule="exact"/>
              <w:ind w:left="156" w:right="0"/>
              <w:jc w:val="left"/>
              <w:rPr>
                <w:rFonts w:ascii="Arial" w:hAnsi="Arial" w:cs="Arial" w:eastAsia="Arial" w:hint="default"/>
                <w:sz w:val="22"/>
                <w:szCs w:val="22"/>
              </w:rPr>
            </w:pPr>
            <w:r>
              <w:rPr>
                <w:rFonts w:ascii="Arial"/>
                <w:sz w:val="22"/>
              </w:rPr>
              <w:t>(1)</w:t>
            </w:r>
          </w:p>
        </w:tc>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5" w:right="0"/>
              <w:jc w:val="left"/>
              <w:rPr>
                <w:rFonts w:ascii="Arial" w:hAnsi="Arial" w:cs="Arial" w:eastAsia="Arial" w:hint="default"/>
                <w:sz w:val="22"/>
                <w:szCs w:val="22"/>
              </w:rPr>
            </w:pPr>
            <w:r>
              <w:rPr>
                <w:rFonts w:ascii="Arial"/>
                <w:sz w:val="22"/>
              </w:rPr>
              <w:t>11,739,727,992</w:t>
            </w:r>
          </w:p>
        </w:tc>
        <w:tc>
          <w:tcPr>
            <w:tcW w:w="149" w:type="dxa"/>
            <w:tcBorders>
              <w:top w:val="nil" w:sz="6" w:space="0" w:color="auto"/>
              <w:left w:val="nil" w:sz="6" w:space="0" w:color="auto"/>
              <w:bottom w:val="nil" w:sz="6" w:space="0" w:color="auto"/>
              <w:right w:val="nil" w:sz="6" w:space="0" w:color="auto"/>
            </w:tcBorders>
          </w:tcPr>
          <w:p>
            <w:pP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580" w:right="0"/>
              <w:jc w:val="left"/>
              <w:rPr>
                <w:rFonts w:ascii="Arial" w:hAnsi="Arial" w:cs="Arial" w:eastAsia="Arial" w:hint="default"/>
                <w:sz w:val="22"/>
                <w:szCs w:val="22"/>
              </w:rPr>
            </w:pPr>
            <w:r>
              <w:rPr>
                <w:rFonts w:ascii="Arial"/>
                <w:sz w:val="22"/>
              </w:rPr>
              <w:t>12,573,443,485</w:t>
            </w:r>
          </w:p>
        </w:tc>
      </w:tr>
      <w:tr>
        <w:trPr>
          <w:trHeight w:val="285" w:hRule="exact"/>
        </w:trPr>
        <w:tc>
          <w:tcPr>
            <w:tcW w:w="3708" w:type="dxa"/>
            <w:tcBorders>
              <w:top w:val="nil" w:sz="6" w:space="0" w:color="auto"/>
              <w:left w:val="nil" w:sz="6" w:space="0" w:color="auto"/>
              <w:bottom w:val="nil" w:sz="6" w:space="0" w:color="auto"/>
              <w:right w:val="nil" w:sz="6" w:space="0" w:color="auto"/>
            </w:tcBorders>
          </w:tcPr>
          <w:p>
            <w:pPr>
              <w:pStyle w:val="TableParagraph"/>
              <w:spacing w:line="242" w:lineRule="exact"/>
              <w:ind w:left="35" w:right="0"/>
              <w:jc w:val="left"/>
              <w:rPr>
                <w:rFonts w:ascii="宋体" w:hAnsi="宋体" w:cs="宋体" w:eastAsia="宋体" w:hint="default"/>
                <w:sz w:val="22"/>
                <w:szCs w:val="22"/>
              </w:rPr>
            </w:pPr>
            <w:r>
              <w:rPr>
                <w:rFonts w:ascii="宋体" w:hAnsi="宋体" w:cs="宋体" w:eastAsia="宋体" w:hint="default"/>
                <w:sz w:val="22"/>
                <w:szCs w:val="22"/>
              </w:rPr>
              <w:t>出租线路收入</w:t>
            </w:r>
          </w:p>
        </w:tc>
        <w:tc>
          <w:tcPr>
            <w:tcW w:w="865" w:type="dxa"/>
            <w:tcBorders>
              <w:top w:val="nil" w:sz="6" w:space="0" w:color="auto"/>
              <w:left w:val="nil" w:sz="6" w:space="0" w:color="auto"/>
              <w:bottom w:val="nil" w:sz="6" w:space="0" w:color="auto"/>
              <w:right w:val="nil" w:sz="6" w:space="0" w:color="auto"/>
            </w:tcBorders>
          </w:tcPr>
          <w:p>
            <w:pPr>
              <w:pStyle w:val="TableParagraph"/>
              <w:spacing w:line="241" w:lineRule="exact"/>
              <w:ind w:left="156" w:right="0"/>
              <w:jc w:val="left"/>
              <w:rPr>
                <w:rFonts w:ascii="Arial" w:hAnsi="Arial" w:cs="Arial" w:eastAsia="Arial" w:hint="default"/>
                <w:sz w:val="22"/>
                <w:szCs w:val="22"/>
              </w:rPr>
            </w:pPr>
            <w:r>
              <w:rPr>
                <w:rFonts w:ascii="Arial"/>
                <w:sz w:val="22"/>
              </w:rPr>
              <w:t>(2)</w:t>
            </w:r>
          </w:p>
        </w:tc>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661" w:right="0"/>
              <w:jc w:val="left"/>
              <w:rPr>
                <w:rFonts w:ascii="Arial" w:hAnsi="Arial" w:cs="Arial" w:eastAsia="Arial" w:hint="default"/>
                <w:sz w:val="22"/>
                <w:szCs w:val="22"/>
              </w:rPr>
            </w:pPr>
            <w:r>
              <w:rPr>
                <w:rFonts w:ascii="Arial"/>
                <w:sz w:val="22"/>
              </w:rPr>
              <w:t>432,524,264</w:t>
            </w:r>
          </w:p>
        </w:tc>
        <w:tc>
          <w:tcPr>
            <w:tcW w:w="149" w:type="dxa"/>
            <w:tcBorders>
              <w:top w:val="nil" w:sz="6" w:space="0" w:color="auto"/>
              <w:left w:val="nil" w:sz="6" w:space="0" w:color="auto"/>
              <w:bottom w:val="nil" w:sz="6" w:space="0" w:color="auto"/>
              <w:right w:val="nil" w:sz="6" w:space="0" w:color="auto"/>
            </w:tcBorders>
          </w:tcPr>
          <w:p>
            <w:pP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887" w:right="0"/>
              <w:jc w:val="left"/>
              <w:rPr>
                <w:rFonts w:ascii="Arial" w:hAnsi="Arial" w:cs="Arial" w:eastAsia="Arial" w:hint="default"/>
                <w:sz w:val="22"/>
                <w:szCs w:val="22"/>
              </w:rPr>
            </w:pPr>
            <w:r>
              <w:rPr>
                <w:rFonts w:ascii="Arial"/>
                <w:sz w:val="22"/>
              </w:rPr>
              <w:t>608,366,835</w:t>
            </w:r>
          </w:p>
        </w:tc>
      </w:tr>
      <w:tr>
        <w:trPr>
          <w:trHeight w:val="285" w:hRule="exact"/>
        </w:trPr>
        <w:tc>
          <w:tcPr>
            <w:tcW w:w="3708" w:type="dxa"/>
            <w:tcBorders>
              <w:top w:val="nil" w:sz="6" w:space="0" w:color="auto"/>
              <w:left w:val="nil" w:sz="6" w:space="0" w:color="auto"/>
              <w:bottom w:val="nil" w:sz="6" w:space="0" w:color="auto"/>
              <w:right w:val="nil" w:sz="6" w:space="0" w:color="auto"/>
            </w:tcBorders>
          </w:tcPr>
          <w:p>
            <w:pPr>
              <w:pStyle w:val="TableParagraph"/>
              <w:spacing w:line="242" w:lineRule="exact"/>
              <w:ind w:left="35" w:right="0"/>
              <w:jc w:val="left"/>
              <w:rPr>
                <w:rFonts w:ascii="宋体" w:hAnsi="宋体" w:cs="宋体" w:eastAsia="宋体" w:hint="default"/>
                <w:sz w:val="22"/>
                <w:szCs w:val="22"/>
              </w:rPr>
            </w:pPr>
            <w:r>
              <w:rPr>
                <w:rFonts w:ascii="宋体" w:hAnsi="宋体" w:cs="宋体" w:eastAsia="宋体" w:hint="default"/>
                <w:sz w:val="22"/>
                <w:szCs w:val="22"/>
              </w:rPr>
              <w:t>线路租赁费支出</w:t>
            </w:r>
          </w:p>
        </w:tc>
        <w:tc>
          <w:tcPr>
            <w:tcW w:w="865" w:type="dxa"/>
            <w:tcBorders>
              <w:top w:val="nil" w:sz="6" w:space="0" w:color="auto"/>
              <w:left w:val="nil" w:sz="6" w:space="0" w:color="auto"/>
              <w:bottom w:val="nil" w:sz="6" w:space="0" w:color="auto"/>
              <w:right w:val="nil" w:sz="6" w:space="0" w:color="auto"/>
            </w:tcBorders>
          </w:tcPr>
          <w:p>
            <w:pPr>
              <w:pStyle w:val="TableParagraph"/>
              <w:spacing w:line="241" w:lineRule="exact"/>
              <w:ind w:left="156" w:right="0"/>
              <w:jc w:val="left"/>
              <w:rPr>
                <w:rFonts w:ascii="Arial" w:hAnsi="Arial" w:cs="Arial" w:eastAsia="Arial" w:hint="default"/>
                <w:sz w:val="22"/>
                <w:szCs w:val="22"/>
              </w:rPr>
            </w:pPr>
            <w:r>
              <w:rPr>
                <w:rFonts w:ascii="Arial"/>
                <w:sz w:val="22"/>
              </w:rPr>
              <w:t>(2)</w:t>
            </w:r>
          </w:p>
        </w:tc>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661" w:right="0"/>
              <w:jc w:val="left"/>
              <w:rPr>
                <w:rFonts w:ascii="Arial" w:hAnsi="Arial" w:cs="Arial" w:eastAsia="Arial" w:hint="default"/>
                <w:sz w:val="22"/>
                <w:szCs w:val="22"/>
              </w:rPr>
            </w:pPr>
            <w:r>
              <w:rPr>
                <w:rFonts w:ascii="Arial"/>
                <w:sz w:val="22"/>
              </w:rPr>
              <w:t>102,203,169</w:t>
            </w:r>
          </w:p>
        </w:tc>
        <w:tc>
          <w:tcPr>
            <w:tcW w:w="149" w:type="dxa"/>
            <w:tcBorders>
              <w:top w:val="nil" w:sz="6" w:space="0" w:color="auto"/>
              <w:left w:val="nil" w:sz="6" w:space="0" w:color="auto"/>
              <w:bottom w:val="nil" w:sz="6" w:space="0" w:color="auto"/>
              <w:right w:val="nil" w:sz="6" w:space="0" w:color="auto"/>
            </w:tcBorders>
          </w:tcPr>
          <w:p>
            <w:pP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887" w:right="0"/>
              <w:jc w:val="left"/>
              <w:rPr>
                <w:rFonts w:ascii="Arial" w:hAnsi="Arial" w:cs="Arial" w:eastAsia="Arial" w:hint="default"/>
                <w:sz w:val="22"/>
                <w:szCs w:val="22"/>
              </w:rPr>
            </w:pPr>
            <w:r>
              <w:rPr>
                <w:rFonts w:ascii="Arial"/>
                <w:sz w:val="22"/>
              </w:rPr>
              <w:t>269,898,876</w:t>
            </w:r>
          </w:p>
        </w:tc>
      </w:tr>
      <w:tr>
        <w:trPr>
          <w:trHeight w:val="284" w:hRule="exact"/>
        </w:trPr>
        <w:tc>
          <w:tcPr>
            <w:tcW w:w="3708" w:type="dxa"/>
            <w:tcBorders>
              <w:top w:val="nil" w:sz="6" w:space="0" w:color="auto"/>
              <w:left w:val="nil" w:sz="6" w:space="0" w:color="auto"/>
              <w:bottom w:val="nil" w:sz="6" w:space="0" w:color="auto"/>
              <w:right w:val="nil" w:sz="6" w:space="0" w:color="auto"/>
            </w:tcBorders>
          </w:tcPr>
          <w:p>
            <w:pPr>
              <w:pStyle w:val="TableParagraph"/>
              <w:spacing w:line="242" w:lineRule="exact"/>
              <w:ind w:left="35" w:right="0"/>
              <w:jc w:val="left"/>
              <w:rPr>
                <w:rFonts w:ascii="宋体" w:hAnsi="宋体" w:cs="宋体" w:eastAsia="宋体" w:hint="default"/>
                <w:sz w:val="22"/>
                <w:szCs w:val="22"/>
              </w:rPr>
            </w:pPr>
            <w:r>
              <w:rPr>
                <w:rFonts w:ascii="宋体" w:hAnsi="宋体" w:cs="宋体" w:eastAsia="宋体" w:hint="default"/>
                <w:sz w:val="22"/>
                <w:szCs w:val="22"/>
              </w:rPr>
              <w:t>通信工程技术服务收入</w:t>
            </w:r>
          </w:p>
        </w:tc>
        <w:tc>
          <w:tcPr>
            <w:tcW w:w="865" w:type="dxa"/>
            <w:tcBorders>
              <w:top w:val="nil" w:sz="6" w:space="0" w:color="auto"/>
              <w:left w:val="nil" w:sz="6" w:space="0" w:color="auto"/>
              <w:bottom w:val="nil" w:sz="6" w:space="0" w:color="auto"/>
              <w:right w:val="nil" w:sz="6" w:space="0" w:color="auto"/>
            </w:tcBorders>
          </w:tcPr>
          <w:p>
            <w:pPr>
              <w:pStyle w:val="TableParagraph"/>
              <w:spacing w:line="241" w:lineRule="exact"/>
              <w:ind w:left="156" w:right="0"/>
              <w:jc w:val="left"/>
              <w:rPr>
                <w:rFonts w:ascii="Arial" w:hAnsi="Arial" w:cs="Arial" w:eastAsia="Arial" w:hint="default"/>
                <w:sz w:val="22"/>
                <w:szCs w:val="22"/>
              </w:rPr>
            </w:pPr>
            <w:r>
              <w:rPr>
                <w:rFonts w:ascii="Arial"/>
                <w:sz w:val="22"/>
              </w:rPr>
              <w:t>(3)</w:t>
            </w:r>
          </w:p>
        </w:tc>
        <w:tc>
          <w:tcPr>
            <w:tcW w:w="207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661" w:right="0"/>
              <w:jc w:val="left"/>
              <w:rPr>
                <w:rFonts w:ascii="Arial" w:hAnsi="Arial" w:cs="Arial" w:eastAsia="Arial" w:hint="default"/>
                <w:sz w:val="22"/>
                <w:szCs w:val="22"/>
              </w:rPr>
            </w:pPr>
            <w:r>
              <w:rPr>
                <w:rFonts w:ascii="Arial"/>
                <w:sz w:val="22"/>
              </w:rPr>
              <w:t>286,938,573</w:t>
            </w:r>
          </w:p>
        </w:tc>
        <w:tc>
          <w:tcPr>
            <w:tcW w:w="149" w:type="dxa"/>
            <w:tcBorders>
              <w:top w:val="nil" w:sz="6" w:space="0" w:color="auto"/>
              <w:left w:val="nil" w:sz="6" w:space="0" w:color="auto"/>
              <w:bottom w:val="nil" w:sz="6" w:space="0" w:color="auto"/>
              <w:right w:val="nil" w:sz="6" w:space="0" w:color="auto"/>
            </w:tcBorders>
          </w:tcPr>
          <w:p>
            <w:pPr/>
          </w:p>
        </w:tc>
        <w:tc>
          <w:tcPr>
            <w:tcW w:w="2290" w:type="dxa"/>
            <w:tcBorders>
              <w:top w:val="nil" w:sz="6" w:space="0" w:color="auto"/>
              <w:left w:val="nil" w:sz="6" w:space="0" w:color="auto"/>
              <w:bottom w:val="nil" w:sz="6" w:space="0" w:color="auto"/>
              <w:right w:val="nil" w:sz="6" w:space="0" w:color="auto"/>
            </w:tcBorders>
          </w:tcPr>
          <w:p>
            <w:pPr>
              <w:pStyle w:val="TableParagraph"/>
              <w:spacing w:line="240" w:lineRule="auto" w:before="20"/>
              <w:ind w:left="887" w:right="0"/>
              <w:jc w:val="left"/>
              <w:rPr>
                <w:rFonts w:ascii="Arial" w:hAnsi="Arial" w:cs="Arial" w:eastAsia="Arial" w:hint="default"/>
                <w:sz w:val="22"/>
                <w:szCs w:val="22"/>
              </w:rPr>
            </w:pPr>
            <w:r>
              <w:rPr>
                <w:rFonts w:ascii="Arial"/>
                <w:sz w:val="22"/>
              </w:rPr>
              <w:t>197,202,982</w:t>
            </w:r>
          </w:p>
        </w:tc>
      </w:tr>
    </w:tbl>
    <w:p>
      <w:pPr>
        <w:pStyle w:val="BodyText"/>
        <w:spacing w:line="250" w:lineRule="exact"/>
        <w:ind w:left="590" w:right="0"/>
        <w:jc w:val="left"/>
        <w:rPr>
          <w:rFonts w:ascii="Arial" w:hAnsi="Arial" w:cs="Arial" w:eastAsia="Arial" w:hint="default"/>
        </w:rPr>
      </w:pPr>
      <w:r>
        <w:rPr>
          <w:spacing w:val="-3"/>
        </w:rPr>
        <w:t>（注：上述</w:t>
      </w:r>
      <w:r>
        <w:rPr>
          <w:spacing w:val="-55"/>
        </w:rPr>
        <w:t> </w:t>
      </w:r>
      <w:r>
        <w:rPr>
          <w:rFonts w:ascii="Arial" w:hAnsi="Arial" w:cs="Arial" w:eastAsia="Arial" w:hint="default"/>
        </w:rPr>
        <w:t>2008</w:t>
      </w:r>
      <w:r>
        <w:rPr>
          <w:rFonts w:ascii="Arial" w:hAnsi="Arial" w:cs="Arial" w:eastAsia="Arial" w:hint="default"/>
          <w:spacing w:val="-7"/>
        </w:rPr>
        <w:t> </w:t>
      </w:r>
      <w:r>
        <w:rPr/>
        <w:t>年度的交易数据包括被出售的</w:t>
      </w:r>
      <w:r>
        <w:rPr>
          <w:spacing w:val="-55"/>
        </w:rPr>
        <w:t> </w:t>
      </w:r>
      <w:r>
        <w:rPr>
          <w:rFonts w:ascii="Arial" w:hAnsi="Arial" w:cs="Arial" w:eastAsia="Arial" w:hint="default"/>
        </w:rPr>
        <w:t>CDMA</w:t>
      </w:r>
      <w:r>
        <w:rPr>
          <w:rFonts w:ascii="Arial" w:hAnsi="Arial" w:cs="Arial" w:eastAsia="Arial" w:hint="default"/>
          <w:spacing w:val="-7"/>
        </w:rPr>
        <w:t> </w:t>
      </w:r>
      <w:r>
        <w:rPr/>
        <w:t>业务于</w:t>
      </w:r>
      <w:r>
        <w:rPr>
          <w:spacing w:val="-56"/>
        </w:rPr>
        <w:t> </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w:t>
      </w:r>
      <w:r>
        <w:rPr>
          <w:rFonts w:ascii="Arial" w:hAnsi="Arial" w:cs="Arial" w:eastAsia="Arial" w:hint="default"/>
          <w:spacing w:val="-7"/>
        </w:rPr>
        <w:t> </w:t>
      </w:r>
      <w:r>
        <w:rPr/>
        <w:t>月</w:t>
      </w:r>
      <w:r>
        <w:rPr>
          <w:spacing w:val="-56"/>
        </w:rPr>
        <w:t> </w:t>
      </w:r>
      <w:r>
        <w:rPr>
          <w:rFonts w:ascii="Arial" w:hAnsi="Arial" w:cs="Arial" w:eastAsia="Arial" w:hint="default"/>
        </w:rPr>
        <w:t>1</w:t>
      </w:r>
      <w:r>
        <w:rPr>
          <w:rFonts w:ascii="Arial" w:hAnsi="Arial" w:cs="Arial" w:eastAsia="Arial" w:hint="default"/>
          <w:spacing w:val="-7"/>
        </w:rPr>
        <w:t> </w:t>
      </w:r>
      <w:r>
        <w:rPr/>
        <w:t>日至</w:t>
      </w:r>
      <w:r>
        <w:rPr>
          <w:spacing w:val="-56"/>
        </w:rPr>
        <w:t> </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10</w:t>
      </w:r>
    </w:p>
    <w:p>
      <w:pPr>
        <w:pStyle w:val="BodyText"/>
        <w:spacing w:line="321" w:lineRule="auto"/>
        <w:ind w:left="592" w:right="4083" w:hanging="2"/>
        <w:jc w:val="left"/>
      </w:pPr>
      <w:r>
        <w:rPr/>
        <w:t>月</w:t>
      </w:r>
      <w:r>
        <w:rPr>
          <w:spacing w:val="-56"/>
        </w:rPr>
        <w:t> </w:t>
      </w:r>
      <w:r>
        <w:rPr>
          <w:rFonts w:ascii="Arial" w:hAnsi="Arial" w:cs="Arial" w:eastAsia="Arial" w:hint="default"/>
        </w:rPr>
        <w:t>1</w:t>
      </w:r>
      <w:r>
        <w:rPr>
          <w:rFonts w:ascii="Arial" w:hAnsi="Arial" w:cs="Arial" w:eastAsia="Arial" w:hint="default"/>
          <w:spacing w:val="-7"/>
        </w:rPr>
        <w:t> </w:t>
      </w:r>
      <w:r>
        <w:rPr/>
        <w:t>日止期间与境内主要电信运营商的交易金额。）</w:t>
      </w:r>
      <w:r>
        <w:rPr>
          <w:w w:val="99"/>
        </w:rPr>
        <w:t> </w:t>
      </w:r>
      <w:r>
        <w:rPr/>
        <w:t>注释：</w:t>
      </w:r>
    </w:p>
    <w:p>
      <w:pPr>
        <w:pStyle w:val="BodyText"/>
        <w:spacing w:line="232" w:lineRule="auto" w:before="50"/>
        <w:ind w:left="548" w:right="112" w:hanging="421"/>
        <w:jc w:val="both"/>
      </w:pPr>
      <w:r>
        <w:rPr>
          <w:rFonts w:ascii="Arial" w:hAnsi="Arial" w:cs="Arial" w:eastAsia="Arial" w:hint="default"/>
        </w:rPr>
        <w:t>(1)</w:t>
      </w:r>
      <w:r>
        <w:rPr>
          <w:rFonts w:ascii="Arial" w:hAnsi="Arial" w:cs="Arial" w:eastAsia="Arial" w:hint="default"/>
          <w:spacing w:val="14"/>
        </w:rPr>
        <w:t> </w:t>
      </w:r>
      <w:r>
        <w:rPr>
          <w:spacing w:val="2"/>
        </w:rPr>
        <w:t>网间结算收入和支出指由于本集团网络与境内主要电信运营商的移动电话、公共电话交换网络</w:t>
      </w:r>
      <w:r>
        <w:rPr>
          <w:spacing w:val="2"/>
          <w:w w:val="99"/>
        </w:rPr>
        <w:t> </w:t>
      </w:r>
      <w:r>
        <w:rPr>
          <w:spacing w:val="2"/>
          <w:w w:val="95"/>
        </w:rPr>
        <w:t>间通信而产生的应向境内主要电信运营商收取和支付的费用，其中网间结算收入以扣除营业税</w:t>
      </w:r>
      <w:r>
        <w:rPr>
          <w:spacing w:val="-92"/>
          <w:w w:val="95"/>
        </w:rPr>
        <w:t> </w:t>
      </w:r>
      <w:r>
        <w:rPr>
          <w:spacing w:val="2"/>
          <w:w w:val="95"/>
        </w:rPr>
        <w:t>后的净收入列示。网间结算的基础为本集团各省分公司与所在省的境内主要电信运营商之间签</w:t>
      </w:r>
      <w:r>
        <w:rPr>
          <w:spacing w:val="-92"/>
          <w:w w:val="95"/>
        </w:rPr>
        <w:t> </w:t>
      </w:r>
      <w:r>
        <w:rPr/>
        <w:t>订的网间互联互通的结算协议。有关结算标准按照原信息产业部规定协商确定。</w:t>
      </w:r>
    </w:p>
    <w:p>
      <w:pPr>
        <w:pStyle w:val="BodyText"/>
        <w:spacing w:line="230" w:lineRule="auto" w:before="129"/>
        <w:ind w:left="548" w:right="112" w:hanging="421"/>
        <w:jc w:val="both"/>
      </w:pPr>
      <w:r>
        <w:rPr>
          <w:rFonts w:ascii="Arial" w:hAnsi="Arial" w:cs="Arial" w:eastAsia="Arial" w:hint="default"/>
        </w:rPr>
        <w:t>(2)</w:t>
      </w:r>
      <w:r>
        <w:rPr>
          <w:rFonts w:ascii="Arial" w:hAnsi="Arial" w:cs="Arial" w:eastAsia="Arial" w:hint="default"/>
          <w:spacing w:val="14"/>
        </w:rPr>
        <w:t> </w:t>
      </w:r>
      <w:r>
        <w:rPr>
          <w:spacing w:val="2"/>
        </w:rPr>
        <w:t>出租线路收入指本集团因出租传输线路而收取或应收境内主要电信运营商的线路租金。线路租</w:t>
      </w:r>
      <w:r>
        <w:rPr>
          <w:spacing w:val="2"/>
          <w:w w:val="99"/>
        </w:rPr>
        <w:t> </w:t>
      </w:r>
      <w:r>
        <w:rPr>
          <w:spacing w:val="2"/>
          <w:w w:val="95"/>
        </w:rPr>
        <w:t>赁费支出指本集团因租入传输线路而支付或应付境内主要电信运营商的线路租金。线路租赁费</w:t>
      </w:r>
      <w:r>
        <w:rPr>
          <w:spacing w:val="-92"/>
          <w:w w:val="95"/>
        </w:rPr>
        <w:t> </w:t>
      </w:r>
      <w:r>
        <w:rPr/>
        <w:t>按每条线路固定的收费率及所租用线路的数量计算。</w:t>
      </w:r>
    </w:p>
    <w:p>
      <w:pPr>
        <w:pStyle w:val="BodyText"/>
        <w:spacing w:line="286" w:lineRule="exact" w:before="147"/>
        <w:ind w:left="548" w:right="112" w:hanging="421"/>
        <w:jc w:val="both"/>
      </w:pPr>
      <w:r>
        <w:rPr>
          <w:rFonts w:ascii="Arial" w:hAnsi="Arial" w:cs="Arial" w:eastAsia="Arial" w:hint="default"/>
        </w:rPr>
        <w:t>(3)</w:t>
      </w:r>
      <w:r>
        <w:rPr>
          <w:rFonts w:ascii="Arial" w:hAnsi="Arial" w:cs="Arial" w:eastAsia="Arial" w:hint="default"/>
          <w:spacing w:val="14"/>
        </w:rPr>
        <w:t> </w:t>
      </w:r>
      <w:r>
        <w:rPr>
          <w:spacing w:val="2"/>
        </w:rPr>
        <w:t>通信工程技术服务收入指本集团所属子公司因提供通信信息工程和建筑工程的咨询、勘察、设</w:t>
      </w:r>
      <w:r>
        <w:rPr>
          <w:spacing w:val="2"/>
          <w:w w:val="99"/>
        </w:rPr>
        <w:t> </w:t>
      </w:r>
      <w:r>
        <w:rPr>
          <w:spacing w:val="2"/>
          <w:w w:val="95"/>
        </w:rPr>
        <w:t>计、监理等劳务而向境内主要电信运营商收取的劳务收入。有关服务收费按照双方在市场环境</w:t>
      </w:r>
      <w:r>
        <w:rPr>
          <w:spacing w:val="-92"/>
          <w:w w:val="95"/>
        </w:rPr>
        <w:t> </w:t>
      </w:r>
      <w:r>
        <w:rPr/>
        <w:t>中协商确定。</w:t>
      </w:r>
    </w:p>
    <w:p>
      <w:pPr>
        <w:pStyle w:val="BodyText"/>
        <w:spacing w:line="240" w:lineRule="auto" w:before="90"/>
        <w:ind w:left="142" w:right="3260"/>
        <w:jc w:val="left"/>
        <w:rPr>
          <w:rFonts w:ascii="黑体" w:hAnsi="黑体" w:cs="黑体" w:eastAsia="黑体" w:hint="default"/>
        </w:rPr>
      </w:pPr>
      <w:r>
        <w:rPr>
          <w:rFonts w:ascii="Arial" w:hAnsi="Arial" w:cs="Arial" w:eastAsia="Arial" w:hint="default"/>
        </w:rPr>
        <w:t>2</w:t>
      </w:r>
      <w:r>
        <w:rPr>
          <w:rFonts w:ascii="黑体" w:hAnsi="黑体" w:cs="黑体" w:eastAsia="黑体" w:hint="default"/>
        </w:rPr>
        <w:t>、</w:t>
      </w:r>
      <w:r>
        <w:rPr>
          <w:rFonts w:ascii="黑体" w:hAnsi="黑体" w:cs="黑体" w:eastAsia="黑体" w:hint="default"/>
          <w:spacing w:val="-20"/>
        </w:rPr>
        <w:t> </w:t>
      </w:r>
      <w:r>
        <w:rPr>
          <w:rFonts w:ascii="黑体" w:hAnsi="黑体" w:cs="黑体" w:eastAsia="黑体" w:hint="default"/>
        </w:rPr>
        <w:t>应收、应付境内主要电信运营商款</w:t>
      </w:r>
    </w:p>
    <w:p>
      <w:pPr>
        <w:pStyle w:val="BodyText"/>
        <w:tabs>
          <w:tab w:pos="2403" w:val="left" w:leader="none"/>
        </w:tabs>
        <w:spacing w:line="302" w:lineRule="exact" w:before="122"/>
        <w:ind w:left="0" w:right="254"/>
        <w:jc w:val="right"/>
      </w:pP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tab/>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p>
      <w:pPr>
        <w:pStyle w:val="BodyText"/>
        <w:spacing w:line="287" w:lineRule="exact"/>
        <w:ind w:left="0" w:right="158"/>
        <w:jc w:val="right"/>
      </w:pPr>
      <w:r>
        <w:rPr/>
        <w:pict>
          <v:group style="position:absolute;margin-left:307.920013pt;margin-top:1.331812pt;width:114.55pt;height:.1pt;mso-position-horizontal-relative:page;mso-position-vertical-relative:paragraph;z-index:8224" coordorigin="6158,27" coordsize="2291,2">
            <v:shape style="position:absolute;left:6158;top:27;width:2291;height:2" coordorigin="6158,27" coordsize="2291,0" path="m6158,27l8449,27e" filled="false" stroked="true" strokeweight=".72pt" strokecolor="#000000">
              <v:path arrowok="t"/>
            </v:shape>
            <w10:wrap type="none"/>
          </v:group>
        </w:pict>
      </w:r>
      <w:r>
        <w:rPr/>
        <w:pict>
          <v:group style="position:absolute;margin-left:430.140015pt;margin-top:1.331812pt;width:112.5pt;height:.1pt;mso-position-horizontal-relative:page;mso-position-vertical-relative:paragraph;z-index:-911248" coordorigin="8603,27" coordsize="2250,2">
            <v:shape style="position:absolute;left:8603;top:27;width:2250;height:2" coordorigin="8603,27" coordsize="2250,0" path="m8603,27l10853,27e" filled="false" stroked="true" strokeweight=".72pt" strokecolor="#000000">
              <v:path arrowok="t"/>
            </v:shape>
            <w10:wrap type="none"/>
          </v:group>
        </w:pict>
      </w:r>
      <w:r>
        <w:rPr>
          <w:w w:val="95"/>
        </w:rPr>
        <w:t>（经重列）</w:t>
      </w:r>
      <w:r>
        <w:rPr/>
      </w:r>
    </w:p>
    <w:p>
      <w:pPr>
        <w:spacing w:line="240" w:lineRule="auto" w:before="0"/>
        <w:rPr>
          <w:rFonts w:ascii="宋体" w:hAnsi="宋体" w:cs="宋体" w:eastAsia="宋体" w:hint="default"/>
          <w:sz w:val="2"/>
          <w:szCs w:val="2"/>
        </w:rPr>
      </w:pPr>
    </w:p>
    <w:tbl>
      <w:tblPr>
        <w:tblW w:w="0" w:type="auto"/>
        <w:jc w:val="left"/>
        <w:tblInd w:w="569" w:type="dxa"/>
        <w:tblLayout w:type="fixed"/>
        <w:tblCellMar>
          <w:top w:w="0" w:type="dxa"/>
          <w:left w:w="0" w:type="dxa"/>
          <w:bottom w:w="0" w:type="dxa"/>
          <w:right w:w="0" w:type="dxa"/>
        </w:tblCellMar>
        <w:tblLook w:val="01E0"/>
      </w:tblPr>
      <w:tblGrid>
        <w:gridCol w:w="4342"/>
        <w:gridCol w:w="2305"/>
        <w:gridCol w:w="143"/>
        <w:gridCol w:w="2254"/>
      </w:tblGrid>
      <w:tr>
        <w:trPr>
          <w:trHeight w:val="309" w:hRule="exact"/>
        </w:trPr>
        <w:tc>
          <w:tcPr>
            <w:tcW w:w="4342" w:type="dxa"/>
            <w:tcBorders>
              <w:top w:val="nil" w:sz="6" w:space="0" w:color="auto"/>
              <w:left w:val="nil" w:sz="6" w:space="0" w:color="auto"/>
              <w:bottom w:val="nil" w:sz="6" w:space="0" w:color="auto"/>
              <w:right w:val="nil" w:sz="6" w:space="0" w:color="auto"/>
            </w:tcBorders>
          </w:tcPr>
          <w:p>
            <w:pPr>
              <w:pStyle w:val="TableParagraph"/>
              <w:spacing w:line="263" w:lineRule="exact"/>
              <w:ind w:left="45" w:right="0"/>
              <w:jc w:val="left"/>
              <w:rPr>
                <w:rFonts w:ascii="宋体" w:hAnsi="宋体" w:cs="宋体" w:eastAsia="宋体" w:hint="default"/>
                <w:sz w:val="22"/>
                <w:szCs w:val="22"/>
              </w:rPr>
            </w:pPr>
            <w:r>
              <w:rPr>
                <w:rFonts w:ascii="宋体" w:hAnsi="宋体" w:cs="宋体" w:eastAsia="宋体" w:hint="default"/>
                <w:sz w:val="22"/>
                <w:szCs w:val="22"/>
              </w:rPr>
              <w:t>应收账款</w:t>
            </w:r>
          </w:p>
        </w:tc>
        <w:tc>
          <w:tcPr>
            <w:tcW w:w="2305" w:type="dxa"/>
            <w:tcBorders>
              <w:top w:val="nil" w:sz="6" w:space="0" w:color="auto"/>
              <w:left w:val="nil" w:sz="6" w:space="0" w:color="auto"/>
              <w:bottom w:val="nil" w:sz="6" w:space="0" w:color="auto"/>
              <w:right w:val="nil" w:sz="6" w:space="0" w:color="auto"/>
            </w:tcBorders>
          </w:tcPr>
          <w:p>
            <w:pPr>
              <w:pStyle w:val="TableParagraph"/>
              <w:spacing w:line="240" w:lineRule="auto" w:before="41"/>
              <w:ind w:left="721" w:right="0"/>
              <w:jc w:val="left"/>
              <w:rPr>
                <w:rFonts w:ascii="Arial" w:hAnsi="Arial" w:cs="Arial" w:eastAsia="Arial" w:hint="default"/>
                <w:sz w:val="22"/>
                <w:szCs w:val="22"/>
              </w:rPr>
            </w:pPr>
            <w:r>
              <w:rPr>
                <w:rFonts w:ascii="Arial"/>
                <w:sz w:val="22"/>
              </w:rPr>
              <w:t>1,063,843,316</w:t>
            </w:r>
          </w:p>
        </w:tc>
        <w:tc>
          <w:tcPr>
            <w:tcW w:w="143" w:type="dxa"/>
            <w:tcBorders>
              <w:top w:val="nil" w:sz="6" w:space="0" w:color="auto"/>
              <w:left w:val="nil" w:sz="6" w:space="0" w:color="auto"/>
              <w:bottom w:val="nil" w:sz="6" w:space="0" w:color="auto"/>
              <w:right w:val="nil" w:sz="6" w:space="0" w:color="auto"/>
            </w:tcBorders>
          </w:tcPr>
          <w:p>
            <w:pPr/>
          </w:p>
        </w:tc>
        <w:tc>
          <w:tcPr>
            <w:tcW w:w="2254" w:type="dxa"/>
            <w:tcBorders>
              <w:top w:val="nil" w:sz="6" w:space="0" w:color="auto"/>
              <w:left w:val="nil" w:sz="6" w:space="0" w:color="auto"/>
              <w:bottom w:val="nil" w:sz="6" w:space="0" w:color="auto"/>
              <w:right w:val="nil" w:sz="6" w:space="0" w:color="auto"/>
            </w:tcBorders>
          </w:tcPr>
          <w:p>
            <w:pPr>
              <w:pStyle w:val="TableParagraph"/>
              <w:spacing w:line="240" w:lineRule="auto" w:before="41"/>
              <w:ind w:right="126"/>
              <w:jc w:val="right"/>
              <w:rPr>
                <w:rFonts w:ascii="Arial" w:hAnsi="Arial" w:cs="Arial" w:eastAsia="Arial" w:hint="default"/>
                <w:sz w:val="22"/>
                <w:szCs w:val="22"/>
              </w:rPr>
            </w:pPr>
            <w:r>
              <w:rPr>
                <w:rFonts w:ascii="Arial"/>
                <w:w w:val="95"/>
                <w:sz w:val="22"/>
              </w:rPr>
              <w:t>825,571,803</w:t>
            </w:r>
            <w:r>
              <w:rPr>
                <w:rFonts w:ascii="Arial"/>
                <w:sz w:val="22"/>
              </w:rPr>
            </w:r>
          </w:p>
        </w:tc>
      </w:tr>
      <w:tr>
        <w:trPr>
          <w:trHeight w:val="342" w:hRule="exact"/>
        </w:trPr>
        <w:tc>
          <w:tcPr>
            <w:tcW w:w="4342"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减：坏账准备</w:t>
            </w:r>
          </w:p>
        </w:tc>
        <w:tc>
          <w:tcPr>
            <w:tcW w:w="2305" w:type="dxa"/>
            <w:tcBorders>
              <w:top w:val="nil" w:sz="6" w:space="0" w:color="auto"/>
              <w:left w:val="nil" w:sz="6" w:space="0" w:color="auto"/>
              <w:bottom w:val="nil" w:sz="6" w:space="0" w:color="auto"/>
              <w:right w:val="nil" w:sz="6" w:space="0" w:color="auto"/>
            </w:tcBorders>
          </w:tcPr>
          <w:p>
            <w:pPr>
              <w:pStyle w:val="TableParagraph"/>
              <w:tabs>
                <w:tab w:pos="952" w:val="left" w:leader="none"/>
                <w:tab w:pos="2297" w:val="left" w:leader="none"/>
              </w:tabs>
              <w:spacing w:line="240" w:lineRule="auto" w:before="17"/>
              <w:ind w:left="7"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(67,783,319)</w:t>
              <w:tab/>
            </w:r>
            <w:r>
              <w:rPr>
                <w:rFonts w:ascii="Arial"/>
                <w:sz w:val="22"/>
              </w:rPr>
            </w:r>
          </w:p>
        </w:tc>
        <w:tc>
          <w:tcPr>
            <w:tcW w:w="143" w:type="dxa"/>
            <w:tcBorders>
              <w:top w:val="nil" w:sz="6" w:space="0" w:color="auto"/>
              <w:left w:val="nil" w:sz="6" w:space="0" w:color="auto"/>
              <w:bottom w:val="nil" w:sz="6" w:space="0" w:color="auto"/>
              <w:right w:val="nil" w:sz="6" w:space="0" w:color="auto"/>
            </w:tcBorders>
          </w:tcPr>
          <w:p>
            <w:pPr/>
          </w:p>
        </w:tc>
        <w:tc>
          <w:tcPr>
            <w:tcW w:w="2254" w:type="dxa"/>
            <w:tcBorders>
              <w:top w:val="nil" w:sz="6" w:space="0" w:color="auto"/>
              <w:left w:val="nil" w:sz="6" w:space="0" w:color="auto"/>
              <w:bottom w:val="nil" w:sz="6" w:space="0" w:color="auto"/>
              <w:right w:val="nil" w:sz="6" w:space="0" w:color="auto"/>
            </w:tcBorders>
          </w:tcPr>
          <w:p>
            <w:pPr>
              <w:pStyle w:val="TableParagraph"/>
              <w:tabs>
                <w:tab w:pos="945" w:val="left" w:leader="none"/>
              </w:tabs>
              <w:spacing w:line="240" w:lineRule="auto" w:before="17"/>
              <w:ind w:right="54"/>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(53,726,669)</w:t>
            </w:r>
            <w:r>
              <w:rPr>
                <w:rFonts w:ascii="Arial"/>
                <w:w w:val="95"/>
                <w:sz w:val="22"/>
              </w:rPr>
            </w:r>
            <w:r>
              <w:rPr>
                <w:rFonts w:ascii="Arial"/>
                <w:sz w:val="22"/>
              </w:rPr>
            </w:r>
          </w:p>
        </w:tc>
      </w:tr>
      <w:tr>
        <w:trPr>
          <w:trHeight w:val="351" w:hRule="exact"/>
        </w:trPr>
        <w:tc>
          <w:tcPr>
            <w:tcW w:w="4342" w:type="dxa"/>
            <w:tcBorders>
              <w:top w:val="nil" w:sz="6" w:space="0" w:color="auto"/>
              <w:left w:val="nil" w:sz="6" w:space="0" w:color="auto"/>
              <w:bottom w:val="nil" w:sz="6" w:space="0" w:color="auto"/>
              <w:right w:val="nil" w:sz="6" w:space="0" w:color="auto"/>
            </w:tcBorders>
          </w:tcPr>
          <w:p>
            <w:pPr>
              <w:pStyle w:val="TableParagraph"/>
              <w:spacing w:line="240" w:lineRule="auto" w:before="8"/>
              <w:ind w:left="45" w:right="0"/>
              <w:jc w:val="left"/>
              <w:rPr>
                <w:rFonts w:ascii="宋体" w:hAnsi="宋体" w:cs="宋体" w:eastAsia="宋体" w:hint="default"/>
                <w:sz w:val="22"/>
                <w:szCs w:val="22"/>
              </w:rPr>
            </w:pPr>
            <w:r>
              <w:rPr>
                <w:rFonts w:ascii="宋体" w:hAnsi="宋体" w:cs="宋体" w:eastAsia="宋体" w:hint="default"/>
                <w:sz w:val="22"/>
                <w:szCs w:val="22"/>
              </w:rPr>
              <w:t>应收账款净额</w:t>
            </w:r>
          </w:p>
        </w:tc>
        <w:tc>
          <w:tcPr>
            <w:tcW w:w="2305" w:type="dxa"/>
            <w:tcBorders>
              <w:top w:val="nil" w:sz="6" w:space="0" w:color="auto"/>
              <w:left w:val="nil" w:sz="6" w:space="0" w:color="auto"/>
              <w:bottom w:val="single" w:sz="17" w:space="0" w:color="000000"/>
              <w:right w:val="nil" w:sz="6" w:space="0" w:color="auto"/>
            </w:tcBorders>
          </w:tcPr>
          <w:p>
            <w:pPr>
              <w:pStyle w:val="TableParagraph"/>
              <w:spacing w:line="240" w:lineRule="auto" w:before="74"/>
              <w:ind w:left="904" w:right="0"/>
              <w:jc w:val="left"/>
              <w:rPr>
                <w:rFonts w:ascii="Arial" w:hAnsi="Arial" w:cs="Arial" w:eastAsia="Arial" w:hint="default"/>
                <w:sz w:val="22"/>
                <w:szCs w:val="22"/>
              </w:rPr>
            </w:pPr>
            <w:r>
              <w:rPr>
                <w:rFonts w:ascii="Arial"/>
                <w:sz w:val="22"/>
              </w:rPr>
              <w:t>996,059,997</w:t>
            </w:r>
          </w:p>
        </w:tc>
        <w:tc>
          <w:tcPr>
            <w:tcW w:w="143" w:type="dxa"/>
            <w:tcBorders>
              <w:top w:val="nil" w:sz="6" w:space="0" w:color="auto"/>
              <w:left w:val="nil" w:sz="6" w:space="0" w:color="auto"/>
              <w:bottom w:val="nil" w:sz="6" w:space="0" w:color="auto"/>
              <w:right w:val="nil" w:sz="6" w:space="0" w:color="auto"/>
            </w:tcBorders>
          </w:tcPr>
          <w:p>
            <w:pPr/>
          </w:p>
        </w:tc>
        <w:tc>
          <w:tcPr>
            <w:tcW w:w="2254" w:type="dxa"/>
            <w:tcBorders>
              <w:top w:val="nil" w:sz="6" w:space="0" w:color="auto"/>
              <w:left w:val="nil" w:sz="6" w:space="0" w:color="auto"/>
              <w:bottom w:val="single" w:sz="17" w:space="0" w:color="000000"/>
              <w:right w:val="nil" w:sz="6" w:space="0" w:color="auto"/>
            </w:tcBorders>
          </w:tcPr>
          <w:p>
            <w:pPr>
              <w:pStyle w:val="TableParagraph"/>
              <w:spacing w:line="240" w:lineRule="auto" w:before="74"/>
              <w:ind w:right="127"/>
              <w:jc w:val="right"/>
              <w:rPr>
                <w:rFonts w:ascii="Arial" w:hAnsi="Arial" w:cs="Arial" w:eastAsia="Arial" w:hint="default"/>
                <w:sz w:val="22"/>
                <w:szCs w:val="22"/>
              </w:rPr>
            </w:pPr>
            <w:r>
              <w:rPr>
                <w:rFonts w:ascii="Arial"/>
                <w:w w:val="95"/>
                <w:sz w:val="22"/>
              </w:rPr>
              <w:t>771,845,134</w:t>
            </w:r>
            <w:r>
              <w:rPr>
                <w:rFonts w:ascii="Arial"/>
                <w:sz w:val="22"/>
              </w:rPr>
            </w:r>
          </w:p>
        </w:tc>
      </w:tr>
      <w:tr>
        <w:trPr>
          <w:trHeight w:val="398" w:hRule="exact"/>
        </w:trPr>
        <w:tc>
          <w:tcPr>
            <w:tcW w:w="434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5" w:right="0"/>
              <w:jc w:val="left"/>
              <w:rPr>
                <w:rFonts w:ascii="宋体" w:hAnsi="宋体" w:cs="宋体" w:eastAsia="宋体" w:hint="default"/>
                <w:sz w:val="22"/>
                <w:szCs w:val="22"/>
              </w:rPr>
            </w:pPr>
            <w:r>
              <w:rPr>
                <w:rFonts w:ascii="宋体" w:hAnsi="宋体" w:cs="宋体" w:eastAsia="宋体" w:hint="default"/>
                <w:sz w:val="22"/>
                <w:szCs w:val="22"/>
              </w:rPr>
              <w:t>其他应收款净额</w:t>
            </w:r>
          </w:p>
        </w:tc>
        <w:tc>
          <w:tcPr>
            <w:tcW w:w="2305" w:type="dxa"/>
            <w:tcBorders>
              <w:top w:val="single" w:sz="17" w:space="0" w:color="000000"/>
              <w:left w:val="nil" w:sz="6" w:space="0" w:color="auto"/>
              <w:bottom w:val="single" w:sz="17" w:space="0" w:color="000000"/>
              <w:right w:val="nil" w:sz="6" w:space="0" w:color="auto"/>
            </w:tcBorders>
          </w:tcPr>
          <w:p>
            <w:pPr>
              <w:pStyle w:val="TableParagraph"/>
              <w:spacing w:line="240" w:lineRule="auto" w:before="99"/>
              <w:ind w:left="721" w:right="0"/>
              <w:jc w:val="left"/>
              <w:rPr>
                <w:rFonts w:ascii="Arial" w:hAnsi="Arial" w:cs="Arial" w:eastAsia="Arial" w:hint="default"/>
                <w:sz w:val="22"/>
                <w:szCs w:val="22"/>
              </w:rPr>
            </w:pPr>
            <w:r>
              <w:rPr>
                <w:rFonts w:ascii="Arial"/>
                <w:sz w:val="22"/>
              </w:rPr>
              <w:t>5,253,025,369</w:t>
            </w:r>
          </w:p>
        </w:tc>
        <w:tc>
          <w:tcPr>
            <w:tcW w:w="143" w:type="dxa"/>
            <w:tcBorders>
              <w:top w:val="nil" w:sz="6" w:space="0" w:color="auto"/>
              <w:left w:val="nil" w:sz="6" w:space="0" w:color="auto"/>
              <w:bottom w:val="nil" w:sz="6" w:space="0" w:color="auto"/>
              <w:right w:val="nil" w:sz="6" w:space="0" w:color="auto"/>
            </w:tcBorders>
          </w:tcPr>
          <w:p>
            <w:pPr/>
          </w:p>
        </w:tc>
        <w:tc>
          <w:tcPr>
            <w:tcW w:w="2254" w:type="dxa"/>
            <w:tcBorders>
              <w:top w:val="single" w:sz="17" w:space="0" w:color="000000"/>
              <w:left w:val="nil" w:sz="6" w:space="0" w:color="auto"/>
              <w:bottom w:val="single" w:sz="17" w:space="0" w:color="000000"/>
              <w:right w:val="nil" w:sz="6" w:space="0" w:color="auto"/>
            </w:tcBorders>
          </w:tcPr>
          <w:p>
            <w:pPr>
              <w:pStyle w:val="TableParagraph"/>
              <w:spacing w:line="240" w:lineRule="auto" w:before="99"/>
              <w:ind w:right="128"/>
              <w:jc w:val="right"/>
              <w:rPr>
                <w:rFonts w:ascii="Arial" w:hAnsi="Arial" w:cs="Arial" w:eastAsia="Arial" w:hint="default"/>
                <w:sz w:val="22"/>
                <w:szCs w:val="22"/>
              </w:rPr>
            </w:pPr>
            <w:r>
              <w:rPr>
                <w:rFonts w:ascii="Arial"/>
                <w:spacing w:val="-1"/>
                <w:sz w:val="22"/>
              </w:rPr>
              <w:t>13,339,796,713</w:t>
            </w:r>
          </w:p>
        </w:tc>
      </w:tr>
      <w:tr>
        <w:trPr>
          <w:trHeight w:val="397" w:hRule="exact"/>
        </w:trPr>
        <w:tc>
          <w:tcPr>
            <w:tcW w:w="434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5" w:right="0"/>
              <w:jc w:val="left"/>
              <w:rPr>
                <w:rFonts w:ascii="宋体" w:hAnsi="宋体" w:cs="宋体" w:eastAsia="宋体" w:hint="default"/>
                <w:sz w:val="22"/>
                <w:szCs w:val="22"/>
              </w:rPr>
            </w:pPr>
            <w:r>
              <w:rPr>
                <w:rFonts w:ascii="宋体" w:hAnsi="宋体" w:cs="宋体" w:eastAsia="宋体" w:hint="default"/>
                <w:sz w:val="22"/>
                <w:szCs w:val="22"/>
              </w:rPr>
              <w:t>预付账款</w:t>
            </w:r>
          </w:p>
        </w:tc>
        <w:tc>
          <w:tcPr>
            <w:tcW w:w="2305" w:type="dxa"/>
            <w:tcBorders>
              <w:top w:val="single" w:sz="17" w:space="0" w:color="000000"/>
              <w:left w:val="nil" w:sz="6" w:space="0" w:color="auto"/>
              <w:bottom w:val="single" w:sz="17" w:space="0" w:color="000000"/>
              <w:right w:val="nil" w:sz="6" w:space="0" w:color="auto"/>
            </w:tcBorders>
          </w:tcPr>
          <w:p>
            <w:pPr>
              <w:pStyle w:val="TableParagraph"/>
              <w:spacing w:line="240" w:lineRule="auto" w:before="99"/>
              <w:ind w:left="1148" w:right="0"/>
              <w:jc w:val="left"/>
              <w:rPr>
                <w:rFonts w:ascii="Arial" w:hAnsi="Arial" w:cs="Arial" w:eastAsia="Arial" w:hint="default"/>
                <w:sz w:val="22"/>
                <w:szCs w:val="22"/>
              </w:rPr>
            </w:pPr>
            <w:r>
              <w:rPr>
                <w:rFonts w:ascii="Arial"/>
                <w:sz w:val="22"/>
              </w:rPr>
              <w:t>5,515,092</w:t>
            </w:r>
          </w:p>
        </w:tc>
        <w:tc>
          <w:tcPr>
            <w:tcW w:w="143" w:type="dxa"/>
            <w:tcBorders>
              <w:top w:val="nil" w:sz="6" w:space="0" w:color="auto"/>
              <w:left w:val="nil" w:sz="6" w:space="0" w:color="auto"/>
              <w:bottom w:val="nil" w:sz="6" w:space="0" w:color="auto"/>
              <w:right w:val="nil" w:sz="6" w:space="0" w:color="auto"/>
            </w:tcBorders>
          </w:tcPr>
          <w:p>
            <w:pPr/>
          </w:p>
        </w:tc>
        <w:tc>
          <w:tcPr>
            <w:tcW w:w="2254" w:type="dxa"/>
            <w:tcBorders>
              <w:top w:val="single" w:sz="17" w:space="0" w:color="000000"/>
              <w:left w:val="nil" w:sz="6" w:space="0" w:color="auto"/>
              <w:bottom w:val="single" w:sz="17" w:space="0" w:color="000000"/>
              <w:right w:val="nil" w:sz="6" w:space="0" w:color="auto"/>
            </w:tcBorders>
          </w:tcPr>
          <w:p>
            <w:pPr>
              <w:pStyle w:val="TableParagraph"/>
              <w:spacing w:line="240" w:lineRule="auto" w:before="99"/>
              <w:ind w:right="128"/>
              <w:jc w:val="right"/>
              <w:rPr>
                <w:rFonts w:ascii="Arial" w:hAnsi="Arial" w:cs="Arial" w:eastAsia="Arial" w:hint="default"/>
                <w:sz w:val="22"/>
                <w:szCs w:val="22"/>
              </w:rPr>
            </w:pPr>
            <w:r>
              <w:rPr>
                <w:rFonts w:ascii="Arial"/>
                <w:w w:val="95"/>
                <w:sz w:val="22"/>
              </w:rPr>
              <w:t>2,175,795</w:t>
            </w:r>
            <w:r>
              <w:rPr>
                <w:rFonts w:ascii="Arial"/>
                <w:sz w:val="22"/>
              </w:rPr>
            </w:r>
          </w:p>
        </w:tc>
      </w:tr>
      <w:tr>
        <w:trPr>
          <w:trHeight w:val="398" w:hRule="exact"/>
        </w:trPr>
        <w:tc>
          <w:tcPr>
            <w:tcW w:w="4342"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5" w:right="0"/>
              <w:jc w:val="left"/>
              <w:rPr>
                <w:rFonts w:ascii="宋体" w:hAnsi="宋体" w:cs="宋体" w:eastAsia="宋体" w:hint="default"/>
                <w:sz w:val="22"/>
                <w:szCs w:val="22"/>
              </w:rPr>
            </w:pPr>
            <w:r>
              <w:rPr>
                <w:rFonts w:ascii="宋体" w:hAnsi="宋体" w:cs="宋体" w:eastAsia="宋体" w:hint="default"/>
                <w:sz w:val="22"/>
                <w:szCs w:val="22"/>
              </w:rPr>
              <w:t>应付账款</w:t>
            </w:r>
          </w:p>
        </w:tc>
        <w:tc>
          <w:tcPr>
            <w:tcW w:w="2305" w:type="dxa"/>
            <w:tcBorders>
              <w:top w:val="single" w:sz="17" w:space="0" w:color="000000"/>
              <w:left w:val="nil" w:sz="6" w:space="0" w:color="auto"/>
              <w:bottom w:val="single" w:sz="17" w:space="0" w:color="000000"/>
              <w:right w:val="nil" w:sz="6" w:space="0" w:color="auto"/>
            </w:tcBorders>
          </w:tcPr>
          <w:p>
            <w:pPr>
              <w:pStyle w:val="TableParagraph"/>
              <w:spacing w:line="240" w:lineRule="auto" w:before="101"/>
              <w:ind w:left="721" w:right="0"/>
              <w:jc w:val="left"/>
              <w:rPr>
                <w:rFonts w:ascii="Arial" w:hAnsi="Arial" w:cs="Arial" w:eastAsia="Arial" w:hint="default"/>
                <w:sz w:val="22"/>
                <w:szCs w:val="22"/>
              </w:rPr>
            </w:pPr>
            <w:r>
              <w:rPr>
                <w:rFonts w:ascii="Arial"/>
                <w:sz w:val="22"/>
              </w:rPr>
              <w:t>1,022,752,985</w:t>
            </w:r>
          </w:p>
        </w:tc>
        <w:tc>
          <w:tcPr>
            <w:tcW w:w="143" w:type="dxa"/>
            <w:tcBorders>
              <w:top w:val="nil" w:sz="6" w:space="0" w:color="auto"/>
              <w:left w:val="nil" w:sz="6" w:space="0" w:color="auto"/>
              <w:bottom w:val="nil" w:sz="6" w:space="0" w:color="auto"/>
              <w:right w:val="nil" w:sz="6" w:space="0" w:color="auto"/>
            </w:tcBorders>
          </w:tcPr>
          <w:p>
            <w:pPr/>
          </w:p>
        </w:tc>
        <w:tc>
          <w:tcPr>
            <w:tcW w:w="2254" w:type="dxa"/>
            <w:tcBorders>
              <w:top w:val="single" w:sz="17" w:space="0" w:color="000000"/>
              <w:left w:val="nil" w:sz="6" w:space="0" w:color="auto"/>
              <w:bottom w:val="single" w:sz="17" w:space="0" w:color="000000"/>
              <w:right w:val="nil" w:sz="6" w:space="0" w:color="auto"/>
            </w:tcBorders>
          </w:tcPr>
          <w:p>
            <w:pPr>
              <w:pStyle w:val="TableParagraph"/>
              <w:spacing w:line="240" w:lineRule="auto" w:before="101"/>
              <w:ind w:right="126"/>
              <w:jc w:val="right"/>
              <w:rPr>
                <w:rFonts w:ascii="Arial" w:hAnsi="Arial" w:cs="Arial" w:eastAsia="Arial" w:hint="default"/>
                <w:sz w:val="22"/>
                <w:szCs w:val="22"/>
              </w:rPr>
            </w:pPr>
            <w:r>
              <w:rPr>
                <w:rFonts w:ascii="Arial"/>
                <w:w w:val="95"/>
                <w:sz w:val="22"/>
              </w:rPr>
              <w:t>958,469,149</w:t>
            </w:r>
            <w:r>
              <w:rPr>
                <w:rFonts w:ascii="Arial"/>
                <w:sz w:val="22"/>
              </w:rPr>
            </w:r>
          </w:p>
        </w:tc>
      </w:tr>
      <w:tr>
        <w:trPr>
          <w:trHeight w:val="410" w:hRule="exact"/>
        </w:trPr>
        <w:tc>
          <w:tcPr>
            <w:tcW w:w="4342" w:type="dxa"/>
            <w:tcBorders>
              <w:top w:val="nil" w:sz="6" w:space="0" w:color="auto"/>
              <w:left w:val="nil" w:sz="6" w:space="0" w:color="auto"/>
              <w:bottom w:val="nil" w:sz="6" w:space="0" w:color="auto"/>
              <w:right w:val="nil" w:sz="6" w:space="0" w:color="auto"/>
            </w:tcBorders>
          </w:tcPr>
          <w:p>
            <w:pPr>
              <w:pStyle w:val="TableParagraph"/>
              <w:spacing w:line="240" w:lineRule="auto" w:before="68"/>
              <w:ind w:left="45" w:right="0"/>
              <w:jc w:val="left"/>
              <w:rPr>
                <w:rFonts w:ascii="宋体" w:hAnsi="宋体" w:cs="宋体" w:eastAsia="宋体" w:hint="default"/>
                <w:sz w:val="22"/>
                <w:szCs w:val="22"/>
              </w:rPr>
            </w:pPr>
            <w:r>
              <w:rPr>
                <w:rFonts w:ascii="宋体" w:hAnsi="宋体" w:cs="宋体" w:eastAsia="宋体" w:hint="default"/>
                <w:sz w:val="22"/>
                <w:szCs w:val="22"/>
              </w:rPr>
              <w:t>预收账款</w:t>
            </w:r>
          </w:p>
        </w:tc>
        <w:tc>
          <w:tcPr>
            <w:tcW w:w="2305" w:type="dxa"/>
            <w:tcBorders>
              <w:top w:val="single" w:sz="17" w:space="0" w:color="000000"/>
              <w:left w:val="nil" w:sz="6" w:space="0" w:color="auto"/>
              <w:bottom w:val="single" w:sz="17" w:space="0" w:color="000000"/>
              <w:right w:val="nil" w:sz="6" w:space="0" w:color="auto"/>
            </w:tcBorders>
          </w:tcPr>
          <w:p>
            <w:pPr>
              <w:pStyle w:val="TableParagraph"/>
              <w:spacing w:line="240" w:lineRule="auto" w:before="113"/>
              <w:ind w:left="1026" w:right="0"/>
              <w:jc w:val="left"/>
              <w:rPr>
                <w:rFonts w:ascii="Arial" w:hAnsi="Arial" w:cs="Arial" w:eastAsia="Arial" w:hint="default"/>
                <w:sz w:val="22"/>
                <w:szCs w:val="22"/>
              </w:rPr>
            </w:pPr>
            <w:r>
              <w:rPr>
                <w:rFonts w:ascii="Arial"/>
                <w:sz w:val="22"/>
              </w:rPr>
              <w:t>20,459,232</w:t>
            </w:r>
          </w:p>
        </w:tc>
        <w:tc>
          <w:tcPr>
            <w:tcW w:w="143" w:type="dxa"/>
            <w:tcBorders>
              <w:top w:val="nil" w:sz="6" w:space="0" w:color="auto"/>
              <w:left w:val="nil" w:sz="6" w:space="0" w:color="auto"/>
              <w:bottom w:val="nil" w:sz="6" w:space="0" w:color="auto"/>
              <w:right w:val="nil" w:sz="6" w:space="0" w:color="auto"/>
            </w:tcBorders>
          </w:tcPr>
          <w:p>
            <w:pPr/>
          </w:p>
        </w:tc>
        <w:tc>
          <w:tcPr>
            <w:tcW w:w="2254" w:type="dxa"/>
            <w:tcBorders>
              <w:top w:val="single" w:sz="17" w:space="0" w:color="000000"/>
              <w:left w:val="nil" w:sz="6" w:space="0" w:color="auto"/>
              <w:bottom w:val="single" w:sz="17" w:space="0" w:color="000000"/>
              <w:right w:val="nil" w:sz="6" w:space="0" w:color="auto"/>
            </w:tcBorders>
          </w:tcPr>
          <w:p>
            <w:pPr>
              <w:pStyle w:val="TableParagraph"/>
              <w:spacing w:line="240" w:lineRule="auto" w:before="113"/>
              <w:ind w:right="128"/>
              <w:jc w:val="right"/>
              <w:rPr>
                <w:rFonts w:ascii="Arial" w:hAnsi="Arial" w:cs="Arial" w:eastAsia="Arial" w:hint="default"/>
                <w:sz w:val="22"/>
                <w:szCs w:val="22"/>
              </w:rPr>
            </w:pPr>
            <w:r>
              <w:rPr>
                <w:rFonts w:ascii="Arial"/>
                <w:w w:val="95"/>
                <w:sz w:val="22"/>
              </w:rPr>
              <w:t>51,292,616</w:t>
            </w:r>
            <w:r>
              <w:rPr>
                <w:rFonts w:ascii="Arial"/>
                <w:sz w:val="22"/>
              </w:rPr>
            </w:r>
          </w:p>
        </w:tc>
      </w:tr>
      <w:tr>
        <w:trPr>
          <w:trHeight w:val="400" w:hRule="exact"/>
        </w:trPr>
        <w:tc>
          <w:tcPr>
            <w:tcW w:w="4342" w:type="dxa"/>
            <w:tcBorders>
              <w:top w:val="nil" w:sz="6" w:space="0" w:color="auto"/>
              <w:left w:val="nil" w:sz="6" w:space="0" w:color="auto"/>
              <w:bottom w:val="nil" w:sz="6" w:space="0" w:color="auto"/>
              <w:right w:val="nil" w:sz="6" w:space="0" w:color="auto"/>
            </w:tcBorders>
          </w:tcPr>
          <w:p>
            <w:pPr>
              <w:pStyle w:val="TableParagraph"/>
              <w:spacing w:line="240" w:lineRule="auto" w:before="55"/>
              <w:ind w:left="45" w:right="0"/>
              <w:jc w:val="left"/>
              <w:rPr>
                <w:rFonts w:ascii="宋体" w:hAnsi="宋体" w:cs="宋体" w:eastAsia="宋体" w:hint="default"/>
                <w:sz w:val="22"/>
                <w:szCs w:val="22"/>
              </w:rPr>
            </w:pPr>
            <w:r>
              <w:rPr>
                <w:rFonts w:ascii="宋体" w:hAnsi="宋体" w:cs="宋体" w:eastAsia="宋体" w:hint="default"/>
                <w:sz w:val="22"/>
                <w:szCs w:val="22"/>
              </w:rPr>
              <w:t>其他应付款</w:t>
            </w:r>
          </w:p>
        </w:tc>
        <w:tc>
          <w:tcPr>
            <w:tcW w:w="2305" w:type="dxa"/>
            <w:tcBorders>
              <w:top w:val="single" w:sz="17" w:space="0" w:color="000000"/>
              <w:left w:val="nil" w:sz="6" w:space="0" w:color="auto"/>
              <w:bottom w:val="single" w:sz="17" w:space="0" w:color="000000"/>
              <w:right w:val="nil" w:sz="6" w:space="0" w:color="auto"/>
            </w:tcBorders>
          </w:tcPr>
          <w:p>
            <w:pPr>
              <w:pStyle w:val="TableParagraph"/>
              <w:spacing w:line="240" w:lineRule="auto" w:before="99"/>
              <w:ind w:left="1026" w:right="0"/>
              <w:jc w:val="left"/>
              <w:rPr>
                <w:rFonts w:ascii="Arial" w:hAnsi="Arial" w:cs="Arial" w:eastAsia="Arial" w:hint="default"/>
                <w:sz w:val="22"/>
                <w:szCs w:val="22"/>
              </w:rPr>
            </w:pPr>
            <w:r>
              <w:rPr>
                <w:rFonts w:ascii="Arial"/>
                <w:sz w:val="22"/>
              </w:rPr>
              <w:t>99,987,332</w:t>
            </w:r>
          </w:p>
        </w:tc>
        <w:tc>
          <w:tcPr>
            <w:tcW w:w="143" w:type="dxa"/>
            <w:tcBorders>
              <w:top w:val="nil" w:sz="6" w:space="0" w:color="auto"/>
              <w:left w:val="nil" w:sz="6" w:space="0" w:color="auto"/>
              <w:bottom w:val="nil" w:sz="6" w:space="0" w:color="auto"/>
              <w:right w:val="nil" w:sz="6" w:space="0" w:color="auto"/>
            </w:tcBorders>
          </w:tcPr>
          <w:p>
            <w:pPr/>
          </w:p>
        </w:tc>
        <w:tc>
          <w:tcPr>
            <w:tcW w:w="2254" w:type="dxa"/>
            <w:tcBorders>
              <w:top w:val="single" w:sz="17" w:space="0" w:color="000000"/>
              <w:left w:val="nil" w:sz="6" w:space="0" w:color="auto"/>
              <w:bottom w:val="single" w:sz="17" w:space="0" w:color="000000"/>
              <w:right w:val="nil" w:sz="6" w:space="0" w:color="auto"/>
            </w:tcBorders>
          </w:tcPr>
          <w:p>
            <w:pPr>
              <w:pStyle w:val="TableParagraph"/>
              <w:spacing w:line="240" w:lineRule="auto" w:before="99"/>
              <w:ind w:right="128"/>
              <w:jc w:val="right"/>
              <w:rPr>
                <w:rFonts w:ascii="Arial" w:hAnsi="Arial" w:cs="Arial" w:eastAsia="Arial" w:hint="default"/>
                <w:sz w:val="22"/>
                <w:szCs w:val="22"/>
              </w:rPr>
            </w:pPr>
            <w:r>
              <w:rPr>
                <w:rFonts w:ascii="Arial"/>
                <w:spacing w:val="-1"/>
                <w:sz w:val="22"/>
              </w:rPr>
              <w:t>4,178,392,842</w:t>
            </w:r>
          </w:p>
        </w:tc>
      </w:tr>
    </w:tbl>
    <w:p>
      <w:pPr>
        <w:spacing w:after="0" w:line="240" w:lineRule="auto"/>
        <w:jc w:val="right"/>
        <w:rPr>
          <w:rFonts w:ascii="Arial" w:hAnsi="Arial" w:cs="Arial" w:eastAsia="Arial" w:hint="default"/>
          <w:sz w:val="22"/>
          <w:szCs w:val="22"/>
        </w:rPr>
        <w:sectPr>
          <w:headerReference w:type="default" r:id="rId138"/>
          <w:footerReference w:type="default" r:id="rId139"/>
          <w:pgSz w:w="11910" w:h="16840"/>
          <w:pgMar w:header="1330" w:footer="1042" w:top="2680" w:bottom="1240" w:left="1240" w:right="900"/>
          <w:pgNumType w:start="157"/>
        </w:sectPr>
      </w:pPr>
    </w:p>
    <w:p>
      <w:pPr>
        <w:spacing w:line="240" w:lineRule="auto" w:before="2"/>
        <w:rPr>
          <w:rFonts w:ascii="宋体" w:hAnsi="宋体" w:cs="宋体" w:eastAsia="宋体" w:hint="default"/>
          <w:sz w:val="19"/>
          <w:szCs w:val="19"/>
        </w:rPr>
      </w:pPr>
    </w:p>
    <w:p>
      <w:pPr>
        <w:pStyle w:val="BodyText"/>
        <w:tabs>
          <w:tab w:pos="589" w:val="left" w:leader="none"/>
        </w:tabs>
        <w:spacing w:line="240" w:lineRule="auto" w:before="31"/>
        <w:ind w:left="114" w:right="3260"/>
        <w:jc w:val="left"/>
        <w:rPr>
          <w:rFonts w:ascii="黑体" w:hAnsi="黑体" w:cs="黑体" w:eastAsia="黑体" w:hint="default"/>
        </w:rPr>
      </w:pPr>
      <w:r>
        <w:rPr>
          <w:rFonts w:ascii="黑体" w:hAnsi="黑体" w:cs="黑体" w:eastAsia="黑体" w:hint="default"/>
          <w:w w:val="95"/>
        </w:rPr>
        <w:t>八</w:t>
        <w:tab/>
      </w:r>
      <w:r>
        <w:rPr>
          <w:rFonts w:ascii="黑体" w:hAnsi="黑体" w:cs="黑体" w:eastAsia="黑体" w:hint="default"/>
        </w:rPr>
        <w:t>与境内主要电信运营商的交易（续）</w:t>
      </w:r>
    </w:p>
    <w:p>
      <w:pPr>
        <w:pStyle w:val="BodyText"/>
        <w:spacing w:line="240" w:lineRule="auto" w:before="157"/>
        <w:ind w:left="142" w:right="3260"/>
        <w:jc w:val="left"/>
        <w:rPr>
          <w:rFonts w:ascii="黑体" w:hAnsi="黑体" w:cs="黑体" w:eastAsia="黑体" w:hint="default"/>
        </w:rPr>
      </w:pPr>
      <w:r>
        <w:rPr>
          <w:rFonts w:ascii="Arial" w:hAnsi="Arial" w:cs="Arial" w:eastAsia="Arial" w:hint="default"/>
        </w:rPr>
        <w:t>2</w:t>
      </w:r>
      <w:r>
        <w:rPr>
          <w:rFonts w:ascii="黑体" w:hAnsi="黑体" w:cs="黑体" w:eastAsia="黑体" w:hint="default"/>
        </w:rPr>
        <w:t>、</w:t>
      </w:r>
      <w:r>
        <w:rPr>
          <w:rFonts w:ascii="黑体" w:hAnsi="黑体" w:cs="黑体" w:eastAsia="黑体" w:hint="default"/>
          <w:spacing w:val="-20"/>
        </w:rPr>
        <w:t> </w:t>
      </w:r>
      <w:r>
        <w:rPr>
          <w:rFonts w:ascii="黑体" w:hAnsi="黑体" w:cs="黑体" w:eastAsia="黑体" w:hint="default"/>
        </w:rPr>
        <w:t>应收、应付境内主要电信运营商款（续）</w:t>
      </w:r>
    </w:p>
    <w:p>
      <w:pPr>
        <w:pStyle w:val="BodyText"/>
        <w:spacing w:line="240" w:lineRule="auto" w:before="141"/>
        <w:ind w:left="576" w:right="0"/>
        <w:jc w:val="both"/>
      </w:pPr>
      <w:r>
        <w:rPr/>
        <w:t>应收、应付境内主要电信运营商款均无担保，不计息并即期偿付。</w:t>
      </w:r>
    </w:p>
    <w:p>
      <w:pPr>
        <w:pStyle w:val="BodyText"/>
        <w:spacing w:line="295" w:lineRule="exact" w:before="177"/>
        <w:ind w:left="576" w:right="0"/>
        <w:jc w:val="both"/>
      </w:pPr>
      <w:r>
        <w:rPr>
          <w:spacing w:val="-7"/>
        </w:rPr>
        <w:t>注：于</w:t>
      </w:r>
      <w:r>
        <w:rPr>
          <w:spacing w:val="-58"/>
        </w:rPr>
        <w:t> </w:t>
      </w:r>
      <w:r>
        <w:rPr>
          <w:rFonts w:ascii="Arial" w:hAnsi="Arial" w:cs="Arial" w:eastAsia="Arial" w:hint="default"/>
        </w:rPr>
        <w:t>2009</w:t>
      </w:r>
      <w:r>
        <w:rPr>
          <w:rFonts w:ascii="Arial" w:hAnsi="Arial" w:cs="Arial" w:eastAsia="Arial" w:hint="default"/>
          <w:spacing w:val="-9"/>
        </w:rPr>
        <w:t> </w:t>
      </w:r>
      <w:r>
        <w:rPr/>
        <w:t>年</w:t>
      </w:r>
      <w:r>
        <w:rPr>
          <w:spacing w:val="-58"/>
        </w:rPr>
        <w:t> </w:t>
      </w:r>
      <w:r>
        <w:rPr>
          <w:rFonts w:ascii="Arial" w:hAnsi="Arial" w:cs="Arial" w:eastAsia="Arial" w:hint="default"/>
        </w:rPr>
        <w:t>12</w:t>
      </w:r>
      <w:r>
        <w:rPr>
          <w:rFonts w:ascii="Arial" w:hAnsi="Arial" w:cs="Arial" w:eastAsia="Arial" w:hint="default"/>
          <w:spacing w:val="-9"/>
        </w:rPr>
        <w:t> </w:t>
      </w:r>
      <w:r>
        <w:rPr/>
        <w:t>月</w:t>
      </w:r>
      <w:r>
        <w:rPr>
          <w:spacing w:val="-58"/>
        </w:rPr>
        <w:t> </w:t>
      </w:r>
      <w:r>
        <w:rPr>
          <w:rFonts w:ascii="Arial" w:hAnsi="Arial" w:cs="Arial" w:eastAsia="Arial" w:hint="default"/>
        </w:rPr>
        <w:t>31</w:t>
      </w:r>
      <w:r>
        <w:rPr>
          <w:rFonts w:ascii="Arial" w:hAnsi="Arial" w:cs="Arial" w:eastAsia="Arial" w:hint="default"/>
          <w:spacing w:val="-9"/>
        </w:rPr>
        <w:t> </w:t>
      </w:r>
      <w:r>
        <w:rPr/>
        <w:t>日，上述其他应收款中包括本集团应收中国电信出售</w:t>
      </w:r>
      <w:r>
        <w:rPr>
          <w:spacing w:val="-56"/>
        </w:rPr>
        <w:t> </w:t>
      </w:r>
      <w:r>
        <w:rPr>
          <w:rFonts w:ascii="Arial" w:hAnsi="Arial" w:cs="Arial" w:eastAsia="Arial" w:hint="default"/>
        </w:rPr>
        <w:t>CDMA</w:t>
      </w:r>
      <w:r>
        <w:rPr>
          <w:rFonts w:ascii="Arial" w:hAnsi="Arial" w:cs="Arial" w:eastAsia="Arial" w:hint="default"/>
          <w:spacing w:val="-8"/>
        </w:rPr>
        <w:t> </w:t>
      </w:r>
      <w:r>
        <w:rPr/>
        <w:t>业务款尚</w:t>
      </w:r>
    </w:p>
    <w:p>
      <w:pPr>
        <w:pStyle w:val="BodyText"/>
        <w:spacing w:line="295" w:lineRule="exact"/>
        <w:ind w:left="1009" w:right="125"/>
        <w:jc w:val="left"/>
      </w:pPr>
      <w:r>
        <w:rPr/>
        <w:t>未结算的款项约人民币</w:t>
      </w:r>
      <w:r>
        <w:rPr>
          <w:spacing w:val="-56"/>
        </w:rPr>
        <w:t> </w:t>
      </w:r>
      <w:r>
        <w:rPr>
          <w:rFonts w:ascii="Arial" w:hAnsi="Arial" w:cs="Arial" w:eastAsia="Arial" w:hint="default"/>
        </w:rPr>
        <w:t>51.21</w:t>
      </w:r>
      <w:r>
        <w:rPr>
          <w:rFonts w:ascii="Arial" w:hAnsi="Arial" w:cs="Arial" w:eastAsia="Arial" w:hint="default"/>
          <w:spacing w:val="-8"/>
        </w:rPr>
        <w:t> </w:t>
      </w:r>
      <w:r>
        <w:rPr/>
        <w:t>亿元，上述应收款项已于</w:t>
      </w:r>
      <w:r>
        <w:rPr>
          <w:spacing w:val="-57"/>
        </w:rPr>
        <w:t> </w:t>
      </w:r>
      <w:r>
        <w:rPr>
          <w:rFonts w:ascii="Arial" w:hAnsi="Arial" w:cs="Arial" w:eastAsia="Arial" w:hint="default"/>
        </w:rPr>
        <w:t>2010</w:t>
      </w:r>
      <w:r>
        <w:rPr>
          <w:rFonts w:ascii="Arial" w:hAnsi="Arial" w:cs="Arial" w:eastAsia="Arial" w:hint="default"/>
          <w:spacing w:val="-8"/>
        </w:rPr>
        <w:t> </w:t>
      </w:r>
      <w:r>
        <w:rPr/>
        <w:t>年</w:t>
      </w:r>
      <w:r>
        <w:rPr>
          <w:spacing w:val="-57"/>
        </w:rPr>
        <w:t> </w:t>
      </w:r>
      <w:r>
        <w:rPr>
          <w:rFonts w:ascii="Arial" w:hAnsi="Arial" w:cs="Arial" w:eastAsia="Arial" w:hint="default"/>
        </w:rPr>
        <w:t>1</w:t>
      </w:r>
      <w:r>
        <w:rPr>
          <w:rFonts w:ascii="Arial" w:hAnsi="Arial" w:cs="Arial" w:eastAsia="Arial" w:hint="default"/>
          <w:spacing w:val="-8"/>
        </w:rPr>
        <w:t> </w:t>
      </w:r>
      <w:r>
        <w:rPr/>
        <w:t>月收回。</w:t>
      </w:r>
    </w:p>
    <w:p>
      <w:pPr>
        <w:spacing w:line="240" w:lineRule="auto" w:before="13"/>
        <w:rPr>
          <w:rFonts w:ascii="宋体" w:hAnsi="宋体" w:cs="宋体" w:eastAsia="宋体" w:hint="default"/>
          <w:sz w:val="17"/>
          <w:szCs w:val="17"/>
        </w:rPr>
      </w:pPr>
    </w:p>
    <w:p>
      <w:pPr>
        <w:pStyle w:val="BodyText"/>
        <w:tabs>
          <w:tab w:pos="562" w:val="left" w:leader="none"/>
        </w:tabs>
        <w:spacing w:line="240" w:lineRule="auto"/>
        <w:ind w:left="142" w:right="3260"/>
        <w:jc w:val="left"/>
        <w:rPr>
          <w:rFonts w:ascii="黑体" w:hAnsi="黑体" w:cs="黑体" w:eastAsia="黑体" w:hint="default"/>
        </w:rPr>
      </w:pPr>
      <w:r>
        <w:rPr>
          <w:rFonts w:ascii="黑体" w:hAnsi="黑体" w:cs="黑体" w:eastAsia="黑体" w:hint="default"/>
          <w:w w:val="95"/>
        </w:rPr>
        <w:t>九</w:t>
        <w:tab/>
      </w:r>
      <w:r>
        <w:rPr>
          <w:rFonts w:ascii="黑体" w:hAnsi="黑体" w:cs="黑体" w:eastAsia="黑体" w:hint="default"/>
        </w:rPr>
        <w:t>或有事项</w:t>
      </w:r>
    </w:p>
    <w:p>
      <w:pPr>
        <w:spacing w:line="240" w:lineRule="auto" w:before="9"/>
        <w:rPr>
          <w:rFonts w:ascii="黑体" w:hAnsi="黑体" w:cs="黑体" w:eastAsia="黑体" w:hint="default"/>
          <w:sz w:val="19"/>
          <w:szCs w:val="19"/>
        </w:rPr>
      </w:pPr>
    </w:p>
    <w:p>
      <w:pPr>
        <w:pStyle w:val="BodyText"/>
        <w:spacing w:line="232" w:lineRule="auto"/>
        <w:ind w:left="576" w:right="128"/>
        <w:jc w:val="both"/>
      </w:pPr>
      <w:r>
        <w:rPr>
          <w:spacing w:val="-2"/>
        </w:rPr>
        <w:t>本集团的资费标准受有关政府机构监管，包括发改委、工信部和有关省级物价管理局。于</w:t>
      </w:r>
      <w:r>
        <w:rPr>
          <w:spacing w:val="-49"/>
        </w:rPr>
        <w:t> </w:t>
      </w:r>
      <w:r>
        <w:rPr>
          <w:rFonts w:ascii="Arial" w:hAnsi="Arial" w:cs="Arial" w:eastAsia="Arial" w:hint="default"/>
        </w:rPr>
        <w:t>2008</w:t>
      </w:r>
      <w:r>
        <w:rPr>
          <w:rFonts w:ascii="Arial" w:hAnsi="Arial" w:cs="Arial" w:eastAsia="Arial" w:hint="default"/>
          <w:w w:val="99"/>
        </w:rPr>
        <w:t> </w:t>
      </w:r>
      <w:r>
        <w:rPr/>
        <w:t>年度，发改委对本集团所属联通运营公司（含网通运营公司）进行了电信资费检查。按管理层</w:t>
      </w:r>
      <w:r>
        <w:rPr>
          <w:spacing w:val="-86"/>
        </w:rPr>
        <w:t> </w:t>
      </w:r>
      <w:r>
        <w:rPr/>
        <w:t>的评估及与工信部和发改委的持续沟通，管理层认为本集团遵守相关政府机构制定的政策，因</w:t>
      </w:r>
      <w:r>
        <w:rPr>
          <w:spacing w:val="-86"/>
        </w:rPr>
        <w:t> </w:t>
      </w:r>
      <w:r>
        <w:rPr/>
        <w:t>本次调查导致本集团现金流出的机会不大。于</w:t>
      </w:r>
      <w:r>
        <w:rPr>
          <w:spacing w:val="-50"/>
        </w:rPr>
        <w:t> </w:t>
      </w:r>
      <w:r>
        <w:rPr>
          <w:rFonts w:ascii="Arial" w:hAnsi="Arial" w:cs="Arial" w:eastAsia="Arial" w:hint="default"/>
        </w:rPr>
        <w:t>2009</w:t>
      </w:r>
      <w:r>
        <w:rPr>
          <w:rFonts w:ascii="Arial" w:hAnsi="Arial" w:cs="Arial" w:eastAsia="Arial" w:hint="default"/>
          <w:spacing w:val="-2"/>
        </w:rPr>
        <w:t> </w:t>
      </w:r>
      <w:r>
        <w:rPr/>
        <w:t>年</w:t>
      </w:r>
      <w:r>
        <w:rPr>
          <w:spacing w:val="-52"/>
        </w:rPr>
        <w:t> </w:t>
      </w:r>
      <w:r>
        <w:rPr>
          <w:rFonts w:ascii="Arial" w:hAnsi="Arial" w:cs="Arial" w:eastAsia="Arial" w:hint="default"/>
        </w:rPr>
        <w:t>12</w:t>
      </w:r>
      <w:r>
        <w:rPr>
          <w:rFonts w:ascii="Arial" w:hAnsi="Arial" w:cs="Arial" w:eastAsia="Arial" w:hint="default"/>
          <w:spacing w:val="-2"/>
        </w:rPr>
        <w:t> </w:t>
      </w:r>
      <w:r>
        <w:rPr/>
        <w:t>月</w:t>
      </w:r>
      <w:r>
        <w:rPr>
          <w:spacing w:val="-52"/>
        </w:rPr>
        <w:t> </w:t>
      </w:r>
      <w:r>
        <w:rPr>
          <w:rFonts w:ascii="Arial" w:hAnsi="Arial" w:cs="Arial" w:eastAsia="Arial" w:hint="default"/>
        </w:rPr>
        <w:t>31</w:t>
      </w:r>
      <w:r>
        <w:rPr>
          <w:rFonts w:ascii="Arial" w:hAnsi="Arial" w:cs="Arial" w:eastAsia="Arial" w:hint="default"/>
          <w:spacing w:val="-2"/>
        </w:rPr>
        <w:t> </w:t>
      </w:r>
      <w:r>
        <w:rPr/>
        <w:t>日及</w:t>
      </w:r>
      <w:r>
        <w:rPr>
          <w:spacing w:val="-52"/>
        </w:rPr>
        <w:t> </w:t>
      </w:r>
      <w:r>
        <w:rPr>
          <w:rFonts w:ascii="Arial" w:hAnsi="Arial" w:cs="Arial" w:eastAsia="Arial" w:hint="default"/>
        </w:rPr>
        <w:t>2008</w:t>
      </w:r>
      <w:r>
        <w:rPr>
          <w:rFonts w:ascii="Arial" w:hAnsi="Arial" w:cs="Arial" w:eastAsia="Arial" w:hint="default"/>
          <w:spacing w:val="-2"/>
        </w:rPr>
        <w:t> </w:t>
      </w:r>
      <w:r>
        <w:rPr/>
        <w:t>年</w:t>
      </w:r>
      <w:r>
        <w:rPr>
          <w:spacing w:val="-52"/>
        </w:rPr>
        <w:t> </w:t>
      </w:r>
      <w:r>
        <w:rPr>
          <w:rFonts w:ascii="Arial" w:hAnsi="Arial" w:cs="Arial" w:eastAsia="Arial" w:hint="default"/>
        </w:rPr>
        <w:t>12</w:t>
      </w:r>
      <w:r>
        <w:rPr>
          <w:rFonts w:ascii="Arial" w:hAnsi="Arial" w:cs="Arial" w:eastAsia="Arial" w:hint="default"/>
          <w:spacing w:val="-2"/>
        </w:rPr>
        <w:t> </w:t>
      </w:r>
      <w:r>
        <w:rPr/>
        <w:t>月</w:t>
      </w:r>
      <w:r>
        <w:rPr>
          <w:spacing w:val="-52"/>
        </w:rPr>
        <w:t> </w:t>
      </w:r>
      <w:r>
        <w:rPr>
          <w:rFonts w:ascii="Arial" w:hAnsi="Arial" w:cs="Arial" w:eastAsia="Arial" w:hint="default"/>
        </w:rPr>
        <w:t>31</w:t>
      </w:r>
      <w:r>
        <w:rPr>
          <w:rFonts w:ascii="Arial" w:hAnsi="Arial" w:cs="Arial" w:eastAsia="Arial" w:hint="default"/>
          <w:spacing w:val="-2"/>
        </w:rPr>
        <w:t> </w:t>
      </w:r>
      <w:r>
        <w:rPr/>
        <w:t>日，本</w:t>
      </w:r>
      <w:r>
        <w:rPr>
          <w:w w:val="99"/>
        </w:rPr>
        <w:t> </w:t>
      </w:r>
      <w:r>
        <w:rPr/>
        <w:t>集团并未计提相关或有负债。</w:t>
      </w:r>
    </w:p>
    <w:p>
      <w:pPr>
        <w:spacing w:line="240" w:lineRule="auto" w:before="3"/>
        <w:rPr>
          <w:rFonts w:ascii="宋体" w:hAnsi="宋体" w:cs="宋体" w:eastAsia="宋体" w:hint="default"/>
          <w:sz w:val="19"/>
          <w:szCs w:val="19"/>
        </w:rPr>
      </w:pPr>
    </w:p>
    <w:p>
      <w:pPr>
        <w:pStyle w:val="BodyText"/>
        <w:tabs>
          <w:tab w:pos="561" w:val="left" w:leader="none"/>
        </w:tabs>
        <w:spacing w:line="240" w:lineRule="auto"/>
        <w:ind w:left="141" w:right="3260"/>
        <w:jc w:val="left"/>
        <w:rPr>
          <w:rFonts w:ascii="黑体" w:hAnsi="黑体" w:cs="黑体" w:eastAsia="黑体" w:hint="default"/>
        </w:rPr>
      </w:pPr>
      <w:r>
        <w:rPr>
          <w:rFonts w:ascii="黑体" w:hAnsi="黑体" w:cs="黑体" w:eastAsia="黑体" w:hint="default"/>
          <w:w w:val="95"/>
        </w:rPr>
        <w:t>十</w:t>
        <w:tab/>
      </w:r>
      <w:r>
        <w:rPr>
          <w:rFonts w:ascii="黑体" w:hAnsi="黑体" w:cs="黑体" w:eastAsia="黑体" w:hint="default"/>
        </w:rPr>
        <w:t>承诺事项</w:t>
      </w:r>
    </w:p>
    <w:p>
      <w:pPr>
        <w:spacing w:line="240" w:lineRule="auto" w:before="1"/>
        <w:rPr>
          <w:rFonts w:ascii="黑体" w:hAnsi="黑体" w:cs="黑体" w:eastAsia="黑体" w:hint="default"/>
          <w:sz w:val="19"/>
          <w:szCs w:val="19"/>
        </w:rPr>
      </w:pPr>
    </w:p>
    <w:p>
      <w:pPr>
        <w:pStyle w:val="BodyText"/>
        <w:spacing w:line="240" w:lineRule="auto"/>
        <w:ind w:left="141" w:right="3260"/>
        <w:jc w:val="left"/>
      </w:pPr>
      <w:r>
        <w:rPr>
          <w:rFonts w:ascii="Arial" w:hAnsi="Arial" w:cs="Arial" w:eastAsia="Arial" w:hint="default"/>
        </w:rPr>
        <w:t>1</w:t>
      </w:r>
      <w:r>
        <w:rPr/>
        <w:t>、</w:t>
      </w:r>
      <w:r>
        <w:rPr>
          <w:spacing w:val="-36"/>
        </w:rPr>
        <w:t> </w:t>
      </w:r>
      <w:r>
        <w:rPr/>
        <w:t>资本性支出承诺事项</w:t>
      </w:r>
    </w:p>
    <w:p>
      <w:pPr>
        <w:spacing w:line="240" w:lineRule="auto" w:before="2"/>
        <w:rPr>
          <w:rFonts w:ascii="宋体" w:hAnsi="宋体" w:cs="宋体" w:eastAsia="宋体" w:hint="default"/>
          <w:sz w:val="20"/>
          <w:szCs w:val="20"/>
        </w:rPr>
      </w:pPr>
    </w:p>
    <w:p>
      <w:pPr>
        <w:pStyle w:val="BodyText"/>
        <w:spacing w:line="286" w:lineRule="exact"/>
        <w:ind w:left="561" w:right="179"/>
        <w:jc w:val="both"/>
      </w:pPr>
      <w:r>
        <w:rPr/>
        <w:t>本集团的资本承诺主要为电信网络建设方面的资本支出。以下为本集团于资产负债表日，已签</w:t>
      </w:r>
      <w:r>
        <w:rPr>
          <w:w w:val="99"/>
        </w:rPr>
        <w:t> </w:t>
      </w:r>
      <w:r>
        <w:rPr/>
        <w:t>约而尚不必在资产负债表上列示的资本性支出承诺：</w:t>
      </w:r>
    </w:p>
    <w:p>
      <w:pPr>
        <w:spacing w:line="240" w:lineRule="auto" w:before="9"/>
        <w:rPr>
          <w:rFonts w:ascii="宋体" w:hAnsi="宋体" w:cs="宋体" w:eastAsia="宋体" w:hint="default"/>
          <w:sz w:val="14"/>
          <w:szCs w:val="14"/>
        </w:rPr>
      </w:pPr>
    </w:p>
    <w:tbl>
      <w:tblPr>
        <w:tblW w:w="0" w:type="auto"/>
        <w:jc w:val="left"/>
        <w:tblInd w:w="549" w:type="dxa"/>
        <w:tblLayout w:type="fixed"/>
        <w:tblCellMar>
          <w:top w:w="0" w:type="dxa"/>
          <w:left w:w="0" w:type="dxa"/>
          <w:bottom w:w="0" w:type="dxa"/>
          <w:right w:w="0" w:type="dxa"/>
        </w:tblCellMar>
        <w:tblLook w:val="01E0"/>
      </w:tblPr>
      <w:tblGrid>
        <w:gridCol w:w="3303"/>
        <w:gridCol w:w="2532"/>
        <w:gridCol w:w="438"/>
        <w:gridCol w:w="2698"/>
      </w:tblGrid>
      <w:tr>
        <w:trPr>
          <w:trHeight w:val="361" w:hRule="exact"/>
        </w:trPr>
        <w:tc>
          <w:tcPr>
            <w:tcW w:w="3303" w:type="dxa"/>
            <w:vMerge w:val="restart"/>
            <w:tcBorders>
              <w:top w:val="nil" w:sz="6" w:space="0" w:color="auto"/>
              <w:left w:val="nil" w:sz="6" w:space="0" w:color="auto"/>
              <w:right w:val="nil" w:sz="6" w:space="0" w:color="auto"/>
            </w:tcBorders>
          </w:tcPr>
          <w:p>
            <w:pPr/>
          </w:p>
        </w:tc>
        <w:tc>
          <w:tcPr>
            <w:tcW w:w="2532"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99"/>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438" w:type="dxa"/>
            <w:tcBorders>
              <w:top w:val="nil" w:sz="6" w:space="0" w:color="auto"/>
              <w:left w:val="nil" w:sz="6" w:space="0" w:color="auto"/>
              <w:bottom w:val="nil" w:sz="6" w:space="0" w:color="auto"/>
              <w:right w:val="nil" w:sz="6" w:space="0" w:color="auto"/>
            </w:tcBorders>
          </w:tcPr>
          <w:p>
            <w:pPr/>
          </w:p>
        </w:tc>
        <w:tc>
          <w:tcPr>
            <w:tcW w:w="2698"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134"/>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292" w:hRule="exact"/>
        </w:trPr>
        <w:tc>
          <w:tcPr>
            <w:tcW w:w="3303" w:type="dxa"/>
            <w:vMerge/>
            <w:tcBorders>
              <w:left w:val="nil" w:sz="6" w:space="0" w:color="auto"/>
              <w:bottom w:val="nil" w:sz="6" w:space="0" w:color="auto"/>
              <w:right w:val="nil" w:sz="6" w:space="0" w:color="auto"/>
            </w:tcBorders>
          </w:tcPr>
          <w:p>
            <w:pPr/>
          </w:p>
        </w:tc>
        <w:tc>
          <w:tcPr>
            <w:tcW w:w="2532" w:type="dxa"/>
            <w:tcBorders>
              <w:top w:val="single" w:sz="6" w:space="0" w:color="000000"/>
              <w:left w:val="nil" w:sz="6" w:space="0" w:color="auto"/>
              <w:bottom w:val="nil" w:sz="6" w:space="0" w:color="auto"/>
              <w:right w:val="nil" w:sz="6" w:space="0" w:color="auto"/>
            </w:tcBorders>
          </w:tcPr>
          <w:p>
            <w:pPr/>
          </w:p>
        </w:tc>
        <w:tc>
          <w:tcPr>
            <w:tcW w:w="438" w:type="dxa"/>
            <w:tcBorders>
              <w:top w:val="nil" w:sz="6" w:space="0" w:color="auto"/>
              <w:left w:val="nil" w:sz="6" w:space="0" w:color="auto"/>
              <w:bottom w:val="nil" w:sz="6" w:space="0" w:color="auto"/>
              <w:right w:val="nil" w:sz="6" w:space="0" w:color="auto"/>
            </w:tcBorders>
          </w:tcPr>
          <w:p>
            <w:pPr/>
          </w:p>
        </w:tc>
        <w:tc>
          <w:tcPr>
            <w:tcW w:w="2698" w:type="dxa"/>
            <w:tcBorders>
              <w:top w:val="single" w:sz="6" w:space="0" w:color="000000"/>
              <w:left w:val="nil" w:sz="6" w:space="0" w:color="auto"/>
              <w:bottom w:val="nil" w:sz="6" w:space="0" w:color="auto"/>
              <w:right w:val="nil" w:sz="6" w:space="0" w:color="auto"/>
            </w:tcBorders>
          </w:tcPr>
          <w:p>
            <w:pPr>
              <w:pStyle w:val="TableParagraph"/>
              <w:spacing w:line="253" w:lineRule="exact"/>
              <w:ind w:right="137"/>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3303" w:type="dxa"/>
            <w:tcBorders>
              <w:top w:val="nil" w:sz="6" w:space="0" w:color="auto"/>
              <w:left w:val="nil" w:sz="6" w:space="0" w:color="auto"/>
              <w:bottom w:val="nil" w:sz="6" w:space="0" w:color="auto"/>
              <w:right w:val="nil" w:sz="6" w:space="0" w:color="auto"/>
            </w:tcBorders>
          </w:tcPr>
          <w:p>
            <w:pPr>
              <w:pStyle w:val="TableParagraph"/>
              <w:spacing w:line="252" w:lineRule="exact"/>
              <w:ind w:left="35" w:right="0"/>
              <w:jc w:val="left"/>
              <w:rPr>
                <w:rFonts w:ascii="宋体" w:hAnsi="宋体" w:cs="宋体" w:eastAsia="宋体" w:hint="default"/>
                <w:sz w:val="22"/>
                <w:szCs w:val="22"/>
              </w:rPr>
            </w:pPr>
            <w:r>
              <w:rPr>
                <w:rFonts w:ascii="宋体" w:hAnsi="宋体" w:cs="宋体" w:eastAsia="宋体" w:hint="default"/>
                <w:sz w:val="22"/>
                <w:szCs w:val="22"/>
              </w:rPr>
              <w:t>房屋、建筑物及机器设备</w:t>
            </w:r>
          </w:p>
        </w:tc>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21"/>
              <w:jc w:val="right"/>
              <w:rPr>
                <w:rFonts w:ascii="Arial" w:hAnsi="Arial" w:cs="Arial" w:eastAsia="Arial" w:hint="default"/>
                <w:sz w:val="22"/>
                <w:szCs w:val="22"/>
              </w:rPr>
            </w:pPr>
            <w:r>
              <w:rPr>
                <w:rFonts w:ascii="Arial"/>
                <w:spacing w:val="-1"/>
                <w:sz w:val="22"/>
              </w:rPr>
              <w:t>8,752,217,343</w:t>
            </w:r>
          </w:p>
        </w:tc>
        <w:tc>
          <w:tcPr>
            <w:tcW w:w="438" w:type="dxa"/>
            <w:tcBorders>
              <w:top w:val="nil" w:sz="6" w:space="0" w:color="auto"/>
              <w:left w:val="nil" w:sz="6" w:space="0" w:color="auto"/>
              <w:bottom w:val="nil" w:sz="6" w:space="0" w:color="auto"/>
              <w:right w:val="nil" w:sz="6" w:space="0" w:color="auto"/>
            </w:tcBorders>
          </w:tcPr>
          <w:p>
            <w:pPr/>
          </w:p>
        </w:tc>
        <w:tc>
          <w:tcPr>
            <w:tcW w:w="2698"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122"/>
              <w:jc w:val="right"/>
              <w:rPr>
                <w:rFonts w:ascii="Arial" w:hAnsi="Arial" w:cs="Arial" w:eastAsia="Arial" w:hint="default"/>
                <w:sz w:val="22"/>
                <w:szCs w:val="22"/>
              </w:rPr>
            </w:pPr>
            <w:r>
              <w:rPr>
                <w:rFonts w:ascii="Arial"/>
                <w:spacing w:val="-1"/>
                <w:sz w:val="22"/>
              </w:rPr>
              <w:t>5,972,893,623</w:t>
            </w:r>
          </w:p>
        </w:tc>
      </w:tr>
      <w:tr>
        <w:trPr>
          <w:trHeight w:val="366" w:hRule="exact"/>
        </w:trPr>
        <w:tc>
          <w:tcPr>
            <w:tcW w:w="3303"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无形资产</w:t>
            </w:r>
          </w:p>
        </w:tc>
        <w:tc>
          <w:tcPr>
            <w:tcW w:w="2532" w:type="dxa"/>
            <w:tcBorders>
              <w:top w:val="nil" w:sz="6" w:space="0" w:color="auto"/>
              <w:left w:val="nil" w:sz="6" w:space="0" w:color="auto"/>
              <w:bottom w:val="nil" w:sz="6" w:space="0" w:color="auto"/>
              <w:right w:val="nil" w:sz="6" w:space="0" w:color="auto"/>
            </w:tcBorders>
          </w:tcPr>
          <w:p>
            <w:pPr>
              <w:pStyle w:val="TableParagraph"/>
              <w:tabs>
                <w:tab w:pos="1306" w:val="left" w:leader="none"/>
                <w:tab w:pos="2531" w:val="left" w:leader="none"/>
              </w:tabs>
              <w:spacing w:line="240" w:lineRule="auto" w:before="17"/>
              <w:ind w:right="0"/>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57,849,455</w:t>
            </w:r>
            <w:r>
              <w:rPr>
                <w:rFonts w:ascii="Arial"/>
                <w:sz w:val="22"/>
                <w:u w:val="single" w:color="000000"/>
              </w:rPr>
              <w:tab/>
            </w:r>
            <w:r>
              <w:rPr>
                <w:rFonts w:ascii="Arial"/>
                <w:sz w:val="22"/>
              </w:rPr>
            </w:r>
          </w:p>
        </w:tc>
        <w:tc>
          <w:tcPr>
            <w:tcW w:w="438" w:type="dxa"/>
            <w:tcBorders>
              <w:top w:val="nil" w:sz="6" w:space="0" w:color="auto"/>
              <w:left w:val="nil" w:sz="6" w:space="0" w:color="auto"/>
              <w:bottom w:val="nil" w:sz="6" w:space="0" w:color="auto"/>
              <w:right w:val="nil" w:sz="6" w:space="0" w:color="auto"/>
            </w:tcBorders>
          </w:tcPr>
          <w:p>
            <w:pPr/>
          </w:p>
        </w:tc>
        <w:tc>
          <w:tcPr>
            <w:tcW w:w="2698" w:type="dxa"/>
            <w:tcBorders>
              <w:top w:val="nil" w:sz="6" w:space="0" w:color="auto"/>
              <w:left w:val="nil" w:sz="6" w:space="0" w:color="auto"/>
              <w:bottom w:val="nil" w:sz="6" w:space="0" w:color="auto"/>
              <w:right w:val="nil" w:sz="6" w:space="0" w:color="auto"/>
            </w:tcBorders>
          </w:tcPr>
          <w:p>
            <w:pPr>
              <w:pStyle w:val="TableParagraph"/>
              <w:tabs>
                <w:tab w:pos="1351" w:val="left" w:leader="none"/>
                <w:tab w:pos="2662" w:val="left" w:leader="none"/>
              </w:tabs>
              <w:spacing w:line="240" w:lineRule="auto" w:before="17"/>
              <w:ind w:right="33"/>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175,726,272</w:t>
            </w:r>
            <w:r>
              <w:rPr>
                <w:rFonts w:ascii="Arial"/>
                <w:sz w:val="22"/>
                <w:u w:val="single" w:color="000000"/>
              </w:rPr>
              <w:tab/>
            </w:r>
            <w:r>
              <w:rPr>
                <w:rFonts w:ascii="Arial"/>
                <w:sz w:val="22"/>
              </w:rPr>
            </w:r>
          </w:p>
        </w:tc>
      </w:tr>
    </w:tbl>
    <w:p>
      <w:pPr>
        <w:spacing w:line="240" w:lineRule="auto" w:before="3"/>
        <w:rPr>
          <w:rFonts w:ascii="宋体" w:hAnsi="宋体" w:cs="宋体" w:eastAsia="宋体" w:hint="default"/>
          <w:sz w:val="8"/>
          <w:szCs w:val="8"/>
        </w:rPr>
      </w:pPr>
    </w:p>
    <w:p>
      <w:pPr>
        <w:pStyle w:val="BodyText"/>
        <w:tabs>
          <w:tab w:pos="4853" w:val="left" w:leader="none"/>
          <w:tab w:pos="7989" w:val="left" w:leader="none"/>
        </w:tabs>
        <w:spacing w:line="240" w:lineRule="auto" w:before="27"/>
        <w:ind w:left="584" w:right="125"/>
        <w:jc w:val="left"/>
        <w:rPr>
          <w:rFonts w:ascii="Arial" w:hAnsi="Arial" w:cs="Arial" w:eastAsia="Arial" w:hint="default"/>
        </w:rPr>
      </w:pPr>
      <w:r>
        <w:rPr>
          <w:w w:val="95"/>
          <w:position w:val="2"/>
        </w:rPr>
        <w:t>合计</w:t>
        <w:tab/>
      </w:r>
      <w:r>
        <w:rPr>
          <w:rFonts w:ascii="Arial" w:hAnsi="Arial" w:cs="Arial" w:eastAsia="Arial" w:hint="default"/>
          <w:spacing w:val="-1"/>
        </w:rPr>
        <w:t>8,810,066,798</w:t>
        <w:tab/>
        <w:t>6,148,619,895</w:t>
      </w:r>
    </w:p>
    <w:p>
      <w:pPr>
        <w:tabs>
          <w:tab w:pos="6807" w:val="left" w:leader="none"/>
        </w:tabs>
        <w:spacing w:line="43" w:lineRule="exact"/>
        <w:ind w:left="3837" w:right="0" w:firstLine="0"/>
        <w:rPr>
          <w:rFonts w:ascii="Arial" w:hAnsi="Arial" w:cs="Arial" w:eastAsia="Arial" w:hint="default"/>
          <w:sz w:val="4"/>
          <w:szCs w:val="4"/>
        </w:rPr>
      </w:pPr>
      <w:r>
        <w:rPr>
          <w:rFonts w:ascii="Arial"/>
          <w:position w:val="0"/>
          <w:sz w:val="4"/>
        </w:rPr>
        <w:pict>
          <v:group style="width:128.0500pt;height:2.2pt;mso-position-horizontal-relative:char;mso-position-vertical-relative:line" coordorigin="0,0" coordsize="2561,44">
            <v:group style="position:absolute;left:7;top:36;width:2547;height:2" coordorigin="7,36" coordsize="2547,2">
              <v:shape style="position:absolute;left:7;top:36;width:2547;height:2" coordorigin="7,36" coordsize="2547,0" path="m7,36l2554,36e" filled="false" stroked="true" strokeweight=".72pt" strokecolor="#000000">
                <v:path arrowok="t"/>
              </v:shape>
            </v:group>
            <v:group style="position:absolute;left:7;top:7;width:2547;height:2" coordorigin="7,7" coordsize="2547,2">
              <v:shape style="position:absolute;left:7;top:7;width:2547;height:2" coordorigin="7,7" coordsize="2547,0" path="m7,7l2554,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134.6pt;height:2.2pt;mso-position-horizontal-relative:char;mso-position-vertical-relative:line" coordorigin="0,0" coordsize="2692,44">
            <v:group style="position:absolute;left:7;top:36;width:2678;height:2" coordorigin="7,36" coordsize="2678,2">
              <v:shape style="position:absolute;left:7;top:36;width:2678;height:2" coordorigin="7,36" coordsize="2678,0" path="m7,36l2684,36e" filled="false" stroked="true" strokeweight=".72pt" strokecolor="#000000">
                <v:path arrowok="t"/>
              </v:shape>
            </v:group>
            <v:group style="position:absolute;left:7;top:7;width:2678;height:2" coordorigin="7,7" coordsize="2678,2">
              <v:shape style="position:absolute;left:7;top:7;width:2678;height:2" coordorigin="7,7" coordsize="2678,0" path="m7,7l2684,7e" filled="false" stroked="true" strokeweight=".72pt" strokecolor="#000000">
                <v:path arrowok="t"/>
              </v:shape>
            </v:group>
          </v:group>
        </w:pict>
      </w:r>
      <w:r>
        <w:rPr>
          <w:rFonts w:ascii="Arial"/>
          <w:position w:val="0"/>
          <w:sz w:val="4"/>
        </w:rPr>
      </w:r>
    </w:p>
    <w:p>
      <w:pPr>
        <w:spacing w:line="240" w:lineRule="auto" w:before="5"/>
        <w:rPr>
          <w:rFonts w:ascii="Arial" w:hAnsi="Arial" w:cs="Arial" w:eastAsia="Arial" w:hint="default"/>
          <w:sz w:val="16"/>
          <w:szCs w:val="16"/>
        </w:rPr>
      </w:pPr>
    </w:p>
    <w:p>
      <w:pPr>
        <w:pStyle w:val="BodyText"/>
        <w:spacing w:line="295" w:lineRule="exact" w:before="31"/>
        <w:ind w:left="562" w:right="0"/>
        <w:jc w:val="left"/>
        <w:rPr>
          <w:rFonts w:ascii="Arial" w:hAnsi="Arial" w:cs="Arial" w:eastAsia="Arial" w:hint="default"/>
        </w:rPr>
      </w:pPr>
      <w:r>
        <w:rPr/>
        <w:t>于</w:t>
      </w:r>
      <w:r>
        <w:rPr>
          <w:spacing w:val="-55"/>
        </w:rPr>
        <w:t> </w:t>
      </w:r>
      <w:r>
        <w:rPr>
          <w:rFonts w:ascii="Arial" w:hAnsi="Arial" w:cs="Arial" w:eastAsia="Arial" w:hint="default"/>
        </w:rPr>
        <w:t>2009</w:t>
      </w:r>
      <w:r>
        <w:rPr>
          <w:rFonts w:ascii="Arial" w:hAnsi="Arial" w:cs="Arial" w:eastAsia="Arial" w:hint="default"/>
          <w:spacing w:val="-6"/>
        </w:rPr>
        <w:t> </w:t>
      </w:r>
      <w:r>
        <w:rPr/>
        <w:t>年</w:t>
      </w:r>
      <w:r>
        <w:rPr>
          <w:spacing w:val="-55"/>
        </w:rPr>
        <w:t> </w:t>
      </w:r>
      <w:r>
        <w:rPr>
          <w:rFonts w:ascii="Arial" w:hAnsi="Arial" w:cs="Arial" w:eastAsia="Arial" w:hint="default"/>
        </w:rPr>
        <w:t>12</w:t>
      </w:r>
      <w:r>
        <w:rPr>
          <w:rFonts w:ascii="Arial" w:hAnsi="Arial" w:cs="Arial" w:eastAsia="Arial" w:hint="default"/>
          <w:spacing w:val="-6"/>
        </w:rPr>
        <w:t> </w:t>
      </w:r>
      <w:r>
        <w:rPr/>
        <w:t>月</w:t>
      </w:r>
      <w:r>
        <w:rPr>
          <w:spacing w:val="-55"/>
        </w:rPr>
        <w:t> </w:t>
      </w:r>
      <w:r>
        <w:rPr>
          <w:rFonts w:ascii="Arial" w:hAnsi="Arial" w:cs="Arial" w:eastAsia="Arial" w:hint="default"/>
        </w:rPr>
        <w:t>31</w:t>
      </w:r>
      <w:r>
        <w:rPr>
          <w:rFonts w:ascii="Arial" w:hAnsi="Arial" w:cs="Arial" w:eastAsia="Arial" w:hint="default"/>
          <w:spacing w:val="-6"/>
        </w:rPr>
        <w:t> </w:t>
      </w:r>
      <w:r>
        <w:rPr>
          <w:spacing w:val="-5"/>
        </w:rPr>
        <w:t>日，无以美元计价的资本承诺事项（</w:t>
      </w:r>
      <w:r>
        <w:rPr>
          <w:rFonts w:ascii="Arial" w:hAnsi="Arial" w:cs="Arial" w:eastAsia="Arial" w:hint="default"/>
          <w:spacing w:val="-5"/>
        </w:rPr>
        <w:t>2008</w:t>
      </w:r>
      <w:r>
        <w:rPr>
          <w:rFonts w:ascii="Arial" w:hAnsi="Arial" w:cs="Arial" w:eastAsia="Arial" w:hint="default"/>
          <w:spacing w:val="-6"/>
        </w:rPr>
        <w:t> </w:t>
      </w:r>
      <w:r>
        <w:rPr/>
        <w:t>年</w:t>
      </w:r>
      <w:r>
        <w:rPr>
          <w:spacing w:val="-55"/>
        </w:rPr>
        <w:t> </w:t>
      </w:r>
      <w:r>
        <w:rPr>
          <w:rFonts w:ascii="Arial" w:hAnsi="Arial" w:cs="Arial" w:eastAsia="Arial" w:hint="default"/>
        </w:rPr>
        <w:t>12</w:t>
      </w:r>
      <w:r>
        <w:rPr>
          <w:rFonts w:ascii="Arial" w:hAnsi="Arial" w:cs="Arial" w:eastAsia="Arial" w:hint="default"/>
          <w:spacing w:val="-6"/>
        </w:rPr>
        <w:t> </w:t>
      </w:r>
      <w:r>
        <w:rPr/>
        <w:t>月</w:t>
      </w:r>
      <w:r>
        <w:rPr>
          <w:spacing w:val="-55"/>
        </w:rPr>
        <w:t> </w:t>
      </w:r>
      <w:r>
        <w:rPr>
          <w:rFonts w:ascii="Arial" w:hAnsi="Arial" w:cs="Arial" w:eastAsia="Arial" w:hint="default"/>
        </w:rPr>
        <w:t>31</w:t>
      </w:r>
      <w:r>
        <w:rPr>
          <w:rFonts w:ascii="Arial" w:hAnsi="Arial" w:cs="Arial" w:eastAsia="Arial" w:hint="default"/>
          <w:spacing w:val="-6"/>
        </w:rPr>
        <w:t> </w:t>
      </w:r>
      <w:r>
        <w:rPr>
          <w:spacing w:val="-7"/>
        </w:rPr>
        <w:t>日：约为人民币</w:t>
      </w:r>
      <w:r>
        <w:rPr>
          <w:spacing w:val="-55"/>
        </w:rPr>
        <w:t> </w:t>
      </w:r>
      <w:r>
        <w:rPr>
          <w:rFonts w:ascii="Arial" w:hAnsi="Arial" w:cs="Arial" w:eastAsia="Arial" w:hint="default"/>
        </w:rPr>
        <w:t>1.59</w:t>
      </w:r>
    </w:p>
    <w:p>
      <w:pPr>
        <w:pStyle w:val="BodyText"/>
        <w:spacing w:line="279" w:lineRule="exact"/>
        <w:ind w:left="562" w:right="3260"/>
        <w:jc w:val="left"/>
      </w:pPr>
      <w:r>
        <w:rPr/>
        <w:t>亿元）。</w:t>
      </w:r>
    </w:p>
    <w:p>
      <w:pPr>
        <w:spacing w:line="240" w:lineRule="auto" w:before="1"/>
        <w:rPr>
          <w:rFonts w:ascii="宋体" w:hAnsi="宋体" w:cs="宋体" w:eastAsia="宋体" w:hint="default"/>
          <w:sz w:val="19"/>
          <w:szCs w:val="19"/>
        </w:rPr>
      </w:pPr>
    </w:p>
    <w:p>
      <w:pPr>
        <w:pStyle w:val="BodyText"/>
        <w:spacing w:line="424" w:lineRule="auto"/>
        <w:ind w:left="583" w:right="1241" w:hanging="442"/>
        <w:jc w:val="left"/>
      </w:pPr>
      <w:r>
        <w:rPr>
          <w:rFonts w:ascii="Arial" w:hAnsi="Arial" w:cs="Arial" w:eastAsia="Arial" w:hint="default"/>
        </w:rPr>
        <w:t>2</w:t>
      </w:r>
      <w:r>
        <w:rPr/>
        <w:t>、</w:t>
      </w:r>
      <w:r>
        <w:rPr>
          <w:spacing w:val="-33"/>
        </w:rPr>
        <w:t> </w:t>
      </w:r>
      <w:r>
        <w:rPr/>
        <w:t>经营租赁承诺事项</w:t>
      </w:r>
      <w:r>
        <w:rPr>
          <w:w w:val="99"/>
        </w:rPr>
        <w:t> </w:t>
      </w:r>
      <w:r>
        <w:rPr/>
        <w:t>根据已签订的不可撤销的经营性租赁合同，本集团未来最低应支付租金汇总如下：</w:t>
      </w:r>
    </w:p>
    <w:p>
      <w:pPr>
        <w:spacing w:line="240" w:lineRule="auto" w:before="10"/>
        <w:rPr>
          <w:rFonts w:ascii="宋体" w:hAnsi="宋体" w:cs="宋体" w:eastAsia="宋体" w:hint="default"/>
          <w:sz w:val="3"/>
          <w:szCs w:val="3"/>
        </w:rPr>
      </w:pPr>
    </w:p>
    <w:tbl>
      <w:tblPr>
        <w:tblW w:w="0" w:type="auto"/>
        <w:jc w:val="left"/>
        <w:tblInd w:w="549" w:type="dxa"/>
        <w:tblLayout w:type="fixed"/>
        <w:tblCellMar>
          <w:top w:w="0" w:type="dxa"/>
          <w:left w:w="0" w:type="dxa"/>
          <w:bottom w:w="0" w:type="dxa"/>
          <w:right w:w="0" w:type="dxa"/>
        </w:tblCellMar>
        <w:tblLook w:val="01E0"/>
      </w:tblPr>
      <w:tblGrid>
        <w:gridCol w:w="3301"/>
        <w:gridCol w:w="2532"/>
        <w:gridCol w:w="415"/>
        <w:gridCol w:w="2722"/>
      </w:tblGrid>
      <w:tr>
        <w:trPr>
          <w:trHeight w:val="360" w:hRule="exact"/>
        </w:trPr>
        <w:tc>
          <w:tcPr>
            <w:tcW w:w="3301" w:type="dxa"/>
            <w:vMerge w:val="restart"/>
            <w:tcBorders>
              <w:top w:val="nil" w:sz="6" w:space="0" w:color="auto"/>
              <w:left w:val="nil" w:sz="6" w:space="0" w:color="auto"/>
              <w:right w:val="nil" w:sz="6" w:space="0" w:color="auto"/>
            </w:tcBorders>
          </w:tcPr>
          <w:p>
            <w:pPr/>
          </w:p>
        </w:tc>
        <w:tc>
          <w:tcPr>
            <w:tcW w:w="2532"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99"/>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415" w:type="dxa"/>
            <w:tcBorders>
              <w:top w:val="nil" w:sz="6" w:space="0" w:color="auto"/>
              <w:left w:val="nil" w:sz="6" w:space="0" w:color="auto"/>
              <w:bottom w:val="nil" w:sz="6" w:space="0" w:color="auto"/>
              <w:right w:val="nil" w:sz="6" w:space="0" w:color="auto"/>
            </w:tcBorders>
          </w:tcPr>
          <w:p>
            <w:pPr/>
          </w:p>
        </w:tc>
        <w:tc>
          <w:tcPr>
            <w:tcW w:w="2722"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right="134"/>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293" w:hRule="exact"/>
        </w:trPr>
        <w:tc>
          <w:tcPr>
            <w:tcW w:w="3301" w:type="dxa"/>
            <w:vMerge/>
            <w:tcBorders>
              <w:left w:val="nil" w:sz="6" w:space="0" w:color="auto"/>
              <w:bottom w:val="nil" w:sz="6" w:space="0" w:color="auto"/>
              <w:right w:val="nil" w:sz="6" w:space="0" w:color="auto"/>
            </w:tcBorders>
          </w:tcPr>
          <w:p>
            <w:pPr/>
          </w:p>
        </w:tc>
        <w:tc>
          <w:tcPr>
            <w:tcW w:w="2532" w:type="dxa"/>
            <w:tcBorders>
              <w:top w:val="single" w:sz="6" w:space="0" w:color="000000"/>
              <w:left w:val="nil" w:sz="6" w:space="0" w:color="auto"/>
              <w:bottom w:val="nil" w:sz="6" w:space="0" w:color="auto"/>
              <w:right w:val="nil" w:sz="6" w:space="0" w:color="auto"/>
            </w:tcBorders>
          </w:tcPr>
          <w:p>
            <w:pPr/>
          </w:p>
        </w:tc>
        <w:tc>
          <w:tcPr>
            <w:tcW w:w="415" w:type="dxa"/>
            <w:tcBorders>
              <w:top w:val="nil" w:sz="6" w:space="0" w:color="auto"/>
              <w:left w:val="nil" w:sz="6" w:space="0" w:color="auto"/>
              <w:bottom w:val="nil" w:sz="6" w:space="0" w:color="auto"/>
              <w:right w:val="nil" w:sz="6" w:space="0" w:color="auto"/>
            </w:tcBorders>
          </w:tcPr>
          <w:p>
            <w:pPr/>
          </w:p>
        </w:tc>
        <w:tc>
          <w:tcPr>
            <w:tcW w:w="2722" w:type="dxa"/>
            <w:tcBorders>
              <w:top w:val="single" w:sz="6" w:space="0" w:color="000000"/>
              <w:left w:val="nil" w:sz="6" w:space="0" w:color="auto"/>
              <w:bottom w:val="nil" w:sz="6" w:space="0" w:color="auto"/>
              <w:right w:val="nil" w:sz="6" w:space="0" w:color="auto"/>
            </w:tcBorders>
          </w:tcPr>
          <w:p>
            <w:pPr>
              <w:pStyle w:val="TableParagraph"/>
              <w:spacing w:line="252" w:lineRule="exact"/>
              <w:ind w:right="136"/>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298"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269" w:lineRule="exact"/>
              <w:ind w:left="35" w:right="0"/>
              <w:jc w:val="left"/>
              <w:rPr>
                <w:rFonts w:ascii="宋体" w:hAnsi="宋体" w:cs="宋体" w:eastAsia="宋体" w:hint="default"/>
                <w:sz w:val="22"/>
                <w:szCs w:val="22"/>
              </w:rPr>
            </w:pPr>
            <w:r>
              <w:rPr>
                <w:rFonts w:ascii="Arial" w:hAnsi="Arial" w:cs="Arial" w:eastAsia="Arial" w:hint="default"/>
                <w:sz w:val="22"/>
                <w:szCs w:val="22"/>
              </w:rPr>
              <w:t>1</w:t>
            </w:r>
            <w:r>
              <w:rPr>
                <w:rFonts w:ascii="Arial" w:hAnsi="Arial" w:cs="Arial" w:eastAsia="Arial" w:hint="default"/>
                <w:spacing w:val="-8"/>
                <w:sz w:val="22"/>
                <w:szCs w:val="22"/>
              </w:rPr>
              <w:t> </w:t>
            </w:r>
            <w:r>
              <w:rPr>
                <w:rFonts w:ascii="宋体" w:hAnsi="宋体" w:cs="宋体" w:eastAsia="宋体" w:hint="default"/>
                <w:sz w:val="22"/>
                <w:szCs w:val="22"/>
              </w:rPr>
              <w:t>年以内</w:t>
            </w:r>
          </w:p>
        </w:tc>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21"/>
              <w:jc w:val="right"/>
              <w:rPr>
                <w:rFonts w:ascii="Arial" w:hAnsi="Arial" w:cs="Arial" w:eastAsia="Arial" w:hint="default"/>
                <w:sz w:val="22"/>
                <w:szCs w:val="22"/>
              </w:rPr>
            </w:pPr>
            <w:r>
              <w:rPr>
                <w:rFonts w:ascii="Arial"/>
                <w:spacing w:val="-1"/>
                <w:sz w:val="22"/>
              </w:rPr>
              <w:t>4,109,519,255</w:t>
            </w:r>
          </w:p>
        </w:tc>
        <w:tc>
          <w:tcPr>
            <w:tcW w:w="415" w:type="dxa"/>
            <w:tcBorders>
              <w:top w:val="nil" w:sz="6" w:space="0" w:color="auto"/>
              <w:left w:val="nil" w:sz="6" w:space="0" w:color="auto"/>
              <w:bottom w:val="nil" w:sz="6" w:space="0" w:color="auto"/>
              <w:right w:val="nil" w:sz="6" w:space="0" w:color="auto"/>
            </w:tcBorders>
          </w:tcPr>
          <w:p>
            <w:pPr/>
          </w:p>
        </w:tc>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46"/>
              <w:jc w:val="right"/>
              <w:rPr>
                <w:rFonts w:ascii="Arial" w:hAnsi="Arial" w:cs="Arial" w:eastAsia="Arial" w:hint="default"/>
                <w:sz w:val="22"/>
                <w:szCs w:val="22"/>
              </w:rPr>
            </w:pPr>
            <w:r>
              <w:rPr>
                <w:rFonts w:ascii="Arial"/>
                <w:spacing w:val="-1"/>
                <w:sz w:val="22"/>
              </w:rPr>
              <w:t>1,851,042,039</w:t>
            </w:r>
          </w:p>
        </w:tc>
      </w:tr>
      <w:tr>
        <w:trPr>
          <w:trHeight w:val="285"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Arial" w:hAnsi="Arial" w:cs="Arial" w:eastAsia="Arial" w:hint="default"/>
                <w:sz w:val="22"/>
                <w:szCs w:val="22"/>
              </w:rPr>
              <w:t>1</w:t>
            </w:r>
            <w:r>
              <w:rPr>
                <w:rFonts w:ascii="Arial" w:hAnsi="Arial" w:cs="Arial" w:eastAsia="Arial" w:hint="default"/>
                <w:spacing w:val="-7"/>
                <w:sz w:val="22"/>
                <w:szCs w:val="22"/>
              </w:rPr>
              <w:t> </w:t>
            </w:r>
            <w:r>
              <w:rPr>
                <w:rFonts w:ascii="宋体" w:hAnsi="宋体" w:cs="宋体" w:eastAsia="宋体" w:hint="default"/>
                <w:sz w:val="22"/>
                <w:szCs w:val="22"/>
              </w:rPr>
              <w:t>到</w:t>
            </w:r>
            <w:r>
              <w:rPr>
                <w:rFonts w:ascii="宋体" w:hAnsi="宋体" w:cs="宋体" w:eastAsia="宋体" w:hint="default"/>
                <w:spacing w:val="-56"/>
                <w:sz w:val="22"/>
                <w:szCs w:val="22"/>
              </w:rPr>
              <w:t> </w:t>
            </w:r>
            <w:r>
              <w:rPr>
                <w:rFonts w:ascii="Arial" w:hAnsi="Arial" w:cs="Arial" w:eastAsia="Arial" w:hint="default"/>
                <w:sz w:val="22"/>
                <w:szCs w:val="22"/>
              </w:rPr>
              <w:t>2</w:t>
            </w:r>
            <w:r>
              <w:rPr>
                <w:rFonts w:ascii="Arial" w:hAnsi="Arial" w:cs="Arial" w:eastAsia="Arial" w:hint="default"/>
                <w:spacing w:val="-7"/>
                <w:sz w:val="22"/>
                <w:szCs w:val="22"/>
              </w:rPr>
              <w:t> </w:t>
            </w:r>
            <w:r>
              <w:rPr>
                <w:rFonts w:ascii="宋体" w:hAnsi="宋体" w:cs="宋体" w:eastAsia="宋体" w:hint="default"/>
                <w:sz w:val="22"/>
                <w:szCs w:val="22"/>
              </w:rPr>
              <w:t>年</w:t>
            </w:r>
          </w:p>
        </w:tc>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21"/>
              <w:jc w:val="right"/>
              <w:rPr>
                <w:rFonts w:ascii="Arial" w:hAnsi="Arial" w:cs="Arial" w:eastAsia="Arial" w:hint="default"/>
                <w:sz w:val="22"/>
                <w:szCs w:val="22"/>
              </w:rPr>
            </w:pPr>
            <w:r>
              <w:rPr>
                <w:rFonts w:ascii="Arial"/>
                <w:spacing w:val="-1"/>
                <w:sz w:val="22"/>
              </w:rPr>
              <w:t>1,314,009,676</w:t>
            </w:r>
          </w:p>
        </w:tc>
        <w:tc>
          <w:tcPr>
            <w:tcW w:w="415" w:type="dxa"/>
            <w:tcBorders>
              <w:top w:val="nil" w:sz="6" w:space="0" w:color="auto"/>
              <w:left w:val="nil" w:sz="6" w:space="0" w:color="auto"/>
              <w:bottom w:val="nil" w:sz="6" w:space="0" w:color="auto"/>
              <w:right w:val="nil" w:sz="6" w:space="0" w:color="auto"/>
            </w:tcBorders>
          </w:tcPr>
          <w:p>
            <w:pPr/>
          </w:p>
        </w:tc>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46"/>
              <w:jc w:val="right"/>
              <w:rPr>
                <w:rFonts w:ascii="Arial" w:hAnsi="Arial" w:cs="Arial" w:eastAsia="Arial" w:hint="default"/>
                <w:sz w:val="22"/>
                <w:szCs w:val="22"/>
              </w:rPr>
            </w:pPr>
            <w:r>
              <w:rPr>
                <w:rFonts w:ascii="Arial"/>
                <w:spacing w:val="-1"/>
                <w:sz w:val="22"/>
              </w:rPr>
              <w:t>1,606,654,009</w:t>
            </w:r>
          </w:p>
        </w:tc>
      </w:tr>
      <w:tr>
        <w:trPr>
          <w:trHeight w:val="285"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Arial" w:hAnsi="Arial" w:cs="Arial" w:eastAsia="Arial" w:hint="default"/>
                <w:sz w:val="22"/>
                <w:szCs w:val="22"/>
              </w:rPr>
              <w:t>2</w:t>
            </w:r>
            <w:r>
              <w:rPr>
                <w:rFonts w:ascii="Arial" w:hAnsi="Arial" w:cs="Arial" w:eastAsia="Arial" w:hint="default"/>
                <w:spacing w:val="-7"/>
                <w:sz w:val="22"/>
                <w:szCs w:val="22"/>
              </w:rPr>
              <w:t> </w:t>
            </w:r>
            <w:r>
              <w:rPr>
                <w:rFonts w:ascii="宋体" w:hAnsi="宋体" w:cs="宋体" w:eastAsia="宋体" w:hint="default"/>
                <w:sz w:val="22"/>
                <w:szCs w:val="22"/>
              </w:rPr>
              <w:t>到</w:t>
            </w:r>
            <w:r>
              <w:rPr>
                <w:rFonts w:ascii="宋体" w:hAnsi="宋体" w:cs="宋体" w:eastAsia="宋体" w:hint="default"/>
                <w:spacing w:val="-56"/>
                <w:sz w:val="22"/>
                <w:szCs w:val="22"/>
              </w:rPr>
              <w:t> </w:t>
            </w:r>
            <w:r>
              <w:rPr>
                <w:rFonts w:ascii="Arial" w:hAnsi="Arial" w:cs="Arial" w:eastAsia="Arial" w:hint="default"/>
                <w:sz w:val="22"/>
                <w:szCs w:val="22"/>
              </w:rPr>
              <w:t>3</w:t>
            </w:r>
            <w:r>
              <w:rPr>
                <w:rFonts w:ascii="Arial" w:hAnsi="Arial" w:cs="Arial" w:eastAsia="Arial" w:hint="default"/>
                <w:spacing w:val="-7"/>
                <w:sz w:val="22"/>
                <w:szCs w:val="22"/>
              </w:rPr>
              <w:t> </w:t>
            </w:r>
            <w:r>
              <w:rPr>
                <w:rFonts w:ascii="宋体" w:hAnsi="宋体" w:cs="宋体" w:eastAsia="宋体" w:hint="default"/>
                <w:sz w:val="22"/>
                <w:szCs w:val="22"/>
              </w:rPr>
              <w:t>年</w:t>
            </w:r>
          </w:p>
        </w:tc>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20"/>
              <w:jc w:val="right"/>
              <w:rPr>
                <w:rFonts w:ascii="Arial" w:hAnsi="Arial" w:cs="Arial" w:eastAsia="Arial" w:hint="default"/>
                <w:sz w:val="22"/>
                <w:szCs w:val="22"/>
              </w:rPr>
            </w:pPr>
            <w:r>
              <w:rPr>
                <w:rFonts w:ascii="Arial"/>
                <w:w w:val="95"/>
                <w:sz w:val="22"/>
              </w:rPr>
              <w:t>974,762,034</w:t>
            </w:r>
            <w:r>
              <w:rPr>
                <w:rFonts w:ascii="Arial"/>
                <w:sz w:val="22"/>
              </w:rPr>
            </w:r>
          </w:p>
        </w:tc>
        <w:tc>
          <w:tcPr>
            <w:tcW w:w="415" w:type="dxa"/>
            <w:tcBorders>
              <w:top w:val="nil" w:sz="6" w:space="0" w:color="auto"/>
              <w:left w:val="nil" w:sz="6" w:space="0" w:color="auto"/>
              <w:bottom w:val="nil" w:sz="6" w:space="0" w:color="auto"/>
              <w:right w:val="nil" w:sz="6" w:space="0" w:color="auto"/>
            </w:tcBorders>
          </w:tcPr>
          <w:p>
            <w:pPr/>
          </w:p>
        </w:tc>
        <w:tc>
          <w:tcPr>
            <w:tcW w:w="2722"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146"/>
              <w:jc w:val="right"/>
              <w:rPr>
                <w:rFonts w:ascii="Arial" w:hAnsi="Arial" w:cs="Arial" w:eastAsia="Arial" w:hint="default"/>
                <w:sz w:val="22"/>
                <w:szCs w:val="22"/>
              </w:rPr>
            </w:pPr>
            <w:r>
              <w:rPr>
                <w:rFonts w:ascii="Arial"/>
                <w:spacing w:val="-1"/>
                <w:sz w:val="22"/>
              </w:rPr>
              <w:t>1,232,178,228</w:t>
            </w:r>
          </w:p>
        </w:tc>
      </w:tr>
      <w:tr>
        <w:trPr>
          <w:trHeight w:val="366" w:hRule="exact"/>
        </w:trPr>
        <w:tc>
          <w:tcPr>
            <w:tcW w:w="3301" w:type="dxa"/>
            <w:tcBorders>
              <w:top w:val="nil" w:sz="6" w:space="0" w:color="auto"/>
              <w:left w:val="nil" w:sz="6" w:space="0" w:color="auto"/>
              <w:bottom w:val="nil" w:sz="6" w:space="0" w:color="auto"/>
              <w:right w:val="nil" w:sz="6" w:space="0" w:color="auto"/>
            </w:tcBorders>
          </w:tcPr>
          <w:p>
            <w:pPr>
              <w:pStyle w:val="TableParagraph"/>
              <w:spacing w:line="255" w:lineRule="exact"/>
              <w:ind w:left="35" w:right="0"/>
              <w:jc w:val="left"/>
              <w:rPr>
                <w:rFonts w:ascii="宋体" w:hAnsi="宋体" w:cs="宋体" w:eastAsia="宋体" w:hint="default"/>
                <w:sz w:val="22"/>
                <w:szCs w:val="22"/>
              </w:rPr>
            </w:pPr>
            <w:r>
              <w:rPr>
                <w:rFonts w:ascii="Arial" w:hAnsi="Arial" w:cs="Arial" w:eastAsia="Arial" w:hint="default"/>
                <w:sz w:val="22"/>
                <w:szCs w:val="22"/>
              </w:rPr>
              <w:t>3</w:t>
            </w:r>
            <w:r>
              <w:rPr>
                <w:rFonts w:ascii="Arial" w:hAnsi="Arial" w:cs="Arial" w:eastAsia="Arial" w:hint="default"/>
                <w:spacing w:val="-8"/>
                <w:sz w:val="22"/>
                <w:szCs w:val="22"/>
              </w:rPr>
              <w:t> </w:t>
            </w:r>
            <w:r>
              <w:rPr>
                <w:rFonts w:ascii="宋体" w:hAnsi="宋体" w:cs="宋体" w:eastAsia="宋体" w:hint="default"/>
                <w:sz w:val="22"/>
                <w:szCs w:val="22"/>
              </w:rPr>
              <w:t>年以上</w:t>
            </w:r>
          </w:p>
        </w:tc>
        <w:tc>
          <w:tcPr>
            <w:tcW w:w="2532" w:type="dxa"/>
            <w:tcBorders>
              <w:top w:val="nil" w:sz="6" w:space="0" w:color="auto"/>
              <w:left w:val="nil" w:sz="6" w:space="0" w:color="auto"/>
              <w:bottom w:val="nil" w:sz="6" w:space="0" w:color="auto"/>
              <w:right w:val="nil" w:sz="6" w:space="0" w:color="auto"/>
            </w:tcBorders>
          </w:tcPr>
          <w:p>
            <w:pPr>
              <w:pStyle w:val="TableParagraph"/>
              <w:tabs>
                <w:tab w:pos="1001" w:val="left" w:leader="none"/>
                <w:tab w:pos="2531" w:val="left" w:leader="none"/>
              </w:tabs>
              <w:spacing w:line="240" w:lineRule="auto" w:before="17"/>
              <w:ind w:right="0"/>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spacing w:val="-1"/>
                <w:sz w:val="22"/>
                <w:u w:val="single" w:color="000000"/>
              </w:rPr>
              <w:t>2,505,231,833</w:t>
              <w:tab/>
            </w:r>
            <w:r>
              <w:rPr>
                <w:rFonts w:ascii="Arial"/>
                <w:spacing w:val="-1"/>
                <w:sz w:val="22"/>
              </w:rPr>
            </w:r>
          </w:p>
        </w:tc>
        <w:tc>
          <w:tcPr>
            <w:tcW w:w="415" w:type="dxa"/>
            <w:tcBorders>
              <w:top w:val="nil" w:sz="6" w:space="0" w:color="auto"/>
              <w:left w:val="nil" w:sz="6" w:space="0" w:color="auto"/>
              <w:bottom w:val="nil" w:sz="6" w:space="0" w:color="auto"/>
              <w:right w:val="nil" w:sz="6" w:space="0" w:color="auto"/>
            </w:tcBorders>
          </w:tcPr>
          <w:p>
            <w:pPr/>
          </w:p>
        </w:tc>
        <w:tc>
          <w:tcPr>
            <w:tcW w:w="2722" w:type="dxa"/>
            <w:tcBorders>
              <w:top w:val="nil" w:sz="6" w:space="0" w:color="auto"/>
              <w:left w:val="nil" w:sz="6" w:space="0" w:color="auto"/>
              <w:bottom w:val="nil" w:sz="6" w:space="0" w:color="auto"/>
              <w:right w:val="nil" w:sz="6" w:space="0" w:color="auto"/>
            </w:tcBorders>
          </w:tcPr>
          <w:p>
            <w:pPr>
              <w:pStyle w:val="TableParagraph"/>
              <w:tabs>
                <w:tab w:pos="1167" w:val="left" w:leader="none"/>
                <w:tab w:pos="2686" w:val="left" w:leader="none"/>
              </w:tabs>
              <w:spacing w:line="240" w:lineRule="auto" w:before="17"/>
              <w:ind w:right="33"/>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spacing w:val="-1"/>
                <w:sz w:val="22"/>
                <w:u w:val="single" w:color="000000"/>
              </w:rPr>
              <w:t>3,774,644,998</w:t>
              <w:tab/>
            </w:r>
            <w:r>
              <w:rPr>
                <w:rFonts w:ascii="Arial"/>
                <w:spacing w:val="-1"/>
                <w:sz w:val="22"/>
              </w:rPr>
            </w:r>
          </w:p>
        </w:tc>
      </w:tr>
    </w:tbl>
    <w:p>
      <w:pPr>
        <w:spacing w:line="240" w:lineRule="auto" w:before="3"/>
        <w:rPr>
          <w:rFonts w:ascii="宋体" w:hAnsi="宋体" w:cs="宋体" w:eastAsia="宋体" w:hint="default"/>
          <w:sz w:val="8"/>
          <w:szCs w:val="8"/>
        </w:rPr>
      </w:pPr>
    </w:p>
    <w:p>
      <w:pPr>
        <w:pStyle w:val="BodyText"/>
        <w:tabs>
          <w:tab w:pos="4852" w:val="left" w:leader="none"/>
          <w:tab w:pos="7965" w:val="left" w:leader="none"/>
        </w:tabs>
        <w:spacing w:line="240" w:lineRule="auto" w:before="27"/>
        <w:ind w:left="584" w:right="125"/>
        <w:jc w:val="left"/>
        <w:rPr>
          <w:rFonts w:ascii="Arial" w:hAnsi="Arial" w:cs="Arial" w:eastAsia="Arial" w:hint="default"/>
        </w:rPr>
      </w:pPr>
      <w:r>
        <w:rPr>
          <w:w w:val="95"/>
          <w:position w:val="2"/>
        </w:rPr>
        <w:t>合计</w:t>
        <w:tab/>
      </w:r>
      <w:r>
        <w:rPr>
          <w:rFonts w:ascii="Arial" w:hAnsi="Arial" w:cs="Arial" w:eastAsia="Arial" w:hint="default"/>
          <w:spacing w:val="-1"/>
        </w:rPr>
        <w:t>8,903,522,798</w:t>
        <w:tab/>
        <w:t>8,464,519,274</w:t>
      </w:r>
    </w:p>
    <w:p>
      <w:pPr>
        <w:tabs>
          <w:tab w:pos="6783" w:val="left" w:leader="none"/>
        </w:tabs>
        <w:spacing w:line="43" w:lineRule="exact"/>
        <w:ind w:left="3836" w:right="0" w:firstLine="0"/>
        <w:rPr>
          <w:rFonts w:ascii="Arial" w:hAnsi="Arial" w:cs="Arial" w:eastAsia="Arial" w:hint="default"/>
          <w:sz w:val="4"/>
          <w:szCs w:val="4"/>
        </w:rPr>
      </w:pPr>
      <w:r>
        <w:rPr>
          <w:rFonts w:ascii="Arial"/>
          <w:position w:val="0"/>
          <w:sz w:val="4"/>
        </w:rPr>
        <w:pict>
          <v:group style="width:128.0500pt;height:2.2pt;mso-position-horizontal-relative:char;mso-position-vertical-relative:line" coordorigin="0,0" coordsize="2561,44">
            <v:group style="position:absolute;left:7;top:36;width:2547;height:2" coordorigin="7,36" coordsize="2547,2">
              <v:shape style="position:absolute;left:7;top:36;width:2547;height:2" coordorigin="7,36" coordsize="2547,0" path="m7,36l2554,36e" filled="false" stroked="true" strokeweight=".72pt" strokecolor="#000000">
                <v:path arrowok="t"/>
              </v:shape>
            </v:group>
            <v:group style="position:absolute;left:7;top:7;width:2547;height:2" coordorigin="7,7" coordsize="2547,2">
              <v:shape style="position:absolute;left:7;top:7;width:2547;height:2" coordorigin="7,7" coordsize="2547,0" path="m7,7l2554,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135.8pt;height:2.2pt;mso-position-horizontal-relative:char;mso-position-vertical-relative:line" coordorigin="0,0" coordsize="2716,44">
            <v:group style="position:absolute;left:7;top:36;width:2702;height:2" coordorigin="7,36" coordsize="2702,2">
              <v:shape style="position:absolute;left:7;top:36;width:2702;height:2" coordorigin="7,36" coordsize="2702,0" path="m7,36l2708,36e" filled="false" stroked="true" strokeweight=".72pt" strokecolor="#000000">
                <v:path arrowok="t"/>
              </v:shape>
            </v:group>
            <v:group style="position:absolute;left:7;top:7;width:2702;height:2" coordorigin="7,7" coordsize="2702,2">
              <v:shape style="position:absolute;left:7;top:7;width:2702;height:2" coordorigin="7,7" coordsize="2702,0" path="m7,7l2708,7e" filled="false" stroked="true" strokeweight=".72pt" strokecolor="#000000">
                <v:path arrowok="t"/>
              </v:shape>
            </v:group>
          </v:group>
        </w:pict>
      </w:r>
      <w:r>
        <w:rPr>
          <w:rFonts w:ascii="Arial"/>
          <w:position w:val="0"/>
          <w:sz w:val="4"/>
        </w:rPr>
      </w:r>
    </w:p>
    <w:p>
      <w:pPr>
        <w:spacing w:after="0" w:line="43" w:lineRule="exact"/>
        <w:rPr>
          <w:rFonts w:ascii="Arial" w:hAnsi="Arial" w:cs="Arial" w:eastAsia="Arial" w:hint="default"/>
          <w:sz w:val="4"/>
          <w:szCs w:val="4"/>
        </w:rPr>
        <w:sectPr>
          <w:headerReference w:type="default" r:id="rId140"/>
          <w:footerReference w:type="default" r:id="rId141"/>
          <w:pgSz w:w="11910" w:h="16840"/>
          <w:pgMar w:header="1330" w:footer="1042" w:top="2680" w:bottom="1240" w:left="1240" w:right="900"/>
          <w:pgNumType w:start="158"/>
        </w:sectPr>
      </w:pPr>
    </w:p>
    <w:p>
      <w:pPr>
        <w:spacing w:line="240" w:lineRule="auto" w:before="9"/>
        <w:rPr>
          <w:rFonts w:ascii="Arial" w:hAnsi="Arial" w:cs="Arial" w:eastAsia="Arial" w:hint="default"/>
          <w:sz w:val="21"/>
          <w:szCs w:val="21"/>
        </w:rPr>
      </w:pPr>
    </w:p>
    <w:p>
      <w:pPr>
        <w:pStyle w:val="BodyText"/>
        <w:tabs>
          <w:tab w:pos="732" w:val="left" w:leader="none"/>
        </w:tabs>
        <w:spacing w:line="240" w:lineRule="auto" w:before="31"/>
        <w:ind w:left="102" w:right="125"/>
        <w:jc w:val="left"/>
        <w:rPr>
          <w:rFonts w:ascii="黑体" w:hAnsi="黑体" w:cs="黑体" w:eastAsia="黑体" w:hint="default"/>
        </w:rPr>
      </w:pPr>
      <w:r>
        <w:rPr>
          <w:rFonts w:ascii="黑体" w:hAnsi="黑体" w:cs="黑体" w:eastAsia="黑体" w:hint="default"/>
          <w:w w:val="95"/>
        </w:rPr>
        <w:t>十</w:t>
        <w:tab/>
      </w:r>
      <w:r>
        <w:rPr>
          <w:rFonts w:ascii="黑体" w:hAnsi="黑体" w:cs="黑体" w:eastAsia="黑体" w:hint="default"/>
        </w:rPr>
        <w:t>承诺事项（续）</w:t>
      </w:r>
    </w:p>
    <w:p>
      <w:pPr>
        <w:spacing w:line="240" w:lineRule="auto" w:before="2"/>
        <w:rPr>
          <w:rFonts w:ascii="黑体" w:hAnsi="黑体" w:cs="黑体" w:eastAsia="黑体" w:hint="default"/>
          <w:sz w:val="19"/>
          <w:szCs w:val="19"/>
        </w:rPr>
      </w:pPr>
    </w:p>
    <w:p>
      <w:pPr>
        <w:pStyle w:val="BodyText"/>
        <w:tabs>
          <w:tab w:pos="717" w:val="left" w:leader="none"/>
        </w:tabs>
        <w:spacing w:line="240" w:lineRule="auto"/>
        <w:ind w:left="102" w:right="125"/>
        <w:jc w:val="left"/>
      </w:pPr>
      <w:r>
        <w:rPr>
          <w:rFonts w:ascii="Arial" w:hAnsi="Arial" w:cs="Arial" w:eastAsia="Arial" w:hint="default"/>
          <w:w w:val="95"/>
        </w:rPr>
        <w:t>2</w:t>
      </w:r>
      <w:r>
        <w:rPr>
          <w:w w:val="95"/>
        </w:rPr>
        <w:t>、</w:t>
        <w:tab/>
      </w:r>
      <w:r>
        <w:rPr/>
        <w:t>经营租赁承诺事项（续）</w:t>
      </w:r>
    </w:p>
    <w:p>
      <w:pPr>
        <w:spacing w:line="240" w:lineRule="auto" w:before="0"/>
        <w:rPr>
          <w:rFonts w:ascii="宋体" w:hAnsi="宋体" w:cs="宋体" w:eastAsia="宋体" w:hint="default"/>
          <w:sz w:val="16"/>
          <w:szCs w:val="16"/>
        </w:rPr>
      </w:pPr>
    </w:p>
    <w:p>
      <w:pPr>
        <w:pStyle w:val="BodyText"/>
        <w:spacing w:line="286" w:lineRule="exact"/>
        <w:ind w:left="1179" w:right="115" w:hanging="448"/>
        <w:jc w:val="both"/>
      </w:pPr>
      <w:r>
        <w:rPr/>
        <w:t>注：</w:t>
      </w:r>
      <w:r>
        <w:rPr>
          <w:rFonts w:ascii="Arial" w:hAnsi="Arial" w:cs="Arial" w:eastAsia="Arial" w:hint="default"/>
        </w:rPr>
        <w:t>2009</w:t>
      </w:r>
      <w:r>
        <w:rPr>
          <w:rFonts w:ascii="Arial" w:hAnsi="Arial" w:cs="Arial" w:eastAsia="Arial" w:hint="default"/>
          <w:spacing w:val="-24"/>
        </w:rPr>
        <w:t> </w:t>
      </w:r>
      <w:r>
        <w:rPr/>
        <w:t>年</w:t>
      </w:r>
      <w:r>
        <w:rPr>
          <w:spacing w:val="-73"/>
        </w:rPr>
        <w:t> </w:t>
      </w:r>
      <w:r>
        <w:rPr>
          <w:rFonts w:ascii="Arial" w:hAnsi="Arial" w:cs="Arial" w:eastAsia="Arial" w:hint="default"/>
        </w:rPr>
        <w:t>12</w:t>
      </w:r>
      <w:r>
        <w:rPr>
          <w:rFonts w:ascii="Arial" w:hAnsi="Arial" w:cs="Arial" w:eastAsia="Arial" w:hint="default"/>
          <w:spacing w:val="-23"/>
        </w:rPr>
        <w:t> </w:t>
      </w:r>
      <w:r>
        <w:rPr/>
        <w:t>月</w:t>
      </w:r>
      <w:r>
        <w:rPr>
          <w:spacing w:val="-73"/>
        </w:rPr>
        <w:t> </w:t>
      </w:r>
      <w:r>
        <w:rPr>
          <w:rFonts w:ascii="Arial" w:hAnsi="Arial" w:cs="Arial" w:eastAsia="Arial" w:hint="default"/>
        </w:rPr>
        <w:t>31</w:t>
      </w:r>
      <w:r>
        <w:rPr>
          <w:rFonts w:ascii="Arial" w:hAnsi="Arial" w:cs="Arial" w:eastAsia="Arial" w:hint="default"/>
          <w:spacing w:val="-24"/>
        </w:rPr>
        <w:t> </w:t>
      </w:r>
      <w:r>
        <w:rPr/>
        <w:t>日的一年以内经营租赁承诺事项中包括联通运营公司向联通新时空租赁</w:t>
      </w:r>
      <w:r>
        <w:rPr>
          <w:w w:val="99"/>
        </w:rPr>
        <w:t> </w:t>
      </w:r>
      <w:r>
        <w:rPr/>
        <w:t>南方固定电信网络相关的承诺，金额根据网络租赁协议年度租赁费为基础进行估计（详</w:t>
      </w:r>
      <w:r>
        <w:rPr>
          <w:w w:val="99"/>
        </w:rPr>
        <w:t> </w:t>
      </w:r>
      <w:r>
        <w:rPr/>
        <w:t>情请参见附注五</w:t>
      </w:r>
      <w:r>
        <w:rPr>
          <w:rFonts w:ascii="Arial" w:hAnsi="Arial" w:cs="Arial" w:eastAsia="Arial" w:hint="default"/>
        </w:rPr>
        <w:t>(35)</w:t>
      </w:r>
      <w:r>
        <w:rPr/>
        <w:t>）。</w:t>
      </w:r>
    </w:p>
    <w:p>
      <w:pPr>
        <w:spacing w:line="240" w:lineRule="auto" w:before="1"/>
        <w:rPr>
          <w:rFonts w:ascii="宋体" w:hAnsi="宋体" w:cs="宋体" w:eastAsia="宋体" w:hint="default"/>
          <w:sz w:val="17"/>
          <w:szCs w:val="17"/>
        </w:rPr>
      </w:pPr>
    </w:p>
    <w:p>
      <w:pPr>
        <w:pStyle w:val="BodyText"/>
        <w:tabs>
          <w:tab w:pos="732" w:val="left" w:leader="none"/>
        </w:tabs>
        <w:spacing w:line="240" w:lineRule="auto"/>
        <w:ind w:left="102" w:right="125"/>
        <w:jc w:val="left"/>
      </w:pPr>
      <w:r>
        <w:rPr>
          <w:rFonts w:ascii="Arial" w:hAnsi="Arial" w:cs="Arial" w:eastAsia="Arial" w:hint="default"/>
          <w:w w:val="95"/>
        </w:rPr>
        <w:t>3</w:t>
      </w:r>
      <w:r>
        <w:rPr>
          <w:w w:val="95"/>
        </w:rPr>
        <w:t>、</w:t>
        <w:tab/>
      </w:r>
      <w:r>
        <w:rPr/>
        <w:t>前期承诺履行情况</w:t>
      </w:r>
    </w:p>
    <w:p>
      <w:pPr>
        <w:pStyle w:val="BodyText"/>
        <w:spacing w:line="240" w:lineRule="auto" w:before="183"/>
        <w:ind w:left="746" w:right="0"/>
        <w:jc w:val="both"/>
      </w:pPr>
      <w:r>
        <w:rPr/>
        <w:t>本集团</w:t>
      </w:r>
      <w:r>
        <w:rPr>
          <w:spacing w:val="-56"/>
        </w:rPr>
        <w:t> </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日之资本性支出承诺及经营租赁承诺基本已按照之前承诺履行。</w:t>
      </w:r>
    </w:p>
    <w:p>
      <w:pPr>
        <w:spacing w:line="240" w:lineRule="auto" w:before="8"/>
        <w:rPr>
          <w:rFonts w:ascii="宋体" w:hAnsi="宋体" w:cs="宋体" w:eastAsia="宋体" w:hint="default"/>
          <w:sz w:val="19"/>
          <w:szCs w:val="19"/>
        </w:rPr>
      </w:pPr>
    </w:p>
    <w:p>
      <w:pPr>
        <w:pStyle w:val="BodyText"/>
        <w:tabs>
          <w:tab w:pos="760" w:val="left" w:leader="none"/>
        </w:tabs>
        <w:spacing w:line="240" w:lineRule="auto"/>
        <w:ind w:left="102" w:right="125"/>
        <w:jc w:val="left"/>
        <w:rPr>
          <w:rFonts w:ascii="黑体" w:hAnsi="黑体" w:cs="黑体" w:eastAsia="黑体" w:hint="default"/>
        </w:rPr>
      </w:pPr>
      <w:r>
        <w:rPr>
          <w:rFonts w:ascii="黑体" w:hAnsi="黑体" w:cs="黑体" w:eastAsia="黑体" w:hint="default"/>
          <w:w w:val="95"/>
        </w:rPr>
        <w:t>十一</w:t>
        <w:tab/>
      </w:r>
      <w:r>
        <w:rPr>
          <w:rFonts w:ascii="黑体" w:hAnsi="黑体" w:cs="黑体" w:eastAsia="黑体" w:hint="default"/>
        </w:rPr>
        <w:t>终止经营</w:t>
      </w:r>
    </w:p>
    <w:p>
      <w:pPr>
        <w:spacing w:line="240" w:lineRule="auto" w:before="12"/>
        <w:rPr>
          <w:rFonts w:ascii="黑体" w:hAnsi="黑体" w:cs="黑体" w:eastAsia="黑体" w:hint="default"/>
          <w:sz w:val="21"/>
          <w:szCs w:val="21"/>
        </w:rPr>
      </w:pPr>
    </w:p>
    <w:p>
      <w:pPr>
        <w:pStyle w:val="BodyText"/>
        <w:spacing w:line="228" w:lineRule="auto"/>
        <w:ind w:left="745" w:right="113" w:firstLine="1"/>
        <w:jc w:val="both"/>
      </w:pPr>
      <w:r>
        <w:rPr/>
        <w:t>联通红筹公司、联通运营公司与中国电信于</w:t>
      </w:r>
      <w:r>
        <w:rPr>
          <w:spacing w:val="-44"/>
        </w:rPr>
        <w:t> </w:t>
      </w:r>
      <w:r>
        <w:rPr>
          <w:rFonts w:ascii="Arial" w:hAnsi="Arial" w:cs="Arial" w:eastAsia="Arial" w:hint="default"/>
        </w:rPr>
        <w:t>2008</w:t>
      </w:r>
      <w:r>
        <w:rPr>
          <w:rFonts w:ascii="Arial" w:hAnsi="Arial" w:cs="Arial" w:eastAsia="Arial" w:hint="default"/>
          <w:spacing w:val="5"/>
        </w:rPr>
        <w:t> </w:t>
      </w:r>
      <w:r>
        <w:rPr/>
        <w:t>年</w:t>
      </w:r>
      <w:r>
        <w:rPr>
          <w:spacing w:val="-44"/>
        </w:rPr>
        <w:t> </w:t>
      </w:r>
      <w:r>
        <w:rPr>
          <w:rFonts w:ascii="Arial" w:hAnsi="Arial" w:cs="Arial" w:eastAsia="Arial" w:hint="default"/>
        </w:rPr>
        <w:t>7</w:t>
      </w:r>
      <w:r>
        <w:rPr>
          <w:rFonts w:ascii="Arial" w:hAnsi="Arial" w:cs="Arial" w:eastAsia="Arial" w:hint="default"/>
          <w:spacing w:val="5"/>
        </w:rPr>
        <w:t> </w:t>
      </w:r>
      <w:r>
        <w:rPr/>
        <w:t>月</w:t>
      </w:r>
      <w:r>
        <w:rPr>
          <w:spacing w:val="-44"/>
        </w:rPr>
        <w:t> </w:t>
      </w:r>
      <w:r>
        <w:rPr>
          <w:rFonts w:ascii="Arial" w:hAnsi="Arial" w:cs="Arial" w:eastAsia="Arial" w:hint="default"/>
        </w:rPr>
        <w:t>27</w:t>
      </w:r>
      <w:r>
        <w:rPr>
          <w:rFonts w:ascii="Arial" w:hAnsi="Arial" w:cs="Arial" w:eastAsia="Arial" w:hint="default"/>
          <w:spacing w:val="5"/>
        </w:rPr>
        <w:t> </w:t>
      </w:r>
      <w:r>
        <w:rPr/>
        <w:t>日签署了</w:t>
      </w:r>
      <w:r>
        <w:rPr>
          <w:spacing w:val="-43"/>
        </w:rPr>
        <w:t> </w:t>
      </w:r>
      <w:r>
        <w:rPr>
          <w:rFonts w:ascii="Arial" w:hAnsi="Arial" w:cs="Arial" w:eastAsia="Arial" w:hint="default"/>
        </w:rPr>
        <w:t>CDMA</w:t>
      </w:r>
      <w:r>
        <w:rPr>
          <w:rFonts w:ascii="Arial" w:hAnsi="Arial" w:cs="Arial" w:eastAsia="Arial" w:hint="default"/>
          <w:spacing w:val="5"/>
        </w:rPr>
        <w:t> </w:t>
      </w:r>
      <w:r>
        <w:rPr/>
        <w:t>出售协议（详</w:t>
      </w:r>
      <w:r>
        <w:rPr>
          <w:w w:val="99"/>
        </w:rPr>
        <w:t> </w:t>
      </w:r>
      <w:r>
        <w:rPr>
          <w:spacing w:val="-5"/>
        </w:rPr>
        <w:t>情请参见附注一</w:t>
      </w:r>
      <w:r>
        <w:rPr>
          <w:rFonts w:ascii="Arial" w:hAnsi="Arial" w:cs="Arial" w:eastAsia="Arial" w:hint="default"/>
          <w:spacing w:val="-5"/>
        </w:rPr>
        <w:t>(2)</w:t>
      </w:r>
      <w:r>
        <w:rPr>
          <w:spacing w:val="-5"/>
        </w:rPr>
        <w:t>），在</w:t>
      </w:r>
      <w:r>
        <w:rPr>
          <w:spacing w:val="-67"/>
        </w:rPr>
        <w:t> </w:t>
      </w:r>
      <w:r>
        <w:rPr>
          <w:rFonts w:ascii="Arial" w:hAnsi="Arial" w:cs="Arial" w:eastAsia="Arial" w:hint="default"/>
        </w:rPr>
        <w:t>CDMA</w:t>
      </w:r>
      <w:r>
        <w:rPr>
          <w:rFonts w:ascii="Arial" w:hAnsi="Arial" w:cs="Arial" w:eastAsia="Arial" w:hint="default"/>
          <w:spacing w:val="-18"/>
        </w:rPr>
        <w:t> </w:t>
      </w:r>
      <w:r>
        <w:rPr/>
        <w:t>出售协议中，联通红筹公司与联通运营公司同意出售及中国</w:t>
      </w:r>
      <w:r>
        <w:rPr>
          <w:w w:val="99"/>
        </w:rPr>
        <w:t> </w:t>
      </w:r>
      <w:r>
        <w:rPr/>
        <w:t>电信同意购入：</w:t>
      </w:r>
      <w:r>
        <w:rPr>
          <w:rFonts w:ascii="Arial" w:hAnsi="Arial" w:cs="Arial" w:eastAsia="Arial" w:hint="default"/>
        </w:rPr>
        <w:t>(i)</w:t>
      </w:r>
      <w:r>
        <w:rPr>
          <w:rFonts w:ascii="Arial" w:hAnsi="Arial" w:cs="Arial" w:eastAsia="Arial" w:hint="default"/>
          <w:spacing w:val="31"/>
        </w:rPr>
        <w:t> </w:t>
      </w:r>
      <w:r>
        <w:rPr/>
        <w:t>联通运营公司于紧接交割起始日（</w:t>
      </w:r>
      <w:r>
        <w:rPr>
          <w:rFonts w:ascii="Arial" w:hAnsi="Arial" w:cs="Arial" w:eastAsia="Arial" w:hint="default"/>
        </w:rPr>
        <w:t>2008</w:t>
      </w:r>
      <w:r>
        <w:rPr>
          <w:rFonts w:ascii="Arial" w:hAnsi="Arial" w:cs="Arial" w:eastAsia="Arial" w:hint="default"/>
          <w:spacing w:val="-15"/>
        </w:rPr>
        <w:t> </w:t>
      </w:r>
      <w:r>
        <w:rPr/>
        <w:t>年</w:t>
      </w:r>
      <w:r>
        <w:rPr>
          <w:spacing w:val="-64"/>
        </w:rPr>
        <w:t> </w:t>
      </w:r>
      <w:r>
        <w:rPr>
          <w:rFonts w:ascii="Arial" w:hAnsi="Arial" w:cs="Arial" w:eastAsia="Arial" w:hint="default"/>
        </w:rPr>
        <w:t>10</w:t>
      </w:r>
      <w:r>
        <w:rPr>
          <w:rFonts w:ascii="Arial" w:hAnsi="Arial" w:cs="Arial" w:eastAsia="Arial" w:hint="default"/>
          <w:spacing w:val="-15"/>
        </w:rPr>
        <w:t> </w:t>
      </w:r>
      <w:r>
        <w:rPr/>
        <w:t>月</w:t>
      </w:r>
      <w:r>
        <w:rPr>
          <w:spacing w:val="-64"/>
        </w:rPr>
        <w:t> </w:t>
      </w:r>
      <w:r>
        <w:rPr>
          <w:rFonts w:ascii="Arial" w:hAnsi="Arial" w:cs="Arial" w:eastAsia="Arial" w:hint="default"/>
        </w:rPr>
        <w:t>1</w:t>
      </w:r>
      <w:r>
        <w:rPr>
          <w:rFonts w:ascii="Arial" w:hAnsi="Arial" w:cs="Arial" w:eastAsia="Arial" w:hint="default"/>
          <w:spacing w:val="-15"/>
        </w:rPr>
        <w:t> </w:t>
      </w:r>
      <w:r>
        <w:rPr/>
        <w:t>日）前所拥有及经营的</w:t>
      </w:r>
      <w:r>
        <w:rPr>
          <w:w w:val="99"/>
        </w:rPr>
        <w:t> </w:t>
      </w:r>
      <w:r>
        <w:rPr/>
        <w:t>全部</w:t>
      </w:r>
      <w:r>
        <w:rPr>
          <w:spacing w:val="-60"/>
        </w:rPr>
        <w:t> </w:t>
      </w:r>
      <w:r>
        <w:rPr>
          <w:rFonts w:ascii="Arial" w:hAnsi="Arial" w:cs="Arial" w:eastAsia="Arial" w:hint="default"/>
        </w:rPr>
        <w:t>CDMA</w:t>
      </w:r>
      <w:r>
        <w:rPr>
          <w:rFonts w:ascii="Arial" w:hAnsi="Arial" w:cs="Arial" w:eastAsia="Arial" w:hint="default"/>
          <w:spacing w:val="-10"/>
        </w:rPr>
        <w:t> </w:t>
      </w:r>
      <w:r>
        <w:rPr/>
        <w:t>业务，连同与</w:t>
      </w:r>
      <w:r>
        <w:rPr>
          <w:spacing w:val="-60"/>
        </w:rPr>
        <w:t> </w:t>
      </w:r>
      <w:r>
        <w:rPr>
          <w:rFonts w:ascii="Arial" w:hAnsi="Arial" w:cs="Arial" w:eastAsia="Arial" w:hint="default"/>
        </w:rPr>
        <w:t>CDMA</w:t>
      </w:r>
      <w:r>
        <w:rPr>
          <w:rFonts w:ascii="Arial" w:hAnsi="Arial" w:cs="Arial" w:eastAsia="Arial" w:hint="default"/>
          <w:spacing w:val="-11"/>
        </w:rPr>
        <w:t> </w:t>
      </w:r>
      <w:r>
        <w:rPr/>
        <w:t>业务相关的联通运营公司资产及与</w:t>
      </w:r>
      <w:r>
        <w:rPr>
          <w:spacing w:val="-59"/>
        </w:rPr>
        <w:t> </w:t>
      </w:r>
      <w:r>
        <w:rPr>
          <w:rFonts w:ascii="Arial" w:hAnsi="Arial" w:cs="Arial" w:eastAsia="Arial" w:hint="default"/>
        </w:rPr>
        <w:t>CDMA</w:t>
      </w:r>
      <w:r>
        <w:rPr>
          <w:rFonts w:ascii="Arial" w:hAnsi="Arial" w:cs="Arial" w:eastAsia="Arial" w:hint="default"/>
          <w:spacing w:val="-10"/>
        </w:rPr>
        <w:t> </w:t>
      </w:r>
      <w:r>
        <w:rPr/>
        <w:t>用户相关的权利</w:t>
      </w:r>
      <w:r>
        <w:rPr>
          <w:w w:val="99"/>
        </w:rPr>
        <w:t> </w:t>
      </w:r>
      <w:r>
        <w:rPr>
          <w:spacing w:val="-8"/>
        </w:rPr>
        <w:t>及债务；</w:t>
      </w:r>
      <w:r>
        <w:rPr>
          <w:rFonts w:ascii="Arial" w:hAnsi="Arial" w:cs="Arial" w:eastAsia="Arial" w:hint="default"/>
          <w:spacing w:val="-8"/>
        </w:rPr>
        <w:t>(ii)</w:t>
      </w:r>
      <w:r>
        <w:rPr>
          <w:rFonts w:ascii="Arial" w:hAnsi="Arial" w:cs="Arial" w:eastAsia="Arial" w:hint="default"/>
          <w:spacing w:val="14"/>
        </w:rPr>
        <w:t> </w:t>
      </w:r>
      <w:r>
        <w:rPr>
          <w:spacing w:val="-10"/>
        </w:rPr>
        <w:t>联通红筹公司及其子公司持有的中国联通（澳门）有限公司（“联通澳门”）</w:t>
      </w:r>
      <w:r>
        <w:rPr>
          <w:rFonts w:ascii="Arial" w:hAnsi="Arial" w:cs="Arial" w:eastAsia="Arial" w:hint="default"/>
          <w:spacing w:val="-10"/>
        </w:rPr>
        <w:t>100%</w:t>
      </w:r>
      <w:r>
        <w:rPr>
          <w:rFonts w:ascii="Arial" w:hAnsi="Arial" w:cs="Arial" w:eastAsia="Arial" w:hint="default"/>
          <w:spacing w:val="-59"/>
        </w:rPr>
        <w:t> </w:t>
      </w:r>
      <w:r>
        <w:rPr>
          <w:w w:val="95"/>
        </w:rPr>
        <w:t>的股权；</w:t>
      </w:r>
      <w:r>
        <w:rPr>
          <w:rFonts w:ascii="Arial" w:hAnsi="Arial" w:cs="Arial" w:eastAsia="Arial" w:hint="default"/>
          <w:w w:val="95"/>
        </w:rPr>
        <w:t>(iii)</w:t>
      </w:r>
      <w:r>
        <w:rPr>
          <w:rFonts w:ascii="Arial" w:hAnsi="Arial" w:cs="Arial" w:eastAsia="Arial" w:hint="default"/>
          <w:spacing w:val="58"/>
          <w:w w:val="95"/>
        </w:rPr>
        <w:t> </w:t>
      </w:r>
      <w:r>
        <w:rPr>
          <w:w w:val="95"/>
        </w:rPr>
        <w:t>联通运营公司持有的联通华盛通信技术有限公司（“原联通华盛”）</w:t>
      </w:r>
      <w:r>
        <w:rPr>
          <w:rFonts w:ascii="Arial" w:hAnsi="Arial" w:cs="Arial" w:eastAsia="Arial" w:hint="default"/>
          <w:w w:val="95"/>
        </w:rPr>
        <w:t>99.5%</w:t>
      </w:r>
      <w:r>
        <w:rPr>
          <w:w w:val="95"/>
        </w:rPr>
        <w:t>的股</w:t>
      </w:r>
      <w:r>
        <w:rPr>
          <w:spacing w:val="-51"/>
          <w:w w:val="95"/>
        </w:rPr>
        <w:t> </w:t>
      </w:r>
      <w:r>
        <w:rPr/>
        <w:t>权，以上 </w:t>
      </w:r>
      <w:r>
        <w:rPr>
          <w:rFonts w:ascii="Arial" w:hAnsi="Arial" w:cs="Arial" w:eastAsia="Arial" w:hint="default"/>
        </w:rPr>
        <w:t>3 </w:t>
      </w:r>
      <w:r>
        <w:rPr/>
        <w:t>项业务、相关权利及债务连同股权合称“被出售的 </w:t>
      </w:r>
      <w:r>
        <w:rPr>
          <w:rFonts w:ascii="Arial" w:hAnsi="Arial" w:cs="Arial" w:eastAsia="Arial" w:hint="default"/>
        </w:rPr>
        <w:t>CDMA </w:t>
      </w:r>
      <w:r>
        <w:rPr/>
        <w:t>业务”。上述</w:t>
      </w:r>
      <w:r>
        <w:rPr>
          <w:spacing w:val="-60"/>
        </w:rPr>
        <w:t> </w:t>
      </w:r>
      <w:r>
        <w:rPr>
          <w:rFonts w:ascii="Arial" w:hAnsi="Arial" w:cs="Arial" w:eastAsia="Arial" w:hint="default"/>
        </w:rPr>
        <w:t>CDMA</w:t>
      </w:r>
      <w:r>
        <w:rPr>
          <w:rFonts w:ascii="Arial" w:hAnsi="Arial" w:cs="Arial" w:eastAsia="Arial" w:hint="default"/>
          <w:w w:val="99"/>
        </w:rPr>
        <w:t> </w:t>
      </w:r>
      <w:r>
        <w:rPr/>
        <w:t>业务出售交易于</w:t>
      </w:r>
      <w:r>
        <w:rPr>
          <w:spacing w:val="-51"/>
        </w:rPr>
        <w:t> </w:t>
      </w:r>
      <w:r>
        <w:rPr>
          <w:rFonts w:ascii="Arial" w:hAnsi="Arial" w:cs="Arial" w:eastAsia="Arial" w:hint="default"/>
        </w:rPr>
        <w:t>2008</w:t>
      </w:r>
      <w:r>
        <w:rPr>
          <w:rFonts w:ascii="Arial" w:hAnsi="Arial" w:cs="Arial" w:eastAsia="Arial" w:hint="default"/>
          <w:spacing w:val="-1"/>
        </w:rPr>
        <w:t> </w:t>
      </w:r>
      <w:r>
        <w:rPr/>
        <w:t>年</w:t>
      </w:r>
      <w:r>
        <w:rPr>
          <w:spacing w:val="-52"/>
        </w:rPr>
        <w:t> </w:t>
      </w:r>
      <w:r>
        <w:rPr>
          <w:rFonts w:ascii="Arial" w:hAnsi="Arial" w:cs="Arial" w:eastAsia="Arial" w:hint="default"/>
        </w:rPr>
        <w:t>10</w:t>
      </w:r>
      <w:r>
        <w:rPr>
          <w:rFonts w:ascii="Arial" w:hAnsi="Arial" w:cs="Arial" w:eastAsia="Arial" w:hint="default"/>
          <w:spacing w:val="-2"/>
        </w:rPr>
        <w:t> </w:t>
      </w:r>
      <w:r>
        <w:rPr/>
        <w:t>月</w:t>
      </w:r>
      <w:r>
        <w:rPr>
          <w:spacing w:val="-52"/>
        </w:rPr>
        <w:t> </w:t>
      </w:r>
      <w:r>
        <w:rPr>
          <w:rFonts w:ascii="Arial" w:hAnsi="Arial" w:cs="Arial" w:eastAsia="Arial" w:hint="default"/>
        </w:rPr>
        <w:t>1</w:t>
      </w:r>
      <w:r>
        <w:rPr>
          <w:rFonts w:ascii="Arial" w:hAnsi="Arial" w:cs="Arial" w:eastAsia="Arial" w:hint="default"/>
          <w:spacing w:val="-1"/>
        </w:rPr>
        <w:t> </w:t>
      </w:r>
      <w:r>
        <w:rPr/>
        <w:t>日完成。因此，于</w:t>
      </w:r>
      <w:r>
        <w:rPr>
          <w:spacing w:val="-51"/>
        </w:rPr>
        <w:t> </w:t>
      </w:r>
      <w:r>
        <w:rPr>
          <w:rFonts w:ascii="Arial" w:hAnsi="Arial" w:cs="Arial" w:eastAsia="Arial" w:hint="default"/>
        </w:rPr>
        <w:t>2008</w:t>
      </w:r>
      <w:r>
        <w:rPr>
          <w:rFonts w:ascii="Arial" w:hAnsi="Arial" w:cs="Arial" w:eastAsia="Arial" w:hint="default"/>
          <w:spacing w:val="-2"/>
        </w:rPr>
        <w:t> </w:t>
      </w:r>
      <w:r>
        <w:rPr/>
        <w:t>年</w:t>
      </w:r>
      <w:r>
        <w:rPr>
          <w:spacing w:val="-52"/>
        </w:rPr>
        <w:t> </w:t>
      </w:r>
      <w:r>
        <w:rPr>
          <w:rFonts w:ascii="Arial" w:hAnsi="Arial" w:cs="Arial" w:eastAsia="Arial" w:hint="default"/>
        </w:rPr>
        <w:t>10</w:t>
      </w:r>
      <w:r>
        <w:rPr>
          <w:rFonts w:ascii="Arial" w:hAnsi="Arial" w:cs="Arial" w:eastAsia="Arial" w:hint="default"/>
          <w:spacing w:val="-2"/>
        </w:rPr>
        <w:t> </w:t>
      </w:r>
      <w:r>
        <w:rPr/>
        <w:t>月</w:t>
      </w:r>
      <w:r>
        <w:rPr>
          <w:spacing w:val="-50"/>
        </w:rPr>
        <w:t> </w:t>
      </w:r>
      <w:r>
        <w:rPr>
          <w:rFonts w:ascii="Arial" w:hAnsi="Arial" w:cs="Arial" w:eastAsia="Arial" w:hint="default"/>
        </w:rPr>
        <w:t>1</w:t>
      </w:r>
      <w:r>
        <w:rPr>
          <w:rFonts w:ascii="Arial" w:hAnsi="Arial" w:cs="Arial" w:eastAsia="Arial" w:hint="default"/>
          <w:spacing w:val="-2"/>
        </w:rPr>
        <w:t> </w:t>
      </w:r>
      <w:r>
        <w:rPr/>
        <w:t>日起，被出售的</w:t>
      </w:r>
      <w:r>
        <w:rPr>
          <w:spacing w:val="-51"/>
        </w:rPr>
        <w:t> </w:t>
      </w:r>
      <w:r>
        <w:rPr>
          <w:rFonts w:ascii="Arial" w:hAnsi="Arial" w:cs="Arial" w:eastAsia="Arial" w:hint="default"/>
        </w:rPr>
        <w:t>CDMA</w:t>
      </w:r>
      <w:r>
        <w:rPr>
          <w:rFonts w:ascii="Arial" w:hAnsi="Arial" w:cs="Arial" w:eastAsia="Arial" w:hint="default"/>
          <w:w w:val="99"/>
        </w:rPr>
        <w:t> </w:t>
      </w:r>
      <w:r>
        <w:rPr/>
        <w:t>业务（包括联通澳门和原联通华盛）不再纳入本公司的合并范围，但是其经营成果及现金流</w:t>
      </w:r>
      <w:r>
        <w:rPr>
          <w:spacing w:val="-65"/>
        </w:rPr>
        <w:t> </w:t>
      </w:r>
      <w:r>
        <w:rPr>
          <w:spacing w:val="-65"/>
        </w:rPr>
      </w:r>
      <w:r>
        <w:rPr/>
        <w:t>量仍计入本集团可比期间（截至</w:t>
      </w:r>
      <w:r>
        <w:rPr>
          <w:spacing w:val="-61"/>
        </w:rPr>
        <w:t> </w:t>
      </w:r>
      <w:r>
        <w:rPr>
          <w:rFonts w:ascii="Arial" w:hAnsi="Arial" w:cs="Arial" w:eastAsia="Arial" w:hint="default"/>
        </w:rPr>
        <w:t>2008</w:t>
      </w:r>
      <w:r>
        <w:rPr>
          <w:rFonts w:ascii="Arial" w:hAnsi="Arial" w:cs="Arial" w:eastAsia="Arial" w:hint="default"/>
          <w:spacing w:val="-12"/>
        </w:rPr>
        <w:t> </w:t>
      </w:r>
      <w:r>
        <w:rPr/>
        <w:t>年</w:t>
      </w:r>
      <w:r>
        <w:rPr>
          <w:spacing w:val="-61"/>
        </w:rPr>
        <w:t> </w:t>
      </w:r>
      <w:r>
        <w:rPr>
          <w:rFonts w:ascii="Arial" w:hAnsi="Arial" w:cs="Arial" w:eastAsia="Arial" w:hint="default"/>
        </w:rPr>
        <w:t>10</w:t>
      </w:r>
      <w:r>
        <w:rPr>
          <w:rFonts w:ascii="Arial" w:hAnsi="Arial" w:cs="Arial" w:eastAsia="Arial" w:hint="default"/>
          <w:spacing w:val="-12"/>
        </w:rPr>
        <w:t> </w:t>
      </w:r>
      <w:r>
        <w:rPr/>
        <w:t>月</w:t>
      </w:r>
      <w:r>
        <w:rPr>
          <w:spacing w:val="-61"/>
        </w:rPr>
        <w:t> </w:t>
      </w:r>
      <w:r>
        <w:rPr>
          <w:rFonts w:ascii="Arial" w:hAnsi="Arial" w:cs="Arial" w:eastAsia="Arial" w:hint="default"/>
        </w:rPr>
        <w:t>1</w:t>
      </w:r>
      <w:r>
        <w:rPr>
          <w:rFonts w:ascii="Arial" w:hAnsi="Arial" w:cs="Arial" w:eastAsia="Arial" w:hint="default"/>
          <w:spacing w:val="-12"/>
        </w:rPr>
        <w:t> </w:t>
      </w:r>
      <w:r>
        <w:rPr/>
        <w:t>日止期间）合并利润表及现金流量表的终止</w:t>
      </w:r>
    </w:p>
    <w:p>
      <w:pPr>
        <w:pStyle w:val="BodyText"/>
        <w:spacing w:line="279" w:lineRule="exact"/>
        <w:ind w:left="746" w:right="0"/>
        <w:jc w:val="both"/>
        <w:rPr>
          <w:rFonts w:ascii="Arial" w:hAnsi="Arial" w:cs="Arial" w:eastAsia="Arial" w:hint="default"/>
        </w:rPr>
      </w:pPr>
      <w:r>
        <w:rPr>
          <w:spacing w:val="-4"/>
        </w:rPr>
        <w:t>经营业务。本集团实现处置收益约人民币</w:t>
      </w:r>
      <w:r>
        <w:rPr>
          <w:spacing w:val="-55"/>
        </w:rPr>
        <w:t> </w:t>
      </w:r>
      <w:r>
        <w:rPr>
          <w:rFonts w:ascii="Arial" w:hAnsi="Arial" w:cs="Arial" w:eastAsia="Arial" w:hint="default"/>
        </w:rPr>
        <w:t>356.27</w:t>
      </w:r>
      <w:r>
        <w:rPr>
          <w:rFonts w:ascii="Arial" w:hAnsi="Arial" w:cs="Arial" w:eastAsia="Arial" w:hint="default"/>
          <w:spacing w:val="-6"/>
        </w:rPr>
        <w:t> </w:t>
      </w:r>
      <w:r>
        <w:rPr>
          <w:spacing w:val="-4"/>
        </w:rPr>
        <w:t>亿元，扣除所得税后净收益约人民币</w:t>
      </w:r>
      <w:r>
        <w:rPr>
          <w:spacing w:val="-55"/>
        </w:rPr>
        <w:t> </w:t>
      </w:r>
      <w:r>
        <w:rPr>
          <w:rFonts w:ascii="Arial" w:hAnsi="Arial" w:cs="Arial" w:eastAsia="Arial" w:hint="default"/>
        </w:rPr>
        <w:t>265.85</w:t>
      </w:r>
    </w:p>
    <w:p>
      <w:pPr>
        <w:pStyle w:val="BodyText"/>
        <w:spacing w:line="279" w:lineRule="exact"/>
        <w:ind w:left="746" w:right="0"/>
        <w:jc w:val="both"/>
      </w:pPr>
      <w:r>
        <w:rPr/>
        <w:t>亿元。</w:t>
      </w:r>
    </w:p>
    <w:p>
      <w:pPr>
        <w:spacing w:line="240" w:lineRule="auto" w:before="1"/>
        <w:rPr>
          <w:rFonts w:ascii="宋体" w:hAnsi="宋体" w:cs="宋体" w:eastAsia="宋体" w:hint="default"/>
          <w:sz w:val="23"/>
          <w:szCs w:val="23"/>
        </w:rPr>
      </w:pPr>
    </w:p>
    <w:p>
      <w:pPr>
        <w:pStyle w:val="BodyText"/>
        <w:spacing w:line="286" w:lineRule="exact"/>
        <w:ind w:left="746" w:right="115"/>
        <w:jc w:val="both"/>
      </w:pPr>
      <w:r>
        <w:rPr/>
        <w:t>另外，联通运营公司与中国电信根据出售协议中规定的条款，就双方共用网络资产进行互换</w:t>
      </w:r>
      <w:r>
        <w:rPr>
          <w:spacing w:val="-65"/>
        </w:rPr>
        <w:t> </w:t>
      </w:r>
      <w:r>
        <w:rPr>
          <w:spacing w:val="-65"/>
        </w:rPr>
      </w:r>
      <w:r>
        <w:rPr/>
        <w:t>及互相使用签订了资产置换协议。根据该协议，本集团认为互换及相互使用共享网络资产不</w:t>
      </w:r>
      <w:r>
        <w:rPr>
          <w:spacing w:val="-65"/>
        </w:rPr>
        <w:t> </w:t>
      </w:r>
      <w:r>
        <w:rPr>
          <w:spacing w:val="-65"/>
        </w:rPr>
      </w:r>
      <w:r>
        <w:rPr/>
        <w:t>会对本集团的合并财务报表产生重大影响。</w:t>
      </w:r>
    </w:p>
    <w:p>
      <w:pPr>
        <w:spacing w:after="0" w:line="286" w:lineRule="exact"/>
        <w:jc w:val="both"/>
        <w:sectPr>
          <w:headerReference w:type="default" r:id="rId142"/>
          <w:pgSz w:w="11910" w:h="16840"/>
          <w:pgMar w:header="1330" w:footer="1042" w:top="2680" w:bottom="1240" w:left="1280" w:right="900"/>
        </w:sectPr>
      </w:pPr>
    </w:p>
    <w:p>
      <w:pPr>
        <w:spacing w:line="240" w:lineRule="auto" w:before="10"/>
        <w:rPr>
          <w:rFonts w:ascii="宋体" w:hAnsi="宋体" w:cs="宋体" w:eastAsia="宋体" w:hint="default"/>
          <w:sz w:val="16"/>
          <w:szCs w:val="16"/>
        </w:rPr>
      </w:pPr>
    </w:p>
    <w:p>
      <w:pPr>
        <w:pStyle w:val="BodyText"/>
        <w:spacing w:line="240" w:lineRule="auto" w:before="31"/>
        <w:ind w:left="746" w:right="125"/>
        <w:jc w:val="left"/>
      </w:pPr>
      <w:r>
        <w:rPr/>
        <w:t>于出售完成日，</w:t>
      </w:r>
      <w:r>
        <w:rPr>
          <w:rFonts w:ascii="Arial" w:hAnsi="Arial" w:cs="Arial" w:eastAsia="Arial" w:hint="default"/>
        </w:rPr>
        <w:t>CDMA</w:t>
      </w:r>
      <w:r>
        <w:rPr>
          <w:rFonts w:ascii="Arial" w:hAnsi="Arial" w:cs="Arial" w:eastAsia="Arial" w:hint="default"/>
          <w:spacing w:val="-10"/>
        </w:rPr>
        <w:t> </w:t>
      </w:r>
      <w:r>
        <w:rPr/>
        <w:t>业务的净资产列示如下：</w:t>
      </w:r>
    </w:p>
    <w:p>
      <w:pPr>
        <w:spacing w:line="240" w:lineRule="auto" w:before="6"/>
        <w:rPr>
          <w:rFonts w:ascii="宋体" w:hAnsi="宋体" w:cs="宋体" w:eastAsia="宋体" w:hint="default"/>
          <w:sz w:val="15"/>
          <w:szCs w:val="15"/>
        </w:rPr>
      </w:pPr>
    </w:p>
    <w:p>
      <w:pPr>
        <w:pStyle w:val="BodyText"/>
        <w:spacing w:line="240" w:lineRule="auto" w:before="31"/>
        <w:ind w:left="0" w:right="232"/>
        <w:jc w:val="right"/>
      </w:pPr>
      <w:r>
        <w:rPr>
          <w:w w:val="95"/>
        </w:rPr>
        <w:t>单位：人民币百万元</w:t>
      </w:r>
      <w:r>
        <w:rPr/>
      </w:r>
    </w:p>
    <w:p>
      <w:pPr>
        <w:pStyle w:val="BodyText"/>
        <w:spacing w:line="240" w:lineRule="auto" w:before="13"/>
        <w:ind w:left="745" w:right="125"/>
        <w:jc w:val="left"/>
      </w:pPr>
      <w:r>
        <w:rPr/>
        <w:pict>
          <v:group style="position:absolute;margin-left:433.440002pt;margin-top:2.033848pt;width:110.6pt;height:.1pt;mso-position-horizontal-relative:page;mso-position-vertical-relative:paragraph;z-index:8392" coordorigin="8669,41" coordsize="2212,2">
            <v:shape style="position:absolute;left:8669;top:41;width:2212;height:2" coordorigin="8669,41" coordsize="2212,0" path="m8669,41l10880,41e" filled="false" stroked="true" strokeweight=".72pt" strokecolor="#000000">
              <v:path arrowok="t"/>
            </v:shape>
            <w10:wrap type="none"/>
          </v:group>
        </w:pict>
      </w:r>
      <w:r>
        <w:rPr>
          <w:rFonts w:ascii="Arial" w:hAnsi="Arial" w:cs="Arial" w:eastAsia="Arial" w:hint="default"/>
        </w:rPr>
        <w:t>CDMA</w:t>
      </w:r>
      <w:r>
        <w:rPr>
          <w:rFonts w:ascii="Arial" w:hAnsi="Arial" w:cs="Arial" w:eastAsia="Arial" w:hint="default"/>
          <w:spacing w:val="-9"/>
        </w:rPr>
        <w:t> </w:t>
      </w:r>
      <w:r>
        <w:rPr/>
        <w:t>业务净资产</w:t>
      </w:r>
    </w:p>
    <w:p>
      <w:pPr>
        <w:pStyle w:val="BodyText"/>
        <w:tabs>
          <w:tab w:pos="8930" w:val="left" w:leader="none"/>
        </w:tabs>
        <w:spacing w:line="281" w:lineRule="exact"/>
        <w:ind w:left="1184" w:right="125"/>
        <w:jc w:val="left"/>
        <w:rPr>
          <w:rFonts w:ascii="Arial" w:hAnsi="Arial" w:cs="Arial" w:eastAsia="Arial" w:hint="default"/>
        </w:rPr>
      </w:pPr>
      <w:r>
        <w:rPr>
          <w:position w:val="2"/>
        </w:rPr>
        <w:t>货币资金</w:t>
        <w:tab/>
      </w:r>
      <w:r>
        <w:rPr>
          <w:rFonts w:ascii="Arial" w:hAnsi="Arial" w:cs="Arial" w:eastAsia="Arial" w:hint="default"/>
        </w:rPr>
        <w:t>4,612</w:t>
      </w:r>
    </w:p>
    <w:p>
      <w:pPr>
        <w:pStyle w:val="BodyText"/>
        <w:tabs>
          <w:tab w:pos="8930" w:val="left" w:leader="none"/>
        </w:tabs>
        <w:spacing w:line="285" w:lineRule="exact"/>
        <w:ind w:left="1184" w:right="125"/>
        <w:jc w:val="left"/>
        <w:rPr>
          <w:rFonts w:ascii="Arial" w:hAnsi="Arial" w:cs="Arial" w:eastAsia="Arial" w:hint="default"/>
        </w:rPr>
      </w:pPr>
      <w:r>
        <w:rPr>
          <w:w w:val="95"/>
          <w:position w:val="2"/>
        </w:rPr>
        <w:t>应收款项及其他流动资产</w:t>
        <w:tab/>
      </w:r>
      <w:r>
        <w:rPr>
          <w:rFonts w:ascii="Arial" w:hAnsi="Arial" w:cs="Arial" w:eastAsia="Arial" w:hint="default"/>
        </w:rPr>
        <w:t>1,499</w:t>
      </w:r>
    </w:p>
    <w:p>
      <w:pPr>
        <w:pStyle w:val="BodyText"/>
        <w:tabs>
          <w:tab w:pos="9481" w:val="right" w:leader="none"/>
        </w:tabs>
        <w:spacing w:line="285" w:lineRule="exact"/>
        <w:ind w:left="1184" w:right="0"/>
        <w:jc w:val="left"/>
        <w:rPr>
          <w:rFonts w:ascii="Arial" w:hAnsi="Arial" w:cs="Arial" w:eastAsia="Arial" w:hint="default"/>
        </w:rPr>
      </w:pPr>
      <w:r>
        <w:rPr>
          <w:position w:val="2"/>
        </w:rPr>
        <w:t>存货</w:t>
      </w:r>
      <w:r>
        <w:rPr>
          <w:rFonts w:ascii="Arial" w:hAnsi="Arial" w:cs="Arial" w:eastAsia="Arial" w:hint="default"/>
        </w:rPr>
        <w:tab/>
        <w:t>525</w:t>
      </w:r>
    </w:p>
    <w:p>
      <w:pPr>
        <w:pStyle w:val="BodyText"/>
        <w:tabs>
          <w:tab w:pos="8930" w:val="left" w:leader="none"/>
        </w:tabs>
        <w:spacing w:line="285" w:lineRule="exact"/>
        <w:ind w:left="1184" w:right="125"/>
        <w:jc w:val="left"/>
        <w:rPr>
          <w:rFonts w:ascii="Arial" w:hAnsi="Arial" w:cs="Arial" w:eastAsia="Arial" w:hint="default"/>
        </w:rPr>
      </w:pPr>
      <w:r>
        <w:rPr>
          <w:w w:val="95"/>
          <w:position w:val="2"/>
        </w:rPr>
        <w:t>固定资产及在建工程</w:t>
        <w:tab/>
      </w:r>
      <w:r>
        <w:rPr>
          <w:rFonts w:ascii="Arial" w:hAnsi="Arial" w:cs="Arial" w:eastAsia="Arial" w:hint="default"/>
        </w:rPr>
        <w:t>2,991</w:t>
      </w:r>
    </w:p>
    <w:p>
      <w:pPr>
        <w:pStyle w:val="BodyText"/>
        <w:tabs>
          <w:tab w:pos="9481" w:val="right" w:leader="none"/>
        </w:tabs>
        <w:spacing w:line="285" w:lineRule="exact"/>
        <w:ind w:left="1184" w:right="0"/>
        <w:jc w:val="left"/>
        <w:rPr>
          <w:rFonts w:ascii="Arial" w:hAnsi="Arial" w:cs="Arial" w:eastAsia="Arial" w:hint="default"/>
        </w:rPr>
      </w:pPr>
      <w:r>
        <w:rPr>
          <w:position w:val="2"/>
        </w:rPr>
        <w:t>无形资产</w:t>
      </w:r>
      <w:r>
        <w:rPr>
          <w:rFonts w:ascii="Arial" w:hAnsi="Arial" w:cs="Arial" w:eastAsia="Arial" w:hint="default"/>
        </w:rPr>
        <w:tab/>
        <w:t>197</w:t>
      </w:r>
    </w:p>
    <w:p>
      <w:pPr>
        <w:pStyle w:val="BodyText"/>
        <w:tabs>
          <w:tab w:pos="8930" w:val="left" w:leader="none"/>
        </w:tabs>
        <w:spacing w:line="285" w:lineRule="exact"/>
        <w:ind w:left="1184" w:right="125"/>
        <w:jc w:val="left"/>
        <w:rPr>
          <w:rFonts w:ascii="Arial" w:hAnsi="Arial" w:cs="Arial" w:eastAsia="Arial" w:hint="default"/>
        </w:rPr>
      </w:pPr>
      <w:r>
        <w:rPr>
          <w:w w:val="95"/>
          <w:position w:val="2"/>
        </w:rPr>
        <w:t>长期待摊费用</w:t>
        <w:tab/>
      </w:r>
      <w:r>
        <w:rPr>
          <w:rFonts w:ascii="Arial" w:hAnsi="Arial" w:cs="Arial" w:eastAsia="Arial" w:hint="default"/>
        </w:rPr>
        <w:t>3,524</w:t>
      </w:r>
    </w:p>
    <w:p>
      <w:pPr>
        <w:pStyle w:val="BodyText"/>
        <w:tabs>
          <w:tab w:pos="9481" w:val="right" w:leader="none"/>
        </w:tabs>
        <w:spacing w:line="286" w:lineRule="exact"/>
        <w:ind w:left="1184" w:right="0"/>
        <w:jc w:val="left"/>
        <w:rPr>
          <w:rFonts w:ascii="Arial" w:hAnsi="Arial" w:cs="Arial" w:eastAsia="Arial" w:hint="default"/>
        </w:rPr>
      </w:pPr>
      <w:r>
        <w:rPr>
          <w:position w:val="2"/>
        </w:rPr>
        <w:t>原联通华盛之递延所得税资产</w:t>
      </w:r>
      <w:r>
        <w:rPr>
          <w:rFonts w:ascii="Arial" w:hAnsi="Arial" w:cs="Arial" w:eastAsia="Arial" w:hint="default"/>
        </w:rPr>
        <w:tab/>
        <w:t>7</w:t>
      </w:r>
    </w:p>
    <w:p>
      <w:pPr>
        <w:pStyle w:val="BodyText"/>
        <w:tabs>
          <w:tab w:pos="9041" w:val="left" w:leader="none"/>
        </w:tabs>
        <w:spacing w:line="285" w:lineRule="exact"/>
        <w:ind w:left="1184" w:right="125"/>
        <w:jc w:val="left"/>
        <w:rPr>
          <w:rFonts w:ascii="Arial" w:hAnsi="Arial" w:cs="Arial" w:eastAsia="Arial" w:hint="default"/>
        </w:rPr>
      </w:pPr>
      <w:r>
        <w:rPr>
          <w:w w:val="95"/>
          <w:position w:val="2"/>
        </w:rPr>
        <w:t>递延收益（一次性不退还收入及递延积分奖励）</w:t>
        <w:tab/>
      </w:r>
      <w:r>
        <w:rPr>
          <w:rFonts w:ascii="Arial" w:hAnsi="Arial" w:cs="Arial" w:eastAsia="Arial" w:hint="default"/>
        </w:rPr>
        <w:t>(305)</w:t>
      </w:r>
    </w:p>
    <w:p>
      <w:pPr>
        <w:pStyle w:val="BodyText"/>
        <w:tabs>
          <w:tab w:pos="8857" w:val="left" w:leader="none"/>
        </w:tabs>
        <w:spacing w:line="285" w:lineRule="exact"/>
        <w:ind w:left="1184" w:right="125"/>
        <w:jc w:val="left"/>
        <w:rPr>
          <w:rFonts w:ascii="Arial" w:hAnsi="Arial" w:cs="Arial" w:eastAsia="Arial" w:hint="default"/>
        </w:rPr>
      </w:pPr>
      <w:r>
        <w:rPr>
          <w:w w:val="95"/>
          <w:position w:val="2"/>
        </w:rPr>
        <w:t>其他应付款及其他流动负债</w:t>
        <w:tab/>
      </w:r>
      <w:r>
        <w:rPr>
          <w:rFonts w:ascii="Arial" w:hAnsi="Arial" w:cs="Arial" w:eastAsia="Arial" w:hint="default"/>
        </w:rPr>
        <w:t>(1,145)</w:t>
      </w:r>
    </w:p>
    <w:p>
      <w:pPr>
        <w:pStyle w:val="BodyText"/>
        <w:tabs>
          <w:tab w:pos="8857" w:val="left" w:leader="none"/>
        </w:tabs>
        <w:spacing w:line="285" w:lineRule="exact"/>
        <w:ind w:left="1184" w:right="125"/>
        <w:jc w:val="left"/>
        <w:rPr>
          <w:rFonts w:ascii="Arial" w:hAnsi="Arial" w:cs="Arial" w:eastAsia="Arial" w:hint="default"/>
        </w:rPr>
      </w:pPr>
      <w:r>
        <w:rPr>
          <w:position w:val="2"/>
        </w:rPr>
        <w:t>预收账款</w:t>
        <w:tab/>
      </w:r>
      <w:r>
        <w:rPr>
          <w:rFonts w:ascii="Arial" w:hAnsi="Arial" w:cs="Arial" w:eastAsia="Arial" w:hint="default"/>
        </w:rPr>
        <w:t>(4,428)</w:t>
      </w:r>
    </w:p>
    <w:p>
      <w:pPr>
        <w:pStyle w:val="BodyText"/>
        <w:tabs>
          <w:tab w:pos="7388" w:val="left" w:leader="none"/>
          <w:tab w:pos="9285" w:val="left" w:leader="none"/>
        </w:tabs>
        <w:spacing w:line="298" w:lineRule="exact"/>
        <w:ind w:left="1184" w:right="125"/>
        <w:jc w:val="left"/>
        <w:rPr>
          <w:rFonts w:ascii="Arial" w:hAnsi="Arial" w:cs="Arial" w:eastAsia="Arial" w:hint="default"/>
        </w:rPr>
      </w:pPr>
      <w:r>
        <w:rPr>
          <w:w w:val="95"/>
          <w:position w:val="2"/>
        </w:rPr>
        <w:t>原联通华盛之少数股东权益</w:t>
        <w:tab/>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(5)</w:t>
      </w:r>
      <w:r>
        <w:rPr>
          <w:rFonts w:ascii="Arial" w:hAnsi="Arial" w:cs="Arial" w:eastAsia="Arial" w:hint="default"/>
        </w:rPr>
      </w:r>
    </w:p>
    <w:p>
      <w:pPr>
        <w:pStyle w:val="BodyText"/>
        <w:tabs>
          <w:tab w:pos="8930" w:val="left" w:leader="none"/>
        </w:tabs>
        <w:spacing w:line="307" w:lineRule="exact"/>
        <w:ind w:left="745" w:right="125"/>
        <w:jc w:val="left"/>
        <w:rPr>
          <w:rFonts w:ascii="Arial" w:hAnsi="Arial" w:cs="Arial" w:eastAsia="Arial" w:hint="default"/>
        </w:rPr>
      </w:pPr>
      <w:r>
        <w:rPr>
          <w:w w:val="95"/>
          <w:position w:val="1"/>
        </w:rPr>
        <w:t>小计</w:t>
        <w:tab/>
      </w:r>
      <w:r>
        <w:rPr>
          <w:rFonts w:ascii="Arial" w:hAnsi="Arial" w:cs="Arial" w:eastAsia="Arial" w:hint="default"/>
        </w:rPr>
        <w:t>7,472</w:t>
      </w:r>
    </w:p>
    <w:p>
      <w:pPr>
        <w:spacing w:line="240" w:lineRule="auto" w:before="5"/>
        <w:rPr>
          <w:rFonts w:ascii="Arial" w:hAnsi="Arial" w:cs="Arial" w:eastAsia="Arial" w:hint="default"/>
          <w:sz w:val="16"/>
          <w:szCs w:val="16"/>
        </w:rPr>
      </w:pPr>
    </w:p>
    <w:p>
      <w:pPr>
        <w:pStyle w:val="BodyText"/>
        <w:tabs>
          <w:tab w:pos="9481" w:val="right" w:leader="none"/>
        </w:tabs>
        <w:spacing w:line="305" w:lineRule="exact" w:before="27"/>
        <w:ind w:left="745" w:right="0"/>
        <w:jc w:val="left"/>
        <w:rPr>
          <w:rFonts w:ascii="Arial" w:hAnsi="Arial" w:cs="Arial" w:eastAsia="Arial" w:hint="default"/>
        </w:rPr>
      </w:pPr>
      <w:r>
        <w:rPr>
          <w:position w:val="2"/>
        </w:rPr>
        <w:t>加：出售</w:t>
      </w:r>
      <w:r>
        <w:rPr>
          <w:spacing w:val="-55"/>
          <w:position w:val="2"/>
        </w:rPr>
        <w:t> </w:t>
      </w:r>
      <w:r>
        <w:rPr>
          <w:rFonts w:ascii="Arial" w:hAnsi="Arial" w:cs="Arial" w:eastAsia="Arial" w:hint="default"/>
          <w:position w:val="2"/>
        </w:rPr>
        <w:t>CDMA</w:t>
      </w:r>
      <w:r>
        <w:rPr>
          <w:rFonts w:ascii="Arial" w:hAnsi="Arial" w:cs="Arial" w:eastAsia="Arial" w:hint="default"/>
          <w:spacing w:val="-6"/>
          <w:position w:val="2"/>
        </w:rPr>
        <w:t> </w:t>
      </w:r>
      <w:r>
        <w:rPr>
          <w:position w:val="2"/>
        </w:rPr>
        <w:t>业务后仍需提供的免费服务公允价值</w:t>
      </w:r>
      <w:r>
        <w:rPr>
          <w:rFonts w:ascii="Arial" w:hAnsi="Arial" w:cs="Arial" w:eastAsia="Arial" w:hint="default"/>
        </w:rPr>
        <w:tab/>
        <w:t>517</w:t>
      </w:r>
    </w:p>
    <w:p>
      <w:pPr>
        <w:pStyle w:val="BodyText"/>
        <w:tabs>
          <w:tab w:pos="9481" w:val="right" w:leader="none"/>
        </w:tabs>
        <w:spacing w:line="285" w:lineRule="exact"/>
        <w:ind w:left="1184" w:right="0"/>
        <w:jc w:val="left"/>
        <w:rPr>
          <w:rFonts w:ascii="Arial" w:hAnsi="Arial" w:cs="Arial" w:eastAsia="Arial" w:hint="default"/>
        </w:rPr>
      </w:pPr>
      <w:r>
        <w:rPr>
          <w:position w:val="2"/>
        </w:rPr>
        <w:t>交易费用及税金</w:t>
      </w:r>
      <w:r>
        <w:rPr>
          <w:rFonts w:ascii="Arial" w:hAnsi="Arial" w:cs="Arial" w:eastAsia="Arial" w:hint="default"/>
        </w:rPr>
        <w:tab/>
        <w:t>184</w:t>
      </w:r>
    </w:p>
    <w:p>
      <w:pPr>
        <w:pStyle w:val="BodyText"/>
        <w:tabs>
          <w:tab w:pos="7388" w:val="left" w:leader="none"/>
          <w:tab w:pos="8808" w:val="left" w:leader="none"/>
          <w:tab w:pos="9600" w:val="left" w:leader="none"/>
        </w:tabs>
        <w:spacing w:line="304" w:lineRule="exact"/>
        <w:ind w:left="1184" w:right="125"/>
        <w:jc w:val="left"/>
        <w:rPr>
          <w:rFonts w:ascii="Arial" w:hAnsi="Arial" w:cs="Arial" w:eastAsia="Arial" w:hint="default"/>
        </w:rPr>
      </w:pPr>
      <w:r>
        <w:rPr>
          <w:rFonts w:ascii="Arial" w:hAnsi="Arial" w:cs="Arial" w:eastAsia="Arial" w:hint="default"/>
          <w:position w:val="2"/>
        </w:rPr>
        <w:t>CDMA</w:t>
      </w:r>
      <w:r>
        <w:rPr>
          <w:rFonts w:ascii="Arial" w:hAnsi="Arial" w:cs="Arial" w:eastAsia="Arial" w:hint="default"/>
          <w:spacing w:val="-9"/>
          <w:position w:val="2"/>
        </w:rPr>
        <w:t> </w:t>
      </w:r>
      <w:r>
        <w:rPr>
          <w:position w:val="2"/>
        </w:rPr>
        <w:t>业务出售收益</w:t>
        <w:tab/>
      </w:r>
      <w:r>
        <w:rPr>
          <w:rFonts w:ascii="Arial" w:hAnsi="Arial" w:cs="Arial" w:eastAsia="Arial" w:hint="default"/>
        </w:rPr>
      </w:r>
      <w:r>
        <w:rPr>
          <w:rFonts w:ascii="Arial" w:hAnsi="Arial" w:cs="Arial" w:eastAsia="Arial" w:hint="default"/>
          <w:u w:val="single" w:color="000000"/>
        </w:rPr>
        <w:t> </w:t>
        <w:tab/>
        <w:t>35,627</w:t>
        <w:tab/>
      </w:r>
      <w:r>
        <w:rPr>
          <w:rFonts w:ascii="Arial" w:hAnsi="Arial" w:cs="Arial" w:eastAsia="Arial" w:hint="default"/>
        </w:rPr>
      </w:r>
    </w:p>
    <w:p>
      <w:pPr>
        <w:spacing w:line="240" w:lineRule="auto" w:before="11"/>
        <w:rPr>
          <w:rFonts w:ascii="Arial" w:hAnsi="Arial" w:cs="Arial" w:eastAsia="Arial" w:hint="default"/>
          <w:sz w:val="19"/>
          <w:szCs w:val="19"/>
        </w:rPr>
      </w:pPr>
    </w:p>
    <w:p>
      <w:pPr>
        <w:pStyle w:val="BodyText"/>
        <w:tabs>
          <w:tab w:pos="7388" w:val="left" w:leader="none"/>
          <w:tab w:pos="8808" w:val="left" w:leader="none"/>
          <w:tab w:pos="9600" w:val="left" w:leader="none"/>
        </w:tabs>
        <w:spacing w:line="317" w:lineRule="exact"/>
        <w:ind w:left="745" w:right="125"/>
        <w:jc w:val="left"/>
        <w:rPr>
          <w:rFonts w:ascii="Arial" w:hAnsi="Arial" w:cs="Arial" w:eastAsia="Arial" w:hint="default"/>
        </w:rPr>
      </w:pPr>
      <w:r>
        <w:rPr>
          <w:position w:val="2"/>
        </w:rPr>
        <w:t>出售</w:t>
      </w:r>
      <w:r>
        <w:rPr>
          <w:spacing w:val="-58"/>
          <w:position w:val="2"/>
        </w:rPr>
        <w:t> </w:t>
      </w:r>
      <w:r>
        <w:rPr>
          <w:rFonts w:ascii="Arial" w:hAnsi="Arial" w:cs="Arial" w:eastAsia="Arial" w:hint="default"/>
          <w:position w:val="2"/>
        </w:rPr>
        <w:t>CDMA</w:t>
      </w:r>
      <w:r>
        <w:rPr>
          <w:rFonts w:ascii="Arial" w:hAnsi="Arial" w:cs="Arial" w:eastAsia="Arial" w:hint="default"/>
          <w:spacing w:val="-8"/>
          <w:position w:val="2"/>
        </w:rPr>
        <w:t> </w:t>
      </w:r>
      <w:r>
        <w:rPr>
          <w:position w:val="2"/>
        </w:rPr>
        <w:t>业务之现金对价</w:t>
        <w:tab/>
      </w:r>
      <w:r>
        <w:rPr>
          <w:rFonts w:ascii="Arial" w:hAnsi="Arial" w:cs="Arial" w:eastAsia="Arial" w:hint="default"/>
        </w:rPr>
      </w:r>
      <w:r>
        <w:rPr>
          <w:rFonts w:ascii="Arial" w:hAnsi="Arial" w:cs="Arial" w:eastAsia="Arial" w:hint="default"/>
          <w:u w:val="single" w:color="000000"/>
        </w:rPr>
        <w:t> </w:t>
        <w:tab/>
        <w:t>43,800</w:t>
        <w:tab/>
      </w:r>
      <w:r>
        <w:rPr>
          <w:rFonts w:ascii="Arial" w:hAnsi="Arial" w:cs="Arial" w:eastAsia="Arial" w:hint="default"/>
        </w:rPr>
      </w:r>
    </w:p>
    <w:p>
      <w:pPr>
        <w:pStyle w:val="BodyText"/>
        <w:tabs>
          <w:tab w:pos="8857" w:val="left" w:leader="none"/>
        </w:tabs>
        <w:spacing w:line="288" w:lineRule="exact"/>
        <w:ind w:left="745" w:right="125"/>
        <w:jc w:val="left"/>
        <w:rPr>
          <w:rFonts w:ascii="Arial" w:hAnsi="Arial" w:cs="Arial" w:eastAsia="Arial" w:hint="default"/>
        </w:rPr>
      </w:pPr>
      <w:r>
        <w:rPr>
          <w:w w:val="95"/>
          <w:position w:val="1"/>
        </w:rPr>
        <w:t>减：已被出售之现金</w:t>
        <w:tab/>
      </w:r>
      <w:r>
        <w:rPr>
          <w:rFonts w:ascii="Arial" w:hAnsi="Arial" w:cs="Arial" w:eastAsia="Arial" w:hint="default"/>
        </w:rPr>
        <w:t>(1,148)</w:t>
      </w:r>
    </w:p>
    <w:p>
      <w:pPr>
        <w:pStyle w:val="BodyText"/>
        <w:tabs>
          <w:tab w:pos="7388" w:val="left" w:leader="none"/>
          <w:tab w:pos="8734" w:val="left" w:leader="none"/>
        </w:tabs>
        <w:spacing w:line="305" w:lineRule="exact"/>
        <w:ind w:left="1184" w:right="125"/>
        <w:jc w:val="left"/>
        <w:rPr>
          <w:rFonts w:ascii="Arial" w:hAnsi="Arial" w:cs="Arial" w:eastAsia="Arial" w:hint="default"/>
        </w:rPr>
      </w:pPr>
      <w:r>
        <w:rPr>
          <w:position w:val="2"/>
        </w:rPr>
        <w:t>应收中国电信</w:t>
      </w:r>
      <w:r>
        <w:rPr>
          <w:spacing w:val="-57"/>
          <w:position w:val="2"/>
        </w:rPr>
        <w:t> </w:t>
      </w:r>
      <w:r>
        <w:rPr>
          <w:rFonts w:ascii="Arial" w:hAnsi="Arial" w:cs="Arial" w:eastAsia="Arial" w:hint="default"/>
          <w:position w:val="2"/>
        </w:rPr>
        <w:t>CDMA</w:t>
      </w:r>
      <w:r>
        <w:rPr>
          <w:rFonts w:ascii="Arial" w:hAnsi="Arial" w:cs="Arial" w:eastAsia="Arial" w:hint="default"/>
          <w:spacing w:val="-8"/>
          <w:position w:val="2"/>
        </w:rPr>
        <w:t> </w:t>
      </w:r>
      <w:r>
        <w:rPr>
          <w:position w:val="2"/>
        </w:rPr>
        <w:t>业务出售款</w:t>
        <w:tab/>
      </w:r>
      <w:r>
        <w:rPr>
          <w:rFonts w:ascii="Arial" w:hAnsi="Arial" w:cs="Arial" w:eastAsia="Arial" w:hint="default"/>
        </w:rPr>
      </w:r>
      <w:r>
        <w:rPr>
          <w:rFonts w:ascii="Arial" w:hAnsi="Arial" w:cs="Arial" w:eastAsia="Arial" w:hint="default"/>
          <w:u w:val="single" w:color="000000"/>
        </w:rPr>
        <w:t> </w:t>
        <w:tab/>
        <w:t>(13,140)</w:t>
      </w:r>
      <w:r>
        <w:rPr>
          <w:rFonts w:ascii="Arial" w:hAnsi="Arial" w:cs="Arial" w:eastAsia="Arial" w:hint="default"/>
        </w:rPr>
      </w:r>
    </w:p>
    <w:p>
      <w:pPr>
        <w:spacing w:line="240" w:lineRule="auto" w:before="8"/>
        <w:rPr>
          <w:rFonts w:ascii="Arial" w:hAnsi="Arial" w:cs="Arial" w:eastAsia="Arial" w:hint="default"/>
          <w:sz w:val="17"/>
          <w:szCs w:val="17"/>
        </w:rPr>
      </w:pPr>
    </w:p>
    <w:p>
      <w:pPr>
        <w:pStyle w:val="BodyText"/>
        <w:tabs>
          <w:tab w:pos="8808" w:val="left" w:leader="none"/>
        </w:tabs>
        <w:spacing w:line="240" w:lineRule="auto" w:before="27"/>
        <w:ind w:left="745" w:right="125"/>
        <w:jc w:val="left"/>
        <w:rPr>
          <w:rFonts w:ascii="Arial" w:hAnsi="Arial" w:cs="Arial" w:eastAsia="Arial" w:hint="default"/>
        </w:rPr>
      </w:pPr>
      <w:r>
        <w:rPr>
          <w:position w:val="2"/>
        </w:rPr>
        <w:t>出售</w:t>
      </w:r>
      <w:r>
        <w:rPr>
          <w:spacing w:val="-58"/>
          <w:position w:val="2"/>
        </w:rPr>
        <w:t> </w:t>
      </w:r>
      <w:r>
        <w:rPr>
          <w:rFonts w:ascii="Arial" w:hAnsi="Arial" w:cs="Arial" w:eastAsia="Arial" w:hint="default"/>
          <w:position w:val="2"/>
        </w:rPr>
        <w:t>CDMA</w:t>
      </w:r>
      <w:r>
        <w:rPr>
          <w:rFonts w:ascii="Arial" w:hAnsi="Arial" w:cs="Arial" w:eastAsia="Arial" w:hint="default"/>
          <w:spacing w:val="-8"/>
          <w:position w:val="2"/>
        </w:rPr>
        <w:t> </w:t>
      </w:r>
      <w:r>
        <w:rPr>
          <w:position w:val="2"/>
        </w:rPr>
        <w:t>业务的现金净增加额</w:t>
        <w:tab/>
      </w:r>
      <w:r>
        <w:rPr>
          <w:rFonts w:ascii="Arial" w:hAnsi="Arial" w:cs="Arial" w:eastAsia="Arial" w:hint="default"/>
        </w:rPr>
        <w:t>29,512</w:t>
      </w:r>
    </w:p>
    <w:p>
      <w:pPr>
        <w:spacing w:line="43" w:lineRule="exact"/>
        <w:ind w:left="7374" w:right="0" w:firstLine="0"/>
        <w:rPr>
          <w:rFonts w:ascii="Arial" w:hAnsi="Arial" w:cs="Arial" w:eastAsia="Arial" w:hint="default"/>
          <w:sz w:val="4"/>
          <w:szCs w:val="4"/>
        </w:rPr>
      </w:pPr>
      <w:r>
        <w:rPr>
          <w:rFonts w:ascii="Arial" w:hAnsi="Arial" w:cs="Arial" w:eastAsia="Arial" w:hint="default"/>
          <w:position w:val="0"/>
          <w:sz w:val="4"/>
          <w:szCs w:val="4"/>
        </w:rPr>
        <w:pict>
          <v:group style="width:112.05pt;height:2.2pt;mso-position-horizontal-relative:char;mso-position-vertical-relative:line" coordorigin="0,0" coordsize="2241,44">
            <v:group style="position:absolute;left:7;top:36;width:2226;height:2" coordorigin="7,36" coordsize="2226,2">
              <v:shape style="position:absolute;left:7;top:36;width:2226;height:2" coordorigin="7,36" coordsize="2226,0" path="m7,36l2233,36e" filled="false" stroked="true" strokeweight=".72pt" strokecolor="#000000">
                <v:path arrowok="t"/>
              </v:shape>
            </v:group>
            <v:group style="position:absolute;left:7;top:7;width:2226;height:2" coordorigin="7,7" coordsize="2226,2">
              <v:shape style="position:absolute;left:7;top:7;width:2226;height:2" coordorigin="7,7" coordsize="2226,0" path="m7,7l2233,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4"/>
        <w:rPr>
          <w:rFonts w:ascii="Arial" w:hAnsi="Arial" w:cs="Arial" w:eastAsia="Arial" w:hint="default"/>
          <w:sz w:val="12"/>
          <w:szCs w:val="12"/>
        </w:rPr>
      </w:pPr>
    </w:p>
    <w:p>
      <w:pPr>
        <w:pStyle w:val="BodyText"/>
        <w:spacing w:line="286" w:lineRule="exact" w:before="60"/>
        <w:ind w:left="746" w:right="109"/>
        <w:jc w:val="left"/>
      </w:pPr>
      <w:r>
        <w:rPr/>
        <w:t>被出售的</w:t>
      </w:r>
      <w:r>
        <w:rPr>
          <w:spacing w:val="-62"/>
        </w:rPr>
        <w:t> </w:t>
      </w:r>
      <w:r>
        <w:rPr>
          <w:rFonts w:ascii="Arial" w:hAnsi="Arial" w:cs="Arial" w:eastAsia="Arial" w:hint="default"/>
        </w:rPr>
        <w:t>CDMA</w:t>
      </w:r>
      <w:r>
        <w:rPr>
          <w:rFonts w:ascii="Arial" w:hAnsi="Arial" w:cs="Arial" w:eastAsia="Arial" w:hint="default"/>
          <w:spacing w:val="-13"/>
        </w:rPr>
        <w:t> </w:t>
      </w:r>
      <w:r>
        <w:rPr/>
        <w:t>业务</w:t>
      </w:r>
      <w:r>
        <w:rPr>
          <w:spacing w:val="-62"/>
        </w:rPr>
        <w:t> </w:t>
      </w:r>
      <w:r>
        <w:rPr>
          <w:rFonts w:ascii="Arial" w:hAnsi="Arial" w:cs="Arial" w:eastAsia="Arial" w:hint="default"/>
        </w:rPr>
        <w:t>2008</w:t>
      </w:r>
      <w:r>
        <w:rPr>
          <w:rFonts w:ascii="Arial" w:hAnsi="Arial" w:cs="Arial" w:eastAsia="Arial" w:hint="default"/>
          <w:spacing w:val="-13"/>
        </w:rPr>
        <w:t> </w:t>
      </w:r>
      <w:r>
        <w:rPr/>
        <w:t>年</w:t>
      </w:r>
      <w:r>
        <w:rPr>
          <w:spacing w:val="-62"/>
        </w:rPr>
        <w:t> </w:t>
      </w:r>
      <w:r>
        <w:rPr>
          <w:rFonts w:ascii="Arial" w:hAnsi="Arial" w:cs="Arial" w:eastAsia="Arial" w:hint="default"/>
        </w:rPr>
        <w:t>1</w:t>
      </w:r>
      <w:r>
        <w:rPr>
          <w:rFonts w:ascii="Arial" w:hAnsi="Arial" w:cs="Arial" w:eastAsia="Arial" w:hint="default"/>
          <w:spacing w:val="-13"/>
        </w:rPr>
        <w:t> </w:t>
      </w:r>
      <w:r>
        <w:rPr/>
        <w:t>月</w:t>
      </w:r>
      <w:r>
        <w:rPr>
          <w:spacing w:val="-63"/>
        </w:rPr>
        <w:t> </w:t>
      </w:r>
      <w:r>
        <w:rPr>
          <w:rFonts w:ascii="Arial" w:hAnsi="Arial" w:cs="Arial" w:eastAsia="Arial" w:hint="default"/>
        </w:rPr>
        <w:t>1</w:t>
      </w:r>
      <w:r>
        <w:rPr>
          <w:rFonts w:ascii="Arial" w:hAnsi="Arial" w:cs="Arial" w:eastAsia="Arial" w:hint="default"/>
          <w:spacing w:val="-13"/>
        </w:rPr>
        <w:t> </w:t>
      </w:r>
      <w:r>
        <w:rPr/>
        <w:t>日至</w:t>
      </w:r>
      <w:r>
        <w:rPr>
          <w:spacing w:val="-62"/>
        </w:rPr>
        <w:t> </w:t>
      </w:r>
      <w:r>
        <w:rPr>
          <w:rFonts w:ascii="Arial" w:hAnsi="Arial" w:cs="Arial" w:eastAsia="Arial" w:hint="default"/>
        </w:rPr>
        <w:t>2008</w:t>
      </w:r>
      <w:r>
        <w:rPr>
          <w:rFonts w:ascii="Arial" w:hAnsi="Arial" w:cs="Arial" w:eastAsia="Arial" w:hint="default"/>
          <w:spacing w:val="-14"/>
        </w:rPr>
        <w:t> </w:t>
      </w:r>
      <w:r>
        <w:rPr/>
        <w:t>年</w:t>
      </w:r>
      <w:r>
        <w:rPr>
          <w:spacing w:val="-62"/>
        </w:rPr>
        <w:t> </w:t>
      </w:r>
      <w:r>
        <w:rPr>
          <w:rFonts w:ascii="Arial" w:hAnsi="Arial" w:cs="Arial" w:eastAsia="Arial" w:hint="default"/>
        </w:rPr>
        <w:t>10</w:t>
      </w:r>
      <w:r>
        <w:rPr>
          <w:rFonts w:ascii="Arial" w:hAnsi="Arial" w:cs="Arial" w:eastAsia="Arial" w:hint="default"/>
          <w:spacing w:val="-13"/>
        </w:rPr>
        <w:t> </w:t>
      </w:r>
      <w:r>
        <w:rPr/>
        <w:t>月</w:t>
      </w:r>
      <w:r>
        <w:rPr>
          <w:spacing w:val="-62"/>
        </w:rPr>
        <w:t> </w:t>
      </w:r>
      <w:r>
        <w:rPr>
          <w:rFonts w:ascii="Arial" w:hAnsi="Arial" w:cs="Arial" w:eastAsia="Arial" w:hint="default"/>
        </w:rPr>
        <w:t>1</w:t>
      </w:r>
      <w:r>
        <w:rPr>
          <w:rFonts w:ascii="Arial" w:hAnsi="Arial" w:cs="Arial" w:eastAsia="Arial" w:hint="default"/>
          <w:spacing w:val="-13"/>
        </w:rPr>
        <w:t> </w:t>
      </w:r>
      <w:r>
        <w:rPr/>
        <w:t>日止期间的主要利润表项目列示如</w:t>
      </w:r>
      <w:r>
        <w:rPr>
          <w:w w:val="99"/>
        </w:rPr>
        <w:t> </w:t>
      </w:r>
      <w:r>
        <w:rPr/>
        <w:t>下：</w:t>
      </w:r>
    </w:p>
    <w:p>
      <w:pPr>
        <w:spacing w:line="240" w:lineRule="auto" w:before="2"/>
        <w:rPr>
          <w:rFonts w:ascii="宋体" w:hAnsi="宋体" w:cs="宋体" w:eastAsia="宋体" w:hint="default"/>
          <w:sz w:val="11"/>
          <w:szCs w:val="11"/>
        </w:rPr>
      </w:pPr>
    </w:p>
    <w:tbl>
      <w:tblPr>
        <w:tblW w:w="0" w:type="auto"/>
        <w:jc w:val="left"/>
        <w:tblInd w:w="725" w:type="dxa"/>
        <w:tblLayout w:type="fixed"/>
        <w:tblCellMar>
          <w:top w:w="0" w:type="dxa"/>
          <w:left w:w="0" w:type="dxa"/>
          <w:bottom w:w="0" w:type="dxa"/>
          <w:right w:w="0" w:type="dxa"/>
        </w:tblCellMar>
        <w:tblLook w:val="01E0"/>
      </w:tblPr>
      <w:tblGrid>
        <w:gridCol w:w="6558"/>
        <w:gridCol w:w="2266"/>
      </w:tblGrid>
      <w:tr>
        <w:trPr>
          <w:trHeight w:val="646" w:hRule="exact"/>
        </w:trPr>
        <w:tc>
          <w:tcPr>
            <w:tcW w:w="655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（单位：人民币千元）</w:t>
            </w:r>
          </w:p>
        </w:tc>
        <w:tc>
          <w:tcPr>
            <w:tcW w:w="2266" w:type="dxa"/>
            <w:tcBorders>
              <w:top w:val="nil" w:sz="6" w:space="0" w:color="auto"/>
              <w:left w:val="nil" w:sz="6" w:space="0" w:color="auto"/>
              <w:bottom w:val="single" w:sz="6" w:space="0" w:color="000000"/>
              <w:right w:val="nil" w:sz="6" w:space="0" w:color="auto"/>
            </w:tcBorders>
          </w:tcPr>
          <w:p>
            <w:pPr>
              <w:pStyle w:val="TableParagraph"/>
              <w:spacing w:line="295" w:lineRule="exact" w:before="31"/>
              <w:ind w:left="950" w:right="0"/>
              <w:jc w:val="left"/>
              <w:rPr>
                <w:rFonts w:ascii="宋体" w:hAnsi="宋体" w:cs="宋体" w:eastAsia="宋体" w:hint="default"/>
                <w:sz w:val="22"/>
                <w:szCs w:val="22"/>
              </w:rPr>
            </w:pPr>
            <w:r>
              <w:rPr>
                <w:rFonts w:ascii="宋体" w:hAnsi="宋体" w:cs="宋体" w:eastAsia="宋体" w:hint="default"/>
                <w:sz w:val="22"/>
                <w:szCs w:val="22"/>
              </w:rPr>
              <w:t>截至</w:t>
            </w:r>
            <w:r>
              <w:rPr>
                <w:rFonts w:ascii="宋体" w:hAnsi="宋体" w:cs="宋体" w:eastAsia="宋体" w:hint="default"/>
                <w:spacing w:val="-57"/>
                <w:sz w:val="22"/>
                <w:szCs w:val="22"/>
              </w:rPr>
              <w:t> </w:t>
            </w: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w:t>
            </w:r>
          </w:p>
          <w:p>
            <w:pPr>
              <w:pStyle w:val="TableParagraph"/>
              <w:spacing w:line="295" w:lineRule="exact"/>
              <w:ind w:left="578" w:right="0"/>
              <w:jc w:val="left"/>
              <w:rPr>
                <w:rFonts w:ascii="宋体" w:hAnsi="宋体" w:cs="宋体" w:eastAsia="宋体" w:hint="default"/>
                <w:sz w:val="22"/>
                <w:szCs w:val="22"/>
              </w:rPr>
            </w:pPr>
            <w:r>
              <w:rPr>
                <w:rFonts w:ascii="Arial" w:hAnsi="Arial" w:cs="Arial" w:eastAsia="Arial" w:hint="default"/>
                <w:sz w:val="22"/>
                <w:szCs w:val="22"/>
              </w:rPr>
              <w:t>10</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1</w:t>
            </w:r>
            <w:r>
              <w:rPr>
                <w:rFonts w:ascii="Arial" w:hAnsi="Arial" w:cs="Arial" w:eastAsia="Arial" w:hint="default"/>
                <w:spacing w:val="-7"/>
                <w:sz w:val="22"/>
                <w:szCs w:val="22"/>
              </w:rPr>
              <w:t> </w:t>
            </w:r>
            <w:r>
              <w:rPr>
                <w:rFonts w:ascii="宋体" w:hAnsi="宋体" w:cs="宋体" w:eastAsia="宋体" w:hint="default"/>
                <w:sz w:val="22"/>
                <w:szCs w:val="22"/>
              </w:rPr>
              <w:t>日止期间</w:t>
            </w:r>
          </w:p>
        </w:tc>
      </w:tr>
      <w:tr>
        <w:trPr>
          <w:trHeight w:val="558" w:hRule="exact"/>
        </w:trPr>
        <w:tc>
          <w:tcPr>
            <w:tcW w:w="655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终止经营收入</w:t>
            </w:r>
          </w:p>
        </w:tc>
        <w:tc>
          <w:tcPr>
            <w:tcW w:w="2266" w:type="dxa"/>
            <w:tcBorders>
              <w:top w:val="single" w:sz="6"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right="136"/>
              <w:jc w:val="right"/>
              <w:rPr>
                <w:rFonts w:ascii="Arial" w:hAnsi="Arial" w:cs="Arial" w:eastAsia="Arial" w:hint="default"/>
                <w:sz w:val="22"/>
                <w:szCs w:val="22"/>
              </w:rPr>
            </w:pPr>
            <w:r>
              <w:rPr>
                <w:rFonts w:ascii="Arial"/>
                <w:w w:val="95"/>
                <w:sz w:val="22"/>
              </w:rPr>
              <w:t>22,396,424</w:t>
            </w:r>
            <w:r>
              <w:rPr>
                <w:rFonts w:ascii="Arial"/>
                <w:sz w:val="22"/>
              </w:rPr>
            </w:r>
          </w:p>
        </w:tc>
      </w:tr>
      <w:tr>
        <w:trPr>
          <w:trHeight w:val="285" w:hRule="exact"/>
        </w:trPr>
        <w:tc>
          <w:tcPr>
            <w:tcW w:w="6558"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减：终止经营成本和费用</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61"/>
              <w:jc w:val="right"/>
              <w:rPr>
                <w:rFonts w:ascii="Arial" w:hAnsi="Arial" w:cs="Arial" w:eastAsia="Arial" w:hint="default"/>
                <w:sz w:val="22"/>
                <w:szCs w:val="22"/>
              </w:rPr>
            </w:pPr>
            <w:r>
              <w:rPr>
                <w:rFonts w:ascii="Arial"/>
                <w:w w:val="95"/>
                <w:sz w:val="22"/>
              </w:rPr>
              <w:t>(20,590,401)</w:t>
            </w:r>
            <w:r>
              <w:rPr>
                <w:rFonts w:ascii="Arial"/>
                <w:sz w:val="22"/>
              </w:rPr>
            </w:r>
          </w:p>
        </w:tc>
      </w:tr>
      <w:tr>
        <w:trPr>
          <w:trHeight w:val="293" w:hRule="exact"/>
        </w:trPr>
        <w:tc>
          <w:tcPr>
            <w:tcW w:w="6558"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2"/>
                <w:szCs w:val="22"/>
              </w:rPr>
            </w:pPr>
            <w:r>
              <w:rPr>
                <w:rFonts w:ascii="宋体" w:hAnsi="宋体" w:cs="宋体" w:eastAsia="宋体" w:hint="default"/>
                <w:sz w:val="22"/>
                <w:szCs w:val="22"/>
              </w:rPr>
              <w:t>加：终止经营业务处置收益</w:t>
            </w:r>
          </w:p>
        </w:tc>
        <w:tc>
          <w:tcPr>
            <w:tcW w:w="2266" w:type="dxa"/>
            <w:tcBorders>
              <w:top w:val="nil" w:sz="6" w:space="0" w:color="auto"/>
              <w:left w:val="nil" w:sz="6" w:space="0" w:color="auto"/>
              <w:bottom w:val="nil" w:sz="6" w:space="0" w:color="auto"/>
              <w:right w:val="nil" w:sz="6" w:space="0" w:color="auto"/>
            </w:tcBorders>
          </w:tcPr>
          <w:p>
            <w:pPr>
              <w:pStyle w:val="TableParagraph"/>
              <w:tabs>
                <w:tab w:pos="1020" w:val="left" w:leader="none"/>
                <w:tab w:pos="2251" w:val="left" w:leader="none"/>
              </w:tabs>
              <w:spacing w:line="240" w:lineRule="auto" w:before="17"/>
              <w:ind w:right="5"/>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35,627,043</w:t>
            </w:r>
            <w:r>
              <w:rPr>
                <w:rFonts w:ascii="Arial"/>
                <w:sz w:val="22"/>
                <w:u w:val="single" w:color="000000"/>
              </w:rPr>
              <w:tab/>
            </w:r>
            <w:r>
              <w:rPr>
                <w:rFonts w:ascii="Arial"/>
                <w:sz w:val="22"/>
              </w:rPr>
            </w:r>
          </w:p>
        </w:tc>
      </w:tr>
      <w:tr>
        <w:trPr>
          <w:trHeight w:val="292" w:hRule="exact"/>
        </w:trPr>
        <w:tc>
          <w:tcPr>
            <w:tcW w:w="6558" w:type="dxa"/>
            <w:tcBorders>
              <w:top w:val="nil" w:sz="6" w:space="0" w:color="auto"/>
              <w:left w:val="nil" w:sz="6" w:space="0" w:color="auto"/>
              <w:bottom w:val="nil" w:sz="6" w:space="0" w:color="auto"/>
              <w:right w:val="nil" w:sz="6" w:space="0" w:color="auto"/>
            </w:tcBorders>
          </w:tcPr>
          <w:p>
            <w:pPr>
              <w:pStyle w:val="TableParagraph"/>
              <w:spacing w:line="247" w:lineRule="exact"/>
              <w:ind w:left="35" w:right="0"/>
              <w:jc w:val="left"/>
              <w:rPr>
                <w:rFonts w:ascii="宋体" w:hAnsi="宋体" w:cs="宋体" w:eastAsia="宋体" w:hint="default"/>
                <w:sz w:val="22"/>
                <w:szCs w:val="22"/>
              </w:rPr>
            </w:pPr>
            <w:r>
              <w:rPr>
                <w:rFonts w:ascii="宋体" w:hAnsi="宋体" w:cs="宋体" w:eastAsia="宋体" w:hint="default"/>
                <w:sz w:val="22"/>
                <w:szCs w:val="22"/>
              </w:rPr>
              <w:t>终止经营利润总额</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36"/>
              <w:jc w:val="right"/>
              <w:rPr>
                <w:rFonts w:ascii="Arial" w:hAnsi="Arial" w:cs="Arial" w:eastAsia="Arial" w:hint="default"/>
                <w:sz w:val="22"/>
                <w:szCs w:val="22"/>
              </w:rPr>
            </w:pPr>
            <w:r>
              <w:rPr>
                <w:rFonts w:ascii="Arial"/>
                <w:w w:val="95"/>
                <w:sz w:val="22"/>
              </w:rPr>
              <w:t>37,433,066</w:t>
            </w:r>
            <w:r>
              <w:rPr>
                <w:rFonts w:ascii="Arial"/>
                <w:sz w:val="22"/>
              </w:rPr>
            </w:r>
          </w:p>
        </w:tc>
      </w:tr>
      <w:tr>
        <w:trPr>
          <w:trHeight w:val="293" w:hRule="exact"/>
        </w:trPr>
        <w:tc>
          <w:tcPr>
            <w:tcW w:w="6558" w:type="dxa"/>
            <w:tcBorders>
              <w:top w:val="nil" w:sz="6" w:space="0" w:color="auto"/>
              <w:left w:val="nil" w:sz="6" w:space="0" w:color="auto"/>
              <w:bottom w:val="nil" w:sz="6" w:space="0" w:color="auto"/>
              <w:right w:val="nil" w:sz="6" w:space="0" w:color="auto"/>
            </w:tcBorders>
          </w:tcPr>
          <w:p>
            <w:pPr>
              <w:pStyle w:val="TableParagraph"/>
              <w:spacing w:line="240" w:lineRule="exact"/>
              <w:ind w:left="35" w:right="0"/>
              <w:jc w:val="left"/>
              <w:rPr>
                <w:rFonts w:ascii="宋体" w:hAnsi="宋体" w:cs="宋体" w:eastAsia="宋体" w:hint="default"/>
                <w:sz w:val="22"/>
                <w:szCs w:val="22"/>
              </w:rPr>
            </w:pPr>
            <w:r>
              <w:rPr>
                <w:rFonts w:ascii="宋体" w:hAnsi="宋体" w:cs="宋体" w:eastAsia="宋体" w:hint="default"/>
                <w:sz w:val="22"/>
                <w:szCs w:val="22"/>
              </w:rPr>
              <w:t>减：终止经营所得税费用</w:t>
            </w:r>
          </w:p>
        </w:tc>
        <w:tc>
          <w:tcPr>
            <w:tcW w:w="2266" w:type="dxa"/>
            <w:tcBorders>
              <w:top w:val="nil" w:sz="6" w:space="0" w:color="auto"/>
              <w:left w:val="nil" w:sz="6" w:space="0" w:color="auto"/>
              <w:bottom w:val="nil" w:sz="6" w:space="0" w:color="auto"/>
              <w:right w:val="nil" w:sz="6" w:space="0" w:color="auto"/>
            </w:tcBorders>
          </w:tcPr>
          <w:p>
            <w:pPr>
              <w:pStyle w:val="TableParagraph"/>
              <w:tabs>
                <w:tab w:pos="1069" w:val="left" w:leader="none"/>
              </w:tabs>
              <w:spacing w:line="240" w:lineRule="auto" w:before="18"/>
              <w:ind w:right="61"/>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(9,485,678)</w:t>
            </w:r>
            <w:r>
              <w:rPr>
                <w:rFonts w:ascii="Arial"/>
                <w:w w:val="95"/>
                <w:sz w:val="22"/>
              </w:rPr>
            </w:r>
            <w:r>
              <w:rPr>
                <w:rFonts w:ascii="Arial"/>
                <w:sz w:val="22"/>
              </w:rPr>
            </w:r>
          </w:p>
        </w:tc>
      </w:tr>
      <w:tr>
        <w:trPr>
          <w:trHeight w:val="302" w:hRule="exact"/>
        </w:trPr>
        <w:tc>
          <w:tcPr>
            <w:tcW w:w="6558" w:type="dxa"/>
            <w:tcBorders>
              <w:top w:val="nil" w:sz="6" w:space="0" w:color="auto"/>
              <w:left w:val="nil" w:sz="6" w:space="0" w:color="auto"/>
              <w:bottom w:val="nil" w:sz="6" w:space="0" w:color="auto"/>
              <w:right w:val="nil" w:sz="6" w:space="0" w:color="auto"/>
            </w:tcBorders>
          </w:tcPr>
          <w:p>
            <w:pPr>
              <w:pStyle w:val="TableParagraph"/>
              <w:spacing w:line="247" w:lineRule="exact"/>
              <w:ind w:left="35" w:right="0"/>
              <w:jc w:val="left"/>
              <w:rPr>
                <w:rFonts w:ascii="宋体" w:hAnsi="宋体" w:cs="宋体" w:eastAsia="宋体" w:hint="default"/>
                <w:sz w:val="22"/>
                <w:szCs w:val="22"/>
              </w:rPr>
            </w:pPr>
            <w:r>
              <w:rPr>
                <w:rFonts w:ascii="宋体" w:hAnsi="宋体" w:cs="宋体" w:eastAsia="宋体" w:hint="default"/>
                <w:sz w:val="22"/>
                <w:szCs w:val="22"/>
              </w:rPr>
              <w:t>终止经营净利润</w:t>
            </w:r>
          </w:p>
        </w:tc>
        <w:tc>
          <w:tcPr>
            <w:tcW w:w="2266" w:type="dxa"/>
            <w:tcBorders>
              <w:top w:val="nil" w:sz="6" w:space="0" w:color="auto"/>
              <w:left w:val="nil" w:sz="6" w:space="0" w:color="auto"/>
              <w:bottom w:val="single" w:sz="17" w:space="0" w:color="000000"/>
              <w:right w:val="nil" w:sz="6" w:space="0" w:color="auto"/>
            </w:tcBorders>
          </w:tcPr>
          <w:p>
            <w:pPr>
              <w:pStyle w:val="TableParagraph"/>
              <w:spacing w:line="240" w:lineRule="auto" w:before="24"/>
              <w:ind w:right="136"/>
              <w:jc w:val="right"/>
              <w:rPr>
                <w:rFonts w:ascii="Arial" w:hAnsi="Arial" w:cs="Arial" w:eastAsia="Arial" w:hint="default"/>
                <w:sz w:val="22"/>
                <w:szCs w:val="22"/>
              </w:rPr>
            </w:pPr>
            <w:r>
              <w:rPr>
                <w:rFonts w:ascii="Arial"/>
                <w:w w:val="95"/>
                <w:sz w:val="22"/>
              </w:rPr>
              <w:t>27,947,388</w:t>
            </w:r>
            <w:r>
              <w:rPr>
                <w:rFonts w:ascii="Arial"/>
                <w:sz w:val="22"/>
              </w:rPr>
            </w:r>
          </w:p>
        </w:tc>
      </w:tr>
      <w:tr>
        <w:trPr>
          <w:trHeight w:val="569" w:hRule="exact"/>
        </w:trPr>
        <w:tc>
          <w:tcPr>
            <w:tcW w:w="65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2"/>
                <w:szCs w:val="22"/>
              </w:rPr>
            </w:pPr>
            <w:r>
              <w:rPr>
                <w:rFonts w:ascii="宋体" w:hAnsi="宋体" w:cs="宋体" w:eastAsia="宋体" w:hint="default"/>
                <w:sz w:val="22"/>
                <w:szCs w:val="22"/>
              </w:rPr>
              <w:t>其中：归属于母公司普通股股东的终止经营净利润</w:t>
            </w:r>
          </w:p>
        </w:tc>
        <w:tc>
          <w:tcPr>
            <w:tcW w:w="2266" w:type="dxa"/>
            <w:tcBorders>
              <w:top w:val="single" w:sz="17" w:space="0" w:color="000000"/>
              <w:left w:val="nil" w:sz="6" w:space="0" w:color="auto"/>
              <w:bottom w:val="single" w:sz="6" w:space="0" w:color="000000"/>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36"/>
              <w:jc w:val="right"/>
              <w:rPr>
                <w:rFonts w:ascii="Arial" w:hAnsi="Arial" w:cs="Arial" w:eastAsia="Arial" w:hint="default"/>
                <w:sz w:val="22"/>
                <w:szCs w:val="22"/>
              </w:rPr>
            </w:pPr>
            <w:r>
              <w:rPr>
                <w:rFonts w:ascii="Arial"/>
                <w:w w:val="95"/>
                <w:sz w:val="22"/>
              </w:rPr>
              <w:t>16,327,636</w:t>
            </w:r>
            <w:r>
              <w:rPr>
                <w:rFonts w:ascii="Arial"/>
                <w:sz w:val="22"/>
              </w:rPr>
            </w:r>
          </w:p>
        </w:tc>
      </w:tr>
    </w:tbl>
    <w:p>
      <w:pPr>
        <w:spacing w:after="0" w:line="240" w:lineRule="auto"/>
        <w:jc w:val="right"/>
        <w:rPr>
          <w:rFonts w:ascii="Arial" w:hAnsi="Arial" w:cs="Arial" w:eastAsia="Arial" w:hint="default"/>
          <w:sz w:val="22"/>
          <w:szCs w:val="22"/>
        </w:rPr>
        <w:sectPr>
          <w:headerReference w:type="default" r:id="rId143"/>
          <w:pgSz w:w="11910" w:h="16840"/>
          <w:pgMar w:header="1330" w:footer="1042" w:top="3260" w:bottom="1240" w:left="1280" w:right="900"/>
        </w:sectPr>
      </w:pPr>
    </w:p>
    <w:p>
      <w:pPr>
        <w:spacing w:line="240" w:lineRule="auto" w:before="10"/>
        <w:rPr>
          <w:rFonts w:ascii="宋体" w:hAnsi="宋体" w:cs="宋体" w:eastAsia="宋体" w:hint="default"/>
          <w:sz w:val="16"/>
          <w:szCs w:val="16"/>
        </w:rPr>
      </w:pPr>
    </w:p>
    <w:p>
      <w:pPr>
        <w:pStyle w:val="BodyText"/>
        <w:spacing w:line="240" w:lineRule="auto" w:before="31"/>
        <w:ind w:left="746" w:right="125"/>
        <w:jc w:val="left"/>
      </w:pPr>
      <w:r>
        <w:rPr/>
        <w:t>被出售的</w:t>
      </w:r>
      <w:r>
        <w:rPr>
          <w:spacing w:val="-55"/>
        </w:rPr>
        <w:t> </w:t>
      </w:r>
      <w:r>
        <w:rPr>
          <w:rFonts w:ascii="Arial" w:hAnsi="Arial" w:cs="Arial" w:eastAsia="Arial" w:hint="default"/>
        </w:rPr>
        <w:t>CDMA</w:t>
      </w:r>
      <w:r>
        <w:rPr>
          <w:rFonts w:ascii="Arial" w:hAnsi="Arial" w:cs="Arial" w:eastAsia="Arial" w:hint="default"/>
          <w:spacing w:val="-6"/>
        </w:rPr>
        <w:t> </w:t>
      </w:r>
      <w:r>
        <w:rPr/>
        <w:t>业务</w:t>
      </w:r>
      <w:r>
        <w:rPr>
          <w:spacing w:val="-56"/>
        </w:rPr>
        <w:t> </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w:t>
      </w:r>
      <w:r>
        <w:rPr>
          <w:rFonts w:ascii="Arial" w:hAnsi="Arial" w:cs="Arial" w:eastAsia="Arial" w:hint="default"/>
          <w:spacing w:val="-7"/>
        </w:rPr>
        <w:t> </w:t>
      </w:r>
      <w:r>
        <w:rPr/>
        <w:t>月</w:t>
      </w:r>
      <w:r>
        <w:rPr>
          <w:spacing w:val="-56"/>
        </w:rPr>
        <w:t> </w:t>
      </w:r>
      <w:r>
        <w:rPr>
          <w:rFonts w:ascii="Arial" w:hAnsi="Arial" w:cs="Arial" w:eastAsia="Arial" w:hint="default"/>
        </w:rPr>
        <w:t>1</w:t>
      </w:r>
      <w:r>
        <w:rPr>
          <w:rFonts w:ascii="Arial" w:hAnsi="Arial" w:cs="Arial" w:eastAsia="Arial" w:hint="default"/>
          <w:spacing w:val="-7"/>
        </w:rPr>
        <w:t> </w:t>
      </w:r>
      <w:r>
        <w:rPr/>
        <w:t>日至</w:t>
      </w:r>
      <w:r>
        <w:rPr>
          <w:spacing w:val="-56"/>
        </w:rPr>
        <w:t> </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10</w:t>
      </w:r>
      <w:r>
        <w:rPr>
          <w:rFonts w:ascii="Arial" w:hAnsi="Arial" w:cs="Arial" w:eastAsia="Arial" w:hint="default"/>
          <w:spacing w:val="-7"/>
        </w:rPr>
        <w:t> </w:t>
      </w:r>
      <w:r>
        <w:rPr/>
        <w:t>月</w:t>
      </w:r>
      <w:r>
        <w:rPr>
          <w:spacing w:val="-56"/>
        </w:rPr>
        <w:t> </w:t>
      </w:r>
      <w:r>
        <w:rPr>
          <w:rFonts w:ascii="Arial" w:hAnsi="Arial" w:cs="Arial" w:eastAsia="Arial" w:hint="default"/>
        </w:rPr>
        <w:t>1</w:t>
      </w:r>
      <w:r>
        <w:rPr>
          <w:rFonts w:ascii="Arial" w:hAnsi="Arial" w:cs="Arial" w:eastAsia="Arial" w:hint="default"/>
          <w:spacing w:val="-7"/>
        </w:rPr>
        <w:t> </w:t>
      </w:r>
      <w:r>
        <w:rPr/>
        <w:t>日止期间的现金流量列示如下：</w:t>
      </w:r>
    </w:p>
    <w:p>
      <w:pPr>
        <w:spacing w:line="240" w:lineRule="auto" w:before="6"/>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headerReference w:type="default" r:id="rId144"/>
          <w:pgSz w:w="11910" w:h="16840"/>
          <w:pgMar w:header="1330" w:footer="1042" w:top="3260" w:bottom="1240" w:left="1280" w:right="860"/>
        </w:sectPr>
      </w:pPr>
    </w:p>
    <w:p>
      <w:pPr>
        <w:spacing w:line="240" w:lineRule="auto" w:before="3"/>
        <w:rPr>
          <w:rFonts w:ascii="宋体" w:hAnsi="宋体" w:cs="宋体" w:eastAsia="宋体" w:hint="default"/>
          <w:sz w:val="24"/>
          <w:szCs w:val="24"/>
        </w:rPr>
      </w:pPr>
    </w:p>
    <w:p>
      <w:pPr>
        <w:pStyle w:val="BodyText"/>
        <w:spacing w:line="240" w:lineRule="auto"/>
        <w:ind w:left="760" w:right="-20"/>
        <w:jc w:val="left"/>
      </w:pPr>
      <w:r>
        <w:rPr/>
        <w:t>（单位：人民币千元）</w:t>
      </w:r>
    </w:p>
    <w:p>
      <w:pPr>
        <w:pStyle w:val="BodyText"/>
        <w:spacing w:line="295" w:lineRule="exact" w:before="31"/>
        <w:ind w:left="1132" w:right="0"/>
        <w:jc w:val="left"/>
      </w:pPr>
      <w:r>
        <w:rPr/>
        <w:br w:type="column"/>
      </w:r>
      <w:r>
        <w:rPr/>
        <w:t>截至</w:t>
      </w:r>
      <w:r>
        <w:rPr>
          <w:spacing w:val="-57"/>
        </w:rPr>
        <w:t> </w:t>
      </w:r>
      <w:r>
        <w:rPr>
          <w:rFonts w:ascii="Arial" w:hAnsi="Arial" w:cs="Arial" w:eastAsia="Arial" w:hint="default"/>
        </w:rPr>
        <w:t>2008</w:t>
      </w:r>
      <w:r>
        <w:rPr>
          <w:rFonts w:ascii="Arial" w:hAnsi="Arial" w:cs="Arial" w:eastAsia="Arial" w:hint="default"/>
          <w:spacing w:val="-8"/>
        </w:rPr>
        <w:t> </w:t>
      </w:r>
      <w:r>
        <w:rPr/>
        <w:t>年</w:t>
      </w:r>
    </w:p>
    <w:p>
      <w:pPr>
        <w:pStyle w:val="BodyText"/>
        <w:spacing w:line="295" w:lineRule="exact"/>
        <w:ind w:left="760" w:right="0"/>
        <w:jc w:val="left"/>
      </w:pPr>
      <w:r>
        <w:rPr>
          <w:rFonts w:ascii="Arial" w:hAnsi="Arial" w:cs="Arial" w:eastAsia="Arial" w:hint="default"/>
        </w:rPr>
        <w:t>10</w:t>
      </w:r>
      <w:r>
        <w:rPr>
          <w:rFonts w:ascii="Arial" w:hAnsi="Arial" w:cs="Arial" w:eastAsia="Arial" w:hint="default"/>
          <w:spacing w:val="-7"/>
        </w:rPr>
        <w:t> </w:t>
      </w:r>
      <w:r>
        <w:rPr/>
        <w:t>月</w:t>
      </w:r>
      <w:r>
        <w:rPr>
          <w:spacing w:val="-56"/>
        </w:rPr>
        <w:t> </w:t>
      </w:r>
      <w:r>
        <w:rPr>
          <w:rFonts w:ascii="Arial" w:hAnsi="Arial" w:cs="Arial" w:eastAsia="Arial" w:hint="default"/>
        </w:rPr>
        <w:t>1</w:t>
      </w:r>
      <w:r>
        <w:rPr>
          <w:rFonts w:ascii="Arial" w:hAnsi="Arial" w:cs="Arial" w:eastAsia="Arial" w:hint="default"/>
          <w:spacing w:val="-7"/>
        </w:rPr>
        <w:t> </w:t>
      </w:r>
      <w:r>
        <w:rPr/>
        <w:t>日止期间</w:t>
      </w:r>
    </w:p>
    <w:p>
      <w:pPr>
        <w:spacing w:after="0" w:line="295" w:lineRule="exact"/>
        <w:jc w:val="left"/>
        <w:sectPr>
          <w:type w:val="continuous"/>
          <w:pgSz w:w="11910" w:h="16840"/>
          <w:pgMar w:top="1600" w:bottom="280" w:left="1280" w:right="860"/>
          <w:cols w:num="2" w:equalWidth="0">
            <w:col w:w="2961" w:space="4171"/>
            <w:col w:w="2638"/>
          </w:cols>
        </w:sectPr>
      </w:pPr>
    </w:p>
    <w:p>
      <w:pPr>
        <w:spacing w:line="20" w:lineRule="exact"/>
        <w:ind w:left="7129" w:right="0" w:firstLine="0"/>
        <w:rPr>
          <w:rFonts w:ascii="宋体" w:hAnsi="宋体" w:cs="宋体" w:eastAsia="宋体" w:hint="default"/>
          <w:sz w:val="2"/>
          <w:szCs w:val="2"/>
        </w:rPr>
      </w:pPr>
      <w:r>
        <w:rPr>
          <w:rFonts w:ascii="宋体" w:hAnsi="宋体" w:cs="宋体" w:eastAsia="宋体" w:hint="default"/>
          <w:sz w:val="2"/>
          <w:szCs w:val="2"/>
        </w:rPr>
        <w:pict>
          <v:group style="width:126pt;height:.75pt;mso-position-horizontal-relative:char;mso-position-vertical-relative:line" coordorigin="0,0" coordsize="2520,15">
            <v:group style="position:absolute;left:7;top:7;width:2506;height:2" coordorigin="7,7" coordsize="2506,2">
              <v:shape style="position:absolute;left:7;top:7;width:2506;height:2" coordorigin="7,7" coordsize="2506,0" path="m7,7l2513,7e" filled="false" stroked="true" strokeweight=".72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15"/>
          <w:szCs w:val="15"/>
        </w:rPr>
      </w:pPr>
    </w:p>
    <w:p>
      <w:pPr>
        <w:pStyle w:val="BodyText"/>
        <w:tabs>
          <w:tab w:pos="8727" w:val="left" w:leader="none"/>
        </w:tabs>
        <w:spacing w:line="240" w:lineRule="auto" w:before="27"/>
        <w:ind w:left="761" w:right="125"/>
        <w:jc w:val="left"/>
        <w:rPr>
          <w:rFonts w:ascii="Arial" w:hAnsi="Arial" w:cs="Arial" w:eastAsia="Arial" w:hint="default"/>
        </w:rPr>
      </w:pPr>
      <w:r>
        <w:rPr>
          <w:w w:val="95"/>
          <w:position w:val="2"/>
        </w:rPr>
        <w:t>经营活动产生的现金流量净额</w:t>
        <w:tab/>
      </w:r>
      <w:r>
        <w:rPr>
          <w:rFonts w:ascii="Arial" w:hAnsi="Arial" w:cs="Arial" w:eastAsia="Arial" w:hint="default"/>
        </w:rPr>
        <w:t>645,400</w:t>
      </w:r>
    </w:p>
    <w:p>
      <w:pPr>
        <w:spacing w:line="240" w:lineRule="auto" w:before="1"/>
        <w:rPr>
          <w:rFonts w:ascii="Arial" w:hAnsi="Arial" w:cs="Arial" w:eastAsia="Arial" w:hint="default"/>
          <w:sz w:val="19"/>
          <w:szCs w:val="19"/>
        </w:rPr>
      </w:pPr>
    </w:p>
    <w:p>
      <w:pPr>
        <w:pStyle w:val="BodyText"/>
        <w:spacing w:line="284" w:lineRule="exact"/>
        <w:ind w:left="761" w:right="3260"/>
        <w:jc w:val="left"/>
      </w:pPr>
      <w:r>
        <w:rPr/>
        <w:t>投资活动产生的现金流量净额</w:t>
      </w:r>
    </w:p>
    <w:p>
      <w:pPr>
        <w:pStyle w:val="BodyText"/>
        <w:tabs>
          <w:tab w:pos="8776" w:val="left" w:leader="none"/>
        </w:tabs>
        <w:spacing w:line="301" w:lineRule="exact"/>
        <w:ind w:left="761" w:right="125"/>
        <w:jc w:val="left"/>
        <w:rPr>
          <w:rFonts w:ascii="Arial" w:hAnsi="Arial" w:cs="Arial" w:eastAsia="Arial" w:hint="default"/>
        </w:rPr>
      </w:pPr>
      <w:r>
        <w:rPr>
          <w:rFonts w:ascii="Arial" w:hAnsi="Arial" w:cs="Arial" w:eastAsia="Arial" w:hint="default"/>
          <w:w w:val="95"/>
          <w:position w:val="2"/>
        </w:rPr>
        <w:t>-</w:t>
      </w:r>
      <w:r>
        <w:rPr>
          <w:w w:val="95"/>
          <w:position w:val="2"/>
        </w:rPr>
        <w:t>终止经营业务</w:t>
        <w:tab/>
      </w:r>
      <w:r>
        <w:rPr>
          <w:rFonts w:ascii="Arial" w:hAnsi="Arial" w:cs="Arial" w:eastAsia="Arial" w:hint="default"/>
        </w:rPr>
        <w:t>(12,213)</w:t>
      </w:r>
    </w:p>
    <w:p>
      <w:pPr>
        <w:pStyle w:val="BodyText"/>
        <w:tabs>
          <w:tab w:pos="7136" w:val="left" w:leader="none"/>
          <w:tab w:pos="8421" w:val="left" w:leader="none"/>
          <w:tab w:pos="9642" w:val="left" w:leader="none"/>
        </w:tabs>
        <w:spacing w:line="297" w:lineRule="exact"/>
        <w:ind w:left="760" w:right="125"/>
        <w:jc w:val="left"/>
        <w:rPr>
          <w:rFonts w:ascii="Arial" w:hAnsi="Arial" w:cs="Arial" w:eastAsia="Arial" w:hint="default"/>
        </w:rPr>
      </w:pPr>
      <w:r>
        <w:rPr>
          <w:rFonts w:ascii="Arial" w:hAnsi="Arial" w:cs="Arial" w:eastAsia="Arial" w:hint="default"/>
          <w:w w:val="95"/>
          <w:position w:val="2"/>
        </w:rPr>
        <w:t>-</w:t>
      </w:r>
      <w:r>
        <w:rPr>
          <w:w w:val="95"/>
          <w:position w:val="2"/>
        </w:rPr>
        <w:t>出售终止经营业务所收到的现金</w:t>
        <w:tab/>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29,511,764</w:t>
        <w:tab/>
      </w:r>
      <w:r>
        <w:rPr>
          <w:rFonts w:ascii="Arial" w:hAnsi="Arial" w:cs="Arial" w:eastAsia="Arial" w:hint="default"/>
        </w:rPr>
      </w:r>
    </w:p>
    <w:p>
      <w:pPr>
        <w:pStyle w:val="BodyText"/>
        <w:tabs>
          <w:tab w:pos="8421" w:val="left" w:leader="none"/>
        </w:tabs>
        <w:spacing w:line="307" w:lineRule="exact"/>
        <w:ind w:left="760" w:right="125"/>
        <w:jc w:val="left"/>
        <w:rPr>
          <w:rFonts w:ascii="Arial" w:hAnsi="Arial" w:cs="Arial" w:eastAsia="Arial" w:hint="default"/>
        </w:rPr>
      </w:pPr>
      <w:r>
        <w:rPr>
          <w:w w:val="95"/>
          <w:position w:val="1"/>
        </w:rPr>
        <w:t>小计</w:t>
        <w:tab/>
      </w:r>
      <w:r>
        <w:rPr>
          <w:rFonts w:ascii="Arial" w:hAnsi="Arial" w:cs="Arial" w:eastAsia="Arial" w:hint="default"/>
        </w:rPr>
        <w:t>29,499,551</w:t>
      </w:r>
    </w:p>
    <w:p>
      <w:pPr>
        <w:spacing w:line="240" w:lineRule="auto" w:before="4"/>
        <w:rPr>
          <w:rFonts w:ascii="Arial" w:hAnsi="Arial" w:cs="Arial" w:eastAsia="Arial" w:hint="default"/>
          <w:sz w:val="16"/>
          <w:szCs w:val="16"/>
        </w:rPr>
      </w:pPr>
    </w:p>
    <w:p>
      <w:pPr>
        <w:pStyle w:val="BodyText"/>
        <w:tabs>
          <w:tab w:pos="7136" w:val="left" w:leader="none"/>
          <w:tab w:pos="9205" w:val="left" w:leader="none"/>
        </w:tabs>
        <w:spacing w:line="240" w:lineRule="auto" w:before="27"/>
        <w:ind w:left="761" w:right="125"/>
        <w:jc w:val="left"/>
        <w:rPr>
          <w:rFonts w:ascii="Arial" w:hAnsi="Arial" w:cs="Arial" w:eastAsia="Arial" w:hint="default"/>
        </w:rPr>
      </w:pPr>
      <w:r>
        <w:rPr>
          <w:w w:val="95"/>
          <w:position w:val="2"/>
        </w:rPr>
        <w:t>筹资活动产生的现金流量净额</w:t>
        <w:tab/>
      </w:r>
      <w:r>
        <w:rPr>
          <w:rFonts w:ascii="Arial" w:hAnsi="Arial" w:cs="Arial" w:eastAsia="Arial" w:hint="default"/>
          <w:w w:val="95"/>
        </w:rPr>
      </w:r>
      <w:r>
        <w:rPr>
          <w:rFonts w:ascii="Arial" w:hAnsi="Arial" w:cs="Arial" w:eastAsia="Arial" w:hint="default"/>
          <w:w w:val="95"/>
          <w:u w:val="single" w:color="000000"/>
        </w:rPr>
        <w:t> </w:t>
        <w:tab/>
      </w:r>
      <w:r>
        <w:rPr>
          <w:rFonts w:ascii="Arial" w:hAnsi="Arial" w:cs="Arial" w:eastAsia="Arial" w:hint="default"/>
          <w:u w:val="single" w:color="000000"/>
        </w:rPr>
        <w:t>(37)</w:t>
      </w:r>
      <w:r>
        <w:rPr>
          <w:rFonts w:ascii="Arial" w:hAnsi="Arial" w:cs="Arial" w:eastAsia="Arial" w:hint="default"/>
        </w:rPr>
      </w:r>
    </w:p>
    <w:p>
      <w:pPr>
        <w:spacing w:line="240" w:lineRule="auto" w:before="7"/>
        <w:rPr>
          <w:rFonts w:ascii="Arial" w:hAnsi="Arial" w:cs="Arial" w:eastAsia="Arial" w:hint="default"/>
          <w:sz w:val="17"/>
          <w:szCs w:val="17"/>
        </w:rPr>
      </w:pPr>
    </w:p>
    <w:p>
      <w:pPr>
        <w:pStyle w:val="BodyText"/>
        <w:tabs>
          <w:tab w:pos="8421" w:val="left" w:leader="none"/>
        </w:tabs>
        <w:spacing w:line="240" w:lineRule="auto" w:before="27"/>
        <w:ind w:left="761" w:right="125"/>
        <w:jc w:val="left"/>
        <w:rPr>
          <w:rFonts w:ascii="Arial" w:hAnsi="Arial" w:cs="Arial" w:eastAsia="Arial" w:hint="default"/>
        </w:rPr>
      </w:pPr>
      <w:r>
        <w:rPr>
          <w:w w:val="95"/>
          <w:position w:val="2"/>
        </w:rPr>
        <w:t>现金及现金等价物净增加额</w:t>
        <w:tab/>
      </w:r>
      <w:r>
        <w:rPr>
          <w:rFonts w:ascii="Arial" w:hAnsi="Arial" w:cs="Arial" w:eastAsia="Arial" w:hint="default"/>
        </w:rPr>
        <w:t>30,144,914</w:t>
      </w:r>
    </w:p>
    <w:p>
      <w:pPr>
        <w:spacing w:line="43" w:lineRule="exact"/>
        <w:ind w:left="7122" w:right="0" w:firstLine="0"/>
        <w:rPr>
          <w:rFonts w:ascii="Arial" w:hAnsi="Arial" w:cs="Arial" w:eastAsia="Arial" w:hint="default"/>
          <w:sz w:val="4"/>
          <w:szCs w:val="4"/>
        </w:rPr>
      </w:pPr>
      <w:r>
        <w:rPr>
          <w:rFonts w:ascii="Arial" w:hAnsi="Arial" w:cs="Arial" w:eastAsia="Arial" w:hint="default"/>
          <w:position w:val="0"/>
          <w:sz w:val="4"/>
          <w:szCs w:val="4"/>
        </w:rPr>
        <w:pict>
          <v:group style="width:126.75pt;height:2.2pt;mso-position-horizontal-relative:char;mso-position-vertical-relative:line" coordorigin="0,0" coordsize="2535,44">
            <v:group style="position:absolute;left:7;top:36;width:2520;height:2" coordorigin="7,36" coordsize="2520,2">
              <v:shape style="position:absolute;left:7;top:36;width:2520;height:2" coordorigin="7,36" coordsize="2520,0" path="m7,36l2527,36e" filled="false" stroked="true" strokeweight=".72pt" strokecolor="#000000">
                <v:path arrowok="t"/>
              </v:shape>
            </v:group>
            <v:group style="position:absolute;left:7;top:7;width:2520;height:2" coordorigin="7,7" coordsize="2520,2">
              <v:shape style="position:absolute;left:7;top:7;width:2520;height:2" coordorigin="7,7" coordsize="2520,0" path="m7,7l2527,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5"/>
        <w:rPr>
          <w:rFonts w:ascii="Arial" w:hAnsi="Arial" w:cs="Arial" w:eastAsia="Arial" w:hint="default"/>
          <w:sz w:val="16"/>
          <w:szCs w:val="16"/>
        </w:rPr>
      </w:pPr>
    </w:p>
    <w:p>
      <w:pPr>
        <w:pStyle w:val="BodyText"/>
        <w:spacing w:line="295" w:lineRule="exact" w:before="31"/>
        <w:ind w:left="746" w:right="0"/>
        <w:jc w:val="left"/>
      </w:pPr>
      <w:r>
        <w:rPr>
          <w:spacing w:val="-12"/>
        </w:rPr>
        <w:t>注：于</w:t>
      </w:r>
      <w:r>
        <w:rPr>
          <w:spacing w:val="-63"/>
        </w:rPr>
        <w:t> </w:t>
      </w:r>
      <w:r>
        <w:rPr>
          <w:rFonts w:ascii="Arial" w:hAnsi="Arial" w:cs="Arial" w:eastAsia="Arial" w:hint="default"/>
        </w:rPr>
        <w:t>2009</w:t>
      </w:r>
      <w:r>
        <w:rPr>
          <w:rFonts w:ascii="Arial" w:hAnsi="Arial" w:cs="Arial" w:eastAsia="Arial" w:hint="default"/>
          <w:spacing w:val="-14"/>
        </w:rPr>
        <w:t> </w:t>
      </w:r>
      <w:r>
        <w:rPr/>
        <w:t>年度，终止经营业务所产生的净现金流出约人民币</w:t>
      </w:r>
      <w:r>
        <w:rPr>
          <w:spacing w:val="-62"/>
        </w:rPr>
        <w:t> </w:t>
      </w:r>
      <w:r>
        <w:rPr>
          <w:rFonts w:ascii="Arial" w:hAnsi="Arial" w:cs="Arial" w:eastAsia="Arial" w:hint="default"/>
        </w:rPr>
        <w:t>50.39</w:t>
      </w:r>
      <w:r>
        <w:rPr>
          <w:rFonts w:ascii="Arial" w:hAnsi="Arial" w:cs="Arial" w:eastAsia="Arial" w:hint="default"/>
          <w:spacing w:val="-14"/>
        </w:rPr>
        <w:t> </w:t>
      </w:r>
      <w:r>
        <w:rPr>
          <w:spacing w:val="-4"/>
        </w:rPr>
        <w:t>亿元，该金额为支付与</w:t>
      </w:r>
    </w:p>
    <w:p>
      <w:pPr>
        <w:pStyle w:val="BodyText"/>
        <w:spacing w:line="286" w:lineRule="exact" w:before="19"/>
        <w:ind w:left="1209" w:right="154" w:hanging="1"/>
        <w:jc w:val="both"/>
      </w:pPr>
      <w:r>
        <w:rPr>
          <w:rFonts w:ascii="Arial" w:hAnsi="Arial" w:cs="Arial" w:eastAsia="Arial" w:hint="default"/>
        </w:rPr>
        <w:t>2008</w:t>
      </w:r>
      <w:r>
        <w:rPr>
          <w:rFonts w:ascii="Arial" w:hAnsi="Arial" w:cs="Arial" w:eastAsia="Arial" w:hint="default"/>
          <w:spacing w:val="-17"/>
        </w:rPr>
        <w:t> </w:t>
      </w:r>
      <w:r>
        <w:rPr/>
        <w:t>年度出售</w:t>
      </w:r>
      <w:r>
        <w:rPr>
          <w:spacing w:val="-66"/>
        </w:rPr>
        <w:t> </w:t>
      </w:r>
      <w:r>
        <w:rPr>
          <w:rFonts w:ascii="Arial" w:hAnsi="Arial" w:cs="Arial" w:eastAsia="Arial" w:hint="default"/>
        </w:rPr>
        <w:t>CDMA</w:t>
      </w:r>
      <w:r>
        <w:rPr>
          <w:rFonts w:ascii="Arial" w:hAnsi="Arial" w:cs="Arial" w:eastAsia="Arial" w:hint="default"/>
          <w:spacing w:val="-18"/>
        </w:rPr>
        <w:t> </w:t>
      </w:r>
      <w:r>
        <w:rPr/>
        <w:t>业务之收益相关的所得税费用约为人民币</w:t>
      </w:r>
      <w:r>
        <w:rPr>
          <w:spacing w:val="-66"/>
        </w:rPr>
        <w:t> </w:t>
      </w:r>
      <w:r>
        <w:rPr>
          <w:rFonts w:ascii="Arial" w:hAnsi="Arial" w:cs="Arial" w:eastAsia="Arial" w:hint="default"/>
        </w:rPr>
        <w:t>91.9</w:t>
      </w:r>
      <w:r>
        <w:rPr>
          <w:rFonts w:ascii="Arial" w:hAnsi="Arial" w:cs="Arial" w:eastAsia="Arial" w:hint="default"/>
          <w:spacing w:val="-17"/>
        </w:rPr>
        <w:t> </w:t>
      </w:r>
      <w:r>
        <w:rPr/>
        <w:t>亿元及支付相关专</w:t>
      </w:r>
      <w:r>
        <w:rPr>
          <w:w w:val="99"/>
        </w:rPr>
        <w:t> </w:t>
      </w:r>
      <w:r>
        <w:rPr/>
        <w:t>业服务费约人民币</w:t>
      </w:r>
      <w:r>
        <w:rPr>
          <w:spacing w:val="-56"/>
        </w:rPr>
        <w:t> </w:t>
      </w:r>
      <w:r>
        <w:rPr>
          <w:rFonts w:ascii="Arial" w:hAnsi="Arial" w:cs="Arial" w:eastAsia="Arial" w:hint="default"/>
        </w:rPr>
        <w:t>1.39</w:t>
      </w:r>
      <w:r>
        <w:rPr>
          <w:rFonts w:ascii="Arial" w:hAnsi="Arial" w:cs="Arial" w:eastAsia="Arial" w:hint="default"/>
          <w:spacing w:val="-7"/>
        </w:rPr>
        <w:t> </w:t>
      </w:r>
      <w:r>
        <w:rPr>
          <w:spacing w:val="-5"/>
        </w:rPr>
        <w:t>亿元，并扣除出售</w:t>
      </w:r>
      <w:r>
        <w:rPr>
          <w:spacing w:val="-56"/>
        </w:rPr>
        <w:t> </w:t>
      </w:r>
      <w:r>
        <w:rPr>
          <w:rFonts w:ascii="Arial" w:hAnsi="Arial" w:cs="Arial" w:eastAsia="Arial" w:hint="default"/>
        </w:rPr>
        <w:t>CDMA</w:t>
      </w:r>
      <w:r>
        <w:rPr>
          <w:rFonts w:ascii="Arial" w:hAnsi="Arial" w:cs="Arial" w:eastAsia="Arial" w:hint="default"/>
          <w:spacing w:val="-7"/>
        </w:rPr>
        <w:t> </w:t>
      </w:r>
      <w:r>
        <w:rPr/>
        <w:t>业务本年收到的现金约人民币</w:t>
      </w:r>
      <w:r>
        <w:rPr>
          <w:spacing w:val="-56"/>
        </w:rPr>
        <w:t> </w:t>
      </w:r>
      <w:r>
        <w:rPr>
          <w:rFonts w:ascii="Arial" w:hAnsi="Arial" w:cs="Arial" w:eastAsia="Arial" w:hint="default"/>
        </w:rPr>
        <w:t>42.9</w:t>
      </w:r>
      <w:r>
        <w:rPr>
          <w:rFonts w:ascii="Arial" w:hAnsi="Arial" w:cs="Arial" w:eastAsia="Arial" w:hint="default"/>
          <w:spacing w:val="-7"/>
        </w:rPr>
        <w:t> </w:t>
      </w:r>
      <w:r>
        <w:rPr/>
        <w:t>亿</w:t>
      </w:r>
      <w:r>
        <w:rPr>
          <w:w w:val="99"/>
        </w:rPr>
        <w:t> </w:t>
      </w:r>
      <w:r>
        <w:rPr/>
        <w:t>元。</w:t>
      </w:r>
    </w:p>
    <w:p>
      <w:pPr>
        <w:spacing w:line="240" w:lineRule="auto" w:before="1"/>
        <w:rPr>
          <w:rFonts w:ascii="宋体" w:hAnsi="宋体" w:cs="宋体" w:eastAsia="宋体" w:hint="default"/>
          <w:sz w:val="17"/>
          <w:szCs w:val="17"/>
        </w:rPr>
      </w:pPr>
    </w:p>
    <w:p>
      <w:pPr>
        <w:pStyle w:val="BodyText"/>
        <w:tabs>
          <w:tab w:pos="760" w:val="left" w:leader="none"/>
        </w:tabs>
        <w:spacing w:line="240" w:lineRule="auto"/>
        <w:ind w:left="102" w:right="3260"/>
        <w:jc w:val="left"/>
        <w:rPr>
          <w:rFonts w:ascii="黑体" w:hAnsi="黑体" w:cs="黑体" w:eastAsia="黑体" w:hint="default"/>
        </w:rPr>
      </w:pPr>
      <w:r>
        <w:rPr>
          <w:rFonts w:ascii="黑体" w:hAnsi="黑体" w:cs="黑体" w:eastAsia="黑体" w:hint="default"/>
          <w:w w:val="95"/>
        </w:rPr>
        <w:t>十二</w:t>
        <w:tab/>
      </w:r>
      <w:r>
        <w:rPr>
          <w:rFonts w:ascii="黑体" w:hAnsi="黑体" w:cs="黑体" w:eastAsia="黑体" w:hint="default"/>
        </w:rPr>
        <w:t>资产负债表日后事项</w:t>
      </w:r>
    </w:p>
    <w:p>
      <w:pPr>
        <w:spacing w:line="240" w:lineRule="auto" w:before="2"/>
        <w:rPr>
          <w:rFonts w:ascii="黑体" w:hAnsi="黑体" w:cs="黑体" w:eastAsia="黑体" w:hint="default"/>
          <w:sz w:val="19"/>
          <w:szCs w:val="19"/>
        </w:rPr>
      </w:pPr>
    </w:p>
    <w:p>
      <w:pPr>
        <w:pStyle w:val="BodyText"/>
        <w:tabs>
          <w:tab w:pos="760" w:val="left" w:leader="none"/>
        </w:tabs>
        <w:spacing w:line="240" w:lineRule="auto"/>
        <w:ind w:left="102" w:right="3260"/>
        <w:jc w:val="left"/>
      </w:pPr>
      <w:r>
        <w:rPr>
          <w:rFonts w:ascii="Arial" w:hAnsi="Arial" w:cs="Arial" w:eastAsia="Arial" w:hint="default"/>
          <w:w w:val="95"/>
        </w:rPr>
        <w:t>1</w:t>
      </w:r>
      <w:r>
        <w:rPr>
          <w:w w:val="95"/>
        </w:rPr>
        <w:t>、</w:t>
        <w:tab/>
      </w:r>
      <w:r>
        <w:rPr/>
        <w:t>资产负债表日后利润分配情况说明</w:t>
      </w:r>
    </w:p>
    <w:p>
      <w:pPr>
        <w:spacing w:line="240" w:lineRule="auto" w:before="12"/>
        <w:rPr>
          <w:rFonts w:ascii="宋体" w:hAnsi="宋体" w:cs="宋体" w:eastAsia="宋体" w:hint="default"/>
          <w:sz w:val="17"/>
          <w:szCs w:val="17"/>
        </w:rPr>
      </w:pPr>
    </w:p>
    <w:p>
      <w:pPr>
        <w:pStyle w:val="BodyText"/>
        <w:spacing w:line="295" w:lineRule="exact"/>
        <w:ind w:left="774" w:right="125"/>
        <w:jc w:val="left"/>
      </w:pPr>
      <w:r>
        <w:rPr/>
        <w:t>根据</w:t>
      </w:r>
      <w:r>
        <w:rPr>
          <w:spacing w:val="-56"/>
        </w:rPr>
        <w:t> </w:t>
      </w:r>
      <w:r>
        <w:rPr>
          <w:rFonts w:ascii="Arial" w:hAnsi="Arial" w:cs="Arial" w:eastAsia="Arial" w:hint="default"/>
        </w:rPr>
        <w:t>2010</w:t>
      </w:r>
      <w:r>
        <w:rPr>
          <w:rFonts w:ascii="Arial" w:hAnsi="Arial" w:cs="Arial" w:eastAsia="Arial" w:hint="default"/>
          <w:spacing w:val="-7"/>
        </w:rPr>
        <w:t> </w:t>
      </w:r>
      <w:r>
        <w:rPr/>
        <w:t>年</w:t>
      </w:r>
      <w:r>
        <w:rPr>
          <w:spacing w:val="-56"/>
        </w:rPr>
        <w:t> </w:t>
      </w:r>
      <w:r>
        <w:rPr>
          <w:rFonts w:ascii="Arial" w:hAnsi="Arial" w:cs="Arial" w:eastAsia="Arial" w:hint="default"/>
        </w:rPr>
        <w:t>3</w:t>
      </w:r>
      <w:r>
        <w:rPr>
          <w:rFonts w:ascii="Arial" w:hAnsi="Arial" w:cs="Arial" w:eastAsia="Arial" w:hint="default"/>
          <w:spacing w:val="-7"/>
        </w:rPr>
        <w:t> </w:t>
      </w:r>
      <w:r>
        <w:rPr/>
        <w:t>月</w:t>
      </w:r>
      <w:r>
        <w:rPr>
          <w:spacing w:val="-56"/>
        </w:rPr>
        <w:t> </w:t>
      </w:r>
      <w:r>
        <w:rPr>
          <w:rFonts w:ascii="Arial" w:hAnsi="Arial" w:cs="Arial" w:eastAsia="Arial" w:hint="default"/>
        </w:rPr>
        <w:t>24</w:t>
      </w:r>
      <w:r>
        <w:rPr>
          <w:rFonts w:ascii="Arial" w:hAnsi="Arial" w:cs="Arial" w:eastAsia="Arial" w:hint="default"/>
          <w:spacing w:val="-7"/>
        </w:rPr>
        <w:t> </w:t>
      </w:r>
      <w:r>
        <w:rPr>
          <w:spacing w:val="-3"/>
        </w:rPr>
        <w:t>日董事会决议，董事会提议本公司以</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日的股本为基准</w:t>
      </w:r>
    </w:p>
    <w:p>
      <w:pPr>
        <w:pStyle w:val="BodyText"/>
        <w:spacing w:line="286" w:lineRule="exact" w:before="19"/>
        <w:ind w:left="774" w:right="146"/>
        <w:jc w:val="left"/>
      </w:pPr>
      <w:r>
        <w:rPr/>
        <w:t>向全体股东分配每股股利人民币</w:t>
      </w:r>
      <w:r>
        <w:rPr>
          <w:spacing w:val="-56"/>
        </w:rPr>
        <w:t> </w:t>
      </w:r>
      <w:r>
        <w:rPr>
          <w:rFonts w:ascii="Arial" w:hAnsi="Arial" w:cs="Arial" w:eastAsia="Arial" w:hint="default"/>
        </w:rPr>
        <w:t>0.0536</w:t>
      </w:r>
      <w:r>
        <w:rPr>
          <w:rFonts w:ascii="Arial" w:hAnsi="Arial" w:cs="Arial" w:eastAsia="Arial" w:hint="default"/>
          <w:spacing w:val="-7"/>
        </w:rPr>
        <w:t> </w:t>
      </w:r>
      <w:r>
        <w:rPr>
          <w:spacing w:val="-6"/>
        </w:rPr>
        <w:t>元（含税），合计约人民币</w:t>
      </w:r>
      <w:r>
        <w:rPr>
          <w:spacing w:val="-56"/>
        </w:rPr>
        <w:t> </w:t>
      </w:r>
      <w:r>
        <w:rPr>
          <w:rFonts w:ascii="Arial" w:hAnsi="Arial" w:cs="Arial" w:eastAsia="Arial" w:hint="default"/>
        </w:rPr>
        <w:t>11.36</w:t>
      </w:r>
      <w:r>
        <w:rPr>
          <w:rFonts w:ascii="Arial" w:hAnsi="Arial" w:cs="Arial" w:eastAsia="Arial" w:hint="default"/>
          <w:spacing w:val="-7"/>
        </w:rPr>
        <w:t> </w:t>
      </w:r>
      <w:r>
        <w:rPr>
          <w:spacing w:val="-3"/>
        </w:rPr>
        <w:t>亿元。该股利分配</w:t>
      </w:r>
      <w:r>
        <w:rPr>
          <w:w w:val="99"/>
        </w:rPr>
        <w:t> </w:t>
      </w:r>
      <w:r>
        <w:rPr/>
        <w:t>预案尚待本公司股东大会批准，故未在本财务报表中确认为负债。</w:t>
      </w:r>
    </w:p>
    <w:p>
      <w:pPr>
        <w:pStyle w:val="BodyText"/>
        <w:tabs>
          <w:tab w:pos="759" w:val="left" w:leader="none"/>
        </w:tabs>
        <w:spacing w:line="538" w:lineRule="exact" w:before="50"/>
        <w:ind w:left="759" w:right="168" w:hanging="658"/>
        <w:jc w:val="left"/>
        <w:rPr>
          <w:rFonts w:ascii="Arial" w:hAnsi="Arial" w:cs="Arial" w:eastAsia="Arial" w:hint="default"/>
        </w:rPr>
      </w:pPr>
      <w:r>
        <w:rPr>
          <w:rFonts w:ascii="Arial" w:hAnsi="Arial" w:cs="Arial" w:eastAsia="Arial" w:hint="default"/>
          <w:w w:val="95"/>
        </w:rPr>
        <w:t>2</w:t>
      </w:r>
      <w:r>
        <w:rPr>
          <w:w w:val="95"/>
        </w:rPr>
        <w:t>、</w:t>
        <w:tab/>
      </w:r>
      <w:r>
        <w:rPr/>
        <w:t>本公司所属子公司联通运营公司发行 </w:t>
      </w:r>
      <w:r>
        <w:rPr>
          <w:rFonts w:ascii="Arial" w:hAnsi="Arial" w:cs="Arial" w:eastAsia="Arial" w:hint="default"/>
        </w:rPr>
        <w:t>2010</w:t>
      </w:r>
      <w:r>
        <w:rPr>
          <w:rFonts w:ascii="Arial" w:hAnsi="Arial" w:cs="Arial" w:eastAsia="Arial" w:hint="default"/>
          <w:spacing w:val="-10"/>
        </w:rPr>
        <w:t> </w:t>
      </w:r>
      <w:r>
        <w:rPr/>
        <w:t>年度第一期短期融资券</w:t>
      </w:r>
      <w:r>
        <w:rPr>
          <w:w w:val="99"/>
        </w:rPr>
        <w:t> </w:t>
      </w:r>
      <w:r>
        <w:rPr/>
        <w:t>本公司所属子公司联通运营公司获得中国银行间市场交易商协会的批准并于</w:t>
      </w:r>
      <w:r>
        <w:rPr>
          <w:spacing w:val="-55"/>
        </w:rPr>
        <w:t> </w:t>
      </w:r>
      <w:r>
        <w:rPr>
          <w:rFonts w:ascii="Arial" w:hAnsi="Arial" w:cs="Arial" w:eastAsia="Arial" w:hint="default"/>
        </w:rPr>
        <w:t>2010</w:t>
      </w:r>
      <w:r>
        <w:rPr>
          <w:rFonts w:ascii="Arial" w:hAnsi="Arial" w:cs="Arial" w:eastAsia="Arial" w:hint="default"/>
          <w:spacing w:val="-7"/>
        </w:rPr>
        <w:t> </w:t>
      </w:r>
      <w:r>
        <w:rPr/>
        <w:t>年</w:t>
      </w:r>
      <w:r>
        <w:rPr>
          <w:spacing w:val="-56"/>
        </w:rPr>
        <w:t> </w:t>
      </w:r>
      <w:r>
        <w:rPr>
          <w:rFonts w:ascii="Arial" w:hAnsi="Arial" w:cs="Arial" w:eastAsia="Arial" w:hint="default"/>
        </w:rPr>
        <w:t>3</w:t>
      </w:r>
      <w:r>
        <w:rPr>
          <w:rFonts w:ascii="Arial" w:hAnsi="Arial" w:cs="Arial" w:eastAsia="Arial" w:hint="default"/>
          <w:spacing w:val="-7"/>
        </w:rPr>
        <w:t> </w:t>
      </w:r>
      <w:r>
        <w:rPr/>
        <w:t>月</w:t>
      </w:r>
      <w:r>
        <w:rPr>
          <w:spacing w:val="-56"/>
        </w:rPr>
        <w:t> </w:t>
      </w:r>
      <w:r>
        <w:rPr>
          <w:rFonts w:ascii="Arial" w:hAnsi="Arial" w:cs="Arial" w:eastAsia="Arial" w:hint="default"/>
        </w:rPr>
        <w:t>22</w:t>
      </w:r>
    </w:p>
    <w:p>
      <w:pPr>
        <w:pStyle w:val="BodyText"/>
        <w:spacing w:line="215" w:lineRule="exact"/>
        <w:ind w:left="759" w:right="125"/>
        <w:jc w:val="left"/>
      </w:pPr>
      <w:r>
        <w:rPr/>
        <w:t>日公告将按面值发行期限为一年的</w:t>
      </w:r>
      <w:r>
        <w:rPr>
          <w:spacing w:val="-56"/>
        </w:rPr>
        <w:t> </w:t>
      </w:r>
      <w:r>
        <w:rPr>
          <w:rFonts w:ascii="Arial" w:hAnsi="Arial" w:cs="Arial" w:eastAsia="Arial" w:hint="default"/>
        </w:rPr>
        <w:t>2010</w:t>
      </w:r>
      <w:r>
        <w:rPr>
          <w:rFonts w:ascii="Arial" w:hAnsi="Arial" w:cs="Arial" w:eastAsia="Arial" w:hint="default"/>
          <w:spacing w:val="-8"/>
        </w:rPr>
        <w:t> </w:t>
      </w:r>
      <w:r>
        <w:rPr/>
        <w:t>年度第一期短期融资券</w:t>
      </w:r>
      <w:r>
        <w:rPr>
          <w:spacing w:val="-57"/>
        </w:rPr>
        <w:t> </w:t>
      </w:r>
      <w:r>
        <w:rPr>
          <w:rFonts w:ascii="Arial" w:hAnsi="Arial" w:cs="Arial" w:eastAsia="Arial" w:hint="default"/>
        </w:rPr>
        <w:t>150</w:t>
      </w:r>
      <w:r>
        <w:rPr>
          <w:rFonts w:ascii="Arial" w:hAnsi="Arial" w:cs="Arial" w:eastAsia="Arial" w:hint="default"/>
          <w:spacing w:val="-8"/>
        </w:rPr>
        <w:t> </w:t>
      </w:r>
      <w:r>
        <w:rPr/>
        <w:t>亿元人民币，起息日为</w:t>
      </w:r>
    </w:p>
    <w:p>
      <w:pPr>
        <w:pStyle w:val="BodyText"/>
        <w:spacing w:line="295" w:lineRule="exact"/>
        <w:ind w:left="759" w:right="3260"/>
        <w:jc w:val="left"/>
      </w:pPr>
      <w:r>
        <w:rPr>
          <w:rFonts w:ascii="Arial" w:hAnsi="Arial" w:cs="Arial" w:eastAsia="Arial" w:hint="default"/>
        </w:rPr>
        <w:t>2010</w:t>
      </w:r>
      <w:r>
        <w:rPr>
          <w:rFonts w:ascii="Arial" w:hAnsi="Arial" w:cs="Arial" w:eastAsia="Arial" w:hint="default"/>
          <w:spacing w:val="-7"/>
        </w:rPr>
        <w:t> </w:t>
      </w:r>
      <w:r>
        <w:rPr/>
        <w:t>年</w:t>
      </w:r>
      <w:r>
        <w:rPr>
          <w:spacing w:val="-56"/>
        </w:rPr>
        <w:t> </w:t>
      </w:r>
      <w:r>
        <w:rPr>
          <w:rFonts w:ascii="Arial" w:hAnsi="Arial" w:cs="Arial" w:eastAsia="Arial" w:hint="default"/>
        </w:rPr>
        <w:t>4</w:t>
      </w:r>
      <w:r>
        <w:rPr>
          <w:rFonts w:ascii="Arial" w:hAnsi="Arial" w:cs="Arial" w:eastAsia="Arial" w:hint="default"/>
          <w:spacing w:val="-7"/>
        </w:rPr>
        <w:t> </w:t>
      </w:r>
      <w:r>
        <w:rPr/>
        <w:t>月</w:t>
      </w:r>
      <w:r>
        <w:rPr>
          <w:spacing w:val="-56"/>
        </w:rPr>
        <w:t> </w:t>
      </w:r>
      <w:r>
        <w:rPr>
          <w:rFonts w:ascii="Arial" w:hAnsi="Arial" w:cs="Arial" w:eastAsia="Arial" w:hint="default"/>
        </w:rPr>
        <w:t>1</w:t>
      </w:r>
      <w:r>
        <w:rPr>
          <w:rFonts w:ascii="Arial" w:hAnsi="Arial" w:cs="Arial" w:eastAsia="Arial" w:hint="default"/>
          <w:spacing w:val="-7"/>
        </w:rPr>
        <w:t> </w:t>
      </w:r>
      <w:r>
        <w:rPr/>
        <w:t>日，并于到期日同时还本付息。</w:t>
      </w:r>
    </w:p>
    <w:p>
      <w:pPr>
        <w:spacing w:after="0" w:line="295" w:lineRule="exact"/>
        <w:jc w:val="left"/>
        <w:sectPr>
          <w:type w:val="continuous"/>
          <w:pgSz w:w="11910" w:h="16840"/>
          <w:pgMar w:top="1600" w:bottom="280" w:left="1280" w:right="860"/>
        </w:sectPr>
      </w:pPr>
    </w:p>
    <w:p>
      <w:pPr>
        <w:spacing w:line="240" w:lineRule="auto" w:before="2"/>
        <w:rPr>
          <w:rFonts w:ascii="宋体" w:hAnsi="宋体" w:cs="宋体" w:eastAsia="宋体" w:hint="default"/>
          <w:sz w:val="19"/>
          <w:szCs w:val="19"/>
        </w:rPr>
      </w:pPr>
    </w:p>
    <w:p>
      <w:pPr>
        <w:pStyle w:val="BodyText"/>
        <w:spacing w:line="240" w:lineRule="auto" w:before="31"/>
        <w:ind w:left="184" w:right="207"/>
        <w:jc w:val="left"/>
        <w:rPr>
          <w:rFonts w:ascii="黑体" w:hAnsi="黑体" w:cs="黑体" w:eastAsia="黑体" w:hint="default"/>
        </w:rPr>
      </w:pPr>
      <w:r>
        <w:rPr>
          <w:rFonts w:ascii="黑体" w:hAnsi="黑体" w:cs="黑体" w:eastAsia="黑体" w:hint="default"/>
        </w:rPr>
        <w:t>十三</w:t>
      </w:r>
      <w:r>
        <w:rPr>
          <w:rFonts w:ascii="黑体" w:hAnsi="黑体" w:cs="黑体" w:eastAsia="黑体" w:hint="default"/>
          <w:spacing w:val="35"/>
        </w:rPr>
        <w:t> </w:t>
      </w:r>
      <w:r>
        <w:rPr>
          <w:rFonts w:ascii="黑体" w:hAnsi="黑体" w:cs="黑体" w:eastAsia="黑体" w:hint="default"/>
        </w:rPr>
        <w:t>融资租赁</w:t>
      </w:r>
    </w:p>
    <w:p>
      <w:pPr>
        <w:spacing w:line="240" w:lineRule="auto" w:before="4"/>
        <w:rPr>
          <w:rFonts w:ascii="黑体" w:hAnsi="黑体" w:cs="黑体" w:eastAsia="黑体" w:hint="default"/>
          <w:sz w:val="20"/>
          <w:szCs w:val="20"/>
        </w:rPr>
      </w:pPr>
    </w:p>
    <w:p>
      <w:pPr>
        <w:pStyle w:val="BodyText"/>
        <w:spacing w:line="225" w:lineRule="auto"/>
        <w:ind w:left="786" w:right="215"/>
        <w:jc w:val="both"/>
      </w:pPr>
      <w:r>
        <w:rPr>
          <w:w w:val="99"/>
        </w:rPr>
        <w:t>于</w:t>
      </w:r>
      <w:r>
        <w:rPr>
          <w:spacing w:val="-45"/>
          <w:w w:val="99"/>
        </w:rPr>
        <w:t> </w:t>
      </w:r>
      <w:r>
        <w:rPr>
          <w:rFonts w:ascii="Arial" w:hAnsi="Arial" w:cs="Arial" w:eastAsia="Arial" w:hint="default"/>
          <w:w w:val="99"/>
        </w:rPr>
        <w:t>2009</w:t>
      </w:r>
      <w:r>
        <w:rPr>
          <w:rFonts w:ascii="Arial" w:hAnsi="Arial" w:cs="Arial" w:eastAsia="Arial" w:hint="default"/>
          <w:spacing w:val="4"/>
          <w:w w:val="99"/>
        </w:rPr>
        <w:t> </w:t>
      </w:r>
      <w:r>
        <w:rPr>
          <w:spacing w:val="-3"/>
          <w:w w:val="99"/>
        </w:rPr>
        <w:t>年度，本公司所属子公司联通运营公司向环宇国际邮电租赁有限公司通过融资租赁租</w:t>
      </w:r>
      <w:r>
        <w:rPr>
          <w:spacing w:val="-108"/>
          <w:w w:val="99"/>
        </w:rPr>
        <w:t> </w:t>
      </w:r>
      <w:r>
        <w:rPr>
          <w:spacing w:val="-108"/>
          <w:w w:val="99"/>
        </w:rPr>
      </w:r>
      <w:r>
        <w:rPr/>
        <w:t>入通信设备（附注五</w:t>
      </w:r>
      <w:r>
        <w:rPr>
          <w:spacing w:val="-71"/>
        </w:rPr>
        <w:t> </w:t>
      </w:r>
      <w:r>
        <w:rPr>
          <w:rFonts w:ascii="Arial" w:hAnsi="Arial" w:cs="Arial" w:eastAsia="Arial" w:hint="default"/>
        </w:rPr>
        <w:t>9(a)</w:t>
      </w:r>
      <w:r>
        <w:rPr/>
        <w:t>），原值约为人民币</w:t>
      </w:r>
      <w:r>
        <w:rPr>
          <w:spacing w:val="-70"/>
        </w:rPr>
        <w:t> </w:t>
      </w:r>
      <w:r>
        <w:rPr>
          <w:rFonts w:ascii="Arial" w:hAnsi="Arial" w:cs="Arial" w:eastAsia="Arial" w:hint="default"/>
        </w:rPr>
        <w:t>1.29</w:t>
      </w:r>
      <w:r>
        <w:rPr>
          <w:rFonts w:ascii="Arial" w:hAnsi="Arial" w:cs="Arial" w:eastAsia="Arial" w:hint="default"/>
          <w:spacing w:val="-22"/>
        </w:rPr>
        <w:t> </w:t>
      </w:r>
      <w:r>
        <w:rPr/>
        <w:t>亿元，租金利率以伦敦银行同业拆借利率</w:t>
      </w:r>
      <w:r>
        <w:rPr>
          <w:w w:val="99"/>
        </w:rPr>
        <w:t> </w:t>
      </w:r>
      <w:r>
        <w:rPr/>
        <w:t>加</w:t>
      </w:r>
      <w:r>
        <w:rPr>
          <w:spacing w:val="-58"/>
        </w:rPr>
        <w:t> </w:t>
      </w:r>
      <w:r>
        <w:rPr>
          <w:rFonts w:ascii="Arial" w:hAnsi="Arial" w:cs="Arial" w:eastAsia="Arial" w:hint="default"/>
        </w:rPr>
        <w:t>1.8%</w:t>
      </w:r>
      <w:r>
        <w:rPr/>
        <w:t>计算，未来应支付租金汇总如下：</w:t>
      </w:r>
    </w:p>
    <w:p>
      <w:pPr>
        <w:spacing w:line="240" w:lineRule="auto" w:before="2"/>
        <w:rPr>
          <w:rFonts w:ascii="宋体" w:hAnsi="宋体" w:cs="宋体" w:eastAsia="宋体" w:hint="default"/>
          <w:sz w:val="18"/>
          <w:szCs w:val="18"/>
        </w:rPr>
      </w:pPr>
    </w:p>
    <w:p>
      <w:pPr>
        <w:pStyle w:val="BodyText"/>
        <w:tabs>
          <w:tab w:pos="7484" w:val="left" w:leader="none"/>
        </w:tabs>
        <w:spacing w:line="240" w:lineRule="auto"/>
        <w:ind w:left="4674" w:right="207"/>
        <w:jc w:val="left"/>
      </w:pP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tab/>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p>
      <w:pPr>
        <w:tabs>
          <w:tab w:pos="6972" w:val="left" w:leader="none"/>
        </w:tabs>
        <w:spacing w:line="20" w:lineRule="exact"/>
        <w:ind w:left="4095" w:right="0" w:firstLine="0"/>
        <w:rPr>
          <w:rFonts w:ascii="宋体" w:hAnsi="宋体" w:cs="宋体" w:eastAsia="宋体" w:hint="default"/>
          <w:sz w:val="2"/>
          <w:szCs w:val="2"/>
        </w:rPr>
      </w:pPr>
      <w:r>
        <w:rPr>
          <w:rFonts w:ascii="宋体"/>
          <w:sz w:val="2"/>
        </w:rPr>
        <w:pict>
          <v:group style="width:130.1pt;height:.75pt;mso-position-horizontal-relative:char;mso-position-vertical-relative:line" coordorigin="0,0" coordsize="2602,15">
            <v:group style="position:absolute;left:7;top:7;width:2588;height:2" coordorigin="7,7" coordsize="2588,2">
              <v:shape style="position:absolute;left:7;top:7;width:2588;height:2" coordorigin="7,7" coordsize="2588,0" path="m7,7l2594,7e" filled="false" stroked="true" strokeweight=".72pt" strokecolor="#000000">
                <v:path arrowok="t"/>
              </v:shape>
            </v:group>
          </v:group>
        </w:pict>
      </w:r>
      <w:r>
        <w:rPr>
          <w:rFonts w:ascii="宋体"/>
          <w:sz w:val="2"/>
        </w:rPr>
      </w:r>
      <w:r>
        <w:rPr>
          <w:rFonts w:ascii="宋体"/>
          <w:sz w:val="2"/>
        </w:rPr>
        <w:tab/>
      </w:r>
      <w:r>
        <w:rPr>
          <w:rFonts w:ascii="宋体"/>
          <w:sz w:val="2"/>
        </w:rPr>
        <w:pict>
          <v:group style="width:126.75pt;height:.75pt;mso-position-horizontal-relative:char;mso-position-vertical-relative:line" coordorigin="0,0" coordsize="2535,15">
            <v:group style="position:absolute;left:7;top:7;width:2520;height:2" coordorigin="7,7" coordsize="2520,2">
              <v:shape style="position:absolute;left:7;top:7;width:2520;height:2" coordorigin="7,7" coordsize="2520,0" path="m7,7l2527,7e" filled="false" stroked="true" strokeweight=".72pt" strokecolor="#000000">
                <v:path arrowok="t"/>
              </v:shape>
            </v:group>
          </v:group>
        </w:pict>
      </w:r>
      <w:r>
        <w:rPr>
          <w:rFonts w:ascii="宋体"/>
          <w:sz w:val="2"/>
        </w:rPr>
      </w:r>
    </w:p>
    <w:p>
      <w:pPr>
        <w:spacing w:line="240" w:lineRule="auto" w:before="2"/>
        <w:rPr>
          <w:rFonts w:ascii="宋体" w:hAnsi="宋体" w:cs="宋体" w:eastAsia="宋体" w:hint="default"/>
          <w:sz w:val="15"/>
          <w:szCs w:val="15"/>
        </w:rPr>
      </w:pPr>
    </w:p>
    <w:p>
      <w:pPr>
        <w:pStyle w:val="BodyText"/>
        <w:tabs>
          <w:tab w:pos="5487" w:val="left" w:leader="none"/>
          <w:tab w:pos="9325" w:val="left" w:leader="none"/>
        </w:tabs>
        <w:spacing w:line="305" w:lineRule="exact" w:before="27"/>
        <w:ind w:left="814" w:right="207"/>
        <w:jc w:val="left"/>
        <w:rPr>
          <w:rFonts w:ascii="Arial" w:hAnsi="Arial" w:cs="Arial" w:eastAsia="Arial" w:hint="default"/>
        </w:rPr>
      </w:pPr>
      <w:r>
        <w:rPr>
          <w:rFonts w:ascii="Arial" w:hAnsi="Arial" w:cs="Arial" w:eastAsia="Arial" w:hint="default"/>
          <w:position w:val="2"/>
        </w:rPr>
        <w:t>1</w:t>
      </w:r>
      <w:r>
        <w:rPr>
          <w:rFonts w:ascii="Arial" w:hAnsi="Arial" w:cs="Arial" w:eastAsia="Arial" w:hint="default"/>
          <w:spacing w:val="-8"/>
          <w:position w:val="2"/>
        </w:rPr>
        <w:t> </w:t>
      </w:r>
      <w:r>
        <w:rPr>
          <w:position w:val="2"/>
        </w:rPr>
        <w:t>年以内</w:t>
        <w:tab/>
      </w:r>
      <w:r>
        <w:rPr>
          <w:rFonts w:ascii="Arial" w:hAnsi="Arial" w:cs="Arial" w:eastAsia="Arial" w:hint="default"/>
          <w:w w:val="95"/>
        </w:rPr>
        <w:t>25,786,667</w:t>
        <w:tab/>
      </w:r>
      <w:r>
        <w:rPr>
          <w:rFonts w:ascii="Arial" w:hAnsi="Arial" w:cs="Arial" w:eastAsia="Arial" w:hint="default"/>
        </w:rPr>
        <w:t>-</w:t>
      </w:r>
    </w:p>
    <w:p>
      <w:pPr>
        <w:pStyle w:val="BodyText"/>
        <w:tabs>
          <w:tab w:pos="4102" w:val="left" w:leader="none"/>
          <w:tab w:pos="5365" w:val="left" w:leader="none"/>
          <w:tab w:pos="6979" w:val="left" w:leader="none"/>
          <w:tab w:pos="9325" w:val="left" w:leader="none"/>
          <w:tab w:pos="9499" w:val="left" w:leader="none"/>
        </w:tabs>
        <w:spacing w:line="305" w:lineRule="exact"/>
        <w:ind w:left="814" w:right="207"/>
        <w:jc w:val="left"/>
        <w:rPr>
          <w:rFonts w:ascii="Arial" w:hAnsi="Arial" w:cs="Arial" w:eastAsia="Arial" w:hint="default"/>
        </w:rPr>
      </w:pPr>
      <w:r>
        <w:rPr>
          <w:rFonts w:ascii="Arial" w:hAnsi="Arial" w:cs="Arial" w:eastAsia="Arial" w:hint="default"/>
          <w:position w:val="2"/>
        </w:rPr>
        <w:t>1</w:t>
      </w:r>
      <w:r>
        <w:rPr>
          <w:rFonts w:ascii="Arial" w:hAnsi="Arial" w:cs="Arial" w:eastAsia="Arial" w:hint="default"/>
          <w:spacing w:val="-7"/>
          <w:position w:val="2"/>
        </w:rPr>
        <w:t> </w:t>
      </w:r>
      <w:r>
        <w:rPr>
          <w:position w:val="2"/>
        </w:rPr>
        <w:t>到</w:t>
      </w:r>
      <w:r>
        <w:rPr>
          <w:spacing w:val="-56"/>
          <w:position w:val="2"/>
        </w:rPr>
        <w:t> </w:t>
      </w:r>
      <w:r>
        <w:rPr>
          <w:rFonts w:ascii="Arial" w:hAnsi="Arial" w:cs="Arial" w:eastAsia="Arial" w:hint="default"/>
          <w:position w:val="2"/>
        </w:rPr>
        <w:t>2</w:t>
      </w:r>
      <w:r>
        <w:rPr>
          <w:rFonts w:ascii="Arial" w:hAnsi="Arial" w:cs="Arial" w:eastAsia="Arial" w:hint="default"/>
          <w:spacing w:val="-7"/>
          <w:position w:val="2"/>
        </w:rPr>
        <w:t> </w:t>
      </w:r>
      <w:r>
        <w:rPr>
          <w:position w:val="2"/>
        </w:rPr>
        <w:t>年</w:t>
        <w:tab/>
      </w:r>
      <w:r>
        <w:rPr>
          <w:rFonts w:ascii="Arial" w:hAnsi="Arial" w:cs="Arial" w:eastAsia="Arial" w:hint="default"/>
        </w:rPr>
      </w:r>
      <w:r>
        <w:rPr>
          <w:rFonts w:ascii="Arial" w:hAnsi="Arial" w:cs="Arial" w:eastAsia="Arial" w:hint="default"/>
          <w:u w:val="single" w:color="000000"/>
        </w:rPr>
        <w:t> </w:t>
        <w:tab/>
      </w:r>
      <w:r>
        <w:rPr>
          <w:rFonts w:ascii="Arial" w:hAnsi="Arial" w:cs="Arial" w:eastAsia="Arial" w:hint="default"/>
          <w:w w:val="95"/>
          <w:u w:val="single" w:color="000000"/>
        </w:rPr>
        <w:t>103,146,665</w:t>
      </w:r>
      <w:r>
        <w:rPr>
          <w:rFonts w:ascii="Arial" w:hAnsi="Arial" w:cs="Arial" w:eastAsia="Arial" w:hint="default"/>
          <w:w w:val="95"/>
        </w:rPr>
        <w:tab/>
      </w:r>
      <w:r>
        <w:rPr>
          <w:rFonts w:ascii="Arial" w:hAnsi="Arial" w:cs="Arial" w:eastAsia="Arial" w:hint="default"/>
          <w:w w:val="95"/>
          <w:u w:val="single" w:color="000000"/>
        </w:rPr>
        <w:t> </w:t>
        <w:tab/>
      </w:r>
      <w:r>
        <w:rPr>
          <w:rFonts w:ascii="Arial" w:hAnsi="Arial" w:cs="Arial" w:eastAsia="Arial" w:hint="default"/>
          <w:u w:val="single" w:color="000000"/>
        </w:rPr>
        <w:t>-</w:t>
        <w:tab/>
      </w:r>
      <w:r>
        <w:rPr>
          <w:rFonts w:ascii="Arial" w:hAnsi="Arial" w:cs="Arial" w:eastAsia="Arial" w:hint="default"/>
        </w:rPr>
      </w:r>
    </w:p>
    <w:p>
      <w:pPr>
        <w:spacing w:line="240" w:lineRule="auto" w:before="7"/>
        <w:rPr>
          <w:rFonts w:ascii="Arial" w:hAnsi="Arial" w:cs="Arial" w:eastAsia="Arial" w:hint="default"/>
          <w:sz w:val="17"/>
          <w:szCs w:val="17"/>
        </w:rPr>
      </w:pPr>
    </w:p>
    <w:p>
      <w:pPr>
        <w:pStyle w:val="BodyText"/>
        <w:tabs>
          <w:tab w:pos="5365" w:val="left" w:leader="none"/>
          <w:tab w:pos="9325" w:val="left" w:leader="none"/>
        </w:tabs>
        <w:spacing w:line="240" w:lineRule="auto" w:before="27"/>
        <w:ind w:left="814" w:right="207"/>
        <w:jc w:val="left"/>
        <w:rPr>
          <w:rFonts w:ascii="Arial" w:hAnsi="Arial" w:cs="Arial" w:eastAsia="Arial" w:hint="default"/>
        </w:rPr>
      </w:pPr>
      <w:r>
        <w:rPr>
          <w:w w:val="95"/>
          <w:position w:val="2"/>
        </w:rPr>
        <w:t>合计</w:t>
        <w:tab/>
      </w:r>
      <w:r>
        <w:rPr>
          <w:rFonts w:ascii="Arial" w:hAnsi="Arial" w:cs="Arial" w:eastAsia="Arial" w:hint="default"/>
          <w:w w:val="95"/>
        </w:rPr>
        <w:t>128,933,332</w:t>
        <w:tab/>
      </w:r>
      <w:r>
        <w:rPr>
          <w:rFonts w:ascii="Arial" w:hAnsi="Arial" w:cs="Arial" w:eastAsia="Arial" w:hint="default"/>
        </w:rPr>
        <w:t>-</w:t>
      </w:r>
    </w:p>
    <w:p>
      <w:pPr>
        <w:tabs>
          <w:tab w:pos="6965" w:val="left" w:leader="none"/>
        </w:tabs>
        <w:spacing w:line="43" w:lineRule="exact"/>
        <w:ind w:left="4088" w:right="0" w:firstLine="0"/>
        <w:rPr>
          <w:rFonts w:ascii="Arial" w:hAnsi="Arial" w:cs="Arial" w:eastAsia="Arial" w:hint="default"/>
          <w:sz w:val="4"/>
          <w:szCs w:val="4"/>
        </w:rPr>
      </w:pPr>
      <w:r>
        <w:rPr>
          <w:rFonts w:ascii="Arial"/>
          <w:position w:val="0"/>
          <w:sz w:val="4"/>
        </w:rPr>
        <w:pict>
          <v:group style="width:130.8pt;height:2.2pt;mso-position-horizontal-relative:char;mso-position-vertical-relative:line" coordorigin="0,0" coordsize="2616,44">
            <v:group style="position:absolute;left:7;top:36;width:2602;height:2" coordorigin="7,36" coordsize="2602,2">
              <v:shape style="position:absolute;left:7;top:36;width:2602;height:2" coordorigin="7,36" coordsize="2602,0" path="m7,36l2609,36e" filled="false" stroked="true" strokeweight=".72pt" strokecolor="#000000">
                <v:path arrowok="t"/>
              </v:shape>
            </v:group>
            <v:group style="position:absolute;left:7;top:7;width:2602;height:2" coordorigin="7,7" coordsize="2602,2">
              <v:shape style="position:absolute;left:7;top:7;width:2602;height:2" coordorigin="7,7" coordsize="2602,0" path="m7,7l2609,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127.45pt;height:2.2pt;mso-position-horizontal-relative:char;mso-position-vertical-relative:line" coordorigin="0,0" coordsize="2549,44">
            <v:group style="position:absolute;left:7;top:36;width:2535;height:2" coordorigin="7,36" coordsize="2535,2">
              <v:shape style="position:absolute;left:7;top:36;width:2535;height:2" coordorigin="7,36" coordsize="2535,0" path="m7,36l2542,36e" filled="false" stroked="true" strokeweight=".72pt" strokecolor="#000000">
                <v:path arrowok="t"/>
              </v:shape>
            </v:group>
            <v:group style="position:absolute;left:7;top:7;width:2535;height:2" coordorigin="7,7" coordsize="2535,2">
              <v:shape style="position:absolute;left:7;top:7;width:2535;height:2" coordorigin="7,7" coordsize="2535,0" path="m7,7l2542,7e" filled="false" stroked="true" strokeweight=".72pt" strokecolor="#000000">
                <v:path arrowok="t"/>
              </v:shape>
            </v:group>
          </v:group>
        </w:pict>
      </w:r>
      <w:r>
        <w:rPr>
          <w:rFonts w:ascii="Arial"/>
          <w:position w:val="0"/>
          <w:sz w:val="4"/>
        </w:rPr>
      </w:r>
    </w:p>
    <w:p>
      <w:pPr>
        <w:spacing w:line="240" w:lineRule="auto" w:before="5"/>
        <w:rPr>
          <w:rFonts w:ascii="Arial" w:hAnsi="Arial" w:cs="Arial" w:eastAsia="Arial" w:hint="default"/>
          <w:sz w:val="16"/>
          <w:szCs w:val="16"/>
        </w:rPr>
      </w:pPr>
    </w:p>
    <w:p>
      <w:pPr>
        <w:pStyle w:val="BodyText"/>
        <w:spacing w:line="240" w:lineRule="auto" w:before="31"/>
        <w:ind w:left="800" w:right="0"/>
        <w:jc w:val="left"/>
      </w:pP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日，未确认的融资费用余额为</w:t>
      </w:r>
      <w:r>
        <w:rPr>
          <w:spacing w:val="-56"/>
        </w:rPr>
        <w:t> </w:t>
      </w:r>
      <w:r>
        <w:rPr>
          <w:rFonts w:ascii="Arial" w:hAnsi="Arial" w:cs="Arial" w:eastAsia="Arial" w:hint="default"/>
        </w:rPr>
        <w:t>523.9</w:t>
      </w:r>
      <w:r>
        <w:rPr>
          <w:rFonts w:ascii="Arial" w:hAnsi="Arial" w:cs="Arial" w:eastAsia="Arial" w:hint="default"/>
          <w:spacing w:val="-7"/>
        </w:rPr>
        <w:t> </w:t>
      </w:r>
      <w:r>
        <w:rPr/>
        <w:t>万元（</w:t>
      </w: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日：无）。</w:t>
      </w:r>
    </w:p>
    <w:p>
      <w:pPr>
        <w:spacing w:line="240" w:lineRule="auto" w:before="12"/>
        <w:rPr>
          <w:rFonts w:ascii="宋体" w:hAnsi="宋体" w:cs="宋体" w:eastAsia="宋体" w:hint="default"/>
          <w:sz w:val="17"/>
          <w:szCs w:val="17"/>
        </w:rPr>
      </w:pPr>
    </w:p>
    <w:p>
      <w:pPr>
        <w:pStyle w:val="BodyText"/>
        <w:tabs>
          <w:tab w:pos="799" w:val="left" w:leader="none"/>
        </w:tabs>
        <w:spacing w:line="240" w:lineRule="auto"/>
        <w:ind w:left="141" w:right="207"/>
        <w:jc w:val="left"/>
        <w:rPr>
          <w:rFonts w:ascii="黑体" w:hAnsi="黑体" w:cs="黑体" w:eastAsia="黑体" w:hint="default"/>
        </w:rPr>
      </w:pPr>
      <w:r>
        <w:rPr>
          <w:rFonts w:ascii="黑体" w:hAnsi="黑体" w:cs="黑体" w:eastAsia="黑体" w:hint="default"/>
          <w:w w:val="95"/>
        </w:rPr>
        <w:t>十四</w:t>
        <w:tab/>
      </w:r>
      <w:r>
        <w:rPr>
          <w:rFonts w:ascii="黑体" w:hAnsi="黑体" w:cs="黑体" w:eastAsia="黑体" w:hint="default"/>
        </w:rPr>
        <w:t>企业合并</w:t>
      </w:r>
    </w:p>
    <w:p>
      <w:pPr>
        <w:spacing w:line="240" w:lineRule="auto" w:before="2"/>
        <w:rPr>
          <w:rFonts w:ascii="黑体" w:hAnsi="黑体" w:cs="黑体" w:eastAsia="黑体" w:hint="default"/>
          <w:sz w:val="19"/>
          <w:szCs w:val="19"/>
        </w:rPr>
      </w:pPr>
    </w:p>
    <w:p>
      <w:pPr>
        <w:pStyle w:val="BodyText"/>
        <w:spacing w:line="240" w:lineRule="auto"/>
        <w:ind w:left="799" w:right="207"/>
        <w:jc w:val="left"/>
      </w:pPr>
      <w:r>
        <w:rPr/>
        <w:t>见附注四</w:t>
      </w:r>
      <w:r>
        <w:rPr>
          <w:rFonts w:ascii="Arial" w:hAnsi="Arial" w:cs="Arial" w:eastAsia="Arial" w:hint="default"/>
        </w:rPr>
        <w:t>(3)</w:t>
      </w:r>
      <w:r>
        <w:rPr/>
        <w:t>。</w:t>
      </w:r>
    </w:p>
    <w:p>
      <w:pPr>
        <w:spacing w:line="240" w:lineRule="auto" w:before="13"/>
        <w:rPr>
          <w:rFonts w:ascii="宋体" w:hAnsi="宋体" w:cs="宋体" w:eastAsia="宋体" w:hint="default"/>
          <w:sz w:val="17"/>
          <w:szCs w:val="17"/>
        </w:rPr>
      </w:pPr>
    </w:p>
    <w:p>
      <w:pPr>
        <w:pStyle w:val="BodyText"/>
        <w:tabs>
          <w:tab w:pos="799" w:val="left" w:leader="none"/>
        </w:tabs>
        <w:spacing w:line="240" w:lineRule="auto"/>
        <w:ind w:left="141" w:right="207"/>
        <w:jc w:val="left"/>
        <w:rPr>
          <w:rFonts w:ascii="黑体" w:hAnsi="黑体" w:cs="黑体" w:eastAsia="黑体" w:hint="default"/>
        </w:rPr>
      </w:pPr>
      <w:r>
        <w:rPr>
          <w:rFonts w:ascii="黑体" w:hAnsi="黑体" w:cs="黑体" w:eastAsia="黑体" w:hint="default"/>
          <w:w w:val="95"/>
        </w:rPr>
        <w:t>十五</w:t>
        <w:tab/>
      </w:r>
      <w:r>
        <w:rPr>
          <w:rFonts w:ascii="黑体" w:hAnsi="黑体" w:cs="黑体" w:eastAsia="黑体" w:hint="default"/>
        </w:rPr>
        <w:t>以公允价值计量的资产和负债</w:t>
      </w:r>
    </w:p>
    <w:p>
      <w:pPr>
        <w:spacing w:line="240" w:lineRule="auto" w:before="6"/>
        <w:rPr>
          <w:rFonts w:ascii="黑体" w:hAnsi="黑体" w:cs="黑体" w:eastAsia="黑体" w:hint="default"/>
          <w:sz w:val="16"/>
          <w:szCs w:val="16"/>
        </w:rPr>
      </w:pPr>
    </w:p>
    <w:p>
      <w:pPr>
        <w:spacing w:after="0" w:line="240" w:lineRule="auto"/>
        <w:rPr>
          <w:rFonts w:ascii="黑体" w:hAnsi="黑体" w:cs="黑体" w:eastAsia="黑体" w:hint="default"/>
          <w:sz w:val="16"/>
          <w:szCs w:val="16"/>
        </w:rPr>
        <w:sectPr>
          <w:headerReference w:type="default" r:id="rId145"/>
          <w:pgSz w:w="11910" w:h="16840"/>
          <w:pgMar w:header="1330" w:footer="1042" w:top="2680" w:bottom="1240" w:left="1240" w:right="800"/>
        </w:sectPr>
      </w:pPr>
    </w:p>
    <w:p>
      <w:pPr>
        <w:spacing w:line="268" w:lineRule="exact" w:before="38"/>
        <w:ind w:left="0" w:right="0" w:firstLine="0"/>
        <w:jc w:val="righ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p>
    <w:p>
      <w:pPr>
        <w:spacing w:line="268" w:lineRule="exact" w:before="0"/>
        <w:ind w:left="0" w:right="0" w:firstLine="0"/>
        <w:jc w:val="righ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宋体" w:hAnsi="宋体" w:cs="宋体" w:eastAsia="宋体" w:hint="default"/>
          <w:sz w:val="20"/>
          <w:szCs w:val="20"/>
        </w:rPr>
        <w:t>日</w:t>
      </w:r>
    </w:p>
    <w:p>
      <w:pPr>
        <w:spacing w:line="268" w:lineRule="exact" w:before="38"/>
        <w:ind w:left="802" w:right="-18" w:firstLine="0"/>
        <w:jc w:val="left"/>
        <w:rPr>
          <w:rFonts w:ascii="宋体" w:hAnsi="宋体" w:cs="宋体" w:eastAsia="宋体" w:hint="default"/>
          <w:sz w:val="20"/>
          <w:szCs w:val="20"/>
        </w:rPr>
      </w:pPr>
      <w:r>
        <w:rPr/>
        <w:br w:type="column"/>
      </w: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w:t>
      </w:r>
    </w:p>
    <w:p>
      <w:pPr>
        <w:spacing w:line="268" w:lineRule="exact" w:before="0"/>
        <w:ind w:left="502" w:right="-15" w:firstLine="0"/>
        <w:jc w:val="left"/>
        <w:rPr>
          <w:rFonts w:ascii="宋体" w:hAnsi="宋体" w:cs="宋体" w:eastAsia="宋体" w:hint="default"/>
          <w:sz w:val="20"/>
          <w:szCs w:val="20"/>
        </w:rPr>
      </w:pPr>
      <w:r>
        <w:rPr>
          <w:rFonts w:ascii="Arial" w:hAnsi="Arial" w:cs="Arial" w:eastAsia="Arial" w:hint="default"/>
          <w:sz w:val="20"/>
          <w:szCs w:val="20"/>
        </w:rPr>
        <w:t>12</w:t>
      </w:r>
      <w:r>
        <w:rPr>
          <w:rFonts w:ascii="Arial" w:hAnsi="Arial" w:cs="Arial" w:eastAsia="Arial" w:hint="default"/>
          <w:spacing w:val="-8"/>
          <w:sz w:val="20"/>
          <w:szCs w:val="20"/>
        </w:rPr>
        <w:t> </w:t>
      </w:r>
      <w:r>
        <w:rPr>
          <w:rFonts w:ascii="宋体" w:hAnsi="宋体" w:cs="宋体" w:eastAsia="宋体" w:hint="default"/>
          <w:sz w:val="20"/>
          <w:szCs w:val="20"/>
        </w:rPr>
        <w:t>月</w:t>
      </w:r>
      <w:r>
        <w:rPr>
          <w:rFonts w:ascii="宋体" w:hAnsi="宋体" w:cs="宋体" w:eastAsia="宋体" w:hint="default"/>
          <w:spacing w:val="-51"/>
          <w:sz w:val="20"/>
          <w:szCs w:val="20"/>
        </w:rPr>
        <w:t> </w:t>
      </w:r>
      <w:r>
        <w:rPr>
          <w:rFonts w:ascii="Arial" w:hAnsi="Arial" w:cs="Arial" w:eastAsia="Arial" w:hint="default"/>
          <w:sz w:val="20"/>
          <w:szCs w:val="20"/>
        </w:rPr>
        <w:t>31</w:t>
      </w:r>
      <w:r>
        <w:rPr>
          <w:rFonts w:ascii="Arial" w:hAnsi="Arial" w:cs="Arial" w:eastAsia="Arial" w:hint="default"/>
          <w:spacing w:val="-6"/>
          <w:sz w:val="20"/>
          <w:szCs w:val="20"/>
        </w:rPr>
        <w:t> </w:t>
      </w:r>
      <w:r>
        <w:rPr>
          <w:rFonts w:ascii="宋体" w:hAnsi="宋体" w:cs="宋体" w:eastAsia="宋体" w:hint="default"/>
          <w:sz w:val="20"/>
          <w:szCs w:val="20"/>
        </w:rPr>
        <w:t>日</w:t>
      </w:r>
    </w:p>
    <w:p>
      <w:pPr>
        <w:spacing w:line="260" w:lineRule="exact" w:before="38"/>
        <w:ind w:left="375" w:right="-14" w:firstLine="0"/>
        <w:jc w:val="left"/>
        <w:rPr>
          <w:rFonts w:ascii="宋体" w:hAnsi="宋体" w:cs="宋体" w:eastAsia="宋体" w:hint="default"/>
          <w:sz w:val="20"/>
          <w:szCs w:val="20"/>
        </w:rPr>
      </w:pPr>
      <w:r>
        <w:rPr>
          <w:spacing w:val="-1"/>
        </w:rPr>
        <w:br w:type="column"/>
      </w:r>
      <w:r>
        <w:rPr>
          <w:rFonts w:ascii="宋体" w:hAnsi="宋体" w:cs="宋体" w:eastAsia="宋体" w:hint="default"/>
          <w:spacing w:val="-1"/>
          <w:sz w:val="20"/>
          <w:szCs w:val="20"/>
        </w:rPr>
        <w:t>本年度计提</w:t>
      </w:r>
    </w:p>
    <w:p>
      <w:pPr>
        <w:spacing w:line="260" w:lineRule="exact" w:before="0"/>
        <w:ind w:left="773" w:right="-17" w:firstLine="0"/>
        <w:jc w:val="left"/>
        <w:rPr>
          <w:rFonts w:ascii="宋体" w:hAnsi="宋体" w:cs="宋体" w:eastAsia="宋体" w:hint="default"/>
          <w:sz w:val="20"/>
          <w:szCs w:val="20"/>
        </w:rPr>
      </w:pPr>
      <w:r>
        <w:rPr>
          <w:rFonts w:ascii="宋体" w:hAnsi="宋体" w:cs="宋体" w:eastAsia="宋体" w:hint="default"/>
          <w:sz w:val="20"/>
          <w:szCs w:val="20"/>
        </w:rPr>
        <w:t>的减值</w:t>
      </w:r>
    </w:p>
    <w:p>
      <w:pPr>
        <w:spacing w:line="260" w:lineRule="exact" w:before="64"/>
        <w:ind w:left="376" w:right="170" w:firstLine="1"/>
        <w:jc w:val="left"/>
        <w:rPr>
          <w:rFonts w:ascii="宋体" w:hAnsi="宋体" w:cs="宋体" w:eastAsia="宋体" w:hint="default"/>
          <w:sz w:val="20"/>
          <w:szCs w:val="20"/>
        </w:rPr>
      </w:pPr>
      <w:r>
        <w:rPr/>
        <w:br w:type="column"/>
      </w:r>
      <w:r>
        <w:rPr>
          <w:rFonts w:ascii="宋体" w:hAnsi="宋体" w:cs="宋体" w:eastAsia="宋体" w:hint="default"/>
          <w:sz w:val="20"/>
          <w:szCs w:val="20"/>
        </w:rPr>
        <w:t>计入总股东权益的</w:t>
      </w:r>
      <w:r>
        <w:rPr>
          <w:rFonts w:ascii="宋体" w:hAnsi="宋体" w:cs="宋体" w:eastAsia="宋体" w:hint="default"/>
          <w:w w:val="100"/>
          <w:sz w:val="20"/>
          <w:szCs w:val="20"/>
        </w:rPr>
        <w:t> </w:t>
      </w:r>
      <w:r>
        <w:rPr>
          <w:rFonts w:ascii="宋体" w:hAnsi="宋体" w:cs="宋体" w:eastAsia="宋体" w:hint="default"/>
          <w:sz w:val="20"/>
          <w:szCs w:val="20"/>
        </w:rPr>
        <w:t>累计公允价值变动</w:t>
      </w:r>
    </w:p>
    <w:p>
      <w:pPr>
        <w:spacing w:after="0" w:line="260" w:lineRule="exact"/>
        <w:jc w:val="left"/>
        <w:rPr>
          <w:rFonts w:ascii="宋体" w:hAnsi="宋体" w:cs="宋体" w:eastAsia="宋体" w:hint="default"/>
          <w:sz w:val="20"/>
          <w:szCs w:val="20"/>
        </w:rPr>
        <w:sectPr>
          <w:type w:val="continuous"/>
          <w:pgSz w:w="11910" w:h="16840"/>
          <w:pgMar w:top="1600" w:bottom="280" w:left="1240" w:right="800"/>
          <w:cols w:num="4" w:equalWidth="0">
            <w:col w:w="4703" w:space="40"/>
            <w:col w:w="1499" w:space="40"/>
            <w:col w:w="1377" w:space="40"/>
            <w:col w:w="2171"/>
          </w:cols>
        </w:sectPr>
      </w:pPr>
    </w:p>
    <w:p>
      <w:pPr>
        <w:spacing w:line="20" w:lineRule="exact"/>
        <w:ind w:left="3347" w:right="0" w:firstLine="0"/>
        <w:rPr>
          <w:rFonts w:ascii="宋体" w:hAnsi="宋体" w:cs="宋体" w:eastAsia="宋体" w:hint="default"/>
          <w:sz w:val="2"/>
          <w:szCs w:val="2"/>
        </w:rPr>
      </w:pPr>
      <w:r>
        <w:rPr>
          <w:rFonts w:ascii="宋体"/>
          <w:sz w:val="2"/>
        </w:rPr>
        <w:pict>
          <v:group style="width:70.6pt;height:.75pt;mso-position-horizontal-relative:char;mso-position-vertical-relative:line" coordorigin="0,0" coordsize="1412,15">
            <v:group style="position:absolute;left:7;top:7;width:1397;height:2" coordorigin="7,7" coordsize="1397,2">
              <v:shape style="position:absolute;left:7;top:7;width:1397;height:2" coordorigin="7,7" coordsize="1397,0" path="m7,7l1404,7e" filled="false" stroked="true" strokeweight=".72pt" strokecolor="#000000">
                <v:path arrowok="t"/>
              </v:shape>
            </v:group>
          </v:group>
        </w:pict>
      </w:r>
      <w:r>
        <w:rPr>
          <w:rFonts w:ascii="宋体"/>
          <w:sz w:val="2"/>
        </w:rPr>
      </w:r>
      <w:r>
        <w:rPr>
          <w:rFonts w:ascii="Times New Roman"/>
          <w:spacing w:val="121"/>
          <w:sz w:val="2"/>
        </w:rPr>
        <w:t> </w:t>
      </w:r>
      <w:r>
        <w:rPr>
          <w:rFonts w:ascii="宋体"/>
          <w:spacing w:val="121"/>
          <w:sz w:val="2"/>
        </w:rPr>
        <w:pict>
          <v:group style="width:70.5pt;height:.75pt;mso-position-horizontal-relative:char;mso-position-vertical-relative:line" coordorigin="0,0" coordsize="1410,15">
            <v:group style="position:absolute;left:7;top:7;width:1396;height:2" coordorigin="7,7" coordsize="1396,2">
              <v:shape style="position:absolute;left:7;top:7;width:1396;height:2" coordorigin="7,7" coordsize="1396,0" path="m7,7l1403,7e" filled="false" stroked="true" strokeweight=".72pt" strokecolor="#000000">
                <v:path arrowok="t"/>
              </v:shape>
            </v:group>
          </v:group>
        </w:pict>
      </w:r>
      <w:r>
        <w:rPr>
          <w:rFonts w:ascii="宋体"/>
          <w:spacing w:val="121"/>
          <w:sz w:val="2"/>
        </w:rPr>
      </w:r>
      <w:r>
        <w:rPr>
          <w:rFonts w:ascii="Times New Roman"/>
          <w:spacing w:val="118"/>
          <w:sz w:val="2"/>
        </w:rPr>
        <w:t> </w:t>
      </w:r>
      <w:r>
        <w:rPr>
          <w:rFonts w:ascii="宋体"/>
          <w:spacing w:val="118"/>
          <w:sz w:val="2"/>
        </w:rPr>
        <w:pict>
          <v:group style="width:64.4pt;height:.75pt;mso-position-horizontal-relative:char;mso-position-vertical-relative:line" coordorigin="0,0" coordsize="1288,15">
            <v:group style="position:absolute;left:7;top:7;width:1274;height:2" coordorigin="7,7" coordsize="1274,2">
              <v:shape style="position:absolute;left:7;top:7;width:1274;height:2" coordorigin="7,7" coordsize="1274,0" path="m7,7l1280,7e" filled="false" stroked="true" strokeweight=".72pt" strokecolor="#000000">
                <v:path arrowok="t"/>
              </v:shape>
            </v:group>
          </v:group>
        </w:pict>
      </w:r>
      <w:r>
        <w:rPr>
          <w:rFonts w:ascii="宋体"/>
          <w:spacing w:val="118"/>
          <w:sz w:val="2"/>
        </w:rPr>
      </w:r>
      <w:r>
        <w:rPr>
          <w:rFonts w:ascii="Times New Roman"/>
          <w:spacing w:val="142"/>
          <w:sz w:val="2"/>
        </w:rPr>
        <w:t> </w:t>
      </w:r>
      <w:r>
        <w:rPr>
          <w:rFonts w:ascii="宋体"/>
          <w:spacing w:val="142"/>
          <w:sz w:val="2"/>
        </w:rPr>
        <w:pict>
          <v:group style="width:93.45pt;height:.75pt;mso-position-horizontal-relative:char;mso-position-vertical-relative:line" coordorigin="0,0" coordsize="1869,15">
            <v:group style="position:absolute;left:7;top:7;width:1854;height:2" coordorigin="7,7" coordsize="1854,2">
              <v:shape style="position:absolute;left:7;top:7;width:1854;height:2" coordorigin="7,7" coordsize="1854,0" path="m7,7l1861,7e" filled="false" stroked="true" strokeweight=".72pt" strokecolor="#000000">
                <v:path arrowok="t"/>
              </v:shape>
            </v:group>
          </v:group>
        </w:pict>
      </w:r>
      <w:r>
        <w:rPr>
          <w:rFonts w:ascii="宋体"/>
          <w:spacing w:val="142"/>
          <w:sz w:val="2"/>
        </w:rPr>
      </w:r>
    </w:p>
    <w:p>
      <w:pPr>
        <w:spacing w:line="240" w:lineRule="auto" w:before="4"/>
        <w:rPr>
          <w:rFonts w:ascii="宋体" w:hAnsi="宋体" w:cs="宋体" w:eastAsia="宋体" w:hint="default"/>
          <w:sz w:val="12"/>
          <w:szCs w:val="12"/>
        </w:rPr>
      </w:pPr>
    </w:p>
    <w:p>
      <w:pPr>
        <w:tabs>
          <w:tab w:pos="3423" w:val="left" w:leader="none"/>
          <w:tab w:pos="5238" w:val="left" w:leader="none"/>
          <w:tab w:pos="7588" w:val="left" w:leader="none"/>
          <w:tab w:pos="8783" w:val="left" w:leader="none"/>
        </w:tabs>
        <w:spacing w:before="40"/>
        <w:ind w:left="857" w:right="0" w:firstLine="0"/>
        <w:jc w:val="left"/>
        <w:rPr>
          <w:rFonts w:ascii="Arial" w:hAnsi="Arial" w:cs="Arial" w:eastAsia="Arial" w:hint="default"/>
          <w:sz w:val="20"/>
          <w:szCs w:val="20"/>
        </w:rPr>
      </w:pPr>
      <w:r>
        <w:rPr>
          <w:rFonts w:ascii="宋体" w:hAnsi="宋体" w:cs="宋体" w:eastAsia="宋体" w:hint="default"/>
          <w:spacing w:val="-1"/>
          <w:position w:val="1"/>
          <w:sz w:val="20"/>
          <w:szCs w:val="20"/>
        </w:rPr>
        <w:t>可供出售金融资产</w:t>
        <w:tab/>
      </w:r>
      <w:r>
        <w:rPr>
          <w:rFonts w:ascii="Arial" w:hAnsi="Arial" w:cs="Arial" w:eastAsia="Arial" w:hint="default"/>
          <w:spacing w:val="-2"/>
          <w:sz w:val="20"/>
          <w:szCs w:val="20"/>
        </w:rPr>
        <w:t>7,976,911,996</w:t>
        <w:tab/>
      </w:r>
      <w:r>
        <w:rPr>
          <w:rFonts w:ascii="Arial" w:hAnsi="Arial" w:cs="Arial" w:eastAsia="Arial" w:hint="default"/>
          <w:spacing w:val="-1"/>
          <w:sz w:val="20"/>
          <w:szCs w:val="20"/>
        </w:rPr>
        <w:t>95,115,992</w:t>
        <w:tab/>
      </w:r>
      <w:r>
        <w:rPr>
          <w:rFonts w:ascii="Arial" w:hAnsi="Arial" w:cs="Arial" w:eastAsia="Arial" w:hint="default"/>
          <w:sz w:val="20"/>
          <w:szCs w:val="20"/>
        </w:rPr>
        <w:t>-</w:t>
        <w:tab/>
      </w:r>
      <w:r>
        <w:rPr>
          <w:rFonts w:ascii="Arial" w:hAnsi="Arial" w:cs="Arial" w:eastAsia="Arial" w:hint="default"/>
          <w:spacing w:val="-1"/>
          <w:sz w:val="20"/>
          <w:szCs w:val="20"/>
        </w:rPr>
        <w:t>6,607,451</w:t>
      </w:r>
    </w:p>
    <w:p>
      <w:pPr>
        <w:spacing w:line="43" w:lineRule="exact"/>
        <w:ind w:left="3340" w:right="0" w:firstLine="0"/>
        <w:rPr>
          <w:rFonts w:ascii="Arial" w:hAnsi="Arial" w:cs="Arial" w:eastAsia="Arial" w:hint="default"/>
          <w:sz w:val="4"/>
          <w:szCs w:val="4"/>
        </w:rPr>
      </w:pPr>
      <w:r>
        <w:rPr>
          <w:rFonts w:ascii="Arial"/>
          <w:position w:val="0"/>
          <w:sz w:val="4"/>
        </w:rPr>
        <w:pict>
          <v:group style="width:71.3pt;height:2.2pt;mso-position-horizontal-relative:char;mso-position-vertical-relative:line" coordorigin="0,0" coordsize="1426,44">
            <v:group style="position:absolute;left:7;top:36;width:1412;height:2" coordorigin="7,36" coordsize="1412,2">
              <v:shape style="position:absolute;left:7;top:36;width:1412;height:2" coordorigin="7,36" coordsize="1412,0" path="m7,36l1418,36e" filled="false" stroked="true" strokeweight=".72pt" strokecolor="#000000">
                <v:path arrowok="t"/>
              </v:shape>
            </v:group>
            <v:group style="position:absolute;left:7;top:7;width:1412;height:2" coordorigin="7,7" coordsize="1412,2">
              <v:shape style="position:absolute;left:7;top:7;width:1412;height:2" coordorigin="7,7" coordsize="1412,0" path="m7,7l1418,7e" filled="false" stroked="true" strokeweight=".72pt" strokecolor="#000000">
                <v:path arrowok="t"/>
              </v:shape>
            </v:group>
          </v:group>
        </w:pict>
      </w:r>
      <w:r>
        <w:rPr>
          <w:rFonts w:ascii="Arial"/>
          <w:position w:val="0"/>
          <w:sz w:val="4"/>
        </w:rPr>
      </w:r>
      <w:r>
        <w:rPr>
          <w:rFonts w:ascii="Times New Roman"/>
          <w:spacing w:val="99"/>
          <w:position w:val="0"/>
          <w:sz w:val="4"/>
        </w:rPr>
        <w:t> </w:t>
      </w:r>
      <w:r>
        <w:rPr>
          <w:rFonts w:ascii="Arial"/>
          <w:spacing w:val="99"/>
          <w:position w:val="0"/>
          <w:sz w:val="4"/>
        </w:rPr>
        <w:pict>
          <v:group style="width:71.25pt;height:2.2pt;mso-position-horizontal-relative:char;mso-position-vertical-relative:line" coordorigin="0,0" coordsize="1425,44">
            <v:group style="position:absolute;left:7;top:36;width:1410;height:2" coordorigin="7,36" coordsize="1410,2">
              <v:shape style="position:absolute;left:7;top:36;width:1410;height:2" coordorigin="7,36" coordsize="1410,0" path="m7,36l1417,36e" filled="false" stroked="true" strokeweight=".72pt" strokecolor="#000000">
                <v:path arrowok="t"/>
              </v:shape>
            </v:group>
            <v:group style="position:absolute;left:7;top:7;width:1410;height:2" coordorigin="7,7" coordsize="1410,2">
              <v:shape style="position:absolute;left:7;top:7;width:1410;height:2" coordorigin="7,7" coordsize="1410,0" path="m7,7l1417,7e" filled="false" stroked="true" strokeweight=".72pt" strokecolor="#000000">
                <v:path arrowok="t"/>
              </v:shape>
            </v:group>
          </v:group>
        </w:pict>
      </w:r>
      <w:r>
        <w:rPr>
          <w:rFonts w:ascii="Arial"/>
          <w:spacing w:val="99"/>
          <w:position w:val="0"/>
          <w:sz w:val="4"/>
        </w:rPr>
      </w:r>
      <w:r>
        <w:rPr>
          <w:rFonts w:ascii="Times New Roman"/>
          <w:spacing w:val="96"/>
          <w:position w:val="0"/>
          <w:sz w:val="4"/>
        </w:rPr>
        <w:t> </w:t>
      </w:r>
      <w:r>
        <w:rPr>
          <w:rFonts w:ascii="Arial"/>
          <w:spacing w:val="96"/>
          <w:position w:val="0"/>
          <w:sz w:val="4"/>
        </w:rPr>
        <w:pict>
          <v:group style="width:65.1pt;height:2.2pt;mso-position-horizontal-relative:char;mso-position-vertical-relative:line" coordorigin="0,0" coordsize="1302,44">
            <v:group style="position:absolute;left:7;top:36;width:1288;height:2" coordorigin="7,36" coordsize="1288,2">
              <v:shape style="position:absolute;left:7;top:36;width:1288;height:2" coordorigin="7,36" coordsize="1288,0" path="m7,36l1295,36e" filled="false" stroked="true" strokeweight=".72pt" strokecolor="#000000">
                <v:path arrowok="t"/>
              </v:shape>
            </v:group>
            <v:group style="position:absolute;left:7;top:7;width:1288;height:2" coordorigin="7,7" coordsize="1288,2">
              <v:shape style="position:absolute;left:7;top:7;width:1288;height:2" coordorigin="7,7" coordsize="1288,0" path="m7,7l1295,7e" filled="false" stroked="true" strokeweight=".72pt" strokecolor="#000000">
                <v:path arrowok="t"/>
              </v:shape>
            </v:group>
          </v:group>
        </w:pict>
      </w:r>
      <w:r>
        <w:rPr>
          <w:rFonts w:ascii="Arial"/>
          <w:spacing w:val="96"/>
          <w:position w:val="0"/>
          <w:sz w:val="4"/>
        </w:rPr>
      </w:r>
      <w:r>
        <w:rPr>
          <w:rFonts w:ascii="Times New Roman"/>
          <w:spacing w:val="120"/>
          <w:position w:val="0"/>
          <w:sz w:val="4"/>
        </w:rPr>
        <w:t> </w:t>
      </w:r>
      <w:r>
        <w:rPr>
          <w:rFonts w:ascii="Arial"/>
          <w:spacing w:val="120"/>
          <w:position w:val="0"/>
          <w:sz w:val="4"/>
        </w:rPr>
        <w:pict>
          <v:group style="width:94.15pt;height:2.2pt;mso-position-horizontal-relative:char;mso-position-vertical-relative:line" coordorigin="0,0" coordsize="1883,44">
            <v:group style="position:absolute;left:7;top:36;width:1869;height:2" coordorigin="7,36" coordsize="1869,2">
              <v:shape style="position:absolute;left:7;top:36;width:1869;height:2" coordorigin="7,36" coordsize="1869,0" path="m7,36l1876,36e" filled="false" stroked="true" strokeweight=".72pt" strokecolor="#000000">
                <v:path arrowok="t"/>
              </v:shape>
            </v:group>
            <v:group style="position:absolute;left:7;top:7;width:1869;height:2" coordorigin="7,7" coordsize="1869,2">
              <v:shape style="position:absolute;left:7;top:7;width:1869;height:2" coordorigin="7,7" coordsize="1869,0" path="m7,7l1876,7e" filled="false" stroked="true" strokeweight=".72pt" strokecolor="#000000">
                <v:path arrowok="t"/>
              </v:shape>
            </v:group>
          </v:group>
        </w:pict>
      </w:r>
      <w:r>
        <w:rPr>
          <w:rFonts w:ascii="Arial"/>
          <w:spacing w:val="120"/>
          <w:position w:val="0"/>
          <w:sz w:val="4"/>
        </w:rPr>
      </w:r>
    </w:p>
    <w:p>
      <w:pPr>
        <w:spacing w:line="240" w:lineRule="auto" w:before="6"/>
        <w:rPr>
          <w:rFonts w:ascii="Arial" w:hAnsi="Arial" w:cs="Arial" w:eastAsia="Arial" w:hint="default"/>
          <w:sz w:val="16"/>
          <w:szCs w:val="16"/>
        </w:rPr>
      </w:pPr>
    </w:p>
    <w:tbl>
      <w:tblPr>
        <w:tblW w:w="0" w:type="auto"/>
        <w:jc w:val="left"/>
        <w:tblInd w:w="107" w:type="dxa"/>
        <w:tblLayout w:type="fixed"/>
        <w:tblCellMar>
          <w:top w:w="0" w:type="dxa"/>
          <w:left w:w="0" w:type="dxa"/>
          <w:bottom w:w="0" w:type="dxa"/>
          <w:right w:w="0" w:type="dxa"/>
        </w:tblCellMar>
        <w:tblLook w:val="01E0"/>
      </w:tblPr>
      <w:tblGrid>
        <w:gridCol w:w="693"/>
        <w:gridCol w:w="3137"/>
        <w:gridCol w:w="5824"/>
      </w:tblGrid>
      <w:tr>
        <w:trPr>
          <w:trHeight w:val="871" w:hRule="exact"/>
        </w:trPr>
        <w:tc>
          <w:tcPr>
            <w:tcW w:w="693"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黑体" w:hAnsi="黑体" w:cs="黑体" w:eastAsia="黑体" w:hint="default"/>
                <w:sz w:val="22"/>
                <w:szCs w:val="22"/>
              </w:rPr>
            </w:pPr>
            <w:r>
              <w:rPr>
                <w:rFonts w:ascii="黑体" w:hAnsi="黑体" w:cs="黑体" w:eastAsia="黑体" w:hint="default"/>
                <w:sz w:val="22"/>
                <w:szCs w:val="22"/>
              </w:rPr>
              <w:t>十六</w:t>
            </w:r>
          </w:p>
        </w:tc>
        <w:tc>
          <w:tcPr>
            <w:tcW w:w="3137"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0"/>
              <w:jc w:val="left"/>
              <w:rPr>
                <w:rFonts w:ascii="黑体" w:hAnsi="黑体" w:cs="黑体" w:eastAsia="黑体" w:hint="default"/>
                <w:sz w:val="22"/>
                <w:szCs w:val="22"/>
              </w:rPr>
            </w:pPr>
            <w:r>
              <w:rPr>
                <w:rFonts w:ascii="黑体" w:hAnsi="黑体" w:cs="黑体" w:eastAsia="黑体" w:hint="default"/>
                <w:sz w:val="22"/>
                <w:szCs w:val="22"/>
              </w:rPr>
              <w:t>外币金融资产和外币金融负债</w:t>
            </w:r>
          </w:p>
          <w:p>
            <w:pPr>
              <w:pStyle w:val="TableParagraph"/>
              <w:spacing w:line="240" w:lineRule="auto" w:before="2"/>
              <w:ind w:right="0"/>
              <w:jc w:val="left"/>
              <w:rPr>
                <w:rFonts w:ascii="Arial" w:hAnsi="Arial" w:cs="Arial" w:eastAsia="Arial" w:hint="default"/>
                <w:sz w:val="22"/>
                <w:szCs w:val="22"/>
              </w:rPr>
            </w:pPr>
          </w:p>
          <w:p>
            <w:pPr>
              <w:pStyle w:val="TableParagraph"/>
              <w:spacing w:line="240" w:lineRule="auto"/>
              <w:ind w:right="32"/>
              <w:jc w:val="right"/>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w:t>
            </w:r>
          </w:p>
        </w:tc>
        <w:tc>
          <w:tcPr>
            <w:tcW w:w="582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sz w:val="20"/>
                <w:szCs w:val="20"/>
              </w:rPr>
            </w:pPr>
          </w:p>
          <w:p>
            <w:pPr>
              <w:pStyle w:val="TableParagraph"/>
              <w:spacing w:line="240" w:lineRule="auto" w:before="11"/>
              <w:ind w:right="0"/>
              <w:jc w:val="left"/>
              <w:rPr>
                <w:rFonts w:ascii="Arial" w:hAnsi="Arial" w:cs="Arial" w:eastAsia="Arial" w:hint="default"/>
                <w:sz w:val="29"/>
                <w:szCs w:val="29"/>
              </w:rPr>
            </w:pPr>
          </w:p>
          <w:p>
            <w:pPr>
              <w:pStyle w:val="TableParagraph"/>
              <w:tabs>
                <w:tab w:pos="4997" w:val="left" w:leader="none"/>
              </w:tabs>
              <w:spacing w:line="240" w:lineRule="auto"/>
              <w:ind w:right="0"/>
              <w:jc w:val="right"/>
              <w:rPr>
                <w:rFonts w:ascii="宋体" w:hAnsi="宋体" w:cs="宋体" w:eastAsia="宋体" w:hint="default"/>
                <w:sz w:val="20"/>
                <w:szCs w:val="20"/>
              </w:rPr>
            </w:pPr>
            <w:r>
              <w:rPr>
                <w:rFonts w:ascii="宋体" w:hAnsi="宋体" w:cs="宋体" w:eastAsia="宋体" w:hint="default"/>
                <w:sz w:val="20"/>
                <w:szCs w:val="20"/>
              </w:rPr>
              <w:t>本年度公允价 计入股东权益的累</w:t>
            </w:r>
            <w:r>
              <w:rPr>
                <w:rFonts w:ascii="宋体" w:hAnsi="宋体" w:cs="宋体" w:eastAsia="宋体" w:hint="default"/>
                <w:spacing w:val="94"/>
                <w:sz w:val="20"/>
                <w:szCs w:val="20"/>
              </w:rPr>
              <w:t> </w:t>
            </w:r>
            <w:r>
              <w:rPr>
                <w:rFonts w:ascii="宋体" w:hAnsi="宋体" w:cs="宋体" w:eastAsia="宋体" w:hint="default"/>
                <w:sz w:val="20"/>
                <w:szCs w:val="20"/>
              </w:rPr>
              <w:t>本年度计提</w:t>
              <w:tab/>
            </w: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w:t>
            </w:r>
          </w:p>
        </w:tc>
      </w:tr>
      <w:tr>
        <w:trPr>
          <w:trHeight w:val="261" w:hRule="exact"/>
        </w:trPr>
        <w:tc>
          <w:tcPr>
            <w:tcW w:w="693" w:type="dxa"/>
            <w:tcBorders>
              <w:top w:val="nil" w:sz="6" w:space="0" w:color="auto"/>
              <w:left w:val="nil" w:sz="6" w:space="0" w:color="auto"/>
              <w:bottom w:val="nil" w:sz="6" w:space="0" w:color="auto"/>
              <w:right w:val="nil" w:sz="6" w:space="0" w:color="auto"/>
            </w:tcBorders>
          </w:tcPr>
          <w:p>
            <w:pPr/>
          </w:p>
        </w:tc>
        <w:tc>
          <w:tcPr>
            <w:tcW w:w="3137" w:type="dxa"/>
            <w:tcBorders>
              <w:top w:val="nil" w:sz="6" w:space="0" w:color="auto"/>
              <w:left w:val="nil" w:sz="6" w:space="0" w:color="auto"/>
              <w:bottom w:val="single" w:sz="6" w:space="0" w:color="000000"/>
              <w:right w:val="nil" w:sz="6" w:space="0" w:color="auto"/>
            </w:tcBorders>
          </w:tcPr>
          <w:p>
            <w:pPr>
              <w:pStyle w:val="TableParagraph"/>
              <w:tabs>
                <w:tab w:pos="2105" w:val="left" w:leader="none"/>
              </w:tabs>
              <w:spacing w:line="239" w:lineRule="exact"/>
              <w:ind w:left="57" w:right="0"/>
              <w:jc w:val="left"/>
              <w:rPr>
                <w:rFonts w:ascii="宋体" w:hAnsi="宋体" w:cs="宋体" w:eastAsia="宋体" w:hint="default"/>
                <w:sz w:val="20"/>
                <w:szCs w:val="20"/>
              </w:rPr>
            </w:pPr>
            <w:r>
              <w:rPr>
                <w:rFonts w:ascii="宋体" w:hAnsi="宋体" w:cs="宋体" w:eastAsia="宋体" w:hint="default"/>
                <w:spacing w:val="-1"/>
                <w:sz w:val="20"/>
                <w:szCs w:val="20"/>
              </w:rPr>
              <w:t>人民币：百万元</w:t>
              <w:tab/>
            </w:r>
            <w:r>
              <w:rPr>
                <w:rFonts w:ascii="Arial" w:hAnsi="Arial" w:cs="Arial" w:eastAsia="Arial" w:hint="default"/>
                <w:sz w:val="20"/>
                <w:szCs w:val="20"/>
              </w:rPr>
              <w:t>12</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pacing w:val="-1"/>
                <w:sz w:val="20"/>
                <w:szCs w:val="20"/>
              </w:rPr>
              <w:t>31</w:t>
            </w:r>
            <w:r>
              <w:rPr>
                <w:rFonts w:ascii="Arial" w:hAnsi="Arial" w:cs="Arial" w:eastAsia="Arial" w:hint="default"/>
                <w:spacing w:val="-5"/>
                <w:sz w:val="20"/>
                <w:szCs w:val="20"/>
              </w:rPr>
              <w:t> </w:t>
            </w:r>
            <w:r>
              <w:rPr>
                <w:rFonts w:ascii="宋体" w:hAnsi="宋体" w:cs="宋体" w:eastAsia="宋体" w:hint="default"/>
                <w:sz w:val="20"/>
                <w:szCs w:val="20"/>
              </w:rPr>
              <w:t>日</w:t>
            </w:r>
          </w:p>
        </w:tc>
        <w:tc>
          <w:tcPr>
            <w:tcW w:w="5824" w:type="dxa"/>
            <w:tcBorders>
              <w:top w:val="nil" w:sz="6" w:space="0" w:color="auto"/>
              <w:left w:val="nil" w:sz="6" w:space="0" w:color="auto"/>
              <w:bottom w:val="single" w:sz="6" w:space="0" w:color="000000"/>
              <w:right w:val="nil" w:sz="6" w:space="0" w:color="auto"/>
            </w:tcBorders>
          </w:tcPr>
          <w:p>
            <w:pPr>
              <w:pStyle w:val="TableParagraph"/>
              <w:tabs>
                <w:tab w:pos="1306" w:val="left" w:leader="none"/>
                <w:tab w:pos="3297" w:val="left" w:leader="none"/>
                <w:tab w:pos="4498" w:val="left" w:leader="none"/>
              </w:tabs>
              <w:spacing w:line="239" w:lineRule="exact"/>
              <w:ind w:right="0"/>
              <w:jc w:val="right"/>
              <w:rPr>
                <w:rFonts w:ascii="宋体" w:hAnsi="宋体" w:cs="宋体" w:eastAsia="宋体" w:hint="default"/>
                <w:sz w:val="20"/>
                <w:szCs w:val="20"/>
              </w:rPr>
            </w:pPr>
            <w:r>
              <w:rPr>
                <w:rFonts w:ascii="宋体" w:hAnsi="宋体" w:cs="宋体" w:eastAsia="宋体" w:hint="default"/>
                <w:spacing w:val="-1"/>
                <w:sz w:val="20"/>
                <w:szCs w:val="20"/>
              </w:rPr>
              <w:t>值变动损益</w:t>
              <w:tab/>
              <w:t>计公允价值变动</w:t>
              <w:tab/>
            </w:r>
            <w:r>
              <w:rPr>
                <w:rFonts w:ascii="宋体" w:hAnsi="宋体" w:cs="宋体" w:eastAsia="宋体" w:hint="default"/>
                <w:sz w:val="20"/>
                <w:szCs w:val="20"/>
              </w:rPr>
              <w:t>的减值</w:t>
              <w:tab/>
            </w:r>
            <w:r>
              <w:rPr>
                <w:rFonts w:ascii="Arial" w:hAnsi="Arial" w:cs="Arial" w:eastAsia="Arial" w:hint="default"/>
                <w:sz w:val="20"/>
                <w:szCs w:val="20"/>
              </w:rPr>
              <w:t>12</w:t>
            </w:r>
            <w:r>
              <w:rPr>
                <w:rFonts w:ascii="Arial" w:hAnsi="Arial" w:cs="Arial" w:eastAsia="Arial" w:hint="default"/>
                <w:spacing w:val="-7"/>
                <w:sz w:val="20"/>
                <w:szCs w:val="20"/>
              </w:rPr>
              <w:t> </w:t>
            </w:r>
            <w:r>
              <w:rPr>
                <w:rFonts w:ascii="宋体" w:hAnsi="宋体" w:cs="宋体" w:eastAsia="宋体" w:hint="default"/>
                <w:sz w:val="20"/>
                <w:szCs w:val="20"/>
              </w:rPr>
              <w:t>月</w:t>
            </w:r>
            <w:r>
              <w:rPr>
                <w:rFonts w:ascii="宋体" w:hAnsi="宋体" w:cs="宋体" w:eastAsia="宋体" w:hint="default"/>
                <w:spacing w:val="-50"/>
                <w:sz w:val="20"/>
                <w:szCs w:val="20"/>
              </w:rPr>
              <w:t> </w:t>
            </w:r>
            <w:r>
              <w:rPr>
                <w:rFonts w:ascii="Arial" w:hAnsi="Arial" w:cs="Arial" w:eastAsia="Arial" w:hint="default"/>
                <w:spacing w:val="-1"/>
                <w:sz w:val="20"/>
                <w:szCs w:val="20"/>
              </w:rPr>
              <w:t>31</w:t>
            </w:r>
            <w:r>
              <w:rPr>
                <w:rFonts w:ascii="Arial" w:hAnsi="Arial" w:cs="Arial" w:eastAsia="Arial" w:hint="default"/>
                <w:spacing w:val="-5"/>
                <w:sz w:val="20"/>
                <w:szCs w:val="20"/>
              </w:rPr>
              <w:t> </w:t>
            </w:r>
            <w:r>
              <w:rPr>
                <w:rFonts w:ascii="宋体" w:hAnsi="宋体" w:cs="宋体" w:eastAsia="宋体" w:hint="default"/>
                <w:sz w:val="20"/>
                <w:szCs w:val="20"/>
              </w:rPr>
              <w:t>日</w:t>
            </w:r>
          </w:p>
        </w:tc>
      </w:tr>
      <w:tr>
        <w:trPr>
          <w:trHeight w:val="473" w:hRule="exact"/>
        </w:trPr>
        <w:tc>
          <w:tcPr>
            <w:tcW w:w="693" w:type="dxa"/>
            <w:tcBorders>
              <w:top w:val="nil" w:sz="6" w:space="0" w:color="auto"/>
              <w:left w:val="nil" w:sz="6" w:space="0" w:color="auto"/>
              <w:bottom w:val="nil" w:sz="6" w:space="0" w:color="auto"/>
              <w:right w:val="nil" w:sz="6" w:space="0" w:color="auto"/>
            </w:tcBorders>
          </w:tcPr>
          <w:p>
            <w:pPr/>
          </w:p>
        </w:tc>
        <w:tc>
          <w:tcPr>
            <w:tcW w:w="3137" w:type="dxa"/>
            <w:tcBorders>
              <w:top w:val="single" w:sz="6" w:space="0" w:color="000000"/>
              <w:left w:val="nil" w:sz="6" w:space="0" w:color="auto"/>
              <w:bottom w:val="single" w:sz="4" w:space="0" w:color="000000"/>
              <w:right w:val="nil" w:sz="6" w:space="0" w:color="auto"/>
            </w:tcBorders>
          </w:tcPr>
          <w:p>
            <w:pPr>
              <w:pStyle w:val="TableParagraph"/>
              <w:spacing w:line="240" w:lineRule="auto" w:before="3"/>
              <w:ind w:right="0"/>
              <w:jc w:val="left"/>
              <w:rPr>
                <w:rFonts w:ascii="Arial" w:hAnsi="Arial" w:cs="Arial" w:eastAsia="Arial" w:hint="default"/>
                <w:sz w:val="17"/>
                <w:szCs w:val="17"/>
              </w:rPr>
            </w:pPr>
          </w:p>
          <w:p>
            <w:pPr>
              <w:pStyle w:val="TableParagraph"/>
              <w:spacing w:line="240" w:lineRule="auto"/>
              <w:ind w:left="57" w:right="0"/>
              <w:jc w:val="left"/>
              <w:rPr>
                <w:rFonts w:ascii="宋体" w:hAnsi="宋体" w:cs="宋体" w:eastAsia="宋体" w:hint="default"/>
                <w:sz w:val="20"/>
                <w:szCs w:val="20"/>
              </w:rPr>
            </w:pPr>
            <w:r>
              <w:rPr>
                <w:rFonts w:ascii="宋体" w:hAnsi="宋体" w:cs="宋体" w:eastAsia="宋体" w:hint="default"/>
                <w:sz w:val="20"/>
                <w:szCs w:val="20"/>
              </w:rPr>
              <w:t>金融资产</w:t>
            </w:r>
          </w:p>
        </w:tc>
        <w:tc>
          <w:tcPr>
            <w:tcW w:w="5824" w:type="dxa"/>
            <w:tcBorders>
              <w:top w:val="single" w:sz="6" w:space="0" w:color="000000"/>
              <w:left w:val="nil" w:sz="6" w:space="0" w:color="auto"/>
              <w:bottom w:val="nil" w:sz="6" w:space="0" w:color="auto"/>
              <w:right w:val="nil" w:sz="6" w:space="0" w:color="auto"/>
            </w:tcBorders>
          </w:tcPr>
          <w:p>
            <w:pPr>
              <w:pStyle w:val="TableParagraph"/>
              <w:spacing w:line="20" w:lineRule="exact"/>
              <w:ind w:left="27" w:right="0"/>
              <w:jc w:val="left"/>
              <w:rPr>
                <w:rFonts w:ascii="Arial" w:hAnsi="Arial" w:cs="Arial" w:eastAsia="Arial" w:hint="default"/>
                <w:sz w:val="2"/>
                <w:szCs w:val="2"/>
              </w:rPr>
            </w:pPr>
            <w:r>
              <w:rPr>
                <w:rFonts w:ascii="Arial" w:hAnsi="Arial" w:cs="Arial" w:eastAsia="Arial" w:hint="default"/>
                <w:sz w:val="2"/>
                <w:szCs w:val="2"/>
              </w:rPr>
              <w:pict>
                <v:group style="width:209.95pt;height:.75pt;mso-position-horizontal-relative:char;mso-position-vertical-relative:line" coordorigin="0,0" coordsize="4199,15">
                  <v:group style="position:absolute;left:7;top:7;width:1288;height:2" coordorigin="7,7" coordsize="1288,2">
                    <v:shape style="position:absolute;left:7;top:7;width:1288;height:2" coordorigin="7,7" coordsize="1288,0" path="m7,7l1295,7e" filled="false" stroked="true" strokeweight=".72pt" strokecolor="#000000">
                      <v:path arrowok="t"/>
                    </v:shape>
                  </v:group>
                  <v:group style="position:absolute;left:1364;top:7;width:1638;height:2" coordorigin="1364,7" coordsize="1638,2">
                    <v:shape style="position:absolute;left:1364;top:7;width:1638;height:2" coordorigin="1364,7" coordsize="1638,0" path="m1364,7l3002,7e" filled="false" stroked="true" strokeweight=".72pt" strokecolor="#000000">
                      <v:path arrowok="t"/>
                    </v:shape>
                  </v:group>
                  <v:group style="position:absolute;left:3073;top:7;width:1119;height:2" coordorigin="3073,7" coordsize="1119,2">
                    <v:shape style="position:absolute;left:3073;top:7;width:1119;height:2" coordorigin="3073,7" coordsize="1119,0" path="m3073,7l4192,7e" filled="false" stroked="true" strokeweight=".72pt" strokecolor="#000000">
                      <v:path arrowok="t"/>
                    </v:shape>
                  </v:group>
                </v:group>
              </w:pict>
            </w:r>
            <w:r>
              <w:rPr>
                <w:rFonts w:ascii="Arial" w:hAnsi="Arial" w:cs="Arial" w:eastAsia="Arial" w:hint="default"/>
                <w:sz w:val="2"/>
                <w:szCs w:val="2"/>
              </w:rPr>
            </w:r>
          </w:p>
          <w:p>
            <w:pPr>
              <w:pStyle w:val="TableParagraph"/>
              <w:spacing w:line="240" w:lineRule="auto"/>
              <w:ind w:right="0"/>
              <w:jc w:val="left"/>
              <w:rPr>
                <w:rFonts w:ascii="Arial" w:hAnsi="Arial" w:cs="Arial" w:eastAsia="Arial" w:hint="default"/>
                <w:sz w:val="20"/>
                <w:szCs w:val="20"/>
              </w:rPr>
            </w:pPr>
          </w:p>
          <w:p>
            <w:pPr>
              <w:pStyle w:val="TableParagraph"/>
              <w:spacing w:line="240" w:lineRule="auto"/>
              <w:ind w:right="0"/>
              <w:jc w:val="left"/>
              <w:rPr>
                <w:rFonts w:ascii="Arial" w:hAnsi="Arial" w:cs="Arial" w:eastAsia="Arial" w:hint="default"/>
                <w:sz w:val="20"/>
                <w:szCs w:val="20"/>
              </w:rPr>
            </w:pPr>
          </w:p>
        </w:tc>
      </w:tr>
      <w:tr>
        <w:trPr>
          <w:trHeight w:val="548" w:hRule="exact"/>
        </w:trPr>
        <w:tc>
          <w:tcPr>
            <w:tcW w:w="693" w:type="dxa"/>
            <w:tcBorders>
              <w:top w:val="nil" w:sz="6" w:space="0" w:color="auto"/>
              <w:left w:val="nil" w:sz="6" w:space="0" w:color="auto"/>
              <w:bottom w:val="nil" w:sz="6" w:space="0" w:color="auto"/>
              <w:right w:val="nil" w:sz="6" w:space="0" w:color="auto"/>
            </w:tcBorders>
          </w:tcPr>
          <w:p>
            <w:pPr/>
          </w:p>
        </w:tc>
        <w:tc>
          <w:tcPr>
            <w:tcW w:w="3137" w:type="dxa"/>
            <w:tcBorders>
              <w:top w:val="single" w:sz="4" w:space="0" w:color="000000"/>
              <w:left w:val="nil" w:sz="6" w:space="0" w:color="auto"/>
              <w:bottom w:val="nil" w:sz="6" w:space="0" w:color="auto"/>
              <w:right w:val="nil" w:sz="6" w:space="0" w:color="auto"/>
            </w:tcBorders>
          </w:tcPr>
          <w:p>
            <w:pPr>
              <w:pStyle w:val="TableParagraph"/>
              <w:tabs>
                <w:tab w:pos="2536" w:val="left" w:leader="none"/>
              </w:tabs>
              <w:spacing w:line="261" w:lineRule="exact"/>
              <w:ind w:left="57" w:right="0"/>
              <w:jc w:val="left"/>
              <w:rPr>
                <w:rFonts w:ascii="Arial" w:hAnsi="Arial" w:cs="Arial" w:eastAsia="Arial" w:hint="default"/>
                <w:sz w:val="20"/>
                <w:szCs w:val="20"/>
              </w:rPr>
            </w:pPr>
            <w:r>
              <w:rPr>
                <w:rFonts w:ascii="宋体" w:hAnsi="宋体" w:cs="宋体" w:eastAsia="宋体" w:hint="default"/>
                <w:spacing w:val="-1"/>
                <w:position w:val="1"/>
                <w:sz w:val="20"/>
                <w:szCs w:val="20"/>
              </w:rPr>
              <w:t>现金及现金等价物</w:t>
              <w:tab/>
            </w:r>
            <w:r>
              <w:rPr>
                <w:rFonts w:ascii="Arial" w:hAnsi="Arial" w:cs="Arial" w:eastAsia="Arial" w:hint="default"/>
                <w:sz w:val="20"/>
                <w:szCs w:val="20"/>
              </w:rPr>
              <w:t>1,177</w:t>
            </w:r>
          </w:p>
          <w:p>
            <w:pPr>
              <w:pStyle w:val="TableParagraph"/>
              <w:spacing w:line="262" w:lineRule="exact"/>
              <w:ind w:left="57" w:right="0"/>
              <w:jc w:val="left"/>
              <w:rPr>
                <w:rFonts w:ascii="宋体" w:hAnsi="宋体" w:cs="宋体" w:eastAsia="宋体" w:hint="default"/>
                <w:sz w:val="20"/>
                <w:szCs w:val="20"/>
              </w:rPr>
            </w:pPr>
            <w:r>
              <w:rPr>
                <w:rFonts w:ascii="Arial" w:hAnsi="Arial" w:cs="Arial" w:eastAsia="Arial" w:hint="default"/>
                <w:sz w:val="20"/>
                <w:szCs w:val="20"/>
              </w:rPr>
              <w:t>3</w:t>
            </w:r>
            <w:r>
              <w:rPr>
                <w:rFonts w:ascii="Arial" w:hAnsi="Arial" w:cs="Arial" w:eastAsia="Arial" w:hint="default"/>
                <w:spacing w:val="-7"/>
                <w:sz w:val="20"/>
                <w:szCs w:val="20"/>
              </w:rPr>
              <w:t> </w:t>
            </w:r>
            <w:r>
              <w:rPr>
                <w:rFonts w:ascii="宋体" w:hAnsi="宋体" w:cs="宋体" w:eastAsia="宋体" w:hint="default"/>
                <w:sz w:val="20"/>
                <w:szCs w:val="20"/>
              </w:rPr>
              <w:t>个月以上银行存</w:t>
            </w:r>
          </w:p>
        </w:tc>
        <w:tc>
          <w:tcPr>
            <w:tcW w:w="5824" w:type="dxa"/>
            <w:tcBorders>
              <w:top w:val="nil" w:sz="6" w:space="0" w:color="auto"/>
              <w:left w:val="nil" w:sz="6" w:space="0" w:color="auto"/>
              <w:bottom w:val="nil" w:sz="6" w:space="0" w:color="auto"/>
              <w:right w:val="nil" w:sz="6" w:space="0" w:color="auto"/>
            </w:tcBorders>
          </w:tcPr>
          <w:p>
            <w:pPr>
              <w:pStyle w:val="TableParagraph"/>
              <w:tabs>
                <w:tab w:pos="1600" w:val="left" w:leader="none"/>
                <w:tab w:pos="2903" w:val="left" w:leader="none"/>
                <w:tab w:pos="4063" w:val="left" w:leader="none"/>
              </w:tabs>
              <w:spacing w:line="240" w:lineRule="auto" w:before="50"/>
              <w:ind w:right="82"/>
              <w:jc w:val="right"/>
              <w:rPr>
                <w:rFonts w:ascii="Arial" w:hAnsi="Arial" w:cs="Arial" w:eastAsia="Arial" w:hint="default"/>
                <w:sz w:val="20"/>
                <w:szCs w:val="20"/>
              </w:rPr>
            </w:pPr>
            <w:r>
              <w:rPr>
                <w:rFonts w:ascii="Arial"/>
                <w:sz w:val="20"/>
              </w:rPr>
              <w:t>-</w:t>
              <w:tab/>
              <w:t>-</w:t>
              <w:tab/>
              <w:t>-</w:t>
              <w:tab/>
              <w:t>1,133</w:t>
            </w:r>
          </w:p>
        </w:tc>
      </w:tr>
      <w:tr>
        <w:trPr>
          <w:trHeight w:val="266" w:hRule="exact"/>
        </w:trPr>
        <w:tc>
          <w:tcPr>
            <w:tcW w:w="693" w:type="dxa"/>
            <w:tcBorders>
              <w:top w:val="nil" w:sz="6" w:space="0" w:color="auto"/>
              <w:left w:val="nil" w:sz="6" w:space="0" w:color="auto"/>
              <w:bottom w:val="nil" w:sz="6" w:space="0" w:color="auto"/>
              <w:right w:val="nil" w:sz="6" w:space="0" w:color="auto"/>
            </w:tcBorders>
          </w:tcPr>
          <w:p>
            <w:pPr/>
          </w:p>
        </w:tc>
        <w:tc>
          <w:tcPr>
            <w:tcW w:w="3137" w:type="dxa"/>
            <w:tcBorders>
              <w:top w:val="nil" w:sz="6" w:space="0" w:color="auto"/>
              <w:left w:val="nil" w:sz="6" w:space="0" w:color="auto"/>
              <w:bottom w:val="nil" w:sz="6" w:space="0" w:color="auto"/>
              <w:right w:val="nil" w:sz="6" w:space="0" w:color="auto"/>
            </w:tcBorders>
          </w:tcPr>
          <w:p>
            <w:pPr>
              <w:pStyle w:val="TableParagraph"/>
              <w:tabs>
                <w:tab w:pos="3038" w:val="right" w:leader="none"/>
              </w:tabs>
              <w:spacing w:line="252" w:lineRule="exact"/>
              <w:ind w:left="209" w:right="0"/>
              <w:jc w:val="left"/>
              <w:rPr>
                <w:rFonts w:ascii="Arial" w:hAnsi="Arial" w:cs="Arial" w:eastAsia="Arial" w:hint="default"/>
                <w:sz w:val="20"/>
                <w:szCs w:val="20"/>
              </w:rPr>
            </w:pPr>
            <w:r>
              <w:rPr>
                <w:rFonts w:ascii="宋体" w:hAnsi="宋体" w:cs="宋体" w:eastAsia="宋体" w:hint="default"/>
                <w:position w:val="1"/>
                <w:sz w:val="20"/>
                <w:szCs w:val="20"/>
              </w:rPr>
              <w:t>款</w:t>
            </w:r>
            <w:r>
              <w:rPr>
                <w:rFonts w:ascii="Arial" w:hAnsi="Arial" w:cs="Arial" w:eastAsia="Arial" w:hint="default"/>
                <w:sz w:val="20"/>
                <w:szCs w:val="20"/>
              </w:rPr>
              <w:tab/>
              <w:t>137</w:t>
            </w:r>
          </w:p>
        </w:tc>
        <w:tc>
          <w:tcPr>
            <w:tcW w:w="5824" w:type="dxa"/>
            <w:tcBorders>
              <w:top w:val="nil" w:sz="6" w:space="0" w:color="auto"/>
              <w:left w:val="nil" w:sz="6" w:space="0" w:color="auto"/>
              <w:bottom w:val="nil" w:sz="6" w:space="0" w:color="auto"/>
              <w:right w:val="nil" w:sz="6" w:space="0" w:color="auto"/>
            </w:tcBorders>
          </w:tcPr>
          <w:p>
            <w:pPr>
              <w:pStyle w:val="TableParagraph"/>
              <w:tabs>
                <w:tab w:pos="1600" w:val="left" w:leader="none"/>
                <w:tab w:pos="2903" w:val="left" w:leader="none"/>
                <w:tab w:pos="4230" w:val="left" w:leader="none"/>
              </w:tabs>
              <w:spacing w:line="240" w:lineRule="auto" w:before="21"/>
              <w:ind w:right="83"/>
              <w:jc w:val="right"/>
              <w:rPr>
                <w:rFonts w:ascii="Arial" w:hAnsi="Arial" w:cs="Arial" w:eastAsia="Arial" w:hint="default"/>
                <w:sz w:val="20"/>
                <w:szCs w:val="20"/>
              </w:rPr>
            </w:pPr>
            <w:r>
              <w:rPr>
                <w:rFonts w:ascii="Arial"/>
                <w:sz w:val="20"/>
              </w:rPr>
              <w:t>-</w:t>
              <w:tab/>
              <w:t>-</w:t>
              <w:tab/>
              <w:t>-</w:t>
              <w:tab/>
              <w:t>412</w:t>
            </w:r>
          </w:p>
        </w:tc>
      </w:tr>
      <w:tr>
        <w:trPr>
          <w:trHeight w:val="382" w:hRule="exact"/>
        </w:trPr>
        <w:tc>
          <w:tcPr>
            <w:tcW w:w="693" w:type="dxa"/>
            <w:tcBorders>
              <w:top w:val="nil" w:sz="6" w:space="0" w:color="auto"/>
              <w:left w:val="nil" w:sz="6" w:space="0" w:color="auto"/>
              <w:bottom w:val="nil" w:sz="6" w:space="0" w:color="auto"/>
              <w:right w:val="nil" w:sz="6" w:space="0" w:color="auto"/>
            </w:tcBorders>
          </w:tcPr>
          <w:p>
            <w:pPr/>
          </w:p>
        </w:tc>
        <w:tc>
          <w:tcPr>
            <w:tcW w:w="3137" w:type="dxa"/>
            <w:tcBorders>
              <w:top w:val="nil" w:sz="6" w:space="0" w:color="auto"/>
              <w:left w:val="nil" w:sz="6" w:space="0" w:color="auto"/>
              <w:bottom w:val="nil" w:sz="6" w:space="0" w:color="auto"/>
              <w:right w:val="nil" w:sz="6" w:space="0" w:color="auto"/>
            </w:tcBorders>
          </w:tcPr>
          <w:p>
            <w:pPr>
              <w:pStyle w:val="TableParagraph"/>
              <w:tabs>
                <w:tab w:pos="2970" w:val="left" w:leader="none"/>
                <w:tab w:pos="3094" w:val="left" w:leader="none"/>
              </w:tabs>
              <w:spacing w:line="245" w:lineRule="exact"/>
              <w:ind w:left="57" w:right="0"/>
              <w:jc w:val="left"/>
              <w:rPr>
                <w:rFonts w:ascii="Arial" w:hAnsi="Arial" w:cs="Arial" w:eastAsia="Arial" w:hint="default"/>
                <w:sz w:val="20"/>
                <w:szCs w:val="20"/>
              </w:rPr>
            </w:pPr>
            <w:r>
              <w:rPr>
                <w:rFonts w:ascii="宋体" w:hAnsi="宋体" w:cs="宋体" w:eastAsia="宋体" w:hint="default"/>
                <w:spacing w:val="-1"/>
                <w:position w:val="1"/>
                <w:sz w:val="20"/>
                <w:szCs w:val="20"/>
              </w:rPr>
              <w:t>可供出售金融资产</w:t>
            </w:r>
            <w:r>
              <w:rPr>
                <w:rFonts w:ascii="Arial" w:hAnsi="Arial" w:cs="Arial" w:eastAsia="Arial" w:hint="default"/>
                <w:spacing w:val="-1"/>
                <w:sz w:val="20"/>
                <w:szCs w:val="20"/>
              </w:rPr>
            </w:r>
            <w:r>
              <w:rPr>
                <w:rFonts w:ascii="Arial" w:hAnsi="Arial" w:cs="Arial" w:eastAsia="Arial" w:hint="default"/>
                <w:spacing w:val="-1"/>
                <w:sz w:val="20"/>
                <w:szCs w:val="20"/>
                <w:u w:val="single" w:color="000000"/>
              </w:rPr>
              <w:t> </w:t>
              <w:tab/>
            </w:r>
            <w:r>
              <w:rPr>
                <w:rFonts w:ascii="Arial" w:hAnsi="Arial" w:cs="Arial" w:eastAsia="Arial" w:hint="default"/>
                <w:sz w:val="20"/>
                <w:szCs w:val="20"/>
                <w:u w:val="single" w:color="000000"/>
              </w:rPr>
              <w:t>-</w:t>
              <w:tab/>
            </w:r>
            <w:r>
              <w:rPr>
                <w:rFonts w:ascii="Arial" w:hAnsi="Arial" w:cs="Arial" w:eastAsia="Arial" w:hint="default"/>
                <w:sz w:val="20"/>
                <w:szCs w:val="20"/>
              </w:rPr>
            </w:r>
          </w:p>
        </w:tc>
        <w:tc>
          <w:tcPr>
            <w:tcW w:w="5824" w:type="dxa"/>
            <w:tcBorders>
              <w:top w:val="nil" w:sz="6" w:space="0" w:color="auto"/>
              <w:left w:val="nil" w:sz="6" w:space="0" w:color="auto"/>
              <w:bottom w:val="nil" w:sz="6" w:space="0" w:color="auto"/>
              <w:right w:val="nil" w:sz="6" w:space="0" w:color="auto"/>
            </w:tcBorders>
          </w:tcPr>
          <w:p>
            <w:pPr>
              <w:pStyle w:val="TableParagraph"/>
              <w:tabs>
                <w:tab w:pos="1137" w:val="left" w:leader="none"/>
                <w:tab w:pos="2404" w:val="left" w:leader="none"/>
                <w:tab w:pos="4040" w:val="left" w:leader="none"/>
                <w:tab w:pos="5201" w:val="left" w:leader="none"/>
                <w:tab w:pos="5781" w:val="left" w:leader="none"/>
              </w:tabs>
              <w:spacing w:line="240" w:lineRule="auto" w:before="1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t>-</w:t>
            </w:r>
            <w:r>
              <w:rPr>
                <w:rFonts w:ascii="Arial"/>
                <w:sz w:val="20"/>
              </w:rPr>
            </w:r>
            <w:r>
              <w:rPr>
                <w:rFonts w:ascii="Arial"/>
                <w:sz w:val="20"/>
                <w:u w:val="single" w:color="000000"/>
              </w:rPr>
              <w:t> </w:t>
              <w:tab/>
            </w:r>
            <w:r>
              <w:rPr>
                <w:rFonts w:ascii="Arial"/>
                <w:spacing w:val="-1"/>
                <w:sz w:val="20"/>
                <w:u w:val="single" w:color="000000"/>
              </w:rPr>
              <w:t>(122)</w:t>
            </w:r>
            <w:r>
              <w:rPr>
                <w:rFonts w:ascii="Arial"/>
                <w:spacing w:val="-1"/>
                <w:sz w:val="20"/>
              </w:rPr>
            </w:r>
            <w:r>
              <w:rPr>
                <w:rFonts w:ascii="Arial"/>
                <w:spacing w:val="-1"/>
                <w:sz w:val="20"/>
                <w:u w:val="single" w:color="000000"/>
              </w:rPr>
              <w:t> </w:t>
              <w:tab/>
            </w:r>
            <w:r>
              <w:rPr>
                <w:rFonts w:ascii="Arial"/>
                <w:sz w:val="20"/>
                <w:u w:val="single" w:color="000000"/>
              </w:rPr>
              <w:t>-</w:t>
            </w:r>
            <w:r>
              <w:rPr>
                <w:rFonts w:ascii="Arial"/>
                <w:sz w:val="20"/>
              </w:rPr>
            </w:r>
            <w:r>
              <w:rPr>
                <w:rFonts w:ascii="Arial"/>
                <w:sz w:val="20"/>
                <w:u w:val="single" w:color="000000"/>
              </w:rPr>
              <w:t> </w:t>
              <w:tab/>
              <w:t>7,789</w:t>
              <w:tab/>
            </w:r>
            <w:r>
              <w:rPr>
                <w:rFonts w:ascii="Arial"/>
                <w:sz w:val="20"/>
              </w:rPr>
            </w:r>
          </w:p>
        </w:tc>
      </w:tr>
      <w:tr>
        <w:trPr>
          <w:trHeight w:val="392" w:hRule="exact"/>
        </w:trPr>
        <w:tc>
          <w:tcPr>
            <w:tcW w:w="693" w:type="dxa"/>
            <w:tcBorders>
              <w:top w:val="nil" w:sz="6" w:space="0" w:color="auto"/>
              <w:left w:val="nil" w:sz="6" w:space="0" w:color="auto"/>
              <w:bottom w:val="nil" w:sz="6" w:space="0" w:color="auto"/>
              <w:right w:val="nil" w:sz="6" w:space="0" w:color="auto"/>
            </w:tcBorders>
          </w:tcPr>
          <w:p>
            <w:pPr/>
          </w:p>
        </w:tc>
        <w:tc>
          <w:tcPr>
            <w:tcW w:w="3137" w:type="dxa"/>
            <w:tcBorders>
              <w:top w:val="nil" w:sz="6" w:space="0" w:color="auto"/>
              <w:left w:val="nil" w:sz="6" w:space="0" w:color="auto"/>
              <w:bottom w:val="single" w:sz="17" w:space="0" w:color="000000"/>
              <w:right w:val="nil" w:sz="6" w:space="0" w:color="auto"/>
            </w:tcBorders>
          </w:tcPr>
          <w:p>
            <w:pPr>
              <w:pStyle w:val="TableParagraph"/>
              <w:tabs>
                <w:tab w:pos="2536" w:val="left" w:leader="none"/>
              </w:tabs>
              <w:spacing w:line="240" w:lineRule="auto" w:before="81"/>
              <w:ind w:left="57" w:right="0"/>
              <w:jc w:val="left"/>
              <w:rPr>
                <w:rFonts w:ascii="Arial" w:hAnsi="Arial" w:cs="Arial" w:eastAsia="Arial" w:hint="default"/>
                <w:sz w:val="20"/>
                <w:szCs w:val="20"/>
              </w:rPr>
            </w:pPr>
            <w:r>
              <w:rPr>
                <w:rFonts w:ascii="宋体" w:hAnsi="宋体" w:cs="宋体" w:eastAsia="宋体" w:hint="default"/>
                <w:w w:val="100"/>
                <w:position w:val="1"/>
                <w:sz w:val="20"/>
                <w:szCs w:val="20"/>
              </w:rPr>
            </w:r>
            <w:r>
              <w:rPr>
                <w:rFonts w:ascii="宋体" w:hAnsi="宋体" w:cs="宋体" w:eastAsia="宋体" w:hint="default"/>
                <w:position w:val="1"/>
                <w:sz w:val="20"/>
                <w:szCs w:val="20"/>
                <w:u w:val="single" w:color="000000"/>
              </w:rPr>
              <w:t>合计</w:t>
            </w:r>
            <w:r>
              <w:rPr>
                <w:rFonts w:ascii="宋体" w:hAnsi="宋体" w:cs="宋体" w:eastAsia="宋体" w:hint="default"/>
                <w:position w:val="1"/>
                <w:sz w:val="20"/>
                <w:szCs w:val="20"/>
              </w:rPr>
              <w:tab/>
            </w:r>
            <w:r>
              <w:rPr>
                <w:rFonts w:ascii="Arial" w:hAnsi="Arial" w:cs="Arial" w:eastAsia="Arial" w:hint="default"/>
                <w:sz w:val="20"/>
                <w:szCs w:val="20"/>
              </w:rPr>
              <w:t>1,314</w:t>
            </w:r>
          </w:p>
        </w:tc>
        <w:tc>
          <w:tcPr>
            <w:tcW w:w="5824" w:type="dxa"/>
            <w:tcBorders>
              <w:top w:val="nil" w:sz="6" w:space="0" w:color="auto"/>
              <w:left w:val="nil" w:sz="6" w:space="0" w:color="auto"/>
              <w:bottom w:val="single" w:sz="17" w:space="0" w:color="000000"/>
              <w:right w:val="nil" w:sz="6" w:space="0" w:color="auto"/>
            </w:tcBorders>
          </w:tcPr>
          <w:p>
            <w:pPr>
              <w:pStyle w:val="TableParagraph"/>
              <w:spacing w:line="240" w:lineRule="auto" w:before="137"/>
              <w:ind w:right="83"/>
              <w:jc w:val="right"/>
              <w:rPr>
                <w:rFonts w:ascii="Arial" w:hAnsi="Arial" w:cs="Arial" w:eastAsia="Arial" w:hint="default"/>
                <w:sz w:val="20"/>
                <w:szCs w:val="20"/>
              </w:rPr>
            </w:pPr>
            <w:r>
              <w:rPr>
                <w:rFonts w:ascii="Arial"/>
                <w:sz w:val="20"/>
              </w:rPr>
              <w:t>9,334</w:t>
            </w:r>
          </w:p>
        </w:tc>
      </w:tr>
      <w:tr>
        <w:trPr>
          <w:trHeight w:val="488" w:hRule="exact"/>
        </w:trPr>
        <w:tc>
          <w:tcPr>
            <w:tcW w:w="693" w:type="dxa"/>
            <w:tcBorders>
              <w:top w:val="nil" w:sz="6" w:space="0" w:color="auto"/>
              <w:left w:val="nil" w:sz="6" w:space="0" w:color="auto"/>
              <w:bottom w:val="nil" w:sz="6" w:space="0" w:color="auto"/>
              <w:right w:val="nil" w:sz="6" w:space="0" w:color="auto"/>
            </w:tcBorders>
          </w:tcPr>
          <w:p>
            <w:pPr/>
          </w:p>
        </w:tc>
        <w:tc>
          <w:tcPr>
            <w:tcW w:w="3137" w:type="dxa"/>
            <w:tcBorders>
              <w:top w:val="single" w:sz="17"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Arial" w:hAnsi="Arial" w:cs="Arial" w:eastAsia="Arial" w:hint="default"/>
                <w:sz w:val="17"/>
                <w:szCs w:val="17"/>
              </w:rPr>
            </w:pPr>
          </w:p>
          <w:p>
            <w:pPr>
              <w:pStyle w:val="TableParagraph"/>
              <w:spacing w:line="240" w:lineRule="auto"/>
              <w:ind w:left="57" w:right="0"/>
              <w:jc w:val="left"/>
              <w:rPr>
                <w:rFonts w:ascii="宋体" w:hAnsi="宋体" w:cs="宋体" w:eastAsia="宋体" w:hint="default"/>
                <w:sz w:val="20"/>
                <w:szCs w:val="20"/>
              </w:rPr>
            </w:pPr>
            <w:r>
              <w:rPr>
                <w:rFonts w:ascii="宋体" w:hAnsi="宋体" w:cs="宋体" w:eastAsia="宋体" w:hint="default"/>
                <w:sz w:val="20"/>
                <w:szCs w:val="20"/>
              </w:rPr>
              <w:t>金融负债</w:t>
            </w:r>
          </w:p>
        </w:tc>
        <w:tc>
          <w:tcPr>
            <w:tcW w:w="5824" w:type="dxa"/>
            <w:tcBorders>
              <w:top w:val="single" w:sz="17" w:space="0" w:color="000000"/>
              <w:left w:val="nil" w:sz="6" w:space="0" w:color="auto"/>
              <w:bottom w:val="nil" w:sz="6" w:space="0" w:color="auto"/>
              <w:right w:val="nil" w:sz="6" w:space="0" w:color="auto"/>
            </w:tcBorders>
          </w:tcPr>
          <w:p>
            <w:pPr/>
          </w:p>
        </w:tc>
      </w:tr>
      <w:tr>
        <w:trPr>
          <w:trHeight w:val="295" w:hRule="exact"/>
        </w:trPr>
        <w:tc>
          <w:tcPr>
            <w:tcW w:w="693" w:type="dxa"/>
            <w:tcBorders>
              <w:top w:val="nil" w:sz="6" w:space="0" w:color="auto"/>
              <w:left w:val="nil" w:sz="6" w:space="0" w:color="auto"/>
              <w:bottom w:val="nil" w:sz="6" w:space="0" w:color="auto"/>
              <w:right w:val="nil" w:sz="6" w:space="0" w:color="auto"/>
            </w:tcBorders>
          </w:tcPr>
          <w:p>
            <w:pPr/>
          </w:p>
        </w:tc>
        <w:tc>
          <w:tcPr>
            <w:tcW w:w="3137" w:type="dxa"/>
            <w:tcBorders>
              <w:top w:val="single" w:sz="4" w:space="0" w:color="000000"/>
              <w:left w:val="nil" w:sz="6" w:space="0" w:color="auto"/>
              <w:bottom w:val="nil" w:sz="6" w:space="0" w:color="auto"/>
              <w:right w:val="nil" w:sz="6" w:space="0" w:color="auto"/>
            </w:tcBorders>
          </w:tcPr>
          <w:p>
            <w:pPr>
              <w:pStyle w:val="TableParagraph"/>
              <w:tabs>
                <w:tab w:pos="2971" w:val="left" w:leader="none"/>
              </w:tabs>
              <w:spacing w:line="275" w:lineRule="exact"/>
              <w:ind w:left="57" w:right="0"/>
              <w:jc w:val="left"/>
              <w:rPr>
                <w:rFonts w:ascii="Arial" w:hAnsi="Arial" w:cs="Arial" w:eastAsia="Arial" w:hint="default"/>
                <w:sz w:val="20"/>
                <w:szCs w:val="20"/>
              </w:rPr>
            </w:pPr>
            <w:r>
              <w:rPr>
                <w:rFonts w:ascii="宋体" w:hAnsi="宋体" w:cs="宋体" w:eastAsia="宋体" w:hint="default"/>
                <w:position w:val="1"/>
                <w:sz w:val="20"/>
                <w:szCs w:val="20"/>
              </w:rPr>
              <w:t>对网通</w:t>
            </w:r>
            <w:r>
              <w:rPr>
                <w:rFonts w:ascii="宋体" w:hAnsi="宋体" w:cs="宋体" w:eastAsia="宋体" w:hint="default"/>
                <w:spacing w:val="-51"/>
                <w:position w:val="1"/>
                <w:sz w:val="20"/>
                <w:szCs w:val="20"/>
              </w:rPr>
              <w:t> </w:t>
            </w:r>
            <w:r>
              <w:rPr>
                <w:rFonts w:ascii="Arial" w:hAnsi="Arial" w:cs="Arial" w:eastAsia="Arial" w:hint="default"/>
                <w:position w:val="1"/>
                <w:sz w:val="20"/>
                <w:szCs w:val="20"/>
              </w:rPr>
              <w:t>BVI</w:t>
            </w:r>
            <w:r>
              <w:rPr>
                <w:rFonts w:ascii="Arial" w:hAnsi="Arial" w:cs="Arial" w:eastAsia="Arial" w:hint="default"/>
                <w:spacing w:val="-7"/>
                <w:position w:val="1"/>
                <w:sz w:val="20"/>
                <w:szCs w:val="20"/>
              </w:rPr>
              <w:t> </w:t>
            </w:r>
            <w:r>
              <w:rPr>
                <w:rFonts w:ascii="宋体" w:hAnsi="宋体" w:cs="宋体" w:eastAsia="宋体" w:hint="default"/>
                <w:position w:val="1"/>
                <w:sz w:val="20"/>
                <w:szCs w:val="20"/>
              </w:rPr>
              <w:t>借款</w:t>
              <w:tab/>
            </w:r>
            <w:r>
              <w:rPr>
                <w:rFonts w:ascii="Arial" w:hAnsi="Arial" w:cs="Arial" w:eastAsia="Arial" w:hint="default"/>
                <w:sz w:val="20"/>
                <w:szCs w:val="20"/>
              </w:rPr>
              <w:t>-</w:t>
            </w:r>
          </w:p>
        </w:tc>
        <w:tc>
          <w:tcPr>
            <w:tcW w:w="5824" w:type="dxa"/>
            <w:tcBorders>
              <w:top w:val="nil" w:sz="6" w:space="0" w:color="auto"/>
              <w:left w:val="nil" w:sz="6" w:space="0" w:color="auto"/>
              <w:bottom w:val="nil" w:sz="6" w:space="0" w:color="auto"/>
              <w:right w:val="nil" w:sz="6" w:space="0" w:color="auto"/>
            </w:tcBorders>
          </w:tcPr>
          <w:p>
            <w:pPr>
              <w:pStyle w:val="TableParagraph"/>
              <w:tabs>
                <w:tab w:pos="1600" w:val="left" w:leader="none"/>
                <w:tab w:pos="2903" w:val="left" w:leader="none"/>
                <w:tab w:pos="4063" w:val="left" w:leader="none"/>
              </w:tabs>
              <w:spacing w:line="240" w:lineRule="auto" w:before="50"/>
              <w:ind w:right="82"/>
              <w:jc w:val="right"/>
              <w:rPr>
                <w:rFonts w:ascii="Arial" w:hAnsi="Arial" w:cs="Arial" w:eastAsia="Arial" w:hint="default"/>
                <w:sz w:val="20"/>
                <w:szCs w:val="20"/>
              </w:rPr>
            </w:pPr>
            <w:r>
              <w:rPr>
                <w:rFonts w:ascii="Arial"/>
                <w:sz w:val="20"/>
              </w:rPr>
              <w:t>-</w:t>
              <w:tab/>
              <w:t>-</w:t>
              <w:tab/>
              <w:t>-</w:t>
              <w:tab/>
              <w:t>2,104</w:t>
            </w:r>
          </w:p>
        </w:tc>
      </w:tr>
      <w:tr>
        <w:trPr>
          <w:trHeight w:val="260" w:hRule="exact"/>
        </w:trPr>
        <w:tc>
          <w:tcPr>
            <w:tcW w:w="693" w:type="dxa"/>
            <w:tcBorders>
              <w:top w:val="nil" w:sz="6" w:space="0" w:color="auto"/>
              <w:left w:val="nil" w:sz="6" w:space="0" w:color="auto"/>
              <w:bottom w:val="nil" w:sz="6" w:space="0" w:color="auto"/>
              <w:right w:val="nil" w:sz="6" w:space="0" w:color="auto"/>
            </w:tcBorders>
          </w:tcPr>
          <w:p>
            <w:pPr/>
          </w:p>
        </w:tc>
        <w:tc>
          <w:tcPr>
            <w:tcW w:w="3137" w:type="dxa"/>
            <w:tcBorders>
              <w:top w:val="nil" w:sz="6" w:space="0" w:color="auto"/>
              <w:left w:val="nil" w:sz="6" w:space="0" w:color="auto"/>
              <w:bottom w:val="nil" w:sz="6" w:space="0" w:color="auto"/>
              <w:right w:val="nil" w:sz="6" w:space="0" w:color="auto"/>
            </w:tcBorders>
          </w:tcPr>
          <w:p>
            <w:pPr>
              <w:pStyle w:val="TableParagraph"/>
              <w:tabs>
                <w:tab w:pos="2971" w:val="left" w:leader="none"/>
              </w:tabs>
              <w:spacing w:line="246" w:lineRule="exact"/>
              <w:ind w:left="57" w:right="0"/>
              <w:jc w:val="left"/>
              <w:rPr>
                <w:rFonts w:ascii="Arial" w:hAnsi="Arial" w:cs="Arial" w:eastAsia="Arial" w:hint="default"/>
                <w:sz w:val="20"/>
                <w:szCs w:val="20"/>
              </w:rPr>
            </w:pPr>
            <w:r>
              <w:rPr>
                <w:rFonts w:ascii="宋体" w:hAnsi="宋体" w:cs="宋体" w:eastAsia="宋体" w:hint="default"/>
                <w:position w:val="1"/>
                <w:sz w:val="20"/>
                <w:szCs w:val="20"/>
              </w:rPr>
              <w:t>短期借款</w:t>
              <w:tab/>
            </w:r>
            <w:r>
              <w:rPr>
                <w:rFonts w:ascii="Arial" w:hAnsi="Arial" w:cs="Arial" w:eastAsia="Arial" w:hint="default"/>
                <w:sz w:val="20"/>
                <w:szCs w:val="20"/>
              </w:rPr>
              <w:t>-</w:t>
            </w:r>
          </w:p>
        </w:tc>
        <w:tc>
          <w:tcPr>
            <w:tcW w:w="5824" w:type="dxa"/>
            <w:tcBorders>
              <w:top w:val="nil" w:sz="6" w:space="0" w:color="auto"/>
              <w:left w:val="nil" w:sz="6" w:space="0" w:color="auto"/>
              <w:bottom w:val="nil" w:sz="6" w:space="0" w:color="auto"/>
              <w:right w:val="nil" w:sz="6" w:space="0" w:color="auto"/>
            </w:tcBorders>
          </w:tcPr>
          <w:p>
            <w:pPr>
              <w:pStyle w:val="TableParagraph"/>
              <w:tabs>
                <w:tab w:pos="1600" w:val="left" w:leader="none"/>
                <w:tab w:pos="2903" w:val="left" w:leader="none"/>
                <w:tab w:pos="4063" w:val="left" w:leader="none"/>
              </w:tabs>
              <w:spacing w:line="240" w:lineRule="auto" w:before="15"/>
              <w:ind w:right="82"/>
              <w:jc w:val="right"/>
              <w:rPr>
                <w:rFonts w:ascii="Arial" w:hAnsi="Arial" w:cs="Arial" w:eastAsia="Arial" w:hint="default"/>
                <w:sz w:val="20"/>
                <w:szCs w:val="20"/>
              </w:rPr>
            </w:pPr>
            <w:r>
              <w:rPr>
                <w:rFonts w:ascii="Arial"/>
                <w:sz w:val="20"/>
              </w:rPr>
              <w:t>-</w:t>
              <w:tab/>
              <w:t>-</w:t>
              <w:tab/>
              <w:t>-</w:t>
              <w:tab/>
              <w:t>8,805</w:t>
            </w:r>
          </w:p>
        </w:tc>
      </w:tr>
      <w:tr>
        <w:trPr>
          <w:trHeight w:val="382" w:hRule="exact"/>
        </w:trPr>
        <w:tc>
          <w:tcPr>
            <w:tcW w:w="693" w:type="dxa"/>
            <w:tcBorders>
              <w:top w:val="nil" w:sz="6" w:space="0" w:color="auto"/>
              <w:left w:val="nil" w:sz="6" w:space="0" w:color="auto"/>
              <w:bottom w:val="nil" w:sz="6" w:space="0" w:color="auto"/>
              <w:right w:val="nil" w:sz="6" w:space="0" w:color="auto"/>
            </w:tcBorders>
          </w:tcPr>
          <w:p>
            <w:pPr/>
          </w:p>
        </w:tc>
        <w:tc>
          <w:tcPr>
            <w:tcW w:w="3137" w:type="dxa"/>
            <w:tcBorders>
              <w:top w:val="nil" w:sz="6" w:space="0" w:color="auto"/>
              <w:left w:val="nil" w:sz="6" w:space="0" w:color="auto"/>
              <w:bottom w:val="nil" w:sz="6" w:space="0" w:color="auto"/>
              <w:right w:val="nil" w:sz="6" w:space="0" w:color="auto"/>
            </w:tcBorders>
          </w:tcPr>
          <w:p>
            <w:pPr>
              <w:pStyle w:val="TableParagraph"/>
              <w:tabs>
                <w:tab w:pos="1828" w:val="left" w:leader="none"/>
                <w:tab w:pos="2536" w:val="left" w:leader="none"/>
                <w:tab w:pos="3094" w:val="left" w:leader="none"/>
              </w:tabs>
              <w:spacing w:line="245" w:lineRule="exact"/>
              <w:ind w:left="57" w:right="0"/>
              <w:jc w:val="left"/>
              <w:rPr>
                <w:rFonts w:ascii="Arial" w:hAnsi="Arial" w:cs="Arial" w:eastAsia="Arial" w:hint="default"/>
                <w:sz w:val="20"/>
                <w:szCs w:val="20"/>
              </w:rPr>
            </w:pPr>
            <w:r>
              <w:rPr>
                <w:rFonts w:ascii="宋体" w:hAnsi="宋体" w:cs="宋体" w:eastAsia="宋体" w:hint="default"/>
                <w:position w:val="1"/>
                <w:sz w:val="20"/>
                <w:szCs w:val="20"/>
              </w:rPr>
              <w:t>长期借款</w:t>
              <w:tab/>
            </w:r>
            <w:r>
              <w:rPr>
                <w:rFonts w:ascii="Arial" w:hAnsi="Arial" w:cs="Arial" w:eastAsia="Arial" w:hint="default"/>
                <w:sz w:val="20"/>
                <w:szCs w:val="20"/>
              </w:rPr>
            </w:r>
            <w:r>
              <w:rPr>
                <w:rFonts w:ascii="Arial" w:hAnsi="Arial" w:cs="Arial" w:eastAsia="Arial" w:hint="default"/>
                <w:sz w:val="20"/>
                <w:szCs w:val="20"/>
                <w:u w:val="single" w:color="000000"/>
              </w:rPr>
              <w:t> </w:t>
              <w:tab/>
              <w:t>1,099</w:t>
              <w:tab/>
            </w:r>
            <w:r>
              <w:rPr>
                <w:rFonts w:ascii="Arial" w:hAnsi="Arial" w:cs="Arial" w:eastAsia="Arial" w:hint="default"/>
                <w:sz w:val="20"/>
                <w:szCs w:val="20"/>
              </w:rPr>
            </w:r>
          </w:p>
        </w:tc>
        <w:tc>
          <w:tcPr>
            <w:tcW w:w="5824" w:type="dxa"/>
            <w:tcBorders>
              <w:top w:val="nil" w:sz="6" w:space="0" w:color="auto"/>
              <w:left w:val="nil" w:sz="6" w:space="0" w:color="auto"/>
              <w:bottom w:val="nil" w:sz="6" w:space="0" w:color="auto"/>
              <w:right w:val="nil" w:sz="6" w:space="0" w:color="auto"/>
            </w:tcBorders>
          </w:tcPr>
          <w:p>
            <w:pPr>
              <w:pStyle w:val="TableParagraph"/>
              <w:tabs>
                <w:tab w:pos="1287" w:val="left" w:leader="none"/>
                <w:tab w:pos="2995" w:val="left" w:leader="none"/>
                <w:tab w:pos="4184" w:val="left" w:leader="none"/>
                <w:tab w:pos="5368" w:val="left" w:leader="none"/>
                <w:tab w:pos="5781" w:val="left" w:leader="none"/>
              </w:tabs>
              <w:spacing w:line="240" w:lineRule="auto" w:before="15"/>
              <w:ind w:right="5"/>
              <w:jc w:val="right"/>
              <w:rPr>
                <w:rFonts w:ascii="Arial" w:hAnsi="Arial" w:cs="Arial" w:eastAsia="Arial" w:hint="default"/>
                <w:sz w:val="20"/>
                <w:szCs w:val="20"/>
              </w:rPr>
            </w:pPr>
            <w:r>
              <w:rPr>
                <w:rFonts w:ascii="Arial"/>
                <w:w w:val="100"/>
                <w:sz w:val="20"/>
              </w:rPr>
            </w:r>
            <w:r>
              <w:rPr>
                <w:rFonts w:ascii="Arial"/>
                <w:w w:val="100"/>
                <w:sz w:val="20"/>
                <w:u w:val="single" w:color="000000"/>
              </w:rPr>
              <w:t> </w:t>
            </w:r>
            <w:r>
              <w:rPr>
                <w:rFonts w:ascii="Arial"/>
                <w:sz w:val="20"/>
                <w:u w:val="single" w:color="000000"/>
              </w:rPr>
              <w:tab/>
            </w:r>
            <w:r>
              <w:rPr>
                <w:rFonts w:ascii="Arial"/>
                <w:sz w:val="20"/>
              </w:rPr>
            </w:r>
            <w:r>
              <w:rPr>
                <w:rFonts w:ascii="Arial"/>
                <w:spacing w:val="14"/>
                <w:sz w:val="20"/>
              </w:rPr>
              <w:t> </w:t>
            </w:r>
            <w:r>
              <w:rPr>
                <w:rFonts w:ascii="Arial"/>
                <w:spacing w:val="14"/>
                <w:w w:val="100"/>
                <w:sz w:val="20"/>
              </w:rPr>
            </w:r>
            <w:r>
              <w:rPr>
                <w:rFonts w:ascii="Arial"/>
                <w:w w:val="100"/>
                <w:sz w:val="20"/>
                <w:u w:val="single" w:color="000000"/>
              </w:rPr>
              <w:t> </w:t>
            </w:r>
            <w:r>
              <w:rPr>
                <w:rFonts w:ascii="Arial"/>
                <w:sz w:val="20"/>
                <w:u w:val="single" w:color="000000"/>
              </w:rPr>
              <w:tab/>
            </w:r>
            <w:r>
              <w:rPr>
                <w:rFonts w:ascii="Arial"/>
                <w:sz w:val="20"/>
              </w:rPr>
            </w:r>
            <w:r>
              <w:rPr>
                <w:rFonts w:ascii="Arial"/>
                <w:spacing w:val="15"/>
                <w:sz w:val="20"/>
              </w:rPr>
              <w:t> </w:t>
            </w:r>
            <w:r>
              <w:rPr>
                <w:rFonts w:ascii="Arial"/>
                <w:spacing w:val="15"/>
                <w:w w:val="100"/>
                <w:sz w:val="20"/>
              </w:rPr>
            </w:r>
            <w:r>
              <w:rPr>
                <w:rFonts w:ascii="Arial"/>
                <w:w w:val="100"/>
                <w:sz w:val="20"/>
                <w:u w:val="single" w:color="000000"/>
              </w:rPr>
              <w:t> </w:t>
            </w:r>
            <w:r>
              <w:rPr>
                <w:rFonts w:ascii="Arial"/>
                <w:sz w:val="20"/>
                <w:u w:val="single" w:color="000000"/>
              </w:rPr>
              <w:tab/>
            </w:r>
            <w:r>
              <w:rPr>
                <w:rFonts w:ascii="Arial"/>
                <w:sz w:val="20"/>
              </w:rPr>
            </w:r>
            <w:r>
              <w:rPr>
                <w:rFonts w:ascii="Arial"/>
                <w:spacing w:val="23"/>
                <w:sz w:val="20"/>
              </w:rPr>
              <w:t> </w:t>
            </w:r>
            <w:r>
              <w:rPr>
                <w:rFonts w:ascii="Arial"/>
                <w:spacing w:val="23"/>
                <w:w w:val="100"/>
                <w:sz w:val="20"/>
              </w:rPr>
            </w:r>
            <w:r>
              <w:rPr>
                <w:rFonts w:ascii="Arial"/>
                <w:w w:val="100"/>
                <w:sz w:val="20"/>
                <w:u w:val="single" w:color="000000"/>
              </w:rPr>
              <w:t> </w:t>
            </w:r>
            <w:r>
              <w:rPr>
                <w:rFonts w:ascii="Arial"/>
                <w:sz w:val="20"/>
                <w:u w:val="single" w:color="000000"/>
              </w:rPr>
              <w:tab/>
              <w:t>822</w:t>
              <w:tab/>
            </w:r>
            <w:r>
              <w:rPr>
                <w:rFonts w:ascii="Arial"/>
                <w:sz w:val="20"/>
              </w:rPr>
            </w:r>
          </w:p>
        </w:tc>
      </w:tr>
      <w:tr>
        <w:trPr>
          <w:trHeight w:val="395" w:hRule="exact"/>
        </w:trPr>
        <w:tc>
          <w:tcPr>
            <w:tcW w:w="693" w:type="dxa"/>
            <w:tcBorders>
              <w:top w:val="nil" w:sz="6" w:space="0" w:color="auto"/>
              <w:left w:val="nil" w:sz="6" w:space="0" w:color="auto"/>
              <w:bottom w:val="nil" w:sz="6" w:space="0" w:color="auto"/>
              <w:right w:val="nil" w:sz="6" w:space="0" w:color="auto"/>
            </w:tcBorders>
          </w:tcPr>
          <w:p>
            <w:pPr/>
          </w:p>
        </w:tc>
        <w:tc>
          <w:tcPr>
            <w:tcW w:w="3137" w:type="dxa"/>
            <w:tcBorders>
              <w:top w:val="nil" w:sz="6" w:space="0" w:color="auto"/>
              <w:left w:val="nil" w:sz="6" w:space="0" w:color="auto"/>
              <w:bottom w:val="single" w:sz="17" w:space="0" w:color="000000"/>
              <w:right w:val="nil" w:sz="6" w:space="0" w:color="auto"/>
            </w:tcBorders>
          </w:tcPr>
          <w:p>
            <w:pPr>
              <w:pStyle w:val="TableParagraph"/>
              <w:tabs>
                <w:tab w:pos="2536" w:val="left" w:leader="none"/>
              </w:tabs>
              <w:spacing w:line="240" w:lineRule="auto" w:before="81"/>
              <w:ind w:left="57" w:right="0"/>
              <w:jc w:val="left"/>
              <w:rPr>
                <w:rFonts w:ascii="Arial" w:hAnsi="Arial" w:cs="Arial" w:eastAsia="Arial" w:hint="default"/>
                <w:sz w:val="20"/>
                <w:szCs w:val="20"/>
              </w:rPr>
            </w:pPr>
            <w:r>
              <w:rPr>
                <w:rFonts w:ascii="宋体" w:hAnsi="宋体" w:cs="宋体" w:eastAsia="宋体" w:hint="default"/>
                <w:position w:val="1"/>
                <w:sz w:val="20"/>
                <w:szCs w:val="20"/>
              </w:rPr>
              <w:t>合计</w:t>
              <w:tab/>
            </w:r>
            <w:r>
              <w:rPr>
                <w:rFonts w:ascii="Arial" w:hAnsi="Arial" w:cs="Arial" w:eastAsia="Arial" w:hint="default"/>
                <w:sz w:val="20"/>
                <w:szCs w:val="20"/>
              </w:rPr>
              <w:t>1,099</w:t>
            </w:r>
          </w:p>
        </w:tc>
        <w:tc>
          <w:tcPr>
            <w:tcW w:w="5824" w:type="dxa"/>
            <w:tcBorders>
              <w:top w:val="nil" w:sz="6" w:space="0" w:color="auto"/>
              <w:left w:val="nil" w:sz="6" w:space="0" w:color="auto"/>
              <w:bottom w:val="single" w:sz="17" w:space="0" w:color="000000"/>
              <w:right w:val="nil" w:sz="6" w:space="0" w:color="auto"/>
            </w:tcBorders>
          </w:tcPr>
          <w:p>
            <w:pPr>
              <w:pStyle w:val="TableParagraph"/>
              <w:tabs>
                <w:tab w:pos="1600" w:val="left" w:leader="none"/>
                <w:tab w:pos="2903" w:val="left" w:leader="none"/>
                <w:tab w:pos="3952" w:val="left" w:leader="none"/>
              </w:tabs>
              <w:spacing w:line="240" w:lineRule="auto" w:before="137"/>
              <w:ind w:right="82"/>
              <w:jc w:val="right"/>
              <w:rPr>
                <w:rFonts w:ascii="Arial" w:hAnsi="Arial" w:cs="Arial" w:eastAsia="Arial" w:hint="default"/>
                <w:sz w:val="20"/>
                <w:szCs w:val="20"/>
              </w:rPr>
            </w:pPr>
            <w:r>
              <w:rPr>
                <w:rFonts w:ascii="Arial"/>
                <w:sz w:val="20"/>
              </w:rPr>
              <w:t>-</w:t>
              <w:tab/>
              <w:t>-</w:t>
              <w:tab/>
              <w:t>-</w:t>
              <w:tab/>
              <w:t>11,731</w:t>
            </w:r>
          </w:p>
        </w:tc>
      </w:tr>
    </w:tbl>
    <w:p>
      <w:pPr>
        <w:spacing w:after="0" w:line="240" w:lineRule="auto"/>
        <w:jc w:val="right"/>
        <w:rPr>
          <w:rFonts w:ascii="Arial" w:hAnsi="Arial" w:cs="Arial" w:eastAsia="Arial" w:hint="default"/>
          <w:sz w:val="20"/>
          <w:szCs w:val="20"/>
        </w:rPr>
        <w:sectPr>
          <w:type w:val="continuous"/>
          <w:pgSz w:w="11910" w:h="16840"/>
          <w:pgMar w:top="1600" w:bottom="280" w:left="1240" w:right="800"/>
        </w:sectPr>
      </w:pPr>
    </w:p>
    <w:p>
      <w:pPr>
        <w:spacing w:line="240" w:lineRule="auto" w:before="9"/>
        <w:rPr>
          <w:rFonts w:ascii="Arial" w:hAnsi="Arial" w:cs="Arial" w:eastAsia="Arial" w:hint="default"/>
          <w:sz w:val="21"/>
          <w:szCs w:val="21"/>
        </w:rPr>
      </w:pPr>
    </w:p>
    <w:tbl>
      <w:tblPr>
        <w:tblW w:w="0" w:type="auto"/>
        <w:jc w:val="left"/>
        <w:tblInd w:w="107" w:type="dxa"/>
        <w:tblLayout w:type="fixed"/>
        <w:tblCellMar>
          <w:top w:w="0" w:type="dxa"/>
          <w:left w:w="0" w:type="dxa"/>
          <w:bottom w:w="0" w:type="dxa"/>
          <w:right w:w="0" w:type="dxa"/>
        </w:tblCellMar>
        <w:tblLook w:val="01E0"/>
      </w:tblPr>
      <w:tblGrid>
        <w:gridCol w:w="577"/>
        <w:gridCol w:w="4288"/>
        <w:gridCol w:w="2316"/>
        <w:gridCol w:w="110"/>
        <w:gridCol w:w="2291"/>
      </w:tblGrid>
      <w:tr>
        <w:trPr>
          <w:trHeight w:val="943" w:hRule="exact"/>
        </w:trPr>
        <w:tc>
          <w:tcPr>
            <w:tcW w:w="577" w:type="dxa"/>
            <w:tcBorders>
              <w:top w:val="nil" w:sz="6" w:space="0" w:color="auto"/>
              <w:left w:val="nil" w:sz="6" w:space="0" w:color="auto"/>
              <w:bottom w:val="nil" w:sz="6" w:space="0" w:color="auto"/>
              <w:right w:val="nil" w:sz="6" w:space="0" w:color="auto"/>
            </w:tcBorders>
          </w:tcPr>
          <w:p>
            <w:pPr>
              <w:pStyle w:val="TableParagraph"/>
              <w:spacing w:line="240" w:lineRule="auto" w:before="31"/>
              <w:ind w:left="45" w:right="0" w:hanging="11"/>
              <w:jc w:val="left"/>
              <w:rPr>
                <w:rFonts w:ascii="黑体" w:hAnsi="黑体" w:cs="黑体" w:eastAsia="黑体" w:hint="default"/>
                <w:sz w:val="22"/>
                <w:szCs w:val="22"/>
              </w:rPr>
            </w:pPr>
            <w:r>
              <w:rPr>
                <w:rFonts w:ascii="黑体" w:hAnsi="黑体" w:cs="黑体" w:eastAsia="黑体" w:hint="default"/>
                <w:sz w:val="22"/>
                <w:szCs w:val="22"/>
              </w:rPr>
              <w:t>十七</w:t>
            </w:r>
          </w:p>
          <w:p>
            <w:pPr>
              <w:pStyle w:val="TableParagraph"/>
              <w:spacing w:line="240" w:lineRule="auto" w:before="3"/>
              <w:ind w:right="0"/>
              <w:jc w:val="left"/>
              <w:rPr>
                <w:rFonts w:ascii="Arial" w:hAnsi="Arial" w:cs="Arial" w:eastAsia="Arial" w:hint="default"/>
                <w:sz w:val="17"/>
                <w:szCs w:val="17"/>
              </w:rPr>
            </w:pPr>
          </w:p>
          <w:p>
            <w:pPr>
              <w:pStyle w:val="TableParagraph"/>
              <w:spacing w:line="240" w:lineRule="auto"/>
              <w:ind w:left="45" w:right="0"/>
              <w:jc w:val="left"/>
              <w:rPr>
                <w:rFonts w:ascii="黑体" w:hAnsi="黑体" w:cs="黑体" w:eastAsia="黑体" w:hint="default"/>
                <w:sz w:val="22"/>
                <w:szCs w:val="22"/>
              </w:rPr>
            </w:pPr>
            <w:r>
              <w:rPr>
                <w:rFonts w:ascii="Arial" w:hAnsi="Arial" w:cs="Arial" w:eastAsia="Arial" w:hint="default"/>
                <w:sz w:val="22"/>
                <w:szCs w:val="22"/>
              </w:rPr>
              <w:t>1</w:t>
            </w:r>
            <w:r>
              <w:rPr>
                <w:rFonts w:ascii="黑体" w:hAnsi="黑体" w:cs="黑体" w:eastAsia="黑体" w:hint="default"/>
                <w:sz w:val="22"/>
                <w:szCs w:val="22"/>
              </w:rPr>
              <w:t>、</w:t>
            </w:r>
          </w:p>
        </w:tc>
        <w:tc>
          <w:tcPr>
            <w:tcW w:w="4288" w:type="dxa"/>
            <w:tcBorders>
              <w:top w:val="nil" w:sz="6" w:space="0" w:color="auto"/>
              <w:left w:val="nil" w:sz="6" w:space="0" w:color="auto"/>
              <w:bottom w:val="nil" w:sz="6" w:space="0" w:color="auto"/>
              <w:right w:val="nil" w:sz="6" w:space="0" w:color="auto"/>
            </w:tcBorders>
          </w:tcPr>
          <w:p>
            <w:pPr>
              <w:pStyle w:val="TableParagraph"/>
              <w:spacing w:line="405" w:lineRule="auto" w:before="31"/>
              <w:ind w:left="115" w:right="871"/>
              <w:jc w:val="left"/>
              <w:rPr>
                <w:rFonts w:ascii="黑体" w:hAnsi="黑体" w:cs="黑体" w:eastAsia="黑体" w:hint="default"/>
                <w:sz w:val="22"/>
                <w:szCs w:val="22"/>
              </w:rPr>
            </w:pPr>
            <w:r>
              <w:rPr>
                <w:rFonts w:ascii="黑体" w:hAnsi="黑体" w:cs="黑体" w:eastAsia="黑体" w:hint="default"/>
                <w:sz w:val="22"/>
                <w:szCs w:val="22"/>
              </w:rPr>
              <w:t>本公司个别财务报表主要项目注释</w:t>
            </w:r>
            <w:r>
              <w:rPr>
                <w:rFonts w:ascii="黑体" w:hAnsi="黑体" w:cs="黑体" w:eastAsia="黑体" w:hint="default"/>
                <w:w w:val="99"/>
                <w:sz w:val="22"/>
                <w:szCs w:val="22"/>
              </w:rPr>
              <w:t> </w:t>
            </w:r>
            <w:r>
              <w:rPr>
                <w:rFonts w:ascii="黑体" w:hAnsi="黑体" w:cs="黑体" w:eastAsia="黑体" w:hint="default"/>
                <w:sz w:val="22"/>
                <w:szCs w:val="22"/>
              </w:rPr>
              <w:t>货币资金</w:t>
            </w:r>
          </w:p>
        </w:tc>
        <w:tc>
          <w:tcPr>
            <w:tcW w:w="4717" w:type="dxa"/>
            <w:gridSpan w:val="3"/>
            <w:tcBorders>
              <w:top w:val="nil" w:sz="6" w:space="0" w:color="auto"/>
              <w:left w:val="nil" w:sz="6" w:space="0" w:color="auto"/>
              <w:bottom w:val="nil" w:sz="6" w:space="0" w:color="auto"/>
              <w:right w:val="nil" w:sz="6" w:space="0" w:color="auto"/>
            </w:tcBorders>
          </w:tcPr>
          <w:p>
            <w:pPr/>
          </w:p>
        </w:tc>
      </w:tr>
      <w:tr>
        <w:trPr>
          <w:trHeight w:val="388" w:hRule="exact"/>
        </w:trPr>
        <w:tc>
          <w:tcPr>
            <w:tcW w:w="577" w:type="dxa"/>
            <w:tcBorders>
              <w:top w:val="nil" w:sz="6" w:space="0" w:color="auto"/>
              <w:left w:val="nil" w:sz="6" w:space="0" w:color="auto"/>
              <w:bottom w:val="nil" w:sz="6" w:space="0" w:color="auto"/>
              <w:right w:val="nil" w:sz="6" w:space="0" w:color="auto"/>
            </w:tcBorders>
          </w:tcPr>
          <w:p>
            <w:pPr/>
          </w:p>
        </w:tc>
        <w:tc>
          <w:tcPr>
            <w:tcW w:w="428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single" w:sz="6" w:space="0" w:color="000000"/>
              <w:right w:val="nil" w:sz="6" w:space="0" w:color="auto"/>
            </w:tcBorders>
          </w:tcPr>
          <w:p>
            <w:pPr>
              <w:pStyle w:val="TableParagraph"/>
              <w:spacing w:line="240" w:lineRule="auto" w:before="59"/>
              <w:ind w:right="47"/>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110" w:type="dxa"/>
            <w:tcBorders>
              <w:top w:val="nil" w:sz="6" w:space="0" w:color="auto"/>
              <w:left w:val="nil" w:sz="6" w:space="0" w:color="auto"/>
              <w:bottom w:val="nil" w:sz="6" w:space="0" w:color="auto"/>
              <w:right w:val="nil" w:sz="6" w:space="0" w:color="auto"/>
            </w:tcBorders>
          </w:tcPr>
          <w:p>
            <w:pPr/>
          </w:p>
        </w:tc>
        <w:tc>
          <w:tcPr>
            <w:tcW w:w="2291" w:type="dxa"/>
            <w:tcBorders>
              <w:top w:val="nil" w:sz="6" w:space="0" w:color="auto"/>
              <w:left w:val="nil" w:sz="6" w:space="0" w:color="auto"/>
              <w:bottom w:val="single" w:sz="6" w:space="0" w:color="000000"/>
              <w:right w:val="nil" w:sz="6" w:space="0" w:color="auto"/>
            </w:tcBorders>
          </w:tcPr>
          <w:p>
            <w:pPr>
              <w:pStyle w:val="TableParagraph"/>
              <w:spacing w:line="240" w:lineRule="auto" w:before="59"/>
              <w:ind w:left="374" w:right="0"/>
              <w:jc w:val="lef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591" w:hRule="exact"/>
        </w:trPr>
        <w:tc>
          <w:tcPr>
            <w:tcW w:w="577" w:type="dxa"/>
            <w:tcBorders>
              <w:top w:val="nil" w:sz="6" w:space="0" w:color="auto"/>
              <w:left w:val="nil" w:sz="6" w:space="0" w:color="auto"/>
              <w:bottom w:val="nil" w:sz="6" w:space="0" w:color="auto"/>
              <w:right w:val="nil" w:sz="6" w:space="0" w:color="auto"/>
            </w:tcBorders>
          </w:tcPr>
          <w:p>
            <w:pPr/>
          </w:p>
        </w:tc>
        <w:tc>
          <w:tcPr>
            <w:tcW w:w="428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Arial" w:hAnsi="Arial" w:cs="Arial" w:eastAsia="Arial" w:hint="default"/>
                <w:sz w:val="22"/>
                <w:szCs w:val="22"/>
              </w:rPr>
            </w:pPr>
          </w:p>
          <w:p>
            <w:pPr>
              <w:pStyle w:val="TableParagraph"/>
              <w:spacing w:line="240" w:lineRule="auto"/>
              <w:ind w:left="117" w:right="0"/>
              <w:jc w:val="left"/>
              <w:rPr>
                <w:rFonts w:ascii="宋体" w:hAnsi="宋体" w:cs="宋体" w:eastAsia="宋体" w:hint="default"/>
                <w:sz w:val="22"/>
                <w:szCs w:val="22"/>
              </w:rPr>
            </w:pPr>
            <w:r>
              <w:rPr>
                <w:rFonts w:ascii="宋体" w:hAnsi="宋体" w:cs="宋体" w:eastAsia="宋体" w:hint="default"/>
                <w:sz w:val="22"/>
                <w:szCs w:val="22"/>
              </w:rPr>
              <w:t>库存现金</w:t>
            </w:r>
          </w:p>
        </w:tc>
        <w:tc>
          <w:tcPr>
            <w:tcW w:w="2316" w:type="dxa"/>
            <w:tcBorders>
              <w:top w:val="single" w:sz="6" w:space="0" w:color="000000"/>
              <w:left w:val="nil" w:sz="6" w:space="0" w:color="auto"/>
              <w:bottom w:val="nil" w:sz="6" w:space="0" w:color="auto"/>
              <w:right w:val="nil" w:sz="6" w:space="0" w:color="auto"/>
            </w:tcBorders>
          </w:tcPr>
          <w:p>
            <w:pPr>
              <w:pStyle w:val="TableParagraph"/>
              <w:spacing w:line="240" w:lineRule="auto" w:before="5"/>
              <w:ind w:right="0"/>
              <w:jc w:val="left"/>
              <w:rPr>
                <w:rFonts w:ascii="Arial" w:hAnsi="Arial" w:cs="Arial" w:eastAsia="Arial" w:hint="default"/>
                <w:sz w:val="27"/>
                <w:szCs w:val="27"/>
              </w:rPr>
            </w:pPr>
          </w:p>
          <w:p>
            <w:pPr>
              <w:pStyle w:val="TableParagraph"/>
              <w:spacing w:line="240" w:lineRule="auto"/>
              <w:ind w:right="47"/>
              <w:jc w:val="right"/>
              <w:rPr>
                <w:rFonts w:ascii="Arial" w:hAnsi="Arial" w:cs="Arial" w:eastAsia="Arial" w:hint="default"/>
                <w:sz w:val="22"/>
                <w:szCs w:val="22"/>
              </w:rPr>
            </w:pPr>
            <w:r>
              <w:rPr>
                <w:rFonts w:ascii="Arial"/>
                <w:w w:val="95"/>
                <w:sz w:val="22"/>
              </w:rPr>
              <w:t>28,838</w:t>
            </w:r>
            <w:r>
              <w:rPr>
                <w:rFonts w:ascii="Arial"/>
                <w:sz w:val="22"/>
              </w:rPr>
            </w:r>
          </w:p>
        </w:tc>
        <w:tc>
          <w:tcPr>
            <w:tcW w:w="110" w:type="dxa"/>
            <w:tcBorders>
              <w:top w:val="nil" w:sz="6" w:space="0" w:color="auto"/>
              <w:left w:val="nil" w:sz="6" w:space="0" w:color="auto"/>
              <w:bottom w:val="nil" w:sz="6" w:space="0" w:color="auto"/>
              <w:right w:val="nil" w:sz="6" w:space="0" w:color="auto"/>
            </w:tcBorders>
          </w:tcPr>
          <w:p>
            <w:pPr/>
          </w:p>
        </w:tc>
        <w:tc>
          <w:tcPr>
            <w:tcW w:w="2291" w:type="dxa"/>
            <w:tcBorders>
              <w:top w:val="single" w:sz="6" w:space="0" w:color="000000"/>
              <w:left w:val="nil" w:sz="6" w:space="0" w:color="auto"/>
              <w:bottom w:val="nil" w:sz="6" w:space="0" w:color="auto"/>
              <w:right w:val="nil" w:sz="6" w:space="0" w:color="auto"/>
            </w:tcBorders>
          </w:tcPr>
          <w:p>
            <w:pPr>
              <w:pStyle w:val="TableParagraph"/>
              <w:spacing w:line="240" w:lineRule="auto" w:before="5"/>
              <w:ind w:right="0"/>
              <w:jc w:val="left"/>
              <w:rPr>
                <w:rFonts w:ascii="Arial" w:hAnsi="Arial" w:cs="Arial" w:eastAsia="Arial" w:hint="default"/>
                <w:sz w:val="27"/>
                <w:szCs w:val="27"/>
              </w:rPr>
            </w:pPr>
          </w:p>
          <w:p>
            <w:pPr>
              <w:pStyle w:val="TableParagraph"/>
              <w:spacing w:line="240" w:lineRule="auto"/>
              <w:ind w:right="54"/>
              <w:jc w:val="right"/>
              <w:rPr>
                <w:rFonts w:ascii="Arial" w:hAnsi="Arial" w:cs="Arial" w:eastAsia="Arial" w:hint="default"/>
                <w:sz w:val="22"/>
                <w:szCs w:val="22"/>
              </w:rPr>
            </w:pPr>
            <w:r>
              <w:rPr>
                <w:rFonts w:ascii="Arial"/>
                <w:w w:val="95"/>
                <w:sz w:val="22"/>
              </w:rPr>
              <w:t>19,728</w:t>
            </w:r>
            <w:r>
              <w:rPr>
                <w:rFonts w:ascii="Arial"/>
                <w:sz w:val="22"/>
              </w:rPr>
            </w:r>
          </w:p>
        </w:tc>
      </w:tr>
      <w:tr>
        <w:trPr>
          <w:trHeight w:val="399" w:hRule="exact"/>
        </w:trPr>
        <w:tc>
          <w:tcPr>
            <w:tcW w:w="577" w:type="dxa"/>
            <w:tcBorders>
              <w:top w:val="nil" w:sz="6" w:space="0" w:color="auto"/>
              <w:left w:val="nil" w:sz="6" w:space="0" w:color="auto"/>
              <w:bottom w:val="nil" w:sz="6" w:space="0" w:color="auto"/>
              <w:right w:val="nil" w:sz="6" w:space="0" w:color="auto"/>
            </w:tcBorders>
          </w:tcPr>
          <w:p>
            <w:pPr/>
          </w:p>
        </w:tc>
        <w:tc>
          <w:tcPr>
            <w:tcW w:w="4288" w:type="dxa"/>
            <w:tcBorders>
              <w:top w:val="nil" w:sz="6" w:space="0" w:color="auto"/>
              <w:left w:val="nil" w:sz="6" w:space="0" w:color="auto"/>
              <w:bottom w:val="nil" w:sz="6" w:space="0" w:color="auto"/>
              <w:right w:val="nil" w:sz="6" w:space="0" w:color="auto"/>
            </w:tcBorders>
          </w:tcPr>
          <w:p>
            <w:pPr>
              <w:pStyle w:val="TableParagraph"/>
              <w:spacing w:line="239" w:lineRule="exact"/>
              <w:ind w:left="117" w:right="0"/>
              <w:jc w:val="left"/>
              <w:rPr>
                <w:rFonts w:ascii="宋体" w:hAnsi="宋体" w:cs="宋体" w:eastAsia="宋体" w:hint="default"/>
                <w:sz w:val="22"/>
                <w:szCs w:val="22"/>
              </w:rPr>
            </w:pPr>
            <w:r>
              <w:rPr>
                <w:rFonts w:ascii="宋体" w:hAnsi="宋体" w:cs="宋体" w:eastAsia="宋体" w:hint="default"/>
                <w:sz w:val="22"/>
                <w:szCs w:val="22"/>
              </w:rPr>
              <w:t>银行存款</w:t>
            </w:r>
          </w:p>
        </w:tc>
        <w:tc>
          <w:tcPr>
            <w:tcW w:w="2316" w:type="dxa"/>
            <w:tcBorders>
              <w:top w:val="nil" w:sz="6" w:space="0" w:color="auto"/>
              <w:left w:val="nil" w:sz="6" w:space="0" w:color="auto"/>
              <w:bottom w:val="nil" w:sz="6" w:space="0" w:color="auto"/>
              <w:right w:val="nil" w:sz="6" w:space="0" w:color="auto"/>
            </w:tcBorders>
          </w:tcPr>
          <w:p>
            <w:pPr>
              <w:pStyle w:val="TableParagraph"/>
              <w:tabs>
                <w:tab w:pos="1158" w:val="left" w:leader="none"/>
              </w:tabs>
              <w:spacing w:line="240" w:lineRule="auto" w:before="17"/>
              <w:ind w:right="47"/>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11,504,536</w:t>
            </w:r>
            <w:r>
              <w:rPr>
                <w:rFonts w:ascii="Arial"/>
                <w:w w:val="95"/>
                <w:sz w:val="22"/>
              </w:rPr>
            </w:r>
            <w:r>
              <w:rPr>
                <w:rFonts w:ascii="Arial"/>
                <w:sz w:val="22"/>
              </w:rPr>
            </w:r>
          </w:p>
        </w:tc>
        <w:tc>
          <w:tcPr>
            <w:tcW w:w="110" w:type="dxa"/>
            <w:tcBorders>
              <w:top w:val="nil" w:sz="6" w:space="0" w:color="auto"/>
              <w:left w:val="nil" w:sz="6" w:space="0" w:color="auto"/>
              <w:bottom w:val="nil" w:sz="6" w:space="0" w:color="auto"/>
              <w:right w:val="nil" w:sz="6" w:space="0" w:color="auto"/>
            </w:tcBorders>
          </w:tcPr>
          <w:p>
            <w:pPr/>
          </w:p>
        </w:tc>
        <w:tc>
          <w:tcPr>
            <w:tcW w:w="2291" w:type="dxa"/>
            <w:tcBorders>
              <w:top w:val="nil" w:sz="6" w:space="0" w:color="auto"/>
              <w:left w:val="nil" w:sz="6" w:space="0" w:color="auto"/>
              <w:bottom w:val="nil" w:sz="6" w:space="0" w:color="auto"/>
              <w:right w:val="nil" w:sz="6" w:space="0" w:color="auto"/>
            </w:tcBorders>
          </w:tcPr>
          <w:p>
            <w:pPr>
              <w:pStyle w:val="TableParagraph"/>
              <w:tabs>
                <w:tab w:pos="1133" w:val="left" w:leader="none"/>
              </w:tabs>
              <w:spacing w:line="240" w:lineRule="auto" w:before="17"/>
              <w:ind w:left="16"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10,755,128</w:t>
            </w:r>
            <w:r>
              <w:rPr>
                <w:rFonts w:ascii="Arial"/>
                <w:sz w:val="22"/>
              </w:rPr>
            </w:r>
          </w:p>
        </w:tc>
      </w:tr>
      <w:tr>
        <w:trPr>
          <w:trHeight w:val="410" w:hRule="exact"/>
        </w:trPr>
        <w:tc>
          <w:tcPr>
            <w:tcW w:w="577" w:type="dxa"/>
            <w:tcBorders>
              <w:top w:val="nil" w:sz="6" w:space="0" w:color="auto"/>
              <w:left w:val="nil" w:sz="6" w:space="0" w:color="auto"/>
              <w:bottom w:val="nil" w:sz="6" w:space="0" w:color="auto"/>
              <w:right w:val="nil" w:sz="6" w:space="0" w:color="auto"/>
            </w:tcBorders>
          </w:tcPr>
          <w:p>
            <w:pPr/>
          </w:p>
        </w:tc>
        <w:tc>
          <w:tcPr>
            <w:tcW w:w="4288" w:type="dxa"/>
            <w:tcBorders>
              <w:top w:val="nil" w:sz="6" w:space="0" w:color="auto"/>
              <w:left w:val="nil" w:sz="6" w:space="0" w:color="auto"/>
              <w:bottom w:val="nil" w:sz="6" w:space="0" w:color="auto"/>
              <w:right w:val="nil" w:sz="6" w:space="0" w:color="auto"/>
            </w:tcBorders>
          </w:tcPr>
          <w:p>
            <w:pPr>
              <w:pStyle w:val="TableParagraph"/>
              <w:spacing w:line="240" w:lineRule="auto" w:before="65"/>
              <w:ind w:left="117"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316" w:type="dxa"/>
            <w:tcBorders>
              <w:top w:val="nil" w:sz="6" w:space="0" w:color="auto"/>
              <w:left w:val="nil" w:sz="6" w:space="0" w:color="auto"/>
              <w:bottom w:val="single" w:sz="17" w:space="0" w:color="000000"/>
              <w:right w:val="nil" w:sz="6" w:space="0" w:color="auto"/>
            </w:tcBorders>
          </w:tcPr>
          <w:p>
            <w:pPr>
              <w:pStyle w:val="TableParagraph"/>
              <w:spacing w:line="240" w:lineRule="auto" w:before="131"/>
              <w:ind w:right="47"/>
              <w:jc w:val="right"/>
              <w:rPr>
                <w:rFonts w:ascii="Arial" w:hAnsi="Arial" w:cs="Arial" w:eastAsia="Arial" w:hint="default"/>
                <w:sz w:val="22"/>
                <w:szCs w:val="22"/>
              </w:rPr>
            </w:pPr>
            <w:r>
              <w:rPr>
                <w:rFonts w:ascii="Arial"/>
                <w:w w:val="95"/>
                <w:sz w:val="22"/>
              </w:rPr>
              <w:t>11,533,374</w:t>
            </w:r>
            <w:r>
              <w:rPr>
                <w:rFonts w:ascii="Arial"/>
                <w:sz w:val="22"/>
              </w:rPr>
            </w:r>
          </w:p>
        </w:tc>
        <w:tc>
          <w:tcPr>
            <w:tcW w:w="110" w:type="dxa"/>
            <w:tcBorders>
              <w:top w:val="nil" w:sz="6" w:space="0" w:color="auto"/>
              <w:left w:val="nil" w:sz="6" w:space="0" w:color="auto"/>
              <w:bottom w:val="nil" w:sz="6" w:space="0" w:color="auto"/>
              <w:right w:val="nil" w:sz="6" w:space="0" w:color="auto"/>
            </w:tcBorders>
          </w:tcPr>
          <w:p>
            <w:pPr/>
          </w:p>
        </w:tc>
        <w:tc>
          <w:tcPr>
            <w:tcW w:w="2291" w:type="dxa"/>
            <w:tcBorders>
              <w:top w:val="nil" w:sz="6" w:space="0" w:color="auto"/>
              <w:left w:val="nil" w:sz="6" w:space="0" w:color="auto"/>
              <w:bottom w:val="single" w:sz="17" w:space="0" w:color="000000"/>
              <w:right w:val="nil" w:sz="6" w:space="0" w:color="auto"/>
            </w:tcBorders>
          </w:tcPr>
          <w:p>
            <w:pPr>
              <w:pStyle w:val="TableParagraph"/>
              <w:spacing w:line="240" w:lineRule="auto" w:before="131"/>
              <w:ind w:left="1133" w:right="0"/>
              <w:jc w:val="left"/>
              <w:rPr>
                <w:rFonts w:ascii="Arial" w:hAnsi="Arial" w:cs="Arial" w:eastAsia="Arial" w:hint="default"/>
                <w:sz w:val="22"/>
                <w:szCs w:val="22"/>
              </w:rPr>
            </w:pPr>
            <w:r>
              <w:rPr>
                <w:rFonts w:ascii="Arial"/>
                <w:sz w:val="22"/>
              </w:rPr>
              <w:t>10,774,856</w:t>
            </w:r>
          </w:p>
        </w:tc>
      </w:tr>
      <w:tr>
        <w:trPr>
          <w:trHeight w:val="604" w:hRule="exact"/>
        </w:trPr>
        <w:tc>
          <w:tcPr>
            <w:tcW w:w="577" w:type="dxa"/>
            <w:tcBorders>
              <w:top w:val="nil" w:sz="6" w:space="0" w:color="auto"/>
              <w:left w:val="nil" w:sz="6" w:space="0" w:color="auto"/>
              <w:bottom w:val="nil" w:sz="6" w:space="0" w:color="auto"/>
              <w:right w:val="nil" w:sz="6" w:space="0" w:color="auto"/>
            </w:tcBorders>
          </w:tcPr>
          <w:p>
            <w:pPr>
              <w:pStyle w:val="TableParagraph"/>
              <w:spacing w:line="240" w:lineRule="auto" w:before="185"/>
              <w:ind w:left="45" w:right="0"/>
              <w:jc w:val="left"/>
              <w:rPr>
                <w:rFonts w:ascii="黑体" w:hAnsi="黑体" w:cs="黑体" w:eastAsia="黑体" w:hint="default"/>
                <w:sz w:val="22"/>
                <w:szCs w:val="22"/>
              </w:rPr>
            </w:pPr>
            <w:r>
              <w:rPr>
                <w:rFonts w:ascii="Arial" w:hAnsi="Arial" w:cs="Arial" w:eastAsia="Arial" w:hint="default"/>
                <w:sz w:val="22"/>
                <w:szCs w:val="22"/>
              </w:rPr>
              <w:t>2</w:t>
            </w:r>
            <w:r>
              <w:rPr>
                <w:rFonts w:ascii="黑体" w:hAnsi="黑体" w:cs="黑体" w:eastAsia="黑体" w:hint="default"/>
                <w:sz w:val="22"/>
                <w:szCs w:val="22"/>
              </w:rPr>
              <w:t>、</w:t>
            </w:r>
          </w:p>
        </w:tc>
        <w:tc>
          <w:tcPr>
            <w:tcW w:w="4288" w:type="dxa"/>
            <w:tcBorders>
              <w:top w:val="nil" w:sz="6" w:space="0" w:color="auto"/>
              <w:left w:val="nil" w:sz="6" w:space="0" w:color="auto"/>
              <w:bottom w:val="nil" w:sz="6" w:space="0" w:color="auto"/>
              <w:right w:val="nil" w:sz="6" w:space="0" w:color="auto"/>
            </w:tcBorders>
          </w:tcPr>
          <w:p>
            <w:pPr>
              <w:pStyle w:val="TableParagraph"/>
              <w:spacing w:line="240" w:lineRule="auto" w:before="185"/>
              <w:ind w:left="115" w:right="0"/>
              <w:jc w:val="left"/>
              <w:rPr>
                <w:rFonts w:ascii="黑体" w:hAnsi="黑体" w:cs="黑体" w:eastAsia="黑体" w:hint="default"/>
                <w:sz w:val="22"/>
                <w:szCs w:val="22"/>
              </w:rPr>
            </w:pPr>
            <w:r>
              <w:rPr>
                <w:rFonts w:ascii="黑体" w:hAnsi="黑体" w:cs="黑体" w:eastAsia="黑体" w:hint="default"/>
                <w:sz w:val="22"/>
                <w:szCs w:val="22"/>
              </w:rPr>
              <w:t>应收股利</w:t>
            </w:r>
          </w:p>
        </w:tc>
        <w:tc>
          <w:tcPr>
            <w:tcW w:w="2316" w:type="dxa"/>
            <w:tcBorders>
              <w:top w:val="single" w:sz="17" w:space="0" w:color="000000"/>
              <w:left w:val="nil" w:sz="6" w:space="0" w:color="auto"/>
              <w:bottom w:val="nil" w:sz="6" w:space="0" w:color="auto"/>
              <w:right w:val="nil" w:sz="6" w:space="0" w:color="auto"/>
            </w:tcBorders>
          </w:tcPr>
          <w:p>
            <w:pPr/>
          </w:p>
        </w:tc>
        <w:tc>
          <w:tcPr>
            <w:tcW w:w="110" w:type="dxa"/>
            <w:tcBorders>
              <w:top w:val="nil" w:sz="6" w:space="0" w:color="auto"/>
              <w:left w:val="nil" w:sz="6" w:space="0" w:color="auto"/>
              <w:bottom w:val="nil" w:sz="6" w:space="0" w:color="auto"/>
              <w:right w:val="nil" w:sz="6" w:space="0" w:color="auto"/>
            </w:tcBorders>
          </w:tcPr>
          <w:p>
            <w:pPr/>
          </w:p>
        </w:tc>
        <w:tc>
          <w:tcPr>
            <w:tcW w:w="2291" w:type="dxa"/>
            <w:tcBorders>
              <w:top w:val="single" w:sz="17" w:space="0" w:color="000000"/>
              <w:left w:val="nil" w:sz="6" w:space="0" w:color="auto"/>
              <w:bottom w:val="nil" w:sz="6" w:space="0" w:color="auto"/>
              <w:right w:val="nil" w:sz="6" w:space="0" w:color="auto"/>
            </w:tcBorders>
          </w:tcPr>
          <w:p>
            <w:pPr/>
          </w:p>
        </w:tc>
      </w:tr>
      <w:tr>
        <w:trPr>
          <w:trHeight w:val="380" w:hRule="exact"/>
        </w:trPr>
        <w:tc>
          <w:tcPr>
            <w:tcW w:w="577" w:type="dxa"/>
            <w:tcBorders>
              <w:top w:val="nil" w:sz="6" w:space="0" w:color="auto"/>
              <w:left w:val="nil" w:sz="6" w:space="0" w:color="auto"/>
              <w:bottom w:val="nil" w:sz="6" w:space="0" w:color="auto"/>
              <w:right w:val="nil" w:sz="6" w:space="0" w:color="auto"/>
            </w:tcBorders>
          </w:tcPr>
          <w:p>
            <w:pPr/>
          </w:p>
        </w:tc>
        <w:tc>
          <w:tcPr>
            <w:tcW w:w="4288" w:type="dxa"/>
            <w:tcBorders>
              <w:top w:val="nil" w:sz="6" w:space="0" w:color="auto"/>
              <w:left w:val="nil" w:sz="6" w:space="0" w:color="auto"/>
              <w:bottom w:val="nil" w:sz="6" w:space="0" w:color="auto"/>
              <w:right w:val="nil" w:sz="6" w:space="0" w:color="auto"/>
            </w:tcBorders>
          </w:tcPr>
          <w:p>
            <w:pPr/>
          </w:p>
        </w:tc>
        <w:tc>
          <w:tcPr>
            <w:tcW w:w="2316" w:type="dxa"/>
            <w:tcBorders>
              <w:top w:val="nil" w:sz="6" w:space="0" w:color="auto"/>
              <w:left w:val="nil" w:sz="6" w:space="0" w:color="auto"/>
              <w:bottom w:val="single" w:sz="6" w:space="0" w:color="000000"/>
              <w:right w:val="nil" w:sz="6" w:space="0" w:color="auto"/>
            </w:tcBorders>
          </w:tcPr>
          <w:p>
            <w:pPr>
              <w:pStyle w:val="TableParagraph"/>
              <w:spacing w:line="240" w:lineRule="auto" w:before="51"/>
              <w:ind w:right="86"/>
              <w:jc w:val="righ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c>
          <w:tcPr>
            <w:tcW w:w="110" w:type="dxa"/>
            <w:tcBorders>
              <w:top w:val="nil" w:sz="6" w:space="0" w:color="auto"/>
              <w:left w:val="nil" w:sz="6" w:space="0" w:color="auto"/>
              <w:bottom w:val="single" w:sz="6" w:space="0" w:color="000000"/>
              <w:right w:val="nil" w:sz="6" w:space="0" w:color="auto"/>
            </w:tcBorders>
          </w:tcPr>
          <w:p>
            <w:pPr/>
          </w:p>
        </w:tc>
        <w:tc>
          <w:tcPr>
            <w:tcW w:w="2291" w:type="dxa"/>
            <w:tcBorders>
              <w:top w:val="nil" w:sz="6" w:space="0" w:color="auto"/>
              <w:left w:val="nil" w:sz="6" w:space="0" w:color="auto"/>
              <w:bottom w:val="single" w:sz="6" w:space="0" w:color="000000"/>
              <w:right w:val="nil" w:sz="6" w:space="0" w:color="auto"/>
            </w:tcBorders>
          </w:tcPr>
          <w:p>
            <w:pPr>
              <w:pStyle w:val="TableParagraph"/>
              <w:spacing w:line="240" w:lineRule="auto" w:before="51"/>
              <w:ind w:left="301" w:right="0"/>
              <w:jc w:val="lef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56"/>
                <w:sz w:val="22"/>
                <w:szCs w:val="22"/>
              </w:rPr>
              <w:t> </w:t>
            </w:r>
            <w:r>
              <w:rPr>
                <w:rFonts w:ascii="Arial" w:hAnsi="Arial" w:cs="Arial" w:eastAsia="Arial" w:hint="default"/>
                <w:sz w:val="22"/>
                <w:szCs w:val="22"/>
              </w:rPr>
              <w:t>12</w:t>
            </w:r>
            <w:r>
              <w:rPr>
                <w:rFonts w:ascii="Arial" w:hAnsi="Arial" w:cs="Arial" w:eastAsia="Arial"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56"/>
                <w:sz w:val="22"/>
                <w:szCs w:val="22"/>
              </w:rPr>
              <w:t> </w:t>
            </w:r>
            <w:r>
              <w:rPr>
                <w:rFonts w:ascii="Arial" w:hAnsi="Arial" w:cs="Arial" w:eastAsia="Arial" w:hint="default"/>
                <w:sz w:val="22"/>
                <w:szCs w:val="22"/>
              </w:rPr>
              <w:t>31</w:t>
            </w:r>
            <w:r>
              <w:rPr>
                <w:rFonts w:ascii="Arial" w:hAnsi="Arial" w:cs="Arial" w:eastAsia="Arial" w:hint="default"/>
                <w:spacing w:val="-7"/>
                <w:sz w:val="22"/>
                <w:szCs w:val="22"/>
              </w:rPr>
              <w:t> </w:t>
            </w:r>
            <w:r>
              <w:rPr>
                <w:rFonts w:ascii="宋体" w:hAnsi="宋体" w:cs="宋体" w:eastAsia="宋体" w:hint="default"/>
                <w:sz w:val="22"/>
                <w:szCs w:val="22"/>
              </w:rPr>
              <w:t>日</w:t>
            </w:r>
          </w:p>
        </w:tc>
      </w:tr>
      <w:tr>
        <w:trPr>
          <w:trHeight w:val="601" w:hRule="exact"/>
        </w:trPr>
        <w:tc>
          <w:tcPr>
            <w:tcW w:w="577" w:type="dxa"/>
            <w:tcBorders>
              <w:top w:val="nil" w:sz="6" w:space="0" w:color="auto"/>
              <w:left w:val="nil" w:sz="6" w:space="0" w:color="auto"/>
              <w:bottom w:val="nil" w:sz="6" w:space="0" w:color="auto"/>
              <w:right w:val="nil" w:sz="6" w:space="0" w:color="auto"/>
            </w:tcBorders>
          </w:tcPr>
          <w:p>
            <w:pPr/>
          </w:p>
        </w:tc>
        <w:tc>
          <w:tcPr>
            <w:tcW w:w="4288"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right="0"/>
              <w:jc w:val="left"/>
              <w:rPr>
                <w:rFonts w:ascii="Arial" w:hAnsi="Arial" w:cs="Arial" w:eastAsia="Arial" w:hint="default"/>
                <w:sz w:val="22"/>
                <w:szCs w:val="22"/>
              </w:rPr>
            </w:pPr>
          </w:p>
          <w:p>
            <w:pPr>
              <w:pStyle w:val="TableParagraph"/>
              <w:spacing w:line="240" w:lineRule="auto"/>
              <w:ind w:left="102" w:right="0"/>
              <w:jc w:val="left"/>
              <w:rPr>
                <w:rFonts w:ascii="宋体" w:hAnsi="宋体" w:cs="宋体" w:eastAsia="宋体" w:hint="default"/>
                <w:sz w:val="22"/>
                <w:szCs w:val="22"/>
              </w:rPr>
            </w:pPr>
            <w:r>
              <w:rPr>
                <w:rFonts w:ascii="宋体" w:hAnsi="宋体" w:cs="宋体" w:eastAsia="宋体" w:hint="default"/>
                <w:sz w:val="22"/>
                <w:szCs w:val="22"/>
              </w:rPr>
              <w:t>应收股利</w:t>
            </w:r>
          </w:p>
        </w:tc>
        <w:tc>
          <w:tcPr>
            <w:tcW w:w="2316" w:type="dxa"/>
            <w:tcBorders>
              <w:top w:val="single" w:sz="6" w:space="0" w:color="000000"/>
              <w:left w:val="nil" w:sz="6" w:space="0" w:color="auto"/>
              <w:bottom w:val="single" w:sz="17" w:space="0" w:color="000000"/>
              <w:right w:val="nil" w:sz="6" w:space="0" w:color="auto"/>
            </w:tcBorders>
          </w:tcPr>
          <w:p>
            <w:pPr>
              <w:pStyle w:val="TableParagraph"/>
              <w:spacing w:line="240" w:lineRule="auto" w:before="5"/>
              <w:ind w:right="0"/>
              <w:jc w:val="left"/>
              <w:rPr>
                <w:rFonts w:ascii="Arial" w:hAnsi="Arial" w:cs="Arial" w:eastAsia="Arial" w:hint="default"/>
                <w:sz w:val="27"/>
                <w:szCs w:val="27"/>
              </w:rPr>
            </w:pPr>
          </w:p>
          <w:p>
            <w:pPr>
              <w:pStyle w:val="TableParagraph"/>
              <w:spacing w:line="240" w:lineRule="auto"/>
              <w:ind w:right="81"/>
              <w:jc w:val="right"/>
              <w:rPr>
                <w:rFonts w:ascii="Arial" w:hAnsi="Arial" w:cs="Arial" w:eastAsia="Arial" w:hint="default"/>
                <w:sz w:val="22"/>
                <w:szCs w:val="22"/>
              </w:rPr>
            </w:pPr>
            <w:r>
              <w:rPr>
                <w:rFonts w:ascii="Arial"/>
                <w:w w:val="95"/>
                <w:sz w:val="22"/>
              </w:rPr>
              <w:t>307,361,297</w:t>
            </w:r>
            <w:r>
              <w:rPr>
                <w:rFonts w:ascii="Arial"/>
                <w:sz w:val="22"/>
              </w:rPr>
            </w:r>
          </w:p>
        </w:tc>
        <w:tc>
          <w:tcPr>
            <w:tcW w:w="110" w:type="dxa"/>
            <w:tcBorders>
              <w:top w:val="single" w:sz="6" w:space="0" w:color="000000"/>
              <w:left w:val="nil" w:sz="6" w:space="0" w:color="auto"/>
              <w:bottom w:val="single" w:sz="17" w:space="0" w:color="000000"/>
              <w:right w:val="nil" w:sz="6" w:space="0" w:color="auto"/>
            </w:tcBorders>
          </w:tcPr>
          <w:p>
            <w:pPr/>
          </w:p>
        </w:tc>
        <w:tc>
          <w:tcPr>
            <w:tcW w:w="2291" w:type="dxa"/>
            <w:tcBorders>
              <w:top w:val="single" w:sz="6" w:space="0" w:color="000000"/>
              <w:left w:val="nil" w:sz="6" w:space="0" w:color="auto"/>
              <w:bottom w:val="single" w:sz="17" w:space="0" w:color="000000"/>
              <w:right w:val="nil" w:sz="6" w:space="0" w:color="auto"/>
            </w:tcBorders>
          </w:tcPr>
          <w:p>
            <w:pPr>
              <w:pStyle w:val="TableParagraph"/>
              <w:spacing w:line="240" w:lineRule="auto" w:before="5"/>
              <w:ind w:right="0"/>
              <w:jc w:val="left"/>
              <w:rPr>
                <w:rFonts w:ascii="Arial" w:hAnsi="Arial" w:cs="Arial" w:eastAsia="Arial" w:hint="default"/>
                <w:sz w:val="27"/>
                <w:szCs w:val="27"/>
              </w:rPr>
            </w:pPr>
          </w:p>
          <w:p>
            <w:pPr>
              <w:pStyle w:val="TableParagraph"/>
              <w:spacing w:line="240" w:lineRule="auto"/>
              <w:ind w:left="958" w:right="0"/>
              <w:jc w:val="left"/>
              <w:rPr>
                <w:rFonts w:ascii="Arial" w:hAnsi="Arial" w:cs="Arial" w:eastAsia="Arial" w:hint="default"/>
                <w:sz w:val="22"/>
                <w:szCs w:val="22"/>
              </w:rPr>
            </w:pPr>
            <w:r>
              <w:rPr>
                <w:rFonts w:ascii="Arial"/>
                <w:sz w:val="22"/>
              </w:rPr>
              <w:t>149,000,000</w:t>
            </w:r>
          </w:p>
        </w:tc>
      </w:tr>
    </w:tbl>
    <w:p>
      <w:pPr>
        <w:spacing w:line="240" w:lineRule="auto" w:before="3"/>
        <w:rPr>
          <w:rFonts w:ascii="Arial" w:hAnsi="Arial" w:cs="Arial" w:eastAsia="Arial" w:hint="default"/>
          <w:sz w:val="14"/>
          <w:szCs w:val="14"/>
        </w:rPr>
      </w:pPr>
    </w:p>
    <w:p>
      <w:pPr>
        <w:pStyle w:val="BodyText"/>
        <w:spacing w:line="225" w:lineRule="auto" w:before="47"/>
        <w:ind w:left="813" w:right="170"/>
        <w:jc w:val="both"/>
      </w:pP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日的应收股利余额中有人民币</w:t>
      </w:r>
      <w:r>
        <w:rPr>
          <w:spacing w:val="-56"/>
        </w:rPr>
        <w:t> </w:t>
      </w:r>
      <w:r>
        <w:rPr>
          <w:rFonts w:ascii="Arial" w:hAnsi="Arial" w:cs="Arial" w:eastAsia="Arial" w:hint="default"/>
        </w:rPr>
        <w:t>1.49</w:t>
      </w:r>
      <w:r>
        <w:rPr>
          <w:rFonts w:ascii="Arial" w:hAnsi="Arial" w:cs="Arial" w:eastAsia="Arial" w:hint="default"/>
          <w:spacing w:val="-7"/>
        </w:rPr>
        <w:t> </w:t>
      </w:r>
      <w:r>
        <w:rPr/>
        <w:t>亿元为</w:t>
      </w:r>
      <w:r>
        <w:rPr>
          <w:spacing w:val="-56"/>
        </w:rPr>
        <w:t> </w:t>
      </w:r>
      <w:r>
        <w:rPr>
          <w:rFonts w:ascii="Arial" w:hAnsi="Arial" w:cs="Arial" w:eastAsia="Arial" w:hint="default"/>
        </w:rPr>
        <w:t>1</w:t>
      </w:r>
      <w:r>
        <w:rPr>
          <w:rFonts w:ascii="Arial" w:hAnsi="Arial" w:cs="Arial" w:eastAsia="Arial" w:hint="default"/>
          <w:spacing w:val="-7"/>
        </w:rPr>
        <w:t> </w:t>
      </w:r>
      <w:r>
        <w:rPr>
          <w:spacing w:val="-7"/>
        </w:rPr>
        <w:t>年以上应收股利，为本公司</w:t>
      </w:r>
      <w:r>
        <w:rPr>
          <w:w w:val="99"/>
        </w:rPr>
        <w:t> </w:t>
      </w:r>
      <w:r>
        <w:rPr/>
        <w:t>的子公司联通</w:t>
      </w:r>
      <w:r>
        <w:rPr>
          <w:spacing w:val="-44"/>
        </w:rPr>
        <w:t> </w:t>
      </w:r>
      <w:r>
        <w:rPr>
          <w:rFonts w:ascii="Arial" w:hAnsi="Arial" w:cs="Arial" w:eastAsia="Arial" w:hint="default"/>
        </w:rPr>
        <w:t>BVI</w:t>
      </w:r>
      <w:r>
        <w:rPr>
          <w:rFonts w:ascii="Arial" w:hAnsi="Arial" w:cs="Arial" w:eastAsia="Arial" w:hint="default"/>
          <w:spacing w:val="6"/>
        </w:rPr>
        <w:t> </w:t>
      </w:r>
      <w:r>
        <w:rPr/>
        <w:t>公司未支付的</w:t>
      </w:r>
      <w:r>
        <w:rPr>
          <w:spacing w:val="-44"/>
        </w:rPr>
        <w:t> </w:t>
      </w:r>
      <w:r>
        <w:rPr>
          <w:rFonts w:ascii="Arial" w:hAnsi="Arial" w:cs="Arial" w:eastAsia="Arial" w:hint="default"/>
        </w:rPr>
        <w:t>2008</w:t>
      </w:r>
      <w:r>
        <w:rPr>
          <w:rFonts w:ascii="Arial" w:hAnsi="Arial" w:cs="Arial" w:eastAsia="Arial" w:hint="default"/>
          <w:spacing w:val="5"/>
        </w:rPr>
        <w:t> </w:t>
      </w:r>
      <w:r>
        <w:rPr/>
        <w:t>年度现金股利。本公司认为该等应收股利并无回收风</w:t>
      </w:r>
      <w:r>
        <w:rPr>
          <w:w w:val="99"/>
        </w:rPr>
        <w:t> </w:t>
      </w:r>
      <w:r>
        <w:rPr/>
        <w:t>险。</w:t>
      </w:r>
    </w:p>
    <w:p>
      <w:pPr>
        <w:spacing w:line="240" w:lineRule="auto" w:before="4"/>
        <w:rPr>
          <w:rFonts w:ascii="宋体" w:hAnsi="宋体" w:cs="宋体" w:eastAsia="宋体" w:hint="default"/>
          <w:sz w:val="19"/>
          <w:szCs w:val="19"/>
        </w:rPr>
      </w:pPr>
    </w:p>
    <w:p>
      <w:pPr>
        <w:pStyle w:val="BodyText"/>
        <w:tabs>
          <w:tab w:pos="799" w:val="left" w:leader="none"/>
        </w:tabs>
        <w:spacing w:line="240" w:lineRule="auto"/>
        <w:ind w:left="152" w:right="90"/>
        <w:jc w:val="left"/>
        <w:rPr>
          <w:rFonts w:ascii="黑体" w:hAnsi="黑体" w:cs="黑体" w:eastAsia="黑体" w:hint="default"/>
        </w:rPr>
      </w:pPr>
      <w:r>
        <w:rPr>
          <w:rFonts w:ascii="Arial" w:hAnsi="Arial" w:cs="Arial" w:eastAsia="Arial" w:hint="default"/>
          <w:w w:val="95"/>
        </w:rPr>
        <w:t>3</w:t>
      </w:r>
      <w:r>
        <w:rPr>
          <w:rFonts w:ascii="黑体" w:hAnsi="黑体" w:cs="黑体" w:eastAsia="黑体" w:hint="default"/>
          <w:w w:val="95"/>
        </w:rPr>
        <w:t>、</w:t>
        <w:tab/>
      </w:r>
      <w:r>
        <w:rPr>
          <w:rFonts w:ascii="黑体" w:hAnsi="黑体" w:cs="黑体" w:eastAsia="黑体" w:hint="default"/>
        </w:rPr>
        <w:t>长期股权投资</w:t>
      </w:r>
    </w:p>
    <w:p>
      <w:pPr>
        <w:spacing w:line="240" w:lineRule="auto" w:before="2"/>
        <w:rPr>
          <w:rFonts w:ascii="黑体" w:hAnsi="黑体" w:cs="黑体" w:eastAsia="黑体" w:hint="default"/>
          <w:sz w:val="19"/>
          <w:szCs w:val="19"/>
        </w:rPr>
      </w:pPr>
    </w:p>
    <w:p>
      <w:pPr>
        <w:pStyle w:val="BodyText"/>
        <w:spacing w:line="225" w:lineRule="auto"/>
        <w:ind w:left="799" w:right="171"/>
        <w:jc w:val="both"/>
      </w:pPr>
      <w:r>
        <w:rPr/>
        <w:t>本公司的长期股权投资为持有联通</w:t>
      </w:r>
      <w:r>
        <w:rPr>
          <w:spacing w:val="-61"/>
        </w:rPr>
        <w:t> </w:t>
      </w:r>
      <w:r>
        <w:rPr>
          <w:rFonts w:ascii="Arial" w:hAnsi="Arial" w:cs="Arial" w:eastAsia="Arial" w:hint="default"/>
        </w:rPr>
        <w:t>BVI</w:t>
      </w:r>
      <w:r>
        <w:rPr>
          <w:rFonts w:ascii="Arial" w:hAnsi="Arial" w:cs="Arial" w:eastAsia="Arial" w:hint="default"/>
          <w:spacing w:val="-13"/>
        </w:rPr>
        <w:t> </w:t>
      </w:r>
      <w:r>
        <w:rPr/>
        <w:t>公司的股权投资，本公司再通过联通</w:t>
      </w:r>
      <w:r>
        <w:rPr>
          <w:spacing w:val="-62"/>
        </w:rPr>
        <w:t> </w:t>
      </w:r>
      <w:r>
        <w:rPr>
          <w:rFonts w:ascii="Arial" w:hAnsi="Arial" w:cs="Arial" w:eastAsia="Arial" w:hint="default"/>
        </w:rPr>
        <w:t>BVI</w:t>
      </w:r>
      <w:r>
        <w:rPr>
          <w:rFonts w:ascii="Arial" w:hAnsi="Arial" w:cs="Arial" w:eastAsia="Arial" w:hint="default"/>
          <w:spacing w:val="-12"/>
        </w:rPr>
        <w:t> </w:t>
      </w:r>
      <w:r>
        <w:rPr/>
        <w:t>公司间接拥</w:t>
      </w:r>
      <w:r>
        <w:rPr>
          <w:w w:val="99"/>
        </w:rPr>
        <w:t> </w:t>
      </w:r>
      <w:r>
        <w:rPr/>
        <w:t>有对联通红筹公司及其子公司的投资。于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日，本公司对联通</w:t>
      </w:r>
      <w:r>
        <w:rPr>
          <w:spacing w:val="-56"/>
        </w:rPr>
        <w:t> </w:t>
      </w:r>
      <w:r>
        <w:rPr>
          <w:rFonts w:ascii="Arial" w:hAnsi="Arial" w:cs="Arial" w:eastAsia="Arial" w:hint="default"/>
        </w:rPr>
        <w:t>BVI</w:t>
      </w:r>
      <w:r>
        <w:rPr>
          <w:rFonts w:ascii="Arial" w:hAnsi="Arial" w:cs="Arial" w:eastAsia="Arial" w:hint="default"/>
          <w:spacing w:val="-7"/>
        </w:rPr>
        <w:t> </w:t>
      </w:r>
      <w:r>
        <w:rPr/>
        <w:t>公司的长</w:t>
      </w:r>
      <w:r>
        <w:rPr>
          <w:w w:val="99"/>
        </w:rPr>
        <w:t> </w:t>
      </w:r>
      <w:r>
        <w:rPr/>
        <w:t>期股权投资明细如下：</w:t>
      </w:r>
    </w:p>
    <w:p>
      <w:pPr>
        <w:spacing w:line="240" w:lineRule="auto" w:before="4"/>
        <w:rPr>
          <w:rFonts w:ascii="宋体" w:hAnsi="宋体" w:cs="宋体" w:eastAsia="宋体" w:hint="default"/>
          <w:sz w:val="19"/>
          <w:szCs w:val="19"/>
        </w:rPr>
      </w:pPr>
    </w:p>
    <w:p>
      <w:pPr>
        <w:pStyle w:val="BodyText"/>
        <w:tabs>
          <w:tab w:pos="4227" w:val="left" w:leader="none"/>
        </w:tabs>
        <w:spacing w:line="240" w:lineRule="auto"/>
        <w:ind w:left="2525" w:right="90"/>
        <w:jc w:val="left"/>
      </w:pPr>
      <w:r>
        <w:rPr>
          <w:w w:val="95"/>
        </w:rPr>
        <w:t>初始投资成本</w:t>
        <w:tab/>
      </w:r>
      <w:r>
        <w:rPr>
          <w:rFonts w:ascii="Arial" w:hAnsi="Arial" w:cs="Arial" w:eastAsia="Arial" w:hint="default"/>
        </w:rPr>
        <w:t>2008</w:t>
      </w:r>
      <w:r>
        <w:rPr>
          <w:rFonts w:ascii="Arial" w:hAnsi="Arial" w:cs="Arial" w:eastAsia="Arial" w:hint="default"/>
          <w:spacing w:val="-18"/>
        </w:rPr>
        <w:t> </w:t>
      </w:r>
      <w:r>
        <w:rPr/>
        <w:t>年</w:t>
      </w:r>
      <w:r>
        <w:rPr>
          <w:spacing w:val="-67"/>
        </w:rPr>
        <w:t> </w:t>
      </w:r>
      <w:r>
        <w:rPr>
          <w:rFonts w:ascii="Arial" w:hAnsi="Arial" w:cs="Arial" w:eastAsia="Arial" w:hint="default"/>
        </w:rPr>
        <w:t>12</w:t>
      </w:r>
      <w:r>
        <w:rPr>
          <w:rFonts w:ascii="Arial" w:hAnsi="Arial" w:cs="Arial" w:eastAsia="Arial" w:hint="default"/>
          <w:spacing w:val="-18"/>
        </w:rPr>
        <w:t> </w:t>
      </w:r>
      <w:r>
        <w:rPr/>
        <w:t>月</w:t>
      </w:r>
      <w:r>
        <w:rPr>
          <w:spacing w:val="-67"/>
        </w:rPr>
        <w:t> </w:t>
      </w:r>
      <w:r>
        <w:rPr>
          <w:rFonts w:ascii="Arial" w:hAnsi="Arial" w:cs="Arial" w:eastAsia="Arial" w:hint="default"/>
        </w:rPr>
        <w:t>31</w:t>
      </w:r>
      <w:r>
        <w:rPr>
          <w:rFonts w:ascii="Arial" w:hAnsi="Arial" w:cs="Arial" w:eastAsia="Arial" w:hint="default"/>
          <w:spacing w:val="-18"/>
        </w:rPr>
        <w:t> </w:t>
      </w:r>
      <w:r>
        <w:rPr/>
        <w:t>日</w:t>
      </w:r>
      <w:r>
        <w:rPr>
          <w:spacing w:val="71"/>
        </w:rPr>
        <w:t> </w:t>
      </w:r>
      <w:r>
        <w:rPr/>
        <w:t>本年增减变动</w:t>
      </w:r>
      <w:r>
        <w:rPr>
          <w:spacing w:val="29"/>
        </w:rPr>
        <w:t> </w:t>
      </w:r>
      <w:r>
        <w:rPr>
          <w:rFonts w:ascii="Arial" w:hAnsi="Arial" w:cs="Arial" w:eastAsia="Arial" w:hint="default"/>
        </w:rPr>
        <w:t>2009</w:t>
      </w:r>
      <w:r>
        <w:rPr>
          <w:rFonts w:ascii="Arial" w:hAnsi="Arial" w:cs="Arial" w:eastAsia="Arial" w:hint="default"/>
          <w:spacing w:val="-21"/>
        </w:rPr>
        <w:t> </w:t>
      </w:r>
      <w:r>
        <w:rPr/>
        <w:t>年</w:t>
      </w:r>
      <w:r>
        <w:rPr>
          <w:spacing w:val="-71"/>
        </w:rPr>
        <w:t> </w:t>
      </w:r>
      <w:r>
        <w:rPr>
          <w:rFonts w:ascii="Arial" w:hAnsi="Arial" w:cs="Arial" w:eastAsia="Arial" w:hint="default"/>
        </w:rPr>
        <w:t>12</w:t>
      </w:r>
      <w:r>
        <w:rPr>
          <w:rFonts w:ascii="Arial" w:hAnsi="Arial" w:cs="Arial" w:eastAsia="Arial" w:hint="default"/>
          <w:spacing w:val="-20"/>
        </w:rPr>
        <w:t> </w:t>
      </w:r>
      <w:r>
        <w:rPr/>
        <w:t>月</w:t>
      </w:r>
      <w:r>
        <w:rPr>
          <w:spacing w:val="-71"/>
        </w:rPr>
        <w:t> </w:t>
      </w:r>
      <w:r>
        <w:rPr>
          <w:rFonts w:ascii="Arial" w:hAnsi="Arial" w:cs="Arial" w:eastAsia="Arial" w:hint="default"/>
        </w:rPr>
        <w:t>31</w:t>
      </w:r>
      <w:r>
        <w:rPr>
          <w:rFonts w:ascii="Arial" w:hAnsi="Arial" w:cs="Arial" w:eastAsia="Arial" w:hint="default"/>
          <w:spacing w:val="-22"/>
        </w:rPr>
        <w:t> </w:t>
      </w:r>
      <w:r>
        <w:rPr/>
        <w:t>日</w:t>
      </w:r>
    </w:p>
    <w:p>
      <w:pPr>
        <w:spacing w:line="20" w:lineRule="exact"/>
        <w:ind w:left="2297" w:right="0" w:firstLine="0"/>
        <w:rPr>
          <w:rFonts w:ascii="宋体" w:hAnsi="宋体" w:cs="宋体" w:eastAsia="宋体" w:hint="default"/>
          <w:sz w:val="2"/>
          <w:szCs w:val="2"/>
        </w:rPr>
      </w:pPr>
      <w:r>
        <w:rPr>
          <w:rFonts w:ascii="宋体"/>
          <w:sz w:val="2"/>
        </w:rPr>
        <w:pict>
          <v:group style="width:88.3pt;height:.75pt;mso-position-horizontal-relative:char;mso-position-vertical-relative:line" coordorigin="0,0" coordsize="1766,15">
            <v:group style="position:absolute;left:7;top:7;width:1751;height:2" coordorigin="7,7" coordsize="1751,2">
              <v:shape style="position:absolute;left:7;top:7;width:1751;height:2" coordorigin="7,7" coordsize="1751,0" path="m7,7l1758,7e" filled="false" stroked="true" strokeweight=".72pt" strokecolor="#000000">
                <v:path arrowok="t"/>
              </v:shape>
            </v:group>
          </v:group>
        </w:pict>
      </w:r>
      <w:r>
        <w:rPr>
          <w:rFonts w:ascii="宋体"/>
          <w:sz w:val="2"/>
        </w:rPr>
      </w:r>
      <w:r>
        <w:rPr>
          <w:rFonts w:ascii="Times New Roman"/>
          <w:spacing w:val="68"/>
          <w:sz w:val="2"/>
        </w:rPr>
        <w:t> </w:t>
      </w:r>
      <w:r>
        <w:rPr>
          <w:rFonts w:ascii="宋体"/>
          <w:spacing w:val="68"/>
          <w:sz w:val="2"/>
        </w:rPr>
        <w:pict>
          <v:group style="width:99.45pt;height:.75pt;mso-position-horizontal-relative:char;mso-position-vertical-relative:line" coordorigin="0,0" coordsize="1989,15">
            <v:group style="position:absolute;left:7;top:7;width:1974;height:2" coordorigin="7,7" coordsize="1974,2">
              <v:shape style="position:absolute;left:7;top:7;width:1974;height:2" coordorigin="7,7" coordsize="1974,0" path="m7,7l1981,7e" filled="false" stroked="true" strokeweight=".72pt" strokecolor="#000000">
                <v:path arrowok="t"/>
              </v:shape>
            </v:group>
          </v:group>
        </w:pict>
      </w:r>
      <w:r>
        <w:rPr>
          <w:rFonts w:ascii="宋体"/>
          <w:spacing w:val="68"/>
          <w:sz w:val="2"/>
        </w:rPr>
      </w:r>
      <w:r>
        <w:rPr>
          <w:rFonts w:ascii="Times New Roman"/>
          <w:spacing w:val="74"/>
          <w:sz w:val="2"/>
        </w:rPr>
        <w:t> </w:t>
      </w:r>
      <w:r>
        <w:rPr>
          <w:rFonts w:ascii="宋体"/>
          <w:spacing w:val="74"/>
          <w:sz w:val="2"/>
        </w:rPr>
        <w:pict>
          <v:group style="width:71.8pt;height:.75pt;mso-position-horizontal-relative:char;mso-position-vertical-relative:line" coordorigin="0,0" coordsize="1436,15">
            <v:group style="position:absolute;left:7;top:7;width:1421;height:2" coordorigin="7,7" coordsize="1421,2">
              <v:shape style="position:absolute;left:7;top:7;width:1421;height:2" coordorigin="7,7" coordsize="1421,0" path="m7,7l1428,7e" filled="false" stroked="true" strokeweight=".72pt" strokecolor="#000000">
                <v:path arrowok="t"/>
              </v:shape>
            </v:group>
          </v:group>
        </w:pict>
      </w:r>
      <w:r>
        <w:rPr>
          <w:rFonts w:ascii="宋体"/>
          <w:spacing w:val="74"/>
          <w:sz w:val="2"/>
        </w:rPr>
      </w:r>
      <w:r>
        <w:rPr>
          <w:rFonts w:ascii="Times New Roman"/>
          <w:spacing w:val="68"/>
          <w:sz w:val="2"/>
        </w:rPr>
        <w:t> </w:t>
      </w:r>
      <w:r>
        <w:rPr>
          <w:rFonts w:ascii="宋体"/>
          <w:spacing w:val="68"/>
          <w:sz w:val="2"/>
        </w:rPr>
        <w:pict>
          <v:group style="width:94.7pt;height:.75pt;mso-position-horizontal-relative:char;mso-position-vertical-relative:line" coordorigin="0,0" coordsize="1894,15">
            <v:group style="position:absolute;left:7;top:7;width:1880;height:2" coordorigin="7,7" coordsize="1880,2">
              <v:shape style="position:absolute;left:7;top:7;width:1880;height:2" coordorigin="7,7" coordsize="1880,0" path="m7,7l1886,7e" filled="false" stroked="true" strokeweight=".72pt" strokecolor="#000000">
                <v:path arrowok="t"/>
              </v:shape>
            </v:group>
          </v:group>
        </w:pict>
      </w:r>
      <w:r>
        <w:rPr>
          <w:rFonts w:ascii="宋体"/>
          <w:spacing w:val="68"/>
          <w:sz w:val="2"/>
        </w:rPr>
      </w:r>
    </w:p>
    <w:p>
      <w:pPr>
        <w:spacing w:line="240" w:lineRule="auto" w:before="2"/>
        <w:rPr>
          <w:rFonts w:ascii="宋体" w:hAnsi="宋体" w:cs="宋体" w:eastAsia="宋体" w:hint="default"/>
          <w:sz w:val="15"/>
          <w:szCs w:val="15"/>
        </w:rPr>
      </w:pPr>
    </w:p>
    <w:p>
      <w:pPr>
        <w:pStyle w:val="BodyText"/>
        <w:tabs>
          <w:tab w:pos="2406" w:val="left" w:leader="none"/>
          <w:tab w:pos="4548" w:val="left" w:leader="none"/>
          <w:tab w:pos="7425" w:val="left" w:leader="none"/>
          <w:tab w:pos="7985" w:val="left" w:leader="none"/>
        </w:tabs>
        <w:spacing w:line="240" w:lineRule="auto" w:before="27"/>
        <w:ind w:left="814" w:right="90"/>
        <w:jc w:val="left"/>
        <w:rPr>
          <w:rFonts w:ascii="Arial" w:hAnsi="Arial" w:cs="Arial" w:eastAsia="Arial" w:hint="default"/>
        </w:rPr>
      </w:pPr>
      <w:r>
        <w:rPr>
          <w:position w:val="2"/>
        </w:rPr>
        <w:t>联通</w:t>
      </w:r>
      <w:r>
        <w:rPr>
          <w:spacing w:val="-56"/>
          <w:position w:val="2"/>
        </w:rPr>
        <w:t> </w:t>
      </w:r>
      <w:r>
        <w:rPr>
          <w:rFonts w:ascii="Arial" w:hAnsi="Arial" w:cs="Arial" w:eastAsia="Arial" w:hint="default"/>
          <w:spacing w:val="-1"/>
          <w:position w:val="2"/>
        </w:rPr>
        <w:t>BVI</w:t>
      </w:r>
      <w:r>
        <w:rPr>
          <w:rFonts w:ascii="Arial" w:hAnsi="Arial" w:cs="Arial" w:eastAsia="Arial" w:hint="default"/>
          <w:spacing w:val="-7"/>
          <w:position w:val="2"/>
        </w:rPr>
        <w:t> </w:t>
      </w:r>
      <w:r>
        <w:rPr>
          <w:position w:val="2"/>
        </w:rPr>
        <w:t>公司</w:t>
        <w:tab/>
      </w:r>
      <w:r>
        <w:rPr>
          <w:rFonts w:ascii="Arial" w:hAnsi="Arial" w:cs="Arial" w:eastAsia="Arial" w:hint="default"/>
          <w:spacing w:val="-1"/>
        </w:rPr>
        <w:t>38,538,133,791</w:t>
        <w:tab/>
        <w:t>38,538,133,791</w:t>
        <w:tab/>
      </w:r>
      <w:r>
        <w:rPr>
          <w:rFonts w:ascii="Arial" w:hAnsi="Arial" w:cs="Arial" w:eastAsia="Arial" w:hint="default"/>
          <w:w w:val="95"/>
        </w:rPr>
        <w:t>-</w:t>
        <w:tab/>
      </w:r>
      <w:r>
        <w:rPr>
          <w:rFonts w:ascii="Arial" w:hAnsi="Arial" w:cs="Arial" w:eastAsia="Arial" w:hint="default"/>
          <w:spacing w:val="-1"/>
        </w:rPr>
        <w:t>38,538,133,791</w:t>
      </w:r>
    </w:p>
    <w:p>
      <w:pPr>
        <w:spacing w:line="43" w:lineRule="exact"/>
        <w:ind w:left="2290" w:right="0" w:firstLine="0"/>
        <w:rPr>
          <w:rFonts w:ascii="Arial" w:hAnsi="Arial" w:cs="Arial" w:eastAsia="Arial" w:hint="default"/>
          <w:sz w:val="4"/>
          <w:szCs w:val="4"/>
        </w:rPr>
      </w:pPr>
      <w:r>
        <w:rPr>
          <w:rFonts w:ascii="Arial"/>
          <w:position w:val="0"/>
          <w:sz w:val="4"/>
        </w:rPr>
        <w:pict>
          <v:group style="width:192.25pt;height:2.2pt;mso-position-horizontal-relative:char;mso-position-vertical-relative:line" coordorigin="0,0" coordsize="3845,44">
            <v:group style="position:absolute;left:7;top:36;width:1766;height:2" coordorigin="7,36" coordsize="1766,2">
              <v:shape style="position:absolute;left:7;top:36;width:1766;height:2" coordorigin="7,36" coordsize="1766,0" path="m7,36l1772,36e" filled="false" stroked="true" strokeweight=".72pt" strokecolor="#000000">
                <v:path arrowok="t"/>
              </v:shape>
            </v:group>
            <v:group style="position:absolute;left:7;top:7;width:1766;height:2" coordorigin="7,7" coordsize="1766,2">
              <v:shape style="position:absolute;left:7;top:7;width:1766;height:2" coordorigin="7,7" coordsize="1766,0" path="m7,7l1772,7e" filled="false" stroked="true" strokeweight=".72pt" strokecolor="#000000">
                <v:path arrowok="t"/>
              </v:shape>
            </v:group>
            <v:group style="position:absolute;left:1849;top:36;width:1989;height:2" coordorigin="1849,36" coordsize="1989,2">
              <v:shape style="position:absolute;left:1849;top:36;width:1989;height:2" coordorigin="1849,36" coordsize="1989,0" path="m1849,36l3838,36e" filled="false" stroked="true" strokeweight=".72pt" strokecolor="#000000">
                <v:path arrowok="t"/>
              </v:shape>
            </v:group>
            <v:group style="position:absolute;left:1849;top:7;width:1989;height:2" coordorigin="1849,7" coordsize="1989,2">
              <v:shape style="position:absolute;left:1849;top:7;width:1989;height:2" coordorigin="1849,7" coordsize="1989,0" path="m1849,7l3838,7e" filled="false" stroked="true" strokeweight=".72pt" strokecolor="#000000">
                <v:path arrowok="t"/>
              </v:shape>
            </v:group>
          </v:group>
        </w:pict>
      </w:r>
      <w:r>
        <w:rPr>
          <w:rFonts w:ascii="Arial"/>
          <w:position w:val="0"/>
          <w:sz w:val="4"/>
        </w:rPr>
      </w:r>
      <w:r>
        <w:rPr>
          <w:rFonts w:ascii="Times New Roman"/>
          <w:spacing w:val="53"/>
          <w:position w:val="0"/>
          <w:sz w:val="4"/>
        </w:rPr>
        <w:t> </w:t>
      </w:r>
      <w:r>
        <w:rPr>
          <w:rFonts w:ascii="Arial"/>
          <w:spacing w:val="53"/>
          <w:position w:val="0"/>
          <w:sz w:val="4"/>
        </w:rPr>
        <w:pict>
          <v:group style="width:171pt;height:2.2pt;mso-position-horizontal-relative:char;mso-position-vertical-relative:line" coordorigin="0,0" coordsize="3420,44">
            <v:group style="position:absolute;left:7;top:36;width:1436;height:2" coordorigin="7,36" coordsize="1436,2">
              <v:shape style="position:absolute;left:7;top:36;width:1436;height:2" coordorigin="7,36" coordsize="1436,0" path="m7,36l1442,36e" filled="false" stroked="true" strokeweight=".72pt" strokecolor="#000000">
                <v:path arrowok="t"/>
              </v:shape>
            </v:group>
            <v:group style="position:absolute;left:7;top:7;width:1436;height:2" coordorigin="7,7" coordsize="1436,2">
              <v:shape style="position:absolute;left:7;top:7;width:1436;height:2" coordorigin="7,7" coordsize="1436,0" path="m7,7l1442,7e" filled="false" stroked="true" strokeweight=".72pt" strokecolor="#000000">
                <v:path arrowok="t"/>
              </v:shape>
            </v:group>
            <v:group style="position:absolute;left:1519;top:36;width:1894;height:2" coordorigin="1519,36" coordsize="1894,2">
              <v:shape style="position:absolute;left:1519;top:36;width:1894;height:2" coordorigin="1519,36" coordsize="1894,0" path="m1519,36l3413,36e" filled="false" stroked="true" strokeweight=".72pt" strokecolor="#000000">
                <v:path arrowok="t"/>
              </v:shape>
            </v:group>
            <v:group style="position:absolute;left:1519;top:7;width:1894;height:2" coordorigin="1519,7" coordsize="1894,2">
              <v:shape style="position:absolute;left:1519;top:7;width:1894;height:2" coordorigin="1519,7" coordsize="1894,0" path="m1519,7l3413,7e" filled="false" stroked="true" strokeweight=".72pt" strokecolor="#000000">
                <v:path arrowok="t"/>
              </v:shape>
            </v:group>
          </v:group>
        </w:pict>
      </w:r>
      <w:r>
        <w:rPr>
          <w:rFonts w:ascii="Arial"/>
          <w:spacing w:val="53"/>
          <w:position w:val="0"/>
          <w:sz w:val="4"/>
        </w:rPr>
      </w:r>
    </w:p>
    <w:p>
      <w:pPr>
        <w:spacing w:line="240" w:lineRule="auto" w:before="3"/>
        <w:rPr>
          <w:rFonts w:ascii="Arial" w:hAnsi="Arial" w:cs="Arial" w:eastAsia="Arial" w:hint="default"/>
          <w:sz w:val="16"/>
          <w:szCs w:val="16"/>
        </w:rPr>
      </w:pPr>
    </w:p>
    <w:p>
      <w:pPr>
        <w:spacing w:after="0" w:line="240" w:lineRule="auto"/>
        <w:rPr>
          <w:rFonts w:ascii="Arial" w:hAnsi="Arial" w:cs="Arial" w:eastAsia="Arial" w:hint="default"/>
          <w:sz w:val="16"/>
          <w:szCs w:val="16"/>
        </w:rPr>
        <w:sectPr>
          <w:headerReference w:type="default" r:id="rId146"/>
          <w:pgSz w:w="11910" w:h="16840"/>
          <w:pgMar w:header="1330" w:footer="1042" w:top="2680" w:bottom="1240" w:left="1240" w:right="860"/>
        </w:sectPr>
      </w:pPr>
    </w:p>
    <w:p>
      <w:pPr>
        <w:spacing w:line="240" w:lineRule="auto" w:before="11"/>
        <w:rPr>
          <w:rFonts w:ascii="Arial" w:hAnsi="Arial" w:cs="Arial" w:eastAsia="Arial" w:hint="default"/>
          <w:sz w:val="31"/>
          <w:szCs w:val="31"/>
        </w:rPr>
      </w:pPr>
    </w:p>
    <w:p>
      <w:pPr>
        <w:tabs>
          <w:tab w:pos="3319" w:val="left" w:leader="none"/>
        </w:tabs>
        <w:spacing w:line="242" w:lineRule="exact" w:before="0"/>
        <w:ind w:left="2275" w:right="0" w:firstLine="0"/>
        <w:jc w:val="left"/>
        <w:rPr>
          <w:rFonts w:ascii="Arial" w:hAnsi="Arial" w:cs="Arial" w:eastAsia="Arial" w:hint="default"/>
          <w:sz w:val="20"/>
          <w:szCs w:val="20"/>
        </w:rPr>
      </w:pPr>
      <w:r>
        <w:rPr>
          <w:rFonts w:ascii="宋体" w:hAnsi="宋体" w:cs="宋体" w:eastAsia="宋体" w:hint="default"/>
          <w:position w:val="3"/>
          <w:sz w:val="20"/>
          <w:szCs w:val="20"/>
        </w:rPr>
        <w:t>核算</w:t>
      </w:r>
      <w:r>
        <w:rPr>
          <w:rFonts w:ascii="宋体" w:hAnsi="宋体" w:cs="宋体" w:eastAsia="宋体" w:hint="default"/>
          <w:spacing w:val="55"/>
          <w:position w:val="3"/>
          <w:sz w:val="20"/>
          <w:szCs w:val="20"/>
        </w:rPr>
        <w:t> </w:t>
      </w:r>
      <w:r>
        <w:rPr>
          <w:rFonts w:ascii="宋体" w:hAnsi="宋体" w:cs="宋体" w:eastAsia="宋体" w:hint="default"/>
          <w:sz w:val="20"/>
          <w:szCs w:val="20"/>
        </w:rPr>
        <w:t>持股比例</w:t>
      </w:r>
      <w:r>
        <w:rPr>
          <w:rFonts w:ascii="宋体" w:hAnsi="宋体" w:cs="宋体" w:eastAsia="宋体" w:hint="default"/>
          <w:w w:val="100"/>
          <w:sz w:val="20"/>
          <w:szCs w:val="20"/>
        </w:rPr>
        <w:t> </w:t>
      </w:r>
      <w:r>
        <w:rPr>
          <w:rFonts w:ascii="宋体" w:hAnsi="宋体" w:cs="宋体" w:eastAsia="宋体" w:hint="default"/>
          <w:position w:val="1"/>
          <w:sz w:val="20"/>
          <w:szCs w:val="20"/>
        </w:rPr>
        <w:t>方法</w:t>
        <w:tab/>
      </w:r>
      <w:r>
        <w:rPr>
          <w:rFonts w:ascii="Arial" w:hAnsi="Arial" w:cs="Arial" w:eastAsia="Arial" w:hint="default"/>
          <w:sz w:val="20"/>
          <w:szCs w:val="20"/>
        </w:rPr>
        <w:t>(%)</w:t>
      </w:r>
    </w:p>
    <w:p>
      <w:pPr>
        <w:spacing w:line="240" w:lineRule="auto" w:before="6"/>
        <w:rPr>
          <w:rFonts w:ascii="Arial" w:hAnsi="Arial" w:cs="Arial" w:eastAsia="Arial" w:hint="default"/>
          <w:sz w:val="28"/>
          <w:szCs w:val="28"/>
        </w:rPr>
      </w:pPr>
      <w:r>
        <w:rPr/>
        <w:br w:type="column"/>
      </w:r>
      <w:r>
        <w:rPr>
          <w:rFonts w:ascii="Arial"/>
          <w:sz w:val="28"/>
        </w:rPr>
      </w:r>
    </w:p>
    <w:p>
      <w:pPr>
        <w:spacing w:before="0"/>
        <w:ind w:left="0" w:right="0" w:firstLine="0"/>
        <w:jc w:val="right"/>
        <w:rPr>
          <w:rFonts w:ascii="宋体" w:hAnsi="宋体" w:cs="宋体" w:eastAsia="宋体" w:hint="default"/>
          <w:sz w:val="20"/>
          <w:szCs w:val="20"/>
        </w:rPr>
      </w:pPr>
      <w:r>
        <w:rPr>
          <w:rFonts w:ascii="宋体" w:hAnsi="宋体" w:cs="宋体" w:eastAsia="宋体" w:hint="default"/>
          <w:spacing w:val="-1"/>
          <w:sz w:val="20"/>
          <w:szCs w:val="20"/>
        </w:rPr>
        <w:t>表决权比例</w:t>
      </w:r>
    </w:p>
    <w:p>
      <w:pPr>
        <w:spacing w:before="26"/>
        <w:ind w:left="0" w:right="0" w:firstLine="0"/>
        <w:jc w:val="right"/>
        <w:rPr>
          <w:rFonts w:ascii="Arial" w:hAnsi="Arial" w:cs="Arial" w:eastAsia="Arial" w:hint="default"/>
          <w:sz w:val="20"/>
          <w:szCs w:val="20"/>
        </w:rPr>
      </w:pPr>
      <w:r>
        <w:rPr>
          <w:rFonts w:ascii="Arial"/>
          <w:spacing w:val="-1"/>
          <w:sz w:val="20"/>
        </w:rPr>
        <w:t>(%)</w:t>
      </w:r>
    </w:p>
    <w:p>
      <w:pPr>
        <w:spacing w:line="260" w:lineRule="exact" w:before="64"/>
        <w:ind w:left="108" w:right="861" w:firstLine="0"/>
        <w:jc w:val="left"/>
        <w:rPr>
          <w:rFonts w:ascii="宋体" w:hAnsi="宋体" w:cs="宋体" w:eastAsia="宋体" w:hint="default"/>
          <w:sz w:val="20"/>
          <w:szCs w:val="20"/>
        </w:rPr>
      </w:pPr>
      <w:r>
        <w:rPr/>
        <w:br w:type="column"/>
      </w:r>
      <w:r>
        <w:rPr>
          <w:rFonts w:ascii="宋体" w:hAnsi="宋体" w:cs="宋体" w:eastAsia="宋体" w:hint="default"/>
          <w:sz w:val="20"/>
          <w:szCs w:val="20"/>
        </w:rPr>
        <w:t>持股比例与表</w:t>
      </w:r>
      <w:r>
        <w:rPr>
          <w:rFonts w:ascii="宋体" w:hAnsi="宋体" w:cs="宋体" w:eastAsia="宋体" w:hint="default"/>
          <w:w w:val="100"/>
          <w:sz w:val="20"/>
          <w:szCs w:val="20"/>
        </w:rPr>
        <w:t> </w:t>
      </w:r>
      <w:r>
        <w:rPr>
          <w:rFonts w:ascii="宋体" w:hAnsi="宋体" w:cs="宋体" w:eastAsia="宋体" w:hint="default"/>
          <w:sz w:val="20"/>
          <w:szCs w:val="20"/>
        </w:rPr>
        <w:t>决权比例不一</w:t>
      </w:r>
    </w:p>
    <w:p>
      <w:pPr>
        <w:spacing w:line="235" w:lineRule="exact" w:before="0"/>
        <w:ind w:left="507" w:right="-20" w:firstLine="0"/>
        <w:jc w:val="left"/>
        <w:rPr>
          <w:rFonts w:ascii="宋体" w:hAnsi="宋体" w:cs="宋体" w:eastAsia="宋体" w:hint="default"/>
          <w:sz w:val="20"/>
          <w:szCs w:val="20"/>
        </w:rPr>
      </w:pPr>
      <w:r>
        <w:rPr>
          <w:rFonts w:ascii="宋体" w:hAnsi="宋体" w:cs="宋体" w:eastAsia="宋体" w:hint="default"/>
          <w:sz w:val="20"/>
          <w:szCs w:val="20"/>
        </w:rPr>
        <w:t>致的说明</w:t>
      </w:r>
      <w:r>
        <w:rPr>
          <w:rFonts w:ascii="宋体" w:hAnsi="宋体" w:cs="宋体" w:eastAsia="宋体" w:hint="default"/>
          <w:spacing w:val="-18"/>
          <w:sz w:val="20"/>
          <w:szCs w:val="20"/>
        </w:rPr>
        <w:t> </w:t>
      </w:r>
      <w:r>
        <w:rPr>
          <w:rFonts w:ascii="宋体" w:hAnsi="宋体" w:cs="宋体" w:eastAsia="宋体" w:hint="default"/>
          <w:sz w:val="20"/>
          <w:szCs w:val="20"/>
        </w:rPr>
        <w:t>减值准备</w:t>
      </w:r>
    </w:p>
    <w:p>
      <w:pPr>
        <w:spacing w:line="240" w:lineRule="auto" w:before="9"/>
        <w:rPr>
          <w:rFonts w:ascii="宋体" w:hAnsi="宋体" w:cs="宋体" w:eastAsia="宋体" w:hint="default"/>
          <w:sz w:val="24"/>
          <w:szCs w:val="24"/>
        </w:rPr>
      </w:pPr>
      <w:r>
        <w:rPr/>
        <w:br w:type="column"/>
      </w:r>
      <w:r>
        <w:rPr>
          <w:rFonts w:ascii="宋体"/>
          <w:sz w:val="24"/>
        </w:rPr>
      </w:r>
    </w:p>
    <w:p>
      <w:pPr>
        <w:spacing w:line="260" w:lineRule="exact" w:before="0"/>
        <w:ind w:left="250" w:right="-19" w:firstLine="0"/>
        <w:jc w:val="left"/>
        <w:rPr>
          <w:rFonts w:ascii="宋体" w:hAnsi="宋体" w:cs="宋体" w:eastAsia="宋体" w:hint="default"/>
          <w:sz w:val="20"/>
          <w:szCs w:val="20"/>
        </w:rPr>
      </w:pPr>
      <w:r>
        <w:rPr>
          <w:rFonts w:ascii="宋体" w:hAnsi="宋体" w:cs="宋体" w:eastAsia="宋体" w:hint="default"/>
          <w:sz w:val="20"/>
          <w:szCs w:val="20"/>
        </w:rPr>
        <w:t>本年计提</w:t>
      </w:r>
      <w:r>
        <w:rPr>
          <w:rFonts w:ascii="宋体" w:hAnsi="宋体" w:cs="宋体" w:eastAsia="宋体" w:hint="default"/>
          <w:w w:val="100"/>
          <w:sz w:val="20"/>
          <w:szCs w:val="20"/>
        </w:rPr>
        <w:t> </w:t>
      </w:r>
      <w:r>
        <w:rPr>
          <w:rFonts w:ascii="宋体" w:hAnsi="宋体" w:cs="宋体" w:eastAsia="宋体" w:hint="default"/>
          <w:sz w:val="20"/>
          <w:szCs w:val="20"/>
        </w:rPr>
        <w:t>减值准备</w:t>
      </w:r>
    </w:p>
    <w:p>
      <w:pPr>
        <w:spacing w:line="240" w:lineRule="auto" w:before="10"/>
        <w:rPr>
          <w:rFonts w:ascii="宋体" w:hAnsi="宋体" w:cs="宋体" w:eastAsia="宋体" w:hint="default"/>
          <w:sz w:val="22"/>
          <w:szCs w:val="22"/>
        </w:rPr>
      </w:pPr>
      <w:r>
        <w:rPr/>
        <w:br w:type="column"/>
      </w:r>
      <w:r>
        <w:rPr>
          <w:rFonts w:ascii="宋体"/>
          <w:sz w:val="22"/>
        </w:rPr>
      </w:r>
    </w:p>
    <w:p>
      <w:pPr>
        <w:spacing w:line="260" w:lineRule="exact" w:before="0"/>
        <w:ind w:left="84" w:right="0" w:firstLine="0"/>
        <w:jc w:val="left"/>
        <w:rPr>
          <w:rFonts w:ascii="宋体" w:hAnsi="宋体" w:cs="宋体" w:eastAsia="宋体" w:hint="default"/>
          <w:sz w:val="20"/>
          <w:szCs w:val="20"/>
        </w:rPr>
      </w:pPr>
      <w:r>
        <w:rPr>
          <w:rFonts w:ascii="宋体" w:hAnsi="宋体" w:cs="宋体" w:eastAsia="宋体" w:hint="default"/>
          <w:sz w:val="20"/>
          <w:szCs w:val="20"/>
        </w:rPr>
        <w:t>本年宣告分派的</w:t>
      </w:r>
    </w:p>
    <w:p>
      <w:pPr>
        <w:spacing w:line="260" w:lineRule="exact" w:before="0"/>
        <w:ind w:left="683" w:right="0" w:firstLine="0"/>
        <w:jc w:val="left"/>
        <w:rPr>
          <w:rFonts w:ascii="宋体" w:hAnsi="宋体" w:cs="宋体" w:eastAsia="宋体" w:hint="default"/>
          <w:sz w:val="20"/>
          <w:szCs w:val="20"/>
        </w:rPr>
      </w:pPr>
      <w:r>
        <w:rPr>
          <w:rFonts w:ascii="宋体" w:hAnsi="宋体" w:cs="宋体" w:eastAsia="宋体" w:hint="default"/>
          <w:sz w:val="20"/>
          <w:szCs w:val="20"/>
        </w:rPr>
        <w:t>现金股利</w:t>
      </w:r>
    </w:p>
    <w:p>
      <w:pPr>
        <w:spacing w:after="0" w:line="260" w:lineRule="exact"/>
        <w:jc w:val="left"/>
        <w:rPr>
          <w:rFonts w:ascii="宋体" w:hAnsi="宋体" w:cs="宋体" w:eastAsia="宋体" w:hint="default"/>
          <w:sz w:val="20"/>
          <w:szCs w:val="20"/>
        </w:rPr>
        <w:sectPr>
          <w:type w:val="continuous"/>
          <w:pgSz w:w="11910" w:h="16840"/>
          <w:pgMar w:top="1600" w:bottom="280" w:left="1240" w:right="860"/>
          <w:cols w:num="5" w:equalWidth="0">
            <w:col w:w="3632" w:space="40"/>
            <w:col w:w="1075" w:space="40"/>
            <w:col w:w="2190" w:space="40"/>
            <w:col w:w="1052" w:space="40"/>
            <w:col w:w="1701"/>
          </w:cols>
        </w:sectPr>
      </w:pPr>
    </w:p>
    <w:p>
      <w:pPr>
        <w:spacing w:line="20" w:lineRule="exact"/>
        <w:ind w:left="2045" w:right="0" w:firstLine="0"/>
        <w:rPr>
          <w:rFonts w:ascii="宋体" w:hAnsi="宋体" w:cs="宋体" w:eastAsia="宋体" w:hint="default"/>
          <w:sz w:val="2"/>
          <w:szCs w:val="2"/>
        </w:rPr>
      </w:pPr>
      <w:r>
        <w:rPr>
          <w:rFonts w:ascii="宋体" w:hAnsi="宋体" w:cs="宋体" w:eastAsia="宋体" w:hint="default"/>
          <w:sz w:val="2"/>
          <w:szCs w:val="2"/>
        </w:rPr>
        <w:pict>
          <v:group style="width:378pt;height:.75pt;mso-position-horizontal-relative:char;mso-position-vertical-relative:line" coordorigin="0,0" coordsize="7560,15">
            <v:group style="position:absolute;left:7;top:7;width:659;height:2" coordorigin="7,7" coordsize="659,2">
              <v:shape style="position:absolute;left:7;top:7;width:659;height:2" coordorigin="7,7" coordsize="659,0" path="m7,7l666,7e" filled="false" stroked="true" strokeweight=".72pt" strokecolor="#000000">
                <v:path arrowok="t"/>
              </v:shape>
            </v:group>
            <v:group style="position:absolute;left:708;top:7;width:882;height:2" coordorigin="708,7" coordsize="882,2">
              <v:shape style="position:absolute;left:708;top:7;width:882;height:2" coordorigin="708,7" coordsize="882,0" path="m708,7l1590,7e" filled="false" stroked="true" strokeweight=".72pt" strokecolor="#000000">
                <v:path arrowok="t"/>
              </v:shape>
            </v:group>
            <v:group style="position:absolute;left:1632;top:7;width:1073;height:2" coordorigin="1632,7" coordsize="1073,2">
              <v:shape style="position:absolute;left:1632;top:7;width:1073;height:2" coordorigin="1632,7" coordsize="1073,0" path="m1632,7l2705,7e" filled="false" stroked="true" strokeweight=".72pt" strokecolor="#000000">
                <v:path arrowok="t"/>
              </v:shape>
            </v:group>
            <v:group style="position:absolute;left:2747;top:7;width:1307;height:2" coordorigin="2747,7" coordsize="1307,2">
              <v:shape style="position:absolute;left:2747;top:7;width:1307;height:2" coordorigin="2747,7" coordsize="1307,0" path="m2747,7l4054,7e" filled="false" stroked="true" strokeweight=".72pt" strokecolor="#000000">
                <v:path arrowok="t"/>
              </v:shape>
            </v:group>
            <v:group style="position:absolute;left:4096;top:7;width:839;height:2" coordorigin="4096,7" coordsize="839,2">
              <v:shape style="position:absolute;left:4096;top:7;width:839;height:2" coordorigin="4096,7" coordsize="839,0" path="m4096,7l4934,7e" filled="false" stroked="true" strokeweight=".72pt" strokecolor="#000000">
                <v:path arrowok="t"/>
              </v:shape>
            </v:group>
            <v:group style="position:absolute;left:4976;top:7;width:1050;height:2" coordorigin="4976,7" coordsize="1050,2">
              <v:shape style="position:absolute;left:4976;top:7;width:1050;height:2" coordorigin="4976,7" coordsize="1050,0" path="m4976,7l6026,7e" filled="false" stroked="true" strokeweight=".72pt" strokecolor="#000000">
                <v:path arrowok="t"/>
              </v:shape>
            </v:group>
            <v:group style="position:absolute;left:6068;top:7;width:1485;height:2" coordorigin="6068,7" coordsize="1485,2">
              <v:shape style="position:absolute;left:6068;top:7;width:1485;height:2" coordorigin="6068,7" coordsize="1485,0" path="m6068,7l7553,7e" filled="false" stroked="true" strokeweight=".72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11"/>
          <w:szCs w:val="11"/>
        </w:rPr>
      </w:pPr>
    </w:p>
    <w:p>
      <w:pPr>
        <w:tabs>
          <w:tab w:pos="3130" w:val="left" w:leader="none"/>
          <w:tab w:pos="4245" w:val="left" w:leader="none"/>
          <w:tab w:pos="5494" w:val="left" w:leader="none"/>
          <w:tab w:pos="6870" w:val="left" w:leader="none"/>
          <w:tab w:pos="7961" w:val="left" w:leader="none"/>
          <w:tab w:pos="8255" w:val="left" w:leader="none"/>
        </w:tabs>
        <w:spacing w:before="40"/>
        <w:ind w:left="783" w:right="90" w:firstLine="0"/>
        <w:jc w:val="left"/>
        <w:rPr>
          <w:rFonts w:ascii="Arial" w:hAnsi="Arial" w:cs="Arial" w:eastAsia="Arial" w:hint="default"/>
          <w:sz w:val="20"/>
          <w:szCs w:val="20"/>
        </w:rPr>
      </w:pPr>
      <w:r>
        <w:rPr>
          <w:rFonts w:ascii="宋体" w:hAnsi="宋体" w:cs="宋体" w:eastAsia="宋体" w:hint="default"/>
          <w:position w:val="1"/>
          <w:sz w:val="20"/>
          <w:szCs w:val="20"/>
        </w:rPr>
        <w:t>联通</w:t>
      </w:r>
      <w:r>
        <w:rPr>
          <w:rFonts w:ascii="宋体" w:hAnsi="宋体" w:cs="宋体" w:eastAsia="宋体" w:hint="default"/>
          <w:spacing w:val="-50"/>
          <w:position w:val="1"/>
          <w:sz w:val="20"/>
          <w:szCs w:val="20"/>
        </w:rPr>
        <w:t> </w:t>
      </w:r>
      <w:r>
        <w:rPr>
          <w:rFonts w:ascii="Arial" w:hAnsi="Arial" w:cs="Arial" w:eastAsia="Arial" w:hint="default"/>
          <w:position w:val="1"/>
          <w:sz w:val="20"/>
          <w:szCs w:val="20"/>
        </w:rPr>
        <w:t>BVI</w:t>
      </w:r>
      <w:r>
        <w:rPr>
          <w:rFonts w:ascii="Arial" w:hAnsi="Arial" w:cs="Arial" w:eastAsia="Arial" w:hint="default"/>
          <w:spacing w:val="-6"/>
          <w:position w:val="1"/>
          <w:sz w:val="20"/>
          <w:szCs w:val="20"/>
        </w:rPr>
        <w:t> </w:t>
      </w:r>
      <w:r>
        <w:rPr>
          <w:rFonts w:ascii="宋体" w:hAnsi="宋体" w:cs="宋体" w:eastAsia="宋体" w:hint="default"/>
          <w:position w:val="1"/>
          <w:sz w:val="20"/>
          <w:szCs w:val="20"/>
        </w:rPr>
        <w:t>公司</w:t>
      </w:r>
      <w:r>
        <w:rPr>
          <w:rFonts w:ascii="宋体" w:hAnsi="宋体" w:cs="宋体" w:eastAsia="宋体" w:hint="default"/>
          <w:spacing w:val="-32"/>
          <w:position w:val="1"/>
          <w:sz w:val="20"/>
          <w:szCs w:val="20"/>
        </w:rPr>
        <w:t> </w:t>
      </w:r>
      <w:r>
        <w:rPr>
          <w:rFonts w:ascii="宋体" w:hAnsi="宋体" w:cs="宋体" w:eastAsia="宋体" w:hint="default"/>
          <w:position w:val="1"/>
          <w:sz w:val="20"/>
          <w:szCs w:val="20"/>
        </w:rPr>
        <w:t>成本法</w:t>
        <w:tab/>
      </w:r>
      <w:r>
        <w:rPr>
          <w:rFonts w:ascii="Arial" w:hAnsi="Arial" w:cs="Arial" w:eastAsia="Arial" w:hint="default"/>
          <w:sz w:val="20"/>
          <w:szCs w:val="20"/>
        </w:rPr>
        <w:t>82.10</w:t>
        <w:tab/>
        <w:t>82.10</w:t>
        <w:tab/>
      </w:r>
      <w:r>
        <w:rPr>
          <w:rFonts w:ascii="宋体" w:hAnsi="宋体" w:cs="宋体" w:eastAsia="宋体" w:hint="default"/>
          <w:position w:val="1"/>
          <w:sz w:val="20"/>
          <w:szCs w:val="20"/>
        </w:rPr>
        <w:t>不适用</w:t>
        <w:tab/>
      </w:r>
      <w:r>
        <w:rPr>
          <w:rFonts w:ascii="Arial" w:hAnsi="Arial" w:cs="Arial" w:eastAsia="Arial" w:hint="default"/>
          <w:sz w:val="20"/>
          <w:szCs w:val="20"/>
        </w:rPr>
        <w:t>-</w:t>
        <w:tab/>
        <w:t>-</w:t>
        <w:tab/>
        <w:t>1,596,772,574</w:t>
      </w:r>
    </w:p>
    <w:p>
      <w:pPr>
        <w:spacing w:line="43" w:lineRule="exact"/>
        <w:ind w:left="6126" w:right="0" w:firstLine="0"/>
        <w:rPr>
          <w:rFonts w:ascii="Arial" w:hAnsi="Arial" w:cs="Arial" w:eastAsia="Arial" w:hint="default"/>
          <w:sz w:val="4"/>
          <w:szCs w:val="4"/>
        </w:rPr>
      </w:pPr>
      <w:r>
        <w:rPr>
          <w:rFonts w:ascii="Arial" w:hAnsi="Arial" w:cs="Arial" w:eastAsia="Arial" w:hint="default"/>
          <w:position w:val="0"/>
          <w:sz w:val="4"/>
          <w:szCs w:val="4"/>
        </w:rPr>
        <w:pict>
          <v:group style="width:174.3pt;height:2.2pt;mso-position-horizontal-relative:char;mso-position-vertical-relative:line" coordorigin="0,0" coordsize="3486,44">
            <v:group style="position:absolute;left:7;top:36;width:854;height:2" coordorigin="7,36" coordsize="854,2">
              <v:shape style="position:absolute;left:7;top:36;width:854;height:2" coordorigin="7,36" coordsize="854,0" path="m7,36l860,36e" filled="false" stroked="true" strokeweight=".72pt" strokecolor="#000000">
                <v:path arrowok="t"/>
              </v:shape>
            </v:group>
            <v:group style="position:absolute;left:7;top:7;width:854;height:2" coordorigin="7,7" coordsize="854,2">
              <v:shape style="position:absolute;left:7;top:7;width:854;height:2" coordorigin="7,7" coordsize="854,0" path="m7,7l860,7e" filled="false" stroked="true" strokeweight=".72pt" strokecolor="#000000">
                <v:path arrowok="t"/>
              </v:shape>
            </v:group>
            <v:group style="position:absolute;left:888;top:36;width:1065;height:2" coordorigin="888,36" coordsize="1065,2">
              <v:shape style="position:absolute;left:888;top:36;width:1065;height:2" coordorigin="888,36" coordsize="1065,0" path="m888,36l1952,36e" filled="false" stroked="true" strokeweight=".72pt" strokecolor="#000000">
                <v:path arrowok="t"/>
              </v:shape>
            </v:group>
            <v:group style="position:absolute;left:888;top:7;width:1065;height:2" coordorigin="888,7" coordsize="1065,2">
              <v:shape style="position:absolute;left:888;top:7;width:1065;height:2" coordorigin="888,7" coordsize="1065,0" path="m888,7l1952,7e" filled="false" stroked="true" strokeweight=".72pt" strokecolor="#000000">
                <v:path arrowok="t"/>
              </v:shape>
            </v:group>
            <v:group style="position:absolute;left:1980;top:36;width:1499;height:2" coordorigin="1980,36" coordsize="1499,2">
              <v:shape style="position:absolute;left:1980;top:36;width:1499;height:2" coordorigin="1980,36" coordsize="1499,0" path="m1980,36l3479,36e" filled="false" stroked="true" strokeweight=".72pt" strokecolor="#000000">
                <v:path arrowok="t"/>
              </v:shape>
            </v:group>
            <v:group style="position:absolute;left:1980;top:7;width:1499;height:2" coordorigin="1980,7" coordsize="1499,2">
              <v:shape style="position:absolute;left:1980;top:7;width:1499;height:2" coordorigin="1980,7" coordsize="1499,0" path="m1980,7l3479,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7"/>
        <w:rPr>
          <w:rFonts w:ascii="Arial" w:hAnsi="Arial" w:cs="Arial" w:eastAsia="Arial" w:hint="default"/>
          <w:sz w:val="16"/>
          <w:szCs w:val="16"/>
        </w:rPr>
      </w:pPr>
    </w:p>
    <w:p>
      <w:pPr>
        <w:pStyle w:val="BodyText"/>
        <w:tabs>
          <w:tab w:pos="799" w:val="left" w:leader="none"/>
        </w:tabs>
        <w:spacing w:line="240" w:lineRule="auto" w:before="31"/>
        <w:ind w:left="153" w:right="90"/>
        <w:jc w:val="left"/>
        <w:rPr>
          <w:rFonts w:ascii="黑体" w:hAnsi="黑体" w:cs="黑体" w:eastAsia="黑体" w:hint="default"/>
        </w:rPr>
      </w:pPr>
      <w:r>
        <w:rPr>
          <w:rFonts w:ascii="Arial" w:hAnsi="Arial" w:cs="Arial" w:eastAsia="Arial" w:hint="default"/>
          <w:w w:val="95"/>
        </w:rPr>
        <w:t>4</w:t>
      </w:r>
      <w:r>
        <w:rPr>
          <w:rFonts w:ascii="黑体" w:hAnsi="黑体" w:cs="黑体" w:eastAsia="黑体" w:hint="default"/>
          <w:w w:val="95"/>
        </w:rPr>
        <w:t>、</w:t>
        <w:tab/>
      </w:r>
      <w:r>
        <w:rPr>
          <w:rFonts w:ascii="黑体" w:hAnsi="黑体" w:cs="黑体" w:eastAsia="黑体" w:hint="default"/>
        </w:rPr>
        <w:t>其他应付款</w:t>
      </w:r>
    </w:p>
    <w:p>
      <w:pPr>
        <w:spacing w:line="240" w:lineRule="auto" w:before="12"/>
        <w:rPr>
          <w:rFonts w:ascii="黑体" w:hAnsi="黑体" w:cs="黑体" w:eastAsia="黑体" w:hint="default"/>
          <w:sz w:val="17"/>
          <w:szCs w:val="17"/>
        </w:rPr>
      </w:pPr>
    </w:p>
    <w:p>
      <w:pPr>
        <w:pStyle w:val="BodyText"/>
        <w:spacing w:line="240" w:lineRule="auto"/>
        <w:ind w:left="799" w:right="90"/>
        <w:jc w:val="left"/>
      </w:pPr>
      <w:r>
        <w:rPr/>
        <w:t>于</w:t>
      </w:r>
      <w:r>
        <w:rPr>
          <w:spacing w:val="-56"/>
        </w:rPr>
        <w:t> </w:t>
      </w: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日，其他应付款主要包括应付中介机构款。</w:t>
      </w:r>
    </w:p>
    <w:p>
      <w:pPr>
        <w:spacing w:line="240" w:lineRule="auto" w:before="13"/>
        <w:rPr>
          <w:rFonts w:ascii="宋体" w:hAnsi="宋体" w:cs="宋体" w:eastAsia="宋体" w:hint="default"/>
          <w:sz w:val="17"/>
          <w:szCs w:val="17"/>
        </w:rPr>
      </w:pPr>
    </w:p>
    <w:p>
      <w:pPr>
        <w:pStyle w:val="BodyText"/>
        <w:tabs>
          <w:tab w:pos="799" w:val="left" w:leader="none"/>
        </w:tabs>
        <w:spacing w:line="240" w:lineRule="auto"/>
        <w:ind w:left="153" w:right="90"/>
        <w:jc w:val="left"/>
        <w:rPr>
          <w:rFonts w:ascii="黑体" w:hAnsi="黑体" w:cs="黑体" w:eastAsia="黑体" w:hint="default"/>
        </w:rPr>
      </w:pPr>
      <w:r>
        <w:rPr>
          <w:rFonts w:ascii="Arial" w:hAnsi="Arial" w:cs="Arial" w:eastAsia="Arial" w:hint="default"/>
          <w:w w:val="95"/>
        </w:rPr>
        <w:t>5</w:t>
      </w:r>
      <w:r>
        <w:rPr>
          <w:rFonts w:ascii="黑体" w:hAnsi="黑体" w:cs="黑体" w:eastAsia="黑体" w:hint="default"/>
          <w:w w:val="95"/>
        </w:rPr>
        <w:t>、</w:t>
        <w:tab/>
      </w:r>
      <w:r>
        <w:rPr>
          <w:rFonts w:ascii="黑体" w:hAnsi="黑体" w:cs="黑体" w:eastAsia="黑体" w:hint="default"/>
        </w:rPr>
        <w:t>管理费用</w:t>
      </w:r>
    </w:p>
    <w:p>
      <w:pPr>
        <w:spacing w:line="240" w:lineRule="auto" w:before="13"/>
        <w:rPr>
          <w:rFonts w:ascii="黑体" w:hAnsi="黑体" w:cs="黑体" w:eastAsia="黑体" w:hint="default"/>
          <w:sz w:val="17"/>
          <w:szCs w:val="17"/>
        </w:rPr>
      </w:pPr>
    </w:p>
    <w:p>
      <w:pPr>
        <w:pStyle w:val="BodyText"/>
        <w:spacing w:line="240" w:lineRule="auto"/>
        <w:ind w:left="799" w:right="90"/>
        <w:jc w:val="left"/>
      </w:pPr>
      <w:r>
        <w:rPr/>
        <w:t>管理费用主要包括本公司本部日常经费支出、工资、福利费等。</w:t>
      </w:r>
    </w:p>
    <w:p>
      <w:pPr>
        <w:spacing w:after="0" w:line="240" w:lineRule="auto"/>
        <w:jc w:val="left"/>
        <w:sectPr>
          <w:type w:val="continuous"/>
          <w:pgSz w:w="11910" w:h="16840"/>
          <w:pgMar w:top="1600" w:bottom="280" w:left="1240" w:right="860"/>
        </w:sectPr>
      </w:pPr>
    </w:p>
    <w:p>
      <w:pPr>
        <w:spacing w:line="240" w:lineRule="auto" w:before="2"/>
        <w:rPr>
          <w:rFonts w:ascii="宋体" w:hAnsi="宋体" w:cs="宋体" w:eastAsia="宋体" w:hint="default"/>
          <w:sz w:val="19"/>
          <w:szCs w:val="19"/>
        </w:rPr>
      </w:pPr>
    </w:p>
    <w:p>
      <w:pPr>
        <w:pStyle w:val="BodyText"/>
        <w:tabs>
          <w:tab w:pos="779" w:val="left" w:leader="none"/>
        </w:tabs>
        <w:spacing w:line="240" w:lineRule="auto" w:before="31"/>
        <w:ind w:left="122" w:right="125"/>
        <w:jc w:val="left"/>
        <w:rPr>
          <w:rFonts w:ascii="黑体" w:hAnsi="黑体" w:cs="黑体" w:eastAsia="黑体" w:hint="default"/>
        </w:rPr>
      </w:pPr>
      <w:r>
        <w:rPr>
          <w:rFonts w:ascii="黑体" w:hAnsi="黑体" w:cs="黑体" w:eastAsia="黑体" w:hint="default"/>
          <w:w w:val="95"/>
        </w:rPr>
        <w:t>十七</w:t>
        <w:tab/>
      </w:r>
      <w:r>
        <w:rPr>
          <w:rFonts w:ascii="黑体" w:hAnsi="黑体" w:cs="黑体" w:eastAsia="黑体" w:hint="default"/>
        </w:rPr>
        <w:t>本公司个别财务报表主要项目注释（续）</w:t>
      </w:r>
    </w:p>
    <w:p>
      <w:pPr>
        <w:spacing w:line="240" w:lineRule="auto" w:before="2"/>
        <w:rPr>
          <w:rFonts w:ascii="黑体" w:hAnsi="黑体" w:cs="黑体" w:eastAsia="黑体" w:hint="default"/>
          <w:sz w:val="19"/>
          <w:szCs w:val="19"/>
        </w:rPr>
      </w:pPr>
    </w:p>
    <w:p>
      <w:pPr>
        <w:pStyle w:val="BodyText"/>
        <w:tabs>
          <w:tab w:pos="779" w:val="left" w:leader="none"/>
        </w:tabs>
        <w:spacing w:line="240" w:lineRule="auto"/>
        <w:ind w:left="133" w:right="125"/>
        <w:jc w:val="left"/>
        <w:rPr>
          <w:rFonts w:ascii="黑体" w:hAnsi="黑体" w:cs="黑体" w:eastAsia="黑体" w:hint="default"/>
        </w:rPr>
      </w:pPr>
      <w:r>
        <w:rPr>
          <w:rFonts w:ascii="Arial" w:hAnsi="Arial" w:cs="Arial" w:eastAsia="Arial" w:hint="default"/>
          <w:w w:val="95"/>
        </w:rPr>
        <w:t>6</w:t>
      </w:r>
      <w:r>
        <w:rPr>
          <w:rFonts w:ascii="黑体" w:hAnsi="黑体" w:cs="黑体" w:eastAsia="黑体" w:hint="default"/>
          <w:w w:val="95"/>
        </w:rPr>
        <w:t>、</w:t>
        <w:tab/>
      </w:r>
      <w:r>
        <w:rPr>
          <w:rFonts w:ascii="黑体" w:hAnsi="黑体" w:cs="黑体" w:eastAsia="黑体" w:hint="default"/>
        </w:rPr>
        <w:t>投资收益</w:t>
      </w:r>
    </w:p>
    <w:p>
      <w:pPr>
        <w:spacing w:line="240" w:lineRule="auto" w:before="6"/>
        <w:rPr>
          <w:rFonts w:ascii="黑体" w:hAnsi="黑体" w:cs="黑体" w:eastAsia="黑体" w:hint="default"/>
          <w:sz w:val="15"/>
          <w:szCs w:val="15"/>
        </w:rPr>
      </w:pPr>
    </w:p>
    <w:p>
      <w:pPr>
        <w:pStyle w:val="BodyText"/>
        <w:tabs>
          <w:tab w:pos="8542" w:val="left" w:leader="none"/>
        </w:tabs>
        <w:spacing w:line="240" w:lineRule="auto" w:before="31"/>
        <w:ind w:left="6224" w:right="125"/>
        <w:jc w:val="left"/>
      </w:pPr>
      <w:r>
        <w:rPr>
          <w:rFonts w:ascii="Arial" w:hAnsi="Arial" w:cs="Arial" w:eastAsia="Arial" w:hint="default"/>
        </w:rPr>
        <w:t>2009</w:t>
      </w:r>
      <w:r>
        <w:rPr>
          <w:rFonts w:ascii="Arial" w:hAnsi="Arial" w:cs="Arial" w:eastAsia="Arial" w:hint="default"/>
          <w:spacing w:val="-8"/>
        </w:rPr>
        <w:t> </w:t>
      </w:r>
      <w:r>
        <w:rPr/>
        <w:t>年度</w:t>
        <w:tab/>
      </w:r>
      <w:r>
        <w:rPr>
          <w:rFonts w:ascii="Arial" w:hAnsi="Arial" w:cs="Arial" w:eastAsia="Arial" w:hint="default"/>
        </w:rPr>
        <w:t>2008</w:t>
      </w:r>
      <w:r>
        <w:rPr>
          <w:rFonts w:ascii="Arial" w:hAnsi="Arial" w:cs="Arial" w:eastAsia="Arial" w:hint="default"/>
          <w:spacing w:val="-8"/>
        </w:rPr>
        <w:t> </w:t>
      </w:r>
      <w:r>
        <w:rPr/>
        <w:t>年度</w:t>
      </w:r>
    </w:p>
    <w:p>
      <w:pPr>
        <w:spacing w:line="20" w:lineRule="exact"/>
        <w:ind w:left="4930" w:right="0" w:firstLine="0"/>
        <w:rPr>
          <w:rFonts w:ascii="宋体" w:hAnsi="宋体" w:cs="宋体" w:eastAsia="宋体" w:hint="default"/>
          <w:sz w:val="2"/>
          <w:szCs w:val="2"/>
        </w:rPr>
      </w:pPr>
      <w:r>
        <w:rPr>
          <w:rFonts w:ascii="宋体"/>
          <w:sz w:val="2"/>
        </w:rPr>
        <w:pict>
          <v:group style="width:115.6pt;height:.75pt;mso-position-horizontal-relative:char;mso-position-vertical-relative:line" coordorigin="0,0" coordsize="2312,15">
            <v:group style="position:absolute;left:7;top:7;width:2297;height:2" coordorigin="7,7" coordsize="2297,2">
              <v:shape style="position:absolute;left:7;top:7;width:2297;height:2" coordorigin="7,7" coordsize="2297,0" path="m7,7l2304,7e" filled="false" stroked="true" strokeweight=".72pt" strokecolor="#000000">
                <v:path arrowok="t"/>
              </v:shape>
            </v:group>
          </v:group>
        </w:pict>
      </w:r>
      <w:r>
        <w:rPr>
          <w:rFonts w:ascii="宋体"/>
          <w:sz w:val="2"/>
        </w:rPr>
      </w:r>
      <w:r>
        <w:rPr>
          <w:rFonts w:ascii="Times New Roman"/>
          <w:spacing w:val="74"/>
          <w:sz w:val="2"/>
        </w:rPr>
        <w:t> </w:t>
      </w:r>
      <w:r>
        <w:rPr>
          <w:rFonts w:ascii="宋体"/>
          <w:spacing w:val="74"/>
          <w:sz w:val="2"/>
        </w:rPr>
        <w:pict>
          <v:group style="width:113.6pt;height:.75pt;mso-position-horizontal-relative:char;mso-position-vertical-relative:line" coordorigin="0,0" coordsize="2272,15">
            <v:group style="position:absolute;left:7;top:7;width:2258;height:2" coordorigin="7,7" coordsize="2258,2">
              <v:shape style="position:absolute;left:7;top:7;width:2258;height:2" coordorigin="7,7" coordsize="2258,0" path="m7,7l2264,7e" filled="false" stroked="true" strokeweight=".72pt" strokecolor="#000000">
                <v:path arrowok="t"/>
              </v:shape>
            </v:group>
          </v:group>
        </w:pict>
      </w:r>
      <w:r>
        <w:rPr>
          <w:rFonts w:ascii="宋体"/>
          <w:spacing w:val="74"/>
          <w:sz w:val="2"/>
        </w:rPr>
      </w:r>
    </w:p>
    <w:p>
      <w:pPr>
        <w:spacing w:line="240" w:lineRule="auto" w:before="9"/>
        <w:rPr>
          <w:rFonts w:ascii="宋体" w:hAnsi="宋体" w:cs="宋体" w:eastAsia="宋体" w:hint="default"/>
          <w:sz w:val="14"/>
          <w:szCs w:val="14"/>
        </w:rPr>
      </w:pPr>
    </w:p>
    <w:p>
      <w:pPr>
        <w:pStyle w:val="BodyText"/>
        <w:tabs>
          <w:tab w:pos="5750" w:val="left" w:leader="none"/>
          <w:tab w:pos="8120" w:val="left" w:leader="none"/>
        </w:tabs>
        <w:spacing w:line="240" w:lineRule="auto" w:before="27"/>
        <w:ind w:left="766" w:right="125"/>
        <w:jc w:val="left"/>
        <w:rPr>
          <w:rFonts w:ascii="Arial" w:hAnsi="Arial" w:cs="Arial" w:eastAsia="Arial" w:hint="default"/>
        </w:rPr>
      </w:pPr>
      <w:r>
        <w:rPr>
          <w:w w:val="95"/>
          <w:position w:val="2"/>
        </w:rPr>
        <w:t>投资收益</w:t>
        <w:tab/>
      </w:r>
      <w:r>
        <w:rPr>
          <w:rFonts w:ascii="Arial" w:hAnsi="Arial" w:cs="Arial" w:eastAsia="Arial" w:hint="default"/>
          <w:spacing w:val="-1"/>
        </w:rPr>
        <w:t>1,596,772,574</w:t>
        <w:tab/>
        <w:t>1,596,772,574</w:t>
      </w:r>
    </w:p>
    <w:p>
      <w:pPr>
        <w:spacing w:line="43" w:lineRule="exact"/>
        <w:ind w:left="4923" w:right="0" w:firstLine="0"/>
        <w:rPr>
          <w:rFonts w:ascii="Arial" w:hAnsi="Arial" w:cs="Arial" w:eastAsia="Arial" w:hint="default"/>
          <w:sz w:val="4"/>
          <w:szCs w:val="4"/>
        </w:rPr>
      </w:pPr>
      <w:r>
        <w:rPr>
          <w:rFonts w:ascii="Arial"/>
          <w:position w:val="0"/>
          <w:sz w:val="4"/>
        </w:rPr>
        <w:pict>
          <v:group style="width:116.3pt;height:2.2pt;mso-position-horizontal-relative:char;mso-position-vertical-relative:line" coordorigin="0,0" coordsize="2326,44">
            <v:group style="position:absolute;left:7;top:36;width:2312;height:2" coordorigin="7,36" coordsize="2312,2">
              <v:shape style="position:absolute;left:7;top:36;width:2312;height:2" coordorigin="7,36" coordsize="2312,0" path="m7,36l2318,36e" filled="false" stroked="true" strokeweight=".72pt" strokecolor="#000000">
                <v:path arrowok="t"/>
              </v:shape>
            </v:group>
            <v:group style="position:absolute;left:7;top:7;width:2312;height:2" coordorigin="7,7" coordsize="2312,2">
              <v:shape style="position:absolute;left:7;top:7;width:2312;height:2" coordorigin="7,7" coordsize="2312,0" path="m7,7l2318,7e" filled="false" stroked="true" strokeweight=".72pt" strokecolor="#000000">
                <v:path arrowok="t"/>
              </v:shape>
            </v:group>
          </v:group>
        </w:pict>
      </w:r>
      <w:r>
        <w:rPr>
          <w:rFonts w:ascii="Arial"/>
          <w:position w:val="0"/>
          <w:sz w:val="4"/>
        </w:rPr>
      </w:r>
      <w:r>
        <w:rPr>
          <w:rFonts w:ascii="Times New Roman"/>
          <w:spacing w:val="53"/>
          <w:position w:val="0"/>
          <w:sz w:val="4"/>
        </w:rPr>
        <w:t> </w:t>
      </w:r>
      <w:r>
        <w:rPr>
          <w:rFonts w:ascii="Arial"/>
          <w:spacing w:val="53"/>
          <w:position w:val="0"/>
          <w:sz w:val="4"/>
        </w:rPr>
        <w:pict>
          <v:group style="width:114.3pt;height:2.2pt;mso-position-horizontal-relative:char;mso-position-vertical-relative:line" coordorigin="0,0" coordsize="2286,44">
            <v:group style="position:absolute;left:7;top:36;width:2272;height:2" coordorigin="7,36" coordsize="2272,2">
              <v:shape style="position:absolute;left:7;top:36;width:2272;height:2" coordorigin="7,36" coordsize="2272,0" path="m7,36l2279,36e" filled="false" stroked="true" strokeweight=".72pt" strokecolor="#000000">
                <v:path arrowok="t"/>
              </v:shape>
            </v:group>
            <v:group style="position:absolute;left:7;top:7;width:2272;height:2" coordorigin="7,7" coordsize="2272,2">
              <v:shape style="position:absolute;left:7;top:7;width:2272;height:2" coordorigin="7,7" coordsize="2272,0" path="m7,7l2279,7e" filled="false" stroked="true" strokeweight=".72pt" strokecolor="#000000">
                <v:path arrowok="t"/>
              </v:shape>
            </v:group>
          </v:group>
        </w:pict>
      </w:r>
      <w:r>
        <w:rPr>
          <w:rFonts w:ascii="Arial"/>
          <w:spacing w:val="53"/>
          <w:position w:val="0"/>
          <w:sz w:val="4"/>
        </w:rPr>
      </w:r>
    </w:p>
    <w:p>
      <w:pPr>
        <w:spacing w:line="240" w:lineRule="auto" w:before="6"/>
        <w:rPr>
          <w:rFonts w:ascii="Arial" w:hAnsi="Arial" w:cs="Arial" w:eastAsia="Arial" w:hint="default"/>
          <w:sz w:val="16"/>
          <w:szCs w:val="16"/>
        </w:rPr>
      </w:pPr>
    </w:p>
    <w:p>
      <w:pPr>
        <w:pStyle w:val="BodyText"/>
        <w:spacing w:line="284" w:lineRule="exact" w:before="61"/>
        <w:ind w:left="779" w:right="107"/>
        <w:jc w:val="left"/>
      </w:pPr>
      <w:r>
        <w:rPr>
          <w:w w:val="99"/>
        </w:rPr>
        <w:t>于</w:t>
      </w:r>
      <w:r>
        <w:rPr>
          <w:spacing w:val="-53"/>
          <w:w w:val="99"/>
        </w:rPr>
        <w:t> </w:t>
      </w:r>
      <w:r>
        <w:rPr>
          <w:rFonts w:ascii="Arial" w:hAnsi="Arial" w:cs="Arial" w:eastAsia="Arial" w:hint="default"/>
          <w:w w:val="99"/>
        </w:rPr>
        <w:t>2009</w:t>
      </w:r>
      <w:r>
        <w:rPr>
          <w:rFonts w:ascii="Arial" w:hAnsi="Arial" w:cs="Arial" w:eastAsia="Arial" w:hint="default"/>
          <w:spacing w:val="-4"/>
          <w:w w:val="99"/>
        </w:rPr>
        <w:t> </w:t>
      </w:r>
      <w:r>
        <w:rPr>
          <w:spacing w:val="-9"/>
          <w:w w:val="99"/>
        </w:rPr>
        <w:t>年度，本公司子公司联通</w:t>
      </w:r>
      <w:r>
        <w:rPr>
          <w:spacing w:val="-52"/>
          <w:w w:val="99"/>
        </w:rPr>
        <w:t> </w:t>
      </w:r>
      <w:r>
        <w:rPr>
          <w:rFonts w:ascii="Arial" w:hAnsi="Arial" w:cs="Arial" w:eastAsia="Arial" w:hint="default"/>
          <w:spacing w:val="-1"/>
          <w:w w:val="99"/>
        </w:rPr>
        <w:t>BVI</w:t>
      </w:r>
      <w:r>
        <w:rPr>
          <w:rFonts w:ascii="Arial" w:hAnsi="Arial" w:cs="Arial" w:eastAsia="Arial" w:hint="default"/>
          <w:spacing w:val="-4"/>
          <w:w w:val="99"/>
        </w:rPr>
        <w:t> </w:t>
      </w:r>
      <w:r>
        <w:rPr>
          <w:w w:val="99"/>
        </w:rPr>
        <w:t>公司宣布派发的</w:t>
      </w:r>
      <w:r>
        <w:rPr>
          <w:spacing w:val="-53"/>
          <w:w w:val="99"/>
        </w:rPr>
        <w:t> </w:t>
      </w:r>
      <w:r>
        <w:rPr>
          <w:rFonts w:ascii="Arial" w:hAnsi="Arial" w:cs="Arial" w:eastAsia="Arial" w:hint="default"/>
          <w:w w:val="99"/>
        </w:rPr>
        <w:t>2008</w:t>
      </w:r>
      <w:r>
        <w:rPr>
          <w:rFonts w:ascii="Arial" w:hAnsi="Arial" w:cs="Arial" w:eastAsia="Arial" w:hint="default"/>
          <w:spacing w:val="-4"/>
          <w:w w:val="99"/>
        </w:rPr>
        <w:t> </w:t>
      </w:r>
      <w:r>
        <w:rPr>
          <w:w w:val="99"/>
        </w:rPr>
        <w:t>年度现金股利中归属于本公司的 </w:t>
      </w:r>
      <w:r>
        <w:rPr/>
        <w:t>约人民币</w:t>
      </w:r>
      <w:r>
        <w:rPr>
          <w:spacing w:val="-57"/>
        </w:rPr>
        <w:t> </w:t>
      </w:r>
      <w:r>
        <w:rPr>
          <w:rFonts w:ascii="Arial" w:hAnsi="Arial" w:cs="Arial" w:eastAsia="Arial" w:hint="default"/>
        </w:rPr>
        <w:t>15.97</w:t>
      </w:r>
      <w:r>
        <w:rPr>
          <w:rFonts w:ascii="Arial" w:hAnsi="Arial" w:cs="Arial" w:eastAsia="Arial" w:hint="default"/>
          <w:spacing w:val="-8"/>
        </w:rPr>
        <w:t> </w:t>
      </w:r>
      <w:r>
        <w:rPr/>
        <w:t>亿元（</w:t>
      </w:r>
      <w:r>
        <w:rPr>
          <w:rFonts w:ascii="Arial" w:hAnsi="Arial" w:cs="Arial" w:eastAsia="Arial" w:hint="default"/>
        </w:rPr>
        <w:t>2008</w:t>
      </w:r>
      <w:r>
        <w:rPr>
          <w:rFonts w:ascii="Arial" w:hAnsi="Arial" w:cs="Arial" w:eastAsia="Arial" w:hint="default"/>
          <w:spacing w:val="-8"/>
        </w:rPr>
        <w:t> </w:t>
      </w:r>
      <w:r>
        <w:rPr/>
        <w:t>年度：约人民币</w:t>
      </w:r>
      <w:r>
        <w:rPr>
          <w:spacing w:val="-57"/>
        </w:rPr>
        <w:t> </w:t>
      </w:r>
      <w:r>
        <w:rPr>
          <w:rFonts w:ascii="Arial" w:hAnsi="Arial" w:cs="Arial" w:eastAsia="Arial" w:hint="default"/>
        </w:rPr>
        <w:t>15.97</w:t>
      </w:r>
      <w:r>
        <w:rPr>
          <w:rFonts w:ascii="Arial" w:hAnsi="Arial" w:cs="Arial" w:eastAsia="Arial" w:hint="default"/>
          <w:spacing w:val="-8"/>
        </w:rPr>
        <w:t> </w:t>
      </w:r>
      <w:r>
        <w:rPr/>
        <w:t>亿元）。</w:t>
      </w:r>
    </w:p>
    <w:p>
      <w:pPr>
        <w:spacing w:line="240" w:lineRule="auto" w:before="2"/>
        <w:rPr>
          <w:rFonts w:ascii="宋体" w:hAnsi="宋体" w:cs="宋体" w:eastAsia="宋体" w:hint="default"/>
          <w:sz w:val="17"/>
          <w:szCs w:val="17"/>
        </w:rPr>
      </w:pPr>
    </w:p>
    <w:p>
      <w:pPr>
        <w:pStyle w:val="BodyText"/>
        <w:spacing w:line="240" w:lineRule="auto"/>
        <w:ind w:left="779" w:right="125"/>
        <w:jc w:val="left"/>
      </w:pPr>
      <w:r>
        <w:rPr/>
        <w:t>本公司不存在投资收益汇回的重大限制。</w:t>
      </w:r>
    </w:p>
    <w:p>
      <w:pPr>
        <w:spacing w:line="240" w:lineRule="auto" w:before="1"/>
        <w:rPr>
          <w:rFonts w:ascii="宋体" w:hAnsi="宋体" w:cs="宋体" w:eastAsia="宋体" w:hint="default"/>
          <w:sz w:val="19"/>
          <w:szCs w:val="19"/>
        </w:rPr>
      </w:pPr>
    </w:p>
    <w:p>
      <w:pPr>
        <w:pStyle w:val="BodyText"/>
        <w:tabs>
          <w:tab w:pos="779" w:val="left" w:leader="none"/>
        </w:tabs>
        <w:spacing w:line="240" w:lineRule="auto"/>
        <w:ind w:left="132" w:right="125"/>
        <w:jc w:val="left"/>
        <w:rPr>
          <w:rFonts w:ascii="黑体" w:hAnsi="黑体" w:cs="黑体" w:eastAsia="黑体" w:hint="default"/>
        </w:rPr>
      </w:pPr>
      <w:r>
        <w:rPr>
          <w:rFonts w:ascii="Arial" w:hAnsi="Arial" w:cs="Arial" w:eastAsia="Arial" w:hint="default"/>
          <w:w w:val="95"/>
        </w:rPr>
        <w:t>7</w:t>
      </w:r>
      <w:r>
        <w:rPr>
          <w:rFonts w:ascii="黑体" w:hAnsi="黑体" w:cs="黑体" w:eastAsia="黑体" w:hint="default"/>
          <w:w w:val="95"/>
        </w:rPr>
        <w:t>、</w:t>
        <w:tab/>
      </w:r>
      <w:r>
        <w:rPr>
          <w:rFonts w:ascii="黑体" w:hAnsi="黑体" w:cs="黑体" w:eastAsia="黑体" w:hint="default"/>
        </w:rPr>
        <w:t>公司现金流量表补充资料</w:t>
      </w:r>
    </w:p>
    <w:p>
      <w:pPr>
        <w:spacing w:line="240" w:lineRule="auto" w:before="13"/>
        <w:rPr>
          <w:rFonts w:ascii="黑体" w:hAnsi="黑体" w:cs="黑体" w:eastAsia="黑体" w:hint="default"/>
          <w:sz w:val="17"/>
          <w:szCs w:val="17"/>
        </w:rPr>
      </w:pPr>
    </w:p>
    <w:p>
      <w:pPr>
        <w:pStyle w:val="BodyText"/>
        <w:tabs>
          <w:tab w:pos="779" w:val="left" w:leader="none"/>
        </w:tabs>
        <w:spacing w:line="240" w:lineRule="auto"/>
        <w:ind w:left="104" w:right="125"/>
        <w:jc w:val="left"/>
      </w:pPr>
      <w:r>
        <w:rPr>
          <w:rFonts w:ascii="Arial" w:hAnsi="Arial" w:cs="Arial" w:eastAsia="Arial" w:hint="default"/>
          <w:w w:val="95"/>
        </w:rPr>
        <w:t>(a)</w:t>
        <w:tab/>
      </w:r>
      <w:r>
        <w:rPr/>
        <w:t>将净利润调节为经营活动现金流量</w:t>
      </w:r>
    </w:p>
    <w:p>
      <w:pPr>
        <w:spacing w:line="240" w:lineRule="auto" w:before="13"/>
        <w:rPr>
          <w:rFonts w:ascii="宋体" w:hAnsi="宋体" w:cs="宋体" w:eastAsia="宋体" w:hint="default"/>
          <w:sz w:val="17"/>
          <w:szCs w:val="17"/>
        </w:rPr>
      </w:pPr>
    </w:p>
    <w:p>
      <w:pPr>
        <w:pStyle w:val="BodyText"/>
        <w:tabs>
          <w:tab w:pos="8396" w:val="left" w:leader="none"/>
        </w:tabs>
        <w:spacing w:line="240" w:lineRule="auto"/>
        <w:ind w:left="5895" w:right="125"/>
        <w:jc w:val="left"/>
      </w:pPr>
      <w:r>
        <w:rPr>
          <w:rFonts w:ascii="Arial" w:hAnsi="Arial" w:cs="Arial" w:eastAsia="Arial" w:hint="default"/>
        </w:rPr>
        <w:t>2009</w:t>
      </w:r>
      <w:r>
        <w:rPr>
          <w:rFonts w:ascii="Arial" w:hAnsi="Arial" w:cs="Arial" w:eastAsia="Arial" w:hint="default"/>
          <w:spacing w:val="-8"/>
        </w:rPr>
        <w:t> </w:t>
      </w:r>
      <w:r>
        <w:rPr/>
        <w:t>年度</w:t>
        <w:tab/>
      </w:r>
      <w:r>
        <w:rPr>
          <w:rFonts w:ascii="Arial" w:hAnsi="Arial" w:cs="Arial" w:eastAsia="Arial" w:hint="default"/>
        </w:rPr>
        <w:t>2008</w:t>
      </w:r>
      <w:r>
        <w:rPr>
          <w:rFonts w:ascii="Arial" w:hAnsi="Arial" w:cs="Arial" w:eastAsia="Arial" w:hint="default"/>
          <w:spacing w:val="-8"/>
        </w:rPr>
        <w:t> </w:t>
      </w:r>
      <w:r>
        <w:rPr/>
        <w:t>年度</w:t>
      </w:r>
    </w:p>
    <w:p>
      <w:pPr>
        <w:tabs>
          <w:tab w:pos="7219" w:val="left" w:leader="none"/>
        </w:tabs>
        <w:spacing w:line="20" w:lineRule="exact"/>
        <w:ind w:left="4752" w:right="0" w:firstLine="0"/>
        <w:rPr>
          <w:rFonts w:ascii="宋体" w:hAnsi="宋体" w:cs="宋体" w:eastAsia="宋体" w:hint="default"/>
          <w:sz w:val="2"/>
          <w:szCs w:val="2"/>
        </w:rPr>
      </w:pPr>
      <w:r>
        <w:rPr>
          <w:rFonts w:ascii="宋体"/>
          <w:sz w:val="2"/>
        </w:rPr>
        <w:pict>
          <v:group style="width:111.75pt;height:.75pt;mso-position-horizontal-relative:char;mso-position-vertical-relative:line" coordorigin="0,0" coordsize="2235,15">
            <v:group style="position:absolute;left:7;top:7;width:2220;height:2" coordorigin="7,7" coordsize="2220,2">
              <v:shape style="position:absolute;left:7;top:7;width:2220;height:2" coordorigin="7,7" coordsize="2220,0" path="m7,7l2227,7e" filled="false" stroked="true" strokeweight=".72pt" strokecolor="#000000">
                <v:path arrowok="t"/>
              </v:shape>
            </v:group>
          </v:group>
        </w:pict>
      </w:r>
      <w:r>
        <w:rPr>
          <w:rFonts w:ascii="宋体"/>
          <w:sz w:val="2"/>
        </w:rPr>
      </w:r>
      <w:r>
        <w:rPr>
          <w:rFonts w:ascii="宋体"/>
          <w:sz w:val="2"/>
        </w:rPr>
        <w:tab/>
      </w:r>
      <w:r>
        <w:rPr>
          <w:rFonts w:ascii="宋体"/>
          <w:sz w:val="2"/>
        </w:rPr>
        <w:pict>
          <v:group style="width:113.5pt;height:.75pt;mso-position-horizontal-relative:char;mso-position-vertical-relative:line" coordorigin="0,0" coordsize="2270,15">
            <v:group style="position:absolute;left:7;top:7;width:2255;height:2" coordorigin="7,7" coordsize="2255,2">
              <v:shape style="position:absolute;left:7;top:7;width:2255;height:2" coordorigin="7,7" coordsize="2255,0" path="m7,7l2262,7e" filled="false" stroked="true" strokeweight=".72pt" strokecolor="#000000">
                <v:path arrowok="t"/>
              </v:shape>
            </v:group>
          </v:group>
        </w:pict>
      </w:r>
      <w:r>
        <w:rPr>
          <w:rFonts w:ascii="宋体"/>
          <w:sz w:val="2"/>
        </w:rPr>
      </w:r>
    </w:p>
    <w:p>
      <w:pPr>
        <w:spacing w:line="240" w:lineRule="auto" w:before="2"/>
        <w:rPr>
          <w:rFonts w:ascii="宋体" w:hAnsi="宋体" w:cs="宋体" w:eastAsia="宋体" w:hint="default"/>
          <w:sz w:val="15"/>
          <w:szCs w:val="15"/>
        </w:rPr>
      </w:pPr>
    </w:p>
    <w:p>
      <w:pPr>
        <w:pStyle w:val="BodyText"/>
        <w:tabs>
          <w:tab w:pos="5475" w:val="left" w:leader="none"/>
          <w:tab w:pos="7941" w:val="left" w:leader="none"/>
        </w:tabs>
        <w:spacing w:line="304" w:lineRule="exact" w:before="27"/>
        <w:ind w:left="786" w:right="125"/>
        <w:jc w:val="left"/>
        <w:rPr>
          <w:rFonts w:ascii="Arial" w:hAnsi="Arial" w:cs="Arial" w:eastAsia="Arial" w:hint="default"/>
        </w:rPr>
      </w:pPr>
      <w:r>
        <w:rPr>
          <w:w w:val="95"/>
          <w:position w:val="2"/>
        </w:rPr>
        <w:t>净利润</w:t>
        <w:tab/>
      </w:r>
      <w:r>
        <w:rPr>
          <w:rFonts w:ascii="Arial" w:hAnsi="Arial" w:cs="Arial" w:eastAsia="Arial" w:hint="default"/>
          <w:spacing w:val="-1"/>
        </w:rPr>
        <w:t>1,583,896,120</w:t>
        <w:tab/>
        <w:t>1,584,123,599</w:t>
      </w:r>
    </w:p>
    <w:p>
      <w:pPr>
        <w:pStyle w:val="BodyText"/>
        <w:tabs>
          <w:tab w:pos="6086" w:val="left" w:leader="none"/>
          <w:tab w:pos="8552" w:val="left" w:leader="none"/>
        </w:tabs>
        <w:spacing w:line="285" w:lineRule="exact"/>
        <w:ind w:left="785" w:right="125"/>
        <w:jc w:val="left"/>
        <w:rPr>
          <w:rFonts w:ascii="Arial" w:hAnsi="Arial" w:cs="Arial" w:eastAsia="Arial" w:hint="default"/>
        </w:rPr>
      </w:pPr>
      <w:r>
        <w:rPr>
          <w:w w:val="95"/>
          <w:position w:val="2"/>
        </w:rPr>
        <w:t>加：固定资产折旧</w:t>
        <w:tab/>
      </w:r>
      <w:r>
        <w:rPr>
          <w:rFonts w:ascii="Arial" w:hAnsi="Arial" w:cs="Arial" w:eastAsia="Arial" w:hint="default"/>
          <w:w w:val="95"/>
        </w:rPr>
        <w:t>234,986</w:t>
        <w:tab/>
      </w:r>
      <w:r>
        <w:rPr>
          <w:rFonts w:ascii="Arial" w:hAnsi="Arial" w:cs="Arial" w:eastAsia="Arial" w:hint="default"/>
        </w:rPr>
        <w:t>344,618</w:t>
      </w:r>
    </w:p>
    <w:p>
      <w:pPr>
        <w:pStyle w:val="BodyText"/>
        <w:tabs>
          <w:tab w:pos="6086" w:val="left" w:leader="none"/>
          <w:tab w:pos="8552" w:val="left" w:leader="none"/>
        </w:tabs>
        <w:spacing w:line="285" w:lineRule="exact"/>
        <w:ind w:left="1242" w:right="125"/>
        <w:jc w:val="left"/>
        <w:rPr>
          <w:rFonts w:ascii="Arial" w:hAnsi="Arial" w:cs="Arial" w:eastAsia="Arial" w:hint="default"/>
        </w:rPr>
      </w:pPr>
      <w:r>
        <w:rPr>
          <w:w w:val="95"/>
          <w:position w:val="2"/>
        </w:rPr>
        <w:t>无形资产摊销</w:t>
        <w:tab/>
      </w:r>
      <w:r>
        <w:rPr>
          <w:rFonts w:ascii="Arial" w:hAnsi="Arial" w:cs="Arial" w:eastAsia="Arial" w:hint="default"/>
          <w:w w:val="95"/>
        </w:rPr>
        <w:t>248,107</w:t>
        <w:tab/>
      </w:r>
      <w:r>
        <w:rPr>
          <w:rFonts w:ascii="Arial" w:hAnsi="Arial" w:cs="Arial" w:eastAsia="Arial" w:hint="default"/>
        </w:rPr>
        <w:t>248,507</w:t>
      </w:r>
    </w:p>
    <w:p>
      <w:pPr>
        <w:pStyle w:val="BodyText"/>
        <w:tabs>
          <w:tab w:pos="6012" w:val="left" w:leader="none"/>
          <w:tab w:pos="8560" w:val="left" w:leader="none"/>
        </w:tabs>
        <w:spacing w:line="285" w:lineRule="exact"/>
        <w:ind w:left="1242" w:right="125"/>
        <w:jc w:val="left"/>
        <w:rPr>
          <w:rFonts w:ascii="Arial" w:hAnsi="Arial" w:cs="Arial" w:eastAsia="Arial" w:hint="default"/>
        </w:rPr>
      </w:pPr>
      <w:r>
        <w:rPr>
          <w:w w:val="95"/>
          <w:position w:val="2"/>
        </w:rPr>
        <w:t>财务收益</w:t>
        <w:tab/>
      </w:r>
      <w:r>
        <w:rPr>
          <w:rFonts w:ascii="Arial" w:hAnsi="Arial" w:cs="Arial" w:eastAsia="Arial" w:hint="default"/>
          <w:w w:val="95"/>
        </w:rPr>
        <w:t>(537,641)</w:t>
        <w:tab/>
      </w:r>
      <w:r>
        <w:rPr>
          <w:rFonts w:ascii="Arial" w:hAnsi="Arial" w:cs="Arial" w:eastAsia="Arial" w:hint="default"/>
        </w:rPr>
        <w:t>(44,920)</w:t>
      </w:r>
    </w:p>
    <w:p>
      <w:pPr>
        <w:pStyle w:val="BodyText"/>
        <w:tabs>
          <w:tab w:pos="5400" w:val="left" w:leader="none"/>
          <w:tab w:pos="7826" w:val="left" w:leader="none"/>
        </w:tabs>
        <w:spacing w:line="285" w:lineRule="exact"/>
        <w:ind w:left="1242" w:right="125"/>
        <w:jc w:val="left"/>
        <w:rPr>
          <w:rFonts w:ascii="Arial" w:hAnsi="Arial" w:cs="Arial" w:eastAsia="Arial" w:hint="default"/>
        </w:rPr>
      </w:pPr>
      <w:r>
        <w:rPr>
          <w:w w:val="95"/>
          <w:position w:val="2"/>
        </w:rPr>
        <w:t>投资收益</w:t>
        <w:tab/>
      </w:r>
      <w:r>
        <w:rPr>
          <w:rFonts w:ascii="Arial" w:hAnsi="Arial" w:cs="Arial" w:eastAsia="Arial" w:hint="default"/>
          <w:w w:val="95"/>
        </w:rPr>
        <w:t>(1,596,772,574)</w:t>
        <w:tab/>
      </w:r>
      <w:r>
        <w:rPr>
          <w:rFonts w:ascii="Arial" w:hAnsi="Arial" w:cs="Arial" w:eastAsia="Arial" w:hint="default"/>
        </w:rPr>
        <w:t>(1,596,772,574)</w:t>
      </w:r>
    </w:p>
    <w:p>
      <w:pPr>
        <w:pStyle w:val="BodyText"/>
        <w:tabs>
          <w:tab w:pos="4759" w:val="left" w:leader="none"/>
          <w:tab w:pos="5707" w:val="left" w:leader="none"/>
          <w:tab w:pos="5902" w:val="left" w:leader="none"/>
          <w:tab w:pos="6013" w:val="left" w:leader="none"/>
          <w:tab w:pos="7226" w:val="left" w:leader="none"/>
          <w:tab w:pos="8132" w:val="left" w:leader="none"/>
          <w:tab w:pos="8254" w:val="left" w:leader="none"/>
          <w:tab w:pos="8438" w:val="left" w:leader="none"/>
          <w:tab w:pos="9463" w:val="left" w:leader="none"/>
        </w:tabs>
        <w:spacing w:line="220" w:lineRule="auto" w:before="2"/>
        <w:ind w:left="1243" w:right="241" w:hanging="1"/>
        <w:jc w:val="left"/>
        <w:rPr>
          <w:rFonts w:ascii="Arial" w:hAnsi="Arial" w:cs="Arial" w:eastAsia="Arial" w:hint="default"/>
        </w:rPr>
      </w:pPr>
      <w:r>
        <w:rPr>
          <w:w w:val="95"/>
          <w:position w:val="2"/>
        </w:rPr>
        <w:t>经营性应收项目的增加</w:t>
        <w:tab/>
        <w:tab/>
        <w:tab/>
        <w:tab/>
      </w:r>
      <w:r>
        <w:rPr>
          <w:rFonts w:ascii="Arial" w:hAnsi="Arial" w:cs="Arial" w:eastAsia="Arial" w:hint="default"/>
          <w:w w:val="95"/>
        </w:rPr>
        <w:t>(170,809)</w:t>
        <w:tab/>
        <w:tab/>
        <w:tab/>
        <w:tab/>
      </w:r>
      <w:r>
        <w:rPr>
          <w:rFonts w:ascii="Arial" w:hAnsi="Arial" w:cs="Arial" w:eastAsia="Arial" w:hint="default"/>
        </w:rPr>
        <w:t>(482,703)</w:t>
      </w:r>
      <w:r>
        <w:rPr>
          <w:rFonts w:ascii="Arial" w:hAnsi="Arial" w:cs="Arial" w:eastAsia="Arial" w:hint="default"/>
          <w:w w:val="99"/>
        </w:rPr>
        <w:t> </w:t>
      </w:r>
      <w:r>
        <w:rPr>
          <w:w w:val="95"/>
          <w:position w:val="2"/>
        </w:rPr>
        <w:t>经营性应付项目的增加（减少）</w:t>
        <w:tab/>
      </w:r>
      <w:r>
        <w:rPr>
          <w:rFonts w:ascii="Arial" w:hAnsi="Arial" w:cs="Arial" w:eastAsia="Arial" w:hint="default"/>
          <w:w w:val="95"/>
        </w:rPr>
      </w:r>
      <w:r>
        <w:rPr>
          <w:rFonts w:ascii="Arial" w:hAnsi="Arial" w:cs="Arial" w:eastAsia="Arial" w:hint="default"/>
          <w:w w:val="95"/>
          <w:u w:val="single" w:color="000000"/>
        </w:rPr>
        <w:t> </w:t>
        <w:tab/>
        <w:tab/>
        <w:t>1,085,079</w:t>
      </w:r>
      <w:r>
        <w:rPr>
          <w:rFonts w:ascii="Arial" w:hAnsi="Arial" w:cs="Arial" w:eastAsia="Arial" w:hint="default"/>
          <w:w w:val="95"/>
        </w:rPr>
        <w:tab/>
      </w:r>
      <w:r>
        <w:rPr>
          <w:rFonts w:ascii="Arial" w:hAnsi="Arial" w:cs="Arial" w:eastAsia="Arial" w:hint="default"/>
          <w:w w:val="95"/>
          <w:u w:val="single" w:color="000000"/>
        </w:rPr>
        <w:t> </w:t>
        <w:tab/>
        <w:tab/>
      </w:r>
      <w:r>
        <w:rPr>
          <w:rFonts w:ascii="Arial" w:hAnsi="Arial" w:cs="Arial" w:eastAsia="Arial" w:hint="default"/>
          <w:u w:val="single" w:color="000000"/>
        </w:rPr>
        <w:t>(2,426,816)</w:t>
        <w:tab/>
      </w:r>
      <w:r>
        <w:rPr>
          <w:rFonts w:ascii="Arial" w:hAnsi="Arial" w:cs="Arial" w:eastAsia="Arial" w:hint="default"/>
          <w:w w:val="29"/>
          <w:u w:val="single" w:color="000000"/>
        </w:rPr>
        <w:t> </w:t>
      </w:r>
      <w:r>
        <w:rPr>
          <w:rFonts w:ascii="Arial" w:hAnsi="Arial" w:cs="Arial" w:eastAsia="Arial" w:hint="default"/>
          <w:u w:val="single" w:color="000000"/>
        </w:rPr>
      </w:r>
      <w:r>
        <w:rPr>
          <w:rFonts w:ascii="Arial" w:hAnsi="Arial" w:cs="Arial" w:eastAsia="Arial" w:hint="default"/>
        </w:rPr>
      </w:r>
      <w:r>
        <w:rPr>
          <w:rFonts w:ascii="Arial" w:hAnsi="Arial" w:cs="Arial" w:eastAsia="Arial" w:hint="default"/>
        </w:rPr>
        <w:t> </w:t>
      </w:r>
      <w:r>
        <w:rPr>
          <w:w w:val="95"/>
          <w:position w:val="1"/>
        </w:rPr>
        <w:t>经营活动产生的现金流量净额</w:t>
        <w:tab/>
        <w:tab/>
      </w:r>
      <w:r>
        <w:rPr>
          <w:rFonts w:ascii="Arial" w:hAnsi="Arial" w:cs="Arial" w:eastAsia="Arial" w:hint="default"/>
          <w:w w:val="95"/>
        </w:rPr>
        <w:t>(12,016,732)</w:t>
        <w:tab/>
        <w:tab/>
      </w:r>
      <w:r>
        <w:rPr>
          <w:rFonts w:ascii="Arial" w:hAnsi="Arial" w:cs="Arial" w:eastAsia="Arial" w:hint="default"/>
        </w:rPr>
        <w:t>(15,010,289)</w:t>
      </w:r>
    </w:p>
    <w:p>
      <w:pPr>
        <w:tabs>
          <w:tab w:pos="7212" w:val="left" w:leader="none"/>
        </w:tabs>
        <w:spacing w:line="43" w:lineRule="exact"/>
        <w:ind w:left="4744" w:right="0" w:firstLine="0"/>
        <w:rPr>
          <w:rFonts w:ascii="Arial" w:hAnsi="Arial" w:cs="Arial" w:eastAsia="Arial" w:hint="default"/>
          <w:sz w:val="4"/>
          <w:szCs w:val="4"/>
        </w:rPr>
      </w:pPr>
      <w:r>
        <w:rPr>
          <w:rFonts w:ascii="Arial"/>
          <w:position w:val="0"/>
          <w:sz w:val="4"/>
        </w:rPr>
        <w:pict>
          <v:group style="width:112.45pt;height:2.2pt;mso-position-horizontal-relative:char;mso-position-vertical-relative:line" coordorigin="0,0" coordsize="2249,44">
            <v:group style="position:absolute;left:7;top:36;width:2235;height:2" coordorigin="7,36" coordsize="2235,2">
              <v:shape style="position:absolute;left:7;top:36;width:2235;height:2" coordorigin="7,36" coordsize="2235,0" path="m7,36l2242,36e" filled="false" stroked="true" strokeweight=".72pt" strokecolor="#000000">
                <v:path arrowok="t"/>
              </v:shape>
            </v:group>
            <v:group style="position:absolute;left:7;top:7;width:2235;height:2" coordorigin="7,7" coordsize="2235,2">
              <v:shape style="position:absolute;left:7;top:7;width:2235;height:2" coordorigin="7,7" coordsize="2235,0" path="m7,7l2242,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114.2pt;height:2.2pt;mso-position-horizontal-relative:char;mso-position-vertical-relative:line" coordorigin="0,0" coordsize="2284,44">
            <v:group style="position:absolute;left:7;top:36;width:2270;height:2" coordorigin="7,36" coordsize="2270,2">
              <v:shape style="position:absolute;left:7;top:36;width:2270;height:2" coordorigin="7,36" coordsize="2270,0" path="m7,36l2276,36e" filled="false" stroked="true" strokeweight=".72pt" strokecolor="#000000">
                <v:path arrowok="t"/>
              </v:shape>
            </v:group>
            <v:group style="position:absolute;left:7;top:7;width:2270;height:2" coordorigin="7,7" coordsize="2270,2">
              <v:shape style="position:absolute;left:7;top:7;width:2270;height:2" coordorigin="7,7" coordsize="2270,0" path="m7,7l2276,7e" filled="false" stroked="true" strokeweight=".72pt" strokecolor="#000000">
                <v:path arrowok="t"/>
              </v:shape>
            </v:group>
          </v:group>
        </w:pict>
      </w:r>
      <w:r>
        <w:rPr>
          <w:rFonts w:ascii="Arial"/>
          <w:position w:val="0"/>
          <w:sz w:val="4"/>
        </w:rPr>
      </w:r>
    </w:p>
    <w:p>
      <w:pPr>
        <w:spacing w:line="240" w:lineRule="auto" w:before="10"/>
        <w:rPr>
          <w:rFonts w:ascii="Arial" w:hAnsi="Arial" w:cs="Arial" w:eastAsia="Arial" w:hint="default"/>
          <w:sz w:val="16"/>
          <w:szCs w:val="16"/>
        </w:rPr>
      </w:pPr>
    </w:p>
    <w:p>
      <w:pPr>
        <w:pStyle w:val="BodyText"/>
        <w:tabs>
          <w:tab w:pos="779" w:val="left" w:leader="none"/>
        </w:tabs>
        <w:spacing w:line="240" w:lineRule="auto" w:before="31"/>
        <w:ind w:left="104" w:right="125"/>
        <w:jc w:val="left"/>
      </w:pPr>
      <w:r>
        <w:rPr>
          <w:rFonts w:ascii="Arial" w:hAnsi="Arial" w:cs="Arial" w:eastAsia="Arial" w:hint="default"/>
          <w:w w:val="95"/>
        </w:rPr>
        <w:t>(b)</w:t>
        <w:tab/>
      </w:r>
      <w:r>
        <w:rPr/>
        <w:t>现金及现金等价物净变动情况</w:t>
      </w:r>
    </w:p>
    <w:p>
      <w:pPr>
        <w:spacing w:line="240" w:lineRule="auto" w:before="6"/>
        <w:rPr>
          <w:rFonts w:ascii="宋体" w:hAnsi="宋体" w:cs="宋体" w:eastAsia="宋体" w:hint="default"/>
          <w:sz w:val="15"/>
          <w:szCs w:val="15"/>
        </w:rPr>
      </w:pPr>
    </w:p>
    <w:p>
      <w:pPr>
        <w:pStyle w:val="BodyText"/>
        <w:tabs>
          <w:tab w:pos="8396" w:val="left" w:leader="none"/>
        </w:tabs>
        <w:spacing w:line="240" w:lineRule="auto" w:before="31"/>
        <w:ind w:left="5894" w:right="125"/>
        <w:jc w:val="left"/>
      </w:pPr>
      <w:r>
        <w:rPr>
          <w:rFonts w:ascii="Arial" w:hAnsi="Arial" w:cs="Arial" w:eastAsia="Arial" w:hint="default"/>
        </w:rPr>
        <w:t>2009</w:t>
      </w:r>
      <w:r>
        <w:rPr>
          <w:rFonts w:ascii="Arial" w:hAnsi="Arial" w:cs="Arial" w:eastAsia="Arial" w:hint="default"/>
          <w:spacing w:val="-8"/>
        </w:rPr>
        <w:t> </w:t>
      </w:r>
      <w:r>
        <w:rPr/>
        <w:t>年度</w:t>
        <w:tab/>
      </w:r>
      <w:r>
        <w:rPr>
          <w:rFonts w:ascii="Arial" w:hAnsi="Arial" w:cs="Arial" w:eastAsia="Arial" w:hint="default"/>
        </w:rPr>
        <w:t>2008</w:t>
      </w:r>
      <w:r>
        <w:rPr>
          <w:rFonts w:ascii="Arial" w:hAnsi="Arial" w:cs="Arial" w:eastAsia="Arial" w:hint="default"/>
          <w:spacing w:val="-8"/>
        </w:rPr>
        <w:t> </w:t>
      </w:r>
      <w:r>
        <w:rPr/>
        <w:t>年度</w:t>
      </w:r>
    </w:p>
    <w:p>
      <w:pPr>
        <w:tabs>
          <w:tab w:pos="7219" w:val="left" w:leader="none"/>
        </w:tabs>
        <w:spacing w:line="20" w:lineRule="exact"/>
        <w:ind w:left="4754" w:right="0" w:firstLine="0"/>
        <w:rPr>
          <w:rFonts w:ascii="宋体" w:hAnsi="宋体" w:cs="宋体" w:eastAsia="宋体" w:hint="default"/>
          <w:sz w:val="2"/>
          <w:szCs w:val="2"/>
        </w:rPr>
      </w:pPr>
      <w:r>
        <w:rPr>
          <w:rFonts w:ascii="宋体"/>
          <w:sz w:val="2"/>
        </w:rPr>
        <w:pict>
          <v:group style="width:111.6pt;height:.75pt;mso-position-horizontal-relative:char;mso-position-vertical-relative:line" coordorigin="0,0" coordsize="2232,15">
            <v:group style="position:absolute;left:7;top:7;width:2218;height:2" coordorigin="7,7" coordsize="2218,2">
              <v:shape style="position:absolute;left:7;top:7;width:2218;height:2" coordorigin="7,7" coordsize="2218,0" path="m7,7l2225,7e" filled="false" stroked="true" strokeweight=".72pt" strokecolor="#000000">
                <v:path arrowok="t"/>
              </v:shape>
            </v:group>
          </v:group>
        </w:pict>
      </w:r>
      <w:r>
        <w:rPr>
          <w:rFonts w:ascii="宋体"/>
          <w:sz w:val="2"/>
        </w:rPr>
      </w:r>
      <w:r>
        <w:rPr>
          <w:rFonts w:ascii="宋体"/>
          <w:sz w:val="2"/>
        </w:rPr>
        <w:tab/>
      </w:r>
      <w:r>
        <w:rPr>
          <w:rFonts w:ascii="宋体"/>
          <w:sz w:val="2"/>
        </w:rPr>
        <w:pict>
          <v:group style="width:113.5pt;height:.75pt;mso-position-horizontal-relative:char;mso-position-vertical-relative:line" coordorigin="0,0" coordsize="2270,15">
            <v:group style="position:absolute;left:7;top:7;width:2255;height:2" coordorigin="7,7" coordsize="2255,2">
              <v:shape style="position:absolute;left:7;top:7;width:2255;height:2" coordorigin="7,7" coordsize="2255,0" path="m7,7l2262,7e" filled="false" stroked="true" strokeweight=".72pt" strokecolor="#000000">
                <v:path arrowok="t"/>
              </v:shape>
            </v:group>
          </v:group>
        </w:pict>
      </w:r>
      <w:r>
        <w:rPr>
          <w:rFonts w:ascii="宋体"/>
          <w:sz w:val="2"/>
        </w:rPr>
      </w:r>
    </w:p>
    <w:p>
      <w:pPr>
        <w:spacing w:line="240" w:lineRule="auto" w:before="1"/>
        <w:rPr>
          <w:rFonts w:ascii="宋体" w:hAnsi="宋体" w:cs="宋体" w:eastAsia="宋体" w:hint="default"/>
          <w:sz w:val="15"/>
          <w:szCs w:val="15"/>
        </w:rPr>
      </w:pPr>
    </w:p>
    <w:p>
      <w:pPr>
        <w:pStyle w:val="BodyText"/>
        <w:tabs>
          <w:tab w:pos="5776" w:val="left" w:leader="none"/>
          <w:tab w:pos="8278" w:val="left" w:leader="none"/>
        </w:tabs>
        <w:spacing w:line="305" w:lineRule="exact" w:before="27"/>
        <w:ind w:left="786" w:right="125"/>
        <w:jc w:val="left"/>
        <w:rPr>
          <w:rFonts w:ascii="Arial" w:hAnsi="Arial" w:cs="Arial" w:eastAsia="Arial" w:hint="default"/>
        </w:rPr>
      </w:pPr>
      <w:r>
        <w:rPr>
          <w:w w:val="95"/>
          <w:position w:val="2"/>
        </w:rPr>
        <w:t>现金的年末余额</w:t>
        <w:tab/>
      </w:r>
      <w:r>
        <w:rPr>
          <w:rFonts w:ascii="Arial" w:hAnsi="Arial" w:cs="Arial" w:eastAsia="Arial" w:hint="default"/>
          <w:w w:val="95"/>
        </w:rPr>
        <w:t>11,533,374</w:t>
        <w:tab/>
      </w:r>
      <w:r>
        <w:rPr>
          <w:rFonts w:ascii="Arial" w:hAnsi="Arial" w:cs="Arial" w:eastAsia="Arial" w:hint="default"/>
        </w:rPr>
        <w:t>10,774,856</w:t>
      </w:r>
    </w:p>
    <w:p>
      <w:pPr>
        <w:pStyle w:val="BodyText"/>
        <w:tabs>
          <w:tab w:pos="4761" w:val="left" w:leader="none"/>
          <w:tab w:pos="5703" w:val="left" w:leader="none"/>
          <w:tab w:pos="7226" w:val="left" w:leader="none"/>
          <w:tab w:pos="8205" w:val="left" w:leader="none"/>
        </w:tabs>
        <w:spacing w:line="298" w:lineRule="exact"/>
        <w:ind w:left="785" w:right="125"/>
        <w:jc w:val="left"/>
        <w:rPr>
          <w:rFonts w:ascii="Arial" w:hAnsi="Arial" w:cs="Arial" w:eastAsia="Arial" w:hint="default"/>
        </w:rPr>
      </w:pPr>
      <w:r>
        <w:rPr>
          <w:w w:val="95"/>
          <w:position w:val="2"/>
        </w:rPr>
        <w:t>减：现金的年初余额</w:t>
        <w:tab/>
      </w:r>
      <w:r>
        <w:rPr>
          <w:rFonts w:ascii="Arial" w:hAnsi="Arial" w:cs="Arial" w:eastAsia="Arial" w:hint="default"/>
          <w:w w:val="95"/>
        </w:rPr>
      </w:r>
      <w:r>
        <w:rPr>
          <w:rFonts w:ascii="Arial" w:hAnsi="Arial" w:cs="Arial" w:eastAsia="Arial" w:hint="default"/>
          <w:w w:val="95"/>
          <w:u w:val="single" w:color="000000"/>
        </w:rPr>
        <w:t> </w:t>
        <w:tab/>
        <w:t>(10,774,856)</w:t>
      </w:r>
      <w:r>
        <w:rPr>
          <w:rFonts w:ascii="Arial" w:hAnsi="Arial" w:cs="Arial" w:eastAsia="Arial" w:hint="default"/>
          <w:w w:val="95"/>
        </w:rPr>
        <w:tab/>
      </w:r>
      <w:r>
        <w:rPr>
          <w:rFonts w:ascii="Arial" w:hAnsi="Arial" w:cs="Arial" w:eastAsia="Arial" w:hint="default"/>
          <w:w w:val="95"/>
          <w:u w:val="single" w:color="000000"/>
        </w:rPr>
        <w:t> </w:t>
        <w:tab/>
      </w:r>
      <w:r>
        <w:rPr>
          <w:rFonts w:ascii="Arial" w:hAnsi="Arial" w:cs="Arial" w:eastAsia="Arial" w:hint="default"/>
          <w:u w:val="single" w:color="000000"/>
        </w:rPr>
        <w:t>(11,601,814)</w:t>
      </w:r>
      <w:r>
        <w:rPr>
          <w:rFonts w:ascii="Arial" w:hAnsi="Arial" w:cs="Arial" w:eastAsia="Arial" w:hint="default"/>
        </w:rPr>
      </w:r>
    </w:p>
    <w:p>
      <w:pPr>
        <w:pStyle w:val="BodyText"/>
        <w:tabs>
          <w:tab w:pos="6082" w:val="left" w:leader="none"/>
          <w:tab w:pos="8511" w:val="left" w:leader="none"/>
        </w:tabs>
        <w:spacing w:line="307" w:lineRule="exact"/>
        <w:ind w:left="786" w:right="125"/>
        <w:jc w:val="left"/>
        <w:rPr>
          <w:rFonts w:ascii="Arial" w:hAnsi="Arial" w:cs="Arial" w:eastAsia="Arial" w:hint="default"/>
        </w:rPr>
      </w:pPr>
      <w:r>
        <w:rPr>
          <w:w w:val="95"/>
          <w:position w:val="1"/>
        </w:rPr>
        <w:t>现金净增加（减少）额</w:t>
        <w:tab/>
      </w:r>
      <w:r>
        <w:rPr>
          <w:rFonts w:ascii="Arial" w:hAnsi="Arial" w:cs="Arial" w:eastAsia="Arial" w:hint="default"/>
          <w:w w:val="95"/>
        </w:rPr>
        <w:t>758,518</w:t>
        <w:tab/>
      </w:r>
      <w:r>
        <w:rPr>
          <w:rFonts w:ascii="Arial" w:hAnsi="Arial" w:cs="Arial" w:eastAsia="Arial" w:hint="default"/>
        </w:rPr>
        <w:t>(826,958)</w:t>
      </w:r>
    </w:p>
    <w:p>
      <w:pPr>
        <w:tabs>
          <w:tab w:pos="7212" w:val="left" w:leader="none"/>
        </w:tabs>
        <w:spacing w:line="43" w:lineRule="exact"/>
        <w:ind w:left="4747" w:right="0" w:firstLine="0"/>
        <w:rPr>
          <w:rFonts w:ascii="Arial" w:hAnsi="Arial" w:cs="Arial" w:eastAsia="Arial" w:hint="default"/>
          <w:sz w:val="4"/>
          <w:szCs w:val="4"/>
        </w:rPr>
      </w:pPr>
      <w:r>
        <w:rPr>
          <w:rFonts w:ascii="Arial"/>
          <w:position w:val="0"/>
          <w:sz w:val="4"/>
        </w:rPr>
        <w:pict>
          <v:group style="width:112.35pt;height:2.2pt;mso-position-horizontal-relative:char;mso-position-vertical-relative:line" coordorigin="0,0" coordsize="2247,44">
            <v:group style="position:absolute;left:7;top:36;width:2232;height:2" coordorigin="7,36" coordsize="2232,2">
              <v:shape style="position:absolute;left:7;top:36;width:2232;height:2" coordorigin="7,36" coordsize="2232,0" path="m7,36l2239,36e" filled="false" stroked="true" strokeweight=".72pt" strokecolor="#000000">
                <v:path arrowok="t"/>
              </v:shape>
            </v:group>
            <v:group style="position:absolute;left:7;top:7;width:2232;height:2" coordorigin="7,7" coordsize="2232,2">
              <v:shape style="position:absolute;left:7;top:7;width:2232;height:2" coordorigin="7,7" coordsize="2232,0" path="m7,7l2239,7e" filled="false" stroked="true" strokeweight=".72pt" strokecolor="#000000">
                <v:path arrowok="t"/>
              </v:shape>
            </v:group>
          </v:group>
        </w:pict>
      </w:r>
      <w:r>
        <w:rPr>
          <w:rFonts w:ascii="Arial"/>
          <w:position w:val="0"/>
          <w:sz w:val="4"/>
        </w:rPr>
      </w:r>
      <w:r>
        <w:rPr>
          <w:rFonts w:ascii="Arial"/>
          <w:position w:val="0"/>
          <w:sz w:val="4"/>
        </w:rPr>
        <w:tab/>
      </w:r>
      <w:r>
        <w:rPr>
          <w:rFonts w:ascii="Arial"/>
          <w:position w:val="0"/>
          <w:sz w:val="4"/>
        </w:rPr>
        <w:pict>
          <v:group style="width:114.2pt;height:2.2pt;mso-position-horizontal-relative:char;mso-position-vertical-relative:line" coordorigin="0,0" coordsize="2284,44">
            <v:group style="position:absolute;left:7;top:36;width:2270;height:2" coordorigin="7,36" coordsize="2270,2">
              <v:shape style="position:absolute;left:7;top:36;width:2270;height:2" coordorigin="7,36" coordsize="2270,0" path="m7,36l2276,36e" filled="false" stroked="true" strokeweight=".72pt" strokecolor="#000000">
                <v:path arrowok="t"/>
              </v:shape>
            </v:group>
            <v:group style="position:absolute;left:7;top:7;width:2270;height:2" coordorigin="7,7" coordsize="2270,2">
              <v:shape style="position:absolute;left:7;top:7;width:2270;height:2" coordorigin="7,7" coordsize="2270,0" path="m7,7l2276,7e" filled="false" stroked="true" strokeweight=".72pt" strokecolor="#000000">
                <v:path arrowok="t"/>
              </v:shape>
            </v:group>
          </v:group>
        </w:pict>
      </w:r>
      <w:r>
        <w:rPr>
          <w:rFonts w:ascii="Arial"/>
          <w:position w:val="0"/>
          <w:sz w:val="4"/>
        </w:rPr>
      </w:r>
    </w:p>
    <w:p>
      <w:pPr>
        <w:spacing w:after="0" w:line="43" w:lineRule="exact"/>
        <w:rPr>
          <w:rFonts w:ascii="Arial" w:hAnsi="Arial" w:cs="Arial" w:eastAsia="Arial" w:hint="default"/>
          <w:sz w:val="4"/>
          <w:szCs w:val="4"/>
        </w:rPr>
        <w:sectPr>
          <w:headerReference w:type="default" r:id="rId147"/>
          <w:pgSz w:w="11910" w:h="16840"/>
          <w:pgMar w:header="1330" w:footer="1042" w:top="2680" w:bottom="1240" w:left="1260" w:right="920"/>
        </w:sectPr>
      </w:pPr>
    </w:p>
    <w:p>
      <w:pPr>
        <w:spacing w:line="240" w:lineRule="auto" w:before="1"/>
        <w:rPr>
          <w:rFonts w:ascii="Arial" w:hAnsi="Arial" w:cs="Arial" w:eastAsia="Arial"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440"/>
        <w:gridCol w:w="5481"/>
        <w:gridCol w:w="1736"/>
        <w:gridCol w:w="238"/>
        <w:gridCol w:w="1770"/>
      </w:tblGrid>
      <w:tr>
        <w:trPr>
          <w:trHeight w:val="903" w:hRule="exact"/>
        </w:trPr>
        <w:tc>
          <w:tcPr>
            <w:tcW w:w="440" w:type="dxa"/>
            <w:tcBorders>
              <w:top w:val="nil" w:sz="6" w:space="0" w:color="auto"/>
              <w:left w:val="nil" w:sz="6" w:space="0" w:color="auto"/>
              <w:bottom w:val="nil" w:sz="6" w:space="0" w:color="auto"/>
              <w:right w:val="nil" w:sz="6" w:space="0" w:color="auto"/>
            </w:tcBorders>
          </w:tcPr>
          <w:p>
            <w:pPr>
              <w:pStyle w:val="TableParagraph"/>
              <w:spacing w:line="240" w:lineRule="auto" w:before="21"/>
              <w:ind w:left="35" w:right="0"/>
              <w:jc w:val="left"/>
              <w:rPr>
                <w:rFonts w:ascii="黑体" w:hAnsi="黑体" w:cs="黑体" w:eastAsia="黑体" w:hint="default"/>
                <w:sz w:val="22"/>
                <w:szCs w:val="22"/>
              </w:rPr>
            </w:pPr>
            <w:r>
              <w:rPr>
                <w:rFonts w:ascii="黑体" w:hAnsi="黑体" w:cs="黑体" w:eastAsia="黑体" w:hint="default"/>
                <w:w w:val="99"/>
                <w:sz w:val="22"/>
                <w:szCs w:val="22"/>
              </w:rPr>
              <w:t>一</w:t>
            </w:r>
            <w:r>
              <w:rPr>
                <w:rFonts w:ascii="黑体" w:hAnsi="黑体" w:cs="黑体" w:eastAsia="黑体" w:hint="default"/>
                <w:sz w:val="22"/>
                <w:szCs w:val="22"/>
              </w:rPr>
            </w:r>
          </w:p>
        </w:tc>
        <w:tc>
          <w:tcPr>
            <w:tcW w:w="5481" w:type="dxa"/>
            <w:tcBorders>
              <w:top w:val="nil" w:sz="6" w:space="0" w:color="auto"/>
              <w:left w:val="nil" w:sz="6" w:space="0" w:color="auto"/>
              <w:bottom w:val="nil" w:sz="6" w:space="0" w:color="auto"/>
              <w:right w:val="nil" w:sz="6" w:space="0" w:color="auto"/>
            </w:tcBorders>
          </w:tcPr>
          <w:p>
            <w:pPr>
              <w:pStyle w:val="TableParagraph"/>
              <w:spacing w:line="240" w:lineRule="auto" w:before="21"/>
              <w:ind w:left="15" w:right="0"/>
              <w:jc w:val="left"/>
              <w:rPr>
                <w:rFonts w:ascii="黑体" w:hAnsi="黑体" w:cs="黑体" w:eastAsia="黑体" w:hint="default"/>
                <w:sz w:val="22"/>
                <w:szCs w:val="22"/>
              </w:rPr>
            </w:pPr>
            <w:r>
              <w:rPr>
                <w:rFonts w:ascii="黑体" w:hAnsi="黑体" w:cs="黑体" w:eastAsia="黑体" w:hint="default"/>
                <w:sz w:val="22"/>
                <w:szCs w:val="22"/>
              </w:rPr>
              <w:t>非经常性损益明细表</w:t>
            </w:r>
          </w:p>
          <w:p>
            <w:pPr>
              <w:pStyle w:val="TableParagraph"/>
              <w:spacing w:line="240" w:lineRule="auto" w:before="11"/>
              <w:ind w:right="0"/>
              <w:jc w:val="left"/>
              <w:rPr>
                <w:rFonts w:ascii="Arial" w:hAnsi="Arial" w:cs="Arial" w:eastAsia="Arial" w:hint="default"/>
                <w:sz w:val="22"/>
                <w:szCs w:val="22"/>
              </w:rPr>
            </w:pPr>
          </w:p>
          <w:p>
            <w:pPr>
              <w:pStyle w:val="TableParagraph"/>
              <w:spacing w:line="240" w:lineRule="auto"/>
              <w:ind w:left="54" w:right="0"/>
              <w:jc w:val="left"/>
              <w:rPr>
                <w:rFonts w:ascii="宋体" w:hAnsi="宋体" w:cs="宋体" w:eastAsia="宋体" w:hint="default"/>
                <w:sz w:val="22"/>
                <w:szCs w:val="22"/>
              </w:rPr>
            </w:pPr>
            <w:r>
              <w:rPr>
                <w:rFonts w:ascii="宋体" w:hAnsi="宋体" w:cs="宋体" w:eastAsia="宋体" w:hint="default"/>
                <w:sz w:val="22"/>
                <w:szCs w:val="22"/>
              </w:rPr>
              <w:t>（单位：人民币百万元）</w:t>
            </w:r>
          </w:p>
        </w:tc>
        <w:tc>
          <w:tcPr>
            <w:tcW w:w="1736"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Arial" w:hAnsi="Arial" w:cs="Arial" w:eastAsia="Arial" w:hint="default"/>
                <w:sz w:val="22"/>
                <w:szCs w:val="22"/>
              </w:rPr>
            </w:pPr>
          </w:p>
          <w:p>
            <w:pPr>
              <w:pStyle w:val="TableParagraph"/>
              <w:spacing w:line="240" w:lineRule="auto" w:before="10"/>
              <w:ind w:right="0"/>
              <w:jc w:val="left"/>
              <w:rPr>
                <w:rFonts w:ascii="Arial" w:hAnsi="Arial" w:cs="Arial" w:eastAsia="Arial" w:hint="default"/>
                <w:sz w:val="27"/>
                <w:szCs w:val="27"/>
              </w:rPr>
            </w:pPr>
          </w:p>
          <w:p>
            <w:pPr>
              <w:pStyle w:val="TableParagraph"/>
              <w:spacing w:line="240" w:lineRule="auto"/>
              <w:ind w:left="651" w:right="0"/>
              <w:jc w:val="left"/>
              <w:rPr>
                <w:rFonts w:ascii="宋体" w:hAnsi="宋体" w:cs="宋体" w:eastAsia="宋体" w:hint="default"/>
                <w:sz w:val="22"/>
                <w:szCs w:val="22"/>
              </w:rPr>
            </w:pPr>
            <w:r>
              <w:rPr>
                <w:rFonts w:ascii="Arial" w:hAnsi="Arial" w:cs="Arial" w:eastAsia="Arial" w:hint="default"/>
                <w:sz w:val="22"/>
                <w:szCs w:val="22"/>
              </w:rPr>
              <w:t>2009</w:t>
            </w:r>
            <w:r>
              <w:rPr>
                <w:rFonts w:ascii="Arial" w:hAnsi="Arial" w:cs="Arial" w:eastAsia="Arial" w:hint="default"/>
                <w:spacing w:val="-8"/>
                <w:sz w:val="22"/>
                <w:szCs w:val="22"/>
              </w:rPr>
              <w:t> </w:t>
            </w:r>
            <w:r>
              <w:rPr>
                <w:rFonts w:ascii="宋体" w:hAnsi="宋体" w:cs="宋体" w:eastAsia="宋体" w:hint="default"/>
                <w:sz w:val="22"/>
                <w:szCs w:val="22"/>
              </w:rPr>
              <w:t>年度</w:t>
            </w: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Arial" w:hAnsi="Arial" w:cs="Arial" w:eastAsia="Arial" w:hint="default"/>
                <w:sz w:val="22"/>
                <w:szCs w:val="22"/>
              </w:rPr>
            </w:pPr>
          </w:p>
          <w:p>
            <w:pPr>
              <w:pStyle w:val="TableParagraph"/>
              <w:spacing w:line="240" w:lineRule="auto" w:before="10"/>
              <w:ind w:right="0"/>
              <w:jc w:val="left"/>
              <w:rPr>
                <w:rFonts w:ascii="Arial" w:hAnsi="Arial" w:cs="Arial" w:eastAsia="Arial" w:hint="default"/>
                <w:sz w:val="27"/>
                <w:szCs w:val="27"/>
              </w:rPr>
            </w:pPr>
          </w:p>
          <w:p>
            <w:pPr>
              <w:pStyle w:val="TableParagraph"/>
              <w:spacing w:line="240" w:lineRule="auto"/>
              <w:ind w:right="133"/>
              <w:jc w:val="right"/>
              <w:rPr>
                <w:rFonts w:ascii="宋体" w:hAnsi="宋体" w:cs="宋体" w:eastAsia="宋体" w:hint="default"/>
                <w:sz w:val="22"/>
                <w:szCs w:val="22"/>
              </w:rPr>
            </w:pPr>
            <w:r>
              <w:rPr>
                <w:rFonts w:ascii="Arial" w:hAnsi="Arial" w:cs="Arial" w:eastAsia="Arial" w:hint="default"/>
                <w:sz w:val="22"/>
                <w:szCs w:val="22"/>
              </w:rPr>
              <w:t>2008</w:t>
            </w:r>
            <w:r>
              <w:rPr>
                <w:rFonts w:ascii="Arial" w:hAnsi="Arial" w:cs="Arial" w:eastAsia="Arial" w:hint="default"/>
                <w:spacing w:val="-8"/>
                <w:sz w:val="22"/>
                <w:szCs w:val="22"/>
              </w:rPr>
              <w:t> </w:t>
            </w:r>
            <w:r>
              <w:rPr>
                <w:rFonts w:ascii="宋体" w:hAnsi="宋体" w:cs="宋体" w:eastAsia="宋体" w:hint="default"/>
                <w:sz w:val="22"/>
                <w:szCs w:val="22"/>
              </w:rPr>
              <w:t>年度</w:t>
            </w:r>
          </w:p>
        </w:tc>
      </w:tr>
      <w:tr>
        <w:trPr>
          <w:trHeight w:val="315" w:hRule="exact"/>
        </w:trPr>
        <w:tc>
          <w:tcPr>
            <w:tcW w:w="440" w:type="dxa"/>
            <w:tcBorders>
              <w:top w:val="nil" w:sz="6" w:space="0" w:color="auto"/>
              <w:left w:val="nil" w:sz="6" w:space="0" w:color="auto"/>
              <w:bottom w:val="nil" w:sz="6" w:space="0" w:color="auto"/>
              <w:right w:val="nil" w:sz="6" w:space="0" w:color="auto"/>
            </w:tcBorders>
          </w:tcPr>
          <w:p>
            <w:pPr/>
          </w:p>
        </w:tc>
        <w:tc>
          <w:tcPr>
            <w:tcW w:w="5481" w:type="dxa"/>
            <w:tcBorders>
              <w:top w:val="nil" w:sz="6" w:space="0" w:color="auto"/>
              <w:left w:val="nil" w:sz="6" w:space="0" w:color="auto"/>
              <w:bottom w:val="nil" w:sz="6" w:space="0" w:color="auto"/>
              <w:right w:val="nil" w:sz="6" w:space="0" w:color="auto"/>
            </w:tcBorders>
          </w:tcPr>
          <w:p>
            <w:pPr/>
          </w:p>
        </w:tc>
        <w:tc>
          <w:tcPr>
            <w:tcW w:w="1736" w:type="dxa"/>
            <w:tcBorders>
              <w:top w:val="single" w:sz="6" w:space="0" w:color="000000"/>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single" w:sz="6" w:space="0" w:color="000000"/>
              <w:left w:val="nil" w:sz="6" w:space="0" w:color="auto"/>
              <w:bottom w:val="nil" w:sz="6" w:space="0" w:color="auto"/>
              <w:right w:val="nil" w:sz="6" w:space="0" w:color="auto"/>
            </w:tcBorders>
          </w:tcPr>
          <w:p>
            <w:pPr>
              <w:pStyle w:val="TableParagraph"/>
              <w:spacing w:line="267" w:lineRule="exact"/>
              <w:ind w:right="135"/>
              <w:jc w:val="right"/>
              <w:rPr>
                <w:rFonts w:ascii="宋体" w:hAnsi="宋体" w:cs="宋体" w:eastAsia="宋体" w:hint="default"/>
                <w:sz w:val="22"/>
                <w:szCs w:val="22"/>
              </w:rPr>
            </w:pPr>
            <w:r>
              <w:rPr>
                <w:rFonts w:ascii="宋体" w:hAnsi="宋体" w:cs="宋体" w:eastAsia="宋体" w:hint="default"/>
                <w:w w:val="95"/>
                <w:sz w:val="22"/>
                <w:szCs w:val="22"/>
              </w:rPr>
              <w:t>（经重列）</w:t>
            </w:r>
            <w:r>
              <w:rPr>
                <w:rFonts w:ascii="宋体" w:hAnsi="宋体" w:cs="宋体" w:eastAsia="宋体" w:hint="default"/>
                <w:sz w:val="22"/>
                <w:szCs w:val="22"/>
              </w:rPr>
            </w:r>
          </w:p>
        </w:tc>
      </w:tr>
      <w:tr>
        <w:trPr>
          <w:trHeight w:val="313" w:hRule="exact"/>
        </w:trPr>
        <w:tc>
          <w:tcPr>
            <w:tcW w:w="440" w:type="dxa"/>
            <w:tcBorders>
              <w:top w:val="nil" w:sz="6" w:space="0" w:color="auto"/>
              <w:left w:val="nil" w:sz="6" w:space="0" w:color="auto"/>
              <w:bottom w:val="nil" w:sz="6" w:space="0" w:color="auto"/>
              <w:right w:val="nil" w:sz="6" w:space="0" w:color="auto"/>
            </w:tcBorders>
          </w:tcPr>
          <w:p>
            <w:pPr/>
          </w:p>
        </w:tc>
        <w:tc>
          <w:tcPr>
            <w:tcW w:w="5481" w:type="dxa"/>
            <w:tcBorders>
              <w:top w:val="nil" w:sz="6" w:space="0" w:color="auto"/>
              <w:left w:val="nil" w:sz="6" w:space="0" w:color="auto"/>
              <w:bottom w:val="nil" w:sz="6" w:space="0" w:color="auto"/>
              <w:right w:val="nil" w:sz="6" w:space="0" w:color="auto"/>
            </w:tcBorders>
          </w:tcPr>
          <w:p>
            <w:pPr>
              <w:pStyle w:val="TableParagraph"/>
              <w:spacing w:line="260" w:lineRule="exact"/>
              <w:ind w:left="54" w:right="0"/>
              <w:jc w:val="left"/>
              <w:rPr>
                <w:rFonts w:ascii="宋体" w:hAnsi="宋体" w:cs="宋体" w:eastAsia="宋体" w:hint="default"/>
                <w:sz w:val="22"/>
                <w:szCs w:val="22"/>
              </w:rPr>
            </w:pPr>
            <w:r>
              <w:rPr>
                <w:rFonts w:ascii="宋体" w:hAnsi="宋体" w:cs="宋体" w:eastAsia="宋体" w:hint="default"/>
                <w:sz w:val="22"/>
                <w:szCs w:val="22"/>
              </w:rPr>
              <w:t>－营业外收入（注）</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38"/>
              <w:ind w:left="1037" w:right="0"/>
              <w:jc w:val="left"/>
              <w:rPr>
                <w:rFonts w:ascii="Arial" w:hAnsi="Arial" w:cs="Arial" w:eastAsia="Arial" w:hint="default"/>
                <w:sz w:val="22"/>
                <w:szCs w:val="22"/>
              </w:rPr>
            </w:pPr>
            <w:r>
              <w:rPr>
                <w:rFonts w:ascii="Arial"/>
                <w:sz w:val="22"/>
              </w:rPr>
              <w:t>1,100</w:t>
            </w: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33"/>
              <w:jc w:val="right"/>
              <w:rPr>
                <w:rFonts w:ascii="Arial" w:hAnsi="Arial" w:cs="Arial" w:eastAsia="Arial" w:hint="default"/>
                <w:sz w:val="22"/>
                <w:szCs w:val="22"/>
              </w:rPr>
            </w:pPr>
            <w:r>
              <w:rPr>
                <w:rFonts w:ascii="Arial"/>
                <w:w w:val="95"/>
                <w:sz w:val="22"/>
              </w:rPr>
              <w:t>36,435</w:t>
            </w:r>
            <w:r>
              <w:rPr>
                <w:rFonts w:ascii="Arial"/>
                <w:sz w:val="22"/>
              </w:rPr>
            </w:r>
          </w:p>
        </w:tc>
      </w:tr>
      <w:tr>
        <w:trPr>
          <w:trHeight w:val="300" w:hRule="exact"/>
        </w:trPr>
        <w:tc>
          <w:tcPr>
            <w:tcW w:w="440" w:type="dxa"/>
            <w:tcBorders>
              <w:top w:val="nil" w:sz="6" w:space="0" w:color="auto"/>
              <w:left w:val="nil" w:sz="6" w:space="0" w:color="auto"/>
              <w:bottom w:val="nil" w:sz="6" w:space="0" w:color="auto"/>
              <w:right w:val="nil" w:sz="6" w:space="0" w:color="auto"/>
            </w:tcBorders>
          </w:tcPr>
          <w:p>
            <w:pPr/>
          </w:p>
        </w:tc>
        <w:tc>
          <w:tcPr>
            <w:tcW w:w="5481" w:type="dxa"/>
            <w:tcBorders>
              <w:top w:val="nil" w:sz="6" w:space="0" w:color="auto"/>
              <w:left w:val="nil" w:sz="6" w:space="0" w:color="auto"/>
              <w:bottom w:val="nil" w:sz="6" w:space="0" w:color="auto"/>
              <w:right w:val="nil" w:sz="6" w:space="0" w:color="auto"/>
            </w:tcBorders>
          </w:tcPr>
          <w:p>
            <w:pPr>
              <w:pStyle w:val="TableParagraph"/>
              <w:spacing w:line="247" w:lineRule="exact"/>
              <w:ind w:left="274" w:right="0"/>
              <w:jc w:val="left"/>
              <w:rPr>
                <w:rFonts w:ascii="宋体" w:hAnsi="宋体" w:cs="宋体" w:eastAsia="宋体" w:hint="default"/>
                <w:sz w:val="22"/>
                <w:szCs w:val="22"/>
              </w:rPr>
            </w:pPr>
            <w:r>
              <w:rPr>
                <w:rFonts w:ascii="宋体" w:hAnsi="宋体" w:cs="宋体" w:eastAsia="宋体" w:hint="default"/>
                <w:sz w:val="22"/>
                <w:szCs w:val="22"/>
              </w:rPr>
              <w:t>其中：非流动资产处置收益</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45"/>
              <w:jc w:val="right"/>
              <w:rPr>
                <w:rFonts w:ascii="Arial" w:hAnsi="Arial" w:cs="Arial" w:eastAsia="Arial" w:hint="default"/>
                <w:sz w:val="22"/>
                <w:szCs w:val="22"/>
              </w:rPr>
            </w:pPr>
            <w:r>
              <w:rPr>
                <w:rFonts w:ascii="Arial"/>
                <w:w w:val="95"/>
                <w:sz w:val="22"/>
              </w:rPr>
              <w:t>245</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4"/>
              <w:jc w:val="right"/>
              <w:rPr>
                <w:rFonts w:ascii="Arial" w:hAnsi="Arial" w:cs="Arial" w:eastAsia="Arial" w:hint="default"/>
                <w:sz w:val="22"/>
                <w:szCs w:val="22"/>
              </w:rPr>
            </w:pPr>
            <w:r>
              <w:rPr>
                <w:rFonts w:ascii="Arial"/>
                <w:w w:val="95"/>
                <w:sz w:val="22"/>
              </w:rPr>
              <w:t>89</w:t>
            </w:r>
            <w:r>
              <w:rPr>
                <w:rFonts w:ascii="Arial"/>
                <w:sz w:val="22"/>
              </w:rPr>
            </w:r>
          </w:p>
        </w:tc>
      </w:tr>
      <w:tr>
        <w:trPr>
          <w:trHeight w:val="300" w:hRule="exact"/>
        </w:trPr>
        <w:tc>
          <w:tcPr>
            <w:tcW w:w="440" w:type="dxa"/>
            <w:tcBorders>
              <w:top w:val="nil" w:sz="6" w:space="0" w:color="auto"/>
              <w:left w:val="nil" w:sz="6" w:space="0" w:color="auto"/>
              <w:bottom w:val="nil" w:sz="6" w:space="0" w:color="auto"/>
              <w:right w:val="nil" w:sz="6" w:space="0" w:color="auto"/>
            </w:tcBorders>
          </w:tcPr>
          <w:p>
            <w:pPr/>
          </w:p>
        </w:tc>
        <w:tc>
          <w:tcPr>
            <w:tcW w:w="5481" w:type="dxa"/>
            <w:tcBorders>
              <w:top w:val="nil" w:sz="6" w:space="0" w:color="auto"/>
              <w:left w:val="nil" w:sz="6" w:space="0" w:color="auto"/>
              <w:bottom w:val="nil" w:sz="6" w:space="0" w:color="auto"/>
              <w:right w:val="nil" w:sz="6" w:space="0" w:color="auto"/>
            </w:tcBorders>
          </w:tcPr>
          <w:p>
            <w:pPr>
              <w:pStyle w:val="TableParagraph"/>
              <w:spacing w:line="247" w:lineRule="exact"/>
              <w:ind w:left="966" w:right="0"/>
              <w:jc w:val="left"/>
              <w:rPr>
                <w:rFonts w:ascii="宋体" w:hAnsi="宋体" w:cs="宋体" w:eastAsia="宋体" w:hint="default"/>
                <w:sz w:val="22"/>
                <w:szCs w:val="22"/>
              </w:rPr>
            </w:pPr>
            <w:r>
              <w:rPr>
                <w:rFonts w:ascii="宋体" w:hAnsi="宋体" w:cs="宋体" w:eastAsia="宋体" w:hint="default"/>
                <w:sz w:val="22"/>
                <w:szCs w:val="22"/>
              </w:rPr>
              <w:t>非货币性资产交换收益</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45"/>
              <w:jc w:val="right"/>
              <w:rPr>
                <w:rFonts w:ascii="Arial" w:hAnsi="Arial" w:cs="Arial" w:eastAsia="Arial" w:hint="default"/>
                <w:sz w:val="22"/>
                <w:szCs w:val="22"/>
              </w:rPr>
            </w:pPr>
            <w:r>
              <w:rPr>
                <w:rFonts w:ascii="Arial"/>
                <w:w w:val="95"/>
                <w:sz w:val="22"/>
              </w:rPr>
              <w:t>40</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3"/>
              <w:jc w:val="right"/>
              <w:rPr>
                <w:rFonts w:ascii="Arial" w:hAnsi="Arial" w:cs="Arial" w:eastAsia="Arial" w:hint="default"/>
                <w:sz w:val="22"/>
                <w:szCs w:val="22"/>
              </w:rPr>
            </w:pPr>
            <w:r>
              <w:rPr>
                <w:rFonts w:ascii="Arial"/>
                <w:w w:val="95"/>
                <w:sz w:val="22"/>
              </w:rPr>
              <w:t>234</w:t>
            </w:r>
            <w:r>
              <w:rPr>
                <w:rFonts w:ascii="Arial"/>
                <w:sz w:val="22"/>
              </w:rPr>
            </w:r>
          </w:p>
        </w:tc>
      </w:tr>
      <w:tr>
        <w:trPr>
          <w:trHeight w:val="300" w:hRule="exact"/>
        </w:trPr>
        <w:tc>
          <w:tcPr>
            <w:tcW w:w="440" w:type="dxa"/>
            <w:tcBorders>
              <w:top w:val="nil" w:sz="6" w:space="0" w:color="auto"/>
              <w:left w:val="nil" w:sz="6" w:space="0" w:color="auto"/>
              <w:bottom w:val="nil" w:sz="6" w:space="0" w:color="auto"/>
              <w:right w:val="nil" w:sz="6" w:space="0" w:color="auto"/>
            </w:tcBorders>
          </w:tcPr>
          <w:p>
            <w:pPr/>
          </w:p>
        </w:tc>
        <w:tc>
          <w:tcPr>
            <w:tcW w:w="5481" w:type="dxa"/>
            <w:tcBorders>
              <w:top w:val="nil" w:sz="6" w:space="0" w:color="auto"/>
              <w:left w:val="nil" w:sz="6" w:space="0" w:color="auto"/>
              <w:bottom w:val="nil" w:sz="6" w:space="0" w:color="auto"/>
              <w:right w:val="nil" w:sz="6" w:space="0" w:color="auto"/>
            </w:tcBorders>
          </w:tcPr>
          <w:p>
            <w:pPr>
              <w:pStyle w:val="TableParagraph"/>
              <w:spacing w:line="247" w:lineRule="exact"/>
              <w:ind w:left="934" w:right="0"/>
              <w:jc w:val="left"/>
              <w:rPr>
                <w:rFonts w:ascii="宋体" w:hAnsi="宋体" w:cs="宋体" w:eastAsia="宋体" w:hint="default"/>
                <w:sz w:val="22"/>
                <w:szCs w:val="22"/>
              </w:rPr>
            </w:pPr>
            <w:r>
              <w:rPr>
                <w:rFonts w:ascii="宋体" w:hAnsi="宋体" w:cs="宋体" w:eastAsia="宋体" w:hint="default"/>
                <w:sz w:val="22"/>
                <w:szCs w:val="22"/>
              </w:rPr>
              <w:t>计入当期损益的政府补助</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45"/>
              <w:jc w:val="right"/>
              <w:rPr>
                <w:rFonts w:ascii="Arial" w:hAnsi="Arial" w:cs="Arial" w:eastAsia="Arial" w:hint="default"/>
                <w:sz w:val="22"/>
                <w:szCs w:val="22"/>
              </w:rPr>
            </w:pPr>
            <w:r>
              <w:rPr>
                <w:rFonts w:ascii="Arial"/>
                <w:w w:val="95"/>
                <w:sz w:val="22"/>
              </w:rPr>
              <w:t>141</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3"/>
              <w:jc w:val="right"/>
              <w:rPr>
                <w:rFonts w:ascii="Arial" w:hAnsi="Arial" w:cs="Arial" w:eastAsia="Arial" w:hint="default"/>
                <w:sz w:val="22"/>
                <w:szCs w:val="22"/>
              </w:rPr>
            </w:pPr>
            <w:r>
              <w:rPr>
                <w:rFonts w:ascii="Arial"/>
                <w:w w:val="95"/>
                <w:sz w:val="22"/>
              </w:rPr>
              <w:t>63</w:t>
            </w:r>
            <w:r>
              <w:rPr>
                <w:rFonts w:ascii="Arial"/>
                <w:sz w:val="22"/>
              </w:rPr>
            </w:r>
          </w:p>
        </w:tc>
      </w:tr>
      <w:tr>
        <w:trPr>
          <w:trHeight w:val="323" w:hRule="exact"/>
        </w:trPr>
        <w:tc>
          <w:tcPr>
            <w:tcW w:w="440" w:type="dxa"/>
            <w:tcBorders>
              <w:top w:val="nil" w:sz="6" w:space="0" w:color="auto"/>
              <w:left w:val="nil" w:sz="6" w:space="0" w:color="auto"/>
              <w:bottom w:val="nil" w:sz="6" w:space="0" w:color="auto"/>
              <w:right w:val="nil" w:sz="6" w:space="0" w:color="auto"/>
            </w:tcBorders>
          </w:tcPr>
          <w:p>
            <w:pPr/>
          </w:p>
        </w:tc>
        <w:tc>
          <w:tcPr>
            <w:tcW w:w="5481" w:type="dxa"/>
            <w:tcBorders>
              <w:top w:val="nil" w:sz="6" w:space="0" w:color="auto"/>
              <w:left w:val="nil" w:sz="6" w:space="0" w:color="auto"/>
              <w:bottom w:val="nil" w:sz="6" w:space="0" w:color="auto"/>
              <w:right w:val="nil" w:sz="6" w:space="0" w:color="auto"/>
            </w:tcBorders>
          </w:tcPr>
          <w:p>
            <w:pPr>
              <w:pStyle w:val="TableParagraph"/>
              <w:spacing w:line="262" w:lineRule="exact"/>
              <w:ind w:left="934" w:right="0"/>
              <w:jc w:val="left"/>
              <w:rPr>
                <w:rFonts w:ascii="宋体" w:hAnsi="宋体" w:cs="宋体" w:eastAsia="宋体" w:hint="default"/>
                <w:sz w:val="22"/>
                <w:szCs w:val="22"/>
              </w:rPr>
            </w:pPr>
            <w:r>
              <w:rPr>
                <w:rFonts w:ascii="Arial" w:hAnsi="Arial" w:cs="Arial" w:eastAsia="Arial" w:hint="default"/>
                <w:sz w:val="22"/>
                <w:szCs w:val="22"/>
              </w:rPr>
              <w:t>CDMA</w:t>
            </w:r>
            <w:r>
              <w:rPr>
                <w:rFonts w:ascii="Arial" w:hAnsi="Arial" w:cs="Arial" w:eastAsia="Arial" w:hint="default"/>
                <w:spacing w:val="-9"/>
                <w:sz w:val="22"/>
                <w:szCs w:val="22"/>
              </w:rPr>
              <w:t> </w:t>
            </w:r>
            <w:r>
              <w:rPr>
                <w:rFonts w:ascii="宋体" w:hAnsi="宋体" w:cs="宋体" w:eastAsia="宋体" w:hint="default"/>
                <w:sz w:val="22"/>
                <w:szCs w:val="22"/>
              </w:rPr>
              <w:t>业务出售收益</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45"/>
              <w:jc w:val="right"/>
              <w:rPr>
                <w:rFonts w:ascii="Arial" w:hAnsi="Arial" w:cs="Arial" w:eastAsia="Arial" w:hint="default"/>
                <w:sz w:val="22"/>
                <w:szCs w:val="22"/>
              </w:rPr>
            </w:pPr>
            <w:r>
              <w:rPr>
                <w:rFonts w:ascii="Arial"/>
                <w:w w:val="99"/>
                <w:sz w:val="22"/>
              </w:rPr>
              <w:t>-</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34"/>
              <w:jc w:val="right"/>
              <w:rPr>
                <w:rFonts w:ascii="Arial" w:hAnsi="Arial" w:cs="Arial" w:eastAsia="Arial" w:hint="default"/>
                <w:sz w:val="22"/>
                <w:szCs w:val="22"/>
              </w:rPr>
            </w:pPr>
            <w:r>
              <w:rPr>
                <w:rFonts w:ascii="Arial"/>
                <w:w w:val="95"/>
                <w:sz w:val="22"/>
              </w:rPr>
              <w:t>35,627</w:t>
            </w:r>
            <w:r>
              <w:rPr>
                <w:rFonts w:ascii="Arial"/>
                <w:sz w:val="22"/>
              </w:rPr>
            </w:r>
          </w:p>
        </w:tc>
      </w:tr>
      <w:tr>
        <w:trPr>
          <w:trHeight w:val="322" w:hRule="exact"/>
        </w:trPr>
        <w:tc>
          <w:tcPr>
            <w:tcW w:w="440" w:type="dxa"/>
            <w:tcBorders>
              <w:top w:val="nil" w:sz="6" w:space="0" w:color="auto"/>
              <w:left w:val="nil" w:sz="6" w:space="0" w:color="auto"/>
              <w:bottom w:val="nil" w:sz="6" w:space="0" w:color="auto"/>
              <w:right w:val="nil" w:sz="6" w:space="0" w:color="auto"/>
            </w:tcBorders>
          </w:tcPr>
          <w:p>
            <w:pPr/>
          </w:p>
        </w:tc>
        <w:tc>
          <w:tcPr>
            <w:tcW w:w="5481" w:type="dxa"/>
            <w:tcBorders>
              <w:top w:val="nil" w:sz="6" w:space="0" w:color="auto"/>
              <w:left w:val="nil" w:sz="6" w:space="0" w:color="auto"/>
              <w:bottom w:val="nil" w:sz="6" w:space="0" w:color="auto"/>
              <w:right w:val="nil" w:sz="6" w:space="0" w:color="auto"/>
            </w:tcBorders>
          </w:tcPr>
          <w:p>
            <w:pPr>
              <w:pStyle w:val="TableParagraph"/>
              <w:spacing w:line="269" w:lineRule="exact"/>
              <w:ind w:left="934" w:right="0"/>
              <w:jc w:val="left"/>
              <w:rPr>
                <w:rFonts w:ascii="宋体" w:hAnsi="宋体" w:cs="宋体" w:eastAsia="宋体" w:hint="default"/>
                <w:sz w:val="22"/>
                <w:szCs w:val="22"/>
              </w:rPr>
            </w:pPr>
            <w:r>
              <w:rPr>
                <w:rFonts w:ascii="宋体" w:hAnsi="宋体" w:cs="宋体" w:eastAsia="宋体" w:hint="default"/>
                <w:sz w:val="22"/>
                <w:szCs w:val="22"/>
              </w:rPr>
              <w:t>其他营业外收入</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45"/>
              <w:jc w:val="right"/>
              <w:rPr>
                <w:rFonts w:ascii="Arial" w:hAnsi="Arial" w:cs="Arial" w:eastAsia="Arial" w:hint="default"/>
                <w:sz w:val="22"/>
                <w:szCs w:val="22"/>
              </w:rPr>
            </w:pPr>
            <w:r>
              <w:rPr>
                <w:rFonts w:ascii="Arial"/>
                <w:w w:val="95"/>
                <w:sz w:val="22"/>
              </w:rPr>
              <w:t>674</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34"/>
              <w:jc w:val="right"/>
              <w:rPr>
                <w:rFonts w:ascii="Arial" w:hAnsi="Arial" w:cs="Arial" w:eastAsia="Arial" w:hint="default"/>
                <w:sz w:val="22"/>
                <w:szCs w:val="22"/>
              </w:rPr>
            </w:pPr>
            <w:r>
              <w:rPr>
                <w:rFonts w:ascii="Arial"/>
                <w:w w:val="95"/>
                <w:sz w:val="22"/>
              </w:rPr>
              <w:t>422</w:t>
            </w:r>
            <w:r>
              <w:rPr>
                <w:rFonts w:ascii="Arial"/>
                <w:sz w:val="22"/>
              </w:rPr>
            </w:r>
          </w:p>
        </w:tc>
      </w:tr>
      <w:tr>
        <w:trPr>
          <w:trHeight w:val="299" w:hRule="exact"/>
        </w:trPr>
        <w:tc>
          <w:tcPr>
            <w:tcW w:w="440" w:type="dxa"/>
            <w:tcBorders>
              <w:top w:val="nil" w:sz="6" w:space="0" w:color="auto"/>
              <w:left w:val="nil" w:sz="6" w:space="0" w:color="auto"/>
              <w:bottom w:val="nil" w:sz="6" w:space="0" w:color="auto"/>
              <w:right w:val="nil" w:sz="6" w:space="0" w:color="auto"/>
            </w:tcBorders>
          </w:tcPr>
          <w:p>
            <w:pPr/>
          </w:p>
        </w:tc>
        <w:tc>
          <w:tcPr>
            <w:tcW w:w="5481" w:type="dxa"/>
            <w:tcBorders>
              <w:top w:val="nil" w:sz="6" w:space="0" w:color="auto"/>
              <w:left w:val="nil" w:sz="6" w:space="0" w:color="auto"/>
              <w:bottom w:val="nil" w:sz="6" w:space="0" w:color="auto"/>
              <w:right w:val="nil" w:sz="6" w:space="0" w:color="auto"/>
            </w:tcBorders>
          </w:tcPr>
          <w:p>
            <w:pPr>
              <w:pStyle w:val="TableParagraph"/>
              <w:spacing w:line="246" w:lineRule="exact"/>
              <w:ind w:left="54" w:right="0"/>
              <w:jc w:val="left"/>
              <w:rPr>
                <w:rFonts w:ascii="宋体" w:hAnsi="宋体" w:cs="宋体" w:eastAsia="宋体" w:hint="default"/>
                <w:sz w:val="22"/>
                <w:szCs w:val="22"/>
              </w:rPr>
            </w:pPr>
            <w:r>
              <w:rPr>
                <w:rFonts w:ascii="宋体" w:hAnsi="宋体" w:cs="宋体" w:eastAsia="宋体" w:hint="default"/>
                <w:sz w:val="22"/>
                <w:szCs w:val="22"/>
              </w:rPr>
              <w:t>－营业外支出（注）</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1122" w:right="0"/>
              <w:jc w:val="left"/>
              <w:rPr>
                <w:rFonts w:ascii="Arial" w:hAnsi="Arial" w:cs="Arial" w:eastAsia="Arial" w:hint="default"/>
                <w:sz w:val="22"/>
                <w:szCs w:val="22"/>
              </w:rPr>
            </w:pPr>
            <w:r>
              <w:rPr>
                <w:rFonts w:ascii="Arial"/>
                <w:sz w:val="22"/>
              </w:rPr>
              <w:t>(275)</w:t>
            </w: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0"/>
              <w:jc w:val="right"/>
              <w:rPr>
                <w:rFonts w:ascii="Arial" w:hAnsi="Arial" w:cs="Arial" w:eastAsia="Arial" w:hint="default"/>
                <w:sz w:val="22"/>
                <w:szCs w:val="22"/>
              </w:rPr>
            </w:pPr>
            <w:r>
              <w:rPr>
                <w:rFonts w:ascii="Arial"/>
                <w:w w:val="95"/>
                <w:sz w:val="22"/>
              </w:rPr>
              <w:t>(211)</w:t>
            </w:r>
            <w:r>
              <w:rPr>
                <w:rFonts w:ascii="Arial"/>
                <w:sz w:val="22"/>
              </w:rPr>
            </w:r>
          </w:p>
        </w:tc>
      </w:tr>
      <w:tr>
        <w:trPr>
          <w:trHeight w:val="300" w:hRule="exact"/>
        </w:trPr>
        <w:tc>
          <w:tcPr>
            <w:tcW w:w="440" w:type="dxa"/>
            <w:tcBorders>
              <w:top w:val="nil" w:sz="6" w:space="0" w:color="auto"/>
              <w:left w:val="nil" w:sz="6" w:space="0" w:color="auto"/>
              <w:bottom w:val="nil" w:sz="6" w:space="0" w:color="auto"/>
              <w:right w:val="nil" w:sz="6" w:space="0" w:color="auto"/>
            </w:tcBorders>
          </w:tcPr>
          <w:p>
            <w:pPr/>
          </w:p>
        </w:tc>
        <w:tc>
          <w:tcPr>
            <w:tcW w:w="5481" w:type="dxa"/>
            <w:tcBorders>
              <w:top w:val="nil" w:sz="6" w:space="0" w:color="auto"/>
              <w:left w:val="nil" w:sz="6" w:space="0" w:color="auto"/>
              <w:bottom w:val="nil" w:sz="6" w:space="0" w:color="auto"/>
              <w:right w:val="nil" w:sz="6" w:space="0" w:color="auto"/>
            </w:tcBorders>
          </w:tcPr>
          <w:p>
            <w:pPr>
              <w:pStyle w:val="TableParagraph"/>
              <w:spacing w:line="247" w:lineRule="exact"/>
              <w:ind w:left="274" w:right="0"/>
              <w:jc w:val="left"/>
              <w:rPr>
                <w:rFonts w:ascii="宋体" w:hAnsi="宋体" w:cs="宋体" w:eastAsia="宋体" w:hint="default"/>
                <w:sz w:val="22"/>
                <w:szCs w:val="22"/>
              </w:rPr>
            </w:pPr>
            <w:r>
              <w:rPr>
                <w:rFonts w:ascii="宋体" w:hAnsi="宋体" w:cs="宋体" w:eastAsia="宋体" w:hint="default"/>
                <w:sz w:val="22"/>
                <w:szCs w:val="22"/>
              </w:rPr>
              <w:t>其中：非流动资产处置损失</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22" w:right="0"/>
              <w:jc w:val="left"/>
              <w:rPr>
                <w:rFonts w:ascii="Arial" w:hAnsi="Arial" w:cs="Arial" w:eastAsia="Arial" w:hint="default"/>
                <w:sz w:val="22"/>
                <w:szCs w:val="22"/>
              </w:rPr>
            </w:pPr>
            <w:r>
              <w:rPr>
                <w:rFonts w:ascii="Arial"/>
                <w:sz w:val="22"/>
              </w:rPr>
              <w:t>(164)</w:t>
            </w: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60"/>
              <w:jc w:val="right"/>
              <w:rPr>
                <w:rFonts w:ascii="Arial" w:hAnsi="Arial" w:cs="Arial" w:eastAsia="Arial" w:hint="default"/>
                <w:sz w:val="22"/>
                <w:szCs w:val="22"/>
              </w:rPr>
            </w:pPr>
            <w:r>
              <w:rPr>
                <w:rFonts w:ascii="Arial"/>
                <w:w w:val="95"/>
                <w:sz w:val="22"/>
              </w:rPr>
              <w:t>(105)</w:t>
            </w:r>
            <w:r>
              <w:rPr>
                <w:rFonts w:ascii="Arial"/>
                <w:sz w:val="22"/>
              </w:rPr>
            </w:r>
          </w:p>
        </w:tc>
      </w:tr>
      <w:tr>
        <w:trPr>
          <w:trHeight w:val="300" w:hRule="exact"/>
        </w:trPr>
        <w:tc>
          <w:tcPr>
            <w:tcW w:w="440" w:type="dxa"/>
            <w:tcBorders>
              <w:top w:val="nil" w:sz="6" w:space="0" w:color="auto"/>
              <w:left w:val="nil" w:sz="6" w:space="0" w:color="auto"/>
              <w:bottom w:val="nil" w:sz="6" w:space="0" w:color="auto"/>
              <w:right w:val="nil" w:sz="6" w:space="0" w:color="auto"/>
            </w:tcBorders>
          </w:tcPr>
          <w:p>
            <w:pPr/>
          </w:p>
        </w:tc>
        <w:tc>
          <w:tcPr>
            <w:tcW w:w="5481" w:type="dxa"/>
            <w:tcBorders>
              <w:top w:val="nil" w:sz="6" w:space="0" w:color="auto"/>
              <w:left w:val="nil" w:sz="6" w:space="0" w:color="auto"/>
              <w:bottom w:val="nil" w:sz="6" w:space="0" w:color="auto"/>
              <w:right w:val="nil" w:sz="6" w:space="0" w:color="auto"/>
            </w:tcBorders>
          </w:tcPr>
          <w:p>
            <w:pPr>
              <w:pStyle w:val="TableParagraph"/>
              <w:spacing w:line="247" w:lineRule="exact"/>
              <w:ind w:left="966" w:right="0"/>
              <w:jc w:val="left"/>
              <w:rPr>
                <w:rFonts w:ascii="宋体" w:hAnsi="宋体" w:cs="宋体" w:eastAsia="宋体" w:hint="default"/>
                <w:sz w:val="22"/>
                <w:szCs w:val="22"/>
              </w:rPr>
            </w:pPr>
            <w:r>
              <w:rPr>
                <w:rFonts w:ascii="宋体" w:hAnsi="宋体" w:cs="宋体" w:eastAsia="宋体" w:hint="default"/>
                <w:sz w:val="22"/>
                <w:szCs w:val="22"/>
              </w:rPr>
              <w:t>非货币性资产交换损失</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98"/>
              <w:jc w:val="right"/>
              <w:rPr>
                <w:rFonts w:ascii="Arial" w:hAnsi="Arial" w:cs="Arial" w:eastAsia="Arial" w:hint="default"/>
                <w:sz w:val="22"/>
                <w:szCs w:val="22"/>
              </w:rPr>
            </w:pPr>
            <w:r>
              <w:rPr>
                <w:rFonts w:ascii="Arial"/>
                <w:w w:val="95"/>
                <w:sz w:val="22"/>
              </w:rPr>
              <w:t>(2)</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60"/>
              <w:jc w:val="right"/>
              <w:rPr>
                <w:rFonts w:ascii="Arial" w:hAnsi="Arial" w:cs="Arial" w:eastAsia="Arial" w:hint="default"/>
                <w:sz w:val="22"/>
                <w:szCs w:val="22"/>
              </w:rPr>
            </w:pPr>
            <w:r>
              <w:rPr>
                <w:rFonts w:ascii="Arial"/>
                <w:w w:val="95"/>
                <w:sz w:val="22"/>
              </w:rPr>
              <w:t>(13)</w:t>
            </w:r>
            <w:r>
              <w:rPr>
                <w:rFonts w:ascii="Arial"/>
                <w:sz w:val="22"/>
              </w:rPr>
            </w:r>
          </w:p>
        </w:tc>
      </w:tr>
      <w:tr>
        <w:trPr>
          <w:trHeight w:val="565" w:hRule="exact"/>
        </w:trPr>
        <w:tc>
          <w:tcPr>
            <w:tcW w:w="440" w:type="dxa"/>
            <w:tcBorders>
              <w:top w:val="nil" w:sz="6" w:space="0" w:color="auto"/>
              <w:left w:val="nil" w:sz="6" w:space="0" w:color="auto"/>
              <w:bottom w:val="nil" w:sz="6" w:space="0" w:color="auto"/>
              <w:right w:val="nil" w:sz="6" w:space="0" w:color="auto"/>
            </w:tcBorders>
          </w:tcPr>
          <w:p>
            <w:pPr/>
          </w:p>
        </w:tc>
        <w:tc>
          <w:tcPr>
            <w:tcW w:w="5481" w:type="dxa"/>
            <w:tcBorders>
              <w:top w:val="nil" w:sz="6" w:space="0" w:color="auto"/>
              <w:left w:val="nil" w:sz="6" w:space="0" w:color="auto"/>
              <w:bottom w:val="nil" w:sz="6" w:space="0" w:color="auto"/>
              <w:right w:val="nil" w:sz="6" w:space="0" w:color="auto"/>
            </w:tcBorders>
          </w:tcPr>
          <w:p>
            <w:pPr>
              <w:pStyle w:val="TableParagraph"/>
              <w:spacing w:line="245" w:lineRule="exact"/>
              <w:ind w:left="934" w:right="0"/>
              <w:jc w:val="left"/>
              <w:rPr>
                <w:rFonts w:ascii="宋体" w:hAnsi="宋体" w:cs="宋体" w:eastAsia="宋体" w:hint="default"/>
                <w:sz w:val="22"/>
                <w:szCs w:val="22"/>
              </w:rPr>
            </w:pPr>
            <w:r>
              <w:rPr>
                <w:rFonts w:ascii="宋体" w:hAnsi="宋体" w:cs="宋体" w:eastAsia="宋体" w:hint="default"/>
                <w:sz w:val="22"/>
                <w:szCs w:val="22"/>
              </w:rPr>
              <w:t>其他营业外支出</w:t>
            </w:r>
          </w:p>
          <w:p>
            <w:pPr>
              <w:pStyle w:val="TableParagraph"/>
              <w:spacing w:line="287" w:lineRule="exact"/>
              <w:ind w:left="54" w:right="0"/>
              <w:jc w:val="left"/>
              <w:rPr>
                <w:rFonts w:ascii="宋体" w:hAnsi="宋体" w:cs="宋体" w:eastAsia="宋体" w:hint="default"/>
                <w:sz w:val="22"/>
                <w:szCs w:val="22"/>
              </w:rPr>
            </w:pPr>
            <w:r>
              <w:rPr>
                <w:rFonts w:ascii="宋体" w:hAnsi="宋体" w:cs="宋体" w:eastAsia="宋体" w:hint="default"/>
                <w:sz w:val="22"/>
                <w:szCs w:val="22"/>
              </w:rPr>
              <w:t>－本集团持有的联通红筹公司对西班牙电信投资合约</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122" w:right="0"/>
              <w:jc w:val="left"/>
              <w:rPr>
                <w:rFonts w:ascii="Arial" w:hAnsi="Arial" w:cs="Arial" w:eastAsia="Arial" w:hint="default"/>
                <w:sz w:val="22"/>
                <w:szCs w:val="22"/>
              </w:rPr>
            </w:pPr>
            <w:r>
              <w:rPr>
                <w:rFonts w:ascii="Arial"/>
                <w:sz w:val="22"/>
              </w:rPr>
              <w:t>(109)</w:t>
            </w: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60"/>
              <w:jc w:val="right"/>
              <w:rPr>
                <w:rFonts w:ascii="Arial" w:hAnsi="Arial" w:cs="Arial" w:eastAsia="Arial" w:hint="default"/>
                <w:sz w:val="22"/>
                <w:szCs w:val="22"/>
              </w:rPr>
            </w:pPr>
            <w:r>
              <w:rPr>
                <w:rFonts w:ascii="Arial"/>
                <w:w w:val="95"/>
                <w:sz w:val="22"/>
              </w:rPr>
              <w:t>(93)</w:t>
            </w:r>
            <w:r>
              <w:rPr>
                <w:rFonts w:ascii="Arial"/>
                <w:sz w:val="22"/>
              </w:rPr>
            </w:r>
          </w:p>
        </w:tc>
      </w:tr>
      <w:tr>
        <w:trPr>
          <w:trHeight w:val="314" w:hRule="exact"/>
        </w:trPr>
        <w:tc>
          <w:tcPr>
            <w:tcW w:w="5921" w:type="dxa"/>
            <w:gridSpan w:val="2"/>
            <w:tcBorders>
              <w:top w:val="nil" w:sz="6" w:space="0" w:color="auto"/>
              <w:left w:val="nil" w:sz="6" w:space="0" w:color="auto"/>
              <w:bottom w:val="nil" w:sz="6" w:space="0" w:color="auto"/>
              <w:right w:val="nil" w:sz="6" w:space="0" w:color="auto"/>
            </w:tcBorders>
          </w:tcPr>
          <w:p>
            <w:pPr>
              <w:pStyle w:val="TableParagraph"/>
              <w:spacing w:line="253" w:lineRule="exact"/>
              <w:ind w:left="946" w:right="0"/>
              <w:jc w:val="left"/>
              <w:rPr>
                <w:rFonts w:ascii="宋体" w:hAnsi="宋体" w:cs="宋体" w:eastAsia="宋体" w:hint="default"/>
                <w:sz w:val="22"/>
                <w:szCs w:val="22"/>
              </w:rPr>
            </w:pPr>
            <w:r>
              <w:rPr>
                <w:rFonts w:ascii="宋体" w:hAnsi="宋体" w:cs="宋体" w:eastAsia="宋体" w:hint="default"/>
                <w:sz w:val="22"/>
                <w:szCs w:val="22"/>
              </w:rPr>
              <w:t>衍生工具产生的公允价值变动收益</w:t>
            </w:r>
          </w:p>
        </w:tc>
        <w:tc>
          <w:tcPr>
            <w:tcW w:w="1736" w:type="dxa"/>
            <w:tcBorders>
              <w:top w:val="nil" w:sz="6" w:space="0" w:color="auto"/>
              <w:left w:val="nil" w:sz="6" w:space="0" w:color="auto"/>
              <w:bottom w:val="nil" w:sz="6" w:space="0" w:color="auto"/>
              <w:right w:val="nil" w:sz="6" w:space="0" w:color="auto"/>
            </w:tcBorders>
          </w:tcPr>
          <w:p>
            <w:pPr>
              <w:pStyle w:val="TableParagraph"/>
              <w:tabs>
                <w:tab w:pos="1038" w:val="left" w:leader="none"/>
                <w:tab w:pos="1736" w:val="left" w:leader="none"/>
              </w:tabs>
              <w:spacing w:line="240" w:lineRule="auto" w:before="31"/>
              <w:ind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1,239</w:t>
              <w:tab/>
            </w:r>
            <w:r>
              <w:rPr>
                <w:rFonts w:ascii="Arial"/>
                <w:sz w:val="22"/>
              </w:rPr>
            </w:r>
          </w:p>
        </w:tc>
        <w:tc>
          <w:tcPr>
            <w:tcW w:w="2008" w:type="dxa"/>
            <w:gridSpan w:val="2"/>
            <w:tcBorders>
              <w:top w:val="nil" w:sz="6" w:space="0" w:color="auto"/>
              <w:left w:val="nil" w:sz="6" w:space="0" w:color="auto"/>
              <w:bottom w:val="nil" w:sz="6" w:space="0" w:color="auto"/>
              <w:right w:val="nil" w:sz="6" w:space="0" w:color="auto"/>
            </w:tcBorders>
          </w:tcPr>
          <w:p>
            <w:pPr>
              <w:pStyle w:val="TableParagraph"/>
              <w:tabs>
                <w:tab w:pos="1798" w:val="left" w:leader="none"/>
                <w:tab w:pos="1972" w:val="left" w:leader="none"/>
              </w:tabs>
              <w:spacing w:line="240" w:lineRule="auto" w:before="31"/>
              <w:ind w:left="237"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w:t>
              <w:tab/>
            </w:r>
            <w:r>
              <w:rPr>
                <w:rFonts w:ascii="Arial"/>
                <w:sz w:val="22"/>
              </w:rPr>
            </w:r>
          </w:p>
        </w:tc>
      </w:tr>
      <w:tr>
        <w:trPr>
          <w:trHeight w:val="457" w:hRule="exact"/>
        </w:trPr>
        <w:tc>
          <w:tcPr>
            <w:tcW w:w="5921" w:type="dxa"/>
            <w:gridSpan w:val="2"/>
            <w:tcBorders>
              <w:top w:val="nil" w:sz="6" w:space="0" w:color="auto"/>
              <w:left w:val="nil" w:sz="6" w:space="0" w:color="auto"/>
              <w:bottom w:val="nil" w:sz="6" w:space="0" w:color="auto"/>
              <w:right w:val="nil" w:sz="6" w:space="0" w:color="auto"/>
            </w:tcBorders>
          </w:tcPr>
          <w:p>
            <w:pPr>
              <w:pStyle w:val="TableParagraph"/>
              <w:spacing w:line="254" w:lineRule="exact"/>
              <w:ind w:left="494"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38" w:right="0"/>
              <w:jc w:val="left"/>
              <w:rPr>
                <w:rFonts w:ascii="Arial" w:hAnsi="Arial" w:cs="Arial" w:eastAsia="Arial" w:hint="default"/>
                <w:sz w:val="22"/>
                <w:szCs w:val="22"/>
              </w:rPr>
            </w:pPr>
            <w:r>
              <w:rPr>
                <w:rFonts w:ascii="Arial"/>
                <w:sz w:val="22"/>
              </w:rPr>
              <w:t>2,064</w:t>
            </w:r>
          </w:p>
        </w:tc>
        <w:tc>
          <w:tcPr>
            <w:tcW w:w="200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2"/>
              <w:ind w:left="1199" w:right="0"/>
              <w:jc w:val="left"/>
              <w:rPr>
                <w:rFonts w:ascii="Arial" w:hAnsi="Arial" w:cs="Arial" w:eastAsia="Arial" w:hint="default"/>
                <w:sz w:val="22"/>
                <w:szCs w:val="22"/>
              </w:rPr>
            </w:pPr>
            <w:r>
              <w:rPr>
                <w:rFonts w:ascii="Arial"/>
                <w:sz w:val="22"/>
              </w:rPr>
              <w:t>36,224</w:t>
            </w:r>
          </w:p>
        </w:tc>
      </w:tr>
      <w:tr>
        <w:trPr>
          <w:trHeight w:val="457" w:hRule="exact"/>
        </w:trPr>
        <w:tc>
          <w:tcPr>
            <w:tcW w:w="592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8"/>
              <w:ind w:left="494" w:right="0"/>
              <w:jc w:val="left"/>
              <w:rPr>
                <w:rFonts w:ascii="宋体" w:hAnsi="宋体" w:cs="宋体" w:eastAsia="宋体" w:hint="default"/>
                <w:sz w:val="22"/>
                <w:szCs w:val="22"/>
              </w:rPr>
            </w:pPr>
            <w:r>
              <w:rPr>
                <w:rFonts w:ascii="宋体" w:hAnsi="宋体" w:cs="宋体" w:eastAsia="宋体" w:hint="default"/>
                <w:sz w:val="22"/>
                <w:szCs w:val="22"/>
              </w:rPr>
              <w:t>－所得税影响数</w:t>
            </w:r>
          </w:p>
        </w:tc>
        <w:tc>
          <w:tcPr>
            <w:tcW w:w="1736" w:type="dxa"/>
            <w:tcBorders>
              <w:top w:val="nil" w:sz="6" w:space="0" w:color="auto"/>
              <w:left w:val="nil" w:sz="6" w:space="0" w:color="auto"/>
              <w:bottom w:val="nil" w:sz="6" w:space="0" w:color="auto"/>
              <w:right w:val="nil" w:sz="6" w:space="0" w:color="auto"/>
            </w:tcBorders>
          </w:tcPr>
          <w:p>
            <w:pPr>
              <w:pStyle w:val="TableParagraph"/>
              <w:tabs>
                <w:tab w:pos="1121" w:val="left" w:leader="none"/>
                <w:tab w:pos="1736" w:val="left" w:leader="none"/>
              </w:tabs>
              <w:spacing w:line="240" w:lineRule="auto" w:before="174"/>
              <w:ind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(534)</w:t>
              <w:tab/>
            </w:r>
            <w:r>
              <w:rPr>
                <w:rFonts w:ascii="Arial"/>
                <w:sz w:val="22"/>
              </w:rPr>
            </w:r>
          </w:p>
        </w:tc>
        <w:tc>
          <w:tcPr>
            <w:tcW w:w="2008" w:type="dxa"/>
            <w:gridSpan w:val="2"/>
            <w:tcBorders>
              <w:top w:val="nil" w:sz="6" w:space="0" w:color="auto"/>
              <w:left w:val="nil" w:sz="6" w:space="0" w:color="auto"/>
              <w:bottom w:val="nil" w:sz="6" w:space="0" w:color="auto"/>
              <w:right w:val="nil" w:sz="6" w:space="0" w:color="auto"/>
            </w:tcBorders>
          </w:tcPr>
          <w:p>
            <w:pPr>
              <w:pStyle w:val="TableParagraph"/>
              <w:tabs>
                <w:tab w:pos="1248" w:val="left" w:leader="none"/>
              </w:tabs>
              <w:spacing w:line="240" w:lineRule="auto" w:before="174"/>
              <w:ind w:left="237"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(9,193)</w:t>
            </w:r>
            <w:r>
              <w:rPr>
                <w:rFonts w:ascii="Arial"/>
                <w:sz w:val="22"/>
              </w:rPr>
            </w:r>
          </w:p>
        </w:tc>
      </w:tr>
      <w:tr>
        <w:trPr>
          <w:trHeight w:val="451" w:hRule="exact"/>
        </w:trPr>
        <w:tc>
          <w:tcPr>
            <w:tcW w:w="5921" w:type="dxa"/>
            <w:gridSpan w:val="2"/>
            <w:tcBorders>
              <w:top w:val="nil" w:sz="6" w:space="0" w:color="auto"/>
              <w:left w:val="nil" w:sz="6" w:space="0" w:color="auto"/>
              <w:bottom w:val="nil" w:sz="6" w:space="0" w:color="auto"/>
              <w:right w:val="nil" w:sz="6" w:space="0" w:color="auto"/>
            </w:tcBorders>
          </w:tcPr>
          <w:p>
            <w:pPr>
              <w:pStyle w:val="TableParagraph"/>
              <w:spacing w:line="254" w:lineRule="exact"/>
              <w:ind w:left="494"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37" w:right="0"/>
              <w:jc w:val="left"/>
              <w:rPr>
                <w:rFonts w:ascii="Arial" w:hAnsi="Arial" w:cs="Arial" w:eastAsia="Arial" w:hint="default"/>
                <w:sz w:val="22"/>
                <w:szCs w:val="22"/>
              </w:rPr>
            </w:pPr>
            <w:r>
              <w:rPr>
                <w:rFonts w:ascii="Arial"/>
                <w:sz w:val="22"/>
              </w:rPr>
              <w:t>1,530</w:t>
            </w:r>
          </w:p>
        </w:tc>
        <w:tc>
          <w:tcPr>
            <w:tcW w:w="200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2"/>
              <w:ind w:left="1198" w:right="0"/>
              <w:jc w:val="left"/>
              <w:rPr>
                <w:rFonts w:ascii="Arial" w:hAnsi="Arial" w:cs="Arial" w:eastAsia="Arial" w:hint="default"/>
                <w:sz w:val="22"/>
                <w:szCs w:val="22"/>
              </w:rPr>
            </w:pPr>
            <w:r>
              <w:rPr>
                <w:rFonts w:ascii="Arial"/>
                <w:sz w:val="22"/>
              </w:rPr>
              <w:t>27,031</w:t>
            </w:r>
          </w:p>
        </w:tc>
      </w:tr>
      <w:tr>
        <w:trPr>
          <w:trHeight w:val="422" w:hRule="exact"/>
        </w:trPr>
        <w:tc>
          <w:tcPr>
            <w:tcW w:w="592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1"/>
              <w:ind w:left="494" w:right="0"/>
              <w:jc w:val="left"/>
              <w:rPr>
                <w:rFonts w:ascii="宋体" w:hAnsi="宋体" w:cs="宋体" w:eastAsia="宋体" w:hint="default"/>
                <w:sz w:val="22"/>
                <w:szCs w:val="22"/>
              </w:rPr>
            </w:pPr>
            <w:r>
              <w:rPr>
                <w:rFonts w:ascii="宋体" w:hAnsi="宋体" w:cs="宋体" w:eastAsia="宋体" w:hint="default"/>
                <w:sz w:val="22"/>
                <w:szCs w:val="22"/>
              </w:rPr>
              <w:t>－同一控制下收购目标业务及资产合并日前的当期净</w:t>
            </w:r>
          </w:p>
        </w:tc>
        <w:tc>
          <w:tcPr>
            <w:tcW w:w="1736" w:type="dxa"/>
            <w:tcBorders>
              <w:top w:val="nil" w:sz="6" w:space="0" w:color="auto"/>
              <w:left w:val="nil" w:sz="6" w:space="0" w:color="auto"/>
              <w:bottom w:val="nil" w:sz="6" w:space="0" w:color="auto"/>
              <w:right w:val="nil" w:sz="6" w:space="0" w:color="auto"/>
            </w:tcBorders>
          </w:tcPr>
          <w:p>
            <w:pPr/>
          </w:p>
        </w:tc>
        <w:tc>
          <w:tcPr>
            <w:tcW w:w="2008" w:type="dxa"/>
            <w:gridSpan w:val="2"/>
            <w:tcBorders>
              <w:top w:val="nil" w:sz="6" w:space="0" w:color="auto"/>
              <w:left w:val="nil" w:sz="6" w:space="0" w:color="auto"/>
              <w:bottom w:val="nil" w:sz="6" w:space="0" w:color="auto"/>
              <w:right w:val="nil" w:sz="6" w:space="0" w:color="auto"/>
            </w:tcBorders>
          </w:tcPr>
          <w:p>
            <w:pPr/>
          </w:p>
        </w:tc>
      </w:tr>
      <w:tr>
        <w:trPr>
          <w:trHeight w:val="280" w:hRule="exact"/>
        </w:trPr>
        <w:tc>
          <w:tcPr>
            <w:tcW w:w="5921" w:type="dxa"/>
            <w:gridSpan w:val="2"/>
            <w:tcBorders>
              <w:top w:val="nil" w:sz="6" w:space="0" w:color="auto"/>
              <w:left w:val="nil" w:sz="6" w:space="0" w:color="auto"/>
              <w:bottom w:val="nil" w:sz="6" w:space="0" w:color="auto"/>
              <w:right w:val="nil" w:sz="6" w:space="0" w:color="auto"/>
            </w:tcBorders>
          </w:tcPr>
          <w:p>
            <w:pPr>
              <w:pStyle w:val="TableParagraph"/>
              <w:spacing w:line="252" w:lineRule="exact"/>
              <w:ind w:left="946" w:right="0"/>
              <w:jc w:val="left"/>
              <w:rPr>
                <w:rFonts w:ascii="宋体" w:hAnsi="宋体" w:cs="宋体" w:eastAsia="宋体" w:hint="default"/>
                <w:sz w:val="22"/>
                <w:szCs w:val="22"/>
              </w:rPr>
            </w:pPr>
            <w:r>
              <w:rPr>
                <w:rFonts w:ascii="宋体" w:hAnsi="宋体" w:cs="宋体" w:eastAsia="宋体" w:hint="default"/>
                <w:sz w:val="22"/>
                <w:szCs w:val="22"/>
              </w:rPr>
              <w:t>利润</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45"/>
              <w:jc w:val="right"/>
              <w:rPr>
                <w:rFonts w:ascii="Arial" w:hAnsi="Arial" w:cs="Arial" w:eastAsia="Arial" w:hint="default"/>
                <w:sz w:val="22"/>
                <w:szCs w:val="22"/>
              </w:rPr>
            </w:pPr>
            <w:r>
              <w:rPr>
                <w:rFonts w:ascii="Arial"/>
                <w:w w:val="95"/>
                <w:sz w:val="22"/>
              </w:rPr>
              <w:t>117</w:t>
            </w:r>
            <w:r>
              <w:rPr>
                <w:rFonts w:ascii="Arial"/>
                <w:sz w:val="22"/>
              </w:rPr>
            </w:r>
          </w:p>
        </w:tc>
        <w:tc>
          <w:tcPr>
            <w:tcW w:w="200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1"/>
              <w:ind w:left="1321" w:right="0"/>
              <w:jc w:val="left"/>
              <w:rPr>
                <w:rFonts w:ascii="Arial" w:hAnsi="Arial" w:cs="Arial" w:eastAsia="Arial" w:hint="default"/>
                <w:sz w:val="22"/>
                <w:szCs w:val="22"/>
              </w:rPr>
            </w:pPr>
            <w:r>
              <w:rPr>
                <w:rFonts w:ascii="Arial"/>
                <w:sz w:val="22"/>
              </w:rPr>
              <w:t>1,472</w:t>
            </w:r>
          </w:p>
        </w:tc>
      </w:tr>
      <w:tr>
        <w:trPr>
          <w:trHeight w:val="291" w:hRule="exact"/>
        </w:trPr>
        <w:tc>
          <w:tcPr>
            <w:tcW w:w="440" w:type="dxa"/>
            <w:tcBorders>
              <w:top w:val="nil" w:sz="6" w:space="0" w:color="auto"/>
              <w:left w:val="nil" w:sz="6" w:space="0" w:color="auto"/>
              <w:bottom w:val="nil" w:sz="6" w:space="0" w:color="auto"/>
              <w:right w:val="nil" w:sz="6" w:space="0" w:color="auto"/>
            </w:tcBorders>
          </w:tcPr>
          <w:p>
            <w:pPr/>
          </w:p>
        </w:tc>
        <w:tc>
          <w:tcPr>
            <w:tcW w:w="5481" w:type="dxa"/>
            <w:tcBorders>
              <w:top w:val="nil" w:sz="6" w:space="0" w:color="auto"/>
              <w:left w:val="nil" w:sz="6" w:space="0" w:color="auto"/>
              <w:bottom w:val="nil" w:sz="6" w:space="0" w:color="auto"/>
              <w:right w:val="nil" w:sz="6" w:space="0" w:color="auto"/>
            </w:tcBorders>
          </w:tcPr>
          <w:p>
            <w:pPr>
              <w:pStyle w:val="TableParagraph"/>
              <w:spacing w:line="258" w:lineRule="exact"/>
              <w:ind w:left="55" w:right="0"/>
              <w:jc w:val="left"/>
              <w:rPr>
                <w:rFonts w:ascii="宋体" w:hAnsi="宋体" w:cs="宋体" w:eastAsia="宋体" w:hint="default"/>
                <w:sz w:val="22"/>
                <w:szCs w:val="22"/>
              </w:rPr>
            </w:pPr>
            <w:r>
              <w:rPr>
                <w:rFonts w:ascii="宋体" w:hAnsi="宋体" w:cs="宋体" w:eastAsia="宋体" w:hint="default"/>
                <w:sz w:val="22"/>
                <w:szCs w:val="22"/>
              </w:rPr>
              <w:t>－同一控制下收购的网通红筹公司合并日前的当期净</w:t>
            </w:r>
          </w:p>
        </w:tc>
        <w:tc>
          <w:tcPr>
            <w:tcW w:w="1736" w:type="dxa"/>
            <w:tcBorders>
              <w:top w:val="nil" w:sz="6" w:space="0" w:color="auto"/>
              <w:left w:val="nil" w:sz="6" w:space="0" w:color="auto"/>
              <w:bottom w:val="nil" w:sz="6" w:space="0" w:color="auto"/>
              <w:right w:val="nil" w:sz="6" w:space="0" w:color="auto"/>
            </w:tcBorders>
          </w:tcPr>
          <w:p>
            <w:pP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
        </w:tc>
      </w:tr>
      <w:tr>
        <w:trPr>
          <w:trHeight w:val="311" w:hRule="exact"/>
        </w:trPr>
        <w:tc>
          <w:tcPr>
            <w:tcW w:w="5921" w:type="dxa"/>
            <w:gridSpan w:val="2"/>
            <w:tcBorders>
              <w:top w:val="nil" w:sz="6" w:space="0" w:color="auto"/>
              <w:left w:val="nil" w:sz="6" w:space="0" w:color="auto"/>
              <w:bottom w:val="nil" w:sz="6" w:space="0" w:color="auto"/>
              <w:right w:val="nil" w:sz="6" w:space="0" w:color="auto"/>
            </w:tcBorders>
          </w:tcPr>
          <w:p>
            <w:pPr>
              <w:pStyle w:val="TableParagraph"/>
              <w:spacing w:line="253" w:lineRule="exact"/>
              <w:ind w:left="946" w:right="0"/>
              <w:jc w:val="left"/>
              <w:rPr>
                <w:rFonts w:ascii="宋体" w:hAnsi="宋体" w:cs="宋体" w:eastAsia="宋体" w:hint="default"/>
                <w:sz w:val="22"/>
                <w:szCs w:val="22"/>
              </w:rPr>
            </w:pPr>
            <w:r>
              <w:rPr>
                <w:rFonts w:ascii="宋体" w:hAnsi="宋体" w:cs="宋体" w:eastAsia="宋体" w:hint="default"/>
                <w:sz w:val="22"/>
                <w:szCs w:val="22"/>
              </w:rPr>
              <w:t>利润</w:t>
            </w:r>
          </w:p>
        </w:tc>
        <w:tc>
          <w:tcPr>
            <w:tcW w:w="1736" w:type="dxa"/>
            <w:tcBorders>
              <w:top w:val="nil" w:sz="6" w:space="0" w:color="auto"/>
              <w:left w:val="nil" w:sz="6" w:space="0" w:color="auto"/>
              <w:bottom w:val="nil" w:sz="6" w:space="0" w:color="auto"/>
              <w:right w:val="nil" w:sz="6" w:space="0" w:color="auto"/>
            </w:tcBorders>
          </w:tcPr>
          <w:p>
            <w:pPr>
              <w:pStyle w:val="TableParagraph"/>
              <w:tabs>
                <w:tab w:pos="1515" w:val="left" w:leader="none"/>
                <w:tab w:pos="1736" w:val="left" w:leader="none"/>
              </w:tabs>
              <w:spacing w:line="240" w:lineRule="auto" w:before="31"/>
              <w:ind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w:t>
              <w:tab/>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tabs>
                <w:tab w:pos="1083" w:val="left" w:leader="none"/>
                <w:tab w:pos="1735" w:val="left" w:leader="none"/>
              </w:tabs>
              <w:spacing w:line="240" w:lineRule="auto" w:before="31"/>
              <w:ind w:right="33"/>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7,981</w:t>
            </w:r>
            <w:r>
              <w:rPr>
                <w:rFonts w:ascii="Arial"/>
                <w:sz w:val="22"/>
                <w:u w:val="single" w:color="000000"/>
              </w:rPr>
              <w:tab/>
            </w:r>
            <w:r>
              <w:rPr>
                <w:rFonts w:ascii="Arial"/>
                <w:sz w:val="22"/>
              </w:rPr>
            </w:r>
          </w:p>
        </w:tc>
      </w:tr>
      <w:tr>
        <w:trPr>
          <w:trHeight w:val="460" w:hRule="exact"/>
        </w:trPr>
        <w:tc>
          <w:tcPr>
            <w:tcW w:w="5921" w:type="dxa"/>
            <w:gridSpan w:val="2"/>
            <w:tcBorders>
              <w:top w:val="nil" w:sz="6" w:space="0" w:color="auto"/>
              <w:left w:val="nil" w:sz="6" w:space="0" w:color="auto"/>
              <w:bottom w:val="nil" w:sz="6" w:space="0" w:color="auto"/>
              <w:right w:val="nil" w:sz="6" w:space="0" w:color="auto"/>
            </w:tcBorders>
          </w:tcPr>
          <w:p>
            <w:pPr>
              <w:pStyle w:val="TableParagraph"/>
              <w:spacing w:line="252" w:lineRule="exact"/>
              <w:ind w:left="494" w:right="0"/>
              <w:jc w:val="left"/>
              <w:rPr>
                <w:rFonts w:ascii="宋体" w:hAnsi="宋体" w:cs="宋体" w:eastAsia="宋体" w:hint="default"/>
                <w:sz w:val="22"/>
                <w:szCs w:val="22"/>
              </w:rPr>
            </w:pPr>
            <w:r>
              <w:rPr>
                <w:rFonts w:ascii="宋体" w:hAnsi="宋体" w:cs="宋体" w:eastAsia="宋体" w:hint="default"/>
                <w:sz w:val="22"/>
                <w:szCs w:val="22"/>
              </w:rPr>
              <w:t>小计</w:t>
            </w:r>
          </w:p>
        </w:tc>
        <w:tc>
          <w:tcPr>
            <w:tcW w:w="1736" w:type="dxa"/>
            <w:tcBorders>
              <w:top w:val="nil" w:sz="6" w:space="0" w:color="auto"/>
              <w:left w:val="nil" w:sz="6" w:space="0" w:color="auto"/>
              <w:bottom w:val="nil" w:sz="6" w:space="0" w:color="auto"/>
              <w:right w:val="nil" w:sz="6" w:space="0" w:color="auto"/>
            </w:tcBorders>
          </w:tcPr>
          <w:p>
            <w:pPr>
              <w:pStyle w:val="TableParagraph"/>
              <w:tabs>
                <w:tab w:pos="1038" w:val="left" w:leader="none"/>
                <w:tab w:pos="1736" w:val="left" w:leader="none"/>
              </w:tabs>
              <w:spacing w:line="240" w:lineRule="auto" w:before="30"/>
              <w:ind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1,647</w:t>
              <w:tab/>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tabs>
                <w:tab w:pos="961" w:val="left" w:leader="none"/>
                <w:tab w:pos="1735" w:val="left" w:leader="none"/>
              </w:tabs>
              <w:spacing w:line="240" w:lineRule="auto" w:before="30"/>
              <w:ind w:right="33"/>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36,484</w:t>
            </w:r>
            <w:r>
              <w:rPr>
                <w:rFonts w:ascii="Arial"/>
                <w:sz w:val="22"/>
                <w:u w:val="single" w:color="000000"/>
              </w:rPr>
              <w:tab/>
            </w:r>
            <w:r>
              <w:rPr>
                <w:rFonts w:ascii="Arial"/>
                <w:sz w:val="22"/>
              </w:rPr>
            </w:r>
          </w:p>
        </w:tc>
      </w:tr>
      <w:tr>
        <w:trPr>
          <w:trHeight w:val="612" w:hRule="exact"/>
        </w:trPr>
        <w:tc>
          <w:tcPr>
            <w:tcW w:w="592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3"/>
              <w:ind w:left="494" w:right="0"/>
              <w:jc w:val="left"/>
              <w:rPr>
                <w:rFonts w:ascii="宋体" w:hAnsi="宋体" w:cs="宋体" w:eastAsia="宋体" w:hint="default"/>
                <w:sz w:val="22"/>
                <w:szCs w:val="22"/>
              </w:rPr>
            </w:pPr>
            <w:r>
              <w:rPr>
                <w:rFonts w:ascii="宋体" w:hAnsi="宋体" w:cs="宋体" w:eastAsia="宋体" w:hint="default"/>
                <w:sz w:val="22"/>
                <w:szCs w:val="22"/>
              </w:rPr>
              <w:t>－少数股东损益的影响</w:t>
            </w:r>
          </w:p>
        </w:tc>
        <w:tc>
          <w:tcPr>
            <w:tcW w:w="1736" w:type="dxa"/>
            <w:tcBorders>
              <w:top w:val="nil" w:sz="6" w:space="0" w:color="auto"/>
              <w:left w:val="nil" w:sz="6" w:space="0" w:color="auto"/>
              <w:bottom w:val="nil" w:sz="6" w:space="0" w:color="auto"/>
              <w:right w:val="nil" w:sz="6" w:space="0" w:color="auto"/>
            </w:tcBorders>
          </w:tcPr>
          <w:p>
            <w:pPr>
              <w:pStyle w:val="TableParagraph"/>
              <w:tabs>
                <w:tab w:pos="938" w:val="left" w:leader="none"/>
                <w:tab w:pos="1736" w:val="left" w:leader="none"/>
              </w:tabs>
              <w:spacing w:line="240" w:lineRule="auto" w:before="179"/>
              <w:ind w:right="0"/>
              <w:jc w:val="lef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t>(1,093)</w:t>
              <w:tab/>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nil" w:sz="6" w:space="0" w:color="auto"/>
              <w:right w:val="nil" w:sz="6" w:space="0" w:color="auto"/>
            </w:tcBorders>
          </w:tcPr>
          <w:p>
            <w:pPr>
              <w:pStyle w:val="TableParagraph"/>
              <w:tabs>
                <w:tab w:pos="888" w:val="left" w:leader="none"/>
              </w:tabs>
              <w:spacing w:line="240" w:lineRule="auto" w:before="179"/>
              <w:ind w:right="60"/>
              <w:jc w:val="right"/>
              <w:rPr>
                <w:rFonts w:ascii="Arial" w:hAnsi="Arial" w:cs="Arial" w:eastAsia="Arial" w:hint="default"/>
                <w:sz w:val="22"/>
                <w:szCs w:val="22"/>
              </w:rPr>
            </w:pPr>
            <w:r>
              <w:rPr>
                <w:rFonts w:ascii="Arial"/>
                <w:w w:val="99"/>
                <w:sz w:val="22"/>
              </w:rPr>
            </w:r>
            <w:r>
              <w:rPr>
                <w:rFonts w:ascii="Arial"/>
                <w:w w:val="99"/>
                <w:sz w:val="22"/>
                <w:u w:val="single" w:color="000000"/>
              </w:rPr>
              <w:t> </w:t>
            </w:r>
            <w:r>
              <w:rPr>
                <w:rFonts w:ascii="Arial"/>
                <w:sz w:val="22"/>
                <w:u w:val="single" w:color="000000"/>
              </w:rPr>
              <w:tab/>
            </w:r>
            <w:r>
              <w:rPr>
                <w:rFonts w:ascii="Arial"/>
                <w:w w:val="95"/>
                <w:sz w:val="22"/>
                <w:u w:val="single" w:color="000000"/>
              </w:rPr>
              <w:t>(17,616)</w:t>
            </w:r>
            <w:r>
              <w:rPr>
                <w:rFonts w:ascii="Arial"/>
                <w:w w:val="95"/>
                <w:sz w:val="22"/>
              </w:rPr>
            </w:r>
            <w:r>
              <w:rPr>
                <w:rFonts w:ascii="Arial"/>
                <w:sz w:val="22"/>
              </w:rPr>
            </w:r>
          </w:p>
        </w:tc>
      </w:tr>
      <w:tr>
        <w:trPr>
          <w:trHeight w:val="461" w:hRule="exact"/>
        </w:trPr>
        <w:tc>
          <w:tcPr>
            <w:tcW w:w="592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6"/>
              <w:ind w:left="494"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1736" w:type="dxa"/>
            <w:tcBorders>
              <w:top w:val="nil" w:sz="6" w:space="0" w:color="auto"/>
              <w:left w:val="nil" w:sz="6" w:space="0" w:color="auto"/>
              <w:bottom w:val="single" w:sz="17" w:space="0" w:color="000000"/>
              <w:right w:val="nil" w:sz="6" w:space="0" w:color="auto"/>
            </w:tcBorders>
          </w:tcPr>
          <w:p>
            <w:pPr>
              <w:pStyle w:val="TableParagraph"/>
              <w:spacing w:line="240" w:lineRule="auto" w:before="182"/>
              <w:ind w:right="145"/>
              <w:jc w:val="right"/>
              <w:rPr>
                <w:rFonts w:ascii="Arial" w:hAnsi="Arial" w:cs="Arial" w:eastAsia="Arial" w:hint="default"/>
                <w:sz w:val="22"/>
                <w:szCs w:val="22"/>
              </w:rPr>
            </w:pPr>
            <w:r>
              <w:rPr>
                <w:rFonts w:ascii="Arial"/>
                <w:w w:val="95"/>
                <w:sz w:val="22"/>
              </w:rPr>
              <w:t>554</w:t>
            </w:r>
            <w:r>
              <w:rPr>
                <w:rFonts w:ascii="Arial"/>
                <w:sz w:val="22"/>
              </w:rPr>
            </w:r>
          </w:p>
        </w:tc>
        <w:tc>
          <w:tcPr>
            <w:tcW w:w="238" w:type="dxa"/>
            <w:tcBorders>
              <w:top w:val="nil" w:sz="6" w:space="0" w:color="auto"/>
              <w:left w:val="nil" w:sz="6" w:space="0" w:color="auto"/>
              <w:bottom w:val="nil" w:sz="6" w:space="0" w:color="auto"/>
              <w:right w:val="nil" w:sz="6" w:space="0" w:color="auto"/>
            </w:tcBorders>
          </w:tcPr>
          <w:p>
            <w:pPr/>
          </w:p>
        </w:tc>
        <w:tc>
          <w:tcPr>
            <w:tcW w:w="1770" w:type="dxa"/>
            <w:tcBorders>
              <w:top w:val="nil" w:sz="6" w:space="0" w:color="auto"/>
              <w:left w:val="nil" w:sz="6" w:space="0" w:color="auto"/>
              <w:bottom w:val="single" w:sz="17" w:space="0" w:color="000000"/>
              <w:right w:val="nil" w:sz="6" w:space="0" w:color="auto"/>
            </w:tcBorders>
          </w:tcPr>
          <w:p>
            <w:pPr>
              <w:pStyle w:val="TableParagraph"/>
              <w:spacing w:line="240" w:lineRule="auto" w:before="182"/>
              <w:ind w:right="133"/>
              <w:jc w:val="right"/>
              <w:rPr>
                <w:rFonts w:ascii="Arial" w:hAnsi="Arial" w:cs="Arial" w:eastAsia="Arial" w:hint="default"/>
                <w:sz w:val="22"/>
                <w:szCs w:val="22"/>
              </w:rPr>
            </w:pPr>
            <w:r>
              <w:rPr>
                <w:rFonts w:ascii="Arial"/>
                <w:w w:val="95"/>
                <w:sz w:val="22"/>
              </w:rPr>
              <w:t>18,868</w:t>
            </w:r>
            <w:r>
              <w:rPr>
                <w:rFonts w:ascii="Arial"/>
                <w:sz w:val="22"/>
              </w:rPr>
            </w:r>
          </w:p>
        </w:tc>
      </w:tr>
    </w:tbl>
    <w:p>
      <w:pPr>
        <w:spacing w:line="240" w:lineRule="auto" w:before="3"/>
        <w:rPr>
          <w:rFonts w:ascii="Arial" w:hAnsi="Arial" w:cs="Arial" w:eastAsia="Arial" w:hint="default"/>
          <w:sz w:val="14"/>
          <w:szCs w:val="14"/>
        </w:rPr>
      </w:pPr>
    </w:p>
    <w:p>
      <w:pPr>
        <w:pStyle w:val="BodyText"/>
        <w:spacing w:line="286" w:lineRule="exact" w:before="60"/>
        <w:ind w:left="996" w:right="0" w:hanging="435"/>
        <w:jc w:val="left"/>
      </w:pPr>
      <w:r>
        <w:rPr/>
        <w:t>注：该营业外收入和营业外支出不包括同一控制下企业合并被合并方在合并日前发生的营业外</w:t>
      </w:r>
      <w:r>
        <w:rPr>
          <w:spacing w:val="-60"/>
        </w:rPr>
        <w:t> </w:t>
      </w:r>
      <w:r>
        <w:rPr>
          <w:spacing w:val="-60"/>
        </w:rPr>
      </w:r>
      <w:r>
        <w:rPr/>
        <w:t>收入和营业外支出。</w:t>
      </w:r>
    </w:p>
    <w:p>
      <w:pPr>
        <w:spacing w:line="240" w:lineRule="auto" w:before="2"/>
        <w:rPr>
          <w:rFonts w:ascii="宋体" w:hAnsi="宋体" w:cs="宋体" w:eastAsia="宋体" w:hint="default"/>
          <w:sz w:val="17"/>
          <w:szCs w:val="17"/>
        </w:rPr>
      </w:pPr>
    </w:p>
    <w:p>
      <w:pPr>
        <w:pStyle w:val="BodyText"/>
        <w:spacing w:line="240" w:lineRule="auto"/>
        <w:ind w:left="562" w:right="0"/>
        <w:jc w:val="both"/>
      </w:pPr>
      <w:r>
        <w:rPr/>
        <w:t>非经常性损益明细表编制基础</w:t>
      </w:r>
    </w:p>
    <w:p>
      <w:pPr>
        <w:spacing w:line="240" w:lineRule="auto" w:before="9"/>
        <w:rPr>
          <w:rFonts w:ascii="宋体" w:hAnsi="宋体" w:cs="宋体" w:eastAsia="宋体" w:hint="default"/>
          <w:sz w:val="19"/>
          <w:szCs w:val="19"/>
        </w:rPr>
      </w:pPr>
    </w:p>
    <w:p>
      <w:pPr>
        <w:pStyle w:val="BodyText"/>
        <w:spacing w:line="232" w:lineRule="auto"/>
        <w:ind w:left="562" w:right="233"/>
        <w:jc w:val="both"/>
      </w:pPr>
      <w:r>
        <w:rPr/>
        <w:t>根据《公开发行证券的公司信息披露解释性公告第 </w:t>
      </w:r>
      <w:r>
        <w:rPr>
          <w:rFonts w:ascii="Arial" w:hAnsi="Arial" w:cs="Arial" w:eastAsia="Arial" w:hint="default"/>
        </w:rPr>
        <w:t>1</w:t>
      </w:r>
      <w:r>
        <w:rPr>
          <w:rFonts w:ascii="Arial" w:hAnsi="Arial" w:cs="Arial" w:eastAsia="Arial" w:hint="default"/>
          <w:spacing w:val="37"/>
        </w:rPr>
        <w:t> </w:t>
      </w:r>
      <w:r>
        <w:rPr/>
        <w:t>号—非经常性损益</w:t>
      </w:r>
      <w:r>
        <w:rPr>
          <w:rFonts w:ascii="Arial" w:hAnsi="Arial" w:cs="Arial" w:eastAsia="Arial" w:hint="default"/>
        </w:rPr>
        <w:t>[2008]</w:t>
      </w:r>
      <w:r>
        <w:rPr/>
        <w:t>》的规定，非经</w:t>
      </w:r>
      <w:r>
        <w:rPr>
          <w:w w:val="99"/>
        </w:rPr>
        <w:t> </w:t>
      </w:r>
      <w:r>
        <w:rPr/>
        <w:t>常性损益是指与公司正常经营业务无直接关系，以及虽与正常经营业务相关，但由于其性质特</w:t>
      </w:r>
      <w:r>
        <w:rPr>
          <w:spacing w:val="-60"/>
        </w:rPr>
        <w:t> </w:t>
      </w:r>
      <w:r>
        <w:rPr>
          <w:spacing w:val="-60"/>
        </w:rPr>
      </w:r>
      <w:r>
        <w:rPr/>
        <w:t>殊和偶发性，影响报表使用人对公司经营业绩和盈利作出正确判断的各项交易和事项产生的损</w:t>
      </w:r>
      <w:r>
        <w:rPr>
          <w:spacing w:val="-60"/>
        </w:rPr>
        <w:t> </w:t>
      </w:r>
      <w:r>
        <w:rPr>
          <w:spacing w:val="-60"/>
        </w:rPr>
      </w:r>
      <w:r>
        <w:rPr/>
        <w:t>益。</w:t>
      </w:r>
    </w:p>
    <w:p>
      <w:pPr>
        <w:spacing w:after="0" w:line="232" w:lineRule="auto"/>
        <w:jc w:val="both"/>
        <w:sectPr>
          <w:headerReference w:type="default" r:id="rId148"/>
          <w:footerReference w:type="default" r:id="rId149"/>
          <w:pgSz w:w="11910" w:h="16840"/>
          <w:pgMar w:header="1330" w:footer="752" w:top="2400" w:bottom="940" w:left="1240" w:right="780"/>
          <w:pgNumType w:start="165"/>
        </w:sectPr>
      </w:pPr>
    </w:p>
    <w:p>
      <w:pPr>
        <w:spacing w:line="240" w:lineRule="auto" w:before="10"/>
        <w:rPr>
          <w:rFonts w:ascii="宋体" w:hAnsi="宋体" w:cs="宋体" w:eastAsia="宋体" w:hint="default"/>
          <w:sz w:val="8"/>
          <w:szCs w:val="8"/>
        </w:rPr>
      </w:pPr>
    </w:p>
    <w:p>
      <w:pPr>
        <w:pStyle w:val="BodyText"/>
        <w:spacing w:line="240" w:lineRule="auto" w:before="31"/>
        <w:ind w:left="102" w:right="723"/>
        <w:jc w:val="left"/>
        <w:rPr>
          <w:rFonts w:ascii="黑体" w:hAnsi="黑体" w:cs="黑体" w:eastAsia="黑体" w:hint="default"/>
        </w:rPr>
      </w:pPr>
      <w:r>
        <w:rPr>
          <w:rFonts w:ascii="黑体" w:hAnsi="黑体" w:cs="黑体" w:eastAsia="黑体" w:hint="default"/>
        </w:rPr>
        <w:t>二、财务报表差异调节表</w:t>
      </w:r>
    </w:p>
    <w:p>
      <w:pPr>
        <w:spacing w:line="240" w:lineRule="auto" w:before="1"/>
        <w:rPr>
          <w:rFonts w:ascii="黑体" w:hAnsi="黑体" w:cs="黑体" w:eastAsia="黑体" w:hint="default"/>
          <w:sz w:val="20"/>
          <w:szCs w:val="20"/>
        </w:rPr>
      </w:pPr>
    </w:p>
    <w:p>
      <w:pPr>
        <w:pStyle w:val="BodyText"/>
        <w:spacing w:line="228" w:lineRule="auto"/>
        <w:ind w:left="480" w:right="288"/>
        <w:jc w:val="left"/>
      </w:pPr>
      <w:r>
        <w:rPr/>
        <w:pict>
          <v:group style="position:absolute;margin-left:336.839996pt;margin-top:117.796028pt;width:99.4pt;height:.1pt;mso-position-horizontal-relative:page;mso-position-vertical-relative:paragraph;z-index:-910216" coordorigin="6737,2356" coordsize="1988,2">
            <v:shape style="position:absolute;left:6737;top:2356;width:1988;height:2" coordorigin="6737,2356" coordsize="1988,0" path="m6737,2356l8724,2356e" filled="false" stroked="true" strokeweight=".72pt" strokecolor="#000000">
              <v:path arrowok="t"/>
            </v:shape>
            <w10:wrap type="none"/>
          </v:group>
        </w:pict>
      </w:r>
      <w:r>
        <w:rPr/>
        <w:pict>
          <v:group style="position:absolute;margin-left:440.399994pt;margin-top:139.276031pt;width:51.85pt;height:.1pt;mso-position-horizontal-relative:page;mso-position-vertical-relative:paragraph;z-index:-910192" coordorigin="8808,2786" coordsize="1037,2">
            <v:shape style="position:absolute;left:8808;top:2786;width:1037;height:2" coordorigin="8808,2786" coordsize="1037,0" path="m8808,2786l9845,2786e" filled="false" stroked="true" strokeweight=".72pt" strokecolor="#000000">
              <v:path arrowok="t"/>
            </v:shape>
            <w10:wrap type="none"/>
          </v:group>
        </w:pict>
      </w:r>
      <w:r>
        <w:rPr/>
        <w:t>鉴于本公司的特殊架构，即通过联通 </w:t>
      </w:r>
      <w:r>
        <w:rPr>
          <w:rFonts w:ascii="Arial" w:hAnsi="Arial" w:cs="Arial" w:eastAsia="Arial" w:hint="default"/>
        </w:rPr>
        <w:t>BVI</w:t>
      </w:r>
      <w:r>
        <w:rPr>
          <w:rFonts w:ascii="Arial" w:hAnsi="Arial" w:cs="Arial" w:eastAsia="Arial" w:hint="default"/>
          <w:spacing w:val="-7"/>
        </w:rPr>
        <w:t> </w:t>
      </w:r>
      <w:r>
        <w:rPr/>
        <w:t>公司间接持有联通红筹公司的股权，联通红筹公司为</w:t>
      </w:r>
      <w:r>
        <w:rPr>
          <w:w w:val="99"/>
        </w:rPr>
        <w:t> </w:t>
      </w:r>
      <w:r>
        <w:rPr/>
        <w:t>在香港注册的有限公司。联通红筹公司按照国际财务报告准则</w:t>
      </w:r>
      <w:r>
        <w:rPr>
          <w:rFonts w:ascii="Arial" w:hAnsi="Arial" w:cs="Arial" w:eastAsia="Arial" w:hint="default"/>
        </w:rPr>
        <w:t>/</w:t>
      </w:r>
      <w:r>
        <w:rPr/>
        <w:t>香港财务报告准则编制了财务报</w:t>
      </w:r>
      <w:r>
        <w:rPr>
          <w:w w:val="99"/>
        </w:rPr>
        <w:t> </w:t>
      </w:r>
      <w:r>
        <w:rPr/>
        <w:t>告，并已经罗兵咸永道会计师事务所审计。因本集团按照财政部于</w:t>
      </w:r>
      <w:r>
        <w:rPr>
          <w:spacing w:val="-55"/>
        </w:rPr>
        <w:t> </w:t>
      </w:r>
      <w:r>
        <w:rPr>
          <w:rFonts w:ascii="Arial" w:hAnsi="Arial" w:cs="Arial" w:eastAsia="Arial" w:hint="default"/>
        </w:rPr>
        <w:t>2006</w:t>
      </w:r>
      <w:r>
        <w:rPr>
          <w:rFonts w:ascii="Arial" w:hAnsi="Arial" w:cs="Arial" w:eastAsia="Arial" w:hint="default"/>
          <w:spacing w:val="-7"/>
        </w:rPr>
        <w:t> </w:t>
      </w:r>
      <w:r>
        <w:rPr/>
        <w:t>年</w:t>
      </w:r>
      <w:r>
        <w:rPr>
          <w:spacing w:val="-56"/>
        </w:rPr>
        <w:t> </w:t>
      </w:r>
      <w:r>
        <w:rPr>
          <w:rFonts w:ascii="Arial" w:hAnsi="Arial" w:cs="Arial" w:eastAsia="Arial" w:hint="default"/>
        </w:rPr>
        <w:t>2</w:t>
      </w:r>
      <w:r>
        <w:rPr>
          <w:rFonts w:ascii="Arial" w:hAnsi="Arial" w:cs="Arial" w:eastAsia="Arial" w:hint="default"/>
          <w:spacing w:val="-7"/>
        </w:rPr>
        <w:t> </w:t>
      </w:r>
      <w:r>
        <w:rPr/>
        <w:t>月</w:t>
      </w:r>
      <w:r>
        <w:rPr>
          <w:spacing w:val="-56"/>
        </w:rPr>
        <w:t> </w:t>
      </w:r>
      <w:r>
        <w:rPr>
          <w:rFonts w:ascii="Arial" w:hAnsi="Arial" w:cs="Arial" w:eastAsia="Arial" w:hint="default"/>
        </w:rPr>
        <w:t>15</w:t>
      </w:r>
      <w:r>
        <w:rPr>
          <w:rFonts w:ascii="Arial" w:hAnsi="Arial" w:cs="Arial" w:eastAsia="Arial" w:hint="default"/>
          <w:spacing w:val="-7"/>
        </w:rPr>
        <w:t> </w:t>
      </w:r>
      <w:r>
        <w:rPr/>
        <w:t>日颁布的企</w:t>
      </w:r>
      <w:r>
        <w:rPr>
          <w:w w:val="99"/>
        </w:rPr>
        <w:t> </w:t>
      </w:r>
      <w:r>
        <w:rPr>
          <w:spacing w:val="-2"/>
        </w:rPr>
        <w:t>业会计准则（“中国会计准则”）编制合并财务报表时，联通红筹公司按中国会计准则编制的财</w:t>
      </w:r>
      <w:r>
        <w:rPr>
          <w:spacing w:val="-104"/>
        </w:rPr>
        <w:t> </w:t>
      </w:r>
      <w:r>
        <w:rPr>
          <w:spacing w:val="-104"/>
        </w:rPr>
      </w:r>
      <w:r>
        <w:rPr/>
        <w:t>务报表与其按国际财务报告准则</w:t>
      </w:r>
      <w:r>
        <w:rPr>
          <w:rFonts w:ascii="Arial" w:hAnsi="Arial" w:cs="Arial" w:eastAsia="Arial" w:hint="default"/>
        </w:rPr>
        <w:t>/</w:t>
      </w:r>
      <w:r>
        <w:rPr/>
        <w:t>香港财务报告准则（注）编制的财务报表存在差异。准则差异</w:t>
      </w:r>
      <w:r>
        <w:rPr>
          <w:w w:val="99"/>
        </w:rPr>
        <w:t> </w:t>
      </w:r>
      <w:r>
        <w:rPr/>
        <w:t>对本集团净利润和净资产的影响列示如下：</w:t>
      </w:r>
    </w:p>
    <w:p>
      <w:pPr>
        <w:spacing w:line="240" w:lineRule="auto" w:before="10"/>
        <w:rPr>
          <w:rFonts w:ascii="宋体" w:hAnsi="宋体" w:cs="宋体" w:eastAsia="宋体" w:hint="default"/>
          <w:sz w:val="27"/>
          <w:szCs w:val="27"/>
        </w:rPr>
      </w:pPr>
    </w:p>
    <w:tbl>
      <w:tblPr>
        <w:tblW w:w="0" w:type="auto"/>
        <w:jc w:val="left"/>
        <w:tblInd w:w="435" w:type="dxa"/>
        <w:tblLayout w:type="fixed"/>
        <w:tblCellMar>
          <w:top w:w="0" w:type="dxa"/>
          <w:left w:w="0" w:type="dxa"/>
          <w:bottom w:w="0" w:type="dxa"/>
          <w:right w:w="0" w:type="dxa"/>
        </w:tblCellMar>
        <w:tblLook w:val="01E0"/>
      </w:tblPr>
      <w:tblGrid>
        <w:gridCol w:w="4529"/>
        <w:gridCol w:w="492"/>
        <w:gridCol w:w="1294"/>
        <w:gridCol w:w="984"/>
        <w:gridCol w:w="1113"/>
        <w:gridCol w:w="844"/>
      </w:tblGrid>
      <w:tr>
        <w:trPr>
          <w:trHeight w:val="292" w:hRule="exact"/>
        </w:trPr>
        <w:tc>
          <w:tcPr>
            <w:tcW w:w="5021" w:type="dxa"/>
            <w:gridSpan w:val="2"/>
            <w:tcBorders>
              <w:top w:val="nil" w:sz="6" w:space="0" w:color="auto"/>
              <w:left w:val="nil" w:sz="6" w:space="0" w:color="auto"/>
              <w:bottom w:val="nil" w:sz="6" w:space="0" w:color="auto"/>
              <w:right w:val="nil" w:sz="6" w:space="0" w:color="auto"/>
            </w:tcBorders>
          </w:tcPr>
          <w:p>
            <w:pPr/>
          </w:p>
        </w:tc>
        <w:tc>
          <w:tcPr>
            <w:tcW w:w="4235" w:type="dxa"/>
            <w:gridSpan w:val="4"/>
            <w:tcBorders>
              <w:top w:val="nil" w:sz="6" w:space="0" w:color="auto"/>
              <w:left w:val="nil" w:sz="6" w:space="0" w:color="auto"/>
              <w:bottom w:val="nil" w:sz="6" w:space="0" w:color="auto"/>
              <w:right w:val="nil" w:sz="6" w:space="0" w:color="auto"/>
            </w:tcBorders>
          </w:tcPr>
          <w:p>
            <w:pPr>
              <w:pStyle w:val="TableParagraph"/>
              <w:tabs>
                <w:tab w:pos="2902" w:val="left" w:leader="none"/>
              </w:tabs>
              <w:spacing w:line="240" w:lineRule="auto" w:before="50"/>
              <w:ind w:left="760" w:right="0"/>
              <w:jc w:val="left"/>
              <w:rPr>
                <w:rFonts w:ascii="黑体" w:hAnsi="黑体" w:cs="黑体" w:eastAsia="黑体" w:hint="default"/>
                <w:sz w:val="16"/>
                <w:szCs w:val="16"/>
              </w:rPr>
            </w:pPr>
            <w:r>
              <w:rPr>
                <w:rFonts w:ascii="黑体" w:hAnsi="黑体" w:cs="黑体" w:eastAsia="黑体" w:hint="default"/>
                <w:w w:val="95"/>
                <w:sz w:val="16"/>
                <w:szCs w:val="16"/>
              </w:rPr>
              <w:t>净利润</w:t>
              <w:tab/>
            </w:r>
            <w:r>
              <w:rPr>
                <w:rFonts w:ascii="黑体" w:hAnsi="黑体" w:cs="黑体" w:eastAsia="黑体" w:hint="default"/>
                <w:sz w:val="16"/>
                <w:szCs w:val="16"/>
              </w:rPr>
              <w:t>净资产</w:t>
            </w:r>
          </w:p>
        </w:tc>
      </w:tr>
      <w:tr>
        <w:trPr>
          <w:trHeight w:val="218"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191" w:lineRule="exact"/>
              <w:ind w:right="134"/>
              <w:jc w:val="center"/>
              <w:rPr>
                <w:rFonts w:ascii="宋体" w:hAnsi="宋体" w:cs="宋体" w:eastAsia="宋体" w:hint="default"/>
                <w:sz w:val="16"/>
                <w:szCs w:val="16"/>
              </w:rPr>
            </w:pPr>
            <w:r>
              <w:rPr>
                <w:rFonts w:ascii="宋体" w:hAnsi="宋体" w:cs="宋体" w:eastAsia="宋体" w:hint="default"/>
                <w:sz w:val="16"/>
                <w:szCs w:val="16"/>
              </w:rPr>
              <w:t>项目</w:t>
            </w:r>
          </w:p>
        </w:tc>
        <w:tc>
          <w:tcPr>
            <w:tcW w:w="492" w:type="dxa"/>
            <w:tcBorders>
              <w:top w:val="nil" w:sz="6" w:space="0" w:color="auto"/>
              <w:left w:val="nil" w:sz="6" w:space="0" w:color="auto"/>
              <w:bottom w:val="nil" w:sz="6" w:space="0" w:color="auto"/>
              <w:right w:val="nil" w:sz="6" w:space="0" w:color="auto"/>
            </w:tcBorders>
          </w:tcPr>
          <w:p>
            <w:pPr/>
          </w:p>
        </w:tc>
        <w:tc>
          <w:tcPr>
            <w:tcW w:w="4235" w:type="dxa"/>
            <w:gridSpan w:val="4"/>
            <w:tcBorders>
              <w:top w:val="nil" w:sz="6" w:space="0" w:color="auto"/>
              <w:left w:val="nil" w:sz="6" w:space="0" w:color="auto"/>
              <w:bottom w:val="nil" w:sz="6" w:space="0" w:color="auto"/>
              <w:right w:val="nil" w:sz="6" w:space="0" w:color="auto"/>
            </w:tcBorders>
          </w:tcPr>
          <w:p>
            <w:pPr>
              <w:pStyle w:val="TableParagraph"/>
              <w:tabs>
                <w:tab w:pos="3638" w:val="left" w:leader="none"/>
              </w:tabs>
              <w:spacing w:line="202" w:lineRule="exact"/>
              <w:ind w:left="2523" w:right="0"/>
              <w:jc w:val="left"/>
              <w:rPr>
                <w:rFonts w:ascii="宋体" w:hAnsi="宋体" w:cs="宋体" w:eastAsia="宋体" w:hint="default"/>
                <w:sz w:val="16"/>
                <w:szCs w:val="16"/>
              </w:rPr>
            </w:pPr>
            <w:r>
              <w:rPr>
                <w:rFonts w:ascii="Arial" w:hAnsi="Arial" w:cs="Arial" w:eastAsia="Arial" w:hint="default"/>
                <w:sz w:val="16"/>
                <w:szCs w:val="16"/>
              </w:rPr>
              <w:t>2009</w:t>
            </w:r>
            <w:r>
              <w:rPr>
                <w:rFonts w:ascii="Arial" w:hAnsi="Arial" w:cs="Arial" w:eastAsia="Arial" w:hint="default"/>
                <w:spacing w:val="-7"/>
                <w:sz w:val="16"/>
                <w:szCs w:val="16"/>
              </w:rPr>
              <w:t> </w:t>
            </w:r>
            <w:r>
              <w:rPr>
                <w:rFonts w:ascii="宋体" w:hAnsi="宋体" w:cs="宋体" w:eastAsia="宋体" w:hint="default"/>
                <w:sz w:val="16"/>
                <w:szCs w:val="16"/>
              </w:rPr>
              <w:t>年</w:t>
              <w:tab/>
            </w:r>
            <w:r>
              <w:rPr>
                <w:rFonts w:ascii="Arial" w:hAnsi="Arial" w:cs="Arial" w:eastAsia="Arial" w:hint="default"/>
                <w:sz w:val="16"/>
                <w:szCs w:val="16"/>
              </w:rPr>
              <w:t>2008</w:t>
            </w:r>
            <w:r>
              <w:rPr>
                <w:rFonts w:ascii="Arial" w:hAnsi="Arial" w:cs="Arial" w:eastAsia="Arial" w:hint="default"/>
                <w:spacing w:val="-7"/>
                <w:sz w:val="16"/>
                <w:szCs w:val="16"/>
              </w:rPr>
              <w:t> </w:t>
            </w:r>
            <w:r>
              <w:rPr>
                <w:rFonts w:ascii="宋体" w:hAnsi="宋体" w:cs="宋体" w:eastAsia="宋体" w:hint="default"/>
                <w:sz w:val="16"/>
                <w:szCs w:val="16"/>
              </w:rPr>
              <w:t>年</w:t>
            </w:r>
          </w:p>
        </w:tc>
      </w:tr>
      <w:tr>
        <w:trPr>
          <w:trHeight w:val="212" w:hRule="exact"/>
        </w:trPr>
        <w:tc>
          <w:tcPr>
            <w:tcW w:w="4529" w:type="dxa"/>
            <w:tcBorders>
              <w:top w:val="nil" w:sz="6" w:space="0" w:color="auto"/>
              <w:left w:val="nil" w:sz="6" w:space="0" w:color="auto"/>
              <w:bottom w:val="single" w:sz="6" w:space="0" w:color="000000"/>
              <w:right w:val="nil" w:sz="6" w:space="0" w:color="auto"/>
            </w:tcBorders>
          </w:tcPr>
          <w:p>
            <w:pPr>
              <w:pStyle w:val="TableParagraph"/>
              <w:spacing w:line="179" w:lineRule="exact"/>
              <w:ind w:left="1316" w:right="0"/>
              <w:jc w:val="left"/>
              <w:rPr>
                <w:rFonts w:ascii="宋体" w:hAnsi="宋体" w:cs="宋体" w:eastAsia="宋体" w:hint="default"/>
                <w:sz w:val="16"/>
                <w:szCs w:val="16"/>
              </w:rPr>
            </w:pPr>
            <w:r>
              <w:rPr>
                <w:rFonts w:ascii="宋体" w:hAnsi="宋体" w:cs="宋体" w:eastAsia="宋体" w:hint="default"/>
                <w:sz w:val="16"/>
                <w:szCs w:val="16"/>
              </w:rPr>
              <w:t>（单位：人民币百万元）</w:t>
            </w:r>
          </w:p>
        </w:tc>
        <w:tc>
          <w:tcPr>
            <w:tcW w:w="492" w:type="dxa"/>
            <w:tcBorders>
              <w:top w:val="nil" w:sz="6" w:space="0" w:color="auto"/>
              <w:left w:val="nil" w:sz="6" w:space="0" w:color="auto"/>
              <w:bottom w:val="single" w:sz="6" w:space="0" w:color="000000"/>
              <w:right w:val="nil" w:sz="6" w:space="0" w:color="auto"/>
            </w:tcBorders>
          </w:tcPr>
          <w:p>
            <w:pPr>
              <w:pStyle w:val="TableParagraph"/>
              <w:spacing w:line="179" w:lineRule="exact"/>
              <w:ind w:left="3" w:right="0"/>
              <w:jc w:val="left"/>
              <w:rPr>
                <w:rFonts w:ascii="宋体" w:hAnsi="宋体" w:cs="宋体" w:eastAsia="宋体" w:hint="default"/>
                <w:sz w:val="16"/>
                <w:szCs w:val="16"/>
              </w:rPr>
            </w:pPr>
            <w:r>
              <w:rPr>
                <w:rFonts w:ascii="宋体" w:hAnsi="宋体" w:cs="宋体" w:eastAsia="宋体" w:hint="default"/>
                <w:sz w:val="16"/>
                <w:szCs w:val="16"/>
              </w:rPr>
              <w:t>注释</w:t>
            </w:r>
          </w:p>
        </w:tc>
        <w:tc>
          <w:tcPr>
            <w:tcW w:w="4235" w:type="dxa"/>
            <w:gridSpan w:val="4"/>
            <w:tcBorders>
              <w:top w:val="nil" w:sz="6" w:space="0" w:color="auto"/>
              <w:left w:val="nil" w:sz="6" w:space="0" w:color="auto"/>
              <w:bottom w:val="nil" w:sz="6" w:space="0" w:color="auto"/>
              <w:right w:val="nil" w:sz="6" w:space="0" w:color="auto"/>
            </w:tcBorders>
          </w:tcPr>
          <w:p>
            <w:pPr>
              <w:pStyle w:val="TableParagraph"/>
              <w:tabs>
                <w:tab w:pos="1195" w:val="left" w:leader="none"/>
                <w:tab w:pos="2283" w:val="left" w:leader="none"/>
                <w:tab w:pos="3398" w:val="left" w:leader="none"/>
              </w:tabs>
              <w:spacing w:line="191" w:lineRule="exact"/>
              <w:ind w:left="173" w:right="0"/>
              <w:jc w:val="left"/>
              <w:rPr>
                <w:rFonts w:ascii="宋体" w:hAnsi="宋体" w:cs="宋体" w:eastAsia="宋体" w:hint="default"/>
                <w:sz w:val="16"/>
                <w:szCs w:val="16"/>
              </w:rPr>
            </w:pPr>
            <w:r>
              <w:rPr>
                <w:rFonts w:ascii="Arial" w:hAnsi="Arial" w:cs="Arial" w:eastAsia="Arial" w:hint="default"/>
                <w:sz w:val="16"/>
                <w:szCs w:val="16"/>
              </w:rPr>
              <w:t>2009</w:t>
            </w:r>
            <w:r>
              <w:rPr>
                <w:rFonts w:ascii="Arial" w:hAnsi="Arial" w:cs="Arial" w:eastAsia="Arial" w:hint="default"/>
                <w:spacing w:val="-6"/>
                <w:sz w:val="16"/>
                <w:szCs w:val="16"/>
              </w:rPr>
              <w:t> </w:t>
            </w:r>
            <w:r>
              <w:rPr>
                <w:rFonts w:ascii="宋体" w:hAnsi="宋体" w:cs="宋体" w:eastAsia="宋体" w:hint="default"/>
                <w:sz w:val="16"/>
                <w:szCs w:val="16"/>
              </w:rPr>
              <w:t>年度</w:t>
              <w:tab/>
            </w:r>
            <w:r>
              <w:rPr>
                <w:rFonts w:ascii="Arial" w:hAnsi="Arial" w:cs="Arial" w:eastAsia="Arial" w:hint="default"/>
                <w:sz w:val="16"/>
                <w:szCs w:val="16"/>
              </w:rPr>
              <w:t>2008</w:t>
            </w:r>
            <w:r>
              <w:rPr>
                <w:rFonts w:ascii="Arial" w:hAnsi="Arial" w:cs="Arial" w:eastAsia="Arial" w:hint="default"/>
                <w:spacing w:val="-6"/>
                <w:sz w:val="16"/>
                <w:szCs w:val="16"/>
              </w:rPr>
              <w:t> </w:t>
            </w:r>
            <w:r>
              <w:rPr>
                <w:rFonts w:ascii="宋体" w:hAnsi="宋体" w:cs="宋体" w:eastAsia="宋体" w:hint="default"/>
                <w:sz w:val="16"/>
                <w:szCs w:val="16"/>
              </w:rPr>
              <w:t>年度</w:t>
              <w:tab/>
            </w:r>
            <w:r>
              <w:rPr>
                <w:rFonts w:ascii="Arial" w:hAnsi="Arial" w:cs="Arial" w:eastAsia="Arial" w:hint="default"/>
                <w:sz w:val="16"/>
                <w:szCs w:val="16"/>
              </w:rPr>
              <w:t>12</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tab/>
            </w:r>
            <w:r>
              <w:rPr>
                <w:rFonts w:ascii="Arial" w:hAnsi="Arial" w:cs="Arial" w:eastAsia="Arial" w:hint="default"/>
                <w:sz w:val="16"/>
                <w:szCs w:val="16"/>
              </w:rPr>
              <w:t>12</w:t>
            </w:r>
            <w:r>
              <w:rPr>
                <w:rFonts w:ascii="Arial" w:hAnsi="Arial" w:cs="Arial" w:eastAsia="Arial" w:hint="default"/>
                <w:spacing w:val="-6"/>
                <w:sz w:val="16"/>
                <w:szCs w:val="16"/>
              </w:rPr>
              <w:t> </w:t>
            </w:r>
            <w:r>
              <w:rPr>
                <w:rFonts w:ascii="宋体" w:hAnsi="宋体" w:cs="宋体" w:eastAsia="宋体" w:hint="default"/>
                <w:sz w:val="16"/>
                <w:szCs w:val="16"/>
              </w:rPr>
              <w:t>月</w:t>
            </w:r>
            <w:r>
              <w:rPr>
                <w:rFonts w:ascii="宋体" w:hAnsi="宋体" w:cs="宋体" w:eastAsia="宋体" w:hint="default"/>
                <w:spacing w:val="-42"/>
                <w:sz w:val="16"/>
                <w:szCs w:val="16"/>
              </w:rPr>
              <w:t> </w:t>
            </w:r>
            <w:r>
              <w:rPr>
                <w:rFonts w:ascii="Arial" w:hAnsi="Arial" w:cs="Arial" w:eastAsia="Arial" w:hint="default"/>
                <w:sz w:val="16"/>
                <w:szCs w:val="16"/>
              </w:rPr>
              <w:t>31</w:t>
            </w:r>
            <w:r>
              <w:rPr>
                <w:rFonts w:ascii="Arial" w:hAnsi="Arial" w:cs="Arial" w:eastAsia="Arial" w:hint="default"/>
                <w:spacing w:val="-6"/>
                <w:sz w:val="16"/>
                <w:szCs w:val="16"/>
              </w:rPr>
              <w:t> </w:t>
            </w:r>
            <w:r>
              <w:rPr>
                <w:rFonts w:ascii="宋体" w:hAnsi="宋体" w:cs="宋体" w:eastAsia="宋体" w:hint="default"/>
                <w:sz w:val="16"/>
                <w:szCs w:val="16"/>
              </w:rPr>
              <w:t>日</w:t>
            </w:r>
          </w:p>
        </w:tc>
      </w:tr>
      <w:tr>
        <w:trPr>
          <w:trHeight w:val="214" w:hRule="exact"/>
        </w:trPr>
        <w:tc>
          <w:tcPr>
            <w:tcW w:w="4529" w:type="dxa"/>
            <w:tcBorders>
              <w:top w:val="single" w:sz="6" w:space="0" w:color="000000"/>
              <w:left w:val="nil" w:sz="6" w:space="0" w:color="auto"/>
              <w:bottom w:val="nil" w:sz="6" w:space="0" w:color="auto"/>
              <w:right w:val="nil" w:sz="6" w:space="0" w:color="auto"/>
            </w:tcBorders>
          </w:tcPr>
          <w:p>
            <w:pPr/>
          </w:p>
        </w:tc>
        <w:tc>
          <w:tcPr>
            <w:tcW w:w="492" w:type="dxa"/>
            <w:tcBorders>
              <w:top w:val="single" w:sz="6" w:space="0" w:color="000000"/>
              <w:left w:val="nil" w:sz="6" w:space="0" w:color="auto"/>
              <w:bottom w:val="nil" w:sz="6" w:space="0" w:color="auto"/>
              <w:right w:val="nil" w:sz="6" w:space="0" w:color="auto"/>
            </w:tcBorders>
          </w:tcPr>
          <w:p>
            <w:pPr/>
          </w:p>
        </w:tc>
        <w:tc>
          <w:tcPr>
            <w:tcW w:w="4235" w:type="dxa"/>
            <w:gridSpan w:val="4"/>
            <w:tcBorders>
              <w:top w:val="nil" w:sz="6" w:space="0" w:color="auto"/>
              <w:left w:val="nil" w:sz="6" w:space="0" w:color="auto"/>
              <w:bottom w:val="nil" w:sz="6" w:space="0" w:color="auto"/>
              <w:right w:val="nil" w:sz="6" w:space="0" w:color="auto"/>
            </w:tcBorders>
          </w:tcPr>
          <w:p>
            <w:pPr>
              <w:pStyle w:val="TableParagraph"/>
              <w:tabs>
                <w:tab w:pos="3303" w:val="left" w:leader="none"/>
              </w:tabs>
              <w:spacing w:line="190" w:lineRule="exact"/>
              <w:ind w:left="1153" w:right="0"/>
              <w:jc w:val="left"/>
              <w:rPr>
                <w:rFonts w:ascii="宋体" w:hAnsi="宋体" w:cs="宋体" w:eastAsia="宋体" w:hint="default"/>
                <w:sz w:val="16"/>
                <w:szCs w:val="16"/>
              </w:rPr>
            </w:pPr>
            <w:r>
              <w:rPr>
                <w:rFonts w:ascii="宋体" w:hAnsi="宋体" w:cs="宋体" w:eastAsia="宋体" w:hint="default"/>
                <w:w w:val="95"/>
                <w:sz w:val="16"/>
                <w:szCs w:val="16"/>
              </w:rPr>
              <w:t>（经重列）</w:t>
              <w:tab/>
            </w:r>
            <w:r>
              <w:rPr>
                <w:rFonts w:ascii="宋体" w:hAnsi="宋体" w:cs="宋体" w:eastAsia="宋体" w:hint="default"/>
                <w:sz w:val="16"/>
                <w:szCs w:val="16"/>
              </w:rPr>
              <w:t>（经重列）</w:t>
            </w:r>
          </w:p>
        </w:tc>
      </w:tr>
      <w:tr>
        <w:trPr>
          <w:trHeight w:val="309"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194" w:lineRule="exact"/>
              <w:ind w:left="35" w:right="0"/>
              <w:jc w:val="left"/>
              <w:rPr>
                <w:rFonts w:ascii="宋体" w:hAnsi="宋体" w:cs="宋体" w:eastAsia="宋体" w:hint="default"/>
                <w:sz w:val="16"/>
                <w:szCs w:val="16"/>
              </w:rPr>
            </w:pPr>
            <w:r>
              <w:rPr>
                <w:rFonts w:ascii="宋体" w:hAnsi="宋体" w:cs="宋体" w:eastAsia="宋体" w:hint="default"/>
                <w:sz w:val="16"/>
                <w:szCs w:val="16"/>
              </w:rPr>
              <w:t>本集团中国会计准则下的净利润</w:t>
            </w:r>
            <w:r>
              <w:rPr>
                <w:rFonts w:ascii="Arial" w:hAnsi="Arial" w:cs="Arial" w:eastAsia="Arial" w:hint="default"/>
                <w:sz w:val="16"/>
                <w:szCs w:val="16"/>
              </w:rPr>
              <w:t>/</w:t>
            </w:r>
            <w:r>
              <w:rPr>
                <w:rFonts w:ascii="宋体" w:hAnsi="宋体" w:cs="宋体" w:eastAsia="宋体" w:hint="default"/>
                <w:sz w:val="16"/>
                <w:szCs w:val="16"/>
              </w:rPr>
              <w:t>净资产</w:t>
            </w:r>
          </w:p>
        </w:tc>
        <w:tc>
          <w:tcPr>
            <w:tcW w:w="492" w:type="dxa"/>
            <w:tcBorders>
              <w:top w:val="nil" w:sz="6" w:space="0" w:color="auto"/>
              <w:left w:val="nil" w:sz="6" w:space="0" w:color="auto"/>
              <w:bottom w:val="nil" w:sz="6" w:space="0" w:color="auto"/>
              <w:right w:val="nil" w:sz="6" w:space="0" w:color="auto"/>
            </w:tcBorders>
          </w:tcPr>
          <w:p>
            <w:pPr/>
          </w:p>
        </w:tc>
        <w:tc>
          <w:tcPr>
            <w:tcW w:w="4235" w:type="dxa"/>
            <w:gridSpan w:val="4"/>
            <w:tcBorders>
              <w:top w:val="nil" w:sz="6" w:space="0" w:color="auto"/>
              <w:left w:val="nil" w:sz="6" w:space="0" w:color="auto"/>
              <w:bottom w:val="nil" w:sz="6" w:space="0" w:color="auto"/>
              <w:right w:val="nil" w:sz="6" w:space="0" w:color="auto"/>
            </w:tcBorders>
          </w:tcPr>
          <w:p>
            <w:pPr>
              <w:pStyle w:val="TableParagraph"/>
              <w:tabs>
                <w:tab w:pos="1421" w:val="left" w:leader="none"/>
                <w:tab w:pos="2466" w:val="left" w:leader="none"/>
                <w:tab w:pos="3559" w:val="left" w:leader="none"/>
              </w:tabs>
              <w:spacing w:line="240" w:lineRule="auto" w:before="22"/>
              <w:ind w:left="544" w:right="0"/>
              <w:jc w:val="left"/>
              <w:rPr>
                <w:rFonts w:ascii="Arial" w:hAnsi="Arial" w:cs="Arial" w:eastAsia="Arial" w:hint="default"/>
                <w:sz w:val="16"/>
                <w:szCs w:val="16"/>
              </w:rPr>
            </w:pPr>
            <w:r>
              <w:rPr>
                <w:rFonts w:ascii="Arial"/>
                <w:w w:val="95"/>
                <w:sz w:val="16"/>
              </w:rPr>
              <w:t>9,374</w:t>
              <w:tab/>
              <w:t>35,200</w:t>
              <w:tab/>
              <w:t>208,845</w:t>
              <w:tab/>
            </w:r>
            <w:r>
              <w:rPr>
                <w:rFonts w:ascii="Arial"/>
                <w:sz w:val="16"/>
              </w:rPr>
              <w:t>210,111</w:t>
            </w:r>
          </w:p>
        </w:tc>
      </w:tr>
      <w:tr>
        <w:trPr>
          <w:trHeight w:val="293"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5" w:right="0"/>
              <w:jc w:val="left"/>
              <w:rPr>
                <w:rFonts w:ascii="宋体" w:hAnsi="宋体" w:cs="宋体" w:eastAsia="宋体" w:hint="default"/>
                <w:sz w:val="16"/>
                <w:szCs w:val="16"/>
              </w:rPr>
            </w:pPr>
            <w:r>
              <w:rPr>
                <w:rFonts w:ascii="宋体" w:hAnsi="宋体" w:cs="宋体" w:eastAsia="宋体" w:hint="default"/>
                <w:sz w:val="16"/>
                <w:szCs w:val="16"/>
              </w:rPr>
              <w:t>加：本公司及联通</w:t>
            </w:r>
            <w:r>
              <w:rPr>
                <w:rFonts w:ascii="宋体" w:hAnsi="宋体" w:cs="宋体" w:eastAsia="宋体" w:hint="default"/>
                <w:spacing w:val="-43"/>
                <w:sz w:val="16"/>
                <w:szCs w:val="16"/>
              </w:rPr>
              <w:t> </w:t>
            </w:r>
            <w:r>
              <w:rPr>
                <w:rFonts w:ascii="Arial" w:hAnsi="Arial" w:cs="Arial" w:eastAsia="Arial" w:hint="default"/>
                <w:sz w:val="16"/>
                <w:szCs w:val="16"/>
              </w:rPr>
              <w:t>BVI</w:t>
            </w:r>
            <w:r>
              <w:rPr>
                <w:rFonts w:ascii="Arial" w:hAnsi="Arial" w:cs="Arial" w:eastAsia="Arial" w:hint="default"/>
                <w:spacing w:val="-7"/>
                <w:sz w:val="16"/>
                <w:szCs w:val="16"/>
              </w:rPr>
              <w:t> </w:t>
            </w:r>
            <w:r>
              <w:rPr>
                <w:rFonts w:ascii="宋体" w:hAnsi="宋体" w:cs="宋体" w:eastAsia="宋体" w:hint="default"/>
                <w:sz w:val="16"/>
                <w:szCs w:val="16"/>
              </w:rPr>
              <w:t>公司发生的（累计发生的）费用</w:t>
            </w:r>
          </w:p>
        </w:tc>
        <w:tc>
          <w:tcPr>
            <w:tcW w:w="492" w:type="dxa"/>
            <w:tcBorders>
              <w:top w:val="nil" w:sz="6" w:space="0" w:color="auto"/>
              <w:left w:val="nil" w:sz="6" w:space="0" w:color="auto"/>
              <w:bottom w:val="nil" w:sz="6" w:space="0" w:color="auto"/>
              <w:right w:val="nil" w:sz="6" w:space="0" w:color="auto"/>
            </w:tcBorders>
          </w:tcPr>
          <w:p>
            <w:pPr/>
          </w:p>
        </w:tc>
        <w:tc>
          <w:tcPr>
            <w:tcW w:w="4235" w:type="dxa"/>
            <w:gridSpan w:val="4"/>
            <w:tcBorders>
              <w:top w:val="nil" w:sz="6" w:space="0" w:color="auto"/>
              <w:left w:val="nil" w:sz="6" w:space="0" w:color="auto"/>
              <w:bottom w:val="nil" w:sz="6" w:space="0" w:color="auto"/>
              <w:right w:val="nil" w:sz="6" w:space="0" w:color="auto"/>
            </w:tcBorders>
          </w:tcPr>
          <w:p>
            <w:pPr/>
          </w:p>
        </w:tc>
      </w:tr>
      <w:tr>
        <w:trPr>
          <w:trHeight w:val="214"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179" w:lineRule="exact"/>
              <w:ind w:left="524" w:right="0"/>
              <w:jc w:val="left"/>
              <w:rPr>
                <w:rFonts w:ascii="宋体" w:hAnsi="宋体" w:cs="宋体" w:eastAsia="宋体" w:hint="default"/>
                <w:sz w:val="16"/>
                <w:szCs w:val="16"/>
              </w:rPr>
            </w:pPr>
            <w:r>
              <w:rPr>
                <w:rFonts w:ascii="宋体" w:hAnsi="宋体" w:cs="宋体" w:eastAsia="宋体" w:hint="default"/>
                <w:sz w:val="16"/>
                <w:szCs w:val="16"/>
              </w:rPr>
              <w:t>及所得税</w:t>
            </w:r>
          </w:p>
        </w:tc>
        <w:tc>
          <w:tcPr>
            <w:tcW w:w="492" w:type="dxa"/>
            <w:tcBorders>
              <w:top w:val="nil" w:sz="6" w:space="0" w:color="auto"/>
              <w:left w:val="nil" w:sz="6" w:space="0" w:color="auto"/>
              <w:bottom w:val="nil" w:sz="6" w:space="0" w:color="auto"/>
              <w:right w:val="nil" w:sz="6" w:space="0" w:color="auto"/>
            </w:tcBorders>
          </w:tcPr>
          <w:p>
            <w:pPr/>
          </w:p>
        </w:tc>
        <w:tc>
          <w:tcPr>
            <w:tcW w:w="4235" w:type="dxa"/>
            <w:gridSpan w:val="4"/>
            <w:tcBorders>
              <w:top w:val="nil" w:sz="6" w:space="0" w:color="auto"/>
              <w:left w:val="nil" w:sz="6" w:space="0" w:color="auto"/>
              <w:bottom w:val="nil" w:sz="6" w:space="0" w:color="auto"/>
              <w:right w:val="nil" w:sz="6" w:space="0" w:color="auto"/>
            </w:tcBorders>
          </w:tcPr>
          <w:p>
            <w:pPr>
              <w:pStyle w:val="TableParagraph"/>
              <w:tabs>
                <w:tab w:pos="1732" w:val="left" w:leader="none"/>
                <w:tab w:pos="2866" w:val="left" w:leader="none"/>
                <w:tab w:pos="3959" w:val="left" w:leader="none"/>
              </w:tabs>
              <w:spacing w:line="240" w:lineRule="auto" w:before="19"/>
              <w:ind w:left="766" w:right="0"/>
              <w:jc w:val="left"/>
              <w:rPr>
                <w:rFonts w:ascii="Arial" w:hAnsi="Arial" w:cs="Arial" w:eastAsia="Arial" w:hint="default"/>
                <w:sz w:val="16"/>
                <w:szCs w:val="16"/>
              </w:rPr>
            </w:pPr>
            <w:r>
              <w:rPr>
                <w:rFonts w:ascii="Arial"/>
                <w:w w:val="95"/>
                <w:sz w:val="16"/>
              </w:rPr>
              <w:t>13</w:t>
              <w:tab/>
              <w:t>13</w:t>
              <w:tab/>
              <w:t>96</w:t>
              <w:tab/>
            </w:r>
            <w:r>
              <w:rPr>
                <w:rFonts w:ascii="Arial"/>
                <w:sz w:val="16"/>
              </w:rPr>
              <w:t>83</w:t>
            </w:r>
          </w:p>
        </w:tc>
      </w:tr>
      <w:tr>
        <w:trPr>
          <w:trHeight w:val="299"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173" w:lineRule="exact"/>
              <w:ind w:left="405" w:right="0"/>
              <w:jc w:val="left"/>
              <w:rPr>
                <w:rFonts w:ascii="宋体" w:hAnsi="宋体" w:cs="宋体" w:eastAsia="宋体" w:hint="default"/>
                <w:sz w:val="16"/>
                <w:szCs w:val="16"/>
              </w:rPr>
            </w:pPr>
            <w:r>
              <w:rPr>
                <w:rFonts w:ascii="宋体" w:hAnsi="宋体" w:cs="宋体" w:eastAsia="宋体" w:hint="default"/>
                <w:sz w:val="16"/>
                <w:szCs w:val="16"/>
              </w:rPr>
              <w:t>本公司宣派股利</w:t>
            </w:r>
          </w:p>
        </w:tc>
        <w:tc>
          <w:tcPr>
            <w:tcW w:w="492" w:type="dxa"/>
            <w:tcBorders>
              <w:top w:val="nil" w:sz="6" w:space="0" w:color="auto"/>
              <w:left w:val="nil" w:sz="6" w:space="0" w:color="auto"/>
              <w:bottom w:val="nil" w:sz="6" w:space="0" w:color="auto"/>
              <w:right w:val="nil" w:sz="6" w:space="0" w:color="auto"/>
            </w:tcBorders>
          </w:tcPr>
          <w:p>
            <w:pPr/>
          </w:p>
        </w:tc>
        <w:tc>
          <w:tcPr>
            <w:tcW w:w="4235" w:type="dxa"/>
            <w:gridSpan w:val="4"/>
            <w:tcBorders>
              <w:top w:val="nil" w:sz="6" w:space="0" w:color="auto"/>
              <w:left w:val="nil" w:sz="6" w:space="0" w:color="auto"/>
              <w:bottom w:val="nil" w:sz="6" w:space="0" w:color="auto"/>
              <w:right w:val="nil" w:sz="6" w:space="0" w:color="auto"/>
            </w:tcBorders>
          </w:tcPr>
          <w:p>
            <w:pPr>
              <w:pStyle w:val="TableParagraph"/>
              <w:tabs>
                <w:tab w:pos="1857" w:val="left" w:leader="none"/>
                <w:tab w:pos="2644" w:val="left" w:leader="none"/>
                <w:tab w:pos="3737" w:val="left" w:leader="none"/>
              </w:tabs>
              <w:spacing w:line="240" w:lineRule="auto" w:before="12"/>
              <w:ind w:left="891" w:right="0"/>
              <w:jc w:val="left"/>
              <w:rPr>
                <w:rFonts w:ascii="Arial" w:hAnsi="Arial" w:cs="Arial" w:eastAsia="Arial" w:hint="default"/>
                <w:sz w:val="16"/>
                <w:szCs w:val="16"/>
              </w:rPr>
            </w:pPr>
            <w:r>
              <w:rPr>
                <w:rFonts w:ascii="Arial"/>
                <w:w w:val="95"/>
                <w:sz w:val="16"/>
              </w:rPr>
              <w:t>-</w:t>
              <w:tab/>
              <w:t>-</w:t>
              <w:tab/>
              <w:t>7,233</w:t>
              <w:tab/>
            </w:r>
            <w:r>
              <w:rPr>
                <w:rFonts w:ascii="Arial"/>
                <w:sz w:val="16"/>
              </w:rPr>
              <w:t>5,809</w:t>
            </w:r>
          </w:p>
        </w:tc>
      </w:tr>
      <w:tr>
        <w:trPr>
          <w:trHeight w:val="300"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45" w:right="0"/>
              <w:jc w:val="left"/>
              <w:rPr>
                <w:rFonts w:ascii="宋体" w:hAnsi="宋体" w:cs="宋体" w:eastAsia="宋体" w:hint="default"/>
                <w:sz w:val="16"/>
                <w:szCs w:val="16"/>
              </w:rPr>
            </w:pPr>
            <w:r>
              <w:rPr>
                <w:rFonts w:ascii="宋体" w:hAnsi="宋体" w:cs="宋体" w:eastAsia="宋体" w:hint="default"/>
                <w:sz w:val="16"/>
                <w:szCs w:val="16"/>
              </w:rPr>
              <w:t>减：本公司其他四家发起单位注资</w:t>
            </w:r>
          </w:p>
        </w:tc>
        <w:tc>
          <w:tcPr>
            <w:tcW w:w="492" w:type="dxa"/>
            <w:tcBorders>
              <w:top w:val="nil" w:sz="6" w:space="0" w:color="auto"/>
              <w:left w:val="nil" w:sz="6" w:space="0" w:color="auto"/>
              <w:bottom w:val="nil" w:sz="6" w:space="0" w:color="auto"/>
              <w:right w:val="nil" w:sz="6" w:space="0" w:color="auto"/>
            </w:tcBorders>
          </w:tcPr>
          <w:p>
            <w:pPr/>
          </w:p>
        </w:tc>
        <w:tc>
          <w:tcPr>
            <w:tcW w:w="4235" w:type="dxa"/>
            <w:gridSpan w:val="4"/>
            <w:tcBorders>
              <w:top w:val="nil" w:sz="6" w:space="0" w:color="auto"/>
              <w:left w:val="nil" w:sz="6" w:space="0" w:color="auto"/>
              <w:bottom w:val="nil" w:sz="6" w:space="0" w:color="auto"/>
              <w:right w:val="nil" w:sz="6" w:space="0" w:color="auto"/>
            </w:tcBorders>
          </w:tcPr>
          <w:p>
            <w:pPr>
              <w:pStyle w:val="TableParagraph"/>
              <w:tabs>
                <w:tab w:pos="1857" w:val="left" w:leader="none"/>
                <w:tab w:pos="2902" w:val="left" w:leader="none"/>
                <w:tab w:pos="3996" w:val="left" w:leader="none"/>
              </w:tabs>
              <w:spacing w:line="240" w:lineRule="auto" w:before="105"/>
              <w:ind w:left="891" w:right="0"/>
              <w:jc w:val="left"/>
              <w:rPr>
                <w:rFonts w:ascii="Arial" w:hAnsi="Arial" w:cs="Arial" w:eastAsia="Arial" w:hint="default"/>
                <w:sz w:val="16"/>
                <w:szCs w:val="16"/>
              </w:rPr>
            </w:pPr>
            <w:r>
              <w:rPr>
                <w:rFonts w:ascii="Arial"/>
                <w:w w:val="95"/>
                <w:sz w:val="16"/>
              </w:rPr>
              <w:t>-</w:t>
              <w:tab/>
              <w:t>-</w:t>
              <w:tab/>
            </w:r>
            <w:r>
              <w:rPr>
                <w:rFonts w:ascii="Arial"/>
                <w:spacing w:val="-1"/>
                <w:sz w:val="16"/>
              </w:rPr>
              <w:t>(4)</w:t>
              <w:tab/>
              <w:t>(4)</w:t>
            </w:r>
          </w:p>
        </w:tc>
      </w:tr>
      <w:tr>
        <w:trPr>
          <w:trHeight w:val="207"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174" w:lineRule="exact"/>
              <w:ind w:left="405" w:right="0"/>
              <w:jc w:val="left"/>
              <w:rPr>
                <w:rFonts w:ascii="宋体" w:hAnsi="宋体" w:cs="宋体" w:eastAsia="宋体" w:hint="default"/>
                <w:sz w:val="16"/>
                <w:szCs w:val="16"/>
              </w:rPr>
            </w:pPr>
            <w:r>
              <w:rPr>
                <w:rFonts w:ascii="宋体" w:hAnsi="宋体" w:cs="宋体" w:eastAsia="宋体" w:hint="default"/>
                <w:sz w:val="16"/>
                <w:szCs w:val="16"/>
              </w:rPr>
              <w:t>申购资金于冻结期间的利息收入</w:t>
            </w:r>
          </w:p>
        </w:tc>
        <w:tc>
          <w:tcPr>
            <w:tcW w:w="492" w:type="dxa"/>
            <w:tcBorders>
              <w:top w:val="nil" w:sz="6" w:space="0" w:color="auto"/>
              <w:left w:val="nil" w:sz="6" w:space="0" w:color="auto"/>
              <w:bottom w:val="nil" w:sz="6" w:space="0" w:color="auto"/>
              <w:right w:val="nil" w:sz="6" w:space="0" w:color="auto"/>
            </w:tcBorders>
          </w:tcPr>
          <w:p>
            <w:pPr/>
          </w:p>
        </w:tc>
        <w:tc>
          <w:tcPr>
            <w:tcW w:w="4235" w:type="dxa"/>
            <w:gridSpan w:val="4"/>
            <w:tcBorders>
              <w:top w:val="nil" w:sz="6" w:space="0" w:color="auto"/>
              <w:left w:val="nil" w:sz="6" w:space="0" w:color="auto"/>
              <w:bottom w:val="nil" w:sz="6" w:space="0" w:color="auto"/>
              <w:right w:val="nil" w:sz="6" w:space="0" w:color="auto"/>
            </w:tcBorders>
          </w:tcPr>
          <w:p>
            <w:pPr>
              <w:pStyle w:val="TableParagraph"/>
              <w:tabs>
                <w:tab w:pos="1857" w:val="left" w:leader="none"/>
                <w:tab w:pos="2813" w:val="left" w:leader="none"/>
                <w:tab w:pos="3907" w:val="left" w:leader="none"/>
              </w:tabs>
              <w:spacing w:line="240" w:lineRule="auto" w:before="13"/>
              <w:ind w:left="891" w:right="0"/>
              <w:jc w:val="left"/>
              <w:rPr>
                <w:rFonts w:ascii="Arial" w:hAnsi="Arial" w:cs="Arial" w:eastAsia="Arial" w:hint="default"/>
                <w:sz w:val="16"/>
                <w:szCs w:val="16"/>
              </w:rPr>
            </w:pPr>
            <w:r>
              <w:rPr>
                <w:rFonts w:ascii="Arial"/>
                <w:w w:val="95"/>
                <w:sz w:val="16"/>
              </w:rPr>
              <w:t>-</w:t>
              <w:tab/>
              <w:t>-</w:t>
              <w:tab/>
            </w:r>
            <w:r>
              <w:rPr>
                <w:rFonts w:ascii="Arial"/>
                <w:spacing w:val="-1"/>
                <w:sz w:val="16"/>
              </w:rPr>
              <w:t>(20)</w:t>
              <w:tab/>
              <w:t>(20)</w:t>
            </w:r>
            <w:r>
              <w:rPr>
                <w:rFonts w:ascii="Arial"/>
                <w:sz w:val="16"/>
              </w:rPr>
            </w:r>
          </w:p>
        </w:tc>
      </w:tr>
      <w:tr>
        <w:trPr>
          <w:trHeight w:val="307"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185" w:lineRule="exact"/>
              <w:ind w:left="405" w:right="0"/>
              <w:jc w:val="left"/>
              <w:rPr>
                <w:rFonts w:ascii="宋体" w:hAnsi="宋体" w:cs="宋体" w:eastAsia="宋体" w:hint="default"/>
                <w:sz w:val="16"/>
                <w:szCs w:val="16"/>
              </w:rPr>
            </w:pPr>
            <w:r>
              <w:rPr>
                <w:rFonts w:ascii="宋体" w:hAnsi="宋体" w:cs="宋体" w:eastAsia="宋体" w:hint="default"/>
                <w:sz w:val="16"/>
                <w:szCs w:val="16"/>
              </w:rPr>
              <w:t>联通</w:t>
            </w:r>
            <w:r>
              <w:rPr>
                <w:rFonts w:ascii="宋体" w:hAnsi="宋体" w:cs="宋体" w:eastAsia="宋体" w:hint="default"/>
                <w:spacing w:val="-43"/>
                <w:sz w:val="16"/>
                <w:szCs w:val="16"/>
              </w:rPr>
              <w:t> </w:t>
            </w:r>
            <w:r>
              <w:rPr>
                <w:rFonts w:ascii="Arial" w:hAnsi="Arial" w:cs="Arial" w:eastAsia="Arial" w:hint="default"/>
                <w:sz w:val="16"/>
                <w:szCs w:val="16"/>
              </w:rPr>
              <w:t>BVI</w:t>
            </w:r>
            <w:r>
              <w:rPr>
                <w:rFonts w:ascii="Arial" w:hAnsi="Arial" w:cs="Arial" w:eastAsia="Arial" w:hint="default"/>
                <w:spacing w:val="-6"/>
                <w:sz w:val="16"/>
                <w:szCs w:val="16"/>
              </w:rPr>
              <w:t> </w:t>
            </w:r>
            <w:r>
              <w:rPr>
                <w:rFonts w:ascii="宋体" w:hAnsi="宋体" w:cs="宋体" w:eastAsia="宋体" w:hint="default"/>
                <w:sz w:val="16"/>
                <w:szCs w:val="16"/>
              </w:rPr>
              <w:t>公司宣派股利</w:t>
            </w:r>
          </w:p>
        </w:tc>
        <w:tc>
          <w:tcPr>
            <w:tcW w:w="492" w:type="dxa"/>
            <w:tcBorders>
              <w:top w:val="nil" w:sz="6" w:space="0" w:color="auto"/>
              <w:left w:val="nil" w:sz="6" w:space="0" w:color="auto"/>
              <w:bottom w:val="nil" w:sz="6" w:space="0" w:color="auto"/>
              <w:right w:val="nil" w:sz="6" w:space="0" w:color="auto"/>
            </w:tcBorders>
          </w:tcPr>
          <w:p>
            <w:pPr/>
          </w:p>
        </w:tc>
        <w:tc>
          <w:tcPr>
            <w:tcW w:w="4235" w:type="dxa"/>
            <w:gridSpan w:val="4"/>
            <w:tcBorders>
              <w:top w:val="nil" w:sz="6" w:space="0" w:color="auto"/>
              <w:left w:val="nil" w:sz="6" w:space="0" w:color="auto"/>
              <w:bottom w:val="nil" w:sz="6" w:space="0" w:color="auto"/>
              <w:right w:val="nil" w:sz="6" w:space="0" w:color="auto"/>
            </w:tcBorders>
          </w:tcPr>
          <w:p>
            <w:pPr>
              <w:pStyle w:val="TableParagraph"/>
              <w:tabs>
                <w:tab w:pos="891" w:val="left" w:leader="none"/>
                <w:tab w:pos="1857" w:val="left" w:leader="none"/>
                <w:tab w:pos="2592" w:val="left" w:leader="none"/>
                <w:tab w:pos="3685" w:val="left" w:leader="none"/>
              </w:tabs>
              <w:spacing w:line="240" w:lineRule="auto" w:before="12"/>
              <w:ind w:right="0"/>
              <w:jc w:val="lef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r>
            <w:r>
              <w:rPr>
                <w:rFonts w:ascii="Arial"/>
                <w:w w:val="95"/>
                <w:sz w:val="16"/>
                <w:u w:val="single" w:color="000000"/>
              </w:rPr>
              <w:t>-</w:t>
            </w:r>
            <w:r>
              <w:rPr>
                <w:rFonts w:ascii="Arial"/>
                <w:w w:val="95"/>
                <w:sz w:val="16"/>
              </w:rPr>
            </w:r>
            <w:r>
              <w:rPr>
                <w:rFonts w:ascii="Arial"/>
                <w:w w:val="95"/>
                <w:sz w:val="16"/>
                <w:u w:val="single" w:color="000000"/>
              </w:rPr>
              <w:t> </w:t>
              <w:tab/>
              <w:t>-</w:t>
            </w:r>
            <w:r>
              <w:rPr>
                <w:rFonts w:ascii="Arial"/>
                <w:w w:val="95"/>
                <w:sz w:val="16"/>
              </w:rPr>
            </w:r>
            <w:r>
              <w:rPr>
                <w:rFonts w:ascii="Arial"/>
                <w:w w:val="95"/>
                <w:sz w:val="16"/>
                <w:u w:val="single" w:color="000000"/>
              </w:rPr>
              <w:t> </w:t>
              <w:tab/>
              <w:t>(7,637)</w:t>
            </w:r>
            <w:r>
              <w:rPr>
                <w:rFonts w:ascii="Arial"/>
                <w:w w:val="95"/>
                <w:sz w:val="16"/>
              </w:rPr>
            </w:r>
            <w:r>
              <w:rPr>
                <w:rFonts w:ascii="Arial"/>
                <w:w w:val="95"/>
                <w:sz w:val="16"/>
                <w:u w:val="single" w:color="000000"/>
              </w:rPr>
              <w:t> </w:t>
              <w:tab/>
            </w:r>
            <w:r>
              <w:rPr>
                <w:rFonts w:ascii="Arial"/>
                <w:sz w:val="16"/>
                <w:u w:val="single" w:color="000000"/>
              </w:rPr>
              <w:t>(6,040)</w:t>
            </w:r>
            <w:r>
              <w:rPr>
                <w:rFonts w:ascii="Arial"/>
                <w:sz w:val="16"/>
              </w:rPr>
            </w:r>
          </w:p>
        </w:tc>
      </w:tr>
      <w:tr>
        <w:trPr>
          <w:trHeight w:val="387"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240" w:lineRule="auto" w:before="64"/>
              <w:ind w:left="55" w:right="0"/>
              <w:jc w:val="left"/>
              <w:rPr>
                <w:rFonts w:ascii="宋体" w:hAnsi="宋体" w:cs="宋体" w:eastAsia="宋体" w:hint="default"/>
                <w:sz w:val="16"/>
                <w:szCs w:val="16"/>
              </w:rPr>
            </w:pPr>
            <w:r>
              <w:rPr>
                <w:rFonts w:ascii="宋体" w:hAnsi="宋体" w:cs="宋体" w:eastAsia="宋体" w:hint="default"/>
                <w:sz w:val="16"/>
                <w:szCs w:val="16"/>
              </w:rPr>
              <w:t>联通红筹公司中国会计准则下的净利润</w:t>
            </w:r>
            <w:r>
              <w:rPr>
                <w:rFonts w:ascii="Arial" w:hAnsi="Arial" w:cs="Arial" w:eastAsia="Arial" w:hint="default"/>
                <w:sz w:val="16"/>
                <w:szCs w:val="16"/>
              </w:rPr>
              <w:t>/</w:t>
            </w:r>
            <w:r>
              <w:rPr>
                <w:rFonts w:ascii="宋体" w:hAnsi="宋体" w:cs="宋体" w:eastAsia="宋体" w:hint="default"/>
                <w:sz w:val="16"/>
                <w:szCs w:val="16"/>
              </w:rPr>
              <w:t>净资产</w:t>
            </w:r>
          </w:p>
        </w:tc>
        <w:tc>
          <w:tcPr>
            <w:tcW w:w="492" w:type="dxa"/>
            <w:tcBorders>
              <w:top w:val="nil" w:sz="6" w:space="0" w:color="auto"/>
              <w:left w:val="nil" w:sz="6" w:space="0" w:color="auto"/>
              <w:bottom w:val="nil" w:sz="6" w:space="0" w:color="auto"/>
              <w:right w:val="nil" w:sz="6" w:space="0" w:color="auto"/>
            </w:tcBorders>
          </w:tcPr>
          <w:p>
            <w:pPr/>
          </w:p>
        </w:tc>
        <w:tc>
          <w:tcPr>
            <w:tcW w:w="4235" w:type="dxa"/>
            <w:gridSpan w:val="4"/>
            <w:tcBorders>
              <w:top w:val="nil" w:sz="6" w:space="0" w:color="auto"/>
              <w:left w:val="nil" w:sz="6" w:space="0" w:color="auto"/>
              <w:bottom w:val="nil" w:sz="6" w:space="0" w:color="auto"/>
              <w:right w:val="nil" w:sz="6" w:space="0" w:color="auto"/>
            </w:tcBorders>
          </w:tcPr>
          <w:p>
            <w:pPr>
              <w:pStyle w:val="TableParagraph"/>
              <w:tabs>
                <w:tab w:pos="544" w:val="left" w:leader="none"/>
                <w:tab w:pos="1421" w:val="left" w:leader="none"/>
                <w:tab w:pos="2466" w:val="left" w:leader="none"/>
                <w:tab w:pos="3559" w:val="left" w:leader="none"/>
                <w:tab w:pos="4199" w:val="left" w:leader="none"/>
              </w:tabs>
              <w:spacing w:line="240" w:lineRule="auto" w:before="113"/>
              <w:ind w:right="0"/>
              <w:jc w:val="left"/>
              <w:rPr>
                <w:rFonts w:ascii="Arial" w:hAnsi="Arial" w:cs="Arial" w:eastAsia="Arial" w:hint="default"/>
                <w:sz w:val="16"/>
                <w:szCs w:val="16"/>
              </w:rPr>
            </w:pPr>
            <w:r>
              <w:rPr>
                <w:rFonts w:ascii="Arial"/>
                <w:w w:val="99"/>
                <w:sz w:val="16"/>
              </w:rPr>
            </w:r>
            <w:r>
              <w:rPr>
                <w:rFonts w:ascii="Arial"/>
                <w:w w:val="99"/>
                <w:sz w:val="16"/>
                <w:u w:val="single" w:color="000000"/>
              </w:rPr>
              <w:t> </w:t>
            </w:r>
            <w:r>
              <w:rPr>
                <w:rFonts w:ascii="Arial"/>
                <w:sz w:val="16"/>
                <w:u w:val="single" w:color="000000"/>
              </w:rPr>
              <w:tab/>
            </w:r>
            <w:r>
              <w:rPr>
                <w:rFonts w:ascii="Arial"/>
                <w:w w:val="95"/>
                <w:sz w:val="16"/>
                <w:u w:val="single" w:color="000000"/>
              </w:rPr>
              <w:t>9,387</w:t>
            </w:r>
            <w:r>
              <w:rPr>
                <w:rFonts w:ascii="Arial"/>
                <w:w w:val="95"/>
                <w:sz w:val="16"/>
              </w:rPr>
            </w:r>
            <w:r>
              <w:rPr>
                <w:rFonts w:ascii="Arial"/>
                <w:w w:val="95"/>
                <w:sz w:val="16"/>
                <w:u w:val="single" w:color="000000"/>
              </w:rPr>
              <w:t> </w:t>
              <w:tab/>
              <w:t>35,213</w:t>
            </w:r>
            <w:r>
              <w:rPr>
                <w:rFonts w:ascii="Arial"/>
                <w:w w:val="95"/>
                <w:sz w:val="16"/>
              </w:rPr>
            </w:r>
            <w:r>
              <w:rPr>
                <w:rFonts w:ascii="Arial"/>
                <w:w w:val="95"/>
                <w:sz w:val="16"/>
                <w:u w:val="single" w:color="000000"/>
              </w:rPr>
              <w:t> </w:t>
              <w:tab/>
              <w:t>208,513</w:t>
            </w:r>
            <w:r>
              <w:rPr>
                <w:rFonts w:ascii="Arial"/>
                <w:w w:val="95"/>
                <w:sz w:val="16"/>
              </w:rPr>
            </w:r>
            <w:r>
              <w:rPr>
                <w:rFonts w:ascii="Arial"/>
                <w:w w:val="95"/>
                <w:sz w:val="16"/>
                <w:u w:val="single" w:color="000000"/>
              </w:rPr>
              <w:t> </w:t>
              <w:tab/>
            </w:r>
            <w:r>
              <w:rPr>
                <w:rFonts w:ascii="Arial"/>
                <w:sz w:val="16"/>
                <w:u w:val="single" w:color="000000"/>
              </w:rPr>
              <w:t>209,939</w:t>
              <w:tab/>
            </w:r>
            <w:r>
              <w:rPr>
                <w:rFonts w:ascii="Arial"/>
                <w:sz w:val="16"/>
              </w:rPr>
            </w:r>
          </w:p>
        </w:tc>
      </w:tr>
      <w:tr>
        <w:trPr>
          <w:trHeight w:val="291" w:hRule="exact"/>
        </w:trPr>
        <w:tc>
          <w:tcPr>
            <w:tcW w:w="4529" w:type="dxa"/>
            <w:tcBorders>
              <w:top w:val="nil" w:sz="6" w:space="0" w:color="auto"/>
              <w:left w:val="nil" w:sz="6" w:space="0" w:color="auto"/>
              <w:bottom w:val="nil" w:sz="6" w:space="0" w:color="auto"/>
              <w:right w:val="nil" w:sz="6" w:space="0" w:color="auto"/>
            </w:tcBorders>
          </w:tcPr>
          <w:p>
            <w:pPr>
              <w:pStyle w:val="TableParagraph"/>
              <w:spacing w:line="240" w:lineRule="auto" w:before="44"/>
              <w:ind w:left="55" w:right="0"/>
              <w:jc w:val="left"/>
              <w:rPr>
                <w:rFonts w:ascii="宋体" w:hAnsi="宋体" w:cs="宋体" w:eastAsia="宋体" w:hint="default"/>
                <w:sz w:val="16"/>
                <w:szCs w:val="16"/>
              </w:rPr>
            </w:pPr>
            <w:r>
              <w:rPr>
                <w:rFonts w:ascii="宋体" w:hAnsi="宋体" w:cs="宋体" w:eastAsia="宋体" w:hint="default"/>
                <w:sz w:val="16"/>
                <w:szCs w:val="16"/>
              </w:rPr>
              <w:t>国际财务报告准则</w:t>
            </w:r>
            <w:r>
              <w:rPr>
                <w:rFonts w:ascii="Arial" w:hAnsi="Arial" w:cs="Arial" w:eastAsia="Arial" w:hint="default"/>
                <w:sz w:val="16"/>
                <w:szCs w:val="16"/>
              </w:rPr>
              <w:t>/</w:t>
            </w:r>
            <w:r>
              <w:rPr>
                <w:rFonts w:ascii="宋体" w:hAnsi="宋体" w:cs="宋体" w:eastAsia="宋体" w:hint="default"/>
                <w:sz w:val="16"/>
                <w:szCs w:val="16"/>
              </w:rPr>
              <w:t>香港财务报告准则调整增加（减少）：</w:t>
            </w:r>
          </w:p>
        </w:tc>
        <w:tc>
          <w:tcPr>
            <w:tcW w:w="492" w:type="dxa"/>
            <w:tcBorders>
              <w:top w:val="nil" w:sz="6" w:space="0" w:color="auto"/>
              <w:left w:val="nil" w:sz="6" w:space="0" w:color="auto"/>
              <w:bottom w:val="nil" w:sz="6" w:space="0" w:color="auto"/>
              <w:right w:val="nil" w:sz="6" w:space="0" w:color="auto"/>
            </w:tcBorders>
          </w:tcPr>
          <w:p>
            <w:pPr/>
          </w:p>
        </w:tc>
        <w:tc>
          <w:tcPr>
            <w:tcW w:w="4235" w:type="dxa"/>
            <w:gridSpan w:val="4"/>
            <w:tcBorders>
              <w:top w:val="nil" w:sz="6" w:space="0" w:color="auto"/>
              <w:left w:val="nil" w:sz="6" w:space="0" w:color="auto"/>
              <w:bottom w:val="nil" w:sz="6" w:space="0" w:color="auto"/>
              <w:right w:val="nil" w:sz="6" w:space="0" w:color="auto"/>
            </w:tcBorders>
          </w:tcPr>
          <w:p>
            <w:pPr/>
          </w:p>
        </w:tc>
      </w:tr>
      <w:tr>
        <w:trPr>
          <w:trHeight w:val="317" w:hRule="exact"/>
        </w:trPr>
        <w:tc>
          <w:tcPr>
            <w:tcW w:w="5021" w:type="dxa"/>
            <w:gridSpan w:val="2"/>
            <w:tcBorders>
              <w:top w:val="nil" w:sz="6" w:space="0" w:color="auto"/>
              <w:left w:val="nil" w:sz="6" w:space="0" w:color="auto"/>
              <w:bottom w:val="nil" w:sz="6" w:space="0" w:color="auto"/>
              <w:right w:val="nil" w:sz="6" w:space="0" w:color="auto"/>
            </w:tcBorders>
          </w:tcPr>
          <w:p>
            <w:pPr>
              <w:pStyle w:val="TableParagraph"/>
              <w:tabs>
                <w:tab w:pos="4594" w:val="left" w:leader="none"/>
              </w:tabs>
              <w:spacing w:line="181" w:lineRule="exact"/>
              <w:ind w:left="196" w:right="0"/>
              <w:jc w:val="left"/>
              <w:rPr>
                <w:rFonts w:ascii="Arial" w:hAnsi="Arial" w:cs="Arial" w:eastAsia="Arial" w:hint="default"/>
                <w:sz w:val="16"/>
                <w:szCs w:val="16"/>
              </w:rPr>
            </w:pPr>
            <w:r>
              <w:rPr>
                <w:rFonts w:ascii="宋体" w:hAnsi="宋体" w:cs="宋体" w:eastAsia="宋体" w:hint="default"/>
                <w:w w:val="95"/>
                <w:position w:val="1"/>
                <w:sz w:val="16"/>
                <w:szCs w:val="16"/>
              </w:rPr>
              <w:t>—资本化利息相关折旧的税后影响</w:t>
              <w:tab/>
            </w:r>
            <w:r>
              <w:rPr>
                <w:rFonts w:ascii="Arial" w:hAnsi="Arial" w:cs="Arial" w:eastAsia="Arial" w:hint="default"/>
                <w:sz w:val="16"/>
                <w:szCs w:val="16"/>
              </w:rPr>
              <w:t>(1)</w:t>
            </w:r>
          </w:p>
          <w:p>
            <w:pPr>
              <w:pStyle w:val="TableParagraph"/>
              <w:spacing w:line="177" w:lineRule="exact"/>
              <w:ind w:left="196" w:right="0"/>
              <w:jc w:val="left"/>
              <w:rPr>
                <w:rFonts w:ascii="宋体" w:hAnsi="宋体" w:cs="宋体" w:eastAsia="宋体" w:hint="default"/>
                <w:sz w:val="16"/>
                <w:szCs w:val="16"/>
              </w:rPr>
            </w:pPr>
            <w:r>
              <w:rPr>
                <w:rFonts w:ascii="宋体" w:hAnsi="宋体" w:cs="宋体" w:eastAsia="宋体" w:hint="default"/>
                <w:sz w:val="16"/>
                <w:szCs w:val="16"/>
              </w:rPr>
              <w:t>—调整中国会计准则下和国际财务报告准则</w:t>
            </w:r>
            <w:r>
              <w:rPr>
                <w:rFonts w:ascii="Arial" w:hAnsi="Arial" w:cs="Arial" w:eastAsia="Arial" w:hint="default"/>
                <w:sz w:val="16"/>
                <w:szCs w:val="16"/>
              </w:rPr>
              <w:t>/</w:t>
            </w:r>
            <w:r>
              <w:rPr>
                <w:rFonts w:ascii="宋体" w:hAnsi="宋体" w:cs="宋体" w:eastAsia="宋体" w:hint="default"/>
                <w:sz w:val="16"/>
                <w:szCs w:val="16"/>
              </w:rPr>
              <w:t>香港财务</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94"/>
              <w:jc w:val="right"/>
              <w:rPr>
                <w:rFonts w:ascii="Arial" w:hAnsi="Arial" w:cs="Arial" w:eastAsia="Arial" w:hint="default"/>
                <w:sz w:val="16"/>
                <w:szCs w:val="16"/>
              </w:rPr>
            </w:pPr>
            <w:r>
              <w:rPr>
                <w:rFonts w:ascii="Arial"/>
                <w:spacing w:val="-1"/>
                <w:w w:val="95"/>
                <w:sz w:val="16"/>
              </w:rPr>
              <w:t>(178)</w:t>
            </w:r>
            <w:r>
              <w:rPr>
                <w:rFonts w:ascii="Arial"/>
                <w:sz w:val="16"/>
              </w:rPr>
            </w: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12"/>
              <w:jc w:val="right"/>
              <w:rPr>
                <w:rFonts w:ascii="Arial" w:hAnsi="Arial" w:cs="Arial" w:eastAsia="Arial" w:hint="default"/>
                <w:sz w:val="16"/>
                <w:szCs w:val="16"/>
              </w:rPr>
            </w:pPr>
            <w:r>
              <w:rPr>
                <w:rFonts w:ascii="Arial"/>
                <w:spacing w:val="-1"/>
                <w:w w:val="95"/>
                <w:sz w:val="16"/>
              </w:rPr>
              <w:t>(254)</w:t>
            </w:r>
            <w:r>
              <w:rPr>
                <w:rFonts w:ascii="Arial"/>
                <w:sz w:val="16"/>
              </w:rPr>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44"/>
              <w:jc w:val="right"/>
              <w:rPr>
                <w:rFonts w:ascii="Arial" w:hAnsi="Arial" w:cs="Arial" w:eastAsia="Arial" w:hint="default"/>
                <w:sz w:val="16"/>
                <w:szCs w:val="16"/>
              </w:rPr>
            </w:pPr>
            <w:r>
              <w:rPr>
                <w:rFonts w:ascii="Arial"/>
                <w:spacing w:val="-1"/>
                <w:w w:val="95"/>
                <w:sz w:val="16"/>
              </w:rPr>
              <w:t>412</w:t>
            </w:r>
            <w:r>
              <w:rPr>
                <w:rFonts w:ascii="Arial"/>
                <w:sz w:val="16"/>
              </w:rPr>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95"/>
              <w:jc w:val="right"/>
              <w:rPr>
                <w:rFonts w:ascii="Arial" w:hAnsi="Arial" w:cs="Arial" w:eastAsia="Arial" w:hint="default"/>
                <w:sz w:val="16"/>
                <w:szCs w:val="16"/>
              </w:rPr>
            </w:pPr>
            <w:r>
              <w:rPr>
                <w:rFonts w:ascii="Arial"/>
                <w:spacing w:val="-1"/>
                <w:w w:val="95"/>
                <w:sz w:val="16"/>
              </w:rPr>
              <w:t>590</w:t>
            </w:r>
            <w:r>
              <w:rPr>
                <w:rFonts w:ascii="Arial"/>
                <w:sz w:val="16"/>
              </w:rPr>
            </w:r>
          </w:p>
        </w:tc>
      </w:tr>
      <w:tr>
        <w:trPr>
          <w:trHeight w:val="415" w:hRule="exact"/>
        </w:trPr>
        <w:tc>
          <w:tcPr>
            <w:tcW w:w="5021" w:type="dxa"/>
            <w:gridSpan w:val="2"/>
            <w:tcBorders>
              <w:top w:val="nil" w:sz="6" w:space="0" w:color="auto"/>
              <w:left w:val="nil" w:sz="6" w:space="0" w:color="auto"/>
              <w:bottom w:val="nil" w:sz="6" w:space="0" w:color="auto"/>
              <w:right w:val="nil" w:sz="6" w:space="0" w:color="auto"/>
            </w:tcBorders>
          </w:tcPr>
          <w:p>
            <w:pPr>
              <w:pStyle w:val="TableParagraph"/>
              <w:tabs>
                <w:tab w:pos="4594" w:val="left" w:leader="none"/>
              </w:tabs>
              <w:spacing w:line="218" w:lineRule="exact" w:before="60"/>
              <w:ind w:left="516" w:right="0"/>
              <w:jc w:val="left"/>
              <w:rPr>
                <w:rFonts w:ascii="Arial" w:hAnsi="Arial" w:cs="Arial" w:eastAsia="Arial" w:hint="default"/>
                <w:sz w:val="16"/>
                <w:szCs w:val="16"/>
              </w:rPr>
            </w:pPr>
            <w:r>
              <w:rPr>
                <w:rFonts w:ascii="宋体" w:hAnsi="宋体" w:cs="宋体" w:eastAsia="宋体" w:hint="default"/>
                <w:w w:val="95"/>
                <w:position w:val="1"/>
                <w:sz w:val="16"/>
                <w:szCs w:val="16"/>
              </w:rPr>
              <w:t>报告准则下因固定资产的评估对折旧的税后影响</w:t>
              <w:tab/>
            </w:r>
            <w:r>
              <w:rPr>
                <w:rFonts w:ascii="Arial" w:hAnsi="Arial" w:cs="Arial" w:eastAsia="Arial" w:hint="default"/>
                <w:sz w:val="16"/>
                <w:szCs w:val="16"/>
              </w:rPr>
              <w:t>(2)</w:t>
            </w:r>
          </w:p>
          <w:p>
            <w:pPr>
              <w:pStyle w:val="TableParagraph"/>
              <w:spacing w:line="177" w:lineRule="exact"/>
              <w:ind w:left="197" w:right="0"/>
              <w:jc w:val="left"/>
              <w:rPr>
                <w:rFonts w:ascii="宋体" w:hAnsi="宋体" w:cs="宋体" w:eastAsia="宋体" w:hint="default"/>
                <w:sz w:val="16"/>
                <w:szCs w:val="16"/>
              </w:rPr>
            </w:pPr>
            <w:r>
              <w:rPr>
                <w:rFonts w:ascii="宋体" w:hAnsi="宋体" w:cs="宋体" w:eastAsia="宋体" w:hint="default"/>
                <w:sz w:val="16"/>
                <w:szCs w:val="16"/>
              </w:rPr>
              <w:t>—因收购联通新世纪</w:t>
            </w:r>
            <w:r>
              <w:rPr>
                <w:rFonts w:ascii="宋体" w:hAnsi="宋体" w:cs="宋体" w:eastAsia="宋体" w:hint="default"/>
                <w:spacing w:val="-51"/>
                <w:sz w:val="16"/>
                <w:szCs w:val="16"/>
              </w:rPr>
              <w:t> </w:t>
            </w:r>
            <w:r>
              <w:rPr>
                <w:rFonts w:ascii="Arial" w:hAnsi="Arial" w:cs="Arial" w:eastAsia="Arial" w:hint="default"/>
                <w:sz w:val="16"/>
                <w:szCs w:val="16"/>
              </w:rPr>
              <w:t>BVI</w:t>
            </w:r>
            <w:r>
              <w:rPr>
                <w:rFonts w:ascii="Arial" w:hAnsi="Arial" w:cs="Arial" w:eastAsia="Arial" w:hint="default"/>
                <w:spacing w:val="-16"/>
                <w:sz w:val="16"/>
                <w:szCs w:val="16"/>
              </w:rPr>
              <w:t> </w:t>
            </w:r>
            <w:r>
              <w:rPr>
                <w:rFonts w:ascii="宋体" w:hAnsi="宋体" w:cs="宋体" w:eastAsia="宋体" w:hint="default"/>
                <w:sz w:val="16"/>
                <w:szCs w:val="16"/>
              </w:rPr>
              <w:t>和联通新世界</w:t>
            </w:r>
            <w:r>
              <w:rPr>
                <w:rFonts w:ascii="宋体" w:hAnsi="宋体" w:cs="宋体" w:eastAsia="宋体" w:hint="default"/>
                <w:spacing w:val="-51"/>
                <w:sz w:val="16"/>
                <w:szCs w:val="16"/>
              </w:rPr>
              <w:t> </w:t>
            </w:r>
            <w:r>
              <w:rPr>
                <w:rFonts w:ascii="Arial" w:hAnsi="Arial" w:cs="Arial" w:eastAsia="Arial" w:hint="default"/>
                <w:sz w:val="16"/>
                <w:szCs w:val="16"/>
              </w:rPr>
              <w:t>BVI</w:t>
            </w:r>
            <w:r>
              <w:rPr>
                <w:rFonts w:ascii="Arial" w:hAnsi="Arial" w:cs="Arial" w:eastAsia="Arial" w:hint="default"/>
                <w:spacing w:val="-16"/>
                <w:sz w:val="16"/>
                <w:szCs w:val="16"/>
              </w:rPr>
              <w:t> </w:t>
            </w:r>
            <w:r>
              <w:rPr>
                <w:rFonts w:ascii="宋体" w:hAnsi="宋体" w:cs="宋体" w:eastAsia="宋体" w:hint="default"/>
                <w:sz w:val="16"/>
                <w:szCs w:val="16"/>
              </w:rPr>
              <w:t>产生的股权投资</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47"/>
              <w:jc w:val="right"/>
              <w:rPr>
                <w:rFonts w:ascii="Arial" w:hAnsi="Arial" w:cs="Arial" w:eastAsia="Arial" w:hint="default"/>
                <w:sz w:val="16"/>
                <w:szCs w:val="16"/>
              </w:rPr>
            </w:pPr>
            <w:r>
              <w:rPr>
                <w:rFonts w:ascii="Arial"/>
                <w:w w:val="95"/>
                <w:sz w:val="16"/>
              </w:rPr>
              <w:t>353</w:t>
            </w:r>
            <w:r>
              <w:rPr>
                <w:rFonts w:ascii="Arial"/>
                <w:sz w:val="16"/>
              </w:rPr>
            </w: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65"/>
              <w:jc w:val="right"/>
              <w:rPr>
                <w:rFonts w:ascii="Arial" w:hAnsi="Arial" w:cs="Arial" w:eastAsia="Arial" w:hint="default"/>
                <w:sz w:val="16"/>
                <w:szCs w:val="16"/>
              </w:rPr>
            </w:pPr>
            <w:r>
              <w:rPr>
                <w:rFonts w:ascii="Arial"/>
                <w:w w:val="95"/>
                <w:sz w:val="16"/>
              </w:rPr>
              <w:t>814</w:t>
            </w:r>
            <w:r>
              <w:rPr>
                <w:rFonts w:ascii="Arial"/>
                <w:sz w:val="16"/>
              </w:rPr>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91"/>
              <w:jc w:val="right"/>
              <w:rPr>
                <w:rFonts w:ascii="Arial" w:hAnsi="Arial" w:cs="Arial" w:eastAsia="Arial" w:hint="default"/>
                <w:sz w:val="16"/>
                <w:szCs w:val="16"/>
              </w:rPr>
            </w:pPr>
            <w:r>
              <w:rPr>
                <w:rFonts w:ascii="Arial"/>
                <w:w w:val="95"/>
                <w:sz w:val="16"/>
              </w:rPr>
              <w:t>(5,280)</w:t>
            </w:r>
            <w:r>
              <w:rPr>
                <w:rFonts w:ascii="Arial"/>
                <w:sz w:val="16"/>
              </w:rPr>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2"/>
              <w:jc w:val="right"/>
              <w:rPr>
                <w:rFonts w:ascii="Arial" w:hAnsi="Arial" w:cs="Arial" w:eastAsia="Arial" w:hint="default"/>
                <w:sz w:val="16"/>
                <w:szCs w:val="16"/>
              </w:rPr>
            </w:pPr>
            <w:r>
              <w:rPr>
                <w:rFonts w:ascii="Arial"/>
                <w:w w:val="95"/>
                <w:sz w:val="16"/>
              </w:rPr>
              <w:t>(5,633)</w:t>
            </w:r>
            <w:r>
              <w:rPr>
                <w:rFonts w:ascii="Arial"/>
                <w:sz w:val="16"/>
              </w:rPr>
            </w:r>
          </w:p>
        </w:tc>
      </w:tr>
      <w:tr>
        <w:trPr>
          <w:trHeight w:val="311" w:hRule="exact"/>
        </w:trPr>
        <w:tc>
          <w:tcPr>
            <w:tcW w:w="5021" w:type="dxa"/>
            <w:gridSpan w:val="2"/>
            <w:tcBorders>
              <w:top w:val="nil" w:sz="6" w:space="0" w:color="auto"/>
              <w:left w:val="nil" w:sz="6" w:space="0" w:color="auto"/>
              <w:bottom w:val="nil" w:sz="6" w:space="0" w:color="auto"/>
              <w:right w:val="nil" w:sz="6" w:space="0" w:color="auto"/>
            </w:tcBorders>
          </w:tcPr>
          <w:p>
            <w:pPr>
              <w:pStyle w:val="TableParagraph"/>
              <w:tabs>
                <w:tab w:pos="4595" w:val="left" w:leader="none"/>
              </w:tabs>
              <w:spacing w:line="240" w:lineRule="auto" w:before="60"/>
              <w:ind w:left="395" w:right="0"/>
              <w:jc w:val="left"/>
              <w:rPr>
                <w:rFonts w:ascii="Arial" w:hAnsi="Arial" w:cs="Arial" w:eastAsia="Arial" w:hint="default"/>
                <w:sz w:val="16"/>
                <w:szCs w:val="16"/>
              </w:rPr>
            </w:pPr>
            <w:r>
              <w:rPr>
                <w:rFonts w:ascii="宋体" w:hAnsi="宋体" w:cs="宋体" w:eastAsia="宋体" w:hint="default"/>
                <w:w w:val="95"/>
                <w:position w:val="1"/>
                <w:sz w:val="16"/>
                <w:szCs w:val="16"/>
              </w:rPr>
              <w:t>差额、商誉及收购费用的处理</w:t>
              <w:tab/>
            </w:r>
            <w:r>
              <w:rPr>
                <w:rFonts w:ascii="Arial" w:hAnsi="Arial" w:cs="Arial" w:eastAsia="Arial" w:hint="default"/>
                <w:sz w:val="16"/>
                <w:szCs w:val="16"/>
              </w:rPr>
              <w:t>(3)</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46"/>
              <w:jc w:val="right"/>
              <w:rPr>
                <w:rFonts w:ascii="Arial" w:hAnsi="Arial" w:cs="Arial" w:eastAsia="Arial" w:hint="default"/>
                <w:sz w:val="16"/>
                <w:szCs w:val="16"/>
              </w:rPr>
            </w:pPr>
            <w:r>
              <w:rPr>
                <w:rFonts w:ascii="Arial"/>
                <w:w w:val="99"/>
                <w:sz w:val="16"/>
              </w:rPr>
              <w:t>-</w:t>
            </w:r>
            <w:r>
              <w:rPr>
                <w:rFonts w:ascii="Arial"/>
                <w:sz w:val="16"/>
              </w:rPr>
            </w: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11"/>
              <w:jc w:val="right"/>
              <w:rPr>
                <w:rFonts w:ascii="Arial" w:hAnsi="Arial" w:cs="Arial" w:eastAsia="Arial" w:hint="default"/>
                <w:sz w:val="16"/>
                <w:szCs w:val="16"/>
              </w:rPr>
            </w:pPr>
            <w:r>
              <w:rPr>
                <w:rFonts w:ascii="Arial"/>
                <w:spacing w:val="-1"/>
                <w:w w:val="95"/>
                <w:sz w:val="16"/>
              </w:rPr>
              <w:t>(373)</w:t>
            </w:r>
            <w:r>
              <w:rPr>
                <w:rFonts w:ascii="Arial"/>
                <w:sz w:val="16"/>
              </w:rPr>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44"/>
              <w:jc w:val="right"/>
              <w:rPr>
                <w:rFonts w:ascii="Arial" w:hAnsi="Arial" w:cs="Arial" w:eastAsia="Arial" w:hint="default"/>
                <w:sz w:val="16"/>
                <w:szCs w:val="16"/>
              </w:rPr>
            </w:pPr>
            <w:r>
              <w:rPr>
                <w:rFonts w:ascii="Arial"/>
                <w:spacing w:val="-1"/>
                <w:w w:val="95"/>
                <w:sz w:val="16"/>
              </w:rPr>
              <w:t>2,598</w:t>
            </w:r>
            <w:r>
              <w:rPr>
                <w:rFonts w:ascii="Arial"/>
                <w:sz w:val="16"/>
              </w:rPr>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47" w:right="0"/>
              <w:jc w:val="left"/>
              <w:rPr>
                <w:rFonts w:ascii="Arial" w:hAnsi="Arial" w:cs="Arial" w:eastAsia="Arial" w:hint="default"/>
                <w:sz w:val="16"/>
                <w:szCs w:val="16"/>
              </w:rPr>
            </w:pPr>
            <w:r>
              <w:rPr>
                <w:rFonts w:ascii="Arial"/>
                <w:sz w:val="16"/>
              </w:rPr>
              <w:t>2,598</w:t>
            </w:r>
          </w:p>
        </w:tc>
      </w:tr>
      <w:tr>
        <w:trPr>
          <w:trHeight w:val="208" w:hRule="exact"/>
        </w:trPr>
        <w:tc>
          <w:tcPr>
            <w:tcW w:w="5021" w:type="dxa"/>
            <w:gridSpan w:val="2"/>
            <w:tcBorders>
              <w:top w:val="nil" w:sz="6" w:space="0" w:color="auto"/>
              <w:left w:val="nil" w:sz="6" w:space="0" w:color="auto"/>
              <w:bottom w:val="nil" w:sz="6" w:space="0" w:color="auto"/>
              <w:right w:val="nil" w:sz="6" w:space="0" w:color="auto"/>
            </w:tcBorders>
          </w:tcPr>
          <w:p>
            <w:pPr>
              <w:pStyle w:val="TableParagraph"/>
              <w:tabs>
                <w:tab w:pos="4595" w:val="left" w:leader="none"/>
              </w:tabs>
              <w:spacing w:line="187" w:lineRule="exact"/>
              <w:ind w:left="197" w:right="0"/>
              <w:jc w:val="left"/>
              <w:rPr>
                <w:rFonts w:ascii="Arial" w:hAnsi="Arial" w:cs="Arial" w:eastAsia="Arial" w:hint="default"/>
                <w:sz w:val="16"/>
                <w:szCs w:val="16"/>
              </w:rPr>
            </w:pPr>
            <w:r>
              <w:rPr>
                <w:rFonts w:ascii="宋体" w:hAnsi="宋体" w:cs="宋体" w:eastAsia="宋体" w:hint="default"/>
                <w:w w:val="95"/>
                <w:position w:val="1"/>
                <w:sz w:val="16"/>
                <w:szCs w:val="16"/>
              </w:rPr>
              <w:t>—一次性确认中中外协议的损失</w:t>
              <w:tab/>
            </w:r>
            <w:r>
              <w:rPr>
                <w:rFonts w:ascii="Arial" w:hAnsi="Arial" w:cs="Arial" w:eastAsia="Arial" w:hint="default"/>
                <w:sz w:val="16"/>
                <w:szCs w:val="16"/>
              </w:rPr>
              <w:t>(4)</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7"/>
              <w:jc w:val="right"/>
              <w:rPr>
                <w:rFonts w:ascii="Arial" w:hAnsi="Arial" w:cs="Arial" w:eastAsia="Arial" w:hint="default"/>
                <w:sz w:val="16"/>
                <w:szCs w:val="16"/>
              </w:rPr>
            </w:pPr>
            <w:r>
              <w:rPr>
                <w:rFonts w:ascii="Arial"/>
                <w:w w:val="99"/>
                <w:sz w:val="16"/>
              </w:rPr>
              <w:t>-</w:t>
            </w:r>
            <w:r>
              <w:rPr>
                <w:rFonts w:ascii="Arial"/>
                <w:sz w:val="16"/>
              </w:rPr>
            </w: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64"/>
              <w:jc w:val="right"/>
              <w:rPr>
                <w:rFonts w:ascii="Arial" w:hAnsi="Arial" w:cs="Arial" w:eastAsia="Arial" w:hint="default"/>
                <w:sz w:val="16"/>
                <w:szCs w:val="16"/>
              </w:rPr>
            </w:pPr>
            <w:r>
              <w:rPr>
                <w:rFonts w:ascii="Arial"/>
                <w:w w:val="99"/>
                <w:sz w:val="16"/>
              </w:rPr>
              <w:t>-</w:t>
            </w:r>
            <w:r>
              <w:rPr>
                <w:rFonts w:ascii="Arial"/>
                <w:sz w:val="16"/>
              </w:rPr>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4"/>
              <w:jc w:val="right"/>
              <w:rPr>
                <w:rFonts w:ascii="Arial" w:hAnsi="Arial" w:cs="Arial" w:eastAsia="Arial" w:hint="default"/>
                <w:sz w:val="16"/>
                <w:szCs w:val="16"/>
              </w:rPr>
            </w:pPr>
            <w:r>
              <w:rPr>
                <w:rFonts w:ascii="Arial"/>
                <w:spacing w:val="-1"/>
                <w:w w:val="95"/>
                <w:sz w:val="16"/>
              </w:rPr>
              <w:t>139</w:t>
            </w:r>
            <w:r>
              <w:rPr>
                <w:rFonts w:ascii="Arial"/>
                <w:sz w:val="16"/>
              </w:rPr>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95"/>
              <w:jc w:val="right"/>
              <w:rPr>
                <w:rFonts w:ascii="Arial" w:hAnsi="Arial" w:cs="Arial" w:eastAsia="Arial" w:hint="default"/>
                <w:sz w:val="16"/>
                <w:szCs w:val="16"/>
              </w:rPr>
            </w:pPr>
            <w:r>
              <w:rPr>
                <w:rFonts w:ascii="Arial"/>
                <w:spacing w:val="-1"/>
                <w:w w:val="95"/>
                <w:sz w:val="16"/>
              </w:rPr>
              <w:t>139</w:t>
            </w:r>
            <w:r>
              <w:rPr>
                <w:rFonts w:ascii="Arial"/>
                <w:sz w:val="16"/>
              </w:rPr>
            </w:r>
          </w:p>
        </w:tc>
      </w:tr>
      <w:tr>
        <w:trPr>
          <w:trHeight w:val="253" w:hRule="exact"/>
        </w:trPr>
        <w:tc>
          <w:tcPr>
            <w:tcW w:w="5021" w:type="dxa"/>
            <w:gridSpan w:val="2"/>
            <w:tcBorders>
              <w:top w:val="nil" w:sz="6" w:space="0" w:color="auto"/>
              <w:left w:val="nil" w:sz="6" w:space="0" w:color="auto"/>
              <w:bottom w:val="nil" w:sz="6" w:space="0" w:color="auto"/>
              <w:right w:val="nil" w:sz="6" w:space="0" w:color="auto"/>
            </w:tcBorders>
          </w:tcPr>
          <w:p>
            <w:pPr>
              <w:pStyle w:val="TableParagraph"/>
              <w:tabs>
                <w:tab w:pos="4595" w:val="left" w:leader="none"/>
              </w:tabs>
              <w:spacing w:line="187" w:lineRule="exact"/>
              <w:ind w:left="197" w:right="0"/>
              <w:jc w:val="left"/>
              <w:rPr>
                <w:rFonts w:ascii="Arial" w:hAnsi="Arial" w:cs="Arial" w:eastAsia="Arial" w:hint="default"/>
                <w:sz w:val="16"/>
                <w:szCs w:val="16"/>
              </w:rPr>
            </w:pPr>
            <w:r>
              <w:rPr>
                <w:rFonts w:ascii="宋体" w:hAnsi="宋体" w:cs="宋体" w:eastAsia="宋体" w:hint="default"/>
                <w:w w:val="95"/>
                <w:position w:val="1"/>
                <w:sz w:val="16"/>
                <w:szCs w:val="16"/>
              </w:rPr>
              <w:t>—因变更折旧年限重新计提固定资产折旧</w:t>
              <w:tab/>
            </w:r>
            <w:r>
              <w:rPr>
                <w:rFonts w:ascii="Arial" w:hAnsi="Arial" w:cs="Arial" w:eastAsia="Arial" w:hint="default"/>
                <w:sz w:val="16"/>
                <w:szCs w:val="16"/>
              </w:rPr>
              <w:t>(5)</w:t>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7"/>
              <w:jc w:val="right"/>
              <w:rPr>
                <w:rFonts w:ascii="Arial" w:hAnsi="Arial" w:cs="Arial" w:eastAsia="Arial" w:hint="default"/>
                <w:sz w:val="16"/>
                <w:szCs w:val="16"/>
              </w:rPr>
            </w:pPr>
            <w:r>
              <w:rPr>
                <w:rFonts w:ascii="Arial"/>
                <w:w w:val="99"/>
                <w:sz w:val="16"/>
              </w:rPr>
              <w:t>-</w:t>
            </w:r>
            <w:r>
              <w:rPr>
                <w:rFonts w:ascii="Arial"/>
                <w:sz w:val="16"/>
              </w:rPr>
            </w:r>
          </w:p>
        </w:tc>
        <w:tc>
          <w:tcPr>
            <w:tcW w:w="98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65"/>
              <w:jc w:val="right"/>
              <w:rPr>
                <w:rFonts w:ascii="Arial" w:hAnsi="Arial" w:cs="Arial" w:eastAsia="Arial" w:hint="default"/>
                <w:sz w:val="16"/>
                <w:szCs w:val="16"/>
              </w:rPr>
            </w:pPr>
            <w:r>
              <w:rPr>
                <w:rFonts w:ascii="Arial"/>
                <w:w w:val="99"/>
                <w:sz w:val="16"/>
              </w:rPr>
              <w:t>-</w:t>
            </w:r>
            <w:r>
              <w:rPr>
                <w:rFonts w:ascii="Arial"/>
                <w:sz w:val="16"/>
              </w:rPr>
            </w:r>
          </w:p>
        </w:tc>
        <w:tc>
          <w:tcPr>
            <w:tcW w:w="11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4"/>
              <w:jc w:val="right"/>
              <w:rPr>
                <w:rFonts w:ascii="Arial" w:hAnsi="Arial" w:cs="Arial" w:eastAsia="Arial" w:hint="default"/>
                <w:sz w:val="16"/>
                <w:szCs w:val="16"/>
              </w:rPr>
            </w:pPr>
            <w:r>
              <w:rPr>
                <w:rFonts w:ascii="Arial"/>
                <w:spacing w:val="-1"/>
                <w:w w:val="95"/>
                <w:sz w:val="16"/>
              </w:rPr>
              <w:t>61</w:t>
            </w:r>
            <w:r>
              <w:rPr>
                <w:rFonts w:ascii="Arial"/>
                <w:sz w:val="16"/>
              </w:rPr>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95"/>
              <w:jc w:val="right"/>
              <w:rPr>
                <w:rFonts w:ascii="Arial" w:hAnsi="Arial" w:cs="Arial" w:eastAsia="Arial" w:hint="default"/>
                <w:sz w:val="16"/>
                <w:szCs w:val="16"/>
              </w:rPr>
            </w:pPr>
            <w:r>
              <w:rPr>
                <w:rFonts w:ascii="Arial"/>
                <w:spacing w:val="-1"/>
                <w:w w:val="95"/>
                <w:sz w:val="16"/>
              </w:rPr>
              <w:t>61</w:t>
            </w:r>
            <w:r>
              <w:rPr>
                <w:rFonts w:ascii="Arial"/>
                <w:sz w:val="16"/>
              </w:rPr>
            </w:r>
          </w:p>
        </w:tc>
      </w:tr>
    </w:tbl>
    <w:p>
      <w:pPr>
        <w:tabs>
          <w:tab w:pos="5456" w:val="left" w:leader="none"/>
          <w:tab w:pos="6259" w:val="left" w:leader="none"/>
          <w:tab w:pos="7225" w:val="left" w:leader="none"/>
          <w:tab w:pos="8324" w:val="left" w:leader="none"/>
          <w:tab w:pos="9417" w:val="left" w:leader="none"/>
          <w:tab w:pos="9656" w:val="left" w:leader="none"/>
        </w:tabs>
        <w:spacing w:line="206" w:lineRule="exact" w:before="0"/>
        <w:ind w:left="648" w:right="0" w:firstLine="0"/>
        <w:jc w:val="left"/>
        <w:rPr>
          <w:rFonts w:ascii="Arial" w:hAnsi="Arial" w:cs="Arial" w:eastAsia="Arial" w:hint="default"/>
          <w:sz w:val="16"/>
          <w:szCs w:val="16"/>
        </w:rPr>
      </w:pPr>
      <w:r>
        <w:rPr>
          <w:rFonts w:ascii="宋体" w:hAnsi="宋体" w:cs="宋体" w:eastAsia="宋体" w:hint="default"/>
          <w:w w:val="95"/>
          <w:position w:val="1"/>
          <w:sz w:val="16"/>
          <w:szCs w:val="16"/>
        </w:rPr>
        <w:t>—其他</w:t>
        <w:tab/>
      </w:r>
      <w:r>
        <w:rPr>
          <w:rFonts w:ascii="Arial" w:hAnsi="Arial" w:cs="Arial" w:eastAsia="Arial" w:hint="default"/>
          <w:w w:val="95"/>
          <w:sz w:val="16"/>
          <w:szCs w:val="16"/>
        </w:rPr>
      </w:r>
      <w:r>
        <w:rPr>
          <w:rFonts w:ascii="Arial" w:hAnsi="Arial" w:cs="Arial" w:eastAsia="Arial" w:hint="default"/>
          <w:w w:val="95"/>
          <w:sz w:val="16"/>
          <w:szCs w:val="16"/>
          <w:u w:val="single" w:color="000000"/>
        </w:rPr>
        <w:t> </w:t>
        <w:tab/>
      </w:r>
      <w:r>
        <w:rPr>
          <w:rFonts w:ascii="Arial" w:hAnsi="Arial" w:cs="Arial" w:eastAsia="Arial" w:hint="default"/>
          <w:spacing w:val="-1"/>
          <w:sz w:val="16"/>
          <w:szCs w:val="16"/>
          <w:u w:val="single" w:color="000000"/>
        </w:rPr>
        <w:t>(6)</w:t>
      </w:r>
      <w:r>
        <w:rPr>
          <w:rFonts w:ascii="Arial" w:hAnsi="Arial" w:cs="Arial" w:eastAsia="Arial" w:hint="default"/>
          <w:spacing w:val="-1"/>
          <w:sz w:val="16"/>
          <w:szCs w:val="16"/>
        </w:rPr>
      </w:r>
      <w:r>
        <w:rPr>
          <w:rFonts w:ascii="Arial" w:hAnsi="Arial" w:cs="Arial" w:eastAsia="Arial" w:hint="default"/>
          <w:spacing w:val="-1"/>
          <w:sz w:val="16"/>
          <w:szCs w:val="16"/>
          <w:u w:val="single" w:color="000000"/>
        </w:rPr>
        <w:t> </w:t>
        <w:tab/>
        <w:t>(1)</w:t>
      </w:r>
      <w:r>
        <w:rPr>
          <w:rFonts w:ascii="Arial" w:hAnsi="Arial" w:cs="Arial" w:eastAsia="Arial" w:hint="default"/>
          <w:spacing w:val="-1"/>
          <w:sz w:val="16"/>
          <w:szCs w:val="16"/>
        </w:rPr>
      </w:r>
      <w:r>
        <w:rPr>
          <w:rFonts w:ascii="Arial" w:hAnsi="Arial" w:cs="Arial" w:eastAsia="Arial" w:hint="default"/>
          <w:spacing w:val="-1"/>
          <w:sz w:val="16"/>
          <w:szCs w:val="16"/>
          <w:u w:val="single" w:color="000000"/>
        </w:rPr>
        <w:t> </w:t>
        <w:tab/>
        <w:t>25</w:t>
      </w:r>
      <w:r>
        <w:rPr>
          <w:rFonts w:ascii="Arial" w:hAnsi="Arial" w:cs="Arial" w:eastAsia="Arial" w:hint="default"/>
          <w:spacing w:val="-1"/>
          <w:sz w:val="16"/>
          <w:szCs w:val="16"/>
        </w:rPr>
      </w:r>
      <w:r>
        <w:rPr>
          <w:rFonts w:ascii="Arial" w:hAnsi="Arial" w:cs="Arial" w:eastAsia="Arial" w:hint="default"/>
          <w:spacing w:val="-1"/>
          <w:sz w:val="16"/>
          <w:szCs w:val="16"/>
          <w:u w:val="single" w:color="000000"/>
        </w:rPr>
        <w:t> </w:t>
        <w:tab/>
        <w:t>33</w:t>
        <w:tab/>
      </w:r>
      <w:r>
        <w:rPr>
          <w:rFonts w:ascii="Arial" w:hAnsi="Arial" w:cs="Arial" w:eastAsia="Arial" w:hint="default"/>
          <w:spacing w:val="-1"/>
          <w:sz w:val="16"/>
          <w:szCs w:val="16"/>
        </w:rPr>
      </w:r>
    </w:p>
    <w:p>
      <w:pPr>
        <w:spacing w:line="240" w:lineRule="auto" w:before="8"/>
        <w:rPr>
          <w:rFonts w:ascii="Arial" w:hAnsi="Arial" w:cs="Arial" w:eastAsia="Arial" w:hint="default"/>
          <w:sz w:val="12"/>
          <w:szCs w:val="12"/>
        </w:rPr>
      </w:pPr>
    </w:p>
    <w:p>
      <w:pPr>
        <w:tabs>
          <w:tab w:pos="5456" w:val="left" w:leader="none"/>
          <w:tab w:pos="6134" w:val="left" w:leader="none"/>
          <w:tab w:pos="7100" w:val="left" w:leader="none"/>
          <w:tab w:pos="8048" w:val="left" w:leader="none"/>
          <w:tab w:pos="9141" w:val="left" w:leader="none"/>
        </w:tabs>
        <w:spacing w:before="52"/>
        <w:ind w:left="470" w:right="0" w:firstLine="0"/>
        <w:jc w:val="left"/>
        <w:rPr>
          <w:rFonts w:ascii="Arial" w:hAnsi="Arial" w:cs="Arial" w:eastAsia="Arial" w:hint="default"/>
          <w:sz w:val="16"/>
          <w:szCs w:val="16"/>
        </w:rPr>
      </w:pPr>
      <w:r>
        <w:rPr>
          <w:rFonts w:ascii="宋体" w:hAnsi="宋体" w:cs="宋体" w:eastAsia="宋体" w:hint="default"/>
          <w:w w:val="95"/>
          <w:position w:val="1"/>
          <w:sz w:val="16"/>
          <w:szCs w:val="16"/>
        </w:rPr>
        <w:t>调整小计</w:t>
        <w:tab/>
      </w:r>
      <w:r>
        <w:rPr>
          <w:rFonts w:ascii="Arial" w:hAnsi="Arial" w:cs="Arial" w:eastAsia="Arial" w:hint="default"/>
          <w:w w:val="95"/>
          <w:sz w:val="16"/>
          <w:szCs w:val="16"/>
        </w:rPr>
      </w:r>
      <w:r>
        <w:rPr>
          <w:rFonts w:ascii="Arial" w:hAnsi="Arial" w:cs="Arial" w:eastAsia="Arial" w:hint="default"/>
          <w:w w:val="95"/>
          <w:sz w:val="16"/>
          <w:szCs w:val="16"/>
          <w:u w:val="single" w:color="000000"/>
        </w:rPr>
        <w:t> </w:t>
        <w:tab/>
        <w:t>169</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t>186</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t>(2,045)</w:t>
      </w:r>
      <w:r>
        <w:rPr>
          <w:rFonts w:ascii="Arial" w:hAnsi="Arial" w:cs="Arial" w:eastAsia="Arial" w:hint="default"/>
          <w:w w:val="95"/>
          <w:sz w:val="16"/>
          <w:szCs w:val="16"/>
        </w:rPr>
      </w:r>
      <w:r>
        <w:rPr>
          <w:rFonts w:ascii="Arial" w:hAnsi="Arial" w:cs="Arial" w:eastAsia="Arial" w:hint="default"/>
          <w:w w:val="95"/>
          <w:sz w:val="16"/>
          <w:szCs w:val="16"/>
          <w:u w:val="single" w:color="000000"/>
        </w:rPr>
        <w:t> </w:t>
        <w:tab/>
      </w:r>
      <w:r>
        <w:rPr>
          <w:rFonts w:ascii="Arial" w:hAnsi="Arial" w:cs="Arial" w:eastAsia="Arial" w:hint="default"/>
          <w:sz w:val="16"/>
          <w:szCs w:val="16"/>
          <w:u w:val="single" w:color="000000"/>
        </w:rPr>
        <w:t>(2,212)</w:t>
      </w:r>
      <w:r>
        <w:rPr>
          <w:rFonts w:ascii="Arial" w:hAnsi="Arial" w:cs="Arial" w:eastAsia="Arial" w:hint="default"/>
          <w:sz w:val="16"/>
          <w:szCs w:val="16"/>
        </w:rPr>
      </w:r>
    </w:p>
    <w:p>
      <w:pPr>
        <w:spacing w:line="240" w:lineRule="auto" w:before="9"/>
        <w:rPr>
          <w:rFonts w:ascii="Arial" w:hAnsi="Arial" w:cs="Arial" w:eastAsia="Arial" w:hint="default"/>
          <w:sz w:val="12"/>
          <w:szCs w:val="12"/>
        </w:rPr>
      </w:pPr>
    </w:p>
    <w:p>
      <w:pPr>
        <w:tabs>
          <w:tab w:pos="6001" w:val="left" w:leader="none"/>
          <w:tab w:pos="6878" w:val="left" w:leader="none"/>
          <w:tab w:pos="7923" w:val="left" w:leader="none"/>
          <w:tab w:pos="9016" w:val="left" w:leader="none"/>
        </w:tabs>
        <w:spacing w:before="52"/>
        <w:ind w:left="470" w:right="0" w:firstLine="0"/>
        <w:jc w:val="left"/>
        <w:rPr>
          <w:rFonts w:ascii="Arial" w:hAnsi="Arial" w:cs="Arial" w:eastAsia="Arial" w:hint="default"/>
          <w:sz w:val="16"/>
          <w:szCs w:val="16"/>
        </w:rPr>
      </w:pPr>
      <w:r>
        <w:rPr>
          <w:rFonts w:ascii="宋体" w:hAnsi="宋体" w:cs="宋体" w:eastAsia="宋体" w:hint="default"/>
          <w:w w:val="95"/>
          <w:position w:val="1"/>
          <w:sz w:val="16"/>
          <w:szCs w:val="16"/>
        </w:rPr>
        <w:t>联通红筹公司香港财务报告准则下净利润</w:t>
      </w:r>
      <w:r>
        <w:rPr>
          <w:rFonts w:ascii="Arial" w:hAnsi="Arial" w:cs="Arial" w:eastAsia="Arial" w:hint="default"/>
          <w:w w:val="95"/>
          <w:position w:val="1"/>
          <w:sz w:val="16"/>
          <w:szCs w:val="16"/>
        </w:rPr>
        <w:t>/</w:t>
      </w:r>
      <w:r>
        <w:rPr>
          <w:rFonts w:ascii="宋体" w:hAnsi="宋体" w:cs="宋体" w:eastAsia="宋体" w:hint="default"/>
          <w:w w:val="95"/>
          <w:position w:val="1"/>
          <w:sz w:val="16"/>
          <w:szCs w:val="16"/>
        </w:rPr>
        <w:t>净资产</w:t>
        <w:tab/>
      </w:r>
      <w:r>
        <w:rPr>
          <w:rFonts w:ascii="Arial" w:hAnsi="Arial" w:cs="Arial" w:eastAsia="Arial" w:hint="default"/>
          <w:w w:val="95"/>
          <w:sz w:val="16"/>
          <w:szCs w:val="16"/>
        </w:rPr>
        <w:t>9,556</w:t>
        <w:tab/>
        <w:t>35,399</w:t>
        <w:tab/>
        <w:t>206,468</w:t>
        <w:tab/>
      </w:r>
      <w:r>
        <w:rPr>
          <w:rFonts w:ascii="Arial" w:hAnsi="Arial" w:cs="Arial" w:eastAsia="Arial" w:hint="default"/>
          <w:sz w:val="16"/>
          <w:szCs w:val="16"/>
        </w:rPr>
        <w:t>207,727</w:t>
      </w:r>
    </w:p>
    <w:p>
      <w:pPr>
        <w:spacing w:line="43" w:lineRule="exact"/>
        <w:ind w:left="5442" w:right="0" w:firstLine="0"/>
        <w:rPr>
          <w:rFonts w:ascii="Arial" w:hAnsi="Arial" w:cs="Arial" w:eastAsia="Arial" w:hint="default"/>
          <w:sz w:val="4"/>
          <w:szCs w:val="4"/>
        </w:rPr>
      </w:pPr>
      <w:r>
        <w:rPr>
          <w:rFonts w:ascii="Arial" w:hAnsi="Arial" w:cs="Arial" w:eastAsia="Arial" w:hint="default"/>
          <w:position w:val="0"/>
          <w:sz w:val="4"/>
          <w:szCs w:val="4"/>
        </w:rPr>
        <w:pict>
          <v:group style="width:211.45pt;height:2.2pt;mso-position-horizontal-relative:char;mso-position-vertical-relative:line" coordorigin="0,0" coordsize="4229,44">
            <v:group style="position:absolute;left:7;top:36;width:1065;height:2" coordorigin="7,36" coordsize="1065,2">
              <v:shape style="position:absolute;left:7;top:36;width:1065;height:2" coordorigin="7,36" coordsize="1065,0" path="m7,36l1072,36e" filled="false" stroked="true" strokeweight=".72pt" strokecolor="#000000">
                <v:path arrowok="t"/>
              </v:shape>
            </v:group>
            <v:group style="position:absolute;left:7;top:7;width:1065;height:2" coordorigin="7,7" coordsize="1065,2">
              <v:shape style="position:absolute;left:7;top:7;width:1065;height:2" coordorigin="7,7" coordsize="1065,0" path="m7,7l1072,7e" filled="false" stroked="true" strokeweight=".72pt" strokecolor="#000000">
                <v:path arrowok="t"/>
              </v:shape>
            </v:group>
            <v:group style="position:absolute;left:1112;top:36;width:897;height:2" coordorigin="1112,36" coordsize="897,2">
              <v:shape style="position:absolute;left:1112;top:36;width:897;height:2" coordorigin="1112,36" coordsize="897,0" path="m1112,36l2009,36e" filled="false" stroked="true" strokeweight=".72pt" strokecolor="#000000">
                <v:path arrowok="t"/>
              </v:shape>
            </v:group>
            <v:group style="position:absolute;left:1112;top:7;width:897;height:2" coordorigin="1112,7" coordsize="897,2">
              <v:shape style="position:absolute;left:1112;top:7;width:897;height:2" coordorigin="1112,7" coordsize="897,0" path="m1112,7l2009,7e" filled="false" stroked="true" strokeweight=".72pt" strokecolor="#000000">
                <v:path arrowok="t"/>
              </v:shape>
            </v:group>
            <v:group style="position:absolute;left:2078;top:36;width:1052;height:2" coordorigin="2078,36" coordsize="1052,2">
              <v:shape style="position:absolute;left:2078;top:36;width:1052;height:2" coordorigin="2078,36" coordsize="1052,0" path="m2078,36l3130,36e" filled="false" stroked="true" strokeweight=".72pt" strokecolor="#000000">
                <v:path arrowok="t"/>
              </v:shape>
            </v:group>
            <v:group style="position:absolute;left:2078;top:7;width:1052;height:2" coordorigin="2078,7" coordsize="1052,2">
              <v:shape style="position:absolute;left:2078;top:7;width:1052;height:2" coordorigin="2078,7" coordsize="1052,0" path="m2078,7l3130,7e" filled="false" stroked="true" strokeweight=".72pt" strokecolor="#000000">
                <v:path arrowok="t"/>
              </v:shape>
            </v:group>
            <v:group style="position:absolute;left:3115;top:7;width:44;height:2" coordorigin="3115,7" coordsize="44,2">
              <v:shape style="position:absolute;left:3115;top:7;width:44;height:2" coordorigin="3115,7" coordsize="44,0" path="m3115,7l3158,7e" filled="false" stroked="true" strokeweight=".72pt" strokecolor="#000000">
                <v:path arrowok="t"/>
              </v:shape>
            </v:group>
            <v:group style="position:absolute;left:3115;top:36;width:99;height:2" coordorigin="3115,36" coordsize="99,2">
              <v:shape style="position:absolute;left:3115;top:36;width:99;height:2" coordorigin="3115,36" coordsize="99,0" path="m3115,36l3214,36e" filled="false" stroked="true" strokeweight=".72pt" strokecolor="#000000">
                <v:path arrowok="t"/>
              </v:shape>
            </v:group>
            <v:group style="position:absolute;left:3158;top:7;width:56;height:2" coordorigin="3158,7" coordsize="56,2">
              <v:shape style="position:absolute;left:3158;top:7;width:56;height:2" coordorigin="3158,7" coordsize="56,0" path="m3158,7l3214,7e" filled="false" stroked="true" strokeweight=".72pt" strokecolor="#000000">
                <v:path arrowok="t"/>
              </v:shape>
            </v:group>
            <v:group style="position:absolute;left:3199;top:7;width:44;height:2" coordorigin="3199,7" coordsize="44,2">
              <v:shape style="position:absolute;left:3199;top:7;width:44;height:2" coordorigin="3199,7" coordsize="44,0" path="m3199,7l3242,7e" filled="false" stroked="true" strokeweight=".72pt" strokecolor="#000000">
                <v:path arrowok="t"/>
              </v:shape>
            </v:group>
            <v:group style="position:absolute;left:3199;top:36;width:1023;height:2" coordorigin="3199,36" coordsize="1023,2">
              <v:shape style="position:absolute;left:3199;top:36;width:1023;height:2" coordorigin="3199,36" coordsize="1023,0" path="m3199,36l4222,36e" filled="false" stroked="true" strokeweight=".72pt" strokecolor="#000000">
                <v:path arrowok="t"/>
              </v:shape>
            </v:group>
            <v:group style="position:absolute;left:3242;top:7;width:980;height:2" coordorigin="3242,7" coordsize="980,2">
              <v:shape style="position:absolute;left:3242;top:7;width:980;height:2" coordorigin="3242,7" coordsize="980,0" path="m3242,7l4222,7e" filled="false" stroked="true" strokeweight=".72pt" strokecolor="#000000">
                <v:path arrowok="t"/>
              </v:shape>
            </v:group>
          </v:group>
        </w:pict>
      </w:r>
      <w:r>
        <w:rPr>
          <w:rFonts w:ascii="Arial" w:hAnsi="Arial" w:cs="Arial" w:eastAsia="Arial" w:hint="default"/>
          <w:position w:val="0"/>
          <w:sz w:val="4"/>
          <w:szCs w:val="4"/>
        </w:rPr>
      </w:r>
    </w:p>
    <w:p>
      <w:pPr>
        <w:spacing w:line="240" w:lineRule="auto" w:before="5"/>
        <w:rPr>
          <w:rFonts w:ascii="Arial" w:hAnsi="Arial" w:cs="Arial" w:eastAsia="Arial" w:hint="default"/>
          <w:sz w:val="16"/>
          <w:szCs w:val="16"/>
        </w:rPr>
      </w:pPr>
    </w:p>
    <w:p>
      <w:pPr>
        <w:pStyle w:val="BodyText"/>
        <w:spacing w:line="286" w:lineRule="exact" w:before="60"/>
        <w:ind w:left="914" w:right="291" w:hanging="435"/>
        <w:jc w:val="both"/>
      </w:pPr>
      <w:r>
        <w:rPr>
          <w:spacing w:val="-13"/>
        </w:rPr>
        <w:t>注：自</w:t>
      </w:r>
      <w:r>
        <w:rPr>
          <w:spacing w:val="-71"/>
        </w:rPr>
        <w:t> </w:t>
      </w:r>
      <w:r>
        <w:rPr>
          <w:rFonts w:ascii="Arial" w:hAnsi="Arial" w:cs="Arial" w:eastAsia="Arial" w:hint="default"/>
        </w:rPr>
        <w:t>2008</w:t>
      </w:r>
      <w:r>
        <w:rPr>
          <w:rFonts w:ascii="Arial" w:hAnsi="Arial" w:cs="Arial" w:eastAsia="Arial" w:hint="default"/>
          <w:spacing w:val="-22"/>
        </w:rPr>
        <w:t> </w:t>
      </w:r>
      <w:r>
        <w:rPr/>
        <w:t>年起，联通红筹公司决定同时采纳并按照国际财务报告准则</w:t>
      </w:r>
      <w:r>
        <w:rPr>
          <w:rFonts w:ascii="Arial" w:hAnsi="Arial" w:cs="Arial" w:eastAsia="Arial" w:hint="default"/>
        </w:rPr>
        <w:t>/</w:t>
      </w:r>
      <w:r>
        <w:rPr/>
        <w:t>香港财务报告准则编制</w:t>
      </w:r>
      <w:r>
        <w:rPr>
          <w:w w:val="99"/>
        </w:rPr>
        <w:t> </w:t>
      </w:r>
      <w:r>
        <w:rPr>
          <w:spacing w:val="-2"/>
        </w:rPr>
        <w:t>财务报表，经管理层评估，联通红筹公司在国际财务报告准则和香港财务报告准则下并无重</w:t>
      </w:r>
      <w:r>
        <w:rPr>
          <w:w w:val="99"/>
        </w:rPr>
        <w:t> </w:t>
      </w:r>
      <w:r>
        <w:rPr/>
        <w:t>大准则差异。</w:t>
      </w:r>
    </w:p>
    <w:p>
      <w:pPr>
        <w:spacing w:line="240" w:lineRule="auto" w:before="1"/>
        <w:rPr>
          <w:rFonts w:ascii="宋体" w:hAnsi="宋体" w:cs="宋体" w:eastAsia="宋体" w:hint="default"/>
          <w:sz w:val="17"/>
          <w:szCs w:val="17"/>
        </w:rPr>
      </w:pPr>
    </w:p>
    <w:p>
      <w:pPr>
        <w:pStyle w:val="BodyText"/>
        <w:spacing w:line="240" w:lineRule="auto"/>
        <w:ind w:left="522" w:right="723"/>
        <w:jc w:val="left"/>
      </w:pPr>
      <w:r>
        <w:rPr/>
        <w:t>财务报表差异调节表项目注释说明：</w:t>
      </w:r>
    </w:p>
    <w:p>
      <w:pPr>
        <w:spacing w:line="240" w:lineRule="auto" w:before="2"/>
        <w:rPr>
          <w:rFonts w:ascii="宋体" w:hAnsi="宋体" w:cs="宋体" w:eastAsia="宋体" w:hint="default"/>
          <w:sz w:val="19"/>
          <w:szCs w:val="19"/>
        </w:rPr>
      </w:pPr>
    </w:p>
    <w:p>
      <w:pPr>
        <w:pStyle w:val="BodyText"/>
        <w:spacing w:line="240" w:lineRule="auto"/>
        <w:ind w:left="536" w:right="723"/>
        <w:jc w:val="left"/>
      </w:pPr>
      <w:r>
        <w:rPr>
          <w:rFonts w:ascii="Arial" w:hAnsi="Arial" w:cs="Arial" w:eastAsia="Arial" w:hint="default"/>
        </w:rPr>
        <w:t>(1) </w:t>
      </w:r>
      <w:r>
        <w:rPr>
          <w:rFonts w:ascii="Arial" w:hAnsi="Arial" w:cs="Arial" w:eastAsia="Arial" w:hint="default"/>
          <w:spacing w:val="13"/>
        </w:rPr>
        <w:t> </w:t>
      </w:r>
      <w:r>
        <w:rPr/>
        <w:t>资本化的利息及相关折旧</w:t>
      </w:r>
    </w:p>
    <w:p>
      <w:pPr>
        <w:spacing w:line="240" w:lineRule="auto" w:before="13"/>
        <w:rPr>
          <w:rFonts w:ascii="宋体" w:hAnsi="宋体" w:cs="宋体" w:eastAsia="宋体" w:hint="default"/>
          <w:sz w:val="17"/>
          <w:szCs w:val="17"/>
        </w:rPr>
      </w:pPr>
    </w:p>
    <w:p>
      <w:pPr>
        <w:pStyle w:val="BodyText"/>
        <w:spacing w:line="294" w:lineRule="exact"/>
        <w:ind w:left="942" w:right="0"/>
        <w:jc w:val="both"/>
      </w:pPr>
      <w:r>
        <w:rPr/>
        <w:t>本集团于</w:t>
      </w:r>
      <w:r>
        <w:rPr>
          <w:spacing w:val="-56"/>
        </w:rPr>
        <w:t> </w:t>
      </w:r>
      <w:r>
        <w:rPr>
          <w:rFonts w:ascii="Arial" w:hAnsi="Arial" w:cs="Arial" w:eastAsia="Arial" w:hint="default"/>
        </w:rPr>
        <w:t>2007</w:t>
      </w:r>
      <w:r>
        <w:rPr>
          <w:rFonts w:ascii="Arial" w:hAnsi="Arial" w:cs="Arial" w:eastAsia="Arial" w:hint="default"/>
          <w:spacing w:val="-7"/>
        </w:rPr>
        <w:t> </w:t>
      </w:r>
      <w:r>
        <w:rPr/>
        <w:t>年</w:t>
      </w:r>
      <w:r>
        <w:rPr>
          <w:spacing w:val="-56"/>
        </w:rPr>
        <w:t> </w:t>
      </w:r>
      <w:r>
        <w:rPr>
          <w:rFonts w:ascii="Arial" w:hAnsi="Arial" w:cs="Arial" w:eastAsia="Arial" w:hint="default"/>
        </w:rPr>
        <w:t>1</w:t>
      </w:r>
      <w:r>
        <w:rPr>
          <w:rFonts w:ascii="Arial" w:hAnsi="Arial" w:cs="Arial" w:eastAsia="Arial" w:hint="default"/>
          <w:spacing w:val="-7"/>
        </w:rPr>
        <w:t> </w:t>
      </w:r>
      <w:r>
        <w:rPr/>
        <w:t>月</w:t>
      </w:r>
      <w:r>
        <w:rPr>
          <w:spacing w:val="-56"/>
        </w:rPr>
        <w:t> </w:t>
      </w:r>
      <w:r>
        <w:rPr>
          <w:rFonts w:ascii="Arial" w:hAnsi="Arial" w:cs="Arial" w:eastAsia="Arial" w:hint="default"/>
        </w:rPr>
        <w:t>1</w:t>
      </w:r>
      <w:r>
        <w:rPr>
          <w:rFonts w:ascii="Arial" w:hAnsi="Arial" w:cs="Arial" w:eastAsia="Arial" w:hint="default"/>
          <w:spacing w:val="-7"/>
        </w:rPr>
        <w:t> </w:t>
      </w:r>
      <w:r>
        <w:rPr>
          <w:spacing w:val="-4"/>
        </w:rPr>
        <w:t>日，根据《企业会计准则第</w:t>
      </w:r>
      <w:r>
        <w:rPr>
          <w:spacing w:val="-56"/>
        </w:rPr>
        <w:t> </w:t>
      </w:r>
      <w:r>
        <w:rPr>
          <w:rFonts w:ascii="Arial" w:hAnsi="Arial" w:cs="Arial" w:eastAsia="Arial" w:hint="default"/>
        </w:rPr>
        <w:t>38</w:t>
      </w:r>
      <w:r>
        <w:rPr>
          <w:rFonts w:ascii="Arial" w:hAnsi="Arial" w:cs="Arial" w:eastAsia="Arial" w:hint="default"/>
          <w:spacing w:val="-7"/>
        </w:rPr>
        <w:t> </w:t>
      </w:r>
      <w:r>
        <w:rPr>
          <w:spacing w:val="-4"/>
        </w:rPr>
        <w:t>号—首次执行企业会计准则》（“第</w:t>
      </w:r>
    </w:p>
    <w:p>
      <w:pPr>
        <w:pStyle w:val="BodyText"/>
        <w:spacing w:line="228" w:lineRule="auto" w:before="3"/>
        <w:ind w:left="942" w:right="99"/>
        <w:jc w:val="both"/>
      </w:pPr>
      <w:r>
        <w:rPr>
          <w:rFonts w:ascii="Arial" w:hAnsi="Arial" w:cs="Arial" w:eastAsia="Arial" w:hint="default"/>
        </w:rPr>
        <w:t>38 </w:t>
      </w:r>
      <w:r>
        <w:rPr>
          <w:spacing w:val="-3"/>
        </w:rPr>
        <w:t>号准则”）的要求，以未来适用法将原会计准则和制度下应直接费用化的一般借款费用按</w:t>
      </w:r>
      <w:r>
        <w:rPr>
          <w:spacing w:val="-93"/>
        </w:rPr>
        <w:t> </w:t>
      </w:r>
      <w:r>
        <w:rPr>
          <w:spacing w:val="-93"/>
        </w:rPr>
      </w:r>
      <w:r>
        <w:rPr/>
        <w:t>新企业会计准则的要求在满足相关条件的前提下予以资本化，这与国际财务报告准则</w:t>
      </w:r>
      <w:r>
        <w:rPr>
          <w:rFonts w:ascii="Arial" w:hAnsi="Arial" w:cs="Arial" w:eastAsia="Arial" w:hint="default"/>
        </w:rPr>
        <w:t>/</w:t>
      </w:r>
      <w:r>
        <w:rPr/>
        <w:t>香港财</w:t>
      </w:r>
      <w:r>
        <w:rPr>
          <w:w w:val="99"/>
        </w:rPr>
        <w:t> </w:t>
      </w:r>
      <w:r>
        <w:rPr/>
        <w:t>务报告准则已经一致。但在</w:t>
      </w:r>
      <w:r>
        <w:rPr>
          <w:spacing w:val="-60"/>
        </w:rPr>
        <w:t> </w:t>
      </w:r>
      <w:r>
        <w:rPr>
          <w:rFonts w:ascii="Arial" w:hAnsi="Arial" w:cs="Arial" w:eastAsia="Arial" w:hint="default"/>
        </w:rPr>
        <w:t>2007</w:t>
      </w:r>
      <w:r>
        <w:rPr>
          <w:rFonts w:ascii="Arial" w:hAnsi="Arial" w:cs="Arial" w:eastAsia="Arial" w:hint="default"/>
          <w:spacing w:val="-11"/>
        </w:rPr>
        <w:t> </w:t>
      </w:r>
      <w:r>
        <w:rPr/>
        <w:t>年</w:t>
      </w:r>
      <w:r>
        <w:rPr>
          <w:spacing w:val="-60"/>
        </w:rPr>
        <w:t> </w:t>
      </w:r>
      <w:r>
        <w:rPr>
          <w:rFonts w:ascii="Arial" w:hAnsi="Arial" w:cs="Arial" w:eastAsia="Arial" w:hint="default"/>
        </w:rPr>
        <w:t>1</w:t>
      </w:r>
      <w:r>
        <w:rPr>
          <w:rFonts w:ascii="Arial" w:hAnsi="Arial" w:cs="Arial" w:eastAsia="Arial" w:hint="default"/>
          <w:spacing w:val="-11"/>
        </w:rPr>
        <w:t> </w:t>
      </w:r>
      <w:r>
        <w:rPr/>
        <w:t>月</w:t>
      </w:r>
      <w:r>
        <w:rPr>
          <w:spacing w:val="-60"/>
        </w:rPr>
        <w:t> </w:t>
      </w:r>
      <w:r>
        <w:rPr>
          <w:rFonts w:ascii="Arial" w:hAnsi="Arial" w:cs="Arial" w:eastAsia="Arial" w:hint="default"/>
        </w:rPr>
        <w:t>1</w:t>
      </w:r>
      <w:r>
        <w:rPr>
          <w:rFonts w:ascii="Arial" w:hAnsi="Arial" w:cs="Arial" w:eastAsia="Arial" w:hint="default"/>
          <w:spacing w:val="-11"/>
        </w:rPr>
        <w:t> </w:t>
      </w:r>
      <w:r>
        <w:rPr/>
        <w:t>日前，在国际财务报告准则</w:t>
      </w:r>
      <w:r>
        <w:rPr>
          <w:rFonts w:ascii="Arial" w:hAnsi="Arial" w:cs="Arial" w:eastAsia="Arial" w:hint="default"/>
        </w:rPr>
        <w:t>/</w:t>
      </w:r>
      <w:r>
        <w:rPr/>
        <w:t>香港财务报告准则下</w:t>
      </w:r>
      <w:r>
        <w:rPr>
          <w:w w:val="99"/>
        </w:rPr>
        <w:t> </w:t>
      </w:r>
      <w:r>
        <w:rPr>
          <w:spacing w:val="3"/>
        </w:rPr>
        <w:t>符合资本化条件的一般借款费用已经记入本集团国际财务报告准则</w:t>
      </w:r>
      <w:r>
        <w:rPr>
          <w:rFonts w:ascii="Arial" w:hAnsi="Arial" w:cs="Arial" w:eastAsia="Arial" w:hint="default"/>
          <w:spacing w:val="3"/>
        </w:rPr>
        <w:t>/</w:t>
      </w:r>
      <w:r>
        <w:rPr>
          <w:spacing w:val="3"/>
        </w:rPr>
        <w:t>香港财务报告准则下的</w:t>
      </w:r>
      <w:r>
        <w:rPr>
          <w:spacing w:val="-108"/>
        </w:rPr>
        <w:t> </w:t>
      </w:r>
      <w:r>
        <w:rPr>
          <w:spacing w:val="-108"/>
        </w:rPr>
      </w:r>
      <w:r>
        <w:rPr/>
        <w:t>在建工程成本并转入固定资产，由此导致这些固定资产的折旧及账面净值在中国会计准则和</w:t>
      </w:r>
      <w:r>
        <w:rPr>
          <w:w w:val="99"/>
        </w:rPr>
        <w:t> </w:t>
      </w:r>
      <w:r>
        <w:rPr>
          <w:spacing w:val="-4"/>
          <w:w w:val="99"/>
        </w:rPr>
        <w:t>国际财务报告准则</w:t>
      </w:r>
      <w:r>
        <w:rPr>
          <w:rFonts w:ascii="Arial" w:hAnsi="Arial" w:cs="Arial" w:eastAsia="Arial" w:hint="default"/>
          <w:spacing w:val="-4"/>
          <w:w w:val="99"/>
        </w:rPr>
        <w:t>/</w:t>
      </w:r>
      <w:r>
        <w:rPr>
          <w:spacing w:val="-4"/>
          <w:w w:val="99"/>
        </w:rPr>
        <w:t>香港财务报告准则下不同。同时，该准则差异亦考虑了递延所得税的影响。</w:t>
      </w:r>
      <w:r>
        <w:rPr>
          <w:spacing w:val="-4"/>
        </w:rPr>
      </w:r>
    </w:p>
    <w:p>
      <w:pPr>
        <w:spacing w:after="0" w:line="228" w:lineRule="auto"/>
        <w:jc w:val="both"/>
        <w:sectPr>
          <w:headerReference w:type="default" r:id="rId150"/>
          <w:pgSz w:w="11910" w:h="16840"/>
          <w:pgMar w:header="1330" w:footer="752" w:top="2300" w:bottom="940" w:left="1280" w:right="680"/>
        </w:sectPr>
      </w:pPr>
    </w:p>
    <w:p>
      <w:pPr>
        <w:spacing w:line="240" w:lineRule="auto" w:before="9"/>
        <w:rPr>
          <w:rFonts w:ascii="宋体" w:hAnsi="宋体" w:cs="宋体" w:eastAsia="宋体" w:hint="default"/>
          <w:sz w:val="16"/>
          <w:szCs w:val="16"/>
        </w:rPr>
      </w:pPr>
    </w:p>
    <w:p>
      <w:pPr>
        <w:pStyle w:val="BodyText"/>
        <w:spacing w:line="240" w:lineRule="auto" w:before="31"/>
        <w:ind w:left="522" w:right="337"/>
        <w:jc w:val="left"/>
      </w:pPr>
      <w:r>
        <w:rPr/>
        <w:t>财务报表差异调节表项目注释说明（续）：</w:t>
      </w:r>
    </w:p>
    <w:p>
      <w:pPr>
        <w:spacing w:line="240" w:lineRule="auto" w:before="4"/>
        <w:rPr>
          <w:rFonts w:ascii="宋体" w:hAnsi="宋体" w:cs="宋体" w:eastAsia="宋体" w:hint="default"/>
          <w:sz w:val="21"/>
          <w:szCs w:val="21"/>
        </w:rPr>
      </w:pPr>
    </w:p>
    <w:p>
      <w:pPr>
        <w:pStyle w:val="BodyText"/>
        <w:spacing w:line="286" w:lineRule="exact"/>
        <w:ind w:left="957" w:right="100" w:hanging="435"/>
        <w:jc w:val="left"/>
      </w:pPr>
      <w:r>
        <w:rPr>
          <w:rFonts w:ascii="Arial" w:hAnsi="Arial" w:cs="Arial" w:eastAsia="Arial" w:hint="default"/>
        </w:rPr>
        <w:t>(2)</w:t>
      </w:r>
      <w:r>
        <w:rPr>
          <w:rFonts w:ascii="Arial" w:hAnsi="Arial" w:cs="Arial" w:eastAsia="Arial" w:hint="default"/>
          <w:spacing w:val="30"/>
        </w:rPr>
        <w:t> </w:t>
      </w:r>
      <w:r>
        <w:rPr>
          <w:spacing w:val="3"/>
        </w:rPr>
        <w:t>调整中国会计准则下和国际财务报告准则</w:t>
      </w:r>
      <w:r>
        <w:rPr>
          <w:rFonts w:ascii="Arial" w:hAnsi="Arial" w:cs="Arial" w:eastAsia="Arial" w:hint="default"/>
          <w:spacing w:val="3"/>
        </w:rPr>
        <w:t>/</w:t>
      </w:r>
      <w:r>
        <w:rPr>
          <w:spacing w:val="3"/>
        </w:rPr>
        <w:t>香港财务报告准则下因固定资产的评估对折旧的</w:t>
      </w:r>
      <w:r>
        <w:rPr>
          <w:w w:val="99"/>
        </w:rPr>
        <w:t> </w:t>
      </w:r>
      <w:r>
        <w:rPr/>
        <w:t>影响</w:t>
      </w:r>
    </w:p>
    <w:p>
      <w:pPr>
        <w:spacing w:line="240" w:lineRule="auto" w:before="6"/>
        <w:rPr>
          <w:rFonts w:ascii="宋体" w:hAnsi="宋体" w:cs="宋体" w:eastAsia="宋体" w:hint="default"/>
          <w:sz w:val="17"/>
          <w:szCs w:val="17"/>
        </w:rPr>
      </w:pPr>
    </w:p>
    <w:p>
      <w:pPr>
        <w:pStyle w:val="BodyText"/>
        <w:spacing w:line="235" w:lineRule="auto"/>
        <w:ind w:left="970" w:right="104"/>
        <w:jc w:val="both"/>
      </w:pPr>
      <w:r>
        <w:rPr>
          <w:spacing w:val="-1"/>
        </w:rPr>
        <w:t>在中国会计准则下，本集团所持有的土地及房屋建筑物和移动业务的通信设备资产在本集团</w:t>
      </w:r>
      <w:r>
        <w:rPr>
          <w:w w:val="99"/>
        </w:rPr>
        <w:t> </w:t>
      </w:r>
      <w:r>
        <w:rPr>
          <w:spacing w:val="-1"/>
        </w:rPr>
        <w:t>重组过程中以评估后价值入账并计提折旧及摊销。这些资产评估由中国注册资产评估师依据</w:t>
      </w:r>
      <w:r>
        <w:rPr>
          <w:w w:val="99"/>
        </w:rPr>
        <w:t> </w:t>
      </w:r>
      <w:r>
        <w:rPr>
          <w:spacing w:val="-3"/>
        </w:rPr>
        <w:t>中国相关的法规进行，在国际财务报告准则</w:t>
      </w:r>
      <w:r>
        <w:rPr>
          <w:rFonts w:ascii="Arial" w:hAnsi="Arial" w:cs="Arial" w:eastAsia="Arial" w:hint="default"/>
          <w:spacing w:val="-3"/>
        </w:rPr>
        <w:t>/</w:t>
      </w:r>
      <w:r>
        <w:rPr>
          <w:spacing w:val="-3"/>
        </w:rPr>
        <w:t>香港财务报告准则下，对这些按中国法规要求的</w:t>
      </w:r>
      <w:r>
        <w:rPr>
          <w:spacing w:val="-90"/>
        </w:rPr>
        <w:t> </w:t>
      </w:r>
      <w:r>
        <w:rPr>
          <w:spacing w:val="-90"/>
        </w:rPr>
      </w:r>
      <w:r>
        <w:rPr>
          <w:spacing w:val="4"/>
        </w:rPr>
        <w:t>评估结果不予确认，土地及房屋建筑物和移动业务的通信设备资产仍以原值列示并计提折</w:t>
      </w:r>
      <w:r>
        <w:rPr>
          <w:spacing w:val="4"/>
          <w:w w:val="99"/>
        </w:rPr>
        <w:t> </w:t>
      </w:r>
      <w:r>
        <w:rPr/>
        <w:t>旧，由此产生准则差异。</w:t>
      </w:r>
    </w:p>
    <w:p>
      <w:pPr>
        <w:spacing w:line="240" w:lineRule="auto" w:before="11"/>
        <w:rPr>
          <w:rFonts w:ascii="宋体" w:hAnsi="宋体" w:cs="宋体" w:eastAsia="宋体" w:hint="default"/>
          <w:sz w:val="19"/>
          <w:szCs w:val="19"/>
        </w:rPr>
      </w:pPr>
    </w:p>
    <w:p>
      <w:pPr>
        <w:pStyle w:val="BodyText"/>
        <w:spacing w:line="232" w:lineRule="auto"/>
        <w:ind w:left="970" w:right="109"/>
        <w:jc w:val="both"/>
      </w:pPr>
      <w:r>
        <w:rPr>
          <w:spacing w:val="-3"/>
          <w:w w:val="99"/>
        </w:rPr>
        <w:t>在国际财务报告准则</w:t>
      </w:r>
      <w:r>
        <w:rPr>
          <w:rFonts w:ascii="Arial" w:hAnsi="Arial" w:cs="Arial" w:eastAsia="Arial" w:hint="default"/>
          <w:spacing w:val="-3"/>
          <w:w w:val="99"/>
        </w:rPr>
        <w:t>/</w:t>
      </w:r>
      <w:r>
        <w:rPr>
          <w:spacing w:val="-3"/>
          <w:w w:val="99"/>
        </w:rPr>
        <w:t>香港财务报告准则下，本集团对除土地及房屋建筑物和移动业务的通信</w:t>
      </w:r>
      <w:r>
        <w:rPr>
          <w:spacing w:val="-71"/>
          <w:w w:val="99"/>
        </w:rPr>
        <w:t> </w:t>
      </w:r>
      <w:r>
        <w:rPr>
          <w:spacing w:val="-71"/>
          <w:w w:val="99"/>
        </w:rPr>
      </w:r>
      <w:r>
        <w:rPr>
          <w:spacing w:val="-1"/>
        </w:rPr>
        <w:t>设备资产外的固定资产按评估值入账（需定期进行重新评估）并计提折旧。在中国会计准则</w:t>
      </w:r>
      <w:r>
        <w:rPr>
          <w:w w:val="99"/>
        </w:rPr>
        <w:t> </w:t>
      </w:r>
      <w:r>
        <w:rPr/>
        <w:t>下，本集团仅对公司制改制和</w:t>
      </w:r>
      <w:r>
        <w:rPr>
          <w:spacing w:val="-45"/>
        </w:rPr>
        <w:t> </w:t>
      </w:r>
      <w:r>
        <w:rPr>
          <w:rFonts w:ascii="Arial" w:hAnsi="Arial" w:cs="Arial" w:eastAsia="Arial" w:hint="default"/>
        </w:rPr>
        <w:t>2006</w:t>
      </w:r>
      <w:r>
        <w:rPr>
          <w:rFonts w:ascii="Arial" w:hAnsi="Arial" w:cs="Arial" w:eastAsia="Arial" w:hint="default"/>
          <w:spacing w:val="4"/>
        </w:rPr>
        <w:t> </w:t>
      </w:r>
      <w:r>
        <w:rPr/>
        <w:t>年以前年度重组上市时国有股股东投入的固定资产按国</w:t>
      </w:r>
      <w:r>
        <w:rPr>
          <w:w w:val="99"/>
        </w:rPr>
        <w:t> </w:t>
      </w:r>
      <w:r>
        <w:rPr>
          <w:spacing w:val="-1"/>
        </w:rPr>
        <w:t>有资产管理部门确认的评估值作为入账价值，除此以外本集团对固定资产的其他评估结果均</w:t>
      </w:r>
      <w:r>
        <w:rPr>
          <w:w w:val="99"/>
        </w:rPr>
        <w:t> </w:t>
      </w:r>
      <w:r>
        <w:rPr>
          <w:spacing w:val="-1"/>
        </w:rPr>
        <w:t>不予确认，并按照账面价值计提折旧。故本集团持有的除土地及房屋建筑物和移动业务的通</w:t>
      </w:r>
      <w:r>
        <w:rPr>
          <w:w w:val="99"/>
        </w:rPr>
        <w:t> </w:t>
      </w:r>
      <w:r>
        <w:rPr/>
        <w:t>信设备资产外的固定资产的入账价值和折旧金额存在准则差异。</w:t>
      </w:r>
    </w:p>
    <w:p>
      <w:pPr>
        <w:spacing w:line="240" w:lineRule="auto" w:before="2"/>
        <w:rPr>
          <w:rFonts w:ascii="宋体" w:hAnsi="宋体" w:cs="宋体" w:eastAsia="宋体" w:hint="default"/>
          <w:sz w:val="19"/>
          <w:szCs w:val="19"/>
        </w:rPr>
      </w:pPr>
    </w:p>
    <w:p>
      <w:pPr>
        <w:pStyle w:val="BodyText"/>
        <w:spacing w:line="295" w:lineRule="exact"/>
        <w:ind w:left="970" w:right="0"/>
        <w:jc w:val="both"/>
      </w:pPr>
      <w:r>
        <w:rPr/>
        <w:t>本集团于</w:t>
      </w:r>
      <w:r>
        <w:rPr>
          <w:spacing w:val="-45"/>
        </w:rPr>
        <w:t> </w:t>
      </w:r>
      <w:r>
        <w:rPr>
          <w:rFonts w:ascii="Arial" w:hAnsi="Arial" w:cs="Arial" w:eastAsia="Arial" w:hint="default"/>
        </w:rPr>
        <w:t>2008</w:t>
      </w:r>
      <w:r>
        <w:rPr>
          <w:rFonts w:ascii="Arial" w:hAnsi="Arial" w:cs="Arial" w:eastAsia="Arial" w:hint="default"/>
          <w:spacing w:val="4"/>
        </w:rPr>
        <w:t> </w:t>
      </w:r>
      <w:r>
        <w:rPr/>
        <w:t>年在计提无线市话业务相关资产减值准备时，亦考虑了上述资产评估及折旧</w:t>
      </w:r>
    </w:p>
    <w:p>
      <w:pPr>
        <w:pStyle w:val="BodyText"/>
        <w:spacing w:line="424" w:lineRule="auto"/>
        <w:ind w:left="970" w:right="4894"/>
        <w:jc w:val="left"/>
      </w:pPr>
      <w:r>
        <w:rPr/>
        <w:t>的影响，金额约为人民币</w:t>
      </w:r>
      <w:r>
        <w:rPr>
          <w:spacing w:val="-56"/>
        </w:rPr>
        <w:t> </w:t>
      </w:r>
      <w:r>
        <w:rPr>
          <w:rFonts w:ascii="Arial" w:hAnsi="Arial" w:cs="Arial" w:eastAsia="Arial" w:hint="default"/>
        </w:rPr>
        <w:t>3.10</w:t>
      </w:r>
      <w:r>
        <w:rPr>
          <w:rFonts w:ascii="Arial" w:hAnsi="Arial" w:cs="Arial" w:eastAsia="Arial" w:hint="default"/>
          <w:spacing w:val="-7"/>
        </w:rPr>
        <w:t> </w:t>
      </w:r>
      <w:r>
        <w:rPr/>
        <w:t>亿元。</w:t>
      </w:r>
      <w:r>
        <w:rPr>
          <w:w w:val="99"/>
        </w:rPr>
        <w:t> </w:t>
      </w:r>
      <w:r>
        <w:rPr/>
        <w:t>该准则差异亦考虑了递延所得税的影响。</w:t>
      </w:r>
    </w:p>
    <w:p>
      <w:pPr>
        <w:pStyle w:val="BodyText"/>
        <w:spacing w:line="240" w:lineRule="auto" w:before="81"/>
        <w:ind w:left="495" w:right="337"/>
        <w:jc w:val="left"/>
      </w:pPr>
      <w:r>
        <w:rPr>
          <w:rFonts w:ascii="Arial" w:hAnsi="Arial" w:cs="Arial" w:eastAsia="Arial" w:hint="default"/>
        </w:rPr>
        <w:t>(3) </w:t>
      </w:r>
      <w:r>
        <w:rPr>
          <w:rFonts w:ascii="Arial" w:hAnsi="Arial" w:cs="Arial" w:eastAsia="Arial" w:hint="default"/>
          <w:spacing w:val="52"/>
        </w:rPr>
        <w:t> </w:t>
      </w:r>
      <w:r>
        <w:rPr/>
        <w:t>因收购联通新世纪</w:t>
      </w:r>
      <w:r>
        <w:rPr>
          <w:spacing w:val="-57"/>
        </w:rPr>
        <w:t> </w:t>
      </w:r>
      <w:r>
        <w:rPr>
          <w:rFonts w:ascii="Arial" w:hAnsi="Arial" w:cs="Arial" w:eastAsia="Arial" w:hint="default"/>
        </w:rPr>
        <w:t>BVI</w:t>
      </w:r>
      <w:r>
        <w:rPr>
          <w:rFonts w:ascii="Arial" w:hAnsi="Arial" w:cs="Arial" w:eastAsia="Arial" w:hint="default"/>
          <w:spacing w:val="-7"/>
        </w:rPr>
        <w:t> </w:t>
      </w:r>
      <w:r>
        <w:rPr/>
        <w:t>和联通新世界</w:t>
      </w:r>
      <w:r>
        <w:rPr>
          <w:spacing w:val="-57"/>
        </w:rPr>
        <w:t> </w:t>
      </w:r>
      <w:r>
        <w:rPr>
          <w:rFonts w:ascii="Arial" w:hAnsi="Arial" w:cs="Arial" w:eastAsia="Arial" w:hint="default"/>
        </w:rPr>
        <w:t>BVI</w:t>
      </w:r>
      <w:r>
        <w:rPr>
          <w:rFonts w:ascii="Arial" w:hAnsi="Arial" w:cs="Arial" w:eastAsia="Arial" w:hint="default"/>
          <w:spacing w:val="-8"/>
        </w:rPr>
        <w:t> </w:t>
      </w:r>
      <w:r>
        <w:rPr/>
        <w:t>产生的股权投资差额、商誉及收购费用的处理</w:t>
      </w:r>
    </w:p>
    <w:p>
      <w:pPr>
        <w:spacing w:line="240" w:lineRule="auto" w:before="10"/>
        <w:rPr>
          <w:rFonts w:ascii="宋体" w:hAnsi="宋体" w:cs="宋体" w:eastAsia="宋体" w:hint="default"/>
          <w:sz w:val="18"/>
          <w:szCs w:val="18"/>
        </w:rPr>
      </w:pPr>
    </w:p>
    <w:p>
      <w:pPr>
        <w:pStyle w:val="BodyText"/>
        <w:spacing w:line="230" w:lineRule="auto"/>
        <w:ind w:left="970" w:right="109"/>
        <w:jc w:val="both"/>
      </w:pPr>
      <w:r>
        <w:rPr/>
        <w:t>本公司分别于</w:t>
      </w:r>
      <w:r>
        <w:rPr>
          <w:spacing w:val="-57"/>
        </w:rPr>
        <w:t> </w:t>
      </w:r>
      <w:r>
        <w:rPr>
          <w:rFonts w:ascii="Arial" w:hAnsi="Arial" w:cs="Arial" w:eastAsia="Arial" w:hint="default"/>
        </w:rPr>
        <w:t>2002</w:t>
      </w:r>
      <w:r>
        <w:rPr>
          <w:rFonts w:ascii="Arial" w:hAnsi="Arial" w:cs="Arial" w:eastAsia="Arial" w:hint="default"/>
          <w:spacing w:val="-8"/>
        </w:rPr>
        <w:t> </w:t>
      </w:r>
      <w:r>
        <w:rPr/>
        <w:t>年</w:t>
      </w:r>
      <w:r>
        <w:rPr>
          <w:spacing w:val="-57"/>
        </w:rPr>
        <w:t> </w:t>
      </w: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t>日和</w:t>
      </w:r>
      <w:r>
        <w:rPr>
          <w:spacing w:val="-57"/>
        </w:rPr>
        <w:t> </w:t>
      </w:r>
      <w:r>
        <w:rPr>
          <w:rFonts w:ascii="Arial" w:hAnsi="Arial" w:cs="Arial" w:eastAsia="Arial" w:hint="default"/>
        </w:rPr>
        <w:t>2003</w:t>
      </w:r>
      <w:r>
        <w:rPr>
          <w:rFonts w:ascii="Arial" w:hAnsi="Arial" w:cs="Arial" w:eastAsia="Arial" w:hint="default"/>
          <w:spacing w:val="-8"/>
        </w:rPr>
        <w:t> </w:t>
      </w:r>
      <w:r>
        <w:rPr/>
        <w:t>年</w:t>
      </w:r>
      <w:r>
        <w:rPr>
          <w:spacing w:val="-57"/>
        </w:rPr>
        <w:t> </w:t>
      </w:r>
      <w:r>
        <w:rPr>
          <w:rFonts w:ascii="Arial" w:hAnsi="Arial" w:cs="Arial" w:eastAsia="Arial" w:hint="default"/>
        </w:rPr>
        <w:t>12</w:t>
      </w:r>
      <w:r>
        <w:rPr>
          <w:rFonts w:ascii="Arial" w:hAnsi="Arial" w:cs="Arial" w:eastAsia="Arial" w:hint="default"/>
          <w:spacing w:val="-8"/>
        </w:rPr>
        <w:t> </w:t>
      </w:r>
      <w:r>
        <w:rPr/>
        <w:t>月</w:t>
      </w:r>
      <w:r>
        <w:rPr>
          <w:spacing w:val="-57"/>
        </w:rPr>
        <w:t> </w:t>
      </w:r>
      <w:r>
        <w:rPr>
          <w:rFonts w:ascii="Arial" w:hAnsi="Arial" w:cs="Arial" w:eastAsia="Arial" w:hint="default"/>
        </w:rPr>
        <w:t>31</w:t>
      </w:r>
      <w:r>
        <w:rPr>
          <w:rFonts w:ascii="Arial" w:hAnsi="Arial" w:cs="Arial" w:eastAsia="Arial" w:hint="default"/>
          <w:spacing w:val="-8"/>
        </w:rPr>
        <w:t> </w:t>
      </w:r>
      <w:r>
        <w:rPr/>
        <w:t>日间接通过联通红筹公司收购了联通</w:t>
      </w:r>
      <w:r>
        <w:rPr>
          <w:w w:val="99"/>
        </w:rPr>
        <w:t> </w:t>
      </w:r>
      <w:r>
        <w:rPr/>
        <w:t>新世纪</w:t>
      </w:r>
      <w:r>
        <w:rPr>
          <w:spacing w:val="-59"/>
        </w:rPr>
        <w:t> </w:t>
      </w:r>
      <w:r>
        <w:rPr>
          <w:rFonts w:ascii="Arial" w:hAnsi="Arial" w:cs="Arial" w:eastAsia="Arial" w:hint="default"/>
        </w:rPr>
        <w:t>BVI</w:t>
      </w:r>
      <w:r>
        <w:rPr>
          <w:rFonts w:ascii="Arial" w:hAnsi="Arial" w:cs="Arial" w:eastAsia="Arial" w:hint="default"/>
          <w:spacing w:val="-9"/>
        </w:rPr>
        <w:t> </w:t>
      </w:r>
      <w:r>
        <w:rPr/>
        <w:t>和联通新世界</w:t>
      </w:r>
      <w:r>
        <w:rPr>
          <w:spacing w:val="-59"/>
        </w:rPr>
        <w:t> </w:t>
      </w:r>
      <w:r>
        <w:rPr>
          <w:rFonts w:ascii="Arial" w:hAnsi="Arial" w:cs="Arial" w:eastAsia="Arial" w:hint="default"/>
        </w:rPr>
        <w:t>BVI</w:t>
      </w:r>
      <w:r>
        <w:rPr>
          <w:rFonts w:ascii="Arial" w:hAnsi="Arial" w:cs="Arial" w:eastAsia="Arial" w:hint="default"/>
          <w:spacing w:val="-10"/>
        </w:rPr>
        <w:t> </w:t>
      </w:r>
      <w:r>
        <w:rPr>
          <w:spacing w:val="-3"/>
        </w:rPr>
        <w:t>的全部股权。在中国会计准则下，因该等合并属于同一控制下</w:t>
      </w:r>
      <w:r>
        <w:rPr>
          <w:w w:val="99"/>
        </w:rPr>
        <w:t> </w:t>
      </w:r>
      <w:r>
        <w:rPr>
          <w:spacing w:val="-1"/>
        </w:rPr>
        <w:t>的企业合并，故收购价与收购生效日被收购公司账面净资产值之间的差额确认为长期股权投</w:t>
      </w:r>
      <w:r>
        <w:rPr>
          <w:w w:val="99"/>
        </w:rPr>
        <w:t> </w:t>
      </w:r>
      <w:r>
        <w:rPr/>
        <w:t>资差额，并于</w:t>
      </w:r>
      <w:r>
        <w:rPr>
          <w:spacing w:val="-57"/>
        </w:rPr>
        <w:t> </w:t>
      </w:r>
      <w:r>
        <w:rPr>
          <w:rFonts w:ascii="Arial" w:hAnsi="Arial" w:cs="Arial" w:eastAsia="Arial" w:hint="default"/>
        </w:rPr>
        <w:t>2007</w:t>
      </w:r>
      <w:r>
        <w:rPr>
          <w:rFonts w:ascii="Arial" w:hAnsi="Arial" w:cs="Arial" w:eastAsia="Arial" w:hint="default"/>
          <w:spacing w:val="-8"/>
        </w:rPr>
        <w:t> </w:t>
      </w:r>
      <w:r>
        <w:rPr/>
        <w:t>年</w:t>
      </w:r>
      <w:r>
        <w:rPr>
          <w:spacing w:val="-57"/>
        </w:rPr>
        <w:t> </w:t>
      </w:r>
      <w:r>
        <w:rPr>
          <w:rFonts w:ascii="Arial" w:hAnsi="Arial" w:cs="Arial" w:eastAsia="Arial" w:hint="default"/>
        </w:rPr>
        <w:t>1</w:t>
      </w:r>
      <w:r>
        <w:rPr>
          <w:rFonts w:ascii="Arial" w:hAnsi="Arial" w:cs="Arial" w:eastAsia="Arial" w:hint="default"/>
          <w:spacing w:val="-8"/>
        </w:rPr>
        <w:t> </w:t>
      </w:r>
      <w:r>
        <w:rPr/>
        <w:t>月</w:t>
      </w:r>
      <w:r>
        <w:rPr>
          <w:spacing w:val="-57"/>
        </w:rPr>
        <w:t> </w:t>
      </w:r>
      <w:r>
        <w:rPr>
          <w:rFonts w:ascii="Arial" w:hAnsi="Arial" w:cs="Arial" w:eastAsia="Arial" w:hint="default"/>
        </w:rPr>
        <w:t>1</w:t>
      </w:r>
      <w:r>
        <w:rPr>
          <w:rFonts w:ascii="Arial" w:hAnsi="Arial" w:cs="Arial" w:eastAsia="Arial" w:hint="default"/>
          <w:spacing w:val="-8"/>
        </w:rPr>
        <w:t> </w:t>
      </w:r>
      <w:r>
        <w:rPr/>
        <w:t>日将尚未摊销的长期股权投资差额调整留存收益，减少本集团</w:t>
      </w:r>
      <w:r>
        <w:rPr>
          <w:w w:val="99"/>
        </w:rPr>
        <w:t> </w:t>
      </w:r>
      <w:r>
        <w:rPr>
          <w:spacing w:val="-3"/>
          <w:w w:val="99"/>
        </w:rPr>
        <w:t>的净资产。而在国际财务报告准则</w:t>
      </w:r>
      <w:r>
        <w:rPr>
          <w:rFonts w:ascii="Arial" w:hAnsi="Arial" w:cs="Arial" w:eastAsia="Arial" w:hint="default"/>
          <w:spacing w:val="-3"/>
          <w:w w:val="99"/>
        </w:rPr>
        <w:t>/</w:t>
      </w:r>
      <w:r>
        <w:rPr>
          <w:spacing w:val="-3"/>
          <w:w w:val="99"/>
        </w:rPr>
        <w:t>香港财务报告准则下收购价与收购生效日被收购公司资产</w:t>
      </w:r>
      <w:r>
        <w:rPr>
          <w:spacing w:val="-72"/>
          <w:w w:val="99"/>
        </w:rPr>
        <w:t> </w:t>
      </w:r>
      <w:r>
        <w:rPr>
          <w:spacing w:val="-72"/>
          <w:w w:val="99"/>
        </w:rPr>
      </w:r>
      <w:r>
        <w:rPr>
          <w:spacing w:val="-1"/>
        </w:rPr>
        <w:t>及负债的公允价值之间的差额确认为商誉记入资产且不进行摊销，而是每年或当有减值迹象</w:t>
      </w:r>
      <w:r>
        <w:rPr>
          <w:w w:val="99"/>
        </w:rPr>
        <w:t> </w:t>
      </w:r>
      <w:r>
        <w:rPr/>
        <w:t>时进行减值测试。</w:t>
      </w:r>
    </w:p>
    <w:p>
      <w:pPr>
        <w:spacing w:line="240" w:lineRule="auto" w:before="1"/>
        <w:rPr>
          <w:rFonts w:ascii="宋体" w:hAnsi="宋体" w:cs="宋体" w:eastAsia="宋体" w:hint="default"/>
          <w:sz w:val="20"/>
          <w:szCs w:val="20"/>
        </w:rPr>
      </w:pPr>
    </w:p>
    <w:p>
      <w:pPr>
        <w:pStyle w:val="BodyText"/>
        <w:spacing w:line="230" w:lineRule="auto"/>
        <w:ind w:left="970" w:right="107"/>
        <w:jc w:val="both"/>
      </w:pPr>
      <w:r>
        <w:rPr/>
        <w:t>除收购价外，本集团支付与上述收购直接相关的其他费用分别约人民币 </w:t>
      </w:r>
      <w:r>
        <w:rPr>
          <w:rFonts w:ascii="Arial" w:hAnsi="Arial" w:cs="Arial" w:eastAsia="Arial" w:hint="default"/>
        </w:rPr>
        <w:t>1.09 </w:t>
      </w:r>
      <w:r>
        <w:rPr/>
        <w:t>亿元和</w:t>
      </w:r>
      <w:r>
        <w:rPr>
          <w:spacing w:val="-42"/>
        </w:rPr>
        <w:t> </w:t>
      </w:r>
      <w:r>
        <w:rPr>
          <w:rFonts w:ascii="Arial" w:hAnsi="Arial" w:cs="Arial" w:eastAsia="Arial" w:hint="default"/>
        </w:rPr>
        <w:t>4,938</w:t>
      </w:r>
      <w:r>
        <w:rPr>
          <w:rFonts w:ascii="Arial" w:hAnsi="Arial" w:cs="Arial" w:eastAsia="Arial" w:hint="default"/>
          <w:w w:val="99"/>
        </w:rPr>
        <w:t> </w:t>
      </w:r>
      <w:r>
        <w:rPr>
          <w:spacing w:val="-1"/>
        </w:rPr>
        <w:t>万元。在中国会计准则下，同一控制下合并发生的交易费用作为期间费用，于发生之时计入</w:t>
      </w:r>
      <w:r>
        <w:rPr>
          <w:w w:val="99"/>
        </w:rPr>
        <w:t> </w:t>
      </w:r>
      <w:r>
        <w:rPr>
          <w:spacing w:val="-3"/>
        </w:rPr>
        <w:t>损益。于国际财务报告准则</w:t>
      </w:r>
      <w:r>
        <w:rPr>
          <w:rFonts w:ascii="Arial" w:hAnsi="Arial" w:cs="Arial" w:eastAsia="Arial" w:hint="default"/>
          <w:spacing w:val="-3"/>
        </w:rPr>
        <w:t>/</w:t>
      </w:r>
      <w:r>
        <w:rPr>
          <w:spacing w:val="-3"/>
        </w:rPr>
        <w:t>香港财务报告准则下，该等费用作为收购成本的一部分，随同收</w:t>
      </w:r>
      <w:r>
        <w:rPr>
          <w:spacing w:val="-91"/>
        </w:rPr>
        <w:t> </w:t>
      </w:r>
      <w:r>
        <w:rPr>
          <w:spacing w:val="-91"/>
        </w:rPr>
      </w:r>
      <w:r>
        <w:rPr/>
        <w:t>购成本一并予以资本化并于合并时计入商誉。</w:t>
      </w:r>
    </w:p>
    <w:p>
      <w:pPr>
        <w:spacing w:line="240" w:lineRule="auto" w:before="8"/>
        <w:rPr>
          <w:rFonts w:ascii="宋体" w:hAnsi="宋体" w:cs="宋体" w:eastAsia="宋体" w:hint="default"/>
          <w:sz w:val="21"/>
          <w:szCs w:val="21"/>
        </w:rPr>
      </w:pPr>
    </w:p>
    <w:p>
      <w:pPr>
        <w:pStyle w:val="BodyText"/>
        <w:spacing w:line="284" w:lineRule="exact"/>
        <w:ind w:left="970" w:right="110"/>
        <w:jc w:val="both"/>
      </w:pPr>
      <w:r>
        <w:rPr/>
        <w:t>联通红筹公司在</w:t>
      </w:r>
      <w:r>
        <w:rPr>
          <w:spacing w:val="-37"/>
        </w:rPr>
        <w:t> </w:t>
      </w:r>
      <w:r>
        <w:rPr>
          <w:rFonts w:ascii="Arial" w:hAnsi="Arial" w:cs="Arial" w:eastAsia="Arial" w:hint="default"/>
        </w:rPr>
        <w:t>2008</w:t>
      </w:r>
      <w:r>
        <w:rPr>
          <w:rFonts w:ascii="Arial" w:hAnsi="Arial" w:cs="Arial" w:eastAsia="Arial" w:hint="default"/>
          <w:spacing w:val="14"/>
        </w:rPr>
        <w:t> </w:t>
      </w:r>
      <w:r>
        <w:rPr/>
        <w:t>年出售</w:t>
      </w:r>
      <w:r>
        <w:rPr>
          <w:spacing w:val="-36"/>
        </w:rPr>
        <w:t> </w:t>
      </w:r>
      <w:r>
        <w:rPr>
          <w:rFonts w:ascii="Arial" w:hAnsi="Arial" w:cs="Arial" w:eastAsia="Arial" w:hint="default"/>
        </w:rPr>
        <w:t>CDMA</w:t>
      </w:r>
      <w:r>
        <w:rPr>
          <w:rFonts w:ascii="Arial" w:hAnsi="Arial" w:cs="Arial" w:eastAsia="Arial" w:hint="default"/>
          <w:spacing w:val="13"/>
        </w:rPr>
        <w:t> </w:t>
      </w:r>
      <w:r>
        <w:rPr/>
        <w:t>业务时，亦将在国际财务报告准则</w:t>
      </w:r>
      <w:r>
        <w:rPr>
          <w:rFonts w:ascii="Arial" w:hAnsi="Arial" w:cs="Arial" w:eastAsia="Arial" w:hint="default"/>
        </w:rPr>
        <w:t>/</w:t>
      </w:r>
      <w:r>
        <w:rPr/>
        <w:t>香港财务报告准则</w:t>
      </w:r>
      <w:r>
        <w:rPr>
          <w:w w:val="99"/>
        </w:rPr>
        <w:t> </w:t>
      </w:r>
      <w:r>
        <w:rPr/>
        <w:t>下与</w:t>
      </w:r>
      <w:r>
        <w:rPr>
          <w:spacing w:val="-57"/>
        </w:rPr>
        <w:t> </w:t>
      </w:r>
      <w:r>
        <w:rPr>
          <w:rFonts w:ascii="Arial" w:hAnsi="Arial" w:cs="Arial" w:eastAsia="Arial" w:hint="default"/>
        </w:rPr>
        <w:t>CDMA</w:t>
      </w:r>
      <w:r>
        <w:rPr>
          <w:rFonts w:ascii="Arial" w:hAnsi="Arial" w:cs="Arial" w:eastAsia="Arial" w:hint="default"/>
          <w:spacing w:val="-7"/>
        </w:rPr>
        <w:t> </w:t>
      </w:r>
      <w:r>
        <w:rPr/>
        <w:t>业务相关的商誉约人民币</w:t>
      </w:r>
      <w:r>
        <w:rPr>
          <w:spacing w:val="-57"/>
        </w:rPr>
        <w:t> </w:t>
      </w:r>
      <w:r>
        <w:rPr>
          <w:rFonts w:ascii="Arial" w:hAnsi="Arial" w:cs="Arial" w:eastAsia="Arial" w:hint="default"/>
        </w:rPr>
        <w:t>3.73</w:t>
      </w:r>
      <w:r>
        <w:rPr>
          <w:rFonts w:ascii="Arial" w:hAnsi="Arial" w:cs="Arial" w:eastAsia="Arial" w:hint="default"/>
          <w:spacing w:val="-8"/>
        </w:rPr>
        <w:t> </w:t>
      </w:r>
      <w:r>
        <w:rPr/>
        <w:t>亿元一并处置，故产生差异。</w:t>
      </w:r>
    </w:p>
    <w:p>
      <w:pPr>
        <w:spacing w:after="0" w:line="284" w:lineRule="exact"/>
        <w:jc w:val="both"/>
        <w:sectPr>
          <w:headerReference w:type="default" r:id="rId151"/>
          <w:pgSz w:w="11910" w:h="16840"/>
          <w:pgMar w:header="1330" w:footer="752" w:top="2740" w:bottom="940" w:left="1280" w:right="780"/>
        </w:sectPr>
      </w:pPr>
    </w:p>
    <w:p>
      <w:pPr>
        <w:spacing w:line="240" w:lineRule="auto" w:before="8"/>
        <w:rPr>
          <w:rFonts w:ascii="宋体" w:hAnsi="宋体" w:cs="宋体" w:eastAsia="宋体" w:hint="default"/>
          <w:sz w:val="12"/>
          <w:szCs w:val="12"/>
        </w:rPr>
      </w:pPr>
    </w:p>
    <w:p>
      <w:pPr>
        <w:pStyle w:val="BodyText"/>
        <w:spacing w:line="240" w:lineRule="auto" w:before="31"/>
        <w:ind w:left="584" w:right="99"/>
        <w:jc w:val="left"/>
      </w:pPr>
      <w:r>
        <w:rPr/>
        <w:t>财务报表差异调节表项目注释说明（续）</w:t>
      </w:r>
    </w:p>
    <w:p>
      <w:pPr>
        <w:pStyle w:val="BodyText"/>
        <w:spacing w:line="240" w:lineRule="auto" w:before="197"/>
        <w:ind w:left="569" w:right="99"/>
        <w:jc w:val="left"/>
      </w:pPr>
      <w:r>
        <w:rPr>
          <w:rFonts w:ascii="Arial" w:hAnsi="Arial" w:cs="Arial" w:eastAsia="Arial" w:hint="default"/>
        </w:rPr>
        <w:t>(4)</w:t>
      </w:r>
      <w:r>
        <w:rPr>
          <w:rFonts w:ascii="Arial" w:hAnsi="Arial" w:cs="Arial" w:eastAsia="Arial" w:hint="default"/>
          <w:spacing w:val="60"/>
        </w:rPr>
        <w:t> </w:t>
      </w:r>
      <w:r>
        <w:rPr/>
        <w:t>一次性确认中中外协议的损失</w:t>
      </w:r>
    </w:p>
    <w:p>
      <w:pPr>
        <w:spacing w:line="240" w:lineRule="auto" w:before="1"/>
        <w:rPr>
          <w:rFonts w:ascii="宋体" w:hAnsi="宋体" w:cs="宋体" w:eastAsia="宋体" w:hint="default"/>
          <w:sz w:val="16"/>
          <w:szCs w:val="16"/>
        </w:rPr>
      </w:pPr>
    </w:p>
    <w:p>
      <w:pPr>
        <w:pStyle w:val="BodyText"/>
        <w:spacing w:line="286" w:lineRule="exact"/>
        <w:ind w:left="990" w:right="99" w:hanging="1"/>
        <w:jc w:val="left"/>
      </w:pPr>
      <w:r>
        <w:rPr>
          <w:spacing w:val="-4"/>
        </w:rPr>
        <w:t>在中国会计准则下，根据财政部的有关规定，联通运营公司清理中中外安排所支付的补偿金，</w:t>
      </w:r>
      <w:r>
        <w:rPr>
          <w:spacing w:val="-96"/>
        </w:rPr>
        <w:t> </w:t>
      </w:r>
      <w:r>
        <w:rPr>
          <w:spacing w:val="-96"/>
        </w:rPr>
      </w:r>
      <w:r>
        <w:rPr/>
        <w:t>计入长期待摊费用，分</w:t>
      </w:r>
      <w:r>
        <w:rPr>
          <w:spacing w:val="-82"/>
        </w:rPr>
        <w:t> </w:t>
      </w:r>
      <w:r>
        <w:rPr>
          <w:rFonts w:ascii="Arial" w:hAnsi="Arial" w:cs="Arial" w:eastAsia="Arial" w:hint="default"/>
        </w:rPr>
        <w:t>7</w:t>
      </w:r>
      <w:r>
        <w:rPr>
          <w:rFonts w:ascii="Arial" w:hAnsi="Arial" w:cs="Arial" w:eastAsia="Arial" w:hint="default"/>
          <w:spacing w:val="-33"/>
        </w:rPr>
        <w:t> </w:t>
      </w:r>
      <w:r>
        <w:rPr/>
        <w:t>年按直线法平均摊销，并在财务费用中列支。在国际财务报告准则</w:t>
      </w:r>
    </w:p>
    <w:p>
      <w:pPr>
        <w:pStyle w:val="BodyText"/>
        <w:spacing w:line="265" w:lineRule="exact"/>
        <w:ind w:left="990" w:right="0"/>
        <w:jc w:val="both"/>
      </w:pPr>
      <w:r>
        <w:rPr>
          <w:rFonts w:ascii="Arial" w:hAnsi="Arial" w:cs="Arial" w:eastAsia="Arial" w:hint="default"/>
          <w:spacing w:val="-3"/>
        </w:rPr>
        <w:t>/</w:t>
      </w:r>
      <w:r>
        <w:rPr>
          <w:spacing w:val="-3"/>
        </w:rPr>
        <w:t>香港财务报告准则下，此项终止中中外安排造成的损失在终止协议生效日，于利润表一次性</w:t>
      </w:r>
    </w:p>
    <w:p>
      <w:pPr>
        <w:pStyle w:val="BodyText"/>
        <w:spacing w:line="279" w:lineRule="exact"/>
        <w:ind w:left="990" w:right="0"/>
        <w:jc w:val="both"/>
      </w:pPr>
      <w:r>
        <w:rPr/>
        <w:t>确认为损失。</w:t>
      </w:r>
    </w:p>
    <w:p>
      <w:pPr>
        <w:spacing w:line="240" w:lineRule="auto" w:before="2"/>
        <w:rPr>
          <w:rFonts w:ascii="宋体" w:hAnsi="宋体" w:cs="宋体" w:eastAsia="宋体" w:hint="default"/>
          <w:sz w:val="15"/>
          <w:szCs w:val="15"/>
        </w:rPr>
      </w:pPr>
    </w:p>
    <w:p>
      <w:pPr>
        <w:pStyle w:val="BodyText"/>
        <w:spacing w:line="294" w:lineRule="exact"/>
        <w:ind w:left="990" w:right="0"/>
        <w:jc w:val="both"/>
      </w:pPr>
      <w:r>
        <w:rPr>
          <w:w w:val="99"/>
        </w:rPr>
        <w:t>上述一</w:t>
      </w:r>
      <w:r>
        <w:rPr>
          <w:spacing w:val="1"/>
          <w:w w:val="99"/>
        </w:rPr>
        <w:t>次性</w:t>
      </w:r>
      <w:r>
        <w:rPr>
          <w:w w:val="99"/>
        </w:rPr>
        <w:t>确认的</w:t>
      </w:r>
      <w:r>
        <w:rPr>
          <w:spacing w:val="1"/>
          <w:w w:val="99"/>
        </w:rPr>
        <w:t>中中</w:t>
      </w:r>
      <w:r>
        <w:rPr>
          <w:w w:val="99"/>
        </w:rPr>
        <w:t>外协议</w:t>
      </w:r>
      <w:r>
        <w:rPr>
          <w:spacing w:val="1"/>
          <w:w w:val="99"/>
        </w:rPr>
        <w:t>损失</w:t>
      </w:r>
      <w:r>
        <w:rPr>
          <w:w w:val="99"/>
        </w:rPr>
        <w:t>的会计</w:t>
      </w:r>
      <w:r>
        <w:rPr>
          <w:spacing w:val="1"/>
          <w:w w:val="99"/>
        </w:rPr>
        <w:t>准则</w:t>
      </w:r>
      <w:r>
        <w:rPr>
          <w:w w:val="99"/>
        </w:rPr>
        <w:t>差异亦</w:t>
      </w:r>
      <w:r>
        <w:rPr>
          <w:spacing w:val="1"/>
          <w:w w:val="99"/>
        </w:rPr>
        <w:t>存在</w:t>
      </w:r>
      <w:r>
        <w:rPr>
          <w:w w:val="99"/>
        </w:rPr>
        <w:t>于本集</w:t>
      </w:r>
      <w:r>
        <w:rPr>
          <w:spacing w:val="1"/>
          <w:w w:val="99"/>
        </w:rPr>
        <w:t>团</w:t>
      </w:r>
      <w:r>
        <w:rPr>
          <w:w w:val="99"/>
        </w:rPr>
        <w:t>于</w:t>
      </w:r>
      <w:r>
        <w:rPr>
          <w:spacing w:val="-76"/>
        </w:rPr>
        <w:t> </w:t>
      </w:r>
      <w:r>
        <w:rPr>
          <w:rFonts w:ascii="Arial" w:hAnsi="Arial" w:cs="Arial" w:eastAsia="Arial" w:hint="default"/>
          <w:w w:val="99"/>
        </w:rPr>
        <w:t>2002</w:t>
      </w:r>
      <w:r>
        <w:rPr>
          <w:rFonts w:ascii="Arial" w:hAnsi="Arial" w:cs="Arial" w:eastAsia="Arial" w:hint="default"/>
          <w:spacing w:val="-29"/>
        </w:rPr>
        <w:t> </w:t>
      </w:r>
      <w:r>
        <w:rPr>
          <w:w w:val="99"/>
        </w:rPr>
        <w:t>年</w:t>
      </w:r>
      <w:r>
        <w:rPr>
          <w:spacing w:val="-78"/>
        </w:rPr>
        <w:t> </w:t>
      </w:r>
      <w:r>
        <w:rPr>
          <w:rFonts w:ascii="Arial" w:hAnsi="Arial" w:cs="Arial" w:eastAsia="Arial" w:hint="default"/>
          <w:w w:val="99"/>
        </w:rPr>
        <w:t>12</w:t>
      </w:r>
      <w:r>
        <w:rPr>
          <w:rFonts w:ascii="Arial" w:hAnsi="Arial" w:cs="Arial" w:eastAsia="Arial" w:hint="default"/>
          <w:spacing w:val="-29"/>
        </w:rPr>
        <w:t> </w:t>
      </w:r>
      <w:r>
        <w:rPr>
          <w:w w:val="99"/>
        </w:rPr>
        <w:t>月</w:t>
      </w:r>
      <w:r>
        <w:rPr>
          <w:spacing w:val="-78"/>
        </w:rPr>
        <w:t> </w:t>
      </w:r>
      <w:r>
        <w:rPr>
          <w:rFonts w:ascii="Arial" w:hAnsi="Arial" w:cs="Arial" w:eastAsia="Arial" w:hint="default"/>
          <w:w w:val="99"/>
        </w:rPr>
        <w:t>31</w:t>
      </w:r>
      <w:r>
        <w:rPr>
          <w:rFonts w:ascii="Arial" w:hAnsi="Arial" w:cs="Arial" w:eastAsia="Arial" w:hint="default"/>
          <w:spacing w:val="-29"/>
        </w:rPr>
        <w:t> </w:t>
      </w:r>
      <w:r>
        <w:rPr>
          <w:spacing w:val="-111"/>
          <w:w w:val="99"/>
        </w:rPr>
        <w:t>日</w:t>
      </w:r>
      <w:r>
        <w:rPr>
          <w:w w:val="99"/>
        </w:rPr>
        <w:t>（收</w:t>
      </w:r>
      <w:r>
        <w:rPr/>
      </w:r>
    </w:p>
    <w:p>
      <w:pPr>
        <w:pStyle w:val="BodyText"/>
        <w:spacing w:line="230" w:lineRule="auto"/>
        <w:ind w:left="989" w:right="209"/>
        <w:jc w:val="both"/>
      </w:pPr>
      <w:r>
        <w:rPr>
          <w:spacing w:val="-3"/>
        </w:rPr>
        <w:t>购日）和</w:t>
      </w:r>
      <w:r>
        <w:rPr>
          <w:spacing w:val="-59"/>
        </w:rPr>
        <w:t> </w:t>
      </w:r>
      <w:r>
        <w:rPr>
          <w:rFonts w:ascii="Arial" w:hAnsi="Arial" w:cs="Arial" w:eastAsia="Arial" w:hint="default"/>
        </w:rPr>
        <w:t>2003</w:t>
      </w:r>
      <w:r>
        <w:rPr>
          <w:rFonts w:ascii="Arial" w:hAnsi="Arial" w:cs="Arial" w:eastAsia="Arial" w:hint="default"/>
          <w:spacing w:val="-10"/>
        </w:rPr>
        <w:t> </w:t>
      </w:r>
      <w:r>
        <w:rPr/>
        <w:t>年</w:t>
      </w:r>
      <w:r>
        <w:rPr>
          <w:spacing w:val="-59"/>
        </w:rPr>
        <w:t> </w:t>
      </w:r>
      <w:r>
        <w:rPr>
          <w:rFonts w:ascii="Arial" w:hAnsi="Arial" w:cs="Arial" w:eastAsia="Arial" w:hint="default"/>
        </w:rPr>
        <w:t>12</w:t>
      </w:r>
      <w:r>
        <w:rPr>
          <w:rFonts w:ascii="Arial" w:hAnsi="Arial" w:cs="Arial" w:eastAsia="Arial" w:hint="default"/>
          <w:spacing w:val="-10"/>
        </w:rPr>
        <w:t> </w:t>
      </w:r>
      <w:r>
        <w:rPr/>
        <w:t>月</w:t>
      </w:r>
      <w:r>
        <w:rPr>
          <w:spacing w:val="-59"/>
        </w:rPr>
        <w:t> </w:t>
      </w:r>
      <w:r>
        <w:rPr>
          <w:rFonts w:ascii="Arial" w:hAnsi="Arial" w:cs="Arial" w:eastAsia="Arial" w:hint="default"/>
        </w:rPr>
        <w:t>31</w:t>
      </w:r>
      <w:r>
        <w:rPr>
          <w:rFonts w:ascii="Arial" w:hAnsi="Arial" w:cs="Arial" w:eastAsia="Arial" w:hint="default"/>
          <w:spacing w:val="-10"/>
        </w:rPr>
        <w:t> </w:t>
      </w:r>
      <w:r>
        <w:rPr/>
        <w:t>日（收购日）收购的联通新世纪和联通新世界的中国会计准则和</w:t>
      </w:r>
      <w:r>
        <w:rPr>
          <w:w w:val="99"/>
        </w:rPr>
        <w:t> </w:t>
      </w:r>
      <w:r>
        <w:rPr>
          <w:spacing w:val="-3"/>
          <w:w w:val="99"/>
        </w:rPr>
        <w:t>国际财务报告准则</w:t>
      </w:r>
      <w:r>
        <w:rPr>
          <w:rFonts w:ascii="Arial" w:hAnsi="Arial" w:cs="Arial" w:eastAsia="Arial" w:hint="default"/>
          <w:spacing w:val="-3"/>
          <w:w w:val="99"/>
        </w:rPr>
        <w:t>/</w:t>
      </w:r>
      <w:r>
        <w:rPr>
          <w:spacing w:val="-3"/>
          <w:w w:val="99"/>
        </w:rPr>
        <w:t>香港财务报告准则的净资产之间，并于收购日被体现为因收购交易产生的</w:t>
      </w:r>
      <w:r>
        <w:rPr>
          <w:spacing w:val="-71"/>
          <w:w w:val="99"/>
        </w:rPr>
        <w:t> </w:t>
      </w:r>
      <w:r>
        <w:rPr>
          <w:spacing w:val="-71"/>
          <w:w w:val="99"/>
        </w:rPr>
      </w:r>
      <w:r>
        <w:rPr>
          <w:spacing w:val="-3"/>
          <w:w w:val="99"/>
        </w:rPr>
        <w:t>中国会计准则下的长期股权投资差额和国际财务报告准则</w:t>
      </w:r>
      <w:r>
        <w:rPr>
          <w:rFonts w:ascii="Arial" w:hAnsi="Arial" w:cs="Arial" w:eastAsia="Arial" w:hint="default"/>
          <w:spacing w:val="-3"/>
          <w:w w:val="99"/>
        </w:rPr>
        <w:t>/</w:t>
      </w:r>
      <w:r>
        <w:rPr>
          <w:spacing w:val="-3"/>
          <w:w w:val="99"/>
        </w:rPr>
        <w:t>香港财务报告准则下的商誉。收购</w:t>
      </w:r>
      <w:r>
        <w:rPr>
          <w:spacing w:val="-74"/>
          <w:w w:val="99"/>
        </w:rPr>
        <w:t> </w:t>
      </w:r>
      <w:r>
        <w:rPr>
          <w:spacing w:val="-74"/>
          <w:w w:val="99"/>
        </w:rPr>
      </w:r>
      <w:r>
        <w:rPr>
          <w:spacing w:val="-1"/>
        </w:rPr>
        <w:t>日后，中国会计准则下尚未摊销完毕的终止中中外安排造成的损失继续摊销，并计入本集团</w:t>
      </w:r>
      <w:r>
        <w:rPr>
          <w:w w:val="99"/>
        </w:rPr>
        <w:t> </w:t>
      </w:r>
      <w:r>
        <w:rPr>
          <w:spacing w:val="-1"/>
        </w:rPr>
        <w:t>的利润表内而减少本集团的净资产，所以导致本集团的中国会计准则下的净资产小于国际财</w:t>
      </w:r>
      <w:r>
        <w:rPr>
          <w:w w:val="99"/>
        </w:rPr>
        <w:t> </w:t>
      </w:r>
      <w:r>
        <w:rPr/>
        <w:t>务报告准则</w:t>
      </w:r>
      <w:r>
        <w:rPr>
          <w:rFonts w:ascii="Arial" w:hAnsi="Arial" w:cs="Arial" w:eastAsia="Arial" w:hint="default"/>
        </w:rPr>
        <w:t>/</w:t>
      </w:r>
      <w:r>
        <w:rPr/>
        <w:t>香港财务报告准则下的净资产。于</w:t>
      </w:r>
      <w:r>
        <w:rPr>
          <w:spacing w:val="-50"/>
        </w:rPr>
        <w:t> </w:t>
      </w:r>
      <w:r>
        <w:rPr>
          <w:rFonts w:ascii="Arial" w:hAnsi="Arial" w:cs="Arial" w:eastAsia="Arial" w:hint="default"/>
        </w:rPr>
        <w:t>2007</w:t>
      </w:r>
      <w:r>
        <w:rPr>
          <w:rFonts w:ascii="Arial" w:hAnsi="Arial" w:cs="Arial" w:eastAsia="Arial" w:hint="default"/>
          <w:spacing w:val="-2"/>
        </w:rPr>
        <w:t> </w:t>
      </w:r>
      <w:r>
        <w:rPr/>
        <w:t>年</w:t>
      </w:r>
      <w:r>
        <w:rPr>
          <w:spacing w:val="-51"/>
        </w:rPr>
        <w:t> </w:t>
      </w:r>
      <w:r>
        <w:rPr>
          <w:rFonts w:ascii="Arial" w:hAnsi="Arial" w:cs="Arial" w:eastAsia="Arial" w:hint="default"/>
        </w:rPr>
        <w:t>6</w:t>
      </w:r>
      <w:r>
        <w:rPr>
          <w:rFonts w:ascii="Arial" w:hAnsi="Arial" w:cs="Arial" w:eastAsia="Arial" w:hint="default"/>
          <w:spacing w:val="-3"/>
        </w:rPr>
        <w:t> </w:t>
      </w:r>
      <w:r>
        <w:rPr/>
        <w:t>月</w:t>
      </w:r>
      <w:r>
        <w:rPr>
          <w:spacing w:val="-51"/>
        </w:rPr>
        <w:t> </w:t>
      </w:r>
      <w:r>
        <w:rPr>
          <w:rFonts w:ascii="Arial" w:hAnsi="Arial" w:cs="Arial" w:eastAsia="Arial" w:hint="default"/>
        </w:rPr>
        <w:t>30</w:t>
      </w:r>
      <w:r>
        <w:rPr>
          <w:rFonts w:ascii="Arial" w:hAnsi="Arial" w:cs="Arial" w:eastAsia="Arial" w:hint="default"/>
          <w:spacing w:val="-2"/>
        </w:rPr>
        <w:t> </w:t>
      </w:r>
      <w:r>
        <w:rPr/>
        <w:t>日该等中中外协议的损失已</w:t>
      </w:r>
      <w:r>
        <w:rPr>
          <w:w w:val="99"/>
        </w:rPr>
        <w:t> </w:t>
      </w:r>
      <w:r>
        <w:rPr/>
        <w:t>摊销完毕，故本年度不存在净利润的差异。</w:t>
      </w:r>
    </w:p>
    <w:p>
      <w:pPr>
        <w:spacing w:line="240" w:lineRule="auto" w:before="7"/>
        <w:rPr>
          <w:rFonts w:ascii="宋体" w:hAnsi="宋体" w:cs="宋体" w:eastAsia="宋体" w:hint="default"/>
          <w:sz w:val="17"/>
          <w:szCs w:val="17"/>
        </w:rPr>
      </w:pPr>
    </w:p>
    <w:p>
      <w:pPr>
        <w:pStyle w:val="BodyText"/>
        <w:spacing w:line="240" w:lineRule="auto"/>
        <w:ind w:left="570" w:right="99"/>
        <w:jc w:val="left"/>
      </w:pPr>
      <w:r>
        <w:rPr>
          <w:rFonts w:ascii="Arial" w:hAnsi="Arial" w:cs="Arial" w:eastAsia="Arial" w:hint="default"/>
        </w:rPr>
        <w:t>(5) </w:t>
      </w:r>
      <w:r>
        <w:rPr>
          <w:rFonts w:ascii="Arial" w:hAnsi="Arial" w:cs="Arial" w:eastAsia="Arial" w:hint="default"/>
          <w:spacing w:val="27"/>
        </w:rPr>
        <w:t> </w:t>
      </w:r>
      <w:r>
        <w:rPr/>
        <w:t>因变更折旧年限重新计提固定资产折旧</w:t>
      </w:r>
    </w:p>
    <w:p>
      <w:pPr>
        <w:pStyle w:val="BodyText"/>
        <w:spacing w:line="228" w:lineRule="auto" w:before="155"/>
        <w:ind w:left="989" w:right="209"/>
        <w:jc w:val="both"/>
      </w:pPr>
      <w:r>
        <w:rPr>
          <w:spacing w:val="-1"/>
        </w:rPr>
        <w:t>本集团所属联通运营公司按中国会计准则编制的财务报表中，根据有关政府批准变更某些固</w:t>
      </w:r>
      <w:r>
        <w:rPr>
          <w:w w:val="99"/>
        </w:rPr>
        <w:t> </w:t>
      </w:r>
      <w:r>
        <w:rPr/>
        <w:t>定资产的预计使用年限（由</w:t>
      </w:r>
      <w:r>
        <w:rPr>
          <w:spacing w:val="-57"/>
        </w:rPr>
        <w:t> </w:t>
      </w:r>
      <w:r>
        <w:rPr>
          <w:rFonts w:ascii="Arial" w:hAnsi="Arial" w:cs="Arial" w:eastAsia="Arial" w:hint="default"/>
        </w:rPr>
        <w:t>4</w:t>
      </w:r>
      <w:r>
        <w:rPr>
          <w:rFonts w:ascii="Arial" w:hAnsi="Arial" w:cs="Arial" w:eastAsia="Arial" w:hint="default"/>
          <w:spacing w:val="-8"/>
        </w:rPr>
        <w:t> </w:t>
      </w:r>
      <w:r>
        <w:rPr/>
        <w:t>至</w:t>
      </w:r>
      <w:r>
        <w:rPr>
          <w:spacing w:val="-57"/>
        </w:rPr>
        <w:t> </w:t>
      </w:r>
      <w:r>
        <w:rPr>
          <w:rFonts w:ascii="Arial" w:hAnsi="Arial" w:cs="Arial" w:eastAsia="Arial" w:hint="default"/>
        </w:rPr>
        <w:t>6</w:t>
      </w:r>
      <w:r>
        <w:rPr>
          <w:rFonts w:ascii="Arial" w:hAnsi="Arial" w:cs="Arial" w:eastAsia="Arial" w:hint="default"/>
          <w:spacing w:val="-7"/>
        </w:rPr>
        <w:t> </w:t>
      </w:r>
      <w:r>
        <w:rPr/>
        <w:t>年变更为</w:t>
      </w:r>
      <w:r>
        <w:rPr>
          <w:spacing w:val="-57"/>
        </w:rPr>
        <w:t> </w:t>
      </w:r>
      <w:r>
        <w:rPr>
          <w:rFonts w:ascii="Arial" w:hAnsi="Arial" w:cs="Arial" w:eastAsia="Arial" w:hint="default"/>
        </w:rPr>
        <w:t>7</w:t>
      </w:r>
      <w:r>
        <w:rPr>
          <w:rFonts w:ascii="Arial" w:hAnsi="Arial" w:cs="Arial" w:eastAsia="Arial" w:hint="default"/>
          <w:spacing w:val="-7"/>
        </w:rPr>
        <w:t> </w:t>
      </w:r>
      <w:r>
        <w:rPr>
          <w:spacing w:val="-7"/>
        </w:rPr>
        <w:t>年），从</w:t>
      </w:r>
      <w:r>
        <w:rPr>
          <w:spacing w:val="-57"/>
        </w:rPr>
        <w:t> </w:t>
      </w:r>
      <w:r>
        <w:rPr>
          <w:rFonts w:ascii="Arial" w:hAnsi="Arial" w:cs="Arial" w:eastAsia="Arial" w:hint="default"/>
        </w:rPr>
        <w:t>2000</w:t>
      </w:r>
      <w:r>
        <w:rPr>
          <w:rFonts w:ascii="Arial" w:hAnsi="Arial" w:cs="Arial" w:eastAsia="Arial" w:hint="default"/>
          <w:spacing w:val="-8"/>
        </w:rPr>
        <w:t> </w:t>
      </w:r>
      <w:r>
        <w:rPr/>
        <w:t>年</w:t>
      </w:r>
      <w:r>
        <w:rPr>
          <w:spacing w:val="-57"/>
        </w:rPr>
        <w:t> </w:t>
      </w:r>
      <w:r>
        <w:rPr>
          <w:rFonts w:ascii="Arial" w:hAnsi="Arial" w:cs="Arial" w:eastAsia="Arial" w:hint="default"/>
        </w:rPr>
        <w:t>1</w:t>
      </w:r>
      <w:r>
        <w:rPr>
          <w:rFonts w:ascii="Arial" w:hAnsi="Arial" w:cs="Arial" w:eastAsia="Arial" w:hint="default"/>
          <w:spacing w:val="-8"/>
        </w:rPr>
        <w:t> </w:t>
      </w:r>
      <w:r>
        <w:rPr/>
        <w:t>月</w:t>
      </w:r>
      <w:r>
        <w:rPr>
          <w:spacing w:val="-57"/>
        </w:rPr>
        <w:t> </w:t>
      </w:r>
      <w:r>
        <w:rPr>
          <w:rFonts w:ascii="Arial" w:hAnsi="Arial" w:cs="Arial" w:eastAsia="Arial" w:hint="default"/>
        </w:rPr>
        <w:t>1</w:t>
      </w:r>
      <w:r>
        <w:rPr>
          <w:rFonts w:ascii="Arial" w:hAnsi="Arial" w:cs="Arial" w:eastAsia="Arial" w:hint="default"/>
          <w:spacing w:val="-8"/>
        </w:rPr>
        <w:t> </w:t>
      </w:r>
      <w:r>
        <w:rPr/>
        <w:t>日起采用未来适用法</w:t>
      </w:r>
      <w:r>
        <w:rPr>
          <w:w w:val="99"/>
        </w:rPr>
        <w:t> </w:t>
      </w:r>
      <w:r>
        <w:rPr>
          <w:spacing w:val="-3"/>
        </w:rPr>
        <w:t>予以调整。在国际财务报告准则</w:t>
      </w:r>
      <w:r>
        <w:rPr>
          <w:rFonts w:ascii="Arial" w:hAnsi="Arial" w:cs="Arial" w:eastAsia="Arial" w:hint="default"/>
          <w:spacing w:val="-3"/>
        </w:rPr>
        <w:t>/</w:t>
      </w:r>
      <w:r>
        <w:rPr>
          <w:spacing w:val="-3"/>
        </w:rPr>
        <w:t>香港财务报告准则下，该等固定资产自资产达到预定可使用</w:t>
      </w:r>
      <w:r>
        <w:rPr>
          <w:spacing w:val="-90"/>
        </w:rPr>
        <w:t> </w:t>
      </w:r>
      <w:r>
        <w:rPr>
          <w:spacing w:val="-90"/>
        </w:rPr>
      </w:r>
      <w:r>
        <w:rPr/>
        <w:t>状态时分</w:t>
      </w:r>
      <w:r>
        <w:rPr>
          <w:spacing w:val="-56"/>
        </w:rPr>
        <w:t> </w:t>
      </w:r>
      <w:r>
        <w:rPr>
          <w:rFonts w:ascii="Arial" w:hAnsi="Arial" w:cs="Arial" w:eastAsia="Arial" w:hint="default"/>
        </w:rPr>
        <w:t>7</w:t>
      </w:r>
      <w:r>
        <w:rPr>
          <w:rFonts w:ascii="Arial" w:hAnsi="Arial" w:cs="Arial" w:eastAsia="Arial" w:hint="default"/>
          <w:spacing w:val="-6"/>
        </w:rPr>
        <w:t> </w:t>
      </w:r>
      <w:r>
        <w:rPr>
          <w:spacing w:val="-6"/>
        </w:rPr>
        <w:t>年计提折旧。于</w:t>
      </w:r>
      <w:r>
        <w:rPr>
          <w:spacing w:val="-56"/>
        </w:rPr>
        <w:t> </w:t>
      </w:r>
      <w:r>
        <w:rPr>
          <w:rFonts w:ascii="Arial" w:hAnsi="Arial" w:cs="Arial" w:eastAsia="Arial" w:hint="default"/>
        </w:rPr>
        <w:t>2006</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日该等因变更折旧年限重新计提固定资产折旧</w:t>
      </w:r>
      <w:r>
        <w:rPr>
          <w:w w:val="99"/>
        </w:rPr>
        <w:t> </w:t>
      </w:r>
      <w:r>
        <w:rPr/>
        <w:t>的影响已结束，故无净利润的差异。</w:t>
      </w:r>
    </w:p>
    <w:p>
      <w:pPr>
        <w:spacing w:line="240" w:lineRule="auto" w:before="4"/>
        <w:rPr>
          <w:rFonts w:ascii="宋体" w:hAnsi="宋体" w:cs="宋体" w:eastAsia="宋体" w:hint="default"/>
          <w:sz w:val="15"/>
          <w:szCs w:val="15"/>
        </w:rPr>
      </w:pPr>
    </w:p>
    <w:p>
      <w:pPr>
        <w:pStyle w:val="BodyText"/>
        <w:spacing w:line="240" w:lineRule="auto"/>
        <w:ind w:left="122" w:right="99"/>
        <w:jc w:val="left"/>
        <w:rPr>
          <w:rFonts w:ascii="黑体" w:hAnsi="黑体" w:cs="黑体" w:eastAsia="黑体" w:hint="default"/>
        </w:rPr>
      </w:pPr>
      <w:r>
        <w:rPr>
          <w:rFonts w:ascii="黑体" w:hAnsi="黑体" w:cs="黑体" w:eastAsia="黑体" w:hint="default"/>
        </w:rPr>
        <w:t>三、计算净资产收益率及每股收益</w:t>
      </w:r>
    </w:p>
    <w:p>
      <w:pPr>
        <w:spacing w:line="240" w:lineRule="auto" w:before="11"/>
        <w:rPr>
          <w:rFonts w:ascii="黑体" w:hAnsi="黑体" w:cs="黑体" w:eastAsia="黑体" w:hint="default"/>
          <w:sz w:val="17"/>
          <w:szCs w:val="17"/>
        </w:rPr>
      </w:pPr>
    </w:p>
    <w:tbl>
      <w:tblPr>
        <w:tblW w:w="0" w:type="auto"/>
        <w:jc w:val="left"/>
        <w:tblInd w:w="469" w:type="dxa"/>
        <w:tblLayout w:type="fixed"/>
        <w:tblCellMar>
          <w:top w:w="0" w:type="dxa"/>
          <w:left w:w="0" w:type="dxa"/>
          <w:bottom w:w="0" w:type="dxa"/>
          <w:right w:w="0" w:type="dxa"/>
        </w:tblCellMar>
        <w:tblLook w:val="01E0"/>
      </w:tblPr>
      <w:tblGrid>
        <w:gridCol w:w="2279"/>
        <w:gridCol w:w="1147"/>
        <w:gridCol w:w="1176"/>
        <w:gridCol w:w="1087"/>
        <w:gridCol w:w="1133"/>
        <w:gridCol w:w="1118"/>
        <w:gridCol w:w="1074"/>
      </w:tblGrid>
      <w:tr>
        <w:trPr>
          <w:trHeight w:val="298" w:hRule="exact"/>
        </w:trPr>
        <w:tc>
          <w:tcPr>
            <w:tcW w:w="2279" w:type="dxa"/>
            <w:vMerge w:val="restart"/>
            <w:tcBorders>
              <w:top w:val="single" w:sz="4" w:space="0" w:color="000000"/>
              <w:left w:val="single" w:sz="4" w:space="0" w:color="000000"/>
              <w:right w:val="single" w:sz="6" w:space="0" w:color="000000"/>
            </w:tcBorders>
          </w:tcPr>
          <w:p>
            <w:pPr/>
          </w:p>
        </w:tc>
        <w:tc>
          <w:tcPr>
            <w:tcW w:w="2323" w:type="dxa"/>
            <w:gridSpan w:val="2"/>
            <w:vMerge w:val="restart"/>
            <w:tcBorders>
              <w:top w:val="single" w:sz="4" w:space="0" w:color="000000"/>
              <w:left w:val="single" w:sz="4" w:space="0" w:color="000000"/>
              <w:right w:val="single" w:sz="6" w:space="0" w:color="000000"/>
            </w:tcBorders>
          </w:tcPr>
          <w:p>
            <w:pPr>
              <w:pStyle w:val="TableParagraph"/>
              <w:spacing w:line="240" w:lineRule="auto" w:before="69"/>
              <w:ind w:left="156" w:right="0"/>
              <w:jc w:val="left"/>
              <w:rPr>
                <w:rFonts w:ascii="宋体" w:hAnsi="宋体" w:cs="宋体" w:eastAsia="宋体" w:hint="default"/>
                <w:sz w:val="20"/>
                <w:szCs w:val="20"/>
              </w:rPr>
            </w:pPr>
            <w:r>
              <w:rPr>
                <w:rFonts w:ascii="宋体" w:hAnsi="宋体" w:cs="宋体" w:eastAsia="宋体" w:hint="default"/>
                <w:sz w:val="20"/>
                <w:szCs w:val="20"/>
              </w:rPr>
              <w:t>加权平均净资产收益率</w:t>
            </w:r>
          </w:p>
        </w:tc>
        <w:tc>
          <w:tcPr>
            <w:tcW w:w="4412" w:type="dxa"/>
            <w:gridSpan w:val="4"/>
            <w:tcBorders>
              <w:top w:val="single" w:sz="4" w:space="0" w:color="000000"/>
              <w:left w:val="single" w:sz="4" w:space="0" w:color="000000"/>
              <w:bottom w:val="single" w:sz="6" w:space="0" w:color="000000"/>
              <w:right w:val="single" w:sz="4" w:space="0" w:color="000000"/>
            </w:tcBorders>
          </w:tcPr>
          <w:p>
            <w:pPr>
              <w:pStyle w:val="TableParagraph"/>
              <w:spacing w:line="256" w:lineRule="exact"/>
              <w:ind w:left="1" w:right="0"/>
              <w:jc w:val="center"/>
              <w:rPr>
                <w:rFonts w:ascii="宋体" w:hAnsi="宋体" w:cs="宋体" w:eastAsia="宋体" w:hint="default"/>
                <w:sz w:val="20"/>
                <w:szCs w:val="20"/>
              </w:rPr>
            </w:pPr>
            <w:r>
              <w:rPr>
                <w:rFonts w:ascii="宋体" w:hAnsi="宋体" w:cs="宋体" w:eastAsia="宋体" w:hint="default"/>
                <w:sz w:val="20"/>
                <w:szCs w:val="20"/>
              </w:rPr>
              <w:t>每股收益</w:t>
            </w:r>
          </w:p>
        </w:tc>
      </w:tr>
      <w:tr>
        <w:trPr>
          <w:trHeight w:val="64" w:hRule="exact"/>
        </w:trPr>
        <w:tc>
          <w:tcPr>
            <w:tcW w:w="2279" w:type="dxa"/>
            <w:vMerge/>
            <w:tcBorders>
              <w:left w:val="single" w:sz="4" w:space="0" w:color="000000"/>
              <w:right w:val="single" w:sz="6" w:space="0" w:color="000000"/>
            </w:tcBorders>
          </w:tcPr>
          <w:p>
            <w:pPr/>
          </w:p>
        </w:tc>
        <w:tc>
          <w:tcPr>
            <w:tcW w:w="2323" w:type="dxa"/>
            <w:gridSpan w:val="2"/>
            <w:vMerge/>
            <w:tcBorders>
              <w:left w:val="single" w:sz="4" w:space="0" w:color="000000"/>
              <w:bottom w:val="nil" w:sz="6" w:space="0" w:color="auto"/>
              <w:right w:val="single" w:sz="6" w:space="0" w:color="000000"/>
            </w:tcBorders>
          </w:tcPr>
          <w:p>
            <w:pPr/>
          </w:p>
        </w:tc>
        <w:tc>
          <w:tcPr>
            <w:tcW w:w="2220" w:type="dxa"/>
            <w:gridSpan w:val="2"/>
            <w:vMerge w:val="restart"/>
            <w:tcBorders>
              <w:top w:val="single" w:sz="6" w:space="0" w:color="000000"/>
              <w:left w:val="single" w:sz="6" w:space="0" w:color="000000"/>
              <w:right w:val="single" w:sz="6" w:space="0" w:color="000000"/>
            </w:tcBorders>
          </w:tcPr>
          <w:p>
            <w:pPr>
              <w:pStyle w:val="TableParagraph"/>
              <w:spacing w:line="240" w:lineRule="auto" w:before="9"/>
              <w:ind w:left="502" w:right="0"/>
              <w:jc w:val="left"/>
              <w:rPr>
                <w:rFonts w:ascii="宋体" w:hAnsi="宋体" w:cs="宋体" w:eastAsia="宋体" w:hint="default"/>
                <w:sz w:val="20"/>
                <w:szCs w:val="20"/>
              </w:rPr>
            </w:pPr>
            <w:r>
              <w:rPr>
                <w:rFonts w:ascii="宋体" w:hAnsi="宋体" w:cs="宋体" w:eastAsia="宋体" w:hint="default"/>
                <w:sz w:val="20"/>
                <w:szCs w:val="20"/>
              </w:rPr>
              <w:t>基本每股收益</w:t>
            </w:r>
          </w:p>
        </w:tc>
        <w:tc>
          <w:tcPr>
            <w:tcW w:w="2192" w:type="dxa"/>
            <w:gridSpan w:val="2"/>
            <w:vMerge w:val="restart"/>
            <w:tcBorders>
              <w:top w:val="single" w:sz="4" w:space="0" w:color="000000"/>
              <w:left w:val="single" w:sz="6" w:space="0" w:color="000000"/>
              <w:right w:val="single" w:sz="4" w:space="0" w:color="000000"/>
            </w:tcBorders>
          </w:tcPr>
          <w:p>
            <w:pPr>
              <w:pStyle w:val="TableParagraph"/>
              <w:spacing w:line="240" w:lineRule="auto" w:before="11"/>
              <w:ind w:left="488" w:right="0"/>
              <w:jc w:val="left"/>
              <w:rPr>
                <w:rFonts w:ascii="宋体" w:hAnsi="宋体" w:cs="宋体" w:eastAsia="宋体" w:hint="default"/>
                <w:sz w:val="20"/>
                <w:szCs w:val="20"/>
              </w:rPr>
            </w:pPr>
            <w:r>
              <w:rPr>
                <w:rFonts w:ascii="宋体" w:hAnsi="宋体" w:cs="宋体" w:eastAsia="宋体" w:hint="default"/>
                <w:sz w:val="20"/>
                <w:szCs w:val="20"/>
              </w:rPr>
              <w:t>稀释每股收益</w:t>
            </w:r>
          </w:p>
        </w:tc>
      </w:tr>
      <w:tr>
        <w:trPr>
          <w:trHeight w:val="251" w:hRule="exact"/>
        </w:trPr>
        <w:tc>
          <w:tcPr>
            <w:tcW w:w="2279" w:type="dxa"/>
            <w:vMerge/>
            <w:tcBorders>
              <w:left w:val="single" w:sz="4" w:space="0" w:color="000000"/>
              <w:right w:val="single" w:sz="6" w:space="0" w:color="000000"/>
            </w:tcBorders>
          </w:tcPr>
          <w:p>
            <w:pPr/>
          </w:p>
        </w:tc>
        <w:tc>
          <w:tcPr>
            <w:tcW w:w="2323" w:type="dxa"/>
            <w:gridSpan w:val="2"/>
            <w:tcBorders>
              <w:top w:val="nil" w:sz="6" w:space="0" w:color="auto"/>
              <w:left w:val="single" w:sz="4" w:space="0" w:color="000000"/>
              <w:bottom w:val="single" w:sz="6" w:space="0" w:color="000000"/>
              <w:right w:val="single" w:sz="6" w:space="0" w:color="000000"/>
            </w:tcBorders>
          </w:tcPr>
          <w:p>
            <w:pPr>
              <w:pStyle w:val="TableParagraph"/>
              <w:spacing w:line="240" w:lineRule="auto"/>
              <w:ind w:left="2" w:right="0"/>
              <w:jc w:val="center"/>
              <w:rPr>
                <w:rFonts w:ascii="Arial" w:hAnsi="Arial" w:cs="Arial" w:eastAsia="Arial" w:hint="default"/>
                <w:sz w:val="20"/>
                <w:szCs w:val="20"/>
              </w:rPr>
            </w:pPr>
            <w:r>
              <w:rPr>
                <w:rFonts w:ascii="Arial"/>
                <w:sz w:val="20"/>
              </w:rPr>
              <w:t>(%)</w:t>
            </w:r>
          </w:p>
        </w:tc>
        <w:tc>
          <w:tcPr>
            <w:tcW w:w="2220" w:type="dxa"/>
            <w:gridSpan w:val="2"/>
            <w:vMerge/>
            <w:tcBorders>
              <w:left w:val="single" w:sz="6" w:space="0" w:color="000000"/>
              <w:bottom w:val="single" w:sz="4" w:space="0" w:color="000000"/>
              <w:right w:val="single" w:sz="6" w:space="0" w:color="000000"/>
            </w:tcBorders>
          </w:tcPr>
          <w:p>
            <w:pPr/>
          </w:p>
        </w:tc>
        <w:tc>
          <w:tcPr>
            <w:tcW w:w="2192" w:type="dxa"/>
            <w:gridSpan w:val="2"/>
            <w:vMerge/>
            <w:tcBorders>
              <w:left w:val="single" w:sz="6" w:space="0" w:color="000000"/>
              <w:bottom w:val="single" w:sz="4" w:space="0" w:color="000000"/>
              <w:right w:val="single" w:sz="4" w:space="0" w:color="000000"/>
            </w:tcBorders>
          </w:tcPr>
          <w:p>
            <w:pPr/>
          </w:p>
        </w:tc>
      </w:tr>
      <w:tr>
        <w:trPr>
          <w:trHeight w:val="313" w:hRule="exact"/>
        </w:trPr>
        <w:tc>
          <w:tcPr>
            <w:tcW w:w="2279" w:type="dxa"/>
            <w:vMerge/>
            <w:tcBorders>
              <w:left w:val="single" w:sz="4" w:space="0" w:color="000000"/>
              <w:bottom w:val="single" w:sz="4" w:space="0" w:color="000000"/>
              <w:right w:val="single" w:sz="6" w:space="0" w:color="000000"/>
            </w:tcBorders>
          </w:tcPr>
          <w:p>
            <w:pPr/>
          </w:p>
        </w:tc>
        <w:tc>
          <w:tcPr>
            <w:tcW w:w="1147"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
              <w:ind w:right="101"/>
              <w:jc w:val="righ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年度</w:t>
            </w:r>
          </w:p>
        </w:tc>
        <w:tc>
          <w:tcPr>
            <w:tcW w:w="1176"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8"/>
              <w:ind w:right="98"/>
              <w:jc w:val="right"/>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年度</w:t>
            </w:r>
          </w:p>
        </w:tc>
        <w:tc>
          <w:tcPr>
            <w:tcW w:w="1087" w:type="dxa"/>
            <w:tcBorders>
              <w:top w:val="single" w:sz="4" w:space="0" w:color="000000"/>
              <w:left w:val="single" w:sz="6" w:space="0" w:color="000000"/>
              <w:bottom w:val="single" w:sz="6" w:space="0" w:color="000000"/>
              <w:right w:val="single" w:sz="4" w:space="0" w:color="000000"/>
            </w:tcBorders>
          </w:tcPr>
          <w:p>
            <w:pPr>
              <w:pStyle w:val="TableParagraph"/>
              <w:spacing w:line="240" w:lineRule="auto" w:before="11"/>
              <w:ind w:right="98"/>
              <w:jc w:val="righ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29"/>
                <w:sz w:val="20"/>
                <w:szCs w:val="20"/>
              </w:rPr>
              <w:t> </w:t>
            </w:r>
            <w:r>
              <w:rPr>
                <w:rFonts w:ascii="宋体" w:hAnsi="宋体" w:cs="宋体" w:eastAsia="宋体" w:hint="default"/>
                <w:sz w:val="20"/>
                <w:szCs w:val="20"/>
              </w:rPr>
              <w:t>年度</w:t>
            </w:r>
          </w:p>
        </w:tc>
        <w:tc>
          <w:tcPr>
            <w:tcW w:w="1133"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11"/>
              <w:ind w:right="98"/>
              <w:jc w:val="right"/>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年度</w:t>
            </w:r>
          </w:p>
        </w:tc>
        <w:tc>
          <w:tcPr>
            <w:tcW w:w="1118"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20"/>
                <w:szCs w:val="20"/>
              </w:rPr>
            </w:pPr>
            <w:r>
              <w:rPr>
                <w:rFonts w:ascii="Arial" w:hAnsi="Arial" w:cs="Arial" w:eastAsia="Arial" w:hint="default"/>
                <w:sz w:val="20"/>
                <w:szCs w:val="20"/>
              </w:rPr>
              <w:t>2009</w:t>
            </w:r>
            <w:r>
              <w:rPr>
                <w:rFonts w:ascii="Arial" w:hAnsi="Arial" w:cs="Arial" w:eastAsia="Arial" w:hint="default"/>
                <w:spacing w:val="-6"/>
                <w:sz w:val="20"/>
                <w:szCs w:val="20"/>
              </w:rPr>
              <w:t> </w:t>
            </w:r>
            <w:r>
              <w:rPr>
                <w:rFonts w:ascii="宋体" w:hAnsi="宋体" w:cs="宋体" w:eastAsia="宋体" w:hint="default"/>
                <w:sz w:val="20"/>
                <w:szCs w:val="20"/>
              </w:rPr>
              <w:t>年度</w:t>
            </w: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01"/>
              <w:jc w:val="right"/>
              <w:rPr>
                <w:rFonts w:ascii="宋体" w:hAnsi="宋体" w:cs="宋体" w:eastAsia="宋体" w:hint="default"/>
                <w:sz w:val="20"/>
                <w:szCs w:val="20"/>
              </w:rPr>
            </w:pPr>
            <w:r>
              <w:rPr>
                <w:rFonts w:ascii="Arial" w:hAnsi="Arial" w:cs="Arial" w:eastAsia="Arial" w:hint="default"/>
                <w:sz w:val="20"/>
                <w:szCs w:val="20"/>
              </w:rPr>
              <w:t>2008</w:t>
            </w:r>
            <w:r>
              <w:rPr>
                <w:rFonts w:ascii="Arial" w:hAnsi="Arial" w:cs="Arial" w:eastAsia="Arial" w:hint="default"/>
                <w:spacing w:val="-6"/>
                <w:sz w:val="20"/>
                <w:szCs w:val="20"/>
              </w:rPr>
              <w:t> </w:t>
            </w:r>
            <w:r>
              <w:rPr>
                <w:rFonts w:ascii="宋体" w:hAnsi="宋体" w:cs="宋体" w:eastAsia="宋体" w:hint="default"/>
                <w:sz w:val="20"/>
                <w:szCs w:val="20"/>
              </w:rPr>
              <w:t>年度</w:t>
            </w:r>
          </w:p>
        </w:tc>
      </w:tr>
      <w:tr>
        <w:trPr>
          <w:trHeight w:val="534" w:hRule="exact"/>
        </w:trPr>
        <w:tc>
          <w:tcPr>
            <w:tcW w:w="227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162"/>
              <w:jc w:val="left"/>
              <w:rPr>
                <w:rFonts w:ascii="宋体" w:hAnsi="宋体" w:cs="宋体" w:eastAsia="宋体" w:hint="default"/>
                <w:sz w:val="20"/>
                <w:szCs w:val="20"/>
              </w:rPr>
            </w:pPr>
            <w:r>
              <w:rPr>
                <w:rFonts w:ascii="宋体" w:hAnsi="宋体" w:cs="宋体" w:eastAsia="宋体" w:hint="default"/>
                <w:sz w:val="20"/>
                <w:szCs w:val="20"/>
              </w:rPr>
              <w:t>归属于母公司普通股股</w:t>
            </w:r>
            <w:r>
              <w:rPr>
                <w:rFonts w:ascii="宋体" w:hAnsi="宋体" w:cs="宋体" w:eastAsia="宋体" w:hint="default"/>
                <w:w w:val="100"/>
                <w:sz w:val="20"/>
                <w:szCs w:val="20"/>
              </w:rPr>
              <w:t> </w:t>
            </w:r>
            <w:r>
              <w:rPr>
                <w:rFonts w:ascii="宋体" w:hAnsi="宋体" w:cs="宋体" w:eastAsia="宋体" w:hint="default"/>
                <w:sz w:val="20"/>
                <w:szCs w:val="20"/>
              </w:rPr>
              <w:t>东的净利润</w:t>
            </w:r>
          </w:p>
        </w:tc>
        <w:tc>
          <w:tcPr>
            <w:tcW w:w="114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黑体" w:hAnsi="黑体" w:cs="黑体" w:eastAsia="黑体" w:hint="default"/>
                <w:sz w:val="22"/>
                <w:szCs w:val="22"/>
              </w:rPr>
            </w:pPr>
          </w:p>
          <w:p>
            <w:pPr>
              <w:pStyle w:val="TableParagraph"/>
              <w:spacing w:line="240" w:lineRule="auto"/>
              <w:ind w:right="101"/>
              <w:jc w:val="right"/>
              <w:rPr>
                <w:rFonts w:ascii="Arial" w:hAnsi="Arial" w:cs="Arial" w:eastAsia="Arial" w:hint="default"/>
                <w:sz w:val="20"/>
                <w:szCs w:val="20"/>
              </w:rPr>
            </w:pPr>
            <w:r>
              <w:rPr>
                <w:rFonts w:ascii="Arial"/>
                <w:sz w:val="20"/>
              </w:rPr>
              <w:t>4.47</w:t>
            </w:r>
          </w:p>
        </w:tc>
        <w:tc>
          <w:tcPr>
            <w:tcW w:w="117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黑体" w:hAnsi="黑体" w:cs="黑体" w:eastAsia="黑体" w:hint="default"/>
                <w:sz w:val="22"/>
                <w:szCs w:val="22"/>
              </w:rPr>
            </w:pPr>
          </w:p>
          <w:p>
            <w:pPr>
              <w:pStyle w:val="TableParagraph"/>
              <w:spacing w:line="240" w:lineRule="auto"/>
              <w:ind w:right="100"/>
              <w:jc w:val="right"/>
              <w:rPr>
                <w:rFonts w:ascii="Arial" w:hAnsi="Arial" w:cs="Arial" w:eastAsia="Arial" w:hint="default"/>
                <w:sz w:val="20"/>
                <w:szCs w:val="20"/>
              </w:rPr>
            </w:pPr>
            <w:r>
              <w:rPr>
                <w:rFonts w:ascii="Arial"/>
                <w:sz w:val="20"/>
              </w:rPr>
              <w:t>23.17</w:t>
            </w:r>
          </w:p>
        </w:tc>
        <w:tc>
          <w:tcPr>
            <w:tcW w:w="108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黑体" w:hAnsi="黑体" w:cs="黑体" w:eastAsia="黑体" w:hint="default"/>
                <w:sz w:val="22"/>
                <w:szCs w:val="22"/>
              </w:rPr>
            </w:pPr>
          </w:p>
          <w:p>
            <w:pPr>
              <w:pStyle w:val="TableParagraph"/>
              <w:spacing w:line="240" w:lineRule="auto"/>
              <w:ind w:right="99"/>
              <w:jc w:val="right"/>
              <w:rPr>
                <w:rFonts w:ascii="Arial" w:hAnsi="Arial" w:cs="Arial" w:eastAsia="Arial" w:hint="default"/>
                <w:sz w:val="20"/>
                <w:szCs w:val="20"/>
              </w:rPr>
            </w:pPr>
            <w:r>
              <w:rPr>
                <w:rFonts w:ascii="Arial"/>
                <w:sz w:val="20"/>
              </w:rPr>
              <w:t>0.1480</w:t>
            </w:r>
          </w:p>
        </w:tc>
        <w:tc>
          <w:tcPr>
            <w:tcW w:w="113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黑体" w:hAnsi="黑体" w:cs="黑体" w:eastAsia="黑体" w:hint="default"/>
                <w:sz w:val="22"/>
                <w:szCs w:val="22"/>
              </w:rPr>
            </w:pPr>
          </w:p>
          <w:p>
            <w:pPr>
              <w:pStyle w:val="TableParagraph"/>
              <w:spacing w:line="240" w:lineRule="auto"/>
              <w:ind w:right="100"/>
              <w:jc w:val="right"/>
              <w:rPr>
                <w:rFonts w:ascii="Arial" w:hAnsi="Arial" w:cs="Arial" w:eastAsia="Arial" w:hint="default"/>
                <w:sz w:val="20"/>
                <w:szCs w:val="20"/>
              </w:rPr>
            </w:pPr>
            <w:r>
              <w:rPr>
                <w:rFonts w:ascii="Arial"/>
                <w:sz w:val="20"/>
              </w:rPr>
              <w:t>0.9547</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黑体" w:hAnsi="黑体" w:cs="黑体" w:eastAsia="黑体" w:hint="default"/>
                <w:sz w:val="22"/>
                <w:szCs w:val="22"/>
              </w:rPr>
            </w:pPr>
          </w:p>
          <w:p>
            <w:pPr>
              <w:pStyle w:val="TableParagraph"/>
              <w:spacing w:line="240" w:lineRule="auto"/>
              <w:ind w:right="101"/>
              <w:jc w:val="right"/>
              <w:rPr>
                <w:rFonts w:ascii="Arial" w:hAnsi="Arial" w:cs="Arial" w:eastAsia="Arial" w:hint="default"/>
                <w:sz w:val="20"/>
                <w:szCs w:val="20"/>
              </w:rPr>
            </w:pPr>
            <w:r>
              <w:rPr>
                <w:rFonts w:ascii="Arial"/>
                <w:sz w:val="20"/>
              </w:rPr>
              <w:t>0.1472</w:t>
            </w: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黑体" w:hAnsi="黑体" w:cs="黑体" w:eastAsia="黑体" w:hint="default"/>
                <w:sz w:val="22"/>
                <w:szCs w:val="22"/>
              </w:rPr>
            </w:pPr>
          </w:p>
          <w:p>
            <w:pPr>
              <w:pStyle w:val="TableParagraph"/>
              <w:spacing w:line="240" w:lineRule="auto"/>
              <w:ind w:right="101"/>
              <w:jc w:val="right"/>
              <w:rPr>
                <w:rFonts w:ascii="Arial" w:hAnsi="Arial" w:cs="Arial" w:eastAsia="Arial" w:hint="default"/>
                <w:sz w:val="20"/>
                <w:szCs w:val="20"/>
              </w:rPr>
            </w:pPr>
            <w:r>
              <w:rPr>
                <w:rFonts w:ascii="Arial"/>
                <w:sz w:val="20"/>
              </w:rPr>
              <w:t>0.9471</w:t>
            </w:r>
          </w:p>
        </w:tc>
      </w:tr>
      <w:tr>
        <w:trPr>
          <w:trHeight w:val="310" w:hRule="exact"/>
        </w:trPr>
        <w:tc>
          <w:tcPr>
            <w:tcW w:w="2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20"/>
                <w:szCs w:val="20"/>
              </w:rPr>
            </w:pPr>
            <w:r>
              <w:rPr>
                <w:rFonts w:ascii="Arial" w:hAnsi="Arial" w:cs="Arial" w:eastAsia="Arial" w:hint="default"/>
                <w:sz w:val="20"/>
                <w:szCs w:val="20"/>
              </w:rPr>
              <w:t>-</w:t>
            </w:r>
            <w:r>
              <w:rPr>
                <w:rFonts w:ascii="宋体" w:hAnsi="宋体" w:cs="宋体" w:eastAsia="宋体" w:hint="default"/>
                <w:sz w:val="20"/>
                <w:szCs w:val="20"/>
              </w:rPr>
              <w:t>持续经营业务</w:t>
            </w:r>
          </w:p>
        </w:tc>
        <w:tc>
          <w:tcPr>
            <w:tcW w:w="1147"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Arial" w:hAnsi="Arial" w:cs="Arial" w:eastAsia="Arial" w:hint="default"/>
                <w:sz w:val="20"/>
                <w:szCs w:val="20"/>
              </w:rPr>
            </w:pPr>
            <w:r>
              <w:rPr>
                <w:rFonts w:ascii="Arial"/>
                <w:sz w:val="20"/>
              </w:rPr>
              <w:t>0.1480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Arial" w:hAnsi="Arial" w:cs="Arial" w:eastAsia="Arial" w:hint="default"/>
                <w:sz w:val="20"/>
                <w:szCs w:val="20"/>
              </w:rPr>
            </w:pPr>
            <w:r>
              <w:rPr>
                <w:rFonts w:ascii="Arial"/>
                <w:sz w:val="20"/>
              </w:rPr>
              <w:t>0.1844</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Arial" w:hAnsi="Arial" w:cs="Arial" w:eastAsia="Arial" w:hint="default"/>
                <w:sz w:val="20"/>
                <w:szCs w:val="20"/>
              </w:rPr>
            </w:pPr>
            <w:r>
              <w:rPr>
                <w:rFonts w:ascii="Arial"/>
                <w:sz w:val="20"/>
              </w:rPr>
              <w:t>0.1472</w:t>
            </w: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Arial" w:hAnsi="Arial" w:cs="Arial" w:eastAsia="Arial" w:hint="default"/>
                <w:sz w:val="20"/>
                <w:szCs w:val="20"/>
              </w:rPr>
            </w:pPr>
            <w:r>
              <w:rPr>
                <w:rFonts w:ascii="Arial"/>
                <w:sz w:val="20"/>
              </w:rPr>
              <w:t>0.1829</w:t>
            </w:r>
          </w:p>
        </w:tc>
      </w:tr>
      <w:tr>
        <w:trPr>
          <w:trHeight w:val="310" w:hRule="exact"/>
        </w:trPr>
        <w:tc>
          <w:tcPr>
            <w:tcW w:w="2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left="103" w:right="0"/>
              <w:jc w:val="left"/>
              <w:rPr>
                <w:rFonts w:ascii="宋体" w:hAnsi="宋体" w:cs="宋体" w:eastAsia="宋体" w:hint="default"/>
                <w:sz w:val="20"/>
                <w:szCs w:val="20"/>
              </w:rPr>
            </w:pPr>
            <w:r>
              <w:rPr>
                <w:rFonts w:ascii="Arial" w:hAnsi="Arial" w:cs="Arial" w:eastAsia="Arial" w:hint="default"/>
                <w:sz w:val="20"/>
                <w:szCs w:val="20"/>
              </w:rPr>
              <w:t>-</w:t>
            </w:r>
            <w:r>
              <w:rPr>
                <w:rFonts w:ascii="宋体" w:hAnsi="宋体" w:cs="宋体" w:eastAsia="宋体" w:hint="default"/>
                <w:sz w:val="20"/>
                <w:szCs w:val="20"/>
              </w:rPr>
              <w:t>终止经营业务</w:t>
            </w:r>
          </w:p>
        </w:tc>
        <w:tc>
          <w:tcPr>
            <w:tcW w:w="1147" w:type="dxa"/>
            <w:tcBorders>
              <w:top w:val="single" w:sz="4" w:space="0" w:color="000000"/>
              <w:left w:val="single" w:sz="4" w:space="0" w:color="000000"/>
              <w:bottom w:val="single" w:sz="4" w:space="0" w:color="000000"/>
              <w:right w:val="single" w:sz="4" w:space="0" w:color="000000"/>
            </w:tcBorders>
          </w:tcPr>
          <w:p>
            <w:pPr/>
          </w:p>
        </w:tc>
        <w:tc>
          <w:tcPr>
            <w:tcW w:w="1176" w:type="dxa"/>
            <w:tcBorders>
              <w:top w:val="single" w:sz="4" w:space="0" w:color="000000"/>
              <w:left w:val="single" w:sz="4" w:space="0" w:color="000000"/>
              <w:bottom w:val="single" w:sz="4" w:space="0" w:color="000000"/>
              <w:right w:val="single" w:sz="4" w:space="0" w:color="000000"/>
            </w:tcBorders>
          </w:tcPr>
          <w:p>
            <w:pPr/>
          </w:p>
        </w:tc>
        <w:tc>
          <w:tcPr>
            <w:tcW w:w="1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Arial" w:hAnsi="Arial" w:cs="Arial" w:eastAsia="Arial" w:hint="default"/>
                <w:sz w:val="20"/>
                <w:szCs w:val="20"/>
              </w:rPr>
            </w:pPr>
            <w:r>
              <w:rPr>
                <w:rFonts w:ascii="Arial"/>
                <w:w w:val="100"/>
                <w:sz w:val="20"/>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Arial" w:hAnsi="Arial" w:cs="Arial" w:eastAsia="Arial" w:hint="default"/>
                <w:sz w:val="20"/>
                <w:szCs w:val="20"/>
              </w:rPr>
            </w:pPr>
            <w:r>
              <w:rPr>
                <w:rFonts w:ascii="Arial"/>
                <w:sz w:val="20"/>
              </w:rPr>
              <w:t>0.7703</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1"/>
              <w:jc w:val="right"/>
              <w:rPr>
                <w:rFonts w:ascii="Arial" w:hAnsi="Arial" w:cs="Arial" w:eastAsia="Arial" w:hint="default"/>
                <w:sz w:val="20"/>
                <w:szCs w:val="20"/>
              </w:rPr>
            </w:pPr>
            <w:r>
              <w:rPr>
                <w:rFonts w:ascii="Arial"/>
                <w:w w:val="100"/>
                <w:sz w:val="20"/>
              </w:rPr>
              <w:t>-</w:t>
            </w:r>
          </w:p>
        </w:tc>
        <w:tc>
          <w:tcPr>
            <w:tcW w:w="1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right="100"/>
              <w:jc w:val="right"/>
              <w:rPr>
                <w:rFonts w:ascii="Arial" w:hAnsi="Arial" w:cs="Arial" w:eastAsia="Arial" w:hint="default"/>
                <w:sz w:val="20"/>
                <w:szCs w:val="20"/>
              </w:rPr>
            </w:pPr>
            <w:r>
              <w:rPr>
                <w:rFonts w:ascii="Arial"/>
                <w:sz w:val="20"/>
              </w:rPr>
              <w:t>0.7642</w:t>
            </w:r>
          </w:p>
        </w:tc>
      </w:tr>
      <w:tr>
        <w:trPr>
          <w:trHeight w:val="265" w:hRule="exact"/>
        </w:trPr>
        <w:tc>
          <w:tcPr>
            <w:tcW w:w="2279" w:type="dxa"/>
            <w:tcBorders>
              <w:top w:val="single" w:sz="4" w:space="0" w:color="000000"/>
              <w:left w:val="single" w:sz="4" w:space="0" w:color="000000"/>
              <w:bottom w:val="nil" w:sz="6" w:space="0" w:color="auto"/>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扣除非经常性损益后归</w:t>
            </w:r>
          </w:p>
        </w:tc>
        <w:tc>
          <w:tcPr>
            <w:tcW w:w="1147" w:type="dxa"/>
            <w:tcBorders>
              <w:top w:val="single" w:sz="4" w:space="0" w:color="000000"/>
              <w:left w:val="single" w:sz="4" w:space="0" w:color="000000"/>
              <w:bottom w:val="nil" w:sz="6" w:space="0" w:color="auto"/>
              <w:right w:val="single" w:sz="4" w:space="0" w:color="000000"/>
            </w:tcBorders>
          </w:tcPr>
          <w:p>
            <w:pPr/>
          </w:p>
        </w:tc>
        <w:tc>
          <w:tcPr>
            <w:tcW w:w="1176" w:type="dxa"/>
            <w:tcBorders>
              <w:top w:val="single" w:sz="4" w:space="0" w:color="000000"/>
              <w:left w:val="single" w:sz="4" w:space="0" w:color="000000"/>
              <w:bottom w:val="nil" w:sz="6" w:space="0" w:color="auto"/>
              <w:right w:val="single" w:sz="4" w:space="0" w:color="000000"/>
            </w:tcBorders>
          </w:tcPr>
          <w:p>
            <w:pPr/>
          </w:p>
        </w:tc>
        <w:tc>
          <w:tcPr>
            <w:tcW w:w="1087" w:type="dxa"/>
            <w:tcBorders>
              <w:top w:val="single" w:sz="4" w:space="0" w:color="000000"/>
              <w:left w:val="single" w:sz="4" w:space="0" w:color="000000"/>
              <w:bottom w:val="nil" w:sz="6" w:space="0" w:color="auto"/>
              <w:right w:val="single" w:sz="4" w:space="0" w:color="000000"/>
            </w:tcBorders>
          </w:tcPr>
          <w:p>
            <w:pPr/>
          </w:p>
        </w:tc>
        <w:tc>
          <w:tcPr>
            <w:tcW w:w="1133" w:type="dxa"/>
            <w:tcBorders>
              <w:top w:val="single" w:sz="4" w:space="0" w:color="000000"/>
              <w:left w:val="single" w:sz="4" w:space="0" w:color="000000"/>
              <w:bottom w:val="nil" w:sz="6" w:space="0" w:color="auto"/>
              <w:right w:val="single" w:sz="4" w:space="0" w:color="000000"/>
            </w:tcBorders>
          </w:tcPr>
          <w:p>
            <w:pPr/>
          </w:p>
        </w:tc>
        <w:tc>
          <w:tcPr>
            <w:tcW w:w="1118" w:type="dxa"/>
            <w:tcBorders>
              <w:top w:val="single" w:sz="4" w:space="0" w:color="000000"/>
              <w:left w:val="single" w:sz="4" w:space="0" w:color="000000"/>
              <w:bottom w:val="nil" w:sz="6" w:space="0" w:color="auto"/>
              <w:right w:val="single" w:sz="4" w:space="0" w:color="000000"/>
            </w:tcBorders>
          </w:tcPr>
          <w:p>
            <w:pPr/>
          </w:p>
        </w:tc>
        <w:tc>
          <w:tcPr>
            <w:tcW w:w="1074" w:type="dxa"/>
            <w:tcBorders>
              <w:top w:val="single" w:sz="4" w:space="0" w:color="000000"/>
              <w:left w:val="single" w:sz="4" w:space="0" w:color="000000"/>
              <w:bottom w:val="nil" w:sz="6" w:space="0" w:color="auto"/>
              <w:right w:val="single" w:sz="4" w:space="0" w:color="000000"/>
            </w:tcBorders>
          </w:tcPr>
          <w:p>
            <w:pPr/>
          </w:p>
        </w:tc>
      </w:tr>
      <w:tr>
        <w:trPr>
          <w:trHeight w:val="260" w:hRule="exact"/>
        </w:trPr>
        <w:tc>
          <w:tcPr>
            <w:tcW w:w="2279"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属于母公司普通股股东</w:t>
            </w:r>
          </w:p>
        </w:tc>
        <w:tc>
          <w:tcPr>
            <w:tcW w:w="1147" w:type="dxa"/>
            <w:tcBorders>
              <w:top w:val="nil" w:sz="6" w:space="0" w:color="auto"/>
              <w:left w:val="single" w:sz="4" w:space="0" w:color="000000"/>
              <w:bottom w:val="nil" w:sz="6" w:space="0" w:color="auto"/>
              <w:right w:val="single" w:sz="4" w:space="0" w:color="000000"/>
            </w:tcBorders>
          </w:tcPr>
          <w:p>
            <w:pPr/>
          </w:p>
        </w:tc>
        <w:tc>
          <w:tcPr>
            <w:tcW w:w="1176" w:type="dxa"/>
            <w:tcBorders>
              <w:top w:val="nil" w:sz="6" w:space="0" w:color="auto"/>
              <w:left w:val="single" w:sz="4" w:space="0" w:color="000000"/>
              <w:bottom w:val="nil" w:sz="6" w:space="0" w:color="auto"/>
              <w:right w:val="single" w:sz="4" w:space="0" w:color="000000"/>
            </w:tcBorders>
          </w:tcPr>
          <w:p>
            <w:pPr/>
          </w:p>
        </w:tc>
        <w:tc>
          <w:tcPr>
            <w:tcW w:w="1087"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118" w:type="dxa"/>
            <w:tcBorders>
              <w:top w:val="nil" w:sz="6" w:space="0" w:color="auto"/>
              <w:left w:val="single" w:sz="4" w:space="0" w:color="000000"/>
              <w:bottom w:val="nil" w:sz="6" w:space="0" w:color="auto"/>
              <w:right w:val="single" w:sz="4" w:space="0" w:color="000000"/>
            </w:tcBorders>
          </w:tcPr>
          <w:p>
            <w:pPr/>
          </w:p>
        </w:tc>
        <w:tc>
          <w:tcPr>
            <w:tcW w:w="1074"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2279" w:type="dxa"/>
            <w:tcBorders>
              <w:top w:val="nil" w:sz="6" w:space="0" w:color="auto"/>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0"/>
                <w:szCs w:val="20"/>
              </w:rPr>
            </w:pPr>
            <w:r>
              <w:rPr>
                <w:rFonts w:ascii="宋体" w:hAnsi="宋体" w:cs="宋体" w:eastAsia="宋体" w:hint="default"/>
                <w:sz w:val="20"/>
                <w:szCs w:val="20"/>
              </w:rPr>
              <w:t>的净利润</w:t>
            </w:r>
          </w:p>
        </w:tc>
        <w:tc>
          <w:tcPr>
            <w:tcW w:w="114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right="101"/>
              <w:jc w:val="right"/>
              <w:rPr>
                <w:rFonts w:ascii="Arial" w:hAnsi="Arial" w:cs="Arial" w:eastAsia="Arial" w:hint="default"/>
                <w:sz w:val="20"/>
                <w:szCs w:val="20"/>
              </w:rPr>
            </w:pPr>
            <w:r>
              <w:rPr>
                <w:rFonts w:ascii="Arial"/>
                <w:sz w:val="20"/>
              </w:rPr>
              <w:t>3.68</w:t>
            </w:r>
          </w:p>
        </w:tc>
        <w:tc>
          <w:tcPr>
            <w:tcW w:w="117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right="100"/>
              <w:jc w:val="right"/>
              <w:rPr>
                <w:rFonts w:ascii="Arial" w:hAnsi="Arial" w:cs="Arial" w:eastAsia="Arial" w:hint="default"/>
                <w:sz w:val="20"/>
                <w:szCs w:val="20"/>
              </w:rPr>
            </w:pPr>
            <w:r>
              <w:rPr>
                <w:rFonts w:ascii="Arial"/>
                <w:sz w:val="20"/>
              </w:rPr>
              <w:t>1.57</w:t>
            </w:r>
          </w:p>
        </w:tc>
        <w:tc>
          <w:tcPr>
            <w:tcW w:w="108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right="99"/>
              <w:jc w:val="right"/>
              <w:rPr>
                <w:rFonts w:ascii="Arial" w:hAnsi="Arial" w:cs="Arial" w:eastAsia="Arial" w:hint="default"/>
                <w:sz w:val="20"/>
                <w:szCs w:val="20"/>
              </w:rPr>
            </w:pPr>
            <w:r>
              <w:rPr>
                <w:rFonts w:ascii="Arial"/>
                <w:sz w:val="20"/>
              </w:rPr>
              <w:t>0.1218</w:t>
            </w:r>
          </w:p>
        </w:tc>
        <w:tc>
          <w:tcPr>
            <w:tcW w:w="113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right="100"/>
              <w:jc w:val="right"/>
              <w:rPr>
                <w:rFonts w:ascii="Arial" w:hAnsi="Arial" w:cs="Arial" w:eastAsia="Arial" w:hint="default"/>
                <w:sz w:val="20"/>
                <w:szCs w:val="20"/>
              </w:rPr>
            </w:pPr>
            <w:r>
              <w:rPr>
                <w:rFonts w:ascii="Arial"/>
                <w:sz w:val="20"/>
              </w:rPr>
              <w:t>0.0646</w:t>
            </w:r>
          </w:p>
        </w:tc>
        <w:tc>
          <w:tcPr>
            <w:tcW w:w="11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right="100"/>
              <w:jc w:val="right"/>
              <w:rPr>
                <w:rFonts w:ascii="Arial" w:hAnsi="Arial" w:cs="Arial" w:eastAsia="Arial" w:hint="default"/>
                <w:sz w:val="20"/>
                <w:szCs w:val="20"/>
              </w:rPr>
            </w:pPr>
            <w:r>
              <w:rPr>
                <w:rFonts w:ascii="Arial"/>
                <w:sz w:val="20"/>
              </w:rPr>
              <w:t>0.1212</w:t>
            </w:r>
          </w:p>
        </w:tc>
        <w:tc>
          <w:tcPr>
            <w:tcW w:w="10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right="101"/>
              <w:jc w:val="right"/>
              <w:rPr>
                <w:rFonts w:ascii="Arial" w:hAnsi="Arial" w:cs="Arial" w:eastAsia="Arial" w:hint="default"/>
                <w:sz w:val="20"/>
                <w:szCs w:val="20"/>
              </w:rPr>
            </w:pPr>
            <w:r>
              <w:rPr>
                <w:rFonts w:ascii="Arial"/>
                <w:sz w:val="20"/>
              </w:rPr>
              <w:t>0.0641</w:t>
            </w:r>
          </w:p>
        </w:tc>
      </w:tr>
    </w:tbl>
    <w:p>
      <w:pPr>
        <w:spacing w:line="240" w:lineRule="auto" w:before="12"/>
        <w:rPr>
          <w:rFonts w:ascii="黑体" w:hAnsi="黑体" w:cs="黑体" w:eastAsia="黑体" w:hint="default"/>
          <w:sz w:val="18"/>
          <w:szCs w:val="18"/>
        </w:rPr>
      </w:pPr>
    </w:p>
    <w:p>
      <w:pPr>
        <w:pStyle w:val="BodyText"/>
        <w:spacing w:line="240" w:lineRule="auto" w:before="31"/>
        <w:ind w:left="122" w:right="99"/>
        <w:jc w:val="left"/>
      </w:pPr>
      <w:r>
        <w:rPr/>
        <w:pict>
          <v:group style="position:absolute;margin-left:200.520004pt;margin-top:-83.221146pt;width:116.4pt;height:31.2pt;mso-position-horizontal-relative:page;mso-position-vertical-relative:paragraph;z-index:-910168" coordorigin="4010,-1664" coordsize="2328,624">
            <v:group style="position:absolute;left:4018;top:-1657;width:1138;height:300" coordorigin="4018,-1657" coordsize="1138,300">
              <v:shape style="position:absolute;left:4018;top:-1657;width:1138;height:300" coordorigin="4018,-1657" coordsize="1138,300" path="m5155,-1657l4018,-1357e" filled="false" stroked="true" strokeweight=".72pt" strokecolor="#000000">
                <v:path arrowok="t"/>
              </v:shape>
            </v:group>
            <v:group style="position:absolute;left:5165;top:-1657;width:1167;height:300" coordorigin="5165,-1657" coordsize="1167,300">
              <v:shape style="position:absolute;left:5165;top:-1657;width:1167;height:300" coordorigin="5165,-1657" coordsize="1167,300" path="m6331,-1657l5165,-1357e" filled="false" stroked="true" strokeweight=".72pt" strokecolor="#000000">
                <v:path arrowok="t"/>
              </v:shape>
            </v:group>
            <v:group style="position:absolute;left:4018;top:-1348;width:1138;height:300" coordorigin="4018,-1348" coordsize="1138,300">
              <v:shape style="position:absolute;left:4018;top:-1348;width:1138;height:300" coordorigin="4018,-1348" coordsize="1138,300" path="m5155,-1348l4018,-1048e" filled="false" stroked="true" strokeweight=".72pt" strokecolor="#000000">
                <v:path arrowok="t"/>
              </v:shape>
            </v:group>
            <v:group style="position:absolute;left:5165;top:-1348;width:1167;height:300" coordorigin="5165,-1348" coordsize="1167,300">
              <v:shape style="position:absolute;left:5165;top:-1348;width:1167;height:300" coordorigin="5165,-1348" coordsize="1167,300" path="m6331,-1348l5165,-1048e" filled="false" stroked="true" strokeweight=".72pt" strokecolor="#000000">
                <v:path arrowok="t"/>
              </v:shape>
            </v:group>
            <w10:wrap type="none"/>
          </v:group>
        </w:pict>
      </w:r>
      <w:r>
        <w:rPr/>
        <w:t>上述财务指标的计算方法：</w:t>
      </w:r>
    </w:p>
    <w:p>
      <w:pPr>
        <w:pStyle w:val="BodyText"/>
        <w:spacing w:line="240" w:lineRule="auto" w:before="195"/>
        <w:ind w:left="107" w:right="99"/>
        <w:jc w:val="left"/>
      </w:pPr>
      <w:r>
        <w:rPr>
          <w:rFonts w:ascii="Arial" w:hAnsi="Arial" w:cs="Arial" w:eastAsia="Arial" w:hint="default"/>
        </w:rPr>
        <w:t>(1)</w:t>
      </w:r>
      <w:r>
        <w:rPr/>
        <w:t>加权平均净资产收益率</w:t>
      </w:r>
      <w:r>
        <w:rPr>
          <w:rFonts w:ascii="Arial" w:hAnsi="Arial" w:cs="Arial" w:eastAsia="Arial" w:hint="default"/>
        </w:rPr>
        <w:t>(ROE)</w:t>
      </w:r>
      <w:r>
        <w:rPr/>
        <w:t>的计算公式如下：</w:t>
      </w:r>
    </w:p>
    <w:p>
      <w:pPr>
        <w:pStyle w:val="BodyText"/>
        <w:spacing w:line="240" w:lineRule="auto" w:before="16"/>
        <w:ind w:left="482" w:right="4017" w:firstLine="2160"/>
        <w:jc w:val="left"/>
        <w:rPr>
          <w:rFonts w:ascii="Arial" w:hAnsi="Arial" w:cs="Arial" w:eastAsia="Arial" w:hint="default"/>
        </w:rPr>
      </w:pPr>
      <w:r>
        <w:rPr>
          <w:rFonts w:ascii="Arial" w:hAnsi="Arial" w:cs="Arial" w:eastAsia="Arial" w:hint="default"/>
        </w:rPr>
        <w:t>P</w:t>
      </w:r>
      <w:r>
        <w:rPr>
          <w:rFonts w:ascii="Arial" w:hAnsi="Arial" w:cs="Arial" w:eastAsia="Arial" w:hint="default"/>
          <w:w w:val="99"/>
        </w:rPr>
        <w:t> </w:t>
      </w:r>
      <w:r>
        <w:rPr>
          <w:rFonts w:ascii="Arial" w:hAnsi="Arial" w:cs="Arial" w:eastAsia="Arial" w:hint="default"/>
        </w:rPr>
        <w:t>ROE=——————————————————————</w:t>
      </w:r>
    </w:p>
    <w:p>
      <w:pPr>
        <w:pStyle w:val="BodyText"/>
        <w:spacing w:line="240" w:lineRule="auto"/>
        <w:ind w:left="1382" w:right="99"/>
        <w:jc w:val="left"/>
        <w:rPr>
          <w:rFonts w:ascii="Arial" w:hAnsi="Arial" w:cs="Arial" w:eastAsia="Arial" w:hint="default"/>
        </w:rPr>
      </w:pPr>
      <w:r>
        <w:rPr>
          <w:rFonts w:ascii="Arial" w:hAnsi="Arial" w:cs="Arial" w:eastAsia="Arial" w:hint="default"/>
        </w:rPr>
        <w:t>E0+NP÷2+Ei×Mi÷M0-Ej×Mj÷M0±Ek×Mk÷M0</w:t>
      </w:r>
    </w:p>
    <w:p>
      <w:pPr>
        <w:spacing w:after="0" w:line="240" w:lineRule="auto"/>
        <w:jc w:val="left"/>
        <w:rPr>
          <w:rFonts w:ascii="Arial" w:hAnsi="Arial" w:cs="Arial" w:eastAsia="Arial" w:hint="default"/>
        </w:rPr>
        <w:sectPr>
          <w:headerReference w:type="default" r:id="rId152"/>
          <w:pgSz w:w="11910" w:h="16840"/>
          <w:pgMar w:header="1330" w:footer="752" w:top="2740" w:bottom="940" w:left="1260" w:right="680"/>
        </w:sectPr>
      </w:pPr>
    </w:p>
    <w:p>
      <w:pPr>
        <w:spacing w:line="240" w:lineRule="auto" w:before="11"/>
        <w:rPr>
          <w:rFonts w:ascii="Arial" w:hAnsi="Arial" w:cs="Arial" w:eastAsia="Arial" w:hint="default"/>
          <w:sz w:val="9"/>
          <w:szCs w:val="9"/>
        </w:rPr>
      </w:pPr>
    </w:p>
    <w:p>
      <w:pPr>
        <w:pStyle w:val="BodyText"/>
        <w:spacing w:line="448" w:lineRule="auto" w:before="31"/>
        <w:ind w:left="107" w:right="4365" w:firstLine="14"/>
        <w:jc w:val="left"/>
      </w:pPr>
      <w:r>
        <w:rPr>
          <w:rFonts w:ascii="黑体" w:hAnsi="黑体" w:cs="黑体" w:eastAsia="黑体" w:hint="default"/>
        </w:rPr>
        <w:t>三、计算净资产收益率及每股收益（续）</w:t>
      </w:r>
      <w:r>
        <w:rPr>
          <w:rFonts w:ascii="黑体" w:hAnsi="黑体" w:cs="黑体" w:eastAsia="黑体" w:hint="default"/>
          <w:w w:val="99"/>
        </w:rPr>
        <w:t> </w:t>
      </w:r>
      <w:r>
        <w:rPr/>
        <w:t>上述财务指标的计算方法（续）：</w:t>
      </w:r>
      <w:r>
        <w:rPr>
          <w:w w:val="99"/>
        </w:rPr>
        <w:t> </w:t>
      </w:r>
      <w:r>
        <w:rPr>
          <w:rFonts w:ascii="Arial" w:hAnsi="Arial" w:cs="Arial" w:eastAsia="Arial" w:hint="default"/>
        </w:rPr>
        <w:t>(1)</w:t>
      </w:r>
      <w:r>
        <w:rPr/>
        <w:t>加权平均净资产收益率</w:t>
      </w:r>
      <w:r>
        <w:rPr>
          <w:rFonts w:ascii="Arial" w:hAnsi="Arial" w:cs="Arial" w:eastAsia="Arial" w:hint="default"/>
        </w:rPr>
        <w:t>(ROE)</w:t>
      </w:r>
      <w:r>
        <w:rPr/>
        <w:t>的计算公式如下（续）：</w:t>
      </w:r>
    </w:p>
    <w:p>
      <w:pPr>
        <w:pStyle w:val="BodyText"/>
        <w:spacing w:line="225" w:lineRule="auto" w:before="35"/>
        <w:ind w:left="472" w:right="360"/>
        <w:jc w:val="both"/>
      </w:pPr>
      <w:r>
        <w:rPr>
          <w:spacing w:val="-7"/>
        </w:rPr>
        <w:t>其中：</w:t>
      </w:r>
      <w:r>
        <w:rPr>
          <w:rFonts w:ascii="Arial" w:hAnsi="Arial" w:cs="Arial" w:eastAsia="Arial" w:hint="default"/>
          <w:spacing w:val="-7"/>
        </w:rPr>
        <w:t>P</w:t>
      </w:r>
      <w:r>
        <w:rPr>
          <w:rFonts w:ascii="Arial" w:hAnsi="Arial" w:cs="Arial" w:eastAsia="Arial" w:hint="default"/>
          <w:spacing w:val="-31"/>
        </w:rPr>
        <w:t> </w:t>
      </w:r>
      <w:r>
        <w:rPr/>
        <w:t>分别对应于归属于母公司普通股股东的净利润、扣除非经常性损益后归属于母公司普通</w:t>
      </w:r>
      <w:r>
        <w:rPr>
          <w:w w:val="99"/>
        </w:rPr>
        <w:t> </w:t>
      </w:r>
      <w:r>
        <w:rPr>
          <w:spacing w:val="-5"/>
        </w:rPr>
        <w:t>股股东的净利润；</w:t>
      </w:r>
      <w:r>
        <w:rPr>
          <w:rFonts w:ascii="Arial" w:hAnsi="Arial" w:cs="Arial" w:eastAsia="Arial" w:hint="default"/>
          <w:spacing w:val="-5"/>
        </w:rPr>
        <w:t>NP </w:t>
      </w:r>
      <w:r>
        <w:rPr>
          <w:spacing w:val="-3"/>
        </w:rPr>
        <w:t>为归属于母公司普通股股东的净利润；</w:t>
      </w:r>
      <w:r>
        <w:rPr>
          <w:rFonts w:ascii="Arial" w:hAnsi="Arial" w:cs="Arial" w:eastAsia="Arial" w:hint="default"/>
          <w:spacing w:val="-3"/>
        </w:rPr>
        <w:t>E0</w:t>
      </w:r>
      <w:r>
        <w:rPr>
          <w:rFonts w:ascii="Arial" w:hAnsi="Arial" w:cs="Arial" w:eastAsia="Arial" w:hint="default"/>
          <w:spacing w:val="-1"/>
        </w:rPr>
        <w:t> </w:t>
      </w:r>
      <w:r>
        <w:rPr/>
        <w:t>为归属于母公司普通股股东的期</w:t>
      </w:r>
      <w:r>
        <w:rPr>
          <w:w w:val="99"/>
        </w:rPr>
        <w:t> </w:t>
      </w:r>
      <w:r>
        <w:rPr/>
        <w:t>初净资产；</w:t>
      </w:r>
      <w:r>
        <w:rPr>
          <w:rFonts w:ascii="Arial" w:hAnsi="Arial" w:cs="Arial" w:eastAsia="Arial" w:hint="default"/>
        </w:rPr>
        <w:t>Ei </w:t>
      </w:r>
      <w:r>
        <w:rPr/>
        <w:t>为报告期发行新股或债转股等新增的、归属于母公司普通股股东的净资产；</w:t>
      </w:r>
      <w:r>
        <w:rPr>
          <w:rFonts w:ascii="Arial" w:hAnsi="Arial" w:cs="Arial" w:eastAsia="Arial" w:hint="default"/>
        </w:rPr>
        <w:t>Ej</w:t>
      </w:r>
      <w:r>
        <w:rPr>
          <w:rFonts w:ascii="Arial" w:hAnsi="Arial" w:cs="Arial" w:eastAsia="Arial" w:hint="default"/>
          <w:spacing w:val="9"/>
        </w:rPr>
        <w:t> </w:t>
      </w:r>
      <w:r>
        <w:rPr/>
        <w:t>为</w:t>
      </w:r>
      <w:r>
        <w:rPr>
          <w:w w:val="99"/>
        </w:rPr>
        <w:t> </w:t>
      </w:r>
      <w:r>
        <w:rPr/>
        <w:t>报告期回购或现金分红等减少的、归属于母公司普通股股东的净资产；</w:t>
      </w:r>
      <w:r>
        <w:rPr>
          <w:rFonts w:ascii="Arial" w:hAnsi="Arial" w:cs="Arial" w:eastAsia="Arial" w:hint="default"/>
        </w:rPr>
        <w:t>M0</w:t>
      </w:r>
      <w:r>
        <w:rPr>
          <w:rFonts w:ascii="Arial" w:hAnsi="Arial" w:cs="Arial" w:eastAsia="Arial" w:hint="default"/>
          <w:spacing w:val="-14"/>
        </w:rPr>
        <w:t> </w:t>
      </w:r>
      <w:r>
        <w:rPr/>
        <w:t>为报告期月份数；</w:t>
      </w:r>
      <w:r>
        <w:rPr>
          <w:rFonts w:ascii="Arial" w:hAnsi="Arial" w:cs="Arial" w:eastAsia="Arial" w:hint="default"/>
        </w:rPr>
        <w:t>Mi</w:t>
      </w:r>
      <w:r>
        <w:rPr>
          <w:rFonts w:ascii="Arial" w:hAnsi="Arial" w:cs="Arial" w:eastAsia="Arial" w:hint="default"/>
          <w:spacing w:val="-2"/>
          <w:w w:val="99"/>
        </w:rPr>
        <w:t> </w:t>
      </w:r>
      <w:r>
        <w:rPr/>
        <w:t>为新增净资产下一月份起至报告期期末的月份数；</w:t>
      </w:r>
      <w:r>
        <w:rPr>
          <w:rFonts w:ascii="Arial" w:hAnsi="Arial" w:cs="Arial" w:eastAsia="Arial" w:hint="default"/>
        </w:rPr>
        <w:t>Mj</w:t>
      </w:r>
      <w:r>
        <w:rPr>
          <w:rFonts w:ascii="Arial" w:hAnsi="Arial" w:cs="Arial" w:eastAsia="Arial" w:hint="default"/>
          <w:spacing w:val="58"/>
        </w:rPr>
        <w:t> </w:t>
      </w:r>
      <w:r>
        <w:rPr/>
        <w:t>为减少净资产下一月份起至报告期期末的</w:t>
      </w:r>
      <w:r>
        <w:rPr>
          <w:spacing w:val="-108"/>
        </w:rPr>
        <w:t> </w:t>
      </w:r>
      <w:r>
        <w:rPr>
          <w:spacing w:val="-108"/>
        </w:rPr>
      </w:r>
      <w:r>
        <w:rPr>
          <w:spacing w:val="-7"/>
        </w:rPr>
        <w:t>月份数；</w:t>
      </w:r>
      <w:r>
        <w:rPr>
          <w:rFonts w:ascii="Arial" w:hAnsi="Arial" w:cs="Arial" w:eastAsia="Arial" w:hint="default"/>
          <w:spacing w:val="-7"/>
        </w:rPr>
        <w:t>Ek </w:t>
      </w:r>
      <w:r>
        <w:rPr/>
        <w:t>为因其他交易或事项引起的净资产增减变动；</w:t>
      </w:r>
      <w:r>
        <w:rPr>
          <w:rFonts w:ascii="Arial" w:hAnsi="Arial" w:cs="Arial" w:eastAsia="Arial" w:hint="default"/>
        </w:rPr>
        <w:t>Mk</w:t>
      </w:r>
      <w:r>
        <w:rPr>
          <w:rFonts w:ascii="Arial" w:hAnsi="Arial" w:cs="Arial" w:eastAsia="Arial" w:hint="default"/>
          <w:spacing w:val="-37"/>
        </w:rPr>
        <w:t> </w:t>
      </w:r>
      <w:r>
        <w:rPr/>
        <w:t>为发生其他净资产增减变动下一月</w:t>
      </w:r>
      <w:r>
        <w:rPr>
          <w:w w:val="99"/>
        </w:rPr>
        <w:t> </w:t>
      </w:r>
      <w:r>
        <w:rPr/>
        <w:t>份起至报告期期末的月份数。</w:t>
      </w:r>
    </w:p>
    <w:p>
      <w:pPr>
        <w:spacing w:line="240" w:lineRule="auto" w:before="3"/>
        <w:rPr>
          <w:rFonts w:ascii="宋体" w:hAnsi="宋体" w:cs="宋体" w:eastAsia="宋体" w:hint="default"/>
          <w:sz w:val="19"/>
          <w:szCs w:val="19"/>
        </w:rPr>
      </w:pPr>
    </w:p>
    <w:p>
      <w:pPr>
        <w:pStyle w:val="BodyText"/>
        <w:spacing w:line="240" w:lineRule="auto"/>
        <w:ind w:left="107" w:right="4365"/>
        <w:jc w:val="left"/>
        <w:rPr>
          <w:rFonts w:ascii="Arial" w:hAnsi="Arial" w:cs="Arial" w:eastAsia="Arial" w:hint="default"/>
        </w:rPr>
      </w:pPr>
      <w:r>
        <w:rPr>
          <w:rFonts w:ascii="Arial" w:hAnsi="Arial" w:cs="Arial" w:eastAsia="Arial" w:hint="default"/>
        </w:rPr>
        <w:t>(2)</w:t>
      </w:r>
      <w:r>
        <w:rPr/>
        <w:t>基本每股收益</w:t>
      </w:r>
      <w:r>
        <w:rPr>
          <w:rFonts w:ascii="Arial" w:hAnsi="Arial" w:cs="Arial" w:eastAsia="Arial" w:hint="default"/>
        </w:rPr>
        <w:t>(EPS)</w:t>
      </w:r>
      <w:r>
        <w:rPr/>
        <w:t>可参照如下公式计算</w:t>
      </w:r>
      <w:r>
        <w:rPr>
          <w:rFonts w:ascii="Arial" w:hAnsi="Arial" w:cs="Arial" w:eastAsia="Arial" w:hint="default"/>
        </w:rPr>
        <w:t>:</w:t>
      </w:r>
    </w:p>
    <w:p>
      <w:pPr>
        <w:pStyle w:val="BodyText"/>
        <w:spacing w:line="240" w:lineRule="auto" w:before="16"/>
        <w:ind w:left="482" w:right="5413" w:firstLine="2160"/>
        <w:jc w:val="left"/>
        <w:rPr>
          <w:rFonts w:ascii="Arial" w:hAnsi="Arial" w:cs="Arial" w:eastAsia="Arial" w:hint="default"/>
        </w:rPr>
      </w:pPr>
      <w:r>
        <w:rPr>
          <w:rFonts w:ascii="Arial" w:hAnsi="Arial" w:cs="Arial" w:eastAsia="Arial" w:hint="default"/>
        </w:rPr>
        <w:t>P</w:t>
      </w:r>
      <w:r>
        <w:rPr>
          <w:rFonts w:ascii="Arial" w:hAnsi="Arial" w:cs="Arial" w:eastAsia="Arial" w:hint="default"/>
          <w:w w:val="99"/>
        </w:rPr>
        <w:t> </w:t>
      </w:r>
      <w:r>
        <w:rPr>
          <w:rFonts w:ascii="Arial" w:hAnsi="Arial" w:cs="Arial" w:eastAsia="Arial" w:hint="default"/>
        </w:rPr>
        <w:t>EPS=————————————————</w:t>
      </w:r>
    </w:p>
    <w:p>
      <w:pPr>
        <w:pStyle w:val="BodyText"/>
        <w:spacing w:line="240" w:lineRule="auto"/>
        <w:ind w:left="1382" w:right="4365"/>
        <w:jc w:val="left"/>
        <w:rPr>
          <w:rFonts w:ascii="Arial" w:hAnsi="Arial" w:cs="Arial" w:eastAsia="Arial" w:hint="default"/>
        </w:rPr>
      </w:pPr>
      <w:r>
        <w:rPr>
          <w:rFonts w:ascii="Arial" w:hAnsi="Arial" w:cs="Arial" w:eastAsia="Arial" w:hint="default"/>
        </w:rPr>
        <w:t>S0+S1+Si×Mi÷M0-Sj×Mj÷M0-Sk</w:t>
      </w:r>
    </w:p>
    <w:p>
      <w:pPr>
        <w:spacing w:line="240" w:lineRule="auto" w:before="5"/>
        <w:rPr>
          <w:rFonts w:ascii="Arial" w:hAnsi="Arial" w:cs="Arial" w:eastAsia="Arial" w:hint="default"/>
          <w:sz w:val="21"/>
          <w:szCs w:val="21"/>
        </w:rPr>
      </w:pPr>
    </w:p>
    <w:p>
      <w:pPr>
        <w:pStyle w:val="BodyText"/>
        <w:spacing w:line="286" w:lineRule="exact"/>
        <w:ind w:left="472" w:right="347"/>
        <w:jc w:val="left"/>
      </w:pPr>
      <w:r>
        <w:rPr>
          <w:spacing w:val="-14"/>
        </w:rPr>
        <w:t>其中：</w:t>
      </w:r>
      <w:r>
        <w:rPr>
          <w:rFonts w:ascii="Arial" w:hAnsi="Arial" w:cs="Arial" w:eastAsia="Arial" w:hint="default"/>
          <w:spacing w:val="-14"/>
        </w:rPr>
        <w:t>P</w:t>
      </w:r>
      <w:r>
        <w:rPr>
          <w:rFonts w:ascii="Arial" w:hAnsi="Arial" w:cs="Arial" w:eastAsia="Arial" w:hint="default"/>
          <w:spacing w:val="-8"/>
        </w:rPr>
        <w:t> </w:t>
      </w:r>
      <w:r>
        <w:rPr/>
        <w:t>为归属于母公司普通股股东的净利润或扣除非经常性损益后归属于母公司普通股股东的</w:t>
      </w:r>
      <w:r>
        <w:rPr>
          <w:w w:val="99"/>
        </w:rPr>
        <w:t> </w:t>
      </w:r>
      <w:r>
        <w:rPr>
          <w:spacing w:val="-3"/>
        </w:rPr>
        <w:t>净利润；</w:t>
      </w:r>
      <w:r>
        <w:rPr>
          <w:rFonts w:ascii="Arial" w:hAnsi="Arial" w:cs="Arial" w:eastAsia="Arial" w:hint="default"/>
          <w:spacing w:val="-3"/>
        </w:rPr>
        <w:t>S </w:t>
      </w:r>
      <w:r>
        <w:rPr/>
        <w:t>为发行在外的普通股加权平均数；</w:t>
      </w:r>
      <w:r>
        <w:rPr>
          <w:rFonts w:ascii="Arial" w:hAnsi="Arial" w:cs="Arial" w:eastAsia="Arial" w:hint="default"/>
        </w:rPr>
        <w:t>S0 </w:t>
      </w:r>
      <w:r>
        <w:rPr/>
        <w:t>为期初股份总数；</w:t>
      </w:r>
      <w:r>
        <w:rPr>
          <w:rFonts w:ascii="Arial" w:hAnsi="Arial" w:cs="Arial" w:eastAsia="Arial" w:hint="default"/>
        </w:rPr>
        <w:t>S1</w:t>
      </w:r>
      <w:r>
        <w:rPr>
          <w:rFonts w:ascii="Arial" w:hAnsi="Arial" w:cs="Arial" w:eastAsia="Arial" w:hint="default"/>
          <w:spacing w:val="-45"/>
        </w:rPr>
        <w:t> </w:t>
      </w:r>
      <w:r>
        <w:rPr/>
        <w:t>为报告期因公积金转增股</w:t>
      </w:r>
      <w:r>
        <w:rPr>
          <w:w w:val="99"/>
        </w:rPr>
        <w:t> </w:t>
      </w:r>
      <w:r>
        <w:rPr/>
        <w:t>本或股票股利分配等增加股份数；</w:t>
      </w:r>
      <w:r>
        <w:rPr>
          <w:rFonts w:ascii="Arial" w:hAnsi="Arial" w:cs="Arial" w:eastAsia="Arial" w:hint="default"/>
        </w:rPr>
        <w:t>Si </w:t>
      </w:r>
      <w:r>
        <w:rPr/>
        <w:t>为报告期因发行新股或债转股等增加股份数；</w:t>
      </w:r>
      <w:r>
        <w:rPr>
          <w:rFonts w:ascii="Arial" w:hAnsi="Arial" w:cs="Arial" w:eastAsia="Arial" w:hint="default"/>
        </w:rPr>
        <w:t>Sj</w:t>
      </w:r>
      <w:r>
        <w:rPr>
          <w:rFonts w:ascii="Arial" w:hAnsi="Arial" w:cs="Arial" w:eastAsia="Arial" w:hint="default"/>
          <w:spacing w:val="-15"/>
        </w:rPr>
        <w:t> </w:t>
      </w:r>
      <w:r>
        <w:rPr/>
        <w:t>为报告期</w:t>
      </w:r>
      <w:r>
        <w:rPr>
          <w:w w:val="99"/>
        </w:rPr>
        <w:t> </w:t>
      </w:r>
      <w:r>
        <w:rPr/>
        <w:t>因回购等减少股份数；</w:t>
      </w:r>
      <w:r>
        <w:rPr>
          <w:rFonts w:ascii="Arial" w:hAnsi="Arial" w:cs="Arial" w:eastAsia="Arial" w:hint="default"/>
        </w:rPr>
        <w:t>Sk </w:t>
      </w:r>
      <w:r>
        <w:rPr/>
        <w:t>为报告期缩股数；</w:t>
      </w:r>
      <w:r>
        <w:rPr>
          <w:rFonts w:ascii="Arial" w:hAnsi="Arial" w:cs="Arial" w:eastAsia="Arial" w:hint="default"/>
        </w:rPr>
        <w:t>M0 </w:t>
      </w:r>
      <w:r>
        <w:rPr/>
        <w:t>报告期月份数；</w:t>
      </w:r>
      <w:r>
        <w:rPr>
          <w:rFonts w:ascii="Arial" w:hAnsi="Arial" w:cs="Arial" w:eastAsia="Arial" w:hint="default"/>
        </w:rPr>
        <w:t>Mi</w:t>
      </w:r>
      <w:r>
        <w:rPr>
          <w:rFonts w:ascii="Arial" w:hAnsi="Arial" w:cs="Arial" w:eastAsia="Arial" w:hint="default"/>
          <w:spacing w:val="-22"/>
        </w:rPr>
        <w:t> </w:t>
      </w:r>
      <w:r>
        <w:rPr/>
        <w:t>为增加股份下一月份起至报</w:t>
      </w:r>
      <w:r>
        <w:rPr>
          <w:w w:val="99"/>
        </w:rPr>
        <w:t> </w:t>
      </w:r>
      <w:r>
        <w:rPr/>
        <w:t>告期期末的月份数；</w:t>
      </w:r>
      <w:r>
        <w:rPr>
          <w:rFonts w:ascii="Arial" w:hAnsi="Arial" w:cs="Arial" w:eastAsia="Arial" w:hint="default"/>
        </w:rPr>
        <w:t>Mj</w:t>
      </w:r>
      <w:r>
        <w:rPr>
          <w:rFonts w:ascii="Arial" w:hAnsi="Arial" w:cs="Arial" w:eastAsia="Arial" w:hint="default"/>
          <w:spacing w:val="-8"/>
        </w:rPr>
        <w:t> </w:t>
      </w:r>
      <w:r>
        <w:rPr/>
        <w:t>为减少股份下一月份起至报告期期末的月份数。</w:t>
      </w:r>
    </w:p>
    <w:p>
      <w:pPr>
        <w:spacing w:line="240" w:lineRule="auto" w:before="3"/>
        <w:rPr>
          <w:rFonts w:ascii="宋体" w:hAnsi="宋体" w:cs="宋体" w:eastAsia="宋体" w:hint="default"/>
          <w:sz w:val="18"/>
          <w:szCs w:val="18"/>
        </w:rPr>
      </w:pPr>
    </w:p>
    <w:p>
      <w:pPr>
        <w:pStyle w:val="BodyText"/>
        <w:spacing w:line="240" w:lineRule="auto"/>
        <w:ind w:left="122" w:right="4365"/>
        <w:jc w:val="left"/>
      </w:pPr>
      <w:r>
        <w:rPr>
          <w:rFonts w:ascii="Arial" w:hAnsi="Arial" w:cs="Arial" w:eastAsia="Arial" w:hint="default"/>
        </w:rPr>
        <w:t>(3)</w:t>
      </w:r>
      <w:r>
        <w:rPr/>
        <w:t>稀释每股收益的计算公式参照如下所述公式计算：</w:t>
      </w:r>
    </w:p>
    <w:p>
      <w:pPr>
        <w:spacing w:line="240" w:lineRule="auto" w:before="1"/>
        <w:rPr>
          <w:rFonts w:ascii="宋体" w:hAnsi="宋体" w:cs="宋体" w:eastAsia="宋体" w:hint="default"/>
          <w:sz w:val="18"/>
          <w:szCs w:val="18"/>
        </w:rPr>
      </w:pPr>
    </w:p>
    <w:p>
      <w:pPr>
        <w:pStyle w:val="BodyText"/>
        <w:spacing w:line="237" w:lineRule="auto"/>
        <w:ind w:left="402" w:right="222"/>
        <w:jc w:val="both"/>
      </w:pPr>
      <w:r>
        <w:rPr>
          <w:spacing w:val="-2"/>
        </w:rPr>
        <w:t>母公司存在稀释性潜在普通股的，应当分别调整归属于普通股股东的报告期净利润和发行在外普通</w:t>
      </w:r>
      <w:r>
        <w:rPr>
          <w:w w:val="99"/>
        </w:rPr>
        <w:t> </w:t>
      </w:r>
      <w:r>
        <w:rPr>
          <w:spacing w:val="-2"/>
        </w:rPr>
        <w:t>股加权平均数，并据以计算稀释每股收益。在发行可转换债券、股份期权、认股权证等稀释性潜在</w:t>
      </w:r>
      <w:r>
        <w:rPr>
          <w:w w:val="99"/>
        </w:rPr>
        <w:t> </w:t>
      </w:r>
      <w:r>
        <w:rPr/>
        <w:t>普通股情况下，稀释每股收益可参照如下公式计算：</w:t>
      </w:r>
    </w:p>
    <w:p>
      <w:pPr>
        <w:spacing w:line="240" w:lineRule="auto" w:before="7"/>
        <w:rPr>
          <w:rFonts w:ascii="宋体" w:hAnsi="宋体" w:cs="宋体" w:eastAsia="宋体" w:hint="default"/>
          <w:sz w:val="17"/>
          <w:szCs w:val="17"/>
        </w:rPr>
      </w:pPr>
    </w:p>
    <w:p>
      <w:pPr>
        <w:pStyle w:val="BodyText"/>
        <w:spacing w:line="295" w:lineRule="exact"/>
        <w:ind w:left="401" w:right="0"/>
        <w:jc w:val="both"/>
        <w:rPr>
          <w:rFonts w:ascii="Arial" w:hAnsi="Arial" w:cs="Arial" w:eastAsia="Arial" w:hint="default"/>
        </w:rPr>
      </w:pPr>
      <w:r>
        <w:rPr>
          <w:spacing w:val="15"/>
        </w:rPr>
        <w:t>稀释每股收益</w:t>
      </w:r>
      <w:r>
        <w:rPr>
          <w:rFonts w:ascii="Arial" w:hAnsi="Arial" w:cs="Arial" w:eastAsia="Arial" w:hint="default"/>
          <w:spacing w:val="15"/>
        </w:rPr>
        <w:t>=[P+</w:t>
      </w:r>
      <w:r>
        <w:rPr>
          <w:spacing w:val="15"/>
        </w:rPr>
        <w:t>（已确认为费用的稀释性潜在普通股利息</w:t>
      </w:r>
      <w:r>
        <w:rPr>
          <w:rFonts w:ascii="Arial" w:hAnsi="Arial" w:cs="Arial" w:eastAsia="Arial" w:hint="default"/>
          <w:spacing w:val="15"/>
        </w:rPr>
        <w:t>-</w:t>
      </w:r>
      <w:r>
        <w:rPr>
          <w:spacing w:val="15"/>
        </w:rPr>
        <w:t>转换费用）</w:t>
      </w:r>
      <w:r>
        <w:rPr>
          <w:rFonts w:ascii="Arial" w:hAnsi="Arial" w:cs="Arial" w:eastAsia="Arial" w:hint="default"/>
          <w:spacing w:val="15"/>
        </w:rPr>
        <w:t>×</w:t>
      </w:r>
      <w:r>
        <w:rPr>
          <w:spacing w:val="15"/>
        </w:rPr>
        <w:t>（</w:t>
      </w:r>
      <w:r>
        <w:rPr>
          <w:rFonts w:ascii="Arial" w:hAnsi="Arial" w:cs="Arial" w:eastAsia="Arial" w:hint="default"/>
          <w:spacing w:val="15"/>
        </w:rPr>
        <w:t>1-</w:t>
      </w:r>
      <w:r>
        <w:rPr>
          <w:spacing w:val="15"/>
        </w:rPr>
        <w:t>所得税率）</w:t>
      </w:r>
      <w:r>
        <w:rPr>
          <w:rFonts w:ascii="Arial" w:hAnsi="Arial" w:cs="Arial" w:eastAsia="Arial" w:hint="default"/>
          <w:spacing w:val="15"/>
        </w:rPr>
        <w:t>]/</w:t>
      </w:r>
    </w:p>
    <w:p>
      <w:pPr>
        <w:pStyle w:val="BodyText"/>
        <w:spacing w:line="295" w:lineRule="exact"/>
        <w:ind w:left="401" w:right="0" w:hanging="1"/>
        <w:jc w:val="both"/>
      </w:pPr>
      <w:r>
        <w:rPr>
          <w:w w:val="99"/>
        </w:rPr>
        <w:t>（</w:t>
      </w:r>
      <w:r>
        <w:rPr>
          <w:rFonts w:ascii="Arial" w:hAnsi="Arial" w:cs="Arial" w:eastAsia="Arial" w:hint="default"/>
          <w:w w:val="99"/>
        </w:rPr>
        <w:t>S0+S1+S</w:t>
      </w:r>
      <w:r>
        <w:rPr>
          <w:rFonts w:ascii="Arial" w:hAnsi="Arial" w:cs="Arial" w:eastAsia="Arial" w:hint="default"/>
          <w:spacing w:val="1"/>
          <w:w w:val="99"/>
        </w:rPr>
        <w:t>i</w:t>
      </w:r>
      <w:r>
        <w:rPr>
          <w:rFonts w:ascii="Arial" w:hAnsi="Arial" w:cs="Arial" w:eastAsia="Arial" w:hint="default"/>
          <w:w w:val="99"/>
        </w:rPr>
        <w:t>×Mi</w:t>
      </w:r>
      <w:r>
        <w:rPr>
          <w:rFonts w:ascii="Arial" w:hAnsi="Arial" w:cs="Arial" w:eastAsia="Arial" w:hint="default"/>
          <w:spacing w:val="-8"/>
          <w:w w:val="106"/>
        </w:rPr>
        <w:t>÷</w:t>
      </w:r>
      <w:r>
        <w:rPr>
          <w:rFonts w:ascii="Arial" w:hAnsi="Arial" w:cs="Arial" w:eastAsia="Arial" w:hint="default"/>
          <w:w w:val="99"/>
        </w:rPr>
        <w:t>M0-Sj</w:t>
      </w:r>
      <w:r>
        <w:rPr>
          <w:rFonts w:ascii="Arial" w:hAnsi="Arial" w:cs="Arial" w:eastAsia="Arial" w:hint="default"/>
          <w:spacing w:val="1"/>
          <w:w w:val="99"/>
        </w:rPr>
        <w:t>×</w:t>
      </w:r>
      <w:r>
        <w:rPr>
          <w:rFonts w:ascii="Arial" w:hAnsi="Arial" w:cs="Arial" w:eastAsia="Arial" w:hint="default"/>
          <w:w w:val="99"/>
        </w:rPr>
        <w:t>Mj</w:t>
      </w:r>
      <w:r>
        <w:rPr>
          <w:rFonts w:ascii="Arial" w:hAnsi="Arial" w:cs="Arial" w:eastAsia="Arial" w:hint="default"/>
          <w:spacing w:val="-8"/>
          <w:w w:val="106"/>
        </w:rPr>
        <w:t>÷</w:t>
      </w:r>
      <w:r>
        <w:rPr>
          <w:rFonts w:ascii="Arial" w:hAnsi="Arial" w:cs="Arial" w:eastAsia="Arial" w:hint="default"/>
          <w:w w:val="99"/>
        </w:rPr>
        <w:t>M0-Sk</w:t>
      </w:r>
      <w:r>
        <w:rPr>
          <w:rFonts w:ascii="Arial" w:hAnsi="Arial" w:cs="Arial" w:eastAsia="Arial" w:hint="default"/>
          <w:spacing w:val="1"/>
          <w:w w:val="99"/>
        </w:rPr>
        <w:t>+</w:t>
      </w:r>
      <w:r>
        <w:rPr>
          <w:w w:val="99"/>
        </w:rPr>
        <w:t>认股权证</w:t>
      </w:r>
      <w:r>
        <w:rPr>
          <w:spacing w:val="-91"/>
          <w:w w:val="99"/>
        </w:rPr>
        <w:t>、</w:t>
      </w:r>
      <w:r>
        <w:rPr>
          <w:w w:val="99"/>
        </w:rPr>
        <w:t>股份期权</w:t>
      </w:r>
      <w:r>
        <w:rPr>
          <w:spacing w:val="-91"/>
          <w:w w:val="99"/>
        </w:rPr>
        <w:t>、</w:t>
      </w:r>
      <w:r>
        <w:rPr>
          <w:w w:val="99"/>
        </w:rPr>
        <w:t>可转换</w:t>
      </w:r>
      <w:r>
        <w:rPr>
          <w:spacing w:val="1"/>
          <w:w w:val="99"/>
        </w:rPr>
        <w:t>债券</w:t>
      </w:r>
      <w:r>
        <w:rPr>
          <w:w w:val="99"/>
        </w:rPr>
        <w:t>等增加</w:t>
      </w:r>
      <w:r>
        <w:rPr>
          <w:spacing w:val="1"/>
          <w:w w:val="99"/>
        </w:rPr>
        <w:t>的普</w:t>
      </w:r>
      <w:r>
        <w:rPr>
          <w:w w:val="99"/>
        </w:rPr>
        <w:t>通股加</w:t>
      </w:r>
      <w:r>
        <w:rPr>
          <w:spacing w:val="1"/>
          <w:w w:val="99"/>
        </w:rPr>
        <w:t>权平</w:t>
      </w:r>
      <w:r>
        <w:rPr>
          <w:w w:val="99"/>
        </w:rPr>
        <w:t>均数）</w:t>
      </w:r>
      <w:r>
        <w:rPr/>
      </w:r>
    </w:p>
    <w:p>
      <w:pPr>
        <w:spacing w:line="240" w:lineRule="auto" w:before="10"/>
        <w:rPr>
          <w:rFonts w:ascii="宋体" w:hAnsi="宋体" w:cs="宋体" w:eastAsia="宋体" w:hint="default"/>
          <w:sz w:val="16"/>
          <w:szCs w:val="16"/>
        </w:rPr>
      </w:pPr>
    </w:p>
    <w:p>
      <w:pPr>
        <w:pStyle w:val="BodyText"/>
        <w:spacing w:line="232" w:lineRule="auto"/>
        <w:ind w:left="401" w:right="222"/>
        <w:jc w:val="both"/>
      </w:pPr>
      <w:r>
        <w:rPr>
          <w:spacing w:val="-16"/>
        </w:rPr>
        <w:t>其中，</w:t>
      </w:r>
      <w:r>
        <w:rPr>
          <w:rFonts w:ascii="Arial" w:hAnsi="Arial" w:cs="Arial" w:eastAsia="Arial" w:hint="default"/>
          <w:spacing w:val="-16"/>
        </w:rPr>
        <w:t>P</w:t>
      </w:r>
      <w:r>
        <w:rPr>
          <w:rFonts w:ascii="Arial" w:hAnsi="Arial" w:cs="Arial" w:eastAsia="Arial" w:hint="default"/>
          <w:spacing w:val="-9"/>
        </w:rPr>
        <w:t> </w:t>
      </w:r>
      <w:r>
        <w:rPr/>
        <w:t>为归属于母公司普通股股东的净利润或扣除非经常性损益后归属于母公司普通股股东的净</w:t>
      </w:r>
      <w:r>
        <w:rPr>
          <w:w w:val="99"/>
        </w:rPr>
        <w:t> </w:t>
      </w:r>
      <w:r>
        <w:rPr>
          <w:spacing w:val="-2"/>
        </w:rPr>
        <w:t>利润。母公司在计算稀释每股收益时，应考虑所有稀释性潜在普通股的影响，直至稀释每股收益达</w:t>
      </w:r>
      <w:r>
        <w:rPr>
          <w:w w:val="99"/>
        </w:rPr>
        <w:t> </w:t>
      </w:r>
      <w:r>
        <w:rPr>
          <w:spacing w:val="-2"/>
        </w:rPr>
        <w:t>到最小。对于子公司发行能够转换成其普通股的稀释性潜在普通股，不仅应当包括在其稀释每股收</w:t>
      </w:r>
      <w:r>
        <w:rPr>
          <w:w w:val="99"/>
        </w:rPr>
        <w:t> </w:t>
      </w:r>
      <w:r>
        <w:rPr/>
        <w:t>益的计算中，而且还应当包括在合并稀释每股收益的计算中。</w:t>
      </w:r>
    </w:p>
    <w:p>
      <w:pPr>
        <w:spacing w:after="0" w:line="232" w:lineRule="auto"/>
        <w:jc w:val="both"/>
        <w:sectPr>
          <w:headerReference w:type="default" r:id="rId153"/>
          <w:pgSz w:w="11910" w:h="16840"/>
          <w:pgMar w:header="1330" w:footer="752" w:top="2300" w:bottom="940" w:left="1260" w:right="640"/>
        </w:sectPr>
      </w:pPr>
    </w:p>
    <w:p>
      <w:pPr>
        <w:spacing w:line="240" w:lineRule="auto" w:before="10"/>
        <w:rPr>
          <w:rFonts w:ascii="宋体" w:hAnsi="宋体" w:cs="宋体" w:eastAsia="宋体" w:hint="default"/>
          <w:sz w:val="8"/>
          <w:szCs w:val="8"/>
        </w:rPr>
      </w:pPr>
    </w:p>
    <w:p>
      <w:pPr>
        <w:pStyle w:val="BodyText"/>
        <w:spacing w:line="240" w:lineRule="auto" w:before="31"/>
        <w:ind w:left="127" w:right="138"/>
        <w:jc w:val="left"/>
        <w:rPr>
          <w:rFonts w:ascii="黑体" w:hAnsi="黑体" w:cs="黑体" w:eastAsia="黑体" w:hint="default"/>
        </w:rPr>
      </w:pPr>
      <w:r>
        <w:rPr>
          <w:rFonts w:ascii="黑体" w:hAnsi="黑体" w:cs="黑体" w:eastAsia="黑体" w:hint="default"/>
        </w:rPr>
        <w:t>四、财务报表数据变动项目分析</w:t>
      </w:r>
    </w:p>
    <w:p>
      <w:pPr>
        <w:pStyle w:val="BodyText"/>
        <w:spacing w:line="300" w:lineRule="exact" w:before="190"/>
        <w:ind w:left="142" w:right="92"/>
        <w:jc w:val="left"/>
      </w:pPr>
      <w:r>
        <w:rPr/>
        <w:t>财务报表数据变动幅度达</w:t>
      </w:r>
      <w:r>
        <w:rPr>
          <w:spacing w:val="-57"/>
        </w:rPr>
        <w:t> </w:t>
      </w:r>
      <w:r>
        <w:rPr>
          <w:rFonts w:ascii="Arial" w:hAnsi="Arial" w:cs="Arial" w:eastAsia="Arial" w:hint="default"/>
        </w:rPr>
        <w:t>30%</w:t>
      </w:r>
      <w:r>
        <w:rPr/>
        <w:t>（含</w:t>
      </w:r>
      <w:r>
        <w:rPr>
          <w:spacing w:val="-56"/>
        </w:rPr>
        <w:t> </w:t>
      </w:r>
      <w:r>
        <w:rPr>
          <w:rFonts w:ascii="Arial" w:hAnsi="Arial" w:cs="Arial" w:eastAsia="Arial" w:hint="default"/>
        </w:rPr>
        <w:t>30%</w:t>
      </w:r>
      <w:r>
        <w:rPr/>
        <w:t>）以上，或占本集团报表日资产总额</w:t>
      </w:r>
      <w:r>
        <w:rPr>
          <w:spacing w:val="-57"/>
        </w:rPr>
        <w:t> </w:t>
      </w:r>
      <w:r>
        <w:rPr>
          <w:rFonts w:ascii="Arial" w:hAnsi="Arial" w:cs="Arial" w:eastAsia="Arial" w:hint="default"/>
        </w:rPr>
        <w:t>5%</w:t>
      </w:r>
      <w:r>
        <w:rPr/>
        <w:t>（含</w:t>
      </w:r>
      <w:r>
        <w:rPr>
          <w:spacing w:val="-57"/>
        </w:rPr>
        <w:t> </w:t>
      </w:r>
      <w:r>
        <w:rPr>
          <w:rFonts w:ascii="Arial" w:hAnsi="Arial" w:cs="Arial" w:eastAsia="Arial" w:hint="default"/>
        </w:rPr>
        <w:t>5%</w:t>
      </w:r>
      <w:r>
        <w:rPr/>
        <w:t>）或报告</w:t>
      </w:r>
      <w:r>
        <w:rPr>
          <w:w w:val="99"/>
        </w:rPr>
        <w:t> </w:t>
      </w:r>
      <w:r>
        <w:rPr/>
        <w:t>期利润总额</w:t>
      </w:r>
      <w:r>
        <w:rPr>
          <w:spacing w:val="-58"/>
        </w:rPr>
        <w:t> </w:t>
      </w:r>
      <w:r>
        <w:rPr>
          <w:rFonts w:ascii="Arial" w:hAnsi="Arial" w:cs="Arial" w:eastAsia="Arial" w:hint="default"/>
        </w:rPr>
        <w:t>10%</w:t>
      </w:r>
      <w:r>
        <w:rPr/>
        <w:t>（含</w:t>
      </w:r>
      <w:r>
        <w:rPr>
          <w:spacing w:val="-59"/>
        </w:rPr>
        <w:t> </w:t>
      </w:r>
      <w:r>
        <w:rPr>
          <w:rFonts w:ascii="Arial" w:hAnsi="Arial" w:cs="Arial" w:eastAsia="Arial" w:hint="default"/>
        </w:rPr>
        <w:t>10%</w:t>
      </w:r>
      <w:r>
        <w:rPr/>
        <w:t>）以上的项目详见如下分析，此等分析不作为财务报表的一部分。</w:t>
      </w:r>
    </w:p>
    <w:p>
      <w:pPr>
        <w:spacing w:line="274" w:lineRule="exact" w:before="128"/>
        <w:ind w:left="142" w:right="138" w:firstLine="0"/>
        <w:jc w:val="left"/>
        <w:rPr>
          <w:rFonts w:ascii="宋体" w:hAnsi="宋体" w:cs="宋体" w:eastAsia="宋体" w:hint="default"/>
          <w:sz w:val="21"/>
          <w:szCs w:val="21"/>
        </w:rPr>
      </w:pPr>
      <w:r>
        <w:rPr>
          <w:rFonts w:ascii="宋体" w:hAnsi="宋体" w:cs="宋体" w:eastAsia="宋体" w:hint="default"/>
          <w:b/>
          <w:bCs/>
          <w:sz w:val="21"/>
          <w:szCs w:val="21"/>
        </w:rPr>
        <w:t>资产负债表项目</w:t>
      </w:r>
      <w:r>
        <w:rPr>
          <w:rFonts w:ascii="宋体" w:hAnsi="宋体" w:cs="宋体" w:eastAsia="宋体" w:hint="default"/>
          <w:sz w:val="21"/>
          <w:szCs w:val="21"/>
        </w:rPr>
      </w:r>
    </w:p>
    <w:p>
      <w:pPr>
        <w:spacing w:line="274" w:lineRule="exact" w:before="0"/>
        <w:ind w:left="0" w:right="517" w:firstLine="0"/>
        <w:jc w:val="right"/>
        <w:rPr>
          <w:rFonts w:ascii="宋体" w:hAnsi="宋体" w:cs="宋体" w:eastAsia="宋体" w:hint="default"/>
          <w:sz w:val="21"/>
          <w:szCs w:val="21"/>
        </w:rPr>
      </w:pPr>
      <w:r>
        <w:rPr/>
        <w:pict>
          <v:group style="position:absolute;margin-left:413.220001pt;margin-top:15.684591pt;width:118.95pt;height:.1pt;mso-position-horizontal-relative:page;mso-position-vertical-relative:paragraph;z-index:-910120" coordorigin="8264,314" coordsize="2379,2">
            <v:shape style="position:absolute;left:8264;top:314;width:2379;height:2" coordorigin="8264,314" coordsize="2379,0" path="m8264,314l10643,314e" filled="false" stroked="true" strokeweight=".72pt" strokecolor="#000000">
              <v:path arrowok="t"/>
            </v:shape>
            <w10:wrap type="none"/>
          </v:group>
        </w:pict>
      </w:r>
      <w:r>
        <w:rPr>
          <w:rFonts w:ascii="宋体" w:hAnsi="宋体" w:cs="宋体" w:eastAsia="宋体" w:hint="default"/>
          <w:sz w:val="21"/>
          <w:szCs w:val="21"/>
        </w:rPr>
        <w:t>差异变动金额及幅度</w:t>
      </w:r>
    </w:p>
    <w:p>
      <w:pPr>
        <w:tabs>
          <w:tab w:pos="7163" w:val="left" w:leader="none"/>
          <w:tab w:pos="8796" w:val="left" w:leader="none"/>
        </w:tabs>
        <w:spacing w:before="10"/>
        <w:ind w:left="142" w:right="138" w:firstLine="0"/>
        <w:jc w:val="left"/>
        <w:rPr>
          <w:rFonts w:ascii="Arial" w:hAnsi="Arial" w:cs="Arial" w:eastAsia="Arial" w:hint="default"/>
          <w:sz w:val="21"/>
          <w:szCs w:val="21"/>
        </w:rPr>
      </w:pPr>
      <w:r>
        <w:rPr>
          <w:rFonts w:ascii="宋体" w:hAnsi="宋体" w:cs="宋体" w:eastAsia="宋体" w:hint="default"/>
          <w:position w:val="2"/>
          <w:sz w:val="21"/>
          <w:szCs w:val="21"/>
        </w:rPr>
        <w:t>（单位：人民币百万元）</w:t>
      </w:r>
      <w:r>
        <w:rPr>
          <w:rFonts w:ascii="宋体" w:hAnsi="宋体" w:cs="宋体" w:eastAsia="宋体" w:hint="default"/>
          <w:spacing w:val="-6"/>
          <w:position w:val="2"/>
          <w:sz w:val="21"/>
          <w:szCs w:val="21"/>
        </w:rPr>
        <w:t> </w:t>
      </w:r>
      <w:r>
        <w:rPr>
          <w:rFonts w:ascii="宋体" w:hAnsi="宋体" w:cs="宋体" w:eastAsia="宋体" w:hint="default"/>
          <w:position w:val="2"/>
          <w:sz w:val="21"/>
          <w:szCs w:val="21"/>
        </w:rPr>
        <w:t>附注</w:t>
      </w:r>
      <w:r>
        <w:rPr>
          <w:rFonts w:ascii="宋体" w:hAnsi="宋体" w:cs="宋体" w:eastAsia="宋体" w:hint="default"/>
          <w:spacing w:val="-7"/>
          <w:position w:val="2"/>
          <w:sz w:val="21"/>
          <w:szCs w:val="21"/>
        </w:rPr>
        <w:t> </w:t>
      </w:r>
      <w:r>
        <w:rPr>
          <w:rFonts w:ascii="Arial" w:hAnsi="Arial" w:cs="Arial" w:eastAsia="Arial" w:hint="default"/>
          <w:spacing w:val="-1"/>
          <w:position w:val="2"/>
          <w:sz w:val="21"/>
          <w:szCs w:val="21"/>
        </w:rPr>
        <w:t>2009</w:t>
      </w:r>
      <w:r>
        <w:rPr>
          <w:rFonts w:ascii="Arial" w:hAnsi="Arial" w:cs="Arial" w:eastAsia="Arial" w:hint="default"/>
          <w:spacing w:val="-6"/>
          <w:position w:val="2"/>
          <w:sz w:val="21"/>
          <w:szCs w:val="21"/>
        </w:rPr>
        <w:t> </w:t>
      </w:r>
      <w:r>
        <w:rPr>
          <w:rFonts w:ascii="宋体" w:hAnsi="宋体" w:cs="宋体" w:eastAsia="宋体" w:hint="default"/>
          <w:position w:val="2"/>
          <w:sz w:val="21"/>
          <w:szCs w:val="21"/>
        </w:rPr>
        <w:t>年</w:t>
      </w:r>
      <w:r>
        <w:rPr>
          <w:rFonts w:ascii="宋体" w:hAnsi="宋体" w:cs="宋体" w:eastAsia="宋体" w:hint="default"/>
          <w:spacing w:val="-53"/>
          <w:position w:val="2"/>
          <w:sz w:val="21"/>
          <w:szCs w:val="21"/>
        </w:rPr>
        <w:t> </w:t>
      </w:r>
      <w:r>
        <w:rPr>
          <w:rFonts w:ascii="Arial" w:hAnsi="Arial" w:cs="Arial" w:eastAsia="Arial" w:hint="default"/>
          <w:spacing w:val="-1"/>
          <w:position w:val="2"/>
          <w:sz w:val="21"/>
          <w:szCs w:val="21"/>
        </w:rPr>
        <w:t>12</w:t>
      </w:r>
      <w:r>
        <w:rPr>
          <w:rFonts w:ascii="Arial" w:hAnsi="Arial" w:cs="Arial" w:eastAsia="Arial" w:hint="default"/>
          <w:spacing w:val="-5"/>
          <w:position w:val="2"/>
          <w:sz w:val="21"/>
          <w:szCs w:val="21"/>
        </w:rPr>
        <w:t> </w:t>
      </w:r>
      <w:r>
        <w:rPr>
          <w:rFonts w:ascii="宋体" w:hAnsi="宋体" w:cs="宋体" w:eastAsia="宋体" w:hint="default"/>
          <w:position w:val="2"/>
          <w:sz w:val="21"/>
          <w:szCs w:val="21"/>
        </w:rPr>
        <w:t>月</w:t>
      </w:r>
      <w:r>
        <w:rPr>
          <w:rFonts w:ascii="宋体" w:hAnsi="宋体" w:cs="宋体" w:eastAsia="宋体" w:hint="default"/>
          <w:spacing w:val="-53"/>
          <w:position w:val="2"/>
          <w:sz w:val="21"/>
          <w:szCs w:val="21"/>
        </w:rPr>
        <w:t> </w:t>
      </w:r>
      <w:r>
        <w:rPr>
          <w:rFonts w:ascii="Arial" w:hAnsi="Arial" w:cs="Arial" w:eastAsia="Arial" w:hint="default"/>
          <w:spacing w:val="-1"/>
          <w:position w:val="2"/>
          <w:sz w:val="21"/>
          <w:szCs w:val="21"/>
        </w:rPr>
        <w:t>31</w:t>
      </w:r>
      <w:r>
        <w:rPr>
          <w:rFonts w:ascii="Arial" w:hAnsi="Arial" w:cs="Arial" w:eastAsia="Arial" w:hint="default"/>
          <w:spacing w:val="-6"/>
          <w:position w:val="2"/>
          <w:sz w:val="21"/>
          <w:szCs w:val="21"/>
        </w:rPr>
        <w:t> </w:t>
      </w:r>
      <w:r>
        <w:rPr>
          <w:rFonts w:ascii="宋体" w:hAnsi="宋体" w:cs="宋体" w:eastAsia="宋体" w:hint="default"/>
          <w:position w:val="2"/>
          <w:sz w:val="21"/>
          <w:szCs w:val="21"/>
        </w:rPr>
        <w:t>日</w:t>
      </w:r>
      <w:r>
        <w:rPr>
          <w:rFonts w:ascii="宋体" w:hAnsi="宋体" w:cs="宋体" w:eastAsia="宋体" w:hint="default"/>
          <w:spacing w:val="75"/>
          <w:position w:val="2"/>
          <w:sz w:val="21"/>
          <w:szCs w:val="21"/>
        </w:rPr>
        <w:t> </w:t>
      </w:r>
      <w:r>
        <w:rPr>
          <w:rFonts w:ascii="Arial" w:hAnsi="Arial" w:cs="Arial" w:eastAsia="Arial" w:hint="default"/>
          <w:spacing w:val="-1"/>
          <w:position w:val="2"/>
          <w:sz w:val="21"/>
          <w:szCs w:val="21"/>
        </w:rPr>
        <w:t>2008</w:t>
      </w:r>
      <w:r>
        <w:rPr>
          <w:rFonts w:ascii="Arial" w:hAnsi="Arial" w:cs="Arial" w:eastAsia="Arial" w:hint="default"/>
          <w:spacing w:val="-6"/>
          <w:position w:val="2"/>
          <w:sz w:val="21"/>
          <w:szCs w:val="21"/>
        </w:rPr>
        <w:t> </w:t>
      </w:r>
      <w:r>
        <w:rPr>
          <w:rFonts w:ascii="宋体" w:hAnsi="宋体" w:cs="宋体" w:eastAsia="宋体" w:hint="default"/>
          <w:position w:val="2"/>
          <w:sz w:val="21"/>
          <w:szCs w:val="21"/>
        </w:rPr>
        <w:t>年</w:t>
      </w:r>
      <w:r>
        <w:rPr>
          <w:rFonts w:ascii="宋体" w:hAnsi="宋体" w:cs="宋体" w:eastAsia="宋体" w:hint="default"/>
          <w:spacing w:val="-53"/>
          <w:position w:val="2"/>
          <w:sz w:val="21"/>
          <w:szCs w:val="21"/>
        </w:rPr>
        <w:t> </w:t>
      </w:r>
      <w:r>
        <w:rPr>
          <w:rFonts w:ascii="Arial" w:hAnsi="Arial" w:cs="Arial" w:eastAsia="Arial" w:hint="default"/>
          <w:spacing w:val="-1"/>
          <w:position w:val="2"/>
          <w:sz w:val="21"/>
          <w:szCs w:val="21"/>
        </w:rPr>
        <w:t>12</w:t>
      </w:r>
      <w:r>
        <w:rPr>
          <w:rFonts w:ascii="Arial" w:hAnsi="Arial" w:cs="Arial" w:eastAsia="Arial" w:hint="default"/>
          <w:spacing w:val="-5"/>
          <w:position w:val="2"/>
          <w:sz w:val="21"/>
          <w:szCs w:val="21"/>
        </w:rPr>
        <w:t> </w:t>
      </w:r>
      <w:r>
        <w:rPr>
          <w:rFonts w:ascii="宋体" w:hAnsi="宋体" w:cs="宋体" w:eastAsia="宋体" w:hint="default"/>
          <w:position w:val="2"/>
          <w:sz w:val="21"/>
          <w:szCs w:val="21"/>
        </w:rPr>
        <w:t>月</w:t>
      </w:r>
      <w:r>
        <w:rPr>
          <w:rFonts w:ascii="宋体" w:hAnsi="宋体" w:cs="宋体" w:eastAsia="宋体" w:hint="default"/>
          <w:spacing w:val="-53"/>
          <w:position w:val="2"/>
          <w:sz w:val="21"/>
          <w:szCs w:val="21"/>
        </w:rPr>
        <w:t> </w:t>
      </w:r>
      <w:r>
        <w:rPr>
          <w:rFonts w:ascii="Arial" w:hAnsi="Arial" w:cs="Arial" w:eastAsia="Arial" w:hint="default"/>
          <w:spacing w:val="-1"/>
          <w:position w:val="2"/>
          <w:sz w:val="21"/>
          <w:szCs w:val="21"/>
        </w:rPr>
        <w:t>31</w:t>
      </w:r>
      <w:r>
        <w:rPr>
          <w:rFonts w:ascii="Arial" w:hAnsi="Arial" w:cs="Arial" w:eastAsia="Arial" w:hint="default"/>
          <w:spacing w:val="-6"/>
          <w:position w:val="2"/>
          <w:sz w:val="21"/>
          <w:szCs w:val="21"/>
        </w:rPr>
        <w:t> </w:t>
      </w:r>
      <w:r>
        <w:rPr>
          <w:rFonts w:ascii="宋体" w:hAnsi="宋体" w:cs="宋体" w:eastAsia="宋体" w:hint="default"/>
          <w:position w:val="2"/>
          <w:sz w:val="21"/>
          <w:szCs w:val="21"/>
        </w:rPr>
        <w:t>日</w:t>
        <w:tab/>
      </w:r>
      <w:r>
        <w:rPr>
          <w:rFonts w:ascii="宋体" w:hAnsi="宋体" w:cs="宋体" w:eastAsia="宋体" w:hint="default"/>
          <w:spacing w:val="-1"/>
          <w:position w:val="2"/>
          <w:sz w:val="21"/>
          <w:szCs w:val="21"/>
        </w:rPr>
        <w:t>增加</w:t>
      </w:r>
      <w:r>
        <w:rPr>
          <w:rFonts w:ascii="Arial" w:hAnsi="Arial" w:cs="Arial" w:eastAsia="Arial" w:hint="default"/>
          <w:spacing w:val="-1"/>
          <w:position w:val="2"/>
          <w:sz w:val="21"/>
          <w:szCs w:val="21"/>
        </w:rPr>
        <w:t>(</w:t>
      </w:r>
      <w:r>
        <w:rPr>
          <w:rFonts w:ascii="宋体" w:hAnsi="宋体" w:cs="宋体" w:eastAsia="宋体" w:hint="default"/>
          <w:spacing w:val="-1"/>
          <w:position w:val="2"/>
          <w:sz w:val="21"/>
          <w:szCs w:val="21"/>
        </w:rPr>
        <w:t>减少</w:t>
      </w:r>
      <w:r>
        <w:rPr>
          <w:rFonts w:ascii="Arial" w:hAnsi="Arial" w:cs="Arial" w:eastAsia="Arial" w:hint="default"/>
          <w:spacing w:val="-1"/>
          <w:position w:val="2"/>
          <w:sz w:val="21"/>
          <w:szCs w:val="21"/>
        </w:rPr>
        <w:t>)</w:t>
        <w:tab/>
      </w:r>
      <w:r>
        <w:rPr>
          <w:rFonts w:ascii="Arial" w:hAnsi="Arial" w:cs="Arial" w:eastAsia="Arial" w:hint="default"/>
          <w:sz w:val="21"/>
          <w:szCs w:val="21"/>
        </w:rPr>
        <w:t>%</w:t>
      </w:r>
    </w:p>
    <w:tbl>
      <w:tblPr>
        <w:tblW w:w="0" w:type="auto"/>
        <w:jc w:val="left"/>
        <w:tblInd w:w="107" w:type="dxa"/>
        <w:tblLayout w:type="fixed"/>
        <w:tblCellMar>
          <w:top w:w="0" w:type="dxa"/>
          <w:left w:w="0" w:type="dxa"/>
          <w:bottom w:w="0" w:type="dxa"/>
          <w:right w:w="0" w:type="dxa"/>
        </w:tblCellMar>
        <w:tblLook w:val="01E0"/>
      </w:tblPr>
      <w:tblGrid>
        <w:gridCol w:w="2406"/>
        <w:gridCol w:w="968"/>
        <w:gridCol w:w="1888"/>
        <w:gridCol w:w="1575"/>
        <w:gridCol w:w="79"/>
        <w:gridCol w:w="1244"/>
        <w:gridCol w:w="97"/>
        <w:gridCol w:w="1037"/>
      </w:tblGrid>
      <w:tr>
        <w:trPr>
          <w:trHeight w:val="655" w:hRule="exact"/>
        </w:trPr>
        <w:tc>
          <w:tcPr>
            <w:tcW w:w="2406" w:type="dxa"/>
            <w:tcBorders>
              <w:top w:val="single" w:sz="6" w:space="0" w:color="000000"/>
              <w:left w:val="nil" w:sz="6" w:space="0" w:color="auto"/>
              <w:bottom w:val="nil" w:sz="6" w:space="0" w:color="auto"/>
              <w:right w:val="nil" w:sz="6" w:space="0" w:color="auto"/>
            </w:tcBorders>
          </w:tcPr>
          <w:p>
            <w:pPr>
              <w:pStyle w:val="TableParagraph"/>
              <w:spacing w:line="240" w:lineRule="auto" w:before="5"/>
              <w:ind w:right="0"/>
              <w:jc w:val="left"/>
              <w:rPr>
                <w:rFonts w:ascii="Arial" w:hAnsi="Arial" w:cs="Arial" w:eastAsia="Arial" w:hint="default"/>
                <w:sz w:val="22"/>
                <w:szCs w:val="22"/>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968" w:type="dxa"/>
            <w:tcBorders>
              <w:top w:val="single" w:sz="6" w:space="0" w:color="000000"/>
              <w:left w:val="nil" w:sz="6" w:space="0" w:color="auto"/>
              <w:bottom w:val="nil" w:sz="6" w:space="0" w:color="auto"/>
              <w:right w:val="nil" w:sz="6" w:space="0" w:color="auto"/>
            </w:tcBorders>
          </w:tcPr>
          <w:p>
            <w:pPr>
              <w:pStyle w:val="TableParagraph"/>
              <w:spacing w:line="240" w:lineRule="auto" w:before="1"/>
              <w:ind w:right="0"/>
              <w:jc w:val="left"/>
              <w:rPr>
                <w:rFonts w:ascii="Arial" w:hAnsi="Arial" w:cs="Arial" w:eastAsia="Arial" w:hint="default"/>
                <w:sz w:val="28"/>
                <w:szCs w:val="28"/>
              </w:rPr>
            </w:pPr>
          </w:p>
          <w:p>
            <w:pPr>
              <w:pStyle w:val="TableParagraph"/>
              <w:spacing w:line="240" w:lineRule="auto"/>
              <w:ind w:left="120" w:right="0"/>
              <w:jc w:val="left"/>
              <w:rPr>
                <w:rFonts w:ascii="Arial" w:hAnsi="Arial" w:cs="Arial" w:eastAsia="Arial" w:hint="default"/>
                <w:sz w:val="21"/>
                <w:szCs w:val="21"/>
              </w:rPr>
            </w:pPr>
            <w:r>
              <w:rPr>
                <w:rFonts w:ascii="Arial"/>
                <w:sz w:val="21"/>
              </w:rPr>
              <w:t>(1)</w:t>
            </w:r>
          </w:p>
        </w:tc>
        <w:tc>
          <w:tcPr>
            <w:tcW w:w="1888" w:type="dxa"/>
            <w:tcBorders>
              <w:top w:val="single" w:sz="6" w:space="0" w:color="000000"/>
              <w:left w:val="nil" w:sz="6" w:space="0" w:color="auto"/>
              <w:bottom w:val="nil" w:sz="6" w:space="0" w:color="auto"/>
              <w:right w:val="nil" w:sz="6" w:space="0" w:color="auto"/>
            </w:tcBorders>
          </w:tcPr>
          <w:p>
            <w:pPr>
              <w:pStyle w:val="TableParagraph"/>
              <w:spacing w:line="240" w:lineRule="auto" w:before="1"/>
              <w:ind w:right="0"/>
              <w:jc w:val="left"/>
              <w:rPr>
                <w:rFonts w:ascii="Arial" w:hAnsi="Arial" w:cs="Arial" w:eastAsia="Arial" w:hint="default"/>
                <w:sz w:val="28"/>
                <w:szCs w:val="28"/>
              </w:rPr>
            </w:pPr>
          </w:p>
          <w:p>
            <w:pPr>
              <w:pStyle w:val="TableParagraph"/>
              <w:spacing w:line="240" w:lineRule="auto"/>
              <w:ind w:left="768" w:right="0"/>
              <w:jc w:val="left"/>
              <w:rPr>
                <w:rFonts w:ascii="Arial" w:hAnsi="Arial" w:cs="Arial" w:eastAsia="Arial" w:hint="default"/>
                <w:sz w:val="21"/>
                <w:szCs w:val="21"/>
              </w:rPr>
            </w:pPr>
            <w:r>
              <w:rPr>
                <w:rFonts w:ascii="Arial"/>
                <w:sz w:val="21"/>
              </w:rPr>
              <w:t>8,828</w:t>
            </w:r>
          </w:p>
        </w:tc>
        <w:tc>
          <w:tcPr>
            <w:tcW w:w="1575" w:type="dxa"/>
            <w:tcBorders>
              <w:top w:val="single" w:sz="6" w:space="0" w:color="000000"/>
              <w:left w:val="nil" w:sz="6" w:space="0" w:color="auto"/>
              <w:bottom w:val="nil" w:sz="6" w:space="0" w:color="auto"/>
              <w:right w:val="nil" w:sz="6" w:space="0" w:color="auto"/>
            </w:tcBorders>
          </w:tcPr>
          <w:p>
            <w:pPr>
              <w:pStyle w:val="TableParagraph"/>
              <w:spacing w:line="241" w:lineRule="exact"/>
              <w:ind w:left="525" w:right="0"/>
              <w:jc w:val="left"/>
              <w:rPr>
                <w:rFonts w:ascii="宋体" w:hAnsi="宋体" w:cs="宋体" w:eastAsia="宋体" w:hint="default"/>
                <w:sz w:val="21"/>
                <w:szCs w:val="21"/>
              </w:rPr>
            </w:pPr>
            <w:r>
              <w:rPr>
                <w:rFonts w:ascii="宋体" w:hAnsi="宋体" w:cs="宋体" w:eastAsia="宋体" w:hint="default"/>
                <w:sz w:val="21"/>
                <w:szCs w:val="21"/>
              </w:rPr>
              <w:t>（经重列）</w:t>
            </w:r>
          </w:p>
          <w:p>
            <w:pPr>
              <w:pStyle w:val="TableParagraph"/>
              <w:spacing w:line="240" w:lineRule="auto" w:before="82"/>
              <w:ind w:left="864" w:right="0"/>
              <w:jc w:val="left"/>
              <w:rPr>
                <w:rFonts w:ascii="Arial" w:hAnsi="Arial" w:cs="Arial" w:eastAsia="Arial" w:hint="default"/>
                <w:sz w:val="21"/>
                <w:szCs w:val="21"/>
              </w:rPr>
            </w:pPr>
            <w:r>
              <w:rPr>
                <w:rFonts w:ascii="Arial"/>
                <w:sz w:val="21"/>
              </w:rPr>
              <w:t>10,584</w:t>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single" w:sz="6" w:space="0" w:color="000000"/>
              <w:left w:val="nil" w:sz="6" w:space="0" w:color="auto"/>
              <w:bottom w:val="nil" w:sz="6" w:space="0" w:color="auto"/>
              <w:right w:val="nil" w:sz="6" w:space="0" w:color="auto"/>
            </w:tcBorders>
          </w:tcPr>
          <w:p>
            <w:pPr>
              <w:pStyle w:val="TableParagraph"/>
              <w:spacing w:line="240" w:lineRule="auto" w:before="1"/>
              <w:ind w:right="0"/>
              <w:jc w:val="left"/>
              <w:rPr>
                <w:rFonts w:ascii="Arial" w:hAnsi="Arial" w:cs="Arial" w:eastAsia="Arial" w:hint="default"/>
                <w:sz w:val="28"/>
                <w:szCs w:val="28"/>
              </w:rPr>
            </w:pPr>
          </w:p>
          <w:p>
            <w:pPr>
              <w:pStyle w:val="TableParagraph"/>
              <w:spacing w:line="240" w:lineRule="auto"/>
              <w:ind w:right="90"/>
              <w:jc w:val="right"/>
              <w:rPr>
                <w:rFonts w:ascii="Arial" w:hAnsi="Arial" w:cs="Arial" w:eastAsia="Arial" w:hint="default"/>
                <w:sz w:val="21"/>
                <w:szCs w:val="21"/>
              </w:rPr>
            </w:pPr>
            <w:r>
              <w:rPr>
                <w:rFonts w:ascii="Arial"/>
                <w:spacing w:val="-1"/>
                <w:w w:val="95"/>
                <w:sz w:val="21"/>
              </w:rPr>
              <w:t>(1,756)</w:t>
            </w:r>
            <w:r>
              <w:rPr>
                <w:rFonts w:ascii="Arial"/>
                <w:sz w:val="21"/>
              </w:rPr>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single" w:sz="6" w:space="0" w:color="000000"/>
              <w:left w:val="nil" w:sz="6" w:space="0" w:color="auto"/>
              <w:bottom w:val="nil" w:sz="6" w:space="0" w:color="auto"/>
              <w:right w:val="nil" w:sz="6" w:space="0" w:color="auto"/>
            </w:tcBorders>
          </w:tcPr>
          <w:p>
            <w:pPr>
              <w:pStyle w:val="TableParagraph"/>
              <w:spacing w:line="240" w:lineRule="auto" w:before="1"/>
              <w:ind w:right="0"/>
              <w:jc w:val="left"/>
              <w:rPr>
                <w:rFonts w:ascii="Arial" w:hAnsi="Arial" w:cs="Arial" w:eastAsia="Arial" w:hint="default"/>
                <w:sz w:val="28"/>
                <w:szCs w:val="28"/>
              </w:rPr>
            </w:pPr>
          </w:p>
          <w:p>
            <w:pPr>
              <w:pStyle w:val="TableParagraph"/>
              <w:spacing w:line="240" w:lineRule="auto"/>
              <w:ind w:right="86"/>
              <w:jc w:val="right"/>
              <w:rPr>
                <w:rFonts w:ascii="Arial" w:hAnsi="Arial" w:cs="Arial" w:eastAsia="Arial" w:hint="default"/>
                <w:sz w:val="21"/>
                <w:szCs w:val="21"/>
              </w:rPr>
            </w:pPr>
            <w:r>
              <w:rPr>
                <w:rFonts w:ascii="Arial"/>
                <w:spacing w:val="-1"/>
                <w:w w:val="95"/>
                <w:sz w:val="21"/>
              </w:rPr>
              <w:t>-17%</w:t>
            </w:r>
            <w:r>
              <w:rPr>
                <w:rFonts w:ascii="Arial"/>
                <w:sz w:val="21"/>
              </w:rPr>
            </w:r>
          </w:p>
        </w:tc>
      </w:tr>
      <w:tr>
        <w:trPr>
          <w:trHeight w:val="415"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20" w:right="0"/>
              <w:jc w:val="left"/>
              <w:rPr>
                <w:rFonts w:ascii="Arial" w:hAnsi="Arial" w:cs="Arial" w:eastAsia="Arial" w:hint="default"/>
                <w:sz w:val="21"/>
                <w:szCs w:val="21"/>
              </w:rPr>
            </w:pPr>
            <w:r>
              <w:rPr>
                <w:rFonts w:ascii="Arial"/>
                <w:sz w:val="21"/>
              </w:rPr>
              <w:t>(2)</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90"/>
              <w:ind w:left="768" w:right="0"/>
              <w:jc w:val="left"/>
              <w:rPr>
                <w:rFonts w:ascii="Arial" w:hAnsi="Arial" w:cs="Arial" w:eastAsia="Arial" w:hint="default"/>
                <w:sz w:val="21"/>
                <w:szCs w:val="21"/>
              </w:rPr>
            </w:pPr>
            <w:r>
              <w:rPr>
                <w:rFonts w:ascii="Arial"/>
                <w:sz w:val="21"/>
              </w:rPr>
              <w:t>6,667</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68"/>
              <w:jc w:val="right"/>
              <w:rPr>
                <w:rFonts w:ascii="Arial" w:hAnsi="Arial" w:cs="Arial" w:eastAsia="Arial" w:hint="default"/>
                <w:sz w:val="21"/>
                <w:szCs w:val="21"/>
              </w:rPr>
            </w:pPr>
            <w:r>
              <w:rPr>
                <w:rFonts w:ascii="Arial"/>
                <w:spacing w:val="-1"/>
                <w:w w:val="95"/>
                <w:sz w:val="21"/>
              </w:rPr>
              <w:t>15,636</w:t>
            </w:r>
            <w:r>
              <w:rPr>
                <w:rFonts w:ascii="Arial"/>
                <w:sz w:val="21"/>
              </w:rPr>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90"/>
              <w:jc w:val="right"/>
              <w:rPr>
                <w:rFonts w:ascii="Arial" w:hAnsi="Arial" w:cs="Arial" w:eastAsia="Arial" w:hint="default"/>
                <w:sz w:val="21"/>
                <w:szCs w:val="21"/>
              </w:rPr>
            </w:pPr>
            <w:r>
              <w:rPr>
                <w:rFonts w:ascii="Arial"/>
                <w:spacing w:val="-1"/>
                <w:w w:val="95"/>
                <w:sz w:val="21"/>
              </w:rPr>
              <w:t>(8,969)</w:t>
            </w:r>
            <w:r>
              <w:rPr>
                <w:rFonts w:ascii="Arial"/>
                <w:sz w:val="21"/>
              </w:rPr>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86"/>
              <w:jc w:val="right"/>
              <w:rPr>
                <w:rFonts w:ascii="Arial" w:hAnsi="Arial" w:cs="Arial" w:eastAsia="Arial" w:hint="default"/>
                <w:sz w:val="21"/>
                <w:szCs w:val="21"/>
              </w:rPr>
            </w:pPr>
            <w:r>
              <w:rPr>
                <w:rFonts w:ascii="Arial"/>
                <w:spacing w:val="-1"/>
                <w:w w:val="95"/>
                <w:sz w:val="21"/>
              </w:rPr>
              <w:t>-57%</w:t>
            </w:r>
            <w:r>
              <w:rPr>
                <w:rFonts w:ascii="Arial"/>
                <w:sz w:val="21"/>
              </w:rPr>
            </w:r>
          </w:p>
        </w:tc>
      </w:tr>
      <w:tr>
        <w:trPr>
          <w:trHeight w:val="415"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20" w:right="0"/>
              <w:jc w:val="left"/>
              <w:rPr>
                <w:rFonts w:ascii="Arial" w:hAnsi="Arial" w:cs="Arial" w:eastAsia="Arial" w:hint="default"/>
                <w:sz w:val="21"/>
                <w:szCs w:val="21"/>
              </w:rPr>
            </w:pPr>
            <w:r>
              <w:rPr>
                <w:rFonts w:ascii="Arial"/>
                <w:sz w:val="21"/>
              </w:rPr>
              <w:t>(3)</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90"/>
              <w:ind w:left="768" w:right="0"/>
              <w:jc w:val="left"/>
              <w:rPr>
                <w:rFonts w:ascii="Arial" w:hAnsi="Arial" w:cs="Arial" w:eastAsia="Arial" w:hint="default"/>
                <w:sz w:val="21"/>
                <w:szCs w:val="21"/>
              </w:rPr>
            </w:pPr>
            <w:r>
              <w:rPr>
                <w:rFonts w:ascii="Arial"/>
                <w:sz w:val="21"/>
              </w:rPr>
              <w:t>1,059</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67"/>
              <w:jc w:val="right"/>
              <w:rPr>
                <w:rFonts w:ascii="Arial" w:hAnsi="Arial" w:cs="Arial" w:eastAsia="Arial" w:hint="default"/>
                <w:sz w:val="21"/>
                <w:szCs w:val="21"/>
              </w:rPr>
            </w:pPr>
            <w:r>
              <w:rPr>
                <w:rFonts w:ascii="Arial"/>
                <w:w w:val="99"/>
                <w:sz w:val="21"/>
              </w:rPr>
              <w:t>-</w:t>
            </w:r>
            <w:r>
              <w:rPr>
                <w:rFonts w:ascii="Arial"/>
                <w:sz w:val="21"/>
              </w:rPr>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59"/>
              <w:jc w:val="right"/>
              <w:rPr>
                <w:rFonts w:ascii="Arial" w:hAnsi="Arial" w:cs="Arial" w:eastAsia="Arial" w:hint="default"/>
                <w:sz w:val="21"/>
                <w:szCs w:val="21"/>
              </w:rPr>
            </w:pPr>
            <w:r>
              <w:rPr>
                <w:rFonts w:ascii="Arial"/>
                <w:spacing w:val="-1"/>
                <w:w w:val="95"/>
                <w:sz w:val="21"/>
              </w:rPr>
              <w:t>1,059</w:t>
            </w:r>
            <w:r>
              <w:rPr>
                <w:rFonts w:ascii="Arial"/>
                <w:sz w:val="21"/>
              </w:rPr>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85"/>
              <w:jc w:val="right"/>
              <w:rPr>
                <w:rFonts w:ascii="Arial" w:hAnsi="Arial" w:cs="Arial" w:eastAsia="Arial" w:hint="default"/>
                <w:sz w:val="21"/>
                <w:szCs w:val="21"/>
              </w:rPr>
            </w:pPr>
            <w:r>
              <w:rPr>
                <w:rFonts w:ascii="Arial"/>
                <w:spacing w:val="-1"/>
                <w:w w:val="95"/>
                <w:sz w:val="21"/>
              </w:rPr>
              <w:t>100%</w:t>
            </w:r>
            <w:r>
              <w:rPr>
                <w:rFonts w:ascii="Arial"/>
                <w:sz w:val="21"/>
              </w:rPr>
            </w:r>
          </w:p>
        </w:tc>
      </w:tr>
      <w:tr>
        <w:trPr>
          <w:trHeight w:val="414"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20" w:right="0"/>
              <w:jc w:val="left"/>
              <w:rPr>
                <w:rFonts w:ascii="Arial" w:hAnsi="Arial" w:cs="Arial" w:eastAsia="Arial" w:hint="default"/>
                <w:sz w:val="21"/>
                <w:szCs w:val="21"/>
              </w:rPr>
            </w:pPr>
            <w:r>
              <w:rPr>
                <w:rFonts w:ascii="Arial"/>
                <w:sz w:val="21"/>
              </w:rPr>
              <w:t>(4)</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89"/>
              <w:ind w:left="768" w:right="0"/>
              <w:jc w:val="left"/>
              <w:rPr>
                <w:rFonts w:ascii="Arial" w:hAnsi="Arial" w:cs="Arial" w:eastAsia="Arial" w:hint="default"/>
                <w:sz w:val="21"/>
                <w:szCs w:val="21"/>
              </w:rPr>
            </w:pPr>
            <w:r>
              <w:rPr>
                <w:rFonts w:ascii="Arial"/>
                <w:sz w:val="21"/>
              </w:rPr>
              <w:t>2,412</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68"/>
              <w:jc w:val="right"/>
              <w:rPr>
                <w:rFonts w:ascii="Arial" w:hAnsi="Arial" w:cs="Arial" w:eastAsia="Arial" w:hint="default"/>
                <w:sz w:val="21"/>
                <w:szCs w:val="21"/>
              </w:rPr>
            </w:pPr>
            <w:r>
              <w:rPr>
                <w:rFonts w:ascii="Arial"/>
                <w:spacing w:val="-1"/>
                <w:w w:val="95"/>
                <w:sz w:val="21"/>
              </w:rPr>
              <w:t>1,092</w:t>
            </w:r>
            <w:r>
              <w:rPr>
                <w:rFonts w:ascii="Arial"/>
                <w:sz w:val="21"/>
              </w:rPr>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60"/>
              <w:jc w:val="right"/>
              <w:rPr>
                <w:rFonts w:ascii="Arial" w:hAnsi="Arial" w:cs="Arial" w:eastAsia="Arial" w:hint="default"/>
                <w:sz w:val="21"/>
                <w:szCs w:val="21"/>
              </w:rPr>
            </w:pPr>
            <w:r>
              <w:rPr>
                <w:rFonts w:ascii="Arial"/>
                <w:spacing w:val="-1"/>
                <w:w w:val="95"/>
                <w:sz w:val="21"/>
              </w:rPr>
              <w:t>1,320</w:t>
            </w:r>
            <w:r>
              <w:rPr>
                <w:rFonts w:ascii="Arial"/>
                <w:sz w:val="21"/>
              </w:rPr>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86"/>
              <w:jc w:val="right"/>
              <w:rPr>
                <w:rFonts w:ascii="Arial" w:hAnsi="Arial" w:cs="Arial" w:eastAsia="Arial" w:hint="default"/>
                <w:sz w:val="21"/>
                <w:szCs w:val="21"/>
              </w:rPr>
            </w:pPr>
            <w:r>
              <w:rPr>
                <w:rFonts w:ascii="Arial"/>
                <w:spacing w:val="-1"/>
                <w:w w:val="95"/>
                <w:sz w:val="21"/>
              </w:rPr>
              <w:t>121%</w:t>
            </w:r>
            <w:r>
              <w:rPr>
                <w:rFonts w:ascii="Arial"/>
                <w:sz w:val="21"/>
              </w:rPr>
            </w:r>
          </w:p>
        </w:tc>
      </w:tr>
      <w:tr>
        <w:trPr>
          <w:trHeight w:val="421"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89"/>
              <w:ind w:left="120" w:right="0"/>
              <w:jc w:val="left"/>
              <w:rPr>
                <w:rFonts w:ascii="Arial" w:hAnsi="Arial" w:cs="Arial" w:eastAsia="Arial" w:hint="default"/>
                <w:sz w:val="21"/>
                <w:szCs w:val="21"/>
              </w:rPr>
            </w:pPr>
            <w:r>
              <w:rPr>
                <w:rFonts w:ascii="Arial"/>
                <w:sz w:val="21"/>
              </w:rPr>
              <w:t>(5)</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89"/>
              <w:ind w:left="534" w:right="0"/>
              <w:jc w:val="left"/>
              <w:rPr>
                <w:rFonts w:ascii="Arial" w:hAnsi="Arial" w:cs="Arial" w:eastAsia="Arial" w:hint="default"/>
                <w:sz w:val="21"/>
                <w:szCs w:val="21"/>
              </w:rPr>
            </w:pPr>
            <w:r>
              <w:rPr>
                <w:rFonts w:ascii="Arial"/>
                <w:sz w:val="21"/>
              </w:rPr>
              <w:t>285,035</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68"/>
              <w:jc w:val="right"/>
              <w:rPr>
                <w:rFonts w:ascii="Arial" w:hAnsi="Arial" w:cs="Arial" w:eastAsia="Arial" w:hint="default"/>
                <w:sz w:val="21"/>
                <w:szCs w:val="21"/>
              </w:rPr>
            </w:pPr>
            <w:r>
              <w:rPr>
                <w:rFonts w:ascii="Arial"/>
                <w:spacing w:val="-1"/>
                <w:sz w:val="21"/>
              </w:rPr>
              <w:t>242,767</w:t>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160"/>
              <w:jc w:val="right"/>
              <w:rPr>
                <w:rFonts w:ascii="Arial" w:hAnsi="Arial" w:cs="Arial" w:eastAsia="Arial" w:hint="default"/>
                <w:sz w:val="21"/>
                <w:szCs w:val="21"/>
              </w:rPr>
            </w:pPr>
            <w:r>
              <w:rPr>
                <w:rFonts w:ascii="Arial"/>
                <w:spacing w:val="-1"/>
                <w:w w:val="95"/>
                <w:sz w:val="21"/>
              </w:rPr>
              <w:t>42,268</w:t>
            </w:r>
            <w:r>
              <w:rPr>
                <w:rFonts w:ascii="Arial"/>
                <w:sz w:val="21"/>
              </w:rPr>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86"/>
              <w:jc w:val="right"/>
              <w:rPr>
                <w:rFonts w:ascii="Arial" w:hAnsi="Arial" w:cs="Arial" w:eastAsia="Arial" w:hint="default"/>
                <w:sz w:val="21"/>
                <w:szCs w:val="21"/>
              </w:rPr>
            </w:pPr>
            <w:r>
              <w:rPr>
                <w:rFonts w:ascii="Arial"/>
                <w:spacing w:val="-1"/>
                <w:w w:val="95"/>
                <w:sz w:val="21"/>
              </w:rPr>
              <w:t>17%</w:t>
            </w:r>
            <w:r>
              <w:rPr>
                <w:rFonts w:ascii="Arial"/>
                <w:sz w:val="21"/>
              </w:rPr>
            </w:r>
          </w:p>
        </w:tc>
      </w:tr>
      <w:tr>
        <w:trPr>
          <w:trHeight w:val="429"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5"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20" w:right="0"/>
              <w:jc w:val="left"/>
              <w:rPr>
                <w:rFonts w:ascii="Arial" w:hAnsi="Arial" w:cs="Arial" w:eastAsia="Arial" w:hint="default"/>
                <w:sz w:val="21"/>
                <w:szCs w:val="21"/>
              </w:rPr>
            </w:pPr>
            <w:r>
              <w:rPr>
                <w:rFonts w:ascii="Arial"/>
                <w:sz w:val="21"/>
              </w:rPr>
              <w:t>(6)</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96"/>
              <w:ind w:left="652" w:right="0"/>
              <w:jc w:val="left"/>
              <w:rPr>
                <w:rFonts w:ascii="Arial" w:hAnsi="Arial" w:cs="Arial" w:eastAsia="Arial" w:hint="default"/>
                <w:sz w:val="21"/>
                <w:szCs w:val="21"/>
              </w:rPr>
            </w:pPr>
            <w:r>
              <w:rPr>
                <w:rFonts w:ascii="Arial"/>
                <w:sz w:val="21"/>
              </w:rPr>
              <w:t>57,844</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68"/>
              <w:jc w:val="right"/>
              <w:rPr>
                <w:rFonts w:ascii="Arial" w:hAnsi="Arial" w:cs="Arial" w:eastAsia="Arial" w:hint="default"/>
                <w:sz w:val="21"/>
                <w:szCs w:val="21"/>
              </w:rPr>
            </w:pPr>
            <w:r>
              <w:rPr>
                <w:rFonts w:ascii="Arial"/>
                <w:spacing w:val="-1"/>
                <w:w w:val="95"/>
                <w:sz w:val="21"/>
              </w:rPr>
              <w:t>35,806</w:t>
            </w:r>
            <w:r>
              <w:rPr>
                <w:rFonts w:ascii="Arial"/>
                <w:sz w:val="21"/>
              </w:rPr>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9"/>
              <w:jc w:val="right"/>
              <w:rPr>
                <w:rFonts w:ascii="Arial" w:hAnsi="Arial" w:cs="Arial" w:eastAsia="Arial" w:hint="default"/>
                <w:sz w:val="21"/>
                <w:szCs w:val="21"/>
              </w:rPr>
            </w:pPr>
            <w:r>
              <w:rPr>
                <w:rFonts w:ascii="Arial"/>
                <w:spacing w:val="-1"/>
                <w:w w:val="95"/>
                <w:sz w:val="21"/>
              </w:rPr>
              <w:t>22,038</w:t>
            </w:r>
            <w:r>
              <w:rPr>
                <w:rFonts w:ascii="Arial"/>
                <w:sz w:val="21"/>
              </w:rPr>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86"/>
              <w:jc w:val="right"/>
              <w:rPr>
                <w:rFonts w:ascii="Arial" w:hAnsi="Arial" w:cs="Arial" w:eastAsia="Arial" w:hint="default"/>
                <w:sz w:val="21"/>
                <w:szCs w:val="21"/>
              </w:rPr>
            </w:pPr>
            <w:r>
              <w:rPr>
                <w:rFonts w:ascii="Arial"/>
                <w:spacing w:val="-1"/>
                <w:w w:val="95"/>
                <w:sz w:val="21"/>
              </w:rPr>
              <w:t>62%</w:t>
            </w:r>
            <w:r>
              <w:rPr>
                <w:rFonts w:ascii="Arial"/>
                <w:sz w:val="21"/>
              </w:rPr>
            </w:r>
          </w:p>
        </w:tc>
      </w:tr>
      <w:tr>
        <w:trPr>
          <w:trHeight w:val="429"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20" w:right="0"/>
              <w:jc w:val="left"/>
              <w:rPr>
                <w:rFonts w:ascii="Arial" w:hAnsi="Arial" w:cs="Arial" w:eastAsia="Arial" w:hint="default"/>
                <w:sz w:val="21"/>
                <w:szCs w:val="21"/>
              </w:rPr>
            </w:pPr>
            <w:r>
              <w:rPr>
                <w:rFonts w:ascii="Arial"/>
                <w:sz w:val="21"/>
              </w:rPr>
              <w:t>(6)</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97"/>
              <w:ind w:left="768" w:right="0"/>
              <w:jc w:val="left"/>
              <w:rPr>
                <w:rFonts w:ascii="Arial" w:hAnsi="Arial" w:cs="Arial" w:eastAsia="Arial" w:hint="default"/>
                <w:sz w:val="21"/>
                <w:szCs w:val="21"/>
              </w:rPr>
            </w:pPr>
            <w:r>
              <w:rPr>
                <w:rFonts w:ascii="Arial"/>
                <w:sz w:val="21"/>
              </w:rPr>
              <w:t>6,292</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68"/>
              <w:jc w:val="right"/>
              <w:rPr>
                <w:rFonts w:ascii="Arial" w:hAnsi="Arial" w:cs="Arial" w:eastAsia="Arial" w:hint="default"/>
                <w:sz w:val="21"/>
                <w:szCs w:val="21"/>
              </w:rPr>
            </w:pPr>
            <w:r>
              <w:rPr>
                <w:rFonts w:ascii="Arial"/>
                <w:spacing w:val="-1"/>
                <w:w w:val="95"/>
                <w:sz w:val="21"/>
              </w:rPr>
              <w:t>5,023</w:t>
            </w:r>
            <w:r>
              <w:rPr>
                <w:rFonts w:ascii="Arial"/>
                <w:sz w:val="21"/>
              </w:rPr>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59"/>
              <w:jc w:val="right"/>
              <w:rPr>
                <w:rFonts w:ascii="Arial" w:hAnsi="Arial" w:cs="Arial" w:eastAsia="Arial" w:hint="default"/>
                <w:sz w:val="21"/>
                <w:szCs w:val="21"/>
              </w:rPr>
            </w:pPr>
            <w:r>
              <w:rPr>
                <w:rFonts w:ascii="Arial"/>
                <w:spacing w:val="-1"/>
                <w:w w:val="95"/>
                <w:sz w:val="21"/>
              </w:rPr>
              <w:t>1,269</w:t>
            </w:r>
            <w:r>
              <w:rPr>
                <w:rFonts w:ascii="Arial"/>
                <w:sz w:val="21"/>
              </w:rPr>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85"/>
              <w:jc w:val="right"/>
              <w:rPr>
                <w:rFonts w:ascii="Arial" w:hAnsi="Arial" w:cs="Arial" w:eastAsia="Arial" w:hint="default"/>
                <w:sz w:val="21"/>
                <w:szCs w:val="21"/>
              </w:rPr>
            </w:pPr>
            <w:r>
              <w:rPr>
                <w:rFonts w:ascii="Arial"/>
                <w:spacing w:val="-1"/>
                <w:w w:val="95"/>
                <w:sz w:val="21"/>
              </w:rPr>
              <w:t>25%</w:t>
            </w:r>
            <w:r>
              <w:rPr>
                <w:rFonts w:ascii="Arial"/>
                <w:sz w:val="21"/>
              </w:rPr>
            </w:r>
          </w:p>
        </w:tc>
      </w:tr>
      <w:tr>
        <w:trPr>
          <w:trHeight w:val="429"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5"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20" w:right="0"/>
              <w:jc w:val="left"/>
              <w:rPr>
                <w:rFonts w:ascii="Arial" w:hAnsi="Arial" w:cs="Arial" w:eastAsia="Arial" w:hint="default"/>
                <w:sz w:val="21"/>
                <w:szCs w:val="21"/>
              </w:rPr>
            </w:pPr>
            <w:r>
              <w:rPr>
                <w:rFonts w:ascii="Arial"/>
                <w:sz w:val="21"/>
              </w:rPr>
              <w:t>(7)</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96"/>
              <w:ind w:left="652" w:right="0"/>
              <w:jc w:val="left"/>
              <w:rPr>
                <w:rFonts w:ascii="Arial" w:hAnsi="Arial" w:cs="Arial" w:eastAsia="Arial" w:hint="default"/>
                <w:sz w:val="21"/>
                <w:szCs w:val="21"/>
              </w:rPr>
            </w:pPr>
            <w:r>
              <w:rPr>
                <w:rFonts w:ascii="Arial"/>
                <w:sz w:val="21"/>
              </w:rPr>
              <w:t>63,909</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68"/>
              <w:jc w:val="right"/>
              <w:rPr>
                <w:rFonts w:ascii="Arial" w:hAnsi="Arial" w:cs="Arial" w:eastAsia="Arial" w:hint="default"/>
                <w:sz w:val="21"/>
                <w:szCs w:val="21"/>
              </w:rPr>
            </w:pPr>
            <w:r>
              <w:rPr>
                <w:rFonts w:ascii="Arial"/>
                <w:spacing w:val="-1"/>
                <w:w w:val="95"/>
                <w:sz w:val="21"/>
              </w:rPr>
              <w:t>10,780</w:t>
            </w:r>
            <w:r>
              <w:rPr>
                <w:rFonts w:ascii="Arial"/>
                <w:sz w:val="21"/>
              </w:rPr>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9"/>
              <w:jc w:val="right"/>
              <w:rPr>
                <w:rFonts w:ascii="Arial" w:hAnsi="Arial" w:cs="Arial" w:eastAsia="Arial" w:hint="default"/>
                <w:sz w:val="21"/>
                <w:szCs w:val="21"/>
              </w:rPr>
            </w:pPr>
            <w:r>
              <w:rPr>
                <w:rFonts w:ascii="Arial"/>
                <w:spacing w:val="-1"/>
                <w:w w:val="95"/>
                <w:sz w:val="21"/>
              </w:rPr>
              <w:t>53,129</w:t>
            </w:r>
            <w:r>
              <w:rPr>
                <w:rFonts w:ascii="Arial"/>
                <w:sz w:val="21"/>
              </w:rPr>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86"/>
              <w:jc w:val="right"/>
              <w:rPr>
                <w:rFonts w:ascii="Arial" w:hAnsi="Arial" w:cs="Arial" w:eastAsia="Arial" w:hint="default"/>
                <w:sz w:val="21"/>
                <w:szCs w:val="21"/>
              </w:rPr>
            </w:pPr>
            <w:r>
              <w:rPr>
                <w:rFonts w:ascii="Arial"/>
                <w:spacing w:val="-1"/>
                <w:w w:val="95"/>
                <w:sz w:val="21"/>
              </w:rPr>
              <w:t>493%</w:t>
            </w:r>
            <w:r>
              <w:rPr>
                <w:rFonts w:ascii="Arial"/>
                <w:sz w:val="21"/>
              </w:rPr>
            </w:r>
          </w:p>
        </w:tc>
      </w:tr>
      <w:tr>
        <w:trPr>
          <w:trHeight w:val="429"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1"/>
                <w:szCs w:val="21"/>
              </w:rPr>
            </w:pPr>
            <w:r>
              <w:rPr>
                <w:rFonts w:ascii="宋体" w:hAnsi="宋体" w:cs="宋体" w:eastAsia="宋体" w:hint="default"/>
                <w:sz w:val="21"/>
                <w:szCs w:val="21"/>
              </w:rPr>
              <w:t>应付短期债券</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20" w:right="0"/>
              <w:jc w:val="left"/>
              <w:rPr>
                <w:rFonts w:ascii="Arial" w:hAnsi="Arial" w:cs="Arial" w:eastAsia="Arial" w:hint="default"/>
                <w:sz w:val="21"/>
                <w:szCs w:val="21"/>
              </w:rPr>
            </w:pPr>
            <w:r>
              <w:rPr>
                <w:rFonts w:ascii="Arial"/>
                <w:sz w:val="21"/>
              </w:rPr>
              <w:t>(8)</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592"/>
              <w:jc w:val="right"/>
              <w:rPr>
                <w:rFonts w:ascii="Arial" w:hAnsi="Arial" w:cs="Arial" w:eastAsia="Arial" w:hint="default"/>
                <w:sz w:val="21"/>
                <w:szCs w:val="21"/>
              </w:rPr>
            </w:pPr>
            <w:r>
              <w:rPr>
                <w:rFonts w:ascii="Arial"/>
                <w:w w:val="99"/>
                <w:sz w:val="21"/>
              </w:rPr>
              <w:t>-</w:t>
            </w:r>
            <w:r>
              <w:rPr>
                <w:rFonts w:ascii="Arial"/>
                <w:sz w:val="21"/>
              </w:rPr>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67"/>
              <w:jc w:val="right"/>
              <w:rPr>
                <w:rFonts w:ascii="Arial" w:hAnsi="Arial" w:cs="Arial" w:eastAsia="Arial" w:hint="default"/>
                <w:sz w:val="21"/>
                <w:szCs w:val="21"/>
              </w:rPr>
            </w:pPr>
            <w:r>
              <w:rPr>
                <w:rFonts w:ascii="Arial"/>
                <w:spacing w:val="-1"/>
                <w:w w:val="95"/>
                <w:sz w:val="21"/>
              </w:rPr>
              <w:t>10,000</w:t>
            </w:r>
            <w:r>
              <w:rPr>
                <w:rFonts w:ascii="Arial"/>
                <w:sz w:val="21"/>
              </w:rPr>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90"/>
              <w:jc w:val="right"/>
              <w:rPr>
                <w:rFonts w:ascii="Arial" w:hAnsi="Arial" w:cs="Arial" w:eastAsia="Arial" w:hint="default"/>
                <w:sz w:val="21"/>
                <w:szCs w:val="21"/>
              </w:rPr>
            </w:pPr>
            <w:r>
              <w:rPr>
                <w:rFonts w:ascii="Arial"/>
                <w:spacing w:val="-1"/>
                <w:sz w:val="21"/>
              </w:rPr>
              <w:t>(10,000)</w:t>
            </w:r>
            <w:r>
              <w:rPr>
                <w:rFonts w:ascii="Arial"/>
                <w:sz w:val="21"/>
              </w:rPr>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85"/>
              <w:jc w:val="right"/>
              <w:rPr>
                <w:rFonts w:ascii="Arial" w:hAnsi="Arial" w:cs="Arial" w:eastAsia="Arial" w:hint="default"/>
                <w:sz w:val="21"/>
                <w:szCs w:val="21"/>
              </w:rPr>
            </w:pPr>
            <w:r>
              <w:rPr>
                <w:rFonts w:ascii="Arial"/>
                <w:spacing w:val="-1"/>
                <w:w w:val="95"/>
                <w:sz w:val="21"/>
              </w:rPr>
              <w:t>-100%</w:t>
            </w:r>
            <w:r>
              <w:rPr>
                <w:rFonts w:ascii="Arial"/>
                <w:sz w:val="21"/>
              </w:rPr>
            </w:r>
          </w:p>
        </w:tc>
      </w:tr>
      <w:tr>
        <w:trPr>
          <w:trHeight w:val="429"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5"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20" w:right="0"/>
              <w:jc w:val="left"/>
              <w:rPr>
                <w:rFonts w:ascii="Arial" w:hAnsi="Arial" w:cs="Arial" w:eastAsia="Arial" w:hint="default"/>
                <w:sz w:val="21"/>
                <w:szCs w:val="21"/>
              </w:rPr>
            </w:pPr>
            <w:r>
              <w:rPr>
                <w:rFonts w:ascii="Arial"/>
                <w:sz w:val="21"/>
              </w:rPr>
              <w:t>(9)</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96"/>
              <w:ind w:left="768" w:right="0"/>
              <w:jc w:val="left"/>
              <w:rPr>
                <w:rFonts w:ascii="Arial" w:hAnsi="Arial" w:cs="Arial" w:eastAsia="Arial" w:hint="default"/>
                <w:sz w:val="21"/>
                <w:szCs w:val="21"/>
              </w:rPr>
            </w:pPr>
            <w:r>
              <w:rPr>
                <w:rFonts w:ascii="Arial"/>
                <w:sz w:val="21"/>
              </w:rPr>
              <w:t>1,381</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68"/>
              <w:jc w:val="right"/>
              <w:rPr>
                <w:rFonts w:ascii="Arial" w:hAnsi="Arial" w:cs="Arial" w:eastAsia="Arial" w:hint="default"/>
                <w:sz w:val="21"/>
                <w:szCs w:val="21"/>
              </w:rPr>
            </w:pPr>
            <w:r>
              <w:rPr>
                <w:rFonts w:ascii="Arial"/>
                <w:spacing w:val="-1"/>
                <w:w w:val="95"/>
                <w:sz w:val="21"/>
              </w:rPr>
              <w:t>1,040</w:t>
            </w:r>
            <w:r>
              <w:rPr>
                <w:rFonts w:ascii="Arial"/>
                <w:sz w:val="21"/>
              </w:rPr>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9"/>
              <w:jc w:val="right"/>
              <w:rPr>
                <w:rFonts w:ascii="Arial" w:hAnsi="Arial" w:cs="Arial" w:eastAsia="Arial" w:hint="default"/>
                <w:sz w:val="21"/>
                <w:szCs w:val="21"/>
              </w:rPr>
            </w:pPr>
            <w:r>
              <w:rPr>
                <w:rFonts w:ascii="Arial"/>
                <w:spacing w:val="-1"/>
                <w:w w:val="95"/>
                <w:sz w:val="21"/>
              </w:rPr>
              <w:t>341</w:t>
            </w:r>
            <w:r>
              <w:rPr>
                <w:rFonts w:ascii="Arial"/>
                <w:sz w:val="21"/>
              </w:rPr>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86"/>
              <w:jc w:val="right"/>
              <w:rPr>
                <w:rFonts w:ascii="Arial" w:hAnsi="Arial" w:cs="Arial" w:eastAsia="Arial" w:hint="default"/>
                <w:sz w:val="21"/>
                <w:szCs w:val="21"/>
              </w:rPr>
            </w:pPr>
            <w:r>
              <w:rPr>
                <w:rFonts w:ascii="Arial"/>
                <w:spacing w:val="-1"/>
                <w:w w:val="95"/>
                <w:sz w:val="21"/>
              </w:rPr>
              <w:t>33%</w:t>
            </w:r>
            <w:r>
              <w:rPr>
                <w:rFonts w:ascii="Arial"/>
                <w:sz w:val="21"/>
              </w:rPr>
            </w:r>
          </w:p>
        </w:tc>
      </w:tr>
      <w:tr>
        <w:trPr>
          <w:trHeight w:val="429"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97"/>
              <w:ind w:left="120" w:right="0"/>
              <w:jc w:val="left"/>
              <w:rPr>
                <w:rFonts w:ascii="Arial" w:hAnsi="Arial" w:cs="Arial" w:eastAsia="Arial" w:hint="default"/>
                <w:sz w:val="21"/>
                <w:szCs w:val="21"/>
              </w:rPr>
            </w:pPr>
            <w:r>
              <w:rPr>
                <w:rFonts w:ascii="Arial"/>
                <w:sz w:val="21"/>
              </w:rPr>
              <w:t>(9)</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97"/>
              <w:ind w:left="534" w:right="0"/>
              <w:jc w:val="left"/>
              <w:rPr>
                <w:rFonts w:ascii="Arial" w:hAnsi="Arial" w:cs="Arial" w:eastAsia="Arial" w:hint="default"/>
                <w:sz w:val="21"/>
                <w:szCs w:val="21"/>
              </w:rPr>
            </w:pPr>
            <w:r>
              <w:rPr>
                <w:rFonts w:ascii="Arial"/>
                <w:sz w:val="21"/>
              </w:rPr>
              <w:t>100,567</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68"/>
              <w:jc w:val="right"/>
              <w:rPr>
                <w:rFonts w:ascii="Arial" w:hAnsi="Arial" w:cs="Arial" w:eastAsia="Arial" w:hint="default"/>
                <w:sz w:val="21"/>
                <w:szCs w:val="21"/>
              </w:rPr>
            </w:pPr>
            <w:r>
              <w:rPr>
                <w:rFonts w:ascii="Arial"/>
                <w:spacing w:val="-1"/>
                <w:w w:val="95"/>
                <w:sz w:val="21"/>
              </w:rPr>
              <w:t>63,289</w:t>
            </w:r>
            <w:r>
              <w:rPr>
                <w:rFonts w:ascii="Arial"/>
                <w:sz w:val="21"/>
              </w:rPr>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59"/>
              <w:jc w:val="right"/>
              <w:rPr>
                <w:rFonts w:ascii="Arial" w:hAnsi="Arial" w:cs="Arial" w:eastAsia="Arial" w:hint="default"/>
                <w:sz w:val="21"/>
                <w:szCs w:val="21"/>
              </w:rPr>
            </w:pPr>
            <w:r>
              <w:rPr>
                <w:rFonts w:ascii="Arial"/>
                <w:spacing w:val="-1"/>
                <w:w w:val="95"/>
                <w:sz w:val="21"/>
              </w:rPr>
              <w:t>37,278</w:t>
            </w:r>
            <w:r>
              <w:rPr>
                <w:rFonts w:ascii="Arial"/>
                <w:sz w:val="21"/>
              </w:rPr>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86"/>
              <w:jc w:val="right"/>
              <w:rPr>
                <w:rFonts w:ascii="Arial" w:hAnsi="Arial" w:cs="Arial" w:eastAsia="Arial" w:hint="default"/>
                <w:sz w:val="21"/>
                <w:szCs w:val="21"/>
              </w:rPr>
            </w:pPr>
            <w:r>
              <w:rPr>
                <w:rFonts w:ascii="Arial"/>
                <w:spacing w:val="-1"/>
                <w:w w:val="95"/>
                <w:sz w:val="21"/>
              </w:rPr>
              <w:t>59%</w:t>
            </w:r>
            <w:r>
              <w:rPr>
                <w:rFonts w:ascii="Arial"/>
                <w:sz w:val="21"/>
              </w:rPr>
            </w:r>
          </w:p>
        </w:tc>
      </w:tr>
      <w:tr>
        <w:trPr>
          <w:trHeight w:val="429"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5" w:right="0"/>
              <w:jc w:val="left"/>
              <w:rPr>
                <w:rFonts w:ascii="宋体" w:hAnsi="宋体" w:cs="宋体" w:eastAsia="宋体" w:hint="default"/>
                <w:sz w:val="21"/>
                <w:szCs w:val="21"/>
              </w:rPr>
            </w:pPr>
            <w:r>
              <w:rPr>
                <w:rFonts w:ascii="宋体" w:hAnsi="宋体" w:cs="宋体" w:eastAsia="宋体" w:hint="default"/>
                <w:sz w:val="21"/>
                <w:szCs w:val="21"/>
              </w:rPr>
              <w:t>预收账款</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96"/>
              <w:ind w:left="61" w:right="0"/>
              <w:jc w:val="left"/>
              <w:rPr>
                <w:rFonts w:ascii="Arial" w:hAnsi="Arial" w:cs="Arial" w:eastAsia="Arial" w:hint="default"/>
                <w:sz w:val="21"/>
                <w:szCs w:val="21"/>
              </w:rPr>
            </w:pPr>
            <w:r>
              <w:rPr>
                <w:rFonts w:ascii="Arial"/>
                <w:sz w:val="21"/>
              </w:rPr>
              <w:t>(10)</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96"/>
              <w:ind w:left="652" w:right="0"/>
              <w:jc w:val="left"/>
              <w:rPr>
                <w:rFonts w:ascii="Arial" w:hAnsi="Arial" w:cs="Arial" w:eastAsia="Arial" w:hint="default"/>
                <w:sz w:val="21"/>
                <w:szCs w:val="21"/>
              </w:rPr>
            </w:pPr>
            <w:r>
              <w:rPr>
                <w:rFonts w:ascii="Arial"/>
                <w:sz w:val="21"/>
              </w:rPr>
              <w:t>21,136</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68"/>
              <w:jc w:val="right"/>
              <w:rPr>
                <w:rFonts w:ascii="Arial" w:hAnsi="Arial" w:cs="Arial" w:eastAsia="Arial" w:hint="default"/>
                <w:sz w:val="21"/>
                <w:szCs w:val="21"/>
              </w:rPr>
            </w:pPr>
            <w:r>
              <w:rPr>
                <w:rFonts w:ascii="Arial"/>
                <w:spacing w:val="-1"/>
                <w:w w:val="95"/>
                <w:sz w:val="21"/>
              </w:rPr>
              <w:t>17,100</w:t>
            </w:r>
            <w:r>
              <w:rPr>
                <w:rFonts w:ascii="Arial"/>
                <w:sz w:val="21"/>
              </w:rPr>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159"/>
              <w:jc w:val="right"/>
              <w:rPr>
                <w:rFonts w:ascii="Arial" w:hAnsi="Arial" w:cs="Arial" w:eastAsia="Arial" w:hint="default"/>
                <w:sz w:val="21"/>
                <w:szCs w:val="21"/>
              </w:rPr>
            </w:pPr>
            <w:r>
              <w:rPr>
                <w:rFonts w:ascii="Arial"/>
                <w:spacing w:val="-1"/>
                <w:w w:val="95"/>
                <w:sz w:val="21"/>
              </w:rPr>
              <w:t>4,036</w:t>
            </w:r>
            <w:r>
              <w:rPr>
                <w:rFonts w:ascii="Arial"/>
                <w:sz w:val="21"/>
              </w:rPr>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85"/>
              <w:jc w:val="right"/>
              <w:rPr>
                <w:rFonts w:ascii="Arial" w:hAnsi="Arial" w:cs="Arial" w:eastAsia="Arial" w:hint="default"/>
                <w:sz w:val="21"/>
                <w:szCs w:val="21"/>
              </w:rPr>
            </w:pPr>
            <w:r>
              <w:rPr>
                <w:rFonts w:ascii="Arial"/>
                <w:spacing w:val="-1"/>
                <w:w w:val="95"/>
                <w:sz w:val="21"/>
              </w:rPr>
              <w:t>24%</w:t>
            </w:r>
            <w:r>
              <w:rPr>
                <w:rFonts w:ascii="Arial"/>
                <w:sz w:val="21"/>
              </w:rPr>
            </w:r>
          </w:p>
        </w:tc>
      </w:tr>
      <w:tr>
        <w:trPr>
          <w:trHeight w:val="429"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97"/>
              <w:ind w:left="61" w:right="0"/>
              <w:jc w:val="left"/>
              <w:rPr>
                <w:rFonts w:ascii="Arial" w:hAnsi="Arial" w:cs="Arial" w:eastAsia="Arial" w:hint="default"/>
                <w:sz w:val="21"/>
                <w:szCs w:val="21"/>
              </w:rPr>
            </w:pPr>
            <w:r>
              <w:rPr>
                <w:rFonts w:ascii="Arial"/>
                <w:sz w:val="21"/>
              </w:rPr>
              <w:t>(11)</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523"/>
              <w:jc w:val="right"/>
              <w:rPr>
                <w:rFonts w:ascii="Arial" w:hAnsi="Arial" w:cs="Arial" w:eastAsia="Arial" w:hint="default"/>
                <w:sz w:val="21"/>
                <w:szCs w:val="21"/>
              </w:rPr>
            </w:pPr>
            <w:r>
              <w:rPr>
                <w:rFonts w:ascii="Arial"/>
                <w:spacing w:val="-1"/>
                <w:sz w:val="21"/>
              </w:rPr>
              <w:t>(912)</w:t>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67"/>
              <w:jc w:val="right"/>
              <w:rPr>
                <w:rFonts w:ascii="Arial" w:hAnsi="Arial" w:cs="Arial" w:eastAsia="Arial" w:hint="default"/>
                <w:sz w:val="21"/>
                <w:szCs w:val="21"/>
              </w:rPr>
            </w:pPr>
            <w:r>
              <w:rPr>
                <w:rFonts w:ascii="Arial"/>
                <w:spacing w:val="-1"/>
                <w:w w:val="95"/>
                <w:sz w:val="21"/>
              </w:rPr>
              <w:t>11,307</w:t>
            </w:r>
            <w:r>
              <w:rPr>
                <w:rFonts w:ascii="Arial"/>
                <w:sz w:val="21"/>
              </w:rPr>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90"/>
              <w:jc w:val="right"/>
              <w:rPr>
                <w:rFonts w:ascii="Arial" w:hAnsi="Arial" w:cs="Arial" w:eastAsia="Arial" w:hint="default"/>
                <w:sz w:val="21"/>
                <w:szCs w:val="21"/>
              </w:rPr>
            </w:pPr>
            <w:r>
              <w:rPr>
                <w:rFonts w:ascii="Arial"/>
                <w:spacing w:val="-1"/>
                <w:sz w:val="21"/>
              </w:rPr>
              <w:t>(10,395)</w:t>
            </w:r>
            <w:r>
              <w:rPr>
                <w:rFonts w:ascii="Arial"/>
                <w:sz w:val="21"/>
              </w:rPr>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85"/>
              <w:jc w:val="right"/>
              <w:rPr>
                <w:rFonts w:ascii="Arial" w:hAnsi="Arial" w:cs="Arial" w:eastAsia="Arial" w:hint="default"/>
                <w:sz w:val="21"/>
                <w:szCs w:val="21"/>
              </w:rPr>
            </w:pPr>
            <w:r>
              <w:rPr>
                <w:rFonts w:ascii="Arial"/>
                <w:spacing w:val="-1"/>
                <w:w w:val="95"/>
                <w:sz w:val="21"/>
              </w:rPr>
              <w:t>-92%</w:t>
            </w:r>
            <w:r>
              <w:rPr>
                <w:rFonts w:ascii="Arial"/>
                <w:sz w:val="21"/>
              </w:rPr>
            </w:r>
          </w:p>
        </w:tc>
      </w:tr>
      <w:tr>
        <w:trPr>
          <w:trHeight w:val="429"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5"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96"/>
              <w:ind w:left="61" w:right="0"/>
              <w:jc w:val="left"/>
              <w:rPr>
                <w:rFonts w:ascii="Arial" w:hAnsi="Arial" w:cs="Arial" w:eastAsia="Arial" w:hint="default"/>
                <w:sz w:val="21"/>
                <w:szCs w:val="21"/>
              </w:rPr>
            </w:pPr>
            <w:r>
              <w:rPr>
                <w:rFonts w:ascii="Arial"/>
                <w:sz w:val="21"/>
              </w:rPr>
              <w:t>(12)</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93"/>
              <w:jc w:val="right"/>
              <w:rPr>
                <w:rFonts w:ascii="Arial" w:hAnsi="Arial" w:cs="Arial" w:eastAsia="Arial" w:hint="default"/>
                <w:sz w:val="21"/>
                <w:szCs w:val="21"/>
              </w:rPr>
            </w:pPr>
            <w:r>
              <w:rPr>
                <w:rFonts w:ascii="Arial"/>
                <w:spacing w:val="-1"/>
                <w:w w:val="95"/>
                <w:sz w:val="21"/>
              </w:rPr>
              <w:t>24</w:t>
            </w:r>
            <w:r>
              <w:rPr>
                <w:rFonts w:ascii="Arial"/>
                <w:sz w:val="21"/>
              </w:rPr>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67"/>
              <w:jc w:val="right"/>
              <w:rPr>
                <w:rFonts w:ascii="Arial" w:hAnsi="Arial" w:cs="Arial" w:eastAsia="Arial" w:hint="default"/>
                <w:sz w:val="21"/>
                <w:szCs w:val="21"/>
              </w:rPr>
            </w:pPr>
            <w:r>
              <w:rPr>
                <w:rFonts w:ascii="Arial"/>
                <w:spacing w:val="-1"/>
                <w:w w:val="95"/>
                <w:sz w:val="21"/>
              </w:rPr>
              <w:t>268</w:t>
            </w:r>
            <w:r>
              <w:rPr>
                <w:rFonts w:ascii="Arial"/>
                <w:sz w:val="21"/>
              </w:rPr>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89"/>
              <w:jc w:val="right"/>
              <w:rPr>
                <w:rFonts w:ascii="Arial" w:hAnsi="Arial" w:cs="Arial" w:eastAsia="Arial" w:hint="default"/>
                <w:sz w:val="21"/>
                <w:szCs w:val="21"/>
              </w:rPr>
            </w:pPr>
            <w:r>
              <w:rPr>
                <w:rFonts w:ascii="Arial"/>
                <w:spacing w:val="-1"/>
                <w:sz w:val="21"/>
              </w:rPr>
              <w:t>(243)</w:t>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85"/>
              <w:jc w:val="right"/>
              <w:rPr>
                <w:rFonts w:ascii="Arial" w:hAnsi="Arial" w:cs="Arial" w:eastAsia="Arial" w:hint="default"/>
                <w:sz w:val="21"/>
                <w:szCs w:val="21"/>
              </w:rPr>
            </w:pPr>
            <w:r>
              <w:rPr>
                <w:rFonts w:ascii="Arial"/>
                <w:spacing w:val="-1"/>
                <w:w w:val="95"/>
                <w:sz w:val="21"/>
              </w:rPr>
              <w:t>-91%</w:t>
            </w:r>
            <w:r>
              <w:rPr>
                <w:rFonts w:ascii="Arial"/>
                <w:sz w:val="21"/>
              </w:rPr>
            </w:r>
          </w:p>
        </w:tc>
      </w:tr>
      <w:tr>
        <w:trPr>
          <w:trHeight w:val="429"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97"/>
              <w:ind w:left="61" w:right="0"/>
              <w:jc w:val="left"/>
              <w:rPr>
                <w:rFonts w:ascii="Arial" w:hAnsi="Arial" w:cs="Arial" w:eastAsia="Arial" w:hint="default"/>
                <w:sz w:val="21"/>
                <w:szCs w:val="21"/>
              </w:rPr>
            </w:pPr>
            <w:r>
              <w:rPr>
                <w:rFonts w:ascii="Arial"/>
                <w:sz w:val="21"/>
              </w:rPr>
              <w:t>(13)</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593"/>
              <w:jc w:val="right"/>
              <w:rPr>
                <w:rFonts w:ascii="Arial" w:hAnsi="Arial" w:cs="Arial" w:eastAsia="Arial" w:hint="default"/>
                <w:sz w:val="21"/>
                <w:szCs w:val="21"/>
              </w:rPr>
            </w:pPr>
            <w:r>
              <w:rPr>
                <w:rFonts w:ascii="Arial"/>
                <w:spacing w:val="-1"/>
                <w:w w:val="95"/>
                <w:sz w:val="21"/>
              </w:rPr>
              <w:t>88</w:t>
            </w:r>
            <w:r>
              <w:rPr>
                <w:rFonts w:ascii="Arial"/>
                <w:sz w:val="21"/>
              </w:rPr>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67"/>
              <w:jc w:val="right"/>
              <w:rPr>
                <w:rFonts w:ascii="Arial" w:hAnsi="Arial" w:cs="Arial" w:eastAsia="Arial" w:hint="default"/>
                <w:sz w:val="21"/>
                <w:szCs w:val="21"/>
              </w:rPr>
            </w:pPr>
            <w:r>
              <w:rPr>
                <w:rFonts w:ascii="Arial"/>
                <w:spacing w:val="-1"/>
                <w:w w:val="95"/>
                <w:sz w:val="21"/>
              </w:rPr>
              <w:t>1,217</w:t>
            </w:r>
            <w:r>
              <w:rPr>
                <w:rFonts w:ascii="Arial"/>
                <w:sz w:val="21"/>
              </w:rPr>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90"/>
              <w:jc w:val="right"/>
              <w:rPr>
                <w:rFonts w:ascii="Arial" w:hAnsi="Arial" w:cs="Arial" w:eastAsia="Arial" w:hint="default"/>
                <w:sz w:val="21"/>
                <w:szCs w:val="21"/>
              </w:rPr>
            </w:pPr>
            <w:r>
              <w:rPr>
                <w:rFonts w:ascii="Arial"/>
                <w:spacing w:val="-1"/>
                <w:w w:val="95"/>
                <w:sz w:val="21"/>
              </w:rPr>
              <w:t>(1,128)</w:t>
            </w:r>
            <w:r>
              <w:rPr>
                <w:rFonts w:ascii="Arial"/>
                <w:sz w:val="21"/>
              </w:rPr>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86"/>
              <w:jc w:val="right"/>
              <w:rPr>
                <w:rFonts w:ascii="Arial" w:hAnsi="Arial" w:cs="Arial" w:eastAsia="Arial" w:hint="default"/>
                <w:sz w:val="21"/>
                <w:szCs w:val="21"/>
              </w:rPr>
            </w:pPr>
            <w:r>
              <w:rPr>
                <w:rFonts w:ascii="Arial"/>
                <w:spacing w:val="-1"/>
                <w:w w:val="95"/>
                <w:sz w:val="21"/>
              </w:rPr>
              <w:t>-93%</w:t>
            </w:r>
            <w:r>
              <w:rPr>
                <w:rFonts w:ascii="Arial"/>
                <w:sz w:val="21"/>
              </w:rPr>
            </w:r>
          </w:p>
        </w:tc>
      </w:tr>
      <w:tr>
        <w:trPr>
          <w:trHeight w:val="429"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30"/>
              <w:ind w:left="35"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96"/>
              <w:ind w:left="61" w:right="0"/>
              <w:jc w:val="left"/>
              <w:rPr>
                <w:rFonts w:ascii="Arial" w:hAnsi="Arial" w:cs="Arial" w:eastAsia="Arial" w:hint="default"/>
                <w:sz w:val="21"/>
                <w:szCs w:val="21"/>
              </w:rPr>
            </w:pPr>
            <w:r>
              <w:rPr>
                <w:rFonts w:ascii="Arial"/>
                <w:sz w:val="21"/>
              </w:rPr>
              <w:t>(14)</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593"/>
              <w:jc w:val="right"/>
              <w:rPr>
                <w:rFonts w:ascii="Arial" w:hAnsi="Arial" w:cs="Arial" w:eastAsia="Arial" w:hint="default"/>
                <w:sz w:val="21"/>
                <w:szCs w:val="21"/>
              </w:rPr>
            </w:pPr>
            <w:r>
              <w:rPr>
                <w:rFonts w:ascii="Arial"/>
                <w:spacing w:val="-1"/>
                <w:w w:val="95"/>
                <w:sz w:val="21"/>
              </w:rPr>
              <w:t>191</w:t>
            </w:r>
            <w:r>
              <w:rPr>
                <w:rFonts w:ascii="Arial"/>
                <w:sz w:val="21"/>
              </w:rPr>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67"/>
              <w:jc w:val="right"/>
              <w:rPr>
                <w:rFonts w:ascii="Arial" w:hAnsi="Arial" w:cs="Arial" w:eastAsia="Arial" w:hint="default"/>
                <w:sz w:val="21"/>
                <w:szCs w:val="21"/>
              </w:rPr>
            </w:pPr>
            <w:r>
              <w:rPr>
                <w:rFonts w:ascii="Arial"/>
                <w:spacing w:val="-1"/>
                <w:w w:val="95"/>
                <w:sz w:val="21"/>
              </w:rPr>
              <w:t>1,689</w:t>
            </w:r>
            <w:r>
              <w:rPr>
                <w:rFonts w:ascii="Arial"/>
                <w:sz w:val="21"/>
              </w:rPr>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90"/>
              <w:jc w:val="right"/>
              <w:rPr>
                <w:rFonts w:ascii="Arial" w:hAnsi="Arial" w:cs="Arial" w:eastAsia="Arial" w:hint="default"/>
                <w:sz w:val="21"/>
                <w:szCs w:val="21"/>
              </w:rPr>
            </w:pPr>
            <w:r>
              <w:rPr>
                <w:rFonts w:ascii="Arial"/>
                <w:spacing w:val="-1"/>
                <w:w w:val="95"/>
                <w:sz w:val="21"/>
              </w:rPr>
              <w:t>(1,498)</w:t>
            </w:r>
            <w:r>
              <w:rPr>
                <w:rFonts w:ascii="Arial"/>
                <w:sz w:val="21"/>
              </w:rPr>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96"/>
              <w:ind w:right="87"/>
              <w:jc w:val="right"/>
              <w:rPr>
                <w:rFonts w:ascii="Arial" w:hAnsi="Arial" w:cs="Arial" w:eastAsia="Arial" w:hint="default"/>
                <w:sz w:val="21"/>
                <w:szCs w:val="21"/>
              </w:rPr>
            </w:pPr>
            <w:r>
              <w:rPr>
                <w:rFonts w:ascii="Arial"/>
                <w:spacing w:val="-1"/>
                <w:w w:val="95"/>
                <w:sz w:val="21"/>
              </w:rPr>
              <w:t>-89%</w:t>
            </w:r>
            <w:r>
              <w:rPr>
                <w:rFonts w:ascii="Arial"/>
                <w:sz w:val="21"/>
              </w:rPr>
            </w:r>
          </w:p>
        </w:tc>
      </w:tr>
      <w:tr>
        <w:trPr>
          <w:trHeight w:val="443"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97"/>
              <w:ind w:left="61" w:right="0"/>
              <w:jc w:val="left"/>
              <w:rPr>
                <w:rFonts w:ascii="Arial" w:hAnsi="Arial" w:cs="Arial" w:eastAsia="Arial" w:hint="default"/>
                <w:sz w:val="21"/>
                <w:szCs w:val="21"/>
              </w:rPr>
            </w:pPr>
            <w:r>
              <w:rPr>
                <w:rFonts w:ascii="Arial"/>
                <w:sz w:val="21"/>
              </w:rPr>
              <w:t>(15)</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593"/>
              <w:jc w:val="right"/>
              <w:rPr>
                <w:rFonts w:ascii="Arial" w:hAnsi="Arial" w:cs="Arial" w:eastAsia="Arial" w:hint="default"/>
                <w:sz w:val="21"/>
                <w:szCs w:val="21"/>
              </w:rPr>
            </w:pPr>
            <w:r>
              <w:rPr>
                <w:rFonts w:ascii="Arial"/>
                <w:spacing w:val="-1"/>
                <w:w w:val="95"/>
                <w:sz w:val="21"/>
              </w:rPr>
              <w:t>266</w:t>
            </w:r>
            <w:r>
              <w:rPr>
                <w:rFonts w:ascii="Arial"/>
                <w:sz w:val="21"/>
              </w:rPr>
            </w:r>
          </w:p>
        </w:tc>
        <w:tc>
          <w:tcPr>
            <w:tcW w:w="1575"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67"/>
              <w:jc w:val="right"/>
              <w:rPr>
                <w:rFonts w:ascii="Arial" w:hAnsi="Arial" w:cs="Arial" w:eastAsia="Arial" w:hint="default"/>
                <w:sz w:val="21"/>
                <w:szCs w:val="21"/>
              </w:rPr>
            </w:pPr>
            <w:r>
              <w:rPr>
                <w:rFonts w:ascii="Arial"/>
                <w:spacing w:val="-1"/>
                <w:w w:val="95"/>
                <w:sz w:val="21"/>
              </w:rPr>
              <w:t>40</w:t>
            </w:r>
            <w:r>
              <w:rPr>
                <w:rFonts w:ascii="Arial"/>
                <w:sz w:val="21"/>
              </w:rPr>
            </w: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159"/>
              <w:jc w:val="right"/>
              <w:rPr>
                <w:rFonts w:ascii="Arial" w:hAnsi="Arial" w:cs="Arial" w:eastAsia="Arial" w:hint="default"/>
                <w:sz w:val="21"/>
                <w:szCs w:val="21"/>
              </w:rPr>
            </w:pPr>
            <w:r>
              <w:rPr>
                <w:rFonts w:ascii="Arial"/>
                <w:spacing w:val="-1"/>
                <w:w w:val="95"/>
                <w:sz w:val="21"/>
              </w:rPr>
              <w:t>226</w:t>
            </w:r>
            <w:r>
              <w:rPr>
                <w:rFonts w:ascii="Arial"/>
                <w:sz w:val="21"/>
              </w:rPr>
            </w: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Style w:val="TableParagraph"/>
              <w:spacing w:line="240" w:lineRule="auto" w:before="97"/>
              <w:ind w:right="85"/>
              <w:jc w:val="right"/>
              <w:rPr>
                <w:rFonts w:ascii="Arial" w:hAnsi="Arial" w:cs="Arial" w:eastAsia="Arial" w:hint="default"/>
                <w:sz w:val="21"/>
                <w:szCs w:val="21"/>
              </w:rPr>
            </w:pPr>
            <w:r>
              <w:rPr>
                <w:rFonts w:ascii="Arial"/>
                <w:spacing w:val="-1"/>
                <w:w w:val="95"/>
                <w:sz w:val="21"/>
              </w:rPr>
              <w:t>565%</w:t>
            </w:r>
            <w:r>
              <w:rPr>
                <w:rFonts w:ascii="Arial"/>
                <w:sz w:val="21"/>
              </w:rPr>
            </w:r>
          </w:p>
        </w:tc>
      </w:tr>
      <w:tr>
        <w:trPr>
          <w:trHeight w:val="357" w:hRule="exact"/>
        </w:trPr>
        <w:tc>
          <w:tcPr>
            <w:tcW w:w="2406"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21"/>
                <w:szCs w:val="21"/>
              </w:rPr>
            </w:pPr>
            <w:r>
              <w:rPr>
                <w:rFonts w:ascii="宋体" w:hAnsi="宋体" w:cs="宋体" w:eastAsia="宋体" w:hint="default"/>
                <w:b/>
                <w:bCs/>
                <w:sz w:val="21"/>
                <w:szCs w:val="21"/>
              </w:rPr>
              <w:t>利润表项目</w:t>
            </w:r>
            <w:r>
              <w:rPr>
                <w:rFonts w:ascii="宋体" w:hAnsi="宋体" w:cs="宋体" w:eastAsia="宋体" w:hint="default"/>
                <w:sz w:val="21"/>
                <w:szCs w:val="21"/>
              </w:rPr>
            </w:r>
          </w:p>
        </w:tc>
        <w:tc>
          <w:tcPr>
            <w:tcW w:w="968" w:type="dxa"/>
            <w:tcBorders>
              <w:top w:val="nil" w:sz="6" w:space="0" w:color="auto"/>
              <w:left w:val="nil" w:sz="6" w:space="0" w:color="auto"/>
              <w:bottom w:val="nil" w:sz="6" w:space="0" w:color="auto"/>
              <w:right w:val="nil" w:sz="6" w:space="0" w:color="auto"/>
            </w:tcBorders>
          </w:tcPr>
          <w:p>
            <w:pPr/>
          </w:p>
        </w:tc>
        <w:tc>
          <w:tcPr>
            <w:tcW w:w="1888" w:type="dxa"/>
            <w:tcBorders>
              <w:top w:val="nil" w:sz="6" w:space="0" w:color="auto"/>
              <w:left w:val="nil" w:sz="6" w:space="0" w:color="auto"/>
              <w:bottom w:val="nil" w:sz="6" w:space="0" w:color="auto"/>
              <w:right w:val="nil" w:sz="6" w:space="0" w:color="auto"/>
            </w:tcBorders>
          </w:tcPr>
          <w:p>
            <w:pPr/>
          </w:p>
        </w:tc>
        <w:tc>
          <w:tcPr>
            <w:tcW w:w="1575" w:type="dxa"/>
            <w:tcBorders>
              <w:top w:val="nil" w:sz="6" w:space="0" w:color="auto"/>
              <w:left w:val="nil" w:sz="6" w:space="0" w:color="auto"/>
              <w:bottom w:val="nil" w:sz="6" w:space="0" w:color="auto"/>
              <w:right w:val="nil" w:sz="6" w:space="0" w:color="auto"/>
            </w:tcBorders>
          </w:tcPr>
          <w:p>
            <w:pPr/>
          </w:p>
        </w:tc>
        <w:tc>
          <w:tcPr>
            <w:tcW w:w="79" w:type="dxa"/>
            <w:tcBorders>
              <w:top w:val="nil" w:sz="6" w:space="0" w:color="auto"/>
              <w:left w:val="nil" w:sz="6" w:space="0" w:color="auto"/>
              <w:bottom w:val="nil" w:sz="6" w:space="0" w:color="auto"/>
              <w:right w:val="nil" w:sz="6" w:space="0" w:color="auto"/>
            </w:tcBorders>
          </w:tcPr>
          <w:p>
            <w:pPr/>
          </w:p>
        </w:tc>
        <w:tc>
          <w:tcPr>
            <w:tcW w:w="1244" w:type="dxa"/>
            <w:tcBorders>
              <w:top w:val="nil" w:sz="6" w:space="0" w:color="auto"/>
              <w:left w:val="nil" w:sz="6" w:space="0" w:color="auto"/>
              <w:bottom w:val="nil" w:sz="6" w:space="0" w:color="auto"/>
              <w:right w:val="nil" w:sz="6" w:space="0" w:color="auto"/>
            </w:tcBorders>
          </w:tcPr>
          <w:p>
            <w:pPr/>
          </w:p>
        </w:tc>
        <w:tc>
          <w:tcPr>
            <w:tcW w:w="97" w:type="dxa"/>
            <w:tcBorders>
              <w:top w:val="nil" w:sz="6" w:space="0" w:color="auto"/>
              <w:left w:val="nil" w:sz="6" w:space="0" w:color="auto"/>
              <w:bottom w:val="nil" w:sz="6" w:space="0" w:color="auto"/>
              <w:right w:val="nil" w:sz="6" w:space="0" w:color="auto"/>
            </w:tcBorders>
          </w:tcPr>
          <w:p>
            <w:pPr/>
          </w:p>
        </w:tc>
        <w:tc>
          <w:tcPr>
            <w:tcW w:w="1037" w:type="dxa"/>
            <w:tcBorders>
              <w:top w:val="nil" w:sz="6" w:space="0" w:color="auto"/>
              <w:left w:val="nil" w:sz="6" w:space="0" w:color="auto"/>
              <w:bottom w:val="nil" w:sz="6" w:space="0" w:color="auto"/>
              <w:right w:val="nil" w:sz="6" w:space="0" w:color="auto"/>
            </w:tcBorders>
          </w:tcPr>
          <w:p>
            <w:pPr/>
          </w:p>
        </w:tc>
      </w:tr>
    </w:tbl>
    <w:p>
      <w:pPr>
        <w:spacing w:line="242" w:lineRule="exact" w:before="0"/>
        <w:ind w:left="0" w:right="525" w:firstLine="0"/>
        <w:jc w:val="right"/>
        <w:rPr>
          <w:rFonts w:ascii="宋体" w:hAnsi="宋体" w:cs="宋体" w:eastAsia="宋体" w:hint="default"/>
          <w:sz w:val="21"/>
          <w:szCs w:val="21"/>
        </w:rPr>
      </w:pPr>
      <w:r>
        <w:rPr>
          <w:rFonts w:ascii="宋体" w:hAnsi="宋体" w:cs="宋体" w:eastAsia="宋体" w:hint="default"/>
          <w:sz w:val="21"/>
          <w:szCs w:val="21"/>
        </w:rPr>
        <w:t>差异变动金额及幅度</w:t>
      </w:r>
    </w:p>
    <w:p>
      <w:pPr>
        <w:spacing w:line="240" w:lineRule="auto" w:before="6"/>
        <w:rPr>
          <w:rFonts w:ascii="宋体" w:hAnsi="宋体" w:cs="宋体" w:eastAsia="宋体" w:hint="default"/>
          <w:sz w:val="2"/>
          <w:szCs w:val="2"/>
        </w:rPr>
      </w:pPr>
    </w:p>
    <w:p>
      <w:pPr>
        <w:spacing w:line="20" w:lineRule="exact"/>
        <w:ind w:left="7001" w:right="0" w:firstLine="0"/>
        <w:rPr>
          <w:rFonts w:ascii="宋体" w:hAnsi="宋体" w:cs="宋体" w:eastAsia="宋体" w:hint="default"/>
          <w:sz w:val="2"/>
          <w:szCs w:val="2"/>
        </w:rPr>
      </w:pPr>
      <w:r>
        <w:rPr>
          <w:rFonts w:ascii="宋体" w:hAnsi="宋体" w:cs="宋体" w:eastAsia="宋体" w:hint="default"/>
          <w:sz w:val="2"/>
          <w:szCs w:val="2"/>
        </w:rPr>
        <w:pict>
          <v:group style="width:120.45pt;height:.75pt;mso-position-horizontal-relative:char;mso-position-vertical-relative:line" coordorigin="0,0" coordsize="2409,15">
            <v:group style="position:absolute;left:7;top:7;width:1260;height:2" coordorigin="7,7" coordsize="1260,2">
              <v:shape style="position:absolute;left:7;top:7;width:1260;height:2" coordorigin="7,7" coordsize="1260,0" path="m7,7l1267,7e" filled="false" stroked="true" strokeweight=".72pt" strokecolor="#000000">
                <v:path arrowok="t"/>
              </v:shape>
            </v:group>
            <v:group style="position:absolute;left:1267;top:7;width:1134;height:2" coordorigin="1267,7" coordsize="1134,2">
              <v:shape style="position:absolute;left:1267;top:7;width:1134;height:2" coordorigin="1267,7" coordsize="1134,0" path="m1267,7l2401,7e" filled="false" stroked="true" strokeweight=".72pt" strokecolor="#000000">
                <v:path arrowok="t"/>
              </v:shape>
            </v:group>
          </v:group>
        </w:pict>
      </w:r>
      <w:r>
        <w:rPr>
          <w:rFonts w:ascii="宋体" w:hAnsi="宋体" w:cs="宋体" w:eastAsia="宋体" w:hint="default"/>
          <w:sz w:val="2"/>
          <w:szCs w:val="2"/>
        </w:rPr>
      </w:r>
    </w:p>
    <w:p>
      <w:pPr>
        <w:tabs>
          <w:tab w:pos="3886" w:val="left" w:leader="none"/>
          <w:tab w:pos="5873" w:val="left" w:leader="none"/>
          <w:tab w:pos="7102" w:val="left" w:leader="none"/>
          <w:tab w:pos="8796" w:val="left" w:leader="none"/>
        </w:tabs>
        <w:spacing w:line="257" w:lineRule="exact" w:before="0"/>
        <w:ind w:left="150" w:right="138" w:firstLine="0"/>
        <w:jc w:val="left"/>
        <w:rPr>
          <w:rFonts w:ascii="Arial" w:hAnsi="Arial" w:cs="Arial" w:eastAsia="Arial" w:hint="default"/>
          <w:sz w:val="21"/>
          <w:szCs w:val="21"/>
        </w:rPr>
      </w:pPr>
      <w:r>
        <w:rPr>
          <w:rFonts w:ascii="宋体" w:hAnsi="宋体" w:cs="宋体" w:eastAsia="宋体" w:hint="default"/>
          <w:position w:val="2"/>
          <w:sz w:val="21"/>
          <w:szCs w:val="21"/>
        </w:rPr>
        <w:t>（单位：人民币百万元）</w:t>
      </w:r>
      <w:r>
        <w:rPr>
          <w:rFonts w:ascii="宋体" w:hAnsi="宋体" w:cs="宋体" w:eastAsia="宋体" w:hint="default"/>
          <w:spacing w:val="-24"/>
          <w:position w:val="2"/>
          <w:sz w:val="21"/>
          <w:szCs w:val="21"/>
        </w:rPr>
        <w:t> </w:t>
      </w:r>
      <w:r>
        <w:rPr>
          <w:rFonts w:ascii="宋体" w:hAnsi="宋体" w:cs="宋体" w:eastAsia="宋体" w:hint="default"/>
          <w:position w:val="2"/>
          <w:sz w:val="21"/>
          <w:szCs w:val="21"/>
        </w:rPr>
        <w:t>附注</w:t>
        <w:tab/>
      </w:r>
      <w:r>
        <w:rPr>
          <w:rFonts w:ascii="Arial" w:hAnsi="Arial" w:cs="Arial" w:eastAsia="Arial" w:hint="default"/>
          <w:spacing w:val="-1"/>
          <w:position w:val="2"/>
          <w:sz w:val="21"/>
          <w:szCs w:val="21"/>
        </w:rPr>
        <w:t>2009</w:t>
      </w:r>
      <w:r>
        <w:rPr>
          <w:rFonts w:ascii="Arial" w:hAnsi="Arial" w:cs="Arial" w:eastAsia="Arial" w:hint="default"/>
          <w:spacing w:val="-6"/>
          <w:position w:val="2"/>
          <w:sz w:val="21"/>
          <w:szCs w:val="21"/>
        </w:rPr>
        <w:t> </w:t>
      </w:r>
      <w:r>
        <w:rPr>
          <w:rFonts w:ascii="宋体" w:hAnsi="宋体" w:cs="宋体" w:eastAsia="宋体" w:hint="default"/>
          <w:position w:val="2"/>
          <w:sz w:val="21"/>
          <w:szCs w:val="21"/>
        </w:rPr>
        <w:t>年度</w:t>
        <w:tab/>
      </w:r>
      <w:r>
        <w:rPr>
          <w:rFonts w:ascii="Arial" w:hAnsi="Arial" w:cs="Arial" w:eastAsia="Arial" w:hint="default"/>
          <w:spacing w:val="-1"/>
          <w:position w:val="2"/>
          <w:sz w:val="21"/>
          <w:szCs w:val="21"/>
        </w:rPr>
        <w:t>2008</w:t>
      </w:r>
      <w:r>
        <w:rPr>
          <w:rFonts w:ascii="Arial" w:hAnsi="Arial" w:cs="Arial" w:eastAsia="Arial" w:hint="default"/>
          <w:spacing w:val="-6"/>
          <w:position w:val="2"/>
          <w:sz w:val="21"/>
          <w:szCs w:val="21"/>
        </w:rPr>
        <w:t> </w:t>
      </w:r>
      <w:r>
        <w:rPr>
          <w:rFonts w:ascii="宋体" w:hAnsi="宋体" w:cs="宋体" w:eastAsia="宋体" w:hint="default"/>
          <w:position w:val="2"/>
          <w:sz w:val="21"/>
          <w:szCs w:val="21"/>
        </w:rPr>
        <w:t>年度</w:t>
        <w:tab/>
      </w:r>
      <w:r>
        <w:rPr>
          <w:rFonts w:ascii="宋体" w:hAnsi="宋体" w:cs="宋体" w:eastAsia="宋体" w:hint="default"/>
          <w:spacing w:val="-1"/>
          <w:position w:val="2"/>
          <w:sz w:val="21"/>
          <w:szCs w:val="21"/>
        </w:rPr>
        <w:t>增加</w:t>
      </w:r>
      <w:r>
        <w:rPr>
          <w:rFonts w:ascii="Arial" w:hAnsi="Arial" w:cs="Arial" w:eastAsia="Arial" w:hint="default"/>
          <w:spacing w:val="-1"/>
          <w:position w:val="2"/>
          <w:sz w:val="21"/>
          <w:szCs w:val="21"/>
        </w:rPr>
        <w:t>(</w:t>
      </w:r>
      <w:r>
        <w:rPr>
          <w:rFonts w:ascii="宋体" w:hAnsi="宋体" w:cs="宋体" w:eastAsia="宋体" w:hint="default"/>
          <w:spacing w:val="-1"/>
          <w:position w:val="2"/>
          <w:sz w:val="21"/>
          <w:szCs w:val="21"/>
        </w:rPr>
        <w:t>减少</w:t>
      </w:r>
      <w:r>
        <w:rPr>
          <w:rFonts w:ascii="Arial" w:hAnsi="Arial" w:cs="Arial" w:eastAsia="Arial" w:hint="default"/>
          <w:spacing w:val="-1"/>
          <w:position w:val="2"/>
          <w:sz w:val="21"/>
          <w:szCs w:val="21"/>
        </w:rPr>
        <w:t>)</w:t>
        <w:tab/>
      </w:r>
      <w:r>
        <w:rPr>
          <w:rFonts w:ascii="Arial" w:hAnsi="Arial" w:cs="Arial" w:eastAsia="Arial" w:hint="default"/>
          <w:sz w:val="21"/>
          <w:szCs w:val="21"/>
        </w:rPr>
        <w:t>%</w:t>
      </w:r>
    </w:p>
    <w:p>
      <w:pPr>
        <w:spacing w:line="266" w:lineRule="exact" w:before="0"/>
        <w:ind w:left="5854" w:right="138" w:firstLine="0"/>
        <w:jc w:val="left"/>
        <w:rPr>
          <w:rFonts w:ascii="宋体" w:hAnsi="宋体" w:cs="宋体" w:eastAsia="宋体" w:hint="default"/>
          <w:sz w:val="21"/>
          <w:szCs w:val="21"/>
        </w:rPr>
      </w:pPr>
      <w:r>
        <w:rPr/>
        <w:pict>
          <v:group style="position:absolute;margin-left:69.120003pt;margin-top:.878839pt;width:237.7pt;height:.1pt;mso-position-horizontal-relative:page;mso-position-vertical-relative:paragraph;z-index:9400" coordorigin="1382,18" coordsize="4754,2">
            <v:shape style="position:absolute;left:1382;top:18;width:4754;height:2" coordorigin="1382,18" coordsize="4754,0" path="m1382,18l6136,18e" filled="false" stroked="true" strokeweight=".72pt" strokecolor="#000000">
              <v:path arrowok="t"/>
            </v:shape>
            <w10:wrap type="none"/>
          </v:group>
        </w:pict>
      </w:r>
      <w:r>
        <w:rPr/>
        <w:pict>
          <v:group style="position:absolute;margin-left:310.980011pt;margin-top:.878839pt;width:95.85pt;height:.1pt;mso-position-horizontal-relative:page;mso-position-vertical-relative:paragraph;z-index:-910072" coordorigin="6220,18" coordsize="1917,2">
            <v:shape style="position:absolute;left:6220;top:18;width:1917;height:2" coordorigin="6220,18" coordsize="1917,0" path="m6220,18l8136,18e" filled="false" stroked="true" strokeweight=".72pt" strokecolor="#000000">
              <v:path arrowok="t"/>
            </v:shape>
            <w10:wrap type="none"/>
          </v:group>
        </w:pict>
      </w:r>
      <w:r>
        <w:rPr/>
        <w:pict>
          <v:group style="position:absolute;margin-left:412.440002pt;margin-top:.878839pt;width:63pt;height:.1pt;mso-position-horizontal-relative:page;mso-position-vertical-relative:paragraph;z-index:9448" coordorigin="8249,18" coordsize="1260,2">
            <v:shape style="position:absolute;left:8249;top:18;width:1260;height:2" coordorigin="8249,18" coordsize="1260,0" path="m8249,18l9509,18e" filled="false" stroked="true" strokeweight=".72pt" strokecolor="#000000">
              <v:path arrowok="t"/>
            </v:shape>
            <w10:wrap type="none"/>
          </v:group>
        </w:pict>
      </w:r>
      <w:r>
        <w:rPr/>
        <w:pict>
          <v:group style="position:absolute;margin-left:480.299988pt;margin-top:.878839pt;width:51.85pt;height:.1pt;mso-position-horizontal-relative:page;mso-position-vertical-relative:paragraph;z-index:9472" coordorigin="9606,18" coordsize="1037,2">
            <v:shape style="position:absolute;left:9606;top:18;width:1037;height:2" coordorigin="9606,18" coordsize="1037,0" path="m9606,18l10643,18e" filled="false" stroked="true" strokeweight=".72pt" strokecolor="#000000">
              <v:path arrowok="t"/>
            </v:shape>
            <w10:wrap type="none"/>
          </v:group>
        </w:pict>
      </w:r>
      <w:r>
        <w:rPr>
          <w:rFonts w:ascii="宋体" w:hAnsi="宋体" w:cs="宋体" w:eastAsia="宋体" w:hint="default"/>
          <w:sz w:val="21"/>
          <w:szCs w:val="21"/>
        </w:rPr>
        <w:t>（经重列）</w:t>
      </w:r>
    </w:p>
    <w:p>
      <w:pPr>
        <w:spacing w:line="240" w:lineRule="auto" w:before="0"/>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2088"/>
        <w:gridCol w:w="1242"/>
        <w:gridCol w:w="1946"/>
        <w:gridCol w:w="1800"/>
        <w:gridCol w:w="1322"/>
        <w:gridCol w:w="844"/>
      </w:tblGrid>
      <w:tr>
        <w:trPr>
          <w:trHeight w:val="621" w:hRule="exact"/>
        </w:trPr>
        <w:tc>
          <w:tcPr>
            <w:tcW w:w="2088"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z w:val="21"/>
                <w:szCs w:val="21"/>
              </w:rPr>
              <w:t>持续经营业务</w:t>
            </w:r>
          </w:p>
          <w:p>
            <w:pPr>
              <w:pStyle w:val="TableParagraph"/>
              <w:spacing w:line="274" w:lineRule="exact"/>
              <w:ind w:left="35"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373" w:right="0"/>
              <w:jc w:val="left"/>
              <w:rPr>
                <w:rFonts w:ascii="Arial" w:hAnsi="Arial" w:cs="Arial" w:eastAsia="Arial" w:hint="default"/>
                <w:sz w:val="21"/>
                <w:szCs w:val="21"/>
              </w:rPr>
            </w:pPr>
            <w:r>
              <w:rPr>
                <w:rFonts w:ascii="Arial"/>
                <w:sz w:val="21"/>
              </w:rPr>
              <w:t>(16)</w:t>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619"/>
              <w:jc w:val="right"/>
              <w:rPr>
                <w:rFonts w:ascii="Arial" w:hAnsi="Arial" w:cs="Arial" w:eastAsia="Arial" w:hint="default"/>
                <w:sz w:val="21"/>
                <w:szCs w:val="21"/>
              </w:rPr>
            </w:pPr>
            <w:r>
              <w:rPr>
                <w:rFonts w:ascii="Arial"/>
                <w:spacing w:val="-1"/>
                <w:sz w:val="21"/>
              </w:rPr>
              <w:t>158,369</w:t>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418"/>
              <w:jc w:val="right"/>
              <w:rPr>
                <w:rFonts w:ascii="Arial" w:hAnsi="Arial" w:cs="Arial" w:eastAsia="Arial" w:hint="default"/>
                <w:sz w:val="21"/>
                <w:szCs w:val="21"/>
              </w:rPr>
            </w:pPr>
            <w:r>
              <w:rPr>
                <w:rFonts w:ascii="Arial"/>
                <w:spacing w:val="-1"/>
                <w:sz w:val="21"/>
              </w:rPr>
              <w:t>164,085</w:t>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270"/>
              <w:jc w:val="right"/>
              <w:rPr>
                <w:rFonts w:ascii="Arial" w:hAnsi="Arial" w:cs="Arial" w:eastAsia="Arial" w:hint="default"/>
                <w:sz w:val="21"/>
                <w:szCs w:val="21"/>
              </w:rPr>
            </w:pPr>
            <w:r>
              <w:rPr>
                <w:rFonts w:ascii="Arial"/>
                <w:spacing w:val="-1"/>
                <w:w w:val="95"/>
                <w:sz w:val="21"/>
              </w:rPr>
              <w:t>(5,716)</w:t>
            </w:r>
            <w:r>
              <w:rPr>
                <w:rFonts w:ascii="Arial"/>
                <w:sz w:val="21"/>
              </w:rPr>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33"/>
              <w:jc w:val="right"/>
              <w:rPr>
                <w:rFonts w:ascii="Arial" w:hAnsi="Arial" w:cs="Arial" w:eastAsia="Arial" w:hint="default"/>
                <w:sz w:val="21"/>
                <w:szCs w:val="21"/>
              </w:rPr>
            </w:pPr>
            <w:r>
              <w:rPr>
                <w:rFonts w:ascii="Arial"/>
                <w:spacing w:val="-1"/>
                <w:w w:val="95"/>
                <w:sz w:val="21"/>
              </w:rPr>
              <w:t>-3%</w:t>
            </w:r>
            <w:r>
              <w:rPr>
                <w:rFonts w:ascii="Arial"/>
                <w:sz w:val="21"/>
              </w:rPr>
            </w:r>
          </w:p>
        </w:tc>
      </w:tr>
      <w:tr>
        <w:trPr>
          <w:trHeight w:val="400" w:hRule="exact"/>
        </w:trPr>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8"/>
              <w:ind w:left="35"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73" w:right="0"/>
              <w:jc w:val="left"/>
              <w:rPr>
                <w:rFonts w:ascii="Arial" w:hAnsi="Arial" w:cs="Arial" w:eastAsia="Arial" w:hint="default"/>
                <w:sz w:val="21"/>
                <w:szCs w:val="21"/>
              </w:rPr>
            </w:pPr>
            <w:r>
              <w:rPr>
                <w:rFonts w:ascii="Arial"/>
                <w:sz w:val="21"/>
              </w:rPr>
              <w:t>(17)</w:t>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551"/>
              <w:jc w:val="right"/>
              <w:rPr>
                <w:rFonts w:ascii="Arial" w:hAnsi="Arial" w:cs="Arial" w:eastAsia="Arial" w:hint="default"/>
                <w:sz w:val="21"/>
                <w:szCs w:val="21"/>
              </w:rPr>
            </w:pPr>
            <w:r>
              <w:rPr>
                <w:rFonts w:ascii="Arial"/>
                <w:spacing w:val="-1"/>
                <w:sz w:val="21"/>
              </w:rPr>
              <w:t>(105,654)</w:t>
            </w:r>
            <w:r>
              <w:rPr>
                <w:rFonts w:ascii="Arial"/>
                <w:sz w:val="21"/>
              </w:rPr>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8"/>
              <w:jc w:val="right"/>
              <w:rPr>
                <w:rFonts w:ascii="Arial" w:hAnsi="Arial" w:cs="Arial" w:eastAsia="Arial" w:hint="default"/>
                <w:sz w:val="21"/>
                <w:szCs w:val="21"/>
              </w:rPr>
            </w:pPr>
            <w:r>
              <w:rPr>
                <w:rFonts w:ascii="Arial"/>
                <w:spacing w:val="-1"/>
                <w:sz w:val="21"/>
              </w:rPr>
              <w:t>(102,081)</w:t>
            </w:r>
            <w:r>
              <w:rPr>
                <w:rFonts w:ascii="Arial"/>
                <w:sz w:val="21"/>
              </w:rPr>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271"/>
              <w:jc w:val="right"/>
              <w:rPr>
                <w:rFonts w:ascii="Arial" w:hAnsi="Arial" w:cs="Arial" w:eastAsia="Arial" w:hint="default"/>
                <w:sz w:val="21"/>
                <w:szCs w:val="21"/>
              </w:rPr>
            </w:pPr>
            <w:r>
              <w:rPr>
                <w:rFonts w:ascii="Arial"/>
                <w:spacing w:val="-1"/>
                <w:w w:val="95"/>
                <w:sz w:val="21"/>
              </w:rPr>
              <w:t>(3,573)</w:t>
            </w:r>
            <w:r>
              <w:rPr>
                <w:rFonts w:ascii="Arial"/>
                <w:sz w:val="21"/>
              </w:rPr>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3"/>
              <w:jc w:val="right"/>
              <w:rPr>
                <w:rFonts w:ascii="Arial" w:hAnsi="Arial" w:cs="Arial" w:eastAsia="Arial" w:hint="default"/>
                <w:sz w:val="21"/>
                <w:szCs w:val="21"/>
              </w:rPr>
            </w:pPr>
            <w:r>
              <w:rPr>
                <w:rFonts w:ascii="Arial"/>
                <w:spacing w:val="-1"/>
                <w:w w:val="95"/>
                <w:sz w:val="21"/>
              </w:rPr>
              <w:t>4%</w:t>
            </w:r>
            <w:r>
              <w:rPr>
                <w:rFonts w:ascii="Arial"/>
                <w:sz w:val="21"/>
              </w:rPr>
            </w:r>
          </w:p>
        </w:tc>
      </w:tr>
      <w:tr>
        <w:trPr>
          <w:trHeight w:val="415" w:hRule="exact"/>
        </w:trPr>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73" w:right="0"/>
              <w:jc w:val="left"/>
              <w:rPr>
                <w:rFonts w:ascii="Arial" w:hAnsi="Arial" w:cs="Arial" w:eastAsia="Arial" w:hint="default"/>
                <w:sz w:val="21"/>
                <w:szCs w:val="21"/>
              </w:rPr>
            </w:pPr>
            <w:r>
              <w:rPr>
                <w:rFonts w:ascii="Arial"/>
                <w:sz w:val="21"/>
              </w:rPr>
              <w:t>(18)</w:t>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550"/>
              <w:jc w:val="right"/>
              <w:rPr>
                <w:rFonts w:ascii="Arial" w:hAnsi="Arial" w:cs="Arial" w:eastAsia="Arial" w:hint="default"/>
                <w:sz w:val="21"/>
                <w:szCs w:val="21"/>
              </w:rPr>
            </w:pPr>
            <w:r>
              <w:rPr>
                <w:rFonts w:ascii="Arial"/>
                <w:spacing w:val="-1"/>
                <w:sz w:val="21"/>
              </w:rPr>
              <w:t>(20,957)</w:t>
            </w:r>
            <w:r>
              <w:rPr>
                <w:rFonts w:ascii="Arial"/>
                <w:sz w:val="21"/>
              </w:rPr>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49"/>
              <w:jc w:val="right"/>
              <w:rPr>
                <w:rFonts w:ascii="Arial" w:hAnsi="Arial" w:cs="Arial" w:eastAsia="Arial" w:hint="default"/>
                <w:sz w:val="21"/>
                <w:szCs w:val="21"/>
              </w:rPr>
            </w:pPr>
            <w:r>
              <w:rPr>
                <w:rFonts w:ascii="Arial"/>
                <w:spacing w:val="-1"/>
                <w:sz w:val="21"/>
              </w:rPr>
              <w:t>(19,308)</w:t>
            </w:r>
            <w:r>
              <w:rPr>
                <w:rFonts w:ascii="Arial"/>
                <w:sz w:val="21"/>
              </w:rPr>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271"/>
              <w:jc w:val="right"/>
              <w:rPr>
                <w:rFonts w:ascii="Arial" w:hAnsi="Arial" w:cs="Arial" w:eastAsia="Arial" w:hint="default"/>
                <w:sz w:val="21"/>
                <w:szCs w:val="21"/>
              </w:rPr>
            </w:pPr>
            <w:r>
              <w:rPr>
                <w:rFonts w:ascii="Arial"/>
                <w:spacing w:val="-1"/>
                <w:w w:val="95"/>
                <w:sz w:val="21"/>
              </w:rPr>
              <w:t>(1,648)</w:t>
            </w:r>
            <w:r>
              <w:rPr>
                <w:rFonts w:ascii="Arial"/>
                <w:sz w:val="21"/>
              </w:rPr>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3"/>
              <w:jc w:val="right"/>
              <w:rPr>
                <w:rFonts w:ascii="Arial" w:hAnsi="Arial" w:cs="Arial" w:eastAsia="Arial" w:hint="default"/>
                <w:sz w:val="21"/>
                <w:szCs w:val="21"/>
              </w:rPr>
            </w:pPr>
            <w:r>
              <w:rPr>
                <w:rFonts w:ascii="Arial"/>
                <w:spacing w:val="-1"/>
                <w:w w:val="95"/>
                <w:sz w:val="21"/>
              </w:rPr>
              <w:t>9%</w:t>
            </w:r>
            <w:r>
              <w:rPr>
                <w:rFonts w:ascii="Arial"/>
                <w:sz w:val="21"/>
              </w:rPr>
            </w:r>
          </w:p>
        </w:tc>
      </w:tr>
      <w:tr>
        <w:trPr>
          <w:trHeight w:val="414" w:hRule="exact"/>
        </w:trPr>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73" w:right="0"/>
              <w:jc w:val="left"/>
              <w:rPr>
                <w:rFonts w:ascii="Arial" w:hAnsi="Arial" w:cs="Arial" w:eastAsia="Arial" w:hint="default"/>
                <w:sz w:val="21"/>
                <w:szCs w:val="21"/>
              </w:rPr>
            </w:pPr>
            <w:r>
              <w:rPr>
                <w:rFonts w:ascii="Arial"/>
                <w:sz w:val="21"/>
              </w:rPr>
              <w:t>(19)</w:t>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549"/>
              <w:jc w:val="right"/>
              <w:rPr>
                <w:rFonts w:ascii="Arial" w:hAnsi="Arial" w:cs="Arial" w:eastAsia="Arial" w:hint="default"/>
                <w:sz w:val="21"/>
                <w:szCs w:val="21"/>
              </w:rPr>
            </w:pPr>
            <w:r>
              <w:rPr>
                <w:rFonts w:ascii="Arial"/>
                <w:spacing w:val="-1"/>
                <w:w w:val="95"/>
                <w:sz w:val="21"/>
              </w:rPr>
              <w:t>(2,376)</w:t>
            </w:r>
            <w:r>
              <w:rPr>
                <w:rFonts w:ascii="Arial"/>
                <w:sz w:val="21"/>
              </w:rPr>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49"/>
              <w:jc w:val="right"/>
              <w:rPr>
                <w:rFonts w:ascii="Arial" w:hAnsi="Arial" w:cs="Arial" w:eastAsia="Arial" w:hint="default"/>
                <w:sz w:val="21"/>
                <w:szCs w:val="21"/>
              </w:rPr>
            </w:pPr>
            <w:r>
              <w:rPr>
                <w:rFonts w:ascii="Arial"/>
                <w:spacing w:val="-1"/>
                <w:sz w:val="21"/>
              </w:rPr>
              <w:t>(15,405)</w:t>
            </w:r>
            <w:r>
              <w:rPr>
                <w:rFonts w:ascii="Arial"/>
                <w:sz w:val="21"/>
              </w:rPr>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28"/>
              <w:jc w:val="right"/>
              <w:rPr>
                <w:rFonts w:ascii="Arial" w:hAnsi="Arial" w:cs="Arial" w:eastAsia="Arial" w:hint="default"/>
                <w:sz w:val="21"/>
                <w:szCs w:val="21"/>
              </w:rPr>
            </w:pPr>
            <w:r>
              <w:rPr>
                <w:rFonts w:ascii="Arial"/>
                <w:spacing w:val="-1"/>
                <w:w w:val="95"/>
                <w:sz w:val="21"/>
              </w:rPr>
              <w:t>13,029</w:t>
            </w:r>
            <w:r>
              <w:rPr>
                <w:rFonts w:ascii="Arial"/>
                <w:sz w:val="21"/>
              </w:rPr>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3"/>
              <w:jc w:val="right"/>
              <w:rPr>
                <w:rFonts w:ascii="Arial" w:hAnsi="Arial" w:cs="Arial" w:eastAsia="Arial" w:hint="default"/>
                <w:sz w:val="21"/>
                <w:szCs w:val="21"/>
              </w:rPr>
            </w:pPr>
            <w:r>
              <w:rPr>
                <w:rFonts w:ascii="Arial"/>
                <w:spacing w:val="-1"/>
                <w:w w:val="95"/>
                <w:sz w:val="21"/>
              </w:rPr>
              <w:t>-85%</w:t>
            </w:r>
            <w:r>
              <w:rPr>
                <w:rFonts w:ascii="Arial"/>
                <w:sz w:val="21"/>
              </w:rPr>
            </w:r>
          </w:p>
        </w:tc>
      </w:tr>
      <w:tr>
        <w:trPr>
          <w:trHeight w:val="415" w:hRule="exact"/>
        </w:trPr>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公允价值变动收益</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89"/>
              <w:ind w:left="373" w:right="0"/>
              <w:jc w:val="left"/>
              <w:rPr>
                <w:rFonts w:ascii="Arial" w:hAnsi="Arial" w:cs="Arial" w:eastAsia="Arial" w:hint="default"/>
                <w:sz w:val="21"/>
                <w:szCs w:val="21"/>
              </w:rPr>
            </w:pPr>
            <w:r>
              <w:rPr>
                <w:rFonts w:ascii="Arial"/>
                <w:sz w:val="21"/>
              </w:rPr>
              <w:t>(20)</w:t>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619"/>
              <w:jc w:val="right"/>
              <w:rPr>
                <w:rFonts w:ascii="Arial" w:hAnsi="Arial" w:cs="Arial" w:eastAsia="Arial" w:hint="default"/>
                <w:sz w:val="21"/>
                <w:szCs w:val="21"/>
              </w:rPr>
            </w:pPr>
            <w:r>
              <w:rPr>
                <w:rFonts w:ascii="Arial"/>
                <w:spacing w:val="-1"/>
                <w:w w:val="95"/>
                <w:sz w:val="21"/>
              </w:rPr>
              <w:t>1,239</w:t>
            </w:r>
            <w:r>
              <w:rPr>
                <w:rFonts w:ascii="Arial"/>
                <w:sz w:val="21"/>
              </w:rPr>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418"/>
              <w:jc w:val="right"/>
              <w:rPr>
                <w:rFonts w:ascii="Arial" w:hAnsi="Arial" w:cs="Arial" w:eastAsia="Arial" w:hint="default"/>
                <w:sz w:val="21"/>
                <w:szCs w:val="21"/>
              </w:rPr>
            </w:pPr>
            <w:r>
              <w:rPr>
                <w:rFonts w:ascii="Arial"/>
                <w:w w:val="99"/>
                <w:sz w:val="21"/>
              </w:rPr>
              <w:t>-</w:t>
            </w:r>
            <w:r>
              <w:rPr>
                <w:rFonts w:ascii="Arial"/>
                <w:sz w:val="21"/>
              </w:rPr>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28"/>
              <w:jc w:val="right"/>
              <w:rPr>
                <w:rFonts w:ascii="Arial" w:hAnsi="Arial" w:cs="Arial" w:eastAsia="Arial" w:hint="default"/>
                <w:sz w:val="21"/>
                <w:szCs w:val="21"/>
              </w:rPr>
            </w:pPr>
            <w:r>
              <w:rPr>
                <w:rFonts w:ascii="Arial"/>
                <w:spacing w:val="-1"/>
                <w:w w:val="95"/>
                <w:sz w:val="21"/>
              </w:rPr>
              <w:t>1,239</w:t>
            </w:r>
            <w:r>
              <w:rPr>
                <w:rFonts w:ascii="Arial"/>
                <w:sz w:val="21"/>
              </w:rPr>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89"/>
              <w:ind w:right="33"/>
              <w:jc w:val="right"/>
              <w:rPr>
                <w:rFonts w:ascii="Arial" w:hAnsi="Arial" w:cs="Arial" w:eastAsia="Arial" w:hint="default"/>
                <w:sz w:val="21"/>
                <w:szCs w:val="21"/>
              </w:rPr>
            </w:pPr>
            <w:r>
              <w:rPr>
                <w:rFonts w:ascii="Arial"/>
                <w:spacing w:val="-1"/>
                <w:w w:val="95"/>
                <w:sz w:val="21"/>
              </w:rPr>
              <w:t>100%</w:t>
            </w:r>
            <w:r>
              <w:rPr>
                <w:rFonts w:ascii="Arial"/>
                <w:sz w:val="21"/>
              </w:rPr>
            </w:r>
          </w:p>
        </w:tc>
      </w:tr>
      <w:tr>
        <w:trPr>
          <w:trHeight w:val="384" w:hRule="exact"/>
        </w:trPr>
        <w:tc>
          <w:tcPr>
            <w:tcW w:w="208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73" w:right="0"/>
              <w:jc w:val="left"/>
              <w:rPr>
                <w:rFonts w:ascii="Arial" w:hAnsi="Arial" w:cs="Arial" w:eastAsia="Arial" w:hint="default"/>
                <w:sz w:val="21"/>
                <w:szCs w:val="21"/>
              </w:rPr>
            </w:pPr>
            <w:r>
              <w:rPr>
                <w:rFonts w:ascii="Arial"/>
                <w:sz w:val="21"/>
              </w:rPr>
              <w:t>(21)</w:t>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549"/>
              <w:jc w:val="right"/>
              <w:rPr>
                <w:rFonts w:ascii="Arial" w:hAnsi="Arial" w:cs="Arial" w:eastAsia="Arial" w:hint="default"/>
                <w:sz w:val="21"/>
                <w:szCs w:val="21"/>
              </w:rPr>
            </w:pPr>
            <w:r>
              <w:rPr>
                <w:rFonts w:ascii="Arial"/>
                <w:spacing w:val="-1"/>
                <w:w w:val="95"/>
                <w:sz w:val="21"/>
              </w:rPr>
              <w:t>(2,807)</w:t>
            </w:r>
            <w:r>
              <w:rPr>
                <w:rFonts w:ascii="Arial"/>
                <w:sz w:val="21"/>
              </w:rPr>
            </w:r>
          </w:p>
        </w:tc>
        <w:tc>
          <w:tcPr>
            <w:tcW w:w="1800"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50"/>
              <w:jc w:val="right"/>
              <w:rPr>
                <w:rFonts w:ascii="Arial" w:hAnsi="Arial" w:cs="Arial" w:eastAsia="Arial" w:hint="default"/>
                <w:sz w:val="21"/>
                <w:szCs w:val="21"/>
              </w:rPr>
            </w:pPr>
            <w:r>
              <w:rPr>
                <w:rFonts w:ascii="Arial"/>
                <w:spacing w:val="-1"/>
                <w:w w:val="95"/>
                <w:sz w:val="21"/>
              </w:rPr>
              <w:t>(1,729)</w:t>
            </w:r>
            <w:r>
              <w:rPr>
                <w:rFonts w:ascii="Arial"/>
                <w:sz w:val="21"/>
              </w:rPr>
            </w:r>
          </w:p>
        </w:tc>
        <w:tc>
          <w:tcPr>
            <w:tcW w:w="132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271"/>
              <w:jc w:val="right"/>
              <w:rPr>
                <w:rFonts w:ascii="Arial" w:hAnsi="Arial" w:cs="Arial" w:eastAsia="Arial" w:hint="default"/>
                <w:sz w:val="21"/>
                <w:szCs w:val="21"/>
              </w:rPr>
            </w:pPr>
            <w:r>
              <w:rPr>
                <w:rFonts w:ascii="Arial"/>
                <w:spacing w:val="-1"/>
                <w:w w:val="95"/>
                <w:sz w:val="21"/>
              </w:rPr>
              <w:t>(1,078)</w:t>
            </w:r>
            <w:r>
              <w:rPr>
                <w:rFonts w:ascii="Arial"/>
                <w:sz w:val="21"/>
              </w:rPr>
            </w:r>
          </w:p>
        </w:tc>
        <w:tc>
          <w:tcPr>
            <w:tcW w:w="844"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33"/>
              <w:jc w:val="right"/>
              <w:rPr>
                <w:rFonts w:ascii="Arial" w:hAnsi="Arial" w:cs="Arial" w:eastAsia="Arial" w:hint="default"/>
                <w:sz w:val="21"/>
                <w:szCs w:val="21"/>
              </w:rPr>
            </w:pPr>
            <w:r>
              <w:rPr>
                <w:rFonts w:ascii="Arial"/>
                <w:spacing w:val="-1"/>
                <w:w w:val="95"/>
                <w:sz w:val="21"/>
              </w:rPr>
              <w:t>62%</w:t>
            </w:r>
            <w:r>
              <w:rPr>
                <w:rFonts w:ascii="Arial"/>
                <w:sz w:val="21"/>
              </w:rPr>
            </w:r>
          </w:p>
        </w:tc>
      </w:tr>
    </w:tbl>
    <w:p>
      <w:pPr>
        <w:spacing w:after="0" w:line="240" w:lineRule="auto"/>
        <w:jc w:val="right"/>
        <w:rPr>
          <w:rFonts w:ascii="Arial" w:hAnsi="Arial" w:cs="Arial" w:eastAsia="Arial" w:hint="default"/>
          <w:sz w:val="21"/>
          <w:szCs w:val="21"/>
        </w:rPr>
        <w:sectPr>
          <w:headerReference w:type="default" r:id="rId154"/>
          <w:pgSz w:w="11910" w:h="16840"/>
          <w:pgMar w:header="1330" w:footer="752" w:top="2300" w:bottom="940" w:left="1240" w:right="980"/>
        </w:sectPr>
      </w:pPr>
    </w:p>
    <w:p>
      <w:pPr>
        <w:spacing w:line="240" w:lineRule="auto" w:before="10"/>
        <w:rPr>
          <w:rFonts w:ascii="宋体" w:hAnsi="宋体" w:cs="宋体" w:eastAsia="宋体" w:hint="default"/>
          <w:sz w:val="8"/>
          <w:szCs w:val="8"/>
        </w:rPr>
      </w:pPr>
    </w:p>
    <w:p>
      <w:pPr>
        <w:pStyle w:val="BodyText"/>
        <w:spacing w:line="386" w:lineRule="auto" w:before="31"/>
        <w:ind w:left="107" w:right="6037"/>
        <w:jc w:val="left"/>
        <w:rPr>
          <w:rFonts w:ascii="黑体" w:hAnsi="黑体" w:cs="黑体" w:eastAsia="黑体" w:hint="default"/>
        </w:rPr>
      </w:pPr>
      <w:r>
        <w:rPr>
          <w:rFonts w:ascii="黑体" w:hAnsi="黑体" w:cs="黑体" w:eastAsia="黑体" w:hint="default"/>
        </w:rPr>
        <w:t>四、财务报表数据变动项目分析（续）</w:t>
      </w:r>
      <w:r>
        <w:rPr>
          <w:rFonts w:ascii="黑体" w:hAnsi="黑体" w:cs="黑体" w:eastAsia="黑体" w:hint="default"/>
          <w:w w:val="99"/>
        </w:rPr>
        <w:t> </w:t>
      </w:r>
      <w:r>
        <w:rPr>
          <w:rFonts w:ascii="黑体" w:hAnsi="黑体" w:cs="黑体" w:eastAsia="黑体" w:hint="default"/>
        </w:rPr>
        <w:t>附注：</w:t>
      </w:r>
    </w:p>
    <w:p>
      <w:pPr>
        <w:pStyle w:val="BodyText"/>
        <w:spacing w:line="240" w:lineRule="auto" w:before="117"/>
        <w:ind w:left="122" w:right="0"/>
        <w:jc w:val="left"/>
      </w:pPr>
      <w:r>
        <w:rPr>
          <w:rFonts w:ascii="Arial" w:hAnsi="Arial" w:cs="Arial" w:eastAsia="Arial" w:hint="default"/>
        </w:rPr>
        <w:t>(1) </w:t>
      </w:r>
      <w:r>
        <w:rPr>
          <w:rFonts w:ascii="Arial" w:hAnsi="Arial" w:cs="Arial" w:eastAsia="Arial" w:hint="default"/>
          <w:spacing w:val="27"/>
        </w:rPr>
        <w:t> </w:t>
      </w:r>
      <w:r>
        <w:rPr/>
        <w:t>货币资金的减少主要是由于本期资本开支加大所致。</w:t>
      </w:r>
    </w:p>
    <w:p>
      <w:pPr>
        <w:pStyle w:val="BodyText"/>
        <w:spacing w:line="240" w:lineRule="auto" w:before="162"/>
        <w:ind w:left="122" w:right="0"/>
        <w:jc w:val="left"/>
      </w:pPr>
      <w:r>
        <w:rPr>
          <w:rFonts w:ascii="Arial" w:hAnsi="Arial" w:cs="Arial" w:eastAsia="Arial" w:hint="default"/>
        </w:rPr>
        <w:t>(2)  </w:t>
      </w:r>
      <w:r>
        <w:rPr/>
        <w:t>其他应收款的减少主要是由于收回部分出售 </w:t>
      </w:r>
      <w:r>
        <w:rPr>
          <w:rFonts w:ascii="Arial" w:hAnsi="Arial" w:cs="Arial" w:eastAsia="Arial" w:hint="default"/>
        </w:rPr>
        <w:t>CDMA</w:t>
      </w:r>
      <w:r>
        <w:rPr>
          <w:rFonts w:ascii="Arial" w:hAnsi="Arial" w:cs="Arial" w:eastAsia="Arial" w:hint="default"/>
          <w:spacing w:val="20"/>
        </w:rPr>
        <w:t> </w:t>
      </w:r>
      <w:r>
        <w:rPr/>
        <w:t>业务款项所致。</w:t>
      </w:r>
    </w:p>
    <w:p>
      <w:pPr>
        <w:pStyle w:val="BodyText"/>
        <w:spacing w:line="295" w:lineRule="exact" w:before="160"/>
        <w:ind w:left="122" w:right="0"/>
        <w:jc w:val="left"/>
      </w:pPr>
      <w:r>
        <w:rPr>
          <w:rFonts w:ascii="Arial" w:hAnsi="Arial" w:cs="Arial" w:eastAsia="Arial" w:hint="default"/>
        </w:rPr>
        <w:t>(3)  </w:t>
      </w:r>
      <w:r>
        <w:rPr/>
        <w:t>其他流动资产的增加本集团本期于 </w:t>
      </w:r>
      <w:r>
        <w:rPr>
          <w:rFonts w:ascii="Arial" w:hAnsi="Arial" w:cs="Arial" w:eastAsia="Arial" w:hint="default"/>
        </w:rPr>
        <w:t>2009</w:t>
      </w:r>
      <w:r>
        <w:rPr>
          <w:rFonts w:ascii="Arial" w:hAnsi="Arial" w:cs="Arial" w:eastAsia="Arial" w:hint="default"/>
          <w:spacing w:val="7"/>
        </w:rPr>
        <w:t> </w:t>
      </w:r>
      <w:r>
        <w:rPr/>
        <w:t>年度实际预缴的企业所得税超过本集团预计应缴纳的</w:t>
      </w:r>
    </w:p>
    <w:p>
      <w:pPr>
        <w:pStyle w:val="BodyText"/>
        <w:spacing w:line="295" w:lineRule="exact"/>
        <w:ind w:left="540" w:right="3827"/>
        <w:jc w:val="center"/>
      </w:pPr>
      <w:r>
        <w:rPr/>
        <w:t>企业所得税约人民币</w:t>
      </w:r>
      <w:r>
        <w:rPr>
          <w:spacing w:val="-57"/>
        </w:rPr>
        <w:t> </w:t>
      </w:r>
      <w:r>
        <w:rPr>
          <w:rFonts w:ascii="Arial" w:hAnsi="Arial" w:cs="Arial" w:eastAsia="Arial" w:hint="default"/>
        </w:rPr>
        <w:t>10.59</w:t>
      </w:r>
      <w:r>
        <w:rPr>
          <w:rFonts w:ascii="Arial" w:hAnsi="Arial" w:cs="Arial" w:eastAsia="Arial" w:hint="default"/>
          <w:spacing w:val="-8"/>
        </w:rPr>
        <w:t> </w:t>
      </w:r>
      <w:r>
        <w:rPr/>
        <w:t>亿元被记录于其他流动资产。</w:t>
      </w:r>
    </w:p>
    <w:p>
      <w:pPr>
        <w:pStyle w:val="BodyText"/>
        <w:spacing w:line="240" w:lineRule="auto" w:before="162"/>
        <w:ind w:left="122" w:right="0"/>
        <w:jc w:val="left"/>
      </w:pPr>
      <w:r>
        <w:rPr>
          <w:rFonts w:ascii="Arial" w:hAnsi="Arial" w:cs="Arial" w:eastAsia="Arial" w:hint="default"/>
        </w:rPr>
        <w:t>(4)  </w:t>
      </w:r>
      <w:r>
        <w:rPr/>
        <w:t>存货的增加主要是由于年末采购 </w:t>
      </w:r>
      <w:r>
        <w:rPr>
          <w:rFonts w:ascii="Arial" w:hAnsi="Arial" w:cs="Arial" w:eastAsia="Arial" w:hint="default"/>
        </w:rPr>
        <w:t>3G</w:t>
      </w:r>
      <w:r>
        <w:rPr>
          <w:rFonts w:ascii="Arial" w:hAnsi="Arial" w:cs="Arial" w:eastAsia="Arial" w:hint="default"/>
          <w:spacing w:val="-36"/>
        </w:rPr>
        <w:t> </w:t>
      </w:r>
      <w:r>
        <w:rPr/>
        <w:t>手机及其他通信终端所致。</w:t>
      </w:r>
    </w:p>
    <w:p>
      <w:pPr>
        <w:pStyle w:val="BodyText"/>
        <w:spacing w:line="240" w:lineRule="auto" w:before="162"/>
        <w:ind w:left="122" w:right="0"/>
        <w:jc w:val="left"/>
      </w:pPr>
      <w:r>
        <w:rPr>
          <w:rFonts w:ascii="Arial" w:hAnsi="Arial" w:cs="Arial" w:eastAsia="Arial" w:hint="default"/>
        </w:rPr>
        <w:t>(5)  </w:t>
      </w:r>
      <w:r>
        <w:rPr/>
        <w:t>固定资产的增加主要是因为本年部分 </w:t>
      </w:r>
      <w:r>
        <w:rPr>
          <w:rFonts w:ascii="Arial" w:hAnsi="Arial" w:cs="Arial" w:eastAsia="Arial" w:hint="default"/>
        </w:rPr>
        <w:t>3G</w:t>
      </w:r>
      <w:r>
        <w:rPr>
          <w:rFonts w:ascii="Arial" w:hAnsi="Arial" w:cs="Arial" w:eastAsia="Arial" w:hint="default"/>
          <w:spacing w:val="-36"/>
        </w:rPr>
        <w:t> </w:t>
      </w:r>
      <w:r>
        <w:rPr/>
        <w:t>工程转固所致。</w:t>
      </w:r>
    </w:p>
    <w:p>
      <w:pPr>
        <w:pStyle w:val="BodyText"/>
        <w:spacing w:line="240" w:lineRule="auto" w:before="160"/>
        <w:ind w:left="122" w:right="0"/>
        <w:jc w:val="left"/>
      </w:pPr>
      <w:r>
        <w:rPr>
          <w:rFonts w:ascii="Arial" w:hAnsi="Arial" w:cs="Arial" w:eastAsia="Arial" w:hint="default"/>
        </w:rPr>
        <w:t>(6)  </w:t>
      </w:r>
      <w:r>
        <w:rPr/>
        <w:t>在建工程及工程物资的增加主要是因为本年因 </w:t>
      </w:r>
      <w:r>
        <w:rPr>
          <w:rFonts w:ascii="Arial" w:hAnsi="Arial" w:cs="Arial" w:eastAsia="Arial" w:hint="default"/>
        </w:rPr>
        <w:t>3G</w:t>
      </w:r>
      <w:r>
        <w:rPr>
          <w:rFonts w:ascii="Arial" w:hAnsi="Arial" w:cs="Arial" w:eastAsia="Arial" w:hint="default"/>
          <w:spacing w:val="-36"/>
        </w:rPr>
        <w:t> </w:t>
      </w:r>
      <w:r>
        <w:rPr/>
        <w:t>业务发展需要导致资本性开支加大。</w:t>
      </w:r>
    </w:p>
    <w:p>
      <w:pPr>
        <w:pStyle w:val="BodyText"/>
        <w:spacing w:line="240" w:lineRule="auto" w:before="162"/>
        <w:ind w:left="122" w:right="0"/>
        <w:jc w:val="left"/>
      </w:pPr>
      <w:r>
        <w:rPr>
          <w:rFonts w:ascii="Arial" w:hAnsi="Arial" w:cs="Arial" w:eastAsia="Arial" w:hint="default"/>
        </w:rPr>
        <w:t>(7)  </w:t>
      </w:r>
      <w:r>
        <w:rPr/>
        <w:t>短期借款增加主要是因为 </w:t>
      </w:r>
      <w:r>
        <w:rPr>
          <w:rFonts w:ascii="Arial" w:hAnsi="Arial" w:cs="Arial" w:eastAsia="Arial" w:hint="default"/>
        </w:rPr>
        <w:t>3G</w:t>
      </w:r>
      <w:r>
        <w:rPr>
          <w:rFonts w:ascii="Arial" w:hAnsi="Arial" w:cs="Arial" w:eastAsia="Arial" w:hint="default"/>
          <w:spacing w:val="-35"/>
        </w:rPr>
        <w:t> </w:t>
      </w:r>
      <w:r>
        <w:rPr/>
        <w:t>业务发展的资金需求加大而于年底新增的借款所致。</w:t>
      </w:r>
    </w:p>
    <w:p>
      <w:pPr>
        <w:pStyle w:val="BodyText"/>
        <w:spacing w:line="240" w:lineRule="auto" w:before="162"/>
        <w:ind w:left="122" w:right="0"/>
        <w:jc w:val="left"/>
      </w:pPr>
      <w:r>
        <w:rPr>
          <w:rFonts w:ascii="Arial" w:hAnsi="Arial" w:cs="Arial" w:eastAsia="Arial" w:hint="default"/>
        </w:rPr>
        <w:t>(8) </w:t>
      </w:r>
      <w:r>
        <w:rPr>
          <w:rFonts w:ascii="Arial" w:hAnsi="Arial" w:cs="Arial" w:eastAsia="Arial" w:hint="default"/>
          <w:spacing w:val="27"/>
        </w:rPr>
        <w:t> </w:t>
      </w:r>
      <w:r>
        <w:rPr/>
        <w:t>应付短期债券减少主要是因为本年偿还短期融资券所致。</w:t>
      </w:r>
    </w:p>
    <w:p>
      <w:pPr>
        <w:pStyle w:val="BodyText"/>
        <w:spacing w:line="240" w:lineRule="auto" w:before="162"/>
        <w:ind w:left="123" w:right="0"/>
        <w:jc w:val="left"/>
      </w:pPr>
      <w:r>
        <w:rPr>
          <w:rFonts w:ascii="Arial" w:hAnsi="Arial" w:cs="Arial" w:eastAsia="Arial" w:hint="default"/>
        </w:rPr>
        <w:t>(9) </w:t>
      </w:r>
      <w:r>
        <w:rPr>
          <w:rFonts w:ascii="Arial" w:hAnsi="Arial" w:cs="Arial" w:eastAsia="Arial" w:hint="default"/>
          <w:spacing w:val="27"/>
        </w:rPr>
        <w:t> </w:t>
      </w:r>
      <w:r>
        <w:rPr/>
        <w:t>应付票据及应付账款的增加主要是因为本年资本开支加大使应付工程及设备款等增加所致。</w:t>
      </w:r>
    </w:p>
    <w:p>
      <w:pPr>
        <w:pStyle w:val="BodyText"/>
        <w:spacing w:line="240" w:lineRule="auto" w:before="162"/>
        <w:ind w:left="123" w:right="0"/>
        <w:jc w:val="left"/>
      </w:pPr>
      <w:r>
        <w:rPr>
          <w:rFonts w:ascii="Arial" w:hAnsi="Arial" w:cs="Arial" w:eastAsia="Arial" w:hint="default"/>
        </w:rPr>
        <w:t>(10)</w:t>
      </w:r>
      <w:r>
        <w:rPr>
          <w:rFonts w:ascii="Arial" w:hAnsi="Arial" w:cs="Arial" w:eastAsia="Arial" w:hint="default"/>
          <w:spacing w:val="-34"/>
        </w:rPr>
        <w:t> </w:t>
      </w:r>
      <w:r>
        <w:rPr/>
        <w:t>预收账款的增加主要是因为本年预存话费的用户增加所致。</w:t>
      </w:r>
    </w:p>
    <w:p>
      <w:pPr>
        <w:pStyle w:val="BodyText"/>
        <w:spacing w:line="240" w:lineRule="auto" w:before="160"/>
        <w:ind w:left="123" w:right="0"/>
        <w:jc w:val="left"/>
      </w:pPr>
      <w:r>
        <w:rPr>
          <w:rFonts w:ascii="Arial" w:hAnsi="Arial" w:cs="Arial" w:eastAsia="Arial" w:hint="default"/>
        </w:rPr>
        <w:t>(11)</w:t>
      </w:r>
      <w:r>
        <w:rPr>
          <w:rFonts w:ascii="Arial" w:hAnsi="Arial" w:cs="Arial" w:eastAsia="Arial" w:hint="default"/>
          <w:spacing w:val="-34"/>
        </w:rPr>
        <w:t> </w:t>
      </w:r>
      <w:r>
        <w:rPr/>
        <w:t>应交税费的减少主要是因为预付了本年及支付了上年企业所得税所致。</w:t>
      </w:r>
    </w:p>
    <w:p>
      <w:pPr>
        <w:pStyle w:val="BodyText"/>
        <w:spacing w:line="240" w:lineRule="auto" w:before="162"/>
        <w:ind w:left="123" w:right="0"/>
        <w:jc w:val="left"/>
      </w:pPr>
      <w:r>
        <w:rPr>
          <w:rFonts w:ascii="Arial" w:hAnsi="Arial" w:cs="Arial" w:eastAsia="Arial" w:hint="default"/>
        </w:rPr>
        <w:t>(12)</w:t>
      </w:r>
      <w:r>
        <w:rPr>
          <w:rFonts w:ascii="Arial" w:hAnsi="Arial" w:cs="Arial" w:eastAsia="Arial" w:hint="default"/>
          <w:spacing w:val="-35"/>
        </w:rPr>
        <w:t> </w:t>
      </w:r>
      <w:r>
        <w:rPr/>
        <w:t>应付股利的减少主要是因为本年支付了部分公众股股东及联通集团股利所致。</w:t>
      </w:r>
    </w:p>
    <w:p>
      <w:pPr>
        <w:pStyle w:val="BodyText"/>
        <w:spacing w:line="286" w:lineRule="exact" w:before="190"/>
        <w:ind w:left="558" w:right="336" w:hanging="435"/>
        <w:jc w:val="left"/>
      </w:pPr>
      <w:r>
        <w:rPr>
          <w:rFonts w:ascii="Arial" w:hAnsi="Arial" w:cs="Arial" w:eastAsia="Arial" w:hint="default"/>
        </w:rPr>
        <w:t>(13)</w:t>
      </w:r>
      <w:r>
        <w:rPr>
          <w:rFonts w:ascii="Arial" w:hAnsi="Arial" w:cs="Arial" w:eastAsia="Arial" w:hint="default"/>
          <w:spacing w:val="-47"/>
        </w:rPr>
        <w:t> </w:t>
      </w:r>
      <w:r>
        <w:rPr/>
        <w:t>一年内到期的非流动负债的减少主要是由于本年偿还相关带息负债所致。同时带息负债的减少</w:t>
      </w:r>
      <w:r>
        <w:rPr>
          <w:w w:val="99"/>
        </w:rPr>
        <w:t> </w:t>
      </w:r>
      <w:r>
        <w:rPr/>
        <w:t>也使财务费用进一步下降。</w:t>
      </w:r>
    </w:p>
    <w:p>
      <w:pPr>
        <w:pStyle w:val="BodyText"/>
        <w:spacing w:line="240" w:lineRule="auto" w:before="150"/>
        <w:ind w:left="124" w:right="0"/>
        <w:jc w:val="left"/>
      </w:pPr>
      <w:r>
        <w:rPr>
          <w:rFonts w:ascii="Arial" w:hAnsi="Arial" w:cs="Arial" w:eastAsia="Arial" w:hint="default"/>
        </w:rPr>
        <w:t>(14)</w:t>
      </w:r>
      <w:r>
        <w:rPr>
          <w:rFonts w:ascii="Arial" w:hAnsi="Arial" w:cs="Arial" w:eastAsia="Arial" w:hint="default"/>
          <w:spacing w:val="-34"/>
        </w:rPr>
        <w:t> </w:t>
      </w:r>
      <w:r>
        <w:rPr/>
        <w:t>长期应付款的减少主要是由于本年向联通集团支付了内退人员的拨备资金所致。</w:t>
      </w:r>
    </w:p>
    <w:p>
      <w:pPr>
        <w:pStyle w:val="BodyText"/>
        <w:spacing w:line="286" w:lineRule="exact" w:before="190"/>
        <w:ind w:left="558" w:right="345" w:hanging="435"/>
        <w:jc w:val="left"/>
      </w:pPr>
      <w:r>
        <w:rPr>
          <w:rFonts w:ascii="Arial" w:hAnsi="Arial" w:cs="Arial" w:eastAsia="Arial" w:hint="default"/>
        </w:rPr>
        <w:t>(15)</w:t>
      </w:r>
      <w:r>
        <w:rPr>
          <w:rFonts w:ascii="Arial" w:hAnsi="Arial" w:cs="Arial" w:eastAsia="Arial" w:hint="default"/>
          <w:spacing w:val="-36"/>
        </w:rPr>
        <w:t> </w:t>
      </w:r>
      <w:r>
        <w:rPr>
          <w:spacing w:val="5"/>
        </w:rPr>
        <w:t>递延所得税负债的增加主要是由于本年确认与可供出售金融资产公允价值变动净收益相关的</w:t>
      </w:r>
      <w:r>
        <w:rPr>
          <w:spacing w:val="6"/>
          <w:w w:val="99"/>
        </w:rPr>
        <w:t> </w:t>
      </w:r>
      <w:r>
        <w:rPr/>
        <w:t>递延税项所致。</w:t>
      </w:r>
    </w:p>
    <w:p>
      <w:pPr>
        <w:pStyle w:val="BodyText"/>
        <w:spacing w:line="240" w:lineRule="auto" w:before="151"/>
        <w:ind w:left="124" w:right="0"/>
        <w:jc w:val="left"/>
      </w:pPr>
      <w:r>
        <w:rPr>
          <w:rFonts w:ascii="Arial" w:hAnsi="Arial" w:cs="Arial" w:eastAsia="Arial" w:hint="default"/>
        </w:rPr>
        <w:t>(16)</w:t>
      </w:r>
      <w:r>
        <w:rPr>
          <w:rFonts w:ascii="Arial" w:hAnsi="Arial" w:cs="Arial" w:eastAsia="Arial" w:hint="default"/>
          <w:spacing w:val="-34"/>
        </w:rPr>
        <w:t> </w:t>
      </w:r>
      <w:r>
        <w:rPr/>
        <w:t>营业收入的减少主要是由于本年国内外宏观经济发展放缓及固网业务的移动业务替代效应所致。</w:t>
      </w:r>
    </w:p>
    <w:p>
      <w:pPr>
        <w:pStyle w:val="BodyText"/>
        <w:spacing w:line="286" w:lineRule="exact" w:before="189"/>
        <w:ind w:left="558" w:right="342" w:hanging="435"/>
        <w:jc w:val="left"/>
      </w:pPr>
      <w:r>
        <w:rPr>
          <w:rFonts w:ascii="Arial" w:hAnsi="Arial" w:cs="Arial" w:eastAsia="Arial" w:hint="default"/>
        </w:rPr>
        <w:t>(17)</w:t>
      </w:r>
      <w:r>
        <w:rPr>
          <w:rFonts w:ascii="Arial" w:hAnsi="Arial" w:cs="Arial" w:eastAsia="Arial" w:hint="default"/>
          <w:spacing w:val="-33"/>
        </w:rPr>
        <w:t> </w:t>
      </w:r>
      <w:r>
        <w:rPr/>
        <w:t>营业成本的增加主要是新增网络固定资产（含</w:t>
      </w:r>
      <w:r>
        <w:rPr>
          <w:spacing w:val="-46"/>
        </w:rPr>
        <w:t> </w:t>
      </w:r>
      <w:r>
        <w:rPr>
          <w:rFonts w:ascii="Arial" w:hAnsi="Arial" w:cs="Arial" w:eastAsia="Arial" w:hint="default"/>
        </w:rPr>
        <w:t>3G</w:t>
      </w:r>
      <w:r>
        <w:rPr>
          <w:rFonts w:ascii="Arial" w:hAnsi="Arial" w:cs="Arial" w:eastAsia="Arial" w:hint="default"/>
          <w:spacing w:val="1"/>
        </w:rPr>
        <w:t> </w:t>
      </w:r>
      <w:r>
        <w:rPr/>
        <w:t>业务）及本集团业务拓展增加人工成本及运</w:t>
      </w:r>
      <w:r>
        <w:rPr>
          <w:w w:val="99"/>
        </w:rPr>
        <w:t> </w:t>
      </w:r>
      <w:r>
        <w:rPr/>
        <w:t>行维护费用所致。</w:t>
      </w:r>
    </w:p>
    <w:p>
      <w:pPr>
        <w:pStyle w:val="BodyText"/>
        <w:spacing w:line="240" w:lineRule="auto" w:before="151"/>
        <w:ind w:left="124" w:right="0"/>
        <w:jc w:val="left"/>
      </w:pPr>
      <w:r>
        <w:rPr>
          <w:rFonts w:ascii="Arial" w:hAnsi="Arial" w:cs="Arial" w:eastAsia="Arial" w:hint="default"/>
        </w:rPr>
        <w:t>(18)</w:t>
      </w:r>
      <w:r>
        <w:rPr>
          <w:rFonts w:ascii="Arial" w:hAnsi="Arial" w:cs="Arial" w:eastAsia="Arial" w:hint="default"/>
          <w:spacing w:val="-33"/>
        </w:rPr>
        <w:t> </w:t>
      </w:r>
      <w:r>
        <w:rPr/>
        <w:t>销售费用增加主要是由于本年加大市场促销活动特别是</w:t>
      </w:r>
      <w:r>
        <w:rPr>
          <w:spacing w:val="-56"/>
        </w:rPr>
        <w:t> </w:t>
      </w:r>
      <w:r>
        <w:rPr>
          <w:rFonts w:ascii="Arial" w:hAnsi="Arial" w:cs="Arial" w:eastAsia="Arial" w:hint="default"/>
        </w:rPr>
        <w:t>3G</w:t>
      </w:r>
      <w:r>
        <w:rPr>
          <w:rFonts w:ascii="Arial" w:hAnsi="Arial" w:cs="Arial" w:eastAsia="Arial" w:hint="default"/>
          <w:spacing w:val="-9"/>
        </w:rPr>
        <w:t> </w:t>
      </w:r>
      <w:r>
        <w:rPr/>
        <w:t>业务所致。</w:t>
      </w:r>
    </w:p>
    <w:p>
      <w:pPr>
        <w:pStyle w:val="BodyText"/>
        <w:spacing w:line="240" w:lineRule="auto" w:before="164"/>
        <w:ind w:left="122" w:right="0"/>
        <w:jc w:val="left"/>
      </w:pPr>
      <w:r>
        <w:rPr>
          <w:rFonts w:ascii="Arial" w:hAnsi="Arial" w:cs="Arial" w:eastAsia="Arial" w:hint="default"/>
        </w:rPr>
        <w:t>(19)</w:t>
      </w:r>
      <w:r>
        <w:rPr>
          <w:rFonts w:ascii="Arial" w:hAnsi="Arial" w:cs="Arial" w:eastAsia="Arial" w:hint="default"/>
          <w:spacing w:val="-33"/>
        </w:rPr>
        <w:t> </w:t>
      </w:r>
      <w:r>
        <w:rPr/>
        <w:t>资产减值损失的减少主要是</w:t>
      </w:r>
      <w:r>
        <w:rPr>
          <w:spacing w:val="-57"/>
        </w:rPr>
        <w:t> </w:t>
      </w:r>
      <w:r>
        <w:rPr>
          <w:rFonts w:ascii="Arial" w:hAnsi="Arial" w:cs="Arial" w:eastAsia="Arial" w:hint="default"/>
        </w:rPr>
        <w:t>2008</w:t>
      </w:r>
      <w:r>
        <w:rPr>
          <w:rFonts w:ascii="Arial" w:hAnsi="Arial" w:cs="Arial" w:eastAsia="Arial" w:hint="default"/>
          <w:spacing w:val="-8"/>
        </w:rPr>
        <w:t> </w:t>
      </w:r>
      <w:r>
        <w:rPr/>
        <w:t>年度计提了无线市话相关资产的减值损失。</w:t>
      </w:r>
    </w:p>
    <w:p>
      <w:pPr>
        <w:pStyle w:val="BodyText"/>
        <w:spacing w:line="286" w:lineRule="exact" w:before="189"/>
        <w:ind w:left="556" w:right="344" w:hanging="435"/>
        <w:jc w:val="left"/>
      </w:pPr>
      <w:r>
        <w:rPr>
          <w:rFonts w:ascii="Arial" w:hAnsi="Arial" w:cs="Arial" w:eastAsia="Arial" w:hint="default"/>
        </w:rPr>
        <w:t>(20)</w:t>
      </w:r>
      <w:r>
        <w:rPr>
          <w:rFonts w:ascii="Arial" w:hAnsi="Arial" w:cs="Arial" w:eastAsia="Arial" w:hint="default"/>
          <w:spacing w:val="-33"/>
        </w:rPr>
        <w:t> </w:t>
      </w:r>
      <w:r>
        <w:rPr/>
        <w:t>公允价值变动的增加主要是</w:t>
      </w:r>
      <w:r>
        <w:rPr>
          <w:spacing w:val="-35"/>
        </w:rPr>
        <w:t> </w:t>
      </w:r>
      <w:r>
        <w:rPr>
          <w:rFonts w:ascii="Arial" w:hAnsi="Arial" w:cs="Arial" w:eastAsia="Arial" w:hint="default"/>
        </w:rPr>
        <w:t>2009</w:t>
      </w:r>
      <w:r>
        <w:rPr>
          <w:rFonts w:ascii="Arial" w:hAnsi="Arial" w:cs="Arial" w:eastAsia="Arial" w:hint="default"/>
          <w:spacing w:val="14"/>
        </w:rPr>
        <w:t> </w:t>
      </w:r>
      <w:r>
        <w:rPr/>
        <w:t>年度确认了与西班牙电信投资合约相关的衍生工具公允价值</w:t>
      </w:r>
      <w:r>
        <w:rPr>
          <w:w w:val="99"/>
        </w:rPr>
        <w:t> </w:t>
      </w:r>
      <w:r>
        <w:rPr/>
        <w:t>变动收益所致。</w:t>
      </w:r>
    </w:p>
    <w:p>
      <w:pPr>
        <w:pStyle w:val="BodyText"/>
        <w:spacing w:line="240" w:lineRule="auto" w:before="151"/>
        <w:ind w:left="122" w:right="0"/>
        <w:jc w:val="left"/>
      </w:pPr>
      <w:r>
        <w:rPr>
          <w:rFonts w:ascii="Arial" w:hAnsi="Arial" w:cs="Arial" w:eastAsia="Arial" w:hint="default"/>
        </w:rPr>
        <w:t>(21)</w:t>
      </w:r>
      <w:r>
        <w:rPr>
          <w:rFonts w:ascii="Arial" w:hAnsi="Arial" w:cs="Arial" w:eastAsia="Arial" w:hint="default"/>
          <w:spacing w:val="-33"/>
        </w:rPr>
        <w:t> </w:t>
      </w:r>
      <w:r>
        <w:rPr/>
        <w:t>所得税费用的增加主要由于</w:t>
      </w:r>
      <w:r>
        <w:rPr>
          <w:spacing w:val="-57"/>
        </w:rPr>
        <w:t> </w:t>
      </w:r>
      <w:r>
        <w:rPr>
          <w:rFonts w:ascii="Arial" w:hAnsi="Arial" w:cs="Arial" w:eastAsia="Arial" w:hint="default"/>
        </w:rPr>
        <w:t>2009</w:t>
      </w:r>
      <w:r>
        <w:rPr>
          <w:rFonts w:ascii="Arial" w:hAnsi="Arial" w:cs="Arial" w:eastAsia="Arial" w:hint="default"/>
          <w:spacing w:val="-8"/>
        </w:rPr>
        <w:t> </w:t>
      </w:r>
      <w:r>
        <w:rPr/>
        <w:t>年度持续经营业务利润总额较</w:t>
      </w:r>
      <w:r>
        <w:rPr>
          <w:spacing w:val="-57"/>
        </w:rPr>
        <w:t> </w:t>
      </w:r>
      <w:r>
        <w:rPr>
          <w:rFonts w:ascii="Arial" w:hAnsi="Arial" w:cs="Arial" w:eastAsia="Arial" w:hint="default"/>
        </w:rPr>
        <w:t>2008</w:t>
      </w:r>
      <w:r>
        <w:rPr>
          <w:rFonts w:ascii="Arial" w:hAnsi="Arial" w:cs="Arial" w:eastAsia="Arial" w:hint="default"/>
          <w:spacing w:val="-8"/>
        </w:rPr>
        <w:t> </w:t>
      </w:r>
      <w:r>
        <w:rPr/>
        <w:t>年增加所致的。</w:t>
      </w:r>
    </w:p>
    <w:p>
      <w:pPr>
        <w:spacing w:after="0" w:line="240" w:lineRule="auto"/>
        <w:jc w:val="left"/>
        <w:sectPr>
          <w:headerReference w:type="default" r:id="rId155"/>
          <w:pgSz w:w="11910" w:h="16840"/>
          <w:pgMar w:header="1330" w:footer="752" w:top="2300" w:bottom="940" w:left="1260" w:right="740"/>
        </w:sectPr>
      </w:pPr>
    </w:p>
    <w:p>
      <w:pPr>
        <w:spacing w:line="240" w:lineRule="auto" w:before="5"/>
        <w:rPr>
          <w:rFonts w:ascii="宋体" w:hAnsi="宋体" w:cs="宋体" w:eastAsia="宋体" w:hint="default"/>
          <w:sz w:val="8"/>
          <w:szCs w:val="8"/>
        </w:rPr>
      </w:pPr>
    </w:p>
    <w:p>
      <w:pPr>
        <w:spacing w:before="38"/>
        <w:ind w:left="144" w:right="0" w:firstLine="0"/>
        <w:jc w:val="left"/>
        <w:rPr>
          <w:rFonts w:ascii="宋体" w:hAnsi="宋体" w:cs="宋体" w:eastAsia="宋体" w:hint="default"/>
          <w:sz w:val="20"/>
          <w:szCs w:val="20"/>
        </w:rPr>
      </w:pPr>
      <w:r>
        <w:rPr/>
        <w:pict>
          <v:shape style="position:absolute;margin-left:509.579956pt;margin-top:-1.660318pt;width:25.431442pt;height:15.240006pt;mso-position-horizontal-relative:page;mso-position-vertical-relative:paragraph;z-index:9520" type="#_x0000_t75" stroked="false">
            <v:imagedata r:id="rId157" o:title=""/>
          </v:shape>
        </w:pict>
      </w:r>
      <w:bookmarkStart w:name="_bookmark8" w:id="11"/>
      <w:bookmarkEnd w:id="11"/>
      <w:r>
        <w:rPr/>
      </w:r>
      <w:r>
        <w:rPr>
          <w:rFonts w:ascii="宋体" w:hAnsi="宋体" w:cs="宋体" w:eastAsia="宋体" w:hint="default"/>
          <w:sz w:val="20"/>
          <w:szCs w:val="20"/>
        </w:rPr>
        <w:t>中国联合网络通信股份有限公司 </w:t>
      </w:r>
      <w:r>
        <w:rPr>
          <w:rFonts w:ascii="Arial" w:hAnsi="Arial" w:cs="Arial" w:eastAsia="Arial" w:hint="default"/>
          <w:sz w:val="20"/>
          <w:szCs w:val="20"/>
        </w:rPr>
        <w:t>2009</w:t>
      </w:r>
      <w:r>
        <w:rPr>
          <w:rFonts w:ascii="Arial" w:hAnsi="Arial" w:cs="Arial" w:eastAsia="Arial" w:hint="default"/>
          <w:spacing w:val="-10"/>
          <w:sz w:val="20"/>
          <w:szCs w:val="20"/>
        </w:rPr>
        <w:t> </w:t>
      </w:r>
      <w:r>
        <w:rPr>
          <w:rFonts w:ascii="宋体" w:hAnsi="宋体" w:cs="宋体" w:eastAsia="宋体" w:hint="default"/>
          <w:sz w:val="20"/>
          <w:szCs w:val="20"/>
        </w:rPr>
        <w:t>年度报告</w:t>
      </w:r>
    </w:p>
    <w:p>
      <w:pPr>
        <w:spacing w:line="240" w:lineRule="auto" w:before="8"/>
        <w:rPr>
          <w:rFonts w:ascii="宋体" w:hAnsi="宋体" w:cs="宋体" w:eastAsia="宋体" w:hint="default"/>
          <w:sz w:val="2"/>
          <w:szCs w:val="2"/>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460.2pt;height:.75pt;mso-position-horizontal-relative:char;mso-position-vertical-relative:line" coordorigin="0,0" coordsize="9204,15">
            <v:group style="position:absolute;left:7;top:7;width:9190;height:2" coordorigin="7,7" coordsize="9190,2">
              <v:shape style="position:absolute;left:7;top:7;width:9190;height:2" coordorigin="7,7" coordsize="9190,0" path="m7,7l919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pStyle w:val="Heading8"/>
        <w:spacing w:line="240" w:lineRule="auto" w:before="31"/>
        <w:ind w:left="143" w:right="0"/>
        <w:jc w:val="left"/>
        <w:rPr>
          <w:b w:val="0"/>
          <w:bCs w:val="0"/>
        </w:rPr>
      </w:pPr>
      <w:r>
        <w:rPr/>
        <w:t>十一、备查文件目录</w:t>
      </w:r>
      <w:r>
        <w:rPr>
          <w:b w:val="0"/>
          <w:bCs w:val="0"/>
        </w:rPr>
      </w:r>
    </w:p>
    <w:p>
      <w:pPr>
        <w:spacing w:line="240" w:lineRule="auto" w:before="12"/>
        <w:rPr>
          <w:rFonts w:ascii="宋体" w:hAnsi="宋体" w:cs="宋体" w:eastAsia="宋体" w:hint="default"/>
          <w:b/>
          <w:bCs/>
          <w:sz w:val="21"/>
          <w:szCs w:val="21"/>
        </w:rPr>
      </w:pPr>
    </w:p>
    <w:p>
      <w:pPr>
        <w:pStyle w:val="BodyText"/>
        <w:spacing w:line="295" w:lineRule="exact"/>
        <w:ind w:left="144" w:right="0"/>
        <w:jc w:val="left"/>
      </w:pPr>
      <w:r>
        <w:rPr>
          <w:rFonts w:ascii="Arial" w:hAnsi="Arial" w:cs="Arial" w:eastAsia="Arial" w:hint="default"/>
        </w:rPr>
        <w:t>1</w:t>
      </w:r>
      <w:r>
        <w:rPr/>
        <w:t>、载有法定代表人、主管会计工作负责人、会计机构负责人签名并盖章的会计报表</w:t>
      </w:r>
    </w:p>
    <w:p>
      <w:pPr>
        <w:pStyle w:val="BodyText"/>
        <w:spacing w:line="285" w:lineRule="exact"/>
        <w:ind w:left="143" w:right="0"/>
        <w:jc w:val="left"/>
      </w:pPr>
      <w:r>
        <w:rPr>
          <w:rFonts w:ascii="Arial" w:hAnsi="Arial" w:cs="Arial" w:eastAsia="Arial" w:hint="default"/>
        </w:rPr>
        <w:t>2</w:t>
      </w:r>
      <w:r>
        <w:rPr/>
        <w:t>、载有会计师事务所盖章、注册会计师签名并盖章的审计报告原件</w:t>
      </w:r>
    </w:p>
    <w:p>
      <w:pPr>
        <w:pStyle w:val="BodyText"/>
        <w:spacing w:line="285" w:lineRule="exact"/>
        <w:ind w:left="143" w:right="0"/>
        <w:jc w:val="left"/>
      </w:pPr>
      <w:r>
        <w:rPr>
          <w:rFonts w:ascii="Arial" w:hAnsi="Arial" w:cs="Arial" w:eastAsia="Arial" w:hint="default"/>
        </w:rPr>
        <w:t>3</w:t>
      </w:r>
      <w:r>
        <w:rPr/>
        <w:t>、报告期内在中国证监会指定报纸上公开披露的所有公司文件的正本及公告的原稿</w:t>
      </w:r>
    </w:p>
    <w:p>
      <w:pPr>
        <w:pStyle w:val="BodyText"/>
        <w:spacing w:line="294" w:lineRule="exact"/>
        <w:ind w:left="143" w:right="0"/>
        <w:jc w:val="left"/>
      </w:pPr>
      <w:r>
        <w:rPr>
          <w:rFonts w:ascii="Arial" w:hAnsi="Arial" w:cs="Arial" w:eastAsia="Arial" w:hint="default"/>
        </w:rPr>
        <w:t>4</w:t>
      </w:r>
      <w:r>
        <w:rPr/>
        <w:t>、联通红筹公司</w:t>
      </w:r>
      <w:r>
        <w:rPr>
          <w:spacing w:val="-57"/>
        </w:rPr>
        <w:t> </w:t>
      </w:r>
      <w:r>
        <w:rPr>
          <w:rFonts w:ascii="Arial" w:hAnsi="Arial" w:cs="Arial" w:eastAsia="Arial" w:hint="default"/>
        </w:rPr>
        <w:t>2009</w:t>
      </w:r>
      <w:r>
        <w:rPr>
          <w:rFonts w:ascii="Arial" w:hAnsi="Arial" w:cs="Arial" w:eastAsia="Arial" w:hint="default"/>
          <w:spacing w:val="-8"/>
        </w:rPr>
        <w:t> </w:t>
      </w:r>
      <w:r>
        <w:rPr/>
        <w:t>年度业绩公告</w:t>
      </w:r>
    </w:p>
    <w:p>
      <w:pPr>
        <w:pStyle w:val="BodyText"/>
        <w:spacing w:line="300" w:lineRule="auto" w:before="57"/>
        <w:ind w:left="6194" w:right="149" w:firstLine="1539"/>
        <w:jc w:val="right"/>
      </w:pPr>
      <w:r>
        <w:rPr>
          <w:w w:val="95"/>
        </w:rPr>
        <w:t>董事长：常小兵</w:t>
      </w:r>
      <w:r>
        <w:rPr>
          <w:w w:val="99"/>
        </w:rPr>
        <w:t> </w:t>
      </w:r>
      <w:r>
        <w:rPr>
          <w:w w:val="95"/>
        </w:rPr>
        <w:t>中国联合网络通信股份有限公司</w:t>
      </w:r>
      <w:r>
        <w:rPr/>
      </w:r>
    </w:p>
    <w:p>
      <w:pPr>
        <w:pStyle w:val="BodyText"/>
        <w:spacing w:line="240" w:lineRule="auto" w:before="17"/>
        <w:ind w:left="0" w:right="148"/>
        <w:jc w:val="right"/>
      </w:pPr>
      <w:r>
        <w:rPr>
          <w:rFonts w:ascii="Arial" w:hAnsi="Arial" w:cs="Arial" w:eastAsia="Arial" w:hint="default"/>
        </w:rPr>
        <w:t>2010</w:t>
      </w:r>
      <w:r>
        <w:rPr>
          <w:rFonts w:ascii="Arial" w:hAnsi="Arial" w:cs="Arial" w:eastAsia="Arial" w:hint="default"/>
          <w:spacing w:val="-7"/>
        </w:rPr>
        <w:t> </w:t>
      </w:r>
      <w:r>
        <w:rPr/>
        <w:t>年</w:t>
      </w:r>
      <w:r>
        <w:rPr>
          <w:spacing w:val="-56"/>
        </w:rPr>
        <w:t> </w:t>
      </w:r>
      <w:r>
        <w:rPr>
          <w:rFonts w:ascii="Arial" w:hAnsi="Arial" w:cs="Arial" w:eastAsia="Arial" w:hint="default"/>
        </w:rPr>
        <w:t>3</w:t>
      </w:r>
      <w:r>
        <w:rPr>
          <w:rFonts w:ascii="Arial" w:hAnsi="Arial" w:cs="Arial" w:eastAsia="Arial" w:hint="default"/>
          <w:spacing w:val="-7"/>
        </w:rPr>
        <w:t> </w:t>
      </w:r>
      <w:r>
        <w:rPr/>
        <w:t>月</w:t>
      </w:r>
      <w:r>
        <w:rPr>
          <w:spacing w:val="-56"/>
        </w:rPr>
        <w:t> </w:t>
      </w:r>
      <w:r>
        <w:rPr>
          <w:rFonts w:ascii="Arial" w:hAnsi="Arial" w:cs="Arial" w:eastAsia="Arial" w:hint="default"/>
        </w:rPr>
        <w:t>24</w:t>
      </w:r>
      <w:r>
        <w:rPr>
          <w:rFonts w:ascii="Arial" w:hAnsi="Arial" w:cs="Arial" w:eastAsia="Arial" w:hint="default"/>
          <w:spacing w:val="-7"/>
        </w:rPr>
        <w:t> </w:t>
      </w:r>
      <w:r>
        <w:rPr/>
        <w:t>日</w:t>
      </w:r>
    </w:p>
    <w:p>
      <w:pPr>
        <w:spacing w:after="0" w:line="240" w:lineRule="auto"/>
        <w:jc w:val="right"/>
        <w:sectPr>
          <w:headerReference w:type="default" r:id="rId156"/>
          <w:pgSz w:w="11910" w:h="16840"/>
          <w:pgMar w:header="0" w:footer="752" w:top="1220" w:bottom="940" w:left="1440" w:right="1040"/>
        </w:sectPr>
      </w:pPr>
    </w:p>
    <w:p>
      <w:pPr>
        <w:pStyle w:val="Heading2"/>
        <w:spacing w:line="490" w:lineRule="exact"/>
        <w:ind w:right="137"/>
        <w:jc w:val="center"/>
        <w:rPr>
          <w:b w:val="0"/>
          <w:bCs w:val="0"/>
        </w:rPr>
      </w:pPr>
      <w:bookmarkStart w:name="内控自我评估报告.pdf" w:id="12"/>
      <w:bookmarkEnd w:id="12"/>
      <w:r>
        <w:rPr>
          <w:b w:val="0"/>
          <w:bCs w:val="0"/>
        </w:rPr>
      </w:r>
      <w:r>
        <w:rPr/>
        <w:t>中国联合网络通信股份有限公司</w:t>
      </w:r>
      <w:r>
        <w:rPr>
          <w:b w:val="0"/>
          <w:bCs w:val="0"/>
        </w:rPr>
      </w:r>
    </w:p>
    <w:p>
      <w:pPr>
        <w:spacing w:line="695" w:lineRule="exact" w:before="0"/>
        <w:ind w:left="0" w:right="137" w:firstLine="0"/>
        <w:jc w:val="center"/>
        <w:rPr>
          <w:rFonts w:ascii="Microsoft JhengHei" w:hAnsi="Microsoft JhengHei" w:cs="Microsoft JhengHei" w:eastAsia="Microsoft JhengHei" w:hint="default"/>
          <w:sz w:val="44"/>
          <w:szCs w:val="44"/>
        </w:rPr>
      </w:pPr>
      <w:r>
        <w:rPr>
          <w:rFonts w:ascii="Microsoft JhengHei" w:hAnsi="Microsoft JhengHei" w:cs="Microsoft JhengHei" w:eastAsia="Microsoft JhengHei" w:hint="default"/>
          <w:b/>
          <w:bCs/>
          <w:sz w:val="44"/>
          <w:szCs w:val="44"/>
        </w:rPr>
        <w:t>内控自我评估报告</w:t>
      </w:r>
      <w:r>
        <w:rPr>
          <w:rFonts w:ascii="Microsoft JhengHei" w:hAnsi="Microsoft JhengHei" w:cs="Microsoft JhengHei" w:eastAsia="Microsoft JhengHei" w:hint="default"/>
          <w:sz w:val="44"/>
          <w:szCs w:val="44"/>
        </w:rPr>
      </w:r>
    </w:p>
    <w:p>
      <w:pPr>
        <w:spacing w:line="240" w:lineRule="auto" w:before="3"/>
        <w:rPr>
          <w:rFonts w:ascii="Microsoft JhengHei" w:hAnsi="Microsoft JhengHei" w:cs="Microsoft JhengHei" w:eastAsia="Microsoft JhengHei" w:hint="default"/>
          <w:b/>
          <w:bCs/>
          <w:sz w:val="43"/>
          <w:szCs w:val="43"/>
        </w:rPr>
      </w:pPr>
    </w:p>
    <w:p>
      <w:pPr>
        <w:pStyle w:val="Heading7"/>
        <w:spacing w:line="408" w:lineRule="auto"/>
        <w:ind w:right="144" w:firstLine="560"/>
        <w:jc w:val="left"/>
        <w:rPr>
          <w:rFonts w:ascii="宋体" w:hAnsi="宋体" w:cs="宋体" w:eastAsia="宋体" w:hint="default"/>
        </w:rPr>
      </w:pPr>
      <w:r>
        <w:rPr>
          <w:rFonts w:ascii="宋体" w:hAnsi="宋体" w:cs="宋体" w:eastAsia="宋体" w:hint="default"/>
        </w:rPr>
        <w:t>本公司董事会及全体董事保证本报告内容不存在任何虚假记载、</w:t>
      </w:r>
      <w:r>
        <w:rPr>
          <w:rFonts w:ascii="宋体" w:hAnsi="宋体" w:cs="宋体" w:eastAsia="宋体" w:hint="default"/>
          <w:w w:val="99"/>
        </w:rPr>
        <w:t> </w:t>
      </w:r>
      <w:r>
        <w:rPr>
          <w:rFonts w:ascii="宋体" w:hAnsi="宋体" w:cs="宋体" w:eastAsia="宋体" w:hint="default"/>
          <w:spacing w:val="-4"/>
        </w:rPr>
        <w:t>误导性陈述或重大遗漏，并对其内容的真实性、准确性和完整性承担</w:t>
      </w:r>
      <w:r>
        <w:rPr>
          <w:rFonts w:ascii="宋体" w:hAnsi="宋体" w:cs="宋体" w:eastAsia="宋体" w:hint="default"/>
          <w:spacing w:val="-124"/>
        </w:rPr>
        <w:t> </w:t>
      </w:r>
      <w:r>
        <w:rPr>
          <w:rFonts w:ascii="宋体" w:hAnsi="宋体" w:cs="宋体" w:eastAsia="宋体" w:hint="default"/>
          <w:spacing w:val="-124"/>
        </w:rPr>
      </w:r>
      <w:r>
        <w:rPr>
          <w:rFonts w:ascii="宋体" w:hAnsi="宋体" w:cs="宋体" w:eastAsia="宋体" w:hint="default"/>
        </w:rPr>
        <w:t>个别及连带责任。</w:t>
      </w:r>
    </w:p>
    <w:p>
      <w:pPr>
        <w:spacing w:line="240" w:lineRule="auto" w:before="7"/>
        <w:rPr>
          <w:rFonts w:ascii="宋体" w:hAnsi="宋体" w:cs="宋体" w:eastAsia="宋体" w:hint="default"/>
          <w:sz w:val="28"/>
          <w:szCs w:val="28"/>
        </w:rPr>
      </w:pPr>
    </w:p>
    <w:p>
      <w:pPr>
        <w:spacing w:line="328" w:lineRule="auto" w:before="0"/>
        <w:ind w:left="119" w:right="163" w:firstLine="560"/>
        <w:jc w:val="both"/>
        <w:rPr>
          <w:rFonts w:ascii="Microsoft JhengHei" w:hAnsi="Microsoft JhengHei" w:cs="Microsoft JhengHei" w:eastAsia="Microsoft JhengHei" w:hint="default"/>
          <w:sz w:val="28"/>
          <w:szCs w:val="28"/>
        </w:rPr>
      </w:pPr>
      <w:r>
        <w:rPr>
          <w:rFonts w:ascii="宋体" w:hAnsi="宋体" w:cs="宋体" w:eastAsia="宋体" w:hint="default"/>
          <w:sz w:val="28"/>
          <w:szCs w:val="28"/>
        </w:rPr>
        <w:t>建立健全并有效实施内部控制是本公司董事会及管理层的责任。</w:t>
      </w:r>
      <w:r>
        <w:rPr>
          <w:rFonts w:ascii="宋体" w:hAnsi="宋体" w:cs="宋体" w:eastAsia="宋体" w:hint="default"/>
          <w:w w:val="99"/>
          <w:sz w:val="28"/>
          <w:szCs w:val="28"/>
        </w:rPr>
        <w:t> </w:t>
      </w:r>
      <w:r>
        <w:rPr>
          <w:rFonts w:ascii="宋体" w:hAnsi="宋体" w:cs="宋体" w:eastAsia="宋体" w:hint="default"/>
          <w:spacing w:val="-4"/>
          <w:sz w:val="28"/>
          <w:szCs w:val="28"/>
        </w:rPr>
        <w:t>本公司内部控制的目标是：</w:t>
      </w:r>
      <w:r>
        <w:rPr>
          <w:rFonts w:ascii="Microsoft JhengHei" w:hAnsi="Microsoft JhengHei" w:cs="Microsoft JhengHei" w:eastAsia="Microsoft JhengHei" w:hint="default"/>
          <w:b/>
          <w:bCs/>
          <w:spacing w:val="-4"/>
          <w:sz w:val="28"/>
          <w:szCs w:val="28"/>
        </w:rPr>
        <w:t>合理保证经营的效率及效益性、财务报告</w:t>
      </w:r>
      <w:r>
        <w:rPr>
          <w:rFonts w:ascii="Microsoft JhengHei" w:hAnsi="Microsoft JhengHei" w:cs="Microsoft JhengHei" w:eastAsia="Microsoft JhengHei" w:hint="default"/>
          <w:b/>
          <w:bCs/>
          <w:spacing w:val="-60"/>
          <w:sz w:val="28"/>
          <w:szCs w:val="28"/>
        </w:rPr>
        <w:t> </w:t>
      </w:r>
      <w:r>
        <w:rPr>
          <w:rFonts w:ascii="Microsoft JhengHei" w:hAnsi="Microsoft JhengHei" w:cs="Microsoft JhengHei" w:eastAsia="Microsoft JhengHei" w:hint="default"/>
          <w:b/>
          <w:bCs/>
          <w:spacing w:val="-60"/>
          <w:sz w:val="28"/>
          <w:szCs w:val="28"/>
        </w:rPr>
      </w:r>
      <w:r>
        <w:rPr>
          <w:rFonts w:ascii="Microsoft JhengHei" w:hAnsi="Microsoft JhengHei" w:cs="Microsoft JhengHei" w:eastAsia="Microsoft JhengHei" w:hint="default"/>
          <w:b/>
          <w:bCs/>
          <w:sz w:val="28"/>
          <w:szCs w:val="28"/>
        </w:rPr>
        <w:t>的真实性及相关法律法规的遵循性。</w:t>
      </w:r>
      <w:r>
        <w:rPr>
          <w:rFonts w:ascii="Microsoft JhengHei" w:hAnsi="Microsoft JhengHei" w:cs="Microsoft JhengHei" w:eastAsia="Microsoft JhengHei" w:hint="default"/>
          <w:sz w:val="28"/>
          <w:szCs w:val="28"/>
        </w:rPr>
      </w:r>
    </w:p>
    <w:p>
      <w:pPr>
        <w:pStyle w:val="Heading7"/>
        <w:spacing w:line="408" w:lineRule="auto" w:before="88"/>
        <w:ind w:left="119" w:right="250" w:firstLine="560"/>
        <w:jc w:val="both"/>
        <w:rPr>
          <w:rFonts w:ascii="宋体" w:hAnsi="宋体" w:cs="宋体" w:eastAsia="宋体" w:hint="default"/>
        </w:rPr>
      </w:pPr>
      <w:r>
        <w:rPr>
          <w:rFonts w:ascii="宋体" w:hAnsi="宋体" w:cs="宋体" w:eastAsia="宋体" w:hint="default"/>
          <w:spacing w:val="7"/>
        </w:rPr>
        <w:t>内部控制存在固有局限性，故仅能对达到上述目标提供合理保</w:t>
      </w:r>
      <w:r>
        <w:rPr>
          <w:rFonts w:ascii="宋体" w:hAnsi="宋体" w:cs="宋体" w:eastAsia="宋体" w:hint="default"/>
          <w:spacing w:val="7"/>
          <w:w w:val="99"/>
        </w:rPr>
        <w:t> </w:t>
      </w:r>
      <w:r>
        <w:rPr>
          <w:rFonts w:ascii="宋体" w:hAnsi="宋体" w:cs="宋体" w:eastAsia="宋体" w:hint="default"/>
          <w:spacing w:val="-4"/>
        </w:rPr>
        <w:t>证；而且，内部控制的有效性亦可能随公司内、外部环境及经营情况</w:t>
      </w:r>
      <w:r>
        <w:rPr>
          <w:rFonts w:ascii="宋体" w:hAnsi="宋体" w:cs="宋体" w:eastAsia="宋体" w:hint="default"/>
          <w:spacing w:val="-123"/>
        </w:rPr>
        <w:t> </w:t>
      </w:r>
      <w:r>
        <w:rPr>
          <w:rFonts w:ascii="宋体" w:hAnsi="宋体" w:cs="宋体" w:eastAsia="宋体" w:hint="default"/>
          <w:spacing w:val="-123"/>
        </w:rPr>
      </w:r>
      <w:r>
        <w:rPr>
          <w:rFonts w:ascii="宋体" w:hAnsi="宋体" w:cs="宋体" w:eastAsia="宋体" w:hint="default"/>
          <w:spacing w:val="-4"/>
        </w:rPr>
        <w:t>的改变而改变。本公司内部控制设有检查监督机制，内控缺陷一经识</w:t>
      </w:r>
      <w:r>
        <w:rPr>
          <w:rFonts w:ascii="宋体" w:hAnsi="宋体" w:cs="宋体" w:eastAsia="宋体" w:hint="default"/>
          <w:spacing w:val="-124"/>
        </w:rPr>
        <w:t> </w:t>
      </w:r>
      <w:r>
        <w:rPr>
          <w:rFonts w:ascii="宋体" w:hAnsi="宋体" w:cs="宋体" w:eastAsia="宋体" w:hint="default"/>
          <w:spacing w:val="-124"/>
        </w:rPr>
      </w:r>
      <w:r>
        <w:rPr>
          <w:rFonts w:ascii="宋体" w:hAnsi="宋体" w:cs="宋体" w:eastAsia="宋体" w:hint="default"/>
        </w:rPr>
        <w:t>别，本公司将立即采取整改措施。</w:t>
      </w:r>
    </w:p>
    <w:p>
      <w:pPr>
        <w:spacing w:line="460" w:lineRule="exact" w:before="0"/>
        <w:ind w:left="680" w:right="144" w:firstLine="0"/>
        <w:jc w:val="left"/>
        <w:rPr>
          <w:rFonts w:ascii="Microsoft JhengHei" w:hAnsi="Microsoft JhengHei" w:cs="Microsoft JhengHei" w:eastAsia="Microsoft JhengHei" w:hint="default"/>
          <w:sz w:val="28"/>
          <w:szCs w:val="28"/>
        </w:rPr>
      </w:pPr>
      <w:r>
        <w:rPr>
          <w:rFonts w:ascii="宋体" w:hAnsi="宋体" w:cs="宋体" w:eastAsia="宋体" w:hint="default"/>
          <w:spacing w:val="-4"/>
          <w:sz w:val="28"/>
          <w:szCs w:val="28"/>
        </w:rPr>
        <w:t>本公司建立和实施内部控制制度时，考虑了以下基本要素：</w:t>
      </w:r>
      <w:r>
        <w:rPr>
          <w:rFonts w:ascii="Microsoft JhengHei" w:hAnsi="Microsoft JhengHei" w:cs="Microsoft JhengHei" w:eastAsia="Microsoft JhengHei" w:hint="default"/>
          <w:b/>
          <w:bCs/>
          <w:spacing w:val="-4"/>
          <w:sz w:val="28"/>
          <w:szCs w:val="28"/>
        </w:rPr>
        <w:t>内部</w:t>
      </w:r>
      <w:r>
        <w:rPr>
          <w:rFonts w:ascii="Microsoft JhengHei" w:hAnsi="Microsoft JhengHei" w:cs="Microsoft JhengHei" w:eastAsia="Microsoft JhengHei" w:hint="default"/>
          <w:sz w:val="28"/>
          <w:szCs w:val="28"/>
        </w:rPr>
      </w:r>
    </w:p>
    <w:p>
      <w:pPr>
        <w:spacing w:line="350" w:lineRule="auto" w:before="136"/>
        <w:ind w:left="680" w:right="113" w:hanging="561"/>
        <w:jc w:val="left"/>
        <w:rPr>
          <w:rFonts w:ascii="宋体" w:hAnsi="宋体" w:cs="宋体" w:eastAsia="宋体" w:hint="default"/>
          <w:sz w:val="28"/>
          <w:szCs w:val="28"/>
        </w:rPr>
      </w:pPr>
      <w:r>
        <w:rPr>
          <w:rFonts w:ascii="Microsoft JhengHei" w:hAnsi="Microsoft JhengHei" w:cs="Microsoft JhengHei" w:eastAsia="Microsoft JhengHei" w:hint="default"/>
          <w:b/>
          <w:bCs/>
          <w:spacing w:val="-8"/>
          <w:sz w:val="28"/>
          <w:szCs w:val="28"/>
        </w:rPr>
        <w:t>环境、风险评估、控制活动、信息与沟通及内部监督等五项基本要素。</w:t>
      </w:r>
      <w:r>
        <w:rPr>
          <w:rFonts w:ascii="Microsoft JhengHei" w:hAnsi="Microsoft JhengHei" w:cs="Microsoft JhengHei" w:eastAsia="Microsoft JhengHei" w:hint="default"/>
          <w:b/>
          <w:bCs/>
          <w:spacing w:val="1"/>
          <w:w w:val="99"/>
          <w:sz w:val="28"/>
          <w:szCs w:val="28"/>
        </w:rPr>
        <w:t> </w:t>
      </w:r>
      <w:r>
        <w:rPr>
          <w:rFonts w:ascii="宋体" w:hAnsi="宋体" w:cs="宋体" w:eastAsia="宋体" w:hint="default"/>
          <w:sz w:val="28"/>
          <w:szCs w:val="28"/>
        </w:rPr>
        <w:t>本公司董事会对 2009</w:t>
      </w:r>
      <w:r>
        <w:rPr>
          <w:rFonts w:ascii="宋体" w:hAnsi="宋体" w:cs="宋体" w:eastAsia="宋体" w:hint="default"/>
          <w:spacing w:val="-104"/>
          <w:sz w:val="28"/>
          <w:szCs w:val="28"/>
        </w:rPr>
        <w:t> </w:t>
      </w:r>
      <w:r>
        <w:rPr>
          <w:rFonts w:ascii="宋体" w:hAnsi="宋体" w:cs="宋体" w:eastAsia="宋体" w:hint="default"/>
          <w:sz w:val="28"/>
          <w:szCs w:val="28"/>
        </w:rPr>
        <w:t>年度上述与财务报告相关的内部控制进行</w:t>
      </w:r>
    </w:p>
    <w:p>
      <w:pPr>
        <w:spacing w:line="307" w:lineRule="auto" w:before="39"/>
        <w:ind w:left="119" w:right="253" w:firstLine="0"/>
        <w:jc w:val="left"/>
        <w:rPr>
          <w:rFonts w:ascii="宋体" w:hAnsi="宋体" w:cs="宋体" w:eastAsia="宋体" w:hint="default"/>
          <w:sz w:val="28"/>
          <w:szCs w:val="28"/>
        </w:rPr>
      </w:pPr>
      <w:r>
        <w:rPr>
          <w:rFonts w:ascii="宋体" w:hAnsi="宋体" w:cs="宋体" w:eastAsia="宋体" w:hint="default"/>
          <w:sz w:val="28"/>
          <w:szCs w:val="28"/>
        </w:rPr>
        <w:t>了自我评估，自</w:t>
      </w:r>
      <w:r>
        <w:rPr>
          <w:rFonts w:ascii="宋体" w:hAnsi="宋体" w:cs="宋体" w:eastAsia="宋体" w:hint="default"/>
          <w:spacing w:val="-65"/>
          <w:sz w:val="28"/>
          <w:szCs w:val="28"/>
        </w:rPr>
        <w:t> </w:t>
      </w:r>
      <w:r>
        <w:rPr>
          <w:rFonts w:ascii="宋体" w:hAnsi="宋体" w:cs="宋体" w:eastAsia="宋体" w:hint="default"/>
          <w:sz w:val="28"/>
          <w:szCs w:val="28"/>
        </w:rPr>
        <w:t>2009</w:t>
      </w:r>
      <w:r>
        <w:rPr>
          <w:rFonts w:ascii="宋体" w:hAnsi="宋体" w:cs="宋体" w:eastAsia="宋体" w:hint="default"/>
          <w:spacing w:val="-65"/>
          <w:sz w:val="28"/>
          <w:szCs w:val="28"/>
        </w:rPr>
        <w:t> </w:t>
      </w:r>
      <w:r>
        <w:rPr>
          <w:rFonts w:ascii="宋体" w:hAnsi="宋体" w:cs="宋体" w:eastAsia="宋体" w:hint="default"/>
          <w:sz w:val="28"/>
          <w:szCs w:val="28"/>
        </w:rPr>
        <w:t>年度</w:t>
      </w:r>
      <w:r>
        <w:rPr>
          <w:rFonts w:ascii="宋体" w:hAnsi="宋体" w:cs="宋体" w:eastAsia="宋体" w:hint="default"/>
          <w:spacing w:val="-65"/>
          <w:sz w:val="28"/>
          <w:szCs w:val="28"/>
        </w:rPr>
        <w:t> </w:t>
      </w:r>
      <w:r>
        <w:rPr>
          <w:rFonts w:ascii="宋体" w:hAnsi="宋体" w:cs="宋体" w:eastAsia="宋体" w:hint="default"/>
          <w:sz w:val="28"/>
          <w:szCs w:val="28"/>
        </w:rPr>
        <w:t>1</w:t>
      </w:r>
      <w:r>
        <w:rPr>
          <w:rFonts w:ascii="宋体" w:hAnsi="宋体" w:cs="宋体" w:eastAsia="宋体" w:hint="default"/>
          <w:spacing w:val="-65"/>
          <w:sz w:val="28"/>
          <w:szCs w:val="28"/>
        </w:rPr>
        <w:t> </w:t>
      </w:r>
      <w:r>
        <w:rPr>
          <w:rFonts w:ascii="宋体" w:hAnsi="宋体" w:cs="宋体" w:eastAsia="宋体" w:hint="default"/>
          <w:sz w:val="28"/>
          <w:szCs w:val="28"/>
        </w:rPr>
        <w:t>月</w:t>
      </w:r>
      <w:r>
        <w:rPr>
          <w:rFonts w:ascii="宋体" w:hAnsi="宋体" w:cs="宋体" w:eastAsia="宋体" w:hint="default"/>
          <w:spacing w:val="-63"/>
          <w:sz w:val="28"/>
          <w:szCs w:val="28"/>
        </w:rPr>
        <w:t> </w:t>
      </w:r>
      <w:r>
        <w:rPr>
          <w:rFonts w:ascii="宋体" w:hAnsi="宋体" w:cs="宋体" w:eastAsia="宋体" w:hint="default"/>
          <w:sz w:val="28"/>
          <w:szCs w:val="28"/>
        </w:rPr>
        <w:t>1</w:t>
      </w:r>
      <w:r>
        <w:rPr>
          <w:rFonts w:ascii="宋体" w:hAnsi="宋体" w:cs="宋体" w:eastAsia="宋体" w:hint="default"/>
          <w:spacing w:val="-65"/>
          <w:sz w:val="28"/>
          <w:szCs w:val="28"/>
        </w:rPr>
        <w:t> </w:t>
      </w:r>
      <w:r>
        <w:rPr>
          <w:rFonts w:ascii="宋体" w:hAnsi="宋体" w:cs="宋体" w:eastAsia="宋体" w:hint="default"/>
          <w:sz w:val="28"/>
          <w:szCs w:val="28"/>
        </w:rPr>
        <w:t>日起至本报告期末，</w:t>
      </w:r>
      <w:r>
        <w:rPr>
          <w:rFonts w:ascii="Microsoft JhengHei" w:hAnsi="Microsoft JhengHei" w:cs="Microsoft JhengHei" w:eastAsia="Microsoft JhengHei" w:hint="default"/>
          <w:b/>
          <w:bCs/>
          <w:sz w:val="28"/>
          <w:szCs w:val="28"/>
        </w:rPr>
        <w:t>未发现本公司</w:t>
      </w:r>
      <w:r>
        <w:rPr>
          <w:rFonts w:ascii="Microsoft JhengHei" w:hAnsi="Microsoft JhengHei" w:cs="Microsoft JhengHei" w:eastAsia="Microsoft JhengHei" w:hint="default"/>
          <w:b/>
          <w:bCs/>
          <w:spacing w:val="1"/>
          <w:w w:val="99"/>
          <w:sz w:val="28"/>
          <w:szCs w:val="28"/>
        </w:rPr>
        <w:t> </w:t>
      </w:r>
      <w:r>
        <w:rPr>
          <w:rFonts w:ascii="Microsoft JhengHei" w:hAnsi="Microsoft JhengHei" w:cs="Microsoft JhengHei" w:eastAsia="Microsoft JhengHei" w:hint="default"/>
          <w:b/>
          <w:bCs/>
          <w:sz w:val="28"/>
          <w:szCs w:val="28"/>
        </w:rPr>
        <w:t>存在与财务报告相关的内部控制设计或执行方面的重大缺陷</w:t>
      </w:r>
      <w:r>
        <w:rPr>
          <w:rFonts w:ascii="宋体" w:hAnsi="宋体" w:cs="宋体" w:eastAsia="宋体" w:hint="default"/>
          <w:sz w:val="28"/>
          <w:szCs w:val="28"/>
        </w:rPr>
        <w:t>。</w:t>
      </w:r>
    </w:p>
    <w:p>
      <w:pPr>
        <w:spacing w:line="328" w:lineRule="auto" w:before="121"/>
        <w:ind w:left="119" w:right="257" w:firstLine="560"/>
        <w:jc w:val="both"/>
        <w:rPr>
          <w:rFonts w:ascii="Microsoft JhengHei" w:hAnsi="Microsoft JhengHei" w:cs="Microsoft JhengHei" w:eastAsia="Microsoft JhengHei" w:hint="default"/>
          <w:sz w:val="28"/>
          <w:szCs w:val="28"/>
        </w:rPr>
      </w:pPr>
      <w:r>
        <w:rPr>
          <w:rFonts w:ascii="宋体" w:hAnsi="宋体" w:cs="宋体" w:eastAsia="宋体" w:hint="default"/>
          <w:sz w:val="28"/>
          <w:szCs w:val="28"/>
        </w:rPr>
        <w:t>本公司董事会认为，自</w:t>
      </w:r>
      <w:r>
        <w:rPr>
          <w:rFonts w:ascii="宋体" w:hAnsi="宋体" w:cs="宋体" w:eastAsia="宋体" w:hint="default"/>
          <w:spacing w:val="-63"/>
          <w:sz w:val="28"/>
          <w:szCs w:val="28"/>
        </w:rPr>
        <w:t> </w:t>
      </w:r>
      <w:r>
        <w:rPr>
          <w:rFonts w:ascii="宋体" w:hAnsi="宋体" w:cs="宋体" w:eastAsia="宋体" w:hint="default"/>
          <w:sz w:val="28"/>
          <w:szCs w:val="28"/>
        </w:rPr>
        <w:t>2009</w:t>
      </w:r>
      <w:r>
        <w:rPr>
          <w:rFonts w:ascii="宋体" w:hAnsi="宋体" w:cs="宋体" w:eastAsia="宋体" w:hint="default"/>
          <w:spacing w:val="-64"/>
          <w:sz w:val="28"/>
          <w:szCs w:val="28"/>
        </w:rPr>
        <w:t> </w:t>
      </w:r>
      <w:r>
        <w:rPr>
          <w:rFonts w:ascii="宋体" w:hAnsi="宋体" w:cs="宋体" w:eastAsia="宋体" w:hint="default"/>
          <w:sz w:val="28"/>
          <w:szCs w:val="28"/>
        </w:rPr>
        <w:t>年度</w:t>
      </w:r>
      <w:r>
        <w:rPr>
          <w:rFonts w:ascii="宋体" w:hAnsi="宋体" w:cs="宋体" w:eastAsia="宋体" w:hint="default"/>
          <w:spacing w:val="-65"/>
          <w:sz w:val="28"/>
          <w:szCs w:val="28"/>
        </w:rPr>
        <w:t> </w:t>
      </w:r>
      <w:r>
        <w:rPr>
          <w:rFonts w:ascii="宋体" w:hAnsi="宋体" w:cs="宋体" w:eastAsia="宋体" w:hint="default"/>
          <w:sz w:val="28"/>
          <w:szCs w:val="28"/>
        </w:rPr>
        <w:t>1</w:t>
      </w:r>
      <w:r>
        <w:rPr>
          <w:rFonts w:ascii="宋体" w:hAnsi="宋体" w:cs="宋体" w:eastAsia="宋体" w:hint="default"/>
          <w:spacing w:val="-65"/>
          <w:sz w:val="28"/>
          <w:szCs w:val="28"/>
        </w:rPr>
        <w:t> </w:t>
      </w:r>
      <w:r>
        <w:rPr>
          <w:rFonts w:ascii="宋体" w:hAnsi="宋体" w:cs="宋体" w:eastAsia="宋体" w:hint="default"/>
          <w:sz w:val="28"/>
          <w:szCs w:val="28"/>
        </w:rPr>
        <w:t>月</w:t>
      </w:r>
      <w:r>
        <w:rPr>
          <w:rFonts w:ascii="宋体" w:hAnsi="宋体" w:cs="宋体" w:eastAsia="宋体" w:hint="default"/>
          <w:spacing w:val="-65"/>
          <w:sz w:val="28"/>
          <w:szCs w:val="28"/>
        </w:rPr>
        <w:t> </w:t>
      </w:r>
      <w:r>
        <w:rPr>
          <w:rFonts w:ascii="宋体" w:hAnsi="宋体" w:cs="宋体" w:eastAsia="宋体" w:hint="default"/>
          <w:sz w:val="28"/>
          <w:szCs w:val="28"/>
        </w:rPr>
        <w:t>1</w:t>
      </w:r>
      <w:r>
        <w:rPr>
          <w:rFonts w:ascii="宋体" w:hAnsi="宋体" w:cs="宋体" w:eastAsia="宋体" w:hint="default"/>
          <w:spacing w:val="-64"/>
          <w:sz w:val="28"/>
          <w:szCs w:val="28"/>
        </w:rPr>
        <w:t> </w:t>
      </w:r>
      <w:r>
        <w:rPr>
          <w:rFonts w:ascii="宋体" w:hAnsi="宋体" w:cs="宋体" w:eastAsia="宋体" w:hint="default"/>
          <w:sz w:val="28"/>
          <w:szCs w:val="28"/>
        </w:rPr>
        <w:t>日起至本报告期末止，</w:t>
      </w:r>
      <w:r>
        <w:rPr>
          <w:rFonts w:ascii="宋体" w:hAnsi="宋体" w:cs="宋体" w:eastAsia="宋体" w:hint="default"/>
          <w:w w:val="99"/>
          <w:sz w:val="28"/>
          <w:szCs w:val="28"/>
        </w:rPr>
        <w:t> </w:t>
      </w:r>
      <w:r>
        <w:rPr>
          <w:rFonts w:ascii="Microsoft JhengHei" w:hAnsi="Microsoft JhengHei" w:cs="Microsoft JhengHei" w:eastAsia="Microsoft JhengHei" w:hint="default"/>
          <w:b/>
          <w:bCs/>
          <w:spacing w:val="-4"/>
          <w:w w:val="99"/>
          <w:sz w:val="28"/>
          <w:szCs w:val="28"/>
        </w:rPr>
        <w:t>公司已建立并维护了与财务报告相关的内控制度体系，并对与财务报</w:t>
      </w:r>
      <w:r>
        <w:rPr>
          <w:rFonts w:ascii="Microsoft JhengHei" w:hAnsi="Microsoft JhengHei" w:cs="Microsoft JhengHei" w:eastAsia="Microsoft JhengHei" w:hint="default"/>
          <w:b/>
          <w:bCs/>
          <w:spacing w:val="-47"/>
          <w:w w:val="99"/>
          <w:sz w:val="28"/>
          <w:szCs w:val="28"/>
        </w:rPr>
        <w:t> </w:t>
      </w:r>
      <w:r>
        <w:rPr>
          <w:rFonts w:ascii="Microsoft JhengHei" w:hAnsi="Microsoft JhengHei" w:cs="Microsoft JhengHei" w:eastAsia="Microsoft JhengHei" w:hint="default"/>
          <w:b/>
          <w:bCs/>
          <w:spacing w:val="-47"/>
          <w:w w:val="99"/>
          <w:sz w:val="28"/>
          <w:szCs w:val="28"/>
        </w:rPr>
      </w:r>
      <w:r>
        <w:rPr>
          <w:rFonts w:ascii="Microsoft JhengHei" w:hAnsi="Microsoft JhengHei" w:cs="Microsoft JhengHei" w:eastAsia="Microsoft JhengHei" w:hint="default"/>
          <w:b/>
          <w:bCs/>
          <w:spacing w:val="-4"/>
          <w:w w:val="99"/>
          <w:sz w:val="28"/>
          <w:szCs w:val="28"/>
        </w:rPr>
        <w:t>告相关的内部控制有效性进行了评估，保证了公司与财务报告相关的</w:t>
      </w:r>
      <w:r>
        <w:rPr>
          <w:rFonts w:ascii="Microsoft JhengHei" w:hAnsi="Microsoft JhengHei" w:cs="Microsoft JhengHei" w:eastAsia="Microsoft JhengHei" w:hint="default"/>
          <w:sz w:val="28"/>
          <w:szCs w:val="28"/>
        </w:rPr>
      </w:r>
    </w:p>
    <w:p>
      <w:pPr>
        <w:spacing w:line="486" w:lineRule="exact" w:before="0"/>
        <w:ind w:left="119" w:right="144" w:firstLine="0"/>
        <w:jc w:val="left"/>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z w:val="28"/>
          <w:szCs w:val="28"/>
        </w:rPr>
        <w:t>内部控制执行有效。</w:t>
      </w:r>
      <w:r>
        <w:rPr>
          <w:rFonts w:ascii="Microsoft JhengHei" w:hAnsi="Microsoft JhengHei" w:cs="Microsoft JhengHei" w:eastAsia="Microsoft JhengHei" w:hint="default"/>
          <w:sz w:val="28"/>
          <w:szCs w:val="28"/>
        </w:rPr>
      </w:r>
    </w:p>
    <w:p>
      <w:pPr>
        <w:spacing w:after="0" w:line="486" w:lineRule="exact"/>
        <w:jc w:val="left"/>
        <w:rPr>
          <w:rFonts w:ascii="Microsoft JhengHei" w:hAnsi="Microsoft JhengHei" w:cs="Microsoft JhengHei" w:eastAsia="Microsoft JhengHei" w:hint="default"/>
          <w:sz w:val="28"/>
          <w:szCs w:val="28"/>
        </w:rPr>
        <w:sectPr>
          <w:headerReference w:type="default" r:id="rId158"/>
          <w:footerReference w:type="default" r:id="rId159"/>
          <w:pgSz w:w="11910" w:h="16840"/>
          <w:pgMar w:header="0" w:footer="0" w:top="1460" w:bottom="280" w:left="1680" w:right="1540"/>
        </w:sectPr>
      </w:pPr>
    </w:p>
    <w:p>
      <w:pPr>
        <w:pStyle w:val="Heading7"/>
        <w:spacing w:line="351" w:lineRule="exact"/>
        <w:ind w:right="0" w:firstLine="560"/>
        <w:jc w:val="left"/>
        <w:rPr>
          <w:rFonts w:ascii="宋体" w:hAnsi="宋体" w:cs="宋体" w:eastAsia="宋体" w:hint="default"/>
        </w:rPr>
      </w:pPr>
      <w:r>
        <w:rPr>
          <w:rFonts w:ascii="宋体" w:hAnsi="宋体" w:cs="宋体" w:eastAsia="宋体" w:hint="default"/>
        </w:rPr>
        <w:t>本报告于</w:t>
      </w:r>
      <w:r>
        <w:rPr>
          <w:rFonts w:ascii="宋体" w:hAnsi="宋体" w:cs="宋体" w:eastAsia="宋体" w:hint="default"/>
          <w:spacing w:val="-89"/>
        </w:rPr>
        <w:t> </w:t>
      </w:r>
      <w:r>
        <w:rPr>
          <w:rFonts w:ascii="宋体" w:hAnsi="宋体" w:cs="宋体" w:eastAsia="宋体" w:hint="default"/>
        </w:rPr>
        <w:t>2010</w:t>
      </w:r>
      <w:r>
        <w:rPr>
          <w:rFonts w:ascii="宋体" w:hAnsi="宋体" w:cs="宋体" w:eastAsia="宋体" w:hint="default"/>
          <w:spacing w:val="-88"/>
        </w:rPr>
        <w:t> </w:t>
      </w:r>
      <w:r>
        <w:rPr>
          <w:rFonts w:ascii="宋体" w:hAnsi="宋体" w:cs="宋体" w:eastAsia="宋体" w:hint="default"/>
        </w:rPr>
        <w:t>年</w:t>
      </w:r>
      <w:r>
        <w:rPr>
          <w:rFonts w:ascii="宋体" w:hAnsi="宋体" w:cs="宋体" w:eastAsia="宋体" w:hint="default"/>
          <w:spacing w:val="-89"/>
        </w:rPr>
        <w:t> </w:t>
      </w:r>
      <w:r>
        <w:rPr>
          <w:rFonts w:ascii="宋体" w:hAnsi="宋体" w:cs="宋体" w:eastAsia="宋体" w:hint="default"/>
        </w:rPr>
        <w:t>3</w:t>
      </w:r>
      <w:r>
        <w:rPr>
          <w:rFonts w:ascii="宋体" w:hAnsi="宋体" w:cs="宋体" w:eastAsia="宋体" w:hint="default"/>
          <w:spacing w:val="-89"/>
        </w:rPr>
        <w:t> </w:t>
      </w:r>
      <w:r>
        <w:rPr>
          <w:rFonts w:ascii="宋体" w:hAnsi="宋体" w:cs="宋体" w:eastAsia="宋体" w:hint="default"/>
        </w:rPr>
        <w:t>月</w:t>
      </w:r>
      <w:r>
        <w:rPr>
          <w:rFonts w:ascii="宋体" w:hAnsi="宋体" w:cs="宋体" w:eastAsia="宋体" w:hint="default"/>
          <w:spacing w:val="-87"/>
        </w:rPr>
        <w:t> </w:t>
      </w:r>
      <w:r>
        <w:rPr>
          <w:rFonts w:ascii="宋体" w:hAnsi="宋体" w:cs="宋体" w:eastAsia="宋体" w:hint="default"/>
        </w:rPr>
        <w:t>24</w:t>
      </w:r>
      <w:r>
        <w:rPr>
          <w:rFonts w:ascii="宋体" w:hAnsi="宋体" w:cs="宋体" w:eastAsia="宋体" w:hint="default"/>
          <w:spacing w:val="-88"/>
        </w:rPr>
        <w:t> </w:t>
      </w:r>
      <w:r>
        <w:rPr>
          <w:rFonts w:ascii="宋体" w:hAnsi="宋体" w:cs="宋体" w:eastAsia="宋体" w:hint="default"/>
        </w:rPr>
        <w:t>日经公司第三届董事会第三次会议审议</w:t>
      </w:r>
    </w:p>
    <w:p>
      <w:pPr>
        <w:spacing w:line="240" w:lineRule="auto" w:before="9"/>
        <w:rPr>
          <w:rFonts w:ascii="宋体" w:hAnsi="宋体" w:cs="宋体" w:eastAsia="宋体" w:hint="default"/>
          <w:sz w:val="19"/>
          <w:szCs w:val="19"/>
        </w:rPr>
      </w:pPr>
    </w:p>
    <w:p>
      <w:pPr>
        <w:spacing w:line="408" w:lineRule="auto" w:before="0"/>
        <w:ind w:left="120" w:right="0" w:firstLine="0"/>
        <w:jc w:val="left"/>
        <w:rPr>
          <w:rFonts w:ascii="宋体" w:hAnsi="宋体" w:cs="宋体" w:eastAsia="宋体" w:hint="default"/>
          <w:sz w:val="28"/>
          <w:szCs w:val="28"/>
        </w:rPr>
      </w:pPr>
      <w:r>
        <w:rPr>
          <w:rFonts w:ascii="宋体" w:hAnsi="宋体" w:cs="宋体" w:eastAsia="宋体" w:hint="default"/>
          <w:spacing w:val="-4"/>
          <w:sz w:val="28"/>
          <w:szCs w:val="28"/>
        </w:rPr>
        <w:t>通过，本公司董事会及其全体成员对其内容的真实性、准确性和完整</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性承担个别及连带责任。</w:t>
      </w:r>
    </w:p>
    <w:p>
      <w:pPr>
        <w:spacing w:line="460" w:lineRule="exact" w:before="0"/>
        <w:ind w:left="680" w:right="0" w:firstLine="0"/>
        <w:jc w:val="left"/>
        <w:rPr>
          <w:rFonts w:ascii="宋体" w:hAnsi="宋体" w:cs="宋体" w:eastAsia="宋体" w:hint="default"/>
          <w:sz w:val="28"/>
          <w:szCs w:val="28"/>
        </w:rPr>
      </w:pPr>
      <w:r>
        <w:rPr>
          <w:rFonts w:ascii="宋体" w:hAnsi="宋体" w:cs="宋体" w:eastAsia="宋体" w:hint="default"/>
          <w:spacing w:val="7"/>
          <w:sz w:val="28"/>
          <w:szCs w:val="28"/>
        </w:rPr>
        <w:t>本公司</w:t>
      </w:r>
      <w:r>
        <w:rPr>
          <w:rFonts w:ascii="Microsoft JhengHei" w:hAnsi="Microsoft JhengHei" w:cs="Microsoft JhengHei" w:eastAsia="Microsoft JhengHei" w:hint="default"/>
          <w:b/>
          <w:bCs/>
          <w:spacing w:val="7"/>
          <w:sz w:val="28"/>
          <w:szCs w:val="28"/>
        </w:rPr>
        <w:t>未聘请</w:t>
      </w:r>
      <w:r>
        <w:rPr>
          <w:rFonts w:ascii="宋体" w:hAnsi="宋体" w:cs="宋体" w:eastAsia="宋体" w:hint="default"/>
          <w:spacing w:val="7"/>
          <w:sz w:val="28"/>
          <w:szCs w:val="28"/>
        </w:rPr>
        <w:t>会计师事务所对公司本年度的内部控制情况进行</w:t>
      </w:r>
      <w:r>
        <w:rPr>
          <w:rFonts w:ascii="宋体" w:hAnsi="宋体" w:cs="宋体" w:eastAsia="宋体" w:hint="default"/>
          <w:sz w:val="28"/>
          <w:szCs w:val="28"/>
        </w:rPr>
      </w:r>
    </w:p>
    <w:p>
      <w:pPr>
        <w:spacing w:before="226"/>
        <w:ind w:left="120" w:right="0" w:firstLine="0"/>
        <w:jc w:val="left"/>
        <w:rPr>
          <w:rFonts w:ascii="宋体" w:hAnsi="宋体" w:cs="宋体" w:eastAsia="宋体" w:hint="default"/>
          <w:sz w:val="28"/>
          <w:szCs w:val="28"/>
        </w:rPr>
      </w:pPr>
      <w:r>
        <w:rPr>
          <w:rFonts w:ascii="宋体" w:hAnsi="宋体" w:cs="宋体" w:eastAsia="宋体" w:hint="default"/>
          <w:sz w:val="28"/>
          <w:szCs w:val="28"/>
        </w:rPr>
        <w:t>核实评价。</w:t>
      </w:r>
    </w:p>
    <w:p>
      <w:pPr>
        <w:spacing w:after="0"/>
        <w:jc w:val="left"/>
        <w:rPr>
          <w:rFonts w:ascii="宋体" w:hAnsi="宋体" w:cs="宋体" w:eastAsia="宋体" w:hint="default"/>
          <w:sz w:val="28"/>
          <w:szCs w:val="28"/>
        </w:rPr>
        <w:sectPr>
          <w:headerReference w:type="default" r:id="rId160"/>
          <w:footerReference w:type="default" r:id="rId161"/>
          <w:pgSz w:w="11910" w:h="16840"/>
          <w:pgMar w:header="0" w:footer="0" w:top="1540" w:bottom="280" w:left="1680" w:right="16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p>
      <w:pPr>
        <w:spacing w:line="902" w:lineRule="exact" w:before="0"/>
        <w:ind w:left="652" w:right="652" w:firstLine="0"/>
        <w:jc w:val="center"/>
        <w:rPr>
          <w:rFonts w:ascii="Microsoft JhengHei" w:hAnsi="Microsoft JhengHei" w:cs="Microsoft JhengHei" w:eastAsia="Microsoft JhengHei" w:hint="default"/>
          <w:sz w:val="72"/>
          <w:szCs w:val="72"/>
        </w:rPr>
      </w:pPr>
      <w:bookmarkStart w:name="社会责任报告.pdf" w:id="13"/>
      <w:bookmarkEnd w:id="13"/>
      <w:r>
        <w:rPr/>
      </w:r>
      <w:r>
        <w:rPr>
          <w:rFonts w:ascii="Microsoft JhengHei" w:hAnsi="Microsoft JhengHei" w:cs="Microsoft JhengHei" w:eastAsia="Microsoft JhengHei" w:hint="default"/>
          <w:b/>
          <w:bCs/>
          <w:sz w:val="72"/>
          <w:szCs w:val="72"/>
        </w:rPr>
        <w:t>中国联通社会责任报告</w:t>
      </w:r>
      <w:r>
        <w:rPr>
          <w:rFonts w:ascii="Microsoft JhengHei" w:hAnsi="Microsoft JhengHei" w:cs="Microsoft JhengHei" w:eastAsia="Microsoft JhengHei" w:hint="default"/>
          <w:sz w:val="72"/>
          <w:szCs w:val="72"/>
        </w:rPr>
      </w:r>
    </w:p>
    <w:p>
      <w:pPr>
        <w:pStyle w:val="Heading2"/>
        <w:spacing w:line="240" w:lineRule="auto" w:before="466"/>
        <w:ind w:left="651" w:right="652"/>
        <w:jc w:val="center"/>
        <w:rPr>
          <w:rFonts w:ascii="Microsoft JhengHei" w:hAnsi="Microsoft JhengHei" w:cs="Microsoft JhengHei" w:eastAsia="Microsoft JhengHei" w:hint="default"/>
          <w:b w:val="0"/>
          <w:bCs w:val="0"/>
        </w:rPr>
      </w:pPr>
      <w:r>
        <w:rPr>
          <w:rFonts w:ascii="Microsoft JhengHei" w:hAnsi="Microsoft JhengHei" w:cs="Microsoft JhengHei" w:eastAsia="Microsoft JhengHei" w:hint="default"/>
          <w:w w:val="95"/>
        </w:rPr>
        <w:t>（2009</w:t>
      </w:r>
      <w:r>
        <w:rPr>
          <w:rFonts w:ascii="Microsoft JhengHei" w:hAnsi="Microsoft JhengHei" w:cs="Microsoft JhengHei" w:eastAsia="Microsoft JhengHei" w:hint="default"/>
          <w:spacing w:val="-35"/>
          <w:w w:val="95"/>
        </w:rPr>
        <w:t> </w:t>
      </w:r>
      <w:r>
        <w:rPr>
          <w:rFonts w:ascii="Microsoft JhengHei" w:hAnsi="Microsoft JhengHei" w:cs="Microsoft JhengHei" w:eastAsia="Microsoft JhengHei" w:hint="default"/>
          <w:w w:val="95"/>
        </w:rPr>
        <w:t>年）</w:t>
      </w:r>
      <w:r>
        <w:rPr>
          <w:rFonts w:ascii="Microsoft JhengHei" w:hAnsi="Microsoft JhengHei" w:cs="Microsoft JhengHei" w:eastAsia="Microsoft JhengHei" w:hint="default"/>
          <w:b w:val="0"/>
          <w:bCs w:val="0"/>
          <w:w w:val="95"/>
        </w:rPr>
      </w:r>
    </w:p>
    <w:p>
      <w:pPr>
        <w:spacing w:line="240" w:lineRule="auto" w:before="0"/>
        <w:rPr>
          <w:rFonts w:ascii="Microsoft JhengHei" w:hAnsi="Microsoft JhengHei" w:cs="Microsoft JhengHei" w:eastAsia="Microsoft JhengHei" w:hint="default"/>
          <w:b/>
          <w:bCs/>
          <w:sz w:val="44"/>
          <w:szCs w:val="44"/>
        </w:rPr>
      </w:pPr>
    </w:p>
    <w:p>
      <w:pPr>
        <w:spacing w:line="240" w:lineRule="auto" w:before="0"/>
        <w:rPr>
          <w:rFonts w:ascii="Microsoft JhengHei" w:hAnsi="Microsoft JhengHei" w:cs="Microsoft JhengHei" w:eastAsia="Microsoft JhengHei" w:hint="default"/>
          <w:b/>
          <w:bCs/>
          <w:sz w:val="44"/>
          <w:szCs w:val="44"/>
        </w:rPr>
      </w:pPr>
    </w:p>
    <w:p>
      <w:pPr>
        <w:spacing w:line="240" w:lineRule="auto" w:before="0"/>
        <w:rPr>
          <w:rFonts w:ascii="Microsoft JhengHei" w:hAnsi="Microsoft JhengHei" w:cs="Microsoft JhengHei" w:eastAsia="Microsoft JhengHei" w:hint="default"/>
          <w:b/>
          <w:bCs/>
          <w:sz w:val="44"/>
          <w:szCs w:val="44"/>
        </w:rPr>
      </w:pPr>
    </w:p>
    <w:p>
      <w:pPr>
        <w:spacing w:line="240" w:lineRule="auto" w:before="0"/>
        <w:rPr>
          <w:rFonts w:ascii="Microsoft JhengHei" w:hAnsi="Microsoft JhengHei" w:cs="Microsoft JhengHei" w:eastAsia="Microsoft JhengHei" w:hint="default"/>
          <w:b/>
          <w:bCs/>
          <w:sz w:val="44"/>
          <w:szCs w:val="44"/>
        </w:rPr>
      </w:pPr>
    </w:p>
    <w:p>
      <w:pPr>
        <w:spacing w:line="240" w:lineRule="auto" w:before="0"/>
        <w:rPr>
          <w:rFonts w:ascii="Microsoft JhengHei" w:hAnsi="Microsoft JhengHei" w:cs="Microsoft JhengHei" w:eastAsia="Microsoft JhengHei" w:hint="default"/>
          <w:b/>
          <w:bCs/>
          <w:sz w:val="44"/>
          <w:szCs w:val="44"/>
        </w:rPr>
      </w:pPr>
    </w:p>
    <w:p>
      <w:pPr>
        <w:spacing w:line="240" w:lineRule="auto" w:before="14"/>
        <w:rPr>
          <w:rFonts w:ascii="Microsoft JhengHei" w:hAnsi="Microsoft JhengHei" w:cs="Microsoft JhengHei" w:eastAsia="Microsoft JhengHei" w:hint="default"/>
          <w:b/>
          <w:bCs/>
          <w:sz w:val="22"/>
          <w:szCs w:val="22"/>
        </w:rPr>
      </w:pPr>
    </w:p>
    <w:p>
      <w:pPr>
        <w:spacing w:before="0"/>
        <w:ind w:left="651" w:right="652" w:firstLine="0"/>
        <w:jc w:val="center"/>
        <w:rPr>
          <w:rFonts w:ascii="Microsoft JhengHei" w:hAnsi="Microsoft JhengHei" w:cs="Microsoft JhengHei" w:eastAsia="Microsoft JhengHei" w:hint="default"/>
          <w:sz w:val="44"/>
          <w:szCs w:val="44"/>
        </w:rPr>
      </w:pPr>
      <w:r>
        <w:rPr>
          <w:rFonts w:ascii="Microsoft JhengHei" w:hAnsi="Microsoft JhengHei" w:cs="Microsoft JhengHei" w:eastAsia="Microsoft JhengHei" w:hint="default"/>
          <w:b/>
          <w:bCs/>
          <w:sz w:val="44"/>
          <w:szCs w:val="44"/>
        </w:rPr>
        <w:t>2010</w:t>
      </w:r>
      <w:r>
        <w:rPr>
          <w:rFonts w:ascii="Microsoft JhengHei" w:hAnsi="Microsoft JhengHei" w:cs="Microsoft JhengHei" w:eastAsia="Microsoft JhengHei" w:hint="default"/>
          <w:b/>
          <w:bCs/>
          <w:spacing w:val="-68"/>
          <w:sz w:val="44"/>
          <w:szCs w:val="44"/>
        </w:rPr>
        <w:t> </w:t>
      </w:r>
      <w:r>
        <w:rPr>
          <w:rFonts w:ascii="Microsoft JhengHei" w:hAnsi="Microsoft JhengHei" w:cs="Microsoft JhengHei" w:eastAsia="Microsoft JhengHei" w:hint="default"/>
          <w:b/>
          <w:bCs/>
          <w:sz w:val="44"/>
          <w:szCs w:val="44"/>
        </w:rPr>
        <w:t>年</w:t>
      </w:r>
      <w:r>
        <w:rPr>
          <w:rFonts w:ascii="Microsoft JhengHei" w:hAnsi="Microsoft JhengHei" w:cs="Microsoft JhengHei" w:eastAsia="Microsoft JhengHei" w:hint="default"/>
          <w:b/>
          <w:bCs/>
          <w:spacing w:val="-67"/>
          <w:sz w:val="44"/>
          <w:szCs w:val="44"/>
        </w:rPr>
        <w:t> </w:t>
      </w:r>
      <w:r>
        <w:rPr>
          <w:rFonts w:ascii="Microsoft JhengHei" w:hAnsi="Microsoft JhengHei" w:cs="Microsoft JhengHei" w:eastAsia="Microsoft JhengHei" w:hint="default"/>
          <w:b/>
          <w:bCs/>
          <w:sz w:val="44"/>
          <w:szCs w:val="44"/>
        </w:rPr>
        <w:t>3</w:t>
      </w:r>
      <w:r>
        <w:rPr>
          <w:rFonts w:ascii="Microsoft JhengHei" w:hAnsi="Microsoft JhengHei" w:cs="Microsoft JhengHei" w:eastAsia="Microsoft JhengHei" w:hint="default"/>
          <w:b/>
          <w:bCs/>
          <w:spacing w:val="-68"/>
          <w:sz w:val="44"/>
          <w:szCs w:val="44"/>
        </w:rPr>
        <w:t> </w:t>
      </w:r>
      <w:r>
        <w:rPr>
          <w:rFonts w:ascii="Microsoft JhengHei" w:hAnsi="Microsoft JhengHei" w:cs="Microsoft JhengHei" w:eastAsia="Microsoft JhengHei" w:hint="default"/>
          <w:b/>
          <w:bCs/>
          <w:sz w:val="44"/>
          <w:szCs w:val="44"/>
        </w:rPr>
        <w:t>月</w:t>
      </w:r>
      <w:r>
        <w:rPr>
          <w:rFonts w:ascii="Microsoft JhengHei" w:hAnsi="Microsoft JhengHei" w:cs="Microsoft JhengHei" w:eastAsia="Microsoft JhengHei" w:hint="default"/>
          <w:sz w:val="44"/>
          <w:szCs w:val="44"/>
        </w:rPr>
      </w:r>
    </w:p>
    <w:p>
      <w:pPr>
        <w:spacing w:after="0"/>
        <w:jc w:val="center"/>
        <w:rPr>
          <w:rFonts w:ascii="Microsoft JhengHei" w:hAnsi="Microsoft JhengHei" w:cs="Microsoft JhengHei" w:eastAsia="Microsoft JhengHei" w:hint="default"/>
          <w:sz w:val="44"/>
          <w:szCs w:val="44"/>
        </w:rPr>
        <w:sectPr>
          <w:headerReference w:type="default" r:id="rId162"/>
          <w:footerReference w:type="default" r:id="rId163"/>
          <w:pgSz w:w="11910" w:h="16840"/>
          <w:pgMar w:header="0" w:footer="982" w:top="1600" w:bottom="1180" w:left="1680" w:right="1680"/>
          <w:pgNumType w:start="1"/>
        </w:sect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14"/>
        <w:rPr>
          <w:rFonts w:ascii="Microsoft JhengHei" w:hAnsi="Microsoft JhengHei" w:cs="Microsoft JhengHei" w:eastAsia="Microsoft JhengHei" w:hint="default"/>
          <w:b/>
          <w:bCs/>
          <w:sz w:val="10"/>
          <w:szCs w:val="10"/>
        </w:rPr>
      </w:pPr>
    </w:p>
    <w:p>
      <w:pPr>
        <w:pStyle w:val="Heading1"/>
        <w:spacing w:line="632" w:lineRule="exact"/>
        <w:ind w:right="651"/>
        <w:jc w:val="center"/>
        <w:rPr>
          <w:b w:val="0"/>
          <w:bCs w:val="0"/>
        </w:rPr>
      </w:pPr>
      <w:r>
        <w:rPr/>
        <w:t>董事长致辞</w:t>
      </w:r>
      <w:r>
        <w:rPr>
          <w:b w:val="0"/>
          <w:bCs w:val="0"/>
        </w:rPr>
      </w:r>
    </w:p>
    <w:p>
      <w:pPr>
        <w:spacing w:line="240" w:lineRule="auto" w:before="0"/>
        <w:rPr>
          <w:rFonts w:ascii="华文行楷" w:hAnsi="华文行楷" w:cs="华文行楷" w:eastAsia="华文行楷" w:hint="default"/>
          <w:b/>
          <w:bCs/>
          <w:sz w:val="52"/>
          <w:szCs w:val="52"/>
        </w:rPr>
      </w:pPr>
    </w:p>
    <w:p>
      <w:pPr>
        <w:spacing w:line="240" w:lineRule="auto" w:before="3"/>
        <w:rPr>
          <w:rFonts w:ascii="华文行楷" w:hAnsi="华文行楷" w:cs="华文行楷" w:eastAsia="华文行楷" w:hint="default"/>
          <w:b/>
          <w:bCs/>
          <w:sz w:val="59"/>
          <w:szCs w:val="59"/>
        </w:rPr>
      </w:pPr>
    </w:p>
    <w:p>
      <w:pPr>
        <w:pStyle w:val="Heading7"/>
        <w:spacing w:line="408" w:lineRule="auto"/>
        <w:ind w:left="119" w:right="113" w:firstLine="560"/>
        <w:jc w:val="both"/>
      </w:pPr>
      <w:r>
        <w:rPr>
          <w:spacing w:val="-3"/>
          <w:w w:val="99"/>
        </w:rPr>
        <w:t>“做优秀企业公民，融入世界大家庭”，中国联通秉承这一理想</w:t>
      </w:r>
      <w:r>
        <w:rPr>
          <w:spacing w:val="2"/>
          <w:w w:val="99"/>
        </w:rPr>
        <w:t> </w:t>
      </w:r>
      <w:r>
        <w:rPr>
          <w:spacing w:val="-4"/>
        </w:rPr>
        <w:t>与信念，加入联合国全球契约组织，并愿与该组织一道为建立更加稳</w:t>
      </w:r>
      <w:r>
        <w:rPr>
          <w:spacing w:val="-125"/>
        </w:rPr>
        <w:t> </w:t>
      </w:r>
      <w:r>
        <w:rPr>
          <w:spacing w:val="-125"/>
        </w:rPr>
      </w:r>
      <w:r>
        <w:rPr/>
        <w:t>定、公平、包容的和谐世界而努力！</w:t>
      </w:r>
    </w:p>
    <w:p>
      <w:pPr>
        <w:spacing w:line="408" w:lineRule="auto" w:before="61"/>
        <w:ind w:left="119" w:right="109" w:firstLine="560"/>
        <w:jc w:val="both"/>
        <w:rPr>
          <w:rFonts w:ascii="宋体" w:hAnsi="宋体" w:cs="宋体" w:eastAsia="宋体" w:hint="default"/>
          <w:sz w:val="28"/>
          <w:szCs w:val="28"/>
        </w:rPr>
      </w:pPr>
      <w:r>
        <w:rPr>
          <w:rFonts w:ascii="宋体" w:hAnsi="宋体" w:cs="宋体" w:eastAsia="宋体" w:hint="default"/>
          <w:spacing w:val="-4"/>
          <w:sz w:val="28"/>
          <w:szCs w:val="28"/>
        </w:rPr>
        <w:t>作为联合国全球契约组织成员企业，中国联通致力于将自身的发</w:t>
      </w:r>
      <w:r>
        <w:rPr>
          <w:rFonts w:ascii="宋体" w:hAnsi="宋体" w:cs="宋体" w:eastAsia="宋体" w:hint="default"/>
          <w:w w:val="99"/>
          <w:sz w:val="28"/>
          <w:szCs w:val="28"/>
        </w:rPr>
        <w:t> </w:t>
      </w:r>
      <w:r>
        <w:rPr>
          <w:rFonts w:ascii="宋体" w:hAnsi="宋体" w:cs="宋体" w:eastAsia="宋体" w:hint="default"/>
          <w:spacing w:val="6"/>
          <w:sz w:val="28"/>
          <w:szCs w:val="28"/>
        </w:rPr>
        <w:t>展与更广泛的社会责任相结合，实现企业利益与社会目标的和谐统</w:t>
      </w:r>
      <w:r>
        <w:rPr>
          <w:rFonts w:ascii="宋体" w:hAnsi="宋体" w:cs="宋体" w:eastAsia="宋体" w:hint="default"/>
          <w:spacing w:val="7"/>
          <w:w w:val="99"/>
          <w:sz w:val="28"/>
          <w:szCs w:val="28"/>
        </w:rPr>
        <w:t> </w:t>
      </w:r>
      <w:r>
        <w:rPr>
          <w:rFonts w:ascii="宋体" w:hAnsi="宋体" w:cs="宋体" w:eastAsia="宋体" w:hint="default"/>
          <w:spacing w:val="-4"/>
          <w:sz w:val="28"/>
          <w:szCs w:val="28"/>
        </w:rPr>
        <w:t>一。通过与各种利益相关者和产业价值链携手并进，共同打造适宜自</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4"/>
          <w:sz w:val="28"/>
          <w:szCs w:val="28"/>
        </w:rPr>
        <w:t>身及他人成长与发展的和谐生态环境。中国联通深刻领会全球契约组</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织在人权、劳工、环境和反腐败方面倡导的十项原则，并将其作为履</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6"/>
          <w:sz w:val="28"/>
          <w:szCs w:val="28"/>
        </w:rPr>
        <w:t>行社会责任与义务的重要借鉴，融入企业的生产经营和改革发展之</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中。在全球契约组织相关框架下，中国联通将建立企业及市场的社会</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正当性视为关切，致力打造环境友好型企业，从而更加积极地践行社</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会责任。</w:t>
      </w:r>
    </w:p>
    <w:p>
      <w:pPr>
        <w:spacing w:line="408" w:lineRule="auto" w:before="61"/>
        <w:ind w:left="119" w:right="115" w:firstLine="560"/>
        <w:jc w:val="both"/>
        <w:rPr>
          <w:rFonts w:ascii="宋体" w:hAnsi="宋体" w:cs="宋体" w:eastAsia="宋体" w:hint="default"/>
          <w:sz w:val="28"/>
          <w:szCs w:val="28"/>
        </w:rPr>
      </w:pPr>
      <w:r>
        <w:rPr>
          <w:rFonts w:ascii="宋体" w:hAnsi="宋体" w:cs="宋体" w:eastAsia="宋体" w:hint="default"/>
          <w:color w:val="323232"/>
          <w:sz w:val="28"/>
          <w:szCs w:val="28"/>
        </w:rPr>
        <w:t>2009</w:t>
      </w:r>
      <w:r>
        <w:rPr>
          <w:rFonts w:ascii="宋体" w:hAnsi="宋体" w:cs="宋体" w:eastAsia="宋体" w:hint="default"/>
          <w:color w:val="323232"/>
          <w:spacing w:val="21"/>
          <w:sz w:val="28"/>
          <w:szCs w:val="28"/>
        </w:rPr>
        <w:t> </w:t>
      </w:r>
      <w:r>
        <w:rPr>
          <w:rFonts w:ascii="宋体" w:hAnsi="宋体" w:cs="宋体" w:eastAsia="宋体" w:hint="default"/>
          <w:color w:val="323232"/>
          <w:sz w:val="28"/>
          <w:szCs w:val="28"/>
        </w:rPr>
        <w:t>年是新组建的中国联通全面运营的第一年，</w:t>
      </w:r>
      <w:r>
        <w:rPr>
          <w:rFonts w:ascii="宋体" w:hAnsi="宋体" w:cs="宋体" w:eastAsia="宋体" w:hint="default"/>
          <w:sz w:val="28"/>
          <w:szCs w:val="28"/>
        </w:rPr>
        <w:t>面对国际金融</w:t>
      </w:r>
      <w:r>
        <w:rPr>
          <w:rFonts w:ascii="宋体" w:hAnsi="宋体" w:cs="宋体" w:eastAsia="宋体" w:hint="default"/>
          <w:spacing w:val="2"/>
          <w:w w:val="99"/>
          <w:sz w:val="28"/>
          <w:szCs w:val="28"/>
        </w:rPr>
        <w:t> </w:t>
      </w:r>
      <w:r>
        <w:rPr>
          <w:rFonts w:ascii="宋体" w:hAnsi="宋体" w:cs="宋体" w:eastAsia="宋体" w:hint="default"/>
          <w:spacing w:val="-4"/>
          <w:sz w:val="28"/>
          <w:szCs w:val="28"/>
        </w:rPr>
        <w:t>危机的冲击和国内经济发展放缓带来的困难，中国联通坚持“融合创</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1"/>
          <w:w w:val="99"/>
          <w:sz w:val="28"/>
          <w:szCs w:val="28"/>
        </w:rPr>
        <w:t>造新优势、3G</w:t>
      </w:r>
      <w:r>
        <w:rPr>
          <w:rFonts w:ascii="宋体" w:hAnsi="宋体" w:cs="宋体" w:eastAsia="宋体" w:hint="default"/>
          <w:spacing w:val="-63"/>
          <w:w w:val="99"/>
          <w:sz w:val="28"/>
          <w:szCs w:val="28"/>
        </w:rPr>
        <w:t> </w:t>
      </w:r>
      <w:r>
        <w:rPr>
          <w:rFonts w:ascii="宋体" w:hAnsi="宋体" w:cs="宋体" w:eastAsia="宋体" w:hint="default"/>
          <w:spacing w:val="-7"/>
          <w:w w:val="99"/>
          <w:sz w:val="28"/>
          <w:szCs w:val="28"/>
        </w:rPr>
        <w:t>实现新发展”，上下一心、</w:t>
      </w:r>
      <w:r>
        <w:rPr>
          <w:rFonts w:ascii="宋体" w:hAnsi="宋体" w:cs="宋体" w:eastAsia="宋体" w:hint="default"/>
          <w:color w:val="323232"/>
          <w:spacing w:val="-7"/>
          <w:w w:val="99"/>
          <w:sz w:val="28"/>
          <w:szCs w:val="28"/>
        </w:rPr>
        <w:t>奋力拼搏，克服了前所未有</w:t>
      </w:r>
      <w:r>
        <w:rPr>
          <w:rFonts w:ascii="宋体" w:hAnsi="宋体" w:cs="宋体" w:eastAsia="宋体" w:hint="default"/>
          <w:color w:val="323232"/>
          <w:spacing w:val="-138"/>
          <w:w w:val="99"/>
          <w:sz w:val="28"/>
          <w:szCs w:val="28"/>
        </w:rPr>
        <w:t> </w:t>
      </w:r>
      <w:r>
        <w:rPr>
          <w:rFonts w:ascii="宋体" w:hAnsi="宋体" w:cs="宋体" w:eastAsia="宋体" w:hint="default"/>
          <w:color w:val="323232"/>
          <w:spacing w:val="-138"/>
          <w:w w:val="99"/>
          <w:sz w:val="28"/>
          <w:szCs w:val="28"/>
        </w:rPr>
      </w:r>
      <w:r>
        <w:rPr>
          <w:rFonts w:ascii="宋体" w:hAnsi="宋体" w:cs="宋体" w:eastAsia="宋体" w:hint="default"/>
          <w:color w:val="323232"/>
          <w:spacing w:val="-4"/>
          <w:sz w:val="28"/>
          <w:szCs w:val="28"/>
        </w:rPr>
        <w:t>的困难，走过了一段十分不平凡的发展历程，总体上保持了平稳发展</w:t>
      </w:r>
      <w:r>
        <w:rPr>
          <w:rFonts w:ascii="宋体" w:hAnsi="宋体" w:cs="宋体" w:eastAsia="宋体" w:hint="default"/>
          <w:color w:val="323232"/>
          <w:spacing w:val="-124"/>
          <w:sz w:val="28"/>
          <w:szCs w:val="28"/>
        </w:rPr>
        <w:t> </w:t>
      </w:r>
      <w:r>
        <w:rPr>
          <w:rFonts w:ascii="宋体" w:hAnsi="宋体" w:cs="宋体" w:eastAsia="宋体" w:hint="default"/>
          <w:color w:val="323232"/>
          <w:spacing w:val="-124"/>
          <w:sz w:val="28"/>
          <w:szCs w:val="28"/>
        </w:rPr>
      </w:r>
      <w:r>
        <w:rPr>
          <w:rFonts w:ascii="宋体" w:hAnsi="宋体" w:cs="宋体" w:eastAsia="宋体" w:hint="default"/>
          <w:color w:val="323232"/>
          <w:spacing w:val="-4"/>
          <w:sz w:val="28"/>
          <w:szCs w:val="28"/>
        </w:rPr>
        <w:t>态势，各项工作取得新的进展。中国联通</w:t>
      </w:r>
      <w:r>
        <w:rPr>
          <w:rFonts w:ascii="宋体" w:hAnsi="宋体" w:cs="宋体" w:eastAsia="宋体" w:hint="default"/>
          <w:spacing w:val="-4"/>
          <w:sz w:val="28"/>
          <w:szCs w:val="28"/>
        </w:rPr>
        <w:t>网络能力显著增强，建成了</w:t>
      </w:r>
    </w:p>
    <w:p>
      <w:pPr>
        <w:spacing w:after="0" w:line="408" w:lineRule="auto"/>
        <w:jc w:val="both"/>
        <w:rPr>
          <w:rFonts w:ascii="宋体" w:hAnsi="宋体" w:cs="宋体" w:eastAsia="宋体" w:hint="default"/>
          <w:sz w:val="28"/>
          <w:szCs w:val="28"/>
        </w:rPr>
        <w:sectPr>
          <w:headerReference w:type="default" r:id="rId164"/>
          <w:footerReference w:type="default" r:id="rId165"/>
          <w:pgSz w:w="11910" w:h="16840"/>
          <w:pgMar w:header="0" w:footer="982" w:top="1600" w:bottom="1180" w:left="1680" w:right="1680"/>
          <w:pgNumType w:start="2"/>
        </w:sectPr>
      </w:pPr>
    </w:p>
    <w:p>
      <w:pPr>
        <w:pStyle w:val="Heading7"/>
        <w:spacing w:line="351" w:lineRule="exact"/>
        <w:ind w:right="144"/>
        <w:jc w:val="left"/>
      </w:pPr>
      <w:r>
        <w:rPr>
          <w:spacing w:val="-3"/>
        </w:rPr>
        <w:t>覆盖中国几乎所有地市以上城市、全球规模最大的</w:t>
      </w:r>
      <w:r>
        <w:rPr>
          <w:spacing w:val="-65"/>
        </w:rPr>
        <w:t> </w:t>
      </w:r>
      <w:r>
        <w:rPr/>
        <w:t>WCDMA</w:t>
      </w:r>
      <w:r>
        <w:rPr>
          <w:spacing w:val="-65"/>
        </w:rPr>
        <w:t> </w:t>
      </w:r>
      <w:r>
        <w:rPr>
          <w:spacing w:val="-10"/>
        </w:rPr>
        <w:t>网络，宽带</w:t>
      </w:r>
    </w:p>
    <w:p>
      <w:pPr>
        <w:spacing w:line="240" w:lineRule="auto" w:before="9"/>
        <w:rPr>
          <w:rFonts w:ascii="宋体" w:hAnsi="宋体" w:cs="宋体" w:eastAsia="宋体" w:hint="default"/>
          <w:sz w:val="19"/>
          <w:szCs w:val="19"/>
        </w:rPr>
      </w:pPr>
    </w:p>
    <w:p>
      <w:pPr>
        <w:spacing w:line="408" w:lineRule="auto" w:before="0"/>
        <w:ind w:left="119" w:right="113" w:firstLine="0"/>
        <w:jc w:val="left"/>
        <w:rPr>
          <w:rFonts w:ascii="宋体" w:hAnsi="宋体" w:cs="宋体" w:eastAsia="宋体" w:hint="default"/>
          <w:sz w:val="28"/>
          <w:szCs w:val="28"/>
        </w:rPr>
      </w:pPr>
      <w:r>
        <w:rPr>
          <w:rFonts w:ascii="宋体" w:hAnsi="宋体" w:cs="宋体" w:eastAsia="宋体" w:hint="default"/>
          <w:spacing w:val="-4"/>
          <w:sz w:val="28"/>
          <w:szCs w:val="28"/>
        </w:rPr>
        <w:t>升级提速工程取得明显进展，各项业务平稳发展，为推进国民经济和</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社会信息化、落实信息化带动工业化战略作出了应有贡献。</w:t>
      </w:r>
      <w:r>
        <w:rPr>
          <w:rFonts w:ascii="宋体" w:hAnsi="宋体" w:cs="宋体" w:eastAsia="宋体" w:hint="default"/>
          <w:color w:val="323232"/>
          <w:spacing w:val="-4"/>
          <w:sz w:val="28"/>
          <w:szCs w:val="28"/>
        </w:rPr>
        <w:t>面向新的</w:t>
      </w:r>
      <w:r>
        <w:rPr>
          <w:rFonts w:ascii="宋体" w:hAnsi="宋体" w:cs="宋体" w:eastAsia="宋体" w:hint="default"/>
          <w:color w:val="323232"/>
          <w:spacing w:val="-122"/>
          <w:sz w:val="28"/>
          <w:szCs w:val="28"/>
        </w:rPr>
        <w:t> </w:t>
      </w:r>
      <w:r>
        <w:rPr>
          <w:rFonts w:ascii="宋体" w:hAnsi="宋体" w:cs="宋体" w:eastAsia="宋体" w:hint="default"/>
          <w:color w:val="323232"/>
          <w:spacing w:val="-122"/>
          <w:sz w:val="28"/>
          <w:szCs w:val="28"/>
        </w:rPr>
      </w:r>
      <w:r>
        <w:rPr>
          <w:rFonts w:ascii="宋体" w:hAnsi="宋体" w:cs="宋体" w:eastAsia="宋体" w:hint="default"/>
          <w:color w:val="323232"/>
          <w:sz w:val="28"/>
          <w:szCs w:val="28"/>
        </w:rPr>
        <w:t>一年,中国联通将准确把握电信业发展趋势，顺应电信业发展潮流，</w:t>
      </w:r>
      <w:r>
        <w:rPr>
          <w:rFonts w:ascii="宋体" w:hAnsi="宋体" w:cs="宋体" w:eastAsia="宋体" w:hint="default"/>
          <w:color w:val="323232"/>
          <w:spacing w:val="-93"/>
          <w:sz w:val="28"/>
          <w:szCs w:val="28"/>
        </w:rPr>
        <w:t> </w:t>
      </w:r>
      <w:r>
        <w:rPr>
          <w:rFonts w:ascii="宋体" w:hAnsi="宋体" w:cs="宋体" w:eastAsia="宋体" w:hint="default"/>
          <w:color w:val="323232"/>
          <w:spacing w:val="-93"/>
          <w:sz w:val="28"/>
          <w:szCs w:val="28"/>
        </w:rPr>
      </w:r>
      <w:r>
        <w:rPr>
          <w:rFonts w:ascii="宋体" w:hAnsi="宋体" w:cs="宋体" w:eastAsia="宋体" w:hint="default"/>
          <w:color w:val="323232"/>
          <w:sz w:val="28"/>
          <w:szCs w:val="28"/>
        </w:rPr>
        <w:t>加快创新步伐，转变发展方针，努力实现结构调整，提升发展质量，</w:t>
      </w:r>
      <w:r>
        <w:rPr>
          <w:rFonts w:ascii="宋体" w:hAnsi="宋体" w:cs="宋体" w:eastAsia="宋体" w:hint="default"/>
          <w:color w:val="323232"/>
          <w:w w:val="99"/>
          <w:sz w:val="28"/>
          <w:szCs w:val="28"/>
        </w:rPr>
        <w:t> </w:t>
      </w:r>
      <w:r>
        <w:rPr>
          <w:rFonts w:ascii="宋体" w:hAnsi="宋体" w:cs="宋体" w:eastAsia="宋体" w:hint="default"/>
          <w:color w:val="323232"/>
          <w:spacing w:val="-4"/>
          <w:sz w:val="28"/>
          <w:szCs w:val="28"/>
        </w:rPr>
        <w:t>取得良好效益。与此同时，要主动维护市场秩序，抵制各种违法违规</w:t>
      </w:r>
      <w:r>
        <w:rPr>
          <w:rFonts w:ascii="宋体" w:hAnsi="宋体" w:cs="宋体" w:eastAsia="宋体" w:hint="default"/>
          <w:color w:val="323232"/>
          <w:spacing w:val="-126"/>
          <w:sz w:val="28"/>
          <w:szCs w:val="28"/>
        </w:rPr>
        <w:t> </w:t>
      </w:r>
      <w:r>
        <w:rPr>
          <w:rFonts w:ascii="宋体" w:hAnsi="宋体" w:cs="宋体" w:eastAsia="宋体" w:hint="default"/>
          <w:color w:val="323232"/>
          <w:spacing w:val="-126"/>
          <w:sz w:val="28"/>
          <w:szCs w:val="28"/>
        </w:rPr>
      </w:r>
      <w:r>
        <w:rPr>
          <w:rFonts w:ascii="宋体" w:hAnsi="宋体" w:cs="宋体" w:eastAsia="宋体" w:hint="default"/>
          <w:color w:val="323232"/>
          <w:spacing w:val="-8"/>
          <w:sz w:val="28"/>
          <w:szCs w:val="28"/>
        </w:rPr>
        <w:t>行为，保障网络信息安全，持续改善服务质量，切实维护消费者权益。</w:t>
      </w:r>
      <w:r>
        <w:rPr>
          <w:rFonts w:ascii="宋体" w:hAnsi="宋体" w:cs="宋体" w:eastAsia="宋体" w:hint="default"/>
          <w:color w:val="323232"/>
          <w:spacing w:val="-137"/>
          <w:sz w:val="28"/>
          <w:szCs w:val="28"/>
        </w:rPr>
        <w:t> </w:t>
      </w:r>
      <w:r>
        <w:rPr>
          <w:rFonts w:ascii="宋体" w:hAnsi="宋体" w:cs="宋体" w:eastAsia="宋体" w:hint="default"/>
          <w:color w:val="323232"/>
          <w:spacing w:val="-137"/>
          <w:sz w:val="28"/>
          <w:szCs w:val="28"/>
        </w:rPr>
      </w:r>
      <w:r>
        <w:rPr>
          <w:rFonts w:ascii="宋体" w:hAnsi="宋体" w:cs="宋体" w:eastAsia="宋体" w:hint="default"/>
          <w:color w:val="323232"/>
          <w:spacing w:val="-8"/>
          <w:w w:val="99"/>
          <w:sz w:val="28"/>
          <w:szCs w:val="28"/>
        </w:rPr>
        <w:t>在中国联通以</w:t>
      </w:r>
      <w:r>
        <w:rPr>
          <w:rFonts w:ascii="宋体" w:hAnsi="宋体" w:cs="宋体" w:eastAsia="宋体" w:hint="default"/>
          <w:spacing w:val="-8"/>
          <w:w w:val="99"/>
          <w:sz w:val="28"/>
          <w:szCs w:val="28"/>
        </w:rPr>
        <w:t>“信息生活的创新服务领导者”（Innovation</w:t>
      </w:r>
      <w:r>
        <w:rPr>
          <w:rFonts w:ascii="宋体" w:hAnsi="宋体" w:cs="宋体" w:eastAsia="宋体" w:hint="default"/>
          <w:spacing w:val="-68"/>
          <w:w w:val="99"/>
          <w:sz w:val="28"/>
          <w:szCs w:val="28"/>
        </w:rPr>
        <w:t> </w:t>
      </w:r>
      <w:r>
        <w:rPr>
          <w:rFonts w:ascii="宋体" w:hAnsi="宋体" w:cs="宋体" w:eastAsia="宋体" w:hint="default"/>
          <w:w w:val="99"/>
          <w:sz w:val="28"/>
          <w:szCs w:val="28"/>
        </w:rPr>
        <w:t>&amp;</w:t>
      </w:r>
      <w:r>
        <w:rPr>
          <w:rFonts w:ascii="宋体" w:hAnsi="宋体" w:cs="宋体" w:eastAsia="宋体" w:hint="default"/>
          <w:spacing w:val="-67"/>
          <w:w w:val="99"/>
          <w:sz w:val="28"/>
          <w:szCs w:val="28"/>
        </w:rPr>
        <w:t> </w:t>
      </w:r>
      <w:r>
        <w:rPr>
          <w:rFonts w:ascii="宋体" w:hAnsi="宋体" w:cs="宋体" w:eastAsia="宋体" w:hint="default"/>
          <w:w w:val="99"/>
          <w:sz w:val="28"/>
          <w:szCs w:val="28"/>
        </w:rPr>
        <w:t>Service</w:t>
      </w:r>
      <w:r>
        <w:rPr>
          <w:rFonts w:ascii="宋体" w:hAnsi="宋体" w:cs="宋体" w:eastAsia="宋体" w:hint="default"/>
          <w:spacing w:val="-133"/>
          <w:w w:val="99"/>
          <w:sz w:val="28"/>
          <w:szCs w:val="28"/>
        </w:rPr>
        <w:t> </w:t>
      </w:r>
      <w:r>
        <w:rPr>
          <w:rFonts w:ascii="宋体" w:hAnsi="宋体" w:cs="宋体" w:eastAsia="宋体" w:hint="default"/>
          <w:spacing w:val="-133"/>
          <w:w w:val="99"/>
          <w:sz w:val="28"/>
          <w:szCs w:val="28"/>
        </w:rPr>
      </w:r>
      <w:r>
        <w:rPr>
          <w:rFonts w:ascii="宋体" w:hAnsi="宋体" w:cs="宋体" w:eastAsia="宋体" w:hint="default"/>
          <w:sz w:val="28"/>
          <w:szCs w:val="28"/>
        </w:rPr>
        <w:t>Leader</w:t>
      </w:r>
      <w:r>
        <w:rPr>
          <w:rFonts w:ascii="宋体" w:hAnsi="宋体" w:cs="宋体" w:eastAsia="宋体" w:hint="default"/>
          <w:spacing w:val="7"/>
          <w:sz w:val="28"/>
          <w:szCs w:val="28"/>
        </w:rPr>
        <w:t> </w:t>
      </w:r>
      <w:r>
        <w:rPr>
          <w:rFonts w:ascii="宋体" w:hAnsi="宋体" w:cs="宋体" w:eastAsia="宋体" w:hint="default"/>
          <w:sz w:val="28"/>
          <w:szCs w:val="28"/>
        </w:rPr>
        <w:t>for</w:t>
      </w:r>
      <w:r>
        <w:rPr>
          <w:rFonts w:ascii="宋体" w:hAnsi="宋体" w:cs="宋体" w:eastAsia="宋体" w:hint="default"/>
          <w:spacing w:val="9"/>
          <w:sz w:val="28"/>
          <w:szCs w:val="28"/>
        </w:rPr>
        <w:t> </w:t>
      </w:r>
      <w:r>
        <w:rPr>
          <w:rFonts w:ascii="宋体" w:hAnsi="宋体" w:cs="宋体" w:eastAsia="宋体" w:hint="default"/>
          <w:sz w:val="28"/>
          <w:szCs w:val="28"/>
        </w:rPr>
        <w:t>Information</w:t>
      </w:r>
      <w:r>
        <w:rPr>
          <w:rFonts w:ascii="宋体" w:hAnsi="宋体" w:cs="宋体" w:eastAsia="宋体" w:hint="default"/>
          <w:spacing w:val="7"/>
          <w:sz w:val="28"/>
          <w:szCs w:val="28"/>
        </w:rPr>
        <w:t> </w:t>
      </w:r>
      <w:r>
        <w:rPr>
          <w:rFonts w:ascii="宋体" w:hAnsi="宋体" w:cs="宋体" w:eastAsia="宋体" w:hint="default"/>
          <w:sz w:val="28"/>
          <w:szCs w:val="28"/>
        </w:rPr>
        <w:t>Life）愿景的指引下，积极探索以社会责</w:t>
      </w:r>
      <w:r>
        <w:rPr>
          <w:rFonts w:ascii="宋体" w:hAnsi="宋体" w:cs="宋体" w:eastAsia="宋体" w:hint="default"/>
          <w:spacing w:val="-134"/>
          <w:sz w:val="28"/>
          <w:szCs w:val="28"/>
        </w:rPr>
        <w:t> </w:t>
      </w:r>
      <w:r>
        <w:rPr>
          <w:rFonts w:ascii="宋体" w:hAnsi="宋体" w:cs="宋体" w:eastAsia="宋体" w:hint="default"/>
          <w:spacing w:val="-134"/>
          <w:sz w:val="28"/>
          <w:szCs w:val="28"/>
        </w:rPr>
      </w:r>
      <w:r>
        <w:rPr>
          <w:rFonts w:ascii="宋体" w:hAnsi="宋体" w:cs="宋体" w:eastAsia="宋体" w:hint="default"/>
          <w:spacing w:val="-4"/>
          <w:sz w:val="28"/>
          <w:szCs w:val="28"/>
        </w:rPr>
        <w:t>任为内涵，既符合社会发展方向，又有助于促进企业健康成长的长远</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发展道路，在社会发展进程中扮演日益重要的角色。</w:t>
      </w:r>
    </w:p>
    <w:p>
      <w:pPr>
        <w:spacing w:line="408" w:lineRule="auto" w:before="61"/>
        <w:ind w:left="120" w:right="164" w:firstLine="560"/>
        <w:jc w:val="both"/>
        <w:rPr>
          <w:rFonts w:ascii="宋体" w:hAnsi="宋体" w:cs="宋体" w:eastAsia="宋体" w:hint="default"/>
          <w:sz w:val="28"/>
          <w:szCs w:val="28"/>
        </w:rPr>
      </w:pPr>
      <w:r>
        <w:rPr>
          <w:rFonts w:ascii="宋体" w:hAnsi="宋体" w:cs="宋体" w:eastAsia="宋体" w:hint="default"/>
          <w:spacing w:val="-4"/>
          <w:sz w:val="28"/>
          <w:szCs w:val="28"/>
        </w:rPr>
        <w:t>展望未来，日趋复杂的世界迫切需要建立和谐共存、互利共荣的</w:t>
      </w:r>
      <w:r>
        <w:rPr>
          <w:rFonts w:ascii="宋体" w:hAnsi="宋体" w:cs="宋体" w:eastAsia="宋体" w:hint="default"/>
          <w:w w:val="99"/>
          <w:sz w:val="28"/>
          <w:szCs w:val="28"/>
        </w:rPr>
        <w:t> </w:t>
      </w:r>
      <w:r>
        <w:rPr>
          <w:rFonts w:ascii="宋体" w:hAnsi="宋体" w:cs="宋体" w:eastAsia="宋体" w:hint="default"/>
          <w:spacing w:val="-4"/>
          <w:sz w:val="28"/>
          <w:szCs w:val="28"/>
        </w:rPr>
        <w:t>社会新秩序，这使得公众对公司治理的期望、对企业承担社会责任的</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4"/>
          <w:sz w:val="28"/>
          <w:szCs w:val="28"/>
        </w:rPr>
        <w:t>要求也越来越高。中国联通将以更宽广的关切为己任，积极投身于促</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进社会长远发展的公共事务之中。同时，我们也寄予全球契约组织更</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多期待，希望通过加强与联合国契约组织的合作，进一步树立中国联</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通良好的国际化品牌形象，并寻求在全球契约组织中发挥重要作用。</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before="0"/>
        <w:ind w:left="2640" w:right="144" w:firstLine="0"/>
        <w:jc w:val="left"/>
        <w:rPr>
          <w:rFonts w:ascii="宋体" w:hAnsi="宋体" w:cs="宋体" w:eastAsia="宋体" w:hint="default"/>
          <w:sz w:val="28"/>
          <w:szCs w:val="28"/>
        </w:rPr>
      </w:pPr>
      <w:r>
        <w:rPr>
          <w:rFonts w:ascii="宋体" w:hAnsi="宋体" w:cs="宋体" w:eastAsia="宋体" w:hint="default"/>
          <w:sz w:val="28"/>
          <w:szCs w:val="28"/>
        </w:rPr>
        <w:t>中国联合网络通信集团有限公司董事长</w:t>
      </w:r>
    </w:p>
    <w:p>
      <w:pPr>
        <w:spacing w:line="240" w:lineRule="auto" w:before="10"/>
        <w:rPr>
          <w:rFonts w:ascii="宋体" w:hAnsi="宋体" w:cs="宋体" w:eastAsia="宋体" w:hint="default"/>
          <w:sz w:val="16"/>
          <w:szCs w:val="16"/>
        </w:rPr>
      </w:pPr>
    </w:p>
    <w:p>
      <w:pPr>
        <w:spacing w:line="1757" w:lineRule="exact"/>
        <w:ind w:left="3760" w:right="0" w:firstLine="0"/>
        <w:rPr>
          <w:rFonts w:ascii="宋体" w:hAnsi="宋体" w:cs="宋体" w:eastAsia="宋体" w:hint="default"/>
          <w:sz w:val="20"/>
          <w:szCs w:val="20"/>
        </w:rPr>
      </w:pPr>
      <w:r>
        <w:rPr>
          <w:rFonts w:ascii="宋体" w:hAnsi="宋体" w:cs="宋体" w:eastAsia="宋体" w:hint="default"/>
          <w:position w:val="-34"/>
          <w:sz w:val="20"/>
          <w:szCs w:val="20"/>
        </w:rPr>
        <w:drawing>
          <wp:inline distT="0" distB="0" distL="0" distR="0">
            <wp:extent cx="1438914" cy="1116139"/>
            <wp:effectExtent l="0" t="0" r="0" b="0"/>
            <wp:docPr id="7" name="image4.png" descr=""/>
            <wp:cNvGraphicFramePr>
              <a:graphicFrameLocks noChangeAspect="1"/>
            </wp:cNvGraphicFramePr>
            <a:graphic>
              <a:graphicData uri="http://schemas.openxmlformats.org/drawingml/2006/picture">
                <pic:pic>
                  <pic:nvPicPr>
                    <pic:cNvPr id="8" name="image4.png"/>
                    <pic:cNvPicPr/>
                  </pic:nvPicPr>
                  <pic:blipFill>
                    <a:blip r:embed="rId168" cstate="print"/>
                    <a:stretch>
                      <a:fillRect/>
                    </a:stretch>
                  </pic:blipFill>
                  <pic:spPr>
                    <a:xfrm>
                      <a:off x="0" y="0"/>
                      <a:ext cx="1438914" cy="1116139"/>
                    </a:xfrm>
                    <a:prstGeom prst="rect">
                      <a:avLst/>
                    </a:prstGeom>
                  </pic:spPr>
                </pic:pic>
              </a:graphicData>
            </a:graphic>
          </wp:inline>
        </w:drawing>
      </w:r>
      <w:r>
        <w:rPr>
          <w:rFonts w:ascii="宋体" w:hAnsi="宋体" w:cs="宋体" w:eastAsia="宋体" w:hint="default"/>
          <w:position w:val="-34"/>
          <w:sz w:val="20"/>
          <w:szCs w:val="20"/>
        </w:rPr>
      </w:r>
    </w:p>
    <w:p>
      <w:pPr>
        <w:spacing w:after="0" w:line="1757" w:lineRule="exact"/>
        <w:rPr>
          <w:rFonts w:ascii="宋体" w:hAnsi="宋体" w:cs="宋体" w:eastAsia="宋体" w:hint="default"/>
          <w:sz w:val="20"/>
          <w:szCs w:val="20"/>
        </w:rPr>
        <w:sectPr>
          <w:headerReference w:type="default" r:id="rId166"/>
          <w:footerReference w:type="default" r:id="rId167"/>
          <w:pgSz w:w="11910" w:h="16840"/>
          <w:pgMar w:header="0" w:footer="982" w:top="1540" w:bottom="1180" w:left="1680" w:right="1540"/>
          <w:pgNumType w:start="3"/>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pStyle w:val="Heading1"/>
        <w:spacing w:line="632" w:lineRule="exact"/>
        <w:ind w:left="0" w:right="137"/>
        <w:jc w:val="center"/>
        <w:rPr>
          <w:b w:val="0"/>
          <w:bCs w:val="0"/>
        </w:rPr>
      </w:pPr>
      <w:r>
        <w:rPr/>
        <w:t>关于我们</w:t>
      </w:r>
      <w:r>
        <w:rPr>
          <w:b w:val="0"/>
          <w:bCs w:val="0"/>
        </w:rPr>
      </w:r>
    </w:p>
    <w:p>
      <w:pPr>
        <w:spacing w:line="240" w:lineRule="auto" w:before="0"/>
        <w:rPr>
          <w:rFonts w:ascii="华文行楷" w:hAnsi="华文行楷" w:cs="华文行楷" w:eastAsia="华文行楷" w:hint="default"/>
          <w:b/>
          <w:bCs/>
          <w:sz w:val="20"/>
          <w:szCs w:val="20"/>
        </w:rPr>
      </w:pPr>
    </w:p>
    <w:p>
      <w:pPr>
        <w:spacing w:line="240" w:lineRule="auto" w:before="0"/>
        <w:rPr>
          <w:rFonts w:ascii="华文行楷" w:hAnsi="华文行楷" w:cs="华文行楷" w:eastAsia="华文行楷" w:hint="default"/>
          <w:b/>
          <w:bCs/>
          <w:sz w:val="20"/>
          <w:szCs w:val="20"/>
        </w:rPr>
      </w:pPr>
    </w:p>
    <w:p>
      <w:pPr>
        <w:spacing w:line="240" w:lineRule="auto" w:before="0"/>
        <w:rPr>
          <w:rFonts w:ascii="华文行楷" w:hAnsi="华文行楷" w:cs="华文行楷" w:eastAsia="华文行楷" w:hint="default"/>
          <w:b/>
          <w:bCs/>
          <w:sz w:val="20"/>
          <w:szCs w:val="20"/>
        </w:rPr>
      </w:pPr>
    </w:p>
    <w:p>
      <w:pPr>
        <w:spacing w:line="240" w:lineRule="auto" w:before="0"/>
        <w:rPr>
          <w:rFonts w:ascii="华文行楷" w:hAnsi="华文行楷" w:cs="华文行楷" w:eastAsia="华文行楷" w:hint="default"/>
          <w:b/>
          <w:bCs/>
          <w:sz w:val="20"/>
          <w:szCs w:val="20"/>
        </w:rPr>
      </w:pPr>
    </w:p>
    <w:p>
      <w:pPr>
        <w:spacing w:line="240" w:lineRule="auto" w:before="5"/>
        <w:rPr>
          <w:rFonts w:ascii="华文行楷" w:hAnsi="华文行楷" w:cs="华文行楷" w:eastAsia="华文行楷" w:hint="default"/>
          <w:b/>
          <w:bCs/>
          <w:sz w:val="27"/>
          <w:szCs w:val="27"/>
        </w:rPr>
      </w:pPr>
    </w:p>
    <w:p>
      <w:pPr>
        <w:pStyle w:val="Heading3"/>
        <w:spacing w:line="460" w:lineRule="exact"/>
        <w:ind w:right="144"/>
        <w:jc w:val="left"/>
        <w:rPr>
          <w:b w:val="0"/>
          <w:bCs w:val="0"/>
        </w:rPr>
      </w:pPr>
      <w:r>
        <w:rPr/>
        <w:t>公司概况</w:t>
      </w:r>
      <w:r>
        <w:rPr>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8"/>
        <w:rPr>
          <w:rFonts w:ascii="黑体" w:hAnsi="黑体" w:cs="黑体" w:eastAsia="黑体" w:hint="default"/>
          <w:b/>
          <w:bCs/>
          <w:sz w:val="23"/>
          <w:szCs w:val="23"/>
        </w:rPr>
      </w:pPr>
    </w:p>
    <w:p>
      <w:pPr>
        <w:spacing w:line="2659" w:lineRule="exact"/>
        <w:ind w:left="2080" w:right="0" w:firstLine="0"/>
        <w:rPr>
          <w:rFonts w:ascii="黑体" w:hAnsi="黑体" w:cs="黑体" w:eastAsia="黑体" w:hint="default"/>
          <w:sz w:val="20"/>
          <w:szCs w:val="20"/>
        </w:rPr>
      </w:pPr>
      <w:r>
        <w:rPr>
          <w:rFonts w:ascii="黑体" w:hAnsi="黑体" w:cs="黑体" w:eastAsia="黑体" w:hint="default"/>
          <w:position w:val="-52"/>
          <w:sz w:val="20"/>
          <w:szCs w:val="20"/>
        </w:rPr>
        <w:drawing>
          <wp:inline distT="0" distB="0" distL="0" distR="0">
            <wp:extent cx="2787562" cy="1688592"/>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71" cstate="print"/>
                    <a:stretch>
                      <a:fillRect/>
                    </a:stretch>
                  </pic:blipFill>
                  <pic:spPr>
                    <a:xfrm>
                      <a:off x="0" y="0"/>
                      <a:ext cx="2787562" cy="1688592"/>
                    </a:xfrm>
                    <a:prstGeom prst="rect">
                      <a:avLst/>
                    </a:prstGeom>
                  </pic:spPr>
                </pic:pic>
              </a:graphicData>
            </a:graphic>
          </wp:inline>
        </w:drawing>
      </w:r>
      <w:r>
        <w:rPr>
          <w:rFonts w:ascii="黑体" w:hAnsi="黑体" w:cs="黑体" w:eastAsia="黑体" w:hint="default"/>
          <w:position w:val="-52"/>
          <w:sz w:val="20"/>
          <w:szCs w:val="2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9"/>
        <w:rPr>
          <w:rFonts w:ascii="黑体" w:hAnsi="黑体" w:cs="黑体" w:eastAsia="黑体" w:hint="default"/>
          <w:b/>
          <w:bCs/>
          <w:sz w:val="18"/>
          <w:szCs w:val="18"/>
        </w:rPr>
      </w:pPr>
    </w:p>
    <w:p>
      <w:pPr>
        <w:pStyle w:val="Heading7"/>
        <w:spacing w:line="240" w:lineRule="auto" w:before="13"/>
        <w:ind w:left="680" w:right="144"/>
        <w:jc w:val="left"/>
      </w:pPr>
      <w:r>
        <w:rPr>
          <w:w w:val="99"/>
        </w:rPr>
        <w:t>中国联合网络通信集团有限公</w:t>
      </w:r>
      <w:r>
        <w:rPr>
          <w:spacing w:val="-101"/>
          <w:w w:val="99"/>
        </w:rPr>
        <w:t>司</w:t>
      </w:r>
      <w:r>
        <w:rPr>
          <w:w w:val="99"/>
        </w:rPr>
        <w:t>（简</w:t>
      </w:r>
      <w:r>
        <w:rPr>
          <w:spacing w:val="-101"/>
          <w:w w:val="99"/>
        </w:rPr>
        <w:t>称</w:t>
      </w:r>
      <w:r>
        <w:rPr>
          <w:w w:val="99"/>
        </w:rPr>
        <w:t>“中国联通</w:t>
      </w:r>
      <w:r>
        <w:rPr>
          <w:spacing w:val="-141"/>
          <w:w w:val="99"/>
        </w:rPr>
        <w:t>”</w:t>
      </w:r>
      <w:r>
        <w:rPr>
          <w:spacing w:val="-100"/>
          <w:w w:val="99"/>
        </w:rPr>
        <w:t>）</w:t>
      </w:r>
      <w:r>
        <w:rPr>
          <w:w w:val="99"/>
        </w:rPr>
        <w:t>成立于</w:t>
      </w:r>
      <w:r>
        <w:rPr>
          <w:spacing w:val="-70"/>
        </w:rPr>
        <w:t> </w:t>
      </w:r>
      <w:r>
        <w:rPr>
          <w:spacing w:val="-1"/>
          <w:w w:val="99"/>
        </w:rPr>
        <w:t>2</w:t>
      </w:r>
      <w:r>
        <w:rPr>
          <w:w w:val="99"/>
        </w:rPr>
        <w:t>009</w:t>
      </w:r>
      <w:r>
        <w:rPr/>
      </w:r>
    </w:p>
    <w:p>
      <w:pPr>
        <w:spacing w:line="240" w:lineRule="auto" w:before="9"/>
        <w:rPr>
          <w:rFonts w:ascii="宋体" w:hAnsi="宋体" w:cs="宋体" w:eastAsia="宋体" w:hint="default"/>
          <w:sz w:val="19"/>
          <w:szCs w:val="19"/>
        </w:rPr>
      </w:pPr>
    </w:p>
    <w:p>
      <w:pPr>
        <w:spacing w:before="0"/>
        <w:ind w:left="119" w:right="144" w:firstLine="0"/>
        <w:jc w:val="left"/>
        <w:rPr>
          <w:rFonts w:ascii="宋体" w:hAnsi="宋体" w:cs="宋体" w:eastAsia="宋体" w:hint="default"/>
          <w:sz w:val="28"/>
          <w:szCs w:val="28"/>
        </w:rPr>
      </w:pPr>
      <w:r>
        <w:rPr>
          <w:rFonts w:ascii="宋体" w:hAnsi="宋体" w:cs="宋体" w:eastAsia="宋体" w:hint="default"/>
          <w:sz w:val="28"/>
          <w:szCs w:val="28"/>
        </w:rPr>
        <w:t>年</w:t>
      </w:r>
      <w:r>
        <w:rPr>
          <w:rFonts w:ascii="宋体" w:hAnsi="宋体" w:cs="宋体" w:eastAsia="宋体" w:hint="default"/>
          <w:spacing w:val="-71"/>
          <w:sz w:val="28"/>
          <w:szCs w:val="28"/>
        </w:rPr>
        <w:t> </w:t>
      </w:r>
      <w:r>
        <w:rPr>
          <w:rFonts w:ascii="宋体" w:hAnsi="宋体" w:cs="宋体" w:eastAsia="宋体" w:hint="default"/>
          <w:sz w:val="28"/>
          <w:szCs w:val="28"/>
        </w:rPr>
        <w:t>1</w:t>
      </w:r>
      <w:r>
        <w:rPr>
          <w:rFonts w:ascii="宋体" w:hAnsi="宋体" w:cs="宋体" w:eastAsia="宋体" w:hint="default"/>
          <w:spacing w:val="-71"/>
          <w:sz w:val="28"/>
          <w:szCs w:val="28"/>
        </w:rPr>
        <w:t> </w:t>
      </w:r>
      <w:r>
        <w:rPr>
          <w:rFonts w:ascii="宋体" w:hAnsi="宋体" w:cs="宋体" w:eastAsia="宋体" w:hint="default"/>
          <w:sz w:val="28"/>
          <w:szCs w:val="28"/>
        </w:rPr>
        <w:t>月</w:t>
      </w:r>
      <w:r>
        <w:rPr>
          <w:rFonts w:ascii="宋体" w:hAnsi="宋体" w:cs="宋体" w:eastAsia="宋体" w:hint="default"/>
          <w:spacing w:val="-71"/>
          <w:sz w:val="28"/>
          <w:szCs w:val="28"/>
        </w:rPr>
        <w:t> </w:t>
      </w:r>
      <w:r>
        <w:rPr>
          <w:rFonts w:ascii="宋体" w:hAnsi="宋体" w:cs="宋体" w:eastAsia="宋体" w:hint="default"/>
          <w:sz w:val="28"/>
          <w:szCs w:val="28"/>
        </w:rPr>
        <w:t>6</w:t>
      </w:r>
      <w:r>
        <w:rPr>
          <w:rFonts w:ascii="宋体" w:hAnsi="宋体" w:cs="宋体" w:eastAsia="宋体" w:hint="default"/>
          <w:spacing w:val="-73"/>
          <w:sz w:val="28"/>
          <w:szCs w:val="28"/>
        </w:rPr>
        <w:t> </w:t>
      </w:r>
      <w:r>
        <w:rPr>
          <w:rFonts w:ascii="宋体" w:hAnsi="宋体" w:cs="宋体" w:eastAsia="宋体" w:hint="default"/>
          <w:spacing w:val="-4"/>
          <w:sz w:val="28"/>
          <w:szCs w:val="28"/>
        </w:rPr>
        <w:t>日，是在原中国联通、原中国网通的基础上组建而成。重组</w:t>
      </w:r>
    </w:p>
    <w:p>
      <w:pPr>
        <w:spacing w:line="240" w:lineRule="auto" w:before="9"/>
        <w:rPr>
          <w:rFonts w:ascii="宋体" w:hAnsi="宋体" w:cs="宋体" w:eastAsia="宋体" w:hint="default"/>
          <w:sz w:val="19"/>
          <w:szCs w:val="19"/>
        </w:rPr>
      </w:pPr>
    </w:p>
    <w:p>
      <w:pPr>
        <w:spacing w:line="408" w:lineRule="auto" w:before="0"/>
        <w:ind w:left="119" w:right="113" w:firstLine="0"/>
        <w:jc w:val="left"/>
        <w:rPr>
          <w:rFonts w:ascii="宋体" w:hAnsi="宋体" w:cs="宋体" w:eastAsia="宋体" w:hint="default"/>
          <w:sz w:val="28"/>
          <w:szCs w:val="28"/>
        </w:rPr>
      </w:pPr>
      <w:r>
        <w:rPr>
          <w:rFonts w:ascii="宋体" w:hAnsi="宋体" w:cs="宋体" w:eastAsia="宋体" w:hint="default"/>
          <w:spacing w:val="-7"/>
          <w:sz w:val="28"/>
          <w:szCs w:val="28"/>
        </w:rPr>
        <w:t>后，中国联通整体规模和实力得到大幅提升。公司在国内</w:t>
      </w:r>
      <w:r>
        <w:rPr>
          <w:rFonts w:ascii="宋体" w:hAnsi="宋体" w:cs="宋体" w:eastAsia="宋体" w:hint="default"/>
          <w:spacing w:val="-69"/>
          <w:sz w:val="28"/>
          <w:szCs w:val="28"/>
        </w:rPr>
        <w:t> </w:t>
      </w:r>
      <w:r>
        <w:rPr>
          <w:rFonts w:ascii="宋体" w:hAnsi="宋体" w:cs="宋体" w:eastAsia="宋体" w:hint="default"/>
          <w:sz w:val="28"/>
          <w:szCs w:val="28"/>
        </w:rPr>
        <w:t>31</w:t>
      </w:r>
      <w:r>
        <w:rPr>
          <w:rFonts w:ascii="宋体" w:hAnsi="宋体" w:cs="宋体" w:eastAsia="宋体" w:hint="default"/>
          <w:spacing w:val="-69"/>
          <w:sz w:val="28"/>
          <w:szCs w:val="28"/>
        </w:rPr>
        <w:t> </w:t>
      </w:r>
      <w:r>
        <w:rPr>
          <w:rFonts w:ascii="宋体" w:hAnsi="宋体" w:cs="宋体" w:eastAsia="宋体" w:hint="default"/>
          <w:spacing w:val="-19"/>
          <w:sz w:val="28"/>
          <w:szCs w:val="28"/>
        </w:rPr>
        <w:t>个省（自</w:t>
      </w:r>
      <w:r>
        <w:rPr>
          <w:rFonts w:ascii="宋体" w:hAnsi="宋体" w:cs="宋体" w:eastAsia="宋体" w:hint="default"/>
          <w:spacing w:val="-136"/>
          <w:sz w:val="28"/>
          <w:szCs w:val="28"/>
        </w:rPr>
        <w:t> </w:t>
      </w:r>
      <w:r>
        <w:rPr>
          <w:rFonts w:ascii="宋体" w:hAnsi="宋体" w:cs="宋体" w:eastAsia="宋体" w:hint="default"/>
          <w:spacing w:val="-136"/>
          <w:sz w:val="28"/>
          <w:szCs w:val="28"/>
        </w:rPr>
      </w:r>
      <w:r>
        <w:rPr>
          <w:rFonts w:ascii="宋体" w:hAnsi="宋体" w:cs="宋体" w:eastAsia="宋体" w:hint="default"/>
          <w:spacing w:val="-8"/>
          <w:sz w:val="28"/>
          <w:szCs w:val="28"/>
        </w:rPr>
        <w:t>治区、直辖市）和境外多个国家和地区设有分支机构，拥有覆盖全国、</w:t>
      </w:r>
      <w:r>
        <w:rPr>
          <w:rFonts w:ascii="宋体" w:hAnsi="宋体" w:cs="宋体" w:eastAsia="宋体" w:hint="default"/>
          <w:w w:val="99"/>
          <w:sz w:val="28"/>
          <w:szCs w:val="28"/>
        </w:rPr>
        <w:t> </w:t>
      </w:r>
      <w:r>
        <w:rPr>
          <w:rFonts w:ascii="宋体" w:hAnsi="宋体" w:cs="宋体" w:eastAsia="宋体" w:hint="default"/>
          <w:spacing w:val="-4"/>
          <w:sz w:val="28"/>
          <w:szCs w:val="28"/>
        </w:rPr>
        <w:t>通达世界、结构合理、技术先进、功能强大的现代通信网络，主要经</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4"/>
          <w:sz w:val="28"/>
          <w:szCs w:val="28"/>
        </w:rPr>
        <w:t>营：移动通信业务，国内、国际固定电话网络与设施（含本地无线环</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3"/>
          <w:w w:val="99"/>
          <w:sz w:val="28"/>
          <w:szCs w:val="28"/>
        </w:rPr>
        <w:t>路），语音、数据、图像及多媒体通信与信息服务，电信增值业务，</w:t>
      </w:r>
      <w:r>
        <w:rPr>
          <w:rFonts w:ascii="宋体" w:hAnsi="宋体" w:cs="宋体" w:eastAsia="宋体" w:hint="default"/>
          <w:spacing w:val="-130"/>
          <w:w w:val="99"/>
          <w:sz w:val="28"/>
          <w:szCs w:val="28"/>
        </w:rPr>
        <w:t> </w:t>
      </w:r>
      <w:r>
        <w:rPr>
          <w:rFonts w:ascii="宋体" w:hAnsi="宋体" w:cs="宋体" w:eastAsia="宋体" w:hint="default"/>
          <w:spacing w:val="-130"/>
          <w:w w:val="99"/>
          <w:sz w:val="28"/>
          <w:szCs w:val="28"/>
        </w:rPr>
      </w:r>
      <w:r>
        <w:rPr>
          <w:rFonts w:ascii="宋体" w:hAnsi="宋体" w:cs="宋体" w:eastAsia="宋体" w:hint="default"/>
          <w:sz w:val="28"/>
          <w:szCs w:val="28"/>
        </w:rPr>
        <w:t>IP 电话业务，与通信及信息业务相关的系统集成业务，以及国家批</w:t>
      </w:r>
      <w:r>
        <w:rPr>
          <w:rFonts w:ascii="宋体" w:hAnsi="宋体" w:cs="宋体" w:eastAsia="宋体" w:hint="default"/>
          <w:spacing w:val="-96"/>
          <w:sz w:val="28"/>
          <w:szCs w:val="28"/>
        </w:rPr>
        <w:t> </w:t>
      </w:r>
      <w:r>
        <w:rPr>
          <w:rFonts w:ascii="宋体" w:hAnsi="宋体" w:cs="宋体" w:eastAsia="宋体" w:hint="default"/>
          <w:spacing w:val="-96"/>
          <w:sz w:val="28"/>
          <w:szCs w:val="28"/>
        </w:rPr>
      </w:r>
      <w:r>
        <w:rPr>
          <w:rFonts w:ascii="宋体" w:hAnsi="宋体" w:cs="宋体" w:eastAsia="宋体" w:hint="default"/>
          <w:sz w:val="28"/>
          <w:szCs w:val="28"/>
        </w:rPr>
        <w:t>准的其它业务。</w:t>
      </w:r>
    </w:p>
    <w:p>
      <w:pPr>
        <w:spacing w:before="61"/>
        <w:ind w:left="679" w:right="144" w:firstLine="0"/>
        <w:jc w:val="left"/>
        <w:rPr>
          <w:rFonts w:ascii="宋体" w:hAnsi="宋体" w:cs="宋体" w:eastAsia="宋体" w:hint="default"/>
          <w:sz w:val="28"/>
          <w:szCs w:val="28"/>
        </w:rPr>
      </w:pPr>
      <w:r>
        <w:rPr>
          <w:rFonts w:ascii="宋体" w:hAnsi="宋体" w:cs="宋体" w:eastAsia="宋体" w:hint="default"/>
          <w:spacing w:val="-4"/>
          <w:sz w:val="28"/>
          <w:szCs w:val="28"/>
        </w:rPr>
        <w:t>面向未来，中国联通将紧紧抓住全球电信业创新转型和我国推进</w:t>
      </w:r>
    </w:p>
    <w:p>
      <w:pPr>
        <w:spacing w:after="0"/>
        <w:jc w:val="left"/>
        <w:rPr>
          <w:rFonts w:ascii="宋体" w:hAnsi="宋体" w:cs="宋体" w:eastAsia="宋体" w:hint="default"/>
          <w:sz w:val="28"/>
          <w:szCs w:val="28"/>
        </w:rPr>
        <w:sectPr>
          <w:headerReference w:type="default" r:id="rId169"/>
          <w:footerReference w:type="default" r:id="rId170"/>
          <w:pgSz w:w="11910" w:h="16840"/>
          <w:pgMar w:header="0" w:footer="982" w:top="1600" w:bottom="1180" w:left="1680" w:right="1540"/>
          <w:pgNumType w:start="4"/>
        </w:sectPr>
      </w:pPr>
    </w:p>
    <w:p>
      <w:pPr>
        <w:pStyle w:val="Heading7"/>
        <w:spacing w:line="351" w:lineRule="exact"/>
        <w:ind w:right="0"/>
        <w:jc w:val="both"/>
      </w:pPr>
      <w:r>
        <w:rPr>
          <w:spacing w:val="-5"/>
        </w:rPr>
        <w:t>信息化与工业化融合带来的新机遇，以全业务经营和</w:t>
      </w:r>
      <w:r>
        <w:rPr>
          <w:spacing w:val="-66"/>
        </w:rPr>
        <w:t> </w:t>
      </w:r>
      <w:r>
        <w:rPr/>
        <w:t>3G</w:t>
      </w:r>
      <w:r>
        <w:rPr>
          <w:spacing w:val="-66"/>
        </w:rPr>
        <w:t> </w:t>
      </w:r>
      <w:r>
        <w:rPr/>
        <w:t>发展为引擎，</w:t>
      </w:r>
    </w:p>
    <w:p>
      <w:pPr>
        <w:spacing w:line="240" w:lineRule="auto" w:before="9"/>
        <w:rPr>
          <w:rFonts w:ascii="宋体" w:hAnsi="宋体" w:cs="宋体" w:eastAsia="宋体" w:hint="default"/>
          <w:sz w:val="19"/>
          <w:szCs w:val="19"/>
        </w:rPr>
      </w:pPr>
    </w:p>
    <w:p>
      <w:pPr>
        <w:spacing w:line="408" w:lineRule="auto" w:before="0"/>
        <w:ind w:left="120" w:right="256" w:firstLine="0"/>
        <w:jc w:val="both"/>
        <w:rPr>
          <w:rFonts w:ascii="宋体" w:hAnsi="宋体" w:cs="宋体" w:eastAsia="宋体" w:hint="default"/>
          <w:sz w:val="28"/>
          <w:szCs w:val="28"/>
        </w:rPr>
      </w:pPr>
      <w:r>
        <w:rPr>
          <w:rFonts w:ascii="宋体" w:hAnsi="宋体" w:cs="宋体" w:eastAsia="宋体" w:hint="default"/>
          <w:spacing w:val="-4"/>
          <w:sz w:val="28"/>
          <w:szCs w:val="28"/>
        </w:rPr>
        <w:t>坚持以用户为中心，加强技术、业务、应用和产品创新，推动固定通</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4"/>
          <w:sz w:val="28"/>
          <w:szCs w:val="28"/>
        </w:rPr>
        <w:t>信的移动化和移动通信的宽带化，不断提升公司的综合实力和核心竞</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争力，进一步为社会各界提供高质量的综合信息通信服务。</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3"/>
        <w:rPr>
          <w:rFonts w:ascii="宋体" w:hAnsi="宋体" w:cs="宋体" w:eastAsia="宋体" w:hint="default"/>
          <w:sz w:val="39"/>
          <w:szCs w:val="39"/>
        </w:rPr>
      </w:pPr>
    </w:p>
    <w:p>
      <w:pPr>
        <w:spacing w:before="0"/>
        <w:ind w:left="120" w:right="0" w:firstLine="0"/>
        <w:jc w:val="both"/>
        <w:rPr>
          <w:rFonts w:ascii="黑体" w:hAnsi="黑体" w:cs="黑体" w:eastAsia="黑体" w:hint="default"/>
          <w:sz w:val="36"/>
          <w:szCs w:val="36"/>
        </w:rPr>
      </w:pPr>
      <w:r>
        <w:rPr>
          <w:rFonts w:ascii="黑体" w:hAnsi="黑体" w:cs="黑体" w:eastAsia="黑体" w:hint="default"/>
          <w:b/>
          <w:bCs/>
          <w:sz w:val="36"/>
          <w:szCs w:val="36"/>
        </w:rPr>
        <w:t>秉承传统</w:t>
      </w:r>
      <w:r>
        <w:rPr>
          <w:rFonts w:ascii="黑体" w:hAnsi="黑体" w:cs="黑体" w:eastAsia="黑体" w:hint="default"/>
          <w:b/>
          <w:bCs/>
          <w:spacing w:val="177"/>
          <w:sz w:val="36"/>
          <w:szCs w:val="36"/>
        </w:rPr>
        <w:t> </w:t>
      </w:r>
      <w:r>
        <w:rPr>
          <w:rFonts w:ascii="黑体" w:hAnsi="黑体" w:cs="黑体" w:eastAsia="黑体" w:hint="default"/>
          <w:b/>
          <w:bCs/>
          <w:sz w:val="36"/>
          <w:szCs w:val="36"/>
        </w:rPr>
        <w:t>致力创新</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spacing w:line="408" w:lineRule="auto" w:before="0"/>
        <w:ind w:left="119" w:right="113" w:firstLine="560"/>
        <w:jc w:val="left"/>
        <w:rPr>
          <w:rFonts w:ascii="宋体" w:hAnsi="宋体" w:cs="宋体" w:eastAsia="宋体" w:hint="default"/>
          <w:sz w:val="28"/>
          <w:szCs w:val="28"/>
        </w:rPr>
      </w:pPr>
      <w:r>
        <w:rPr>
          <w:rFonts w:ascii="宋体" w:hAnsi="宋体" w:cs="宋体" w:eastAsia="宋体" w:hint="default"/>
          <w:spacing w:val="-4"/>
          <w:sz w:val="28"/>
          <w:szCs w:val="28"/>
        </w:rPr>
        <w:t>中国联通的公司标识是由中国古代吉祥图形“盘长”纹样演变而</w:t>
      </w:r>
      <w:r>
        <w:rPr>
          <w:rFonts w:ascii="宋体" w:hAnsi="宋体" w:cs="宋体" w:eastAsia="宋体" w:hint="default"/>
          <w:w w:val="99"/>
          <w:sz w:val="28"/>
          <w:szCs w:val="28"/>
        </w:rPr>
        <w:t> </w:t>
      </w:r>
      <w:r>
        <w:rPr>
          <w:rFonts w:ascii="宋体" w:hAnsi="宋体" w:cs="宋体" w:eastAsia="宋体" w:hint="default"/>
          <w:spacing w:val="-8"/>
          <w:w w:val="99"/>
          <w:sz w:val="28"/>
          <w:szCs w:val="28"/>
        </w:rPr>
        <w:t>来。回环贯通的线条，象征着中国联通作为现代电信企业的井然有序、</w:t>
      </w:r>
      <w:r>
        <w:rPr>
          <w:rFonts w:ascii="宋体" w:hAnsi="宋体" w:cs="宋体" w:eastAsia="宋体" w:hint="default"/>
          <w:spacing w:val="-126"/>
          <w:w w:val="99"/>
          <w:sz w:val="28"/>
          <w:szCs w:val="28"/>
        </w:rPr>
        <w:t> </w:t>
      </w:r>
      <w:r>
        <w:rPr>
          <w:rFonts w:ascii="宋体" w:hAnsi="宋体" w:cs="宋体" w:eastAsia="宋体" w:hint="default"/>
          <w:spacing w:val="-126"/>
          <w:w w:val="99"/>
          <w:sz w:val="28"/>
          <w:szCs w:val="28"/>
        </w:rPr>
      </w:r>
      <w:r>
        <w:rPr>
          <w:rFonts w:ascii="宋体" w:hAnsi="宋体" w:cs="宋体" w:eastAsia="宋体" w:hint="default"/>
          <w:spacing w:val="-4"/>
          <w:sz w:val="28"/>
          <w:szCs w:val="28"/>
        </w:rPr>
        <w:t>迅达畅通以及联通事业的无以穷尽，日久天长。中国红与水墨黑的运</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用渲染出热情、奔放、高贵、稳重的品质。</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p>
      <w:pPr>
        <w:spacing w:line="1854" w:lineRule="exact"/>
        <w:ind w:left="960"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343.15pt;height:92.7pt;mso-position-horizontal-relative:char;mso-position-vertical-relative:line" coordorigin="0,0" coordsize="6863,1854">
            <v:shape style="position:absolute;left:4080;top:198;width:2783;height:1656" type="#_x0000_t75" stroked="false">
              <v:imagedata r:id="rId174" o:title=""/>
            </v:shape>
            <v:shape style="position:absolute;left:0;top:0;width:4078;height:1854" type="#_x0000_t75" stroked="false">
              <v:imagedata r:id="rId175" o:title=""/>
            </v:shape>
          </v:group>
        </w:pict>
      </w:r>
      <w:r>
        <w:rPr>
          <w:rFonts w:ascii="宋体" w:hAnsi="宋体" w:cs="宋体" w:eastAsia="宋体" w:hint="default"/>
          <w:position w:val="-36"/>
          <w:sz w:val="20"/>
          <w:szCs w:val="20"/>
        </w:rPr>
      </w:r>
    </w:p>
    <w:p>
      <w:pPr>
        <w:spacing w:line="240" w:lineRule="auto" w:before="0"/>
        <w:rPr>
          <w:rFonts w:ascii="宋体" w:hAnsi="宋体" w:cs="宋体" w:eastAsia="宋体" w:hint="default"/>
          <w:sz w:val="28"/>
          <w:szCs w:val="28"/>
        </w:rPr>
      </w:pPr>
    </w:p>
    <w:p>
      <w:pPr>
        <w:spacing w:line="240" w:lineRule="auto" w:before="11"/>
        <w:rPr>
          <w:rFonts w:ascii="宋体" w:hAnsi="宋体" w:cs="宋体" w:eastAsia="宋体" w:hint="default"/>
          <w:sz w:val="26"/>
          <w:szCs w:val="26"/>
        </w:rPr>
      </w:pPr>
    </w:p>
    <w:p>
      <w:pPr>
        <w:spacing w:line="408" w:lineRule="auto" w:before="0"/>
        <w:ind w:left="119" w:right="113" w:firstLine="570"/>
        <w:jc w:val="left"/>
        <w:rPr>
          <w:rFonts w:ascii="宋体" w:hAnsi="宋体" w:cs="宋体" w:eastAsia="宋体" w:hint="default"/>
          <w:sz w:val="28"/>
          <w:szCs w:val="28"/>
        </w:rPr>
      </w:pPr>
      <w:r>
        <w:rPr>
          <w:rFonts w:ascii="宋体" w:hAnsi="宋体" w:cs="宋体" w:eastAsia="宋体" w:hint="default"/>
          <w:spacing w:val="-4"/>
          <w:sz w:val="28"/>
          <w:szCs w:val="28"/>
        </w:rPr>
        <w:t>源于传统，不断创新。</w:t>
      </w:r>
      <w:r>
        <w:rPr>
          <w:rFonts w:ascii="宋体" w:hAnsi="宋体" w:cs="宋体" w:eastAsia="宋体" w:hint="default"/>
          <w:color w:val="323232"/>
          <w:spacing w:val="-4"/>
          <w:sz w:val="28"/>
          <w:szCs w:val="28"/>
        </w:rPr>
        <w:t>为适应全业务经营的要求，中国联通推出</w:t>
      </w:r>
      <w:r>
        <w:rPr>
          <w:rFonts w:ascii="宋体" w:hAnsi="宋体" w:cs="宋体" w:eastAsia="宋体" w:hint="default"/>
          <w:color w:val="323232"/>
          <w:w w:val="99"/>
          <w:sz w:val="28"/>
          <w:szCs w:val="28"/>
        </w:rPr>
        <w:t> </w:t>
      </w:r>
      <w:r>
        <w:rPr>
          <w:rFonts w:ascii="宋体" w:hAnsi="宋体" w:cs="宋体" w:eastAsia="宋体" w:hint="default"/>
          <w:color w:val="323232"/>
          <w:spacing w:val="-8"/>
          <w:sz w:val="28"/>
          <w:szCs w:val="28"/>
        </w:rPr>
        <w:t>了全业务品牌“沃”，其中文名称“沃”与英文名称“WO”发音相近，</w:t>
      </w:r>
      <w:r>
        <w:rPr>
          <w:rFonts w:ascii="宋体" w:hAnsi="宋体" w:cs="宋体" w:eastAsia="宋体" w:hint="default"/>
          <w:color w:val="323232"/>
          <w:spacing w:val="-131"/>
          <w:sz w:val="28"/>
          <w:szCs w:val="28"/>
        </w:rPr>
        <w:t> </w:t>
      </w:r>
      <w:r>
        <w:rPr>
          <w:rFonts w:ascii="宋体" w:hAnsi="宋体" w:cs="宋体" w:eastAsia="宋体" w:hint="default"/>
          <w:color w:val="323232"/>
          <w:spacing w:val="-131"/>
          <w:sz w:val="28"/>
          <w:szCs w:val="28"/>
        </w:rPr>
      </w:r>
      <w:r>
        <w:rPr>
          <w:rFonts w:ascii="宋体" w:hAnsi="宋体" w:cs="宋体" w:eastAsia="宋体" w:hint="default"/>
          <w:color w:val="323232"/>
          <w:spacing w:val="-4"/>
          <w:sz w:val="28"/>
          <w:szCs w:val="28"/>
        </w:rPr>
        <w:t>意在表达对创新改变世界的一种惊叹，表达了想象力放飞带来的无限</w:t>
      </w:r>
      <w:r>
        <w:rPr>
          <w:rFonts w:ascii="宋体" w:hAnsi="宋体" w:cs="宋体" w:eastAsia="宋体" w:hint="default"/>
          <w:color w:val="323232"/>
          <w:spacing w:val="-125"/>
          <w:sz w:val="28"/>
          <w:szCs w:val="28"/>
        </w:rPr>
        <w:t> </w:t>
      </w:r>
      <w:r>
        <w:rPr>
          <w:rFonts w:ascii="宋体" w:hAnsi="宋体" w:cs="宋体" w:eastAsia="宋体" w:hint="default"/>
          <w:color w:val="323232"/>
          <w:spacing w:val="-125"/>
          <w:sz w:val="28"/>
          <w:szCs w:val="28"/>
        </w:rPr>
      </w:r>
      <w:r>
        <w:rPr>
          <w:rFonts w:ascii="宋体" w:hAnsi="宋体" w:cs="宋体" w:eastAsia="宋体" w:hint="default"/>
          <w:color w:val="323232"/>
          <w:spacing w:val="-8"/>
          <w:sz w:val="28"/>
          <w:szCs w:val="28"/>
        </w:rPr>
        <w:t>惊喜。整个品牌标识图形设计取自中国联通标识“中国结”的一部分，</w:t>
      </w:r>
      <w:r>
        <w:rPr>
          <w:rFonts w:ascii="宋体" w:hAnsi="宋体" w:cs="宋体" w:eastAsia="宋体" w:hint="default"/>
          <w:color w:val="323232"/>
          <w:spacing w:val="-137"/>
          <w:sz w:val="28"/>
          <w:szCs w:val="28"/>
        </w:rPr>
        <w:t> </w:t>
      </w:r>
      <w:r>
        <w:rPr>
          <w:rFonts w:ascii="宋体" w:hAnsi="宋体" w:cs="宋体" w:eastAsia="宋体" w:hint="default"/>
          <w:color w:val="323232"/>
          <w:spacing w:val="-137"/>
          <w:sz w:val="28"/>
          <w:szCs w:val="28"/>
        </w:rPr>
      </w:r>
      <w:r>
        <w:rPr>
          <w:rFonts w:ascii="宋体" w:hAnsi="宋体" w:cs="宋体" w:eastAsia="宋体" w:hint="default"/>
          <w:color w:val="323232"/>
          <w:spacing w:val="-4"/>
          <w:sz w:val="28"/>
          <w:szCs w:val="28"/>
        </w:rPr>
        <w:t>寄寓了传承与突破的双重含义：明亮、跳跃的橘红色，时尚、动感又</w:t>
      </w:r>
      <w:r>
        <w:rPr>
          <w:rFonts w:ascii="宋体" w:hAnsi="宋体" w:cs="宋体" w:eastAsia="宋体" w:hint="default"/>
          <w:spacing w:val="-4"/>
          <w:sz w:val="28"/>
          <w:szCs w:val="28"/>
        </w:rPr>
      </w:r>
    </w:p>
    <w:p>
      <w:pPr>
        <w:spacing w:after="0" w:line="408" w:lineRule="auto"/>
        <w:jc w:val="left"/>
        <w:rPr>
          <w:rFonts w:ascii="宋体" w:hAnsi="宋体" w:cs="宋体" w:eastAsia="宋体" w:hint="default"/>
          <w:sz w:val="28"/>
          <w:szCs w:val="28"/>
        </w:rPr>
        <w:sectPr>
          <w:headerReference w:type="default" r:id="rId172"/>
          <w:footerReference w:type="default" r:id="rId173"/>
          <w:pgSz w:w="11910" w:h="16840"/>
          <w:pgMar w:header="0" w:footer="982" w:top="1540" w:bottom="1180" w:left="1680" w:right="1540"/>
          <w:pgNumType w:start="5"/>
        </w:sectPr>
      </w:pPr>
    </w:p>
    <w:p>
      <w:pPr>
        <w:pStyle w:val="Heading7"/>
        <w:spacing w:line="351" w:lineRule="exact"/>
        <w:ind w:left="119" w:right="144"/>
        <w:jc w:val="left"/>
      </w:pPr>
      <w:r>
        <w:rPr>
          <w:color w:val="323232"/>
          <w:spacing w:val="-4"/>
        </w:rPr>
        <w:t>兼具亲和力；突破传统的对称设计风格，进一步体现出敢于创新、不</w:t>
      </w:r>
      <w:r>
        <w:rPr>
          <w:spacing w:val="-4"/>
        </w:rPr>
      </w:r>
    </w:p>
    <w:p>
      <w:pPr>
        <w:spacing w:line="240" w:lineRule="auto" w:before="9"/>
        <w:rPr>
          <w:rFonts w:ascii="宋体" w:hAnsi="宋体" w:cs="宋体" w:eastAsia="宋体" w:hint="default"/>
          <w:sz w:val="19"/>
          <w:szCs w:val="19"/>
        </w:rPr>
      </w:pPr>
    </w:p>
    <w:p>
      <w:pPr>
        <w:spacing w:line="408" w:lineRule="auto" w:before="0"/>
        <w:ind w:left="119" w:right="113" w:firstLine="0"/>
        <w:jc w:val="left"/>
        <w:rPr>
          <w:rFonts w:ascii="宋体" w:hAnsi="宋体" w:cs="宋体" w:eastAsia="宋体" w:hint="default"/>
          <w:sz w:val="28"/>
          <w:szCs w:val="28"/>
        </w:rPr>
      </w:pPr>
      <w:r>
        <w:rPr>
          <w:rFonts w:ascii="宋体" w:hAnsi="宋体" w:cs="宋体" w:eastAsia="宋体" w:hint="default"/>
          <w:color w:val="323232"/>
          <w:spacing w:val="-4"/>
          <w:sz w:val="28"/>
          <w:szCs w:val="28"/>
        </w:rPr>
        <w:t>懈努力、始终向前的精神理念。同时，中文“沃”也寓意着中国联通</w:t>
      </w:r>
      <w:r>
        <w:rPr>
          <w:rFonts w:ascii="宋体" w:hAnsi="宋体" w:cs="宋体" w:eastAsia="宋体" w:hint="default"/>
          <w:color w:val="323232"/>
          <w:spacing w:val="-129"/>
          <w:sz w:val="28"/>
          <w:szCs w:val="28"/>
        </w:rPr>
        <w:t> </w:t>
      </w:r>
      <w:r>
        <w:rPr>
          <w:rFonts w:ascii="宋体" w:hAnsi="宋体" w:cs="宋体" w:eastAsia="宋体" w:hint="default"/>
          <w:color w:val="323232"/>
          <w:spacing w:val="-129"/>
          <w:sz w:val="28"/>
          <w:szCs w:val="28"/>
        </w:rPr>
      </w:r>
      <w:r>
        <w:rPr>
          <w:rFonts w:ascii="宋体" w:hAnsi="宋体" w:cs="宋体" w:eastAsia="宋体" w:hint="default"/>
          <w:color w:val="323232"/>
          <w:spacing w:val="-8"/>
          <w:w w:val="99"/>
          <w:sz w:val="28"/>
          <w:szCs w:val="28"/>
        </w:rPr>
        <w:t>站在新的历史起点上，积极联合产业链众多合作伙伴，加大发展力度，</w:t>
      </w:r>
      <w:r>
        <w:rPr>
          <w:rFonts w:ascii="宋体" w:hAnsi="宋体" w:cs="宋体" w:eastAsia="宋体" w:hint="default"/>
          <w:color w:val="323232"/>
          <w:spacing w:val="-125"/>
          <w:w w:val="99"/>
          <w:sz w:val="28"/>
          <w:szCs w:val="28"/>
        </w:rPr>
        <w:t> </w:t>
      </w:r>
      <w:r>
        <w:rPr>
          <w:rFonts w:ascii="宋体" w:hAnsi="宋体" w:cs="宋体" w:eastAsia="宋体" w:hint="default"/>
          <w:color w:val="323232"/>
          <w:spacing w:val="-125"/>
          <w:w w:val="99"/>
          <w:sz w:val="28"/>
          <w:szCs w:val="28"/>
        </w:rPr>
      </w:r>
      <w:r>
        <w:rPr>
          <w:rFonts w:ascii="宋体" w:hAnsi="宋体" w:cs="宋体" w:eastAsia="宋体" w:hint="default"/>
          <w:color w:val="323232"/>
          <w:sz w:val="28"/>
          <w:szCs w:val="28"/>
        </w:rPr>
        <w:t>提升服务水平，改善用户感知，借助更创新的品牌、更优质的网络、</w:t>
      </w:r>
      <w:r>
        <w:rPr>
          <w:rFonts w:ascii="宋体" w:hAnsi="宋体" w:cs="宋体" w:eastAsia="宋体" w:hint="default"/>
          <w:color w:val="323232"/>
          <w:w w:val="99"/>
          <w:sz w:val="28"/>
          <w:szCs w:val="28"/>
        </w:rPr>
        <w:t> </w:t>
      </w:r>
      <w:r>
        <w:rPr>
          <w:rFonts w:ascii="宋体" w:hAnsi="宋体" w:cs="宋体" w:eastAsia="宋体" w:hint="default"/>
          <w:color w:val="323232"/>
          <w:spacing w:val="-4"/>
          <w:sz w:val="28"/>
          <w:szCs w:val="28"/>
        </w:rPr>
        <w:t>更周到的服务和更丰富的业务，为广大用户带来耳目一新的人性化沟</w:t>
      </w:r>
      <w:r>
        <w:rPr>
          <w:rFonts w:ascii="宋体" w:hAnsi="宋体" w:cs="宋体" w:eastAsia="宋体" w:hint="default"/>
          <w:color w:val="323232"/>
          <w:spacing w:val="-124"/>
          <w:sz w:val="28"/>
          <w:szCs w:val="28"/>
        </w:rPr>
        <w:t> </w:t>
      </w:r>
      <w:r>
        <w:rPr>
          <w:rFonts w:ascii="宋体" w:hAnsi="宋体" w:cs="宋体" w:eastAsia="宋体" w:hint="default"/>
          <w:color w:val="323232"/>
          <w:spacing w:val="-124"/>
          <w:sz w:val="28"/>
          <w:szCs w:val="28"/>
        </w:rPr>
      </w:r>
      <w:r>
        <w:rPr>
          <w:rFonts w:ascii="宋体" w:hAnsi="宋体" w:cs="宋体" w:eastAsia="宋体" w:hint="default"/>
          <w:color w:val="323232"/>
          <w:sz w:val="28"/>
          <w:szCs w:val="28"/>
        </w:rPr>
        <w:t>通体验，让广大用户真正感受到“精彩在‘沃’”的巨大魅力。</w:t>
      </w:r>
      <w:r>
        <w:rPr>
          <w:rFonts w:ascii="宋体" w:hAnsi="宋体" w:cs="宋体" w:eastAsia="宋体" w:hint="default"/>
          <w:sz w:val="28"/>
          <w:szCs w:val="28"/>
        </w:rPr>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3"/>
        <w:rPr>
          <w:rFonts w:ascii="宋体" w:hAnsi="宋体" w:cs="宋体" w:eastAsia="宋体" w:hint="default"/>
          <w:sz w:val="39"/>
          <w:szCs w:val="39"/>
        </w:rPr>
      </w:pPr>
    </w:p>
    <w:p>
      <w:pPr>
        <w:spacing w:before="0"/>
        <w:ind w:left="120" w:right="144" w:firstLine="0"/>
        <w:jc w:val="left"/>
        <w:rPr>
          <w:rFonts w:ascii="黑体" w:hAnsi="黑体" w:cs="黑体" w:eastAsia="黑体" w:hint="default"/>
          <w:sz w:val="36"/>
          <w:szCs w:val="36"/>
        </w:rPr>
      </w:pPr>
      <w:r>
        <w:rPr>
          <w:rFonts w:ascii="黑体" w:hAnsi="黑体" w:cs="黑体" w:eastAsia="黑体" w:hint="default"/>
          <w:b/>
          <w:bCs/>
          <w:sz w:val="36"/>
          <w:szCs w:val="36"/>
        </w:rPr>
        <w:t>管理团队</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spacing w:line="408" w:lineRule="auto" w:before="0"/>
        <w:ind w:left="120" w:right="144" w:firstLine="0"/>
        <w:jc w:val="left"/>
        <w:rPr>
          <w:rFonts w:ascii="宋体" w:hAnsi="宋体" w:cs="宋体" w:eastAsia="宋体" w:hint="default"/>
          <w:sz w:val="28"/>
          <w:szCs w:val="28"/>
        </w:rPr>
      </w:pPr>
      <w:r>
        <w:rPr>
          <w:rFonts w:ascii="宋体" w:hAnsi="宋体" w:cs="宋体" w:eastAsia="宋体" w:hint="default"/>
          <w:sz w:val="28"/>
          <w:szCs w:val="28"/>
        </w:rPr>
        <w:t>常小兵先生，52 岁，中国联通公司董事长。常先生拥有工商管理博</w:t>
      </w:r>
      <w:r>
        <w:rPr>
          <w:rFonts w:ascii="宋体" w:hAnsi="宋体" w:cs="宋体" w:eastAsia="宋体" w:hint="default"/>
          <w:spacing w:val="-97"/>
          <w:sz w:val="28"/>
          <w:szCs w:val="28"/>
        </w:rPr>
        <w:t> </w:t>
      </w:r>
      <w:r>
        <w:rPr>
          <w:rFonts w:ascii="宋体" w:hAnsi="宋体" w:cs="宋体" w:eastAsia="宋体" w:hint="default"/>
          <w:spacing w:val="-97"/>
          <w:sz w:val="28"/>
          <w:szCs w:val="28"/>
        </w:rPr>
      </w:r>
      <w:r>
        <w:rPr>
          <w:rFonts w:ascii="宋体" w:hAnsi="宋体" w:cs="宋体" w:eastAsia="宋体" w:hint="default"/>
          <w:sz w:val="28"/>
          <w:szCs w:val="28"/>
        </w:rPr>
        <w:t>士学位，教授级高级工程师，具有丰富的电信行业管理和从业经验。</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20" w:right="252" w:firstLine="0"/>
        <w:jc w:val="both"/>
        <w:rPr>
          <w:rFonts w:ascii="宋体" w:hAnsi="宋体" w:cs="宋体" w:eastAsia="宋体" w:hint="default"/>
          <w:sz w:val="28"/>
          <w:szCs w:val="28"/>
        </w:rPr>
      </w:pPr>
      <w:r>
        <w:rPr>
          <w:rFonts w:ascii="宋体" w:hAnsi="宋体" w:cs="宋体" w:eastAsia="宋体" w:hint="default"/>
          <w:sz w:val="28"/>
          <w:szCs w:val="28"/>
        </w:rPr>
        <w:t>陆益民先生，46</w:t>
      </w:r>
      <w:r>
        <w:rPr>
          <w:rFonts w:ascii="宋体" w:hAnsi="宋体" w:cs="宋体" w:eastAsia="宋体" w:hint="default"/>
          <w:spacing w:val="39"/>
          <w:sz w:val="28"/>
          <w:szCs w:val="28"/>
        </w:rPr>
        <w:t> </w:t>
      </w:r>
      <w:r>
        <w:rPr>
          <w:rFonts w:ascii="宋体" w:hAnsi="宋体" w:cs="宋体" w:eastAsia="宋体" w:hint="default"/>
          <w:sz w:val="28"/>
          <w:szCs w:val="28"/>
        </w:rPr>
        <w:t>岁，中国联通公司副董事长及总经理。陆先生拥有</w:t>
      </w:r>
      <w:r>
        <w:rPr>
          <w:rFonts w:ascii="宋体" w:hAnsi="宋体" w:cs="宋体" w:eastAsia="宋体" w:hint="default"/>
          <w:spacing w:val="-136"/>
          <w:sz w:val="28"/>
          <w:szCs w:val="28"/>
        </w:rPr>
        <w:t> </w:t>
      </w:r>
      <w:r>
        <w:rPr>
          <w:rFonts w:ascii="宋体" w:hAnsi="宋体" w:cs="宋体" w:eastAsia="宋体" w:hint="default"/>
          <w:spacing w:val="-136"/>
          <w:sz w:val="28"/>
          <w:szCs w:val="28"/>
        </w:rPr>
      </w:r>
      <w:r>
        <w:rPr>
          <w:rFonts w:ascii="宋体" w:hAnsi="宋体" w:cs="宋体" w:eastAsia="宋体" w:hint="default"/>
          <w:spacing w:val="-4"/>
          <w:sz w:val="28"/>
          <w:szCs w:val="28"/>
        </w:rPr>
        <w:t>公共管理专业硕士学位，教授级高级工程师，具有丰富的政府工作经</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历和管理经验。</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19" w:right="247" w:firstLine="0"/>
        <w:jc w:val="left"/>
        <w:rPr>
          <w:rFonts w:ascii="宋体" w:hAnsi="宋体" w:cs="宋体" w:eastAsia="宋体" w:hint="default"/>
          <w:sz w:val="28"/>
          <w:szCs w:val="28"/>
        </w:rPr>
      </w:pPr>
      <w:r>
        <w:rPr>
          <w:rFonts w:ascii="宋体" w:hAnsi="宋体" w:cs="宋体" w:eastAsia="宋体" w:hint="default"/>
          <w:sz w:val="28"/>
          <w:szCs w:val="28"/>
        </w:rPr>
        <w:t>左迅生先生，59</w:t>
      </w:r>
      <w:r>
        <w:rPr>
          <w:rFonts w:ascii="宋体" w:hAnsi="宋体" w:cs="宋体" w:eastAsia="宋体" w:hint="default"/>
          <w:spacing w:val="38"/>
          <w:sz w:val="28"/>
          <w:szCs w:val="28"/>
        </w:rPr>
        <w:t> </w:t>
      </w:r>
      <w:r>
        <w:rPr>
          <w:rFonts w:ascii="宋体" w:hAnsi="宋体" w:cs="宋体" w:eastAsia="宋体" w:hint="default"/>
          <w:sz w:val="28"/>
          <w:szCs w:val="28"/>
        </w:rPr>
        <w:t>岁，中国联通公司副董事长及副总经理。左先生拥</w:t>
      </w:r>
      <w:r>
        <w:rPr>
          <w:rFonts w:ascii="宋体" w:hAnsi="宋体" w:cs="宋体" w:eastAsia="宋体" w:hint="default"/>
          <w:spacing w:val="-136"/>
          <w:sz w:val="28"/>
          <w:szCs w:val="28"/>
        </w:rPr>
        <w:t> </w:t>
      </w:r>
      <w:r>
        <w:rPr>
          <w:rFonts w:ascii="宋体" w:hAnsi="宋体" w:cs="宋体" w:eastAsia="宋体" w:hint="default"/>
          <w:spacing w:val="-136"/>
          <w:sz w:val="28"/>
          <w:szCs w:val="28"/>
        </w:rPr>
      </w:r>
      <w:r>
        <w:rPr>
          <w:rFonts w:ascii="宋体" w:hAnsi="宋体" w:cs="宋体" w:eastAsia="宋体" w:hint="default"/>
          <w:sz w:val="28"/>
          <w:szCs w:val="28"/>
        </w:rPr>
        <w:t>有工商管理硕士学位，长期在电信业工作，具有丰富的管理经验。</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20" w:right="245" w:firstLine="0"/>
        <w:jc w:val="left"/>
        <w:rPr>
          <w:rFonts w:ascii="宋体" w:hAnsi="宋体" w:cs="宋体" w:eastAsia="宋体" w:hint="default"/>
          <w:sz w:val="28"/>
          <w:szCs w:val="28"/>
        </w:rPr>
      </w:pPr>
      <w:r>
        <w:rPr>
          <w:rFonts w:ascii="宋体" w:hAnsi="宋体" w:cs="宋体" w:eastAsia="宋体" w:hint="default"/>
          <w:sz w:val="28"/>
          <w:szCs w:val="28"/>
        </w:rPr>
        <w:t>佟吉禄先生，51</w:t>
      </w:r>
      <w:r>
        <w:rPr>
          <w:rFonts w:ascii="宋体" w:hAnsi="宋体" w:cs="宋体" w:eastAsia="宋体" w:hint="default"/>
          <w:spacing w:val="39"/>
          <w:sz w:val="28"/>
          <w:szCs w:val="28"/>
        </w:rPr>
        <w:t> </w:t>
      </w:r>
      <w:r>
        <w:rPr>
          <w:rFonts w:ascii="宋体" w:hAnsi="宋体" w:cs="宋体" w:eastAsia="宋体" w:hint="default"/>
          <w:sz w:val="28"/>
          <w:szCs w:val="28"/>
        </w:rPr>
        <w:t>岁，中国联通公司董事、副总经理、总会计师。佟</w:t>
      </w:r>
      <w:r>
        <w:rPr>
          <w:rFonts w:ascii="宋体" w:hAnsi="宋体" w:cs="宋体" w:eastAsia="宋体" w:hint="default"/>
          <w:spacing w:val="-136"/>
          <w:sz w:val="28"/>
          <w:szCs w:val="28"/>
        </w:rPr>
        <w:t> </w:t>
      </w:r>
      <w:r>
        <w:rPr>
          <w:rFonts w:ascii="宋体" w:hAnsi="宋体" w:cs="宋体" w:eastAsia="宋体" w:hint="default"/>
          <w:spacing w:val="-136"/>
          <w:sz w:val="28"/>
          <w:szCs w:val="28"/>
        </w:rPr>
      </w:r>
      <w:r>
        <w:rPr>
          <w:rFonts w:ascii="宋体" w:hAnsi="宋体" w:cs="宋体" w:eastAsia="宋体" w:hint="default"/>
          <w:spacing w:val="-4"/>
          <w:sz w:val="28"/>
          <w:szCs w:val="28"/>
        </w:rPr>
        <w:t>先生拥有工商管理硕士学位，具有丰富的电信企业管理经验和上市公</w:t>
      </w:r>
    </w:p>
    <w:p>
      <w:pPr>
        <w:spacing w:after="0" w:line="408" w:lineRule="auto"/>
        <w:jc w:val="left"/>
        <w:rPr>
          <w:rFonts w:ascii="宋体" w:hAnsi="宋体" w:cs="宋体" w:eastAsia="宋体" w:hint="default"/>
          <w:sz w:val="28"/>
          <w:szCs w:val="28"/>
        </w:rPr>
        <w:sectPr>
          <w:headerReference w:type="default" r:id="rId176"/>
          <w:footerReference w:type="default" r:id="rId177"/>
          <w:pgSz w:w="11910" w:h="16840"/>
          <w:pgMar w:header="0" w:footer="982" w:top="1540" w:bottom="1180" w:left="1680" w:right="1540"/>
          <w:pgNumType w:start="6"/>
        </w:sectPr>
      </w:pPr>
    </w:p>
    <w:p>
      <w:pPr>
        <w:pStyle w:val="Heading7"/>
        <w:spacing w:line="351" w:lineRule="exact"/>
        <w:ind w:right="144"/>
        <w:jc w:val="left"/>
      </w:pPr>
      <w:r>
        <w:rPr/>
        <w:t>司财务管理经验。</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39"/>
          <w:szCs w:val="39"/>
        </w:rPr>
      </w:pPr>
    </w:p>
    <w:p>
      <w:pPr>
        <w:spacing w:line="408" w:lineRule="auto" w:before="0"/>
        <w:ind w:left="119" w:right="113" w:firstLine="0"/>
        <w:jc w:val="left"/>
        <w:rPr>
          <w:rFonts w:ascii="宋体" w:hAnsi="宋体" w:cs="宋体" w:eastAsia="宋体" w:hint="default"/>
          <w:sz w:val="28"/>
          <w:szCs w:val="28"/>
        </w:rPr>
      </w:pPr>
      <w:r>
        <w:rPr>
          <w:rFonts w:ascii="宋体" w:hAnsi="宋体" w:cs="宋体" w:eastAsia="宋体" w:hint="default"/>
          <w:sz w:val="28"/>
          <w:szCs w:val="28"/>
        </w:rPr>
        <w:t>李建国女士，56 岁，担任中国联通公司高级管理职务。李女士拥有</w:t>
      </w:r>
      <w:r>
        <w:rPr>
          <w:rFonts w:ascii="宋体" w:hAnsi="宋体" w:cs="宋体" w:eastAsia="宋体" w:hint="default"/>
          <w:spacing w:val="-97"/>
          <w:sz w:val="28"/>
          <w:szCs w:val="28"/>
        </w:rPr>
        <w:t> </w:t>
      </w:r>
      <w:r>
        <w:rPr>
          <w:rFonts w:ascii="宋体" w:hAnsi="宋体" w:cs="宋体" w:eastAsia="宋体" w:hint="default"/>
          <w:spacing w:val="-97"/>
          <w:sz w:val="28"/>
          <w:szCs w:val="28"/>
        </w:rPr>
      </w:r>
      <w:r>
        <w:rPr>
          <w:rFonts w:ascii="宋体" w:hAnsi="宋体" w:cs="宋体" w:eastAsia="宋体" w:hint="default"/>
          <w:spacing w:val="-8"/>
          <w:w w:val="99"/>
          <w:sz w:val="28"/>
          <w:szCs w:val="28"/>
        </w:rPr>
        <w:t>工商管理硕士学位，长期在企业、地方政府和国家部委担任领导职务，</w:t>
      </w:r>
      <w:r>
        <w:rPr>
          <w:rFonts w:ascii="宋体" w:hAnsi="宋体" w:cs="宋体" w:eastAsia="宋体" w:hint="default"/>
          <w:spacing w:val="-126"/>
          <w:w w:val="99"/>
          <w:sz w:val="28"/>
          <w:szCs w:val="28"/>
        </w:rPr>
        <w:t> </w:t>
      </w:r>
      <w:r>
        <w:rPr>
          <w:rFonts w:ascii="宋体" w:hAnsi="宋体" w:cs="宋体" w:eastAsia="宋体" w:hint="default"/>
          <w:spacing w:val="-126"/>
          <w:w w:val="99"/>
          <w:sz w:val="28"/>
          <w:szCs w:val="28"/>
        </w:rPr>
      </w:r>
      <w:r>
        <w:rPr>
          <w:rFonts w:ascii="宋体" w:hAnsi="宋体" w:cs="宋体" w:eastAsia="宋体" w:hint="default"/>
          <w:sz w:val="28"/>
          <w:szCs w:val="28"/>
        </w:rPr>
        <w:t>具有丰富的政府、企业工作经历和管理经验。</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19" w:right="252" w:firstLine="0"/>
        <w:jc w:val="both"/>
        <w:rPr>
          <w:rFonts w:ascii="宋体" w:hAnsi="宋体" w:cs="宋体" w:eastAsia="宋体" w:hint="default"/>
          <w:sz w:val="28"/>
          <w:szCs w:val="28"/>
        </w:rPr>
      </w:pPr>
      <w:r>
        <w:rPr>
          <w:rFonts w:ascii="宋体" w:hAnsi="宋体" w:cs="宋体" w:eastAsia="宋体" w:hint="default"/>
          <w:sz w:val="28"/>
          <w:szCs w:val="28"/>
        </w:rPr>
        <w:t>裴爱华先生，59</w:t>
      </w:r>
      <w:r>
        <w:rPr>
          <w:rFonts w:ascii="宋体" w:hAnsi="宋体" w:cs="宋体" w:eastAsia="宋体" w:hint="default"/>
          <w:spacing w:val="38"/>
          <w:sz w:val="28"/>
          <w:szCs w:val="28"/>
        </w:rPr>
        <w:t> </w:t>
      </w:r>
      <w:r>
        <w:rPr>
          <w:rFonts w:ascii="宋体" w:hAnsi="宋体" w:cs="宋体" w:eastAsia="宋体" w:hint="default"/>
          <w:sz w:val="28"/>
          <w:szCs w:val="28"/>
        </w:rPr>
        <w:t>岁，中国联通公司副总经理。裴先生拥有管理学博</w:t>
      </w:r>
      <w:r>
        <w:rPr>
          <w:rFonts w:ascii="宋体" w:hAnsi="宋体" w:cs="宋体" w:eastAsia="宋体" w:hint="default"/>
          <w:spacing w:val="-136"/>
          <w:sz w:val="28"/>
          <w:szCs w:val="28"/>
        </w:rPr>
        <w:t> </w:t>
      </w:r>
      <w:r>
        <w:rPr>
          <w:rFonts w:ascii="宋体" w:hAnsi="宋体" w:cs="宋体" w:eastAsia="宋体" w:hint="default"/>
          <w:spacing w:val="-136"/>
          <w:sz w:val="28"/>
          <w:szCs w:val="28"/>
        </w:rPr>
      </w:r>
      <w:r>
        <w:rPr>
          <w:rFonts w:ascii="宋体" w:hAnsi="宋体" w:cs="宋体" w:eastAsia="宋体" w:hint="default"/>
          <w:spacing w:val="-4"/>
          <w:sz w:val="28"/>
          <w:szCs w:val="28"/>
        </w:rPr>
        <w:t>士学位，教授级高级工程师，长期在政府和电信行业工作，具有丰富</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的管理经验。</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19" w:right="247" w:firstLine="0"/>
        <w:jc w:val="left"/>
        <w:rPr>
          <w:rFonts w:ascii="宋体" w:hAnsi="宋体" w:cs="宋体" w:eastAsia="宋体" w:hint="default"/>
          <w:sz w:val="28"/>
          <w:szCs w:val="28"/>
        </w:rPr>
      </w:pPr>
      <w:r>
        <w:rPr>
          <w:rFonts w:ascii="宋体" w:hAnsi="宋体" w:cs="宋体" w:eastAsia="宋体" w:hint="default"/>
          <w:sz w:val="28"/>
          <w:szCs w:val="28"/>
        </w:rPr>
        <w:t>赵继东先生，59</w:t>
      </w:r>
      <w:r>
        <w:rPr>
          <w:rFonts w:ascii="宋体" w:hAnsi="宋体" w:cs="宋体" w:eastAsia="宋体" w:hint="default"/>
          <w:spacing w:val="38"/>
          <w:sz w:val="28"/>
          <w:szCs w:val="28"/>
        </w:rPr>
        <w:t> </w:t>
      </w:r>
      <w:r>
        <w:rPr>
          <w:rFonts w:ascii="宋体" w:hAnsi="宋体" w:cs="宋体" w:eastAsia="宋体" w:hint="default"/>
          <w:sz w:val="28"/>
          <w:szCs w:val="28"/>
        </w:rPr>
        <w:t>岁，中国联通公司副总经理。赵先生拥有信息通讯</w:t>
      </w:r>
      <w:r>
        <w:rPr>
          <w:rFonts w:ascii="宋体" w:hAnsi="宋体" w:cs="宋体" w:eastAsia="宋体" w:hint="default"/>
          <w:spacing w:val="-136"/>
          <w:sz w:val="28"/>
          <w:szCs w:val="28"/>
        </w:rPr>
        <w:t> </w:t>
      </w:r>
      <w:r>
        <w:rPr>
          <w:rFonts w:ascii="宋体" w:hAnsi="宋体" w:cs="宋体" w:eastAsia="宋体" w:hint="default"/>
          <w:spacing w:val="-136"/>
          <w:sz w:val="28"/>
          <w:szCs w:val="28"/>
        </w:rPr>
      </w:r>
      <w:r>
        <w:rPr>
          <w:rFonts w:ascii="宋体" w:hAnsi="宋体" w:cs="宋体" w:eastAsia="宋体" w:hint="default"/>
          <w:sz w:val="28"/>
          <w:szCs w:val="28"/>
        </w:rPr>
        <w:t>管理硕士学位，长期在电信行业工作，具有丰富的管理经验。</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19" w:right="247" w:firstLine="0"/>
        <w:jc w:val="left"/>
        <w:rPr>
          <w:rFonts w:ascii="宋体" w:hAnsi="宋体" w:cs="宋体" w:eastAsia="宋体" w:hint="default"/>
          <w:sz w:val="28"/>
          <w:szCs w:val="28"/>
        </w:rPr>
      </w:pPr>
      <w:r>
        <w:rPr>
          <w:rFonts w:ascii="宋体" w:hAnsi="宋体" w:cs="宋体" w:eastAsia="宋体" w:hint="default"/>
          <w:sz w:val="28"/>
          <w:szCs w:val="28"/>
        </w:rPr>
        <w:t>李福申先生，47</w:t>
      </w:r>
      <w:r>
        <w:rPr>
          <w:rFonts w:ascii="宋体" w:hAnsi="宋体" w:cs="宋体" w:eastAsia="宋体" w:hint="default"/>
          <w:spacing w:val="38"/>
          <w:sz w:val="28"/>
          <w:szCs w:val="28"/>
        </w:rPr>
        <w:t> </w:t>
      </w:r>
      <w:r>
        <w:rPr>
          <w:rFonts w:ascii="宋体" w:hAnsi="宋体" w:cs="宋体" w:eastAsia="宋体" w:hint="default"/>
          <w:sz w:val="28"/>
          <w:szCs w:val="28"/>
        </w:rPr>
        <w:t>岁，中国联通公司副总经理。李先生拥有管理学硕</w:t>
      </w:r>
      <w:r>
        <w:rPr>
          <w:rFonts w:ascii="宋体" w:hAnsi="宋体" w:cs="宋体" w:eastAsia="宋体" w:hint="default"/>
          <w:spacing w:val="-136"/>
          <w:sz w:val="28"/>
          <w:szCs w:val="28"/>
        </w:rPr>
        <w:t> </w:t>
      </w:r>
      <w:r>
        <w:rPr>
          <w:rFonts w:ascii="宋体" w:hAnsi="宋体" w:cs="宋体" w:eastAsia="宋体" w:hint="default"/>
          <w:spacing w:val="-136"/>
          <w:sz w:val="28"/>
          <w:szCs w:val="28"/>
        </w:rPr>
      </w:r>
      <w:r>
        <w:rPr>
          <w:rFonts w:ascii="宋体" w:hAnsi="宋体" w:cs="宋体" w:eastAsia="宋体" w:hint="default"/>
          <w:sz w:val="28"/>
          <w:szCs w:val="28"/>
        </w:rPr>
        <w:t>士学位，长期在电信行业工作，具有丰富的管理经验。</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tabs>
          <w:tab w:pos="684" w:val="left" w:leader="none"/>
        </w:tabs>
        <w:spacing w:line="408" w:lineRule="auto" w:before="0"/>
        <w:ind w:left="119" w:right="252" w:firstLine="0"/>
        <w:jc w:val="left"/>
        <w:rPr>
          <w:rFonts w:ascii="宋体" w:hAnsi="宋体" w:cs="宋体" w:eastAsia="宋体" w:hint="default"/>
          <w:sz w:val="28"/>
          <w:szCs w:val="28"/>
        </w:rPr>
      </w:pPr>
      <w:r>
        <w:rPr>
          <w:rFonts w:ascii="宋体" w:hAnsi="宋体" w:cs="宋体" w:eastAsia="宋体" w:hint="default"/>
          <w:w w:val="95"/>
          <w:sz w:val="28"/>
          <w:szCs w:val="28"/>
        </w:rPr>
        <w:t>李</w:t>
        <w:tab/>
      </w:r>
      <w:r>
        <w:rPr>
          <w:rFonts w:ascii="宋体" w:hAnsi="宋体" w:cs="宋体" w:eastAsia="宋体" w:hint="default"/>
          <w:sz w:val="28"/>
          <w:szCs w:val="28"/>
        </w:rPr>
        <w:t>刚先生，52</w:t>
      </w:r>
      <w:r>
        <w:rPr>
          <w:rFonts w:ascii="宋体" w:hAnsi="宋体" w:cs="宋体" w:eastAsia="宋体" w:hint="default"/>
          <w:spacing w:val="41"/>
          <w:sz w:val="28"/>
          <w:szCs w:val="28"/>
        </w:rPr>
        <w:t> </w:t>
      </w:r>
      <w:r>
        <w:rPr>
          <w:rFonts w:ascii="宋体" w:hAnsi="宋体" w:cs="宋体" w:eastAsia="宋体" w:hint="default"/>
          <w:sz w:val="28"/>
          <w:szCs w:val="28"/>
        </w:rPr>
        <w:t>岁，中国联通公司副总经理。李先生拥有工商管理</w:t>
      </w:r>
      <w:r>
        <w:rPr>
          <w:rFonts w:ascii="宋体" w:hAnsi="宋体" w:cs="宋体" w:eastAsia="宋体" w:hint="default"/>
          <w:spacing w:val="2"/>
          <w:w w:val="99"/>
          <w:sz w:val="28"/>
          <w:szCs w:val="28"/>
        </w:rPr>
        <w:t> </w:t>
      </w:r>
      <w:r>
        <w:rPr>
          <w:rFonts w:ascii="宋体" w:hAnsi="宋体" w:cs="宋体" w:eastAsia="宋体" w:hint="default"/>
          <w:sz w:val="28"/>
          <w:szCs w:val="28"/>
        </w:rPr>
        <w:t>硕士学位，长期在电信行业工作，具有丰富的管理经验。</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19" w:right="247" w:firstLine="0"/>
        <w:jc w:val="left"/>
        <w:rPr>
          <w:rFonts w:ascii="宋体" w:hAnsi="宋体" w:cs="宋体" w:eastAsia="宋体" w:hint="default"/>
          <w:sz w:val="28"/>
          <w:szCs w:val="28"/>
        </w:rPr>
      </w:pPr>
      <w:r>
        <w:rPr>
          <w:rFonts w:ascii="宋体" w:hAnsi="宋体" w:cs="宋体" w:eastAsia="宋体" w:hint="default"/>
          <w:sz w:val="28"/>
          <w:szCs w:val="28"/>
        </w:rPr>
        <w:t>张钧安先生，53</w:t>
      </w:r>
      <w:r>
        <w:rPr>
          <w:rFonts w:ascii="宋体" w:hAnsi="宋体" w:cs="宋体" w:eastAsia="宋体" w:hint="default"/>
          <w:spacing w:val="38"/>
          <w:sz w:val="28"/>
          <w:szCs w:val="28"/>
        </w:rPr>
        <w:t> </w:t>
      </w:r>
      <w:r>
        <w:rPr>
          <w:rFonts w:ascii="宋体" w:hAnsi="宋体" w:cs="宋体" w:eastAsia="宋体" w:hint="default"/>
          <w:sz w:val="28"/>
          <w:szCs w:val="28"/>
        </w:rPr>
        <w:t>岁，中国联通公司副总经理。张先生拥有管理学博</w:t>
      </w:r>
      <w:r>
        <w:rPr>
          <w:rFonts w:ascii="宋体" w:hAnsi="宋体" w:cs="宋体" w:eastAsia="宋体" w:hint="default"/>
          <w:spacing w:val="-136"/>
          <w:sz w:val="28"/>
          <w:szCs w:val="28"/>
        </w:rPr>
        <w:t> </w:t>
      </w:r>
      <w:r>
        <w:rPr>
          <w:rFonts w:ascii="宋体" w:hAnsi="宋体" w:cs="宋体" w:eastAsia="宋体" w:hint="default"/>
          <w:spacing w:val="-136"/>
          <w:sz w:val="28"/>
          <w:szCs w:val="28"/>
        </w:rPr>
      </w:r>
      <w:r>
        <w:rPr>
          <w:rFonts w:ascii="宋体" w:hAnsi="宋体" w:cs="宋体" w:eastAsia="宋体" w:hint="default"/>
          <w:sz w:val="28"/>
          <w:szCs w:val="28"/>
        </w:rPr>
        <w:t>士学位，长期在电信行业工作，具有丰富的管理经验。</w:t>
      </w:r>
    </w:p>
    <w:p>
      <w:pPr>
        <w:spacing w:after="0" w:line="408" w:lineRule="auto"/>
        <w:jc w:val="left"/>
        <w:rPr>
          <w:rFonts w:ascii="宋体" w:hAnsi="宋体" w:cs="宋体" w:eastAsia="宋体" w:hint="default"/>
          <w:sz w:val="28"/>
          <w:szCs w:val="28"/>
        </w:rPr>
        <w:sectPr>
          <w:headerReference w:type="default" r:id="rId178"/>
          <w:footerReference w:type="default" r:id="rId179"/>
          <w:pgSz w:w="11910" w:h="16840"/>
          <w:pgMar w:header="0" w:footer="982" w:top="1540" w:bottom="1180" w:left="1680" w:right="1540"/>
          <w:pgNumType w:start="7"/>
        </w:sectPr>
      </w:pPr>
    </w:p>
    <w:p>
      <w:pPr>
        <w:pStyle w:val="Heading7"/>
        <w:spacing w:line="351" w:lineRule="exact"/>
        <w:ind w:right="0"/>
        <w:jc w:val="left"/>
      </w:pPr>
      <w:r>
        <w:rPr/>
        <w:t>姜正新先生，52</w:t>
      </w:r>
      <w:r>
        <w:rPr>
          <w:spacing w:val="43"/>
        </w:rPr>
        <w:t> </w:t>
      </w:r>
      <w:r>
        <w:rPr/>
        <w:t>岁，中国联通公司副总经理。姜先生拥有政治经济</w:t>
      </w:r>
    </w:p>
    <w:p>
      <w:pPr>
        <w:spacing w:line="240" w:lineRule="auto" w:before="9"/>
        <w:rPr>
          <w:rFonts w:ascii="宋体" w:hAnsi="宋体" w:cs="宋体" w:eastAsia="宋体" w:hint="default"/>
          <w:sz w:val="19"/>
          <w:szCs w:val="19"/>
        </w:rPr>
      </w:pPr>
    </w:p>
    <w:p>
      <w:pPr>
        <w:spacing w:line="408" w:lineRule="auto" w:before="0"/>
        <w:ind w:left="119" w:right="0" w:firstLine="0"/>
        <w:jc w:val="left"/>
        <w:rPr>
          <w:rFonts w:ascii="宋体" w:hAnsi="宋体" w:cs="宋体" w:eastAsia="宋体" w:hint="default"/>
          <w:sz w:val="28"/>
          <w:szCs w:val="28"/>
        </w:rPr>
      </w:pPr>
      <w:r>
        <w:rPr>
          <w:rFonts w:ascii="宋体" w:hAnsi="宋体" w:cs="宋体" w:eastAsia="宋体" w:hint="default"/>
          <w:spacing w:val="-4"/>
          <w:sz w:val="28"/>
          <w:szCs w:val="28"/>
        </w:rPr>
        <w:t>学博士学位，教授级高级工程师，长期在电信行业工作，具有丰富的</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管理经验。</w:t>
      </w:r>
    </w:p>
    <w:p>
      <w:pPr>
        <w:spacing w:after="0" w:line="408" w:lineRule="auto"/>
        <w:jc w:val="left"/>
        <w:rPr>
          <w:rFonts w:ascii="宋体" w:hAnsi="宋体" w:cs="宋体" w:eastAsia="宋体" w:hint="default"/>
          <w:sz w:val="28"/>
          <w:szCs w:val="28"/>
        </w:rPr>
        <w:sectPr>
          <w:headerReference w:type="default" r:id="rId180"/>
          <w:footerReference w:type="default" r:id="rId181"/>
          <w:pgSz w:w="11910" w:h="16840"/>
          <w:pgMar w:header="0" w:footer="982" w:top="1540" w:bottom="1180" w:left="1680" w:right="1680"/>
          <w:pgNumType w:start="8"/>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pStyle w:val="Heading1"/>
        <w:spacing w:line="632" w:lineRule="exact"/>
        <w:ind w:left="1652" w:right="1727"/>
        <w:jc w:val="center"/>
        <w:rPr>
          <w:b w:val="0"/>
          <w:bCs w:val="0"/>
        </w:rPr>
      </w:pPr>
      <w:r>
        <w:rPr/>
        <w:t>逐步完善以社会责任为</w:t>
      </w:r>
      <w:r>
        <w:rPr>
          <w:b w:val="0"/>
          <w:bCs w:val="0"/>
        </w:rPr>
      </w:r>
    </w:p>
    <w:p>
      <w:pPr>
        <w:spacing w:before="221"/>
        <w:ind w:left="1652" w:right="1727" w:firstLine="0"/>
        <w:jc w:val="center"/>
        <w:rPr>
          <w:rFonts w:ascii="华文行楷" w:hAnsi="华文行楷" w:cs="华文行楷" w:eastAsia="华文行楷" w:hint="default"/>
          <w:sz w:val="52"/>
          <w:szCs w:val="52"/>
        </w:rPr>
      </w:pPr>
      <w:r>
        <w:rPr>
          <w:rFonts w:ascii="华文行楷" w:hAnsi="华文行楷" w:cs="华文行楷" w:eastAsia="华文行楷" w:hint="default"/>
          <w:b/>
          <w:bCs/>
          <w:sz w:val="52"/>
          <w:szCs w:val="52"/>
        </w:rPr>
        <w:t>内涵的企业管理机制</w:t>
      </w:r>
      <w:r>
        <w:rPr>
          <w:rFonts w:ascii="华文行楷" w:hAnsi="华文行楷" w:cs="华文行楷" w:eastAsia="华文行楷" w:hint="default"/>
          <w:sz w:val="52"/>
          <w:szCs w:val="52"/>
        </w:rPr>
      </w:r>
    </w:p>
    <w:p>
      <w:pPr>
        <w:spacing w:line="240" w:lineRule="auto" w:before="0"/>
        <w:rPr>
          <w:rFonts w:ascii="华文行楷" w:hAnsi="华文行楷" w:cs="华文行楷" w:eastAsia="华文行楷" w:hint="default"/>
          <w:b/>
          <w:bCs/>
          <w:sz w:val="52"/>
          <w:szCs w:val="52"/>
        </w:rPr>
      </w:pPr>
    </w:p>
    <w:p>
      <w:pPr>
        <w:spacing w:line="240" w:lineRule="auto" w:before="6"/>
        <w:rPr>
          <w:rFonts w:ascii="华文行楷" w:hAnsi="华文行楷" w:cs="华文行楷" w:eastAsia="华文行楷" w:hint="default"/>
          <w:b/>
          <w:bCs/>
          <w:sz w:val="58"/>
          <w:szCs w:val="58"/>
        </w:rPr>
      </w:pPr>
    </w:p>
    <w:p>
      <w:pPr>
        <w:spacing w:line="388" w:lineRule="auto" w:before="0"/>
        <w:ind w:left="120" w:right="84" w:firstLine="560"/>
        <w:jc w:val="left"/>
        <w:rPr>
          <w:rFonts w:ascii="华文行楷" w:hAnsi="华文行楷" w:cs="华文行楷" w:eastAsia="华文行楷" w:hint="default"/>
          <w:sz w:val="28"/>
          <w:szCs w:val="28"/>
        </w:rPr>
      </w:pPr>
      <w:r>
        <w:rPr>
          <w:rFonts w:ascii="华文行楷" w:hAnsi="华文行楷" w:cs="华文行楷" w:eastAsia="华文行楷" w:hint="default"/>
          <w:i/>
          <w:sz w:val="28"/>
          <w:szCs w:val="28"/>
        </w:rPr>
        <w:t>完备的企业内部管理体系是实现社会责任的前提条件。2009</w:t>
      </w:r>
      <w:r>
        <w:rPr>
          <w:rFonts w:ascii="华文行楷" w:hAnsi="华文行楷" w:cs="华文行楷" w:eastAsia="华文行楷" w:hint="default"/>
          <w:i/>
          <w:spacing w:val="-9"/>
          <w:sz w:val="28"/>
          <w:szCs w:val="28"/>
        </w:rPr>
        <w:t> </w:t>
      </w:r>
      <w:r>
        <w:rPr>
          <w:rFonts w:ascii="华文行楷" w:hAnsi="华文行楷" w:cs="华文行楷" w:eastAsia="华文行楷" w:hint="default"/>
          <w:i/>
          <w:sz w:val="28"/>
          <w:szCs w:val="28"/>
        </w:rPr>
        <w:t>年，</w:t>
      </w:r>
      <w:r>
        <w:rPr>
          <w:rFonts w:ascii="华文行楷" w:hAnsi="华文行楷" w:cs="华文行楷" w:eastAsia="华文行楷" w:hint="default"/>
          <w:i/>
          <w:w w:val="99"/>
          <w:sz w:val="28"/>
          <w:szCs w:val="28"/>
        </w:rPr>
        <w:t> </w:t>
      </w:r>
      <w:r>
        <w:rPr>
          <w:rFonts w:ascii="华文行楷" w:hAnsi="华文行楷" w:cs="华文行楷" w:eastAsia="华文行楷" w:hint="default"/>
          <w:i/>
          <w:spacing w:val="-4"/>
          <w:sz w:val="28"/>
          <w:szCs w:val="28"/>
        </w:rPr>
        <w:t>中国联通进一步</w:t>
      </w:r>
      <w:r>
        <w:rPr>
          <w:rFonts w:ascii="华文行楷" w:hAnsi="华文行楷" w:cs="华文行楷" w:eastAsia="华文行楷" w:hint="default"/>
          <w:i/>
          <w:color w:val="323232"/>
          <w:spacing w:val="-4"/>
          <w:sz w:val="28"/>
          <w:szCs w:val="28"/>
        </w:rPr>
        <w:t>夯实基础管理，强化精细化运作，不断完善财务、法</w:t>
      </w:r>
      <w:r>
        <w:rPr>
          <w:rFonts w:ascii="华文行楷" w:hAnsi="华文行楷" w:cs="华文行楷" w:eastAsia="华文行楷" w:hint="default"/>
          <w:i/>
          <w:color w:val="323232"/>
          <w:spacing w:val="-56"/>
          <w:sz w:val="28"/>
          <w:szCs w:val="28"/>
        </w:rPr>
        <w:t> </w:t>
      </w:r>
      <w:r>
        <w:rPr>
          <w:rFonts w:ascii="华文行楷" w:hAnsi="华文行楷" w:cs="华文行楷" w:eastAsia="华文行楷" w:hint="default"/>
          <w:i/>
          <w:color w:val="323232"/>
          <w:spacing w:val="-56"/>
          <w:sz w:val="28"/>
          <w:szCs w:val="28"/>
        </w:rPr>
      </w:r>
      <w:r>
        <w:rPr>
          <w:rFonts w:ascii="华文行楷" w:hAnsi="华文行楷" w:cs="华文行楷" w:eastAsia="华文行楷" w:hint="default"/>
          <w:i/>
          <w:color w:val="323232"/>
          <w:sz w:val="28"/>
          <w:szCs w:val="28"/>
        </w:rPr>
        <w:t>律、审计、监察、职工权益等与企业社会责任重点关切的体制机制，</w:t>
      </w:r>
      <w:r>
        <w:rPr>
          <w:rFonts w:ascii="华文行楷" w:hAnsi="华文行楷" w:cs="华文行楷" w:eastAsia="华文行楷" w:hint="default"/>
          <w:i/>
          <w:color w:val="323232"/>
          <w:w w:val="99"/>
          <w:sz w:val="28"/>
          <w:szCs w:val="28"/>
        </w:rPr>
        <w:t> </w:t>
      </w:r>
      <w:r>
        <w:rPr>
          <w:rFonts w:ascii="华文行楷" w:hAnsi="华文行楷" w:cs="华文行楷" w:eastAsia="华文行楷" w:hint="default"/>
          <w:i/>
          <w:color w:val="323232"/>
          <w:sz w:val="28"/>
          <w:szCs w:val="28"/>
        </w:rPr>
        <w:t>为履行社会责任奠定坚实基础。</w:t>
      </w:r>
      <w:r>
        <w:rPr>
          <w:rFonts w:ascii="华文行楷" w:hAnsi="华文行楷" w:cs="华文行楷" w:eastAsia="华文行楷" w:hint="default"/>
          <w:sz w:val="28"/>
          <w:szCs w:val="28"/>
        </w:rPr>
      </w:r>
    </w:p>
    <w:p>
      <w:pPr>
        <w:spacing w:line="240" w:lineRule="auto" w:before="0"/>
        <w:rPr>
          <w:rFonts w:ascii="华文行楷" w:hAnsi="华文行楷" w:cs="华文行楷" w:eastAsia="华文行楷" w:hint="default"/>
          <w:i/>
          <w:sz w:val="28"/>
          <w:szCs w:val="28"/>
        </w:rPr>
      </w:pPr>
    </w:p>
    <w:p>
      <w:pPr>
        <w:tabs>
          <w:tab w:pos="3371" w:val="left" w:leader="none"/>
        </w:tabs>
        <w:spacing w:before="243"/>
        <w:ind w:left="120" w:right="84" w:firstLine="0"/>
        <w:jc w:val="left"/>
        <w:rPr>
          <w:rFonts w:ascii="黑体" w:hAnsi="黑体" w:cs="黑体" w:eastAsia="黑体" w:hint="default"/>
          <w:sz w:val="36"/>
          <w:szCs w:val="36"/>
        </w:rPr>
      </w:pPr>
      <w:r>
        <w:rPr>
          <w:rFonts w:ascii="黑体" w:hAnsi="黑体" w:cs="黑体" w:eastAsia="黑体" w:hint="default"/>
          <w:b/>
          <w:bCs/>
          <w:w w:val="95"/>
          <w:sz w:val="36"/>
          <w:szCs w:val="36"/>
        </w:rPr>
        <w:t>规范统一财务管理</w:t>
        <w:tab/>
      </w:r>
      <w:r>
        <w:rPr>
          <w:rFonts w:ascii="黑体" w:hAnsi="黑体" w:cs="黑体" w:eastAsia="黑体" w:hint="default"/>
          <w:b/>
          <w:bCs/>
          <w:sz w:val="36"/>
          <w:szCs w:val="36"/>
        </w:rPr>
        <w:t>促进经营深度融合</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spacing w:line="408" w:lineRule="auto" w:before="0"/>
        <w:ind w:left="120" w:right="197" w:firstLine="560"/>
        <w:jc w:val="both"/>
        <w:rPr>
          <w:rFonts w:ascii="宋体" w:hAnsi="宋体" w:cs="宋体" w:eastAsia="宋体" w:hint="default"/>
          <w:sz w:val="28"/>
          <w:szCs w:val="28"/>
        </w:rPr>
      </w:pPr>
      <w:r>
        <w:rPr>
          <w:rFonts w:ascii="宋体" w:hAnsi="宋体" w:cs="宋体" w:eastAsia="宋体" w:hint="default"/>
          <w:spacing w:val="-4"/>
          <w:sz w:val="28"/>
          <w:szCs w:val="28"/>
        </w:rPr>
        <w:t>中国联通以国家财经纪律、法规为指导，严格遵循国内、国际会</w:t>
      </w:r>
      <w:r>
        <w:rPr>
          <w:rFonts w:ascii="宋体" w:hAnsi="宋体" w:cs="宋体" w:eastAsia="宋体" w:hint="default"/>
          <w:w w:val="99"/>
          <w:sz w:val="28"/>
          <w:szCs w:val="28"/>
        </w:rPr>
        <w:t> </w:t>
      </w:r>
      <w:r>
        <w:rPr>
          <w:rFonts w:ascii="宋体" w:hAnsi="宋体" w:cs="宋体" w:eastAsia="宋体" w:hint="default"/>
          <w:spacing w:val="-4"/>
          <w:sz w:val="28"/>
          <w:szCs w:val="28"/>
        </w:rPr>
        <w:t>计准则要求，梳理整合会计政策、财务和统计制度，基本实现了相关</w:t>
      </w:r>
      <w:r>
        <w:rPr>
          <w:rFonts w:ascii="宋体" w:hAnsi="宋体" w:cs="宋体" w:eastAsia="宋体" w:hint="default"/>
          <w:spacing w:val="-126"/>
          <w:sz w:val="28"/>
          <w:szCs w:val="28"/>
        </w:rPr>
        <w:t> </w:t>
      </w:r>
      <w:r>
        <w:rPr>
          <w:rFonts w:ascii="宋体" w:hAnsi="宋体" w:cs="宋体" w:eastAsia="宋体" w:hint="default"/>
          <w:spacing w:val="-126"/>
          <w:sz w:val="28"/>
          <w:szCs w:val="28"/>
        </w:rPr>
      </w:r>
      <w:r>
        <w:rPr>
          <w:rFonts w:ascii="宋体" w:hAnsi="宋体" w:cs="宋体" w:eastAsia="宋体" w:hint="default"/>
          <w:sz w:val="28"/>
          <w:szCs w:val="28"/>
        </w:rPr>
        <w:t>管理制度的规范统一，促进了企业内部经营管理的深度融合。</w:t>
      </w:r>
    </w:p>
    <w:p>
      <w:pPr>
        <w:spacing w:line="408" w:lineRule="auto" w:before="61"/>
        <w:ind w:left="120" w:right="84" w:firstLine="560"/>
        <w:jc w:val="left"/>
        <w:rPr>
          <w:rFonts w:ascii="宋体" w:hAnsi="宋体" w:cs="宋体" w:eastAsia="宋体" w:hint="default"/>
          <w:sz w:val="28"/>
          <w:szCs w:val="28"/>
        </w:rPr>
      </w:pPr>
      <w:r>
        <w:rPr>
          <w:rFonts w:ascii="宋体" w:hAnsi="宋体" w:cs="宋体" w:eastAsia="宋体" w:hint="default"/>
          <w:spacing w:val="-4"/>
          <w:sz w:val="28"/>
          <w:szCs w:val="28"/>
        </w:rPr>
        <w:t>以统一的会计科目、统计指标体系和相关制度政策为依据，结合</w:t>
      </w:r>
      <w:r>
        <w:rPr>
          <w:rFonts w:ascii="宋体" w:hAnsi="宋体" w:cs="宋体" w:eastAsia="宋体" w:hint="default"/>
          <w:w w:val="99"/>
          <w:sz w:val="28"/>
          <w:szCs w:val="28"/>
        </w:rPr>
        <w:t> </w:t>
      </w:r>
      <w:r>
        <w:rPr>
          <w:rFonts w:ascii="宋体" w:hAnsi="宋体" w:cs="宋体" w:eastAsia="宋体" w:hint="default"/>
          <w:sz w:val="28"/>
          <w:szCs w:val="28"/>
        </w:rPr>
        <w:t>全业务运营管理需求，规范简化业务操作流程，完善财务管理系统，</w:t>
      </w:r>
      <w:r>
        <w:rPr>
          <w:rFonts w:ascii="宋体" w:hAnsi="宋体" w:cs="宋体" w:eastAsia="宋体" w:hint="default"/>
          <w:w w:val="99"/>
          <w:sz w:val="28"/>
          <w:szCs w:val="28"/>
        </w:rPr>
        <w:t> </w:t>
      </w:r>
      <w:r>
        <w:rPr>
          <w:rFonts w:ascii="宋体" w:hAnsi="宋体" w:cs="宋体" w:eastAsia="宋体" w:hint="default"/>
          <w:sz w:val="28"/>
          <w:szCs w:val="28"/>
        </w:rPr>
        <w:t>积极推进企业</w:t>
      </w:r>
      <w:r>
        <w:rPr>
          <w:rFonts w:ascii="宋体" w:hAnsi="宋体" w:cs="宋体" w:eastAsia="宋体" w:hint="default"/>
          <w:spacing w:val="-69"/>
          <w:sz w:val="28"/>
          <w:szCs w:val="28"/>
        </w:rPr>
        <w:t> </w:t>
      </w:r>
      <w:r>
        <w:rPr>
          <w:rFonts w:ascii="宋体" w:hAnsi="宋体" w:cs="宋体" w:eastAsia="宋体" w:hint="default"/>
          <w:sz w:val="28"/>
          <w:szCs w:val="28"/>
        </w:rPr>
        <w:t>ERP</w:t>
      </w:r>
      <w:r>
        <w:rPr>
          <w:rFonts w:ascii="宋体" w:hAnsi="宋体" w:cs="宋体" w:eastAsia="宋体" w:hint="default"/>
          <w:spacing w:val="-71"/>
          <w:sz w:val="28"/>
          <w:szCs w:val="28"/>
        </w:rPr>
        <w:t> </w:t>
      </w:r>
      <w:r>
        <w:rPr>
          <w:rFonts w:ascii="宋体" w:hAnsi="宋体" w:cs="宋体" w:eastAsia="宋体" w:hint="default"/>
          <w:spacing w:val="-5"/>
          <w:sz w:val="28"/>
          <w:szCs w:val="28"/>
        </w:rPr>
        <w:t>系统建设，不断提升信息化应用水平。严格落实权</w:t>
      </w:r>
      <w:r>
        <w:rPr>
          <w:rFonts w:ascii="宋体" w:hAnsi="宋体" w:cs="宋体" w:eastAsia="宋体" w:hint="default"/>
          <w:spacing w:val="-138"/>
          <w:sz w:val="28"/>
          <w:szCs w:val="28"/>
        </w:rPr>
        <w:t> </w:t>
      </w:r>
      <w:r>
        <w:rPr>
          <w:rFonts w:ascii="宋体" w:hAnsi="宋体" w:cs="宋体" w:eastAsia="宋体" w:hint="default"/>
          <w:spacing w:val="-138"/>
          <w:sz w:val="28"/>
          <w:szCs w:val="28"/>
        </w:rPr>
      </w:r>
      <w:r>
        <w:rPr>
          <w:rFonts w:ascii="宋体" w:hAnsi="宋体" w:cs="宋体" w:eastAsia="宋体" w:hint="default"/>
          <w:spacing w:val="-4"/>
          <w:sz w:val="28"/>
          <w:szCs w:val="28"/>
        </w:rPr>
        <w:t>责发生制，坚持收支配比，积极开展会业核对工作，确保财务信息的</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真实、准确、完整，为企业经营管理奠定良好基础。</w:t>
      </w:r>
    </w:p>
    <w:p>
      <w:pPr>
        <w:spacing w:after="0" w:line="408" w:lineRule="auto"/>
        <w:jc w:val="left"/>
        <w:rPr>
          <w:rFonts w:ascii="宋体" w:hAnsi="宋体" w:cs="宋体" w:eastAsia="宋体" w:hint="default"/>
          <w:sz w:val="28"/>
          <w:szCs w:val="28"/>
        </w:rPr>
        <w:sectPr>
          <w:headerReference w:type="default" r:id="rId182"/>
          <w:footerReference w:type="default" r:id="rId183"/>
          <w:pgSz w:w="11910" w:h="16840"/>
          <w:pgMar w:header="0" w:footer="982" w:top="1600" w:bottom="1180" w:left="1680" w:right="1600"/>
          <w:pgNumType w:start="9"/>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spacing w:line="2979" w:lineRule="exact"/>
        <w:ind w:left="292" w:right="0" w:firstLine="0"/>
        <w:rPr>
          <w:rFonts w:ascii="宋体" w:hAnsi="宋体" w:cs="宋体" w:eastAsia="宋体" w:hint="default"/>
          <w:sz w:val="20"/>
          <w:szCs w:val="20"/>
        </w:rPr>
      </w:pPr>
      <w:r>
        <w:rPr>
          <w:rFonts w:ascii="宋体" w:hAnsi="宋体" w:cs="宋体" w:eastAsia="宋体" w:hint="default"/>
          <w:position w:val="-59"/>
          <w:sz w:val="20"/>
          <w:szCs w:val="20"/>
        </w:rPr>
        <w:pict>
          <v:shape style="width:405.75pt;height:148.950pt;mso-position-horizontal-relative:char;mso-position-vertical-relative:line" type="#_x0000_t202" filled="true" fillcolor="#ccffff" stroked="false">
            <w10:anchorlock/>
            <v:textbox inset="0,0,0,0">
              <w:txbxContent>
                <w:p>
                  <w:pPr>
                    <w:spacing w:line="357" w:lineRule="auto" w:before="128"/>
                    <w:ind w:left="639" w:right="453" w:firstLine="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年，搭建了自动型零余额的收支两条线资金管理模式，降低</w:t>
                  </w:r>
                  <w:r>
                    <w:rPr>
                      <w:rFonts w:ascii="宋体" w:hAnsi="宋体" w:cs="宋体" w:eastAsia="宋体" w:hint="default"/>
                      <w:sz w:val="24"/>
                      <w:szCs w:val="24"/>
                    </w:rPr>
                    <w:t> 财务费用，提升资金使用效率，有效防范资金管理风险。推行</w:t>
                  </w:r>
                  <w:r>
                    <w:rPr>
                      <w:rFonts w:ascii="宋体" w:hAnsi="宋体" w:cs="宋体" w:eastAsia="宋体" w:hint="default"/>
                      <w:spacing w:val="-60"/>
                      <w:sz w:val="24"/>
                      <w:szCs w:val="24"/>
                    </w:rPr>
                    <w:t> </w:t>
                  </w:r>
                  <w:r>
                    <w:rPr>
                      <w:rFonts w:ascii="宋体" w:hAnsi="宋体" w:cs="宋体" w:eastAsia="宋体" w:hint="default"/>
                      <w:sz w:val="24"/>
                      <w:szCs w:val="24"/>
                    </w:rPr>
                    <w:t>EVA</w:t>
                  </w:r>
                  <w:r>
                    <w:rPr>
                      <w:rFonts w:ascii="宋体" w:hAnsi="宋体" w:cs="宋体" w:eastAsia="宋体" w:hint="default"/>
                      <w:sz w:val="24"/>
                      <w:szCs w:val="24"/>
                    </w:rPr>
                    <w:t> 管理理念，全面开展资源资产清查，建立资源资产使用效益评价模 型和资产损失责任追究制度，落实管理责任，促进融合协同，提升 资源资产使用效益，确保国有资产保值增值，从而更好地担负起社 会责任。</w:t>
                  </w:r>
                </w:p>
              </w:txbxContent>
            </v:textbox>
            <v:fill type="solid"/>
          </v:shape>
        </w:pict>
      </w:r>
      <w:r>
        <w:rPr>
          <w:rFonts w:ascii="宋体" w:hAnsi="宋体" w:cs="宋体" w:eastAsia="宋体" w:hint="default"/>
          <w:position w:val="-59"/>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tabs>
          <w:tab w:pos="3371" w:val="left" w:leader="none"/>
        </w:tabs>
        <w:spacing w:line="460" w:lineRule="exact" w:before="0"/>
        <w:ind w:left="120" w:right="84" w:firstLine="0"/>
        <w:jc w:val="left"/>
        <w:rPr>
          <w:rFonts w:ascii="黑体" w:hAnsi="黑体" w:cs="黑体" w:eastAsia="黑体" w:hint="default"/>
          <w:sz w:val="36"/>
          <w:szCs w:val="36"/>
        </w:rPr>
      </w:pPr>
      <w:r>
        <w:rPr>
          <w:rFonts w:ascii="黑体" w:hAnsi="黑体" w:cs="黑体" w:eastAsia="黑体" w:hint="default"/>
          <w:b/>
          <w:bCs/>
          <w:w w:val="95"/>
          <w:sz w:val="36"/>
          <w:szCs w:val="36"/>
        </w:rPr>
        <w:t>强化依法治企能力</w:t>
        <w:tab/>
      </w:r>
      <w:r>
        <w:rPr>
          <w:rFonts w:ascii="黑体" w:hAnsi="黑体" w:cs="黑体" w:eastAsia="黑体" w:hint="default"/>
          <w:b/>
          <w:bCs/>
          <w:sz w:val="36"/>
          <w:szCs w:val="36"/>
        </w:rPr>
        <w:t>提升风险管控水平</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1"/>
        <w:rPr>
          <w:rFonts w:ascii="黑体" w:hAnsi="黑体" w:cs="黑体" w:eastAsia="黑体" w:hint="default"/>
          <w:b/>
          <w:bCs/>
          <w:sz w:val="27"/>
          <w:szCs w:val="27"/>
        </w:rPr>
      </w:pPr>
    </w:p>
    <w:p>
      <w:pPr>
        <w:spacing w:before="0"/>
        <w:ind w:left="120" w:right="84" w:firstLine="0"/>
        <w:jc w:val="left"/>
        <w:rPr>
          <w:rFonts w:ascii="黑体" w:hAnsi="黑体" w:cs="黑体" w:eastAsia="黑体" w:hint="default"/>
          <w:sz w:val="30"/>
          <w:szCs w:val="30"/>
        </w:rPr>
      </w:pPr>
      <w:r>
        <w:rPr>
          <w:rFonts w:ascii="黑体" w:hAnsi="黑体" w:cs="黑体" w:eastAsia="黑体" w:hint="default"/>
          <w:b/>
          <w:bCs/>
          <w:sz w:val="30"/>
          <w:szCs w:val="30"/>
        </w:rPr>
        <w:t>营造环境</w:t>
      </w:r>
      <w:r>
        <w:rPr>
          <w:rFonts w:ascii="黑体" w:hAnsi="黑体" w:cs="黑体" w:eastAsia="黑体" w:hint="default"/>
          <w:sz w:val="30"/>
          <w:szCs w:val="30"/>
        </w:rPr>
      </w:r>
    </w:p>
    <w:p>
      <w:pPr>
        <w:spacing w:line="408" w:lineRule="auto" w:before="246"/>
        <w:ind w:left="120" w:right="195" w:firstLine="560"/>
        <w:jc w:val="both"/>
        <w:rPr>
          <w:rFonts w:ascii="宋体" w:hAnsi="宋体" w:cs="宋体" w:eastAsia="宋体" w:hint="default"/>
          <w:sz w:val="28"/>
          <w:szCs w:val="28"/>
        </w:rPr>
      </w:pPr>
      <w:r>
        <w:rPr>
          <w:rFonts w:ascii="宋体" w:hAnsi="宋体" w:cs="宋体" w:eastAsia="宋体" w:hint="default"/>
          <w:spacing w:val="-4"/>
          <w:sz w:val="28"/>
          <w:szCs w:val="28"/>
        </w:rPr>
        <w:t>注重法治文化氛围培育，组织开展普法知识竞赛、宣传展览及专</w:t>
      </w:r>
      <w:r>
        <w:rPr>
          <w:rFonts w:ascii="宋体" w:hAnsi="宋体" w:cs="宋体" w:eastAsia="宋体" w:hint="default"/>
          <w:w w:val="99"/>
          <w:sz w:val="28"/>
          <w:szCs w:val="28"/>
        </w:rPr>
        <w:t> </w:t>
      </w:r>
      <w:r>
        <w:rPr>
          <w:rFonts w:ascii="宋体" w:hAnsi="宋体" w:cs="宋体" w:eastAsia="宋体" w:hint="default"/>
          <w:spacing w:val="-4"/>
          <w:sz w:val="28"/>
          <w:szCs w:val="28"/>
        </w:rPr>
        <w:t>项培训等各种宣教活动，努力推进“法律进决策、法律进业务、法律</w:t>
      </w:r>
      <w:r>
        <w:rPr>
          <w:rFonts w:ascii="宋体" w:hAnsi="宋体" w:cs="宋体" w:eastAsia="宋体" w:hint="default"/>
          <w:spacing w:val="-122"/>
          <w:sz w:val="28"/>
          <w:szCs w:val="28"/>
        </w:rPr>
        <w:t> </w:t>
      </w:r>
      <w:r>
        <w:rPr>
          <w:rFonts w:ascii="宋体" w:hAnsi="宋体" w:cs="宋体" w:eastAsia="宋体" w:hint="default"/>
          <w:spacing w:val="-122"/>
          <w:sz w:val="28"/>
          <w:szCs w:val="28"/>
        </w:rPr>
      </w:r>
      <w:r>
        <w:rPr>
          <w:rFonts w:ascii="宋体" w:hAnsi="宋体" w:cs="宋体" w:eastAsia="宋体" w:hint="default"/>
          <w:spacing w:val="-4"/>
          <w:sz w:val="28"/>
          <w:szCs w:val="28"/>
        </w:rPr>
        <w:t>进部门、法律进班组”，为企业的持续健康发展营造良好的内部法治</w:t>
      </w:r>
      <w:r>
        <w:rPr>
          <w:rFonts w:ascii="宋体" w:hAnsi="宋体" w:cs="宋体" w:eastAsia="宋体" w:hint="default"/>
          <w:spacing w:val="-128"/>
          <w:sz w:val="28"/>
          <w:szCs w:val="28"/>
        </w:rPr>
        <w:t> </w:t>
      </w:r>
      <w:r>
        <w:rPr>
          <w:rFonts w:ascii="宋体" w:hAnsi="宋体" w:cs="宋体" w:eastAsia="宋体" w:hint="default"/>
          <w:spacing w:val="-128"/>
          <w:sz w:val="28"/>
          <w:szCs w:val="28"/>
        </w:rPr>
      </w:r>
      <w:r>
        <w:rPr>
          <w:rFonts w:ascii="宋体" w:hAnsi="宋体" w:cs="宋体" w:eastAsia="宋体" w:hint="default"/>
          <w:sz w:val="28"/>
          <w:szCs w:val="28"/>
        </w:rPr>
        <w:t>环境。</w:t>
      </w:r>
    </w:p>
    <w:p>
      <w:pPr>
        <w:spacing w:line="240" w:lineRule="auto" w:before="0"/>
        <w:rPr>
          <w:rFonts w:ascii="宋体" w:hAnsi="宋体" w:cs="宋体" w:eastAsia="宋体" w:hint="default"/>
          <w:sz w:val="28"/>
          <w:szCs w:val="28"/>
        </w:rPr>
      </w:pPr>
    </w:p>
    <w:p>
      <w:pPr>
        <w:spacing w:line="240" w:lineRule="auto" w:before="3"/>
        <w:rPr>
          <w:rFonts w:ascii="宋体" w:hAnsi="宋体" w:cs="宋体" w:eastAsia="宋体" w:hint="default"/>
          <w:sz w:val="23"/>
          <w:szCs w:val="23"/>
        </w:rPr>
      </w:pPr>
    </w:p>
    <w:p>
      <w:pPr>
        <w:spacing w:before="0"/>
        <w:ind w:left="120" w:right="84" w:firstLine="0"/>
        <w:jc w:val="left"/>
        <w:rPr>
          <w:rFonts w:ascii="黑体" w:hAnsi="黑体" w:cs="黑体" w:eastAsia="黑体" w:hint="default"/>
          <w:sz w:val="30"/>
          <w:szCs w:val="30"/>
        </w:rPr>
      </w:pPr>
      <w:r>
        <w:rPr>
          <w:rFonts w:ascii="黑体" w:hAnsi="黑体" w:cs="黑体" w:eastAsia="黑体" w:hint="default"/>
          <w:b/>
          <w:bCs/>
          <w:sz w:val="30"/>
          <w:szCs w:val="30"/>
        </w:rPr>
        <w:t>健全机制</w:t>
      </w:r>
      <w:r>
        <w:rPr>
          <w:rFonts w:ascii="黑体" w:hAnsi="黑体" w:cs="黑体" w:eastAsia="黑体" w:hint="default"/>
          <w:sz w:val="30"/>
          <w:szCs w:val="30"/>
        </w:rPr>
      </w:r>
    </w:p>
    <w:p>
      <w:pPr>
        <w:spacing w:line="408" w:lineRule="auto" w:before="246"/>
        <w:ind w:left="120" w:right="102" w:firstLine="560"/>
        <w:jc w:val="both"/>
        <w:rPr>
          <w:rFonts w:ascii="宋体" w:hAnsi="宋体" w:cs="宋体" w:eastAsia="宋体" w:hint="default"/>
          <w:sz w:val="28"/>
          <w:szCs w:val="28"/>
        </w:rPr>
      </w:pPr>
      <w:r>
        <w:rPr>
          <w:rFonts w:ascii="宋体" w:hAnsi="宋体" w:cs="宋体" w:eastAsia="宋体" w:hint="default"/>
          <w:spacing w:val="-4"/>
          <w:sz w:val="28"/>
          <w:szCs w:val="28"/>
        </w:rPr>
        <w:t>大力推进集团及重要子企业法律顾问制度建设，构建以事前预防</w:t>
      </w:r>
      <w:r>
        <w:rPr>
          <w:rFonts w:ascii="宋体" w:hAnsi="宋体" w:cs="宋体" w:eastAsia="宋体" w:hint="default"/>
          <w:w w:val="99"/>
          <w:sz w:val="28"/>
          <w:szCs w:val="28"/>
        </w:rPr>
        <w:t> </w:t>
      </w:r>
      <w:r>
        <w:rPr>
          <w:rFonts w:ascii="宋体" w:hAnsi="宋体" w:cs="宋体" w:eastAsia="宋体" w:hint="default"/>
          <w:spacing w:val="-4"/>
          <w:sz w:val="28"/>
          <w:szCs w:val="28"/>
        </w:rPr>
        <w:t>和事中控制为主的两道日常管理防线，健全具有中国联通特色的法律</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风险防范机制。构建内控与风险管理长效机制，合理保证企业经营管</w:t>
      </w:r>
      <w:r>
        <w:rPr>
          <w:rFonts w:ascii="宋体" w:hAnsi="宋体" w:cs="宋体" w:eastAsia="宋体" w:hint="default"/>
          <w:spacing w:val="-126"/>
          <w:sz w:val="28"/>
          <w:szCs w:val="28"/>
        </w:rPr>
        <w:t> </w:t>
      </w:r>
      <w:r>
        <w:rPr>
          <w:rFonts w:ascii="宋体" w:hAnsi="宋体" w:cs="宋体" w:eastAsia="宋体" w:hint="default"/>
          <w:spacing w:val="-126"/>
          <w:sz w:val="28"/>
          <w:szCs w:val="28"/>
        </w:rPr>
      </w:r>
      <w:r>
        <w:rPr>
          <w:rFonts w:ascii="宋体" w:hAnsi="宋体" w:cs="宋体" w:eastAsia="宋体" w:hint="default"/>
          <w:sz w:val="28"/>
          <w:szCs w:val="28"/>
        </w:rPr>
        <w:t>理合法合规、资产安全、财务信息真实完整为目标，加强基础管理，</w:t>
      </w:r>
    </w:p>
    <w:p>
      <w:pPr>
        <w:spacing w:after="0" w:line="408" w:lineRule="auto"/>
        <w:jc w:val="both"/>
        <w:rPr>
          <w:rFonts w:ascii="宋体" w:hAnsi="宋体" w:cs="宋体" w:eastAsia="宋体" w:hint="default"/>
          <w:sz w:val="28"/>
          <w:szCs w:val="28"/>
        </w:rPr>
        <w:sectPr>
          <w:headerReference w:type="default" r:id="rId184"/>
          <w:footerReference w:type="default" r:id="rId185"/>
          <w:pgSz w:w="11910" w:h="16840"/>
          <w:pgMar w:header="0" w:footer="982" w:top="1600" w:bottom="1180" w:left="1680" w:right="1600"/>
          <w:pgNumType w:start="10"/>
        </w:sectPr>
      </w:pPr>
    </w:p>
    <w:p>
      <w:pPr>
        <w:spacing w:line="351" w:lineRule="exact" w:before="0"/>
        <w:ind w:left="120" w:right="144" w:firstLine="0"/>
        <w:jc w:val="left"/>
        <w:rPr>
          <w:rFonts w:ascii="宋体" w:hAnsi="宋体" w:cs="宋体" w:eastAsia="宋体" w:hint="default"/>
          <w:sz w:val="28"/>
          <w:szCs w:val="28"/>
        </w:rPr>
      </w:pPr>
      <w:r>
        <w:rPr>
          <w:rFonts w:ascii="宋体" w:hAnsi="宋体" w:cs="宋体" w:eastAsia="宋体" w:hint="default"/>
          <w:spacing w:val="-4"/>
          <w:sz w:val="28"/>
          <w:szCs w:val="28"/>
        </w:rPr>
        <w:t>加快融合统一，发挥协同效应，构建内控与风险管理长效机制，提升</w:t>
      </w:r>
    </w:p>
    <w:p>
      <w:pPr>
        <w:spacing w:line="240" w:lineRule="auto" w:before="9"/>
        <w:rPr>
          <w:rFonts w:ascii="宋体" w:hAnsi="宋体" w:cs="宋体" w:eastAsia="宋体" w:hint="default"/>
          <w:sz w:val="19"/>
          <w:szCs w:val="19"/>
        </w:rPr>
      </w:pPr>
    </w:p>
    <w:p>
      <w:pPr>
        <w:spacing w:line="408" w:lineRule="auto" w:before="0"/>
        <w:ind w:left="119" w:right="113" w:firstLine="0"/>
        <w:jc w:val="left"/>
        <w:rPr>
          <w:rFonts w:ascii="宋体" w:hAnsi="宋体" w:cs="宋体" w:eastAsia="宋体" w:hint="default"/>
          <w:sz w:val="28"/>
          <w:szCs w:val="28"/>
        </w:rPr>
      </w:pPr>
      <w:r>
        <w:rPr>
          <w:rFonts w:ascii="宋体" w:hAnsi="宋体" w:cs="宋体" w:eastAsia="宋体" w:hint="default"/>
          <w:spacing w:val="-4"/>
          <w:sz w:val="28"/>
          <w:szCs w:val="28"/>
        </w:rPr>
        <w:t>企业整体风险管控能力。建立由董事会、内控与风险管理委员会、各</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专业部门构成的涵盖全企业范围的内控与风险管理组织体系，明确了</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8"/>
          <w:sz w:val="28"/>
          <w:szCs w:val="28"/>
        </w:rPr>
        <w:t>内控与风险管理工作机制，以及总部、省、地市全员参与、统一领导、</w:t>
      </w:r>
      <w:r>
        <w:rPr>
          <w:rFonts w:ascii="宋体" w:hAnsi="宋体" w:cs="宋体" w:eastAsia="宋体" w:hint="default"/>
          <w:spacing w:val="-137"/>
          <w:sz w:val="28"/>
          <w:szCs w:val="28"/>
        </w:rPr>
        <w:t> </w:t>
      </w:r>
      <w:r>
        <w:rPr>
          <w:rFonts w:ascii="宋体" w:hAnsi="宋体" w:cs="宋体" w:eastAsia="宋体" w:hint="default"/>
          <w:spacing w:val="-137"/>
          <w:sz w:val="28"/>
          <w:szCs w:val="28"/>
        </w:rPr>
      </w:r>
      <w:r>
        <w:rPr>
          <w:rFonts w:ascii="宋体" w:hAnsi="宋体" w:cs="宋体" w:eastAsia="宋体" w:hint="default"/>
          <w:spacing w:val="-4"/>
          <w:sz w:val="28"/>
          <w:szCs w:val="28"/>
        </w:rPr>
        <w:t>分级负责的管理模式。以风险为导向，对公司内部控制规范进行了整</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合优化和全面推广实施，初步建立了符合公司发展的、具有中国联通</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特色的内部控制系统，加大了对生产经营的支撑保障力度。经过内外</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部测试，并顺利通过萨宾斯法案内控审计。</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3"/>
        <w:rPr>
          <w:rFonts w:ascii="宋体" w:hAnsi="宋体" w:cs="宋体" w:eastAsia="宋体" w:hint="default"/>
          <w:sz w:val="39"/>
          <w:szCs w:val="39"/>
        </w:rPr>
      </w:pPr>
    </w:p>
    <w:p>
      <w:pPr>
        <w:tabs>
          <w:tab w:pos="3371" w:val="left" w:leader="none"/>
        </w:tabs>
        <w:spacing w:before="0"/>
        <w:ind w:left="120" w:right="144" w:firstLine="0"/>
        <w:jc w:val="left"/>
        <w:rPr>
          <w:rFonts w:ascii="黑体" w:hAnsi="黑体" w:cs="黑体" w:eastAsia="黑体" w:hint="default"/>
          <w:sz w:val="36"/>
          <w:szCs w:val="36"/>
        </w:rPr>
      </w:pPr>
      <w:r>
        <w:rPr>
          <w:rFonts w:ascii="黑体" w:hAnsi="黑体" w:cs="黑体" w:eastAsia="黑体" w:hint="default"/>
          <w:b/>
          <w:bCs/>
          <w:w w:val="95"/>
          <w:sz w:val="36"/>
          <w:szCs w:val="36"/>
        </w:rPr>
        <w:t>建立内控长效机制</w:t>
        <w:tab/>
      </w:r>
      <w:r>
        <w:rPr>
          <w:rFonts w:ascii="黑体" w:hAnsi="黑体" w:cs="黑体" w:eastAsia="黑体" w:hint="default"/>
          <w:b/>
          <w:bCs/>
          <w:sz w:val="36"/>
          <w:szCs w:val="36"/>
        </w:rPr>
        <w:t>强化全过程管控能力</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spacing w:line="408" w:lineRule="auto" w:before="0"/>
        <w:ind w:left="119" w:right="250" w:firstLine="560"/>
        <w:jc w:val="both"/>
        <w:rPr>
          <w:rFonts w:ascii="宋体" w:hAnsi="宋体" w:cs="宋体" w:eastAsia="宋体" w:hint="default"/>
          <w:sz w:val="28"/>
          <w:szCs w:val="28"/>
        </w:rPr>
      </w:pPr>
      <w:r>
        <w:rPr>
          <w:rFonts w:ascii="宋体" w:hAnsi="宋体" w:cs="宋体" w:eastAsia="宋体" w:hint="default"/>
          <w:spacing w:val="-4"/>
          <w:sz w:val="28"/>
          <w:szCs w:val="28"/>
        </w:rPr>
        <w:t>围绕保证经营效益和基础管理的提升，围绕融合重组后协同效益</w:t>
      </w:r>
      <w:r>
        <w:rPr>
          <w:rFonts w:ascii="宋体" w:hAnsi="宋体" w:cs="宋体" w:eastAsia="宋体" w:hint="default"/>
          <w:w w:val="99"/>
          <w:sz w:val="28"/>
          <w:szCs w:val="28"/>
        </w:rPr>
        <w:t> </w:t>
      </w:r>
      <w:r>
        <w:rPr>
          <w:rFonts w:ascii="宋体" w:hAnsi="宋体" w:cs="宋体" w:eastAsia="宋体" w:hint="default"/>
          <w:spacing w:val="-4"/>
          <w:sz w:val="28"/>
          <w:szCs w:val="28"/>
        </w:rPr>
        <w:t>的发挥，针对制约公司效益和效率提升的突出问题，以持续的内控评</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审为手段，通过定期评审、专题评审和后续的监督整改，对经营管理</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6"/>
          <w:sz w:val="28"/>
          <w:szCs w:val="28"/>
        </w:rPr>
        <w:t>中重要业务流程和环节进行全过程的跟踪和管控，规范各项经营行</w:t>
      </w:r>
      <w:r>
        <w:rPr>
          <w:rFonts w:ascii="宋体" w:hAnsi="宋体" w:cs="宋体" w:eastAsia="宋体" w:hint="default"/>
          <w:spacing w:val="7"/>
          <w:w w:val="99"/>
          <w:sz w:val="28"/>
          <w:szCs w:val="28"/>
        </w:rPr>
        <w:t> </w:t>
      </w:r>
      <w:r>
        <w:rPr>
          <w:rFonts w:ascii="宋体" w:hAnsi="宋体" w:cs="宋体" w:eastAsia="宋体" w:hint="default"/>
          <w:sz w:val="28"/>
          <w:szCs w:val="28"/>
        </w:rPr>
        <w:t>为，防范和控制经营风险，促进公司健康持续发展。</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1"/>
          <w:szCs w:val="11"/>
        </w:rPr>
      </w:pPr>
    </w:p>
    <w:p>
      <w:pPr>
        <w:spacing w:line="2043" w:lineRule="exact"/>
        <w:ind w:left="120" w:right="0" w:firstLine="0"/>
        <w:rPr>
          <w:rFonts w:ascii="宋体" w:hAnsi="宋体" w:cs="宋体" w:eastAsia="宋体" w:hint="default"/>
          <w:sz w:val="20"/>
          <w:szCs w:val="20"/>
        </w:rPr>
      </w:pPr>
      <w:r>
        <w:rPr>
          <w:rFonts w:ascii="宋体" w:hAnsi="宋体" w:cs="宋体" w:eastAsia="宋体" w:hint="default"/>
          <w:position w:val="-40"/>
          <w:sz w:val="20"/>
          <w:szCs w:val="20"/>
        </w:rPr>
        <w:pict>
          <v:shape style="width:414.75pt;height:102.15pt;mso-position-horizontal-relative:char;mso-position-vertical-relative:line" type="#_x0000_t202" filled="true" fillcolor="#ccffcc" stroked="false">
            <w10:anchorlock/>
            <v:textbox inset="0,0,0,0">
              <w:txbxContent>
                <w:p>
                  <w:pPr>
                    <w:spacing w:line="357" w:lineRule="auto" w:before="128"/>
                    <w:ind w:left="158" w:right="156" w:firstLine="0"/>
                    <w:jc w:val="both"/>
                    <w:rPr>
                      <w:rFonts w:ascii="宋体" w:hAnsi="宋体" w:cs="宋体" w:eastAsia="宋体" w:hint="default"/>
                      <w:sz w:val="24"/>
                      <w:szCs w:val="24"/>
                    </w:rPr>
                  </w:pPr>
                  <w:r>
                    <w:rPr>
                      <w:rFonts w:ascii="宋体" w:hAnsi="宋体" w:cs="宋体" w:eastAsia="宋体" w:hint="default"/>
                      <w:sz w:val="24"/>
                      <w:szCs w:val="24"/>
                    </w:rPr>
                    <w:t>◆保证企业收入确认的真实准确。关注各业务环节端到端控制的有效性，确</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保全业务收入从计费出账系统到财务系统数据信息的自动生成、无缝连接和</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准确计量，牢固把握现金流向，避免现金流在某些环节的呆滞和沉淀，确保</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现金流归集顺畅、安全和完整。</w:t>
                  </w:r>
                </w:p>
              </w:txbxContent>
            </v:textbox>
            <v:fill type="solid"/>
          </v:shape>
        </w:pict>
      </w:r>
      <w:r>
        <w:rPr>
          <w:rFonts w:ascii="宋体" w:hAnsi="宋体" w:cs="宋体" w:eastAsia="宋体" w:hint="default"/>
          <w:position w:val="-40"/>
          <w:sz w:val="20"/>
          <w:szCs w:val="20"/>
        </w:rPr>
      </w:r>
    </w:p>
    <w:p>
      <w:pPr>
        <w:spacing w:after="0" w:line="2043" w:lineRule="exact"/>
        <w:rPr>
          <w:rFonts w:ascii="宋体" w:hAnsi="宋体" w:cs="宋体" w:eastAsia="宋体" w:hint="default"/>
          <w:sz w:val="20"/>
          <w:szCs w:val="20"/>
        </w:rPr>
        <w:sectPr>
          <w:headerReference w:type="default" r:id="rId186"/>
          <w:footerReference w:type="default" r:id="rId187"/>
          <w:pgSz w:w="11910" w:h="16840"/>
          <w:pgMar w:header="0" w:footer="982" w:top="1540" w:bottom="1180" w:left="1680" w:right="1540"/>
          <w:pgNumType w:start="11"/>
        </w:sectPr>
      </w:pPr>
    </w:p>
    <w:p>
      <w:pPr>
        <w:spacing w:line="240" w:lineRule="auto" w:before="10"/>
        <w:rPr>
          <w:rFonts w:ascii="宋体" w:hAnsi="宋体" w:cs="宋体" w:eastAsia="宋体" w:hint="default"/>
          <w:sz w:val="6"/>
          <w:szCs w:val="6"/>
        </w:rPr>
      </w:pPr>
    </w:p>
    <w:p>
      <w:pPr>
        <w:spacing w:line="1107" w:lineRule="exact"/>
        <w:ind w:left="112" w:right="0" w:firstLine="0"/>
        <w:rPr>
          <w:rFonts w:ascii="宋体" w:hAnsi="宋体" w:cs="宋体" w:eastAsia="宋体" w:hint="default"/>
          <w:sz w:val="20"/>
          <w:szCs w:val="20"/>
        </w:rPr>
      </w:pPr>
      <w:r>
        <w:rPr>
          <w:rFonts w:ascii="宋体" w:hAnsi="宋体" w:cs="宋体" w:eastAsia="宋体" w:hint="default"/>
          <w:position w:val="-21"/>
          <w:sz w:val="20"/>
          <w:szCs w:val="20"/>
        </w:rPr>
        <w:pict>
          <v:shape style="width:414.75pt;height:55.35pt;mso-position-horizontal-relative:char;mso-position-vertical-relative:line" type="#_x0000_t202" filled="true" fillcolor="#ccffcc" stroked="false">
            <w10:anchorlock/>
            <v:textbox inset="0,0,0,0">
              <w:txbxContent>
                <w:p>
                  <w:pPr>
                    <w:spacing w:line="357" w:lineRule="auto" w:before="128"/>
                    <w:ind w:left="159" w:right="155" w:firstLine="0"/>
                    <w:jc w:val="left"/>
                    <w:rPr>
                      <w:rFonts w:ascii="宋体" w:hAnsi="宋体" w:cs="宋体" w:eastAsia="宋体" w:hint="default"/>
                      <w:sz w:val="24"/>
                      <w:szCs w:val="24"/>
                    </w:rPr>
                  </w:pPr>
                  <w:r>
                    <w:rPr>
                      <w:rFonts w:ascii="宋体" w:hAnsi="宋体" w:cs="宋体" w:eastAsia="宋体" w:hint="default"/>
                      <w:sz w:val="24"/>
                      <w:szCs w:val="24"/>
                    </w:rPr>
                    <w:t>◆严格付现业务流程管控。按照权责发生制原则准确确认成本费用等控制环</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节，提高各项成本费用的支出效益和使用效率。</w:t>
                  </w:r>
                </w:p>
              </w:txbxContent>
            </v:textbox>
            <v:fill type="solid"/>
          </v:shape>
        </w:pict>
      </w:r>
      <w:r>
        <w:rPr>
          <w:rFonts w:ascii="宋体" w:hAnsi="宋体" w:cs="宋体" w:eastAsia="宋体" w:hint="default"/>
          <w:position w:val="-21"/>
          <w:sz w:val="20"/>
          <w:szCs w:val="20"/>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p>
      <w:pPr>
        <w:spacing w:line="1575" w:lineRule="exact"/>
        <w:ind w:left="112" w:right="0" w:firstLine="0"/>
        <w:rPr>
          <w:rFonts w:ascii="宋体" w:hAnsi="宋体" w:cs="宋体" w:eastAsia="宋体" w:hint="default"/>
          <w:sz w:val="20"/>
          <w:szCs w:val="20"/>
        </w:rPr>
      </w:pPr>
      <w:r>
        <w:rPr>
          <w:rFonts w:ascii="宋体" w:hAnsi="宋体" w:cs="宋体" w:eastAsia="宋体" w:hint="default"/>
          <w:position w:val="-31"/>
          <w:sz w:val="20"/>
          <w:szCs w:val="20"/>
        </w:rPr>
        <w:pict>
          <v:shape style="width:414.75pt;height:78.75pt;mso-position-horizontal-relative:char;mso-position-vertical-relative:line" type="#_x0000_t202" filled="true" fillcolor="#ccffcc" stroked="false">
            <w10:anchorlock/>
            <v:textbox inset="0,0,0,0">
              <w:txbxContent>
                <w:p>
                  <w:pPr>
                    <w:spacing w:line="357" w:lineRule="auto" w:before="128"/>
                    <w:ind w:left="159" w:right="155" w:firstLine="0"/>
                    <w:jc w:val="both"/>
                    <w:rPr>
                      <w:rFonts w:ascii="宋体" w:hAnsi="宋体" w:cs="宋体" w:eastAsia="宋体" w:hint="default"/>
                      <w:sz w:val="24"/>
                      <w:szCs w:val="24"/>
                    </w:rPr>
                  </w:pPr>
                  <w:r>
                    <w:rPr>
                      <w:rFonts w:ascii="宋体" w:hAnsi="宋体" w:cs="宋体" w:eastAsia="宋体" w:hint="default"/>
                      <w:sz w:val="24"/>
                      <w:szCs w:val="24"/>
                    </w:rPr>
                    <w:t>◆确保资金资产安全完整及资源有效整合。严格执行资金收支两条线，密切</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监控执行中潜在的风险，避免因管理不到位造成资产损失；加强网络资源利</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用率管理，整合各类资源资产，有效实施资源协同和资产盘活。</w:t>
                  </w:r>
                </w:p>
              </w:txbxContent>
            </v:textbox>
            <v:fill type="solid"/>
          </v:shape>
        </w:pict>
      </w:r>
      <w:r>
        <w:rPr>
          <w:rFonts w:ascii="宋体" w:hAnsi="宋体" w:cs="宋体" w:eastAsia="宋体" w:hint="default"/>
          <w:position w:val="-31"/>
          <w:sz w:val="20"/>
          <w:szCs w:val="20"/>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p>
      <w:pPr>
        <w:spacing w:line="1575" w:lineRule="exact"/>
        <w:ind w:left="112" w:right="0" w:firstLine="0"/>
        <w:rPr>
          <w:rFonts w:ascii="宋体" w:hAnsi="宋体" w:cs="宋体" w:eastAsia="宋体" w:hint="default"/>
          <w:sz w:val="20"/>
          <w:szCs w:val="20"/>
        </w:rPr>
      </w:pPr>
      <w:r>
        <w:rPr>
          <w:rFonts w:ascii="宋体" w:hAnsi="宋体" w:cs="宋体" w:eastAsia="宋体" w:hint="default"/>
          <w:position w:val="-31"/>
          <w:sz w:val="20"/>
          <w:szCs w:val="20"/>
        </w:rPr>
        <w:pict>
          <v:shape style="width:414.75pt;height:78.75pt;mso-position-horizontal-relative:char;mso-position-vertical-relative:line" type="#_x0000_t202" filled="true" fillcolor="#ccffcc" stroked="false">
            <w10:anchorlock/>
            <v:textbox inset="0,0,0,0">
              <w:txbxContent>
                <w:p>
                  <w:pPr>
                    <w:spacing w:line="357" w:lineRule="auto" w:before="128"/>
                    <w:ind w:left="159" w:right="155" w:firstLine="0"/>
                    <w:jc w:val="both"/>
                    <w:rPr>
                      <w:rFonts w:ascii="宋体" w:hAnsi="宋体" w:cs="宋体" w:eastAsia="宋体" w:hint="default"/>
                      <w:sz w:val="24"/>
                      <w:szCs w:val="24"/>
                    </w:rPr>
                  </w:pPr>
                  <w:r>
                    <w:rPr>
                      <w:rFonts w:ascii="宋体" w:hAnsi="宋体" w:cs="宋体" w:eastAsia="宋体" w:hint="default"/>
                      <w:sz w:val="24"/>
                      <w:szCs w:val="24"/>
                    </w:rPr>
                    <w:t>◆促进资本性投资的效益和效率。关注资本性投资前期可行性研究责任的落</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实，促进资本性投资尽快发挥生产能力，并落实项目投资对公司经营发展影</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响的后评估责任。</w:t>
                  </w:r>
                </w:p>
              </w:txbxContent>
            </v:textbox>
            <v:fill type="solid"/>
          </v:shape>
        </w:pict>
      </w:r>
      <w:r>
        <w:rPr>
          <w:rFonts w:ascii="宋体" w:hAnsi="宋体" w:cs="宋体" w:eastAsia="宋体" w:hint="default"/>
          <w:position w:val="-31"/>
          <w:sz w:val="20"/>
          <w:szCs w:val="20"/>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p>
      <w:pPr>
        <w:spacing w:line="2043" w:lineRule="exact"/>
        <w:ind w:left="112" w:right="0" w:firstLine="0"/>
        <w:rPr>
          <w:rFonts w:ascii="宋体" w:hAnsi="宋体" w:cs="宋体" w:eastAsia="宋体" w:hint="default"/>
          <w:sz w:val="20"/>
          <w:szCs w:val="20"/>
        </w:rPr>
      </w:pPr>
      <w:r>
        <w:rPr>
          <w:rFonts w:ascii="宋体" w:hAnsi="宋体" w:cs="宋体" w:eastAsia="宋体" w:hint="default"/>
          <w:position w:val="-40"/>
          <w:sz w:val="20"/>
          <w:szCs w:val="20"/>
        </w:rPr>
        <w:pict>
          <v:shape style="width:414.75pt;height:102.15pt;mso-position-horizontal-relative:char;mso-position-vertical-relative:line" type="#_x0000_t202" filled="true" fillcolor="#ccffcc" stroked="false">
            <w10:anchorlock/>
            <v:textbox inset="0,0,0,0">
              <w:txbxContent>
                <w:p>
                  <w:pPr>
                    <w:spacing w:line="357" w:lineRule="auto" w:before="128"/>
                    <w:ind w:left="159" w:right="155" w:firstLine="0"/>
                    <w:jc w:val="both"/>
                    <w:rPr>
                      <w:rFonts w:ascii="宋体" w:hAnsi="宋体" w:cs="宋体" w:eastAsia="宋体" w:hint="default"/>
                      <w:sz w:val="24"/>
                      <w:szCs w:val="24"/>
                    </w:rPr>
                  </w:pPr>
                  <w:r>
                    <w:rPr>
                      <w:rFonts w:ascii="宋体" w:hAnsi="宋体" w:cs="宋体" w:eastAsia="宋体" w:hint="default"/>
                      <w:sz w:val="24"/>
                      <w:szCs w:val="24"/>
                    </w:rPr>
                    <w:t>◆建立良好的内控机制环境和内控文化。从风险与效率的平衡点出发，研究</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优化、简化流程的有效控制措施，避免因控制过度而牺牲管理效率、贻误发</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展时机；定期进行经营及财务分析，对生产经营、预算执行存在的异常变动</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查找原因、及时处理；严格保守企业秘密，维护企业利益。</w:t>
                  </w:r>
                </w:p>
              </w:txbxContent>
            </v:textbox>
            <v:fill type="solid"/>
          </v:shape>
        </w:pict>
      </w:r>
      <w:r>
        <w:rPr>
          <w:rFonts w:ascii="宋体" w:hAnsi="宋体" w:cs="宋体" w:eastAsia="宋体" w:hint="default"/>
          <w:position w:val="-40"/>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08" w:lineRule="auto" w:before="177"/>
        <w:ind w:left="119" w:right="85" w:firstLine="560"/>
        <w:jc w:val="left"/>
        <w:rPr>
          <w:rFonts w:ascii="宋体" w:hAnsi="宋体" w:cs="宋体" w:eastAsia="宋体" w:hint="default"/>
          <w:sz w:val="28"/>
          <w:szCs w:val="28"/>
        </w:rPr>
      </w:pPr>
      <w:r>
        <w:rPr>
          <w:rFonts w:ascii="宋体" w:hAnsi="宋体" w:cs="宋体" w:eastAsia="宋体" w:hint="default"/>
          <w:sz w:val="28"/>
          <w:szCs w:val="28"/>
        </w:rPr>
        <w:t>根据企业内部控制规范，针对经营管理中存在的突出问题及内、</w:t>
      </w:r>
      <w:r>
        <w:rPr>
          <w:rFonts w:ascii="宋体" w:hAnsi="宋体" w:cs="宋体" w:eastAsia="宋体" w:hint="default"/>
          <w:w w:val="99"/>
          <w:sz w:val="28"/>
          <w:szCs w:val="28"/>
        </w:rPr>
        <w:t> </w:t>
      </w:r>
      <w:r>
        <w:rPr>
          <w:rFonts w:ascii="宋体" w:hAnsi="宋体" w:cs="宋体" w:eastAsia="宋体" w:hint="default"/>
          <w:spacing w:val="-4"/>
          <w:sz w:val="28"/>
          <w:szCs w:val="28"/>
        </w:rPr>
        <w:t>外部审计中发现的影响企业经营效益、财务信息真实及资金资产安全</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等风险问题，重点评审：重要业务管控的有效性；权责发生制原则的</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执行情况；会业核对责任机制的建立和落实；资金的安全完整；资本</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性开支的规范性；资产严格管控及账实核对相符；信息系统内控总体</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4"/>
          <w:sz w:val="28"/>
          <w:szCs w:val="28"/>
        </w:rPr>
        <w:t>要求。围绕保证资产的保值增值及经营管理的合规，经营绩效及经营</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的效益性，资产、负债、权益和经营成果的真实性以及投资经营决策</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6"/>
          <w:sz w:val="28"/>
          <w:szCs w:val="28"/>
        </w:rPr>
        <w:t>等重大事项等，对原中国联通、中国网通</w:t>
      </w:r>
      <w:r>
        <w:rPr>
          <w:rFonts w:ascii="宋体" w:hAnsi="宋体" w:cs="宋体" w:eastAsia="宋体" w:hint="default"/>
          <w:spacing w:val="-69"/>
          <w:sz w:val="28"/>
          <w:szCs w:val="28"/>
        </w:rPr>
        <w:t> </w:t>
      </w:r>
      <w:r>
        <w:rPr>
          <w:rFonts w:ascii="宋体" w:hAnsi="宋体" w:cs="宋体" w:eastAsia="宋体" w:hint="default"/>
          <w:sz w:val="28"/>
          <w:szCs w:val="28"/>
        </w:rPr>
        <w:t>26</w:t>
      </w:r>
      <w:r>
        <w:rPr>
          <w:rFonts w:ascii="宋体" w:hAnsi="宋体" w:cs="宋体" w:eastAsia="宋体" w:hint="default"/>
          <w:spacing w:val="-71"/>
          <w:sz w:val="28"/>
          <w:szCs w:val="28"/>
        </w:rPr>
        <w:t> </w:t>
      </w:r>
      <w:r>
        <w:rPr>
          <w:rFonts w:ascii="宋体" w:hAnsi="宋体" w:cs="宋体" w:eastAsia="宋体" w:hint="default"/>
          <w:sz w:val="28"/>
          <w:szCs w:val="28"/>
        </w:rPr>
        <w:t>个省的</w:t>
      </w:r>
      <w:r>
        <w:rPr>
          <w:rFonts w:ascii="宋体" w:hAnsi="宋体" w:cs="宋体" w:eastAsia="宋体" w:hint="default"/>
          <w:spacing w:val="-69"/>
          <w:sz w:val="28"/>
          <w:szCs w:val="28"/>
        </w:rPr>
        <w:t> </w:t>
      </w:r>
      <w:r>
        <w:rPr>
          <w:rFonts w:ascii="宋体" w:hAnsi="宋体" w:cs="宋体" w:eastAsia="宋体" w:hint="default"/>
          <w:sz w:val="28"/>
          <w:szCs w:val="28"/>
        </w:rPr>
        <w:t>52</w:t>
      </w:r>
      <w:r>
        <w:rPr>
          <w:rFonts w:ascii="宋体" w:hAnsi="宋体" w:cs="宋体" w:eastAsia="宋体" w:hint="default"/>
          <w:spacing w:val="-69"/>
          <w:sz w:val="28"/>
          <w:szCs w:val="28"/>
        </w:rPr>
        <w:t> </w:t>
      </w:r>
      <w:r>
        <w:rPr>
          <w:rFonts w:ascii="宋体" w:hAnsi="宋体" w:cs="宋体" w:eastAsia="宋体" w:hint="default"/>
          <w:sz w:val="28"/>
          <w:szCs w:val="28"/>
        </w:rPr>
        <w:t>位领导干部进</w:t>
      </w:r>
    </w:p>
    <w:p>
      <w:pPr>
        <w:spacing w:after="0" w:line="408" w:lineRule="auto"/>
        <w:jc w:val="left"/>
        <w:rPr>
          <w:rFonts w:ascii="宋体" w:hAnsi="宋体" w:cs="宋体" w:eastAsia="宋体" w:hint="default"/>
          <w:sz w:val="28"/>
          <w:szCs w:val="28"/>
        </w:rPr>
        <w:sectPr>
          <w:headerReference w:type="default" r:id="rId188"/>
          <w:footerReference w:type="default" r:id="rId189"/>
          <w:pgSz w:w="11910" w:h="16840"/>
          <w:pgMar w:header="0" w:footer="982" w:top="1500" w:bottom="1180" w:left="1680" w:right="1600"/>
          <w:pgNumType w:start="12"/>
        </w:sectPr>
      </w:pPr>
    </w:p>
    <w:p>
      <w:pPr>
        <w:pStyle w:val="Heading7"/>
        <w:spacing w:line="351" w:lineRule="exact"/>
        <w:ind w:right="0"/>
        <w:jc w:val="both"/>
      </w:pPr>
      <w:r>
        <w:rPr>
          <w:spacing w:val="-4"/>
        </w:rPr>
        <w:t>行了离任经济责任审计，客观评价任期内公司经营效益，准确界定领</w:t>
      </w:r>
    </w:p>
    <w:p>
      <w:pPr>
        <w:spacing w:line="240" w:lineRule="auto" w:before="9"/>
        <w:rPr>
          <w:rFonts w:ascii="宋体" w:hAnsi="宋体" w:cs="宋体" w:eastAsia="宋体" w:hint="default"/>
          <w:sz w:val="19"/>
          <w:szCs w:val="19"/>
        </w:rPr>
      </w:pPr>
    </w:p>
    <w:p>
      <w:pPr>
        <w:spacing w:before="0"/>
        <w:ind w:left="120" w:right="0" w:firstLine="0"/>
        <w:jc w:val="both"/>
        <w:rPr>
          <w:rFonts w:ascii="宋体" w:hAnsi="宋体" w:cs="宋体" w:eastAsia="宋体" w:hint="default"/>
          <w:sz w:val="28"/>
          <w:szCs w:val="28"/>
        </w:rPr>
      </w:pPr>
      <w:r>
        <w:rPr>
          <w:rFonts w:ascii="宋体" w:hAnsi="宋体" w:cs="宋体" w:eastAsia="宋体" w:hint="default"/>
          <w:sz w:val="28"/>
          <w:szCs w:val="28"/>
        </w:rPr>
        <w:t>导干部经济责任。</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3"/>
        <w:rPr>
          <w:rFonts w:ascii="宋体" w:hAnsi="宋体" w:cs="宋体" w:eastAsia="宋体" w:hint="default"/>
          <w:sz w:val="26"/>
          <w:szCs w:val="26"/>
        </w:rPr>
      </w:pPr>
    </w:p>
    <w:p>
      <w:pPr>
        <w:spacing w:before="0"/>
        <w:ind w:left="120" w:right="0" w:firstLine="0"/>
        <w:jc w:val="both"/>
        <w:rPr>
          <w:rFonts w:ascii="黑体" w:hAnsi="黑体" w:cs="黑体" w:eastAsia="黑体" w:hint="default"/>
          <w:sz w:val="36"/>
          <w:szCs w:val="36"/>
        </w:rPr>
      </w:pPr>
      <w:r>
        <w:rPr>
          <w:rFonts w:ascii="黑体" w:hAnsi="黑体" w:cs="黑体" w:eastAsia="黑体" w:hint="default"/>
          <w:b/>
          <w:bCs/>
          <w:sz w:val="36"/>
          <w:szCs w:val="36"/>
        </w:rPr>
        <w:t>加强反腐倡廉建设</w:t>
      </w:r>
      <w:r>
        <w:rPr>
          <w:rFonts w:ascii="黑体" w:hAnsi="黑体" w:cs="黑体" w:eastAsia="黑体" w:hint="default"/>
          <w:b/>
          <w:bCs/>
          <w:spacing w:val="172"/>
          <w:sz w:val="36"/>
          <w:szCs w:val="36"/>
        </w:rPr>
        <w:t> </w:t>
      </w:r>
      <w:r>
        <w:rPr>
          <w:rFonts w:ascii="黑体" w:hAnsi="黑体" w:cs="黑体" w:eastAsia="黑体" w:hint="default"/>
          <w:b/>
          <w:bCs/>
          <w:sz w:val="36"/>
          <w:szCs w:val="36"/>
        </w:rPr>
        <w:t>构建惩治和预防腐败体系</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1"/>
        <w:rPr>
          <w:rFonts w:ascii="黑体" w:hAnsi="黑体" w:cs="黑体" w:eastAsia="黑体" w:hint="default"/>
          <w:b/>
          <w:bCs/>
          <w:sz w:val="27"/>
          <w:szCs w:val="27"/>
        </w:rPr>
      </w:pPr>
    </w:p>
    <w:p>
      <w:pPr>
        <w:spacing w:before="0"/>
        <w:ind w:left="120" w:right="0" w:firstLine="0"/>
        <w:jc w:val="both"/>
        <w:rPr>
          <w:rFonts w:ascii="黑体" w:hAnsi="黑体" w:cs="黑体" w:eastAsia="黑体" w:hint="default"/>
          <w:sz w:val="30"/>
          <w:szCs w:val="30"/>
        </w:rPr>
      </w:pPr>
      <w:r>
        <w:rPr>
          <w:rFonts w:ascii="黑体" w:hAnsi="黑体" w:cs="黑体" w:eastAsia="黑体" w:hint="default"/>
          <w:b/>
          <w:bCs/>
          <w:sz w:val="30"/>
          <w:szCs w:val="30"/>
        </w:rPr>
        <w:t>完善机制</w:t>
      </w:r>
      <w:r>
        <w:rPr>
          <w:rFonts w:ascii="黑体" w:hAnsi="黑体" w:cs="黑体" w:eastAsia="黑体" w:hint="default"/>
          <w:sz w:val="30"/>
          <w:szCs w:val="30"/>
        </w:rPr>
      </w:r>
    </w:p>
    <w:p>
      <w:pPr>
        <w:spacing w:line="408" w:lineRule="auto" w:before="246"/>
        <w:ind w:left="119" w:right="116" w:firstLine="560"/>
        <w:jc w:val="both"/>
        <w:rPr>
          <w:rFonts w:ascii="宋体" w:hAnsi="宋体" w:cs="宋体" w:eastAsia="宋体" w:hint="default"/>
          <w:sz w:val="28"/>
          <w:szCs w:val="28"/>
        </w:rPr>
      </w:pPr>
      <w:r>
        <w:rPr>
          <w:rFonts w:ascii="宋体" w:hAnsi="宋体" w:cs="宋体" w:eastAsia="宋体" w:hint="default"/>
          <w:spacing w:val="-4"/>
          <w:sz w:val="28"/>
          <w:szCs w:val="28"/>
        </w:rPr>
        <w:t>中国联通注重加强反腐倡廉建设，坚持把构建惩治和预防腐败体</w:t>
      </w:r>
      <w:r>
        <w:rPr>
          <w:rFonts w:ascii="宋体" w:hAnsi="宋体" w:cs="宋体" w:eastAsia="宋体" w:hint="default"/>
          <w:w w:val="99"/>
          <w:sz w:val="28"/>
          <w:szCs w:val="28"/>
        </w:rPr>
        <w:t> </w:t>
      </w:r>
      <w:r>
        <w:rPr>
          <w:rFonts w:ascii="宋体" w:hAnsi="宋体" w:cs="宋体" w:eastAsia="宋体" w:hint="default"/>
          <w:spacing w:val="-4"/>
          <w:sz w:val="28"/>
          <w:szCs w:val="28"/>
        </w:rPr>
        <w:t>系作为深化企业改革、加快发展的重要内容，把教育、制度、监督等</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工作贯穿于生产经营全过程，坚持推进反腐倡廉制度建设，完善企业</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内部监督制约机制。</w:t>
      </w:r>
    </w:p>
    <w:p>
      <w:pPr>
        <w:spacing w:line="240" w:lineRule="auto" w:before="6"/>
        <w:rPr>
          <w:rFonts w:ascii="宋体" w:hAnsi="宋体" w:cs="宋体" w:eastAsia="宋体" w:hint="default"/>
          <w:sz w:val="27"/>
          <w:szCs w:val="27"/>
        </w:rPr>
      </w:pPr>
    </w:p>
    <w:p>
      <w:pPr>
        <w:spacing w:line="1575" w:lineRule="exact"/>
        <w:ind w:left="112" w:right="0" w:firstLine="0"/>
        <w:rPr>
          <w:rFonts w:ascii="宋体" w:hAnsi="宋体" w:cs="宋体" w:eastAsia="宋体" w:hint="default"/>
          <w:sz w:val="20"/>
          <w:szCs w:val="20"/>
        </w:rPr>
      </w:pPr>
      <w:r>
        <w:rPr>
          <w:rFonts w:ascii="宋体" w:hAnsi="宋体" w:cs="宋体" w:eastAsia="宋体" w:hint="default"/>
          <w:position w:val="-31"/>
          <w:sz w:val="20"/>
          <w:szCs w:val="20"/>
        </w:rPr>
        <w:pict>
          <v:shape style="width:414.75pt;height:78.75pt;mso-position-horizontal-relative:char;mso-position-vertical-relative:line" type="#_x0000_t202" filled="true" fillcolor="#ffff99" stroked="false">
            <w10:anchorlock/>
            <v:textbox inset="0,0,0,0">
              <w:txbxContent>
                <w:p>
                  <w:pPr>
                    <w:spacing w:line="357" w:lineRule="auto" w:before="128"/>
                    <w:ind w:left="159" w:right="154" w:firstLine="0"/>
                    <w:jc w:val="both"/>
                    <w:rPr>
                      <w:rFonts w:ascii="宋体" w:hAnsi="宋体" w:cs="宋体" w:eastAsia="宋体" w:hint="default"/>
                      <w:sz w:val="24"/>
                      <w:szCs w:val="24"/>
                    </w:rPr>
                  </w:pPr>
                  <w:r>
                    <w:rPr>
                      <w:rFonts w:ascii="宋体" w:hAnsi="宋体" w:cs="宋体" w:eastAsia="宋体" w:hint="default"/>
                      <w:spacing w:val="-19"/>
                      <w:sz w:val="24"/>
                      <w:szCs w:val="24"/>
                    </w:rPr>
                    <w:t>◆相继制定出台《反舞弊暂行规定》、《舞弊举报受理、调查、处理办法》、《不</w:t>
                  </w:r>
                  <w:r>
                    <w:rPr>
                      <w:rFonts w:ascii="宋体" w:hAnsi="宋体" w:cs="宋体" w:eastAsia="宋体" w:hint="default"/>
                      <w:spacing w:val="-114"/>
                      <w:sz w:val="24"/>
                      <w:szCs w:val="24"/>
                    </w:rPr>
                    <w:t> </w:t>
                  </w:r>
                  <w:r>
                    <w:rPr>
                      <w:rFonts w:ascii="宋体" w:hAnsi="宋体" w:cs="宋体" w:eastAsia="宋体" w:hint="default"/>
                      <w:spacing w:val="-114"/>
                      <w:sz w:val="24"/>
                      <w:szCs w:val="24"/>
                    </w:rPr>
                  </w:r>
                  <w:r>
                    <w:rPr>
                      <w:rFonts w:ascii="宋体" w:hAnsi="宋体" w:cs="宋体" w:eastAsia="宋体" w:hint="default"/>
                      <w:spacing w:val="-6"/>
                      <w:sz w:val="24"/>
                      <w:szCs w:val="24"/>
                    </w:rPr>
                    <w:t>相容岗位职责分离暂行规定》、《员工违规违纪处理办法》等规定和办法，加</w:t>
                  </w:r>
                  <w:r>
                    <w:rPr>
                      <w:rFonts w:ascii="宋体" w:hAnsi="宋体" w:cs="宋体" w:eastAsia="宋体" w:hint="default"/>
                      <w:spacing w:val="1"/>
                      <w:sz w:val="24"/>
                      <w:szCs w:val="24"/>
                    </w:rPr>
                    <w:t> </w:t>
                  </w:r>
                  <w:r>
                    <w:rPr>
                      <w:rFonts w:ascii="宋体" w:hAnsi="宋体" w:cs="宋体" w:eastAsia="宋体" w:hint="default"/>
                      <w:sz w:val="24"/>
                      <w:szCs w:val="24"/>
                    </w:rPr>
                    <w:t>强对规章制度执行情况的监督检查，促进反腐倡廉各项措施和要求的落实。</w:t>
                  </w:r>
                </w:p>
              </w:txbxContent>
            </v:textbox>
            <v:fill type="solid"/>
          </v:shape>
        </w:pict>
      </w:r>
      <w:r>
        <w:rPr>
          <w:rFonts w:ascii="宋体" w:hAnsi="宋体" w:cs="宋体" w:eastAsia="宋体" w:hint="default"/>
          <w:position w:val="-31"/>
          <w:sz w:val="20"/>
          <w:szCs w:val="20"/>
        </w:rPr>
      </w:r>
    </w:p>
    <w:p>
      <w:pPr>
        <w:spacing w:line="240" w:lineRule="auto" w:before="0"/>
        <w:rPr>
          <w:rFonts w:ascii="宋体" w:hAnsi="宋体" w:cs="宋体" w:eastAsia="宋体" w:hint="default"/>
          <w:sz w:val="28"/>
          <w:szCs w:val="28"/>
        </w:rPr>
      </w:pPr>
    </w:p>
    <w:p>
      <w:pPr>
        <w:spacing w:before="241"/>
        <w:ind w:left="120" w:right="0" w:firstLine="0"/>
        <w:jc w:val="both"/>
        <w:rPr>
          <w:rFonts w:ascii="黑体" w:hAnsi="黑体" w:cs="黑体" w:eastAsia="黑体" w:hint="default"/>
          <w:sz w:val="30"/>
          <w:szCs w:val="30"/>
        </w:rPr>
      </w:pPr>
      <w:r>
        <w:rPr>
          <w:rFonts w:ascii="黑体" w:hAnsi="黑体" w:cs="黑体" w:eastAsia="黑体" w:hint="default"/>
          <w:b/>
          <w:bCs/>
          <w:sz w:val="30"/>
          <w:szCs w:val="30"/>
        </w:rPr>
        <w:t>强化意识</w:t>
      </w:r>
      <w:r>
        <w:rPr>
          <w:rFonts w:ascii="黑体" w:hAnsi="黑体" w:cs="黑体" w:eastAsia="黑体" w:hint="default"/>
          <w:sz w:val="30"/>
          <w:szCs w:val="30"/>
        </w:rPr>
      </w:r>
    </w:p>
    <w:p>
      <w:pPr>
        <w:spacing w:before="246"/>
        <w:ind w:left="680" w:right="0" w:firstLine="0"/>
        <w:jc w:val="left"/>
        <w:rPr>
          <w:rFonts w:ascii="宋体" w:hAnsi="宋体" w:cs="宋体" w:eastAsia="宋体" w:hint="default"/>
          <w:sz w:val="28"/>
          <w:szCs w:val="28"/>
        </w:rPr>
      </w:pPr>
      <w:r>
        <w:rPr>
          <w:rFonts w:ascii="宋体" w:hAnsi="宋体" w:cs="宋体" w:eastAsia="宋体" w:hint="default"/>
          <w:spacing w:val="-6"/>
          <w:sz w:val="28"/>
          <w:szCs w:val="28"/>
        </w:rPr>
        <w:t>深入开展反腐倡廉教育，不断强化员工的廉洁从业意识。加强对</w:t>
      </w:r>
    </w:p>
    <w:p>
      <w:pPr>
        <w:spacing w:line="240" w:lineRule="auto" w:before="9"/>
        <w:rPr>
          <w:rFonts w:ascii="宋体" w:hAnsi="宋体" w:cs="宋体" w:eastAsia="宋体" w:hint="default"/>
          <w:sz w:val="19"/>
          <w:szCs w:val="19"/>
        </w:rPr>
      </w:pPr>
    </w:p>
    <w:p>
      <w:pPr>
        <w:spacing w:line="408" w:lineRule="auto" w:before="0"/>
        <w:ind w:left="119" w:right="117" w:firstLine="0"/>
        <w:jc w:val="both"/>
        <w:rPr>
          <w:rFonts w:ascii="宋体" w:hAnsi="宋体" w:cs="宋体" w:eastAsia="宋体" w:hint="default"/>
          <w:sz w:val="28"/>
          <w:szCs w:val="28"/>
        </w:rPr>
      </w:pPr>
      <w:r>
        <w:rPr>
          <w:rFonts w:ascii="宋体" w:hAnsi="宋体" w:cs="宋体" w:eastAsia="宋体" w:hint="default"/>
          <w:spacing w:val="-4"/>
          <w:sz w:val="28"/>
          <w:szCs w:val="28"/>
        </w:rPr>
        <w:t>《国有企业领导人员廉洁从业若干规定》的学习和宣传，促进各级管</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理人员提高廉洁意识、把握是非界限、规范从业行为。创新形式和载</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体，推进企业廉洁文化建设。</w:t>
      </w:r>
    </w:p>
    <w:p>
      <w:pPr>
        <w:spacing w:after="0" w:line="408" w:lineRule="auto"/>
        <w:jc w:val="both"/>
        <w:rPr>
          <w:rFonts w:ascii="宋体" w:hAnsi="宋体" w:cs="宋体" w:eastAsia="宋体" w:hint="default"/>
          <w:sz w:val="28"/>
          <w:szCs w:val="28"/>
        </w:rPr>
        <w:sectPr>
          <w:headerReference w:type="default" r:id="rId190"/>
          <w:footerReference w:type="default" r:id="rId191"/>
          <w:pgSz w:w="11910" w:h="16840"/>
          <w:pgMar w:header="0" w:footer="982" w:top="1540" w:bottom="1180" w:left="1680" w:right="1680"/>
          <w:pgNumType w:start="13"/>
        </w:sectPr>
      </w:pPr>
    </w:p>
    <w:p>
      <w:pPr>
        <w:spacing w:line="240" w:lineRule="auto" w:before="0"/>
        <w:rPr>
          <w:rFonts w:ascii="宋体" w:hAnsi="宋体" w:cs="宋体" w:eastAsia="宋体" w:hint="default"/>
          <w:sz w:val="17"/>
          <w:szCs w:val="17"/>
        </w:rPr>
      </w:pPr>
    </w:p>
    <w:p>
      <w:pPr>
        <w:spacing w:line="1185" w:lineRule="exact"/>
        <w:ind w:left="132" w:right="0" w:firstLine="0"/>
        <w:rPr>
          <w:rFonts w:ascii="宋体" w:hAnsi="宋体" w:cs="宋体" w:eastAsia="宋体" w:hint="default"/>
          <w:sz w:val="20"/>
          <w:szCs w:val="20"/>
        </w:rPr>
      </w:pPr>
      <w:r>
        <w:rPr>
          <w:rFonts w:ascii="宋体" w:hAnsi="宋体" w:cs="宋体" w:eastAsia="宋体" w:hint="default"/>
          <w:position w:val="-23"/>
          <w:sz w:val="20"/>
          <w:szCs w:val="20"/>
        </w:rPr>
        <w:pict>
          <v:shape style="width:414.75pt;height:59.25pt;mso-position-horizontal-relative:char;mso-position-vertical-relative:line" type="#_x0000_t202" filled="true" fillcolor="#ffff99" stroked="false">
            <w10:anchorlock/>
            <v:textbox inset="0,0,0,0">
              <w:txbxContent>
                <w:p>
                  <w:pPr>
                    <w:spacing w:line="357" w:lineRule="auto" w:before="128"/>
                    <w:ind w:left="158" w:right="214" w:firstLine="0"/>
                    <w:jc w:val="left"/>
                    <w:rPr>
                      <w:rFonts w:ascii="宋体" w:hAnsi="宋体" w:cs="宋体" w:eastAsia="宋体" w:hint="default"/>
                      <w:sz w:val="24"/>
                      <w:szCs w:val="24"/>
                    </w:rPr>
                  </w:pPr>
                  <w:r>
                    <w:rPr>
                      <w:rFonts w:ascii="宋体" w:hAnsi="宋体" w:cs="宋体" w:eastAsia="宋体" w:hint="default"/>
                      <w:sz w:val="24"/>
                      <w:szCs w:val="24"/>
                    </w:rPr>
                    <w:t>◆组织廉洁从业专题辅导报告会、举办员工法律知识竞赛活动、制作并推广 使用廉洁屏保、定期发送廉洁短信，营造依法经营、廉洁从业的良好氛围。</w:t>
                  </w:r>
                </w:p>
              </w:txbxContent>
            </v:textbox>
            <v:fill type="solid"/>
          </v:shape>
        </w:pict>
      </w:r>
      <w:r>
        <w:rPr>
          <w:rFonts w:ascii="宋体" w:hAnsi="宋体" w:cs="宋体" w:eastAsia="宋体" w:hint="default"/>
          <w:position w:val="-23"/>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spacing w:before="7"/>
        <w:ind w:left="120" w:right="0" w:firstLine="0"/>
        <w:jc w:val="left"/>
        <w:rPr>
          <w:rFonts w:ascii="黑体" w:hAnsi="黑体" w:cs="黑体" w:eastAsia="黑体" w:hint="default"/>
          <w:sz w:val="30"/>
          <w:szCs w:val="30"/>
        </w:rPr>
      </w:pPr>
      <w:r>
        <w:rPr>
          <w:rFonts w:ascii="黑体" w:hAnsi="黑体" w:cs="黑体" w:eastAsia="黑体" w:hint="default"/>
          <w:b/>
          <w:bCs/>
          <w:sz w:val="30"/>
          <w:szCs w:val="30"/>
        </w:rPr>
        <w:t>严格监督</w:t>
      </w:r>
      <w:r>
        <w:rPr>
          <w:rFonts w:ascii="黑体" w:hAnsi="黑体" w:cs="黑体" w:eastAsia="黑体" w:hint="default"/>
          <w:sz w:val="30"/>
          <w:szCs w:val="30"/>
        </w:rPr>
      </w:r>
    </w:p>
    <w:p>
      <w:pPr>
        <w:spacing w:line="408" w:lineRule="auto" w:before="246"/>
        <w:ind w:left="119" w:right="116" w:firstLine="560"/>
        <w:jc w:val="both"/>
        <w:rPr>
          <w:rFonts w:ascii="宋体" w:hAnsi="宋体" w:cs="宋体" w:eastAsia="宋体" w:hint="default"/>
          <w:sz w:val="28"/>
          <w:szCs w:val="28"/>
        </w:rPr>
      </w:pPr>
      <w:r>
        <w:rPr>
          <w:rFonts w:ascii="宋体" w:hAnsi="宋体" w:cs="宋体" w:eastAsia="宋体" w:hint="default"/>
          <w:spacing w:val="-4"/>
          <w:sz w:val="28"/>
          <w:szCs w:val="28"/>
        </w:rPr>
        <w:t>企业注重发挥监察部门的监督作用，加强对重大项目进展及资金</w:t>
      </w:r>
      <w:r>
        <w:rPr>
          <w:rFonts w:ascii="宋体" w:hAnsi="宋体" w:cs="宋体" w:eastAsia="宋体" w:hint="default"/>
          <w:w w:val="99"/>
          <w:sz w:val="28"/>
          <w:szCs w:val="28"/>
        </w:rPr>
        <w:t> </w:t>
      </w:r>
      <w:r>
        <w:rPr>
          <w:rFonts w:ascii="宋体" w:hAnsi="宋体" w:cs="宋体" w:eastAsia="宋体" w:hint="default"/>
          <w:spacing w:val="-4"/>
          <w:sz w:val="28"/>
          <w:szCs w:val="28"/>
        </w:rPr>
        <w:t>使用情况的监督检查，针对经营管理的重要领域和关键环节，修订完</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4"/>
          <w:sz w:val="28"/>
          <w:szCs w:val="28"/>
        </w:rPr>
        <w:t>善制度、规范业务流程、堵塞管理漏洞，促进各项工作有序进行。围</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绕生产经营中的主要风险点，深入开展效能监察，降低管理风险，改</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善管理效能，提高企业效益。</w:t>
      </w:r>
    </w:p>
    <w:p>
      <w:pPr>
        <w:spacing w:line="240" w:lineRule="auto" w:before="6"/>
        <w:rPr>
          <w:rFonts w:ascii="宋体" w:hAnsi="宋体" w:cs="宋体" w:eastAsia="宋体" w:hint="default"/>
          <w:sz w:val="27"/>
          <w:szCs w:val="27"/>
        </w:rPr>
      </w:pPr>
    </w:p>
    <w:p>
      <w:pPr>
        <w:spacing w:line="2589" w:lineRule="exact"/>
        <w:ind w:left="132" w:right="0" w:firstLine="0"/>
        <w:rPr>
          <w:rFonts w:ascii="宋体" w:hAnsi="宋体" w:cs="宋体" w:eastAsia="宋体" w:hint="default"/>
          <w:sz w:val="20"/>
          <w:szCs w:val="20"/>
        </w:rPr>
      </w:pPr>
      <w:r>
        <w:rPr>
          <w:rFonts w:ascii="宋体" w:hAnsi="宋体" w:cs="宋体" w:eastAsia="宋体" w:hint="default"/>
          <w:position w:val="-51"/>
          <w:sz w:val="20"/>
          <w:szCs w:val="20"/>
        </w:rPr>
        <w:pict>
          <v:shape style="width:414.75pt;height:129.4500pt;mso-position-horizontal-relative:char;mso-position-vertical-relative:line" type="#_x0000_t202" filled="true" fillcolor="#ffff99" stroked="false">
            <w10:anchorlock/>
            <v:textbox inset="0,0,0,0">
              <w:txbxContent>
                <w:p>
                  <w:pPr>
                    <w:spacing w:line="357" w:lineRule="auto" w:before="128"/>
                    <w:ind w:left="158" w:right="214" w:firstLine="0"/>
                    <w:jc w:val="both"/>
                    <w:rPr>
                      <w:rFonts w:ascii="宋体" w:hAnsi="宋体" w:cs="宋体" w:eastAsia="宋体" w:hint="default"/>
                      <w:sz w:val="24"/>
                      <w:szCs w:val="24"/>
                    </w:rPr>
                  </w:pPr>
                  <w:r>
                    <w:rPr>
                      <w:rFonts w:ascii="宋体" w:hAnsi="宋体" w:cs="宋体" w:eastAsia="宋体" w:hint="default"/>
                      <w:sz w:val="24"/>
                      <w:szCs w:val="24"/>
                    </w:rPr>
                    <w:t>◆强化对设备采购、工程建设、人员招聘等重要工作的过程监督，规范监督 程序，防范违规违纪行为发生。畅通举报渠道，公开举报电话、网上举报电 子邮箱，由专人负责进行登记处理。对于经过调查属实的违规违纪问题，根 据国家和公司有关规定严肃进行处理；对于经过调查确属举报不实的，在一 定范围内进行澄清，保护员工的合法权益。</w:t>
                  </w:r>
                </w:p>
              </w:txbxContent>
            </v:textbox>
            <v:fill type="solid"/>
          </v:shape>
        </w:pict>
      </w:r>
      <w:r>
        <w:rPr>
          <w:rFonts w:ascii="宋体" w:hAnsi="宋体" w:cs="宋体" w:eastAsia="宋体" w:hint="default"/>
          <w:position w:val="-51"/>
          <w:sz w:val="20"/>
          <w:szCs w:val="20"/>
        </w:rPr>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4"/>
        <w:rPr>
          <w:rFonts w:ascii="宋体" w:hAnsi="宋体" w:cs="宋体" w:eastAsia="宋体" w:hint="default"/>
          <w:sz w:val="24"/>
          <w:szCs w:val="24"/>
        </w:rPr>
      </w:pPr>
    </w:p>
    <w:p>
      <w:pPr>
        <w:tabs>
          <w:tab w:pos="2648" w:val="left" w:leader="none"/>
        </w:tabs>
        <w:spacing w:before="0"/>
        <w:ind w:left="120" w:right="0" w:firstLine="0"/>
        <w:jc w:val="left"/>
        <w:rPr>
          <w:rFonts w:ascii="黑体" w:hAnsi="黑体" w:cs="黑体" w:eastAsia="黑体" w:hint="default"/>
          <w:sz w:val="36"/>
          <w:szCs w:val="36"/>
        </w:rPr>
      </w:pPr>
      <w:r>
        <w:rPr>
          <w:rFonts w:ascii="黑体" w:hAnsi="黑体" w:cs="黑体" w:eastAsia="黑体" w:hint="default"/>
          <w:b/>
          <w:bCs/>
          <w:w w:val="95"/>
          <w:sz w:val="36"/>
          <w:szCs w:val="36"/>
        </w:rPr>
        <w:t>坚持以人为本</w:t>
        <w:tab/>
      </w:r>
      <w:r>
        <w:rPr>
          <w:rFonts w:ascii="黑体" w:hAnsi="黑体" w:cs="黑体" w:eastAsia="黑体" w:hint="default"/>
          <w:b/>
          <w:bCs/>
          <w:sz w:val="36"/>
          <w:szCs w:val="36"/>
        </w:rPr>
        <w:t>促员工与企业共同成长</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spacing w:line="408" w:lineRule="auto" w:before="0"/>
        <w:ind w:left="120" w:right="117" w:firstLine="560"/>
        <w:jc w:val="both"/>
        <w:rPr>
          <w:rFonts w:ascii="宋体" w:hAnsi="宋体" w:cs="宋体" w:eastAsia="宋体" w:hint="default"/>
          <w:sz w:val="28"/>
          <w:szCs w:val="28"/>
        </w:rPr>
      </w:pPr>
      <w:r>
        <w:rPr>
          <w:rFonts w:ascii="宋体" w:hAnsi="宋体" w:cs="宋体" w:eastAsia="宋体" w:hint="default"/>
          <w:spacing w:val="-4"/>
          <w:sz w:val="28"/>
          <w:szCs w:val="28"/>
        </w:rPr>
        <w:t>中国联通始终秉承“以人为本”的原则，坚持以促进企业发展为</w:t>
      </w:r>
      <w:r>
        <w:rPr>
          <w:rFonts w:ascii="宋体" w:hAnsi="宋体" w:cs="宋体" w:eastAsia="宋体" w:hint="default"/>
          <w:w w:val="99"/>
          <w:sz w:val="28"/>
          <w:szCs w:val="28"/>
        </w:rPr>
        <w:t> </w:t>
      </w:r>
      <w:r>
        <w:rPr>
          <w:rFonts w:ascii="宋体" w:hAnsi="宋体" w:cs="宋体" w:eastAsia="宋体" w:hint="default"/>
          <w:spacing w:val="-4"/>
          <w:sz w:val="28"/>
          <w:szCs w:val="28"/>
        </w:rPr>
        <w:t>出发点，以理念认同为基础，以能力素质为衡量标准，广纳贤才，公</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平竞争，尊重和关心员工，维护员工的合法权益。</w:t>
      </w:r>
    </w:p>
    <w:p>
      <w:pPr>
        <w:spacing w:after="0" w:line="408" w:lineRule="auto"/>
        <w:jc w:val="both"/>
        <w:rPr>
          <w:rFonts w:ascii="宋体" w:hAnsi="宋体" w:cs="宋体" w:eastAsia="宋体" w:hint="default"/>
          <w:sz w:val="28"/>
          <w:szCs w:val="28"/>
        </w:rPr>
        <w:sectPr>
          <w:headerReference w:type="default" r:id="rId192"/>
          <w:footerReference w:type="default" r:id="rId193"/>
          <w:pgSz w:w="11910" w:h="16840"/>
          <w:pgMar w:header="0" w:footer="982" w:top="1600" w:bottom="1180" w:left="1680" w:right="1680"/>
          <w:pgNumType w:start="14"/>
        </w:sectPr>
      </w:pPr>
    </w:p>
    <w:p>
      <w:pPr>
        <w:spacing w:line="240" w:lineRule="auto" w:before="12"/>
        <w:rPr>
          <w:rFonts w:ascii="宋体" w:hAnsi="宋体" w:cs="宋体" w:eastAsia="宋体" w:hint="default"/>
          <w:sz w:val="28"/>
          <w:szCs w:val="28"/>
        </w:rPr>
      </w:pPr>
    </w:p>
    <w:p>
      <w:pPr>
        <w:spacing w:line="2589" w:lineRule="exact"/>
        <w:ind w:left="132" w:right="0" w:firstLine="0"/>
        <w:rPr>
          <w:rFonts w:ascii="宋体" w:hAnsi="宋体" w:cs="宋体" w:eastAsia="宋体" w:hint="default"/>
          <w:sz w:val="20"/>
          <w:szCs w:val="20"/>
        </w:rPr>
      </w:pPr>
      <w:r>
        <w:rPr>
          <w:rFonts w:ascii="宋体" w:hAnsi="宋体" w:cs="宋体" w:eastAsia="宋体" w:hint="default"/>
          <w:position w:val="-51"/>
          <w:sz w:val="20"/>
          <w:szCs w:val="20"/>
        </w:rPr>
        <w:pict>
          <v:shape style="width:414.75pt;height:129.4500pt;mso-position-horizontal-relative:char;mso-position-vertical-relative:line" type="#_x0000_t202" filled="true" fillcolor="#ffcc99" stroked="false">
            <w10:anchorlock/>
            <v:textbox inset="0,0,0,0">
              <w:txbxContent>
                <w:p>
                  <w:pPr>
                    <w:spacing w:line="357" w:lineRule="auto" w:before="128"/>
                    <w:ind w:left="158" w:right="94" w:firstLine="0"/>
                    <w:jc w:val="both"/>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57"/>
                      <w:sz w:val="24"/>
                      <w:szCs w:val="24"/>
                    </w:rPr>
                    <w:t> </w:t>
                  </w:r>
                  <w:r>
                    <w:rPr>
                      <w:rFonts w:ascii="宋体" w:hAnsi="宋体" w:cs="宋体" w:eastAsia="宋体" w:hint="default"/>
                      <w:spacing w:val="-8"/>
                      <w:sz w:val="24"/>
                      <w:szCs w:val="24"/>
                    </w:rPr>
                    <w:t>年，在企业融合重组之初，即出台了《劳动合同管理办法（试行）》，</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z w:val="24"/>
                      <w:szCs w:val="24"/>
                    </w:rPr>
                    <w:t>明确合并重组后劳动关系处理的原则,统一了劳动合同管理制度和合同文本， 规范了合同主体、工作内容、工作地点、合同期限、竞业限制等内容，提出</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了“三度”评价的总体要求。为劳动关系的顺利衔接、保证员工合法权益，</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构建符合国家法律法规的和谐劳动关系提供了保障。</w:t>
                  </w:r>
                </w:p>
              </w:txbxContent>
            </v:textbox>
            <v:fill type="solid"/>
          </v:shape>
        </w:pict>
      </w:r>
      <w:r>
        <w:rPr>
          <w:rFonts w:ascii="宋体" w:hAnsi="宋体" w:cs="宋体" w:eastAsia="宋体" w:hint="default"/>
          <w:position w:val="-51"/>
          <w:sz w:val="20"/>
          <w:szCs w:val="20"/>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p>
      <w:pPr>
        <w:spacing w:line="1731" w:lineRule="exact"/>
        <w:ind w:left="112" w:right="0" w:firstLine="0"/>
        <w:rPr>
          <w:rFonts w:ascii="宋体" w:hAnsi="宋体" w:cs="宋体" w:eastAsia="宋体" w:hint="default"/>
          <w:sz w:val="20"/>
          <w:szCs w:val="20"/>
        </w:rPr>
      </w:pPr>
      <w:r>
        <w:rPr>
          <w:rFonts w:ascii="宋体" w:hAnsi="宋体" w:cs="宋体" w:eastAsia="宋体" w:hint="default"/>
          <w:position w:val="-34"/>
          <w:sz w:val="20"/>
          <w:szCs w:val="20"/>
        </w:rPr>
        <w:pict>
          <v:shape style="width:414.75pt;height:86.55pt;mso-position-horizontal-relative:char;mso-position-vertical-relative:line" type="#_x0000_t202" filled="true" fillcolor="#ffcc99" stroked="false">
            <w10:anchorlock/>
            <v:textbox inset="0,0,0,0">
              <w:txbxContent>
                <w:p>
                  <w:pPr>
                    <w:spacing w:line="357" w:lineRule="auto" w:before="128"/>
                    <w:ind w:left="159" w:right="155" w:firstLine="0"/>
                    <w:jc w:val="both"/>
                    <w:rPr>
                      <w:rFonts w:ascii="宋体" w:hAnsi="宋体" w:cs="宋体" w:eastAsia="宋体" w:hint="default"/>
                      <w:sz w:val="24"/>
                      <w:szCs w:val="24"/>
                    </w:rPr>
                  </w:pPr>
                  <w:r>
                    <w:rPr>
                      <w:rFonts w:ascii="宋体" w:hAnsi="宋体" w:cs="宋体" w:eastAsia="宋体" w:hint="default"/>
                      <w:sz w:val="24"/>
                      <w:szCs w:val="24"/>
                    </w:rPr>
                    <w:t>◆国家《职工带薪年休假条例》公布后，为保障企业员工合法权益，调动员</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pacing w:val="-6"/>
                      <w:sz w:val="24"/>
                      <w:szCs w:val="24"/>
                    </w:rPr>
                    <w:t>工积极性，积极出台了《员工假期管理办法》，鼓励职工带薪休假，切实保障</w:t>
                  </w:r>
                  <w:r>
                    <w:rPr>
                      <w:rFonts w:ascii="宋体" w:hAnsi="宋体" w:cs="宋体" w:eastAsia="宋体" w:hint="default"/>
                      <w:spacing w:val="-100"/>
                      <w:sz w:val="24"/>
                      <w:szCs w:val="24"/>
                    </w:rPr>
                    <w:t> </w:t>
                  </w:r>
                  <w:r>
                    <w:rPr>
                      <w:rFonts w:ascii="宋体" w:hAnsi="宋体" w:cs="宋体" w:eastAsia="宋体" w:hint="default"/>
                      <w:spacing w:val="-100"/>
                      <w:sz w:val="24"/>
                      <w:szCs w:val="24"/>
                    </w:rPr>
                  </w:r>
                  <w:r>
                    <w:rPr>
                      <w:rFonts w:ascii="宋体" w:hAnsi="宋体" w:cs="宋体" w:eastAsia="宋体" w:hint="default"/>
                      <w:sz w:val="24"/>
                      <w:szCs w:val="24"/>
                    </w:rPr>
                    <w:t>员工享有带薪休假的权利和待遇。</w:t>
                  </w:r>
                </w:p>
              </w:txbxContent>
            </v:textbox>
            <v:fill type="solid"/>
          </v:shape>
        </w:pict>
      </w:r>
      <w:r>
        <w:rPr>
          <w:rFonts w:ascii="宋体" w:hAnsi="宋体" w:cs="宋体" w:eastAsia="宋体" w:hint="default"/>
          <w:position w:val="-34"/>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9"/>
          <w:szCs w:val="29"/>
        </w:rPr>
      </w:pPr>
    </w:p>
    <w:p>
      <w:pPr>
        <w:tabs>
          <w:tab w:pos="4093" w:val="left" w:leader="none"/>
        </w:tabs>
        <w:spacing w:line="460" w:lineRule="exact" w:before="0"/>
        <w:ind w:left="120" w:right="144" w:firstLine="0"/>
        <w:jc w:val="left"/>
        <w:rPr>
          <w:rFonts w:ascii="黑体" w:hAnsi="黑体" w:cs="黑体" w:eastAsia="黑体" w:hint="default"/>
          <w:sz w:val="36"/>
          <w:szCs w:val="36"/>
        </w:rPr>
      </w:pPr>
      <w:r>
        <w:rPr>
          <w:rFonts w:ascii="黑体" w:hAnsi="黑体" w:cs="黑体" w:eastAsia="黑体" w:hint="default"/>
          <w:b/>
          <w:bCs/>
          <w:w w:val="95"/>
          <w:sz w:val="36"/>
          <w:szCs w:val="36"/>
        </w:rPr>
        <w:t>健全职工权益维护机制</w:t>
        <w:tab/>
      </w:r>
      <w:r>
        <w:rPr>
          <w:rFonts w:ascii="黑体" w:hAnsi="黑体" w:cs="黑体" w:eastAsia="黑体" w:hint="default"/>
          <w:b/>
          <w:bCs/>
          <w:sz w:val="36"/>
          <w:szCs w:val="36"/>
        </w:rPr>
        <w:t>促企业劳动关系和谐稳定</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1"/>
        <w:rPr>
          <w:rFonts w:ascii="黑体" w:hAnsi="黑体" w:cs="黑体" w:eastAsia="黑体" w:hint="default"/>
          <w:b/>
          <w:bCs/>
          <w:sz w:val="27"/>
          <w:szCs w:val="27"/>
        </w:rPr>
      </w:pPr>
    </w:p>
    <w:p>
      <w:pPr>
        <w:spacing w:before="0"/>
        <w:ind w:left="120" w:right="144" w:firstLine="0"/>
        <w:jc w:val="left"/>
        <w:rPr>
          <w:rFonts w:ascii="黑体" w:hAnsi="黑体" w:cs="黑体" w:eastAsia="黑体" w:hint="default"/>
          <w:sz w:val="30"/>
          <w:szCs w:val="30"/>
        </w:rPr>
      </w:pPr>
      <w:r>
        <w:rPr>
          <w:rFonts w:ascii="黑体" w:hAnsi="黑体" w:cs="黑体" w:eastAsia="黑体" w:hint="default"/>
          <w:b/>
          <w:bCs/>
          <w:sz w:val="30"/>
          <w:szCs w:val="30"/>
        </w:rPr>
        <w:t>推进职代会体系建设</w:t>
      </w:r>
      <w:r>
        <w:rPr>
          <w:rFonts w:ascii="黑体" w:hAnsi="黑体" w:cs="黑体" w:eastAsia="黑体" w:hint="default"/>
          <w:sz w:val="30"/>
          <w:szCs w:val="30"/>
        </w:rPr>
      </w:r>
    </w:p>
    <w:p>
      <w:pPr>
        <w:spacing w:line="408" w:lineRule="auto" w:before="246"/>
        <w:ind w:left="120" w:right="112" w:firstLine="560"/>
        <w:jc w:val="left"/>
        <w:rPr>
          <w:rFonts w:ascii="宋体" w:hAnsi="宋体" w:cs="宋体" w:eastAsia="宋体" w:hint="default"/>
          <w:sz w:val="28"/>
          <w:szCs w:val="28"/>
        </w:rPr>
      </w:pPr>
      <w:r>
        <w:rPr>
          <w:rFonts w:ascii="宋体" w:hAnsi="宋体" w:cs="宋体" w:eastAsia="宋体" w:hint="default"/>
          <w:spacing w:val="-4"/>
          <w:sz w:val="28"/>
          <w:szCs w:val="28"/>
        </w:rPr>
        <w:t>中国联通全面推进“地市-省-集团”三级职代会体系的建设，在</w:t>
      </w:r>
      <w:r>
        <w:rPr>
          <w:rFonts w:ascii="宋体" w:hAnsi="宋体" w:cs="宋体" w:eastAsia="宋体" w:hint="default"/>
          <w:w w:val="99"/>
          <w:sz w:val="28"/>
          <w:szCs w:val="28"/>
        </w:rPr>
        <w:t> </w:t>
      </w:r>
      <w:r>
        <w:rPr>
          <w:rFonts w:ascii="宋体" w:hAnsi="宋体" w:cs="宋体" w:eastAsia="宋体" w:hint="default"/>
          <w:sz w:val="28"/>
          <w:szCs w:val="28"/>
        </w:rPr>
        <w:t>全国335个地市级分公司、31个省级分公司和集团公司已经建立了职</w:t>
      </w:r>
      <w:r>
        <w:rPr>
          <w:rFonts w:ascii="宋体" w:hAnsi="宋体" w:cs="宋体" w:eastAsia="宋体" w:hint="default"/>
          <w:spacing w:val="-98"/>
          <w:sz w:val="28"/>
          <w:szCs w:val="28"/>
        </w:rPr>
        <w:t> </w:t>
      </w:r>
      <w:r>
        <w:rPr>
          <w:rFonts w:ascii="宋体" w:hAnsi="宋体" w:cs="宋体" w:eastAsia="宋体" w:hint="default"/>
          <w:spacing w:val="-98"/>
          <w:sz w:val="28"/>
          <w:szCs w:val="28"/>
        </w:rPr>
      </w:r>
      <w:r>
        <w:rPr>
          <w:rFonts w:ascii="宋体" w:hAnsi="宋体" w:cs="宋体" w:eastAsia="宋体" w:hint="default"/>
          <w:spacing w:val="-4"/>
          <w:sz w:val="28"/>
          <w:szCs w:val="28"/>
        </w:rPr>
        <w:t>代会制度，搭建起了职工参政议政的平台，将一些涉及公司发展、职</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4"/>
          <w:sz w:val="28"/>
          <w:szCs w:val="28"/>
        </w:rPr>
        <w:t>工切身利益的重大问题提交职代会审议，使职工的知情权、参与权和</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4"/>
          <w:sz w:val="28"/>
          <w:szCs w:val="28"/>
        </w:rPr>
        <w:t>监督权得到尊重和保障，有效地调动了职工民主管理的积极性，起到</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了凝聚职工智慧和发挥职工力量的作用，形成了企业与员工共建和谐</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8"/>
          <w:sz w:val="28"/>
          <w:szCs w:val="28"/>
        </w:rPr>
        <w:t>企业、共谋企业发展、共享发展成果的良好氛围，促进了企业的改革、</w:t>
      </w:r>
      <w:r>
        <w:rPr>
          <w:rFonts w:ascii="宋体" w:hAnsi="宋体" w:cs="宋体" w:eastAsia="宋体" w:hint="default"/>
          <w:w w:val="99"/>
          <w:sz w:val="28"/>
          <w:szCs w:val="28"/>
        </w:rPr>
        <w:t> </w:t>
      </w:r>
      <w:r>
        <w:rPr>
          <w:rFonts w:ascii="宋体" w:hAnsi="宋体" w:cs="宋体" w:eastAsia="宋体" w:hint="default"/>
          <w:sz w:val="28"/>
          <w:szCs w:val="28"/>
        </w:rPr>
        <w:t>发展和稳定。</w:t>
      </w:r>
    </w:p>
    <w:p>
      <w:pPr>
        <w:spacing w:after="0" w:line="408" w:lineRule="auto"/>
        <w:jc w:val="left"/>
        <w:rPr>
          <w:rFonts w:ascii="宋体" w:hAnsi="宋体" w:cs="宋体" w:eastAsia="宋体" w:hint="default"/>
          <w:sz w:val="28"/>
          <w:szCs w:val="28"/>
        </w:rPr>
        <w:sectPr>
          <w:headerReference w:type="default" r:id="rId194"/>
          <w:footerReference w:type="default" r:id="rId195"/>
          <w:pgSz w:w="11910" w:h="16840"/>
          <w:pgMar w:header="0" w:footer="982" w:top="1600" w:bottom="1180" w:left="1680" w:right="1540"/>
          <w:pgNumType w:start="15"/>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spacing w:before="7"/>
        <w:ind w:left="120" w:right="0" w:firstLine="0"/>
        <w:jc w:val="left"/>
        <w:rPr>
          <w:rFonts w:ascii="黑体" w:hAnsi="黑体" w:cs="黑体" w:eastAsia="黑体" w:hint="default"/>
          <w:sz w:val="30"/>
          <w:szCs w:val="30"/>
        </w:rPr>
      </w:pPr>
      <w:r>
        <w:rPr>
          <w:rFonts w:ascii="黑体" w:hAnsi="黑体" w:cs="黑体" w:eastAsia="黑体" w:hint="default"/>
          <w:b/>
          <w:bCs/>
          <w:sz w:val="30"/>
          <w:szCs w:val="30"/>
        </w:rPr>
        <w:t>不断完善职工劳动保障制度</w:t>
      </w:r>
      <w:r>
        <w:rPr>
          <w:rFonts w:ascii="黑体" w:hAnsi="黑体" w:cs="黑体" w:eastAsia="黑体" w:hint="default"/>
          <w:sz w:val="30"/>
          <w:szCs w:val="30"/>
        </w:rPr>
      </w:r>
    </w:p>
    <w:p>
      <w:pPr>
        <w:pStyle w:val="Heading7"/>
        <w:spacing w:line="624" w:lineRule="exact" w:before="74"/>
        <w:ind w:left="119" w:right="116" w:firstLine="560"/>
        <w:jc w:val="both"/>
      </w:pPr>
      <w:r>
        <w:rPr>
          <w:spacing w:val="-4"/>
        </w:rPr>
        <w:t>不断推进职工劳动保障制度的完善，参与劳动合同文本等职工有</w:t>
      </w:r>
      <w:r>
        <w:rPr>
          <w:w w:val="99"/>
        </w:rPr>
        <w:t> </w:t>
      </w:r>
      <w:r>
        <w:rPr>
          <w:spacing w:val="-4"/>
        </w:rPr>
        <w:t>关规章的制定，指导职工签订劳动合同，把《劳动合同法》赋予职工</w:t>
      </w:r>
      <w:r>
        <w:rPr>
          <w:spacing w:val="-124"/>
        </w:rPr>
        <w:t> </w:t>
      </w:r>
      <w:r>
        <w:rPr>
          <w:spacing w:val="-124"/>
        </w:rPr>
      </w:r>
      <w:r>
        <w:rPr>
          <w:spacing w:val="-4"/>
        </w:rPr>
        <w:t>的各项权益落到实处。将集体合同与劳动合同有机结合起来，强化平</w:t>
      </w:r>
      <w:r>
        <w:rPr>
          <w:spacing w:val="-123"/>
        </w:rPr>
        <w:t> </w:t>
      </w:r>
      <w:r>
        <w:rPr>
          <w:spacing w:val="-123"/>
        </w:rPr>
      </w:r>
      <w:r>
        <w:rPr>
          <w:spacing w:val="-4"/>
        </w:rPr>
        <w:t>等协商集体合同制度</w:t>
      </w:r>
      <w:r>
        <w:rPr>
          <w:rFonts w:ascii="Microsoft JhengHei" w:hAnsi="Microsoft JhengHei" w:cs="Microsoft JhengHei" w:eastAsia="Microsoft JhengHei" w:hint="default"/>
          <w:b/>
          <w:bCs/>
          <w:spacing w:val="-4"/>
        </w:rPr>
        <w:t>，</w:t>
      </w:r>
      <w:r>
        <w:rPr>
          <w:spacing w:val="-4"/>
        </w:rPr>
        <w:t>提高集体合同的签订率、履约率，从而促进企</w:t>
      </w:r>
      <w:r>
        <w:rPr>
          <w:spacing w:val="-126"/>
        </w:rPr>
        <w:t> </w:t>
      </w:r>
      <w:r>
        <w:rPr>
          <w:spacing w:val="-126"/>
        </w:rPr>
      </w:r>
      <w:r>
        <w:rPr/>
        <w:t>业劳动关系的和谐稳定。</w:t>
      </w:r>
    </w:p>
    <w:p>
      <w:pPr>
        <w:spacing w:after="0" w:line="624" w:lineRule="exact"/>
        <w:jc w:val="both"/>
        <w:sectPr>
          <w:headerReference w:type="default" r:id="rId196"/>
          <w:footerReference w:type="default" r:id="rId197"/>
          <w:pgSz w:w="11910" w:h="16840"/>
          <w:pgMar w:header="0" w:footer="982" w:top="1600" w:bottom="1180" w:left="1680" w:right="1680"/>
          <w:pgNumType w:start="16"/>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pStyle w:val="Heading1"/>
        <w:spacing w:line="632" w:lineRule="exact"/>
        <w:ind w:right="651"/>
        <w:jc w:val="center"/>
        <w:rPr>
          <w:b w:val="0"/>
          <w:bCs w:val="0"/>
        </w:rPr>
      </w:pPr>
      <w:r>
        <w:rPr/>
        <w:t>推进员工素质工程</w:t>
      </w:r>
      <w:r>
        <w:rPr>
          <w:b w:val="0"/>
          <w:bCs w:val="0"/>
        </w:rPr>
      </w:r>
    </w:p>
    <w:p>
      <w:pPr>
        <w:spacing w:before="221"/>
        <w:ind w:left="652" w:right="650" w:firstLine="0"/>
        <w:jc w:val="center"/>
        <w:rPr>
          <w:rFonts w:ascii="华文行楷" w:hAnsi="华文行楷" w:cs="华文行楷" w:eastAsia="华文行楷" w:hint="default"/>
          <w:sz w:val="52"/>
          <w:szCs w:val="52"/>
        </w:rPr>
      </w:pPr>
      <w:r>
        <w:rPr>
          <w:rFonts w:ascii="华文行楷" w:hAnsi="华文行楷" w:cs="华文行楷" w:eastAsia="华文行楷" w:hint="default"/>
          <w:b/>
          <w:bCs/>
          <w:sz w:val="52"/>
          <w:szCs w:val="52"/>
        </w:rPr>
        <w:t>努力构建人才成长环境</w:t>
      </w:r>
      <w:r>
        <w:rPr>
          <w:rFonts w:ascii="华文行楷" w:hAnsi="华文行楷" w:cs="华文行楷" w:eastAsia="华文行楷" w:hint="default"/>
          <w:sz w:val="52"/>
          <w:szCs w:val="52"/>
        </w:rPr>
      </w:r>
    </w:p>
    <w:p>
      <w:pPr>
        <w:spacing w:line="240" w:lineRule="auto" w:before="0"/>
        <w:rPr>
          <w:rFonts w:ascii="华文行楷" w:hAnsi="华文行楷" w:cs="华文行楷" w:eastAsia="华文行楷" w:hint="default"/>
          <w:b/>
          <w:bCs/>
          <w:sz w:val="52"/>
          <w:szCs w:val="52"/>
        </w:rPr>
      </w:pPr>
    </w:p>
    <w:p>
      <w:pPr>
        <w:spacing w:line="240" w:lineRule="auto" w:before="6"/>
        <w:rPr>
          <w:rFonts w:ascii="华文行楷" w:hAnsi="华文行楷" w:cs="华文行楷" w:eastAsia="华文行楷" w:hint="default"/>
          <w:b/>
          <w:bCs/>
          <w:sz w:val="58"/>
          <w:szCs w:val="58"/>
        </w:rPr>
      </w:pPr>
    </w:p>
    <w:p>
      <w:pPr>
        <w:spacing w:line="388" w:lineRule="auto" w:before="0"/>
        <w:ind w:left="119" w:right="117" w:firstLine="560"/>
        <w:jc w:val="both"/>
        <w:rPr>
          <w:rFonts w:ascii="华文行楷" w:hAnsi="华文行楷" w:cs="华文行楷" w:eastAsia="华文行楷" w:hint="default"/>
          <w:sz w:val="28"/>
          <w:szCs w:val="28"/>
        </w:rPr>
      </w:pPr>
      <w:r>
        <w:rPr>
          <w:rFonts w:ascii="华文行楷" w:hAnsi="华文行楷" w:cs="华文行楷" w:eastAsia="华文行楷" w:hint="default"/>
          <w:i/>
          <w:spacing w:val="-4"/>
          <w:sz w:val="28"/>
          <w:szCs w:val="28"/>
        </w:rPr>
        <w:t>员工素质的提升是企业健康发展的基石，也是人力资源开发的宗</w:t>
      </w:r>
      <w:r>
        <w:rPr>
          <w:rFonts w:ascii="华文行楷" w:hAnsi="华文行楷" w:cs="华文行楷" w:eastAsia="华文行楷" w:hint="default"/>
          <w:i/>
          <w:w w:val="99"/>
          <w:sz w:val="28"/>
          <w:szCs w:val="28"/>
        </w:rPr>
        <w:t> </w:t>
      </w:r>
      <w:r>
        <w:rPr>
          <w:rFonts w:ascii="华文行楷" w:hAnsi="华文行楷" w:cs="华文行楷" w:eastAsia="华文行楷" w:hint="default"/>
          <w:i/>
          <w:spacing w:val="-4"/>
          <w:sz w:val="28"/>
          <w:szCs w:val="28"/>
        </w:rPr>
        <w:t>旨。只有培养一流员工、才能发展成为一流企业。中国联通始终将提</w:t>
      </w:r>
      <w:r>
        <w:rPr>
          <w:rFonts w:ascii="华文行楷" w:hAnsi="华文行楷" w:cs="华文行楷" w:eastAsia="华文行楷" w:hint="default"/>
          <w:i/>
          <w:spacing w:val="-57"/>
          <w:sz w:val="28"/>
          <w:szCs w:val="28"/>
        </w:rPr>
        <w:t> </w:t>
      </w:r>
      <w:r>
        <w:rPr>
          <w:rFonts w:ascii="华文行楷" w:hAnsi="华文行楷" w:cs="华文行楷" w:eastAsia="华文行楷" w:hint="default"/>
          <w:i/>
          <w:spacing w:val="-57"/>
          <w:sz w:val="28"/>
          <w:szCs w:val="28"/>
        </w:rPr>
      </w:r>
      <w:r>
        <w:rPr>
          <w:rFonts w:ascii="华文行楷" w:hAnsi="华文行楷" w:cs="华文行楷" w:eastAsia="华文行楷" w:hint="default"/>
          <w:i/>
          <w:spacing w:val="-4"/>
          <w:sz w:val="28"/>
          <w:szCs w:val="28"/>
        </w:rPr>
        <w:t>高员工素质，提升企业整体实力，秉承以专业化水准回馈社会，作为</w:t>
      </w:r>
      <w:r>
        <w:rPr>
          <w:rFonts w:ascii="华文行楷" w:hAnsi="华文行楷" w:cs="华文行楷" w:eastAsia="华文行楷" w:hint="default"/>
          <w:i/>
          <w:spacing w:val="-55"/>
          <w:sz w:val="28"/>
          <w:szCs w:val="28"/>
        </w:rPr>
        <w:t> </w:t>
      </w:r>
      <w:r>
        <w:rPr>
          <w:rFonts w:ascii="华文行楷" w:hAnsi="华文行楷" w:cs="华文行楷" w:eastAsia="华文行楷" w:hint="default"/>
          <w:i/>
          <w:spacing w:val="-55"/>
          <w:sz w:val="28"/>
          <w:szCs w:val="28"/>
        </w:rPr>
      </w:r>
      <w:r>
        <w:rPr>
          <w:rFonts w:ascii="华文行楷" w:hAnsi="华文行楷" w:cs="华文行楷" w:eastAsia="华文行楷" w:hint="default"/>
          <w:i/>
          <w:sz w:val="28"/>
          <w:szCs w:val="28"/>
        </w:rPr>
        <w:t>人才培养的根本，并渗透到员工培训工作的各个环节。</w:t>
      </w:r>
      <w:r>
        <w:rPr>
          <w:rFonts w:ascii="华文行楷" w:hAnsi="华文行楷" w:cs="华文行楷" w:eastAsia="华文行楷" w:hint="default"/>
          <w:sz w:val="28"/>
          <w:szCs w:val="28"/>
        </w:rPr>
      </w:r>
    </w:p>
    <w:p>
      <w:pPr>
        <w:spacing w:line="240" w:lineRule="auto" w:before="0"/>
        <w:rPr>
          <w:rFonts w:ascii="华文行楷" w:hAnsi="华文行楷" w:cs="华文行楷" w:eastAsia="华文行楷" w:hint="default"/>
          <w:i/>
          <w:sz w:val="20"/>
          <w:szCs w:val="20"/>
        </w:rPr>
      </w:pPr>
    </w:p>
    <w:p>
      <w:pPr>
        <w:spacing w:line="240" w:lineRule="auto" w:before="0"/>
        <w:rPr>
          <w:rFonts w:ascii="华文行楷" w:hAnsi="华文行楷" w:cs="华文行楷" w:eastAsia="华文行楷" w:hint="default"/>
          <w:i/>
          <w:sz w:val="20"/>
          <w:szCs w:val="20"/>
        </w:rPr>
      </w:pPr>
    </w:p>
    <w:p>
      <w:pPr>
        <w:spacing w:line="240" w:lineRule="auto" w:before="6"/>
        <w:rPr>
          <w:rFonts w:ascii="华文行楷" w:hAnsi="华文行楷" w:cs="华文行楷" w:eastAsia="华文行楷" w:hint="default"/>
          <w:i/>
          <w:sz w:val="15"/>
          <w:szCs w:val="15"/>
        </w:rPr>
      </w:pPr>
    </w:p>
    <w:p>
      <w:pPr>
        <w:spacing w:line="3436" w:lineRule="exact"/>
        <w:ind w:left="1412" w:right="0" w:firstLine="0"/>
        <w:rPr>
          <w:rFonts w:ascii="华文行楷" w:hAnsi="华文行楷" w:cs="华文行楷" w:eastAsia="华文行楷" w:hint="default"/>
          <w:sz w:val="20"/>
          <w:szCs w:val="20"/>
        </w:rPr>
      </w:pPr>
      <w:r>
        <w:rPr>
          <w:rFonts w:ascii="华文行楷" w:hAnsi="华文行楷" w:cs="华文行楷" w:eastAsia="华文行楷" w:hint="default"/>
          <w:position w:val="-68"/>
          <w:sz w:val="20"/>
          <w:szCs w:val="20"/>
        </w:rPr>
        <w:drawing>
          <wp:inline distT="0" distB="0" distL="0" distR="0">
            <wp:extent cx="3547174" cy="2182368"/>
            <wp:effectExtent l="0" t="0" r="0" b="0"/>
            <wp:docPr id="11" name="image8.jpeg" descr=""/>
            <wp:cNvGraphicFramePr>
              <a:graphicFrameLocks noChangeAspect="1"/>
            </wp:cNvGraphicFramePr>
            <a:graphic>
              <a:graphicData uri="http://schemas.openxmlformats.org/drawingml/2006/picture">
                <pic:pic>
                  <pic:nvPicPr>
                    <pic:cNvPr id="12" name="image8.jpeg"/>
                    <pic:cNvPicPr/>
                  </pic:nvPicPr>
                  <pic:blipFill>
                    <a:blip r:embed="rId200" cstate="print"/>
                    <a:stretch>
                      <a:fillRect/>
                    </a:stretch>
                  </pic:blipFill>
                  <pic:spPr>
                    <a:xfrm>
                      <a:off x="0" y="0"/>
                      <a:ext cx="3547174" cy="2182368"/>
                    </a:xfrm>
                    <a:prstGeom prst="rect">
                      <a:avLst/>
                    </a:prstGeom>
                  </pic:spPr>
                </pic:pic>
              </a:graphicData>
            </a:graphic>
          </wp:inline>
        </w:drawing>
      </w:r>
      <w:r>
        <w:rPr>
          <w:rFonts w:ascii="华文行楷" w:hAnsi="华文行楷" w:cs="华文行楷" w:eastAsia="华文行楷" w:hint="default"/>
          <w:position w:val="-68"/>
          <w:sz w:val="20"/>
          <w:szCs w:val="20"/>
        </w:rPr>
      </w:r>
    </w:p>
    <w:p>
      <w:pPr>
        <w:spacing w:line="240" w:lineRule="auto" w:before="0"/>
        <w:rPr>
          <w:rFonts w:ascii="华文行楷" w:hAnsi="华文行楷" w:cs="华文行楷" w:eastAsia="华文行楷" w:hint="default"/>
          <w:i/>
          <w:sz w:val="20"/>
          <w:szCs w:val="20"/>
        </w:rPr>
      </w:pPr>
    </w:p>
    <w:p>
      <w:pPr>
        <w:spacing w:line="240" w:lineRule="auto" w:before="0"/>
        <w:rPr>
          <w:rFonts w:ascii="华文行楷" w:hAnsi="华文行楷" w:cs="华文行楷" w:eastAsia="华文行楷" w:hint="default"/>
          <w:i/>
          <w:sz w:val="20"/>
          <w:szCs w:val="20"/>
        </w:rPr>
      </w:pPr>
    </w:p>
    <w:p>
      <w:pPr>
        <w:spacing w:line="240" w:lineRule="auto" w:before="11"/>
        <w:rPr>
          <w:rFonts w:ascii="华文行楷" w:hAnsi="华文行楷" w:cs="华文行楷" w:eastAsia="华文行楷" w:hint="default"/>
          <w:i/>
          <w:sz w:val="21"/>
          <w:szCs w:val="21"/>
        </w:rPr>
      </w:pPr>
    </w:p>
    <w:p>
      <w:pPr>
        <w:spacing w:line="408" w:lineRule="auto" w:before="13"/>
        <w:ind w:left="120" w:right="116" w:firstLine="600"/>
        <w:jc w:val="both"/>
        <w:rPr>
          <w:rFonts w:ascii="宋体" w:hAnsi="宋体" w:cs="宋体" w:eastAsia="宋体" w:hint="default"/>
          <w:sz w:val="28"/>
          <w:szCs w:val="28"/>
        </w:rPr>
      </w:pPr>
      <w:r>
        <w:rPr>
          <w:rFonts w:ascii="宋体" w:hAnsi="宋体" w:cs="宋体" w:eastAsia="宋体" w:hint="default"/>
          <w:sz w:val="28"/>
          <w:szCs w:val="28"/>
        </w:rPr>
        <w:t>2009</w:t>
      </w:r>
      <w:r>
        <w:rPr>
          <w:rFonts w:ascii="宋体" w:hAnsi="宋体" w:cs="宋体" w:eastAsia="宋体" w:hint="default"/>
          <w:spacing w:val="-11"/>
          <w:sz w:val="28"/>
          <w:szCs w:val="28"/>
        </w:rPr>
        <w:t> </w:t>
      </w:r>
      <w:r>
        <w:rPr>
          <w:rFonts w:ascii="宋体" w:hAnsi="宋体" w:cs="宋体" w:eastAsia="宋体" w:hint="default"/>
          <w:sz w:val="28"/>
          <w:szCs w:val="28"/>
        </w:rPr>
        <w:t>年，在电信行业重组、技术升级、业务融合的形势下，中</w:t>
      </w:r>
      <w:r>
        <w:rPr>
          <w:rFonts w:ascii="宋体" w:hAnsi="宋体" w:cs="宋体" w:eastAsia="宋体" w:hint="default"/>
          <w:w w:val="99"/>
          <w:sz w:val="28"/>
          <w:szCs w:val="28"/>
        </w:rPr>
        <w:t> </w:t>
      </w:r>
      <w:r>
        <w:rPr>
          <w:rFonts w:ascii="宋体" w:hAnsi="宋体" w:cs="宋体" w:eastAsia="宋体" w:hint="default"/>
          <w:spacing w:val="-4"/>
          <w:sz w:val="28"/>
          <w:szCs w:val="28"/>
        </w:rPr>
        <w:t>国联通全面推进员工素质提升工作。同时，以明确的业务导向和客户</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服务意识，坚持学以致用，增强员工客户服务的技能技巧，积极推行</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全员培训，并积极探索市场化培训机制，努力构建和谐、进取、创新</w:t>
      </w:r>
    </w:p>
    <w:p>
      <w:pPr>
        <w:spacing w:after="0" w:line="408" w:lineRule="auto"/>
        <w:jc w:val="both"/>
        <w:rPr>
          <w:rFonts w:ascii="宋体" w:hAnsi="宋体" w:cs="宋体" w:eastAsia="宋体" w:hint="default"/>
          <w:sz w:val="28"/>
          <w:szCs w:val="28"/>
        </w:rPr>
        <w:sectPr>
          <w:headerReference w:type="default" r:id="rId198"/>
          <w:footerReference w:type="default" r:id="rId199"/>
          <w:pgSz w:w="11910" w:h="16840"/>
          <w:pgMar w:header="0" w:footer="982" w:top="1600" w:bottom="1180" w:left="1680" w:right="1680"/>
          <w:pgNumType w:start="17"/>
        </w:sectPr>
      </w:pPr>
    </w:p>
    <w:p>
      <w:pPr>
        <w:spacing w:line="351" w:lineRule="exact" w:before="0"/>
        <w:ind w:left="120" w:right="156" w:firstLine="0"/>
        <w:jc w:val="left"/>
        <w:rPr>
          <w:rFonts w:ascii="宋体" w:hAnsi="宋体" w:cs="宋体" w:eastAsia="宋体" w:hint="default"/>
          <w:sz w:val="28"/>
          <w:szCs w:val="28"/>
        </w:rPr>
      </w:pPr>
      <w:r>
        <w:rPr>
          <w:rFonts w:ascii="宋体" w:hAnsi="宋体" w:cs="宋体" w:eastAsia="宋体" w:hint="default"/>
          <w:sz w:val="28"/>
          <w:szCs w:val="28"/>
        </w:rPr>
        <w:t>的企业环境。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spacing w:line="3525" w:lineRule="exact"/>
        <w:ind w:left="172" w:right="0" w:firstLine="0"/>
        <w:rPr>
          <w:rFonts w:ascii="宋体" w:hAnsi="宋体" w:cs="宋体" w:eastAsia="宋体" w:hint="default"/>
          <w:sz w:val="20"/>
          <w:szCs w:val="20"/>
        </w:rPr>
      </w:pPr>
      <w:r>
        <w:rPr>
          <w:rFonts w:ascii="宋体" w:hAnsi="宋体" w:cs="宋体" w:eastAsia="宋体" w:hint="default"/>
          <w:position w:val="-70"/>
          <w:sz w:val="20"/>
          <w:szCs w:val="20"/>
        </w:rPr>
        <w:pict>
          <v:shape style="width:414.75pt;height:176.25pt;mso-position-horizontal-relative:char;mso-position-vertical-relative:line" type="#_x0000_t202" filled="true" fillcolor="#ffccff" stroked="false">
            <w10:anchorlock/>
            <v:textbox inset="0,0,0,0">
              <w:txbxContent>
                <w:p>
                  <w:pPr>
                    <w:spacing w:line="468" w:lineRule="exact" w:before="34"/>
                    <w:ind w:left="159" w:right="36" w:firstLine="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◆3G</w:t>
                  </w:r>
                  <w:r>
                    <w:rPr>
                      <w:rFonts w:ascii="Microsoft JhengHei" w:hAnsi="Microsoft JhengHei" w:cs="Microsoft JhengHei" w:eastAsia="Microsoft JhengHei" w:hint="default"/>
                      <w:b/>
                      <w:bCs/>
                      <w:spacing w:val="1"/>
                      <w:sz w:val="24"/>
                      <w:szCs w:val="24"/>
                    </w:rPr>
                    <w:t> </w:t>
                  </w:r>
                  <w:r>
                    <w:rPr>
                      <w:rFonts w:ascii="Microsoft JhengHei" w:hAnsi="Microsoft JhengHei" w:cs="Microsoft JhengHei" w:eastAsia="Microsoft JhengHei" w:hint="default"/>
                      <w:b/>
                      <w:bCs/>
                      <w:spacing w:val="-9"/>
                      <w:sz w:val="24"/>
                      <w:szCs w:val="24"/>
                    </w:rPr>
                    <w:t>培训。</w:t>
                  </w:r>
                  <w:r>
                    <w:rPr>
                      <w:rFonts w:ascii="宋体" w:hAnsi="宋体" w:cs="宋体" w:eastAsia="宋体" w:hint="default"/>
                      <w:spacing w:val="-9"/>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年是中国联通的</w:t>
                  </w:r>
                  <w:r>
                    <w:rPr>
                      <w:rFonts w:ascii="宋体" w:hAnsi="宋体" w:cs="宋体" w:eastAsia="宋体" w:hint="default"/>
                      <w:spacing w:val="-60"/>
                      <w:sz w:val="24"/>
                      <w:szCs w:val="24"/>
                    </w:rPr>
                    <w:t> </w:t>
                  </w:r>
                  <w:r>
                    <w:rPr>
                      <w:rFonts w:ascii="宋体" w:hAnsi="宋体" w:cs="宋体" w:eastAsia="宋体" w:hint="default"/>
                      <w:sz w:val="24"/>
                      <w:szCs w:val="24"/>
                    </w:rPr>
                    <w:t>3G</w:t>
                  </w:r>
                  <w:r>
                    <w:rPr>
                      <w:rFonts w:ascii="宋体" w:hAnsi="宋体" w:cs="宋体" w:eastAsia="宋体" w:hint="default"/>
                      <w:spacing w:val="-60"/>
                      <w:sz w:val="24"/>
                      <w:szCs w:val="24"/>
                    </w:rPr>
                    <w:t> </w:t>
                  </w:r>
                  <w:r>
                    <w:rPr>
                      <w:rFonts w:ascii="宋体" w:hAnsi="宋体" w:cs="宋体" w:eastAsia="宋体" w:hint="default"/>
                      <w:spacing w:val="-11"/>
                      <w:sz w:val="24"/>
                      <w:szCs w:val="24"/>
                    </w:rPr>
                    <w:t>发展年，3G</w:t>
                  </w:r>
                  <w:r>
                    <w:rPr>
                      <w:rFonts w:ascii="宋体" w:hAnsi="宋体" w:cs="宋体" w:eastAsia="宋体" w:hint="default"/>
                      <w:spacing w:val="-61"/>
                      <w:sz w:val="24"/>
                      <w:szCs w:val="24"/>
                    </w:rPr>
                    <w:t> </w:t>
                  </w:r>
                  <w:r>
                    <w:rPr>
                      <w:rFonts w:ascii="宋体" w:hAnsi="宋体" w:cs="宋体" w:eastAsia="宋体" w:hint="default"/>
                      <w:sz w:val="24"/>
                      <w:szCs w:val="24"/>
                    </w:rPr>
                    <w:t>培训是培训工作的重中之重。</w:t>
                  </w:r>
                  <w:r>
                    <w:rPr>
                      <w:rFonts w:ascii="宋体" w:hAnsi="宋体" w:cs="宋体" w:eastAsia="宋体" w:hint="default"/>
                      <w:spacing w:val="-1"/>
                      <w:sz w:val="24"/>
                      <w:szCs w:val="24"/>
                    </w:rPr>
                    <w:t> </w:t>
                  </w:r>
                  <w:r>
                    <w:rPr>
                      <w:rFonts w:ascii="宋体" w:hAnsi="宋体" w:cs="宋体" w:eastAsia="宋体" w:hint="default"/>
                      <w:sz w:val="24"/>
                      <w:szCs w:val="24"/>
                    </w:rPr>
                    <w:t>3G 业务的推广为中国联通客户服务内容增添了新的活力。随着 3G</w:t>
                  </w:r>
                  <w:r>
                    <w:rPr>
                      <w:rFonts w:ascii="宋体" w:hAnsi="宋体" w:cs="宋体" w:eastAsia="宋体" w:hint="default"/>
                      <w:spacing w:val="-65"/>
                      <w:sz w:val="24"/>
                      <w:szCs w:val="24"/>
                    </w:rPr>
                    <w:t> </w:t>
                  </w:r>
                  <w:r>
                    <w:rPr>
                      <w:rFonts w:ascii="宋体" w:hAnsi="宋体" w:cs="宋体" w:eastAsia="宋体" w:hint="default"/>
                      <w:sz w:val="24"/>
                      <w:szCs w:val="24"/>
                    </w:rPr>
                    <w:t>业务发展</w:t>
                  </w:r>
                  <w:r>
                    <w:rPr>
                      <w:rFonts w:ascii="宋体" w:hAnsi="宋体" w:cs="宋体" w:eastAsia="宋体" w:hint="default"/>
                      <w:sz w:val="24"/>
                      <w:szCs w:val="24"/>
                    </w:rPr>
                    <w:t> 和全业务经营的深入，广大消费者越来越多的享受到中国联通带来的价格低</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廉、方便快捷、内容丰富的通信服务。为了更好的配合业务推广，更好的服</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务客户，成立</w:t>
                  </w:r>
                  <w:r>
                    <w:rPr>
                      <w:rFonts w:ascii="宋体" w:hAnsi="宋体" w:cs="宋体" w:eastAsia="宋体" w:hint="default"/>
                      <w:spacing w:val="-46"/>
                      <w:sz w:val="24"/>
                      <w:szCs w:val="24"/>
                    </w:rPr>
                    <w:t> </w:t>
                  </w:r>
                  <w:r>
                    <w:rPr>
                      <w:rFonts w:ascii="宋体" w:hAnsi="宋体" w:cs="宋体" w:eastAsia="宋体" w:hint="default"/>
                      <w:sz w:val="24"/>
                      <w:szCs w:val="24"/>
                    </w:rPr>
                    <w:t>3G</w:t>
                  </w:r>
                  <w:r>
                    <w:rPr>
                      <w:rFonts w:ascii="宋体" w:hAnsi="宋体" w:cs="宋体" w:eastAsia="宋体" w:hint="default"/>
                      <w:spacing w:val="-46"/>
                      <w:sz w:val="24"/>
                      <w:szCs w:val="24"/>
                    </w:rPr>
                    <w:t> </w:t>
                  </w:r>
                  <w:r>
                    <w:rPr>
                      <w:rFonts w:ascii="宋体" w:hAnsi="宋体" w:cs="宋体" w:eastAsia="宋体" w:hint="default"/>
                      <w:sz w:val="24"/>
                      <w:szCs w:val="24"/>
                    </w:rPr>
                    <w:t>工作领导小组，全面负责</w:t>
                  </w:r>
                  <w:r>
                    <w:rPr>
                      <w:rFonts w:ascii="宋体" w:hAnsi="宋体" w:cs="宋体" w:eastAsia="宋体" w:hint="default"/>
                      <w:spacing w:val="-46"/>
                      <w:sz w:val="24"/>
                      <w:szCs w:val="24"/>
                    </w:rPr>
                    <w:t> </w:t>
                  </w:r>
                  <w:r>
                    <w:rPr>
                      <w:rFonts w:ascii="宋体" w:hAnsi="宋体" w:cs="宋体" w:eastAsia="宋体" w:hint="default"/>
                      <w:sz w:val="24"/>
                      <w:szCs w:val="24"/>
                    </w:rPr>
                    <w:t>3G</w:t>
                  </w:r>
                  <w:r>
                    <w:rPr>
                      <w:rFonts w:ascii="宋体" w:hAnsi="宋体" w:cs="宋体" w:eastAsia="宋体" w:hint="default"/>
                      <w:spacing w:val="-46"/>
                      <w:sz w:val="24"/>
                      <w:szCs w:val="24"/>
                    </w:rPr>
                    <w:t> </w:t>
                  </w:r>
                  <w:r>
                    <w:rPr>
                      <w:rFonts w:ascii="宋体" w:hAnsi="宋体" w:cs="宋体" w:eastAsia="宋体" w:hint="default"/>
                      <w:sz w:val="24"/>
                      <w:szCs w:val="24"/>
                    </w:rPr>
                    <w:t>业务的发展，培训工作作为客</w:t>
                  </w:r>
                  <w:r>
                    <w:rPr>
                      <w:rFonts w:ascii="宋体" w:hAnsi="宋体" w:cs="宋体" w:eastAsia="宋体" w:hint="default"/>
                      <w:sz w:val="24"/>
                      <w:szCs w:val="24"/>
                    </w:rPr>
                    <w:t> </w:t>
                  </w:r>
                  <w:r>
                    <w:rPr>
                      <w:rFonts w:ascii="宋体" w:hAnsi="宋体" w:cs="宋体" w:eastAsia="宋体" w:hint="default"/>
                      <w:spacing w:val="-3"/>
                      <w:sz w:val="24"/>
                      <w:szCs w:val="24"/>
                    </w:rPr>
                    <w:t>户服务的重要环节，承担了知识管理的重要角色。2009</w:t>
                  </w:r>
                  <w:r>
                    <w:rPr>
                      <w:rFonts w:ascii="宋体" w:hAnsi="宋体" w:cs="宋体" w:eastAsia="宋体" w:hint="default"/>
                      <w:spacing w:val="-53"/>
                      <w:sz w:val="24"/>
                      <w:szCs w:val="24"/>
                    </w:rPr>
                    <w:t> </w:t>
                  </w:r>
                  <w:r>
                    <w:rPr>
                      <w:rFonts w:ascii="宋体" w:hAnsi="宋体" w:cs="宋体" w:eastAsia="宋体" w:hint="default"/>
                      <w:sz w:val="24"/>
                      <w:szCs w:val="24"/>
                    </w:rPr>
                    <w:t>年共举办培训班</w:t>
                  </w:r>
                  <w:r>
                    <w:rPr>
                      <w:rFonts w:ascii="宋体" w:hAnsi="宋体" w:cs="宋体" w:eastAsia="宋体" w:hint="default"/>
                      <w:spacing w:val="-53"/>
                      <w:sz w:val="24"/>
                      <w:szCs w:val="24"/>
                    </w:rPr>
                    <w:t> </w:t>
                  </w:r>
                  <w:r>
                    <w:rPr>
                      <w:rFonts w:ascii="宋体" w:hAnsi="宋体" w:cs="宋体" w:eastAsia="宋体" w:hint="default"/>
                      <w:sz w:val="24"/>
                      <w:szCs w:val="24"/>
                    </w:rPr>
                    <w:t>3800</w:t>
                  </w:r>
                </w:p>
                <w:p>
                  <w:pPr>
                    <w:spacing w:before="94"/>
                    <w:ind w:left="159" w:right="0" w:firstLine="0"/>
                    <w:jc w:val="left"/>
                    <w:rPr>
                      <w:rFonts w:ascii="宋体" w:hAnsi="宋体" w:cs="宋体" w:eastAsia="宋体" w:hint="default"/>
                      <w:sz w:val="24"/>
                      <w:szCs w:val="24"/>
                    </w:rPr>
                  </w:pPr>
                  <w:r>
                    <w:rPr>
                      <w:rFonts w:ascii="宋体" w:hAnsi="宋体" w:cs="宋体" w:eastAsia="宋体" w:hint="default"/>
                      <w:sz w:val="24"/>
                      <w:szCs w:val="24"/>
                    </w:rPr>
                    <w:t>多期，培训</w:t>
                  </w:r>
                  <w:r>
                    <w:rPr>
                      <w:rFonts w:ascii="宋体" w:hAnsi="宋体" w:cs="宋体" w:eastAsia="宋体" w:hint="default"/>
                      <w:spacing w:val="-60"/>
                      <w:sz w:val="24"/>
                      <w:szCs w:val="24"/>
                    </w:rPr>
                    <w:t> </w:t>
                  </w:r>
                  <w:r>
                    <w:rPr>
                      <w:rFonts w:ascii="宋体" w:hAnsi="宋体" w:cs="宋体" w:eastAsia="宋体" w:hint="default"/>
                      <w:sz w:val="24"/>
                      <w:szCs w:val="24"/>
                    </w:rPr>
                    <w:t>36</w:t>
                  </w:r>
                  <w:r>
                    <w:rPr>
                      <w:rFonts w:ascii="宋体" w:hAnsi="宋体" w:cs="宋体" w:eastAsia="宋体" w:hint="default"/>
                      <w:spacing w:val="-60"/>
                      <w:sz w:val="24"/>
                      <w:szCs w:val="24"/>
                    </w:rPr>
                    <w:t> </w:t>
                  </w:r>
                  <w:r>
                    <w:rPr>
                      <w:rFonts w:ascii="宋体" w:hAnsi="宋体" w:cs="宋体" w:eastAsia="宋体" w:hint="default"/>
                      <w:sz w:val="24"/>
                      <w:szCs w:val="24"/>
                    </w:rPr>
                    <w:t>万多人次。</w:t>
                  </w:r>
                </w:p>
              </w:txbxContent>
            </v:textbox>
            <v:fill type="solid"/>
          </v:shape>
        </w:pict>
      </w:r>
      <w:r>
        <w:rPr>
          <w:rFonts w:ascii="宋体" w:hAnsi="宋体" w:cs="宋体" w:eastAsia="宋体" w:hint="default"/>
          <w:position w:val="-70"/>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spacing w:line="2199" w:lineRule="exact"/>
        <w:ind w:left="112" w:right="0" w:firstLine="0"/>
        <w:rPr>
          <w:rFonts w:ascii="宋体" w:hAnsi="宋体" w:cs="宋体" w:eastAsia="宋体" w:hint="default"/>
          <w:sz w:val="20"/>
          <w:szCs w:val="20"/>
        </w:rPr>
      </w:pPr>
      <w:r>
        <w:rPr>
          <w:rFonts w:ascii="宋体" w:hAnsi="宋体" w:cs="宋体" w:eastAsia="宋体" w:hint="default"/>
          <w:position w:val="-43"/>
          <w:sz w:val="20"/>
          <w:szCs w:val="20"/>
        </w:rPr>
        <w:pict>
          <v:shape style="width:414.75pt;height:109.95pt;mso-position-horizontal-relative:char;mso-position-vertical-relative:line" type="#_x0000_t202" filled="true" fillcolor="#ffccff" stroked="false">
            <w10:anchorlock/>
            <v:textbox inset="0,0,0,0">
              <w:txbxContent>
                <w:p>
                  <w:pPr>
                    <w:spacing w:line="468" w:lineRule="exact" w:before="34"/>
                    <w:ind w:left="159" w:right="35" w:firstLine="0"/>
                    <w:jc w:val="left"/>
                    <w:rPr>
                      <w:rFonts w:ascii="宋体" w:hAnsi="宋体" w:cs="宋体" w:eastAsia="宋体" w:hint="default"/>
                      <w:sz w:val="24"/>
                      <w:szCs w:val="24"/>
                    </w:rPr>
                  </w:pPr>
                  <w:r>
                    <w:rPr>
                      <w:rFonts w:ascii="Microsoft JhengHei" w:hAnsi="Microsoft JhengHei" w:cs="Microsoft JhengHei" w:eastAsia="Microsoft JhengHei" w:hint="default"/>
                      <w:b/>
                      <w:bCs/>
                      <w:sz w:val="24"/>
                      <w:szCs w:val="24"/>
                    </w:rPr>
                    <w:t>◆e-learning 建设。</w:t>
                  </w:r>
                  <w:r>
                    <w:rPr>
                      <w:rFonts w:ascii="宋体" w:hAnsi="宋体" w:cs="宋体" w:eastAsia="宋体" w:hint="default"/>
                      <w:sz w:val="24"/>
                      <w:szCs w:val="24"/>
                    </w:rPr>
                    <w:t>随着全业务运营和 3G 运营的发展，新型业务、融合业</w:t>
                  </w:r>
                  <w:r>
                    <w:rPr>
                      <w:rFonts w:ascii="宋体" w:hAnsi="宋体" w:cs="宋体" w:eastAsia="宋体" w:hint="default"/>
                      <w:spacing w:val="-86"/>
                      <w:sz w:val="24"/>
                      <w:szCs w:val="24"/>
                    </w:rPr>
                    <w:t> </w:t>
                  </w:r>
                  <w:r>
                    <w:rPr>
                      <w:rFonts w:ascii="宋体" w:hAnsi="宋体" w:cs="宋体" w:eastAsia="宋体" w:hint="default"/>
                      <w:spacing w:val="-86"/>
                      <w:sz w:val="24"/>
                      <w:szCs w:val="24"/>
                    </w:rPr>
                  </w:r>
                  <w:r>
                    <w:rPr>
                      <w:rFonts w:ascii="宋体" w:hAnsi="宋体" w:cs="宋体" w:eastAsia="宋体" w:hint="default"/>
                      <w:sz w:val="24"/>
                      <w:szCs w:val="24"/>
                    </w:rPr>
                    <w:t>务、捆绑业务不断创新，服务渠道的拓宽在方便客户服务的同时，也对员工</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pacing w:val="-4"/>
                      <w:sz w:val="24"/>
                      <w:szCs w:val="24"/>
                    </w:rPr>
                    <w:t>素质提出了更高的要求。为了扩大培训覆盖面，积极发展在线培训。2009</w:t>
                  </w:r>
                  <w:r>
                    <w:rPr>
                      <w:rFonts w:ascii="宋体" w:hAnsi="宋体" w:cs="宋体" w:eastAsia="宋体" w:hint="default"/>
                      <w:spacing w:val="-48"/>
                      <w:sz w:val="24"/>
                      <w:szCs w:val="24"/>
                    </w:rPr>
                    <w:t> </w:t>
                  </w:r>
                  <w:r>
                    <w:rPr>
                      <w:rFonts w:ascii="宋体" w:hAnsi="宋体" w:cs="宋体" w:eastAsia="宋体" w:hint="default"/>
                      <w:sz w:val="24"/>
                      <w:szCs w:val="24"/>
                    </w:rPr>
                    <w:t>年，</w:t>
                  </w:r>
                  <w:r>
                    <w:rPr>
                      <w:rFonts w:ascii="宋体" w:hAnsi="宋体" w:cs="宋体" w:eastAsia="宋体" w:hint="default"/>
                      <w:sz w:val="24"/>
                      <w:szCs w:val="24"/>
                    </w:rPr>
                    <w:t> 在客户服务、一线员工技能技巧提升方面的在线培训达</w:t>
                  </w:r>
                  <w:r>
                    <w:rPr>
                      <w:rFonts w:ascii="宋体" w:hAnsi="宋体" w:cs="宋体" w:eastAsia="宋体" w:hint="default"/>
                      <w:spacing w:val="-60"/>
                      <w:sz w:val="24"/>
                      <w:szCs w:val="24"/>
                    </w:rPr>
                    <w:t> </w:t>
                  </w:r>
                  <w:r>
                    <w:rPr>
                      <w:rFonts w:ascii="宋体" w:hAnsi="宋体" w:cs="宋体" w:eastAsia="宋体" w:hint="default"/>
                      <w:sz w:val="24"/>
                      <w:szCs w:val="24"/>
                    </w:rPr>
                    <w:t>100</w:t>
                  </w:r>
                  <w:r>
                    <w:rPr>
                      <w:rFonts w:ascii="宋体" w:hAnsi="宋体" w:cs="宋体" w:eastAsia="宋体" w:hint="default"/>
                      <w:spacing w:val="-60"/>
                      <w:sz w:val="24"/>
                      <w:szCs w:val="24"/>
                    </w:rPr>
                    <w:t> </w:t>
                  </w:r>
                  <w:r>
                    <w:rPr>
                      <w:rFonts w:ascii="宋体" w:hAnsi="宋体" w:cs="宋体" w:eastAsia="宋体" w:hint="default"/>
                      <w:sz w:val="24"/>
                      <w:szCs w:val="24"/>
                    </w:rPr>
                    <w:t>多万人次。</w:t>
                  </w:r>
                </w:p>
              </w:txbxContent>
            </v:textbox>
            <v:fill type="solid"/>
          </v:shape>
        </w:pict>
      </w:r>
      <w:r>
        <w:rPr>
          <w:rFonts w:ascii="宋体" w:hAnsi="宋体" w:cs="宋体" w:eastAsia="宋体" w:hint="default"/>
          <w:position w:val="-43"/>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9"/>
          <w:szCs w:val="19"/>
        </w:rPr>
      </w:pPr>
    </w:p>
    <w:p>
      <w:pPr>
        <w:spacing w:line="3282" w:lineRule="exact"/>
        <w:ind w:left="1020" w:right="0" w:firstLine="0"/>
        <w:rPr>
          <w:rFonts w:ascii="宋体" w:hAnsi="宋体" w:cs="宋体" w:eastAsia="宋体" w:hint="default"/>
          <w:sz w:val="20"/>
          <w:szCs w:val="20"/>
        </w:rPr>
      </w:pPr>
      <w:r>
        <w:rPr>
          <w:rFonts w:ascii="宋体" w:hAnsi="宋体" w:cs="宋体" w:eastAsia="宋体" w:hint="default"/>
          <w:position w:val="-65"/>
          <w:sz w:val="20"/>
          <w:szCs w:val="20"/>
        </w:rPr>
        <w:drawing>
          <wp:inline distT="0" distB="0" distL="0" distR="0">
            <wp:extent cx="4237232" cy="2084260"/>
            <wp:effectExtent l="0" t="0" r="0" b="0"/>
            <wp:docPr id="13" name="image9.jpeg" descr=""/>
            <wp:cNvGraphicFramePr>
              <a:graphicFrameLocks noChangeAspect="1"/>
            </wp:cNvGraphicFramePr>
            <a:graphic>
              <a:graphicData uri="http://schemas.openxmlformats.org/drawingml/2006/picture">
                <pic:pic>
                  <pic:nvPicPr>
                    <pic:cNvPr id="14" name="image9.jpeg"/>
                    <pic:cNvPicPr/>
                  </pic:nvPicPr>
                  <pic:blipFill>
                    <a:blip r:embed="rId203" cstate="print"/>
                    <a:stretch>
                      <a:fillRect/>
                    </a:stretch>
                  </pic:blipFill>
                  <pic:spPr>
                    <a:xfrm>
                      <a:off x="0" y="0"/>
                      <a:ext cx="4237232" cy="2084260"/>
                    </a:xfrm>
                    <a:prstGeom prst="rect">
                      <a:avLst/>
                    </a:prstGeom>
                  </pic:spPr>
                </pic:pic>
              </a:graphicData>
            </a:graphic>
          </wp:inline>
        </w:drawing>
      </w:r>
      <w:r>
        <w:rPr>
          <w:rFonts w:ascii="宋体" w:hAnsi="宋体" w:cs="宋体" w:eastAsia="宋体" w:hint="default"/>
          <w:position w:val="-65"/>
          <w:sz w:val="20"/>
          <w:szCs w:val="20"/>
        </w:rPr>
      </w:r>
    </w:p>
    <w:p>
      <w:pPr>
        <w:spacing w:line="240" w:lineRule="auto" w:before="0"/>
        <w:rPr>
          <w:rFonts w:ascii="宋体" w:hAnsi="宋体" w:cs="宋体" w:eastAsia="宋体" w:hint="default"/>
          <w:sz w:val="28"/>
          <w:szCs w:val="28"/>
        </w:rPr>
      </w:pPr>
    </w:p>
    <w:p>
      <w:pPr>
        <w:spacing w:line="240" w:lineRule="auto" w:before="9"/>
        <w:rPr>
          <w:rFonts w:ascii="宋体" w:hAnsi="宋体" w:cs="宋体" w:eastAsia="宋体" w:hint="default"/>
          <w:sz w:val="37"/>
          <w:szCs w:val="37"/>
        </w:rPr>
      </w:pPr>
    </w:p>
    <w:p>
      <w:pPr>
        <w:spacing w:line="408" w:lineRule="auto" w:before="0"/>
        <w:ind w:left="120" w:right="156" w:firstLine="560"/>
        <w:jc w:val="left"/>
        <w:rPr>
          <w:rFonts w:ascii="宋体" w:hAnsi="宋体" w:cs="宋体" w:eastAsia="宋体" w:hint="default"/>
          <w:sz w:val="28"/>
          <w:szCs w:val="28"/>
        </w:rPr>
      </w:pPr>
      <w:r>
        <w:rPr>
          <w:rFonts w:ascii="宋体" w:hAnsi="宋体" w:cs="宋体" w:eastAsia="宋体" w:hint="default"/>
          <w:spacing w:val="-4"/>
          <w:sz w:val="28"/>
          <w:szCs w:val="28"/>
        </w:rPr>
        <w:t>今后，中国联通还将在加强各级岗位员工技能培训的基础上，进</w:t>
      </w:r>
      <w:r>
        <w:rPr>
          <w:rFonts w:ascii="宋体" w:hAnsi="宋体" w:cs="宋体" w:eastAsia="宋体" w:hint="default"/>
          <w:w w:val="99"/>
          <w:sz w:val="28"/>
          <w:szCs w:val="28"/>
        </w:rPr>
        <w:t> </w:t>
      </w:r>
      <w:r>
        <w:rPr>
          <w:rFonts w:ascii="宋体" w:hAnsi="宋体" w:cs="宋体" w:eastAsia="宋体" w:hint="default"/>
          <w:spacing w:val="-4"/>
          <w:sz w:val="28"/>
          <w:szCs w:val="28"/>
        </w:rPr>
        <w:t>一步合理规划培训设置，完善培训管理机制流程，结合实际需要，有</w:t>
      </w:r>
    </w:p>
    <w:p>
      <w:pPr>
        <w:spacing w:after="0" w:line="408" w:lineRule="auto"/>
        <w:jc w:val="left"/>
        <w:rPr>
          <w:rFonts w:ascii="宋体" w:hAnsi="宋体" w:cs="宋体" w:eastAsia="宋体" w:hint="default"/>
          <w:sz w:val="28"/>
          <w:szCs w:val="28"/>
        </w:rPr>
        <w:sectPr>
          <w:headerReference w:type="default" r:id="rId201"/>
          <w:footerReference w:type="default" r:id="rId202"/>
          <w:pgSz w:w="11910" w:h="16840"/>
          <w:pgMar w:header="0" w:footer="982" w:top="1540" w:bottom="1180" w:left="1680" w:right="1640"/>
          <w:pgNumType w:start="18"/>
        </w:sectPr>
      </w:pPr>
    </w:p>
    <w:p>
      <w:pPr>
        <w:pStyle w:val="Heading7"/>
        <w:spacing w:line="351" w:lineRule="exact"/>
        <w:ind w:right="0"/>
        <w:jc w:val="left"/>
      </w:pPr>
      <w:r>
        <w:rPr>
          <w:spacing w:val="-4"/>
        </w:rPr>
        <w:t>计划、有步骤地造就核心人才队伍，为提高员工队伍整体素质、提高</w:t>
      </w:r>
    </w:p>
    <w:p>
      <w:pPr>
        <w:spacing w:line="240" w:lineRule="auto" w:before="9"/>
        <w:rPr>
          <w:rFonts w:ascii="宋体" w:hAnsi="宋体" w:cs="宋体" w:eastAsia="宋体" w:hint="default"/>
          <w:sz w:val="19"/>
          <w:szCs w:val="19"/>
        </w:rPr>
      </w:pPr>
    </w:p>
    <w:p>
      <w:pPr>
        <w:spacing w:before="0"/>
        <w:ind w:left="120" w:right="0" w:firstLine="0"/>
        <w:jc w:val="left"/>
        <w:rPr>
          <w:rFonts w:ascii="宋体" w:hAnsi="宋体" w:cs="宋体" w:eastAsia="宋体" w:hint="default"/>
          <w:sz w:val="28"/>
          <w:szCs w:val="28"/>
        </w:rPr>
      </w:pPr>
      <w:r>
        <w:rPr>
          <w:rFonts w:ascii="宋体" w:hAnsi="宋体" w:cs="宋体" w:eastAsia="宋体" w:hint="default"/>
          <w:sz w:val="28"/>
          <w:szCs w:val="28"/>
        </w:rPr>
        <w:t>企业生产力、提高企业履行社会责任的意识和能力不懈努力！</w:t>
      </w:r>
    </w:p>
    <w:p>
      <w:pPr>
        <w:spacing w:after="0"/>
        <w:jc w:val="left"/>
        <w:rPr>
          <w:rFonts w:ascii="宋体" w:hAnsi="宋体" w:cs="宋体" w:eastAsia="宋体" w:hint="default"/>
          <w:sz w:val="28"/>
          <w:szCs w:val="28"/>
        </w:rPr>
        <w:sectPr>
          <w:headerReference w:type="default" r:id="rId204"/>
          <w:footerReference w:type="default" r:id="rId205"/>
          <w:pgSz w:w="11910" w:h="16840"/>
          <w:pgMar w:header="0" w:footer="982" w:top="1540" w:bottom="1180" w:left="1680" w:right="1680"/>
          <w:pgNumType w:start="19"/>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pStyle w:val="Heading1"/>
        <w:tabs>
          <w:tab w:pos="4534" w:val="left" w:leader="none"/>
        </w:tabs>
        <w:spacing w:line="632" w:lineRule="exact"/>
        <w:ind w:left="891" w:right="0"/>
        <w:jc w:val="left"/>
        <w:rPr>
          <w:b w:val="0"/>
          <w:bCs w:val="0"/>
        </w:rPr>
      </w:pPr>
      <w:r>
        <w:rPr>
          <w:w w:val="95"/>
        </w:rPr>
        <w:t>净化网络环境</w:t>
        <w:tab/>
      </w:r>
      <w:r>
        <w:rPr/>
        <w:t>联通责无旁贷</w:t>
      </w:r>
      <w:r>
        <w:rPr>
          <w:b w:val="0"/>
          <w:bCs w:val="0"/>
        </w:rPr>
      </w:r>
    </w:p>
    <w:p>
      <w:pPr>
        <w:spacing w:line="240" w:lineRule="auto" w:before="0"/>
        <w:rPr>
          <w:rFonts w:ascii="华文行楷" w:hAnsi="华文行楷" w:cs="华文行楷" w:eastAsia="华文行楷" w:hint="default"/>
          <w:b/>
          <w:bCs/>
          <w:sz w:val="52"/>
          <w:szCs w:val="52"/>
        </w:rPr>
      </w:pPr>
    </w:p>
    <w:p>
      <w:pPr>
        <w:spacing w:line="240" w:lineRule="auto" w:before="6"/>
        <w:rPr>
          <w:rFonts w:ascii="华文行楷" w:hAnsi="华文行楷" w:cs="华文行楷" w:eastAsia="华文行楷" w:hint="default"/>
          <w:b/>
          <w:bCs/>
          <w:sz w:val="58"/>
          <w:szCs w:val="58"/>
        </w:rPr>
      </w:pPr>
    </w:p>
    <w:p>
      <w:pPr>
        <w:spacing w:line="388" w:lineRule="auto" w:before="0"/>
        <w:ind w:left="120" w:right="119" w:firstLine="560"/>
        <w:jc w:val="both"/>
        <w:rPr>
          <w:rFonts w:ascii="华文行楷" w:hAnsi="华文行楷" w:cs="华文行楷" w:eastAsia="华文行楷" w:hint="default"/>
          <w:sz w:val="28"/>
          <w:szCs w:val="28"/>
        </w:rPr>
      </w:pPr>
      <w:r>
        <w:rPr>
          <w:rFonts w:ascii="华文行楷" w:hAnsi="华文行楷" w:cs="华文行楷" w:eastAsia="华文行楷" w:hint="default"/>
          <w:i/>
          <w:color w:val="323232"/>
          <w:spacing w:val="-4"/>
          <w:sz w:val="28"/>
          <w:szCs w:val="28"/>
        </w:rPr>
        <w:t>“手机互联网扫黄工作，事关社会风气的净化，事关青少年的健</w:t>
      </w:r>
      <w:r>
        <w:rPr>
          <w:rFonts w:ascii="华文行楷" w:hAnsi="华文行楷" w:cs="华文行楷" w:eastAsia="华文行楷" w:hint="default"/>
          <w:i/>
          <w:color w:val="323232"/>
          <w:w w:val="99"/>
          <w:sz w:val="28"/>
          <w:szCs w:val="28"/>
        </w:rPr>
        <w:t> </w:t>
      </w:r>
      <w:r>
        <w:rPr>
          <w:rFonts w:ascii="华文行楷" w:hAnsi="华文行楷" w:cs="华文行楷" w:eastAsia="华文行楷" w:hint="default"/>
          <w:i/>
          <w:color w:val="323232"/>
          <w:spacing w:val="-4"/>
          <w:sz w:val="28"/>
          <w:szCs w:val="28"/>
        </w:rPr>
        <w:t>康成长，也事关信息服务业的健康发展。中国联通将全力以赴，把这</w:t>
      </w:r>
      <w:r>
        <w:rPr>
          <w:rFonts w:ascii="华文行楷" w:hAnsi="华文行楷" w:cs="华文行楷" w:eastAsia="华文行楷" w:hint="default"/>
          <w:i/>
          <w:color w:val="323232"/>
          <w:spacing w:val="-53"/>
          <w:sz w:val="28"/>
          <w:szCs w:val="28"/>
        </w:rPr>
        <w:t> </w:t>
      </w:r>
      <w:r>
        <w:rPr>
          <w:rFonts w:ascii="华文行楷" w:hAnsi="华文行楷" w:cs="华文行楷" w:eastAsia="华文行楷" w:hint="default"/>
          <w:i/>
          <w:color w:val="323232"/>
          <w:spacing w:val="-53"/>
          <w:sz w:val="28"/>
          <w:szCs w:val="28"/>
        </w:rPr>
      </w:r>
      <w:r>
        <w:rPr>
          <w:rFonts w:ascii="华文行楷" w:hAnsi="华文行楷" w:cs="华文行楷" w:eastAsia="华文行楷" w:hint="default"/>
          <w:i/>
          <w:color w:val="323232"/>
          <w:sz w:val="28"/>
          <w:szCs w:val="28"/>
        </w:rPr>
        <w:t>项斗争推向深入！”</w:t>
      </w:r>
      <w:r>
        <w:rPr>
          <w:rFonts w:ascii="华文行楷" w:hAnsi="华文行楷" w:cs="华文行楷" w:eastAsia="华文行楷" w:hint="default"/>
          <w:sz w:val="28"/>
          <w:szCs w:val="28"/>
        </w:rPr>
      </w:r>
    </w:p>
    <w:p>
      <w:pPr>
        <w:spacing w:before="57"/>
        <w:ind w:left="4011" w:right="0" w:firstLine="0"/>
        <w:jc w:val="left"/>
        <w:rPr>
          <w:rFonts w:ascii="华文行楷" w:hAnsi="华文行楷" w:cs="华文行楷" w:eastAsia="华文行楷" w:hint="default"/>
          <w:sz w:val="28"/>
          <w:szCs w:val="28"/>
        </w:rPr>
      </w:pPr>
      <w:r>
        <w:rPr>
          <w:rFonts w:ascii="华文行楷" w:hAnsi="华文行楷" w:cs="华文行楷" w:eastAsia="华文行楷" w:hint="default"/>
          <w:i/>
          <w:color w:val="323232"/>
          <w:sz w:val="28"/>
          <w:szCs w:val="28"/>
        </w:rPr>
        <w:t>——中国联通董事长常小兵</w:t>
      </w:r>
      <w:r>
        <w:rPr>
          <w:rFonts w:ascii="华文行楷" w:hAnsi="华文行楷" w:cs="华文行楷" w:eastAsia="华文行楷" w:hint="default"/>
          <w:sz w:val="28"/>
          <w:szCs w:val="28"/>
        </w:rPr>
      </w:r>
    </w:p>
    <w:p>
      <w:pPr>
        <w:spacing w:line="240" w:lineRule="auto" w:before="0"/>
        <w:rPr>
          <w:rFonts w:ascii="华文行楷" w:hAnsi="华文行楷" w:cs="华文行楷" w:eastAsia="华文行楷" w:hint="default"/>
          <w:i/>
          <w:sz w:val="28"/>
          <w:szCs w:val="28"/>
        </w:rPr>
      </w:pPr>
    </w:p>
    <w:p>
      <w:pPr>
        <w:spacing w:line="240" w:lineRule="auto" w:before="0"/>
        <w:rPr>
          <w:rFonts w:ascii="华文行楷" w:hAnsi="华文行楷" w:cs="华文行楷" w:eastAsia="华文行楷" w:hint="default"/>
          <w:i/>
          <w:sz w:val="28"/>
          <w:szCs w:val="28"/>
        </w:rPr>
      </w:pPr>
    </w:p>
    <w:p>
      <w:pPr>
        <w:spacing w:line="240" w:lineRule="auto" w:before="0"/>
        <w:rPr>
          <w:rFonts w:ascii="华文行楷" w:hAnsi="华文行楷" w:cs="华文行楷" w:eastAsia="华文行楷" w:hint="default"/>
          <w:i/>
          <w:sz w:val="28"/>
          <w:szCs w:val="28"/>
        </w:rPr>
      </w:pPr>
    </w:p>
    <w:p>
      <w:pPr>
        <w:spacing w:line="240" w:lineRule="auto" w:before="5"/>
        <w:rPr>
          <w:rFonts w:ascii="华文行楷" w:hAnsi="华文行楷" w:cs="华文行楷" w:eastAsia="华文行楷" w:hint="default"/>
          <w:i/>
          <w:sz w:val="20"/>
          <w:szCs w:val="20"/>
        </w:rPr>
      </w:pPr>
    </w:p>
    <w:p>
      <w:pPr>
        <w:spacing w:before="0"/>
        <w:ind w:left="120" w:right="0" w:firstLine="0"/>
        <w:jc w:val="left"/>
        <w:rPr>
          <w:rFonts w:ascii="黑体" w:hAnsi="黑体" w:cs="黑体" w:eastAsia="黑体" w:hint="default"/>
          <w:sz w:val="36"/>
          <w:szCs w:val="36"/>
        </w:rPr>
      </w:pPr>
      <w:r>
        <w:rPr>
          <w:rFonts w:ascii="黑体" w:hAnsi="黑体" w:cs="黑体" w:eastAsia="黑体" w:hint="default"/>
          <w:b/>
          <w:bCs/>
          <w:color w:val="323232"/>
          <w:sz w:val="36"/>
          <w:szCs w:val="36"/>
        </w:rPr>
        <w:t>与社会各界携手全力整治手机互联网低俗内容</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spacing w:line="408" w:lineRule="auto" w:before="0"/>
        <w:ind w:left="119" w:right="0" w:firstLine="560"/>
        <w:jc w:val="left"/>
        <w:rPr>
          <w:rFonts w:ascii="宋体" w:hAnsi="宋体" w:cs="宋体" w:eastAsia="宋体" w:hint="default"/>
          <w:sz w:val="28"/>
          <w:szCs w:val="28"/>
        </w:rPr>
      </w:pPr>
      <w:r>
        <w:rPr>
          <w:rFonts w:ascii="宋体" w:hAnsi="宋体" w:cs="宋体" w:eastAsia="宋体" w:hint="default"/>
          <w:color w:val="323232"/>
          <w:sz w:val="28"/>
          <w:szCs w:val="28"/>
        </w:rPr>
        <w:t>手机互联网上的淫秽色情信息是侵入并藏身于信息网络的“毒</w:t>
      </w:r>
      <w:r>
        <w:rPr>
          <w:rFonts w:ascii="宋体" w:hAnsi="宋体" w:cs="宋体" w:eastAsia="宋体" w:hint="default"/>
          <w:color w:val="323232"/>
          <w:w w:val="99"/>
          <w:sz w:val="28"/>
          <w:szCs w:val="28"/>
        </w:rPr>
        <w:t> </w:t>
      </w:r>
      <w:r>
        <w:rPr>
          <w:rFonts w:ascii="宋体" w:hAnsi="宋体" w:cs="宋体" w:eastAsia="宋体" w:hint="default"/>
          <w:color w:val="323232"/>
          <w:spacing w:val="-4"/>
          <w:sz w:val="28"/>
          <w:szCs w:val="28"/>
        </w:rPr>
        <w:t>瘤”，无论从企业承担的政治责任</w:t>
      </w:r>
      <w:r>
        <w:rPr>
          <w:rFonts w:ascii="MS Gothic" w:hAnsi="MS Gothic" w:cs="MS Gothic" w:eastAsia="MS Gothic" w:hint="default"/>
          <w:color w:val="323232"/>
          <w:spacing w:val="-4"/>
          <w:sz w:val="28"/>
          <w:szCs w:val="28"/>
        </w:rPr>
        <w:t>､</w:t>
      </w:r>
      <w:r>
        <w:rPr>
          <w:rFonts w:ascii="宋体" w:hAnsi="宋体" w:cs="宋体" w:eastAsia="宋体" w:hint="default"/>
          <w:color w:val="323232"/>
          <w:spacing w:val="-4"/>
          <w:sz w:val="28"/>
          <w:szCs w:val="28"/>
        </w:rPr>
        <w:t>社会责任而言,还是从企业依法经</w:t>
      </w:r>
      <w:r>
        <w:rPr>
          <w:rFonts w:ascii="宋体" w:hAnsi="宋体" w:cs="宋体" w:eastAsia="宋体" w:hint="default"/>
          <w:color w:val="323232"/>
          <w:spacing w:val="-122"/>
          <w:sz w:val="28"/>
          <w:szCs w:val="28"/>
        </w:rPr>
        <w:t> </w:t>
      </w:r>
      <w:r>
        <w:rPr>
          <w:rFonts w:ascii="宋体" w:hAnsi="宋体" w:cs="宋体" w:eastAsia="宋体" w:hint="default"/>
          <w:color w:val="323232"/>
          <w:sz w:val="28"/>
          <w:szCs w:val="28"/>
        </w:rPr>
        <w:t>营</w:t>
      </w:r>
      <w:r>
        <w:rPr>
          <w:rFonts w:ascii="MS Gothic" w:hAnsi="MS Gothic" w:cs="MS Gothic" w:eastAsia="MS Gothic" w:hint="default"/>
          <w:color w:val="323232"/>
          <w:sz w:val="28"/>
          <w:szCs w:val="28"/>
        </w:rPr>
        <w:t>､</w:t>
      </w:r>
      <w:r>
        <w:rPr>
          <w:rFonts w:ascii="宋体" w:hAnsi="宋体" w:cs="宋体" w:eastAsia="宋体" w:hint="default"/>
          <w:color w:val="323232"/>
          <w:sz w:val="28"/>
          <w:szCs w:val="28"/>
        </w:rPr>
        <w:t>控制商业风险方面来讲,清除淫秽色情信息,是中国联通责无旁贷</w:t>
      </w:r>
      <w:r>
        <w:rPr>
          <w:rFonts w:ascii="宋体" w:hAnsi="宋体" w:cs="宋体" w:eastAsia="宋体" w:hint="default"/>
          <w:color w:val="323232"/>
          <w:w w:val="99"/>
          <w:sz w:val="28"/>
          <w:szCs w:val="28"/>
        </w:rPr>
        <w:t> </w:t>
      </w:r>
      <w:r>
        <w:rPr>
          <w:rFonts w:ascii="宋体" w:hAnsi="宋体" w:cs="宋体" w:eastAsia="宋体" w:hint="default"/>
          <w:color w:val="323232"/>
          <w:sz w:val="28"/>
          <w:szCs w:val="28"/>
        </w:rPr>
        <w:t>的任务，运营商迫切清除淫秽色情信息这个网络“毒瘤”。</w:t>
      </w:r>
      <w:r>
        <w:rPr>
          <w:rFonts w:ascii="宋体" w:hAnsi="宋体" w:cs="宋体" w:eastAsia="宋体" w:hint="default"/>
          <w:sz w:val="28"/>
          <w:szCs w:val="28"/>
        </w:rPr>
      </w:r>
    </w:p>
    <w:p>
      <w:pPr>
        <w:spacing w:line="408" w:lineRule="auto" w:before="61"/>
        <w:ind w:left="119" w:right="116" w:firstLine="548"/>
        <w:jc w:val="both"/>
        <w:rPr>
          <w:rFonts w:ascii="宋体" w:hAnsi="宋体" w:cs="宋体" w:eastAsia="宋体" w:hint="default"/>
          <w:sz w:val="28"/>
          <w:szCs w:val="28"/>
        </w:rPr>
      </w:pPr>
      <w:r>
        <w:rPr>
          <w:rFonts w:ascii="宋体" w:hAnsi="宋体" w:cs="宋体" w:eastAsia="宋体" w:hint="default"/>
          <w:color w:val="323232"/>
          <w:spacing w:val="-3"/>
          <w:sz w:val="28"/>
          <w:szCs w:val="28"/>
        </w:rPr>
        <w:t>中国联通联合首批合作伙伴承诺提供绿色健康的信息服务。为坚</w:t>
      </w:r>
      <w:r>
        <w:rPr>
          <w:rFonts w:ascii="宋体" w:hAnsi="宋体" w:cs="宋体" w:eastAsia="宋体" w:hint="default"/>
          <w:color w:val="323232"/>
          <w:spacing w:val="1"/>
          <w:w w:val="99"/>
          <w:sz w:val="28"/>
          <w:szCs w:val="28"/>
        </w:rPr>
        <w:t> </w:t>
      </w:r>
      <w:r>
        <w:rPr>
          <w:rFonts w:ascii="宋体" w:hAnsi="宋体" w:cs="宋体" w:eastAsia="宋体" w:hint="default"/>
          <w:color w:val="323232"/>
          <w:spacing w:val="-4"/>
          <w:sz w:val="28"/>
          <w:szCs w:val="28"/>
        </w:rPr>
        <w:t>决打击利用手机互联网传播色情淫秽信息等违法行为，向用户提供绿</w:t>
      </w:r>
      <w:r>
        <w:rPr>
          <w:rFonts w:ascii="宋体" w:hAnsi="宋体" w:cs="宋体" w:eastAsia="宋体" w:hint="default"/>
          <w:color w:val="323232"/>
          <w:spacing w:val="-125"/>
          <w:sz w:val="28"/>
          <w:szCs w:val="28"/>
        </w:rPr>
        <w:t> </w:t>
      </w:r>
      <w:r>
        <w:rPr>
          <w:rFonts w:ascii="宋体" w:hAnsi="宋体" w:cs="宋体" w:eastAsia="宋体" w:hint="default"/>
          <w:color w:val="323232"/>
          <w:spacing w:val="-125"/>
          <w:sz w:val="28"/>
          <w:szCs w:val="28"/>
        </w:rPr>
      </w:r>
      <w:r>
        <w:rPr>
          <w:rFonts w:ascii="宋体" w:hAnsi="宋体" w:cs="宋体" w:eastAsia="宋体" w:hint="default"/>
          <w:color w:val="323232"/>
          <w:spacing w:val="-4"/>
          <w:sz w:val="28"/>
          <w:szCs w:val="28"/>
        </w:rPr>
        <w:t>色健康的信息服务，促进电信增值业务的健康发展，中国联通在近期</w:t>
      </w:r>
      <w:r>
        <w:rPr>
          <w:rFonts w:ascii="宋体" w:hAnsi="宋体" w:cs="宋体" w:eastAsia="宋体" w:hint="default"/>
          <w:color w:val="323232"/>
          <w:spacing w:val="-124"/>
          <w:sz w:val="28"/>
          <w:szCs w:val="28"/>
        </w:rPr>
        <w:t> </w:t>
      </w:r>
      <w:r>
        <w:rPr>
          <w:rFonts w:ascii="宋体" w:hAnsi="宋体" w:cs="宋体" w:eastAsia="宋体" w:hint="default"/>
          <w:color w:val="323232"/>
          <w:spacing w:val="-124"/>
          <w:sz w:val="28"/>
          <w:szCs w:val="28"/>
        </w:rPr>
      </w:r>
      <w:r>
        <w:rPr>
          <w:rFonts w:ascii="宋体" w:hAnsi="宋体" w:cs="宋体" w:eastAsia="宋体" w:hint="default"/>
          <w:color w:val="323232"/>
          <w:sz w:val="28"/>
          <w:szCs w:val="28"/>
        </w:rPr>
        <w:t>采取了一系列严厉整治措施。</w:t>
      </w:r>
      <w:r>
        <w:rPr>
          <w:rFonts w:ascii="宋体" w:hAnsi="宋体" w:cs="宋体" w:eastAsia="宋体" w:hint="default"/>
          <w:sz w:val="28"/>
          <w:szCs w:val="28"/>
        </w:rPr>
      </w:r>
    </w:p>
    <w:p>
      <w:pPr>
        <w:spacing w:after="0" w:line="408" w:lineRule="auto"/>
        <w:jc w:val="both"/>
        <w:rPr>
          <w:rFonts w:ascii="宋体" w:hAnsi="宋体" w:cs="宋体" w:eastAsia="宋体" w:hint="default"/>
          <w:sz w:val="28"/>
          <w:szCs w:val="28"/>
        </w:rPr>
        <w:sectPr>
          <w:headerReference w:type="default" r:id="rId206"/>
          <w:footerReference w:type="default" r:id="rId207"/>
          <w:pgSz w:w="11910" w:h="16840"/>
          <w:pgMar w:header="0" w:footer="982" w:top="1600" w:bottom="1180" w:left="1680" w:right="1680"/>
          <w:pgNumType w:start="2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spacing w:line="408" w:lineRule="auto" w:before="13"/>
        <w:ind w:left="681" w:right="0" w:hanging="11"/>
        <w:jc w:val="left"/>
        <w:rPr>
          <w:rFonts w:ascii="黑体" w:hAnsi="黑体" w:cs="黑体" w:eastAsia="黑体" w:hint="default"/>
          <w:sz w:val="28"/>
          <w:szCs w:val="28"/>
        </w:rPr>
      </w:pPr>
      <w:r>
        <w:rPr>
          <w:rFonts w:ascii="黑体" w:hAnsi="黑体" w:cs="黑体" w:eastAsia="黑体" w:hint="default"/>
          <w:b/>
          <w:bCs/>
          <w:color w:val="323232"/>
          <w:sz w:val="28"/>
          <w:szCs w:val="28"/>
        </w:rPr>
        <w:t>中国联通联合多家合作伙伴向社会各界郑重承诺：</w:t>
      </w:r>
      <w:r>
        <w:rPr>
          <w:rFonts w:ascii="黑体" w:hAnsi="黑体" w:cs="黑体" w:eastAsia="黑体" w:hint="default"/>
          <w:b/>
          <w:bCs/>
          <w:color w:val="323232"/>
          <w:spacing w:val="1"/>
          <w:w w:val="99"/>
          <w:sz w:val="28"/>
          <w:szCs w:val="28"/>
        </w:rPr>
        <w:t> </w:t>
      </w:r>
      <w:r>
        <w:rPr>
          <w:rFonts w:ascii="黑体" w:hAnsi="黑体" w:cs="黑体" w:eastAsia="黑体" w:hint="default"/>
          <w:b/>
          <w:bCs/>
          <w:color w:val="323232"/>
          <w:spacing w:val="-4"/>
          <w:w w:val="95"/>
          <w:sz w:val="28"/>
          <w:szCs w:val="28"/>
        </w:rPr>
        <w:t>遵守国家有关法律、行政法规和管理规章，严格执行信息安全管</w:t>
      </w:r>
      <w:r>
        <w:rPr>
          <w:rFonts w:ascii="黑体" w:hAnsi="黑体" w:cs="黑体" w:eastAsia="黑体" w:hint="default"/>
          <w:sz w:val="28"/>
          <w:szCs w:val="28"/>
        </w:rPr>
      </w:r>
    </w:p>
    <w:p>
      <w:pPr>
        <w:spacing w:line="408" w:lineRule="auto" w:before="61"/>
        <w:ind w:left="119" w:right="116" w:firstLine="0"/>
        <w:jc w:val="both"/>
        <w:rPr>
          <w:rFonts w:ascii="黑体" w:hAnsi="黑体" w:cs="黑体" w:eastAsia="黑体" w:hint="default"/>
          <w:sz w:val="28"/>
          <w:szCs w:val="28"/>
        </w:rPr>
      </w:pPr>
      <w:r>
        <w:rPr>
          <w:rFonts w:ascii="黑体" w:hAnsi="黑体" w:cs="黑体" w:eastAsia="黑体" w:hint="default"/>
          <w:b/>
          <w:bCs/>
          <w:color w:val="323232"/>
          <w:spacing w:val="-4"/>
          <w:w w:val="95"/>
          <w:sz w:val="28"/>
          <w:szCs w:val="28"/>
        </w:rPr>
        <w:t>理规定，绝不制作、复制、发布、传播包含淫秽色情等违法信息及有</w:t>
      </w:r>
      <w:r>
        <w:rPr>
          <w:rFonts w:ascii="黑体" w:hAnsi="黑体" w:cs="黑体" w:eastAsia="黑体" w:hint="default"/>
          <w:b/>
          <w:bCs/>
          <w:color w:val="323232"/>
          <w:spacing w:val="9"/>
          <w:w w:val="95"/>
          <w:sz w:val="28"/>
          <w:szCs w:val="28"/>
        </w:rPr>
        <w:t> </w:t>
      </w:r>
      <w:r>
        <w:rPr>
          <w:rFonts w:ascii="黑体" w:hAnsi="黑体" w:cs="黑体" w:eastAsia="黑体" w:hint="default"/>
          <w:b/>
          <w:bCs/>
          <w:color w:val="323232"/>
          <w:spacing w:val="9"/>
          <w:w w:val="95"/>
          <w:sz w:val="28"/>
          <w:szCs w:val="28"/>
        </w:rPr>
      </w:r>
      <w:r>
        <w:rPr>
          <w:rFonts w:ascii="黑体" w:hAnsi="黑体" w:cs="黑体" w:eastAsia="黑体" w:hint="default"/>
          <w:b/>
          <w:bCs/>
          <w:color w:val="323232"/>
          <w:spacing w:val="-4"/>
          <w:w w:val="95"/>
          <w:sz w:val="28"/>
          <w:szCs w:val="28"/>
        </w:rPr>
        <w:t>悖社会公德的低俗信息内容，广泛接受社会舆论监督，共同倡导并建</w:t>
      </w:r>
      <w:r>
        <w:rPr>
          <w:rFonts w:ascii="黑体" w:hAnsi="黑体" w:cs="黑体" w:eastAsia="黑体" w:hint="default"/>
          <w:b/>
          <w:bCs/>
          <w:color w:val="323232"/>
          <w:spacing w:val="6"/>
          <w:w w:val="95"/>
          <w:sz w:val="28"/>
          <w:szCs w:val="28"/>
        </w:rPr>
        <w:t> </w:t>
      </w:r>
      <w:r>
        <w:rPr>
          <w:rFonts w:ascii="黑体" w:hAnsi="黑体" w:cs="黑体" w:eastAsia="黑体" w:hint="default"/>
          <w:b/>
          <w:bCs/>
          <w:color w:val="323232"/>
          <w:spacing w:val="6"/>
          <w:w w:val="95"/>
          <w:sz w:val="28"/>
          <w:szCs w:val="28"/>
        </w:rPr>
      </w:r>
      <w:r>
        <w:rPr>
          <w:rFonts w:ascii="黑体" w:hAnsi="黑体" w:cs="黑体" w:eastAsia="黑体" w:hint="default"/>
          <w:b/>
          <w:bCs/>
          <w:color w:val="323232"/>
          <w:sz w:val="28"/>
          <w:szCs w:val="28"/>
        </w:rPr>
        <w:t>设网络文明。</w:t>
      </w:r>
      <w:r>
        <w:rPr>
          <w:rFonts w:ascii="黑体" w:hAnsi="黑体" w:cs="黑体" w:eastAsia="黑体" w:hint="default"/>
          <w:sz w:val="28"/>
          <w:szCs w:val="28"/>
        </w:rPr>
      </w:r>
    </w:p>
    <w:p>
      <w:pPr>
        <w:spacing w:before="61"/>
        <w:ind w:left="681" w:right="0" w:firstLine="0"/>
        <w:jc w:val="left"/>
        <w:rPr>
          <w:rFonts w:ascii="黑体" w:hAnsi="黑体" w:cs="黑体" w:eastAsia="黑体" w:hint="default"/>
          <w:sz w:val="28"/>
          <w:szCs w:val="28"/>
        </w:rPr>
      </w:pPr>
      <w:r>
        <w:rPr>
          <w:rFonts w:ascii="黑体" w:hAnsi="黑体" w:cs="黑体" w:eastAsia="黑体" w:hint="default"/>
          <w:b/>
          <w:bCs/>
          <w:color w:val="323232"/>
          <w:sz w:val="28"/>
          <w:szCs w:val="28"/>
        </w:rPr>
        <w:t>中国联通将与其合作伙伴采取一系列措施，落实上述承诺。</w:t>
      </w:r>
      <w:r>
        <w:rPr>
          <w:rFonts w:ascii="黑体" w:hAnsi="黑体" w:cs="黑体" w:eastAsia="黑体" w:hint="default"/>
          <w:sz w:val="28"/>
          <w:szCs w:val="28"/>
        </w:rPr>
      </w:r>
    </w:p>
    <w:p>
      <w:pPr>
        <w:spacing w:line="240" w:lineRule="auto" w:before="0"/>
        <w:rPr>
          <w:rFonts w:ascii="黑体" w:hAnsi="黑体" w:cs="黑体" w:eastAsia="黑体" w:hint="default"/>
          <w:b/>
          <w:bCs/>
          <w:sz w:val="28"/>
          <w:szCs w:val="28"/>
        </w:rPr>
      </w:pPr>
    </w:p>
    <w:p>
      <w:pPr>
        <w:spacing w:line="240" w:lineRule="auto" w:before="5"/>
        <w:rPr>
          <w:rFonts w:ascii="黑体" w:hAnsi="黑体" w:cs="黑体" w:eastAsia="黑体" w:hint="default"/>
          <w:b/>
          <w:bCs/>
          <w:sz w:val="39"/>
          <w:szCs w:val="39"/>
        </w:rPr>
      </w:pPr>
    </w:p>
    <w:p>
      <w:pPr>
        <w:pStyle w:val="Heading7"/>
        <w:spacing w:line="408" w:lineRule="auto"/>
        <w:ind w:right="116" w:firstLine="560"/>
        <w:jc w:val="both"/>
      </w:pPr>
      <w:r>
        <w:rPr>
          <w:color w:val="323232"/>
          <w:spacing w:val="-4"/>
        </w:rPr>
        <w:t>手机上网“涉黄传黄”问题有其复杂性和长期性，中国联通不断</w:t>
      </w:r>
      <w:r>
        <w:rPr>
          <w:color w:val="323232"/>
          <w:w w:val="99"/>
        </w:rPr>
        <w:t> </w:t>
      </w:r>
      <w:r>
        <w:rPr>
          <w:color w:val="323232"/>
          <w:spacing w:val="-4"/>
        </w:rPr>
        <w:t>完善落实信息安全管理制度，采取有力的技术和管理措施，坚决遏制</w:t>
      </w:r>
      <w:r>
        <w:rPr>
          <w:color w:val="323232"/>
          <w:spacing w:val="-124"/>
        </w:rPr>
        <w:t> </w:t>
      </w:r>
      <w:r>
        <w:rPr>
          <w:color w:val="323232"/>
          <w:spacing w:val="-124"/>
        </w:rPr>
      </w:r>
      <w:r>
        <w:rPr>
          <w:color w:val="323232"/>
          <w:spacing w:val="-4"/>
        </w:rPr>
        <w:t>手机“涉黄传黄”的现象，严厉打击利用手机互联网传播淫秽色情信</w:t>
      </w:r>
      <w:r>
        <w:rPr>
          <w:color w:val="323232"/>
          <w:spacing w:val="-127"/>
        </w:rPr>
        <w:t> </w:t>
      </w:r>
      <w:r>
        <w:rPr>
          <w:color w:val="323232"/>
          <w:spacing w:val="-127"/>
        </w:rPr>
      </w:r>
      <w:r>
        <w:rPr>
          <w:color w:val="323232"/>
        </w:rPr>
        <w:t>息的违法犯罪活动，大力营造健康绿色的手机网络空间。</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p>
      <w:pPr>
        <w:spacing w:line="5007" w:lineRule="exact"/>
        <w:ind w:left="112" w:right="0" w:firstLine="0"/>
        <w:rPr>
          <w:rFonts w:ascii="宋体" w:hAnsi="宋体" w:cs="宋体" w:eastAsia="宋体" w:hint="default"/>
          <w:sz w:val="20"/>
          <w:szCs w:val="20"/>
        </w:rPr>
      </w:pPr>
      <w:r>
        <w:rPr>
          <w:rFonts w:ascii="宋体" w:hAnsi="宋体" w:cs="宋体" w:eastAsia="宋体" w:hint="default"/>
          <w:position w:val="-99"/>
          <w:sz w:val="20"/>
          <w:szCs w:val="20"/>
        </w:rPr>
        <w:pict>
          <v:shape style="width:414.75pt;height:250.35pt;mso-position-horizontal-relative:char;mso-position-vertical-relative:line" type="#_x0000_t202" filled="true" fillcolor="#ccccff" stroked="false">
            <w10:anchorlock/>
            <v:textbox inset="0,0,0,0">
              <w:txbxContent>
                <w:p>
                  <w:pPr>
                    <w:spacing w:before="128"/>
                    <w:ind w:left="159" w:right="0" w:firstLine="0"/>
                    <w:jc w:val="both"/>
                    <w:rPr>
                      <w:rFonts w:ascii="宋体" w:hAnsi="宋体" w:cs="宋体" w:eastAsia="宋体" w:hint="default"/>
                      <w:sz w:val="24"/>
                      <w:szCs w:val="24"/>
                    </w:rPr>
                  </w:pPr>
                  <w:r>
                    <w:rPr>
                      <w:rFonts w:ascii="宋体" w:hAnsi="宋体" w:cs="宋体" w:eastAsia="宋体" w:hint="default"/>
                      <w:color w:val="323232"/>
                      <w:sz w:val="24"/>
                      <w:szCs w:val="24"/>
                    </w:rPr>
                    <w:t>◆建立更严密的整治淫秽色情内容传播的工作流程，对薄弱环节进行排查。</w:t>
                  </w:r>
                  <w:r>
                    <w:rPr>
                      <w:rFonts w:ascii="宋体" w:hAnsi="宋体" w:cs="宋体" w:eastAsia="宋体" w:hint="default"/>
                      <w:sz w:val="24"/>
                      <w:szCs w:val="24"/>
                    </w:rPr>
                  </w:r>
                </w:p>
                <w:p>
                  <w:pPr>
                    <w:spacing w:line="357" w:lineRule="auto" w:before="154"/>
                    <w:ind w:left="159" w:right="333" w:firstLine="0"/>
                    <w:jc w:val="left"/>
                    <w:rPr>
                      <w:rFonts w:ascii="宋体" w:hAnsi="宋体" w:cs="宋体" w:eastAsia="宋体" w:hint="default"/>
                      <w:sz w:val="24"/>
                      <w:szCs w:val="24"/>
                    </w:rPr>
                  </w:pPr>
                  <w:r>
                    <w:rPr>
                      <w:rFonts w:ascii="宋体" w:hAnsi="宋体" w:cs="宋体" w:eastAsia="宋体" w:hint="default"/>
                      <w:color w:val="323232"/>
                      <w:sz w:val="24"/>
                      <w:szCs w:val="24"/>
                    </w:rPr>
                    <w:t>◆根据不良信息举报中心获得的社会举报线索,及时关闭涉黄网站和网页地 址</w:t>
                  </w:r>
                  <w:r>
                    <w:rPr>
                      <w:rFonts w:ascii="宋体" w:hAnsi="宋体" w:cs="宋体" w:eastAsia="宋体" w:hint="default"/>
                      <w:color w:val="323232"/>
                      <w:sz w:val="24"/>
                      <w:szCs w:val="24"/>
                    </w:rPr>
                    <w:t>。</w:t>
                  </w:r>
                  <w:r>
                    <w:rPr>
                      <w:rFonts w:ascii="宋体" w:hAnsi="宋体" w:cs="宋体" w:eastAsia="宋体" w:hint="default"/>
                      <w:sz w:val="24"/>
                      <w:szCs w:val="24"/>
                    </w:rPr>
                  </w:r>
                </w:p>
                <w:p>
                  <w:pPr>
                    <w:spacing w:line="357" w:lineRule="auto" w:before="36"/>
                    <w:ind w:left="159" w:right="156" w:firstLine="0"/>
                    <w:jc w:val="both"/>
                    <w:rPr>
                      <w:rFonts w:ascii="宋体" w:hAnsi="宋体" w:cs="宋体" w:eastAsia="宋体" w:hint="default"/>
                      <w:sz w:val="24"/>
                      <w:szCs w:val="24"/>
                    </w:rPr>
                  </w:pPr>
                  <w:r>
                    <w:rPr>
                      <w:rFonts w:ascii="宋体" w:hAnsi="宋体" w:cs="宋体" w:eastAsia="宋体" w:hint="default"/>
                      <w:color w:val="323232"/>
                      <w:sz w:val="24"/>
                      <w:szCs w:val="24"/>
                    </w:rPr>
                    <w:t>◆安排专业拨测抽查人员,做到</w:t>
                  </w:r>
                  <w:r>
                    <w:rPr>
                      <w:rFonts w:ascii="宋体" w:hAnsi="宋体" w:cs="宋体" w:eastAsia="宋体" w:hint="default"/>
                      <w:color w:val="323232"/>
                      <w:spacing w:val="-54"/>
                      <w:sz w:val="24"/>
                      <w:szCs w:val="24"/>
                    </w:rPr>
                    <w:t> </w:t>
                  </w:r>
                  <w:r>
                    <w:rPr>
                      <w:rFonts w:ascii="宋体" w:hAnsi="宋体" w:cs="宋体" w:eastAsia="宋体" w:hint="default"/>
                      <w:color w:val="323232"/>
                      <w:sz w:val="24"/>
                      <w:szCs w:val="24"/>
                    </w:rPr>
                    <w:t>7×24</w:t>
                  </w:r>
                  <w:r>
                    <w:rPr>
                      <w:rFonts w:ascii="宋体" w:hAnsi="宋体" w:cs="宋体" w:eastAsia="宋体" w:hint="default"/>
                      <w:color w:val="323232"/>
                      <w:spacing w:val="-54"/>
                      <w:sz w:val="24"/>
                      <w:szCs w:val="24"/>
                    </w:rPr>
                    <w:t> </w:t>
                  </w:r>
                  <w:r>
                    <w:rPr>
                      <w:rFonts w:ascii="宋体" w:hAnsi="宋体" w:cs="宋体" w:eastAsia="宋体" w:hint="default"/>
                      <w:color w:val="323232"/>
                      <w:spacing w:val="-5"/>
                      <w:sz w:val="24"/>
                      <w:szCs w:val="24"/>
                    </w:rPr>
                    <w:t>小时监测重点业务，加强对手机网上信</w:t>
                  </w:r>
                  <w:r>
                    <w:rPr>
                      <w:rFonts w:ascii="宋体" w:hAnsi="宋体" w:cs="宋体" w:eastAsia="宋体" w:hint="default"/>
                      <w:color w:val="323232"/>
                      <w:spacing w:val="-1"/>
                      <w:sz w:val="24"/>
                      <w:szCs w:val="24"/>
                    </w:rPr>
                    <w:t> </w:t>
                  </w:r>
                  <w:r>
                    <w:rPr>
                      <w:rFonts w:ascii="宋体" w:hAnsi="宋体" w:cs="宋体" w:eastAsia="宋体" w:hint="default"/>
                      <w:color w:val="323232"/>
                      <w:sz w:val="24"/>
                      <w:szCs w:val="24"/>
                    </w:rPr>
                    <w:t>息的监测，发现淫秽黄色信息、及时处理，并建立长效机制。</w:t>
                  </w:r>
                  <w:r>
                    <w:rPr>
                      <w:rFonts w:ascii="宋体" w:hAnsi="宋体" w:cs="宋体" w:eastAsia="宋体" w:hint="default"/>
                      <w:sz w:val="24"/>
                      <w:szCs w:val="24"/>
                    </w:rPr>
                  </w:r>
                </w:p>
                <w:p>
                  <w:pPr>
                    <w:spacing w:before="36"/>
                    <w:ind w:left="159" w:right="0" w:firstLine="0"/>
                    <w:jc w:val="both"/>
                    <w:rPr>
                      <w:rFonts w:ascii="宋体" w:hAnsi="宋体" w:cs="宋体" w:eastAsia="宋体" w:hint="default"/>
                      <w:sz w:val="24"/>
                      <w:szCs w:val="24"/>
                    </w:rPr>
                  </w:pPr>
                  <w:r>
                    <w:rPr>
                      <w:rFonts w:ascii="宋体" w:hAnsi="宋体" w:cs="宋体" w:eastAsia="宋体" w:hint="default"/>
                      <w:color w:val="323232"/>
                      <w:sz w:val="24"/>
                      <w:szCs w:val="24"/>
                    </w:rPr>
                    <w:t>◆全面清查联通自营</w:t>
                  </w:r>
                  <w:r>
                    <w:rPr>
                      <w:rFonts w:ascii="宋体" w:hAnsi="宋体" w:cs="宋体" w:eastAsia="宋体" w:hint="default"/>
                      <w:color w:val="323232"/>
                      <w:spacing w:val="-60"/>
                      <w:sz w:val="24"/>
                      <w:szCs w:val="24"/>
                    </w:rPr>
                    <w:t> </w:t>
                  </w:r>
                  <w:r>
                    <w:rPr>
                      <w:rFonts w:ascii="宋体" w:hAnsi="宋体" w:cs="宋体" w:eastAsia="宋体" w:hint="default"/>
                      <w:color w:val="323232"/>
                      <w:sz w:val="24"/>
                      <w:szCs w:val="24"/>
                    </w:rPr>
                    <w:t>WAP</w:t>
                  </w:r>
                  <w:r>
                    <w:rPr>
                      <w:rFonts w:ascii="宋体" w:hAnsi="宋体" w:cs="宋体" w:eastAsia="宋体" w:hint="default"/>
                      <w:color w:val="323232"/>
                      <w:spacing w:val="-60"/>
                      <w:sz w:val="24"/>
                      <w:szCs w:val="24"/>
                    </w:rPr>
                    <w:t> </w:t>
                  </w:r>
                  <w:r>
                    <w:rPr>
                      <w:rFonts w:ascii="宋体" w:hAnsi="宋体" w:cs="宋体" w:eastAsia="宋体" w:hint="default"/>
                      <w:color w:val="323232"/>
                      <w:sz w:val="24"/>
                      <w:szCs w:val="24"/>
                    </w:rPr>
                    <w:t>网站，确保自营网站健康运营。</w:t>
                  </w:r>
                  <w:r>
                    <w:rPr>
                      <w:rFonts w:ascii="宋体" w:hAnsi="宋体" w:cs="宋体" w:eastAsia="宋体" w:hint="default"/>
                      <w:sz w:val="24"/>
                      <w:szCs w:val="24"/>
                    </w:rPr>
                  </w:r>
                </w:p>
                <w:p>
                  <w:pPr>
                    <w:spacing w:line="357" w:lineRule="auto" w:before="154"/>
                    <w:ind w:left="159" w:right="151" w:firstLine="0"/>
                    <w:jc w:val="both"/>
                    <w:rPr>
                      <w:rFonts w:ascii="宋体" w:hAnsi="宋体" w:cs="宋体" w:eastAsia="宋体" w:hint="default"/>
                      <w:sz w:val="24"/>
                      <w:szCs w:val="24"/>
                    </w:rPr>
                  </w:pPr>
                  <w:r>
                    <w:rPr>
                      <w:rFonts w:ascii="宋体" w:hAnsi="宋体" w:cs="宋体" w:eastAsia="宋体" w:hint="default"/>
                      <w:color w:val="323232"/>
                      <w:sz w:val="24"/>
                      <w:szCs w:val="24"/>
                    </w:rPr>
                    <w:t>◆严格落实“先备案</w:t>
                  </w:r>
                  <w:r>
                    <w:rPr>
                      <w:rFonts w:ascii="MS Gothic" w:hAnsi="MS Gothic" w:cs="MS Gothic" w:eastAsia="MS Gothic" w:hint="default"/>
                      <w:color w:val="323232"/>
                      <w:sz w:val="24"/>
                      <w:szCs w:val="24"/>
                    </w:rPr>
                    <w:t>､</w:t>
                  </w:r>
                  <w:r>
                    <w:rPr>
                      <w:rFonts w:ascii="宋体" w:hAnsi="宋体" w:cs="宋体" w:eastAsia="宋体" w:hint="default"/>
                      <w:color w:val="323232"/>
                      <w:sz w:val="24"/>
                      <w:szCs w:val="24"/>
                    </w:rPr>
                    <w:t>后接入”管理，加强服务接入商</w:t>
                  </w:r>
                  <w:r>
                    <w:rPr>
                      <w:rFonts w:ascii="MS Gothic" w:hAnsi="MS Gothic" w:cs="MS Gothic" w:eastAsia="MS Gothic" w:hint="default"/>
                      <w:color w:val="323232"/>
                      <w:sz w:val="24"/>
                      <w:szCs w:val="24"/>
                    </w:rPr>
                    <w:t>､</w:t>
                  </w:r>
                  <w:r>
                    <w:rPr>
                      <w:rFonts w:ascii="宋体" w:hAnsi="宋体" w:cs="宋体" w:eastAsia="宋体" w:hint="default"/>
                      <w:color w:val="323232"/>
                      <w:sz w:val="24"/>
                      <w:szCs w:val="24"/>
                    </w:rPr>
                    <w:t>互联网数据中心的业</w:t>
                  </w:r>
                  <w:r>
                    <w:rPr>
                      <w:rFonts w:ascii="宋体" w:hAnsi="宋体" w:cs="宋体" w:eastAsia="宋体" w:hint="default"/>
                      <w:color w:val="323232"/>
                      <w:spacing w:val="-85"/>
                      <w:sz w:val="24"/>
                      <w:szCs w:val="24"/>
                    </w:rPr>
                    <w:t> </w:t>
                  </w:r>
                  <w:r>
                    <w:rPr>
                      <w:rFonts w:ascii="宋体" w:hAnsi="宋体" w:cs="宋体" w:eastAsia="宋体" w:hint="default"/>
                      <w:color w:val="323232"/>
                      <w:sz w:val="24"/>
                      <w:szCs w:val="24"/>
                    </w:rPr>
                    <w:t>务清查,消除隐患</w:t>
                  </w:r>
                  <w:r>
                    <w:rPr>
                      <w:rFonts w:ascii="MS Gothic" w:hAnsi="MS Gothic" w:cs="MS Gothic" w:eastAsia="MS Gothic" w:hint="default"/>
                      <w:color w:val="323232"/>
                      <w:sz w:val="24"/>
                      <w:szCs w:val="24"/>
                    </w:rPr>
                    <w:t>､</w:t>
                  </w:r>
                  <w:r>
                    <w:rPr>
                      <w:rFonts w:ascii="宋体" w:hAnsi="宋体" w:cs="宋体" w:eastAsia="宋体" w:hint="default"/>
                      <w:color w:val="323232"/>
                      <w:sz w:val="24"/>
                      <w:szCs w:val="24"/>
                    </w:rPr>
                    <w:t>切断黄源。凡是未获得经营许可证或未备案的网站一律关</w:t>
                  </w:r>
                  <w:r>
                    <w:rPr>
                      <w:rFonts w:ascii="宋体" w:hAnsi="宋体" w:cs="宋体" w:eastAsia="宋体" w:hint="default"/>
                      <w:color w:val="323232"/>
                      <w:spacing w:val="-85"/>
                      <w:sz w:val="24"/>
                      <w:szCs w:val="24"/>
                    </w:rPr>
                    <w:t> </w:t>
                  </w:r>
                  <w:r>
                    <w:rPr>
                      <w:rFonts w:ascii="宋体" w:hAnsi="宋体" w:cs="宋体" w:eastAsia="宋体" w:hint="default"/>
                      <w:color w:val="323232"/>
                      <w:spacing w:val="-85"/>
                      <w:sz w:val="24"/>
                      <w:szCs w:val="24"/>
                    </w:rPr>
                  </w:r>
                  <w:r>
                    <w:rPr>
                      <w:rFonts w:ascii="宋体" w:hAnsi="宋体" w:cs="宋体" w:eastAsia="宋体" w:hint="default"/>
                      <w:color w:val="323232"/>
                      <w:spacing w:val="5"/>
                      <w:sz w:val="24"/>
                      <w:szCs w:val="24"/>
                    </w:rPr>
                    <w:t>闭,凡是虚假备案</w:t>
                  </w:r>
                  <w:r>
                    <w:rPr>
                      <w:rFonts w:ascii="MS Gothic" w:hAnsi="MS Gothic" w:cs="MS Gothic" w:eastAsia="MS Gothic" w:hint="default"/>
                      <w:color w:val="323232"/>
                      <w:spacing w:val="5"/>
                      <w:sz w:val="24"/>
                      <w:szCs w:val="24"/>
                    </w:rPr>
                    <w:t>､</w:t>
                  </w:r>
                  <w:r>
                    <w:rPr>
                      <w:rFonts w:ascii="宋体" w:hAnsi="宋体" w:cs="宋体" w:eastAsia="宋体" w:hint="default"/>
                      <w:color w:val="323232"/>
                      <w:spacing w:val="5"/>
                      <w:sz w:val="24"/>
                      <w:szCs w:val="24"/>
                    </w:rPr>
                    <w:t>申报与实际内容不相符的网站一律关闭,凡是查明涉嫌不 </w:t>
                  </w:r>
                  <w:r>
                    <w:rPr>
                      <w:rFonts w:ascii="宋体" w:hAnsi="宋体" w:cs="宋体" w:eastAsia="宋体" w:hint="default"/>
                      <w:color w:val="323232"/>
                      <w:sz w:val="24"/>
                      <w:szCs w:val="24"/>
                    </w:rPr>
                    <w:t>良内容的网站一律关闭。</w:t>
                  </w:r>
                  <w:r>
                    <w:rPr>
                      <w:rFonts w:ascii="宋体" w:hAnsi="宋体" w:cs="宋体" w:eastAsia="宋体" w:hint="default"/>
                      <w:sz w:val="24"/>
                      <w:szCs w:val="24"/>
                    </w:rPr>
                  </w:r>
                </w:p>
              </w:txbxContent>
            </v:textbox>
            <v:fill type="solid"/>
          </v:shape>
        </w:pict>
      </w:r>
      <w:r>
        <w:rPr>
          <w:rFonts w:ascii="宋体" w:hAnsi="宋体" w:cs="宋体" w:eastAsia="宋体" w:hint="default"/>
          <w:position w:val="-99"/>
          <w:sz w:val="20"/>
          <w:szCs w:val="20"/>
        </w:rPr>
      </w:r>
    </w:p>
    <w:p>
      <w:pPr>
        <w:spacing w:after="0" w:line="5007" w:lineRule="exact"/>
        <w:rPr>
          <w:rFonts w:ascii="宋体" w:hAnsi="宋体" w:cs="宋体" w:eastAsia="宋体" w:hint="default"/>
          <w:sz w:val="20"/>
          <w:szCs w:val="20"/>
        </w:rPr>
        <w:sectPr>
          <w:headerReference w:type="default" r:id="rId208"/>
          <w:footerReference w:type="default" r:id="rId209"/>
          <w:pgSz w:w="11910" w:h="16840"/>
          <w:pgMar w:header="0" w:footer="982" w:top="1600" w:bottom="1180" w:left="1680" w:right="1680"/>
          <w:pgNumType w:start="2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2"/>
          <w:szCs w:val="12"/>
        </w:rPr>
      </w:pPr>
    </w:p>
    <w:p>
      <w:pPr>
        <w:spacing w:line="3525" w:lineRule="exact"/>
        <w:ind w:left="112" w:right="0" w:firstLine="0"/>
        <w:rPr>
          <w:rFonts w:ascii="宋体" w:hAnsi="宋体" w:cs="宋体" w:eastAsia="宋体" w:hint="default"/>
          <w:sz w:val="20"/>
          <w:szCs w:val="20"/>
        </w:rPr>
      </w:pPr>
      <w:r>
        <w:rPr>
          <w:rFonts w:ascii="宋体" w:hAnsi="宋体" w:cs="宋体" w:eastAsia="宋体" w:hint="default"/>
          <w:position w:val="-70"/>
          <w:sz w:val="20"/>
          <w:szCs w:val="20"/>
        </w:rPr>
        <w:pict>
          <v:shape style="width:424.8pt;height:176.25pt;mso-position-horizontal-relative:char;mso-position-vertical-relative:line" type="#_x0000_t202" filled="true" fillcolor="#ccccff" stroked="false">
            <w10:anchorlock/>
            <v:textbox inset="0,0,0,0">
              <w:txbxContent>
                <w:p>
                  <w:pPr>
                    <w:spacing w:line="357" w:lineRule="auto" w:before="128"/>
                    <w:ind w:left="159" w:right="173" w:firstLine="0"/>
                    <w:jc w:val="left"/>
                    <w:rPr>
                      <w:rFonts w:ascii="宋体" w:hAnsi="宋体" w:cs="宋体" w:eastAsia="宋体" w:hint="default"/>
                      <w:sz w:val="24"/>
                      <w:szCs w:val="24"/>
                    </w:rPr>
                  </w:pPr>
                  <w:r>
                    <w:rPr>
                      <w:rFonts w:ascii="宋体" w:hAnsi="宋体" w:cs="宋体" w:eastAsia="宋体" w:hint="default"/>
                      <w:color w:val="323232"/>
                      <w:sz w:val="24"/>
                      <w:szCs w:val="24"/>
                    </w:rPr>
                    <w:t>◆对所有合作业务进行逐一排查，并积极配合整治传播淫秽色情和低俗内容的 违法</w:t>
                  </w:r>
                  <w:r>
                    <w:rPr>
                      <w:rFonts w:ascii="宋体" w:hAnsi="宋体" w:cs="宋体" w:eastAsia="宋体" w:hint="default"/>
                      <w:color w:val="323232"/>
                      <w:spacing w:val="-60"/>
                      <w:sz w:val="24"/>
                      <w:szCs w:val="24"/>
                    </w:rPr>
                    <w:t> </w:t>
                  </w:r>
                  <w:r>
                    <w:rPr>
                      <w:rFonts w:ascii="宋体" w:hAnsi="宋体" w:cs="宋体" w:eastAsia="宋体" w:hint="default"/>
                      <w:color w:val="323232"/>
                      <w:sz w:val="24"/>
                      <w:szCs w:val="24"/>
                    </w:rPr>
                    <w:t>WAP</w:t>
                  </w:r>
                  <w:r>
                    <w:rPr>
                      <w:rFonts w:ascii="宋体" w:hAnsi="宋体" w:cs="宋体" w:eastAsia="宋体" w:hint="default"/>
                      <w:color w:val="323232"/>
                      <w:spacing w:val="-60"/>
                      <w:sz w:val="24"/>
                      <w:szCs w:val="24"/>
                    </w:rPr>
                    <w:t> </w:t>
                  </w:r>
                  <w:r>
                    <w:rPr>
                      <w:rFonts w:ascii="宋体" w:hAnsi="宋体" w:cs="宋体" w:eastAsia="宋体" w:hint="default"/>
                      <w:color w:val="323232"/>
                      <w:sz w:val="24"/>
                      <w:szCs w:val="24"/>
                    </w:rPr>
                    <w:t>网站，发现一个、处理一个。</w:t>
                  </w:r>
                  <w:r>
                    <w:rPr>
                      <w:rFonts w:ascii="宋体" w:hAnsi="宋体" w:cs="宋体" w:eastAsia="宋体" w:hint="default"/>
                      <w:sz w:val="24"/>
                      <w:szCs w:val="24"/>
                    </w:rPr>
                  </w:r>
                </w:p>
                <w:p>
                  <w:pPr>
                    <w:spacing w:before="36"/>
                    <w:ind w:left="159" w:right="0" w:firstLine="0"/>
                    <w:jc w:val="left"/>
                    <w:rPr>
                      <w:rFonts w:ascii="宋体" w:hAnsi="宋体" w:cs="宋体" w:eastAsia="宋体" w:hint="default"/>
                      <w:sz w:val="24"/>
                      <w:szCs w:val="24"/>
                    </w:rPr>
                  </w:pPr>
                  <w:r>
                    <w:rPr>
                      <w:rFonts w:ascii="宋体" w:hAnsi="宋体" w:cs="宋体" w:eastAsia="宋体" w:hint="default"/>
                      <w:color w:val="323232"/>
                      <w:sz w:val="24"/>
                      <w:szCs w:val="24"/>
                    </w:rPr>
                    <w:t>◆严查为淫秽色情等违法违规网站提供代收费行为。</w:t>
                  </w:r>
                  <w:r>
                    <w:rPr>
                      <w:rFonts w:ascii="宋体" w:hAnsi="宋体" w:cs="宋体" w:eastAsia="宋体" w:hint="default"/>
                      <w:sz w:val="24"/>
                      <w:szCs w:val="24"/>
                    </w:rPr>
                  </w:r>
                </w:p>
                <w:p>
                  <w:pPr>
                    <w:spacing w:line="357" w:lineRule="auto" w:before="154"/>
                    <w:ind w:left="159" w:right="158" w:firstLine="0"/>
                    <w:jc w:val="left"/>
                    <w:rPr>
                      <w:rFonts w:ascii="宋体" w:hAnsi="宋体" w:cs="宋体" w:eastAsia="宋体" w:hint="default"/>
                      <w:sz w:val="24"/>
                      <w:szCs w:val="24"/>
                    </w:rPr>
                  </w:pPr>
                  <w:r>
                    <w:rPr>
                      <w:rFonts w:ascii="宋体" w:hAnsi="宋体" w:cs="宋体" w:eastAsia="宋体" w:hint="default"/>
                      <w:color w:val="323232"/>
                      <w:sz w:val="24"/>
                      <w:szCs w:val="24"/>
                    </w:rPr>
                    <w:t>◆积极配合相关部门对手机低俗内容的整治，要求各地将上述排查工作的结果 限期上报。</w:t>
                  </w:r>
                  <w:r>
                    <w:rPr>
                      <w:rFonts w:ascii="宋体" w:hAnsi="宋体" w:cs="宋体" w:eastAsia="宋体" w:hint="default"/>
                      <w:sz w:val="24"/>
                      <w:szCs w:val="24"/>
                    </w:rPr>
                  </w:r>
                </w:p>
                <w:p>
                  <w:pPr>
                    <w:spacing w:line="357" w:lineRule="auto" w:before="36"/>
                    <w:ind w:left="159" w:right="158" w:firstLine="0"/>
                    <w:jc w:val="left"/>
                    <w:rPr>
                      <w:rFonts w:ascii="MS UI Gothic" w:hAnsi="MS UI Gothic" w:cs="MS UI Gothic" w:eastAsia="MS UI Gothic" w:hint="default"/>
                      <w:sz w:val="21"/>
                      <w:szCs w:val="21"/>
                    </w:rPr>
                  </w:pPr>
                  <w:r>
                    <w:rPr>
                      <w:rFonts w:ascii="宋体" w:hAnsi="宋体" w:cs="宋体" w:eastAsia="宋体" w:hint="default"/>
                      <w:color w:val="323232"/>
                      <w:sz w:val="24"/>
                      <w:szCs w:val="24"/>
                    </w:rPr>
                    <w:t>◆加快开发“中国联通网站接入备案管理系统”,目前该系统建设基本完成,正 </w:t>
                  </w:r>
                  <w:r>
                    <w:rPr>
                      <w:rFonts w:ascii="宋体" w:hAnsi="宋体" w:cs="宋体" w:eastAsia="宋体" w:hint="default"/>
                      <w:color w:val="323232"/>
                      <w:position w:val="1"/>
                      <w:sz w:val="24"/>
                      <w:szCs w:val="24"/>
                    </w:rPr>
                    <w:t>在进行联调和数据库导入工作</w:t>
                  </w:r>
                  <w:r>
                    <w:rPr>
                      <w:rFonts w:ascii="MS UI Gothic" w:hAnsi="MS UI Gothic" w:cs="MS UI Gothic" w:eastAsia="MS UI Gothic" w:hint="default"/>
                      <w:color w:val="323232"/>
                      <w:sz w:val="21"/>
                      <w:szCs w:val="21"/>
                    </w:rPr>
                    <w:t>｡</w:t>
                  </w:r>
                  <w:r>
                    <w:rPr>
                      <w:rFonts w:ascii="MS UI Gothic" w:hAnsi="MS UI Gothic" w:cs="MS UI Gothic" w:eastAsia="MS UI Gothic" w:hint="default"/>
                      <w:sz w:val="21"/>
                      <w:szCs w:val="21"/>
                    </w:rPr>
                  </w:r>
                </w:p>
              </w:txbxContent>
            </v:textbox>
            <v:fill type="solid"/>
          </v:shape>
        </w:pict>
      </w:r>
      <w:r>
        <w:rPr>
          <w:rFonts w:ascii="宋体" w:hAnsi="宋体" w:cs="宋体" w:eastAsia="宋体" w:hint="default"/>
          <w:position w:val="-70"/>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p>
      <w:pPr>
        <w:spacing w:before="13"/>
        <w:ind w:left="680" w:right="152" w:firstLine="0"/>
        <w:jc w:val="left"/>
        <w:rPr>
          <w:rFonts w:ascii="宋体" w:hAnsi="宋体" w:cs="宋体" w:eastAsia="宋体" w:hint="default"/>
          <w:sz w:val="28"/>
          <w:szCs w:val="28"/>
        </w:rPr>
      </w:pPr>
      <w:r>
        <w:rPr>
          <w:rFonts w:ascii="宋体" w:hAnsi="宋体" w:cs="宋体" w:eastAsia="宋体" w:hint="default"/>
          <w:color w:val="323232"/>
          <w:sz w:val="28"/>
          <w:szCs w:val="28"/>
        </w:rPr>
        <w:t>2009</w:t>
      </w:r>
      <w:r>
        <w:rPr>
          <w:rFonts w:ascii="宋体" w:hAnsi="宋体" w:cs="宋体" w:eastAsia="宋体" w:hint="default"/>
          <w:color w:val="323232"/>
          <w:spacing w:val="18"/>
          <w:sz w:val="28"/>
          <w:szCs w:val="28"/>
        </w:rPr>
        <w:t> </w:t>
      </w:r>
      <w:r>
        <w:rPr>
          <w:rFonts w:ascii="宋体" w:hAnsi="宋体" w:cs="宋体" w:eastAsia="宋体" w:hint="default"/>
          <w:color w:val="323232"/>
          <w:sz w:val="28"/>
          <w:szCs w:val="28"/>
        </w:rPr>
        <w:t>年，中国联通的一系列举措有力遏制了利用手机互联网传</w:t>
      </w:r>
      <w:r>
        <w:rPr>
          <w:rFonts w:ascii="宋体" w:hAnsi="宋体" w:cs="宋体" w:eastAsia="宋体" w:hint="default"/>
          <w:sz w:val="28"/>
          <w:szCs w:val="28"/>
        </w:rPr>
      </w:r>
    </w:p>
    <w:p>
      <w:pPr>
        <w:spacing w:line="240" w:lineRule="auto" w:before="9"/>
        <w:rPr>
          <w:rFonts w:ascii="宋体" w:hAnsi="宋体" w:cs="宋体" w:eastAsia="宋体" w:hint="default"/>
          <w:sz w:val="19"/>
          <w:szCs w:val="19"/>
        </w:rPr>
      </w:pPr>
    </w:p>
    <w:p>
      <w:pPr>
        <w:spacing w:line="408" w:lineRule="auto" w:before="0"/>
        <w:ind w:left="120" w:right="296" w:firstLine="0"/>
        <w:jc w:val="both"/>
        <w:rPr>
          <w:rFonts w:ascii="宋体" w:hAnsi="宋体" w:cs="宋体" w:eastAsia="宋体" w:hint="default"/>
          <w:sz w:val="28"/>
          <w:szCs w:val="28"/>
        </w:rPr>
      </w:pPr>
      <w:r>
        <w:rPr>
          <w:rFonts w:ascii="宋体" w:hAnsi="宋体" w:cs="宋体" w:eastAsia="宋体" w:hint="default"/>
          <w:color w:val="323232"/>
          <w:spacing w:val="-4"/>
          <w:sz w:val="28"/>
          <w:szCs w:val="28"/>
        </w:rPr>
        <w:t>播淫秽色情和低俗内容的传播。累计关闭未备案和违法网站</w:t>
      </w:r>
      <w:r>
        <w:rPr>
          <w:rFonts w:ascii="宋体" w:hAnsi="宋体" w:cs="宋体" w:eastAsia="宋体" w:hint="default"/>
          <w:color w:val="323232"/>
          <w:spacing w:val="-70"/>
          <w:sz w:val="28"/>
          <w:szCs w:val="28"/>
        </w:rPr>
        <w:t> </w:t>
      </w:r>
      <w:r>
        <w:rPr>
          <w:rFonts w:ascii="宋体" w:hAnsi="宋体" w:cs="宋体" w:eastAsia="宋体" w:hint="default"/>
          <w:color w:val="323232"/>
          <w:sz w:val="28"/>
          <w:szCs w:val="28"/>
        </w:rPr>
        <w:t>7.5</w:t>
      </w:r>
      <w:r>
        <w:rPr>
          <w:rFonts w:ascii="宋体" w:hAnsi="宋体" w:cs="宋体" w:eastAsia="宋体" w:hint="default"/>
          <w:color w:val="323232"/>
          <w:spacing w:val="-72"/>
          <w:sz w:val="28"/>
          <w:szCs w:val="28"/>
        </w:rPr>
        <w:t> </w:t>
      </w:r>
      <w:r>
        <w:rPr>
          <w:rFonts w:ascii="宋体" w:hAnsi="宋体" w:cs="宋体" w:eastAsia="宋体" w:hint="default"/>
          <w:color w:val="323232"/>
          <w:sz w:val="28"/>
          <w:szCs w:val="28"/>
        </w:rPr>
        <w:t>万余</w:t>
      </w:r>
      <w:r>
        <w:rPr>
          <w:rFonts w:ascii="宋体" w:hAnsi="宋体" w:cs="宋体" w:eastAsia="宋体" w:hint="default"/>
          <w:color w:val="323232"/>
          <w:w w:val="99"/>
          <w:sz w:val="28"/>
          <w:szCs w:val="28"/>
        </w:rPr>
        <w:t> </w:t>
      </w:r>
      <w:r>
        <w:rPr>
          <w:rFonts w:ascii="宋体" w:hAnsi="宋体" w:cs="宋体" w:eastAsia="宋体" w:hint="default"/>
          <w:color w:val="323232"/>
          <w:sz w:val="28"/>
          <w:szCs w:val="28"/>
        </w:rPr>
        <w:t>个，对尚未做出安全承诺的</w:t>
      </w:r>
      <w:r>
        <w:rPr>
          <w:rFonts w:ascii="宋体" w:hAnsi="宋体" w:cs="宋体" w:eastAsia="宋体" w:hint="default"/>
          <w:color w:val="323232"/>
          <w:spacing w:val="-62"/>
          <w:sz w:val="28"/>
          <w:szCs w:val="28"/>
        </w:rPr>
        <w:t> </w:t>
      </w:r>
      <w:r>
        <w:rPr>
          <w:rFonts w:ascii="宋体" w:hAnsi="宋体" w:cs="宋体" w:eastAsia="宋体" w:hint="default"/>
          <w:color w:val="323232"/>
          <w:sz w:val="28"/>
          <w:szCs w:val="28"/>
        </w:rPr>
        <w:t>1019</w:t>
      </w:r>
      <w:r>
        <w:rPr>
          <w:rFonts w:ascii="宋体" w:hAnsi="宋体" w:cs="宋体" w:eastAsia="宋体" w:hint="default"/>
          <w:color w:val="323232"/>
          <w:spacing w:val="-63"/>
          <w:sz w:val="28"/>
          <w:szCs w:val="28"/>
        </w:rPr>
        <w:t> </w:t>
      </w:r>
      <w:r>
        <w:rPr>
          <w:rFonts w:ascii="宋体" w:hAnsi="宋体" w:cs="宋体" w:eastAsia="宋体" w:hint="default"/>
          <w:color w:val="323232"/>
          <w:sz w:val="28"/>
          <w:szCs w:val="28"/>
        </w:rPr>
        <w:t>个</w:t>
      </w:r>
      <w:r>
        <w:rPr>
          <w:rFonts w:ascii="宋体" w:hAnsi="宋体" w:cs="宋体" w:eastAsia="宋体" w:hint="default"/>
          <w:color w:val="323232"/>
          <w:spacing w:val="-62"/>
          <w:sz w:val="28"/>
          <w:szCs w:val="28"/>
        </w:rPr>
        <w:t> </w:t>
      </w:r>
      <w:r>
        <w:rPr>
          <w:rFonts w:ascii="宋体" w:hAnsi="宋体" w:cs="宋体" w:eastAsia="宋体" w:hint="default"/>
          <w:color w:val="323232"/>
          <w:sz w:val="28"/>
          <w:szCs w:val="28"/>
        </w:rPr>
        <w:t>WAP</w:t>
      </w:r>
      <w:r>
        <w:rPr>
          <w:rFonts w:ascii="宋体" w:hAnsi="宋体" w:cs="宋体" w:eastAsia="宋体" w:hint="default"/>
          <w:color w:val="323232"/>
          <w:spacing w:val="-61"/>
          <w:sz w:val="28"/>
          <w:szCs w:val="28"/>
        </w:rPr>
        <w:t> </w:t>
      </w:r>
      <w:r>
        <w:rPr>
          <w:rFonts w:ascii="宋体" w:hAnsi="宋体" w:cs="宋体" w:eastAsia="宋体" w:hint="default"/>
          <w:color w:val="323232"/>
          <w:sz w:val="28"/>
          <w:szCs w:val="28"/>
        </w:rPr>
        <w:t>类服务接入商（SP）已作下</w:t>
      </w:r>
      <w:r>
        <w:rPr>
          <w:rFonts w:ascii="宋体" w:hAnsi="宋体" w:cs="宋体" w:eastAsia="宋体" w:hint="default"/>
          <w:color w:val="323232"/>
          <w:w w:val="99"/>
          <w:sz w:val="28"/>
          <w:szCs w:val="28"/>
        </w:rPr>
        <w:t> </w:t>
      </w:r>
      <w:r>
        <w:rPr>
          <w:rFonts w:ascii="宋体" w:hAnsi="宋体" w:cs="宋体" w:eastAsia="宋体" w:hint="default"/>
          <w:color w:val="323232"/>
          <w:sz w:val="28"/>
          <w:szCs w:val="28"/>
        </w:rPr>
        <w:t>线处理，停止其服务、计费和结算。网站备案率已达到</w:t>
      </w:r>
      <w:r>
        <w:rPr>
          <w:rFonts w:ascii="宋体" w:hAnsi="宋体" w:cs="宋体" w:eastAsia="宋体" w:hint="default"/>
          <w:color w:val="323232"/>
          <w:spacing w:val="-99"/>
          <w:sz w:val="28"/>
          <w:szCs w:val="28"/>
        </w:rPr>
        <w:t> </w:t>
      </w:r>
      <w:r>
        <w:rPr>
          <w:rFonts w:ascii="宋体" w:hAnsi="宋体" w:cs="宋体" w:eastAsia="宋体" w:hint="default"/>
          <w:color w:val="323232"/>
          <w:sz w:val="28"/>
          <w:szCs w:val="28"/>
        </w:rPr>
        <w:t>99.69％。</w:t>
      </w:r>
      <w:r>
        <w:rPr>
          <w:rFonts w:ascii="宋体" w:hAnsi="宋体" w:cs="宋体" w:eastAsia="宋体" w:hint="default"/>
          <w:sz w:val="28"/>
          <w:szCs w:val="28"/>
        </w:rPr>
        <w:t>打</w:t>
      </w:r>
      <w:r>
        <w:rPr>
          <w:rFonts w:ascii="宋体" w:hAnsi="宋体" w:cs="宋体" w:eastAsia="宋体" w:hint="default"/>
          <w:w w:val="99"/>
          <w:sz w:val="28"/>
          <w:szCs w:val="28"/>
        </w:rPr>
        <w:t> </w:t>
      </w:r>
      <w:r>
        <w:rPr>
          <w:rFonts w:ascii="宋体" w:hAnsi="宋体" w:cs="宋体" w:eastAsia="宋体" w:hint="default"/>
          <w:spacing w:val="-4"/>
          <w:sz w:val="28"/>
          <w:szCs w:val="28"/>
        </w:rPr>
        <w:t>击网络低俗之风，铲除网络黄毒是一项长期、艰巨而复杂的任务。中</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国联通将继续在各类专项整治活动中勇挑重担，以坚定的社会责任感</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和强有力的执行力，为净化网络环境做出较大贡献！</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4"/>
        <w:rPr>
          <w:rFonts w:ascii="宋体" w:hAnsi="宋体" w:cs="宋体" w:eastAsia="宋体" w:hint="default"/>
          <w:sz w:val="41"/>
          <w:szCs w:val="41"/>
        </w:rPr>
      </w:pPr>
    </w:p>
    <w:p>
      <w:pPr>
        <w:spacing w:before="0"/>
        <w:ind w:left="120" w:right="0" w:firstLine="0"/>
        <w:jc w:val="both"/>
        <w:rPr>
          <w:rFonts w:ascii="黑体" w:hAnsi="黑体" w:cs="黑体" w:eastAsia="黑体" w:hint="default"/>
          <w:sz w:val="36"/>
          <w:szCs w:val="36"/>
        </w:rPr>
      </w:pPr>
      <w:r>
        <w:rPr>
          <w:rFonts w:ascii="黑体" w:hAnsi="黑体" w:cs="黑体" w:eastAsia="黑体" w:hint="default"/>
          <w:b/>
          <w:bCs/>
          <w:spacing w:val="3"/>
          <w:w w:val="95"/>
          <w:sz w:val="36"/>
          <w:szCs w:val="36"/>
        </w:rPr>
        <w:t>营造绿色</w:t>
      </w:r>
      <w:r>
        <w:rPr>
          <w:rFonts w:ascii="黑体" w:hAnsi="黑体" w:cs="黑体" w:eastAsia="黑体" w:hint="default"/>
          <w:b/>
          <w:bCs/>
          <w:spacing w:val="9"/>
          <w:w w:val="95"/>
          <w:sz w:val="36"/>
          <w:szCs w:val="36"/>
        </w:rPr>
        <w:t> </w:t>
      </w:r>
      <w:r>
        <w:rPr>
          <w:rFonts w:ascii="黑体" w:hAnsi="黑体" w:cs="黑体" w:eastAsia="黑体" w:hint="default"/>
          <w:b/>
          <w:bCs/>
          <w:spacing w:val="9"/>
          <w:w w:val="99"/>
          <w:position w:val="1"/>
          <w:sz w:val="36"/>
          <w:szCs w:val="36"/>
        </w:rPr>
        <w:drawing>
          <wp:inline distT="0" distB="0" distL="0" distR="0">
            <wp:extent cx="226908" cy="253567"/>
            <wp:effectExtent l="0" t="0" r="0" b="0"/>
            <wp:docPr id="15" name="image10.png" descr=""/>
            <wp:cNvGraphicFramePr>
              <a:graphicFrameLocks noChangeAspect="1"/>
            </wp:cNvGraphicFramePr>
            <a:graphic>
              <a:graphicData uri="http://schemas.openxmlformats.org/drawingml/2006/picture">
                <pic:pic>
                  <pic:nvPicPr>
                    <pic:cNvPr id="16" name="image10.png"/>
                    <pic:cNvPicPr/>
                  </pic:nvPicPr>
                  <pic:blipFill>
                    <a:blip r:embed="rId212" cstate="print"/>
                    <a:stretch>
                      <a:fillRect/>
                    </a:stretch>
                  </pic:blipFill>
                  <pic:spPr>
                    <a:xfrm>
                      <a:off x="0" y="0"/>
                      <a:ext cx="226908" cy="253567"/>
                    </a:xfrm>
                    <a:prstGeom prst="rect">
                      <a:avLst/>
                    </a:prstGeom>
                  </pic:spPr>
                </pic:pic>
              </a:graphicData>
            </a:graphic>
          </wp:inline>
        </w:drawing>
      </w:r>
      <w:r>
        <w:rPr>
          <w:rFonts w:ascii="黑体" w:hAnsi="黑体" w:cs="黑体" w:eastAsia="黑体" w:hint="default"/>
          <w:b/>
          <w:bCs/>
          <w:spacing w:val="9"/>
          <w:w w:val="99"/>
          <w:position w:val="1"/>
          <w:sz w:val="36"/>
          <w:szCs w:val="36"/>
        </w:rPr>
      </w:r>
      <w:r>
        <w:rPr>
          <w:rFonts w:ascii="黑体" w:hAnsi="黑体" w:cs="黑体" w:eastAsia="黑体" w:hint="default"/>
          <w:b/>
          <w:bCs/>
          <w:sz w:val="36"/>
          <w:szCs w:val="36"/>
        </w:rPr>
        <w:t>网络环境</w:t>
      </w:r>
      <w:r>
        <w:rPr>
          <w:rFonts w:ascii="黑体" w:hAnsi="黑体" w:cs="黑体" w:eastAsia="黑体" w:hint="default"/>
          <w:b/>
          <w:bCs/>
          <w:spacing w:val="49"/>
          <w:sz w:val="36"/>
          <w:szCs w:val="36"/>
        </w:rPr>
        <w:t> </w:t>
      </w:r>
      <w:r>
        <w:rPr>
          <w:rFonts w:ascii="黑体" w:hAnsi="黑体" w:cs="黑体" w:eastAsia="黑体" w:hint="default"/>
          <w:b/>
          <w:bCs/>
          <w:spacing w:val="1"/>
          <w:sz w:val="36"/>
          <w:szCs w:val="36"/>
        </w:rPr>
        <w:t>呵护未成年人健康上网</w:t>
      </w:r>
      <w:r>
        <w:rPr>
          <w:rFonts w:ascii="黑体" w:hAnsi="黑体" w:cs="黑体" w:eastAsia="黑体" w:hint="default"/>
          <w:sz w:val="36"/>
          <w:szCs w:val="36"/>
        </w:rPr>
      </w:r>
    </w:p>
    <w:p>
      <w:pPr>
        <w:spacing w:line="240" w:lineRule="auto" w:before="1"/>
        <w:rPr>
          <w:rFonts w:ascii="黑体" w:hAnsi="黑体" w:cs="黑体" w:eastAsia="黑体" w:hint="default"/>
          <w:b/>
          <w:bCs/>
          <w:sz w:val="62"/>
          <w:szCs w:val="62"/>
        </w:rPr>
      </w:pPr>
    </w:p>
    <w:p>
      <w:pPr>
        <w:spacing w:line="408" w:lineRule="auto" w:before="0"/>
        <w:ind w:left="120" w:right="202" w:firstLine="560"/>
        <w:jc w:val="both"/>
        <w:rPr>
          <w:rFonts w:ascii="宋体" w:hAnsi="宋体" w:cs="宋体" w:eastAsia="宋体" w:hint="default"/>
          <w:sz w:val="28"/>
          <w:szCs w:val="28"/>
        </w:rPr>
      </w:pPr>
      <w:r>
        <w:rPr>
          <w:rFonts w:ascii="宋体" w:hAnsi="宋体" w:cs="宋体" w:eastAsia="宋体" w:hint="default"/>
          <w:sz w:val="28"/>
          <w:szCs w:val="28"/>
        </w:rPr>
        <w:t>目前，</w:t>
      </w:r>
      <w:r>
        <w:rPr>
          <w:rFonts w:ascii="宋体" w:hAnsi="宋体" w:cs="宋体" w:eastAsia="宋体" w:hint="default"/>
          <w:color w:val="323232"/>
          <w:sz w:val="28"/>
          <w:szCs w:val="28"/>
        </w:rPr>
        <w:t>我国互联网快速发展,有力地促进了国民经济和社会信息</w:t>
      </w:r>
      <w:r>
        <w:rPr>
          <w:rFonts w:ascii="宋体" w:hAnsi="宋体" w:cs="宋体" w:eastAsia="宋体" w:hint="default"/>
          <w:color w:val="323232"/>
          <w:spacing w:val="2"/>
          <w:w w:val="99"/>
          <w:sz w:val="28"/>
          <w:szCs w:val="28"/>
        </w:rPr>
        <w:t> </w:t>
      </w:r>
      <w:r>
        <w:rPr>
          <w:rFonts w:ascii="宋体" w:hAnsi="宋体" w:cs="宋体" w:eastAsia="宋体" w:hint="default"/>
          <w:color w:val="323232"/>
          <w:spacing w:val="6"/>
          <w:sz w:val="28"/>
          <w:szCs w:val="28"/>
        </w:rPr>
        <w:t>化,也为广大人民群众传播信息提供了越来越方便的工具</w:t>
      </w:r>
      <w:r>
        <w:rPr>
          <w:rFonts w:ascii="MS Gothic" w:hAnsi="MS Gothic" w:cs="MS Gothic" w:eastAsia="MS Gothic" w:hint="default"/>
          <w:color w:val="323232"/>
          <w:spacing w:val="6"/>
          <w:sz w:val="28"/>
          <w:szCs w:val="28"/>
        </w:rPr>
        <w:t>｡</w:t>
      </w:r>
      <w:r>
        <w:rPr>
          <w:rFonts w:ascii="宋体" w:hAnsi="宋体" w:cs="宋体" w:eastAsia="宋体" w:hint="default"/>
          <w:spacing w:val="6"/>
          <w:sz w:val="28"/>
          <w:szCs w:val="28"/>
        </w:rPr>
        <w:t>一些网站</w:t>
      </w:r>
      <w:r>
        <w:rPr>
          <w:rFonts w:ascii="宋体" w:hAnsi="宋体" w:cs="宋体" w:eastAsia="宋体" w:hint="default"/>
          <w:spacing w:val="6"/>
          <w:w w:val="99"/>
          <w:sz w:val="28"/>
          <w:szCs w:val="28"/>
        </w:rPr>
        <w:t> </w:t>
      </w:r>
      <w:r>
        <w:rPr>
          <w:rFonts w:ascii="宋体" w:hAnsi="宋体" w:cs="宋体" w:eastAsia="宋体" w:hint="default"/>
          <w:sz w:val="28"/>
          <w:szCs w:val="28"/>
        </w:rPr>
        <w:t>为片面追求点击率，大势宣扬血腥暴力等信息，随意侵犯他人隐私，</w:t>
      </w:r>
    </w:p>
    <w:p>
      <w:pPr>
        <w:spacing w:after="0" w:line="408" w:lineRule="auto"/>
        <w:jc w:val="both"/>
        <w:rPr>
          <w:rFonts w:ascii="宋体" w:hAnsi="宋体" w:cs="宋体" w:eastAsia="宋体" w:hint="default"/>
          <w:sz w:val="28"/>
          <w:szCs w:val="28"/>
        </w:rPr>
        <w:sectPr>
          <w:headerReference w:type="default" r:id="rId210"/>
          <w:footerReference w:type="default" r:id="rId211"/>
          <w:pgSz w:w="11910" w:h="16840"/>
          <w:pgMar w:header="0" w:footer="982" w:top="1600" w:bottom="1180" w:left="1680" w:right="1500"/>
          <w:pgNumType w:start="22"/>
        </w:sectPr>
      </w:pPr>
    </w:p>
    <w:p>
      <w:pPr>
        <w:pStyle w:val="Heading7"/>
        <w:spacing w:line="351" w:lineRule="exact"/>
        <w:ind w:right="144"/>
        <w:jc w:val="left"/>
      </w:pPr>
      <w:r>
        <w:rPr>
          <w:spacing w:val="-4"/>
        </w:rPr>
        <w:t>甚至利用网络恶意传播他人隐私等，这些不良信息的传播给社会带来</w:t>
      </w:r>
    </w:p>
    <w:p>
      <w:pPr>
        <w:spacing w:line="240" w:lineRule="auto" w:before="9"/>
        <w:rPr>
          <w:rFonts w:ascii="宋体" w:hAnsi="宋体" w:cs="宋体" w:eastAsia="宋体" w:hint="default"/>
          <w:sz w:val="19"/>
          <w:szCs w:val="19"/>
        </w:rPr>
      </w:pPr>
    </w:p>
    <w:p>
      <w:pPr>
        <w:spacing w:line="408" w:lineRule="auto" w:before="0"/>
        <w:ind w:left="120" w:right="144" w:firstLine="0"/>
        <w:jc w:val="left"/>
        <w:rPr>
          <w:rFonts w:ascii="宋体" w:hAnsi="宋体" w:cs="宋体" w:eastAsia="宋体" w:hint="default"/>
          <w:sz w:val="28"/>
          <w:szCs w:val="28"/>
        </w:rPr>
      </w:pPr>
      <w:r>
        <w:rPr>
          <w:rFonts w:ascii="宋体" w:hAnsi="宋体" w:cs="宋体" w:eastAsia="宋体" w:hint="default"/>
          <w:spacing w:val="-4"/>
          <w:sz w:val="28"/>
          <w:szCs w:val="28"/>
        </w:rPr>
        <w:t>严重污染，尤其是给青少年身心和身体健康带来严重危害，导致少数</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青少年精神空虚、学业荒废，个别甚至走上了违法犯罪道路。</w:t>
      </w:r>
    </w:p>
    <w:p>
      <w:pPr>
        <w:spacing w:line="408" w:lineRule="auto" w:before="61"/>
        <w:ind w:left="120" w:right="117" w:firstLine="560"/>
        <w:jc w:val="left"/>
        <w:rPr>
          <w:rFonts w:ascii="宋体" w:hAnsi="宋体" w:cs="宋体" w:eastAsia="宋体" w:hint="default"/>
          <w:sz w:val="28"/>
          <w:szCs w:val="28"/>
        </w:rPr>
      </w:pPr>
      <w:r>
        <w:rPr>
          <w:rFonts w:ascii="宋体" w:hAnsi="宋体" w:cs="宋体" w:eastAsia="宋体" w:hint="default"/>
          <w:sz w:val="28"/>
          <w:szCs w:val="28"/>
        </w:rPr>
        <w:t>根据国际电信联盟发布的数据表明，60%以上的儿童和十几岁的</w:t>
      </w:r>
      <w:r>
        <w:rPr>
          <w:rFonts w:ascii="宋体" w:hAnsi="宋体" w:cs="宋体" w:eastAsia="宋体" w:hint="default"/>
          <w:spacing w:val="2"/>
          <w:w w:val="99"/>
          <w:sz w:val="28"/>
          <w:szCs w:val="28"/>
        </w:rPr>
        <w:t> </w:t>
      </w:r>
      <w:r>
        <w:rPr>
          <w:rFonts w:ascii="宋体" w:hAnsi="宋体" w:cs="宋体" w:eastAsia="宋体" w:hint="default"/>
          <w:spacing w:val="-4"/>
          <w:sz w:val="28"/>
          <w:szCs w:val="28"/>
        </w:rPr>
        <w:t>少年网民每天都会上网聊天，四分之三的儿童愿意在线上提供自己和</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家庭的信息以交换商品与服务，五分之一的未成年人和儿童可能会成</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3"/>
          <w:sz w:val="28"/>
          <w:szCs w:val="28"/>
        </w:rPr>
        <w:t>为网上不法分子的犯罪目标。中国联通积极响应国际电信联盟（ITU）</w:t>
      </w:r>
      <w:r>
        <w:rPr>
          <w:rFonts w:ascii="宋体" w:hAnsi="宋体" w:cs="宋体" w:eastAsia="宋体" w:hint="default"/>
          <w:w w:val="99"/>
          <w:sz w:val="28"/>
          <w:szCs w:val="28"/>
        </w:rPr>
        <w:t> </w:t>
      </w:r>
      <w:r>
        <w:rPr>
          <w:rFonts w:ascii="宋体" w:hAnsi="宋体" w:cs="宋体" w:eastAsia="宋体" w:hint="default"/>
          <w:sz w:val="28"/>
          <w:szCs w:val="28"/>
        </w:rPr>
        <w:t>确定</w:t>
      </w:r>
      <w:r>
        <w:rPr>
          <w:rFonts w:ascii="宋体" w:hAnsi="宋体" w:cs="宋体" w:eastAsia="宋体" w:hint="default"/>
          <w:spacing w:val="-71"/>
          <w:sz w:val="28"/>
          <w:szCs w:val="28"/>
        </w:rPr>
        <w:t> </w:t>
      </w:r>
      <w:r>
        <w:rPr>
          <w:rFonts w:ascii="宋体" w:hAnsi="宋体" w:cs="宋体" w:eastAsia="宋体" w:hint="default"/>
          <w:sz w:val="28"/>
          <w:szCs w:val="28"/>
        </w:rPr>
        <w:t>2009</w:t>
      </w:r>
      <w:r>
        <w:rPr>
          <w:rFonts w:ascii="宋体" w:hAnsi="宋体" w:cs="宋体" w:eastAsia="宋体" w:hint="default"/>
          <w:spacing w:val="-71"/>
          <w:sz w:val="28"/>
          <w:szCs w:val="28"/>
        </w:rPr>
        <w:t> </w:t>
      </w:r>
      <w:r>
        <w:rPr>
          <w:rFonts w:ascii="宋体" w:hAnsi="宋体" w:cs="宋体" w:eastAsia="宋体" w:hint="default"/>
          <w:sz w:val="28"/>
          <w:szCs w:val="28"/>
        </w:rPr>
        <w:t>年</w:t>
      </w:r>
      <w:r>
        <w:rPr>
          <w:rFonts w:ascii="宋体" w:hAnsi="宋体" w:cs="宋体" w:eastAsia="宋体" w:hint="default"/>
          <w:spacing w:val="-71"/>
          <w:sz w:val="28"/>
          <w:szCs w:val="28"/>
        </w:rPr>
        <w:t> </w:t>
      </w:r>
      <w:r>
        <w:rPr>
          <w:rFonts w:ascii="宋体" w:hAnsi="宋体" w:cs="宋体" w:eastAsia="宋体" w:hint="default"/>
          <w:sz w:val="28"/>
          <w:szCs w:val="28"/>
        </w:rPr>
        <w:t>5</w:t>
      </w:r>
      <w:r>
        <w:rPr>
          <w:rFonts w:ascii="宋体" w:hAnsi="宋体" w:cs="宋体" w:eastAsia="宋体" w:hint="default"/>
          <w:spacing w:val="-71"/>
          <w:sz w:val="28"/>
          <w:szCs w:val="28"/>
        </w:rPr>
        <w:t> </w:t>
      </w:r>
      <w:r>
        <w:rPr>
          <w:rFonts w:ascii="宋体" w:hAnsi="宋体" w:cs="宋体" w:eastAsia="宋体" w:hint="default"/>
          <w:sz w:val="28"/>
          <w:szCs w:val="28"/>
        </w:rPr>
        <w:t>月</w:t>
      </w:r>
      <w:r>
        <w:rPr>
          <w:rFonts w:ascii="宋体" w:hAnsi="宋体" w:cs="宋体" w:eastAsia="宋体" w:hint="default"/>
          <w:spacing w:val="-72"/>
          <w:sz w:val="28"/>
          <w:szCs w:val="28"/>
        </w:rPr>
        <w:t> </w:t>
      </w:r>
      <w:r>
        <w:rPr>
          <w:rFonts w:ascii="宋体" w:hAnsi="宋体" w:cs="宋体" w:eastAsia="宋体" w:hint="default"/>
          <w:sz w:val="28"/>
          <w:szCs w:val="28"/>
        </w:rPr>
        <w:t>17</w:t>
      </w:r>
      <w:r>
        <w:rPr>
          <w:rFonts w:ascii="宋体" w:hAnsi="宋体" w:cs="宋体" w:eastAsia="宋体" w:hint="default"/>
          <w:spacing w:val="-71"/>
          <w:sz w:val="28"/>
          <w:szCs w:val="28"/>
        </w:rPr>
        <w:t> </w:t>
      </w:r>
      <w:r>
        <w:rPr>
          <w:rFonts w:ascii="宋体" w:hAnsi="宋体" w:cs="宋体" w:eastAsia="宋体" w:hint="default"/>
          <w:spacing w:val="-5"/>
          <w:sz w:val="28"/>
          <w:szCs w:val="28"/>
        </w:rPr>
        <w:t>日的“世界电信和信息社会日”主题为“保障儿</w:t>
      </w:r>
      <w:r>
        <w:rPr>
          <w:rFonts w:ascii="宋体" w:hAnsi="宋体" w:cs="宋体" w:eastAsia="宋体" w:hint="default"/>
          <w:w w:val="99"/>
          <w:sz w:val="28"/>
          <w:szCs w:val="28"/>
        </w:rPr>
        <w:t> 童网上安全（Protecting</w:t>
      </w:r>
      <w:r>
        <w:rPr>
          <w:rFonts w:ascii="宋体" w:hAnsi="宋体" w:cs="宋体" w:eastAsia="宋体" w:hint="default"/>
          <w:spacing w:val="11"/>
          <w:w w:val="99"/>
          <w:sz w:val="28"/>
          <w:szCs w:val="28"/>
        </w:rPr>
        <w:t> </w:t>
      </w:r>
      <w:r>
        <w:rPr>
          <w:rFonts w:ascii="宋体" w:hAnsi="宋体" w:cs="宋体" w:eastAsia="宋体" w:hint="default"/>
          <w:spacing w:val="-1"/>
          <w:w w:val="99"/>
          <w:sz w:val="28"/>
          <w:szCs w:val="28"/>
        </w:rPr>
        <w:t>Children</w:t>
      </w:r>
      <w:r>
        <w:rPr>
          <w:rFonts w:ascii="宋体" w:hAnsi="宋体" w:cs="宋体" w:eastAsia="宋体" w:hint="default"/>
          <w:spacing w:val="8"/>
          <w:w w:val="99"/>
          <w:sz w:val="28"/>
          <w:szCs w:val="28"/>
        </w:rPr>
        <w:t> </w:t>
      </w:r>
      <w:r>
        <w:rPr>
          <w:rFonts w:ascii="宋体" w:hAnsi="宋体" w:cs="宋体" w:eastAsia="宋体" w:hint="default"/>
          <w:w w:val="99"/>
          <w:sz w:val="28"/>
          <w:szCs w:val="28"/>
        </w:rPr>
        <w:t>in</w:t>
      </w:r>
      <w:r>
        <w:rPr>
          <w:rFonts w:ascii="宋体" w:hAnsi="宋体" w:cs="宋体" w:eastAsia="宋体" w:hint="default"/>
          <w:spacing w:val="11"/>
          <w:w w:val="99"/>
          <w:sz w:val="28"/>
          <w:szCs w:val="28"/>
        </w:rPr>
        <w:t> </w:t>
      </w:r>
      <w:r>
        <w:rPr>
          <w:rFonts w:ascii="宋体" w:hAnsi="宋体" w:cs="宋体" w:eastAsia="宋体" w:hint="default"/>
          <w:spacing w:val="-15"/>
          <w:w w:val="99"/>
          <w:sz w:val="28"/>
          <w:szCs w:val="28"/>
        </w:rPr>
        <w:t>Cyberspace）”，引导未成年</w:t>
      </w:r>
      <w:r>
        <w:rPr>
          <w:rFonts w:ascii="宋体" w:hAnsi="宋体" w:cs="宋体" w:eastAsia="宋体" w:hint="default"/>
          <w:spacing w:val="-131"/>
          <w:w w:val="99"/>
          <w:sz w:val="28"/>
          <w:szCs w:val="28"/>
        </w:rPr>
        <w:t> </w:t>
      </w:r>
      <w:r>
        <w:rPr>
          <w:rFonts w:ascii="宋体" w:hAnsi="宋体" w:cs="宋体" w:eastAsia="宋体" w:hint="default"/>
          <w:spacing w:val="-131"/>
          <w:w w:val="99"/>
          <w:sz w:val="28"/>
          <w:szCs w:val="28"/>
        </w:rPr>
      </w:r>
      <w:r>
        <w:rPr>
          <w:rFonts w:ascii="宋体" w:hAnsi="宋体" w:cs="宋体" w:eastAsia="宋体" w:hint="default"/>
          <w:spacing w:val="-3"/>
          <w:sz w:val="28"/>
          <w:szCs w:val="28"/>
        </w:rPr>
        <w:t>人和儿童安全上网、健康上网，参与“呵护孩子健康上网----保障青</w:t>
      </w:r>
      <w:r>
        <w:rPr>
          <w:rFonts w:ascii="宋体" w:hAnsi="宋体" w:cs="宋体" w:eastAsia="宋体" w:hint="default"/>
          <w:w w:val="99"/>
          <w:sz w:val="28"/>
          <w:szCs w:val="28"/>
        </w:rPr>
        <w:t> </w:t>
      </w:r>
      <w:r>
        <w:rPr>
          <w:rFonts w:ascii="宋体" w:hAnsi="宋体" w:cs="宋体" w:eastAsia="宋体" w:hint="default"/>
          <w:sz w:val="28"/>
          <w:szCs w:val="28"/>
        </w:rPr>
        <w:t>少年权益、绿色</w:t>
      </w:r>
      <w:r>
        <w:rPr>
          <w:rFonts w:ascii="宋体" w:hAnsi="宋体" w:cs="宋体" w:eastAsia="宋体" w:hint="default"/>
          <w:spacing w:val="-134"/>
          <w:sz w:val="28"/>
          <w:szCs w:val="28"/>
        </w:rPr>
        <w:t> </w:t>
      </w:r>
      <w:r>
        <w:rPr>
          <w:rFonts w:ascii="宋体" w:hAnsi="宋体" w:cs="宋体" w:eastAsia="宋体" w:hint="default"/>
          <w:spacing w:val="9"/>
          <w:w w:val="99"/>
          <w:position w:val="1"/>
          <w:sz w:val="28"/>
          <w:szCs w:val="28"/>
        </w:rPr>
        <w:drawing>
          <wp:inline distT="0" distB="0" distL="0" distR="0">
            <wp:extent cx="226908" cy="253595"/>
            <wp:effectExtent l="0" t="0" r="0" b="0"/>
            <wp:docPr id="17" name="image11.png" descr=""/>
            <wp:cNvGraphicFramePr>
              <a:graphicFrameLocks noChangeAspect="1"/>
            </wp:cNvGraphicFramePr>
            <a:graphic>
              <a:graphicData uri="http://schemas.openxmlformats.org/drawingml/2006/picture">
                <pic:pic>
                  <pic:nvPicPr>
                    <pic:cNvPr id="18" name="image11.png"/>
                    <pic:cNvPicPr/>
                  </pic:nvPicPr>
                  <pic:blipFill>
                    <a:blip r:embed="rId215" cstate="print"/>
                    <a:stretch>
                      <a:fillRect/>
                    </a:stretch>
                  </pic:blipFill>
                  <pic:spPr>
                    <a:xfrm>
                      <a:off x="0" y="0"/>
                      <a:ext cx="226908" cy="253595"/>
                    </a:xfrm>
                    <a:prstGeom prst="rect">
                      <a:avLst/>
                    </a:prstGeom>
                  </pic:spPr>
                </pic:pic>
              </a:graphicData>
            </a:graphic>
          </wp:inline>
        </w:drawing>
      </w:r>
      <w:r>
        <w:rPr>
          <w:rFonts w:ascii="宋体" w:hAnsi="宋体" w:cs="宋体" w:eastAsia="宋体" w:hint="default"/>
          <w:spacing w:val="9"/>
          <w:w w:val="99"/>
          <w:position w:val="1"/>
          <w:sz w:val="28"/>
          <w:szCs w:val="28"/>
        </w:rPr>
      </w:r>
      <w:r>
        <w:rPr>
          <w:rFonts w:ascii="宋体" w:hAnsi="宋体" w:cs="宋体" w:eastAsia="宋体" w:hint="default"/>
          <w:sz w:val="28"/>
          <w:szCs w:val="28"/>
        </w:rPr>
        <w:t>上网校园行”活动。</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spacing w:line="2937" w:lineRule="exact"/>
        <w:ind w:left="2023" w:right="0" w:firstLine="0"/>
        <w:rPr>
          <w:rFonts w:ascii="宋体" w:hAnsi="宋体" w:cs="宋体" w:eastAsia="宋体" w:hint="default"/>
          <w:sz w:val="20"/>
          <w:szCs w:val="20"/>
        </w:rPr>
      </w:pPr>
      <w:r>
        <w:rPr>
          <w:rFonts w:ascii="宋体" w:hAnsi="宋体" w:cs="宋体" w:eastAsia="宋体" w:hint="default"/>
          <w:position w:val="-58"/>
          <w:sz w:val="20"/>
          <w:szCs w:val="20"/>
        </w:rPr>
        <w:drawing>
          <wp:inline distT="0" distB="0" distL="0" distR="0">
            <wp:extent cx="2866048" cy="1865376"/>
            <wp:effectExtent l="0" t="0" r="0" b="0"/>
            <wp:docPr id="19" name="image12.jpeg" descr=""/>
            <wp:cNvGraphicFramePr>
              <a:graphicFrameLocks noChangeAspect="1"/>
            </wp:cNvGraphicFramePr>
            <a:graphic>
              <a:graphicData uri="http://schemas.openxmlformats.org/drawingml/2006/picture">
                <pic:pic>
                  <pic:nvPicPr>
                    <pic:cNvPr id="20" name="image12.jpeg"/>
                    <pic:cNvPicPr/>
                  </pic:nvPicPr>
                  <pic:blipFill>
                    <a:blip r:embed="rId216" cstate="print"/>
                    <a:stretch>
                      <a:fillRect/>
                    </a:stretch>
                  </pic:blipFill>
                  <pic:spPr>
                    <a:xfrm>
                      <a:off x="0" y="0"/>
                      <a:ext cx="2866048" cy="1865376"/>
                    </a:xfrm>
                    <a:prstGeom prst="rect">
                      <a:avLst/>
                    </a:prstGeom>
                  </pic:spPr>
                </pic:pic>
              </a:graphicData>
            </a:graphic>
          </wp:inline>
        </w:drawing>
      </w:r>
      <w:r>
        <w:rPr>
          <w:rFonts w:ascii="宋体" w:hAnsi="宋体" w:cs="宋体" w:eastAsia="宋体" w:hint="default"/>
          <w:position w:val="-58"/>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5"/>
          <w:szCs w:val="25"/>
        </w:rPr>
      </w:pPr>
    </w:p>
    <w:p>
      <w:pPr>
        <w:tabs>
          <w:tab w:pos="4745" w:val="left" w:leader="none"/>
        </w:tabs>
        <w:spacing w:line="362" w:lineRule="auto" w:before="13"/>
        <w:ind w:left="119" w:right="251" w:firstLine="560"/>
        <w:jc w:val="left"/>
        <w:rPr>
          <w:rFonts w:ascii="宋体" w:hAnsi="宋体" w:cs="宋体" w:eastAsia="宋体" w:hint="default"/>
          <w:sz w:val="28"/>
          <w:szCs w:val="28"/>
        </w:rPr>
      </w:pPr>
      <w:r>
        <w:rPr/>
        <w:pict>
          <v:shape style="position:absolute;margin-left:302.712860pt;margin-top:-3.568025pt;width:17.867143pt;height:19.967722pt;mso-position-horizontal-relative:page;mso-position-vertical-relative:paragraph;z-index:-909568" type="#_x0000_t75" stroked="false">
            <v:imagedata r:id="rId217" o:title=""/>
          </v:shape>
        </w:pict>
      </w:r>
      <w:r>
        <w:rPr>
          <w:rFonts w:ascii="宋体" w:hAnsi="宋体" w:cs="宋体" w:eastAsia="宋体" w:hint="default"/>
          <w:spacing w:val="2"/>
          <w:sz w:val="28"/>
          <w:szCs w:val="28"/>
        </w:rPr>
        <w:t>中国联通推出名为“宽带绿色</w:t>
        <w:tab/>
      </w:r>
      <w:r>
        <w:rPr>
          <w:rFonts w:ascii="宋体" w:hAnsi="宋体" w:cs="宋体" w:eastAsia="宋体" w:hint="default"/>
          <w:spacing w:val="3"/>
          <w:sz w:val="28"/>
          <w:szCs w:val="28"/>
        </w:rPr>
        <w:t>账号”的产品，从三种途径帮</w:t>
      </w:r>
      <w:r>
        <w:rPr>
          <w:rFonts w:ascii="宋体" w:hAnsi="宋体" w:cs="宋体" w:eastAsia="宋体" w:hint="default"/>
          <w:spacing w:val="3"/>
          <w:w w:val="99"/>
          <w:sz w:val="28"/>
          <w:szCs w:val="28"/>
        </w:rPr>
        <w:t> </w:t>
      </w:r>
      <w:r>
        <w:rPr>
          <w:rFonts w:ascii="宋体" w:hAnsi="宋体" w:cs="宋体" w:eastAsia="宋体" w:hint="default"/>
          <w:spacing w:val="-4"/>
          <w:sz w:val="28"/>
          <w:szCs w:val="28"/>
        </w:rPr>
        <w:t>助家长们全面保护孩子的网络健康，防止他们长期沉溺于互联网。申</w:t>
      </w:r>
    </w:p>
    <w:p>
      <w:pPr>
        <w:spacing w:line="292" w:lineRule="auto" w:before="100"/>
        <w:ind w:left="119" w:right="144" w:firstLine="0"/>
        <w:jc w:val="left"/>
        <w:rPr>
          <w:rFonts w:ascii="宋体" w:hAnsi="宋体" w:cs="宋体" w:eastAsia="宋体" w:hint="default"/>
          <w:sz w:val="28"/>
          <w:szCs w:val="28"/>
        </w:rPr>
      </w:pPr>
      <w:r>
        <w:rPr>
          <w:rFonts w:ascii="宋体" w:hAnsi="宋体" w:cs="宋体" w:eastAsia="宋体" w:hint="default"/>
          <w:spacing w:val="4"/>
          <w:sz w:val="28"/>
          <w:szCs w:val="28"/>
        </w:rPr>
        <w:t>请了宽带绿色</w:t>
      </w:r>
      <w:r>
        <w:rPr>
          <w:rFonts w:ascii="宋体" w:hAnsi="宋体" w:cs="宋体" w:eastAsia="宋体" w:hint="default"/>
          <w:spacing w:val="-140"/>
          <w:sz w:val="28"/>
          <w:szCs w:val="28"/>
        </w:rPr>
        <w:t> </w:t>
      </w:r>
      <w:r>
        <w:rPr>
          <w:rFonts w:ascii="宋体" w:hAnsi="宋体" w:cs="宋体" w:eastAsia="宋体" w:hint="default"/>
          <w:spacing w:val="12"/>
          <w:w w:val="99"/>
          <w:position w:val="1"/>
          <w:sz w:val="28"/>
          <w:szCs w:val="28"/>
        </w:rPr>
        <w:drawing>
          <wp:inline distT="0" distB="0" distL="0" distR="0">
            <wp:extent cx="226901" cy="253580"/>
            <wp:effectExtent l="0" t="0" r="0" b="0"/>
            <wp:docPr id="21" name="image14.png" descr=""/>
            <wp:cNvGraphicFramePr>
              <a:graphicFrameLocks noChangeAspect="1"/>
            </wp:cNvGraphicFramePr>
            <a:graphic>
              <a:graphicData uri="http://schemas.openxmlformats.org/drawingml/2006/picture">
                <pic:pic>
                  <pic:nvPicPr>
                    <pic:cNvPr id="22" name="image14.png"/>
                    <pic:cNvPicPr/>
                  </pic:nvPicPr>
                  <pic:blipFill>
                    <a:blip r:embed="rId218" cstate="print"/>
                    <a:stretch>
                      <a:fillRect/>
                    </a:stretch>
                  </pic:blipFill>
                  <pic:spPr>
                    <a:xfrm>
                      <a:off x="0" y="0"/>
                      <a:ext cx="226901" cy="253580"/>
                    </a:xfrm>
                    <a:prstGeom prst="rect">
                      <a:avLst/>
                    </a:prstGeom>
                  </pic:spPr>
                </pic:pic>
              </a:graphicData>
            </a:graphic>
          </wp:inline>
        </w:drawing>
      </w:r>
      <w:r>
        <w:rPr>
          <w:rFonts w:ascii="宋体" w:hAnsi="宋体" w:cs="宋体" w:eastAsia="宋体" w:hint="default"/>
          <w:spacing w:val="12"/>
          <w:w w:val="99"/>
          <w:position w:val="1"/>
          <w:sz w:val="28"/>
          <w:szCs w:val="28"/>
        </w:rPr>
      </w:r>
      <w:r>
        <w:rPr>
          <w:rFonts w:ascii="宋体" w:hAnsi="宋体" w:cs="宋体" w:eastAsia="宋体" w:hint="default"/>
          <w:spacing w:val="3"/>
          <w:sz w:val="28"/>
          <w:szCs w:val="28"/>
        </w:rPr>
        <w:t>账号业务的家庭，可在原有宽带接入账号上获得一</w:t>
      </w:r>
      <w:r>
        <w:rPr>
          <w:rFonts w:ascii="宋体" w:hAnsi="宋体" w:cs="宋体" w:eastAsia="宋体" w:hint="default"/>
          <w:spacing w:val="3"/>
          <w:w w:val="99"/>
          <w:sz w:val="28"/>
          <w:szCs w:val="28"/>
        </w:rPr>
        <w:t> </w:t>
      </w:r>
      <w:r>
        <w:rPr>
          <w:rFonts w:ascii="宋体" w:hAnsi="宋体" w:cs="宋体" w:eastAsia="宋体" w:hint="default"/>
          <w:spacing w:val="-3"/>
          <w:w w:val="95"/>
          <w:sz w:val="28"/>
          <w:szCs w:val="28"/>
        </w:rPr>
        <w:t>个后缀为“</w:t>
      </w:r>
      <w:r>
        <w:rPr>
          <w:rFonts w:ascii="Microsoft JhengHei" w:hAnsi="Microsoft JhengHei" w:cs="Microsoft JhengHei" w:eastAsia="Microsoft JhengHei" w:hint="default"/>
          <w:b/>
          <w:bCs/>
          <w:color w:val="003300"/>
          <w:spacing w:val="-3"/>
          <w:w w:val="95"/>
          <w:sz w:val="28"/>
          <w:szCs w:val="28"/>
        </w:rPr>
        <w:t>@green</w:t>
      </w:r>
      <w:r>
        <w:rPr>
          <w:rFonts w:ascii="宋体" w:hAnsi="宋体" w:cs="宋体" w:eastAsia="宋体" w:hint="default"/>
          <w:spacing w:val="-3"/>
          <w:w w:val="95"/>
          <w:sz w:val="28"/>
          <w:szCs w:val="28"/>
        </w:rPr>
        <w:t>”的子账号供子女上网使用，家长即通过对“子账</w:t>
      </w:r>
      <w:r>
        <w:rPr>
          <w:rFonts w:ascii="宋体" w:hAnsi="宋体" w:cs="宋体" w:eastAsia="宋体" w:hint="default"/>
          <w:spacing w:val="-3"/>
          <w:sz w:val="28"/>
          <w:szCs w:val="28"/>
        </w:rPr>
      </w:r>
    </w:p>
    <w:p>
      <w:pPr>
        <w:spacing w:after="0" w:line="292" w:lineRule="auto"/>
        <w:jc w:val="left"/>
        <w:rPr>
          <w:rFonts w:ascii="宋体" w:hAnsi="宋体" w:cs="宋体" w:eastAsia="宋体" w:hint="default"/>
          <w:sz w:val="28"/>
          <w:szCs w:val="28"/>
        </w:rPr>
        <w:sectPr>
          <w:headerReference w:type="default" r:id="rId213"/>
          <w:footerReference w:type="default" r:id="rId214"/>
          <w:pgSz w:w="11910" w:h="16840"/>
          <w:pgMar w:header="0" w:footer="982" w:top="1540" w:bottom="1180" w:left="1680" w:right="1540"/>
          <w:pgNumType w:start="23"/>
        </w:sectPr>
      </w:pPr>
    </w:p>
    <w:p>
      <w:pPr>
        <w:pStyle w:val="Heading7"/>
        <w:spacing w:line="351" w:lineRule="exact"/>
        <w:ind w:right="0"/>
        <w:jc w:val="both"/>
      </w:pPr>
      <w:r>
        <w:rPr>
          <w:spacing w:val="-4"/>
        </w:rPr>
        <w:t>号”的规则设定，来控制和干预子女的上网行为。保障未成年网上安</w:t>
      </w:r>
    </w:p>
    <w:p>
      <w:pPr>
        <w:spacing w:line="240" w:lineRule="auto" w:before="9"/>
        <w:rPr>
          <w:rFonts w:ascii="宋体" w:hAnsi="宋体" w:cs="宋体" w:eastAsia="宋体" w:hint="default"/>
          <w:sz w:val="19"/>
          <w:szCs w:val="19"/>
        </w:rPr>
      </w:pPr>
    </w:p>
    <w:p>
      <w:pPr>
        <w:spacing w:line="408" w:lineRule="auto" w:before="0"/>
        <w:ind w:left="120" w:right="117" w:firstLine="0"/>
        <w:jc w:val="both"/>
        <w:rPr>
          <w:rFonts w:ascii="宋体" w:hAnsi="宋体" w:cs="宋体" w:eastAsia="宋体" w:hint="default"/>
          <w:sz w:val="28"/>
          <w:szCs w:val="28"/>
        </w:rPr>
      </w:pPr>
      <w:r>
        <w:rPr>
          <w:rFonts w:ascii="宋体" w:hAnsi="宋体" w:cs="宋体" w:eastAsia="宋体" w:hint="default"/>
          <w:spacing w:val="-4"/>
          <w:sz w:val="28"/>
          <w:szCs w:val="28"/>
        </w:rPr>
        <w:t>全，建设和谐、健康的青少年网络环境，越来越受到社会各方面的重</w:t>
      </w:r>
      <w:r>
        <w:rPr>
          <w:rFonts w:ascii="宋体" w:hAnsi="宋体" w:cs="宋体" w:eastAsia="宋体" w:hint="default"/>
          <w:spacing w:val="-127"/>
          <w:sz w:val="28"/>
          <w:szCs w:val="28"/>
        </w:rPr>
        <w:t> </w:t>
      </w:r>
      <w:r>
        <w:rPr>
          <w:rFonts w:ascii="宋体" w:hAnsi="宋体" w:cs="宋体" w:eastAsia="宋体" w:hint="default"/>
          <w:spacing w:val="-127"/>
          <w:sz w:val="28"/>
          <w:szCs w:val="28"/>
        </w:rPr>
      </w:r>
      <w:r>
        <w:rPr>
          <w:rFonts w:ascii="宋体" w:hAnsi="宋体" w:cs="宋体" w:eastAsia="宋体" w:hint="default"/>
          <w:spacing w:val="-4"/>
          <w:sz w:val="28"/>
          <w:szCs w:val="28"/>
        </w:rPr>
        <w:t>视。未成年人是人类未来的希望，让这一群体使用上互联网、享受到</w:t>
      </w:r>
      <w:r>
        <w:rPr>
          <w:rFonts w:ascii="宋体" w:hAnsi="宋体" w:cs="宋体" w:eastAsia="宋体" w:hint="default"/>
          <w:spacing w:val="-127"/>
          <w:sz w:val="28"/>
          <w:szCs w:val="28"/>
        </w:rPr>
        <w:t> </w:t>
      </w:r>
      <w:r>
        <w:rPr>
          <w:rFonts w:ascii="宋体" w:hAnsi="宋体" w:cs="宋体" w:eastAsia="宋体" w:hint="default"/>
          <w:spacing w:val="-127"/>
          <w:sz w:val="28"/>
          <w:szCs w:val="28"/>
        </w:rPr>
      </w:r>
      <w:r>
        <w:rPr>
          <w:rFonts w:ascii="宋体" w:hAnsi="宋体" w:cs="宋体" w:eastAsia="宋体" w:hint="default"/>
          <w:spacing w:val="-4"/>
          <w:sz w:val="28"/>
          <w:szCs w:val="28"/>
        </w:rPr>
        <w:t>先进信息通信技术的成果对于整个社会的发展至关重要。中国联通呼</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吁各国重视这一问题，联合起来消除滋生犯罪的因素，确保他们能够</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安全上网和正确使用网上资源。</w:t>
      </w:r>
    </w:p>
    <w:p>
      <w:pPr>
        <w:spacing w:after="0" w:line="408" w:lineRule="auto"/>
        <w:jc w:val="both"/>
        <w:rPr>
          <w:rFonts w:ascii="宋体" w:hAnsi="宋体" w:cs="宋体" w:eastAsia="宋体" w:hint="default"/>
          <w:sz w:val="28"/>
          <w:szCs w:val="28"/>
        </w:rPr>
        <w:sectPr>
          <w:headerReference w:type="default" r:id="rId219"/>
          <w:footerReference w:type="default" r:id="rId220"/>
          <w:pgSz w:w="11910" w:h="16840"/>
          <w:pgMar w:header="0" w:footer="982" w:top="1540" w:bottom="1180" w:left="1680" w:right="1680"/>
          <w:pgNumType w:start="24"/>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pStyle w:val="Heading1"/>
        <w:spacing w:line="632" w:lineRule="exact"/>
        <w:ind w:right="651"/>
        <w:jc w:val="center"/>
        <w:rPr>
          <w:b w:val="0"/>
          <w:bCs w:val="0"/>
        </w:rPr>
      </w:pPr>
      <w:r>
        <w:rPr/>
        <w:t>以高度的责任感</w:t>
      </w:r>
      <w:r>
        <w:rPr>
          <w:b w:val="0"/>
          <w:bCs w:val="0"/>
        </w:rPr>
      </w:r>
    </w:p>
    <w:p>
      <w:pPr>
        <w:spacing w:before="221"/>
        <w:ind w:left="652" w:right="650" w:firstLine="0"/>
        <w:jc w:val="center"/>
        <w:rPr>
          <w:rFonts w:ascii="华文行楷" w:hAnsi="华文行楷" w:cs="华文行楷" w:eastAsia="华文行楷" w:hint="default"/>
          <w:sz w:val="52"/>
          <w:szCs w:val="52"/>
        </w:rPr>
      </w:pPr>
      <w:r>
        <w:rPr>
          <w:rFonts w:ascii="华文行楷" w:hAnsi="华文行楷" w:cs="华文行楷" w:eastAsia="华文行楷" w:hint="default"/>
          <w:b/>
          <w:bCs/>
          <w:sz w:val="52"/>
          <w:szCs w:val="52"/>
        </w:rPr>
        <w:t>确保重大活动通信畅通</w:t>
      </w:r>
      <w:r>
        <w:rPr>
          <w:rFonts w:ascii="华文行楷" w:hAnsi="华文行楷" w:cs="华文行楷" w:eastAsia="华文行楷" w:hint="default"/>
          <w:sz w:val="52"/>
          <w:szCs w:val="52"/>
        </w:rPr>
      </w:r>
    </w:p>
    <w:p>
      <w:pPr>
        <w:spacing w:line="240" w:lineRule="auto" w:before="0"/>
        <w:rPr>
          <w:rFonts w:ascii="华文行楷" w:hAnsi="华文行楷" w:cs="华文行楷" w:eastAsia="华文行楷" w:hint="default"/>
          <w:b/>
          <w:bCs/>
          <w:sz w:val="52"/>
          <w:szCs w:val="52"/>
        </w:rPr>
      </w:pPr>
    </w:p>
    <w:p>
      <w:pPr>
        <w:spacing w:line="240" w:lineRule="auto" w:before="6"/>
        <w:rPr>
          <w:rFonts w:ascii="华文行楷" w:hAnsi="华文行楷" w:cs="华文行楷" w:eastAsia="华文行楷" w:hint="default"/>
          <w:b/>
          <w:bCs/>
          <w:sz w:val="58"/>
          <w:szCs w:val="58"/>
        </w:rPr>
      </w:pPr>
    </w:p>
    <w:p>
      <w:pPr>
        <w:spacing w:line="388" w:lineRule="auto" w:before="0"/>
        <w:ind w:left="120" w:right="117" w:firstLine="560"/>
        <w:jc w:val="both"/>
        <w:rPr>
          <w:rFonts w:ascii="华文行楷" w:hAnsi="华文行楷" w:cs="华文行楷" w:eastAsia="华文行楷" w:hint="default"/>
          <w:sz w:val="28"/>
          <w:szCs w:val="28"/>
        </w:rPr>
      </w:pPr>
      <w:r>
        <w:rPr>
          <w:rFonts w:ascii="华文行楷" w:hAnsi="华文行楷" w:cs="华文行楷" w:eastAsia="华文行楷" w:hint="default"/>
          <w:i/>
          <w:spacing w:val="-4"/>
          <w:sz w:val="28"/>
          <w:szCs w:val="28"/>
        </w:rPr>
        <w:t>保障通信畅通不仅是电信运营企业的基本职责，也是社会赋予电</w:t>
      </w:r>
      <w:r>
        <w:rPr>
          <w:rFonts w:ascii="华文行楷" w:hAnsi="华文行楷" w:cs="华文行楷" w:eastAsia="华文行楷" w:hint="default"/>
          <w:i/>
          <w:w w:val="99"/>
          <w:sz w:val="28"/>
          <w:szCs w:val="28"/>
        </w:rPr>
        <w:t> </w:t>
      </w:r>
      <w:r>
        <w:rPr>
          <w:rFonts w:ascii="华文行楷" w:hAnsi="华文行楷" w:cs="华文行楷" w:eastAsia="华文行楷" w:hint="default"/>
          <w:i/>
          <w:spacing w:val="-4"/>
          <w:sz w:val="28"/>
          <w:szCs w:val="28"/>
        </w:rPr>
        <w:t>信运营企业的重要责任。秉承高度的社会责任感，兢兢业业于本职工</w:t>
      </w:r>
      <w:r>
        <w:rPr>
          <w:rFonts w:ascii="华文行楷" w:hAnsi="华文行楷" w:cs="华文行楷" w:eastAsia="华文行楷" w:hint="default"/>
          <w:i/>
          <w:spacing w:val="-55"/>
          <w:sz w:val="28"/>
          <w:szCs w:val="28"/>
        </w:rPr>
        <w:t> </w:t>
      </w:r>
      <w:r>
        <w:rPr>
          <w:rFonts w:ascii="华文行楷" w:hAnsi="华文行楷" w:cs="华文行楷" w:eastAsia="华文行楷" w:hint="default"/>
          <w:i/>
          <w:spacing w:val="-55"/>
          <w:sz w:val="28"/>
          <w:szCs w:val="28"/>
        </w:rPr>
      </w:r>
      <w:r>
        <w:rPr>
          <w:rFonts w:ascii="华文行楷" w:hAnsi="华文行楷" w:cs="华文行楷" w:eastAsia="华文行楷" w:hint="default"/>
          <w:i/>
          <w:sz w:val="28"/>
          <w:szCs w:val="28"/>
        </w:rPr>
        <w:t>作，联通人感到肩上的担子更重，职业使命更光荣！</w:t>
      </w:r>
      <w:r>
        <w:rPr>
          <w:rFonts w:ascii="华文行楷" w:hAnsi="华文行楷" w:cs="华文行楷" w:eastAsia="华文行楷" w:hint="default"/>
          <w:sz w:val="28"/>
          <w:szCs w:val="28"/>
        </w:rPr>
      </w:r>
    </w:p>
    <w:p>
      <w:pPr>
        <w:spacing w:line="240" w:lineRule="auto" w:before="0"/>
        <w:rPr>
          <w:rFonts w:ascii="华文行楷" w:hAnsi="华文行楷" w:cs="华文行楷" w:eastAsia="华文行楷" w:hint="default"/>
          <w:i/>
          <w:sz w:val="28"/>
          <w:szCs w:val="28"/>
        </w:rPr>
      </w:pPr>
    </w:p>
    <w:p>
      <w:pPr>
        <w:spacing w:before="243"/>
        <w:ind w:left="120" w:right="0" w:firstLine="0"/>
        <w:jc w:val="both"/>
        <w:rPr>
          <w:rFonts w:ascii="黑体" w:hAnsi="黑体" w:cs="黑体" w:eastAsia="黑体" w:hint="default"/>
          <w:sz w:val="36"/>
          <w:szCs w:val="36"/>
        </w:rPr>
      </w:pPr>
      <w:r>
        <w:rPr>
          <w:rFonts w:ascii="黑体" w:hAnsi="黑体" w:cs="黑体" w:eastAsia="黑体" w:hint="default"/>
          <w:b/>
          <w:bCs/>
          <w:sz w:val="36"/>
          <w:szCs w:val="36"/>
        </w:rPr>
        <w:t>成功为国庆60周年庆祝活动提供通信保障</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spacing w:line="408" w:lineRule="auto" w:before="0"/>
        <w:ind w:left="120" w:right="4502" w:firstLine="550"/>
        <w:jc w:val="both"/>
        <w:rPr>
          <w:rFonts w:ascii="宋体" w:hAnsi="宋体" w:cs="宋体" w:eastAsia="宋体" w:hint="default"/>
          <w:sz w:val="28"/>
          <w:szCs w:val="28"/>
        </w:rPr>
      </w:pPr>
      <w:r>
        <w:rPr/>
        <w:pict>
          <v:shape style="position:absolute;margin-left:297.059967pt;margin-top:3.568176pt;width:207.403519pt;height:176.219986pt;mso-position-horizontal-relative:page;mso-position-vertical-relative:paragraph;z-index:9952" type="#_x0000_t75" stroked="false">
            <v:imagedata r:id="rId223" o:title=""/>
          </v:shape>
        </w:pict>
      </w:r>
      <w:r>
        <w:rPr>
          <w:rFonts w:ascii="宋体" w:hAnsi="宋体" w:cs="宋体" w:eastAsia="宋体" w:hint="default"/>
          <w:sz w:val="28"/>
          <w:szCs w:val="28"/>
        </w:rPr>
        <w:t>举世瞩目、举国期盼的新中</w:t>
      </w:r>
      <w:r>
        <w:rPr>
          <w:rFonts w:ascii="宋体" w:hAnsi="宋体" w:cs="宋体" w:eastAsia="宋体" w:hint="default"/>
          <w:w w:val="99"/>
          <w:sz w:val="28"/>
          <w:szCs w:val="28"/>
        </w:rPr>
        <w:t> </w:t>
      </w:r>
      <w:r>
        <w:rPr>
          <w:rFonts w:ascii="宋体" w:hAnsi="宋体" w:cs="宋体" w:eastAsia="宋体" w:hint="default"/>
          <w:sz w:val="28"/>
          <w:szCs w:val="28"/>
        </w:rPr>
        <w:t>国成立60周年庆祝活动取得了圆</w:t>
      </w:r>
      <w:r>
        <w:rPr>
          <w:rFonts w:ascii="宋体" w:hAnsi="宋体" w:cs="宋体" w:eastAsia="宋体" w:hint="default"/>
          <w:w w:val="99"/>
          <w:sz w:val="28"/>
          <w:szCs w:val="28"/>
        </w:rPr>
        <w:t> </w:t>
      </w:r>
      <w:r>
        <w:rPr>
          <w:rFonts w:ascii="宋体" w:hAnsi="宋体" w:cs="宋体" w:eastAsia="宋体" w:hint="default"/>
          <w:sz w:val="28"/>
          <w:szCs w:val="28"/>
        </w:rPr>
        <w:t>满成功，实现了“隆重、喜庆、</w:t>
      </w:r>
      <w:r>
        <w:rPr>
          <w:rFonts w:ascii="宋体" w:hAnsi="宋体" w:cs="宋体" w:eastAsia="宋体" w:hint="default"/>
          <w:w w:val="99"/>
          <w:sz w:val="28"/>
          <w:szCs w:val="28"/>
        </w:rPr>
        <w:t> </w:t>
      </w:r>
      <w:r>
        <w:rPr>
          <w:rFonts w:ascii="宋体" w:hAnsi="宋体" w:cs="宋体" w:eastAsia="宋体" w:hint="default"/>
          <w:sz w:val="28"/>
          <w:szCs w:val="28"/>
        </w:rPr>
        <w:t>节俭、祥和”的总要求和“高质</w:t>
      </w:r>
      <w:r>
        <w:rPr>
          <w:rFonts w:ascii="宋体" w:hAnsi="宋体" w:cs="宋体" w:eastAsia="宋体" w:hint="default"/>
          <w:w w:val="99"/>
          <w:sz w:val="28"/>
          <w:szCs w:val="28"/>
        </w:rPr>
        <w:t> </w:t>
      </w:r>
      <w:r>
        <w:rPr>
          <w:rFonts w:ascii="宋体" w:hAnsi="宋体" w:cs="宋体" w:eastAsia="宋体" w:hint="default"/>
          <w:sz w:val="28"/>
          <w:szCs w:val="28"/>
        </w:rPr>
        <w:t>量、有创新”的目标。中国联通</w:t>
      </w:r>
      <w:r>
        <w:rPr>
          <w:rFonts w:ascii="宋体" w:hAnsi="宋体" w:cs="宋体" w:eastAsia="宋体" w:hint="default"/>
          <w:w w:val="99"/>
          <w:sz w:val="28"/>
          <w:szCs w:val="28"/>
        </w:rPr>
        <w:t> </w:t>
      </w:r>
      <w:r>
        <w:rPr>
          <w:rFonts w:ascii="宋体" w:hAnsi="宋体" w:cs="宋体" w:eastAsia="宋体" w:hint="default"/>
          <w:sz w:val="28"/>
          <w:szCs w:val="28"/>
        </w:rPr>
        <w:t>作为庆祝活动通信任务的主要保</w:t>
      </w:r>
    </w:p>
    <w:p>
      <w:pPr>
        <w:spacing w:line="408" w:lineRule="auto" w:before="61"/>
        <w:ind w:left="120" w:right="117" w:firstLine="0"/>
        <w:jc w:val="both"/>
        <w:rPr>
          <w:rFonts w:ascii="宋体" w:hAnsi="宋体" w:cs="宋体" w:eastAsia="宋体" w:hint="default"/>
          <w:sz w:val="28"/>
          <w:szCs w:val="28"/>
        </w:rPr>
      </w:pPr>
      <w:r>
        <w:rPr>
          <w:rFonts w:ascii="宋体" w:hAnsi="宋体" w:cs="宋体" w:eastAsia="宋体" w:hint="default"/>
          <w:spacing w:val="-3"/>
          <w:sz w:val="28"/>
          <w:szCs w:val="28"/>
        </w:rPr>
        <w:t>障单位，成功为国庆60周年庆祝活动提供了通信保障，完成了一项光</w:t>
      </w:r>
      <w:r>
        <w:rPr>
          <w:rFonts w:ascii="宋体" w:hAnsi="宋体" w:cs="宋体" w:eastAsia="宋体" w:hint="default"/>
          <w:w w:val="99"/>
          <w:sz w:val="28"/>
          <w:szCs w:val="28"/>
        </w:rPr>
        <w:t> </w:t>
      </w:r>
      <w:r>
        <w:rPr>
          <w:rFonts w:ascii="宋体" w:hAnsi="宋体" w:cs="宋体" w:eastAsia="宋体" w:hint="default"/>
          <w:spacing w:val="-4"/>
          <w:sz w:val="28"/>
          <w:szCs w:val="28"/>
        </w:rPr>
        <w:t>荣而艰巨的重大任务，实现了确保通信畅通、确保网络运行稳定、确</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保信息管控安全、确保应急处置有效、确保沟通汇报全面及时，“五</w:t>
      </w:r>
      <w:r>
        <w:rPr>
          <w:rFonts w:ascii="宋体" w:hAnsi="宋体" w:cs="宋体" w:eastAsia="宋体" w:hint="default"/>
          <w:spacing w:val="-126"/>
          <w:sz w:val="28"/>
          <w:szCs w:val="28"/>
        </w:rPr>
        <w:t> </w:t>
      </w:r>
      <w:r>
        <w:rPr>
          <w:rFonts w:ascii="宋体" w:hAnsi="宋体" w:cs="宋体" w:eastAsia="宋体" w:hint="default"/>
          <w:spacing w:val="-126"/>
          <w:sz w:val="28"/>
          <w:szCs w:val="28"/>
        </w:rPr>
      </w:r>
      <w:r>
        <w:rPr>
          <w:rFonts w:ascii="宋体" w:hAnsi="宋体" w:cs="宋体" w:eastAsia="宋体" w:hint="default"/>
          <w:spacing w:val="-3"/>
          <w:w w:val="95"/>
          <w:sz w:val="28"/>
          <w:szCs w:val="28"/>
        </w:rPr>
        <w:t>个确保”的目标，以万无一失的优异成绩向国庆60周年庆祝活动交上</w:t>
      </w:r>
      <w:r>
        <w:rPr>
          <w:rFonts w:ascii="宋体" w:hAnsi="宋体" w:cs="宋体" w:eastAsia="宋体" w:hint="default"/>
          <w:spacing w:val="-3"/>
          <w:sz w:val="28"/>
          <w:szCs w:val="28"/>
        </w:rPr>
      </w:r>
    </w:p>
    <w:p>
      <w:pPr>
        <w:spacing w:after="0" w:line="408" w:lineRule="auto"/>
        <w:jc w:val="both"/>
        <w:rPr>
          <w:rFonts w:ascii="宋体" w:hAnsi="宋体" w:cs="宋体" w:eastAsia="宋体" w:hint="default"/>
          <w:sz w:val="28"/>
          <w:szCs w:val="28"/>
        </w:rPr>
        <w:sectPr>
          <w:headerReference w:type="default" r:id="rId221"/>
          <w:footerReference w:type="default" r:id="rId222"/>
          <w:pgSz w:w="11910" w:h="16840"/>
          <w:pgMar w:header="0" w:footer="982" w:top="1600" w:bottom="1180" w:left="1680" w:right="1680"/>
          <w:pgNumType w:start="25"/>
        </w:sectPr>
      </w:pPr>
    </w:p>
    <w:p>
      <w:pPr>
        <w:spacing w:line="351" w:lineRule="exact" w:before="0"/>
        <w:ind w:left="120" w:right="0" w:firstLine="0"/>
        <w:jc w:val="left"/>
        <w:rPr>
          <w:rFonts w:ascii="宋体" w:hAnsi="宋体" w:cs="宋体" w:eastAsia="宋体" w:hint="default"/>
          <w:sz w:val="28"/>
          <w:szCs w:val="28"/>
        </w:rPr>
      </w:pPr>
      <w:r>
        <w:rPr>
          <w:rFonts w:ascii="宋体" w:hAnsi="宋体" w:cs="宋体" w:eastAsia="宋体" w:hint="default"/>
          <w:sz w:val="28"/>
          <w:szCs w:val="28"/>
        </w:rPr>
        <w:t>了一份合格的答卷，并赢得社会各方的肯定和好评。</w:t>
      </w:r>
    </w:p>
    <w:p>
      <w:pPr>
        <w:spacing w:line="240" w:lineRule="auto" w:before="9"/>
        <w:rPr>
          <w:rFonts w:ascii="宋体" w:hAnsi="宋体" w:cs="宋体" w:eastAsia="宋体" w:hint="default"/>
          <w:sz w:val="19"/>
          <w:szCs w:val="19"/>
        </w:rPr>
      </w:pPr>
    </w:p>
    <w:p>
      <w:pPr>
        <w:spacing w:line="408" w:lineRule="auto" w:before="0"/>
        <w:ind w:left="120" w:right="114" w:firstLine="3240"/>
        <w:jc w:val="right"/>
        <w:rPr>
          <w:rFonts w:ascii="宋体" w:hAnsi="宋体" w:cs="宋体" w:eastAsia="宋体" w:hint="default"/>
          <w:sz w:val="28"/>
          <w:szCs w:val="28"/>
        </w:rPr>
      </w:pPr>
      <w:r>
        <w:rPr/>
        <w:pict>
          <v:shape style="position:absolute;margin-left:90pt;margin-top:3.568176pt;width:153.253952pt;height:138.059998pt;mso-position-horizontal-relative:page;mso-position-vertical-relative:paragraph;z-index:-909520" type="#_x0000_t75" stroked="false">
            <v:imagedata r:id="rId226" o:title=""/>
          </v:shape>
        </w:pict>
      </w:r>
      <w:r>
        <w:rPr>
          <w:rFonts w:ascii="宋体" w:hAnsi="宋体" w:cs="宋体" w:eastAsia="宋体" w:hint="default"/>
          <w:w w:val="95"/>
          <w:sz w:val="28"/>
          <w:szCs w:val="28"/>
        </w:rPr>
        <w:t>为保障此项工作的顺利完成，成立通信保</w:t>
      </w:r>
      <w:r>
        <w:rPr>
          <w:rFonts w:ascii="宋体" w:hAnsi="宋体" w:cs="宋体" w:eastAsia="宋体" w:hint="default"/>
          <w:w w:val="99"/>
          <w:sz w:val="28"/>
          <w:szCs w:val="28"/>
        </w:rPr>
        <w:t> </w:t>
      </w:r>
      <w:r>
        <w:rPr>
          <w:rFonts w:ascii="宋体" w:hAnsi="宋体" w:cs="宋体" w:eastAsia="宋体" w:hint="default"/>
          <w:w w:val="95"/>
          <w:sz w:val="28"/>
          <w:szCs w:val="28"/>
        </w:rPr>
        <w:t>障工作领导小组，完善通信保障体系，制</w:t>
      </w:r>
      <w:r>
        <w:rPr>
          <w:rFonts w:ascii="宋体" w:hAnsi="宋体" w:cs="宋体" w:eastAsia="宋体" w:hint="default"/>
          <w:w w:val="99"/>
          <w:sz w:val="28"/>
          <w:szCs w:val="28"/>
        </w:rPr>
        <w:t> </w:t>
      </w:r>
      <w:r>
        <w:rPr>
          <w:rFonts w:ascii="宋体" w:hAnsi="宋体" w:cs="宋体" w:eastAsia="宋体" w:hint="default"/>
          <w:w w:val="95"/>
          <w:sz w:val="28"/>
          <w:szCs w:val="28"/>
        </w:rPr>
        <w:t>定详细的保障预案，开展一系列的应急保</w:t>
      </w:r>
      <w:r>
        <w:rPr>
          <w:rFonts w:ascii="宋体" w:hAnsi="宋体" w:cs="宋体" w:eastAsia="宋体" w:hint="default"/>
          <w:w w:val="99"/>
          <w:sz w:val="28"/>
          <w:szCs w:val="28"/>
        </w:rPr>
        <w:t> </w:t>
      </w:r>
      <w:r>
        <w:rPr>
          <w:rFonts w:ascii="宋体" w:hAnsi="宋体" w:cs="宋体" w:eastAsia="宋体" w:hint="default"/>
          <w:w w:val="95"/>
          <w:sz w:val="28"/>
          <w:szCs w:val="28"/>
        </w:rPr>
        <w:t>障演练。完成了阅兵村、天安门、长安街</w:t>
      </w:r>
      <w:r>
        <w:rPr>
          <w:rFonts w:ascii="宋体" w:hAnsi="宋体" w:cs="宋体" w:eastAsia="宋体" w:hint="default"/>
          <w:w w:val="99"/>
          <w:sz w:val="28"/>
          <w:szCs w:val="28"/>
        </w:rPr>
        <w:t> </w:t>
      </w:r>
      <w:r>
        <w:rPr>
          <w:rFonts w:ascii="宋体" w:hAnsi="宋体" w:cs="宋体" w:eastAsia="宋体" w:hint="default"/>
          <w:w w:val="95"/>
          <w:sz w:val="28"/>
          <w:szCs w:val="28"/>
        </w:rPr>
        <w:t>等地区的国庆临时通信设施的建设和保障</w:t>
      </w:r>
      <w:r>
        <w:rPr>
          <w:rFonts w:ascii="宋体" w:hAnsi="宋体" w:cs="宋体" w:eastAsia="宋体" w:hint="default"/>
          <w:w w:val="99"/>
          <w:sz w:val="28"/>
          <w:szCs w:val="28"/>
        </w:rPr>
        <w:t> </w:t>
      </w:r>
      <w:r>
        <w:rPr>
          <w:rFonts w:ascii="宋体" w:hAnsi="宋体" w:cs="宋体" w:eastAsia="宋体" w:hint="default"/>
          <w:spacing w:val="-4"/>
          <w:sz w:val="28"/>
          <w:szCs w:val="28"/>
        </w:rPr>
        <w:t>任务。协助阅兵、群众游行、联欢晚会、安全警卫、新闻宣传等指挥</w:t>
      </w:r>
      <w:r>
        <w:rPr>
          <w:rFonts w:ascii="宋体" w:hAnsi="宋体" w:cs="宋体" w:eastAsia="宋体" w:hint="default"/>
          <w:w w:val="99"/>
          <w:sz w:val="28"/>
          <w:szCs w:val="28"/>
        </w:rPr>
        <w:t> </w:t>
      </w:r>
      <w:r>
        <w:rPr>
          <w:rFonts w:ascii="宋体" w:hAnsi="宋体" w:cs="宋体" w:eastAsia="宋体" w:hint="default"/>
          <w:spacing w:val="-4"/>
          <w:sz w:val="28"/>
          <w:szCs w:val="28"/>
        </w:rPr>
        <w:t>部完成了通信保障方案的制定，并及时开通了全部所需业务。确保了</w:t>
      </w:r>
      <w:r>
        <w:rPr>
          <w:rFonts w:ascii="宋体" w:hAnsi="宋体" w:cs="宋体" w:eastAsia="宋体" w:hint="default"/>
          <w:w w:val="99"/>
          <w:sz w:val="28"/>
          <w:szCs w:val="28"/>
        </w:rPr>
        <w:t> </w:t>
      </w:r>
      <w:r>
        <w:rPr>
          <w:rFonts w:ascii="宋体" w:hAnsi="宋体" w:cs="宋体" w:eastAsia="宋体" w:hint="default"/>
          <w:spacing w:val="-4"/>
          <w:sz w:val="28"/>
          <w:szCs w:val="28"/>
        </w:rPr>
        <w:t>包括高清电视信号在内的各类媒体信息传送的畅通。圆满完成了几次</w:t>
      </w:r>
    </w:p>
    <w:p>
      <w:pPr>
        <w:spacing w:line="408" w:lineRule="auto" w:before="61"/>
        <w:ind w:left="681" w:right="3085" w:hanging="562"/>
        <w:jc w:val="left"/>
        <w:rPr>
          <w:rFonts w:ascii="宋体" w:hAnsi="宋体" w:cs="宋体" w:eastAsia="宋体" w:hint="default"/>
          <w:sz w:val="28"/>
          <w:szCs w:val="28"/>
        </w:rPr>
      </w:pPr>
      <w:r>
        <w:rPr/>
        <w:pict>
          <v:shape style="position:absolute;margin-left:332.999969pt;margin-top:37.791302pt;width:171.338562pt;height:140.399994pt;mso-position-horizontal-relative:page;mso-position-vertical-relative:paragraph;z-index:-909496" type="#_x0000_t75" stroked="false">
            <v:imagedata r:id="rId227" o:title=""/>
          </v:shape>
        </w:pict>
      </w:r>
      <w:r>
        <w:rPr>
          <w:rFonts w:ascii="宋体" w:hAnsi="宋体" w:cs="宋体" w:eastAsia="宋体" w:hint="default"/>
          <w:sz w:val="28"/>
          <w:szCs w:val="28"/>
        </w:rPr>
        <w:t>演练任务和庆祝活动的各项通信保障工作。</w:t>
      </w:r>
      <w:r>
        <w:rPr>
          <w:rFonts w:ascii="宋体" w:hAnsi="宋体" w:cs="宋体" w:eastAsia="宋体" w:hint="default"/>
          <w:w w:val="99"/>
          <w:sz w:val="28"/>
          <w:szCs w:val="28"/>
        </w:rPr>
        <w:t> </w:t>
      </w:r>
      <w:r>
        <w:rPr>
          <w:rFonts w:ascii="宋体" w:hAnsi="宋体" w:cs="宋体" w:eastAsia="宋体" w:hint="default"/>
          <w:spacing w:val="-6"/>
          <w:sz w:val="28"/>
          <w:szCs w:val="28"/>
        </w:rPr>
        <w:t>庆祝活动期间，中国联通共投入保</w:t>
      </w:r>
    </w:p>
    <w:p>
      <w:pPr>
        <w:spacing w:line="408" w:lineRule="auto" w:before="61"/>
        <w:ind w:left="120" w:right="0" w:firstLine="0"/>
        <w:jc w:val="left"/>
        <w:rPr>
          <w:rFonts w:ascii="宋体" w:hAnsi="宋体" w:cs="宋体" w:eastAsia="宋体" w:hint="default"/>
          <w:sz w:val="28"/>
          <w:szCs w:val="28"/>
        </w:rPr>
      </w:pPr>
      <w:r>
        <w:rPr/>
        <w:pict>
          <v:shape style="position:absolute;margin-left:90pt;margin-top:248.384567pt;width:171.338562pt;height:125.939987pt;mso-position-horizontal-relative:page;mso-position-vertical-relative:paragraph;z-index:-909472" type="#_x0000_t75" stroked="false">
            <v:imagedata r:id="rId228" o:title=""/>
          </v:shape>
        </w:pict>
      </w:r>
      <w:r>
        <w:rPr>
          <w:rFonts w:ascii="宋体" w:hAnsi="宋体" w:cs="宋体" w:eastAsia="宋体" w:hint="default"/>
          <w:sz w:val="28"/>
          <w:szCs w:val="28"/>
        </w:rPr>
        <w:t>障人员1880人，车辆192辆。其中，持</w:t>
      </w:r>
      <w:r>
        <w:rPr>
          <w:rFonts w:ascii="宋体" w:hAnsi="宋体" w:cs="宋体" w:eastAsia="宋体" w:hint="default"/>
          <w:w w:val="99"/>
          <w:sz w:val="28"/>
          <w:szCs w:val="28"/>
        </w:rPr>
        <w:t> </w:t>
      </w:r>
      <w:r>
        <w:rPr>
          <w:rFonts w:ascii="宋体" w:hAnsi="宋体" w:cs="宋体" w:eastAsia="宋体" w:hint="default"/>
          <w:sz w:val="28"/>
          <w:szCs w:val="28"/>
        </w:rPr>
        <w:t>证参加演练现场通信服务保障人员共</w:t>
      </w:r>
      <w:r>
        <w:rPr>
          <w:rFonts w:ascii="宋体" w:hAnsi="宋体" w:cs="宋体" w:eastAsia="宋体" w:hint="default"/>
          <w:w w:val="99"/>
          <w:sz w:val="28"/>
          <w:szCs w:val="28"/>
        </w:rPr>
        <w:t> </w:t>
      </w:r>
      <w:r>
        <w:rPr>
          <w:rFonts w:ascii="宋体" w:hAnsi="宋体" w:cs="宋体" w:eastAsia="宋体" w:hint="default"/>
          <w:sz w:val="28"/>
          <w:szCs w:val="28"/>
        </w:rPr>
        <w:t>计656人，车辆53辆，包括在活动核心</w:t>
      </w:r>
      <w:r>
        <w:rPr>
          <w:rFonts w:ascii="宋体" w:hAnsi="宋体" w:cs="宋体" w:eastAsia="宋体" w:hint="default"/>
          <w:w w:val="99"/>
          <w:sz w:val="28"/>
          <w:szCs w:val="28"/>
        </w:rPr>
        <w:t> </w:t>
      </w:r>
      <w:r>
        <w:rPr>
          <w:rFonts w:ascii="宋体" w:hAnsi="宋体" w:cs="宋体" w:eastAsia="宋体" w:hint="default"/>
          <w:sz w:val="28"/>
          <w:szCs w:val="28"/>
        </w:rPr>
        <w:t>区内部署的移动应急通信车2辆。为市</w:t>
      </w:r>
      <w:r>
        <w:rPr>
          <w:rFonts w:ascii="宋体" w:hAnsi="宋体" w:cs="宋体" w:eastAsia="宋体" w:hint="default"/>
          <w:w w:val="99"/>
          <w:sz w:val="28"/>
          <w:szCs w:val="28"/>
        </w:rPr>
        <w:t> </w:t>
      </w:r>
      <w:r>
        <w:rPr>
          <w:rFonts w:ascii="宋体" w:hAnsi="宋体" w:cs="宋体" w:eastAsia="宋体" w:hint="default"/>
          <w:spacing w:val="-4"/>
          <w:sz w:val="28"/>
          <w:szCs w:val="28"/>
        </w:rPr>
        <w:t>国庆调度中心、阅兵指挥部、群众游行指挥部、联欢晚会指挥部、安</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4"/>
          <w:sz w:val="28"/>
          <w:szCs w:val="28"/>
        </w:rPr>
        <w:t>全警卫指挥部、新闻宣传指挥部以及新华社、中央电视台等国内外媒</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体，共22家单位提供了可靠的通信服务和保障。共计开通通信业务</w:t>
      </w:r>
      <w:r>
        <w:rPr>
          <w:rFonts w:ascii="宋体" w:hAnsi="宋体" w:cs="宋体" w:eastAsia="宋体" w:hint="default"/>
          <w:w w:val="99"/>
          <w:sz w:val="28"/>
          <w:szCs w:val="28"/>
        </w:rPr>
        <w:t> </w:t>
      </w:r>
      <w:r>
        <w:rPr>
          <w:rFonts w:ascii="宋体" w:hAnsi="宋体" w:cs="宋体" w:eastAsia="宋体" w:hint="default"/>
          <w:spacing w:val="-3"/>
          <w:sz w:val="28"/>
          <w:szCs w:val="28"/>
        </w:rPr>
        <w:t>2400项，包括光纤490芯、电话1422部、模拟专线（含磁石电话）357</w:t>
      </w:r>
    </w:p>
    <w:p>
      <w:pPr>
        <w:spacing w:line="408" w:lineRule="auto" w:before="61"/>
        <w:ind w:left="3720" w:right="115" w:firstLine="0"/>
        <w:jc w:val="both"/>
        <w:rPr>
          <w:rFonts w:ascii="宋体" w:hAnsi="宋体" w:cs="宋体" w:eastAsia="宋体" w:hint="default"/>
          <w:sz w:val="28"/>
          <w:szCs w:val="28"/>
        </w:rPr>
      </w:pPr>
      <w:r>
        <w:rPr>
          <w:rFonts w:ascii="宋体" w:hAnsi="宋体" w:cs="宋体" w:eastAsia="宋体" w:hint="default"/>
          <w:sz w:val="28"/>
          <w:szCs w:val="28"/>
        </w:rPr>
        <w:t>条、互联网电路6条、数字电路16条、</w:t>
      </w:r>
      <w:r>
        <w:rPr>
          <w:rFonts w:ascii="宋体" w:hAnsi="宋体" w:cs="宋体" w:eastAsia="宋体" w:hint="default"/>
          <w:w w:val="99"/>
          <w:sz w:val="28"/>
          <w:szCs w:val="28"/>
        </w:rPr>
        <w:t> </w:t>
      </w:r>
      <w:r>
        <w:rPr>
          <w:rFonts w:ascii="宋体" w:hAnsi="宋体" w:cs="宋体" w:eastAsia="宋体" w:hint="default"/>
          <w:spacing w:val="-3"/>
          <w:sz w:val="28"/>
          <w:szCs w:val="28"/>
        </w:rPr>
        <w:t>ADSL93条及ISDN16条；开通中央电视台</w:t>
      </w:r>
      <w:r>
        <w:rPr>
          <w:rFonts w:ascii="宋体" w:hAnsi="宋体" w:cs="宋体" w:eastAsia="宋体" w:hint="default"/>
          <w:spacing w:val="-132"/>
          <w:sz w:val="28"/>
          <w:szCs w:val="28"/>
        </w:rPr>
        <w:t> </w:t>
      </w:r>
      <w:r>
        <w:rPr>
          <w:rFonts w:ascii="宋体" w:hAnsi="宋体" w:cs="宋体" w:eastAsia="宋体" w:hint="default"/>
          <w:spacing w:val="-132"/>
          <w:sz w:val="28"/>
          <w:szCs w:val="28"/>
        </w:rPr>
      </w:r>
      <w:r>
        <w:rPr>
          <w:rFonts w:ascii="宋体" w:hAnsi="宋体" w:cs="宋体" w:eastAsia="宋体" w:hint="default"/>
          <w:spacing w:val="-3"/>
          <w:sz w:val="28"/>
          <w:szCs w:val="28"/>
        </w:rPr>
        <w:t>电视传输通路90路，反送电视传输通路</w:t>
      </w:r>
    </w:p>
    <w:p>
      <w:pPr>
        <w:spacing w:after="0" w:line="408" w:lineRule="auto"/>
        <w:jc w:val="both"/>
        <w:rPr>
          <w:rFonts w:ascii="宋体" w:hAnsi="宋体" w:cs="宋体" w:eastAsia="宋体" w:hint="default"/>
          <w:sz w:val="28"/>
          <w:szCs w:val="28"/>
        </w:rPr>
        <w:sectPr>
          <w:headerReference w:type="default" r:id="rId224"/>
          <w:footerReference w:type="default" r:id="rId225"/>
          <w:pgSz w:w="11910" w:h="16840"/>
          <w:pgMar w:header="0" w:footer="982" w:top="1540" w:bottom="1180" w:left="1680" w:right="1680"/>
          <w:pgNumType w:start="26"/>
        </w:sectPr>
      </w:pPr>
    </w:p>
    <w:p>
      <w:pPr>
        <w:pStyle w:val="Heading7"/>
        <w:spacing w:line="351" w:lineRule="exact"/>
        <w:ind w:right="84"/>
        <w:jc w:val="left"/>
      </w:pPr>
      <w:r>
        <w:rPr/>
        <w:t>17路，每路各传输8小时；开通焰火燃放会议电话主、备用系统共12</w:t>
      </w:r>
    </w:p>
    <w:p>
      <w:pPr>
        <w:spacing w:line="240" w:lineRule="auto" w:before="9"/>
        <w:rPr>
          <w:rFonts w:ascii="宋体" w:hAnsi="宋体" w:cs="宋体" w:eastAsia="宋体" w:hint="default"/>
          <w:sz w:val="19"/>
          <w:szCs w:val="19"/>
        </w:rPr>
      </w:pPr>
    </w:p>
    <w:p>
      <w:pPr>
        <w:spacing w:line="408" w:lineRule="auto" w:before="0"/>
        <w:ind w:left="120" w:right="186" w:firstLine="0"/>
        <w:jc w:val="left"/>
        <w:rPr>
          <w:rFonts w:ascii="宋体" w:hAnsi="宋体" w:cs="宋体" w:eastAsia="宋体" w:hint="default"/>
          <w:sz w:val="28"/>
          <w:szCs w:val="28"/>
        </w:rPr>
      </w:pPr>
      <w:r>
        <w:rPr>
          <w:rFonts w:ascii="宋体" w:hAnsi="宋体" w:cs="宋体" w:eastAsia="宋体" w:hint="default"/>
          <w:spacing w:val="-3"/>
          <w:sz w:val="28"/>
          <w:szCs w:val="28"/>
        </w:rPr>
        <w:t>组，共计851方，47297分钟，保证了晚会全程焰火燃放点火系统通信</w:t>
      </w:r>
      <w:r>
        <w:rPr>
          <w:rFonts w:ascii="宋体" w:hAnsi="宋体" w:cs="宋体" w:eastAsia="宋体" w:hint="default"/>
          <w:w w:val="99"/>
          <w:sz w:val="28"/>
          <w:szCs w:val="28"/>
        </w:rPr>
        <w:t> </w:t>
      </w:r>
      <w:r>
        <w:rPr>
          <w:rFonts w:ascii="宋体" w:hAnsi="宋体" w:cs="宋体" w:eastAsia="宋体" w:hint="default"/>
          <w:sz w:val="28"/>
          <w:szCs w:val="28"/>
        </w:rPr>
        <w:t>畅通。</w:t>
      </w:r>
    </w:p>
    <w:p>
      <w:pPr>
        <w:spacing w:line="408" w:lineRule="auto" w:before="61"/>
        <w:ind w:left="119" w:right="103" w:firstLine="560"/>
        <w:jc w:val="both"/>
        <w:rPr>
          <w:rFonts w:ascii="宋体" w:hAnsi="宋体" w:cs="宋体" w:eastAsia="宋体" w:hint="default"/>
          <w:sz w:val="28"/>
          <w:szCs w:val="28"/>
        </w:rPr>
      </w:pPr>
      <w:r>
        <w:rPr>
          <w:rFonts w:ascii="宋体" w:hAnsi="宋体" w:cs="宋体" w:eastAsia="宋体" w:hint="default"/>
          <w:sz w:val="28"/>
          <w:szCs w:val="28"/>
        </w:rPr>
        <w:t>国庆期间，固定通信网、移动通信网运行平稳，网络信息安全，</w:t>
      </w:r>
      <w:r>
        <w:rPr>
          <w:rFonts w:ascii="宋体" w:hAnsi="宋体" w:cs="宋体" w:eastAsia="宋体" w:hint="default"/>
          <w:w w:val="99"/>
          <w:sz w:val="28"/>
          <w:szCs w:val="28"/>
        </w:rPr>
        <w:t> </w:t>
      </w:r>
      <w:r>
        <w:rPr>
          <w:rFonts w:ascii="宋体" w:hAnsi="宋体" w:cs="宋体" w:eastAsia="宋体" w:hint="default"/>
          <w:sz w:val="28"/>
          <w:szCs w:val="28"/>
        </w:rPr>
        <w:t>全网话务量、网络流量以及各项关键指标正常。</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3"/>
        <w:rPr>
          <w:rFonts w:ascii="宋体" w:hAnsi="宋体" w:cs="宋体" w:eastAsia="宋体" w:hint="default"/>
          <w:sz w:val="39"/>
          <w:szCs w:val="39"/>
        </w:rPr>
      </w:pPr>
    </w:p>
    <w:p>
      <w:pPr>
        <w:spacing w:before="0"/>
        <w:ind w:left="120" w:right="84" w:firstLine="0"/>
        <w:jc w:val="left"/>
        <w:rPr>
          <w:rFonts w:ascii="黑体" w:hAnsi="黑体" w:cs="黑体" w:eastAsia="黑体" w:hint="default"/>
          <w:sz w:val="36"/>
          <w:szCs w:val="36"/>
        </w:rPr>
      </w:pPr>
      <w:r>
        <w:rPr>
          <w:rFonts w:ascii="黑体" w:hAnsi="黑体" w:cs="黑体" w:eastAsia="黑体" w:hint="default"/>
          <w:b/>
          <w:bCs/>
          <w:sz w:val="36"/>
          <w:szCs w:val="36"/>
        </w:rPr>
        <w:t>为第十一届全运会提供通信支撑</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spacing w:line="408" w:lineRule="auto" w:before="0"/>
        <w:ind w:left="119" w:right="196" w:firstLine="560"/>
        <w:jc w:val="both"/>
        <w:rPr>
          <w:rFonts w:ascii="宋体" w:hAnsi="宋体" w:cs="宋体" w:eastAsia="宋体" w:hint="default"/>
          <w:sz w:val="28"/>
          <w:szCs w:val="28"/>
        </w:rPr>
      </w:pPr>
      <w:r>
        <w:rPr>
          <w:rFonts w:ascii="宋体" w:hAnsi="宋体" w:cs="宋体" w:eastAsia="宋体" w:hint="default"/>
          <w:spacing w:val="-3"/>
          <w:sz w:val="28"/>
          <w:szCs w:val="28"/>
        </w:rPr>
        <w:t>第十一届全运会已于2009年10月28日在山东圆满结束，本届全运</w:t>
      </w:r>
      <w:r>
        <w:rPr>
          <w:rFonts w:ascii="宋体" w:hAnsi="宋体" w:cs="宋体" w:eastAsia="宋体" w:hint="default"/>
          <w:w w:val="99"/>
          <w:sz w:val="28"/>
          <w:szCs w:val="28"/>
        </w:rPr>
        <w:t> </w:t>
      </w:r>
      <w:r>
        <w:rPr>
          <w:rFonts w:ascii="宋体" w:hAnsi="宋体" w:cs="宋体" w:eastAsia="宋体" w:hint="default"/>
          <w:spacing w:val="-3"/>
          <w:sz w:val="28"/>
          <w:szCs w:val="28"/>
        </w:rPr>
        <w:t>会适逢共和国成立60周年、全运会创办50周年，是北京奥运会后第一</w:t>
      </w:r>
      <w:r>
        <w:rPr>
          <w:rFonts w:ascii="宋体" w:hAnsi="宋体" w:cs="宋体" w:eastAsia="宋体" w:hint="default"/>
          <w:w w:val="99"/>
          <w:sz w:val="28"/>
          <w:szCs w:val="28"/>
        </w:rPr>
        <w:t> </w:t>
      </w:r>
      <w:r>
        <w:rPr>
          <w:rFonts w:ascii="宋体" w:hAnsi="宋体" w:cs="宋体" w:eastAsia="宋体" w:hint="default"/>
          <w:spacing w:val="-4"/>
          <w:sz w:val="28"/>
          <w:szCs w:val="28"/>
        </w:rPr>
        <w:t>个全国体育盛会。中国联通按照第十一届全运会组委会和相关政府部</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门的总体部署，按照全运会通信保障的服务理念和总体工作目标，努</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力实现“五个确保”，即：确保为第十一届全运会提供高质量的通信</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4"/>
          <w:sz w:val="28"/>
          <w:szCs w:val="28"/>
        </w:rPr>
        <w:t>保障、确保通信网络安全运行、确保信息安全管理有效、确保应急处</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置快速高效、确保为公众提供优质的通信服务。</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spacing w:line="3120" w:lineRule="exact"/>
        <w:ind w:left="300" w:right="0" w:firstLine="0"/>
        <w:rPr>
          <w:rFonts w:ascii="宋体" w:hAnsi="宋体" w:cs="宋体" w:eastAsia="宋体" w:hint="default"/>
          <w:sz w:val="20"/>
          <w:szCs w:val="20"/>
        </w:rPr>
      </w:pPr>
      <w:r>
        <w:rPr>
          <w:rFonts w:ascii="宋体" w:hAnsi="宋体" w:cs="宋体" w:eastAsia="宋体" w:hint="default"/>
          <w:position w:val="-61"/>
          <w:sz w:val="20"/>
          <w:szCs w:val="20"/>
        </w:rPr>
        <w:pict>
          <v:shape style="width:396pt;height:156pt;mso-position-horizontal-relative:char;mso-position-vertical-relative:line" type="#_x0000_t202" filled="true" fillcolor="#ffcccc" stroked="true" strokeweight=".75pt" strokecolor="#ffccff">
            <w10:anchorlock/>
            <v:textbox inset="0,0,0,0">
              <w:txbxContent>
                <w:p>
                  <w:pPr>
                    <w:spacing w:before="113"/>
                    <w:ind w:left="144" w:right="0"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全运会期间，中国联通圆满完成 2668</w:t>
                  </w:r>
                  <w:r>
                    <w:rPr>
                      <w:rFonts w:ascii="宋体" w:hAnsi="宋体" w:cs="宋体" w:eastAsia="宋体" w:hint="default"/>
                      <w:spacing w:val="-94"/>
                      <w:sz w:val="24"/>
                      <w:szCs w:val="24"/>
                    </w:rPr>
                    <w:t> </w:t>
                  </w:r>
                  <w:r>
                    <w:rPr>
                      <w:rFonts w:ascii="宋体" w:hAnsi="宋体" w:cs="宋体" w:eastAsia="宋体" w:hint="default"/>
                      <w:sz w:val="24"/>
                      <w:szCs w:val="24"/>
                    </w:rPr>
                    <w:t>场比赛的通信保障任务。企业领</w:t>
                  </w:r>
                </w:p>
                <w:p>
                  <w:pPr>
                    <w:spacing w:before="154"/>
                    <w:ind w:left="144" w:right="0" w:firstLine="0"/>
                    <w:jc w:val="left"/>
                    <w:rPr>
                      <w:rFonts w:ascii="宋体" w:hAnsi="宋体" w:cs="宋体" w:eastAsia="宋体" w:hint="default"/>
                      <w:sz w:val="24"/>
                      <w:szCs w:val="24"/>
                    </w:rPr>
                  </w:pPr>
                  <w:r>
                    <w:rPr>
                      <w:rFonts w:ascii="宋体" w:hAnsi="宋体" w:cs="宋体" w:eastAsia="宋体" w:hint="default"/>
                      <w:sz w:val="24"/>
                      <w:szCs w:val="24"/>
                    </w:rPr>
                    <w:t>导带班</w:t>
                  </w:r>
                  <w:r>
                    <w:rPr>
                      <w:rFonts w:ascii="宋体" w:hAnsi="宋体" w:cs="宋体" w:eastAsia="宋体" w:hint="default"/>
                      <w:spacing w:val="-59"/>
                      <w:sz w:val="24"/>
                      <w:szCs w:val="24"/>
                    </w:rPr>
                    <w:t> </w:t>
                  </w:r>
                  <w:r>
                    <w:rPr>
                      <w:rFonts w:ascii="宋体" w:hAnsi="宋体" w:cs="宋体" w:eastAsia="宋体" w:hint="default"/>
                      <w:sz w:val="24"/>
                      <w:szCs w:val="24"/>
                    </w:rPr>
                    <w:t>7185</w:t>
                  </w:r>
                  <w:r>
                    <w:rPr>
                      <w:rFonts w:ascii="宋体" w:hAnsi="宋体" w:cs="宋体" w:eastAsia="宋体" w:hint="default"/>
                      <w:spacing w:val="-59"/>
                      <w:sz w:val="24"/>
                      <w:szCs w:val="24"/>
                    </w:rPr>
                    <w:t> </w:t>
                  </w:r>
                  <w:r>
                    <w:rPr>
                      <w:rFonts w:ascii="宋体" w:hAnsi="宋体" w:cs="宋体" w:eastAsia="宋体" w:hint="default"/>
                      <w:spacing w:val="-4"/>
                      <w:sz w:val="24"/>
                      <w:szCs w:val="24"/>
                    </w:rPr>
                    <w:t>人次、工作人员值班</w:t>
                  </w:r>
                  <w:r>
                    <w:rPr>
                      <w:rFonts w:ascii="宋体" w:hAnsi="宋体" w:cs="宋体" w:eastAsia="宋体" w:hint="default"/>
                      <w:spacing w:val="-59"/>
                      <w:sz w:val="24"/>
                      <w:szCs w:val="24"/>
                    </w:rPr>
                    <w:t> </w:t>
                  </w:r>
                  <w:r>
                    <w:rPr>
                      <w:rFonts w:ascii="宋体" w:hAnsi="宋体" w:cs="宋体" w:eastAsia="宋体" w:hint="default"/>
                      <w:sz w:val="24"/>
                      <w:szCs w:val="24"/>
                    </w:rPr>
                    <w:t>61719</w:t>
                  </w:r>
                  <w:r>
                    <w:rPr>
                      <w:rFonts w:ascii="宋体" w:hAnsi="宋体" w:cs="宋体" w:eastAsia="宋体" w:hint="default"/>
                      <w:spacing w:val="-59"/>
                      <w:sz w:val="24"/>
                      <w:szCs w:val="24"/>
                    </w:rPr>
                    <w:t> </w:t>
                  </w:r>
                  <w:r>
                    <w:rPr>
                      <w:rFonts w:ascii="宋体" w:hAnsi="宋体" w:cs="宋体" w:eastAsia="宋体" w:hint="default"/>
                      <w:spacing w:val="-4"/>
                      <w:sz w:val="24"/>
                      <w:szCs w:val="24"/>
                    </w:rPr>
                    <w:t>人次、现场驻场服务</w:t>
                  </w:r>
                  <w:r>
                    <w:rPr>
                      <w:rFonts w:ascii="宋体" w:hAnsi="宋体" w:cs="宋体" w:eastAsia="宋体" w:hint="default"/>
                      <w:spacing w:val="-59"/>
                      <w:sz w:val="24"/>
                      <w:szCs w:val="24"/>
                    </w:rPr>
                    <w:t> </w:t>
                  </w:r>
                  <w:r>
                    <w:rPr>
                      <w:rFonts w:ascii="宋体" w:hAnsi="宋体" w:cs="宋体" w:eastAsia="宋体" w:hint="default"/>
                      <w:sz w:val="24"/>
                      <w:szCs w:val="24"/>
                    </w:rPr>
                    <w:t>13822</w:t>
                  </w:r>
                  <w:r>
                    <w:rPr>
                      <w:rFonts w:ascii="宋体" w:hAnsi="宋体" w:cs="宋体" w:eastAsia="宋体" w:hint="default"/>
                      <w:spacing w:val="-59"/>
                      <w:sz w:val="24"/>
                      <w:szCs w:val="24"/>
                    </w:rPr>
                    <w:t> </w:t>
                  </w:r>
                  <w:r>
                    <w:rPr>
                      <w:rFonts w:ascii="宋体" w:hAnsi="宋体" w:cs="宋体" w:eastAsia="宋体" w:hint="default"/>
                      <w:sz w:val="24"/>
                      <w:szCs w:val="24"/>
                    </w:rPr>
                    <w:t>人次，</w:t>
                  </w:r>
                </w:p>
                <w:p>
                  <w:pPr>
                    <w:spacing w:before="154"/>
                    <w:ind w:left="144" w:right="0" w:firstLine="0"/>
                    <w:jc w:val="left"/>
                    <w:rPr>
                      <w:rFonts w:ascii="宋体" w:hAnsi="宋体" w:cs="宋体" w:eastAsia="宋体" w:hint="default"/>
                      <w:sz w:val="24"/>
                      <w:szCs w:val="24"/>
                    </w:rPr>
                  </w:pPr>
                  <w:r>
                    <w:rPr>
                      <w:rFonts w:ascii="宋体" w:hAnsi="宋体" w:cs="宋体" w:eastAsia="宋体" w:hint="default"/>
                      <w:sz w:val="24"/>
                      <w:szCs w:val="24"/>
                    </w:rPr>
                    <w:t>共为全运村安装固定电话</w:t>
                  </w:r>
                  <w:r>
                    <w:rPr>
                      <w:rFonts w:ascii="宋体" w:hAnsi="宋体" w:cs="宋体" w:eastAsia="宋体" w:hint="default"/>
                      <w:spacing w:val="-60"/>
                      <w:sz w:val="24"/>
                      <w:szCs w:val="24"/>
                    </w:rPr>
                    <w:t> </w:t>
                  </w:r>
                  <w:r>
                    <w:rPr>
                      <w:rFonts w:ascii="宋体" w:hAnsi="宋体" w:cs="宋体" w:eastAsia="宋体" w:hint="default"/>
                      <w:sz w:val="24"/>
                      <w:szCs w:val="24"/>
                    </w:rPr>
                    <w:t>3374</w:t>
                  </w:r>
                  <w:r>
                    <w:rPr>
                      <w:rFonts w:ascii="宋体" w:hAnsi="宋体" w:cs="宋体" w:eastAsia="宋体" w:hint="default"/>
                      <w:spacing w:val="-60"/>
                      <w:sz w:val="24"/>
                      <w:szCs w:val="24"/>
                    </w:rPr>
                    <w:t> </w:t>
                  </w:r>
                  <w:r>
                    <w:rPr>
                      <w:rFonts w:ascii="宋体" w:hAnsi="宋体" w:cs="宋体" w:eastAsia="宋体" w:hint="default"/>
                      <w:spacing w:val="-9"/>
                      <w:sz w:val="24"/>
                      <w:szCs w:val="24"/>
                    </w:rPr>
                    <w:t>部，宽带信息点</w:t>
                  </w:r>
                  <w:r>
                    <w:rPr>
                      <w:rFonts w:ascii="宋体" w:hAnsi="宋体" w:cs="宋体" w:eastAsia="宋体" w:hint="default"/>
                      <w:spacing w:val="1"/>
                      <w:sz w:val="24"/>
                      <w:szCs w:val="24"/>
                    </w:rPr>
                    <w:t> </w:t>
                  </w:r>
                  <w:r>
                    <w:rPr>
                      <w:rFonts w:ascii="宋体" w:hAnsi="宋体" w:cs="宋体" w:eastAsia="宋体" w:hint="default"/>
                      <w:sz w:val="24"/>
                      <w:szCs w:val="24"/>
                    </w:rPr>
                    <w:t>16888</w:t>
                  </w:r>
                  <w:r>
                    <w:rPr>
                      <w:rFonts w:ascii="宋体" w:hAnsi="宋体" w:cs="宋体" w:eastAsia="宋体" w:hint="default"/>
                      <w:spacing w:val="-60"/>
                      <w:sz w:val="24"/>
                      <w:szCs w:val="24"/>
                    </w:rPr>
                    <w:t> </w:t>
                  </w:r>
                  <w:r>
                    <w:rPr>
                      <w:rFonts w:ascii="宋体" w:hAnsi="宋体" w:cs="宋体" w:eastAsia="宋体" w:hint="default"/>
                      <w:spacing w:val="-11"/>
                      <w:sz w:val="24"/>
                      <w:szCs w:val="24"/>
                    </w:rPr>
                    <w:t>个，新建基站</w:t>
                  </w:r>
                  <w:r>
                    <w:rPr>
                      <w:rFonts w:ascii="宋体" w:hAnsi="宋体" w:cs="宋体" w:eastAsia="宋体" w:hint="default"/>
                      <w:spacing w:val="-60"/>
                      <w:sz w:val="24"/>
                      <w:szCs w:val="24"/>
                    </w:rPr>
                    <w:t> </w:t>
                  </w:r>
                  <w:r>
                    <w:rPr>
                      <w:rFonts w:ascii="宋体" w:hAnsi="宋体" w:cs="宋体" w:eastAsia="宋体" w:hint="default"/>
                      <w:sz w:val="24"/>
                      <w:szCs w:val="24"/>
                    </w:rPr>
                    <w:t>2</w:t>
                  </w:r>
                  <w:r>
                    <w:rPr>
                      <w:rFonts w:ascii="宋体" w:hAnsi="宋体" w:cs="宋体" w:eastAsia="宋体" w:hint="default"/>
                      <w:spacing w:val="-60"/>
                      <w:sz w:val="24"/>
                      <w:szCs w:val="24"/>
                    </w:rPr>
                    <w:t> </w:t>
                  </w:r>
                  <w:r>
                    <w:rPr>
                      <w:rFonts w:ascii="宋体" w:hAnsi="宋体" w:cs="宋体" w:eastAsia="宋体" w:hint="default"/>
                      <w:sz w:val="24"/>
                      <w:szCs w:val="24"/>
                    </w:rPr>
                    <w:t>处，</w:t>
                  </w:r>
                </w:p>
                <w:p>
                  <w:pPr>
                    <w:spacing w:before="154"/>
                    <w:ind w:left="144" w:right="0" w:firstLine="0"/>
                    <w:jc w:val="left"/>
                    <w:rPr>
                      <w:rFonts w:ascii="宋体" w:hAnsi="宋体" w:cs="宋体" w:eastAsia="宋体" w:hint="default"/>
                      <w:sz w:val="24"/>
                      <w:szCs w:val="24"/>
                    </w:rPr>
                  </w:pPr>
                  <w:r>
                    <w:rPr>
                      <w:rFonts w:ascii="宋体" w:hAnsi="宋体" w:cs="宋体" w:eastAsia="宋体" w:hint="default"/>
                      <w:sz w:val="24"/>
                      <w:szCs w:val="24"/>
                    </w:rPr>
                    <w:t>在</w:t>
                  </w:r>
                  <w:r>
                    <w:rPr>
                      <w:rFonts w:ascii="宋体" w:hAnsi="宋体" w:cs="宋体" w:eastAsia="宋体" w:hint="default"/>
                      <w:spacing w:val="-52"/>
                      <w:sz w:val="24"/>
                      <w:szCs w:val="24"/>
                    </w:rPr>
                    <w:t> </w:t>
                  </w:r>
                  <w:r>
                    <w:rPr>
                      <w:rFonts w:ascii="宋体" w:hAnsi="宋体" w:cs="宋体" w:eastAsia="宋体" w:hint="default"/>
                      <w:sz w:val="24"/>
                      <w:szCs w:val="24"/>
                    </w:rPr>
                    <w:t>102</w:t>
                  </w:r>
                  <w:r>
                    <w:rPr>
                      <w:rFonts w:ascii="宋体" w:hAnsi="宋体" w:cs="宋体" w:eastAsia="宋体" w:hint="default"/>
                      <w:spacing w:val="-52"/>
                      <w:sz w:val="24"/>
                      <w:szCs w:val="24"/>
                    </w:rPr>
                    <w:t> </w:t>
                  </w:r>
                  <w:r>
                    <w:rPr>
                      <w:rFonts w:ascii="宋体" w:hAnsi="宋体" w:cs="宋体" w:eastAsia="宋体" w:hint="default"/>
                      <w:spacing w:val="-3"/>
                      <w:sz w:val="24"/>
                      <w:szCs w:val="24"/>
                    </w:rPr>
                    <w:t>部电梯和所有地下室内都安装了小型室内天线。中国联通的全运村</w:t>
                  </w:r>
                  <w:r>
                    <w:rPr>
                      <w:rFonts w:ascii="宋体" w:hAnsi="宋体" w:cs="宋体" w:eastAsia="宋体" w:hint="default"/>
                      <w:sz w:val="24"/>
                      <w:szCs w:val="24"/>
                    </w:rPr>
                  </w:r>
                </w:p>
                <w:p>
                  <w:pPr>
                    <w:spacing w:before="154"/>
                    <w:ind w:left="144" w:right="0" w:firstLine="0"/>
                    <w:jc w:val="left"/>
                    <w:rPr>
                      <w:rFonts w:ascii="宋体" w:hAnsi="宋体" w:cs="宋体" w:eastAsia="宋体" w:hint="default"/>
                      <w:sz w:val="24"/>
                      <w:szCs w:val="24"/>
                    </w:rPr>
                  </w:pPr>
                  <w:r>
                    <w:rPr>
                      <w:rFonts w:ascii="宋体" w:hAnsi="宋体" w:cs="宋体" w:eastAsia="宋体" w:hint="default"/>
                      <w:sz w:val="24"/>
                      <w:szCs w:val="24"/>
                    </w:rPr>
                    <w:t>通信保障团队，实行</w:t>
                  </w:r>
                  <w:r>
                    <w:rPr>
                      <w:rFonts w:ascii="宋体" w:hAnsi="宋体" w:cs="宋体" w:eastAsia="宋体" w:hint="default"/>
                      <w:spacing w:val="-46"/>
                      <w:sz w:val="24"/>
                      <w:szCs w:val="24"/>
                    </w:rPr>
                    <w:t> </w:t>
                  </w:r>
                  <w:r>
                    <w:rPr>
                      <w:rFonts w:ascii="宋体" w:hAnsi="宋体" w:cs="宋体" w:eastAsia="宋体" w:hint="default"/>
                      <w:sz w:val="24"/>
                      <w:szCs w:val="24"/>
                    </w:rPr>
                    <w:t>24</w:t>
                  </w:r>
                  <w:r>
                    <w:rPr>
                      <w:rFonts w:ascii="宋体" w:hAnsi="宋体" w:cs="宋体" w:eastAsia="宋体" w:hint="default"/>
                      <w:spacing w:val="-46"/>
                      <w:sz w:val="24"/>
                      <w:szCs w:val="24"/>
                    </w:rPr>
                    <w:t> </w:t>
                  </w:r>
                  <w:r>
                    <w:rPr>
                      <w:rFonts w:ascii="宋体" w:hAnsi="宋体" w:cs="宋体" w:eastAsia="宋体" w:hint="default"/>
                      <w:sz w:val="24"/>
                      <w:szCs w:val="24"/>
                    </w:rPr>
                    <w:t>小时值守，接到报障</w:t>
                  </w:r>
                  <w:r>
                    <w:rPr>
                      <w:rFonts w:ascii="宋体" w:hAnsi="宋体" w:cs="宋体" w:eastAsia="宋体" w:hint="default"/>
                      <w:spacing w:val="-46"/>
                      <w:sz w:val="24"/>
                      <w:szCs w:val="24"/>
                    </w:rPr>
                    <w:t> </w:t>
                  </w:r>
                  <w:r>
                    <w:rPr>
                      <w:rFonts w:ascii="宋体" w:hAnsi="宋体" w:cs="宋体" w:eastAsia="宋体" w:hint="default"/>
                      <w:sz w:val="24"/>
                      <w:szCs w:val="24"/>
                    </w:rPr>
                    <w:t>5</w:t>
                  </w:r>
                  <w:r>
                    <w:rPr>
                      <w:rFonts w:ascii="宋体" w:hAnsi="宋体" w:cs="宋体" w:eastAsia="宋体" w:hint="default"/>
                      <w:spacing w:val="-46"/>
                      <w:sz w:val="24"/>
                      <w:szCs w:val="24"/>
                    </w:rPr>
                    <w:t> </w:t>
                  </w:r>
                  <w:r>
                    <w:rPr>
                      <w:rFonts w:ascii="宋体" w:hAnsi="宋体" w:cs="宋体" w:eastAsia="宋体" w:hint="default"/>
                      <w:sz w:val="24"/>
                      <w:szCs w:val="24"/>
                    </w:rPr>
                    <w:t>分钟内赶到现场，共受理</w:t>
                  </w:r>
                </w:p>
                <w:p>
                  <w:pPr>
                    <w:spacing w:before="152"/>
                    <w:ind w:left="144" w:right="0" w:firstLine="0"/>
                    <w:jc w:val="left"/>
                    <w:rPr>
                      <w:rFonts w:ascii="宋体" w:hAnsi="宋体" w:cs="宋体" w:eastAsia="宋体" w:hint="default"/>
                      <w:sz w:val="24"/>
                      <w:szCs w:val="24"/>
                    </w:rPr>
                  </w:pPr>
                  <w:r>
                    <w:rPr>
                      <w:rFonts w:ascii="宋体" w:hAnsi="宋体" w:cs="宋体" w:eastAsia="宋体" w:hint="default"/>
                      <w:sz w:val="24"/>
                      <w:szCs w:val="24"/>
                    </w:rPr>
                    <w:t>报障</w:t>
                  </w:r>
                  <w:r>
                    <w:rPr>
                      <w:rFonts w:ascii="宋体" w:hAnsi="宋体" w:cs="宋体" w:eastAsia="宋体" w:hint="default"/>
                      <w:spacing w:val="-60"/>
                      <w:sz w:val="24"/>
                      <w:szCs w:val="24"/>
                    </w:rPr>
                    <w:t> </w:t>
                  </w:r>
                  <w:r>
                    <w:rPr>
                      <w:rFonts w:ascii="宋体" w:hAnsi="宋体" w:cs="宋体" w:eastAsia="宋体" w:hint="default"/>
                      <w:sz w:val="24"/>
                      <w:szCs w:val="24"/>
                    </w:rPr>
                    <w:t>753</w:t>
                  </w:r>
                  <w:r>
                    <w:rPr>
                      <w:rFonts w:ascii="宋体" w:hAnsi="宋体" w:cs="宋体" w:eastAsia="宋体" w:hint="default"/>
                      <w:spacing w:val="-60"/>
                      <w:sz w:val="24"/>
                      <w:szCs w:val="24"/>
                    </w:rPr>
                    <w:t> </w:t>
                  </w:r>
                  <w:r>
                    <w:rPr>
                      <w:rFonts w:ascii="宋体" w:hAnsi="宋体" w:cs="宋体" w:eastAsia="宋体" w:hint="default"/>
                      <w:sz w:val="24"/>
                      <w:szCs w:val="24"/>
                    </w:rPr>
                    <w:t>件，满意率</w:t>
                  </w:r>
                  <w:r>
                    <w:rPr>
                      <w:rFonts w:ascii="宋体" w:hAnsi="宋体" w:cs="宋体" w:eastAsia="宋体" w:hint="default"/>
                      <w:spacing w:val="-60"/>
                      <w:sz w:val="24"/>
                      <w:szCs w:val="24"/>
                    </w:rPr>
                    <w:t> </w:t>
                  </w:r>
                  <w:r>
                    <w:rPr>
                      <w:rFonts w:ascii="宋体" w:hAnsi="宋体" w:cs="宋体" w:eastAsia="宋体" w:hint="default"/>
                      <w:sz w:val="24"/>
                      <w:szCs w:val="24"/>
                    </w:rPr>
                    <w:t>100% 。</w:t>
                  </w:r>
                </w:p>
              </w:txbxContent>
            </v:textbox>
            <v:fill type="solid"/>
          </v:shape>
        </w:pict>
      </w:r>
      <w:r>
        <w:rPr>
          <w:rFonts w:ascii="宋体" w:hAnsi="宋体" w:cs="宋体" w:eastAsia="宋体" w:hint="default"/>
          <w:position w:val="-61"/>
          <w:sz w:val="20"/>
          <w:szCs w:val="20"/>
        </w:rPr>
      </w:r>
    </w:p>
    <w:p>
      <w:pPr>
        <w:spacing w:after="0" w:line="3120" w:lineRule="exact"/>
        <w:rPr>
          <w:rFonts w:ascii="宋体" w:hAnsi="宋体" w:cs="宋体" w:eastAsia="宋体" w:hint="default"/>
          <w:sz w:val="20"/>
          <w:szCs w:val="20"/>
        </w:rPr>
        <w:sectPr>
          <w:headerReference w:type="default" r:id="rId229"/>
          <w:footerReference w:type="default" r:id="rId230"/>
          <w:pgSz w:w="11910" w:h="16840"/>
          <w:pgMar w:header="0" w:footer="982" w:top="1540" w:bottom="1180" w:left="1680" w:right="1600"/>
          <w:pgNumType w:start="27"/>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5"/>
          <w:szCs w:val="25"/>
        </w:rPr>
      </w:pPr>
    </w:p>
    <w:p>
      <w:pPr>
        <w:spacing w:line="460" w:lineRule="exact" w:before="0"/>
        <w:ind w:left="120" w:right="0" w:firstLine="0"/>
        <w:jc w:val="left"/>
        <w:rPr>
          <w:rFonts w:ascii="黑体" w:hAnsi="黑体" w:cs="黑体" w:eastAsia="黑体" w:hint="default"/>
          <w:sz w:val="36"/>
          <w:szCs w:val="36"/>
        </w:rPr>
      </w:pPr>
      <w:r>
        <w:rPr>
          <w:rFonts w:ascii="黑体" w:hAnsi="黑体" w:cs="黑体" w:eastAsia="黑体" w:hint="default"/>
          <w:b/>
          <w:bCs/>
          <w:sz w:val="36"/>
          <w:szCs w:val="36"/>
        </w:rPr>
        <w:t>冰冻灾害、抢险救灾中的通信保障</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pStyle w:val="Heading7"/>
        <w:spacing w:line="408" w:lineRule="auto"/>
        <w:ind w:left="119" w:right="0" w:firstLine="555"/>
        <w:jc w:val="left"/>
      </w:pPr>
      <w:r>
        <w:rPr>
          <w:spacing w:val="-4"/>
        </w:rPr>
        <w:t>灾害阻断不了通信的畅通，有通信需求的地方，就有联通人的身</w:t>
      </w:r>
      <w:r>
        <w:rPr>
          <w:w w:val="99"/>
        </w:rPr>
        <w:t> </w:t>
      </w:r>
      <w:r>
        <w:rPr/>
        <w:t>影。</w:t>
      </w:r>
    </w:p>
    <w:p>
      <w:pPr>
        <w:spacing w:line="240" w:lineRule="auto" w:before="0"/>
        <w:rPr>
          <w:rFonts w:ascii="宋体" w:hAnsi="宋体" w:cs="宋体" w:eastAsia="宋体" w:hint="default"/>
          <w:sz w:val="28"/>
          <w:szCs w:val="28"/>
        </w:rPr>
      </w:pPr>
    </w:p>
    <w:p>
      <w:pPr>
        <w:spacing w:line="240" w:lineRule="auto" w:before="3"/>
        <w:rPr>
          <w:rFonts w:ascii="宋体" w:hAnsi="宋体" w:cs="宋体" w:eastAsia="宋体" w:hint="default"/>
          <w:sz w:val="23"/>
          <w:szCs w:val="23"/>
        </w:rPr>
      </w:pPr>
    </w:p>
    <w:p>
      <w:pPr>
        <w:spacing w:before="0"/>
        <w:ind w:left="120" w:right="0" w:firstLine="0"/>
        <w:jc w:val="left"/>
        <w:rPr>
          <w:rFonts w:ascii="黑体" w:hAnsi="黑体" w:cs="黑体" w:eastAsia="黑体" w:hint="default"/>
          <w:sz w:val="30"/>
          <w:szCs w:val="30"/>
        </w:rPr>
      </w:pPr>
      <w:r>
        <w:rPr>
          <w:rFonts w:ascii="黑体" w:hAnsi="黑体" w:cs="黑体" w:eastAsia="黑体" w:hint="default"/>
          <w:b/>
          <w:bCs/>
          <w:sz w:val="30"/>
          <w:szCs w:val="30"/>
        </w:rPr>
        <w:t>在寒流袭击的呼伦贝尔</w:t>
      </w:r>
      <w:r>
        <w:rPr>
          <w:rFonts w:ascii="黑体" w:hAnsi="黑体" w:cs="黑体" w:eastAsia="黑体" w:hint="default"/>
          <w:sz w:val="30"/>
          <w:szCs w:val="30"/>
        </w:rPr>
      </w:r>
    </w:p>
    <w:p>
      <w:pPr>
        <w:spacing w:line="240" w:lineRule="auto" w:before="0"/>
        <w:rPr>
          <w:rFonts w:ascii="黑体" w:hAnsi="黑体" w:cs="黑体" w:eastAsia="黑体" w:hint="default"/>
          <w:b/>
          <w:bCs/>
          <w:sz w:val="30"/>
          <w:szCs w:val="30"/>
        </w:rPr>
      </w:pPr>
    </w:p>
    <w:p>
      <w:pPr>
        <w:spacing w:line="240" w:lineRule="auto" w:before="7"/>
        <w:rPr>
          <w:rFonts w:ascii="黑体" w:hAnsi="黑体" w:cs="黑体" w:eastAsia="黑体" w:hint="default"/>
          <w:b/>
          <w:bCs/>
          <w:sz w:val="36"/>
          <w:szCs w:val="36"/>
        </w:rPr>
      </w:pPr>
    </w:p>
    <w:p>
      <w:pPr>
        <w:spacing w:line="408" w:lineRule="auto" w:before="0"/>
        <w:ind w:left="120" w:right="0" w:firstLine="560"/>
        <w:jc w:val="left"/>
        <w:rPr>
          <w:rFonts w:ascii="宋体" w:hAnsi="宋体" w:cs="宋体" w:eastAsia="宋体" w:hint="default"/>
          <w:sz w:val="28"/>
          <w:szCs w:val="28"/>
        </w:rPr>
      </w:pPr>
      <w:r>
        <w:rPr>
          <w:rFonts w:ascii="宋体" w:hAnsi="宋体" w:cs="宋体" w:eastAsia="宋体" w:hint="default"/>
          <w:sz w:val="28"/>
          <w:szCs w:val="28"/>
        </w:rPr>
        <w:t>2009</w:t>
      </w:r>
      <w:r>
        <w:rPr>
          <w:rFonts w:ascii="宋体" w:hAnsi="宋体" w:cs="宋体" w:eastAsia="宋体" w:hint="default"/>
          <w:spacing w:val="-72"/>
          <w:sz w:val="28"/>
          <w:szCs w:val="28"/>
        </w:rPr>
        <w:t> </w:t>
      </w:r>
      <w:r>
        <w:rPr>
          <w:rFonts w:ascii="宋体" w:hAnsi="宋体" w:cs="宋体" w:eastAsia="宋体" w:hint="default"/>
          <w:sz w:val="28"/>
          <w:szCs w:val="28"/>
        </w:rPr>
        <w:t>年</w:t>
      </w:r>
      <w:r>
        <w:rPr>
          <w:rFonts w:ascii="宋体" w:hAnsi="宋体" w:cs="宋体" w:eastAsia="宋体" w:hint="default"/>
          <w:spacing w:val="-73"/>
          <w:sz w:val="28"/>
          <w:szCs w:val="28"/>
        </w:rPr>
        <w:t> </w:t>
      </w:r>
      <w:r>
        <w:rPr>
          <w:rFonts w:ascii="宋体" w:hAnsi="宋体" w:cs="宋体" w:eastAsia="宋体" w:hint="default"/>
          <w:sz w:val="28"/>
          <w:szCs w:val="28"/>
        </w:rPr>
        <w:t>12</w:t>
      </w:r>
      <w:r>
        <w:rPr>
          <w:rFonts w:ascii="宋体" w:hAnsi="宋体" w:cs="宋体" w:eastAsia="宋体" w:hint="default"/>
          <w:spacing w:val="-72"/>
          <w:sz w:val="28"/>
          <w:szCs w:val="28"/>
        </w:rPr>
        <w:t> </w:t>
      </w:r>
      <w:r>
        <w:rPr>
          <w:rFonts w:ascii="宋体" w:hAnsi="宋体" w:cs="宋体" w:eastAsia="宋体" w:hint="default"/>
          <w:sz w:val="28"/>
          <w:szCs w:val="28"/>
        </w:rPr>
        <w:t>月呼伦贝尔市遭遇寒流袭击，最低气温在零下</w:t>
      </w:r>
      <w:r>
        <w:rPr>
          <w:rFonts w:ascii="宋体" w:hAnsi="宋体" w:cs="宋体" w:eastAsia="宋体" w:hint="default"/>
          <w:spacing w:val="-72"/>
          <w:sz w:val="28"/>
          <w:szCs w:val="28"/>
        </w:rPr>
        <w:t> </w:t>
      </w:r>
      <w:r>
        <w:rPr>
          <w:rFonts w:ascii="宋体" w:hAnsi="宋体" w:cs="宋体" w:eastAsia="宋体" w:hint="default"/>
          <w:sz w:val="28"/>
          <w:szCs w:val="28"/>
        </w:rPr>
        <w:t>47</w:t>
      </w:r>
      <w:r>
        <w:rPr>
          <w:rFonts w:ascii="宋体" w:hAnsi="宋体" w:cs="宋体" w:eastAsia="宋体" w:hint="default"/>
          <w:spacing w:val="-72"/>
          <w:sz w:val="28"/>
          <w:szCs w:val="28"/>
        </w:rPr>
        <w:t> </w:t>
      </w:r>
      <w:r>
        <w:rPr>
          <w:rFonts w:ascii="宋体" w:hAnsi="宋体" w:cs="宋体" w:eastAsia="宋体" w:hint="default"/>
          <w:sz w:val="28"/>
          <w:szCs w:val="28"/>
        </w:rPr>
        <w:t>摄</w:t>
      </w:r>
      <w:r>
        <w:rPr>
          <w:rFonts w:ascii="宋体" w:hAnsi="宋体" w:cs="宋体" w:eastAsia="宋体" w:hint="default"/>
          <w:w w:val="99"/>
          <w:sz w:val="28"/>
          <w:szCs w:val="28"/>
        </w:rPr>
        <w:t> </w:t>
      </w:r>
      <w:r>
        <w:rPr>
          <w:rFonts w:ascii="宋体" w:hAnsi="宋体" w:cs="宋体" w:eastAsia="宋体" w:hint="default"/>
          <w:spacing w:val="-4"/>
          <w:sz w:val="28"/>
          <w:szCs w:val="28"/>
        </w:rPr>
        <w:t>氏度。中国联通呼伦贝尔市公司启动紧急通信抢修预案，组织施工人</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员为全市</w:t>
      </w:r>
      <w:r>
        <w:rPr>
          <w:rFonts w:ascii="宋体" w:hAnsi="宋体" w:cs="宋体" w:eastAsia="宋体" w:hint="default"/>
          <w:spacing w:val="-73"/>
          <w:sz w:val="28"/>
          <w:szCs w:val="28"/>
        </w:rPr>
        <w:t> </w:t>
      </w:r>
      <w:r>
        <w:rPr>
          <w:rFonts w:ascii="宋体" w:hAnsi="宋体" w:cs="宋体" w:eastAsia="宋体" w:hint="default"/>
          <w:sz w:val="28"/>
          <w:szCs w:val="28"/>
        </w:rPr>
        <w:t>1000</w:t>
      </w:r>
      <w:r>
        <w:rPr>
          <w:rFonts w:ascii="宋体" w:hAnsi="宋体" w:cs="宋体" w:eastAsia="宋体" w:hint="default"/>
          <w:spacing w:val="-73"/>
          <w:sz w:val="28"/>
          <w:szCs w:val="28"/>
        </w:rPr>
        <w:t> </w:t>
      </w:r>
      <w:r>
        <w:rPr>
          <w:rFonts w:ascii="宋体" w:hAnsi="宋体" w:cs="宋体" w:eastAsia="宋体" w:hint="default"/>
          <w:spacing w:val="-5"/>
          <w:sz w:val="28"/>
          <w:szCs w:val="28"/>
        </w:rPr>
        <w:t>余个移动、小灵通基站包裹防寒棉毡，共动用</w:t>
      </w:r>
      <w:r>
        <w:rPr>
          <w:rFonts w:ascii="宋体" w:hAnsi="宋体" w:cs="宋体" w:eastAsia="宋体" w:hint="default"/>
          <w:spacing w:val="-72"/>
          <w:sz w:val="28"/>
          <w:szCs w:val="28"/>
        </w:rPr>
        <w:t> </w:t>
      </w:r>
      <w:r>
        <w:rPr>
          <w:rFonts w:ascii="宋体" w:hAnsi="宋体" w:cs="宋体" w:eastAsia="宋体" w:hint="default"/>
          <w:sz w:val="28"/>
          <w:szCs w:val="28"/>
        </w:rPr>
        <w:t>11</w:t>
      </w:r>
      <w:r>
        <w:rPr>
          <w:rFonts w:ascii="宋体" w:hAnsi="宋体" w:cs="宋体" w:eastAsia="宋体" w:hint="default"/>
          <w:spacing w:val="-73"/>
          <w:sz w:val="28"/>
          <w:szCs w:val="28"/>
        </w:rPr>
        <w:t> </w:t>
      </w:r>
      <w:r>
        <w:rPr>
          <w:rFonts w:ascii="宋体" w:hAnsi="宋体" w:cs="宋体" w:eastAsia="宋体" w:hint="default"/>
          <w:sz w:val="28"/>
          <w:szCs w:val="28"/>
        </w:rPr>
        <w:t>台光</w:t>
      </w:r>
      <w:r>
        <w:rPr>
          <w:rFonts w:ascii="宋体" w:hAnsi="宋体" w:cs="宋体" w:eastAsia="宋体" w:hint="default"/>
          <w:w w:val="99"/>
          <w:sz w:val="28"/>
          <w:szCs w:val="28"/>
        </w:rPr>
        <w:t> </w:t>
      </w:r>
      <w:r>
        <w:rPr>
          <w:rFonts w:ascii="宋体" w:hAnsi="宋体" w:cs="宋体" w:eastAsia="宋体" w:hint="default"/>
          <w:spacing w:val="-4"/>
          <w:sz w:val="28"/>
          <w:szCs w:val="28"/>
        </w:rPr>
        <w:t>缆维护车辆，对干线光缆重点地段进行车巡，组织线路维护人员，在</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元旦前突击抢修用户障碍</w:t>
      </w:r>
      <w:r>
        <w:rPr>
          <w:rFonts w:ascii="宋体" w:hAnsi="宋体" w:cs="宋体" w:eastAsia="宋体" w:hint="default"/>
          <w:spacing w:val="-73"/>
          <w:sz w:val="28"/>
          <w:szCs w:val="28"/>
        </w:rPr>
        <w:t> </w:t>
      </w:r>
      <w:r>
        <w:rPr>
          <w:rFonts w:ascii="宋体" w:hAnsi="宋体" w:cs="宋体" w:eastAsia="宋体" w:hint="default"/>
          <w:sz w:val="28"/>
          <w:szCs w:val="28"/>
        </w:rPr>
        <w:t>621</w:t>
      </w:r>
      <w:r>
        <w:rPr>
          <w:rFonts w:ascii="宋体" w:hAnsi="宋体" w:cs="宋体" w:eastAsia="宋体" w:hint="default"/>
          <w:spacing w:val="-73"/>
          <w:sz w:val="28"/>
          <w:szCs w:val="28"/>
        </w:rPr>
        <w:t> </w:t>
      </w:r>
      <w:r>
        <w:rPr>
          <w:rFonts w:ascii="宋体" w:hAnsi="宋体" w:cs="宋体" w:eastAsia="宋体" w:hint="default"/>
          <w:sz w:val="28"/>
          <w:szCs w:val="28"/>
        </w:rPr>
        <w:t>户，更换市话电缆共计</w:t>
      </w:r>
      <w:r>
        <w:rPr>
          <w:rFonts w:ascii="宋体" w:hAnsi="宋体" w:cs="宋体" w:eastAsia="宋体" w:hint="default"/>
          <w:spacing w:val="-73"/>
          <w:sz w:val="28"/>
          <w:szCs w:val="28"/>
        </w:rPr>
        <w:t> </w:t>
      </w:r>
      <w:r>
        <w:rPr>
          <w:rFonts w:ascii="宋体" w:hAnsi="宋体" w:cs="宋体" w:eastAsia="宋体" w:hint="default"/>
          <w:sz w:val="28"/>
          <w:szCs w:val="28"/>
        </w:rPr>
        <w:t>91</w:t>
      </w:r>
      <w:r>
        <w:rPr>
          <w:rFonts w:ascii="宋体" w:hAnsi="宋体" w:cs="宋体" w:eastAsia="宋体" w:hint="default"/>
          <w:spacing w:val="-73"/>
          <w:sz w:val="28"/>
          <w:szCs w:val="28"/>
        </w:rPr>
        <w:t> </w:t>
      </w:r>
      <w:r>
        <w:rPr>
          <w:rFonts w:ascii="宋体" w:hAnsi="宋体" w:cs="宋体" w:eastAsia="宋体" w:hint="default"/>
          <w:sz w:val="28"/>
          <w:szCs w:val="28"/>
        </w:rPr>
        <w:t>皮长公里。</w:t>
      </w:r>
    </w:p>
    <w:p>
      <w:pPr>
        <w:spacing w:line="408" w:lineRule="auto" w:before="61"/>
        <w:ind w:left="120" w:right="224" w:firstLine="0"/>
        <w:jc w:val="left"/>
        <w:rPr>
          <w:rFonts w:ascii="宋体" w:hAnsi="宋体" w:cs="宋体" w:eastAsia="宋体" w:hint="default"/>
          <w:sz w:val="28"/>
          <w:szCs w:val="28"/>
        </w:rPr>
      </w:pPr>
      <w:r>
        <w:rPr>
          <w:rFonts w:ascii="宋体" w:hAnsi="宋体" w:cs="宋体" w:eastAsia="宋体" w:hint="default"/>
          <w:sz w:val="28"/>
          <w:szCs w:val="28"/>
        </w:rPr>
        <w:t>对党政、交通、医院、车站、气象等单位的专线、热线电话实行</w:t>
      </w:r>
      <w:r>
        <w:rPr>
          <w:rFonts w:ascii="宋体" w:hAnsi="宋体" w:cs="宋体" w:eastAsia="宋体" w:hint="default"/>
          <w:spacing w:val="-80"/>
          <w:sz w:val="28"/>
          <w:szCs w:val="28"/>
        </w:rPr>
        <w:t> </w:t>
      </w:r>
      <w:r>
        <w:rPr>
          <w:rFonts w:ascii="宋体" w:hAnsi="宋体" w:cs="宋体" w:eastAsia="宋体" w:hint="default"/>
          <w:sz w:val="28"/>
          <w:szCs w:val="28"/>
        </w:rPr>
        <w:t>24</w:t>
      </w:r>
      <w:r>
        <w:rPr>
          <w:rFonts w:ascii="宋体" w:hAnsi="宋体" w:cs="宋体" w:eastAsia="宋体" w:hint="default"/>
          <w:w w:val="99"/>
          <w:sz w:val="28"/>
          <w:szCs w:val="28"/>
        </w:rPr>
        <w:t> </w:t>
      </w:r>
      <w:r>
        <w:rPr>
          <w:rFonts w:ascii="宋体" w:hAnsi="宋体" w:cs="宋体" w:eastAsia="宋体" w:hint="default"/>
          <w:sz w:val="28"/>
          <w:szCs w:val="28"/>
        </w:rPr>
        <w:t>小时专项服务。</w:t>
      </w:r>
    </w:p>
    <w:p>
      <w:pPr>
        <w:spacing w:line="240" w:lineRule="auto" w:before="0"/>
        <w:rPr>
          <w:rFonts w:ascii="宋体" w:hAnsi="宋体" w:cs="宋体" w:eastAsia="宋体" w:hint="default"/>
          <w:sz w:val="28"/>
          <w:szCs w:val="28"/>
        </w:rPr>
      </w:pPr>
    </w:p>
    <w:p>
      <w:pPr>
        <w:spacing w:line="240" w:lineRule="auto" w:before="3"/>
        <w:rPr>
          <w:rFonts w:ascii="宋体" w:hAnsi="宋体" w:cs="宋体" w:eastAsia="宋体" w:hint="default"/>
          <w:sz w:val="23"/>
          <w:szCs w:val="23"/>
        </w:rPr>
      </w:pPr>
    </w:p>
    <w:p>
      <w:pPr>
        <w:spacing w:before="0"/>
        <w:ind w:left="120" w:right="0" w:firstLine="0"/>
        <w:jc w:val="left"/>
        <w:rPr>
          <w:rFonts w:ascii="黑体" w:hAnsi="黑体" w:cs="黑体" w:eastAsia="黑体" w:hint="default"/>
          <w:sz w:val="30"/>
          <w:szCs w:val="30"/>
        </w:rPr>
      </w:pPr>
      <w:r>
        <w:rPr>
          <w:rFonts w:ascii="黑体" w:hAnsi="黑体" w:cs="黑体" w:eastAsia="黑体" w:hint="default"/>
          <w:b/>
          <w:bCs/>
          <w:sz w:val="30"/>
          <w:szCs w:val="30"/>
        </w:rPr>
        <w:t>在凛冽的暴风雪中</w:t>
      </w:r>
      <w:r>
        <w:rPr>
          <w:rFonts w:ascii="黑体" w:hAnsi="黑体" w:cs="黑体" w:eastAsia="黑体" w:hint="default"/>
          <w:sz w:val="30"/>
          <w:szCs w:val="30"/>
        </w:rPr>
      </w:r>
    </w:p>
    <w:p>
      <w:pPr>
        <w:spacing w:line="240" w:lineRule="auto" w:before="0"/>
        <w:rPr>
          <w:rFonts w:ascii="黑体" w:hAnsi="黑体" w:cs="黑体" w:eastAsia="黑体" w:hint="default"/>
          <w:b/>
          <w:bCs/>
          <w:sz w:val="30"/>
          <w:szCs w:val="30"/>
        </w:rPr>
      </w:pPr>
    </w:p>
    <w:p>
      <w:pPr>
        <w:spacing w:line="240" w:lineRule="auto" w:before="7"/>
        <w:rPr>
          <w:rFonts w:ascii="黑体" w:hAnsi="黑体" w:cs="黑体" w:eastAsia="黑体" w:hint="default"/>
          <w:b/>
          <w:bCs/>
          <w:sz w:val="36"/>
          <w:szCs w:val="36"/>
        </w:rPr>
      </w:pPr>
    </w:p>
    <w:p>
      <w:pPr>
        <w:spacing w:line="408" w:lineRule="auto" w:before="0"/>
        <w:ind w:left="120" w:right="114" w:firstLine="560"/>
        <w:jc w:val="both"/>
        <w:rPr>
          <w:rFonts w:ascii="宋体" w:hAnsi="宋体" w:cs="宋体" w:eastAsia="宋体" w:hint="default"/>
          <w:sz w:val="28"/>
          <w:szCs w:val="28"/>
        </w:rPr>
      </w:pPr>
      <w:r>
        <w:rPr>
          <w:rFonts w:ascii="宋体" w:hAnsi="宋体" w:cs="宋体" w:eastAsia="宋体" w:hint="default"/>
          <w:spacing w:val="-4"/>
          <w:sz w:val="28"/>
          <w:szCs w:val="28"/>
        </w:rPr>
        <w:t>石家庄、衡水、邢台、邯郸等地出现了大到暴雪，石家庄市区降</w:t>
      </w:r>
      <w:r>
        <w:rPr>
          <w:rFonts w:ascii="宋体" w:hAnsi="宋体" w:cs="宋体" w:eastAsia="宋体" w:hint="default"/>
          <w:w w:val="99"/>
          <w:sz w:val="28"/>
          <w:szCs w:val="28"/>
        </w:rPr>
        <w:t> </w:t>
      </w:r>
      <w:r>
        <w:rPr>
          <w:rFonts w:ascii="宋体" w:hAnsi="宋体" w:cs="宋体" w:eastAsia="宋体" w:hint="default"/>
          <w:sz w:val="28"/>
          <w:szCs w:val="28"/>
        </w:rPr>
        <w:t>雪量达</w:t>
      </w:r>
      <w:r>
        <w:rPr>
          <w:rFonts w:ascii="宋体" w:hAnsi="宋体" w:cs="宋体" w:eastAsia="宋体" w:hint="default"/>
          <w:spacing w:val="-72"/>
          <w:sz w:val="28"/>
          <w:szCs w:val="28"/>
        </w:rPr>
        <w:t> </w:t>
      </w:r>
      <w:r>
        <w:rPr>
          <w:rFonts w:ascii="宋体" w:hAnsi="宋体" w:cs="宋体" w:eastAsia="宋体" w:hint="default"/>
          <w:sz w:val="28"/>
          <w:szCs w:val="28"/>
        </w:rPr>
        <w:t>85.9</w:t>
      </w:r>
      <w:r>
        <w:rPr>
          <w:rFonts w:ascii="宋体" w:hAnsi="宋体" w:cs="宋体" w:eastAsia="宋体" w:hint="default"/>
          <w:spacing w:val="-72"/>
          <w:sz w:val="28"/>
          <w:szCs w:val="28"/>
        </w:rPr>
        <w:t> </w:t>
      </w:r>
      <w:r>
        <w:rPr>
          <w:rFonts w:ascii="宋体" w:hAnsi="宋体" w:cs="宋体" w:eastAsia="宋体" w:hint="default"/>
          <w:sz w:val="28"/>
          <w:szCs w:val="28"/>
        </w:rPr>
        <w:t>毫米，积雪深度</w:t>
      </w:r>
      <w:r>
        <w:rPr>
          <w:rFonts w:ascii="宋体" w:hAnsi="宋体" w:cs="宋体" w:eastAsia="宋体" w:hint="default"/>
          <w:spacing w:val="-73"/>
          <w:sz w:val="28"/>
          <w:szCs w:val="28"/>
        </w:rPr>
        <w:t> </w:t>
      </w:r>
      <w:r>
        <w:rPr>
          <w:rFonts w:ascii="宋体" w:hAnsi="宋体" w:cs="宋体" w:eastAsia="宋体" w:hint="default"/>
          <w:sz w:val="28"/>
          <w:szCs w:val="28"/>
        </w:rPr>
        <w:t>52</w:t>
      </w:r>
      <w:r>
        <w:rPr>
          <w:rFonts w:ascii="宋体" w:hAnsi="宋体" w:cs="宋体" w:eastAsia="宋体" w:hint="default"/>
          <w:spacing w:val="-72"/>
          <w:sz w:val="28"/>
          <w:szCs w:val="28"/>
        </w:rPr>
        <w:t> </w:t>
      </w:r>
      <w:r>
        <w:rPr>
          <w:rFonts w:ascii="宋体" w:hAnsi="宋体" w:cs="宋体" w:eastAsia="宋体" w:hint="default"/>
          <w:sz w:val="28"/>
          <w:szCs w:val="28"/>
        </w:rPr>
        <w:t>厘米，是</w:t>
      </w:r>
      <w:r>
        <w:rPr>
          <w:rFonts w:ascii="宋体" w:hAnsi="宋体" w:cs="宋体" w:eastAsia="宋体" w:hint="default"/>
          <w:spacing w:val="-72"/>
          <w:sz w:val="28"/>
          <w:szCs w:val="28"/>
        </w:rPr>
        <w:t> </w:t>
      </w:r>
      <w:r>
        <w:rPr>
          <w:rFonts w:ascii="宋体" w:hAnsi="宋体" w:cs="宋体" w:eastAsia="宋体" w:hint="default"/>
          <w:sz w:val="28"/>
          <w:szCs w:val="28"/>
        </w:rPr>
        <w:t>54</w:t>
      </w:r>
      <w:r>
        <w:rPr>
          <w:rFonts w:ascii="宋体" w:hAnsi="宋体" w:cs="宋体" w:eastAsia="宋体" w:hint="default"/>
          <w:spacing w:val="-72"/>
          <w:sz w:val="28"/>
          <w:szCs w:val="28"/>
        </w:rPr>
        <w:t> </w:t>
      </w:r>
      <w:r>
        <w:rPr>
          <w:rFonts w:ascii="宋体" w:hAnsi="宋体" w:cs="宋体" w:eastAsia="宋体" w:hint="default"/>
          <w:sz w:val="28"/>
          <w:szCs w:val="28"/>
        </w:rPr>
        <w:t>年有气象记录以来最大</w:t>
      </w:r>
      <w:r>
        <w:rPr>
          <w:rFonts w:ascii="宋体" w:hAnsi="宋体" w:cs="宋体" w:eastAsia="宋体" w:hint="default"/>
          <w:w w:val="99"/>
          <w:sz w:val="28"/>
          <w:szCs w:val="28"/>
        </w:rPr>
        <w:t> </w:t>
      </w:r>
      <w:r>
        <w:rPr>
          <w:rFonts w:ascii="宋体" w:hAnsi="宋体" w:cs="宋体" w:eastAsia="宋体" w:hint="default"/>
          <w:sz w:val="28"/>
          <w:szCs w:val="28"/>
        </w:rPr>
        <w:t>的一次。</w:t>
      </w:r>
    </w:p>
    <w:p>
      <w:pPr>
        <w:spacing w:after="0" w:line="408" w:lineRule="auto"/>
        <w:jc w:val="both"/>
        <w:rPr>
          <w:rFonts w:ascii="宋体" w:hAnsi="宋体" w:cs="宋体" w:eastAsia="宋体" w:hint="default"/>
          <w:sz w:val="28"/>
          <w:szCs w:val="28"/>
        </w:rPr>
        <w:sectPr>
          <w:headerReference w:type="default" r:id="rId231"/>
          <w:footerReference w:type="default" r:id="rId232"/>
          <w:pgSz w:w="11910" w:h="16840"/>
          <w:pgMar w:header="0" w:footer="982" w:top="1600" w:bottom="1180" w:left="1680" w:right="1680"/>
          <w:pgNumType w:start="28"/>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p>
      <w:pPr>
        <w:spacing w:line="3057" w:lineRule="exact"/>
        <w:ind w:left="232" w:right="0" w:firstLine="0"/>
        <w:rPr>
          <w:rFonts w:ascii="宋体" w:hAnsi="宋体" w:cs="宋体" w:eastAsia="宋体" w:hint="default"/>
          <w:sz w:val="20"/>
          <w:szCs w:val="20"/>
        </w:rPr>
      </w:pPr>
      <w:r>
        <w:rPr>
          <w:rFonts w:ascii="宋体" w:hAnsi="宋体" w:cs="宋体" w:eastAsia="宋体" w:hint="default"/>
          <w:position w:val="-60"/>
          <w:sz w:val="20"/>
          <w:szCs w:val="20"/>
        </w:rPr>
        <w:pict>
          <v:shape style="width:405.75pt;height:152.85pt;mso-position-horizontal-relative:char;mso-position-vertical-relative:line" type="#_x0000_t202" filled="true" fillcolor="#ccffff" stroked="false">
            <w10:anchorlock/>
            <v:textbox inset="0,0,0,0">
              <w:txbxContent>
                <w:p>
                  <w:pPr>
                    <w:spacing w:line="357" w:lineRule="auto" w:before="128"/>
                    <w:ind w:left="159" w:right="37" w:firstLine="0"/>
                    <w:jc w:val="both"/>
                    <w:rPr>
                      <w:rFonts w:ascii="宋体" w:hAnsi="宋体" w:cs="宋体" w:eastAsia="宋体" w:hint="default"/>
                      <w:sz w:val="24"/>
                      <w:szCs w:val="24"/>
                    </w:rPr>
                  </w:pPr>
                  <w:r>
                    <w:rPr>
                      <w:rFonts w:ascii="宋体" w:hAnsi="宋体" w:cs="宋体" w:eastAsia="宋体" w:hint="default"/>
                      <w:spacing w:val="3"/>
                      <w:sz w:val="24"/>
                      <w:szCs w:val="24"/>
                    </w:rPr>
                    <w:t>◆面对冰雪灾害，中国联通河北分公司全力以赴保障全省通信线路畅通。 对架空光缆、铁塔、基站、天馈线、通信杆路等通信设施进行重点巡查； 对党政军机关、公安、交通、供热、供电等救灾重要部门的通信保障实施 全天候监测；成立应急抢险分队，第一时间对受阻通信设施进行抢修。衡 </w:t>
                  </w:r>
                  <w:r>
                    <w:rPr>
                      <w:rFonts w:ascii="宋体" w:hAnsi="宋体" w:cs="宋体" w:eastAsia="宋体" w:hint="default"/>
                      <w:sz w:val="24"/>
                      <w:szCs w:val="24"/>
                    </w:rPr>
                    <w:t>水</w:t>
                  </w:r>
                  <w:r>
                    <w:rPr>
                      <w:rFonts w:ascii="宋体" w:hAnsi="宋体" w:cs="宋体" w:eastAsia="宋体" w:hint="default"/>
                      <w:spacing w:val="-65"/>
                      <w:sz w:val="24"/>
                      <w:szCs w:val="24"/>
                    </w:rPr>
                    <w:t> </w:t>
                  </w:r>
                  <w:r>
                    <w:rPr>
                      <w:rFonts w:ascii="宋体" w:hAnsi="宋体" w:cs="宋体" w:eastAsia="宋体" w:hint="default"/>
                      <w:sz w:val="24"/>
                      <w:szCs w:val="24"/>
                    </w:rPr>
                    <w:t>114/116114</w:t>
                  </w:r>
                  <w:r>
                    <w:rPr>
                      <w:rFonts w:ascii="宋体" w:hAnsi="宋体" w:cs="宋体" w:eastAsia="宋体" w:hint="default"/>
                      <w:spacing w:val="-65"/>
                      <w:sz w:val="24"/>
                      <w:szCs w:val="24"/>
                    </w:rPr>
                    <w:t> </w:t>
                  </w:r>
                  <w:r>
                    <w:rPr>
                      <w:rFonts w:ascii="宋体" w:hAnsi="宋体" w:cs="宋体" w:eastAsia="宋体" w:hint="default"/>
                      <w:sz w:val="24"/>
                      <w:szCs w:val="24"/>
                    </w:rPr>
                    <w:t>电话导航日查询量突破</w:t>
                  </w:r>
                  <w:r>
                    <w:rPr>
                      <w:rFonts w:ascii="宋体" w:hAnsi="宋体" w:cs="宋体" w:eastAsia="宋体" w:hint="default"/>
                      <w:spacing w:val="-65"/>
                      <w:sz w:val="24"/>
                      <w:szCs w:val="24"/>
                    </w:rPr>
                    <w:t> </w:t>
                  </w:r>
                  <w:r>
                    <w:rPr>
                      <w:rFonts w:ascii="宋体" w:hAnsi="宋体" w:cs="宋体" w:eastAsia="宋体" w:hint="default"/>
                      <w:sz w:val="24"/>
                      <w:szCs w:val="24"/>
                    </w:rPr>
                    <w:t>3</w:t>
                  </w:r>
                  <w:r>
                    <w:rPr>
                      <w:rFonts w:ascii="宋体" w:hAnsi="宋体" w:cs="宋体" w:eastAsia="宋体" w:hint="default"/>
                      <w:spacing w:val="-65"/>
                      <w:sz w:val="24"/>
                      <w:szCs w:val="24"/>
                    </w:rPr>
                    <w:t> </w:t>
                  </w:r>
                  <w:r>
                    <w:rPr>
                      <w:rFonts w:ascii="宋体" w:hAnsi="宋体" w:cs="宋体" w:eastAsia="宋体" w:hint="default"/>
                      <w:sz w:val="24"/>
                      <w:szCs w:val="24"/>
                    </w:rPr>
                    <w:t>万次，其中高峰时段</w:t>
                  </w:r>
                  <w:r>
                    <w:rPr>
                      <w:rFonts w:ascii="宋体" w:hAnsi="宋体" w:cs="宋体" w:eastAsia="宋体" w:hint="default"/>
                      <w:spacing w:val="-65"/>
                      <w:sz w:val="24"/>
                      <w:szCs w:val="24"/>
                    </w:rPr>
                    <w:t> </w:t>
                  </w:r>
                  <w:r>
                    <w:rPr>
                      <w:rFonts w:ascii="宋体" w:hAnsi="宋体" w:cs="宋体" w:eastAsia="宋体" w:hint="default"/>
                      <w:sz w:val="24"/>
                      <w:szCs w:val="24"/>
                    </w:rPr>
                    <w:t>9</w:t>
                  </w:r>
                  <w:r>
                    <w:rPr>
                      <w:rFonts w:ascii="宋体" w:hAnsi="宋体" w:cs="宋体" w:eastAsia="宋体" w:hint="default"/>
                      <w:spacing w:val="-65"/>
                      <w:sz w:val="24"/>
                      <w:szCs w:val="24"/>
                    </w:rPr>
                    <w:t> </w:t>
                  </w:r>
                  <w:r>
                    <w:rPr>
                      <w:rFonts w:ascii="宋体" w:hAnsi="宋体" w:cs="宋体" w:eastAsia="宋体" w:hint="default"/>
                      <w:sz w:val="24"/>
                      <w:szCs w:val="24"/>
                    </w:rPr>
                    <w:t>点至</w:t>
                  </w:r>
                  <w:r>
                    <w:rPr>
                      <w:rFonts w:ascii="宋体" w:hAnsi="宋体" w:cs="宋体" w:eastAsia="宋体" w:hint="default"/>
                      <w:spacing w:val="-65"/>
                      <w:sz w:val="24"/>
                      <w:szCs w:val="24"/>
                    </w:rPr>
                    <w:t> </w:t>
                  </w:r>
                  <w:r>
                    <w:rPr>
                      <w:rFonts w:ascii="宋体" w:hAnsi="宋体" w:cs="宋体" w:eastAsia="宋体" w:hint="default"/>
                      <w:sz w:val="24"/>
                      <w:szCs w:val="24"/>
                    </w:rPr>
                    <w:t>10</w:t>
                  </w:r>
                  <w:r>
                    <w:rPr>
                      <w:rFonts w:ascii="宋体" w:hAnsi="宋体" w:cs="宋体" w:eastAsia="宋体" w:hint="default"/>
                      <w:spacing w:val="-65"/>
                      <w:sz w:val="24"/>
                      <w:szCs w:val="24"/>
                    </w:rPr>
                    <w:t> </w:t>
                  </w:r>
                  <w:r>
                    <w:rPr>
                      <w:rFonts w:ascii="宋体" w:hAnsi="宋体" w:cs="宋体" w:eastAsia="宋体" w:hint="default"/>
                      <w:sz w:val="24"/>
                      <w:szCs w:val="24"/>
                    </w:rPr>
                    <w:t>点，</w:t>
                  </w:r>
                </w:p>
                <w:p>
                  <w:pPr>
                    <w:spacing w:before="35"/>
                    <w:ind w:left="159" w:right="0" w:firstLine="0"/>
                    <w:jc w:val="both"/>
                    <w:rPr>
                      <w:rFonts w:ascii="宋体" w:hAnsi="宋体" w:cs="宋体" w:eastAsia="宋体" w:hint="default"/>
                      <w:sz w:val="24"/>
                      <w:szCs w:val="24"/>
                    </w:rPr>
                  </w:pP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小时呼入量达</w:t>
                  </w:r>
                  <w:r>
                    <w:rPr>
                      <w:rFonts w:ascii="宋体" w:hAnsi="宋体" w:cs="宋体" w:eastAsia="宋体" w:hint="default"/>
                      <w:spacing w:val="-60"/>
                      <w:sz w:val="24"/>
                      <w:szCs w:val="24"/>
                    </w:rPr>
                    <w:t> </w:t>
                  </w:r>
                  <w:r>
                    <w:rPr>
                      <w:rFonts w:ascii="宋体" w:hAnsi="宋体" w:cs="宋体" w:eastAsia="宋体" w:hint="default"/>
                      <w:sz w:val="24"/>
                      <w:szCs w:val="24"/>
                    </w:rPr>
                    <w:t>3800</w:t>
                  </w:r>
                  <w:r>
                    <w:rPr>
                      <w:rFonts w:ascii="宋体" w:hAnsi="宋体" w:cs="宋体" w:eastAsia="宋体" w:hint="default"/>
                      <w:spacing w:val="-60"/>
                      <w:sz w:val="24"/>
                      <w:szCs w:val="24"/>
                    </w:rPr>
                    <w:t> </w:t>
                  </w:r>
                  <w:r>
                    <w:rPr>
                      <w:rFonts w:ascii="宋体" w:hAnsi="宋体" w:cs="宋体" w:eastAsia="宋体" w:hint="default"/>
                      <w:sz w:val="24"/>
                      <w:szCs w:val="24"/>
                    </w:rPr>
                    <w:t>次。</w:t>
                  </w:r>
                </w:p>
              </w:txbxContent>
            </v:textbox>
            <v:fill type="solid"/>
          </v:shape>
        </w:pict>
      </w:r>
      <w:r>
        <w:rPr>
          <w:rFonts w:ascii="宋体" w:hAnsi="宋体" w:cs="宋体" w:eastAsia="宋体" w:hint="default"/>
          <w:position w:val="-60"/>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0"/>
          <w:szCs w:val="10"/>
        </w:rPr>
      </w:pPr>
    </w:p>
    <w:p>
      <w:pPr>
        <w:spacing w:line="3915" w:lineRule="exact"/>
        <w:ind w:left="292" w:right="0" w:firstLine="0"/>
        <w:rPr>
          <w:rFonts w:ascii="宋体" w:hAnsi="宋体" w:cs="宋体" w:eastAsia="宋体" w:hint="default"/>
          <w:sz w:val="20"/>
          <w:szCs w:val="20"/>
        </w:rPr>
      </w:pPr>
      <w:r>
        <w:rPr>
          <w:rFonts w:ascii="宋体" w:hAnsi="宋体" w:cs="宋体" w:eastAsia="宋体" w:hint="default"/>
          <w:position w:val="-77"/>
          <w:sz w:val="20"/>
          <w:szCs w:val="20"/>
        </w:rPr>
        <w:pict>
          <v:shape style="width:405.75pt;height:195.75pt;mso-position-horizontal-relative:char;mso-position-vertical-relative:line" type="#_x0000_t202" filled="true" fillcolor="#ccffff" stroked="false">
            <w10:anchorlock/>
            <v:textbox inset="0,0,0,0">
              <w:txbxContent>
                <w:p>
                  <w:pPr>
                    <w:spacing w:line="357" w:lineRule="auto" w:before="128"/>
                    <w:ind w:left="159" w:right="35" w:firstLine="0"/>
                    <w:jc w:val="left"/>
                    <w:rPr>
                      <w:rFonts w:ascii="宋体" w:hAnsi="宋体" w:cs="宋体" w:eastAsia="宋体" w:hint="default"/>
                      <w:sz w:val="24"/>
                      <w:szCs w:val="24"/>
                    </w:rPr>
                  </w:pPr>
                  <w:r>
                    <w:rPr>
                      <w:rFonts w:ascii="宋体" w:hAnsi="宋体" w:cs="宋体" w:eastAsia="宋体" w:hint="default"/>
                      <w:sz w:val="24"/>
                      <w:szCs w:val="24"/>
                    </w:rPr>
                    <w:t>◆太原出现强降雪天气，太原联通各单位加强了</w:t>
                  </w:r>
                  <w:r>
                    <w:rPr>
                      <w:rFonts w:ascii="宋体" w:hAnsi="宋体" w:cs="宋体" w:eastAsia="宋体" w:hint="default"/>
                      <w:spacing w:val="-69"/>
                      <w:sz w:val="24"/>
                      <w:szCs w:val="24"/>
                    </w:rPr>
                    <w:t> </w:t>
                  </w:r>
                  <w:r>
                    <w:rPr>
                      <w:rFonts w:ascii="宋体" w:hAnsi="宋体" w:cs="宋体" w:eastAsia="宋体" w:hint="default"/>
                      <w:sz w:val="24"/>
                      <w:szCs w:val="24"/>
                    </w:rPr>
                    <w:t>24</w:t>
                  </w:r>
                  <w:r>
                    <w:rPr>
                      <w:rFonts w:ascii="宋体" w:hAnsi="宋体" w:cs="宋体" w:eastAsia="宋体" w:hint="default"/>
                      <w:spacing w:val="-69"/>
                      <w:sz w:val="24"/>
                      <w:szCs w:val="24"/>
                    </w:rPr>
                    <w:t> </w:t>
                  </w:r>
                  <w:r>
                    <w:rPr>
                      <w:rFonts w:ascii="宋体" w:hAnsi="宋体" w:cs="宋体" w:eastAsia="宋体" w:hint="default"/>
                      <w:sz w:val="24"/>
                      <w:szCs w:val="24"/>
                    </w:rPr>
                    <w:t>小时通信值班制度和领</w:t>
                  </w:r>
                  <w:r>
                    <w:rPr>
                      <w:rFonts w:ascii="宋体" w:hAnsi="宋体" w:cs="宋体" w:eastAsia="宋体" w:hint="default"/>
                      <w:spacing w:val="-1"/>
                      <w:sz w:val="24"/>
                      <w:szCs w:val="24"/>
                    </w:rPr>
                    <w:t> </w:t>
                  </w:r>
                  <w:r>
                    <w:rPr>
                      <w:rFonts w:ascii="宋体" w:hAnsi="宋体" w:cs="宋体" w:eastAsia="宋体" w:hint="default"/>
                      <w:spacing w:val="3"/>
                      <w:sz w:val="24"/>
                      <w:szCs w:val="24"/>
                    </w:rPr>
                    <w:t>导带班制度；加强数据监控，对网络运行状态的发展趋势及时做出判断，</w:t>
                  </w:r>
                  <w:r>
                    <w:rPr>
                      <w:rFonts w:ascii="宋体" w:hAnsi="宋体" w:cs="宋体" w:eastAsia="宋体" w:hint="default"/>
                      <w:spacing w:val="3"/>
                      <w:sz w:val="24"/>
                      <w:szCs w:val="24"/>
                    </w:rPr>
                    <w:t> 随时向各维护单位发送网络运行安全预警信息。对骨干通信网络和重要客 </w:t>
                  </w:r>
                  <w:r>
                    <w:rPr>
                      <w:rFonts w:ascii="宋体" w:hAnsi="宋体" w:cs="宋体" w:eastAsia="宋体" w:hint="default"/>
                      <w:sz w:val="24"/>
                      <w:szCs w:val="24"/>
                    </w:rPr>
                    <w:t>户网络实行双人</w:t>
                  </w:r>
                  <w:r>
                    <w:rPr>
                      <w:rFonts w:ascii="宋体" w:hAnsi="宋体" w:cs="宋体" w:eastAsia="宋体" w:hint="default"/>
                      <w:spacing w:val="-68"/>
                      <w:sz w:val="24"/>
                      <w:szCs w:val="24"/>
                    </w:rPr>
                    <w:t> </w:t>
                  </w:r>
                  <w:r>
                    <w:rPr>
                      <w:rFonts w:ascii="宋体" w:hAnsi="宋体" w:cs="宋体" w:eastAsia="宋体" w:hint="default"/>
                      <w:sz w:val="24"/>
                      <w:szCs w:val="24"/>
                    </w:rPr>
                    <w:t>7*24</w:t>
                  </w:r>
                  <w:r>
                    <w:rPr>
                      <w:rFonts w:ascii="宋体" w:hAnsi="宋体" w:cs="宋体" w:eastAsia="宋体" w:hint="default"/>
                      <w:spacing w:val="-68"/>
                      <w:sz w:val="24"/>
                      <w:szCs w:val="24"/>
                    </w:rPr>
                    <w:t> </w:t>
                  </w:r>
                  <w:r>
                    <w:rPr>
                      <w:rFonts w:ascii="宋体" w:hAnsi="宋体" w:cs="宋体" w:eastAsia="宋体" w:hint="default"/>
                      <w:sz w:val="24"/>
                      <w:szCs w:val="24"/>
                    </w:rPr>
                    <w:t>小时值守，加大对网络运行状况的实时监控，加大线</w:t>
                  </w:r>
                  <w:r>
                    <w:rPr>
                      <w:rFonts w:ascii="宋体" w:hAnsi="宋体" w:cs="宋体" w:eastAsia="宋体" w:hint="default"/>
                      <w:spacing w:val="-1"/>
                      <w:sz w:val="24"/>
                      <w:szCs w:val="24"/>
                    </w:rPr>
                    <w:t> </w:t>
                  </w:r>
                  <w:r>
                    <w:rPr>
                      <w:rFonts w:ascii="宋体" w:hAnsi="宋体" w:cs="宋体" w:eastAsia="宋体" w:hint="default"/>
                      <w:spacing w:val="3"/>
                      <w:sz w:val="24"/>
                      <w:szCs w:val="24"/>
                    </w:rPr>
                    <w:t>路巡检修力度，提前做好防凌工作准备。加强了对重要干线、重要大客户</w:t>
                  </w:r>
                  <w:r>
                    <w:rPr>
                      <w:rFonts w:ascii="宋体" w:hAnsi="宋体" w:cs="宋体" w:eastAsia="宋体" w:hint="default"/>
                      <w:spacing w:val="3"/>
                      <w:sz w:val="24"/>
                      <w:szCs w:val="24"/>
                    </w:rPr>
                    <w:t> 的架空光电缆线路和各级党政军机关和重要部门电话线路的巡回检查，确 </w:t>
                  </w:r>
                  <w:r>
                    <w:rPr>
                      <w:rFonts w:ascii="宋体" w:hAnsi="宋体" w:cs="宋体" w:eastAsia="宋体" w:hint="default"/>
                      <w:spacing w:val="-1"/>
                      <w:sz w:val="24"/>
                      <w:szCs w:val="24"/>
                    </w:rPr>
                    <w:t>保通信联络畅通。另一方面对结有冰凌或积雪覆盖较厚的线缆，及时清除，</w:t>
                  </w:r>
                  <w:r>
                    <w:rPr>
                      <w:rFonts w:ascii="宋体" w:hAnsi="宋体" w:cs="宋体" w:eastAsia="宋体" w:hint="default"/>
                      <w:spacing w:val="-1"/>
                      <w:sz w:val="24"/>
                      <w:szCs w:val="24"/>
                    </w:rPr>
                    <w:t> </w:t>
                  </w:r>
                  <w:r>
                    <w:rPr>
                      <w:rFonts w:ascii="宋体" w:hAnsi="宋体" w:cs="宋体" w:eastAsia="宋体" w:hint="default"/>
                      <w:sz w:val="24"/>
                      <w:szCs w:val="24"/>
                    </w:rPr>
                    <w:t>消除隐患。</w:t>
                  </w:r>
                </w:p>
              </w:txbxContent>
            </v:textbox>
            <v:fill type="solid"/>
          </v:shape>
        </w:pict>
      </w:r>
      <w:r>
        <w:rPr>
          <w:rFonts w:ascii="宋体" w:hAnsi="宋体" w:cs="宋体" w:eastAsia="宋体" w:hint="default"/>
          <w:position w:val="-77"/>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9"/>
          <w:szCs w:val="29"/>
        </w:rPr>
      </w:pPr>
    </w:p>
    <w:p>
      <w:pPr>
        <w:tabs>
          <w:tab w:pos="2648" w:val="left" w:leader="none"/>
        </w:tabs>
        <w:spacing w:line="460" w:lineRule="exact" w:before="0"/>
        <w:ind w:left="120" w:right="144" w:firstLine="0"/>
        <w:jc w:val="left"/>
        <w:rPr>
          <w:rFonts w:ascii="黑体" w:hAnsi="黑体" w:cs="黑体" w:eastAsia="黑体" w:hint="default"/>
          <w:sz w:val="36"/>
          <w:szCs w:val="36"/>
        </w:rPr>
      </w:pPr>
      <w:r>
        <w:rPr>
          <w:rFonts w:ascii="黑体" w:hAnsi="黑体" w:cs="黑体" w:eastAsia="黑体" w:hint="default"/>
          <w:b/>
          <w:bCs/>
          <w:w w:val="95"/>
          <w:sz w:val="36"/>
          <w:szCs w:val="36"/>
        </w:rPr>
        <w:t>增加网络带宽</w:t>
        <w:tab/>
      </w:r>
      <w:r>
        <w:rPr>
          <w:rFonts w:ascii="黑体" w:hAnsi="黑体" w:cs="黑体" w:eastAsia="黑体" w:hint="default"/>
          <w:b/>
          <w:bCs/>
          <w:sz w:val="36"/>
          <w:szCs w:val="36"/>
        </w:rPr>
        <w:t>支持高考网上录取工作</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spacing w:line="408" w:lineRule="auto" w:before="0"/>
        <w:ind w:left="120" w:right="113" w:firstLine="560"/>
        <w:jc w:val="left"/>
        <w:rPr>
          <w:rFonts w:ascii="宋体" w:hAnsi="宋体" w:cs="宋体" w:eastAsia="宋体" w:hint="default"/>
          <w:sz w:val="28"/>
          <w:szCs w:val="28"/>
        </w:rPr>
      </w:pPr>
      <w:r>
        <w:rPr>
          <w:rFonts w:ascii="宋体" w:hAnsi="宋体" w:cs="宋体" w:eastAsia="宋体" w:hint="default"/>
          <w:spacing w:val="-9"/>
          <w:w w:val="99"/>
          <w:sz w:val="28"/>
          <w:szCs w:val="28"/>
        </w:rPr>
        <w:t>中国联通致力于为公众提供便捷、畅通、高效的通信与信息服务，</w:t>
      </w:r>
      <w:r>
        <w:rPr>
          <w:rFonts w:ascii="宋体" w:hAnsi="宋体" w:cs="宋体" w:eastAsia="宋体" w:hint="default"/>
          <w:w w:val="99"/>
          <w:sz w:val="28"/>
          <w:szCs w:val="28"/>
        </w:rPr>
        <w:t> </w:t>
      </w:r>
      <w:r>
        <w:rPr>
          <w:rFonts w:ascii="宋体" w:hAnsi="宋体" w:cs="宋体" w:eastAsia="宋体" w:hint="default"/>
          <w:spacing w:val="-4"/>
          <w:sz w:val="28"/>
          <w:szCs w:val="28"/>
        </w:rPr>
        <w:t>不断通过网络、业务、终端的融合创新、拓宽公众获取信息和信息交</w:t>
      </w:r>
      <w:r>
        <w:rPr>
          <w:rFonts w:ascii="宋体" w:hAnsi="宋体" w:cs="宋体" w:eastAsia="宋体" w:hint="default"/>
          <w:spacing w:val="-126"/>
          <w:sz w:val="28"/>
          <w:szCs w:val="28"/>
        </w:rPr>
        <w:t> </w:t>
      </w:r>
      <w:r>
        <w:rPr>
          <w:rFonts w:ascii="宋体" w:hAnsi="宋体" w:cs="宋体" w:eastAsia="宋体" w:hint="default"/>
          <w:spacing w:val="-126"/>
          <w:sz w:val="28"/>
          <w:szCs w:val="28"/>
        </w:rPr>
      </w:r>
      <w:r>
        <w:rPr>
          <w:rFonts w:ascii="宋体" w:hAnsi="宋体" w:cs="宋体" w:eastAsia="宋体" w:hint="default"/>
          <w:sz w:val="28"/>
          <w:szCs w:val="28"/>
        </w:rPr>
        <w:t>互的途径，以战略转型带动广泛的共赢性合作，不断拓展合作领域，</w:t>
      </w:r>
      <w:r>
        <w:rPr>
          <w:rFonts w:ascii="宋体" w:hAnsi="宋体" w:cs="宋体" w:eastAsia="宋体" w:hint="default"/>
          <w:w w:val="99"/>
          <w:sz w:val="28"/>
          <w:szCs w:val="28"/>
        </w:rPr>
        <w:t> </w:t>
      </w:r>
      <w:r>
        <w:rPr>
          <w:rFonts w:ascii="宋体" w:hAnsi="宋体" w:cs="宋体" w:eastAsia="宋体" w:hint="default"/>
          <w:spacing w:val="-4"/>
          <w:sz w:val="28"/>
          <w:szCs w:val="28"/>
        </w:rPr>
        <w:t>提高全行业的运营效益，更好地实现为国民经济和社会发展服务的目</w:t>
      </w:r>
    </w:p>
    <w:p>
      <w:pPr>
        <w:spacing w:after="0" w:line="408" w:lineRule="auto"/>
        <w:jc w:val="left"/>
        <w:rPr>
          <w:rFonts w:ascii="宋体" w:hAnsi="宋体" w:cs="宋体" w:eastAsia="宋体" w:hint="default"/>
          <w:sz w:val="28"/>
          <w:szCs w:val="28"/>
        </w:rPr>
        <w:sectPr>
          <w:headerReference w:type="default" r:id="rId233"/>
          <w:footerReference w:type="default" r:id="rId234"/>
          <w:pgSz w:w="11910" w:h="16840"/>
          <w:pgMar w:header="0" w:footer="982" w:top="1600" w:bottom="1180" w:left="1680" w:right="1540"/>
          <w:pgNumType w:start="29"/>
        </w:sectPr>
      </w:pPr>
    </w:p>
    <w:p>
      <w:pPr>
        <w:pStyle w:val="Heading7"/>
        <w:spacing w:line="351" w:lineRule="exact"/>
        <w:ind w:right="0"/>
        <w:jc w:val="left"/>
      </w:pPr>
      <w:r>
        <w:rPr/>
        <w:t>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spacing w:line="4446" w:lineRule="exact"/>
        <w:ind w:left="140" w:right="0" w:firstLine="0"/>
        <w:rPr>
          <w:rFonts w:ascii="宋体" w:hAnsi="宋体" w:cs="宋体" w:eastAsia="宋体" w:hint="default"/>
          <w:sz w:val="20"/>
          <w:szCs w:val="20"/>
        </w:rPr>
      </w:pPr>
      <w:r>
        <w:rPr>
          <w:rFonts w:ascii="宋体" w:hAnsi="宋体" w:cs="宋体" w:eastAsia="宋体" w:hint="default"/>
          <w:position w:val="-88"/>
          <w:sz w:val="20"/>
          <w:szCs w:val="20"/>
        </w:rPr>
        <w:pict>
          <v:shape style="width:414pt;height:222.3pt;mso-position-horizontal-relative:char;mso-position-vertical-relative:line" type="#_x0000_t202" filled="true" fillcolor="#ffcccc" stroked="true" strokeweight=".75pt" strokecolor="#ffccff">
            <w10:anchorlock/>
            <v:textbox inset="0,0,0,0">
              <w:txbxContent>
                <w:p>
                  <w:pPr>
                    <w:spacing w:line="357" w:lineRule="auto" w:before="113"/>
                    <w:ind w:left="143" w:right="141" w:firstLine="0"/>
                    <w:jc w:val="both"/>
                    <w:rPr>
                      <w:rFonts w:ascii="宋体" w:hAnsi="宋体" w:cs="宋体" w:eastAsia="宋体" w:hint="default"/>
                      <w:sz w:val="24"/>
                      <w:szCs w:val="24"/>
                    </w:rPr>
                  </w:pPr>
                  <w:r>
                    <w:rPr>
                      <w:rFonts w:ascii="宋体" w:hAnsi="宋体" w:cs="宋体" w:eastAsia="宋体" w:hint="default"/>
                      <w:sz w:val="24"/>
                      <w:szCs w:val="24"/>
                    </w:rPr>
                    <w:t>◆随着国家信息化进程的逐步推进，互联网应用已经为行政管理、企业管理</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带来了一场变革，普通高校网上录取工作就是其中典型。网上录取提高了招</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生考试的现代化管理水平，有利于进一步贯彻公平、公正的招生录取原则，</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是招生管理手段现代化的发展方向，是招生录取工作走向规范化、科学化、</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现代化管理的一个重要步骤。为支持网上高考录取工作，中国联通长期免费</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为教育网提供互联网访问带宽，改善教育网用户访问我公司互联网资源的访</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问质量，为广大师生提供优质便捷的信息平台，促进了校园信息文化建设，</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为我国高等教育和科研事业的发展做出了积极的贡献。2009</w:t>
                  </w:r>
                  <w:r>
                    <w:rPr>
                      <w:rFonts w:ascii="宋体" w:hAnsi="宋体" w:cs="宋体" w:eastAsia="宋体" w:hint="default"/>
                      <w:spacing w:val="-80"/>
                      <w:sz w:val="24"/>
                      <w:szCs w:val="24"/>
                    </w:rPr>
                    <w:t> </w:t>
                  </w:r>
                  <w:r>
                    <w:rPr>
                      <w:rFonts w:ascii="宋体" w:hAnsi="宋体" w:cs="宋体" w:eastAsia="宋体" w:hint="default"/>
                      <w:sz w:val="24"/>
                      <w:szCs w:val="24"/>
                    </w:rPr>
                    <w:t>年两次为教育网</w:t>
                  </w:r>
                  <w:r>
                    <w:rPr>
                      <w:rFonts w:ascii="宋体" w:hAnsi="宋体" w:cs="宋体" w:eastAsia="宋体" w:hint="default"/>
                      <w:spacing w:val="-1"/>
                      <w:sz w:val="24"/>
                      <w:szCs w:val="24"/>
                    </w:rPr>
                    <w:t> </w:t>
                  </w:r>
                  <w:r>
                    <w:rPr>
                      <w:rFonts w:ascii="宋体" w:hAnsi="宋体" w:cs="宋体" w:eastAsia="宋体" w:hint="default"/>
                      <w:sz w:val="24"/>
                      <w:szCs w:val="24"/>
                    </w:rPr>
                    <w:t>增加访问带宽</w:t>
                  </w:r>
                  <w:r>
                    <w:rPr>
                      <w:rFonts w:ascii="宋体" w:hAnsi="宋体" w:cs="宋体" w:eastAsia="宋体" w:hint="default"/>
                      <w:spacing w:val="-60"/>
                      <w:sz w:val="24"/>
                      <w:szCs w:val="24"/>
                    </w:rPr>
                    <w:t> </w:t>
                  </w:r>
                  <w:r>
                    <w:rPr>
                      <w:rFonts w:ascii="宋体" w:hAnsi="宋体" w:cs="宋体" w:eastAsia="宋体" w:hint="default"/>
                      <w:sz w:val="24"/>
                      <w:szCs w:val="24"/>
                    </w:rPr>
                    <w:t>7.5G，确保了网上招生的顺利进行。</w:t>
                  </w:r>
                </w:p>
              </w:txbxContent>
            </v:textbox>
            <v:fill type="solid"/>
          </v:shape>
        </w:pict>
      </w:r>
      <w:r>
        <w:rPr>
          <w:rFonts w:ascii="宋体" w:hAnsi="宋体" w:cs="宋体" w:eastAsia="宋体" w:hint="default"/>
          <w:position w:val="-88"/>
          <w:sz w:val="20"/>
          <w:szCs w:val="20"/>
        </w:rPr>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12"/>
        <w:rPr>
          <w:rFonts w:ascii="宋体" w:hAnsi="宋体" w:cs="宋体" w:eastAsia="宋体" w:hint="default"/>
          <w:sz w:val="24"/>
          <w:szCs w:val="24"/>
        </w:rPr>
      </w:pPr>
    </w:p>
    <w:p>
      <w:pPr>
        <w:spacing w:before="0"/>
        <w:ind w:left="120" w:right="0" w:firstLine="0"/>
        <w:jc w:val="left"/>
        <w:rPr>
          <w:rFonts w:ascii="黑体" w:hAnsi="黑体" w:cs="黑体" w:eastAsia="黑体" w:hint="default"/>
          <w:sz w:val="36"/>
          <w:szCs w:val="36"/>
        </w:rPr>
      </w:pPr>
      <w:r>
        <w:rPr>
          <w:rFonts w:ascii="黑体" w:hAnsi="黑体" w:cs="黑体" w:eastAsia="黑体" w:hint="default"/>
          <w:b/>
          <w:bCs/>
          <w:sz w:val="36"/>
          <w:szCs w:val="36"/>
        </w:rPr>
        <w:t>不断提高网间通信质量</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spacing w:line="408" w:lineRule="auto" w:before="0"/>
        <w:ind w:left="120" w:right="0" w:firstLine="560"/>
        <w:jc w:val="left"/>
        <w:rPr>
          <w:rFonts w:ascii="宋体" w:hAnsi="宋体" w:cs="宋体" w:eastAsia="宋体" w:hint="default"/>
          <w:sz w:val="28"/>
          <w:szCs w:val="28"/>
        </w:rPr>
      </w:pPr>
      <w:r>
        <w:rPr>
          <w:rFonts w:ascii="宋体" w:hAnsi="宋体" w:cs="宋体" w:eastAsia="宋体" w:hint="default"/>
          <w:spacing w:val="-4"/>
          <w:sz w:val="28"/>
          <w:szCs w:val="28"/>
        </w:rPr>
        <w:t>中国联通始终将提高网间通信质量作为工作重点，千方百计保障</w:t>
      </w:r>
      <w:r>
        <w:rPr>
          <w:rFonts w:ascii="宋体" w:hAnsi="宋体" w:cs="宋体" w:eastAsia="宋体" w:hint="default"/>
          <w:w w:val="99"/>
          <w:sz w:val="28"/>
          <w:szCs w:val="28"/>
        </w:rPr>
        <w:t> </w:t>
      </w:r>
      <w:r>
        <w:rPr>
          <w:rFonts w:ascii="宋体" w:hAnsi="宋体" w:cs="宋体" w:eastAsia="宋体" w:hint="default"/>
          <w:sz w:val="28"/>
          <w:szCs w:val="28"/>
        </w:rPr>
        <w:t>网间通信安全。</w:t>
      </w:r>
    </w:p>
    <w:p>
      <w:pPr>
        <w:spacing w:line="240" w:lineRule="auto" w:before="6"/>
        <w:rPr>
          <w:rFonts w:ascii="宋体" w:hAnsi="宋体" w:cs="宋体" w:eastAsia="宋体" w:hint="default"/>
          <w:sz w:val="27"/>
          <w:szCs w:val="27"/>
        </w:rPr>
      </w:pPr>
    </w:p>
    <w:p>
      <w:pPr>
        <w:spacing w:line="3681" w:lineRule="exact"/>
        <w:ind w:left="132" w:right="0" w:firstLine="0"/>
        <w:rPr>
          <w:rFonts w:ascii="宋体" w:hAnsi="宋体" w:cs="宋体" w:eastAsia="宋体" w:hint="default"/>
          <w:sz w:val="20"/>
          <w:szCs w:val="20"/>
        </w:rPr>
      </w:pPr>
      <w:r>
        <w:rPr>
          <w:rFonts w:ascii="宋体" w:hAnsi="宋体" w:cs="宋体" w:eastAsia="宋体" w:hint="default"/>
          <w:position w:val="-73"/>
          <w:sz w:val="20"/>
          <w:szCs w:val="20"/>
        </w:rPr>
        <w:pict>
          <v:shape style="width:414.75pt;height:184.05pt;mso-position-horizontal-relative:char;mso-position-vertical-relative:line" type="#_x0000_t202" filled="true" fillcolor="#ccff99" stroked="false">
            <w10:anchorlock/>
            <v:textbox inset="0,0,0,0">
              <w:txbxContent>
                <w:p>
                  <w:pPr>
                    <w:spacing w:line="357" w:lineRule="auto" w:before="128"/>
                    <w:ind w:left="158" w:right="156" w:firstLine="0"/>
                    <w:jc w:val="both"/>
                    <w:rPr>
                      <w:rFonts w:ascii="宋体" w:hAnsi="宋体" w:cs="宋体" w:eastAsia="宋体" w:hint="default"/>
                      <w:sz w:val="24"/>
                      <w:szCs w:val="24"/>
                    </w:rPr>
                  </w:pPr>
                  <w:r>
                    <w:rPr>
                      <w:rFonts w:ascii="宋体" w:hAnsi="宋体" w:cs="宋体" w:eastAsia="宋体" w:hint="default"/>
                      <w:sz w:val="24"/>
                      <w:szCs w:val="24"/>
                    </w:rPr>
                    <w:t>◆充分利用现有网络资源，逐步实现各地市双关口局、双路由、综合业务的</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网间互联架构。</w:t>
                  </w:r>
                </w:p>
                <w:p>
                  <w:pPr>
                    <w:spacing w:line="357" w:lineRule="auto" w:before="36"/>
                    <w:ind w:left="158" w:right="156" w:firstLine="0"/>
                    <w:jc w:val="both"/>
                    <w:rPr>
                      <w:rFonts w:ascii="宋体" w:hAnsi="宋体" w:cs="宋体" w:eastAsia="宋体" w:hint="default"/>
                      <w:sz w:val="24"/>
                      <w:szCs w:val="24"/>
                    </w:rPr>
                  </w:pPr>
                  <w:r>
                    <w:rPr>
                      <w:rFonts w:ascii="宋体" w:hAnsi="宋体" w:cs="宋体" w:eastAsia="宋体" w:hint="default"/>
                      <w:sz w:val="24"/>
                      <w:szCs w:val="24"/>
                    </w:rPr>
                    <w:t>◆在网间通信质量日常管理过程中，将网间去话接通率纳入 KPI</w:t>
                  </w:r>
                  <w:r>
                    <w:rPr>
                      <w:rFonts w:ascii="宋体" w:hAnsi="宋体" w:cs="宋体" w:eastAsia="宋体" w:hint="default"/>
                      <w:spacing w:val="-91"/>
                      <w:sz w:val="24"/>
                      <w:szCs w:val="24"/>
                    </w:rPr>
                    <w:t> </w:t>
                  </w:r>
                  <w:r>
                    <w:rPr>
                      <w:rFonts w:ascii="宋体" w:hAnsi="宋体" w:cs="宋体" w:eastAsia="宋体" w:hint="default"/>
                      <w:sz w:val="24"/>
                      <w:szCs w:val="24"/>
                    </w:rPr>
                    <w:t>考核指标，</w:t>
                  </w:r>
                  <w:r>
                    <w:rPr>
                      <w:rFonts w:ascii="宋体" w:hAnsi="宋体" w:cs="宋体" w:eastAsia="宋体" w:hint="default"/>
                      <w:spacing w:val="-1"/>
                      <w:sz w:val="24"/>
                      <w:szCs w:val="24"/>
                    </w:rPr>
                    <w:t> </w:t>
                  </w:r>
                  <w:r>
                    <w:rPr>
                      <w:rFonts w:ascii="宋体" w:hAnsi="宋体" w:cs="宋体" w:eastAsia="宋体" w:hint="default"/>
                      <w:sz w:val="24"/>
                      <w:szCs w:val="24"/>
                    </w:rPr>
                    <w:t>督促所属各级分公司细化网间通信质量监测制度，强化网间通信质量趋势分</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析，确保网间通信质量的稳定。</w:t>
                  </w:r>
                </w:p>
                <w:p>
                  <w:pPr>
                    <w:spacing w:line="357" w:lineRule="auto" w:before="36"/>
                    <w:ind w:left="158" w:right="156" w:firstLine="0"/>
                    <w:jc w:val="both"/>
                    <w:rPr>
                      <w:rFonts w:ascii="宋体" w:hAnsi="宋体" w:cs="宋体" w:eastAsia="宋体" w:hint="default"/>
                      <w:sz w:val="24"/>
                      <w:szCs w:val="24"/>
                    </w:rPr>
                  </w:pPr>
                  <w:r>
                    <w:rPr>
                      <w:rFonts w:ascii="宋体" w:hAnsi="宋体" w:cs="宋体" w:eastAsia="宋体" w:hint="default"/>
                      <w:sz w:val="24"/>
                      <w:szCs w:val="24"/>
                    </w:rPr>
                    <w:t>◆积极推动网间应急预案制定工作，会同其他运营企业将网间通信应急预案</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优化和演练常态化，确保网间通信迂回路由、第三方转接方案确实可行。</w:t>
                  </w:r>
                </w:p>
              </w:txbxContent>
            </v:textbox>
            <v:fill type="solid"/>
          </v:shape>
        </w:pict>
      </w:r>
      <w:r>
        <w:rPr>
          <w:rFonts w:ascii="宋体" w:hAnsi="宋体" w:cs="宋体" w:eastAsia="宋体" w:hint="default"/>
          <w:position w:val="-73"/>
          <w:sz w:val="20"/>
          <w:szCs w:val="20"/>
        </w:rPr>
      </w:r>
    </w:p>
    <w:p>
      <w:pPr>
        <w:spacing w:after="0" w:line="3681" w:lineRule="exact"/>
        <w:rPr>
          <w:rFonts w:ascii="宋体" w:hAnsi="宋体" w:cs="宋体" w:eastAsia="宋体" w:hint="default"/>
          <w:sz w:val="20"/>
          <w:szCs w:val="20"/>
        </w:rPr>
        <w:sectPr>
          <w:headerReference w:type="default" r:id="rId235"/>
          <w:footerReference w:type="default" r:id="rId236"/>
          <w:pgSz w:w="11910" w:h="16840"/>
          <w:pgMar w:header="0" w:footer="982" w:top="1540" w:bottom="1180" w:left="1680" w:right="1680"/>
          <w:pgNumType w:start="3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pStyle w:val="Heading7"/>
        <w:spacing w:line="408" w:lineRule="auto" w:before="13"/>
        <w:ind w:right="112" w:firstLine="560"/>
        <w:jc w:val="both"/>
      </w:pPr>
      <w:r>
        <w:rPr/>
        <w:t>2009</w:t>
      </w:r>
      <w:r>
        <w:rPr>
          <w:spacing w:val="-74"/>
        </w:rPr>
        <w:t> </w:t>
      </w:r>
      <w:r>
        <w:rPr>
          <w:spacing w:val="-7"/>
        </w:rPr>
        <w:t>年，中国联通网间去话接通率在</w:t>
      </w:r>
      <w:r>
        <w:rPr>
          <w:spacing w:val="-73"/>
        </w:rPr>
        <w:t> </w:t>
      </w:r>
      <w:r>
        <w:rPr/>
        <w:t>2008</w:t>
      </w:r>
      <w:r>
        <w:rPr>
          <w:spacing w:val="-72"/>
        </w:rPr>
        <w:t> </w:t>
      </w:r>
      <w:r>
        <w:rPr/>
        <w:t>年</w:t>
      </w:r>
      <w:r>
        <w:rPr>
          <w:spacing w:val="-73"/>
        </w:rPr>
        <w:t> </w:t>
      </w:r>
      <w:r>
        <w:rPr/>
        <w:t>95％的基础上稳中</w:t>
      </w:r>
      <w:r>
        <w:rPr>
          <w:w w:val="99"/>
        </w:rPr>
        <w:t> </w:t>
      </w:r>
      <w:r>
        <w:rPr/>
        <w:t>有升，达到</w:t>
      </w:r>
      <w:r>
        <w:rPr>
          <w:spacing w:val="40"/>
        </w:rPr>
        <w:t> </w:t>
      </w:r>
      <w:r>
        <w:rPr/>
        <w:t>97％；网间中继负荷满足政府监管部门的总体要求，并</w:t>
      </w:r>
      <w:r>
        <w:rPr>
          <w:spacing w:val="-137"/>
        </w:rPr>
        <w:t> </w:t>
      </w:r>
      <w:r>
        <w:rPr>
          <w:spacing w:val="-137"/>
        </w:rPr>
      </w:r>
      <w:r>
        <w:rPr/>
        <w:t>能够通过动态调整，适应节假日、重大事件期间的峰值要求。</w:t>
      </w:r>
    </w:p>
    <w:p>
      <w:pPr>
        <w:spacing w:before="61"/>
        <w:ind w:left="680" w:right="0" w:firstLine="0"/>
        <w:jc w:val="left"/>
        <w:rPr>
          <w:rFonts w:ascii="宋体" w:hAnsi="宋体" w:cs="宋体" w:eastAsia="宋体" w:hint="default"/>
          <w:sz w:val="28"/>
          <w:szCs w:val="28"/>
        </w:rPr>
      </w:pPr>
      <w:r>
        <w:rPr>
          <w:rFonts w:ascii="宋体" w:hAnsi="宋体" w:cs="宋体" w:eastAsia="宋体" w:hint="default"/>
          <w:sz w:val="28"/>
          <w:szCs w:val="28"/>
        </w:rPr>
        <w:t>2009</w:t>
      </w:r>
      <w:r>
        <w:rPr>
          <w:rFonts w:ascii="宋体" w:hAnsi="宋体" w:cs="宋体" w:eastAsia="宋体" w:hint="default"/>
          <w:spacing w:val="24"/>
          <w:sz w:val="28"/>
          <w:szCs w:val="28"/>
        </w:rPr>
        <w:t> </w:t>
      </w:r>
      <w:r>
        <w:rPr>
          <w:rFonts w:ascii="宋体" w:hAnsi="宋体" w:cs="宋体" w:eastAsia="宋体" w:hint="default"/>
          <w:spacing w:val="13"/>
          <w:sz w:val="28"/>
          <w:szCs w:val="28"/>
        </w:rPr>
        <w:t>年，中国联通主动与国内互联网优势企业实现网间扩容</w:t>
      </w:r>
      <w:r>
        <w:rPr>
          <w:rFonts w:ascii="宋体" w:hAnsi="宋体" w:cs="宋体" w:eastAsia="宋体" w:hint="default"/>
          <w:sz w:val="28"/>
          <w:szCs w:val="28"/>
        </w:rPr>
      </w:r>
    </w:p>
    <w:p>
      <w:pPr>
        <w:spacing w:line="240" w:lineRule="auto" w:before="9"/>
        <w:rPr>
          <w:rFonts w:ascii="宋体" w:hAnsi="宋体" w:cs="宋体" w:eastAsia="宋体" w:hint="default"/>
          <w:sz w:val="19"/>
          <w:szCs w:val="19"/>
        </w:rPr>
      </w:pPr>
    </w:p>
    <w:p>
      <w:pPr>
        <w:spacing w:line="408" w:lineRule="auto" w:before="0"/>
        <w:ind w:left="120" w:right="0" w:firstLine="0"/>
        <w:jc w:val="left"/>
        <w:rPr>
          <w:rFonts w:ascii="宋体" w:hAnsi="宋体" w:cs="宋体" w:eastAsia="宋体" w:hint="default"/>
          <w:sz w:val="28"/>
          <w:szCs w:val="28"/>
        </w:rPr>
      </w:pPr>
      <w:r>
        <w:rPr>
          <w:rFonts w:ascii="宋体" w:hAnsi="宋体" w:cs="宋体" w:eastAsia="宋体" w:hint="default"/>
          <w:sz w:val="28"/>
          <w:szCs w:val="28"/>
        </w:rPr>
        <w:t>80G，使网间互访质量得到显著改善，网间时延、丢包率分别较扩容</w:t>
      </w:r>
      <w:r>
        <w:rPr>
          <w:rFonts w:ascii="宋体" w:hAnsi="宋体" w:cs="宋体" w:eastAsia="宋体" w:hint="default"/>
          <w:spacing w:val="-97"/>
          <w:sz w:val="28"/>
          <w:szCs w:val="28"/>
        </w:rPr>
        <w:t> </w:t>
      </w:r>
      <w:r>
        <w:rPr>
          <w:rFonts w:ascii="宋体" w:hAnsi="宋体" w:cs="宋体" w:eastAsia="宋体" w:hint="default"/>
          <w:spacing w:val="-97"/>
          <w:sz w:val="28"/>
          <w:szCs w:val="28"/>
        </w:rPr>
      </w:r>
      <w:r>
        <w:rPr>
          <w:rFonts w:ascii="宋体" w:hAnsi="宋体" w:cs="宋体" w:eastAsia="宋体" w:hint="default"/>
          <w:sz w:val="28"/>
          <w:szCs w:val="28"/>
        </w:rPr>
        <w:t>前降低</w:t>
      </w:r>
      <w:r>
        <w:rPr>
          <w:rFonts w:ascii="宋体" w:hAnsi="宋体" w:cs="宋体" w:eastAsia="宋体" w:hint="default"/>
          <w:spacing w:val="-75"/>
          <w:sz w:val="28"/>
          <w:szCs w:val="28"/>
        </w:rPr>
        <w:t> </w:t>
      </w:r>
      <w:r>
        <w:rPr>
          <w:rFonts w:ascii="宋体" w:hAnsi="宋体" w:cs="宋体" w:eastAsia="宋体" w:hint="default"/>
          <w:sz w:val="28"/>
          <w:szCs w:val="28"/>
        </w:rPr>
        <w:t>40％和</w:t>
      </w:r>
      <w:r>
        <w:rPr>
          <w:rFonts w:ascii="宋体" w:hAnsi="宋体" w:cs="宋体" w:eastAsia="宋体" w:hint="default"/>
          <w:spacing w:val="-75"/>
          <w:sz w:val="28"/>
          <w:szCs w:val="28"/>
        </w:rPr>
        <w:t> </w:t>
      </w:r>
      <w:r>
        <w:rPr>
          <w:rFonts w:ascii="宋体" w:hAnsi="宋体" w:cs="宋体" w:eastAsia="宋体" w:hint="default"/>
          <w:sz w:val="28"/>
          <w:szCs w:val="28"/>
        </w:rPr>
        <w:t>25％，顺应了广大互联网用户需求。</w:t>
      </w:r>
    </w:p>
    <w:p>
      <w:pPr>
        <w:spacing w:before="61"/>
        <w:ind w:left="624" w:right="0" w:firstLine="0"/>
        <w:jc w:val="left"/>
        <w:rPr>
          <w:rFonts w:ascii="宋体" w:hAnsi="宋体" w:cs="宋体" w:eastAsia="宋体" w:hint="default"/>
          <w:sz w:val="28"/>
          <w:szCs w:val="28"/>
        </w:rPr>
      </w:pPr>
      <w:r>
        <w:rPr>
          <w:rFonts w:ascii="宋体" w:hAnsi="宋体" w:cs="宋体" w:eastAsia="宋体" w:hint="default"/>
          <w:sz w:val="28"/>
          <w:szCs w:val="28"/>
        </w:rPr>
        <w:t>2009</w:t>
      </w:r>
      <w:r>
        <w:rPr>
          <w:rFonts w:ascii="宋体" w:hAnsi="宋体" w:cs="宋体" w:eastAsia="宋体" w:hint="default"/>
          <w:spacing w:val="-82"/>
          <w:sz w:val="28"/>
          <w:szCs w:val="28"/>
        </w:rPr>
        <w:t> </w:t>
      </w:r>
      <w:r>
        <w:rPr>
          <w:rFonts w:ascii="宋体" w:hAnsi="宋体" w:cs="宋体" w:eastAsia="宋体" w:hint="default"/>
          <w:sz w:val="28"/>
          <w:szCs w:val="28"/>
        </w:rPr>
        <w:t>年，中国联通未发生网间重大通信障碍和事故。</w:t>
      </w:r>
    </w:p>
    <w:p>
      <w:pPr>
        <w:spacing w:after="0"/>
        <w:jc w:val="left"/>
        <w:rPr>
          <w:rFonts w:ascii="宋体" w:hAnsi="宋体" w:cs="宋体" w:eastAsia="宋体" w:hint="default"/>
          <w:sz w:val="28"/>
          <w:szCs w:val="28"/>
        </w:rPr>
        <w:sectPr>
          <w:headerReference w:type="default" r:id="rId237"/>
          <w:footerReference w:type="default" r:id="rId238"/>
          <w:pgSz w:w="11910" w:h="16840"/>
          <w:pgMar w:header="0" w:footer="982" w:top="1600" w:bottom="1180" w:left="1680" w:right="1680"/>
          <w:pgNumType w:start="31"/>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pStyle w:val="Heading1"/>
        <w:spacing w:line="632" w:lineRule="exact"/>
        <w:ind w:left="1411" w:right="144"/>
        <w:jc w:val="left"/>
        <w:rPr>
          <w:b w:val="0"/>
          <w:bCs w:val="0"/>
        </w:rPr>
      </w:pPr>
      <w:r>
        <w:rPr/>
        <w:t>服务社会主义新农村建设</w:t>
      </w:r>
      <w:r>
        <w:rPr>
          <w:b w:val="0"/>
          <w:bCs w:val="0"/>
        </w:rPr>
      </w:r>
    </w:p>
    <w:p>
      <w:pPr>
        <w:spacing w:line="240" w:lineRule="auto" w:before="0"/>
        <w:rPr>
          <w:rFonts w:ascii="华文行楷" w:hAnsi="华文行楷" w:cs="华文行楷" w:eastAsia="华文行楷" w:hint="default"/>
          <w:b/>
          <w:bCs/>
          <w:sz w:val="52"/>
          <w:szCs w:val="52"/>
        </w:rPr>
      </w:pPr>
    </w:p>
    <w:p>
      <w:pPr>
        <w:spacing w:line="240" w:lineRule="auto" w:before="6"/>
        <w:rPr>
          <w:rFonts w:ascii="华文行楷" w:hAnsi="华文行楷" w:cs="华文行楷" w:eastAsia="华文行楷" w:hint="default"/>
          <w:b/>
          <w:bCs/>
          <w:sz w:val="58"/>
          <w:szCs w:val="58"/>
        </w:rPr>
      </w:pPr>
    </w:p>
    <w:p>
      <w:pPr>
        <w:spacing w:line="388" w:lineRule="auto" w:before="0"/>
        <w:ind w:left="120" w:right="254" w:firstLine="560"/>
        <w:jc w:val="both"/>
        <w:rPr>
          <w:rFonts w:ascii="华文行楷" w:hAnsi="华文行楷" w:cs="华文行楷" w:eastAsia="华文行楷" w:hint="default"/>
          <w:sz w:val="28"/>
          <w:szCs w:val="28"/>
        </w:rPr>
      </w:pPr>
      <w:r>
        <w:rPr>
          <w:rFonts w:ascii="华文行楷" w:hAnsi="华文行楷" w:cs="华文行楷" w:eastAsia="华文行楷" w:hint="default"/>
          <w:i/>
          <w:spacing w:val="3"/>
          <w:sz w:val="28"/>
          <w:szCs w:val="28"/>
        </w:rPr>
        <w:t>用信息技术服务于社会主义新农村建设，促进农村地区发展成</w:t>
      </w:r>
      <w:r>
        <w:rPr>
          <w:rFonts w:ascii="华文行楷" w:hAnsi="华文行楷" w:cs="华文行楷" w:eastAsia="华文行楷" w:hint="default"/>
          <w:i/>
          <w:spacing w:val="10"/>
          <w:w w:val="99"/>
          <w:sz w:val="28"/>
          <w:szCs w:val="28"/>
        </w:rPr>
        <w:t> </w:t>
      </w:r>
      <w:r>
        <w:rPr>
          <w:rFonts w:ascii="华文行楷" w:hAnsi="华文行楷" w:cs="华文行楷" w:eastAsia="华文行楷" w:hint="default"/>
          <w:i/>
          <w:spacing w:val="6"/>
          <w:sz w:val="28"/>
          <w:szCs w:val="28"/>
        </w:rPr>
        <w:t>为经济繁荣、设施完善、环境优美、文明和谐的社会主义新农村是</w:t>
      </w:r>
      <w:r>
        <w:rPr>
          <w:rFonts w:ascii="华文行楷" w:hAnsi="华文行楷" w:cs="华文行楷" w:eastAsia="华文行楷" w:hint="default"/>
          <w:i/>
          <w:spacing w:val="10"/>
          <w:w w:val="99"/>
          <w:sz w:val="28"/>
          <w:szCs w:val="28"/>
        </w:rPr>
        <w:t> </w:t>
      </w:r>
      <w:r>
        <w:rPr>
          <w:rFonts w:ascii="华文行楷" w:hAnsi="华文行楷" w:cs="华文行楷" w:eastAsia="华文行楷" w:hint="default"/>
          <w:i/>
          <w:spacing w:val="10"/>
          <w:sz w:val="28"/>
          <w:szCs w:val="28"/>
        </w:rPr>
        <w:t>我们义不容辞的责任。</w:t>
      </w:r>
      <w:r>
        <w:rPr>
          <w:rFonts w:ascii="华文行楷" w:hAnsi="华文行楷" w:cs="华文行楷" w:eastAsia="华文行楷" w:hint="default"/>
          <w:sz w:val="28"/>
          <w:szCs w:val="28"/>
        </w:rPr>
      </w:r>
    </w:p>
    <w:p>
      <w:pPr>
        <w:spacing w:line="240" w:lineRule="auto" w:before="0"/>
        <w:rPr>
          <w:rFonts w:ascii="华文行楷" w:hAnsi="华文行楷" w:cs="华文行楷" w:eastAsia="华文行楷" w:hint="default"/>
          <w:i/>
          <w:sz w:val="28"/>
          <w:szCs w:val="28"/>
        </w:rPr>
      </w:pPr>
    </w:p>
    <w:p>
      <w:pPr>
        <w:spacing w:line="316" w:lineRule="auto" w:before="243"/>
        <w:ind w:left="120" w:right="144" w:firstLine="0"/>
        <w:jc w:val="left"/>
        <w:rPr>
          <w:rFonts w:ascii="黑体" w:hAnsi="黑体" w:cs="黑体" w:eastAsia="黑体" w:hint="default"/>
          <w:sz w:val="36"/>
          <w:szCs w:val="36"/>
        </w:rPr>
      </w:pPr>
      <w:r>
        <w:rPr>
          <w:rFonts w:ascii="黑体" w:hAnsi="黑体" w:cs="黑体" w:eastAsia="黑体" w:hint="default"/>
          <w:b/>
          <w:bCs/>
          <w:w w:val="95"/>
          <w:sz w:val="36"/>
          <w:szCs w:val="36"/>
        </w:rPr>
        <w:t>积极推进“村村通”工程，承担为农村提供普遍服务</w:t>
      </w:r>
      <w:r>
        <w:rPr>
          <w:rFonts w:ascii="黑体" w:hAnsi="黑体" w:cs="黑体" w:eastAsia="黑体" w:hint="default"/>
          <w:b/>
          <w:bCs/>
          <w:spacing w:val="58"/>
          <w:w w:val="95"/>
          <w:sz w:val="36"/>
          <w:szCs w:val="36"/>
        </w:rPr>
        <w:t> </w:t>
      </w:r>
      <w:r>
        <w:rPr>
          <w:rFonts w:ascii="黑体" w:hAnsi="黑体" w:cs="黑体" w:eastAsia="黑体" w:hint="default"/>
          <w:b/>
          <w:bCs/>
          <w:spacing w:val="58"/>
          <w:w w:val="95"/>
          <w:sz w:val="36"/>
          <w:szCs w:val="36"/>
        </w:rPr>
      </w:r>
      <w:r>
        <w:rPr>
          <w:rFonts w:ascii="黑体" w:hAnsi="黑体" w:cs="黑体" w:eastAsia="黑体" w:hint="default"/>
          <w:b/>
          <w:bCs/>
          <w:sz w:val="36"/>
          <w:szCs w:val="36"/>
        </w:rPr>
        <w:t>的重任</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408" w:lineRule="auto" w:before="254"/>
        <w:ind w:left="119" w:right="113" w:firstLine="560"/>
        <w:jc w:val="left"/>
        <w:rPr>
          <w:rFonts w:ascii="宋体" w:hAnsi="宋体" w:cs="宋体" w:eastAsia="宋体" w:hint="default"/>
          <w:sz w:val="28"/>
          <w:szCs w:val="28"/>
        </w:rPr>
      </w:pPr>
      <w:r>
        <w:rPr>
          <w:rFonts w:ascii="宋体" w:hAnsi="宋体" w:cs="宋体" w:eastAsia="宋体" w:hint="default"/>
          <w:sz w:val="28"/>
          <w:szCs w:val="28"/>
        </w:rPr>
        <w:t>中国联通始终致力于农村普遍服务的建设发展，克服网络规模</w:t>
      </w:r>
      <w:r>
        <w:rPr>
          <w:rFonts w:ascii="宋体" w:hAnsi="宋体" w:cs="宋体" w:eastAsia="宋体" w:hint="default"/>
          <w:w w:val="99"/>
          <w:sz w:val="28"/>
          <w:szCs w:val="28"/>
        </w:rPr>
        <w:t> </w:t>
      </w:r>
      <w:r>
        <w:rPr>
          <w:rFonts w:ascii="宋体" w:hAnsi="宋体" w:cs="宋体" w:eastAsia="宋体" w:hint="default"/>
          <w:spacing w:val="-4"/>
          <w:sz w:val="28"/>
          <w:szCs w:val="28"/>
        </w:rPr>
        <w:t>小、网络布局不均衡、资金紧张、自然环境恶劣、施工期短等诸多困</w:t>
      </w:r>
      <w:r>
        <w:rPr>
          <w:rFonts w:ascii="宋体" w:hAnsi="宋体" w:cs="宋体" w:eastAsia="宋体" w:hint="default"/>
          <w:spacing w:val="-129"/>
          <w:sz w:val="28"/>
          <w:szCs w:val="28"/>
        </w:rPr>
        <w:t> </w:t>
      </w:r>
      <w:r>
        <w:rPr>
          <w:rFonts w:ascii="宋体" w:hAnsi="宋体" w:cs="宋体" w:eastAsia="宋体" w:hint="default"/>
          <w:spacing w:val="-129"/>
          <w:sz w:val="28"/>
          <w:szCs w:val="28"/>
        </w:rPr>
      </w:r>
      <w:r>
        <w:rPr>
          <w:rFonts w:ascii="宋体" w:hAnsi="宋体" w:cs="宋体" w:eastAsia="宋体" w:hint="default"/>
          <w:spacing w:val="-4"/>
          <w:sz w:val="28"/>
          <w:szCs w:val="28"/>
        </w:rPr>
        <w:t>难，承担20多个省、区村通工程的义务，有计划、有步骤地实施农村</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8"/>
          <w:sz w:val="28"/>
          <w:szCs w:val="28"/>
        </w:rPr>
        <w:t>通信建设，为农村通信事业投入了大量资金，建成了大容量、高效率、</w:t>
      </w:r>
      <w:r>
        <w:rPr>
          <w:rFonts w:ascii="宋体" w:hAnsi="宋体" w:cs="宋体" w:eastAsia="宋体" w:hint="default"/>
          <w:spacing w:val="-136"/>
          <w:sz w:val="28"/>
          <w:szCs w:val="28"/>
        </w:rPr>
        <w:t> </w:t>
      </w:r>
      <w:r>
        <w:rPr>
          <w:rFonts w:ascii="宋体" w:hAnsi="宋体" w:cs="宋体" w:eastAsia="宋体" w:hint="default"/>
          <w:spacing w:val="-136"/>
          <w:sz w:val="28"/>
          <w:szCs w:val="28"/>
        </w:rPr>
      </w:r>
      <w:r>
        <w:rPr>
          <w:rFonts w:ascii="宋体" w:hAnsi="宋体" w:cs="宋体" w:eastAsia="宋体" w:hint="default"/>
          <w:spacing w:val="-8"/>
          <w:sz w:val="28"/>
          <w:szCs w:val="28"/>
        </w:rPr>
        <w:t>技术先进、安全可靠、覆盖城乡的高速光传输网络和移动网络。有线、</w:t>
      </w:r>
      <w:r>
        <w:rPr>
          <w:rFonts w:ascii="宋体" w:hAnsi="宋体" w:cs="宋体" w:eastAsia="宋体" w:hint="default"/>
          <w:spacing w:val="-137"/>
          <w:sz w:val="28"/>
          <w:szCs w:val="28"/>
        </w:rPr>
        <w:t> </w:t>
      </w:r>
      <w:r>
        <w:rPr>
          <w:rFonts w:ascii="宋体" w:hAnsi="宋体" w:cs="宋体" w:eastAsia="宋体" w:hint="default"/>
          <w:spacing w:val="-137"/>
          <w:sz w:val="28"/>
          <w:szCs w:val="28"/>
        </w:rPr>
      </w:r>
      <w:r>
        <w:rPr>
          <w:rFonts w:ascii="宋体" w:hAnsi="宋体" w:cs="宋体" w:eastAsia="宋体" w:hint="default"/>
          <w:sz w:val="28"/>
          <w:szCs w:val="28"/>
        </w:rPr>
        <w:t>无线、卫星等接入方式并举，解决农村的通信网络覆盖。为200多个</w:t>
      </w:r>
      <w:r>
        <w:rPr>
          <w:rFonts w:ascii="宋体" w:hAnsi="宋体" w:cs="宋体" w:eastAsia="宋体" w:hint="default"/>
          <w:w w:val="99"/>
          <w:sz w:val="28"/>
          <w:szCs w:val="28"/>
        </w:rPr>
        <w:t> </w:t>
      </w:r>
      <w:r>
        <w:rPr>
          <w:rFonts w:ascii="宋体" w:hAnsi="宋体" w:cs="宋体" w:eastAsia="宋体" w:hint="default"/>
          <w:spacing w:val="-4"/>
          <w:sz w:val="28"/>
          <w:szCs w:val="28"/>
        </w:rPr>
        <w:t>扶贫试点村提供了综合信息服务、农村电话、网络、视频、远程教育</w:t>
      </w:r>
      <w:r>
        <w:rPr>
          <w:rFonts w:ascii="宋体" w:hAnsi="宋体" w:cs="宋体" w:eastAsia="宋体" w:hint="default"/>
          <w:spacing w:val="-122"/>
          <w:sz w:val="28"/>
          <w:szCs w:val="28"/>
        </w:rPr>
        <w:t> </w:t>
      </w:r>
      <w:r>
        <w:rPr>
          <w:rFonts w:ascii="宋体" w:hAnsi="宋体" w:cs="宋体" w:eastAsia="宋体" w:hint="default"/>
          <w:spacing w:val="-122"/>
          <w:sz w:val="28"/>
          <w:szCs w:val="28"/>
        </w:rPr>
      </w:r>
      <w:r>
        <w:rPr>
          <w:rFonts w:ascii="宋体" w:hAnsi="宋体" w:cs="宋体" w:eastAsia="宋体" w:hint="default"/>
          <w:spacing w:val="-4"/>
          <w:sz w:val="28"/>
          <w:szCs w:val="28"/>
        </w:rPr>
        <w:t>等服务，采用信息化手段帮助贫困群众脱贫致富。“村村通”工程与</w:t>
      </w:r>
      <w:r>
        <w:rPr>
          <w:rFonts w:ascii="宋体" w:hAnsi="宋体" w:cs="宋体" w:eastAsia="宋体" w:hint="default"/>
          <w:spacing w:val="-127"/>
          <w:sz w:val="28"/>
          <w:szCs w:val="28"/>
        </w:rPr>
        <w:t> </w:t>
      </w:r>
      <w:r>
        <w:rPr>
          <w:rFonts w:ascii="宋体" w:hAnsi="宋体" w:cs="宋体" w:eastAsia="宋体" w:hint="default"/>
          <w:spacing w:val="-127"/>
          <w:sz w:val="28"/>
          <w:szCs w:val="28"/>
        </w:rPr>
      </w:r>
      <w:r>
        <w:rPr>
          <w:rFonts w:ascii="宋体" w:hAnsi="宋体" w:cs="宋体" w:eastAsia="宋体" w:hint="default"/>
          <w:sz w:val="28"/>
          <w:szCs w:val="28"/>
        </w:rPr>
        <w:t>信息化扶贫工程的结合为农村综合信息服务站提供了可靠的基础设</w:t>
      </w:r>
      <w:r>
        <w:rPr>
          <w:rFonts w:ascii="宋体" w:hAnsi="宋体" w:cs="宋体" w:eastAsia="宋体" w:hint="default"/>
          <w:w w:val="99"/>
          <w:sz w:val="28"/>
          <w:szCs w:val="28"/>
        </w:rPr>
        <w:t> </w:t>
      </w:r>
      <w:r>
        <w:rPr>
          <w:rFonts w:ascii="宋体" w:hAnsi="宋体" w:cs="宋体" w:eastAsia="宋体" w:hint="default"/>
          <w:spacing w:val="-4"/>
          <w:sz w:val="28"/>
          <w:szCs w:val="28"/>
        </w:rPr>
        <w:t>施，这是一项顺民意、得民心的工作。取得了良好的经济效益和社会</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效益。</w:t>
      </w:r>
    </w:p>
    <w:p>
      <w:pPr>
        <w:spacing w:after="0" w:line="408" w:lineRule="auto"/>
        <w:jc w:val="left"/>
        <w:rPr>
          <w:rFonts w:ascii="宋体" w:hAnsi="宋体" w:cs="宋体" w:eastAsia="宋体" w:hint="default"/>
          <w:sz w:val="28"/>
          <w:szCs w:val="28"/>
        </w:rPr>
        <w:sectPr>
          <w:headerReference w:type="default" r:id="rId239"/>
          <w:footerReference w:type="default" r:id="rId240"/>
          <w:pgSz w:w="11910" w:h="16840"/>
          <w:pgMar w:header="0" w:footer="982" w:top="1600" w:bottom="1180" w:left="1680" w:right="1540"/>
          <w:pgNumType w:start="32"/>
        </w:sectPr>
      </w:pPr>
    </w:p>
    <w:p>
      <w:pPr>
        <w:spacing w:line="351" w:lineRule="exact" w:before="0"/>
        <w:ind w:left="120" w:right="144" w:firstLine="560"/>
        <w:jc w:val="left"/>
        <w:rPr>
          <w:rFonts w:ascii="宋体" w:hAnsi="宋体" w:cs="宋体" w:eastAsia="宋体" w:hint="default"/>
          <w:sz w:val="28"/>
          <w:szCs w:val="28"/>
        </w:rPr>
      </w:pPr>
      <w:r>
        <w:rPr>
          <w:rFonts w:ascii="宋体" w:hAnsi="宋体" w:cs="宋体" w:eastAsia="宋体" w:hint="default"/>
          <w:spacing w:val="-4"/>
          <w:sz w:val="28"/>
          <w:szCs w:val="28"/>
        </w:rPr>
        <w:t>作为电信企业在面向“三农”推动农村信息服务，缩小城乡数字</w:t>
      </w:r>
    </w:p>
    <w:p>
      <w:pPr>
        <w:spacing w:line="240" w:lineRule="auto" w:before="9"/>
        <w:rPr>
          <w:rFonts w:ascii="宋体" w:hAnsi="宋体" w:cs="宋体" w:eastAsia="宋体" w:hint="default"/>
          <w:sz w:val="19"/>
          <w:szCs w:val="19"/>
        </w:rPr>
      </w:pPr>
    </w:p>
    <w:p>
      <w:pPr>
        <w:spacing w:line="408" w:lineRule="auto" w:before="0"/>
        <w:ind w:left="120" w:right="144" w:firstLine="0"/>
        <w:jc w:val="left"/>
        <w:rPr>
          <w:rFonts w:ascii="宋体" w:hAnsi="宋体" w:cs="宋体" w:eastAsia="宋体" w:hint="default"/>
          <w:sz w:val="28"/>
          <w:szCs w:val="28"/>
        </w:rPr>
      </w:pPr>
      <w:r>
        <w:rPr>
          <w:rFonts w:ascii="宋体" w:hAnsi="宋体" w:cs="宋体" w:eastAsia="宋体" w:hint="default"/>
          <w:spacing w:val="-4"/>
          <w:sz w:val="28"/>
          <w:szCs w:val="28"/>
        </w:rPr>
        <w:t>鸿沟中承担着义不容辞的责任和义务，中国联通将在技术支持和服务</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方面不断探索农村信息化可持续发展的模式。</w:t>
      </w:r>
    </w:p>
    <w:p>
      <w:pPr>
        <w:spacing w:before="61"/>
        <w:ind w:left="668" w:right="0" w:firstLine="0"/>
        <w:jc w:val="left"/>
        <w:rPr>
          <w:rFonts w:ascii="宋体" w:hAnsi="宋体" w:cs="宋体" w:eastAsia="宋体" w:hint="default"/>
          <w:sz w:val="28"/>
          <w:szCs w:val="28"/>
        </w:rPr>
      </w:pPr>
      <w:r>
        <w:rPr>
          <w:rFonts w:ascii="宋体" w:hAnsi="宋体" w:cs="宋体" w:eastAsia="宋体" w:hint="default"/>
          <w:sz w:val="28"/>
          <w:szCs w:val="28"/>
        </w:rPr>
        <w:t>2009</w:t>
      </w:r>
      <w:r>
        <w:rPr>
          <w:rFonts w:ascii="宋体" w:hAnsi="宋体" w:cs="宋体" w:eastAsia="宋体" w:hint="default"/>
          <w:spacing w:val="-94"/>
          <w:sz w:val="28"/>
          <w:szCs w:val="28"/>
        </w:rPr>
        <w:t> </w:t>
      </w:r>
      <w:r>
        <w:rPr>
          <w:rFonts w:ascii="宋体" w:hAnsi="宋体" w:cs="宋体" w:eastAsia="宋体" w:hint="default"/>
          <w:sz w:val="28"/>
          <w:szCs w:val="28"/>
        </w:rPr>
        <w:t>年，中国联通“村村通”工作深入至内蒙古、河南、安徽、</w:t>
      </w:r>
    </w:p>
    <w:p>
      <w:pPr>
        <w:spacing w:line="240" w:lineRule="auto" w:before="9"/>
        <w:rPr>
          <w:rFonts w:ascii="宋体" w:hAnsi="宋体" w:cs="宋体" w:eastAsia="宋体" w:hint="default"/>
          <w:sz w:val="19"/>
          <w:szCs w:val="19"/>
        </w:rPr>
      </w:pPr>
    </w:p>
    <w:p>
      <w:pPr>
        <w:spacing w:line="408" w:lineRule="auto" w:before="0"/>
        <w:ind w:left="120" w:right="144" w:firstLine="0"/>
        <w:jc w:val="left"/>
        <w:rPr>
          <w:rFonts w:ascii="宋体" w:hAnsi="宋体" w:cs="宋体" w:eastAsia="宋体" w:hint="default"/>
          <w:sz w:val="28"/>
          <w:szCs w:val="28"/>
        </w:rPr>
      </w:pPr>
      <w:r>
        <w:rPr>
          <w:rFonts w:ascii="宋体" w:hAnsi="宋体" w:cs="宋体" w:eastAsia="宋体" w:hint="default"/>
          <w:spacing w:val="-9"/>
          <w:sz w:val="28"/>
          <w:szCs w:val="28"/>
        </w:rPr>
        <w:t>新疆、河北等</w:t>
      </w:r>
      <w:r>
        <w:rPr>
          <w:rFonts w:ascii="宋体" w:hAnsi="宋体" w:cs="宋体" w:eastAsia="宋体" w:hint="default"/>
          <w:spacing w:val="-71"/>
          <w:sz w:val="28"/>
          <w:szCs w:val="28"/>
        </w:rPr>
        <w:t> </w:t>
      </w:r>
      <w:r>
        <w:rPr>
          <w:rFonts w:ascii="宋体" w:hAnsi="宋体" w:cs="宋体" w:eastAsia="宋体" w:hint="default"/>
          <w:sz w:val="28"/>
          <w:szCs w:val="28"/>
        </w:rPr>
        <w:t>16</w:t>
      </w:r>
      <w:r>
        <w:rPr>
          <w:rFonts w:ascii="宋体" w:hAnsi="宋体" w:cs="宋体" w:eastAsia="宋体" w:hint="default"/>
          <w:spacing w:val="-73"/>
          <w:sz w:val="28"/>
          <w:szCs w:val="28"/>
        </w:rPr>
        <w:t> </w:t>
      </w:r>
      <w:r>
        <w:rPr>
          <w:rFonts w:ascii="宋体" w:hAnsi="宋体" w:cs="宋体" w:eastAsia="宋体" w:hint="default"/>
          <w:sz w:val="28"/>
          <w:szCs w:val="28"/>
        </w:rPr>
        <w:t>个省的</w:t>
      </w:r>
      <w:r>
        <w:rPr>
          <w:rFonts w:ascii="宋体" w:hAnsi="宋体" w:cs="宋体" w:eastAsia="宋体" w:hint="default"/>
          <w:spacing w:val="-71"/>
          <w:sz w:val="28"/>
          <w:szCs w:val="28"/>
        </w:rPr>
        <w:t> </w:t>
      </w:r>
      <w:r>
        <w:rPr>
          <w:rFonts w:ascii="宋体" w:hAnsi="宋体" w:cs="宋体" w:eastAsia="宋体" w:hint="default"/>
          <w:sz w:val="28"/>
          <w:szCs w:val="28"/>
        </w:rPr>
        <w:t>4</w:t>
      </w:r>
      <w:r>
        <w:rPr>
          <w:rFonts w:ascii="宋体" w:hAnsi="宋体" w:cs="宋体" w:eastAsia="宋体" w:hint="default"/>
          <w:spacing w:val="-73"/>
          <w:sz w:val="28"/>
          <w:szCs w:val="28"/>
        </w:rPr>
        <w:t> </w:t>
      </w:r>
      <w:r>
        <w:rPr>
          <w:rFonts w:ascii="宋体" w:hAnsi="宋体" w:cs="宋体" w:eastAsia="宋体" w:hint="default"/>
          <w:spacing w:val="-5"/>
          <w:sz w:val="28"/>
          <w:szCs w:val="28"/>
        </w:rPr>
        <w:t>千余个自然村，累计为</w:t>
      </w:r>
      <w:r>
        <w:rPr>
          <w:rFonts w:ascii="宋体" w:hAnsi="宋体" w:cs="宋体" w:eastAsia="宋体" w:hint="default"/>
          <w:spacing w:val="-71"/>
          <w:sz w:val="28"/>
          <w:szCs w:val="28"/>
        </w:rPr>
        <w:t> </w:t>
      </w:r>
      <w:r>
        <w:rPr>
          <w:rFonts w:ascii="宋体" w:hAnsi="宋体" w:cs="宋体" w:eastAsia="宋体" w:hint="default"/>
          <w:sz w:val="28"/>
          <w:szCs w:val="28"/>
        </w:rPr>
        <w:t>4692</w:t>
      </w:r>
      <w:r>
        <w:rPr>
          <w:rFonts w:ascii="宋体" w:hAnsi="宋体" w:cs="宋体" w:eastAsia="宋体" w:hint="default"/>
          <w:spacing w:val="-71"/>
          <w:sz w:val="28"/>
          <w:szCs w:val="28"/>
        </w:rPr>
        <w:t> </w:t>
      </w:r>
      <w:r>
        <w:rPr>
          <w:rFonts w:ascii="宋体" w:hAnsi="宋体" w:cs="宋体" w:eastAsia="宋体" w:hint="default"/>
          <w:sz w:val="28"/>
          <w:szCs w:val="28"/>
        </w:rPr>
        <w:t>个自然村通电</w:t>
      </w:r>
      <w:r>
        <w:rPr>
          <w:rFonts w:ascii="宋体" w:hAnsi="宋体" w:cs="宋体" w:eastAsia="宋体" w:hint="default"/>
          <w:w w:val="99"/>
          <w:sz w:val="28"/>
          <w:szCs w:val="28"/>
        </w:rPr>
        <w:t> </w:t>
      </w:r>
      <w:r>
        <w:rPr>
          <w:rFonts w:ascii="宋体" w:hAnsi="宋体" w:cs="宋体" w:eastAsia="宋体" w:hint="default"/>
          <w:sz w:val="28"/>
          <w:szCs w:val="28"/>
        </w:rPr>
        <w:t>话。</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3"/>
        <w:rPr>
          <w:rFonts w:ascii="宋体" w:hAnsi="宋体" w:cs="宋体" w:eastAsia="宋体" w:hint="default"/>
          <w:sz w:val="39"/>
          <w:szCs w:val="39"/>
        </w:rPr>
      </w:pPr>
    </w:p>
    <w:p>
      <w:pPr>
        <w:spacing w:line="316" w:lineRule="auto" w:before="0"/>
        <w:ind w:left="120" w:right="144" w:firstLine="0"/>
        <w:jc w:val="left"/>
        <w:rPr>
          <w:rFonts w:ascii="黑体" w:hAnsi="黑体" w:cs="黑体" w:eastAsia="黑体" w:hint="default"/>
          <w:sz w:val="36"/>
          <w:szCs w:val="36"/>
        </w:rPr>
      </w:pPr>
      <w:r>
        <w:rPr>
          <w:rFonts w:ascii="黑体" w:hAnsi="黑体" w:cs="黑体" w:eastAsia="黑体" w:hint="default"/>
          <w:b/>
          <w:bCs/>
          <w:w w:val="95"/>
          <w:sz w:val="36"/>
          <w:szCs w:val="36"/>
        </w:rPr>
        <w:t>积极建设优质、高效、便捷的农村信息网络，推进农</w:t>
      </w:r>
      <w:r>
        <w:rPr>
          <w:rFonts w:ascii="黑体" w:hAnsi="黑体" w:cs="黑体" w:eastAsia="黑体" w:hint="default"/>
          <w:b/>
          <w:bCs/>
          <w:spacing w:val="52"/>
          <w:w w:val="95"/>
          <w:sz w:val="36"/>
          <w:szCs w:val="36"/>
        </w:rPr>
        <w:t> </w:t>
      </w:r>
      <w:r>
        <w:rPr>
          <w:rFonts w:ascii="黑体" w:hAnsi="黑体" w:cs="黑体" w:eastAsia="黑体" w:hint="default"/>
          <w:b/>
          <w:bCs/>
          <w:spacing w:val="52"/>
          <w:w w:val="95"/>
          <w:sz w:val="36"/>
          <w:szCs w:val="36"/>
        </w:rPr>
      </w:r>
      <w:r>
        <w:rPr>
          <w:rFonts w:ascii="黑体" w:hAnsi="黑体" w:cs="黑体" w:eastAsia="黑体" w:hint="default"/>
          <w:b/>
          <w:bCs/>
          <w:sz w:val="36"/>
          <w:szCs w:val="36"/>
        </w:rPr>
        <w:t>村信息化</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408" w:lineRule="auto" w:before="254"/>
        <w:ind w:left="119" w:right="113" w:firstLine="560"/>
        <w:jc w:val="left"/>
        <w:rPr>
          <w:rFonts w:ascii="宋体" w:hAnsi="宋体" w:cs="宋体" w:eastAsia="宋体" w:hint="default"/>
          <w:sz w:val="28"/>
          <w:szCs w:val="28"/>
        </w:rPr>
      </w:pPr>
      <w:r>
        <w:rPr>
          <w:rFonts w:ascii="宋体" w:hAnsi="宋体" w:cs="宋体" w:eastAsia="宋体" w:hint="default"/>
          <w:sz w:val="28"/>
          <w:szCs w:val="28"/>
        </w:rPr>
        <w:t>为推进农村信息化，中国联通提出了以“12316</w:t>
      </w:r>
      <w:r>
        <w:rPr>
          <w:rFonts w:ascii="宋体" w:hAnsi="宋体" w:cs="宋体" w:eastAsia="宋体" w:hint="default"/>
          <w:spacing w:val="-81"/>
          <w:sz w:val="28"/>
          <w:szCs w:val="28"/>
        </w:rPr>
        <w:t> </w:t>
      </w:r>
      <w:r>
        <w:rPr>
          <w:rFonts w:ascii="宋体" w:hAnsi="宋体" w:cs="宋体" w:eastAsia="宋体" w:hint="default"/>
          <w:sz w:val="28"/>
          <w:szCs w:val="28"/>
        </w:rPr>
        <w:t>三农热线”为基</w:t>
      </w:r>
      <w:r>
        <w:rPr>
          <w:rFonts w:ascii="宋体" w:hAnsi="宋体" w:cs="宋体" w:eastAsia="宋体" w:hint="default"/>
          <w:w w:val="99"/>
          <w:sz w:val="28"/>
          <w:szCs w:val="28"/>
        </w:rPr>
        <w:t> </w:t>
      </w:r>
      <w:r>
        <w:rPr>
          <w:rFonts w:ascii="宋体" w:hAnsi="宋体" w:cs="宋体" w:eastAsia="宋体" w:hint="default"/>
          <w:spacing w:val="-4"/>
          <w:sz w:val="28"/>
          <w:szCs w:val="28"/>
        </w:rPr>
        <w:t>础，以“呼叫中心+权威农业专家”为核心的农村综合信息服务模式，</w:t>
      </w:r>
      <w:r>
        <w:rPr>
          <w:rFonts w:ascii="宋体" w:hAnsi="宋体" w:cs="宋体" w:eastAsia="宋体" w:hint="default"/>
          <w:spacing w:val="-126"/>
          <w:sz w:val="28"/>
          <w:szCs w:val="28"/>
        </w:rPr>
        <w:t> </w:t>
      </w:r>
      <w:r>
        <w:rPr>
          <w:rFonts w:ascii="宋体" w:hAnsi="宋体" w:cs="宋体" w:eastAsia="宋体" w:hint="default"/>
          <w:spacing w:val="-126"/>
          <w:sz w:val="28"/>
          <w:szCs w:val="28"/>
        </w:rPr>
      </w:r>
      <w:r>
        <w:rPr>
          <w:rFonts w:ascii="宋体" w:hAnsi="宋体" w:cs="宋体" w:eastAsia="宋体" w:hint="default"/>
          <w:spacing w:val="-4"/>
          <w:sz w:val="28"/>
          <w:szCs w:val="28"/>
        </w:rPr>
        <w:t>有效解决了农民生产和生活中的实际问题。为推进平安农村建设，中</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国联通推出了基于“农村固定电话网+村级大喇叭”的“平安互助”</w:t>
      </w:r>
      <w:r>
        <w:rPr>
          <w:rFonts w:ascii="宋体" w:hAnsi="宋体" w:cs="宋体" w:eastAsia="宋体" w:hint="default"/>
          <w:spacing w:val="-93"/>
          <w:sz w:val="28"/>
          <w:szCs w:val="28"/>
        </w:rPr>
        <w:t> </w:t>
      </w:r>
      <w:r>
        <w:rPr>
          <w:rFonts w:ascii="宋体" w:hAnsi="宋体" w:cs="宋体" w:eastAsia="宋体" w:hint="default"/>
          <w:spacing w:val="-93"/>
          <w:sz w:val="28"/>
          <w:szCs w:val="28"/>
        </w:rPr>
      </w:r>
      <w:r>
        <w:rPr>
          <w:rFonts w:ascii="宋体" w:hAnsi="宋体" w:cs="宋体" w:eastAsia="宋体" w:hint="default"/>
          <w:spacing w:val="-4"/>
          <w:sz w:val="28"/>
          <w:szCs w:val="28"/>
        </w:rPr>
        <w:t>新业务模式，有效地解决了农民的安全防范和紧急救助需求。结合农</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4"/>
          <w:sz w:val="28"/>
          <w:szCs w:val="28"/>
        </w:rPr>
        <w:t>村宽带上网和信息消费需求，以“家电下乡”为契机，开展“信息助</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农”活动，通过“电脑＋宽带”捆绑销售、建设乡镇信息服务站、举</w:t>
      </w:r>
      <w:r>
        <w:rPr>
          <w:rFonts w:ascii="宋体" w:hAnsi="宋体" w:cs="宋体" w:eastAsia="宋体" w:hint="default"/>
          <w:spacing w:val="-126"/>
          <w:sz w:val="28"/>
          <w:szCs w:val="28"/>
        </w:rPr>
        <w:t> </w:t>
      </w:r>
      <w:r>
        <w:rPr>
          <w:rFonts w:ascii="宋体" w:hAnsi="宋体" w:cs="宋体" w:eastAsia="宋体" w:hint="default"/>
          <w:spacing w:val="-126"/>
          <w:sz w:val="28"/>
          <w:szCs w:val="28"/>
        </w:rPr>
      </w:r>
      <w:r>
        <w:rPr>
          <w:rFonts w:ascii="宋体" w:hAnsi="宋体" w:cs="宋体" w:eastAsia="宋体" w:hint="default"/>
          <w:spacing w:val="-7"/>
          <w:w w:val="99"/>
          <w:sz w:val="28"/>
          <w:szCs w:val="28"/>
        </w:rPr>
        <w:t>办农村信息化培训等措施积极推进“信息下乡”。</w:t>
      </w:r>
      <w:r>
        <w:rPr>
          <w:rFonts w:ascii="宋体" w:hAnsi="宋体" w:cs="宋体" w:eastAsia="宋体" w:hint="default"/>
          <w:spacing w:val="-7"/>
          <w:sz w:val="28"/>
          <w:szCs w:val="28"/>
        </w:rPr>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before="195"/>
        <w:ind w:left="120" w:right="144" w:firstLine="0"/>
        <w:jc w:val="left"/>
        <w:rPr>
          <w:rFonts w:ascii="黑体" w:hAnsi="黑体" w:cs="黑体" w:eastAsia="黑体" w:hint="default"/>
          <w:sz w:val="30"/>
          <w:szCs w:val="30"/>
        </w:rPr>
      </w:pPr>
      <w:r>
        <w:rPr>
          <w:rFonts w:ascii="黑体" w:hAnsi="黑体" w:cs="黑体" w:eastAsia="黑体" w:hint="default"/>
          <w:b/>
          <w:bCs/>
          <w:sz w:val="30"/>
          <w:szCs w:val="30"/>
        </w:rPr>
        <w:t>农科在线开通信息之路</w:t>
      </w:r>
      <w:r>
        <w:rPr>
          <w:rFonts w:ascii="黑体" w:hAnsi="黑体" w:cs="黑体" w:eastAsia="黑体" w:hint="default"/>
          <w:b/>
          <w:bCs/>
          <w:spacing w:val="-4"/>
          <w:sz w:val="30"/>
          <w:szCs w:val="30"/>
        </w:rPr>
        <w:t> </w:t>
      </w:r>
      <w:r>
        <w:rPr>
          <w:rFonts w:ascii="黑体" w:hAnsi="黑体" w:cs="黑体" w:eastAsia="黑体" w:hint="default"/>
          <w:b/>
          <w:bCs/>
          <w:sz w:val="30"/>
          <w:szCs w:val="30"/>
        </w:rPr>
        <w:t>助力社会主义新农村建设</w:t>
      </w:r>
      <w:r>
        <w:rPr>
          <w:rFonts w:ascii="黑体" w:hAnsi="黑体" w:cs="黑体" w:eastAsia="黑体" w:hint="default"/>
          <w:sz w:val="30"/>
          <w:szCs w:val="30"/>
        </w:rPr>
      </w:r>
    </w:p>
    <w:p>
      <w:pPr>
        <w:spacing w:after="0"/>
        <w:jc w:val="left"/>
        <w:rPr>
          <w:rFonts w:ascii="黑体" w:hAnsi="黑体" w:cs="黑体" w:eastAsia="黑体" w:hint="default"/>
          <w:sz w:val="30"/>
          <w:szCs w:val="30"/>
        </w:rPr>
        <w:sectPr>
          <w:headerReference w:type="default" r:id="rId241"/>
          <w:footerReference w:type="default" r:id="rId242"/>
          <w:pgSz w:w="11910" w:h="16840"/>
          <w:pgMar w:header="0" w:footer="982" w:top="1540" w:bottom="1180" w:left="1680" w:right="1540"/>
          <w:pgNumType w:start="33"/>
        </w:sectPr>
      </w:pPr>
    </w:p>
    <w:p>
      <w:pPr>
        <w:spacing w:line="240" w:lineRule="auto" w:before="0"/>
        <w:rPr>
          <w:rFonts w:ascii="黑体" w:hAnsi="黑体" w:cs="黑体" w:eastAsia="黑体" w:hint="default"/>
          <w:b/>
          <w:bCs/>
          <w:sz w:val="20"/>
          <w:szCs w:val="20"/>
        </w:rPr>
      </w:pPr>
    </w:p>
    <w:p>
      <w:pPr>
        <w:spacing w:line="240" w:lineRule="auto" w:before="4"/>
        <w:rPr>
          <w:rFonts w:ascii="黑体" w:hAnsi="黑体" w:cs="黑体" w:eastAsia="黑体" w:hint="default"/>
          <w:b/>
          <w:bCs/>
          <w:sz w:val="23"/>
          <w:szCs w:val="23"/>
        </w:rPr>
      </w:pPr>
    </w:p>
    <w:p>
      <w:pPr>
        <w:spacing w:line="2286" w:lineRule="exact"/>
        <w:ind w:left="2833" w:right="0" w:firstLine="0"/>
        <w:rPr>
          <w:rFonts w:ascii="黑体" w:hAnsi="黑体" w:cs="黑体" w:eastAsia="黑体" w:hint="default"/>
          <w:sz w:val="20"/>
          <w:szCs w:val="20"/>
        </w:rPr>
      </w:pPr>
      <w:r>
        <w:rPr>
          <w:rFonts w:ascii="黑体" w:hAnsi="黑体" w:cs="黑体" w:eastAsia="黑体" w:hint="default"/>
          <w:position w:val="-45"/>
          <w:sz w:val="20"/>
          <w:szCs w:val="20"/>
        </w:rPr>
        <w:drawing>
          <wp:inline distT="0" distB="0" distL="0" distR="0">
            <wp:extent cx="1825512" cy="1452181"/>
            <wp:effectExtent l="0" t="0" r="0" b="0"/>
            <wp:docPr id="23" name="image19.jpeg" descr=""/>
            <wp:cNvGraphicFramePr>
              <a:graphicFrameLocks noChangeAspect="1"/>
            </wp:cNvGraphicFramePr>
            <a:graphic>
              <a:graphicData uri="http://schemas.openxmlformats.org/drawingml/2006/picture">
                <pic:pic>
                  <pic:nvPicPr>
                    <pic:cNvPr id="24" name="image19.jpeg"/>
                    <pic:cNvPicPr/>
                  </pic:nvPicPr>
                  <pic:blipFill>
                    <a:blip r:embed="rId245" cstate="print"/>
                    <a:stretch>
                      <a:fillRect/>
                    </a:stretch>
                  </pic:blipFill>
                  <pic:spPr>
                    <a:xfrm>
                      <a:off x="0" y="0"/>
                      <a:ext cx="1825512" cy="1452181"/>
                    </a:xfrm>
                    <a:prstGeom prst="rect">
                      <a:avLst/>
                    </a:prstGeom>
                  </pic:spPr>
                </pic:pic>
              </a:graphicData>
            </a:graphic>
          </wp:inline>
        </w:drawing>
      </w:r>
      <w:r>
        <w:rPr>
          <w:rFonts w:ascii="黑体" w:hAnsi="黑体" w:cs="黑体" w:eastAsia="黑体" w:hint="default"/>
          <w:position w:val="-45"/>
          <w:sz w:val="20"/>
          <w:szCs w:val="2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4"/>
        <w:rPr>
          <w:rFonts w:ascii="黑体" w:hAnsi="黑体" w:cs="黑体" w:eastAsia="黑体" w:hint="default"/>
          <w:b/>
          <w:bCs/>
          <w:sz w:val="21"/>
          <w:szCs w:val="21"/>
        </w:rPr>
      </w:pPr>
    </w:p>
    <w:p>
      <w:pPr>
        <w:pStyle w:val="Heading7"/>
        <w:spacing w:line="408" w:lineRule="auto" w:before="13"/>
        <w:ind w:left="119" w:right="145" w:firstLine="560"/>
        <w:jc w:val="left"/>
      </w:pPr>
      <w:r>
        <w:rPr/>
        <w:t>农科在线是中国联通为满足广大农民信息需求，拓展农村市场，</w:t>
      </w:r>
      <w:r>
        <w:rPr>
          <w:w w:val="99"/>
        </w:rPr>
        <w:t> </w:t>
      </w:r>
      <w:r>
        <w:rPr>
          <w:spacing w:val="-4"/>
        </w:rPr>
        <w:t>打造的农村市场整体业务品牌。以农科在线统领农村市场经营，以信</w:t>
      </w:r>
      <w:r>
        <w:rPr>
          <w:spacing w:val="-123"/>
        </w:rPr>
        <w:t> </w:t>
      </w:r>
      <w:r>
        <w:rPr>
          <w:spacing w:val="-123"/>
        </w:rPr>
      </w:r>
      <w:r>
        <w:rPr>
          <w:spacing w:val="-4"/>
        </w:rPr>
        <w:t>息化促进社会主义新农村建设为主题的营销模式，经过几年的发展与</w:t>
      </w:r>
      <w:r>
        <w:rPr>
          <w:spacing w:val="-124"/>
        </w:rPr>
        <w:t> </w:t>
      </w:r>
      <w:r>
        <w:rPr>
          <w:spacing w:val="-124"/>
        </w:rPr>
      </w:r>
      <w:r>
        <w:rPr/>
        <w:t>完善，取得了巨大的经济效益和社会效益。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spacing w:line="3202" w:lineRule="exact"/>
        <w:ind w:left="1891" w:right="0" w:firstLine="0"/>
        <w:rPr>
          <w:rFonts w:ascii="宋体" w:hAnsi="宋体" w:cs="宋体" w:eastAsia="宋体" w:hint="default"/>
          <w:sz w:val="20"/>
          <w:szCs w:val="20"/>
        </w:rPr>
      </w:pPr>
      <w:r>
        <w:rPr>
          <w:rFonts w:ascii="宋体" w:hAnsi="宋体" w:cs="宋体" w:eastAsia="宋体" w:hint="default"/>
          <w:position w:val="-63"/>
          <w:sz w:val="20"/>
          <w:szCs w:val="20"/>
        </w:rPr>
        <w:drawing>
          <wp:inline distT="0" distB="0" distL="0" distR="0">
            <wp:extent cx="3024089" cy="2033587"/>
            <wp:effectExtent l="0" t="0" r="0" b="0"/>
            <wp:docPr id="25" name="image20.png" descr=""/>
            <wp:cNvGraphicFramePr>
              <a:graphicFrameLocks noChangeAspect="1"/>
            </wp:cNvGraphicFramePr>
            <a:graphic>
              <a:graphicData uri="http://schemas.openxmlformats.org/drawingml/2006/picture">
                <pic:pic>
                  <pic:nvPicPr>
                    <pic:cNvPr id="26" name="image20.png"/>
                    <pic:cNvPicPr/>
                  </pic:nvPicPr>
                  <pic:blipFill>
                    <a:blip r:embed="rId246" cstate="print"/>
                    <a:stretch>
                      <a:fillRect/>
                    </a:stretch>
                  </pic:blipFill>
                  <pic:spPr>
                    <a:xfrm>
                      <a:off x="0" y="0"/>
                      <a:ext cx="3024089" cy="2033587"/>
                    </a:xfrm>
                    <a:prstGeom prst="rect">
                      <a:avLst/>
                    </a:prstGeom>
                  </pic:spPr>
                </pic:pic>
              </a:graphicData>
            </a:graphic>
          </wp:inline>
        </w:drawing>
      </w:r>
      <w:r>
        <w:rPr>
          <w:rFonts w:ascii="宋体" w:hAnsi="宋体" w:cs="宋体" w:eastAsia="宋体" w:hint="default"/>
          <w:position w:val="-63"/>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2"/>
          <w:szCs w:val="22"/>
        </w:rPr>
      </w:pPr>
    </w:p>
    <w:p>
      <w:pPr>
        <w:spacing w:line="408" w:lineRule="auto" w:before="13"/>
        <w:ind w:left="120" w:right="112" w:firstLine="560"/>
        <w:jc w:val="left"/>
        <w:rPr>
          <w:rFonts w:ascii="宋体" w:hAnsi="宋体" w:cs="宋体" w:eastAsia="宋体" w:hint="default"/>
          <w:sz w:val="28"/>
          <w:szCs w:val="28"/>
        </w:rPr>
      </w:pPr>
      <w:r>
        <w:rPr>
          <w:rFonts w:ascii="宋体" w:hAnsi="宋体" w:cs="宋体" w:eastAsia="宋体" w:hint="default"/>
          <w:sz w:val="28"/>
          <w:szCs w:val="28"/>
        </w:rPr>
        <w:t>农科在线以农业专家级服务为核心内容，在原有“12316</w:t>
      </w:r>
      <w:r>
        <w:rPr>
          <w:rFonts w:ascii="宋体" w:hAnsi="宋体" w:cs="宋体" w:eastAsia="宋体" w:hint="default"/>
          <w:spacing w:val="-81"/>
          <w:sz w:val="28"/>
          <w:szCs w:val="28"/>
        </w:rPr>
        <w:t> </w:t>
      </w:r>
      <w:r>
        <w:rPr>
          <w:rFonts w:ascii="宋体" w:hAnsi="宋体" w:cs="宋体" w:eastAsia="宋体" w:hint="default"/>
          <w:sz w:val="28"/>
          <w:szCs w:val="28"/>
        </w:rPr>
        <w:t>新农村</w:t>
      </w:r>
      <w:r>
        <w:rPr>
          <w:rFonts w:ascii="宋体" w:hAnsi="宋体" w:cs="宋体" w:eastAsia="宋体" w:hint="default"/>
          <w:w w:val="99"/>
          <w:sz w:val="28"/>
          <w:szCs w:val="28"/>
        </w:rPr>
        <w:t> </w:t>
      </w:r>
      <w:r>
        <w:rPr>
          <w:rFonts w:ascii="宋体" w:hAnsi="宋体" w:cs="宋体" w:eastAsia="宋体" w:hint="default"/>
          <w:spacing w:val="-8"/>
          <w:sz w:val="28"/>
          <w:szCs w:val="28"/>
        </w:rPr>
        <w:t>热线”平台的基础上，以固定电话、手机、宽带、互联网业务为手段，</w:t>
      </w:r>
      <w:r>
        <w:rPr>
          <w:rFonts w:ascii="宋体" w:hAnsi="宋体" w:cs="宋体" w:eastAsia="宋体" w:hint="default"/>
          <w:w w:val="99"/>
          <w:sz w:val="28"/>
          <w:szCs w:val="28"/>
        </w:rPr>
        <w:t> </w:t>
      </w:r>
      <w:r>
        <w:rPr>
          <w:rFonts w:ascii="宋体" w:hAnsi="宋体" w:cs="宋体" w:eastAsia="宋体" w:hint="default"/>
          <w:sz w:val="28"/>
          <w:szCs w:val="28"/>
        </w:rPr>
        <w:t>以</w:t>
      </w:r>
      <w:r>
        <w:rPr>
          <w:rFonts w:ascii="宋体" w:hAnsi="宋体" w:cs="宋体" w:eastAsia="宋体" w:hint="default"/>
          <w:spacing w:val="-70"/>
          <w:sz w:val="28"/>
          <w:szCs w:val="28"/>
        </w:rPr>
        <w:t> </w:t>
      </w:r>
      <w:r>
        <w:rPr>
          <w:rFonts w:ascii="宋体" w:hAnsi="宋体" w:cs="宋体" w:eastAsia="宋体" w:hint="default"/>
          <w:sz w:val="28"/>
          <w:szCs w:val="28"/>
        </w:rPr>
        <w:t>12316</w:t>
      </w:r>
      <w:r>
        <w:rPr>
          <w:rFonts w:ascii="宋体" w:hAnsi="宋体" w:cs="宋体" w:eastAsia="宋体" w:hint="default"/>
          <w:spacing w:val="-71"/>
          <w:sz w:val="28"/>
          <w:szCs w:val="28"/>
        </w:rPr>
        <w:t> </w:t>
      </w:r>
      <w:r>
        <w:rPr>
          <w:rFonts w:ascii="宋体" w:hAnsi="宋体" w:cs="宋体" w:eastAsia="宋体" w:hint="default"/>
          <w:sz w:val="28"/>
          <w:szCs w:val="28"/>
        </w:rPr>
        <w:t>新农村热线的</w:t>
      </w:r>
      <w:r>
        <w:rPr>
          <w:rFonts w:ascii="宋体" w:hAnsi="宋体" w:cs="宋体" w:eastAsia="宋体" w:hint="default"/>
          <w:spacing w:val="-70"/>
          <w:sz w:val="28"/>
          <w:szCs w:val="28"/>
        </w:rPr>
        <w:t> </w:t>
      </w:r>
      <w:r>
        <w:rPr>
          <w:rFonts w:ascii="宋体" w:hAnsi="宋体" w:cs="宋体" w:eastAsia="宋体" w:hint="default"/>
          <w:sz w:val="28"/>
          <w:szCs w:val="28"/>
        </w:rPr>
        <w:t>480</w:t>
      </w:r>
      <w:r>
        <w:rPr>
          <w:rFonts w:ascii="宋体" w:hAnsi="宋体" w:cs="宋体" w:eastAsia="宋体" w:hint="default"/>
          <w:spacing w:val="-71"/>
          <w:sz w:val="28"/>
          <w:szCs w:val="28"/>
        </w:rPr>
        <w:t> </w:t>
      </w:r>
      <w:r>
        <w:rPr>
          <w:rFonts w:ascii="宋体" w:hAnsi="宋体" w:cs="宋体" w:eastAsia="宋体" w:hint="default"/>
          <w:spacing w:val="-6"/>
          <w:sz w:val="28"/>
          <w:szCs w:val="28"/>
        </w:rPr>
        <w:t>名农业专家为依托，以语音、短信、互联</w:t>
      </w:r>
      <w:r>
        <w:rPr>
          <w:rFonts w:ascii="宋体" w:hAnsi="宋体" w:cs="宋体" w:eastAsia="宋体" w:hint="default"/>
          <w:w w:val="99"/>
          <w:sz w:val="28"/>
          <w:szCs w:val="28"/>
        </w:rPr>
        <w:t> </w:t>
      </w:r>
      <w:r>
        <w:rPr>
          <w:rFonts w:ascii="宋体" w:hAnsi="宋体" w:cs="宋体" w:eastAsia="宋体" w:hint="default"/>
          <w:spacing w:val="-4"/>
          <w:sz w:val="28"/>
          <w:szCs w:val="28"/>
        </w:rPr>
        <w:t>网、视频、图书为承载方式，将党员远程教育、平安互助、政府、企</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w w:val="99"/>
          <w:sz w:val="28"/>
          <w:szCs w:val="28"/>
        </w:rPr>
        <w:t>业</w:t>
      </w:r>
      <w:r>
        <w:rPr>
          <w:rFonts w:ascii="宋体" w:hAnsi="宋体" w:cs="宋体" w:eastAsia="宋体" w:hint="default"/>
          <w:spacing w:val="-60"/>
          <w:w w:val="99"/>
          <w:sz w:val="28"/>
          <w:szCs w:val="28"/>
        </w:rPr>
        <w:t> </w:t>
      </w:r>
      <w:r>
        <w:rPr>
          <w:rFonts w:ascii="宋体" w:hAnsi="宋体" w:cs="宋体" w:eastAsia="宋体" w:hint="default"/>
          <w:w w:val="99"/>
          <w:sz w:val="28"/>
          <w:szCs w:val="28"/>
        </w:rPr>
        <w:t>OA</w:t>
      </w:r>
      <w:r>
        <w:rPr>
          <w:rFonts w:ascii="宋体" w:hAnsi="宋体" w:cs="宋体" w:eastAsia="宋体" w:hint="default"/>
          <w:spacing w:val="-60"/>
          <w:w w:val="99"/>
          <w:sz w:val="28"/>
          <w:szCs w:val="28"/>
        </w:rPr>
        <w:t> </w:t>
      </w:r>
      <w:r>
        <w:rPr>
          <w:rFonts w:ascii="宋体" w:hAnsi="宋体" w:cs="宋体" w:eastAsia="宋体" w:hint="default"/>
          <w:spacing w:val="-9"/>
          <w:w w:val="99"/>
          <w:sz w:val="28"/>
          <w:szCs w:val="28"/>
        </w:rPr>
        <w:t>等增值业务进行资源整合，构建了以信息化综合应用为主的“融</w:t>
      </w:r>
      <w:r>
        <w:rPr>
          <w:rFonts w:ascii="宋体" w:hAnsi="宋体" w:cs="宋体" w:eastAsia="宋体" w:hint="default"/>
          <w:sz w:val="28"/>
          <w:szCs w:val="28"/>
        </w:rPr>
      </w:r>
    </w:p>
    <w:p>
      <w:pPr>
        <w:spacing w:after="0" w:line="408" w:lineRule="auto"/>
        <w:jc w:val="left"/>
        <w:rPr>
          <w:rFonts w:ascii="宋体" w:hAnsi="宋体" w:cs="宋体" w:eastAsia="宋体" w:hint="default"/>
          <w:sz w:val="28"/>
          <w:szCs w:val="28"/>
        </w:rPr>
        <w:sectPr>
          <w:headerReference w:type="default" r:id="rId243"/>
          <w:footerReference w:type="default" r:id="rId244"/>
          <w:pgSz w:w="11910" w:h="16840"/>
          <w:pgMar w:header="0" w:footer="982" w:top="1600" w:bottom="1180" w:left="1680" w:right="1540"/>
          <w:pgNumType w:start="34"/>
        </w:sectPr>
      </w:pPr>
    </w:p>
    <w:p>
      <w:pPr>
        <w:pStyle w:val="Heading7"/>
        <w:spacing w:line="351" w:lineRule="exact"/>
        <w:ind w:right="84"/>
        <w:jc w:val="left"/>
      </w:pPr>
      <w:r>
        <w:rPr/>
        <w:t>合业务+12316+政府</w:t>
      </w:r>
      <w:r>
        <w:rPr>
          <w:spacing w:val="41"/>
        </w:rPr>
        <w:t> </w:t>
      </w:r>
      <w:r>
        <w:rPr/>
        <w:t>OA+平安互助＝农科在线(农村信息化)”的创新</w:t>
      </w:r>
    </w:p>
    <w:p>
      <w:pPr>
        <w:spacing w:line="240" w:lineRule="auto" w:before="9"/>
        <w:rPr>
          <w:rFonts w:ascii="宋体" w:hAnsi="宋体" w:cs="宋体" w:eastAsia="宋体" w:hint="default"/>
          <w:sz w:val="19"/>
          <w:szCs w:val="19"/>
        </w:rPr>
      </w:pPr>
    </w:p>
    <w:p>
      <w:pPr>
        <w:spacing w:line="408" w:lineRule="auto" w:before="0"/>
        <w:ind w:left="119" w:right="102" w:firstLine="0"/>
        <w:jc w:val="left"/>
        <w:rPr>
          <w:rFonts w:ascii="宋体" w:hAnsi="宋体" w:cs="宋体" w:eastAsia="宋体" w:hint="default"/>
          <w:sz w:val="28"/>
          <w:szCs w:val="28"/>
        </w:rPr>
      </w:pPr>
      <w:r>
        <w:rPr>
          <w:rFonts w:ascii="宋体" w:hAnsi="宋体" w:cs="宋体" w:eastAsia="宋体" w:hint="default"/>
          <w:sz w:val="28"/>
          <w:szCs w:val="28"/>
        </w:rPr>
        <w:t>业务发展模式，真正实现农民与农业专家对话、手机定制农业信息、</w:t>
      </w:r>
      <w:r>
        <w:rPr>
          <w:rFonts w:ascii="宋体" w:hAnsi="宋体" w:cs="宋体" w:eastAsia="宋体" w:hint="default"/>
          <w:w w:val="99"/>
          <w:sz w:val="28"/>
          <w:szCs w:val="28"/>
        </w:rPr>
        <w:t> </w:t>
      </w:r>
      <w:r>
        <w:rPr>
          <w:rFonts w:ascii="宋体" w:hAnsi="宋体" w:cs="宋体" w:eastAsia="宋体" w:hint="default"/>
          <w:spacing w:val="-4"/>
          <w:sz w:val="28"/>
          <w:szCs w:val="28"/>
        </w:rPr>
        <w:t>网上浏览农业资讯、电视直播互动交流、农村安防报警互助，为广大</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6"/>
          <w:sz w:val="28"/>
          <w:szCs w:val="28"/>
        </w:rPr>
        <w:t>农民架起了全方位的农业信息服务桥梁，已形成了农科在线--电话</w:t>
      </w:r>
      <w:r>
        <w:rPr>
          <w:rFonts w:ascii="宋体" w:hAnsi="宋体" w:cs="宋体" w:eastAsia="宋体" w:hint="default"/>
          <w:spacing w:val="7"/>
          <w:w w:val="99"/>
          <w:sz w:val="28"/>
          <w:szCs w:val="28"/>
        </w:rPr>
        <w:t> </w:t>
      </w:r>
      <w:r>
        <w:rPr>
          <w:rFonts w:ascii="宋体" w:hAnsi="宋体" w:cs="宋体" w:eastAsia="宋体" w:hint="default"/>
          <w:spacing w:val="-3"/>
          <w:sz w:val="28"/>
          <w:szCs w:val="28"/>
        </w:rPr>
        <w:t>版、农科在线--手机版、农科在线--电脑版、农科在线--电视版、农</w:t>
      </w:r>
      <w:r>
        <w:rPr>
          <w:rFonts w:ascii="宋体" w:hAnsi="宋体" w:cs="宋体" w:eastAsia="宋体" w:hint="default"/>
          <w:w w:val="99"/>
          <w:sz w:val="28"/>
          <w:szCs w:val="28"/>
        </w:rPr>
        <w:t> </w:t>
      </w:r>
      <w:r>
        <w:rPr>
          <w:rFonts w:ascii="宋体" w:hAnsi="宋体" w:cs="宋体" w:eastAsia="宋体" w:hint="default"/>
          <w:sz w:val="28"/>
          <w:szCs w:val="28"/>
        </w:rPr>
        <w:t>科在线--图书版的</w:t>
      </w:r>
      <w:r>
        <w:rPr>
          <w:rFonts w:ascii="宋体" w:hAnsi="宋体" w:cs="宋体" w:eastAsia="宋体" w:hint="default"/>
          <w:spacing w:val="-71"/>
          <w:sz w:val="28"/>
          <w:szCs w:val="28"/>
        </w:rPr>
        <w:t> </w:t>
      </w:r>
      <w:r>
        <w:rPr>
          <w:rFonts w:ascii="宋体" w:hAnsi="宋体" w:cs="宋体" w:eastAsia="宋体" w:hint="default"/>
          <w:sz w:val="28"/>
          <w:szCs w:val="28"/>
        </w:rPr>
        <w:t>5</w:t>
      </w:r>
      <w:r>
        <w:rPr>
          <w:rFonts w:ascii="宋体" w:hAnsi="宋体" w:cs="宋体" w:eastAsia="宋体" w:hint="default"/>
          <w:spacing w:val="-70"/>
          <w:sz w:val="28"/>
          <w:szCs w:val="28"/>
        </w:rPr>
        <w:t> </w:t>
      </w:r>
      <w:r>
        <w:rPr>
          <w:rFonts w:ascii="宋体" w:hAnsi="宋体" w:cs="宋体" w:eastAsia="宋体" w:hint="default"/>
          <w:spacing w:val="-5"/>
          <w:sz w:val="28"/>
          <w:szCs w:val="28"/>
        </w:rPr>
        <w:t>大版面的服务内容，并以“平安互助”为农民创</w:t>
      </w:r>
      <w:r>
        <w:rPr>
          <w:rFonts w:ascii="宋体" w:hAnsi="宋体" w:cs="宋体" w:eastAsia="宋体" w:hint="default"/>
          <w:w w:val="99"/>
          <w:sz w:val="28"/>
          <w:szCs w:val="28"/>
        </w:rPr>
        <w:t> </w:t>
      </w:r>
      <w:r>
        <w:rPr>
          <w:rFonts w:ascii="宋体" w:hAnsi="宋体" w:cs="宋体" w:eastAsia="宋体" w:hint="default"/>
          <w:sz w:val="28"/>
          <w:szCs w:val="28"/>
        </w:rPr>
        <w:t>建了一个和谐、平安的生活环境。</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tabs>
          <w:tab w:pos="1927" w:val="left" w:leader="none"/>
        </w:tabs>
        <w:spacing w:before="195"/>
        <w:ind w:left="120" w:right="84" w:firstLine="0"/>
        <w:jc w:val="left"/>
        <w:rPr>
          <w:rFonts w:ascii="黑体" w:hAnsi="黑体" w:cs="黑体" w:eastAsia="黑体" w:hint="default"/>
          <w:sz w:val="30"/>
          <w:szCs w:val="30"/>
        </w:rPr>
      </w:pPr>
      <w:r>
        <w:rPr>
          <w:rFonts w:ascii="黑体" w:hAnsi="黑体" w:cs="黑体" w:eastAsia="黑体" w:hint="default"/>
          <w:b/>
          <w:bCs/>
          <w:w w:val="95"/>
          <w:sz w:val="30"/>
          <w:szCs w:val="30"/>
        </w:rPr>
        <w:t>平安互助网</w:t>
        <w:tab/>
      </w:r>
      <w:r>
        <w:rPr>
          <w:rFonts w:ascii="黑体" w:hAnsi="黑体" w:cs="黑体" w:eastAsia="黑体" w:hint="default"/>
          <w:b/>
          <w:bCs/>
          <w:sz w:val="30"/>
          <w:szCs w:val="30"/>
        </w:rPr>
        <w:t>让农民安居乐业</w:t>
      </w:r>
      <w:r>
        <w:rPr>
          <w:rFonts w:ascii="黑体" w:hAnsi="黑体" w:cs="黑体" w:eastAsia="黑体" w:hint="default"/>
          <w:sz w:val="30"/>
          <w:szCs w:val="3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
        <w:rPr>
          <w:rFonts w:ascii="黑体" w:hAnsi="黑体" w:cs="黑体" w:eastAsia="黑体" w:hint="default"/>
          <w:b/>
          <w:bCs/>
          <w:sz w:val="20"/>
          <w:szCs w:val="20"/>
        </w:rPr>
      </w:pPr>
    </w:p>
    <w:p>
      <w:pPr>
        <w:tabs>
          <w:tab w:pos="4797" w:val="left" w:leader="none"/>
        </w:tabs>
        <w:spacing w:line="3586" w:lineRule="exact"/>
        <w:ind w:left="1020" w:right="0" w:firstLine="0"/>
        <w:rPr>
          <w:rFonts w:ascii="黑体" w:hAnsi="黑体" w:cs="黑体" w:eastAsia="黑体" w:hint="default"/>
          <w:sz w:val="20"/>
          <w:szCs w:val="20"/>
        </w:rPr>
      </w:pPr>
      <w:r>
        <w:rPr>
          <w:rFonts w:ascii="黑体"/>
          <w:position w:val="-66"/>
          <w:sz w:val="20"/>
        </w:rPr>
        <w:pict>
          <v:group style="width:148.9pt;height:177.15pt;mso-position-horizontal-relative:char;mso-position-vertical-relative:line" coordorigin="0,0" coordsize="2978,3543">
            <v:shape style="position:absolute;left:30;top:26;width:2923;height:3496" type="#_x0000_t75" stroked="false">
              <v:imagedata r:id="rId249" o:title=""/>
            </v:shape>
            <v:group style="position:absolute;left:0;top:0;width:2978;height:3543" coordorigin="0,0" coordsize="2978,3543">
              <v:shape style="position:absolute;left:0;top:0;width:2978;height:3543" coordorigin="0,0" coordsize="2978,3543" path="m2977,0l0,0,0,3542,2977,3542,2977,3533,25,3533,13,3522,25,3522,25,22,13,22,25,11,2977,11,2977,0xe" filled="true" fillcolor="#ff3300" stroked="false">
                <v:path arrowok="t"/>
                <v:fill type="solid"/>
              </v:shape>
              <v:shape style="position:absolute;left:0;top:0;width:2978;height:3543" coordorigin="0,0" coordsize="2978,3543" path="m25,3522l13,3522,25,3533,25,3522xe" filled="true" fillcolor="#ff3300" stroked="false">
                <v:path arrowok="t"/>
                <v:fill type="solid"/>
              </v:shape>
              <v:shape style="position:absolute;left:0;top:0;width:2978;height:3543" coordorigin="0,0" coordsize="2978,3543" path="m2953,3522l25,3522,25,3533,2953,3533,2953,3522xe" filled="true" fillcolor="#ff3300" stroked="false">
                <v:path arrowok="t"/>
                <v:fill type="solid"/>
              </v:shape>
              <v:shape style="position:absolute;left:0;top:0;width:2978;height:3543" coordorigin="0,0" coordsize="2978,3543" path="m2953,11l2953,3533,2965,3522,2977,3522,2977,22,2965,22,2953,11xe" filled="true" fillcolor="#ff3300" stroked="false">
                <v:path arrowok="t"/>
                <v:fill type="solid"/>
              </v:shape>
              <v:shape style="position:absolute;left:0;top:0;width:2978;height:3543" coordorigin="0,0" coordsize="2978,3543" path="m2977,3522l2965,3522,2953,3533,2977,3533,2977,3522xe" filled="true" fillcolor="#ff3300" stroked="false">
                <v:path arrowok="t"/>
                <v:fill type="solid"/>
              </v:shape>
              <v:shape style="position:absolute;left:0;top:0;width:2978;height:3543" coordorigin="0,0" coordsize="2978,3543" path="m25,11l13,22,25,22,25,11xe" filled="true" fillcolor="#ff3300" stroked="false">
                <v:path arrowok="t"/>
                <v:fill type="solid"/>
              </v:shape>
              <v:shape style="position:absolute;left:0;top:0;width:2978;height:3543" coordorigin="0,0" coordsize="2978,3543" path="m2953,11l25,11,25,22,2953,22,2953,11xe" filled="true" fillcolor="#ff3300" stroked="false">
                <v:path arrowok="t"/>
                <v:fill type="solid"/>
              </v:shape>
              <v:shape style="position:absolute;left:0;top:0;width:2978;height:3543" coordorigin="0,0" coordsize="2978,3543" path="m2977,11l2953,11,2965,22,2977,22,2977,11xe" filled="true" fillcolor="#ff3300" stroked="false">
                <v:path arrowok="t"/>
                <v:fill type="solid"/>
              </v:shape>
            </v:group>
          </v:group>
        </w:pict>
      </w:r>
      <w:r>
        <w:rPr>
          <w:rFonts w:ascii="黑体"/>
          <w:position w:val="-66"/>
          <w:sz w:val="20"/>
        </w:rPr>
      </w:r>
      <w:r>
        <w:rPr>
          <w:rFonts w:ascii="黑体"/>
          <w:position w:val="-66"/>
          <w:sz w:val="20"/>
        </w:rPr>
        <w:tab/>
      </w:r>
      <w:r>
        <w:rPr>
          <w:rFonts w:ascii="黑体"/>
          <w:position w:val="-71"/>
          <w:sz w:val="20"/>
        </w:rPr>
        <w:pict>
          <v:group style="width:143.550pt;height:179.35pt;mso-position-horizontal-relative:char;mso-position-vertical-relative:line" coordorigin="0,0" coordsize="2871,3587">
            <v:shape style="position:absolute;left:12;top:18;width:2851;height:3554" type="#_x0000_t75" stroked="false">
              <v:imagedata r:id="rId250" o:title=""/>
            </v:shape>
            <v:group style="position:absolute;left:0;top:0;width:2871;height:3587" coordorigin="0,0" coordsize="2871,3587">
              <v:shape style="position:absolute;left:0;top:0;width:2871;height:3587" coordorigin="0,0" coordsize="2871,3587" path="m2870,0l0,0,0,3587,2870,3587,2870,3580,12,3580,6,3572,12,3572,12,14,6,14,12,7,2870,7,2870,0xe" filled="true" fillcolor="#ff0000" stroked="false">
                <v:path arrowok="t"/>
                <v:fill type="solid"/>
              </v:shape>
              <v:shape style="position:absolute;left:0;top:0;width:2871;height:3587" coordorigin="0,0" coordsize="2871,3587" path="m12,3572l6,3572,12,3580,12,3572xe" filled="true" fillcolor="#ff0000" stroked="false">
                <v:path arrowok="t"/>
                <v:fill type="solid"/>
              </v:shape>
              <v:shape style="position:absolute;left:0;top:0;width:2871;height:3587" coordorigin="0,0" coordsize="2871,3587" path="m2858,3572l12,3572,12,3580,2858,3580,2858,3572xe" filled="true" fillcolor="#ff0000" stroked="false">
                <v:path arrowok="t"/>
                <v:fill type="solid"/>
              </v:shape>
              <v:shape style="position:absolute;left:0;top:0;width:2871;height:3587" coordorigin="0,0" coordsize="2871,3587" path="m2858,7l2858,3580,2864,3572,2870,3572,2870,14,2864,14,2858,7xe" filled="true" fillcolor="#ff0000" stroked="false">
                <v:path arrowok="t"/>
                <v:fill type="solid"/>
              </v:shape>
              <v:shape style="position:absolute;left:0;top:0;width:2871;height:3587" coordorigin="0,0" coordsize="2871,3587" path="m2870,3572l2864,3572,2858,3580,2870,3580,2870,3572xe" filled="true" fillcolor="#ff0000" stroked="false">
                <v:path arrowok="t"/>
                <v:fill type="solid"/>
              </v:shape>
              <v:shape style="position:absolute;left:0;top:0;width:2871;height:3587" coordorigin="0,0" coordsize="2871,3587" path="m12,7l6,14,12,14,12,7xe" filled="true" fillcolor="#ff0000" stroked="false">
                <v:path arrowok="t"/>
                <v:fill type="solid"/>
              </v:shape>
              <v:shape style="position:absolute;left:0;top:0;width:2871;height:3587" coordorigin="0,0" coordsize="2871,3587" path="m2858,7l12,7,12,14,2858,14,2858,7xe" filled="true" fillcolor="#ff0000" stroked="false">
                <v:path arrowok="t"/>
                <v:fill type="solid"/>
              </v:shape>
              <v:shape style="position:absolute;left:0;top:0;width:2871;height:3587" coordorigin="0,0" coordsize="2871,3587" path="m2870,7l2858,7,2864,14,2870,14,2870,7xe" filled="true" fillcolor="#ff0000" stroked="false">
                <v:path arrowok="t"/>
                <v:fill type="solid"/>
              </v:shape>
            </v:group>
          </v:group>
        </w:pict>
      </w:r>
      <w:r>
        <w:rPr>
          <w:rFonts w:ascii="黑体"/>
          <w:position w:val="-71"/>
          <w:sz w:val="20"/>
        </w:rPr>
      </w:r>
    </w:p>
    <w:p>
      <w:pPr>
        <w:spacing w:line="240" w:lineRule="auto" w:before="0"/>
        <w:rPr>
          <w:rFonts w:ascii="黑体" w:hAnsi="黑体" w:cs="黑体" w:eastAsia="黑体" w:hint="default"/>
          <w:b/>
          <w:bCs/>
          <w:sz w:val="30"/>
          <w:szCs w:val="30"/>
        </w:rPr>
      </w:pPr>
    </w:p>
    <w:p>
      <w:pPr>
        <w:spacing w:line="240" w:lineRule="auto" w:before="3"/>
        <w:rPr>
          <w:rFonts w:ascii="黑体" w:hAnsi="黑体" w:cs="黑体" w:eastAsia="黑体" w:hint="default"/>
          <w:b/>
          <w:bCs/>
          <w:sz w:val="36"/>
          <w:szCs w:val="36"/>
        </w:rPr>
      </w:pPr>
    </w:p>
    <w:p>
      <w:pPr>
        <w:pStyle w:val="Heading7"/>
        <w:spacing w:line="408" w:lineRule="auto"/>
        <w:ind w:right="84" w:firstLine="503"/>
        <w:jc w:val="left"/>
      </w:pPr>
      <w:r>
        <w:rPr/>
        <w:t>中国农村地区普遍存在青壮年劳力外出打工，老人、妇女、孩子</w:t>
      </w:r>
      <w:r>
        <w:rPr>
          <w:w w:val="99"/>
        </w:rPr>
        <w:t> </w:t>
      </w:r>
      <w:r>
        <w:rPr/>
        <w:t>等留守人员由于安全防范能力相对较弱，成为社会安全的弱势群体。</w:t>
      </w:r>
      <w:r>
        <w:rPr>
          <w:w w:val="99"/>
        </w:rPr>
        <w:t> </w:t>
      </w:r>
      <w:r>
        <w:rPr>
          <w:spacing w:val="-4"/>
        </w:rPr>
        <w:t>遇有被盗、疾病、火灾等紧急情况时，整个农村缺乏有效地安全防护</w:t>
      </w:r>
      <w:r>
        <w:rPr>
          <w:spacing w:val="-123"/>
        </w:rPr>
        <w:t> </w:t>
      </w:r>
      <w:r>
        <w:rPr>
          <w:spacing w:val="-123"/>
        </w:rPr>
      </w:r>
      <w:r>
        <w:rPr>
          <w:spacing w:val="-4"/>
        </w:rPr>
        <w:t>能力和应急事件反应机制，普遍存在治安隐患和安防落后难题，迫切</w:t>
      </w:r>
    </w:p>
    <w:p>
      <w:pPr>
        <w:spacing w:after="0" w:line="408" w:lineRule="auto"/>
        <w:jc w:val="left"/>
        <w:sectPr>
          <w:headerReference w:type="default" r:id="rId247"/>
          <w:footerReference w:type="default" r:id="rId248"/>
          <w:pgSz w:w="11910" w:h="16840"/>
          <w:pgMar w:header="0" w:footer="982" w:top="1540" w:bottom="1180" w:left="1680" w:right="1600"/>
          <w:pgNumType w:start="35"/>
        </w:sectPr>
      </w:pPr>
    </w:p>
    <w:p>
      <w:pPr>
        <w:pStyle w:val="Heading7"/>
        <w:spacing w:line="351" w:lineRule="exact"/>
        <w:ind w:left="160" w:right="0"/>
        <w:jc w:val="both"/>
      </w:pPr>
      <w:r>
        <w:rPr>
          <w:spacing w:val="-4"/>
        </w:rPr>
        <w:t>研发一种简单、方便、易行的安全防护体系，在发生紧急情况时能够</w:t>
      </w:r>
    </w:p>
    <w:p>
      <w:pPr>
        <w:spacing w:line="240" w:lineRule="auto" w:before="9"/>
        <w:rPr>
          <w:rFonts w:ascii="宋体" w:hAnsi="宋体" w:cs="宋体" w:eastAsia="宋体" w:hint="default"/>
          <w:sz w:val="19"/>
          <w:szCs w:val="19"/>
        </w:rPr>
      </w:pPr>
    </w:p>
    <w:p>
      <w:pPr>
        <w:spacing w:line="408" w:lineRule="auto" w:before="0"/>
        <w:ind w:left="159" w:right="109" w:firstLine="0"/>
        <w:jc w:val="both"/>
        <w:rPr>
          <w:rFonts w:ascii="宋体" w:hAnsi="宋体" w:cs="宋体" w:eastAsia="宋体" w:hint="default"/>
          <w:sz w:val="28"/>
          <w:szCs w:val="28"/>
        </w:rPr>
      </w:pPr>
      <w:r>
        <w:rPr>
          <w:rFonts w:ascii="宋体" w:hAnsi="宋体" w:cs="宋体" w:eastAsia="宋体" w:hint="default"/>
          <w:spacing w:val="-4"/>
          <w:sz w:val="28"/>
          <w:szCs w:val="28"/>
        </w:rPr>
        <w:t>快速反应、及时救助。中国联通以强烈的社会责任感，积极推进建设</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3"/>
          <w:w w:val="99"/>
          <w:sz w:val="28"/>
          <w:szCs w:val="28"/>
        </w:rPr>
        <w:t>的“平安互助网”，建立覆盖整个乡镇、县、市、省，乃至全国农村</w:t>
      </w:r>
      <w:r>
        <w:rPr>
          <w:rFonts w:ascii="宋体" w:hAnsi="宋体" w:cs="宋体" w:eastAsia="宋体" w:hint="default"/>
          <w:spacing w:val="-131"/>
          <w:w w:val="99"/>
          <w:sz w:val="28"/>
          <w:szCs w:val="28"/>
        </w:rPr>
        <w:t> </w:t>
      </w:r>
      <w:r>
        <w:rPr>
          <w:rFonts w:ascii="宋体" w:hAnsi="宋体" w:cs="宋体" w:eastAsia="宋体" w:hint="default"/>
          <w:spacing w:val="-131"/>
          <w:w w:val="99"/>
          <w:sz w:val="28"/>
          <w:szCs w:val="28"/>
        </w:rPr>
      </w:r>
      <w:r>
        <w:rPr>
          <w:rFonts w:ascii="宋体" w:hAnsi="宋体" w:cs="宋体" w:eastAsia="宋体" w:hint="default"/>
          <w:spacing w:val="-4"/>
          <w:sz w:val="28"/>
          <w:szCs w:val="28"/>
        </w:rPr>
        <w:t>地区的统一信息管理平台，能够确保农村应急信息渠道畅通，有效解</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决农村中存在的治安联防、信息传达、相互救助等问题，对建设统一</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6"/>
          <w:sz w:val="28"/>
          <w:szCs w:val="28"/>
        </w:rPr>
        <w:t>高效的应急反应机制、推进社会主义和谐新农村建设具有主要的意</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义。</w:t>
      </w:r>
    </w:p>
    <w:p>
      <w:pPr>
        <w:spacing w:line="240" w:lineRule="auto" w:before="6"/>
        <w:rPr>
          <w:rFonts w:ascii="宋体" w:hAnsi="宋体" w:cs="宋体" w:eastAsia="宋体" w:hint="default"/>
          <w:sz w:val="27"/>
          <w:szCs w:val="27"/>
        </w:rPr>
      </w:pPr>
    </w:p>
    <w:p>
      <w:pPr>
        <w:spacing w:line="6801" w:lineRule="exact"/>
        <w:ind w:left="116" w:right="0" w:firstLine="0"/>
        <w:rPr>
          <w:rFonts w:ascii="宋体" w:hAnsi="宋体" w:cs="宋体" w:eastAsia="宋体" w:hint="default"/>
          <w:sz w:val="20"/>
          <w:szCs w:val="20"/>
        </w:rPr>
      </w:pPr>
      <w:r>
        <w:rPr>
          <w:rFonts w:ascii="宋体" w:hAnsi="宋体" w:cs="宋体" w:eastAsia="宋体" w:hint="default"/>
          <w:position w:val="-135"/>
          <w:sz w:val="20"/>
          <w:szCs w:val="20"/>
        </w:rPr>
        <w:pict>
          <v:shape style="width:416.55pt;height:340.05pt;mso-position-horizontal-relative:char;mso-position-vertical-relative:line" type="#_x0000_t202" filled="true" fillcolor="#ccccff" stroked="false">
            <w10:anchorlock/>
            <v:textbox inset="0,0,0,0">
              <w:txbxContent>
                <w:p>
                  <w:pPr>
                    <w:spacing w:line="357" w:lineRule="auto" w:before="128"/>
                    <w:ind w:left="159" w:right="153" w:firstLine="0"/>
                    <w:jc w:val="both"/>
                    <w:rPr>
                      <w:rFonts w:ascii="宋体" w:hAnsi="宋体" w:cs="宋体" w:eastAsia="宋体" w:hint="default"/>
                      <w:sz w:val="24"/>
                      <w:szCs w:val="24"/>
                    </w:rPr>
                  </w:pPr>
                  <w:r>
                    <w:rPr>
                      <w:rFonts w:ascii="宋体" w:hAnsi="宋体" w:cs="宋体" w:eastAsia="宋体" w:hint="default"/>
                      <w:sz w:val="24"/>
                      <w:szCs w:val="24"/>
                    </w:rPr>
                    <w:t>◆“平安互助网”是通信运营商经过总结分析农村客户的安防需求，在现有</w:t>
                  </w:r>
                  <w:r>
                    <w:rPr>
                      <w:rFonts w:ascii="宋体" w:hAnsi="宋体" w:cs="宋体" w:eastAsia="宋体" w:hint="default"/>
                      <w:spacing w:val="-55"/>
                      <w:sz w:val="24"/>
                      <w:szCs w:val="24"/>
                    </w:rPr>
                    <w:t> </w:t>
                  </w:r>
                  <w:r>
                    <w:rPr>
                      <w:rFonts w:ascii="宋体" w:hAnsi="宋体" w:cs="宋体" w:eastAsia="宋体" w:hint="default"/>
                      <w:sz w:val="24"/>
                      <w:szCs w:val="24"/>
                    </w:rPr>
                    <w:t>农村固话网络资源基础上，利用现代信息技术实施科技创新，搭建具有互助</w:t>
                  </w:r>
                  <w:r>
                    <w:rPr>
                      <w:rFonts w:ascii="宋体" w:hAnsi="宋体" w:cs="宋体" w:eastAsia="宋体" w:hint="default"/>
                      <w:spacing w:val="-55"/>
                      <w:sz w:val="24"/>
                      <w:szCs w:val="24"/>
                    </w:rPr>
                    <w:t> </w:t>
                  </w:r>
                  <w:r>
                    <w:rPr>
                      <w:rFonts w:ascii="宋体" w:hAnsi="宋体" w:cs="宋体" w:eastAsia="宋体" w:hint="default"/>
                      <w:sz w:val="24"/>
                      <w:szCs w:val="24"/>
                    </w:rPr>
                    <w:t>联防、相互救助、监控报警等功能的联防联治应急通信网络。该网络是由平</w:t>
                  </w:r>
                  <w:r>
                    <w:rPr>
                      <w:rFonts w:ascii="宋体" w:hAnsi="宋体" w:cs="宋体" w:eastAsia="宋体" w:hint="default"/>
                      <w:spacing w:val="-55"/>
                      <w:sz w:val="24"/>
                      <w:szCs w:val="24"/>
                    </w:rPr>
                    <w:t> </w:t>
                  </w:r>
                  <w:r>
                    <w:rPr>
                      <w:rFonts w:ascii="宋体" w:hAnsi="宋体" w:cs="宋体" w:eastAsia="宋体" w:hint="default"/>
                      <w:spacing w:val="-18"/>
                      <w:sz w:val="24"/>
                      <w:szCs w:val="24"/>
                    </w:rPr>
                    <w:t>安互助电话系统、“居家卫士”安防报警系统、“神眼”家居商铺看护系统、“宽</w:t>
                  </w:r>
                  <w:r>
                    <w:rPr>
                      <w:rFonts w:ascii="宋体" w:hAnsi="宋体" w:cs="宋体" w:eastAsia="宋体" w:hint="default"/>
                      <w:spacing w:val="-110"/>
                      <w:sz w:val="24"/>
                      <w:szCs w:val="24"/>
                    </w:rPr>
                    <w:t> </w:t>
                  </w:r>
                  <w:r>
                    <w:rPr>
                      <w:rFonts w:ascii="宋体" w:hAnsi="宋体" w:cs="宋体" w:eastAsia="宋体" w:hint="default"/>
                      <w:spacing w:val="-110"/>
                      <w:sz w:val="24"/>
                      <w:szCs w:val="24"/>
                    </w:rPr>
                  </w:r>
                  <w:r>
                    <w:rPr>
                      <w:rFonts w:ascii="宋体" w:hAnsi="宋体" w:cs="宋体" w:eastAsia="宋体" w:hint="default"/>
                      <w:sz w:val="24"/>
                      <w:szCs w:val="24"/>
                    </w:rPr>
                    <w:t>视界”村级监控系统四个可以独立应用又相互联动的系统，共同构成的农村</w:t>
                  </w:r>
                  <w:r>
                    <w:rPr>
                      <w:rFonts w:ascii="宋体" w:hAnsi="宋体" w:cs="宋体" w:eastAsia="宋体" w:hint="default"/>
                      <w:spacing w:val="-55"/>
                      <w:sz w:val="24"/>
                      <w:szCs w:val="24"/>
                    </w:rPr>
                    <w:t> </w:t>
                  </w:r>
                  <w:r>
                    <w:rPr>
                      <w:rFonts w:ascii="宋体" w:hAnsi="宋体" w:cs="宋体" w:eastAsia="宋体" w:hint="default"/>
                      <w:spacing w:val="-55"/>
                      <w:sz w:val="24"/>
                      <w:szCs w:val="24"/>
                    </w:rPr>
                  </w:r>
                  <w:r>
                    <w:rPr>
                      <w:rFonts w:ascii="宋体" w:hAnsi="宋体" w:cs="宋体" w:eastAsia="宋体" w:hint="default"/>
                      <w:sz w:val="24"/>
                      <w:szCs w:val="24"/>
                    </w:rPr>
                    <w:t>综合治理防控体系。一定比例的农村地区通过“平安互助网”实现了“紧急</w:t>
                  </w:r>
                  <w:r>
                    <w:rPr>
                      <w:rFonts w:ascii="宋体" w:hAnsi="宋体" w:cs="宋体" w:eastAsia="宋体" w:hint="default"/>
                      <w:spacing w:val="-55"/>
                      <w:sz w:val="24"/>
                      <w:szCs w:val="24"/>
                    </w:rPr>
                    <w:t> </w:t>
                  </w:r>
                  <w:r>
                    <w:rPr>
                      <w:rFonts w:ascii="宋体" w:hAnsi="宋体" w:cs="宋体" w:eastAsia="宋体" w:hint="default"/>
                      <w:sz w:val="24"/>
                      <w:szCs w:val="24"/>
                    </w:rPr>
                    <w:t>求助报警、惠农信息广播、政务信息发布”等功能，建立独具特色的农村综</w:t>
                  </w:r>
                  <w:r>
                    <w:rPr>
                      <w:rFonts w:ascii="宋体" w:hAnsi="宋体" w:cs="宋体" w:eastAsia="宋体" w:hint="default"/>
                      <w:spacing w:val="-55"/>
                      <w:sz w:val="24"/>
                      <w:szCs w:val="24"/>
                    </w:rPr>
                    <w:t> </w:t>
                  </w:r>
                  <w:r>
                    <w:rPr>
                      <w:rFonts w:ascii="宋体" w:hAnsi="宋体" w:cs="宋体" w:eastAsia="宋体" w:hint="default"/>
                      <w:spacing w:val="-5"/>
                      <w:sz w:val="24"/>
                      <w:szCs w:val="24"/>
                    </w:rPr>
                    <w:t>合信息防治体系，并填补了农村技防手段的空白。“平安互助网”实施产品创</w:t>
                  </w:r>
                  <w:r>
                    <w:rPr>
                      <w:rFonts w:ascii="宋体" w:hAnsi="宋体" w:cs="宋体" w:eastAsia="宋体" w:hint="default"/>
                      <w:spacing w:val="-109"/>
                      <w:sz w:val="24"/>
                      <w:szCs w:val="24"/>
                    </w:rPr>
                    <w:t> </w:t>
                  </w:r>
                  <w:r>
                    <w:rPr>
                      <w:rFonts w:ascii="宋体" w:hAnsi="宋体" w:cs="宋体" w:eastAsia="宋体" w:hint="default"/>
                      <w:spacing w:val="-109"/>
                      <w:sz w:val="24"/>
                      <w:szCs w:val="24"/>
                    </w:rPr>
                  </w:r>
                  <w:r>
                    <w:rPr>
                      <w:rFonts w:ascii="宋体" w:hAnsi="宋体" w:cs="宋体" w:eastAsia="宋体" w:hint="default"/>
                      <w:sz w:val="24"/>
                      <w:szCs w:val="24"/>
                    </w:rPr>
                    <w:t>新、营销创新和盈利模式创新，创造了良好的经济效益与社会效益，满足了</w:t>
                  </w:r>
                  <w:r>
                    <w:rPr>
                      <w:rFonts w:ascii="宋体" w:hAnsi="宋体" w:cs="宋体" w:eastAsia="宋体" w:hint="default"/>
                      <w:spacing w:val="-55"/>
                      <w:sz w:val="24"/>
                      <w:szCs w:val="24"/>
                    </w:rPr>
                    <w:t> </w:t>
                  </w:r>
                  <w:r>
                    <w:rPr>
                      <w:rFonts w:ascii="宋体" w:hAnsi="宋体" w:cs="宋体" w:eastAsia="宋体" w:hint="default"/>
                      <w:spacing w:val="-55"/>
                      <w:sz w:val="24"/>
                      <w:szCs w:val="24"/>
                    </w:rPr>
                  </w:r>
                  <w:r>
                    <w:rPr>
                      <w:rFonts w:ascii="宋体" w:hAnsi="宋体" w:cs="宋体" w:eastAsia="宋体" w:hint="default"/>
                      <w:spacing w:val="-5"/>
                      <w:sz w:val="24"/>
                      <w:szCs w:val="24"/>
                    </w:rPr>
                    <w:t>广大农村客户对低价安防和紧急救助产品的需求。目前，“平安互助网”在应</w:t>
                  </w:r>
                  <w:r>
                    <w:rPr>
                      <w:rFonts w:ascii="宋体" w:hAnsi="宋体" w:cs="宋体" w:eastAsia="宋体" w:hint="default"/>
                      <w:spacing w:val="-106"/>
                      <w:sz w:val="24"/>
                      <w:szCs w:val="24"/>
                    </w:rPr>
                    <w:t> </w:t>
                  </w:r>
                  <w:r>
                    <w:rPr>
                      <w:rFonts w:ascii="宋体" w:hAnsi="宋体" w:cs="宋体" w:eastAsia="宋体" w:hint="default"/>
                      <w:spacing w:val="-106"/>
                      <w:sz w:val="24"/>
                      <w:szCs w:val="24"/>
                    </w:rPr>
                  </w:r>
                  <w:r>
                    <w:rPr>
                      <w:rFonts w:ascii="宋体" w:hAnsi="宋体" w:cs="宋体" w:eastAsia="宋体" w:hint="default"/>
                      <w:sz w:val="24"/>
                      <w:szCs w:val="24"/>
                    </w:rPr>
                    <w:t>用领域已实现由“以紧急报警救助为主要应用”成功向“以紧急报警救助为</w:t>
                  </w:r>
                  <w:r>
                    <w:rPr>
                      <w:rFonts w:ascii="宋体" w:hAnsi="宋体" w:cs="宋体" w:eastAsia="宋体" w:hint="default"/>
                      <w:spacing w:val="-55"/>
                      <w:sz w:val="24"/>
                      <w:szCs w:val="24"/>
                    </w:rPr>
                    <w:t> </w:t>
                  </w:r>
                  <w:r>
                    <w:rPr>
                      <w:rFonts w:ascii="宋体" w:hAnsi="宋体" w:cs="宋体" w:eastAsia="宋体" w:hint="default"/>
                      <w:spacing w:val="-55"/>
                      <w:sz w:val="24"/>
                      <w:szCs w:val="24"/>
                    </w:rPr>
                  </w:r>
                  <w:r>
                    <w:rPr>
                      <w:rFonts w:ascii="宋体" w:hAnsi="宋体" w:cs="宋体" w:eastAsia="宋体" w:hint="default"/>
                      <w:spacing w:val="-5"/>
                      <w:sz w:val="24"/>
                      <w:szCs w:val="24"/>
                    </w:rPr>
                    <w:t>基础的综合信息服务应用”转变，由平安互助电话系统、“居家卫士”安防报</w:t>
                  </w:r>
                  <w:r>
                    <w:rPr>
                      <w:rFonts w:ascii="宋体" w:hAnsi="宋体" w:cs="宋体" w:eastAsia="宋体" w:hint="default"/>
                      <w:spacing w:val="-100"/>
                      <w:sz w:val="24"/>
                      <w:szCs w:val="24"/>
                    </w:rPr>
                    <w:t> </w:t>
                  </w:r>
                  <w:r>
                    <w:rPr>
                      <w:rFonts w:ascii="宋体" w:hAnsi="宋体" w:cs="宋体" w:eastAsia="宋体" w:hint="default"/>
                      <w:spacing w:val="-100"/>
                      <w:sz w:val="24"/>
                      <w:szCs w:val="24"/>
                    </w:rPr>
                  </w:r>
                  <w:r>
                    <w:rPr>
                      <w:rFonts w:ascii="宋体" w:hAnsi="宋体" w:cs="宋体" w:eastAsia="宋体" w:hint="default"/>
                      <w:spacing w:val="-6"/>
                      <w:sz w:val="24"/>
                      <w:szCs w:val="24"/>
                    </w:rPr>
                    <w:t>警系统、“神眼”家居商铺看护系统、“宽视界”村级监控系统共同构成现代</w:t>
                  </w:r>
                  <w:r>
                    <w:rPr>
                      <w:rFonts w:ascii="宋体" w:hAnsi="宋体" w:cs="宋体" w:eastAsia="宋体" w:hint="default"/>
                      <w:spacing w:val="-88"/>
                      <w:sz w:val="24"/>
                      <w:szCs w:val="24"/>
                    </w:rPr>
                    <w:t> </w:t>
                  </w:r>
                  <w:r>
                    <w:rPr>
                      <w:rFonts w:ascii="宋体" w:hAnsi="宋体" w:cs="宋体" w:eastAsia="宋体" w:hint="default"/>
                      <w:spacing w:val="-88"/>
                      <w:sz w:val="24"/>
                      <w:szCs w:val="24"/>
                    </w:rPr>
                  </w:r>
                  <w:r>
                    <w:rPr>
                      <w:rFonts w:ascii="宋体" w:hAnsi="宋体" w:cs="宋体" w:eastAsia="宋体" w:hint="default"/>
                      <w:sz w:val="24"/>
                      <w:szCs w:val="24"/>
                    </w:rPr>
                    <w:t>化的农村综合治理防控体系。</w:t>
                  </w:r>
                </w:p>
              </w:txbxContent>
            </v:textbox>
            <v:fill type="solid"/>
          </v:shape>
        </w:pict>
      </w:r>
      <w:r>
        <w:rPr>
          <w:rFonts w:ascii="宋体" w:hAnsi="宋体" w:cs="宋体" w:eastAsia="宋体" w:hint="default"/>
          <w:position w:val="-135"/>
          <w:sz w:val="20"/>
          <w:szCs w:val="20"/>
        </w:rPr>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7"/>
        <w:rPr>
          <w:rFonts w:ascii="宋体" w:hAnsi="宋体" w:cs="宋体" w:eastAsia="宋体" w:hint="default"/>
          <w:sz w:val="21"/>
          <w:szCs w:val="21"/>
        </w:rPr>
      </w:pPr>
    </w:p>
    <w:p>
      <w:pPr>
        <w:spacing w:line="408" w:lineRule="auto" w:before="0"/>
        <w:ind w:left="160" w:right="116" w:firstLine="560"/>
        <w:jc w:val="left"/>
        <w:rPr>
          <w:rFonts w:ascii="宋体" w:hAnsi="宋体" w:cs="宋体" w:eastAsia="宋体" w:hint="default"/>
          <w:sz w:val="28"/>
          <w:szCs w:val="28"/>
        </w:rPr>
      </w:pPr>
      <w:r>
        <w:rPr>
          <w:rFonts w:ascii="宋体" w:hAnsi="宋体" w:cs="宋体" w:eastAsia="宋体" w:hint="default"/>
          <w:spacing w:val="-4"/>
          <w:sz w:val="28"/>
          <w:szCs w:val="28"/>
        </w:rPr>
        <w:t>基于广泛普及的农村固话网络建成的“平安互助网”联防联治应</w:t>
      </w:r>
      <w:r>
        <w:rPr>
          <w:rFonts w:ascii="宋体" w:hAnsi="宋体" w:cs="宋体" w:eastAsia="宋体" w:hint="default"/>
          <w:w w:val="99"/>
          <w:sz w:val="28"/>
          <w:szCs w:val="28"/>
        </w:rPr>
        <w:t> </w:t>
      </w:r>
      <w:r>
        <w:rPr>
          <w:rFonts w:ascii="宋体" w:hAnsi="宋体" w:cs="宋体" w:eastAsia="宋体" w:hint="default"/>
          <w:spacing w:val="-4"/>
          <w:sz w:val="28"/>
          <w:szCs w:val="28"/>
        </w:rPr>
        <w:t>急通信网络，没有增加农民负担就解决了农村治安的大问题，填补了</w:t>
      </w:r>
    </w:p>
    <w:p>
      <w:pPr>
        <w:spacing w:after="0" w:line="408" w:lineRule="auto"/>
        <w:jc w:val="left"/>
        <w:rPr>
          <w:rFonts w:ascii="宋体" w:hAnsi="宋体" w:cs="宋体" w:eastAsia="宋体" w:hint="default"/>
          <w:sz w:val="28"/>
          <w:szCs w:val="28"/>
        </w:rPr>
        <w:sectPr>
          <w:headerReference w:type="default" r:id="rId251"/>
          <w:footerReference w:type="default" r:id="rId252"/>
          <w:pgSz w:w="11910" w:h="16840"/>
          <w:pgMar w:header="0" w:footer="982" w:top="1540" w:bottom="1180" w:left="1640" w:right="1680"/>
          <w:pgNumType w:start="36"/>
        </w:sectPr>
      </w:pPr>
    </w:p>
    <w:p>
      <w:pPr>
        <w:pStyle w:val="Heading7"/>
        <w:spacing w:line="351" w:lineRule="exact"/>
        <w:ind w:right="0"/>
        <w:jc w:val="both"/>
      </w:pPr>
      <w:r>
        <w:rPr>
          <w:spacing w:val="2"/>
          <w:w w:val="99"/>
        </w:rPr>
        <w:t>当前农村安全技防领域的空白</w:t>
      </w:r>
      <w:r>
        <w:rPr>
          <w:spacing w:val="-139"/>
          <w:w w:val="99"/>
        </w:rPr>
        <w:t>，</w:t>
      </w:r>
      <w:r>
        <w:rPr>
          <w:spacing w:val="1"/>
          <w:w w:val="99"/>
        </w:rPr>
        <w:t>“平安互助网”已成为当前推进和谐</w:t>
      </w:r>
      <w:r>
        <w:rPr/>
      </w:r>
    </w:p>
    <w:p>
      <w:pPr>
        <w:spacing w:line="240" w:lineRule="auto" w:before="9"/>
        <w:rPr>
          <w:rFonts w:ascii="宋体" w:hAnsi="宋体" w:cs="宋体" w:eastAsia="宋体" w:hint="default"/>
          <w:sz w:val="19"/>
          <w:szCs w:val="19"/>
        </w:rPr>
      </w:pPr>
    </w:p>
    <w:p>
      <w:pPr>
        <w:spacing w:line="408" w:lineRule="auto" w:before="0"/>
        <w:ind w:left="120" w:right="196" w:firstLine="0"/>
        <w:jc w:val="both"/>
        <w:rPr>
          <w:rFonts w:ascii="宋体" w:hAnsi="宋体" w:cs="宋体" w:eastAsia="宋体" w:hint="default"/>
          <w:sz w:val="28"/>
          <w:szCs w:val="28"/>
        </w:rPr>
      </w:pPr>
      <w:r>
        <w:rPr>
          <w:rFonts w:ascii="宋体" w:hAnsi="宋体" w:cs="宋体" w:eastAsia="宋体" w:hint="default"/>
          <w:spacing w:val="-4"/>
          <w:sz w:val="28"/>
          <w:szCs w:val="28"/>
        </w:rPr>
        <w:t>农村、平安农村建设的重要内容。对于应对农村治安复杂状况、加快</w:t>
      </w:r>
      <w:r>
        <w:rPr>
          <w:rFonts w:ascii="宋体" w:hAnsi="宋体" w:cs="宋体" w:eastAsia="宋体" w:hint="default"/>
          <w:spacing w:val="-127"/>
          <w:sz w:val="28"/>
          <w:szCs w:val="28"/>
        </w:rPr>
        <w:t> </w:t>
      </w:r>
      <w:r>
        <w:rPr>
          <w:rFonts w:ascii="宋体" w:hAnsi="宋体" w:cs="宋体" w:eastAsia="宋体" w:hint="default"/>
          <w:spacing w:val="-127"/>
          <w:sz w:val="28"/>
          <w:szCs w:val="28"/>
        </w:rPr>
      </w:r>
      <w:r>
        <w:rPr>
          <w:rFonts w:ascii="宋体" w:hAnsi="宋体" w:cs="宋体" w:eastAsia="宋体" w:hint="default"/>
          <w:spacing w:val="-4"/>
          <w:sz w:val="28"/>
          <w:szCs w:val="28"/>
        </w:rPr>
        <w:t>农村信息化发展、建立快速反应的农村应急反应机制等具有重要的社</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会价值和经济意义。</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before="195"/>
        <w:ind w:left="120" w:right="0" w:firstLine="0"/>
        <w:jc w:val="both"/>
        <w:rPr>
          <w:rFonts w:ascii="黑体" w:hAnsi="黑体" w:cs="黑体" w:eastAsia="黑体" w:hint="default"/>
          <w:sz w:val="30"/>
          <w:szCs w:val="30"/>
        </w:rPr>
      </w:pPr>
      <w:r>
        <w:rPr>
          <w:rFonts w:ascii="黑体" w:hAnsi="黑体" w:cs="黑体" w:eastAsia="黑体" w:hint="default"/>
          <w:b/>
          <w:bCs/>
          <w:spacing w:val="1"/>
          <w:w w:val="99"/>
          <w:sz w:val="30"/>
          <w:szCs w:val="30"/>
        </w:rPr>
        <w:t>积极推进“信息下乡</w:t>
      </w:r>
      <w:r>
        <w:rPr>
          <w:rFonts w:ascii="黑体" w:hAnsi="黑体" w:cs="黑体" w:eastAsia="黑体" w:hint="default"/>
          <w:b/>
          <w:bCs/>
          <w:spacing w:val="-149"/>
          <w:w w:val="99"/>
          <w:sz w:val="30"/>
          <w:szCs w:val="30"/>
        </w:rPr>
        <w:t>”</w:t>
      </w:r>
      <w:r>
        <w:rPr>
          <w:rFonts w:ascii="黑体" w:hAnsi="黑体" w:cs="黑体" w:eastAsia="黑体" w:hint="default"/>
          <w:b/>
          <w:bCs/>
          <w:spacing w:val="1"/>
          <w:w w:val="99"/>
          <w:sz w:val="30"/>
          <w:szCs w:val="30"/>
        </w:rPr>
        <w:t>，打开农村致富信息之门</w:t>
      </w:r>
      <w:r>
        <w:rPr>
          <w:rFonts w:ascii="黑体" w:hAnsi="黑体" w:cs="黑体" w:eastAsia="黑体" w:hint="default"/>
          <w:sz w:val="30"/>
          <w:szCs w:val="30"/>
        </w:rPr>
      </w:r>
    </w:p>
    <w:p>
      <w:pPr>
        <w:spacing w:line="240" w:lineRule="auto" w:before="0"/>
        <w:rPr>
          <w:rFonts w:ascii="黑体" w:hAnsi="黑体" w:cs="黑体" w:eastAsia="黑体" w:hint="default"/>
          <w:b/>
          <w:bCs/>
          <w:sz w:val="30"/>
          <w:szCs w:val="30"/>
        </w:rPr>
      </w:pPr>
    </w:p>
    <w:p>
      <w:pPr>
        <w:spacing w:line="240" w:lineRule="auto" w:before="7"/>
        <w:rPr>
          <w:rFonts w:ascii="黑体" w:hAnsi="黑体" w:cs="黑体" w:eastAsia="黑体" w:hint="default"/>
          <w:b/>
          <w:bCs/>
          <w:sz w:val="36"/>
          <w:szCs w:val="36"/>
        </w:rPr>
      </w:pPr>
    </w:p>
    <w:p>
      <w:pPr>
        <w:spacing w:line="408" w:lineRule="auto" w:before="0"/>
        <w:ind w:left="119" w:right="85" w:firstLine="560"/>
        <w:jc w:val="left"/>
        <w:rPr>
          <w:rFonts w:ascii="宋体" w:hAnsi="宋体" w:cs="宋体" w:eastAsia="宋体" w:hint="default"/>
          <w:sz w:val="28"/>
          <w:szCs w:val="28"/>
        </w:rPr>
      </w:pPr>
      <w:r>
        <w:rPr>
          <w:rFonts w:ascii="宋体" w:hAnsi="宋体" w:cs="宋体" w:eastAsia="宋体" w:hint="default"/>
          <w:spacing w:val="-4"/>
          <w:sz w:val="28"/>
          <w:szCs w:val="28"/>
        </w:rPr>
        <w:t>为推动农村信息化发展，打开农村致富信息之门，为新农村建设</w:t>
      </w:r>
      <w:r>
        <w:rPr>
          <w:rFonts w:ascii="宋体" w:hAnsi="宋体" w:cs="宋体" w:eastAsia="宋体" w:hint="default"/>
          <w:w w:val="99"/>
          <w:sz w:val="28"/>
          <w:szCs w:val="28"/>
        </w:rPr>
        <w:t> </w:t>
      </w:r>
      <w:r>
        <w:rPr>
          <w:rFonts w:ascii="宋体" w:hAnsi="宋体" w:cs="宋体" w:eastAsia="宋体" w:hint="default"/>
          <w:sz w:val="28"/>
          <w:szCs w:val="28"/>
        </w:rPr>
        <w:t>做出积极的贡献。中国联通倾力建设农村通信网，提高网络覆盖率，</w:t>
      </w:r>
      <w:r>
        <w:rPr>
          <w:rFonts w:ascii="宋体" w:hAnsi="宋体" w:cs="宋体" w:eastAsia="宋体" w:hint="default"/>
          <w:w w:val="99"/>
          <w:sz w:val="28"/>
          <w:szCs w:val="28"/>
        </w:rPr>
        <w:t> </w:t>
      </w:r>
      <w:r>
        <w:rPr>
          <w:rFonts w:ascii="宋体" w:hAnsi="宋体" w:cs="宋体" w:eastAsia="宋体" w:hint="default"/>
          <w:spacing w:val="-4"/>
          <w:sz w:val="28"/>
          <w:szCs w:val="28"/>
        </w:rPr>
        <w:t>无论是繁华地区市区，还是偏远山区，都享受到良好的网络覆盖；倾</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力打造农村服务网，并使服务网络深入到千村万户；倾力搭建建设农</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w w:val="99"/>
          <w:sz w:val="28"/>
          <w:szCs w:val="28"/>
        </w:rPr>
        <w:t>村信息网，实现“足不出户，日行千里”，利用农村信息网平台，一</w:t>
      </w:r>
      <w:r>
        <w:rPr>
          <w:rFonts w:ascii="宋体" w:hAnsi="宋体" w:cs="宋体" w:eastAsia="宋体" w:hint="default"/>
          <w:spacing w:val="-113"/>
          <w:w w:val="99"/>
          <w:sz w:val="28"/>
          <w:szCs w:val="28"/>
        </w:rPr>
        <w:t> </w:t>
      </w:r>
      <w:r>
        <w:rPr>
          <w:rFonts w:ascii="宋体" w:hAnsi="宋体" w:cs="宋体" w:eastAsia="宋体" w:hint="default"/>
          <w:spacing w:val="-113"/>
          <w:w w:val="99"/>
          <w:sz w:val="28"/>
          <w:szCs w:val="28"/>
        </w:rPr>
      </w:r>
      <w:r>
        <w:rPr>
          <w:rFonts w:ascii="宋体" w:hAnsi="宋体" w:cs="宋体" w:eastAsia="宋体" w:hint="default"/>
          <w:spacing w:val="-4"/>
          <w:sz w:val="28"/>
          <w:szCs w:val="28"/>
        </w:rPr>
        <w:t>条短信，农民和涉农企业就能得知科技、村务、天气预报、灾害天气</w:t>
      </w:r>
      <w:r>
        <w:rPr>
          <w:rFonts w:ascii="宋体" w:hAnsi="宋体" w:cs="宋体" w:eastAsia="宋体" w:hint="default"/>
          <w:spacing w:val="-129"/>
          <w:sz w:val="28"/>
          <w:szCs w:val="28"/>
        </w:rPr>
        <w:t> </w:t>
      </w:r>
      <w:r>
        <w:rPr>
          <w:rFonts w:ascii="宋体" w:hAnsi="宋体" w:cs="宋体" w:eastAsia="宋体" w:hint="default"/>
          <w:spacing w:val="-129"/>
          <w:sz w:val="28"/>
          <w:szCs w:val="28"/>
        </w:rPr>
      </w:r>
      <w:r>
        <w:rPr>
          <w:rFonts w:ascii="宋体" w:hAnsi="宋体" w:cs="宋体" w:eastAsia="宋体" w:hint="default"/>
          <w:sz w:val="28"/>
          <w:szCs w:val="28"/>
        </w:rPr>
        <w:t>预警、农产品供求信息等各类农业信息。</w:t>
      </w:r>
    </w:p>
    <w:p>
      <w:pPr>
        <w:spacing w:line="240" w:lineRule="auto" w:before="6"/>
        <w:rPr>
          <w:rFonts w:ascii="宋体" w:hAnsi="宋体" w:cs="宋体" w:eastAsia="宋体" w:hint="default"/>
          <w:sz w:val="27"/>
          <w:szCs w:val="27"/>
        </w:rPr>
      </w:pPr>
    </w:p>
    <w:p>
      <w:pPr>
        <w:spacing w:line="3603" w:lineRule="exact"/>
        <w:ind w:left="132" w:right="0" w:firstLine="0"/>
        <w:rPr>
          <w:rFonts w:ascii="宋体" w:hAnsi="宋体" w:cs="宋体" w:eastAsia="宋体" w:hint="default"/>
          <w:sz w:val="20"/>
          <w:szCs w:val="20"/>
        </w:rPr>
      </w:pPr>
      <w:r>
        <w:rPr>
          <w:rFonts w:ascii="宋体" w:hAnsi="宋体" w:cs="宋体" w:eastAsia="宋体" w:hint="default"/>
          <w:position w:val="-71"/>
          <w:sz w:val="20"/>
          <w:szCs w:val="20"/>
        </w:rPr>
        <w:pict>
          <v:shape style="width:414.75pt;height:180.15pt;mso-position-horizontal-relative:char;mso-position-vertical-relative:line" type="#_x0000_t202" filled="true" fillcolor="#ffccff" stroked="false">
            <w10:anchorlock/>
            <v:textbox inset="0,0,0,0">
              <w:txbxContent>
                <w:p>
                  <w:pPr>
                    <w:spacing w:line="357" w:lineRule="auto" w:before="128"/>
                    <w:ind w:left="158" w:right="156" w:firstLine="0"/>
                    <w:jc w:val="both"/>
                    <w:rPr>
                      <w:rFonts w:ascii="宋体" w:hAnsi="宋体" w:cs="宋体" w:eastAsia="宋体" w:hint="default"/>
                      <w:sz w:val="24"/>
                      <w:szCs w:val="24"/>
                    </w:rPr>
                  </w:pPr>
                  <w:r>
                    <w:rPr>
                      <w:rFonts w:ascii="宋体" w:hAnsi="宋体" w:cs="宋体" w:eastAsia="宋体" w:hint="default"/>
                      <w:sz w:val="24"/>
                      <w:szCs w:val="24"/>
                    </w:rPr>
                    <w:t>◆中国联通在河南、吉林两个省试点“信息下乡”活动，逐步完成“一乡建</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一个信息站，一村建一个信息点，一乡建一个信息库，一村建一个农副特产</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pacing w:val="-6"/>
                      <w:sz w:val="24"/>
                      <w:szCs w:val="24"/>
                    </w:rPr>
                    <w:t>品信息栏目”。截至年底，河南、吉林两试点省开展信息下乡活动的乡镇数达</w:t>
                  </w:r>
                  <w:r>
                    <w:rPr>
                      <w:rFonts w:ascii="宋体" w:hAnsi="宋体" w:cs="宋体" w:eastAsia="宋体" w:hint="default"/>
                      <w:spacing w:val="-101"/>
                      <w:sz w:val="24"/>
                      <w:szCs w:val="24"/>
                    </w:rPr>
                    <w:t> </w:t>
                  </w:r>
                  <w:r>
                    <w:rPr>
                      <w:rFonts w:ascii="宋体" w:hAnsi="宋体" w:cs="宋体" w:eastAsia="宋体" w:hint="default"/>
                      <w:spacing w:val="-101"/>
                      <w:sz w:val="24"/>
                      <w:szCs w:val="24"/>
                    </w:rPr>
                  </w:r>
                  <w:r>
                    <w:rPr>
                      <w:rFonts w:ascii="宋体" w:hAnsi="宋体" w:cs="宋体" w:eastAsia="宋体" w:hint="default"/>
                      <w:sz w:val="24"/>
                      <w:szCs w:val="24"/>
                    </w:rPr>
                    <w:t>到</w:t>
                  </w:r>
                  <w:r>
                    <w:rPr>
                      <w:rFonts w:ascii="宋体" w:hAnsi="宋体" w:cs="宋体" w:eastAsia="宋体" w:hint="default"/>
                      <w:spacing w:val="-51"/>
                      <w:sz w:val="24"/>
                      <w:szCs w:val="24"/>
                    </w:rPr>
                    <w:t> </w:t>
                  </w:r>
                  <w:r>
                    <w:rPr>
                      <w:rFonts w:ascii="宋体" w:hAnsi="宋体" w:cs="宋体" w:eastAsia="宋体" w:hint="default"/>
                      <w:sz w:val="24"/>
                      <w:szCs w:val="24"/>
                    </w:rPr>
                    <w:t>2257</w:t>
                  </w:r>
                  <w:r>
                    <w:rPr>
                      <w:rFonts w:ascii="宋体" w:hAnsi="宋体" w:cs="宋体" w:eastAsia="宋体" w:hint="default"/>
                      <w:spacing w:val="-51"/>
                      <w:sz w:val="24"/>
                      <w:szCs w:val="24"/>
                    </w:rPr>
                    <w:t> </w:t>
                  </w:r>
                  <w:r>
                    <w:rPr>
                      <w:rFonts w:ascii="宋体" w:hAnsi="宋体" w:cs="宋体" w:eastAsia="宋体" w:hint="default"/>
                      <w:sz w:val="24"/>
                      <w:szCs w:val="24"/>
                    </w:rPr>
                    <w:t>个，累计建设乡信息服务站</w:t>
                  </w:r>
                  <w:r>
                    <w:rPr>
                      <w:rFonts w:ascii="宋体" w:hAnsi="宋体" w:cs="宋体" w:eastAsia="宋体" w:hint="default"/>
                      <w:spacing w:val="-51"/>
                      <w:sz w:val="24"/>
                      <w:szCs w:val="24"/>
                    </w:rPr>
                    <w:t> </w:t>
                  </w:r>
                  <w:r>
                    <w:rPr>
                      <w:rFonts w:ascii="宋体" w:hAnsi="宋体" w:cs="宋体" w:eastAsia="宋体" w:hint="default"/>
                      <w:sz w:val="24"/>
                      <w:szCs w:val="24"/>
                    </w:rPr>
                    <w:t>2147</w:t>
                  </w:r>
                  <w:r>
                    <w:rPr>
                      <w:rFonts w:ascii="宋体" w:hAnsi="宋体" w:cs="宋体" w:eastAsia="宋体" w:hint="default"/>
                      <w:spacing w:val="-51"/>
                      <w:sz w:val="24"/>
                      <w:szCs w:val="24"/>
                    </w:rPr>
                    <w:t> </w:t>
                  </w:r>
                  <w:r>
                    <w:rPr>
                      <w:rFonts w:ascii="宋体" w:hAnsi="宋体" w:cs="宋体" w:eastAsia="宋体" w:hint="default"/>
                      <w:sz w:val="24"/>
                      <w:szCs w:val="24"/>
                    </w:rPr>
                    <w:t>个、村信息点</w:t>
                  </w:r>
                  <w:r>
                    <w:rPr>
                      <w:rFonts w:ascii="宋体" w:hAnsi="宋体" w:cs="宋体" w:eastAsia="宋体" w:hint="default"/>
                      <w:spacing w:val="-51"/>
                      <w:sz w:val="24"/>
                      <w:szCs w:val="24"/>
                    </w:rPr>
                    <w:t> </w:t>
                  </w:r>
                  <w:r>
                    <w:rPr>
                      <w:rFonts w:ascii="宋体" w:hAnsi="宋体" w:cs="宋体" w:eastAsia="宋体" w:hint="default"/>
                      <w:sz w:val="24"/>
                      <w:szCs w:val="24"/>
                    </w:rPr>
                    <w:t>50608</w:t>
                  </w:r>
                  <w:r>
                    <w:rPr>
                      <w:rFonts w:ascii="宋体" w:hAnsi="宋体" w:cs="宋体" w:eastAsia="宋体" w:hint="default"/>
                      <w:spacing w:val="-51"/>
                      <w:sz w:val="24"/>
                      <w:szCs w:val="24"/>
                    </w:rPr>
                    <w:t> </w:t>
                  </w:r>
                  <w:r>
                    <w:rPr>
                      <w:rFonts w:ascii="宋体" w:hAnsi="宋体" w:cs="宋体" w:eastAsia="宋体" w:hint="default"/>
                      <w:sz w:val="24"/>
                      <w:szCs w:val="24"/>
                    </w:rPr>
                    <w:t>个、乡信息库</w:t>
                  </w:r>
                </w:p>
                <w:p>
                  <w:pPr>
                    <w:spacing w:line="357" w:lineRule="auto" w:before="36"/>
                    <w:ind w:left="158" w:right="156" w:firstLine="0"/>
                    <w:jc w:val="both"/>
                    <w:rPr>
                      <w:rFonts w:ascii="宋体" w:hAnsi="宋体" w:cs="宋体" w:eastAsia="宋体" w:hint="default"/>
                      <w:sz w:val="24"/>
                      <w:szCs w:val="24"/>
                    </w:rPr>
                  </w:pPr>
                  <w:r>
                    <w:rPr>
                      <w:rFonts w:ascii="宋体" w:hAnsi="宋体" w:cs="宋体" w:eastAsia="宋体" w:hint="default"/>
                      <w:sz w:val="24"/>
                      <w:szCs w:val="24"/>
                    </w:rPr>
                    <w:t>1954</w:t>
                  </w:r>
                  <w:r>
                    <w:rPr>
                      <w:rFonts w:ascii="宋体" w:hAnsi="宋体" w:cs="宋体" w:eastAsia="宋体" w:hint="default"/>
                      <w:spacing w:val="-71"/>
                      <w:sz w:val="24"/>
                      <w:szCs w:val="24"/>
                    </w:rPr>
                    <w:t> </w:t>
                  </w:r>
                  <w:r>
                    <w:rPr>
                      <w:rFonts w:ascii="宋体" w:hAnsi="宋体" w:cs="宋体" w:eastAsia="宋体" w:hint="default"/>
                      <w:sz w:val="24"/>
                      <w:szCs w:val="24"/>
                    </w:rPr>
                    <w:t>个、村信息栏目</w:t>
                  </w:r>
                  <w:r>
                    <w:rPr>
                      <w:rFonts w:ascii="宋体" w:hAnsi="宋体" w:cs="宋体" w:eastAsia="宋体" w:hint="default"/>
                      <w:spacing w:val="-71"/>
                      <w:sz w:val="24"/>
                      <w:szCs w:val="24"/>
                    </w:rPr>
                    <w:t> </w:t>
                  </w:r>
                  <w:r>
                    <w:rPr>
                      <w:rFonts w:ascii="宋体" w:hAnsi="宋体" w:cs="宋体" w:eastAsia="宋体" w:hint="default"/>
                      <w:sz w:val="24"/>
                      <w:szCs w:val="24"/>
                    </w:rPr>
                    <w:t>17568</w:t>
                  </w:r>
                  <w:r>
                    <w:rPr>
                      <w:rFonts w:ascii="宋体" w:hAnsi="宋体" w:cs="宋体" w:eastAsia="宋体" w:hint="default"/>
                      <w:spacing w:val="-71"/>
                      <w:sz w:val="24"/>
                      <w:szCs w:val="24"/>
                    </w:rPr>
                    <w:t> </w:t>
                  </w:r>
                  <w:r>
                    <w:rPr>
                      <w:rFonts w:ascii="宋体" w:hAnsi="宋体" w:cs="宋体" w:eastAsia="宋体" w:hint="default"/>
                      <w:sz w:val="24"/>
                      <w:szCs w:val="24"/>
                    </w:rPr>
                    <w:t>个。同时，非试点省黑龙江、山西、贵州和江西</w:t>
                  </w:r>
                  <w:r>
                    <w:rPr>
                      <w:rFonts w:ascii="宋体" w:hAnsi="宋体" w:cs="宋体" w:eastAsia="宋体" w:hint="default"/>
                      <w:spacing w:val="-1"/>
                      <w:sz w:val="24"/>
                      <w:szCs w:val="24"/>
                    </w:rPr>
                    <w:t> </w:t>
                  </w:r>
                  <w:r>
                    <w:rPr>
                      <w:rFonts w:ascii="宋体" w:hAnsi="宋体" w:cs="宋体" w:eastAsia="宋体" w:hint="default"/>
                      <w:sz w:val="24"/>
                      <w:szCs w:val="24"/>
                    </w:rPr>
                    <w:t>分公司积极主动在一些乡镇开展“信息下乡”活动，江西结合 WCDMA</w:t>
                  </w:r>
                  <w:r>
                    <w:rPr>
                      <w:rFonts w:ascii="宋体" w:hAnsi="宋体" w:cs="宋体" w:eastAsia="宋体" w:hint="default"/>
                      <w:spacing w:val="-64"/>
                      <w:sz w:val="24"/>
                      <w:szCs w:val="24"/>
                    </w:rPr>
                    <w:t> </w:t>
                  </w:r>
                  <w:r>
                    <w:rPr>
                      <w:rFonts w:ascii="宋体" w:hAnsi="宋体" w:cs="宋体" w:eastAsia="宋体" w:hint="default"/>
                      <w:sz w:val="24"/>
                      <w:szCs w:val="24"/>
                    </w:rPr>
                    <w:t>网络建</w:t>
                  </w:r>
                  <w:r>
                    <w:rPr>
                      <w:rFonts w:ascii="宋体" w:hAnsi="宋体" w:cs="宋体" w:eastAsia="宋体" w:hint="default"/>
                      <w:sz w:val="24"/>
                      <w:szCs w:val="24"/>
                    </w:rPr>
                    <w:t> 设，将其引入“信息下乡”活动中，进行了有益的尝试。</w:t>
                  </w:r>
                </w:p>
              </w:txbxContent>
            </v:textbox>
            <v:fill type="solid"/>
          </v:shape>
        </w:pict>
      </w:r>
      <w:r>
        <w:rPr>
          <w:rFonts w:ascii="宋体" w:hAnsi="宋体" w:cs="宋体" w:eastAsia="宋体" w:hint="default"/>
          <w:position w:val="-71"/>
          <w:sz w:val="20"/>
          <w:szCs w:val="20"/>
        </w:rPr>
      </w:r>
    </w:p>
    <w:p>
      <w:pPr>
        <w:spacing w:after="0" w:line="3603" w:lineRule="exact"/>
        <w:rPr>
          <w:rFonts w:ascii="宋体" w:hAnsi="宋体" w:cs="宋体" w:eastAsia="宋体" w:hint="default"/>
          <w:sz w:val="20"/>
          <w:szCs w:val="20"/>
        </w:rPr>
        <w:sectPr>
          <w:headerReference w:type="default" r:id="rId253"/>
          <w:footerReference w:type="default" r:id="rId254"/>
          <w:pgSz w:w="11910" w:h="16840"/>
          <w:pgMar w:header="0" w:footer="982" w:top="1540" w:bottom="1180" w:left="1680" w:right="1600"/>
          <w:pgNumType w:start="37"/>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pStyle w:val="Heading1"/>
        <w:tabs>
          <w:tab w:pos="3642" w:val="left" w:leader="none"/>
        </w:tabs>
        <w:spacing w:line="632" w:lineRule="exact"/>
        <w:ind w:left="0" w:right="135"/>
        <w:jc w:val="center"/>
        <w:rPr>
          <w:b w:val="0"/>
          <w:bCs w:val="0"/>
        </w:rPr>
      </w:pPr>
      <w:r>
        <w:rPr>
          <w:w w:val="95"/>
        </w:rPr>
        <w:t>降低能源消耗</w:t>
        <w:tab/>
      </w:r>
      <w:r>
        <w:rPr/>
        <w:t>减缓碳排放量</w:t>
      </w:r>
      <w:r>
        <w:rPr>
          <w:b w:val="0"/>
          <w:bCs w:val="0"/>
        </w:rPr>
      </w:r>
    </w:p>
    <w:p>
      <w:pPr>
        <w:spacing w:line="240" w:lineRule="auto" w:before="0"/>
        <w:rPr>
          <w:rFonts w:ascii="华文行楷" w:hAnsi="华文行楷" w:cs="华文行楷" w:eastAsia="华文行楷" w:hint="default"/>
          <w:b/>
          <w:bCs/>
          <w:sz w:val="52"/>
          <w:szCs w:val="52"/>
        </w:rPr>
      </w:pPr>
    </w:p>
    <w:p>
      <w:pPr>
        <w:spacing w:line="240" w:lineRule="auto" w:before="6"/>
        <w:rPr>
          <w:rFonts w:ascii="华文行楷" w:hAnsi="华文行楷" w:cs="华文行楷" w:eastAsia="华文行楷" w:hint="default"/>
          <w:b/>
          <w:bCs/>
          <w:sz w:val="58"/>
          <w:szCs w:val="58"/>
        </w:rPr>
      </w:pPr>
    </w:p>
    <w:p>
      <w:pPr>
        <w:spacing w:line="388" w:lineRule="auto" w:before="0"/>
        <w:ind w:left="120" w:right="112" w:firstLine="503"/>
        <w:jc w:val="left"/>
        <w:rPr>
          <w:rFonts w:ascii="华文行楷" w:hAnsi="华文行楷" w:cs="华文行楷" w:eastAsia="华文行楷" w:hint="default"/>
          <w:sz w:val="28"/>
          <w:szCs w:val="28"/>
        </w:rPr>
      </w:pPr>
      <w:r>
        <w:rPr>
          <w:rFonts w:ascii="华文行楷" w:hAnsi="华文行楷" w:cs="华文行楷" w:eastAsia="华文行楷" w:hint="default"/>
          <w:i/>
          <w:sz w:val="28"/>
          <w:szCs w:val="28"/>
        </w:rPr>
        <w:t>深入推进节能减排既是实现企业可持续发展的需要，也是建设节</w:t>
      </w:r>
      <w:r>
        <w:rPr>
          <w:rFonts w:ascii="华文行楷" w:hAnsi="华文行楷" w:cs="华文行楷" w:eastAsia="华文行楷" w:hint="default"/>
          <w:i/>
          <w:w w:val="99"/>
          <w:sz w:val="28"/>
          <w:szCs w:val="28"/>
        </w:rPr>
        <w:t> </w:t>
      </w:r>
      <w:r>
        <w:rPr>
          <w:rFonts w:ascii="华文行楷" w:hAnsi="华文行楷" w:cs="华文行楷" w:eastAsia="华文行楷" w:hint="default"/>
          <w:i/>
          <w:spacing w:val="6"/>
          <w:sz w:val="28"/>
          <w:szCs w:val="28"/>
        </w:rPr>
        <w:t>约型社会的需要。中国联通不断加强通信项目建设中的节能减排工</w:t>
      </w:r>
      <w:r>
        <w:rPr>
          <w:rFonts w:ascii="华文行楷" w:hAnsi="华文行楷" w:cs="华文行楷" w:eastAsia="华文行楷" w:hint="default"/>
          <w:i/>
          <w:spacing w:val="-54"/>
          <w:sz w:val="28"/>
          <w:szCs w:val="28"/>
        </w:rPr>
        <w:t> </w:t>
      </w:r>
      <w:r>
        <w:rPr>
          <w:rFonts w:ascii="华文行楷" w:hAnsi="华文行楷" w:cs="华文行楷" w:eastAsia="华文行楷" w:hint="default"/>
          <w:i/>
          <w:spacing w:val="-54"/>
          <w:sz w:val="28"/>
          <w:szCs w:val="28"/>
        </w:rPr>
      </w:r>
      <w:r>
        <w:rPr>
          <w:rFonts w:ascii="华文行楷" w:hAnsi="华文行楷" w:cs="华文行楷" w:eastAsia="华文行楷" w:hint="default"/>
          <w:i/>
          <w:spacing w:val="-4"/>
          <w:sz w:val="28"/>
          <w:szCs w:val="28"/>
        </w:rPr>
        <w:t>作，并进行了全面部署，切实履行企业的社会责任，获得了社会效益</w:t>
      </w:r>
      <w:r>
        <w:rPr>
          <w:rFonts w:ascii="华文行楷" w:hAnsi="华文行楷" w:cs="华文行楷" w:eastAsia="华文行楷" w:hint="default"/>
          <w:i/>
          <w:spacing w:val="-57"/>
          <w:sz w:val="28"/>
          <w:szCs w:val="28"/>
        </w:rPr>
        <w:t> </w:t>
      </w:r>
      <w:r>
        <w:rPr>
          <w:rFonts w:ascii="华文行楷" w:hAnsi="华文行楷" w:cs="华文行楷" w:eastAsia="华文行楷" w:hint="default"/>
          <w:i/>
          <w:spacing w:val="-57"/>
          <w:sz w:val="28"/>
          <w:szCs w:val="28"/>
        </w:rPr>
      </w:r>
      <w:r>
        <w:rPr>
          <w:rFonts w:ascii="华文行楷" w:hAnsi="华文行楷" w:cs="华文行楷" w:eastAsia="华文行楷" w:hint="default"/>
          <w:i/>
          <w:spacing w:val="-8"/>
          <w:w w:val="99"/>
          <w:sz w:val="28"/>
          <w:szCs w:val="28"/>
        </w:rPr>
        <w:t>和企业运营成本双收益。2009</w:t>
      </w:r>
      <w:r>
        <w:rPr>
          <w:rFonts w:ascii="华文行楷" w:hAnsi="华文行楷" w:cs="华文行楷" w:eastAsia="华文行楷" w:hint="default"/>
          <w:i/>
          <w:spacing w:val="7"/>
          <w:w w:val="99"/>
          <w:sz w:val="28"/>
          <w:szCs w:val="28"/>
        </w:rPr>
        <w:t> </w:t>
      </w:r>
      <w:r>
        <w:rPr>
          <w:rFonts w:ascii="华文行楷" w:hAnsi="华文行楷" w:cs="华文行楷" w:eastAsia="华文行楷" w:hint="default"/>
          <w:i/>
          <w:spacing w:val="-7"/>
          <w:w w:val="99"/>
          <w:sz w:val="28"/>
          <w:szCs w:val="28"/>
        </w:rPr>
        <w:t>年，中国联通在健全节能减排工作机构，</w:t>
      </w:r>
      <w:r>
        <w:rPr>
          <w:rFonts w:ascii="华文行楷" w:hAnsi="华文行楷" w:cs="华文行楷" w:eastAsia="华文行楷" w:hint="default"/>
          <w:i/>
          <w:w w:val="99"/>
          <w:sz w:val="28"/>
          <w:szCs w:val="28"/>
        </w:rPr>
        <w:t> </w:t>
      </w:r>
      <w:r>
        <w:rPr>
          <w:rFonts w:ascii="华文行楷" w:hAnsi="华文行楷" w:cs="华文行楷" w:eastAsia="华文行楷" w:hint="default"/>
          <w:i/>
          <w:spacing w:val="-4"/>
          <w:sz w:val="28"/>
          <w:szCs w:val="28"/>
        </w:rPr>
        <w:t>推广完善能源消耗统计分析，用能目标绩效考核体系建设方面取得了</w:t>
      </w:r>
      <w:r>
        <w:rPr>
          <w:rFonts w:ascii="华文行楷" w:hAnsi="华文行楷" w:cs="华文行楷" w:eastAsia="华文行楷" w:hint="default"/>
          <w:i/>
          <w:spacing w:val="-55"/>
          <w:sz w:val="28"/>
          <w:szCs w:val="28"/>
        </w:rPr>
        <w:t> </w:t>
      </w:r>
      <w:r>
        <w:rPr>
          <w:rFonts w:ascii="华文行楷" w:hAnsi="华文行楷" w:cs="华文行楷" w:eastAsia="华文行楷" w:hint="default"/>
          <w:i/>
          <w:spacing w:val="-55"/>
          <w:sz w:val="28"/>
          <w:szCs w:val="28"/>
        </w:rPr>
      </w:r>
      <w:r>
        <w:rPr>
          <w:rFonts w:ascii="华文行楷" w:hAnsi="华文行楷" w:cs="华文行楷" w:eastAsia="华文行楷" w:hint="default"/>
          <w:i/>
          <w:spacing w:val="-8"/>
          <w:sz w:val="28"/>
          <w:szCs w:val="28"/>
        </w:rPr>
        <w:t>良好成果，推行了包括采购节能设备、采用节能设计、应用节能技术、</w:t>
      </w:r>
      <w:r>
        <w:rPr>
          <w:rFonts w:ascii="华文行楷" w:hAnsi="华文行楷" w:cs="华文行楷" w:eastAsia="华文行楷" w:hint="default"/>
          <w:i/>
          <w:w w:val="99"/>
          <w:sz w:val="28"/>
          <w:szCs w:val="28"/>
        </w:rPr>
        <w:t> </w:t>
      </w:r>
      <w:r>
        <w:rPr>
          <w:rFonts w:ascii="华文行楷" w:hAnsi="华文行楷" w:cs="华文行楷" w:eastAsia="华文行楷" w:hint="default"/>
          <w:i/>
          <w:sz w:val="28"/>
          <w:szCs w:val="28"/>
        </w:rPr>
        <w:t>加强节能宣传等 14 项具体工作。截止 2009</w:t>
      </w:r>
      <w:r>
        <w:rPr>
          <w:rFonts w:ascii="华文行楷" w:hAnsi="华文行楷" w:cs="华文行楷" w:eastAsia="华文行楷" w:hint="default"/>
          <w:i/>
          <w:spacing w:val="51"/>
          <w:sz w:val="28"/>
          <w:szCs w:val="28"/>
        </w:rPr>
        <w:t> </w:t>
      </w:r>
      <w:r>
        <w:rPr>
          <w:rFonts w:ascii="华文行楷" w:hAnsi="华文行楷" w:cs="华文行楷" w:eastAsia="华文行楷" w:hint="default"/>
          <w:i/>
          <w:sz w:val="28"/>
          <w:szCs w:val="28"/>
        </w:rPr>
        <w:t>年底，中国联通共投入节</w:t>
      </w:r>
      <w:r>
        <w:rPr>
          <w:rFonts w:ascii="华文行楷" w:hAnsi="华文行楷" w:cs="华文行楷" w:eastAsia="华文行楷" w:hint="default"/>
          <w:sz w:val="28"/>
          <w:szCs w:val="28"/>
        </w:rPr>
      </w:r>
    </w:p>
    <w:p>
      <w:pPr>
        <w:spacing w:before="57"/>
        <w:ind w:left="120" w:right="144" w:firstLine="0"/>
        <w:jc w:val="left"/>
        <w:rPr>
          <w:rFonts w:ascii="华文行楷" w:hAnsi="华文行楷" w:cs="华文行楷" w:eastAsia="华文行楷" w:hint="default"/>
          <w:sz w:val="28"/>
          <w:szCs w:val="28"/>
        </w:rPr>
      </w:pPr>
      <w:r>
        <w:rPr>
          <w:rFonts w:ascii="华文行楷" w:hAnsi="华文行楷" w:cs="华文行楷" w:eastAsia="华文行楷" w:hint="default"/>
          <w:i/>
          <w:sz w:val="28"/>
          <w:szCs w:val="28"/>
        </w:rPr>
        <w:t>能资金约 1.4 亿元，开展节能降耗技改项目 700 </w:t>
      </w:r>
      <w:r>
        <w:rPr>
          <w:rFonts w:ascii="华文行楷" w:hAnsi="华文行楷" w:cs="华文行楷" w:eastAsia="华文行楷" w:hint="default"/>
          <w:i/>
          <w:spacing w:val="17"/>
          <w:sz w:val="28"/>
          <w:szCs w:val="28"/>
        </w:rPr>
        <w:t> </w:t>
      </w:r>
      <w:r>
        <w:rPr>
          <w:rFonts w:ascii="华文行楷" w:hAnsi="华文行楷" w:cs="华文行楷" w:eastAsia="华文行楷" w:hint="default"/>
          <w:i/>
          <w:sz w:val="28"/>
          <w:szCs w:val="28"/>
        </w:rPr>
        <w:t>多项，减少各种能耗</w:t>
      </w:r>
      <w:r>
        <w:rPr>
          <w:rFonts w:ascii="华文行楷" w:hAnsi="华文行楷" w:cs="华文行楷" w:eastAsia="华文行楷" w:hint="default"/>
          <w:sz w:val="28"/>
          <w:szCs w:val="28"/>
        </w:rPr>
      </w:r>
    </w:p>
    <w:p>
      <w:pPr>
        <w:spacing w:before="239"/>
        <w:ind w:left="120" w:right="144" w:firstLine="0"/>
        <w:jc w:val="left"/>
        <w:rPr>
          <w:rFonts w:ascii="华文行楷" w:hAnsi="华文行楷" w:cs="华文行楷" w:eastAsia="华文行楷" w:hint="default"/>
          <w:sz w:val="28"/>
          <w:szCs w:val="28"/>
        </w:rPr>
      </w:pPr>
      <w:r>
        <w:rPr>
          <w:rFonts w:ascii="华文行楷" w:hAnsi="华文行楷" w:cs="华文行楷" w:eastAsia="华文行楷" w:hint="default"/>
          <w:i/>
          <w:sz w:val="28"/>
          <w:szCs w:val="28"/>
        </w:rPr>
        <w:t>支出约 2.2</w:t>
      </w:r>
      <w:r>
        <w:rPr>
          <w:rFonts w:ascii="华文行楷" w:hAnsi="华文行楷" w:cs="华文行楷" w:eastAsia="华文行楷" w:hint="default"/>
          <w:i/>
          <w:spacing w:val="-1"/>
          <w:sz w:val="28"/>
          <w:szCs w:val="28"/>
        </w:rPr>
        <w:t> </w:t>
      </w:r>
      <w:r>
        <w:rPr>
          <w:rFonts w:ascii="华文行楷" w:hAnsi="华文行楷" w:cs="华文行楷" w:eastAsia="华文行楷" w:hint="default"/>
          <w:i/>
          <w:sz w:val="28"/>
          <w:szCs w:val="28"/>
        </w:rPr>
        <w:t>亿元。</w:t>
      </w:r>
      <w:r>
        <w:rPr>
          <w:rFonts w:ascii="华文行楷" w:hAnsi="华文行楷" w:cs="华文行楷" w:eastAsia="华文行楷" w:hint="default"/>
          <w:sz w:val="28"/>
          <w:szCs w:val="28"/>
        </w:rPr>
      </w:r>
    </w:p>
    <w:p>
      <w:pPr>
        <w:spacing w:line="240" w:lineRule="auto" w:before="0"/>
        <w:rPr>
          <w:rFonts w:ascii="华文行楷" w:hAnsi="华文行楷" w:cs="华文行楷" w:eastAsia="华文行楷" w:hint="default"/>
          <w:i/>
          <w:sz w:val="28"/>
          <w:szCs w:val="28"/>
        </w:rPr>
      </w:pPr>
    </w:p>
    <w:p>
      <w:pPr>
        <w:spacing w:line="240" w:lineRule="auto" w:before="13"/>
        <w:rPr>
          <w:rFonts w:ascii="华文行楷" w:hAnsi="华文行楷" w:cs="华文行楷" w:eastAsia="华文行楷" w:hint="default"/>
          <w:i/>
          <w:sz w:val="30"/>
          <w:szCs w:val="30"/>
        </w:rPr>
      </w:pPr>
    </w:p>
    <w:p>
      <w:pPr>
        <w:spacing w:before="0"/>
        <w:ind w:left="120" w:right="144" w:firstLine="0"/>
        <w:jc w:val="left"/>
        <w:rPr>
          <w:rFonts w:ascii="黑体" w:hAnsi="黑体" w:cs="黑体" w:eastAsia="黑体" w:hint="default"/>
          <w:sz w:val="36"/>
          <w:szCs w:val="36"/>
        </w:rPr>
      </w:pPr>
      <w:r>
        <w:rPr>
          <w:rFonts w:ascii="黑体" w:hAnsi="黑体" w:cs="黑体" w:eastAsia="黑体" w:hint="default"/>
          <w:b/>
          <w:bCs/>
          <w:sz w:val="36"/>
          <w:szCs w:val="36"/>
        </w:rPr>
        <w:t>树立节能减排观念，提升节能减排意识</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spacing w:line="408" w:lineRule="auto" w:before="0"/>
        <w:ind w:left="120" w:right="144" w:firstLine="504"/>
        <w:jc w:val="left"/>
        <w:rPr>
          <w:rFonts w:ascii="宋体" w:hAnsi="宋体" w:cs="宋体" w:eastAsia="宋体" w:hint="default"/>
          <w:sz w:val="28"/>
          <w:szCs w:val="28"/>
        </w:rPr>
      </w:pPr>
      <w:r>
        <w:rPr>
          <w:rFonts w:ascii="宋体" w:hAnsi="宋体" w:cs="宋体" w:eastAsia="宋体" w:hint="default"/>
          <w:sz w:val="28"/>
          <w:szCs w:val="28"/>
        </w:rPr>
        <w:t>组织开展节能宣传活动，通过专题宣传、能源短缺体验、节能知</w:t>
      </w:r>
      <w:r>
        <w:rPr>
          <w:rFonts w:ascii="宋体" w:hAnsi="宋体" w:cs="宋体" w:eastAsia="宋体" w:hint="default"/>
          <w:w w:val="99"/>
          <w:sz w:val="28"/>
          <w:szCs w:val="28"/>
        </w:rPr>
        <w:t> </w:t>
      </w:r>
      <w:r>
        <w:rPr>
          <w:rFonts w:ascii="宋体" w:hAnsi="宋体" w:cs="宋体" w:eastAsia="宋体" w:hint="default"/>
          <w:spacing w:val="-4"/>
          <w:sz w:val="28"/>
          <w:szCs w:val="28"/>
        </w:rPr>
        <w:t>识竞赛等活动形式，树立员工节能减排意识。结合每年进行的节能减</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排活动宣传月，悬挂标语横幅、宣传栏、报纸等多种方式进行宣传，</w:t>
      </w:r>
      <w:r>
        <w:rPr>
          <w:rFonts w:ascii="宋体" w:hAnsi="宋体" w:cs="宋体" w:eastAsia="宋体" w:hint="default"/>
          <w:w w:val="99"/>
          <w:sz w:val="28"/>
          <w:szCs w:val="28"/>
        </w:rPr>
        <w:t> </w:t>
      </w:r>
      <w:r>
        <w:rPr>
          <w:rFonts w:ascii="宋体" w:hAnsi="宋体" w:cs="宋体" w:eastAsia="宋体" w:hint="default"/>
          <w:spacing w:val="-4"/>
          <w:sz w:val="28"/>
          <w:szCs w:val="28"/>
        </w:rPr>
        <w:t>在宣传电子屏滚动播放节能宣传月专题宣传片，利用节能宣传月组织</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节能工作培训，宣传节能减排工作的重要意义，树立节能减排观念，</w:t>
      </w:r>
      <w:r>
        <w:rPr>
          <w:rFonts w:ascii="宋体" w:hAnsi="宋体" w:cs="宋体" w:eastAsia="宋体" w:hint="default"/>
          <w:w w:val="99"/>
          <w:sz w:val="28"/>
          <w:szCs w:val="28"/>
        </w:rPr>
        <w:t> </w:t>
      </w:r>
      <w:r>
        <w:rPr>
          <w:rFonts w:ascii="宋体" w:hAnsi="宋体" w:cs="宋体" w:eastAsia="宋体" w:hint="default"/>
          <w:spacing w:val="-4"/>
          <w:sz w:val="28"/>
          <w:szCs w:val="28"/>
        </w:rPr>
        <w:t>贯彻节能减排措施，讨论节能减排方案。通过培训及讨论，培养员工</w:t>
      </w:r>
    </w:p>
    <w:p>
      <w:pPr>
        <w:spacing w:after="0" w:line="408" w:lineRule="auto"/>
        <w:jc w:val="left"/>
        <w:rPr>
          <w:rFonts w:ascii="宋体" w:hAnsi="宋体" w:cs="宋体" w:eastAsia="宋体" w:hint="default"/>
          <w:sz w:val="28"/>
          <w:szCs w:val="28"/>
        </w:rPr>
        <w:sectPr>
          <w:headerReference w:type="default" r:id="rId255"/>
          <w:footerReference w:type="default" r:id="rId256"/>
          <w:pgSz w:w="11910" w:h="16840"/>
          <w:pgMar w:header="0" w:footer="982" w:top="1600" w:bottom="1180" w:left="1680" w:right="1540"/>
          <w:pgNumType w:start="38"/>
        </w:sectPr>
      </w:pPr>
    </w:p>
    <w:p>
      <w:pPr>
        <w:spacing w:line="351" w:lineRule="exact" w:before="0"/>
        <w:ind w:left="120" w:right="144" w:firstLine="0"/>
        <w:jc w:val="left"/>
        <w:rPr>
          <w:rFonts w:ascii="宋体" w:hAnsi="宋体" w:cs="宋体" w:eastAsia="宋体" w:hint="default"/>
          <w:sz w:val="28"/>
          <w:szCs w:val="28"/>
        </w:rPr>
      </w:pPr>
      <w:r>
        <w:rPr>
          <w:rFonts w:ascii="宋体" w:hAnsi="宋体" w:cs="宋体" w:eastAsia="宋体" w:hint="default"/>
          <w:spacing w:val="-4"/>
          <w:sz w:val="28"/>
          <w:szCs w:val="28"/>
        </w:rPr>
        <w:t>节能减排意识，促进节能减排工作的开展，员工深刻理解推进节能减</w:t>
      </w:r>
    </w:p>
    <w:p>
      <w:pPr>
        <w:spacing w:line="240" w:lineRule="auto" w:before="9"/>
        <w:rPr>
          <w:rFonts w:ascii="宋体" w:hAnsi="宋体" w:cs="宋体" w:eastAsia="宋体" w:hint="default"/>
          <w:sz w:val="19"/>
          <w:szCs w:val="19"/>
        </w:rPr>
      </w:pPr>
    </w:p>
    <w:p>
      <w:pPr>
        <w:spacing w:line="408" w:lineRule="auto" w:before="0"/>
        <w:ind w:left="120" w:right="113" w:firstLine="0"/>
        <w:jc w:val="left"/>
        <w:rPr>
          <w:rFonts w:ascii="宋体" w:hAnsi="宋体" w:cs="宋体" w:eastAsia="宋体" w:hint="default"/>
          <w:sz w:val="28"/>
          <w:szCs w:val="28"/>
        </w:rPr>
      </w:pPr>
      <w:r>
        <w:rPr>
          <w:rFonts w:ascii="宋体" w:hAnsi="宋体" w:cs="宋体" w:eastAsia="宋体" w:hint="default"/>
          <w:spacing w:val="-4"/>
          <w:sz w:val="28"/>
          <w:szCs w:val="28"/>
        </w:rPr>
        <w:t>排的重要意义，不但在工作中牢固树立了“节约能源”的意识，而且</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还应用到了日常生活中，例如少开车、多走路；合理设置空调参数等</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4"/>
          <w:sz w:val="28"/>
          <w:szCs w:val="28"/>
        </w:rPr>
        <w:t>空调节能使用方法；精心选购具有能效标识的家电；力争节约每一度</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电、每一滴水等等，将节能减排意识、知识传播到身边每一个人，尤</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8"/>
          <w:w w:val="99"/>
          <w:sz w:val="28"/>
          <w:szCs w:val="28"/>
        </w:rPr>
        <w:t>其是下一代，达到了很好的社会效应。节能减排工作是一项长期任务，</w:t>
      </w:r>
      <w:r>
        <w:rPr>
          <w:rFonts w:ascii="宋体" w:hAnsi="宋体" w:cs="宋体" w:eastAsia="宋体" w:hint="default"/>
          <w:spacing w:val="-126"/>
          <w:w w:val="99"/>
          <w:sz w:val="28"/>
          <w:szCs w:val="28"/>
        </w:rPr>
        <w:t> </w:t>
      </w:r>
      <w:r>
        <w:rPr>
          <w:rFonts w:ascii="宋体" w:hAnsi="宋体" w:cs="宋体" w:eastAsia="宋体" w:hint="default"/>
          <w:spacing w:val="-126"/>
          <w:w w:val="99"/>
          <w:sz w:val="28"/>
          <w:szCs w:val="28"/>
        </w:rPr>
      </w:r>
      <w:r>
        <w:rPr>
          <w:rFonts w:ascii="宋体" w:hAnsi="宋体" w:cs="宋体" w:eastAsia="宋体" w:hint="default"/>
          <w:sz w:val="28"/>
          <w:szCs w:val="28"/>
        </w:rPr>
        <w:t>中国联通将继续不断探索节能减排工作新途径，继续加强技术实施，</w:t>
      </w:r>
      <w:r>
        <w:rPr>
          <w:rFonts w:ascii="宋体" w:hAnsi="宋体" w:cs="宋体" w:eastAsia="宋体" w:hint="default"/>
          <w:w w:val="99"/>
          <w:sz w:val="28"/>
          <w:szCs w:val="28"/>
        </w:rPr>
        <w:t> </w:t>
      </w:r>
      <w:r>
        <w:rPr>
          <w:rFonts w:ascii="宋体" w:hAnsi="宋体" w:cs="宋体" w:eastAsia="宋体" w:hint="default"/>
          <w:sz w:val="28"/>
          <w:szCs w:val="28"/>
        </w:rPr>
        <w:t>进一步加强管理，使节能减排工作不断取得新的成绩。</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3"/>
        <w:rPr>
          <w:rFonts w:ascii="宋体" w:hAnsi="宋体" w:cs="宋体" w:eastAsia="宋体" w:hint="default"/>
          <w:sz w:val="39"/>
          <w:szCs w:val="39"/>
        </w:rPr>
      </w:pPr>
    </w:p>
    <w:p>
      <w:pPr>
        <w:tabs>
          <w:tab w:pos="3371" w:val="left" w:leader="none"/>
        </w:tabs>
        <w:spacing w:before="0"/>
        <w:ind w:left="120" w:right="144" w:firstLine="0"/>
        <w:jc w:val="left"/>
        <w:rPr>
          <w:rFonts w:ascii="黑体" w:hAnsi="黑体" w:cs="黑体" w:eastAsia="黑体" w:hint="default"/>
          <w:sz w:val="36"/>
          <w:szCs w:val="36"/>
        </w:rPr>
      </w:pPr>
      <w:r>
        <w:rPr>
          <w:rFonts w:ascii="黑体" w:hAnsi="黑体" w:cs="黑体" w:eastAsia="黑体" w:hint="default"/>
          <w:b/>
          <w:bCs/>
          <w:w w:val="95"/>
          <w:sz w:val="36"/>
          <w:szCs w:val="36"/>
        </w:rPr>
        <w:t>加强耗能设施管理</w:t>
        <w:tab/>
      </w:r>
      <w:r>
        <w:rPr>
          <w:rFonts w:ascii="黑体" w:hAnsi="黑体" w:cs="黑体" w:eastAsia="黑体" w:hint="default"/>
          <w:b/>
          <w:bCs/>
          <w:sz w:val="36"/>
          <w:szCs w:val="36"/>
        </w:rPr>
        <w:t>节约能源</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spacing w:line="408" w:lineRule="auto" w:before="0"/>
        <w:ind w:left="119" w:right="145" w:firstLine="560"/>
        <w:jc w:val="left"/>
        <w:rPr>
          <w:rFonts w:ascii="宋体" w:hAnsi="宋体" w:cs="宋体" w:eastAsia="宋体" w:hint="default"/>
          <w:sz w:val="28"/>
          <w:szCs w:val="28"/>
        </w:rPr>
      </w:pPr>
      <w:r>
        <w:rPr/>
        <w:pict>
          <v:shape style="position:absolute;margin-left:175.439987pt;margin-top:187.588135pt;width:150.251221pt;height:112.440002pt;mso-position-horizontal-relative:page;mso-position-vertical-relative:paragraph;z-index:-909232" type="#_x0000_t75" stroked="false">
            <v:imagedata r:id="rId259" o:title=""/>
          </v:shape>
        </w:pict>
      </w:r>
      <w:r>
        <w:rPr>
          <w:rFonts w:ascii="宋体" w:hAnsi="宋体" w:cs="宋体" w:eastAsia="宋体" w:hint="default"/>
          <w:spacing w:val="-4"/>
          <w:sz w:val="28"/>
          <w:szCs w:val="28"/>
        </w:rPr>
        <w:t>加强机房环境和空调设备运行管理，及时清理过滤网，在保证机</w:t>
      </w:r>
      <w:r>
        <w:rPr>
          <w:rFonts w:ascii="宋体" w:hAnsi="宋体" w:cs="宋体" w:eastAsia="宋体" w:hint="default"/>
          <w:w w:val="99"/>
          <w:sz w:val="28"/>
          <w:szCs w:val="28"/>
        </w:rPr>
        <w:t> </w:t>
      </w:r>
      <w:r>
        <w:rPr>
          <w:rFonts w:ascii="宋体" w:hAnsi="宋体" w:cs="宋体" w:eastAsia="宋体" w:hint="default"/>
          <w:spacing w:val="-4"/>
          <w:sz w:val="28"/>
          <w:szCs w:val="28"/>
        </w:rPr>
        <w:t>房温湿度的前提下，尽可能不开空调。加强办公场所的照明、办公设</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备、水资源消耗的管理。各单位均制定并落实了照明灯具节电措施、</w:t>
      </w:r>
      <w:r>
        <w:rPr>
          <w:rFonts w:ascii="宋体" w:hAnsi="宋体" w:cs="宋体" w:eastAsia="宋体" w:hint="default"/>
          <w:w w:val="99"/>
          <w:sz w:val="28"/>
          <w:szCs w:val="28"/>
        </w:rPr>
        <w:t> </w:t>
      </w:r>
      <w:r>
        <w:rPr>
          <w:rFonts w:ascii="宋体" w:hAnsi="宋体" w:cs="宋体" w:eastAsia="宋体" w:hint="default"/>
          <w:spacing w:val="-4"/>
          <w:sz w:val="28"/>
          <w:szCs w:val="28"/>
        </w:rPr>
        <w:t>办公设备节电措施、办公空调设备节电措施、电热器具节电措施、节</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4"/>
          <w:sz w:val="28"/>
          <w:szCs w:val="28"/>
        </w:rPr>
        <w:t>水措施、供热、制冷节能措施。对办公场所、营业厅温度设定全部符</w:t>
      </w:r>
      <w:r>
        <w:rPr>
          <w:rFonts w:ascii="宋体" w:hAnsi="宋体" w:cs="宋体" w:eastAsia="宋体" w:hint="default"/>
          <w:spacing w:val="-130"/>
          <w:sz w:val="28"/>
          <w:szCs w:val="28"/>
        </w:rPr>
        <w:t> </w:t>
      </w:r>
      <w:r>
        <w:rPr>
          <w:rFonts w:ascii="宋体" w:hAnsi="宋体" w:cs="宋体" w:eastAsia="宋体" w:hint="default"/>
          <w:spacing w:val="-130"/>
          <w:sz w:val="28"/>
          <w:szCs w:val="28"/>
        </w:rPr>
      </w:r>
      <w:r>
        <w:rPr>
          <w:rFonts w:ascii="宋体" w:hAnsi="宋体" w:cs="宋体" w:eastAsia="宋体" w:hint="default"/>
          <w:sz w:val="28"/>
          <w:szCs w:val="28"/>
        </w:rPr>
        <w:t>合节能标准，并对办公场地空调进行限制开机。</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before="240"/>
        <w:ind w:left="4826" w:right="144" w:firstLine="0"/>
        <w:jc w:val="left"/>
        <w:rPr>
          <w:rFonts w:ascii="宋体" w:hAnsi="宋体" w:cs="宋体" w:eastAsia="宋体" w:hint="default"/>
          <w:sz w:val="21"/>
          <w:szCs w:val="21"/>
        </w:rPr>
      </w:pPr>
      <w:r>
        <w:rPr>
          <w:rFonts w:ascii="宋体" w:hAnsi="宋体" w:cs="宋体" w:eastAsia="宋体" w:hint="default"/>
          <w:sz w:val="21"/>
          <w:szCs w:val="21"/>
        </w:rPr>
        <w:t>空调流量控制器实图</w:t>
      </w:r>
    </w:p>
    <w:p>
      <w:pPr>
        <w:spacing w:after="0"/>
        <w:jc w:val="left"/>
        <w:rPr>
          <w:rFonts w:ascii="宋体" w:hAnsi="宋体" w:cs="宋体" w:eastAsia="宋体" w:hint="default"/>
          <w:sz w:val="21"/>
          <w:szCs w:val="21"/>
        </w:rPr>
        <w:sectPr>
          <w:headerReference w:type="default" r:id="rId257"/>
          <w:footerReference w:type="default" r:id="rId258"/>
          <w:pgSz w:w="11910" w:h="16840"/>
          <w:pgMar w:header="0" w:footer="982" w:top="1540" w:bottom="1180" w:left="1680" w:right="1540"/>
          <w:pgNumType w:start="39"/>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pStyle w:val="Heading7"/>
        <w:spacing w:line="408" w:lineRule="auto" w:before="13"/>
        <w:ind w:right="254" w:firstLine="560"/>
        <w:jc w:val="both"/>
      </w:pPr>
      <w:r>
        <w:rPr>
          <w:spacing w:val="-4"/>
        </w:rPr>
        <w:t>在网络设备采购中，从现有网络设备及拟采购设备着手，分析影</w:t>
      </w:r>
      <w:r>
        <w:rPr>
          <w:w w:val="99"/>
        </w:rPr>
        <w:t> </w:t>
      </w:r>
      <w:r>
        <w:rPr>
          <w:spacing w:val="-4"/>
        </w:rPr>
        <w:t>响能源消耗的关键因素，以降低能耗为目标，认真审核供应商的相关</w:t>
      </w:r>
      <w:r>
        <w:rPr>
          <w:spacing w:val="-124"/>
        </w:rPr>
        <w:t> </w:t>
      </w:r>
      <w:r>
        <w:rPr>
          <w:spacing w:val="-124"/>
        </w:rPr>
      </w:r>
      <w:r>
        <w:rPr>
          <w:spacing w:val="-4"/>
        </w:rPr>
        <w:t>资质，将设备和材料的节能减排指标作为重要指标。在设备采购技术</w:t>
      </w:r>
      <w:r>
        <w:rPr>
          <w:spacing w:val="-125"/>
        </w:rPr>
        <w:t> </w:t>
      </w:r>
      <w:r>
        <w:rPr>
          <w:spacing w:val="-125"/>
        </w:rPr>
      </w:r>
      <w:r>
        <w:rPr>
          <w:spacing w:val="-4"/>
        </w:rPr>
        <w:t>规范书中明确规定设备能耗标准。积极引入设备能耗指标作为设备采</w:t>
      </w:r>
      <w:r>
        <w:rPr>
          <w:spacing w:val="-125"/>
        </w:rPr>
        <w:t> </w:t>
      </w:r>
      <w:r>
        <w:rPr>
          <w:spacing w:val="-125"/>
        </w:rPr>
      </w:r>
      <w:r>
        <w:rPr>
          <w:spacing w:val="-4"/>
        </w:rPr>
        <w:t>购的依据，在满足需求和运行安全的前提下，采购工作优先考虑低功</w:t>
      </w:r>
      <w:r>
        <w:rPr>
          <w:spacing w:val="-124"/>
        </w:rPr>
        <w:t> </w:t>
      </w:r>
      <w:r>
        <w:rPr>
          <w:spacing w:val="-124"/>
        </w:rPr>
      </w:r>
      <w:r>
        <w:rPr>
          <w:spacing w:val="-4"/>
        </w:rPr>
        <w:t>耗、集成度高、高能效比，适应环境能力强的设备，从源头上严把节</w:t>
      </w:r>
      <w:r>
        <w:rPr>
          <w:spacing w:val="-130"/>
        </w:rPr>
        <w:t> </w:t>
      </w:r>
      <w:r>
        <w:rPr>
          <w:spacing w:val="-130"/>
        </w:rPr>
      </w:r>
      <w:r>
        <w:rPr/>
        <w:t>能减排关。</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tabs>
          <w:tab w:pos="5109" w:val="left" w:leader="none"/>
        </w:tabs>
        <w:spacing w:line="3561" w:lineRule="exact"/>
        <w:ind w:left="819" w:right="0" w:firstLine="0"/>
        <w:rPr>
          <w:rFonts w:ascii="宋体" w:hAnsi="宋体" w:cs="宋体" w:eastAsia="宋体" w:hint="default"/>
          <w:sz w:val="20"/>
          <w:szCs w:val="20"/>
        </w:rPr>
      </w:pPr>
      <w:r>
        <w:rPr>
          <w:rFonts w:ascii="宋体"/>
          <w:position w:val="-70"/>
          <w:sz w:val="20"/>
        </w:rPr>
        <w:drawing>
          <wp:inline distT="0" distB="0" distL="0" distR="0">
            <wp:extent cx="1670245" cy="2225040"/>
            <wp:effectExtent l="0" t="0" r="0" b="0"/>
            <wp:docPr id="27" name="image24.png" descr=""/>
            <wp:cNvGraphicFramePr>
              <a:graphicFrameLocks noChangeAspect="1"/>
            </wp:cNvGraphicFramePr>
            <a:graphic>
              <a:graphicData uri="http://schemas.openxmlformats.org/drawingml/2006/picture">
                <pic:pic>
                  <pic:nvPicPr>
                    <pic:cNvPr id="28" name="image24.png"/>
                    <pic:cNvPicPr/>
                  </pic:nvPicPr>
                  <pic:blipFill>
                    <a:blip r:embed="rId262" cstate="print"/>
                    <a:stretch>
                      <a:fillRect/>
                    </a:stretch>
                  </pic:blipFill>
                  <pic:spPr>
                    <a:xfrm>
                      <a:off x="0" y="0"/>
                      <a:ext cx="1670245" cy="2225040"/>
                    </a:xfrm>
                    <a:prstGeom prst="rect">
                      <a:avLst/>
                    </a:prstGeom>
                  </pic:spPr>
                </pic:pic>
              </a:graphicData>
            </a:graphic>
          </wp:inline>
        </w:drawing>
      </w:r>
      <w:r>
        <w:rPr>
          <w:rFonts w:ascii="宋体"/>
          <w:position w:val="-70"/>
          <w:sz w:val="20"/>
        </w:rPr>
      </w:r>
      <w:r>
        <w:rPr>
          <w:rFonts w:ascii="宋体"/>
          <w:position w:val="-70"/>
          <w:sz w:val="20"/>
        </w:rPr>
        <w:tab/>
      </w:r>
      <w:r>
        <w:rPr>
          <w:rFonts w:ascii="宋体"/>
          <w:position w:val="-70"/>
          <w:sz w:val="20"/>
        </w:rPr>
        <w:drawing>
          <wp:inline distT="0" distB="0" distL="0" distR="0">
            <wp:extent cx="1699905" cy="2261616"/>
            <wp:effectExtent l="0" t="0" r="0" b="0"/>
            <wp:docPr id="29" name="image25.png" descr=""/>
            <wp:cNvGraphicFramePr>
              <a:graphicFrameLocks noChangeAspect="1"/>
            </wp:cNvGraphicFramePr>
            <a:graphic>
              <a:graphicData uri="http://schemas.openxmlformats.org/drawingml/2006/picture">
                <pic:pic>
                  <pic:nvPicPr>
                    <pic:cNvPr id="30" name="image25.png"/>
                    <pic:cNvPicPr/>
                  </pic:nvPicPr>
                  <pic:blipFill>
                    <a:blip r:embed="rId263" cstate="print"/>
                    <a:stretch>
                      <a:fillRect/>
                    </a:stretch>
                  </pic:blipFill>
                  <pic:spPr>
                    <a:xfrm>
                      <a:off x="0" y="0"/>
                      <a:ext cx="1699905" cy="2261616"/>
                    </a:xfrm>
                    <a:prstGeom prst="rect">
                      <a:avLst/>
                    </a:prstGeom>
                  </pic:spPr>
                </pic:pic>
              </a:graphicData>
            </a:graphic>
          </wp:inline>
        </w:drawing>
      </w:r>
      <w:r>
        <w:rPr>
          <w:rFonts w:ascii="宋体"/>
          <w:position w:val="-70"/>
          <w:sz w:val="20"/>
        </w:rPr>
      </w:r>
    </w:p>
    <w:p>
      <w:pPr>
        <w:spacing w:line="240" w:lineRule="auto" w:before="3"/>
        <w:rPr>
          <w:rFonts w:ascii="宋体" w:hAnsi="宋体" w:cs="宋体" w:eastAsia="宋体" w:hint="default"/>
          <w:sz w:val="8"/>
          <w:szCs w:val="8"/>
        </w:rPr>
      </w:pPr>
    </w:p>
    <w:p>
      <w:pPr>
        <w:tabs>
          <w:tab w:pos="4634" w:val="left" w:leader="none"/>
        </w:tabs>
        <w:spacing w:before="35"/>
        <w:ind w:left="120" w:right="144" w:firstLine="0"/>
        <w:jc w:val="left"/>
        <w:rPr>
          <w:rFonts w:ascii="宋体" w:hAnsi="宋体" w:cs="宋体" w:eastAsia="宋体" w:hint="default"/>
          <w:sz w:val="21"/>
          <w:szCs w:val="21"/>
        </w:rPr>
      </w:pPr>
      <w:r>
        <w:rPr>
          <w:rFonts w:ascii="宋体" w:hAnsi="宋体" w:cs="宋体" w:eastAsia="宋体" w:hint="default"/>
          <w:spacing w:val="-1"/>
          <w:sz w:val="21"/>
          <w:szCs w:val="21"/>
        </w:rPr>
        <w:t>机房专用空调上安装热交换节能器—室内</w:t>
        <w:tab/>
        <w:t>机房专用空调上安装热交换节能器—室外</w:t>
      </w:r>
      <w:r>
        <w:rPr>
          <w:rFonts w:ascii="宋体" w:hAnsi="宋体" w:cs="宋体" w:eastAsia="宋体" w:hint="default"/>
          <w:sz w:val="21"/>
          <w:szCs w:val="21"/>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7"/>
        <w:spacing w:line="408" w:lineRule="auto" w:before="159"/>
        <w:ind w:right="113" w:firstLine="560"/>
        <w:jc w:val="left"/>
      </w:pPr>
      <w:r>
        <w:rPr>
          <w:spacing w:val="-4"/>
        </w:rPr>
        <w:t>新建机房从通信设备、机房建筑、空调系统、建筑电气、供电系</w:t>
      </w:r>
      <w:r>
        <w:rPr>
          <w:w w:val="99"/>
        </w:rPr>
        <w:t> </w:t>
      </w:r>
      <w:r>
        <w:rPr>
          <w:spacing w:val="-8"/>
          <w:w w:val="99"/>
        </w:rPr>
        <w:t>统等方面采用节能设计，积极应用各项节能技术，合理优化网络资源，</w:t>
      </w:r>
      <w:r>
        <w:rPr>
          <w:spacing w:val="-126"/>
          <w:w w:val="99"/>
        </w:rPr>
        <w:t> </w:t>
      </w:r>
      <w:r>
        <w:rPr>
          <w:spacing w:val="-126"/>
          <w:w w:val="99"/>
        </w:rPr>
      </w:r>
      <w:r>
        <w:rPr>
          <w:spacing w:val="-4"/>
        </w:rPr>
        <w:t>降低能耗。在工程施工过程中，严格审核施工单位的施工资质，从设</w:t>
      </w:r>
      <w:r>
        <w:rPr>
          <w:spacing w:val="-125"/>
        </w:rPr>
        <w:t> </w:t>
      </w:r>
      <w:r>
        <w:rPr>
          <w:spacing w:val="-125"/>
        </w:rPr>
      </w:r>
      <w:r>
        <w:rPr>
          <w:spacing w:val="-4"/>
        </w:rPr>
        <w:t>备入网、工程施工等环节就严把节能减排关口。同时，对各单位夜间</w:t>
      </w:r>
      <w:r>
        <w:rPr>
          <w:spacing w:val="-125"/>
        </w:rPr>
        <w:t> </w:t>
      </w:r>
      <w:r>
        <w:rPr>
          <w:spacing w:val="-125"/>
        </w:rPr>
      </w:r>
      <w:r>
        <w:rPr>
          <w:spacing w:val="-8"/>
          <w:w w:val="99"/>
        </w:rPr>
        <w:t>用电情况进行了使用情况检查，对发现的问题，提出了具体整改要求。</w:t>
      </w:r>
      <w:r>
        <w:rPr>
          <w:spacing w:val="-125"/>
          <w:w w:val="99"/>
        </w:rPr>
        <w:t> </w:t>
      </w:r>
      <w:r>
        <w:rPr>
          <w:spacing w:val="-125"/>
          <w:w w:val="99"/>
        </w:rPr>
      </w:r>
      <w:r>
        <w:rPr>
          <w:spacing w:val="-4"/>
        </w:rPr>
        <w:t>加强基站用电管理，确保生产用能源合理支出。根据交换局、基站的</w:t>
      </w:r>
    </w:p>
    <w:p>
      <w:pPr>
        <w:spacing w:after="0" w:line="408" w:lineRule="auto"/>
        <w:jc w:val="left"/>
        <w:sectPr>
          <w:headerReference w:type="default" r:id="rId260"/>
          <w:footerReference w:type="default" r:id="rId261"/>
          <w:pgSz w:w="11910" w:h="16840"/>
          <w:pgMar w:header="0" w:footer="982" w:top="1600" w:bottom="1180" w:left="1680" w:right="1540"/>
          <w:pgNumType w:start="40"/>
        </w:sectPr>
      </w:pPr>
    </w:p>
    <w:p>
      <w:pPr>
        <w:pStyle w:val="Heading7"/>
        <w:spacing w:line="351" w:lineRule="exact"/>
        <w:ind w:left="119" w:right="0"/>
        <w:jc w:val="left"/>
      </w:pPr>
      <w:r>
        <w:rPr/>
        <w:t>不同情况将空调的温度分类设置，由于交换局设备多，环境要求高，</w:t>
      </w:r>
    </w:p>
    <w:p>
      <w:pPr>
        <w:spacing w:line="240" w:lineRule="auto" w:before="9"/>
        <w:rPr>
          <w:rFonts w:ascii="宋体" w:hAnsi="宋体" w:cs="宋体" w:eastAsia="宋体" w:hint="default"/>
          <w:sz w:val="19"/>
          <w:szCs w:val="19"/>
        </w:rPr>
      </w:pPr>
    </w:p>
    <w:p>
      <w:pPr>
        <w:spacing w:before="0"/>
        <w:ind w:left="119" w:right="84" w:firstLine="0"/>
        <w:jc w:val="left"/>
        <w:rPr>
          <w:rFonts w:ascii="宋体" w:hAnsi="宋体" w:cs="宋体" w:eastAsia="宋体" w:hint="default"/>
          <w:sz w:val="28"/>
          <w:szCs w:val="28"/>
        </w:rPr>
      </w:pPr>
      <w:r>
        <w:rPr>
          <w:rFonts w:ascii="宋体" w:hAnsi="宋体" w:cs="宋体" w:eastAsia="宋体" w:hint="default"/>
          <w:sz w:val="28"/>
          <w:szCs w:val="28"/>
        </w:rPr>
        <w:t>因此市内移动网络公司交换局机房空调温度设置在 24</w:t>
      </w:r>
      <w:r>
        <w:rPr>
          <w:rFonts w:ascii="宋体" w:hAnsi="宋体" w:cs="宋体" w:eastAsia="宋体" w:hint="default"/>
          <w:spacing w:val="-105"/>
          <w:sz w:val="28"/>
          <w:szCs w:val="28"/>
        </w:rPr>
        <w:t> </w:t>
      </w:r>
      <w:r>
        <w:rPr>
          <w:rFonts w:ascii="宋体" w:hAnsi="宋体" w:cs="宋体" w:eastAsia="宋体" w:hint="default"/>
          <w:sz w:val="28"/>
          <w:szCs w:val="28"/>
        </w:rPr>
        <w:t>度。山上的基</w:t>
      </w:r>
    </w:p>
    <w:p>
      <w:pPr>
        <w:spacing w:line="240" w:lineRule="auto" w:before="9"/>
        <w:rPr>
          <w:rFonts w:ascii="宋体" w:hAnsi="宋体" w:cs="宋体" w:eastAsia="宋体" w:hint="default"/>
          <w:sz w:val="19"/>
          <w:szCs w:val="19"/>
        </w:rPr>
      </w:pPr>
    </w:p>
    <w:p>
      <w:pPr>
        <w:spacing w:before="0"/>
        <w:ind w:left="119" w:right="84" w:firstLine="0"/>
        <w:jc w:val="left"/>
        <w:rPr>
          <w:rFonts w:ascii="宋体" w:hAnsi="宋体" w:cs="宋体" w:eastAsia="宋体" w:hint="default"/>
          <w:sz w:val="28"/>
          <w:szCs w:val="28"/>
        </w:rPr>
      </w:pPr>
      <w:r>
        <w:rPr>
          <w:rFonts w:ascii="宋体" w:hAnsi="宋体" w:cs="宋体" w:eastAsia="宋体" w:hint="default"/>
          <w:sz w:val="28"/>
          <w:szCs w:val="28"/>
        </w:rPr>
        <w:t>站设备少，发热量少，将这类基站空调温度设置在 26</w:t>
      </w:r>
      <w:r>
        <w:rPr>
          <w:rFonts w:ascii="宋体" w:hAnsi="宋体" w:cs="宋体" w:eastAsia="宋体" w:hint="default"/>
          <w:spacing w:val="-105"/>
          <w:sz w:val="28"/>
          <w:szCs w:val="28"/>
        </w:rPr>
        <w:t> </w:t>
      </w:r>
      <w:r>
        <w:rPr>
          <w:rFonts w:ascii="宋体" w:hAnsi="宋体" w:cs="宋体" w:eastAsia="宋体" w:hint="default"/>
          <w:sz w:val="28"/>
          <w:szCs w:val="28"/>
        </w:rPr>
        <w:t>度，将基站内</w:t>
      </w:r>
    </w:p>
    <w:p>
      <w:pPr>
        <w:spacing w:line="240" w:lineRule="auto" w:before="9"/>
        <w:rPr>
          <w:rFonts w:ascii="宋体" w:hAnsi="宋体" w:cs="宋体" w:eastAsia="宋体" w:hint="default"/>
          <w:sz w:val="19"/>
          <w:szCs w:val="19"/>
        </w:rPr>
      </w:pPr>
    </w:p>
    <w:p>
      <w:pPr>
        <w:spacing w:line="408" w:lineRule="auto" w:before="0"/>
        <w:ind w:left="120" w:right="189" w:firstLine="0"/>
        <w:jc w:val="left"/>
        <w:rPr>
          <w:rFonts w:ascii="宋体" w:hAnsi="宋体" w:cs="宋体" w:eastAsia="宋体" w:hint="default"/>
          <w:sz w:val="28"/>
          <w:szCs w:val="28"/>
        </w:rPr>
      </w:pPr>
      <w:r>
        <w:rPr>
          <w:rFonts w:ascii="宋体" w:hAnsi="宋体" w:cs="宋体" w:eastAsia="宋体" w:hint="default"/>
          <w:sz w:val="28"/>
          <w:szCs w:val="28"/>
        </w:rPr>
        <w:t>设备较多或发热量较大的基站温度设置在摄氏 25</w:t>
      </w:r>
      <w:r>
        <w:rPr>
          <w:rFonts w:ascii="宋体" w:hAnsi="宋体" w:cs="宋体" w:eastAsia="宋体" w:hint="default"/>
          <w:spacing w:val="-105"/>
          <w:sz w:val="28"/>
          <w:szCs w:val="28"/>
        </w:rPr>
        <w:t> </w:t>
      </w:r>
      <w:r>
        <w:rPr>
          <w:rFonts w:ascii="宋体" w:hAnsi="宋体" w:cs="宋体" w:eastAsia="宋体" w:hint="default"/>
          <w:sz w:val="28"/>
          <w:szCs w:val="28"/>
        </w:rPr>
        <w:t>度。在保证基站设</w:t>
      </w:r>
      <w:r>
        <w:rPr>
          <w:rFonts w:ascii="宋体" w:hAnsi="宋体" w:cs="宋体" w:eastAsia="宋体" w:hint="default"/>
          <w:w w:val="99"/>
          <w:sz w:val="28"/>
          <w:szCs w:val="28"/>
        </w:rPr>
        <w:t> </w:t>
      </w:r>
      <w:r>
        <w:rPr>
          <w:rFonts w:ascii="宋体" w:hAnsi="宋体" w:cs="宋体" w:eastAsia="宋体" w:hint="default"/>
          <w:sz w:val="28"/>
          <w:szCs w:val="28"/>
        </w:rPr>
        <w:t>备正常工作的前提下，尽可能节约能源。</w:t>
      </w:r>
    </w:p>
    <w:p>
      <w:pPr>
        <w:spacing w:line="408" w:lineRule="auto" w:before="61"/>
        <w:ind w:left="119" w:right="196" w:firstLine="560"/>
        <w:jc w:val="both"/>
        <w:rPr>
          <w:rFonts w:ascii="宋体" w:hAnsi="宋体" w:cs="宋体" w:eastAsia="宋体" w:hint="default"/>
          <w:sz w:val="28"/>
          <w:szCs w:val="28"/>
        </w:rPr>
      </w:pPr>
      <w:r>
        <w:rPr>
          <w:rFonts w:ascii="宋体" w:hAnsi="宋体" w:cs="宋体" w:eastAsia="宋体" w:hint="default"/>
          <w:spacing w:val="-4"/>
          <w:sz w:val="28"/>
          <w:szCs w:val="28"/>
        </w:rPr>
        <w:t>在不断强化自身节能减排管理的同时，积极促进通信设备生产厂</w:t>
      </w:r>
      <w:r>
        <w:rPr>
          <w:rFonts w:ascii="宋体" w:hAnsi="宋体" w:cs="宋体" w:eastAsia="宋体" w:hint="default"/>
          <w:w w:val="99"/>
          <w:sz w:val="28"/>
          <w:szCs w:val="28"/>
        </w:rPr>
        <w:t> </w:t>
      </w:r>
      <w:r>
        <w:rPr>
          <w:rFonts w:ascii="宋体" w:hAnsi="宋体" w:cs="宋体" w:eastAsia="宋体" w:hint="default"/>
          <w:spacing w:val="-4"/>
          <w:sz w:val="28"/>
          <w:szCs w:val="28"/>
        </w:rPr>
        <w:t>商生产节能型设备，推动广大用户使用信息化应用产品，带动信息通</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信产业链上下游共同开展节能减排工作。</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1"/>
        <w:rPr>
          <w:rFonts w:ascii="宋体" w:hAnsi="宋体" w:cs="宋体" w:eastAsia="宋体" w:hint="default"/>
          <w:sz w:val="33"/>
          <w:szCs w:val="33"/>
        </w:rPr>
      </w:pPr>
    </w:p>
    <w:p>
      <w:pPr>
        <w:spacing w:before="0"/>
        <w:ind w:left="120" w:right="84" w:firstLine="0"/>
        <w:jc w:val="left"/>
        <w:rPr>
          <w:rFonts w:ascii="黑体" w:hAnsi="黑体" w:cs="黑体" w:eastAsia="黑体" w:hint="default"/>
          <w:sz w:val="36"/>
          <w:szCs w:val="36"/>
        </w:rPr>
      </w:pPr>
      <w:r>
        <w:rPr>
          <w:rFonts w:ascii="黑体" w:hAnsi="黑体" w:cs="黑体" w:eastAsia="黑体" w:hint="default"/>
          <w:b/>
          <w:bCs/>
          <w:sz w:val="36"/>
          <w:szCs w:val="36"/>
        </w:rPr>
        <w:t>推进基础设施共建共享，节约社会资源</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357" w:lineRule="auto" w:before="315"/>
        <w:ind w:left="119" w:right="193" w:firstLine="560"/>
        <w:jc w:val="both"/>
        <w:rPr>
          <w:rFonts w:ascii="宋体" w:hAnsi="宋体" w:cs="宋体" w:eastAsia="宋体" w:hint="default"/>
          <w:sz w:val="28"/>
          <w:szCs w:val="28"/>
        </w:rPr>
      </w:pPr>
      <w:r>
        <w:rPr>
          <w:rFonts w:ascii="宋体" w:hAnsi="宋体" w:cs="宋体" w:eastAsia="宋体" w:hint="default"/>
          <w:spacing w:val="-4"/>
          <w:sz w:val="28"/>
          <w:szCs w:val="28"/>
        </w:rPr>
        <w:t>为节约资源、保护环境，减少电信重复建设，中国联通积极推行</w:t>
      </w:r>
      <w:r>
        <w:rPr>
          <w:rFonts w:ascii="宋体" w:hAnsi="宋体" w:cs="宋体" w:eastAsia="宋体" w:hint="default"/>
          <w:w w:val="99"/>
          <w:sz w:val="28"/>
          <w:szCs w:val="28"/>
        </w:rPr>
        <w:t> </w:t>
      </w:r>
      <w:r>
        <w:rPr>
          <w:rFonts w:ascii="宋体" w:hAnsi="宋体" w:cs="宋体" w:eastAsia="宋体" w:hint="default"/>
          <w:spacing w:val="-4"/>
          <w:sz w:val="28"/>
          <w:szCs w:val="28"/>
        </w:rPr>
        <w:t>电信基础设施共建共享政策，与其他电信运营企业开展合作，推动移</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动铁塔、传输杆路等基础设施的共建共享。2009</w:t>
      </w:r>
      <w:r>
        <w:rPr>
          <w:rFonts w:ascii="宋体" w:hAnsi="宋体" w:cs="宋体" w:eastAsia="宋体" w:hint="default"/>
          <w:spacing w:val="39"/>
          <w:sz w:val="28"/>
          <w:szCs w:val="28"/>
        </w:rPr>
        <w:t> </w:t>
      </w:r>
      <w:r>
        <w:rPr>
          <w:rFonts w:ascii="宋体" w:hAnsi="宋体" w:cs="宋体" w:eastAsia="宋体" w:hint="default"/>
          <w:sz w:val="28"/>
          <w:szCs w:val="28"/>
        </w:rPr>
        <w:t>年，中国联通与其</w:t>
      </w:r>
      <w:r>
        <w:rPr>
          <w:rFonts w:ascii="宋体" w:hAnsi="宋体" w:cs="宋体" w:eastAsia="宋体" w:hint="default"/>
          <w:spacing w:val="-137"/>
          <w:sz w:val="28"/>
          <w:szCs w:val="28"/>
        </w:rPr>
        <w:t> </w:t>
      </w:r>
      <w:r>
        <w:rPr>
          <w:rFonts w:ascii="宋体" w:hAnsi="宋体" w:cs="宋体" w:eastAsia="宋体" w:hint="default"/>
          <w:spacing w:val="-137"/>
          <w:sz w:val="28"/>
          <w:szCs w:val="28"/>
        </w:rPr>
      </w:r>
      <w:r>
        <w:rPr>
          <w:rFonts w:ascii="宋体" w:hAnsi="宋体" w:cs="宋体" w:eastAsia="宋体" w:hint="default"/>
          <w:sz w:val="28"/>
          <w:szCs w:val="28"/>
        </w:rPr>
        <w:t>他电信企业共建移动铁塔</w:t>
      </w:r>
      <w:r>
        <w:rPr>
          <w:rFonts w:ascii="宋体" w:hAnsi="宋体" w:cs="宋体" w:eastAsia="宋体" w:hint="default"/>
          <w:spacing w:val="-61"/>
          <w:sz w:val="28"/>
          <w:szCs w:val="28"/>
        </w:rPr>
        <w:t> </w:t>
      </w:r>
      <w:r>
        <w:rPr>
          <w:rFonts w:ascii="宋体" w:hAnsi="宋体" w:cs="宋体" w:eastAsia="宋体" w:hint="default"/>
          <w:sz w:val="28"/>
          <w:szCs w:val="28"/>
        </w:rPr>
        <w:t>15033</w:t>
      </w:r>
      <w:r>
        <w:rPr>
          <w:rFonts w:ascii="宋体" w:hAnsi="宋体" w:cs="宋体" w:eastAsia="宋体" w:hint="default"/>
          <w:spacing w:val="-63"/>
          <w:sz w:val="28"/>
          <w:szCs w:val="28"/>
        </w:rPr>
        <w:t> </w:t>
      </w:r>
      <w:r>
        <w:rPr>
          <w:rFonts w:ascii="宋体" w:hAnsi="宋体" w:cs="宋体" w:eastAsia="宋体" w:hint="default"/>
          <w:sz w:val="28"/>
          <w:szCs w:val="28"/>
        </w:rPr>
        <w:t>座、杆路</w:t>
      </w:r>
      <w:r>
        <w:rPr>
          <w:rFonts w:ascii="宋体" w:hAnsi="宋体" w:cs="宋体" w:eastAsia="宋体" w:hint="default"/>
          <w:spacing w:val="-62"/>
          <w:sz w:val="28"/>
          <w:szCs w:val="28"/>
        </w:rPr>
        <w:t> </w:t>
      </w:r>
      <w:r>
        <w:rPr>
          <w:rFonts w:ascii="宋体" w:hAnsi="宋体" w:cs="宋体" w:eastAsia="宋体" w:hint="default"/>
          <w:sz w:val="28"/>
          <w:szCs w:val="28"/>
        </w:rPr>
        <w:t>9605</w:t>
      </w:r>
      <w:r>
        <w:rPr>
          <w:rFonts w:ascii="宋体" w:hAnsi="宋体" w:cs="宋体" w:eastAsia="宋体" w:hint="default"/>
          <w:spacing w:val="-61"/>
          <w:sz w:val="28"/>
          <w:szCs w:val="28"/>
        </w:rPr>
        <w:t> </w:t>
      </w:r>
      <w:r>
        <w:rPr>
          <w:rFonts w:ascii="宋体" w:hAnsi="宋体" w:cs="宋体" w:eastAsia="宋体" w:hint="default"/>
          <w:sz w:val="28"/>
          <w:szCs w:val="28"/>
        </w:rPr>
        <w:t>线路公里。向其他电</w:t>
      </w:r>
    </w:p>
    <w:p>
      <w:pPr>
        <w:spacing w:before="41"/>
        <w:ind w:left="120" w:right="84" w:firstLine="0"/>
        <w:jc w:val="left"/>
        <w:rPr>
          <w:rFonts w:ascii="宋体" w:hAnsi="宋体" w:cs="宋体" w:eastAsia="宋体" w:hint="default"/>
          <w:sz w:val="28"/>
          <w:szCs w:val="28"/>
        </w:rPr>
      </w:pPr>
      <w:r>
        <w:rPr>
          <w:rFonts w:ascii="宋体" w:hAnsi="宋体" w:cs="宋体" w:eastAsia="宋体" w:hint="default"/>
          <w:sz w:val="28"/>
          <w:szCs w:val="28"/>
        </w:rPr>
        <w:t>信企业提供共享铁塔</w:t>
      </w:r>
      <w:r>
        <w:rPr>
          <w:rFonts w:ascii="宋体" w:hAnsi="宋体" w:cs="宋体" w:eastAsia="宋体" w:hint="default"/>
          <w:spacing w:val="-70"/>
          <w:sz w:val="28"/>
          <w:szCs w:val="28"/>
        </w:rPr>
        <w:t> </w:t>
      </w:r>
      <w:r>
        <w:rPr>
          <w:rFonts w:ascii="宋体" w:hAnsi="宋体" w:cs="宋体" w:eastAsia="宋体" w:hint="default"/>
          <w:sz w:val="28"/>
          <w:szCs w:val="28"/>
        </w:rPr>
        <w:t>13227</w:t>
      </w:r>
      <w:r>
        <w:rPr>
          <w:rFonts w:ascii="宋体" w:hAnsi="宋体" w:cs="宋体" w:eastAsia="宋体" w:hint="default"/>
          <w:spacing w:val="-71"/>
          <w:sz w:val="28"/>
          <w:szCs w:val="28"/>
        </w:rPr>
        <w:t> </w:t>
      </w:r>
      <w:r>
        <w:rPr>
          <w:rFonts w:ascii="宋体" w:hAnsi="宋体" w:cs="宋体" w:eastAsia="宋体" w:hint="default"/>
          <w:spacing w:val="-12"/>
          <w:sz w:val="28"/>
          <w:szCs w:val="28"/>
        </w:rPr>
        <w:t>座、杆路</w:t>
      </w:r>
      <w:r>
        <w:rPr>
          <w:rFonts w:ascii="宋体" w:hAnsi="宋体" w:cs="宋体" w:eastAsia="宋体" w:hint="default"/>
          <w:spacing w:val="-71"/>
          <w:sz w:val="28"/>
          <w:szCs w:val="28"/>
        </w:rPr>
        <w:t> </w:t>
      </w:r>
      <w:r>
        <w:rPr>
          <w:rFonts w:ascii="宋体" w:hAnsi="宋体" w:cs="宋体" w:eastAsia="宋体" w:hint="default"/>
          <w:sz w:val="28"/>
          <w:szCs w:val="28"/>
        </w:rPr>
        <w:t>27693</w:t>
      </w:r>
      <w:r>
        <w:rPr>
          <w:rFonts w:ascii="宋体" w:hAnsi="宋体" w:cs="宋体" w:eastAsia="宋体" w:hint="default"/>
          <w:spacing w:val="-71"/>
          <w:sz w:val="28"/>
          <w:szCs w:val="28"/>
        </w:rPr>
        <w:t> </w:t>
      </w:r>
      <w:r>
        <w:rPr>
          <w:rFonts w:ascii="宋体" w:hAnsi="宋体" w:cs="宋体" w:eastAsia="宋体" w:hint="default"/>
          <w:spacing w:val="-5"/>
          <w:sz w:val="28"/>
          <w:szCs w:val="28"/>
        </w:rPr>
        <w:t>线路公里；共享其他电信</w:t>
      </w:r>
    </w:p>
    <w:p>
      <w:pPr>
        <w:spacing w:line="357" w:lineRule="auto" w:before="178"/>
        <w:ind w:left="120" w:right="99" w:firstLine="0"/>
        <w:jc w:val="left"/>
        <w:rPr>
          <w:rFonts w:ascii="宋体" w:hAnsi="宋体" w:cs="宋体" w:eastAsia="宋体" w:hint="default"/>
          <w:sz w:val="28"/>
          <w:szCs w:val="28"/>
        </w:rPr>
      </w:pPr>
      <w:r>
        <w:rPr>
          <w:rFonts w:ascii="宋体" w:hAnsi="宋体" w:cs="宋体" w:eastAsia="宋体" w:hint="default"/>
          <w:sz w:val="28"/>
          <w:szCs w:val="28"/>
        </w:rPr>
        <w:t>企业铁塔</w:t>
      </w:r>
      <w:r>
        <w:rPr>
          <w:rFonts w:ascii="宋体" w:hAnsi="宋体" w:cs="宋体" w:eastAsia="宋体" w:hint="default"/>
          <w:spacing w:val="-74"/>
          <w:sz w:val="28"/>
          <w:szCs w:val="28"/>
        </w:rPr>
        <w:t> </w:t>
      </w:r>
      <w:r>
        <w:rPr>
          <w:rFonts w:ascii="宋体" w:hAnsi="宋体" w:cs="宋体" w:eastAsia="宋体" w:hint="default"/>
          <w:sz w:val="28"/>
          <w:szCs w:val="28"/>
        </w:rPr>
        <w:t>11932</w:t>
      </w:r>
      <w:r>
        <w:rPr>
          <w:rFonts w:ascii="宋体" w:hAnsi="宋体" w:cs="宋体" w:eastAsia="宋体" w:hint="default"/>
          <w:spacing w:val="-75"/>
          <w:sz w:val="28"/>
          <w:szCs w:val="28"/>
        </w:rPr>
        <w:t> </w:t>
      </w:r>
      <w:r>
        <w:rPr>
          <w:rFonts w:ascii="宋体" w:hAnsi="宋体" w:cs="宋体" w:eastAsia="宋体" w:hint="default"/>
          <w:sz w:val="28"/>
          <w:szCs w:val="28"/>
        </w:rPr>
        <w:t>座、杆路</w:t>
      </w:r>
      <w:r>
        <w:rPr>
          <w:rFonts w:ascii="宋体" w:hAnsi="宋体" w:cs="宋体" w:eastAsia="宋体" w:hint="default"/>
          <w:spacing w:val="-73"/>
          <w:sz w:val="28"/>
          <w:szCs w:val="28"/>
        </w:rPr>
        <w:t> </w:t>
      </w:r>
      <w:r>
        <w:rPr>
          <w:rFonts w:ascii="宋体" w:hAnsi="宋体" w:cs="宋体" w:eastAsia="宋体" w:hint="default"/>
          <w:sz w:val="28"/>
          <w:szCs w:val="28"/>
        </w:rPr>
        <w:t>24581</w:t>
      </w:r>
      <w:r>
        <w:rPr>
          <w:rFonts w:ascii="宋体" w:hAnsi="宋体" w:cs="宋体" w:eastAsia="宋体" w:hint="default"/>
          <w:spacing w:val="-73"/>
          <w:sz w:val="28"/>
          <w:szCs w:val="28"/>
        </w:rPr>
        <w:t> </w:t>
      </w:r>
      <w:r>
        <w:rPr>
          <w:rFonts w:ascii="宋体" w:hAnsi="宋体" w:cs="宋体" w:eastAsia="宋体" w:hint="default"/>
          <w:sz w:val="28"/>
          <w:szCs w:val="28"/>
        </w:rPr>
        <w:t>线路公里。通过基础设施共建共享，</w:t>
      </w:r>
      <w:r>
        <w:rPr>
          <w:rFonts w:ascii="宋体" w:hAnsi="宋体" w:cs="宋体" w:eastAsia="宋体" w:hint="default"/>
          <w:w w:val="99"/>
          <w:sz w:val="28"/>
          <w:szCs w:val="28"/>
        </w:rPr>
        <w:t> </w:t>
      </w:r>
      <w:r>
        <w:rPr>
          <w:rFonts w:ascii="宋体" w:hAnsi="宋体" w:cs="宋体" w:eastAsia="宋体" w:hint="default"/>
          <w:spacing w:val="-4"/>
          <w:sz w:val="28"/>
          <w:szCs w:val="28"/>
        </w:rPr>
        <w:t>中国联通降低了原材料、土地等资源的消耗，提高了企业经济效益和</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社会效益。</w:t>
      </w:r>
    </w:p>
    <w:p>
      <w:pPr>
        <w:spacing w:line="240" w:lineRule="auto" w:before="0"/>
        <w:rPr>
          <w:rFonts w:ascii="宋体" w:hAnsi="宋体" w:cs="宋体" w:eastAsia="宋体" w:hint="default"/>
          <w:sz w:val="28"/>
          <w:szCs w:val="28"/>
        </w:rPr>
      </w:pPr>
    </w:p>
    <w:p>
      <w:pPr>
        <w:spacing w:line="240" w:lineRule="auto" w:before="12"/>
        <w:rPr>
          <w:rFonts w:ascii="宋体" w:hAnsi="宋体" w:cs="宋体" w:eastAsia="宋体" w:hint="default"/>
          <w:sz w:val="19"/>
          <w:szCs w:val="19"/>
        </w:rPr>
      </w:pPr>
    </w:p>
    <w:p>
      <w:pPr>
        <w:spacing w:before="0"/>
        <w:ind w:left="120" w:right="84" w:firstLine="0"/>
        <w:jc w:val="left"/>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sz w:val="28"/>
          <w:szCs w:val="28"/>
        </w:rPr>
        <w:t>积极推进节能减排，创建节约型企业</w:t>
      </w:r>
      <w:r>
        <w:rPr>
          <w:rFonts w:ascii="Microsoft JhengHei" w:hAnsi="Microsoft JhengHei" w:cs="Microsoft JhengHei" w:eastAsia="Microsoft JhengHei" w:hint="default"/>
          <w:sz w:val="28"/>
          <w:szCs w:val="28"/>
        </w:rPr>
      </w:r>
    </w:p>
    <w:p>
      <w:pPr>
        <w:spacing w:after="0"/>
        <w:jc w:val="left"/>
        <w:rPr>
          <w:rFonts w:ascii="Microsoft JhengHei" w:hAnsi="Microsoft JhengHei" w:cs="Microsoft JhengHei" w:eastAsia="Microsoft JhengHei" w:hint="default"/>
          <w:sz w:val="28"/>
          <w:szCs w:val="28"/>
        </w:rPr>
        <w:sectPr>
          <w:headerReference w:type="default" r:id="rId264"/>
          <w:footerReference w:type="default" r:id="rId265"/>
          <w:pgSz w:w="11910" w:h="16840"/>
          <w:pgMar w:header="0" w:footer="982" w:top="1540" w:bottom="1180" w:left="1680" w:right="1600"/>
          <w:pgNumType w:start="41"/>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2"/>
          <w:szCs w:val="12"/>
        </w:rPr>
      </w:pPr>
    </w:p>
    <w:p>
      <w:pPr>
        <w:spacing w:line="3058" w:lineRule="exact"/>
        <w:ind w:left="11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0"/>
          <w:sz w:val="20"/>
          <w:szCs w:val="20"/>
        </w:rPr>
        <w:pict>
          <v:shape style="width:414.75pt;height:152.950pt;mso-position-horizontal-relative:char;mso-position-vertical-relative:line" type="#_x0000_t202" filled="true" fillcolor="#ccff99" stroked="false">
            <w10:anchorlock/>
            <v:textbox inset="0,0,0,0">
              <w:txbxContent>
                <w:p>
                  <w:pPr>
                    <w:spacing w:line="357" w:lineRule="auto" w:before="48"/>
                    <w:ind w:left="159" w:right="155" w:firstLine="0"/>
                    <w:jc w:val="both"/>
                    <w:rPr>
                      <w:rFonts w:ascii="宋体" w:hAnsi="宋体" w:cs="宋体" w:eastAsia="宋体" w:hint="default"/>
                      <w:sz w:val="24"/>
                      <w:szCs w:val="24"/>
                    </w:rPr>
                  </w:pPr>
                  <w:r>
                    <w:rPr>
                      <w:rFonts w:ascii="宋体" w:hAnsi="宋体" w:cs="宋体" w:eastAsia="宋体" w:hint="default"/>
                      <w:sz w:val="24"/>
                      <w:szCs w:val="24"/>
                    </w:rPr>
                    <w:t>◆中国联通在内蒙古、海南、四川、云南、新疆和西藏六个地区，启动“光</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能源与风光互补能源的应用新技术试验”项目，按照纯光系统、风光系统、</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光电系统、光油系统等多种类型因地制宜进行试验。目前，已基本完成设备</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安装、调试，部分分公司已开始试验数据采集工作。中国联通将对试验结果</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进行认真、科学、客观的分析、研究，拟定出新能源供电系统的建设规范及</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相应的技术体制，为下一步在全国推广新能源基站供电建设奠定基础。</w:t>
                  </w:r>
                </w:p>
              </w:txbxContent>
            </v:textbox>
            <v:fill type="solid"/>
          </v:shape>
        </w:pict>
      </w:r>
      <w:r>
        <w:rPr>
          <w:rFonts w:ascii="Times New Roman" w:hAnsi="Times New Roman" w:cs="Times New Roman" w:eastAsia="Times New Roman" w:hint="default"/>
          <w:position w:val="-60"/>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12"/>
          <w:szCs w:val="12"/>
        </w:rPr>
      </w:pPr>
    </w:p>
    <w:p>
      <w:pPr>
        <w:spacing w:line="1570" w:lineRule="exact"/>
        <w:ind w:left="15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0"/>
          <w:sz w:val="20"/>
          <w:szCs w:val="20"/>
        </w:rPr>
        <w:pict>
          <v:shape style="width:414.75pt;height:78.55pt;mso-position-horizontal-relative:char;mso-position-vertical-relative:line" type="#_x0000_t202" filled="true" fillcolor="#ccff99" stroked="false">
            <w10:anchorlock/>
            <v:textbox inset="0,0,0,0">
              <w:txbxContent>
                <w:p>
                  <w:pPr>
                    <w:spacing w:line="357" w:lineRule="auto" w:before="48"/>
                    <w:ind w:left="159" w:right="155" w:firstLine="0"/>
                    <w:jc w:val="both"/>
                    <w:rPr>
                      <w:rFonts w:ascii="宋体" w:hAnsi="宋体" w:cs="宋体" w:eastAsia="宋体" w:hint="default"/>
                      <w:sz w:val="24"/>
                      <w:szCs w:val="24"/>
                    </w:rPr>
                  </w:pPr>
                  <w:r>
                    <w:rPr>
                      <w:rFonts w:ascii="宋体" w:hAnsi="宋体" w:cs="宋体" w:eastAsia="宋体" w:hint="default"/>
                      <w:sz w:val="24"/>
                      <w:szCs w:val="24"/>
                    </w:rPr>
                    <w:t>◆中国联通在山东、浙江、广东试点用电管理系统，在各省推广基站标杆用</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电管理工作，各省已建立基站用电管理体系，强化了运维成本精细化管理工</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作。</w:t>
                  </w:r>
                </w:p>
              </w:txbxContent>
            </v:textbox>
            <v:fill type="solid"/>
          </v:shape>
        </w:pict>
      </w:r>
      <w:r>
        <w:rPr>
          <w:rFonts w:ascii="Times New Roman" w:hAnsi="Times New Roman" w:cs="Times New Roman" w:eastAsia="Times New Roman" w:hint="default"/>
          <w:position w:val="-30"/>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6"/>
          <w:szCs w:val="26"/>
        </w:rPr>
      </w:pPr>
    </w:p>
    <w:p>
      <w:pPr>
        <w:spacing w:line="1570" w:lineRule="exact"/>
        <w:ind w:left="15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0"/>
          <w:sz w:val="20"/>
          <w:szCs w:val="20"/>
        </w:rPr>
        <w:pict>
          <v:shape style="width:414.75pt;height:78.55pt;mso-position-horizontal-relative:char;mso-position-vertical-relative:line" type="#_x0000_t202" filled="true" fillcolor="#ccff99" stroked="false">
            <w10:anchorlock/>
            <v:textbox inset="0,0,0,0">
              <w:txbxContent>
                <w:p>
                  <w:pPr>
                    <w:spacing w:line="357" w:lineRule="auto" w:before="48"/>
                    <w:ind w:left="159" w:right="155" w:firstLine="0"/>
                    <w:jc w:val="both"/>
                    <w:rPr>
                      <w:rFonts w:ascii="宋体" w:hAnsi="宋体" w:cs="宋体" w:eastAsia="宋体" w:hint="default"/>
                      <w:sz w:val="24"/>
                      <w:szCs w:val="24"/>
                    </w:rPr>
                  </w:pPr>
                  <w:r>
                    <w:rPr>
                      <w:rFonts w:ascii="宋体" w:hAnsi="宋体" w:cs="宋体" w:eastAsia="宋体" w:hint="default"/>
                      <w:sz w:val="24"/>
                      <w:szCs w:val="24"/>
                    </w:rPr>
                    <w:t>◆中国联通在河北等</w:t>
                  </w:r>
                  <w:r>
                    <w:rPr>
                      <w:rFonts w:ascii="宋体" w:hAnsi="宋体" w:cs="宋体" w:eastAsia="宋体" w:hint="default"/>
                      <w:spacing w:val="-58"/>
                      <w:sz w:val="24"/>
                      <w:szCs w:val="24"/>
                    </w:rPr>
                    <w:t> </w:t>
                  </w:r>
                  <w:r>
                    <w:rPr>
                      <w:rFonts w:ascii="宋体" w:hAnsi="宋体" w:cs="宋体" w:eastAsia="宋体" w:hint="default"/>
                      <w:sz w:val="24"/>
                      <w:szCs w:val="24"/>
                    </w:rPr>
                    <w:t>12</w:t>
                  </w:r>
                  <w:r>
                    <w:rPr>
                      <w:rFonts w:ascii="宋体" w:hAnsi="宋体" w:cs="宋体" w:eastAsia="宋体" w:hint="default"/>
                      <w:spacing w:val="-58"/>
                      <w:sz w:val="24"/>
                      <w:szCs w:val="24"/>
                    </w:rPr>
                    <w:t> </w:t>
                  </w:r>
                  <w:r>
                    <w:rPr>
                      <w:rFonts w:ascii="宋体" w:hAnsi="宋体" w:cs="宋体" w:eastAsia="宋体" w:hint="default"/>
                      <w:spacing w:val="-3"/>
                      <w:sz w:val="24"/>
                      <w:szCs w:val="24"/>
                    </w:rPr>
                    <w:t>个省推广无线设备时隙功放智能关闭、智能新风、智</w:t>
                  </w:r>
                  <w:r>
                    <w:rPr>
                      <w:rFonts w:ascii="宋体" w:hAnsi="宋体" w:cs="宋体" w:eastAsia="宋体" w:hint="default"/>
                      <w:sz w:val="24"/>
                      <w:szCs w:val="24"/>
                    </w:rPr>
                    <w:t> 能热交换、空调自适应、空调添加剂、空调换热器纳米涂层技术、机房隔热</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涂料等节能减排技术</w:t>
                  </w:r>
                </w:p>
              </w:txbxContent>
            </v:textbox>
            <v:fill type="solid"/>
          </v:shape>
        </w:pict>
      </w:r>
      <w:r>
        <w:rPr>
          <w:rFonts w:ascii="Times New Roman" w:hAnsi="Times New Roman" w:cs="Times New Roman" w:eastAsia="Times New Roman" w:hint="default"/>
          <w:position w:val="-30"/>
          <w:sz w:val="20"/>
          <w:szCs w:val="20"/>
        </w:rPr>
      </w:r>
    </w:p>
    <w:p>
      <w:pPr>
        <w:spacing w:after="0" w:line="1570" w:lineRule="exact"/>
        <w:rPr>
          <w:rFonts w:ascii="Times New Roman" w:hAnsi="Times New Roman" w:cs="Times New Roman" w:eastAsia="Times New Roman" w:hint="default"/>
          <w:sz w:val="20"/>
          <w:szCs w:val="20"/>
        </w:rPr>
        <w:sectPr>
          <w:headerReference w:type="default" r:id="rId266"/>
          <w:footerReference w:type="default" r:id="rId267"/>
          <w:pgSz w:w="11910" w:h="16840"/>
          <w:pgMar w:header="0" w:footer="982" w:top="1600" w:bottom="1180" w:left="1640" w:right="1680"/>
          <w:pgNumType w:start="42"/>
        </w:sect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9"/>
          <w:szCs w:val="29"/>
        </w:rPr>
      </w:pPr>
    </w:p>
    <w:p>
      <w:pPr>
        <w:pStyle w:val="Heading1"/>
        <w:tabs>
          <w:tab w:pos="4534" w:val="left" w:leader="none"/>
        </w:tabs>
        <w:spacing w:line="632" w:lineRule="exact"/>
        <w:ind w:left="1932" w:right="0"/>
        <w:jc w:val="left"/>
        <w:rPr>
          <w:b w:val="0"/>
          <w:bCs w:val="0"/>
        </w:rPr>
      </w:pPr>
      <w:r>
        <w:rPr>
          <w:w w:val="95"/>
        </w:rPr>
        <w:t>感恩于怀</w:t>
        <w:tab/>
      </w:r>
      <w:r>
        <w:rPr/>
        <w:t>服务在心</w:t>
      </w:r>
      <w:r>
        <w:rPr>
          <w:b w:val="0"/>
          <w:bCs w:val="0"/>
        </w:rPr>
      </w:r>
    </w:p>
    <w:p>
      <w:pPr>
        <w:spacing w:line="240" w:lineRule="auto" w:before="0"/>
        <w:rPr>
          <w:rFonts w:ascii="华文行楷" w:hAnsi="华文行楷" w:cs="华文行楷" w:eastAsia="华文行楷" w:hint="default"/>
          <w:b/>
          <w:bCs/>
          <w:sz w:val="52"/>
          <w:szCs w:val="52"/>
        </w:rPr>
      </w:pPr>
    </w:p>
    <w:p>
      <w:pPr>
        <w:spacing w:line="240" w:lineRule="auto" w:before="6"/>
        <w:rPr>
          <w:rFonts w:ascii="华文行楷" w:hAnsi="华文行楷" w:cs="华文行楷" w:eastAsia="华文行楷" w:hint="default"/>
          <w:b/>
          <w:bCs/>
          <w:sz w:val="58"/>
          <w:szCs w:val="58"/>
        </w:rPr>
      </w:pPr>
    </w:p>
    <w:p>
      <w:pPr>
        <w:spacing w:line="388" w:lineRule="auto" w:before="0"/>
        <w:ind w:left="119" w:right="116" w:firstLine="548"/>
        <w:jc w:val="both"/>
        <w:rPr>
          <w:rFonts w:ascii="华文行楷" w:hAnsi="华文行楷" w:cs="华文行楷" w:eastAsia="华文行楷" w:hint="default"/>
          <w:sz w:val="28"/>
          <w:szCs w:val="28"/>
        </w:rPr>
      </w:pPr>
      <w:r>
        <w:rPr>
          <w:rFonts w:ascii="华文行楷" w:hAnsi="华文行楷" w:cs="华文行楷" w:eastAsia="华文行楷" w:hint="default"/>
          <w:i/>
          <w:spacing w:val="-6"/>
          <w:sz w:val="28"/>
          <w:szCs w:val="28"/>
        </w:rPr>
        <w:t>服务，是电信行业永恒不变的话题。10010</w:t>
      </w:r>
      <w:r>
        <w:rPr>
          <w:rFonts w:ascii="华文行楷" w:hAnsi="华文行楷" w:cs="华文行楷" w:eastAsia="华文行楷" w:hint="default"/>
          <w:i/>
          <w:spacing w:val="1"/>
          <w:sz w:val="28"/>
          <w:szCs w:val="28"/>
        </w:rPr>
        <w:t> </w:t>
      </w:r>
      <w:r>
        <w:rPr>
          <w:rFonts w:ascii="华文行楷" w:hAnsi="华文行楷" w:cs="华文行楷" w:eastAsia="华文行楷" w:hint="default"/>
          <w:i/>
          <w:sz w:val="28"/>
          <w:szCs w:val="28"/>
        </w:rPr>
        <w:t>热线是中国联通对外服</w:t>
      </w:r>
      <w:r>
        <w:rPr>
          <w:rFonts w:ascii="华文行楷" w:hAnsi="华文行楷" w:cs="华文行楷" w:eastAsia="华文行楷" w:hint="default"/>
          <w:i/>
          <w:w w:val="99"/>
          <w:sz w:val="28"/>
          <w:szCs w:val="28"/>
        </w:rPr>
        <w:t> </w:t>
      </w:r>
      <w:r>
        <w:rPr>
          <w:rFonts w:ascii="华文行楷" w:hAnsi="华文行楷" w:cs="华文行楷" w:eastAsia="华文行楷" w:hint="default"/>
          <w:i/>
          <w:spacing w:val="-4"/>
          <w:w w:val="99"/>
          <w:sz w:val="28"/>
          <w:szCs w:val="28"/>
        </w:rPr>
        <w:t>务窗口，是沟通用户的一张名片。“有满意的员工，才会有满意的用</w:t>
      </w:r>
      <w:r>
        <w:rPr>
          <w:rFonts w:ascii="华文行楷" w:hAnsi="华文行楷" w:cs="华文行楷" w:eastAsia="华文行楷" w:hint="default"/>
          <w:i/>
          <w:spacing w:val="-47"/>
          <w:w w:val="99"/>
          <w:sz w:val="28"/>
          <w:szCs w:val="28"/>
        </w:rPr>
        <w:t> </w:t>
      </w:r>
      <w:r>
        <w:rPr>
          <w:rFonts w:ascii="华文行楷" w:hAnsi="华文行楷" w:cs="华文行楷" w:eastAsia="华文行楷" w:hint="default"/>
          <w:i/>
          <w:spacing w:val="-47"/>
          <w:w w:val="99"/>
          <w:sz w:val="28"/>
          <w:szCs w:val="28"/>
        </w:rPr>
      </w:r>
      <w:r>
        <w:rPr>
          <w:rFonts w:ascii="华文行楷" w:hAnsi="华文行楷" w:cs="华文行楷" w:eastAsia="华文行楷" w:hint="default"/>
          <w:i/>
          <w:spacing w:val="-32"/>
          <w:w w:val="99"/>
          <w:sz w:val="28"/>
          <w:szCs w:val="28"/>
        </w:rPr>
        <w:t>户”，这是</w:t>
      </w:r>
      <w:r>
        <w:rPr>
          <w:rFonts w:ascii="华文行楷" w:hAnsi="华文行楷" w:cs="华文行楷" w:eastAsia="华文行楷" w:hint="default"/>
          <w:i/>
          <w:spacing w:val="7"/>
          <w:w w:val="99"/>
          <w:sz w:val="28"/>
          <w:szCs w:val="28"/>
        </w:rPr>
        <w:t> </w:t>
      </w:r>
      <w:r>
        <w:rPr>
          <w:rFonts w:ascii="华文行楷" w:hAnsi="华文行楷" w:cs="华文行楷" w:eastAsia="华文行楷" w:hint="default"/>
          <w:i/>
          <w:spacing w:val="-1"/>
          <w:w w:val="99"/>
          <w:sz w:val="28"/>
          <w:szCs w:val="28"/>
        </w:rPr>
        <w:t>10010</w:t>
      </w:r>
      <w:r>
        <w:rPr>
          <w:rFonts w:ascii="华文行楷" w:hAnsi="华文行楷" w:cs="华文行楷" w:eastAsia="华文行楷" w:hint="default"/>
          <w:i/>
          <w:spacing w:val="7"/>
          <w:w w:val="99"/>
          <w:sz w:val="28"/>
          <w:szCs w:val="28"/>
        </w:rPr>
        <w:t> </w:t>
      </w:r>
      <w:r>
        <w:rPr>
          <w:rFonts w:ascii="华文行楷" w:hAnsi="华文行楷" w:cs="华文行楷" w:eastAsia="华文行楷" w:hint="default"/>
          <w:i/>
          <w:spacing w:val="-2"/>
          <w:w w:val="99"/>
          <w:sz w:val="28"/>
          <w:szCs w:val="28"/>
        </w:rPr>
        <w:t>客服热线的根本理念。只有懂得这一理念，才会站在</w:t>
      </w:r>
      <w:r>
        <w:rPr>
          <w:rFonts w:ascii="华文行楷" w:hAnsi="华文行楷" w:cs="华文行楷" w:eastAsia="华文行楷" w:hint="default"/>
          <w:i/>
          <w:spacing w:val="-66"/>
          <w:w w:val="99"/>
          <w:sz w:val="28"/>
          <w:szCs w:val="28"/>
        </w:rPr>
        <w:t> </w:t>
      </w:r>
      <w:r>
        <w:rPr>
          <w:rFonts w:ascii="华文行楷" w:hAnsi="华文行楷" w:cs="华文行楷" w:eastAsia="华文行楷" w:hint="default"/>
          <w:i/>
          <w:spacing w:val="-66"/>
          <w:w w:val="99"/>
          <w:sz w:val="28"/>
          <w:szCs w:val="28"/>
        </w:rPr>
      </w:r>
      <w:r>
        <w:rPr>
          <w:rFonts w:ascii="华文行楷" w:hAnsi="华文行楷" w:cs="华文行楷" w:eastAsia="华文行楷" w:hint="default"/>
          <w:i/>
          <w:spacing w:val="-4"/>
          <w:sz w:val="28"/>
          <w:szCs w:val="28"/>
        </w:rPr>
        <w:t>用户的角度换位思考，体验用户的感知，满足用户的需求，赢得用户</w:t>
      </w:r>
      <w:r>
        <w:rPr>
          <w:rFonts w:ascii="华文行楷" w:hAnsi="华文行楷" w:cs="华文行楷" w:eastAsia="华文行楷" w:hint="default"/>
          <w:i/>
          <w:spacing w:val="-57"/>
          <w:sz w:val="28"/>
          <w:szCs w:val="28"/>
        </w:rPr>
        <w:t> </w:t>
      </w:r>
      <w:r>
        <w:rPr>
          <w:rFonts w:ascii="华文行楷" w:hAnsi="华文行楷" w:cs="华文行楷" w:eastAsia="华文行楷" w:hint="default"/>
          <w:i/>
          <w:spacing w:val="-57"/>
          <w:sz w:val="28"/>
          <w:szCs w:val="28"/>
        </w:rPr>
      </w:r>
      <w:r>
        <w:rPr>
          <w:rFonts w:ascii="华文行楷" w:hAnsi="华文行楷" w:cs="华文行楷" w:eastAsia="华文行楷" w:hint="default"/>
          <w:i/>
          <w:sz w:val="28"/>
          <w:szCs w:val="28"/>
        </w:rPr>
        <w:t>的信任，走出一条让用户满意、赢得用户信任的道路。</w:t>
      </w:r>
      <w:r>
        <w:rPr>
          <w:rFonts w:ascii="华文行楷" w:hAnsi="华文行楷" w:cs="华文行楷" w:eastAsia="华文行楷" w:hint="default"/>
          <w:sz w:val="28"/>
          <w:szCs w:val="28"/>
        </w:rPr>
      </w:r>
    </w:p>
    <w:p>
      <w:pPr>
        <w:spacing w:line="240" w:lineRule="auto" w:before="0"/>
        <w:rPr>
          <w:rFonts w:ascii="华文行楷" w:hAnsi="华文行楷" w:cs="华文行楷" w:eastAsia="华文行楷" w:hint="default"/>
          <w:i/>
          <w:sz w:val="20"/>
          <w:szCs w:val="20"/>
        </w:rPr>
      </w:pPr>
    </w:p>
    <w:p>
      <w:pPr>
        <w:spacing w:line="240" w:lineRule="auto" w:before="0"/>
        <w:rPr>
          <w:rFonts w:ascii="华文行楷" w:hAnsi="华文行楷" w:cs="华文行楷" w:eastAsia="华文行楷" w:hint="default"/>
          <w:i/>
          <w:sz w:val="20"/>
          <w:szCs w:val="20"/>
        </w:rPr>
      </w:pPr>
    </w:p>
    <w:p>
      <w:pPr>
        <w:spacing w:line="240" w:lineRule="auto" w:before="10"/>
        <w:rPr>
          <w:rFonts w:ascii="华文行楷" w:hAnsi="华文行楷" w:cs="华文行楷" w:eastAsia="华文行楷" w:hint="default"/>
          <w:i/>
          <w:sz w:val="11"/>
          <w:szCs w:val="11"/>
        </w:rPr>
      </w:pPr>
    </w:p>
    <w:p>
      <w:pPr>
        <w:spacing w:line="3225" w:lineRule="exact"/>
        <w:ind w:left="1848" w:right="0" w:firstLine="0"/>
        <w:rPr>
          <w:rFonts w:ascii="华文行楷" w:hAnsi="华文行楷" w:cs="华文行楷" w:eastAsia="华文行楷" w:hint="default"/>
          <w:sz w:val="20"/>
          <w:szCs w:val="20"/>
        </w:rPr>
      </w:pPr>
      <w:r>
        <w:rPr>
          <w:rFonts w:ascii="华文行楷" w:hAnsi="华文行楷" w:cs="华文行楷" w:eastAsia="华文行楷" w:hint="default"/>
          <w:position w:val="-64"/>
          <w:sz w:val="20"/>
          <w:szCs w:val="20"/>
        </w:rPr>
        <w:drawing>
          <wp:inline distT="0" distB="0" distL="0" distR="0">
            <wp:extent cx="3080531" cy="2048351"/>
            <wp:effectExtent l="0" t="0" r="0" b="0"/>
            <wp:docPr id="31" name="image26.jpeg" descr=""/>
            <wp:cNvGraphicFramePr>
              <a:graphicFrameLocks noChangeAspect="1"/>
            </wp:cNvGraphicFramePr>
            <a:graphic>
              <a:graphicData uri="http://schemas.openxmlformats.org/drawingml/2006/picture">
                <pic:pic>
                  <pic:nvPicPr>
                    <pic:cNvPr id="32" name="image26.jpeg"/>
                    <pic:cNvPicPr/>
                  </pic:nvPicPr>
                  <pic:blipFill>
                    <a:blip r:embed="rId270" cstate="print"/>
                    <a:stretch>
                      <a:fillRect/>
                    </a:stretch>
                  </pic:blipFill>
                  <pic:spPr>
                    <a:xfrm>
                      <a:off x="0" y="0"/>
                      <a:ext cx="3080531" cy="2048351"/>
                    </a:xfrm>
                    <a:prstGeom prst="rect">
                      <a:avLst/>
                    </a:prstGeom>
                  </pic:spPr>
                </pic:pic>
              </a:graphicData>
            </a:graphic>
          </wp:inline>
        </w:drawing>
      </w:r>
      <w:r>
        <w:rPr>
          <w:rFonts w:ascii="华文行楷" w:hAnsi="华文行楷" w:cs="华文行楷" w:eastAsia="华文行楷" w:hint="default"/>
          <w:position w:val="-64"/>
          <w:sz w:val="20"/>
          <w:szCs w:val="20"/>
        </w:rPr>
      </w:r>
    </w:p>
    <w:p>
      <w:pPr>
        <w:spacing w:line="240" w:lineRule="auto" w:before="0"/>
        <w:rPr>
          <w:rFonts w:ascii="华文行楷" w:hAnsi="华文行楷" w:cs="华文行楷" w:eastAsia="华文行楷" w:hint="default"/>
          <w:i/>
          <w:sz w:val="20"/>
          <w:szCs w:val="20"/>
        </w:rPr>
      </w:pPr>
    </w:p>
    <w:p>
      <w:pPr>
        <w:spacing w:line="240" w:lineRule="auto" w:before="0"/>
        <w:rPr>
          <w:rFonts w:ascii="华文行楷" w:hAnsi="华文行楷" w:cs="华文行楷" w:eastAsia="华文行楷" w:hint="default"/>
          <w:i/>
          <w:sz w:val="20"/>
          <w:szCs w:val="20"/>
        </w:rPr>
      </w:pPr>
    </w:p>
    <w:p>
      <w:pPr>
        <w:spacing w:line="240" w:lineRule="auto" w:before="1"/>
        <w:rPr>
          <w:rFonts w:ascii="华文行楷" w:hAnsi="华文行楷" w:cs="华文行楷" w:eastAsia="华文行楷" w:hint="default"/>
          <w:i/>
          <w:sz w:val="18"/>
          <w:szCs w:val="18"/>
        </w:rPr>
      </w:pPr>
    </w:p>
    <w:p>
      <w:pPr>
        <w:spacing w:line="408" w:lineRule="auto" w:before="13"/>
        <w:ind w:left="1612" w:right="1190" w:hanging="280"/>
        <w:jc w:val="both"/>
        <w:rPr>
          <w:rFonts w:ascii="宋体" w:hAnsi="宋体" w:cs="宋体" w:eastAsia="宋体" w:hint="default"/>
          <w:sz w:val="28"/>
          <w:szCs w:val="28"/>
        </w:rPr>
      </w:pPr>
      <w:r>
        <w:rPr>
          <w:rFonts w:ascii="宋体" w:hAnsi="宋体" w:cs="宋体" w:eastAsia="宋体" w:hint="default"/>
          <w:sz w:val="28"/>
          <w:szCs w:val="28"/>
        </w:rPr>
        <w:t>“感谢员工，谢谢他们为公司的发展尽心尽力；</w:t>
      </w:r>
      <w:r>
        <w:rPr>
          <w:rFonts w:ascii="宋体" w:hAnsi="宋体" w:cs="宋体" w:eastAsia="宋体" w:hint="default"/>
          <w:w w:val="99"/>
          <w:sz w:val="28"/>
          <w:szCs w:val="28"/>
        </w:rPr>
        <w:t> </w:t>
      </w:r>
      <w:r>
        <w:rPr>
          <w:rFonts w:ascii="宋体" w:hAnsi="宋体" w:cs="宋体" w:eastAsia="宋体" w:hint="default"/>
          <w:sz w:val="28"/>
          <w:szCs w:val="28"/>
        </w:rPr>
        <w:t>感谢用户，谢谢他们使用联通的产品和服务；</w:t>
      </w:r>
      <w:r>
        <w:rPr>
          <w:rFonts w:ascii="宋体" w:hAnsi="宋体" w:cs="宋体" w:eastAsia="宋体" w:hint="default"/>
          <w:w w:val="99"/>
          <w:sz w:val="28"/>
          <w:szCs w:val="28"/>
        </w:rPr>
        <w:t> </w:t>
      </w:r>
      <w:r>
        <w:rPr>
          <w:rFonts w:ascii="宋体" w:hAnsi="宋体" w:cs="宋体" w:eastAsia="宋体" w:hint="default"/>
          <w:spacing w:val="-7"/>
          <w:w w:val="99"/>
          <w:sz w:val="28"/>
          <w:szCs w:val="28"/>
        </w:rPr>
        <w:t>感谢公司，为我们提供实现自身价值的平台。”</w:t>
      </w:r>
      <w:r>
        <w:rPr>
          <w:rFonts w:ascii="宋体" w:hAnsi="宋体" w:cs="宋体" w:eastAsia="宋体" w:hint="default"/>
          <w:spacing w:val="-7"/>
          <w:sz w:val="28"/>
          <w:szCs w:val="28"/>
        </w:rPr>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before="0"/>
        <w:ind w:left="680" w:right="0" w:firstLine="0"/>
        <w:jc w:val="left"/>
        <w:rPr>
          <w:rFonts w:ascii="宋体" w:hAnsi="宋体" w:cs="宋体" w:eastAsia="宋体" w:hint="default"/>
          <w:sz w:val="28"/>
          <w:szCs w:val="28"/>
        </w:rPr>
      </w:pPr>
      <w:r>
        <w:rPr>
          <w:rFonts w:ascii="宋体" w:hAnsi="宋体" w:cs="宋体" w:eastAsia="宋体" w:hint="default"/>
          <w:spacing w:val="-4"/>
          <w:sz w:val="28"/>
          <w:szCs w:val="28"/>
        </w:rPr>
        <w:t>只有满意的员工，才能带来满意的客户。企业要蓬勃发展，用户</w:t>
      </w:r>
    </w:p>
    <w:p>
      <w:pPr>
        <w:spacing w:after="0"/>
        <w:jc w:val="left"/>
        <w:rPr>
          <w:rFonts w:ascii="宋体" w:hAnsi="宋体" w:cs="宋体" w:eastAsia="宋体" w:hint="default"/>
          <w:sz w:val="28"/>
          <w:szCs w:val="28"/>
        </w:rPr>
        <w:sectPr>
          <w:headerReference w:type="default" r:id="rId268"/>
          <w:footerReference w:type="default" r:id="rId269"/>
          <w:pgSz w:w="11910" w:h="16840"/>
          <w:pgMar w:header="0" w:footer="982" w:top="1600" w:bottom="1180" w:left="1680" w:right="1680"/>
          <w:pgNumType w:start="43"/>
        </w:sectPr>
      </w:pPr>
    </w:p>
    <w:p>
      <w:pPr>
        <w:spacing w:line="351" w:lineRule="exact" w:before="0"/>
        <w:ind w:left="120" w:right="152" w:firstLine="0"/>
        <w:jc w:val="left"/>
        <w:rPr>
          <w:rFonts w:ascii="宋体" w:hAnsi="宋体" w:cs="宋体" w:eastAsia="宋体" w:hint="default"/>
          <w:sz w:val="28"/>
          <w:szCs w:val="28"/>
        </w:rPr>
      </w:pPr>
      <w:r>
        <w:rPr>
          <w:rFonts w:ascii="宋体" w:hAnsi="宋体" w:cs="宋体" w:eastAsia="宋体" w:hint="default"/>
          <w:sz w:val="28"/>
          <w:szCs w:val="28"/>
        </w:rPr>
        <w:t>能倾情守候、不离不弃，归根到底在于每位员工力量的激发。10010</w:t>
      </w:r>
    </w:p>
    <w:p>
      <w:pPr>
        <w:spacing w:line="240" w:lineRule="auto" w:before="9"/>
        <w:rPr>
          <w:rFonts w:ascii="宋体" w:hAnsi="宋体" w:cs="宋体" w:eastAsia="宋体" w:hint="default"/>
          <w:sz w:val="19"/>
          <w:szCs w:val="19"/>
        </w:rPr>
      </w:pPr>
    </w:p>
    <w:p>
      <w:pPr>
        <w:spacing w:line="408" w:lineRule="auto" w:before="0"/>
        <w:ind w:left="120" w:right="152" w:firstLine="0"/>
        <w:jc w:val="left"/>
        <w:rPr>
          <w:rFonts w:ascii="宋体" w:hAnsi="宋体" w:cs="宋体" w:eastAsia="宋体" w:hint="default"/>
          <w:sz w:val="28"/>
          <w:szCs w:val="28"/>
        </w:rPr>
      </w:pPr>
      <w:r>
        <w:rPr>
          <w:rFonts w:ascii="宋体" w:hAnsi="宋体" w:cs="宋体" w:eastAsia="宋体" w:hint="default"/>
          <w:spacing w:val="-4"/>
          <w:sz w:val="28"/>
          <w:szCs w:val="28"/>
        </w:rPr>
        <w:t>热线属于劳动密集型的部门，客服代表每天的工作，付出最大的劳动</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8"/>
          <w:sz w:val="28"/>
          <w:szCs w:val="28"/>
        </w:rPr>
        <w:t>不是体力上的，也不是智力上的，而是情绪上的。面对这样一支队伍，</w:t>
      </w:r>
      <w:r>
        <w:rPr>
          <w:rFonts w:ascii="宋体" w:hAnsi="宋体" w:cs="宋体" w:eastAsia="宋体" w:hint="default"/>
          <w:spacing w:val="-137"/>
          <w:sz w:val="28"/>
          <w:szCs w:val="28"/>
        </w:rPr>
        <w:t> </w:t>
      </w:r>
      <w:r>
        <w:rPr>
          <w:rFonts w:ascii="宋体" w:hAnsi="宋体" w:cs="宋体" w:eastAsia="宋体" w:hint="default"/>
          <w:spacing w:val="-137"/>
          <w:sz w:val="28"/>
          <w:szCs w:val="28"/>
        </w:rPr>
      </w:r>
      <w:r>
        <w:rPr>
          <w:rFonts w:ascii="宋体" w:hAnsi="宋体" w:cs="宋体" w:eastAsia="宋体" w:hint="default"/>
          <w:sz w:val="28"/>
          <w:szCs w:val="28"/>
        </w:rPr>
        <w:t>客服呼叫中心管理层始终秉承“情智结合、以人为本”的管理方式，</w:t>
      </w:r>
      <w:r>
        <w:rPr>
          <w:rFonts w:ascii="宋体" w:hAnsi="宋体" w:cs="宋体" w:eastAsia="宋体" w:hint="default"/>
          <w:w w:val="99"/>
          <w:sz w:val="28"/>
          <w:szCs w:val="28"/>
        </w:rPr>
        <w:t> </w:t>
      </w:r>
      <w:r>
        <w:rPr>
          <w:rFonts w:ascii="宋体" w:hAnsi="宋体" w:cs="宋体" w:eastAsia="宋体" w:hint="default"/>
          <w:sz w:val="28"/>
          <w:szCs w:val="28"/>
        </w:rPr>
        <w:t>要求基层管理人员用引导、关爱、尊重去对待员工，要常怀感恩心，</w:t>
      </w:r>
      <w:r>
        <w:rPr>
          <w:rFonts w:ascii="宋体" w:hAnsi="宋体" w:cs="宋体" w:eastAsia="宋体" w:hint="default"/>
          <w:w w:val="99"/>
          <w:sz w:val="28"/>
          <w:szCs w:val="28"/>
        </w:rPr>
        <w:t> </w:t>
      </w:r>
      <w:r>
        <w:rPr>
          <w:rFonts w:ascii="宋体" w:hAnsi="宋体" w:cs="宋体" w:eastAsia="宋体" w:hint="default"/>
          <w:spacing w:val="-4"/>
          <w:sz w:val="28"/>
          <w:szCs w:val="28"/>
        </w:rPr>
        <w:t>常做细心事，让客服代表带着快乐的、积极的心态迎接每一次电话服</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务。</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spacing w:line="1653" w:lineRule="exact"/>
        <w:ind w:left="132" w:right="0" w:firstLine="0"/>
        <w:rPr>
          <w:rFonts w:ascii="宋体" w:hAnsi="宋体" w:cs="宋体" w:eastAsia="宋体" w:hint="default"/>
          <w:sz w:val="20"/>
          <w:szCs w:val="20"/>
        </w:rPr>
      </w:pPr>
      <w:r>
        <w:rPr>
          <w:rFonts w:ascii="宋体" w:hAnsi="宋体" w:cs="宋体" w:eastAsia="宋体" w:hint="default"/>
          <w:position w:val="-32"/>
          <w:sz w:val="20"/>
          <w:szCs w:val="20"/>
        </w:rPr>
        <w:pict>
          <v:shape style="width:423.75pt;height:82.65pt;mso-position-horizontal-relative:char;mso-position-vertical-relative:line" type="#_x0000_t202" filled="true" fillcolor="#ffcccc" stroked="false">
            <w10:anchorlock/>
            <v:textbox inset="0,0,0,0">
              <w:txbxContent>
                <w:p>
                  <w:pPr>
                    <w:spacing w:line="357" w:lineRule="auto" w:before="128"/>
                    <w:ind w:left="158" w:right="151" w:firstLine="0"/>
                    <w:jc w:val="both"/>
                    <w:rPr>
                      <w:rFonts w:ascii="宋体" w:hAnsi="宋体" w:cs="宋体" w:eastAsia="宋体" w:hint="default"/>
                      <w:sz w:val="24"/>
                      <w:szCs w:val="24"/>
                    </w:rPr>
                  </w:pPr>
                  <w:r>
                    <w:rPr>
                      <w:rFonts w:ascii="宋体" w:hAnsi="宋体" w:cs="宋体" w:eastAsia="宋体" w:hint="default"/>
                      <w:sz w:val="24"/>
                      <w:szCs w:val="24"/>
                    </w:rPr>
                    <w:t>◆10010 客服热线“妈妈班”传统。因为</w:t>
                  </w:r>
                  <w:r>
                    <w:rPr>
                      <w:rFonts w:ascii="宋体" w:hAnsi="宋体" w:cs="宋体" w:eastAsia="宋体" w:hint="default"/>
                      <w:spacing w:val="-4"/>
                      <w:sz w:val="24"/>
                      <w:szCs w:val="24"/>
                    </w:rPr>
                    <w:t> </w:t>
                  </w:r>
                  <w:r>
                    <w:rPr>
                      <w:rFonts w:ascii="宋体" w:hAnsi="宋体" w:cs="宋体" w:eastAsia="宋体" w:hint="default"/>
                      <w:sz w:val="24"/>
                      <w:szCs w:val="24"/>
                    </w:rPr>
                    <w:t>70%客服代表均为年轻女性，为帮助</w:t>
                  </w:r>
                  <w:r>
                    <w:rPr>
                      <w:rFonts w:ascii="宋体" w:hAnsi="宋体" w:cs="宋体" w:eastAsia="宋体" w:hint="default"/>
                      <w:sz w:val="24"/>
                      <w:szCs w:val="24"/>
                    </w:rPr>
                    <w:t> </w:t>
                  </w:r>
                  <w:r>
                    <w:rPr>
                      <w:rFonts w:ascii="宋体" w:hAnsi="宋体" w:cs="宋体" w:eastAsia="宋体" w:hint="default"/>
                      <w:spacing w:val="-1"/>
                      <w:sz w:val="24"/>
                      <w:szCs w:val="24"/>
                    </w:rPr>
                    <w:t>怀孕的准妈妈们更好地适应工作，他们特别组建“妈妈班”，为其合理安排班</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务、增加午休时间、点滴关爱可谓细微入怀。</w:t>
                  </w:r>
                </w:p>
              </w:txbxContent>
            </v:textbox>
            <v:fill type="solid"/>
          </v:shape>
        </w:pict>
      </w:r>
      <w:r>
        <w:rPr>
          <w:rFonts w:ascii="宋体" w:hAnsi="宋体" w:cs="宋体" w:eastAsia="宋体" w:hint="default"/>
          <w:position w:val="-32"/>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spacing w:line="2043" w:lineRule="exact"/>
        <w:ind w:left="112" w:right="0" w:firstLine="0"/>
        <w:rPr>
          <w:rFonts w:ascii="宋体" w:hAnsi="宋体" w:cs="宋体" w:eastAsia="宋体" w:hint="default"/>
          <w:sz w:val="20"/>
          <w:szCs w:val="20"/>
        </w:rPr>
      </w:pPr>
      <w:r>
        <w:rPr>
          <w:rFonts w:ascii="宋体" w:hAnsi="宋体" w:cs="宋体" w:eastAsia="宋体" w:hint="default"/>
          <w:position w:val="-40"/>
          <w:sz w:val="20"/>
          <w:szCs w:val="20"/>
        </w:rPr>
        <w:pict>
          <v:shape style="width:423.75pt;height:102.15pt;mso-position-horizontal-relative:char;mso-position-vertical-relative:line" type="#_x0000_t202" filled="true" fillcolor="#ffcccc" stroked="false">
            <w10:anchorlock/>
            <v:textbox inset="0,0,0,0">
              <w:txbxContent>
                <w:p>
                  <w:pPr>
                    <w:spacing w:line="357" w:lineRule="auto" w:before="128"/>
                    <w:ind w:left="159" w:right="155" w:firstLine="0"/>
                    <w:jc w:val="both"/>
                    <w:rPr>
                      <w:rFonts w:ascii="宋体" w:hAnsi="宋体" w:cs="宋体" w:eastAsia="宋体" w:hint="default"/>
                      <w:sz w:val="24"/>
                      <w:szCs w:val="24"/>
                    </w:rPr>
                  </w:pPr>
                  <w:r>
                    <w:rPr>
                      <w:rFonts w:ascii="宋体" w:hAnsi="宋体" w:cs="宋体" w:eastAsia="宋体" w:hint="default"/>
                      <w:sz w:val="24"/>
                      <w:szCs w:val="24"/>
                    </w:rPr>
                    <w:t>◆10010</w:t>
                  </w:r>
                  <w:r>
                    <w:rPr>
                      <w:rFonts w:ascii="宋体" w:hAnsi="宋体" w:cs="宋体" w:eastAsia="宋体" w:hint="default"/>
                      <w:spacing w:val="-4"/>
                      <w:sz w:val="24"/>
                      <w:szCs w:val="24"/>
                    </w:rPr>
                    <w:t> </w:t>
                  </w:r>
                  <w:r>
                    <w:rPr>
                      <w:rFonts w:ascii="宋体" w:hAnsi="宋体" w:cs="宋体" w:eastAsia="宋体" w:hint="default"/>
                      <w:sz w:val="24"/>
                      <w:szCs w:val="24"/>
                    </w:rPr>
                    <w:t>客服热线“优秀客服代表家访”活动，更体现热线管理层对员工及员</w:t>
                  </w:r>
                  <w:r>
                    <w:rPr>
                      <w:rFonts w:ascii="宋体" w:hAnsi="宋体" w:cs="宋体" w:eastAsia="宋体" w:hint="default"/>
                      <w:sz w:val="24"/>
                      <w:szCs w:val="24"/>
                    </w:rPr>
                    <w:t> </w:t>
                  </w:r>
                  <w:r>
                    <w:rPr>
                      <w:rFonts w:ascii="宋体" w:hAnsi="宋体" w:cs="宋体" w:eastAsia="宋体" w:hint="default"/>
                      <w:spacing w:val="-1"/>
                      <w:sz w:val="24"/>
                      <w:szCs w:val="24"/>
                    </w:rPr>
                    <w:t>工家属的一片关怀和感恩。通过家访互动，那些优秀和骨干客服代表们都倍受</w:t>
                  </w:r>
                  <w:r>
                    <w:rPr>
                      <w:rFonts w:ascii="宋体" w:hAnsi="宋体" w:cs="宋体" w:eastAsia="宋体" w:hint="default"/>
                      <w:spacing w:val="-1"/>
                      <w:sz w:val="24"/>
                      <w:szCs w:val="24"/>
                    </w:rPr>
                    <w:t> 鼓励，家属的支持和企业的关爱，让他们把这种积极的情绪带到工作当中，成 </w:t>
                  </w:r>
                  <w:r>
                    <w:rPr>
                      <w:rFonts w:ascii="宋体" w:hAnsi="宋体" w:cs="宋体" w:eastAsia="宋体" w:hint="default"/>
                      <w:spacing w:val="-8"/>
                      <w:sz w:val="24"/>
                      <w:szCs w:val="24"/>
                    </w:rPr>
                    <w:t>为“发光源”，带动团队共同进步。</w:t>
                  </w:r>
                </w:p>
              </w:txbxContent>
            </v:textbox>
            <v:fill type="solid"/>
          </v:shape>
        </w:pict>
      </w:r>
      <w:r>
        <w:rPr>
          <w:rFonts w:ascii="宋体" w:hAnsi="宋体" w:cs="宋体" w:eastAsia="宋体" w:hint="default"/>
          <w:position w:val="-40"/>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0"/>
          <w:szCs w:val="10"/>
        </w:rPr>
      </w:pPr>
    </w:p>
    <w:p>
      <w:pPr>
        <w:spacing w:line="2583" w:lineRule="exact"/>
        <w:ind w:left="112" w:right="0" w:firstLine="0"/>
        <w:rPr>
          <w:rFonts w:ascii="宋体" w:hAnsi="宋体" w:cs="宋体" w:eastAsia="宋体" w:hint="default"/>
          <w:sz w:val="20"/>
          <w:szCs w:val="20"/>
        </w:rPr>
      </w:pPr>
      <w:r>
        <w:rPr>
          <w:rFonts w:ascii="宋体" w:hAnsi="宋体" w:cs="宋体" w:eastAsia="宋体" w:hint="default"/>
          <w:position w:val="-51"/>
          <w:sz w:val="20"/>
          <w:szCs w:val="20"/>
        </w:rPr>
        <w:pict>
          <v:shape style="width:423.75pt;height:129.15pt;mso-position-horizontal-relative:char;mso-position-vertical-relative:line" type="#_x0000_t202" filled="true" fillcolor="#ffcccc" stroked="false">
            <w10:anchorlock/>
            <v:textbox inset="0,0,0,0">
              <w:txbxContent>
                <w:p>
                  <w:pPr>
                    <w:spacing w:line="357" w:lineRule="auto" w:before="128"/>
                    <w:ind w:left="159" w:right="35" w:firstLine="0"/>
                    <w:jc w:val="left"/>
                    <w:rPr>
                      <w:rFonts w:ascii="宋体" w:hAnsi="宋体" w:cs="宋体" w:eastAsia="宋体" w:hint="default"/>
                      <w:sz w:val="24"/>
                      <w:szCs w:val="24"/>
                    </w:rPr>
                  </w:pPr>
                  <w:r>
                    <w:rPr>
                      <w:rFonts w:ascii="宋体" w:hAnsi="宋体" w:cs="宋体" w:eastAsia="宋体" w:hint="default"/>
                      <w:sz w:val="24"/>
                      <w:szCs w:val="24"/>
                    </w:rPr>
                    <w:t>◆10010</w:t>
                  </w:r>
                  <w:r>
                    <w:rPr>
                      <w:rFonts w:ascii="宋体" w:hAnsi="宋体" w:cs="宋体" w:eastAsia="宋体" w:hint="default"/>
                      <w:spacing w:val="-55"/>
                      <w:sz w:val="24"/>
                      <w:szCs w:val="24"/>
                    </w:rPr>
                    <w:t> </w:t>
                  </w:r>
                  <w:r>
                    <w:rPr>
                      <w:rFonts w:ascii="宋体" w:hAnsi="宋体" w:cs="宋体" w:eastAsia="宋体" w:hint="default"/>
                      <w:sz w:val="24"/>
                      <w:szCs w:val="24"/>
                    </w:rPr>
                    <w:t>热线</w:t>
                  </w:r>
                  <w:r>
                    <w:rPr>
                      <w:rFonts w:ascii="宋体" w:hAnsi="宋体" w:cs="宋体" w:eastAsia="宋体" w:hint="default"/>
                      <w:spacing w:val="-55"/>
                      <w:sz w:val="24"/>
                      <w:szCs w:val="24"/>
                    </w:rPr>
                    <w:t> </w:t>
                  </w:r>
                  <w:r>
                    <w:rPr>
                      <w:rFonts w:ascii="宋体" w:hAnsi="宋体" w:cs="宋体" w:eastAsia="宋体" w:hint="default"/>
                      <w:sz w:val="24"/>
                      <w:szCs w:val="24"/>
                    </w:rPr>
                    <w:t>BSS</w:t>
                  </w:r>
                  <w:r>
                    <w:rPr>
                      <w:rFonts w:ascii="宋体" w:hAnsi="宋体" w:cs="宋体" w:eastAsia="宋体" w:hint="default"/>
                      <w:spacing w:val="-55"/>
                      <w:sz w:val="24"/>
                      <w:szCs w:val="24"/>
                    </w:rPr>
                    <w:t> </w:t>
                  </w:r>
                  <w:r>
                    <w:rPr>
                      <w:rFonts w:ascii="宋体" w:hAnsi="宋体" w:cs="宋体" w:eastAsia="宋体" w:hint="default"/>
                      <w:spacing w:val="-3"/>
                      <w:sz w:val="24"/>
                      <w:szCs w:val="24"/>
                    </w:rPr>
                    <w:t>系统割接期间，用户情绪很激动，客服代表的压力可想而知。</w:t>
                  </w:r>
                  <w:r>
                    <w:rPr>
                      <w:rFonts w:ascii="宋体" w:hAnsi="宋体" w:cs="宋体" w:eastAsia="宋体" w:hint="default"/>
                      <w:sz w:val="24"/>
                      <w:szCs w:val="24"/>
                    </w:rPr>
                    <w:t> 领导与员工共进退，为夜间值班的一线员工发放面包、润喉糖，其中夹带给员</w:t>
                  </w:r>
                  <w:r>
                    <w:rPr>
                      <w:rFonts w:ascii="宋体" w:hAnsi="宋体" w:cs="宋体" w:eastAsia="宋体" w:hint="default"/>
                      <w:spacing w:val="-1"/>
                      <w:sz w:val="24"/>
                      <w:szCs w:val="24"/>
                    </w:rPr>
                    <w:t> </w:t>
                  </w:r>
                  <w:r>
                    <w:rPr>
                      <w:rFonts w:ascii="宋体" w:hAnsi="宋体" w:cs="宋体" w:eastAsia="宋体" w:hint="default"/>
                      <w:sz w:val="24"/>
                      <w:szCs w:val="24"/>
                    </w:rPr>
                    <w:t>工的慰问字条，写着“在这样特殊的夜晚，我们能感受到你承受的压力。但我</w:t>
                  </w:r>
                  <w:r>
                    <w:rPr>
                      <w:rFonts w:ascii="宋体" w:hAnsi="宋体" w:cs="宋体" w:eastAsia="宋体" w:hint="default"/>
                      <w:spacing w:val="-1"/>
                      <w:sz w:val="24"/>
                      <w:szCs w:val="24"/>
                    </w:rPr>
                    <w:t> </w:t>
                  </w:r>
                  <w:r>
                    <w:rPr>
                      <w:rFonts w:ascii="宋体" w:hAnsi="宋体" w:cs="宋体" w:eastAsia="宋体" w:hint="default"/>
                      <w:sz w:val="24"/>
                      <w:szCs w:val="24"/>
                    </w:rPr>
                    <w:t>们就在你的身边，给你支持，给你鼓励，愿你放松心情、微笑服务”，给员工</w:t>
                  </w:r>
                  <w:r>
                    <w:rPr>
                      <w:rFonts w:ascii="宋体" w:hAnsi="宋体" w:cs="宋体" w:eastAsia="宋体" w:hint="default"/>
                      <w:spacing w:val="-105"/>
                      <w:sz w:val="24"/>
                      <w:szCs w:val="24"/>
                    </w:rPr>
                    <w:t> </w:t>
                  </w:r>
                  <w:r>
                    <w:rPr>
                      <w:rFonts w:ascii="宋体" w:hAnsi="宋体" w:cs="宋体" w:eastAsia="宋体" w:hint="default"/>
                      <w:spacing w:val="-105"/>
                      <w:sz w:val="24"/>
                      <w:szCs w:val="24"/>
                    </w:rPr>
                  </w:r>
                  <w:r>
                    <w:rPr>
                      <w:rFonts w:ascii="宋体" w:hAnsi="宋体" w:cs="宋体" w:eastAsia="宋体" w:hint="default"/>
                      <w:sz w:val="24"/>
                      <w:szCs w:val="24"/>
                    </w:rPr>
                    <w:t>带去莫大安慰。</w:t>
                  </w:r>
                </w:p>
              </w:txbxContent>
            </v:textbox>
            <v:fill type="solid"/>
          </v:shape>
        </w:pict>
      </w:r>
      <w:r>
        <w:rPr>
          <w:rFonts w:ascii="宋体" w:hAnsi="宋体" w:cs="宋体" w:eastAsia="宋体" w:hint="default"/>
          <w:position w:val="-51"/>
          <w:sz w:val="20"/>
          <w:szCs w:val="20"/>
        </w:rPr>
      </w:r>
    </w:p>
    <w:p>
      <w:pPr>
        <w:spacing w:after="0" w:line="2583" w:lineRule="exact"/>
        <w:rPr>
          <w:rFonts w:ascii="宋体" w:hAnsi="宋体" w:cs="宋体" w:eastAsia="宋体" w:hint="default"/>
          <w:sz w:val="20"/>
          <w:szCs w:val="20"/>
        </w:rPr>
        <w:sectPr>
          <w:headerReference w:type="default" r:id="rId271"/>
          <w:footerReference w:type="default" r:id="rId272"/>
          <w:pgSz w:w="11910" w:h="16840"/>
          <w:pgMar w:header="0" w:footer="982" w:top="1540" w:bottom="1180" w:left="1680" w:right="1500"/>
          <w:pgNumType w:start="44"/>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pStyle w:val="Heading7"/>
        <w:spacing w:line="408" w:lineRule="auto" w:before="13"/>
        <w:ind w:right="84" w:firstLine="560"/>
        <w:jc w:val="left"/>
      </w:pPr>
      <w:r>
        <w:rPr>
          <w:spacing w:val="-4"/>
        </w:rPr>
        <w:t>爱心，能促使人与人之间温情的互动。团队建设之花必将开出丰</w:t>
      </w:r>
      <w:r>
        <w:rPr>
          <w:w w:val="99"/>
        </w:rPr>
        <w:t> </w:t>
      </w:r>
      <w:r>
        <w:rPr/>
        <w:t>硕之果。在最近一次客服代表满意度调研中，对“文化氛围亲和度”</w:t>
      </w:r>
      <w:r>
        <w:rPr>
          <w:w w:val="99"/>
        </w:rPr>
        <w:t> </w:t>
      </w:r>
      <w:r>
        <w:rPr/>
        <w:t>这一项认可很高，满意度高达</w:t>
      </w:r>
      <w:r>
        <w:rPr>
          <w:spacing w:val="-77"/>
        </w:rPr>
        <w:t> </w:t>
      </w:r>
      <w:r>
        <w:rPr/>
        <w:t>85.64%。</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spacing w:line="3487" w:lineRule="exact"/>
        <w:ind w:left="1933" w:right="0" w:firstLine="0"/>
        <w:rPr>
          <w:rFonts w:ascii="宋体" w:hAnsi="宋体" w:cs="宋体" w:eastAsia="宋体" w:hint="default"/>
          <w:sz w:val="20"/>
          <w:szCs w:val="20"/>
        </w:rPr>
      </w:pPr>
      <w:r>
        <w:rPr>
          <w:rFonts w:ascii="宋体" w:hAnsi="宋体" w:cs="宋体" w:eastAsia="宋体" w:hint="default"/>
          <w:position w:val="-69"/>
          <w:sz w:val="20"/>
          <w:szCs w:val="20"/>
        </w:rPr>
        <w:drawing>
          <wp:inline distT="0" distB="0" distL="0" distR="0">
            <wp:extent cx="2952750" cy="2214562"/>
            <wp:effectExtent l="0" t="0" r="0" b="0"/>
            <wp:docPr id="33" name="image27.jpeg" descr=""/>
            <wp:cNvGraphicFramePr>
              <a:graphicFrameLocks noChangeAspect="1"/>
            </wp:cNvGraphicFramePr>
            <a:graphic>
              <a:graphicData uri="http://schemas.openxmlformats.org/drawingml/2006/picture">
                <pic:pic>
                  <pic:nvPicPr>
                    <pic:cNvPr id="34" name="image27.jpeg"/>
                    <pic:cNvPicPr/>
                  </pic:nvPicPr>
                  <pic:blipFill>
                    <a:blip r:embed="rId275" cstate="print"/>
                    <a:stretch>
                      <a:fillRect/>
                    </a:stretch>
                  </pic:blipFill>
                  <pic:spPr>
                    <a:xfrm>
                      <a:off x="0" y="0"/>
                      <a:ext cx="2952750" cy="2214562"/>
                    </a:xfrm>
                    <a:prstGeom prst="rect">
                      <a:avLst/>
                    </a:prstGeom>
                  </pic:spPr>
                </pic:pic>
              </a:graphicData>
            </a:graphic>
          </wp:inline>
        </w:drawing>
      </w:r>
      <w:r>
        <w:rPr>
          <w:rFonts w:ascii="宋体" w:hAnsi="宋体" w:cs="宋体" w:eastAsia="宋体" w:hint="default"/>
          <w:position w:val="-69"/>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line="408" w:lineRule="auto" w:before="13"/>
        <w:ind w:left="120" w:right="193" w:firstLine="560"/>
        <w:jc w:val="both"/>
        <w:rPr>
          <w:rFonts w:ascii="宋体" w:hAnsi="宋体" w:cs="宋体" w:eastAsia="宋体" w:hint="default"/>
          <w:sz w:val="28"/>
          <w:szCs w:val="28"/>
        </w:rPr>
      </w:pPr>
      <w:r>
        <w:rPr>
          <w:rFonts w:ascii="宋体" w:hAnsi="宋体" w:cs="宋体" w:eastAsia="宋体" w:hint="default"/>
          <w:spacing w:val="-4"/>
          <w:sz w:val="28"/>
          <w:szCs w:val="28"/>
        </w:rPr>
        <w:t>用户是企业成长壮大的力量源泉，关爱用户，就是关爱中国联通</w:t>
      </w:r>
      <w:r>
        <w:rPr>
          <w:rFonts w:ascii="宋体" w:hAnsi="宋体" w:cs="宋体" w:eastAsia="宋体" w:hint="default"/>
          <w:w w:val="99"/>
          <w:sz w:val="28"/>
          <w:szCs w:val="28"/>
        </w:rPr>
        <w:t> </w:t>
      </w:r>
      <w:r>
        <w:rPr>
          <w:rFonts w:ascii="宋体" w:hAnsi="宋体" w:cs="宋体" w:eastAsia="宋体" w:hint="default"/>
          <w:spacing w:val="-3"/>
          <w:w w:val="99"/>
          <w:sz w:val="28"/>
          <w:szCs w:val="28"/>
        </w:rPr>
        <w:t>的生命之源。把用户与企业之间的关系形象比喻成：“用户是太阳，</w:t>
      </w:r>
      <w:r>
        <w:rPr>
          <w:rFonts w:ascii="宋体" w:hAnsi="宋体" w:cs="宋体" w:eastAsia="宋体" w:hint="default"/>
          <w:spacing w:val="-136"/>
          <w:w w:val="99"/>
          <w:sz w:val="28"/>
          <w:szCs w:val="28"/>
        </w:rPr>
        <w:t> </w:t>
      </w:r>
      <w:r>
        <w:rPr>
          <w:rFonts w:ascii="宋体" w:hAnsi="宋体" w:cs="宋体" w:eastAsia="宋体" w:hint="default"/>
          <w:spacing w:val="-136"/>
          <w:w w:val="99"/>
          <w:sz w:val="28"/>
          <w:szCs w:val="28"/>
        </w:rPr>
      </w:r>
      <w:r>
        <w:rPr>
          <w:rFonts w:ascii="宋体" w:hAnsi="宋体" w:cs="宋体" w:eastAsia="宋体" w:hint="default"/>
          <w:w w:val="99"/>
          <w:sz w:val="28"/>
          <w:szCs w:val="28"/>
        </w:rPr>
        <w:t>10010</w:t>
      </w:r>
      <w:r>
        <w:rPr>
          <w:rFonts w:ascii="宋体" w:hAnsi="宋体" w:cs="宋体" w:eastAsia="宋体" w:hint="default"/>
          <w:spacing w:val="19"/>
          <w:w w:val="99"/>
          <w:sz w:val="28"/>
          <w:szCs w:val="28"/>
        </w:rPr>
        <w:t> </w:t>
      </w:r>
      <w:r>
        <w:rPr>
          <w:rFonts w:ascii="宋体" w:hAnsi="宋体" w:cs="宋体" w:eastAsia="宋体" w:hint="default"/>
          <w:spacing w:val="-4"/>
          <w:w w:val="99"/>
          <w:sz w:val="28"/>
          <w:szCs w:val="28"/>
        </w:rPr>
        <w:t>热线是向日葵”，寓意当太阳有了热情，向日葵才有色彩，体</w:t>
      </w:r>
      <w:r>
        <w:rPr>
          <w:rFonts w:ascii="宋体" w:hAnsi="宋体" w:cs="宋体" w:eastAsia="宋体" w:hint="default"/>
          <w:spacing w:val="2"/>
          <w:w w:val="99"/>
          <w:sz w:val="28"/>
          <w:szCs w:val="28"/>
        </w:rPr>
        <w:t> </w:t>
      </w:r>
      <w:r>
        <w:rPr>
          <w:rFonts w:ascii="宋体" w:hAnsi="宋体" w:cs="宋体" w:eastAsia="宋体" w:hint="default"/>
          <w:sz w:val="28"/>
          <w:szCs w:val="28"/>
        </w:rPr>
        <w:t>现着想用户所想、急用户所急的服务理念。</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spacing w:line="2589" w:lineRule="exact"/>
        <w:ind w:left="132" w:right="0" w:firstLine="0"/>
        <w:rPr>
          <w:rFonts w:ascii="宋体" w:hAnsi="宋体" w:cs="宋体" w:eastAsia="宋体" w:hint="default"/>
          <w:sz w:val="20"/>
          <w:szCs w:val="20"/>
        </w:rPr>
      </w:pPr>
      <w:r>
        <w:rPr>
          <w:rFonts w:ascii="宋体" w:hAnsi="宋体" w:cs="宋体" w:eastAsia="宋体" w:hint="default"/>
          <w:position w:val="-51"/>
          <w:sz w:val="20"/>
          <w:szCs w:val="20"/>
        </w:rPr>
        <w:pict>
          <v:shape style="width:414.75pt;height:129.4500pt;mso-position-horizontal-relative:char;mso-position-vertical-relative:line" type="#_x0000_t202" filled="true" fillcolor="#ffcc99" stroked="false">
            <w10:anchorlock/>
            <v:textbox inset="0,0,0,0">
              <w:txbxContent>
                <w:p>
                  <w:pPr>
                    <w:spacing w:before="128"/>
                    <w:ind w:left="158" w:right="0" w:firstLine="0"/>
                    <w:jc w:val="both"/>
                    <w:rPr>
                      <w:rFonts w:ascii="宋体" w:hAnsi="宋体" w:cs="宋体" w:eastAsia="宋体" w:hint="default"/>
                      <w:sz w:val="24"/>
                      <w:szCs w:val="24"/>
                    </w:rPr>
                  </w:pPr>
                  <w:r>
                    <w:rPr>
                      <w:rFonts w:ascii="宋体" w:hAnsi="宋体" w:cs="宋体" w:eastAsia="宋体" w:hint="default"/>
                      <w:sz w:val="24"/>
                      <w:szCs w:val="24"/>
                    </w:rPr>
                    <w:t>◆一名哈尔滨用户到上海办理 3</w:t>
                  </w:r>
                  <w:r>
                    <w:rPr>
                      <w:rFonts w:ascii="宋体" w:hAnsi="宋体" w:cs="宋体" w:eastAsia="宋体" w:hint="default"/>
                      <w:spacing w:val="-65"/>
                      <w:sz w:val="24"/>
                      <w:szCs w:val="24"/>
                    </w:rPr>
                    <w:t> </w:t>
                  </w:r>
                  <w:r>
                    <w:rPr>
                      <w:rFonts w:ascii="宋体" w:hAnsi="宋体" w:cs="宋体" w:eastAsia="宋体" w:hint="default"/>
                      <w:sz w:val="24"/>
                      <w:szCs w:val="24"/>
                    </w:rPr>
                    <w:t>月底预约的靓号，营业厅因系统升级，暂无</w:t>
                  </w:r>
                </w:p>
                <w:p>
                  <w:pPr>
                    <w:spacing w:line="357" w:lineRule="auto" w:before="154"/>
                    <w:ind w:left="158" w:right="156" w:firstLine="0"/>
                    <w:jc w:val="both"/>
                    <w:rPr>
                      <w:rFonts w:ascii="宋体" w:hAnsi="宋体" w:cs="宋体" w:eastAsia="宋体" w:hint="default"/>
                      <w:sz w:val="24"/>
                      <w:szCs w:val="24"/>
                    </w:rPr>
                  </w:pPr>
                  <w:r>
                    <w:rPr>
                      <w:rFonts w:ascii="宋体" w:hAnsi="宋体" w:cs="宋体" w:eastAsia="宋体" w:hint="default"/>
                      <w:sz w:val="24"/>
                      <w:szCs w:val="24"/>
                    </w:rPr>
                    <w:t>法为其办理或保留此号。用户在情急之下，想到求助于 10010</w:t>
                  </w:r>
                  <w:r>
                    <w:rPr>
                      <w:rFonts w:ascii="宋体" w:hAnsi="宋体" w:cs="宋体" w:eastAsia="宋体" w:hint="default"/>
                      <w:spacing w:val="-64"/>
                      <w:sz w:val="24"/>
                      <w:szCs w:val="24"/>
                    </w:rPr>
                    <w:t> </w:t>
                  </w:r>
                  <w:r>
                    <w:rPr>
                      <w:rFonts w:ascii="宋体" w:hAnsi="宋体" w:cs="宋体" w:eastAsia="宋体" w:hint="default"/>
                      <w:sz w:val="24"/>
                      <w:szCs w:val="24"/>
                    </w:rPr>
                    <w:t>客服热线。用</w:t>
                  </w:r>
                  <w:r>
                    <w:rPr>
                      <w:rFonts w:ascii="宋体" w:hAnsi="宋体" w:cs="宋体" w:eastAsia="宋体" w:hint="default"/>
                      <w:sz w:val="24"/>
                      <w:szCs w:val="24"/>
                    </w:rPr>
                    <w:t> 户需求无小事，在大家努力下，最终用户成功办理了靓号，并及时赶上回程</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pacing w:val="-3"/>
                      <w:sz w:val="24"/>
                      <w:szCs w:val="24"/>
                    </w:rPr>
                    <w:t>的飞机。为表示感谢，这名用户当天预存了</w:t>
                  </w:r>
                  <w:r>
                    <w:rPr>
                      <w:rFonts w:ascii="宋体" w:hAnsi="宋体" w:cs="宋体" w:eastAsia="宋体" w:hint="default"/>
                      <w:spacing w:val="-64"/>
                      <w:sz w:val="24"/>
                      <w:szCs w:val="24"/>
                    </w:rPr>
                    <w:t> </w:t>
                  </w:r>
                  <w:r>
                    <w:rPr>
                      <w:rFonts w:ascii="宋体" w:hAnsi="宋体" w:cs="宋体" w:eastAsia="宋体" w:hint="default"/>
                      <w:sz w:val="24"/>
                      <w:szCs w:val="24"/>
                    </w:rPr>
                    <w:t>9600</w:t>
                  </w:r>
                  <w:r>
                    <w:rPr>
                      <w:rFonts w:ascii="宋体" w:hAnsi="宋体" w:cs="宋体" w:eastAsia="宋体" w:hint="default"/>
                      <w:spacing w:val="-64"/>
                      <w:sz w:val="24"/>
                      <w:szCs w:val="24"/>
                    </w:rPr>
                    <w:t> </w:t>
                  </w:r>
                  <w:r>
                    <w:rPr>
                      <w:rFonts w:ascii="宋体" w:hAnsi="宋体" w:cs="宋体" w:eastAsia="宋体" w:hint="default"/>
                      <w:sz w:val="24"/>
                      <w:szCs w:val="24"/>
                    </w:rPr>
                    <w:t>元。收获了用户的满意与信</w:t>
                  </w:r>
                  <w:r>
                    <w:rPr>
                      <w:rFonts w:ascii="宋体" w:hAnsi="宋体" w:cs="宋体" w:eastAsia="宋体" w:hint="default"/>
                      <w:sz w:val="24"/>
                      <w:szCs w:val="24"/>
                    </w:rPr>
                    <w:t> 任，10010</w:t>
                  </w:r>
                  <w:r>
                    <w:rPr>
                      <w:rFonts w:ascii="宋体" w:hAnsi="宋体" w:cs="宋体" w:eastAsia="宋体" w:hint="default"/>
                      <w:spacing w:val="-60"/>
                      <w:sz w:val="24"/>
                      <w:szCs w:val="24"/>
                    </w:rPr>
                    <w:t> </w:t>
                  </w:r>
                  <w:r>
                    <w:rPr>
                      <w:rFonts w:ascii="宋体" w:hAnsi="宋体" w:cs="宋体" w:eastAsia="宋体" w:hint="default"/>
                      <w:sz w:val="24"/>
                      <w:szCs w:val="24"/>
                    </w:rPr>
                    <w:t>热线的客服代表也是满心喜悦。</w:t>
                  </w:r>
                </w:p>
              </w:txbxContent>
            </v:textbox>
            <v:fill type="solid"/>
          </v:shape>
        </w:pict>
      </w:r>
      <w:r>
        <w:rPr>
          <w:rFonts w:ascii="宋体" w:hAnsi="宋体" w:cs="宋体" w:eastAsia="宋体" w:hint="default"/>
          <w:position w:val="-51"/>
          <w:sz w:val="20"/>
          <w:szCs w:val="20"/>
        </w:rPr>
      </w:r>
    </w:p>
    <w:p>
      <w:pPr>
        <w:spacing w:after="0" w:line="2589" w:lineRule="exact"/>
        <w:rPr>
          <w:rFonts w:ascii="宋体" w:hAnsi="宋体" w:cs="宋体" w:eastAsia="宋体" w:hint="default"/>
          <w:sz w:val="20"/>
          <w:szCs w:val="20"/>
        </w:rPr>
        <w:sectPr>
          <w:headerReference w:type="default" r:id="rId273"/>
          <w:footerReference w:type="default" r:id="rId274"/>
          <w:pgSz w:w="11910" w:h="16840"/>
          <w:pgMar w:header="0" w:footer="982" w:top="1600" w:bottom="1180" w:left="1680" w:right="1600"/>
          <w:pgNumType w:start="45"/>
        </w:sectPr>
      </w:pPr>
    </w:p>
    <w:p>
      <w:pPr>
        <w:spacing w:line="240" w:lineRule="auto" w:before="12"/>
        <w:rPr>
          <w:rFonts w:ascii="宋体" w:hAnsi="宋体" w:cs="宋体" w:eastAsia="宋体" w:hint="default"/>
          <w:sz w:val="28"/>
          <w:szCs w:val="28"/>
        </w:rPr>
      </w:pPr>
    </w:p>
    <w:p>
      <w:pPr>
        <w:spacing w:line="2121" w:lineRule="exact"/>
        <w:ind w:left="132" w:right="0" w:firstLine="0"/>
        <w:rPr>
          <w:rFonts w:ascii="宋体" w:hAnsi="宋体" w:cs="宋体" w:eastAsia="宋体" w:hint="default"/>
          <w:sz w:val="20"/>
          <w:szCs w:val="20"/>
        </w:rPr>
      </w:pPr>
      <w:r>
        <w:rPr>
          <w:rFonts w:ascii="宋体" w:hAnsi="宋体" w:cs="宋体" w:eastAsia="宋体" w:hint="default"/>
          <w:position w:val="-41"/>
          <w:sz w:val="20"/>
          <w:szCs w:val="20"/>
        </w:rPr>
        <w:pict>
          <v:shape style="width:414.75pt;height:106.05pt;mso-position-horizontal-relative:char;mso-position-vertical-relative:line" type="#_x0000_t202" filled="true" fillcolor="#ffcc99" stroked="false">
            <w10:anchorlock/>
            <v:textbox inset="0,0,0,0">
              <w:txbxContent>
                <w:p>
                  <w:pPr>
                    <w:spacing w:line="357" w:lineRule="auto" w:before="128"/>
                    <w:ind w:left="158" w:right="156" w:firstLine="0"/>
                    <w:jc w:val="both"/>
                    <w:rPr>
                      <w:rFonts w:ascii="宋体" w:hAnsi="宋体" w:cs="宋体" w:eastAsia="宋体" w:hint="default"/>
                      <w:sz w:val="24"/>
                      <w:szCs w:val="24"/>
                    </w:rPr>
                  </w:pPr>
                  <w:r>
                    <w:rPr>
                      <w:rFonts w:ascii="宋体" w:hAnsi="宋体" w:cs="宋体" w:eastAsia="宋体" w:hint="default"/>
                      <w:sz w:val="24"/>
                      <w:szCs w:val="24"/>
                    </w:rPr>
                    <w:t>◆为用户提供更贴心、更细心、更舒心的服务，凸显差异化、个性化、人性</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化，成为 10010 热线服务提升的主旨。为方便用户国外出行，10010</w:t>
                  </w:r>
                  <w:r>
                    <w:rPr>
                      <w:rFonts w:ascii="宋体" w:hAnsi="宋体" w:cs="宋体" w:eastAsia="宋体" w:hint="default"/>
                      <w:spacing w:val="-65"/>
                      <w:sz w:val="24"/>
                      <w:szCs w:val="24"/>
                    </w:rPr>
                    <w:t> </w:t>
                  </w:r>
                  <w:r>
                    <w:rPr>
                      <w:rFonts w:ascii="宋体" w:hAnsi="宋体" w:cs="宋体" w:eastAsia="宋体" w:hint="default"/>
                      <w:sz w:val="24"/>
                      <w:szCs w:val="24"/>
                    </w:rPr>
                    <w:t>热线推</w:t>
                  </w:r>
                  <w:r>
                    <w:rPr>
                      <w:rFonts w:ascii="宋体" w:hAnsi="宋体" w:cs="宋体" w:eastAsia="宋体" w:hint="default"/>
                      <w:sz w:val="24"/>
                      <w:szCs w:val="24"/>
                    </w:rPr>
                    <w:t> 出热线办理开通国际漫游功能服务，受到商务人士的青睐；10013</w:t>
                  </w:r>
                  <w:r>
                    <w:rPr>
                      <w:rFonts w:ascii="宋体" w:hAnsi="宋体" w:cs="宋体" w:eastAsia="宋体" w:hint="default"/>
                      <w:spacing w:val="43"/>
                      <w:sz w:val="24"/>
                      <w:szCs w:val="24"/>
                    </w:rPr>
                    <w:t> </w:t>
                  </w:r>
                  <w:r>
                    <w:rPr>
                      <w:rFonts w:ascii="宋体" w:hAnsi="宋体" w:cs="宋体" w:eastAsia="宋体" w:hint="default"/>
                      <w:sz w:val="24"/>
                      <w:szCs w:val="24"/>
                    </w:rPr>
                    <w:t>聋哑人短</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z w:val="24"/>
                      <w:szCs w:val="24"/>
                    </w:rPr>
                    <w:t>信服务热线，体现通信科技与人本关怀的完美结合，让手机沟通无声世界。</w:t>
                  </w:r>
                </w:p>
              </w:txbxContent>
            </v:textbox>
            <v:fill type="solid"/>
          </v:shape>
        </w:pict>
      </w:r>
      <w:r>
        <w:rPr>
          <w:rFonts w:ascii="宋体" w:hAnsi="宋体" w:cs="宋体" w:eastAsia="宋体" w:hint="default"/>
          <w:position w:val="-41"/>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0"/>
          <w:szCs w:val="10"/>
        </w:rPr>
      </w:pPr>
    </w:p>
    <w:p>
      <w:pPr>
        <w:spacing w:line="1575" w:lineRule="exact"/>
        <w:ind w:left="112" w:right="0" w:firstLine="0"/>
        <w:rPr>
          <w:rFonts w:ascii="宋体" w:hAnsi="宋体" w:cs="宋体" w:eastAsia="宋体" w:hint="default"/>
          <w:sz w:val="20"/>
          <w:szCs w:val="20"/>
        </w:rPr>
      </w:pPr>
      <w:r>
        <w:rPr>
          <w:rFonts w:ascii="宋体" w:hAnsi="宋体" w:cs="宋体" w:eastAsia="宋体" w:hint="default"/>
          <w:position w:val="-31"/>
          <w:sz w:val="20"/>
          <w:szCs w:val="20"/>
        </w:rPr>
        <w:pict>
          <v:shape style="width:414.75pt;height:78.75pt;mso-position-horizontal-relative:char;mso-position-vertical-relative:line" type="#_x0000_t202" filled="true" fillcolor="#ffcc99" stroked="false">
            <w10:anchorlock/>
            <v:textbox inset="0,0,0,0">
              <w:txbxContent>
                <w:p>
                  <w:pPr>
                    <w:spacing w:line="357" w:lineRule="auto" w:before="128"/>
                    <w:ind w:left="159" w:right="155" w:firstLine="0"/>
                    <w:jc w:val="both"/>
                    <w:rPr>
                      <w:rFonts w:ascii="宋体" w:hAnsi="宋体" w:cs="宋体" w:eastAsia="宋体" w:hint="default"/>
                      <w:sz w:val="24"/>
                      <w:szCs w:val="24"/>
                    </w:rPr>
                  </w:pPr>
                  <w:r>
                    <w:rPr>
                      <w:rFonts w:ascii="宋体" w:hAnsi="宋体" w:cs="宋体" w:eastAsia="宋体" w:hint="default"/>
                      <w:sz w:val="24"/>
                      <w:szCs w:val="24"/>
                    </w:rPr>
                    <w:t>◆10010</w:t>
                  </w:r>
                  <w:r>
                    <w:rPr>
                      <w:rFonts w:ascii="宋体" w:hAnsi="宋体" w:cs="宋体" w:eastAsia="宋体" w:hint="default"/>
                      <w:spacing w:val="43"/>
                      <w:sz w:val="24"/>
                      <w:szCs w:val="24"/>
                    </w:rPr>
                    <w:t> </w:t>
                  </w:r>
                  <w:r>
                    <w:rPr>
                      <w:rFonts w:ascii="宋体" w:hAnsi="宋体" w:cs="宋体" w:eastAsia="宋体" w:hint="default"/>
                      <w:sz w:val="24"/>
                      <w:szCs w:val="24"/>
                    </w:rPr>
                    <w:t>热线充分借助一线员工的实际经验，开展“我有金点子”活动，鼓</w:t>
                  </w:r>
                  <w:r>
                    <w:rPr>
                      <w:rFonts w:ascii="宋体" w:hAnsi="宋体" w:cs="宋体" w:eastAsia="宋体" w:hint="default"/>
                      <w:spacing w:val="-116"/>
                      <w:sz w:val="24"/>
                      <w:szCs w:val="24"/>
                    </w:rPr>
                    <w:t> </w:t>
                  </w:r>
                  <w:r>
                    <w:rPr>
                      <w:rFonts w:ascii="宋体" w:hAnsi="宋体" w:cs="宋体" w:eastAsia="宋体" w:hint="default"/>
                      <w:spacing w:val="-116"/>
                      <w:sz w:val="24"/>
                      <w:szCs w:val="24"/>
                    </w:rPr>
                  </w:r>
                  <w:r>
                    <w:rPr>
                      <w:rFonts w:ascii="宋体" w:hAnsi="宋体" w:cs="宋体" w:eastAsia="宋体" w:hint="default"/>
                      <w:sz w:val="24"/>
                      <w:szCs w:val="24"/>
                    </w:rPr>
                    <w:t>励员工为企业服务提升献计献策，近年来共提出“金点子”千余条，那些包</w:t>
                  </w:r>
                  <w:r>
                    <w:rPr>
                      <w:rFonts w:ascii="宋体" w:hAnsi="宋体" w:cs="宋体" w:eastAsia="宋体" w:hint="default"/>
                      <w:spacing w:val="-87"/>
                      <w:sz w:val="24"/>
                      <w:szCs w:val="24"/>
                    </w:rPr>
                    <w:t> </w:t>
                  </w:r>
                  <w:r>
                    <w:rPr>
                      <w:rFonts w:ascii="宋体" w:hAnsi="宋体" w:cs="宋体" w:eastAsia="宋体" w:hint="default"/>
                      <w:spacing w:val="-87"/>
                      <w:sz w:val="24"/>
                      <w:szCs w:val="24"/>
                    </w:rPr>
                  </w:r>
                  <w:r>
                    <w:rPr>
                      <w:rFonts w:ascii="宋体" w:hAnsi="宋体" w:cs="宋体" w:eastAsia="宋体" w:hint="default"/>
                      <w:sz w:val="24"/>
                      <w:szCs w:val="24"/>
                    </w:rPr>
                    <w:t>含着大家集体智慧和真挚热忱的建议，很多已被相关部门采纳执行。</w:t>
                  </w:r>
                </w:p>
              </w:txbxContent>
            </v:textbox>
            <v:fill type="solid"/>
          </v:shape>
        </w:pict>
      </w:r>
      <w:r>
        <w:rPr>
          <w:rFonts w:ascii="宋体" w:hAnsi="宋体" w:cs="宋体" w:eastAsia="宋体" w:hint="default"/>
          <w:position w:val="-31"/>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0"/>
          <w:szCs w:val="10"/>
        </w:rPr>
      </w:pPr>
    </w:p>
    <w:p>
      <w:pPr>
        <w:spacing w:line="2979" w:lineRule="exact"/>
        <w:ind w:left="112" w:right="0" w:firstLine="0"/>
        <w:rPr>
          <w:rFonts w:ascii="宋体" w:hAnsi="宋体" w:cs="宋体" w:eastAsia="宋体" w:hint="default"/>
          <w:sz w:val="20"/>
          <w:szCs w:val="20"/>
        </w:rPr>
      </w:pPr>
      <w:r>
        <w:rPr>
          <w:rFonts w:ascii="宋体" w:hAnsi="宋体" w:cs="宋体" w:eastAsia="宋体" w:hint="default"/>
          <w:position w:val="-59"/>
          <w:sz w:val="20"/>
          <w:szCs w:val="20"/>
        </w:rPr>
        <w:pict>
          <v:shape style="width:414.75pt;height:148.950pt;mso-position-horizontal-relative:char;mso-position-vertical-relative:line" type="#_x0000_t202" filled="true" fillcolor="#ffcc99" stroked="false">
            <w10:anchorlock/>
            <v:textbox inset="0,0,0,0">
              <w:txbxContent>
                <w:p>
                  <w:pPr>
                    <w:spacing w:line="357" w:lineRule="auto" w:before="128"/>
                    <w:ind w:left="159" w:right="35" w:firstLine="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年，为实践“咨询受理中心”向“综合业务办理中心”的战略转型，</w:t>
                  </w:r>
                  <w:r>
                    <w:rPr>
                      <w:rFonts w:ascii="宋体" w:hAnsi="宋体" w:cs="宋体" w:eastAsia="宋体" w:hint="default"/>
                      <w:sz w:val="24"/>
                      <w:szCs w:val="24"/>
                    </w:rPr>
                    <w:t> 10010</w:t>
                  </w:r>
                  <w:r>
                    <w:rPr>
                      <w:rFonts w:ascii="宋体" w:hAnsi="宋体" w:cs="宋体" w:eastAsia="宋体" w:hint="default"/>
                      <w:spacing w:val="-76"/>
                      <w:sz w:val="24"/>
                      <w:szCs w:val="24"/>
                    </w:rPr>
                    <w:t> </w:t>
                  </w:r>
                  <w:r>
                    <w:rPr>
                      <w:rFonts w:ascii="宋体" w:hAnsi="宋体" w:cs="宋体" w:eastAsia="宋体" w:hint="default"/>
                      <w:sz w:val="24"/>
                      <w:szCs w:val="24"/>
                    </w:rPr>
                    <w:t>热线全面提升、逐步实现</w:t>
                  </w:r>
                  <w:r>
                    <w:rPr>
                      <w:rFonts w:ascii="宋体" w:hAnsi="宋体" w:cs="宋体" w:eastAsia="宋体" w:hint="default"/>
                      <w:spacing w:val="-76"/>
                      <w:sz w:val="24"/>
                      <w:szCs w:val="24"/>
                    </w:rPr>
                    <w:t> </w:t>
                  </w:r>
                  <w:r>
                    <w:rPr>
                      <w:rFonts w:ascii="宋体" w:hAnsi="宋体" w:cs="宋体" w:eastAsia="宋体" w:hint="default"/>
                      <w:sz w:val="24"/>
                      <w:szCs w:val="24"/>
                    </w:rPr>
                    <w:t>90%移动业务在线办理，为用户提供便捷、高</w:t>
                  </w:r>
                  <w:r>
                    <w:rPr>
                      <w:rFonts w:ascii="宋体" w:hAnsi="宋体" w:cs="宋体" w:eastAsia="宋体" w:hint="default"/>
                      <w:sz w:val="24"/>
                      <w:szCs w:val="24"/>
                    </w:rPr>
                    <w:t> 效的渠道服务。随着</w:t>
                  </w:r>
                  <w:r>
                    <w:rPr>
                      <w:rFonts w:ascii="宋体" w:hAnsi="宋体" w:cs="宋体" w:eastAsia="宋体" w:hint="default"/>
                      <w:spacing w:val="-67"/>
                      <w:sz w:val="24"/>
                      <w:szCs w:val="24"/>
                    </w:rPr>
                    <w:t> </w:t>
                  </w:r>
                  <w:r>
                    <w:rPr>
                      <w:rFonts w:ascii="宋体" w:hAnsi="宋体" w:cs="宋体" w:eastAsia="宋体" w:hint="default"/>
                      <w:sz w:val="24"/>
                      <w:szCs w:val="24"/>
                    </w:rPr>
                    <w:t>3G</w:t>
                  </w:r>
                  <w:r>
                    <w:rPr>
                      <w:rFonts w:ascii="宋体" w:hAnsi="宋体" w:cs="宋体" w:eastAsia="宋体" w:hint="default"/>
                      <w:spacing w:val="-67"/>
                      <w:sz w:val="24"/>
                      <w:szCs w:val="24"/>
                    </w:rPr>
                    <w:t> </w:t>
                  </w:r>
                  <w:r>
                    <w:rPr>
                      <w:rFonts w:ascii="宋体" w:hAnsi="宋体" w:cs="宋体" w:eastAsia="宋体" w:hint="default"/>
                      <w:sz w:val="24"/>
                      <w:szCs w:val="24"/>
                    </w:rPr>
                    <w:t>业务试商用启动，10010</w:t>
                  </w:r>
                  <w:r>
                    <w:rPr>
                      <w:rFonts w:ascii="宋体" w:hAnsi="宋体" w:cs="宋体" w:eastAsia="宋体" w:hint="default"/>
                      <w:spacing w:val="-67"/>
                      <w:sz w:val="24"/>
                      <w:szCs w:val="24"/>
                    </w:rPr>
                    <w:t> </w:t>
                  </w:r>
                  <w:r>
                    <w:rPr>
                      <w:rFonts w:ascii="宋体" w:hAnsi="宋体" w:cs="宋体" w:eastAsia="宋体" w:hint="default"/>
                      <w:sz w:val="24"/>
                      <w:szCs w:val="24"/>
                    </w:rPr>
                    <w:t>热线推出</w:t>
                  </w:r>
                  <w:r>
                    <w:rPr>
                      <w:rFonts w:ascii="宋体" w:hAnsi="宋体" w:cs="宋体" w:eastAsia="宋体" w:hint="default"/>
                      <w:spacing w:val="-67"/>
                      <w:sz w:val="24"/>
                      <w:szCs w:val="24"/>
                    </w:rPr>
                    <w:t> </w:t>
                  </w:r>
                  <w:r>
                    <w:rPr>
                      <w:rFonts w:ascii="宋体" w:hAnsi="宋体" w:cs="宋体" w:eastAsia="宋体" w:hint="default"/>
                      <w:sz w:val="24"/>
                      <w:szCs w:val="24"/>
                    </w:rPr>
                    <w:t>3G</w:t>
                  </w:r>
                  <w:r>
                    <w:rPr>
                      <w:rFonts w:ascii="宋体" w:hAnsi="宋体" w:cs="宋体" w:eastAsia="宋体" w:hint="default"/>
                      <w:spacing w:val="-67"/>
                      <w:sz w:val="24"/>
                      <w:szCs w:val="24"/>
                    </w:rPr>
                    <w:t> </w:t>
                  </w:r>
                  <w:r>
                    <w:rPr>
                      <w:rFonts w:ascii="宋体" w:hAnsi="宋体" w:cs="宋体" w:eastAsia="宋体" w:hint="default"/>
                      <w:sz w:val="24"/>
                      <w:szCs w:val="24"/>
                    </w:rPr>
                    <w:t>视频客服热线，</w:t>
                  </w:r>
                  <w:r>
                    <w:rPr>
                      <w:rFonts w:ascii="宋体" w:hAnsi="宋体" w:cs="宋体" w:eastAsia="宋体" w:hint="default"/>
                      <w:spacing w:val="-1"/>
                      <w:sz w:val="24"/>
                      <w:szCs w:val="24"/>
                    </w:rPr>
                    <w:t> </w:t>
                  </w:r>
                  <w:r>
                    <w:rPr>
                      <w:rFonts w:ascii="宋体" w:hAnsi="宋体" w:cs="宋体" w:eastAsia="宋体" w:hint="default"/>
                      <w:sz w:val="24"/>
                      <w:szCs w:val="24"/>
                    </w:rPr>
                    <w:t>实现</w:t>
                  </w:r>
                  <w:r>
                    <w:rPr>
                      <w:rFonts w:ascii="宋体" w:hAnsi="宋体" w:cs="宋体" w:eastAsia="宋体" w:hint="default"/>
                      <w:spacing w:val="-54"/>
                      <w:sz w:val="24"/>
                      <w:szCs w:val="24"/>
                    </w:rPr>
                    <w:t> </w:t>
                  </w:r>
                  <w:r>
                    <w:rPr>
                      <w:rFonts w:ascii="宋体" w:hAnsi="宋体" w:cs="宋体" w:eastAsia="宋体" w:hint="default"/>
                      <w:sz w:val="24"/>
                      <w:szCs w:val="24"/>
                    </w:rPr>
                    <w:t>3G</w:t>
                  </w:r>
                  <w:r>
                    <w:rPr>
                      <w:rFonts w:ascii="宋体" w:hAnsi="宋体" w:cs="宋体" w:eastAsia="宋体" w:hint="default"/>
                      <w:spacing w:val="-54"/>
                      <w:sz w:val="24"/>
                      <w:szCs w:val="24"/>
                    </w:rPr>
                    <w:t> </w:t>
                  </w:r>
                  <w:r>
                    <w:rPr>
                      <w:rFonts w:ascii="宋体" w:hAnsi="宋体" w:cs="宋体" w:eastAsia="宋体" w:hint="default"/>
                      <w:spacing w:val="-3"/>
                      <w:sz w:val="24"/>
                      <w:szCs w:val="24"/>
                    </w:rPr>
                    <w:t>用户与客服代表“面对面”互动交流，实现服务领先。凭着一颗“感</w:t>
                  </w:r>
                  <w:r>
                    <w:rPr>
                      <w:rFonts w:ascii="宋体" w:hAnsi="宋体" w:cs="宋体" w:eastAsia="宋体" w:hint="default"/>
                      <w:spacing w:val="-107"/>
                      <w:sz w:val="24"/>
                      <w:szCs w:val="24"/>
                    </w:rPr>
                    <w:t> </w:t>
                  </w:r>
                  <w:r>
                    <w:rPr>
                      <w:rFonts w:ascii="宋体" w:hAnsi="宋体" w:cs="宋体" w:eastAsia="宋体" w:hint="default"/>
                      <w:spacing w:val="-107"/>
                      <w:sz w:val="24"/>
                      <w:szCs w:val="24"/>
                    </w:rPr>
                  </w:r>
                  <w:r>
                    <w:rPr>
                      <w:rFonts w:ascii="宋体" w:hAnsi="宋体" w:cs="宋体" w:eastAsia="宋体" w:hint="default"/>
                      <w:sz w:val="24"/>
                      <w:szCs w:val="24"/>
                    </w:rPr>
                    <w:t>恩用户、优质服务”的心，10010 热线日益赢得广大用户的认可和好评，客</w:t>
                  </w:r>
                  <w:r>
                    <w:rPr>
                      <w:rFonts w:ascii="宋体" w:hAnsi="宋体" w:cs="宋体" w:eastAsia="宋体" w:hint="default"/>
                      <w:spacing w:val="-72"/>
                      <w:sz w:val="24"/>
                      <w:szCs w:val="24"/>
                    </w:rPr>
                    <w:t> </w:t>
                  </w:r>
                  <w:r>
                    <w:rPr>
                      <w:rFonts w:ascii="宋体" w:hAnsi="宋体" w:cs="宋体" w:eastAsia="宋体" w:hint="default"/>
                      <w:spacing w:val="-72"/>
                      <w:sz w:val="24"/>
                      <w:szCs w:val="24"/>
                    </w:rPr>
                  </w:r>
                  <w:r>
                    <w:rPr>
                      <w:rFonts w:ascii="宋体" w:hAnsi="宋体" w:cs="宋体" w:eastAsia="宋体" w:hint="default"/>
                      <w:sz w:val="24"/>
                      <w:szCs w:val="24"/>
                    </w:rPr>
                    <w:t>户感到联通的服务越来越好了。</w:t>
                  </w:r>
                </w:p>
              </w:txbxContent>
            </v:textbox>
            <v:fill type="solid"/>
          </v:shape>
        </w:pict>
      </w:r>
      <w:r>
        <w:rPr>
          <w:rFonts w:ascii="宋体" w:hAnsi="宋体" w:cs="宋体" w:eastAsia="宋体" w:hint="default"/>
          <w:position w:val="-59"/>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spacing w:line="408" w:lineRule="auto" w:before="13"/>
        <w:ind w:left="120" w:right="114" w:firstLine="560"/>
        <w:jc w:val="both"/>
        <w:rPr>
          <w:rFonts w:ascii="宋体" w:hAnsi="宋体" w:cs="宋体" w:eastAsia="宋体" w:hint="default"/>
          <w:sz w:val="28"/>
          <w:szCs w:val="28"/>
        </w:rPr>
      </w:pPr>
      <w:r>
        <w:rPr>
          <w:rFonts w:ascii="宋体" w:hAnsi="宋体" w:cs="宋体" w:eastAsia="宋体" w:hint="default"/>
          <w:sz w:val="28"/>
          <w:szCs w:val="28"/>
        </w:rPr>
        <w:t>10010</w:t>
      </w:r>
      <w:r>
        <w:rPr>
          <w:rFonts w:ascii="宋体" w:hAnsi="宋体" w:cs="宋体" w:eastAsia="宋体" w:hint="default"/>
          <w:spacing w:val="-99"/>
          <w:sz w:val="28"/>
          <w:szCs w:val="28"/>
        </w:rPr>
        <w:t> </w:t>
      </w:r>
      <w:r>
        <w:rPr>
          <w:rFonts w:ascii="宋体" w:hAnsi="宋体" w:cs="宋体" w:eastAsia="宋体" w:hint="default"/>
          <w:sz w:val="28"/>
          <w:szCs w:val="28"/>
        </w:rPr>
        <w:t>客服热线所践行的这种价值文化，已逐渐渗入这支服务团</w:t>
      </w:r>
      <w:r>
        <w:rPr>
          <w:rFonts w:ascii="宋体" w:hAnsi="宋体" w:cs="宋体" w:eastAsia="宋体" w:hint="default"/>
          <w:w w:val="99"/>
          <w:sz w:val="28"/>
          <w:szCs w:val="28"/>
        </w:rPr>
        <w:t> </w:t>
      </w:r>
      <w:r>
        <w:rPr>
          <w:rFonts w:ascii="宋体" w:hAnsi="宋体" w:cs="宋体" w:eastAsia="宋体" w:hint="default"/>
          <w:spacing w:val="-4"/>
          <w:sz w:val="28"/>
          <w:szCs w:val="28"/>
        </w:rPr>
        <w:t>队，润人心田，沁人心脾，又已渐渐化开，融入到为客户服务的日常</w:t>
      </w:r>
      <w:r>
        <w:rPr>
          <w:rFonts w:ascii="宋体" w:hAnsi="宋体" w:cs="宋体" w:eastAsia="宋体" w:hint="default"/>
          <w:spacing w:val="-130"/>
          <w:sz w:val="28"/>
          <w:szCs w:val="28"/>
        </w:rPr>
        <w:t> </w:t>
      </w:r>
      <w:r>
        <w:rPr>
          <w:rFonts w:ascii="宋体" w:hAnsi="宋体" w:cs="宋体" w:eastAsia="宋体" w:hint="default"/>
          <w:spacing w:val="-130"/>
          <w:sz w:val="28"/>
          <w:szCs w:val="28"/>
        </w:rPr>
      </w:r>
      <w:r>
        <w:rPr>
          <w:rFonts w:ascii="宋体" w:hAnsi="宋体" w:cs="宋体" w:eastAsia="宋体" w:hint="default"/>
          <w:spacing w:val="-4"/>
          <w:sz w:val="28"/>
          <w:szCs w:val="28"/>
        </w:rPr>
        <w:t>工作中。以爱筑企，和谐发展，营造内外环境的协调统一，实践科技</w:t>
      </w:r>
      <w:r>
        <w:rPr>
          <w:rFonts w:ascii="宋体" w:hAnsi="宋体" w:cs="宋体" w:eastAsia="宋体" w:hint="default"/>
          <w:spacing w:val="-129"/>
          <w:sz w:val="28"/>
          <w:szCs w:val="28"/>
        </w:rPr>
        <w:t> </w:t>
      </w:r>
      <w:r>
        <w:rPr>
          <w:rFonts w:ascii="宋体" w:hAnsi="宋体" w:cs="宋体" w:eastAsia="宋体" w:hint="default"/>
          <w:spacing w:val="-129"/>
          <w:sz w:val="28"/>
          <w:szCs w:val="28"/>
        </w:rPr>
      </w:r>
      <w:r>
        <w:rPr>
          <w:rFonts w:ascii="宋体" w:hAnsi="宋体" w:cs="宋体" w:eastAsia="宋体" w:hint="default"/>
          <w:sz w:val="28"/>
          <w:szCs w:val="28"/>
        </w:rPr>
        <w:t>与人文的完美结合，为员工、为客户、为企业创造更大价值。</w:t>
      </w:r>
    </w:p>
    <w:p>
      <w:pPr>
        <w:spacing w:after="0" w:line="408" w:lineRule="auto"/>
        <w:jc w:val="both"/>
        <w:rPr>
          <w:rFonts w:ascii="宋体" w:hAnsi="宋体" w:cs="宋体" w:eastAsia="宋体" w:hint="default"/>
          <w:sz w:val="28"/>
          <w:szCs w:val="28"/>
        </w:rPr>
        <w:sectPr>
          <w:headerReference w:type="default" r:id="rId276"/>
          <w:footerReference w:type="default" r:id="rId277"/>
          <w:pgSz w:w="11910" w:h="16840"/>
          <w:pgMar w:header="0" w:footer="982" w:top="1600" w:bottom="1180" w:left="1680" w:right="1680"/>
          <w:pgNumType w:start="46"/>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pStyle w:val="Heading1"/>
        <w:tabs>
          <w:tab w:pos="4534" w:val="left" w:leader="none"/>
        </w:tabs>
        <w:spacing w:line="632" w:lineRule="exact"/>
        <w:ind w:left="1932" w:right="0"/>
        <w:jc w:val="left"/>
        <w:rPr>
          <w:b w:val="0"/>
          <w:bCs w:val="0"/>
        </w:rPr>
      </w:pPr>
      <w:r>
        <w:rPr>
          <w:w w:val="95"/>
        </w:rPr>
        <w:t>回报社会</w:t>
        <w:tab/>
      </w:r>
      <w:r>
        <w:rPr/>
        <w:t>奉献爱心</w:t>
      </w:r>
      <w:r>
        <w:rPr>
          <w:b w:val="0"/>
          <w:bCs w:val="0"/>
        </w:rPr>
      </w:r>
    </w:p>
    <w:p>
      <w:pPr>
        <w:spacing w:line="240" w:lineRule="auto" w:before="0"/>
        <w:rPr>
          <w:rFonts w:ascii="华文行楷" w:hAnsi="华文行楷" w:cs="华文行楷" w:eastAsia="华文行楷" w:hint="default"/>
          <w:b/>
          <w:bCs/>
          <w:sz w:val="52"/>
          <w:szCs w:val="52"/>
        </w:rPr>
      </w:pPr>
    </w:p>
    <w:p>
      <w:pPr>
        <w:spacing w:line="240" w:lineRule="auto" w:before="8"/>
        <w:rPr>
          <w:rFonts w:ascii="华文行楷" w:hAnsi="华文行楷" w:cs="华文行楷" w:eastAsia="华文行楷" w:hint="default"/>
          <w:b/>
          <w:bCs/>
          <w:sz w:val="54"/>
          <w:szCs w:val="54"/>
        </w:rPr>
      </w:pPr>
    </w:p>
    <w:p>
      <w:pPr>
        <w:pStyle w:val="Heading3"/>
        <w:spacing w:line="240" w:lineRule="auto"/>
        <w:ind w:right="0"/>
        <w:jc w:val="left"/>
        <w:rPr>
          <w:b w:val="0"/>
          <w:bCs w:val="0"/>
        </w:rPr>
      </w:pPr>
      <w:r>
        <w:rPr/>
        <w:t>赞助“雪域童年”支教活动</w:t>
      </w:r>
      <w:r>
        <w:rPr>
          <w:b w:val="0"/>
          <w:bCs w:val="0"/>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pStyle w:val="Heading7"/>
        <w:spacing w:line="408" w:lineRule="auto"/>
        <w:ind w:right="115" w:firstLine="560"/>
        <w:jc w:val="both"/>
      </w:pPr>
      <w:r>
        <w:rPr/>
        <w:t>在“5·12”大地震一周年之际，中国联通上海分公司组织志愿</w:t>
      </w:r>
      <w:r>
        <w:rPr>
          <w:w w:val="99"/>
        </w:rPr>
        <w:t> </w:t>
      </w:r>
      <w:r>
        <w:rPr>
          <w:spacing w:val="-4"/>
        </w:rPr>
        <w:t>者前往地震重灾区四川茂县叠溪中小学校赞助开展“雪域童年”支教</w:t>
      </w:r>
      <w:r>
        <w:rPr>
          <w:spacing w:val="-124"/>
        </w:rPr>
        <w:t> </w:t>
      </w:r>
      <w:r>
        <w:rPr>
          <w:spacing w:val="-124"/>
        </w:rPr>
      </w:r>
      <w:r>
        <w:rPr>
          <w:spacing w:val="-4"/>
        </w:rPr>
        <w:t>活动。充满爱心的“雪域童年”支教活动带着联通人对灾区人民的深</w:t>
      </w:r>
      <w:r>
        <w:rPr>
          <w:spacing w:val="-127"/>
        </w:rPr>
        <w:t> </w:t>
      </w:r>
      <w:r>
        <w:rPr>
          <w:spacing w:val="-127"/>
        </w:rPr>
      </w:r>
      <w:r>
        <w:rPr>
          <w:spacing w:val="-4"/>
        </w:rPr>
        <w:t>切牵挂启航。志愿者纷纷表示将不负重托、不辱使命，出色、圆满地</w:t>
      </w:r>
      <w:r>
        <w:rPr>
          <w:spacing w:val="-124"/>
        </w:rPr>
        <w:t> </w:t>
      </w:r>
      <w:r>
        <w:rPr>
          <w:spacing w:val="-124"/>
        </w:rPr>
      </w:r>
      <w:r>
        <w:rPr>
          <w:spacing w:val="-4"/>
        </w:rPr>
        <w:t>完成支教任务，把中国联通对灾区人民的挂念和深情厚意带到那些渴</w:t>
      </w:r>
      <w:r>
        <w:rPr>
          <w:spacing w:val="-125"/>
        </w:rPr>
        <w:t> </w:t>
      </w:r>
      <w:r>
        <w:rPr>
          <w:spacing w:val="-125"/>
        </w:rPr>
      </w:r>
      <w:r>
        <w:rPr/>
        <w:t>望爱与关怀的西部孩子身边。</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7"/>
          <w:szCs w:val="27"/>
        </w:rPr>
      </w:pPr>
    </w:p>
    <w:p>
      <w:pPr>
        <w:tabs>
          <w:tab w:pos="4645" w:val="left" w:leader="none"/>
        </w:tabs>
        <w:spacing w:line="2472" w:lineRule="exact"/>
        <w:ind w:left="120" w:right="0" w:firstLine="0"/>
        <w:rPr>
          <w:rFonts w:ascii="宋体" w:hAnsi="宋体" w:cs="宋体" w:eastAsia="宋体" w:hint="default"/>
          <w:sz w:val="20"/>
          <w:szCs w:val="20"/>
        </w:rPr>
      </w:pPr>
      <w:r>
        <w:rPr>
          <w:rFonts w:ascii="宋体"/>
          <w:position w:val="-46"/>
          <w:sz w:val="20"/>
        </w:rPr>
        <w:drawing>
          <wp:inline distT="0" distB="0" distL="0" distR="0">
            <wp:extent cx="2498946" cy="1552765"/>
            <wp:effectExtent l="0" t="0" r="0" b="0"/>
            <wp:docPr id="35" name="image28.jpeg" descr=""/>
            <wp:cNvGraphicFramePr>
              <a:graphicFrameLocks noChangeAspect="1"/>
            </wp:cNvGraphicFramePr>
            <a:graphic>
              <a:graphicData uri="http://schemas.openxmlformats.org/drawingml/2006/picture">
                <pic:pic>
                  <pic:nvPicPr>
                    <pic:cNvPr id="36" name="image28.jpeg"/>
                    <pic:cNvPicPr/>
                  </pic:nvPicPr>
                  <pic:blipFill>
                    <a:blip r:embed="rId280" cstate="print"/>
                    <a:stretch>
                      <a:fillRect/>
                    </a:stretch>
                  </pic:blipFill>
                  <pic:spPr>
                    <a:xfrm>
                      <a:off x="0" y="0"/>
                      <a:ext cx="2498946" cy="1552765"/>
                    </a:xfrm>
                    <a:prstGeom prst="rect">
                      <a:avLst/>
                    </a:prstGeom>
                  </pic:spPr>
                </pic:pic>
              </a:graphicData>
            </a:graphic>
          </wp:inline>
        </w:drawing>
      </w:r>
      <w:r>
        <w:rPr>
          <w:rFonts w:ascii="宋体"/>
          <w:position w:val="-46"/>
          <w:sz w:val="20"/>
        </w:rPr>
      </w:r>
      <w:r>
        <w:rPr>
          <w:rFonts w:ascii="宋体"/>
          <w:position w:val="-46"/>
          <w:sz w:val="20"/>
        </w:rPr>
        <w:tab/>
      </w:r>
      <w:r>
        <w:rPr>
          <w:rFonts w:ascii="宋体"/>
          <w:position w:val="-48"/>
          <w:sz w:val="20"/>
        </w:rPr>
        <w:drawing>
          <wp:inline distT="0" distB="0" distL="0" distR="0">
            <wp:extent cx="2408732" cy="1550765"/>
            <wp:effectExtent l="0" t="0" r="0" b="0"/>
            <wp:docPr id="37" name="image29.jpeg" descr=""/>
            <wp:cNvGraphicFramePr>
              <a:graphicFrameLocks noChangeAspect="1"/>
            </wp:cNvGraphicFramePr>
            <a:graphic>
              <a:graphicData uri="http://schemas.openxmlformats.org/drawingml/2006/picture">
                <pic:pic>
                  <pic:nvPicPr>
                    <pic:cNvPr id="38" name="image29.jpeg"/>
                    <pic:cNvPicPr/>
                  </pic:nvPicPr>
                  <pic:blipFill>
                    <a:blip r:embed="rId281" cstate="print"/>
                    <a:stretch>
                      <a:fillRect/>
                    </a:stretch>
                  </pic:blipFill>
                  <pic:spPr>
                    <a:xfrm>
                      <a:off x="0" y="0"/>
                      <a:ext cx="2408732" cy="1550765"/>
                    </a:xfrm>
                    <a:prstGeom prst="rect">
                      <a:avLst/>
                    </a:prstGeom>
                  </pic:spPr>
                </pic:pic>
              </a:graphicData>
            </a:graphic>
          </wp:inline>
        </w:drawing>
      </w:r>
      <w:r>
        <w:rPr>
          <w:rFonts w:ascii="宋体"/>
          <w:position w:val="-48"/>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7"/>
        <w:spacing w:line="408" w:lineRule="auto" w:before="192"/>
        <w:ind w:left="119" w:right="117" w:firstLine="560"/>
        <w:jc w:val="both"/>
      </w:pPr>
      <w:r>
        <w:rPr>
          <w:spacing w:val="-4"/>
        </w:rPr>
        <w:t>充满爱心与善举的“雪域童年“活动在灾区洒下了爱的种子，结</w:t>
      </w:r>
      <w:r>
        <w:rPr>
          <w:w w:val="99"/>
        </w:rPr>
        <w:t> </w:t>
      </w:r>
      <w:r>
        <w:rPr>
          <w:spacing w:val="-4"/>
        </w:rPr>
        <w:t>出爱的果实，唤起了社会对于西部教育事业和广大西部儿童心灵成长</w:t>
      </w:r>
      <w:r>
        <w:rPr>
          <w:spacing w:val="-124"/>
        </w:rPr>
        <w:t> </w:t>
      </w:r>
      <w:r>
        <w:rPr>
          <w:spacing w:val="-124"/>
        </w:rPr>
      </w:r>
      <w:r>
        <w:rPr/>
        <w:t>的关注，激发了越来越多的人投身于社会公益事业。</w:t>
      </w:r>
    </w:p>
    <w:p>
      <w:pPr>
        <w:spacing w:after="0" w:line="408" w:lineRule="auto"/>
        <w:jc w:val="both"/>
        <w:sectPr>
          <w:headerReference w:type="default" r:id="rId278"/>
          <w:footerReference w:type="default" r:id="rId279"/>
          <w:pgSz w:w="11910" w:h="16840"/>
          <w:pgMar w:header="0" w:footer="982" w:top="1600" w:bottom="1180" w:left="1680" w:right="1680"/>
          <w:pgNumType w:start="47"/>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5"/>
          <w:szCs w:val="25"/>
        </w:rPr>
      </w:pPr>
    </w:p>
    <w:p>
      <w:pPr>
        <w:pStyle w:val="Heading3"/>
        <w:spacing w:line="460" w:lineRule="exact"/>
        <w:ind w:right="0"/>
        <w:jc w:val="both"/>
        <w:rPr>
          <w:b w:val="0"/>
          <w:bCs w:val="0"/>
        </w:rPr>
      </w:pPr>
      <w:r>
        <w:rPr/>
        <w:t>援建“春蕾小学”</w:t>
      </w:r>
      <w:r>
        <w:rPr>
          <w:b w:val="0"/>
          <w:bCs w:val="0"/>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pStyle w:val="Heading7"/>
        <w:tabs>
          <w:tab w:pos="1385" w:val="left" w:leader="none"/>
        </w:tabs>
        <w:spacing w:line="240" w:lineRule="auto"/>
        <w:ind w:left="680" w:right="0"/>
        <w:jc w:val="left"/>
      </w:pPr>
      <w:r>
        <w:rPr>
          <w:color w:val="323232"/>
        </w:rPr>
        <w:t>“5</w:t>
        <w:tab/>
        <w:t>12”地震中，四川绵阳市游仙镇第二小学校舍受到严重破</w:t>
      </w:r>
      <w:r>
        <w:rPr/>
      </w:r>
    </w:p>
    <w:p>
      <w:pPr>
        <w:spacing w:line="240" w:lineRule="auto" w:before="9"/>
        <w:rPr>
          <w:rFonts w:ascii="宋体" w:hAnsi="宋体" w:cs="宋体" w:eastAsia="宋体" w:hint="default"/>
          <w:sz w:val="19"/>
          <w:szCs w:val="19"/>
        </w:rPr>
      </w:pPr>
    </w:p>
    <w:p>
      <w:pPr>
        <w:spacing w:line="408" w:lineRule="auto" w:before="0"/>
        <w:ind w:left="120" w:right="112" w:firstLine="0"/>
        <w:jc w:val="both"/>
        <w:rPr>
          <w:rFonts w:ascii="宋体" w:hAnsi="宋体" w:cs="宋体" w:eastAsia="宋体" w:hint="default"/>
          <w:sz w:val="28"/>
          <w:szCs w:val="28"/>
        </w:rPr>
      </w:pPr>
      <w:r>
        <w:rPr>
          <w:rFonts w:ascii="宋体" w:hAnsi="宋体" w:cs="宋体" w:eastAsia="宋体" w:hint="default"/>
          <w:color w:val="323232"/>
          <w:spacing w:val="-12"/>
          <w:sz w:val="28"/>
          <w:szCs w:val="28"/>
        </w:rPr>
        <w:t>坏，全校</w:t>
      </w:r>
      <w:r>
        <w:rPr>
          <w:rFonts w:ascii="宋体" w:hAnsi="宋体" w:cs="宋体" w:eastAsia="宋体" w:hint="default"/>
          <w:color w:val="323232"/>
          <w:spacing w:val="-95"/>
          <w:sz w:val="28"/>
          <w:szCs w:val="28"/>
        </w:rPr>
        <w:t> </w:t>
      </w:r>
      <w:r>
        <w:rPr>
          <w:rFonts w:ascii="宋体" w:hAnsi="宋体" w:cs="宋体" w:eastAsia="宋体" w:hint="default"/>
          <w:color w:val="323232"/>
          <w:sz w:val="28"/>
          <w:szCs w:val="28"/>
        </w:rPr>
        <w:t>500</w:t>
      </w:r>
      <w:r>
        <w:rPr>
          <w:rFonts w:ascii="宋体" w:hAnsi="宋体" w:cs="宋体" w:eastAsia="宋体" w:hint="default"/>
          <w:color w:val="323232"/>
          <w:spacing w:val="-94"/>
          <w:sz w:val="28"/>
          <w:szCs w:val="28"/>
        </w:rPr>
        <w:t> </w:t>
      </w:r>
      <w:r>
        <w:rPr>
          <w:rFonts w:ascii="宋体" w:hAnsi="宋体" w:cs="宋体" w:eastAsia="宋体" w:hint="default"/>
          <w:color w:val="323232"/>
          <w:sz w:val="28"/>
          <w:szCs w:val="28"/>
        </w:rPr>
        <w:t>余名学生只能在临时搭建的板房教室中学习。中国联通</w:t>
      </w:r>
      <w:r>
        <w:rPr>
          <w:rFonts w:ascii="宋体" w:hAnsi="宋体" w:cs="宋体" w:eastAsia="宋体" w:hint="default"/>
          <w:color w:val="323232"/>
          <w:w w:val="99"/>
          <w:sz w:val="28"/>
          <w:szCs w:val="28"/>
        </w:rPr>
        <w:t> </w:t>
      </w:r>
      <w:r>
        <w:rPr>
          <w:rFonts w:ascii="宋体" w:hAnsi="宋体" w:cs="宋体" w:eastAsia="宋体" w:hint="default"/>
          <w:color w:val="323232"/>
          <w:spacing w:val="-4"/>
          <w:sz w:val="28"/>
          <w:szCs w:val="28"/>
        </w:rPr>
        <w:t>极其关注灾区学校重建工作，第一时间组织各分公司、员工捐款，为</w:t>
      </w:r>
      <w:r>
        <w:rPr>
          <w:rFonts w:ascii="宋体" w:hAnsi="宋体" w:cs="宋体" w:eastAsia="宋体" w:hint="default"/>
          <w:color w:val="323232"/>
          <w:spacing w:val="-123"/>
          <w:sz w:val="28"/>
          <w:szCs w:val="28"/>
        </w:rPr>
        <w:t> </w:t>
      </w:r>
      <w:r>
        <w:rPr>
          <w:rFonts w:ascii="宋体" w:hAnsi="宋体" w:cs="宋体" w:eastAsia="宋体" w:hint="default"/>
          <w:color w:val="323232"/>
          <w:spacing w:val="-123"/>
          <w:sz w:val="28"/>
          <w:szCs w:val="28"/>
        </w:rPr>
      </w:r>
      <w:r>
        <w:rPr>
          <w:rFonts w:ascii="宋体" w:hAnsi="宋体" w:cs="宋体" w:eastAsia="宋体" w:hint="default"/>
          <w:color w:val="323232"/>
          <w:spacing w:val="-7"/>
          <w:sz w:val="28"/>
          <w:szCs w:val="28"/>
        </w:rPr>
        <w:t>灾区学生奉献爱心，将员工捐助的</w:t>
      </w:r>
      <w:r>
        <w:rPr>
          <w:rFonts w:ascii="宋体" w:hAnsi="宋体" w:cs="宋体" w:eastAsia="宋体" w:hint="default"/>
          <w:color w:val="323232"/>
          <w:spacing w:val="-70"/>
          <w:sz w:val="28"/>
          <w:szCs w:val="28"/>
        </w:rPr>
        <w:t> </w:t>
      </w:r>
      <w:r>
        <w:rPr>
          <w:rFonts w:ascii="宋体" w:hAnsi="宋体" w:cs="宋体" w:eastAsia="宋体" w:hint="default"/>
          <w:color w:val="323232"/>
          <w:sz w:val="28"/>
          <w:szCs w:val="28"/>
        </w:rPr>
        <w:t>734</w:t>
      </w:r>
      <w:r>
        <w:rPr>
          <w:rFonts w:ascii="宋体" w:hAnsi="宋体" w:cs="宋体" w:eastAsia="宋体" w:hint="default"/>
          <w:color w:val="323232"/>
          <w:spacing w:val="-70"/>
          <w:sz w:val="28"/>
          <w:szCs w:val="28"/>
        </w:rPr>
        <w:t> </w:t>
      </w:r>
      <w:r>
        <w:rPr>
          <w:rFonts w:ascii="宋体" w:hAnsi="宋体" w:cs="宋体" w:eastAsia="宋体" w:hint="default"/>
          <w:color w:val="323232"/>
          <w:sz w:val="28"/>
          <w:szCs w:val="28"/>
        </w:rPr>
        <w:t>万元捐赠给中国儿童少年基金</w:t>
      </w:r>
      <w:r>
        <w:rPr>
          <w:rFonts w:ascii="宋体" w:hAnsi="宋体" w:cs="宋体" w:eastAsia="宋体" w:hint="default"/>
          <w:color w:val="323232"/>
          <w:w w:val="99"/>
          <w:sz w:val="28"/>
          <w:szCs w:val="28"/>
        </w:rPr>
        <w:t> </w:t>
      </w:r>
      <w:r>
        <w:rPr>
          <w:rFonts w:ascii="宋体" w:hAnsi="宋体" w:cs="宋体" w:eastAsia="宋体" w:hint="default"/>
          <w:color w:val="323232"/>
          <w:spacing w:val="-3"/>
          <w:w w:val="99"/>
          <w:sz w:val="28"/>
          <w:szCs w:val="28"/>
        </w:rPr>
        <w:t>会“春蕾计划”，用于游仙镇第二小学的重建，并将其命名为“中国</w:t>
      </w:r>
      <w:r>
        <w:rPr>
          <w:rFonts w:ascii="宋体" w:hAnsi="宋体" w:cs="宋体" w:eastAsia="宋体" w:hint="default"/>
          <w:color w:val="323232"/>
          <w:spacing w:val="-129"/>
          <w:w w:val="99"/>
          <w:sz w:val="28"/>
          <w:szCs w:val="28"/>
        </w:rPr>
        <w:t> </w:t>
      </w:r>
      <w:r>
        <w:rPr>
          <w:rFonts w:ascii="宋体" w:hAnsi="宋体" w:cs="宋体" w:eastAsia="宋体" w:hint="default"/>
          <w:color w:val="323232"/>
          <w:spacing w:val="-129"/>
          <w:w w:val="99"/>
          <w:sz w:val="28"/>
          <w:szCs w:val="28"/>
        </w:rPr>
      </w:r>
      <w:r>
        <w:rPr>
          <w:rFonts w:ascii="宋体" w:hAnsi="宋体" w:cs="宋体" w:eastAsia="宋体" w:hint="default"/>
          <w:color w:val="323232"/>
          <w:spacing w:val="-3"/>
          <w:w w:val="99"/>
          <w:sz w:val="28"/>
          <w:szCs w:val="28"/>
        </w:rPr>
        <w:t>联通春蕾小学”。该项目将于明年秋季完工，确保全校师生新学期在</w:t>
      </w:r>
      <w:r>
        <w:rPr>
          <w:rFonts w:ascii="宋体" w:hAnsi="宋体" w:cs="宋体" w:eastAsia="宋体" w:hint="default"/>
          <w:color w:val="323232"/>
          <w:spacing w:val="-129"/>
          <w:w w:val="99"/>
          <w:sz w:val="28"/>
          <w:szCs w:val="28"/>
        </w:rPr>
        <w:t> </w:t>
      </w:r>
      <w:r>
        <w:rPr>
          <w:rFonts w:ascii="宋体" w:hAnsi="宋体" w:cs="宋体" w:eastAsia="宋体" w:hint="default"/>
          <w:color w:val="323232"/>
          <w:spacing w:val="-129"/>
          <w:w w:val="99"/>
          <w:sz w:val="28"/>
          <w:szCs w:val="28"/>
        </w:rPr>
      </w:r>
      <w:r>
        <w:rPr>
          <w:rFonts w:ascii="宋体" w:hAnsi="宋体" w:cs="宋体" w:eastAsia="宋体" w:hint="default"/>
          <w:color w:val="323232"/>
          <w:sz w:val="28"/>
          <w:szCs w:val="28"/>
        </w:rPr>
        <w:t>崭新的教学环境里开始新的学习生活。</w:t>
      </w:r>
      <w:r>
        <w:rPr>
          <w:rFonts w:ascii="宋体" w:hAnsi="宋体" w:cs="宋体" w:eastAsia="宋体" w:hint="default"/>
          <w:sz w:val="28"/>
          <w:szCs w:val="28"/>
        </w:rPr>
      </w:r>
    </w:p>
    <w:p>
      <w:pPr>
        <w:spacing w:line="408" w:lineRule="auto" w:before="61"/>
        <w:ind w:left="119" w:right="109" w:firstLine="560"/>
        <w:jc w:val="both"/>
        <w:rPr>
          <w:rFonts w:ascii="宋体" w:hAnsi="宋体" w:cs="宋体" w:eastAsia="宋体" w:hint="default"/>
          <w:sz w:val="28"/>
          <w:szCs w:val="28"/>
        </w:rPr>
      </w:pPr>
      <w:r>
        <w:rPr>
          <w:rFonts w:ascii="宋体" w:hAnsi="宋体" w:cs="宋体" w:eastAsia="宋体" w:hint="default"/>
          <w:sz w:val="28"/>
          <w:szCs w:val="28"/>
        </w:rPr>
        <w:t>中国联通云南分公司捐赠 20</w:t>
      </w:r>
      <w:r>
        <w:rPr>
          <w:rFonts w:ascii="宋体" w:hAnsi="宋体" w:cs="宋体" w:eastAsia="宋体" w:hint="default"/>
          <w:spacing w:val="-103"/>
          <w:sz w:val="28"/>
          <w:szCs w:val="28"/>
        </w:rPr>
        <w:t> </w:t>
      </w:r>
      <w:r>
        <w:rPr>
          <w:rFonts w:ascii="宋体" w:hAnsi="宋体" w:cs="宋体" w:eastAsia="宋体" w:hint="default"/>
          <w:sz w:val="28"/>
          <w:szCs w:val="28"/>
        </w:rPr>
        <w:t>万元资金在云南昭通市永善县建设</w:t>
      </w:r>
      <w:r>
        <w:rPr>
          <w:rFonts w:ascii="宋体" w:hAnsi="宋体" w:cs="宋体" w:eastAsia="宋体" w:hint="default"/>
          <w:w w:val="99"/>
          <w:sz w:val="28"/>
          <w:szCs w:val="28"/>
        </w:rPr>
        <w:t> </w:t>
      </w:r>
      <w:r>
        <w:rPr>
          <w:rFonts w:ascii="宋体" w:hAnsi="宋体" w:cs="宋体" w:eastAsia="宋体" w:hint="default"/>
          <w:spacing w:val="6"/>
          <w:sz w:val="28"/>
          <w:szCs w:val="28"/>
        </w:rPr>
        <w:t>的春蕾小学，今年初配合永善县相关部门完成小学的验收和后期工</w:t>
      </w:r>
      <w:r>
        <w:rPr>
          <w:rFonts w:ascii="宋体" w:hAnsi="宋体" w:cs="宋体" w:eastAsia="宋体" w:hint="default"/>
          <w:spacing w:val="7"/>
          <w:w w:val="99"/>
          <w:sz w:val="28"/>
          <w:szCs w:val="28"/>
        </w:rPr>
        <w:t> </w:t>
      </w:r>
      <w:r>
        <w:rPr>
          <w:rFonts w:ascii="宋体" w:hAnsi="宋体" w:cs="宋体" w:eastAsia="宋体" w:hint="default"/>
          <w:spacing w:val="-3"/>
          <w:sz w:val="28"/>
          <w:szCs w:val="28"/>
        </w:rPr>
        <w:t>程。小学已于</w:t>
      </w:r>
      <w:r>
        <w:rPr>
          <w:rFonts w:ascii="宋体" w:hAnsi="宋体" w:cs="宋体" w:eastAsia="宋体" w:hint="default"/>
          <w:spacing w:val="-73"/>
          <w:sz w:val="28"/>
          <w:szCs w:val="28"/>
        </w:rPr>
        <w:t> </w:t>
      </w:r>
      <w:r>
        <w:rPr>
          <w:rFonts w:ascii="宋体" w:hAnsi="宋体" w:cs="宋体" w:eastAsia="宋体" w:hint="default"/>
          <w:sz w:val="28"/>
          <w:szCs w:val="28"/>
        </w:rPr>
        <w:t>2009</w:t>
      </w:r>
      <w:r>
        <w:rPr>
          <w:rFonts w:ascii="宋体" w:hAnsi="宋体" w:cs="宋体" w:eastAsia="宋体" w:hint="default"/>
          <w:spacing w:val="-73"/>
          <w:sz w:val="28"/>
          <w:szCs w:val="28"/>
        </w:rPr>
        <w:t> </w:t>
      </w:r>
      <w:r>
        <w:rPr>
          <w:rFonts w:ascii="宋体" w:hAnsi="宋体" w:cs="宋体" w:eastAsia="宋体" w:hint="default"/>
          <w:sz w:val="28"/>
          <w:szCs w:val="28"/>
        </w:rPr>
        <w:t>年</w:t>
      </w:r>
      <w:r>
        <w:rPr>
          <w:rFonts w:ascii="宋体" w:hAnsi="宋体" w:cs="宋体" w:eastAsia="宋体" w:hint="default"/>
          <w:spacing w:val="-73"/>
          <w:sz w:val="28"/>
          <w:szCs w:val="28"/>
        </w:rPr>
        <w:t> </w:t>
      </w:r>
      <w:r>
        <w:rPr>
          <w:rFonts w:ascii="宋体" w:hAnsi="宋体" w:cs="宋体" w:eastAsia="宋体" w:hint="default"/>
          <w:sz w:val="28"/>
          <w:szCs w:val="28"/>
        </w:rPr>
        <w:t>8</w:t>
      </w:r>
      <w:r>
        <w:rPr>
          <w:rFonts w:ascii="宋体" w:hAnsi="宋体" w:cs="宋体" w:eastAsia="宋体" w:hint="default"/>
          <w:spacing w:val="-73"/>
          <w:sz w:val="28"/>
          <w:szCs w:val="28"/>
        </w:rPr>
        <w:t> </w:t>
      </w:r>
      <w:r>
        <w:rPr>
          <w:rFonts w:ascii="宋体" w:hAnsi="宋体" w:cs="宋体" w:eastAsia="宋体" w:hint="default"/>
          <w:sz w:val="28"/>
          <w:szCs w:val="28"/>
        </w:rPr>
        <w:t>月交付使用。2010</w:t>
      </w:r>
      <w:r>
        <w:rPr>
          <w:rFonts w:ascii="宋体" w:hAnsi="宋体" w:cs="宋体" w:eastAsia="宋体" w:hint="default"/>
          <w:spacing w:val="-74"/>
          <w:sz w:val="28"/>
          <w:szCs w:val="28"/>
        </w:rPr>
        <w:t> </w:t>
      </w:r>
      <w:r>
        <w:rPr>
          <w:rFonts w:ascii="宋体" w:hAnsi="宋体" w:cs="宋体" w:eastAsia="宋体" w:hint="default"/>
          <w:sz w:val="28"/>
          <w:szCs w:val="28"/>
        </w:rPr>
        <w:t>年</w:t>
      </w:r>
      <w:r>
        <w:rPr>
          <w:rFonts w:ascii="宋体" w:hAnsi="宋体" w:cs="宋体" w:eastAsia="宋体" w:hint="default"/>
          <w:spacing w:val="-73"/>
          <w:sz w:val="28"/>
          <w:szCs w:val="28"/>
        </w:rPr>
        <w:t> </w:t>
      </w:r>
      <w:r>
        <w:rPr>
          <w:rFonts w:ascii="宋体" w:hAnsi="宋体" w:cs="宋体" w:eastAsia="宋体" w:hint="default"/>
          <w:sz w:val="28"/>
          <w:szCs w:val="28"/>
        </w:rPr>
        <w:t>1</w:t>
      </w:r>
      <w:r>
        <w:rPr>
          <w:rFonts w:ascii="宋体" w:hAnsi="宋体" w:cs="宋体" w:eastAsia="宋体" w:hint="default"/>
          <w:spacing w:val="-73"/>
          <w:sz w:val="28"/>
          <w:szCs w:val="28"/>
        </w:rPr>
        <w:t> </w:t>
      </w:r>
      <w:r>
        <w:rPr>
          <w:rFonts w:ascii="宋体" w:hAnsi="宋体" w:cs="宋体" w:eastAsia="宋体" w:hint="default"/>
          <w:sz w:val="28"/>
          <w:szCs w:val="28"/>
        </w:rPr>
        <w:t>月全校</w:t>
      </w:r>
      <w:r>
        <w:rPr>
          <w:rFonts w:ascii="宋体" w:hAnsi="宋体" w:cs="宋体" w:eastAsia="宋体" w:hint="default"/>
          <w:spacing w:val="-73"/>
          <w:sz w:val="28"/>
          <w:szCs w:val="28"/>
        </w:rPr>
        <w:t> </w:t>
      </w:r>
      <w:r>
        <w:rPr>
          <w:rFonts w:ascii="宋体" w:hAnsi="宋体" w:cs="宋体" w:eastAsia="宋体" w:hint="default"/>
          <w:sz w:val="28"/>
          <w:szCs w:val="28"/>
        </w:rPr>
        <w:t>117</w:t>
      </w:r>
      <w:r>
        <w:rPr>
          <w:rFonts w:ascii="宋体" w:hAnsi="宋体" w:cs="宋体" w:eastAsia="宋体" w:hint="default"/>
          <w:spacing w:val="-74"/>
          <w:sz w:val="28"/>
          <w:szCs w:val="28"/>
        </w:rPr>
        <w:t> </w:t>
      </w:r>
      <w:r>
        <w:rPr>
          <w:rFonts w:ascii="宋体" w:hAnsi="宋体" w:cs="宋体" w:eastAsia="宋体" w:hint="default"/>
          <w:sz w:val="28"/>
          <w:szCs w:val="28"/>
        </w:rPr>
        <w:t>名小学生</w:t>
      </w:r>
      <w:r>
        <w:rPr>
          <w:rFonts w:ascii="宋体" w:hAnsi="宋体" w:cs="宋体" w:eastAsia="宋体" w:hint="default"/>
          <w:w w:val="99"/>
          <w:sz w:val="28"/>
          <w:szCs w:val="28"/>
        </w:rPr>
        <w:t> </w:t>
      </w:r>
      <w:r>
        <w:rPr>
          <w:rFonts w:ascii="宋体" w:hAnsi="宋体" w:cs="宋体" w:eastAsia="宋体" w:hint="default"/>
          <w:spacing w:val="-4"/>
          <w:sz w:val="28"/>
          <w:szCs w:val="28"/>
        </w:rPr>
        <w:t>搬进了新校舍。为保证学生有一个良好的学习环境，还为学校添置了</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篮球架、乒乓桌等文体器材，为</w:t>
      </w:r>
      <w:r>
        <w:rPr>
          <w:rFonts w:ascii="宋体" w:hAnsi="宋体" w:cs="宋体" w:eastAsia="宋体" w:hint="default"/>
          <w:spacing w:val="-77"/>
          <w:sz w:val="28"/>
          <w:szCs w:val="28"/>
        </w:rPr>
        <w:t> </w:t>
      </w:r>
      <w:r>
        <w:rPr>
          <w:rFonts w:ascii="宋体" w:hAnsi="宋体" w:cs="宋体" w:eastAsia="宋体" w:hint="default"/>
          <w:sz w:val="28"/>
          <w:szCs w:val="28"/>
        </w:rPr>
        <w:t>130</w:t>
      </w:r>
      <w:r>
        <w:rPr>
          <w:rFonts w:ascii="宋体" w:hAnsi="宋体" w:cs="宋体" w:eastAsia="宋体" w:hint="default"/>
          <w:spacing w:val="-77"/>
          <w:sz w:val="28"/>
          <w:szCs w:val="28"/>
        </w:rPr>
        <w:t> </w:t>
      </w:r>
      <w:r>
        <w:rPr>
          <w:rFonts w:ascii="宋体" w:hAnsi="宋体" w:cs="宋体" w:eastAsia="宋体" w:hint="default"/>
          <w:sz w:val="28"/>
          <w:szCs w:val="28"/>
        </w:rPr>
        <w:t>名学生购买了书包和文具。</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2"/>
        <w:rPr>
          <w:rFonts w:ascii="宋体" w:hAnsi="宋体" w:cs="宋体" w:eastAsia="宋体" w:hint="default"/>
          <w:sz w:val="39"/>
          <w:szCs w:val="39"/>
        </w:rPr>
      </w:pPr>
    </w:p>
    <w:p>
      <w:pPr>
        <w:spacing w:before="0"/>
        <w:ind w:left="120" w:right="0" w:firstLine="0"/>
        <w:jc w:val="both"/>
        <w:rPr>
          <w:rFonts w:ascii="黑体" w:hAnsi="黑体" w:cs="黑体" w:eastAsia="黑体" w:hint="default"/>
          <w:sz w:val="36"/>
          <w:szCs w:val="36"/>
        </w:rPr>
      </w:pPr>
      <w:r>
        <w:rPr>
          <w:rFonts w:ascii="黑体" w:hAnsi="黑体" w:cs="黑体" w:eastAsia="黑体" w:hint="default"/>
          <w:b/>
          <w:bCs/>
          <w:sz w:val="36"/>
          <w:szCs w:val="36"/>
        </w:rPr>
        <w:t>“联通桥，连民心”</w:t>
      </w:r>
      <w:r>
        <w:rPr>
          <w:rFonts w:ascii="黑体" w:hAnsi="黑体" w:cs="黑体" w:eastAsia="黑体" w:hint="default"/>
          <w:sz w:val="36"/>
          <w:szCs w:val="36"/>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spacing w:line="408" w:lineRule="auto" w:before="0"/>
        <w:ind w:left="119" w:right="117" w:firstLine="548"/>
        <w:jc w:val="both"/>
        <w:rPr>
          <w:rFonts w:ascii="宋体" w:hAnsi="宋体" w:cs="宋体" w:eastAsia="宋体" w:hint="default"/>
          <w:sz w:val="28"/>
          <w:szCs w:val="28"/>
        </w:rPr>
      </w:pPr>
      <w:r>
        <w:rPr>
          <w:rFonts w:ascii="宋体" w:hAnsi="宋体" w:cs="宋体" w:eastAsia="宋体" w:hint="default"/>
          <w:spacing w:val="-3"/>
          <w:sz w:val="28"/>
          <w:szCs w:val="28"/>
        </w:rPr>
        <w:t>云南昭通市永善县莲峰镇万和村长期以来人畜饮水非常困难，中</w:t>
      </w:r>
      <w:r>
        <w:rPr>
          <w:rFonts w:ascii="宋体" w:hAnsi="宋体" w:cs="宋体" w:eastAsia="宋体" w:hint="default"/>
          <w:w w:val="99"/>
          <w:sz w:val="28"/>
          <w:szCs w:val="28"/>
        </w:rPr>
        <w:t> </w:t>
      </w:r>
      <w:r>
        <w:rPr>
          <w:rFonts w:ascii="宋体" w:hAnsi="宋体" w:cs="宋体" w:eastAsia="宋体" w:hint="default"/>
          <w:spacing w:val="-4"/>
          <w:sz w:val="28"/>
          <w:szCs w:val="28"/>
        </w:rPr>
        <w:t>国联通云南分公司组织村民集资筹劳、并协调筹集资金，建设饮水工</w:t>
      </w:r>
    </w:p>
    <w:p>
      <w:pPr>
        <w:spacing w:after="0" w:line="408" w:lineRule="auto"/>
        <w:jc w:val="both"/>
        <w:rPr>
          <w:rFonts w:ascii="宋体" w:hAnsi="宋体" w:cs="宋体" w:eastAsia="宋体" w:hint="default"/>
          <w:sz w:val="28"/>
          <w:szCs w:val="28"/>
        </w:rPr>
        <w:sectPr>
          <w:headerReference w:type="default" r:id="rId282"/>
          <w:footerReference w:type="default" r:id="rId283"/>
          <w:pgSz w:w="11910" w:h="16840"/>
          <w:pgMar w:header="0" w:footer="982" w:top="1600" w:bottom="1180" w:left="1680" w:right="1680"/>
          <w:pgNumType w:start="48"/>
        </w:sectPr>
      </w:pPr>
    </w:p>
    <w:p>
      <w:pPr>
        <w:pStyle w:val="Heading7"/>
        <w:spacing w:line="351" w:lineRule="exact"/>
        <w:ind w:right="144"/>
        <w:jc w:val="left"/>
      </w:pPr>
      <w:r>
        <w:rPr>
          <w:spacing w:val="-4"/>
        </w:rPr>
        <w:t>程，以解决部分村民的人畜饮水问题。昭通永善黑寨村，去年遭遇了</w:t>
      </w:r>
    </w:p>
    <w:p>
      <w:pPr>
        <w:spacing w:line="240" w:lineRule="auto" w:before="9"/>
        <w:rPr>
          <w:rFonts w:ascii="宋体" w:hAnsi="宋体" w:cs="宋体" w:eastAsia="宋体" w:hint="default"/>
          <w:sz w:val="19"/>
          <w:szCs w:val="19"/>
        </w:rPr>
      </w:pPr>
    </w:p>
    <w:p>
      <w:pPr>
        <w:spacing w:line="408" w:lineRule="auto" w:before="0"/>
        <w:ind w:left="120" w:right="144" w:firstLine="0"/>
        <w:jc w:val="left"/>
        <w:rPr>
          <w:rFonts w:ascii="宋体" w:hAnsi="宋体" w:cs="宋体" w:eastAsia="宋体" w:hint="default"/>
          <w:sz w:val="28"/>
          <w:szCs w:val="28"/>
        </w:rPr>
      </w:pPr>
      <w:r>
        <w:rPr>
          <w:rFonts w:ascii="宋体" w:hAnsi="宋体" w:cs="宋体" w:eastAsia="宋体" w:hint="default"/>
          <w:spacing w:val="-4"/>
          <w:sz w:val="28"/>
          <w:szCs w:val="28"/>
        </w:rPr>
        <w:t>百年不遇冰雪，同时也是地震受灾地区，公司协调筹集资金为黑寨村</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7"/>
          <w:w w:val="99"/>
          <w:sz w:val="28"/>
          <w:szCs w:val="28"/>
        </w:rPr>
        <w:t>修建“联通桥”，使村民告别了踏洪水过河的历史。</w:t>
      </w:r>
      <w:r>
        <w:rPr>
          <w:rFonts w:ascii="宋体" w:hAnsi="宋体" w:cs="宋体" w:eastAsia="宋体" w:hint="default"/>
          <w:spacing w:val="-7"/>
          <w:sz w:val="28"/>
          <w:szCs w:val="28"/>
        </w:rPr>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1"/>
        <w:rPr>
          <w:rFonts w:ascii="宋体" w:hAnsi="宋体" w:cs="宋体" w:eastAsia="宋体" w:hint="default"/>
          <w:sz w:val="33"/>
          <w:szCs w:val="33"/>
        </w:rPr>
      </w:pPr>
    </w:p>
    <w:p>
      <w:pPr>
        <w:spacing w:before="0"/>
        <w:ind w:left="120" w:right="144" w:firstLine="0"/>
        <w:jc w:val="left"/>
        <w:rPr>
          <w:rFonts w:ascii="黑体" w:hAnsi="黑体" w:cs="黑体" w:eastAsia="黑体" w:hint="default"/>
          <w:sz w:val="36"/>
          <w:szCs w:val="36"/>
        </w:rPr>
      </w:pPr>
      <w:r>
        <w:rPr>
          <w:rFonts w:ascii="黑体" w:hAnsi="黑体" w:cs="黑体" w:eastAsia="黑体" w:hint="default"/>
          <w:b/>
          <w:bCs/>
          <w:sz w:val="36"/>
          <w:szCs w:val="36"/>
        </w:rPr>
        <w:t>推进贫困地区和谐可持续发展</w:t>
      </w:r>
      <w:r>
        <w:rPr>
          <w:rFonts w:ascii="黑体" w:hAnsi="黑体" w:cs="黑体" w:eastAsia="黑体" w:hint="default"/>
          <w:sz w:val="36"/>
          <w:szCs w:val="36"/>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8"/>
        <w:rPr>
          <w:rFonts w:ascii="黑体" w:hAnsi="黑体" w:cs="黑体" w:eastAsia="黑体" w:hint="default"/>
          <w:b/>
          <w:bCs/>
          <w:sz w:val="23"/>
          <w:szCs w:val="23"/>
        </w:rPr>
      </w:pPr>
    </w:p>
    <w:p>
      <w:pPr>
        <w:spacing w:line="2851" w:lineRule="exact"/>
        <w:ind w:left="2389" w:right="0" w:firstLine="0"/>
        <w:rPr>
          <w:rFonts w:ascii="黑体" w:hAnsi="黑体" w:cs="黑体" w:eastAsia="黑体" w:hint="default"/>
          <w:sz w:val="20"/>
          <w:szCs w:val="20"/>
        </w:rPr>
      </w:pPr>
      <w:r>
        <w:rPr>
          <w:rFonts w:ascii="黑体" w:hAnsi="黑体" w:cs="黑体" w:eastAsia="黑体" w:hint="default"/>
          <w:position w:val="-56"/>
          <w:sz w:val="20"/>
          <w:szCs w:val="20"/>
        </w:rPr>
        <w:drawing>
          <wp:inline distT="0" distB="0" distL="0" distR="0">
            <wp:extent cx="2404819" cy="1810512"/>
            <wp:effectExtent l="0" t="0" r="0" b="0"/>
            <wp:docPr id="39" name="image30.jpeg" descr=""/>
            <wp:cNvGraphicFramePr>
              <a:graphicFrameLocks noChangeAspect="1"/>
            </wp:cNvGraphicFramePr>
            <a:graphic>
              <a:graphicData uri="http://schemas.openxmlformats.org/drawingml/2006/picture">
                <pic:pic>
                  <pic:nvPicPr>
                    <pic:cNvPr id="40" name="image30.jpeg"/>
                    <pic:cNvPicPr/>
                  </pic:nvPicPr>
                  <pic:blipFill>
                    <a:blip r:embed="rId286" cstate="print"/>
                    <a:stretch>
                      <a:fillRect/>
                    </a:stretch>
                  </pic:blipFill>
                  <pic:spPr>
                    <a:xfrm>
                      <a:off x="0" y="0"/>
                      <a:ext cx="2404819" cy="1810512"/>
                    </a:xfrm>
                    <a:prstGeom prst="rect">
                      <a:avLst/>
                    </a:prstGeom>
                  </pic:spPr>
                </pic:pic>
              </a:graphicData>
            </a:graphic>
          </wp:inline>
        </w:drawing>
      </w:r>
      <w:r>
        <w:rPr>
          <w:rFonts w:ascii="黑体" w:hAnsi="黑体" w:cs="黑体" w:eastAsia="黑体" w:hint="default"/>
          <w:position w:val="-56"/>
          <w:sz w:val="20"/>
          <w:szCs w:val="2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357" w:lineRule="auto" w:before="148"/>
        <w:ind w:left="120" w:right="249" w:firstLine="584"/>
        <w:jc w:val="both"/>
        <w:rPr>
          <w:rFonts w:ascii="宋体" w:hAnsi="宋体" w:cs="宋体" w:eastAsia="宋体" w:hint="default"/>
          <w:sz w:val="28"/>
          <w:szCs w:val="28"/>
        </w:rPr>
      </w:pPr>
      <w:r>
        <w:rPr>
          <w:rFonts w:ascii="宋体" w:hAnsi="宋体" w:cs="宋体" w:eastAsia="宋体" w:hint="default"/>
          <w:spacing w:val="17"/>
          <w:sz w:val="28"/>
          <w:szCs w:val="28"/>
        </w:rPr>
        <w:t>中国联通辽宁分公司通过多年扶贫工作，使南双庙乡的自我</w:t>
      </w:r>
      <w:r>
        <w:rPr>
          <w:rFonts w:ascii="宋体" w:hAnsi="宋体" w:cs="宋体" w:eastAsia="宋体" w:hint="default"/>
          <w:spacing w:val="17"/>
          <w:w w:val="99"/>
          <w:sz w:val="28"/>
          <w:szCs w:val="28"/>
        </w:rPr>
        <w:t> </w:t>
      </w:r>
      <w:r>
        <w:rPr>
          <w:rFonts w:ascii="宋体" w:hAnsi="宋体" w:cs="宋体" w:eastAsia="宋体" w:hint="default"/>
          <w:spacing w:val="17"/>
          <w:w w:val="95"/>
          <w:sz w:val="28"/>
          <w:szCs w:val="28"/>
        </w:rPr>
        <w:t>发展能力得到了提高，加快了扶贫地区农业产业化经营，贫困乡</w:t>
      </w:r>
      <w:r>
        <w:rPr>
          <w:rFonts w:ascii="宋体" w:hAnsi="宋体" w:cs="宋体" w:eastAsia="宋体" w:hint="default"/>
          <w:spacing w:val="97"/>
          <w:w w:val="95"/>
          <w:sz w:val="28"/>
          <w:szCs w:val="28"/>
        </w:rPr>
        <w:t> </w:t>
      </w:r>
      <w:r>
        <w:rPr>
          <w:rFonts w:ascii="宋体" w:hAnsi="宋体" w:cs="宋体" w:eastAsia="宋体" w:hint="default"/>
          <w:spacing w:val="17"/>
          <w:w w:val="95"/>
          <w:sz w:val="28"/>
          <w:szCs w:val="28"/>
        </w:rPr>
        <w:t>村群众的生产生活条件得到了改善，促进了帮扶地区社会经济的</w:t>
      </w:r>
      <w:r>
        <w:rPr>
          <w:rFonts w:ascii="宋体" w:hAnsi="宋体" w:cs="宋体" w:eastAsia="宋体" w:hint="default"/>
          <w:spacing w:val="97"/>
          <w:w w:val="95"/>
          <w:sz w:val="28"/>
          <w:szCs w:val="28"/>
        </w:rPr>
        <w:t> </w:t>
      </w:r>
      <w:r>
        <w:rPr>
          <w:rFonts w:ascii="宋体" w:hAnsi="宋体" w:cs="宋体" w:eastAsia="宋体" w:hint="default"/>
          <w:spacing w:val="12"/>
          <w:sz w:val="28"/>
          <w:szCs w:val="28"/>
        </w:rPr>
        <w:t>可持续发展。</w:t>
      </w:r>
      <w:r>
        <w:rPr>
          <w:rFonts w:ascii="宋体" w:hAnsi="宋体" w:cs="宋体" w:eastAsia="宋体" w:hint="default"/>
          <w:sz w:val="28"/>
          <w:szCs w:val="28"/>
        </w:rPr>
      </w:r>
    </w:p>
    <w:p>
      <w:pPr>
        <w:spacing w:line="357" w:lineRule="auto" w:before="41"/>
        <w:ind w:left="120" w:right="4059" w:firstLine="560"/>
        <w:jc w:val="both"/>
        <w:rPr>
          <w:rFonts w:ascii="宋体" w:hAnsi="宋体" w:cs="宋体" w:eastAsia="宋体" w:hint="default"/>
          <w:sz w:val="28"/>
          <w:szCs w:val="28"/>
        </w:rPr>
      </w:pPr>
      <w:r>
        <w:rPr/>
        <w:pict>
          <v:shape style="position:absolute;margin-left:323.999969pt;margin-top:6.713407pt;width:180.435928pt;height:131.039993pt;mso-position-horizontal-relative:page;mso-position-vertical-relative:paragraph;z-index:10528" type="#_x0000_t75" stroked="false">
            <v:imagedata r:id="rId287" o:title=""/>
          </v:shape>
        </w:pict>
      </w:r>
      <w:r>
        <w:rPr>
          <w:rFonts w:ascii="宋体" w:hAnsi="宋体" w:cs="宋体" w:eastAsia="宋体" w:hint="default"/>
          <w:sz w:val="28"/>
          <w:szCs w:val="28"/>
        </w:rPr>
        <w:t>为南双庙乡马德沟、山后两村新</w:t>
      </w:r>
      <w:r>
        <w:rPr>
          <w:rFonts w:ascii="宋体" w:hAnsi="宋体" w:cs="宋体" w:eastAsia="宋体" w:hint="default"/>
          <w:spacing w:val="1"/>
          <w:w w:val="99"/>
          <w:sz w:val="28"/>
          <w:szCs w:val="28"/>
        </w:rPr>
        <w:t> </w:t>
      </w:r>
      <w:r>
        <w:rPr>
          <w:rFonts w:ascii="宋体" w:hAnsi="宋体" w:cs="宋体" w:eastAsia="宋体" w:hint="default"/>
          <w:sz w:val="28"/>
          <w:szCs w:val="28"/>
        </w:rPr>
        <w:t>建“小尾寒羊”养殖基地，建水利配</w:t>
      </w:r>
      <w:r>
        <w:rPr>
          <w:rFonts w:ascii="宋体" w:hAnsi="宋体" w:cs="宋体" w:eastAsia="宋体" w:hint="default"/>
          <w:spacing w:val="-131"/>
          <w:sz w:val="28"/>
          <w:szCs w:val="28"/>
        </w:rPr>
        <w:t> </w:t>
      </w:r>
      <w:r>
        <w:rPr>
          <w:rFonts w:ascii="宋体" w:hAnsi="宋体" w:cs="宋体" w:eastAsia="宋体" w:hint="default"/>
          <w:w w:val="99"/>
          <w:sz w:val="28"/>
          <w:szCs w:val="28"/>
        </w:rPr>
        <w:t>套设施（60</w:t>
      </w:r>
      <w:r>
        <w:rPr>
          <w:rFonts w:ascii="宋体" w:hAnsi="宋体" w:cs="宋体" w:eastAsia="宋体" w:hint="default"/>
          <w:spacing w:val="9"/>
          <w:w w:val="99"/>
          <w:sz w:val="28"/>
          <w:szCs w:val="28"/>
        </w:rPr>
        <w:t> </w:t>
      </w:r>
      <w:r>
        <w:rPr>
          <w:rFonts w:ascii="宋体" w:hAnsi="宋体" w:cs="宋体" w:eastAsia="宋体" w:hint="default"/>
          <w:spacing w:val="-12"/>
          <w:w w:val="99"/>
          <w:sz w:val="28"/>
          <w:szCs w:val="28"/>
        </w:rPr>
        <w:t>户人畜饮水），改建鸡禽</w:t>
      </w:r>
      <w:r>
        <w:rPr>
          <w:rFonts w:ascii="宋体" w:hAnsi="宋体" w:cs="宋体" w:eastAsia="宋体" w:hint="default"/>
          <w:spacing w:val="1"/>
          <w:w w:val="99"/>
          <w:sz w:val="28"/>
          <w:szCs w:val="28"/>
        </w:rPr>
        <w:t> </w:t>
      </w:r>
      <w:r>
        <w:rPr>
          <w:rFonts w:ascii="宋体" w:hAnsi="宋体" w:cs="宋体" w:eastAsia="宋体" w:hint="default"/>
          <w:spacing w:val="11"/>
          <w:sz w:val="28"/>
          <w:szCs w:val="28"/>
        </w:rPr>
        <w:t>舍，扩充养殖。栽植大枣树苗</w:t>
      </w:r>
      <w:r>
        <w:rPr>
          <w:rFonts w:ascii="宋体" w:hAnsi="宋体" w:cs="宋体" w:eastAsia="宋体" w:hint="default"/>
          <w:spacing w:val="6"/>
          <w:sz w:val="28"/>
          <w:szCs w:val="28"/>
        </w:rPr>
        <w:t> </w:t>
      </w:r>
      <w:r>
        <w:rPr>
          <w:rFonts w:ascii="宋体" w:hAnsi="宋体" w:cs="宋体" w:eastAsia="宋体" w:hint="default"/>
          <w:sz w:val="28"/>
          <w:szCs w:val="28"/>
        </w:rPr>
        <w:t>12.5</w:t>
      </w:r>
    </w:p>
    <w:p>
      <w:pPr>
        <w:spacing w:before="41"/>
        <w:ind w:left="120" w:right="144" w:firstLine="0"/>
        <w:jc w:val="left"/>
        <w:rPr>
          <w:rFonts w:ascii="宋体" w:hAnsi="宋体" w:cs="宋体" w:eastAsia="宋体" w:hint="default"/>
          <w:sz w:val="28"/>
          <w:szCs w:val="28"/>
        </w:rPr>
      </w:pPr>
      <w:r>
        <w:rPr>
          <w:rFonts w:ascii="宋体" w:hAnsi="宋体" w:cs="宋体" w:eastAsia="宋体" w:hint="default"/>
          <w:w w:val="99"/>
          <w:sz w:val="28"/>
          <w:szCs w:val="28"/>
        </w:rPr>
        <w:t>万株</w:t>
      </w:r>
      <w:r>
        <w:rPr>
          <w:rFonts w:ascii="宋体" w:hAnsi="宋体" w:cs="宋体" w:eastAsia="宋体" w:hint="default"/>
          <w:spacing w:val="-130"/>
          <w:w w:val="99"/>
          <w:sz w:val="28"/>
          <w:szCs w:val="28"/>
        </w:rPr>
        <w:t>，</w:t>
      </w:r>
      <w:r>
        <w:rPr>
          <w:rFonts w:ascii="宋体" w:hAnsi="宋体" w:cs="宋体" w:eastAsia="宋体" w:hint="default"/>
          <w:w w:val="99"/>
          <w:sz w:val="28"/>
          <w:szCs w:val="28"/>
        </w:rPr>
        <w:t>利用山枣嫁接</w:t>
      </w:r>
      <w:r>
        <w:rPr>
          <w:rFonts w:ascii="宋体" w:hAnsi="宋体" w:cs="宋体" w:eastAsia="宋体" w:hint="default"/>
          <w:spacing w:val="-70"/>
          <w:sz w:val="28"/>
          <w:szCs w:val="28"/>
        </w:rPr>
        <w:t> </w:t>
      </w:r>
      <w:r>
        <w:rPr>
          <w:rFonts w:ascii="宋体" w:hAnsi="宋体" w:cs="宋体" w:eastAsia="宋体" w:hint="default"/>
          <w:w w:val="99"/>
          <w:sz w:val="28"/>
          <w:szCs w:val="28"/>
        </w:rPr>
        <w:t>25</w:t>
      </w:r>
      <w:r>
        <w:rPr>
          <w:rFonts w:ascii="宋体" w:hAnsi="宋体" w:cs="宋体" w:eastAsia="宋体" w:hint="default"/>
          <w:spacing w:val="-70"/>
          <w:sz w:val="28"/>
          <w:szCs w:val="28"/>
        </w:rPr>
        <w:t> </w:t>
      </w:r>
      <w:r>
        <w:rPr>
          <w:rFonts w:ascii="宋体" w:hAnsi="宋体" w:cs="宋体" w:eastAsia="宋体" w:hint="default"/>
          <w:w w:val="99"/>
          <w:sz w:val="28"/>
          <w:szCs w:val="28"/>
        </w:rPr>
        <w:t>万株</w:t>
      </w:r>
      <w:r>
        <w:rPr>
          <w:rFonts w:ascii="宋体" w:hAnsi="宋体" w:cs="宋体" w:eastAsia="宋体" w:hint="default"/>
          <w:spacing w:val="-129"/>
          <w:w w:val="99"/>
          <w:sz w:val="28"/>
          <w:szCs w:val="28"/>
        </w:rPr>
        <w:t>。</w:t>
      </w:r>
      <w:r>
        <w:rPr>
          <w:rFonts w:ascii="宋体" w:hAnsi="宋体" w:cs="宋体" w:eastAsia="宋体" w:hint="default"/>
          <w:w w:val="99"/>
          <w:sz w:val="28"/>
          <w:szCs w:val="28"/>
        </w:rPr>
        <w:t>在曹家、</w:t>
      </w:r>
      <w:r>
        <w:rPr>
          <w:rFonts w:ascii="宋体" w:hAnsi="宋体" w:cs="宋体" w:eastAsia="宋体" w:hint="default"/>
          <w:sz w:val="28"/>
          <w:szCs w:val="28"/>
        </w:rPr>
      </w:r>
    </w:p>
    <w:p>
      <w:pPr>
        <w:spacing w:before="178"/>
        <w:ind w:left="120" w:right="0" w:firstLine="0"/>
        <w:jc w:val="left"/>
        <w:rPr>
          <w:rFonts w:ascii="宋体" w:hAnsi="宋体" w:cs="宋体" w:eastAsia="宋体" w:hint="default"/>
          <w:sz w:val="28"/>
          <w:szCs w:val="28"/>
        </w:rPr>
      </w:pPr>
      <w:r>
        <w:rPr>
          <w:rFonts w:ascii="宋体" w:hAnsi="宋体" w:cs="宋体" w:eastAsia="宋体" w:hint="default"/>
          <w:spacing w:val="-5"/>
          <w:sz w:val="28"/>
          <w:szCs w:val="28"/>
        </w:rPr>
        <w:t>榆北、山后、西营子、大杖子等村，嫁接枣树、大扁杏等</w:t>
      </w:r>
      <w:r>
        <w:rPr>
          <w:rFonts w:ascii="宋体" w:hAnsi="宋体" w:cs="宋体" w:eastAsia="宋体" w:hint="default"/>
          <w:spacing w:val="-63"/>
          <w:sz w:val="28"/>
          <w:szCs w:val="28"/>
        </w:rPr>
        <w:t> </w:t>
      </w:r>
      <w:r>
        <w:rPr>
          <w:rFonts w:ascii="宋体" w:hAnsi="宋体" w:cs="宋体" w:eastAsia="宋体" w:hint="default"/>
          <w:sz w:val="28"/>
          <w:szCs w:val="28"/>
        </w:rPr>
        <w:t>6.91</w:t>
      </w:r>
      <w:r>
        <w:rPr>
          <w:rFonts w:ascii="宋体" w:hAnsi="宋体" w:cs="宋体" w:eastAsia="宋体" w:hint="default"/>
          <w:spacing w:val="-64"/>
          <w:sz w:val="28"/>
          <w:szCs w:val="28"/>
        </w:rPr>
        <w:t> </w:t>
      </w:r>
      <w:r>
        <w:rPr>
          <w:rFonts w:ascii="宋体" w:hAnsi="宋体" w:cs="宋体" w:eastAsia="宋体" w:hint="default"/>
          <w:sz w:val="28"/>
          <w:szCs w:val="28"/>
        </w:rPr>
        <w:t>万株。</w:t>
      </w:r>
    </w:p>
    <w:p>
      <w:pPr>
        <w:spacing w:before="178"/>
        <w:ind w:left="120" w:right="144" w:firstLine="0"/>
        <w:jc w:val="left"/>
        <w:rPr>
          <w:rFonts w:ascii="宋体" w:hAnsi="宋体" w:cs="宋体" w:eastAsia="宋体" w:hint="default"/>
          <w:sz w:val="28"/>
          <w:szCs w:val="28"/>
        </w:rPr>
      </w:pPr>
      <w:r>
        <w:rPr>
          <w:rFonts w:ascii="宋体" w:hAnsi="宋体" w:cs="宋体" w:eastAsia="宋体" w:hint="default"/>
          <w:sz w:val="28"/>
          <w:szCs w:val="28"/>
        </w:rPr>
        <w:t>发展柏山水蜜桃</w:t>
      </w:r>
      <w:r>
        <w:rPr>
          <w:rFonts w:ascii="宋体" w:hAnsi="宋体" w:cs="宋体" w:eastAsia="宋体" w:hint="default"/>
          <w:spacing w:val="-61"/>
          <w:sz w:val="28"/>
          <w:szCs w:val="28"/>
        </w:rPr>
        <w:t> </w:t>
      </w:r>
      <w:r>
        <w:rPr>
          <w:rFonts w:ascii="宋体" w:hAnsi="宋体" w:cs="宋体" w:eastAsia="宋体" w:hint="default"/>
          <w:sz w:val="28"/>
          <w:szCs w:val="28"/>
        </w:rPr>
        <w:t>1000</w:t>
      </w:r>
      <w:r>
        <w:rPr>
          <w:rFonts w:ascii="宋体" w:hAnsi="宋体" w:cs="宋体" w:eastAsia="宋体" w:hint="default"/>
          <w:spacing w:val="-61"/>
          <w:sz w:val="28"/>
          <w:szCs w:val="28"/>
        </w:rPr>
        <w:t> </w:t>
      </w:r>
      <w:r>
        <w:rPr>
          <w:rFonts w:ascii="宋体" w:hAnsi="宋体" w:cs="宋体" w:eastAsia="宋体" w:hint="default"/>
          <w:sz w:val="28"/>
          <w:szCs w:val="28"/>
        </w:rPr>
        <w:t>亩，共栽植水蜜桃</w:t>
      </w:r>
      <w:r>
        <w:rPr>
          <w:rFonts w:ascii="宋体" w:hAnsi="宋体" w:cs="宋体" w:eastAsia="宋体" w:hint="default"/>
          <w:spacing w:val="-61"/>
          <w:sz w:val="28"/>
          <w:szCs w:val="28"/>
        </w:rPr>
        <w:t> </w:t>
      </w:r>
      <w:r>
        <w:rPr>
          <w:rFonts w:ascii="宋体" w:hAnsi="宋体" w:cs="宋体" w:eastAsia="宋体" w:hint="default"/>
          <w:sz w:val="28"/>
          <w:szCs w:val="28"/>
        </w:rPr>
        <w:t>5.5</w:t>
      </w:r>
      <w:r>
        <w:rPr>
          <w:rFonts w:ascii="宋体" w:hAnsi="宋体" w:cs="宋体" w:eastAsia="宋体" w:hint="default"/>
          <w:spacing w:val="-62"/>
          <w:sz w:val="28"/>
          <w:szCs w:val="28"/>
        </w:rPr>
        <w:t> </w:t>
      </w:r>
      <w:r>
        <w:rPr>
          <w:rFonts w:ascii="宋体" w:hAnsi="宋体" w:cs="宋体" w:eastAsia="宋体" w:hint="default"/>
          <w:sz w:val="28"/>
          <w:szCs w:val="28"/>
        </w:rPr>
        <w:t>万株。扩大下杖子村南</w:t>
      </w:r>
    </w:p>
    <w:p>
      <w:pPr>
        <w:spacing w:after="0"/>
        <w:jc w:val="left"/>
        <w:rPr>
          <w:rFonts w:ascii="宋体" w:hAnsi="宋体" w:cs="宋体" w:eastAsia="宋体" w:hint="default"/>
          <w:sz w:val="28"/>
          <w:szCs w:val="28"/>
        </w:rPr>
        <w:sectPr>
          <w:headerReference w:type="default" r:id="rId284"/>
          <w:footerReference w:type="default" r:id="rId285"/>
          <w:pgSz w:w="11910" w:h="16840"/>
          <w:pgMar w:header="0" w:footer="982" w:top="1540" w:bottom="1180" w:left="1680" w:right="1540"/>
          <w:pgNumType w:start="49"/>
        </w:sectPr>
      </w:pPr>
    </w:p>
    <w:p>
      <w:pPr>
        <w:pStyle w:val="Heading7"/>
        <w:spacing w:line="360" w:lineRule="exact"/>
        <w:ind w:right="0"/>
        <w:jc w:val="both"/>
      </w:pPr>
      <w:r>
        <w:rPr/>
        <w:t>果梨示范基地，总面积达到</w:t>
      </w:r>
      <w:r>
        <w:rPr>
          <w:spacing w:val="-62"/>
        </w:rPr>
        <w:t> </w:t>
      </w:r>
      <w:r>
        <w:rPr/>
        <w:t>800</w:t>
      </w:r>
      <w:r>
        <w:rPr>
          <w:spacing w:val="-63"/>
        </w:rPr>
        <w:t> </w:t>
      </w:r>
      <w:r>
        <w:rPr/>
        <w:t>亩。发展大枣树</w:t>
      </w:r>
      <w:r>
        <w:rPr>
          <w:spacing w:val="-61"/>
        </w:rPr>
        <w:t> </w:t>
      </w:r>
      <w:r>
        <w:rPr/>
        <w:t>2000</w:t>
      </w:r>
      <w:r>
        <w:rPr>
          <w:spacing w:val="-63"/>
        </w:rPr>
        <w:t> </w:t>
      </w:r>
      <w:r>
        <w:rPr/>
        <w:t>亩，总量达到</w:t>
      </w:r>
    </w:p>
    <w:p>
      <w:pPr>
        <w:spacing w:line="357" w:lineRule="auto" w:before="178"/>
        <w:ind w:left="120" w:right="197" w:firstLine="0"/>
        <w:jc w:val="both"/>
        <w:rPr>
          <w:rFonts w:ascii="宋体" w:hAnsi="宋体" w:cs="宋体" w:eastAsia="宋体" w:hint="default"/>
          <w:sz w:val="28"/>
          <w:szCs w:val="28"/>
        </w:rPr>
      </w:pPr>
      <w:r>
        <w:rPr>
          <w:rFonts w:ascii="宋体" w:hAnsi="宋体" w:cs="宋体" w:eastAsia="宋体" w:hint="default"/>
          <w:sz w:val="28"/>
          <w:szCs w:val="28"/>
        </w:rPr>
        <w:t>120</w:t>
      </w:r>
      <w:r>
        <w:rPr>
          <w:rFonts w:ascii="宋体" w:hAnsi="宋体" w:cs="宋体" w:eastAsia="宋体" w:hint="default"/>
          <w:spacing w:val="5"/>
          <w:sz w:val="28"/>
          <w:szCs w:val="28"/>
        </w:rPr>
        <w:t> </w:t>
      </w:r>
      <w:r>
        <w:rPr>
          <w:rFonts w:ascii="宋体" w:hAnsi="宋体" w:cs="宋体" w:eastAsia="宋体" w:hint="default"/>
          <w:spacing w:val="6"/>
          <w:sz w:val="28"/>
          <w:szCs w:val="28"/>
        </w:rPr>
        <w:t>余万株。多年来，辽宁分公司扶贫开发工作帮助该乡发展长远</w:t>
      </w:r>
      <w:r>
        <w:rPr>
          <w:rFonts w:ascii="宋体" w:hAnsi="宋体" w:cs="宋体" w:eastAsia="宋体" w:hint="default"/>
          <w:w w:val="99"/>
          <w:sz w:val="28"/>
          <w:szCs w:val="28"/>
        </w:rPr>
        <w:t> </w:t>
      </w:r>
      <w:r>
        <w:rPr>
          <w:rFonts w:ascii="宋体" w:hAnsi="宋体" w:cs="宋体" w:eastAsia="宋体" w:hint="default"/>
          <w:spacing w:val="-4"/>
          <w:sz w:val="28"/>
          <w:szCs w:val="28"/>
        </w:rPr>
        <w:t>避灾农业，深入挖掘农业生产潜力，提高农业经济增长点，确保农民</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拥有稳定收入。</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9"/>
        <w:rPr>
          <w:rFonts w:ascii="宋体" w:hAnsi="宋体" w:cs="宋体" w:eastAsia="宋体" w:hint="default"/>
          <w:sz w:val="19"/>
          <w:szCs w:val="19"/>
        </w:rPr>
      </w:pPr>
    </w:p>
    <w:p>
      <w:pPr>
        <w:spacing w:before="0"/>
        <w:ind w:left="120" w:right="0" w:firstLine="0"/>
        <w:jc w:val="both"/>
        <w:rPr>
          <w:rFonts w:ascii="黑体" w:hAnsi="黑体" w:cs="黑体" w:eastAsia="黑体" w:hint="default"/>
          <w:sz w:val="36"/>
          <w:szCs w:val="36"/>
        </w:rPr>
      </w:pPr>
      <w:r>
        <w:rPr>
          <w:rFonts w:ascii="黑体" w:hAnsi="黑体" w:cs="黑体" w:eastAsia="黑体" w:hint="default"/>
          <w:b/>
          <w:bCs/>
          <w:spacing w:val="1"/>
          <w:w w:val="99"/>
          <w:sz w:val="36"/>
          <w:szCs w:val="36"/>
        </w:rPr>
        <w:t>“新势力爱心基金会</w:t>
      </w:r>
      <w:r>
        <w:rPr>
          <w:rFonts w:ascii="黑体" w:hAnsi="黑体" w:cs="黑体" w:eastAsia="黑体" w:hint="default"/>
          <w:b/>
          <w:bCs/>
          <w:spacing w:val="-180"/>
          <w:w w:val="99"/>
          <w:sz w:val="36"/>
          <w:szCs w:val="36"/>
        </w:rPr>
        <w:t>”</w:t>
      </w:r>
      <w:r>
        <w:rPr>
          <w:rFonts w:ascii="黑体" w:hAnsi="黑体" w:cs="黑体" w:eastAsia="黑体" w:hint="default"/>
          <w:b/>
          <w:bCs/>
          <w:spacing w:val="1"/>
          <w:w w:val="99"/>
          <w:sz w:val="36"/>
          <w:szCs w:val="36"/>
        </w:rPr>
        <w:t>，资助贫困大学生</w:t>
      </w:r>
      <w:r>
        <w:rPr>
          <w:rFonts w:ascii="黑体" w:hAnsi="黑体" w:cs="黑体" w:eastAsia="黑体" w:hint="default"/>
          <w:sz w:val="36"/>
          <w:szCs w:val="36"/>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19"/>
          <w:szCs w:val="19"/>
        </w:rPr>
      </w:pPr>
    </w:p>
    <w:p>
      <w:pPr>
        <w:spacing w:line="2764" w:lineRule="exact"/>
        <w:ind w:left="2188" w:right="0" w:firstLine="0"/>
        <w:rPr>
          <w:rFonts w:ascii="黑体" w:hAnsi="黑体" w:cs="黑体" w:eastAsia="黑体" w:hint="default"/>
          <w:sz w:val="20"/>
          <w:szCs w:val="20"/>
        </w:rPr>
      </w:pPr>
      <w:r>
        <w:rPr>
          <w:rFonts w:ascii="黑体" w:hAnsi="黑体" w:cs="黑体" w:eastAsia="黑体" w:hint="default"/>
          <w:position w:val="-54"/>
          <w:sz w:val="20"/>
          <w:szCs w:val="20"/>
        </w:rPr>
        <w:drawing>
          <wp:inline distT="0" distB="0" distL="0" distR="0">
            <wp:extent cx="2650108" cy="1755648"/>
            <wp:effectExtent l="0" t="0" r="0" b="0"/>
            <wp:docPr id="41" name="image32.jpeg" descr=""/>
            <wp:cNvGraphicFramePr>
              <a:graphicFrameLocks noChangeAspect="1"/>
            </wp:cNvGraphicFramePr>
            <a:graphic>
              <a:graphicData uri="http://schemas.openxmlformats.org/drawingml/2006/picture">
                <pic:pic>
                  <pic:nvPicPr>
                    <pic:cNvPr id="42" name="image32.jpeg"/>
                    <pic:cNvPicPr/>
                  </pic:nvPicPr>
                  <pic:blipFill>
                    <a:blip r:embed="rId290" cstate="print"/>
                    <a:stretch>
                      <a:fillRect/>
                    </a:stretch>
                  </pic:blipFill>
                  <pic:spPr>
                    <a:xfrm>
                      <a:off x="0" y="0"/>
                      <a:ext cx="2650108" cy="1755648"/>
                    </a:xfrm>
                    <a:prstGeom prst="rect">
                      <a:avLst/>
                    </a:prstGeom>
                  </pic:spPr>
                </pic:pic>
              </a:graphicData>
            </a:graphic>
          </wp:inline>
        </w:drawing>
      </w:r>
      <w:r>
        <w:rPr>
          <w:rFonts w:ascii="黑体" w:hAnsi="黑体" w:cs="黑体" w:eastAsia="黑体" w:hint="default"/>
          <w:position w:val="-54"/>
          <w:sz w:val="20"/>
          <w:szCs w:val="2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0"/>
        <w:rPr>
          <w:rFonts w:ascii="黑体" w:hAnsi="黑体" w:cs="黑体" w:eastAsia="黑体" w:hint="default"/>
          <w:b/>
          <w:bCs/>
          <w:sz w:val="14"/>
          <w:szCs w:val="14"/>
        </w:rPr>
      </w:pPr>
    </w:p>
    <w:p>
      <w:pPr>
        <w:spacing w:line="408" w:lineRule="auto" w:before="13"/>
        <w:ind w:left="120" w:right="84" w:firstLine="560"/>
        <w:jc w:val="left"/>
        <w:rPr>
          <w:rFonts w:ascii="宋体" w:hAnsi="宋体" w:cs="宋体" w:eastAsia="宋体" w:hint="default"/>
          <w:sz w:val="28"/>
          <w:szCs w:val="28"/>
        </w:rPr>
      </w:pPr>
      <w:r>
        <w:rPr>
          <w:rFonts w:ascii="宋体" w:hAnsi="宋体" w:cs="宋体" w:eastAsia="宋体" w:hint="default"/>
          <w:spacing w:val="-4"/>
          <w:sz w:val="28"/>
          <w:szCs w:val="28"/>
        </w:rPr>
        <w:t>为帮助更多贫困大学生解决学习和生活中的困难，广东联通梅州</w:t>
      </w:r>
      <w:r>
        <w:rPr>
          <w:rFonts w:ascii="宋体" w:hAnsi="宋体" w:cs="宋体" w:eastAsia="宋体" w:hint="default"/>
          <w:w w:val="99"/>
          <w:sz w:val="28"/>
          <w:szCs w:val="28"/>
        </w:rPr>
        <w:t> </w:t>
      </w:r>
      <w:r>
        <w:rPr>
          <w:rFonts w:ascii="宋体" w:hAnsi="宋体" w:cs="宋体" w:eastAsia="宋体" w:hint="default"/>
          <w:spacing w:val="-3"/>
          <w:w w:val="99"/>
          <w:sz w:val="28"/>
          <w:szCs w:val="28"/>
        </w:rPr>
        <w:t>分公司和嘉应学院联合创办了“新势力爱心基金会”。基金会是由梅</w:t>
      </w:r>
      <w:r>
        <w:rPr>
          <w:rFonts w:ascii="宋体" w:hAnsi="宋体" w:cs="宋体" w:eastAsia="宋体" w:hint="default"/>
          <w:spacing w:val="-136"/>
          <w:w w:val="99"/>
          <w:sz w:val="28"/>
          <w:szCs w:val="28"/>
        </w:rPr>
        <w:t> </w:t>
      </w:r>
      <w:r>
        <w:rPr>
          <w:rFonts w:ascii="宋体" w:hAnsi="宋体" w:cs="宋体" w:eastAsia="宋体" w:hint="default"/>
          <w:spacing w:val="-136"/>
          <w:w w:val="99"/>
          <w:sz w:val="28"/>
          <w:szCs w:val="28"/>
        </w:rPr>
      </w:r>
      <w:r>
        <w:rPr>
          <w:rFonts w:ascii="宋体" w:hAnsi="宋体" w:cs="宋体" w:eastAsia="宋体" w:hint="default"/>
          <w:spacing w:val="-4"/>
          <w:sz w:val="28"/>
          <w:szCs w:val="28"/>
        </w:rPr>
        <w:t>州分公司的新势力培训班全体同学组成，并自主管理的爱心互助性质</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基金组织，有相应的管理机构及基金会章程，并定期挑选品学兼优、</w:t>
      </w:r>
      <w:r>
        <w:rPr>
          <w:rFonts w:ascii="宋体" w:hAnsi="宋体" w:cs="宋体" w:eastAsia="宋体" w:hint="default"/>
          <w:w w:val="99"/>
          <w:sz w:val="28"/>
          <w:szCs w:val="28"/>
        </w:rPr>
        <w:t> </w:t>
      </w:r>
      <w:r>
        <w:rPr>
          <w:rFonts w:ascii="宋体" w:hAnsi="宋体" w:cs="宋体" w:eastAsia="宋体" w:hint="default"/>
          <w:spacing w:val="-4"/>
          <w:sz w:val="28"/>
          <w:szCs w:val="28"/>
        </w:rPr>
        <w:t>家庭困难的学生进行资助。第一期资助对象是经学院严格审核后挑选</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出的</w:t>
      </w:r>
      <w:r>
        <w:rPr>
          <w:rFonts w:ascii="宋体" w:hAnsi="宋体" w:cs="宋体" w:eastAsia="宋体" w:hint="default"/>
          <w:spacing w:val="-61"/>
          <w:sz w:val="28"/>
          <w:szCs w:val="28"/>
        </w:rPr>
        <w:t> </w:t>
      </w:r>
      <w:r>
        <w:rPr>
          <w:rFonts w:ascii="宋体" w:hAnsi="宋体" w:cs="宋体" w:eastAsia="宋体" w:hint="default"/>
          <w:sz w:val="28"/>
          <w:szCs w:val="28"/>
        </w:rPr>
        <w:t>4</w:t>
      </w:r>
      <w:r>
        <w:rPr>
          <w:rFonts w:ascii="宋体" w:hAnsi="宋体" w:cs="宋体" w:eastAsia="宋体" w:hint="default"/>
          <w:spacing w:val="-62"/>
          <w:sz w:val="28"/>
          <w:szCs w:val="28"/>
        </w:rPr>
        <w:t> </w:t>
      </w:r>
      <w:r>
        <w:rPr>
          <w:rFonts w:ascii="宋体" w:hAnsi="宋体" w:cs="宋体" w:eastAsia="宋体" w:hint="default"/>
          <w:sz w:val="28"/>
          <w:szCs w:val="28"/>
        </w:rPr>
        <w:t>名贫困生，他们将各得到资助金</w:t>
      </w:r>
      <w:r>
        <w:rPr>
          <w:rFonts w:ascii="宋体" w:hAnsi="宋体" w:cs="宋体" w:eastAsia="宋体" w:hint="default"/>
          <w:spacing w:val="-60"/>
          <w:sz w:val="28"/>
          <w:szCs w:val="28"/>
        </w:rPr>
        <w:t> </w:t>
      </w:r>
      <w:r>
        <w:rPr>
          <w:rFonts w:ascii="宋体" w:hAnsi="宋体" w:cs="宋体" w:eastAsia="宋体" w:hint="default"/>
          <w:sz w:val="28"/>
          <w:szCs w:val="28"/>
        </w:rPr>
        <w:t>1000</w:t>
      </w:r>
      <w:r>
        <w:rPr>
          <w:rFonts w:ascii="宋体" w:hAnsi="宋体" w:cs="宋体" w:eastAsia="宋体" w:hint="default"/>
          <w:spacing w:val="-62"/>
          <w:sz w:val="28"/>
          <w:szCs w:val="28"/>
        </w:rPr>
        <w:t> </w:t>
      </w:r>
      <w:r>
        <w:rPr>
          <w:rFonts w:ascii="宋体" w:hAnsi="宋体" w:cs="宋体" w:eastAsia="宋体" w:hint="default"/>
          <w:sz w:val="28"/>
          <w:szCs w:val="28"/>
        </w:rPr>
        <w:t>元。资助活动向嘉应学</w:t>
      </w:r>
      <w:r>
        <w:rPr>
          <w:rFonts w:ascii="宋体" w:hAnsi="宋体" w:cs="宋体" w:eastAsia="宋体" w:hint="default"/>
          <w:w w:val="99"/>
          <w:sz w:val="28"/>
          <w:szCs w:val="28"/>
        </w:rPr>
        <w:t> </w:t>
      </w:r>
      <w:r>
        <w:rPr>
          <w:rFonts w:ascii="宋体" w:hAnsi="宋体" w:cs="宋体" w:eastAsia="宋体" w:hint="default"/>
          <w:sz w:val="28"/>
          <w:szCs w:val="28"/>
        </w:rPr>
        <w:t>院师生传递了中国联通的爱心和社会责任感。</w:t>
      </w:r>
    </w:p>
    <w:p>
      <w:pPr>
        <w:spacing w:after="0" w:line="408" w:lineRule="auto"/>
        <w:jc w:val="left"/>
        <w:rPr>
          <w:rFonts w:ascii="宋体" w:hAnsi="宋体" w:cs="宋体" w:eastAsia="宋体" w:hint="default"/>
          <w:sz w:val="28"/>
          <w:szCs w:val="28"/>
        </w:rPr>
        <w:sectPr>
          <w:headerReference w:type="default" r:id="rId288"/>
          <w:footerReference w:type="default" r:id="rId289"/>
          <w:pgSz w:w="11910" w:h="16840"/>
          <w:pgMar w:header="0" w:footer="982" w:top="1400" w:bottom="1180" w:left="1680" w:right="1600"/>
          <w:pgNumType w:start="50"/>
        </w:sectPr>
      </w:pPr>
    </w:p>
    <w:p>
      <w:pPr>
        <w:pStyle w:val="Heading3"/>
        <w:spacing w:line="432" w:lineRule="exact"/>
        <w:ind w:right="84"/>
        <w:jc w:val="left"/>
        <w:rPr>
          <w:b w:val="0"/>
          <w:bCs w:val="0"/>
        </w:rPr>
      </w:pPr>
      <w:r>
        <w:rPr/>
        <w:t>世界“最高”的扶贫事业</w:t>
      </w:r>
      <w:r>
        <w:rPr>
          <w:b w:val="0"/>
          <w:bCs w:val="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0"/>
        <w:rPr>
          <w:rFonts w:ascii="黑体" w:hAnsi="黑体" w:cs="黑体" w:eastAsia="黑体" w:hint="default"/>
          <w:b/>
          <w:bCs/>
          <w:sz w:val="27"/>
          <w:szCs w:val="27"/>
        </w:rPr>
      </w:pPr>
    </w:p>
    <w:p>
      <w:pPr>
        <w:spacing w:line="2874" w:lineRule="exact"/>
        <w:ind w:left="1934" w:right="0" w:firstLine="0"/>
        <w:rPr>
          <w:rFonts w:ascii="黑体" w:hAnsi="黑体" w:cs="黑体" w:eastAsia="黑体" w:hint="default"/>
          <w:sz w:val="20"/>
          <w:szCs w:val="20"/>
        </w:rPr>
      </w:pPr>
      <w:r>
        <w:rPr>
          <w:rFonts w:ascii="黑体" w:hAnsi="黑体" w:cs="黑体" w:eastAsia="黑体" w:hint="default"/>
          <w:position w:val="-56"/>
          <w:sz w:val="20"/>
          <w:szCs w:val="20"/>
        </w:rPr>
        <w:drawing>
          <wp:inline distT="0" distB="0" distL="0" distR="0">
            <wp:extent cx="2989938" cy="1825561"/>
            <wp:effectExtent l="0" t="0" r="0" b="0"/>
            <wp:docPr id="43" name="image33.jpeg" descr=""/>
            <wp:cNvGraphicFramePr>
              <a:graphicFrameLocks noChangeAspect="1"/>
            </wp:cNvGraphicFramePr>
            <a:graphic>
              <a:graphicData uri="http://schemas.openxmlformats.org/drawingml/2006/picture">
                <pic:pic>
                  <pic:nvPicPr>
                    <pic:cNvPr id="44" name="image33.jpeg"/>
                    <pic:cNvPicPr/>
                  </pic:nvPicPr>
                  <pic:blipFill>
                    <a:blip r:embed="rId293" cstate="print"/>
                    <a:stretch>
                      <a:fillRect/>
                    </a:stretch>
                  </pic:blipFill>
                  <pic:spPr>
                    <a:xfrm>
                      <a:off x="0" y="0"/>
                      <a:ext cx="2989938" cy="1825561"/>
                    </a:xfrm>
                    <a:prstGeom prst="rect">
                      <a:avLst/>
                    </a:prstGeom>
                  </pic:spPr>
                </pic:pic>
              </a:graphicData>
            </a:graphic>
          </wp:inline>
        </w:drawing>
      </w:r>
      <w:r>
        <w:rPr>
          <w:rFonts w:ascii="黑体" w:hAnsi="黑体" w:cs="黑体" w:eastAsia="黑体" w:hint="default"/>
          <w:position w:val="-56"/>
          <w:sz w:val="20"/>
          <w:szCs w:val="2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12"/>
        <w:rPr>
          <w:rFonts w:ascii="黑体" w:hAnsi="黑体" w:cs="黑体" w:eastAsia="黑体" w:hint="default"/>
          <w:b/>
          <w:bCs/>
          <w:sz w:val="21"/>
          <w:szCs w:val="21"/>
        </w:rPr>
      </w:pPr>
    </w:p>
    <w:p>
      <w:pPr>
        <w:pStyle w:val="Heading7"/>
        <w:spacing w:line="408" w:lineRule="auto" w:before="13"/>
        <w:ind w:left="119" w:right="198" w:firstLine="560"/>
        <w:jc w:val="both"/>
      </w:pPr>
      <w:r>
        <w:rPr>
          <w:spacing w:val="-4"/>
        </w:rPr>
        <w:t>中国联通在加快企业自身发展的同时，一直关注西藏社会经济的</w:t>
      </w:r>
      <w:r>
        <w:rPr>
          <w:w w:val="99"/>
        </w:rPr>
        <w:t> </w:t>
      </w:r>
      <w:r>
        <w:rPr>
          <w:spacing w:val="-4"/>
        </w:rPr>
        <w:t>发展，积极主动履行社会责任，将企业发展同当地社会经济发展紧密</w:t>
      </w:r>
      <w:r>
        <w:rPr>
          <w:spacing w:val="-124"/>
        </w:rPr>
        <w:t> </w:t>
      </w:r>
      <w:r>
        <w:rPr>
          <w:spacing w:val="-124"/>
        </w:rPr>
      </w:r>
      <w:r>
        <w:rPr/>
        <w:t>结合，始终坚持为创建平安西藏、和谐西藏、小康西藏贡献力量！</w:t>
      </w:r>
    </w:p>
    <w:p>
      <w:pPr>
        <w:spacing w:line="240" w:lineRule="auto" w:before="0"/>
        <w:rPr>
          <w:rFonts w:ascii="宋体" w:hAnsi="宋体" w:cs="宋体" w:eastAsia="宋体" w:hint="default"/>
          <w:sz w:val="28"/>
          <w:szCs w:val="28"/>
        </w:rPr>
      </w:pPr>
    </w:p>
    <w:p>
      <w:pPr>
        <w:spacing w:line="240" w:lineRule="auto" w:before="3"/>
        <w:rPr>
          <w:rFonts w:ascii="宋体" w:hAnsi="宋体" w:cs="宋体" w:eastAsia="宋体" w:hint="default"/>
          <w:sz w:val="23"/>
          <w:szCs w:val="23"/>
        </w:rPr>
      </w:pPr>
    </w:p>
    <w:p>
      <w:pPr>
        <w:spacing w:before="0"/>
        <w:ind w:left="120" w:right="84" w:firstLine="0"/>
        <w:jc w:val="left"/>
        <w:rPr>
          <w:rFonts w:ascii="黑体" w:hAnsi="黑体" w:cs="黑体" w:eastAsia="黑体" w:hint="default"/>
          <w:sz w:val="30"/>
          <w:szCs w:val="30"/>
        </w:rPr>
      </w:pPr>
      <w:r>
        <w:rPr>
          <w:rFonts w:ascii="黑体" w:hAnsi="黑体" w:cs="黑体" w:eastAsia="黑体" w:hint="default"/>
          <w:b/>
          <w:bCs/>
          <w:sz w:val="30"/>
          <w:szCs w:val="30"/>
        </w:rPr>
        <w:t>日喀则扯休乡的扶贫</w:t>
      </w:r>
      <w:r>
        <w:rPr>
          <w:rFonts w:ascii="黑体" w:hAnsi="黑体" w:cs="黑体" w:eastAsia="黑体" w:hint="default"/>
          <w:sz w:val="30"/>
          <w:szCs w:val="30"/>
        </w:rPr>
      </w:r>
    </w:p>
    <w:p>
      <w:pPr>
        <w:spacing w:line="240" w:lineRule="auto" w:before="0"/>
        <w:rPr>
          <w:rFonts w:ascii="黑体" w:hAnsi="黑体" w:cs="黑体" w:eastAsia="黑体" w:hint="default"/>
          <w:b/>
          <w:bCs/>
          <w:sz w:val="30"/>
          <w:szCs w:val="30"/>
        </w:rPr>
      </w:pPr>
    </w:p>
    <w:p>
      <w:pPr>
        <w:spacing w:line="240" w:lineRule="auto" w:before="7"/>
        <w:rPr>
          <w:rFonts w:ascii="黑体" w:hAnsi="黑体" w:cs="黑体" w:eastAsia="黑体" w:hint="default"/>
          <w:b/>
          <w:bCs/>
          <w:sz w:val="36"/>
          <w:szCs w:val="36"/>
        </w:rPr>
      </w:pPr>
    </w:p>
    <w:p>
      <w:pPr>
        <w:spacing w:line="408" w:lineRule="auto" w:before="0"/>
        <w:ind w:left="119" w:right="85" w:firstLine="560"/>
        <w:jc w:val="left"/>
        <w:rPr>
          <w:rFonts w:ascii="宋体" w:hAnsi="宋体" w:cs="宋体" w:eastAsia="宋体" w:hint="default"/>
          <w:sz w:val="28"/>
          <w:szCs w:val="28"/>
        </w:rPr>
      </w:pPr>
      <w:r>
        <w:rPr>
          <w:rFonts w:ascii="宋体" w:hAnsi="宋体" w:cs="宋体" w:eastAsia="宋体" w:hint="default"/>
          <w:sz w:val="28"/>
          <w:szCs w:val="28"/>
        </w:rPr>
        <w:t>中国联通西藏分公司扶贫 30.4</w:t>
      </w:r>
      <w:r>
        <w:rPr>
          <w:rFonts w:ascii="宋体" w:hAnsi="宋体" w:cs="宋体" w:eastAsia="宋体" w:hint="default"/>
          <w:spacing w:val="-101"/>
          <w:sz w:val="28"/>
          <w:szCs w:val="28"/>
        </w:rPr>
        <w:t> </w:t>
      </w:r>
      <w:r>
        <w:rPr>
          <w:rFonts w:ascii="宋体" w:hAnsi="宋体" w:cs="宋体" w:eastAsia="宋体" w:hint="default"/>
          <w:sz w:val="28"/>
          <w:szCs w:val="28"/>
        </w:rPr>
        <w:t>万元支援日喀则地区生产、生活</w:t>
      </w:r>
      <w:r>
        <w:rPr>
          <w:rFonts w:ascii="宋体" w:hAnsi="宋体" w:cs="宋体" w:eastAsia="宋体" w:hint="default"/>
          <w:w w:val="99"/>
          <w:sz w:val="28"/>
          <w:szCs w:val="28"/>
        </w:rPr>
        <w:t> </w:t>
      </w:r>
      <w:r>
        <w:rPr>
          <w:rFonts w:ascii="宋体" w:hAnsi="宋体" w:cs="宋体" w:eastAsia="宋体" w:hint="default"/>
          <w:sz w:val="28"/>
          <w:szCs w:val="28"/>
        </w:rPr>
        <w:t>建设。对贫困户所住危房进行改造，开展家庭种植业、家庭养殖业，</w:t>
      </w:r>
      <w:r>
        <w:rPr>
          <w:rFonts w:ascii="宋体" w:hAnsi="宋体" w:cs="宋体" w:eastAsia="宋体" w:hint="default"/>
          <w:w w:val="99"/>
          <w:sz w:val="28"/>
          <w:szCs w:val="28"/>
        </w:rPr>
        <w:t> </w:t>
      </w:r>
      <w:r>
        <w:rPr>
          <w:rFonts w:ascii="宋体" w:hAnsi="宋体" w:cs="宋体" w:eastAsia="宋体" w:hint="default"/>
          <w:spacing w:val="-4"/>
          <w:sz w:val="28"/>
          <w:szCs w:val="28"/>
        </w:rPr>
        <w:t>使贫困户在初级起步阶段，就实现在家门口劳动，积累了生产实践经</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验，成为最现实、最直接的增收方式。此外，还为扯休乡修建玻璃温</w:t>
      </w:r>
      <w:r>
        <w:rPr>
          <w:rFonts w:ascii="宋体" w:hAnsi="宋体" w:cs="宋体" w:eastAsia="宋体" w:hint="default"/>
          <w:spacing w:val="-130"/>
          <w:sz w:val="28"/>
          <w:szCs w:val="28"/>
        </w:rPr>
        <w:t> </w:t>
      </w:r>
      <w:r>
        <w:rPr>
          <w:rFonts w:ascii="宋体" w:hAnsi="宋体" w:cs="宋体" w:eastAsia="宋体" w:hint="default"/>
          <w:spacing w:val="-130"/>
          <w:sz w:val="28"/>
          <w:szCs w:val="28"/>
        </w:rPr>
      </w:r>
      <w:r>
        <w:rPr>
          <w:rFonts w:ascii="宋体" w:hAnsi="宋体" w:cs="宋体" w:eastAsia="宋体" w:hint="default"/>
          <w:spacing w:val="-4"/>
          <w:sz w:val="28"/>
          <w:szCs w:val="28"/>
        </w:rPr>
        <w:t>室、养猪示范点、养鸡示范点。示范点投产后可进一步增加农牧民收</w:t>
      </w:r>
      <w:r>
        <w:rPr>
          <w:rFonts w:ascii="宋体" w:hAnsi="宋体" w:cs="宋体" w:eastAsia="宋体" w:hint="default"/>
          <w:spacing w:val="-127"/>
          <w:sz w:val="28"/>
          <w:szCs w:val="28"/>
        </w:rPr>
        <w:t> </w:t>
      </w:r>
      <w:r>
        <w:rPr>
          <w:rFonts w:ascii="宋体" w:hAnsi="宋体" w:cs="宋体" w:eastAsia="宋体" w:hint="default"/>
          <w:spacing w:val="-127"/>
          <w:sz w:val="28"/>
          <w:szCs w:val="28"/>
        </w:rPr>
      </w:r>
      <w:r>
        <w:rPr>
          <w:rFonts w:ascii="宋体" w:hAnsi="宋体" w:cs="宋体" w:eastAsia="宋体" w:hint="default"/>
          <w:spacing w:val="-4"/>
          <w:sz w:val="28"/>
          <w:szCs w:val="28"/>
        </w:rPr>
        <w:t>入，加快农牧民脱贫致富的步伐，促进区域经济的发展和经济结构调</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整，解决一部分贫困户从业问题，使农牧民在自己家门口实现增加收</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入的愿望，取得了明显的经济效益和社会效益。中国联通西藏扶贫工</w:t>
      </w:r>
    </w:p>
    <w:p>
      <w:pPr>
        <w:spacing w:after="0" w:line="408" w:lineRule="auto"/>
        <w:jc w:val="left"/>
        <w:rPr>
          <w:rFonts w:ascii="宋体" w:hAnsi="宋体" w:cs="宋体" w:eastAsia="宋体" w:hint="default"/>
          <w:sz w:val="28"/>
          <w:szCs w:val="28"/>
        </w:rPr>
        <w:sectPr>
          <w:headerReference w:type="default" r:id="rId291"/>
          <w:footerReference w:type="default" r:id="rId292"/>
          <w:pgSz w:w="11910" w:h="16840"/>
          <w:pgMar w:header="0" w:footer="982" w:top="1500" w:bottom="1180" w:left="1680" w:right="1600"/>
          <w:pgNumType w:start="51"/>
        </w:sectPr>
      </w:pPr>
    </w:p>
    <w:p>
      <w:pPr>
        <w:pStyle w:val="Heading7"/>
        <w:spacing w:line="351" w:lineRule="exact"/>
        <w:ind w:right="144"/>
        <w:jc w:val="left"/>
      </w:pPr>
      <w:r>
        <w:rPr>
          <w:spacing w:val="-4"/>
        </w:rPr>
        <w:t>作非常注重与当地农牧民的交流，调研组定期前往日喀则调研，通过</w:t>
      </w:r>
    </w:p>
    <w:p>
      <w:pPr>
        <w:spacing w:line="240" w:lineRule="auto" w:before="9"/>
        <w:rPr>
          <w:rFonts w:ascii="宋体" w:hAnsi="宋体" w:cs="宋体" w:eastAsia="宋体" w:hint="default"/>
          <w:sz w:val="19"/>
          <w:szCs w:val="19"/>
        </w:rPr>
      </w:pPr>
    </w:p>
    <w:p>
      <w:pPr>
        <w:spacing w:line="408" w:lineRule="auto" w:before="0"/>
        <w:ind w:left="120" w:right="113" w:firstLine="0"/>
        <w:jc w:val="left"/>
        <w:rPr>
          <w:rFonts w:ascii="宋体" w:hAnsi="宋体" w:cs="宋体" w:eastAsia="宋体" w:hint="default"/>
          <w:sz w:val="28"/>
          <w:szCs w:val="28"/>
        </w:rPr>
      </w:pPr>
      <w:r>
        <w:rPr>
          <w:rFonts w:ascii="宋体" w:hAnsi="宋体" w:cs="宋体" w:eastAsia="宋体" w:hint="default"/>
          <w:spacing w:val="-8"/>
          <w:w w:val="99"/>
          <w:sz w:val="28"/>
          <w:szCs w:val="28"/>
        </w:rPr>
        <w:t>实地考察，现场沟通等方式，对当地扶贫工作进行了深入细致的分析，</w:t>
      </w:r>
      <w:r>
        <w:rPr>
          <w:rFonts w:ascii="宋体" w:hAnsi="宋体" w:cs="宋体" w:eastAsia="宋体" w:hint="default"/>
          <w:spacing w:val="-126"/>
          <w:w w:val="99"/>
          <w:sz w:val="28"/>
          <w:szCs w:val="28"/>
        </w:rPr>
        <w:t> </w:t>
      </w:r>
      <w:r>
        <w:rPr>
          <w:rFonts w:ascii="宋体" w:hAnsi="宋体" w:cs="宋体" w:eastAsia="宋体" w:hint="default"/>
          <w:spacing w:val="-126"/>
          <w:w w:val="99"/>
          <w:sz w:val="28"/>
          <w:szCs w:val="28"/>
        </w:rPr>
      </w:r>
      <w:r>
        <w:rPr>
          <w:rFonts w:ascii="宋体" w:hAnsi="宋体" w:cs="宋体" w:eastAsia="宋体" w:hint="default"/>
          <w:spacing w:val="-4"/>
          <w:sz w:val="28"/>
          <w:szCs w:val="28"/>
        </w:rPr>
        <w:t>取得了很大收获。积极拓宽了扶贫开发渠道，千方百计增加贫困人口</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收入。帮助和引导贫困户开展生产，发挥自我能动力，增产增收，摆</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脱贫困，为藏区扶贫工作注入生命力。</w:t>
      </w:r>
    </w:p>
    <w:p>
      <w:pPr>
        <w:spacing w:line="240" w:lineRule="auto" w:before="0"/>
        <w:rPr>
          <w:rFonts w:ascii="宋体" w:hAnsi="宋体" w:cs="宋体" w:eastAsia="宋体" w:hint="default"/>
          <w:sz w:val="28"/>
          <w:szCs w:val="28"/>
        </w:rPr>
      </w:pPr>
    </w:p>
    <w:p>
      <w:pPr>
        <w:spacing w:line="240" w:lineRule="auto" w:before="3"/>
        <w:rPr>
          <w:rFonts w:ascii="宋体" w:hAnsi="宋体" w:cs="宋体" w:eastAsia="宋体" w:hint="default"/>
          <w:sz w:val="23"/>
          <w:szCs w:val="23"/>
        </w:rPr>
      </w:pPr>
    </w:p>
    <w:p>
      <w:pPr>
        <w:spacing w:before="0"/>
        <w:ind w:left="120" w:right="144" w:firstLine="0"/>
        <w:jc w:val="left"/>
        <w:rPr>
          <w:rFonts w:ascii="黑体" w:hAnsi="黑体" w:cs="黑体" w:eastAsia="黑体" w:hint="default"/>
          <w:sz w:val="30"/>
          <w:szCs w:val="30"/>
        </w:rPr>
      </w:pPr>
      <w:r>
        <w:rPr>
          <w:rFonts w:ascii="黑体" w:hAnsi="黑体" w:cs="黑体" w:eastAsia="黑体" w:hint="default"/>
          <w:b/>
          <w:bCs/>
          <w:sz w:val="30"/>
          <w:szCs w:val="30"/>
        </w:rPr>
        <w:t>千名干部进百村开展两帮助</w:t>
      </w:r>
      <w:r>
        <w:rPr>
          <w:rFonts w:ascii="黑体" w:hAnsi="黑体" w:cs="黑体" w:eastAsia="黑体" w:hint="default"/>
          <w:sz w:val="30"/>
          <w:szCs w:val="30"/>
        </w:rPr>
      </w:r>
    </w:p>
    <w:p>
      <w:pPr>
        <w:spacing w:line="240" w:lineRule="auto" w:before="0"/>
        <w:rPr>
          <w:rFonts w:ascii="黑体" w:hAnsi="黑体" w:cs="黑体" w:eastAsia="黑体" w:hint="default"/>
          <w:b/>
          <w:bCs/>
          <w:sz w:val="30"/>
          <w:szCs w:val="30"/>
        </w:rPr>
      </w:pPr>
    </w:p>
    <w:p>
      <w:pPr>
        <w:spacing w:line="240" w:lineRule="auto" w:before="7"/>
        <w:rPr>
          <w:rFonts w:ascii="黑体" w:hAnsi="黑体" w:cs="黑体" w:eastAsia="黑体" w:hint="default"/>
          <w:b/>
          <w:bCs/>
          <w:sz w:val="36"/>
          <w:szCs w:val="36"/>
        </w:rPr>
      </w:pPr>
    </w:p>
    <w:p>
      <w:pPr>
        <w:spacing w:line="408" w:lineRule="auto" w:before="0"/>
        <w:ind w:left="119" w:right="145" w:firstLine="560"/>
        <w:jc w:val="left"/>
        <w:rPr>
          <w:rFonts w:ascii="宋体" w:hAnsi="宋体" w:cs="宋体" w:eastAsia="宋体" w:hint="default"/>
          <w:sz w:val="28"/>
          <w:szCs w:val="28"/>
        </w:rPr>
      </w:pPr>
      <w:r>
        <w:rPr>
          <w:rFonts w:ascii="宋体" w:hAnsi="宋体" w:cs="宋体" w:eastAsia="宋体" w:hint="default"/>
          <w:spacing w:val="-4"/>
          <w:sz w:val="28"/>
          <w:szCs w:val="28"/>
        </w:rPr>
        <w:t>为更好地开展“两帮扶”活动，中国联通西藏分公司成立“两帮</w:t>
      </w:r>
      <w:r>
        <w:rPr>
          <w:rFonts w:ascii="宋体" w:hAnsi="宋体" w:cs="宋体" w:eastAsia="宋体" w:hint="default"/>
          <w:w w:val="99"/>
          <w:sz w:val="28"/>
          <w:szCs w:val="28"/>
        </w:rPr>
        <w:t> </w:t>
      </w:r>
      <w:r>
        <w:rPr>
          <w:rFonts w:ascii="宋体" w:hAnsi="宋体" w:cs="宋体" w:eastAsia="宋体" w:hint="default"/>
          <w:sz w:val="28"/>
          <w:szCs w:val="28"/>
        </w:rPr>
        <w:t>扶”联合工作组，工作组的同志下到基层，下到每个村，走访入户，</w:t>
      </w:r>
      <w:r>
        <w:rPr>
          <w:rFonts w:ascii="宋体" w:hAnsi="宋体" w:cs="宋体" w:eastAsia="宋体" w:hint="default"/>
          <w:w w:val="99"/>
          <w:sz w:val="28"/>
          <w:szCs w:val="28"/>
        </w:rPr>
        <w:t> </w:t>
      </w:r>
      <w:r>
        <w:rPr>
          <w:rFonts w:ascii="宋体" w:hAnsi="宋体" w:cs="宋体" w:eastAsia="宋体" w:hint="default"/>
          <w:spacing w:val="-4"/>
          <w:sz w:val="28"/>
          <w:szCs w:val="28"/>
        </w:rPr>
        <w:t>与农牧民谈心拉家长，了解各村民情，走到群众身边认真倾听他们的</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心声，耐心细致地向群众宣传党的方针政策和惠民政策，将党的精神</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传达到基层的每个党员和群众，将党的温暖送到群众手中。</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8"/>
          <w:szCs w:val="28"/>
        </w:rPr>
      </w:pPr>
    </w:p>
    <w:p>
      <w:pPr>
        <w:spacing w:line="4588" w:lineRule="exact"/>
        <w:ind w:left="2515" w:right="0" w:firstLine="0"/>
        <w:rPr>
          <w:rFonts w:ascii="宋体" w:hAnsi="宋体" w:cs="宋体" w:eastAsia="宋体" w:hint="default"/>
          <w:sz w:val="20"/>
          <w:szCs w:val="20"/>
        </w:rPr>
      </w:pPr>
      <w:r>
        <w:rPr>
          <w:rFonts w:ascii="宋体" w:hAnsi="宋体" w:cs="宋体" w:eastAsia="宋体" w:hint="default"/>
          <w:position w:val="-91"/>
          <w:sz w:val="20"/>
          <w:szCs w:val="20"/>
        </w:rPr>
        <w:drawing>
          <wp:inline distT="0" distB="0" distL="0" distR="0">
            <wp:extent cx="2218554" cy="2913888"/>
            <wp:effectExtent l="0" t="0" r="0" b="0"/>
            <wp:docPr id="45" name="image34.jpeg" descr=""/>
            <wp:cNvGraphicFramePr>
              <a:graphicFrameLocks noChangeAspect="1"/>
            </wp:cNvGraphicFramePr>
            <a:graphic>
              <a:graphicData uri="http://schemas.openxmlformats.org/drawingml/2006/picture">
                <pic:pic>
                  <pic:nvPicPr>
                    <pic:cNvPr id="46" name="image34.jpeg"/>
                    <pic:cNvPicPr/>
                  </pic:nvPicPr>
                  <pic:blipFill>
                    <a:blip r:embed="rId296" cstate="print"/>
                    <a:stretch>
                      <a:fillRect/>
                    </a:stretch>
                  </pic:blipFill>
                  <pic:spPr>
                    <a:xfrm>
                      <a:off x="0" y="0"/>
                      <a:ext cx="2218554" cy="2913888"/>
                    </a:xfrm>
                    <a:prstGeom prst="rect">
                      <a:avLst/>
                    </a:prstGeom>
                  </pic:spPr>
                </pic:pic>
              </a:graphicData>
            </a:graphic>
          </wp:inline>
        </w:drawing>
      </w:r>
      <w:r>
        <w:rPr>
          <w:rFonts w:ascii="宋体" w:hAnsi="宋体" w:cs="宋体" w:eastAsia="宋体" w:hint="default"/>
          <w:position w:val="-91"/>
          <w:sz w:val="20"/>
          <w:szCs w:val="20"/>
        </w:rPr>
      </w:r>
    </w:p>
    <w:p>
      <w:pPr>
        <w:spacing w:after="0" w:line="4588" w:lineRule="exact"/>
        <w:rPr>
          <w:rFonts w:ascii="宋体" w:hAnsi="宋体" w:cs="宋体" w:eastAsia="宋体" w:hint="default"/>
          <w:sz w:val="20"/>
          <w:szCs w:val="20"/>
        </w:rPr>
        <w:sectPr>
          <w:headerReference w:type="default" r:id="rId294"/>
          <w:footerReference w:type="default" r:id="rId295"/>
          <w:pgSz w:w="11910" w:h="16840"/>
          <w:pgMar w:header="0" w:footer="982" w:top="1540" w:bottom="1180" w:left="1680" w:right="1540"/>
          <w:pgNumType w:start="52"/>
        </w:sectPr>
      </w:pPr>
    </w:p>
    <w:p>
      <w:pPr>
        <w:pStyle w:val="Heading7"/>
        <w:spacing w:line="351" w:lineRule="exact"/>
        <w:ind w:left="119" w:right="0" w:firstLine="560"/>
        <w:jc w:val="left"/>
      </w:pPr>
      <w:r>
        <w:rPr>
          <w:spacing w:val="-4"/>
        </w:rPr>
        <w:t>“两帮扶”活动中，工作组的同志与当地藏民共同开展爱国主义</w:t>
      </w:r>
    </w:p>
    <w:p>
      <w:pPr>
        <w:spacing w:line="240" w:lineRule="auto" w:before="9"/>
        <w:rPr>
          <w:rFonts w:ascii="宋体" w:hAnsi="宋体" w:cs="宋体" w:eastAsia="宋体" w:hint="default"/>
          <w:sz w:val="19"/>
          <w:szCs w:val="19"/>
        </w:rPr>
      </w:pPr>
    </w:p>
    <w:p>
      <w:pPr>
        <w:spacing w:line="408" w:lineRule="auto" w:before="0"/>
        <w:ind w:left="119" w:right="115" w:firstLine="0"/>
        <w:jc w:val="both"/>
        <w:rPr>
          <w:rFonts w:ascii="宋体" w:hAnsi="宋体" w:cs="宋体" w:eastAsia="宋体" w:hint="default"/>
          <w:sz w:val="28"/>
          <w:szCs w:val="28"/>
        </w:rPr>
      </w:pPr>
      <w:r>
        <w:rPr>
          <w:rFonts w:ascii="宋体" w:hAnsi="宋体" w:cs="宋体" w:eastAsia="宋体" w:hint="default"/>
          <w:spacing w:val="-4"/>
          <w:sz w:val="28"/>
          <w:szCs w:val="28"/>
        </w:rPr>
        <w:t>教育和民族团结教育，帮助贫困村理清发展思路，进一步振奋党员干</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pacing w:val="-4"/>
          <w:sz w:val="28"/>
          <w:szCs w:val="28"/>
        </w:rPr>
        <w:t>部的精神，坚定理想信念，以扶贫项目取得的成绩向农牧民宣讲致富</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经验，要求村里的党员充分发挥模范带头作用，做党的富民政策忠诚</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的执行者、带头者，认真做好藏鸡、藏猪养殖业，带领周围群众走出</w:t>
      </w:r>
      <w:r>
        <w:rPr>
          <w:rFonts w:ascii="宋体" w:hAnsi="宋体" w:cs="宋体" w:eastAsia="宋体" w:hint="default"/>
          <w:spacing w:val="-122"/>
          <w:sz w:val="28"/>
          <w:szCs w:val="28"/>
        </w:rPr>
        <w:t> </w:t>
      </w:r>
      <w:r>
        <w:rPr>
          <w:rFonts w:ascii="宋体" w:hAnsi="宋体" w:cs="宋体" w:eastAsia="宋体" w:hint="default"/>
          <w:spacing w:val="-122"/>
          <w:sz w:val="28"/>
          <w:szCs w:val="28"/>
        </w:rPr>
      </w:r>
      <w:r>
        <w:rPr>
          <w:rFonts w:ascii="宋体" w:hAnsi="宋体" w:cs="宋体" w:eastAsia="宋体" w:hint="default"/>
          <w:sz w:val="28"/>
          <w:szCs w:val="28"/>
        </w:rPr>
        <w:t>贫困，逐步走上脱贫致富的道路。</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7"/>
          <w:szCs w:val="27"/>
        </w:rPr>
      </w:pPr>
    </w:p>
    <w:p>
      <w:pPr>
        <w:spacing w:line="3077" w:lineRule="exact"/>
        <w:ind w:left="2029" w:right="0" w:firstLine="0"/>
        <w:rPr>
          <w:rFonts w:ascii="宋体" w:hAnsi="宋体" w:cs="宋体" w:eastAsia="宋体" w:hint="default"/>
          <w:sz w:val="20"/>
          <w:szCs w:val="20"/>
        </w:rPr>
      </w:pPr>
      <w:r>
        <w:rPr>
          <w:rFonts w:ascii="宋体" w:hAnsi="宋体" w:cs="宋体" w:eastAsia="宋体" w:hint="default"/>
          <w:position w:val="-61"/>
          <w:sz w:val="20"/>
          <w:szCs w:val="20"/>
        </w:rPr>
        <w:drawing>
          <wp:inline distT="0" distB="0" distL="0" distR="0">
            <wp:extent cx="2833429" cy="1953958"/>
            <wp:effectExtent l="0" t="0" r="0" b="0"/>
            <wp:docPr id="47" name="image35.jpeg" descr=""/>
            <wp:cNvGraphicFramePr>
              <a:graphicFrameLocks noChangeAspect="1"/>
            </wp:cNvGraphicFramePr>
            <a:graphic>
              <a:graphicData uri="http://schemas.openxmlformats.org/drawingml/2006/picture">
                <pic:pic>
                  <pic:nvPicPr>
                    <pic:cNvPr id="48" name="image35.jpeg"/>
                    <pic:cNvPicPr/>
                  </pic:nvPicPr>
                  <pic:blipFill>
                    <a:blip r:embed="rId299" cstate="print"/>
                    <a:stretch>
                      <a:fillRect/>
                    </a:stretch>
                  </pic:blipFill>
                  <pic:spPr>
                    <a:xfrm>
                      <a:off x="0" y="0"/>
                      <a:ext cx="2833429" cy="1953958"/>
                    </a:xfrm>
                    <a:prstGeom prst="rect">
                      <a:avLst/>
                    </a:prstGeom>
                  </pic:spPr>
                </pic:pic>
              </a:graphicData>
            </a:graphic>
          </wp:inline>
        </w:drawing>
      </w:r>
      <w:r>
        <w:rPr>
          <w:rFonts w:ascii="宋体" w:hAnsi="宋体" w:cs="宋体" w:eastAsia="宋体" w:hint="default"/>
          <w:position w:val="-61"/>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spacing w:before="13"/>
        <w:ind w:left="668" w:right="0" w:firstLine="0"/>
        <w:jc w:val="left"/>
        <w:rPr>
          <w:rFonts w:ascii="宋体" w:hAnsi="宋体" w:cs="宋体" w:eastAsia="宋体" w:hint="default"/>
          <w:sz w:val="28"/>
          <w:szCs w:val="28"/>
        </w:rPr>
      </w:pPr>
      <w:r>
        <w:rPr>
          <w:rFonts w:ascii="宋体" w:hAnsi="宋体" w:cs="宋体" w:eastAsia="宋体" w:hint="default"/>
          <w:sz w:val="28"/>
          <w:szCs w:val="28"/>
        </w:rPr>
        <w:t>同时，中国联通还援助了西藏阿里地区革吉县，援助总投资</w:t>
      </w:r>
      <w:r>
        <w:rPr>
          <w:rFonts w:ascii="宋体" w:hAnsi="宋体" w:cs="宋体" w:eastAsia="宋体" w:hint="default"/>
          <w:spacing w:val="-96"/>
          <w:sz w:val="28"/>
          <w:szCs w:val="28"/>
        </w:rPr>
        <w:t> </w:t>
      </w:r>
      <w:r>
        <w:rPr>
          <w:rFonts w:ascii="宋体" w:hAnsi="宋体" w:cs="宋体" w:eastAsia="宋体" w:hint="default"/>
          <w:sz w:val="28"/>
          <w:szCs w:val="28"/>
        </w:rPr>
        <w:t>880</w:t>
      </w:r>
    </w:p>
    <w:p>
      <w:pPr>
        <w:spacing w:line="240" w:lineRule="auto" w:before="9"/>
        <w:rPr>
          <w:rFonts w:ascii="宋体" w:hAnsi="宋体" w:cs="宋体" w:eastAsia="宋体" w:hint="default"/>
          <w:sz w:val="19"/>
          <w:szCs w:val="19"/>
        </w:rPr>
      </w:pPr>
    </w:p>
    <w:p>
      <w:pPr>
        <w:spacing w:before="0"/>
        <w:ind w:left="120" w:right="0" w:firstLine="0"/>
        <w:jc w:val="left"/>
        <w:rPr>
          <w:rFonts w:ascii="宋体" w:hAnsi="宋体" w:cs="宋体" w:eastAsia="宋体" w:hint="default"/>
          <w:sz w:val="28"/>
          <w:szCs w:val="28"/>
        </w:rPr>
      </w:pPr>
      <w:r>
        <w:rPr>
          <w:rFonts w:ascii="宋体" w:hAnsi="宋体" w:cs="宋体" w:eastAsia="宋体" w:hint="default"/>
          <w:sz w:val="28"/>
          <w:szCs w:val="28"/>
        </w:rPr>
        <w:t>万元，援助项目</w:t>
      </w:r>
      <w:r>
        <w:rPr>
          <w:rFonts w:ascii="宋体" w:hAnsi="宋体" w:cs="宋体" w:eastAsia="宋体" w:hint="default"/>
          <w:spacing w:val="-72"/>
          <w:sz w:val="28"/>
          <w:szCs w:val="28"/>
        </w:rPr>
        <w:t> </w:t>
      </w:r>
      <w:r>
        <w:rPr>
          <w:rFonts w:ascii="宋体" w:hAnsi="宋体" w:cs="宋体" w:eastAsia="宋体" w:hint="default"/>
          <w:sz w:val="28"/>
          <w:szCs w:val="28"/>
        </w:rPr>
        <w:t>6</w:t>
      </w:r>
      <w:r>
        <w:rPr>
          <w:rFonts w:ascii="宋体" w:hAnsi="宋体" w:cs="宋体" w:eastAsia="宋体" w:hint="default"/>
          <w:spacing w:val="-73"/>
          <w:sz w:val="28"/>
          <w:szCs w:val="28"/>
        </w:rPr>
        <w:t> </w:t>
      </w:r>
      <w:r>
        <w:rPr>
          <w:rFonts w:ascii="宋体" w:hAnsi="宋体" w:cs="宋体" w:eastAsia="宋体" w:hint="default"/>
          <w:sz w:val="28"/>
          <w:szCs w:val="28"/>
        </w:rPr>
        <w:t>个。</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39"/>
          <w:szCs w:val="39"/>
        </w:rPr>
      </w:pPr>
    </w:p>
    <w:p>
      <w:pPr>
        <w:spacing w:before="0"/>
        <w:ind w:left="680" w:right="0" w:firstLine="0"/>
        <w:jc w:val="left"/>
        <w:rPr>
          <w:rFonts w:ascii="宋体" w:hAnsi="宋体" w:cs="宋体" w:eastAsia="宋体" w:hint="default"/>
          <w:sz w:val="28"/>
          <w:szCs w:val="28"/>
        </w:rPr>
      </w:pPr>
      <w:r>
        <w:rPr>
          <w:rFonts w:ascii="宋体" w:hAnsi="宋体" w:cs="宋体" w:eastAsia="宋体" w:hint="default"/>
          <w:sz w:val="28"/>
          <w:szCs w:val="28"/>
        </w:rPr>
        <w:t>2009</w:t>
      </w:r>
      <w:r>
        <w:rPr>
          <w:rFonts w:ascii="宋体" w:hAnsi="宋体" w:cs="宋体" w:eastAsia="宋体" w:hint="default"/>
          <w:spacing w:val="18"/>
          <w:sz w:val="28"/>
          <w:szCs w:val="28"/>
        </w:rPr>
        <w:t> </w:t>
      </w:r>
      <w:r>
        <w:rPr>
          <w:rFonts w:ascii="宋体" w:hAnsi="宋体" w:cs="宋体" w:eastAsia="宋体" w:hint="default"/>
          <w:sz w:val="28"/>
          <w:szCs w:val="28"/>
        </w:rPr>
        <w:t>年，中国联通还帮扶河北省张家口市沽源县和康保县，帮</w:t>
      </w:r>
    </w:p>
    <w:p>
      <w:pPr>
        <w:spacing w:line="240" w:lineRule="auto" w:before="9"/>
        <w:rPr>
          <w:rFonts w:ascii="宋体" w:hAnsi="宋体" w:cs="宋体" w:eastAsia="宋体" w:hint="default"/>
          <w:sz w:val="19"/>
          <w:szCs w:val="19"/>
        </w:rPr>
      </w:pPr>
    </w:p>
    <w:p>
      <w:pPr>
        <w:spacing w:before="0"/>
        <w:ind w:left="120" w:right="0" w:firstLine="0"/>
        <w:jc w:val="left"/>
        <w:rPr>
          <w:rFonts w:ascii="宋体" w:hAnsi="宋体" w:cs="宋体" w:eastAsia="宋体" w:hint="default"/>
          <w:sz w:val="28"/>
          <w:szCs w:val="28"/>
        </w:rPr>
      </w:pPr>
      <w:r>
        <w:rPr>
          <w:rFonts w:ascii="宋体" w:hAnsi="宋体" w:cs="宋体" w:eastAsia="宋体" w:hint="default"/>
          <w:sz w:val="28"/>
          <w:szCs w:val="28"/>
        </w:rPr>
        <w:t>扶资金</w:t>
      </w:r>
      <w:r>
        <w:rPr>
          <w:rFonts w:ascii="宋体" w:hAnsi="宋体" w:cs="宋体" w:eastAsia="宋体" w:hint="default"/>
          <w:spacing w:val="-61"/>
          <w:sz w:val="28"/>
          <w:szCs w:val="28"/>
        </w:rPr>
        <w:t> </w:t>
      </w:r>
      <w:r>
        <w:rPr>
          <w:rFonts w:ascii="宋体" w:hAnsi="宋体" w:cs="宋体" w:eastAsia="宋体" w:hint="default"/>
          <w:sz w:val="28"/>
          <w:szCs w:val="28"/>
        </w:rPr>
        <w:t>220</w:t>
      </w:r>
      <w:r>
        <w:rPr>
          <w:rFonts w:ascii="宋体" w:hAnsi="宋体" w:cs="宋体" w:eastAsia="宋体" w:hint="default"/>
          <w:spacing w:val="-61"/>
          <w:sz w:val="28"/>
          <w:szCs w:val="28"/>
        </w:rPr>
        <w:t> </w:t>
      </w:r>
      <w:r>
        <w:rPr>
          <w:rFonts w:ascii="宋体" w:hAnsi="宋体" w:cs="宋体" w:eastAsia="宋体" w:hint="default"/>
          <w:sz w:val="28"/>
          <w:szCs w:val="28"/>
        </w:rPr>
        <w:t>万元，帮扶项目</w:t>
      </w:r>
      <w:r>
        <w:rPr>
          <w:rFonts w:ascii="宋体" w:hAnsi="宋体" w:cs="宋体" w:eastAsia="宋体" w:hint="default"/>
          <w:spacing w:val="-62"/>
          <w:sz w:val="28"/>
          <w:szCs w:val="28"/>
        </w:rPr>
        <w:t> </w:t>
      </w:r>
      <w:r>
        <w:rPr>
          <w:rFonts w:ascii="宋体" w:hAnsi="宋体" w:cs="宋体" w:eastAsia="宋体" w:hint="default"/>
          <w:sz w:val="28"/>
          <w:szCs w:val="28"/>
        </w:rPr>
        <w:t>14</w:t>
      </w:r>
      <w:r>
        <w:rPr>
          <w:rFonts w:ascii="宋体" w:hAnsi="宋体" w:cs="宋体" w:eastAsia="宋体" w:hint="default"/>
          <w:spacing w:val="-61"/>
          <w:sz w:val="28"/>
          <w:szCs w:val="28"/>
        </w:rPr>
        <w:t> </w:t>
      </w:r>
      <w:r>
        <w:rPr>
          <w:rFonts w:ascii="宋体" w:hAnsi="宋体" w:cs="宋体" w:eastAsia="宋体" w:hint="default"/>
          <w:sz w:val="28"/>
          <w:szCs w:val="28"/>
        </w:rPr>
        <w:t>个。援助新疆喀什地区莎车县，援助</w:t>
      </w:r>
    </w:p>
    <w:p>
      <w:pPr>
        <w:spacing w:line="240" w:lineRule="auto" w:before="9"/>
        <w:rPr>
          <w:rFonts w:ascii="宋体" w:hAnsi="宋体" w:cs="宋体" w:eastAsia="宋体" w:hint="default"/>
          <w:sz w:val="19"/>
          <w:szCs w:val="19"/>
        </w:rPr>
      </w:pPr>
    </w:p>
    <w:p>
      <w:pPr>
        <w:spacing w:before="0"/>
        <w:ind w:left="120" w:right="0" w:firstLine="0"/>
        <w:jc w:val="left"/>
        <w:rPr>
          <w:rFonts w:ascii="宋体" w:hAnsi="宋体" w:cs="宋体" w:eastAsia="宋体" w:hint="default"/>
          <w:sz w:val="28"/>
          <w:szCs w:val="28"/>
        </w:rPr>
      </w:pPr>
      <w:r>
        <w:rPr>
          <w:rFonts w:ascii="宋体" w:hAnsi="宋体" w:cs="宋体" w:eastAsia="宋体" w:hint="default"/>
          <w:sz w:val="28"/>
          <w:szCs w:val="28"/>
        </w:rPr>
        <w:t>总投资</w:t>
      </w:r>
      <w:r>
        <w:rPr>
          <w:rFonts w:ascii="宋体" w:hAnsi="宋体" w:cs="宋体" w:eastAsia="宋体" w:hint="default"/>
          <w:spacing w:val="-71"/>
          <w:sz w:val="28"/>
          <w:szCs w:val="28"/>
        </w:rPr>
        <w:t> </w:t>
      </w:r>
      <w:r>
        <w:rPr>
          <w:rFonts w:ascii="宋体" w:hAnsi="宋体" w:cs="宋体" w:eastAsia="宋体" w:hint="default"/>
          <w:sz w:val="28"/>
          <w:szCs w:val="28"/>
        </w:rPr>
        <w:t>700</w:t>
      </w:r>
      <w:r>
        <w:rPr>
          <w:rFonts w:ascii="宋体" w:hAnsi="宋体" w:cs="宋体" w:eastAsia="宋体" w:hint="default"/>
          <w:spacing w:val="-71"/>
          <w:sz w:val="28"/>
          <w:szCs w:val="28"/>
        </w:rPr>
        <w:t> </w:t>
      </w:r>
      <w:r>
        <w:rPr>
          <w:rFonts w:ascii="宋体" w:hAnsi="宋体" w:cs="宋体" w:eastAsia="宋体" w:hint="default"/>
          <w:spacing w:val="-5"/>
          <w:sz w:val="28"/>
          <w:szCs w:val="28"/>
        </w:rPr>
        <w:t>万元，援助项目</w:t>
      </w:r>
      <w:r>
        <w:rPr>
          <w:rFonts w:ascii="宋体" w:hAnsi="宋体" w:cs="宋体" w:eastAsia="宋体" w:hint="default"/>
          <w:spacing w:val="-72"/>
          <w:sz w:val="28"/>
          <w:szCs w:val="28"/>
        </w:rPr>
        <w:t> </w:t>
      </w:r>
      <w:r>
        <w:rPr>
          <w:rFonts w:ascii="宋体" w:hAnsi="宋体" w:cs="宋体" w:eastAsia="宋体" w:hint="default"/>
          <w:sz w:val="28"/>
          <w:szCs w:val="28"/>
        </w:rPr>
        <w:t>5</w:t>
      </w:r>
      <w:r>
        <w:rPr>
          <w:rFonts w:ascii="宋体" w:hAnsi="宋体" w:cs="宋体" w:eastAsia="宋体" w:hint="default"/>
          <w:spacing w:val="-71"/>
          <w:sz w:val="28"/>
          <w:szCs w:val="28"/>
        </w:rPr>
        <w:t> </w:t>
      </w:r>
      <w:r>
        <w:rPr>
          <w:rFonts w:ascii="宋体" w:hAnsi="宋体" w:cs="宋体" w:eastAsia="宋体" w:hint="default"/>
          <w:spacing w:val="-4"/>
          <w:sz w:val="28"/>
          <w:szCs w:val="28"/>
        </w:rPr>
        <w:t>个。向新疆维吾尔自治区“民族团结互</w:t>
      </w:r>
    </w:p>
    <w:p>
      <w:pPr>
        <w:spacing w:line="240" w:lineRule="auto" w:before="9"/>
        <w:rPr>
          <w:rFonts w:ascii="宋体" w:hAnsi="宋体" w:cs="宋体" w:eastAsia="宋体" w:hint="default"/>
          <w:sz w:val="19"/>
          <w:szCs w:val="19"/>
        </w:rPr>
      </w:pPr>
    </w:p>
    <w:p>
      <w:pPr>
        <w:spacing w:before="0"/>
        <w:ind w:left="120" w:right="0" w:firstLine="0"/>
        <w:jc w:val="left"/>
        <w:rPr>
          <w:rFonts w:ascii="宋体" w:hAnsi="宋体" w:cs="宋体" w:eastAsia="宋体" w:hint="default"/>
          <w:sz w:val="28"/>
          <w:szCs w:val="28"/>
        </w:rPr>
      </w:pPr>
      <w:r>
        <w:rPr>
          <w:rFonts w:ascii="宋体" w:hAnsi="宋体" w:cs="宋体" w:eastAsia="宋体" w:hint="default"/>
          <w:sz w:val="28"/>
          <w:szCs w:val="28"/>
        </w:rPr>
        <w:t>助基金”捐赠 1000</w:t>
      </w:r>
      <w:r>
        <w:rPr>
          <w:rFonts w:ascii="宋体" w:hAnsi="宋体" w:cs="宋体" w:eastAsia="宋体" w:hint="default"/>
          <w:spacing w:val="-104"/>
          <w:sz w:val="28"/>
          <w:szCs w:val="28"/>
        </w:rPr>
        <w:t> </w:t>
      </w:r>
      <w:r>
        <w:rPr>
          <w:rFonts w:ascii="宋体" w:hAnsi="宋体" w:cs="宋体" w:eastAsia="宋体" w:hint="default"/>
          <w:sz w:val="28"/>
          <w:szCs w:val="28"/>
        </w:rPr>
        <w:t>万元，用于支持新疆民族团结事业。向台湾“莫</w:t>
      </w:r>
    </w:p>
    <w:p>
      <w:pPr>
        <w:spacing w:line="240" w:lineRule="auto" w:before="9"/>
        <w:rPr>
          <w:rFonts w:ascii="宋体" w:hAnsi="宋体" w:cs="宋体" w:eastAsia="宋体" w:hint="default"/>
          <w:sz w:val="19"/>
          <w:szCs w:val="19"/>
        </w:rPr>
      </w:pPr>
    </w:p>
    <w:p>
      <w:pPr>
        <w:spacing w:line="408" w:lineRule="auto" w:before="0"/>
        <w:ind w:left="120" w:right="110" w:firstLine="0"/>
        <w:jc w:val="left"/>
        <w:rPr>
          <w:rFonts w:ascii="宋体" w:hAnsi="宋体" w:cs="宋体" w:eastAsia="宋体" w:hint="default"/>
          <w:sz w:val="28"/>
          <w:szCs w:val="28"/>
        </w:rPr>
      </w:pPr>
      <w:r>
        <w:rPr>
          <w:rFonts w:ascii="宋体" w:hAnsi="宋体" w:cs="宋体" w:eastAsia="宋体" w:hint="default"/>
          <w:spacing w:val="-5"/>
          <w:sz w:val="28"/>
          <w:szCs w:val="28"/>
        </w:rPr>
        <w:t>拉克”台风受灾地区捐赠</w:t>
      </w:r>
      <w:r>
        <w:rPr>
          <w:rFonts w:ascii="宋体" w:hAnsi="宋体" w:cs="宋体" w:eastAsia="宋体" w:hint="default"/>
          <w:spacing w:val="-70"/>
          <w:sz w:val="28"/>
          <w:szCs w:val="28"/>
        </w:rPr>
        <w:t> </w:t>
      </w:r>
      <w:r>
        <w:rPr>
          <w:rFonts w:ascii="宋体" w:hAnsi="宋体" w:cs="宋体" w:eastAsia="宋体" w:hint="default"/>
          <w:sz w:val="28"/>
          <w:szCs w:val="28"/>
        </w:rPr>
        <w:t>800</w:t>
      </w:r>
      <w:r>
        <w:rPr>
          <w:rFonts w:ascii="宋体" w:hAnsi="宋体" w:cs="宋体" w:eastAsia="宋体" w:hint="default"/>
          <w:spacing w:val="-70"/>
          <w:sz w:val="28"/>
          <w:szCs w:val="28"/>
        </w:rPr>
        <w:t> </w:t>
      </w:r>
      <w:r>
        <w:rPr>
          <w:rFonts w:ascii="宋体" w:hAnsi="宋体" w:cs="宋体" w:eastAsia="宋体" w:hint="default"/>
          <w:spacing w:val="-3"/>
          <w:sz w:val="28"/>
          <w:szCs w:val="28"/>
        </w:rPr>
        <w:t>万元，为台湾同胞救灾和灾后重建提供</w:t>
      </w:r>
      <w:r>
        <w:rPr>
          <w:rFonts w:ascii="宋体" w:hAnsi="宋体" w:cs="宋体" w:eastAsia="宋体" w:hint="default"/>
          <w:w w:val="99"/>
          <w:sz w:val="28"/>
          <w:szCs w:val="28"/>
        </w:rPr>
        <w:t> </w:t>
      </w:r>
      <w:r>
        <w:rPr>
          <w:rFonts w:ascii="宋体" w:hAnsi="宋体" w:cs="宋体" w:eastAsia="宋体" w:hint="default"/>
          <w:sz w:val="28"/>
          <w:szCs w:val="28"/>
        </w:rPr>
        <w:t>人道主义援助。</w:t>
      </w:r>
    </w:p>
    <w:p>
      <w:pPr>
        <w:spacing w:after="0" w:line="408" w:lineRule="auto"/>
        <w:jc w:val="left"/>
        <w:rPr>
          <w:rFonts w:ascii="宋体" w:hAnsi="宋体" w:cs="宋体" w:eastAsia="宋体" w:hint="default"/>
          <w:sz w:val="28"/>
          <w:szCs w:val="28"/>
        </w:rPr>
        <w:sectPr>
          <w:headerReference w:type="default" r:id="rId297"/>
          <w:footerReference w:type="default" r:id="rId298"/>
          <w:pgSz w:w="11910" w:h="16840"/>
          <w:pgMar w:header="0" w:footer="982" w:top="1540" w:bottom="1180" w:left="1680" w:right="1680"/>
          <w:pgNumType w:start="53"/>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pStyle w:val="Heading1"/>
        <w:spacing w:line="632" w:lineRule="exact"/>
        <w:ind w:right="652"/>
        <w:jc w:val="center"/>
        <w:rPr>
          <w:b w:val="0"/>
          <w:bCs w:val="0"/>
        </w:rPr>
      </w:pPr>
      <w:r>
        <w:rPr/>
        <w:t>社会评价</w:t>
      </w:r>
      <w:r>
        <w:rPr>
          <w:b w:val="0"/>
          <w:bCs w:val="0"/>
        </w:rPr>
      </w:r>
    </w:p>
    <w:p>
      <w:pPr>
        <w:spacing w:line="240" w:lineRule="auto" w:before="0"/>
        <w:rPr>
          <w:rFonts w:ascii="华文行楷" w:hAnsi="华文行楷" w:cs="华文行楷" w:eastAsia="华文行楷" w:hint="default"/>
          <w:b/>
          <w:bCs/>
          <w:sz w:val="52"/>
          <w:szCs w:val="52"/>
        </w:rPr>
      </w:pPr>
    </w:p>
    <w:p>
      <w:pPr>
        <w:spacing w:line="240" w:lineRule="auto" w:before="3"/>
        <w:rPr>
          <w:rFonts w:ascii="华文行楷" w:hAnsi="华文行楷" w:cs="华文行楷" w:eastAsia="华文行楷" w:hint="default"/>
          <w:b/>
          <w:bCs/>
          <w:sz w:val="59"/>
          <w:szCs w:val="59"/>
        </w:rPr>
      </w:pPr>
    </w:p>
    <w:p>
      <w:pPr>
        <w:pStyle w:val="Heading7"/>
        <w:spacing w:line="408" w:lineRule="auto"/>
        <w:ind w:left="119" w:right="109"/>
        <w:jc w:val="both"/>
      </w:pPr>
      <w:r>
        <w:rPr>
          <w:spacing w:val="6"/>
        </w:rPr>
        <w:t>●中国联通公司综合部获得国资委授予“中央企业信访工作先进集</w:t>
      </w:r>
      <w:r>
        <w:rPr>
          <w:spacing w:val="7"/>
          <w:w w:val="99"/>
        </w:rPr>
        <w:t> </w:t>
      </w:r>
      <w:r>
        <w:rPr>
          <w:spacing w:val="-6"/>
        </w:rPr>
        <w:t>体”荣誉称号，另有</w:t>
      </w:r>
      <w:r>
        <w:rPr>
          <w:spacing w:val="-68"/>
        </w:rPr>
        <w:t> </w:t>
      </w:r>
      <w:r>
        <w:rPr/>
        <w:t>2</w:t>
      </w:r>
      <w:r>
        <w:rPr>
          <w:spacing w:val="-68"/>
        </w:rPr>
        <w:t> </w:t>
      </w:r>
      <w:r>
        <w:rPr>
          <w:spacing w:val="-3"/>
        </w:rPr>
        <w:t>人被授予“中央企业优秀信访办主任”荣誉称</w:t>
      </w:r>
      <w:r>
        <w:rPr>
          <w:w w:val="99"/>
        </w:rPr>
        <w:t> </w:t>
      </w:r>
      <w:r>
        <w:rPr/>
        <w:t>号，4</w:t>
      </w:r>
      <w:r>
        <w:rPr>
          <w:spacing w:val="-82"/>
        </w:rPr>
        <w:t> </w:t>
      </w:r>
      <w:r>
        <w:rPr/>
        <w:t>人被授予“中央企业优秀信访工作者”荣誉称号</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19" w:right="116" w:firstLine="0"/>
        <w:jc w:val="both"/>
        <w:rPr>
          <w:rFonts w:ascii="宋体" w:hAnsi="宋体" w:cs="宋体" w:eastAsia="宋体" w:hint="default"/>
          <w:sz w:val="28"/>
          <w:szCs w:val="28"/>
        </w:rPr>
      </w:pPr>
      <w:r>
        <w:rPr>
          <w:rFonts w:ascii="宋体" w:hAnsi="宋体" w:cs="宋体" w:eastAsia="宋体" w:hint="default"/>
          <w:sz w:val="28"/>
          <w:szCs w:val="28"/>
        </w:rPr>
        <w:t>●中国联通获得 CECA</w:t>
      </w:r>
      <w:r>
        <w:rPr>
          <w:rFonts w:ascii="宋体" w:hAnsi="宋体" w:cs="宋体" w:eastAsia="宋体" w:hint="default"/>
          <w:spacing w:val="-104"/>
          <w:sz w:val="28"/>
          <w:szCs w:val="28"/>
        </w:rPr>
        <w:t> </w:t>
      </w:r>
      <w:r>
        <w:rPr>
          <w:rFonts w:ascii="宋体" w:hAnsi="宋体" w:cs="宋体" w:eastAsia="宋体" w:hint="default"/>
          <w:sz w:val="28"/>
          <w:szCs w:val="28"/>
        </w:rPr>
        <w:t>国家信息化测评中心评选的“中国企业信息化</w:t>
      </w:r>
      <w:r>
        <w:rPr>
          <w:rFonts w:ascii="宋体" w:hAnsi="宋体" w:cs="宋体" w:eastAsia="宋体" w:hint="default"/>
          <w:w w:val="99"/>
          <w:sz w:val="28"/>
          <w:szCs w:val="28"/>
        </w:rPr>
        <w:t> </w:t>
      </w:r>
      <w:r>
        <w:rPr>
          <w:rFonts w:ascii="宋体" w:hAnsi="宋体" w:cs="宋体" w:eastAsia="宋体" w:hint="default"/>
          <w:sz w:val="28"/>
          <w:szCs w:val="28"/>
        </w:rPr>
        <w:t>500</w:t>
      </w:r>
      <w:r>
        <w:rPr>
          <w:rFonts w:ascii="宋体" w:hAnsi="宋体" w:cs="宋体" w:eastAsia="宋体" w:hint="default"/>
          <w:spacing w:val="-97"/>
          <w:sz w:val="28"/>
          <w:szCs w:val="28"/>
        </w:rPr>
        <w:t> </w:t>
      </w:r>
      <w:r>
        <w:rPr>
          <w:rFonts w:ascii="宋体" w:hAnsi="宋体" w:cs="宋体" w:eastAsia="宋体" w:hint="default"/>
          <w:sz w:val="28"/>
          <w:szCs w:val="28"/>
        </w:rPr>
        <w:t>强”前十名，并荣获“最佳管理创新奖”和“最佳人力资源管理</w:t>
      </w:r>
      <w:r>
        <w:rPr>
          <w:rFonts w:ascii="宋体" w:hAnsi="宋体" w:cs="宋体" w:eastAsia="宋体" w:hint="default"/>
          <w:w w:val="99"/>
          <w:sz w:val="28"/>
          <w:szCs w:val="28"/>
        </w:rPr>
        <w:t> </w:t>
      </w:r>
      <w:r>
        <w:rPr>
          <w:rFonts w:ascii="宋体" w:hAnsi="宋体" w:cs="宋体" w:eastAsia="宋体" w:hint="default"/>
          <w:sz w:val="28"/>
          <w:szCs w:val="28"/>
        </w:rPr>
        <w:t>应用奖”</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19" w:right="116" w:firstLine="0"/>
        <w:jc w:val="both"/>
        <w:rPr>
          <w:rFonts w:ascii="宋体" w:hAnsi="宋体" w:cs="宋体" w:eastAsia="宋体" w:hint="default"/>
          <w:sz w:val="28"/>
          <w:szCs w:val="28"/>
        </w:rPr>
      </w:pPr>
      <w:r>
        <w:rPr>
          <w:rFonts w:ascii="宋体" w:hAnsi="宋体" w:cs="宋体" w:eastAsia="宋体" w:hint="default"/>
          <w:sz w:val="28"/>
          <w:szCs w:val="28"/>
        </w:rPr>
        <w:t>●中国联通获得工信部和中国消费者协会联合开展的 2009</w:t>
      </w:r>
      <w:r>
        <w:rPr>
          <w:rFonts w:ascii="宋体" w:hAnsi="宋体" w:cs="宋体" w:eastAsia="宋体" w:hint="default"/>
          <w:spacing w:val="-106"/>
          <w:sz w:val="28"/>
          <w:szCs w:val="28"/>
        </w:rPr>
        <w:t> </w:t>
      </w:r>
      <w:r>
        <w:rPr>
          <w:rFonts w:ascii="宋体" w:hAnsi="宋体" w:cs="宋体" w:eastAsia="宋体" w:hint="default"/>
          <w:sz w:val="28"/>
          <w:szCs w:val="28"/>
        </w:rPr>
        <w:t>年度固定</w:t>
      </w:r>
      <w:r>
        <w:rPr>
          <w:rFonts w:ascii="宋体" w:hAnsi="宋体" w:cs="宋体" w:eastAsia="宋体" w:hint="default"/>
          <w:w w:val="99"/>
          <w:sz w:val="28"/>
          <w:szCs w:val="28"/>
        </w:rPr>
        <w:t> </w:t>
      </w:r>
      <w:r>
        <w:rPr>
          <w:rFonts w:ascii="宋体" w:hAnsi="宋体" w:cs="宋体" w:eastAsia="宋体" w:hint="default"/>
          <w:sz w:val="28"/>
          <w:szCs w:val="28"/>
        </w:rPr>
        <w:t>电话用户满意度第一名</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20" w:right="116" w:firstLine="0"/>
        <w:jc w:val="both"/>
        <w:rPr>
          <w:rFonts w:ascii="宋体" w:hAnsi="宋体" w:cs="宋体" w:eastAsia="宋体" w:hint="default"/>
          <w:sz w:val="28"/>
          <w:szCs w:val="28"/>
        </w:rPr>
      </w:pPr>
      <w:r>
        <w:rPr>
          <w:rFonts w:ascii="宋体" w:hAnsi="宋体" w:cs="宋体" w:eastAsia="宋体" w:hint="default"/>
          <w:spacing w:val="-4"/>
          <w:sz w:val="28"/>
          <w:szCs w:val="28"/>
        </w:rPr>
        <w:t>●中国联通承德市分公司、泰安市分公司获得中华全国总工会“全国</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19"/>
          <w:w w:val="99"/>
          <w:sz w:val="28"/>
          <w:szCs w:val="28"/>
        </w:rPr>
        <w:t>五一劳动奖状”，9</w:t>
      </w:r>
      <w:r>
        <w:rPr>
          <w:rFonts w:ascii="宋体" w:hAnsi="宋体" w:cs="宋体" w:eastAsia="宋体" w:hint="default"/>
          <w:spacing w:val="-64"/>
          <w:w w:val="99"/>
          <w:sz w:val="28"/>
          <w:szCs w:val="28"/>
        </w:rPr>
        <w:t> </w:t>
      </w:r>
      <w:r>
        <w:rPr>
          <w:rFonts w:ascii="宋体" w:hAnsi="宋体" w:cs="宋体" w:eastAsia="宋体" w:hint="default"/>
          <w:spacing w:val="-12"/>
          <w:w w:val="99"/>
          <w:sz w:val="28"/>
          <w:szCs w:val="28"/>
        </w:rPr>
        <w:t>名员工获得“全国五一劳动奖章”，20</w:t>
      </w:r>
      <w:r>
        <w:rPr>
          <w:rFonts w:ascii="宋体" w:hAnsi="宋体" w:cs="宋体" w:eastAsia="宋体" w:hint="default"/>
          <w:spacing w:val="-63"/>
          <w:w w:val="99"/>
          <w:sz w:val="28"/>
          <w:szCs w:val="28"/>
        </w:rPr>
        <w:t> </w:t>
      </w:r>
      <w:r>
        <w:rPr>
          <w:rFonts w:ascii="宋体" w:hAnsi="宋体" w:cs="宋体" w:eastAsia="宋体" w:hint="default"/>
          <w:w w:val="99"/>
          <w:sz w:val="28"/>
          <w:szCs w:val="28"/>
        </w:rPr>
        <w:t>个基层班组</w:t>
      </w:r>
      <w:r>
        <w:rPr>
          <w:rFonts w:ascii="宋体" w:hAnsi="宋体" w:cs="宋体" w:eastAsia="宋体" w:hint="default"/>
          <w:w w:val="99"/>
          <w:sz w:val="28"/>
          <w:szCs w:val="28"/>
        </w:rPr>
        <w:t> </w:t>
      </w:r>
      <w:r>
        <w:rPr>
          <w:rFonts w:ascii="宋体" w:hAnsi="宋体" w:cs="宋体" w:eastAsia="宋体" w:hint="default"/>
          <w:sz w:val="28"/>
          <w:szCs w:val="28"/>
        </w:rPr>
        <w:t>获得“全国工人先锋号”称号</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20" w:right="112" w:firstLine="0"/>
        <w:jc w:val="both"/>
        <w:rPr>
          <w:rFonts w:ascii="宋体" w:hAnsi="宋体" w:cs="宋体" w:eastAsia="宋体" w:hint="default"/>
          <w:sz w:val="28"/>
          <w:szCs w:val="28"/>
        </w:rPr>
      </w:pPr>
      <w:r>
        <w:rPr>
          <w:rFonts w:ascii="宋体" w:hAnsi="宋体" w:cs="宋体" w:eastAsia="宋体" w:hint="default"/>
          <w:sz w:val="28"/>
          <w:szCs w:val="28"/>
        </w:rPr>
        <w:t>●中国联通西藏自治区分公司业务支撑系统部等 3</w:t>
      </w:r>
      <w:r>
        <w:rPr>
          <w:rFonts w:ascii="宋体" w:hAnsi="宋体" w:cs="宋体" w:eastAsia="宋体" w:hint="default"/>
          <w:spacing w:val="43"/>
          <w:sz w:val="28"/>
          <w:szCs w:val="28"/>
        </w:rPr>
        <w:t> </w:t>
      </w:r>
      <w:r>
        <w:rPr>
          <w:rFonts w:ascii="宋体" w:hAnsi="宋体" w:cs="宋体" w:eastAsia="宋体" w:hint="default"/>
          <w:sz w:val="28"/>
          <w:szCs w:val="28"/>
        </w:rPr>
        <w:t>个青年集体获得</w:t>
      </w:r>
      <w:r>
        <w:rPr>
          <w:rFonts w:ascii="宋体" w:hAnsi="宋体" w:cs="宋体" w:eastAsia="宋体" w:hint="default"/>
          <w:spacing w:val="2"/>
          <w:w w:val="99"/>
          <w:sz w:val="28"/>
          <w:szCs w:val="28"/>
        </w:rPr>
        <w:t> </w:t>
      </w:r>
      <w:r>
        <w:rPr>
          <w:rFonts w:ascii="宋体" w:hAnsi="宋体" w:cs="宋体" w:eastAsia="宋体" w:hint="default"/>
          <w:sz w:val="28"/>
          <w:szCs w:val="28"/>
        </w:rPr>
        <w:t>中央企业团工委“2008</w:t>
      </w:r>
      <w:r>
        <w:rPr>
          <w:rFonts w:ascii="宋体" w:hAnsi="宋体" w:cs="宋体" w:eastAsia="宋体" w:hint="default"/>
          <w:spacing w:val="14"/>
          <w:sz w:val="28"/>
          <w:szCs w:val="28"/>
        </w:rPr>
        <w:t> </w:t>
      </w:r>
      <w:r>
        <w:rPr>
          <w:rFonts w:ascii="宋体" w:hAnsi="宋体" w:cs="宋体" w:eastAsia="宋体" w:hint="default"/>
          <w:sz w:val="28"/>
          <w:szCs w:val="28"/>
        </w:rPr>
        <w:t>年度中央企业青年文明号”荣誉称号，中国</w:t>
      </w:r>
      <w:r>
        <w:rPr>
          <w:rFonts w:ascii="宋体" w:hAnsi="宋体" w:cs="宋体" w:eastAsia="宋体" w:hint="default"/>
          <w:spacing w:val="-136"/>
          <w:sz w:val="28"/>
          <w:szCs w:val="28"/>
        </w:rPr>
        <w:t> </w:t>
      </w:r>
      <w:r>
        <w:rPr>
          <w:rFonts w:ascii="宋体" w:hAnsi="宋体" w:cs="宋体" w:eastAsia="宋体" w:hint="default"/>
          <w:spacing w:val="-136"/>
          <w:sz w:val="28"/>
          <w:szCs w:val="28"/>
        </w:rPr>
      </w:r>
      <w:r>
        <w:rPr>
          <w:rFonts w:ascii="宋体" w:hAnsi="宋体" w:cs="宋体" w:eastAsia="宋体" w:hint="default"/>
          <w:sz w:val="28"/>
          <w:szCs w:val="28"/>
        </w:rPr>
        <w:t>联通北京市二区分公司皂君庙局商务客户经理 2 人获得“2008</w:t>
      </w:r>
      <w:r>
        <w:rPr>
          <w:rFonts w:ascii="宋体" w:hAnsi="宋体" w:cs="宋体" w:eastAsia="宋体" w:hint="default"/>
          <w:spacing w:val="-105"/>
          <w:sz w:val="28"/>
          <w:szCs w:val="28"/>
        </w:rPr>
        <w:t> </w:t>
      </w:r>
      <w:r>
        <w:rPr>
          <w:rFonts w:ascii="宋体" w:hAnsi="宋体" w:cs="宋体" w:eastAsia="宋体" w:hint="default"/>
          <w:sz w:val="28"/>
          <w:szCs w:val="28"/>
        </w:rPr>
        <w:t>年度</w:t>
      </w:r>
    </w:p>
    <w:p>
      <w:pPr>
        <w:spacing w:after="0" w:line="408" w:lineRule="auto"/>
        <w:jc w:val="both"/>
        <w:rPr>
          <w:rFonts w:ascii="宋体" w:hAnsi="宋体" w:cs="宋体" w:eastAsia="宋体" w:hint="default"/>
          <w:sz w:val="28"/>
          <w:szCs w:val="28"/>
        </w:rPr>
        <w:sectPr>
          <w:headerReference w:type="default" r:id="rId300"/>
          <w:footerReference w:type="default" r:id="rId301"/>
          <w:pgSz w:w="11910" w:h="16840"/>
          <w:pgMar w:header="0" w:footer="982" w:top="1600" w:bottom="1180" w:left="1680" w:right="1680"/>
          <w:pgNumType w:start="54"/>
        </w:sectPr>
      </w:pPr>
    </w:p>
    <w:p>
      <w:pPr>
        <w:pStyle w:val="Heading7"/>
        <w:spacing w:line="351" w:lineRule="exact"/>
        <w:ind w:right="84"/>
        <w:jc w:val="left"/>
      </w:pPr>
      <w:r>
        <w:rPr/>
        <w:t>中央企业青年岗位能手”荣誉称号</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39"/>
          <w:szCs w:val="39"/>
        </w:rPr>
      </w:pPr>
    </w:p>
    <w:p>
      <w:pPr>
        <w:spacing w:line="408" w:lineRule="auto" w:before="0"/>
        <w:ind w:left="120" w:right="84" w:firstLine="0"/>
        <w:jc w:val="left"/>
        <w:rPr>
          <w:rFonts w:ascii="宋体" w:hAnsi="宋体" w:cs="宋体" w:eastAsia="宋体" w:hint="default"/>
          <w:sz w:val="28"/>
          <w:szCs w:val="28"/>
        </w:rPr>
      </w:pPr>
      <w:r>
        <w:rPr>
          <w:rFonts w:ascii="宋体" w:hAnsi="宋体" w:cs="宋体" w:eastAsia="宋体" w:hint="default"/>
          <w:spacing w:val="6"/>
          <w:sz w:val="28"/>
          <w:szCs w:val="28"/>
        </w:rPr>
        <w:t>●中国联通辽宁省分公司获得中国通信企业协会全国通信行业用户</w:t>
      </w:r>
      <w:r>
        <w:rPr>
          <w:rFonts w:ascii="宋体" w:hAnsi="宋体" w:cs="宋体" w:eastAsia="宋体" w:hint="default"/>
          <w:spacing w:val="7"/>
          <w:w w:val="99"/>
          <w:sz w:val="28"/>
          <w:szCs w:val="28"/>
        </w:rPr>
        <w:t> </w:t>
      </w:r>
      <w:r>
        <w:rPr>
          <w:rFonts w:ascii="宋体" w:hAnsi="宋体" w:cs="宋体" w:eastAsia="宋体" w:hint="default"/>
          <w:sz w:val="28"/>
          <w:szCs w:val="28"/>
        </w:rPr>
        <w:t>满意企业</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20" w:right="84" w:firstLine="0"/>
        <w:jc w:val="left"/>
        <w:rPr>
          <w:rFonts w:ascii="宋体" w:hAnsi="宋体" w:cs="宋体" w:eastAsia="宋体" w:hint="default"/>
          <w:sz w:val="28"/>
          <w:szCs w:val="28"/>
        </w:rPr>
      </w:pPr>
      <w:r>
        <w:rPr>
          <w:rFonts w:ascii="宋体" w:hAnsi="宋体" w:cs="宋体" w:eastAsia="宋体" w:hint="default"/>
          <w:spacing w:val="-4"/>
          <w:sz w:val="28"/>
          <w:szCs w:val="28"/>
        </w:rPr>
        <w:t>●中国联通部分省级分公司项目在全国信息化应用、通信技术创新优</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6"/>
          <w:sz w:val="28"/>
          <w:szCs w:val="28"/>
        </w:rPr>
        <w:t>秀成果评选中获奖。天津市分公司“采用</w:t>
      </w:r>
      <w:r>
        <w:rPr>
          <w:rFonts w:ascii="宋体" w:hAnsi="宋体" w:cs="宋体" w:eastAsia="宋体" w:hint="default"/>
          <w:spacing w:val="-70"/>
          <w:sz w:val="28"/>
          <w:szCs w:val="28"/>
        </w:rPr>
        <w:t> </w:t>
      </w:r>
      <w:r>
        <w:rPr>
          <w:rFonts w:ascii="宋体" w:hAnsi="宋体" w:cs="宋体" w:eastAsia="宋体" w:hint="default"/>
          <w:sz w:val="28"/>
          <w:szCs w:val="28"/>
        </w:rPr>
        <w:t>Femto</w:t>
      </w:r>
      <w:r>
        <w:rPr>
          <w:rFonts w:ascii="宋体" w:hAnsi="宋体" w:cs="宋体" w:eastAsia="宋体" w:hint="default"/>
          <w:spacing w:val="-70"/>
          <w:sz w:val="28"/>
          <w:szCs w:val="28"/>
        </w:rPr>
        <w:t> </w:t>
      </w:r>
      <w:r>
        <w:rPr>
          <w:rFonts w:ascii="宋体" w:hAnsi="宋体" w:cs="宋体" w:eastAsia="宋体" w:hint="default"/>
          <w:sz w:val="28"/>
          <w:szCs w:val="28"/>
        </w:rPr>
        <w:t>技术实现无线宽带校</w:t>
      </w:r>
      <w:r>
        <w:rPr>
          <w:rFonts w:ascii="宋体" w:hAnsi="宋体" w:cs="宋体" w:eastAsia="宋体" w:hint="default"/>
          <w:w w:val="99"/>
          <w:sz w:val="28"/>
          <w:szCs w:val="28"/>
        </w:rPr>
        <w:t> </w:t>
      </w:r>
      <w:r>
        <w:rPr>
          <w:rFonts w:ascii="宋体" w:hAnsi="宋体" w:cs="宋体" w:eastAsia="宋体" w:hint="default"/>
          <w:spacing w:val="-4"/>
          <w:sz w:val="28"/>
          <w:szCs w:val="28"/>
        </w:rPr>
        <w:t>园覆盖”项目和“双面光纤总配线架助力天津市全光纤城市建设”项</w:t>
      </w:r>
      <w:r>
        <w:rPr>
          <w:rFonts w:ascii="宋体" w:hAnsi="宋体" w:cs="宋体" w:eastAsia="宋体" w:hint="default"/>
          <w:spacing w:val="-126"/>
          <w:sz w:val="28"/>
          <w:szCs w:val="28"/>
        </w:rPr>
        <w:t> </w:t>
      </w:r>
      <w:r>
        <w:rPr>
          <w:rFonts w:ascii="宋体" w:hAnsi="宋体" w:cs="宋体" w:eastAsia="宋体" w:hint="default"/>
          <w:spacing w:val="-126"/>
          <w:sz w:val="28"/>
          <w:szCs w:val="28"/>
        </w:rPr>
      </w:r>
      <w:r>
        <w:rPr>
          <w:rFonts w:ascii="宋体" w:hAnsi="宋体" w:cs="宋体" w:eastAsia="宋体" w:hint="default"/>
          <w:spacing w:val="-13"/>
          <w:sz w:val="28"/>
          <w:szCs w:val="28"/>
        </w:rPr>
        <w:t>目分获金银奖；黑龙江省分公司的“冲印我世界”网络数码冲印和“哈</w:t>
      </w:r>
      <w:r>
        <w:rPr>
          <w:rFonts w:ascii="宋体" w:hAnsi="宋体" w:cs="宋体" w:eastAsia="宋体" w:hint="default"/>
          <w:spacing w:val="-122"/>
          <w:sz w:val="28"/>
          <w:szCs w:val="28"/>
        </w:rPr>
        <w:t> </w:t>
      </w:r>
      <w:r>
        <w:rPr>
          <w:rFonts w:ascii="宋体" w:hAnsi="宋体" w:cs="宋体" w:eastAsia="宋体" w:hint="default"/>
          <w:spacing w:val="-122"/>
          <w:sz w:val="28"/>
          <w:szCs w:val="28"/>
        </w:rPr>
      </w:r>
      <w:r>
        <w:rPr>
          <w:rFonts w:ascii="宋体" w:hAnsi="宋体" w:cs="宋体" w:eastAsia="宋体" w:hint="default"/>
          <w:spacing w:val="-3"/>
          <w:w w:val="99"/>
          <w:sz w:val="28"/>
          <w:szCs w:val="28"/>
        </w:rPr>
        <w:t>尔滨供排水集团营业收费信息管理系统”项目获得金奖，“宽视界在</w:t>
      </w:r>
      <w:r>
        <w:rPr>
          <w:rFonts w:ascii="宋体" w:hAnsi="宋体" w:cs="宋体" w:eastAsia="宋体" w:hint="default"/>
          <w:spacing w:val="-134"/>
          <w:w w:val="99"/>
          <w:sz w:val="28"/>
          <w:szCs w:val="28"/>
        </w:rPr>
        <w:t> </w:t>
      </w:r>
      <w:r>
        <w:rPr>
          <w:rFonts w:ascii="宋体" w:hAnsi="宋体" w:cs="宋体" w:eastAsia="宋体" w:hint="default"/>
          <w:spacing w:val="-134"/>
          <w:w w:val="99"/>
          <w:sz w:val="28"/>
          <w:szCs w:val="28"/>
        </w:rPr>
      </w:r>
      <w:r>
        <w:rPr>
          <w:rFonts w:ascii="宋体" w:hAnsi="宋体" w:cs="宋体" w:eastAsia="宋体" w:hint="default"/>
          <w:sz w:val="28"/>
          <w:szCs w:val="28"/>
        </w:rPr>
        <w:t>黑龙江平安城市项目中应用”项目获得银奖；山东省分公司的第 11</w:t>
      </w:r>
      <w:r>
        <w:rPr>
          <w:rFonts w:ascii="宋体" w:hAnsi="宋体" w:cs="宋体" w:eastAsia="宋体" w:hint="default"/>
          <w:spacing w:val="-97"/>
          <w:sz w:val="28"/>
          <w:szCs w:val="28"/>
        </w:rPr>
        <w:t> </w:t>
      </w:r>
      <w:r>
        <w:rPr>
          <w:rFonts w:ascii="宋体" w:hAnsi="宋体" w:cs="宋体" w:eastAsia="宋体" w:hint="default"/>
          <w:spacing w:val="-97"/>
          <w:sz w:val="28"/>
          <w:szCs w:val="28"/>
        </w:rPr>
      </w:r>
      <w:r>
        <w:rPr>
          <w:rFonts w:ascii="宋体" w:hAnsi="宋体" w:cs="宋体" w:eastAsia="宋体" w:hint="default"/>
          <w:spacing w:val="-4"/>
          <w:sz w:val="28"/>
          <w:szCs w:val="28"/>
        </w:rPr>
        <w:t>届全运会信息网络平台和“商务新动力”中小企业信息化平台分获金</w:t>
      </w:r>
      <w:r>
        <w:rPr>
          <w:rFonts w:ascii="宋体" w:hAnsi="宋体" w:cs="宋体" w:eastAsia="宋体" w:hint="default"/>
          <w:spacing w:val="-123"/>
          <w:sz w:val="28"/>
          <w:szCs w:val="28"/>
        </w:rPr>
        <w:t> </w:t>
      </w:r>
      <w:r>
        <w:rPr>
          <w:rFonts w:ascii="宋体" w:hAnsi="宋体" w:cs="宋体" w:eastAsia="宋体" w:hint="default"/>
          <w:spacing w:val="-123"/>
          <w:sz w:val="28"/>
          <w:szCs w:val="28"/>
        </w:rPr>
      </w:r>
      <w:r>
        <w:rPr>
          <w:rFonts w:ascii="宋体" w:hAnsi="宋体" w:cs="宋体" w:eastAsia="宋体" w:hint="default"/>
          <w:sz w:val="28"/>
          <w:szCs w:val="28"/>
        </w:rPr>
        <w:t>银奖；北京市分公司的“广播式手机电视业务管理系统”获得银奖；</w:t>
      </w:r>
      <w:r>
        <w:rPr>
          <w:rFonts w:ascii="宋体" w:hAnsi="宋体" w:cs="宋体" w:eastAsia="宋体" w:hint="default"/>
          <w:w w:val="99"/>
          <w:sz w:val="28"/>
          <w:szCs w:val="28"/>
        </w:rPr>
        <w:t> </w:t>
      </w:r>
      <w:r>
        <w:rPr>
          <w:rFonts w:ascii="宋体" w:hAnsi="宋体" w:cs="宋体" w:eastAsia="宋体" w:hint="default"/>
          <w:spacing w:val="-4"/>
          <w:sz w:val="28"/>
          <w:szCs w:val="28"/>
        </w:rPr>
        <w:t>广东省分公司的“手机报业务”获得“企业信息化应用优秀成果”金</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11"/>
          <w:w w:val="99"/>
          <w:sz w:val="28"/>
          <w:szCs w:val="28"/>
        </w:rPr>
        <w:t>奖，“基于价值链合作的智能</w:t>
      </w:r>
      <w:r>
        <w:rPr>
          <w:rFonts w:ascii="宋体" w:hAnsi="宋体" w:cs="宋体" w:eastAsia="宋体" w:hint="default"/>
          <w:w w:val="99"/>
          <w:sz w:val="28"/>
          <w:szCs w:val="28"/>
        </w:rPr>
        <w:t> WAP</w:t>
      </w:r>
      <w:r>
        <w:rPr>
          <w:rFonts w:ascii="宋体" w:hAnsi="宋体" w:cs="宋体" w:eastAsia="宋体" w:hint="default"/>
          <w:spacing w:val="-93"/>
          <w:w w:val="99"/>
          <w:sz w:val="28"/>
          <w:szCs w:val="28"/>
        </w:rPr>
        <w:t> </w:t>
      </w:r>
      <w:r>
        <w:rPr>
          <w:rFonts w:ascii="宋体" w:hAnsi="宋体" w:cs="宋体" w:eastAsia="宋体" w:hint="default"/>
          <w:w w:val="99"/>
          <w:sz w:val="28"/>
          <w:szCs w:val="28"/>
        </w:rPr>
        <w:t>门户”获得“无线通信技术和案例</w:t>
      </w:r>
      <w:r>
        <w:rPr>
          <w:rFonts w:ascii="宋体" w:hAnsi="宋体" w:cs="宋体" w:eastAsia="宋体" w:hint="default"/>
          <w:w w:val="99"/>
          <w:sz w:val="28"/>
          <w:szCs w:val="28"/>
        </w:rPr>
        <w:t> </w:t>
      </w:r>
      <w:r>
        <w:rPr>
          <w:rFonts w:ascii="宋体" w:hAnsi="宋体" w:cs="宋体" w:eastAsia="宋体" w:hint="default"/>
          <w:sz w:val="28"/>
          <w:szCs w:val="28"/>
        </w:rPr>
        <w:t>创新成果奖”银奖</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20" w:right="189" w:firstLine="0"/>
        <w:jc w:val="both"/>
        <w:rPr>
          <w:rFonts w:ascii="宋体" w:hAnsi="宋体" w:cs="宋体" w:eastAsia="宋体" w:hint="default"/>
          <w:sz w:val="28"/>
          <w:szCs w:val="28"/>
        </w:rPr>
      </w:pPr>
      <w:r>
        <w:rPr>
          <w:rFonts w:ascii="宋体" w:hAnsi="宋体" w:cs="宋体" w:eastAsia="宋体" w:hint="default"/>
          <w:spacing w:val="6"/>
          <w:sz w:val="28"/>
          <w:szCs w:val="28"/>
        </w:rPr>
        <w:t>●中国联通《构建一级架构三级运营的创新型电子渠道生产管理体</w:t>
      </w:r>
      <w:r>
        <w:rPr>
          <w:rFonts w:ascii="宋体" w:hAnsi="宋体" w:cs="宋体" w:eastAsia="宋体" w:hint="default"/>
          <w:spacing w:val="7"/>
          <w:w w:val="99"/>
          <w:sz w:val="28"/>
          <w:szCs w:val="28"/>
        </w:rPr>
        <w:t> </w:t>
      </w:r>
      <w:r>
        <w:rPr>
          <w:rFonts w:ascii="宋体" w:hAnsi="宋体" w:cs="宋体" w:eastAsia="宋体" w:hint="default"/>
          <w:spacing w:val="-4"/>
          <w:sz w:val="28"/>
          <w:szCs w:val="28"/>
        </w:rPr>
        <w:t>系》获得中国通信企业协会第十六届全国企业管理现代化创新成果二</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等奖及第六届（2009</w:t>
      </w:r>
      <w:r>
        <w:rPr>
          <w:rFonts w:ascii="宋体" w:hAnsi="宋体" w:cs="宋体" w:eastAsia="宋体" w:hint="default"/>
          <w:spacing w:val="38"/>
          <w:sz w:val="28"/>
          <w:szCs w:val="28"/>
        </w:rPr>
        <w:t> </w:t>
      </w:r>
      <w:r>
        <w:rPr>
          <w:rFonts w:ascii="宋体" w:hAnsi="宋体" w:cs="宋体" w:eastAsia="宋体" w:hint="default"/>
          <w:sz w:val="28"/>
          <w:szCs w:val="28"/>
        </w:rPr>
        <w:t>年）全国通信行业企业管理现代化创新成果一</w:t>
      </w:r>
      <w:r>
        <w:rPr>
          <w:rFonts w:ascii="宋体" w:hAnsi="宋体" w:cs="宋体" w:eastAsia="宋体" w:hint="default"/>
          <w:spacing w:val="-136"/>
          <w:sz w:val="28"/>
          <w:szCs w:val="28"/>
        </w:rPr>
        <w:t> </w:t>
      </w:r>
      <w:r>
        <w:rPr>
          <w:rFonts w:ascii="宋体" w:hAnsi="宋体" w:cs="宋体" w:eastAsia="宋体" w:hint="default"/>
          <w:spacing w:val="-136"/>
          <w:sz w:val="28"/>
          <w:szCs w:val="28"/>
        </w:rPr>
      </w:r>
      <w:r>
        <w:rPr>
          <w:rFonts w:ascii="宋体" w:hAnsi="宋体" w:cs="宋体" w:eastAsia="宋体" w:hint="default"/>
          <w:sz w:val="28"/>
          <w:szCs w:val="28"/>
        </w:rPr>
        <w:t>等奖</w:t>
      </w:r>
    </w:p>
    <w:p>
      <w:pPr>
        <w:spacing w:after="0" w:line="408" w:lineRule="auto"/>
        <w:jc w:val="both"/>
        <w:rPr>
          <w:rFonts w:ascii="宋体" w:hAnsi="宋体" w:cs="宋体" w:eastAsia="宋体" w:hint="default"/>
          <w:sz w:val="28"/>
          <w:szCs w:val="28"/>
        </w:rPr>
        <w:sectPr>
          <w:headerReference w:type="default" r:id="rId302"/>
          <w:footerReference w:type="default" r:id="rId303"/>
          <w:pgSz w:w="11910" w:h="16840"/>
          <w:pgMar w:header="0" w:footer="982" w:top="1540" w:bottom="1180" w:left="1680" w:right="1600"/>
          <w:pgNumType w:start="55"/>
        </w:sectPr>
      </w:pPr>
    </w:p>
    <w:p>
      <w:pPr>
        <w:pStyle w:val="Heading7"/>
        <w:spacing w:line="351" w:lineRule="exact"/>
        <w:ind w:left="119" w:right="0"/>
        <w:jc w:val="both"/>
      </w:pPr>
      <w:r>
        <w:rPr>
          <w:spacing w:val="-3"/>
        </w:rPr>
        <w:t>●吉林分公司《农科在线----开创农村信息化营销新模式助力社会主</w:t>
      </w:r>
    </w:p>
    <w:p>
      <w:pPr>
        <w:spacing w:line="240" w:lineRule="auto" w:before="9"/>
        <w:rPr>
          <w:rFonts w:ascii="宋体" w:hAnsi="宋体" w:cs="宋体" w:eastAsia="宋体" w:hint="default"/>
          <w:sz w:val="19"/>
          <w:szCs w:val="19"/>
        </w:rPr>
      </w:pPr>
    </w:p>
    <w:p>
      <w:pPr>
        <w:spacing w:line="408" w:lineRule="auto" w:before="0"/>
        <w:ind w:left="119" w:right="117" w:firstLine="0"/>
        <w:jc w:val="both"/>
        <w:rPr>
          <w:rFonts w:ascii="宋体" w:hAnsi="宋体" w:cs="宋体" w:eastAsia="宋体" w:hint="default"/>
          <w:sz w:val="28"/>
          <w:szCs w:val="28"/>
        </w:rPr>
      </w:pPr>
      <w:r>
        <w:rPr>
          <w:rFonts w:ascii="宋体" w:hAnsi="宋体" w:cs="宋体" w:eastAsia="宋体" w:hint="default"/>
          <w:spacing w:val="-4"/>
          <w:sz w:val="28"/>
          <w:szCs w:val="28"/>
        </w:rPr>
        <w:t>义新农村建设》获得中国通信企业协会第十六届全国企业管理现代化</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创新成果二等奖及国资委“中央企业优秀社会责任实践”</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19" w:right="115" w:firstLine="0"/>
        <w:jc w:val="both"/>
        <w:rPr>
          <w:rFonts w:ascii="宋体" w:hAnsi="宋体" w:cs="宋体" w:eastAsia="宋体" w:hint="default"/>
          <w:sz w:val="28"/>
          <w:szCs w:val="28"/>
        </w:rPr>
      </w:pPr>
      <w:r>
        <w:rPr>
          <w:rFonts w:ascii="宋体" w:hAnsi="宋体" w:cs="宋体" w:eastAsia="宋体" w:hint="default"/>
          <w:spacing w:val="-4"/>
          <w:sz w:val="28"/>
          <w:szCs w:val="28"/>
        </w:rPr>
        <w:t>●山东分公司《和谐农村的“平安互助网”建设》获得中国通信企业</w:t>
      </w:r>
      <w:r>
        <w:rPr>
          <w:rFonts w:ascii="宋体" w:hAnsi="宋体" w:cs="宋体" w:eastAsia="宋体" w:hint="default"/>
          <w:spacing w:val="-131"/>
          <w:sz w:val="28"/>
          <w:szCs w:val="28"/>
        </w:rPr>
        <w:t> </w:t>
      </w:r>
      <w:r>
        <w:rPr>
          <w:rFonts w:ascii="宋体" w:hAnsi="宋体" w:cs="宋体" w:eastAsia="宋体" w:hint="default"/>
          <w:spacing w:val="-131"/>
          <w:sz w:val="28"/>
          <w:szCs w:val="28"/>
        </w:rPr>
      </w:r>
      <w:r>
        <w:rPr>
          <w:rFonts w:ascii="宋体" w:hAnsi="宋体" w:cs="宋体" w:eastAsia="宋体" w:hint="default"/>
          <w:sz w:val="28"/>
          <w:szCs w:val="28"/>
        </w:rPr>
        <w:t>协会第十六届全国企业管理现代化创新成果二等奖</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19" w:right="117" w:firstLine="0"/>
        <w:jc w:val="both"/>
        <w:rPr>
          <w:rFonts w:ascii="宋体" w:hAnsi="宋体" w:cs="宋体" w:eastAsia="宋体" w:hint="default"/>
          <w:sz w:val="28"/>
          <w:szCs w:val="28"/>
        </w:rPr>
      </w:pPr>
      <w:r>
        <w:rPr>
          <w:rFonts w:ascii="宋体" w:hAnsi="宋体" w:cs="宋体" w:eastAsia="宋体" w:hint="default"/>
          <w:spacing w:val="-4"/>
          <w:sz w:val="28"/>
          <w:szCs w:val="28"/>
        </w:rPr>
        <w:t>●中国联通《基于互联网和一级架构的电子化销售服务管理系统》获</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得国务院国有资产监督管理委员会评选的 2009</w:t>
      </w:r>
      <w:r>
        <w:rPr>
          <w:rFonts w:ascii="宋体" w:hAnsi="宋体" w:cs="宋体" w:eastAsia="宋体" w:hint="default"/>
          <w:spacing w:val="-103"/>
          <w:sz w:val="28"/>
          <w:szCs w:val="28"/>
        </w:rPr>
        <w:t> </w:t>
      </w:r>
      <w:r>
        <w:rPr>
          <w:rFonts w:ascii="宋体" w:hAnsi="宋体" w:cs="宋体" w:eastAsia="宋体" w:hint="default"/>
          <w:sz w:val="28"/>
          <w:szCs w:val="28"/>
        </w:rPr>
        <w:t>年中央企业信息化电</w:t>
      </w:r>
      <w:r>
        <w:rPr>
          <w:rFonts w:ascii="宋体" w:hAnsi="宋体" w:cs="宋体" w:eastAsia="宋体" w:hint="default"/>
          <w:w w:val="99"/>
          <w:sz w:val="28"/>
          <w:szCs w:val="28"/>
        </w:rPr>
        <w:t> </w:t>
      </w:r>
      <w:r>
        <w:rPr>
          <w:rFonts w:ascii="宋体" w:hAnsi="宋体" w:cs="宋体" w:eastAsia="宋体" w:hint="default"/>
          <w:sz w:val="28"/>
          <w:szCs w:val="28"/>
        </w:rPr>
        <w:t>子商务类示范工程荣誉称号</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19" w:right="116" w:firstLine="0"/>
        <w:jc w:val="both"/>
        <w:rPr>
          <w:rFonts w:ascii="宋体" w:hAnsi="宋体" w:cs="宋体" w:eastAsia="宋体" w:hint="default"/>
          <w:sz w:val="28"/>
          <w:szCs w:val="28"/>
        </w:rPr>
      </w:pPr>
      <w:r>
        <w:rPr>
          <w:rFonts w:ascii="宋体" w:hAnsi="宋体" w:cs="宋体" w:eastAsia="宋体" w:hint="default"/>
          <w:spacing w:val="-6"/>
          <w:sz w:val="28"/>
          <w:szCs w:val="28"/>
        </w:rPr>
        <w:t>●《中国联通“一级架构”的电子渠道系统》获得中国通信学会</w:t>
      </w:r>
      <w:r>
        <w:rPr>
          <w:rFonts w:ascii="宋体" w:hAnsi="宋体" w:cs="宋体" w:eastAsia="宋体" w:hint="default"/>
          <w:spacing w:val="-75"/>
          <w:sz w:val="28"/>
          <w:szCs w:val="28"/>
        </w:rPr>
        <w:t> </w:t>
      </w:r>
      <w:r>
        <w:rPr>
          <w:rFonts w:ascii="宋体" w:hAnsi="宋体" w:cs="宋体" w:eastAsia="宋体" w:hint="default"/>
          <w:sz w:val="28"/>
          <w:szCs w:val="28"/>
        </w:rPr>
        <w:t>2009</w:t>
      </w:r>
      <w:r>
        <w:rPr>
          <w:rFonts w:ascii="宋体" w:hAnsi="宋体" w:cs="宋体" w:eastAsia="宋体" w:hint="default"/>
          <w:w w:val="99"/>
          <w:sz w:val="28"/>
          <w:szCs w:val="28"/>
        </w:rPr>
        <w:t> </w:t>
      </w:r>
      <w:r>
        <w:rPr>
          <w:rFonts w:ascii="宋体" w:hAnsi="宋体" w:cs="宋体" w:eastAsia="宋体" w:hint="default"/>
          <w:sz w:val="28"/>
          <w:szCs w:val="28"/>
        </w:rPr>
        <w:t>年度中国通信学会科学技术奖三等奖</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spacing w:line="408" w:lineRule="auto" w:before="0"/>
        <w:ind w:left="119" w:right="117" w:firstLine="0"/>
        <w:jc w:val="both"/>
        <w:rPr>
          <w:rFonts w:ascii="宋体" w:hAnsi="宋体" w:cs="宋体" w:eastAsia="宋体" w:hint="default"/>
          <w:sz w:val="28"/>
          <w:szCs w:val="28"/>
        </w:rPr>
      </w:pPr>
      <w:r>
        <w:rPr>
          <w:rFonts w:ascii="宋体" w:hAnsi="宋体" w:cs="宋体" w:eastAsia="宋体" w:hint="default"/>
          <w:spacing w:val="-4"/>
          <w:sz w:val="28"/>
          <w:szCs w:val="28"/>
        </w:rPr>
        <w:t>●中国联通山东分公司获得人力资源和社会保障部、国务院国有资产</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z w:val="28"/>
          <w:szCs w:val="28"/>
        </w:rPr>
        <w:t>监督管理委员会表彰的“中央企业先进集体”荣誉称号</w:t>
      </w:r>
    </w:p>
    <w:p>
      <w:pPr>
        <w:spacing w:after="0" w:line="408" w:lineRule="auto"/>
        <w:jc w:val="both"/>
        <w:rPr>
          <w:rFonts w:ascii="宋体" w:hAnsi="宋体" w:cs="宋体" w:eastAsia="宋体" w:hint="default"/>
          <w:sz w:val="28"/>
          <w:szCs w:val="28"/>
        </w:rPr>
        <w:sectPr>
          <w:headerReference w:type="default" r:id="rId304"/>
          <w:footerReference w:type="default" r:id="rId305"/>
          <w:pgSz w:w="11910" w:h="16840"/>
          <w:pgMar w:header="0" w:footer="982" w:top="1540" w:bottom="1180" w:left="1680" w:right="1680"/>
          <w:pgNumType w:start="56"/>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pStyle w:val="Heading1"/>
        <w:spacing w:line="632" w:lineRule="exact"/>
        <w:ind w:left="0" w:right="137"/>
        <w:jc w:val="center"/>
        <w:rPr>
          <w:b w:val="0"/>
          <w:bCs w:val="0"/>
        </w:rPr>
      </w:pPr>
      <w:r>
        <w:rPr/>
        <w:t>展望未来</w:t>
      </w:r>
      <w:r>
        <w:rPr>
          <w:b w:val="0"/>
          <w:bCs w:val="0"/>
        </w:rPr>
      </w:r>
    </w:p>
    <w:p>
      <w:pPr>
        <w:spacing w:line="240" w:lineRule="auto" w:before="0"/>
        <w:rPr>
          <w:rFonts w:ascii="华文行楷" w:hAnsi="华文行楷" w:cs="华文行楷" w:eastAsia="华文行楷" w:hint="default"/>
          <w:b/>
          <w:bCs/>
          <w:sz w:val="52"/>
          <w:szCs w:val="52"/>
        </w:rPr>
      </w:pPr>
    </w:p>
    <w:p>
      <w:pPr>
        <w:spacing w:line="240" w:lineRule="auto" w:before="3"/>
        <w:rPr>
          <w:rFonts w:ascii="华文行楷" w:hAnsi="华文行楷" w:cs="华文行楷" w:eastAsia="华文行楷" w:hint="default"/>
          <w:b/>
          <w:bCs/>
          <w:sz w:val="59"/>
          <w:szCs w:val="59"/>
        </w:rPr>
      </w:pPr>
    </w:p>
    <w:p>
      <w:pPr>
        <w:pStyle w:val="Heading7"/>
        <w:spacing w:line="408" w:lineRule="auto"/>
        <w:ind w:left="119" w:right="113" w:firstLine="560"/>
        <w:jc w:val="left"/>
      </w:pPr>
      <w:r>
        <w:rPr/>
        <w:t>随着信息技术的演进、电信市场的开放、以及产业的加速融合，</w:t>
      </w:r>
      <w:r>
        <w:rPr>
          <w:w w:val="99"/>
        </w:rPr>
        <w:t> </w:t>
      </w:r>
      <w:r>
        <w:rPr>
          <w:spacing w:val="-4"/>
        </w:rPr>
        <w:t>电信业机遇与挑战并存。作为一家跻身世界级重要电信运营商行列的</w:t>
      </w:r>
      <w:r>
        <w:rPr>
          <w:spacing w:val="-125"/>
        </w:rPr>
        <w:t> </w:t>
      </w:r>
      <w:r>
        <w:rPr>
          <w:spacing w:val="-125"/>
        </w:rPr>
      </w:r>
      <w:r>
        <w:rPr/>
        <w:t>中国电信企业，中国联通将</w:t>
      </w:r>
      <w:r>
        <w:rPr>
          <w:color w:val="323232"/>
        </w:rPr>
        <w:t>以“融合创造新优势、3G </w:t>
      </w:r>
      <w:r>
        <w:rPr>
          <w:color w:val="323232"/>
          <w:spacing w:val="2"/>
        </w:rPr>
        <w:t>实现新发展”</w:t>
      </w:r>
      <w:r>
        <w:rPr>
          <w:color w:val="323232"/>
          <w:spacing w:val="-110"/>
        </w:rPr>
        <w:t> </w:t>
      </w:r>
      <w:r>
        <w:rPr>
          <w:color w:val="323232"/>
          <w:spacing w:val="-110"/>
        </w:rPr>
      </w:r>
      <w:r>
        <w:rPr>
          <w:color w:val="323232"/>
          <w:spacing w:val="-4"/>
        </w:rPr>
        <w:t>为目标，以“抓机遇、保增长、调结构、上水平”为工作主线，审时</w:t>
      </w:r>
      <w:r>
        <w:rPr>
          <w:color w:val="323232"/>
          <w:spacing w:val="-125"/>
        </w:rPr>
        <w:t> </w:t>
      </w:r>
      <w:r>
        <w:rPr>
          <w:color w:val="323232"/>
          <w:spacing w:val="-125"/>
        </w:rPr>
      </w:r>
      <w:r>
        <w:rPr>
          <w:color w:val="323232"/>
          <w:spacing w:val="-8"/>
          <w:w w:val="99"/>
        </w:rPr>
        <w:t>度势，把握电信业信息化发展的大趋势，</w:t>
      </w:r>
      <w:r>
        <w:rPr>
          <w:spacing w:val="-8"/>
          <w:w w:val="99"/>
        </w:rPr>
        <w:t>充分发挥重组后的融合优势，</w:t>
      </w:r>
      <w:r>
        <w:rPr>
          <w:spacing w:val="-126"/>
          <w:w w:val="99"/>
        </w:rPr>
        <w:t> </w:t>
      </w:r>
      <w:r>
        <w:rPr>
          <w:spacing w:val="-126"/>
          <w:w w:val="99"/>
        </w:rPr>
      </w:r>
      <w:r>
        <w:rPr>
          <w:color w:val="323232"/>
          <w:spacing w:val="-4"/>
        </w:rPr>
        <w:t>夯实基础管理，完善体制机制，加强精细化运作，强化落实执行</w:t>
      </w:r>
      <w:r>
        <w:rPr>
          <w:spacing w:val="-4"/>
        </w:rPr>
        <w:t>，推</w:t>
      </w:r>
      <w:r>
        <w:rPr>
          <w:spacing w:val="-23"/>
          <w:w w:val="99"/>
        </w:rPr>
        <w:t> </w:t>
      </w:r>
      <w:r>
        <w:rPr>
          <w:spacing w:val="-8"/>
        </w:rPr>
        <w:t>动改革创新，</w:t>
      </w:r>
      <w:r>
        <w:rPr>
          <w:color w:val="323232"/>
          <w:spacing w:val="-8"/>
        </w:rPr>
        <w:t>提高网络保障水平，提升支撑能力，在发展中调整结构，</w:t>
      </w:r>
      <w:r>
        <w:rPr>
          <w:color w:val="323232"/>
          <w:spacing w:val="-137"/>
        </w:rPr>
        <w:t> </w:t>
      </w:r>
      <w:r>
        <w:rPr>
          <w:color w:val="323232"/>
          <w:spacing w:val="-137"/>
        </w:rPr>
      </w:r>
      <w:r>
        <w:rPr>
          <w:color w:val="323232"/>
        </w:rPr>
        <w:t>在创新中增强活力。</w:t>
      </w:r>
      <w:r>
        <w:rPr/>
      </w:r>
    </w:p>
    <w:p>
      <w:pPr>
        <w:spacing w:line="408" w:lineRule="auto" w:before="61"/>
        <w:ind w:left="120" w:right="249" w:firstLine="560"/>
        <w:jc w:val="both"/>
        <w:rPr>
          <w:rFonts w:ascii="宋体" w:hAnsi="宋体" w:cs="宋体" w:eastAsia="宋体" w:hint="default"/>
          <w:sz w:val="28"/>
          <w:szCs w:val="28"/>
        </w:rPr>
      </w:pPr>
      <w:r>
        <w:rPr>
          <w:rFonts w:ascii="宋体" w:hAnsi="宋体" w:cs="宋体" w:eastAsia="宋体" w:hint="default"/>
          <w:color w:val="323232"/>
          <w:spacing w:val="-4"/>
          <w:sz w:val="28"/>
          <w:szCs w:val="28"/>
        </w:rPr>
        <w:t>联通人正以坚定的信心，以进取的精神，以创新的思路，以扎实</w:t>
      </w:r>
      <w:r>
        <w:rPr>
          <w:rFonts w:ascii="宋体" w:hAnsi="宋体" w:cs="宋体" w:eastAsia="宋体" w:hint="default"/>
          <w:color w:val="323232"/>
          <w:w w:val="99"/>
          <w:sz w:val="28"/>
          <w:szCs w:val="28"/>
        </w:rPr>
        <w:t> </w:t>
      </w:r>
      <w:r>
        <w:rPr>
          <w:rFonts w:ascii="宋体" w:hAnsi="宋体" w:cs="宋体" w:eastAsia="宋体" w:hint="default"/>
          <w:color w:val="323232"/>
          <w:spacing w:val="-4"/>
          <w:sz w:val="28"/>
          <w:szCs w:val="28"/>
        </w:rPr>
        <w:t>的作风，全力促进中国联通核心竞争力的提升。联通人更深刻领会企</w:t>
      </w:r>
      <w:r>
        <w:rPr>
          <w:rFonts w:ascii="宋体" w:hAnsi="宋体" w:cs="宋体" w:eastAsia="宋体" w:hint="default"/>
          <w:color w:val="323232"/>
          <w:spacing w:val="-124"/>
          <w:sz w:val="28"/>
          <w:szCs w:val="28"/>
        </w:rPr>
        <w:t> </w:t>
      </w:r>
      <w:r>
        <w:rPr>
          <w:rFonts w:ascii="宋体" w:hAnsi="宋体" w:cs="宋体" w:eastAsia="宋体" w:hint="default"/>
          <w:color w:val="323232"/>
          <w:spacing w:val="-124"/>
          <w:sz w:val="28"/>
          <w:szCs w:val="28"/>
        </w:rPr>
      </w:r>
      <w:r>
        <w:rPr>
          <w:rFonts w:ascii="宋体" w:hAnsi="宋体" w:cs="宋体" w:eastAsia="宋体" w:hint="default"/>
          <w:color w:val="323232"/>
          <w:spacing w:val="-3"/>
          <w:w w:val="99"/>
          <w:sz w:val="28"/>
          <w:szCs w:val="28"/>
        </w:rPr>
        <w:t>业与社会的息息相关，</w:t>
      </w:r>
      <w:r>
        <w:rPr>
          <w:rFonts w:ascii="宋体" w:hAnsi="宋体" w:cs="宋体" w:eastAsia="宋体" w:hint="default"/>
          <w:spacing w:val="-3"/>
          <w:w w:val="99"/>
          <w:sz w:val="28"/>
          <w:szCs w:val="28"/>
        </w:rPr>
        <w:t>“社会是企业的依托，企业是社会的细胞”。</w:t>
      </w:r>
      <w:r>
        <w:rPr>
          <w:rFonts w:ascii="宋体" w:hAnsi="宋体" w:cs="宋体" w:eastAsia="宋体" w:hint="default"/>
          <w:spacing w:val="-134"/>
          <w:w w:val="99"/>
          <w:sz w:val="28"/>
          <w:szCs w:val="28"/>
        </w:rPr>
        <w:t> </w:t>
      </w:r>
      <w:r>
        <w:rPr>
          <w:rFonts w:ascii="宋体" w:hAnsi="宋体" w:cs="宋体" w:eastAsia="宋体" w:hint="default"/>
          <w:spacing w:val="-134"/>
          <w:w w:val="99"/>
          <w:sz w:val="28"/>
          <w:szCs w:val="28"/>
        </w:rPr>
      </w:r>
      <w:r>
        <w:rPr>
          <w:rFonts w:ascii="宋体" w:hAnsi="宋体" w:cs="宋体" w:eastAsia="宋体" w:hint="default"/>
          <w:spacing w:val="6"/>
          <w:sz w:val="28"/>
          <w:szCs w:val="28"/>
        </w:rPr>
        <w:t>企业只有推出有利于社会进步与发展的实际举措，被社会承认和接</w:t>
      </w:r>
      <w:r>
        <w:rPr>
          <w:rFonts w:ascii="宋体" w:hAnsi="宋体" w:cs="宋体" w:eastAsia="宋体" w:hint="default"/>
          <w:spacing w:val="7"/>
          <w:w w:val="99"/>
          <w:sz w:val="28"/>
          <w:szCs w:val="28"/>
        </w:rPr>
        <w:t> </w:t>
      </w:r>
      <w:r>
        <w:rPr>
          <w:rFonts w:ascii="宋体" w:hAnsi="宋体" w:cs="宋体" w:eastAsia="宋体" w:hint="default"/>
          <w:spacing w:val="-4"/>
          <w:sz w:val="28"/>
          <w:szCs w:val="28"/>
        </w:rPr>
        <w:t>纳，才能有足够的发展机会和空间。新的一年，中国联通将进一步加</w:t>
      </w:r>
      <w:r>
        <w:rPr>
          <w:rFonts w:ascii="宋体" w:hAnsi="宋体" w:cs="宋体" w:eastAsia="宋体" w:hint="default"/>
          <w:spacing w:val="-125"/>
          <w:sz w:val="28"/>
          <w:szCs w:val="28"/>
        </w:rPr>
        <w:t> </w:t>
      </w:r>
      <w:r>
        <w:rPr>
          <w:rFonts w:ascii="宋体" w:hAnsi="宋体" w:cs="宋体" w:eastAsia="宋体" w:hint="default"/>
          <w:spacing w:val="-125"/>
          <w:sz w:val="28"/>
          <w:szCs w:val="28"/>
        </w:rPr>
      </w:r>
      <w:r>
        <w:rPr>
          <w:rFonts w:ascii="宋体" w:hAnsi="宋体" w:cs="宋体" w:eastAsia="宋体" w:hint="default"/>
          <w:spacing w:val="-4"/>
          <w:sz w:val="28"/>
          <w:szCs w:val="28"/>
        </w:rPr>
        <w:t>大企业社会责任工作力度，为企业营造健康的内外部环境，为促进社</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pacing w:val="-4"/>
          <w:sz w:val="28"/>
          <w:szCs w:val="28"/>
        </w:rPr>
        <w:t>会整体的可持续发展，实现与各利益相关方全面协调共同发展贡献力</w:t>
      </w:r>
      <w:r>
        <w:rPr>
          <w:rFonts w:ascii="宋体" w:hAnsi="宋体" w:cs="宋体" w:eastAsia="宋体" w:hint="default"/>
          <w:spacing w:val="-124"/>
          <w:sz w:val="28"/>
          <w:szCs w:val="28"/>
        </w:rPr>
        <w:t> </w:t>
      </w:r>
      <w:r>
        <w:rPr>
          <w:rFonts w:ascii="宋体" w:hAnsi="宋体" w:cs="宋体" w:eastAsia="宋体" w:hint="default"/>
          <w:spacing w:val="-124"/>
          <w:sz w:val="28"/>
          <w:szCs w:val="28"/>
        </w:rPr>
      </w:r>
      <w:r>
        <w:rPr>
          <w:rFonts w:ascii="宋体" w:hAnsi="宋体" w:cs="宋体" w:eastAsia="宋体" w:hint="default"/>
          <w:sz w:val="28"/>
          <w:szCs w:val="28"/>
        </w:rPr>
        <w:t>量！</w:t>
      </w:r>
    </w:p>
    <w:p>
      <w:pPr>
        <w:spacing w:after="0" w:line="408" w:lineRule="auto"/>
        <w:jc w:val="both"/>
        <w:rPr>
          <w:rFonts w:ascii="宋体" w:hAnsi="宋体" w:cs="宋体" w:eastAsia="宋体" w:hint="default"/>
          <w:sz w:val="28"/>
          <w:szCs w:val="28"/>
        </w:rPr>
        <w:sectPr>
          <w:headerReference w:type="default" r:id="rId306"/>
          <w:footerReference w:type="default" r:id="rId307"/>
          <w:pgSz w:w="11910" w:h="16840"/>
          <w:pgMar w:header="0" w:footer="982" w:top="1600" w:bottom="1180" w:left="1680" w:right="1540"/>
          <w:pgNumType w:start="57"/>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pStyle w:val="Heading1"/>
        <w:spacing w:line="632" w:lineRule="exact"/>
        <w:ind w:left="0" w:right="136"/>
        <w:jc w:val="center"/>
        <w:rPr>
          <w:b w:val="0"/>
          <w:bCs w:val="0"/>
        </w:rPr>
      </w:pPr>
      <w:r>
        <w:rPr/>
        <w:t>附录</w:t>
      </w:r>
      <w:r>
        <w:rPr>
          <w:b w:val="0"/>
          <w:bCs w:val="0"/>
        </w:rPr>
      </w:r>
    </w:p>
    <w:p>
      <w:pPr>
        <w:spacing w:line="240" w:lineRule="auto" w:before="0"/>
        <w:rPr>
          <w:rFonts w:ascii="华文行楷" w:hAnsi="华文行楷" w:cs="华文行楷" w:eastAsia="华文行楷" w:hint="default"/>
          <w:b/>
          <w:bCs/>
          <w:sz w:val="20"/>
          <w:szCs w:val="20"/>
        </w:rPr>
      </w:pPr>
    </w:p>
    <w:p>
      <w:pPr>
        <w:spacing w:line="240" w:lineRule="auto" w:before="0"/>
        <w:rPr>
          <w:rFonts w:ascii="华文行楷" w:hAnsi="华文行楷" w:cs="华文行楷" w:eastAsia="华文行楷" w:hint="default"/>
          <w:b/>
          <w:bCs/>
          <w:sz w:val="20"/>
          <w:szCs w:val="20"/>
        </w:rPr>
      </w:pPr>
    </w:p>
    <w:p>
      <w:pPr>
        <w:spacing w:line="240" w:lineRule="auto" w:before="0"/>
        <w:rPr>
          <w:rFonts w:ascii="华文行楷" w:hAnsi="华文行楷" w:cs="华文行楷" w:eastAsia="华文行楷" w:hint="default"/>
          <w:b/>
          <w:bCs/>
          <w:sz w:val="20"/>
          <w:szCs w:val="20"/>
        </w:rPr>
      </w:pPr>
    </w:p>
    <w:p>
      <w:pPr>
        <w:spacing w:line="240" w:lineRule="auto" w:before="0"/>
        <w:rPr>
          <w:rFonts w:ascii="华文行楷" w:hAnsi="华文行楷" w:cs="华文行楷" w:eastAsia="华文行楷" w:hint="default"/>
          <w:b/>
          <w:bCs/>
          <w:sz w:val="20"/>
          <w:szCs w:val="20"/>
        </w:rPr>
      </w:pPr>
    </w:p>
    <w:p>
      <w:pPr>
        <w:spacing w:line="240" w:lineRule="auto" w:before="5"/>
        <w:rPr>
          <w:rFonts w:ascii="华文行楷" w:hAnsi="华文行楷" w:cs="华文行楷" w:eastAsia="华文行楷" w:hint="default"/>
          <w:b/>
          <w:bCs/>
          <w:sz w:val="27"/>
          <w:szCs w:val="27"/>
        </w:rPr>
      </w:pPr>
    </w:p>
    <w:p>
      <w:pPr>
        <w:pStyle w:val="Heading3"/>
        <w:spacing w:line="460" w:lineRule="exact"/>
        <w:ind w:right="144"/>
        <w:jc w:val="left"/>
        <w:rPr>
          <w:b w:val="0"/>
          <w:bCs w:val="0"/>
        </w:rPr>
      </w:pPr>
      <w:r>
        <w:rPr/>
        <w:t>报告说明</w:t>
      </w:r>
      <w:r>
        <w:rPr>
          <w:b w:val="0"/>
          <w:bCs w:val="0"/>
        </w:rPr>
      </w:r>
    </w:p>
    <w:p>
      <w:pPr>
        <w:spacing w:line="240" w:lineRule="auto" w:before="0"/>
        <w:rPr>
          <w:rFonts w:ascii="黑体" w:hAnsi="黑体" w:cs="黑体" w:eastAsia="黑体" w:hint="default"/>
          <w:b/>
          <w:bCs/>
          <w:sz w:val="36"/>
          <w:szCs w:val="36"/>
        </w:rPr>
      </w:pPr>
    </w:p>
    <w:p>
      <w:pPr>
        <w:spacing w:line="240" w:lineRule="auto" w:before="3"/>
        <w:rPr>
          <w:rFonts w:ascii="黑体" w:hAnsi="黑体" w:cs="黑体" w:eastAsia="黑体" w:hint="default"/>
          <w:b/>
          <w:bCs/>
          <w:sz w:val="28"/>
          <w:szCs w:val="28"/>
        </w:rPr>
      </w:pPr>
    </w:p>
    <w:p>
      <w:pPr>
        <w:pStyle w:val="Heading7"/>
        <w:spacing w:line="408" w:lineRule="auto"/>
        <w:ind w:right="112" w:firstLine="560"/>
        <w:jc w:val="left"/>
      </w:pPr>
      <w:r>
        <w:rPr>
          <w:spacing w:val="-4"/>
        </w:rPr>
        <w:t>本报告是中国联通向社会发布的社会责任报告。报告参考全球报</w:t>
      </w:r>
      <w:r>
        <w:rPr>
          <w:w w:val="99"/>
        </w:rPr>
        <w:t> </w:t>
      </w:r>
      <w:r>
        <w:rPr/>
        <w:t>告倡议组织（GRI）G3</w:t>
      </w:r>
      <w:r>
        <w:rPr>
          <w:spacing w:val="-76"/>
        </w:rPr>
        <w:t> </w:t>
      </w:r>
      <w:r>
        <w:rPr/>
        <w:t>版的规范和通信行业报告编写补充标准编制。</w:t>
      </w:r>
      <w:r>
        <w:rPr>
          <w:w w:val="99"/>
        </w:rPr>
        <w:t> </w:t>
      </w:r>
      <w:r>
        <w:rPr>
          <w:spacing w:val="-8"/>
        </w:rPr>
        <w:t>本着真实、客观、透明的原则，报告涵盖了中国联通在履行经济责任、</w:t>
      </w:r>
      <w:r>
        <w:rPr>
          <w:spacing w:val="-136"/>
        </w:rPr>
        <w:t> </w:t>
      </w:r>
      <w:r>
        <w:rPr>
          <w:spacing w:val="-136"/>
        </w:rPr>
      </w:r>
      <w:r>
        <w:rPr/>
        <w:t>社会责任、环保责任等方面的重要信息。本报告时间跨度是 2009</w:t>
      </w:r>
      <w:r>
        <w:rPr>
          <w:spacing w:val="-105"/>
        </w:rPr>
        <w:t> </w:t>
      </w:r>
      <w:r>
        <w:rPr/>
        <w:t>年</w:t>
      </w:r>
    </w:p>
    <w:p>
      <w:pPr>
        <w:spacing w:line="408" w:lineRule="auto" w:before="61"/>
        <w:ind w:left="120" w:right="144" w:firstLine="0"/>
        <w:jc w:val="left"/>
        <w:rPr>
          <w:rFonts w:ascii="宋体" w:hAnsi="宋体" w:cs="宋体" w:eastAsia="宋体" w:hint="default"/>
          <w:sz w:val="28"/>
          <w:szCs w:val="28"/>
        </w:rPr>
      </w:pPr>
      <w:r>
        <w:rPr>
          <w:rFonts w:ascii="宋体" w:hAnsi="宋体" w:cs="宋体" w:eastAsia="宋体" w:hint="default"/>
          <w:sz w:val="28"/>
          <w:szCs w:val="28"/>
        </w:rPr>
        <w:t>1</w:t>
      </w:r>
      <w:r>
        <w:rPr>
          <w:rFonts w:ascii="宋体" w:hAnsi="宋体" w:cs="宋体" w:eastAsia="宋体" w:hint="default"/>
          <w:spacing w:val="-59"/>
          <w:sz w:val="28"/>
          <w:szCs w:val="28"/>
        </w:rPr>
        <w:t> </w:t>
      </w:r>
      <w:r>
        <w:rPr>
          <w:rFonts w:ascii="宋体" w:hAnsi="宋体" w:cs="宋体" w:eastAsia="宋体" w:hint="default"/>
          <w:sz w:val="28"/>
          <w:szCs w:val="28"/>
        </w:rPr>
        <w:t>月</w:t>
      </w:r>
      <w:r>
        <w:rPr>
          <w:rFonts w:ascii="宋体" w:hAnsi="宋体" w:cs="宋体" w:eastAsia="宋体" w:hint="default"/>
          <w:spacing w:val="-59"/>
          <w:sz w:val="28"/>
          <w:szCs w:val="28"/>
        </w:rPr>
        <w:t> </w:t>
      </w:r>
      <w:r>
        <w:rPr>
          <w:rFonts w:ascii="宋体" w:hAnsi="宋体" w:cs="宋体" w:eastAsia="宋体" w:hint="default"/>
          <w:sz w:val="28"/>
          <w:szCs w:val="28"/>
        </w:rPr>
        <w:t>1</w:t>
      </w:r>
      <w:r>
        <w:rPr>
          <w:rFonts w:ascii="宋体" w:hAnsi="宋体" w:cs="宋体" w:eastAsia="宋体" w:hint="default"/>
          <w:spacing w:val="-60"/>
          <w:sz w:val="28"/>
          <w:szCs w:val="28"/>
        </w:rPr>
        <w:t> </w:t>
      </w:r>
      <w:r>
        <w:rPr>
          <w:rFonts w:ascii="宋体" w:hAnsi="宋体" w:cs="宋体" w:eastAsia="宋体" w:hint="default"/>
          <w:sz w:val="28"/>
          <w:szCs w:val="28"/>
        </w:rPr>
        <w:t>日至</w:t>
      </w:r>
      <w:r>
        <w:rPr>
          <w:rFonts w:ascii="宋体" w:hAnsi="宋体" w:cs="宋体" w:eastAsia="宋体" w:hint="default"/>
          <w:spacing w:val="-59"/>
          <w:sz w:val="28"/>
          <w:szCs w:val="28"/>
        </w:rPr>
        <w:t> </w:t>
      </w:r>
      <w:r>
        <w:rPr>
          <w:rFonts w:ascii="宋体" w:hAnsi="宋体" w:cs="宋体" w:eastAsia="宋体" w:hint="default"/>
          <w:sz w:val="28"/>
          <w:szCs w:val="28"/>
        </w:rPr>
        <w:t>2009</w:t>
      </w:r>
      <w:r>
        <w:rPr>
          <w:rFonts w:ascii="宋体" w:hAnsi="宋体" w:cs="宋体" w:eastAsia="宋体" w:hint="default"/>
          <w:spacing w:val="-60"/>
          <w:sz w:val="28"/>
          <w:szCs w:val="28"/>
        </w:rPr>
        <w:t> </w:t>
      </w:r>
      <w:r>
        <w:rPr>
          <w:rFonts w:ascii="宋体" w:hAnsi="宋体" w:cs="宋体" w:eastAsia="宋体" w:hint="default"/>
          <w:sz w:val="28"/>
          <w:szCs w:val="28"/>
        </w:rPr>
        <w:t>年</w:t>
      </w:r>
      <w:r>
        <w:rPr>
          <w:rFonts w:ascii="宋体" w:hAnsi="宋体" w:cs="宋体" w:eastAsia="宋体" w:hint="default"/>
          <w:spacing w:val="-59"/>
          <w:sz w:val="28"/>
          <w:szCs w:val="28"/>
        </w:rPr>
        <w:t> </w:t>
      </w:r>
      <w:r>
        <w:rPr>
          <w:rFonts w:ascii="宋体" w:hAnsi="宋体" w:cs="宋体" w:eastAsia="宋体" w:hint="default"/>
          <w:sz w:val="28"/>
          <w:szCs w:val="28"/>
        </w:rPr>
        <w:t>12</w:t>
      </w:r>
      <w:r>
        <w:rPr>
          <w:rFonts w:ascii="宋体" w:hAnsi="宋体" w:cs="宋体" w:eastAsia="宋体" w:hint="default"/>
          <w:spacing w:val="-60"/>
          <w:sz w:val="28"/>
          <w:szCs w:val="28"/>
        </w:rPr>
        <w:t> </w:t>
      </w:r>
      <w:r>
        <w:rPr>
          <w:rFonts w:ascii="宋体" w:hAnsi="宋体" w:cs="宋体" w:eastAsia="宋体" w:hint="default"/>
          <w:sz w:val="28"/>
          <w:szCs w:val="28"/>
        </w:rPr>
        <w:t>月</w:t>
      </w:r>
      <w:r>
        <w:rPr>
          <w:rFonts w:ascii="宋体" w:hAnsi="宋体" w:cs="宋体" w:eastAsia="宋体" w:hint="default"/>
          <w:spacing w:val="-60"/>
          <w:sz w:val="28"/>
          <w:szCs w:val="28"/>
        </w:rPr>
        <w:t> </w:t>
      </w:r>
      <w:r>
        <w:rPr>
          <w:rFonts w:ascii="宋体" w:hAnsi="宋体" w:cs="宋体" w:eastAsia="宋体" w:hint="default"/>
          <w:sz w:val="28"/>
          <w:szCs w:val="28"/>
        </w:rPr>
        <w:t>31</w:t>
      </w:r>
      <w:r>
        <w:rPr>
          <w:rFonts w:ascii="宋体" w:hAnsi="宋体" w:cs="宋体" w:eastAsia="宋体" w:hint="default"/>
          <w:spacing w:val="-59"/>
          <w:sz w:val="28"/>
          <w:szCs w:val="28"/>
        </w:rPr>
        <w:t> </w:t>
      </w:r>
      <w:r>
        <w:rPr>
          <w:rFonts w:ascii="宋体" w:hAnsi="宋体" w:cs="宋体" w:eastAsia="宋体" w:hint="default"/>
          <w:sz w:val="28"/>
          <w:szCs w:val="28"/>
        </w:rPr>
        <w:t>日，所有案例与数据均来源于中国联合</w:t>
      </w:r>
      <w:r>
        <w:rPr>
          <w:rFonts w:ascii="宋体" w:hAnsi="宋体" w:cs="宋体" w:eastAsia="宋体" w:hint="default"/>
          <w:w w:val="99"/>
          <w:sz w:val="28"/>
          <w:szCs w:val="28"/>
        </w:rPr>
        <w:t> </w:t>
      </w:r>
      <w:r>
        <w:rPr>
          <w:rFonts w:ascii="宋体" w:hAnsi="宋体" w:cs="宋体" w:eastAsia="宋体" w:hint="default"/>
          <w:sz w:val="28"/>
          <w:szCs w:val="28"/>
        </w:rPr>
        <w:t>网络通信集团有限公司。</w:t>
      </w:r>
    </w:p>
    <w:p>
      <w:pPr>
        <w:spacing w:line="408" w:lineRule="auto" w:before="61"/>
        <w:ind w:left="120" w:right="144" w:firstLine="560"/>
        <w:jc w:val="left"/>
        <w:rPr>
          <w:rFonts w:ascii="宋体" w:hAnsi="宋体" w:cs="宋体" w:eastAsia="宋体" w:hint="default"/>
          <w:sz w:val="28"/>
          <w:szCs w:val="28"/>
        </w:rPr>
      </w:pPr>
      <w:r>
        <w:rPr>
          <w:rFonts w:ascii="宋体" w:hAnsi="宋体" w:cs="宋体" w:eastAsia="宋体" w:hint="default"/>
          <w:spacing w:val="-4"/>
          <w:sz w:val="28"/>
          <w:szCs w:val="28"/>
        </w:rPr>
        <w:t>感谢您抽出时间阅读本报告。我们殷切期待您的反馈，以便我们</w:t>
      </w:r>
      <w:r>
        <w:rPr>
          <w:rFonts w:ascii="宋体" w:hAnsi="宋体" w:cs="宋体" w:eastAsia="宋体" w:hint="default"/>
          <w:w w:val="99"/>
          <w:sz w:val="28"/>
          <w:szCs w:val="28"/>
        </w:rPr>
        <w:t> </w:t>
      </w:r>
      <w:r>
        <w:rPr>
          <w:rFonts w:ascii="宋体" w:hAnsi="宋体" w:cs="宋体" w:eastAsia="宋体" w:hint="default"/>
          <w:sz w:val="28"/>
          <w:szCs w:val="28"/>
        </w:rPr>
        <w:t>做得更好。</w:t>
      </w:r>
    </w:p>
    <w:p>
      <w:pPr>
        <w:spacing w:before="61"/>
        <w:ind w:left="680" w:right="144" w:firstLine="0"/>
        <w:jc w:val="left"/>
        <w:rPr>
          <w:rFonts w:ascii="宋体" w:hAnsi="宋体" w:cs="宋体" w:eastAsia="宋体" w:hint="default"/>
          <w:sz w:val="28"/>
          <w:szCs w:val="28"/>
        </w:rPr>
      </w:pPr>
      <w:r>
        <w:rPr>
          <w:rFonts w:ascii="宋体" w:hAnsi="宋体" w:cs="宋体" w:eastAsia="宋体" w:hint="default"/>
          <w:sz w:val="28"/>
          <w:szCs w:val="28"/>
        </w:rPr>
        <w:t>您可以通过以下途径联系我们：</w:t>
      </w:r>
    </w:p>
    <w:p>
      <w:pPr>
        <w:spacing w:line="240" w:lineRule="auto" w:before="9"/>
        <w:rPr>
          <w:rFonts w:ascii="宋体" w:hAnsi="宋体" w:cs="宋体" w:eastAsia="宋体" w:hint="default"/>
          <w:sz w:val="19"/>
          <w:szCs w:val="19"/>
        </w:rPr>
      </w:pPr>
    </w:p>
    <w:p>
      <w:pPr>
        <w:tabs>
          <w:tab w:pos="5021" w:val="left" w:leader="none"/>
          <w:tab w:pos="6141" w:val="left" w:leader="none"/>
        </w:tabs>
        <w:spacing w:line="408" w:lineRule="auto" w:before="0"/>
        <w:ind w:left="680" w:right="440" w:firstLine="0"/>
        <w:jc w:val="left"/>
        <w:rPr>
          <w:rFonts w:ascii="宋体" w:hAnsi="宋体" w:cs="宋体" w:eastAsia="宋体" w:hint="default"/>
          <w:sz w:val="28"/>
          <w:szCs w:val="28"/>
        </w:rPr>
      </w:pPr>
      <w:r>
        <w:rPr>
          <w:rFonts w:ascii="宋体" w:hAnsi="宋体" w:cs="宋体" w:eastAsia="宋体" w:hint="default"/>
          <w:sz w:val="28"/>
          <w:szCs w:val="28"/>
        </w:rPr>
        <w:t>中国北京市西城区金融大街</w:t>
      </w:r>
      <w:r>
        <w:rPr>
          <w:rFonts w:ascii="宋体" w:hAnsi="宋体" w:cs="宋体" w:eastAsia="宋体" w:hint="default"/>
          <w:spacing w:val="-74"/>
          <w:sz w:val="28"/>
          <w:szCs w:val="28"/>
        </w:rPr>
        <w:t> </w:t>
      </w:r>
      <w:r>
        <w:rPr>
          <w:rFonts w:ascii="宋体" w:hAnsi="宋体" w:cs="宋体" w:eastAsia="宋体" w:hint="default"/>
          <w:sz w:val="28"/>
          <w:szCs w:val="28"/>
        </w:rPr>
        <w:t>21</w:t>
      </w:r>
      <w:r>
        <w:rPr>
          <w:rFonts w:ascii="宋体" w:hAnsi="宋体" w:cs="宋体" w:eastAsia="宋体" w:hint="default"/>
          <w:spacing w:val="-73"/>
          <w:sz w:val="28"/>
          <w:szCs w:val="28"/>
        </w:rPr>
        <w:t> </w:t>
      </w:r>
      <w:r>
        <w:rPr>
          <w:rFonts w:ascii="宋体" w:hAnsi="宋体" w:cs="宋体" w:eastAsia="宋体" w:hint="default"/>
          <w:sz w:val="28"/>
          <w:szCs w:val="28"/>
        </w:rPr>
        <w:t>号</w:t>
        <w:tab/>
      </w:r>
      <w:r>
        <w:rPr>
          <w:rFonts w:ascii="宋体" w:hAnsi="宋体" w:cs="宋体" w:eastAsia="宋体" w:hint="default"/>
          <w:spacing w:val="-1"/>
          <w:sz w:val="28"/>
          <w:szCs w:val="28"/>
        </w:rPr>
        <w:t>100140</w:t>
        <w:tab/>
      </w:r>
      <w:r>
        <w:rPr>
          <w:rFonts w:ascii="宋体" w:hAnsi="宋体" w:cs="宋体" w:eastAsia="宋体" w:hint="default"/>
          <w:sz w:val="28"/>
          <w:szCs w:val="28"/>
        </w:rPr>
        <w:t>+86-10-66258674</w:t>
      </w:r>
      <w:r>
        <w:rPr>
          <w:rFonts w:ascii="宋体" w:hAnsi="宋体" w:cs="宋体" w:eastAsia="宋体" w:hint="default"/>
          <w:w w:val="99"/>
          <w:sz w:val="28"/>
          <w:szCs w:val="28"/>
        </w:rPr>
        <w:t> </w:t>
      </w:r>
      <w:r>
        <w:rPr>
          <w:rFonts w:ascii="宋体" w:hAnsi="宋体" w:cs="宋体" w:eastAsia="宋体" w:hint="default"/>
          <w:sz w:val="28"/>
          <w:szCs w:val="28"/>
        </w:rPr>
        <w:t>您还可以通过我们的网站了解我们公司的更多信息：</w:t>
      </w:r>
      <w:hyperlink r:id="rId310">
        <w:r>
          <w:rPr>
            <w:rFonts w:ascii="宋体" w:hAnsi="宋体" w:cs="宋体" w:eastAsia="宋体" w:hint="default"/>
            <w:w w:val="99"/>
            <w:sz w:val="28"/>
            <w:szCs w:val="28"/>
          </w:rPr>
          <w:t> </w:t>
        </w:r>
        <w:r>
          <w:rPr>
            <w:rFonts w:ascii="宋体" w:hAnsi="宋体" w:cs="宋体" w:eastAsia="宋体" w:hint="default"/>
            <w:sz w:val="28"/>
            <w:szCs w:val="28"/>
          </w:rPr>
          <w:t>http://www.chinaunicom.com</w:t>
        </w:r>
      </w:hyperlink>
    </w:p>
    <w:sectPr>
      <w:headerReference w:type="default" r:id="rId308"/>
      <w:footerReference w:type="default" r:id="rId309"/>
      <w:pgSz w:w="11910" w:h="16840"/>
      <w:pgMar w:header="0" w:footer="982" w:top="1600" w:bottom="1180" w:left="1680" w:right="1540"/>
      <w:pgNumType w:start="58"/>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MS Gothic">
    <w:altName w:val="MS Gothic"/>
    <w:charset w:val="0"/>
    <w:family w:val="modern"/>
    <w:pitch w:val="fixed"/>
  </w:font>
  <w:font w:name="MS UI Gothic">
    <w:altName w:val="MS UI Gothic"/>
    <w:charset w:val="0"/>
    <w:family w:val="swiss"/>
    <w:pitch w:val="variable"/>
  </w:font>
  <w:font w:name="Symbol">
    <w:altName w:val="Symbol"/>
    <w:charset w:val="2"/>
    <w:family w:val="roman"/>
    <w:pitch w:val="variable"/>
  </w:font>
  <w:font w:name="Microsoft JhengHei">
    <w:altName w:val="Microsoft JhengHei"/>
    <w:charset w:val="0"/>
    <w:family w:val="swiss"/>
    <w:pitch w:val="variable"/>
  </w:font>
  <w:font w:name="华文行楷">
    <w:altName w:val="华文行楷"/>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298248pt;margin-top:792.305176pt;width:20.7pt;height:13pt;mso-position-horizontal-relative:page;mso-position-vertical-relative:page;z-index:-918400" type="#_x0000_t202" filled="false" stroked="false">
          <v:textbox inset="0,0,0,0">
            <w:txbxContent>
              <w:p>
                <w:pPr>
                  <w:pStyle w:val="BodyText"/>
                  <w:spacing w:line="245" w:lineRule="exact"/>
                  <w:ind w:left="128"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10</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6.71051pt;margin-top:555.362671pt;width:16.25pt;height:13pt;mso-position-horizontal-relative:page;mso-position-vertical-relative:page;z-index:-918208"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55</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8.358795pt;margin-top:800.988892pt;width:20.65pt;height:13pt;mso-position-horizontal-relative:page;mso-position-vertical-relative:page;z-index:-918136" type="#_x0000_t202" filled="false" stroked="false">
          <v:textbox inset="0,0,0,0">
            <w:txbxContent>
              <w:p>
                <w:pPr>
                  <w:pStyle w:val="BodyText"/>
                  <w:spacing w:line="245" w:lineRule="exact"/>
                  <w:ind w:left="127"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56</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8.077637pt;margin-top:554.75824pt;width:16.25pt;height:13pt;mso-position-horizontal-relative:page;mso-position-vertical-relative:page;z-index:-914944"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88</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8.420013pt;margin-top:801.002441pt;width:16.25pt;height:13pt;mso-position-horizontal-relative:page;mso-position-vertical-relative:page;z-index:-914752"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91</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8.359985pt;margin-top:793.382446pt;width:16.3pt;height:20.6pt;mso-position-horizontal-relative:page;mso-position-vertical-relative:page;z-index:-914320" type="#_x0000_t202" filled="false" stroked="false">
          <v:textbox inset="0,0,0,0">
            <w:txbxContent>
              <w:p>
                <w:pPr>
                  <w:pStyle w:val="BodyText"/>
                  <w:spacing w:line="240" w:lineRule="auto" w:before="144"/>
                  <w:ind w:left="41"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97</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9.359985pt;margin-top:793.382446pt;width:14.25pt;height:13pt;mso-position-horizontal-relative:page;mso-position-vertical-relative:page;z-index:-914080" type="#_x0000_t202" filled="false" stroked="false">
          <v:textbox inset="0,0,0,0">
            <w:txbxContent>
              <w:p>
                <w:pPr>
                  <w:pStyle w:val="BodyText"/>
                  <w:spacing w:line="245" w:lineRule="exact"/>
                  <w:ind w:right="0"/>
                  <w:jc w:val="left"/>
                  <w:rPr>
                    <w:rFonts w:ascii="Arial" w:hAnsi="Arial" w:cs="Arial" w:eastAsia="Arial" w:hint="default"/>
                  </w:rPr>
                </w:pPr>
                <w:r>
                  <w:rPr>
                    <w:rFonts w:ascii="Arial"/>
                  </w:rPr>
                  <w:t>99</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6.299988pt;margin-top:793.382446pt;width:20.4pt;height:13pt;mso-position-horizontal-relative:page;mso-position-vertical-relative:page;z-index:-913960" type="#_x0000_t202" filled="false" stroked="false">
          <v:textbox inset="0,0,0,0">
            <w:txbxContent>
              <w:p>
                <w:pPr>
                  <w:pStyle w:val="BodyText"/>
                  <w:spacing w:line="245" w:lineRule="exact"/>
                  <w:ind w:right="0"/>
                  <w:jc w:val="left"/>
                  <w:rPr>
                    <w:rFonts w:ascii="Arial" w:hAnsi="Arial" w:cs="Arial" w:eastAsia="Arial" w:hint="default"/>
                  </w:rPr>
                </w:pPr>
                <w:r>
                  <w:rPr>
                    <w:rFonts w:ascii="Arial"/>
                  </w:rPr>
                  <w:t>100</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299988pt;margin-top:793.382446pt;width:22.4pt;height:13pt;mso-position-horizontal-relative:page;mso-position-vertical-relative:page;z-index:-913816"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101</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299988pt;margin-top:793.382446pt;width:22.4pt;height:13pt;mso-position-horizontal-relative:page;mso-position-vertical-relative:page;z-index:-913384"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107</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298248pt;margin-top:792.305176pt;width:16.25pt;height:13pt;mso-position-horizontal-relative:page;mso-position-vertical-relative:page;z-index:-918376"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47</w:t>
                </w:r>
                <w:r>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299988pt;margin-top:793.382446pt;width:22.4pt;height:13pt;mso-position-horizontal-relative:page;mso-position-vertical-relative:page;z-index:-913264"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110</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299988pt;margin-top:793.382446pt;width:22.4pt;height:13pt;mso-position-horizontal-relative:page;mso-position-vertical-relative:page;z-index:-913048"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112</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299988pt;margin-top:793.382446pt;width:22.4pt;height:13pt;mso-position-horizontal-relative:page;mso-position-vertical-relative:page;z-index:-909688"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139</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295380pt;margin-top:800.983765pt;width:22.4pt;height:13pt;mso-position-horizontal-relative:page;mso-position-vertical-relative:page;z-index:-908944"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151</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295380pt;margin-top:778.916992pt;width:22.4pt;height:13pt;mso-position-horizontal-relative:page;mso-position-vertical-relative:page;z-index:-908560"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157</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295380pt;margin-top:778.916992pt;width:22.4pt;height:13pt;mso-position-horizontal-relative:page;mso-position-vertical-relative:page;z-index:-908488"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158</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299988pt;margin-top:793.382446pt;width:23.35pt;height:13pt;mso-position-horizontal-relative:page;mso-position-vertical-relative:page;z-index:-908080"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165</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76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10</w:t>
                </w:r>
                <w:r>
                  <w:rPr/>
                  <w:fldChar w:fldCharType="end"/>
                </w:r>
                <w:r>
                  <w:rPr>
                    <w:rFonts w:ascii="Times New Roman"/>
                    <w:sz w:val="18"/>
                  </w:rPr>
                  <w:t> -</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100006pt;margin-top:781.897522pt;width:17.1pt;height:11pt;mso-position-horizontal-relative:page;mso-position-vertical-relative:page;z-index:-90774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2</w:t>
                </w:r>
                <w:r>
                  <w:rPr/>
                  <w:fldChar w:fldCharType="end"/>
                </w:r>
                <w:r>
                  <w:rPr>
                    <w:rFonts w:ascii="Times New Roman"/>
                    <w:sz w:val="18"/>
                  </w:rPr>
                  <w:t> -</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100006pt;margin-top:781.897522pt;width:17.1pt;height:11pt;mso-position-horizontal-relative:page;mso-position-vertical-relative:page;z-index:-90772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3</w:t>
                </w:r>
                <w:r>
                  <w:rPr/>
                  <w:fldChar w:fldCharType="end"/>
                </w:r>
                <w:r>
                  <w:rPr>
                    <w:rFonts w:ascii="Times New Roman"/>
                    <w:sz w:val="18"/>
                  </w:rPr>
                  <w:t> -</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100006pt;margin-top:781.897522pt;width:17.1pt;height:11pt;mso-position-horizontal-relative:page;mso-position-vertical-relative:page;z-index:-90769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4</w:t>
                </w:r>
                <w:r>
                  <w:rPr/>
                  <w:fldChar w:fldCharType="end"/>
                </w:r>
                <w:r>
                  <w:rPr>
                    <w:rFonts w:ascii="Times New Roman"/>
                    <w:sz w:val="18"/>
                  </w:rPr>
                  <w:t> -</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100006pt;margin-top:781.897522pt;width:17.1pt;height:11pt;mso-position-horizontal-relative:page;mso-position-vertical-relative:page;z-index:-90767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5</w:t>
                </w:r>
                <w:r>
                  <w:rPr/>
                  <w:fldChar w:fldCharType="end"/>
                </w:r>
                <w:r>
                  <w:rPr>
                    <w:rFonts w:ascii="Times New Roman"/>
                    <w:sz w:val="18"/>
                  </w:rPr>
                  <w:t> -</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100006pt;margin-top:781.897522pt;width:17.1pt;height:11pt;mso-position-horizontal-relative:page;mso-position-vertical-relative:page;z-index:-90764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6</w:t>
                </w:r>
                <w:r>
                  <w:rPr/>
                  <w:fldChar w:fldCharType="end"/>
                </w:r>
                <w:r>
                  <w:rPr>
                    <w:rFonts w:ascii="Times New Roman"/>
                    <w:sz w:val="18"/>
                  </w:rPr>
                  <w:t> -</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100006pt;margin-top:781.897522pt;width:17.1pt;height:11pt;mso-position-horizontal-relative:page;mso-position-vertical-relative:page;z-index:-90762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7</w:t>
                </w:r>
                <w:r>
                  <w:rPr/>
                  <w:fldChar w:fldCharType="end"/>
                </w:r>
                <w:r>
                  <w:rPr>
                    <w:rFonts w:ascii="Times New Roman"/>
                    <w:sz w:val="18"/>
                  </w:rPr>
                  <w:t> -</w:t>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100006pt;margin-top:781.897522pt;width:17.1pt;height:11pt;mso-position-horizontal-relative:page;mso-position-vertical-relative:page;z-index:-90760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8</w:t>
                </w:r>
                <w:r>
                  <w:rPr/>
                  <w:fldChar w:fldCharType="end"/>
                </w:r>
                <w:r>
                  <w:rPr>
                    <w:rFonts w:ascii="Times New Roman"/>
                    <w:sz w:val="18"/>
                  </w:rPr>
                  <w:t> -</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100006pt;margin-top:781.897522pt;width:17.1pt;height:11pt;mso-position-horizontal-relative:page;mso-position-vertical-relative:page;z-index:-90757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9</w:t>
                </w:r>
                <w:r>
                  <w:rPr/>
                  <w:fldChar w:fldCharType="end"/>
                </w:r>
                <w:r>
                  <w:rPr>
                    <w:rFonts w:ascii="Times New Roman"/>
                    <w:sz w:val="18"/>
                  </w:rPr>
                  <w:t> -</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5.220001pt;margin-top:793.379578pt;width:20pt;height:13pt;mso-position-horizontal-relative:page;mso-position-vertical-relative:page;z-index:-918352" type="#_x0000_t202" filled="false" stroked="false">
          <v:textbox inset="0,0,0,0">
            <w:txbxContent>
              <w:p>
                <w:pPr>
                  <w:pStyle w:val="BodyText"/>
                  <w:spacing w:line="245" w:lineRule="exact"/>
                  <w:ind w:left="114"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49</w:t>
                </w:r>
                <w:r>
                  <w:rPr/>
                  <w:fldChar w:fldCharType="end"/>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55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10</w:t>
                </w:r>
                <w:r>
                  <w:rPr/>
                  <w:fldChar w:fldCharType="end"/>
                </w:r>
                <w:r>
                  <w:rPr>
                    <w:rFonts w:ascii="Times New Roman"/>
                    <w:sz w:val="18"/>
                  </w:rPr>
                  <w:t> -</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7.059998pt;margin-top:781.897522pt;width:21.2pt;height:11pt;mso-position-horizontal-relative:page;mso-position-vertical-relative:page;z-index:-90752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11</w:t>
                </w:r>
                <w:r>
                  <w:rPr/>
                  <w:fldChar w:fldCharType="end"/>
                </w:r>
                <w:r>
                  <w:rPr>
                    <w:rFonts w:ascii="Times New Roman"/>
                    <w:sz w:val="18"/>
                  </w:rPr>
                  <w:t> -</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50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12</w:t>
                </w:r>
                <w:r>
                  <w:rPr/>
                  <w:fldChar w:fldCharType="end"/>
                </w:r>
                <w:r>
                  <w:rPr>
                    <w:rFonts w:ascii="Times New Roman"/>
                    <w:sz w:val="18"/>
                  </w:rPr>
                  <w:t> -</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48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13</w:t>
                </w:r>
                <w:r>
                  <w:rPr/>
                  <w:fldChar w:fldCharType="end"/>
                </w:r>
                <w:r>
                  <w:rPr>
                    <w:rFonts w:ascii="Times New Roman"/>
                    <w:sz w:val="18"/>
                  </w:rPr>
                  <w:t> -</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45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14</w:t>
                </w:r>
                <w:r>
                  <w:rPr/>
                  <w:fldChar w:fldCharType="end"/>
                </w:r>
                <w:r>
                  <w:rPr>
                    <w:rFonts w:ascii="Times New Roman"/>
                    <w:sz w:val="18"/>
                  </w:rPr>
                  <w:t> -</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43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15</w:t>
                </w:r>
                <w:r>
                  <w:rPr/>
                  <w:fldChar w:fldCharType="end"/>
                </w:r>
                <w:r>
                  <w:rPr>
                    <w:rFonts w:ascii="Times New Roman"/>
                    <w:sz w:val="18"/>
                  </w:rPr>
                  <w:t> -</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40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16</w:t>
                </w:r>
                <w:r>
                  <w:rPr/>
                  <w:fldChar w:fldCharType="end"/>
                </w:r>
                <w:r>
                  <w:rPr>
                    <w:rFonts w:ascii="Times New Roman"/>
                    <w:sz w:val="18"/>
                  </w:rPr>
                  <w:t> -</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38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17</w:t>
                </w:r>
                <w:r>
                  <w:rPr/>
                  <w:fldChar w:fldCharType="end"/>
                </w:r>
                <w:r>
                  <w:rPr>
                    <w:rFonts w:ascii="Times New Roman"/>
                    <w:sz w:val="18"/>
                  </w:rPr>
                  <w:t> -</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36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18</w:t>
                </w:r>
                <w:r>
                  <w:rPr/>
                  <w:fldChar w:fldCharType="end"/>
                </w:r>
                <w:r>
                  <w:rPr>
                    <w:rFonts w:ascii="Times New Roman"/>
                    <w:sz w:val="18"/>
                  </w:rPr>
                  <w:t> -</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33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19</w:t>
                </w:r>
                <w:r>
                  <w:rPr/>
                  <w:fldChar w:fldCharType="end"/>
                </w:r>
                <w:r>
                  <w:rPr>
                    <w:rFonts w:ascii="Times New Roman"/>
                    <w:sz w:val="18"/>
                  </w:rPr>
                  <w:t> -</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5.220001pt;margin-top:793.382446pt;width:16.25pt;height:13pt;mso-position-horizontal-relative:page;mso-position-vertical-relative:page;z-index:-918328"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50</w:t>
                </w:r>
                <w:r>
                  <w:rPr/>
                  <w:fldChar w:fldCharType="end"/>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31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20</w:t>
                </w:r>
                <w:r>
                  <w:rPr/>
                  <w:fldChar w:fldCharType="end"/>
                </w:r>
                <w:r>
                  <w:rPr>
                    <w:rFonts w:ascii="Times New Roman"/>
                    <w:sz w:val="18"/>
                  </w:rPr>
                  <w:t> -</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28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21</w:t>
                </w:r>
                <w:r>
                  <w:rPr/>
                  <w:fldChar w:fldCharType="end"/>
                </w:r>
                <w:r>
                  <w:rPr>
                    <w:rFonts w:ascii="Times New Roman"/>
                    <w:sz w:val="18"/>
                  </w:rPr>
                  <w:t> -</w:t>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26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22</w:t>
                </w:r>
                <w:r>
                  <w:rPr/>
                  <w:fldChar w:fldCharType="end"/>
                </w:r>
                <w:r>
                  <w:rPr>
                    <w:rFonts w:ascii="Times New Roman"/>
                    <w:sz w:val="18"/>
                  </w:rPr>
                  <w:t> -</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24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23</w:t>
                </w:r>
                <w:r>
                  <w:rPr/>
                  <w:fldChar w:fldCharType="end"/>
                </w:r>
                <w:r>
                  <w:rPr>
                    <w:rFonts w:ascii="Times New Roman"/>
                    <w:sz w:val="18"/>
                  </w:rPr>
                  <w:t> -</w:t>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21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24</w:t>
                </w:r>
                <w:r>
                  <w:rPr/>
                  <w:fldChar w:fldCharType="end"/>
                </w:r>
                <w:r>
                  <w:rPr>
                    <w:rFonts w:ascii="Times New Roman"/>
                    <w:sz w:val="18"/>
                  </w:rPr>
                  <w:t> -</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19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25</w:t>
                </w:r>
                <w:r>
                  <w:rPr/>
                  <w:fldChar w:fldCharType="end"/>
                </w:r>
                <w:r>
                  <w:rPr>
                    <w:rFonts w:ascii="Times New Roman"/>
                    <w:sz w:val="18"/>
                  </w:rPr>
                  <w:t> -</w:t>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16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26</w:t>
                </w:r>
                <w:r>
                  <w:rPr/>
                  <w:fldChar w:fldCharType="end"/>
                </w:r>
                <w:r>
                  <w:rPr>
                    <w:rFonts w:ascii="Times New Roman"/>
                    <w:sz w:val="18"/>
                  </w:rPr>
                  <w:t> -</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14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27</w:t>
                </w:r>
                <w:r>
                  <w:rPr/>
                  <w:fldChar w:fldCharType="end"/>
                </w:r>
                <w:r>
                  <w:rPr>
                    <w:rFonts w:ascii="Times New Roman"/>
                    <w:sz w:val="18"/>
                  </w:rPr>
                  <w:t> -</w:t>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12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28</w:t>
                </w:r>
                <w:r>
                  <w:rPr/>
                  <w:fldChar w:fldCharType="end"/>
                </w:r>
                <w:r>
                  <w:rPr>
                    <w:rFonts w:ascii="Times New Roman"/>
                    <w:sz w:val="18"/>
                  </w:rPr>
                  <w:t> -</w:t>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09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29</w:t>
                </w:r>
                <w:r>
                  <w:rPr/>
                  <w:fldChar w:fldCharType="end"/>
                </w:r>
                <w:r>
                  <w:rPr>
                    <w:rFonts w:ascii="Times New Roman"/>
                    <w:sz w:val="18"/>
                  </w:rPr>
                  <w:t> -</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5.220367pt;margin-top:793.379578pt;width:16.25pt;height:13pt;mso-position-horizontal-relative:page;mso-position-vertical-relative:page;z-index:-918304"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51</w:t>
                </w:r>
                <w:r>
                  <w:rPr/>
                  <w:fldChar w:fldCharType="end"/>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07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30</w:t>
                </w:r>
                <w:r>
                  <w:rPr/>
                  <w:fldChar w:fldCharType="end"/>
                </w:r>
                <w:r>
                  <w:rPr>
                    <w:rFonts w:ascii="Times New Roman"/>
                    <w:sz w:val="18"/>
                  </w:rPr>
                  <w:t> -</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04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31</w:t>
                </w:r>
                <w:r>
                  <w:rPr/>
                  <w:fldChar w:fldCharType="end"/>
                </w:r>
                <w:r>
                  <w:rPr>
                    <w:rFonts w:ascii="Times New Roman"/>
                    <w:sz w:val="18"/>
                  </w:rPr>
                  <w:t> -</w:t>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02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32</w:t>
                </w:r>
                <w:r>
                  <w:rPr/>
                  <w:fldChar w:fldCharType="end"/>
                </w:r>
                <w:r>
                  <w:rPr>
                    <w:rFonts w:ascii="Times New Roman"/>
                    <w:sz w:val="18"/>
                  </w:rPr>
                  <w:t> -</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700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33</w:t>
                </w:r>
                <w:r>
                  <w:rPr/>
                  <w:fldChar w:fldCharType="end"/>
                </w:r>
                <w:r>
                  <w:rPr>
                    <w:rFonts w:ascii="Times New Roman"/>
                    <w:sz w:val="18"/>
                  </w:rPr>
                  <w:t> -</w:t>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97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34</w:t>
                </w:r>
                <w:r>
                  <w:rPr/>
                  <w:fldChar w:fldCharType="end"/>
                </w:r>
                <w:r>
                  <w:rPr>
                    <w:rFonts w:ascii="Times New Roman"/>
                    <w:sz w:val="18"/>
                  </w:rPr>
                  <w:t> -</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95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35</w:t>
                </w:r>
                <w:r>
                  <w:rPr/>
                  <w:fldChar w:fldCharType="end"/>
                </w:r>
                <w:r>
                  <w:rPr>
                    <w:rFonts w:ascii="Times New Roman"/>
                    <w:sz w:val="18"/>
                  </w:rPr>
                  <w:t> -</w:t>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92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36</w:t>
                </w:r>
                <w:r>
                  <w:rPr/>
                  <w:fldChar w:fldCharType="end"/>
                </w:r>
                <w:r>
                  <w:rPr>
                    <w:rFonts w:ascii="Times New Roman"/>
                    <w:sz w:val="18"/>
                  </w:rPr>
                  <w:t> -</w:t>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90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37</w:t>
                </w:r>
                <w:r>
                  <w:rPr/>
                  <w:fldChar w:fldCharType="end"/>
                </w:r>
                <w:r>
                  <w:rPr>
                    <w:rFonts w:ascii="Times New Roman"/>
                    <w:sz w:val="18"/>
                  </w:rPr>
                  <w:t> -</w:t>
                </w:r>
              </w:p>
            </w:txbxContent>
          </v:textbox>
          <w10:wrap type="none"/>
        </v:shape>
      </w:pict>
    </w: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88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38</w:t>
                </w:r>
                <w:r>
                  <w:rPr/>
                  <w:fldChar w:fldCharType="end"/>
                </w:r>
                <w:r>
                  <w:rPr>
                    <w:rFonts w:ascii="Times New Roman"/>
                    <w:sz w:val="18"/>
                  </w:rPr>
                  <w:t> -</w:t>
                </w:r>
              </w:p>
            </w:txbxContent>
          </v:textbox>
          <w10:wrap type="none"/>
        </v:shape>
      </w:pict>
    </w: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85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39</w:t>
                </w:r>
                <w:r>
                  <w:rPr/>
                  <w:fldChar w:fldCharType="end"/>
                </w:r>
                <w:r>
                  <w:rPr>
                    <w:rFonts w:ascii="Times New Roman"/>
                    <w:sz w:val="18"/>
                  </w:rPr>
                  <w:t> -</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596466pt;margin-top:806.619568pt;width:16.25pt;height:13pt;mso-position-horizontal-relative:page;mso-position-vertical-relative:page;z-index:-918280"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52</w:t>
                </w:r>
                <w:r>
                  <w:rPr/>
                  <w:fldChar w:fldCharType="end"/>
                </w:r>
              </w:p>
            </w:txbxContent>
          </v:textbox>
          <w10:wrap type="none"/>
        </v:shape>
      </w:pict>
    </w: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83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40</w:t>
                </w:r>
                <w:r>
                  <w:rPr/>
                  <w:fldChar w:fldCharType="end"/>
                </w:r>
                <w:r>
                  <w:rPr>
                    <w:rFonts w:ascii="Times New Roman"/>
                    <w:sz w:val="18"/>
                  </w:rPr>
                  <w:t> -</w:t>
                </w:r>
              </w:p>
            </w:txbxContent>
          </v:textbox>
          <w10:wrap type="none"/>
        </v:shape>
      </w:pict>
    </w: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80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41</w:t>
                </w:r>
                <w:r>
                  <w:rPr/>
                  <w:fldChar w:fldCharType="end"/>
                </w:r>
                <w:r>
                  <w:rPr>
                    <w:rFonts w:ascii="Times New Roman"/>
                    <w:sz w:val="18"/>
                  </w:rPr>
                  <w:t> -</w:t>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78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42</w:t>
                </w:r>
                <w:r>
                  <w:rPr/>
                  <w:fldChar w:fldCharType="end"/>
                </w:r>
                <w:r>
                  <w:rPr>
                    <w:rFonts w:ascii="Times New Roman"/>
                    <w:sz w:val="18"/>
                  </w:rPr>
                  <w:t> -</w:t>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76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43</w:t>
                </w:r>
                <w:r>
                  <w:rPr/>
                  <w:fldChar w:fldCharType="end"/>
                </w:r>
                <w:r>
                  <w:rPr>
                    <w:rFonts w:ascii="Times New Roman"/>
                    <w:sz w:val="18"/>
                  </w:rPr>
                  <w:t> -</w:t>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73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44</w:t>
                </w:r>
                <w:r>
                  <w:rPr/>
                  <w:fldChar w:fldCharType="end"/>
                </w:r>
                <w:r>
                  <w:rPr>
                    <w:rFonts w:ascii="Times New Roman"/>
                    <w:sz w:val="18"/>
                  </w:rPr>
                  <w:t> -</w:t>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71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45</w:t>
                </w:r>
                <w:r>
                  <w:rPr/>
                  <w:fldChar w:fldCharType="end"/>
                </w:r>
                <w:r>
                  <w:rPr>
                    <w:rFonts w:ascii="Times New Roman"/>
                    <w:sz w:val="18"/>
                  </w:rPr>
                  <w:t> -</w:t>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68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46</w:t>
                </w:r>
                <w:r>
                  <w:rPr/>
                  <w:fldChar w:fldCharType="end"/>
                </w:r>
                <w:r>
                  <w:rPr>
                    <w:rFonts w:ascii="Times New Roman"/>
                    <w:sz w:val="18"/>
                  </w:rPr>
                  <w:t> -</w:t>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66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47</w:t>
                </w:r>
                <w:r>
                  <w:rPr/>
                  <w:fldChar w:fldCharType="end"/>
                </w:r>
                <w:r>
                  <w:rPr>
                    <w:rFonts w:ascii="Times New Roman"/>
                    <w:sz w:val="18"/>
                  </w:rPr>
                  <w:t> -</w:t>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64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48</w:t>
                </w:r>
                <w:r>
                  <w:rPr/>
                  <w:fldChar w:fldCharType="end"/>
                </w:r>
                <w:r>
                  <w:rPr>
                    <w:rFonts w:ascii="Times New Roman"/>
                    <w:sz w:val="18"/>
                  </w:rPr>
                  <w:t> -</w:t>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61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49</w:t>
                </w:r>
                <w:r>
                  <w:rPr/>
                  <w:fldChar w:fldCharType="end"/>
                </w:r>
                <w:r>
                  <w:rPr>
                    <w:rFonts w:ascii="Times New Roman"/>
                    <w:sz w:val="18"/>
                  </w:rPr>
                  <w:t> -</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599945pt;margin-top:806.619568pt;width:16.25pt;height:13pt;mso-position-horizontal-relative:page;mso-position-vertical-relative:page;z-index:-918256" type="#_x0000_t202" filled="false" stroked="false">
          <v:textbox inset="0,0,0,0">
            <w:txbxContent>
              <w:p>
                <w:pPr>
                  <w:pStyle w:val="BodyText"/>
                  <w:spacing w:line="245" w:lineRule="exact"/>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53</w:t>
                </w:r>
                <w:r>
                  <w:rPr/>
                  <w:fldChar w:fldCharType="end"/>
                </w:r>
              </w:p>
            </w:txbxContent>
          </v:textbox>
          <w10:wrap type="none"/>
        </v:shape>
      </w:pict>
    </w: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59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50</w:t>
                </w:r>
                <w:r>
                  <w:rPr/>
                  <w:fldChar w:fldCharType="end"/>
                </w:r>
                <w:r>
                  <w:rPr>
                    <w:rFonts w:ascii="Times New Roman"/>
                    <w:sz w:val="18"/>
                  </w:rPr>
                  <w:t> -</w:t>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56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51</w:t>
                </w:r>
                <w:r>
                  <w:rPr/>
                  <w:fldChar w:fldCharType="end"/>
                </w:r>
                <w:r>
                  <w:rPr>
                    <w:rFonts w:ascii="Times New Roman"/>
                    <w:sz w:val="18"/>
                  </w:rPr>
                  <w:t> -</w:t>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54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52</w:t>
                </w:r>
                <w:r>
                  <w:rPr/>
                  <w:fldChar w:fldCharType="end"/>
                </w:r>
                <w:r>
                  <w:rPr>
                    <w:rFonts w:ascii="Times New Roman"/>
                    <w:sz w:val="18"/>
                  </w:rPr>
                  <w:t> -</w:t>
                </w:r>
              </w:p>
            </w:txbxContent>
          </v:textbox>
          <w10:wrap type="none"/>
        </v:shape>
      </w:pict>
    </w: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52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53</w:t>
                </w:r>
                <w:r>
                  <w:rPr/>
                  <w:fldChar w:fldCharType="end"/>
                </w:r>
                <w:r>
                  <w:rPr>
                    <w:rFonts w:ascii="Times New Roman"/>
                    <w:sz w:val="18"/>
                  </w:rPr>
                  <w:t> -</w:t>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496"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54</w:t>
                </w:r>
                <w:r>
                  <w:rPr/>
                  <w:fldChar w:fldCharType="end"/>
                </w:r>
                <w:r>
                  <w:rPr>
                    <w:rFonts w:ascii="Times New Roman"/>
                    <w:sz w:val="18"/>
                  </w:rPr>
                  <w:t> -</w:t>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47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55</w:t>
                </w:r>
                <w:r>
                  <w:rPr/>
                  <w:fldChar w:fldCharType="end"/>
                </w:r>
                <w:r>
                  <w:rPr>
                    <w:rFonts w:ascii="Times New Roman"/>
                    <w:sz w:val="18"/>
                  </w:rPr>
                  <w:t> -</w:t>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448"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56</w:t>
                </w:r>
                <w:r>
                  <w:rPr/>
                  <w:fldChar w:fldCharType="end"/>
                </w:r>
                <w:r>
                  <w:rPr>
                    <w:rFonts w:ascii="Times New Roman"/>
                    <w:sz w:val="18"/>
                  </w:rPr>
                  <w:t> -</w:t>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42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57</w:t>
                </w:r>
                <w:r>
                  <w:rPr/>
                  <w:fldChar w:fldCharType="end"/>
                </w:r>
                <w:r>
                  <w:rPr>
                    <w:rFonts w:ascii="Times New Roman"/>
                    <w:sz w:val="18"/>
                  </w:rPr>
                  <w:t> -</w:t>
                </w:r>
              </w:p>
            </w:txbxContent>
          </v:textbox>
          <w10:wrap type="none"/>
        </v:shape>
      </w:pic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6.880005pt;margin-top:781.897522pt;width:21.6pt;height:11pt;mso-position-horizontal-relative:page;mso-position-vertical-relative:page;z-index:-90640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 </w:t>
                </w:r>
                <w:r>
                  <w:rPr/>
                  <w:fldChar w:fldCharType="begin"/>
                </w:r>
                <w:r>
                  <w:rPr>
                    <w:rFonts w:ascii="Times New Roman"/>
                    <w:sz w:val="18"/>
                  </w:rPr>
                  <w:instrText> PAGE </w:instrText>
                </w:r>
                <w:r>
                  <w:rPr/>
                  <w:fldChar w:fldCharType="separate"/>
                </w:r>
                <w:r>
                  <w:rPr/>
                  <w:t>58</w:t>
                </w:r>
                <w:r>
                  <w:rPr/>
                  <w:fldChar w:fldCharType="end"/>
                </w:r>
                <w:r>
                  <w:rPr>
                    <w:rFonts w:ascii="Times New Roman"/>
                    <w:sz w:val="18"/>
                  </w:rPr>
                  <w:t> -</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6.71051pt;margin-top:555.362671pt;width:16.25pt;height:18.8pt;mso-position-horizontal-relative:page;mso-position-vertical-relative:page;z-index:-918232" type="#_x0000_t202" filled="false" stroked="false">
          <v:textbox inset="0,0,0,0">
            <w:txbxContent>
              <w:p>
                <w:pPr>
                  <w:pStyle w:val="BodyText"/>
                  <w:spacing w:line="240" w:lineRule="auto" w:before="108"/>
                  <w:ind w:left="40" w:right="0"/>
                  <w:jc w:val="left"/>
                  <w:rPr>
                    <w:rFonts w:ascii="Arial" w:hAnsi="Arial" w:cs="Arial" w:eastAsia="Arial" w:hint="default"/>
                  </w:rPr>
                </w:pPr>
                <w:r>
                  <w:rPr>
                    <w:rFonts w:ascii="Arial"/>
                    <w:w w:val="99"/>
                  </w:rPr>
                </w:r>
                <w:r>
                  <w:rPr/>
                  <w:fldChar w:fldCharType="begin"/>
                </w:r>
                <w:r>
                  <w:rPr>
                    <w:rFonts w:ascii="Arial"/>
                  </w:rPr>
                  <w:instrText> PAGE </w:instrText>
                </w:r>
                <w:r>
                  <w:rPr/>
                  <w:fldChar w:fldCharType="separate"/>
                </w:r>
                <w:r>
                  <w:rPr/>
                  <w:t>54</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05.97995pt;margin-top:29.339706pt;width:25.431442pt;height:15.240006pt;mso-position-horizontal-relative:page;mso-position-vertical-relative:page;z-index:-918472" type="#_x0000_t75" stroked="false">
          <v:imagedata r:id="rId1" o:title=""/>
        </v:shape>
      </w:pict>
    </w:r>
    <w:r>
      <w:rPr/>
      <w:pict>
        <v:group style="position:absolute;margin-left:64.980003pt;margin-top:48.720001pt;width:467.8pt;height:.1pt;mso-position-horizontal-relative:page;mso-position-vertical-relative:page;z-index:-918448" coordorigin="1300,974" coordsize="9356,2">
          <v:shape style="position:absolute;left:1300;top:974;width:9356;height:2" coordorigin="1300,974" coordsize="9356,0" path="m1300,974l10655,974e" filled="false" stroked="true" strokeweight=".48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65.480003pt;margin-top:34.968761pt;width:219.35pt;height:12.55pt;mso-position-horizontal-relative:page;mso-position-vertical-relative:page;z-index:-918424" type="#_x0000_t202" filled="false" stroked="false">
          <v:textbox inset="0,0,0,0">
            <w:txbxContent>
              <w:p>
                <w:pPr>
                  <w:spacing w:line="235" w:lineRule="exact" w:before="0"/>
                  <w:ind w:left="20" w:right="0" w:firstLine="0"/>
                  <w:jc w:val="left"/>
                  <w:rPr>
                    <w:rFonts w:ascii="宋体" w:hAnsi="宋体" w:cs="宋体" w:eastAsia="宋体" w:hint="default"/>
                    <w:sz w:val="20"/>
                    <w:szCs w:val="20"/>
                  </w:rPr>
                </w:pPr>
                <w:r>
                  <w:rPr>
                    <w:rFonts w:ascii="宋体" w:hAnsi="宋体" w:cs="宋体" w:eastAsia="宋体" w:hint="default"/>
                    <w:sz w:val="20"/>
                    <w:szCs w:val="20"/>
                  </w:rPr>
                  <w:t>中国联合网络通信股份有限公司</w:t>
                </w:r>
                <w:r>
                  <w:rPr>
                    <w:rFonts w:ascii="宋体" w:hAnsi="宋体" w:cs="宋体" w:eastAsia="宋体" w:hint="default"/>
                    <w:spacing w:val="-53"/>
                    <w:sz w:val="20"/>
                    <w:szCs w:val="20"/>
                  </w:rPr>
                  <w:t> </w:t>
                </w:r>
                <w:r>
                  <w:rPr>
                    <w:rFonts w:ascii="Arial" w:hAnsi="Arial" w:cs="Arial" w:eastAsia="Arial" w:hint="default"/>
                    <w:sz w:val="20"/>
                    <w:szCs w:val="20"/>
                  </w:rPr>
                  <w:t>2009</w:t>
                </w:r>
                <w:r>
                  <w:rPr>
                    <w:rFonts w:ascii="Arial" w:hAnsi="Arial" w:cs="Arial" w:eastAsia="Arial" w:hint="default"/>
                    <w:spacing w:val="-8"/>
                    <w:sz w:val="20"/>
                    <w:szCs w:val="20"/>
                  </w:rPr>
                  <w:t> </w:t>
                </w:r>
                <w:r>
                  <w:rPr>
                    <w:rFonts w:ascii="宋体" w:hAnsi="宋体" w:cs="宋体" w:eastAsia="宋体" w:hint="default"/>
                    <w:sz w:val="20"/>
                    <w:szCs w:val="20"/>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47.403763pt;width:155.950pt;height:13pt;mso-position-horizontal-relative:page;mso-position-vertical-relative:page;z-index:-90868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75.951759pt;width:200pt;height:41.5pt;mso-position-horizontal-relative:page;mso-position-vertical-relative:page;z-index:-90865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33.003845pt;width:156.5pt;height:13pt;mso-position-horizontal-relative:page;mso-position-vertical-relative:page;z-index:-908632" type="#_x0000_t202" filled="false" stroked="false">
          <v:textbox inset="0,0,0,0">
            <w:txbxContent>
              <w:p>
                <w:pPr>
                  <w:pStyle w:val="BodyText"/>
                  <w:tabs>
                    <w:tab w:pos="469" w:val="left" w:leader="none"/>
                  </w:tabs>
                  <w:spacing w:line="240" w:lineRule="exact"/>
                  <w:ind w:right="0"/>
                  <w:jc w:val="left"/>
                  <w:rPr>
                    <w:rFonts w:ascii="黑体" w:hAnsi="黑体" w:cs="黑体" w:eastAsia="黑体" w:hint="default"/>
                  </w:rPr>
                </w:pPr>
                <w:r>
                  <w:rPr>
                    <w:rFonts w:ascii="黑体" w:hAnsi="黑体" w:cs="黑体" w:eastAsia="黑体" w:hint="default"/>
                    <w:w w:val="95"/>
                  </w:rPr>
                  <w:t>七</w:t>
                  <w:tab/>
                </w:r>
                <w:r>
                  <w:rPr>
                    <w:rFonts w:ascii="黑体" w:hAnsi="黑体" w:cs="黑体" w:eastAsia="黑体" w:hint="default"/>
                  </w:rPr>
                  <w:t>关联方关系及其交易（续）</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65.523766pt;width:155.950pt;height:13pt;mso-position-horizontal-relative:page;mso-position-vertical-relative:page;z-index:-90860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94.02784pt;width:200pt;height:41.55pt;mso-position-horizontal-relative:page;mso-position-vertical-relative:page;z-index:-90858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65.523766pt;width:155.950pt;height:13pt;mso-position-horizontal-relative:page;mso-position-vertical-relative:page;z-index:-90853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94.02784pt;width:200pt;height:41.55pt;mso-position-horizontal-relative:page;mso-position-vertical-relative:page;z-index:-90851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65.523766pt;width:155.950pt;height:13pt;mso-position-horizontal-relative:page;mso-position-vertical-relative:page;z-index:-90846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94.02784pt;width:200pt;height:41.55pt;mso-position-horizontal-relative:page;mso-position-vertical-relative:page;z-index:-90844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65.523766pt;width:155.950pt;height:13pt;mso-position-horizontal-relative:page;mso-position-vertical-relative:page;z-index:-90841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94.02784pt;width:200pt;height:41.55pt;mso-position-horizontal-relative:page;mso-position-vertical-relative:page;z-index:-90839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09016pt;margin-top:151.079926pt;width:111.9pt;height:13pt;mso-position-horizontal-relative:page;mso-position-vertical-relative:page;z-index:-908368" type="#_x0000_t202" filled="false" stroked="false">
          <v:textbox inset="0,0,0,0">
            <w:txbxContent>
              <w:p>
                <w:pPr>
                  <w:pStyle w:val="BodyText"/>
                  <w:tabs>
                    <w:tab w:pos="677" w:val="left" w:leader="none"/>
                  </w:tabs>
                  <w:spacing w:line="240" w:lineRule="exact"/>
                  <w:ind w:right="0"/>
                  <w:jc w:val="left"/>
                  <w:rPr>
                    <w:rFonts w:ascii="黑体" w:hAnsi="黑体" w:cs="黑体" w:eastAsia="黑体" w:hint="default"/>
                  </w:rPr>
                </w:pPr>
                <w:r>
                  <w:rPr>
                    <w:rFonts w:ascii="黑体" w:hAnsi="黑体" w:cs="黑体" w:eastAsia="黑体" w:hint="default"/>
                    <w:w w:val="95"/>
                  </w:rPr>
                  <w:t>十一</w:t>
                  <w:tab/>
                </w:r>
                <w:r>
                  <w:rPr>
                    <w:rFonts w:ascii="黑体" w:hAnsi="黑体" w:cs="黑体" w:eastAsia="黑体" w:hint="default"/>
                  </w:rPr>
                  <w:t>终止经营（续）</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65.523766pt;width:155.950pt;height:13pt;mso-position-horizontal-relative:page;mso-position-vertical-relative:page;z-index:-90834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94.02784pt;width:200pt;height:41.55pt;mso-position-horizontal-relative:page;mso-position-vertical-relative:page;z-index:-90832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09016pt;margin-top:151.079926pt;width:111.9pt;height:13pt;mso-position-horizontal-relative:page;mso-position-vertical-relative:page;z-index:-908296" type="#_x0000_t202" filled="false" stroked="false">
          <v:textbox inset="0,0,0,0">
            <w:txbxContent>
              <w:p>
                <w:pPr>
                  <w:pStyle w:val="BodyText"/>
                  <w:tabs>
                    <w:tab w:pos="677" w:val="left" w:leader="none"/>
                  </w:tabs>
                  <w:spacing w:line="240" w:lineRule="exact"/>
                  <w:ind w:right="0"/>
                  <w:jc w:val="left"/>
                  <w:rPr>
                    <w:rFonts w:ascii="黑体" w:hAnsi="黑体" w:cs="黑体" w:eastAsia="黑体" w:hint="default"/>
                  </w:rPr>
                </w:pPr>
                <w:r>
                  <w:rPr>
                    <w:rFonts w:ascii="黑体" w:hAnsi="黑体" w:cs="黑体" w:eastAsia="黑体" w:hint="default"/>
                    <w:w w:val="95"/>
                  </w:rPr>
                  <w:t>十一</w:t>
                  <w:tab/>
                </w:r>
                <w:r>
                  <w:rPr>
                    <w:rFonts w:ascii="黑体" w:hAnsi="黑体" w:cs="黑体" w:eastAsia="黑体" w:hint="default"/>
                  </w:rPr>
                  <w:t>终止经营（续）</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65.523766pt;width:155.950pt;height:13pt;mso-position-horizontal-relative:page;mso-position-vertical-relative:page;z-index:-90827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94.02784pt;width:200pt;height:41.55pt;mso-position-horizontal-relative:page;mso-position-vertical-relative:page;z-index:-90824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65.523766pt;width:155.950pt;height:13pt;mso-position-horizontal-relative:page;mso-position-vertical-relative:page;z-index:-90822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94.02784pt;width:200pt;height:41.55pt;mso-position-horizontal-relative:page;mso-position-vertical-relative:page;z-index:-90820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65.523766pt;width:155.950pt;height:13pt;mso-position-horizontal-relative:page;mso-position-vertical-relative:page;z-index:-90817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94.02784pt;width:200pt;height:41.55pt;mso-position-horizontal-relative:page;mso-position-vertical-relative:page;z-index:-90815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65.523766pt;width:155.950pt;height:13pt;mso-position-horizontal-relative:page;mso-position-vertical-relative:page;z-index:-90812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8.983765pt;width:89.95pt;height:27.8pt;mso-position-horizontal-relative:page;mso-position-vertical-relative:page;z-index:-90810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财务报表补充资料</w:t>
                </w:r>
              </w:p>
              <w:p>
                <w:pPr>
                  <w:pStyle w:val="BodyText"/>
                  <w:spacing w:line="302"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818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816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65.523766pt;width:155.950pt;height:13pt;mso-position-horizontal-relative:page;mso-position-vertical-relative:page;z-index:-90805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8.983765pt;width:89.95pt;height:27.8pt;mso-position-horizontal-relative:page;mso-position-vertical-relative:page;z-index:-90803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财务报表补充资料</w:t>
                </w:r>
              </w:p>
              <w:p>
                <w:pPr>
                  <w:pStyle w:val="BodyText"/>
                  <w:spacing w:line="302"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65.523766pt;width:155.950pt;height:13pt;mso-position-horizontal-relative:page;mso-position-vertical-relative:page;z-index:-90800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1364pt;margin-top:88.983765pt;width:155.950pt;height:49.55pt;mso-position-horizontal-relative:page;mso-position-vertical-relative:page;z-index:-90798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财务报表补充资料</w:t>
                </w:r>
              </w:p>
              <w:p>
                <w:pPr>
                  <w:pStyle w:val="BodyText"/>
                  <w:spacing w:line="302"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40" w:lineRule="auto" w:before="141"/>
                  <w:ind w:right="0"/>
                  <w:jc w:val="left"/>
                  <w:rPr>
                    <w:rFonts w:ascii="黑体" w:hAnsi="黑体" w:cs="黑体" w:eastAsia="黑体" w:hint="default"/>
                  </w:rPr>
                </w:pPr>
                <w:r>
                  <w:rPr>
                    <w:rFonts w:ascii="黑体" w:hAnsi="黑体" w:cs="黑体" w:eastAsia="黑体" w:hint="default"/>
                  </w:rPr>
                  <w:t>二、财务报表差异调节表（续）</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65.523766pt;width:155.950pt;height:13pt;mso-position-horizontal-relative:page;mso-position-vertical-relative:page;z-index:-90796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1364pt;margin-top:88.983765pt;width:155.950pt;height:49.55pt;mso-position-horizontal-relative:page;mso-position-vertical-relative:page;z-index:-90793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财务报表补充资料</w:t>
                </w:r>
              </w:p>
              <w:p>
                <w:pPr>
                  <w:pStyle w:val="BodyText"/>
                  <w:spacing w:line="302"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40" w:lineRule="auto" w:before="141"/>
                  <w:ind w:right="0"/>
                  <w:jc w:val="left"/>
                  <w:rPr>
                    <w:rFonts w:ascii="黑体" w:hAnsi="黑体" w:cs="黑体" w:eastAsia="黑体" w:hint="default"/>
                  </w:rPr>
                </w:pPr>
                <w:r>
                  <w:rPr>
                    <w:rFonts w:ascii="黑体" w:hAnsi="黑体" w:cs="黑体" w:eastAsia="黑体" w:hint="default"/>
                  </w:rPr>
                  <w:t>二、财务报表差异调节表（续）</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65.523766pt;width:155.950pt;height:13pt;mso-position-horizontal-relative:page;mso-position-vertical-relative:page;z-index:-90791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8.983765pt;width:89.95pt;height:27.8pt;mso-position-horizontal-relative:page;mso-position-vertical-relative:page;z-index:-90788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财务报表补充资料</w:t>
                </w:r>
              </w:p>
              <w:p>
                <w:pPr>
                  <w:pStyle w:val="BodyText"/>
                  <w:spacing w:line="302"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65.523766pt;width:155.950pt;height:13pt;mso-position-horizontal-relative:page;mso-position-vertical-relative:page;z-index:-90786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8.983765pt;width:89.95pt;height:27.8pt;mso-position-horizontal-relative:page;mso-position-vertical-relative:page;z-index:-90784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财务报表补充资料</w:t>
                </w:r>
              </w:p>
              <w:p>
                <w:pPr>
                  <w:pStyle w:val="BodyText"/>
                  <w:spacing w:line="302"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65.523766pt;width:155.950pt;height:13pt;mso-position-horizontal-relative:page;mso-position-vertical-relative:page;z-index:-90781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8.983765pt;width:89.95pt;height:27.8pt;mso-position-horizontal-relative:page;mso-position-vertical-relative:page;z-index:-90779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财务报表补充资料</w:t>
                </w:r>
              </w:p>
              <w:p>
                <w:pPr>
                  <w:pStyle w:val="BodyText"/>
                  <w:spacing w:line="302"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811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808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6.940002pt;margin-top:130.203766pt;width:100pt;height:13pt;mso-position-horizontal-relative:page;mso-position-vertical-relative:page;z-index:-918064" type="#_x0000_t202" filled="false" stroked="false">
          <v:textbox inset="0,0,0,0">
            <w:txbxContent>
              <w:p>
                <w:pPr>
                  <w:pStyle w:val="BodyText"/>
                  <w:tabs>
                    <w:tab w:pos="440" w:val="left" w:leader="none"/>
                  </w:tabs>
                  <w:spacing w:line="240" w:lineRule="exact"/>
                  <w:ind w:right="0"/>
                  <w:jc w:val="left"/>
                  <w:rPr>
                    <w:rFonts w:ascii="黑体" w:hAnsi="黑体" w:cs="黑体" w:eastAsia="黑体" w:hint="default"/>
                  </w:rPr>
                </w:pPr>
                <w:r>
                  <w:rPr>
                    <w:rFonts w:ascii="黑体" w:hAnsi="黑体" w:cs="黑体" w:eastAsia="黑体" w:hint="default"/>
                    <w:w w:val="95"/>
                  </w:rPr>
                  <w:t>一</w:t>
                  <w:tab/>
                </w:r>
                <w:r>
                  <w:rPr>
                    <w:rFonts w:ascii="黑体" w:hAnsi="黑体" w:cs="黑体" w:eastAsia="黑体" w:hint="default"/>
                  </w:rPr>
                  <w:t>公司简介（续）</w:t>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804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801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6.940002pt;margin-top:130.203766pt;width:100pt;height:13pt;mso-position-horizontal-relative:page;mso-position-vertical-relative:page;z-index:-917992" type="#_x0000_t202" filled="false" stroked="false">
          <v:textbox inset="0,0,0,0">
            <w:txbxContent>
              <w:p>
                <w:pPr>
                  <w:pStyle w:val="BodyText"/>
                  <w:tabs>
                    <w:tab w:pos="440" w:val="left" w:leader="none"/>
                  </w:tabs>
                  <w:spacing w:line="240" w:lineRule="exact"/>
                  <w:ind w:right="0"/>
                  <w:jc w:val="left"/>
                  <w:rPr>
                    <w:rFonts w:ascii="黑体" w:hAnsi="黑体" w:cs="黑体" w:eastAsia="黑体" w:hint="default"/>
                  </w:rPr>
                </w:pPr>
                <w:r>
                  <w:rPr>
                    <w:rFonts w:ascii="黑体" w:hAnsi="黑体" w:cs="黑体" w:eastAsia="黑体" w:hint="default"/>
                    <w:w w:val="95"/>
                  </w:rPr>
                  <w:t>一</w:t>
                  <w:tab/>
                </w:r>
                <w:r>
                  <w:rPr>
                    <w:rFonts w:ascii="黑体" w:hAnsi="黑体" w:cs="黑体" w:eastAsia="黑体" w:hint="default"/>
                  </w:rPr>
                  <w:t>公司简介（续）</w:t>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796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794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6.940002pt;margin-top:130.203766pt;width:100pt;height:13pt;mso-position-horizontal-relative:page;mso-position-vertical-relative:page;z-index:-917920" type="#_x0000_t202" filled="false" stroked="false">
          <v:textbox inset="0,0,0,0">
            <w:txbxContent>
              <w:p>
                <w:pPr>
                  <w:pStyle w:val="BodyText"/>
                  <w:tabs>
                    <w:tab w:pos="440" w:val="left" w:leader="none"/>
                  </w:tabs>
                  <w:spacing w:line="240" w:lineRule="exact"/>
                  <w:ind w:right="0"/>
                  <w:jc w:val="left"/>
                  <w:rPr>
                    <w:rFonts w:ascii="黑体" w:hAnsi="黑体" w:cs="黑体" w:eastAsia="黑体" w:hint="default"/>
                  </w:rPr>
                </w:pPr>
                <w:r>
                  <w:rPr>
                    <w:rFonts w:ascii="黑体" w:hAnsi="黑体" w:cs="黑体" w:eastAsia="黑体" w:hint="default"/>
                    <w:w w:val="95"/>
                  </w:rPr>
                  <w:t>一</w:t>
                  <w:tab/>
                </w:r>
                <w:r>
                  <w:rPr>
                    <w:rFonts w:ascii="黑体" w:hAnsi="黑体" w:cs="黑体" w:eastAsia="黑体" w:hint="default"/>
                  </w:rPr>
                  <w:t>公司简介（续）</w:t>
                </w:r>
              </w:p>
            </w:txbxContent>
          </v:textbox>
          <w10:wrap type="non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789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787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6.940002pt;margin-top:130.203766pt;width:176.95pt;height:13pt;mso-position-horizontal-relative:page;mso-position-vertical-relative:page;z-index:-917848" type="#_x0000_t202" filled="false" stroked="false">
          <v:textbox inset="0,0,0,0">
            <w:txbxContent>
              <w:p>
                <w:pPr>
                  <w:pStyle w:val="BodyText"/>
                  <w:tabs>
                    <w:tab w:pos="440" w:val="left" w:leader="none"/>
                  </w:tabs>
                  <w:spacing w:line="240" w:lineRule="exact"/>
                  <w:ind w:right="0"/>
                  <w:jc w:val="left"/>
                  <w:rPr>
                    <w:rFonts w:ascii="黑体" w:hAnsi="黑体" w:cs="黑体" w:eastAsia="黑体" w:hint="default"/>
                  </w:rPr>
                </w:pPr>
                <w:r>
                  <w:rPr>
                    <w:rFonts w:ascii="黑体" w:hAnsi="黑体" w:cs="黑体" w:eastAsia="黑体" w:hint="default"/>
                    <w:w w:val="95"/>
                  </w:rPr>
                  <w:t>二</w:t>
                  <w:tab/>
                </w:r>
                <w:r>
                  <w:rPr>
                    <w:rFonts w:ascii="黑体" w:hAnsi="黑体" w:cs="黑体" w:eastAsia="黑体" w:hint="default"/>
                  </w:rPr>
                  <w:t>主要会计政策和会计估计（续）</w:t>
                </w:r>
              </w:p>
            </w:txbxContent>
          </v:textbox>
          <w10:wrap type="none"/>
        </v:shape>
      </w:pict>
    </w:r>
    <w:r>
      <w:rPr/>
      <w:pict>
        <v:shape style="position:absolute;margin-left:76.937119pt;margin-top:155.937759pt;width:155pt;height:13.55pt;mso-position-horizontal-relative:page;mso-position-vertical-relative:page;z-index:-917824" type="#_x0000_t202" filled="false" stroked="false">
          <v:textbox inset="0,0,0,0">
            <w:txbxContent>
              <w:p>
                <w:pPr>
                  <w:pStyle w:val="BodyText"/>
                  <w:spacing w:line="255" w:lineRule="exact"/>
                  <w:ind w:right="0"/>
                  <w:jc w:val="left"/>
                </w:pPr>
                <w:r>
                  <w:rPr>
                    <w:rFonts w:ascii="Arial" w:hAnsi="Arial" w:cs="Arial" w:eastAsia="Arial" w:hint="default"/>
                  </w:rPr>
                  <w:t>1</w:t>
                </w:r>
                <w:r>
                  <w:rPr/>
                  <w:t>、</w:t>
                </w:r>
                <w:r>
                  <w:rPr>
                    <w:spacing w:val="-35"/>
                  </w:rPr>
                  <w:t> </w:t>
                </w:r>
                <w:r>
                  <w:rPr/>
                  <w:t>财务报表的编制基础（续）</w:t>
                </w:r>
              </w:p>
            </w:txbxContent>
          </v:textbox>
          <w10:wrap type="none"/>
        </v:shape>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780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777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6.940002pt;margin-top:130.203766pt;width:176.95pt;height:13pt;mso-position-horizontal-relative:page;mso-position-vertical-relative:page;z-index:-917752" type="#_x0000_t202" filled="false" stroked="false">
          <v:textbox inset="0,0,0,0">
            <w:txbxContent>
              <w:p>
                <w:pPr>
                  <w:pStyle w:val="BodyText"/>
                  <w:tabs>
                    <w:tab w:pos="440" w:val="left" w:leader="none"/>
                  </w:tabs>
                  <w:spacing w:line="240" w:lineRule="exact"/>
                  <w:ind w:right="0"/>
                  <w:jc w:val="left"/>
                  <w:rPr>
                    <w:rFonts w:ascii="黑体" w:hAnsi="黑体" w:cs="黑体" w:eastAsia="黑体" w:hint="default"/>
                  </w:rPr>
                </w:pPr>
                <w:r>
                  <w:rPr>
                    <w:rFonts w:ascii="黑体" w:hAnsi="黑体" w:cs="黑体" w:eastAsia="黑体" w:hint="default"/>
                    <w:w w:val="95"/>
                  </w:rPr>
                  <w:t>二</w:t>
                  <w:tab/>
                </w:r>
                <w:r>
                  <w:rPr>
                    <w:rFonts w:ascii="黑体" w:hAnsi="黑体" w:cs="黑体" w:eastAsia="黑体" w:hint="default"/>
                  </w:rPr>
                  <w:t>主要会计政策和会计估计（续）</w:t>
                </w:r>
              </w:p>
            </w:txbxContent>
          </v:textbox>
          <w10:wrap type="none"/>
        </v:shape>
      </w:pict>
    </w:r>
    <w:r>
      <w:rPr/>
      <w:pict>
        <v:shape style="position:absolute;margin-left:76.223419pt;margin-top:155.937759pt;width:155.7pt;height:13.55pt;mso-position-horizontal-relative:page;mso-position-vertical-relative:page;z-index:-917728" type="#_x0000_t202" filled="false" stroked="false">
          <v:textbox inset="0,0,0,0">
            <w:txbxContent>
              <w:p>
                <w:pPr>
                  <w:pStyle w:val="BodyText"/>
                  <w:spacing w:line="255" w:lineRule="exact"/>
                  <w:ind w:right="0"/>
                  <w:jc w:val="left"/>
                </w:pPr>
                <w:r>
                  <w:rPr>
                    <w:rFonts w:ascii="Arial" w:hAnsi="Arial" w:cs="Arial" w:eastAsia="Arial" w:hint="default"/>
                  </w:rPr>
                  <w:t>1</w:t>
                </w:r>
                <w:r>
                  <w:rPr/>
                  <w:t>、</w:t>
                </w:r>
                <w:r>
                  <w:rPr>
                    <w:spacing w:val="-20"/>
                  </w:rPr>
                  <w:t> </w:t>
                </w:r>
                <w:r>
                  <w:rPr/>
                  <w:t>财务报表的编制基础（续）</w:t>
                </w:r>
              </w:p>
            </w:txbxContent>
          </v:textbox>
          <w10:wrap type="non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770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768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765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763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760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758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756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753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751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748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746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744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r>
      <w:rPr/>
      <w:pict>
        <v:shape style="position:absolute;margin-left:76.937119pt;margin-top:156.003647pt;width:100pt;height:13.55pt;mso-position-horizontal-relative:page;mso-position-vertical-relative:page;z-index:-917416" type="#_x0000_t202" filled="false" stroked="false">
          <v:textbox inset="0,0,0,0">
            <w:txbxContent>
              <w:p>
                <w:pPr>
                  <w:pStyle w:val="BodyText"/>
                  <w:spacing w:line="255" w:lineRule="exact"/>
                  <w:ind w:right="0"/>
                  <w:jc w:val="left"/>
                </w:pPr>
                <w:r>
                  <w:rPr>
                    <w:rFonts w:ascii="Arial" w:hAnsi="Arial" w:cs="Arial" w:eastAsia="Arial" w:hint="default"/>
                  </w:rPr>
                  <w:t>9</w:t>
                </w:r>
                <w:r>
                  <w:rPr/>
                  <w:t>、</w:t>
                </w:r>
                <w:r>
                  <w:rPr>
                    <w:spacing w:val="-35"/>
                  </w:rPr>
                  <w:t> </w:t>
                </w:r>
                <w:r>
                  <w:rPr/>
                  <w:t>金融工具（续）</w:t>
                </w:r>
              </w:p>
            </w:txbxContent>
          </v:textbox>
          <w10:wrap type="none"/>
        </v:shape>
      </w:pict>
    </w:r>
    <w:r>
      <w:rPr/>
      <w:pict>
        <v:shape style="position:absolute;margin-left:76.92614pt;margin-top:180.00592pt;width:100pt;height:13.55pt;mso-position-horizontal-relative:page;mso-position-vertical-relative:page;z-index:-917392" type="#_x0000_t202" filled="false" stroked="false">
          <v:textbox inset="0,0,0,0">
            <w:txbxContent>
              <w:p>
                <w:pPr>
                  <w:pStyle w:val="BodyText"/>
                  <w:spacing w:line="255" w:lineRule="exact"/>
                  <w:ind w:right="0"/>
                  <w:jc w:val="left"/>
                </w:pPr>
                <w:r>
                  <w:rPr>
                    <w:rFonts w:ascii="Arial" w:hAnsi="Arial" w:cs="Arial" w:eastAsia="Arial" w:hint="default"/>
                  </w:rPr>
                  <w:t>(a) </w:t>
                </w:r>
                <w:r>
                  <w:rPr>
                    <w:rFonts w:ascii="Arial" w:hAnsi="Arial" w:cs="Arial" w:eastAsia="Arial" w:hint="default"/>
                    <w:spacing w:val="27"/>
                  </w:rPr>
                  <w:t> </w:t>
                </w:r>
                <w:r>
                  <w:rPr/>
                  <w:t>金融资产（续）</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736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734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732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729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r>
      <w:rPr/>
      <w:pict>
        <v:shape style="position:absolute;margin-left:76.937119pt;margin-top:156.003647pt;width:100pt;height:13.55pt;mso-position-horizontal-relative:page;mso-position-vertical-relative:page;z-index:-917272" type="#_x0000_t202" filled="false" stroked="false">
          <v:textbox inset="0,0,0,0">
            <w:txbxContent>
              <w:p>
                <w:pPr>
                  <w:pStyle w:val="BodyText"/>
                  <w:spacing w:line="255" w:lineRule="exact"/>
                  <w:ind w:right="0"/>
                  <w:jc w:val="left"/>
                </w:pPr>
                <w:r>
                  <w:rPr>
                    <w:rFonts w:ascii="Arial" w:hAnsi="Arial" w:cs="Arial" w:eastAsia="Arial" w:hint="default"/>
                  </w:rPr>
                  <w:t>9</w:t>
                </w:r>
                <w:r>
                  <w:rPr/>
                  <w:t>、</w:t>
                </w:r>
                <w:r>
                  <w:rPr>
                    <w:spacing w:val="-35"/>
                  </w:rPr>
                  <w:t> </w:t>
                </w:r>
                <w:r>
                  <w:rPr/>
                  <w:t>金融工具（续）</w:t>
                </w:r>
              </w:p>
            </w:txbxContent>
          </v:textbox>
          <w10:wrap type="none"/>
        </v:shape>
      </w:pict>
    </w:r>
    <w:r>
      <w:rPr/>
      <w:pict>
        <v:shape style="position:absolute;margin-left:76.92614pt;margin-top:180.609818pt;width:100pt;height:13.55pt;mso-position-horizontal-relative:page;mso-position-vertical-relative:page;z-index:-917248" type="#_x0000_t202" filled="false" stroked="false">
          <v:textbox inset="0,0,0,0">
            <w:txbxContent>
              <w:p>
                <w:pPr>
                  <w:pStyle w:val="BodyText"/>
                  <w:spacing w:line="255" w:lineRule="exact"/>
                  <w:ind w:right="0"/>
                  <w:jc w:val="left"/>
                </w:pPr>
                <w:r>
                  <w:rPr>
                    <w:rFonts w:ascii="Arial" w:hAnsi="Arial" w:cs="Arial" w:eastAsia="Arial" w:hint="default"/>
                  </w:rPr>
                  <w:t>(a) </w:t>
                </w:r>
                <w:r>
                  <w:rPr>
                    <w:rFonts w:ascii="Arial" w:hAnsi="Arial" w:cs="Arial" w:eastAsia="Arial" w:hint="default"/>
                    <w:spacing w:val="27"/>
                  </w:rPr>
                  <w:t> </w:t>
                </w:r>
                <w:r>
                  <w:rPr/>
                  <w:t>金融资产（续）</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722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720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717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715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r>
      <w:rPr/>
      <w:pict>
        <v:shape style="position:absolute;margin-left:76.937119pt;margin-top:156.003647pt;width:102.15pt;height:13.55pt;mso-position-horizontal-relative:page;mso-position-vertical-relative:page;z-index:-917128" type="#_x0000_t202" filled="false" stroked="false">
          <v:textbox inset="0,0,0,0">
            <w:txbxContent>
              <w:p>
                <w:pPr>
                  <w:pStyle w:val="BodyText"/>
                  <w:spacing w:line="255" w:lineRule="exact"/>
                  <w:ind w:right="0"/>
                  <w:jc w:val="left"/>
                </w:pPr>
                <w:r>
                  <w:rPr>
                    <w:rFonts w:ascii="Arial" w:hAnsi="Arial" w:cs="Arial" w:eastAsia="Arial" w:hint="default"/>
                  </w:rPr>
                  <w:t>10</w:t>
                </w:r>
                <w:r>
                  <w:rPr/>
                  <w:t>、应收款项（续）</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710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708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705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703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700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698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696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693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691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688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686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684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681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679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676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674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672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669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667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664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662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660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657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655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652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650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648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645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643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640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638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636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633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631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628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626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624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621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619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616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614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612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609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607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604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602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600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597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r>
      <w:rPr/>
      <w:pict>
        <v:shape style="position:absolute;margin-left:76.937119pt;margin-top:157.442017pt;width:157.15pt;height:13.55pt;mso-position-horizontal-relative:page;mso-position-vertical-relative:page;z-index:-915952" type="#_x0000_t202" filled="false" stroked="false">
          <v:textbox inset="0,0,0,0">
            <w:txbxContent>
              <w:p>
                <w:pPr>
                  <w:pStyle w:val="BodyText"/>
                  <w:spacing w:line="255" w:lineRule="exact"/>
                  <w:ind w:right="0"/>
                  <w:jc w:val="left"/>
                </w:pPr>
                <w:r>
                  <w:rPr>
                    <w:rFonts w:ascii="Arial" w:hAnsi="Arial" w:cs="Arial" w:eastAsia="Arial" w:hint="default"/>
                  </w:rPr>
                  <w:t>33</w:t>
                </w:r>
                <w:r>
                  <w:rPr/>
                  <w:t>、重要会计估计和判断（续）</w:t>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592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590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588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585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r>
      <w:rPr/>
      <w:pict>
        <v:shape style="position:absolute;margin-left:76.937119pt;margin-top:157.442017pt;width:157.15pt;height:13.55pt;mso-position-horizontal-relative:page;mso-position-vertical-relative:page;z-index:-915832" type="#_x0000_t202" filled="false" stroked="false">
          <v:textbox inset="0,0,0,0">
            <w:txbxContent>
              <w:p>
                <w:pPr>
                  <w:pStyle w:val="BodyText"/>
                  <w:spacing w:line="255" w:lineRule="exact"/>
                  <w:ind w:right="0"/>
                  <w:jc w:val="left"/>
                </w:pPr>
                <w:r>
                  <w:rPr>
                    <w:rFonts w:ascii="Arial" w:hAnsi="Arial" w:cs="Arial" w:eastAsia="Arial" w:hint="default"/>
                  </w:rPr>
                  <w:t>33</w:t>
                </w:r>
                <w:r>
                  <w:rPr/>
                  <w:t>、重要会计估计和判断（续）</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580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578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576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573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571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568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566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564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r>
      <w:rPr/>
      <w:pict>
        <v:shape style="position:absolute;margin-left:76.937119pt;margin-top:157.442017pt;width:124.25pt;height:13.55pt;mso-position-horizontal-relative:page;mso-position-vertical-relative:page;z-index:-915616" type="#_x0000_t202" filled="false" stroked="false">
          <v:textbox inset="0,0,0,0">
            <w:txbxContent>
              <w:p>
                <w:pPr>
                  <w:pStyle w:val="BodyText"/>
                  <w:spacing w:line="255" w:lineRule="exact"/>
                  <w:ind w:right="0"/>
                  <w:jc w:val="left"/>
                </w:pPr>
                <w:r>
                  <w:rPr>
                    <w:rFonts w:ascii="Arial" w:hAnsi="Arial" w:cs="Arial" w:eastAsia="Arial" w:hint="default"/>
                  </w:rPr>
                  <w:t>34</w:t>
                </w:r>
                <w:r>
                  <w:rPr/>
                  <w:t>、金融风险管理（续）</w:t>
                </w:r>
              </w:p>
            </w:txbxContent>
          </v:textbox>
          <w10:wrap type="none"/>
        </v:shape>
      </w:pict>
    </w:r>
    <w:r>
      <w:rPr/>
      <w:pict>
        <v:shape style="position:absolute;margin-left:76.937119pt;margin-top:181.674881pt;width:124.75pt;height:13.55pt;mso-position-horizontal-relative:page;mso-position-vertical-relative:page;z-index:-915592" type="#_x0000_t202" filled="false" stroked="false">
          <v:textbox inset="0,0,0,0">
            <w:txbxContent>
              <w:p>
                <w:pPr>
                  <w:pStyle w:val="BodyText"/>
                  <w:tabs>
                    <w:tab w:pos="496" w:val="left" w:leader="none"/>
                  </w:tabs>
                  <w:spacing w:line="255" w:lineRule="exact"/>
                  <w:ind w:right="0"/>
                  <w:jc w:val="left"/>
                </w:pPr>
                <w:r>
                  <w:rPr>
                    <w:rFonts w:ascii="Arial" w:hAnsi="Arial" w:cs="Arial" w:eastAsia="Arial" w:hint="default"/>
                    <w:w w:val="95"/>
                  </w:rPr>
                  <w:t>(1)</w:t>
                  <w:tab/>
                </w:r>
                <w:r>
                  <w:rPr/>
                  <w:t>金融风险因素（续）</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556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554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552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549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r>
      <w:rPr/>
      <w:pict>
        <v:shape style="position:absolute;margin-left:76.937119pt;margin-top:157.442017pt;width:124.25pt;height:13.55pt;mso-position-horizontal-relative:page;mso-position-vertical-relative:page;z-index:-915472" type="#_x0000_t202" filled="false" stroked="false">
          <v:textbox inset="0,0,0,0">
            <w:txbxContent>
              <w:p>
                <w:pPr>
                  <w:pStyle w:val="BodyText"/>
                  <w:spacing w:line="255" w:lineRule="exact"/>
                  <w:ind w:right="0"/>
                  <w:jc w:val="left"/>
                </w:pPr>
                <w:r>
                  <w:rPr>
                    <w:rFonts w:ascii="Arial" w:hAnsi="Arial" w:cs="Arial" w:eastAsia="Arial" w:hint="default"/>
                  </w:rPr>
                  <w:t>34</w:t>
                </w:r>
                <w:r>
                  <w:rPr/>
                  <w:t>、金融风险管理（续）</w:t>
                </w:r>
              </w:p>
            </w:txbxContent>
          </v:textbox>
          <w10:wrap type="none"/>
        </v:shape>
      </w:pict>
    </w:r>
    <w:r>
      <w:rPr/>
      <w:pict>
        <v:shape style="position:absolute;margin-left:76.940002pt;margin-top:182.043762pt;width:124.75pt;height:13.55pt;mso-position-horizontal-relative:page;mso-position-vertical-relative:page;z-index:-915448" type="#_x0000_t202" filled="false" stroked="false">
          <v:textbox inset="0,0,0,0">
            <w:txbxContent>
              <w:p>
                <w:pPr>
                  <w:pStyle w:val="BodyText"/>
                  <w:tabs>
                    <w:tab w:pos="496" w:val="left" w:leader="none"/>
                  </w:tabs>
                  <w:spacing w:line="255" w:lineRule="exact"/>
                  <w:ind w:right="0"/>
                  <w:jc w:val="left"/>
                </w:pPr>
                <w:r>
                  <w:rPr>
                    <w:rFonts w:ascii="Arial" w:hAnsi="Arial" w:cs="Arial" w:eastAsia="Arial" w:hint="default"/>
                    <w:w w:val="95"/>
                  </w:rPr>
                  <w:t>(1)</w:t>
                  <w:tab/>
                </w:r>
                <w:r>
                  <w:rPr/>
                  <w:t>金融风险因素（续）</w:t>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542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540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537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535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r>
      <w:rPr/>
      <w:pict>
        <v:shape style="position:absolute;margin-left:76.937119pt;margin-top:157.442017pt;width:124.25pt;height:13.55pt;mso-position-horizontal-relative:page;mso-position-vertical-relative:page;z-index:-915328" type="#_x0000_t202" filled="false" stroked="false">
          <v:textbox inset="0,0,0,0">
            <w:txbxContent>
              <w:p>
                <w:pPr>
                  <w:pStyle w:val="BodyText"/>
                  <w:spacing w:line="255" w:lineRule="exact"/>
                  <w:ind w:right="0"/>
                  <w:jc w:val="left"/>
                </w:pPr>
                <w:r>
                  <w:rPr>
                    <w:rFonts w:ascii="Arial" w:hAnsi="Arial" w:cs="Arial" w:eastAsia="Arial" w:hint="default"/>
                  </w:rPr>
                  <w:t>34</w:t>
                </w:r>
                <w:r>
                  <w:rPr/>
                  <w:t>、金融风险管理（续）</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6.940002pt;margin-top:47.343761pt;width:155.950pt;height:13pt;mso-position-horizontal-relative:page;mso-position-vertical-relative:page;z-index:-91530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76.940002pt;margin-top:75.891762pt;width:200pt;height:41.5pt;mso-position-horizontal-relative:page;mso-position-vertical-relative:page;z-index:-91528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5.559998pt;margin-top:131.643768pt;width:13pt;height:13pt;mso-position-horizontal-relative:page;mso-position-vertical-relative:page;z-index:-91525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二</w:t>
                </w:r>
                <w:r>
                  <w:rPr>
                    <w:rFonts w:ascii="黑体" w:hAnsi="黑体" w:cs="黑体" w:eastAsia="黑体" w:hint="default"/>
                  </w:rPr>
                </w:r>
              </w:p>
            </w:txbxContent>
          </v:textbox>
          <w10:wrap type="none"/>
        </v:shape>
      </w:pict>
    </w:r>
    <w:r>
      <w:rPr/>
      <w:pict>
        <v:shape style="position:absolute;margin-left:100.034424pt;margin-top:131.643768pt;width:155.950pt;height:13pt;mso-position-horizontal-relative:page;mso-position-vertical-relative:page;z-index:-91523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重要会计政策和会计估计（续）</w:t>
                </w:r>
              </w:p>
            </w:txbxContent>
          </v:textbox>
          <w10:wrap type="none"/>
        </v:shape>
      </w:pict>
    </w:r>
    <w:r>
      <w:rPr/>
      <w:pict>
        <v:shape style="position:absolute;margin-left:76.937119pt;margin-top:157.442017pt;width:124.25pt;height:13.55pt;mso-position-horizontal-relative:page;mso-position-vertical-relative:page;z-index:-915208" type="#_x0000_t202" filled="false" stroked="false">
          <v:textbox inset="0,0,0,0">
            <w:txbxContent>
              <w:p>
                <w:pPr>
                  <w:pStyle w:val="BodyText"/>
                  <w:spacing w:line="255" w:lineRule="exact"/>
                  <w:ind w:right="0"/>
                  <w:jc w:val="left"/>
                </w:pPr>
                <w:r>
                  <w:rPr>
                    <w:rFonts w:ascii="Arial" w:hAnsi="Arial" w:cs="Arial" w:eastAsia="Arial" w:hint="default"/>
                  </w:rPr>
                  <w:t>34</w:t>
                </w:r>
                <w:r>
                  <w:rPr/>
                  <w:t>、金融风险管理（续）</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518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516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4.043839pt;width:78pt;height:13pt;mso-position-horizontal-relative:page;mso-position-vertical-relative:page;z-index:-915136" type="#_x0000_t202" filled="false" stroked="false">
          <v:textbox inset="0,0,0,0">
            <w:txbxContent>
              <w:p>
                <w:pPr>
                  <w:pStyle w:val="BodyText"/>
                  <w:tabs>
                    <w:tab w:pos="440" w:val="left" w:leader="none"/>
                  </w:tabs>
                  <w:spacing w:line="240" w:lineRule="exact"/>
                  <w:ind w:right="0"/>
                  <w:jc w:val="left"/>
                  <w:rPr>
                    <w:rFonts w:ascii="黑体" w:hAnsi="黑体" w:cs="黑体" w:eastAsia="黑体" w:hint="default"/>
                  </w:rPr>
                </w:pPr>
                <w:r>
                  <w:rPr>
                    <w:rFonts w:ascii="黑体" w:hAnsi="黑体" w:cs="黑体" w:eastAsia="黑体" w:hint="default"/>
                    <w:w w:val="95"/>
                  </w:rPr>
                  <w:t>三</w:t>
                  <w:tab/>
                </w:r>
                <w:r>
                  <w:rPr>
                    <w:rFonts w:ascii="黑体" w:hAnsi="黑体" w:cs="黑体" w:eastAsia="黑体" w:hint="default"/>
                  </w:rPr>
                  <w:t>税项（续）</w:t>
                </w:r>
              </w:p>
            </w:txbxContent>
          </v:textbox>
          <w10:wrap type="none"/>
        </v:shape>
      </w:pict>
    </w:r>
    <w:r>
      <w:rPr/>
      <w:pict>
        <v:shape style="position:absolute;margin-left:69.503479pt;margin-top:169.484497pt;width:109.6pt;height:13.55pt;mso-position-horizontal-relative:page;mso-position-vertical-relative:page;z-index:-915112" type="#_x0000_t202" filled="false" stroked="false">
          <v:textbox inset="0,0,0,0">
            <w:txbxContent>
              <w:p>
                <w:pPr>
                  <w:pStyle w:val="BodyText"/>
                  <w:spacing w:line="255" w:lineRule="exact"/>
                  <w:ind w:right="0"/>
                  <w:jc w:val="left"/>
                </w:pPr>
                <w:r>
                  <w:rPr>
                    <w:rFonts w:ascii="Arial" w:hAnsi="Arial" w:cs="Arial" w:eastAsia="Arial" w:hint="default"/>
                  </w:rPr>
                  <w:t>3</w:t>
                </w:r>
                <w:r>
                  <w:rPr/>
                  <w:t>、</w:t>
                </w:r>
                <w:r>
                  <w:rPr>
                    <w:spacing w:val="-62"/>
                  </w:rPr>
                  <w:t> </w:t>
                </w:r>
                <w:r>
                  <w:rPr/>
                  <w:t>企业所得税（续）</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508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506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4.043839pt;width:78pt;height:13pt;mso-position-horizontal-relative:page;mso-position-vertical-relative:page;z-index:-915040" type="#_x0000_t202" filled="false" stroked="false">
          <v:textbox inset="0,0,0,0">
            <w:txbxContent>
              <w:p>
                <w:pPr>
                  <w:pStyle w:val="BodyText"/>
                  <w:tabs>
                    <w:tab w:pos="440" w:val="left" w:leader="none"/>
                  </w:tabs>
                  <w:spacing w:line="240" w:lineRule="exact"/>
                  <w:ind w:right="0"/>
                  <w:jc w:val="left"/>
                  <w:rPr>
                    <w:rFonts w:ascii="黑体" w:hAnsi="黑体" w:cs="黑体" w:eastAsia="黑体" w:hint="default"/>
                  </w:rPr>
                </w:pPr>
                <w:r>
                  <w:rPr>
                    <w:rFonts w:ascii="黑体" w:hAnsi="黑体" w:cs="黑体" w:eastAsia="黑体" w:hint="default"/>
                    <w:w w:val="95"/>
                  </w:rPr>
                  <w:t>三</w:t>
                  <w:tab/>
                </w:r>
                <w:r>
                  <w:rPr>
                    <w:rFonts w:ascii="黑体" w:hAnsi="黑体" w:cs="黑体" w:eastAsia="黑体" w:hint="default"/>
                  </w:rPr>
                  <w:t>税项（续）</w:t>
                </w:r>
              </w:p>
            </w:txbxContent>
          </v:textbox>
          <w10:wrap type="none"/>
        </v:shape>
      </w:pict>
    </w:r>
    <w:r>
      <w:rPr/>
      <w:pict>
        <v:shape style="position:absolute;margin-left:68.120003pt;margin-top:170.933868pt;width:110.95pt;height:13.55pt;mso-position-horizontal-relative:page;mso-position-vertical-relative:page;z-index:-915016" type="#_x0000_t202" filled="false" stroked="false">
          <v:textbox inset="0,0,0,0">
            <w:txbxContent>
              <w:p>
                <w:pPr>
                  <w:pStyle w:val="BodyText"/>
                  <w:spacing w:line="255" w:lineRule="exact"/>
                  <w:ind w:right="0"/>
                  <w:jc w:val="left"/>
                </w:pPr>
                <w:r>
                  <w:rPr>
                    <w:rFonts w:ascii="Arial" w:hAnsi="Arial" w:cs="Arial" w:eastAsia="Arial" w:hint="default"/>
                  </w:rPr>
                  <w:t>3</w:t>
                </w:r>
                <w:r>
                  <w:rPr/>
                  <w:t>、</w:t>
                </w:r>
                <w:r>
                  <w:rPr>
                    <w:spacing w:val="-35"/>
                  </w:rPr>
                  <w:t> </w:t>
                </w:r>
                <w:r>
                  <w:rPr/>
                  <w:t>企业所得税（续）</w:t>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310499pt;margin-top:58.444061pt;width:155.950pt;height:13pt;mso-position-horizontal-relative:page;mso-position-vertical-relative:page;z-index:-91499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27.310499pt;margin-top:86.992065pt;width:200pt;height:41.5pt;mso-position-horizontal-relative:page;mso-position-vertical-relative:page;z-index:-91496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7.310499pt;margin-top:58.444061pt;width:155.950pt;height:13pt;mso-position-horizontal-relative:page;mso-position-vertical-relative:page;z-index:-91492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27.310499pt;margin-top:86.992065pt;width:200pt;height:41.5pt;mso-position-horizontal-relative:page;mso-position-vertical-relative:page;z-index:-91489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28.0305pt;margin-top:142.744064pt;width:178.05pt;height:13pt;mso-position-horizontal-relative:page;mso-position-vertical-relative:page;z-index:-91487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四、企业合并及合并财务报表（续）</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300003pt;margin-top:58.443764pt;width:155.950pt;height:13pt;mso-position-horizontal-relative:page;mso-position-vertical-relative:page;z-index:-91484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300003pt;margin-top:86.99176pt;width:200pt;height:41.5pt;mso-position-horizontal-relative:page;mso-position-vertical-relative:page;z-index:-91482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0.399162pt;margin-top:142.739807pt;width:178.05pt;height:13pt;mso-position-horizontal-relative:page;mso-position-vertical-relative:page;z-index:-91480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四、企业合并及合并财务报表（续）</w:t>
                </w:r>
              </w:p>
            </w:txbxContent>
          </v:textbox>
          <w10:wrap type="none"/>
        </v:shape>
      </w:pict>
    </w:r>
    <w:r>
      <w:rPr/>
      <w:pict>
        <v:shape style="position:absolute;margin-left:69.685463pt;margin-top:169.684723pt;width:131.6pt;height:13.55pt;mso-position-horizontal-relative:page;mso-position-vertical-relative:page;z-index:-914776" type="#_x0000_t202" filled="false" stroked="false">
          <v:textbox inset="0,0,0,0">
            <w:txbxContent>
              <w:p>
                <w:pPr>
                  <w:pStyle w:val="BodyText"/>
                  <w:spacing w:line="255" w:lineRule="exact"/>
                  <w:ind w:right="0"/>
                  <w:jc w:val="left"/>
                </w:pPr>
                <w:r>
                  <w:rPr>
                    <w:rFonts w:ascii="Arial" w:hAnsi="Arial" w:cs="Arial" w:eastAsia="Arial" w:hint="default"/>
                  </w:rPr>
                  <w:t>1</w:t>
                </w:r>
                <w:r>
                  <w:rPr/>
                  <w:t>、</w:t>
                </w:r>
                <w:r>
                  <w:rPr>
                    <w:spacing w:val="-62"/>
                  </w:rPr>
                  <w:t> </w:t>
                </w:r>
                <w:r>
                  <w:rPr/>
                  <w:t>重要子公司情况（续）</w:t>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300003pt;margin-top:58.443764pt;width:155.950pt;height:13pt;mso-position-horizontal-relative:page;mso-position-vertical-relative:page;z-index:-91472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300003pt;margin-top:86.99176pt;width:200pt;height:41.5pt;mso-position-horizontal-relative:page;mso-position-vertical-relative:page;z-index:-91470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301979pt;margin-top:142.739807pt;width:176.95pt;height:13pt;mso-position-horizontal-relative:page;mso-position-vertical-relative:page;z-index:-914680" type="#_x0000_t202" filled="false" stroked="false">
          <v:textbox inset="0,0,0,0">
            <w:txbxContent>
              <w:p>
                <w:pPr>
                  <w:pStyle w:val="BodyText"/>
                  <w:tabs>
                    <w:tab w:pos="440" w:val="left" w:leader="none"/>
                  </w:tabs>
                  <w:spacing w:line="240" w:lineRule="exact"/>
                  <w:ind w:right="0"/>
                  <w:jc w:val="left"/>
                  <w:rPr>
                    <w:rFonts w:ascii="黑体" w:hAnsi="黑体" w:cs="黑体" w:eastAsia="黑体" w:hint="default"/>
                  </w:rPr>
                </w:pPr>
                <w:r>
                  <w:rPr>
                    <w:rFonts w:ascii="黑体" w:hAnsi="黑体" w:cs="黑体" w:eastAsia="黑体" w:hint="default"/>
                    <w:w w:val="95"/>
                  </w:rPr>
                  <w:t>四</w:t>
                  <w:tab/>
                </w:r>
                <w:r>
                  <w:rPr>
                    <w:rFonts w:ascii="黑体" w:hAnsi="黑体" w:cs="黑体" w:eastAsia="黑体" w:hint="default"/>
                  </w:rPr>
                  <w:t>企业合并及合并财务报表（续）</w:t>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300003pt;margin-top:58.443764pt;width:155.950pt;height:13pt;mso-position-horizontal-relative:page;mso-position-vertical-relative:page;z-index:-91465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300003pt;margin-top:86.99176pt;width:200pt;height:41.5pt;mso-position-horizontal-relative:page;mso-position-vertical-relative:page;z-index:-91463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301979pt;margin-top:142.739807pt;width:13pt;height:13pt;mso-position-horizontal-relative:page;mso-position-vertical-relative:page;z-index:-91460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四</w:t>
                </w:r>
                <w:r>
                  <w:rPr>
                    <w:rFonts w:ascii="黑体" w:hAnsi="黑体" w:cs="黑体" w:eastAsia="黑体" w:hint="default"/>
                  </w:rPr>
                </w:r>
              </w:p>
            </w:txbxContent>
          </v:textbox>
          <w10:wrap type="none"/>
        </v:shape>
      </w:pict>
    </w:r>
    <w:r>
      <w:rPr/>
      <w:pict>
        <v:shape style="position:absolute;margin-left:93.501083pt;margin-top:142.739807pt;width:155.950pt;height:13pt;mso-position-horizontal-relative:page;mso-position-vertical-relative:page;z-index:-91458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企业合并及合并财务报表（续）</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300003pt;margin-top:58.443764pt;width:155.950pt;height:13pt;mso-position-horizontal-relative:page;mso-position-vertical-relative:page;z-index:-91456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300003pt;margin-top:86.99176pt;width:200pt;height:41.5pt;mso-position-horizontal-relative:page;mso-position-vertical-relative:page;z-index:-91453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0.399162pt;margin-top:142.739807pt;width:178.05pt;height:13pt;mso-position-horizontal-relative:page;mso-position-vertical-relative:page;z-index:-91451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四、企业合并及合并财务报表（续）</w:t>
                </w:r>
              </w:p>
            </w:txbxContent>
          </v:textbox>
          <w10:wrap type="none"/>
        </v:shape>
      </w:pict>
    </w:r>
    <w:r>
      <w:rPr/>
      <w:pict>
        <v:shape style="position:absolute;margin-left:71.12384pt;margin-top:169.684723pt;width:152.2pt;height:13.55pt;mso-position-horizontal-relative:page;mso-position-vertical-relative:page;z-index:-914488" type="#_x0000_t202" filled="false" stroked="false">
          <v:textbox inset="0,0,0,0">
            <w:txbxContent>
              <w:p>
                <w:pPr>
                  <w:pStyle w:val="BodyText"/>
                  <w:spacing w:line="255" w:lineRule="exact"/>
                  <w:ind w:right="0"/>
                  <w:jc w:val="left"/>
                </w:pPr>
                <w:r>
                  <w:rPr>
                    <w:rFonts w:ascii="Arial" w:hAnsi="Arial" w:cs="Arial" w:eastAsia="Arial" w:hint="default"/>
                  </w:rPr>
                  <w:t>3</w:t>
                </w:r>
                <w:r>
                  <w:rPr/>
                  <w:t>、</w:t>
                </w:r>
                <w:r>
                  <w:rPr>
                    <w:spacing w:val="-91"/>
                  </w:rPr>
                  <w:t> </w:t>
                </w:r>
                <w:r>
                  <w:rPr/>
                  <w:t>同一控制下企业合并（续）</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300003pt;margin-top:58.443764pt;width:155.950pt;height:13pt;mso-position-horizontal-relative:page;mso-position-vertical-relative:page;z-index:-91446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300003pt;margin-top:86.99176pt;width:200pt;height:41.5pt;mso-position-horizontal-relative:page;mso-position-vertical-relative:page;z-index:-91444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70.399162pt;margin-top:142.739807pt;width:178.05pt;height:35.8pt;mso-position-horizontal-relative:page;mso-position-vertical-relative:page;z-index:-91441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四、企业合并及合并财务报表（续）</w:t>
                </w:r>
              </w:p>
              <w:p>
                <w:pPr>
                  <w:pStyle w:val="BodyText"/>
                  <w:spacing w:line="240" w:lineRule="auto" w:before="157"/>
                  <w:ind w:left="34" w:right="0"/>
                  <w:jc w:val="left"/>
                </w:pPr>
                <w:r>
                  <w:rPr>
                    <w:rFonts w:ascii="Arial" w:hAnsi="Arial" w:cs="Arial" w:eastAsia="Arial" w:hint="default"/>
                  </w:rPr>
                  <w:t>3</w:t>
                </w:r>
                <w:r>
                  <w:rPr/>
                  <w:t>、</w:t>
                </w:r>
                <w:r>
                  <w:rPr>
                    <w:spacing w:val="-91"/>
                  </w:rPr>
                  <w:t> </w:t>
                </w:r>
                <w:r>
                  <w:rPr/>
                  <w:t>同一控制下企业合并（续）</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300003pt;margin-top:58.443764pt;width:155.950pt;height:13pt;mso-position-horizontal-relative:page;mso-position-vertical-relative:page;z-index:-91439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300003pt;margin-top:86.99176pt;width:200pt;height:41.5pt;mso-position-horizontal-relative:page;mso-position-vertical-relative:page;z-index:-91436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301979pt;margin-top:142.739807pt;width:133pt;height:13pt;mso-position-horizontal-relative:page;mso-position-vertical-relative:page;z-index:-914344" type="#_x0000_t202" filled="false" stroked="false">
          <v:textbox inset="0,0,0,0">
            <w:txbxContent>
              <w:p>
                <w:pPr>
                  <w:pStyle w:val="BodyText"/>
                  <w:tabs>
                    <w:tab w:pos="440" w:val="left" w:leader="none"/>
                  </w:tabs>
                  <w:spacing w:line="240" w:lineRule="exact"/>
                  <w:ind w:right="0"/>
                  <w:jc w:val="left"/>
                  <w:rPr>
                    <w:rFonts w:ascii="黑体" w:hAnsi="黑体" w:cs="黑体" w:eastAsia="黑体" w:hint="default"/>
                  </w:rPr>
                </w:pPr>
                <w:r>
                  <w:rPr>
                    <w:rFonts w:ascii="黑体" w:hAnsi="黑体" w:cs="黑体" w:eastAsia="黑体" w:hint="default"/>
                    <w:w w:val="95"/>
                  </w:rPr>
                  <w:t>五</w:t>
                  <w:tab/>
                </w:r>
                <w:r>
                  <w:rPr>
                    <w:rFonts w:ascii="黑体" w:hAnsi="黑体" w:cs="黑体" w:eastAsia="黑体" w:hint="default"/>
                  </w:rPr>
                  <w:t>合并财务报表项目附注</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429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427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424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422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420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417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415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412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1201pt;margin-top:167.038666pt;width:99.25pt;height:13.55pt;mso-position-horizontal-relative:page;mso-position-vertical-relative:page;z-index:-914104"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3</w:t>
                </w:r>
                <w:r>
                  <w:rPr>
                    <w:rFonts w:ascii="黑体" w:hAnsi="黑体" w:cs="黑体" w:eastAsia="黑体" w:hint="default"/>
                  </w:rPr>
                  <w:t>、</w:t>
                </w:r>
                <w:r>
                  <w:rPr>
                    <w:rFonts w:ascii="黑体" w:hAnsi="黑体" w:cs="黑体" w:eastAsia="黑体" w:hint="default"/>
                    <w:spacing w:val="-49"/>
                  </w:rPr>
                  <w:t> </w:t>
                </w:r>
                <w:r>
                  <w:rPr>
                    <w:rFonts w:ascii="黑体" w:hAnsi="黑体" w:cs="黑体" w:eastAsia="黑体" w:hint="default"/>
                  </w:rPr>
                  <w:t>应收账款（续）</w:t>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405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403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68.1pt;height:13pt;mso-position-horizontal-relative:page;mso-position-vertical-relative:page;z-index:-914008" type="#_x0000_t202" filled="false" stroked="false">
          <v:textbox inset="0,0,0,0">
            <w:txbxContent>
              <w:p>
                <w:pPr>
                  <w:pStyle w:val="BodyText"/>
                  <w:tabs>
                    <w:tab w:pos="481" w:val="left" w:leader="none"/>
                  </w:tabs>
                  <w:spacing w:line="240" w:lineRule="exact"/>
                  <w:ind w:right="0"/>
                  <w:jc w:val="left"/>
                  <w:rPr>
                    <w:rFonts w:ascii="黑体" w:hAnsi="黑体" w:cs="黑体" w:eastAsia="黑体" w:hint="default"/>
                  </w:rPr>
                </w:pPr>
                <w:r>
                  <w:rPr>
                    <w:rFonts w:ascii="黑体" w:hAnsi="黑体" w:cs="黑体" w:eastAsia="黑体" w:hint="default"/>
                    <w:w w:val="95"/>
                  </w:rPr>
                  <w:t>五</w:t>
                  <w:tab/>
                </w:r>
                <w:r>
                  <w:rPr>
                    <w:rFonts w:ascii="黑体" w:hAnsi="黑体" w:cs="黑体" w:eastAsia="黑体" w:hint="default"/>
                  </w:rPr>
                  <w:t>合并财务报表项目附注（续）</w:t>
                </w:r>
              </w:p>
            </w:txbxContent>
          </v:textbox>
          <w10:wrap type="none"/>
        </v:shape>
      </w:pict>
    </w:r>
    <w:r>
      <w:rPr/>
      <w:pict>
        <v:shape style="position:absolute;margin-left:68.124619pt;margin-top:167.038666pt;width:103pt;height:13.55pt;mso-position-horizontal-relative:page;mso-position-vertical-relative:page;z-index:-913984"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3</w:t>
                </w:r>
                <w:r>
                  <w:rPr>
                    <w:rFonts w:ascii="黑体" w:hAnsi="黑体" w:cs="黑体" w:eastAsia="黑体" w:hint="default"/>
                  </w:rPr>
                  <w:t>、</w:t>
                </w:r>
                <w:r>
                  <w:rPr>
                    <w:rFonts w:ascii="黑体" w:hAnsi="黑体" w:cs="黑体" w:eastAsia="黑体" w:hint="default"/>
                    <w:spacing w:val="25"/>
                  </w:rPr>
                  <w:t> </w:t>
                </w:r>
                <w:r>
                  <w:rPr>
                    <w:rFonts w:ascii="黑体" w:hAnsi="黑体" w:cs="黑体" w:eastAsia="黑体" w:hint="default"/>
                  </w:rPr>
                  <w:t>应收账款（续）</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393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391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388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386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4619pt;margin-top:167.038666pt;width:110.95pt;height:13.55pt;mso-position-horizontal-relative:page;mso-position-vertical-relative:page;z-index:-913840"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4</w:t>
                </w:r>
                <w:r>
                  <w:rPr>
                    <w:rFonts w:ascii="黑体" w:hAnsi="黑体" w:cs="黑体" w:eastAsia="黑体" w:hint="default"/>
                  </w:rPr>
                  <w:t>、</w:t>
                </w:r>
                <w:r>
                  <w:rPr>
                    <w:rFonts w:ascii="黑体" w:hAnsi="黑体" w:cs="黑体" w:eastAsia="黑体" w:hint="default"/>
                    <w:spacing w:val="-35"/>
                  </w:rPr>
                  <w:t> </w:t>
                </w:r>
                <w:r>
                  <w:rPr>
                    <w:rFonts w:ascii="黑体" w:hAnsi="黑体" w:cs="黑体" w:eastAsia="黑体" w:hint="default"/>
                  </w:rPr>
                  <w:t>其他应收款（续）</w:t>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379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376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374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372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4619pt;margin-top:167.038666pt;width:110.95pt;height:13.55pt;mso-position-horizontal-relative:page;mso-position-vertical-relative:page;z-index:-913696"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4</w:t>
                </w:r>
                <w:r>
                  <w:rPr/>
                  <w:t>、</w:t>
                </w:r>
                <w:r>
                  <w:rPr>
                    <w:spacing w:val="-35"/>
                  </w:rPr>
                  <w:t> </w:t>
                </w:r>
                <w:r>
                  <w:rPr>
                    <w:rFonts w:ascii="黑体" w:hAnsi="黑体" w:cs="黑体" w:eastAsia="黑体" w:hint="default"/>
                  </w:rPr>
                  <w:t>其他应收款（续）</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367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364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362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360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357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355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352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350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348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345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343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340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336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333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331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328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324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321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319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316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314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312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309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307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302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300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297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295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292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290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288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285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283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280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278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276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305.339996pt;margin-top:209.580002pt;width:115.5pt;height:.1pt;mso-position-horizontal-relative:page;mso-position-vertical-relative:page;z-index:-912736" coordorigin="6107,4192" coordsize="2310,2">
          <v:shape style="position:absolute;left:6107;top:4192;width:2310;height:2" coordorigin="6107,4192" coordsize="2310,0" path="m6107,4192l8417,4192e" filled="false" stroked="true" strokeweight=".72pt" strokecolor="#000000">
            <v:path arrowok="t"/>
          </v:shape>
          <w10:wrap type="none"/>
        </v:group>
      </w:pict>
    </w:r>
    <w:r>
      <w:rPr/>
      <w:pict>
        <v:group style="position:absolute;margin-left:425.040009pt;margin-top:209.580002pt;width:116.6pt;height:.1pt;mso-position-horizontal-relative:page;mso-position-vertical-relative:page;z-index:-912712" coordorigin="8501,4192" coordsize="2332,2">
          <v:shape style="position:absolute;left:8501;top:4192;width:2332;height:2" coordorigin="8501,4192" coordsize="2332,0" path="m8501,4192l10832,4192e" filled="false" stroked="true" strokeweight=".72pt" strokecolor="#000000">
            <v:path arrowok="t"/>
          </v:shape>
          <w10:wrap type="none"/>
        </v:group>
      </w:pict>
    </w:r>
    <w:r>
      <w:rPr/>
      <w:pict>
        <v:shape style="position:absolute;margin-left:68.120003pt;margin-top:58.443764pt;width:155.950pt;height:13pt;mso-position-horizontal-relative:page;mso-position-vertical-relative:page;z-index:-91268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266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264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261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4619pt;margin-top:167.038666pt;width:69.95pt;height:13.55pt;mso-position-horizontal-relative:page;mso-position-vertical-relative:page;z-index:-912592"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spacing w:val="2"/>
                  </w:rPr>
                  <w:t>22</w:t>
                </w:r>
                <w:r>
                  <w:rPr>
                    <w:rFonts w:ascii="黑体" w:hAnsi="黑体" w:cs="黑体" w:eastAsia="黑体" w:hint="default"/>
                    <w:spacing w:val="2"/>
                  </w:rPr>
                  <w:t>、应付利息</w:t>
                </w:r>
              </w:p>
            </w:txbxContent>
          </v:textbox>
          <w10:wrap type="none"/>
        </v:shape>
      </w:pict>
    </w:r>
    <w:r>
      <w:rPr/>
      <w:pict>
        <v:shape style="position:absolute;margin-left:325.704437pt;margin-top:195.597641pt;width:97.7pt;height:13.55pt;mso-position-horizontal-relative:page;mso-position-vertical-relative:page;z-index:-912568" type="#_x0000_t202" filled="false" stroked="false">
          <v:textbox inset="0,0,0,0">
            <w:txbxContent>
              <w:p>
                <w:pPr>
                  <w:pStyle w:val="BodyText"/>
                  <w:spacing w:line="255" w:lineRule="exact"/>
                  <w:ind w:right="0"/>
                  <w:jc w:val="left"/>
                </w:pP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txbxContent>
          </v:textbox>
          <w10:wrap type="none"/>
        </v:shape>
      </w:pict>
    </w:r>
    <w:r>
      <w:rPr/>
      <w:pict>
        <v:shape style="position:absolute;margin-left:446.539337pt;margin-top:195.597641pt;width:97.7pt;height:13.55pt;mso-position-horizontal-relative:page;mso-position-vertical-relative:page;z-index:-912544" type="#_x0000_t202" filled="false" stroked="false">
          <v:textbox inset="0,0,0,0">
            <w:txbxContent>
              <w:p>
                <w:pPr>
                  <w:pStyle w:val="BodyText"/>
                  <w:spacing w:line="255" w:lineRule="exact"/>
                  <w:ind w:right="0"/>
                  <w:jc w:val="left"/>
                </w:pP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307.140015pt;margin-top:207.960007pt;width:115.9pt;height:.1pt;mso-position-horizontal-relative:page;mso-position-vertical-relative:page;z-index:-912520" coordorigin="6143,4159" coordsize="2318,2">
          <v:shape style="position:absolute;left:6143;top:4159;width:2318;height:2" coordorigin="6143,4159" coordsize="2318,0" path="m6143,4159l8460,4159e" filled="false" stroked="true" strokeweight=".72pt" strokecolor="#000000">
            <v:path arrowok="t"/>
          </v:shape>
          <w10:wrap type="none"/>
        </v:group>
      </w:pict>
    </w:r>
    <w:r>
      <w:rPr/>
      <w:pict>
        <v:group style="position:absolute;margin-left:427.140015pt;margin-top:207.960007pt;width:115.3pt;height:.1pt;mso-position-horizontal-relative:page;mso-position-vertical-relative:page;z-index:-912496" coordorigin="8543,4159" coordsize="2306,2">
          <v:shape style="position:absolute;left:8543;top:4159;width:2306;height:2" coordorigin="8543,4159" coordsize="2306,0" path="m8543,4159l10848,4159e" filled="false" stroked="true" strokeweight=".72pt" strokecolor="#000000">
            <v:path arrowok="t"/>
          </v:shape>
          <w10:wrap type="none"/>
        </v:group>
      </w:pict>
    </w:r>
    <w:r>
      <w:rPr/>
      <w:pict>
        <v:shape style="position:absolute;margin-left:68.120003pt;margin-top:58.443764pt;width:155.950pt;height:13pt;mso-position-horizontal-relative:page;mso-position-vertical-relative:page;z-index:-91247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244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242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240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4619pt;margin-top:167.038666pt;width:80.8pt;height:13.55pt;mso-position-horizontal-relative:page;mso-position-vertical-relative:page;z-index:-912376"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24</w:t>
                </w:r>
                <w:r>
                  <w:rPr>
                    <w:rFonts w:ascii="黑体" w:hAnsi="黑体" w:cs="黑体" w:eastAsia="黑体" w:hint="default"/>
                  </w:rPr>
                  <w:t>、其他应付款</w:t>
                </w:r>
              </w:p>
            </w:txbxContent>
          </v:textbox>
          <w10:wrap type="none"/>
        </v:shape>
      </w:pict>
    </w:r>
    <w:r>
      <w:rPr/>
      <w:pict>
        <v:shape style="position:absolute;margin-left:323.190033pt;margin-top:193.97261pt;width:97.7pt;height:13.55pt;mso-position-horizontal-relative:page;mso-position-vertical-relative:page;z-index:-912352" type="#_x0000_t202" filled="false" stroked="false">
          <v:textbox inset="0,0,0,0">
            <w:txbxContent>
              <w:p>
                <w:pPr>
                  <w:pStyle w:val="BodyText"/>
                  <w:spacing w:line="255" w:lineRule="exact"/>
                  <w:ind w:right="0"/>
                  <w:jc w:val="left"/>
                </w:pP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txbxContent>
          </v:textbox>
          <w10:wrap type="none"/>
        </v:shape>
      </w:pict>
    </w:r>
    <w:r>
      <w:rPr/>
      <w:pict>
        <v:shape style="position:absolute;margin-left:443.245331pt;margin-top:193.97261pt;width:97.7pt;height:13.55pt;mso-position-horizontal-relative:page;mso-position-vertical-relative:page;z-index:-912328" type="#_x0000_t202" filled="false" stroked="false">
          <v:textbox inset="0,0,0,0">
            <w:txbxContent>
              <w:p>
                <w:pPr>
                  <w:pStyle w:val="BodyText"/>
                  <w:spacing w:line="255" w:lineRule="exact"/>
                  <w:ind w:right="0"/>
                  <w:jc w:val="left"/>
                </w:pP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303.420013pt;margin-top:207.960007pt;width:115.4pt;height:.1pt;mso-position-horizontal-relative:page;mso-position-vertical-relative:page;z-index:-912304" coordorigin="6068,4159" coordsize="2308,2">
          <v:shape style="position:absolute;left:6068;top:4159;width:2308;height:2" coordorigin="6068,4159" coordsize="2308,0" path="m6068,4159l8376,4159e" filled="false" stroked="true" strokeweight=".72pt" strokecolor="#000000">
            <v:path arrowok="t"/>
          </v:shape>
          <w10:wrap type="none"/>
        </v:group>
      </w:pict>
    </w:r>
    <w:r>
      <w:rPr/>
      <w:pict>
        <v:group style="position:absolute;margin-left:425.519989pt;margin-top:207.960007pt;width:114.15pt;height:.1pt;mso-position-horizontal-relative:page;mso-position-vertical-relative:page;z-index:-912280" coordorigin="8510,4159" coordsize="2283,2">
          <v:shape style="position:absolute;left:8510;top:4159;width:2283;height:2" coordorigin="8510,4159" coordsize="2283,0" path="m8510,4159l10793,4159e" filled="false" stroked="true" strokeweight=".72pt" strokecolor="#000000">
            <v:path arrowok="t"/>
          </v:shape>
          <w10:wrap type="none"/>
        </v:group>
      </w:pict>
    </w:r>
    <w:r>
      <w:rPr/>
      <w:pict>
        <v:shape style="position:absolute;margin-left:68.120003pt;margin-top:58.443764pt;width:155.950pt;height:13pt;mso-position-horizontal-relative:page;mso-position-vertical-relative:page;z-index:-91225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223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220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218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4619pt;margin-top:167.038666pt;width:146.85pt;height:13.55pt;mso-position-horizontal-relative:page;mso-position-vertical-relative:page;z-index:-912160"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25</w:t>
                </w:r>
                <w:r>
                  <w:rPr>
                    <w:rFonts w:ascii="黑体" w:hAnsi="黑体" w:cs="黑体" w:eastAsia="黑体" w:hint="default"/>
                  </w:rPr>
                  <w:t>、一年内到期的非流动负债</w:t>
                </w:r>
              </w:p>
            </w:txbxContent>
          </v:textbox>
          <w10:wrap type="none"/>
        </v:shape>
      </w:pict>
    </w:r>
    <w:r>
      <w:rPr/>
      <w:pict>
        <v:shape style="position:absolute;margin-left:319.599548pt;margin-top:193.983582pt;width:97.7pt;height:13.55pt;mso-position-horizontal-relative:page;mso-position-vertical-relative:page;z-index:-912136" type="#_x0000_t202" filled="false" stroked="false">
          <v:textbox inset="0,0,0,0">
            <w:txbxContent>
              <w:p>
                <w:pPr>
                  <w:pStyle w:val="BodyText"/>
                  <w:spacing w:line="255" w:lineRule="exact"/>
                  <w:ind w:right="0"/>
                  <w:jc w:val="left"/>
                </w:pP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txbxContent>
          </v:textbox>
          <w10:wrap type="none"/>
        </v:shape>
      </w:pict>
    </w:r>
    <w:r>
      <w:rPr/>
      <w:pict>
        <v:shape style="position:absolute;margin-left:440.434448pt;margin-top:193.983582pt;width:97.7pt;height:13.55pt;mso-position-horizontal-relative:page;mso-position-vertical-relative:page;z-index:-912112" type="#_x0000_t202" filled="false" stroked="false">
          <v:textbox inset="0,0,0,0">
            <w:txbxContent>
              <w:p>
                <w:pPr>
                  <w:pStyle w:val="BodyText"/>
                  <w:spacing w:line="255" w:lineRule="exact"/>
                  <w:ind w:right="0"/>
                  <w:jc w:val="left"/>
                </w:pP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208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206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204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201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4619pt;margin-top:167.038666pt;width:69.75pt;height:13.55pt;mso-position-horizontal-relative:page;mso-position-vertical-relative:page;z-index:-911992"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26</w:t>
                </w:r>
                <w:r>
                  <w:rPr>
                    <w:rFonts w:ascii="黑体" w:hAnsi="黑体" w:cs="黑体" w:eastAsia="黑体" w:hint="default"/>
                  </w:rPr>
                  <w:t>、长期借款</w:t>
                </w:r>
              </w:p>
            </w:txbxContent>
          </v:textbox>
          <w10:wrap type="none"/>
        </v:shape>
      </w:pict>
    </w:r>
    <w:r>
      <w:rPr/>
      <w:pict>
        <v:shape style="position:absolute;margin-left:307.411774pt;margin-top:193.97261pt;width:97.7pt;height:13.55pt;mso-position-horizontal-relative:page;mso-position-vertical-relative:page;z-index:-911968" type="#_x0000_t202" filled="false" stroked="false">
          <v:textbox inset="0,0,0,0">
            <w:txbxContent>
              <w:p>
                <w:pPr>
                  <w:pStyle w:val="BodyText"/>
                  <w:spacing w:line="255" w:lineRule="exact"/>
                  <w:ind w:right="0"/>
                  <w:jc w:val="left"/>
                </w:pPr>
                <w:r>
                  <w:rPr>
                    <w:rFonts w:ascii="Arial" w:hAnsi="Arial" w:cs="Arial" w:eastAsia="Arial" w:hint="default"/>
                  </w:rPr>
                  <w:t>2009</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txbxContent>
          </v:textbox>
          <w10:wrap type="none"/>
        </v:shape>
      </w:pict>
    </w:r>
    <w:r>
      <w:rPr/>
      <w:pict>
        <v:shape style="position:absolute;margin-left:440.423492pt;margin-top:193.97261pt;width:97.7pt;height:13.55pt;mso-position-horizontal-relative:page;mso-position-vertical-relative:page;z-index:-911944" type="#_x0000_t202" filled="false" stroked="false">
          <v:textbox inset="0,0,0,0">
            <w:txbxContent>
              <w:p>
                <w:pPr>
                  <w:pStyle w:val="BodyText"/>
                  <w:spacing w:line="255" w:lineRule="exact"/>
                  <w:ind w:right="0"/>
                  <w:jc w:val="left"/>
                </w:pPr>
                <w:r>
                  <w:rPr>
                    <w:rFonts w:ascii="Arial" w:hAnsi="Arial" w:cs="Arial" w:eastAsia="Arial" w:hint="default"/>
                  </w:rPr>
                  <w:t>2008</w:t>
                </w:r>
                <w:r>
                  <w:rPr>
                    <w:rFonts w:ascii="Arial" w:hAnsi="Arial" w:cs="Arial" w:eastAsia="Arial" w:hint="default"/>
                    <w:spacing w:val="-7"/>
                  </w:rPr>
                  <w:t> </w:t>
                </w:r>
                <w:r>
                  <w:rPr/>
                  <w:t>年</w:t>
                </w:r>
                <w:r>
                  <w:rPr>
                    <w:spacing w:val="-56"/>
                  </w:rPr>
                  <w:t> </w:t>
                </w:r>
                <w:r>
                  <w:rPr>
                    <w:rFonts w:ascii="Arial" w:hAnsi="Arial" w:cs="Arial" w:eastAsia="Arial" w:hint="default"/>
                  </w:rPr>
                  <w:t>12</w:t>
                </w:r>
                <w:r>
                  <w:rPr>
                    <w:rFonts w:ascii="Arial" w:hAnsi="Arial" w:cs="Arial" w:eastAsia="Arial" w:hint="default"/>
                    <w:spacing w:val="-7"/>
                  </w:rPr>
                  <w:t> </w:t>
                </w:r>
                <w:r>
                  <w:rPr/>
                  <w:t>月</w:t>
                </w:r>
                <w:r>
                  <w:rPr>
                    <w:spacing w:val="-56"/>
                  </w:rPr>
                  <w:t> </w:t>
                </w:r>
                <w:r>
                  <w:rPr>
                    <w:rFonts w:ascii="Arial" w:hAnsi="Arial" w:cs="Arial" w:eastAsia="Arial" w:hint="default"/>
                  </w:rPr>
                  <w:t>31</w:t>
                </w:r>
                <w:r>
                  <w:rPr>
                    <w:rFonts w:ascii="Arial" w:hAnsi="Arial" w:cs="Arial" w:eastAsia="Arial" w:hint="default"/>
                    <w:spacing w:val="-7"/>
                  </w:rPr>
                  <w:t> </w:t>
                </w:r>
                <w:r>
                  <w:rPr/>
                  <w:t>日</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192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189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187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184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182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180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177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175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172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170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168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165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163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160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158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156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153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151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148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146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144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141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139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136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4619pt;margin-top:167.038666pt;width:102.15pt;height:13.55pt;mso-position-horizontal-relative:page;mso-position-vertical-relative:page;z-index:-911344"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31</w:t>
                </w:r>
                <w:r>
                  <w:rPr>
                    <w:rFonts w:ascii="黑体" w:hAnsi="黑体" w:cs="黑体" w:eastAsia="黑体" w:hint="default"/>
                  </w:rPr>
                  <w:t>、资本公积（续）</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132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129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127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124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122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120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117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115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112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110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108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105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103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100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098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096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4619pt;margin-top:167.038666pt;width:157.15pt;height:13.55pt;mso-position-horizontal-relative:page;mso-position-vertical-relative:page;z-index:-910936"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35</w:t>
                </w:r>
                <w:r>
                  <w:rPr>
                    <w:rFonts w:ascii="黑体" w:hAnsi="黑体" w:cs="黑体" w:eastAsia="黑体" w:hint="default"/>
                  </w:rPr>
                  <w:t>、营业收入和营业成本（续）</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091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088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086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084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308.640015pt;margin-top:207.960007pt;width:112.2pt;height:.1pt;mso-position-horizontal-relative:page;mso-position-vertical-relative:page;z-index:-910816" coordorigin="6173,4159" coordsize="2244,2">
          <v:shape style="position:absolute;left:6173;top:4159;width:2244;height:2" coordorigin="6173,4159" coordsize="2244,0" path="m6173,4159l8417,4159e" filled="false" stroked="true" strokeweight=".72pt" strokecolor="#000000">
            <v:path arrowok="t"/>
          </v:shape>
          <w10:wrap type="none"/>
        </v:group>
      </w:pict>
    </w:r>
    <w:r>
      <w:rPr/>
      <w:pict>
        <v:group style="position:absolute;margin-left:431.100006pt;margin-top:207.960007pt;width:110.85pt;height:.1pt;mso-position-horizontal-relative:page;mso-position-vertical-relative:page;z-index:-910792" coordorigin="8622,4159" coordsize="2217,2">
          <v:shape style="position:absolute;left:8622;top:4159;width:2217;height:2" coordorigin="8622,4159" coordsize="2217,0" path="m8622,4159l10838,4159e" filled="false" stroked="true" strokeweight=".72pt" strokecolor="#000000">
            <v:path arrowok="t"/>
          </v:shape>
          <w10:wrap type="none"/>
        </v:group>
      </w:pict>
    </w:r>
    <w:r>
      <w:rPr/>
      <w:pict>
        <v:shape style="position:absolute;margin-left:68.120003pt;margin-top:58.443764pt;width:155.950pt;height:13pt;mso-position-horizontal-relative:page;mso-position-vertical-relative:page;z-index:-91076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074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072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069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4619pt;margin-top:167.038666pt;width:69.75pt;height:13.55pt;mso-position-horizontal-relative:page;mso-position-vertical-relative:page;z-index:-910672"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39</w:t>
                </w:r>
                <w:r>
                  <w:rPr/>
                  <w:t>、</w:t>
                </w:r>
                <w:r>
                  <w:rPr>
                    <w:rFonts w:ascii="黑体" w:hAnsi="黑体" w:cs="黑体" w:eastAsia="黑体" w:hint="default"/>
                  </w:rPr>
                  <w:t>财务费用</w:t>
                </w:r>
              </w:p>
            </w:txbxContent>
          </v:textbox>
          <w10:wrap type="none"/>
        </v:shape>
      </w:pict>
    </w:r>
    <w:r>
      <w:rPr/>
      <w:pict>
        <v:shape style="position:absolute;margin-left:368.197052pt;margin-top:193.97261pt;width:51.25pt;height:13.55pt;mso-position-horizontal-relative:page;mso-position-vertical-relative:page;z-index:-910648" type="#_x0000_t202" filled="false" stroked="false">
          <v:textbox inset="0,0,0,0">
            <w:txbxContent>
              <w:p>
                <w:pPr>
                  <w:pStyle w:val="BodyText"/>
                  <w:spacing w:line="255" w:lineRule="exact"/>
                  <w:ind w:right="0"/>
                  <w:jc w:val="left"/>
                </w:pPr>
                <w:r>
                  <w:rPr>
                    <w:rFonts w:ascii="Arial" w:hAnsi="Arial" w:cs="Arial" w:eastAsia="Arial" w:hint="default"/>
                  </w:rPr>
                  <w:t>2009</w:t>
                </w:r>
                <w:r>
                  <w:rPr>
                    <w:rFonts w:ascii="Arial" w:hAnsi="Arial" w:cs="Arial" w:eastAsia="Arial" w:hint="default"/>
                    <w:spacing w:val="-8"/>
                  </w:rPr>
                  <w:t> </w:t>
                </w:r>
                <w:r>
                  <w:rPr/>
                  <w:t>年度</w:t>
                </w:r>
              </w:p>
            </w:txbxContent>
          </v:textbox>
          <w10:wrap type="none"/>
        </v:shape>
      </w:pict>
    </w:r>
    <w:r>
      <w:rPr/>
      <w:pict>
        <v:shape style="position:absolute;margin-left:487.176331pt;margin-top:193.97261pt;width:51.25pt;height:13.55pt;mso-position-horizontal-relative:page;mso-position-vertical-relative:page;z-index:-910624" type="#_x0000_t202" filled="false" stroked="false">
          <v:textbox inset="0,0,0,0">
            <w:txbxContent>
              <w:p>
                <w:pPr>
                  <w:pStyle w:val="BodyText"/>
                  <w:spacing w:line="255" w:lineRule="exact"/>
                  <w:ind w:right="0"/>
                  <w:jc w:val="left"/>
                </w:pPr>
                <w:r>
                  <w:rPr>
                    <w:rFonts w:ascii="Arial" w:hAnsi="Arial" w:cs="Arial" w:eastAsia="Arial" w:hint="default"/>
                  </w:rPr>
                  <w:t>2008</w:t>
                </w:r>
                <w:r>
                  <w:rPr>
                    <w:rFonts w:ascii="Arial" w:hAnsi="Arial" w:cs="Arial" w:eastAsia="Arial" w:hint="default"/>
                    <w:spacing w:val="-8"/>
                  </w:rPr>
                  <w:t> </w:t>
                </w:r>
                <w:r>
                  <w:rPr/>
                  <w:t>年度</w:t>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308.640015pt;margin-top:207.960007pt;width:112.2pt;height:.1pt;mso-position-horizontal-relative:page;mso-position-vertical-relative:page;z-index:-910600" coordorigin="6173,4159" coordsize="2244,2">
          <v:shape style="position:absolute;left:6173;top:4159;width:2244;height:2" coordorigin="6173,4159" coordsize="2244,0" path="m6173,4159l8417,4159e" filled="false" stroked="true" strokeweight=".72pt" strokecolor="#000000">
            <v:path arrowok="t"/>
          </v:shape>
          <w10:wrap type="none"/>
        </v:group>
      </w:pict>
    </w:r>
    <w:r>
      <w:rPr/>
      <w:pict>
        <v:group style="position:absolute;margin-left:431.100006pt;margin-top:207.960007pt;width:110.85pt;height:.1pt;mso-position-horizontal-relative:page;mso-position-vertical-relative:page;z-index:-910576" coordorigin="8622,4159" coordsize="2217,2">
          <v:shape style="position:absolute;left:8622;top:4159;width:2217;height:2" coordorigin="8622,4159" coordsize="2217,0" path="m8622,4159l10838,4159e" filled="false" stroked="true" strokeweight=".72pt" strokecolor="#000000">
            <v:path arrowok="t"/>
          </v:shape>
          <w10:wrap type="none"/>
        </v:group>
      </w:pict>
    </w:r>
    <w:r>
      <w:rPr/>
      <w:pict>
        <v:shape style="position:absolute;margin-left:68.120003pt;margin-top:58.443764pt;width:155.950pt;height:13pt;mso-position-horizontal-relative:page;mso-position-vertical-relative:page;z-index:-91055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052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050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048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4619pt;margin-top:167.038666pt;width:91.85pt;height:13.55pt;mso-position-horizontal-relative:page;mso-position-vertical-relative:page;z-index:-910456"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42</w:t>
                </w:r>
                <w:r>
                  <w:rPr>
                    <w:rFonts w:ascii="黑体" w:hAnsi="黑体" w:cs="黑体" w:eastAsia="黑体" w:hint="default"/>
                  </w:rPr>
                  <w:t>、资产减值损失</w:t>
                </w:r>
              </w:p>
            </w:txbxContent>
          </v:textbox>
          <w10:wrap type="none"/>
        </v:shape>
      </w:pict>
    </w:r>
    <w:r>
      <w:rPr/>
      <w:pict>
        <v:shape style="position:absolute;margin-left:369.273071pt;margin-top:193.97261pt;width:51.25pt;height:13.55pt;mso-position-horizontal-relative:page;mso-position-vertical-relative:page;z-index:-910432" type="#_x0000_t202" filled="false" stroked="false">
          <v:textbox inset="0,0,0,0">
            <w:txbxContent>
              <w:p>
                <w:pPr>
                  <w:pStyle w:val="BodyText"/>
                  <w:spacing w:line="255" w:lineRule="exact"/>
                  <w:ind w:right="0"/>
                  <w:jc w:val="left"/>
                </w:pPr>
                <w:r>
                  <w:rPr>
                    <w:rFonts w:ascii="Arial" w:hAnsi="Arial" w:cs="Arial" w:eastAsia="Arial" w:hint="default"/>
                  </w:rPr>
                  <w:t>2009</w:t>
                </w:r>
                <w:r>
                  <w:rPr>
                    <w:rFonts w:ascii="Arial" w:hAnsi="Arial" w:cs="Arial" w:eastAsia="Arial" w:hint="default"/>
                    <w:spacing w:val="-8"/>
                  </w:rPr>
                  <w:t> </w:t>
                </w:r>
                <w:r>
                  <w:rPr/>
                  <w:t>年度</w:t>
                </w:r>
              </w:p>
            </w:txbxContent>
          </v:textbox>
          <w10:wrap type="none"/>
        </v:shape>
      </w:pict>
    </w:r>
    <w:r>
      <w:rPr/>
      <w:pict>
        <v:shape style="position:absolute;margin-left:487.890015pt;margin-top:193.97261pt;width:51.25pt;height:13.55pt;mso-position-horizontal-relative:page;mso-position-vertical-relative:page;z-index:-910408" type="#_x0000_t202" filled="false" stroked="false">
          <v:textbox inset="0,0,0,0">
            <w:txbxContent>
              <w:p>
                <w:pPr>
                  <w:pStyle w:val="BodyText"/>
                  <w:spacing w:line="255" w:lineRule="exact"/>
                  <w:ind w:right="0"/>
                  <w:jc w:val="left"/>
                </w:pPr>
                <w:r>
                  <w:rPr>
                    <w:rFonts w:ascii="Arial" w:hAnsi="Arial" w:cs="Arial" w:eastAsia="Arial" w:hint="default"/>
                  </w:rPr>
                  <w:t>2008</w:t>
                </w:r>
                <w:r>
                  <w:rPr>
                    <w:rFonts w:ascii="Arial" w:hAnsi="Arial" w:cs="Arial" w:eastAsia="Arial" w:hint="default"/>
                    <w:spacing w:val="-8"/>
                  </w:rPr>
                  <w:t> </w:t>
                </w:r>
                <w:r>
                  <w:rPr/>
                  <w:t>年度</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038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036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033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031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4619pt;margin-top:167.038666pt;width:113.8pt;height:13.55pt;mso-position-horizontal-relative:page;mso-position-vertical-relative:page;z-index:-910288"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43</w:t>
                </w:r>
                <w:r>
                  <w:rPr/>
                  <w:t>、</w:t>
                </w:r>
                <w:r>
                  <w:rPr>
                    <w:rFonts w:ascii="黑体" w:hAnsi="黑体" w:cs="黑体" w:eastAsia="黑体" w:hint="default"/>
                  </w:rPr>
                  <w:t>营业外收入（续）</w:t>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026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024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021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019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4619pt;margin-top:167.038666pt;width:91.85pt;height:13.55pt;mso-position-horizontal-relative:page;mso-position-vertical-relative:page;z-index:-910168"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45</w:t>
                </w:r>
                <w:r>
                  <w:rPr>
                    <w:rFonts w:ascii="黑体" w:hAnsi="黑体" w:cs="黑体" w:eastAsia="黑体" w:hint="default"/>
                  </w:rPr>
                  <w:t>、所得税（续）</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014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012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1009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1007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4619pt;margin-top:167.038666pt;width:91.2pt;height:13.55pt;mso-position-horizontal-relative:page;mso-position-vertical-relative:page;z-index:-910048"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45</w:t>
                </w:r>
                <w:r>
                  <w:rPr>
                    <w:rFonts w:ascii="黑体" w:hAnsi="黑体" w:cs="黑体" w:eastAsia="黑体" w:hint="default"/>
                  </w:rPr>
                  <w:t>、所得税（续）</w:t>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1002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1000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0997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0995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4619pt;margin-top:167.038666pt;width:91.2pt;height:13.55pt;mso-position-horizontal-relative:page;mso-position-vertical-relative:page;z-index:-909928"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45</w:t>
                </w:r>
                <w:r>
                  <w:rPr>
                    <w:rFonts w:ascii="黑体" w:hAnsi="黑体" w:cs="黑体" w:eastAsia="黑体" w:hint="default"/>
                  </w:rPr>
                  <w:t>、所得税（续）</w:t>
                </w:r>
              </w:p>
            </w:txbxContent>
          </v:textbox>
          <w10:wrap type="none"/>
        </v:shape>
      </w:pict>
    </w:r>
    <w:r>
      <w:rPr/>
      <w:pict>
        <v:shape style="position:absolute;margin-left:68.120003pt;margin-top:191.283768pt;width:353.75pt;height:13.55pt;mso-position-horizontal-relative:page;mso-position-vertical-relative:page;z-index:-909904" type="#_x0000_t202" filled="false" stroked="false">
          <v:textbox inset="0,0,0,0">
            <w:txbxContent>
              <w:p>
                <w:pPr>
                  <w:pStyle w:val="BodyText"/>
                  <w:spacing w:line="255" w:lineRule="exact"/>
                  <w:ind w:right="0"/>
                  <w:jc w:val="left"/>
                </w:pPr>
                <w:r>
                  <w:rPr>
                    <w:rFonts w:ascii="Arial" w:hAnsi="Arial" w:cs="Arial" w:eastAsia="Arial" w:hint="default"/>
                  </w:rPr>
                  <w:t>(3) </w:t>
                </w:r>
                <w:r>
                  <w:rPr>
                    <w:rFonts w:ascii="Arial" w:hAnsi="Arial" w:cs="Arial" w:eastAsia="Arial" w:hint="default"/>
                    <w:spacing w:val="41"/>
                  </w:rPr>
                  <w:t> </w:t>
                </w:r>
                <w:r>
                  <w:rPr/>
                  <w:t>递延所得税资产及负债包括以下暂时性差异对所得税的影响（续）：</w:t>
                </w:r>
              </w:p>
            </w:txbxContent>
          </v:textbox>
          <w10:wrap type="none"/>
        </v:shape>
      </w:pict>
    </w:r>
    <w:r>
      <w:rPr/>
      <w:pict>
        <v:shape style="position:absolute;margin-left:68.120003pt;margin-top:215.582504pt;width:111pt;height:13.55pt;mso-position-horizontal-relative:page;mso-position-vertical-relative:page;z-index:-909880" type="#_x0000_t202" filled="false" stroked="false">
          <v:textbox inset="0,0,0,0">
            <w:txbxContent>
              <w:p>
                <w:pPr>
                  <w:pStyle w:val="BodyText"/>
                  <w:spacing w:line="255" w:lineRule="exact"/>
                  <w:ind w:right="0"/>
                  <w:jc w:val="left"/>
                </w:pPr>
                <w:r>
                  <w:rPr>
                    <w:rFonts w:ascii="Arial" w:hAnsi="Arial" w:cs="Arial" w:eastAsia="Arial" w:hint="default"/>
                  </w:rPr>
                  <w:t>(ii) </w:t>
                </w:r>
                <w:r>
                  <w:rPr>
                    <w:rFonts w:ascii="Arial" w:hAnsi="Arial" w:cs="Arial" w:eastAsia="Arial" w:hint="default"/>
                    <w:spacing w:val="51"/>
                  </w:rPr>
                  <w:t> </w:t>
                </w:r>
                <w:r>
                  <w:rPr/>
                  <w:t>递延所得税负债：</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0985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0983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0980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0978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4619pt;margin-top:167.038666pt;width:91.2pt;height:13.55pt;mso-position-horizontal-relative:page;mso-position-vertical-relative:page;z-index:-909760"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45</w:t>
                </w:r>
                <w:r>
                  <w:rPr>
                    <w:rFonts w:ascii="黑体" w:hAnsi="黑体" w:cs="黑体" w:eastAsia="黑体" w:hint="default"/>
                  </w:rPr>
                  <w:t>、所得税（续）</w:t>
                </w:r>
              </w:p>
            </w:txbxContent>
          </v:textbox>
          <w10:wrap type="none"/>
        </v:shape>
      </w:pict>
    </w:r>
    <w:r>
      <w:rPr/>
      <w:pict>
        <v:shape style="position:absolute;margin-left:68.844681pt;margin-top:193.97818pt;width:354.4pt;height:13.55pt;mso-position-horizontal-relative:page;mso-position-vertical-relative:page;z-index:-909736" type="#_x0000_t202" filled="false" stroked="false">
          <v:textbox inset="0,0,0,0">
            <w:txbxContent>
              <w:p>
                <w:pPr>
                  <w:pStyle w:val="BodyText"/>
                  <w:spacing w:line="255" w:lineRule="exact"/>
                  <w:ind w:right="0"/>
                  <w:jc w:val="left"/>
                </w:pPr>
                <w:r>
                  <w:rPr>
                    <w:rFonts w:ascii="Arial" w:hAnsi="Arial" w:cs="Arial" w:eastAsia="Arial" w:hint="default"/>
                  </w:rPr>
                  <w:t>(3) </w:t>
                </w:r>
                <w:r>
                  <w:rPr>
                    <w:rFonts w:ascii="Arial" w:hAnsi="Arial" w:cs="Arial" w:eastAsia="Arial" w:hint="default"/>
                    <w:spacing w:val="54"/>
                  </w:rPr>
                  <w:t> </w:t>
                </w:r>
                <w:r>
                  <w:rPr/>
                  <w:t>递延所得税资产及负债包括以下暂时性差异对所得税的影响（续）：</w:t>
                </w:r>
              </w:p>
            </w:txbxContent>
          </v:textbox>
          <w10:wrap type="none"/>
        </v:shape>
      </w:pict>
    </w:r>
    <w:r>
      <w:rPr/>
      <w:pict>
        <v:shape style="position:absolute;margin-left:68.130981pt;margin-top:220.857224pt;width:144.050pt;height:13.55pt;mso-position-horizontal-relative:page;mso-position-vertical-relative:page;z-index:-909712" type="#_x0000_t202" filled="false" stroked="false">
          <v:textbox inset="0,0,0,0">
            <w:txbxContent>
              <w:p>
                <w:pPr>
                  <w:pStyle w:val="BodyText"/>
                  <w:spacing w:line="255" w:lineRule="exact"/>
                  <w:ind w:right="0"/>
                  <w:jc w:val="left"/>
                </w:pPr>
                <w:r>
                  <w:rPr>
                    <w:rFonts w:ascii="Arial" w:hAnsi="Arial" w:cs="Arial" w:eastAsia="Arial" w:hint="default"/>
                  </w:rPr>
                  <w:t>(ii) </w:t>
                </w:r>
                <w:r>
                  <w:rPr>
                    <w:rFonts w:ascii="Arial" w:hAnsi="Arial" w:cs="Arial" w:eastAsia="Arial" w:hint="default"/>
                    <w:spacing w:val="52"/>
                  </w:rPr>
                  <w:t> </w:t>
                </w:r>
                <w:r>
                  <w:rPr/>
                  <w:t>递延所得税负债（续）：</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0966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0964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0961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0959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124619pt;margin-top:167.038666pt;width:102.15pt;height:13.55pt;mso-position-horizontal-relative:page;mso-position-vertical-relative:page;z-index:-909568"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46</w:t>
                </w:r>
                <w:r>
                  <w:rPr>
                    <w:rFonts w:ascii="黑体" w:hAnsi="黑体" w:cs="黑体" w:eastAsia="黑体" w:hint="default"/>
                  </w:rPr>
                  <w:t>、股份支付（续）</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0954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0952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0949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0947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r>
      <w:rPr/>
      <w:pict>
        <v:shape style="position:absolute;margin-left:68.838318pt;margin-top:167.038666pt;width:102.15pt;height:13.55pt;mso-position-horizontal-relative:page;mso-position-vertical-relative:page;z-index:-909448" type="#_x0000_t202" filled="false" stroked="false">
          <v:textbox inset="0,0,0,0">
            <w:txbxContent>
              <w:p>
                <w:pPr>
                  <w:pStyle w:val="BodyText"/>
                  <w:spacing w:line="255" w:lineRule="exact"/>
                  <w:ind w:right="0"/>
                  <w:jc w:val="left"/>
                  <w:rPr>
                    <w:rFonts w:ascii="黑体" w:hAnsi="黑体" w:cs="黑体" w:eastAsia="黑体" w:hint="default"/>
                  </w:rPr>
                </w:pPr>
                <w:r>
                  <w:rPr>
                    <w:rFonts w:ascii="Arial" w:hAnsi="Arial" w:cs="Arial" w:eastAsia="Arial" w:hint="default"/>
                  </w:rPr>
                  <w:t>46</w:t>
                </w:r>
                <w:r>
                  <w:rPr>
                    <w:rFonts w:ascii="黑体" w:hAnsi="黑体" w:cs="黑体" w:eastAsia="黑体" w:hint="default"/>
                  </w:rPr>
                  <w:t>、股份支付（续）</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0942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09400"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0937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0935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0932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0930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0928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0925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0923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0920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0918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0916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0913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0911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41.303757pt;width:13pt;height:13pt;mso-position-horizontal-relative:page;mso-position-vertical-relative:page;z-index:-90908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w w:val="99"/>
                  </w:rPr>
                  <w:t>五</w:t>
                </w:r>
                <w:r>
                  <w:rPr>
                    <w:rFonts w:ascii="黑体" w:hAnsi="黑体" w:cs="黑体" w:eastAsia="黑体" w:hint="default"/>
                  </w:rPr>
                </w:r>
              </w:p>
            </w:txbxContent>
          </v:textbox>
          <w10:wrap type="none"/>
        </v:shape>
      </w:pict>
    </w:r>
    <w:r>
      <w:rPr/>
      <w:pict>
        <v:shape style="position:absolute;margin-left:91.221916pt;margin-top:141.303757pt;width:145pt;height:13pt;mso-position-horizontal-relative:page;mso-position-vertical-relative:page;z-index:-909064"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合并财务报表项目附注（续）</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58.443764pt;width:155.950pt;height:13pt;mso-position-horizontal-relative:page;mso-position-vertical-relative:page;z-index:-90904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86.99176pt;width:200pt;height:41.5pt;mso-position-horizontal-relative:page;mso-position-vertical-relative:page;z-index:-90901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47.403763pt;width:155.950pt;height:13pt;mso-position-horizontal-relative:page;mso-position-vertical-relative:page;z-index:-908992"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75.951759pt;width:200pt;height:41.5pt;mso-position-horizontal-relative:page;mso-position-vertical-relative:page;z-index:-908968"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47.403763pt;width:155.950pt;height:13pt;mso-position-horizontal-relative:page;mso-position-vertical-relative:page;z-index:-908920"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75.951759pt;width:200pt;height:41.5pt;mso-position-horizontal-relative:page;mso-position-vertical-relative:page;z-index:-908896"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33.003845pt;width:156.5pt;height:13pt;mso-position-horizontal-relative:page;mso-position-vertical-relative:page;z-index:-908872" type="#_x0000_t202" filled="false" stroked="false">
          <v:textbox inset="0,0,0,0">
            <w:txbxContent>
              <w:p>
                <w:pPr>
                  <w:pStyle w:val="BodyText"/>
                  <w:tabs>
                    <w:tab w:pos="469" w:val="left" w:leader="none"/>
                  </w:tabs>
                  <w:spacing w:line="240" w:lineRule="exact"/>
                  <w:ind w:right="0"/>
                  <w:jc w:val="left"/>
                  <w:rPr>
                    <w:rFonts w:ascii="黑体" w:hAnsi="黑体" w:cs="黑体" w:eastAsia="黑体" w:hint="default"/>
                  </w:rPr>
                </w:pPr>
                <w:r>
                  <w:rPr>
                    <w:rFonts w:ascii="黑体" w:hAnsi="黑体" w:cs="黑体" w:eastAsia="黑体" w:hint="default"/>
                    <w:w w:val="95"/>
                  </w:rPr>
                  <w:t>七</w:t>
                  <w:tab/>
                </w:r>
                <w:r>
                  <w:rPr>
                    <w:rFonts w:ascii="黑体" w:hAnsi="黑体" w:cs="黑体" w:eastAsia="黑体" w:hint="default"/>
                  </w:rPr>
                  <w:t>关联方关系及其交易（续）</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47.403763pt;width:155.950pt;height:13pt;mso-position-horizontal-relative:page;mso-position-vertical-relative:page;z-index:-908848"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75.951759pt;width:200pt;height:41.5pt;mso-position-horizontal-relative:page;mso-position-vertical-relative:page;z-index:-908824"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33.003845pt;width:156.5pt;height:13pt;mso-position-horizontal-relative:page;mso-position-vertical-relative:page;z-index:-908800" type="#_x0000_t202" filled="false" stroked="false">
          <v:textbox inset="0,0,0,0">
            <w:txbxContent>
              <w:p>
                <w:pPr>
                  <w:pStyle w:val="BodyText"/>
                  <w:tabs>
                    <w:tab w:pos="469" w:val="left" w:leader="none"/>
                  </w:tabs>
                  <w:spacing w:line="240" w:lineRule="exact"/>
                  <w:ind w:right="0"/>
                  <w:jc w:val="left"/>
                  <w:rPr>
                    <w:rFonts w:ascii="黑体" w:hAnsi="黑体" w:cs="黑体" w:eastAsia="黑体" w:hint="default"/>
                  </w:rPr>
                </w:pPr>
                <w:r>
                  <w:rPr>
                    <w:rFonts w:ascii="黑体" w:hAnsi="黑体" w:cs="黑体" w:eastAsia="黑体" w:hint="default"/>
                    <w:w w:val="95"/>
                  </w:rPr>
                  <w:t>七</w:t>
                  <w:tab/>
                </w:r>
                <w:r>
                  <w:rPr>
                    <w:rFonts w:ascii="黑体" w:hAnsi="黑体" w:cs="黑体" w:eastAsia="黑体" w:hint="default"/>
                  </w:rPr>
                  <w:t>关联方关系及其交易（续）</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8.120003pt;margin-top:47.403763pt;width:155.950pt;height:13pt;mso-position-horizontal-relative:page;mso-position-vertical-relative:page;z-index:-908776" type="#_x0000_t202" filled="false" stroked="false">
          <v:textbox inset="0,0,0,0">
            <w:txbxContent>
              <w:p>
                <w:pPr>
                  <w:pStyle w:val="BodyText"/>
                  <w:spacing w:line="240" w:lineRule="exact"/>
                  <w:ind w:right="0"/>
                  <w:jc w:val="left"/>
                  <w:rPr>
                    <w:rFonts w:ascii="黑体" w:hAnsi="黑体" w:cs="黑体" w:eastAsia="黑体" w:hint="default"/>
                  </w:rPr>
                </w:pPr>
                <w:r>
                  <w:rPr>
                    <w:rFonts w:ascii="黑体" w:hAnsi="黑体" w:cs="黑体" w:eastAsia="黑体" w:hint="default"/>
                  </w:rPr>
                  <w:t>中国联合网络通信股份有限公司</w:t>
                </w:r>
              </w:p>
            </w:txbxContent>
          </v:textbox>
          <w10:wrap type="none"/>
        </v:shape>
      </w:pict>
    </w:r>
    <w:r>
      <w:rPr/>
      <w:pict>
        <v:shape style="position:absolute;margin-left:68.120003pt;margin-top:75.951759pt;width:200pt;height:41.5pt;mso-position-horizontal-relative:page;mso-position-vertical-relative:page;z-index:-908752" type="#_x0000_t202" filled="false" stroked="false">
          <v:textbox inset="0,0,0,0">
            <w:txbxContent>
              <w:p>
                <w:pPr>
                  <w:pStyle w:val="BodyText"/>
                  <w:spacing w:line="238" w:lineRule="exact"/>
                  <w:ind w:right="0"/>
                  <w:jc w:val="left"/>
                  <w:rPr>
                    <w:rFonts w:ascii="黑体" w:hAnsi="黑体" w:cs="黑体" w:eastAsia="黑体" w:hint="default"/>
                  </w:rPr>
                </w:pPr>
                <w:r>
                  <w:rPr>
                    <w:rFonts w:ascii="黑体" w:hAnsi="黑体" w:cs="黑体" w:eastAsia="黑体" w:hint="default"/>
                  </w:rPr>
                  <w:t>财务报表附注</w:t>
                </w:r>
              </w:p>
              <w:p>
                <w:pPr>
                  <w:pStyle w:val="BodyText"/>
                  <w:spacing w:line="293" w:lineRule="exact"/>
                  <w:ind w:right="0"/>
                  <w:jc w:val="left"/>
                  <w:rPr>
                    <w:rFonts w:ascii="黑体" w:hAnsi="黑体" w:cs="黑体" w:eastAsia="黑体" w:hint="default"/>
                  </w:rPr>
                </w:pPr>
                <w:r>
                  <w:rPr>
                    <w:rFonts w:ascii="Arial" w:hAnsi="Arial" w:cs="Arial" w:eastAsia="Arial" w:hint="default"/>
                  </w:rPr>
                  <w:t>2009</w:t>
                </w:r>
                <w:r>
                  <w:rPr>
                    <w:rFonts w:ascii="Arial" w:hAnsi="Arial" w:cs="Arial" w:eastAsia="Arial" w:hint="default"/>
                    <w:spacing w:val="-8"/>
                  </w:rPr>
                  <w:t> </w:t>
                </w:r>
                <w:r>
                  <w:rPr>
                    <w:rFonts w:ascii="黑体" w:hAnsi="黑体" w:cs="黑体" w:eastAsia="黑体" w:hint="default"/>
                  </w:rPr>
                  <w:t>年度</w:t>
                </w:r>
              </w:p>
              <w:p>
                <w:pPr>
                  <w:pStyle w:val="BodyText"/>
                  <w:spacing w:line="279" w:lineRule="exact"/>
                  <w:ind w:right="0"/>
                  <w:jc w:val="left"/>
                  <w:rPr>
                    <w:rFonts w:ascii="黑体" w:hAnsi="黑体" w:cs="黑体" w:eastAsia="黑体" w:hint="default"/>
                  </w:rPr>
                </w:pPr>
                <w:r>
                  <w:rPr>
                    <w:rFonts w:ascii="黑体" w:hAnsi="黑体" w:cs="黑体" w:eastAsia="黑体" w:hint="default"/>
                  </w:rPr>
                  <w:t>（除特别注明外，金额单位为人民币元）</w:t>
                </w:r>
              </w:p>
            </w:txbxContent>
          </v:textbox>
          <w10:wrap type="none"/>
        </v:shape>
      </w:pict>
    </w:r>
    <w:r>
      <w:rPr/>
      <w:pict>
        <v:shape style="position:absolute;margin-left:68.120003pt;margin-top:133.003845pt;width:156.5pt;height:13pt;mso-position-horizontal-relative:page;mso-position-vertical-relative:page;z-index:-908728" type="#_x0000_t202" filled="false" stroked="false">
          <v:textbox inset="0,0,0,0">
            <w:txbxContent>
              <w:p>
                <w:pPr>
                  <w:pStyle w:val="BodyText"/>
                  <w:tabs>
                    <w:tab w:pos="469" w:val="left" w:leader="none"/>
                  </w:tabs>
                  <w:spacing w:line="240" w:lineRule="exact"/>
                  <w:ind w:right="0"/>
                  <w:jc w:val="left"/>
                  <w:rPr>
                    <w:rFonts w:ascii="黑体" w:hAnsi="黑体" w:cs="黑体" w:eastAsia="黑体" w:hint="default"/>
                  </w:rPr>
                </w:pPr>
                <w:r>
                  <w:rPr>
                    <w:rFonts w:ascii="黑体" w:hAnsi="黑体" w:cs="黑体" w:eastAsia="黑体" w:hint="default"/>
                    <w:w w:val="95"/>
                  </w:rPr>
                  <w:t>七</w:t>
                  <w:tab/>
                </w:r>
                <w:r>
                  <w:rPr>
                    <w:rFonts w:ascii="黑体" w:hAnsi="黑体" w:cs="黑体" w:eastAsia="黑体" w:hint="default"/>
                  </w:rPr>
                  <w:t>关联方关系及其交易（续）</w:t>
                </w:r>
              </w:p>
            </w:txbxContent>
          </v:textbox>
          <w10:wrap type="none"/>
        </v:shape>
      </w:pict>
    </w:r>
    <w:r>
      <w:rPr/>
      <w:pict>
        <v:shape style="position:absolute;margin-left:68.109016pt;margin-top:161.507919pt;width:100pt;height:13.55pt;mso-position-horizontal-relative:page;mso-position-vertical-relative:page;z-index:-908704" type="#_x0000_t202" filled="false" stroked="false">
          <v:textbox inset="0,0,0,0">
            <w:txbxContent>
              <w:p>
                <w:pPr>
                  <w:pStyle w:val="BodyText"/>
                  <w:spacing w:line="255" w:lineRule="exact"/>
                  <w:ind w:right="0"/>
                  <w:jc w:val="left"/>
                </w:pPr>
                <w:r>
                  <w:rPr>
                    <w:rFonts w:ascii="Arial" w:hAnsi="Arial" w:cs="Arial" w:eastAsia="Arial" w:hint="default"/>
                  </w:rPr>
                  <w:t>4</w:t>
                </w:r>
                <w:r>
                  <w:rPr/>
                  <w:t>、</w:t>
                </w:r>
                <w:r>
                  <w:rPr>
                    <w:spacing w:val="-35"/>
                  </w:rPr>
                  <w:t> </w:t>
                </w:r>
                <w:r>
                  <w:rPr/>
                  <w:t>关联交易（续）</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ind w:left="149"/>
    </w:pPr>
    <w:rPr>
      <w:rFonts w:ascii="宋体" w:hAnsi="宋体" w:eastAsia="宋体"/>
      <w:sz w:val="21"/>
      <w:szCs w:val="21"/>
    </w:rPr>
  </w:style>
  <w:style w:styleId="BodyText" w:type="paragraph">
    <w:name w:val="Body Text"/>
    <w:basedOn w:val="Normal"/>
    <w:uiPriority w:val="1"/>
    <w:qFormat/>
    <w:pPr>
      <w:ind w:left="20"/>
    </w:pPr>
    <w:rPr>
      <w:rFonts w:ascii="宋体" w:hAnsi="宋体" w:eastAsia="宋体"/>
      <w:sz w:val="22"/>
      <w:szCs w:val="22"/>
    </w:rPr>
  </w:style>
  <w:style w:styleId="Heading1" w:type="paragraph">
    <w:name w:val="Heading 1"/>
    <w:basedOn w:val="Normal"/>
    <w:uiPriority w:val="1"/>
    <w:qFormat/>
    <w:pPr>
      <w:ind w:left="652"/>
      <w:outlineLvl w:val="1"/>
    </w:pPr>
    <w:rPr>
      <w:rFonts w:ascii="华文行楷" w:hAnsi="华文行楷" w:eastAsia="华文行楷"/>
      <w:b/>
      <w:bCs/>
      <w:sz w:val="52"/>
      <w:szCs w:val="52"/>
    </w:rPr>
  </w:style>
  <w:style w:styleId="Heading2" w:type="paragraph">
    <w:name w:val="Heading 2"/>
    <w:basedOn w:val="Normal"/>
    <w:uiPriority w:val="1"/>
    <w:qFormat/>
    <w:pPr>
      <w:outlineLvl w:val="2"/>
    </w:pPr>
    <w:rPr>
      <w:rFonts w:ascii="Microsoft JhengHei" w:hAnsi="Microsoft JhengHei" w:eastAsia="Microsoft JhengHei"/>
      <w:b/>
      <w:bCs/>
      <w:sz w:val="44"/>
      <w:szCs w:val="44"/>
    </w:rPr>
  </w:style>
  <w:style w:styleId="Heading3" w:type="paragraph">
    <w:name w:val="Heading 3"/>
    <w:basedOn w:val="Normal"/>
    <w:uiPriority w:val="1"/>
    <w:qFormat/>
    <w:pPr>
      <w:ind w:left="120"/>
      <w:outlineLvl w:val="3"/>
    </w:pPr>
    <w:rPr>
      <w:rFonts w:ascii="黑体" w:hAnsi="黑体" w:eastAsia="黑体"/>
      <w:b/>
      <w:bCs/>
      <w:sz w:val="36"/>
      <w:szCs w:val="36"/>
    </w:rPr>
  </w:style>
  <w:style w:styleId="Heading4" w:type="paragraph">
    <w:name w:val="Heading 4"/>
    <w:basedOn w:val="Normal"/>
    <w:uiPriority w:val="1"/>
    <w:qFormat/>
    <w:pPr>
      <w:ind w:left="120"/>
      <w:outlineLvl w:val="4"/>
    </w:pPr>
    <w:rPr>
      <w:rFonts w:ascii="黑体" w:hAnsi="黑体" w:eastAsia="黑体"/>
      <w:b/>
      <w:bCs/>
      <w:sz w:val="30"/>
      <w:szCs w:val="30"/>
    </w:rPr>
  </w:style>
  <w:style w:styleId="Heading5" w:type="paragraph">
    <w:name w:val="Heading 5"/>
    <w:basedOn w:val="Normal"/>
    <w:uiPriority w:val="1"/>
    <w:qFormat/>
    <w:pPr>
      <w:ind w:left="426"/>
      <w:outlineLvl w:val="5"/>
    </w:pPr>
    <w:rPr>
      <w:rFonts w:ascii="黑体" w:hAnsi="黑体" w:eastAsia="黑体"/>
      <w:sz w:val="30"/>
      <w:szCs w:val="30"/>
    </w:rPr>
  </w:style>
  <w:style w:styleId="Heading6" w:type="paragraph">
    <w:name w:val="Heading 6"/>
    <w:basedOn w:val="Normal"/>
    <w:uiPriority w:val="1"/>
    <w:qFormat/>
    <w:pPr>
      <w:ind w:left="119"/>
      <w:outlineLvl w:val="6"/>
    </w:pPr>
    <w:rPr>
      <w:rFonts w:ascii="黑体" w:hAnsi="黑体" w:eastAsia="黑体"/>
      <w:b/>
      <w:bCs/>
      <w:sz w:val="28"/>
      <w:szCs w:val="28"/>
    </w:rPr>
  </w:style>
  <w:style w:styleId="Heading7" w:type="paragraph">
    <w:name w:val="Heading 7"/>
    <w:basedOn w:val="Normal"/>
    <w:uiPriority w:val="1"/>
    <w:qFormat/>
    <w:pPr>
      <w:ind w:left="120"/>
      <w:outlineLvl w:val="7"/>
    </w:pPr>
    <w:rPr>
      <w:rFonts w:ascii="宋体" w:hAnsi="宋体" w:eastAsia="宋体"/>
      <w:sz w:val="28"/>
      <w:szCs w:val="28"/>
    </w:rPr>
  </w:style>
  <w:style w:styleId="Heading8" w:type="paragraph">
    <w:name w:val="Heading 8"/>
    <w:basedOn w:val="Normal"/>
    <w:uiPriority w:val="1"/>
    <w:qFormat/>
    <w:pPr>
      <w:ind w:left="149"/>
      <w:outlineLvl w:val="8"/>
    </w:pPr>
    <w:rPr>
      <w:rFonts w:ascii="宋体" w:hAnsi="宋体" w:eastAsia="宋体"/>
      <w:b/>
      <w:bCs/>
      <w:sz w:val="22"/>
      <w:szCs w:val="2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mailto:zhangby@chinaunicom-a.com" TargetMode="External"/><Relationship Id="rId9" Type="http://schemas.openxmlformats.org/officeDocument/2006/relationships/hyperlink" Target="mailto:yangjy@chinaunicom-a.com" TargetMode="External"/><Relationship Id="rId10" Type="http://schemas.openxmlformats.org/officeDocument/2006/relationships/hyperlink" Target="http://www.chinaunicom-a.com/" TargetMode="External"/><Relationship Id="rId11" Type="http://schemas.openxmlformats.org/officeDocument/2006/relationships/hyperlink" Target="mailto:ir@chinaunicom-a.com" TargetMode="External"/><Relationship Id="rId12" Type="http://schemas.openxmlformats.org/officeDocument/2006/relationships/hyperlink" Target="http://www.sse.com.cn/" TargetMode="External"/><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image" Target="media/image3.png"/><Relationship Id="rId18" Type="http://schemas.openxmlformats.org/officeDocument/2006/relationships/hyperlink" Target="http://www.pwccn.com/" TargetMode="External"/><Relationship Id="rId19" Type="http://schemas.openxmlformats.org/officeDocument/2006/relationships/header" Target="header4.xml"/><Relationship Id="rId20" Type="http://schemas.openxmlformats.org/officeDocument/2006/relationships/footer" Target="footer4.xml"/><Relationship Id="rId21" Type="http://schemas.openxmlformats.org/officeDocument/2006/relationships/header" Target="header5.xml"/><Relationship Id="rId22" Type="http://schemas.openxmlformats.org/officeDocument/2006/relationships/footer" Target="footer5.xml"/><Relationship Id="rId23" Type="http://schemas.openxmlformats.org/officeDocument/2006/relationships/header" Target="header6.xml"/><Relationship Id="rId24" Type="http://schemas.openxmlformats.org/officeDocument/2006/relationships/footer" Target="footer6.xml"/><Relationship Id="rId25" Type="http://schemas.openxmlformats.org/officeDocument/2006/relationships/header" Target="header7.xml"/><Relationship Id="rId26" Type="http://schemas.openxmlformats.org/officeDocument/2006/relationships/footer" Target="footer7.xml"/><Relationship Id="rId27" Type="http://schemas.openxmlformats.org/officeDocument/2006/relationships/header" Target="header8.xml"/><Relationship Id="rId28" Type="http://schemas.openxmlformats.org/officeDocument/2006/relationships/footer" Target="footer8.xml"/><Relationship Id="rId29" Type="http://schemas.openxmlformats.org/officeDocument/2006/relationships/header" Target="header9.xml"/><Relationship Id="rId30" Type="http://schemas.openxmlformats.org/officeDocument/2006/relationships/footer" Target="footer9.xml"/><Relationship Id="rId31" Type="http://schemas.openxmlformats.org/officeDocument/2006/relationships/header" Target="header10.xml"/><Relationship Id="rId32" Type="http://schemas.openxmlformats.org/officeDocument/2006/relationships/footer" Target="footer10.xml"/><Relationship Id="rId33" Type="http://schemas.openxmlformats.org/officeDocument/2006/relationships/header" Target="header11.xml"/><Relationship Id="rId34" Type="http://schemas.openxmlformats.org/officeDocument/2006/relationships/footer" Target="footer11.xml"/><Relationship Id="rId35" Type="http://schemas.openxmlformats.org/officeDocument/2006/relationships/header" Target="header12.xml"/><Relationship Id="rId36" Type="http://schemas.openxmlformats.org/officeDocument/2006/relationships/header" Target="header13.xml"/><Relationship Id="rId37" Type="http://schemas.openxmlformats.org/officeDocument/2006/relationships/header" Target="header14.xml"/><Relationship Id="rId38" Type="http://schemas.openxmlformats.org/officeDocument/2006/relationships/header" Target="header15.xml"/><Relationship Id="rId39" Type="http://schemas.openxmlformats.org/officeDocument/2006/relationships/header" Target="header16.xml"/><Relationship Id="rId40" Type="http://schemas.openxmlformats.org/officeDocument/2006/relationships/header" Target="header17.xml"/><Relationship Id="rId41" Type="http://schemas.openxmlformats.org/officeDocument/2006/relationships/header" Target="header18.xml"/><Relationship Id="rId42" Type="http://schemas.openxmlformats.org/officeDocument/2006/relationships/header" Target="header19.xml"/><Relationship Id="rId43" Type="http://schemas.openxmlformats.org/officeDocument/2006/relationships/header" Target="header20.xml"/><Relationship Id="rId44" Type="http://schemas.openxmlformats.org/officeDocument/2006/relationships/header" Target="header21.xml"/><Relationship Id="rId45" Type="http://schemas.openxmlformats.org/officeDocument/2006/relationships/header" Target="header22.xml"/><Relationship Id="rId46" Type="http://schemas.openxmlformats.org/officeDocument/2006/relationships/header" Target="header23.xml"/><Relationship Id="rId47" Type="http://schemas.openxmlformats.org/officeDocument/2006/relationships/header" Target="header24.xml"/><Relationship Id="rId48" Type="http://schemas.openxmlformats.org/officeDocument/2006/relationships/header" Target="header25.xml"/><Relationship Id="rId49" Type="http://schemas.openxmlformats.org/officeDocument/2006/relationships/header" Target="header26.xml"/><Relationship Id="rId50" Type="http://schemas.openxmlformats.org/officeDocument/2006/relationships/header" Target="header27.xml"/><Relationship Id="rId51" Type="http://schemas.openxmlformats.org/officeDocument/2006/relationships/header" Target="header28.xml"/><Relationship Id="rId52" Type="http://schemas.openxmlformats.org/officeDocument/2006/relationships/header" Target="header29.xml"/><Relationship Id="rId53" Type="http://schemas.openxmlformats.org/officeDocument/2006/relationships/header" Target="header30.xml"/><Relationship Id="rId54" Type="http://schemas.openxmlformats.org/officeDocument/2006/relationships/header" Target="header31.xml"/><Relationship Id="rId55" Type="http://schemas.openxmlformats.org/officeDocument/2006/relationships/header" Target="header32.xml"/><Relationship Id="rId56" Type="http://schemas.openxmlformats.org/officeDocument/2006/relationships/header" Target="header33.xml"/><Relationship Id="rId57" Type="http://schemas.openxmlformats.org/officeDocument/2006/relationships/header" Target="header34.xml"/><Relationship Id="rId58" Type="http://schemas.openxmlformats.org/officeDocument/2006/relationships/header" Target="header35.xml"/><Relationship Id="rId59" Type="http://schemas.openxmlformats.org/officeDocument/2006/relationships/header" Target="header36.xml"/><Relationship Id="rId60" Type="http://schemas.openxmlformats.org/officeDocument/2006/relationships/header" Target="header37.xml"/><Relationship Id="rId61" Type="http://schemas.openxmlformats.org/officeDocument/2006/relationships/header" Target="header38.xml"/><Relationship Id="rId62" Type="http://schemas.openxmlformats.org/officeDocument/2006/relationships/header" Target="header39.xml"/><Relationship Id="rId63" Type="http://schemas.openxmlformats.org/officeDocument/2006/relationships/header" Target="header40.xml"/><Relationship Id="rId64" Type="http://schemas.openxmlformats.org/officeDocument/2006/relationships/header" Target="header41.xml"/><Relationship Id="rId65" Type="http://schemas.openxmlformats.org/officeDocument/2006/relationships/header" Target="header42.xml"/><Relationship Id="rId66" Type="http://schemas.openxmlformats.org/officeDocument/2006/relationships/footer" Target="footer12.xml"/><Relationship Id="rId67" Type="http://schemas.openxmlformats.org/officeDocument/2006/relationships/header" Target="header43.xml"/><Relationship Id="rId68" Type="http://schemas.openxmlformats.org/officeDocument/2006/relationships/header" Target="header44.xml"/><Relationship Id="rId69" Type="http://schemas.openxmlformats.org/officeDocument/2006/relationships/footer" Target="footer13.xml"/><Relationship Id="rId70" Type="http://schemas.openxmlformats.org/officeDocument/2006/relationships/header" Target="header45.xml"/><Relationship Id="rId71" Type="http://schemas.openxmlformats.org/officeDocument/2006/relationships/header" Target="header46.xml"/><Relationship Id="rId72" Type="http://schemas.openxmlformats.org/officeDocument/2006/relationships/header" Target="header47.xml"/><Relationship Id="rId73" Type="http://schemas.openxmlformats.org/officeDocument/2006/relationships/header" Target="header48.xml"/><Relationship Id="rId74" Type="http://schemas.openxmlformats.org/officeDocument/2006/relationships/header" Target="header49.xml"/><Relationship Id="rId75" Type="http://schemas.openxmlformats.org/officeDocument/2006/relationships/footer" Target="footer14.xml"/><Relationship Id="rId76" Type="http://schemas.openxmlformats.org/officeDocument/2006/relationships/header" Target="header50.xml"/><Relationship Id="rId77" Type="http://schemas.openxmlformats.org/officeDocument/2006/relationships/header" Target="header51.xml"/><Relationship Id="rId78" Type="http://schemas.openxmlformats.org/officeDocument/2006/relationships/footer" Target="footer15.xml"/><Relationship Id="rId79" Type="http://schemas.openxmlformats.org/officeDocument/2006/relationships/header" Target="header52.xml"/><Relationship Id="rId80" Type="http://schemas.openxmlformats.org/officeDocument/2006/relationships/footer" Target="footer16.xml"/><Relationship Id="rId81" Type="http://schemas.openxmlformats.org/officeDocument/2006/relationships/header" Target="header53.xml"/><Relationship Id="rId82" Type="http://schemas.openxmlformats.org/officeDocument/2006/relationships/footer" Target="footer17.xml"/><Relationship Id="rId83" Type="http://schemas.openxmlformats.org/officeDocument/2006/relationships/header" Target="header54.xml"/><Relationship Id="rId84" Type="http://schemas.openxmlformats.org/officeDocument/2006/relationships/header" Target="header55.xml"/><Relationship Id="rId85" Type="http://schemas.openxmlformats.org/officeDocument/2006/relationships/header" Target="header56.xml"/><Relationship Id="rId86" Type="http://schemas.openxmlformats.org/officeDocument/2006/relationships/header" Target="header57.xml"/><Relationship Id="rId87" Type="http://schemas.openxmlformats.org/officeDocument/2006/relationships/header" Target="header58.xml"/><Relationship Id="rId88" Type="http://schemas.openxmlformats.org/officeDocument/2006/relationships/footer" Target="footer18.xml"/><Relationship Id="rId89" Type="http://schemas.openxmlformats.org/officeDocument/2006/relationships/footer" Target="footer19.xml"/><Relationship Id="rId90" Type="http://schemas.openxmlformats.org/officeDocument/2006/relationships/header" Target="header59.xml"/><Relationship Id="rId91" Type="http://schemas.openxmlformats.org/officeDocument/2006/relationships/header" Target="header60.xml"/><Relationship Id="rId92" Type="http://schemas.openxmlformats.org/officeDocument/2006/relationships/footer" Target="footer20.xml"/><Relationship Id="rId93" Type="http://schemas.openxmlformats.org/officeDocument/2006/relationships/footer" Target="footer21.xml"/><Relationship Id="rId94" Type="http://schemas.openxmlformats.org/officeDocument/2006/relationships/header" Target="header61.xml"/><Relationship Id="rId95" Type="http://schemas.openxmlformats.org/officeDocument/2006/relationships/header" Target="header62.xml"/><Relationship Id="rId96" Type="http://schemas.openxmlformats.org/officeDocument/2006/relationships/footer" Target="footer22.xml"/><Relationship Id="rId97" Type="http://schemas.openxmlformats.org/officeDocument/2006/relationships/header" Target="header63.xml"/><Relationship Id="rId98" Type="http://schemas.openxmlformats.org/officeDocument/2006/relationships/header" Target="header64.xml"/><Relationship Id="rId99" Type="http://schemas.openxmlformats.org/officeDocument/2006/relationships/header" Target="header65.xml"/><Relationship Id="rId100" Type="http://schemas.openxmlformats.org/officeDocument/2006/relationships/header" Target="header66.xml"/><Relationship Id="rId101" Type="http://schemas.openxmlformats.org/officeDocument/2006/relationships/header" Target="header67.xml"/><Relationship Id="rId102" Type="http://schemas.openxmlformats.org/officeDocument/2006/relationships/header" Target="header68.xml"/><Relationship Id="rId103" Type="http://schemas.openxmlformats.org/officeDocument/2006/relationships/header" Target="header69.xml"/><Relationship Id="rId104" Type="http://schemas.openxmlformats.org/officeDocument/2006/relationships/header" Target="header70.xml"/><Relationship Id="rId105" Type="http://schemas.openxmlformats.org/officeDocument/2006/relationships/header" Target="header71.xml"/><Relationship Id="rId106" Type="http://schemas.openxmlformats.org/officeDocument/2006/relationships/header" Target="header72.xml"/><Relationship Id="rId107" Type="http://schemas.openxmlformats.org/officeDocument/2006/relationships/header" Target="header73.xml"/><Relationship Id="rId108" Type="http://schemas.openxmlformats.org/officeDocument/2006/relationships/header" Target="header74.xml"/><Relationship Id="rId109" Type="http://schemas.openxmlformats.org/officeDocument/2006/relationships/header" Target="header75.xml"/><Relationship Id="rId110" Type="http://schemas.openxmlformats.org/officeDocument/2006/relationships/header" Target="header76.xml"/><Relationship Id="rId111" Type="http://schemas.openxmlformats.org/officeDocument/2006/relationships/header" Target="header77.xml"/><Relationship Id="rId112" Type="http://schemas.openxmlformats.org/officeDocument/2006/relationships/header" Target="header78.xml"/><Relationship Id="rId113" Type="http://schemas.openxmlformats.org/officeDocument/2006/relationships/header" Target="header79.xml"/><Relationship Id="rId114" Type="http://schemas.openxmlformats.org/officeDocument/2006/relationships/header" Target="header80.xml"/><Relationship Id="rId115" Type="http://schemas.openxmlformats.org/officeDocument/2006/relationships/header" Target="header81.xml"/><Relationship Id="rId116" Type="http://schemas.openxmlformats.org/officeDocument/2006/relationships/header" Target="header82.xml"/><Relationship Id="rId117" Type="http://schemas.openxmlformats.org/officeDocument/2006/relationships/header" Target="header83.xml"/><Relationship Id="rId118" Type="http://schemas.openxmlformats.org/officeDocument/2006/relationships/header" Target="header84.xml"/><Relationship Id="rId119" Type="http://schemas.openxmlformats.org/officeDocument/2006/relationships/header" Target="header85.xml"/><Relationship Id="rId120" Type="http://schemas.openxmlformats.org/officeDocument/2006/relationships/header" Target="header86.xml"/><Relationship Id="rId121" Type="http://schemas.openxmlformats.org/officeDocument/2006/relationships/header" Target="header87.xml"/><Relationship Id="rId122" Type="http://schemas.openxmlformats.org/officeDocument/2006/relationships/footer" Target="footer23.xml"/><Relationship Id="rId123" Type="http://schemas.openxmlformats.org/officeDocument/2006/relationships/header" Target="header88.xml"/><Relationship Id="rId124" Type="http://schemas.openxmlformats.org/officeDocument/2006/relationships/header" Target="header89.xml"/><Relationship Id="rId125" Type="http://schemas.openxmlformats.org/officeDocument/2006/relationships/header" Target="header90.xml"/><Relationship Id="rId126" Type="http://schemas.openxmlformats.org/officeDocument/2006/relationships/header" Target="header91.xml"/><Relationship Id="rId127" Type="http://schemas.openxmlformats.org/officeDocument/2006/relationships/header" Target="header92.xml"/><Relationship Id="rId128" Type="http://schemas.openxmlformats.org/officeDocument/2006/relationships/header" Target="header93.xml"/><Relationship Id="rId129" Type="http://schemas.openxmlformats.org/officeDocument/2006/relationships/header" Target="header94.xml"/><Relationship Id="rId130" Type="http://schemas.openxmlformats.org/officeDocument/2006/relationships/header" Target="header95.xml"/><Relationship Id="rId131" Type="http://schemas.openxmlformats.org/officeDocument/2006/relationships/footer" Target="footer24.xml"/><Relationship Id="rId132" Type="http://schemas.openxmlformats.org/officeDocument/2006/relationships/header" Target="header96.xml"/><Relationship Id="rId133" Type="http://schemas.openxmlformats.org/officeDocument/2006/relationships/footer" Target="footer25.xml"/><Relationship Id="rId134" Type="http://schemas.openxmlformats.org/officeDocument/2006/relationships/header" Target="header97.xml"/><Relationship Id="rId135" Type="http://schemas.openxmlformats.org/officeDocument/2006/relationships/header" Target="header98.xml"/><Relationship Id="rId136" Type="http://schemas.openxmlformats.org/officeDocument/2006/relationships/header" Target="header99.xml"/><Relationship Id="rId137" Type="http://schemas.openxmlformats.org/officeDocument/2006/relationships/header" Target="header100.xml"/><Relationship Id="rId138" Type="http://schemas.openxmlformats.org/officeDocument/2006/relationships/header" Target="header101.xml"/><Relationship Id="rId139" Type="http://schemas.openxmlformats.org/officeDocument/2006/relationships/footer" Target="footer26.xml"/><Relationship Id="rId140" Type="http://schemas.openxmlformats.org/officeDocument/2006/relationships/header" Target="header102.xml"/><Relationship Id="rId141" Type="http://schemas.openxmlformats.org/officeDocument/2006/relationships/footer" Target="footer27.xml"/><Relationship Id="rId142" Type="http://schemas.openxmlformats.org/officeDocument/2006/relationships/header" Target="header103.xml"/><Relationship Id="rId143" Type="http://schemas.openxmlformats.org/officeDocument/2006/relationships/header" Target="header104.xml"/><Relationship Id="rId144" Type="http://schemas.openxmlformats.org/officeDocument/2006/relationships/header" Target="header105.xml"/><Relationship Id="rId145" Type="http://schemas.openxmlformats.org/officeDocument/2006/relationships/header" Target="header106.xml"/><Relationship Id="rId146" Type="http://schemas.openxmlformats.org/officeDocument/2006/relationships/header" Target="header107.xml"/><Relationship Id="rId147" Type="http://schemas.openxmlformats.org/officeDocument/2006/relationships/header" Target="header108.xml"/><Relationship Id="rId148" Type="http://schemas.openxmlformats.org/officeDocument/2006/relationships/header" Target="header109.xml"/><Relationship Id="rId149" Type="http://schemas.openxmlformats.org/officeDocument/2006/relationships/footer" Target="footer28.xml"/><Relationship Id="rId150" Type="http://schemas.openxmlformats.org/officeDocument/2006/relationships/header" Target="header110.xml"/><Relationship Id="rId151" Type="http://schemas.openxmlformats.org/officeDocument/2006/relationships/header" Target="header111.xml"/><Relationship Id="rId152" Type="http://schemas.openxmlformats.org/officeDocument/2006/relationships/header" Target="header112.xml"/><Relationship Id="rId153" Type="http://schemas.openxmlformats.org/officeDocument/2006/relationships/header" Target="header113.xml"/><Relationship Id="rId154" Type="http://schemas.openxmlformats.org/officeDocument/2006/relationships/header" Target="header114.xml"/><Relationship Id="rId155" Type="http://schemas.openxmlformats.org/officeDocument/2006/relationships/header" Target="header115.xml"/><Relationship Id="rId156" Type="http://schemas.openxmlformats.org/officeDocument/2006/relationships/header" Target="header116.xml"/><Relationship Id="rId157" Type="http://schemas.openxmlformats.org/officeDocument/2006/relationships/image" Target="media/image2.jpeg"/><Relationship Id="rId158" Type="http://schemas.openxmlformats.org/officeDocument/2006/relationships/header" Target="header117.xml"/><Relationship Id="rId159" Type="http://schemas.openxmlformats.org/officeDocument/2006/relationships/footer" Target="footer29.xml"/><Relationship Id="rId160" Type="http://schemas.openxmlformats.org/officeDocument/2006/relationships/header" Target="header118.xml"/><Relationship Id="rId161" Type="http://schemas.openxmlformats.org/officeDocument/2006/relationships/footer" Target="footer30.xml"/><Relationship Id="rId162" Type="http://schemas.openxmlformats.org/officeDocument/2006/relationships/header" Target="header119.xml"/><Relationship Id="rId163" Type="http://schemas.openxmlformats.org/officeDocument/2006/relationships/footer" Target="footer31.xml"/><Relationship Id="rId164" Type="http://schemas.openxmlformats.org/officeDocument/2006/relationships/header" Target="header120.xml"/><Relationship Id="rId165" Type="http://schemas.openxmlformats.org/officeDocument/2006/relationships/footer" Target="footer32.xml"/><Relationship Id="rId166" Type="http://schemas.openxmlformats.org/officeDocument/2006/relationships/header" Target="header121.xml"/><Relationship Id="rId167" Type="http://schemas.openxmlformats.org/officeDocument/2006/relationships/footer" Target="footer33.xml"/><Relationship Id="rId168" Type="http://schemas.openxmlformats.org/officeDocument/2006/relationships/image" Target="media/image4.png"/><Relationship Id="rId169" Type="http://schemas.openxmlformats.org/officeDocument/2006/relationships/header" Target="header122.xml"/><Relationship Id="rId170" Type="http://schemas.openxmlformats.org/officeDocument/2006/relationships/footer" Target="footer34.xml"/><Relationship Id="rId171" Type="http://schemas.openxmlformats.org/officeDocument/2006/relationships/image" Target="media/image5.jpeg"/><Relationship Id="rId172" Type="http://schemas.openxmlformats.org/officeDocument/2006/relationships/header" Target="header123.xml"/><Relationship Id="rId173" Type="http://schemas.openxmlformats.org/officeDocument/2006/relationships/footer" Target="footer35.xml"/><Relationship Id="rId174" Type="http://schemas.openxmlformats.org/officeDocument/2006/relationships/image" Target="media/image6.png"/><Relationship Id="rId175" Type="http://schemas.openxmlformats.org/officeDocument/2006/relationships/image" Target="media/image7.png"/><Relationship Id="rId176" Type="http://schemas.openxmlformats.org/officeDocument/2006/relationships/header" Target="header124.xml"/><Relationship Id="rId177" Type="http://schemas.openxmlformats.org/officeDocument/2006/relationships/footer" Target="footer36.xml"/><Relationship Id="rId178" Type="http://schemas.openxmlformats.org/officeDocument/2006/relationships/header" Target="header125.xml"/><Relationship Id="rId179" Type="http://schemas.openxmlformats.org/officeDocument/2006/relationships/footer" Target="footer37.xml"/><Relationship Id="rId180" Type="http://schemas.openxmlformats.org/officeDocument/2006/relationships/header" Target="header126.xml"/><Relationship Id="rId181" Type="http://schemas.openxmlformats.org/officeDocument/2006/relationships/footer" Target="footer38.xml"/><Relationship Id="rId182" Type="http://schemas.openxmlformats.org/officeDocument/2006/relationships/header" Target="header127.xml"/><Relationship Id="rId183" Type="http://schemas.openxmlformats.org/officeDocument/2006/relationships/footer" Target="footer39.xml"/><Relationship Id="rId184" Type="http://schemas.openxmlformats.org/officeDocument/2006/relationships/header" Target="header128.xml"/><Relationship Id="rId185" Type="http://schemas.openxmlformats.org/officeDocument/2006/relationships/footer" Target="footer40.xml"/><Relationship Id="rId186" Type="http://schemas.openxmlformats.org/officeDocument/2006/relationships/header" Target="header129.xml"/><Relationship Id="rId187" Type="http://schemas.openxmlformats.org/officeDocument/2006/relationships/footer" Target="footer41.xml"/><Relationship Id="rId188" Type="http://schemas.openxmlformats.org/officeDocument/2006/relationships/header" Target="header130.xml"/><Relationship Id="rId189" Type="http://schemas.openxmlformats.org/officeDocument/2006/relationships/footer" Target="footer42.xml"/><Relationship Id="rId190" Type="http://schemas.openxmlformats.org/officeDocument/2006/relationships/header" Target="header131.xml"/><Relationship Id="rId191" Type="http://schemas.openxmlformats.org/officeDocument/2006/relationships/footer" Target="footer43.xml"/><Relationship Id="rId192" Type="http://schemas.openxmlformats.org/officeDocument/2006/relationships/header" Target="header132.xml"/><Relationship Id="rId193" Type="http://schemas.openxmlformats.org/officeDocument/2006/relationships/footer" Target="footer44.xml"/><Relationship Id="rId194" Type="http://schemas.openxmlformats.org/officeDocument/2006/relationships/header" Target="header133.xml"/><Relationship Id="rId195" Type="http://schemas.openxmlformats.org/officeDocument/2006/relationships/footer" Target="footer45.xml"/><Relationship Id="rId196" Type="http://schemas.openxmlformats.org/officeDocument/2006/relationships/header" Target="header134.xml"/><Relationship Id="rId197" Type="http://schemas.openxmlformats.org/officeDocument/2006/relationships/footer" Target="footer46.xml"/><Relationship Id="rId198" Type="http://schemas.openxmlformats.org/officeDocument/2006/relationships/header" Target="header135.xml"/><Relationship Id="rId199" Type="http://schemas.openxmlformats.org/officeDocument/2006/relationships/footer" Target="footer47.xml"/><Relationship Id="rId200" Type="http://schemas.openxmlformats.org/officeDocument/2006/relationships/image" Target="media/image8.jpeg"/><Relationship Id="rId201" Type="http://schemas.openxmlformats.org/officeDocument/2006/relationships/header" Target="header136.xml"/><Relationship Id="rId202" Type="http://schemas.openxmlformats.org/officeDocument/2006/relationships/footer" Target="footer48.xml"/><Relationship Id="rId203" Type="http://schemas.openxmlformats.org/officeDocument/2006/relationships/image" Target="media/image9.jpeg"/><Relationship Id="rId204" Type="http://schemas.openxmlformats.org/officeDocument/2006/relationships/header" Target="header137.xml"/><Relationship Id="rId205" Type="http://schemas.openxmlformats.org/officeDocument/2006/relationships/footer" Target="footer49.xml"/><Relationship Id="rId206" Type="http://schemas.openxmlformats.org/officeDocument/2006/relationships/header" Target="header138.xml"/><Relationship Id="rId207" Type="http://schemas.openxmlformats.org/officeDocument/2006/relationships/footer" Target="footer50.xml"/><Relationship Id="rId208" Type="http://schemas.openxmlformats.org/officeDocument/2006/relationships/header" Target="header139.xml"/><Relationship Id="rId209" Type="http://schemas.openxmlformats.org/officeDocument/2006/relationships/footer" Target="footer51.xml"/><Relationship Id="rId210" Type="http://schemas.openxmlformats.org/officeDocument/2006/relationships/header" Target="header140.xml"/><Relationship Id="rId211" Type="http://schemas.openxmlformats.org/officeDocument/2006/relationships/footer" Target="footer52.xml"/><Relationship Id="rId212" Type="http://schemas.openxmlformats.org/officeDocument/2006/relationships/image" Target="media/image10.png"/><Relationship Id="rId213" Type="http://schemas.openxmlformats.org/officeDocument/2006/relationships/header" Target="header141.xml"/><Relationship Id="rId214" Type="http://schemas.openxmlformats.org/officeDocument/2006/relationships/footer" Target="footer53.xml"/><Relationship Id="rId215" Type="http://schemas.openxmlformats.org/officeDocument/2006/relationships/image" Target="media/image11.png"/><Relationship Id="rId216" Type="http://schemas.openxmlformats.org/officeDocument/2006/relationships/image" Target="media/image12.jpeg"/><Relationship Id="rId217" Type="http://schemas.openxmlformats.org/officeDocument/2006/relationships/image" Target="media/image13.png"/><Relationship Id="rId218" Type="http://schemas.openxmlformats.org/officeDocument/2006/relationships/image" Target="media/image14.png"/><Relationship Id="rId219" Type="http://schemas.openxmlformats.org/officeDocument/2006/relationships/header" Target="header142.xml"/><Relationship Id="rId220" Type="http://schemas.openxmlformats.org/officeDocument/2006/relationships/footer" Target="footer54.xml"/><Relationship Id="rId221" Type="http://schemas.openxmlformats.org/officeDocument/2006/relationships/header" Target="header143.xml"/><Relationship Id="rId222" Type="http://schemas.openxmlformats.org/officeDocument/2006/relationships/footer" Target="footer55.xml"/><Relationship Id="rId223" Type="http://schemas.openxmlformats.org/officeDocument/2006/relationships/image" Target="media/image15.jpeg"/><Relationship Id="rId224" Type="http://schemas.openxmlformats.org/officeDocument/2006/relationships/header" Target="header144.xml"/><Relationship Id="rId225" Type="http://schemas.openxmlformats.org/officeDocument/2006/relationships/footer" Target="footer56.xml"/><Relationship Id="rId226" Type="http://schemas.openxmlformats.org/officeDocument/2006/relationships/image" Target="media/image16.jpeg"/><Relationship Id="rId227" Type="http://schemas.openxmlformats.org/officeDocument/2006/relationships/image" Target="media/image17.jpeg"/><Relationship Id="rId228" Type="http://schemas.openxmlformats.org/officeDocument/2006/relationships/image" Target="media/image18.jpeg"/><Relationship Id="rId229" Type="http://schemas.openxmlformats.org/officeDocument/2006/relationships/header" Target="header145.xml"/><Relationship Id="rId230" Type="http://schemas.openxmlformats.org/officeDocument/2006/relationships/footer" Target="footer57.xml"/><Relationship Id="rId231" Type="http://schemas.openxmlformats.org/officeDocument/2006/relationships/header" Target="header146.xml"/><Relationship Id="rId232" Type="http://schemas.openxmlformats.org/officeDocument/2006/relationships/footer" Target="footer58.xml"/><Relationship Id="rId233" Type="http://schemas.openxmlformats.org/officeDocument/2006/relationships/header" Target="header147.xml"/><Relationship Id="rId234" Type="http://schemas.openxmlformats.org/officeDocument/2006/relationships/footer" Target="footer59.xml"/><Relationship Id="rId235" Type="http://schemas.openxmlformats.org/officeDocument/2006/relationships/header" Target="header148.xml"/><Relationship Id="rId236" Type="http://schemas.openxmlformats.org/officeDocument/2006/relationships/footer" Target="footer60.xml"/><Relationship Id="rId237" Type="http://schemas.openxmlformats.org/officeDocument/2006/relationships/header" Target="header149.xml"/><Relationship Id="rId238" Type="http://schemas.openxmlformats.org/officeDocument/2006/relationships/footer" Target="footer61.xml"/><Relationship Id="rId239" Type="http://schemas.openxmlformats.org/officeDocument/2006/relationships/header" Target="header150.xml"/><Relationship Id="rId240" Type="http://schemas.openxmlformats.org/officeDocument/2006/relationships/footer" Target="footer62.xml"/><Relationship Id="rId241" Type="http://schemas.openxmlformats.org/officeDocument/2006/relationships/header" Target="header151.xml"/><Relationship Id="rId242" Type="http://schemas.openxmlformats.org/officeDocument/2006/relationships/footer" Target="footer63.xml"/><Relationship Id="rId243" Type="http://schemas.openxmlformats.org/officeDocument/2006/relationships/header" Target="header152.xml"/><Relationship Id="rId244" Type="http://schemas.openxmlformats.org/officeDocument/2006/relationships/footer" Target="footer64.xml"/><Relationship Id="rId245" Type="http://schemas.openxmlformats.org/officeDocument/2006/relationships/image" Target="media/image19.jpeg"/><Relationship Id="rId246" Type="http://schemas.openxmlformats.org/officeDocument/2006/relationships/image" Target="media/image20.png"/><Relationship Id="rId247" Type="http://schemas.openxmlformats.org/officeDocument/2006/relationships/header" Target="header153.xml"/><Relationship Id="rId248" Type="http://schemas.openxmlformats.org/officeDocument/2006/relationships/footer" Target="footer65.xml"/><Relationship Id="rId249" Type="http://schemas.openxmlformats.org/officeDocument/2006/relationships/image" Target="media/image21.png"/><Relationship Id="rId250" Type="http://schemas.openxmlformats.org/officeDocument/2006/relationships/image" Target="media/image22.png"/><Relationship Id="rId251" Type="http://schemas.openxmlformats.org/officeDocument/2006/relationships/header" Target="header154.xml"/><Relationship Id="rId252" Type="http://schemas.openxmlformats.org/officeDocument/2006/relationships/footer" Target="footer66.xml"/><Relationship Id="rId253" Type="http://schemas.openxmlformats.org/officeDocument/2006/relationships/header" Target="header155.xml"/><Relationship Id="rId254" Type="http://schemas.openxmlformats.org/officeDocument/2006/relationships/footer" Target="footer67.xml"/><Relationship Id="rId255" Type="http://schemas.openxmlformats.org/officeDocument/2006/relationships/header" Target="header156.xml"/><Relationship Id="rId256" Type="http://schemas.openxmlformats.org/officeDocument/2006/relationships/footer" Target="footer68.xml"/><Relationship Id="rId257" Type="http://schemas.openxmlformats.org/officeDocument/2006/relationships/header" Target="header157.xml"/><Relationship Id="rId258" Type="http://schemas.openxmlformats.org/officeDocument/2006/relationships/footer" Target="footer69.xml"/><Relationship Id="rId259" Type="http://schemas.openxmlformats.org/officeDocument/2006/relationships/image" Target="media/image23.jpeg"/><Relationship Id="rId260" Type="http://schemas.openxmlformats.org/officeDocument/2006/relationships/header" Target="header158.xml"/><Relationship Id="rId261" Type="http://schemas.openxmlformats.org/officeDocument/2006/relationships/footer" Target="footer70.xml"/><Relationship Id="rId262" Type="http://schemas.openxmlformats.org/officeDocument/2006/relationships/image" Target="media/image24.png"/><Relationship Id="rId263" Type="http://schemas.openxmlformats.org/officeDocument/2006/relationships/image" Target="media/image25.png"/><Relationship Id="rId264" Type="http://schemas.openxmlformats.org/officeDocument/2006/relationships/header" Target="header159.xml"/><Relationship Id="rId265" Type="http://schemas.openxmlformats.org/officeDocument/2006/relationships/footer" Target="footer71.xml"/><Relationship Id="rId266" Type="http://schemas.openxmlformats.org/officeDocument/2006/relationships/header" Target="header160.xml"/><Relationship Id="rId267" Type="http://schemas.openxmlformats.org/officeDocument/2006/relationships/footer" Target="footer72.xml"/><Relationship Id="rId268" Type="http://schemas.openxmlformats.org/officeDocument/2006/relationships/header" Target="header161.xml"/><Relationship Id="rId269" Type="http://schemas.openxmlformats.org/officeDocument/2006/relationships/footer" Target="footer73.xml"/><Relationship Id="rId270" Type="http://schemas.openxmlformats.org/officeDocument/2006/relationships/image" Target="media/image26.jpeg"/><Relationship Id="rId271" Type="http://schemas.openxmlformats.org/officeDocument/2006/relationships/header" Target="header162.xml"/><Relationship Id="rId272" Type="http://schemas.openxmlformats.org/officeDocument/2006/relationships/footer" Target="footer74.xml"/><Relationship Id="rId273" Type="http://schemas.openxmlformats.org/officeDocument/2006/relationships/header" Target="header163.xml"/><Relationship Id="rId274" Type="http://schemas.openxmlformats.org/officeDocument/2006/relationships/footer" Target="footer75.xml"/><Relationship Id="rId275" Type="http://schemas.openxmlformats.org/officeDocument/2006/relationships/image" Target="media/image27.jpeg"/><Relationship Id="rId276" Type="http://schemas.openxmlformats.org/officeDocument/2006/relationships/header" Target="header164.xml"/><Relationship Id="rId277" Type="http://schemas.openxmlformats.org/officeDocument/2006/relationships/footer" Target="footer76.xml"/><Relationship Id="rId278" Type="http://schemas.openxmlformats.org/officeDocument/2006/relationships/header" Target="header165.xml"/><Relationship Id="rId279" Type="http://schemas.openxmlformats.org/officeDocument/2006/relationships/footer" Target="footer77.xml"/><Relationship Id="rId280" Type="http://schemas.openxmlformats.org/officeDocument/2006/relationships/image" Target="media/image28.jpeg"/><Relationship Id="rId281" Type="http://schemas.openxmlformats.org/officeDocument/2006/relationships/image" Target="media/image29.jpeg"/><Relationship Id="rId282" Type="http://schemas.openxmlformats.org/officeDocument/2006/relationships/header" Target="header166.xml"/><Relationship Id="rId283" Type="http://schemas.openxmlformats.org/officeDocument/2006/relationships/footer" Target="footer78.xml"/><Relationship Id="rId284" Type="http://schemas.openxmlformats.org/officeDocument/2006/relationships/header" Target="header167.xml"/><Relationship Id="rId285" Type="http://schemas.openxmlformats.org/officeDocument/2006/relationships/footer" Target="footer79.xml"/><Relationship Id="rId286" Type="http://schemas.openxmlformats.org/officeDocument/2006/relationships/image" Target="media/image30.jpeg"/><Relationship Id="rId287" Type="http://schemas.openxmlformats.org/officeDocument/2006/relationships/image" Target="media/image31.jpeg"/><Relationship Id="rId288" Type="http://schemas.openxmlformats.org/officeDocument/2006/relationships/header" Target="header168.xml"/><Relationship Id="rId289" Type="http://schemas.openxmlformats.org/officeDocument/2006/relationships/footer" Target="footer80.xml"/><Relationship Id="rId290" Type="http://schemas.openxmlformats.org/officeDocument/2006/relationships/image" Target="media/image32.jpeg"/><Relationship Id="rId291" Type="http://schemas.openxmlformats.org/officeDocument/2006/relationships/header" Target="header169.xml"/><Relationship Id="rId292" Type="http://schemas.openxmlformats.org/officeDocument/2006/relationships/footer" Target="footer81.xml"/><Relationship Id="rId293" Type="http://schemas.openxmlformats.org/officeDocument/2006/relationships/image" Target="media/image33.jpeg"/><Relationship Id="rId294" Type="http://schemas.openxmlformats.org/officeDocument/2006/relationships/header" Target="header170.xml"/><Relationship Id="rId295" Type="http://schemas.openxmlformats.org/officeDocument/2006/relationships/footer" Target="footer82.xml"/><Relationship Id="rId296" Type="http://schemas.openxmlformats.org/officeDocument/2006/relationships/image" Target="media/image34.jpeg"/><Relationship Id="rId297" Type="http://schemas.openxmlformats.org/officeDocument/2006/relationships/header" Target="header171.xml"/><Relationship Id="rId298" Type="http://schemas.openxmlformats.org/officeDocument/2006/relationships/footer" Target="footer83.xml"/><Relationship Id="rId299" Type="http://schemas.openxmlformats.org/officeDocument/2006/relationships/image" Target="media/image35.jpeg"/><Relationship Id="rId300" Type="http://schemas.openxmlformats.org/officeDocument/2006/relationships/header" Target="header172.xml"/><Relationship Id="rId301" Type="http://schemas.openxmlformats.org/officeDocument/2006/relationships/footer" Target="footer84.xml"/><Relationship Id="rId302" Type="http://schemas.openxmlformats.org/officeDocument/2006/relationships/header" Target="header173.xml"/><Relationship Id="rId303" Type="http://schemas.openxmlformats.org/officeDocument/2006/relationships/footer" Target="footer85.xml"/><Relationship Id="rId304" Type="http://schemas.openxmlformats.org/officeDocument/2006/relationships/header" Target="header174.xml"/><Relationship Id="rId305" Type="http://schemas.openxmlformats.org/officeDocument/2006/relationships/footer" Target="footer86.xml"/><Relationship Id="rId306" Type="http://schemas.openxmlformats.org/officeDocument/2006/relationships/header" Target="header175.xml"/><Relationship Id="rId307" Type="http://schemas.openxmlformats.org/officeDocument/2006/relationships/footer" Target="footer87.xml"/><Relationship Id="rId308" Type="http://schemas.openxmlformats.org/officeDocument/2006/relationships/header" Target="header176.xml"/><Relationship Id="rId309" Type="http://schemas.openxmlformats.org/officeDocument/2006/relationships/footer" Target="footer88.xml"/><Relationship Id="rId310" Type="http://schemas.openxmlformats.org/officeDocument/2006/relationships/hyperlink" Target="http://www.chinaunicom.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贾云峰</dc:creator>
  <dc:title>中国联合通信股份有限公司</dc:title>
  <dcterms:created xsi:type="dcterms:W3CDTF">2020-04-02T14:16:59Z</dcterms:created>
  <dcterms:modified xsi:type="dcterms:W3CDTF">2020-04-02T14:16:59Z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2010-03-24T00:00:00Z</vt:filetime>
  </property>
  <property fmtid="{D5CDD505-2E9C-101B-9397-08002B2CF9AE}" pid="3" name="Creator">
    <vt:lpwstr>Acrobat PDFMaker 7.0 for Word</vt:lpwstr>
  </property>
  <property fmtid="{D5CDD505-2E9C-101B-9397-08002B2CF9AE}" pid="4" name="LastSaved">
    <vt:filetime>2020-04-02T00:00:00Z</vt:filetime>
  </property>
</Properties>
</file>